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lang w:eastAsia="zh-CN"/>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8441"/>
      <w:bookmarkStart w:id="2" w:name="_Toc15377193"/>
      <w:bookmarkStart w:id="3" w:name="_Toc15396597"/>
      <w:bookmarkStart w:id="4" w:name="_Toc15396475"/>
      <w:bookmarkStart w:id="5" w:name="_Toc1537742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96476"/>
      <w:bookmarkStart w:id="8" w:name="_Toc15377194"/>
      <w:bookmarkStart w:id="9" w:name="_Toc15378442"/>
      <w:bookmarkStart w:id="10" w:name="_Toc15396598"/>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林业和草原局</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 xml:space="preserve"> </w:t>
      </w:r>
      <w:r>
        <w:rPr>
          <w:rFonts w:hint="eastAsia" w:hAnsiTheme="minorHAnsi"/>
          <w:b w:val="0"/>
          <w:bCs w:val="0"/>
          <w:sz w:val="24"/>
          <w:szCs w:val="24"/>
        </w:rPr>
        <w:t xml:space="preserve"> </w:t>
      </w:r>
      <w:r>
        <w:rPr>
          <w:rFonts w:hint="eastAsia" w:hAnsiTheme="minorHAnsi"/>
          <w:b w:val="0"/>
          <w:bCs w:val="0"/>
          <w:sz w:val="24"/>
          <w:szCs w:val="24"/>
          <w:lang w:val="en-US" w:eastAsia="zh-CN"/>
        </w:rPr>
        <w:t>9</w:t>
      </w:r>
      <w:r>
        <w:rPr>
          <w:rFonts w:hint="eastAsia" w:hAnsiTheme="minorHAnsi"/>
          <w:b w:val="0"/>
          <w:bCs w:val="0"/>
          <w:sz w:val="24"/>
          <w:szCs w:val="24"/>
        </w:rPr>
        <w:t>月</w:t>
      </w:r>
      <w:r>
        <w:rPr>
          <w:rFonts w:hint="eastAsia" w:hAnsiTheme="minorHAnsi"/>
          <w:b w:val="0"/>
          <w:bCs w:val="0"/>
          <w:sz w:val="24"/>
          <w:szCs w:val="24"/>
          <w:lang w:val="en-US" w:eastAsia="zh-CN"/>
        </w:rPr>
        <w:t xml:space="preserve"> 27</w:t>
      </w:r>
      <w:r>
        <w:rPr>
          <w:rFonts w:hint="eastAsia" w:hAnsiTheme="minorHAnsi"/>
          <w:b w:val="0"/>
          <w:bCs w:val="0"/>
          <w:sz w:val="24"/>
          <w:szCs w:val="24"/>
        </w:rPr>
        <w:t xml:space="preserve"> 日</w:t>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fldChar w:fldCharType="begin"/>
      </w:r>
      <w:r>
        <w:rPr>
          <w:rFonts w:ascii="仿宋" w:hAnsi="仿宋" w:eastAsia="仿宋"/>
          <w:b w:val="0"/>
          <w:bCs w:val="0"/>
          <w:caps w:val="0"/>
          <w:smallCaps/>
        </w:rPr>
        <w:instrText xml:space="preserve"> TOC \o \u </w:instrText>
      </w:r>
      <w:r>
        <w:rPr>
          <w:rFonts w:ascii="仿宋" w:hAnsi="仿宋" w:eastAsia="仿宋"/>
          <w:b w:val="0"/>
          <w:bCs w:val="0"/>
          <w:caps w:val="0"/>
          <w:smallCaps/>
        </w:rPr>
        <w:fldChar w:fldCharType="separate"/>
      </w:r>
      <w:r>
        <w:rPr>
          <w:rFonts w:ascii="仿宋" w:hAnsi="仿宋" w:eastAsia="仿宋"/>
          <w:b w:val="0"/>
          <w:bCs w:val="0"/>
          <w:caps w:val="0"/>
          <w:smallCaps/>
        </w:rPr>
        <w:t>第一部分 部门概况</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_Toc79163851 \h </w:instrText>
      </w:r>
      <w:r>
        <w:rPr>
          <w:rFonts w:ascii="仿宋" w:hAnsi="仿宋" w:eastAsia="仿宋"/>
          <w:b w:val="0"/>
          <w:bCs w:val="0"/>
          <w:caps w:val="0"/>
          <w:smallCaps/>
        </w:rPr>
        <w:fldChar w:fldCharType="separate"/>
      </w:r>
      <w:r>
        <w:rPr>
          <w:rFonts w:ascii="仿宋" w:hAnsi="仿宋" w:eastAsia="仿宋"/>
          <w:b w:val="0"/>
          <w:bCs w:val="0"/>
          <w:caps w:val="0"/>
          <w:smallCaps/>
        </w:rPr>
        <w:t>4</w:t>
      </w:r>
      <w:r>
        <w:rPr>
          <w:rFonts w:ascii="仿宋" w:hAnsi="仿宋" w:eastAsia="仿宋"/>
          <w:b w:val="0"/>
          <w:bCs w:val="0"/>
          <w:caps w:val="0"/>
          <w:smallCaps/>
        </w:rPr>
        <w:fldChar w:fldCharType="end"/>
      </w:r>
    </w:p>
    <w:p>
      <w:pPr>
        <w:pStyle w:val="16"/>
        <w:tabs>
          <w:tab w:val="right" w:leader="dot" w:pos="8296"/>
        </w:tabs>
        <w:rPr>
          <w:rFonts w:ascii="仿宋" w:hAnsi="仿宋" w:eastAsia="仿宋"/>
        </w:rPr>
      </w:pPr>
      <w:r>
        <w:rPr>
          <w:rFonts w:ascii="仿宋" w:hAnsi="仿宋" w:eastAsia="仿宋"/>
        </w:rPr>
        <w:t>一、基本职能及主要工作</w:t>
      </w:r>
      <w:r>
        <w:rPr>
          <w:rFonts w:ascii="仿宋" w:hAnsi="仿宋" w:eastAsia="仿宋"/>
        </w:rPr>
        <w:tab/>
      </w:r>
      <w:r>
        <w:rPr>
          <w:rFonts w:ascii="仿宋" w:hAnsi="仿宋" w:eastAsia="仿宋"/>
        </w:rPr>
        <w:fldChar w:fldCharType="begin"/>
      </w:r>
      <w:r>
        <w:rPr>
          <w:rFonts w:ascii="仿宋" w:hAnsi="仿宋" w:eastAsia="仿宋"/>
        </w:rPr>
        <w:instrText xml:space="preserve"> PAGEREF _Toc79163852 \h </w:instrText>
      </w:r>
      <w:r>
        <w:rPr>
          <w:rFonts w:ascii="仿宋" w:hAnsi="仿宋" w:eastAsia="仿宋"/>
        </w:rPr>
        <w:fldChar w:fldCharType="separate"/>
      </w:r>
      <w:r>
        <w:rPr>
          <w:rFonts w:ascii="仿宋" w:hAnsi="仿宋" w:eastAsia="仿宋"/>
        </w:rPr>
        <w:t>4</w:t>
      </w:r>
      <w:r>
        <w:rPr>
          <w:rFonts w:ascii="仿宋" w:hAnsi="仿宋" w:eastAsia="仿宋"/>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（一）主要职能</w:t>
      </w:r>
      <w:bookmarkStart w:id="169" w:name="_GoBack"/>
      <w:bookmarkEnd w:id="169"/>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_Toc79163853 \h </w:instrText>
      </w:r>
      <w:r>
        <w:rPr>
          <w:rFonts w:ascii="仿宋" w:hAnsi="仿宋" w:eastAsia="仿宋"/>
          <w:i w:val="0"/>
          <w:iCs w:val="0"/>
          <w:smallCaps/>
        </w:rPr>
        <w:fldChar w:fldCharType="separate"/>
      </w:r>
      <w:r>
        <w:rPr>
          <w:rFonts w:ascii="仿宋" w:hAnsi="仿宋" w:eastAsia="仿宋"/>
          <w:i w:val="0"/>
          <w:iCs w:val="0"/>
          <w:smallCaps/>
        </w:rPr>
        <w:t>4</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（二）2020年重点工作完成情况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_Toc79163854 \h </w:instrText>
      </w:r>
      <w:r>
        <w:rPr>
          <w:rFonts w:ascii="仿宋" w:hAnsi="仿宋" w:eastAsia="仿宋"/>
          <w:i w:val="0"/>
          <w:iCs w:val="0"/>
          <w:smallCaps/>
        </w:rPr>
        <w:fldChar w:fldCharType="separate"/>
      </w:r>
      <w:r>
        <w:rPr>
          <w:rFonts w:ascii="仿宋" w:hAnsi="仿宋" w:eastAsia="仿宋"/>
          <w:i w:val="0"/>
          <w:iCs w:val="0"/>
          <w:smallCaps/>
        </w:rPr>
        <w:t>6</w:t>
      </w:r>
      <w:r>
        <w:rPr>
          <w:rFonts w:ascii="仿宋" w:hAnsi="仿宋" w:eastAsia="仿宋"/>
          <w:i w:val="0"/>
          <w:iCs w:val="0"/>
          <w:smallCaps/>
        </w:rPr>
        <w:fldChar w:fldCharType="end"/>
      </w:r>
    </w:p>
    <w:p>
      <w:pPr>
        <w:pStyle w:val="16"/>
        <w:tabs>
          <w:tab w:val="right" w:leader="dot" w:pos="8296"/>
        </w:tabs>
        <w:rPr>
          <w:rFonts w:ascii="仿宋" w:hAnsi="仿宋" w:eastAsia="仿宋"/>
        </w:rPr>
      </w:pPr>
      <w:r>
        <w:rPr>
          <w:rFonts w:ascii="仿宋" w:hAnsi="仿宋" w:eastAsia="仿宋"/>
        </w:rPr>
        <w:t>二、机构设置</w:t>
      </w:r>
      <w:r>
        <w:rPr>
          <w:rFonts w:ascii="仿宋" w:hAnsi="仿宋" w:eastAsia="仿宋"/>
        </w:rPr>
        <w:tab/>
      </w:r>
      <w:r>
        <w:rPr>
          <w:rFonts w:ascii="仿宋" w:hAnsi="仿宋" w:eastAsia="仿宋"/>
        </w:rPr>
        <w:fldChar w:fldCharType="begin"/>
      </w:r>
      <w:r>
        <w:rPr>
          <w:rFonts w:ascii="仿宋" w:hAnsi="仿宋" w:eastAsia="仿宋"/>
        </w:rPr>
        <w:instrText xml:space="preserve"> PAGEREF _Toc79163855 \h </w:instrText>
      </w:r>
      <w:r>
        <w:rPr>
          <w:rFonts w:ascii="仿宋" w:hAnsi="仿宋" w:eastAsia="仿宋"/>
        </w:rPr>
        <w:fldChar w:fldCharType="separate"/>
      </w:r>
      <w:r>
        <w:rPr>
          <w:rFonts w:ascii="仿宋" w:hAnsi="仿宋" w:eastAsia="仿宋"/>
        </w:rPr>
        <w:t>7</w:t>
      </w:r>
      <w:r>
        <w:rPr>
          <w:rFonts w:ascii="仿宋" w:hAnsi="仿宋" w:eastAsia="仿宋"/>
        </w:rPr>
        <w:fldChar w:fldCharType="end"/>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第二部分 2020年度部门决算情况说明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_Toc79163859 \h </w:instrText>
      </w:r>
      <w:r>
        <w:rPr>
          <w:rFonts w:ascii="仿宋" w:hAnsi="仿宋" w:eastAsia="仿宋"/>
          <w:b w:val="0"/>
          <w:bCs w:val="0"/>
          <w:caps w:val="0"/>
          <w:smallCaps/>
        </w:rPr>
        <w:fldChar w:fldCharType="separate"/>
      </w:r>
      <w:r>
        <w:rPr>
          <w:rFonts w:ascii="仿宋" w:hAnsi="仿宋" w:eastAsia="仿宋"/>
          <w:b w:val="0"/>
          <w:bCs w:val="0"/>
          <w:caps w:val="0"/>
          <w:smallCaps/>
        </w:rPr>
        <w:t>9</w:t>
      </w:r>
      <w:r>
        <w:rPr>
          <w:rFonts w:ascii="仿宋" w:hAnsi="仿宋" w:eastAsia="仿宋"/>
          <w:b w:val="0"/>
          <w:bCs w:val="0"/>
          <w:caps w:val="0"/>
          <w:smallCaps/>
        </w:rPr>
        <w:fldChar w:fldCharType="end"/>
      </w:r>
    </w:p>
    <w:p>
      <w:pPr>
        <w:pStyle w:val="16"/>
        <w:tabs>
          <w:tab w:val="left" w:pos="840"/>
          <w:tab w:val="right" w:leader="dot" w:pos="8296"/>
        </w:tabs>
        <w:rPr>
          <w:rFonts w:ascii="仿宋" w:hAnsi="仿宋" w:eastAsia="仿宋"/>
        </w:rPr>
      </w:pPr>
      <w:r>
        <w:rPr>
          <w:rFonts w:ascii="仿宋" w:hAnsi="仿宋" w:eastAsia="仿宋"/>
        </w:rPr>
        <w:t>一、</w:t>
      </w:r>
      <w:r>
        <w:rPr>
          <w:rFonts w:ascii="仿宋" w:hAnsi="仿宋" w:eastAsia="仿宋"/>
        </w:rPr>
        <w:tab/>
      </w:r>
      <w:r>
        <w:rPr>
          <w:rFonts w:ascii="仿宋" w:hAnsi="仿宋" w:eastAsia="仿宋"/>
        </w:rPr>
        <w:t>收入支出决算总体情况说明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_Toc79163860 \h </w:instrText>
      </w:r>
      <w:r>
        <w:rPr>
          <w:rFonts w:ascii="仿宋" w:hAnsi="仿宋" w:eastAsia="仿宋"/>
        </w:rPr>
        <w:fldChar w:fldCharType="separate"/>
      </w:r>
      <w:r>
        <w:rPr>
          <w:rFonts w:ascii="仿宋" w:hAnsi="仿宋" w:eastAsia="仿宋"/>
        </w:rPr>
        <w:t>9</w:t>
      </w:r>
      <w:r>
        <w:rPr>
          <w:rFonts w:ascii="仿宋" w:hAnsi="仿宋" w:eastAsia="仿宋"/>
        </w:rPr>
        <w:fldChar w:fldCharType="end"/>
      </w:r>
    </w:p>
    <w:p>
      <w:pPr>
        <w:pStyle w:val="16"/>
        <w:tabs>
          <w:tab w:val="left" w:pos="840"/>
          <w:tab w:val="right" w:leader="dot" w:pos="8296"/>
        </w:tabs>
        <w:rPr>
          <w:rFonts w:ascii="仿宋" w:hAnsi="仿宋" w:eastAsia="仿宋"/>
        </w:rPr>
      </w:pPr>
      <w:r>
        <w:rPr>
          <w:rFonts w:ascii="仿宋" w:hAnsi="仿宋" w:eastAsia="仿宋"/>
        </w:rPr>
        <w:t>二、</w:t>
      </w:r>
      <w:r>
        <w:rPr>
          <w:rFonts w:ascii="仿宋" w:hAnsi="仿宋" w:eastAsia="仿宋"/>
        </w:rPr>
        <w:tab/>
      </w:r>
      <w:r>
        <w:rPr>
          <w:rFonts w:ascii="仿宋" w:hAnsi="仿宋" w:eastAsia="仿宋"/>
        </w:rPr>
        <w:t>收入决算情况说明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_Toc79163861 \h </w:instrText>
      </w:r>
      <w:r>
        <w:rPr>
          <w:rFonts w:ascii="仿宋" w:hAnsi="仿宋" w:eastAsia="仿宋"/>
        </w:rPr>
        <w:fldChar w:fldCharType="separate"/>
      </w:r>
      <w:r>
        <w:rPr>
          <w:rFonts w:ascii="仿宋" w:hAnsi="仿宋" w:eastAsia="仿宋"/>
        </w:rPr>
        <w:t>9</w:t>
      </w:r>
      <w:r>
        <w:rPr>
          <w:rFonts w:ascii="仿宋" w:hAnsi="仿宋" w:eastAsia="仿宋"/>
        </w:rPr>
        <w:fldChar w:fldCharType="end"/>
      </w:r>
    </w:p>
    <w:p>
      <w:pPr>
        <w:pStyle w:val="16"/>
        <w:tabs>
          <w:tab w:val="left" w:pos="840"/>
          <w:tab w:val="right" w:leader="dot" w:pos="8296"/>
        </w:tabs>
        <w:rPr>
          <w:rFonts w:ascii="仿宋" w:hAnsi="仿宋" w:eastAsia="仿宋"/>
        </w:rPr>
      </w:pPr>
      <w:r>
        <w:rPr>
          <w:rFonts w:ascii="仿宋" w:hAnsi="仿宋" w:eastAsia="仿宋"/>
        </w:rPr>
        <w:t>三、</w:t>
      </w:r>
      <w:r>
        <w:rPr>
          <w:rFonts w:ascii="仿宋" w:hAnsi="仿宋" w:eastAsia="仿宋"/>
        </w:rPr>
        <w:tab/>
      </w:r>
      <w:r>
        <w:rPr>
          <w:rFonts w:ascii="仿宋" w:hAnsi="仿宋" w:eastAsia="仿宋"/>
        </w:rPr>
        <w:t>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_Toc79163862 \h </w:instrText>
      </w:r>
      <w:r>
        <w:rPr>
          <w:rFonts w:ascii="仿宋" w:hAnsi="仿宋" w:eastAsia="仿宋"/>
        </w:rPr>
        <w:fldChar w:fldCharType="separate"/>
      </w:r>
      <w:r>
        <w:rPr>
          <w:rFonts w:ascii="仿宋" w:hAnsi="仿宋" w:eastAsia="仿宋"/>
        </w:rPr>
        <w:t>10</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四、财政拨款收入支出决算总体情况说明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_Toc79163863 \h </w:instrText>
      </w:r>
      <w:r>
        <w:rPr>
          <w:rFonts w:ascii="仿宋" w:hAnsi="仿宋" w:eastAsia="仿宋"/>
        </w:rPr>
        <w:fldChar w:fldCharType="separate"/>
      </w:r>
      <w:r>
        <w:rPr>
          <w:rFonts w:ascii="仿宋" w:hAnsi="仿宋" w:eastAsia="仿宋"/>
        </w:rPr>
        <w:t>11</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五、一般公共预算财政拨款支出决算情况说明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_Toc79163864 \h </w:instrText>
      </w:r>
      <w:r>
        <w:rPr>
          <w:rFonts w:ascii="仿宋" w:hAnsi="仿宋" w:eastAsia="仿宋"/>
        </w:rPr>
        <w:fldChar w:fldCharType="separate"/>
      </w:r>
      <w:r>
        <w:rPr>
          <w:rFonts w:ascii="仿宋" w:hAnsi="仿宋" w:eastAsia="仿宋"/>
        </w:rPr>
        <w:t>11</w:t>
      </w:r>
      <w:r>
        <w:rPr>
          <w:rFonts w:ascii="仿宋" w:hAnsi="仿宋" w:eastAsia="仿宋"/>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（一）一般公共预算财政拨款支出决算总体情况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_Toc79163865 \h </w:instrText>
      </w:r>
      <w:r>
        <w:rPr>
          <w:rFonts w:ascii="仿宋" w:hAnsi="仿宋" w:eastAsia="仿宋"/>
          <w:i w:val="0"/>
          <w:iCs w:val="0"/>
          <w:smallCaps/>
        </w:rPr>
        <w:fldChar w:fldCharType="separate"/>
      </w:r>
      <w:r>
        <w:rPr>
          <w:rFonts w:ascii="仿宋" w:hAnsi="仿宋" w:eastAsia="仿宋"/>
          <w:i w:val="0"/>
          <w:iCs w:val="0"/>
          <w:smallCaps/>
        </w:rPr>
        <w:t>11</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（二）一般公共预算财政拨款支出决算结构情况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_Toc79163866 \h </w:instrText>
      </w:r>
      <w:r>
        <w:rPr>
          <w:rFonts w:ascii="仿宋" w:hAnsi="仿宋" w:eastAsia="仿宋"/>
          <w:i w:val="0"/>
          <w:iCs w:val="0"/>
          <w:smallCaps/>
        </w:rPr>
        <w:fldChar w:fldCharType="separate"/>
      </w:r>
      <w:r>
        <w:rPr>
          <w:rFonts w:ascii="仿宋" w:hAnsi="仿宋" w:eastAsia="仿宋"/>
          <w:i w:val="0"/>
          <w:iCs w:val="0"/>
          <w:smallCaps/>
        </w:rPr>
        <w:t>12</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（三）一般公共预算财政拨款支出决算具体情况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_Toc79163867 \h </w:instrText>
      </w:r>
      <w:r>
        <w:rPr>
          <w:rFonts w:ascii="仿宋" w:hAnsi="仿宋" w:eastAsia="仿宋"/>
          <w:i w:val="0"/>
          <w:iCs w:val="0"/>
          <w:smallCaps/>
        </w:rPr>
        <w:fldChar w:fldCharType="separate"/>
      </w:r>
      <w:r>
        <w:rPr>
          <w:rFonts w:ascii="仿宋" w:hAnsi="仿宋" w:eastAsia="仿宋"/>
          <w:i w:val="0"/>
          <w:iCs w:val="0"/>
          <w:smallCaps/>
        </w:rPr>
        <w:t>13</w:t>
      </w:r>
      <w:r>
        <w:rPr>
          <w:rFonts w:ascii="仿宋" w:hAnsi="仿宋" w:eastAsia="仿宋"/>
          <w:i w:val="0"/>
          <w:iCs w:val="0"/>
          <w:smallCaps/>
        </w:rPr>
        <w:fldChar w:fldCharType="end"/>
      </w:r>
    </w:p>
    <w:p>
      <w:pPr>
        <w:pStyle w:val="16"/>
        <w:tabs>
          <w:tab w:val="right" w:leader="dot" w:pos="8296"/>
        </w:tabs>
        <w:rPr>
          <w:rFonts w:ascii="仿宋" w:hAnsi="仿宋" w:eastAsia="仿宋"/>
        </w:rPr>
      </w:pPr>
      <w:r>
        <w:rPr>
          <w:rFonts w:ascii="仿宋" w:hAnsi="仿宋" w:eastAsia="仿宋"/>
        </w:rPr>
        <w:t>六、一般公共预算财政拨款基本支出决算情况说明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_Toc79163868 \h </w:instrText>
      </w:r>
      <w:r>
        <w:rPr>
          <w:rFonts w:ascii="仿宋" w:hAnsi="仿宋" w:eastAsia="仿宋"/>
        </w:rPr>
        <w:fldChar w:fldCharType="separate"/>
      </w:r>
      <w:r>
        <w:rPr>
          <w:rFonts w:ascii="仿宋" w:hAnsi="仿宋" w:eastAsia="仿宋"/>
        </w:rPr>
        <w:t>14</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七、“三公”经费财政拨款支出决算情况说明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_Toc79163869 \h </w:instrText>
      </w:r>
      <w:r>
        <w:rPr>
          <w:rFonts w:ascii="仿宋" w:hAnsi="仿宋" w:eastAsia="仿宋"/>
        </w:rPr>
        <w:fldChar w:fldCharType="separate"/>
      </w:r>
      <w:r>
        <w:rPr>
          <w:rFonts w:ascii="仿宋" w:hAnsi="仿宋" w:eastAsia="仿宋"/>
        </w:rPr>
        <w:t>15</w:t>
      </w:r>
      <w:r>
        <w:rPr>
          <w:rFonts w:ascii="仿宋" w:hAnsi="仿宋" w:eastAsia="仿宋"/>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（一）“三公”经费财政拨款支出决算总体情况说明</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_Toc79163870 \h </w:instrText>
      </w:r>
      <w:r>
        <w:rPr>
          <w:rFonts w:ascii="仿宋" w:hAnsi="仿宋" w:eastAsia="仿宋"/>
          <w:i w:val="0"/>
          <w:iCs w:val="0"/>
          <w:smallCaps/>
        </w:rPr>
        <w:fldChar w:fldCharType="separate"/>
      </w:r>
      <w:r>
        <w:rPr>
          <w:rFonts w:ascii="仿宋" w:hAnsi="仿宋" w:eastAsia="仿宋"/>
          <w:i w:val="0"/>
          <w:iCs w:val="0"/>
          <w:smallCaps/>
        </w:rPr>
        <w:t>15</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（二）“三公”经费财政拨款支出决算具体情况说明</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_Toc79163871 \h </w:instrText>
      </w:r>
      <w:r>
        <w:rPr>
          <w:rFonts w:ascii="仿宋" w:hAnsi="仿宋" w:eastAsia="仿宋"/>
          <w:i w:val="0"/>
          <w:iCs w:val="0"/>
          <w:smallCaps/>
        </w:rPr>
        <w:fldChar w:fldCharType="separate"/>
      </w:r>
      <w:r>
        <w:rPr>
          <w:rFonts w:ascii="仿宋" w:hAnsi="仿宋" w:eastAsia="仿宋"/>
          <w:i w:val="0"/>
          <w:iCs w:val="0"/>
          <w:smallCaps/>
        </w:rPr>
        <w:t>15</w:t>
      </w:r>
      <w:r>
        <w:rPr>
          <w:rFonts w:ascii="仿宋" w:hAnsi="仿宋" w:eastAsia="仿宋"/>
          <w:i w:val="0"/>
          <w:iCs w:val="0"/>
          <w:smallCaps/>
        </w:rPr>
        <w:fldChar w:fldCharType="end"/>
      </w:r>
    </w:p>
    <w:p>
      <w:pPr>
        <w:pStyle w:val="16"/>
        <w:tabs>
          <w:tab w:val="right" w:leader="dot" w:pos="8296"/>
        </w:tabs>
        <w:rPr>
          <w:rFonts w:ascii="仿宋" w:hAnsi="仿宋" w:eastAsia="仿宋"/>
        </w:rPr>
      </w:pPr>
      <w:r>
        <w:rPr>
          <w:rFonts w:ascii="仿宋" w:hAnsi="仿宋" w:eastAsia="仿宋"/>
        </w:rPr>
        <w:t>八、政府性基金预算支出决算情况说明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_Toc79163872 \h </w:instrText>
      </w:r>
      <w:r>
        <w:rPr>
          <w:rFonts w:ascii="仿宋" w:hAnsi="仿宋" w:eastAsia="仿宋"/>
        </w:rPr>
        <w:fldChar w:fldCharType="separate"/>
      </w:r>
      <w:r>
        <w:rPr>
          <w:rFonts w:ascii="仿宋" w:hAnsi="仿宋" w:eastAsia="仿宋"/>
        </w:rPr>
        <w:t>17</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九、 国有资本经营预算支出决算情况说明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_Toc79163873 \h </w:instrText>
      </w:r>
      <w:r>
        <w:rPr>
          <w:rFonts w:ascii="仿宋" w:hAnsi="仿宋" w:eastAsia="仿宋"/>
        </w:rPr>
        <w:fldChar w:fldCharType="separate"/>
      </w:r>
      <w:r>
        <w:rPr>
          <w:rFonts w:ascii="仿宋" w:hAnsi="仿宋" w:eastAsia="仿宋"/>
        </w:rPr>
        <w:t>17</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十、其他重要事项的情况说明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_Toc79163874 \h </w:instrText>
      </w:r>
      <w:r>
        <w:rPr>
          <w:rFonts w:ascii="仿宋" w:hAnsi="仿宋" w:eastAsia="仿宋"/>
        </w:rPr>
        <w:fldChar w:fldCharType="separate"/>
      </w:r>
      <w:r>
        <w:rPr>
          <w:rFonts w:ascii="仿宋" w:hAnsi="仿宋" w:eastAsia="仿宋"/>
        </w:rPr>
        <w:t>17</w:t>
      </w:r>
      <w:r>
        <w:rPr>
          <w:rFonts w:ascii="仿宋" w:hAnsi="仿宋" w:eastAsia="仿宋"/>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（一）机关运行经费支出情况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_Toc79163875 \h </w:instrText>
      </w:r>
      <w:r>
        <w:rPr>
          <w:rFonts w:ascii="仿宋" w:hAnsi="仿宋" w:eastAsia="仿宋"/>
          <w:i w:val="0"/>
          <w:iCs w:val="0"/>
          <w:smallCaps/>
        </w:rPr>
        <w:fldChar w:fldCharType="separate"/>
      </w:r>
      <w:r>
        <w:rPr>
          <w:rFonts w:ascii="仿宋" w:hAnsi="仿宋" w:eastAsia="仿宋"/>
          <w:i w:val="0"/>
          <w:iCs w:val="0"/>
          <w:smallCaps/>
        </w:rPr>
        <w:t>17</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（二）政府采购支出情况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_Toc79163876 \h </w:instrText>
      </w:r>
      <w:r>
        <w:rPr>
          <w:rFonts w:ascii="仿宋" w:hAnsi="仿宋" w:eastAsia="仿宋"/>
          <w:i w:val="0"/>
          <w:iCs w:val="0"/>
          <w:smallCaps/>
        </w:rPr>
        <w:fldChar w:fldCharType="separate"/>
      </w:r>
      <w:r>
        <w:rPr>
          <w:rFonts w:ascii="仿宋" w:hAnsi="仿宋" w:eastAsia="仿宋"/>
          <w:i w:val="0"/>
          <w:iCs w:val="0"/>
          <w:smallCaps/>
        </w:rPr>
        <w:t>17</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（三）国有资产占有使用情况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_Toc79163877 \h </w:instrText>
      </w:r>
      <w:r>
        <w:rPr>
          <w:rFonts w:ascii="仿宋" w:hAnsi="仿宋" w:eastAsia="仿宋"/>
          <w:i w:val="0"/>
          <w:iCs w:val="0"/>
          <w:smallCaps/>
        </w:rPr>
        <w:fldChar w:fldCharType="separate"/>
      </w:r>
      <w:r>
        <w:rPr>
          <w:rFonts w:ascii="仿宋" w:hAnsi="仿宋" w:eastAsia="仿宋"/>
          <w:i w:val="0"/>
          <w:iCs w:val="0"/>
          <w:smallCaps/>
        </w:rPr>
        <w:t>17</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（四）预算绩效管理情况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_Toc79163878 \h </w:instrText>
      </w:r>
      <w:r>
        <w:rPr>
          <w:rFonts w:ascii="仿宋" w:hAnsi="仿宋" w:eastAsia="仿宋"/>
          <w:i w:val="0"/>
          <w:iCs w:val="0"/>
          <w:smallCaps/>
        </w:rPr>
        <w:fldChar w:fldCharType="separate"/>
      </w:r>
      <w:r>
        <w:rPr>
          <w:rFonts w:ascii="仿宋" w:hAnsi="仿宋" w:eastAsia="仿宋"/>
          <w:i w:val="0"/>
          <w:iCs w:val="0"/>
          <w:smallCaps/>
        </w:rPr>
        <w:t>18</w:t>
      </w:r>
      <w:r>
        <w:rPr>
          <w:rFonts w:ascii="仿宋" w:hAnsi="仿宋" w:eastAsia="仿宋"/>
          <w:i w:val="0"/>
          <w:iCs w:val="0"/>
          <w:smallCaps/>
        </w:rPr>
        <w:fldChar w:fldCharType="end"/>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第三部分 名词解释</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_Toc79163879 \h </w:instrText>
      </w:r>
      <w:r>
        <w:rPr>
          <w:rFonts w:ascii="仿宋" w:hAnsi="仿宋" w:eastAsia="仿宋"/>
          <w:b w:val="0"/>
          <w:bCs w:val="0"/>
          <w:caps w:val="0"/>
          <w:smallCaps/>
        </w:rPr>
        <w:fldChar w:fldCharType="separate"/>
      </w:r>
      <w:r>
        <w:rPr>
          <w:rFonts w:ascii="仿宋" w:hAnsi="仿宋" w:eastAsia="仿宋"/>
          <w:b w:val="0"/>
          <w:bCs w:val="0"/>
          <w:caps w:val="0"/>
          <w:smallCaps/>
        </w:rPr>
        <w:t>23</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第四部分 附件</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_Toc79163880 \h </w:instrText>
      </w:r>
      <w:r>
        <w:rPr>
          <w:rFonts w:ascii="仿宋" w:hAnsi="仿宋" w:eastAsia="仿宋"/>
          <w:b w:val="0"/>
          <w:bCs w:val="0"/>
          <w:caps w:val="0"/>
          <w:smallCaps/>
        </w:rPr>
        <w:fldChar w:fldCharType="separate"/>
      </w:r>
      <w:r>
        <w:rPr>
          <w:rFonts w:ascii="仿宋" w:hAnsi="仿宋" w:eastAsia="仿宋"/>
          <w:b w:val="0"/>
          <w:bCs w:val="0"/>
          <w:caps w:val="0"/>
          <w:smallCaps/>
        </w:rPr>
        <w:t>26</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附件1</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_Toc79163881 \h </w:instrText>
      </w:r>
      <w:r>
        <w:rPr>
          <w:rFonts w:ascii="仿宋" w:hAnsi="仿宋" w:eastAsia="仿宋"/>
          <w:b w:val="0"/>
          <w:bCs w:val="0"/>
          <w:caps w:val="0"/>
          <w:smallCaps/>
        </w:rPr>
        <w:fldChar w:fldCharType="separate"/>
      </w:r>
      <w:r>
        <w:rPr>
          <w:rFonts w:ascii="仿宋" w:hAnsi="仿宋" w:eastAsia="仿宋"/>
          <w:b w:val="0"/>
          <w:bCs w:val="0"/>
          <w:caps w:val="0"/>
          <w:smallCaps/>
        </w:rPr>
        <w:t>26</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XX部门2020年部门整体支出绩效评价报告</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_Toc79163882 \h </w:instrText>
      </w:r>
      <w:r>
        <w:rPr>
          <w:rFonts w:ascii="仿宋" w:hAnsi="仿宋" w:eastAsia="仿宋"/>
          <w:b w:val="0"/>
          <w:bCs w:val="0"/>
          <w:caps w:val="0"/>
          <w:smallCaps/>
        </w:rPr>
        <w:fldChar w:fldCharType="separate"/>
      </w:r>
      <w:r>
        <w:rPr>
          <w:rFonts w:ascii="仿宋" w:hAnsi="仿宋" w:eastAsia="仿宋"/>
          <w:b w:val="0"/>
          <w:bCs w:val="0"/>
          <w:caps w:val="0"/>
          <w:smallCaps/>
        </w:rPr>
        <w:t>26</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附件2</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_Toc79163883 \h </w:instrText>
      </w:r>
      <w:r>
        <w:rPr>
          <w:rFonts w:ascii="仿宋" w:hAnsi="仿宋" w:eastAsia="仿宋"/>
          <w:b w:val="0"/>
          <w:bCs w:val="0"/>
          <w:caps w:val="0"/>
          <w:smallCaps/>
        </w:rPr>
        <w:fldChar w:fldCharType="separate"/>
      </w:r>
      <w:r>
        <w:rPr>
          <w:rFonts w:ascii="仿宋" w:hAnsi="仿宋" w:eastAsia="仿宋"/>
          <w:b w:val="0"/>
          <w:bCs w:val="0"/>
          <w:caps w:val="0"/>
          <w:smallCaps/>
        </w:rPr>
        <w:t>32</w:t>
      </w:r>
      <w:r>
        <w:rPr>
          <w:rFonts w:ascii="仿宋" w:hAnsi="仿宋" w:eastAsia="仿宋"/>
          <w:b w:val="0"/>
          <w:bCs w:val="0"/>
          <w:caps w:val="0"/>
          <w:smallCaps/>
        </w:rPr>
        <w:fldChar w:fldCharType="end"/>
      </w:r>
    </w:p>
    <w:p>
      <w:pPr>
        <w:pStyle w:val="13"/>
        <w:tabs>
          <w:tab w:val="right" w:leader="dot" w:pos="8296"/>
        </w:tabs>
        <w:rPr>
          <w:rFonts w:hint="eastAsia" w:ascii="仿宋" w:hAnsi="仿宋" w:eastAsia="仿宋"/>
          <w:b w:val="0"/>
          <w:bCs w:val="0"/>
          <w:caps w:val="0"/>
          <w:smallCaps/>
          <w:lang w:val="en-US" w:eastAsia="zh-CN"/>
        </w:rPr>
      </w:pPr>
      <w:r>
        <w:rPr>
          <w:rFonts w:ascii="仿宋" w:hAnsi="仿宋" w:eastAsia="仿宋"/>
          <w:b w:val="0"/>
          <w:bCs w:val="0"/>
          <w:caps w:val="0"/>
          <w:smallCaps/>
        </w:rPr>
        <w:t>XXX项目2020年绩效评价报告</w:t>
      </w:r>
      <w:r>
        <w:rPr>
          <w:rFonts w:ascii="仿宋" w:hAnsi="仿宋" w:eastAsia="仿宋"/>
          <w:b w:val="0"/>
          <w:bCs w:val="0"/>
          <w:caps w:val="0"/>
          <w:smallCaps/>
        </w:rPr>
        <w:tab/>
      </w:r>
      <w:r>
        <w:rPr>
          <w:rFonts w:hint="eastAsia" w:ascii="仿宋" w:hAnsi="仿宋" w:eastAsia="仿宋"/>
          <w:b w:val="0"/>
          <w:bCs w:val="0"/>
          <w:caps w:val="0"/>
          <w:smallCaps/>
          <w:lang w:val="en-US" w:eastAsia="zh-CN"/>
        </w:rPr>
        <w:t>41</w:t>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第五部分 附表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_Toc79163885 \h </w:instrText>
      </w:r>
      <w:r>
        <w:rPr>
          <w:rFonts w:ascii="仿宋" w:hAnsi="仿宋" w:eastAsia="仿宋"/>
          <w:b w:val="0"/>
          <w:bCs w:val="0"/>
          <w:caps w:val="0"/>
          <w:smallCaps/>
        </w:rPr>
        <w:fldChar w:fldCharType="separate"/>
      </w:r>
      <w:r>
        <w:rPr>
          <w:rFonts w:ascii="仿宋" w:hAnsi="仿宋" w:eastAsia="仿宋"/>
          <w:b w:val="0"/>
          <w:bCs w:val="0"/>
          <w:caps w:val="0"/>
          <w:smallCaps/>
        </w:rPr>
        <w:t>41</w:t>
      </w:r>
      <w:r>
        <w:rPr>
          <w:rFonts w:ascii="仿宋" w:hAnsi="仿宋" w:eastAsia="仿宋"/>
          <w:b w:val="0"/>
          <w:bCs w:val="0"/>
          <w:caps w:val="0"/>
          <w:smallCaps/>
        </w:rPr>
        <w:fldChar w:fldCharType="end"/>
      </w:r>
    </w:p>
    <w:p>
      <w:pPr>
        <w:pStyle w:val="16"/>
        <w:tabs>
          <w:tab w:val="right" w:leader="dot" w:pos="8296"/>
        </w:tabs>
        <w:rPr>
          <w:rFonts w:ascii="仿宋" w:hAnsi="仿宋" w:eastAsia="仿宋"/>
        </w:rPr>
      </w:pPr>
      <w:r>
        <w:rPr>
          <w:rFonts w:ascii="仿宋" w:hAnsi="仿宋" w:eastAsia="仿宋"/>
        </w:rPr>
        <w:t>一、收入支出决算总表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_Toc79163886 \h </w:instrText>
      </w:r>
      <w:r>
        <w:rPr>
          <w:rFonts w:ascii="仿宋" w:hAnsi="仿宋" w:eastAsia="仿宋"/>
        </w:rPr>
        <w:fldChar w:fldCharType="separate"/>
      </w:r>
      <w:r>
        <w:rPr>
          <w:rFonts w:ascii="仿宋" w:hAnsi="仿宋" w:eastAsia="仿宋"/>
        </w:rPr>
        <w:t>41</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二、收入决算表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_Toc79163887 \h </w:instrText>
      </w:r>
      <w:r>
        <w:rPr>
          <w:rFonts w:ascii="仿宋" w:hAnsi="仿宋" w:eastAsia="仿宋"/>
        </w:rPr>
        <w:fldChar w:fldCharType="separate"/>
      </w:r>
      <w:r>
        <w:rPr>
          <w:rFonts w:ascii="仿宋" w:hAnsi="仿宋" w:eastAsia="仿宋"/>
        </w:rPr>
        <w:t>41</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三、支出决算表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_Toc79163888 \h </w:instrText>
      </w:r>
      <w:r>
        <w:rPr>
          <w:rFonts w:ascii="仿宋" w:hAnsi="仿宋" w:eastAsia="仿宋"/>
        </w:rPr>
        <w:fldChar w:fldCharType="separate"/>
      </w:r>
      <w:r>
        <w:rPr>
          <w:rFonts w:ascii="仿宋" w:hAnsi="仿宋" w:eastAsia="仿宋"/>
        </w:rPr>
        <w:t>41</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四、财政拨款收入支出决算总表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_Toc79163889 \h </w:instrText>
      </w:r>
      <w:r>
        <w:rPr>
          <w:rFonts w:ascii="仿宋" w:hAnsi="仿宋" w:eastAsia="仿宋"/>
        </w:rPr>
        <w:fldChar w:fldCharType="separate"/>
      </w:r>
      <w:r>
        <w:rPr>
          <w:rFonts w:ascii="仿宋" w:hAnsi="仿宋" w:eastAsia="仿宋"/>
        </w:rPr>
        <w:t>41</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五、财政拨款支出决算明细表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_Toc79163890 \h </w:instrText>
      </w:r>
      <w:r>
        <w:rPr>
          <w:rFonts w:ascii="仿宋" w:hAnsi="仿宋" w:eastAsia="仿宋"/>
        </w:rPr>
        <w:fldChar w:fldCharType="separate"/>
      </w:r>
      <w:r>
        <w:rPr>
          <w:rFonts w:ascii="仿宋" w:hAnsi="仿宋" w:eastAsia="仿宋"/>
        </w:rPr>
        <w:t>41</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六、一般公共预算财政拨款支出决算表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_Toc79163891 \h </w:instrText>
      </w:r>
      <w:r>
        <w:rPr>
          <w:rFonts w:ascii="仿宋" w:hAnsi="仿宋" w:eastAsia="仿宋"/>
        </w:rPr>
        <w:fldChar w:fldCharType="separate"/>
      </w:r>
      <w:r>
        <w:rPr>
          <w:rFonts w:ascii="仿宋" w:hAnsi="仿宋" w:eastAsia="仿宋"/>
        </w:rPr>
        <w:t>41</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七、一般公共预算财政拨款支出决算明细表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_Toc79163892 \h </w:instrText>
      </w:r>
      <w:r>
        <w:rPr>
          <w:rFonts w:ascii="仿宋" w:hAnsi="仿宋" w:eastAsia="仿宋"/>
        </w:rPr>
        <w:fldChar w:fldCharType="separate"/>
      </w:r>
      <w:r>
        <w:rPr>
          <w:rFonts w:ascii="仿宋" w:hAnsi="仿宋" w:eastAsia="仿宋"/>
        </w:rPr>
        <w:t>41</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八、一般公共预算财政拨款基本支出决算表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_Toc79163893 \h </w:instrText>
      </w:r>
      <w:r>
        <w:rPr>
          <w:rFonts w:ascii="仿宋" w:hAnsi="仿宋" w:eastAsia="仿宋"/>
        </w:rPr>
        <w:fldChar w:fldCharType="separate"/>
      </w:r>
      <w:r>
        <w:rPr>
          <w:rFonts w:ascii="仿宋" w:hAnsi="仿宋" w:eastAsia="仿宋"/>
        </w:rPr>
        <w:t>41</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九、一般公共预算财政拨款项目支出决算表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_Toc79163894 \h </w:instrText>
      </w:r>
      <w:r>
        <w:rPr>
          <w:rFonts w:ascii="仿宋" w:hAnsi="仿宋" w:eastAsia="仿宋"/>
        </w:rPr>
        <w:fldChar w:fldCharType="separate"/>
      </w:r>
      <w:r>
        <w:rPr>
          <w:rFonts w:ascii="仿宋" w:hAnsi="仿宋" w:eastAsia="仿宋"/>
        </w:rPr>
        <w:t>41</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十、一般公共预算财政拨款“三公”经费支出决算表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_Toc79163895 \h </w:instrText>
      </w:r>
      <w:r>
        <w:rPr>
          <w:rFonts w:ascii="仿宋" w:hAnsi="仿宋" w:eastAsia="仿宋"/>
        </w:rPr>
        <w:fldChar w:fldCharType="separate"/>
      </w:r>
      <w:r>
        <w:rPr>
          <w:rFonts w:ascii="仿宋" w:hAnsi="仿宋" w:eastAsia="仿宋"/>
        </w:rPr>
        <w:t>41</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十一、政府性基金预算财政拨款收入支出决算表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_Toc79163896 \h </w:instrText>
      </w:r>
      <w:r>
        <w:rPr>
          <w:rFonts w:ascii="仿宋" w:hAnsi="仿宋" w:eastAsia="仿宋"/>
        </w:rPr>
        <w:fldChar w:fldCharType="separate"/>
      </w:r>
      <w:r>
        <w:rPr>
          <w:rFonts w:ascii="仿宋" w:hAnsi="仿宋" w:eastAsia="仿宋"/>
        </w:rPr>
        <w:t>41</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十二、政府性基金预算财政拨款“三公”经费支出决算表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_Toc79163897 \h </w:instrText>
      </w:r>
      <w:r>
        <w:rPr>
          <w:rFonts w:ascii="仿宋" w:hAnsi="仿宋" w:eastAsia="仿宋"/>
        </w:rPr>
        <w:fldChar w:fldCharType="separate"/>
      </w:r>
      <w:r>
        <w:rPr>
          <w:rFonts w:ascii="仿宋" w:hAnsi="仿宋" w:eastAsia="仿宋"/>
        </w:rPr>
        <w:t>41</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十三、国有资本经营预算财政拨款支出决算表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_Toc79163898 \h </w:instrText>
      </w:r>
      <w:r>
        <w:rPr>
          <w:rFonts w:ascii="仿宋" w:hAnsi="仿宋" w:eastAsia="仿宋"/>
        </w:rPr>
        <w:fldChar w:fldCharType="separate"/>
      </w:r>
      <w:r>
        <w:rPr>
          <w:rFonts w:ascii="仿宋" w:hAnsi="仿宋" w:eastAsia="仿宋"/>
        </w:rPr>
        <w:t>41</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十四、国有资本经营预算财政拨款支出决算表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_Toc79163899 \h </w:instrText>
      </w:r>
      <w:r>
        <w:rPr>
          <w:rFonts w:ascii="仿宋" w:hAnsi="仿宋" w:eastAsia="仿宋"/>
        </w:rPr>
        <w:fldChar w:fldCharType="separate"/>
      </w:r>
      <w:r>
        <w:rPr>
          <w:rFonts w:ascii="仿宋" w:hAnsi="仿宋" w:eastAsia="仿宋"/>
        </w:rPr>
        <w:t>41</w:t>
      </w:r>
      <w:r>
        <w:rPr>
          <w:rFonts w:ascii="仿宋" w:hAnsi="仿宋" w:eastAsia="仿宋"/>
        </w:rPr>
        <w:fldChar w:fldCharType="end"/>
      </w:r>
    </w:p>
    <w:p>
      <w:r>
        <w:rPr>
          <w:rFonts w:ascii="仿宋" w:hAnsi="仿宋" w:eastAsia="仿宋"/>
          <w:smallCaps/>
          <w:sz w:val="20"/>
          <w:szCs w:val="2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Style w:val="22"/>
          <w:rFonts w:ascii="黑体" w:hAnsi="黑体" w:eastAsia="黑体"/>
          <w:b/>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2"/>
          <w:rFonts w:hint="eastAsia" w:ascii="黑体" w:hAnsi="黑体" w:eastAsia="黑体"/>
          <w:b w:val="0"/>
          <w:bCs w:val="0"/>
        </w:rPr>
        <w:t>部门概况</w:t>
      </w:r>
      <w:bookmarkEnd w:id="12"/>
      <w:bookmarkEnd w:id="13"/>
      <w:bookmarkEnd w:id="14"/>
      <w:bookmarkEnd w:id="15"/>
    </w:p>
    <w:p>
      <w:pPr>
        <w:pStyle w:val="3"/>
        <w:rPr>
          <w:rStyle w:val="23"/>
          <w:rFonts w:ascii="仿宋" w:hAnsi="仿宋" w:eastAsia="仿宋"/>
          <w:b w:val="0"/>
          <w:bCs w:val="0"/>
        </w:rPr>
      </w:pPr>
      <w:bookmarkStart w:id="16" w:name="_Toc79163602"/>
      <w:bookmarkStart w:id="17" w:name="_Toc79163852"/>
      <w:bookmarkStart w:id="18" w:name="_Toc15377197"/>
      <w:bookmarkStart w:id="19" w:name="_Toc15396600"/>
      <w:r>
        <w:rPr>
          <w:rFonts w:hint="eastAsia" w:ascii="黑体" w:hAnsi="黑体" w:eastAsia="黑体"/>
          <w:b w:val="0"/>
          <w:color w:val="000000"/>
        </w:rPr>
        <w:t>一、基</w:t>
      </w:r>
      <w:r>
        <w:rPr>
          <w:rStyle w:val="23"/>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560" w:lineRule="atLeast"/>
        <w:ind w:firstLine="643" w:firstLineChars="200"/>
        <w:outlineLvl w:val="2"/>
        <w:rPr>
          <w:rFonts w:hint="eastAsia" w:ascii="楷体" w:hAnsi="楷体" w:eastAsia="楷体"/>
          <w:b/>
          <w:bCs/>
          <w:color w:val="000000"/>
          <w:sz w:val="32"/>
          <w:szCs w:val="32"/>
          <w:lang w:val="en-US" w:eastAsia="zh-CN"/>
        </w:rPr>
      </w:pPr>
      <w:bookmarkStart w:id="20" w:name="_Toc79163853"/>
      <w:bookmarkStart w:id="21" w:name="_Toc79163603"/>
      <w:bookmarkStart w:id="22" w:name="_Toc15377198"/>
      <w:bookmarkStart w:id="23" w:name="_Toc15378445"/>
      <w:r>
        <w:rPr>
          <w:rFonts w:hint="eastAsia" w:ascii="楷体" w:hAnsi="楷体" w:eastAsia="楷体"/>
          <w:b/>
          <w:bCs/>
          <w:color w:val="000000"/>
          <w:sz w:val="32"/>
          <w:szCs w:val="32"/>
          <w:lang w:val="en-US"/>
        </w:rPr>
        <w:t>（一）主要职能</w:t>
      </w:r>
      <w:bookmarkEnd w:id="20"/>
      <w:bookmarkEnd w:id="21"/>
    </w:p>
    <w:p>
      <w:pPr>
        <w:pStyle w:val="6"/>
        <w:adjustRightInd w:val="0"/>
        <w:snapToGrid w:val="0"/>
        <w:spacing w:before="93" w:line="560" w:lineRule="exact"/>
        <w:ind w:firstLine="640" w:firstLineChars="200"/>
        <w:rPr>
          <w:rFonts w:hint="eastAsia"/>
          <w:bCs/>
          <w:sz w:val="32"/>
          <w:szCs w:val="32"/>
          <w:lang w:val="en-US"/>
        </w:rPr>
      </w:pPr>
      <w:r>
        <w:rPr>
          <w:rFonts w:hint="eastAsia"/>
          <w:bCs/>
          <w:sz w:val="32"/>
          <w:szCs w:val="32"/>
          <w:lang w:val="en-US"/>
        </w:rPr>
        <w:t>1.贯彻执行党和国家的林业方针、政策、法律、法规、规章和有关决议、决定，结合我县的实际和国民经济发展的需要</w:t>
      </w:r>
      <w:r>
        <w:rPr>
          <w:rFonts w:hint="eastAsia"/>
          <w:bCs/>
          <w:sz w:val="32"/>
          <w:szCs w:val="32"/>
          <w:lang w:val="en-US" w:eastAsia="zh-CN"/>
        </w:rPr>
        <w:t>,</w:t>
      </w:r>
      <w:r>
        <w:rPr>
          <w:rFonts w:hint="eastAsia"/>
          <w:bCs/>
          <w:sz w:val="32"/>
          <w:szCs w:val="32"/>
          <w:lang w:val="en-US"/>
        </w:rPr>
        <w:t>制定相应的实施办法并组织实施</w:t>
      </w:r>
      <w:r>
        <w:rPr>
          <w:rFonts w:hint="eastAsia"/>
          <w:bCs/>
          <w:sz w:val="32"/>
          <w:szCs w:val="32"/>
          <w:lang w:val="en-US" w:eastAsia="zh-CN"/>
        </w:rPr>
        <w:t>,</w:t>
      </w:r>
      <w:r>
        <w:rPr>
          <w:rFonts w:hint="eastAsia"/>
          <w:bCs/>
          <w:sz w:val="32"/>
          <w:szCs w:val="32"/>
          <w:lang w:val="en-US"/>
        </w:rPr>
        <w:t>完善林业政策和管理制度。</w:t>
      </w:r>
    </w:p>
    <w:p>
      <w:pPr>
        <w:pStyle w:val="6"/>
        <w:adjustRightInd w:val="0"/>
        <w:snapToGrid w:val="0"/>
        <w:spacing w:before="93" w:line="560" w:lineRule="exact"/>
        <w:ind w:firstLine="640" w:firstLineChars="200"/>
        <w:rPr>
          <w:rFonts w:hint="eastAsia"/>
          <w:bCs/>
          <w:sz w:val="32"/>
          <w:szCs w:val="32"/>
          <w:lang w:val="en-US"/>
        </w:rPr>
      </w:pPr>
      <w:r>
        <w:rPr>
          <w:rFonts w:hint="eastAsia"/>
          <w:bCs/>
          <w:sz w:val="32"/>
          <w:szCs w:val="32"/>
          <w:lang w:val="en-US"/>
        </w:rPr>
        <w:t>2.编制全县林业发展的中长期规划和年度计划</w:t>
      </w:r>
      <w:r>
        <w:rPr>
          <w:rFonts w:hint="eastAsia"/>
          <w:bCs/>
          <w:sz w:val="32"/>
          <w:szCs w:val="32"/>
          <w:lang w:val="en-US" w:eastAsia="zh-CN"/>
        </w:rPr>
        <w:t>,</w:t>
      </w:r>
      <w:r>
        <w:rPr>
          <w:rFonts w:hint="eastAsia"/>
          <w:bCs/>
          <w:sz w:val="32"/>
          <w:szCs w:val="32"/>
          <w:lang w:val="en-US"/>
        </w:rPr>
        <w:t>负责林业信息的收集整理</w:t>
      </w:r>
      <w:r>
        <w:rPr>
          <w:rFonts w:hint="eastAsia"/>
          <w:bCs/>
          <w:sz w:val="32"/>
          <w:szCs w:val="32"/>
          <w:lang w:val="en-US" w:eastAsia="zh-CN"/>
        </w:rPr>
        <w:t>,</w:t>
      </w:r>
      <w:r>
        <w:rPr>
          <w:rFonts w:hint="eastAsia"/>
          <w:bCs/>
          <w:sz w:val="32"/>
          <w:szCs w:val="32"/>
          <w:lang w:val="en-US"/>
        </w:rPr>
        <w:t>指导、协调林业生产建设总体布局</w:t>
      </w:r>
      <w:r>
        <w:rPr>
          <w:rFonts w:hint="eastAsia"/>
          <w:bCs/>
          <w:sz w:val="32"/>
          <w:szCs w:val="32"/>
          <w:lang w:val="en-US" w:eastAsia="zh-CN"/>
        </w:rPr>
        <w:t>,</w:t>
      </w:r>
      <w:r>
        <w:rPr>
          <w:rFonts w:hint="eastAsia"/>
          <w:bCs/>
          <w:sz w:val="32"/>
          <w:szCs w:val="32"/>
          <w:lang w:val="en-US"/>
        </w:rPr>
        <w:t>林业产业结构调整</w:t>
      </w:r>
      <w:r>
        <w:rPr>
          <w:rFonts w:hint="eastAsia"/>
          <w:bCs/>
          <w:sz w:val="32"/>
          <w:szCs w:val="32"/>
          <w:lang w:val="en-US" w:eastAsia="zh-CN"/>
        </w:rPr>
        <w:t>,</w:t>
      </w:r>
      <w:r>
        <w:rPr>
          <w:rFonts w:hint="eastAsia"/>
          <w:bCs/>
          <w:sz w:val="32"/>
          <w:szCs w:val="32"/>
          <w:lang w:val="en-US"/>
        </w:rPr>
        <w:t>森林资源和规划计划的实施</w:t>
      </w:r>
      <w:r>
        <w:rPr>
          <w:rFonts w:hint="eastAsia"/>
          <w:bCs/>
          <w:sz w:val="32"/>
          <w:szCs w:val="32"/>
          <w:lang w:val="en-US" w:eastAsia="zh-CN"/>
        </w:rPr>
        <w:t>,</w:t>
      </w:r>
      <w:r>
        <w:rPr>
          <w:rFonts w:hint="eastAsia"/>
          <w:bCs/>
          <w:sz w:val="32"/>
          <w:szCs w:val="32"/>
          <w:lang w:val="en-US"/>
        </w:rPr>
        <w:t>并指导林业企业产权制度改革和林业经济体制改革。</w:t>
      </w:r>
    </w:p>
    <w:p>
      <w:pPr>
        <w:pStyle w:val="6"/>
        <w:adjustRightInd w:val="0"/>
        <w:snapToGrid w:val="0"/>
        <w:spacing w:before="93" w:line="560" w:lineRule="exact"/>
        <w:ind w:firstLine="640" w:firstLineChars="200"/>
        <w:rPr>
          <w:rFonts w:hint="eastAsia"/>
          <w:bCs/>
          <w:sz w:val="32"/>
          <w:szCs w:val="32"/>
          <w:lang w:val="en-US"/>
        </w:rPr>
      </w:pPr>
      <w:r>
        <w:rPr>
          <w:rFonts w:hint="eastAsia"/>
          <w:bCs/>
          <w:sz w:val="32"/>
          <w:szCs w:val="32"/>
          <w:lang w:val="en-US"/>
        </w:rPr>
        <w:t>3.主管全县森林资源</w:t>
      </w:r>
      <w:r>
        <w:rPr>
          <w:rFonts w:hint="eastAsia"/>
          <w:bCs/>
          <w:sz w:val="32"/>
          <w:szCs w:val="32"/>
          <w:lang w:val="en-US" w:eastAsia="zh-CN"/>
        </w:rPr>
        <w:t>,</w:t>
      </w:r>
      <w:r>
        <w:rPr>
          <w:rFonts w:hint="eastAsia"/>
          <w:bCs/>
          <w:sz w:val="32"/>
          <w:szCs w:val="32"/>
          <w:lang w:val="en-US"/>
        </w:rPr>
        <w:t>负责森林资源保护管理的基础设施建设</w:t>
      </w:r>
      <w:r>
        <w:rPr>
          <w:rFonts w:hint="eastAsia"/>
          <w:bCs/>
          <w:sz w:val="32"/>
          <w:szCs w:val="32"/>
          <w:lang w:val="en-US" w:eastAsia="zh-CN"/>
        </w:rPr>
        <w:t>,</w:t>
      </w:r>
      <w:r>
        <w:rPr>
          <w:rFonts w:hint="eastAsia"/>
          <w:bCs/>
          <w:sz w:val="32"/>
          <w:szCs w:val="32"/>
          <w:lang w:val="en-US"/>
        </w:rPr>
        <w:t>编制和执行采伐限额</w:t>
      </w:r>
      <w:r>
        <w:rPr>
          <w:rFonts w:hint="eastAsia"/>
          <w:bCs/>
          <w:sz w:val="32"/>
          <w:szCs w:val="32"/>
          <w:lang w:val="en-US" w:eastAsia="zh-CN"/>
        </w:rPr>
        <w:t>,</w:t>
      </w:r>
      <w:r>
        <w:rPr>
          <w:rFonts w:hint="eastAsia"/>
          <w:bCs/>
          <w:sz w:val="32"/>
          <w:szCs w:val="32"/>
          <w:lang w:val="en-US"/>
        </w:rPr>
        <w:t>监督检查木材凭证采伐</w:t>
      </w:r>
      <w:r>
        <w:rPr>
          <w:rFonts w:hint="eastAsia"/>
          <w:bCs/>
          <w:sz w:val="32"/>
          <w:szCs w:val="32"/>
          <w:lang w:val="en-US" w:eastAsia="zh-CN"/>
        </w:rPr>
        <w:t>,</w:t>
      </w:r>
      <w:r>
        <w:rPr>
          <w:rFonts w:hint="eastAsia"/>
          <w:bCs/>
          <w:sz w:val="32"/>
          <w:szCs w:val="32"/>
          <w:lang w:val="en-US"/>
        </w:rPr>
        <w:t>加工运输、供应等林政管理工作</w:t>
      </w:r>
      <w:r>
        <w:rPr>
          <w:rFonts w:hint="eastAsia"/>
          <w:bCs/>
          <w:sz w:val="32"/>
          <w:szCs w:val="32"/>
          <w:lang w:val="en-US" w:eastAsia="zh-CN"/>
        </w:rPr>
        <w:t>,</w:t>
      </w:r>
      <w:r>
        <w:rPr>
          <w:rFonts w:hint="eastAsia"/>
          <w:bCs/>
          <w:sz w:val="32"/>
          <w:szCs w:val="32"/>
          <w:lang w:val="en-US"/>
        </w:rPr>
        <w:t>负责林地、林权管理及征占用林地的清查、初审</w:t>
      </w:r>
      <w:r>
        <w:rPr>
          <w:rFonts w:hint="eastAsia"/>
          <w:bCs/>
          <w:sz w:val="32"/>
          <w:szCs w:val="32"/>
          <w:lang w:val="en-US" w:eastAsia="zh-CN"/>
        </w:rPr>
        <w:t>,</w:t>
      </w:r>
      <w:r>
        <w:rPr>
          <w:rFonts w:hint="eastAsia"/>
          <w:bCs/>
          <w:sz w:val="32"/>
          <w:szCs w:val="32"/>
          <w:lang w:val="en-US"/>
        </w:rPr>
        <w:t>主管森林资源有偿使用并监督林地开发利用</w:t>
      </w:r>
      <w:r>
        <w:rPr>
          <w:rFonts w:hint="eastAsia"/>
          <w:bCs/>
          <w:sz w:val="32"/>
          <w:szCs w:val="32"/>
          <w:lang w:val="en-US" w:eastAsia="zh-CN"/>
        </w:rPr>
        <w:t>,</w:t>
      </w:r>
      <w:r>
        <w:rPr>
          <w:rFonts w:hint="eastAsia"/>
          <w:bCs/>
          <w:sz w:val="32"/>
          <w:szCs w:val="32"/>
          <w:lang w:val="en-US"/>
        </w:rPr>
        <w:t>负责国有森林资源管理。</w:t>
      </w:r>
    </w:p>
    <w:p>
      <w:pPr>
        <w:pStyle w:val="6"/>
        <w:adjustRightInd w:val="0"/>
        <w:snapToGrid w:val="0"/>
        <w:spacing w:before="93" w:line="560" w:lineRule="exact"/>
        <w:ind w:firstLine="640" w:firstLineChars="200"/>
        <w:rPr>
          <w:rFonts w:hint="eastAsia"/>
          <w:bCs/>
          <w:sz w:val="32"/>
          <w:szCs w:val="32"/>
          <w:lang w:val="en-US"/>
        </w:rPr>
      </w:pPr>
      <w:r>
        <w:rPr>
          <w:rFonts w:hint="eastAsia"/>
          <w:bCs/>
          <w:sz w:val="32"/>
          <w:szCs w:val="32"/>
          <w:lang w:val="en-US"/>
        </w:rPr>
        <w:t>4.负责指导全县天然林资源保护工程、生态环境治理工程、退耕还林(草)工程的实施</w:t>
      </w:r>
      <w:r>
        <w:rPr>
          <w:rFonts w:hint="eastAsia"/>
          <w:bCs/>
          <w:sz w:val="32"/>
          <w:szCs w:val="32"/>
          <w:lang w:val="en-US" w:eastAsia="zh-CN"/>
        </w:rPr>
        <w:t>,</w:t>
      </w:r>
      <w:r>
        <w:rPr>
          <w:rFonts w:hint="eastAsia"/>
          <w:bCs/>
          <w:sz w:val="32"/>
          <w:szCs w:val="32"/>
          <w:lang w:val="en-US"/>
        </w:rPr>
        <w:t>组织实施全县植树造林、国土绿化、防沙治沙及各类林业基地及工程项目建设</w:t>
      </w:r>
      <w:r>
        <w:rPr>
          <w:rFonts w:hint="eastAsia"/>
          <w:bCs/>
          <w:sz w:val="32"/>
          <w:szCs w:val="32"/>
          <w:lang w:val="en-US" w:eastAsia="zh-CN"/>
        </w:rPr>
        <w:t>,</w:t>
      </w:r>
      <w:r>
        <w:rPr>
          <w:rFonts w:hint="eastAsia"/>
          <w:bCs/>
          <w:sz w:val="32"/>
          <w:szCs w:val="32"/>
          <w:lang w:val="en-US"/>
        </w:rPr>
        <w:t>对县属国有林场、苗圃、森林公园、自然保护区、集体林场实行宏观管理</w:t>
      </w:r>
      <w:r>
        <w:rPr>
          <w:rFonts w:hint="eastAsia"/>
          <w:bCs/>
          <w:sz w:val="32"/>
          <w:szCs w:val="32"/>
          <w:lang w:val="en-US" w:eastAsia="zh-CN"/>
        </w:rPr>
        <w:t>,</w:t>
      </w:r>
      <w:r>
        <w:rPr>
          <w:rFonts w:hint="eastAsia"/>
          <w:bCs/>
          <w:sz w:val="32"/>
          <w:szCs w:val="32"/>
          <w:lang w:val="en-US"/>
        </w:rPr>
        <w:t>引进外援项目,组织实施环境建设、水土保持、农田基本建设等方面造林绿化和林果发展项目</w:t>
      </w:r>
      <w:r>
        <w:rPr>
          <w:rFonts w:hint="eastAsia"/>
          <w:bCs/>
          <w:sz w:val="32"/>
          <w:szCs w:val="32"/>
          <w:lang w:val="en-US" w:eastAsia="zh-CN"/>
        </w:rPr>
        <w:t>,</w:t>
      </w:r>
      <w:r>
        <w:rPr>
          <w:rFonts w:hint="eastAsia"/>
          <w:bCs/>
          <w:sz w:val="32"/>
          <w:szCs w:val="32"/>
          <w:lang w:val="en-US"/>
        </w:rPr>
        <w:t>指导和监督全县自用材和生活用材的采伐。</w:t>
      </w:r>
    </w:p>
    <w:p>
      <w:pPr>
        <w:pStyle w:val="6"/>
        <w:adjustRightInd w:val="0"/>
        <w:snapToGrid w:val="0"/>
        <w:spacing w:before="93" w:line="560" w:lineRule="exact"/>
        <w:ind w:firstLine="640" w:firstLineChars="200"/>
        <w:rPr>
          <w:rFonts w:hint="eastAsia"/>
          <w:bCs/>
          <w:sz w:val="32"/>
          <w:szCs w:val="32"/>
          <w:lang w:val="en-US"/>
        </w:rPr>
      </w:pPr>
      <w:r>
        <w:rPr>
          <w:rFonts w:hint="eastAsia"/>
          <w:bCs/>
          <w:sz w:val="32"/>
          <w:szCs w:val="32"/>
          <w:lang w:val="en-US"/>
        </w:rPr>
        <w:t>5.负责全县野生动物、植物资源的保护管理和合理开发利用</w:t>
      </w:r>
      <w:r>
        <w:rPr>
          <w:rFonts w:hint="eastAsia"/>
          <w:bCs/>
          <w:sz w:val="32"/>
          <w:szCs w:val="32"/>
          <w:lang w:val="en-US" w:eastAsia="zh-CN"/>
        </w:rPr>
        <w:t>,</w:t>
      </w:r>
      <w:r>
        <w:rPr>
          <w:rFonts w:hint="eastAsia"/>
          <w:bCs/>
          <w:sz w:val="32"/>
          <w:szCs w:val="32"/>
          <w:lang w:val="en-US"/>
        </w:rPr>
        <w:t>对宝顶沟自然保护区管理处工作进行指导</w:t>
      </w:r>
      <w:r>
        <w:rPr>
          <w:rFonts w:hint="eastAsia"/>
          <w:bCs/>
          <w:sz w:val="32"/>
          <w:szCs w:val="32"/>
          <w:lang w:val="en-US" w:eastAsia="zh-CN"/>
        </w:rPr>
        <w:t>,</w:t>
      </w:r>
      <w:r>
        <w:rPr>
          <w:rFonts w:hint="eastAsia"/>
          <w:bCs/>
          <w:sz w:val="32"/>
          <w:szCs w:val="32"/>
          <w:lang w:val="en-US"/>
        </w:rPr>
        <w:t>负责森林公园的规划、审批和上报审批、立项等工作。</w:t>
      </w:r>
    </w:p>
    <w:p>
      <w:pPr>
        <w:pStyle w:val="6"/>
        <w:adjustRightInd w:val="0"/>
        <w:snapToGrid w:val="0"/>
        <w:spacing w:before="93" w:line="560" w:lineRule="exact"/>
        <w:ind w:firstLine="640" w:firstLineChars="200"/>
        <w:rPr>
          <w:rFonts w:hint="eastAsia"/>
          <w:bCs/>
          <w:sz w:val="32"/>
          <w:szCs w:val="32"/>
          <w:lang w:val="en-US"/>
        </w:rPr>
      </w:pPr>
      <w:r>
        <w:rPr>
          <w:rFonts w:hint="eastAsia"/>
          <w:bCs/>
          <w:sz w:val="32"/>
          <w:szCs w:val="32"/>
          <w:lang w:val="en-US"/>
        </w:rPr>
        <w:t>6.指导和调控全县林业生产的发展</w:t>
      </w:r>
      <w:r>
        <w:rPr>
          <w:rFonts w:hint="eastAsia"/>
          <w:bCs/>
          <w:sz w:val="32"/>
          <w:szCs w:val="32"/>
          <w:lang w:val="en-US" w:eastAsia="zh-CN"/>
        </w:rPr>
        <w:t>,</w:t>
      </w:r>
      <w:r>
        <w:rPr>
          <w:rFonts w:hint="eastAsia"/>
          <w:bCs/>
          <w:sz w:val="32"/>
          <w:szCs w:val="32"/>
          <w:lang w:val="en-US"/>
        </w:rPr>
        <w:t>负责全县木材生产、采伐、运输、加工、综合利用，林产林化、森林旅游、木本药材等林业产业实行宏观管理、指导和监督</w:t>
      </w:r>
      <w:r>
        <w:rPr>
          <w:rFonts w:hint="eastAsia"/>
          <w:bCs/>
          <w:sz w:val="32"/>
          <w:szCs w:val="32"/>
          <w:lang w:val="en-US" w:eastAsia="zh-CN"/>
        </w:rPr>
        <w:t>,</w:t>
      </w:r>
      <w:r>
        <w:rPr>
          <w:rFonts w:hint="eastAsia"/>
          <w:bCs/>
          <w:sz w:val="32"/>
          <w:szCs w:val="32"/>
          <w:lang w:val="en-US"/>
        </w:rPr>
        <w:t>管理好林产品市场。</w:t>
      </w:r>
    </w:p>
    <w:p>
      <w:pPr>
        <w:pStyle w:val="6"/>
        <w:adjustRightInd w:val="0"/>
        <w:snapToGrid w:val="0"/>
        <w:spacing w:before="93" w:line="560" w:lineRule="exact"/>
        <w:ind w:firstLine="640" w:firstLineChars="200"/>
        <w:rPr>
          <w:rFonts w:hint="eastAsia"/>
          <w:bCs/>
          <w:sz w:val="32"/>
          <w:szCs w:val="32"/>
          <w:lang w:val="en-US"/>
        </w:rPr>
      </w:pPr>
      <w:r>
        <w:rPr>
          <w:rFonts w:hint="eastAsia"/>
          <w:bCs/>
          <w:sz w:val="32"/>
          <w:szCs w:val="32"/>
          <w:lang w:val="en-US"/>
        </w:rPr>
        <w:t>7.指导、监督全县林业系统财务工作</w:t>
      </w:r>
      <w:r>
        <w:rPr>
          <w:rFonts w:hint="eastAsia"/>
          <w:bCs/>
          <w:sz w:val="32"/>
          <w:szCs w:val="32"/>
          <w:lang w:val="en-US" w:eastAsia="zh-CN"/>
        </w:rPr>
        <w:t>,</w:t>
      </w:r>
      <w:r>
        <w:rPr>
          <w:rFonts w:hint="eastAsia"/>
          <w:bCs/>
          <w:sz w:val="32"/>
          <w:szCs w:val="32"/>
          <w:lang w:val="en-US"/>
        </w:rPr>
        <w:t>组织编制、上报或转报林业基本建设、多种经营、技术改造、转产项目并指导实施或直接组织实施。</w:t>
      </w:r>
    </w:p>
    <w:p>
      <w:pPr>
        <w:pStyle w:val="6"/>
        <w:adjustRightInd w:val="0"/>
        <w:snapToGrid w:val="0"/>
        <w:spacing w:before="93" w:line="560" w:lineRule="exact"/>
        <w:ind w:firstLine="640" w:firstLineChars="200"/>
        <w:rPr>
          <w:rFonts w:hint="eastAsia"/>
          <w:bCs/>
          <w:sz w:val="32"/>
          <w:szCs w:val="32"/>
          <w:lang w:val="en-US"/>
        </w:rPr>
      </w:pPr>
      <w:r>
        <w:rPr>
          <w:rFonts w:hint="eastAsia"/>
          <w:bCs/>
          <w:sz w:val="32"/>
          <w:szCs w:val="32"/>
          <w:lang w:val="en-US"/>
        </w:rPr>
        <w:t>8.管理林业执法体系建设和林业执法工作领导县森林公安局搞好全县森林公安队伍建设和森林公安工作</w:t>
      </w:r>
      <w:r>
        <w:rPr>
          <w:rFonts w:hint="eastAsia"/>
          <w:bCs/>
          <w:sz w:val="32"/>
          <w:szCs w:val="32"/>
          <w:lang w:val="en-US" w:eastAsia="zh-CN"/>
        </w:rPr>
        <w:t>,</w:t>
      </w:r>
      <w:r>
        <w:rPr>
          <w:rFonts w:hint="eastAsia"/>
          <w:bCs/>
          <w:sz w:val="32"/>
          <w:szCs w:val="32"/>
          <w:lang w:val="en-US"/>
        </w:rPr>
        <w:t>监督和查处破坏森林资源和野生动物资源的案(事)件</w:t>
      </w:r>
      <w:r>
        <w:rPr>
          <w:rFonts w:hint="eastAsia"/>
          <w:bCs/>
          <w:sz w:val="32"/>
          <w:szCs w:val="32"/>
          <w:lang w:val="en-US" w:eastAsia="zh-CN"/>
        </w:rPr>
        <w:t>,</w:t>
      </w:r>
      <w:r>
        <w:rPr>
          <w:rFonts w:hint="eastAsia"/>
          <w:bCs/>
          <w:sz w:val="32"/>
          <w:szCs w:val="32"/>
          <w:lang w:val="en-US"/>
        </w:rPr>
        <w:t>负责搞好全县森林防火、森林病虫鼠害防治、森林植物检疫、保护森林资源和维护林区治安。</w:t>
      </w:r>
    </w:p>
    <w:p>
      <w:pPr>
        <w:pStyle w:val="6"/>
        <w:adjustRightInd w:val="0"/>
        <w:snapToGrid w:val="0"/>
        <w:spacing w:before="93" w:line="560" w:lineRule="exact"/>
        <w:ind w:firstLine="640" w:firstLineChars="200"/>
        <w:rPr>
          <w:rFonts w:hint="eastAsia"/>
          <w:bCs/>
          <w:sz w:val="32"/>
          <w:szCs w:val="32"/>
          <w:lang w:val="en-US"/>
        </w:rPr>
      </w:pPr>
      <w:r>
        <w:rPr>
          <w:rFonts w:hint="eastAsia"/>
          <w:bCs/>
          <w:sz w:val="32"/>
          <w:szCs w:val="32"/>
          <w:lang w:val="en-US"/>
        </w:rPr>
        <w:t>9.制定林业科技发展规划</w:t>
      </w:r>
      <w:r>
        <w:rPr>
          <w:rFonts w:hint="eastAsia"/>
          <w:bCs/>
          <w:sz w:val="32"/>
          <w:szCs w:val="32"/>
          <w:lang w:val="en-US" w:eastAsia="zh-CN"/>
        </w:rPr>
        <w:t>,</w:t>
      </w:r>
      <w:r>
        <w:rPr>
          <w:rFonts w:hint="eastAsia"/>
          <w:bCs/>
          <w:sz w:val="32"/>
          <w:szCs w:val="32"/>
          <w:lang w:val="en-US"/>
        </w:rPr>
        <w:t>组织科技试验、研究、示范及技术培训</w:t>
      </w:r>
      <w:r>
        <w:rPr>
          <w:rFonts w:hint="eastAsia"/>
          <w:bCs/>
          <w:sz w:val="32"/>
          <w:szCs w:val="32"/>
          <w:lang w:val="en-US" w:eastAsia="zh-CN"/>
        </w:rPr>
        <w:t>,</w:t>
      </w:r>
      <w:r>
        <w:rPr>
          <w:rFonts w:hint="eastAsia"/>
          <w:bCs/>
          <w:sz w:val="32"/>
          <w:szCs w:val="32"/>
          <w:lang w:val="en-US"/>
        </w:rPr>
        <w:t>技术推广工作</w:t>
      </w:r>
      <w:r>
        <w:rPr>
          <w:rFonts w:hint="eastAsia"/>
          <w:bCs/>
          <w:sz w:val="32"/>
          <w:szCs w:val="32"/>
          <w:lang w:val="en-US" w:eastAsia="zh-CN"/>
        </w:rPr>
        <w:t>,</w:t>
      </w:r>
      <w:r>
        <w:rPr>
          <w:rFonts w:hint="eastAsia"/>
          <w:bCs/>
          <w:sz w:val="32"/>
          <w:szCs w:val="32"/>
          <w:lang w:val="en-US"/>
        </w:rPr>
        <w:t>负责全县林业教育和专业人才的培训、引进</w:t>
      </w:r>
      <w:r>
        <w:rPr>
          <w:rFonts w:hint="eastAsia"/>
          <w:bCs/>
          <w:sz w:val="32"/>
          <w:szCs w:val="32"/>
          <w:lang w:val="en-US" w:eastAsia="zh-CN"/>
        </w:rPr>
        <w:t>,</w:t>
      </w:r>
      <w:r>
        <w:rPr>
          <w:rFonts w:hint="eastAsia"/>
          <w:bCs/>
          <w:sz w:val="32"/>
          <w:szCs w:val="32"/>
          <w:lang w:val="en-US"/>
        </w:rPr>
        <w:t>负责管理局机关公务员、科技人员及直属企业、事业单位的干部职工</w:t>
      </w:r>
      <w:r>
        <w:rPr>
          <w:rFonts w:hint="eastAsia"/>
          <w:bCs/>
          <w:sz w:val="32"/>
          <w:szCs w:val="32"/>
          <w:lang w:val="en-US" w:eastAsia="zh-CN"/>
        </w:rPr>
        <w:t>,</w:t>
      </w:r>
      <w:r>
        <w:rPr>
          <w:rFonts w:hint="eastAsia"/>
          <w:bCs/>
          <w:sz w:val="32"/>
          <w:szCs w:val="32"/>
          <w:lang w:val="en-US"/>
        </w:rPr>
        <w:t>制定全县林业行业干部培训</w:t>
      </w:r>
      <w:r>
        <w:rPr>
          <w:rFonts w:hint="eastAsia"/>
          <w:bCs/>
          <w:sz w:val="32"/>
          <w:szCs w:val="32"/>
          <w:lang w:val="en-US" w:eastAsia="zh-CN"/>
        </w:rPr>
        <w:t>,</w:t>
      </w:r>
      <w:r>
        <w:rPr>
          <w:rFonts w:hint="eastAsia"/>
          <w:bCs/>
          <w:sz w:val="32"/>
          <w:szCs w:val="32"/>
          <w:lang w:val="en-US"/>
        </w:rPr>
        <w:t>人才培养的中长期计划和实施林业宣传动员工作。</w:t>
      </w:r>
    </w:p>
    <w:p>
      <w:pPr>
        <w:pStyle w:val="6"/>
        <w:adjustRightInd w:val="0"/>
        <w:snapToGrid w:val="0"/>
        <w:spacing w:before="93" w:line="560" w:lineRule="exact"/>
        <w:ind w:firstLine="640" w:firstLineChars="200"/>
        <w:rPr>
          <w:rFonts w:hint="eastAsia"/>
          <w:bCs/>
          <w:sz w:val="32"/>
          <w:szCs w:val="32"/>
          <w:lang w:val="en-US"/>
        </w:rPr>
      </w:pPr>
      <w:r>
        <w:rPr>
          <w:rFonts w:hint="eastAsia"/>
          <w:bCs/>
          <w:sz w:val="32"/>
          <w:szCs w:val="32"/>
          <w:lang w:val="en-US"/>
        </w:rPr>
        <w:t>10.负责规划、指导、实施山区林业综合开发</w:t>
      </w:r>
      <w:r>
        <w:rPr>
          <w:rFonts w:hint="eastAsia"/>
          <w:bCs/>
          <w:sz w:val="32"/>
          <w:szCs w:val="32"/>
          <w:lang w:val="en-US" w:eastAsia="zh-CN"/>
        </w:rPr>
        <w:t>,</w:t>
      </w:r>
      <w:r>
        <w:rPr>
          <w:rFonts w:hint="eastAsia"/>
          <w:bCs/>
          <w:sz w:val="32"/>
          <w:szCs w:val="32"/>
          <w:lang w:val="en-US"/>
        </w:rPr>
        <w:t>配合有关部门做好水土保持、林业扶贫等组织实施工作。</w:t>
      </w:r>
    </w:p>
    <w:p>
      <w:pPr>
        <w:pStyle w:val="6"/>
        <w:adjustRightInd w:val="0"/>
        <w:snapToGrid w:val="0"/>
        <w:spacing w:before="93" w:line="560" w:lineRule="exact"/>
        <w:ind w:firstLine="640" w:firstLineChars="200"/>
        <w:rPr>
          <w:rFonts w:hint="eastAsia"/>
          <w:bCs/>
          <w:sz w:val="32"/>
          <w:szCs w:val="32"/>
          <w:lang w:val="en-US"/>
        </w:rPr>
      </w:pPr>
      <w:r>
        <w:rPr>
          <w:rFonts w:hint="eastAsia"/>
          <w:bCs/>
          <w:sz w:val="32"/>
          <w:szCs w:val="32"/>
          <w:lang w:val="en-US"/>
        </w:rPr>
        <w:t>11.深入研究生态建设特别是自然保护区建设问题</w:t>
      </w:r>
      <w:r>
        <w:rPr>
          <w:rFonts w:hint="eastAsia"/>
          <w:bCs/>
          <w:sz w:val="32"/>
          <w:szCs w:val="32"/>
          <w:lang w:val="en-US" w:eastAsia="zh-CN"/>
        </w:rPr>
        <w:t>,</w:t>
      </w:r>
      <w:r>
        <w:rPr>
          <w:rFonts w:hint="eastAsia"/>
          <w:bCs/>
          <w:sz w:val="32"/>
          <w:szCs w:val="32"/>
          <w:lang w:val="en-US"/>
        </w:rPr>
        <w:t>稳步推进自然保护区体制创新</w:t>
      </w:r>
      <w:r>
        <w:rPr>
          <w:rFonts w:hint="eastAsia"/>
          <w:bCs/>
          <w:sz w:val="32"/>
          <w:szCs w:val="32"/>
          <w:lang w:val="en-US" w:eastAsia="zh-CN"/>
        </w:rPr>
        <w:t>,</w:t>
      </w:r>
      <w:r>
        <w:rPr>
          <w:rFonts w:hint="eastAsia"/>
          <w:bCs/>
          <w:sz w:val="32"/>
          <w:szCs w:val="32"/>
          <w:lang w:val="en-US"/>
        </w:rPr>
        <w:t>落实生态保护和建设的主体责任创新项目实施方式</w:t>
      </w:r>
      <w:r>
        <w:rPr>
          <w:rFonts w:hint="eastAsia"/>
          <w:bCs/>
          <w:sz w:val="32"/>
          <w:szCs w:val="32"/>
          <w:lang w:val="en-US" w:eastAsia="zh-CN"/>
        </w:rPr>
        <w:t>,</w:t>
      </w:r>
      <w:r>
        <w:rPr>
          <w:rFonts w:hint="eastAsia"/>
          <w:bCs/>
          <w:sz w:val="32"/>
          <w:szCs w:val="32"/>
          <w:lang w:val="en-US"/>
        </w:rPr>
        <w:t>全面推进川西藏区生态保护与建设工程、湿地保护、防沙治沙等项目建设。</w:t>
      </w:r>
    </w:p>
    <w:p>
      <w:pPr>
        <w:pStyle w:val="6"/>
        <w:adjustRightInd w:val="0"/>
        <w:snapToGrid w:val="0"/>
        <w:spacing w:before="93" w:line="560" w:lineRule="exact"/>
        <w:ind w:firstLine="640" w:firstLineChars="200"/>
        <w:rPr>
          <w:rFonts w:ascii="楷体_GB2312" w:eastAsia="楷体_GB2312"/>
          <w:sz w:val="32"/>
          <w:szCs w:val="32"/>
        </w:rPr>
      </w:pPr>
      <w:r>
        <w:rPr>
          <w:rFonts w:hint="eastAsia"/>
          <w:bCs/>
          <w:sz w:val="32"/>
          <w:szCs w:val="32"/>
          <w:lang w:val="en-US"/>
        </w:rPr>
        <w:t>12.负责有关林业方面的涉外工作、承担县政府公布的有关行政审批事项、承办县政府交办的其他事项。</w:t>
      </w:r>
    </w:p>
    <w:bookmarkEnd w:id="22"/>
    <w:bookmarkEnd w:id="23"/>
    <w:p>
      <w:pPr>
        <w:pStyle w:val="6"/>
        <w:adjustRightInd w:val="0"/>
        <w:snapToGrid w:val="0"/>
        <w:spacing w:before="93" w:line="560" w:lineRule="exact"/>
        <w:ind w:firstLine="643" w:firstLineChars="200"/>
        <w:outlineLvl w:val="2"/>
        <w:rPr>
          <w:rFonts w:hint="eastAsia" w:ascii="楷体" w:hAnsi="楷体" w:eastAsia="楷体"/>
          <w:b/>
          <w:bCs/>
          <w:color w:val="000000"/>
          <w:sz w:val="32"/>
          <w:szCs w:val="32"/>
          <w:lang w:val="en-US"/>
        </w:rPr>
      </w:pPr>
      <w:bookmarkStart w:id="24" w:name="_Toc15377199"/>
      <w:bookmarkStart w:id="25" w:name="_Toc79163854"/>
      <w:bookmarkStart w:id="26" w:name="_Toc79163604"/>
      <w:bookmarkStart w:id="27" w:name="_Toc15378446"/>
      <w:r>
        <w:rPr>
          <w:rFonts w:hint="eastAsia" w:ascii="楷体" w:hAnsi="楷体" w:eastAsia="楷体"/>
          <w:b/>
          <w:bCs/>
          <w:color w:val="000000"/>
          <w:sz w:val="32"/>
          <w:szCs w:val="32"/>
          <w:lang w:val="en-US"/>
        </w:rPr>
        <w:t>（二）2020年重点工作完成情况</w:t>
      </w:r>
      <w:bookmarkEnd w:id="24"/>
      <w:bookmarkEnd w:id="25"/>
      <w:bookmarkEnd w:id="26"/>
      <w:bookmarkEnd w:id="27"/>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宋体" w:eastAsia="仿宋_GB2312" w:cs="宋体"/>
          <w:b/>
          <w:bCs/>
          <w:sz w:val="32"/>
          <w:szCs w:val="32"/>
        </w:rPr>
      </w:pPr>
      <w:r>
        <w:rPr>
          <w:rFonts w:hint="eastAsia" w:ascii="仿宋_GB2312" w:hAnsi="宋体" w:eastAsia="仿宋_GB2312" w:cs="宋体"/>
          <w:b/>
          <w:bCs/>
          <w:sz w:val="32"/>
          <w:szCs w:val="32"/>
          <w:lang w:val="en-US" w:eastAsia="zh-CN"/>
        </w:rPr>
        <w:t>1.</w:t>
      </w:r>
      <w:r>
        <w:rPr>
          <w:rFonts w:hint="eastAsia" w:ascii="仿宋_GB2312" w:hAnsi="宋体" w:eastAsia="仿宋_GB2312" w:cs="宋体"/>
          <w:b/>
          <w:bCs/>
          <w:sz w:val="32"/>
          <w:szCs w:val="32"/>
        </w:rPr>
        <w:t>前期工作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一是完成四个提升实验项目可研立项、预算、财评、物资采购、监理、施工工作</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分别是</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茂县凤仪镇小庙山绿化提升试验项目、茂县飞虹乡深沟村干旱河谷治理提升试验项目、茂县回龙乡小牛儿村干旱河谷治理提升试验项目、茂县石大关乡桃花村干旱河谷治理提升试验项目</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二是完成两个干旱河谷综合治理植被恢复项目可研立项准备工作</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分别是茂县沟口乡干旱河谷综合治理植被恢复项目、茂县白溪乡干旱河谷综合治理植被恢复项目。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宋体" w:eastAsia="仿宋_GB2312" w:cs="宋体"/>
          <w:b/>
          <w:bCs/>
          <w:sz w:val="32"/>
          <w:szCs w:val="32"/>
        </w:rPr>
      </w:pPr>
      <w:r>
        <w:rPr>
          <w:rFonts w:hint="eastAsia" w:ascii="仿宋_GB2312" w:hAnsi="宋体" w:eastAsia="仿宋_GB2312" w:cs="宋体"/>
          <w:b/>
          <w:bCs/>
          <w:sz w:val="32"/>
          <w:szCs w:val="32"/>
        </w:rPr>
        <w:t>2</w:t>
      </w:r>
      <w:r>
        <w:rPr>
          <w:rFonts w:hint="eastAsia" w:ascii="仿宋_GB2312" w:hAnsi="宋体" w:eastAsia="仿宋_GB2312" w:cs="宋体"/>
          <w:b/>
          <w:bCs/>
          <w:sz w:val="32"/>
          <w:szCs w:val="32"/>
          <w:lang w:val="en-US" w:eastAsia="zh-CN"/>
        </w:rPr>
        <w:t>.抚育</w:t>
      </w:r>
      <w:r>
        <w:rPr>
          <w:rFonts w:hint="eastAsia" w:ascii="仿宋_GB2312" w:hAnsi="宋体" w:eastAsia="仿宋_GB2312" w:cs="宋体"/>
          <w:b/>
          <w:bCs/>
          <w:sz w:val="32"/>
          <w:szCs w:val="32"/>
        </w:rPr>
        <w:t>管护</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sz w:val="32"/>
          <w:szCs w:val="32"/>
        </w:rPr>
        <w:t>2020年度进入管护阶段有茂县回龙乡干旱河谷生态综合治理项目、茂县绿色生态长廊建设项目等十五个项目，累计管护面积9698.9亩，累计年管护费239.1万元。目前各项目管护验收工作已结束，按合同约定预计年底前完成资金兑现工作。</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spacing w:line="560" w:lineRule="exact"/>
        <w:ind w:firstLine="643" w:firstLineChars="200"/>
        <w:textAlignment w:val="auto"/>
        <w:rPr>
          <w:rFonts w:hint="eastAsia" w:ascii="仿宋_GB2312" w:hAnsi="宋体" w:eastAsia="仿宋_GB2312" w:cs="宋体"/>
          <w:b/>
          <w:bCs/>
          <w:sz w:val="32"/>
          <w:szCs w:val="32"/>
        </w:rPr>
      </w:pPr>
      <w:r>
        <w:rPr>
          <w:rFonts w:hint="eastAsia" w:ascii="仿宋_GB2312" w:hAnsi="宋体" w:eastAsia="仿宋_GB2312" w:cs="宋体"/>
          <w:b/>
          <w:bCs/>
          <w:sz w:val="32"/>
          <w:szCs w:val="32"/>
          <w:lang w:val="en-US" w:eastAsia="zh-CN"/>
        </w:rPr>
        <w:t>3.</w:t>
      </w:r>
      <w:r>
        <w:rPr>
          <w:rFonts w:hint="eastAsia" w:ascii="仿宋_GB2312" w:hAnsi="宋体" w:eastAsia="仿宋_GB2312" w:cs="宋体"/>
          <w:b/>
          <w:bCs/>
          <w:sz w:val="32"/>
          <w:szCs w:val="32"/>
        </w:rPr>
        <w:t>生态建设工作</w:t>
      </w:r>
    </w:p>
    <w:p>
      <w:pPr>
        <w:keepNext w:val="0"/>
        <w:keepLines w:val="0"/>
        <w:pageBreakBefore w:val="0"/>
        <w:widowControl w:val="0"/>
        <w:pBdr>
          <w:bottom w:val="single" w:color="FFFFFF" w:sz="4" w:space="27"/>
        </w:pBdr>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zh-CN"/>
        </w:rPr>
        <w:t>开展义务植树，夯实生态基础。</w:t>
      </w:r>
      <w:r>
        <w:rPr>
          <w:rFonts w:hint="eastAsia" w:ascii="仿宋_GB2312" w:hAnsi="宋体" w:eastAsia="仿宋_GB2312" w:cs="宋体"/>
          <w:kern w:val="0"/>
          <w:sz w:val="32"/>
          <w:szCs w:val="32"/>
        </w:rPr>
        <w:t>2020年我县参加义务植树4.95万人，栽植岷江柏、侧柏、刺槐、云杉等苗木共28.87万株，尽责率达92%。</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spacing w:line="560" w:lineRule="exact"/>
        <w:ind w:firstLine="643" w:firstLineChars="200"/>
        <w:textAlignment w:val="auto"/>
        <w:rPr>
          <w:rFonts w:hint="eastAsia" w:ascii="仿宋_GB2312" w:hAnsi="宋体" w:eastAsia="仿宋_GB2312" w:cs="宋体"/>
          <w:b/>
          <w:bCs/>
          <w:sz w:val="32"/>
          <w:szCs w:val="32"/>
        </w:rPr>
      </w:pPr>
      <w:r>
        <w:rPr>
          <w:rFonts w:hint="eastAsia" w:ascii="仿宋_GB2312" w:hAnsi="宋体" w:eastAsia="仿宋_GB2312" w:cs="宋体"/>
          <w:b/>
          <w:bCs/>
          <w:sz w:val="32"/>
          <w:szCs w:val="32"/>
          <w:lang w:val="en-US" w:eastAsia="zh-CN"/>
        </w:rPr>
        <w:t>4.</w:t>
      </w:r>
      <w:r>
        <w:rPr>
          <w:rFonts w:hint="eastAsia" w:ascii="仿宋_GB2312" w:hAnsi="宋体" w:eastAsia="仿宋_GB2312" w:cs="宋体"/>
          <w:b/>
          <w:bCs/>
          <w:sz w:val="32"/>
          <w:szCs w:val="32"/>
          <w:lang w:eastAsia="zh-CN"/>
        </w:rPr>
        <w:t>购买</w:t>
      </w:r>
      <w:r>
        <w:rPr>
          <w:rFonts w:hint="eastAsia" w:ascii="仿宋_GB2312" w:hAnsi="宋体" w:eastAsia="仿宋_GB2312" w:cs="宋体"/>
          <w:b/>
          <w:bCs/>
          <w:sz w:val="32"/>
          <w:szCs w:val="32"/>
        </w:rPr>
        <w:t>种苗</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sz w:val="32"/>
          <w:szCs w:val="32"/>
          <w:lang w:eastAsia="zh-CN"/>
        </w:rPr>
      </w:pPr>
      <w:r>
        <w:rPr>
          <w:rFonts w:hint="eastAsia" w:ascii="仿宋_GB2312" w:hAnsi="宋体" w:eastAsia="仿宋_GB2312" w:cs="宋体"/>
          <w:sz w:val="32"/>
          <w:szCs w:val="32"/>
        </w:rPr>
        <w:t>2020年3月由我局组织苗木采购，县城市管理局进行实施和后期管护的凤仪镇甘青绿化点项目</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总投资117.98万元，绿化面积40亩</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目前该项目已进入后期管护</w:t>
      </w:r>
      <w:r>
        <w:rPr>
          <w:rFonts w:hint="eastAsia" w:ascii="仿宋_GB2312" w:hAnsi="宋体" w:eastAsia="仿宋_GB2312" w:cs="宋体"/>
          <w:sz w:val="32"/>
          <w:szCs w:val="32"/>
          <w:lang w:eastAsia="zh-CN"/>
        </w:rPr>
        <w:t>。</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sz w:val="32"/>
          <w:szCs w:val="32"/>
          <w:lang w:val="en-US" w:eastAsia="zh-CN"/>
        </w:rPr>
        <w:t>5.</w:t>
      </w:r>
      <w:r>
        <w:rPr>
          <w:rFonts w:hint="eastAsia" w:ascii="仿宋_GB2312" w:hAnsi="宋体" w:eastAsia="仿宋_GB2312" w:cs="宋体"/>
          <w:sz w:val="32"/>
          <w:szCs w:val="32"/>
        </w:rPr>
        <w:t>狠抓护林防火工作</w:t>
      </w:r>
      <w:bookmarkStart w:id="28" w:name="_Toc79163605"/>
      <w:bookmarkStart w:id="29" w:name="_Toc15396601"/>
      <w:bookmarkStart w:id="30" w:name="_Toc15377200"/>
      <w:bookmarkStart w:id="31" w:name="_Toc79163855"/>
    </w:p>
    <w:p>
      <w:pPr>
        <w:keepNext w:val="0"/>
        <w:keepLines w:val="0"/>
        <w:pageBreakBefore w:val="0"/>
        <w:widowControl w:val="0"/>
        <w:numPr>
          <w:ilvl w:val="0"/>
          <w:numId w:val="0"/>
        </w:numPr>
        <w:pBdr>
          <w:bottom w:val="single" w:color="FFFFFF" w:sz="4" w:space="27"/>
        </w:pBdr>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sz w:val="32"/>
          <w:szCs w:val="32"/>
          <w:lang w:eastAsia="zh-CN"/>
        </w:rPr>
        <w:t>一是</w:t>
      </w:r>
      <w:r>
        <w:rPr>
          <w:rFonts w:hint="eastAsia" w:ascii="仿宋_GB2312" w:hAnsi="宋体" w:eastAsia="仿宋_GB2312" w:cs="宋体"/>
          <w:sz w:val="32"/>
          <w:szCs w:val="32"/>
        </w:rPr>
        <w:t>责任落实。进一步落实森林草原防火行政首长负责制，层层签订森林草原防火责任书</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县与乡镇签订责任书11份</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与电网企业签订责任书2份</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乡镇与村签订责任书104份</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乡镇与辖区内的施工作业单位签订责任书12份</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村与农户签订户主护林防火公22000余户</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签订智障人员监护责任书202份</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落实巡山管护人员责任。全县各镇护林员、村生态护林员都签订了管护责任书</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明确了管护地段</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管护任务和管护职责</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确保森林草原防火工作责任落到实处</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建立固定宣传标牌220座，张贴宣传标语1.2万余幅、禁火令1400张。</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sz w:val="32"/>
          <w:szCs w:val="32"/>
          <w:lang w:eastAsia="zh-CN"/>
        </w:rPr>
        <w:t>二是</w:t>
      </w:r>
      <w:r>
        <w:rPr>
          <w:rFonts w:hint="eastAsia" w:ascii="仿宋_GB2312" w:hAnsi="宋体" w:eastAsia="仿宋_GB2312" w:cs="宋体"/>
          <w:sz w:val="32"/>
          <w:szCs w:val="32"/>
        </w:rPr>
        <w:t>强化宣传。结合“两联一进”群众工作</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进村入户发放宣传围裙2万条、年历2万张、禁火令2.6万余份</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发送手机短信20余万条</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举办大型宣传活动3次</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开展扑火机具展示活动1次</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征订中小学生《森林草原防火教育读本》11935本、挂图320幅</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在秋季开学前发放给各中小学校</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上好了“开学安全教育第一课”</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全县各个加油站点LED显示屏每天不间断滚动宣传森林草原防灭火知识和警示标语</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形成了人人关心防火、参与防火、群防群控的良好局面。</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eastAsia="zh-CN"/>
        </w:rPr>
        <w:t>三是</w:t>
      </w:r>
      <w:r>
        <w:rPr>
          <w:rFonts w:hint="eastAsia" w:ascii="仿宋_GB2312" w:hAnsi="宋体" w:eastAsia="仿宋_GB2312" w:cs="宋体"/>
          <w:sz w:val="32"/>
          <w:szCs w:val="32"/>
        </w:rPr>
        <w:t>组建专业扑火队伍。为贯彻落实好国务院督导四川省森林草原防灭火专项整治指示精神</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加强森林草原防灭火能力建设</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提升地区防灭火工作水平</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采取“1+11+2+N”模式组建扑火队伍，即</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县建立1支专业队伍</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11个镇2个景区建立半专业队伍</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104个村及重点林区组建民兵义务扑火队伍。</w:t>
      </w:r>
      <w:r>
        <w:rPr>
          <w:rFonts w:hint="eastAsia" w:ascii="仿宋_GB2312" w:hAnsi="宋体" w:eastAsia="仿宋_GB2312" w:cs="宋体"/>
          <w:sz w:val="32"/>
          <w:szCs w:val="32"/>
          <w:lang w:val="en-US" w:eastAsia="zh-CN"/>
        </w:rPr>
        <w:t xml:space="preserve">      </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sz w:val="32"/>
          <w:szCs w:val="32"/>
          <w:lang w:eastAsia="zh-CN"/>
        </w:rPr>
      </w:pPr>
      <w:r>
        <w:rPr>
          <w:rFonts w:hint="eastAsia" w:ascii="仿宋_GB2312" w:hAnsi="宋体" w:eastAsia="仿宋_GB2312" w:cs="宋体"/>
          <w:sz w:val="32"/>
          <w:szCs w:val="32"/>
          <w:lang w:val="en-US" w:eastAsia="zh-CN"/>
        </w:rPr>
        <w:t>四是</w:t>
      </w:r>
      <w:r>
        <w:rPr>
          <w:rFonts w:hint="eastAsia" w:ascii="仿宋_GB2312" w:hAnsi="宋体" w:eastAsia="仿宋_GB2312" w:cs="宋体"/>
          <w:sz w:val="32"/>
          <w:szCs w:val="32"/>
        </w:rPr>
        <w:t>严格依法管火治火。对违法违规行为保持高压打击整治的态势</w:t>
      </w:r>
      <w:r>
        <w:rPr>
          <w:rFonts w:hint="eastAsia" w:ascii="仿宋_GB2312" w:hAnsi="宋体" w:eastAsia="仿宋_GB2312" w:cs="宋体"/>
          <w:sz w:val="32"/>
          <w:szCs w:val="32"/>
          <w:lang w:eastAsia="zh-CN"/>
        </w:rPr>
        <w:t>。</w:t>
      </w:r>
    </w:p>
    <w:p>
      <w:pPr>
        <w:keepNext w:val="0"/>
        <w:keepLines w:val="0"/>
        <w:pageBreakBefore w:val="0"/>
        <w:widowControl w:val="0"/>
        <w:numPr>
          <w:ilvl w:val="0"/>
          <w:numId w:val="1"/>
        </w:numPr>
        <w:pBdr>
          <w:bottom w:val="single" w:color="FFFFFF" w:sz="4" w:space="27"/>
        </w:pBdr>
        <w:kinsoku/>
        <w:wordWrap/>
        <w:overflowPunct/>
        <w:topLinePunct w:val="0"/>
        <w:autoSpaceDE/>
        <w:autoSpaceDN/>
        <w:bidi w:val="0"/>
        <w:spacing w:line="560" w:lineRule="exact"/>
        <w:ind w:firstLine="643" w:firstLineChars="200"/>
        <w:textAlignment w:val="auto"/>
        <w:rPr>
          <w:rStyle w:val="23"/>
          <w:rFonts w:hint="eastAsia" w:ascii="黑体" w:hAnsi="黑体" w:eastAsia="黑体" w:cstheme="majorBidi"/>
        </w:rPr>
      </w:pPr>
      <w:r>
        <w:rPr>
          <w:rStyle w:val="23"/>
          <w:rFonts w:hint="eastAsia" w:ascii="黑体" w:hAnsi="黑体" w:eastAsia="黑体" w:cstheme="majorBidi"/>
        </w:rPr>
        <w:t>机构设置</w:t>
      </w:r>
      <w:bookmarkEnd w:id="28"/>
      <w:bookmarkEnd w:id="29"/>
      <w:bookmarkEnd w:id="30"/>
      <w:bookmarkEnd w:id="31"/>
      <w:bookmarkStart w:id="32" w:name="_Toc15377434"/>
      <w:bookmarkStart w:id="33" w:name="_Toc79163858"/>
      <w:bookmarkStart w:id="34" w:name="_Toc15306277"/>
      <w:bookmarkStart w:id="35" w:name="_Toc15377203"/>
      <w:bookmarkStart w:id="36" w:name="_Toc79163608"/>
      <w:bookmarkStart w:id="37" w:name="_Toc15378450"/>
    </w:p>
    <w:p>
      <w:pPr>
        <w:keepNext w:val="0"/>
        <w:keepLines w:val="0"/>
        <w:pageBreakBefore w:val="0"/>
        <w:widowControl w:val="0"/>
        <w:numPr>
          <w:ilvl w:val="0"/>
          <w:numId w:val="0"/>
        </w:numPr>
        <w:pBdr>
          <w:bottom w:val="single" w:color="FFFFFF" w:sz="4" w:space="27"/>
        </w:pBdr>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茂县林业和草原局属一级预算单位</w:t>
      </w:r>
      <w:r>
        <w:rPr>
          <w:rFonts w:hint="eastAsia" w:ascii="仿宋_GB2312" w:eastAsia="仿宋_GB2312"/>
          <w:sz w:val="32"/>
          <w:szCs w:val="32"/>
          <w:lang w:val="en-US" w:eastAsia="zh-CN"/>
        </w:rPr>
        <w:t>,</w:t>
      </w:r>
      <w:r>
        <w:rPr>
          <w:rFonts w:hint="eastAsia" w:ascii="仿宋_GB2312" w:eastAsia="仿宋_GB2312"/>
          <w:sz w:val="32"/>
          <w:szCs w:val="32"/>
        </w:rPr>
        <w:t>下属二级预算单位 0 个,其中：行政单位0个，参照公务员法管理的事业单位 0个,其他事业单位 0个;参照公务员法管理的事业单位是:0个;其他事业单位分别是:0个。</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纳入茂县林业和草原局20</w:t>
      </w:r>
      <w:r>
        <w:rPr>
          <w:rFonts w:hint="eastAsia" w:ascii="仿宋_GB2312" w:eastAsia="仿宋_GB2312"/>
          <w:sz w:val="32"/>
          <w:szCs w:val="32"/>
          <w:lang w:val="en-US" w:eastAsia="zh-CN"/>
        </w:rPr>
        <w:t>20</w:t>
      </w:r>
      <w:r>
        <w:rPr>
          <w:rFonts w:hint="eastAsia" w:ascii="仿宋_GB2312" w:eastAsia="仿宋_GB2312"/>
          <w:sz w:val="32"/>
          <w:szCs w:val="32"/>
        </w:rPr>
        <w:t>年度部门决算编制范围的二级预算单位包括0个</w:t>
      </w:r>
      <w:bookmarkEnd w:id="32"/>
      <w:bookmarkEnd w:id="33"/>
      <w:bookmarkEnd w:id="34"/>
      <w:bookmarkEnd w:id="35"/>
      <w:bookmarkEnd w:id="36"/>
      <w:bookmarkEnd w:id="37"/>
      <w:r>
        <w:rPr>
          <w:rFonts w:hint="eastAsia" w:ascii="仿宋_GB2312" w:eastAsia="仿宋_GB2312"/>
          <w:sz w:val="32"/>
          <w:szCs w:val="32"/>
          <w:lang w:eastAsia="zh-CN"/>
        </w:rPr>
        <w:t>。</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spacing w:line="560" w:lineRule="exact"/>
        <w:ind w:right="440"/>
        <w:jc w:val="right"/>
      </w:pPr>
      <w:bookmarkStart w:id="38" w:name="_Toc79163609"/>
      <w:bookmarkStart w:id="39" w:name="_Toc15377204"/>
      <w:bookmarkStart w:id="40" w:name="_Toc15396602"/>
      <w:bookmarkStart w:id="41" w:name="_Toc79163859"/>
      <w:r>
        <w:rPr>
          <w:rFonts w:hint="eastAsia" w:ascii="黑体" w:hAnsi="黑体" w:eastAsia="黑体"/>
          <w:b w:val="0"/>
          <w:color w:val="000000"/>
        </w:rPr>
        <w:t>第二部分 2020年度部门决算情况说明</w:t>
      </w:r>
      <w:bookmarkEnd w:id="38"/>
      <w:bookmarkEnd w:id="39"/>
      <w:bookmarkEnd w:id="40"/>
      <w:bookmarkEnd w:id="41"/>
    </w:p>
    <w:p>
      <w:pPr>
        <w:pStyle w:val="37"/>
        <w:numPr>
          <w:ilvl w:val="0"/>
          <w:numId w:val="2"/>
        </w:numPr>
        <w:spacing w:line="560" w:lineRule="exact"/>
        <w:ind w:firstLineChars="0"/>
        <w:outlineLvl w:val="1"/>
        <w:rPr>
          <w:rFonts w:hint="eastAsia" w:ascii="黑体" w:hAnsi="黑体" w:eastAsia="黑体"/>
          <w:color w:val="000000"/>
          <w:sz w:val="32"/>
          <w:szCs w:val="32"/>
        </w:rPr>
      </w:pPr>
      <w:bookmarkStart w:id="42" w:name="_Toc79163610"/>
      <w:bookmarkStart w:id="43" w:name="_Toc15377205"/>
      <w:bookmarkStart w:id="44" w:name="_Toc15396603"/>
      <w:bookmarkStart w:id="45" w:name="_Toc79163860"/>
      <w:r>
        <w:rPr>
          <w:rFonts w:hint="eastAsia" w:ascii="黑体" w:hAnsi="黑体" w:eastAsia="黑体"/>
          <w:color w:val="000000"/>
          <w:sz w:val="32"/>
          <w:szCs w:val="32"/>
        </w:rPr>
        <w:t>收入支出决算总体情况说明</w:t>
      </w:r>
      <w:bookmarkEnd w:id="42"/>
      <w:bookmarkEnd w:id="43"/>
      <w:bookmarkEnd w:id="44"/>
      <w:bookmarkEnd w:id="45"/>
    </w:p>
    <w:p>
      <w:pPr>
        <w:keepNext w:val="0"/>
        <w:keepLines w:val="0"/>
        <w:pageBreakBefore w:val="0"/>
        <w:widowControl w:val="0"/>
        <w:numPr>
          <w:ilvl w:val="0"/>
          <w:numId w:val="0"/>
        </w:numPr>
        <w:pBdr>
          <w:bottom w:val="single" w:color="FFFFFF" w:sz="4" w:space="27"/>
        </w:pBdr>
        <w:kinsoku/>
        <w:wordWrap/>
        <w:overflowPunct/>
        <w:topLinePunct w:val="0"/>
        <w:autoSpaceDE/>
        <w:autoSpaceDN/>
        <w:bidi w:val="0"/>
        <w:spacing w:line="560" w:lineRule="exact"/>
        <w:ind w:firstLine="640" w:firstLineChars="200"/>
        <w:textAlignment w:val="auto"/>
        <w:rPr>
          <w:rFonts w:hint="eastAsia" w:ascii="仿宋" w:hAnsi="仿宋" w:eastAsia="仿宋"/>
          <w:color w:val="000000"/>
          <w:sz w:val="32"/>
          <w:szCs w:val="32"/>
          <w:lang w:eastAsia="zh-CN"/>
        </w:rPr>
      </w:pPr>
      <w:r>
        <w:rPr>
          <w:rFonts w:hint="eastAsia" w:ascii="仿宋_GB2312" w:eastAsia="仿宋_GB2312"/>
          <w:sz w:val="32"/>
          <w:szCs w:val="32"/>
        </w:rPr>
        <w:t>2020年度收、支总计</w:t>
      </w:r>
      <w:r>
        <w:rPr>
          <w:rFonts w:hint="eastAsia" w:ascii="仿宋_GB2312" w:eastAsia="仿宋_GB2312"/>
          <w:sz w:val="32"/>
          <w:szCs w:val="32"/>
          <w:lang w:val="en-US" w:eastAsia="zh-CN"/>
        </w:rPr>
        <w:t>14542.57</w:t>
      </w:r>
      <w:r>
        <w:rPr>
          <w:rFonts w:hint="eastAsia" w:ascii="仿宋_GB2312" w:eastAsia="仿宋_GB2312"/>
          <w:sz w:val="32"/>
          <w:szCs w:val="32"/>
        </w:rPr>
        <w:t>万元。与2019年相比，收、支总计各增加</w:t>
      </w:r>
      <w:r>
        <w:rPr>
          <w:rFonts w:hint="eastAsia" w:ascii="仿宋_GB2312" w:eastAsia="仿宋_GB2312"/>
          <w:sz w:val="32"/>
          <w:szCs w:val="32"/>
          <w:lang w:val="en-US" w:eastAsia="zh-CN"/>
        </w:rPr>
        <w:t>113.65</w:t>
      </w:r>
      <w:r>
        <w:rPr>
          <w:rFonts w:hint="eastAsia" w:ascii="仿宋_GB2312" w:eastAsia="仿宋_GB2312"/>
          <w:sz w:val="32"/>
          <w:szCs w:val="32"/>
        </w:rPr>
        <w:t>万元，增长</w:t>
      </w:r>
      <w:r>
        <w:rPr>
          <w:rFonts w:hint="eastAsia" w:ascii="仿宋_GB2312" w:eastAsia="仿宋_GB2312"/>
          <w:sz w:val="32"/>
          <w:szCs w:val="32"/>
          <w:lang w:val="en-US" w:eastAsia="zh-CN"/>
        </w:rPr>
        <w:t>0.78</w:t>
      </w:r>
      <w:r>
        <w:rPr>
          <w:rFonts w:hint="eastAsia" w:ascii="仿宋_GB2312" w:eastAsia="仿宋_GB2312"/>
          <w:sz w:val="32"/>
          <w:szCs w:val="32"/>
        </w:rPr>
        <w:t>%。主要变动原因是</w:t>
      </w:r>
      <w:r>
        <w:rPr>
          <w:rFonts w:hint="eastAsia" w:ascii="仿宋_GB2312" w:eastAsia="仿宋_GB2312"/>
          <w:sz w:val="32"/>
          <w:szCs w:val="32"/>
          <w:lang w:eastAsia="zh-CN"/>
        </w:rPr>
        <w:t>新增项目拨款数。</w:t>
      </w:r>
    </w:p>
    <w:p>
      <w:pPr>
        <w:spacing w:line="560" w:lineRule="exact"/>
        <w:ind w:firstLine="640" w:firstLineChars="200"/>
        <w:rPr>
          <w:rFonts w:ascii="仿宋_GB2312" w:hAnsi="仿宋" w:eastAsia="仿宋_GB2312"/>
          <w:color w:val="000000"/>
          <w:sz w:val="32"/>
          <w:szCs w:val="32"/>
        </w:rPr>
      </w:pPr>
      <w:bookmarkStart w:id="46" w:name="_Toc79163611"/>
      <w:bookmarkStart w:id="47" w:name="_Toc15377206"/>
      <w:bookmarkStart w:id="48" w:name="_Toc79163861"/>
      <w:bookmarkStart w:id="49" w:name="_Toc15396604"/>
      <w:r>
        <w:rPr>
          <w:rFonts w:hint="eastAsia" w:ascii="仿宋_GB2312" w:hAnsi="仿宋" w:eastAsia="仿宋_GB2312"/>
          <w:color w:val="000000"/>
          <w:sz w:val="32"/>
          <w:szCs w:val="32"/>
        </w:rPr>
        <w:drawing>
          <wp:anchor distT="0" distB="0" distL="114300" distR="114300" simplePos="0" relativeHeight="251659264" behindDoc="0" locked="0" layoutInCell="1" allowOverlap="1">
            <wp:simplePos x="0" y="0"/>
            <wp:positionH relativeFrom="column">
              <wp:posOffset>133350</wp:posOffset>
            </wp:positionH>
            <wp:positionV relativeFrom="paragraph">
              <wp:posOffset>229870</wp:posOffset>
            </wp:positionV>
            <wp:extent cx="4886325" cy="2819400"/>
            <wp:effectExtent l="4445" t="4445" r="5080" b="1460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：收、支决算总计变动情况图（单位：万元）</w:t>
      </w:r>
    </w:p>
    <w:p>
      <w:pPr>
        <w:pStyle w:val="33"/>
        <w:numPr>
          <w:ilvl w:val="0"/>
          <w:numId w:val="2"/>
        </w:numPr>
        <w:spacing w:line="600" w:lineRule="exact"/>
        <w:ind w:firstLineChars="0"/>
        <w:outlineLvl w:val="1"/>
        <w:rPr>
          <w:rStyle w:val="23"/>
          <w:rFonts w:ascii="黑体" w:hAnsi="黑体" w:eastAsia="黑体"/>
          <w:b w:val="0"/>
        </w:rPr>
      </w:pPr>
      <w:r>
        <w:rPr>
          <w:rFonts w:hint="eastAsia" w:ascii="黑体" w:hAnsi="黑体" w:eastAsia="黑体"/>
          <w:color w:val="000000"/>
          <w:sz w:val="32"/>
          <w:szCs w:val="32"/>
        </w:rPr>
        <w:t>收</w:t>
      </w:r>
      <w:r>
        <w:rPr>
          <w:rStyle w:val="23"/>
          <w:rFonts w:hint="eastAsia" w:ascii="黑体" w:hAnsi="黑体" w:eastAsia="黑体"/>
          <w:b w:val="0"/>
        </w:rPr>
        <w:t>入决算情况说明</w:t>
      </w:r>
      <w:bookmarkEnd w:id="46"/>
      <w:bookmarkEnd w:id="47"/>
      <w:bookmarkEnd w:id="48"/>
      <w:bookmarkEnd w:id="49"/>
    </w:p>
    <w:p>
      <w:pPr>
        <w:keepNext w:val="0"/>
        <w:keepLines w:val="0"/>
        <w:pageBreakBefore w:val="0"/>
        <w:widowControl w:val="0"/>
        <w:numPr>
          <w:ilvl w:val="0"/>
          <w:numId w:val="0"/>
        </w:numPr>
        <w:pBdr>
          <w:bottom w:val="single" w:color="FFFFFF" w:sz="4" w:space="27"/>
        </w:pBdr>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2020年本年收入合计</w:t>
      </w:r>
      <w:r>
        <w:rPr>
          <w:rFonts w:hint="eastAsia" w:ascii="仿宋_GB2312" w:eastAsia="仿宋_GB2312"/>
          <w:sz w:val="32"/>
          <w:szCs w:val="32"/>
          <w:lang w:val="en-US" w:eastAsia="zh-CN"/>
        </w:rPr>
        <w:t>12758.91</w:t>
      </w:r>
      <w:r>
        <w:rPr>
          <w:rFonts w:hint="eastAsia" w:ascii="仿宋_GB2312" w:eastAsia="仿宋_GB2312"/>
          <w:sz w:val="32"/>
          <w:szCs w:val="32"/>
          <w:lang w:eastAsia="zh-CN"/>
        </w:rPr>
        <w:t>万元，其中：一般公共预算财政拨款收入</w:t>
      </w:r>
      <w:r>
        <w:rPr>
          <w:rFonts w:hint="eastAsia" w:ascii="仿宋_GB2312" w:eastAsia="仿宋_GB2312"/>
          <w:sz w:val="32"/>
          <w:szCs w:val="32"/>
          <w:lang w:val="en-US" w:eastAsia="zh-CN"/>
        </w:rPr>
        <w:t>12752.28</w:t>
      </w:r>
      <w:r>
        <w:rPr>
          <w:rFonts w:hint="eastAsia" w:ascii="仿宋_GB2312" w:eastAsia="仿宋_GB2312"/>
          <w:sz w:val="32"/>
          <w:szCs w:val="32"/>
          <w:lang w:eastAsia="zh-CN"/>
        </w:rPr>
        <w:t>万元，占</w:t>
      </w:r>
      <w:r>
        <w:rPr>
          <w:rFonts w:hint="eastAsia" w:ascii="仿宋_GB2312" w:eastAsia="仿宋_GB2312"/>
          <w:sz w:val="32"/>
          <w:szCs w:val="32"/>
          <w:lang w:val="en-US" w:eastAsia="zh-CN"/>
        </w:rPr>
        <w:t>99.95</w:t>
      </w:r>
      <w:r>
        <w:rPr>
          <w:rFonts w:hint="eastAsia" w:ascii="仿宋_GB2312" w:eastAsia="仿宋_GB2312"/>
          <w:sz w:val="32"/>
          <w:szCs w:val="32"/>
          <w:lang w:eastAsia="zh-CN"/>
        </w:rPr>
        <w:t>%；政府性基金预算财政拨款收入</w:t>
      </w:r>
      <w:r>
        <w:rPr>
          <w:rFonts w:hint="eastAsia" w:ascii="仿宋_GB2312" w:eastAsia="仿宋_GB2312"/>
          <w:sz w:val="32"/>
          <w:szCs w:val="32"/>
          <w:lang w:val="en-US" w:eastAsia="zh-CN"/>
        </w:rPr>
        <w:t>6.63</w:t>
      </w:r>
      <w:r>
        <w:rPr>
          <w:rFonts w:hint="eastAsia" w:ascii="仿宋_GB2312" w:eastAsia="仿宋_GB2312"/>
          <w:sz w:val="32"/>
          <w:szCs w:val="32"/>
          <w:lang w:eastAsia="zh-CN"/>
        </w:rPr>
        <w:t>万元，占</w:t>
      </w:r>
      <w:r>
        <w:rPr>
          <w:rFonts w:hint="eastAsia" w:ascii="仿宋_GB2312" w:eastAsia="仿宋_GB2312"/>
          <w:sz w:val="32"/>
          <w:szCs w:val="32"/>
          <w:lang w:val="en-US" w:eastAsia="zh-CN"/>
        </w:rPr>
        <w:t>0.05</w:t>
      </w:r>
      <w:r>
        <w:rPr>
          <w:rFonts w:hint="eastAsia" w:ascii="仿宋_GB2312" w:eastAsia="仿宋_GB2312"/>
          <w:sz w:val="32"/>
          <w:szCs w:val="32"/>
          <w:lang w:eastAsia="zh-CN"/>
        </w:rPr>
        <w:t>%；上级补助收入</w:t>
      </w:r>
      <w:r>
        <w:rPr>
          <w:rFonts w:hint="eastAsia" w:ascii="仿宋_GB2312" w:eastAsia="仿宋_GB2312"/>
          <w:sz w:val="32"/>
          <w:szCs w:val="32"/>
          <w:lang w:val="en-US" w:eastAsia="zh-CN"/>
        </w:rPr>
        <w:t>0</w:t>
      </w:r>
      <w:r>
        <w:rPr>
          <w:rFonts w:hint="eastAsia" w:ascii="仿宋_GB2312" w:eastAsia="仿宋_GB2312"/>
          <w:sz w:val="32"/>
          <w:szCs w:val="32"/>
          <w:lang w:eastAsia="zh-CN"/>
        </w:rPr>
        <w:t>万元，事业收入</w:t>
      </w:r>
      <w:r>
        <w:rPr>
          <w:rFonts w:hint="eastAsia" w:ascii="仿宋_GB2312" w:eastAsia="仿宋_GB2312"/>
          <w:sz w:val="32"/>
          <w:szCs w:val="32"/>
          <w:lang w:val="en-US" w:eastAsia="zh-CN"/>
        </w:rPr>
        <w:t>0</w:t>
      </w:r>
      <w:r>
        <w:rPr>
          <w:rFonts w:hint="eastAsia" w:ascii="仿宋_GB2312" w:eastAsia="仿宋_GB2312"/>
          <w:sz w:val="32"/>
          <w:szCs w:val="32"/>
          <w:lang w:eastAsia="zh-CN"/>
        </w:rPr>
        <w:t>万元，经营收入</w:t>
      </w:r>
      <w:r>
        <w:rPr>
          <w:rFonts w:hint="eastAsia" w:ascii="仿宋_GB2312" w:eastAsia="仿宋_GB2312"/>
          <w:sz w:val="32"/>
          <w:szCs w:val="32"/>
          <w:lang w:val="en-US" w:eastAsia="zh-CN"/>
        </w:rPr>
        <w:t>0</w:t>
      </w:r>
      <w:r>
        <w:rPr>
          <w:rFonts w:hint="eastAsia" w:ascii="仿宋_GB2312" w:eastAsia="仿宋_GB2312"/>
          <w:sz w:val="32"/>
          <w:szCs w:val="32"/>
          <w:lang w:eastAsia="zh-CN"/>
        </w:rPr>
        <w:t>万元，附属单位上缴收入</w:t>
      </w:r>
      <w:r>
        <w:rPr>
          <w:rFonts w:hint="eastAsia" w:ascii="仿宋_GB2312" w:eastAsia="仿宋_GB2312"/>
          <w:sz w:val="32"/>
          <w:szCs w:val="32"/>
          <w:lang w:val="en-US" w:eastAsia="zh-CN"/>
        </w:rPr>
        <w:t>0</w:t>
      </w:r>
      <w:r>
        <w:rPr>
          <w:rFonts w:hint="eastAsia" w:ascii="仿宋_GB2312" w:eastAsia="仿宋_GB2312"/>
          <w:sz w:val="32"/>
          <w:szCs w:val="32"/>
          <w:lang w:eastAsia="zh-CN"/>
        </w:rPr>
        <w:t>万元，其他收入</w:t>
      </w:r>
      <w:r>
        <w:rPr>
          <w:rFonts w:hint="eastAsia" w:ascii="仿宋_GB2312" w:eastAsia="仿宋_GB2312"/>
          <w:sz w:val="32"/>
          <w:szCs w:val="32"/>
          <w:lang w:val="en-US" w:eastAsia="zh-CN"/>
        </w:rPr>
        <w:t>0</w:t>
      </w:r>
      <w:r>
        <w:rPr>
          <w:rFonts w:hint="eastAsia" w:ascii="仿宋_GB2312" w:eastAsia="仿宋_GB2312"/>
          <w:sz w:val="32"/>
          <w:szCs w:val="32"/>
          <w:lang w:eastAsia="zh-CN"/>
        </w:rPr>
        <w:t>万元。</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0" locked="0" layoutInCell="1" allowOverlap="1">
            <wp:simplePos x="0" y="0"/>
            <wp:positionH relativeFrom="column">
              <wp:posOffset>909320</wp:posOffset>
            </wp:positionH>
            <wp:positionV relativeFrom="paragraph">
              <wp:posOffset>23495</wp:posOffset>
            </wp:positionV>
            <wp:extent cx="3562350" cy="2609850"/>
            <wp:effectExtent l="4445" t="4445" r="14605" b="1460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sz w:val="32"/>
          <w:szCs w:val="32"/>
          <w:lang w:val="en-US" w:eastAsia="zh-CN"/>
        </w:rPr>
        <w:t xml:space="preserve">         </w:t>
      </w: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default"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keepNext w:val="0"/>
        <w:keepLines w:val="0"/>
        <w:pageBreakBefore w:val="0"/>
        <w:widowControl w:val="0"/>
        <w:numPr>
          <w:ilvl w:val="0"/>
          <w:numId w:val="0"/>
        </w:numPr>
        <w:pBdr>
          <w:bottom w:val="single" w:color="FFFFFF" w:sz="4" w:space="27"/>
        </w:pBdr>
        <w:kinsoku/>
        <w:wordWrap/>
        <w:overflowPunct/>
        <w:topLinePunct w:val="0"/>
        <w:autoSpaceDE/>
        <w:autoSpaceDN/>
        <w:bidi w:val="0"/>
        <w:spacing w:line="560" w:lineRule="exact"/>
        <w:ind w:firstLine="1600" w:firstLineChars="500"/>
        <w:textAlignment w:val="auto"/>
        <w:rPr>
          <w:rFonts w:hint="eastAsia" w:ascii="仿宋_GB2312" w:eastAsia="仿宋_GB2312"/>
          <w:sz w:val="32"/>
          <w:szCs w:val="32"/>
          <w:lang w:eastAsia="zh-CN"/>
        </w:rPr>
      </w:pPr>
      <w:r>
        <w:rPr>
          <w:rFonts w:hint="eastAsia" w:ascii="仿宋_GB2312" w:eastAsia="仿宋_GB2312"/>
          <w:sz w:val="32"/>
          <w:szCs w:val="32"/>
          <w:lang w:eastAsia="zh-CN"/>
        </w:rPr>
        <w:t>图2：收入决算结构图（单位：万元）</w:t>
      </w:r>
      <w:bookmarkStart w:id="50" w:name="_Toc15377207"/>
      <w:bookmarkStart w:id="51" w:name="_Toc79163862"/>
      <w:bookmarkStart w:id="52" w:name="_Toc15396605"/>
      <w:bookmarkStart w:id="53" w:name="_Toc79163612"/>
    </w:p>
    <w:p>
      <w:pPr>
        <w:keepNext w:val="0"/>
        <w:keepLines w:val="0"/>
        <w:pageBreakBefore w:val="0"/>
        <w:widowControl w:val="0"/>
        <w:numPr>
          <w:ilvl w:val="0"/>
          <w:numId w:val="0"/>
        </w:numPr>
        <w:pBdr>
          <w:bottom w:val="single" w:color="FFFFFF" w:sz="4" w:space="27"/>
        </w:pBdr>
        <w:kinsoku/>
        <w:wordWrap/>
        <w:overflowPunct/>
        <w:topLinePunct w:val="0"/>
        <w:autoSpaceDE/>
        <w:autoSpaceDN/>
        <w:bidi w:val="0"/>
        <w:spacing w:line="560" w:lineRule="exact"/>
        <w:ind w:firstLine="640" w:firstLineChars="200"/>
        <w:textAlignment w:val="auto"/>
        <w:rPr>
          <w:rFonts w:hint="eastAsia" w:ascii="黑体" w:hAnsi="黑体" w:eastAsia="黑体"/>
          <w:color w:val="000000"/>
          <w:sz w:val="32"/>
          <w:szCs w:val="32"/>
        </w:rPr>
      </w:pPr>
      <w:r>
        <w:rPr>
          <w:rFonts w:hint="eastAsia" w:ascii="黑体" w:hAnsi="黑体" w:eastAsia="黑体"/>
          <w:color w:val="000000"/>
          <w:sz w:val="32"/>
          <w:szCs w:val="32"/>
          <w:lang w:eastAsia="zh-CN"/>
        </w:rPr>
        <w:t>三、</w:t>
      </w:r>
      <w:r>
        <w:rPr>
          <w:rFonts w:hint="eastAsia" w:ascii="黑体" w:hAnsi="黑体" w:eastAsia="黑体"/>
          <w:color w:val="000000"/>
          <w:sz w:val="32"/>
          <w:szCs w:val="32"/>
        </w:rPr>
        <w:t>支出决算情况说明</w:t>
      </w:r>
      <w:bookmarkEnd w:id="50"/>
      <w:bookmarkEnd w:id="51"/>
      <w:bookmarkEnd w:id="52"/>
      <w:bookmarkEnd w:id="53"/>
    </w:p>
    <w:p>
      <w:pPr>
        <w:keepNext w:val="0"/>
        <w:keepLines w:val="0"/>
        <w:pageBreakBefore w:val="0"/>
        <w:widowControl w:val="0"/>
        <w:numPr>
          <w:ilvl w:val="0"/>
          <w:numId w:val="0"/>
        </w:numPr>
        <w:pBdr>
          <w:bottom w:val="single" w:color="FFFFFF" w:sz="4" w:space="27"/>
        </w:pBdr>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2020年本年支出合计</w:t>
      </w:r>
      <w:r>
        <w:rPr>
          <w:rFonts w:hint="eastAsia" w:ascii="仿宋_GB2312" w:eastAsia="仿宋_GB2312"/>
          <w:sz w:val="32"/>
          <w:szCs w:val="32"/>
          <w:lang w:val="en-US" w:eastAsia="zh-CN"/>
        </w:rPr>
        <w:t>11266.49</w:t>
      </w:r>
      <w:r>
        <w:rPr>
          <w:rFonts w:hint="eastAsia" w:ascii="仿宋_GB2312" w:eastAsia="仿宋_GB2312"/>
          <w:sz w:val="32"/>
          <w:szCs w:val="32"/>
          <w:lang w:eastAsia="zh-CN"/>
        </w:rPr>
        <w:t>万元，其中：基本支出</w:t>
      </w:r>
      <w:r>
        <w:rPr>
          <w:rFonts w:hint="eastAsia" w:ascii="仿宋_GB2312" w:eastAsia="仿宋_GB2312"/>
          <w:sz w:val="32"/>
          <w:szCs w:val="32"/>
          <w:lang w:val="en-US" w:eastAsia="zh-CN"/>
        </w:rPr>
        <w:t>2206.92</w:t>
      </w:r>
      <w:r>
        <w:rPr>
          <w:rFonts w:hint="eastAsia" w:ascii="仿宋_GB2312" w:eastAsia="仿宋_GB2312"/>
          <w:sz w:val="32"/>
          <w:szCs w:val="32"/>
          <w:lang w:eastAsia="zh-CN"/>
        </w:rPr>
        <w:t>万元，占</w:t>
      </w:r>
      <w:r>
        <w:rPr>
          <w:rFonts w:hint="eastAsia" w:ascii="仿宋_GB2312" w:eastAsia="仿宋_GB2312"/>
          <w:sz w:val="32"/>
          <w:szCs w:val="32"/>
          <w:lang w:val="en-US" w:eastAsia="zh-CN"/>
        </w:rPr>
        <w:t>19.59</w:t>
      </w:r>
      <w:r>
        <w:rPr>
          <w:rFonts w:hint="eastAsia" w:ascii="仿宋_GB2312" w:eastAsia="仿宋_GB2312"/>
          <w:sz w:val="32"/>
          <w:szCs w:val="32"/>
          <w:lang w:eastAsia="zh-CN"/>
        </w:rPr>
        <w:t>%；项目支出</w:t>
      </w:r>
      <w:r>
        <w:rPr>
          <w:rFonts w:hint="eastAsia" w:ascii="仿宋_GB2312" w:eastAsia="仿宋_GB2312"/>
          <w:sz w:val="32"/>
          <w:szCs w:val="32"/>
          <w:lang w:val="en-US" w:eastAsia="zh-CN"/>
        </w:rPr>
        <w:t>9059.57</w:t>
      </w:r>
      <w:r>
        <w:rPr>
          <w:rFonts w:hint="eastAsia" w:ascii="仿宋_GB2312" w:eastAsia="仿宋_GB2312"/>
          <w:sz w:val="32"/>
          <w:szCs w:val="32"/>
          <w:lang w:eastAsia="zh-CN"/>
        </w:rPr>
        <w:t>万元，占</w:t>
      </w:r>
      <w:r>
        <w:rPr>
          <w:rFonts w:hint="eastAsia" w:ascii="仿宋_GB2312" w:eastAsia="仿宋_GB2312"/>
          <w:sz w:val="32"/>
          <w:szCs w:val="32"/>
          <w:lang w:val="en-US" w:eastAsia="zh-CN"/>
        </w:rPr>
        <w:t>80.41</w:t>
      </w:r>
      <w:r>
        <w:rPr>
          <w:rFonts w:hint="eastAsia" w:ascii="仿宋_GB2312" w:eastAsia="仿宋_GB2312"/>
          <w:sz w:val="32"/>
          <w:szCs w:val="32"/>
          <w:lang w:eastAsia="zh-CN"/>
        </w:rPr>
        <w:t>%；上缴上级支出</w:t>
      </w:r>
      <w:r>
        <w:rPr>
          <w:rFonts w:hint="eastAsia" w:ascii="仿宋_GB2312" w:eastAsia="仿宋_GB2312"/>
          <w:sz w:val="32"/>
          <w:szCs w:val="32"/>
          <w:lang w:val="en-US" w:eastAsia="zh-CN"/>
        </w:rPr>
        <w:t>0</w:t>
      </w:r>
      <w:r>
        <w:rPr>
          <w:rFonts w:hint="eastAsia" w:ascii="仿宋_GB2312" w:eastAsia="仿宋_GB2312"/>
          <w:sz w:val="32"/>
          <w:szCs w:val="32"/>
          <w:lang w:eastAsia="zh-CN"/>
        </w:rPr>
        <w:t>万元，经营支出</w:t>
      </w:r>
      <w:r>
        <w:rPr>
          <w:rFonts w:hint="eastAsia" w:ascii="仿宋_GB2312" w:eastAsia="仿宋_GB2312"/>
          <w:sz w:val="32"/>
          <w:szCs w:val="32"/>
          <w:lang w:val="en-US" w:eastAsia="zh-CN"/>
        </w:rPr>
        <w:t>0</w:t>
      </w:r>
      <w:r>
        <w:rPr>
          <w:rFonts w:hint="eastAsia" w:ascii="仿宋_GB2312" w:eastAsia="仿宋_GB2312"/>
          <w:sz w:val="32"/>
          <w:szCs w:val="32"/>
          <w:lang w:eastAsia="zh-CN"/>
        </w:rPr>
        <w:t>万元，对附属单位补助支出</w:t>
      </w:r>
      <w:r>
        <w:rPr>
          <w:rFonts w:hint="eastAsia" w:ascii="仿宋_GB2312" w:eastAsia="仿宋_GB2312"/>
          <w:sz w:val="32"/>
          <w:szCs w:val="32"/>
          <w:lang w:val="en-US" w:eastAsia="zh-CN"/>
        </w:rPr>
        <w:t>0</w:t>
      </w:r>
      <w:r>
        <w:rPr>
          <w:rFonts w:hint="eastAsia" w:ascii="仿宋_GB2312" w:eastAsia="仿宋_GB2312"/>
          <w:sz w:val="32"/>
          <w:szCs w:val="32"/>
          <w:lang w:eastAsia="zh-CN"/>
        </w:rPr>
        <w:t>万元。</w:t>
      </w:r>
    </w:p>
    <w:p>
      <w:pPr>
        <w:spacing w:line="600" w:lineRule="exact"/>
        <w:ind w:firstLine="640"/>
        <w:rPr>
          <w:rFonts w:ascii="仿宋" w:hAnsi="仿宋" w:eastAsia="仿宋"/>
          <w:color w:val="000000"/>
          <w:sz w:val="32"/>
          <w:szCs w:val="32"/>
          <w:shd w:val="pct10" w:color="auto" w:fill="FFFFFF"/>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1312" behindDoc="0" locked="0" layoutInCell="1" allowOverlap="1">
            <wp:simplePos x="0" y="0"/>
            <wp:positionH relativeFrom="column">
              <wp:posOffset>490220</wp:posOffset>
            </wp:positionH>
            <wp:positionV relativeFrom="paragraph">
              <wp:posOffset>93345</wp:posOffset>
            </wp:positionV>
            <wp:extent cx="4219575" cy="2541270"/>
            <wp:effectExtent l="4445" t="4445" r="5080" b="698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rPr>
          <w:rFonts w:ascii="仿宋" w:hAnsi="仿宋" w:eastAsia="仿宋"/>
          <w:color w:val="000000"/>
          <w:sz w:val="32"/>
          <w:szCs w:val="32"/>
          <w:shd w:val="pct10" w:color="auto" w:fill="FFFFFF"/>
        </w:rPr>
      </w:pPr>
    </w:p>
    <w:p>
      <w:pPr>
        <w:spacing w:line="600" w:lineRule="exact"/>
        <w:ind w:firstLine="640"/>
        <w:rPr>
          <w:rFonts w:ascii="仿宋" w:hAnsi="仿宋" w:eastAsia="仿宋"/>
          <w:color w:val="000000"/>
          <w:sz w:val="32"/>
          <w:szCs w:val="32"/>
          <w:shd w:val="pct10" w:color="auto" w:fill="FFFFFF"/>
        </w:rPr>
      </w:pPr>
    </w:p>
    <w:p>
      <w:pPr>
        <w:spacing w:line="600" w:lineRule="exact"/>
        <w:ind w:firstLine="640"/>
        <w:rPr>
          <w:rFonts w:ascii="仿宋" w:hAnsi="仿宋" w:eastAsia="仿宋"/>
          <w:color w:val="000000"/>
          <w:sz w:val="32"/>
          <w:szCs w:val="32"/>
          <w:shd w:val="pct10" w:color="auto" w:fill="FFFFFF"/>
        </w:rPr>
      </w:pPr>
    </w:p>
    <w:p>
      <w:pPr>
        <w:spacing w:line="600" w:lineRule="exact"/>
        <w:ind w:firstLine="640"/>
        <w:rPr>
          <w:rFonts w:ascii="仿宋" w:hAnsi="仿宋" w:eastAsia="仿宋"/>
          <w:color w:val="000000"/>
          <w:sz w:val="32"/>
          <w:szCs w:val="32"/>
          <w:shd w:val="pct10" w:color="auto" w:fill="FFFFFF"/>
        </w:rPr>
      </w:pPr>
    </w:p>
    <w:p>
      <w:pPr>
        <w:spacing w:line="600" w:lineRule="exact"/>
        <w:ind w:firstLine="640"/>
        <w:rPr>
          <w:rFonts w:ascii="仿宋" w:hAnsi="仿宋" w:eastAsia="仿宋"/>
          <w:color w:val="000000"/>
          <w:sz w:val="32"/>
          <w:szCs w:val="32"/>
          <w:shd w:val="pct10" w:color="auto" w:fill="FFFFFF"/>
        </w:rPr>
      </w:pPr>
    </w:p>
    <w:p>
      <w:pPr>
        <w:tabs>
          <w:tab w:val="left" w:pos="921"/>
        </w:tabs>
        <w:spacing w:line="600" w:lineRule="exact"/>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tab/>
      </w:r>
    </w:p>
    <w:p>
      <w:pPr>
        <w:spacing w:line="600" w:lineRule="exact"/>
        <w:ind w:firstLine="1280" w:firstLineChars="4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图3：支出决算结构图（单位：万元）</w:t>
      </w:r>
    </w:p>
    <w:p>
      <w:pPr>
        <w:spacing w:line="600" w:lineRule="exact"/>
        <w:ind w:firstLine="640"/>
        <w:rPr>
          <w:rFonts w:ascii="仿宋" w:hAnsi="仿宋" w:eastAsia="仿宋"/>
          <w:color w:val="000000"/>
          <w:sz w:val="32"/>
          <w:szCs w:val="32"/>
          <w:shd w:val="pct10" w:color="auto" w:fill="FFFFFF"/>
        </w:rPr>
      </w:pPr>
    </w:p>
    <w:p>
      <w:pPr>
        <w:spacing w:line="600" w:lineRule="exact"/>
        <w:ind w:firstLine="640" w:firstLineChars="200"/>
        <w:outlineLvl w:val="1"/>
        <w:rPr>
          <w:rStyle w:val="23"/>
          <w:rFonts w:ascii="黑体" w:hAnsi="黑体" w:eastAsia="黑体"/>
          <w:b w:val="0"/>
        </w:rPr>
      </w:pPr>
      <w:bookmarkStart w:id="54" w:name="_Toc15396606"/>
      <w:bookmarkStart w:id="55" w:name="_Toc79163613"/>
      <w:bookmarkStart w:id="56" w:name="_Toc79163863"/>
      <w:bookmarkStart w:id="57" w:name="_Toc15377208"/>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54"/>
      <w:bookmarkEnd w:id="55"/>
      <w:bookmarkEnd w:id="56"/>
      <w:bookmarkEnd w:id="57"/>
    </w:p>
    <w:p>
      <w:pPr>
        <w:keepNext w:val="0"/>
        <w:keepLines w:val="0"/>
        <w:pageBreakBefore w:val="0"/>
        <w:widowControl w:val="0"/>
        <w:numPr>
          <w:ilvl w:val="0"/>
          <w:numId w:val="0"/>
        </w:numPr>
        <w:pBdr>
          <w:bottom w:val="single" w:color="FFFFFF" w:sz="4" w:space="27"/>
        </w:pBdr>
        <w:kinsoku/>
        <w:wordWrap/>
        <w:overflowPunct/>
        <w:topLinePunct w:val="0"/>
        <w:autoSpaceDE/>
        <w:autoSpaceDN/>
        <w:bidi w:val="0"/>
        <w:spacing w:line="560" w:lineRule="exact"/>
        <w:ind w:firstLine="640" w:firstLineChars="200"/>
        <w:textAlignment w:val="auto"/>
        <w:rPr>
          <w:rFonts w:hint="eastAsia" w:ascii="仿宋" w:hAnsi="仿宋" w:eastAsia="仿宋"/>
          <w:color w:val="000000"/>
          <w:sz w:val="32"/>
          <w:szCs w:val="32"/>
          <w:lang w:eastAsia="zh-CN"/>
        </w:rPr>
      </w:pPr>
      <w:r>
        <w:rPr>
          <w:rFonts w:hint="eastAsia" w:ascii="仿宋_GB2312" w:hAnsi="仿宋" w:eastAsia="仿宋_GB2312"/>
          <w:color w:val="000000"/>
          <w:sz w:val="32"/>
          <w:szCs w:val="32"/>
        </w:rPr>
        <w:drawing>
          <wp:anchor distT="0" distB="0" distL="114300" distR="114300" simplePos="0" relativeHeight="251662336" behindDoc="0" locked="0" layoutInCell="1" allowOverlap="1">
            <wp:simplePos x="0" y="0"/>
            <wp:positionH relativeFrom="column">
              <wp:posOffset>384175</wp:posOffset>
            </wp:positionH>
            <wp:positionV relativeFrom="paragraph">
              <wp:posOffset>1463675</wp:posOffset>
            </wp:positionV>
            <wp:extent cx="4257675" cy="2512695"/>
            <wp:effectExtent l="4445" t="4445" r="5080" b="1651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eastAsia="仿宋_GB2312"/>
          <w:sz w:val="32"/>
          <w:szCs w:val="32"/>
        </w:rPr>
        <w:t>2</w:t>
      </w:r>
      <w:r>
        <w:rPr>
          <w:rFonts w:hint="eastAsia" w:ascii="仿宋_GB2312" w:eastAsia="仿宋_GB2312"/>
          <w:sz w:val="32"/>
          <w:szCs w:val="32"/>
          <w:lang w:eastAsia="zh-CN"/>
        </w:rPr>
        <w:t>020年度收、支总计</w:t>
      </w:r>
      <w:r>
        <w:rPr>
          <w:rFonts w:hint="eastAsia" w:ascii="仿宋_GB2312" w:eastAsia="仿宋_GB2312"/>
          <w:sz w:val="32"/>
          <w:szCs w:val="32"/>
          <w:lang w:val="en-US" w:eastAsia="zh-CN"/>
        </w:rPr>
        <w:t>14542.57</w:t>
      </w:r>
      <w:r>
        <w:rPr>
          <w:rFonts w:hint="eastAsia" w:ascii="仿宋_GB2312" w:eastAsia="仿宋_GB2312"/>
          <w:sz w:val="32"/>
          <w:szCs w:val="32"/>
          <w:lang w:eastAsia="zh-CN"/>
        </w:rPr>
        <w:t>万元。与2019年相比，收、支总计各</w:t>
      </w:r>
      <w:r>
        <w:rPr>
          <w:rFonts w:hint="eastAsia" w:ascii="仿宋_GB2312" w:eastAsia="仿宋_GB2312"/>
          <w:sz w:val="32"/>
          <w:szCs w:val="32"/>
        </w:rPr>
        <w:t>增加</w:t>
      </w:r>
      <w:r>
        <w:rPr>
          <w:rFonts w:hint="eastAsia" w:ascii="仿宋_GB2312" w:eastAsia="仿宋_GB2312"/>
          <w:sz w:val="32"/>
          <w:szCs w:val="32"/>
          <w:lang w:val="en-US" w:eastAsia="zh-CN"/>
        </w:rPr>
        <w:t>113.65</w:t>
      </w:r>
      <w:r>
        <w:rPr>
          <w:rFonts w:hint="eastAsia" w:ascii="仿宋_GB2312" w:eastAsia="仿宋_GB2312"/>
          <w:sz w:val="32"/>
          <w:szCs w:val="32"/>
        </w:rPr>
        <w:t>万元，增长</w:t>
      </w:r>
      <w:r>
        <w:rPr>
          <w:rFonts w:hint="eastAsia" w:ascii="仿宋_GB2312" w:eastAsia="仿宋_GB2312"/>
          <w:sz w:val="32"/>
          <w:szCs w:val="32"/>
          <w:lang w:val="en-US" w:eastAsia="zh-CN"/>
        </w:rPr>
        <w:t>0.78</w:t>
      </w:r>
      <w:r>
        <w:rPr>
          <w:rFonts w:hint="eastAsia" w:ascii="仿宋_GB2312" w:eastAsia="仿宋_GB2312"/>
          <w:sz w:val="32"/>
          <w:szCs w:val="32"/>
        </w:rPr>
        <w:t>%。主要变动原因是</w:t>
      </w:r>
      <w:r>
        <w:rPr>
          <w:rFonts w:hint="eastAsia" w:ascii="仿宋_GB2312" w:eastAsia="仿宋_GB2312"/>
          <w:sz w:val="32"/>
          <w:szCs w:val="32"/>
          <w:lang w:eastAsia="zh-CN"/>
        </w:rPr>
        <w:t>新增项目拨款数。</w: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firstLineChars="200"/>
        <w:outlineLvl w:val="1"/>
        <w:rPr>
          <w:rStyle w:val="23"/>
          <w:rFonts w:ascii="黑体" w:hAnsi="黑体" w:eastAsia="黑体"/>
          <w:b w:val="0"/>
        </w:rPr>
      </w:pPr>
      <w:bookmarkStart w:id="58" w:name="_Toc79163614"/>
      <w:bookmarkStart w:id="59" w:name="_Toc15377209"/>
      <w:bookmarkStart w:id="60" w:name="_Toc79163864"/>
      <w:bookmarkStart w:id="61"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3"/>
          <w:rFonts w:hint="eastAsia" w:ascii="黑体" w:hAnsi="黑体" w:eastAsia="黑体"/>
          <w:b w:val="0"/>
        </w:rPr>
        <w:t>般公共预算财政拨款支出决算情况说明</w:t>
      </w:r>
      <w:bookmarkEnd w:id="58"/>
      <w:bookmarkEnd w:id="59"/>
      <w:bookmarkEnd w:id="60"/>
      <w:bookmarkEnd w:id="61"/>
    </w:p>
    <w:p>
      <w:pPr>
        <w:spacing w:line="600" w:lineRule="exact"/>
        <w:ind w:firstLine="643" w:firstLineChars="200"/>
        <w:outlineLvl w:val="2"/>
        <w:rPr>
          <w:rFonts w:ascii="仿宋" w:hAnsi="仿宋" w:eastAsia="仿宋"/>
          <w:b/>
          <w:color w:val="000000"/>
          <w:sz w:val="32"/>
          <w:szCs w:val="32"/>
        </w:rPr>
      </w:pPr>
      <w:bookmarkStart w:id="62" w:name="_Toc79163865"/>
      <w:bookmarkStart w:id="63" w:name="_Toc15377210"/>
      <w:bookmarkStart w:id="64" w:name="_Toc79163615"/>
      <w:r>
        <w:rPr>
          <w:rFonts w:hint="eastAsia" w:ascii="仿宋" w:hAnsi="仿宋" w:eastAsia="仿宋"/>
          <w:b/>
          <w:color w:val="000000"/>
          <w:sz w:val="32"/>
          <w:szCs w:val="32"/>
        </w:rPr>
        <w:t>（一）一般公共预算财政拨款支出决算总体情况</w:t>
      </w:r>
      <w:bookmarkEnd w:id="62"/>
      <w:bookmarkEnd w:id="63"/>
      <w:bookmarkEnd w:id="64"/>
    </w:p>
    <w:p>
      <w:pPr>
        <w:keepNext w:val="0"/>
        <w:keepLines w:val="0"/>
        <w:pageBreakBefore w:val="0"/>
        <w:widowControl w:val="0"/>
        <w:numPr>
          <w:ilvl w:val="0"/>
          <w:numId w:val="0"/>
        </w:numPr>
        <w:pBdr>
          <w:bottom w:val="single" w:color="FFFFFF" w:sz="4" w:space="27"/>
        </w:pBdr>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2020年一般公共预算财政拨款支出</w:t>
      </w:r>
      <w:r>
        <w:rPr>
          <w:rFonts w:hint="eastAsia" w:ascii="仿宋_GB2312" w:eastAsia="仿宋_GB2312"/>
          <w:sz w:val="32"/>
          <w:szCs w:val="32"/>
          <w:lang w:val="en-US" w:eastAsia="zh-CN"/>
        </w:rPr>
        <w:t>11259.86</w:t>
      </w:r>
      <w:r>
        <w:rPr>
          <w:rFonts w:hint="eastAsia" w:ascii="仿宋_GB2312" w:eastAsia="仿宋_GB2312"/>
          <w:sz w:val="32"/>
          <w:szCs w:val="32"/>
          <w:lang w:eastAsia="zh-CN"/>
        </w:rPr>
        <w:t>万元，占本年支出合计的</w:t>
      </w:r>
      <w:r>
        <w:rPr>
          <w:rFonts w:hint="eastAsia" w:ascii="仿宋_GB2312" w:eastAsia="仿宋_GB2312"/>
          <w:sz w:val="32"/>
          <w:szCs w:val="32"/>
          <w:lang w:val="en-US" w:eastAsia="zh-CN"/>
        </w:rPr>
        <w:t>99.94</w:t>
      </w:r>
      <w:r>
        <w:rPr>
          <w:rFonts w:hint="eastAsia" w:ascii="仿宋_GB2312" w:eastAsia="仿宋_GB2312"/>
          <w:sz w:val="32"/>
          <w:szCs w:val="32"/>
          <w:lang w:eastAsia="zh-CN"/>
        </w:rPr>
        <w:t>%。与2019年相比，一般公共预算财政拨款增加</w:t>
      </w:r>
      <w:r>
        <w:rPr>
          <w:rFonts w:hint="eastAsia" w:ascii="仿宋_GB2312" w:eastAsia="仿宋_GB2312"/>
          <w:sz w:val="32"/>
          <w:szCs w:val="32"/>
          <w:lang w:val="en-US" w:eastAsia="zh-CN"/>
        </w:rPr>
        <w:t>865.83</w:t>
      </w:r>
      <w:r>
        <w:rPr>
          <w:rFonts w:hint="eastAsia" w:ascii="仿宋_GB2312" w:eastAsia="仿宋_GB2312"/>
          <w:sz w:val="32"/>
          <w:szCs w:val="32"/>
          <w:lang w:eastAsia="zh-CN"/>
        </w:rPr>
        <w:t>万元，增长</w:t>
      </w:r>
      <w:r>
        <w:rPr>
          <w:rFonts w:hint="eastAsia" w:ascii="仿宋_GB2312" w:eastAsia="仿宋_GB2312"/>
          <w:sz w:val="32"/>
          <w:szCs w:val="32"/>
          <w:lang w:val="en-US" w:eastAsia="zh-CN"/>
        </w:rPr>
        <w:t>8.33</w:t>
      </w:r>
      <w:r>
        <w:rPr>
          <w:rFonts w:hint="eastAsia" w:ascii="仿宋_GB2312" w:eastAsia="仿宋_GB2312"/>
          <w:sz w:val="32"/>
          <w:szCs w:val="32"/>
          <w:lang w:eastAsia="zh-CN"/>
        </w:rPr>
        <w:t>%。主要变动原因是新增项目拨款数。</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594360</wp:posOffset>
            </wp:positionH>
            <wp:positionV relativeFrom="paragraph">
              <wp:posOffset>222250</wp:posOffset>
            </wp:positionV>
            <wp:extent cx="4523740" cy="2408555"/>
            <wp:effectExtent l="4445" t="4445" r="5715" b="6350"/>
            <wp:wrapSquare wrapText="bothSides"/>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left="1278" w:leftChars="304" w:hanging="640" w:hangingChars="200"/>
        <w:rPr>
          <w:rFonts w:hint="eastAsia" w:ascii="仿宋" w:hAnsi="仿宋" w:eastAsia="仿宋"/>
          <w:color w:val="000000" w:themeColor="text1"/>
          <w:sz w:val="32"/>
          <w:szCs w:val="32"/>
          <w14:textFill>
            <w14:solidFill>
              <w14:schemeClr w14:val="tx1"/>
            </w14:solidFill>
          </w14:textFill>
        </w:rPr>
      </w:pPr>
    </w:p>
    <w:p>
      <w:pPr>
        <w:spacing w:line="600" w:lineRule="exact"/>
        <w:ind w:left="1277" w:leftChars="608" w:firstLine="0" w:firstLineChars="0"/>
        <w:rPr>
          <w:rFonts w:ascii="仿宋" w:hAnsi="仿宋" w:eastAsia="仿宋"/>
          <w:color w:val="000000"/>
          <w:sz w:val="32"/>
          <w:szCs w:val="32"/>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w:t>
      </w:r>
    </w:p>
    <w:p>
      <w:pPr>
        <w:spacing w:line="600" w:lineRule="exact"/>
        <w:ind w:firstLine="321" w:firstLineChars="100"/>
        <w:outlineLvl w:val="2"/>
        <w:rPr>
          <w:rFonts w:ascii="仿宋" w:hAnsi="仿宋" w:eastAsia="仿宋"/>
          <w:b/>
          <w:color w:val="000000"/>
          <w:sz w:val="32"/>
          <w:szCs w:val="32"/>
        </w:rPr>
      </w:pPr>
      <w:bookmarkStart w:id="65" w:name="_Toc79163866"/>
      <w:bookmarkStart w:id="66" w:name="_Toc79163616"/>
      <w:bookmarkStart w:id="67" w:name="_Toc15377211"/>
      <w:r>
        <w:rPr>
          <w:rFonts w:hint="eastAsia" w:ascii="仿宋" w:hAnsi="仿宋" w:eastAsia="仿宋"/>
          <w:b/>
          <w:color w:val="000000"/>
          <w:sz w:val="32"/>
          <w:szCs w:val="32"/>
        </w:rPr>
        <w:t>（二）一般公共预算财政拨款支出决算结构情况</w:t>
      </w:r>
      <w:bookmarkEnd w:id="65"/>
      <w:bookmarkEnd w:id="66"/>
      <w:bookmarkEnd w:id="67"/>
    </w:p>
    <w:p>
      <w:pPr>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2020年一般公共预算财政拨款支出11259.86万元，主要用于以下方面:一般公共服务（类）支出0万元,教育支出（类）0万元，科学技术（类）支出0万元,文化旅游体育与传媒（类）支出395.62万元，占3.51%；社会保障和就业（类）支出207.73万元，占1.84%；卫生健康支出111.42万元，占0.99%；住房保障支出149.91万元，占1.33%；</w:t>
      </w:r>
      <w:r>
        <w:rPr>
          <w:rFonts w:hint="eastAsia" w:ascii="仿宋_GB2312" w:eastAsia="仿宋_GB2312"/>
          <w:sz w:val="32"/>
          <w:szCs w:val="32"/>
          <w:lang w:eastAsia="zh-CN"/>
        </w:rPr>
        <w:t>节能环保(类)支出</w:t>
      </w:r>
      <w:r>
        <w:rPr>
          <w:rFonts w:hint="eastAsia" w:ascii="仿宋_GB2312" w:eastAsia="仿宋_GB2312"/>
          <w:sz w:val="32"/>
          <w:szCs w:val="32"/>
          <w:lang w:val="en-US" w:eastAsia="zh-CN"/>
        </w:rPr>
        <w:t>2167.85</w:t>
      </w:r>
      <w:r>
        <w:rPr>
          <w:rFonts w:hint="eastAsia" w:ascii="仿宋_GB2312" w:eastAsia="仿宋_GB2312"/>
          <w:sz w:val="32"/>
          <w:szCs w:val="32"/>
          <w:lang w:eastAsia="zh-CN"/>
        </w:rPr>
        <w:t>万元，占</w:t>
      </w:r>
      <w:r>
        <w:rPr>
          <w:rFonts w:hint="eastAsia" w:ascii="仿宋_GB2312" w:eastAsia="仿宋_GB2312"/>
          <w:sz w:val="32"/>
          <w:szCs w:val="32"/>
          <w:lang w:val="en-US" w:eastAsia="zh-CN"/>
        </w:rPr>
        <w:t>19.25</w:t>
      </w:r>
      <w:r>
        <w:rPr>
          <w:rFonts w:hint="eastAsia" w:ascii="仿宋_GB2312" w:eastAsia="仿宋_GB2312"/>
          <w:sz w:val="32"/>
          <w:szCs w:val="32"/>
          <w:lang w:eastAsia="zh-CN"/>
        </w:rPr>
        <w:t>%；农林水（类）支出</w:t>
      </w:r>
      <w:r>
        <w:rPr>
          <w:rFonts w:hint="eastAsia" w:ascii="仿宋_GB2312" w:eastAsia="仿宋_GB2312"/>
          <w:sz w:val="32"/>
          <w:szCs w:val="32"/>
          <w:lang w:val="en-US" w:eastAsia="zh-CN"/>
        </w:rPr>
        <w:t>8206.77</w:t>
      </w:r>
      <w:r>
        <w:rPr>
          <w:rFonts w:hint="eastAsia" w:ascii="仿宋_GB2312" w:eastAsia="仿宋_GB2312"/>
          <w:sz w:val="32"/>
          <w:szCs w:val="32"/>
          <w:lang w:eastAsia="zh-CN"/>
        </w:rPr>
        <w:t>万元，占</w:t>
      </w:r>
      <w:r>
        <w:rPr>
          <w:rFonts w:hint="eastAsia" w:ascii="仿宋_GB2312" w:eastAsia="仿宋_GB2312"/>
          <w:sz w:val="32"/>
          <w:szCs w:val="32"/>
          <w:lang w:val="en-US" w:eastAsia="zh-CN"/>
        </w:rPr>
        <w:t>72.89%；灾害防治及应急管理（类）支出20.56万元；占0.18%。</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471170</wp:posOffset>
            </wp:positionH>
            <wp:positionV relativeFrom="paragraph">
              <wp:posOffset>375285</wp:posOffset>
            </wp:positionV>
            <wp:extent cx="4647565" cy="2656840"/>
            <wp:effectExtent l="4445" t="4445" r="15240" b="5715"/>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hint="eastAsia" w:ascii="仿宋" w:hAnsi="仿宋" w:eastAsia="仿宋"/>
          <w:color w:val="000000"/>
          <w:sz w:val="32"/>
          <w:szCs w:val="32"/>
          <w:lang w:eastAsia="zh-CN"/>
        </w:rPr>
      </w:pPr>
    </w:p>
    <w:p>
      <w:pPr>
        <w:spacing w:line="600" w:lineRule="exact"/>
        <w:ind w:firstLine="960" w:firstLineChars="3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spacing w:line="600" w:lineRule="exact"/>
        <w:ind w:firstLine="643" w:firstLineChars="200"/>
        <w:outlineLvl w:val="2"/>
        <w:rPr>
          <w:rFonts w:ascii="仿宋" w:hAnsi="仿宋" w:eastAsia="仿宋"/>
          <w:b/>
          <w:color w:val="000000"/>
          <w:sz w:val="32"/>
          <w:szCs w:val="32"/>
        </w:rPr>
      </w:pPr>
      <w:bookmarkStart w:id="68" w:name="_Toc79163617"/>
      <w:bookmarkStart w:id="69" w:name="_Toc15377212"/>
      <w:bookmarkStart w:id="70" w:name="_Toc79163867"/>
      <w:r>
        <w:rPr>
          <w:rFonts w:hint="eastAsia" w:ascii="仿宋" w:hAnsi="仿宋" w:eastAsia="仿宋"/>
          <w:b/>
          <w:color w:val="000000"/>
          <w:sz w:val="32"/>
          <w:szCs w:val="32"/>
        </w:rPr>
        <w:t>（三）一般公共预算财政拨款支出决算具体情况</w:t>
      </w:r>
      <w:bookmarkEnd w:id="68"/>
      <w:bookmarkEnd w:id="69"/>
      <w:bookmarkEnd w:id="70"/>
    </w:p>
    <w:p>
      <w:pPr>
        <w:spacing w:line="560" w:lineRule="exact"/>
        <w:ind w:firstLine="640" w:firstLineChars="200"/>
        <w:rPr>
          <w:rFonts w:hint="eastAsia" w:ascii="仿宋" w:hAnsi="仿宋" w:eastAsia="仿宋"/>
          <w:color w:val="000000" w:themeColor="text1"/>
          <w:sz w:val="32"/>
          <w:szCs w:val="32"/>
          <w14:textFill>
            <w14:solidFill>
              <w14:schemeClr w14:val="tx1"/>
            </w14:solidFill>
          </w14:textFill>
        </w:rPr>
      </w:pPr>
      <w:bookmarkStart w:id="71" w:name="_Toc15378460"/>
      <w:bookmarkStart w:id="72" w:name="_Toc15377444"/>
      <w:bookmarkStart w:id="73" w:name="_Toc15377213"/>
      <w:r>
        <w:rPr>
          <w:rFonts w:hint="eastAsia" w:ascii="仿宋" w:hAnsi="仿宋" w:eastAsia="仿宋"/>
          <w:color w:val="000000" w:themeColor="text1"/>
          <w:sz w:val="32"/>
          <w:szCs w:val="32"/>
          <w14:textFill>
            <w14:solidFill>
              <w14:schemeClr w14:val="tx1"/>
            </w14:solidFill>
          </w14:textFill>
        </w:rPr>
        <w:t>2020年一般公共预算支出决算数为</w:t>
      </w:r>
      <w:r>
        <w:rPr>
          <w:rFonts w:hint="eastAsia" w:ascii="仿宋" w:hAnsi="仿宋" w:eastAsia="仿宋"/>
          <w:color w:val="000000" w:themeColor="text1"/>
          <w:sz w:val="32"/>
          <w:szCs w:val="32"/>
          <w:lang w:val="en-US" w:eastAsia="zh-CN"/>
          <w14:textFill>
            <w14:solidFill>
              <w14:schemeClr w14:val="tx1"/>
            </w14:solidFill>
          </w14:textFill>
        </w:rPr>
        <w:t>11259.86</w:t>
      </w:r>
      <w:r>
        <w:rPr>
          <w:rFonts w:hint="eastAsia" w:ascii="仿宋" w:hAnsi="仿宋" w:eastAsia="仿宋"/>
          <w:color w:val="000000" w:themeColor="text1"/>
          <w:sz w:val="32"/>
          <w:szCs w:val="32"/>
          <w14:textFill>
            <w14:solidFill>
              <w14:schemeClr w14:val="tx1"/>
            </w14:solidFill>
          </w14:textFill>
        </w:rPr>
        <w:t>，完成预算</w:t>
      </w:r>
      <w:r>
        <w:rPr>
          <w:rFonts w:hint="eastAsia" w:ascii="仿宋" w:hAnsi="仿宋" w:eastAsia="仿宋"/>
          <w:color w:val="000000" w:themeColor="text1"/>
          <w:sz w:val="32"/>
          <w:szCs w:val="32"/>
          <w:lang w:val="en-US" w:eastAsia="zh-CN"/>
          <w14:textFill>
            <w14:solidFill>
              <w14:schemeClr w14:val="tx1"/>
            </w14:solidFill>
          </w14:textFill>
        </w:rPr>
        <w:t>77.46</w:t>
      </w:r>
      <w:r>
        <w:rPr>
          <w:rFonts w:hint="eastAsia" w:ascii="仿宋" w:hAnsi="仿宋" w:eastAsia="仿宋"/>
          <w:color w:val="000000" w:themeColor="text1"/>
          <w:sz w:val="32"/>
          <w:szCs w:val="32"/>
          <w14:textFill>
            <w14:solidFill>
              <w14:schemeClr w14:val="tx1"/>
            </w14:solidFill>
          </w14:textFill>
        </w:rPr>
        <w:t>%。其中：</w:t>
      </w:r>
      <w:bookmarkEnd w:id="71"/>
      <w:bookmarkEnd w:id="72"/>
      <w:bookmarkEnd w:id="73"/>
    </w:p>
    <w:p>
      <w:pPr>
        <w:spacing w:line="560" w:lineRule="exact"/>
        <w:ind w:firstLine="640" w:firstLineChars="200"/>
        <w:rPr>
          <w:rFonts w:ascii="仿宋" w:hAnsi="仿宋" w:eastAsia="仿宋"/>
          <w:color w:val="000000"/>
          <w:sz w:val="32"/>
          <w:szCs w:val="32"/>
        </w:rPr>
      </w:pPr>
      <w:r>
        <w:rPr>
          <w:rStyle w:val="20"/>
          <w:rFonts w:hint="eastAsia" w:ascii="仿宋" w:hAnsi="仿宋" w:eastAsia="仿宋"/>
          <w:b w:val="0"/>
          <w:bCs/>
          <w:color w:val="000000"/>
          <w:sz w:val="32"/>
          <w:szCs w:val="32"/>
        </w:rPr>
        <w:t>1</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文化旅游体育与传媒（类）文化和旅游（款）其他文化和旅游支出（项）</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395.62</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，决算数等于预算数。</w:t>
      </w:r>
    </w:p>
    <w:p>
      <w:pPr>
        <w:spacing w:line="560" w:lineRule="exact"/>
        <w:ind w:firstLine="640" w:firstLineChars="200"/>
        <w:rPr>
          <w:rFonts w:ascii="仿宋" w:hAnsi="仿宋" w:eastAsia="仿宋"/>
          <w:color w:val="000000"/>
          <w:sz w:val="32"/>
          <w:szCs w:val="32"/>
        </w:rPr>
      </w:pPr>
      <w:r>
        <w:rPr>
          <w:rStyle w:val="20"/>
          <w:rFonts w:hint="eastAsia" w:ascii="仿宋" w:hAnsi="仿宋" w:eastAsia="仿宋"/>
          <w:b w:val="0"/>
          <w:bCs/>
          <w:color w:val="000000"/>
          <w:sz w:val="32"/>
          <w:szCs w:val="32"/>
        </w:rPr>
        <w:t>2</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社会保障和就业（类）行政事业单位离退休（款）机关事业单位基本养老保险缴费支出（项）机关事业单位职业年金缴费支出（项）</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207.73</w:t>
      </w:r>
      <w:r>
        <w:rPr>
          <w:rStyle w:val="20"/>
          <w:rFonts w:hint="eastAsia" w:ascii="仿宋" w:hAnsi="仿宋" w:eastAsia="仿宋"/>
          <w:b w:val="0"/>
          <w:bCs/>
          <w:color w:val="000000"/>
          <w:sz w:val="32"/>
          <w:szCs w:val="32"/>
        </w:rPr>
        <w:t>万元，完成预算100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，决算数等于预算数。</w:t>
      </w:r>
    </w:p>
    <w:p>
      <w:pPr>
        <w:spacing w:line="560" w:lineRule="exact"/>
        <w:ind w:firstLine="640" w:firstLineChars="200"/>
        <w:rPr>
          <w:rFonts w:ascii="仿宋" w:hAnsi="仿宋" w:eastAsia="仿宋"/>
          <w:color w:val="000000"/>
          <w:sz w:val="32"/>
          <w:szCs w:val="32"/>
        </w:rPr>
      </w:pPr>
      <w:r>
        <w:rPr>
          <w:rStyle w:val="20"/>
          <w:rFonts w:hint="eastAsia" w:ascii="仿宋" w:hAnsi="仿宋" w:eastAsia="仿宋"/>
          <w:b w:val="0"/>
          <w:bCs/>
          <w:color w:val="000000"/>
          <w:sz w:val="32"/>
          <w:szCs w:val="32"/>
        </w:rPr>
        <w:t>3</w:t>
      </w:r>
      <w:r>
        <w:rPr>
          <w:rStyle w:val="20"/>
          <w:rFonts w:ascii="仿宋" w:hAnsi="仿宋" w:eastAsia="仿宋"/>
          <w:b w:val="0"/>
          <w:bCs/>
          <w:color w:val="000000"/>
          <w:sz w:val="32"/>
          <w:szCs w:val="32"/>
        </w:rPr>
        <w:t>.</w:t>
      </w:r>
      <w:r>
        <w:rPr>
          <w:rFonts w:hint="eastAsia" w:ascii="仿宋" w:hAnsi="仿宋" w:eastAsia="仿宋"/>
          <w:bCs/>
          <w:color w:val="000000" w:themeColor="text1"/>
          <w:sz w:val="32"/>
          <w:szCs w:val="32"/>
          <w14:textFill>
            <w14:solidFill>
              <w14:schemeClr w14:val="tx1"/>
            </w14:solidFill>
          </w14:textFill>
        </w:rPr>
        <w:t>卫生健康</w:t>
      </w:r>
      <w:r>
        <w:rPr>
          <w:rStyle w:val="20"/>
          <w:rFonts w:hint="eastAsia" w:ascii="仿宋" w:hAnsi="仿宋" w:eastAsia="仿宋"/>
          <w:b w:val="0"/>
          <w:bCs/>
          <w:color w:val="000000"/>
          <w:sz w:val="32"/>
          <w:szCs w:val="32"/>
        </w:rPr>
        <w:t>（类）行政事业单位医疗（款）行政单位医疗（项）事业单位医疗（项）</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111.42</w:t>
      </w:r>
      <w:r>
        <w:rPr>
          <w:rStyle w:val="20"/>
          <w:rFonts w:hint="eastAsia" w:ascii="仿宋" w:hAnsi="仿宋" w:eastAsia="仿宋"/>
          <w:b w:val="0"/>
          <w:bCs/>
          <w:color w:val="000000"/>
          <w:sz w:val="32"/>
          <w:szCs w:val="32"/>
        </w:rPr>
        <w:t>万元，完成预算100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，决算数等于预算数。</w:t>
      </w:r>
    </w:p>
    <w:p>
      <w:pPr>
        <w:spacing w:line="56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rPr>
        <w:t>4.节能环保（类）自然生态保护（款）生态保护(项)天然林保护（款）社会保险补助（项）退耕还林（款）退耕现金（项）其他节能环保支出（款）其他节能环保支出（项）：支出决算数为</w:t>
      </w:r>
      <w:r>
        <w:rPr>
          <w:rFonts w:hint="eastAsia" w:ascii="仿宋_GB2312" w:eastAsia="仿宋_GB2312"/>
          <w:sz w:val="32"/>
          <w:szCs w:val="32"/>
          <w:lang w:val="en-US" w:eastAsia="zh-CN"/>
        </w:rPr>
        <w:t>2167.85</w:t>
      </w:r>
      <w:r>
        <w:rPr>
          <w:rFonts w:hint="eastAsia" w:ascii="仿宋" w:hAnsi="仿宋" w:eastAsia="仿宋"/>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52.77</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，决算数小于预算数的主要原因是项目正在实施中，资金还未支付完成。</w:t>
      </w:r>
    </w:p>
    <w:p>
      <w:pPr>
        <w:spacing w:line="560" w:lineRule="exact"/>
        <w:ind w:firstLine="640" w:firstLineChars="200"/>
        <w:rPr>
          <w:rStyle w:val="20"/>
          <w:rFonts w:ascii="仿宋" w:hAnsi="仿宋" w:eastAsia="仿宋"/>
          <w:b w:val="0"/>
          <w:bCs/>
          <w:color w:val="000000"/>
          <w:sz w:val="32"/>
          <w:szCs w:val="32"/>
        </w:rPr>
      </w:pPr>
      <w:r>
        <w:rPr>
          <w:rFonts w:hint="eastAsia" w:ascii="仿宋" w:hAnsi="仿宋" w:eastAsia="仿宋"/>
          <w:color w:val="000000"/>
          <w:sz w:val="32"/>
          <w:szCs w:val="32"/>
        </w:rPr>
        <w:t>5.住房保障（类）住房改革支出（款）住房公积金（项）购房补贴（项）：支出决算数为</w:t>
      </w:r>
      <w:r>
        <w:rPr>
          <w:rFonts w:hint="eastAsia" w:ascii="仿宋_GB2312" w:eastAsia="仿宋_GB2312"/>
          <w:sz w:val="32"/>
          <w:szCs w:val="32"/>
          <w:lang w:val="en-US" w:eastAsia="zh-CN"/>
        </w:rPr>
        <w:t>149.91</w:t>
      </w:r>
      <w:r>
        <w:rPr>
          <w:rFonts w:hint="eastAsia" w:ascii="仿宋" w:hAnsi="仿宋" w:eastAsia="仿宋"/>
          <w:color w:val="000000"/>
          <w:sz w:val="32"/>
          <w:szCs w:val="32"/>
        </w:rPr>
        <w:t>万元，</w:t>
      </w:r>
      <w:r>
        <w:rPr>
          <w:rStyle w:val="20"/>
          <w:rFonts w:hint="eastAsia" w:ascii="仿宋" w:hAnsi="仿宋" w:eastAsia="仿宋"/>
          <w:b w:val="0"/>
          <w:bCs/>
          <w:color w:val="000000"/>
          <w:sz w:val="32"/>
          <w:szCs w:val="32"/>
        </w:rPr>
        <w:t>完成预算100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，决算数等于预算数。</w:t>
      </w:r>
    </w:p>
    <w:p>
      <w:pPr>
        <w:spacing w:line="560" w:lineRule="exact"/>
        <w:ind w:firstLine="640" w:firstLineChars="200"/>
        <w:rPr>
          <w:rFonts w:ascii="仿宋" w:hAnsi="仿宋" w:eastAsia="仿宋"/>
          <w:b/>
          <w:color w:val="000000"/>
          <w:sz w:val="32"/>
          <w:szCs w:val="32"/>
        </w:rPr>
      </w:pPr>
      <w:r>
        <w:rPr>
          <w:rStyle w:val="20"/>
          <w:rFonts w:hint="eastAsia" w:ascii="仿宋" w:hAnsi="仿宋" w:eastAsia="仿宋"/>
          <w:b w:val="0"/>
          <w:bCs/>
          <w:color w:val="000000"/>
          <w:sz w:val="32"/>
          <w:szCs w:val="32"/>
        </w:rPr>
        <w:t>6.农林水支出（类）林业和草原（款）行政运行（项）一般行政管理事务（项）事业机构（项）森林培育（项）森林资源管理（项）森林生态效益补偿（项）自然保护区等管理（项）动植物保护（项）防灾减灾（项）草原管理（项）其他林业和草原支出（项）扶贫（款）生产发展（项）其他扶贫支出（项）:</w:t>
      </w:r>
      <w:r>
        <w:rPr>
          <w:rFonts w:hint="eastAsia" w:ascii="仿宋" w:hAnsi="仿宋" w:eastAsia="仿宋"/>
          <w:color w:val="000000"/>
          <w:sz w:val="32"/>
          <w:szCs w:val="32"/>
        </w:rPr>
        <w:t xml:space="preserve"> 支出决算数为</w:t>
      </w:r>
      <w:r>
        <w:rPr>
          <w:rFonts w:hint="eastAsia" w:ascii="仿宋_GB2312" w:eastAsia="仿宋_GB2312"/>
          <w:sz w:val="32"/>
          <w:szCs w:val="32"/>
          <w:lang w:val="en-US" w:eastAsia="zh-CN"/>
        </w:rPr>
        <w:t>8206.77</w:t>
      </w:r>
      <w:r>
        <w:rPr>
          <w:rFonts w:hint="eastAsia" w:ascii="仿宋" w:hAnsi="仿宋" w:eastAsia="仿宋"/>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92.5</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，决算数小于预算数的主要原因是项目正在实施中，资金还未支付完成。</w:t>
      </w:r>
    </w:p>
    <w:p>
      <w:pPr>
        <w:spacing w:line="560" w:lineRule="exact"/>
        <w:ind w:firstLine="640" w:firstLineChars="200"/>
        <w:outlineLvl w:val="2"/>
        <w:rPr>
          <w:rFonts w:hint="default" w:ascii="仿宋" w:hAnsi="仿宋" w:eastAsia="仿宋"/>
          <w:b/>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7.灾害防治及应急管理支出（类）自然灾害防治（款）森林草原防灾减灾（款）：</w:t>
      </w:r>
      <w:r>
        <w:rPr>
          <w:rFonts w:hint="eastAsia" w:ascii="仿宋" w:hAnsi="仿宋" w:eastAsia="仿宋"/>
          <w:color w:val="000000"/>
          <w:sz w:val="32"/>
          <w:szCs w:val="32"/>
        </w:rPr>
        <w:t>支出决算数为</w:t>
      </w:r>
      <w:r>
        <w:rPr>
          <w:rFonts w:hint="eastAsia" w:ascii="仿宋_GB2312" w:eastAsia="仿宋_GB2312"/>
          <w:sz w:val="32"/>
          <w:szCs w:val="32"/>
          <w:lang w:val="en-US" w:eastAsia="zh-CN"/>
        </w:rPr>
        <w:t>20.56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Style w:val="20"/>
          <w:rFonts w:hint="eastAsia" w:ascii="仿宋" w:hAnsi="仿宋" w:eastAsia="仿宋"/>
          <w:b w:val="0"/>
          <w:bCs/>
          <w:color w:val="000000"/>
          <w:sz w:val="32"/>
          <w:szCs w:val="32"/>
        </w:rPr>
        <w:t>决算</w:t>
      </w:r>
      <w:r>
        <w:rPr>
          <w:rStyle w:val="20"/>
          <w:rFonts w:hint="eastAsia" w:ascii="仿宋" w:hAnsi="仿宋" w:eastAsia="仿宋"/>
          <w:b w:val="0"/>
          <w:bCs/>
          <w:color w:val="000000" w:themeColor="text1"/>
          <w:sz w:val="32"/>
          <w:szCs w:val="32"/>
          <w14:textFill>
            <w14:solidFill>
              <w14:schemeClr w14:val="tx1"/>
            </w14:solidFill>
          </w14:textFill>
        </w:rPr>
        <w:t>数小于预算数的主要原因是</w:t>
      </w:r>
      <w:r>
        <w:rPr>
          <w:rStyle w:val="20"/>
          <w:rFonts w:hint="eastAsia" w:ascii="仿宋" w:hAnsi="仿宋" w:eastAsia="仿宋"/>
          <w:b w:val="0"/>
          <w:bCs/>
          <w:color w:val="000000" w:themeColor="text1"/>
          <w:sz w:val="32"/>
          <w:szCs w:val="32"/>
          <w:lang w:val="en-US" w:eastAsia="zh-CN"/>
          <w14:textFill>
            <w14:solidFill>
              <w14:schemeClr w14:val="tx1"/>
            </w14:solidFill>
          </w14:textFill>
        </w:rPr>
        <w:t>121万元由茂县森林草原专业扑火队工资（40万）元和森林草原防灭火基础设施建设专项整治项目(81万元)构成，40万元为2012年12月-2021年1月扑火队工资，所以2020年12月只支付了12月工资及保险20.56万元，森林草原防灭火基础设施建设专项整治项目未完成，资金未支付。</w:t>
      </w:r>
    </w:p>
    <w:p>
      <w:pPr>
        <w:tabs>
          <w:tab w:val="right" w:pos="8306"/>
        </w:tabs>
        <w:spacing w:line="600" w:lineRule="exact"/>
        <w:ind w:firstLine="640"/>
        <w:outlineLvl w:val="1"/>
        <w:rPr>
          <w:rStyle w:val="23"/>
        </w:rPr>
      </w:pPr>
      <w:bookmarkStart w:id="74" w:name="_Toc79163868"/>
      <w:bookmarkStart w:id="75" w:name="_Toc79163618"/>
      <w:bookmarkStart w:id="76" w:name="_Toc15377214"/>
      <w:bookmarkStart w:id="77"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3"/>
          <w:rFonts w:hint="eastAsia" w:ascii="黑体" w:hAnsi="黑体" w:eastAsia="黑体"/>
          <w:b w:val="0"/>
        </w:rPr>
        <w:t>般公共预算财政拨款基本支出决算情况说明</w:t>
      </w:r>
      <w:bookmarkEnd w:id="74"/>
      <w:bookmarkEnd w:id="75"/>
      <w:bookmarkEnd w:id="76"/>
      <w:bookmarkEnd w:id="77"/>
      <w:r>
        <w:rPr>
          <w:rStyle w:val="23"/>
          <w:rFonts w:ascii="黑体" w:hAnsi="黑体" w:eastAsia="黑体"/>
          <w:b w:val="0"/>
        </w:rPr>
        <w:tab/>
      </w:r>
    </w:p>
    <w:p>
      <w:pPr>
        <w:spacing w:line="560" w:lineRule="exact"/>
        <w:ind w:firstLine="640" w:firstLineChars="200"/>
        <w:outlineLvl w:val="2"/>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2020年一般公共预算财政拨款基本支出2206.92万元，其中：人员经费2115.85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560" w:lineRule="exact"/>
        <w:ind w:firstLine="640" w:firstLineChars="200"/>
        <w:outlineLvl w:val="2"/>
        <w:rPr>
          <w:rFonts w:ascii="仿宋" w:hAnsi="仿宋" w:eastAsia="仿宋"/>
          <w:b/>
          <w:color w:val="FF0000"/>
          <w:sz w:val="32"/>
          <w:szCs w:val="32"/>
        </w:rPr>
      </w:pPr>
      <w:r>
        <w:rPr>
          <w:rFonts w:hint="eastAsia" w:ascii="仿宋" w:hAnsi="仿宋" w:eastAsia="仿宋"/>
          <w:color w:val="000000" w:themeColor="text1"/>
          <w:sz w:val="32"/>
          <w:szCs w:val="32"/>
          <w:lang w:val="en-US" w:eastAsia="zh-CN"/>
          <w14:textFill>
            <w14:solidFill>
              <w14:schemeClr w14:val="tx1"/>
            </w14:solidFill>
          </w14:textFill>
        </w:rPr>
        <w:t>日常公用经费91.07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3"/>
          <w:rFonts w:ascii="黑体" w:hAnsi="黑体" w:eastAsia="黑体"/>
          <w:b w:val="0"/>
        </w:rPr>
      </w:pPr>
      <w:bookmarkStart w:id="78" w:name="_Toc15377215"/>
      <w:bookmarkStart w:id="79" w:name="_Toc15396609"/>
      <w:bookmarkStart w:id="80" w:name="_Toc79163619"/>
      <w:bookmarkStart w:id="81" w:name="_Toc79163869"/>
      <w:r>
        <w:rPr>
          <w:rFonts w:hint="eastAsia" w:ascii="黑体" w:eastAsia="黑体"/>
          <w:color w:val="000000"/>
          <w:sz w:val="32"/>
          <w:szCs w:val="32"/>
        </w:rPr>
        <w:t>七、</w:t>
      </w:r>
      <w:r>
        <w:rPr>
          <w:rStyle w:val="23"/>
          <w:rFonts w:hint="eastAsia" w:ascii="黑体" w:hAnsi="黑体" w:eastAsia="黑体"/>
        </w:rPr>
        <w:t>“</w:t>
      </w:r>
      <w:r>
        <w:rPr>
          <w:rStyle w:val="23"/>
          <w:rFonts w:hint="eastAsia" w:ascii="黑体" w:hAnsi="黑体" w:eastAsia="黑体"/>
          <w:b w:val="0"/>
        </w:rPr>
        <w:t>三公”经费财政拨款支出决算情况说明</w:t>
      </w:r>
      <w:bookmarkEnd w:id="78"/>
      <w:bookmarkEnd w:id="79"/>
      <w:bookmarkEnd w:id="80"/>
      <w:bookmarkEnd w:id="81"/>
    </w:p>
    <w:p>
      <w:pPr>
        <w:spacing w:line="600" w:lineRule="exact"/>
        <w:ind w:firstLine="640"/>
        <w:outlineLvl w:val="2"/>
        <w:rPr>
          <w:rFonts w:ascii="仿宋" w:hAnsi="仿宋" w:eastAsia="仿宋"/>
          <w:b/>
          <w:color w:val="000000"/>
          <w:sz w:val="32"/>
          <w:szCs w:val="32"/>
        </w:rPr>
      </w:pPr>
      <w:bookmarkStart w:id="82" w:name="_Toc79163620"/>
      <w:bookmarkStart w:id="83" w:name="_Toc15377216"/>
      <w:bookmarkStart w:id="84" w:name="_Toc79163870"/>
      <w:r>
        <w:rPr>
          <w:rFonts w:hint="eastAsia" w:ascii="仿宋" w:hAnsi="仿宋" w:eastAsia="仿宋"/>
          <w:b/>
          <w:color w:val="000000"/>
          <w:sz w:val="32"/>
          <w:szCs w:val="32"/>
        </w:rPr>
        <w:t>（一）“三公”经费财政拨款支出决算总体情况说明</w:t>
      </w:r>
      <w:bookmarkEnd w:id="82"/>
      <w:bookmarkEnd w:id="83"/>
      <w:bookmarkEnd w:id="84"/>
    </w:p>
    <w:p>
      <w:pPr>
        <w:spacing w:line="560" w:lineRule="exact"/>
        <w:ind w:firstLine="640" w:firstLineChars="200"/>
        <w:outlineLvl w:val="2"/>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2020年“三公”经费财政拨款支出决算为8.46万元，完成预算100%，决算数等于预算数。</w:t>
      </w:r>
    </w:p>
    <w:p>
      <w:pPr>
        <w:spacing w:line="600" w:lineRule="exact"/>
        <w:ind w:firstLine="640"/>
        <w:outlineLvl w:val="2"/>
        <w:rPr>
          <w:rFonts w:ascii="仿宋" w:hAnsi="仿宋" w:eastAsia="仿宋"/>
          <w:b/>
          <w:color w:val="000000"/>
          <w:sz w:val="32"/>
          <w:szCs w:val="32"/>
        </w:rPr>
      </w:pPr>
      <w:bookmarkStart w:id="85" w:name="_Toc79163621"/>
      <w:bookmarkStart w:id="86" w:name="_Toc15377217"/>
      <w:bookmarkStart w:id="87" w:name="_Toc79163871"/>
      <w:r>
        <w:rPr>
          <w:rFonts w:hint="eastAsia" w:ascii="仿宋" w:hAnsi="仿宋" w:eastAsia="仿宋"/>
          <w:b/>
          <w:color w:val="000000"/>
          <w:sz w:val="32"/>
          <w:szCs w:val="32"/>
        </w:rPr>
        <w:t>（二）“三公”经费财政拨款支出决算具体情况说明</w:t>
      </w:r>
      <w:bookmarkEnd w:id="85"/>
      <w:bookmarkEnd w:id="86"/>
      <w:bookmarkEnd w:id="87"/>
    </w:p>
    <w:p>
      <w:pPr>
        <w:spacing w:line="600" w:lineRule="exact"/>
        <w:ind w:firstLine="640"/>
        <w:rPr>
          <w:rFonts w:hint="eastAsia" w:ascii="仿宋" w:hAnsi="仿宋" w:eastAsia="仿宋"/>
          <w:color w:val="000000" w:themeColor="text1"/>
          <w:sz w:val="32"/>
          <w:szCs w:val="32"/>
          <w:lang w:val="en-US" w:eastAsia="zh-CN"/>
          <w14:textFill>
            <w14:solidFill>
              <w14:schemeClr w14:val="tx1"/>
            </w14:solidFill>
          </w14:textFill>
        </w:rPr>
      </w:pPr>
      <w:r>
        <w:rPr>
          <w:rFonts w:ascii="仿宋" w:hAnsi="仿宋" w:eastAsia="仿宋"/>
          <w:color w:val="000000"/>
          <w:sz w:val="32"/>
          <w:szCs w:val="32"/>
        </w:rPr>
        <w:t>2</w:t>
      </w:r>
      <w:r>
        <w:rPr>
          <w:rFonts w:hint="eastAsia" w:ascii="仿宋" w:hAnsi="仿宋" w:eastAsia="仿宋"/>
          <w:color w:val="000000" w:themeColor="text1"/>
          <w:sz w:val="32"/>
          <w:szCs w:val="32"/>
          <w:lang w:val="en-US" w:eastAsia="zh-CN"/>
          <w14:textFill>
            <w14:solidFill>
              <w14:schemeClr w14:val="tx1"/>
            </w14:solidFill>
          </w14:textFill>
        </w:rPr>
        <w:t>020年“三公”经费财政拨款支出决算中，因公出国（境）费支出决算0万元，公务用车购置及运行维护费支出决算6.5万元，占76.83%；公务接待费支出决算1.96万元，占23.17%。具体情况如下：</w:t>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5408" behindDoc="0" locked="0" layoutInCell="1" allowOverlap="1">
            <wp:simplePos x="0" y="0"/>
            <wp:positionH relativeFrom="column">
              <wp:posOffset>509270</wp:posOffset>
            </wp:positionH>
            <wp:positionV relativeFrom="paragraph">
              <wp:posOffset>194945</wp:posOffset>
            </wp:positionV>
            <wp:extent cx="4001135" cy="2398395"/>
            <wp:effectExtent l="4445" t="4445" r="13970" b="1651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ind w:firstLine="640" w:firstLineChars="200"/>
        <w:rPr>
          <w:rFonts w:hint="eastAsia" w:ascii="仿宋_GB2312" w:eastAsia="仿宋_GB2312"/>
          <w:color w:val="000000"/>
          <w:sz w:val="32"/>
          <w:szCs w:val="32"/>
          <w:lang w:val="en-US" w:eastAsia="zh-CN"/>
        </w:rPr>
      </w:pPr>
    </w:p>
    <w:p>
      <w:pPr>
        <w:spacing w:line="600" w:lineRule="exact"/>
        <w:ind w:firstLine="640" w:firstLineChars="200"/>
        <w:rPr>
          <w:rFonts w:hint="eastAsia" w:ascii="仿宋_GB2312" w:eastAsia="仿宋_GB2312"/>
          <w:color w:val="000000"/>
          <w:sz w:val="32"/>
          <w:szCs w:val="32"/>
          <w:lang w:val="en-US" w:eastAsia="zh-CN"/>
        </w:rPr>
      </w:pPr>
    </w:p>
    <w:p>
      <w:pPr>
        <w:spacing w:line="600" w:lineRule="exact"/>
        <w:ind w:firstLine="1280" w:firstLineChars="4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图7：“三公”经费财政拨款支出结构</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1.因公出国（境）经费支出0万元，全年安排因公出国（境）团组0次,出国（境）0人。因公出国（境）支出决算与2019年持平，主要原因是无因公出国（境）经费支出。</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2.公务用车购置及运行维护费支出6.5万元,完成预算100%。公务用车购置及运行维护费支出决算比2019年减少2.36万元,下降26.63%,主要原因是压缩三公经费支出。</w:t>
      </w:r>
    </w:p>
    <w:p>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其中:公务用车购置支出0万元。全年按规定更新购置公务用车0辆,其中:轿车0辆、金额0万元,越野车0辆、金额0万元,载客汽车0辆、金额0万元。截至2020年12月底，单位共有公务用车22辆，其中:主要领导干部用车0辆、机要通信用车0辆、应急保障用车0辆、 执法执勤用车12辆、其他用车0辆,特种专业技术用车10辆。</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公务用车运行维护费支出6.5万元。主要用于单位职工开展业务活动等所需的公务用车燃料费、维修费、过路过桥费、保险费等支出。</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3.公务接待费支出1.96万元，完成预算100%。公务接待费支出决算比2019年增加0.85万元，增长76.57%。主要原因是正常的公务接待。</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国内公务接待支出1.96万元，主要用于执行公务、开展业务活动开支的交通费、住宿费、用餐费等。国内公务接待28批次，166人次，共计支出1.96万元。</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外事接待支出0万元，外事接待0批次，0人，共计支出0万元</w:t>
      </w:r>
      <w:bookmarkStart w:id="88" w:name="_Toc15377218"/>
      <w:bookmarkStart w:id="89" w:name="_Toc79163622"/>
      <w:bookmarkStart w:id="90" w:name="_Toc15396610"/>
      <w:bookmarkStart w:id="91" w:name="_Toc79163872"/>
      <w:r>
        <w:rPr>
          <w:rFonts w:hint="eastAsia" w:ascii="仿宋_GB2312" w:eastAsia="仿宋_GB2312"/>
          <w:color w:val="000000"/>
          <w:sz w:val="32"/>
          <w:szCs w:val="32"/>
          <w:lang w:val="en-US" w:eastAsia="zh-CN"/>
        </w:rPr>
        <w:t>。</w:t>
      </w:r>
    </w:p>
    <w:p>
      <w:pPr>
        <w:spacing w:line="600" w:lineRule="exact"/>
        <w:ind w:firstLine="640"/>
        <w:outlineLvl w:val="1"/>
        <w:rPr>
          <w:rStyle w:val="23"/>
          <w:rFonts w:ascii="黑体" w:hAnsi="黑体" w:eastAsia="黑体"/>
        </w:rPr>
      </w:pPr>
      <w:r>
        <w:rPr>
          <w:rFonts w:hint="eastAsia" w:ascii="黑体" w:eastAsia="黑体"/>
          <w:color w:val="000000"/>
          <w:sz w:val="32"/>
          <w:szCs w:val="32"/>
        </w:rPr>
        <w:t>八、</w:t>
      </w:r>
      <w:r>
        <w:rPr>
          <w:rStyle w:val="23"/>
          <w:rFonts w:hint="eastAsia" w:ascii="黑体" w:hAnsi="黑体" w:eastAsia="黑体"/>
          <w:b w:val="0"/>
        </w:rPr>
        <w:t>政府性基金预算支出决算情况说明</w:t>
      </w:r>
      <w:bookmarkEnd w:id="88"/>
      <w:bookmarkEnd w:id="89"/>
      <w:bookmarkEnd w:id="90"/>
      <w:bookmarkEnd w:id="91"/>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2020年政府性基金预算拨款支出6.63万元。</w:t>
      </w:r>
    </w:p>
    <w:p>
      <w:pPr>
        <w:numPr>
          <w:ilvl w:val="0"/>
          <w:numId w:val="3"/>
        </w:numPr>
        <w:spacing w:line="600" w:lineRule="exact"/>
        <w:ind w:firstLine="640"/>
        <w:outlineLvl w:val="1"/>
        <w:rPr>
          <w:rStyle w:val="23"/>
          <w:rFonts w:ascii="黑体" w:hAnsi="黑体" w:eastAsia="黑体"/>
          <w:b w:val="0"/>
        </w:rPr>
      </w:pPr>
      <w:bookmarkStart w:id="92" w:name="_Toc15377219"/>
      <w:bookmarkStart w:id="93" w:name="_Toc15396611"/>
      <w:bookmarkStart w:id="94" w:name="_Toc79163873"/>
      <w:bookmarkStart w:id="95" w:name="_Toc79163623"/>
      <w:r>
        <w:rPr>
          <w:rStyle w:val="23"/>
          <w:rFonts w:hint="eastAsia" w:ascii="黑体" w:hAnsi="黑体" w:eastAsia="黑体"/>
          <w:b w:val="0"/>
        </w:rPr>
        <w:t>国有资本经营预算支出决算情况说明</w:t>
      </w:r>
      <w:bookmarkEnd w:id="92"/>
      <w:bookmarkEnd w:id="93"/>
      <w:bookmarkEnd w:id="94"/>
      <w:bookmarkEnd w:id="95"/>
    </w:p>
    <w:p>
      <w:pPr>
        <w:spacing w:line="600" w:lineRule="exact"/>
        <w:ind w:firstLine="64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_GB2312" w:eastAsia="仿宋_GB2312"/>
          <w:color w:val="000000"/>
          <w:sz w:val="32"/>
          <w:szCs w:val="32"/>
          <w:lang w:val="en-US" w:eastAsia="zh-CN"/>
        </w:rPr>
        <w:t>2020年国有资本经营预算拨款支出0万元。</w:t>
      </w:r>
    </w:p>
    <w:p>
      <w:pPr>
        <w:spacing w:line="600" w:lineRule="exact"/>
        <w:ind w:firstLine="640" w:firstLineChars="200"/>
        <w:outlineLvl w:val="1"/>
        <w:rPr>
          <w:rStyle w:val="23"/>
          <w:rFonts w:ascii="黑体" w:hAnsi="黑体" w:eastAsia="黑体"/>
        </w:rPr>
      </w:pPr>
      <w:bookmarkStart w:id="96" w:name="_Toc15396612"/>
      <w:bookmarkStart w:id="97" w:name="_Toc15377221"/>
      <w:bookmarkStart w:id="98" w:name="_Toc79163624"/>
      <w:bookmarkStart w:id="99" w:name="_Toc79163874"/>
      <w:r>
        <w:rPr>
          <w:rFonts w:hint="eastAsia" w:ascii="黑体" w:hAnsi="黑体" w:eastAsia="黑体"/>
          <w:color w:val="000000"/>
          <w:sz w:val="32"/>
          <w:szCs w:val="32"/>
        </w:rPr>
        <w:t>十</w:t>
      </w:r>
      <w:r>
        <w:rPr>
          <w:rStyle w:val="23"/>
          <w:rFonts w:hint="eastAsia" w:ascii="黑体" w:hAnsi="黑体" w:eastAsia="黑体"/>
        </w:rPr>
        <w:t>、</w:t>
      </w:r>
      <w:r>
        <w:rPr>
          <w:rStyle w:val="23"/>
          <w:rFonts w:hint="eastAsia" w:ascii="黑体" w:hAnsi="黑体" w:eastAsia="黑体"/>
          <w:b w:val="0"/>
        </w:rPr>
        <w:t>其他重要事项的情况说明</w:t>
      </w:r>
      <w:bookmarkEnd w:id="96"/>
      <w:bookmarkEnd w:id="97"/>
      <w:bookmarkEnd w:id="98"/>
      <w:bookmarkEnd w:id="99"/>
    </w:p>
    <w:p>
      <w:pPr>
        <w:spacing w:line="600" w:lineRule="exact"/>
        <w:ind w:firstLine="643" w:firstLineChars="200"/>
        <w:outlineLvl w:val="2"/>
        <w:rPr>
          <w:rFonts w:ascii="仿宋" w:hAnsi="仿宋" w:eastAsia="仿宋"/>
          <w:color w:val="000000"/>
          <w:sz w:val="32"/>
          <w:szCs w:val="32"/>
        </w:rPr>
      </w:pPr>
      <w:bookmarkStart w:id="100" w:name="_Toc79163875"/>
      <w:bookmarkStart w:id="101" w:name="_Toc79163625"/>
      <w:bookmarkStart w:id="102" w:name="_Toc15377222"/>
      <w:r>
        <w:rPr>
          <w:rFonts w:hint="eastAsia" w:ascii="仿宋" w:hAnsi="仿宋" w:eastAsia="仿宋"/>
          <w:b/>
          <w:color w:val="000000"/>
          <w:sz w:val="32"/>
          <w:szCs w:val="32"/>
        </w:rPr>
        <w:t>（一）机关运行经费支出情况</w:t>
      </w:r>
      <w:bookmarkEnd w:id="100"/>
      <w:bookmarkEnd w:id="101"/>
      <w:bookmarkEnd w:id="102"/>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茂县林业和草原局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21.28</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6.5%。</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15377223"/>
      <w:bookmarkStart w:id="104" w:name="_Toc79163626"/>
      <w:bookmarkStart w:id="105" w:name="_Toc79163876"/>
      <w:r>
        <w:rPr>
          <w:rFonts w:hint="eastAsia" w:ascii="仿宋" w:hAnsi="仿宋" w:eastAsia="仿宋"/>
          <w:b/>
          <w:color w:val="000000"/>
          <w:sz w:val="32"/>
          <w:szCs w:val="32"/>
        </w:rPr>
        <w:t>（二）政府采购支出情况</w:t>
      </w:r>
      <w:bookmarkEnd w:id="103"/>
      <w:bookmarkEnd w:id="104"/>
      <w:bookmarkEnd w:id="105"/>
    </w:p>
    <w:p>
      <w:pPr>
        <w:spacing w:line="560" w:lineRule="exact"/>
        <w:ind w:firstLine="640" w:firstLineChars="200"/>
        <w:rPr>
          <w:rFonts w:ascii="仿宋" w:hAnsi="仿宋" w:eastAsia="仿宋"/>
          <w:b/>
          <w:color w:val="FF0000"/>
          <w:sz w:val="32"/>
          <w:szCs w:val="32"/>
        </w:rPr>
      </w:pPr>
      <w:r>
        <w:rPr>
          <w:rFonts w:hint="eastAsia" w:ascii="仿宋_GB2312" w:eastAsia="仿宋_GB2312"/>
          <w:color w:val="000000"/>
          <w:sz w:val="32"/>
          <w:szCs w:val="32"/>
          <w:lang w:val="en-US" w:eastAsia="zh-CN"/>
        </w:rPr>
        <w:t>2020年，茂县林业和草原局政府采购支出总额0万元,其中:政府采购货物支出0万元、政府采购工程支出0万元、政府采购服务支出0万元。授予中小企业合同金额0万元,其中:授予小微企业合同金额0万元。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6" w:name="_Toc79163877"/>
      <w:bookmarkStart w:id="107" w:name="_Toc15377224"/>
      <w:bookmarkStart w:id="108" w:name="_Toc79163627"/>
      <w:r>
        <w:rPr>
          <w:rFonts w:hint="eastAsia" w:ascii="仿宋" w:hAnsi="仿宋" w:eastAsia="仿宋"/>
          <w:b/>
          <w:color w:val="000000"/>
          <w:sz w:val="32"/>
          <w:szCs w:val="32"/>
        </w:rPr>
        <w:t>（三）国有资产占有使用情况</w:t>
      </w:r>
      <w:bookmarkEnd w:id="106"/>
      <w:bookmarkEnd w:id="107"/>
      <w:bookmarkEnd w:id="108"/>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w:t>
      </w:r>
      <w:r>
        <w:rPr>
          <w:rFonts w:hint="eastAsia" w:ascii="仿宋_GB2312" w:eastAsia="仿宋_GB2312"/>
          <w:color w:val="000000"/>
          <w:sz w:val="32"/>
          <w:szCs w:val="32"/>
          <w:lang w:eastAsia="zh-CN"/>
        </w:rPr>
        <w:t>茂县林业和草原局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其中</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执法执勤用车</w:t>
      </w:r>
      <w:r>
        <w:rPr>
          <w:rFonts w:hint="eastAsia" w:ascii="仿宋_GB2312" w:eastAsia="仿宋_GB2312"/>
          <w:color w:val="000000"/>
          <w:sz w:val="32"/>
          <w:szCs w:val="32"/>
          <w:lang w:val="en-US" w:eastAsia="zh-CN"/>
        </w:rPr>
        <w:t>12辆,特种专业技术用车10辆,</w:t>
      </w:r>
      <w:r>
        <w:rPr>
          <w:rFonts w:hint="eastAsia" w:ascii="仿宋_GB2312" w:eastAsia="仿宋_GB2312"/>
          <w:color w:val="000000"/>
          <w:sz w:val="32"/>
          <w:szCs w:val="32"/>
        </w:rPr>
        <w:t>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其他用车主要是用于单价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9" w:name="_Toc79163878"/>
      <w:bookmarkStart w:id="110" w:name="_Toc79163628"/>
      <w:r>
        <w:rPr>
          <w:rFonts w:hint="eastAsia" w:ascii="仿宋" w:hAnsi="仿宋" w:eastAsia="仿宋"/>
          <w:b/>
          <w:color w:val="000000"/>
          <w:sz w:val="32"/>
          <w:szCs w:val="32"/>
        </w:rPr>
        <w:t>（四）预算绩效管理情况</w:t>
      </w:r>
      <w:bookmarkEnd w:id="109"/>
      <w:bookmarkEnd w:id="110"/>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w:t>
      </w:r>
      <w:r>
        <w:rPr>
          <w:rFonts w:hint="eastAsia" w:ascii="仿宋_GB2312" w:hAnsi="仿宋_GB2312" w:eastAsia="仿宋_GB2312" w:cs="仿宋_GB2312"/>
          <w:sz w:val="32"/>
          <w:szCs w:val="32"/>
          <w:lang w:eastAsia="zh-CN"/>
        </w:rPr>
        <w:t>茂县林业和草原局</w:t>
      </w:r>
      <w:r>
        <w:rPr>
          <w:rFonts w:hint="eastAsia" w:ascii="仿宋_GB2312" w:hAnsi="仿宋_GB2312" w:eastAsia="仿宋_GB2312" w:cs="仿宋_GB2312"/>
          <w:sz w:val="32"/>
          <w:szCs w:val="32"/>
        </w:rPr>
        <w:t>在年初预算编制阶段，组织对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茂县林业和草原局</w:t>
      </w:r>
      <w:r>
        <w:rPr>
          <w:rFonts w:hint="eastAsia" w:ascii="仿宋_GB2312" w:hAnsi="仿宋_GB2312" w:eastAsia="仿宋_GB2312" w:cs="仿宋_GB2312"/>
          <w:sz w:val="32"/>
          <w:szCs w:val="32"/>
        </w:rPr>
        <w:t>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val="en-US" w:eastAsia="zh-CN"/>
        </w:rPr>
        <w:t>2020</w:t>
      </w:r>
      <w:r>
        <w:rPr>
          <w:rFonts w:hint="eastAsia" w:ascii="仿宋_GB2312" w:eastAsia="仿宋_GB2312"/>
          <w:sz w:val="32"/>
          <w:szCs w:val="32"/>
        </w:rPr>
        <w:t>年我单位整体支出绩效评价自查自评结果良好,全年基本支出保证了单位的正常运行和日常工作的正常开展,项目支出保障了重点工作的开展,绩效目标得到较好实现,绩效管理水平不断提高,绩效指标体系逐渐丰富和完善</w:t>
      </w:r>
      <w:r>
        <w:rPr>
          <w:rFonts w:hint="eastAsia" w:ascii="仿宋_GB2312" w:hAnsi="仿宋_GB2312" w:eastAsia="仿宋_GB2312" w:cs="仿宋_GB2312"/>
          <w:sz w:val="32"/>
          <w:szCs w:val="32"/>
        </w:rPr>
        <w:t>。</w:t>
      </w:r>
    </w:p>
    <w:p>
      <w:p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rPr>
      </w:pPr>
      <w:r>
        <w:rPr>
          <w:rFonts w:hint="eastAsia" w:ascii="仿宋" w:hAnsi="仿宋" w:eastAsia="仿宋"/>
          <w:b/>
          <w:color w:val="000000"/>
          <w:sz w:val="32"/>
          <w:szCs w:val="32"/>
          <w:lang w:val="en-US" w:eastAsia="zh-CN"/>
        </w:rPr>
        <w:t>(五)</w:t>
      </w:r>
      <w:r>
        <w:rPr>
          <w:rFonts w:hint="eastAsia" w:ascii="仿宋" w:hAnsi="仿宋" w:eastAsia="仿宋"/>
          <w:b/>
          <w:color w:val="000000"/>
          <w:sz w:val="32"/>
          <w:szCs w:val="32"/>
        </w:rPr>
        <w:t>项目绩效目标完成情况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生态护林员</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草原管护</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完善退耕还林政策补助资金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社会保险补助资金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大熊猫国家公园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r>
        <w:rPr>
          <w:rFonts w:hint="eastAsia" w:ascii="仿宋_GB2312" w:hAnsi="仿宋_GB2312" w:eastAsia="仿宋_GB2312" w:cs="仿宋_GB2312"/>
          <w:sz w:val="32"/>
          <w:szCs w:val="32"/>
          <w:lang w:val="en-US" w:eastAsia="zh-CN"/>
        </w:rPr>
        <w:t xml:space="preserve">                           </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草原管护项目项目绩效目标完成情况综述。项目全年预算数</w:t>
      </w:r>
      <w:r>
        <w:rPr>
          <w:rFonts w:hint="eastAsia" w:ascii="仿宋_GB2312" w:hAnsi="仿宋_GB2312" w:eastAsia="仿宋_GB2312" w:cs="仿宋_GB2312"/>
          <w:sz w:val="32"/>
          <w:szCs w:val="32"/>
          <w:lang w:val="en-US" w:eastAsia="zh-CN"/>
        </w:rPr>
        <w:t>71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执行数为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完成预算的40.48%。</w:t>
      </w:r>
      <w:r>
        <w:rPr>
          <w:rFonts w:hint="eastAsia" w:ascii="仿宋_GB2312" w:hAnsi="仿宋_GB2312" w:eastAsia="仿宋_GB2312" w:cs="仿宋_GB2312"/>
          <w:sz w:val="32"/>
          <w:szCs w:val="32"/>
          <w:lang w:eastAsia="zh-CN"/>
        </w:rPr>
        <w:t>正在编制实施方案</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方案经县人民政府审批后将严格按照方案使用资金。</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p>
    <w:p>
      <w:pPr>
        <w:numPr>
          <w:ilvl w:val="0"/>
          <w:numId w:val="0"/>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生态护林员</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164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执行数为</w:t>
      </w:r>
      <w:r>
        <w:rPr>
          <w:rFonts w:hint="eastAsia" w:ascii="仿宋_GB2312" w:hAnsi="仿宋_GB2312" w:eastAsia="仿宋_GB2312" w:cs="仿宋_GB2312"/>
          <w:sz w:val="32"/>
          <w:szCs w:val="32"/>
          <w:lang w:val="en-US" w:eastAsia="zh-CN"/>
        </w:rPr>
        <w:t>164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。通过项目实施，按照省州部署，通过开展生态脱贫，稳步建立增收机制，逐步提高每个生态保护建设岗位劳务报酬</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2019、2020年分别实现8150元、10000元的增收目标。贫困户通过参与生态建设获得劳务补助，实现了持续稳定增收。发现的主要问题</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无。下一步改进措施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完善退耕还林政策补助资金</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510.5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510.5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。通过项目实施，实现森林资源从恢复性增长进一步向质量提高转变；生态状况从逐步好转进一步向明显改善转变，水土流失明显减少，生物多样性稳步增加保障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社会保险补助资金</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176.15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66.11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38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。通过项目实施，职工全员纳入社会保障制度建设后，解决了职工后顾之忧，提高了职工工作积极性，促进了社会和谐发展，保障了职工同步实现全面小康建设。发现的主要问题</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大熊猫国家公园</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71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执行数为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资金于</w:t>
      </w:r>
      <w:r>
        <w:rPr>
          <w:rFonts w:hint="eastAsia" w:ascii="仿宋_GB2312" w:hAnsi="仿宋_GB2312" w:eastAsia="仿宋_GB2312" w:cs="仿宋_GB2312"/>
          <w:sz w:val="32"/>
          <w:szCs w:val="32"/>
          <w:lang w:val="en-US" w:eastAsia="zh-CN"/>
        </w:rPr>
        <w:t>2020年12月底下达，现在正在开展前期工作，暂未实施。</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；无。</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891"/>
        <w:gridCol w:w="2526"/>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64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31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w:t>
            </w:r>
            <w:r>
              <w:rPr>
                <w:rFonts w:hint="eastAsia" w:ascii="宋体" w:cs="宋体"/>
                <w:color w:val="000000"/>
                <w:sz w:val="24"/>
                <w:lang w:val="en-US" w:eastAsia="zh-CN"/>
              </w:rPr>
              <w:t>.</w:t>
            </w:r>
            <w:r>
              <w:rPr>
                <w:rFonts w:hint="eastAsia" w:ascii="宋体" w:cs="宋体"/>
                <w:color w:val="000000"/>
                <w:sz w:val="24"/>
              </w:rPr>
              <w:t>生态护林员2</w:t>
            </w:r>
            <w:r>
              <w:rPr>
                <w:rFonts w:hint="eastAsia" w:ascii="宋体" w:cs="宋体"/>
                <w:color w:val="000000"/>
                <w:sz w:val="24"/>
                <w:lang w:val="en-US" w:eastAsia="zh-CN"/>
              </w:rPr>
              <w:t>.</w:t>
            </w:r>
            <w:r>
              <w:rPr>
                <w:rFonts w:hint="eastAsia" w:ascii="宋体" w:cs="宋体"/>
                <w:color w:val="000000"/>
                <w:sz w:val="24"/>
              </w:rPr>
              <w:t>草原管护3</w:t>
            </w:r>
            <w:r>
              <w:rPr>
                <w:rFonts w:hint="eastAsia" w:ascii="宋体" w:cs="宋体"/>
                <w:color w:val="000000"/>
                <w:sz w:val="24"/>
                <w:lang w:val="en-US" w:eastAsia="zh-CN"/>
              </w:rPr>
              <w:t>.</w:t>
            </w:r>
            <w:r>
              <w:rPr>
                <w:rFonts w:hint="eastAsia" w:ascii="宋体" w:cs="宋体"/>
                <w:color w:val="000000"/>
                <w:sz w:val="24"/>
              </w:rPr>
              <w:t>完善退耕还林政策补助资金4</w:t>
            </w:r>
            <w:r>
              <w:rPr>
                <w:rFonts w:hint="eastAsia" w:ascii="宋体" w:cs="宋体"/>
                <w:color w:val="000000"/>
                <w:sz w:val="24"/>
                <w:lang w:val="en-US" w:eastAsia="zh-CN"/>
              </w:rPr>
              <w:t>.</w:t>
            </w:r>
            <w:r>
              <w:rPr>
                <w:rFonts w:hint="eastAsia" w:ascii="宋体" w:cs="宋体"/>
                <w:color w:val="000000"/>
                <w:sz w:val="24"/>
              </w:rPr>
              <w:t>社会保险补助资金5</w:t>
            </w:r>
            <w:r>
              <w:rPr>
                <w:rFonts w:hint="eastAsia" w:ascii="宋体" w:cs="宋体"/>
                <w:color w:val="000000"/>
                <w:sz w:val="24"/>
                <w:lang w:val="en-US" w:eastAsia="zh-CN"/>
              </w:rPr>
              <w:t>.</w:t>
            </w:r>
            <w:r>
              <w:rPr>
                <w:rFonts w:hint="eastAsia" w:ascii="宋体" w:cs="宋体"/>
                <w:color w:val="000000"/>
                <w:sz w:val="24"/>
              </w:rPr>
              <w:t>大熊猫国家公园</w:t>
            </w:r>
          </w:p>
        </w:tc>
      </w:tr>
      <w:tr>
        <w:tblPrEx>
          <w:tblCellMar>
            <w:top w:w="0" w:type="dxa"/>
            <w:left w:w="0" w:type="dxa"/>
            <w:bottom w:w="0" w:type="dxa"/>
            <w:right w:w="0" w:type="dxa"/>
          </w:tblCellMar>
        </w:tblPrEx>
        <w:trPr>
          <w:trHeight w:val="276" w:hRule="atLeast"/>
          <w:jc w:val="center"/>
        </w:trPr>
        <w:tc>
          <w:tcPr>
            <w:tcW w:w="264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31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茂县林业和草原局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25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991.65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740.61</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25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991.65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991.65</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25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cs="宋体"/>
                <w:color w:val="000000"/>
                <w:sz w:val="24"/>
              </w:rPr>
            </w:pPr>
            <w:r>
              <w:rPr>
                <w:rFonts w:hint="eastAsia" w:ascii="宋体" w:cs="宋体"/>
                <w:color w:val="000000"/>
                <w:sz w:val="24"/>
                <w:lang w:eastAsia="zh-CN"/>
              </w:rPr>
              <w:t>一、</w:t>
            </w:r>
            <w:r>
              <w:rPr>
                <w:rFonts w:hint="eastAsia" w:ascii="宋体" w:cs="宋体"/>
                <w:color w:val="000000"/>
                <w:sz w:val="24"/>
              </w:rPr>
              <w:t>生态护林员</w:t>
            </w:r>
            <w:r>
              <w:rPr>
                <w:rFonts w:hint="eastAsia" w:ascii="宋体" w:cs="宋体"/>
                <w:color w:val="000000"/>
                <w:sz w:val="24"/>
                <w:lang w:eastAsia="zh-CN"/>
              </w:rPr>
              <w:t>。</w:t>
            </w:r>
            <w:r>
              <w:rPr>
                <w:rFonts w:hint="eastAsia" w:ascii="宋体" w:cs="宋体"/>
                <w:color w:val="000000"/>
                <w:sz w:val="24"/>
              </w:rPr>
              <w:t>2020年生态护林员管护补助标准调整为10000元/年，全县生态护林员管护集体公益林面积不低于500亩，补助资金164万元，涉及11个乡镇164名建档立卡贫困户。资金兑现计划按季度支付。</w:t>
            </w:r>
          </w:p>
          <w:p>
            <w:pPr>
              <w:widowControl/>
              <w:jc w:val="left"/>
              <w:textAlignment w:val="center"/>
              <w:rPr>
                <w:rFonts w:hint="eastAsia" w:ascii="宋体" w:cs="宋体"/>
                <w:color w:val="000000"/>
                <w:sz w:val="24"/>
              </w:rPr>
            </w:pPr>
            <w:r>
              <w:rPr>
                <w:rFonts w:hint="eastAsia" w:ascii="宋体" w:cs="宋体"/>
                <w:color w:val="000000"/>
                <w:sz w:val="24"/>
                <w:lang w:eastAsia="zh-CN"/>
              </w:rPr>
              <w:t>二、</w:t>
            </w:r>
            <w:r>
              <w:rPr>
                <w:rFonts w:hint="eastAsia" w:ascii="宋体" w:cs="宋体"/>
                <w:color w:val="000000"/>
                <w:sz w:val="24"/>
              </w:rPr>
              <w:t>草原管护</w:t>
            </w:r>
            <w:r>
              <w:rPr>
                <w:rFonts w:hint="eastAsia" w:ascii="宋体" w:cs="宋体"/>
                <w:color w:val="000000"/>
                <w:sz w:val="24"/>
                <w:lang w:eastAsia="zh-CN"/>
              </w:rPr>
              <w:t>。</w:t>
            </w:r>
            <w:r>
              <w:rPr>
                <w:rFonts w:hint="eastAsia" w:ascii="宋体" w:cs="宋体"/>
                <w:color w:val="000000"/>
                <w:sz w:val="24"/>
              </w:rPr>
              <w:t>1.开展草原监测工作。2开展草原防火工作.3开展草原监理执法工作.4开展禁牧、草畜平衡两项制度落实工作.5竣工核算工作.6草原生态保护宣传工作.7草原建设项目工作</w:t>
            </w:r>
          </w:p>
          <w:p>
            <w:pPr>
              <w:widowControl/>
              <w:jc w:val="left"/>
              <w:textAlignment w:val="center"/>
              <w:rPr>
                <w:rFonts w:hint="eastAsia" w:ascii="宋体" w:cs="宋体"/>
                <w:color w:val="000000"/>
                <w:sz w:val="24"/>
              </w:rPr>
            </w:pPr>
            <w:r>
              <w:rPr>
                <w:rFonts w:hint="eastAsia" w:ascii="宋体" w:cs="宋体"/>
                <w:color w:val="000000"/>
                <w:sz w:val="24"/>
                <w:lang w:eastAsia="zh-CN"/>
              </w:rPr>
              <w:t>三、</w:t>
            </w:r>
            <w:r>
              <w:rPr>
                <w:rFonts w:hint="eastAsia" w:ascii="宋体" w:cs="宋体"/>
                <w:color w:val="000000"/>
                <w:sz w:val="24"/>
              </w:rPr>
              <w:t>完善退耕还林政策补助资金</w:t>
            </w:r>
            <w:r>
              <w:rPr>
                <w:rFonts w:hint="eastAsia" w:ascii="宋体" w:cs="宋体"/>
                <w:color w:val="000000"/>
                <w:sz w:val="24"/>
                <w:lang w:eastAsia="zh-CN"/>
              </w:rPr>
              <w:t>。</w:t>
            </w:r>
            <w:r>
              <w:rPr>
                <w:rFonts w:hint="eastAsia" w:ascii="宋体" w:cs="宋体"/>
                <w:color w:val="000000"/>
                <w:sz w:val="24"/>
              </w:rPr>
              <w:t>按退耕面积兑现未到期退耕还林4.08483万亩完善政策补助</w:t>
            </w:r>
          </w:p>
          <w:p>
            <w:pPr>
              <w:widowControl/>
              <w:jc w:val="left"/>
              <w:textAlignment w:val="center"/>
              <w:rPr>
                <w:rFonts w:hint="eastAsia" w:ascii="宋体" w:cs="宋体"/>
                <w:color w:val="000000"/>
                <w:sz w:val="24"/>
              </w:rPr>
            </w:pPr>
            <w:r>
              <w:rPr>
                <w:rFonts w:hint="eastAsia" w:ascii="宋体" w:cs="宋体"/>
                <w:color w:val="000000"/>
                <w:sz w:val="24"/>
                <w:lang w:eastAsia="zh-CN"/>
              </w:rPr>
              <w:t>四、</w:t>
            </w:r>
            <w:r>
              <w:rPr>
                <w:rFonts w:hint="eastAsia" w:ascii="宋体" w:cs="宋体"/>
                <w:color w:val="000000"/>
                <w:sz w:val="24"/>
              </w:rPr>
              <w:t>社会保险补助资金</w:t>
            </w:r>
            <w:r>
              <w:rPr>
                <w:rFonts w:hint="eastAsia" w:ascii="宋体" w:cs="宋体"/>
                <w:color w:val="000000"/>
                <w:sz w:val="24"/>
                <w:lang w:eastAsia="zh-CN"/>
              </w:rPr>
              <w:t>。</w:t>
            </w:r>
            <w:r>
              <w:rPr>
                <w:rFonts w:hint="eastAsia" w:ascii="宋体" w:cs="宋体"/>
                <w:color w:val="000000"/>
                <w:sz w:val="24"/>
              </w:rPr>
              <w:t>天保职工全面纳入社会保障体系建设</w:t>
            </w:r>
          </w:p>
          <w:p>
            <w:pPr>
              <w:widowControl/>
              <w:jc w:val="left"/>
              <w:textAlignment w:val="center"/>
              <w:rPr>
                <w:rFonts w:ascii="宋体" w:cs="宋体"/>
                <w:color w:val="000000"/>
                <w:sz w:val="24"/>
              </w:rPr>
            </w:pPr>
            <w:r>
              <w:rPr>
                <w:rFonts w:hint="eastAsia" w:ascii="宋体" w:cs="宋体"/>
                <w:color w:val="000000"/>
                <w:sz w:val="24"/>
                <w:lang w:eastAsia="zh-CN"/>
              </w:rPr>
              <w:t>五、</w:t>
            </w:r>
            <w:r>
              <w:rPr>
                <w:rFonts w:hint="eastAsia" w:ascii="宋体" w:cs="宋体"/>
                <w:color w:val="000000"/>
                <w:sz w:val="24"/>
              </w:rPr>
              <w:t>大熊猫国家公园</w:t>
            </w:r>
            <w:r>
              <w:rPr>
                <w:rFonts w:hint="eastAsia" w:ascii="宋体" w:cs="宋体"/>
                <w:color w:val="000000"/>
                <w:sz w:val="24"/>
                <w:lang w:eastAsia="zh-CN"/>
              </w:rPr>
              <w:t>。</w:t>
            </w:r>
            <w:r>
              <w:rPr>
                <w:rFonts w:hint="eastAsia" w:ascii="宋体" w:cs="宋体"/>
                <w:color w:val="000000"/>
                <w:sz w:val="24"/>
              </w:rPr>
              <w:t>推进大熊猫国家公园体制试点工作，开展国家公园监测体系建设，实施公园勘界、自然资源调查监测和保护设施设备运行维护</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cs="宋体"/>
                <w:color w:val="000000"/>
                <w:sz w:val="24"/>
              </w:rPr>
            </w:pPr>
            <w:r>
              <w:rPr>
                <w:rFonts w:hint="eastAsia" w:ascii="宋体" w:cs="宋体"/>
                <w:color w:val="000000"/>
                <w:sz w:val="24"/>
              </w:rPr>
              <w:t>一、生态护林员</w:t>
            </w:r>
            <w:r>
              <w:rPr>
                <w:rFonts w:hint="eastAsia" w:ascii="宋体" w:cs="宋体"/>
                <w:color w:val="000000"/>
                <w:sz w:val="24"/>
                <w:lang w:eastAsia="zh-CN"/>
              </w:rPr>
              <w:t>。</w:t>
            </w:r>
            <w:r>
              <w:rPr>
                <w:rFonts w:hint="eastAsia" w:ascii="宋体" w:cs="宋体"/>
                <w:color w:val="000000"/>
                <w:sz w:val="24"/>
              </w:rPr>
              <w:t>2020年生态护林员管护补助标准调整为10000元/年，全县生态护林员管护集体公益林面积不低于500亩，补助资金164万元，涉及11个乡镇164名建档立卡贫困户。</w:t>
            </w:r>
          </w:p>
          <w:p>
            <w:pPr>
              <w:widowControl/>
              <w:jc w:val="left"/>
              <w:textAlignment w:val="center"/>
              <w:rPr>
                <w:rFonts w:hint="eastAsia" w:ascii="宋体" w:cs="宋体"/>
                <w:color w:val="000000"/>
                <w:sz w:val="24"/>
              </w:rPr>
            </w:pPr>
            <w:r>
              <w:rPr>
                <w:rFonts w:hint="eastAsia" w:ascii="宋体" w:cs="宋体"/>
                <w:color w:val="000000"/>
                <w:sz w:val="24"/>
              </w:rPr>
              <w:t>二、草原管护</w:t>
            </w:r>
            <w:r>
              <w:rPr>
                <w:rFonts w:hint="eastAsia" w:ascii="宋体" w:cs="宋体"/>
                <w:color w:val="000000"/>
                <w:sz w:val="24"/>
                <w:lang w:eastAsia="zh-CN"/>
              </w:rPr>
              <w:t>。</w:t>
            </w:r>
            <w:r>
              <w:rPr>
                <w:rFonts w:hint="eastAsia" w:ascii="宋体" w:cs="宋体"/>
                <w:color w:val="000000"/>
                <w:sz w:val="24"/>
              </w:rPr>
              <w:t>目前正在编制实施方案，方案经县人民政府审批后将严格按照方案使用资金。</w:t>
            </w:r>
          </w:p>
          <w:p>
            <w:pPr>
              <w:widowControl/>
              <w:jc w:val="left"/>
              <w:textAlignment w:val="center"/>
              <w:rPr>
                <w:rFonts w:hint="eastAsia" w:ascii="宋体" w:cs="宋体"/>
                <w:color w:val="000000"/>
                <w:sz w:val="24"/>
              </w:rPr>
            </w:pPr>
            <w:r>
              <w:rPr>
                <w:rFonts w:hint="eastAsia" w:ascii="宋体" w:cs="宋体"/>
                <w:color w:val="000000"/>
                <w:sz w:val="24"/>
              </w:rPr>
              <w:t>三、完善退耕还林政策补助资金</w:t>
            </w:r>
            <w:r>
              <w:rPr>
                <w:rFonts w:hint="eastAsia" w:ascii="宋体" w:cs="宋体"/>
                <w:color w:val="000000"/>
                <w:sz w:val="24"/>
                <w:lang w:eastAsia="zh-CN"/>
              </w:rPr>
              <w:t>。</w:t>
            </w:r>
            <w:r>
              <w:rPr>
                <w:rFonts w:hint="eastAsia" w:ascii="宋体" w:cs="宋体"/>
                <w:color w:val="000000"/>
                <w:sz w:val="24"/>
              </w:rPr>
              <w:t>按退耕面积兑现未到期退耕还林4.08483万亩完善政策补助。已100%兑现到户</w:t>
            </w:r>
          </w:p>
          <w:p>
            <w:pPr>
              <w:widowControl/>
              <w:jc w:val="left"/>
              <w:textAlignment w:val="center"/>
              <w:rPr>
                <w:rFonts w:hint="eastAsia" w:ascii="宋体" w:cs="宋体"/>
                <w:color w:val="000000"/>
                <w:sz w:val="24"/>
              </w:rPr>
            </w:pPr>
            <w:r>
              <w:rPr>
                <w:rFonts w:hint="eastAsia" w:ascii="宋体" w:cs="宋体"/>
                <w:color w:val="000000"/>
                <w:sz w:val="24"/>
              </w:rPr>
              <w:t>四、社会保险补助资金</w:t>
            </w:r>
            <w:r>
              <w:rPr>
                <w:rFonts w:hint="eastAsia" w:ascii="宋体" w:cs="宋体"/>
                <w:color w:val="000000"/>
                <w:sz w:val="24"/>
                <w:lang w:eastAsia="zh-CN"/>
              </w:rPr>
              <w:t>。</w:t>
            </w:r>
            <w:r>
              <w:rPr>
                <w:rFonts w:hint="eastAsia" w:ascii="宋体" w:cs="宋体"/>
                <w:color w:val="000000"/>
                <w:sz w:val="24"/>
              </w:rPr>
              <w:t>天保职工84人全面纳入了社会保障体系建设，按相关政策规定按时足额缴纳了社会保险费用，做到了应保尽保，参保率100%。用于天保职工支付五险和职业年金费用66.11万，由于新冠肺炎国家减免五险，剩余110.04万元将在2021年度支付天保职工五险和职业年金。</w:t>
            </w:r>
          </w:p>
          <w:p>
            <w:pPr>
              <w:widowControl/>
              <w:jc w:val="left"/>
              <w:textAlignment w:val="center"/>
              <w:rPr>
                <w:rFonts w:ascii="宋体" w:cs="宋体"/>
                <w:color w:val="000000"/>
                <w:sz w:val="24"/>
              </w:rPr>
            </w:pPr>
            <w:r>
              <w:rPr>
                <w:rFonts w:hint="eastAsia" w:ascii="宋体" w:cs="宋体"/>
                <w:color w:val="000000"/>
                <w:sz w:val="24"/>
              </w:rPr>
              <w:t>五、资金于2020年12月底下达，现正开展前期工作，暂未实施</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社会效益指标</w:t>
            </w:r>
          </w:p>
        </w:tc>
        <w:tc>
          <w:tcPr>
            <w:tcW w:w="2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生态护林员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ascii="宋体" w:cs="宋体"/>
                <w:color w:val="000000"/>
                <w:sz w:val="24"/>
              </w:rPr>
            </w:pPr>
            <w:r>
              <w:rPr>
                <w:rFonts w:hint="eastAsia" w:ascii="宋体" w:cs="宋体"/>
                <w:color w:val="000000"/>
                <w:sz w:val="24"/>
              </w:rPr>
              <w:t>贫困户通过参与生态建设获得劳务补助，实现了持续稳定增收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ascii="宋体" w:cs="宋体"/>
                <w:color w:val="000000"/>
                <w:sz w:val="24"/>
              </w:rPr>
            </w:pPr>
            <w:r>
              <w:rPr>
                <w:rFonts w:hint="eastAsia" w:ascii="宋体" w:cs="宋体"/>
                <w:color w:val="000000"/>
                <w:sz w:val="24"/>
              </w:rPr>
              <w:t>贫困户通过参与生态建设获得劳务补助，实现了持续稳定增收</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生态效益指标</w:t>
            </w:r>
          </w:p>
        </w:tc>
        <w:tc>
          <w:tcPr>
            <w:tcW w:w="2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减少水土流失效果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cs="Arial"/>
                <w:color w:val="000000"/>
                <w:sz w:val="24"/>
              </w:rPr>
              <w:t>生态环境改善情况明显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cs="Arial"/>
                <w:color w:val="000000"/>
                <w:sz w:val="24"/>
              </w:rPr>
              <w:t>生态环境改善情况明显</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可持续影响指标</w:t>
            </w:r>
          </w:p>
        </w:tc>
        <w:tc>
          <w:tcPr>
            <w:tcW w:w="2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持续发挥生态作用显著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&gt;</w:t>
            </w:r>
            <w:r>
              <w:rPr>
                <w:rFonts w:hint="eastAsia" w:ascii="宋体" w:hAnsi="宋体" w:cs="宋体"/>
                <w:color w:val="000000"/>
                <w:sz w:val="24"/>
              </w:rPr>
              <w:t>9</w:t>
            </w:r>
            <w:r>
              <w:rPr>
                <w:rFonts w:hint="eastAsia" w:ascii="宋体" w:hAnsi="宋体" w:cs="宋体"/>
                <w:color w:val="000000"/>
                <w:sz w:val="24"/>
                <w:lang w:val="en-US" w:eastAsia="zh-CN"/>
              </w:rPr>
              <w:t>5</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&gt;</w:t>
            </w:r>
            <w:r>
              <w:rPr>
                <w:rFonts w:hint="eastAsia" w:ascii="宋体" w:hAnsi="宋体" w:cs="宋体"/>
                <w:color w:val="000000"/>
                <w:sz w:val="24"/>
              </w:rPr>
              <w:t>9</w:t>
            </w:r>
            <w:r>
              <w:rPr>
                <w:rFonts w:hint="eastAsia" w:ascii="宋体" w:hAnsi="宋体" w:cs="宋体"/>
                <w:color w:val="000000"/>
                <w:sz w:val="24"/>
                <w:lang w:val="en-US" w:eastAsia="zh-CN"/>
              </w:rPr>
              <w:t>5</w:t>
            </w:r>
            <w:r>
              <w:rPr>
                <w:rFonts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项目完成指标</w:t>
            </w:r>
          </w:p>
        </w:tc>
        <w:tc>
          <w:tcPr>
            <w:tcW w:w="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服务对象满意指标</w:t>
            </w:r>
          </w:p>
        </w:tc>
        <w:tc>
          <w:tcPr>
            <w:tcW w:w="2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退耕农户和社会公众满意度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满意</w:t>
            </w:r>
          </w:p>
        </w:tc>
      </w:tr>
    </w:tbl>
    <w:p>
      <w:pPr>
        <w:spacing w:line="580" w:lineRule="exact"/>
        <w:ind w:firstLine="643" w:firstLineChars="200"/>
        <w:rPr>
          <w:rFonts w:ascii="仿宋_GB2312" w:hAnsi="仿宋_GB2312" w:eastAsia="仿宋_GB2312" w:cs="仿宋_GB2312"/>
          <w:b/>
          <w:bCs/>
          <w:sz w:val="32"/>
          <w:szCs w:val="32"/>
        </w:rPr>
      </w:pPr>
      <w:r>
        <w:rPr>
          <w:rFonts w:ascii="楷体_GB2312" w:hAnsi="楷体_GB2312" w:eastAsia="楷体_GB2312" w:cs="楷体_GB2312"/>
          <w:b/>
          <w:bCs/>
          <w:sz w:val="32"/>
          <w:szCs w:val="32"/>
        </w:rPr>
        <w:t>2.</w:t>
      </w:r>
      <w:r>
        <w:rPr>
          <w:rFonts w:hint="eastAsia" w:ascii="楷体_GB2312" w:hAnsi="楷体_GB2312" w:eastAsia="楷体_GB2312" w:cs="楷体_GB2312"/>
          <w:b/>
          <w:bCs/>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茂县林业和草原局</w:t>
      </w:r>
      <w:r>
        <w:rPr>
          <w:rFonts w:hint="eastAsia" w:ascii="仿宋_GB2312" w:hAnsi="仿宋_GB2312" w:eastAsia="仿宋_GB2312" w:cs="仿宋_GB2312"/>
          <w:sz w:val="32"/>
          <w:szCs w:val="32"/>
        </w:rPr>
        <w:t>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茂县林业和草原局</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lang w:eastAsia="zh-CN"/>
        </w:rPr>
        <w:t>茂县林业和草原局</w:t>
      </w:r>
      <w:r>
        <w:rPr>
          <w:rFonts w:hint="eastAsia" w:ascii="仿宋_GB2312" w:hAnsi="仿宋_GB2312" w:eastAsia="仿宋_GB2312" w:cs="仿宋_GB2312"/>
          <w:sz w:val="32"/>
          <w:szCs w:val="32"/>
        </w:rPr>
        <w:t>自行组织对</w:t>
      </w:r>
      <w:r>
        <w:rPr>
          <w:rFonts w:hint="eastAsia" w:ascii="仿宋_GB2312" w:hAnsi="仿宋_GB2312" w:eastAsia="仿宋_GB2312" w:cs="仿宋_GB2312"/>
          <w:sz w:val="32"/>
          <w:szCs w:val="32"/>
          <w:lang w:eastAsia="zh-CN"/>
        </w:rPr>
        <w:t>生态护林员</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草原管护</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完善退耕还林政策补助资金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社会保险补助资金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大熊猫国家公园</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eastAsia="zh-CN"/>
        </w:rPr>
        <w:t>茂县林业和草原局</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Fonts w:ascii="宋体"/>
          <w:b/>
          <w:color w:val="000000"/>
          <w:sz w:val="44"/>
          <w:szCs w:val="44"/>
        </w:rPr>
      </w:pPr>
      <w:bookmarkStart w:id="111" w:name="_Toc79163629"/>
      <w:bookmarkStart w:id="112" w:name="_Toc15396613"/>
      <w:bookmarkStart w:id="113" w:name="_Toc15377225"/>
      <w:bookmarkStart w:id="114" w:name="_Toc79163879"/>
      <w:r>
        <w:rPr>
          <w:rFonts w:hint="eastAsia" w:ascii="黑体" w:hAnsi="黑体" w:eastAsia="黑体"/>
          <w:color w:val="000000"/>
          <w:sz w:val="44"/>
          <w:szCs w:val="44"/>
        </w:rPr>
        <w:t>名</w:t>
      </w:r>
      <w:r>
        <w:rPr>
          <w:rStyle w:val="22"/>
          <w:rFonts w:hint="eastAsia" w:ascii="黑体" w:hAnsi="黑体" w:eastAsia="黑体"/>
          <w:b w:val="0"/>
        </w:rPr>
        <w:t>词解释</w:t>
      </w:r>
      <w:bookmarkEnd w:id="111"/>
      <w:bookmarkEnd w:id="112"/>
      <w:bookmarkEnd w:id="113"/>
      <w:bookmarkEnd w:id="114"/>
    </w:p>
    <w:p>
      <w:pPr>
        <w:pStyle w:val="32"/>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2"/>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2"/>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2"/>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2"/>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32"/>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32"/>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2"/>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一般公共服务（类）财政事务（款）其他财政事务支出（项）:指反映政府提供一般公共服务的支出。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教育（类）进修及培训（款）培训支出（项）:指反映政府教育事务的支出。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文化体育与传媒（类）文化和旅游（款）其他文化体育与传媒支出（项）:指反映政府在文化、旅游、文物、体育、广播电视、电影、新闻出版等方面的支出。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2</w:t>
      </w:r>
      <w:r>
        <w:rPr>
          <w:rFonts w:ascii="仿宋_GB2312" w:eastAsia="仿宋_GB2312"/>
          <w:color w:val="000000"/>
          <w:sz w:val="32"/>
          <w:szCs w:val="32"/>
        </w:rPr>
        <w:t>.</w:t>
      </w:r>
      <w:r>
        <w:rPr>
          <w:rFonts w:hint="eastAsia" w:ascii="仿宋_GB2312" w:eastAsia="仿宋_GB2312"/>
          <w:color w:val="000000"/>
          <w:sz w:val="32"/>
          <w:szCs w:val="32"/>
        </w:rPr>
        <w:t>社会保障和就业（类）行政事业单位离退休（款）机关事业单位基本养老保险缴费支出（项）机关事业单位职业年金缴费支出（项）:指反映政府在社会保障与就业方面的支出。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Fonts w:hint="eastAsia" w:ascii="仿宋_GB2312" w:eastAsia="仿宋_GB2312"/>
          <w:color w:val="000000"/>
          <w:sz w:val="32"/>
          <w:szCs w:val="32"/>
        </w:rPr>
        <w:t>卫生健康支出（类）行政事业单位医疗（款）事业单位医疗（项）行政单位医疗（项）:指反映政府卫生健康和计划生育方面的支出。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4</w:t>
      </w:r>
      <w:r>
        <w:rPr>
          <w:rFonts w:ascii="仿宋_GB2312" w:eastAsia="仿宋_GB2312"/>
          <w:color w:val="000000"/>
          <w:sz w:val="32"/>
          <w:szCs w:val="32"/>
        </w:rPr>
        <w:t>.</w:t>
      </w:r>
      <w:r>
        <w:rPr>
          <w:rFonts w:hint="eastAsia" w:ascii="仿宋_GB2312" w:eastAsia="仿宋_GB2312"/>
          <w:color w:val="000000"/>
          <w:sz w:val="32"/>
          <w:szCs w:val="32"/>
        </w:rPr>
        <w:t>节能环保（类）自然生态保护（款）生态保护（项）</w:t>
      </w:r>
      <w:r>
        <w:rPr>
          <w:rFonts w:hint="eastAsia" w:ascii="仿宋" w:hAnsi="仿宋" w:eastAsia="仿宋"/>
          <w:color w:val="000000"/>
          <w:sz w:val="32"/>
          <w:szCs w:val="32"/>
        </w:rPr>
        <w:t>天然林保护（款）社会保险补助（项）退耕还林（款）退耕现金（项）其他节能环保支出（款）其他节能环保支出（项）</w:t>
      </w:r>
      <w:r>
        <w:rPr>
          <w:rFonts w:hint="eastAsia" w:ascii="仿宋_GB2312" w:eastAsia="仿宋_GB2312"/>
          <w:color w:val="000000"/>
          <w:sz w:val="32"/>
          <w:szCs w:val="32"/>
        </w:rPr>
        <w:t>:指反映政府节能环保的支出。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5</w:t>
      </w:r>
      <w:r>
        <w:rPr>
          <w:rFonts w:ascii="仿宋_GB2312" w:eastAsia="仿宋_GB2312"/>
          <w:color w:val="000000"/>
          <w:sz w:val="32"/>
          <w:szCs w:val="32"/>
        </w:rPr>
        <w:t>.</w:t>
      </w:r>
      <w:r>
        <w:rPr>
          <w:rStyle w:val="20"/>
          <w:rFonts w:hint="eastAsia" w:ascii="仿宋" w:hAnsi="仿宋" w:eastAsia="仿宋"/>
          <w:b w:val="0"/>
          <w:bCs/>
          <w:color w:val="000000"/>
          <w:sz w:val="32"/>
          <w:szCs w:val="32"/>
        </w:rPr>
        <w:t>农林水支出（类）林业和草原（款）行政运行（项）一般行政管理事务（项）事业机构（项）森林培育（项）森林资源管理（项）森林生态效益补偿（项）自然保护区等管理（项）动植物保护（项）防灾减灾（项）草原管理（项）其他林业和草原支出（项）扶贫（款）生产发展（项）其他扶贫支出（项）</w:t>
      </w:r>
      <w:r>
        <w:rPr>
          <w:rFonts w:hint="eastAsia" w:ascii="仿宋_GB2312" w:eastAsia="仿宋_GB2312"/>
          <w:color w:val="000000"/>
          <w:sz w:val="32"/>
          <w:szCs w:val="32"/>
        </w:rPr>
        <w:t>:指反映政府农林水事务的支出。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 xml:space="preserve">住房保障（类）住房改革支出（款）住房公积金（项）购房补贴（项）:指反映政府用于住房方面的支出，根据房改政策的标准,向符合条件的职工发放用于购买住房的补贴。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18.项目支出:指在基本支出之外为完成特定行政任务和事业发展目标所发生的支出。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19.经营支出:指事业单位在专业业务活动及其辅助活动之外开展非独立核算经营活动发生的支出。</w:t>
      </w:r>
    </w:p>
    <w:p>
      <w:pPr>
        <w:pStyle w:val="32"/>
        <w:spacing w:line="576" w:lineRule="exact"/>
        <w:ind w:firstLine="640" w:firstLineChars="200"/>
        <w:rPr>
          <w:rFonts w:ascii="仿宋_GB2312" w:eastAsia="仿宋_GB2312"/>
          <w:sz w:val="32"/>
          <w:szCs w:val="32"/>
        </w:rPr>
      </w:pPr>
      <w:r>
        <w:rPr>
          <w:rFonts w:hint="eastAsia" w:ascii="仿宋_GB2312" w:eastAsia="仿宋_GB2312"/>
          <w:sz w:val="32"/>
          <w:szCs w:val="32"/>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76" w:lineRule="exact"/>
        <w:ind w:firstLine="640" w:firstLineChars="200"/>
        <w:rPr>
          <w:rFonts w:ascii="仿宋_GB2312" w:eastAsia="仿宋_GB2312"/>
          <w:sz w:val="32"/>
          <w:szCs w:val="32"/>
        </w:rPr>
      </w:pPr>
      <w:r>
        <w:rPr>
          <w:rFonts w:hint="eastAsia" w:ascii="仿宋_GB2312" w:eastAsia="仿宋_GB2312"/>
          <w:sz w:val="32"/>
          <w:szCs w:val="32"/>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2"/>
          <w:rFonts w:ascii="黑体" w:hAnsi="黑体" w:eastAsia="黑体"/>
          <w:b w:val="0"/>
        </w:rPr>
      </w:pPr>
      <w:bookmarkStart w:id="115" w:name="_Toc15377226"/>
      <w:r>
        <w:rPr>
          <w:rFonts w:ascii="宋体"/>
          <w:b/>
          <w:color w:val="000000"/>
          <w:sz w:val="44"/>
          <w:szCs w:val="44"/>
        </w:rPr>
        <w:br w:type="page"/>
      </w:r>
      <w:bookmarkStart w:id="116" w:name="_Toc79163630"/>
      <w:bookmarkStart w:id="117" w:name="_Toc15396614"/>
      <w:bookmarkStart w:id="118" w:name="_Toc79163880"/>
      <w:r>
        <w:rPr>
          <w:rFonts w:hint="eastAsia" w:ascii="黑体" w:hAnsi="黑体" w:eastAsia="黑体"/>
          <w:color w:val="000000"/>
          <w:sz w:val="44"/>
          <w:szCs w:val="44"/>
        </w:rPr>
        <w:t>第</w:t>
      </w:r>
      <w:r>
        <w:rPr>
          <w:rStyle w:val="22"/>
          <w:rFonts w:hint="eastAsia" w:ascii="黑体" w:hAnsi="黑体" w:eastAsia="黑体"/>
          <w:b w:val="0"/>
        </w:rPr>
        <w:t>四部分</w:t>
      </w:r>
      <w:r>
        <w:rPr>
          <w:rStyle w:val="22"/>
          <w:rFonts w:ascii="黑体" w:hAnsi="黑体" w:eastAsia="黑体"/>
          <w:b w:val="0"/>
        </w:rPr>
        <w:t xml:space="preserve"> </w:t>
      </w:r>
      <w:r>
        <w:rPr>
          <w:rStyle w:val="22"/>
          <w:rFonts w:hint="eastAsia" w:ascii="黑体" w:hAnsi="黑体" w:eastAsia="黑体"/>
          <w:b w:val="0"/>
        </w:rPr>
        <w:t>附件</w:t>
      </w:r>
      <w:bookmarkEnd w:id="116"/>
      <w:bookmarkEnd w:id="117"/>
      <w:bookmarkEnd w:id="118"/>
    </w:p>
    <w:p>
      <w:pPr>
        <w:spacing w:line="600" w:lineRule="exact"/>
        <w:jc w:val="left"/>
        <w:outlineLvl w:val="0"/>
        <w:rPr>
          <w:rFonts w:ascii="方正小标宋简体" w:hAnsi="方正小标宋简体" w:eastAsia="方正小标宋简体" w:cs="方正小标宋简体"/>
          <w:sz w:val="32"/>
          <w:szCs w:val="32"/>
        </w:rPr>
      </w:pPr>
      <w:bookmarkStart w:id="119" w:name="_Toc79163881"/>
      <w:bookmarkStart w:id="120" w:name="_Toc79163631"/>
      <w:r>
        <w:rPr>
          <w:rFonts w:hint="eastAsia" w:ascii="黑体" w:hAnsi="黑体" w:eastAsia="黑体" w:cs="黑体"/>
          <w:sz w:val="32"/>
          <w:szCs w:val="32"/>
        </w:rPr>
        <w:t>附件</w:t>
      </w:r>
      <w:r>
        <w:rPr>
          <w:rFonts w:ascii="黑体" w:hAnsi="黑体" w:eastAsia="黑体" w:cs="黑体"/>
          <w:sz w:val="32"/>
          <w:szCs w:val="32"/>
        </w:rPr>
        <w:t>1</w:t>
      </w:r>
      <w:bookmarkEnd w:id="119"/>
      <w:bookmarkEnd w:id="120"/>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21" w:name="_Toc79163882"/>
      <w:bookmarkStart w:id="122" w:name="_Toc79163632"/>
      <w:r>
        <w:rPr>
          <w:rFonts w:hint="eastAsia" w:ascii="方正小标宋简体" w:hAnsi="黑体" w:eastAsia="方正小标宋简体" w:cs="黑体"/>
          <w:sz w:val="44"/>
          <w:szCs w:val="44"/>
          <w:lang w:eastAsia="zh-CN"/>
        </w:rPr>
        <w:t>茂县林业和草原局</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21"/>
      <w:bookmarkEnd w:id="122"/>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3" w:firstLineChars="200"/>
        <w:contextualSpacing/>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eastAsia="仿宋_GB2312"/>
          <w:sz w:val="32"/>
          <w:szCs w:val="32"/>
        </w:rPr>
        <w:t>茂县林业和草原局单位下属二级预算单位 0 个，行政单位1个，参照公务员法管理的事业单位 0 个，其他事业单位0个</w:t>
      </w:r>
      <w:r>
        <w:rPr>
          <w:rFonts w:hint="eastAsia" w:ascii="仿宋_GB2312" w:hAnsi="仿宋" w:eastAsia="仿宋_GB2312" w:cs="仿宋_GB2312"/>
          <w:bCs/>
          <w:sz w:val="32"/>
          <w:szCs w:val="32"/>
        </w:rPr>
        <w:t>。</w:t>
      </w:r>
    </w:p>
    <w:p>
      <w:pPr>
        <w:widowControl/>
        <w:numPr>
          <w:ilvl w:val="0"/>
          <w:numId w:val="5"/>
        </w:numPr>
        <w:adjustRightInd w:val="0"/>
        <w:snapToGrid w:val="0"/>
        <w:spacing w:line="580" w:lineRule="exact"/>
        <w:ind w:firstLine="643" w:firstLineChars="200"/>
        <w:contextualSpacing/>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机构职能</w:t>
      </w:r>
    </w:p>
    <w:p>
      <w:pPr>
        <w:spacing w:line="560" w:lineRule="exact"/>
        <w:ind w:firstLine="640" w:firstLineChars="200"/>
        <w:rPr>
          <w:rFonts w:ascii="仿宋_GB2312" w:hAnsi="仿宋" w:eastAsia="仿宋_GB2312" w:cs="仿宋_GB2312"/>
          <w:bCs/>
          <w:sz w:val="32"/>
          <w:szCs w:val="32"/>
        </w:rPr>
      </w:pPr>
      <w:r>
        <w:rPr>
          <w:rFonts w:hint="eastAsia" w:ascii="仿宋_GB2312" w:hAnsi="仿宋" w:eastAsia="仿宋_GB2312" w:cs="仿宋_GB2312"/>
          <w:bCs/>
          <w:sz w:val="32"/>
          <w:szCs w:val="32"/>
        </w:rPr>
        <w:t>1.贯彻执行党和国家的林业方针、政策、法律、法规、规章和有关决议、决定，结合我县的实际和国民经济发展的需要</w:t>
      </w:r>
      <w:r>
        <w:rPr>
          <w:rFonts w:hint="eastAsia" w:ascii="仿宋_GB2312" w:hAnsi="仿宋" w:eastAsia="仿宋_GB2312" w:cs="仿宋_GB2312"/>
          <w:bCs/>
          <w:sz w:val="32"/>
          <w:szCs w:val="32"/>
          <w:lang w:val="en-US" w:eastAsia="zh-CN"/>
        </w:rPr>
        <w:t>,</w:t>
      </w:r>
      <w:r>
        <w:rPr>
          <w:rFonts w:hint="eastAsia" w:ascii="仿宋_GB2312" w:hAnsi="仿宋" w:eastAsia="仿宋_GB2312" w:cs="仿宋_GB2312"/>
          <w:bCs/>
          <w:sz w:val="32"/>
          <w:szCs w:val="32"/>
        </w:rPr>
        <w:t>制定相应的实施办法并组织实施</w:t>
      </w:r>
      <w:r>
        <w:rPr>
          <w:rFonts w:hint="eastAsia" w:ascii="仿宋_GB2312" w:hAnsi="仿宋" w:eastAsia="仿宋_GB2312" w:cs="仿宋_GB2312"/>
          <w:bCs/>
          <w:sz w:val="32"/>
          <w:szCs w:val="32"/>
          <w:lang w:val="en-US" w:eastAsia="zh-CN"/>
        </w:rPr>
        <w:t>,</w:t>
      </w:r>
      <w:r>
        <w:rPr>
          <w:rFonts w:hint="eastAsia" w:ascii="仿宋_GB2312" w:hAnsi="仿宋" w:eastAsia="仿宋_GB2312" w:cs="仿宋_GB2312"/>
          <w:bCs/>
          <w:sz w:val="32"/>
          <w:szCs w:val="32"/>
        </w:rPr>
        <w:t>完善林业政策和管理制度。</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bCs/>
          <w:sz w:val="32"/>
          <w:szCs w:val="32"/>
        </w:rPr>
        <w:t>2.</w:t>
      </w:r>
      <w:r>
        <w:rPr>
          <w:rFonts w:hint="eastAsia" w:ascii="仿宋_GB2312" w:hAnsi="仿宋" w:eastAsia="仿宋_GB2312" w:cs="仿宋_GB2312"/>
          <w:sz w:val="32"/>
          <w:szCs w:val="32"/>
        </w:rPr>
        <w:t>编制全县林业发展的中长期规划和年度计划</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负责林业信息的收集整理</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指导、协调林业生产建设总体布局</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林业产业结构调整</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森林资源和规划计划的实施</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并指导林业企业产权制度改革和林业经济体制改革。</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3.主管全县森林资源</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负责森林资源保护管理的基础设施建设</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编制和执行采伐限额</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监督检查木材凭证采伐</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加工运输、供应等林政管理工作</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负责林地、林权管理及征占用林地的清查、初审</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主管森林资源有偿使用并监督林地开发利用</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负责国有森林资源管理。</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4.负责指导全县天然林资源保护工程、生态环境治理工程、退耕还林(草)工程的实施。组织实施全县植树造林、国土绿化、防沙治沙及各类林业基地及工程项目建设</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对县属国有林场、苗圃、森林公园、自然保护区、集体林场实行宏观管理</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引进外援项目，组织实施环境建设、水土保持、农田基本建设等方面造林绿化和林果发展项目</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指导和监督全县自用材和生活用材的采伐。</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5.负责全县野生动物、植物资源的保护管理和合理开发利用</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对宝顶沟自然保护区管理处工作进行指导</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负责森林公园的规划、审批和上报审批、立项等工作。</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6.指导和调控全县林业生产的发展</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负责全县木材生产、采伐、运输、加工、综合利用</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林产林化、森林旅游、木本药材等林业产业实行宏观管理、指导和监督</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管理好林产品市场。</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7.指导、监督全县林业系统财务工作</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组织编制、上报或转报林业基本建设、多种经营、技术改造、转产项目并指导实施或直接组织实施。</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8.管理林业执法体系建设和林业执法工作</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领导县森林公安局搞好全县森林公安队伍建设和森林公安工作</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监督和查处破坏森林资源和野生动物资源的案(事)件</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负责搞好全县森林防火、森林病虫鼠害防治、森林植物检疫、保护森林资源和维护林区治安。</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9.制定林业科技发展规划</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组织科技试验、研究、示范及技术培训，技术推广工作，负责全县林业教育和专业人才的培训、引进</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负责管理局机关公务员、科技人员及直属企业、事业单位的干部职工</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制定全县林业行业干部培训</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人才培养的中长期计划和实施林业宣传动员工作。</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10.负责规划、指导、实施山区林业综合开发</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配合有关部门做好水土保持、农村能源发展、农业综合开发、林业扶贫等组织实施工作。</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11.深入研究生态建设特别是自然保护区建设问题</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稳步推进自然保护区体制创新</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落实生态保护和建设的主体责任</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创新项目实施方式，全面推进川西藏区生态保护与建设工程、湿地保护、防沙治沙等项目建设。</w:t>
      </w:r>
    </w:p>
    <w:p>
      <w:pPr>
        <w:spacing w:line="560" w:lineRule="exact"/>
        <w:ind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hAnsi="仿宋" w:eastAsia="仿宋_GB2312" w:cs="仿宋_GB2312"/>
          <w:sz w:val="32"/>
          <w:szCs w:val="32"/>
        </w:rPr>
        <w:t>12.负责有关林业方面的涉外工作、承担县政府公布的有关行政审批事项、承办县政府交办的其他事项。</w:t>
      </w:r>
    </w:p>
    <w:p>
      <w:pPr>
        <w:widowControl/>
        <w:adjustRightInd w:val="0"/>
        <w:snapToGrid w:val="0"/>
        <w:spacing w:line="580" w:lineRule="exact"/>
        <w:ind w:firstLine="643" w:firstLineChars="200"/>
        <w:contextualSpacing/>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（三）人员概况</w:t>
      </w:r>
    </w:p>
    <w:p>
      <w:pPr>
        <w:spacing w:line="560" w:lineRule="exact"/>
        <w:ind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hAnsi="仿宋" w:eastAsia="仿宋_GB2312" w:cs="仿宋_GB2312"/>
          <w:sz w:val="32"/>
          <w:szCs w:val="32"/>
        </w:rPr>
        <w:t>茂县林业和草原局作为一个独立的核算机构。政府机关编制人数</w:t>
      </w:r>
      <w:r>
        <w:rPr>
          <w:rFonts w:hint="eastAsia" w:ascii="仿宋_GB2312" w:hAnsi="仿宋" w:eastAsia="仿宋_GB2312" w:cs="仿宋_GB2312"/>
          <w:color w:val="auto"/>
          <w:sz w:val="32"/>
          <w:szCs w:val="32"/>
          <w:lang w:val="en-US" w:eastAsia="zh-CN"/>
        </w:rPr>
        <w:t>11</w:t>
      </w:r>
      <w:r>
        <w:rPr>
          <w:rFonts w:hint="eastAsia" w:ascii="仿宋_GB2312" w:hAnsi="仿宋" w:eastAsia="仿宋_GB2312" w:cs="仿宋_GB2312"/>
          <w:color w:val="auto"/>
          <w:sz w:val="32"/>
          <w:szCs w:val="32"/>
        </w:rPr>
        <w:t>名（其中工勤人员2名）</w:t>
      </w:r>
      <w:r>
        <w:rPr>
          <w:rFonts w:hint="eastAsia" w:ascii="仿宋_GB2312" w:hAnsi="仿宋" w:eastAsia="仿宋_GB2312" w:cs="仿宋_GB2312"/>
          <w:sz w:val="32"/>
          <w:szCs w:val="32"/>
        </w:rPr>
        <w:t>、事业编制人数</w:t>
      </w:r>
      <w:r>
        <w:rPr>
          <w:rFonts w:hint="eastAsia" w:ascii="仿宋_GB2312" w:hAnsi="仿宋" w:eastAsia="仿宋_GB2312" w:cs="仿宋_GB2312"/>
          <w:sz w:val="32"/>
          <w:szCs w:val="32"/>
          <w:lang w:val="en-US" w:eastAsia="zh-CN"/>
        </w:rPr>
        <w:t>100</w:t>
      </w:r>
      <w:r>
        <w:rPr>
          <w:rFonts w:hint="eastAsia" w:ascii="仿宋_GB2312" w:hAnsi="仿宋" w:eastAsia="仿宋_GB2312" w:cs="仿宋_GB2312"/>
          <w:sz w:val="32"/>
          <w:szCs w:val="32"/>
        </w:rPr>
        <w:t>名</w:t>
      </w:r>
      <w:r>
        <w:rPr>
          <w:rFonts w:hint="eastAsia" w:ascii="仿宋_GB2312" w:hAnsi="仿宋" w:eastAsia="仿宋_GB2312" w:cs="仿宋_GB2312"/>
          <w:sz w:val="32"/>
          <w:szCs w:val="32"/>
          <w:lang w:val="en-US" w:eastAsia="zh-CN"/>
        </w:rPr>
        <w:t>,</w:t>
      </w:r>
      <w:r>
        <w:rPr>
          <w:rFonts w:hint="eastAsia" w:ascii="仿宋_GB2312" w:hAnsi="仿宋" w:eastAsia="仿宋_GB2312" w:cs="仿宋_GB2312"/>
          <w:sz w:val="32"/>
          <w:szCs w:val="32"/>
        </w:rPr>
        <w:t>年末实有人数行政人员</w:t>
      </w:r>
      <w:r>
        <w:rPr>
          <w:rFonts w:hint="eastAsia" w:ascii="仿宋_GB2312" w:hAnsi="仿宋" w:eastAsia="仿宋_GB2312" w:cs="仿宋_GB2312"/>
          <w:sz w:val="32"/>
          <w:szCs w:val="32"/>
          <w:lang w:val="en-US" w:eastAsia="zh-CN"/>
        </w:rPr>
        <w:t>19</w:t>
      </w:r>
      <w:r>
        <w:rPr>
          <w:rFonts w:hint="eastAsia" w:ascii="仿宋_GB2312" w:hAnsi="仿宋" w:eastAsia="仿宋_GB2312" w:cs="仿宋_GB2312"/>
          <w:sz w:val="32"/>
          <w:szCs w:val="32"/>
        </w:rPr>
        <w:t>名（其中参公人员</w:t>
      </w:r>
      <w:r>
        <w:rPr>
          <w:rFonts w:hint="eastAsia" w:ascii="仿宋_GB2312" w:hAnsi="仿宋" w:eastAsia="仿宋_GB2312" w:cs="仿宋_GB2312"/>
          <w:sz w:val="32"/>
          <w:szCs w:val="32"/>
          <w:lang w:val="en-US" w:eastAsia="zh-CN"/>
        </w:rPr>
        <w:t>7</w:t>
      </w:r>
      <w:r>
        <w:rPr>
          <w:rFonts w:hint="eastAsia" w:ascii="仿宋_GB2312" w:hAnsi="仿宋" w:eastAsia="仿宋_GB2312" w:cs="仿宋_GB2312"/>
          <w:sz w:val="32"/>
          <w:szCs w:val="32"/>
        </w:rPr>
        <w:t>名,工勤人员</w:t>
      </w:r>
      <w:r>
        <w:rPr>
          <w:rFonts w:hint="eastAsia" w:ascii="仿宋_GB2312" w:hAnsi="仿宋" w:eastAsia="仿宋_GB2312" w:cs="仿宋_GB2312"/>
          <w:color w:val="auto"/>
          <w:sz w:val="32"/>
          <w:szCs w:val="32"/>
          <w:lang w:val="en-US" w:eastAsia="zh-CN"/>
        </w:rPr>
        <w:t>2名）</w:t>
      </w:r>
      <w:r>
        <w:rPr>
          <w:rFonts w:hint="eastAsia" w:ascii="仿宋_GB2312" w:hAnsi="仿宋" w:eastAsia="仿宋_GB2312" w:cs="仿宋_GB2312"/>
          <w:sz w:val="32"/>
          <w:szCs w:val="32"/>
        </w:rPr>
        <w:t>、事业人员</w:t>
      </w:r>
      <w:r>
        <w:rPr>
          <w:rFonts w:hint="eastAsia" w:ascii="仿宋_GB2312" w:hAnsi="仿宋" w:eastAsia="仿宋_GB2312" w:cs="仿宋_GB2312"/>
          <w:sz w:val="32"/>
          <w:szCs w:val="32"/>
          <w:lang w:val="en-US" w:eastAsia="zh-CN"/>
        </w:rPr>
        <w:t>91</w:t>
      </w:r>
      <w:r>
        <w:rPr>
          <w:rFonts w:hint="eastAsia" w:ascii="仿宋_GB2312" w:hAnsi="仿宋" w:eastAsia="仿宋_GB2312" w:cs="仿宋_GB2312"/>
          <w:sz w:val="32"/>
          <w:szCs w:val="32"/>
        </w:rPr>
        <w:t>名。</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（一）部门财政资金收入情况</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2020</w:t>
      </w:r>
      <w:r>
        <w:rPr>
          <w:rFonts w:hint="eastAsia" w:ascii="仿宋_GB2312" w:eastAsia="仿宋_GB2312"/>
          <w:sz w:val="32"/>
          <w:szCs w:val="32"/>
        </w:rPr>
        <w:t>年本单位年初收入支出</w:t>
      </w:r>
      <w:r>
        <w:rPr>
          <w:rFonts w:hint="eastAsia" w:ascii="仿宋_GB2312" w:eastAsia="仿宋_GB2312"/>
          <w:color w:val="000000" w:themeColor="text1"/>
          <w:sz w:val="32"/>
          <w:szCs w:val="32"/>
          <w14:textFill>
            <w14:solidFill>
              <w14:schemeClr w14:val="tx1"/>
            </w14:solidFill>
          </w14:textFill>
        </w:rPr>
        <w:t>金额</w:t>
      </w:r>
      <w:r>
        <w:rPr>
          <w:rFonts w:hint="eastAsia" w:ascii="仿宋_GB2312" w:eastAsia="仿宋_GB2312"/>
          <w:sz w:val="32"/>
          <w:szCs w:val="32"/>
        </w:rPr>
        <w:t>为</w:t>
      </w:r>
      <w:r>
        <w:rPr>
          <w:rFonts w:hint="eastAsia" w:ascii="仿宋_GB2312" w:eastAsia="仿宋_GB2312"/>
          <w:color w:val="000000" w:themeColor="text1"/>
          <w:sz w:val="32"/>
          <w:szCs w:val="32"/>
          <w:lang w:val="en-US" w:eastAsia="zh-CN"/>
          <w14:textFill>
            <w14:solidFill>
              <w14:schemeClr w14:val="tx1"/>
            </w14:solidFill>
          </w14:textFill>
        </w:rPr>
        <w:t>14542.57</w:t>
      </w:r>
      <w:r>
        <w:rPr>
          <w:rFonts w:hint="eastAsia" w:ascii="仿宋_GB2312" w:eastAsia="仿宋_GB2312"/>
          <w:sz w:val="32"/>
          <w:szCs w:val="32"/>
        </w:rPr>
        <w:t>万元，分别为</w:t>
      </w:r>
      <w:r>
        <w:rPr>
          <w:rFonts w:hint="eastAsia" w:ascii="仿宋_GB2312" w:eastAsia="仿宋_GB2312"/>
          <w:sz w:val="32"/>
          <w:szCs w:val="32"/>
          <w:lang w:val="en-US" w:eastAsia="zh-CN"/>
        </w:rPr>
        <w:t>文化旅游体育与传媒支出395.62万元，社会保障和就业支出207.73万元，卫生健康支出111.42万元，住房保障支出149.91万元，</w:t>
      </w:r>
      <w:r>
        <w:rPr>
          <w:rFonts w:hint="eastAsia" w:ascii="仿宋_GB2312" w:eastAsia="仿宋_GB2312"/>
          <w:sz w:val="32"/>
          <w:szCs w:val="32"/>
          <w:lang w:eastAsia="zh-CN"/>
        </w:rPr>
        <w:t>节能环保支出</w:t>
      </w:r>
      <w:r>
        <w:rPr>
          <w:rFonts w:hint="eastAsia" w:ascii="仿宋_GB2312" w:eastAsia="仿宋_GB2312"/>
          <w:sz w:val="32"/>
          <w:szCs w:val="32"/>
          <w:lang w:val="en-US" w:eastAsia="zh-CN"/>
        </w:rPr>
        <w:t>2167.85</w:t>
      </w:r>
      <w:r>
        <w:rPr>
          <w:rFonts w:hint="eastAsia" w:ascii="仿宋_GB2312" w:eastAsia="仿宋_GB2312"/>
          <w:sz w:val="32"/>
          <w:szCs w:val="32"/>
          <w:lang w:eastAsia="zh-CN"/>
        </w:rPr>
        <w:t>万元，农林水支出</w:t>
      </w:r>
      <w:r>
        <w:rPr>
          <w:rFonts w:hint="eastAsia" w:ascii="仿宋_GB2312" w:eastAsia="仿宋_GB2312"/>
          <w:sz w:val="32"/>
          <w:szCs w:val="32"/>
          <w:lang w:val="en-US" w:eastAsia="zh-CN"/>
        </w:rPr>
        <w:t>8206.77</w:t>
      </w:r>
      <w:r>
        <w:rPr>
          <w:rFonts w:hint="eastAsia" w:ascii="仿宋_GB2312" w:eastAsia="仿宋_GB2312"/>
          <w:sz w:val="32"/>
          <w:szCs w:val="32"/>
          <w:lang w:eastAsia="zh-CN"/>
        </w:rPr>
        <w:t>万元，</w:t>
      </w:r>
      <w:r>
        <w:rPr>
          <w:rFonts w:hint="eastAsia" w:ascii="仿宋_GB2312" w:eastAsia="仿宋_GB2312"/>
          <w:sz w:val="32"/>
          <w:szCs w:val="32"/>
          <w:lang w:val="en-US" w:eastAsia="zh-CN"/>
        </w:rPr>
        <w:t>灾害防治及应急管理支出20.56万元，</w:t>
      </w:r>
      <w:r>
        <w:rPr>
          <w:rFonts w:hint="eastAsia" w:ascii="仿宋_GB2312" w:eastAsia="仿宋_GB2312"/>
          <w:sz w:val="32"/>
          <w:szCs w:val="32"/>
        </w:rPr>
        <w:t>主要原因是新增项目拨款数</w:t>
      </w:r>
      <w:r>
        <w:rPr>
          <w:rFonts w:hint="eastAsia" w:ascii="仿宋_GB2312" w:eastAsia="仿宋_GB2312"/>
          <w:sz w:val="32"/>
          <w:szCs w:val="32"/>
          <w:lang w:eastAsia="zh-CN"/>
        </w:rPr>
        <w:t>。</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2020</w:t>
      </w:r>
      <w:r>
        <w:rPr>
          <w:rFonts w:hint="eastAsia" w:ascii="仿宋_GB2312" w:eastAsia="仿宋_GB2312"/>
          <w:sz w:val="32"/>
          <w:szCs w:val="32"/>
        </w:rPr>
        <w:t>年度部门决算财政拨款收入为</w:t>
      </w:r>
      <w:r>
        <w:rPr>
          <w:rFonts w:hint="eastAsia" w:ascii="仿宋_GB2312" w:eastAsia="仿宋_GB2312"/>
          <w:sz w:val="32"/>
          <w:szCs w:val="32"/>
          <w:lang w:val="en-US" w:eastAsia="zh-CN"/>
        </w:rPr>
        <w:t>12758.91</w:t>
      </w:r>
      <w:r>
        <w:rPr>
          <w:rFonts w:hint="eastAsia" w:ascii="仿宋_GB2312" w:eastAsia="仿宋_GB2312"/>
          <w:sz w:val="32"/>
          <w:szCs w:val="32"/>
        </w:rPr>
        <w:t>万元，其中：政府性基金预算财政拨款收入</w:t>
      </w:r>
      <w:r>
        <w:rPr>
          <w:rFonts w:hint="eastAsia" w:ascii="仿宋_GB2312" w:eastAsia="仿宋_GB2312"/>
          <w:sz w:val="32"/>
          <w:szCs w:val="32"/>
          <w:lang w:val="en-US" w:eastAsia="zh-CN"/>
        </w:rPr>
        <w:t>6.63</w:t>
      </w:r>
      <w:r>
        <w:rPr>
          <w:rFonts w:hint="eastAsia" w:ascii="仿宋_GB2312" w:eastAsia="仿宋_GB2312"/>
          <w:sz w:val="32"/>
          <w:szCs w:val="32"/>
        </w:rPr>
        <w:t>万元，上年度财政拨款收入为13294.65万元，其中：政府性基金预算财政拨款826.54元，比上年度财政拨款</w:t>
      </w:r>
      <w:r>
        <w:rPr>
          <w:rFonts w:hint="eastAsia" w:ascii="仿宋_GB2312" w:eastAsia="仿宋_GB2312"/>
          <w:sz w:val="32"/>
          <w:szCs w:val="32"/>
          <w:lang w:eastAsia="zh-CN"/>
        </w:rPr>
        <w:t>减少</w:t>
      </w:r>
      <w:r>
        <w:rPr>
          <w:rFonts w:hint="eastAsia" w:ascii="仿宋_GB2312" w:eastAsia="仿宋_GB2312"/>
          <w:sz w:val="32"/>
          <w:szCs w:val="32"/>
          <w:lang w:val="en-US" w:eastAsia="zh-CN"/>
        </w:rPr>
        <w:t>535.74</w:t>
      </w:r>
      <w:r>
        <w:rPr>
          <w:rFonts w:hint="eastAsia" w:ascii="仿宋_GB2312" w:eastAsia="仿宋_GB2312"/>
          <w:sz w:val="32"/>
          <w:szCs w:val="32"/>
        </w:rPr>
        <w:t>万元，主要原因是项目资金</w:t>
      </w:r>
      <w:r>
        <w:rPr>
          <w:rFonts w:hint="eastAsia" w:ascii="仿宋_GB2312" w:eastAsia="仿宋_GB2312"/>
          <w:sz w:val="32"/>
          <w:szCs w:val="32"/>
          <w:lang w:eastAsia="zh-CN"/>
        </w:rPr>
        <w:t>减少。</w:t>
      </w:r>
    </w:p>
    <w:p>
      <w:pPr>
        <w:keepNext w:val="0"/>
        <w:keepLines w:val="0"/>
        <w:pageBreakBefore w:val="0"/>
        <w:widowControl w:val="0"/>
        <w:numPr>
          <w:ilvl w:val="0"/>
          <w:numId w:val="5"/>
        </w:numPr>
        <w:pBdr>
          <w:bottom w:val="single" w:color="FFFFFF" w:sz="4" w:space="27"/>
        </w:pBdr>
        <w:kinsoku/>
        <w:wordWrap/>
        <w:overflowPunct/>
        <w:topLinePunct w:val="0"/>
        <w:autoSpaceDE/>
        <w:autoSpaceDN/>
        <w:bidi w:val="0"/>
        <w:adjustRightInd/>
        <w:snapToGrid/>
        <w:spacing w:line="560" w:lineRule="exact"/>
        <w:ind w:left="0" w:leftChars="0" w:firstLine="643" w:firstLineChars="200"/>
        <w:textAlignment w:val="auto"/>
        <w:rPr>
          <w:rFonts w:ascii="仿宋_GB2312" w:hAnsi="仿宋" w:eastAsia="仿宋_GB2312"/>
          <w:b/>
          <w:bCs/>
          <w:sz w:val="32"/>
          <w:szCs w:val="32"/>
        </w:rPr>
      </w:pPr>
      <w:r>
        <w:rPr>
          <w:rFonts w:hint="eastAsia" w:ascii="仿宋_GB2312" w:hAnsi="宋体" w:eastAsia="仿宋_GB2312" w:cs="宋体"/>
          <w:b/>
          <w:bCs/>
          <w:color w:val="000000"/>
          <w:kern w:val="0"/>
          <w:sz w:val="32"/>
          <w:szCs w:val="32"/>
          <w:shd w:val="clear" w:color="auto" w:fill="FFFFFF"/>
          <w:lang w:val="zh-CN"/>
        </w:rPr>
        <w:t>部门财政资金支出情况</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20</w:t>
      </w:r>
      <w:r>
        <w:rPr>
          <w:rFonts w:hint="eastAsia" w:ascii="仿宋_GB2312" w:hAnsi="仿宋" w:eastAsia="仿宋_GB2312"/>
          <w:sz w:val="32"/>
          <w:szCs w:val="32"/>
          <w:lang w:val="en-US" w:eastAsia="zh-CN"/>
        </w:rPr>
        <w:t>20</w:t>
      </w:r>
      <w:r>
        <w:rPr>
          <w:rFonts w:hint="eastAsia" w:ascii="仿宋_GB2312" w:hAnsi="仿宋" w:eastAsia="仿宋_GB2312"/>
          <w:sz w:val="32"/>
          <w:szCs w:val="32"/>
        </w:rPr>
        <w:t>年度部门决算总支出为</w:t>
      </w:r>
      <w:r>
        <w:rPr>
          <w:rFonts w:hint="eastAsia" w:ascii="仿宋_GB2312" w:hAnsi="仿宋" w:eastAsia="仿宋_GB2312"/>
          <w:sz w:val="32"/>
          <w:szCs w:val="32"/>
          <w:lang w:val="en-US" w:eastAsia="zh-CN"/>
        </w:rPr>
        <w:t>11266.49</w:t>
      </w:r>
      <w:r>
        <w:rPr>
          <w:rFonts w:hint="eastAsia" w:ascii="仿宋_GB2312" w:hAnsi="仿宋" w:eastAsia="仿宋_GB2312"/>
          <w:sz w:val="32"/>
          <w:szCs w:val="32"/>
        </w:rPr>
        <w:t>万元</w:t>
      </w:r>
      <w:r>
        <w:rPr>
          <w:rFonts w:hint="eastAsia" w:ascii="仿宋_GB2312" w:hAnsi="仿宋" w:eastAsia="仿宋_GB2312"/>
          <w:sz w:val="32"/>
          <w:szCs w:val="32"/>
          <w:lang w:val="en-US" w:eastAsia="zh-CN"/>
        </w:rPr>
        <w:t>,</w:t>
      </w:r>
      <w:r>
        <w:rPr>
          <w:rFonts w:hint="eastAsia" w:ascii="仿宋_GB2312" w:hAnsi="仿宋" w:eastAsia="仿宋_GB2312"/>
          <w:sz w:val="32"/>
          <w:szCs w:val="32"/>
        </w:rPr>
        <w:t>其中：基本支出</w:t>
      </w:r>
      <w:r>
        <w:rPr>
          <w:rFonts w:hint="eastAsia" w:ascii="仿宋_GB2312" w:hAnsi="仿宋" w:eastAsia="仿宋_GB2312"/>
          <w:sz w:val="32"/>
          <w:szCs w:val="32"/>
          <w:lang w:val="en-US" w:eastAsia="zh-CN"/>
        </w:rPr>
        <w:t>2206.92</w:t>
      </w:r>
      <w:r>
        <w:rPr>
          <w:rFonts w:hint="eastAsia" w:ascii="仿宋_GB2312" w:hAnsi="仿宋" w:eastAsia="仿宋_GB2312"/>
          <w:sz w:val="32"/>
          <w:szCs w:val="32"/>
        </w:rPr>
        <w:t>万元</w:t>
      </w:r>
      <w:r>
        <w:rPr>
          <w:rFonts w:hint="eastAsia" w:ascii="仿宋_GB2312" w:hAnsi="仿宋" w:eastAsia="仿宋_GB2312"/>
          <w:sz w:val="32"/>
          <w:szCs w:val="32"/>
          <w:lang w:val="en-US" w:eastAsia="zh-CN"/>
        </w:rPr>
        <w:t>,</w:t>
      </w:r>
      <w:r>
        <w:rPr>
          <w:rFonts w:hint="eastAsia" w:ascii="仿宋_GB2312" w:hAnsi="仿宋" w:eastAsia="仿宋_GB2312"/>
          <w:sz w:val="32"/>
          <w:szCs w:val="32"/>
        </w:rPr>
        <w:t>项目支出</w:t>
      </w:r>
      <w:r>
        <w:rPr>
          <w:rFonts w:hint="eastAsia" w:ascii="仿宋_GB2312" w:hAnsi="仿宋" w:eastAsia="仿宋_GB2312"/>
          <w:sz w:val="32"/>
          <w:szCs w:val="32"/>
          <w:lang w:val="en-US" w:eastAsia="zh-CN"/>
        </w:rPr>
        <w:t>9059.57</w:t>
      </w:r>
      <w:r>
        <w:rPr>
          <w:rFonts w:hint="eastAsia" w:ascii="仿宋_GB2312" w:hAnsi="仿宋" w:eastAsia="仿宋_GB2312"/>
          <w:sz w:val="32"/>
          <w:szCs w:val="32"/>
        </w:rPr>
        <w:t>万元。上年度部门决算总支出为11220.57万元</w:t>
      </w:r>
      <w:r>
        <w:rPr>
          <w:rFonts w:hint="eastAsia" w:ascii="仿宋_GB2312" w:hAnsi="仿宋" w:eastAsia="仿宋_GB2312"/>
          <w:sz w:val="32"/>
          <w:szCs w:val="32"/>
          <w:lang w:val="en-US" w:eastAsia="zh-CN"/>
        </w:rPr>
        <w:t>,</w:t>
      </w:r>
      <w:r>
        <w:rPr>
          <w:rFonts w:hint="eastAsia" w:ascii="仿宋_GB2312" w:hAnsi="仿宋" w:eastAsia="仿宋_GB2312"/>
          <w:sz w:val="32"/>
          <w:szCs w:val="32"/>
        </w:rPr>
        <w:t>其中:基本支出1929.5万元</w:t>
      </w:r>
      <w:r>
        <w:rPr>
          <w:rFonts w:hint="eastAsia" w:ascii="仿宋_GB2312" w:hAnsi="仿宋" w:eastAsia="仿宋_GB2312"/>
          <w:sz w:val="32"/>
          <w:szCs w:val="32"/>
          <w:lang w:val="en-US" w:eastAsia="zh-CN"/>
        </w:rPr>
        <w:t>,</w:t>
      </w:r>
      <w:r>
        <w:rPr>
          <w:rFonts w:hint="eastAsia" w:ascii="仿宋_GB2312" w:hAnsi="仿宋" w:eastAsia="仿宋_GB2312"/>
          <w:sz w:val="32"/>
          <w:szCs w:val="32"/>
        </w:rPr>
        <w:t>项目支出9291.1万元。比上年度支出增加了</w:t>
      </w:r>
      <w:r>
        <w:rPr>
          <w:rFonts w:hint="eastAsia" w:ascii="仿宋_GB2312" w:hAnsi="仿宋" w:eastAsia="仿宋_GB2312"/>
          <w:sz w:val="32"/>
          <w:szCs w:val="32"/>
          <w:lang w:val="en-US" w:eastAsia="zh-CN"/>
        </w:rPr>
        <w:t>45.92</w:t>
      </w:r>
      <w:r>
        <w:rPr>
          <w:rFonts w:hint="eastAsia" w:ascii="仿宋_GB2312" w:hAnsi="仿宋" w:eastAsia="仿宋_GB2312"/>
          <w:sz w:val="32"/>
          <w:szCs w:val="32"/>
        </w:rPr>
        <w:t>万元</w:t>
      </w:r>
      <w:r>
        <w:rPr>
          <w:rFonts w:hint="eastAsia" w:ascii="仿宋_GB2312" w:hAnsi="仿宋" w:eastAsia="仿宋_GB2312"/>
          <w:sz w:val="32"/>
          <w:szCs w:val="32"/>
          <w:lang w:val="en-US" w:eastAsia="zh-CN"/>
        </w:rPr>
        <w:t>,</w:t>
      </w:r>
      <w:r>
        <w:rPr>
          <w:rFonts w:hint="eastAsia" w:ascii="仿宋_GB2312" w:hAnsi="仿宋" w:eastAsia="仿宋_GB2312"/>
          <w:sz w:val="32"/>
          <w:szCs w:val="32"/>
        </w:rPr>
        <w:t>主要原因是加快推进项目完成</w:t>
      </w:r>
      <w:r>
        <w:rPr>
          <w:rFonts w:hint="eastAsia" w:ascii="仿宋_GB2312" w:hAnsi="仿宋" w:eastAsia="仿宋_GB2312"/>
          <w:sz w:val="32"/>
          <w:szCs w:val="32"/>
          <w:lang w:val="en-US" w:eastAsia="zh-CN"/>
        </w:rPr>
        <w:t>,</w:t>
      </w:r>
      <w:r>
        <w:rPr>
          <w:rFonts w:hint="eastAsia" w:ascii="仿宋_GB2312" w:hAnsi="仿宋" w:eastAsia="仿宋_GB2312"/>
          <w:sz w:val="32"/>
          <w:szCs w:val="32"/>
        </w:rPr>
        <w:t>完成进度达到资金支付要求。</w:t>
      </w:r>
    </w:p>
    <w:p>
      <w:pPr>
        <w:keepNext w:val="0"/>
        <w:keepLines w:val="0"/>
        <w:pageBreakBefore w:val="0"/>
        <w:widowControl w:val="0"/>
        <w:numPr>
          <w:ilvl w:val="0"/>
          <w:numId w:val="0"/>
        </w:numPr>
        <w:pBdr>
          <w:bottom w:val="single" w:color="FFFFFF" w:sz="4" w:space="27"/>
        </w:pBdr>
        <w:tabs>
          <w:tab w:val="left" w:pos="426"/>
        </w:tabs>
        <w:kinsoku/>
        <w:wordWrap/>
        <w:overflowPunct/>
        <w:topLinePunct w:val="0"/>
        <w:autoSpaceDE/>
        <w:autoSpaceDN/>
        <w:bidi w:val="0"/>
        <w:adjustRightInd/>
        <w:snapToGrid/>
        <w:spacing w:line="560" w:lineRule="exact"/>
        <w:ind w:firstLine="640" w:firstLineChars="200"/>
        <w:textAlignment w:val="auto"/>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lang w:eastAsia="zh-CN"/>
        </w:rPr>
        <w:t>三、</w:t>
      </w:r>
      <w:r>
        <w:rPr>
          <w:rFonts w:hint="eastAsia" w:ascii="黑体" w:hAnsi="宋体" w:eastAsia="黑体" w:cs="宋体"/>
          <w:color w:val="000000"/>
          <w:kern w:val="0"/>
          <w:sz w:val="32"/>
          <w:szCs w:val="32"/>
          <w:shd w:val="clear" w:color="auto" w:fill="FFFFFF"/>
        </w:rPr>
        <w:t>部门整体预算绩效管理情况</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3" w:firstLineChars="200"/>
        <w:textAlignment w:val="auto"/>
        <w:rPr>
          <w:rFonts w:ascii="仿宋_GB2312" w:eastAsia="仿宋_GB2312"/>
          <w:b/>
          <w:bCs/>
          <w:sz w:val="32"/>
          <w:szCs w:val="32"/>
        </w:rPr>
      </w:pPr>
      <w:r>
        <w:rPr>
          <w:rFonts w:hint="eastAsia" w:ascii="仿宋_GB2312" w:hAnsi="宋体" w:eastAsia="仿宋_GB2312" w:cs="宋体"/>
          <w:b/>
          <w:bCs/>
          <w:color w:val="000000"/>
          <w:kern w:val="0"/>
          <w:sz w:val="32"/>
          <w:szCs w:val="32"/>
          <w:shd w:val="clear" w:color="auto" w:fill="FFFFFF"/>
          <w:lang w:val="zh-CN"/>
        </w:rPr>
        <w:t>（一）部门预算管理</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我单位认真学习贯彻党的十九大、省第十一次党代会和省委十一届三次、四次全会精神，以习近平新时代中国特色社会主义思想为指导</w:t>
      </w:r>
      <w:r>
        <w:rPr>
          <w:rFonts w:hint="eastAsia" w:ascii="仿宋_GB2312" w:eastAsia="仿宋_GB2312"/>
          <w:sz w:val="32"/>
          <w:szCs w:val="32"/>
          <w:lang w:val="en-US" w:eastAsia="zh-CN"/>
        </w:rPr>
        <w:t>,</w:t>
      </w:r>
      <w:r>
        <w:rPr>
          <w:rFonts w:hint="eastAsia" w:ascii="仿宋_GB2312" w:eastAsia="仿宋_GB2312"/>
          <w:sz w:val="32"/>
          <w:szCs w:val="32"/>
        </w:rPr>
        <w:t>紧紧围绕构建“一干多支、五区协同” 的发展战略目标</w:t>
      </w:r>
      <w:r>
        <w:rPr>
          <w:rFonts w:hint="eastAsia" w:ascii="仿宋_GB2312" w:eastAsia="仿宋_GB2312"/>
          <w:sz w:val="32"/>
          <w:szCs w:val="32"/>
          <w:lang w:val="en-US" w:eastAsia="zh-CN"/>
        </w:rPr>
        <w:t>,</w:t>
      </w:r>
      <w:r>
        <w:rPr>
          <w:rFonts w:hint="eastAsia" w:ascii="仿宋_GB2312" w:eastAsia="仿宋_GB2312"/>
          <w:sz w:val="32"/>
          <w:szCs w:val="32"/>
        </w:rPr>
        <w:t>自觉践行新发展理念</w:t>
      </w:r>
      <w:r>
        <w:rPr>
          <w:rFonts w:hint="eastAsia" w:ascii="仿宋_GB2312" w:eastAsia="仿宋_GB2312"/>
          <w:sz w:val="32"/>
          <w:szCs w:val="32"/>
          <w:lang w:val="en-US" w:eastAsia="zh-CN"/>
        </w:rPr>
        <w:t>,</w:t>
      </w:r>
      <w:r>
        <w:rPr>
          <w:rFonts w:hint="eastAsia" w:ascii="仿宋_GB2312" w:eastAsia="仿宋_GB2312"/>
          <w:sz w:val="32"/>
          <w:szCs w:val="32"/>
        </w:rPr>
        <w:t>根据职能职责积极 谋划</w:t>
      </w:r>
      <w:r>
        <w:rPr>
          <w:rFonts w:hint="eastAsia" w:ascii="仿宋_GB2312" w:eastAsia="仿宋_GB2312"/>
          <w:sz w:val="32"/>
          <w:szCs w:val="32"/>
          <w:lang w:val="en-US" w:eastAsia="zh-CN"/>
        </w:rPr>
        <w:t>,</w:t>
      </w:r>
      <w:r>
        <w:rPr>
          <w:rFonts w:hint="eastAsia" w:ascii="仿宋_GB2312" w:eastAsia="仿宋_GB2312"/>
          <w:sz w:val="32"/>
          <w:szCs w:val="32"/>
        </w:rPr>
        <w:t>确定目标任务，积极发挥公共财政职能作用</w:t>
      </w:r>
      <w:r>
        <w:rPr>
          <w:rFonts w:hint="eastAsia" w:ascii="仿宋_GB2312" w:eastAsia="仿宋_GB2312"/>
          <w:sz w:val="32"/>
          <w:szCs w:val="32"/>
          <w:lang w:val="en-US" w:eastAsia="zh-CN"/>
        </w:rPr>
        <w:t>,</w:t>
      </w:r>
      <w:r>
        <w:rPr>
          <w:rFonts w:hint="eastAsia" w:ascii="仿宋_GB2312" w:eastAsia="仿宋_GB2312"/>
          <w:sz w:val="32"/>
          <w:szCs w:val="32"/>
        </w:rPr>
        <w:t>推动落 实稳增长、促改革、调结构、惠民生、防风险各项工作。一是按照</w:t>
      </w:r>
      <w:r>
        <w:rPr>
          <w:rFonts w:hint="eastAsia" w:ascii="仿宋_GB2312" w:eastAsia="仿宋_GB2312"/>
          <w:sz w:val="32"/>
          <w:szCs w:val="32"/>
          <w:lang w:val="en-US" w:eastAsia="zh-CN"/>
        </w:rPr>
        <w:t>2020</w:t>
      </w:r>
      <w:r>
        <w:rPr>
          <w:rFonts w:hint="eastAsia" w:ascii="仿宋_GB2312" w:eastAsia="仿宋_GB2312"/>
          <w:sz w:val="32"/>
          <w:szCs w:val="32"/>
        </w:rPr>
        <w:t>年部门预算编审要求</w:t>
      </w:r>
      <w:r>
        <w:rPr>
          <w:rFonts w:hint="eastAsia" w:ascii="仿宋_GB2312" w:eastAsia="仿宋_GB2312"/>
          <w:sz w:val="32"/>
          <w:szCs w:val="32"/>
          <w:lang w:val="en-US" w:eastAsia="zh-CN"/>
        </w:rPr>
        <w:t>,</w:t>
      </w:r>
      <w:r>
        <w:rPr>
          <w:rFonts w:hint="eastAsia" w:ascii="仿宋_GB2312" w:eastAsia="仿宋_GB2312"/>
          <w:sz w:val="32"/>
          <w:szCs w:val="32"/>
        </w:rPr>
        <w:t>根据我单位职能职责，结合中长期规划和年度工作计划</w:t>
      </w:r>
      <w:r>
        <w:rPr>
          <w:rFonts w:hint="eastAsia" w:ascii="仿宋_GB2312" w:eastAsia="仿宋_GB2312"/>
          <w:sz w:val="32"/>
          <w:szCs w:val="32"/>
          <w:lang w:val="en-US" w:eastAsia="zh-CN"/>
        </w:rPr>
        <w:t>,</w:t>
      </w:r>
      <w:r>
        <w:rPr>
          <w:rFonts w:hint="eastAsia" w:ascii="仿宋_GB2312" w:eastAsia="仿宋_GB2312"/>
          <w:sz w:val="32"/>
          <w:szCs w:val="32"/>
        </w:rPr>
        <w:t>明确了年度主要工作任务及年度内履职所要达到的总体产出和效果</w:t>
      </w:r>
      <w:r>
        <w:rPr>
          <w:rFonts w:hint="eastAsia" w:ascii="仿宋_GB2312" w:eastAsia="仿宋_GB2312"/>
          <w:sz w:val="32"/>
          <w:szCs w:val="32"/>
          <w:lang w:val="en-US" w:eastAsia="zh-CN"/>
        </w:rPr>
        <w:t>,</w:t>
      </w:r>
      <w:r>
        <w:rPr>
          <w:rFonts w:hint="eastAsia" w:ascii="仿宋_GB2312" w:eastAsia="仿宋_GB2312"/>
          <w:sz w:val="32"/>
          <w:szCs w:val="32"/>
        </w:rPr>
        <w:t>认真填报了我单位整体支出绩效目标，具体说明了项目概况</w:t>
      </w:r>
      <w:r>
        <w:rPr>
          <w:rFonts w:hint="eastAsia" w:ascii="仿宋_GB2312" w:eastAsia="仿宋_GB2312"/>
          <w:sz w:val="32"/>
          <w:szCs w:val="32"/>
          <w:lang w:val="en-US" w:eastAsia="zh-CN"/>
        </w:rPr>
        <w:t>,</w:t>
      </w:r>
      <w:r>
        <w:rPr>
          <w:rFonts w:hint="eastAsia" w:ascii="仿宋_GB2312" w:eastAsia="仿宋_GB2312"/>
          <w:sz w:val="32"/>
          <w:szCs w:val="32"/>
        </w:rPr>
        <w:t>设定了年度绩效数量指标、成本指标、效益指标等</w:t>
      </w:r>
      <w:r>
        <w:rPr>
          <w:rFonts w:hint="eastAsia" w:ascii="仿宋_GB2312" w:eastAsia="仿宋_GB2312"/>
          <w:sz w:val="32"/>
          <w:szCs w:val="32"/>
          <w:lang w:val="en-US" w:eastAsia="zh-CN"/>
        </w:rPr>
        <w:t>,</w:t>
      </w:r>
      <w:r>
        <w:rPr>
          <w:rFonts w:hint="eastAsia" w:ascii="仿宋_GB2312" w:eastAsia="仿宋_GB2312"/>
          <w:sz w:val="32"/>
          <w:szCs w:val="32"/>
        </w:rPr>
        <w:t>详细反映了相应项目工作任务、达成的效果。二是按照《四川省省级预算绩效运行监控管理暂行办法》要求</w:t>
      </w:r>
      <w:r>
        <w:rPr>
          <w:rFonts w:hint="eastAsia" w:ascii="仿宋_GB2312" w:eastAsia="仿宋_GB2312"/>
          <w:sz w:val="32"/>
          <w:szCs w:val="32"/>
          <w:lang w:val="en-US" w:eastAsia="zh-CN"/>
        </w:rPr>
        <w:t>,</w:t>
      </w:r>
      <w:r>
        <w:rPr>
          <w:rFonts w:hint="eastAsia" w:ascii="仿宋_GB2312" w:eastAsia="仿宋_GB2312"/>
          <w:sz w:val="32"/>
          <w:szCs w:val="32"/>
        </w:rPr>
        <w:t>认真组织开展我单位的绩效监控工作，对项目进度、预算执行、投入产出、各项效益的阶段完成情况进行动态跟踪监控。</w:t>
      </w:r>
    </w:p>
    <w:p>
      <w:pPr>
        <w:keepNext w:val="0"/>
        <w:keepLines w:val="0"/>
        <w:pageBreakBefore w:val="0"/>
        <w:widowControl w:val="0"/>
        <w:numPr>
          <w:ilvl w:val="0"/>
          <w:numId w:val="6"/>
        </w:numPr>
        <w:pBdr>
          <w:bottom w:val="single" w:color="FFFFFF" w:sz="4" w:space="27"/>
        </w:pBdr>
        <w:kinsoku/>
        <w:wordWrap/>
        <w:overflowPunct/>
        <w:topLinePunct w:val="0"/>
        <w:autoSpaceDE/>
        <w:autoSpaceDN/>
        <w:bidi w:val="0"/>
        <w:adjustRightInd/>
        <w:snapToGrid/>
        <w:spacing w:line="560" w:lineRule="exact"/>
        <w:ind w:firstLine="643" w:firstLineChars="200"/>
        <w:textAlignment w:val="auto"/>
        <w:rPr>
          <w:rFonts w:ascii="仿宋_GB2312" w:eastAsia="仿宋_GB2312"/>
          <w:b/>
          <w:bCs/>
          <w:sz w:val="32"/>
          <w:szCs w:val="32"/>
        </w:rPr>
      </w:pPr>
      <w:r>
        <w:rPr>
          <w:rFonts w:hint="eastAsia" w:ascii="仿宋_GB2312" w:hAnsi="宋体" w:eastAsia="仿宋_GB2312" w:cs="宋体"/>
          <w:b/>
          <w:bCs/>
          <w:color w:val="000000"/>
          <w:kern w:val="0"/>
          <w:sz w:val="32"/>
          <w:szCs w:val="32"/>
          <w:shd w:val="clear" w:color="auto" w:fill="FFFFFF"/>
          <w:lang w:val="zh-CN"/>
        </w:rPr>
        <w:t>结果应用情况</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我单位对部门预算绩效管理工作开展情况认真进行了自查自评。将评价结果作为预算安排的重要依据</w:t>
      </w:r>
      <w:r>
        <w:rPr>
          <w:rFonts w:hint="eastAsia" w:ascii="仿宋_GB2312" w:eastAsia="仿宋_GB2312"/>
          <w:sz w:val="32"/>
          <w:szCs w:val="32"/>
          <w:lang w:val="en-US" w:eastAsia="zh-CN"/>
        </w:rPr>
        <w:t>,</w:t>
      </w:r>
      <w:r>
        <w:rPr>
          <w:rFonts w:hint="eastAsia" w:ascii="仿宋_GB2312" w:eastAsia="仿宋_GB2312"/>
          <w:sz w:val="32"/>
          <w:szCs w:val="32"/>
        </w:rPr>
        <w:t>参照项目年度预算执行情况</w:t>
      </w:r>
      <w:r>
        <w:rPr>
          <w:rFonts w:hint="eastAsia" w:ascii="仿宋_GB2312" w:eastAsia="仿宋_GB2312"/>
          <w:sz w:val="32"/>
          <w:szCs w:val="32"/>
          <w:lang w:val="en-US" w:eastAsia="zh-CN"/>
        </w:rPr>
        <w:t>,</w:t>
      </w:r>
      <w:r>
        <w:rPr>
          <w:rFonts w:hint="eastAsia" w:ascii="仿宋_GB2312" w:eastAsia="仿宋_GB2312"/>
          <w:sz w:val="32"/>
          <w:szCs w:val="32"/>
        </w:rPr>
        <w:t>保障重点支出</w:t>
      </w:r>
      <w:r>
        <w:rPr>
          <w:rFonts w:hint="eastAsia" w:ascii="仿宋_GB2312" w:eastAsia="仿宋_GB2312"/>
          <w:sz w:val="32"/>
          <w:szCs w:val="32"/>
          <w:lang w:val="en-US" w:eastAsia="zh-CN"/>
        </w:rPr>
        <w:t>,</w:t>
      </w:r>
      <w:r>
        <w:rPr>
          <w:rFonts w:hint="eastAsia" w:ascii="仿宋_GB2312" w:eastAsia="仿宋_GB2312"/>
          <w:sz w:val="32"/>
          <w:szCs w:val="32"/>
        </w:rPr>
        <w:t>调整支出结构</w:t>
      </w:r>
      <w:r>
        <w:rPr>
          <w:rFonts w:hint="eastAsia" w:ascii="仿宋_GB2312" w:eastAsia="仿宋_GB2312"/>
          <w:sz w:val="32"/>
          <w:szCs w:val="32"/>
          <w:lang w:val="en-US" w:eastAsia="zh-CN"/>
        </w:rPr>
        <w:t>,</w:t>
      </w:r>
      <w:r>
        <w:rPr>
          <w:rFonts w:hint="eastAsia" w:ascii="仿宋_GB2312" w:eastAsia="仿宋_GB2312"/>
          <w:sz w:val="32"/>
          <w:szCs w:val="32"/>
        </w:rPr>
        <w:t>优化财政资金配置</w:t>
      </w:r>
      <w:r>
        <w:rPr>
          <w:rFonts w:hint="eastAsia" w:ascii="仿宋_GB2312" w:eastAsia="仿宋_GB2312"/>
          <w:sz w:val="32"/>
          <w:szCs w:val="32"/>
          <w:lang w:val="en-US" w:eastAsia="zh-CN"/>
        </w:rPr>
        <w:t>,</w:t>
      </w:r>
      <w:r>
        <w:rPr>
          <w:rFonts w:hint="eastAsia" w:ascii="仿宋_GB2312" w:eastAsia="仿宋_GB2312"/>
          <w:sz w:val="32"/>
          <w:szCs w:val="32"/>
        </w:rPr>
        <w:t>不断强化绩效理念</w:t>
      </w:r>
      <w:r>
        <w:rPr>
          <w:rFonts w:hint="eastAsia" w:ascii="仿宋_GB2312" w:eastAsia="仿宋_GB2312"/>
          <w:sz w:val="32"/>
          <w:szCs w:val="32"/>
          <w:lang w:val="en-US" w:eastAsia="zh-CN"/>
        </w:rPr>
        <w:t>,</w:t>
      </w:r>
      <w:r>
        <w:rPr>
          <w:rFonts w:hint="eastAsia" w:ascii="仿宋_GB2312" w:eastAsia="仿宋_GB2312"/>
          <w:sz w:val="32"/>
          <w:szCs w:val="32"/>
        </w:rPr>
        <w:t>推动我单位整体绩效管理水平不断提升。</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0" w:firstLineChars="200"/>
        <w:textAlignment w:val="auto"/>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3" w:firstLineChars="200"/>
        <w:textAlignment w:val="auto"/>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（一）评价结论</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2020</w:t>
      </w:r>
      <w:r>
        <w:rPr>
          <w:rFonts w:hint="eastAsia" w:ascii="仿宋_GB2312" w:eastAsia="仿宋_GB2312"/>
          <w:sz w:val="32"/>
          <w:szCs w:val="32"/>
        </w:rPr>
        <w:t>年,根据我局年初工作规划，积极履职，强化管理，较好的完成了上年度工作目标。通过加强预算收支管理，不断建立健全内部管理制度，梳理内部管理流程，单位整体支出管理情况得到提升。在资金的使用过程中依法依规，严格审核监管，做到有据可依实事求是。</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3" w:firstLineChars="200"/>
        <w:textAlignment w:val="auto"/>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en-US" w:eastAsia="zh-CN"/>
        </w:rPr>
        <w:t>(二)</w:t>
      </w:r>
      <w:r>
        <w:rPr>
          <w:rFonts w:hint="eastAsia" w:ascii="仿宋_GB2312" w:hAnsi="宋体" w:eastAsia="仿宋_GB2312" w:cs="宋体"/>
          <w:b/>
          <w:bCs/>
          <w:color w:val="000000"/>
          <w:kern w:val="0"/>
          <w:sz w:val="32"/>
          <w:szCs w:val="32"/>
          <w:shd w:val="clear" w:color="auto" w:fill="FFFFFF"/>
          <w:lang w:val="zh-CN"/>
        </w:rPr>
        <w:t>存在问题</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在预算资金的使用过程中支付进度不足，在会计的账务处理过程中，由于支付资金笔数较多，会计资料多而杂，但在平时自查自纠的过程中</w:t>
      </w:r>
      <w:r>
        <w:rPr>
          <w:rFonts w:hint="eastAsia" w:ascii="仿宋_GB2312" w:eastAsia="仿宋_GB2312"/>
          <w:sz w:val="32"/>
          <w:szCs w:val="32"/>
          <w:lang w:val="en-US" w:eastAsia="zh-CN"/>
        </w:rPr>
        <w:t>,</w:t>
      </w:r>
      <w:r>
        <w:rPr>
          <w:rFonts w:hint="eastAsia" w:ascii="仿宋_GB2312" w:eastAsia="仿宋_GB2312"/>
          <w:sz w:val="32"/>
          <w:szCs w:val="32"/>
        </w:rPr>
        <w:t>有所改正，保证账务的正确性。</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(三)改进意见</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在今后资金支付的过程中及时联系项目责任股室及人员及时拿报账资料来进行报账处理，及时报账提高资金的支付进度，经常开展财务人员再学习，努力提高自己的业务水平,提高工作效率。</w:t>
      </w:r>
    </w:p>
    <w:p>
      <w:pPr>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textAlignment w:val="auto"/>
        <w:rPr>
          <w:rFonts w:ascii="仿宋_GB2312" w:hAnsi="宋体" w:eastAsia="仿宋_GB2312" w:cs="宋体"/>
          <w:color w:val="000000"/>
          <w:kern w:val="0"/>
          <w:sz w:val="32"/>
          <w:szCs w:val="32"/>
          <w:shd w:val="clear" w:color="auto" w:fill="FFFFFF"/>
          <w:lang w:val="zh-CN"/>
        </w:rPr>
      </w:pPr>
      <w:r>
        <w:rPr>
          <w:rFonts w:hint="eastAsia" w:ascii="仿宋_GB2312" w:eastAsia="仿宋_GB2312"/>
          <w:sz w:val="32"/>
          <w:szCs w:val="32"/>
          <w:lang w:val="en-US" w:eastAsia="zh-CN"/>
        </w:rPr>
        <w:t xml:space="preserve">  </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Fonts w:hint="eastAsia" w:ascii="黑体" w:hAnsi="黑体" w:eastAsia="黑体" w:cs="黑体"/>
          <w:sz w:val="32"/>
          <w:szCs w:val="32"/>
        </w:rPr>
      </w:pPr>
      <w:bookmarkStart w:id="123" w:name="_Toc79163883"/>
      <w:bookmarkStart w:id="124" w:name="_Toc79163633"/>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ascii="黑体" w:hAnsi="黑体" w:eastAsia="黑体" w:cs="黑体"/>
          <w:b/>
          <w:bCs/>
          <w:sz w:val="32"/>
          <w:szCs w:val="32"/>
        </w:rPr>
      </w:pPr>
      <w:r>
        <w:rPr>
          <w:rFonts w:hint="eastAsia" w:ascii="黑体" w:hAnsi="黑体" w:eastAsia="黑体" w:cs="黑体"/>
          <w:b/>
          <w:bCs/>
          <w:sz w:val="32"/>
          <w:szCs w:val="32"/>
        </w:rPr>
        <w:t>附件</w:t>
      </w:r>
      <w:r>
        <w:rPr>
          <w:rFonts w:ascii="黑体" w:hAnsi="黑体" w:eastAsia="黑体" w:cs="黑体"/>
          <w:b/>
          <w:bCs/>
          <w:sz w:val="32"/>
          <w:szCs w:val="32"/>
        </w:rPr>
        <w:t>2</w:t>
      </w:r>
      <w:bookmarkEnd w:id="123"/>
      <w:bookmarkEnd w:id="124"/>
    </w:p>
    <w:p>
      <w:pPr>
        <w:spacing w:line="600" w:lineRule="exact"/>
        <w:jc w:val="left"/>
        <w:outlineLvl w:val="0"/>
        <w:rPr>
          <w:rFonts w:hint="eastAsia" w:ascii="黑体" w:hAnsi="黑体" w:eastAsia="黑体" w:cs="黑体"/>
          <w:b/>
          <w:bCs/>
          <w:sz w:val="32"/>
          <w:szCs w:val="32"/>
          <w:lang w:val="zh-CN"/>
        </w:rPr>
      </w:pPr>
    </w:p>
    <w:p>
      <w:pPr>
        <w:widowControl/>
        <w:adjustRightInd w:val="0"/>
        <w:snapToGrid w:val="0"/>
        <w:spacing w:line="560" w:lineRule="exact"/>
        <w:ind w:firstLine="880" w:firstLineChars="200"/>
        <w:contextualSpacing/>
        <w:jc w:val="center"/>
        <w:rPr>
          <w:rFonts w:hint="eastAsia" w:ascii="方正小标宋简体" w:hAnsi="黑体" w:eastAsia="方正小标宋简体" w:cs="黑体"/>
          <w:sz w:val="44"/>
          <w:szCs w:val="44"/>
          <w:lang w:val="zh-CN" w:eastAsia="zh-CN"/>
        </w:rPr>
      </w:pPr>
      <w:r>
        <w:rPr>
          <w:rFonts w:hint="eastAsia" w:ascii="方正小标宋简体" w:hAnsi="黑体" w:eastAsia="方正小标宋简体" w:cs="黑体"/>
          <w:sz w:val="44"/>
          <w:szCs w:val="44"/>
          <w:lang w:val="zh-CN" w:eastAsia="zh-CN"/>
        </w:rPr>
        <w:t>茂县林业和草原局中央恢复资金</w:t>
      </w:r>
    </w:p>
    <w:p>
      <w:pPr>
        <w:widowControl/>
        <w:adjustRightInd w:val="0"/>
        <w:snapToGrid w:val="0"/>
        <w:spacing w:line="560" w:lineRule="exact"/>
        <w:ind w:firstLine="880" w:firstLineChars="200"/>
        <w:contextualSpacing/>
        <w:jc w:val="center"/>
        <w:rPr>
          <w:rFonts w:hint="eastAsia" w:ascii="方正小标宋简体" w:hAnsi="黑体" w:eastAsia="方正小标宋简体" w:cs="黑体"/>
          <w:sz w:val="44"/>
          <w:szCs w:val="44"/>
          <w:lang w:val="zh-CN" w:eastAsia="zh-CN"/>
        </w:rPr>
      </w:pPr>
      <w:r>
        <w:rPr>
          <w:rFonts w:hint="eastAsia" w:ascii="方正小标宋简体" w:hAnsi="黑体" w:eastAsia="方正小标宋简体" w:cs="黑体"/>
          <w:sz w:val="44"/>
          <w:szCs w:val="44"/>
          <w:lang w:val="zh-CN" w:eastAsia="zh-CN"/>
        </w:rPr>
        <w:t>2020年度绩效自评报告</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p>
    <w:p>
      <w:pPr>
        <w:widowControl/>
        <w:adjustRightInd w:val="0"/>
        <w:snapToGrid w:val="0"/>
        <w:spacing w:line="560" w:lineRule="exact"/>
        <w:ind w:firstLine="640" w:firstLineChars="200"/>
        <w:contextualSpacing/>
        <w:jc w:val="left"/>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lang w:val="zh-CN"/>
        </w:rPr>
        <w:t>一、绩效目标分解下达情况</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生态护林员</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（一）项目资金。根据《茂县2019年度生态护林员实施方案》实施，2020年下达生态护林员资金164万元川财资环〔2020〕32号，用于建档立卡贫困户担任生态护林员管护补助。</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项目绩效目标。2016年，国家林业局深入贯彻落实中央“利用生态补偿和生态保护工程资金，使当地有劳动能力的部分贫困人口转为护林员等生态保护人员”的要求，综合考量贫困人口脱贫需求和森林资源管护的需要，联合财政部、国务院扶贫办，开展了选聘建档立卡贫困人口担任生态护林员工作，选聘以集中连片困难地区为重点，以具有一定劳动能力，但又无业可扶、无力脱贫的贫困人口为对象。2020年生态护林员管护补助标准调整为10000元/年，全县生态护林员管护集体公益林面积不低于500亩，补助资金164万元，涉及11个乡镇164名建档立卡贫困户。资金兑现计划按季度支付。</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rPr>
        <w:t>草原管护</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（一）项目资金。《四川省财政厅 四川省林业和草原局关于下达2020年中央财政林业生态保护恢复资金预算（第三批）的通知》（川财资环〔2020〕56号）文件安排、分解下达预算我县草原生态修复治理项目中的草原管护工作资金71万元。</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项目绩效目标。为贯彻落实国家草原生态保护政策,维护国家生态安全，坚持以保护和改善天然草原生态、促进草原植被恢复为出发点，着眼于引导草原畜牧业生产方式转变和长远解决牧区人草畜协调发展，完善高原草地生态系统，遏制荒漠化、沙化趋势，保持生物多样性，增强生态服务功能，构筑重要江河源头生态屏障，维护下游生态安全，改善农牧民生产生活条件。对促进我县社会、经济可持续发展、维护生态安全和建设生态文明都具有重要的战略意义。</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草原生态修复治理项目覆盖全县草地166.42万亩，占总面积的21.6%，可利用草地面积为129.03万亩，主要分布于县境西北部和中部的松坪沟、雅都、叠溪、南新、凤仪、曲谷、三龙、白溪、太平、洼底等地。天然草原类型分高山草甸草地类、亚高山草甸草地类、高寒灌丛草甸草地类和山地灌丛草地类、干旱河谷灌丛草地类五大类。天然草原植被中的植物种类相当丰富，草本植物40余科、360余种。各类草产量比例分别为杂类草47.6%；禾本科草23.57%；莎草科草20.09%；毒害草5.73%；豆科草2%。茂县天然草原属植被多样、营养平庸、产草量中等的杂类草草场。</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3.</w:t>
      </w:r>
      <w:r>
        <w:rPr>
          <w:rFonts w:hint="eastAsia" w:ascii="仿宋_GB2312" w:hAnsi="宋体" w:eastAsia="仿宋_GB2312" w:cs="宋体"/>
          <w:color w:val="000000"/>
          <w:kern w:val="0"/>
          <w:sz w:val="32"/>
          <w:szCs w:val="32"/>
          <w:shd w:val="clear" w:color="auto" w:fill="FFFFFF"/>
          <w:lang w:val="zh-CN"/>
        </w:rPr>
        <w:t xml:space="preserve">完善退耕还林政策补助资金 </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按退耕面积兑现未到期退耕还林4.08483万亩完善政策补助。中央财政林业草原生态保护恢复资金（第一批）（川财资环〔2019〕63号）、（阿州财资环〔2020〕6号510.5万元。</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4.</w:t>
      </w:r>
      <w:r>
        <w:rPr>
          <w:rFonts w:hint="eastAsia" w:ascii="仿宋_GB2312" w:hAnsi="宋体" w:eastAsia="仿宋_GB2312" w:cs="宋体"/>
          <w:color w:val="000000"/>
          <w:kern w:val="0"/>
          <w:sz w:val="32"/>
          <w:szCs w:val="32"/>
          <w:shd w:val="clear" w:color="auto" w:fill="FFFFFF"/>
          <w:lang w:val="zh-CN"/>
        </w:rPr>
        <w:t xml:space="preserve">社会保险补助资金 </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2020年到位资金为中央财政林业草原生态保护恢复资金（第一批）（川财资环〔2019〕63号）、（阿州财资环〔2020〕6号社会保险补助资金124.35万元，离退休人员社保补助24.87万元；中央财政生态保护（第二批）川财资环（2020）56号 阿州财资环（2020）43号社会保险补助资金26.93万元，合计万元176.15万元，用于天保职工支付五险和职业年金费用66.11万，由于新冠肺炎国家减免企业五险，剩余110.04万元将在2021年度支付天保职工五险和职业年金。职工全员纳入社会保障制度建设后，解决了职工后顾之忧，提高了职工工作积极性，促进了社会和谐发展，保障了职工同步实现全面小康建设。</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5.</w:t>
      </w:r>
      <w:r>
        <w:rPr>
          <w:rFonts w:hint="eastAsia" w:ascii="仿宋_GB2312" w:hAnsi="宋体" w:eastAsia="仿宋_GB2312" w:cs="宋体"/>
          <w:color w:val="000000"/>
          <w:kern w:val="0"/>
          <w:sz w:val="32"/>
          <w:szCs w:val="32"/>
          <w:shd w:val="clear" w:color="auto" w:fill="FFFFFF"/>
          <w:lang w:val="zh-CN"/>
        </w:rPr>
        <w:t>大熊猫国家公园</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2020年12月下达资金70万元，川财资环〔2020〕74号 阿州财资环〔2020〕49号，2021年1月至3月主要进行前期工作，已完成项目方案编制等工作。该项目将于2021年3月底全面开工建设，预计6月底完成项目建设。主要用于大熊猫国家公园勘界、自然资源调查监测和保护设施设备运行维护。</w:t>
      </w:r>
    </w:p>
    <w:p>
      <w:pPr>
        <w:widowControl/>
        <w:adjustRightInd w:val="0"/>
        <w:snapToGrid w:val="0"/>
        <w:spacing w:line="560" w:lineRule="exact"/>
        <w:ind w:firstLine="640" w:firstLineChars="200"/>
        <w:contextualSpacing/>
        <w:jc w:val="left"/>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lang w:val="zh-CN"/>
        </w:rPr>
        <w:t>二、绩效目标完成情况分析</w:t>
      </w:r>
      <w:r>
        <w:rPr>
          <w:rFonts w:hint="eastAsia" w:ascii="黑体" w:hAnsi="黑体" w:eastAsia="黑体" w:cs="黑体"/>
          <w:color w:val="000000"/>
          <w:kern w:val="0"/>
          <w:sz w:val="32"/>
          <w:szCs w:val="32"/>
          <w:shd w:val="clear" w:color="auto" w:fill="FFFFFF"/>
          <w:lang w:val="zh-CN"/>
        </w:rPr>
        <w:tab/>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（一）资金投入情况分析</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生态护林员（1）资金计划及到位情况。2020年度生态护林员资金计划为164万元，截止评价时点实际到位164万元，全部为中央财政恢复资金。就资金到位情况与资金计划比较后资金到位率为100%，且到位及时。</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资金使用。截止目前项目资金的实际支出164万元，资金开支用于生态护林员管护补助补助，标准为10000元/年，支付进度100%。支付依据根据财务要求合规合法，资金支付与预算相符，并对相关问题进行了说明。</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（3）项目财务管理情况。生态护林员资金实行专户管理、专账核算、专款专用，对照项目资金管理办法，评价项目是严格执行财务管理制度、财务处理及时且会计核算规范。</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rPr>
        <w:t>草原管护项目资金到位情况：到位资金71万元。目前正在编制实施方案，方案经县人民政府审批后将严格按照方案使用资金。林业和草原局财务部门做好报账资料的审核工作，接受监察审计等部门对资金管理使用情况的监督检查，杜绝不合理的开支，做到专款专用，保证经费的使用效益。</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3.</w:t>
      </w:r>
      <w:r>
        <w:rPr>
          <w:rFonts w:hint="eastAsia" w:ascii="仿宋_GB2312" w:hAnsi="宋体" w:eastAsia="仿宋_GB2312" w:cs="宋体"/>
          <w:color w:val="000000"/>
          <w:kern w:val="0"/>
          <w:sz w:val="32"/>
          <w:szCs w:val="32"/>
          <w:shd w:val="clear" w:color="auto" w:fill="FFFFFF"/>
          <w:lang w:val="zh-CN"/>
        </w:rPr>
        <w:t>完善退耕还林政策补助资金510.500万元，该资金发放需要乡镇自查、县级验收完成后，造表公示7天，已经通过“社保卡”兑现给退耕农户。</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4.</w:t>
      </w:r>
      <w:r>
        <w:rPr>
          <w:rFonts w:hint="eastAsia" w:ascii="仿宋_GB2312" w:hAnsi="宋体" w:eastAsia="仿宋_GB2312" w:cs="宋体"/>
          <w:color w:val="000000"/>
          <w:kern w:val="0"/>
          <w:sz w:val="32"/>
          <w:szCs w:val="32"/>
          <w:shd w:val="clear" w:color="auto" w:fill="FFFFFF"/>
          <w:lang w:val="zh-CN"/>
        </w:rPr>
        <w:t>社会保险补助资金 2020年到位资金为中央财政林业草原生态保护恢复资金（第一批）（川财资环〔2019〕63号）、（阿州财资环〔2020〕6号社会保险补助资金124.35万元，离退休人员社保补助24.87万元；中央财政生态保护（第二批）川财资环（2020）56号 阿州财资环（2020）43号社会保险补助资金26.93万元，合计万元176.15万元，用于天保职工支付五险和职业年金费用66.11万，由于新冠脑炎国家减免五险，剩余110.04万元将在2021年度支付职工五险和职业年金。严格按照《天然林资源保护工程财政专项资金管理办法》(财农〔2011〕38号)、《四川省天然林保护工程财政专项资金管理实施细则》(川财农〔2011〕357号)管理使用天保资金和会计核算的有关规定执行。无转移、转存资金、账外设账、私设“小金库”等问题；无伪造、变造会计凭证、做假账，编造、篡改财务报告，故意毁损账簿和其他会计信息资料等问题。</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5.</w:t>
      </w:r>
      <w:r>
        <w:rPr>
          <w:rFonts w:hint="eastAsia" w:ascii="仿宋_GB2312" w:hAnsi="宋体" w:eastAsia="仿宋_GB2312" w:cs="宋体"/>
          <w:color w:val="000000"/>
          <w:kern w:val="0"/>
          <w:sz w:val="32"/>
          <w:szCs w:val="32"/>
          <w:shd w:val="clear" w:color="auto" w:fill="FFFFFF"/>
          <w:lang w:val="zh-CN"/>
        </w:rPr>
        <w:t>大熊猫国家公园</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2021年1月至3月主要进行前期工作，已完成项目方案编制等工作。该项目将于2021年3月底全面开工建设，预计6月底完成项目建设。主要用于大熊猫国家公园勘界、自然资源调查监测和保护设施设备运行维护。</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（二）总体绩效目标完成情况分析。</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有的放矢、瞄准靶向。2016年“转化贫困人口为生态护林员”项目实施以来，茂县严格生态护林员选聘程序，做好档案管理工作。一是选用符合选聘条件且有意愿的建档立卡贫困户参与生态保护；二是通过村公告、本人申报、乡镇审核和评定、公示等程序后进行选用，并由村委会与生态护林员签订森林资源管护合同；三是茂县在生态护林员指标分配过程中结合林业资源和贫困人口分布等实际情况拟定岗位数量与分配，每岗划定管护区域，在生态管护员岗位设置上，依据贫困户人员的劳动力状况、家庭位置、区域管护任务等因素，将生态护林员岗位与其它公益性岗位有机结合，采取一人多岗的方式，避免岗位重合，工作交叉。这样既明确工作职责，又避免重复浪费劳动力和生态扶贫资金。2020年转化164名建档立卡贫困户为生态护林员。</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2.多措并举，全面落实。一是扎实提升生态护林员能力  助推脱贫攻坚。为加快推进脱贫攻坚步伐，不断提升生态护林员的业务能力，切实保护好森林资源安全，2016年以来茂县林草局组织人员相继对11个乡镇生态护林员开展了超过70余场次业务培训工作，发放宣传资料1500余份。培训主要就生态护林员主要岗位职责、权利、义务和有关林业法律法规进行了详细的讲解。要求全体生态护林员严守纪律，牢记使命，认真履行岗位职责，发现问题及时制止和汇报。通过培训，进一步提高了全县生态扶贫护林员的思想素质和管护水平，明确了生态护林的具体工作方向，为全县生态扶贫工作顺利开展打下坚实基础。二是提升补助标准，实行绩效奖励。2020年上调为为10000元/人。在2019年基础上上浮8.1%。三是为提高生态护林员工作积极性，补助实行绩效奖励制。即管护补助分为基础补助（管护补助的80%）和绩效补助（管护补助的20%），基础补助根据按月发放，绩效补助根据考核结果兑现，扣减的绩效用于奖励履职尽责好、工作实绩突出的生态管护员。</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完善退耕还林政策补助资金510.50万元，该资金发放需要乡镇自查、县级验收完成后，造表公示7天，已经通过“社保卡”兑现给退耕农户。</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职工全员纳入社会保障制度建设后，在职工退休失去工作劳动能力后，能从社会保障机构取得稳定的退休工资。</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（三）绩效指标完成情况分析</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1.项目完成情况</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截止2020年12月31日，该年度生态护林员项目已按照相关要求全面完成。</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2.项目效益情况</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（1）生态保护工作成效显著。通过生态护林员实施，进一步扩大了护林管护队伍，加强了生态保护建设，林草综合覆盖率逐步提高，森林面积蓄积实现双增长，持续改善和优化生态环境。</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促进持续增收稳定脱贫。按照省州部署，通过开展生态脱贫，稳步建立增收机制，逐步提高每个生态保护建设岗位劳务报酬，2019、2020年分别实现8150元、10000元的增收目标。贫困户通过参与生态建设获得劳务补助，实现了持续稳定增收。</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 xml:space="preserve">（3）激发了内生动力。通过参与行业部门开展针对性的培训，促使参与生态管护、建设的建档立卡贫困人员掌握绿化造林、森林管护的基本方法及安全常识等法律政策和业务知识，获得知识的同时从侧面给予了贫困户脱贫的信心，不断激发贫困群众内生动力，引导贫困群众不等不靠、自力更生，主动参与生态保护建设、持续稳定参与护林工作，依靠勤劳的双手守护绿水青山、实现脱贫增收。      </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（一）项目完成情况</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完善退耕还林政策补助资金510.5万元，已经通过“社保卡”兑现给退耕农户，完成率100%。</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（二）项目效益情况</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退耕还林解放了很多劳动力，退耕农户从事第三产业，增加了收入；退耕还林有效的减少了“泥石流”等地质灾害情况发生。</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rPr>
        <w:t>职工全员纳入社会保障制度建设后，在职工退休失去工作劳动能力后，能从社会保障机构取得稳定的退休工资。解决了职工后顾之忧，提高了职工工作积极性，促进了社会和谐发展，保障了职工同步实现全面小康建设。</w:t>
      </w:r>
    </w:p>
    <w:p>
      <w:pPr>
        <w:widowControl/>
        <w:adjustRightInd w:val="0"/>
        <w:snapToGrid w:val="0"/>
        <w:spacing w:line="560" w:lineRule="exact"/>
        <w:ind w:firstLine="640" w:firstLineChars="200"/>
        <w:contextualSpacing/>
        <w:jc w:val="left"/>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lang w:val="zh-CN"/>
        </w:rPr>
        <w:t>三、偏离绩效目标的原因和下一步改进措施</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（一）存在问题</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生态护林员存在履职尽责不到位的情况，如发生林政案件不报告或不及时报告，造成了较大的森林资源损失，生态护林员队伍工作素质普遍偏低。</w:t>
      </w:r>
    </w:p>
    <w:p>
      <w:pPr>
        <w:widowControl/>
        <w:adjustRightInd w:val="0"/>
        <w:snapToGrid w:val="0"/>
        <w:spacing w:line="56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rPr>
        <w:t>社会保险补助资金人员结构单一、老龄化，由于五险按照省平工资和在职人数，下达资金有缺口。</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（二）相关建议</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加大护林员培训力度，提高护林员业务能力，提高护林员待遇，吸引更高素质的人员参与到护林员队伍中。</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rPr>
        <w:t>建议国家继续加大对社会保险补助资金资金力度。</w:t>
      </w:r>
    </w:p>
    <w:p>
      <w:pPr>
        <w:widowControl/>
        <w:adjustRightInd w:val="0"/>
        <w:snapToGrid w:val="0"/>
        <w:spacing w:line="560" w:lineRule="exact"/>
        <w:ind w:firstLine="640" w:firstLineChars="200"/>
        <w:contextualSpacing/>
        <w:jc w:val="left"/>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lang w:val="zh-CN"/>
        </w:rPr>
        <w:t>四、绩效自评结果拟应用和公开情况</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自评结果：我县生态护林员在资金使用和管理中，实际支出与规定的用途一致，资金收支平衡，资金使用都能做到公开、公平、程序到位，严格执行财务制度，无截留、挤占、挪用补偿基金等违规行为。通过茂县政务公开网站进行了公示，同时各村在醒目位置公示。根据《评价内容和指标，对我县公益林生态效益补偿基金绩效自评得分为98分，综合评价结果为优。</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严格按照财政部国家林业和草原局关于印发《林业草原生态保护恢复资金管理办法》 财资环〔2020〕22号、《天然林资源保护工程财政专项资金管理办法》(财农〔2011〕38号)、《四川省天然林保护工程财政专项资金管理实施细则》(川财农〔2011〕357号)管理使用天保资金和会计核算的有关规定执行。无转移、转存资金、账外设账、私设“小金库”等问题；无伪造、变造会计凭证、做假账，编造、篡改财务报告，故意毁损账簿和其他会计信息资料等问题。</w:t>
      </w:r>
    </w:p>
    <w:p>
      <w:pPr>
        <w:adjustRightInd w:val="0"/>
        <w:snapToGrid w:val="0"/>
        <w:spacing w:line="420" w:lineRule="exact"/>
        <w:ind w:firstLine="560" w:firstLineChars="200"/>
        <w:rPr>
          <w:rFonts w:hint="eastAsia" w:ascii="宋体" w:hAnsi="宋体" w:eastAsia="宋体" w:cs="仿宋"/>
          <w:sz w:val="28"/>
          <w:szCs w:val="28"/>
        </w:rPr>
      </w:pPr>
    </w:p>
    <w:p>
      <w:pPr>
        <w:adjustRightInd w:val="0"/>
        <w:snapToGrid w:val="0"/>
        <w:spacing w:line="420" w:lineRule="exact"/>
        <w:ind w:firstLine="720" w:firstLineChars="200"/>
        <w:rPr>
          <w:rFonts w:hint="eastAsia" w:ascii="宋体" w:hAnsi="宋体" w:eastAsia="宋体" w:cs="Arial"/>
          <w:sz w:val="36"/>
          <w:szCs w:val="44"/>
        </w:rPr>
      </w:pPr>
    </w:p>
    <w:p>
      <w:pPr>
        <w:widowControl/>
        <w:jc w:val="left"/>
        <w:rPr>
          <w:rStyle w:val="22"/>
          <w:rFonts w:ascii="黑体" w:hAnsi="黑体" w:eastAsia="黑体"/>
          <w:b w:val="0"/>
        </w:rPr>
      </w:pPr>
      <w:r>
        <w:rPr>
          <w:rStyle w:val="22"/>
          <w:rFonts w:ascii="黑体" w:hAnsi="黑体" w:eastAsia="黑体"/>
          <w:b w:val="0"/>
        </w:rPr>
        <w:br w:type="page"/>
      </w:r>
    </w:p>
    <w:p>
      <w:pPr>
        <w:spacing w:line="600" w:lineRule="exact"/>
        <w:jc w:val="center"/>
        <w:outlineLvl w:val="0"/>
        <w:rPr>
          <w:rStyle w:val="22"/>
          <w:rFonts w:ascii="黑体" w:hAnsi="黑体" w:eastAsia="黑体"/>
          <w:b w:val="0"/>
        </w:rPr>
      </w:pPr>
      <w:bookmarkStart w:id="125" w:name="_Toc79163635"/>
      <w:bookmarkStart w:id="126" w:name="_Toc79163885"/>
      <w:bookmarkStart w:id="127" w:name="_Toc15396618"/>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115"/>
      <w:bookmarkEnd w:id="125"/>
      <w:bookmarkEnd w:id="126"/>
      <w:bookmarkEnd w:id="127"/>
    </w:p>
    <w:p>
      <w:pPr>
        <w:pStyle w:val="3"/>
        <w:rPr>
          <w:rFonts w:ascii="仿宋" w:hAnsi="仿宋" w:eastAsia="仿宋"/>
          <w:color w:val="000000"/>
        </w:rPr>
      </w:pPr>
      <w:bookmarkStart w:id="128" w:name="_Toc15396619"/>
      <w:bookmarkStart w:id="129" w:name="_Toc79163886"/>
      <w:bookmarkStart w:id="130" w:name="_Toc79163636"/>
      <w:r>
        <w:rPr>
          <w:rFonts w:hint="eastAsia" w:ascii="仿宋" w:hAnsi="仿宋" w:eastAsia="仿宋"/>
          <w:b w:val="0"/>
          <w:color w:val="000000"/>
        </w:rPr>
        <w:t>一、收</w:t>
      </w:r>
      <w:r>
        <w:rPr>
          <w:rStyle w:val="23"/>
          <w:rFonts w:hint="eastAsia" w:ascii="仿宋" w:hAnsi="仿宋" w:eastAsia="仿宋"/>
          <w:b w:val="0"/>
          <w:bCs w:val="0"/>
        </w:rPr>
        <w:t>入支出决算总表</w:t>
      </w:r>
      <w:bookmarkEnd w:id="128"/>
      <w:bookmarkEnd w:id="129"/>
      <w:bookmarkEnd w:id="130"/>
    </w:p>
    <w:p>
      <w:pPr>
        <w:pStyle w:val="3"/>
        <w:rPr>
          <w:rFonts w:ascii="仿宋" w:hAnsi="仿宋" w:eastAsia="仿宋"/>
          <w:color w:val="000000"/>
        </w:rPr>
      </w:pPr>
      <w:bookmarkStart w:id="131" w:name="_Toc79163887"/>
      <w:bookmarkStart w:id="132" w:name="_Toc15396620"/>
      <w:bookmarkStart w:id="133" w:name="_Toc79163637"/>
      <w:r>
        <w:rPr>
          <w:rFonts w:hint="eastAsia" w:ascii="仿宋" w:hAnsi="仿宋" w:eastAsia="仿宋"/>
          <w:b w:val="0"/>
          <w:color w:val="000000"/>
        </w:rPr>
        <w:t>二、收</w:t>
      </w:r>
      <w:r>
        <w:rPr>
          <w:rStyle w:val="23"/>
          <w:rFonts w:hint="eastAsia" w:ascii="仿宋" w:hAnsi="仿宋" w:eastAsia="仿宋"/>
          <w:b w:val="0"/>
          <w:bCs w:val="0"/>
        </w:rPr>
        <w:t>入决算表</w:t>
      </w:r>
      <w:bookmarkEnd w:id="131"/>
      <w:bookmarkEnd w:id="132"/>
      <w:bookmarkEnd w:id="133"/>
    </w:p>
    <w:p>
      <w:pPr>
        <w:pStyle w:val="3"/>
        <w:rPr>
          <w:rFonts w:ascii="仿宋" w:hAnsi="仿宋" w:eastAsia="仿宋"/>
          <w:color w:val="000000"/>
        </w:rPr>
      </w:pPr>
      <w:bookmarkStart w:id="134" w:name="_Toc15396621"/>
      <w:bookmarkStart w:id="135" w:name="_Toc79163638"/>
      <w:bookmarkStart w:id="136" w:name="_Toc79163888"/>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出决算表</w:t>
      </w:r>
      <w:bookmarkEnd w:id="134"/>
      <w:bookmarkEnd w:id="135"/>
      <w:bookmarkEnd w:id="136"/>
    </w:p>
    <w:p>
      <w:pPr>
        <w:pStyle w:val="3"/>
        <w:rPr>
          <w:rFonts w:ascii="仿宋" w:hAnsi="仿宋" w:eastAsia="仿宋"/>
          <w:b w:val="0"/>
          <w:color w:val="000000"/>
        </w:rPr>
      </w:pPr>
      <w:bookmarkStart w:id="137" w:name="_Toc15396622"/>
      <w:bookmarkStart w:id="138" w:name="_Toc79163639"/>
      <w:bookmarkStart w:id="139" w:name="_Toc79163889"/>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bookmarkEnd w:id="137"/>
      <w:bookmarkEnd w:id="138"/>
      <w:bookmarkEnd w:id="139"/>
    </w:p>
    <w:p>
      <w:pPr>
        <w:pStyle w:val="3"/>
        <w:rPr>
          <w:rStyle w:val="23"/>
          <w:rFonts w:ascii="仿宋" w:hAnsi="仿宋" w:eastAsia="仿宋"/>
          <w:b w:val="0"/>
          <w:bCs w:val="0"/>
        </w:rPr>
      </w:pPr>
      <w:bookmarkStart w:id="140" w:name="_Toc79163640"/>
      <w:bookmarkStart w:id="141" w:name="_Toc15396623"/>
      <w:bookmarkStart w:id="142" w:name="_Toc79163890"/>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w:t>
      </w:r>
      <w:bookmarkEnd w:id="140"/>
      <w:bookmarkEnd w:id="141"/>
      <w:bookmarkEnd w:id="142"/>
      <w:bookmarkStart w:id="143" w:name="_Toc15396624"/>
    </w:p>
    <w:p>
      <w:pPr>
        <w:pStyle w:val="3"/>
        <w:rPr>
          <w:rFonts w:ascii="仿宋" w:hAnsi="仿宋" w:eastAsia="仿宋"/>
          <w:color w:val="000000"/>
        </w:rPr>
      </w:pPr>
      <w:bookmarkStart w:id="144" w:name="_Toc79163641"/>
      <w:bookmarkStart w:id="145" w:name="_Toc79163891"/>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bookmarkEnd w:id="143"/>
      <w:bookmarkEnd w:id="144"/>
      <w:bookmarkEnd w:id="145"/>
    </w:p>
    <w:p>
      <w:pPr>
        <w:pStyle w:val="3"/>
        <w:rPr>
          <w:rFonts w:ascii="仿宋" w:hAnsi="仿宋" w:eastAsia="仿宋"/>
          <w:color w:val="000000"/>
        </w:rPr>
      </w:pPr>
      <w:bookmarkStart w:id="146" w:name="_Toc15396625"/>
      <w:bookmarkStart w:id="147" w:name="_Toc79163892"/>
      <w:bookmarkStart w:id="148" w:name="_Toc79163642"/>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bookmarkEnd w:id="146"/>
      <w:bookmarkEnd w:id="147"/>
      <w:bookmarkEnd w:id="148"/>
    </w:p>
    <w:p>
      <w:pPr>
        <w:pStyle w:val="3"/>
        <w:rPr>
          <w:rFonts w:ascii="仿宋" w:hAnsi="仿宋" w:eastAsia="仿宋"/>
          <w:color w:val="000000"/>
        </w:rPr>
      </w:pPr>
      <w:bookmarkStart w:id="149" w:name="_Toc79163643"/>
      <w:bookmarkStart w:id="150" w:name="_Toc79163893"/>
      <w:bookmarkStart w:id="151" w:name="_Toc15396626"/>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bookmarkEnd w:id="149"/>
      <w:bookmarkEnd w:id="150"/>
      <w:bookmarkEnd w:id="151"/>
    </w:p>
    <w:p>
      <w:pPr>
        <w:pStyle w:val="3"/>
        <w:rPr>
          <w:rFonts w:ascii="仿宋" w:hAnsi="仿宋" w:eastAsia="仿宋"/>
          <w:color w:val="000000"/>
        </w:rPr>
      </w:pPr>
      <w:bookmarkStart w:id="152" w:name="_Toc79163894"/>
      <w:bookmarkStart w:id="153" w:name="_Toc15396627"/>
      <w:bookmarkStart w:id="154" w:name="_Toc79163644"/>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bookmarkEnd w:id="152"/>
      <w:bookmarkEnd w:id="153"/>
      <w:bookmarkEnd w:id="154"/>
    </w:p>
    <w:p>
      <w:pPr>
        <w:pStyle w:val="3"/>
        <w:rPr>
          <w:rFonts w:ascii="仿宋" w:hAnsi="仿宋" w:eastAsia="仿宋"/>
          <w:color w:val="000000"/>
        </w:rPr>
      </w:pPr>
      <w:bookmarkStart w:id="155" w:name="_Toc79163645"/>
      <w:bookmarkStart w:id="156" w:name="_Toc79163895"/>
      <w:bookmarkStart w:id="157" w:name="_Toc15396628"/>
      <w:r>
        <w:rPr>
          <w:rStyle w:val="23"/>
          <w:rFonts w:hint="eastAsia" w:ascii="仿宋" w:hAnsi="仿宋" w:eastAsia="仿宋"/>
          <w:b w:val="0"/>
          <w:bCs w:val="0"/>
        </w:rPr>
        <w:t>十、</w:t>
      </w:r>
      <w:r>
        <w:rPr>
          <w:rFonts w:hint="eastAsia" w:ascii="仿宋" w:hAnsi="仿宋" w:eastAsia="仿宋"/>
          <w:b w:val="0"/>
          <w:color w:val="000000"/>
        </w:rPr>
        <w:t>一</w:t>
      </w:r>
      <w:r>
        <w:rPr>
          <w:rStyle w:val="23"/>
          <w:rFonts w:hint="eastAsia" w:ascii="仿宋" w:hAnsi="仿宋" w:eastAsia="仿宋"/>
          <w:b w:val="0"/>
          <w:bCs w:val="0"/>
        </w:rPr>
        <w:t>般公共预算财政拨款“三公”经费支出决算表</w:t>
      </w:r>
      <w:bookmarkEnd w:id="155"/>
      <w:bookmarkEnd w:id="156"/>
      <w:bookmarkEnd w:id="157"/>
    </w:p>
    <w:p>
      <w:pPr>
        <w:pStyle w:val="3"/>
        <w:rPr>
          <w:rFonts w:ascii="仿宋" w:hAnsi="仿宋" w:eastAsia="仿宋"/>
          <w:color w:val="000000"/>
        </w:rPr>
      </w:pPr>
      <w:bookmarkStart w:id="158" w:name="_Toc15396629"/>
      <w:bookmarkStart w:id="159" w:name="_Toc79163646"/>
      <w:bookmarkStart w:id="160" w:name="_Toc79163896"/>
      <w:r>
        <w:rPr>
          <w:rStyle w:val="23"/>
          <w:rFonts w:hint="eastAsia" w:ascii="仿宋" w:hAnsi="仿宋" w:eastAsia="仿宋"/>
          <w:b w:val="0"/>
          <w:bCs w:val="0"/>
        </w:rPr>
        <w:t>十一、</w:t>
      </w:r>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bookmarkEnd w:id="158"/>
      <w:bookmarkEnd w:id="159"/>
      <w:bookmarkEnd w:id="160"/>
    </w:p>
    <w:p>
      <w:pPr>
        <w:pStyle w:val="3"/>
        <w:rPr>
          <w:rFonts w:ascii="仿宋" w:hAnsi="仿宋" w:eastAsia="仿宋"/>
          <w:color w:val="000000"/>
        </w:rPr>
      </w:pPr>
      <w:bookmarkStart w:id="161" w:name="_Toc79163647"/>
      <w:bookmarkStart w:id="162" w:name="_Toc15396630"/>
      <w:bookmarkStart w:id="163" w:name="_Toc79163897"/>
      <w:r>
        <w:rPr>
          <w:rStyle w:val="23"/>
          <w:rFonts w:hint="eastAsia" w:ascii="仿宋" w:hAnsi="仿宋" w:eastAsia="仿宋"/>
          <w:b w:val="0"/>
          <w:bCs w:val="0"/>
        </w:rPr>
        <w:t>十二、</w:t>
      </w:r>
      <w:r>
        <w:rPr>
          <w:rFonts w:hint="eastAsia" w:ascii="仿宋" w:hAnsi="仿宋" w:eastAsia="仿宋"/>
          <w:b w:val="0"/>
          <w:color w:val="000000"/>
        </w:rPr>
        <w:t>政</w:t>
      </w:r>
      <w:r>
        <w:rPr>
          <w:rStyle w:val="23"/>
          <w:rFonts w:hint="eastAsia" w:ascii="仿宋" w:hAnsi="仿宋" w:eastAsia="仿宋"/>
          <w:b w:val="0"/>
          <w:bCs w:val="0"/>
        </w:rPr>
        <w:t>府性基金预算财政拨款“三公”经费支出决算表</w:t>
      </w:r>
      <w:bookmarkEnd w:id="161"/>
      <w:bookmarkEnd w:id="162"/>
      <w:bookmarkEnd w:id="163"/>
    </w:p>
    <w:p>
      <w:pPr>
        <w:pStyle w:val="3"/>
        <w:rPr>
          <w:rStyle w:val="23"/>
          <w:rFonts w:ascii="仿宋" w:hAnsi="仿宋" w:eastAsia="仿宋"/>
          <w:b w:val="0"/>
          <w:bCs w:val="0"/>
        </w:rPr>
      </w:pPr>
      <w:bookmarkStart w:id="164" w:name="_Toc79163898"/>
      <w:bookmarkStart w:id="165" w:name="_Toc79163648"/>
      <w:bookmarkStart w:id="166" w:name="_Toc15396631"/>
      <w:r>
        <w:rPr>
          <w:rStyle w:val="23"/>
          <w:rFonts w:hint="eastAsia" w:ascii="仿宋" w:hAnsi="仿宋" w:eastAsia="仿宋"/>
          <w:b w:val="0"/>
          <w:bCs w:val="0"/>
        </w:rPr>
        <w:t>十三、</w:t>
      </w:r>
      <w:r>
        <w:rPr>
          <w:rFonts w:hint="eastAsia" w:ascii="仿宋" w:hAnsi="仿宋" w:eastAsia="仿宋"/>
          <w:b w:val="0"/>
          <w:color w:val="000000"/>
        </w:rPr>
        <w:t>国</w:t>
      </w:r>
      <w:r>
        <w:rPr>
          <w:rStyle w:val="23"/>
          <w:rFonts w:hint="eastAsia" w:ascii="仿宋" w:hAnsi="仿宋" w:eastAsia="仿宋"/>
          <w:b w:val="0"/>
          <w:bCs w:val="0"/>
        </w:rPr>
        <w:t>有资本经营预算财政拨款支出决算表</w:t>
      </w:r>
      <w:bookmarkEnd w:id="164"/>
      <w:bookmarkEnd w:id="165"/>
      <w:bookmarkEnd w:id="166"/>
    </w:p>
    <w:p>
      <w:pPr>
        <w:pStyle w:val="3"/>
        <w:rPr>
          <w:rStyle w:val="23"/>
          <w:rFonts w:ascii="仿宋" w:hAnsi="仿宋" w:eastAsia="仿宋"/>
          <w:b w:val="0"/>
          <w:bCs w:val="0"/>
        </w:rPr>
      </w:pPr>
      <w:bookmarkStart w:id="167" w:name="_Toc79163899"/>
      <w:bookmarkStart w:id="168" w:name="_Toc79163649"/>
      <w:r>
        <w:rPr>
          <w:rStyle w:val="23"/>
          <w:rFonts w:hint="eastAsia" w:ascii="仿宋" w:hAnsi="仿宋" w:eastAsia="仿宋"/>
          <w:b w:val="0"/>
          <w:bCs w:val="0"/>
        </w:rPr>
        <w:t>十四、国有资本经营预算财政拨款支出决算表</w:t>
      </w:r>
      <w:bookmarkEnd w:id="167"/>
      <w:bookmarkEnd w:id="16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48AB1F"/>
    <w:multiLevelType w:val="singleLevel"/>
    <w:tmpl w:val="8A48AB1F"/>
    <w:lvl w:ilvl="0" w:tentative="0">
      <w:start w:val="2"/>
      <w:numFmt w:val="chineseCounting"/>
      <w:suff w:val="nothing"/>
      <w:lvlText w:val="（%1）"/>
      <w:lvlJc w:val="left"/>
      <w:rPr>
        <w:rFonts w:hint="eastAsia"/>
      </w:rPr>
    </w:lvl>
  </w:abstractNum>
  <w:abstractNum w:abstractNumId="1">
    <w:nsid w:val="99C9C865"/>
    <w:multiLevelType w:val="singleLevel"/>
    <w:tmpl w:val="99C9C865"/>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610E5322"/>
    <w:multiLevelType w:val="singleLevel"/>
    <w:tmpl w:val="610E5322"/>
    <w:lvl w:ilvl="0" w:tentative="0">
      <w:start w:val="2"/>
      <w:numFmt w:val="chineseCounting"/>
      <w:suff w:val="nothing"/>
      <w:lvlText w:val="（%1）"/>
      <w:lvlJc w:val="left"/>
      <w:rPr>
        <w:rFonts w:hint="eastAsia"/>
      </w:rPr>
    </w:lvl>
  </w:abstractNum>
  <w:num w:numId="1">
    <w:abstractNumId w:val="1"/>
  </w:num>
  <w:num w:numId="2">
    <w:abstractNumId w:val="4"/>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5CCB"/>
    <w:rsid w:val="007E23B0"/>
    <w:rsid w:val="007E23E5"/>
    <w:rsid w:val="007F1991"/>
    <w:rsid w:val="007F2C2F"/>
    <w:rsid w:val="007F55FC"/>
    <w:rsid w:val="007F5665"/>
    <w:rsid w:val="00800112"/>
    <w:rsid w:val="00813348"/>
    <w:rsid w:val="008253BB"/>
    <w:rsid w:val="0083706E"/>
    <w:rsid w:val="008378F6"/>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3855"/>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1353F3E"/>
    <w:rsid w:val="019569E2"/>
    <w:rsid w:val="02D31F7D"/>
    <w:rsid w:val="02D777E3"/>
    <w:rsid w:val="030208BF"/>
    <w:rsid w:val="031C12DF"/>
    <w:rsid w:val="03EA7832"/>
    <w:rsid w:val="04A60683"/>
    <w:rsid w:val="04C161A5"/>
    <w:rsid w:val="04DE0B8A"/>
    <w:rsid w:val="04EA3A6A"/>
    <w:rsid w:val="050D1C94"/>
    <w:rsid w:val="05112C40"/>
    <w:rsid w:val="05DF72E1"/>
    <w:rsid w:val="05FD1206"/>
    <w:rsid w:val="06652300"/>
    <w:rsid w:val="0744608D"/>
    <w:rsid w:val="07E57716"/>
    <w:rsid w:val="07E91CFA"/>
    <w:rsid w:val="083C491E"/>
    <w:rsid w:val="08BC67EA"/>
    <w:rsid w:val="08CF7E51"/>
    <w:rsid w:val="09C708B1"/>
    <w:rsid w:val="0A2032A3"/>
    <w:rsid w:val="0C4A7D9F"/>
    <w:rsid w:val="0C6F3064"/>
    <w:rsid w:val="0D2C7C90"/>
    <w:rsid w:val="0D784E01"/>
    <w:rsid w:val="0FC75DAE"/>
    <w:rsid w:val="101E3355"/>
    <w:rsid w:val="107E1207"/>
    <w:rsid w:val="10C055FF"/>
    <w:rsid w:val="117F578F"/>
    <w:rsid w:val="118107EC"/>
    <w:rsid w:val="11AC7D4B"/>
    <w:rsid w:val="14222511"/>
    <w:rsid w:val="14FE5294"/>
    <w:rsid w:val="16546DB1"/>
    <w:rsid w:val="16BB723D"/>
    <w:rsid w:val="18622465"/>
    <w:rsid w:val="194B4EFC"/>
    <w:rsid w:val="19955B1A"/>
    <w:rsid w:val="1A135D6A"/>
    <w:rsid w:val="1A2A48AE"/>
    <w:rsid w:val="1A7B1CD7"/>
    <w:rsid w:val="1C06758C"/>
    <w:rsid w:val="1C47045E"/>
    <w:rsid w:val="1D155CEE"/>
    <w:rsid w:val="1E231FA2"/>
    <w:rsid w:val="1E2B62D6"/>
    <w:rsid w:val="1E2D243B"/>
    <w:rsid w:val="1E414FBE"/>
    <w:rsid w:val="1EB710B6"/>
    <w:rsid w:val="1EB73316"/>
    <w:rsid w:val="20871289"/>
    <w:rsid w:val="21547D49"/>
    <w:rsid w:val="22A37486"/>
    <w:rsid w:val="239E0FB0"/>
    <w:rsid w:val="240371BF"/>
    <w:rsid w:val="248F7E22"/>
    <w:rsid w:val="249B5DD6"/>
    <w:rsid w:val="24A609FD"/>
    <w:rsid w:val="25376BC6"/>
    <w:rsid w:val="25A45FB0"/>
    <w:rsid w:val="269242A8"/>
    <w:rsid w:val="26E579D4"/>
    <w:rsid w:val="28395441"/>
    <w:rsid w:val="285F3E40"/>
    <w:rsid w:val="28BB6AAE"/>
    <w:rsid w:val="28DD18F5"/>
    <w:rsid w:val="28E362CE"/>
    <w:rsid w:val="28E707E8"/>
    <w:rsid w:val="28EC5B3C"/>
    <w:rsid w:val="29701955"/>
    <w:rsid w:val="29FD04D3"/>
    <w:rsid w:val="2B1A33A9"/>
    <w:rsid w:val="2B4B099F"/>
    <w:rsid w:val="2DCF0EF8"/>
    <w:rsid w:val="2DF553DD"/>
    <w:rsid w:val="2E9A4AB4"/>
    <w:rsid w:val="2F0E6BE6"/>
    <w:rsid w:val="30997BBA"/>
    <w:rsid w:val="310A58B3"/>
    <w:rsid w:val="31117C89"/>
    <w:rsid w:val="319F7F4E"/>
    <w:rsid w:val="328F516B"/>
    <w:rsid w:val="35DC7A2E"/>
    <w:rsid w:val="37412BCF"/>
    <w:rsid w:val="37483E7B"/>
    <w:rsid w:val="37784360"/>
    <w:rsid w:val="37E328ED"/>
    <w:rsid w:val="38924340"/>
    <w:rsid w:val="38D63EC7"/>
    <w:rsid w:val="39C2592E"/>
    <w:rsid w:val="39C64D76"/>
    <w:rsid w:val="3A242A0C"/>
    <w:rsid w:val="3B0A1038"/>
    <w:rsid w:val="3B1073E0"/>
    <w:rsid w:val="3BA5091C"/>
    <w:rsid w:val="3C6B17F4"/>
    <w:rsid w:val="3C88033A"/>
    <w:rsid w:val="3C8D014C"/>
    <w:rsid w:val="3D2B6F87"/>
    <w:rsid w:val="3DC97B8C"/>
    <w:rsid w:val="3F2D2EE3"/>
    <w:rsid w:val="3F3E59BB"/>
    <w:rsid w:val="3F92709A"/>
    <w:rsid w:val="3FA207A6"/>
    <w:rsid w:val="3FA330BA"/>
    <w:rsid w:val="3FB41C79"/>
    <w:rsid w:val="4121087E"/>
    <w:rsid w:val="417F63D2"/>
    <w:rsid w:val="41AF4AC6"/>
    <w:rsid w:val="42405FE5"/>
    <w:rsid w:val="42822A01"/>
    <w:rsid w:val="43483B23"/>
    <w:rsid w:val="44DB4DB5"/>
    <w:rsid w:val="457057D9"/>
    <w:rsid w:val="469A37B7"/>
    <w:rsid w:val="481235C8"/>
    <w:rsid w:val="482A225D"/>
    <w:rsid w:val="4880726A"/>
    <w:rsid w:val="48B13683"/>
    <w:rsid w:val="495E4EC7"/>
    <w:rsid w:val="4A5144C2"/>
    <w:rsid w:val="4C80717F"/>
    <w:rsid w:val="4CA56117"/>
    <w:rsid w:val="4CE64F6E"/>
    <w:rsid w:val="4E0A6879"/>
    <w:rsid w:val="4ECE2238"/>
    <w:rsid w:val="4F57616C"/>
    <w:rsid w:val="512D7947"/>
    <w:rsid w:val="530712A7"/>
    <w:rsid w:val="5317244E"/>
    <w:rsid w:val="53F11071"/>
    <w:rsid w:val="54C0716B"/>
    <w:rsid w:val="54EA67FF"/>
    <w:rsid w:val="568E3026"/>
    <w:rsid w:val="56AC2E63"/>
    <w:rsid w:val="571A53F6"/>
    <w:rsid w:val="57F61CA2"/>
    <w:rsid w:val="57F9796A"/>
    <w:rsid w:val="587A2718"/>
    <w:rsid w:val="58E906D2"/>
    <w:rsid w:val="59157550"/>
    <w:rsid w:val="594B2E5D"/>
    <w:rsid w:val="5A79059C"/>
    <w:rsid w:val="5AA841ED"/>
    <w:rsid w:val="5B7C4318"/>
    <w:rsid w:val="5B9B584E"/>
    <w:rsid w:val="5BC610D7"/>
    <w:rsid w:val="5C440362"/>
    <w:rsid w:val="5CF840AC"/>
    <w:rsid w:val="5DFE2C07"/>
    <w:rsid w:val="5FAA177C"/>
    <w:rsid w:val="606824DA"/>
    <w:rsid w:val="60AA4E10"/>
    <w:rsid w:val="61383397"/>
    <w:rsid w:val="63626866"/>
    <w:rsid w:val="63916C60"/>
    <w:rsid w:val="63AF1FBF"/>
    <w:rsid w:val="63CB7A71"/>
    <w:rsid w:val="640B0EC5"/>
    <w:rsid w:val="64A21675"/>
    <w:rsid w:val="64EF3963"/>
    <w:rsid w:val="64F603F9"/>
    <w:rsid w:val="68996AE0"/>
    <w:rsid w:val="691862E7"/>
    <w:rsid w:val="6A252FAD"/>
    <w:rsid w:val="6B9E1DD4"/>
    <w:rsid w:val="6BF14513"/>
    <w:rsid w:val="6C114D54"/>
    <w:rsid w:val="6C4A05C8"/>
    <w:rsid w:val="6C5E1161"/>
    <w:rsid w:val="6C9B132F"/>
    <w:rsid w:val="6DA22F6F"/>
    <w:rsid w:val="6DBD0C4A"/>
    <w:rsid w:val="6E030ED6"/>
    <w:rsid w:val="6E275067"/>
    <w:rsid w:val="6E7843CB"/>
    <w:rsid w:val="6EE92572"/>
    <w:rsid w:val="6FA6287D"/>
    <w:rsid w:val="6FC657D1"/>
    <w:rsid w:val="701A4D3F"/>
    <w:rsid w:val="70604162"/>
    <w:rsid w:val="71077306"/>
    <w:rsid w:val="716846FF"/>
    <w:rsid w:val="72734D90"/>
    <w:rsid w:val="72AF5180"/>
    <w:rsid w:val="744E26C1"/>
    <w:rsid w:val="74811443"/>
    <w:rsid w:val="74E12964"/>
    <w:rsid w:val="751A21F1"/>
    <w:rsid w:val="75585CCE"/>
    <w:rsid w:val="75D53F67"/>
    <w:rsid w:val="76124F60"/>
    <w:rsid w:val="76462374"/>
    <w:rsid w:val="76926F8D"/>
    <w:rsid w:val="77A07447"/>
    <w:rsid w:val="780E4BD2"/>
    <w:rsid w:val="7976590B"/>
    <w:rsid w:val="79774BF2"/>
    <w:rsid w:val="7A331102"/>
    <w:rsid w:val="7A3930CE"/>
    <w:rsid w:val="7AED7102"/>
    <w:rsid w:val="7B746714"/>
    <w:rsid w:val="7B967CEA"/>
    <w:rsid w:val="7BE848EB"/>
    <w:rsid w:val="7C996AC0"/>
    <w:rsid w:val="7C9E097E"/>
    <w:rsid w:val="7CAC7FD4"/>
    <w:rsid w:val="7CF64565"/>
    <w:rsid w:val="7D39161A"/>
    <w:rsid w:val="7D994C5A"/>
    <w:rsid w:val="7F2623BC"/>
    <w:rsid w:val="7F6D7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Char"/>
    <w:basedOn w:val="19"/>
    <w:link w:val="2"/>
    <w:qFormat/>
    <w:locked/>
    <w:uiPriority w:val="9"/>
    <w:rPr>
      <w:rFonts w:ascii="Times New Roman" w:hAnsi="Times New Roman" w:cs="Times New Roman"/>
      <w:b/>
      <w:bCs/>
      <w:kern w:val="44"/>
      <w:sz w:val="44"/>
      <w:szCs w:val="44"/>
    </w:rPr>
  </w:style>
  <w:style w:type="character" w:customStyle="1" w:styleId="23">
    <w:name w:val="标题 2 Char"/>
    <w:basedOn w:val="19"/>
    <w:link w:val="3"/>
    <w:qFormat/>
    <w:locked/>
    <w:uiPriority w:val="9"/>
    <w:rPr>
      <w:rFonts w:ascii="Cambria" w:hAnsi="Cambria" w:eastAsia="宋体" w:cs="Times New Roman"/>
      <w:b/>
      <w:bCs/>
      <w:kern w:val="2"/>
      <w:sz w:val="32"/>
      <w:szCs w:val="32"/>
    </w:rPr>
  </w:style>
  <w:style w:type="character" w:customStyle="1" w:styleId="24">
    <w:name w:val="标题 3 Char"/>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Char"/>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Char"/>
    <w:link w:val="12"/>
    <w:semiHidden/>
    <w:qFormat/>
    <w:locked/>
    <w:uiPriority w:val="99"/>
    <w:rPr>
      <w:sz w:val="18"/>
    </w:rPr>
  </w:style>
  <w:style w:type="character" w:customStyle="1" w:styleId="30">
    <w:name w:val="页脚 Char"/>
    <w:link w:val="11"/>
    <w:qFormat/>
    <w:locked/>
    <w:uiPriority w:val="99"/>
    <w:rPr>
      <w:sz w:val="18"/>
    </w:rPr>
  </w:style>
  <w:style w:type="character" w:customStyle="1" w:styleId="31">
    <w:name w:val="正文文本 Char"/>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37">
    <w:name w:val="List Paragraph"/>
    <w:basedOn w:val="1"/>
    <w:qFormat/>
    <w:uiPriority w:val="0"/>
    <w:pPr>
      <w:ind w:firstLine="420" w:firstLineChars="200"/>
    </w:pPr>
  </w:style>
  <w:style w:type="character" w:customStyle="1" w:styleId="38">
    <w:name w:val="NormalCharacter"/>
    <w:qFormat/>
    <w:uiPriority w:val="0"/>
  </w:style>
  <w:style w:type="paragraph" w:customStyle="1" w:styleId="39">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7.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金额</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2019年</c:v>
                </c:pt>
                <c:pt idx="1">
                  <c:v>2020年</c:v>
                </c:pt>
              </c:strCache>
            </c:strRef>
          </c:cat>
          <c:val>
            <c:numRef>
              <c:f>Sheet1!$B$2:$B$3</c:f>
              <c:numCache>
                <c:formatCode>General</c:formatCode>
                <c:ptCount val="2"/>
                <c:pt idx="0">
                  <c:v>14428.92</c:v>
                </c:pt>
                <c:pt idx="1">
                  <c:v>14542.57</c:v>
                </c:pt>
              </c:numCache>
            </c:numRef>
          </c:val>
        </c:ser>
        <c:dLbls>
          <c:showLegendKey val="0"/>
          <c:showVal val="1"/>
          <c:showCatName val="0"/>
          <c:showSerName val="0"/>
          <c:showPercent val="0"/>
          <c:showBubbleSize val="0"/>
        </c:dLbls>
        <c:gapWidth val="75"/>
        <c:axId val="60139776"/>
        <c:axId val="60160256"/>
      </c:barChart>
      <c:catAx>
        <c:axId val="601397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60256"/>
        <c:crosses val="autoZero"/>
        <c:auto val="1"/>
        <c:lblAlgn val="ctr"/>
        <c:lblOffset val="100"/>
        <c:noMultiLvlLbl val="0"/>
      </c:catAx>
      <c:valAx>
        <c:axId val="60160256"/>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3977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金额</c:v>
                </c:pt>
              </c:strCache>
            </c:strRef>
          </c:tx>
          <c:explosion val="0"/>
          <c:dPt>
            <c:idx val="0"/>
            <c:bubble3D val="0"/>
          </c:dPt>
          <c:dPt>
            <c:idx val="1"/>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99.95</a:t>
                    </a:r>
                    <a:r>
                      <a:t>%</a:t>
                    </a:r>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0</a:t>
                    </a:r>
                    <a:r>
                      <a:rPr lang="en-US" altLang="zh-CN"/>
                      <a:t>.05</a:t>
                    </a:r>
                    <a:r>
                      <a:t>%</a:t>
                    </a:r>
                  </a:p>
                </c:rich>
              </c:tx>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12752.28</c:v>
                </c:pt>
                <c:pt idx="1">
                  <c:v>6.63</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金额</c:v>
                </c:pt>
              </c:strCache>
            </c:strRef>
          </c:tx>
          <c:explosion val="0"/>
          <c:dPt>
            <c:idx val="0"/>
            <c:bubble3D val="0"/>
          </c:dPt>
          <c:dPt>
            <c:idx val="1"/>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基本支出, </a:t>
                    </a:r>
                    <a:r>
                      <a:rPr lang="en-US" altLang="zh-CN"/>
                      <a:t>19.59%</a:t>
                    </a:r>
                    <a:endParaRPr lang="en-US" altLang="zh-CN"/>
                  </a:p>
                </c:rich>
              </c:tx>
              <c:dLblPos val="bestFit"/>
              <c:showLegendKey val="0"/>
              <c:showVal val="1"/>
              <c:showCatName val="1"/>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altLang="en-US"/>
                      <a:t>项目支出</a:t>
                    </a:r>
                    <a:r>
                      <a:rPr lang="en-US" altLang="zh-CN"/>
                      <a:t>80.41%</a:t>
                    </a:r>
                    <a:endParaRPr lang="en-US" altLang="zh-CN"/>
                  </a:p>
                </c:rich>
              </c:tx>
              <c:dLblPos val="bestFi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2206.92</c:v>
                </c:pt>
                <c:pt idx="1">
                  <c:v>9059.57</c:v>
                </c:pt>
              </c:numCache>
            </c:numRef>
          </c:val>
        </c:ser>
        <c:dLbls>
          <c:showLegendKey val="0"/>
          <c:showVal val="1"/>
          <c:showCatName val="1"/>
          <c:showSerName val="0"/>
          <c:showPercent val="0"/>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金额</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2019年</c:v>
                </c:pt>
                <c:pt idx="1">
                  <c:v>2020年</c:v>
                </c:pt>
              </c:strCache>
            </c:strRef>
          </c:cat>
          <c:val>
            <c:numRef>
              <c:f>Sheet1!$B$2:$B$3</c:f>
              <c:numCache>
                <c:formatCode>General</c:formatCode>
                <c:ptCount val="2"/>
                <c:pt idx="0">
                  <c:v>14428.92</c:v>
                </c:pt>
                <c:pt idx="1">
                  <c:v>14542.57</c:v>
                </c:pt>
              </c:numCache>
            </c:numRef>
          </c:val>
        </c:ser>
        <c:dLbls>
          <c:showLegendKey val="0"/>
          <c:showVal val="1"/>
          <c:showCatName val="0"/>
          <c:showSerName val="0"/>
          <c:showPercent val="0"/>
          <c:showBubbleSize val="0"/>
        </c:dLbls>
        <c:gapWidth val="75"/>
        <c:axId val="60139776"/>
        <c:axId val="60160256"/>
      </c:barChart>
      <c:catAx>
        <c:axId val="601397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60256"/>
        <c:crosses val="autoZero"/>
        <c:auto val="1"/>
        <c:lblAlgn val="ctr"/>
        <c:lblOffset val="100"/>
        <c:noMultiLvlLbl val="0"/>
      </c:catAx>
      <c:valAx>
        <c:axId val="60160256"/>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3977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金额</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2019年</c:v>
                </c:pt>
                <c:pt idx="1">
                  <c:v>2020年</c:v>
                </c:pt>
              </c:strCache>
            </c:strRef>
          </c:cat>
          <c:val>
            <c:numRef>
              <c:f>Sheet1!$B$2:$B$3</c:f>
              <c:numCache>
                <c:formatCode>General</c:formatCode>
                <c:ptCount val="2"/>
                <c:pt idx="0">
                  <c:v>10394.03</c:v>
                </c:pt>
                <c:pt idx="1">
                  <c:v>11259.86</c:v>
                </c:pt>
              </c:numCache>
            </c:numRef>
          </c:val>
        </c:ser>
        <c:dLbls>
          <c:showLegendKey val="0"/>
          <c:showVal val="1"/>
          <c:showCatName val="0"/>
          <c:showSerName val="0"/>
          <c:showPercent val="0"/>
          <c:showBubbleSize val="0"/>
        </c:dLbls>
        <c:gapWidth val="75"/>
        <c:axId val="120062720"/>
        <c:axId val="120064640"/>
      </c:barChart>
      <c:catAx>
        <c:axId val="12006272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0064640"/>
        <c:crosses val="autoZero"/>
        <c:auto val="1"/>
        <c:lblAlgn val="ctr"/>
        <c:lblOffset val="100"/>
        <c:noMultiLvlLbl val="0"/>
      </c:catAx>
      <c:valAx>
        <c:axId val="120064640"/>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0062720"/>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金额</c:v>
                </c:pt>
              </c:strCache>
            </c:strRef>
          </c:tx>
          <c:explosion val="0"/>
          <c:dPt>
            <c:idx val="0"/>
            <c:bubble3D val="0"/>
          </c:dPt>
          <c:dPt>
            <c:idx val="1"/>
            <c:bubble3D val="0"/>
          </c:dPt>
          <c:dPt>
            <c:idx val="2"/>
            <c:bubble3D val="0"/>
          </c:dPt>
          <c:dPt>
            <c:idx val="3"/>
            <c:bubble3D val="0"/>
          </c:dPt>
          <c:dPt>
            <c:idx val="4"/>
            <c:bubble3D val="0"/>
            <c:explosion val="0"/>
          </c:dPt>
          <c:dPt>
            <c:idx val="5"/>
            <c:bubble3D val="0"/>
          </c:dPt>
          <c:dPt>
            <c:idx val="6"/>
            <c:bubble3D val="0"/>
          </c:dPt>
          <c:dLbls>
            <c:dLbl>
              <c:idx val="0"/>
              <c:layout>
                <c:manualLayout>
                  <c:x val="-0.0095108218046596"/>
                  <c:y val="0.103903526287779"/>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3.51</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1.84</a:t>
                    </a:r>
                    <a:r>
                      <a:t>%</a:t>
                    </a:r>
                  </a:p>
                </c:rich>
              </c:tx>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0.00579767280882481"/>
                  <c:y val="0.0298878906318426"/>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0.99</a:t>
                    </a:r>
                    <a:r>
                      <a:t>%</a:t>
                    </a:r>
                  </a:p>
                </c:rich>
              </c:tx>
              <c:dLblPos val="bestFit"/>
              <c:showLegendKey val="0"/>
              <c:showVal val="0"/>
              <c:showCatName val="0"/>
              <c:showSerName val="0"/>
              <c:showPercent val="1"/>
              <c:showBubbleSize val="0"/>
              <c:extLst>
                <c:ext xmlns:c15="http://schemas.microsoft.com/office/drawing/2012/chart" uri="{CE6537A1-D6FC-4f65-9D91-7224C49458BB}">
                  <c15:layout>
                    <c:manualLayout>
                      <c:w val="0.100150293755978"/>
                      <c:h val="0.104445506692161"/>
                    </c:manualLayout>
                  </c15:layout>
                </c:ext>
              </c:extLst>
            </c:dLbl>
            <c:dLbl>
              <c:idx val="3"/>
              <c:layout>
                <c:manualLayout>
                  <c:x val="0.0234767192531123"/>
                  <c:y val="0.0447981985116678"/>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1</a:t>
                    </a:r>
                    <a:r>
                      <a:rPr lang="en-US" altLang="zh-CN"/>
                      <a:t>.33</a:t>
                    </a:r>
                    <a:r>
                      <a:t>%</a:t>
                    </a:r>
                  </a:p>
                </c:rich>
              </c:tx>
              <c:dLblPos val="bestFit"/>
              <c:showLegendKey val="0"/>
              <c:showVal val="0"/>
              <c:showCatName val="0"/>
              <c:showSerName val="0"/>
              <c:showPercent val="1"/>
              <c:showBubbleSize val="0"/>
              <c:extLst>
                <c:ext xmlns:c15="http://schemas.microsoft.com/office/drawing/2012/chart" uri="{CE6537A1-D6FC-4f65-9D91-7224C49458BB}">
                  <c15:layout>
                    <c:manualLayout>
                      <c:w val="0.0952315890148927"/>
                      <c:h val="0.0590344168260038"/>
                    </c:manualLayout>
                  </c15:layout>
                </c:ext>
              </c:extLst>
            </c:dLbl>
            <c:dLbl>
              <c:idx val="4"/>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72.89</a:t>
                    </a:r>
                    <a:r>
                      <a:t>%</a:t>
                    </a:r>
                  </a:p>
                </c:rich>
              </c:tx>
              <c:dLblPos val="bestFit"/>
              <c:showLegendKey val="0"/>
              <c:showVal val="0"/>
              <c:showCatName val="0"/>
              <c:showSerName val="0"/>
              <c:showPercent val="1"/>
              <c:showBubbleSize val="0"/>
              <c:extLst>
                <c:ext xmlns:c15="http://schemas.microsoft.com/office/drawing/2012/chart" uri="{CE6537A1-D6FC-4f65-9D91-7224C49458BB}"/>
              </c:extLst>
            </c:dLbl>
            <c:dLbl>
              <c:idx val="5"/>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19.25</a:t>
                    </a:r>
                    <a:r>
                      <a:t>%</a:t>
                    </a:r>
                  </a:p>
                </c:rich>
              </c:tx>
              <c:dLblPos val="bestFit"/>
              <c:showLegendKey val="0"/>
              <c:showVal val="0"/>
              <c:showCatName val="0"/>
              <c:showSerName val="0"/>
              <c:showPercent val="1"/>
              <c:showBubbleSize val="0"/>
              <c:extLst>
                <c:ext xmlns:c15="http://schemas.microsoft.com/office/drawing/2012/chart" uri="{CE6537A1-D6FC-4f65-9D91-7224C49458BB}"/>
              </c:extLst>
            </c:dLbl>
            <c:dLbl>
              <c:idx val="6"/>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0</a:t>
                    </a:r>
                    <a:r>
                      <a:rPr lang="en-US" altLang="zh-CN"/>
                      <a:t>.19</a:t>
                    </a:r>
                    <a:r>
                      <a:t>%</a:t>
                    </a:r>
                  </a:p>
                </c:rich>
              </c:tx>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Sheet1!$A$2:$A$8</c:f>
              <c:strCache>
                <c:ptCount val="7"/>
                <c:pt idx="0">
                  <c:v>文化旅游体育与传媒支出</c:v>
                </c:pt>
                <c:pt idx="1">
                  <c:v>社会保障和就业支出</c:v>
                </c:pt>
                <c:pt idx="2">
                  <c:v>卫生健康支出</c:v>
                </c:pt>
                <c:pt idx="3">
                  <c:v>住房保障支出</c:v>
                </c:pt>
                <c:pt idx="4">
                  <c:v>农林水支出</c:v>
                </c:pt>
                <c:pt idx="5">
                  <c:v>节能环保支出</c:v>
                </c:pt>
                <c:pt idx="6">
                  <c:v>灾害防治与应急管理支出</c:v>
                </c:pt>
              </c:strCache>
            </c:strRef>
          </c:cat>
          <c:val>
            <c:numRef>
              <c:f>Sheet1!$B$2:$B$8</c:f>
              <c:numCache>
                <c:formatCode>General</c:formatCode>
                <c:ptCount val="7"/>
                <c:pt idx="0">
                  <c:v>556.85</c:v>
                </c:pt>
                <c:pt idx="1">
                  <c:v>222.38</c:v>
                </c:pt>
                <c:pt idx="2">
                  <c:v>86.59</c:v>
                </c:pt>
                <c:pt idx="3">
                  <c:v>138.34</c:v>
                </c:pt>
                <c:pt idx="4">
                  <c:v>6942.17</c:v>
                </c:pt>
                <c:pt idx="5">
                  <c:v>2447.71</c:v>
                </c:pt>
                <c:pt idx="6">
                  <c:v>20.56</c:v>
                </c:pt>
              </c:numCache>
            </c:numRef>
          </c:val>
        </c:ser>
        <c:ser>
          <c:idx val="1"/>
          <c:order val="1"/>
          <c:tx>
            <c:strRef>
              <c:f>Sheet1!#REF!</c:f>
              <c:strCache>
                <c:ptCount val="1"/>
                <c:pt idx="0">
                  <c:v/>
                </c:pt>
              </c:strCache>
            </c:strRef>
          </c:tx>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Sheet1!$A$2:$A$8</c:f>
              <c:strCache>
                <c:ptCount val="7"/>
                <c:pt idx="0">
                  <c:v>文化旅游体育与传媒支出</c:v>
                </c:pt>
                <c:pt idx="1">
                  <c:v>社会保障和就业支出</c:v>
                </c:pt>
                <c:pt idx="2">
                  <c:v>卫生健康支出</c:v>
                </c:pt>
                <c:pt idx="3">
                  <c:v>住房保障支出</c:v>
                </c:pt>
                <c:pt idx="4">
                  <c:v>农林水支出</c:v>
                </c:pt>
                <c:pt idx="5">
                  <c:v>节能环保支出</c:v>
                </c:pt>
                <c:pt idx="6">
                  <c:v>灾害防治与应急管理支出</c:v>
                </c:pt>
              </c:strCache>
            </c:strRef>
          </c:cat>
          <c:val>
            <c:numRef>
              <c:f>Sheet1!#REF!</c:f>
              <c:numCache>
                <c:formatCode>General</c:formatCode>
                <c:ptCount val="1"/>
                <c:pt idx="0">
                  <c:v>1</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6552807760623"/>
          <c:y val="0.0886711281070746"/>
          <c:w val="0.318076239923487"/>
          <c:h val="0.861615678776291"/>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金额</c:v>
                </c:pt>
              </c:strCache>
            </c:strRef>
          </c:tx>
          <c:explosion val="0"/>
          <c:dPt>
            <c:idx val="0"/>
            <c:bubble3D val="0"/>
          </c:dPt>
          <c:dPt>
            <c:idx val="1"/>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7</a:t>
                    </a:r>
                    <a:r>
                      <a:rPr lang="en-US" altLang="zh-CN"/>
                      <a:t>6.83</a:t>
                    </a:r>
                    <a:r>
                      <a:t>%</a:t>
                    </a:r>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0.058980171678178"/>
                  <c:y val="0.132573848138059"/>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23.17</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公务用车购置及运行维护费</c:v>
                </c:pt>
                <c:pt idx="1">
                  <c:v>公务接待费</c:v>
                </c:pt>
              </c:strCache>
            </c:strRef>
          </c:cat>
          <c:val>
            <c:numRef>
              <c:f>Sheet1!$B$2:$B$3</c:f>
              <c:numCache>
                <c:formatCode>General</c:formatCode>
                <c:ptCount val="2"/>
                <c:pt idx="0">
                  <c:v>6.5</c:v>
                </c:pt>
                <c:pt idx="1">
                  <c:v>1.96</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47695638725642"/>
          <c:y val="0.091141396933560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3ED9FE-9131-4785-936E-BACD3479C407}">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1575</Words>
  <Characters>8981</Characters>
  <Lines>74</Lines>
  <Paragraphs>21</Paragraphs>
  <TotalTime>5</TotalTime>
  <ScaleCrop>false</ScaleCrop>
  <LinksUpToDate>false</LinksUpToDate>
  <CharactersWithSpaces>10535</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wt</cp:lastModifiedBy>
  <cp:lastPrinted>2021-09-22T03:31:00Z</cp:lastPrinted>
  <dcterms:modified xsi:type="dcterms:W3CDTF">2021-09-23T01:21:30Z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2CBD0DE88B52417EBFED310FAB1CE577</vt:lpwstr>
  </property>
</Properties>
</file>