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78441"/>
      <w:bookmarkStart w:id="1" w:name="_Toc15396597"/>
      <w:bookmarkStart w:id="2" w:name="_Toc15377193"/>
      <w:bookmarkStart w:id="3" w:name="_Toc15377425"/>
      <w:bookmarkStart w:id="4" w:name="_Toc15396475"/>
      <w:bookmarkStart w:id="5" w:name="_Toc15306267"/>
    </w:p>
    <w:p>
      <w:pPr>
        <w:pStyle w:val="2"/>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78442"/>
      <w:bookmarkStart w:id="7" w:name="_Toc15306268"/>
      <w:bookmarkStart w:id="8" w:name="_Toc15396598"/>
      <w:bookmarkStart w:id="9" w:name="_Toc15396476"/>
      <w:bookmarkStart w:id="10" w:name="_Toc15377194"/>
      <w:bookmarkStart w:id="11" w:name="_Toc15377426"/>
      <w:r>
        <w:rPr>
          <w:rFonts w:asciiTheme="minorEastAsia" w:hAnsiTheme="minorEastAsia" w:eastAsiaTheme="minorEastAsia"/>
          <w:b/>
          <w:sz w:val="72"/>
          <w:szCs w:val="72"/>
        </w:rPr>
        <w:t>茂县城乡园林绿化服务中心</w:t>
      </w:r>
      <w:r>
        <w:rPr>
          <w:rFonts w:hint="eastAsia" w:asciiTheme="minorEastAsia" w:hAnsiTheme="minorEastAsia" w:eastAsiaTheme="minorEastAsia"/>
          <w:b/>
          <w:sz w:val="72"/>
          <w:szCs w:val="72"/>
        </w:rPr>
        <w:t>部门决算</w:t>
      </w:r>
      <w:bookmarkEnd w:id="6"/>
      <w:bookmarkEnd w:id="7"/>
      <w:bookmarkEnd w:id="8"/>
      <w:bookmarkEnd w:id="9"/>
      <w:bookmarkEnd w:id="10"/>
      <w:bookmarkEnd w:id="11"/>
      <w:r>
        <w:rPr>
          <w:rFonts w:hint="eastAsia" w:asciiTheme="minorEastAsia" w:hAnsiTheme="minorEastAsia" w:eastAsiaTheme="minorEastAsia"/>
          <w:b/>
          <w:sz w:val="72"/>
          <w:szCs w:val="72"/>
        </w:rPr>
        <w:t>编制说明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2"/>
        <w:rPr>
          <w:rFonts w:asciiTheme="minorHAnsi" w:hAnsiTheme="minorHAnsi" w:eastAsiaTheme="minorEastAsia" w:cstheme="minorBidi"/>
          <w:sz w:val="21"/>
          <w:szCs w:val="22"/>
        </w:rPr>
      </w:pPr>
      <w:r>
        <w:rPr>
          <w:smallCaps/>
          <w:sz w:val="20"/>
          <w:szCs w:val="20"/>
        </w:rPr>
        <w:fldChar w:fldCharType="begin"/>
      </w:r>
      <w:r>
        <w:rPr>
          <w:smallCaps/>
          <w:sz w:val="20"/>
          <w:szCs w:val="20"/>
        </w:rPr>
        <w:instrText xml:space="preserve"> TOC \o "1-2" \h \z \u </w:instrText>
      </w:r>
      <w:r>
        <w:rPr>
          <w:smallCaps/>
          <w:sz w:val="20"/>
          <w:szCs w:val="20"/>
        </w:rPr>
        <w:fldChar w:fldCharType="separate"/>
      </w:r>
      <w:r>
        <w:fldChar w:fldCharType="begin"/>
      </w:r>
      <w:r>
        <w:instrText xml:space="preserve"> HYPERLINK \l "_Toc113981009" </w:instrText>
      </w:r>
      <w:r>
        <w:fldChar w:fldCharType="separate"/>
      </w:r>
      <w:r>
        <w:rPr>
          <w:rStyle w:val="18"/>
          <w:rFonts w:ascii="黑体" w:hAnsi="黑体" w:eastAsia="黑体" w:cs="黑体"/>
        </w:rPr>
        <w:t>第一部分 部门概况</w:t>
      </w:r>
      <w:r>
        <w:tab/>
      </w:r>
      <w:r>
        <w:fldChar w:fldCharType="begin"/>
      </w:r>
      <w:r>
        <w:instrText xml:space="preserve"> PAGEREF _Toc113981009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"_Toc113981010" </w:instrText>
      </w:r>
      <w:r>
        <w:fldChar w:fldCharType="separate"/>
      </w:r>
      <w:r>
        <w:rPr>
          <w:rStyle w:val="18"/>
          <w:rFonts w:ascii="黑体" w:eastAsia="黑体"/>
        </w:rPr>
        <w:t>一、基本职能及主要工作</w:t>
      </w:r>
      <w:r>
        <w:tab/>
      </w:r>
      <w:r>
        <w:fldChar w:fldCharType="begin"/>
      </w:r>
      <w:r>
        <w:instrText xml:space="preserve"> PAGEREF _Toc113981010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"_Toc113981011" </w:instrText>
      </w:r>
      <w:r>
        <w:fldChar w:fldCharType="separate"/>
      </w:r>
      <w:r>
        <w:rPr>
          <w:rStyle w:val="18"/>
          <w:rFonts w:ascii="黑体" w:eastAsia="黑体"/>
        </w:rPr>
        <w:t>二、机构设置</w:t>
      </w:r>
      <w:r>
        <w:tab/>
      </w:r>
      <w:r>
        <w:fldChar w:fldCharType="begin"/>
      </w:r>
      <w:r>
        <w:instrText xml:space="preserve"> PAGEREF _Toc113981011 \h </w:instrText>
      </w:r>
      <w:r>
        <w:fldChar w:fldCharType="separate"/>
      </w:r>
      <w:r>
        <w:t>3</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"_Toc113981012" </w:instrText>
      </w:r>
      <w:r>
        <w:fldChar w:fldCharType="separate"/>
      </w:r>
      <w:r>
        <w:rPr>
          <w:rStyle w:val="18"/>
          <w:rFonts w:hint="eastAsia" w:ascii="黑体" w:hAnsi="黑体" w:eastAsia="黑体" w:cs="黑体"/>
        </w:rPr>
        <w:t>第二部分</w:t>
      </w:r>
      <w:r>
        <w:rPr>
          <w:rStyle w:val="18"/>
          <w:rFonts w:ascii="黑体" w:hAnsi="黑体" w:eastAsia="黑体" w:cs="黑体"/>
        </w:rPr>
        <w:t xml:space="preserve"> 2021年度部门决算情况说明</w:t>
      </w:r>
      <w:r>
        <w:tab/>
      </w:r>
      <w:r>
        <w:fldChar w:fldCharType="begin"/>
      </w:r>
      <w:r>
        <w:instrText xml:space="preserve"> PAGEREF _Toc113981012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"_Toc113981013" </w:instrText>
      </w:r>
      <w:r>
        <w:fldChar w:fldCharType="separate"/>
      </w:r>
      <w:r>
        <w:rPr>
          <w:rStyle w:val="18"/>
          <w:rFonts w:ascii="黑体" w:eastAsia="黑体"/>
        </w:rPr>
        <w:t>一、收入支出决算总体情况说明</w:t>
      </w:r>
      <w:r>
        <w:tab/>
      </w:r>
      <w:r>
        <w:fldChar w:fldCharType="begin"/>
      </w:r>
      <w:r>
        <w:instrText xml:space="preserve"> PAGEREF _Toc113981013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"_Toc113981014" </w:instrText>
      </w:r>
      <w:r>
        <w:fldChar w:fldCharType="separate"/>
      </w:r>
      <w:r>
        <w:rPr>
          <w:rStyle w:val="18"/>
          <w:rFonts w:ascii="黑体" w:eastAsia="黑体"/>
        </w:rPr>
        <w:t>二、收入决算情况说明</w:t>
      </w:r>
      <w:r>
        <w:tab/>
      </w:r>
      <w:r>
        <w:fldChar w:fldCharType="begin"/>
      </w:r>
      <w:r>
        <w:instrText xml:space="preserve"> PAGEREF _Toc113981014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"_Toc113981015" </w:instrText>
      </w:r>
      <w:r>
        <w:fldChar w:fldCharType="separate"/>
      </w:r>
      <w:r>
        <w:rPr>
          <w:rStyle w:val="18"/>
          <w:rFonts w:ascii="黑体" w:eastAsia="黑体"/>
        </w:rPr>
        <w:t>三、支出决算情况说明</w:t>
      </w:r>
      <w:r>
        <w:tab/>
      </w:r>
      <w:r>
        <w:fldChar w:fldCharType="begin"/>
      </w:r>
      <w:r>
        <w:instrText xml:space="preserve"> PAGEREF _Toc113981015 \h </w:instrText>
      </w:r>
      <w:r>
        <w:fldChar w:fldCharType="separate"/>
      </w:r>
      <w:r>
        <w:t>5</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"_Toc113981016" </w:instrText>
      </w:r>
      <w:r>
        <w:fldChar w:fldCharType="separate"/>
      </w:r>
      <w:r>
        <w:rPr>
          <w:rStyle w:val="18"/>
          <w:rFonts w:ascii="黑体" w:eastAsia="黑体"/>
        </w:rPr>
        <w:t>四、财政拨款收入支出决算总体情况说明</w:t>
      </w:r>
      <w:r>
        <w:tab/>
      </w:r>
      <w:r>
        <w:fldChar w:fldCharType="begin"/>
      </w:r>
      <w:r>
        <w:instrText xml:space="preserve"> PAGEREF _Toc113981016 \h </w:instrText>
      </w:r>
      <w:r>
        <w:fldChar w:fldCharType="separate"/>
      </w:r>
      <w:r>
        <w:t>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"_Toc113981017" </w:instrText>
      </w:r>
      <w:r>
        <w:fldChar w:fldCharType="separate"/>
      </w:r>
      <w:r>
        <w:rPr>
          <w:rStyle w:val="18"/>
          <w:rFonts w:ascii="黑体" w:eastAsia="黑体"/>
        </w:rPr>
        <w:t>五、一般公共预算财政拨款支出决算情况说明</w:t>
      </w:r>
      <w:r>
        <w:tab/>
      </w:r>
      <w:r>
        <w:fldChar w:fldCharType="begin"/>
      </w:r>
      <w:r>
        <w:instrText xml:space="preserve"> PAGEREF _Toc113981017 \h </w:instrText>
      </w:r>
      <w:r>
        <w:fldChar w:fldCharType="separate"/>
      </w:r>
      <w:r>
        <w:t>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"_Toc113981018" </w:instrText>
      </w:r>
      <w:r>
        <w:fldChar w:fldCharType="separate"/>
      </w:r>
      <w:r>
        <w:rPr>
          <w:rStyle w:val="18"/>
          <w:rFonts w:ascii="黑体" w:eastAsia="黑体"/>
        </w:rPr>
        <w:t>六、一般公共预算财政拨款基本支出决算情况说明</w:t>
      </w:r>
      <w:r>
        <w:tab/>
      </w:r>
      <w:r>
        <w:fldChar w:fldCharType="begin"/>
      </w:r>
      <w:r>
        <w:instrText xml:space="preserve"> PAGEREF _Toc113981018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"_Toc113981019" </w:instrText>
      </w:r>
      <w:r>
        <w:fldChar w:fldCharType="separate"/>
      </w:r>
      <w:r>
        <w:rPr>
          <w:rStyle w:val="18"/>
          <w:rFonts w:ascii="黑体" w:eastAsia="黑体"/>
        </w:rPr>
        <w:t>七、“三公”经费财政拨款支出决算情况说明</w:t>
      </w:r>
      <w:r>
        <w:tab/>
      </w:r>
      <w:r>
        <w:fldChar w:fldCharType="begin"/>
      </w:r>
      <w:r>
        <w:instrText xml:space="preserve"> PAGEREF _Toc113981019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"_Toc113981020" </w:instrText>
      </w:r>
      <w:r>
        <w:fldChar w:fldCharType="separate"/>
      </w:r>
      <w:r>
        <w:rPr>
          <w:rStyle w:val="18"/>
          <w:rFonts w:ascii="黑体" w:eastAsia="黑体"/>
        </w:rPr>
        <w:t>八、政府性基金预算支出决算情况说明</w:t>
      </w:r>
      <w:r>
        <w:tab/>
      </w:r>
      <w:r>
        <w:fldChar w:fldCharType="begin"/>
      </w:r>
      <w:r>
        <w:instrText xml:space="preserve"> PAGEREF _Toc113981020 \h </w:instrText>
      </w:r>
      <w:r>
        <w:fldChar w:fldCharType="separate"/>
      </w:r>
      <w:r>
        <w:t>11</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"_Toc113981021" </w:instrText>
      </w:r>
      <w:r>
        <w:fldChar w:fldCharType="separate"/>
      </w:r>
      <w:r>
        <w:rPr>
          <w:rStyle w:val="18"/>
          <w:rFonts w:ascii="黑体" w:eastAsia="黑体"/>
        </w:rPr>
        <w:t>九、国有资本经营预算支出决算情况说明</w:t>
      </w:r>
      <w:r>
        <w:tab/>
      </w:r>
      <w:r>
        <w:fldChar w:fldCharType="begin"/>
      </w:r>
      <w:r>
        <w:instrText xml:space="preserve"> PAGEREF _Toc113981021 \h </w:instrText>
      </w:r>
      <w:r>
        <w:fldChar w:fldCharType="separate"/>
      </w:r>
      <w:r>
        <w:t>12</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"_Toc113981022" </w:instrText>
      </w:r>
      <w:r>
        <w:fldChar w:fldCharType="separate"/>
      </w:r>
      <w:r>
        <w:rPr>
          <w:rStyle w:val="18"/>
          <w:rFonts w:ascii="黑体" w:eastAsia="黑体"/>
        </w:rPr>
        <w:t>十、其他重要事项的情况说明</w:t>
      </w:r>
      <w:r>
        <w:tab/>
      </w:r>
      <w:r>
        <w:fldChar w:fldCharType="begin"/>
      </w:r>
      <w:r>
        <w:instrText xml:space="preserve"> PAGEREF _Toc113981022 \h </w:instrText>
      </w:r>
      <w:r>
        <w:fldChar w:fldCharType="separate"/>
      </w:r>
      <w:r>
        <w:t>12</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"_Toc113981023" </w:instrText>
      </w:r>
      <w:r>
        <w:fldChar w:fldCharType="separate"/>
      </w:r>
      <w:r>
        <w:rPr>
          <w:rStyle w:val="18"/>
          <w:rFonts w:ascii="黑体" w:hAnsi="黑体" w:eastAsia="黑体" w:cs="黑体"/>
        </w:rPr>
        <w:t>第三部分 名词解释</w:t>
      </w:r>
      <w:r>
        <w:tab/>
      </w:r>
      <w:r>
        <w:fldChar w:fldCharType="begin"/>
      </w:r>
      <w:r>
        <w:instrText xml:space="preserve"> PAGEREF _Toc113981023 \h </w:instrText>
      </w:r>
      <w:r>
        <w:fldChar w:fldCharType="separate"/>
      </w:r>
      <w:r>
        <w:t>14</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"_Toc113981024" </w:instrText>
      </w:r>
      <w:r>
        <w:fldChar w:fldCharType="separate"/>
      </w:r>
      <w:r>
        <w:rPr>
          <w:rStyle w:val="18"/>
          <w:rFonts w:ascii="黑体" w:hAnsi="黑体" w:eastAsia="黑体" w:cs="黑体"/>
        </w:rPr>
        <w:t>第四部分 附件</w:t>
      </w:r>
      <w:r>
        <w:tab/>
      </w:r>
      <w:r>
        <w:fldChar w:fldCharType="begin"/>
      </w:r>
      <w:r>
        <w:instrText xml:space="preserve"> PAGEREF _Toc113981024 \h </w:instrText>
      </w:r>
      <w:r>
        <w:fldChar w:fldCharType="separate"/>
      </w:r>
      <w:r>
        <w:t>16</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"_Toc113981025" </w:instrText>
      </w:r>
      <w:r>
        <w:fldChar w:fldCharType="separate"/>
      </w:r>
      <w:r>
        <w:rPr>
          <w:rStyle w:val="18"/>
          <w:rFonts w:ascii="黑体" w:hAnsi="黑体" w:eastAsia="黑体" w:cs="黑体"/>
        </w:rPr>
        <w:t>第五部分 附表</w:t>
      </w:r>
      <w:r>
        <w:tab/>
      </w:r>
      <w:r>
        <w:fldChar w:fldCharType="begin"/>
      </w:r>
      <w:r>
        <w:instrText xml:space="preserve"> PAGEREF _Toc113981025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"_Toc113981026" </w:instrText>
      </w:r>
      <w:r>
        <w:fldChar w:fldCharType="separate"/>
      </w:r>
      <w:r>
        <w:rPr>
          <w:rStyle w:val="18"/>
          <w:rFonts w:ascii="黑体" w:eastAsia="黑体"/>
        </w:rPr>
        <w:t>一、收入支出决算总表</w:t>
      </w:r>
      <w:r>
        <w:tab/>
      </w:r>
      <w:r>
        <w:fldChar w:fldCharType="begin"/>
      </w:r>
      <w:r>
        <w:instrText xml:space="preserve"> PAGEREF _Toc113981026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"_Toc113981027" </w:instrText>
      </w:r>
      <w:r>
        <w:fldChar w:fldCharType="separate"/>
      </w:r>
      <w:r>
        <w:rPr>
          <w:rStyle w:val="18"/>
          <w:rFonts w:ascii="黑体" w:eastAsia="黑体"/>
        </w:rPr>
        <w:t>二、收入决算表</w:t>
      </w:r>
      <w:r>
        <w:tab/>
      </w:r>
      <w:r>
        <w:fldChar w:fldCharType="begin"/>
      </w:r>
      <w:r>
        <w:instrText xml:space="preserve"> PAGEREF _Toc113981027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"_Toc113981028" </w:instrText>
      </w:r>
      <w:r>
        <w:fldChar w:fldCharType="separate"/>
      </w:r>
      <w:r>
        <w:rPr>
          <w:rStyle w:val="18"/>
          <w:rFonts w:ascii="黑体" w:eastAsia="黑体"/>
        </w:rPr>
        <w:t>三、支出决算表</w:t>
      </w:r>
      <w:r>
        <w:tab/>
      </w:r>
      <w:r>
        <w:fldChar w:fldCharType="begin"/>
      </w:r>
      <w:r>
        <w:instrText xml:space="preserve"> PAGEREF _Toc113981028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"_Toc113981029" </w:instrText>
      </w:r>
      <w:r>
        <w:fldChar w:fldCharType="separate"/>
      </w:r>
      <w:r>
        <w:rPr>
          <w:rStyle w:val="18"/>
          <w:rFonts w:ascii="黑体" w:eastAsia="黑体"/>
        </w:rPr>
        <w:t>四、财政拨款收入支出决算总表</w:t>
      </w:r>
      <w:r>
        <w:tab/>
      </w:r>
      <w:r>
        <w:fldChar w:fldCharType="begin"/>
      </w:r>
      <w:r>
        <w:instrText xml:space="preserve"> PAGEREF _Toc113981029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"_Toc113981030" </w:instrText>
      </w:r>
      <w:r>
        <w:fldChar w:fldCharType="separate"/>
      </w:r>
      <w:r>
        <w:rPr>
          <w:rStyle w:val="18"/>
          <w:rFonts w:ascii="黑体" w:eastAsia="黑体"/>
        </w:rPr>
        <w:t>五、财政拨款支出决算明细表</w:t>
      </w:r>
      <w:r>
        <w:tab/>
      </w:r>
      <w:r>
        <w:fldChar w:fldCharType="begin"/>
      </w:r>
      <w:r>
        <w:instrText xml:space="preserve"> PAGEREF _Toc113981030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"_Toc113981031" </w:instrText>
      </w:r>
      <w:r>
        <w:fldChar w:fldCharType="separate"/>
      </w:r>
      <w:r>
        <w:rPr>
          <w:rStyle w:val="18"/>
          <w:rFonts w:ascii="黑体" w:eastAsia="黑体"/>
        </w:rPr>
        <w:t>六、一般公共预算财政拨款支出决算表</w:t>
      </w:r>
      <w:r>
        <w:tab/>
      </w:r>
      <w:r>
        <w:fldChar w:fldCharType="begin"/>
      </w:r>
      <w:r>
        <w:instrText xml:space="preserve"> PAGEREF _Toc113981031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"_Toc113981032" </w:instrText>
      </w:r>
      <w:r>
        <w:fldChar w:fldCharType="separate"/>
      </w:r>
      <w:r>
        <w:rPr>
          <w:rStyle w:val="18"/>
          <w:rFonts w:ascii="黑体" w:eastAsia="黑体"/>
        </w:rPr>
        <w:t>七、一般公共预算财政拨款支出决算明细表</w:t>
      </w:r>
      <w:r>
        <w:tab/>
      </w:r>
      <w:r>
        <w:fldChar w:fldCharType="begin"/>
      </w:r>
      <w:r>
        <w:instrText xml:space="preserve"> PAGEREF _Toc113981032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"_Toc113981033" </w:instrText>
      </w:r>
      <w:r>
        <w:fldChar w:fldCharType="separate"/>
      </w:r>
      <w:r>
        <w:rPr>
          <w:rStyle w:val="18"/>
          <w:rFonts w:ascii="黑体" w:eastAsia="黑体"/>
        </w:rPr>
        <w:t>八、一般公共预算财政拨款基本支出决算表</w:t>
      </w:r>
      <w:r>
        <w:tab/>
      </w:r>
      <w:r>
        <w:fldChar w:fldCharType="begin"/>
      </w:r>
      <w:r>
        <w:instrText xml:space="preserve"> PAGEREF _Toc113981033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"_Toc113981034" </w:instrText>
      </w:r>
      <w:r>
        <w:fldChar w:fldCharType="separate"/>
      </w:r>
      <w:r>
        <w:rPr>
          <w:rStyle w:val="18"/>
          <w:rFonts w:ascii="黑体" w:eastAsia="黑体"/>
        </w:rPr>
        <w:t>九、一般公共预算财政拨款项目支出决算表</w:t>
      </w:r>
      <w:r>
        <w:tab/>
      </w:r>
      <w:r>
        <w:fldChar w:fldCharType="begin"/>
      </w:r>
      <w:r>
        <w:instrText xml:space="preserve"> PAGEREF _Toc113981034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"_Toc113981035" </w:instrText>
      </w:r>
      <w:r>
        <w:fldChar w:fldCharType="separate"/>
      </w:r>
      <w:r>
        <w:rPr>
          <w:rStyle w:val="18"/>
          <w:rFonts w:ascii="黑体" w:eastAsia="黑体"/>
        </w:rPr>
        <w:t>十、一般公共预算财政拨款“三公”经费支出决算表</w:t>
      </w:r>
      <w:r>
        <w:tab/>
      </w:r>
      <w:r>
        <w:fldChar w:fldCharType="begin"/>
      </w:r>
      <w:r>
        <w:instrText xml:space="preserve"> PAGEREF _Toc113981035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"_Toc113981036" </w:instrText>
      </w:r>
      <w:r>
        <w:fldChar w:fldCharType="separate"/>
      </w:r>
      <w:r>
        <w:rPr>
          <w:rStyle w:val="18"/>
          <w:rFonts w:ascii="黑体" w:eastAsia="黑体"/>
        </w:rPr>
        <w:t>十一、政府性基金预算财政拨款收入支出决算表</w:t>
      </w:r>
      <w:r>
        <w:tab/>
      </w:r>
      <w:r>
        <w:fldChar w:fldCharType="begin"/>
      </w:r>
      <w:r>
        <w:instrText xml:space="preserve"> PAGEREF _Toc113981036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"_Toc113981037" </w:instrText>
      </w:r>
      <w:r>
        <w:fldChar w:fldCharType="separate"/>
      </w:r>
      <w:r>
        <w:rPr>
          <w:rStyle w:val="18"/>
          <w:rFonts w:ascii="黑体" w:eastAsia="黑体"/>
        </w:rPr>
        <w:t>十二、政府性基金预算财政拨款“三公”经费支出决算表</w:t>
      </w:r>
      <w:r>
        <w:tab/>
      </w:r>
      <w:r>
        <w:fldChar w:fldCharType="begin"/>
      </w:r>
      <w:r>
        <w:instrText xml:space="preserve"> PAGEREF _Toc113981037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"_Toc113981038" </w:instrText>
      </w:r>
      <w:r>
        <w:fldChar w:fldCharType="separate"/>
      </w:r>
      <w:r>
        <w:rPr>
          <w:rStyle w:val="18"/>
          <w:rFonts w:ascii="黑体" w:eastAsia="黑体"/>
        </w:rPr>
        <w:t>十三、国有资本经营预算财政拨款收入支出决算表</w:t>
      </w:r>
      <w:r>
        <w:tab/>
      </w:r>
      <w:r>
        <w:fldChar w:fldCharType="begin"/>
      </w:r>
      <w:r>
        <w:instrText xml:space="preserve"> PAGEREF _Toc113981038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"_Toc113981039" </w:instrText>
      </w:r>
      <w:r>
        <w:fldChar w:fldCharType="separate"/>
      </w:r>
      <w:r>
        <w:rPr>
          <w:rStyle w:val="18"/>
          <w:rFonts w:ascii="黑体" w:eastAsia="黑体"/>
        </w:rPr>
        <w:t>十四、国有资本经营预算财政拨款支出决算表</w:t>
      </w:r>
      <w:r>
        <w:tab/>
      </w:r>
      <w:r>
        <w:fldChar w:fldCharType="begin"/>
      </w:r>
      <w:r>
        <w:instrText xml:space="preserve"> PAGEREF _Toc113981039 \h </w:instrText>
      </w:r>
      <w:r>
        <w:fldChar w:fldCharType="separate"/>
      </w:r>
      <w:r>
        <w:t>17</w:t>
      </w:r>
      <w:r>
        <w:fldChar w:fldCharType="end"/>
      </w:r>
      <w:r>
        <w:fldChar w:fldCharType="end"/>
      </w:r>
    </w:p>
    <w:p>
      <w:pPr>
        <w:pStyle w:val="2"/>
      </w:pPr>
      <w:r>
        <w:rPr>
          <w:smallCaps/>
          <w:szCs w:val="20"/>
        </w:rPr>
        <w:fldChar w:fldCharType="end"/>
      </w:r>
    </w:p>
    <w:p>
      <w:pPr>
        <w:pStyle w:val="3"/>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黑体" w:hAnsi="黑体" w:eastAsia="黑体" w:cs="黑体"/>
        </w:rPr>
      </w:pPr>
      <w:bookmarkStart w:id="13" w:name="_Toc113981009"/>
      <w:bookmarkStart w:id="14" w:name="_Toc111208495"/>
    </w:p>
    <w:p>
      <w:pPr>
        <w:pStyle w:val="3"/>
        <w:pageBreakBefore w:val="0"/>
        <w:widowControl w:val="0"/>
        <w:numPr>
          <w:ilvl w:val="0"/>
          <w:numId w:val="1"/>
        </w:numPr>
        <w:kinsoku/>
        <w:wordWrap/>
        <w:overflowPunct/>
        <w:topLinePunct w:val="0"/>
        <w:autoSpaceDE/>
        <w:autoSpaceDN/>
        <w:bidi w:val="0"/>
        <w:adjustRightInd/>
        <w:snapToGrid/>
        <w:spacing w:before="0" w:after="0" w:line="560" w:lineRule="exact"/>
        <w:jc w:val="center"/>
        <w:textAlignment w:val="auto"/>
        <w:rPr>
          <w:rStyle w:val="28"/>
          <w:rFonts w:hint="eastAsia" w:ascii="黑体" w:hAnsi="黑体" w:eastAsia="黑体" w:cs="黑体"/>
          <w:b/>
          <w:bCs w:val="0"/>
        </w:rPr>
      </w:pPr>
      <w:r>
        <w:rPr>
          <w:rStyle w:val="28"/>
          <w:rFonts w:hint="eastAsia" w:ascii="黑体" w:hAnsi="黑体" w:eastAsia="黑体" w:cs="黑体"/>
          <w:b/>
          <w:bCs w:val="0"/>
        </w:rPr>
        <w:t>部门概况</w:t>
      </w:r>
      <w:bookmarkEnd w:id="12"/>
      <w:bookmarkEnd w:id="13"/>
      <w:bookmarkEnd w:id="14"/>
    </w:p>
    <w:p>
      <w:pPr>
        <w:numPr>
          <w:ilvl w:val="0"/>
          <w:numId w:val="0"/>
        </w:numPr>
      </w:pPr>
    </w:p>
    <w:p>
      <w:pPr>
        <w:pStyle w:val="4"/>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hint="eastAsia" w:ascii="黑体" w:eastAsia="黑体" w:cs="Times New Roman"/>
          <w:bCs w:val="0"/>
          <w:color w:val="000000"/>
        </w:rPr>
      </w:pPr>
      <w:bookmarkStart w:id="15" w:name="_Toc111208496"/>
      <w:bookmarkStart w:id="16" w:name="_Toc15377197"/>
      <w:bookmarkStart w:id="17" w:name="_Toc113981010"/>
      <w:r>
        <w:rPr>
          <w:rFonts w:hint="eastAsia" w:ascii="黑体" w:eastAsia="黑体" w:cs="Times New Roman"/>
          <w:bCs w:val="0"/>
          <w:color w:val="000000"/>
        </w:rPr>
        <w:t>一、基本职能及主要工作</w:t>
      </w:r>
      <w:bookmarkEnd w:id="15"/>
      <w:bookmarkEnd w:id="16"/>
      <w:bookmarkEnd w:id="17"/>
      <w:bookmarkStart w:id="18" w:name="_Toc15378445"/>
      <w:bookmarkStart w:id="19" w:name="_Toc15377198"/>
    </w:p>
    <w:bookmarkEnd w:id="18"/>
    <w:bookmarkEnd w:id="19"/>
    <w:p>
      <w:pPr>
        <w:pStyle w:val="4"/>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（一）主要职能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ascii="仿宋" w:hAnsi="仿宋" w:eastAsia="仿宋"/>
          <w:color w:val="000000"/>
          <w:sz w:val="32"/>
          <w:szCs w:val="32"/>
        </w:rPr>
        <w:t>1.贯彻执行党和国家的林业方针、政策、法律、法规、规章和有关决议、决定，结合我县的实际和国民经济发展的需要,制定相应的实施办法并组织实施,完善林业政策和管理制度。2.编制全县林业发展的中长期规划和年度计划,负责林业信息的收集整理,指导、协调林业生产建设总体布局,林业产业结构调整,森林资源和规划计划的实施,并指导林业企业产权制度改革和林业经济体制改革。3.主管全县森林资源,负责森林资源保护管理的基础设施建设,编制和执行采伐限额,监督检查木材凭证采伐,加工运输、供应等林政管理工作,负责林地、林权管理及征占用林地的清查、初审,主管森林资源有偿使用并监督林地开发利用,负责国有森林资源管理。4.负责指导全县天然林资源保护工程、生态环境治理工程、退耕还林(草)工程的实施,组织实施全县植树造林、国土绿化、防沙治沙及各类林业基地及工程项目建设,对县属国有林场、苗圃、森林公园、自然保护区、集体林场实行宏观管理,引进外援项目,组织实施环境建设、水土保持、农田基本建设等方面造林绿化和林果发展项目,指导和监督全县自用材和生活用材的采伐。5.负责全县野生动物、植物资源的保护管理和合理开发利用,对宝顶沟自然保护区管理处工作进行指导,负责森林公园的规划、审批和上报审批、立项等工作。6.指导和调控全县林业生产的发展,负责全县木材生产、采伐、运输、加工、综合利用，林产林化、森林旅游、木本药材等林业产业实行宏观管理、指导和监督,管理好林产品市场。7.指导、监督全县林业系统财务工作,组织编制、上报或转报林业基本建设、多种经营、技术改造、转产项目并指导实施或直接组织实施。8.管理林业执法体系建设和林业执法工作领导县森林公安局搞好全县森林公安队伍建设和森林公安工作,监督和查处破坏森林资源和野生动物资源的案(事)件,负责搞好全县森林防火、森林病虫鼠害防治、森林植物检疫、保护森林资源和维护林区治安。9.制定林业科技发展规划,组织科技试验、研究、示范及技术培训,技术推广工作,负责全县林业教育和专业人才的培训、引进,负责管理局机关公务员、科技人员及直属企业、事业单位的干部职工,制定全县林业行业干部培训,人才培养的中长期计划和实施林业宣传动员工作。10.负责规划、指导、实施山区林业综合开发,配合有关部门做好水土保持、林业扶贫等组织实施工作。11.深入研究生态建设特别是自然保护区建设问题,稳步推进自然保护区体制创新,落实生态保护和建设的主体责任创新项目实施方式,全面推进川西藏区生态保护与建设工程、湿地保护、防沙治沙等项目建设。
12.负责有关林业方面的涉外工作、承担县政府公布的有关行政审批事项、承办县政府交办的其他事项。</w:t>
      </w:r>
    </w:p>
    <w:p>
      <w:pPr>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楷体" w:hAnsi="楷体" w:eastAsia="楷体" w:cs="楷体"/>
          <w:b/>
          <w:bCs w:val="0"/>
          <w:color w:val="000000"/>
          <w:sz w:val="32"/>
          <w:szCs w:val="32"/>
        </w:rPr>
      </w:pPr>
      <w:bookmarkStart w:id="20" w:name="_Toc15378446"/>
      <w:bookmarkStart w:id="21" w:name="_Toc15377199"/>
      <w:bookmarkStart w:id="22" w:name="_Toc15377200"/>
      <w:r>
        <w:rPr>
          <w:rFonts w:hint="eastAsia" w:ascii="楷体" w:hAnsi="楷体" w:eastAsia="楷体" w:cs="楷体"/>
          <w:b/>
          <w:bCs w:val="0"/>
          <w:color w:val="000000"/>
          <w:sz w:val="32"/>
          <w:szCs w:val="32"/>
        </w:rPr>
        <w:t>（二）2021重点工作完成情况</w:t>
      </w:r>
      <w:bookmarkEnd w:id="20"/>
      <w:bookmarkEnd w:id="21"/>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sz w:val="32"/>
          <w:szCs w:val="32"/>
          <w:lang w:eastAsia="zh-CN"/>
        </w:rPr>
      </w:pPr>
    </w:p>
    <w:bookmarkEnd w:id="22"/>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2"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1.</w:t>
      </w:r>
      <w:r>
        <w:rPr>
          <w:rFonts w:hint="eastAsia" w:ascii="仿宋_GB2312" w:hAnsi="仿宋_GB2312" w:eastAsia="仿宋_GB2312" w:cs="仿宋_GB2312"/>
          <w:b/>
          <w:bCs/>
          <w:color w:val="000000"/>
          <w:sz w:val="32"/>
          <w:szCs w:val="32"/>
        </w:rPr>
        <w:t>森林草原资源保护</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落实保护和发展森林资源目标责任制，</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rPr>
        <w:t>林地保有量</w:t>
      </w:r>
      <w:r>
        <w:rPr>
          <w:rFonts w:hint="eastAsia" w:ascii="仿宋_GB2312" w:hAnsi="仿宋_GB2312" w:eastAsia="仿宋_GB2312" w:cs="仿宋_GB2312"/>
          <w:color w:val="000000"/>
          <w:sz w:val="32"/>
          <w:szCs w:val="32"/>
          <w:lang w:eastAsia="zh-CN"/>
        </w:rPr>
        <w:t>和</w:t>
      </w:r>
      <w:r>
        <w:rPr>
          <w:rFonts w:hint="eastAsia" w:ascii="仿宋_GB2312" w:hAnsi="仿宋_GB2312" w:eastAsia="仿宋_GB2312" w:cs="仿宋_GB2312"/>
          <w:color w:val="000000"/>
          <w:sz w:val="32"/>
          <w:szCs w:val="32"/>
        </w:rPr>
        <w:t>森林覆盖率；对县域内现存古树进行日常管护。落实保护和发展森林资源目标责任制，与各镇签订保护发展森林资源目标责任书。完成</w:t>
      </w:r>
      <w:r>
        <w:rPr>
          <w:rFonts w:hint="eastAsia" w:ascii="仿宋_GB2312" w:hAnsi="仿宋_GB2312" w:eastAsia="仿宋_GB2312" w:cs="仿宋_GB2312"/>
          <w:color w:val="000000"/>
          <w:sz w:val="32"/>
          <w:szCs w:val="32"/>
          <w:lang w:eastAsia="zh-CN"/>
        </w:rPr>
        <w:t>了</w:t>
      </w:r>
      <w:r>
        <w:rPr>
          <w:rFonts w:hint="eastAsia" w:ascii="仿宋_GB2312" w:hAnsi="仿宋_GB2312" w:eastAsia="仿宋_GB2312" w:cs="仿宋_GB2312"/>
          <w:color w:val="000000"/>
          <w:sz w:val="32"/>
          <w:szCs w:val="32"/>
        </w:rPr>
        <w:t>全县2021年森林督查暨森林资源管理“一张图”年度更新；扎实开展林政案件执法，依法行政，开展“规范林业执法行为提升林业执法能力”专项行动，深入开展行政审批制度和深化政务服务“最多跑一次”一体化改革，认真落实法律顾问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2"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2.</w:t>
      </w:r>
      <w:r>
        <w:rPr>
          <w:rFonts w:hint="eastAsia" w:ascii="仿宋_GB2312" w:hAnsi="仿宋_GB2312" w:eastAsia="仿宋_GB2312" w:cs="仿宋_GB2312"/>
          <w:b/>
          <w:bCs/>
          <w:color w:val="000000"/>
          <w:sz w:val="32"/>
          <w:szCs w:val="32"/>
        </w:rPr>
        <w:t>野生动植物保护</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对全县野生动物、野生植物进行有效保护，发放野生动植物图鉴</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野生动物宣传册</w:t>
      </w:r>
      <w:r>
        <w:rPr>
          <w:rFonts w:hint="eastAsia" w:ascii="仿宋_GB2312" w:hAnsi="仿宋_GB2312" w:eastAsia="仿宋_GB2312" w:cs="仿宋_GB2312"/>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2"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3.</w:t>
      </w:r>
      <w:r>
        <w:rPr>
          <w:rFonts w:hint="eastAsia" w:ascii="仿宋_GB2312" w:hAnsi="仿宋_GB2312" w:eastAsia="仿宋_GB2312" w:cs="仿宋_GB2312"/>
          <w:b/>
          <w:bCs/>
          <w:color w:val="000000"/>
          <w:sz w:val="32"/>
          <w:szCs w:val="32"/>
        </w:rPr>
        <w:t>生态建设项目推进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实施茂县2021年度绿色廊道巩固提升项目（2021年茂县服务省文旅大会绿化美化），完成茂县境内G213及G347沿线绿色廊道缺损苗木的栽植和补植；实施2019年飞虹乡浅沟村干旱河谷综合治理造林工程，完成造林面积1112亩，栽植各类苗木111395株</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完成2021年管护期内营造林补植补造及管护项目</w:t>
      </w:r>
      <w:r>
        <w:rPr>
          <w:rFonts w:hint="eastAsia" w:ascii="仿宋_GB2312" w:hAnsi="仿宋_GB2312" w:eastAsia="仿宋_GB2312" w:cs="仿宋_GB2312"/>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2"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4.</w:t>
      </w:r>
      <w:r>
        <w:rPr>
          <w:rFonts w:hint="eastAsia" w:ascii="仿宋_GB2312" w:hAnsi="仿宋_GB2312" w:eastAsia="仿宋_GB2312" w:cs="仿宋_GB2312"/>
          <w:b/>
          <w:bCs/>
          <w:color w:val="000000"/>
          <w:sz w:val="32"/>
          <w:szCs w:val="32"/>
        </w:rPr>
        <w:t>惠民补贴资金兑现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生态公益性岗位。在全县范围内选用符合条件的生态护林员（草管员）。集体公益林生态效益补偿金。兑现落实全县集体公益林生态效益补偿金</w:t>
      </w:r>
      <w:r>
        <w:rPr>
          <w:rFonts w:hint="eastAsia" w:ascii="仿宋_GB2312" w:hAnsi="仿宋_GB2312" w:eastAsia="仿宋_GB2312" w:cs="仿宋_GB2312"/>
          <w:color w:val="000000"/>
          <w:sz w:val="32"/>
          <w:szCs w:val="32"/>
          <w:lang w:eastAsia="zh-CN"/>
        </w:rPr>
        <w:t>和</w:t>
      </w:r>
      <w:r>
        <w:rPr>
          <w:rFonts w:hint="eastAsia" w:ascii="仿宋_GB2312" w:hAnsi="仿宋_GB2312" w:eastAsia="仿宋_GB2312" w:cs="仿宋_GB2312"/>
          <w:color w:val="000000"/>
          <w:sz w:val="32"/>
          <w:szCs w:val="32"/>
        </w:rPr>
        <w:t>集体和个人天然商品林停伐补助。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2"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5.</w:t>
      </w:r>
      <w:r>
        <w:rPr>
          <w:rFonts w:hint="eastAsia" w:ascii="仿宋_GB2312" w:hAnsi="仿宋_GB2312" w:eastAsia="仿宋_GB2312" w:cs="仿宋_GB2312"/>
          <w:b/>
          <w:bCs/>
          <w:color w:val="000000"/>
          <w:sz w:val="32"/>
          <w:szCs w:val="32"/>
        </w:rPr>
        <w:t>大熊猫国家公园建设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b/>
          <w:bCs/>
          <w:color w:val="000000"/>
          <w:sz w:val="32"/>
          <w:szCs w:val="32"/>
          <w:lang w:eastAsia="zh-CN"/>
        </w:rPr>
      </w:pPr>
      <w:r>
        <w:rPr>
          <w:rFonts w:hint="eastAsia" w:ascii="仿宋_GB2312" w:hAnsi="仿宋_GB2312" w:eastAsia="仿宋_GB2312" w:cs="仿宋_GB2312"/>
          <w:color w:val="000000"/>
          <w:sz w:val="32"/>
          <w:szCs w:val="32"/>
        </w:rPr>
        <w:t>实施大熊猫国家公园茂县园区导示标牌建设项目，在土地岭和荞面沟分别建设一处导示标志。实施茂县2021年大熊猫国家公园补助建设项目，新建成覆盖永和村和团结村的监测系统、实施大熊猫国家茂县片区生态保护建设</w:t>
      </w:r>
      <w:r>
        <w:rPr>
          <w:rFonts w:hint="eastAsia" w:ascii="仿宋_GB2312" w:hAnsi="仿宋_GB2312" w:eastAsia="仿宋_GB2312" w:cs="仿宋_GB2312"/>
          <w:b w:val="0"/>
          <w:bCs w:val="0"/>
          <w:color w:val="000000"/>
          <w:sz w:val="32"/>
          <w:szCs w:val="32"/>
        </w:rPr>
        <w:t>项目</w:t>
      </w:r>
      <w:r>
        <w:rPr>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2" w:firstLineChars="200"/>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6.</w:t>
      </w:r>
      <w:r>
        <w:rPr>
          <w:rFonts w:hint="eastAsia" w:ascii="仿宋_GB2312" w:hAnsi="仿宋_GB2312" w:eastAsia="仿宋_GB2312" w:cs="仿宋_GB2312"/>
          <w:b/>
          <w:bCs/>
          <w:color w:val="000000"/>
          <w:sz w:val="32"/>
          <w:szCs w:val="32"/>
        </w:rPr>
        <w:t>森林草原防灭火</w:t>
      </w:r>
      <w:r>
        <w:rPr>
          <w:rFonts w:hint="eastAsia" w:ascii="仿宋_GB2312" w:hAnsi="仿宋_GB2312" w:eastAsia="仿宋_GB2312" w:cs="仿宋_GB2312"/>
          <w:b/>
          <w:bCs/>
          <w:color w:val="00000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压实责任抓隐患整治。成立5个以局领导班子带队的包片督导组，对全县11个镇防火责任包干到人头。制定《茂县森林草原火灾风险隐患排查整治运行规程》，压实各单位隐患排查整治责任。制定《茂县生态护林（草）员管理实施细则》和《茂县生态护林（草）员考核细则》</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扑火队伍建设，森林草原专业扑火队伍靠前驻训，集中待命，保持战备状态</w:t>
      </w:r>
      <w:r>
        <w:rPr>
          <w:rFonts w:hint="eastAsia" w:ascii="仿宋_GB2312" w:hAnsi="仿宋_GB2312" w:eastAsia="仿宋_GB2312" w:cs="仿宋_GB2312"/>
          <w:color w:val="000000"/>
          <w:sz w:val="32"/>
          <w:szCs w:val="32"/>
          <w:lang w:eastAsia="zh-CN"/>
        </w:rPr>
        <w:t>。</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hint="eastAsia" w:ascii="黑体" w:eastAsia="黑体" w:cs="Times New Roman"/>
          <w:bCs w:val="0"/>
          <w:color w:val="000000"/>
        </w:rPr>
      </w:pPr>
      <w:bookmarkStart w:id="23" w:name="_Toc111208497"/>
      <w:bookmarkStart w:id="24" w:name="_Toc113981011"/>
      <w:r>
        <w:rPr>
          <w:rFonts w:hint="eastAsia" w:ascii="黑体" w:eastAsia="黑体" w:cs="Times New Roman"/>
          <w:bCs w:val="0"/>
          <w:color w:val="000000"/>
        </w:rPr>
        <w:t>二、机构设置</w:t>
      </w:r>
      <w:bookmarkEnd w:id="23"/>
      <w:bookmarkEnd w:id="24"/>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茂县林业和草原局属一级预算单位,下属二级预算单位 0 个,其中：行政单位0个，参照公务员法管理的事业单位 0个,其他事业单位 0个;参照公务员法管理的事业单位是:0个;其他事业单位分别是:0个。纳入茂县林业和草原局202</w:t>
      </w:r>
      <w:r>
        <w:rPr>
          <w:rFonts w:hint="eastAsia"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rPr>
        <w:t>年度部门决算编制范围的二级预算单位包括0个。</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000000"/>
          <w:sz w:val="32"/>
          <w:szCs w:val="32"/>
        </w:rPr>
      </w:pPr>
    </w:p>
    <w:p>
      <w:pPr>
        <w:pageBreakBefore w:val="0"/>
        <w:widowControl/>
        <w:kinsoku/>
        <w:wordWrap/>
        <w:overflowPunct/>
        <w:topLinePunct w:val="0"/>
        <w:autoSpaceDE/>
        <w:autoSpaceDN/>
        <w:bidi w:val="0"/>
        <w:adjustRightInd/>
        <w:snapToGrid/>
        <w:spacing w:line="560" w:lineRule="exact"/>
        <w:jc w:val="left"/>
        <w:textAlignment w:val="auto"/>
        <w:rPr>
          <w:rFonts w:ascii="仿宋_GB2312" w:hAnsi="黑体" w:eastAsia="仿宋_GB2312"/>
          <w:b/>
          <w:bCs/>
          <w:color w:val="000000"/>
          <w:kern w:val="44"/>
          <w:sz w:val="44"/>
          <w:szCs w:val="44"/>
        </w:rPr>
      </w:pPr>
      <w:bookmarkStart w:id="25" w:name="_Toc15377204"/>
      <w:r>
        <w:rPr>
          <w:rFonts w:ascii="仿宋_GB2312" w:hAnsi="黑体" w:eastAsia="仿宋_GB2312"/>
          <w:color w:val="000000"/>
        </w:rPr>
        <w:br w:type="page"/>
      </w:r>
    </w:p>
    <w:p>
      <w:pPr>
        <w:pStyle w:val="3"/>
        <w:pageBreakBefore w:val="0"/>
        <w:kinsoku/>
        <w:wordWrap/>
        <w:overflowPunct/>
        <w:topLinePunct w:val="0"/>
        <w:autoSpaceDE/>
        <w:autoSpaceDN/>
        <w:bidi w:val="0"/>
        <w:adjustRightInd/>
        <w:snapToGrid/>
        <w:spacing w:line="560" w:lineRule="exact"/>
        <w:jc w:val="center"/>
        <w:textAlignment w:val="auto"/>
        <w:rPr>
          <w:rFonts w:ascii="黑体" w:hAnsi="黑体" w:eastAsia="黑体" w:cs="黑体"/>
        </w:rPr>
      </w:pPr>
      <w:bookmarkStart w:id="26" w:name="_Toc113981012"/>
      <w:bookmarkStart w:id="27" w:name="_Toc111208498"/>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bookmarkEnd w:id="25"/>
      <w:bookmarkEnd w:id="26"/>
      <w:bookmarkEnd w:id="27"/>
    </w:p>
    <w:p>
      <w:pPr>
        <w:pStyle w:val="4"/>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ascii="黑体" w:eastAsia="黑体" w:cs="Times New Roman"/>
          <w:bCs w:val="0"/>
          <w:color w:val="000000"/>
        </w:rPr>
      </w:pPr>
      <w:bookmarkStart w:id="28" w:name="_Toc15377205"/>
      <w:bookmarkStart w:id="29" w:name="_Toc111208499"/>
      <w:bookmarkStart w:id="30" w:name="_Toc113981013"/>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B0F0"/>
          <w:sz w:val="32"/>
          <w:szCs w:val="32"/>
        </w:rPr>
      </w:pPr>
      <w:r>
        <w:rPr>
          <w:rFonts w:hint="eastAsia" w:ascii="仿宋_GB2312" w:hAnsi="仿宋_GB2312" w:eastAsia="仿宋_GB2312" w:cs="仿宋_GB2312"/>
          <w:color w:val="000000"/>
          <w:sz w:val="32"/>
          <w:szCs w:val="32"/>
        </w:rPr>
        <w:t>2021年度收、支总计1795.78万元。与2020年相比，收、支总计各增加258.85万元，增加16.84 %。主要变动原因是业务活动增加</w:t>
      </w:r>
    </w:p>
    <w:p>
      <w:pPr>
        <w:pageBreakBefore w:val="0"/>
        <w:kinsoku/>
        <w:wordWrap/>
        <w:overflowPunct/>
        <w:topLinePunct w:val="0"/>
        <w:autoSpaceDE/>
        <w:autoSpaceDN/>
        <w:bidi w:val="0"/>
        <w:adjustRightInd/>
        <w:snapToGrid/>
        <w:spacing w:line="560" w:lineRule="exact"/>
        <w:ind w:firstLine="1600" w:firstLineChars="500"/>
        <w:textAlignment w:val="auto"/>
        <w:rPr>
          <w:rFonts w:ascii="仿宋_GB2312" w:eastAsia="仿宋_GB2312"/>
          <w:color w:val="000000"/>
          <w:sz w:val="28"/>
          <w:szCs w:val="28"/>
        </w:rPr>
      </w:pPr>
      <w:r>
        <w:rPr>
          <w:rFonts w:hint="eastAsia" w:ascii="仿宋_GB2312" w:hAnsi="仿宋_GB2312" w:eastAsia="仿宋_GB2312" w:cs="仿宋_GB2312"/>
          <w:color w:val="000000"/>
          <w:sz w:val="32"/>
          <w:szCs w:val="32"/>
        </w:rPr>
        <w:t>（图1：收、支决算总计变动情况图）</w:t>
      </w:r>
    </w:p>
    <w:p>
      <w:pPr>
        <w:pStyle w:val="2"/>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ascii="黑体" w:eastAsia="黑体" w:cs="Times New Roman"/>
          <w:bCs w:val="0"/>
          <w:color w:val="000000"/>
        </w:rPr>
      </w:pPr>
      <w:bookmarkStart w:id="31" w:name="_Toc113981014"/>
      <w:bookmarkStart w:id="32" w:name="_Toc111208500"/>
      <w:bookmarkStart w:id="33" w:name="_Toc15377206"/>
      <w:r>
        <w:rPr>
          <w:rFonts w:hint="eastAsia" w:ascii="黑体" w:eastAsia="黑体" w:cs="Times New Roman"/>
          <w:bCs w:val="0"/>
          <w:color w:val="000000"/>
        </w:rPr>
        <w:t>二、收入决算情况说明</w:t>
      </w:r>
      <w:bookmarkEnd w:id="31"/>
      <w:bookmarkEnd w:id="32"/>
      <w:bookmarkEnd w:id="33"/>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本年收入合计1795.78万元，其中：一般公共预算财政拨款收入1795.78万元，占100.00%；政府性基金预算财政拨款收入0.00万元；国有资本经营预算财政拨款收入0.00万元；上级补助收入0.00万元，；事业收入0.00万元；经营收入0.00万元；附属单位上缴收入0.00万元；其他收入0.00万元。</w:t>
      </w:r>
    </w:p>
    <w:p>
      <w:pPr>
        <w:spacing w:line="600" w:lineRule="exact"/>
        <w:ind w:firstLine="640" w:firstLineChars="200"/>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（图2：收入决算结构图）</w:t>
      </w:r>
    </w:p>
    <w:p>
      <w:pPr>
        <w:pStyle w:val="13"/>
        <w:ind w:left="1060" w:hanging="640"/>
        <w:jc w:val="center"/>
      </w:pPr>
      <w:r>
        <w:rPr>
          <w:rFonts w:hint="eastAsia" w:ascii="仿宋_GB2312" w:eastAsia="仿宋_GB2312"/>
          <w:color w:val="FF0000"/>
          <w:sz w:val="32"/>
          <w:szCs w:val="32"/>
        </w:rPr>
        <w:drawing>
          <wp:inline distT="0" distB="0" distL="114300" distR="114300">
            <wp:extent cx="4638040" cy="2876550"/>
            <wp:effectExtent l="4445" t="4445" r="571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pageBreakBefore w:val="0"/>
        <w:widowControl w:val="0"/>
        <w:kinsoku/>
        <w:wordWrap/>
        <w:overflowPunct/>
        <w:topLinePunct w:val="0"/>
        <w:autoSpaceDE/>
        <w:autoSpaceDN/>
        <w:bidi w:val="0"/>
        <w:adjustRightInd/>
        <w:snapToGrid/>
        <w:spacing w:before="0" w:after="0"/>
        <w:ind w:firstLine="642" w:firstLineChars="200"/>
        <w:textAlignment w:val="auto"/>
        <w:rPr>
          <w:rFonts w:ascii="黑体" w:eastAsia="黑体" w:cs="Times New Roman"/>
          <w:bCs w:val="0"/>
          <w:color w:val="000000"/>
        </w:rPr>
      </w:pPr>
      <w:bookmarkStart w:id="34" w:name="_Toc111208501"/>
      <w:bookmarkStart w:id="35" w:name="_Toc15377207"/>
      <w:bookmarkStart w:id="36" w:name="_Toc113981015"/>
      <w:r>
        <w:rPr>
          <w:rFonts w:hint="eastAsia" w:ascii="黑体" w:eastAsia="黑体" w:cs="Times New Roman"/>
          <w:bCs w:val="0"/>
          <w:color w:val="000000"/>
        </w:rPr>
        <w:t>三、支出决算情况说明</w:t>
      </w:r>
      <w:bookmarkEnd w:id="34"/>
      <w:bookmarkEnd w:id="35"/>
      <w:bookmarkEnd w:id="36"/>
    </w:p>
    <w:p>
      <w:pPr>
        <w:pStyle w:val="2"/>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2021年本年支出合计1795.78万元，其中：基本支出1795.78万元，占100.00%；项目支出0.00万元；上缴上级支出0.00万元；经营支出0.00万元；对附属单位补助支出0.00万元。</w:t>
      </w:r>
    </w:p>
    <w:p>
      <w:pPr>
        <w:spacing w:line="6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4971415" cy="2876550"/>
            <wp:effectExtent l="4445" t="4445" r="15240"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pStyle w:val="4"/>
        <w:pageBreakBefore w:val="0"/>
        <w:widowControl w:val="0"/>
        <w:kinsoku/>
        <w:wordWrap/>
        <w:overflowPunct/>
        <w:topLinePunct w:val="0"/>
        <w:autoSpaceDE/>
        <w:autoSpaceDN/>
        <w:bidi w:val="0"/>
        <w:adjustRightInd/>
        <w:snapToGrid/>
        <w:spacing w:before="0" w:after="0"/>
        <w:ind w:firstLine="642" w:firstLineChars="200"/>
        <w:textAlignment w:val="auto"/>
        <w:rPr>
          <w:rFonts w:ascii="黑体" w:eastAsia="黑体" w:cs="Times New Roman"/>
          <w:bCs w:val="0"/>
          <w:color w:val="000000"/>
        </w:rPr>
      </w:pPr>
      <w:bookmarkStart w:id="37" w:name="_Toc111208502"/>
      <w:bookmarkStart w:id="38" w:name="_Toc15377208"/>
      <w:bookmarkStart w:id="39" w:name="_Toc113981016"/>
      <w:r>
        <w:rPr>
          <w:rFonts w:hint="eastAsia" w:ascii="黑体" w:eastAsia="黑体" w:cs="Times New Roman"/>
          <w:bCs w:val="0"/>
          <w:color w:val="000000"/>
        </w:rPr>
        <w:t>四、财政拨款收入支出决算总体情况说明</w:t>
      </w:r>
      <w:bookmarkEnd w:id="37"/>
      <w:bookmarkEnd w:id="38"/>
      <w:bookmarkEnd w:id="3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2021年财政拨款收、支总计1795.78万元。与2020年相比，财政拨款收、支总计各增加258.85万元，增加16.84 %。主要变动原因是业务活动增加</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（图4：财政拨款收、支决算总计变动情况）</w:t>
      </w:r>
    </w:p>
    <w:p>
      <w:pPr>
        <w:pStyle w:val="2"/>
        <w:ind w:firstLine="0"/>
      </w:pPr>
    </w:p>
    <w:p>
      <w:pPr>
        <w:pStyle w:val="2"/>
        <w:jc w:val="left"/>
      </w:pPr>
      <w:r>
        <w:rPr>
          <w:rFonts w:hint="eastAsia" w:ascii="仿宋_GB2312" w:hAnsi="仿宋" w:eastAsia="仿宋_GB2312"/>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jc w:val="center"/>
      </w:pPr>
    </w:p>
    <w:p>
      <w:pPr>
        <w:pStyle w:val="4"/>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ascii="黑体" w:eastAsia="黑体" w:cs="Times New Roman"/>
          <w:bCs w:val="0"/>
          <w:color w:val="000000"/>
        </w:rPr>
      </w:pPr>
      <w:bookmarkStart w:id="40" w:name="_Toc15377209"/>
      <w:bookmarkStart w:id="41" w:name="_Toc111208503"/>
      <w:bookmarkStart w:id="42" w:name="_Toc113981017"/>
      <w:r>
        <w:rPr>
          <w:rFonts w:hint="eastAsia" w:ascii="黑体" w:eastAsia="黑体" w:cs="Times New Roman"/>
          <w:bCs w:val="0"/>
          <w:color w:val="000000"/>
        </w:rPr>
        <w:t>五、一般公共预算财政拨款支出决算情况说</w:t>
      </w:r>
      <w:bookmarkEnd w:id="40"/>
      <w:r>
        <w:rPr>
          <w:rFonts w:hint="eastAsia" w:ascii="黑体" w:eastAsia="黑体" w:cs="Times New Roman"/>
          <w:bCs w:val="0"/>
          <w:color w:val="000000"/>
        </w:rPr>
        <w:t>明</w:t>
      </w:r>
      <w:bookmarkEnd w:id="41"/>
      <w:bookmarkEnd w:id="42"/>
    </w:p>
    <w:p>
      <w:pPr>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ascii="仿宋" w:hAnsi="仿宋" w:eastAsia="仿宋"/>
          <w:b/>
          <w:color w:val="000000"/>
          <w:sz w:val="32"/>
          <w:szCs w:val="32"/>
        </w:rPr>
      </w:pPr>
      <w:bookmarkStart w:id="43" w:name="_Toc15377210"/>
      <w:r>
        <w:rPr>
          <w:rFonts w:hint="eastAsia" w:ascii="仿宋" w:hAnsi="仿宋" w:eastAsia="仿宋"/>
          <w:b/>
          <w:color w:val="000000"/>
          <w:sz w:val="32"/>
          <w:szCs w:val="32"/>
        </w:rPr>
        <w:t>（一）一般公共预算财政拨款支出决算总体情况</w:t>
      </w:r>
      <w:bookmarkEnd w:id="43"/>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bookmarkStart w:id="44" w:name="_Toc15377211"/>
      <w:r>
        <w:rPr>
          <w:rFonts w:hint="eastAsia" w:ascii="仿宋_GB2312" w:hAnsi="仿宋_GB2312" w:eastAsia="仿宋_GB2312" w:cs="仿宋_GB2312"/>
          <w:color w:val="000000"/>
          <w:sz w:val="32"/>
          <w:szCs w:val="32"/>
        </w:rPr>
        <w:t>2021年一般公共预算财政拨款支出1795.78万元，占本年支出合计的100.00%。与2020相比，一般公共预算财政拨款增加258.85万元，增加16.84 %。主要变动原因是业务活动增加</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（图5：一般公共预算财政拨款支出决算变动情况）</w:t>
      </w:r>
    </w:p>
    <w:p>
      <w:pPr>
        <w:pStyle w:val="2"/>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744085" cy="3246120"/>
            <wp:effectExtent l="4445" t="5080" r="13970" b="635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（二）一般公共预算财政拨款支出决算结构情况</w:t>
      </w:r>
      <w:bookmarkEnd w:id="44"/>
      <w:r>
        <w:rPr>
          <w:rFonts w:hint="eastAsia" w:ascii="楷体" w:hAnsi="楷体" w:eastAsia="楷体" w:cs="楷体"/>
          <w:b/>
          <w:color w:val="000000"/>
          <w:sz w:val="32"/>
          <w:szCs w:val="32"/>
        </w:rPr>
        <w:t>（一般公共预算收支表）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sz w:val="32"/>
          <w:szCs w:val="32"/>
        </w:rPr>
        <w:t>2021年一般公共预算财政拨款支出1795.78万元，主要用于以下方面:社会保障和就业支出168.07万元，占9.36%；卫生健康支出81.68万元，占4.55%；农林水支出1436.20万元，占79.98%；住房保障支出109.83万元，占6.11%。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w:t>
      </w:r>
      <w:bookmarkStart w:id="45" w:name="_Toc15377212"/>
    </w:p>
    <w:p>
      <w:pPr>
        <w:pStyle w:val="2"/>
      </w:pPr>
      <w:r>
        <w:drawing>
          <wp:inline distT="0" distB="0" distL="0" distR="0">
            <wp:extent cx="4457065" cy="2419985"/>
            <wp:effectExtent l="4445" t="5080" r="15240" b="1333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（三）一般公共预算财政拨款支出决算具体情况</w:t>
      </w:r>
      <w:bookmarkEnd w:id="45"/>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000000"/>
          <w:sz w:val="32"/>
          <w:szCs w:val="32"/>
        </w:rPr>
      </w:pPr>
      <w:bookmarkStart w:id="46" w:name="_Toc15377444"/>
      <w:bookmarkStart w:id="47" w:name="_Toc15378460"/>
      <w:bookmarkStart w:id="48" w:name="_Toc15377213"/>
      <w:r>
        <w:rPr>
          <w:rFonts w:hint="eastAsia" w:ascii="仿宋_GB2312" w:hAnsi="仿宋_GB2312" w:eastAsia="仿宋_GB2312" w:cs="仿宋_GB2312"/>
          <w:color w:val="000000"/>
          <w:sz w:val="32"/>
          <w:szCs w:val="32"/>
        </w:rPr>
        <w:t>2021年一般公共预算支出决算数为1795.78万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，完成预算100%。其中：</w:t>
      </w:r>
      <w:bookmarkEnd w:id="46"/>
      <w:bookmarkEnd w:id="47"/>
      <w:bookmarkEnd w:id="48"/>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1.社会保障和就业支出（208）行政事业单位养老支出（20805）机关事业单位基本养老保险缴费支出（2080505）支出决算112.05万元，完成预算100%。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2.社会保障和就业支出（208）行政事业单位养老支出（20805）机关事业单位职业年金缴费支出（2080506）支出决算56.02万元，完成预算100%。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3.卫生健康支出（210）行政事业单位医疗（21011）事业单位医疗（2101102）支出决算81.68万元，完成预算100%。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4.农林水支出（213）林业和草原（21302）事业机构（2130204）支出决算1436.20万元，完成预算100%。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5.住房保障支出（221）住房改革支出（22102）住房公积金（2210201）支出决算109.83万元，完成预算100%。</w:t>
      </w:r>
    </w:p>
    <w:p>
      <w:pPr>
        <w:pStyle w:val="4"/>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hint="eastAsia" w:ascii="楷体" w:hAnsi="楷体" w:eastAsia="楷体" w:cs="楷体"/>
          <w:b/>
          <w:bCs w:val="0"/>
          <w:color w:val="000000"/>
        </w:rPr>
      </w:pPr>
      <w:bookmarkStart w:id="49" w:name="_Toc15377214"/>
      <w:bookmarkStart w:id="50" w:name="_Toc113981018"/>
      <w:bookmarkStart w:id="51" w:name="_Toc111208504"/>
      <w:r>
        <w:rPr>
          <w:rFonts w:hint="eastAsia" w:ascii="楷体" w:hAnsi="楷体" w:eastAsia="楷体" w:cs="楷体"/>
          <w:b/>
          <w:bCs w:val="0"/>
          <w:color w:val="000000"/>
        </w:rPr>
        <w:t>六、一般公共预算财政拨款基本支出决算情况说</w:t>
      </w:r>
      <w:bookmarkEnd w:id="49"/>
      <w:r>
        <w:rPr>
          <w:rFonts w:hint="eastAsia" w:ascii="楷体" w:hAnsi="楷体" w:eastAsia="楷体" w:cs="楷体"/>
          <w:b/>
          <w:bCs w:val="0"/>
          <w:color w:val="000000"/>
        </w:rPr>
        <w:t>明</w:t>
      </w:r>
      <w:bookmarkEnd w:id="50"/>
      <w:bookmarkEnd w:id="51"/>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2021年一般公共预算财政拨款基本支出1795.78万元，其中：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1722.22万元，主要包括：基本工资343.07万元、津贴补贴57.90万元、绩效工资918.83万元、机关事业单位基本养老保险缴费112.05万元、职业年金缴费56.02万元、职工基本医疗保险缴费81.68万元、其他社会保障缴费7.32万元、住房公积金109.83万元、医疗费16.16万元、生活补助19.32万元、奖励金0.03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公用经费73.56万元，主要包括：办公费17.06万元、水费0.19万元、电费4.51万元、邮电费6.96万元、差旅费39.24万元、培训费1.11万元、公务接待费1.43万元、公务用车运行维护费3.06万元。</w:t>
      </w:r>
    </w:p>
    <w:p>
      <w:pPr>
        <w:pStyle w:val="4"/>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ascii="黑体" w:eastAsia="黑体" w:cs="Times New Roman"/>
          <w:bCs w:val="0"/>
          <w:color w:val="000000"/>
        </w:rPr>
      </w:pPr>
      <w:bookmarkStart w:id="52" w:name="_Toc113981019"/>
      <w:bookmarkStart w:id="53" w:name="_Toc111208505"/>
      <w:bookmarkStart w:id="54" w:name="_Toc15377215"/>
      <w:r>
        <w:rPr>
          <w:rFonts w:hint="eastAsia" w:ascii="黑体" w:eastAsia="黑体" w:cs="Times New Roman"/>
          <w:bCs w:val="0"/>
          <w:color w:val="000000"/>
        </w:rPr>
        <w:t>七、“三公”经费财政拨款支出决算情况说明</w:t>
      </w:r>
      <w:bookmarkEnd w:id="52"/>
      <w:bookmarkEnd w:id="53"/>
      <w:bookmarkEnd w:id="54"/>
    </w:p>
    <w:p>
      <w:pPr>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楷体" w:hAnsi="楷体" w:eastAsia="楷体" w:cs="楷体"/>
          <w:b/>
          <w:color w:val="000000"/>
          <w:sz w:val="32"/>
          <w:szCs w:val="32"/>
        </w:rPr>
      </w:pPr>
      <w:bookmarkStart w:id="55" w:name="_Toc15377216"/>
      <w:r>
        <w:rPr>
          <w:rFonts w:hint="eastAsia" w:ascii="楷体" w:hAnsi="楷体" w:eastAsia="楷体" w:cs="楷体"/>
          <w:b/>
          <w:color w:val="000000"/>
          <w:sz w:val="32"/>
          <w:szCs w:val="32"/>
        </w:rPr>
        <w:t>（一）“三公”经费财政拨款支出决算总体情况说明</w:t>
      </w:r>
      <w:bookmarkEnd w:id="55"/>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2021年“三公”经费财政拨款支出决算为4.49万元，完成预算100.00%。</w:t>
      </w:r>
      <w:bookmarkStart w:id="56" w:name="_Toc15377217"/>
    </w:p>
    <w:p>
      <w:pPr>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（二）“三公”经费财政拨款支出决算具体情况说明</w:t>
      </w:r>
      <w:bookmarkEnd w:id="56"/>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2021年“三公”经费财政拨款支出4.49万，因公出国（境）费支出决算0.00万元，占0.00%；公务用车购置及运行维护费支出决算3.06万元，占68.13%；公务接待费支出决算1.43万元，占31.87%。具体情况如下：</w:t>
      </w:r>
    </w:p>
    <w:p>
      <w:pPr>
        <w:pageBreakBefore w:val="0"/>
        <w:widowControl w:val="0"/>
        <w:kinsoku/>
        <w:wordWrap/>
        <w:overflowPunct/>
        <w:topLinePunct w:val="0"/>
        <w:autoSpaceDE/>
        <w:autoSpaceDN/>
        <w:bidi w:val="0"/>
        <w:adjustRightInd/>
        <w:snapToGrid/>
        <w:spacing w:line="560" w:lineRule="exact"/>
        <w:ind w:firstLine="1292" w:firstLineChars="40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（图7：“三公”经费财政拨款支出结构）</w:t>
      </w:r>
    </w:p>
    <w:p>
      <w:pPr>
        <w:pStyle w:val="2"/>
        <w:rPr>
          <w:rFonts w:ascii="仿宋_GB2312" w:hAnsi="仿宋" w:eastAsia="仿宋_GB2312"/>
          <w:color w:val="000000"/>
          <w:sz w:val="32"/>
          <w:szCs w:val="32"/>
        </w:rPr>
      </w:pPr>
      <w: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1.因公出国（境）经费支出0.00万元,完成预算100%。全年安排因公出国（境）团组0次，出国（境）0人。因公出国（境）支出决算比2020年增加0.00万元，增加100.00 %。 </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2.公务用车购置及运行维护费支出3.06万元,完成预算100.00%。公务用车购置及运行维护费支出决算比2020年增加1.53万元，增加99.67%。主要原因是农口部门下乡业务活动增加。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其中：公务用车购置支出0.00万元。全年按规定更新购置公务用车0辆，其中：轿车0辆、金额0.00万元，越野车</w:t>
      </w:r>
      <w:r>
        <w:rPr>
          <w:rFonts w:hint="eastAsia" w:ascii="仿宋_GB2312" w:hAnsi="仿宋_GB2312" w:eastAsia="仿宋_GB2312" w:cs="仿宋_GB2312"/>
          <w:color w:val="000000"/>
          <w:sz w:val="32"/>
          <w:szCs w:val="32"/>
          <w:lang w:val="en-US" w:eastAsia="zh-CN"/>
        </w:rPr>
        <w:t>0</w:t>
      </w:r>
      <w:bookmarkStart w:id="132" w:name="_GoBack"/>
      <w:bookmarkEnd w:id="132"/>
      <w:r>
        <w:rPr>
          <w:rFonts w:hint="eastAsia" w:ascii="仿宋_GB2312" w:hAnsi="仿宋_GB2312" w:eastAsia="仿宋_GB2312" w:cs="仿宋_GB2312"/>
          <w:color w:val="000000"/>
          <w:sz w:val="32"/>
          <w:szCs w:val="32"/>
        </w:rPr>
        <w:t>辆、金额0.00万元，载客汽车0辆、金额0.00万元。截至2021年12月底，单位共有公务用车1辆，其中：轿车0辆、越野车1辆、载客汽车0辆。</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公务用车运行维护费支出3.06万元。主要用于农口部门下乡业务活动增加。 </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3.公务接待费支出1.43万元，完成预算100.00%。公务接待费支出决算比2020年减少0.24万元，减少16.96%。</w:t>
      </w:r>
      <w:bookmarkStart w:id="57" w:name="_Toc15377218"/>
      <w:r>
        <w:rPr>
          <w:rFonts w:hint="eastAsia" w:ascii="仿宋_GB2312" w:hAnsi="仿宋_GB2312" w:eastAsia="仿宋_GB2312" w:cs="仿宋_GB2312"/>
          <w:color w:val="000000"/>
          <w:sz w:val="32"/>
          <w:szCs w:val="32"/>
        </w:rPr>
        <w:t xml:space="preserve">主要原因是压缩三公经费。 </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国内公务接待支出1.43万元。国内公务接待22批次，129人次（不包括陪同人员），共计支出1.43万元。</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外事接待支出0万元，外事接待0批次，0人，共计支出0万元。</w:t>
      </w:r>
    </w:p>
    <w:p>
      <w:pPr>
        <w:pStyle w:val="4"/>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ascii="黑体" w:eastAsia="黑体" w:cs="Times New Roman"/>
          <w:bCs w:val="0"/>
          <w:color w:val="000000"/>
        </w:rPr>
      </w:pPr>
      <w:bookmarkStart w:id="58" w:name="_Toc113981020"/>
      <w:bookmarkStart w:id="59" w:name="_Toc111208506"/>
      <w:r>
        <w:rPr>
          <w:rFonts w:hint="eastAsia" w:ascii="黑体" w:eastAsia="黑体" w:cs="Times New Roman"/>
          <w:bCs w:val="0"/>
          <w:color w:val="000000"/>
        </w:rPr>
        <w:t>八、政府性基金预算支出决算情况说明</w:t>
      </w:r>
      <w:bookmarkEnd w:id="57"/>
      <w:bookmarkEnd w:id="58"/>
      <w:bookmarkEnd w:id="59"/>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2021年政府性基金预算拨款支出0万元。</w:t>
      </w:r>
      <w:bookmarkStart w:id="60" w:name="_Toc15377219"/>
    </w:p>
    <w:p>
      <w:pPr>
        <w:pStyle w:val="4"/>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ascii="黑体" w:eastAsia="黑体" w:cs="Times New Roman"/>
          <w:bCs w:val="0"/>
          <w:color w:val="000000"/>
        </w:rPr>
      </w:pPr>
      <w:bookmarkStart w:id="61" w:name="_Toc111208507"/>
      <w:bookmarkStart w:id="62" w:name="_Toc113981021"/>
      <w:r>
        <w:rPr>
          <w:rFonts w:hint="eastAsia" w:ascii="黑体" w:eastAsia="黑体" w:cs="Times New Roman"/>
          <w:bCs w:val="0"/>
          <w:color w:val="000000"/>
        </w:rPr>
        <w:t>九、国有资本经营预算支出决算情况说明</w:t>
      </w:r>
      <w:bookmarkEnd w:id="60"/>
      <w:bookmarkEnd w:id="61"/>
      <w:bookmarkEnd w:id="62"/>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2021年国有资本经营预算拨款支出0万元。</w:t>
      </w:r>
    </w:p>
    <w:p>
      <w:pPr>
        <w:pStyle w:val="4"/>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ascii="黑体" w:eastAsia="黑体" w:cs="Times New Roman"/>
          <w:bCs w:val="0"/>
          <w:color w:val="000000"/>
        </w:rPr>
      </w:pPr>
      <w:bookmarkStart w:id="63" w:name="_Toc113981022"/>
      <w:bookmarkStart w:id="64" w:name="_Toc111208508"/>
      <w:bookmarkStart w:id="65" w:name="_Toc15377221"/>
      <w:r>
        <w:rPr>
          <w:rFonts w:hint="eastAsia" w:ascii="黑体" w:eastAsia="黑体" w:cs="Times New Roman"/>
          <w:bCs w:val="0"/>
          <w:color w:val="000000"/>
        </w:rPr>
        <w:t>十、其他重要事项的情况说明</w:t>
      </w:r>
      <w:bookmarkEnd w:id="63"/>
      <w:bookmarkEnd w:id="64"/>
      <w:bookmarkEnd w:id="65"/>
    </w:p>
    <w:p>
      <w:pPr>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楷体" w:hAnsi="楷体" w:eastAsia="楷体" w:cs="楷体"/>
          <w:b/>
          <w:color w:val="000000"/>
          <w:sz w:val="32"/>
          <w:szCs w:val="32"/>
        </w:rPr>
      </w:pPr>
      <w:bookmarkStart w:id="66" w:name="_Toc15377222"/>
      <w:r>
        <w:rPr>
          <w:rFonts w:hint="eastAsia" w:ascii="楷体" w:hAnsi="楷体" w:eastAsia="楷体" w:cs="楷体"/>
          <w:b/>
          <w:color w:val="000000"/>
          <w:sz w:val="32"/>
          <w:szCs w:val="32"/>
        </w:rPr>
        <w:t>（一）机关运行经费支出情况</w:t>
      </w:r>
      <w:bookmarkEnd w:id="66"/>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2021年，机关运行经费支出0万元，比2020年增加0万元。 </w:t>
      </w:r>
    </w:p>
    <w:p>
      <w:pPr>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楷体" w:hAnsi="楷体" w:eastAsia="楷体" w:cs="楷体"/>
          <w:b/>
          <w:color w:val="000000"/>
          <w:sz w:val="32"/>
          <w:szCs w:val="32"/>
        </w:rPr>
      </w:pPr>
      <w:bookmarkStart w:id="67" w:name="_Toc15377223"/>
      <w:r>
        <w:rPr>
          <w:rFonts w:hint="eastAsia" w:ascii="楷体" w:hAnsi="楷体" w:eastAsia="楷体" w:cs="楷体"/>
          <w:b/>
          <w:color w:val="000000"/>
          <w:sz w:val="32"/>
          <w:szCs w:val="32"/>
        </w:rPr>
        <w:t>（二）政府采购支出情况</w:t>
      </w:r>
      <w:bookmarkEnd w:id="67"/>
      <w:r>
        <w:rPr>
          <w:rFonts w:hint="eastAsia" w:ascii="楷体" w:hAnsi="楷体" w:eastAsia="楷体" w:cs="楷体"/>
          <w:b/>
          <w:color w:val="000000"/>
          <w:sz w:val="32"/>
          <w:szCs w:val="32"/>
        </w:rPr>
        <w:t>(机构运行信息表)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2021年，政府采购支出总额0万元，其中：政府采购货物支出0万元、政府采购工程支出0万元、政府采购服务支出0万元。授予中小企业合同金额0万元，其中：授予小微企业合同金额0万元。</w:t>
      </w:r>
    </w:p>
    <w:p>
      <w:pPr>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楷体" w:hAnsi="楷体" w:eastAsia="楷体" w:cs="楷体"/>
          <w:b/>
          <w:color w:val="000000"/>
          <w:sz w:val="32"/>
          <w:szCs w:val="32"/>
        </w:rPr>
      </w:pPr>
      <w:bookmarkStart w:id="68" w:name="_Toc15377224"/>
      <w:r>
        <w:rPr>
          <w:rFonts w:hint="eastAsia" w:ascii="楷体" w:hAnsi="楷体" w:eastAsia="楷体" w:cs="楷体"/>
          <w:b/>
          <w:color w:val="000000"/>
          <w:sz w:val="32"/>
          <w:szCs w:val="32"/>
        </w:rPr>
        <w:t>（三）国有资产占有使用情况</w:t>
      </w:r>
      <w:bookmarkEnd w:id="6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截至2021年12月31日，共有车辆1辆，其中：主要领导干部用车0辆、机要通信用车0辆、应急保障用车0辆、其他用车0辆</w:t>
      </w:r>
      <w:r>
        <w:rPr>
          <w:rFonts w:hint="eastAsia" w:ascii="仿宋_GB2312" w:hAnsi="仿宋_GB2312" w:eastAsia="仿宋_GB2312" w:cs="仿宋_GB2312"/>
          <w:color w:val="000000"/>
          <w:sz w:val="32"/>
          <w:szCs w:val="32"/>
          <w:lang w:eastAsia="zh-CN"/>
        </w:rPr>
        <w:t>、执法执勤用车</w:t>
      </w:r>
      <w:r>
        <w:rPr>
          <w:rFonts w:hint="eastAsia" w:ascii="仿宋_GB2312" w:hAnsi="仿宋_GB2312" w:eastAsia="仿宋_GB2312" w:cs="仿宋_GB2312"/>
          <w:color w:val="000000"/>
          <w:sz w:val="32"/>
          <w:szCs w:val="32"/>
          <w:lang w:val="en-US" w:eastAsia="zh-CN"/>
        </w:rPr>
        <w:t>1辆</w:t>
      </w:r>
      <w:r>
        <w:rPr>
          <w:rFonts w:hint="eastAsia" w:ascii="仿宋_GB2312" w:hAnsi="仿宋_GB2312" w:eastAsia="仿宋_GB2312" w:cs="仿宋_GB2312"/>
          <w:color w:val="000000"/>
          <w:sz w:val="32"/>
          <w:szCs w:val="32"/>
        </w:rPr>
        <w:t>。单价50万元以上通用设备0台（套），单价100万元以上专用设备0台（套）。</w:t>
      </w:r>
    </w:p>
    <w:p>
      <w:pPr>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pPr>
        <w:pStyle w:val="38"/>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仿宋_GB2312" w:hAnsi="仿宋_GB2312" w:eastAsia="仿宋_GB2312" w:cs="仿宋_GB2312"/>
          <w:sz w:val="32"/>
          <w:szCs w:val="32"/>
        </w:rPr>
      </w:pPr>
      <w:r>
        <w:rPr>
          <w:rFonts w:hint="eastAsia"/>
        </w:rPr>
        <w:t xml:space="preserve"> </w:t>
      </w:r>
      <w:r>
        <w:rPr>
          <w:rFonts w:hint="eastAsia" w:ascii="仿宋_GB2312" w:hAnsi="仿宋_GB2312" w:eastAsia="仿宋_GB2312" w:cs="仿宋_GB2312"/>
          <w:sz w:val="32"/>
          <w:szCs w:val="32"/>
          <w:lang w:eastAsia="zh-CN"/>
        </w:rPr>
        <w:t>茂县林业和草原局</w:t>
      </w:r>
      <w:r>
        <w:rPr>
          <w:rFonts w:hint="eastAsia" w:ascii="仿宋_GB2312" w:hAnsi="仿宋_GB2312" w:eastAsia="仿宋_GB2312" w:cs="仿宋_GB2312"/>
          <w:sz w:val="32"/>
          <w:szCs w:val="32"/>
        </w:rPr>
        <w:t>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val="en-US" w:eastAsia="zh-CN"/>
        </w:rPr>
        <w:t>2021</w:t>
      </w:r>
      <w:r>
        <w:rPr>
          <w:rFonts w:hint="eastAsia" w:ascii="仿宋_GB2312" w:eastAsia="仿宋_GB2312"/>
          <w:sz w:val="32"/>
          <w:szCs w:val="32"/>
        </w:rPr>
        <w:t>年我单位整体支出绩效评价自查自评结果良好,全年基本支出保证了单位的正常运行和日常工作的正常开展,项目支出保障了重点工作的开展,绩效目标得到较好实现,绩效管理水平不断提高,绩效指标体系逐渐丰富和完善</w:t>
      </w:r>
      <w:r>
        <w:rPr>
          <w:rFonts w:hint="eastAsia" w:ascii="仿宋_GB2312" w:hAnsi="仿宋_GB2312" w:eastAsia="仿宋_GB2312" w:cs="仿宋_GB2312"/>
          <w:sz w:val="32"/>
          <w:szCs w:val="32"/>
        </w:rPr>
        <w:t>。</w:t>
      </w:r>
    </w:p>
    <w:p>
      <w:pPr>
        <w:pStyle w:val="2"/>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3"/>
        <w:jc w:val="center"/>
        <w:rPr>
          <w:rFonts w:ascii="黑体" w:hAnsi="黑体" w:eastAsia="黑体" w:cs="黑体"/>
        </w:rPr>
      </w:pPr>
      <w:bookmarkStart w:id="69" w:name="_Toc113981023"/>
      <w:bookmarkStart w:id="70" w:name="_Toc15377225"/>
      <w:bookmarkStart w:id="71" w:name="_Toc111208509"/>
      <w:r>
        <w:rPr>
          <w:rFonts w:hint="eastAsia" w:ascii="黑体" w:hAnsi="黑体" w:eastAsia="黑体" w:cs="黑体"/>
        </w:rPr>
        <w:t>第三部分 名词解释</w:t>
      </w:r>
      <w:bookmarkEnd w:id="69"/>
      <w:bookmarkEnd w:id="70"/>
      <w:bookmarkEnd w:id="7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6.年初结转和结余：指以前年度尚未完成、结转到本年按有关规定继续使用的资金。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7.结余分配：指事业单位按照事业单位会计制度的规定从非财政补助结余中分配的事业基金和职工福利基金等。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9.社会保障和就业支出（208）行政事业单位养老支出（20805）机关事业单位基本养老保险缴费支出（2080505）：反映机关事业单位实施养老保险制度由单位缴纳的基本养老保险费支出。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10.社会保障和就业支出（208）行政事业单位养老支出（20805）机关事业单位职业年金缴费支出（2080506）：反映机关事业单位实施养老保险制度由单位实际缴纳的职业年金支出。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11.卫生健康支出（210）公共卫生（21004）重大公共卫生服务（2100409）：反映重大疾病、重大传染病预防控制等重大公共卫生服务项目支出。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12.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13.卫生健康支出（210）行政事业单位医疗（21011）事业单位医疗（2101102）：反映财政部门安排的事业单位基本医疗保险缴费经费，未参加医疗保险的事业单位的公费医疗经费，按国家规定享受离休人员待遇的医疗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14.节能环保支出（211）自然生态保护（21104）生态保护（2110401）：反映用于生态功能区、生态示范区、生态省（市、县）管理及能力建设、日常管护、宣教、试点示范等支出，生态修复支出，资源开发生态监管支出，生态护林员的劳务报酬等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15.节能环保支出（211）天然林保护（21105）森林管护（2110501）：反映专项用于森林资源管护所发生的各项补助支出。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16.节能环保支出（211）天然林保护（21105）社会保险补助（2110502）：反映专项用于由于木材减产或停产造成实施单位应缴纳社会保险费缺口的补助支出。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17.节能环保支出（211）退耕还林还草（21106）退耕现金（2110602）：反映专项用于退耕户的现金补助支出。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18.农林水支出（213）林业和草原（21302）行政运行（2130201）：反映行政单位（包括实行公务员管理的事业单位）的基本支出。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19.农林水支出（213）林业和草原（21302）事业机构（2130204）：反映事业单位的基本支出，不包括行政单位（含实行公务员管理的事业单位）后勤服务中心等附属事业单位的支岀。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20.农林水支出（213）林业和草原（21302）森林资源培育（2130205）：反映育苗（种）、造林、抚育、退化林修复、义务植树以及生物质能源建设等方面的支出。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21.农林水支出（213）林业和草原（21302）森林资源管理（2130207）：反映森林资源核査、监测、评估、经营利用、林地保护等方面的支出。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22.农林水支出（213）林业和草原（21302）森林生态效益补偿（2130209）：反映用于公益林保护和管理等方面的支出。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23.农林水支出（213）林业和草原（21302）动植物保护（2130211）：反映动植物资源生存环境调査、监测、保护管理、野外放（回）归、巡护、野生动物疫源疫病监测防控、濒危野生动植物拯救、繁育及进出口管理等方面的支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24.农林水支出（213）林业和草原（21302）林业草原防灾减灾（2130234）：反映用于病虫害等有害生物灾害、森林草原防火、野生动物疫病灾害等方面的支出。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25.农林水支出（213）林业和草原（21302）其他林业和草原支出（2130299）：反映除上述项0以外其他用于林业和草原方面的支出。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26.农林水支出（213）扶贫（21305）其他扶贫支出（2130599）：反映除上述项目以外其他用于扶贫方面的支出。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27.农林水支出（213）其他农林水支出（21399）其他农林水支出（2139999）：反映除化解债务支出以外其他用于农林水方面的支出。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28.交通运输支出（214）公路水路运输（21401）其他公路水路运输支出（2140199）：反映除上述项i以外其他用于公路水路运输方面的支出。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29.住房保障支出（221）住房改革支出（22102）住房公积金（2210201）：反映行政事业单位按人力资源和社会保障部、财政部规定的基本工资和津贴补贴以及规定比例为职工缴纳的住房公积金。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30.住房保障支出（221）住房改革支出（22102）购房补贴（2210203）：反映按房改政策规定，行政事业单位向符合条件职工（含离退休人员）、军队（含武警）向转役复员离退休人员发放的用于购买住房的补贴。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31.灾害防治及应急管理支出（224）自然灾害防治（22406）森林草原防灾减灾（2240602）：反映防治森林草原火灾、自然水旱灾害等发生的支出。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32.其他支出（229）其他支出（22999）其他支出（2299999）：无文字说明。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33.基本支出：指为保障机构正常运转、完成日常工作任务而发生的人员支出和公用支出。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34</w:t>
      </w:r>
      <w:r>
        <w:rPr>
          <w:rFonts w:hint="eastAsia" w:ascii="仿宋_GB2312" w:hAnsi="仿宋_GB2312" w:eastAsia="仿宋_GB2312" w:cs="仿宋_GB2312"/>
          <w:color w:val="000000"/>
          <w:sz w:val="32"/>
          <w:szCs w:val="32"/>
        </w:rPr>
        <w:t xml:space="preserve">.项目支出：指在基本支出之外为完成特定行政任务和事业发展目标所发生的支出。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.财政应返还额度：为行政事业单位会计核算科目，用于核算实行国库集中支付的行政事业单位应收财政返还的资金额度。</w:t>
      </w:r>
    </w:p>
    <w:p>
      <w:pPr>
        <w:widowControl/>
        <w:jc w:val="left"/>
        <w:rPr>
          <w:rStyle w:val="28"/>
          <w:rFonts w:ascii="黑体" w:hAnsi="黑体" w:eastAsia="黑体"/>
        </w:rPr>
      </w:pPr>
      <w:r>
        <w:rPr>
          <w:rStyle w:val="28"/>
          <w:rFonts w:ascii="黑体" w:hAnsi="黑体" w:eastAsia="黑体"/>
        </w:rPr>
        <w:br w:type="page"/>
      </w:r>
    </w:p>
    <w:p>
      <w:pPr>
        <w:pStyle w:val="3"/>
        <w:jc w:val="center"/>
        <w:rPr>
          <w:rFonts w:ascii="黑体" w:hAnsi="黑体" w:eastAsia="黑体" w:cs="黑体"/>
        </w:rPr>
      </w:pPr>
      <w:bookmarkStart w:id="72" w:name="_Toc111208510"/>
      <w:bookmarkStart w:id="73" w:name="_Toc113981024"/>
      <w:r>
        <w:rPr>
          <w:rFonts w:hint="eastAsia" w:ascii="黑体" w:hAnsi="黑体" w:eastAsia="黑体" w:cs="黑体"/>
        </w:rPr>
        <w:t>第四部分 附件</w:t>
      </w:r>
      <w:bookmarkEnd w:id="72"/>
      <w:bookmarkEnd w:id="73"/>
    </w:p>
    <w:p>
      <w:pPr>
        <w:pStyle w:val="33"/>
        <w:widowControl/>
        <w:spacing w:line="580" w:lineRule="exact"/>
        <w:contextualSpacing/>
        <w:jc w:val="center"/>
        <w:rPr>
          <w:rFonts w:ascii="宋体" w:hAnsi="宋体" w:eastAsia="宋体"/>
          <w:b/>
          <w:sz w:val="44"/>
          <w:szCs w:val="44"/>
          <w:shd w:val="clear" w:color="auto" w:fill="FFFFFF"/>
        </w:rPr>
      </w:pPr>
      <w:r>
        <w:rPr>
          <w:rFonts w:hint="eastAsia" w:ascii="宋体" w:hAnsi="宋体" w:eastAsia="宋体"/>
          <w:b/>
          <w:sz w:val="44"/>
          <w:szCs w:val="44"/>
          <w:shd w:val="clear" w:color="auto" w:fill="FFFFFF"/>
        </w:rPr>
        <w:t>2022年</w:t>
      </w:r>
      <w:r>
        <w:rPr>
          <w:rFonts w:hint="eastAsia" w:ascii="宋体" w:hAnsi="宋体" w:eastAsia="宋体"/>
          <w:b/>
          <w:sz w:val="44"/>
          <w:szCs w:val="44"/>
          <w:shd w:val="clear" w:color="auto" w:fill="FFFFFF"/>
          <w:lang w:eastAsia="zh-CN"/>
        </w:rPr>
        <w:t>茂县林业和草原局</w:t>
      </w:r>
      <w:r>
        <w:rPr>
          <w:rFonts w:hint="eastAsia" w:ascii="宋体" w:hAnsi="宋体" w:eastAsia="宋体"/>
          <w:b/>
          <w:sz w:val="44"/>
          <w:szCs w:val="44"/>
          <w:shd w:val="clear" w:color="auto" w:fill="FFFFFF"/>
        </w:rPr>
        <w:t>整体支出</w:t>
      </w:r>
    </w:p>
    <w:p>
      <w:pPr>
        <w:pStyle w:val="33"/>
        <w:widowControl/>
        <w:spacing w:line="580" w:lineRule="exact"/>
        <w:contextualSpacing/>
        <w:jc w:val="center"/>
        <w:rPr>
          <w:rFonts w:ascii="宋体" w:hAnsi="宋体" w:eastAsia="宋体"/>
          <w:b/>
          <w:sz w:val="44"/>
          <w:szCs w:val="44"/>
          <w:shd w:val="clear" w:color="auto" w:fill="FFFFFF"/>
        </w:rPr>
      </w:pPr>
      <w:r>
        <w:rPr>
          <w:rFonts w:hint="eastAsia" w:ascii="宋体" w:hAnsi="宋体" w:eastAsia="宋体"/>
          <w:b/>
          <w:sz w:val="44"/>
          <w:szCs w:val="44"/>
          <w:shd w:val="clear" w:color="auto" w:fill="FFFFFF"/>
        </w:rPr>
        <w:t>绩效评价报告</w:t>
      </w:r>
    </w:p>
    <w:p>
      <w:pPr>
        <w:pStyle w:val="33"/>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pStyle w:val="33"/>
        <w:widowControl/>
        <w:adjustRightInd w:val="0"/>
        <w:snapToGrid w:val="0"/>
        <w:spacing w:line="580" w:lineRule="exact"/>
        <w:ind w:firstLine="640" w:firstLineChars="200"/>
        <w:contextualSpacing/>
        <w:jc w:val="left"/>
        <w:rPr>
          <w:rFonts w:ascii="黑体" w:hAnsi="宋体" w:eastAsia="黑体" w:cs="宋体"/>
          <w:color w:val="000000"/>
          <w:kern w:val="0"/>
          <w:szCs w:val="32"/>
          <w:shd w:val="clear" w:color="auto" w:fill="FFFFFF"/>
          <w:lang w:val="zh-CN"/>
        </w:rPr>
      </w:pPr>
      <w:r>
        <w:rPr>
          <w:rFonts w:hint="eastAsia" w:ascii="黑体" w:hAnsi="宋体" w:eastAsia="黑体" w:cs="宋体"/>
          <w:color w:val="000000"/>
          <w:kern w:val="0"/>
          <w:szCs w:val="32"/>
          <w:shd w:val="clear" w:color="auto" w:fill="FFFFFF"/>
        </w:rPr>
        <w:t>一、</w:t>
      </w:r>
      <w:r>
        <w:rPr>
          <w:rFonts w:hint="eastAsia" w:ascii="黑体" w:hAnsi="宋体" w:eastAsia="黑体" w:cs="宋体"/>
          <w:color w:val="000000"/>
          <w:kern w:val="0"/>
          <w:szCs w:val="32"/>
          <w:shd w:val="clear" w:color="auto" w:fill="FFFFFF"/>
          <w:lang w:val="zh-CN"/>
        </w:rPr>
        <w:t>部门（单位）概况</w:t>
      </w:r>
    </w:p>
    <w:p>
      <w:pPr>
        <w:pStyle w:val="39"/>
        <w:widowControl/>
        <w:adjustRightInd w:val="0"/>
        <w:snapToGrid w:val="0"/>
        <w:spacing w:line="580" w:lineRule="exact"/>
        <w:ind w:firstLine="642" w:firstLineChars="200"/>
        <w:contextualSpacing/>
        <w:jc w:val="left"/>
        <w:rPr>
          <w:rFonts w:hint="eastAsia"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（一）机构组成</w:t>
      </w:r>
    </w:p>
    <w:p>
      <w:pPr>
        <w:pStyle w:val="33"/>
        <w:widowControl/>
        <w:adjustRightInd w:val="0"/>
        <w:snapToGrid w:val="0"/>
        <w:spacing w:line="580" w:lineRule="exact"/>
        <w:ind w:firstLine="640" w:firstLineChars="200"/>
        <w:contextualSpacing/>
        <w:jc w:val="left"/>
        <w:rPr>
          <w:rFonts w:hint="eastAsia" w:ascii="仿宋_GB2312" w:hAnsi="宋体" w:cs="宋体"/>
          <w:color w:val="000000"/>
          <w:kern w:val="0"/>
          <w:szCs w:val="32"/>
          <w:shd w:val="clear" w:color="auto" w:fill="FFFFFF"/>
          <w:lang w:val="zh-CN"/>
        </w:rPr>
      </w:pPr>
      <w:r>
        <w:rPr>
          <w:rFonts w:hint="eastAsia" w:ascii="仿宋_GB2312" w:cs="仿宋_GB2312" w:hAnsiTheme="minorHAnsi"/>
          <w:kern w:val="0"/>
          <w:lang w:val="zh-CN"/>
        </w:rPr>
        <w:t>茂县林业和草原局单位下属二级预算单位</w:t>
      </w:r>
      <w:r>
        <w:rPr>
          <w:rFonts w:ascii="仿宋_GB2312" w:cs="仿宋_GB2312" w:hAnsiTheme="minorHAnsi"/>
          <w:kern w:val="0"/>
          <w:lang w:val="zh-CN"/>
        </w:rPr>
        <w:t xml:space="preserve"> 0 </w:t>
      </w:r>
      <w:r>
        <w:rPr>
          <w:rFonts w:hint="eastAsia" w:ascii="仿宋_GB2312" w:cs="仿宋_GB2312" w:hAnsiTheme="minorHAnsi"/>
          <w:kern w:val="0"/>
          <w:lang w:val="zh-CN"/>
        </w:rPr>
        <w:t>个，行政单位</w:t>
      </w:r>
      <w:r>
        <w:rPr>
          <w:rFonts w:hint="eastAsia" w:ascii="仿宋_GB2312" w:cs="仿宋_GB2312" w:hAnsiTheme="minorHAnsi"/>
          <w:kern w:val="0"/>
          <w:lang w:val="en-US" w:eastAsia="zh-CN"/>
        </w:rPr>
        <w:t>0</w:t>
      </w:r>
      <w:r>
        <w:rPr>
          <w:rFonts w:hint="eastAsia" w:ascii="仿宋_GB2312" w:cs="仿宋_GB2312" w:hAnsiTheme="minorHAnsi"/>
          <w:kern w:val="0"/>
          <w:lang w:val="zh-CN"/>
        </w:rPr>
        <w:t>个，参照公务员法管理的事业单位</w:t>
      </w:r>
      <w:r>
        <w:rPr>
          <w:rFonts w:ascii="仿宋_GB2312" w:cs="仿宋_GB2312" w:hAnsiTheme="minorHAnsi"/>
          <w:kern w:val="0"/>
          <w:lang w:val="zh-CN"/>
        </w:rPr>
        <w:t xml:space="preserve"> </w:t>
      </w:r>
      <w:r>
        <w:rPr>
          <w:rFonts w:hint="eastAsia" w:ascii="仿宋_GB2312" w:cs="仿宋_GB2312" w:hAnsiTheme="minorHAnsi"/>
          <w:kern w:val="0"/>
          <w:lang w:val="en-US" w:eastAsia="zh-CN"/>
        </w:rPr>
        <w:t>0</w:t>
      </w:r>
      <w:r>
        <w:rPr>
          <w:rFonts w:hint="eastAsia" w:ascii="仿宋_GB2312" w:cs="仿宋_GB2312" w:hAnsiTheme="minorHAnsi"/>
          <w:kern w:val="0"/>
          <w:lang w:val="zh-CN"/>
        </w:rPr>
        <w:t>个，其他事业单位</w:t>
      </w:r>
      <w:r>
        <w:rPr>
          <w:rFonts w:hint="eastAsia" w:ascii="仿宋_GB2312" w:cs="仿宋_GB2312" w:hAnsiTheme="minorHAnsi"/>
          <w:kern w:val="0"/>
          <w:lang w:val="en-US" w:eastAsia="zh-CN"/>
        </w:rPr>
        <w:t>0</w:t>
      </w:r>
      <w:r>
        <w:rPr>
          <w:rFonts w:hint="eastAsia" w:ascii="仿宋_GB2312" w:cs="仿宋_GB2312" w:hAnsiTheme="minorHAnsi"/>
          <w:kern w:val="0"/>
          <w:lang w:val="zh-CN"/>
        </w:rPr>
        <w:t>个。</w:t>
      </w:r>
    </w:p>
    <w:p>
      <w:pPr>
        <w:pStyle w:val="39"/>
        <w:widowControl/>
        <w:adjustRightInd w:val="0"/>
        <w:snapToGrid w:val="0"/>
        <w:spacing w:line="580" w:lineRule="exact"/>
        <w:ind w:firstLine="642" w:firstLineChars="200"/>
        <w:contextualSpacing/>
        <w:jc w:val="left"/>
        <w:rPr>
          <w:rFonts w:hint="eastAsia" w:ascii="仿宋_GB2312" w:hAnsi="宋体" w:eastAsia="仿宋_GB2312" w:cs="宋体"/>
          <w:color w:val="000000"/>
          <w:kern w:val="0"/>
          <w:szCs w:val="32"/>
          <w:shd w:val="clear" w:color="auto" w:fill="FFFFFF"/>
          <w:lang w:val="en-US" w:eastAsia="zh-CN"/>
        </w:rPr>
      </w:pPr>
      <w:r>
        <w:rPr>
          <w:rFonts w:hint="eastAsia" w:ascii="楷体" w:hAnsi="楷体" w:eastAsia="楷体" w:cs="楷体"/>
          <w:b/>
          <w:bCs/>
          <w:color w:val="000000"/>
          <w:kern w:val="0"/>
          <w:szCs w:val="32"/>
          <w:shd w:val="clear" w:color="auto" w:fill="FFFFFF"/>
          <w:lang w:val="zh-CN"/>
        </w:rPr>
        <w:t>（二）机构职能</w:t>
      </w:r>
      <w:r>
        <w:rPr>
          <w:rFonts w:hint="eastAsia" w:ascii="仿宋_GB2312" w:hAnsi="宋体" w:cs="宋体"/>
          <w:color w:val="000000"/>
          <w:kern w:val="0"/>
          <w:szCs w:val="32"/>
          <w:shd w:val="clear" w:color="auto" w:fill="FFFFFF"/>
          <w:lang w:val="en-US" w:eastAsia="zh-CN"/>
        </w:rPr>
        <w:t xml:space="preserve"> </w:t>
      </w:r>
    </w:p>
    <w:p>
      <w:pPr>
        <w:pStyle w:val="33"/>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1.</w:t>
      </w:r>
      <w:r>
        <w:rPr>
          <w:rFonts w:hint="eastAsia" w:ascii="仿宋_GB2312" w:cs="仿宋_GB2312" w:hAnsiTheme="minorHAnsi"/>
          <w:kern w:val="0"/>
          <w:lang w:val="zh-CN"/>
        </w:rPr>
        <w:t>贯彻执行党和国家的林业方针、政策、法律、法规、规章和有关决议、决定，结合我县的实际和国民经济发展的需要，制定相应的实施办法并组织实施，完善林业政策和管理制度。</w:t>
      </w:r>
    </w:p>
    <w:p>
      <w:pPr>
        <w:pStyle w:val="33"/>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2.</w:t>
      </w:r>
      <w:r>
        <w:rPr>
          <w:rFonts w:hint="eastAsia" w:ascii="仿宋_GB2312" w:cs="仿宋_GB2312" w:hAnsiTheme="minorHAnsi"/>
          <w:kern w:val="0"/>
          <w:lang w:val="zh-CN"/>
        </w:rPr>
        <w:t>编制全县林业发展的中长期规划和年度计划，负责林业信息的收集整理，指导、协调林业生产建设总体布局，林业产业结构调整，森林资源和规划计划的实施，并指导林业企业产权制度改革和林业经济体制改革。</w:t>
      </w:r>
    </w:p>
    <w:p>
      <w:pPr>
        <w:pStyle w:val="33"/>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3.</w:t>
      </w:r>
      <w:r>
        <w:rPr>
          <w:rFonts w:hint="eastAsia" w:ascii="仿宋_GB2312" w:cs="仿宋_GB2312" w:hAnsiTheme="minorHAnsi"/>
          <w:kern w:val="0"/>
          <w:lang w:val="zh-CN"/>
        </w:rPr>
        <w:t>主管全县森林资源，负责森林资源保护管理的基础设施建设；编制和执行采伐限额；监督检查木材凭证采伐，加工运输、供应等林政管理工作；负责林地、林权管理及征占用林地的清查、初审；主管森林资源有偿使用并监督林地开发利用，负责国有森林资源管理。</w:t>
      </w:r>
    </w:p>
    <w:p>
      <w:pPr>
        <w:pStyle w:val="33"/>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4.</w:t>
      </w:r>
      <w:r>
        <w:rPr>
          <w:rFonts w:hint="eastAsia" w:ascii="仿宋_GB2312" w:cs="仿宋_GB2312" w:hAnsiTheme="minorHAnsi"/>
          <w:kern w:val="0"/>
          <w:lang w:val="zh-CN"/>
        </w:rPr>
        <w:t>负责指导全县天然林资源保护工程、生态环境治理工程、退耕还林</w:t>
      </w:r>
      <w:r>
        <w:rPr>
          <w:rFonts w:ascii="仿宋_GB2312" w:cs="仿宋_GB2312" w:hAnsiTheme="minorHAnsi"/>
          <w:kern w:val="0"/>
          <w:lang w:val="zh-CN"/>
        </w:rPr>
        <w:t>(</w:t>
      </w:r>
      <w:r>
        <w:rPr>
          <w:rFonts w:hint="eastAsia" w:ascii="仿宋_GB2312" w:cs="仿宋_GB2312" w:hAnsiTheme="minorHAnsi"/>
          <w:kern w:val="0"/>
          <w:lang w:val="zh-CN"/>
        </w:rPr>
        <w:t>草</w:t>
      </w:r>
      <w:r>
        <w:rPr>
          <w:rFonts w:ascii="仿宋_GB2312" w:cs="仿宋_GB2312" w:hAnsiTheme="minorHAnsi"/>
          <w:kern w:val="0"/>
          <w:lang w:val="zh-CN"/>
        </w:rPr>
        <w:t>)</w:t>
      </w:r>
      <w:r>
        <w:rPr>
          <w:rFonts w:hint="eastAsia" w:ascii="仿宋_GB2312" w:cs="仿宋_GB2312" w:hAnsiTheme="minorHAnsi"/>
          <w:kern w:val="0"/>
          <w:lang w:val="zh-CN"/>
        </w:rPr>
        <w:t>工程的实施。组织实施全县植树造林、国土绿化、防沙</w:t>
      </w:r>
      <w:r>
        <w:rPr>
          <w:rFonts w:hint="eastAsia" w:ascii="仿宋_GB2312" w:cs="仿宋_GB2312" w:hAnsiTheme="minorHAnsi"/>
          <w:kern w:val="0"/>
          <w:lang w:val="en-US" w:eastAsia="zh-CN"/>
        </w:rPr>
        <w:t xml:space="preserve"> </w:t>
      </w:r>
      <w:r>
        <w:rPr>
          <w:rFonts w:hint="eastAsia" w:ascii="仿宋_GB2312" w:cs="仿宋_GB2312" w:hAnsiTheme="minorHAnsi"/>
          <w:kern w:val="0"/>
          <w:lang w:val="zh-CN"/>
        </w:rPr>
        <w:t>治沙及各类林业基地及工程项目建设；对县属国有林场、苗圃、森林公园、自然保护区、集体林场实行宏观管理，引进外援项目，组织实施环境建设、水土保持、农田基本建设等方面造林绿化和林果发展项目；指导和监督全县自用材和生活用材的采伐。</w:t>
      </w:r>
    </w:p>
    <w:p>
      <w:pPr>
        <w:pStyle w:val="33"/>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5.</w:t>
      </w:r>
      <w:r>
        <w:rPr>
          <w:rFonts w:hint="eastAsia" w:ascii="仿宋_GB2312" w:cs="仿宋_GB2312" w:hAnsiTheme="minorHAnsi"/>
          <w:kern w:val="0"/>
          <w:lang w:val="zh-CN"/>
        </w:rPr>
        <w:t>负责全县野生动物、植物资源的保护管理和合理开发利用，对宝顶沟自然保护区管理处工作进行指导；负责森林公园的规划、审批和上报审批、立项等工作。</w:t>
      </w:r>
    </w:p>
    <w:p>
      <w:pPr>
        <w:pStyle w:val="33"/>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6.</w:t>
      </w:r>
      <w:r>
        <w:rPr>
          <w:rFonts w:hint="eastAsia" w:ascii="仿宋_GB2312" w:cs="仿宋_GB2312" w:hAnsiTheme="minorHAnsi"/>
          <w:kern w:val="0"/>
          <w:lang w:val="zh-CN"/>
        </w:rPr>
        <w:t>指导和调控全县林业生产的发展，负责全县木材生产、采伐、运输、加工、综合利用，林产林化、森林旅游、木本药材等林业产业实行宏观管理、指导和监督；管理好林产品市场。</w:t>
      </w:r>
    </w:p>
    <w:p>
      <w:pPr>
        <w:pStyle w:val="33"/>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7.</w:t>
      </w:r>
      <w:r>
        <w:rPr>
          <w:rFonts w:hint="eastAsia" w:ascii="仿宋_GB2312" w:cs="仿宋_GB2312" w:hAnsiTheme="minorHAnsi"/>
          <w:kern w:val="0"/>
          <w:lang w:val="zh-CN"/>
        </w:rPr>
        <w:t>指导、监督全县林业系统财务工作；组织编制、上报或转报林业基本建设、多种经营、技术改造、转产项目并指导实施或直接组织实施。</w:t>
      </w:r>
    </w:p>
    <w:p>
      <w:pPr>
        <w:pStyle w:val="33"/>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8.</w:t>
      </w:r>
      <w:r>
        <w:rPr>
          <w:rFonts w:hint="eastAsia" w:ascii="仿宋_GB2312" w:cs="仿宋_GB2312" w:hAnsiTheme="minorHAnsi"/>
          <w:kern w:val="0"/>
          <w:lang w:val="zh-CN"/>
        </w:rPr>
        <w:t>管理林业执法体系建设和林业执法工作，领导县森林公安局搞好全县森林公安队伍建设和森林公安工作；监督和查处破坏森林资源和野生动物资源的案</w:t>
      </w:r>
      <w:r>
        <w:rPr>
          <w:rFonts w:ascii="仿宋_GB2312" w:cs="仿宋_GB2312" w:hAnsiTheme="minorHAnsi"/>
          <w:kern w:val="0"/>
          <w:lang w:val="zh-CN"/>
        </w:rPr>
        <w:t>(</w:t>
      </w:r>
      <w:r>
        <w:rPr>
          <w:rFonts w:hint="eastAsia" w:ascii="仿宋_GB2312" w:cs="仿宋_GB2312" w:hAnsiTheme="minorHAnsi"/>
          <w:kern w:val="0"/>
          <w:lang w:val="zh-CN"/>
        </w:rPr>
        <w:t>事</w:t>
      </w:r>
      <w:r>
        <w:rPr>
          <w:rFonts w:ascii="仿宋_GB2312" w:cs="仿宋_GB2312" w:hAnsiTheme="minorHAnsi"/>
          <w:kern w:val="0"/>
          <w:lang w:val="zh-CN"/>
        </w:rPr>
        <w:t>)</w:t>
      </w:r>
      <w:r>
        <w:rPr>
          <w:rFonts w:hint="eastAsia" w:ascii="仿宋_GB2312" w:cs="仿宋_GB2312" w:hAnsiTheme="minorHAnsi"/>
          <w:kern w:val="0"/>
          <w:lang w:val="zh-CN"/>
        </w:rPr>
        <w:t>件；负责搞好全县森林防火、森林病虫鼠害防治、森林植物检疫、保护森林资源和维护林区治安。</w:t>
      </w:r>
    </w:p>
    <w:p>
      <w:pPr>
        <w:pStyle w:val="33"/>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9.</w:t>
      </w:r>
      <w:r>
        <w:rPr>
          <w:rFonts w:hint="eastAsia" w:ascii="仿宋_GB2312" w:cs="仿宋_GB2312" w:hAnsiTheme="minorHAnsi"/>
          <w:kern w:val="0"/>
          <w:lang w:val="zh-CN"/>
        </w:rPr>
        <w:t>制定林业科技发展规划，组织科技试验、研究、示范及技术培训，技术推广工作，负责全县林业教育和专业人才的培训、引进；负责管理局机关公务员、科技人员及直属企业、事业单位的干部职工；制定全县林业行业干部培训，人才培养的中长期计划和实施林业宣传动员工作。</w:t>
      </w:r>
    </w:p>
    <w:p>
      <w:pPr>
        <w:pStyle w:val="33"/>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10.</w:t>
      </w:r>
      <w:r>
        <w:rPr>
          <w:rFonts w:hint="eastAsia" w:ascii="仿宋_GB2312" w:cs="仿宋_GB2312" w:hAnsiTheme="minorHAnsi"/>
          <w:kern w:val="0"/>
          <w:lang w:val="zh-CN"/>
        </w:rPr>
        <w:t>负责规划、指导、实施山区林业综合开发，配合有关部门做好水土保持、农村能源发展、农业综合开发、林业扶贫等组织实施工作。</w:t>
      </w:r>
    </w:p>
    <w:p>
      <w:pPr>
        <w:pStyle w:val="33"/>
        <w:autoSpaceDE w:val="0"/>
        <w:autoSpaceDN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11.</w:t>
      </w:r>
      <w:r>
        <w:rPr>
          <w:rFonts w:hint="eastAsia" w:ascii="仿宋_GB2312" w:cs="仿宋_GB2312" w:hAnsiTheme="minorHAnsi"/>
          <w:kern w:val="0"/>
          <w:lang w:val="zh-CN"/>
        </w:rPr>
        <w:t>深入研究生态建设特别是自然保护区建设问题，稳步推进自然保护区体制创新。落实生态保护和建设的主体责任，创新项目实施方式，全面推进川西藏区生态保护与建设工程、湿地保护、防沙治沙等项目建设。</w:t>
      </w:r>
    </w:p>
    <w:p>
      <w:pPr>
        <w:pStyle w:val="33"/>
        <w:widowControl/>
        <w:adjustRightInd w:val="0"/>
        <w:snapToGrid w:val="0"/>
        <w:spacing w:line="560" w:lineRule="exact"/>
        <w:ind w:firstLine="640" w:firstLineChars="200"/>
        <w:jc w:val="left"/>
        <w:rPr>
          <w:rFonts w:hint="eastAsia" w:ascii="仿宋_GB2312" w:hAnsi="宋体" w:cs="宋体"/>
          <w:color w:val="000000"/>
          <w:kern w:val="0"/>
          <w:szCs w:val="32"/>
          <w:shd w:val="clear" w:color="auto" w:fill="FFFFFF"/>
          <w:lang w:val="zh-CN"/>
        </w:rPr>
      </w:pPr>
      <w:r>
        <w:rPr>
          <w:rFonts w:ascii="仿宋_GB2312" w:cs="仿宋_GB2312" w:hAnsiTheme="minorHAnsi"/>
          <w:kern w:val="0"/>
          <w:lang w:val="zh-CN"/>
        </w:rPr>
        <w:t>12.</w:t>
      </w:r>
      <w:r>
        <w:rPr>
          <w:rFonts w:hint="eastAsia" w:ascii="仿宋_GB2312" w:cs="仿宋_GB2312" w:hAnsiTheme="minorHAnsi"/>
          <w:kern w:val="0"/>
          <w:lang w:val="zh-CN"/>
        </w:rPr>
        <w:t>负责有关林业方面的涉外工作、承担县政府公布的有关行政审批事项、承办县政府交办的其他事项。</w:t>
      </w:r>
    </w:p>
    <w:p>
      <w:pPr>
        <w:pStyle w:val="39"/>
        <w:widowControl/>
        <w:adjustRightInd w:val="0"/>
        <w:snapToGrid w:val="0"/>
        <w:spacing w:line="580" w:lineRule="exact"/>
        <w:ind w:firstLine="642" w:firstLineChars="200"/>
        <w:contextualSpacing/>
        <w:jc w:val="left"/>
        <w:rPr>
          <w:rFonts w:hint="eastAsia" w:ascii="仿宋_GB2312" w:hAnsi="宋体"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（三）人员概况</w:t>
      </w:r>
    </w:p>
    <w:p>
      <w:pPr>
        <w:pStyle w:val="33"/>
        <w:spacing w:line="560" w:lineRule="exact"/>
        <w:ind w:firstLine="640" w:firstLineChars="200"/>
        <w:rPr>
          <w:rFonts w:hint="eastAsia" w:ascii="仿宋_GB2312" w:cs="宋体"/>
          <w:color w:val="000000"/>
          <w:kern w:val="0"/>
          <w:szCs w:val="32"/>
          <w:shd w:val="clear" w:color="auto" w:fill="FFFFFF"/>
          <w:lang w:val="zh-CN"/>
        </w:rPr>
      </w:pPr>
      <w:r>
        <w:rPr>
          <w:rFonts w:hint="eastAsia" w:ascii="仿宋_GB2312" w:hAnsi="仿宋" w:eastAsia="仿宋_GB2312" w:cs="仿宋_GB2312"/>
          <w:sz w:val="32"/>
          <w:szCs w:val="32"/>
        </w:rPr>
        <w:t>茂县林业和草原局作为一个独立的核算机构。事业编制人数</w:t>
      </w:r>
      <w:r>
        <w:rPr>
          <w:rFonts w:hint="eastAsia" w:ascii="仿宋_GB2312" w:hAnsi="仿宋" w:cs="仿宋_GB2312"/>
          <w:sz w:val="32"/>
          <w:szCs w:val="32"/>
          <w:lang w:val="en-US" w:eastAsia="zh-CN"/>
        </w:rPr>
        <w:t>96</w:t>
      </w:r>
      <w:r>
        <w:rPr>
          <w:rFonts w:hint="eastAsia" w:ascii="仿宋_GB2312" w:hAnsi="仿宋" w:eastAsia="仿宋_GB2312" w:cs="仿宋_GB2312"/>
          <w:sz w:val="32"/>
          <w:szCs w:val="32"/>
        </w:rPr>
        <w:t>名</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事业人员</w:t>
      </w:r>
      <w:r>
        <w:rPr>
          <w:rFonts w:hint="eastAsia" w:ascii="仿宋_GB2312" w:hAnsi="仿宋" w:cs="仿宋_GB2312"/>
          <w:sz w:val="32"/>
          <w:szCs w:val="32"/>
          <w:lang w:val="en-US" w:eastAsia="zh-CN"/>
        </w:rPr>
        <w:t>83</w:t>
      </w:r>
      <w:r>
        <w:rPr>
          <w:rFonts w:hint="eastAsia" w:ascii="仿宋_GB2312" w:hAnsi="仿宋" w:eastAsia="仿宋_GB2312" w:cs="仿宋_GB2312"/>
          <w:sz w:val="32"/>
          <w:szCs w:val="32"/>
        </w:rPr>
        <w:t>名。</w:t>
      </w:r>
    </w:p>
    <w:p>
      <w:pPr>
        <w:pStyle w:val="33"/>
        <w:widowControl/>
        <w:adjustRightInd w:val="0"/>
        <w:snapToGrid w:val="0"/>
        <w:spacing w:line="580" w:lineRule="exact"/>
        <w:ind w:firstLine="640" w:firstLineChars="200"/>
        <w:contextualSpacing/>
        <w:jc w:val="left"/>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二、部门财政资金收支情况</w:t>
      </w:r>
    </w:p>
    <w:p>
      <w:pPr>
        <w:pStyle w:val="39"/>
        <w:widowControl/>
        <w:adjustRightInd w:val="0"/>
        <w:snapToGrid w:val="0"/>
        <w:spacing w:line="580" w:lineRule="exact"/>
        <w:ind w:firstLine="642" w:firstLineChars="200"/>
        <w:contextualSpacing/>
        <w:jc w:val="left"/>
        <w:rPr>
          <w:rFonts w:hint="eastAsia" w:ascii="仿宋_GB2312" w:hAnsi="宋体"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（一）部门财政资金收入情况</w:t>
      </w:r>
    </w:p>
    <w:p>
      <w:pPr>
        <w:pStyle w:val="33"/>
        <w:snapToGrid w:val="0"/>
        <w:spacing w:line="560" w:lineRule="exact"/>
        <w:ind w:firstLine="640" w:firstLineChars="200"/>
        <w:rPr>
          <w:rFonts w:ascii="仿宋_GB2312" w:hAnsi="仿宋"/>
        </w:rPr>
      </w:pPr>
      <w:r>
        <w:rPr>
          <w:rFonts w:hint="eastAsia" w:ascii="仿宋_GB2312" w:hAnsi="仿宋"/>
        </w:rPr>
        <w:t>20</w:t>
      </w:r>
      <w:r>
        <w:rPr>
          <w:rFonts w:hint="eastAsia" w:ascii="仿宋_GB2312" w:hAnsi="仿宋"/>
          <w:lang w:val="en-US" w:eastAsia="zh-CN"/>
        </w:rPr>
        <w:t>21</w:t>
      </w:r>
      <w:r>
        <w:rPr>
          <w:rFonts w:hint="eastAsia" w:ascii="仿宋_GB2312" w:hAnsi="仿宋"/>
        </w:rPr>
        <w:t>年本单位年初收入支出预算金额为</w:t>
      </w:r>
      <w:r>
        <w:rPr>
          <w:rFonts w:hint="eastAsia" w:ascii="仿宋_GB2312" w:hAnsi="仿宋"/>
          <w:lang w:val="en-US" w:eastAsia="zh-CN"/>
        </w:rPr>
        <w:t>12,471,176.00</w:t>
      </w:r>
      <w:r>
        <w:rPr>
          <w:rFonts w:hint="eastAsia" w:ascii="仿宋_GB2312" w:hAnsi="仿宋"/>
        </w:rPr>
        <w:t>元，分别为医疗卫生与计划生育支出</w:t>
      </w:r>
      <w:r>
        <w:rPr>
          <w:rFonts w:hint="eastAsia" w:ascii="仿宋_GB2312" w:hAnsi="仿宋"/>
          <w:lang w:val="en-US" w:eastAsia="zh-CN"/>
        </w:rPr>
        <w:t>790,988.00</w:t>
      </w:r>
      <w:r>
        <w:rPr>
          <w:rFonts w:hint="eastAsia" w:ascii="仿宋_GB2312" w:hAnsi="仿宋"/>
        </w:rPr>
        <w:t>元、社会保障和就业支出</w:t>
      </w:r>
      <w:r>
        <w:rPr>
          <w:rFonts w:hint="eastAsia" w:ascii="仿宋_GB2312" w:hAnsi="仿宋"/>
          <w:lang w:val="en-US" w:eastAsia="zh-CN"/>
        </w:rPr>
        <w:t>1,811,758.00</w:t>
      </w:r>
      <w:r>
        <w:rPr>
          <w:rFonts w:hint="eastAsia" w:ascii="仿宋_GB2312" w:hAnsi="仿宋"/>
        </w:rPr>
        <w:t>元、农林水支出</w:t>
      </w:r>
      <w:r>
        <w:rPr>
          <w:rFonts w:hint="eastAsia" w:ascii="仿宋_GB2312" w:hAnsi="仿宋"/>
          <w:lang w:val="en-US" w:eastAsia="zh-CN"/>
        </w:rPr>
        <w:t>8,673,638.00</w:t>
      </w:r>
      <w:r>
        <w:rPr>
          <w:rFonts w:hint="eastAsia" w:ascii="仿宋_GB2312" w:hAnsi="仿宋"/>
        </w:rPr>
        <w:t>元、住房保障支出</w:t>
      </w:r>
      <w:r>
        <w:rPr>
          <w:rFonts w:hint="eastAsia" w:ascii="仿宋_GB2312" w:hAnsi="仿宋"/>
          <w:lang w:val="en-US" w:eastAsia="zh-CN"/>
        </w:rPr>
        <w:t>1,194,792.00</w:t>
      </w:r>
      <w:r>
        <w:rPr>
          <w:rFonts w:hint="eastAsia" w:ascii="仿宋_GB2312" w:hAnsi="仿宋"/>
        </w:rPr>
        <w:t>元。</w:t>
      </w:r>
    </w:p>
    <w:p>
      <w:pPr>
        <w:pStyle w:val="33"/>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Cs w:val="32"/>
          <w:shd w:val="clear" w:color="auto" w:fill="FFFFFF"/>
          <w:lang w:val="zh-CN" w:eastAsia="zh-CN"/>
        </w:rPr>
      </w:pPr>
      <w:r>
        <w:rPr>
          <w:rFonts w:hint="eastAsia" w:ascii="仿宋_GB2312"/>
        </w:rPr>
        <w:t>202</w:t>
      </w:r>
      <w:r>
        <w:rPr>
          <w:rFonts w:hint="eastAsia" w:ascii="仿宋_GB2312"/>
          <w:lang w:val="en-US" w:eastAsia="zh-CN"/>
        </w:rPr>
        <w:t>2</w:t>
      </w:r>
      <w:r>
        <w:rPr>
          <w:rFonts w:hint="eastAsia" w:ascii="仿宋_GB2312"/>
        </w:rPr>
        <w:t>年茂县</w:t>
      </w:r>
      <w:r>
        <w:rPr>
          <w:rFonts w:hint="eastAsia" w:ascii="仿宋_GB2312"/>
          <w:lang w:eastAsia="zh-CN"/>
        </w:rPr>
        <w:t>城乡园林绿化服务中心</w:t>
      </w:r>
      <w:r>
        <w:rPr>
          <w:rFonts w:hint="eastAsia" w:ascii="仿宋_GB2312"/>
        </w:rPr>
        <w:t>部门</w:t>
      </w:r>
      <w:r>
        <w:rPr>
          <w:rFonts w:ascii="仿宋_GB2312"/>
        </w:rPr>
        <w:t>所有收入和支出均纳入部门预算管理。收入包括：一般公共预算拨款收入</w:t>
      </w:r>
      <w:r>
        <w:rPr>
          <w:rFonts w:hint="eastAsia" w:ascii="仿宋_GB2312"/>
          <w:lang w:val="en-US" w:eastAsia="zh-CN"/>
        </w:rPr>
        <w:t>11,240,869.54</w:t>
      </w:r>
      <w:r>
        <w:rPr>
          <w:rFonts w:ascii="仿宋_GB2312"/>
        </w:rPr>
        <w:t>元；支出包括：社会保障和就业支出</w:t>
      </w:r>
      <w:r>
        <w:rPr>
          <w:rFonts w:hint="eastAsia" w:ascii="仿宋_GB2312"/>
          <w:lang w:val="en-US" w:eastAsia="zh-CN"/>
        </w:rPr>
        <w:t>1,569,042.00</w:t>
      </w:r>
      <w:r>
        <w:rPr>
          <w:rFonts w:ascii="仿宋_GB2312"/>
        </w:rPr>
        <w:t>元，</w:t>
      </w:r>
      <w:r>
        <w:rPr>
          <w:rFonts w:hint="eastAsia" w:ascii="仿宋_GB2312"/>
        </w:rPr>
        <w:t>卫生健康</w:t>
      </w:r>
      <w:r>
        <w:rPr>
          <w:rFonts w:ascii="仿宋_GB2312"/>
        </w:rPr>
        <w:t>支出</w:t>
      </w:r>
      <w:r>
        <w:rPr>
          <w:rFonts w:hint="eastAsia" w:ascii="仿宋_GB2312"/>
          <w:lang w:val="en-US" w:eastAsia="zh-CN"/>
        </w:rPr>
        <w:t>747,383.65</w:t>
      </w:r>
      <w:r>
        <w:rPr>
          <w:rFonts w:ascii="仿宋_GB2312"/>
        </w:rPr>
        <w:t>元，</w:t>
      </w:r>
      <w:r>
        <w:rPr>
          <w:rFonts w:hint="eastAsia" w:ascii="仿宋_GB2312"/>
        </w:rPr>
        <w:t>农林水支出</w:t>
      </w:r>
      <w:r>
        <w:rPr>
          <w:rFonts w:hint="eastAsia" w:ascii="仿宋_GB2312"/>
          <w:lang w:val="en-US" w:eastAsia="zh-CN"/>
        </w:rPr>
        <w:t>7,842,991.89</w:t>
      </w:r>
      <w:r>
        <w:rPr>
          <w:rFonts w:hint="eastAsia" w:ascii="仿宋_GB2312"/>
        </w:rPr>
        <w:t>元，</w:t>
      </w:r>
      <w:r>
        <w:rPr>
          <w:rFonts w:ascii="仿宋_GB2312"/>
        </w:rPr>
        <w:t>住房保障支出</w:t>
      </w:r>
      <w:r>
        <w:rPr>
          <w:rFonts w:hint="eastAsia" w:ascii="仿宋_GB2312"/>
          <w:lang w:val="en-US" w:eastAsia="zh-CN"/>
        </w:rPr>
        <w:t>1,081,452.00</w:t>
      </w:r>
      <w:r>
        <w:rPr>
          <w:rFonts w:ascii="仿宋_GB2312"/>
        </w:rPr>
        <w:t>元。</w:t>
      </w:r>
      <w:r>
        <w:rPr>
          <w:rFonts w:hint="eastAsia" w:ascii="仿宋_GB2312"/>
        </w:rPr>
        <w:t>茂县</w:t>
      </w:r>
      <w:r>
        <w:rPr>
          <w:rFonts w:hint="eastAsia" w:ascii="仿宋_GB2312"/>
          <w:lang w:eastAsia="zh-CN"/>
        </w:rPr>
        <w:t>城乡园林绿化服务中心</w:t>
      </w:r>
      <w:r>
        <w:rPr>
          <w:rFonts w:ascii="仿宋_GB2312"/>
        </w:rPr>
        <w:t>20</w:t>
      </w:r>
      <w:r>
        <w:rPr>
          <w:rFonts w:hint="eastAsia" w:ascii="仿宋_GB2312"/>
        </w:rPr>
        <w:t>2</w:t>
      </w:r>
      <w:r>
        <w:rPr>
          <w:rFonts w:hint="eastAsia" w:ascii="仿宋_GB2312"/>
          <w:lang w:val="en-US" w:eastAsia="zh-CN"/>
        </w:rPr>
        <w:t>2</w:t>
      </w:r>
      <w:r>
        <w:rPr>
          <w:rFonts w:ascii="仿宋_GB2312"/>
        </w:rPr>
        <w:t>年收支总预算</w:t>
      </w:r>
      <w:r>
        <w:rPr>
          <w:rFonts w:hint="eastAsia" w:ascii="仿宋_GB2312"/>
          <w:lang w:val="en-US" w:eastAsia="zh-CN"/>
        </w:rPr>
        <w:t>11,240,869.54</w:t>
      </w:r>
      <w:r>
        <w:rPr>
          <w:rFonts w:ascii="仿宋_GB2312"/>
        </w:rPr>
        <w:t>元,比20</w:t>
      </w:r>
      <w:r>
        <w:rPr>
          <w:rFonts w:hint="eastAsia" w:ascii="仿宋_GB2312"/>
          <w:lang w:val="en-US" w:eastAsia="zh-CN"/>
        </w:rPr>
        <w:t>21</w:t>
      </w:r>
      <w:r>
        <w:rPr>
          <w:rFonts w:ascii="仿宋_GB2312"/>
        </w:rPr>
        <w:t>年收支预算总数</w:t>
      </w:r>
      <w:r>
        <w:rPr>
          <w:rFonts w:hint="eastAsia" w:ascii="仿宋_GB2312"/>
        </w:rPr>
        <w:t>减少</w:t>
      </w:r>
      <w:r>
        <w:rPr>
          <w:rFonts w:hint="eastAsia" w:ascii="仿宋_GB2312"/>
          <w:lang w:val="en-US" w:eastAsia="zh-CN"/>
        </w:rPr>
        <w:t>1,230,306.46</w:t>
      </w:r>
      <w:r>
        <w:rPr>
          <w:rFonts w:ascii="仿宋_GB2312"/>
        </w:rPr>
        <w:t>元，主要原因:</w:t>
      </w:r>
      <w:r>
        <w:rPr>
          <w:rFonts w:hint="eastAsia" w:ascii="仿宋_GB2312"/>
        </w:rPr>
        <w:t>压缩预算经费支出。</w:t>
      </w:r>
    </w:p>
    <w:p>
      <w:pPr>
        <w:pStyle w:val="39"/>
        <w:widowControl/>
        <w:numPr>
          <w:ilvl w:val="0"/>
          <w:numId w:val="2"/>
        </w:numPr>
        <w:adjustRightInd w:val="0"/>
        <w:snapToGrid w:val="0"/>
        <w:spacing w:line="580" w:lineRule="exact"/>
        <w:ind w:firstLine="642" w:firstLineChars="200"/>
        <w:contextualSpacing/>
        <w:jc w:val="left"/>
        <w:rPr>
          <w:rFonts w:hint="eastAsia" w:ascii="仿宋_GB2312" w:hAnsi="宋体"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部门财政资金支出情况</w:t>
      </w:r>
    </w:p>
    <w:p>
      <w:pPr>
        <w:pStyle w:val="3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rPr>
      </w:pPr>
      <w:r>
        <w:rPr>
          <w:rFonts w:hint="eastAsia" w:ascii="仿宋_GB2312" w:hAnsi="仿宋"/>
        </w:rPr>
        <w:t>20</w:t>
      </w:r>
      <w:r>
        <w:rPr>
          <w:rFonts w:hint="eastAsia" w:ascii="仿宋_GB2312" w:hAnsi="仿宋"/>
          <w:lang w:val="en-US" w:eastAsia="zh-CN"/>
        </w:rPr>
        <w:t>21</w:t>
      </w:r>
      <w:r>
        <w:rPr>
          <w:rFonts w:hint="eastAsia" w:ascii="仿宋_GB2312" w:hAnsi="仿宋"/>
        </w:rPr>
        <w:t>年</w:t>
      </w:r>
      <w:r>
        <w:rPr>
          <w:rFonts w:hint="eastAsia" w:ascii="仿宋_GB2312" w:hAnsi="仿宋"/>
          <w:lang w:eastAsia="zh-CN"/>
        </w:rPr>
        <w:t>茂县城乡园林绿化服务中心</w:t>
      </w:r>
      <w:r>
        <w:rPr>
          <w:rFonts w:hint="eastAsia" w:ascii="仿宋_GB2312" w:hAnsi="仿宋"/>
        </w:rPr>
        <w:t>年初收入支出预算金额为</w:t>
      </w:r>
      <w:r>
        <w:rPr>
          <w:rFonts w:hint="eastAsia" w:ascii="仿宋_GB2312" w:hAnsi="仿宋"/>
          <w:lang w:val="en-US" w:eastAsia="zh-CN"/>
        </w:rPr>
        <w:t>12,471,176.00</w:t>
      </w:r>
      <w:r>
        <w:rPr>
          <w:rFonts w:hint="eastAsia" w:ascii="仿宋_GB2312" w:hAnsi="仿宋"/>
        </w:rPr>
        <w:t>元，分别为医疗卫生与计划生育支出</w:t>
      </w:r>
      <w:r>
        <w:rPr>
          <w:rFonts w:hint="eastAsia" w:ascii="仿宋_GB2312" w:hAnsi="仿宋"/>
          <w:lang w:val="en-US" w:eastAsia="zh-CN"/>
        </w:rPr>
        <w:t>790,988.00</w:t>
      </w:r>
      <w:r>
        <w:rPr>
          <w:rFonts w:hint="eastAsia" w:ascii="仿宋_GB2312" w:hAnsi="仿宋"/>
        </w:rPr>
        <w:t>元、社会保障和就业支出</w:t>
      </w:r>
      <w:r>
        <w:rPr>
          <w:rFonts w:hint="eastAsia" w:ascii="仿宋_GB2312" w:hAnsi="仿宋"/>
          <w:lang w:val="en-US" w:eastAsia="zh-CN"/>
        </w:rPr>
        <w:t>1,811,758.00</w:t>
      </w:r>
      <w:r>
        <w:rPr>
          <w:rFonts w:hint="eastAsia" w:ascii="仿宋_GB2312" w:hAnsi="仿宋"/>
        </w:rPr>
        <w:t>元、农林水支出</w:t>
      </w:r>
      <w:r>
        <w:rPr>
          <w:rFonts w:hint="eastAsia" w:ascii="仿宋_GB2312" w:hAnsi="仿宋"/>
          <w:lang w:val="en-US" w:eastAsia="zh-CN"/>
        </w:rPr>
        <w:t>8,673,638.00</w:t>
      </w:r>
      <w:r>
        <w:rPr>
          <w:rFonts w:hint="eastAsia" w:ascii="仿宋_GB2312" w:hAnsi="仿宋"/>
        </w:rPr>
        <w:t>元、住房保障支出</w:t>
      </w:r>
      <w:r>
        <w:rPr>
          <w:rFonts w:hint="eastAsia" w:ascii="仿宋_GB2312" w:hAnsi="仿宋"/>
          <w:lang w:val="en-US" w:eastAsia="zh-CN"/>
        </w:rPr>
        <w:t>1,194,792.00</w:t>
      </w:r>
      <w:r>
        <w:rPr>
          <w:rFonts w:hint="eastAsia" w:ascii="仿宋_GB2312" w:hAnsi="仿宋"/>
        </w:rPr>
        <w:t>元。决算支出金额为</w:t>
      </w:r>
      <w:r>
        <w:rPr>
          <w:rFonts w:hint="eastAsia" w:ascii="仿宋_GB2312" w:hAnsi="仿宋"/>
          <w:lang w:val="en-US" w:eastAsia="zh-CN"/>
        </w:rPr>
        <w:t>17,957,751.57</w:t>
      </w:r>
      <w:r>
        <w:rPr>
          <w:rFonts w:hint="eastAsia" w:ascii="仿宋_GB2312" w:hAnsi="仿宋"/>
        </w:rPr>
        <w:t>元，分别为</w:t>
      </w:r>
      <w:r>
        <w:rPr>
          <w:rFonts w:hint="eastAsia" w:ascii="仿宋_GB2312" w:hAnsi="仿宋"/>
          <w:lang w:eastAsia="zh-CN"/>
        </w:rPr>
        <w:t>卫生健康支出</w:t>
      </w:r>
      <w:r>
        <w:rPr>
          <w:rFonts w:hint="eastAsia" w:ascii="仿宋_GB2312" w:hAnsi="仿宋"/>
          <w:color w:val="auto"/>
          <w:lang w:val="en-US" w:eastAsia="zh-CN"/>
        </w:rPr>
        <w:t>816,762.06</w:t>
      </w:r>
      <w:r>
        <w:rPr>
          <w:rFonts w:hint="eastAsia" w:ascii="仿宋_GB2312" w:hAnsi="仿宋"/>
          <w:color w:val="auto"/>
        </w:rPr>
        <w:t>元、社会保障和就业支出</w:t>
      </w:r>
      <w:r>
        <w:rPr>
          <w:rFonts w:hint="eastAsia" w:ascii="仿宋_GB2312" w:hAnsi="仿宋"/>
          <w:color w:val="auto"/>
          <w:lang w:val="en-US" w:eastAsia="zh-CN"/>
        </w:rPr>
        <w:t>1,680,729.12</w:t>
      </w:r>
      <w:r>
        <w:rPr>
          <w:rFonts w:hint="eastAsia" w:ascii="仿宋_GB2312" w:hAnsi="仿宋"/>
          <w:color w:val="auto"/>
        </w:rPr>
        <w:t>元、农林水支出</w:t>
      </w:r>
      <w:r>
        <w:rPr>
          <w:rFonts w:hint="eastAsia" w:ascii="仿宋_GB2312" w:hAnsi="仿宋"/>
          <w:color w:val="auto"/>
          <w:lang w:val="en-US" w:eastAsia="zh-CN"/>
        </w:rPr>
        <w:t>14,361,980.39</w:t>
      </w:r>
      <w:r>
        <w:rPr>
          <w:rFonts w:hint="eastAsia" w:ascii="仿宋_GB2312" w:hAnsi="仿宋"/>
          <w:color w:val="auto"/>
        </w:rPr>
        <w:t>元、住房保障支出</w:t>
      </w:r>
      <w:r>
        <w:rPr>
          <w:rFonts w:hint="eastAsia" w:ascii="仿宋_GB2312" w:hAnsi="仿宋"/>
          <w:color w:val="auto"/>
          <w:lang w:val="en-US" w:eastAsia="zh-CN"/>
        </w:rPr>
        <w:t>1,098,280.00</w:t>
      </w:r>
      <w:r>
        <w:rPr>
          <w:rFonts w:hint="eastAsia" w:ascii="仿宋_GB2312" w:hAnsi="仿宋"/>
          <w:color w:val="auto"/>
        </w:rPr>
        <w:t>元,支出比预算多</w:t>
      </w:r>
      <w:r>
        <w:rPr>
          <w:rFonts w:hint="eastAsia" w:ascii="仿宋_GB2312" w:hAnsi="仿宋"/>
          <w:color w:val="auto"/>
          <w:lang w:val="en-US" w:eastAsia="zh-CN"/>
        </w:rPr>
        <w:t>5,486,575.57</w:t>
      </w:r>
      <w:r>
        <w:rPr>
          <w:rFonts w:hint="eastAsia" w:ascii="仿宋_GB2312" w:hAnsi="仿宋"/>
          <w:color w:val="auto"/>
        </w:rPr>
        <w:t>元。支出数</w:t>
      </w:r>
      <w:r>
        <w:rPr>
          <w:rFonts w:hint="eastAsia" w:ascii="仿宋_GB2312" w:hAnsi="仿宋"/>
        </w:rPr>
        <w:t>增加原因主要是项目未纳入年初预算导致。</w:t>
      </w:r>
    </w:p>
    <w:p>
      <w:pPr>
        <w:pStyle w:val="33"/>
        <w:spacing w:line="560" w:lineRule="exact"/>
        <w:ind w:firstLine="640" w:firstLineChars="200"/>
        <w:rPr>
          <w:rFonts w:hint="eastAsia" w:ascii="仿宋_GB2312" w:hAnsi="宋体" w:eastAsia="仿宋_GB2312" w:cs="宋体"/>
          <w:color w:val="000000"/>
          <w:kern w:val="0"/>
          <w:szCs w:val="32"/>
          <w:shd w:val="clear" w:color="auto" w:fill="FFFFFF"/>
          <w:lang w:val="en-US" w:eastAsia="zh-CN"/>
        </w:rPr>
      </w:pPr>
      <w:r>
        <w:rPr>
          <w:rFonts w:hint="eastAsia" w:ascii="仿宋_GB2312"/>
          <w:color w:val="000000" w:themeColor="text1"/>
        </w:rPr>
        <w:t>202</w:t>
      </w:r>
      <w:r>
        <w:rPr>
          <w:rFonts w:hint="eastAsia" w:ascii="仿宋_GB2312"/>
          <w:color w:val="000000" w:themeColor="text1"/>
          <w:lang w:val="en-US" w:eastAsia="zh-CN"/>
        </w:rPr>
        <w:t>2</w:t>
      </w:r>
      <w:r>
        <w:rPr>
          <w:rFonts w:ascii="仿宋_GB2312"/>
          <w:color w:val="000000" w:themeColor="text1"/>
        </w:rPr>
        <w:t>年财政拨款收支总预算</w:t>
      </w:r>
      <w:r>
        <w:rPr>
          <w:rFonts w:hint="eastAsia" w:ascii="仿宋_GB2312" w:hAnsi="仿宋"/>
          <w:lang w:val="en-US" w:eastAsia="zh-CN"/>
        </w:rPr>
        <w:t>12,471,176.00</w:t>
      </w:r>
      <w:r>
        <w:rPr>
          <w:rFonts w:hint="eastAsia" w:ascii="仿宋_GB2312" w:hAnsi="仿宋"/>
        </w:rPr>
        <w:t>元，分别为医疗卫生与计划生育支出</w:t>
      </w:r>
      <w:r>
        <w:rPr>
          <w:rFonts w:hint="eastAsia" w:ascii="仿宋_GB2312" w:hAnsi="仿宋"/>
          <w:lang w:val="en-US" w:eastAsia="zh-CN"/>
        </w:rPr>
        <w:t>790,988.00</w:t>
      </w:r>
      <w:r>
        <w:rPr>
          <w:rFonts w:hint="eastAsia" w:ascii="仿宋_GB2312" w:hAnsi="仿宋"/>
        </w:rPr>
        <w:t>元、社会保障和就业支出</w:t>
      </w:r>
      <w:r>
        <w:rPr>
          <w:rFonts w:hint="eastAsia" w:ascii="仿宋_GB2312" w:hAnsi="仿宋"/>
          <w:lang w:val="en-US" w:eastAsia="zh-CN"/>
        </w:rPr>
        <w:t>1,811,758.00</w:t>
      </w:r>
      <w:r>
        <w:rPr>
          <w:rFonts w:hint="eastAsia" w:ascii="仿宋_GB2312" w:hAnsi="仿宋"/>
        </w:rPr>
        <w:t>元、农林水支出</w:t>
      </w:r>
      <w:r>
        <w:rPr>
          <w:rFonts w:hint="eastAsia" w:ascii="仿宋_GB2312" w:hAnsi="仿宋"/>
          <w:lang w:val="en-US" w:eastAsia="zh-CN"/>
        </w:rPr>
        <w:t>8,673,638.00</w:t>
      </w:r>
      <w:r>
        <w:rPr>
          <w:rFonts w:hint="eastAsia" w:ascii="仿宋_GB2312" w:hAnsi="仿宋"/>
        </w:rPr>
        <w:t>元、住房保障支出</w:t>
      </w:r>
      <w:r>
        <w:rPr>
          <w:rFonts w:hint="eastAsia" w:ascii="仿宋_GB2312" w:hAnsi="仿宋"/>
          <w:lang w:val="en-US" w:eastAsia="zh-CN"/>
        </w:rPr>
        <w:t>1,194,792.00</w:t>
      </w:r>
      <w:r>
        <w:rPr>
          <w:rFonts w:hint="eastAsia" w:ascii="仿宋_GB2312" w:hAnsi="仿宋"/>
        </w:rPr>
        <w:t>元</w:t>
      </w:r>
      <w:r>
        <w:rPr>
          <w:rFonts w:ascii="仿宋_GB2312"/>
        </w:rPr>
        <w:t>。</w:t>
      </w:r>
      <w:r>
        <w:rPr>
          <w:rFonts w:hint="eastAsia" w:ascii="仿宋_GB2312"/>
          <w:lang w:val="en-US" w:eastAsia="zh-CN"/>
        </w:rPr>
        <w:t>2022年1月至6月工资福利支出7,155,816.74</w:t>
      </w:r>
      <w:r>
        <w:rPr>
          <w:rFonts w:ascii="仿宋_GB2312"/>
        </w:rPr>
        <w:t>元</w:t>
      </w:r>
      <w:r>
        <w:rPr>
          <w:rFonts w:hint="eastAsia" w:ascii="仿宋_GB2312"/>
          <w:lang w:eastAsia="zh-CN"/>
        </w:rPr>
        <w:t>，商品和服务支出</w:t>
      </w:r>
      <w:r>
        <w:rPr>
          <w:rFonts w:hint="eastAsia" w:ascii="仿宋_GB2312"/>
          <w:lang w:val="en-US" w:eastAsia="zh-CN"/>
        </w:rPr>
        <w:t>278,953.68元，对个人和家庭补助支出104,531.00元。</w:t>
      </w:r>
    </w:p>
    <w:p>
      <w:pPr>
        <w:pStyle w:val="33"/>
        <w:widowControl/>
        <w:adjustRightInd w:val="0"/>
        <w:snapToGrid w:val="0"/>
        <w:spacing w:line="580" w:lineRule="exact"/>
        <w:ind w:firstLine="640" w:firstLineChars="200"/>
        <w:contextualSpacing/>
        <w:jc w:val="left"/>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三、部门整体预算绩效管理情况（根据适用指标体系进行调整，涉及到有专项预算的部门，专项预算项目自评报告根据要求另行单独报送）</w:t>
      </w:r>
    </w:p>
    <w:p>
      <w:pPr>
        <w:pStyle w:val="39"/>
        <w:widowControl/>
        <w:adjustRightInd w:val="0"/>
        <w:snapToGrid w:val="0"/>
        <w:spacing w:line="580" w:lineRule="exact"/>
        <w:ind w:firstLine="642" w:firstLineChars="200"/>
        <w:contextualSpacing/>
        <w:jc w:val="left"/>
        <w:rPr>
          <w:rFonts w:ascii="仿宋_GB2312" w:hAnsi="宋体"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（一）部门预算项目绩效管理</w:t>
      </w:r>
    </w:p>
    <w:p>
      <w:pPr>
        <w:pStyle w:val="33"/>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Cs w:val="32"/>
          <w:shd w:val="clear" w:color="auto" w:fill="FFFFFF"/>
          <w:lang w:val="zh-CN" w:eastAsia="zh-CN"/>
        </w:rPr>
      </w:pPr>
      <w:r>
        <w:rPr>
          <w:rFonts w:hint="eastAsia" w:ascii="仿宋_GB2312"/>
        </w:rPr>
        <w:t>202</w:t>
      </w:r>
      <w:r>
        <w:rPr>
          <w:rFonts w:hint="eastAsia" w:ascii="仿宋_GB2312"/>
          <w:lang w:val="en-US" w:eastAsia="zh-CN"/>
        </w:rPr>
        <w:t>2</w:t>
      </w:r>
      <w:r>
        <w:rPr>
          <w:rFonts w:hint="eastAsia" w:ascii="仿宋_GB2312"/>
        </w:rPr>
        <w:t>年茂县</w:t>
      </w:r>
      <w:r>
        <w:rPr>
          <w:rFonts w:hint="eastAsia" w:ascii="仿宋_GB2312"/>
          <w:lang w:eastAsia="zh-CN"/>
        </w:rPr>
        <w:t>城乡园林绿化服务中心</w:t>
      </w:r>
      <w:r>
        <w:rPr>
          <w:rFonts w:hint="eastAsia" w:ascii="仿宋_GB2312"/>
        </w:rPr>
        <w:t>部门</w:t>
      </w:r>
      <w:r>
        <w:rPr>
          <w:rFonts w:ascii="仿宋_GB2312"/>
        </w:rPr>
        <w:t>所有收入和支出均纳入部门预算管理。收入包括：一般公共预算拨款收入</w:t>
      </w:r>
      <w:r>
        <w:rPr>
          <w:rFonts w:hint="eastAsia" w:ascii="仿宋_GB2312"/>
          <w:lang w:val="en-US" w:eastAsia="zh-CN"/>
        </w:rPr>
        <w:t>11,240,869.54</w:t>
      </w:r>
      <w:r>
        <w:rPr>
          <w:rFonts w:ascii="仿宋_GB2312"/>
        </w:rPr>
        <w:t>元；支出包括：社会保障和就业支出</w:t>
      </w:r>
      <w:r>
        <w:rPr>
          <w:rFonts w:hint="eastAsia" w:ascii="仿宋_GB2312"/>
          <w:lang w:val="en-US" w:eastAsia="zh-CN"/>
        </w:rPr>
        <w:t>1,569,042.00</w:t>
      </w:r>
      <w:r>
        <w:rPr>
          <w:rFonts w:ascii="仿宋_GB2312"/>
        </w:rPr>
        <w:t>元，</w:t>
      </w:r>
      <w:r>
        <w:rPr>
          <w:rFonts w:hint="eastAsia" w:ascii="仿宋_GB2312"/>
        </w:rPr>
        <w:t>卫生健康</w:t>
      </w:r>
      <w:r>
        <w:rPr>
          <w:rFonts w:ascii="仿宋_GB2312"/>
        </w:rPr>
        <w:t>支出</w:t>
      </w:r>
      <w:r>
        <w:rPr>
          <w:rFonts w:hint="eastAsia" w:ascii="仿宋_GB2312"/>
          <w:lang w:val="en-US" w:eastAsia="zh-CN"/>
        </w:rPr>
        <w:t>747,383.65</w:t>
      </w:r>
      <w:r>
        <w:rPr>
          <w:rFonts w:ascii="仿宋_GB2312"/>
        </w:rPr>
        <w:t>元，</w:t>
      </w:r>
      <w:r>
        <w:rPr>
          <w:rFonts w:hint="eastAsia" w:ascii="仿宋_GB2312"/>
        </w:rPr>
        <w:t>农林水支出</w:t>
      </w:r>
      <w:r>
        <w:rPr>
          <w:rFonts w:hint="eastAsia" w:ascii="仿宋_GB2312"/>
          <w:lang w:val="en-US" w:eastAsia="zh-CN"/>
        </w:rPr>
        <w:t>7,842,991.89</w:t>
      </w:r>
      <w:r>
        <w:rPr>
          <w:rFonts w:hint="eastAsia" w:ascii="仿宋_GB2312"/>
        </w:rPr>
        <w:t>元，</w:t>
      </w:r>
      <w:r>
        <w:rPr>
          <w:rFonts w:ascii="仿宋_GB2312"/>
        </w:rPr>
        <w:t>住房保障支出</w:t>
      </w:r>
      <w:r>
        <w:rPr>
          <w:rFonts w:hint="eastAsia" w:ascii="仿宋_GB2312"/>
          <w:lang w:val="en-US" w:eastAsia="zh-CN"/>
        </w:rPr>
        <w:t>1,081,452.00</w:t>
      </w:r>
      <w:r>
        <w:rPr>
          <w:rFonts w:ascii="仿宋_GB2312"/>
        </w:rPr>
        <w:t>元。</w:t>
      </w:r>
      <w:r>
        <w:rPr>
          <w:rFonts w:hint="eastAsia" w:ascii="仿宋_GB2312"/>
        </w:rPr>
        <w:t>茂县</w:t>
      </w:r>
      <w:r>
        <w:rPr>
          <w:rFonts w:hint="eastAsia" w:ascii="仿宋_GB2312"/>
          <w:lang w:eastAsia="zh-CN"/>
        </w:rPr>
        <w:t>城乡园林绿化服务中心</w:t>
      </w:r>
      <w:r>
        <w:rPr>
          <w:rFonts w:ascii="仿宋_GB2312"/>
        </w:rPr>
        <w:t>20</w:t>
      </w:r>
      <w:r>
        <w:rPr>
          <w:rFonts w:hint="eastAsia" w:ascii="仿宋_GB2312"/>
        </w:rPr>
        <w:t>2</w:t>
      </w:r>
      <w:r>
        <w:rPr>
          <w:rFonts w:hint="eastAsia" w:ascii="仿宋_GB2312"/>
          <w:lang w:val="en-US" w:eastAsia="zh-CN"/>
        </w:rPr>
        <w:t>2</w:t>
      </w:r>
      <w:r>
        <w:rPr>
          <w:rFonts w:ascii="仿宋_GB2312"/>
        </w:rPr>
        <w:t>年收支总预算</w:t>
      </w:r>
      <w:r>
        <w:rPr>
          <w:rFonts w:hint="eastAsia" w:ascii="仿宋_GB2312"/>
          <w:lang w:val="en-US" w:eastAsia="zh-CN"/>
        </w:rPr>
        <w:t>11,240,869.54</w:t>
      </w:r>
      <w:r>
        <w:rPr>
          <w:rFonts w:ascii="仿宋_GB2312"/>
        </w:rPr>
        <w:t>元,比20</w:t>
      </w:r>
      <w:r>
        <w:rPr>
          <w:rFonts w:hint="eastAsia" w:ascii="仿宋_GB2312"/>
          <w:lang w:val="en-US" w:eastAsia="zh-CN"/>
        </w:rPr>
        <w:t>21</w:t>
      </w:r>
      <w:r>
        <w:rPr>
          <w:rFonts w:ascii="仿宋_GB2312"/>
        </w:rPr>
        <w:t>年收支预算总数</w:t>
      </w:r>
      <w:r>
        <w:rPr>
          <w:rFonts w:hint="eastAsia" w:ascii="仿宋_GB2312"/>
        </w:rPr>
        <w:t>减少</w:t>
      </w:r>
      <w:r>
        <w:rPr>
          <w:rFonts w:hint="eastAsia" w:ascii="仿宋_GB2312"/>
          <w:lang w:val="en-US" w:eastAsia="zh-CN"/>
        </w:rPr>
        <w:t>1,230,306.46</w:t>
      </w:r>
      <w:r>
        <w:rPr>
          <w:rFonts w:ascii="仿宋_GB2312"/>
        </w:rPr>
        <w:t>元，主要原因:</w:t>
      </w:r>
      <w:r>
        <w:rPr>
          <w:rFonts w:hint="eastAsia" w:ascii="仿宋_GB2312"/>
        </w:rPr>
        <w:t>压缩预算经费支出。</w:t>
      </w:r>
    </w:p>
    <w:p>
      <w:pPr>
        <w:pStyle w:val="33"/>
        <w:spacing w:line="560" w:lineRule="exact"/>
        <w:ind w:firstLine="640" w:firstLineChars="200"/>
        <w:rPr>
          <w:rFonts w:hint="eastAsia" w:ascii="仿宋_GB2312" w:hAnsi="宋体"/>
          <w:color w:val="333333"/>
        </w:rPr>
      </w:pPr>
      <w:r>
        <w:rPr>
          <w:rFonts w:hint="eastAsia" w:ascii="仿宋_GB2312" w:hAnsi="宋体" w:cs="宋体"/>
          <w:kern w:val="0"/>
          <w:lang w:eastAsia="zh-CN"/>
        </w:rPr>
        <w:t>茂县林业和草原</w:t>
      </w:r>
      <w:r>
        <w:rPr>
          <w:rFonts w:hint="eastAsia" w:ascii="仿宋_GB2312" w:hAnsi="宋体" w:cs="宋体"/>
          <w:kern w:val="0"/>
        </w:rPr>
        <w:t>局</w:t>
      </w:r>
      <w:r>
        <w:rPr>
          <w:rFonts w:hint="eastAsia" w:ascii="仿宋_GB2312" w:hAnsi="宋体"/>
          <w:color w:val="333333"/>
        </w:rPr>
        <w:t>部门预算安排支出主要用于保障该部门机构正常运转、完成日常工作任务以及</w:t>
      </w:r>
      <w:r>
        <w:rPr>
          <w:rFonts w:hint="eastAsia" w:ascii="仿宋_GB2312" w:hAnsi="宋体"/>
        </w:rPr>
        <w:t>承担林业事业发展相关工作</w:t>
      </w:r>
      <w:r>
        <w:rPr>
          <w:rFonts w:hint="eastAsia" w:ascii="仿宋_GB2312" w:hAnsi="宋体"/>
          <w:color w:val="333333"/>
        </w:rPr>
        <w:t>。</w:t>
      </w:r>
    </w:p>
    <w:p>
      <w:pPr>
        <w:pStyle w:val="33"/>
        <w:spacing w:line="560" w:lineRule="exact"/>
        <w:ind w:firstLine="640" w:firstLineChars="200"/>
        <w:rPr>
          <w:rFonts w:hint="eastAsia" w:ascii="仿宋_GB2312" w:hAnsi="宋体"/>
          <w:color w:val="333333"/>
        </w:rPr>
      </w:pPr>
      <w:r>
        <w:rPr>
          <w:rFonts w:hint="eastAsia" w:ascii="仿宋_GB2312" w:hAnsi="宋体"/>
          <w:color w:val="333333"/>
        </w:rPr>
        <w:t>基本支出，是用于保障林业局机关、下属事业单位等机构正常运转的日常支出，包括基本工资、津贴补贴等人员经费以及办公费、印刷费、水电费等日常公用经费。</w:t>
      </w:r>
    </w:p>
    <w:p>
      <w:pPr>
        <w:pStyle w:val="33"/>
        <w:spacing w:line="560" w:lineRule="exact"/>
        <w:ind w:firstLine="640" w:firstLineChars="200"/>
        <w:rPr>
          <w:rFonts w:ascii="仿宋_GB2312"/>
        </w:rPr>
      </w:pPr>
      <w:r>
        <w:rPr>
          <w:rFonts w:hint="eastAsia" w:ascii="仿宋_GB2312" w:hAnsi="宋体"/>
          <w:color w:val="333333"/>
        </w:rPr>
        <w:t>项目支出，是用于保障林业局机关、下属事业单位等机构为完成特定的行政工作任务或事业发展目标，用于专项业务工作的经费支出。</w:t>
      </w:r>
    </w:p>
    <w:p>
      <w:pPr>
        <w:pStyle w:val="39"/>
        <w:widowControl/>
        <w:adjustRightInd w:val="0"/>
        <w:snapToGrid w:val="0"/>
        <w:spacing w:line="580" w:lineRule="exact"/>
        <w:ind w:firstLine="321" w:firstLineChars="100"/>
        <w:contextualSpacing/>
        <w:jc w:val="left"/>
        <w:rPr>
          <w:rFonts w:ascii="仿宋_GB2312" w:hAnsi="宋体"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（二）结果应用情况</w:t>
      </w:r>
    </w:p>
    <w:p>
      <w:pPr>
        <w:pStyle w:val="33"/>
        <w:widowControl/>
        <w:adjustRightInd w:val="0"/>
        <w:snapToGrid w:val="0"/>
        <w:spacing w:line="580" w:lineRule="exact"/>
        <w:ind w:firstLine="640" w:firstLineChars="200"/>
        <w:contextualSpacing/>
        <w:jc w:val="left"/>
        <w:rPr>
          <w:rFonts w:ascii="仿宋_GB2312" w:hAnsi="宋体"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包括绩效自评公开、评价结果整改和应用林草局</w:t>
      </w:r>
      <w:r>
        <w:rPr>
          <w:rFonts w:hint="eastAsia" w:ascii="仿宋_GB2312" w:eastAsia="仿宋_GB2312"/>
          <w:sz w:val="32"/>
          <w:szCs w:val="32"/>
        </w:rPr>
        <w:t>对部门预算绩效管理工作开展情况认真进行了自查自评。将评价结果作为预算安排的重要依据</w:t>
      </w:r>
      <w:r>
        <w:rPr>
          <w:rFonts w:hint="eastAsia" w:ascii="仿宋_GB2312" w:eastAsia="仿宋_GB2312"/>
          <w:sz w:val="32"/>
          <w:szCs w:val="32"/>
          <w:lang w:val="en-US" w:eastAsia="zh-CN"/>
        </w:rPr>
        <w:t>,</w:t>
      </w:r>
      <w:r>
        <w:rPr>
          <w:rFonts w:hint="eastAsia" w:ascii="仿宋_GB2312" w:eastAsia="仿宋_GB2312"/>
          <w:sz w:val="32"/>
          <w:szCs w:val="32"/>
        </w:rPr>
        <w:t>参照项目年度预算执行情况</w:t>
      </w:r>
      <w:r>
        <w:rPr>
          <w:rFonts w:hint="eastAsia" w:ascii="仿宋_GB2312" w:eastAsia="仿宋_GB2312"/>
          <w:sz w:val="32"/>
          <w:szCs w:val="32"/>
          <w:lang w:val="en-US" w:eastAsia="zh-CN"/>
        </w:rPr>
        <w:t>,</w:t>
      </w:r>
      <w:r>
        <w:rPr>
          <w:rFonts w:hint="eastAsia" w:ascii="仿宋_GB2312" w:eastAsia="仿宋_GB2312"/>
          <w:sz w:val="32"/>
          <w:szCs w:val="32"/>
        </w:rPr>
        <w:t>保障重点支出</w:t>
      </w:r>
      <w:r>
        <w:rPr>
          <w:rFonts w:hint="eastAsia" w:ascii="仿宋_GB2312" w:eastAsia="仿宋_GB2312"/>
          <w:sz w:val="32"/>
          <w:szCs w:val="32"/>
          <w:lang w:val="en-US" w:eastAsia="zh-CN"/>
        </w:rPr>
        <w:t>,</w:t>
      </w:r>
      <w:r>
        <w:rPr>
          <w:rFonts w:hint="eastAsia" w:ascii="仿宋_GB2312" w:eastAsia="仿宋_GB2312"/>
          <w:sz w:val="32"/>
          <w:szCs w:val="32"/>
        </w:rPr>
        <w:t>调整支出结构</w:t>
      </w:r>
      <w:r>
        <w:rPr>
          <w:rFonts w:hint="eastAsia" w:ascii="仿宋_GB2312" w:eastAsia="仿宋_GB2312"/>
          <w:sz w:val="32"/>
          <w:szCs w:val="32"/>
          <w:lang w:val="en-US" w:eastAsia="zh-CN"/>
        </w:rPr>
        <w:t>,</w:t>
      </w:r>
      <w:r>
        <w:rPr>
          <w:rFonts w:hint="eastAsia" w:ascii="仿宋_GB2312" w:eastAsia="仿宋_GB2312"/>
          <w:sz w:val="32"/>
          <w:szCs w:val="32"/>
        </w:rPr>
        <w:t>优化财政资金配置</w:t>
      </w:r>
      <w:r>
        <w:rPr>
          <w:rFonts w:hint="eastAsia" w:ascii="仿宋_GB2312" w:eastAsia="仿宋_GB2312"/>
          <w:sz w:val="32"/>
          <w:szCs w:val="32"/>
          <w:lang w:val="en-US" w:eastAsia="zh-CN"/>
        </w:rPr>
        <w:t>,</w:t>
      </w:r>
      <w:r>
        <w:rPr>
          <w:rFonts w:hint="eastAsia" w:ascii="仿宋_GB2312" w:eastAsia="仿宋_GB2312"/>
          <w:sz w:val="32"/>
          <w:szCs w:val="32"/>
        </w:rPr>
        <w:t>不断强化绩效理念</w:t>
      </w:r>
      <w:r>
        <w:rPr>
          <w:rFonts w:hint="eastAsia" w:ascii="仿宋_GB2312" w:eastAsia="仿宋_GB2312"/>
          <w:sz w:val="32"/>
          <w:szCs w:val="32"/>
          <w:lang w:val="en-US" w:eastAsia="zh-CN"/>
        </w:rPr>
        <w:t>,</w:t>
      </w:r>
      <w:r>
        <w:rPr>
          <w:rFonts w:hint="eastAsia" w:ascii="仿宋_GB2312" w:eastAsia="仿宋_GB2312"/>
          <w:sz w:val="32"/>
          <w:szCs w:val="32"/>
        </w:rPr>
        <w:t>推动我单位整体绩效管理水平不断提升。</w:t>
      </w:r>
    </w:p>
    <w:p>
      <w:pPr>
        <w:pStyle w:val="39"/>
        <w:widowControl/>
        <w:numPr>
          <w:ilvl w:val="0"/>
          <w:numId w:val="3"/>
        </w:numPr>
        <w:adjustRightInd w:val="0"/>
        <w:snapToGrid w:val="0"/>
        <w:spacing w:line="580" w:lineRule="exact"/>
        <w:ind w:firstLine="642" w:firstLineChars="200"/>
        <w:contextualSpacing/>
        <w:jc w:val="left"/>
        <w:rPr>
          <w:rFonts w:hint="eastAsia"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自评质量</w:t>
      </w:r>
    </w:p>
    <w:p>
      <w:pPr>
        <w:pStyle w:val="33"/>
        <w:widowControl/>
        <w:adjustRightInd w:val="0"/>
        <w:snapToGrid w:val="0"/>
        <w:spacing w:line="580" w:lineRule="exact"/>
        <w:contextualSpacing/>
        <w:jc w:val="left"/>
        <w:rPr>
          <w:rFonts w:ascii="仿宋_GB2312" w:hAnsi="宋体" w:cs="宋体"/>
          <w:color w:val="000000"/>
          <w:kern w:val="0"/>
          <w:szCs w:val="32"/>
          <w:shd w:val="clear" w:color="auto" w:fill="FFFFFF"/>
        </w:rPr>
      </w:pPr>
      <w:r>
        <w:rPr>
          <w:rFonts w:hint="eastAsia" w:ascii="仿宋_GB2312" w:hAnsi="宋体" w:cs="宋体"/>
          <w:color w:val="000000"/>
          <w:kern w:val="0"/>
          <w:szCs w:val="32"/>
          <w:shd w:val="clear" w:color="auto" w:fill="FFFFFF"/>
        </w:rPr>
        <w:t xml:space="preserve">    </w:t>
      </w:r>
      <w:r>
        <w:rPr>
          <w:rFonts w:hint="eastAsia" w:ascii="仿宋_GB2312" w:hAnsi="宋体" w:cs="宋体"/>
          <w:color w:val="000000"/>
          <w:kern w:val="0"/>
          <w:shd w:val="clear" w:color="auto" w:fill="FFFFFF"/>
          <w:lang w:val="zh-CN"/>
        </w:rPr>
        <w:t>林草局对部门预算决算等资金的到位使用及完成情况进行了自查工作，认真查阅工程及财务资料，对已支付资金进行了再审核，做到资料齐全支付合规，对预算资金的使用加强了监管和审核，取得了较好的效果，也取得了一些经验，希望在以后的工作中好好运用。</w:t>
      </w:r>
    </w:p>
    <w:p>
      <w:pPr>
        <w:pStyle w:val="33"/>
        <w:widowControl/>
        <w:adjustRightInd w:val="0"/>
        <w:snapToGrid w:val="0"/>
        <w:spacing w:line="580" w:lineRule="exact"/>
        <w:ind w:firstLine="640" w:firstLineChars="200"/>
        <w:contextualSpacing/>
        <w:jc w:val="left"/>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四、评价结论及建议</w:t>
      </w:r>
    </w:p>
    <w:p>
      <w:pPr>
        <w:pStyle w:val="39"/>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仿宋_GB2312" w:hAnsi="宋体"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（一）评价结论</w:t>
      </w:r>
    </w:p>
    <w:p>
      <w:pPr>
        <w:pStyle w:val="33"/>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0" w:firstLineChars="200"/>
        <w:textAlignment w:val="auto"/>
        <w:rPr>
          <w:rFonts w:hint="eastAsia" w:ascii="仿宋_GB2312" w:cs="宋体"/>
          <w:color w:val="000000"/>
          <w:kern w:val="0"/>
          <w:szCs w:val="32"/>
          <w:shd w:val="clear" w:color="auto" w:fill="FFFFFF"/>
          <w:lang w:val="zh-CN" w:eastAsia="zh-CN"/>
        </w:rPr>
      </w:pPr>
      <w:r>
        <w:rPr>
          <w:rFonts w:hint="eastAsia" w:ascii="仿宋_GB2312" w:cs="宋体"/>
          <w:color w:val="000000"/>
          <w:kern w:val="0"/>
          <w:szCs w:val="32"/>
          <w:shd w:val="clear" w:color="auto" w:fill="FFFFFF"/>
          <w:lang w:val="zh-CN"/>
        </w:rPr>
        <w:t>202</w:t>
      </w:r>
      <w:r>
        <w:rPr>
          <w:rFonts w:hint="eastAsia" w:ascii="仿宋_GB2312" w:cs="宋体"/>
          <w:color w:val="000000"/>
          <w:kern w:val="0"/>
          <w:szCs w:val="32"/>
          <w:shd w:val="clear" w:color="auto" w:fill="FFFFFF"/>
          <w:lang w:val="en-US" w:eastAsia="zh-CN"/>
        </w:rPr>
        <w:t>2</w:t>
      </w:r>
      <w:r>
        <w:rPr>
          <w:rFonts w:hint="eastAsia" w:ascii="仿宋_GB2312" w:cs="宋体"/>
          <w:color w:val="000000"/>
          <w:kern w:val="0"/>
          <w:szCs w:val="32"/>
          <w:shd w:val="clear" w:color="auto" w:fill="FFFFFF"/>
          <w:lang w:val="zh-CN"/>
        </w:rPr>
        <w:t>年，根据林草局年初工作规划，积极履职，强化管理，较好的完成了上年度工作目标。通过加强预算收支管理，不断建立健全内部管理制度，梳理内部管理流程，单位整体支出管理情况得到提升。在资金的使用过程中依法依规，严格审核监管，做到有据可依实事求是</w:t>
      </w:r>
      <w:r>
        <w:rPr>
          <w:rFonts w:hint="eastAsia" w:ascii="仿宋_GB2312" w:cs="宋体"/>
          <w:color w:val="000000"/>
          <w:kern w:val="0"/>
          <w:szCs w:val="32"/>
          <w:shd w:val="clear" w:color="auto" w:fill="FFFFFF"/>
          <w:lang w:val="zh-CN" w:eastAsia="zh-CN"/>
        </w:rPr>
        <w:t>。</w:t>
      </w:r>
    </w:p>
    <w:p>
      <w:pPr>
        <w:pStyle w:val="39"/>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2" w:firstLineChars="200"/>
        <w:textAlignment w:val="auto"/>
        <w:rPr>
          <w:rFonts w:hint="eastAsia"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（二）存在问题</w:t>
      </w:r>
    </w:p>
    <w:p>
      <w:pPr>
        <w:pStyle w:val="33"/>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0" w:firstLineChars="200"/>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当前预算执行过程中由于项目进度与报账资料未能及时同步，造成项目已经完工但是资金兑付资料还未完成从而造成资金未及时拨付。在以后的预算执行过程中及时的掌握项目进度，催促相关项目负责人及时的报送项目资金支付资料到财务室及时有效的拨付项目资金。</w:t>
      </w:r>
    </w:p>
    <w:p>
      <w:pPr>
        <w:pStyle w:val="39"/>
        <w:keepNext w:val="0"/>
        <w:keepLines w:val="0"/>
        <w:pageBreakBefore w:val="0"/>
        <w:widowControl w:val="0"/>
        <w:numPr>
          <w:ilvl w:val="0"/>
          <w:numId w:val="2"/>
        </w:numPr>
        <w:pBdr>
          <w:bottom w:val="single" w:color="FFFFFF" w:sz="4" w:space="27"/>
        </w:pBdr>
        <w:kinsoku/>
        <w:wordWrap/>
        <w:overflowPunct/>
        <w:topLinePunct w:val="0"/>
        <w:autoSpaceDE/>
        <w:autoSpaceDN/>
        <w:bidi w:val="0"/>
        <w:adjustRightInd/>
        <w:snapToGrid/>
        <w:spacing w:line="560" w:lineRule="exact"/>
        <w:ind w:left="0" w:leftChars="0" w:firstLine="642" w:firstLineChars="200"/>
        <w:textAlignment w:val="auto"/>
        <w:rPr>
          <w:rFonts w:hint="eastAsia"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改进建议</w:t>
      </w:r>
    </w:p>
    <w:p>
      <w:pPr>
        <w:pStyle w:val="33"/>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0" w:firstLineChars="200"/>
        <w:textAlignment w:val="auto"/>
        <w:rPr>
          <w:rFonts w:hint="eastAsia" w:eastAsia="仿宋_GB2312"/>
          <w:lang w:val="en-US" w:eastAsia="zh-CN"/>
        </w:rPr>
      </w:pPr>
      <w:r>
        <w:rPr>
          <w:rFonts w:hint="eastAsia" w:ascii="仿宋_GB2312" w:cs="宋体"/>
          <w:color w:val="000000"/>
          <w:kern w:val="0"/>
          <w:szCs w:val="32"/>
          <w:shd w:val="clear" w:color="auto" w:fill="FFFFFF"/>
          <w:lang w:val="zh-CN"/>
        </w:rPr>
        <w:t>在今后的资金支付过程中，及时联系业务股室及项目经办人员及时收集准备财务报账资料来进行支付，及时报账提高资金的支付进度，经常开展财务人员继续教育学习，努力提高自己的业务水平，提高工作效率</w:t>
      </w:r>
      <w:r>
        <w:rPr>
          <w:rFonts w:hint="eastAsia" w:ascii="仿宋_GB2312" w:cs="宋体"/>
          <w:color w:val="000000"/>
          <w:kern w:val="0"/>
          <w:szCs w:val="32"/>
          <w:shd w:val="clear" w:color="auto" w:fill="FFFFFF"/>
          <w:lang w:val="zh-CN" w:eastAsia="zh-CN"/>
        </w:rPr>
        <w:t>。</w:t>
      </w:r>
    </w:p>
    <w:p>
      <w:pPr>
        <w:pStyle w:val="33"/>
      </w:pPr>
    </w:p>
    <w:p>
      <w:pPr>
        <w:pStyle w:val="33"/>
      </w:pPr>
    </w:p>
    <w:p>
      <w:pPr>
        <w:pStyle w:val="33"/>
      </w:pPr>
    </w:p>
    <w:p>
      <w:pPr>
        <w:pStyle w:val="3"/>
        <w:jc w:val="center"/>
        <w:rPr>
          <w:rFonts w:ascii="黑体" w:hAnsi="黑体" w:eastAsia="黑体" w:cs="黑体"/>
        </w:rPr>
      </w:pPr>
      <w:bookmarkStart w:id="74" w:name="_Toc79163635"/>
      <w:bookmarkStart w:id="75" w:name="_Toc111208512"/>
      <w:bookmarkStart w:id="76" w:name="_Toc113981025"/>
      <w:bookmarkStart w:id="77" w:name="_Toc79163885"/>
      <w:r>
        <w:rPr>
          <w:rFonts w:hint="eastAsia" w:ascii="黑体" w:hAnsi="黑体" w:eastAsia="黑体" w:cs="黑体"/>
        </w:rPr>
        <w:t>第五部分 附表</w:t>
      </w:r>
      <w:bookmarkEnd w:id="74"/>
      <w:bookmarkEnd w:id="75"/>
      <w:bookmarkEnd w:id="76"/>
      <w:bookmarkEnd w:id="77"/>
    </w:p>
    <w:p>
      <w:pPr>
        <w:pStyle w:val="4"/>
        <w:ind w:firstLine="642" w:firstLineChars="200"/>
        <w:rPr>
          <w:rFonts w:ascii="黑体" w:eastAsia="黑体" w:cs="Times New Roman"/>
          <w:bCs w:val="0"/>
          <w:color w:val="000000"/>
        </w:rPr>
      </w:pPr>
      <w:bookmarkStart w:id="78" w:name="_Toc79163886"/>
      <w:bookmarkStart w:id="79" w:name="_Toc111208513"/>
      <w:bookmarkStart w:id="80" w:name="_Toc113981026"/>
      <w:bookmarkStart w:id="81" w:name="_Toc79163636"/>
      <w:r>
        <w:rPr>
          <w:rFonts w:hint="eastAsia" w:ascii="黑体" w:eastAsia="黑体" w:cs="Times New Roman"/>
          <w:bCs w:val="0"/>
          <w:color w:val="000000"/>
        </w:rPr>
        <w:t>一、收入支出决算总表</w:t>
      </w:r>
      <w:bookmarkEnd w:id="78"/>
      <w:bookmarkEnd w:id="79"/>
      <w:bookmarkEnd w:id="80"/>
      <w:bookmarkEnd w:id="81"/>
    </w:p>
    <w:p>
      <w:pPr>
        <w:pStyle w:val="4"/>
        <w:ind w:firstLine="642" w:firstLineChars="200"/>
        <w:rPr>
          <w:rFonts w:ascii="黑体" w:eastAsia="黑体" w:cs="Times New Roman"/>
          <w:bCs w:val="0"/>
          <w:color w:val="000000"/>
        </w:rPr>
      </w:pPr>
      <w:bookmarkStart w:id="82" w:name="_Toc113981027"/>
      <w:bookmarkStart w:id="83" w:name="_Toc111208514"/>
      <w:bookmarkStart w:id="84" w:name="_Toc79163887"/>
      <w:bookmarkStart w:id="85" w:name="_Toc79163637"/>
      <w:r>
        <w:rPr>
          <w:rFonts w:hint="eastAsia" w:ascii="黑体" w:eastAsia="黑体" w:cs="Times New Roman"/>
          <w:bCs w:val="0"/>
          <w:color w:val="000000"/>
        </w:rPr>
        <w:t>二、收入决算表</w:t>
      </w:r>
      <w:bookmarkEnd w:id="82"/>
      <w:bookmarkEnd w:id="83"/>
      <w:bookmarkEnd w:id="84"/>
      <w:bookmarkEnd w:id="85"/>
    </w:p>
    <w:p>
      <w:pPr>
        <w:pStyle w:val="4"/>
        <w:ind w:firstLine="642" w:firstLineChars="200"/>
        <w:rPr>
          <w:rFonts w:ascii="黑体" w:eastAsia="黑体" w:cs="Times New Roman"/>
          <w:b w:val="0"/>
          <w:color w:val="000000"/>
        </w:rPr>
      </w:pPr>
      <w:bookmarkStart w:id="86" w:name="_Toc113981028"/>
      <w:bookmarkStart w:id="87" w:name="_Toc79163888"/>
      <w:bookmarkStart w:id="88" w:name="_Toc79163638"/>
      <w:bookmarkStart w:id="89" w:name="_Toc111208515"/>
      <w:r>
        <w:rPr>
          <w:rFonts w:hint="eastAsia" w:ascii="黑体" w:eastAsia="黑体" w:cs="Times New Roman"/>
          <w:bCs w:val="0"/>
          <w:color w:val="000000"/>
        </w:rPr>
        <w:t>三、支出决算表</w:t>
      </w:r>
      <w:bookmarkEnd w:id="86"/>
      <w:bookmarkEnd w:id="87"/>
      <w:bookmarkEnd w:id="88"/>
      <w:bookmarkEnd w:id="89"/>
    </w:p>
    <w:p>
      <w:pPr>
        <w:pStyle w:val="4"/>
        <w:ind w:firstLine="642" w:firstLineChars="200"/>
        <w:rPr>
          <w:rFonts w:ascii="黑体" w:eastAsia="黑体" w:cs="Times New Roman"/>
          <w:bCs w:val="0"/>
          <w:color w:val="000000"/>
        </w:rPr>
      </w:pPr>
      <w:bookmarkStart w:id="90" w:name="_Toc111208516"/>
      <w:bookmarkStart w:id="91" w:name="_Toc79163889"/>
      <w:bookmarkStart w:id="92" w:name="_Toc113981029"/>
      <w:bookmarkStart w:id="93" w:name="_Toc79163639"/>
      <w:r>
        <w:rPr>
          <w:rFonts w:hint="eastAsia" w:ascii="黑体" w:eastAsia="黑体" w:cs="Times New Roman"/>
          <w:bCs w:val="0"/>
          <w:color w:val="000000"/>
        </w:rPr>
        <w:t>四、财政拨款收入支出决算总表</w:t>
      </w:r>
      <w:bookmarkEnd w:id="90"/>
      <w:bookmarkEnd w:id="91"/>
      <w:bookmarkEnd w:id="92"/>
      <w:bookmarkEnd w:id="93"/>
    </w:p>
    <w:p>
      <w:pPr>
        <w:pStyle w:val="4"/>
        <w:ind w:firstLine="642" w:firstLineChars="200"/>
        <w:rPr>
          <w:rFonts w:ascii="黑体" w:eastAsia="黑体" w:cs="Times New Roman"/>
          <w:bCs w:val="0"/>
          <w:color w:val="000000"/>
        </w:rPr>
      </w:pPr>
      <w:bookmarkStart w:id="94" w:name="_Toc79163890"/>
      <w:bookmarkStart w:id="95" w:name="_Toc113981030"/>
      <w:bookmarkStart w:id="96" w:name="_Toc111208517"/>
      <w:bookmarkStart w:id="97" w:name="_Toc79163640"/>
      <w:r>
        <w:rPr>
          <w:rFonts w:hint="eastAsia" w:ascii="黑体" w:eastAsia="黑体" w:cs="Times New Roman"/>
          <w:bCs w:val="0"/>
          <w:color w:val="000000"/>
        </w:rPr>
        <w:t>五、财政拨款支出决算明细表</w:t>
      </w:r>
      <w:bookmarkEnd w:id="94"/>
      <w:bookmarkEnd w:id="95"/>
      <w:bookmarkEnd w:id="96"/>
      <w:bookmarkEnd w:id="97"/>
    </w:p>
    <w:p>
      <w:pPr>
        <w:pStyle w:val="4"/>
        <w:ind w:firstLine="642" w:firstLineChars="200"/>
        <w:rPr>
          <w:rFonts w:ascii="黑体" w:eastAsia="黑体" w:cs="Times New Roman"/>
          <w:bCs w:val="0"/>
          <w:color w:val="000000"/>
        </w:rPr>
      </w:pPr>
      <w:bookmarkStart w:id="98" w:name="_Toc79163891"/>
      <w:bookmarkStart w:id="99" w:name="_Toc113981031"/>
      <w:bookmarkStart w:id="100" w:name="_Toc79163641"/>
      <w:bookmarkStart w:id="101" w:name="_Toc111208518"/>
      <w:r>
        <w:rPr>
          <w:rFonts w:hint="eastAsia" w:ascii="黑体" w:eastAsia="黑体" w:cs="Times New Roman"/>
          <w:bCs w:val="0"/>
          <w:color w:val="000000"/>
        </w:rPr>
        <w:t>六、一般公共预算财政拨款支出决算表</w:t>
      </w:r>
      <w:bookmarkEnd w:id="98"/>
      <w:bookmarkEnd w:id="99"/>
      <w:bookmarkEnd w:id="100"/>
      <w:bookmarkEnd w:id="101"/>
    </w:p>
    <w:p>
      <w:pPr>
        <w:pStyle w:val="4"/>
        <w:ind w:firstLine="642" w:firstLineChars="200"/>
        <w:rPr>
          <w:rFonts w:ascii="黑体" w:eastAsia="黑体" w:cs="Times New Roman"/>
          <w:bCs w:val="0"/>
          <w:color w:val="000000"/>
        </w:rPr>
      </w:pPr>
      <w:bookmarkStart w:id="102" w:name="_Toc79163892"/>
      <w:bookmarkStart w:id="103" w:name="_Toc111208519"/>
      <w:bookmarkStart w:id="104" w:name="_Toc113981032"/>
      <w:bookmarkStart w:id="105" w:name="_Toc79163642"/>
      <w:r>
        <w:rPr>
          <w:rFonts w:hint="eastAsia" w:ascii="黑体" w:eastAsia="黑体" w:cs="Times New Roman"/>
          <w:bCs w:val="0"/>
          <w:color w:val="000000"/>
        </w:rPr>
        <w:t>七、一般公共预算财政拨款支出决算明细表</w:t>
      </w:r>
      <w:bookmarkEnd w:id="102"/>
      <w:bookmarkEnd w:id="103"/>
      <w:bookmarkEnd w:id="104"/>
      <w:bookmarkEnd w:id="105"/>
    </w:p>
    <w:p>
      <w:pPr>
        <w:pStyle w:val="4"/>
        <w:ind w:firstLine="642" w:firstLineChars="200"/>
        <w:rPr>
          <w:rFonts w:ascii="黑体" w:eastAsia="黑体" w:cs="Times New Roman"/>
          <w:bCs w:val="0"/>
          <w:color w:val="000000"/>
        </w:rPr>
      </w:pPr>
      <w:bookmarkStart w:id="106" w:name="_Toc111208520"/>
      <w:bookmarkStart w:id="107" w:name="_Toc79163893"/>
      <w:bookmarkStart w:id="108" w:name="_Toc113981033"/>
      <w:bookmarkStart w:id="109" w:name="_Toc79163643"/>
      <w:r>
        <w:rPr>
          <w:rFonts w:hint="eastAsia" w:ascii="黑体" w:eastAsia="黑体" w:cs="Times New Roman"/>
          <w:bCs w:val="0"/>
          <w:color w:val="000000"/>
        </w:rPr>
        <w:t>八、一般公共预算财政拨款基本支出决算表</w:t>
      </w:r>
      <w:bookmarkEnd w:id="106"/>
      <w:bookmarkEnd w:id="107"/>
      <w:bookmarkEnd w:id="108"/>
      <w:bookmarkEnd w:id="109"/>
    </w:p>
    <w:p>
      <w:pPr>
        <w:pStyle w:val="4"/>
        <w:ind w:firstLine="642" w:firstLineChars="200"/>
        <w:rPr>
          <w:rFonts w:ascii="黑体" w:eastAsia="黑体" w:cs="Times New Roman"/>
          <w:bCs w:val="0"/>
          <w:color w:val="000000"/>
        </w:rPr>
      </w:pPr>
      <w:bookmarkStart w:id="110" w:name="_Toc111208521"/>
      <w:bookmarkStart w:id="111" w:name="_Toc79163894"/>
      <w:bookmarkStart w:id="112" w:name="_Toc113981034"/>
      <w:bookmarkStart w:id="113" w:name="_Toc79163644"/>
      <w:r>
        <w:rPr>
          <w:rFonts w:hint="eastAsia" w:ascii="黑体" w:eastAsia="黑体" w:cs="Times New Roman"/>
          <w:bCs w:val="0"/>
          <w:color w:val="000000"/>
        </w:rPr>
        <w:t>九、一般公共预算财政拨款项目支出决算表</w:t>
      </w:r>
      <w:bookmarkEnd w:id="110"/>
      <w:bookmarkEnd w:id="111"/>
      <w:bookmarkEnd w:id="112"/>
      <w:bookmarkEnd w:id="113"/>
    </w:p>
    <w:p>
      <w:pPr>
        <w:pStyle w:val="4"/>
        <w:ind w:firstLine="642" w:firstLineChars="200"/>
        <w:rPr>
          <w:rFonts w:ascii="黑体" w:eastAsia="黑体" w:cs="Times New Roman"/>
          <w:bCs w:val="0"/>
          <w:color w:val="000000"/>
        </w:rPr>
      </w:pPr>
      <w:bookmarkStart w:id="114" w:name="_Toc79163645"/>
      <w:bookmarkStart w:id="115" w:name="_Toc79163895"/>
      <w:bookmarkStart w:id="116" w:name="_Toc113981035"/>
      <w:bookmarkStart w:id="117" w:name="_Toc111208522"/>
      <w:r>
        <w:rPr>
          <w:rFonts w:hint="eastAsia" w:ascii="黑体" w:eastAsia="黑体" w:cs="Times New Roman"/>
          <w:bCs w:val="0"/>
          <w:color w:val="000000"/>
        </w:rPr>
        <w:t>十、一般公共预算财政拨款“三公”经费支出决算表</w:t>
      </w:r>
      <w:bookmarkEnd w:id="114"/>
      <w:bookmarkEnd w:id="115"/>
      <w:bookmarkEnd w:id="116"/>
      <w:bookmarkEnd w:id="117"/>
    </w:p>
    <w:p>
      <w:pPr>
        <w:pStyle w:val="4"/>
        <w:ind w:firstLine="642" w:firstLineChars="200"/>
        <w:rPr>
          <w:rFonts w:ascii="黑体" w:eastAsia="黑体" w:cs="Times New Roman"/>
          <w:bCs w:val="0"/>
          <w:color w:val="000000"/>
        </w:rPr>
      </w:pPr>
      <w:bookmarkStart w:id="118" w:name="_Toc79163646"/>
      <w:bookmarkStart w:id="119" w:name="_Toc79163896"/>
      <w:bookmarkStart w:id="120" w:name="_Toc111208523"/>
      <w:bookmarkStart w:id="121" w:name="_Toc113981036"/>
      <w:r>
        <w:rPr>
          <w:rFonts w:hint="eastAsia" w:ascii="黑体" w:eastAsia="黑体" w:cs="Times New Roman"/>
          <w:bCs w:val="0"/>
          <w:color w:val="000000"/>
        </w:rPr>
        <w:t>十一、政府性基金预算财政拨款收入支出决算表</w:t>
      </w:r>
      <w:bookmarkEnd w:id="118"/>
      <w:bookmarkEnd w:id="119"/>
      <w:bookmarkEnd w:id="120"/>
      <w:bookmarkEnd w:id="121"/>
    </w:p>
    <w:p>
      <w:pPr>
        <w:pStyle w:val="4"/>
        <w:ind w:firstLine="642" w:firstLineChars="200"/>
        <w:rPr>
          <w:rFonts w:ascii="黑体" w:eastAsia="黑体" w:cs="Times New Roman"/>
          <w:bCs w:val="0"/>
          <w:color w:val="000000"/>
        </w:rPr>
      </w:pPr>
      <w:bookmarkStart w:id="122" w:name="_Toc113981037"/>
      <w:bookmarkStart w:id="123" w:name="_Toc111208524"/>
      <w:bookmarkStart w:id="124" w:name="_Toc79163897"/>
      <w:bookmarkStart w:id="125" w:name="_Toc79163647"/>
      <w:r>
        <w:rPr>
          <w:rFonts w:hint="eastAsia" w:ascii="黑体" w:eastAsia="黑体" w:cs="Times New Roman"/>
          <w:bCs w:val="0"/>
          <w:color w:val="000000"/>
        </w:rPr>
        <w:t>十二、政府性基金预算财政拨款“三公”经费支出决算表</w:t>
      </w:r>
      <w:bookmarkEnd w:id="122"/>
      <w:bookmarkEnd w:id="123"/>
      <w:bookmarkEnd w:id="124"/>
      <w:bookmarkEnd w:id="125"/>
    </w:p>
    <w:p>
      <w:pPr>
        <w:pStyle w:val="4"/>
        <w:ind w:firstLine="642" w:firstLineChars="200"/>
        <w:rPr>
          <w:rFonts w:ascii="黑体" w:eastAsia="黑体" w:cs="Times New Roman"/>
          <w:bCs w:val="0"/>
          <w:color w:val="000000"/>
        </w:rPr>
      </w:pPr>
      <w:bookmarkStart w:id="126" w:name="_Toc79163648"/>
      <w:bookmarkStart w:id="127" w:name="_Toc79163898"/>
      <w:bookmarkStart w:id="128" w:name="_Toc113981038"/>
      <w:bookmarkStart w:id="129" w:name="_Toc111208525"/>
      <w:r>
        <w:rPr>
          <w:rFonts w:hint="eastAsia" w:ascii="黑体" w:eastAsia="黑体" w:cs="Times New Roman"/>
          <w:bCs w:val="0"/>
          <w:color w:val="000000"/>
        </w:rPr>
        <w:t>十三、</w:t>
      </w:r>
      <w:bookmarkEnd w:id="126"/>
      <w:bookmarkEnd w:id="127"/>
      <w:r>
        <w:rPr>
          <w:rFonts w:hint="eastAsia" w:ascii="黑体" w:eastAsia="黑体" w:cs="Times New Roman"/>
          <w:bCs w:val="0"/>
          <w:color w:val="000000"/>
        </w:rPr>
        <w:t>国有资本经营预算财政拨款收入支出决算表</w:t>
      </w:r>
      <w:bookmarkEnd w:id="128"/>
      <w:bookmarkEnd w:id="129"/>
    </w:p>
    <w:p>
      <w:pPr>
        <w:pStyle w:val="4"/>
        <w:ind w:firstLine="642" w:firstLineChars="200"/>
        <w:rPr>
          <w:rFonts w:ascii="黑体" w:eastAsia="黑体" w:cs="Times New Roman"/>
          <w:b w:val="0"/>
          <w:color w:val="000000"/>
        </w:rPr>
      </w:pPr>
      <w:bookmarkStart w:id="130" w:name="_Toc113981039"/>
      <w:bookmarkStart w:id="131" w:name="_Toc111208526"/>
      <w:r>
        <w:rPr>
          <w:rFonts w:hint="eastAsia" w:ascii="黑体" w:eastAsia="黑体" w:cs="Times New Roman"/>
          <w:bCs w:val="0"/>
          <w:color w:val="000000"/>
        </w:rPr>
        <w:t>十四、国有资本经营预算财政拨款支出决算表</w:t>
      </w:r>
      <w:bookmarkEnd w:id="130"/>
      <w:bookmarkEnd w:id="13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auto"/>
    <w:pitch w:val="default"/>
    <w:sig w:usb0="00000000" w:usb1="00000000" w:usb2="00000000" w:usb3="00000000" w:csb0="00000000" w:csb1="00000000"/>
  </w:font>
  <w:font w:name="方正小标宋简体">
    <w:altName w:val="方正小标宋_GBK"/>
    <w:panose1 w:val="02010601030101010101"/>
    <w:charset w:val="86"/>
    <w:family w:val="script"/>
    <w:pitch w:val="default"/>
    <w:sig w:usb0="00000000" w:usb1="00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NanumGothic">
    <w:panose1 w:val="020D0604000000000000"/>
    <w:charset w:val="81"/>
    <w:family w:val="auto"/>
    <w:pitch w:val="default"/>
    <w:sig w:usb0="900002A7" w:usb1="29D7FCFB" w:usb2="00000010" w:usb3="00000000" w:csb0="00080001" w:csb1="0000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3"/>
      <w:numFmt w:val="chineseCounting"/>
      <w:suff w:val="nothing"/>
      <w:lvlText w:val="（%1）"/>
      <w:lvlJc w:val="left"/>
      <w:rPr>
        <w:rFonts w:hint="eastAsia"/>
      </w:rPr>
    </w:lvl>
  </w:abstractNum>
  <w:abstractNum w:abstractNumId="1">
    <w:nsid w:val="E739CA01"/>
    <w:multiLevelType w:val="singleLevel"/>
    <w:tmpl w:val="E739CA01"/>
    <w:lvl w:ilvl="0" w:tentative="0">
      <w:start w:val="1"/>
      <w:numFmt w:val="chineseCounting"/>
      <w:suff w:val="space"/>
      <w:lvlText w:val="第%1部分"/>
      <w:lvlJc w:val="left"/>
      <w:rPr>
        <w:rFonts w:hint="eastAsia"/>
      </w:rPr>
    </w:lvl>
  </w:abstractNum>
  <w:abstractNum w:abstractNumId="2">
    <w:nsid w:val="0053208E"/>
    <w:multiLevelType w:val="singleLevel"/>
    <w:tmpl w:val="0053208E"/>
    <w:lvl w:ilvl="0" w:tentative="0">
      <w:start w:val="2"/>
      <w:numFmt w:val="chineseCounting"/>
      <w:suff w:val="nothing"/>
      <w:lvlText w:val="（%1）"/>
      <w:lvlJc w:val="left"/>
      <w:rPr>
        <w:rFonts w:hint="eastAsia"/>
        <w:b/>
        <w:bC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Q1ZDRmYmY2MTk1MDlhODgzMGYzYTcwMDUwOTg2YTY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F359AA"/>
    <w:rsid w:val="0463543B"/>
    <w:rsid w:val="04980BDD"/>
    <w:rsid w:val="04A56E6E"/>
    <w:rsid w:val="051A6F96"/>
    <w:rsid w:val="06951176"/>
    <w:rsid w:val="07001BE1"/>
    <w:rsid w:val="07267DE7"/>
    <w:rsid w:val="089C4B49"/>
    <w:rsid w:val="09081517"/>
    <w:rsid w:val="091B747D"/>
    <w:rsid w:val="0A19737C"/>
    <w:rsid w:val="0B7218AA"/>
    <w:rsid w:val="0B99373B"/>
    <w:rsid w:val="0BA37CB5"/>
    <w:rsid w:val="0C564F28"/>
    <w:rsid w:val="0D0429D6"/>
    <w:rsid w:val="0D093B48"/>
    <w:rsid w:val="0D322E51"/>
    <w:rsid w:val="0D6C338E"/>
    <w:rsid w:val="0DB37F58"/>
    <w:rsid w:val="0F5E6610"/>
    <w:rsid w:val="10C055FF"/>
    <w:rsid w:val="11D56DF6"/>
    <w:rsid w:val="11ED6591"/>
    <w:rsid w:val="13367661"/>
    <w:rsid w:val="16BB723D"/>
    <w:rsid w:val="17BC7656"/>
    <w:rsid w:val="17EA348C"/>
    <w:rsid w:val="1840212F"/>
    <w:rsid w:val="19650358"/>
    <w:rsid w:val="19943114"/>
    <w:rsid w:val="1AB026BC"/>
    <w:rsid w:val="1ABB32B6"/>
    <w:rsid w:val="1B777CEA"/>
    <w:rsid w:val="1BF70747"/>
    <w:rsid w:val="1C06153F"/>
    <w:rsid w:val="1C986C96"/>
    <w:rsid w:val="1D7371C3"/>
    <w:rsid w:val="1DDC2BB3"/>
    <w:rsid w:val="1E34479D"/>
    <w:rsid w:val="1EF81F78"/>
    <w:rsid w:val="1F620905"/>
    <w:rsid w:val="201A6AB0"/>
    <w:rsid w:val="203B66A0"/>
    <w:rsid w:val="209119D7"/>
    <w:rsid w:val="211A679A"/>
    <w:rsid w:val="234C10D0"/>
    <w:rsid w:val="23902475"/>
    <w:rsid w:val="2393768B"/>
    <w:rsid w:val="240371BF"/>
    <w:rsid w:val="2435534E"/>
    <w:rsid w:val="24534F10"/>
    <w:rsid w:val="24DF6C66"/>
    <w:rsid w:val="253D03DB"/>
    <w:rsid w:val="25A20B86"/>
    <w:rsid w:val="25B1070F"/>
    <w:rsid w:val="25DD571A"/>
    <w:rsid w:val="265C1D1F"/>
    <w:rsid w:val="26BB36DB"/>
    <w:rsid w:val="271C5A93"/>
    <w:rsid w:val="276F1834"/>
    <w:rsid w:val="27B459F9"/>
    <w:rsid w:val="27C51E91"/>
    <w:rsid w:val="28513369"/>
    <w:rsid w:val="28BF6D42"/>
    <w:rsid w:val="29FD04D3"/>
    <w:rsid w:val="2CAE1BBE"/>
    <w:rsid w:val="2CCF04B2"/>
    <w:rsid w:val="2E4C04E0"/>
    <w:rsid w:val="2F803D16"/>
    <w:rsid w:val="31810DA9"/>
    <w:rsid w:val="31903F88"/>
    <w:rsid w:val="319F7F4E"/>
    <w:rsid w:val="329448A6"/>
    <w:rsid w:val="32F45598"/>
    <w:rsid w:val="35244754"/>
    <w:rsid w:val="364D41F6"/>
    <w:rsid w:val="36FD0156"/>
    <w:rsid w:val="387602EC"/>
    <w:rsid w:val="38F8371D"/>
    <w:rsid w:val="39226F5F"/>
    <w:rsid w:val="39902098"/>
    <w:rsid w:val="3A3A0F35"/>
    <w:rsid w:val="3A4E1148"/>
    <w:rsid w:val="3C8D2F9D"/>
    <w:rsid w:val="3CE0510E"/>
    <w:rsid w:val="3D1E4B3E"/>
    <w:rsid w:val="3E03620E"/>
    <w:rsid w:val="3E343C22"/>
    <w:rsid w:val="3F512FA9"/>
    <w:rsid w:val="3FAC4683"/>
    <w:rsid w:val="3FEA5DFB"/>
    <w:rsid w:val="401C35B7"/>
    <w:rsid w:val="4119235A"/>
    <w:rsid w:val="41677310"/>
    <w:rsid w:val="422C2C46"/>
    <w:rsid w:val="4251506E"/>
    <w:rsid w:val="43684120"/>
    <w:rsid w:val="444F07DA"/>
    <w:rsid w:val="44601E28"/>
    <w:rsid w:val="475E72DC"/>
    <w:rsid w:val="47F514AF"/>
    <w:rsid w:val="4839282C"/>
    <w:rsid w:val="48FD75BD"/>
    <w:rsid w:val="49284D7B"/>
    <w:rsid w:val="4A745623"/>
    <w:rsid w:val="4D135D42"/>
    <w:rsid w:val="4D846266"/>
    <w:rsid w:val="4D8D78A2"/>
    <w:rsid w:val="4DF123A8"/>
    <w:rsid w:val="4E414758"/>
    <w:rsid w:val="4E832A53"/>
    <w:rsid w:val="4F6F7A34"/>
    <w:rsid w:val="4FD74194"/>
    <w:rsid w:val="4FDA49F5"/>
    <w:rsid w:val="50AE413E"/>
    <w:rsid w:val="51E1640E"/>
    <w:rsid w:val="51EE42CA"/>
    <w:rsid w:val="52302EF2"/>
    <w:rsid w:val="52ED6284"/>
    <w:rsid w:val="5322283B"/>
    <w:rsid w:val="532B0C13"/>
    <w:rsid w:val="53BE2B80"/>
    <w:rsid w:val="541505F1"/>
    <w:rsid w:val="54992FD0"/>
    <w:rsid w:val="55872E29"/>
    <w:rsid w:val="56D0674C"/>
    <w:rsid w:val="58BA52C3"/>
    <w:rsid w:val="59E11CD3"/>
    <w:rsid w:val="5BE202EA"/>
    <w:rsid w:val="5CFA7F1D"/>
    <w:rsid w:val="5E2506F8"/>
    <w:rsid w:val="5EA316D6"/>
    <w:rsid w:val="5F3A07D2"/>
    <w:rsid w:val="5F593A88"/>
    <w:rsid w:val="60651EAC"/>
    <w:rsid w:val="60BB3927"/>
    <w:rsid w:val="62A42EE2"/>
    <w:rsid w:val="630D013F"/>
    <w:rsid w:val="63347FC4"/>
    <w:rsid w:val="63547EA5"/>
    <w:rsid w:val="63604CB9"/>
    <w:rsid w:val="64754794"/>
    <w:rsid w:val="64A36D0B"/>
    <w:rsid w:val="64C656C1"/>
    <w:rsid w:val="65DF63C9"/>
    <w:rsid w:val="662A7F2C"/>
    <w:rsid w:val="68DA2DB6"/>
    <w:rsid w:val="696F4185"/>
    <w:rsid w:val="69725134"/>
    <w:rsid w:val="6B4666B6"/>
    <w:rsid w:val="6CC85DA9"/>
    <w:rsid w:val="6D8F2D6B"/>
    <w:rsid w:val="6DC31436"/>
    <w:rsid w:val="6ECB49CF"/>
    <w:rsid w:val="6ECB5A2B"/>
    <w:rsid w:val="70202A42"/>
    <w:rsid w:val="72227D09"/>
    <w:rsid w:val="72E476B5"/>
    <w:rsid w:val="73BE3A62"/>
    <w:rsid w:val="746C7E4B"/>
    <w:rsid w:val="750E6C6B"/>
    <w:rsid w:val="755E374E"/>
    <w:rsid w:val="76377F56"/>
    <w:rsid w:val="764B35A7"/>
    <w:rsid w:val="78A4106B"/>
    <w:rsid w:val="79975481"/>
    <w:rsid w:val="7A1B4027"/>
    <w:rsid w:val="7A965738"/>
    <w:rsid w:val="7ABC1C9C"/>
    <w:rsid w:val="7B022DCE"/>
    <w:rsid w:val="7B272834"/>
    <w:rsid w:val="7B8F71DF"/>
    <w:rsid w:val="7CB2612E"/>
    <w:rsid w:val="7CC25607"/>
    <w:rsid w:val="7DE859ED"/>
    <w:rsid w:val="7E4C610E"/>
    <w:rsid w:val="7F3E014D"/>
    <w:rsid w:val="7F494593"/>
    <w:rsid w:val="DF7FDE79"/>
    <w:rsid w:val="F75A375C"/>
    <w:rsid w:val="FB6CB34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styleId="19">
    <w:name w:val="annotation reference"/>
    <w:basedOn w:val="16"/>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字符"/>
    <w:link w:val="7"/>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字符"/>
    <w:basedOn w:val="16"/>
    <w:link w:val="3"/>
    <w:qFormat/>
    <w:uiPriority w:val="9"/>
    <w:rPr>
      <w:rFonts w:ascii="Times New Roman" w:hAnsi="Times New Roman"/>
      <w:b/>
      <w:bCs/>
      <w:kern w:val="44"/>
      <w:sz w:val="44"/>
      <w:szCs w:val="44"/>
    </w:rPr>
  </w:style>
  <w:style w:type="character" w:customStyle="1" w:styleId="29">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5"/>
    <w:qFormat/>
    <w:uiPriority w:val="9"/>
    <w:rPr>
      <w:rFonts w:ascii="Times New Roman" w:hAnsi="Times New Roman"/>
      <w:b/>
      <w:bCs/>
      <w:kern w:val="2"/>
      <w:sz w:val="32"/>
      <w:szCs w:val="32"/>
    </w:rPr>
  </w:style>
  <w:style w:type="paragraph" w:customStyle="1" w:styleId="33">
    <w:name w:val="Normalcf66c3c9"/>
    <w:next w:val="4"/>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34">
    <w:name w:val="Default Paragraph Font4"/>
    <w:semiHidden/>
    <w:qFormat/>
    <w:uiPriority w:val="0"/>
  </w:style>
  <w:style w:type="table" w:customStyle="1" w:styleId="35">
    <w:name w:val="Normal Table3878ddf1"/>
    <w:semiHidden/>
    <w:qFormat/>
    <w:uiPriority w:val="0"/>
    <w:tblPr>
      <w:tblCellMar>
        <w:top w:w="0" w:type="dxa"/>
        <w:left w:w="108" w:type="dxa"/>
        <w:bottom w:w="0" w:type="dxa"/>
        <w:right w:w="108" w:type="dxa"/>
      </w:tblCellMar>
    </w:tblPr>
  </w:style>
  <w:style w:type="paragraph" w:customStyle="1" w:styleId="36">
    <w:name w:val="Salutation0a51a90a"/>
    <w:basedOn w:val="33"/>
    <w:next w:val="3"/>
    <w:unhideWhenUsed/>
    <w:qFormat/>
    <w:uiPriority w:val="99"/>
  </w:style>
  <w:style w:type="paragraph" w:customStyle="1" w:styleId="37">
    <w:name w:val="四号正文5"/>
    <w:basedOn w:val="33"/>
    <w:qFormat/>
    <w:uiPriority w:val="0"/>
    <w:pPr>
      <w:spacing w:line="360" w:lineRule="auto"/>
    </w:pPr>
    <w:rPr>
      <w:rFonts w:ascii="??" w:hAnsi="??" w:eastAsia="宋体"/>
      <w:color w:val="000000"/>
      <w:kern w:val="0"/>
      <w:sz w:val="28"/>
      <w:szCs w:val="21"/>
      <w:lang w:val="zh-CN"/>
    </w:rPr>
  </w:style>
  <w:style w:type="paragraph" w:customStyle="1" w:styleId="38">
    <w:name w:val="Normal7dfacf90"/>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Normal39fdbaa5"/>
    <w:next w:val="4"/>
    <w:qFormat/>
    <w:uiPriority w:val="0"/>
    <w:pPr>
      <w:widowControl w:val="0"/>
      <w:jc w:val="both"/>
    </w:pPr>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false"/>
    </c:title>
    <c:autoTitleDeleted val="false"/>
    <c:plotArea>
      <c:layout>
        <c:manualLayout>
          <c:layoutTarget val="inner"/>
          <c:xMode val="edge"/>
          <c:yMode val="edge"/>
          <c:x val="0.0559816218099468"/>
          <c:y val="0.247865112907836"/>
          <c:w val="0.800713012477719"/>
          <c:h val="0.654027777777778"/>
        </c:manualLayout>
      </c:layout>
      <c:barChart>
        <c:barDir val="col"/>
        <c:grouping val="clustered"/>
        <c:varyColors val="false"/>
        <c:ser>
          <c:idx val="1"/>
          <c:order val="0"/>
          <c:tx>
            <c:strRef>
              <c:f>收入</c:f>
              <c:strCache>
                <c:ptCount val="1"/>
                <c:pt idx="0">
                  <c:v>收入</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{1536.93,1795.78}</c:f>
              <c:numCache>
                <c:formatCode>General</c:formatCode>
                <c:ptCount val="2"/>
                <c:pt idx="0">
                  <c:v>1536.93</c:v>
                </c:pt>
                <c:pt idx="1">
                  <c:v>1795.78</c:v>
                </c:pt>
              </c:numCache>
            </c:numRef>
          </c:val>
        </c:ser>
        <c:ser>
          <c:idx val="2"/>
          <c:order val="1"/>
          <c:tx>
            <c:strRef>
              <c:f>支出</c:f>
              <c:strCache>
                <c:ptCount val="1"/>
                <c:pt idx="0">
                  <c:v>支出</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{1536.93,1795.78}</c:f>
              <c:numCache>
                <c:formatCode>General</c:formatCode>
                <c:ptCount val="2"/>
                <c:pt idx="0">
                  <c:v>1536.93</c:v>
                </c:pt>
                <c:pt idx="1">
                  <c:v>1795.78</c:v>
                </c:pt>
              </c:numCache>
            </c:numRef>
          </c:val>
        </c:ser>
        <c:dLbls>
          <c:showLegendKey val="false"/>
          <c:showVal val="true"/>
          <c:showCatName val="false"/>
          <c:showSerName val="false"/>
          <c:showPercent val="false"/>
          <c:showBubbleSize val="false"/>
        </c:dLbls>
        <c:gapWidth val="41"/>
        <c:axId val="261387392"/>
        <c:axId val="261388928"/>
      </c:barChart>
      <c:catAx>
        <c:axId val="261387392"/>
        <c:scaling>
          <c:orientation val="minMax"/>
        </c:scaling>
        <c:delete val="fals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true"/>
        <c:lblAlgn val="ctr"/>
        <c:lblOffset val="100"/>
        <c:noMultiLvlLbl val="false"/>
      </c:catAx>
      <c:valAx>
        <c:axId val="261388928"/>
        <c:scaling>
          <c:orientation val="minMax"/>
        </c:scaling>
        <c:delete val="true"/>
        <c:axPos val="l"/>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dk1">
                  <a:lumMod val="65000"/>
                  <a:lumOff val="35000"/>
                </a:schemeClr>
              </a:solidFill>
              <a:latin typeface="+mn-lt"/>
              <a:ea typeface="+mn-ea"/>
              <a:cs typeface="+mn-cs"/>
            </a:defRPr>
          </a:pPr>
        </a:p>
      </c:txPr>
    </c:legend>
    <c:plotVisOnly val="true"/>
    <c:dispBlanksAs val="gap"/>
    <c:showDLblsOverMax val="false"/>
  </c:chart>
  <c:spPr>
    <a:gradFill flip="none" rotWithShape="true">
      <a:gsLst>
        <a:gs pos="0">
          <a:schemeClr val="lt1"/>
        </a:gs>
        <a:gs pos="68000">
          <a:schemeClr val="lt1">
            <a:lumMod val="85000"/>
          </a:schemeClr>
        </a:gs>
        <a:gs pos="100000">
          <a:schemeClr val="lt1"/>
        </a:gs>
      </a:gsLst>
      <a:lin ang="5400000" scaled="true"/>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Pt>
            <c:idx val="4"/>
            <c:bubble3D val="false"/>
          </c:dPt>
          <c:dPt>
            <c:idx val="5"/>
            <c:bubble3D val="false"/>
          </c:dPt>
          <c:dPt>
            <c:idx val="6"/>
            <c:bubble3D val="false"/>
          </c:dPt>
          <c:dPt>
            <c:idx val="7"/>
            <c:bubble3D val="false"/>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{17957751.57,0,0,0,0,0,0,0}</c:f>
              <c:numCache>
                <c:formatCode>General</c:formatCode>
                <c:ptCount val="8"/>
                <c:pt idx="0">
                  <c:v>17957751.57</c:v>
                </c:pt>
                <c:pt idx="1">
                  <c:v>0</c:v>
                </c:pt>
                <c:pt idx="2">
                  <c:v>0</c:v>
                </c:pt>
                <c:pt idx="3">
                  <c:v>0</c:v>
                </c:pt>
                <c:pt idx="4">
                  <c:v>0</c:v>
                </c:pt>
                <c:pt idx="5">
                  <c:v>0</c:v>
                </c:pt>
                <c:pt idx="6">
                  <c:v>0</c:v>
                </c:pt>
                <c:pt idx="7">
                  <c:v>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zero"/>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Pt>
            <c:idx val="4"/>
            <c:bubble3D val="false"/>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{17957751.57,0,0,0,0}</c:f>
              <c:numCache>
                <c:formatCode>General</c:formatCode>
                <c:ptCount val="5"/>
                <c:pt idx="0">
                  <c:v>17957751.57</c:v>
                </c:pt>
                <c:pt idx="1">
                  <c:v>0</c:v>
                </c:pt>
                <c:pt idx="2">
                  <c:v>0</c:v>
                </c:pt>
                <c:pt idx="3">
                  <c:v>0</c:v>
                </c:pt>
                <c:pt idx="4">
                  <c:v>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zero"/>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true"/>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false"/>
      <c:spPr>
        <a:noFill/>
        <a:ln>
          <a:noFill/>
        </a:ln>
        <a:effectLst/>
      </c:spPr>
    </c:title>
    <c:autoTitleDeleted val="false"/>
    <c:plotArea>
      <c:layout/>
      <c:barChart>
        <c:barDir val="col"/>
        <c:grouping val="clustered"/>
        <c:varyColors val="false"/>
        <c:ser>
          <c:idx val="1"/>
          <c:order val="0"/>
          <c:tx>
            <c:strRef>
              <c:f>收入</c:f>
              <c:strCache>
                <c:ptCount val="1"/>
                <c:pt idx="0">
                  <c:v>收入</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{1536.93,1795.78}</c:f>
              <c:numCache>
                <c:formatCode>General</c:formatCode>
                <c:ptCount val="2"/>
                <c:pt idx="0">
                  <c:v>1536.93</c:v>
                </c:pt>
                <c:pt idx="1">
                  <c:v>1795.78</c:v>
                </c:pt>
              </c:numCache>
            </c:numRef>
          </c:val>
        </c:ser>
        <c:ser>
          <c:idx val="2"/>
          <c:order val="1"/>
          <c:tx>
            <c:strRef>
              <c:f>支出</c:f>
              <c:strCache>
                <c:ptCount val="1"/>
                <c:pt idx="0">
                  <c:v>支出</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{1536.93,1795.78}</c:f>
              <c:numCache>
                <c:formatCode>General</c:formatCode>
                <c:ptCount val="2"/>
                <c:pt idx="0">
                  <c:v>1536.93</c:v>
                </c:pt>
                <c:pt idx="1">
                  <c:v>1795.78</c:v>
                </c:pt>
              </c:numCache>
            </c:numRef>
          </c:val>
        </c:ser>
        <c:dLbls>
          <c:showLegendKey val="false"/>
          <c:showVal val="true"/>
          <c:showCatName val="false"/>
          <c:showSerName val="false"/>
          <c:showPercent val="false"/>
          <c:showBubbleSize val="false"/>
        </c:dLbls>
        <c:gapWidth val="100"/>
        <c:overlap val="-24"/>
        <c:axId val="263359104"/>
        <c:axId val="263373184"/>
      </c:barChart>
      <c:catAx>
        <c:axId val="263359104"/>
        <c:scaling>
          <c:orientation val="minMax"/>
        </c:scaling>
        <c:delete val="fals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crossAx val="263373184"/>
        <c:crosses val="autoZero"/>
        <c:auto val="true"/>
        <c:lblAlgn val="ctr"/>
        <c:lblOffset val="100"/>
        <c:noMultiLvlLbl val="false"/>
      </c:catAx>
      <c:valAx>
        <c:axId val="263373184"/>
        <c:scaling>
          <c:orientation val="minMax"/>
        </c:scaling>
        <c:delete val="false"/>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legend>
    <c:plotVisOnly val="true"/>
    <c:dispBlanksAs val="gap"/>
    <c:showDLblsOverMax val="false"/>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true"/>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false"/>
      <c:spPr>
        <a:noFill/>
        <a:ln>
          <a:noFill/>
        </a:ln>
        <a:effectLst/>
      </c:spPr>
    </c:title>
    <c:autoTitleDeleted val="false"/>
    <c:plotArea>
      <c:layout>
        <c:manualLayout>
          <c:layoutTarget val="inner"/>
          <c:xMode val="edge"/>
          <c:yMode val="edge"/>
          <c:x val="0.0736333103993069"/>
          <c:y val="0.199582873033408"/>
          <c:w val="0.767623678108199"/>
          <c:h val="0.708506514060342"/>
        </c:manualLayout>
      </c:layout>
      <c:barChart>
        <c:barDir val="col"/>
        <c:grouping val="clustered"/>
        <c:varyColors val="false"/>
        <c:ser>
          <c:idx val="1"/>
          <c:order val="0"/>
          <c:tx>
            <c:strRef>
              <c:f>2020</c:f>
              <c:strCache>
                <c:ptCount val="1"/>
                <c:pt idx="0">
                  <c:v>2020</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{"一般公共预算财政拨款支出"}</c:f>
              <c:strCache>
                <c:ptCount val="1"/>
                <c:pt idx="0">
                  <c:v>一般公共预算财政拨款支出</c:v>
                </c:pt>
              </c:strCache>
            </c:strRef>
          </c:cat>
          <c:val>
            <c:numRef>
              <c:f>{1536.93}</c:f>
              <c:numCache>
                <c:formatCode>General</c:formatCode>
                <c:ptCount val="1"/>
                <c:pt idx="0">
                  <c:v>1536.93</c:v>
                </c:pt>
              </c:numCache>
            </c:numRef>
          </c:val>
        </c:ser>
        <c:ser>
          <c:idx val="2"/>
          <c:order val="1"/>
          <c:tx>
            <c:strRef>
              <c:f>2021</c:f>
              <c:strCache>
                <c:ptCount val="1"/>
                <c:pt idx="0">
                  <c:v>2021</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{"一般公共预算财政拨款支出"}</c:f>
              <c:strCache>
                <c:ptCount val="1"/>
                <c:pt idx="0">
                  <c:v>一般公共预算财政拨款支出</c:v>
                </c:pt>
              </c:strCache>
            </c:strRef>
          </c:cat>
          <c:val>
            <c:numRef>
              <c:f>{1795.78}</c:f>
              <c:numCache>
                <c:formatCode>General</c:formatCode>
                <c:ptCount val="1"/>
                <c:pt idx="0">
                  <c:v>1795.78</c:v>
                </c:pt>
              </c:numCache>
            </c:numRef>
          </c:val>
        </c:ser>
        <c:dLbls>
          <c:showLegendKey val="false"/>
          <c:showVal val="true"/>
          <c:showCatName val="false"/>
          <c:showSerName val="false"/>
          <c:showPercent val="false"/>
          <c:showBubbleSize val="false"/>
        </c:dLbls>
        <c:gapWidth val="100"/>
        <c:overlap val="-24"/>
        <c:axId val="263440640"/>
        <c:axId val="263135232"/>
      </c:barChart>
      <c:catAx>
        <c:axId val="263440640"/>
        <c:scaling>
          <c:orientation val="minMax"/>
        </c:scaling>
        <c:delete val="tru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63135232"/>
        <c:crosses val="autoZero"/>
        <c:auto val="true"/>
        <c:lblAlgn val="ctr"/>
        <c:lblOffset val="100"/>
        <c:noMultiLvlLbl val="false"/>
      </c:catAx>
      <c:valAx>
        <c:axId val="263135232"/>
        <c:scaling>
          <c:orientation val="minMax"/>
        </c:scaling>
        <c:delete val="false"/>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{"社会保障和就业支出","卫生健康支出","农林水支出","住房保障支出"}</c:f>
              <c:strCache>
                <c:ptCount val="4"/>
                <c:pt idx="0">
                  <c:v>社会保障和就业支出</c:v>
                </c:pt>
                <c:pt idx="1">
                  <c:v>卫生健康支出</c:v>
                </c:pt>
                <c:pt idx="2">
                  <c:v>农林水支出</c:v>
                </c:pt>
                <c:pt idx="3">
                  <c:v>住房保障支出</c:v>
                </c:pt>
              </c:strCache>
            </c:strRef>
          </c:cat>
          <c:val>
            <c:numRef>
              <c:f>{168.07,81.68,1436.2,109.83}</c:f>
              <c:numCache>
                <c:formatCode>General</c:formatCode>
                <c:ptCount val="4"/>
                <c:pt idx="0">
                  <c:v>168.07</c:v>
                </c:pt>
                <c:pt idx="1">
                  <c:v>81.68</c:v>
                </c:pt>
                <c:pt idx="2">
                  <c:v>1436.2</c:v>
                </c:pt>
                <c:pt idx="3">
                  <c:v>109.83</c:v>
                </c:pt>
              </c:numCache>
            </c:numRef>
          </c:val>
        </c:ser>
        <c:dLbls>
          <c:showLegendKey val="false"/>
          <c:showVal val="true"/>
          <c:showCatName val="false"/>
          <c:showSerName val="false"/>
          <c:showPercent val="fals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{0,3.06,1.43}</c:f>
              <c:numCache>
                <c:formatCode>General</c:formatCode>
                <c:ptCount val="3"/>
                <c:pt idx="0">
                  <c:v>0</c:v>
                </c:pt>
                <c:pt idx="1">
                  <c:v>3.06</c:v>
                </c:pt>
                <c:pt idx="2">
                  <c:v>1.43</c:v>
                </c:pt>
              </c:numCache>
            </c:numRef>
          </c:val>
        </c:ser>
        <c:dLbls>
          <c:showLegendKey val="false"/>
          <c:showVal val="true"/>
          <c:showCatName val="false"/>
          <c:showSerName val="false"/>
          <c:showPercent val="fals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9143</Words>
  <Characters>10388</Characters>
  <Lines>51</Lines>
  <Paragraphs>14</Paragraphs>
  <TotalTime>5</TotalTime>
  <ScaleCrop>false</ScaleCrop>
  <LinksUpToDate>false</LinksUpToDate>
  <CharactersWithSpaces>10530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2022-08-17T09:31:00Z</dcterms:created>
  <dc:creator>lgk</dc:creator>
  <cp:lastModifiedBy>军魂不变</cp:lastModifiedBy>
  <cp:lastPrinted>2021-09-26T16:39:00Z</cp:lastPrinted>
  <dcterms:modified xsi:type="dcterms:W3CDTF">2022-09-29T16:47:44Z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B93CA6F4BEAD4F359769D1203595D585</vt:lpwstr>
  </property>
</Properties>
</file>