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rPr>
          <w:rFonts w:asciiTheme="minorEastAsia" w:hAnsiTheme="minorEastAsia" w:eastAsiaTheme="minorEastAsia"/>
          <w:b/>
          <w:sz w:val="72"/>
          <w:szCs w:val="72"/>
        </w:rPr>
      </w:pPr>
      <w:bookmarkStart w:id="0" w:name="_Toc15378441"/>
      <w:bookmarkStart w:id="1" w:name="_Toc15396597"/>
      <w:bookmarkStart w:id="2" w:name="_Toc15377425"/>
      <w:bookmarkStart w:id="3" w:name="_Toc15396475"/>
      <w:bookmarkStart w:id="4" w:name="_Toc15377193"/>
      <w:bookmarkStart w:id="5" w:name="_Toc15306267"/>
    </w:p>
    <w:p>
      <w:pPr>
        <w:pStyle w:val="2"/>
        <w:pageBreakBefore w:val="0"/>
        <w:kinsoku/>
        <w:wordWrap/>
        <w:overflowPunct/>
        <w:topLinePunct w:val="0"/>
        <w:bidi w:val="0"/>
        <w:ind w:firstLine="0"/>
      </w:pPr>
    </w:p>
    <w:p>
      <w:pPr>
        <w:pageBreakBefore w:val="0"/>
        <w:kinsoku/>
        <w:wordWrap/>
        <w:overflowPunct/>
        <w:topLinePunct w:val="0"/>
        <w:bidi w:val="0"/>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pageBreakBefore w:val="0"/>
        <w:kinsoku/>
        <w:wordWrap/>
        <w:overflowPunct/>
        <w:topLinePunct w:val="0"/>
        <w:bidi w:val="0"/>
        <w:jc w:val="center"/>
        <w:rPr>
          <w:rFonts w:asciiTheme="minorEastAsia" w:hAnsiTheme="minorEastAsia" w:eastAsiaTheme="minorEastAsia"/>
          <w:b/>
          <w:sz w:val="72"/>
          <w:szCs w:val="72"/>
        </w:rPr>
      </w:pPr>
      <w:bookmarkStart w:id="6" w:name="_Toc15378442"/>
      <w:bookmarkStart w:id="7" w:name="_Toc15306268"/>
      <w:bookmarkStart w:id="8" w:name="_Toc15396476"/>
      <w:bookmarkStart w:id="9" w:name="_Toc15377194"/>
      <w:bookmarkStart w:id="10" w:name="_Toc15396598"/>
      <w:bookmarkStart w:id="11" w:name="_Toc15377426"/>
      <w:r>
        <w:rPr>
          <w:rFonts w:asciiTheme="minorEastAsia" w:hAnsiTheme="minorEastAsia" w:eastAsiaTheme="minorEastAsia"/>
          <w:b/>
          <w:sz w:val="72"/>
          <w:szCs w:val="72"/>
        </w:rPr>
        <w:t>阿坝州茂县林业和草原局行政</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tabs>
          <w:tab w:val="left" w:pos="3600"/>
        </w:tabs>
        <w:kinsoku/>
        <w:wordWrap/>
        <w:overflowPunct/>
        <w:topLinePunct w:val="0"/>
        <w:bidi w:val="0"/>
      </w:pPr>
      <w:r>
        <w:tab/>
      </w: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Style w:val="2"/>
        <w:pageBreakBefore w:val="0"/>
        <w:kinsoku/>
        <w:wordWrap/>
        <w:overflowPunct/>
        <w:topLinePunct w:val="0"/>
        <w:bidi w:val="0"/>
      </w:pPr>
    </w:p>
    <w:p>
      <w:pPr>
        <w:pageBreakBefore w:val="0"/>
        <w:kinsoku/>
        <w:wordWrap/>
        <w:overflowPunct/>
        <w:topLinePunct w:val="0"/>
        <w:autoSpaceDE w:val="0"/>
        <w:autoSpaceDN w:val="0"/>
        <w:bidi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pageBreakBefore w:val="0"/>
        <w:kinsoku/>
        <w:wordWrap/>
        <w:overflowPunct/>
        <w:topLinePunct w:val="0"/>
        <w:autoSpaceDE w:val="0"/>
        <w:autoSpaceDN w:val="0"/>
        <w:bidi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ageBreakBefore w:val="0"/>
        <w:widowControl/>
        <w:kinsoku/>
        <w:wordWrap/>
        <w:overflowPunct/>
        <w:topLinePunct w:val="0"/>
        <w:bidi w:val="0"/>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pageBreakBefore w:val="0"/>
        <w:kinsoku/>
        <w:wordWrap/>
        <w:overflowPunct/>
        <w:topLinePunct w:val="0"/>
        <w:bidi w:val="0"/>
        <w:spacing w:before="0"/>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pageBreakBefore w:val="0"/>
        <w:kinsoku/>
        <w:wordWrap/>
        <w:overflowPunct/>
        <w:topLinePunct w:val="0"/>
        <w:bidi w:val="0"/>
        <w:spacing w:before="0"/>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pageBreakBefore w:val="0"/>
        <w:kinsoku/>
        <w:wordWrap/>
        <w:overflowPunct/>
        <w:topLinePunct w:val="0"/>
        <w:bidi w:val="0"/>
        <w:spacing w:before="0"/>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pageBreakBefore w:val="0"/>
        <w:kinsoku/>
        <w:wordWrap/>
        <w:overflowPunct/>
        <w:topLinePunct w:val="0"/>
        <w:bidi w:val="0"/>
        <w:spacing w:before="0"/>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pageBreakBefore w:val="0"/>
        <w:kinsoku/>
        <w:wordWrap/>
        <w:overflowPunct/>
        <w:topLinePunct w:val="0"/>
        <w:bidi w:val="0"/>
        <w:spacing w:before="0"/>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pageBreakBefore w:val="0"/>
        <w:kinsoku/>
        <w:wordWrap/>
        <w:overflowPunct/>
        <w:topLinePunct w:val="0"/>
        <w:bidi w:val="0"/>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ageBreakBefore w:val="0"/>
        <w:kinsoku/>
        <w:wordWrap/>
        <w:overflowPunct/>
        <w:topLinePunct w:val="0"/>
        <w:bidi w:val="0"/>
      </w:pPr>
      <w:r>
        <w:rPr>
          <w:smallCaps/>
          <w:szCs w:val="20"/>
        </w:rPr>
        <w:fldChar w:fldCharType="end"/>
      </w:r>
    </w:p>
    <w:p>
      <w:pPr>
        <w:pStyle w:val="3"/>
        <w:pageBreakBefore w:val="0"/>
        <w:kinsoku/>
        <w:wordWrap/>
        <w:overflowPunct/>
        <w:topLinePunct w:val="0"/>
        <w:bidi w:val="0"/>
        <w:spacing w:before="0" w:after="0" w:line="560" w:lineRule="exact"/>
        <w:jc w:val="center"/>
        <w:rPr>
          <w:rFonts w:hint="eastAsia" w:ascii="黑体" w:hAnsi="黑体" w:eastAsia="黑体" w:cs="黑体"/>
        </w:rPr>
      </w:pPr>
      <w:bookmarkStart w:id="13" w:name="_Toc111208495"/>
      <w:bookmarkStart w:id="14" w:name="_Toc113981009"/>
    </w:p>
    <w:p>
      <w:pPr>
        <w:pStyle w:val="3"/>
        <w:pageBreakBefore w:val="0"/>
        <w:kinsoku/>
        <w:wordWrap/>
        <w:overflowPunct/>
        <w:topLinePunct w:val="0"/>
        <w:bidi w:val="0"/>
        <w:spacing w:before="0" w:after="0" w:line="560" w:lineRule="exact"/>
        <w:jc w:val="center"/>
        <w:rPr>
          <w:rFonts w:ascii="黑体" w:hAnsi="黑体" w:eastAsia="黑体" w:cs="黑体"/>
          <w:b w:val="0"/>
          <w:bCs w:val="0"/>
        </w:rPr>
      </w:pPr>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5" w:name="_Toc15377197"/>
      <w:bookmarkStart w:id="16" w:name="_Toc111208496"/>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 w:hAnsi="楷体" w:eastAsia="楷体" w:cs="楷体"/>
          <w:b/>
          <w:bCs w:val="0"/>
          <w:color w:val="000000"/>
          <w:sz w:val="32"/>
          <w:szCs w:val="32"/>
          <w:lang w:eastAsia="zh-CN"/>
        </w:rPr>
      </w:pPr>
      <w:r>
        <w:rPr>
          <w:rFonts w:hint="eastAsia" w:ascii="楷体" w:hAnsi="楷体" w:eastAsia="楷体" w:cs="楷体"/>
          <w:b/>
          <w:bCs w:val="0"/>
          <w:color w:val="000000"/>
          <w:sz w:val="32"/>
          <w:szCs w:val="32"/>
        </w:rPr>
        <w:t>（一）主要职能</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pPr>
        <w:pageBreakBefore w:val="0"/>
        <w:kinsoku/>
        <w:wordWrap/>
        <w:overflowPunct/>
        <w:topLinePunct w:val="0"/>
        <w:bidi w:val="0"/>
        <w:spacing w:line="560" w:lineRule="exact"/>
        <w:ind w:firstLine="642" w:firstLineChars="200"/>
        <w:outlineLvl w:val="2"/>
        <w:rPr>
          <w:rFonts w:hint="eastAsia" w:ascii="楷体" w:hAnsi="楷体" w:eastAsia="楷体" w:cs="楷体"/>
          <w:b/>
          <w:bCs w:val="0"/>
          <w:color w:val="000000"/>
          <w:sz w:val="32"/>
          <w:szCs w:val="32"/>
        </w:rPr>
      </w:pPr>
      <w:bookmarkStart w:id="20" w:name="_Toc15378446"/>
      <w:bookmarkStart w:id="21" w:name="_Toc15377199"/>
      <w:r>
        <w:rPr>
          <w:rFonts w:hint="eastAsia" w:ascii="楷体" w:hAnsi="楷体" w:eastAsia="楷体" w:cs="楷体"/>
          <w:b/>
          <w:bCs w:val="0"/>
          <w:color w:val="000000"/>
          <w:sz w:val="32"/>
          <w:szCs w:val="32"/>
        </w:rPr>
        <w:t>（二）2021重点工作完成情况</w:t>
      </w:r>
      <w:bookmarkEnd w:id="20"/>
      <w:bookmarkEnd w:id="21"/>
      <w:bookmarkStart w:id="22" w:name="_Toc15377200"/>
    </w:p>
    <w:p>
      <w:pPr>
        <w:pageBreakBefore w:val="0"/>
        <w:kinsoku/>
        <w:wordWrap/>
        <w:overflowPunct/>
        <w:topLinePunct w:val="0"/>
        <w:bidi w:val="0"/>
        <w:spacing w:line="560" w:lineRule="exact"/>
        <w:rPr>
          <w:rFonts w:hint="eastAsia" w:ascii="仿宋" w:hAnsi="仿宋" w:eastAsia="仿宋"/>
          <w:color w:val="000000"/>
          <w:sz w:val="32"/>
          <w:szCs w:val="32"/>
          <w:lang w:eastAsia="zh-CN"/>
        </w:rPr>
      </w:pPr>
    </w:p>
    <w:bookmarkEnd w:id="22"/>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bookmarkStart w:id="23" w:name="_Toc15377204"/>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森林草原资源保护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落实保护和发展森林资源目标责任制，</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林地保有量</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森林覆盖率；对县域内现存古树进行日常管护。落实保护和发展森林资源目标责任制，与各镇签订保护发展森林资源目标责任书。完成</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全县2021年森林督查暨森林资源管理“一张图”年度更新；扎实开展林政案件执法，依法行政，开展“规范林业执法行为提升林业执法能力”专项行动，深入开展行政审批制度和深化政务服务“最多跑一次”一体化改革，认真落实法律顾问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rPr>
        <w:t>野生动植物保护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对全县野生动物、野生植物进行有效保护，发放野生动植物图鉴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野生动物宣传册</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rPr>
        <w:t>生态建设项目推进。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实施茂县2021年度绿色廊道巩固提升项目（2021年茂县服务省文旅大会绿化美化），完成茂县境内G213及G347沿线绿色廊道缺损苗木的栽植和补植；实施2019年飞虹乡浅沟村干旱河谷综合治理造林工程，完成造林面积1112亩，栽植各类苗木111395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完成2021年管护期内营造林补植补造及管护项目</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rPr>
        <w:t>惠民补贴资金兑现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生态公益性岗位。在全县范围内选用符合条件的生态护林员（草管员）。集体公益林生态效益补偿金。兑现落实全县集体公益林生态效益补偿金</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集体和个人天然商品林停伐补助。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大熊猫国家公园建设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firstLine="640" w:firstLineChars="200"/>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color w:val="000000"/>
          <w:sz w:val="32"/>
          <w:szCs w:val="32"/>
        </w:rPr>
        <w:t>实施大熊猫国家公园茂县园区导示标牌建设项目，在土地岭和荞面沟分别建设一处导示标志。实施茂县2021年大熊猫国家公园补助建设项目，新建成覆盖永和村和团结村的监测系统、实施大熊猫国家茂县片区生态保护建设</w:t>
      </w:r>
      <w:r>
        <w:rPr>
          <w:rFonts w:hint="eastAsia" w:ascii="仿宋_GB2312" w:hAnsi="仿宋_GB2312" w:eastAsia="仿宋_GB2312" w:cs="仿宋_GB2312"/>
          <w:b w:val="0"/>
          <w:bCs w:val="0"/>
          <w:color w:val="000000"/>
          <w:sz w:val="32"/>
          <w:szCs w:val="32"/>
        </w:rPr>
        <w:t>项目</w:t>
      </w:r>
      <w:r>
        <w:rPr>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2"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6.</w:t>
      </w:r>
      <w:r>
        <w:rPr>
          <w:rFonts w:hint="eastAsia" w:ascii="仿宋_GB2312" w:hAnsi="仿宋_GB2312" w:eastAsia="仿宋_GB2312" w:cs="仿宋_GB2312"/>
          <w:b/>
          <w:bCs/>
          <w:color w:val="000000"/>
          <w:sz w:val="32"/>
          <w:szCs w:val="32"/>
        </w:rPr>
        <w:t>森林草原防灭火</w:t>
      </w:r>
      <w:r>
        <w:rPr>
          <w:rFonts w:hint="eastAsia" w:ascii="仿宋_GB2312" w:hAnsi="仿宋_GB2312" w:eastAsia="仿宋_GB2312" w:cs="仿宋_GB2312"/>
          <w:b/>
          <w:bCs/>
          <w:color w:val="00000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压实责任抓隐患整治。成立5个以局领导班子带队的包片督导组，对全县11个镇防火责任包干到人头。制定《茂县森林草原火灾风险隐患排查整治运行规程》，压实各单位隐患排查整治责任。制定《茂县生态护林（草）员管理实施细则》和《茂县生态护林（草）员考核细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扑火队伍建设，森林草原专业扑火队伍靠前驻训，集中待命，保持战备状态</w:t>
      </w:r>
      <w:r>
        <w:rPr>
          <w:rFonts w:hint="eastAsia" w:ascii="仿宋_GB2312" w:hAnsi="仿宋_GB2312" w:eastAsia="仿宋_GB2312" w:cs="仿宋_GB2312"/>
          <w:color w:val="000000"/>
          <w:sz w:val="32"/>
          <w:szCs w:val="32"/>
          <w:lang w:eastAsia="zh-CN"/>
        </w:rPr>
        <w:t>。</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2" w:firstLineChars="200"/>
        <w:textAlignment w:val="auto"/>
        <w:rPr>
          <w:rFonts w:hint="eastAsia" w:ascii="黑体" w:eastAsia="黑体" w:cs="Times New Roman"/>
          <w:bCs w:val="0"/>
          <w:color w:val="000000"/>
        </w:rPr>
      </w:pPr>
      <w:bookmarkStart w:id="24" w:name="_Toc113981011"/>
      <w:bookmarkStart w:id="25" w:name="_Toc111208497"/>
      <w:r>
        <w:rPr>
          <w:rFonts w:hint="eastAsia" w:ascii="黑体" w:eastAsia="黑体" w:cs="Times New Roman"/>
          <w:bCs w:val="0"/>
          <w:color w:val="000000"/>
        </w:rPr>
        <w:t>二、机构设置</w:t>
      </w:r>
      <w:bookmarkEnd w:id="24"/>
      <w:bookmarkEnd w:id="25"/>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茂县林业和草原局属一级预算单位,下属二级预算单位 0 个,其中：行政单位0个，参照公务员法管理的事业单位 0个,其他事业单位 0个;参照公务员法管理的事业单位是:0个;其他事业单位分别是:0个。纳入茂县林业和草原局202</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年度部门决算编制范围的二级预算单位包括0个。</w:t>
      </w:r>
    </w:p>
    <w:p>
      <w:pPr>
        <w:pageBreakBefore w:val="0"/>
        <w:widowControl/>
        <w:kinsoku/>
        <w:wordWrap/>
        <w:overflowPunct/>
        <w:topLinePunct w:val="0"/>
        <w:bidi w:val="0"/>
        <w:spacing w:line="560" w:lineRule="exact"/>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pageBreakBefore w:val="0"/>
        <w:kinsoku/>
        <w:wordWrap/>
        <w:overflowPunct/>
        <w:topLinePunct w:val="0"/>
        <w:bidi w:val="0"/>
        <w:spacing w:before="0" w:after="0" w:line="560" w:lineRule="exact"/>
        <w:jc w:val="center"/>
        <w:rPr>
          <w:rFonts w:ascii="黑体" w:hAnsi="黑体" w:eastAsia="黑体" w:cs="黑体"/>
        </w:rPr>
      </w:pPr>
      <w:bookmarkStart w:id="26" w:name="_Toc111208498"/>
      <w:bookmarkStart w:id="27"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3"/>
      <w:bookmarkEnd w:id="26"/>
      <w:bookmarkEnd w:id="27"/>
    </w:p>
    <w:p>
      <w:pPr>
        <w:pStyle w:val="4"/>
        <w:pageBreakBefore w:val="0"/>
        <w:kinsoku/>
        <w:wordWrap/>
        <w:overflowPunct/>
        <w:topLinePunct w:val="0"/>
        <w:bidi w:val="0"/>
        <w:spacing w:before="0" w:after="0" w:line="560" w:lineRule="exact"/>
        <w:ind w:firstLine="642" w:firstLineChars="200"/>
        <w:rPr>
          <w:rFonts w:hint="eastAsia" w:ascii="黑体" w:eastAsia="黑体" w:cs="Times New Roman"/>
          <w:bCs w:val="0"/>
          <w:color w:val="000000"/>
        </w:rPr>
      </w:pPr>
      <w:bookmarkStart w:id="28" w:name="_Toc15377205"/>
      <w:bookmarkStart w:id="29" w:name="_Toc113981013"/>
      <w:bookmarkStart w:id="30" w:name="_Toc111208499"/>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B0F0"/>
          <w:sz w:val="32"/>
          <w:szCs w:val="32"/>
          <w:lang w:val="en-US" w:eastAsia="zh-CN"/>
        </w:rPr>
      </w:pPr>
      <w:r>
        <w:rPr>
          <w:rFonts w:hint="eastAsia" w:ascii="仿宋_GB2312" w:hAnsi="仿宋_GB2312" w:eastAsia="仿宋_GB2312" w:cs="仿宋_GB2312"/>
          <w:color w:val="000000"/>
          <w:sz w:val="32"/>
          <w:szCs w:val="32"/>
        </w:rPr>
        <w:t>2021年度收、支总计13716.58万元。与2020年相比，收、支总计各增加710.94万元，增加5.47 %。主要变动原因是项目增加</w:t>
      </w:r>
      <w:r>
        <w:rPr>
          <w:rFonts w:hint="eastAsia" w:ascii="仿宋_GB2312" w:hAnsi="仿宋_GB2312" w:eastAsia="仿宋_GB2312" w:cs="仿宋_GB2312"/>
          <w:color w:val="000000"/>
          <w:sz w:val="32"/>
          <w:szCs w:val="32"/>
          <w:lang w:eastAsia="zh-CN"/>
        </w:rPr>
        <w:t>。</w:t>
      </w:r>
    </w:p>
    <w:p>
      <w:pPr>
        <w:pageBreakBefore w:val="0"/>
        <w:kinsoku/>
        <w:wordWrap/>
        <w:overflowPunct/>
        <w:topLinePunct w:val="0"/>
        <w:bidi w:val="0"/>
        <w:spacing w:line="560" w:lineRule="exact"/>
        <w:ind w:firstLine="1600" w:firstLineChars="5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（图1：收、支决算总计变动情况图）</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ageBreakBefore w:val="0"/>
        <w:kinsoku/>
        <w:wordWrap/>
        <w:overflowPunct/>
        <w:topLinePunct w:val="0"/>
        <w:bidi w:val="0"/>
        <w:spacing w:line="560" w:lineRule="exact"/>
        <w:ind w:firstLine="560" w:firstLineChars="200"/>
        <w:jc w:val="center"/>
        <w:rPr>
          <w:rFonts w:ascii="仿宋_GB2312" w:eastAsia="仿宋_GB2312"/>
          <w:color w:val="000000"/>
          <w:sz w:val="28"/>
          <w:szCs w:val="28"/>
        </w:rPr>
      </w:pPr>
    </w:p>
    <w:p>
      <w:pPr>
        <w:pStyle w:val="2"/>
        <w:pageBreakBefore w:val="0"/>
        <w:kinsoku/>
        <w:wordWrap/>
        <w:overflowPunct/>
        <w:topLinePunct w:val="0"/>
        <w:bidi w:val="0"/>
        <w:spacing w:line="560" w:lineRule="exact"/>
      </w:pPr>
      <w:r>
        <w:drawing>
          <wp:anchor distT="0" distB="0" distL="114300" distR="114300" simplePos="0" relativeHeight="251659264" behindDoc="0" locked="0" layoutInCell="1" allowOverlap="1">
            <wp:simplePos x="0" y="0"/>
            <wp:positionH relativeFrom="column">
              <wp:posOffset>431800</wp:posOffset>
            </wp:positionH>
            <wp:positionV relativeFrom="paragraph">
              <wp:posOffset>-2649220</wp:posOffset>
            </wp:positionV>
            <wp:extent cx="5095875" cy="2715260"/>
            <wp:effectExtent l="4445" t="4445" r="5080" b="23495"/>
            <wp:wrapSquare wrapText="bothSides"/>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31" w:name="_Toc15377206"/>
      <w:bookmarkStart w:id="32" w:name="_Toc111208500"/>
      <w:bookmarkStart w:id="33" w:name="_Toc113981014"/>
      <w:r>
        <w:rPr>
          <w:rFonts w:hint="eastAsia" w:ascii="黑体" w:eastAsia="黑体" w:cs="Times New Roman"/>
          <w:bCs w:val="0"/>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11288.47万元，其中：一般公共预算财政拨款收入10610.26万元，占93.99%；政府性基金预算财政拨款收入678.21万元，占6.01%；国有资本经营预算财政拨款收入0.00万元；上级补助收入0.00万元；事业收入0.00万元%；经营收入0.00万元；附属单位上缴收入0.00万元，；其他收入0.00万元。</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color w:val="000000"/>
          <w:sz w:val="32"/>
          <w:szCs w:val="32"/>
        </w:rPr>
      </w:pPr>
    </w:p>
    <w:p>
      <w:pPr>
        <w:pageBreakBefore w:val="0"/>
        <w:kinsoku/>
        <w:wordWrap/>
        <w:overflowPunct/>
        <w:topLinePunct w:val="0"/>
        <w:bidi w:val="0"/>
        <w:spacing w:line="560" w:lineRule="exact"/>
        <w:ind w:firstLine="2560" w:firstLineChars="8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（图2：收入决算结构图）</w:t>
      </w: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552450</wp:posOffset>
            </wp:positionH>
            <wp:positionV relativeFrom="paragraph">
              <wp:posOffset>438785</wp:posOffset>
            </wp:positionV>
            <wp:extent cx="4665980" cy="2447925"/>
            <wp:effectExtent l="4445" t="4445" r="15875" b="50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13"/>
        <w:pageBreakBefore w:val="0"/>
        <w:kinsoku/>
        <w:wordWrap/>
        <w:overflowPunct/>
        <w:topLinePunct w:val="0"/>
        <w:bidi w:val="0"/>
        <w:spacing w:line="560" w:lineRule="exact"/>
        <w:ind w:left="1060" w:hanging="640"/>
        <w:jc w:val="center"/>
      </w:pP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34" w:name="_Toc15377207"/>
      <w:bookmarkStart w:id="35" w:name="_Toc111208501"/>
      <w:bookmarkStart w:id="36" w:name="_Toc113981015"/>
      <w:r>
        <w:rPr>
          <w:rFonts w:hint="eastAsia" w:ascii="黑体" w:eastAsia="黑体" w:cs="Times New Roman"/>
          <w:bCs w:val="0"/>
          <w:color w:val="000000"/>
        </w:rPr>
        <w:t>三、支出决算情况说明</w:t>
      </w:r>
      <w:bookmarkEnd w:id="34"/>
      <w:bookmarkEnd w:id="35"/>
      <w:bookmarkEnd w:id="36"/>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2021年本年支出合计13716.58万元，其中：基本支出489.17万元，占3.57%；项目支出13227.42万元，占96.43%；上缴上级支出0.00万元；经营支出0.00万元；对附属单位补助支出0.00万元。</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（图3：支出决算结构图）</w:t>
      </w:r>
    </w:p>
    <w:p>
      <w:pPr>
        <w:pStyle w:val="2"/>
        <w:rPr>
          <w:rFonts w:hint="eastAsia" w:ascii="仿宋" w:hAnsi="仿宋" w:eastAsia="仿宋"/>
          <w:color w:val="00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400050</wp:posOffset>
            </wp:positionH>
            <wp:positionV relativeFrom="paragraph">
              <wp:posOffset>63500</wp:posOffset>
            </wp:positionV>
            <wp:extent cx="4885690" cy="2742565"/>
            <wp:effectExtent l="4445" t="4445" r="5715" b="1524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ind w:left="0" w:leftChars="0" w:firstLine="0" w:firstLineChars="0"/>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ageBreakBefore w:val="0"/>
        <w:kinsoku/>
        <w:wordWrap/>
        <w:overflowPunct/>
        <w:topLinePunct w:val="0"/>
        <w:bidi w:val="0"/>
        <w:spacing w:line="560" w:lineRule="exact"/>
        <w:jc w:val="center"/>
        <w:rPr>
          <w:rFonts w:ascii="仿宋_GB2312" w:eastAsia="仿宋_GB2312"/>
          <w:color w:val="FF0000"/>
          <w:sz w:val="32"/>
          <w:szCs w:val="32"/>
        </w:rPr>
      </w:pPr>
    </w:p>
    <w:p>
      <w:pPr>
        <w:pStyle w:val="2"/>
        <w:pageBreakBefore w:val="0"/>
        <w:kinsoku/>
        <w:wordWrap/>
        <w:overflowPunct/>
        <w:topLinePunct w:val="0"/>
        <w:bidi w:val="0"/>
        <w:spacing w:line="560" w:lineRule="exact"/>
        <w:ind w:left="0" w:leftChars="0" w:firstLine="0" w:firstLineChars="0"/>
      </w:pP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37" w:name="_Toc15377208"/>
      <w:bookmarkStart w:id="38" w:name="_Toc111208502"/>
      <w:bookmarkStart w:id="39" w:name="_Toc113981016"/>
      <w:r>
        <w:rPr>
          <w:rFonts w:hint="eastAsia" w:ascii="黑体" w:eastAsia="黑体" w:cs="Times New Roman"/>
          <w:bCs w:val="0"/>
          <w:color w:val="000000"/>
        </w:rPr>
        <w:t>四、财政拨款收入支出决算总体情况说明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2021年财政拨款收、支总计13716.58万元。与2020年相比，财政拨款收、支总计各增加710.94万元，增加5.47 %。主要变动原因是项目增加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w:t>
      </w:r>
    </w:p>
    <w:p>
      <w:pPr>
        <w:pStyle w:val="2"/>
        <w:ind w:left="0" w:leftChars="0" w:firstLine="0" w:firstLineChars="0"/>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pageBreakBefore w:val="0"/>
        <w:kinsoku/>
        <w:wordWrap/>
        <w:overflowPunct/>
        <w:topLinePunct w:val="0"/>
        <w:bidi w:val="0"/>
        <w:spacing w:line="560" w:lineRule="exact"/>
        <w:ind w:firstLine="0"/>
      </w:pPr>
    </w:p>
    <w:p>
      <w:pPr>
        <w:pStyle w:val="2"/>
        <w:pageBreakBefore w:val="0"/>
        <w:kinsoku/>
        <w:wordWrap/>
        <w:overflowPunct/>
        <w:topLinePunct w:val="0"/>
        <w:bidi w:val="0"/>
        <w:spacing w:line="560" w:lineRule="exact"/>
        <w:jc w:val="left"/>
      </w:pPr>
      <w:r>
        <w:rPr>
          <w:rFonts w:hint="eastAsia" w:ascii="仿宋_GB2312" w:hAnsi="仿宋" w:eastAsia="仿宋_GB2312"/>
          <w:color w:val="000000"/>
          <w:sz w:val="32"/>
          <w:szCs w:val="32"/>
        </w:rPr>
        <w:drawing>
          <wp:anchor distT="0" distB="0" distL="0" distR="0" simplePos="0" relativeHeight="251662336" behindDoc="0" locked="0" layoutInCell="1" allowOverlap="1">
            <wp:simplePos x="0" y="0"/>
            <wp:positionH relativeFrom="column">
              <wp:posOffset>431800</wp:posOffset>
            </wp:positionH>
            <wp:positionV relativeFrom="paragraph">
              <wp:posOffset>-2896870</wp:posOffset>
            </wp:positionV>
            <wp:extent cx="4981575" cy="3390900"/>
            <wp:effectExtent l="4445" t="4445" r="5080" b="1460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pageBreakBefore w:val="0"/>
        <w:kinsoku/>
        <w:wordWrap/>
        <w:overflowPunct/>
        <w:topLinePunct w:val="0"/>
        <w:bidi w:val="0"/>
        <w:spacing w:line="560" w:lineRule="exact"/>
        <w:jc w:val="center"/>
      </w:pP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2021年一般公共预算财政拨款支出13038.37万元，占本年支出合计的95.06%。与2020相比，一般公共预算财政拨款增加3315.44万元，增加34.10 %。主要变动原因是项目增加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2"/>
        <w:rPr>
          <w:rFonts w:hint="eastAsia" w:ascii="仿宋" w:hAnsi="仿宋" w:eastAsia="仿宋"/>
          <w:color w:val="000000"/>
          <w:sz w:val="32"/>
          <w:szCs w:val="32"/>
        </w:rPr>
      </w:pPr>
      <w:r>
        <w:rPr>
          <w:rFonts w:hint="eastAsia" w:ascii="仿宋_GB2312" w:hAnsi="仿宋" w:eastAsia="仿宋_GB2312"/>
          <w:b/>
          <w:color w:val="000000"/>
          <w:sz w:val="32"/>
          <w:szCs w:val="32"/>
        </w:rPr>
        <w:drawing>
          <wp:anchor distT="0" distB="0" distL="0" distR="0" simplePos="0" relativeHeight="251663360" behindDoc="0" locked="0" layoutInCell="1" allowOverlap="1">
            <wp:simplePos x="0" y="0"/>
            <wp:positionH relativeFrom="column">
              <wp:posOffset>447675</wp:posOffset>
            </wp:positionH>
            <wp:positionV relativeFrom="paragraph">
              <wp:posOffset>30480</wp:posOffset>
            </wp:positionV>
            <wp:extent cx="4734560" cy="3112135"/>
            <wp:effectExtent l="4445" t="4445" r="23495" b="762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pageBreakBefore w:val="0"/>
        <w:kinsoku/>
        <w:wordWrap/>
        <w:overflowPunct/>
        <w:topLinePunct w:val="0"/>
        <w:bidi w:val="0"/>
        <w:spacing w:line="560" w:lineRule="exact"/>
        <w:ind w:firstLine="0"/>
        <w:rPr>
          <w:rFonts w:ascii="仿宋_GB2312" w:hAnsi="仿宋" w:eastAsia="仿宋_GB2312"/>
          <w:b/>
          <w:color w:val="000000"/>
          <w:sz w:val="32"/>
          <w:szCs w:val="32"/>
        </w:rPr>
      </w:pPr>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r>
        <w:rPr>
          <w:rFonts w:hint="eastAsia" w:ascii="楷体" w:hAnsi="楷体" w:eastAsia="楷体" w:cs="楷体"/>
          <w:b/>
          <w:color w:val="000000"/>
          <w:sz w:val="32"/>
          <w:szCs w:val="32"/>
        </w:rPr>
        <w:t>（一般公共预算收支表）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政拨款支出13038.37万元，主要用于以下方面:社会保障和就业支出29.85万元，占0.23%；卫生健康支出31.25万元，占0.24%；节能环保支出4873.10万元，占37.38%；农林水支出7338.29万元，占56.28%；交通运输支出193.86万元，占1.49%；住房保障支出26.61万元，占0.20%；灾害防治及应急管理支出236.21万元，占1.81%；其他支出309.20万元，占2.37%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45" w:name="_Toc15377212"/>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pageBreakBefore w:val="0"/>
        <w:kinsoku/>
        <w:wordWrap/>
        <w:overflowPunct/>
        <w:topLinePunct w:val="0"/>
        <w:bidi w:val="0"/>
        <w:spacing w:line="560" w:lineRule="exact"/>
      </w:pPr>
      <w:r>
        <w:drawing>
          <wp:anchor distT="0" distB="0" distL="0" distR="0" simplePos="0" relativeHeight="251664384" behindDoc="0" locked="0" layoutInCell="1" allowOverlap="1">
            <wp:simplePos x="0" y="0"/>
            <wp:positionH relativeFrom="column">
              <wp:posOffset>431800</wp:posOffset>
            </wp:positionH>
            <wp:positionV relativeFrom="paragraph">
              <wp:posOffset>-2611120</wp:posOffset>
            </wp:positionV>
            <wp:extent cx="4333240" cy="2886075"/>
            <wp:effectExtent l="0" t="0" r="10160" b="95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46" w:name="_Toc15378460"/>
      <w:bookmarkStart w:id="47" w:name="_Toc15377213"/>
      <w:bookmarkStart w:id="48" w:name="_Toc15377444"/>
      <w:r>
        <w:rPr>
          <w:rFonts w:hint="eastAsia" w:ascii="仿宋_GB2312" w:hAnsi="仿宋_GB2312" w:eastAsia="仿宋_GB2312" w:cs="仿宋_GB2312"/>
          <w:color w:val="000000"/>
          <w:sz w:val="32"/>
          <w:szCs w:val="32"/>
        </w:rPr>
        <w:t>2021年一般公共预算支出决算数为13038.37万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，完成预算100%。其中：</w:t>
      </w:r>
      <w:bookmarkEnd w:id="46"/>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社会保障和就业支出（208）行政事业单位养老支出（20805）机关事业单位基本养老保险缴费支出（2080505）支出决算19.90万元，完成预算100%。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社会保障和就业支出（208）行政事业单位养老支出（20805）机关事业单位职业年金缴费支出（2080506）支出决算9.95万元，完成预算100%。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3.卫生健康支出（210）公共卫生（21004）重大公共卫生服务（2100409）支出决算14.67万元，完成预算100%。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4.卫生健康支出（210）行政事业单位医疗（21011）行政单位医疗（2101101）支出决算16.58万元，完成预算100%。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lang w:eastAsia="zh-CN"/>
        </w:rPr>
      </w:pPr>
      <w:r>
        <w:rPr>
          <w:rFonts w:hint="eastAsia" w:ascii="仿宋_GB2312" w:hAnsi="仿宋_GB2312" w:eastAsia="仿宋_GB2312" w:cs="仿宋_GB2312"/>
          <w:color w:val="000000"/>
          <w:sz w:val="32"/>
          <w:szCs w:val="32"/>
        </w:rPr>
        <w:t>5.节能环保支出（211）自然生态保护（21104）生态保护（2110401）支出决算4388.82万元，完成预算100%。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6.节能环保支出（211）天然林保护（21105）森林管护（2110501）支出决算10.39万元，完成预算100%。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7.节能环保支出（211）天然林保护（21105）社会保险补助（2110502）支出决算306.07万元，完成预算100%。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8.节能环保支出（211）退耕还林还草（21106）退耕现金（2110602）支出决算167.82万元，完成预算100%。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9.农林水支出（213）林业和草原（21302）行政运行（2130201）支出决算416.12万元，完成预算100%。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10.农林水支出（213）林业和草原（21302）森林资源培育（2130205）支出决算655.61万元，完成预算100%。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11.农林水支出（213）林业和草原（21302）森林资源管理（2130207）支出决算1734.27万元，完成预算100%。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12.农林水支出（213）林业和草原（21302）森林生态效益补偿（2130209）支出决算3542.47万元，完成预算100%。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13.农林水支出（213）林业和草原（21302）动植物保护（2130211）支出决算18.17万元，完成预算100%。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14.农林水支出（213）林业和草原（21302）林业草原防灾减灾（2130234）支出决算250.82万元，完成预算100%。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15.农林水支出（213）林业和草原（21302）其他林业和草原支出（2130299）支出决算675.95万元，完成预算100%。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16.农林水支出（213）扶贫（21305）其他扶贫支出（2130599）支出决算2.89万元，完成预算100%。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17.农林水支出（213）其他农林水支出（21399）其他农林水支出（2139999）支出决算42.00万元，完成预算100%。</w:t>
      </w:r>
      <w:r>
        <w:rPr>
          <w:rFonts w:hint="eastAsia" w:ascii="仿宋_GB2312" w:hAnsi="仿宋_GB2312" w:eastAsia="仿宋_GB2312" w:cs="仿宋_GB2312"/>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交通运输支出（214）公路水路运输（21401）其他公路水路运输支出（2140199）支出决算193.86万元，完成预算100%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19.住房保障支出（221）住房改革支出（22102）住房公积金（2210201）支出决算23.56万元，完成预算100%。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20.住房保障支出（221）住房改革支出（22102）购房补贴（2210203）支出决算3.05万元，完成预算100%。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21.灾害防治及应急管理支出（224）自然灾害防治（22406）森林草原防灾减灾（2240602）支出决算236.21万元，完成预算100%。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22.其他支出（229）其他支出（22999）其他支出（2299999）支出决算309.20万元，完成预算100%。</w:t>
      </w:r>
    </w:p>
    <w:p>
      <w:pPr>
        <w:pStyle w:val="4"/>
        <w:pageBreakBefore w:val="0"/>
        <w:kinsoku/>
        <w:wordWrap/>
        <w:overflowPunct/>
        <w:topLinePunct w:val="0"/>
        <w:bidi w:val="0"/>
        <w:spacing w:before="0" w:after="0" w:line="560" w:lineRule="exact"/>
        <w:ind w:firstLine="642"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2021年一般公共预算财政拨款基本支出489.17万元，其中：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471.57万元，主要包括：基本工资74.67万元、津贴补贴71.97万元、奖金101.79万元、机关事业单位基本养老保险缴费19.90万元、职业年金缴费9.95万元、职工基本医疗保险缴费16.58万元、其他社会保障缴费0.55万元、住房公积金23.56万元、医疗费0.82万元、抚恤金52.32万元、生活补助98.68万元、医疗费补助0.69万元、奖励金0.08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公用经费17.60万元，主要包括：办公费2.37万元、水费0.72万元、电费2.07万元、邮电费1.06万元、差旅费6.50万元、培训费0.28万元、公务接待费0.27万元、专用燃料费0.08万元、公务用车运行维护费4.25万元。</w:t>
      </w: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2021年“三公”经费财政拨款支出决算为4.52万元，完成预算100.00%。</w:t>
      </w:r>
      <w:bookmarkStart w:id="56" w:name="_Toc15377217"/>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2021年“三公”经费财政拨款支出4.52万</w:t>
      </w:r>
      <w:r>
        <w:rPr>
          <w:rFonts w:hint="eastAsia" w:ascii="仿宋_GB2312" w:hAnsi="仿宋_GB2312" w:eastAsia="仿宋_GB2312" w:cs="仿宋_GB2312"/>
          <w:color w:val="000000"/>
          <w:sz w:val="32"/>
          <w:szCs w:val="32"/>
          <w:lang w:eastAsia="zh-CN"/>
        </w:rPr>
        <w:t>元</w:t>
      </w:r>
      <w:bookmarkStart w:id="137" w:name="_GoBack"/>
      <w:bookmarkEnd w:id="137"/>
      <w:r>
        <w:rPr>
          <w:rFonts w:hint="eastAsia" w:ascii="仿宋_GB2312" w:hAnsi="仿宋_GB2312" w:eastAsia="仿宋_GB2312" w:cs="仿宋_GB2312"/>
          <w:color w:val="000000"/>
          <w:sz w:val="32"/>
          <w:szCs w:val="32"/>
        </w:rPr>
        <w:t>，因公出国（境）费支出决算0.00万元；公务用车购置及运行维护费支出决算4.25万元，占93.98%；公务接待费支出决算0.27万元，占6.02%。具体情况如下：</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pageBreakBefore w:val="0"/>
        <w:kinsoku/>
        <w:wordWrap/>
        <w:overflowPunct/>
        <w:topLinePunct w:val="0"/>
        <w:bidi w:val="0"/>
        <w:spacing w:line="560" w:lineRule="exact"/>
        <w:rPr>
          <w:rFonts w:ascii="仿宋_GB2312" w:hAnsi="仿宋" w:eastAsia="仿宋_GB2312"/>
          <w:color w:val="000000"/>
          <w:sz w:val="32"/>
          <w:szCs w:val="32"/>
        </w:rPr>
      </w:pPr>
      <w:r>
        <w:drawing>
          <wp:anchor distT="0" distB="0" distL="0" distR="0" simplePos="0" relativeHeight="251665408" behindDoc="0" locked="0" layoutInCell="1" allowOverlap="1">
            <wp:simplePos x="0" y="0"/>
            <wp:positionH relativeFrom="column">
              <wp:posOffset>436245</wp:posOffset>
            </wp:positionH>
            <wp:positionV relativeFrom="paragraph">
              <wp:posOffset>-2606675</wp:posOffset>
            </wp:positionV>
            <wp:extent cx="4333240" cy="2886075"/>
            <wp:effectExtent l="4445" t="4445" r="5715" b="50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1.因公出国（境）经费支出0万元。全年安排因公出国（境）团组0次，出国（境）0人。因公出国（境）支出决算比2020年增加0万元。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2.公务用车购置及运行维护费支出4.25万元,完成预算100.00%。公务用车购置及运行维护费支出决算比2020年减少0.72万元，减少14.49%。主要原因是压缩三公经费支出。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其中：公务用车购置支出0.00万元。截至2021年12月底，单位共有公务用车28辆，其中：轿车0辆、越野车4辆、载客汽车5辆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19辆。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公务用车运行维护费支出4.25万元。主要用于压缩三公经费支出。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3.公务接待费支出0.27万元，完成预算100.00%。公务接待费支出决算比2020年减少0.02万元，减少6.75%。</w:t>
      </w:r>
      <w:bookmarkStart w:id="57" w:name="_Toc15377218"/>
      <w:r>
        <w:rPr>
          <w:rFonts w:hint="eastAsia" w:ascii="仿宋_GB2312" w:hAnsi="仿宋_GB2312" w:eastAsia="仿宋_GB2312" w:cs="仿宋_GB2312"/>
          <w:color w:val="000000"/>
          <w:sz w:val="32"/>
          <w:szCs w:val="32"/>
        </w:rPr>
        <w:t xml:space="preserve">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国内公务接待支出0.27万元。国内公务接待5批次，25人次（不包括陪同人员），共计支出0.27万元。</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外事接待支出0万元，外事接待0批次，0人，共计支出0万元。</w:t>
      </w: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2021年政府性基金预算拨款支出678.21万元。</w:t>
      </w:r>
      <w:bookmarkStart w:id="60" w:name="_Toc15377219"/>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pageBreakBefore w:val="0"/>
        <w:kinsoku/>
        <w:wordWrap/>
        <w:overflowPunct/>
        <w:topLinePunct w:val="0"/>
        <w:bidi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2021年国有资本经营预算拨款支出0万元。</w:t>
      </w:r>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63" w:name="_Toc15377221"/>
      <w:bookmarkStart w:id="64" w:name="_Toc111208508"/>
      <w:bookmarkStart w:id="65" w:name="_Toc113981022"/>
      <w:r>
        <w:rPr>
          <w:rFonts w:hint="eastAsia" w:ascii="黑体" w:eastAsia="黑体" w:cs="Times New Roman"/>
          <w:bCs w:val="0"/>
          <w:color w:val="000000"/>
        </w:rPr>
        <w:t>十、其他重要事项的情况说明</w:t>
      </w:r>
      <w:bookmarkEnd w:id="63"/>
      <w:bookmarkEnd w:id="64"/>
      <w:bookmarkEnd w:id="65"/>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hint="eastAsia" w:ascii="仿宋_GB2312" w:hAnsi="仿宋_GB2312" w:eastAsia="仿宋_GB2312" w:cs="仿宋_GB2312"/>
          <w:color w:val="000000"/>
          <w:sz w:val="32"/>
          <w:szCs w:val="32"/>
        </w:rPr>
        <w:t>2021年，机关运行经费支出17.60万元，比2020年减少3.68万元，减少17.28 %。主要原因是压缩经费支出。</w:t>
      </w:r>
      <w:r>
        <w:rPr>
          <w:rFonts w:hint="eastAsia" w:ascii="仿宋" w:hAnsi="仿宋" w:eastAsia="仿宋"/>
          <w:color w:val="000000"/>
          <w:sz w:val="32"/>
          <w:szCs w:val="32"/>
        </w:rPr>
        <w:t xml:space="preserve"> </w:t>
      </w:r>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r>
        <w:rPr>
          <w:rFonts w:hint="eastAsia" w:ascii="楷体" w:hAnsi="楷体" w:eastAsia="楷体" w:cs="楷体"/>
          <w:b/>
          <w:color w:val="000000"/>
          <w:sz w:val="32"/>
          <w:szCs w:val="32"/>
        </w:rPr>
        <w:t>(机构运行信息表)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sz w:val="32"/>
          <w:szCs w:val="32"/>
        </w:rPr>
      </w:pPr>
      <w:r>
        <w:rPr>
          <w:rFonts w:hint="eastAsia" w:ascii="仿宋" w:hAnsi="仿宋" w:eastAsia="仿宋"/>
          <w:color w:val="000000"/>
          <w:sz w:val="32"/>
          <w:szCs w:val="32"/>
        </w:rPr>
        <w:t>2021年，政府采购支出总额2491.43万元，其中：政府采购货物支出1344.86万元、政府采购工程支出796.77万元、政府采购服务支出349.80万元。授予中小企业合同金额2491.43万元，其中：授予小微企业合同金额2491.43万元，占总合同的100.00%。</w:t>
      </w:r>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截至2021年12月31日，共有车辆28辆，其中：主要领导干部用车0辆、机要通信用车0辆、应急保障用车0辆、其他用车0辆</w:t>
      </w:r>
      <w:r>
        <w:rPr>
          <w:rFonts w:hint="eastAsia" w:ascii="仿宋_GB2312" w:hAnsi="仿宋_GB2312" w:eastAsia="仿宋_GB2312" w:cs="仿宋_GB2312"/>
          <w:color w:val="000000"/>
          <w:sz w:val="32"/>
          <w:szCs w:val="32"/>
          <w:lang w:eastAsia="zh-CN"/>
        </w:rPr>
        <w:t>、执法执勤用车</w:t>
      </w:r>
      <w:r>
        <w:rPr>
          <w:rFonts w:hint="eastAsia" w:ascii="仿宋_GB2312" w:hAnsi="仿宋_GB2312" w:eastAsia="仿宋_GB2312" w:cs="仿宋_GB2312"/>
          <w:color w:val="000000"/>
          <w:sz w:val="32"/>
          <w:szCs w:val="32"/>
          <w:lang w:val="en-US" w:eastAsia="zh-CN"/>
        </w:rPr>
        <w:t>9辆、特种专业技术用车19辆</w:t>
      </w:r>
      <w:r>
        <w:rPr>
          <w:rFonts w:hint="eastAsia" w:ascii="仿宋_GB2312" w:hAnsi="仿宋_GB2312" w:eastAsia="仿宋_GB2312" w:cs="仿宋_GB2312"/>
          <w:color w:val="000000"/>
          <w:sz w:val="32"/>
          <w:szCs w:val="32"/>
        </w:rPr>
        <w:t>。单价50万元以上通用设备0台（套），单价100万元以上专用设备0台（套）。</w:t>
      </w:r>
    </w:p>
    <w:p>
      <w:pPr>
        <w:pageBreakBefore w:val="0"/>
        <w:kinsoku/>
        <w:wordWrap/>
        <w:overflowPunct/>
        <w:topLinePunct w:val="0"/>
        <w:bidi w:val="0"/>
        <w:spacing w:line="56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茂县林业和草原局</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2021</w:t>
      </w:r>
      <w:r>
        <w:rPr>
          <w:rFonts w:hint="eastAsia" w:ascii="仿宋_GB2312" w:eastAsia="仿宋_GB2312"/>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rPr>
        <w:t>。</w:t>
      </w:r>
    </w:p>
    <w:p>
      <w:pPr>
        <w:pStyle w:val="3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rPr>
        <w:t>项目绩效目标完成情况</w:t>
      </w:r>
    </w:p>
    <w:p>
      <w:pPr>
        <w:pStyle w:val="4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生态护林（草）员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“集体和天然商品林停伐管护补助项目”</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eastAsia="zh-CN"/>
        </w:rPr>
        <w:t>“森林生态效益补偿”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防火阻隔系统建设项目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r>
        <w:rPr>
          <w:rFonts w:hint="eastAsia" w:ascii="仿宋_GB2312" w:hAnsi="仿宋_GB2312" w:eastAsia="仿宋_GB2312" w:cs="仿宋_GB2312"/>
          <w:sz w:val="32"/>
          <w:szCs w:val="32"/>
          <w:lang w:val="en-US" w:eastAsia="zh-CN"/>
        </w:rPr>
        <w:t xml:space="preserve">     </w:t>
      </w:r>
    </w:p>
    <w:p>
      <w:pPr>
        <w:pStyle w:val="4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生态护林（草）员</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eastAsia="zh-CN"/>
        </w:rPr>
        <w:t>绩效目</w:t>
      </w:r>
      <w:r>
        <w:rPr>
          <w:rFonts w:hint="eastAsia" w:ascii="仿宋_GB2312" w:hAnsi="仿宋_GB2312" w:eastAsia="仿宋_GB2312" w:cs="仿宋_GB2312"/>
          <w:sz w:val="32"/>
          <w:szCs w:val="32"/>
        </w:rPr>
        <w:t>标完成情况</w:t>
      </w:r>
      <w:r>
        <w:rPr>
          <w:rFonts w:hint="eastAsia" w:ascii="仿宋_GB2312" w:hAnsi="仿宋_GB2312" w:eastAsia="仿宋_GB2312" w:cs="仿宋_GB2312"/>
          <w:b/>
          <w:bCs/>
          <w:color w:val="000000"/>
          <w:sz w:val="32"/>
          <w:szCs w:val="32"/>
          <w:shd w:val="clear" w:color="auto" w:fill="FFFFFF"/>
          <w:lang w:val="zh-CN"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301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301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%。通过生态</w:t>
      </w:r>
      <w:r>
        <w:rPr>
          <w:rFonts w:hint="eastAsia" w:ascii="仿宋_GB2312" w:hAnsi="仿宋_GB2312" w:eastAsia="仿宋_GB2312" w:cs="仿宋_GB2312"/>
          <w:sz w:val="32"/>
          <w:szCs w:val="32"/>
          <w:lang w:eastAsia="zh-CN"/>
        </w:rPr>
        <w:t>管护员项目</w:t>
      </w:r>
      <w:r>
        <w:rPr>
          <w:rFonts w:hint="eastAsia" w:ascii="仿宋_GB2312" w:hAnsi="仿宋_GB2312" w:eastAsia="仿宋_GB2312" w:cs="仿宋_GB2312"/>
          <w:sz w:val="32"/>
          <w:szCs w:val="32"/>
        </w:rPr>
        <w:t>实施，进一步扩大了护林管护队伍，加强了生态保护建设，林草综合覆盖率逐步提高，森林面积蓄积实现双增长，持续改善和优化生态环境。发现的主要问题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4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（2）集体和个人天然商品林停伐管护补助项目绩效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color w:val="000000"/>
          <w:sz w:val="32"/>
          <w:szCs w:val="32"/>
          <w:shd w:val="clear" w:color="auto" w:fill="FFFFFF"/>
          <w:lang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%。通过实施集体和个人所有天然商品林停伐补助，使全县涉及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个村，农户1.7万余户，受益人口5万余人。增加了群众收入，提高当地群众生活生产水平和改善了生活生产条件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增强了水源涵养能力，保护了生态环境和生物多样性，为建设长江上游重要生态屏障作了巨大贡献。发现的主要问题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4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val="en-US" w:eastAsia="zh-CN"/>
        </w:rPr>
        <w:t>项目绩效目</w:t>
      </w:r>
      <w:r>
        <w:rPr>
          <w:rFonts w:hint="eastAsia" w:ascii="仿宋_GB2312" w:hAnsi="仿宋_GB2312" w:eastAsia="仿宋_GB2312" w:cs="仿宋_GB2312"/>
          <w:sz w:val="32"/>
          <w:szCs w:val="32"/>
        </w:rPr>
        <w:t>标完</w:t>
      </w:r>
      <w:r>
        <w:rPr>
          <w:rFonts w:hint="eastAsia" w:ascii="仿宋_GB2312" w:hAnsi="仿宋_GB2312" w:eastAsia="仿宋_GB2312" w:cs="仿宋_GB2312"/>
          <w:sz w:val="32"/>
          <w:szCs w:val="32"/>
          <w:lang w:val="en-US" w:eastAsia="zh-CN"/>
        </w:rPr>
        <w:t>成情况。项目全年预算数210万元，执行数为199.729189万元，完成预算的95.11%。通过项目实施，</w:t>
      </w:r>
      <w:r>
        <w:rPr>
          <w:rFonts w:hint="eastAsia" w:ascii="仿宋_GB2312" w:hAnsi="仿宋_GB2312" w:eastAsia="仿宋_GB2312" w:cs="仿宋_GB2312"/>
          <w:sz w:val="32"/>
          <w:szCs w:val="32"/>
        </w:rPr>
        <w:t>有利于保护</w:t>
      </w:r>
      <w:r>
        <w:rPr>
          <w:rFonts w:hint="eastAsia" w:ascii="仿宋_GB2312" w:hAnsi="仿宋_GB2312" w:eastAsia="仿宋_GB2312" w:cs="仿宋_GB2312"/>
          <w:sz w:val="32"/>
          <w:szCs w:val="32"/>
          <w:lang w:val="en-US" w:eastAsia="zh-CN"/>
        </w:rPr>
        <w:t>土地岭国有林区</w:t>
      </w:r>
      <w:r>
        <w:rPr>
          <w:rFonts w:hint="eastAsia" w:ascii="仿宋_GB2312" w:hAnsi="仿宋_GB2312" w:eastAsia="仿宋_GB2312" w:cs="仿宋_GB2312"/>
          <w:sz w:val="32"/>
          <w:szCs w:val="32"/>
        </w:rPr>
        <w:t>森林资源的稳定，促进林业事业发展，维护人居生态环境，改善人们生产、生活条件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同时，有效保护以森林为主的自然生态系统，维护生物多样性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4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（4）森林生态效益补偿资金项目绩效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val="0"/>
          <w:color w:val="000000"/>
          <w:sz w:val="32"/>
          <w:szCs w:val="32"/>
          <w:lang w:val="en-US"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3369.622407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99.99</w:t>
      </w:r>
      <w:r>
        <w:rPr>
          <w:rFonts w:hint="eastAsia" w:ascii="仿宋_GB2312" w:hAnsi="仿宋_GB2312" w:eastAsia="仿宋_GB2312" w:cs="仿宋_GB2312"/>
          <w:sz w:val="32"/>
          <w:szCs w:val="32"/>
        </w:rPr>
        <w:t>%。通过项目实施，使全县11个乡镇104个村。2.2万户，8.9万人受益。平均人均增收月400元，增加了群众收入，提高当地群众生活生产水平和改善了生活生产条件。为茂县精准扶贫、精准脱贫打下了坚实的基础，有效地改善民生，有力地促进林区社会的和谐稳定。发现的主要问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无。</w:t>
      </w:r>
    </w:p>
    <w:p>
      <w:pPr>
        <w:pStyle w:val="4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（5）防火阻隔系统建设项目绩效</w:t>
      </w:r>
      <w:r>
        <w:rPr>
          <w:rFonts w:hint="eastAsia" w:ascii="仿宋_GB2312" w:hAnsi="仿宋_GB2312" w:eastAsia="仿宋_GB2312" w:cs="仿宋_GB2312"/>
          <w:sz w:val="32"/>
          <w:szCs w:val="32"/>
        </w:rPr>
        <w:t>目标完成情况</w:t>
      </w:r>
      <w:r>
        <w:rPr>
          <w:rFonts w:hint="eastAsia" w:ascii="仿宋_GB2312" w:hAnsi="仿宋_GB2312" w:eastAsia="仿宋_GB2312" w:cs="仿宋_GB2312"/>
          <w:b/>
          <w:bCs w:val="0"/>
          <w:color w:val="000000"/>
          <w:sz w:val="32"/>
          <w:szCs w:val="32"/>
          <w:lang w:val="en-US" w:eastAsia="zh-CN"/>
        </w:rPr>
        <w:t>。</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57.934271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46.98</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极大地提升了茂县重点林区森林草原防灭火能力；项目建设过程会产生大量的劳务用工，增加了当地农户的经济收入。预期会减少项目实施区域森林草原火灾受灾面积，产生了较好的社会效益。发现的主要问题:无。下一步改进措施:无。</w:t>
      </w:r>
    </w:p>
    <w:p>
      <w:pPr>
        <w:pStyle w:val="4"/>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43"/>
        <w:tblpPr w:leftFromText="180" w:rightFromText="180" w:vertAnchor="text" w:horzAnchor="page" w:tblpX="1027" w:tblpY="1068"/>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b/>
                <w:bCs/>
                <w:color w:val="000000"/>
                <w:kern w:val="0"/>
                <w:sz w:val="36"/>
                <w:szCs w:val="36"/>
                <w:lang w:eastAsia="zh-CN"/>
              </w:rPr>
            </w:pPr>
            <w:r>
              <w:rPr>
                <w:rFonts w:hint="eastAsia" w:ascii="仿宋_GB2312" w:hAnsi="仿宋_GB2312" w:eastAsia="仿宋_GB2312" w:cs="仿宋_GB2312"/>
                <w:b/>
                <w:bCs/>
                <w:color w:val="000000"/>
                <w:kern w:val="0"/>
                <w:sz w:val="36"/>
                <w:szCs w:val="36"/>
              </w:rPr>
              <w:t>项目绩效目标完成情况表</w:t>
            </w:r>
          </w:p>
          <w:p>
            <w:pPr>
              <w:widowControl/>
              <w:jc w:val="center"/>
              <w:textAlignment w:val="center"/>
              <w:rPr>
                <w:rFonts w:hint="eastAsia" w:ascii="仿宋_GB2312" w:hAnsi="仿宋_GB2312" w:eastAsia="仿宋_GB2312" w:cs="仿宋_GB2312"/>
                <w:color w:val="000000"/>
                <w:sz w:val="36"/>
                <w:szCs w:val="36"/>
              </w:rPr>
            </w:pPr>
            <w:r>
              <w:rPr>
                <w:rFonts w:hint="eastAsia" w:ascii="仿宋_GB2312" w:hAnsi="仿宋_GB2312" w:eastAsia="仿宋_GB2312" w:cs="仿宋_GB2312"/>
                <w:color w:val="000000"/>
                <w:kern w:val="0"/>
                <w:sz w:val="36"/>
                <w:szCs w:val="36"/>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val="en-US" w:eastAsia="zh-CN"/>
              </w:rPr>
              <w:t>1.</w:t>
            </w:r>
            <w:r>
              <w:rPr>
                <w:rFonts w:hint="eastAsia" w:ascii="仿宋_GB2312" w:hAnsi="仿宋_GB2312" w:eastAsia="仿宋_GB2312" w:cs="仿宋_GB2312"/>
                <w:color w:val="000000"/>
                <w:kern w:val="0"/>
                <w:sz w:val="24"/>
                <w:lang w:val="zh-CN" w:eastAsia="zh-CN"/>
              </w:rPr>
              <w:t>生态护林（草）员</w:t>
            </w:r>
            <w:r>
              <w:rPr>
                <w:rFonts w:hint="eastAsia" w:ascii="仿宋_GB2312" w:hAnsi="仿宋_GB2312" w:eastAsia="仿宋_GB2312" w:cs="仿宋_GB2312"/>
                <w:color w:val="000000"/>
                <w:kern w:val="0"/>
                <w:sz w:val="24"/>
                <w:lang w:val="en-US" w:eastAsia="zh-CN"/>
              </w:rPr>
              <w:t>项目；2.集体和个人天然商品林停伐管护补助项目；3.茂县茅香坪工区至土地岭防灭火道路项目；4.森林生态效益补偿资金项目；5.防火阻隔系统建设项目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茂县林业和草原局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4404.1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4325.585867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生态护林员</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年生态护林员管护补助标准为10000元/年，全县生态护林员管护集体公益林面积不低于500亩，补助资金</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万元，涉及11个乡镇</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名建档立卡贫困户。资金兑现计划按季度支付。</w:t>
            </w:r>
          </w:p>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kern w:val="0"/>
                <w:sz w:val="24"/>
                <w:lang w:val="en-US" w:eastAsia="zh-CN"/>
              </w:rPr>
              <w:t>集体和个人天然商品林停伐管护补助项目：</w:t>
            </w:r>
            <w:r>
              <w:rPr>
                <w:rFonts w:hint="eastAsia" w:ascii="仿宋_GB2312" w:hAnsi="仿宋_GB2312" w:eastAsia="仿宋_GB2312" w:cs="仿宋_GB2312"/>
                <w:color w:val="000000"/>
                <w:sz w:val="24"/>
              </w:rPr>
              <w:t>。2开展草原防火工作.3开展草原监理执法工作.4开展禁牧、草畜平衡两项制度落实工作.5竣工核算工作.6草原生态保护宣传工作.7草原建设项目工作</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三、改扩建森林防灭火道路7公里（其中：碎石道路7000米。排水沟7000米，过水涵洞13道，单柱式警告标志28个）。设计公路等级为四级公路（Ⅱ类）、设计速度15km/h。</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四、森林生态效益补偿资金项目，2021年我县集体和个人所有天然商品林停伐补助总面积为26.1994万亩，投入资金397.3万元，全县资金兑现涉及11个镇，69个村，农户1.5万余户，受益人口5万余人</w:t>
            </w:r>
          </w:p>
          <w:p>
            <w:pPr>
              <w:widowControl/>
              <w:jc w:val="left"/>
              <w:textAlignment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五、新建1800亩防火阻隔带，在县城周边林农交界地带建防火隔离带675亩，在凤仪镇小沟炸药库周围及土地岭、松坪沟等重点林区建设防火隔离带1125亩。</w:t>
            </w:r>
          </w:p>
          <w:p>
            <w:pPr>
              <w:widowControl/>
              <w:jc w:val="left"/>
              <w:textAlignment w:val="center"/>
              <w:rPr>
                <w:rFonts w:hint="eastAsia" w:ascii="仿宋_GB2312" w:hAnsi="仿宋_GB2312" w:eastAsia="仿宋_GB2312" w:cs="仿宋_GB2312"/>
                <w:color w:val="000000"/>
                <w:sz w:val="24"/>
              </w:rPr>
            </w:pPr>
          </w:p>
          <w:p>
            <w:pPr>
              <w:widowControl/>
              <w:jc w:val="center"/>
              <w:textAlignment w:val="center"/>
              <w:rPr>
                <w:rFonts w:hint="eastAsia" w:ascii="仿宋_GB2312" w:hAnsi="仿宋_GB2312" w:eastAsia="仿宋_GB2312" w:cs="仿宋_GB2312"/>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生态护林员</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年生态护林员管护补助标准为10000元/年，全县生态护林员管护集体公益林面积不低于500亩，补助资金</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万元，涉及11个乡镇</w:t>
            </w:r>
            <w:r>
              <w:rPr>
                <w:rFonts w:hint="eastAsia" w:ascii="仿宋_GB2312" w:hAnsi="仿宋_GB2312" w:eastAsia="仿宋_GB2312" w:cs="仿宋_GB2312"/>
                <w:color w:val="000000"/>
                <w:sz w:val="24"/>
                <w:lang w:val="en-US" w:eastAsia="zh-CN"/>
              </w:rPr>
              <w:t>301</w:t>
            </w:r>
            <w:r>
              <w:rPr>
                <w:rFonts w:hint="eastAsia" w:ascii="仿宋_GB2312" w:hAnsi="仿宋_GB2312" w:eastAsia="仿宋_GB2312" w:cs="仿宋_GB2312"/>
                <w:color w:val="000000"/>
                <w:sz w:val="24"/>
              </w:rPr>
              <w:t>名建档立卡贫困户</w:t>
            </w: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sz w:val="24"/>
              </w:rPr>
              <w:t>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支付依据根据财务要求合规合法，资金支付与预算相符，并对相关问题进行了说明。</w:t>
            </w: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成投资总额1,997,291.89元，其中：建筑安装工程投资1,697,146.00元、待摊投资300,145.89元</w:t>
            </w:r>
            <w:r>
              <w:rPr>
                <w:rFonts w:hint="eastAsia" w:ascii="仿宋_GB2312" w:hAnsi="仿宋_GB2312" w:eastAsia="仿宋_GB2312" w:cs="仿宋_GB2312"/>
                <w:color w:val="000000"/>
                <w:sz w:val="24"/>
                <w:lang w:val="en-US" w:eastAsia="zh-CN"/>
              </w:rPr>
              <w:t>.已支付1938596.11元。</w:t>
            </w:r>
            <w:r>
              <w:rPr>
                <w:rFonts w:hint="eastAsia" w:ascii="仿宋_GB2312" w:hAnsi="仿宋_GB2312" w:eastAsia="仿宋_GB2312" w:cs="仿宋_GB2312"/>
                <w:color w:val="000000"/>
                <w:sz w:val="24"/>
                <w:lang w:eastAsia="zh-CN"/>
              </w:rPr>
              <w:t>。四、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五、</w:t>
            </w:r>
            <w:r>
              <w:rPr>
                <w:rFonts w:hint="eastAsia" w:ascii="仿宋_GB2312" w:hAnsi="仿宋_GB2312" w:eastAsia="仿宋_GB2312" w:cs="仿宋_GB2312"/>
                <w:color w:val="000000"/>
                <w:sz w:val="24"/>
                <w:lang w:val="en-US" w:eastAsia="zh-CN"/>
              </w:rPr>
              <w:t>新建1800亩防火阻隔带，完成率100%。</w:t>
            </w:r>
          </w:p>
          <w:p>
            <w:pPr>
              <w:widowControl/>
              <w:jc w:val="center"/>
              <w:textAlignment w:val="center"/>
              <w:rPr>
                <w:rFonts w:hint="eastAsia" w:ascii="仿宋_GB2312" w:hAnsi="仿宋_GB2312" w:eastAsia="仿宋_GB2312" w:cs="仿宋_GB2312"/>
                <w:color w:val="000000"/>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增加农户收入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生态护林员管护补助标准为10000元/年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生态护林员管护补助标准为10000元/年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生态护林员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贫困户通过参与生态建设获得劳务补助，实现了持续稳定增收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贫困户通过参与生态建设获得劳务补助，实现了持续稳定增收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减少水土流失效果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生态环境改善情况明显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生态环境改善情况明显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持续发挥生态作用显著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&gt;9</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&gt;9</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仿宋_GB2312" w:hAnsi="仿宋_GB2312" w:eastAsia="仿宋_GB2312" w:cs="仿宋_GB231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服务对象满意指标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满意</w:t>
            </w:r>
          </w:p>
        </w:tc>
      </w:tr>
    </w:tbl>
    <w:p>
      <w:pPr>
        <w:pStyle w:val="42"/>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pStyle w:val="4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茂县林业和草原局</w:t>
      </w:r>
      <w:r>
        <w:rPr>
          <w:rFonts w:hint="eastAsia" w:ascii="仿宋_GB2312" w:eastAsia="仿宋_GB2312" w:cs="仿宋_GB2312"/>
          <w:sz w:val="32"/>
          <w:szCs w:val="32"/>
        </w:rPr>
        <w:t>部门</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pStyle w:val="4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hAnsi="Times New Roman" w:eastAsia="仿宋_GB2312" w:cs="仿宋_GB2312"/>
          <w:sz w:val="32"/>
          <w:szCs w:val="32"/>
          <w:lang w:val="en-US" w:eastAsia="zh-CN"/>
        </w:rPr>
        <w:t>本部门自行组织对</w:t>
      </w:r>
      <w:r>
        <w:rPr>
          <w:rFonts w:hint="eastAsia" w:ascii="仿宋_GB2312" w:hAnsi="Times New Roman" w:eastAsia="仿宋_GB2312" w:cs="仿宋_GB2312"/>
          <w:sz w:val="32"/>
          <w:szCs w:val="32"/>
          <w:lang w:val="zh-CN" w:eastAsia="zh-CN"/>
        </w:rPr>
        <w:t>生态护林（草）员</w:t>
      </w:r>
      <w:r>
        <w:rPr>
          <w:rFonts w:hint="eastAsia" w:ascii="仿宋_GB2312" w:hAnsi="Times New Roman" w:eastAsia="仿宋_GB2312" w:cs="仿宋_GB2312"/>
          <w:sz w:val="32"/>
          <w:szCs w:val="32"/>
          <w:lang w:val="en-US" w:eastAsia="zh-CN"/>
        </w:rPr>
        <w:t>项目、集体和个人天然商品林停伐管护补助项目、茂县茅香坪工区至土地岭防灭火道路项目、森林生态效益补偿资金项目、</w:t>
      </w:r>
      <w:r>
        <w:rPr>
          <w:rFonts w:hint="eastAsia" w:ascii="仿宋_GB2312" w:hAnsi="仿宋_GB2312" w:eastAsia="仿宋_GB2312" w:cs="仿宋_GB2312"/>
          <w:color w:val="auto"/>
          <w:kern w:val="0"/>
          <w:sz w:val="32"/>
          <w:szCs w:val="32"/>
          <w:lang w:val="en-US" w:eastAsia="zh-CN" w:bidi="ar-SA"/>
        </w:rPr>
        <w:t>防火阻隔系统建设项目</w:t>
      </w:r>
      <w:r>
        <w:rPr>
          <w:rFonts w:hint="eastAsia" w:ascii="仿宋_GB2312" w:eastAsia="仿宋_GB2312" w:cs="仿宋_GB2312"/>
          <w:sz w:val="32"/>
          <w:szCs w:val="32"/>
          <w:lang w:eastAsia="zh-CN"/>
        </w:rPr>
        <w:t>等</w:t>
      </w:r>
      <w:r>
        <w:rPr>
          <w:rFonts w:hint="eastAsia" w:ascii="仿宋_GB2312" w:eastAsia="仿宋_GB2312" w:cs="仿宋_GB2312"/>
          <w:sz w:val="32"/>
          <w:szCs w:val="32"/>
        </w:rPr>
        <w:t>开展了绩效评价，《</w:t>
      </w:r>
      <w:r>
        <w:rPr>
          <w:rFonts w:hint="eastAsia" w:ascii="仿宋_GB2312" w:eastAsia="仿宋_GB2312" w:cs="仿宋_GB2312"/>
          <w:sz w:val="32"/>
          <w:szCs w:val="32"/>
          <w:lang w:eastAsia="zh-CN"/>
        </w:rPr>
        <w:t>茂县林业和草原局</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pStyle w:val="33"/>
        <w:pageBreakBefore w:val="0"/>
        <w:kinsoku/>
        <w:wordWrap/>
        <w:overflowPunct/>
        <w:topLinePunct w:val="0"/>
        <w:bidi w:val="0"/>
        <w:spacing w:line="560" w:lineRule="exact"/>
      </w:pPr>
    </w:p>
    <w:p>
      <w:pPr>
        <w:pageBreakBefore w:val="0"/>
        <w:widowControl/>
        <w:kinsoku/>
        <w:wordWrap/>
        <w:overflowPunct/>
        <w:topLinePunct w:val="0"/>
        <w:bidi w:val="0"/>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p>
      <w:pPr>
        <w:pStyle w:val="3"/>
        <w:pageBreakBefore w:val="0"/>
        <w:kinsoku/>
        <w:wordWrap/>
        <w:overflowPunct/>
        <w:topLinePunct w:val="0"/>
        <w:bidi w:val="0"/>
        <w:spacing w:before="0" w:after="0" w:line="560" w:lineRule="exact"/>
        <w:jc w:val="center"/>
        <w:rPr>
          <w:rFonts w:ascii="黑体" w:hAnsi="黑体" w:eastAsia="黑体" w:cs="黑体"/>
        </w:rPr>
      </w:pPr>
      <w:bookmarkStart w:id="69" w:name="_Toc113981023"/>
      <w:bookmarkStart w:id="70" w:name="_Toc111208509"/>
      <w:bookmarkStart w:id="71" w:name="_Toc15377225"/>
      <w:r>
        <w:rPr>
          <w:rFonts w:hint="eastAsia" w:ascii="黑体" w:hAnsi="黑体" w:eastAsia="黑体" w:cs="黑体"/>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10.社会保障和就业支出（208）行政事业单位养老支出（20805）机关事业单位职业年金缴费支出（2080506）：反映机关事业单位实施养老保险制度由单位实际缴纳的职业年金支出。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11.卫生健康支出（210）公共卫生（21004）重大公共卫生服务（2100409）：反映重大疾病、重大传染病预防控制等重大公共卫生服务项目支出。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15.节能环保支出（211）天然林保护（21105）森林管护（2110501）：反映专项用于森林资源管护所发生的各项补助支出。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16.节能环保支出（211）天然林保护（21105）社会保险补助（2110502）：反映专项用于由于木材减产或停产造成实施单位应缴纳社会保险费缺口的补助支出。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17.节能环保支出（211）退耕还林还草（21106）退耕现金（2110602）：反映专项用于退耕户的现金补助支出。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18.农林水支出（213）林业和草原（21302）行政运行（2130201）：反映行政单位（包括实行公务员管理的事业单位）的基本支出。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19.农林水支出（213）林业和草原（21302）事业机构（2130204）：反映事业单位的基本支出，不包括行政单位（含实行公务员管理的事业单位）后勤服务中心等附属事业单位的支岀。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20.农林水支出（213）林业和草原（21302）森林资源培育（2130205）：反映育苗（种）、造林、抚育、退化林修复、义务植树以及生物质能源建设等方面的支出。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21.农林水支出（213）林业和草原（21302）森林资源管理（2130207）：反映森林资源核査、监测、评估、经营利用、林地保护等方面的支出。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22.农林水支出（213）林业和草原（21302）森林生态效益补偿（2130209）：反映用于公益林保护和管理等方面的支出。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23.农林水支出（213）林业和草原（21302）动植物保护（2130211）：反映动植物资源生存环境调査、监测、保护管理、野外放（回）归、巡护、野生动物疫源疫病监测防控、濒危野生动植物拯救、繁育及进出口管理等方面的支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24.农林水支出（213）林业和草原（21302）林业草原防灾减灾（2130234）：反映用于病虫害等有害生物灾害、森林草原防火、野生动物疫病灾害等方面的支出。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25.农林水支出（213）林业和草原（21302）其他林业和草原支出（2130299）：反映除上述项0以外其他用于林业和草原方面的支出。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26.农林水支出（213）扶贫（21305）其他扶贫支出（2130599）：反映除上述项目以外其他用于扶贫方面的支出。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27.农林水支出（213）其他农林水支出（21399）其他农林水支出（2139999）：反映除化解债务支出以外其他用于农林水方面的支出。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28.交通运输支出（214）公路水路运输（21401）其他公路水路运输支出（2140199）：反映除上述项i以外其他用于公路水路运输方面的支出。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29.住房保障支出（221）住房改革支出（22102）住房公积金（2210201）：反映行政事业单位按人力资源和社会保障部、财政部规定的基本工资和津贴补贴以及规定比例为职工缴纳的住房公积金。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30.住房保障支出（221）住房改革支出（22102）购房补贴（2210203）：反映按房改政策规定，行政事业单位向符合条件职工（含离退休人员）、军队（含武警）向转役复员离退休人员发放的用于购买住房的补贴。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31.灾害防治及应急管理支出（224）自然灾害防治（22406）森林草原防灾减灾（2240602）：反映防治森林草原火灾、自然水旱灾害等发生的支出。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32.其他支出（229）其他支出（22999）其他支出（2299999）：无文字说明。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34</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Style w:val="28"/>
          <w:rFonts w:hint="eastAsia" w:ascii="仿宋_GB2312" w:hAnsi="仿宋_GB2312" w:eastAsia="仿宋_GB2312" w:cs="仿宋_GB2312"/>
          <w:sz w:val="32"/>
          <w:szCs w:val="32"/>
        </w:rPr>
      </w:pPr>
      <w:r>
        <w:rPr>
          <w:rStyle w:val="28"/>
          <w:rFonts w:hint="eastAsia" w:ascii="仿宋_GB2312" w:hAnsi="仿宋_GB2312" w:eastAsia="仿宋_GB2312" w:cs="仿宋_GB2312"/>
          <w:sz w:val="32"/>
          <w:szCs w:val="32"/>
        </w:rPr>
        <w:br w:type="page"/>
      </w:r>
    </w:p>
    <w:p>
      <w:pPr>
        <w:pStyle w:val="3"/>
        <w:pageBreakBefore w:val="0"/>
        <w:kinsoku/>
        <w:wordWrap/>
        <w:overflowPunct/>
        <w:topLinePunct w:val="0"/>
        <w:bidi w:val="0"/>
        <w:spacing w:before="0" w:after="0" w:line="560" w:lineRule="exact"/>
        <w:jc w:val="center"/>
        <w:rPr>
          <w:rFonts w:ascii="黑体" w:hAnsi="黑体" w:eastAsia="黑体" w:cs="黑体"/>
        </w:rPr>
      </w:pPr>
      <w:bookmarkStart w:id="72" w:name="_Toc113981024"/>
      <w:bookmarkStart w:id="73" w:name="_Toc111208510"/>
      <w:r>
        <w:rPr>
          <w:rFonts w:hint="eastAsia" w:ascii="黑体" w:hAnsi="黑体" w:eastAsia="黑体" w:cs="黑体"/>
        </w:rPr>
        <w:t>第四部分 附件</w:t>
      </w:r>
      <w:bookmarkEnd w:id="72"/>
      <w:bookmarkEnd w:id="73"/>
    </w:p>
    <w:p>
      <w:pPr>
        <w:pStyle w:val="37"/>
        <w:pageBreakBefore w:val="0"/>
        <w:widowControl/>
        <w:kinsoku/>
        <w:wordWrap/>
        <w:overflowPunct/>
        <w:topLinePunct w:val="0"/>
        <w:bidi w:val="0"/>
        <w:spacing w:line="56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2022年</w:t>
      </w:r>
      <w:r>
        <w:rPr>
          <w:rFonts w:hint="eastAsia" w:ascii="宋体" w:hAnsi="宋体" w:eastAsia="宋体"/>
          <w:b/>
          <w:sz w:val="44"/>
          <w:szCs w:val="44"/>
          <w:shd w:val="clear" w:color="auto" w:fill="FFFFFF"/>
          <w:lang w:eastAsia="zh-CN"/>
        </w:rPr>
        <w:t>茂县林业和草原局</w:t>
      </w:r>
      <w:r>
        <w:rPr>
          <w:rFonts w:hint="eastAsia" w:ascii="宋体" w:hAnsi="宋体" w:eastAsia="宋体"/>
          <w:b/>
          <w:sz w:val="44"/>
          <w:szCs w:val="44"/>
          <w:shd w:val="clear" w:color="auto" w:fill="FFFFFF"/>
        </w:rPr>
        <w:t>整体支出</w:t>
      </w:r>
    </w:p>
    <w:p>
      <w:pPr>
        <w:pStyle w:val="37"/>
        <w:pageBreakBefore w:val="0"/>
        <w:widowControl/>
        <w:kinsoku/>
        <w:wordWrap/>
        <w:overflowPunct/>
        <w:topLinePunct w:val="0"/>
        <w:bidi w:val="0"/>
        <w:spacing w:line="560" w:lineRule="exact"/>
        <w:contextualSpacing/>
        <w:jc w:val="center"/>
        <w:rPr>
          <w:rFonts w:ascii="宋体" w:hAnsi="宋体" w:eastAsia="宋体"/>
          <w:b/>
          <w:sz w:val="44"/>
          <w:szCs w:val="44"/>
          <w:shd w:val="clear" w:color="auto" w:fill="FFFFFF"/>
        </w:rPr>
      </w:pPr>
      <w:r>
        <w:rPr>
          <w:rFonts w:hint="eastAsia" w:ascii="宋体" w:hAnsi="宋体" w:eastAsia="宋体"/>
          <w:b/>
          <w:sz w:val="44"/>
          <w:szCs w:val="44"/>
          <w:shd w:val="clear" w:color="auto" w:fill="FFFFFF"/>
        </w:rPr>
        <w:t>绩效评价报告</w:t>
      </w:r>
    </w:p>
    <w:p>
      <w:pPr>
        <w:pStyle w:val="37"/>
        <w:pageBreakBefore w:val="0"/>
        <w:widowControl/>
        <w:kinsoku/>
        <w:wordWrap/>
        <w:overflowPunct/>
        <w:topLinePunct w:val="0"/>
        <w:bidi w:val="0"/>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pStyle w:val="3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Cs w:val="32"/>
          <w:shd w:val="clear" w:color="auto" w:fill="FFFFFF"/>
          <w:lang w:val="zh-CN"/>
        </w:rPr>
      </w:pPr>
      <w:r>
        <w:rPr>
          <w:rFonts w:hint="eastAsia" w:ascii="黑体" w:hAnsi="宋体" w:eastAsia="黑体" w:cs="宋体"/>
          <w:color w:val="000000"/>
          <w:kern w:val="0"/>
          <w:szCs w:val="32"/>
          <w:shd w:val="clear" w:color="auto" w:fill="FFFFFF"/>
        </w:rPr>
        <w:t>一、</w:t>
      </w:r>
      <w:r>
        <w:rPr>
          <w:rFonts w:hint="eastAsia" w:ascii="黑体" w:hAnsi="宋体" w:eastAsia="黑体" w:cs="宋体"/>
          <w:color w:val="000000"/>
          <w:kern w:val="0"/>
          <w:szCs w:val="32"/>
          <w:shd w:val="clear" w:color="auto" w:fill="FFFFFF"/>
          <w:lang w:val="zh-CN"/>
        </w:rPr>
        <w:t>部门（单位）概况</w:t>
      </w:r>
    </w:p>
    <w:p>
      <w:pPr>
        <w:pStyle w:val="44"/>
        <w:keepNext w:val="0"/>
        <w:keepLines w:val="0"/>
        <w:pageBreakBefore w:val="0"/>
        <w:widowControl/>
        <w:kinsoku/>
        <w:wordWrap/>
        <w:overflowPunct/>
        <w:topLinePunct w:val="0"/>
        <w:autoSpaceDE/>
        <w:autoSpaceDN/>
        <w:bidi w:val="0"/>
        <w:adjustRightInd w:val="0"/>
        <w:snapToGrid w:val="0"/>
        <w:spacing w:line="580" w:lineRule="exact"/>
        <w:ind w:firstLine="642" w:firstLineChars="200"/>
        <w:contextualSpacing/>
        <w:jc w:val="left"/>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（一）机构组成</w:t>
      </w:r>
    </w:p>
    <w:p>
      <w:pPr>
        <w:pStyle w:val="37"/>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cs="仿宋_GB2312" w:hAnsiTheme="minorHAnsi"/>
          <w:kern w:val="0"/>
          <w:lang w:val="zh-CN"/>
        </w:rPr>
        <w:t>茂县林业和草原局单位下属二级预算单位</w:t>
      </w:r>
      <w:r>
        <w:rPr>
          <w:rFonts w:ascii="仿宋_GB2312" w:cs="仿宋_GB2312" w:hAnsiTheme="minorHAnsi"/>
          <w:kern w:val="0"/>
          <w:lang w:val="zh-CN"/>
        </w:rPr>
        <w:t xml:space="preserve"> 0 </w:t>
      </w:r>
      <w:r>
        <w:rPr>
          <w:rFonts w:hint="eastAsia" w:ascii="仿宋_GB2312" w:cs="仿宋_GB2312" w:hAnsiTheme="minorHAnsi"/>
          <w:kern w:val="0"/>
          <w:lang w:val="zh-CN"/>
        </w:rPr>
        <w:t>个，行政单位</w:t>
      </w:r>
      <w:r>
        <w:rPr>
          <w:rFonts w:hint="eastAsia" w:ascii="仿宋_GB2312" w:cs="仿宋_GB2312" w:hAnsiTheme="minorHAnsi"/>
          <w:kern w:val="0"/>
          <w:lang w:val="en-US" w:eastAsia="zh-CN"/>
        </w:rPr>
        <w:t>0</w:t>
      </w:r>
      <w:r>
        <w:rPr>
          <w:rFonts w:hint="eastAsia" w:ascii="仿宋_GB2312" w:cs="仿宋_GB2312" w:hAnsiTheme="minorHAnsi"/>
          <w:kern w:val="0"/>
          <w:lang w:val="zh-CN"/>
        </w:rPr>
        <w:t>个，参照公务员法管理的事业单位</w:t>
      </w:r>
      <w:r>
        <w:rPr>
          <w:rFonts w:ascii="仿宋_GB2312" w:cs="仿宋_GB2312" w:hAnsiTheme="minorHAnsi"/>
          <w:kern w:val="0"/>
          <w:lang w:val="zh-CN"/>
        </w:rPr>
        <w:t xml:space="preserve"> </w:t>
      </w:r>
      <w:r>
        <w:rPr>
          <w:rFonts w:hint="eastAsia" w:ascii="仿宋_GB2312" w:cs="仿宋_GB2312" w:hAnsiTheme="minorHAnsi"/>
          <w:kern w:val="0"/>
          <w:lang w:val="en-US" w:eastAsia="zh-CN"/>
        </w:rPr>
        <w:t>0</w:t>
      </w:r>
      <w:r>
        <w:rPr>
          <w:rFonts w:hint="eastAsia" w:ascii="仿宋_GB2312" w:cs="仿宋_GB2312" w:hAnsiTheme="minorHAnsi"/>
          <w:kern w:val="0"/>
          <w:lang w:val="zh-CN"/>
        </w:rPr>
        <w:t>个，其他事业单位</w:t>
      </w:r>
      <w:r>
        <w:rPr>
          <w:rFonts w:hint="eastAsia" w:ascii="仿宋_GB2312" w:cs="仿宋_GB2312" w:hAnsiTheme="minorHAnsi"/>
          <w:kern w:val="0"/>
          <w:lang w:val="en-US" w:eastAsia="zh-CN"/>
        </w:rPr>
        <w:t>0</w:t>
      </w:r>
      <w:r>
        <w:rPr>
          <w:rFonts w:hint="eastAsia" w:ascii="仿宋_GB2312" w:cs="仿宋_GB2312" w:hAnsiTheme="minorHAnsi"/>
          <w:kern w:val="0"/>
          <w:lang w:val="zh-CN"/>
        </w:rPr>
        <w:t>个。</w:t>
      </w:r>
    </w:p>
    <w:p>
      <w:pPr>
        <w:pStyle w:val="44"/>
        <w:widowControl/>
        <w:adjustRightInd w:val="0"/>
        <w:snapToGrid w:val="0"/>
        <w:spacing w:line="580" w:lineRule="exact"/>
        <w:ind w:firstLine="642" w:firstLineChars="200"/>
        <w:contextualSpacing/>
        <w:jc w:val="left"/>
        <w:rPr>
          <w:rFonts w:hint="eastAsia" w:ascii="仿宋_GB2312" w:hAnsi="宋体" w:eastAsia="仿宋_GB2312" w:cs="宋体"/>
          <w:color w:val="000000"/>
          <w:kern w:val="0"/>
          <w:szCs w:val="32"/>
          <w:shd w:val="clear" w:color="auto" w:fill="FFFFFF"/>
          <w:lang w:val="en-US" w:eastAsia="zh-CN"/>
        </w:rPr>
      </w:pPr>
      <w:r>
        <w:rPr>
          <w:rFonts w:hint="eastAsia" w:ascii="楷体" w:hAnsi="楷体" w:eastAsia="楷体" w:cs="楷体"/>
          <w:b/>
          <w:bCs/>
          <w:color w:val="000000"/>
          <w:kern w:val="0"/>
          <w:szCs w:val="32"/>
          <w:shd w:val="clear" w:color="auto" w:fill="FFFFFF"/>
          <w:lang w:val="zh-CN"/>
        </w:rPr>
        <w:t>（二）机构职能</w:t>
      </w:r>
      <w:r>
        <w:rPr>
          <w:rFonts w:hint="eastAsia" w:ascii="仿宋_GB2312" w:hAnsi="宋体" w:cs="宋体"/>
          <w:color w:val="000000"/>
          <w:kern w:val="0"/>
          <w:szCs w:val="32"/>
          <w:shd w:val="clear" w:color="auto" w:fill="FFFFFF"/>
          <w:lang w:val="en-US" w:eastAsia="zh-CN"/>
        </w:rPr>
        <w:t xml:space="preserve"> </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w:t>
      </w:r>
      <w:r>
        <w:rPr>
          <w:rFonts w:hint="eastAsia" w:ascii="仿宋_GB2312" w:cs="仿宋_GB2312" w:hAnsiTheme="minorHAnsi"/>
          <w:kern w:val="0"/>
          <w:lang w:val="zh-CN"/>
        </w:rPr>
        <w:t>贯彻执行党和国家的林业方针、政策、法律、法规、规章和有关决议、决定，结合我县的实际和国民经济发展的需要，制定相应的实施办法并组织实施，完善林业政策和管理制度。</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2.</w:t>
      </w:r>
      <w:r>
        <w:rPr>
          <w:rFonts w:hint="eastAsia" w:ascii="仿宋_GB2312" w:cs="仿宋_GB2312" w:hAnsiTheme="minorHAnsi"/>
          <w:kern w:val="0"/>
          <w:lang w:val="zh-CN"/>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3.</w:t>
      </w:r>
      <w:r>
        <w:rPr>
          <w:rFonts w:hint="eastAsia" w:ascii="仿宋_GB2312" w:cs="仿宋_GB2312" w:hAnsiTheme="minorHAnsi"/>
          <w:kern w:val="0"/>
          <w:lang w:val="zh-CN"/>
        </w:rPr>
        <w:t>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4.</w:t>
      </w:r>
      <w:r>
        <w:rPr>
          <w:rFonts w:hint="eastAsia" w:ascii="仿宋_GB2312" w:cs="仿宋_GB2312" w:hAnsiTheme="minorHAnsi"/>
          <w:kern w:val="0"/>
          <w:lang w:val="zh-CN"/>
        </w:rPr>
        <w:t>负责指导全县天然林资源保护工程、生态环境治理工程、退耕还林</w:t>
      </w:r>
      <w:r>
        <w:rPr>
          <w:rFonts w:ascii="仿宋_GB2312" w:cs="仿宋_GB2312" w:hAnsiTheme="minorHAnsi"/>
          <w:kern w:val="0"/>
          <w:lang w:val="zh-CN"/>
        </w:rPr>
        <w:t>(</w:t>
      </w:r>
      <w:r>
        <w:rPr>
          <w:rFonts w:hint="eastAsia" w:ascii="仿宋_GB2312" w:cs="仿宋_GB2312" w:hAnsiTheme="minorHAnsi"/>
          <w:kern w:val="0"/>
          <w:lang w:val="zh-CN"/>
        </w:rPr>
        <w:t>草</w:t>
      </w:r>
      <w:r>
        <w:rPr>
          <w:rFonts w:ascii="仿宋_GB2312" w:cs="仿宋_GB2312" w:hAnsiTheme="minorHAnsi"/>
          <w:kern w:val="0"/>
          <w:lang w:val="zh-CN"/>
        </w:rPr>
        <w:t>)</w:t>
      </w:r>
      <w:r>
        <w:rPr>
          <w:rFonts w:hint="eastAsia" w:ascii="仿宋_GB2312" w:cs="仿宋_GB2312" w:hAnsiTheme="minorHAnsi"/>
          <w:kern w:val="0"/>
          <w:lang w:val="zh-CN"/>
        </w:rPr>
        <w:t>工程的实施。组织实施全县植树造林、国土绿化、防沙</w:t>
      </w:r>
      <w:r>
        <w:rPr>
          <w:rFonts w:hint="eastAsia" w:ascii="仿宋_GB2312" w:cs="仿宋_GB2312" w:hAnsiTheme="minorHAnsi"/>
          <w:kern w:val="0"/>
          <w:lang w:val="en-US" w:eastAsia="zh-CN"/>
        </w:rPr>
        <w:t xml:space="preserve"> </w:t>
      </w:r>
      <w:r>
        <w:rPr>
          <w:rFonts w:hint="eastAsia" w:ascii="仿宋_GB2312" w:cs="仿宋_GB2312" w:hAnsiTheme="minorHAnsi"/>
          <w:kern w:val="0"/>
          <w:lang w:val="zh-CN"/>
        </w:rPr>
        <w:t>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5.</w:t>
      </w:r>
      <w:r>
        <w:rPr>
          <w:rFonts w:hint="eastAsia" w:ascii="仿宋_GB2312" w:cs="仿宋_GB2312" w:hAnsiTheme="minorHAnsi"/>
          <w:kern w:val="0"/>
          <w:lang w:val="zh-CN"/>
        </w:rPr>
        <w:t>负责全县野生动物、植物资源的保护管理和合理开发利用，对宝顶沟自然保护区管理处工作进行指导；负责森林公园的规划、审批和上报审批、立项等工作。</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6.</w:t>
      </w:r>
      <w:r>
        <w:rPr>
          <w:rFonts w:hint="eastAsia" w:ascii="仿宋_GB2312" w:cs="仿宋_GB2312" w:hAnsiTheme="minorHAnsi"/>
          <w:kern w:val="0"/>
          <w:lang w:val="zh-CN"/>
        </w:rPr>
        <w:t>指导和调控全县林业生产的发展，负责全县木材生产、采伐、运输、加工、综合利用，林产林化、森林旅游、木本药材等林业产业实行宏观管理、指导和监督；管理好林产品市场。</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7.</w:t>
      </w:r>
      <w:r>
        <w:rPr>
          <w:rFonts w:hint="eastAsia" w:ascii="仿宋_GB2312" w:cs="仿宋_GB2312" w:hAnsiTheme="minorHAnsi"/>
          <w:kern w:val="0"/>
          <w:lang w:val="zh-CN"/>
        </w:rPr>
        <w:t>指导、监督全县林业系统财务工作；组织编制、上报或转报林业基本建设、多种经营、技术改造、转产项目并指导实施或直接组织实施。</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8.</w:t>
      </w:r>
      <w:r>
        <w:rPr>
          <w:rFonts w:hint="eastAsia" w:ascii="仿宋_GB2312" w:cs="仿宋_GB2312" w:hAnsiTheme="minorHAnsi"/>
          <w:kern w:val="0"/>
          <w:lang w:val="zh-CN"/>
        </w:rPr>
        <w:t>管理林业执法体系建设和林业执法工作，领导县森林公安局搞好全县森林公安队伍建设和森林公安工作；监督和查处破坏森林资源和野生动物资源的案</w:t>
      </w:r>
      <w:r>
        <w:rPr>
          <w:rFonts w:ascii="仿宋_GB2312" w:cs="仿宋_GB2312" w:hAnsiTheme="minorHAnsi"/>
          <w:kern w:val="0"/>
          <w:lang w:val="zh-CN"/>
        </w:rPr>
        <w:t>(</w:t>
      </w:r>
      <w:r>
        <w:rPr>
          <w:rFonts w:hint="eastAsia" w:ascii="仿宋_GB2312" w:cs="仿宋_GB2312" w:hAnsiTheme="minorHAnsi"/>
          <w:kern w:val="0"/>
          <w:lang w:val="zh-CN"/>
        </w:rPr>
        <w:t>事</w:t>
      </w:r>
      <w:r>
        <w:rPr>
          <w:rFonts w:ascii="仿宋_GB2312" w:cs="仿宋_GB2312" w:hAnsiTheme="minorHAnsi"/>
          <w:kern w:val="0"/>
          <w:lang w:val="zh-CN"/>
        </w:rPr>
        <w:t>)</w:t>
      </w:r>
      <w:r>
        <w:rPr>
          <w:rFonts w:hint="eastAsia" w:ascii="仿宋_GB2312" w:cs="仿宋_GB2312" w:hAnsiTheme="minorHAnsi"/>
          <w:kern w:val="0"/>
          <w:lang w:val="zh-CN"/>
        </w:rPr>
        <w:t>件；负责搞好全县森林防火、森林病虫鼠害防治、森林植物检疫、保护森林资源和维护林区治安。</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9.</w:t>
      </w:r>
      <w:r>
        <w:rPr>
          <w:rFonts w:hint="eastAsia" w:ascii="仿宋_GB2312" w:cs="仿宋_GB2312" w:hAnsiTheme="minorHAnsi"/>
          <w:kern w:val="0"/>
          <w:lang w:val="zh-CN"/>
        </w:rPr>
        <w:t>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10.</w:t>
      </w:r>
      <w:r>
        <w:rPr>
          <w:rFonts w:hint="eastAsia" w:ascii="仿宋_GB2312" w:cs="仿宋_GB2312" w:hAnsiTheme="minorHAnsi"/>
          <w:kern w:val="0"/>
          <w:lang w:val="zh-CN"/>
        </w:rPr>
        <w:t>负责规划、指导、实施山区林业综合开发，配合有关部门做好水土保持、农村能源发展、农业综合开发、林业扶贫等组织实施工作。</w:t>
      </w:r>
    </w:p>
    <w:p>
      <w:pPr>
        <w:pStyle w:val="37"/>
        <w:pageBreakBefore w:val="0"/>
        <w:kinsoku/>
        <w:wordWrap/>
        <w:overflowPunct/>
        <w:topLinePunct w:val="0"/>
        <w:autoSpaceDE w:val="0"/>
        <w:autoSpaceDN w:val="0"/>
        <w:bidi w:val="0"/>
        <w:adjustRightInd w:val="0"/>
        <w:spacing w:line="560" w:lineRule="exact"/>
        <w:ind w:firstLine="640" w:firstLineChars="200"/>
        <w:rPr>
          <w:rFonts w:ascii="仿宋_GB2312" w:cs="仿宋_GB2312" w:hAnsiTheme="minorHAnsi"/>
          <w:kern w:val="0"/>
          <w:lang w:val="zh-CN"/>
        </w:rPr>
      </w:pPr>
      <w:r>
        <w:rPr>
          <w:rFonts w:ascii="仿宋_GB2312" w:cs="仿宋_GB2312" w:hAnsiTheme="minorHAnsi"/>
          <w:kern w:val="0"/>
          <w:lang w:val="zh-CN"/>
        </w:rPr>
        <w:t>11.</w:t>
      </w:r>
      <w:r>
        <w:rPr>
          <w:rFonts w:hint="eastAsia" w:ascii="仿宋_GB2312" w:cs="仿宋_GB2312" w:hAnsiTheme="minorHAnsi"/>
          <w:kern w:val="0"/>
          <w:lang w:val="zh-CN"/>
        </w:rPr>
        <w:t>深入研究生态建设特别是自然保护区建设问题，稳步推进自然保护区体制创新。落实生态保护和建设的主体责任，创新项目实施方式，全面推进川西藏区生态保护与建设工程、湿地保护、防沙治沙等项目建设。</w:t>
      </w:r>
    </w:p>
    <w:p>
      <w:pPr>
        <w:pStyle w:val="37"/>
        <w:pageBreakBefore w:val="0"/>
        <w:widowControl/>
        <w:kinsoku/>
        <w:wordWrap/>
        <w:overflowPunct/>
        <w:topLinePunct w:val="0"/>
        <w:bidi w:val="0"/>
        <w:adjustRightInd w:val="0"/>
        <w:snapToGrid w:val="0"/>
        <w:spacing w:line="560" w:lineRule="exact"/>
        <w:ind w:firstLine="640" w:firstLineChars="200"/>
        <w:jc w:val="left"/>
        <w:rPr>
          <w:rFonts w:hint="eastAsia" w:ascii="仿宋_GB2312" w:hAnsi="宋体" w:cs="宋体"/>
          <w:color w:val="000000"/>
          <w:kern w:val="0"/>
          <w:szCs w:val="32"/>
          <w:shd w:val="clear" w:color="auto" w:fill="FFFFFF"/>
          <w:lang w:val="zh-CN"/>
        </w:rPr>
      </w:pPr>
      <w:r>
        <w:rPr>
          <w:rFonts w:ascii="仿宋_GB2312" w:cs="仿宋_GB2312" w:hAnsiTheme="minorHAnsi"/>
          <w:kern w:val="0"/>
          <w:lang w:val="zh-CN"/>
        </w:rPr>
        <w:t>12.</w:t>
      </w:r>
      <w:r>
        <w:rPr>
          <w:rFonts w:hint="eastAsia" w:ascii="仿宋_GB2312" w:cs="仿宋_GB2312" w:hAnsiTheme="minorHAnsi"/>
          <w:kern w:val="0"/>
          <w:lang w:val="zh-CN"/>
        </w:rPr>
        <w:t>负责有关林业方面的涉外工作、承担县政府公布的有关行政审批事项、承办县政府交办的其他事项。</w:t>
      </w:r>
    </w:p>
    <w:p>
      <w:pPr>
        <w:pStyle w:val="44"/>
        <w:widowControl/>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（三）人员概况</w:t>
      </w:r>
    </w:p>
    <w:p>
      <w:pPr>
        <w:pStyle w:val="37"/>
        <w:pageBreakBefore w:val="0"/>
        <w:kinsoku/>
        <w:wordWrap/>
        <w:overflowPunct/>
        <w:topLinePunct w:val="0"/>
        <w:bidi w:val="0"/>
        <w:spacing w:line="560" w:lineRule="exact"/>
        <w:ind w:firstLine="640" w:firstLineChars="200"/>
        <w:rPr>
          <w:rFonts w:hint="eastAsia" w:ascii="仿宋_GB2312" w:eastAsia="仿宋_GB2312" w:cs="宋体"/>
          <w:color w:val="000000"/>
          <w:kern w:val="0"/>
          <w:szCs w:val="32"/>
          <w:shd w:val="clear" w:color="auto" w:fill="FFFFFF"/>
          <w:lang w:val="en-US" w:eastAsia="zh-CN"/>
        </w:rPr>
      </w:pPr>
      <w:r>
        <w:rPr>
          <w:rFonts w:hint="eastAsia" w:ascii="仿宋_GB2312" w:hAnsi="仿宋" w:eastAsia="仿宋_GB2312" w:cs="仿宋_GB2312"/>
          <w:sz w:val="32"/>
          <w:szCs w:val="32"/>
        </w:rPr>
        <w:t>茂县林业和草原局作为一个独立的核算机构。政府机关编制人数</w:t>
      </w:r>
      <w:r>
        <w:rPr>
          <w:rFonts w:hint="eastAsia" w:ascii="仿宋_GB2312" w:hAnsi="仿宋" w:eastAsia="仿宋_GB2312" w:cs="仿宋_GB2312"/>
          <w:color w:val="auto"/>
          <w:sz w:val="32"/>
          <w:szCs w:val="32"/>
          <w:lang w:val="en-US" w:eastAsia="zh-CN"/>
        </w:rPr>
        <w:t>11</w:t>
      </w:r>
      <w:r>
        <w:rPr>
          <w:rFonts w:hint="eastAsia" w:ascii="仿宋_GB2312" w:hAnsi="仿宋" w:eastAsia="仿宋_GB2312" w:cs="仿宋_GB2312"/>
          <w:color w:val="auto"/>
          <w:sz w:val="32"/>
          <w:szCs w:val="32"/>
        </w:rPr>
        <w:t>名（其中工勤人员2名）</w:t>
      </w:r>
      <w:r>
        <w:rPr>
          <w:rFonts w:hint="eastAsia" w:ascii="仿宋_GB2312" w:hAnsi="仿宋" w:cs="仿宋_GB2312"/>
          <w:color w:val="auto"/>
          <w:sz w:val="32"/>
          <w:szCs w:val="32"/>
          <w:lang w:val="en-US" w:eastAsia="zh-CN"/>
        </w:rPr>
        <w:t>,</w:t>
      </w:r>
      <w:r>
        <w:rPr>
          <w:rFonts w:hint="eastAsia" w:ascii="仿宋_GB2312" w:hAnsi="仿宋" w:eastAsia="仿宋_GB2312" w:cs="仿宋_GB2312"/>
          <w:sz w:val="32"/>
          <w:szCs w:val="32"/>
        </w:rPr>
        <w:t>年末实有人数行政人员</w:t>
      </w:r>
      <w:r>
        <w:rPr>
          <w:rFonts w:hint="eastAsia" w:ascii="仿宋_GB2312" w:hAnsi="仿宋" w:eastAsia="仿宋_GB2312" w:cs="仿宋_GB2312"/>
          <w:sz w:val="32"/>
          <w:szCs w:val="32"/>
          <w:lang w:val="en-US" w:eastAsia="zh-CN"/>
        </w:rPr>
        <w:t>1</w:t>
      </w:r>
      <w:r>
        <w:rPr>
          <w:rFonts w:hint="eastAsia" w:ascii="仿宋_GB2312" w:hAnsi="仿宋" w:cs="仿宋_GB2312"/>
          <w:sz w:val="32"/>
          <w:szCs w:val="32"/>
          <w:lang w:val="en-US" w:eastAsia="zh-CN"/>
        </w:rPr>
        <w:t>7</w:t>
      </w:r>
      <w:r>
        <w:rPr>
          <w:rFonts w:hint="eastAsia" w:ascii="仿宋_GB2312" w:hAnsi="仿宋" w:eastAsia="仿宋_GB2312" w:cs="仿宋_GB2312"/>
          <w:sz w:val="32"/>
          <w:szCs w:val="32"/>
        </w:rPr>
        <w:t>名（其中参公人员</w:t>
      </w:r>
      <w:r>
        <w:rPr>
          <w:rFonts w:hint="eastAsia" w:ascii="仿宋_GB2312" w:hAnsi="仿宋" w:cs="仿宋_GB2312"/>
          <w:sz w:val="32"/>
          <w:szCs w:val="32"/>
          <w:lang w:val="en-US" w:eastAsia="zh-CN"/>
        </w:rPr>
        <w:t>5</w:t>
      </w:r>
      <w:r>
        <w:rPr>
          <w:rFonts w:hint="eastAsia" w:ascii="仿宋_GB2312" w:hAnsi="仿宋" w:eastAsia="仿宋_GB2312" w:cs="仿宋_GB2312"/>
          <w:sz w:val="32"/>
          <w:szCs w:val="32"/>
        </w:rPr>
        <w:t>名,工勤人员</w:t>
      </w:r>
      <w:r>
        <w:rPr>
          <w:rFonts w:hint="eastAsia" w:ascii="仿宋_GB2312" w:hAnsi="仿宋" w:cs="仿宋_GB2312"/>
          <w:sz w:val="32"/>
          <w:szCs w:val="32"/>
          <w:lang w:val="en-US" w:eastAsia="zh-CN"/>
        </w:rPr>
        <w:t>3</w:t>
      </w:r>
      <w:r>
        <w:rPr>
          <w:rFonts w:hint="eastAsia" w:ascii="仿宋_GB2312" w:hAnsi="仿宋" w:eastAsia="仿宋_GB2312" w:cs="仿宋_GB2312"/>
          <w:color w:val="auto"/>
          <w:sz w:val="32"/>
          <w:szCs w:val="32"/>
          <w:lang w:val="en-US" w:eastAsia="zh-CN"/>
        </w:rPr>
        <w:t>名）</w:t>
      </w:r>
      <w:r>
        <w:rPr>
          <w:rFonts w:hint="eastAsia" w:ascii="仿宋_GB2312" w:hAnsi="仿宋" w:cs="仿宋_GB2312"/>
          <w:color w:val="auto"/>
          <w:sz w:val="32"/>
          <w:szCs w:val="32"/>
          <w:lang w:val="en-US" w:eastAsia="zh-CN"/>
        </w:rPr>
        <w:t>。</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二、部门财政资金收支情况</w:t>
      </w:r>
    </w:p>
    <w:p>
      <w:pPr>
        <w:pStyle w:val="44"/>
        <w:widowControl/>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（一）部门财政资金收入情况</w:t>
      </w:r>
    </w:p>
    <w:p>
      <w:pPr>
        <w:pStyle w:val="37"/>
        <w:pageBreakBefore w:val="0"/>
        <w:kinsoku/>
        <w:wordWrap/>
        <w:overflowPunct/>
        <w:topLinePunct w:val="0"/>
        <w:bidi w:val="0"/>
        <w:snapToGrid w:val="0"/>
        <w:spacing w:line="560" w:lineRule="exact"/>
        <w:ind w:firstLine="640" w:firstLineChars="200"/>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年本单位年初收入支出预算金额为</w:t>
      </w:r>
      <w:r>
        <w:rPr>
          <w:rFonts w:hint="eastAsia" w:ascii="仿宋_GB2312" w:hAnsi="仿宋"/>
          <w:lang w:val="en-US" w:eastAsia="zh-CN"/>
        </w:rPr>
        <w:t>2,541,354.00</w:t>
      </w:r>
      <w:r>
        <w:rPr>
          <w:rFonts w:hint="eastAsia" w:ascii="仿宋_GB2312" w:hAnsi="仿宋"/>
        </w:rPr>
        <w:t>元，分别为医疗卫生与计划生育支出</w:t>
      </w:r>
      <w:r>
        <w:rPr>
          <w:rFonts w:hint="eastAsia" w:ascii="仿宋_GB2312" w:hAnsi="仿宋"/>
          <w:lang w:val="en-US" w:eastAsia="zh-CN"/>
        </w:rPr>
        <w:t>152,847.00</w:t>
      </w:r>
      <w:r>
        <w:rPr>
          <w:rFonts w:hint="eastAsia" w:ascii="仿宋_GB2312" w:hAnsi="仿宋"/>
        </w:rPr>
        <w:t>元、社会保障和就业支出</w:t>
      </w:r>
      <w:r>
        <w:rPr>
          <w:rFonts w:hint="eastAsia" w:ascii="仿宋_GB2312" w:hAnsi="仿宋"/>
          <w:lang w:val="en-US" w:eastAsia="zh-CN"/>
        </w:rPr>
        <w:t>359,776.00</w:t>
      </w:r>
      <w:r>
        <w:rPr>
          <w:rFonts w:hint="eastAsia" w:ascii="仿宋_GB2312" w:hAnsi="仿宋"/>
        </w:rPr>
        <w:t>元、农林水支出</w:t>
      </w:r>
      <w:r>
        <w:rPr>
          <w:rFonts w:hint="eastAsia" w:ascii="仿宋_GB2312" w:hAnsi="仿宋"/>
          <w:lang w:val="en-US" w:eastAsia="zh-CN"/>
        </w:rPr>
        <w:t>1,793,087.00</w:t>
      </w:r>
      <w:r>
        <w:rPr>
          <w:rFonts w:hint="eastAsia" w:ascii="仿宋_GB2312" w:hAnsi="仿宋"/>
        </w:rPr>
        <w:t>元、住房保障支出</w:t>
      </w:r>
      <w:r>
        <w:rPr>
          <w:rFonts w:hint="eastAsia" w:ascii="仿宋_GB2312" w:hAnsi="仿宋"/>
          <w:lang w:val="en-US" w:eastAsia="zh-CN"/>
        </w:rPr>
        <w:t>235,644.00</w:t>
      </w:r>
      <w:r>
        <w:rPr>
          <w:rFonts w:hint="eastAsia" w:ascii="仿宋_GB2312" w:hAnsi="仿宋"/>
        </w:rPr>
        <w:t>元。</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rPr>
        <w:t>202</w:t>
      </w:r>
      <w:r>
        <w:rPr>
          <w:rFonts w:hint="eastAsia" w:ascii="仿宋_GB2312"/>
          <w:lang w:val="en-US" w:eastAsia="zh-CN"/>
        </w:rPr>
        <w:t>2</w:t>
      </w:r>
      <w:r>
        <w:rPr>
          <w:rFonts w:hint="eastAsia" w:ascii="仿宋_GB2312"/>
        </w:rPr>
        <w:t>年茂县林业和草原局部门</w:t>
      </w:r>
      <w:r>
        <w:rPr>
          <w:rFonts w:ascii="仿宋_GB2312"/>
        </w:rPr>
        <w:t>所有收入和支出均纳入部门预算管理。收入包括：一般公共预算拨款收入</w:t>
      </w:r>
      <w:r>
        <w:rPr>
          <w:rFonts w:hint="eastAsia" w:ascii="仿宋_GB2312"/>
          <w:lang w:val="en-US" w:eastAsia="zh-CN"/>
        </w:rPr>
        <w:t>2,506,071.47</w:t>
      </w:r>
      <w:r>
        <w:rPr>
          <w:rFonts w:ascii="仿宋_GB2312"/>
        </w:rPr>
        <w:t>元；支出包括：社会保障和就业支出</w:t>
      </w:r>
      <w:r>
        <w:rPr>
          <w:rFonts w:hint="eastAsia" w:ascii="仿宋_GB2312"/>
          <w:lang w:val="en-US" w:eastAsia="zh-CN"/>
        </w:rPr>
        <w:t>342,097.92</w:t>
      </w:r>
      <w:r>
        <w:rPr>
          <w:rFonts w:ascii="仿宋_GB2312"/>
        </w:rPr>
        <w:t>元，</w:t>
      </w:r>
      <w:r>
        <w:rPr>
          <w:rFonts w:hint="eastAsia" w:ascii="仿宋_GB2312"/>
        </w:rPr>
        <w:t>卫生健康</w:t>
      </w:r>
      <w:r>
        <w:rPr>
          <w:rFonts w:ascii="仿宋_GB2312"/>
        </w:rPr>
        <w:t>支出</w:t>
      </w:r>
      <w:r>
        <w:rPr>
          <w:rFonts w:hint="eastAsia" w:ascii="仿宋_GB2312"/>
          <w:lang w:val="en-US" w:eastAsia="zh-CN"/>
        </w:rPr>
        <w:t>158,114.36</w:t>
      </w:r>
      <w:r>
        <w:rPr>
          <w:rFonts w:ascii="仿宋_GB2312"/>
        </w:rPr>
        <w:t>元，</w:t>
      </w:r>
      <w:r>
        <w:rPr>
          <w:rFonts w:hint="eastAsia" w:ascii="仿宋_GB2312"/>
        </w:rPr>
        <w:t>农林水支出</w:t>
      </w:r>
      <w:r>
        <w:rPr>
          <w:rFonts w:hint="eastAsia" w:ascii="仿宋_GB2312"/>
          <w:lang w:val="en-US" w:eastAsia="zh-CN"/>
        </w:rPr>
        <w:t>1,766,267.19</w:t>
      </w:r>
      <w:r>
        <w:rPr>
          <w:rFonts w:hint="eastAsia" w:ascii="仿宋_GB2312"/>
        </w:rPr>
        <w:t>元，</w:t>
      </w:r>
      <w:r>
        <w:rPr>
          <w:rFonts w:ascii="仿宋_GB2312"/>
        </w:rPr>
        <w:t>住房保障支出</w:t>
      </w:r>
      <w:r>
        <w:rPr>
          <w:rFonts w:hint="eastAsia" w:ascii="仿宋_GB2312"/>
          <w:lang w:val="en-US" w:eastAsia="zh-CN"/>
        </w:rPr>
        <w:t>239,592.00</w:t>
      </w:r>
      <w:r>
        <w:rPr>
          <w:rFonts w:ascii="仿宋_GB2312"/>
        </w:rPr>
        <w:t>元。</w:t>
      </w:r>
      <w:r>
        <w:rPr>
          <w:rFonts w:hint="eastAsia" w:ascii="仿宋_GB2312"/>
        </w:rPr>
        <w:t>茂县林业和草原局</w:t>
      </w:r>
      <w:r>
        <w:rPr>
          <w:rFonts w:hint="eastAsia" w:ascii="仿宋_GB2312"/>
          <w:lang w:eastAsia="zh-CN"/>
        </w:rPr>
        <w:t>行政</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2,506,071.47</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35，282.53</w:t>
      </w:r>
      <w:r>
        <w:rPr>
          <w:rFonts w:ascii="仿宋_GB2312"/>
        </w:rPr>
        <w:t>元，主要原因:</w:t>
      </w:r>
      <w:r>
        <w:rPr>
          <w:rFonts w:hint="eastAsia" w:ascii="仿宋_GB2312"/>
        </w:rPr>
        <w:t>压缩预算经费支出。</w:t>
      </w:r>
    </w:p>
    <w:p>
      <w:pPr>
        <w:pStyle w:val="44"/>
        <w:widowControl/>
        <w:numPr>
          <w:ilvl w:val="0"/>
          <w:numId w:val="1"/>
        </w:numPr>
        <w:adjustRightInd w:val="0"/>
        <w:snapToGrid w:val="0"/>
        <w:spacing w:line="580" w:lineRule="exact"/>
        <w:ind w:firstLine="642" w:firstLineChars="200"/>
        <w:contextualSpacing/>
        <w:jc w:val="left"/>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部门财政资金支出情况</w:t>
      </w:r>
    </w:p>
    <w:p>
      <w:pPr>
        <w:pStyle w:val="37"/>
        <w:pageBreakBefore w:val="0"/>
        <w:kinsoku/>
        <w:wordWrap/>
        <w:overflowPunct/>
        <w:topLinePunct w:val="0"/>
        <w:bidi w:val="0"/>
        <w:snapToGrid w:val="0"/>
        <w:spacing w:line="560" w:lineRule="exact"/>
        <w:ind w:firstLine="640" w:firstLineChars="200"/>
        <w:rPr>
          <w:rFonts w:ascii="仿宋_GB2312" w:hAnsi="仿宋"/>
        </w:rPr>
      </w:pPr>
      <w:r>
        <w:rPr>
          <w:rFonts w:hint="eastAsia" w:ascii="仿宋_GB2312" w:hAnsi="仿宋"/>
        </w:rPr>
        <w:t>20</w:t>
      </w:r>
      <w:r>
        <w:rPr>
          <w:rFonts w:hint="eastAsia" w:ascii="仿宋_GB2312" w:hAnsi="仿宋"/>
          <w:lang w:val="en-US" w:eastAsia="zh-CN"/>
        </w:rPr>
        <w:t>21</w:t>
      </w:r>
      <w:r>
        <w:rPr>
          <w:rFonts w:hint="eastAsia" w:ascii="仿宋_GB2312" w:hAnsi="仿宋"/>
        </w:rPr>
        <w:t>年本单位年初收入支出预算金额为</w:t>
      </w:r>
      <w:r>
        <w:rPr>
          <w:rFonts w:hint="eastAsia" w:ascii="仿宋_GB2312" w:hAnsi="仿宋"/>
          <w:lang w:val="en-US" w:eastAsia="zh-CN"/>
        </w:rPr>
        <w:t>2,541,354.00</w:t>
      </w:r>
      <w:r>
        <w:rPr>
          <w:rFonts w:hint="eastAsia" w:ascii="仿宋_GB2312" w:hAnsi="仿宋"/>
        </w:rPr>
        <w:t>元，分别为医疗卫生与计划生育支出</w:t>
      </w:r>
      <w:r>
        <w:rPr>
          <w:rFonts w:hint="eastAsia" w:ascii="仿宋_GB2312" w:hAnsi="仿宋"/>
          <w:lang w:val="en-US" w:eastAsia="zh-CN"/>
        </w:rPr>
        <w:t>152,847.00</w:t>
      </w:r>
      <w:r>
        <w:rPr>
          <w:rFonts w:hint="eastAsia" w:ascii="仿宋_GB2312" w:hAnsi="仿宋"/>
        </w:rPr>
        <w:t>元、社会保障和就业支出</w:t>
      </w:r>
      <w:r>
        <w:rPr>
          <w:rFonts w:hint="eastAsia" w:ascii="仿宋_GB2312" w:hAnsi="仿宋"/>
          <w:lang w:val="en-US" w:eastAsia="zh-CN"/>
        </w:rPr>
        <w:t>359,776.00</w:t>
      </w:r>
      <w:r>
        <w:rPr>
          <w:rFonts w:hint="eastAsia" w:ascii="仿宋_GB2312" w:hAnsi="仿宋"/>
        </w:rPr>
        <w:t>元、农林水支出</w:t>
      </w:r>
      <w:r>
        <w:rPr>
          <w:rFonts w:hint="eastAsia" w:ascii="仿宋_GB2312" w:hAnsi="仿宋"/>
          <w:lang w:val="en-US" w:eastAsia="zh-CN"/>
        </w:rPr>
        <w:t>1,793,087.00</w:t>
      </w:r>
      <w:r>
        <w:rPr>
          <w:rFonts w:hint="eastAsia" w:ascii="仿宋_GB2312" w:hAnsi="仿宋"/>
        </w:rPr>
        <w:t>元、住房保障支出</w:t>
      </w:r>
      <w:r>
        <w:rPr>
          <w:rFonts w:hint="eastAsia" w:ascii="仿宋_GB2312" w:hAnsi="仿宋"/>
          <w:lang w:val="en-US" w:eastAsia="zh-CN"/>
        </w:rPr>
        <w:t>235,644.00</w:t>
      </w:r>
      <w:r>
        <w:rPr>
          <w:rFonts w:hint="eastAsia" w:ascii="仿宋_GB2312" w:hAnsi="仿宋"/>
        </w:rPr>
        <w:t>元。决算支出金额为</w:t>
      </w:r>
      <w:r>
        <w:rPr>
          <w:rFonts w:hint="eastAsia" w:ascii="仿宋_GB2312" w:hAnsi="仿宋"/>
          <w:lang w:val="en-US" w:eastAsia="zh-CN"/>
        </w:rPr>
        <w:t>137，165，834.49</w:t>
      </w:r>
      <w:r>
        <w:rPr>
          <w:rFonts w:hint="eastAsia" w:ascii="仿宋_GB2312" w:hAnsi="仿宋"/>
        </w:rPr>
        <w:t>元，分别为</w:t>
      </w:r>
      <w:r>
        <w:rPr>
          <w:rFonts w:hint="eastAsia" w:ascii="仿宋_GB2312" w:hAnsi="仿宋"/>
          <w:lang w:eastAsia="zh-CN"/>
        </w:rPr>
        <w:t>卫生健康支出</w:t>
      </w:r>
      <w:r>
        <w:rPr>
          <w:rFonts w:hint="eastAsia" w:ascii="仿宋_GB2312" w:hAnsi="仿宋"/>
          <w:color w:val="auto"/>
          <w:lang w:val="en-US" w:eastAsia="zh-CN"/>
        </w:rPr>
        <w:t>312,526.73</w:t>
      </w:r>
      <w:r>
        <w:rPr>
          <w:rFonts w:hint="eastAsia" w:ascii="仿宋_GB2312" w:hAnsi="仿宋"/>
          <w:color w:val="auto"/>
        </w:rPr>
        <w:t>元、节能环保支出</w:t>
      </w:r>
      <w:r>
        <w:rPr>
          <w:rFonts w:hint="eastAsia" w:ascii="仿宋_GB2312" w:hAnsi="仿宋"/>
          <w:color w:val="auto"/>
          <w:lang w:val="en-US" w:eastAsia="zh-CN"/>
        </w:rPr>
        <w:t>48,731,010.92</w:t>
      </w:r>
      <w:r>
        <w:rPr>
          <w:rFonts w:hint="eastAsia" w:ascii="仿宋_GB2312" w:hAnsi="仿宋"/>
          <w:color w:val="auto"/>
        </w:rPr>
        <w:t>元、社会保障和就业支出</w:t>
      </w:r>
      <w:r>
        <w:rPr>
          <w:rFonts w:hint="eastAsia" w:ascii="仿宋_GB2312" w:hAnsi="仿宋"/>
          <w:color w:val="auto"/>
          <w:lang w:val="en-US" w:eastAsia="zh-CN"/>
        </w:rPr>
        <w:t>342,797.68</w:t>
      </w:r>
      <w:r>
        <w:rPr>
          <w:rFonts w:hint="eastAsia" w:ascii="仿宋_GB2312" w:hAnsi="仿宋"/>
          <w:color w:val="auto"/>
        </w:rPr>
        <w:t>元、农林水支出</w:t>
      </w:r>
      <w:r>
        <w:rPr>
          <w:rFonts w:hint="eastAsia" w:ascii="仿宋_GB2312" w:hAnsi="仿宋"/>
          <w:color w:val="auto"/>
          <w:lang w:val="en-US" w:eastAsia="zh-CN"/>
        </w:rPr>
        <w:t>75,434,598.28</w:t>
      </w:r>
      <w:r>
        <w:rPr>
          <w:rFonts w:hint="eastAsia" w:ascii="仿宋_GB2312" w:hAnsi="仿宋"/>
          <w:color w:val="auto"/>
        </w:rPr>
        <w:t>元、</w:t>
      </w:r>
      <w:r>
        <w:rPr>
          <w:rFonts w:hint="eastAsia" w:ascii="仿宋_GB2312" w:hAnsi="仿宋"/>
          <w:color w:val="auto"/>
          <w:lang w:eastAsia="zh-CN"/>
        </w:rPr>
        <w:t>城乡社区支出</w:t>
      </w:r>
      <w:r>
        <w:rPr>
          <w:rFonts w:hint="eastAsia" w:ascii="仿宋_GB2312" w:hAnsi="仿宋"/>
          <w:color w:val="auto"/>
          <w:lang w:val="en-US" w:eastAsia="zh-CN"/>
        </w:rPr>
        <w:t>4,686,135.67元、交通运输支出1,938,596.11元、灾害防治及应急管理支出2,362,055.00元、其他支出3,092,020.10元、</w:t>
      </w:r>
      <w:r>
        <w:rPr>
          <w:rFonts w:hint="eastAsia" w:ascii="仿宋_GB2312" w:hAnsi="仿宋"/>
          <w:color w:val="auto"/>
        </w:rPr>
        <w:t>住房保障支出</w:t>
      </w:r>
      <w:r>
        <w:rPr>
          <w:rFonts w:hint="eastAsia" w:ascii="仿宋_GB2312" w:hAnsi="仿宋"/>
          <w:color w:val="auto"/>
          <w:lang w:val="en-US" w:eastAsia="zh-CN"/>
        </w:rPr>
        <w:t>266,094.00</w:t>
      </w:r>
      <w:r>
        <w:rPr>
          <w:rFonts w:hint="eastAsia" w:ascii="仿宋_GB2312" w:hAnsi="仿宋"/>
          <w:color w:val="auto"/>
        </w:rPr>
        <w:t>元,支出比预算多</w:t>
      </w:r>
      <w:r>
        <w:rPr>
          <w:rFonts w:hint="eastAsia" w:ascii="仿宋_GB2312" w:hAnsi="仿宋"/>
          <w:color w:val="auto"/>
          <w:lang w:val="en-US" w:eastAsia="zh-CN"/>
        </w:rPr>
        <w:t>134,624,480.49</w:t>
      </w:r>
      <w:r>
        <w:rPr>
          <w:rFonts w:hint="eastAsia" w:ascii="仿宋_GB2312" w:hAnsi="仿宋"/>
          <w:color w:val="auto"/>
        </w:rPr>
        <w:t>元。支出数</w:t>
      </w:r>
      <w:r>
        <w:rPr>
          <w:rFonts w:hint="eastAsia" w:ascii="仿宋_GB2312" w:hAnsi="仿宋"/>
        </w:rPr>
        <w:t>增加原因主要是项目未纳入年初预算导致。</w:t>
      </w:r>
    </w:p>
    <w:p>
      <w:pPr>
        <w:pStyle w:val="37"/>
        <w:pageBreakBefore w:val="0"/>
        <w:kinsoku/>
        <w:wordWrap/>
        <w:overflowPunct/>
        <w:topLinePunct w:val="0"/>
        <w:bidi w:val="0"/>
        <w:spacing w:line="560" w:lineRule="exact"/>
        <w:ind w:firstLine="640" w:firstLineChars="200"/>
        <w:rPr>
          <w:rFonts w:hint="eastAsia" w:ascii="仿宋_GB2312" w:hAnsi="宋体" w:eastAsia="仿宋_GB2312" w:cs="宋体"/>
          <w:color w:val="000000"/>
          <w:kern w:val="0"/>
          <w:szCs w:val="32"/>
          <w:shd w:val="clear" w:color="auto" w:fill="FFFFFF"/>
          <w:lang w:val="en-US" w:eastAsia="zh-CN"/>
        </w:rPr>
      </w:pPr>
      <w:r>
        <w:rPr>
          <w:rFonts w:hint="eastAsia" w:ascii="仿宋_GB2312"/>
          <w:color w:val="000000" w:themeColor="text1"/>
        </w:rPr>
        <w:t>202</w:t>
      </w:r>
      <w:r>
        <w:rPr>
          <w:rFonts w:hint="eastAsia" w:ascii="仿宋_GB2312"/>
          <w:color w:val="000000" w:themeColor="text1"/>
          <w:lang w:val="en-US" w:eastAsia="zh-CN"/>
        </w:rPr>
        <w:t>2</w:t>
      </w:r>
      <w:r>
        <w:rPr>
          <w:rFonts w:ascii="仿宋_GB2312"/>
          <w:color w:val="000000" w:themeColor="text1"/>
        </w:rPr>
        <w:t>年财政拨款收支总预算</w:t>
      </w:r>
      <w:r>
        <w:rPr>
          <w:rFonts w:hint="eastAsia" w:ascii="仿宋_GB2312"/>
          <w:lang w:val="en-US" w:eastAsia="zh-CN"/>
        </w:rPr>
        <w:t>2,506,071.47</w:t>
      </w:r>
      <w:r>
        <w:rPr>
          <w:rFonts w:ascii="仿宋_GB2312"/>
        </w:rPr>
        <w:t>元；支出包括：社会保障和就业支出</w:t>
      </w:r>
      <w:r>
        <w:rPr>
          <w:rFonts w:hint="eastAsia" w:ascii="仿宋_GB2312"/>
          <w:lang w:val="en-US" w:eastAsia="zh-CN"/>
        </w:rPr>
        <w:t>342,097.92</w:t>
      </w:r>
      <w:r>
        <w:rPr>
          <w:rFonts w:ascii="仿宋_GB2312"/>
        </w:rPr>
        <w:t>元，</w:t>
      </w:r>
      <w:r>
        <w:rPr>
          <w:rFonts w:hint="eastAsia" w:ascii="仿宋_GB2312"/>
        </w:rPr>
        <w:t>卫生健康</w:t>
      </w:r>
      <w:r>
        <w:rPr>
          <w:rFonts w:ascii="仿宋_GB2312"/>
        </w:rPr>
        <w:t>支出</w:t>
      </w:r>
      <w:r>
        <w:rPr>
          <w:rFonts w:hint="eastAsia" w:ascii="仿宋_GB2312"/>
          <w:lang w:val="en-US" w:eastAsia="zh-CN"/>
        </w:rPr>
        <w:t>158,114.36</w:t>
      </w:r>
      <w:r>
        <w:rPr>
          <w:rFonts w:ascii="仿宋_GB2312"/>
        </w:rPr>
        <w:t>元，</w:t>
      </w:r>
      <w:r>
        <w:rPr>
          <w:rFonts w:hint="eastAsia" w:ascii="仿宋_GB2312"/>
        </w:rPr>
        <w:t>农林水支出</w:t>
      </w:r>
      <w:r>
        <w:rPr>
          <w:rFonts w:hint="eastAsia" w:ascii="仿宋_GB2312"/>
          <w:lang w:val="en-US" w:eastAsia="zh-CN"/>
        </w:rPr>
        <w:t>1,766,267.19</w:t>
      </w:r>
      <w:r>
        <w:rPr>
          <w:rFonts w:hint="eastAsia" w:ascii="仿宋_GB2312"/>
        </w:rPr>
        <w:t>元，</w:t>
      </w:r>
      <w:r>
        <w:rPr>
          <w:rFonts w:ascii="仿宋_GB2312"/>
        </w:rPr>
        <w:t>住房保障支出</w:t>
      </w:r>
      <w:r>
        <w:rPr>
          <w:rFonts w:hint="eastAsia" w:ascii="仿宋_GB2312"/>
          <w:lang w:val="en-US" w:eastAsia="zh-CN"/>
        </w:rPr>
        <w:t>239,592.00</w:t>
      </w:r>
      <w:r>
        <w:rPr>
          <w:rFonts w:ascii="仿宋_GB2312"/>
        </w:rPr>
        <w:t>元。</w:t>
      </w:r>
      <w:r>
        <w:rPr>
          <w:rFonts w:hint="eastAsia" w:ascii="仿宋_GB2312"/>
          <w:lang w:val="en-US" w:eastAsia="zh-CN"/>
        </w:rPr>
        <w:t>2022年1月至6月工资福利支出1,691,610.18</w:t>
      </w:r>
      <w:r>
        <w:rPr>
          <w:rFonts w:ascii="仿宋_GB2312"/>
        </w:rPr>
        <w:t>元</w:t>
      </w:r>
      <w:r>
        <w:rPr>
          <w:rFonts w:hint="eastAsia" w:ascii="仿宋_GB2312"/>
          <w:lang w:eastAsia="zh-CN"/>
        </w:rPr>
        <w:t>，商品和服务支出</w:t>
      </w:r>
      <w:r>
        <w:rPr>
          <w:rFonts w:hint="eastAsia" w:ascii="仿宋_GB2312"/>
          <w:lang w:val="en-US" w:eastAsia="zh-CN"/>
        </w:rPr>
        <w:t>2,053,949.41元，对个人和家庭补助支出278,082.82元。</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三、部门整体预算绩效管理情况（根据适用指标体系进行调整，涉及到有专项预算的部门，专项预算项目自评报告根据要求另行单独报送）</w:t>
      </w:r>
    </w:p>
    <w:p>
      <w:pPr>
        <w:pStyle w:val="44"/>
        <w:widowControl/>
        <w:adjustRightInd w:val="0"/>
        <w:snapToGrid w:val="0"/>
        <w:spacing w:line="580" w:lineRule="exact"/>
        <w:ind w:firstLine="642" w:firstLineChars="2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（一）部门预算项目绩效管理</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hint="eastAsia" w:ascii="仿宋_GB2312" w:hAnsi="宋体" w:cs="宋体"/>
          <w:color w:val="000000"/>
          <w:kern w:val="0"/>
          <w:szCs w:val="32"/>
          <w:shd w:val="clear" w:color="auto" w:fill="FFFFFF"/>
          <w:lang w:val="zh-CN"/>
        </w:rPr>
      </w:pPr>
      <w:r>
        <w:rPr>
          <w:rFonts w:hint="eastAsia" w:ascii="仿宋_GB2312"/>
        </w:rPr>
        <w:t>202</w:t>
      </w:r>
      <w:r>
        <w:rPr>
          <w:rFonts w:hint="eastAsia" w:ascii="仿宋_GB2312"/>
          <w:lang w:val="en-US" w:eastAsia="zh-CN"/>
        </w:rPr>
        <w:t>2</w:t>
      </w:r>
      <w:r>
        <w:rPr>
          <w:rFonts w:hint="eastAsia" w:ascii="仿宋_GB2312"/>
        </w:rPr>
        <w:t>年茂县林业和草原局部门</w:t>
      </w:r>
      <w:r>
        <w:rPr>
          <w:rFonts w:ascii="仿宋_GB2312"/>
        </w:rPr>
        <w:t>所有收入和支出均纳入部门预算管理。收入包括：一般公共预算拨款收入</w:t>
      </w:r>
      <w:r>
        <w:rPr>
          <w:rFonts w:hint="eastAsia" w:ascii="仿宋_GB2312"/>
          <w:lang w:val="en-US" w:eastAsia="zh-CN"/>
        </w:rPr>
        <w:t>2,506,071.47</w:t>
      </w:r>
      <w:r>
        <w:rPr>
          <w:rFonts w:ascii="仿宋_GB2312"/>
        </w:rPr>
        <w:t>元；支出包括：社会保障和就业支出</w:t>
      </w:r>
      <w:r>
        <w:rPr>
          <w:rFonts w:hint="eastAsia" w:ascii="仿宋_GB2312"/>
          <w:lang w:val="en-US" w:eastAsia="zh-CN"/>
        </w:rPr>
        <w:t>342,097.92</w:t>
      </w:r>
      <w:r>
        <w:rPr>
          <w:rFonts w:ascii="仿宋_GB2312"/>
        </w:rPr>
        <w:t>元，</w:t>
      </w:r>
      <w:r>
        <w:rPr>
          <w:rFonts w:hint="eastAsia" w:ascii="仿宋_GB2312"/>
        </w:rPr>
        <w:t>卫生健康</w:t>
      </w:r>
      <w:r>
        <w:rPr>
          <w:rFonts w:ascii="仿宋_GB2312"/>
        </w:rPr>
        <w:t>支出</w:t>
      </w:r>
      <w:r>
        <w:rPr>
          <w:rFonts w:hint="eastAsia" w:ascii="仿宋_GB2312"/>
          <w:lang w:val="en-US" w:eastAsia="zh-CN"/>
        </w:rPr>
        <w:t>158,114.36</w:t>
      </w:r>
      <w:r>
        <w:rPr>
          <w:rFonts w:ascii="仿宋_GB2312"/>
        </w:rPr>
        <w:t>元，</w:t>
      </w:r>
      <w:r>
        <w:rPr>
          <w:rFonts w:hint="eastAsia" w:ascii="仿宋_GB2312"/>
        </w:rPr>
        <w:t>农林水支出</w:t>
      </w:r>
      <w:r>
        <w:rPr>
          <w:rFonts w:hint="eastAsia" w:ascii="仿宋_GB2312"/>
          <w:lang w:val="en-US" w:eastAsia="zh-CN"/>
        </w:rPr>
        <w:t>1,766,267.19</w:t>
      </w:r>
      <w:r>
        <w:rPr>
          <w:rFonts w:hint="eastAsia" w:ascii="仿宋_GB2312"/>
        </w:rPr>
        <w:t>元，</w:t>
      </w:r>
      <w:r>
        <w:rPr>
          <w:rFonts w:ascii="仿宋_GB2312"/>
        </w:rPr>
        <w:t>住房保障支出</w:t>
      </w:r>
      <w:r>
        <w:rPr>
          <w:rFonts w:hint="eastAsia" w:ascii="仿宋_GB2312"/>
          <w:lang w:val="en-US" w:eastAsia="zh-CN"/>
        </w:rPr>
        <w:t>239,592.00</w:t>
      </w:r>
      <w:r>
        <w:rPr>
          <w:rFonts w:ascii="仿宋_GB2312"/>
        </w:rPr>
        <w:t>元。</w:t>
      </w:r>
      <w:r>
        <w:rPr>
          <w:rFonts w:hint="eastAsia" w:ascii="仿宋_GB2312"/>
        </w:rPr>
        <w:t>茂县林业和草原局</w:t>
      </w:r>
      <w:r>
        <w:rPr>
          <w:rFonts w:hint="eastAsia" w:ascii="仿宋_GB2312"/>
          <w:lang w:eastAsia="zh-CN"/>
        </w:rPr>
        <w:t>行政</w:t>
      </w:r>
      <w:r>
        <w:rPr>
          <w:rFonts w:ascii="仿宋_GB2312"/>
        </w:rPr>
        <w:t>20</w:t>
      </w:r>
      <w:r>
        <w:rPr>
          <w:rFonts w:hint="eastAsia" w:ascii="仿宋_GB2312"/>
        </w:rPr>
        <w:t>2</w:t>
      </w:r>
      <w:r>
        <w:rPr>
          <w:rFonts w:hint="eastAsia" w:ascii="仿宋_GB2312"/>
          <w:lang w:val="en-US" w:eastAsia="zh-CN"/>
        </w:rPr>
        <w:t>2</w:t>
      </w:r>
      <w:r>
        <w:rPr>
          <w:rFonts w:ascii="仿宋_GB2312"/>
        </w:rPr>
        <w:t>年收支总预算</w:t>
      </w:r>
      <w:r>
        <w:rPr>
          <w:rFonts w:hint="eastAsia" w:ascii="仿宋_GB2312"/>
          <w:lang w:val="en-US" w:eastAsia="zh-CN"/>
        </w:rPr>
        <w:t>2,506,071.47</w:t>
      </w:r>
      <w:r>
        <w:rPr>
          <w:rFonts w:ascii="仿宋_GB2312"/>
        </w:rPr>
        <w:t>元,比20</w:t>
      </w:r>
      <w:r>
        <w:rPr>
          <w:rFonts w:hint="eastAsia" w:ascii="仿宋_GB2312"/>
          <w:lang w:val="en-US" w:eastAsia="zh-CN"/>
        </w:rPr>
        <w:t>21</w:t>
      </w:r>
      <w:r>
        <w:rPr>
          <w:rFonts w:ascii="仿宋_GB2312"/>
        </w:rPr>
        <w:t>年收支预算总数</w:t>
      </w:r>
      <w:r>
        <w:rPr>
          <w:rFonts w:hint="eastAsia" w:ascii="仿宋_GB2312"/>
        </w:rPr>
        <w:t>减少</w:t>
      </w:r>
      <w:r>
        <w:rPr>
          <w:rFonts w:hint="eastAsia" w:ascii="仿宋_GB2312"/>
          <w:lang w:val="en-US" w:eastAsia="zh-CN"/>
        </w:rPr>
        <w:t>35，282.53</w:t>
      </w:r>
      <w:r>
        <w:rPr>
          <w:rFonts w:ascii="仿宋_GB2312"/>
        </w:rPr>
        <w:t>元，主要原因:</w:t>
      </w:r>
      <w:r>
        <w:rPr>
          <w:rFonts w:hint="eastAsia" w:ascii="仿宋_GB2312"/>
        </w:rPr>
        <w:t>压缩预算经费支出。</w:t>
      </w:r>
    </w:p>
    <w:p>
      <w:pPr>
        <w:pStyle w:val="37"/>
        <w:pageBreakBefore w:val="0"/>
        <w:kinsoku/>
        <w:wordWrap/>
        <w:overflowPunct/>
        <w:topLinePunct w:val="0"/>
        <w:bidi w:val="0"/>
        <w:spacing w:line="560" w:lineRule="exact"/>
        <w:ind w:firstLine="640" w:firstLineChars="200"/>
        <w:rPr>
          <w:rFonts w:hint="eastAsia" w:ascii="仿宋_GB2312" w:hAnsi="宋体"/>
          <w:color w:val="333333"/>
        </w:rPr>
      </w:pPr>
      <w:r>
        <w:rPr>
          <w:rFonts w:hint="eastAsia" w:ascii="仿宋_GB2312" w:hAnsi="宋体" w:cs="宋体"/>
          <w:kern w:val="0"/>
          <w:lang w:eastAsia="zh-CN"/>
        </w:rPr>
        <w:t>茂县林业和草原</w:t>
      </w:r>
      <w:r>
        <w:rPr>
          <w:rFonts w:hint="eastAsia" w:ascii="仿宋_GB2312" w:hAnsi="宋体" w:cs="宋体"/>
          <w:kern w:val="0"/>
        </w:rPr>
        <w:t>局</w:t>
      </w:r>
      <w:r>
        <w:rPr>
          <w:rFonts w:hint="eastAsia" w:ascii="仿宋_GB2312" w:hAnsi="宋体"/>
          <w:color w:val="333333"/>
        </w:rPr>
        <w:t>部门预算安排支出主要用于保障该部门机构正常运转、完成日常工作任务以及</w:t>
      </w:r>
      <w:r>
        <w:rPr>
          <w:rFonts w:hint="eastAsia" w:ascii="仿宋_GB2312" w:hAnsi="宋体"/>
        </w:rPr>
        <w:t>承担林业事业发展相关工作</w:t>
      </w:r>
      <w:r>
        <w:rPr>
          <w:rFonts w:hint="eastAsia" w:ascii="仿宋_GB2312" w:hAnsi="宋体"/>
          <w:color w:val="333333"/>
        </w:rPr>
        <w:t>。</w:t>
      </w:r>
    </w:p>
    <w:p>
      <w:pPr>
        <w:pStyle w:val="37"/>
        <w:pageBreakBefore w:val="0"/>
        <w:kinsoku/>
        <w:wordWrap/>
        <w:overflowPunct/>
        <w:topLinePunct w:val="0"/>
        <w:bidi w:val="0"/>
        <w:spacing w:line="560" w:lineRule="exact"/>
        <w:ind w:firstLine="640" w:firstLineChars="200"/>
        <w:rPr>
          <w:rFonts w:hint="eastAsia" w:ascii="仿宋_GB2312" w:hAnsi="宋体"/>
          <w:color w:val="333333"/>
        </w:rPr>
      </w:pPr>
      <w:r>
        <w:rPr>
          <w:rFonts w:hint="eastAsia" w:ascii="仿宋_GB2312" w:hAnsi="宋体"/>
          <w:color w:val="333333"/>
        </w:rPr>
        <w:t>基本支出，是用于保障林业局机关、下属事业单位等机构正常运转的日常支出，包括基本工资、津贴补贴等人员经费以及办公费、印刷费、水电费等日常公用经费。</w:t>
      </w:r>
    </w:p>
    <w:p>
      <w:pPr>
        <w:pStyle w:val="37"/>
        <w:pageBreakBefore w:val="0"/>
        <w:kinsoku/>
        <w:wordWrap/>
        <w:overflowPunct/>
        <w:topLinePunct w:val="0"/>
        <w:bidi w:val="0"/>
        <w:spacing w:line="560" w:lineRule="exact"/>
        <w:ind w:firstLine="640" w:firstLineChars="200"/>
        <w:rPr>
          <w:rFonts w:ascii="仿宋_GB2312"/>
        </w:rPr>
      </w:pPr>
      <w:r>
        <w:rPr>
          <w:rFonts w:hint="eastAsia" w:ascii="仿宋_GB2312" w:hAnsi="宋体"/>
          <w:color w:val="333333"/>
        </w:rPr>
        <w:t>项目支出，是用于保障林业局机关、下属事业单位等机构为完成特定的行政工作任务或事业发展目标，用于专项业务工作的经费支出。</w:t>
      </w:r>
    </w:p>
    <w:p>
      <w:pPr>
        <w:pStyle w:val="44"/>
        <w:widowControl/>
        <w:adjustRightInd w:val="0"/>
        <w:snapToGrid w:val="0"/>
        <w:spacing w:line="580" w:lineRule="exact"/>
        <w:ind w:firstLine="321" w:firstLineChars="100"/>
        <w:contextualSpacing/>
        <w:jc w:val="left"/>
        <w:rPr>
          <w:rFonts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（二）结果应用情况</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ascii="仿宋_GB2312" w:hAnsi="宋体"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包括绩效自评公开、评价结果整改和应用林草局</w:t>
      </w:r>
      <w:r>
        <w:rPr>
          <w:rFonts w:hint="eastAsia" w:ascii="仿宋_GB2312" w:eastAsia="仿宋_GB2312"/>
          <w:sz w:val="32"/>
          <w:szCs w:val="32"/>
        </w:rPr>
        <w:t>对部门预算绩效管理工作开展情况认真进行了自查自评。将评价结果作为预算安排的重要依据</w:t>
      </w:r>
      <w:r>
        <w:rPr>
          <w:rFonts w:hint="eastAsia" w:ascii="仿宋_GB2312" w:eastAsia="仿宋_GB2312"/>
          <w:sz w:val="32"/>
          <w:szCs w:val="32"/>
          <w:lang w:val="en-US" w:eastAsia="zh-CN"/>
        </w:rPr>
        <w:t>,</w:t>
      </w:r>
      <w:r>
        <w:rPr>
          <w:rFonts w:hint="eastAsia" w:ascii="仿宋_GB2312" w:eastAsia="仿宋_GB2312"/>
          <w:sz w:val="32"/>
          <w:szCs w:val="32"/>
        </w:rPr>
        <w:t>参照项目年度预算执行情况</w:t>
      </w:r>
      <w:r>
        <w:rPr>
          <w:rFonts w:hint="eastAsia" w:ascii="仿宋_GB2312" w:eastAsia="仿宋_GB2312"/>
          <w:sz w:val="32"/>
          <w:szCs w:val="32"/>
          <w:lang w:val="en-US" w:eastAsia="zh-CN"/>
        </w:rPr>
        <w:t>,</w:t>
      </w:r>
      <w:r>
        <w:rPr>
          <w:rFonts w:hint="eastAsia" w:ascii="仿宋_GB2312" w:eastAsia="仿宋_GB2312"/>
          <w:sz w:val="32"/>
          <w:szCs w:val="32"/>
        </w:rPr>
        <w:t>保障重点支出</w:t>
      </w:r>
      <w:r>
        <w:rPr>
          <w:rFonts w:hint="eastAsia" w:ascii="仿宋_GB2312" w:eastAsia="仿宋_GB2312"/>
          <w:sz w:val="32"/>
          <w:szCs w:val="32"/>
          <w:lang w:val="en-US" w:eastAsia="zh-CN"/>
        </w:rPr>
        <w:t>,</w:t>
      </w:r>
      <w:r>
        <w:rPr>
          <w:rFonts w:hint="eastAsia" w:ascii="仿宋_GB2312" w:eastAsia="仿宋_GB2312"/>
          <w:sz w:val="32"/>
          <w:szCs w:val="32"/>
        </w:rPr>
        <w:t>调整支出结构</w:t>
      </w:r>
      <w:r>
        <w:rPr>
          <w:rFonts w:hint="eastAsia" w:ascii="仿宋_GB2312" w:eastAsia="仿宋_GB2312"/>
          <w:sz w:val="32"/>
          <w:szCs w:val="32"/>
          <w:lang w:val="en-US" w:eastAsia="zh-CN"/>
        </w:rPr>
        <w:t>,</w:t>
      </w:r>
      <w:r>
        <w:rPr>
          <w:rFonts w:hint="eastAsia" w:ascii="仿宋_GB2312" w:eastAsia="仿宋_GB2312"/>
          <w:sz w:val="32"/>
          <w:szCs w:val="32"/>
        </w:rPr>
        <w:t>优化财政资金配置</w:t>
      </w:r>
      <w:r>
        <w:rPr>
          <w:rFonts w:hint="eastAsia" w:ascii="仿宋_GB2312" w:eastAsia="仿宋_GB2312"/>
          <w:sz w:val="32"/>
          <w:szCs w:val="32"/>
          <w:lang w:val="en-US" w:eastAsia="zh-CN"/>
        </w:rPr>
        <w:t>,</w:t>
      </w:r>
      <w:r>
        <w:rPr>
          <w:rFonts w:hint="eastAsia" w:ascii="仿宋_GB2312" w:eastAsia="仿宋_GB2312"/>
          <w:sz w:val="32"/>
          <w:szCs w:val="32"/>
        </w:rPr>
        <w:t>不断强化绩效理念</w:t>
      </w:r>
      <w:r>
        <w:rPr>
          <w:rFonts w:hint="eastAsia" w:ascii="仿宋_GB2312" w:eastAsia="仿宋_GB2312"/>
          <w:sz w:val="32"/>
          <w:szCs w:val="32"/>
          <w:lang w:val="en-US" w:eastAsia="zh-CN"/>
        </w:rPr>
        <w:t>,</w:t>
      </w:r>
      <w:r>
        <w:rPr>
          <w:rFonts w:hint="eastAsia" w:ascii="仿宋_GB2312" w:eastAsia="仿宋_GB2312"/>
          <w:sz w:val="32"/>
          <w:szCs w:val="32"/>
        </w:rPr>
        <w:t>推动我单位整体绩效管理水平不断提升。</w:t>
      </w:r>
    </w:p>
    <w:p>
      <w:pPr>
        <w:pStyle w:val="44"/>
        <w:widowControl/>
        <w:numPr>
          <w:ilvl w:val="0"/>
          <w:numId w:val="2"/>
        </w:numPr>
        <w:adjustRightInd w:val="0"/>
        <w:snapToGrid w:val="0"/>
        <w:spacing w:line="580" w:lineRule="exact"/>
        <w:ind w:firstLine="642" w:firstLineChars="200"/>
        <w:contextualSpacing/>
        <w:jc w:val="left"/>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自评质量</w:t>
      </w:r>
    </w:p>
    <w:p>
      <w:pPr>
        <w:pStyle w:val="37"/>
        <w:pageBreakBefore w:val="0"/>
        <w:widowControl/>
        <w:kinsoku/>
        <w:wordWrap/>
        <w:overflowPunct/>
        <w:topLinePunct w:val="0"/>
        <w:bidi w:val="0"/>
        <w:adjustRightInd w:val="0"/>
        <w:snapToGrid w:val="0"/>
        <w:spacing w:line="560" w:lineRule="exact"/>
        <w:contextualSpacing/>
        <w:jc w:val="left"/>
        <w:rPr>
          <w:rFonts w:ascii="仿宋_GB2312" w:hAnsi="宋体" w:cs="宋体"/>
          <w:color w:val="000000"/>
          <w:kern w:val="0"/>
          <w:szCs w:val="32"/>
          <w:shd w:val="clear" w:color="auto" w:fill="FFFFFF"/>
        </w:rPr>
      </w:pPr>
      <w:r>
        <w:rPr>
          <w:rFonts w:hint="eastAsia" w:ascii="仿宋_GB2312" w:hAnsi="宋体" w:cs="宋体"/>
          <w:color w:val="000000"/>
          <w:kern w:val="0"/>
          <w:szCs w:val="32"/>
          <w:shd w:val="clear" w:color="auto" w:fill="FFFFFF"/>
        </w:rPr>
        <w:t xml:space="preserve">    </w:t>
      </w:r>
      <w:r>
        <w:rPr>
          <w:rFonts w:hint="eastAsia" w:ascii="仿宋_GB2312" w:hAnsi="宋体" w:cs="宋体"/>
          <w:color w:val="000000"/>
          <w:kern w:val="0"/>
          <w:shd w:val="clear" w:color="auto" w:fill="FFFFFF"/>
          <w:lang w:val="zh-CN"/>
        </w:rPr>
        <w:t>林草局对部门预算决算等资金的到位使用及完成情况进行了自查工作，认真查阅工程及财务资料，对已支付资金进行了再审核，做到资料齐全支付合规，对预算资金的使用加强了监管和审核，取得了较好的效果，也取得了一些经验，希望在以后的工作中好好运用。</w:t>
      </w:r>
    </w:p>
    <w:p>
      <w:pPr>
        <w:pStyle w:val="37"/>
        <w:pageBreakBefore w:val="0"/>
        <w:widowControl/>
        <w:kinsoku/>
        <w:wordWrap/>
        <w:overflowPunct/>
        <w:topLinePunct w:val="0"/>
        <w:bidi w:val="0"/>
        <w:adjustRightInd w:val="0"/>
        <w:snapToGrid w:val="0"/>
        <w:spacing w:line="560" w:lineRule="exact"/>
        <w:ind w:firstLine="640" w:firstLineChars="200"/>
        <w:contextualSpacing/>
        <w:jc w:val="left"/>
        <w:rPr>
          <w:rFonts w:ascii="黑体" w:hAnsi="宋体" w:eastAsia="黑体" w:cs="宋体"/>
          <w:color w:val="000000"/>
          <w:kern w:val="0"/>
          <w:szCs w:val="32"/>
          <w:shd w:val="clear" w:color="auto" w:fill="FFFFFF"/>
        </w:rPr>
      </w:pPr>
      <w:r>
        <w:rPr>
          <w:rFonts w:hint="eastAsia" w:ascii="黑体" w:hAnsi="宋体" w:eastAsia="黑体" w:cs="宋体"/>
          <w:color w:val="000000"/>
          <w:kern w:val="0"/>
          <w:szCs w:val="32"/>
          <w:shd w:val="clear" w:color="auto" w:fill="FFFFFF"/>
        </w:rPr>
        <w:t>四、评价结论及建议</w:t>
      </w:r>
    </w:p>
    <w:p>
      <w:pPr>
        <w:pStyle w:val="44"/>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（一）评价结论</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eastAsia="zh-CN"/>
        </w:rPr>
      </w:pPr>
      <w:r>
        <w:rPr>
          <w:rFonts w:hint="eastAsia" w:ascii="仿宋_GB2312" w:cs="宋体"/>
          <w:color w:val="000000"/>
          <w:kern w:val="0"/>
          <w:szCs w:val="32"/>
          <w:shd w:val="clear" w:color="auto" w:fill="FFFFFF"/>
          <w:lang w:val="zh-CN"/>
        </w:rPr>
        <w:t>202</w:t>
      </w:r>
      <w:r>
        <w:rPr>
          <w:rFonts w:hint="eastAsia" w:ascii="仿宋_GB2312" w:cs="宋体"/>
          <w:color w:val="000000"/>
          <w:kern w:val="0"/>
          <w:szCs w:val="32"/>
          <w:shd w:val="clear" w:color="auto" w:fill="FFFFFF"/>
          <w:lang w:val="en-US" w:eastAsia="zh-CN"/>
        </w:rPr>
        <w:t>2</w:t>
      </w:r>
      <w:r>
        <w:rPr>
          <w:rFonts w:hint="eastAsia" w:ascii="仿宋_GB2312" w:cs="宋体"/>
          <w:color w:val="000000"/>
          <w:kern w:val="0"/>
          <w:szCs w:val="32"/>
          <w:shd w:val="clear" w:color="auto" w:fill="FFFFFF"/>
          <w:lang w:val="zh-CN"/>
        </w:rPr>
        <w:t>年，根据林草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r>
        <w:rPr>
          <w:rFonts w:hint="eastAsia" w:ascii="仿宋_GB2312" w:cs="宋体"/>
          <w:color w:val="000000"/>
          <w:kern w:val="0"/>
          <w:szCs w:val="32"/>
          <w:shd w:val="clear" w:color="auto" w:fill="FFFFFF"/>
          <w:lang w:val="zh-CN" w:eastAsia="zh-CN"/>
        </w:rPr>
        <w:t>。</w:t>
      </w:r>
    </w:p>
    <w:p>
      <w:pPr>
        <w:pStyle w:val="44"/>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（二）存在问题</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当前预算执行过程中由于项目进度与报账资料未能及时同步，造成项目已经完工但是资金兑付资料还未完成从而造成资金未及时拨付。在以后的预算执行过程中及时的掌握项目进度，催促相关项目负责人及时的报送项目资金支付资料到财务室及时有效的拨付项目资金。</w:t>
      </w:r>
    </w:p>
    <w:p>
      <w:pPr>
        <w:pStyle w:val="44"/>
        <w:keepNext w:val="0"/>
        <w:keepLines w:val="0"/>
        <w:pageBreakBefore w:val="0"/>
        <w:widowControl w:val="0"/>
        <w:numPr>
          <w:ilvl w:val="0"/>
          <w:numId w:val="1"/>
        </w:numPr>
        <w:pBdr>
          <w:bottom w:val="single" w:color="FFFFFF" w:sz="4" w:space="27"/>
        </w:pBdr>
        <w:kinsoku/>
        <w:wordWrap/>
        <w:overflowPunct/>
        <w:topLinePunct w:val="0"/>
        <w:autoSpaceDE/>
        <w:autoSpaceDN/>
        <w:bidi w:val="0"/>
        <w:adjustRightInd/>
        <w:snapToGrid/>
        <w:spacing w:line="560" w:lineRule="exact"/>
        <w:ind w:left="0" w:leftChars="0" w:firstLine="642" w:firstLineChars="200"/>
        <w:textAlignment w:val="auto"/>
        <w:rPr>
          <w:rFonts w:hint="eastAsia" w:ascii="楷体" w:hAnsi="楷体" w:eastAsia="楷体" w:cs="楷体"/>
          <w:b/>
          <w:bCs/>
          <w:color w:val="000000"/>
          <w:kern w:val="0"/>
          <w:szCs w:val="32"/>
          <w:shd w:val="clear" w:color="auto" w:fill="FFFFFF"/>
          <w:lang w:val="zh-CN"/>
        </w:rPr>
      </w:pPr>
      <w:r>
        <w:rPr>
          <w:rFonts w:hint="eastAsia" w:ascii="楷体" w:hAnsi="楷体" w:eastAsia="楷体" w:cs="楷体"/>
          <w:b/>
          <w:bCs/>
          <w:color w:val="000000"/>
          <w:kern w:val="0"/>
          <w:szCs w:val="32"/>
          <w:shd w:val="clear" w:color="auto" w:fill="FFFFFF"/>
          <w:lang w:val="zh-CN"/>
        </w:rPr>
        <w:t>改进建议</w:t>
      </w:r>
    </w:p>
    <w:p>
      <w:pPr>
        <w:pStyle w:val="37"/>
        <w:keepNext w:val="0"/>
        <w:keepLines w:val="0"/>
        <w:pageBreakBefore w:val="0"/>
        <w:widowControl w:val="0"/>
        <w:numPr>
          <w:ilvl w:val="0"/>
          <w:numId w:val="0"/>
        </w:numPr>
        <w:pBdr>
          <w:bottom w:val="single" w:color="FFFFFF" w:sz="4" w:space="27"/>
        </w:pBdr>
        <w:kinsoku/>
        <w:wordWrap/>
        <w:overflowPunct/>
        <w:topLinePunct w:val="0"/>
        <w:autoSpaceDE/>
        <w:autoSpaceDN/>
        <w:bidi w:val="0"/>
        <w:adjustRightInd/>
        <w:snapToGrid/>
        <w:spacing w:line="560" w:lineRule="exact"/>
        <w:ind w:firstLine="640" w:firstLineChars="200"/>
        <w:textAlignment w:val="auto"/>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在今后的资金支付过程中，及时联系业务股室及项目经办人员及时收集准备财务报账资料来进行支付，及时报账提高资金的支付进度，经常开展财务人员继续教育学习，努力提高自己的业务水平，提高工作效率。</w:t>
      </w: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pPr>
    </w:p>
    <w:p>
      <w:pPr>
        <w:pStyle w:val="37"/>
        <w:pageBreakBefore w:val="0"/>
        <w:kinsoku/>
        <w:wordWrap/>
        <w:overflowPunct/>
        <w:topLinePunct w:val="0"/>
        <w:bidi w:val="0"/>
        <w:spacing w:line="560" w:lineRule="exact"/>
        <w:jc w:val="left"/>
        <w:outlineLvl w:val="0"/>
        <w:rPr>
          <w:rFonts w:hint="eastAsia" w:ascii="黑体" w:eastAsia="黑体" w:cs="黑体"/>
          <w:sz w:val="32"/>
          <w:szCs w:val="32"/>
        </w:rPr>
      </w:pPr>
      <w:bookmarkStart w:id="74" w:name="_Toc79163633"/>
      <w:bookmarkStart w:id="75" w:name="_Toc79163883"/>
    </w:p>
    <w:p>
      <w:pPr>
        <w:pStyle w:val="37"/>
        <w:pageBreakBefore w:val="0"/>
        <w:kinsoku/>
        <w:wordWrap/>
        <w:overflowPunct/>
        <w:topLinePunct w:val="0"/>
        <w:bidi w:val="0"/>
        <w:spacing w:line="56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74"/>
      <w:bookmarkEnd w:id="75"/>
    </w:p>
    <w:p>
      <w:pPr>
        <w:pStyle w:val="37"/>
        <w:pageBreakBefore w:val="0"/>
        <w:kinsoku/>
        <w:wordWrap/>
        <w:overflowPunct/>
        <w:topLinePunct w:val="0"/>
        <w:bidi w:val="0"/>
        <w:spacing w:line="560" w:lineRule="exact"/>
        <w:ind w:firstLine="640" w:firstLineChars="200"/>
        <w:rPr>
          <w:rFonts w:ascii="仿宋_GB2312" w:eastAsia="仿宋_GB2312" w:cs="仿宋_GB2312"/>
          <w:sz w:val="32"/>
          <w:szCs w:val="32"/>
        </w:rPr>
      </w:pPr>
    </w:p>
    <w:p>
      <w:pPr>
        <w:pStyle w:val="44"/>
        <w:spacing w:line="600" w:lineRule="exact"/>
        <w:jc w:val="center"/>
        <w:outlineLvl w:val="0"/>
        <w:rPr>
          <w:rFonts w:hint="eastAsia" w:ascii="方正小标宋简体" w:hAnsi="Times New Roman" w:eastAsia="方正小标宋简体" w:cs="黑体"/>
          <w:sz w:val="44"/>
          <w:szCs w:val="44"/>
        </w:rPr>
      </w:pPr>
      <w:bookmarkStart w:id="76" w:name="_Toc79163884"/>
      <w:bookmarkStart w:id="77" w:name="_Toc79163634"/>
      <w:r>
        <w:rPr>
          <w:rFonts w:hint="eastAsia" w:ascii="方正小标宋简体" w:hAnsi="Times New Roman" w:eastAsia="方正小标宋简体" w:cs="黑体"/>
          <w:sz w:val="44"/>
          <w:szCs w:val="44"/>
        </w:rPr>
        <w:t>项目2021年绩效评价报告</w:t>
      </w:r>
      <w:bookmarkEnd w:id="76"/>
      <w:bookmarkEnd w:id="77"/>
    </w:p>
    <w:p>
      <w:pPr>
        <w:pStyle w:val="44"/>
        <w:spacing w:line="600" w:lineRule="exact"/>
        <w:rPr>
          <w:rFonts w:ascii="仿宋_GB2312" w:hAnsi="宋体"/>
        </w:rPr>
      </w:pPr>
      <w:r>
        <w:rPr>
          <w:rFonts w:hint="eastAsia" w:ascii="宋体"/>
          <w:sz w:val="32"/>
          <w:szCs w:val="32"/>
          <w:lang w:val="en-US" w:eastAsia="zh-CN"/>
        </w:rPr>
        <w:t xml:space="preserve">            （</w:t>
      </w:r>
      <w:r>
        <w:rPr>
          <w:rFonts w:hint="eastAsia" w:ascii="方正小标宋简体" w:hAnsi="Times New Roman" w:eastAsia="方正小标宋简体" w:cs="黑体"/>
          <w:sz w:val="32"/>
          <w:szCs w:val="32"/>
          <w:lang w:val="en-US" w:eastAsia="zh-CN"/>
        </w:rPr>
        <w:t>生态管护公益性岗位项目</w:t>
      </w:r>
      <w:r>
        <w:rPr>
          <w:rFonts w:hint="eastAsia" w:ascii="宋体"/>
          <w:sz w:val="32"/>
          <w:szCs w:val="32"/>
          <w:lang w:val="en-US" w:eastAsia="zh-CN"/>
        </w:rPr>
        <w:t>）</w:t>
      </w:r>
    </w:p>
    <w:p>
      <w:pPr>
        <w:pStyle w:val="41"/>
        <w:spacing w:line="600" w:lineRule="exact"/>
        <w:ind w:firstLine="640"/>
        <w:jc w:val="center"/>
        <w:rPr>
          <w:rFonts w:ascii="宋体" w:hAnsi="宋体"/>
          <w:color w:val="auto"/>
          <w:kern w:val="2"/>
          <w:sz w:val="32"/>
          <w:szCs w:val="32"/>
        </w:rPr>
      </w:pP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lang w:val="zh-CN"/>
        </w:rPr>
      </w:pPr>
      <w:r>
        <w:rPr>
          <w:rFonts w:hint="eastAsia" w:ascii="黑体" w:hAnsi="黑体" w:eastAsia="黑体" w:cs="黑体"/>
          <w:bCs/>
          <w:sz w:val="32"/>
          <w:szCs w:val="32"/>
        </w:rPr>
        <w:t>一、</w:t>
      </w:r>
      <w:r>
        <w:rPr>
          <w:rFonts w:hint="eastAsia" w:ascii="黑体" w:hAnsi="黑体" w:eastAsia="黑体" w:cs="黑体"/>
          <w:bCs/>
          <w:sz w:val="32"/>
          <w:szCs w:val="32"/>
          <w:lang w:val="zh-CN"/>
        </w:rPr>
        <w:t>项目概况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bCs/>
          <w:sz w:val="32"/>
          <w:szCs w:val="32"/>
          <w:lang w:val="zh-CN"/>
        </w:rPr>
      </w:pPr>
      <w:r>
        <w:rPr>
          <w:rFonts w:hint="eastAsia" w:ascii="楷体_GB2312" w:hAnsi="Times New Roman" w:eastAsia="楷体_GB2312" w:cs="Times New Roman"/>
          <w:b/>
          <w:sz w:val="32"/>
          <w:szCs w:val="32"/>
          <w:lang w:val="zh-CN"/>
        </w:rPr>
        <w:t>（一）项目资金申报及批复情况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根据</w:t>
      </w:r>
      <w:r>
        <w:rPr>
          <w:rFonts w:hint="eastAsia" w:ascii="仿宋_GB2312" w:hAnsi="仿宋_GB2312" w:eastAsia="仿宋_GB2312" w:cs="仿宋_GB2312"/>
          <w:bCs/>
          <w:sz w:val="32"/>
          <w:szCs w:val="32"/>
          <w:lang w:val="en-US" w:eastAsia="zh-CN"/>
        </w:rPr>
        <w:t>《中共阿坝州委、阿坝州人民政府关于开展生态扶贫实施意见》相关政策继续执行至2023年的工作要求，及</w:t>
      </w:r>
      <w:r>
        <w:rPr>
          <w:rFonts w:hint="eastAsia" w:ascii="仿宋_GB2312" w:hAnsi="仿宋_GB2312" w:eastAsia="仿宋_GB2312" w:cs="仿宋_GB2312"/>
          <w:bCs/>
          <w:sz w:val="32"/>
          <w:szCs w:val="32"/>
          <w:lang w:val="zh-CN"/>
        </w:rPr>
        <w:t>《阿坝州州林业和草原局巩固拓展脱贫攻坚成果同乡村振兴有效衔接</w:t>
      </w:r>
      <w:r>
        <w:rPr>
          <w:rFonts w:hint="eastAsia" w:ascii="仿宋_GB2312" w:hAnsi="仿宋_GB2312" w:eastAsia="仿宋_GB2312" w:cs="仿宋_GB2312"/>
          <w:bCs/>
          <w:sz w:val="32"/>
          <w:szCs w:val="32"/>
          <w:lang w:val="en-US" w:eastAsia="zh-CN"/>
        </w:rPr>
        <w:t>阿坝州州生态公益性管理办法》，茂县拟定了</w:t>
      </w:r>
      <w:r>
        <w:rPr>
          <w:rFonts w:hint="eastAsia" w:ascii="仿宋_GB2312" w:hAnsi="仿宋_GB2312" w:eastAsia="仿宋_GB2312" w:cs="仿宋_GB2312"/>
          <w:bCs/>
          <w:sz w:val="32"/>
          <w:szCs w:val="32"/>
          <w:lang w:val="zh-CN"/>
        </w:rPr>
        <w:t>《茂县</w:t>
      </w:r>
      <w:r>
        <w:rPr>
          <w:rFonts w:hint="eastAsia" w:ascii="仿宋_GB2312" w:hAnsi="仿宋_GB2312" w:eastAsia="仿宋_GB2312" w:cs="仿宋_GB2312"/>
          <w:bCs/>
          <w:sz w:val="32"/>
          <w:szCs w:val="32"/>
          <w:lang w:val="en-US" w:eastAsia="zh-CN"/>
        </w:rPr>
        <w:t>2021</w:t>
      </w:r>
      <w:r>
        <w:rPr>
          <w:rFonts w:hint="eastAsia" w:ascii="仿宋_GB2312" w:hAnsi="仿宋_GB2312" w:eastAsia="仿宋_GB2312" w:cs="仿宋_GB2312"/>
          <w:bCs/>
          <w:sz w:val="32"/>
          <w:szCs w:val="32"/>
          <w:lang w:val="zh-CN"/>
        </w:rPr>
        <w:t>年度生态管护员资金整合使用方案》</w:t>
      </w:r>
      <w:r>
        <w:rPr>
          <w:rFonts w:hint="eastAsia" w:ascii="仿宋_GB2312" w:hAnsi="仿宋_GB2312" w:eastAsia="仿宋_GB2312" w:cs="仿宋_GB2312"/>
          <w:bCs/>
          <w:sz w:val="32"/>
          <w:szCs w:val="32"/>
          <w:lang w:val="en-US" w:eastAsia="zh-CN"/>
        </w:rPr>
        <w:t>实施了生态公益性岗位项目</w:t>
      </w:r>
      <w:r>
        <w:rPr>
          <w:rFonts w:hint="eastAsia" w:ascii="仿宋_GB2312" w:hAnsi="仿宋_GB2312" w:eastAsia="仿宋_GB2312" w:cs="仿宋_GB2312"/>
          <w:bCs/>
          <w:sz w:val="32"/>
          <w:szCs w:val="32"/>
          <w:lang w:val="zh-CN"/>
        </w:rPr>
        <w:t>，其中林业发展改革资金</w:t>
      </w:r>
      <w:r>
        <w:rPr>
          <w:rFonts w:hint="eastAsia" w:ascii="仿宋_GB2312" w:hAnsi="仿宋_GB2312" w:eastAsia="仿宋_GB2312" w:cs="仿宋_GB2312"/>
          <w:bCs/>
          <w:sz w:val="32"/>
          <w:szCs w:val="32"/>
          <w:lang w:val="en-US" w:eastAsia="zh-CN"/>
        </w:rPr>
        <w:t>301万元，（阿州财资环〔20212〕号），专项用于生态管护公益性岗位。</w:t>
      </w:r>
    </w:p>
    <w:p>
      <w:pPr>
        <w:pStyle w:val="44"/>
        <w:numPr>
          <w:ilvl w:val="0"/>
          <w:numId w:val="3"/>
        </w:numPr>
        <w:spacing w:line="560" w:lineRule="exact"/>
        <w:ind w:firstLine="642"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项目绩效目标</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val="zh-CN" w:eastAsia="zh-CN"/>
        </w:rPr>
        <w:t>021年</w:t>
      </w:r>
      <w:r>
        <w:rPr>
          <w:rFonts w:hint="eastAsia" w:ascii="仿宋_GB2312" w:hAnsi="仿宋_GB2312" w:eastAsia="仿宋_GB2312" w:cs="仿宋_GB2312"/>
          <w:bCs/>
          <w:sz w:val="32"/>
          <w:szCs w:val="32"/>
          <w:lang w:val="en-US" w:eastAsia="zh-CN"/>
        </w:rPr>
        <w:t>茂县共计划入资金301万元，资金全部到位，全县选用符合条件的生态护林（草）员301名，工资标准10000元/年/人（包含保险），涉及21个乡镇104个行政村。</w:t>
      </w:r>
    </w:p>
    <w:p>
      <w:pPr>
        <w:pStyle w:val="44"/>
        <w:spacing w:line="560" w:lineRule="exact"/>
        <w:ind w:firstLine="642" w:firstLineChars="200"/>
        <w:rPr>
          <w:rFonts w:hint="eastAsia" w:ascii="黑体" w:hAnsi="黑体" w:eastAsia="黑体" w:cs="黑体"/>
          <w:b/>
          <w:bCs w:val="0"/>
          <w:sz w:val="32"/>
          <w:szCs w:val="32"/>
        </w:rPr>
      </w:pPr>
      <w:r>
        <w:rPr>
          <w:rFonts w:hint="eastAsia" w:ascii="黑体" w:hAnsi="黑体" w:eastAsia="黑体" w:cs="黑体"/>
          <w:b/>
          <w:bCs w:val="0"/>
          <w:sz w:val="32"/>
          <w:szCs w:val="32"/>
        </w:rPr>
        <w:t>二、项目实施及管理情况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bCs/>
          <w:sz w:val="32"/>
          <w:szCs w:val="32"/>
          <w:lang w:val="zh-CN"/>
        </w:rPr>
      </w:pPr>
      <w:r>
        <w:rPr>
          <w:rFonts w:hint="eastAsia" w:ascii="楷体_GB2312" w:hAnsi="Times New Roman" w:eastAsia="楷体_GB2312" w:cs="Times New Roman"/>
          <w:b/>
          <w:sz w:val="32"/>
          <w:szCs w:val="32"/>
          <w:lang w:val="zh-CN"/>
        </w:rPr>
        <w:t>（一）资金计划、到位及使用情况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eastAsia="zh-CN"/>
        </w:rPr>
        <w:t>1．资金计划及到位。</w:t>
      </w:r>
      <w:r>
        <w:rPr>
          <w:rFonts w:hint="eastAsia" w:ascii="仿宋_GB2312" w:hAnsi="仿宋_GB2312" w:eastAsia="仿宋_GB2312" w:cs="仿宋_GB2312"/>
          <w:bCs/>
          <w:sz w:val="32"/>
          <w:szCs w:val="32"/>
          <w:lang w:val="en-US" w:eastAsia="zh-CN"/>
        </w:rPr>
        <w:t>2021年茂县计划投入生态公益性管护补助资金301万元；选用生态护林（草）员301人（含</w:t>
      </w:r>
      <w:r>
        <w:rPr>
          <w:rFonts w:hint="eastAsia" w:ascii="仿宋_GB2312" w:hAnsi="仿宋_GB2312" w:eastAsia="仿宋_GB2312" w:cs="仿宋_GB2312"/>
          <w:bCs/>
          <w:sz w:val="32"/>
          <w:szCs w:val="32"/>
          <w:lang w:eastAsia="zh-CN"/>
        </w:rPr>
        <w:t>瞭望塔、瞭望哨），</w:t>
      </w:r>
      <w:r>
        <w:rPr>
          <w:rFonts w:hint="eastAsia" w:ascii="仿宋_GB2312" w:hAnsi="仿宋_GB2312" w:eastAsia="仿宋_GB2312" w:cs="仿宋_GB2312"/>
          <w:bCs/>
          <w:sz w:val="32"/>
          <w:szCs w:val="32"/>
        </w:rPr>
        <w:t>全部为建档立卡贫困户。</w:t>
      </w:r>
      <w:r>
        <w:rPr>
          <w:rFonts w:hint="eastAsia" w:ascii="仿宋_GB2312" w:hAnsi="仿宋_GB2312" w:eastAsia="仿宋_GB2312" w:cs="仿宋_GB2312"/>
          <w:bCs/>
          <w:sz w:val="32"/>
          <w:szCs w:val="32"/>
          <w:lang w:val="zh-CN"/>
        </w:rPr>
        <w:t>截止评价时点实际到位</w:t>
      </w:r>
      <w:r>
        <w:rPr>
          <w:rFonts w:hint="eastAsia" w:ascii="仿宋_GB2312" w:hAnsi="仿宋_GB2312" w:eastAsia="仿宋_GB2312" w:cs="仿宋_GB2312"/>
          <w:bCs/>
          <w:sz w:val="32"/>
          <w:szCs w:val="32"/>
          <w:lang w:val="en-US" w:eastAsia="zh-CN"/>
        </w:rPr>
        <w:t>301万元</w:t>
      </w:r>
      <w:r>
        <w:rPr>
          <w:rFonts w:hint="eastAsia" w:ascii="仿宋_GB2312" w:hAnsi="仿宋_GB2312" w:eastAsia="仿宋_GB2312" w:cs="仿宋_GB2312"/>
          <w:bCs/>
          <w:sz w:val="32"/>
          <w:szCs w:val="32"/>
          <w:lang w:val="zh-CN"/>
        </w:rPr>
        <w:t>，全部为中央林业发展改革资金。就资金到位情况与资金计划比较后资金到位率为</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val="zh-CN"/>
        </w:rPr>
        <w:t>，且到位及时。</w:t>
      </w:r>
    </w:p>
    <w:p>
      <w:pPr>
        <w:pStyle w:val="44"/>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2．资金使用。截止目前项目资金的实际支出</w:t>
      </w:r>
      <w:r>
        <w:rPr>
          <w:rFonts w:hint="eastAsia" w:ascii="仿宋_GB2312" w:hAnsi="仿宋_GB2312" w:eastAsia="仿宋_GB2312" w:cs="仿宋_GB2312"/>
          <w:bCs/>
          <w:sz w:val="32"/>
          <w:szCs w:val="32"/>
          <w:lang w:val="en-US" w:eastAsia="zh-CN"/>
        </w:rPr>
        <w:t>301万元</w:t>
      </w:r>
      <w:r>
        <w:rPr>
          <w:rFonts w:hint="eastAsia" w:ascii="仿宋_GB2312" w:hAnsi="仿宋_GB2312" w:eastAsia="仿宋_GB2312" w:cs="仿宋_GB2312"/>
          <w:bCs/>
          <w:sz w:val="32"/>
          <w:szCs w:val="32"/>
          <w:lang w:val="zh-CN"/>
        </w:rPr>
        <w:t>，资金开支用于</w:t>
      </w:r>
      <w:r>
        <w:rPr>
          <w:rFonts w:hint="eastAsia" w:ascii="仿宋_GB2312" w:hAnsi="仿宋_GB2312" w:eastAsia="仿宋_GB2312" w:cs="仿宋_GB2312"/>
          <w:bCs/>
          <w:sz w:val="32"/>
          <w:szCs w:val="32"/>
          <w:lang w:val="en-US" w:eastAsia="zh-CN"/>
        </w:rPr>
        <w:t>生态管护公益性岗位补助，标准为10000元/年，资金支付符合时序进度。</w:t>
      </w:r>
      <w:r>
        <w:rPr>
          <w:rFonts w:hint="eastAsia" w:ascii="仿宋_GB2312" w:hAnsi="仿宋_GB2312" w:eastAsia="仿宋_GB2312" w:cs="仿宋_GB2312"/>
          <w:bCs/>
          <w:sz w:val="32"/>
          <w:szCs w:val="32"/>
          <w:lang w:val="zh-CN"/>
        </w:rPr>
        <w:t>支付依据根据财务要求合规合法，资金支付与预算相符，并对相关问题进行了说明。</w:t>
      </w:r>
    </w:p>
    <w:p>
      <w:pPr>
        <w:pStyle w:val="44"/>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（二）项目财务管理情况</w:t>
      </w:r>
    </w:p>
    <w:p>
      <w:pPr>
        <w:pStyle w:val="44"/>
        <w:spacing w:line="560" w:lineRule="exact"/>
        <w:ind w:firstLine="640" w:firstLineChars="200"/>
        <w:rPr>
          <w:rFonts w:hint="eastAsia" w:ascii="Times New Roman" w:hAnsi="Times New Roman" w:eastAsia="仿宋_GB2312" w:cs="Times New Roman"/>
          <w:bCs/>
          <w:sz w:val="32"/>
          <w:szCs w:val="32"/>
          <w:lang w:val="zh-CN"/>
        </w:rPr>
      </w:pPr>
      <w:r>
        <w:rPr>
          <w:rFonts w:hint="eastAsia" w:ascii="Times New Roman" w:hAnsi="Times New Roman" w:eastAsia="仿宋_GB2312" w:cs="Times New Roman"/>
          <w:bCs/>
          <w:sz w:val="32"/>
          <w:szCs w:val="32"/>
          <w:lang w:val="zh-CN"/>
        </w:rPr>
        <w:t>生态护林员资金实行专户管理、专账核算、专款专用，对照项目资金管理办法，评价项目是严格执行财务管理制度、财务处理及时且会计核算规范。</w:t>
      </w:r>
    </w:p>
    <w:p>
      <w:pPr>
        <w:pStyle w:val="44"/>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（三）项目组织实施情况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因地施策，合理配置岗位。一是结合资源现状，合理分配岗位。根据我县资金情况拟定岗位数量，结合各镇林地资源状况，按比例分配名额，再看是否是重点林区、保护区等地方进行合理调整；二是把握政策，统筹设岗。为实现巩固脱贫攻坚成果同乡村振兴有效衔接，同时加强森林资源管护，做好护林护草防火工作，提升护林员队伍能力建设，我县有的放矢、瞄准靶向，将生态护林（草）员划分为省级护林员和州级护林员：省级护林员全部为符合条件的建档立卡贫困户，州级为同等条件下，建档立卡贫困户、退伍军人、低收入家庭成员优先选聘的人员，贫困户也有非贫困户。目前全县选用贫困户500</w:t>
      </w:r>
      <w:r>
        <w:rPr>
          <w:rFonts w:hint="eastAsia" w:ascii="仿宋_GB2312" w:hAnsi="仿宋_GB2312" w:eastAsia="仿宋_GB2312" w:cs="仿宋_GB2312"/>
          <w:bCs/>
          <w:sz w:val="32"/>
          <w:szCs w:val="32"/>
          <w:lang w:eastAsia="zh-CN"/>
        </w:rPr>
        <w:t>余</w:t>
      </w:r>
      <w:r>
        <w:rPr>
          <w:rFonts w:hint="eastAsia" w:ascii="仿宋_GB2312" w:hAnsi="仿宋_GB2312" w:eastAsia="仿宋_GB2312" w:cs="仿宋_GB2312"/>
          <w:bCs/>
          <w:sz w:val="32"/>
          <w:szCs w:val="32"/>
        </w:rPr>
        <w:t>名（动态数据），非贫困户</w:t>
      </w:r>
      <w:r>
        <w:rPr>
          <w:rFonts w:hint="eastAsia" w:ascii="仿宋_GB2312" w:hAnsi="仿宋_GB2312" w:eastAsia="仿宋_GB2312" w:cs="仿宋_GB2312"/>
          <w:bCs/>
          <w:sz w:val="32"/>
          <w:szCs w:val="32"/>
          <w:lang w:val="en-US" w:eastAsia="zh-CN"/>
        </w:rPr>
        <w:t>300</w:t>
      </w:r>
      <w:r>
        <w:rPr>
          <w:rFonts w:hint="eastAsia" w:ascii="仿宋_GB2312" w:hAnsi="仿宋_GB2312" w:eastAsia="仿宋_GB2312" w:cs="仿宋_GB2312"/>
          <w:bCs/>
          <w:sz w:val="32"/>
          <w:szCs w:val="32"/>
        </w:rPr>
        <w:t>人左右（动态数据）。三是合理配比，确保管护全覆盖。根据</w:t>
      </w:r>
      <w:r>
        <w:rPr>
          <w:rFonts w:hint="eastAsia" w:ascii="Times New Roman" w:hAnsi="Times New Roman" w:eastAsia="仿宋_GB2312" w:cs="Times New Roman"/>
          <w:bCs/>
          <w:sz w:val="32"/>
          <w:szCs w:val="32"/>
        </w:rPr>
        <w:t>全县贫困户分布情况，合理安排各镇护林员中贫困户配比。例如：土门片区贫困户较多，相对省级护林员配比较高；凤仪镇几乎没有贫困户，州级护林员相对配比就高。通过省级、州级护林员合理配比安排，保证我县每个村都有生态护林员开展管护工作，真正实现了管护全覆盖。</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建全管理制度，完善督查机制。2021年森林草原资源管护工作，面临新的挑战和新的任务，对生态林员队伍建设也有更高的要求，我县结合现阶段实际，从生态护林林员选用、管理、考核、监督检查都做了调整。一是结合护林防火相关要求，选用遵纪守法，责任心强，身体健康，能正常履行生态保护职责的生态护林员，不在局限于建档立卡贫困户；同时重新制定下发了《茂县生态护林（草）员管理实施细则》和《茂县生态护林（草）员考核细则》。二是结合工作实际，建立监督检查机制。为有效提高监督检查效率，林草局结合森林草原防火工作的督导包片、蹲点包镇等外业工作开展，通过APP 使用检查、实地抽查、电话抽查、线上线下结合抽查等多样化监督检查方式有效衔接护林员监督检查，提高发现问题效率，并制定了《茂县林业和草原局生态护林（草）员监督检查方案》，形成了闭合式的监督检查机制。</w:t>
      </w:r>
    </w:p>
    <w:p>
      <w:pPr>
        <w:pStyle w:val="44"/>
        <w:spacing w:line="560" w:lineRule="exact"/>
        <w:ind w:firstLine="642"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（四）点面结合，全面推进APP 使用</w:t>
      </w:r>
    </w:p>
    <w:p>
      <w:pPr>
        <w:pStyle w:val="44"/>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rPr>
        <w:t>熊猫护林员APP 是全省科学管理护林员队伍有效手段，在火情上报、森林巡护等方面有着重要作用。我县高度重视此项工作，采用“点面”结合方式有效推动APP上线推广使用。在开展护林员上岗集中培训时，全面对护林员安装使用进行现场教学，并录制教学视频在各级护林员群中全面宣传；通过查看的上线情况，找出未上线人员，对未上线人员进行针对性的“点对点”督促及教学，最终点对点突破，全面完成护林员APP 推广使用工作，截止目前使用率达到了100%</w:t>
      </w:r>
    </w:p>
    <w:p>
      <w:pPr>
        <w:pStyle w:val="44"/>
        <w:spacing w:line="560" w:lineRule="exact"/>
        <w:ind w:firstLine="640" w:firstLineChars="200"/>
        <w:rPr>
          <w:rFonts w:hint="eastAsia" w:ascii="黑体" w:hAnsi="黑体" w:eastAsia="黑体" w:cs="黑体"/>
          <w:bCs/>
          <w:sz w:val="32"/>
          <w:szCs w:val="32"/>
          <w:lang w:val="zh-CN"/>
        </w:rPr>
      </w:pPr>
      <w:r>
        <w:rPr>
          <w:rFonts w:hint="eastAsia" w:ascii="黑体" w:hAnsi="黑体" w:eastAsia="黑体" w:cs="黑体"/>
          <w:bCs/>
          <w:sz w:val="32"/>
          <w:szCs w:val="32"/>
        </w:rPr>
        <w:t>三、项目绩效情况</w:t>
      </w:r>
      <w:r>
        <w:rPr>
          <w:rFonts w:hint="eastAsia" w:ascii="黑体" w:hAnsi="黑体" w:eastAsia="黑体" w:cs="黑体"/>
          <w:bCs/>
          <w:sz w:val="32"/>
          <w:szCs w:val="32"/>
          <w:lang w:val="zh-CN"/>
        </w:rPr>
        <w:tab/>
      </w:r>
    </w:p>
    <w:p>
      <w:pPr>
        <w:pStyle w:val="44"/>
        <w:spacing w:line="560" w:lineRule="exact"/>
        <w:ind w:firstLine="642"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pStyle w:val="44"/>
        <w:spacing w:line="560" w:lineRule="exact"/>
        <w:ind w:firstLine="640" w:firstLineChars="20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eastAsia="zh-CN"/>
        </w:rPr>
        <w:t>截止</w:t>
      </w:r>
      <w:r>
        <w:rPr>
          <w:rFonts w:hint="eastAsia" w:ascii="仿宋_GB2312" w:hAnsi="仿宋_GB2312" w:eastAsia="仿宋_GB2312" w:cs="仿宋_GB2312"/>
          <w:bCs/>
          <w:sz w:val="32"/>
          <w:szCs w:val="32"/>
          <w:lang w:val="en-US" w:eastAsia="zh-CN"/>
        </w:rPr>
        <w:t>2022年1月31日，该年度生态护林员项目已按照相关要求全面完成</w:t>
      </w:r>
      <w:r>
        <w:rPr>
          <w:rFonts w:hint="eastAsia" w:ascii="仿宋_GB2312" w:hAnsi="仿宋_GB2312" w:eastAsia="仿宋_GB2312" w:cs="仿宋_GB2312"/>
          <w:bCs/>
          <w:sz w:val="32"/>
          <w:szCs w:val="32"/>
        </w:rPr>
        <w:t>。</w:t>
      </w:r>
    </w:p>
    <w:p>
      <w:pPr>
        <w:pStyle w:val="44"/>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pStyle w:val="4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1.</w:t>
      </w:r>
      <w:r>
        <w:rPr>
          <w:rFonts w:hint="eastAsia" w:ascii="仿宋_GB2312" w:hAnsi="Times New Roman" w:eastAsia="仿宋_GB2312" w:cs="Times New Roman"/>
          <w:b/>
          <w:bCs/>
          <w:sz w:val="32"/>
          <w:szCs w:val="32"/>
        </w:rPr>
        <w:t>生态保护工作成效显著。</w:t>
      </w:r>
      <w:r>
        <w:rPr>
          <w:rFonts w:hint="eastAsia" w:ascii="仿宋_GB2312" w:hAnsi="Times New Roman" w:eastAsia="仿宋_GB2312" w:cs="Times New Roman"/>
          <w:sz w:val="32"/>
          <w:szCs w:val="32"/>
        </w:rPr>
        <w:t>通过生态</w:t>
      </w:r>
      <w:r>
        <w:rPr>
          <w:rFonts w:hint="eastAsia" w:ascii="仿宋_GB2312" w:hAnsi="Times New Roman" w:cs="Times New Roman"/>
          <w:sz w:val="32"/>
          <w:szCs w:val="32"/>
          <w:lang w:eastAsia="zh-CN"/>
        </w:rPr>
        <w:t>管护员项目</w:t>
      </w:r>
      <w:r>
        <w:rPr>
          <w:rFonts w:hint="eastAsia" w:ascii="仿宋_GB2312" w:hAnsi="Times New Roman" w:eastAsia="仿宋_GB2312" w:cs="Times New Roman"/>
          <w:sz w:val="32"/>
          <w:szCs w:val="32"/>
        </w:rPr>
        <w:t>实施，进一步扩大了护林管护队伍，加强了生态保护建设，林草综合覆盖率逐步提高，森林面积蓄积实现双增长，持续改善和优化生态环境。</w:t>
      </w:r>
    </w:p>
    <w:p>
      <w:pPr>
        <w:pStyle w:val="4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2.</w:t>
      </w:r>
      <w:r>
        <w:rPr>
          <w:rFonts w:hint="eastAsia" w:ascii="仿宋_GB2312" w:hAnsi="Times New Roman" w:eastAsia="仿宋_GB2312" w:cs="Times New Roman"/>
          <w:b/>
          <w:bCs/>
          <w:sz w:val="32"/>
          <w:szCs w:val="32"/>
        </w:rPr>
        <w:t>促进持续增收稳定脱贫。</w:t>
      </w:r>
      <w:r>
        <w:rPr>
          <w:rFonts w:hint="eastAsia" w:ascii="仿宋_GB2312" w:hAnsi="Times New Roman" w:eastAsia="仿宋_GB2312" w:cs="Times New Roman"/>
          <w:sz w:val="32"/>
          <w:szCs w:val="32"/>
        </w:rPr>
        <w:t>按照省州部署，通过开展生态脱贫，稳步建立增收机制，逐步提高每个生态保护建设岗位劳务报酬，2018</w:t>
      </w:r>
      <w:r>
        <w:rPr>
          <w:rFonts w:hint="eastAsia" w:ascii="仿宋_GB2312" w:hAnsi="Times New Roman" w:cs="Times New Roman"/>
          <w:sz w:val="32"/>
          <w:szCs w:val="32"/>
          <w:lang w:val="en-US" w:eastAsia="zh-CN"/>
        </w:rPr>
        <w:t>-2021</w:t>
      </w:r>
      <w:r>
        <w:rPr>
          <w:rFonts w:hint="eastAsia" w:ascii="仿宋_GB2312" w:hAnsi="Times New Roman" w:eastAsia="仿宋_GB2312" w:cs="Times New Roman"/>
          <w:sz w:val="32"/>
          <w:szCs w:val="32"/>
        </w:rPr>
        <w:t>年分别实现6600元</w:t>
      </w:r>
      <w:r>
        <w:rPr>
          <w:rFonts w:hint="eastAsia" w:ascii="仿宋_GB2312" w:hAnsi="Times New Roman" w:cs="Times New Roman"/>
          <w:sz w:val="32"/>
          <w:szCs w:val="32"/>
          <w:lang w:val="en-US" w:eastAsia="zh-CN"/>
        </w:rPr>
        <w:t>-10000</w:t>
      </w:r>
      <w:r>
        <w:rPr>
          <w:rFonts w:hint="eastAsia" w:ascii="仿宋_GB2312" w:hAnsi="Times New Roman" w:eastAsia="仿宋_GB2312" w:cs="Times New Roman"/>
          <w:sz w:val="32"/>
          <w:szCs w:val="32"/>
        </w:rPr>
        <w:t>元的增收目标。贫困户通过参与生态建设获得劳务补助，实现了持续稳定增收。</w:t>
      </w:r>
    </w:p>
    <w:p>
      <w:pPr>
        <w:pStyle w:val="44"/>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Times New Roman" w:eastAsia="仿宋_GB2312" w:cs="Times New Roman"/>
          <w:sz w:val="32"/>
          <w:szCs w:val="32"/>
        </w:rPr>
      </w:pPr>
      <w:r>
        <w:rPr>
          <w:rFonts w:hint="eastAsia" w:ascii="仿宋_GB2312" w:hAnsi="Times New Roman" w:cs="Times New Roman"/>
          <w:b/>
          <w:bCs/>
          <w:sz w:val="32"/>
          <w:szCs w:val="32"/>
          <w:lang w:val="en-US" w:eastAsia="zh-CN"/>
        </w:rPr>
        <w:t>3.</w:t>
      </w:r>
      <w:r>
        <w:rPr>
          <w:rFonts w:hint="eastAsia" w:ascii="仿宋_GB2312" w:hAnsi="Times New Roman" w:eastAsia="仿宋_GB2312" w:cs="Times New Roman"/>
          <w:b/>
          <w:bCs/>
          <w:sz w:val="32"/>
          <w:szCs w:val="32"/>
        </w:rPr>
        <w:t>激发了内生动力。</w:t>
      </w:r>
      <w:r>
        <w:rPr>
          <w:rFonts w:hint="eastAsia" w:ascii="仿宋_GB2312" w:hAnsi="Times New Roman" w:eastAsia="仿宋_GB2312" w:cs="Times New Roman"/>
          <w:sz w:val="32"/>
          <w:szCs w:val="32"/>
        </w:rPr>
        <w:t>通过参与行业部门开展针对性的培训，促使参与生态管护、建设的建档立卡贫困人员掌握绿化造林、森林管护的基本方法及安全常识等法律政策和业务知识，获得知识的同时从侧面给予了贫困户脱贫的信心，不断激发贫困群众内生动力，引导贫困群众不等不靠、自力更生，主动参与生态保护建设、持续稳定参与护林工作，依靠勤劳的双手守护绿水青山、实现脱贫增收。</w:t>
      </w:r>
    </w:p>
    <w:p>
      <w:pPr>
        <w:pStyle w:val="4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四、</w:t>
      </w:r>
      <w:r>
        <w:rPr>
          <w:rFonts w:hint="eastAsia" w:ascii="黑体" w:hAnsi="黑体" w:eastAsia="黑体" w:cs="黑体"/>
          <w:bCs/>
          <w:sz w:val="32"/>
          <w:szCs w:val="32"/>
          <w:lang w:eastAsia="zh-CN"/>
        </w:rPr>
        <w:t>存在</w:t>
      </w:r>
      <w:r>
        <w:rPr>
          <w:rFonts w:hint="eastAsia" w:ascii="黑体" w:hAnsi="黑体" w:eastAsia="黑体" w:cs="黑体"/>
          <w:bCs/>
          <w:sz w:val="32"/>
          <w:szCs w:val="32"/>
        </w:rPr>
        <w:t>问题</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bCs/>
          <w:sz w:val="32"/>
          <w:szCs w:val="32"/>
        </w:rPr>
      </w:pPr>
      <w:r>
        <w:rPr>
          <w:rFonts w:hint="eastAsia" w:ascii="楷体_GB2312" w:hAnsi="Times New Roman" w:eastAsia="楷体_GB2312"/>
          <w:b/>
          <w:bCs/>
          <w:sz w:val="32"/>
          <w:szCs w:val="32"/>
        </w:rPr>
        <w:t>（一）资金到位不及时。</w:t>
      </w:r>
      <w:r>
        <w:rPr>
          <w:rFonts w:hint="eastAsia" w:ascii="Times New Roman" w:hAnsi="Times New Roman" w:eastAsia="仿宋_GB2312"/>
          <w:bCs/>
          <w:sz w:val="32"/>
          <w:szCs w:val="32"/>
        </w:rPr>
        <w:t>俗话说“兵未动粮草先行”，每一年生态护林员资金到位都在年后，不利于全县对生态护林员工作安排部署。</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bCs/>
          <w:sz w:val="32"/>
          <w:szCs w:val="32"/>
        </w:rPr>
      </w:pPr>
      <w:r>
        <w:rPr>
          <w:rFonts w:hint="eastAsia" w:ascii="楷体_GB2312" w:hAnsi="Times New Roman" w:eastAsia="楷体_GB2312"/>
          <w:b/>
          <w:bCs/>
          <w:sz w:val="32"/>
          <w:szCs w:val="32"/>
        </w:rPr>
        <w:t>（二）护林员工作性质导致可供选用人员有限。</w:t>
      </w:r>
      <w:r>
        <w:rPr>
          <w:rFonts w:hint="eastAsia" w:ascii="Times New Roman" w:hAnsi="Times New Roman" w:eastAsia="仿宋_GB2312"/>
          <w:bCs/>
          <w:sz w:val="32"/>
          <w:szCs w:val="32"/>
        </w:rPr>
        <w:t>生态护林员虽为兼职，但需要护林员长期在家。茂县大部分乡镇中年轻、有文化、有劳动力的人都选择外出务工，长期在家务农的大部分是40-65之间的中老年人，所以护林员文化程度低、年龄大、接受能力差成了无法避免的普遍问题。</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五</w:t>
      </w:r>
      <w:r>
        <w:rPr>
          <w:rFonts w:hint="eastAsia" w:ascii="黑体" w:hAnsi="黑体" w:eastAsia="黑体" w:cs="黑体"/>
          <w:bCs/>
          <w:sz w:val="32"/>
          <w:szCs w:val="32"/>
        </w:rPr>
        <w:t>、建议</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通过提高工资补助，吸引更多有能力的年轻人参与到护林队伍中来，扩大选用范围。</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生态护林员队伍应该逐步向“队伍职业化、巡护专业化”发展。所谓“兵不在多在于精”，建议通过减少人员同时提高待遇，把护林员从兼职转变为专职，建立一个专业的巡护队伍。这样既便于乡镇管理，又可以提高管护水平，更能适应新形势下的森林草原管护工作。</w:t>
      </w:r>
    </w:p>
    <w:p>
      <w:pPr>
        <w:pStyle w:val="44"/>
        <w:keepNext w:val="0"/>
        <w:keepLines w:val="0"/>
        <w:pageBreakBefore w:val="0"/>
        <w:widowControl w:val="0"/>
        <w:pBdr>
          <w:bottom w:val="single" w:color="FFFFFF" w:sz="4" w:space="15"/>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熊猫护林员APP 是新形势下应运而生的有效管理手段，无论是在巡护、还是管理方面都大大提高了工作效率，但是就目前来看功能权限太少。建议增加以下功能：一是报警系统增加短信提醒；二是护林员端增加巡护日志、</w:t>
      </w:r>
      <w:r>
        <w:rPr>
          <w:rFonts w:hint="eastAsia" w:ascii="仿宋_GB2312" w:hAnsi="仿宋_GB2312" w:eastAsia="仿宋_GB2312" w:cs="仿宋_GB2312"/>
          <w:bCs/>
          <w:sz w:val="32"/>
          <w:szCs w:val="32"/>
          <w:lang w:eastAsia="zh-CN"/>
        </w:rPr>
        <w:t>护林员位置信息</w:t>
      </w:r>
      <w:r>
        <w:rPr>
          <w:rFonts w:hint="eastAsia" w:ascii="仿宋_GB2312" w:hAnsi="仿宋_GB2312" w:eastAsia="仿宋_GB2312" w:cs="仿宋_GB2312"/>
          <w:bCs/>
          <w:sz w:val="32"/>
          <w:szCs w:val="32"/>
        </w:rPr>
        <w:t>。</w:t>
      </w:r>
    </w:p>
    <w:p>
      <w:pPr>
        <w:pStyle w:val="45"/>
        <w:rPr>
          <w:rFonts w:hint="eastAsia" w:ascii="Times New Roman" w:hAnsi="Times New Roman" w:eastAsia="仿宋_GB2312"/>
          <w:bCs/>
          <w:sz w:val="32"/>
          <w:szCs w:val="32"/>
        </w:rPr>
      </w:pPr>
    </w:p>
    <w:p>
      <w:pPr>
        <w:pStyle w:val="44"/>
        <w:rPr>
          <w:rFonts w:hint="eastAsia"/>
        </w:rPr>
      </w:pPr>
    </w:p>
    <w:p>
      <w:pPr>
        <w:pStyle w:val="44"/>
        <w:spacing w:line="560" w:lineRule="exact"/>
        <w:ind w:firstLine="640" w:firstLineChars="200"/>
        <w:rPr>
          <w:rFonts w:hint="eastAsia" w:ascii="Times New Roman" w:hAnsi="Times New Roman" w:eastAsia="仿宋_GB2312"/>
          <w:bCs/>
          <w:sz w:val="32"/>
          <w:szCs w:val="32"/>
        </w:rPr>
      </w:pPr>
    </w:p>
    <w:p>
      <w:pPr>
        <w:pStyle w:val="41"/>
        <w:spacing w:line="60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lang w:val="en-US" w:eastAsia="zh-CN"/>
        </w:rPr>
        <w:t>2021</w:t>
      </w:r>
      <w:r>
        <w:rPr>
          <w:rFonts w:hint="eastAsia" w:ascii="方正小标宋简体" w:hAnsi="宋体" w:eastAsia="方正小标宋简体"/>
          <w:sz w:val="44"/>
          <w:szCs w:val="44"/>
          <w:lang w:val="en-US"/>
        </w:rPr>
        <w:t>年度</w:t>
      </w:r>
      <w:r>
        <w:rPr>
          <w:rFonts w:hint="eastAsia" w:ascii="方正小标宋简体" w:hAnsi="宋体" w:eastAsia="方正小标宋简体"/>
          <w:sz w:val="44"/>
          <w:szCs w:val="44"/>
        </w:rPr>
        <w:t>项目支出绩效自评报告</w:t>
      </w:r>
    </w:p>
    <w:p>
      <w:pPr>
        <w:pStyle w:val="44"/>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（集体和个人所有天然商品林停伐补助项目）</w:t>
      </w:r>
    </w:p>
    <w:p>
      <w:pPr>
        <w:pStyle w:val="41"/>
        <w:spacing w:line="600" w:lineRule="exact"/>
        <w:ind w:firstLine="640"/>
        <w:jc w:val="center"/>
        <w:rPr>
          <w:rFonts w:ascii="宋体" w:hAnsi="宋体"/>
          <w:color w:val="auto"/>
          <w:kern w:val="2"/>
          <w:sz w:val="32"/>
          <w:szCs w:val="32"/>
        </w:rPr>
      </w:pP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年林地一张图及《茂县人民政府关于&lt;2018年集体和个人所有天然商品林停伐补助实施方案&gt;的批复》</w:t>
      </w:r>
      <w:r>
        <w:rPr>
          <w:rFonts w:hint="eastAsia" w:ascii="仿宋_GB2312" w:hAnsi="仿宋_GB2312" w:eastAsia="仿宋_GB2312" w:cs="仿宋_GB2312"/>
          <w:sz w:val="32"/>
          <w:szCs w:val="32"/>
          <w:lang w:val="zh-CN"/>
        </w:rPr>
        <w:t>实施，</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年下达集体和个人所有天然商品林停伐补助资金</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用于</w:t>
      </w:r>
      <w:r>
        <w:rPr>
          <w:rFonts w:hint="eastAsia" w:ascii="仿宋_GB2312" w:hAnsi="仿宋_GB2312" w:eastAsia="仿宋_GB2312" w:cs="仿宋_GB2312"/>
          <w:sz w:val="32"/>
          <w:szCs w:val="32"/>
        </w:rPr>
        <w:t>集体和个人所有天然商品林停伐补助，全部为国家级资金</w:t>
      </w:r>
      <w:r>
        <w:rPr>
          <w:rFonts w:hint="eastAsia" w:ascii="仿宋_GB2312" w:hAnsi="仿宋_GB2312" w:eastAsia="仿宋_GB2312" w:cs="仿宋_GB2312"/>
          <w:sz w:val="32"/>
          <w:szCs w:val="32"/>
          <w:lang w:val="zh-CN"/>
        </w:rPr>
        <w:t>。</w:t>
      </w:r>
    </w:p>
    <w:p>
      <w:pPr>
        <w:pStyle w:val="44"/>
        <w:keepNext w:val="0"/>
        <w:keepLines w:val="0"/>
        <w:pageBreakBefore w:val="0"/>
        <w:widowControl w:val="0"/>
        <w:numPr>
          <w:ilvl w:val="0"/>
          <w:numId w:val="0"/>
        </w:numPr>
        <w:kinsoku/>
        <w:wordWrap/>
        <w:overflowPunct/>
        <w:topLinePunct w:val="0"/>
        <w:autoSpaceDE/>
        <w:autoSpaceDN/>
        <w:bidi w:val="0"/>
        <w:spacing w:line="560" w:lineRule="exact"/>
        <w:ind w:leftChars="200"/>
        <w:textAlignment w:val="auto"/>
        <w:rPr>
          <w:rFonts w:hint="eastAsia" w:ascii="仿宋_GB2312" w:hAnsi="仿宋_GB2312" w:eastAsia="仿宋_GB2312" w:cs="仿宋_GB2312"/>
          <w:b/>
          <w:sz w:val="32"/>
          <w:szCs w:val="32"/>
          <w:lang w:val="zh-CN"/>
        </w:rPr>
      </w:pPr>
      <w:r>
        <w:rPr>
          <w:rFonts w:hint="eastAsia" w:ascii="仿宋_GB2312" w:hAnsi="仿宋_GB2312" w:cs="仿宋_GB2312"/>
          <w:b/>
          <w:sz w:val="32"/>
          <w:szCs w:val="32"/>
          <w:lang w:val="zh-CN"/>
        </w:rPr>
        <w:t>（二）</w:t>
      </w:r>
      <w:r>
        <w:rPr>
          <w:rFonts w:hint="eastAsia" w:ascii="仿宋_GB2312" w:hAnsi="仿宋_GB2312" w:eastAsia="仿宋_GB2312" w:cs="仿宋_GB2312"/>
          <w:b/>
          <w:sz w:val="32"/>
          <w:szCs w:val="32"/>
          <w:lang w:val="zh-CN"/>
        </w:rPr>
        <w:t>项目绩效目标</w:t>
      </w:r>
    </w:p>
    <w:p>
      <w:pPr>
        <w:pStyle w:val="4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全面停止天然林商业性采伐，切实加强天然林资源保护，维护林权权利人合法权益，我们在与林权权利人签订停伐补助协议同时，严格依照停伐补助协议约定的管护内容对管护成效进行考核验收，并将考核验收结果作为补助资金兑现依据。</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年集体和个人所有天然商品林停伐补助标准调整为</w:t>
      </w:r>
      <w:r>
        <w:rPr>
          <w:rFonts w:hint="eastAsia" w:ascii="仿宋_GB2312" w:hAnsi="仿宋_GB2312" w:eastAsia="仿宋_GB2312" w:cs="仿宋_GB2312"/>
          <w:sz w:val="32"/>
          <w:szCs w:val="32"/>
          <w:lang w:val="en-US" w:eastAsia="zh-CN"/>
        </w:rPr>
        <w:t>15.1644</w:t>
      </w:r>
      <w:r>
        <w:rPr>
          <w:rFonts w:hint="eastAsia" w:ascii="仿宋_GB2312" w:hAnsi="仿宋_GB2312" w:eastAsia="仿宋_GB2312" w:cs="仿宋_GB2312"/>
          <w:sz w:val="32"/>
          <w:szCs w:val="32"/>
        </w:rPr>
        <w:t>元/亩，全县集体公益林总面积为</w:t>
      </w:r>
      <w:r>
        <w:rPr>
          <w:rFonts w:hint="eastAsia" w:ascii="仿宋_GB2312" w:hAnsi="仿宋_GB2312" w:eastAsia="仿宋_GB2312" w:cs="仿宋_GB2312"/>
          <w:sz w:val="32"/>
          <w:szCs w:val="32"/>
          <w:lang w:val="en-US" w:eastAsia="zh-CN"/>
        </w:rPr>
        <w:t>26.1994</w:t>
      </w:r>
      <w:r>
        <w:rPr>
          <w:rFonts w:hint="eastAsia" w:ascii="仿宋_GB2312" w:hAnsi="仿宋_GB2312" w:eastAsia="仿宋_GB2312" w:cs="仿宋_GB2312"/>
          <w:sz w:val="32"/>
          <w:szCs w:val="32"/>
        </w:rPr>
        <w:t>万亩，补助资金</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个村，农户1.7万余户，受益人口5万余人。《茂县</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年集体公益林生态效益偿基金和商品林停伐补助兑现方案》计划实施。</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二、项目实施及管理情况</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年度集体和个人所有天然商品林停伐补助项目</w:t>
      </w:r>
      <w:r>
        <w:rPr>
          <w:rFonts w:hint="eastAsia" w:ascii="仿宋_GB2312" w:hAnsi="仿宋_GB2312" w:eastAsia="仿宋_GB2312" w:cs="仿宋_GB2312"/>
          <w:sz w:val="32"/>
          <w:szCs w:val="32"/>
          <w:lang w:val="zh-CN"/>
        </w:rPr>
        <w:t>资金计划为</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截止评价时点实际到位</w:t>
      </w:r>
      <w:r>
        <w:rPr>
          <w:rFonts w:hint="eastAsia" w:ascii="仿宋_GB2312" w:hAnsi="仿宋_GB2312" w:eastAsia="仿宋_GB2312" w:cs="仿宋_GB2312"/>
          <w:sz w:val="32"/>
          <w:szCs w:val="32"/>
          <w:lang w:val="en-US" w:eastAsia="zh-CN"/>
        </w:rPr>
        <w:t>397.3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，全部为中央财政资金。就资金到位情况与资金计划比较后资金到位率为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，且到位及时。</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2．资金使用。截止目前项目资金的实际支出397.298176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，资金开支用于兑现</w:t>
      </w:r>
      <w:r>
        <w:rPr>
          <w:rFonts w:hint="eastAsia" w:ascii="仿宋_GB2312" w:hAnsi="仿宋_GB2312" w:eastAsia="仿宋_GB2312" w:cs="仿宋_GB2312"/>
          <w:sz w:val="32"/>
          <w:szCs w:val="32"/>
        </w:rPr>
        <w:t>集体和个人所有天然商品林停伐补助，补助标准为,</w:t>
      </w:r>
      <w:r>
        <w:rPr>
          <w:rFonts w:hint="eastAsia" w:ascii="仿宋_GB2312" w:hAnsi="仿宋_GB2312" w:eastAsia="仿宋_GB2312" w:cs="仿宋_GB2312"/>
          <w:sz w:val="32"/>
          <w:szCs w:val="32"/>
          <w:lang w:val="en-US" w:eastAsia="zh-CN"/>
        </w:rPr>
        <w:t>15.1644</w:t>
      </w:r>
      <w:r>
        <w:rPr>
          <w:rFonts w:hint="eastAsia" w:ascii="仿宋_GB2312" w:hAnsi="仿宋_GB2312" w:eastAsia="仿宋_GB2312" w:cs="仿宋_GB2312"/>
          <w:sz w:val="32"/>
          <w:szCs w:val="32"/>
        </w:rPr>
        <w:t>元/亩，</w:t>
      </w:r>
      <w:r>
        <w:rPr>
          <w:rFonts w:hint="eastAsia" w:ascii="仿宋_GB2312" w:hAnsi="仿宋_GB2312" w:eastAsia="仿宋_GB2312" w:cs="仿宋_GB2312"/>
          <w:sz w:val="32"/>
          <w:szCs w:val="32"/>
          <w:lang w:val="zh-CN"/>
        </w:rPr>
        <w:t>支付进度</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支付依据根据财务要求合规合法，资金支付与预算相符，并对相关问题进行了说明。</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pStyle w:val="44"/>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sz w:val="32"/>
          <w:szCs w:val="32"/>
          <w:lang w:val="zh-CN"/>
        </w:rPr>
        <w:t>实行专户管理、专账核算、专款专用，对照项目资金管理办法，评价项目是严格执行财务管理制度、财务处理及时且会计核算规范。</w:t>
      </w:r>
    </w:p>
    <w:p>
      <w:pPr>
        <w:pStyle w:val="44"/>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pStyle w:val="4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2019年兑现我县集体和个人所有天然商品林停伐补助总面积为18.7004万亩，全县资金兑现涉及涉及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w:t>
      </w:r>
      <w:r>
        <w:rPr>
          <w:rFonts w:hint="eastAsia" w:ascii="仿宋_GB2312" w:hAnsi="仿宋_GB2312" w:eastAsia="仿宋_GB2312" w:cs="仿宋_GB2312"/>
          <w:sz w:val="32"/>
          <w:szCs w:val="32"/>
          <w:lang w:eastAsia="zh-CN"/>
        </w:rPr>
        <w:t>。</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1.建立和完善管护机制。</w:t>
      </w:r>
      <w:r>
        <w:rPr>
          <w:rFonts w:hint="eastAsia" w:ascii="仿宋_GB2312" w:hAnsi="仿宋_GB2312" w:eastAsia="仿宋_GB2312" w:cs="仿宋_GB2312"/>
          <w:sz w:val="32"/>
          <w:szCs w:val="32"/>
        </w:rPr>
        <w:t>制定了《茂县集体林管护制度》、《茂县集体林管护人员考核办法》；各乡镇成立集体林管护机构领导小组，制定了集体林管护制度、明确了管护职责。</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2.落实责任。</w:t>
      </w:r>
      <w:r>
        <w:rPr>
          <w:rFonts w:hint="eastAsia" w:ascii="仿宋_GB2312" w:hAnsi="仿宋_GB2312" w:eastAsia="仿宋_GB2312" w:cs="仿宋_GB2312"/>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3.制定兑现方案，落实兑现工作。</w:t>
      </w:r>
      <w:r>
        <w:rPr>
          <w:rFonts w:hint="eastAsia" w:ascii="仿宋_GB2312" w:hAnsi="仿宋_GB2312" w:eastAsia="仿宋_GB2312" w:cs="仿宋_GB2312"/>
          <w:sz w:val="32"/>
          <w:szCs w:val="32"/>
        </w:rPr>
        <w:t>为全面落实森林生态效益补偿资金兑现工作，制定了《茂县</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年集体公益林生态效益偿基金和商品林停伐补助兑现方案》明确了补偿范围、补偿标准、资金用途以及资金拨付程序。</w:t>
      </w:r>
    </w:p>
    <w:p>
      <w:pPr>
        <w:pStyle w:val="44"/>
        <w:adjustRightInd w:val="0"/>
        <w:snapToGrid w:val="0"/>
        <w:spacing w:line="600" w:lineRule="exact"/>
        <w:ind w:firstLine="72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pStyle w:val="44"/>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r>
        <w:rPr>
          <w:rFonts w:hint="eastAsia" w:ascii="仿宋_GB2312" w:hAnsi="仿宋_GB2312" w:eastAsia="仿宋_GB2312" w:cs="仿宋_GB2312"/>
          <w:color w:val="000000"/>
          <w:sz w:val="32"/>
          <w:szCs w:val="32"/>
        </w:rPr>
        <w:t>截止</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年12月31日，该年度</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项目已按照相关要求全面完成，并通过了县级林业主管部门验收合格。</w:t>
      </w:r>
    </w:p>
    <w:p>
      <w:pPr>
        <w:pStyle w:val="44"/>
        <w:spacing w:line="560" w:lineRule="exact"/>
        <w:ind w:firstLine="642"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sz w:val="32"/>
          <w:szCs w:val="32"/>
          <w:lang w:val="zh-CN"/>
        </w:rPr>
        <w:t>（二）项目效益情况。</w:t>
      </w:r>
      <w:r>
        <w:rPr>
          <w:rFonts w:hint="eastAsia" w:ascii="仿宋_GB2312" w:hAnsi="仿宋_GB2312" w:eastAsia="仿宋_GB2312" w:cs="仿宋_GB2312"/>
          <w:color w:val="000000"/>
          <w:kern w:val="0"/>
          <w:sz w:val="32"/>
          <w:szCs w:val="32"/>
        </w:rPr>
        <w:t>本年度，我县</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kern w:val="0"/>
          <w:sz w:val="32"/>
          <w:szCs w:val="32"/>
        </w:rPr>
        <w:t xml:space="preserve">工作，在上级林业主管部门的帮助指导下，经过采取有效措施，得到有效管护，最大限度地满足维护国家生态安全和经济社会发展的需要。主要表现在以下方面：  </w:t>
      </w:r>
    </w:p>
    <w:p>
      <w:pPr>
        <w:pStyle w:val="44"/>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sz w:val="32"/>
          <w:szCs w:val="32"/>
        </w:rPr>
        <w:t>社会经济效益</w:t>
      </w:r>
      <w:r>
        <w:rPr>
          <w:rFonts w:hint="eastAsia" w:ascii="仿宋_GB2312" w:hAnsi="仿宋_GB2312" w:eastAsia="仿宋_GB2312" w:cs="仿宋_GB2312"/>
          <w:color w:val="000000"/>
          <w:sz w:val="32"/>
          <w:szCs w:val="32"/>
        </w:rPr>
        <w:t>。通过实施</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，使全县</w:t>
      </w:r>
      <w:r>
        <w:rPr>
          <w:rFonts w:hint="eastAsia" w:ascii="仿宋_GB2312" w:hAnsi="仿宋_GB2312" w:eastAsia="仿宋_GB2312" w:cs="仿宋_GB2312"/>
          <w:sz w:val="32"/>
          <w:szCs w:val="32"/>
        </w:rPr>
        <w:t>涉及</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个镇，</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个村，农户1.7万余户，受益人口5万余人</w:t>
      </w:r>
      <w:r>
        <w:rPr>
          <w:rFonts w:hint="eastAsia" w:ascii="仿宋_GB2312" w:hAnsi="仿宋_GB2312" w:eastAsia="仿宋_GB2312" w:cs="仿宋_GB2312"/>
          <w:color w:val="000000"/>
          <w:sz w:val="32"/>
          <w:szCs w:val="32"/>
        </w:rPr>
        <w:t>。增加了群众收入，提高当地群众生活生产水平和改善了生活生产条件。</w:t>
      </w:r>
    </w:p>
    <w:p>
      <w:pPr>
        <w:pStyle w:val="44"/>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生态建设效益</w:t>
      </w:r>
      <w:r>
        <w:rPr>
          <w:rFonts w:hint="eastAsia" w:ascii="仿宋_GB2312" w:hAnsi="仿宋_GB2312" w:eastAsia="仿宋_GB2312" w:cs="仿宋_GB2312"/>
          <w:color w:val="000000"/>
          <w:sz w:val="32"/>
          <w:szCs w:val="32"/>
        </w:rPr>
        <w:t>。通过实施禁伐、森林管护、增强了水源涵养能力，保护了生态环境和生物多样性，为建设长江上游重要生态屏障作了巨大贡献。</w:t>
      </w:r>
    </w:p>
    <w:p>
      <w:pPr>
        <w:pStyle w:val="44"/>
        <w:spacing w:line="560" w:lineRule="exact"/>
        <w:ind w:firstLine="642"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rPr>
        <w:t>3.受益群众满意度</w:t>
      </w:r>
      <w:r>
        <w:rPr>
          <w:rFonts w:hint="eastAsia" w:ascii="仿宋_GB2312" w:hAnsi="仿宋_GB2312" w:eastAsia="仿宋_GB2312" w:cs="仿宋_GB2312"/>
          <w:color w:val="000000"/>
          <w:sz w:val="32"/>
          <w:szCs w:val="32"/>
        </w:rPr>
        <w:t>。通过实施</w:t>
      </w:r>
      <w:r>
        <w:rPr>
          <w:rFonts w:hint="eastAsia" w:ascii="仿宋_GB2312" w:hAnsi="仿宋_GB2312" w:eastAsia="仿宋_GB2312" w:cs="仿宋_GB2312"/>
          <w:sz w:val="32"/>
          <w:szCs w:val="32"/>
        </w:rPr>
        <w:t>集体和个人所有天然商品林停伐补助</w:t>
      </w:r>
      <w:r>
        <w:rPr>
          <w:rFonts w:hint="eastAsia" w:ascii="仿宋_GB2312" w:hAnsi="仿宋_GB2312" w:eastAsia="仿宋_GB2312" w:cs="仿宋_GB2312"/>
          <w:color w:val="000000"/>
          <w:sz w:val="32"/>
          <w:szCs w:val="32"/>
        </w:rPr>
        <w:t>，改善了当地农牧业的生产条件，为增产增收提供了一定的条件，创造了一些就业机会，对维护社会稳定和提高人民生活水平起到了良好的促进作用，因此深受广大受益群众的好评。</w:t>
      </w:r>
    </w:p>
    <w:p>
      <w:pPr>
        <w:pStyle w:val="44"/>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四、问题及建议</w:t>
      </w:r>
    </w:p>
    <w:p>
      <w:pPr>
        <w:pStyle w:val="44"/>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pStyle w:val="44"/>
        <w:ind w:firstLine="640"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林地建设投入，提高补偿标准。</w:t>
      </w:r>
    </w:p>
    <w:p>
      <w:pPr>
        <w:pStyle w:val="45"/>
        <w:rPr>
          <w:rFonts w:hint="eastAsia"/>
          <w:lang w:val="zh-CN"/>
        </w:rPr>
      </w:pPr>
    </w:p>
    <w:p>
      <w:pPr>
        <w:pStyle w:val="44"/>
      </w:pPr>
    </w:p>
    <w:p>
      <w:pPr>
        <w:pStyle w:val="41"/>
        <w:spacing w:line="600" w:lineRule="exact"/>
        <w:jc w:val="center"/>
        <w:rPr>
          <w:rFonts w:hint="eastAsia" w:ascii="方正小标宋简体" w:hAnsi="宋体" w:eastAsia="方正小标宋简体"/>
          <w:sz w:val="44"/>
          <w:szCs w:val="44"/>
          <w:lang w:val="en-US" w:eastAsia="zh-CN"/>
        </w:rPr>
      </w:pPr>
    </w:p>
    <w:p>
      <w:pPr>
        <w:pStyle w:val="41"/>
        <w:spacing w:line="600" w:lineRule="exact"/>
        <w:jc w:val="center"/>
        <w:rPr>
          <w:rFonts w:hint="eastAsia" w:ascii="方正小标宋简体" w:hAnsi="宋体" w:eastAsia="方正小标宋简体"/>
          <w:sz w:val="44"/>
          <w:szCs w:val="44"/>
          <w:lang w:val="en-US" w:eastAsia="zh-CN"/>
        </w:rPr>
      </w:pPr>
    </w:p>
    <w:p>
      <w:pPr>
        <w:pStyle w:val="41"/>
        <w:spacing w:line="600" w:lineRule="exact"/>
        <w:jc w:val="center"/>
        <w:rPr>
          <w:rFonts w:hint="eastAsia" w:ascii="方正小标宋简体" w:hAnsi="宋体" w:eastAsia="方正小标宋简体"/>
          <w:sz w:val="44"/>
          <w:szCs w:val="44"/>
          <w:lang w:val="en-US" w:eastAsia="zh-CN"/>
        </w:rPr>
      </w:pPr>
    </w:p>
    <w:p>
      <w:pPr>
        <w:pStyle w:val="41"/>
        <w:spacing w:line="600" w:lineRule="exact"/>
        <w:jc w:val="both"/>
        <w:rPr>
          <w:rFonts w:hint="eastAsia" w:ascii="方正小标宋简体" w:hAnsi="宋体" w:eastAsia="方正小标宋简体"/>
          <w:sz w:val="44"/>
          <w:szCs w:val="44"/>
          <w:lang w:val="en-US" w:eastAsia="zh-CN"/>
        </w:rPr>
      </w:pPr>
    </w:p>
    <w:p>
      <w:pPr>
        <w:pStyle w:val="41"/>
        <w:spacing w:line="600" w:lineRule="exact"/>
        <w:jc w:val="center"/>
        <w:rPr>
          <w:rFonts w:hint="eastAsia" w:ascii="黑体" w:hAnsi="黑体" w:eastAsia="黑体" w:cs="仿宋_GB2312"/>
          <w:sz w:val="36"/>
          <w:szCs w:val="32"/>
        </w:rPr>
      </w:pPr>
      <w:r>
        <w:rPr>
          <w:rFonts w:hint="eastAsia" w:ascii="方正小标宋简体" w:hAnsi="宋体" w:eastAsia="方正小标宋简体"/>
          <w:sz w:val="44"/>
          <w:szCs w:val="44"/>
          <w:lang w:val="en-US" w:eastAsia="zh-CN"/>
        </w:rPr>
        <w:t>2021</w:t>
      </w:r>
      <w:r>
        <w:rPr>
          <w:rFonts w:hint="eastAsia" w:ascii="方正小标宋简体" w:hAnsi="宋体" w:eastAsia="方正小标宋简体"/>
          <w:sz w:val="44"/>
          <w:szCs w:val="44"/>
          <w:lang w:val="en-US"/>
        </w:rPr>
        <w:t>年度</w:t>
      </w:r>
      <w:r>
        <w:rPr>
          <w:rFonts w:hint="eastAsia" w:ascii="方正小标宋简体" w:hAnsi="宋体" w:eastAsia="方正小标宋简体"/>
          <w:sz w:val="44"/>
          <w:szCs w:val="44"/>
        </w:rPr>
        <w:t>项目支出绩效自评报告</w:t>
      </w:r>
    </w:p>
    <w:p>
      <w:pPr>
        <w:pStyle w:val="41"/>
        <w:spacing w:line="240" w:lineRule="auto"/>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茂县茅香坪工区至土地岭防灭火道路项目</w:t>
      </w:r>
      <w:r>
        <w:rPr>
          <w:rFonts w:hint="eastAsia" w:ascii="仿宋_GB2312" w:hAnsi="仿宋_GB2312" w:eastAsia="仿宋_GB2312" w:cs="仿宋_GB2312"/>
          <w:sz w:val="32"/>
          <w:szCs w:val="32"/>
          <w:lang w:eastAsia="zh-CN"/>
        </w:rPr>
        <w:t>）</w:t>
      </w:r>
    </w:p>
    <w:p>
      <w:pPr>
        <w:pStyle w:val="44"/>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Style w:val="44"/>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（一）项目基本情况</w:t>
      </w:r>
    </w:p>
    <w:p>
      <w:pPr>
        <w:pStyle w:val="44"/>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项目名称：茂县茅香坪工区至土地岭防灭火道路项目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建设单位：茂县林业和草原局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建设地址：</w:t>
      </w:r>
      <w:bookmarkStart w:id="78" w:name="OLE_LINK1"/>
      <w:r>
        <w:rPr>
          <w:rFonts w:hint="eastAsia" w:ascii="仿宋_GB2312" w:hAnsi="仿宋_GB2312" w:eastAsia="仿宋_GB2312" w:cs="仿宋_GB2312"/>
          <w:sz w:val="32"/>
          <w:szCs w:val="32"/>
        </w:rPr>
        <w:t>茂县国有林场茅香坪工区至土地岭梁子段山林区</w:t>
      </w:r>
      <w:bookmarkEnd w:id="78"/>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建设工期：4个月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项目批复情况：2021年2月5日，茂县发展和改革局《关于茂县茅香坪工区至土地岭防灭火道路项目可行性研究报告的批复》（茂发改行审[2021] 24号），同意该项目可行性研究报告的请示(茂林草函[2021]25号）</w:t>
      </w:r>
      <w:r>
        <w:rPr>
          <w:rFonts w:hint="eastAsia" w:ascii="仿宋_GB2312" w:hAnsi="仿宋_GB2312" w:eastAsia="仿宋_GB2312" w:cs="仿宋_GB2312"/>
          <w:sz w:val="32"/>
          <w:szCs w:val="32"/>
          <w:lang w:eastAsia="zh-CN"/>
        </w:rPr>
        <w:t>。</w:t>
      </w:r>
    </w:p>
    <w:p>
      <w:pPr>
        <w:pStyle w:val="44"/>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（二）资金安排情况</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资金来源为2020年第三批省级财政交通专项资金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项目经费210万元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pStyle w:val="44"/>
        <w:tabs>
          <w:tab w:val="left" w:pos="8280"/>
        </w:tabs>
        <w:spacing w:line="520" w:lineRule="exact"/>
        <w:ind w:right="25" w:rightChars="12" w:firstLine="642"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（三）项目绩效目标</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改扩建森林防灭火道路7公里（其中：碎石道路7000米。排水沟7000米，过水涵洞13道，单柱式警告标志28个）。设计公路等级为四级公路（Ⅱ类）、设计速度15km/h。</w:t>
      </w:r>
    </w:p>
    <w:p>
      <w:pPr>
        <w:pStyle w:val="44"/>
        <w:adjustRightInd w:val="0"/>
        <w:snapToGrid w:val="0"/>
        <w:spacing w:line="600" w:lineRule="exact"/>
        <w:rPr>
          <w:rFonts w:hint="eastAsia" w:ascii="宋体" w:hAnsi="宋体" w:eastAsia="宋体" w:cs="宋体"/>
          <w:b/>
          <w:bCs/>
          <w:sz w:val="32"/>
          <w:szCs w:val="32"/>
          <w:lang w:val="zh-CN"/>
        </w:rPr>
      </w:pPr>
      <w:r>
        <w:rPr>
          <w:rFonts w:hint="eastAsia" w:ascii="宋体" w:hAnsi="宋体" w:eastAsia="宋体" w:cs="宋体"/>
          <w:sz w:val="32"/>
          <w:szCs w:val="32"/>
        </w:rPr>
        <w:t xml:space="preserve">   </w:t>
      </w:r>
      <w:r>
        <w:rPr>
          <w:rFonts w:hint="eastAsia" w:ascii="黑体" w:hAnsi="Times New Roman" w:eastAsia="黑体" w:cs="Times New Roman"/>
          <w:sz w:val="32"/>
          <w:szCs w:val="32"/>
        </w:rPr>
        <w:t xml:space="preserve"> </w:t>
      </w:r>
      <w:r>
        <w:rPr>
          <w:rFonts w:hint="eastAsia" w:ascii="黑体" w:hAnsi="Times New Roman" w:eastAsia="黑体" w:cs="Times New Roman"/>
          <w:sz w:val="32"/>
          <w:szCs w:val="32"/>
          <w:lang w:val="zh-CN"/>
        </w:rPr>
        <w:t>二、绩效自评</w:t>
      </w:r>
    </w:p>
    <w:p>
      <w:pPr>
        <w:pStyle w:val="44"/>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该项目于</w:t>
      </w:r>
      <w:r>
        <w:rPr>
          <w:rFonts w:hint="eastAsia" w:ascii="仿宋_GB2312" w:hAnsi="仿宋_GB2312" w:eastAsia="仿宋_GB2312" w:cs="仿宋_GB2312"/>
          <w:sz w:val="32"/>
          <w:szCs w:val="32"/>
        </w:rPr>
        <w:t>2021年11月2日</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rPr>
        <w:t>碎石道路7000米。排水沟7000米，过水涵洞13道，单柱式警告标志28个</w:t>
      </w:r>
      <w:r>
        <w:rPr>
          <w:rFonts w:hint="eastAsia" w:ascii="仿宋_GB2312" w:hAnsi="仿宋_GB2312" w:eastAsia="仿宋_GB2312" w:cs="仿宋_GB2312"/>
          <w:sz w:val="32"/>
          <w:szCs w:val="32"/>
          <w:lang w:val="en-US" w:eastAsia="zh-CN"/>
        </w:rPr>
        <w:t>等设计目标并</w:t>
      </w:r>
      <w:r>
        <w:rPr>
          <w:rFonts w:hint="eastAsia" w:ascii="仿宋_GB2312" w:hAnsi="仿宋_GB2312" w:eastAsia="仿宋_GB2312" w:cs="仿宋_GB2312"/>
          <w:sz w:val="32"/>
          <w:szCs w:val="32"/>
        </w:rPr>
        <w:t>竣工。完成</w:t>
      </w:r>
      <w:r>
        <w:rPr>
          <w:rFonts w:hint="eastAsia" w:ascii="仿宋_GB2312" w:hAnsi="仿宋_GB2312" w:eastAsia="仿宋_GB2312" w:cs="仿宋_GB2312"/>
          <w:sz w:val="32"/>
          <w:szCs w:val="32"/>
          <w:lang w:val="en-US" w:eastAsia="zh-CN"/>
        </w:rPr>
        <w:t>资金支付</w:t>
      </w:r>
      <w:r>
        <w:rPr>
          <w:rFonts w:hint="eastAsia" w:ascii="仿宋_GB2312" w:hAnsi="仿宋_GB2312" w:eastAsia="仿宋_GB2312" w:cs="仿宋_GB2312"/>
          <w:sz w:val="32"/>
          <w:szCs w:val="32"/>
        </w:rPr>
        <w:t>总额1,997,291.89元</w:t>
      </w:r>
      <w:r>
        <w:rPr>
          <w:rFonts w:hint="eastAsia" w:ascii="仿宋_GB2312" w:hAnsi="仿宋_GB2312" w:eastAsia="仿宋_GB2312" w:cs="仿宋_GB2312"/>
          <w:sz w:val="32"/>
          <w:szCs w:val="32"/>
          <w:lang w:eastAsia="zh-CN"/>
        </w:rPr>
        <w:t>。</w:t>
      </w:r>
    </w:p>
    <w:p>
      <w:pPr>
        <w:pStyle w:val="44"/>
        <w:adjustRightInd w:val="0"/>
        <w:snapToGrid w:val="0"/>
        <w:spacing w:line="600" w:lineRule="exact"/>
        <w:ind w:firstLine="642" w:firstLineChars="200"/>
        <w:outlineLvl w:val="0"/>
        <w:rPr>
          <w:rFonts w:hint="eastAsia" w:ascii="宋体" w:hAnsi="宋体" w:eastAsia="宋体" w:cs="宋体"/>
          <w:b/>
          <w:bCs/>
          <w:sz w:val="32"/>
          <w:szCs w:val="32"/>
          <w:lang w:val="zh-CN"/>
        </w:rPr>
      </w:pPr>
      <w:r>
        <w:rPr>
          <w:rFonts w:hint="eastAsia" w:ascii="宋体" w:hAnsi="宋体" w:eastAsia="宋体" w:cs="宋体"/>
          <w:b/>
          <w:bCs/>
          <w:sz w:val="32"/>
          <w:szCs w:val="32"/>
          <w:lang w:val="zh-CN"/>
        </w:rPr>
        <w:t>三、评价方法及过程</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楷体_GB2312" w:hAnsi="Times New Roman" w:eastAsia="楷体_GB2312" w:cs="Times New Roman"/>
          <w:b/>
          <w:sz w:val="32"/>
          <w:szCs w:val="32"/>
          <w:lang w:val="zh-CN" w:eastAsia="zh-CN"/>
        </w:rPr>
        <w:t>（一）</w:t>
      </w:r>
      <w:r>
        <w:rPr>
          <w:rFonts w:hint="eastAsia" w:ascii="楷体_GB2312" w:hAnsi="Times New Roman" w:eastAsia="楷体_GB2312" w:cs="Times New Roman"/>
          <w:b/>
          <w:sz w:val="32"/>
          <w:szCs w:val="32"/>
          <w:lang w:val="zh-CN"/>
        </w:rPr>
        <w:t>绩效评价方法</w:t>
      </w:r>
      <w:r>
        <w:rPr>
          <w:rFonts w:hint="eastAsia" w:ascii="楷体_GB2312" w:hAnsi="Times New Roman" w:eastAsia="楷体_GB2312" w:cs="Times New Roman"/>
          <w:b/>
          <w:sz w:val="32"/>
          <w:szCs w:val="32"/>
          <w:lang w:val="zh-CN" w:eastAsia="zh-CN"/>
        </w:rPr>
        <w:t>：</w:t>
      </w:r>
      <w:r>
        <w:rPr>
          <w:rFonts w:hint="eastAsia" w:ascii="仿宋_GB2312" w:hAnsi="仿宋_GB2312" w:eastAsia="仿宋_GB2312" w:cs="仿宋_GB2312"/>
          <w:sz w:val="32"/>
          <w:szCs w:val="32"/>
          <w:lang w:val="en-US" w:eastAsia="zh-CN"/>
        </w:rPr>
        <w:t>依照项目实施方案及项目竣工验收报告作为绩效评估参考依据。</w:t>
      </w:r>
    </w:p>
    <w:p>
      <w:pPr>
        <w:pStyle w:val="44"/>
        <w:adjustRightInd w:val="0"/>
        <w:snapToGrid w:val="0"/>
        <w:spacing w:line="600" w:lineRule="exact"/>
        <w:ind w:firstLine="720"/>
        <w:rPr>
          <w:rFonts w:hint="eastAsia" w:ascii="仿宋_GB2312" w:hAnsi="仿宋_GB2312" w:eastAsia="仿宋_GB2312" w:cs="仿宋_GB2312"/>
          <w:sz w:val="32"/>
          <w:szCs w:val="32"/>
          <w:lang w:val="en-US"/>
        </w:rPr>
      </w:pPr>
      <w:r>
        <w:rPr>
          <w:rFonts w:hint="eastAsia" w:ascii="楷体_GB2312" w:hAnsi="Times New Roman" w:eastAsia="楷体_GB2312" w:cs="Times New Roman"/>
          <w:b/>
          <w:sz w:val="32"/>
          <w:szCs w:val="32"/>
          <w:lang w:val="zh-CN" w:eastAsia="zh-CN"/>
        </w:rPr>
        <w:t>（二）</w:t>
      </w:r>
      <w:r>
        <w:rPr>
          <w:rFonts w:hint="eastAsia" w:ascii="楷体_GB2312" w:hAnsi="Times New Roman" w:eastAsia="楷体_GB2312" w:cs="Times New Roman"/>
          <w:b/>
          <w:sz w:val="32"/>
          <w:szCs w:val="32"/>
          <w:lang w:val="zh-CN"/>
        </w:rPr>
        <w:t>绩效评价过程</w:t>
      </w:r>
      <w:r>
        <w:rPr>
          <w:rFonts w:hint="eastAsia" w:ascii="楷体_GB2312" w:hAnsi="Times New Roman" w:eastAsia="楷体_GB2312" w:cs="Times New Roman"/>
          <w:b/>
          <w:sz w:val="32"/>
          <w:szCs w:val="32"/>
          <w:lang w:val="zh-CN" w:eastAsia="zh-CN"/>
        </w:rPr>
        <w:t>：</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联合项目办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计财股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参考</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绩效评估办法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进行项目资金绩效评价。</w:t>
      </w:r>
    </w:p>
    <w:p>
      <w:pPr>
        <w:pStyle w:val="44"/>
        <w:adjustRightInd w:val="0"/>
        <w:snapToGrid w:val="0"/>
        <w:spacing w:line="600" w:lineRule="exact"/>
        <w:ind w:firstLine="642"/>
        <w:outlineLvl w:val="0"/>
        <w:rPr>
          <w:rFonts w:hint="eastAsia" w:ascii="宋体" w:hAnsi="宋体" w:eastAsia="宋体" w:cs="宋体"/>
          <w:b/>
          <w:bCs/>
          <w:sz w:val="32"/>
          <w:szCs w:val="32"/>
        </w:rPr>
      </w:pPr>
      <w:r>
        <w:rPr>
          <w:rFonts w:hint="eastAsia" w:ascii="宋体" w:hAnsi="宋体" w:eastAsia="宋体" w:cs="宋体"/>
          <w:b/>
          <w:bCs/>
          <w:sz w:val="32"/>
          <w:szCs w:val="32"/>
        </w:rPr>
        <w:t>四、绩效评价分析（</w:t>
      </w:r>
      <w:r>
        <w:rPr>
          <w:rFonts w:hint="eastAsia" w:ascii="宋体" w:hAnsi="宋体" w:eastAsia="宋体" w:cs="宋体"/>
          <w:b/>
          <w:bCs/>
          <w:sz w:val="32"/>
          <w:szCs w:val="32"/>
          <w:lang w:val="zh-CN"/>
        </w:rPr>
        <w:t>含问题分析说明</w:t>
      </w:r>
      <w:r>
        <w:rPr>
          <w:rFonts w:hint="eastAsia" w:ascii="宋体" w:hAnsi="宋体" w:eastAsia="宋体" w:cs="宋体"/>
          <w:b/>
          <w:bCs/>
          <w:sz w:val="32"/>
          <w:szCs w:val="32"/>
        </w:rPr>
        <w:t>）</w:t>
      </w:r>
    </w:p>
    <w:p>
      <w:pPr>
        <w:pStyle w:val="44"/>
        <w:adjustRightInd w:val="0"/>
        <w:snapToGrid w:val="0"/>
        <w:spacing w:line="600" w:lineRule="exact"/>
        <w:ind w:firstLine="642"/>
        <w:outlineLvl w:val="0"/>
        <w:rPr>
          <w:rFonts w:hint="eastAsia" w:ascii="仿宋_GB2312" w:hAnsi="仿宋_GB2312" w:eastAsia="仿宋_GB2312" w:cs="仿宋_GB2312"/>
          <w:sz w:val="32"/>
          <w:szCs w:val="32"/>
        </w:rPr>
      </w:pPr>
      <w:r>
        <w:rPr>
          <w:rFonts w:hint="eastAsia" w:ascii="楷体_GB2312" w:hAnsi="Times New Roman" w:eastAsia="楷体_GB2312" w:cs="Times New Roman"/>
          <w:b/>
          <w:sz w:val="32"/>
          <w:szCs w:val="32"/>
          <w:lang w:val="zh-CN"/>
        </w:rPr>
        <w:t xml:space="preserve">（一）资金使用管理  </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1.资金到位情况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2020年12月31号茂财建【2020】136号文件</w:t>
      </w:r>
      <w:r>
        <w:rPr>
          <w:rFonts w:hint="eastAsia" w:ascii="仿宋_GB2312" w:hAnsi="仿宋_GB2312" w:eastAsia="仿宋_GB2312" w:cs="仿宋_GB2312"/>
          <w:sz w:val="32"/>
          <w:szCs w:val="32"/>
        </w:rPr>
        <w:t>下达</w:t>
      </w:r>
      <w:r>
        <w:rPr>
          <w:rFonts w:hint="eastAsia" w:ascii="仿宋_GB2312" w:hAnsi="仿宋_GB2312" w:eastAsia="仿宋_GB2312" w:cs="仿宋_GB2312"/>
          <w:sz w:val="32"/>
          <w:szCs w:val="32"/>
          <w:lang w:val="en-US" w:eastAsia="zh-CN"/>
        </w:rPr>
        <w:t>资金210万</w:t>
      </w:r>
      <w:r>
        <w:rPr>
          <w:rFonts w:hint="eastAsia" w:ascii="仿宋_GB2312" w:hAnsi="仿宋_GB2312" w:eastAsia="仿宋_GB2312" w:cs="仿宋_GB2312"/>
          <w:sz w:val="32"/>
          <w:szCs w:val="32"/>
        </w:rPr>
        <w:t>。</w:t>
      </w:r>
    </w:p>
    <w:p>
      <w:pPr>
        <w:pStyle w:val="44"/>
        <w:adjustRightInd w:val="0"/>
        <w:snapToGrid w:val="0"/>
        <w:spacing w:line="600" w:lineRule="exact"/>
        <w:ind w:firstLine="72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2.资金使用情况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完成投资总额1,997,291.89元，其中：建筑安装工程投资1,697,146.00元、待摊投资300,145.89元</w:t>
      </w:r>
      <w:r>
        <w:rPr>
          <w:rFonts w:hint="eastAsia" w:ascii="仿宋_GB2312" w:hAnsi="仿宋_GB2312" w:eastAsia="仿宋_GB2312" w:cs="仿宋_GB2312"/>
          <w:sz w:val="32"/>
          <w:szCs w:val="32"/>
          <w:lang w:val="en-US" w:eastAsia="zh-CN"/>
        </w:rPr>
        <w:t>.已支付1938596.11元。</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3.资金管理情况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财务管理制度健全，</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严格执行财务管理制度，账务处理及时，会计核算规范。</w:t>
      </w:r>
    </w:p>
    <w:p>
      <w:pPr>
        <w:pStyle w:val="44"/>
        <w:adjustRightInd w:val="0"/>
        <w:snapToGrid w:val="0"/>
        <w:spacing w:line="600" w:lineRule="exact"/>
        <w:ind w:firstLine="642"/>
        <w:outlineLvl w:val="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（二）项目实施管理</w:t>
      </w:r>
    </w:p>
    <w:p>
      <w:pPr>
        <w:pStyle w:val="44"/>
        <w:adjustRightInd w:val="0"/>
        <w:snapToGrid w:val="0"/>
        <w:spacing w:line="600" w:lineRule="exact"/>
        <w:ind w:firstLine="642"/>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zh-CN"/>
        </w:rPr>
        <w:t>项目完成数量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碎石道路7000米。排水沟7000米，过水涵洞13道，单柱式警告标志28个</w:t>
      </w:r>
      <w:r>
        <w:rPr>
          <w:rFonts w:hint="eastAsia" w:ascii="仿宋_GB2312" w:hAnsi="仿宋_GB2312" w:eastAsia="仿宋_GB2312" w:cs="仿宋_GB2312"/>
          <w:sz w:val="32"/>
          <w:szCs w:val="32"/>
          <w:lang w:eastAsia="zh-CN"/>
        </w:rPr>
        <w:t>；</w:t>
      </w:r>
    </w:p>
    <w:p>
      <w:pPr>
        <w:pStyle w:val="44"/>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项目完成质量</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val="zh-CN"/>
        </w:rPr>
        <w:t>项目完成</w:t>
      </w:r>
      <w:r>
        <w:rPr>
          <w:rFonts w:hint="eastAsia" w:ascii="仿宋_GB2312" w:hAnsi="仿宋_GB2312" w:eastAsia="仿宋_GB2312" w:cs="仿宋_GB2312"/>
          <w:sz w:val="32"/>
          <w:szCs w:val="32"/>
          <w:lang w:val="en-US" w:eastAsia="zh-CN"/>
        </w:rPr>
        <w:t>预计</w:t>
      </w:r>
      <w:r>
        <w:rPr>
          <w:rFonts w:hint="eastAsia" w:ascii="仿宋_GB2312" w:hAnsi="仿宋_GB2312" w:eastAsia="仿宋_GB2312" w:cs="仿宋_GB2312"/>
          <w:sz w:val="32"/>
          <w:szCs w:val="32"/>
          <w:lang w:val="zh-CN"/>
        </w:rPr>
        <w:t>质量；</w:t>
      </w:r>
    </w:p>
    <w:p>
      <w:pPr>
        <w:pStyle w:val="44"/>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zh-CN"/>
        </w:rPr>
        <w:t>项目完成进度</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该项目按</w:t>
      </w:r>
      <w:r>
        <w:rPr>
          <w:rFonts w:hint="eastAsia" w:ascii="仿宋_GB2312" w:hAnsi="仿宋_GB2312" w:eastAsia="仿宋_GB2312" w:cs="仿宋_GB2312"/>
          <w:sz w:val="32"/>
          <w:szCs w:val="32"/>
          <w:lang w:val="zh-CN"/>
        </w:rPr>
        <w:t>计划完成进度；</w:t>
      </w:r>
    </w:p>
    <w:p>
      <w:pPr>
        <w:pStyle w:val="44"/>
        <w:adjustRightInd w:val="0"/>
        <w:snapToGrid w:val="0"/>
        <w:spacing w:line="600" w:lineRule="exact"/>
        <w:ind w:firstLine="642"/>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zh-CN"/>
        </w:rPr>
        <w:t>项目管理情况</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该项目委托</w:t>
      </w:r>
      <w:r>
        <w:rPr>
          <w:rFonts w:hint="eastAsia" w:ascii="仿宋_GB2312" w:hAnsi="仿宋_GB2312" w:eastAsia="仿宋_GB2312" w:cs="仿宋_GB2312"/>
          <w:sz w:val="32"/>
          <w:szCs w:val="32"/>
        </w:rPr>
        <w:t>上励建设工程有限公司（监理单位）、四川省凯锐建设有限公司（项目管理单位）</w:t>
      </w:r>
      <w:r>
        <w:rPr>
          <w:rFonts w:hint="eastAsia" w:ascii="仿宋_GB2312" w:hAnsi="仿宋_GB2312" w:eastAsia="仿宋_GB2312" w:cs="仿宋_GB2312"/>
          <w:sz w:val="32"/>
          <w:szCs w:val="32"/>
          <w:lang w:val="en-US" w:eastAsia="zh-CN"/>
        </w:rPr>
        <w:t>及业主方茂县国有林场严格依照现场施工</w:t>
      </w:r>
      <w:r>
        <w:rPr>
          <w:rFonts w:hint="eastAsia" w:ascii="仿宋_GB2312" w:hAnsi="仿宋_GB2312" w:eastAsia="仿宋_GB2312" w:cs="仿宋_GB2312"/>
          <w:sz w:val="32"/>
          <w:szCs w:val="32"/>
          <w:lang w:val="zh-CN"/>
        </w:rPr>
        <w:t>监管</w:t>
      </w:r>
      <w:r>
        <w:rPr>
          <w:rFonts w:hint="eastAsia" w:ascii="仿宋_GB2312" w:hAnsi="仿宋_GB2312" w:eastAsia="仿宋_GB2312" w:cs="仿宋_GB2312"/>
          <w:sz w:val="32"/>
          <w:szCs w:val="32"/>
          <w:lang w:val="en-US" w:eastAsia="zh-CN"/>
        </w:rPr>
        <w:t>到位，监管程序规范</w:t>
      </w:r>
      <w:r>
        <w:rPr>
          <w:rFonts w:hint="eastAsia" w:ascii="仿宋_GB2312" w:hAnsi="仿宋_GB2312" w:eastAsia="仿宋_GB2312" w:cs="仿宋_GB2312"/>
          <w:sz w:val="32"/>
          <w:szCs w:val="32"/>
          <w:lang w:val="zh-CN"/>
        </w:rPr>
        <w:t>。</w:t>
      </w:r>
    </w:p>
    <w:p>
      <w:pPr>
        <w:pStyle w:val="44"/>
        <w:adjustRightInd w:val="0"/>
        <w:snapToGrid w:val="0"/>
        <w:spacing w:line="600" w:lineRule="exact"/>
        <w:ind w:firstLine="640"/>
        <w:rPr>
          <w:rFonts w:hint="eastAsia" w:ascii="宋体" w:hAnsi="宋体" w:eastAsia="宋体" w:cs="宋体"/>
          <w:b/>
          <w:bCs/>
          <w:sz w:val="32"/>
          <w:szCs w:val="32"/>
        </w:rPr>
      </w:pPr>
      <w:r>
        <w:rPr>
          <w:rFonts w:hint="eastAsia" w:ascii="宋体" w:hAnsi="宋体" w:eastAsia="宋体" w:cs="宋体"/>
          <w:b/>
          <w:bCs/>
          <w:sz w:val="32"/>
          <w:szCs w:val="32"/>
        </w:rPr>
        <w:t>五、绩效评价结论</w:t>
      </w:r>
    </w:p>
    <w:p>
      <w:pPr>
        <w:pStyle w:val="44"/>
        <w:adjustRightInd w:val="0"/>
        <w:snapToGrid w:val="0"/>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 xml:space="preserve"> 生态</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：通过项目建，有效提升土地岭防灭火能；</w:t>
      </w:r>
    </w:p>
    <w:p>
      <w:pPr>
        <w:pStyle w:val="44"/>
        <w:adjustRightInd w:val="0"/>
        <w:snapToGrid w:val="0"/>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经济</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：通过项目建设</w:t>
      </w:r>
      <w:r>
        <w:rPr>
          <w:rFonts w:hint="eastAsia" w:ascii="仿宋_GB2312" w:hAnsi="仿宋_GB2312" w:eastAsia="仿宋_GB2312" w:cs="仿宋_GB2312"/>
          <w:sz w:val="32"/>
          <w:szCs w:val="32"/>
        </w:rPr>
        <w:t>可减少森林火灾的发生，维护自然生态环境的健康发展，这必将减少森林火灾造成的人、财、物损失，促进当地旅游业以及社会经济的持续发展，这是项目建设带来的间接经济效益</w:t>
      </w:r>
      <w:r>
        <w:rPr>
          <w:rFonts w:hint="eastAsia" w:ascii="仿宋_GB2312" w:hAnsi="仿宋_GB2312" w:eastAsia="仿宋_GB2312" w:cs="仿宋_GB2312"/>
          <w:sz w:val="32"/>
          <w:szCs w:val="32"/>
          <w:lang w:eastAsia="zh-CN"/>
        </w:rPr>
        <w:t>。</w:t>
      </w:r>
    </w:p>
    <w:p>
      <w:pPr>
        <w:pStyle w:val="44"/>
        <w:adjustRightInd w:val="0"/>
        <w:snapToGrid w:val="0"/>
        <w:spacing w:line="600" w:lineRule="exact"/>
        <w:ind w:firstLine="72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社会</w:t>
      </w:r>
      <w:r>
        <w:rPr>
          <w:rFonts w:hint="eastAsia" w:ascii="仿宋_GB2312" w:hAnsi="仿宋_GB2312" w:eastAsia="仿宋_GB2312" w:cs="仿宋_GB2312"/>
          <w:b/>
          <w:bCs/>
          <w:sz w:val="32"/>
          <w:szCs w:val="32"/>
          <w:lang w:val="en-US" w:eastAsia="zh-CN"/>
        </w:rPr>
        <w:t>效益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项目实施有利于保护</w:t>
      </w:r>
      <w:r>
        <w:rPr>
          <w:rFonts w:hint="eastAsia" w:ascii="仿宋_GB2312" w:hAnsi="仿宋_GB2312" w:eastAsia="仿宋_GB2312" w:cs="仿宋_GB2312"/>
          <w:sz w:val="32"/>
          <w:szCs w:val="32"/>
          <w:lang w:val="en-US" w:eastAsia="zh-CN"/>
        </w:rPr>
        <w:t>土地岭国有林区</w:t>
      </w:r>
      <w:r>
        <w:rPr>
          <w:rFonts w:hint="eastAsia" w:ascii="仿宋_GB2312" w:hAnsi="仿宋_GB2312" w:eastAsia="仿宋_GB2312" w:cs="仿宋_GB2312"/>
          <w:sz w:val="32"/>
          <w:szCs w:val="32"/>
        </w:rPr>
        <w:t>森林资源的稳定，促进林业事业发展，维护人居生态环境，改善人们生产、生活条件。同时，有效保护以森林为主的自然生态系统，维护生物多样性</w:t>
      </w:r>
      <w:r>
        <w:rPr>
          <w:rFonts w:hint="eastAsia" w:ascii="仿宋_GB2312" w:hAnsi="仿宋_GB2312" w:eastAsia="仿宋_GB2312" w:cs="仿宋_GB2312"/>
          <w:sz w:val="32"/>
          <w:szCs w:val="32"/>
          <w:lang w:eastAsia="zh-CN"/>
        </w:rPr>
        <w:t>。</w:t>
      </w:r>
    </w:p>
    <w:p>
      <w:pPr>
        <w:pStyle w:val="44"/>
        <w:adjustRightInd w:val="0"/>
        <w:snapToGrid w:val="0"/>
        <w:spacing w:line="600" w:lineRule="exact"/>
        <w:rPr>
          <w:rFonts w:hint="eastAsia" w:ascii="宋体" w:hAnsi="宋体" w:eastAsia="宋体" w:cs="宋体"/>
          <w:b/>
          <w:bCs/>
          <w:sz w:val="32"/>
          <w:szCs w:val="32"/>
        </w:rPr>
      </w:pPr>
      <w:r>
        <w:rPr>
          <w:rFonts w:hint="eastAsia" w:ascii="宋体" w:hAnsi="宋体" w:eastAsia="宋体" w:cs="宋体"/>
          <w:sz w:val="32"/>
          <w:szCs w:val="32"/>
        </w:rPr>
        <w:t xml:space="preserve">    </w:t>
      </w:r>
      <w:r>
        <w:rPr>
          <w:rFonts w:hint="eastAsia" w:ascii="宋体" w:hAnsi="宋体" w:eastAsia="宋体" w:cs="宋体"/>
          <w:b/>
          <w:bCs/>
          <w:sz w:val="32"/>
          <w:szCs w:val="32"/>
        </w:rPr>
        <w:t>六、绩效评价意见</w:t>
      </w:r>
    </w:p>
    <w:p>
      <w:pPr>
        <w:pStyle w:val="44"/>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w:t>
      </w:r>
      <w:r>
        <w:rPr>
          <w:rFonts w:hint="eastAsia" w:ascii="仿宋_GB2312" w:hAnsi="仿宋_GB2312" w:eastAsia="仿宋_GB2312" w:cs="仿宋_GB2312"/>
          <w:sz w:val="32"/>
          <w:szCs w:val="32"/>
          <w:lang w:val="en-US" w:eastAsia="zh-CN"/>
        </w:rPr>
        <w:t>防灭火通道</w:t>
      </w:r>
      <w:r>
        <w:rPr>
          <w:rFonts w:hint="eastAsia" w:ascii="仿宋_GB2312" w:hAnsi="仿宋_GB2312" w:eastAsia="仿宋_GB2312" w:cs="仿宋_GB2312"/>
          <w:sz w:val="32"/>
          <w:szCs w:val="32"/>
        </w:rPr>
        <w:t>正常运行，</w:t>
      </w:r>
      <w:r>
        <w:rPr>
          <w:rFonts w:hint="eastAsia" w:ascii="仿宋_GB2312" w:hAnsi="仿宋_GB2312" w:eastAsia="仿宋_GB2312" w:cs="仿宋_GB2312"/>
          <w:sz w:val="32"/>
          <w:szCs w:val="32"/>
          <w:lang w:val="en-US" w:eastAsia="zh-CN"/>
        </w:rPr>
        <w:t>后期</w:t>
      </w:r>
      <w:r>
        <w:rPr>
          <w:rFonts w:hint="eastAsia" w:ascii="仿宋_GB2312" w:hAnsi="仿宋_GB2312" w:eastAsia="仿宋_GB2312" w:cs="仿宋_GB2312"/>
          <w:sz w:val="32"/>
          <w:szCs w:val="32"/>
        </w:rPr>
        <w:t>需要</w:t>
      </w:r>
      <w:r>
        <w:rPr>
          <w:rFonts w:hint="eastAsia" w:ascii="仿宋_GB2312" w:hAnsi="仿宋_GB2312" w:eastAsia="仿宋_GB2312" w:cs="仿宋_GB2312"/>
          <w:sz w:val="32"/>
          <w:szCs w:val="32"/>
          <w:lang w:val="en-US" w:eastAsia="zh-CN"/>
        </w:rPr>
        <w:t>长期</w:t>
      </w:r>
      <w:r>
        <w:rPr>
          <w:rFonts w:hint="eastAsia" w:ascii="仿宋_GB2312" w:hAnsi="仿宋_GB2312" w:eastAsia="仿宋_GB2312" w:cs="仿宋_GB2312"/>
          <w:sz w:val="32"/>
          <w:szCs w:val="32"/>
        </w:rPr>
        <w:t>维护管理，建议安排</w:t>
      </w:r>
      <w:r>
        <w:rPr>
          <w:rFonts w:hint="eastAsia" w:ascii="仿宋_GB2312" w:hAnsi="仿宋_GB2312" w:eastAsia="仿宋_GB2312" w:cs="仿宋_GB2312"/>
          <w:sz w:val="32"/>
          <w:szCs w:val="32"/>
          <w:lang w:val="en-US" w:eastAsia="zh-CN"/>
        </w:rPr>
        <w:t>道路维护</w:t>
      </w:r>
      <w:r>
        <w:rPr>
          <w:rFonts w:hint="eastAsia" w:ascii="仿宋_GB2312" w:hAnsi="仿宋_GB2312" w:eastAsia="仿宋_GB2312" w:cs="仿宋_GB2312"/>
          <w:sz w:val="32"/>
          <w:szCs w:val="32"/>
        </w:rPr>
        <w:t>资金，确保项目建设成效。</w:t>
      </w:r>
    </w:p>
    <w:p>
      <w:pPr>
        <w:pStyle w:val="45"/>
        <w:rPr>
          <w:rFonts w:hint="eastAsia"/>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ind w:firstLine="880" w:firstLineChars="200"/>
        <w:jc w:val="both"/>
        <w:rPr>
          <w:rFonts w:hint="eastAsia"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2021年度项目支出绩效自评报告</w:t>
      </w:r>
    </w:p>
    <w:p>
      <w:pPr>
        <w:pStyle w:val="41"/>
        <w:spacing w:line="60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（集体和个人所有公益林生态效益补偿项目）</w:t>
      </w:r>
    </w:p>
    <w:p>
      <w:pPr>
        <w:pStyle w:val="41"/>
        <w:spacing w:line="600" w:lineRule="exact"/>
        <w:ind w:firstLine="640"/>
        <w:jc w:val="center"/>
        <w:rPr>
          <w:rFonts w:hint="eastAsia" w:ascii="仿宋_GB2312" w:hAnsi="仿宋_GB2312" w:eastAsia="仿宋_GB2312" w:cs="仿宋_GB2312"/>
          <w:color w:val="auto"/>
          <w:kern w:val="2"/>
          <w:sz w:val="32"/>
          <w:szCs w:val="32"/>
        </w:rPr>
      </w:pPr>
    </w:p>
    <w:p>
      <w:pPr>
        <w:pStyle w:val="44"/>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Style w:val="44"/>
        <w:adjustRightInd w:val="0"/>
        <w:snapToGrid w:val="0"/>
        <w:spacing w:line="600" w:lineRule="exact"/>
        <w:ind w:firstLine="720"/>
        <w:rPr>
          <w:rFonts w:hint="eastAsia" w:ascii="楷体_GB2312" w:eastAsia="楷体_GB2312"/>
          <w:b/>
          <w:sz w:val="32"/>
          <w:szCs w:val="32"/>
          <w:lang w:val="zh-CN"/>
        </w:rPr>
      </w:pPr>
      <w:r>
        <w:rPr>
          <w:rFonts w:hint="eastAsia" w:ascii="楷体_GB2312" w:eastAsia="楷体_GB2312"/>
          <w:b/>
          <w:sz w:val="32"/>
          <w:szCs w:val="32"/>
          <w:lang w:val="zh-CN"/>
        </w:rPr>
        <w:t>（一）项目基本情况</w:t>
      </w:r>
    </w:p>
    <w:p>
      <w:pPr>
        <w:pStyle w:val="44"/>
        <w:adjustRightInd w:val="0"/>
        <w:snapToGrid w:val="0"/>
        <w:spacing w:line="600" w:lineRule="exact"/>
        <w:ind w:firstLine="72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为保护公益林资源，维护生态安全，根据《中华人民共和国森</w:t>
      </w:r>
      <w:r>
        <w:rPr>
          <w:rFonts w:hint="eastAsia" w:ascii="仿宋_GB2312" w:hAnsi="仿宋_GB2312" w:eastAsia="仿宋_GB2312" w:cs="仿宋_GB2312"/>
          <w:sz w:val="32"/>
          <w:szCs w:val="32"/>
        </w:rPr>
        <w:t>林法》和中共中央、国务院《关于加快林业发展的决定》(中发〔2003〕9号</w:t>
      </w:r>
      <w:r>
        <w:rPr>
          <w:rFonts w:hint="eastAsia" w:ascii="仿宋_GB2312" w:hAnsi="仿宋_GB2312" w:eastAsia="仿宋_GB2312" w:cs="仿宋_GB2312"/>
          <w:color w:val="000000" w:themeColor="text1"/>
          <w:sz w:val="32"/>
          <w:szCs w:val="32"/>
        </w:rPr>
        <w:t>)，各级政府按照事权划分建立森林生态效益补偿基金。202</w:t>
      </w: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 xml:space="preserve">年集体公益林管护补助标准为15.75元/亩，全县集体公益林总面积为213. </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万亩，补助资金</w:t>
      </w:r>
      <w:r>
        <w:rPr>
          <w:rFonts w:hint="eastAsia" w:ascii="仿宋_GB2312" w:hAnsi="仿宋_GB2312" w:eastAsia="仿宋_GB2312" w:cs="仿宋_GB2312"/>
          <w:color w:val="000000" w:themeColor="text1"/>
          <w:sz w:val="32"/>
          <w:szCs w:val="32"/>
          <w:lang w:val="en-US" w:eastAsia="zh-CN"/>
        </w:rPr>
        <w:t>3369.8</w:t>
      </w:r>
      <w:r>
        <w:rPr>
          <w:rFonts w:hint="eastAsia" w:ascii="仿宋_GB2312" w:hAnsi="仿宋_GB2312" w:eastAsia="仿宋_GB2312" w:cs="仿宋_GB2312"/>
          <w:color w:val="000000" w:themeColor="text1"/>
          <w:sz w:val="32"/>
          <w:szCs w:val="32"/>
        </w:rPr>
        <w:t>万元，涉及11个镇，104个村，农户2万余户，受益人口8万余人。</w:t>
      </w:r>
    </w:p>
    <w:p>
      <w:pPr>
        <w:pStyle w:val="44"/>
        <w:numPr>
          <w:ilvl w:val="0"/>
          <w:numId w:val="4"/>
        </w:num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eastAsia="zh-CN"/>
        </w:rPr>
        <w:t>项目</w:t>
      </w:r>
      <w:r>
        <w:rPr>
          <w:rFonts w:hint="eastAsia" w:ascii="楷体_GB2312" w:hAnsi="Times New Roman" w:eastAsia="楷体_GB2312" w:cs="Times New Roman"/>
          <w:b/>
          <w:sz w:val="32"/>
          <w:szCs w:val="32"/>
          <w:lang w:val="zh-CN"/>
        </w:rPr>
        <w:t>绩效目标</w:t>
      </w:r>
    </w:p>
    <w:p>
      <w:pPr>
        <w:pStyle w:val="4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年我县集体</w:t>
      </w:r>
      <w:r>
        <w:rPr>
          <w:rFonts w:hint="eastAsia" w:ascii="仿宋_GB2312" w:hAnsi="仿宋_GB2312" w:eastAsia="仿宋_GB2312" w:cs="仿宋_GB2312"/>
          <w:color w:val="000000" w:themeColor="text1"/>
          <w:sz w:val="32"/>
          <w:szCs w:val="32"/>
        </w:rPr>
        <w:t>公益林总面积为213.</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万亩，全县资金兑现涉及11个乡镇，104个村</w:t>
      </w:r>
      <w:r>
        <w:rPr>
          <w:rFonts w:hint="eastAsia" w:ascii="仿宋_GB2312" w:hAnsi="仿宋_GB2312" w:eastAsia="仿宋_GB2312" w:cs="仿宋_GB2312"/>
          <w:sz w:val="32"/>
          <w:szCs w:val="32"/>
        </w:rPr>
        <w:t>，农户2万余户，受益人口8万余人。</w:t>
      </w:r>
    </w:p>
    <w:p>
      <w:pPr>
        <w:pStyle w:val="44"/>
        <w:numPr>
          <w:ilvl w:val="0"/>
          <w:numId w:val="4"/>
        </w:numPr>
        <w:adjustRightInd w:val="0"/>
        <w:snapToGrid w:val="0"/>
        <w:spacing w:line="600" w:lineRule="exact"/>
        <w:ind w:firstLine="720"/>
        <w:rPr>
          <w:rFonts w:hint="eastAsia" w:ascii="楷体_GB2312" w:hAnsi="Times New Roman" w:eastAsia="楷体_GB2312" w:cs="Times New Roman"/>
          <w:b/>
          <w:sz w:val="32"/>
          <w:szCs w:val="32"/>
          <w:lang w:val="zh-CN" w:eastAsia="zh-CN"/>
        </w:rPr>
      </w:pPr>
      <w:r>
        <w:rPr>
          <w:rFonts w:hint="eastAsia" w:ascii="楷体_GB2312" w:hAnsi="Times New Roman" w:eastAsia="楷体_GB2312" w:cs="Times New Roman"/>
          <w:b/>
          <w:sz w:val="32"/>
          <w:szCs w:val="32"/>
          <w:lang w:val="zh-CN" w:eastAsia="zh-CN"/>
        </w:rPr>
        <w:t>项目自评步骤及方法</w:t>
      </w:r>
    </w:p>
    <w:p>
      <w:pPr>
        <w:pStyle w:val="45"/>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kern w:val="2"/>
          <w:sz w:val="32"/>
          <w:szCs w:val="32"/>
          <w:lang w:val="zh-CN" w:eastAsia="zh-CN" w:bidi="ar-SA"/>
        </w:rPr>
      </w:pPr>
      <w:r>
        <w:rPr>
          <w:rFonts w:hint="eastAsia" w:ascii="仿宋_GB2312" w:hAnsi="仿宋_GB2312" w:eastAsia="仿宋_GB2312" w:cs="仿宋_GB2312"/>
          <w:color w:val="000000" w:themeColor="text1"/>
          <w:kern w:val="2"/>
          <w:sz w:val="32"/>
          <w:szCs w:val="32"/>
          <w:lang w:val="zh-CN" w:eastAsia="zh-CN" w:bidi="ar-SA"/>
        </w:rPr>
        <w:t>开展绩效自评。</w:t>
      </w:r>
    </w:p>
    <w:p>
      <w:pPr>
        <w:pStyle w:val="4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color w:val="000000" w:themeColor="text1"/>
          <w:kern w:val="2"/>
          <w:sz w:val="32"/>
          <w:szCs w:val="32"/>
          <w:lang w:val="zh-CN" w:eastAsia="zh-CN" w:bidi="ar-SA"/>
        </w:rPr>
        <w:t>二、项目资金申报及使用情况</w:t>
      </w:r>
    </w:p>
    <w:p>
      <w:pPr>
        <w:pStyle w:val="44"/>
        <w:numPr>
          <w:ilvl w:val="0"/>
          <w:numId w:val="0"/>
        </w:numPr>
        <w:adjustRightInd w:val="0"/>
        <w:snapToGrid w:val="0"/>
        <w:spacing w:line="600" w:lineRule="exac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1．资金到位使用。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年度集体和个人所有国家级公益林生态效益补偿项目</w:t>
      </w:r>
      <w:r>
        <w:rPr>
          <w:rFonts w:hint="eastAsia" w:ascii="仿宋_GB2312" w:hAnsi="仿宋_GB2312" w:eastAsia="仿宋_GB2312" w:cs="仿宋_GB2312"/>
          <w:sz w:val="32"/>
          <w:szCs w:val="32"/>
          <w:lang w:val="zh-CN"/>
        </w:rPr>
        <w:t>资金计划为</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截止评价时点实际到位</w:t>
      </w:r>
      <w:r>
        <w:rPr>
          <w:rFonts w:hint="eastAsia" w:ascii="仿宋_GB2312" w:hAnsi="仿宋_GB2312" w:eastAsia="仿宋_GB2312" w:cs="仿宋_GB2312"/>
          <w:sz w:val="32"/>
          <w:szCs w:val="32"/>
          <w:lang w:val="en-US" w:eastAsia="zh-CN"/>
        </w:rPr>
        <w:t>3369.8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zh-CN"/>
        </w:rPr>
        <w:t>，全部为中央财政资金。就资金到位情况与资金计划比较后资金到位率为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，且到位及时；截止目前项目资金的实际支出</w:t>
      </w:r>
      <w:r>
        <w:rPr>
          <w:rFonts w:hint="eastAsia" w:ascii="仿宋_GB2312" w:hAnsi="仿宋_GB2312" w:eastAsia="仿宋_GB2312" w:cs="仿宋_GB2312"/>
          <w:sz w:val="32"/>
          <w:szCs w:val="32"/>
        </w:rPr>
        <w:t>3369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796665万元</w:t>
      </w:r>
      <w:r>
        <w:rPr>
          <w:rFonts w:hint="eastAsia" w:ascii="仿宋_GB2312" w:hAnsi="仿宋_GB2312" w:eastAsia="仿宋_GB2312" w:cs="仿宋_GB2312"/>
          <w:sz w:val="32"/>
          <w:szCs w:val="32"/>
          <w:lang w:val="zh-CN"/>
        </w:rPr>
        <w:t>，资金开支用于兑现</w:t>
      </w:r>
      <w:r>
        <w:rPr>
          <w:rFonts w:hint="eastAsia" w:ascii="仿宋_GB2312" w:hAnsi="仿宋_GB2312" w:eastAsia="仿宋_GB2312" w:cs="仿宋_GB2312"/>
          <w:sz w:val="32"/>
          <w:szCs w:val="32"/>
        </w:rPr>
        <w:t>集体和个人所有国家级公益林生态效益补偿补助标准为15.75元/亩，</w:t>
      </w:r>
      <w:r>
        <w:rPr>
          <w:rFonts w:hint="eastAsia" w:ascii="仿宋_GB2312" w:hAnsi="仿宋_GB2312" w:eastAsia="仿宋_GB2312" w:cs="仿宋_GB2312"/>
          <w:sz w:val="32"/>
          <w:szCs w:val="32"/>
          <w:lang w:val="zh-CN"/>
        </w:rPr>
        <w:t>支付进度</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支付依据根据财务要求合规合法，资金支付与预算相符，并对相关问题进行了说明。</w:t>
      </w:r>
    </w:p>
    <w:p>
      <w:pPr>
        <w:pStyle w:val="44"/>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2.项目财务管理情况。</w:t>
      </w:r>
      <w:r>
        <w:rPr>
          <w:rFonts w:hint="eastAsia" w:ascii="仿宋_GB2312" w:hAnsi="仿宋_GB2312" w:eastAsia="仿宋_GB2312" w:cs="仿宋_GB2312"/>
          <w:sz w:val="32"/>
          <w:szCs w:val="32"/>
          <w:lang w:val="zh-CN"/>
        </w:rPr>
        <w:t>生态补偿资金实行专户管理、专账核算、专款专用，县林草局依据各</w:t>
      </w:r>
      <w:r>
        <w:rPr>
          <w:rFonts w:hint="eastAsia" w:ascii="仿宋_GB2312" w:hAnsi="仿宋_GB2312" w:eastAsia="仿宋_GB2312" w:cs="仿宋_GB2312"/>
          <w:sz w:val="32"/>
          <w:szCs w:val="32"/>
        </w:rPr>
        <w:t>村“一事一议”形式议定集体公益林生态补偿基金分配方案、表（票）决情况表</w:t>
      </w:r>
      <w:r>
        <w:rPr>
          <w:rFonts w:hint="eastAsia" w:ascii="仿宋_GB2312" w:hAnsi="仿宋_GB2312" w:eastAsia="仿宋_GB2312" w:cs="仿宋_GB2312"/>
          <w:sz w:val="32"/>
          <w:szCs w:val="32"/>
          <w:lang w:val="zh-CN"/>
        </w:rPr>
        <w:t>和兑现农户的签字花名册将集体林生态效益补偿资金、村提留的资金通过按农户花名册通过“一卡通”系统直接拨付给农户。对照项目资金管理办法，评价项目是严格执行财务管理制度、财务处理及时且会计核算规范。</w:t>
      </w:r>
    </w:p>
    <w:p>
      <w:pPr>
        <w:pStyle w:val="4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kern w:val="2"/>
          <w:sz w:val="32"/>
          <w:szCs w:val="32"/>
          <w:lang w:val="zh-CN" w:eastAsia="zh-CN" w:bidi="ar-SA"/>
        </w:rPr>
      </w:pPr>
      <w:r>
        <w:rPr>
          <w:rFonts w:hint="eastAsia" w:ascii="黑体" w:hAnsi="黑体" w:eastAsia="黑体" w:cs="黑体"/>
          <w:color w:val="000000" w:themeColor="text1"/>
          <w:kern w:val="2"/>
          <w:sz w:val="32"/>
          <w:szCs w:val="32"/>
          <w:lang w:val="zh-CN" w:eastAsia="zh-CN" w:bidi="ar-SA"/>
        </w:rPr>
        <w:t>三、项目实施及管理情况</w:t>
      </w:r>
    </w:p>
    <w:p>
      <w:pPr>
        <w:pStyle w:val="4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年我县集体</w:t>
      </w:r>
      <w:r>
        <w:rPr>
          <w:rFonts w:hint="eastAsia" w:ascii="仿宋_GB2312" w:hAnsi="仿宋_GB2312" w:eastAsia="仿宋_GB2312" w:cs="仿宋_GB2312"/>
          <w:color w:val="000000" w:themeColor="text1"/>
          <w:sz w:val="32"/>
          <w:szCs w:val="32"/>
        </w:rPr>
        <w:t>公益林总面积为213.</w:t>
      </w:r>
      <w:r>
        <w:rPr>
          <w:rFonts w:hint="eastAsia" w:ascii="仿宋_GB2312" w:hAnsi="仿宋_GB2312" w:eastAsia="仿宋_GB2312" w:cs="仿宋_GB2312"/>
          <w:color w:val="000000" w:themeColor="text1"/>
          <w:sz w:val="32"/>
          <w:szCs w:val="32"/>
          <w:lang w:val="en-US" w:eastAsia="zh-CN"/>
        </w:rPr>
        <w:t>955344</w:t>
      </w:r>
      <w:r>
        <w:rPr>
          <w:rFonts w:hint="eastAsia" w:ascii="仿宋_GB2312" w:hAnsi="仿宋_GB2312" w:eastAsia="仿宋_GB2312" w:cs="仿宋_GB2312"/>
          <w:color w:val="000000" w:themeColor="text1"/>
          <w:sz w:val="32"/>
          <w:szCs w:val="32"/>
        </w:rPr>
        <w:t>万亩，全县资金兑现涉及11个乡镇，104个村</w:t>
      </w:r>
      <w:r>
        <w:rPr>
          <w:rFonts w:hint="eastAsia" w:ascii="仿宋_GB2312" w:hAnsi="仿宋_GB2312" w:eastAsia="仿宋_GB2312" w:cs="仿宋_GB2312"/>
          <w:sz w:val="32"/>
          <w:szCs w:val="32"/>
        </w:rPr>
        <w:t>，农户2万余户，受益人口8万余人。</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1.建立和完善管护机制。</w:t>
      </w:r>
      <w:r>
        <w:rPr>
          <w:rFonts w:hint="eastAsia" w:ascii="仿宋_GB2312" w:hAnsi="仿宋_GB2312" w:eastAsia="仿宋_GB2312" w:cs="仿宋_GB2312"/>
          <w:sz w:val="32"/>
          <w:szCs w:val="32"/>
        </w:rPr>
        <w:t>制定了《茂县集体林管护制度》、《茂县集体林管护人员考核办法》；各乡镇成立集体林管护机构领导小组，制定了集体林管护制度、明确了管护职责。</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2.落实责任。</w:t>
      </w:r>
      <w:r>
        <w:rPr>
          <w:rFonts w:hint="eastAsia" w:ascii="仿宋_GB2312" w:hAnsi="仿宋_GB2312" w:eastAsia="仿宋_GB2312" w:cs="仿宋_GB2312"/>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44"/>
        <w:ind w:firstLine="64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3.制定兑现方案，落实兑现工作。</w:t>
      </w:r>
      <w:r>
        <w:rPr>
          <w:rFonts w:hint="eastAsia" w:ascii="仿宋_GB2312" w:hAnsi="仿宋_GB2312" w:eastAsia="仿宋_GB2312" w:cs="仿宋_GB2312"/>
          <w:sz w:val="32"/>
          <w:szCs w:val="32"/>
        </w:rPr>
        <w:t>为全面落实森林生态效益补偿资金兑现工作，制定了《茂县202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年度集体公益林生态效益补偿资金兑现方案》明确了补偿范围、资金到位情况和补偿标准、资金用途以及资金拨付程序。</w:t>
      </w:r>
    </w:p>
    <w:p>
      <w:pPr>
        <w:pStyle w:val="44"/>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color w:val="000000"/>
          <w:sz w:val="32"/>
          <w:szCs w:val="32"/>
        </w:rPr>
        <w:t>止202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年12月31日，该年度集体公益林生态效益补偿项目已按照相关要求全面完成，并通过了县级林业主管部门验收合格。</w:t>
      </w:r>
    </w:p>
    <w:p>
      <w:pPr>
        <w:pStyle w:val="4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kern w:val="2"/>
          <w:sz w:val="32"/>
          <w:szCs w:val="32"/>
          <w:lang w:val="zh-CN" w:eastAsia="zh-CN" w:bidi="ar-SA"/>
        </w:rPr>
      </w:pPr>
      <w:r>
        <w:rPr>
          <w:rFonts w:hint="eastAsia" w:ascii="黑体" w:hAnsi="黑体" w:eastAsia="黑体" w:cs="黑体"/>
          <w:color w:val="000000" w:themeColor="text1"/>
          <w:kern w:val="2"/>
          <w:sz w:val="32"/>
          <w:szCs w:val="32"/>
          <w:lang w:val="zh-CN" w:eastAsia="zh-CN" w:bidi="ar-SA"/>
        </w:rPr>
        <w:t>四、项目绩效情况</w:t>
      </w:r>
    </w:p>
    <w:p>
      <w:pPr>
        <w:pStyle w:val="4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color w:val="000000"/>
          <w:kern w:val="0"/>
          <w:sz w:val="32"/>
          <w:szCs w:val="32"/>
        </w:rPr>
        <w:t xml:space="preserve">本年度，我县森林生态效益补偿工作，在上级林业主管部门的帮助指导下，经过采取有效措施，公益林得到有效管护，公益林真正形成高效、稳定的森林生态系统，发挥了最大的生态效益和社会效益，最大限度地满足维护国家生态安全和经济社会可持续发展的需要。主要表现在以下方面：  </w:t>
      </w:r>
    </w:p>
    <w:p>
      <w:pPr>
        <w:pStyle w:val="44"/>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1.</w:t>
      </w:r>
      <w:r>
        <w:rPr>
          <w:rFonts w:hint="eastAsia" w:ascii="仿宋_GB2312" w:hAnsi="仿宋_GB2312" w:eastAsia="仿宋_GB2312" w:cs="仿宋_GB2312"/>
          <w:b/>
          <w:bCs/>
          <w:color w:val="000000"/>
          <w:sz w:val="32"/>
          <w:szCs w:val="32"/>
        </w:rPr>
        <w:t>社会经济效益</w:t>
      </w:r>
      <w:r>
        <w:rPr>
          <w:rFonts w:hint="eastAsia" w:ascii="仿宋_GB2312" w:hAnsi="仿宋_GB2312" w:eastAsia="仿宋_GB2312" w:cs="仿宋_GB2312"/>
          <w:color w:val="000000"/>
          <w:sz w:val="32"/>
          <w:szCs w:val="32"/>
        </w:rPr>
        <w:t>。通过实施天保工程二期集体公益林生态效益补偿，使全县11个乡镇104个村。2.2万户，8.9万人受益。平均人均增收月400元，增加了群众收入，提高当地群众生活生产水平和改善了生活生产条件。为茂县精准扶贫、精准脱贫打下了坚实的基础，</w:t>
      </w:r>
      <w:r>
        <w:rPr>
          <w:rFonts w:hint="eastAsia" w:ascii="仿宋_GB2312" w:hAnsi="仿宋_GB2312" w:eastAsia="仿宋_GB2312" w:cs="仿宋_GB2312"/>
          <w:sz w:val="32"/>
          <w:szCs w:val="32"/>
        </w:rPr>
        <w:t>有效地改善民生，有力地促进林区社会的和谐稳定。</w:t>
      </w:r>
    </w:p>
    <w:p>
      <w:pPr>
        <w:pStyle w:val="44"/>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color w:val="000000"/>
          <w:sz w:val="32"/>
          <w:szCs w:val="32"/>
        </w:rPr>
        <w:t>生态建设效益</w:t>
      </w:r>
      <w:r>
        <w:rPr>
          <w:rFonts w:hint="eastAsia" w:ascii="仿宋_GB2312" w:hAnsi="仿宋_GB2312" w:eastAsia="仿宋_GB2312" w:cs="仿宋_GB2312"/>
          <w:color w:val="000000"/>
          <w:sz w:val="32"/>
          <w:szCs w:val="32"/>
        </w:rPr>
        <w:t>。通过实施天保工程二期集体公益林生态效益补偿通过实施禁伐、森林管护、增强了水源涵养能力，保护了生态环境和生物多样性，为建设长江上游重要生态屏障作了巨大贡献。同时</w:t>
      </w:r>
      <w:r>
        <w:rPr>
          <w:rFonts w:hint="eastAsia" w:ascii="仿宋_GB2312" w:hAnsi="仿宋_GB2312" w:eastAsia="仿宋_GB2312" w:cs="仿宋_GB2312"/>
          <w:color w:val="000000"/>
          <w:kern w:val="0"/>
          <w:sz w:val="32"/>
          <w:szCs w:val="32"/>
        </w:rPr>
        <w:t>以实施森林生态效益补偿为契机，带动了森林资源保护管理能力的提升，尤其是森林防火、林业有害生物防治、森林资源监测、资源档案建立和管理等基础设施得到改善。 </w:t>
      </w:r>
    </w:p>
    <w:p>
      <w:pPr>
        <w:pStyle w:val="44"/>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val="0"/>
          <w:bCs w:val="0"/>
          <w:color w:val="000000"/>
          <w:sz w:val="32"/>
          <w:szCs w:val="32"/>
        </w:rPr>
        <w:t>3.受益群众满意度</w:t>
      </w:r>
      <w:r>
        <w:rPr>
          <w:rFonts w:hint="eastAsia" w:ascii="仿宋_GB2312" w:hAnsi="仿宋_GB2312" w:eastAsia="仿宋_GB2312" w:cs="仿宋_GB2312"/>
          <w:color w:val="000000"/>
          <w:sz w:val="32"/>
          <w:szCs w:val="32"/>
        </w:rPr>
        <w:t>。通过实施天保工程二期公益林生态效益补偿，改善了当地农牧业的生产条件，为增产增收提供了一定的条件，创造了一些就业机会，对维护社会稳定和提高人民生活水平起到了良好的促进作用，因此深受广大受益群众的好评。</w:t>
      </w:r>
      <w:r>
        <w:rPr>
          <w:rFonts w:hint="eastAsia" w:ascii="仿宋_GB2312" w:hAnsi="仿宋_GB2312" w:eastAsia="仿宋_GB2312" w:cs="仿宋_GB2312"/>
          <w:color w:val="000000"/>
          <w:kern w:val="0"/>
          <w:sz w:val="32"/>
          <w:szCs w:val="32"/>
        </w:rPr>
        <w:t>森林生态效益补偿政策的实施，搭建起比较完备的森林生态体系结构，为促进我县生态建设起到极为重要的作用。</w:t>
      </w:r>
    </w:p>
    <w:p>
      <w:pPr>
        <w:pStyle w:val="44"/>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五、评价结论及建议</w:t>
      </w:r>
    </w:p>
    <w:p>
      <w:pPr>
        <w:pStyle w:val="44"/>
        <w:spacing w:line="560" w:lineRule="exact"/>
        <w:ind w:firstLine="642" w:firstLineChars="200"/>
      </w:pPr>
      <w:r>
        <w:rPr>
          <w:rFonts w:hint="eastAsia" w:ascii="仿宋_GB2312" w:hAnsi="仿宋_GB2312" w:eastAsia="仿宋_GB2312" w:cs="仿宋_GB2312"/>
          <w:b/>
          <w:sz w:val="32"/>
          <w:szCs w:val="32"/>
          <w:lang w:eastAsia="zh-CN"/>
        </w:rPr>
        <w:t>（一）评价结论</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我县森林生态效益补偿基金在资金使用和管理中，实际支出与规定的用途一致，资金收支平衡，资金使用都能做到公开、公平、程序到位，严格执行财务制度，无截留、挤占、挪用补偿基金等违规行为。通过茂县政务公开网站进行了公示，同时各村在醒目位置公示。根据《评价内容和指标，对我县公益林生态效益补偿基金绩效自评得分为98分，综合评价结果为优。</w:t>
      </w:r>
    </w:p>
    <w:p>
      <w:pPr>
        <w:pStyle w:val="44"/>
        <w:ind w:firstLine="642"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pStyle w:val="44"/>
        <w:ind w:firstLine="642" w:firstLineChars="200"/>
        <w:rPr>
          <w:rFonts w:hint="eastAsia" w:ascii="仿宋_GB2312" w:hAnsi="仿宋_GB2312" w:eastAsia="仿宋_GB2312" w:cs="仿宋_GB2312"/>
          <w:snapToGrid w:val="0"/>
          <w:sz w:val="32"/>
          <w:szCs w:val="32"/>
        </w:rPr>
      </w:pPr>
      <w:r>
        <w:rPr>
          <w:rFonts w:hint="eastAsia" w:ascii="仿宋_GB2312" w:hAnsi="仿宋_GB2312" w:eastAsia="仿宋_GB2312" w:cs="仿宋_GB2312"/>
          <w:b/>
          <w:sz w:val="32"/>
          <w:szCs w:val="32"/>
          <w:lang w:val="zh-CN"/>
        </w:rPr>
        <w:t>1.</w:t>
      </w:r>
      <w:r>
        <w:rPr>
          <w:rFonts w:hint="eastAsia" w:ascii="仿宋_GB2312" w:hAnsi="仿宋_GB2312" w:eastAsia="仿宋_GB2312" w:cs="仿宋_GB2312"/>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集体公益林建设投入，提高生态效益补偿标准。</w:t>
      </w:r>
    </w:p>
    <w:p>
      <w:pPr>
        <w:pStyle w:val="44"/>
        <w:ind w:firstLine="640"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kern w:val="0"/>
          <w:sz w:val="32"/>
          <w:szCs w:val="32"/>
        </w:rPr>
        <w:t>2.资金兑现系统还需要进一步完善，尽量避免实际未到账，补偿金退回，但系统显示成功的问题。</w:t>
      </w:r>
    </w:p>
    <w:p>
      <w:pPr>
        <w:pStyle w:val="44"/>
        <w:spacing w:line="560" w:lineRule="exact"/>
        <w:ind w:firstLine="642" w:firstLineChars="200"/>
        <w:jc w:val="left"/>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pStyle w:val="44"/>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生态公益林建设与管理具有是社会性、长期性、艰巨性的工作，为进一步做好生态公益林保护与利用工作，建议上级必须硬性规定县级林业主管部门设置专门的机构和增配专职人员。</w:t>
      </w:r>
    </w:p>
    <w:p>
      <w:pPr>
        <w:pStyle w:val="45"/>
        <w:rPr>
          <w:rFonts w:hint="eastAsia"/>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p>
    <w:p>
      <w:pPr>
        <w:pStyle w:val="41"/>
        <w:spacing w:line="600" w:lineRule="exact"/>
        <w:jc w:val="center"/>
        <w:rPr>
          <w:rFonts w:hint="eastAsia"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2021年度项目支出绩效自评报告</w:t>
      </w:r>
    </w:p>
    <w:p>
      <w:pPr>
        <w:pStyle w:val="41"/>
        <w:spacing w:line="600" w:lineRule="exact"/>
        <w:jc w:val="center"/>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（防火阻隔系统建设项目）</w:t>
      </w:r>
    </w:p>
    <w:p>
      <w:pPr>
        <w:pStyle w:val="44"/>
        <w:adjustRightInd w:val="0"/>
        <w:snapToGrid w:val="0"/>
        <w:spacing w:line="600" w:lineRule="exact"/>
        <w:ind w:firstLine="642" w:firstLineChars="200"/>
        <w:outlineLvl w:val="0"/>
        <w:rPr>
          <w:rFonts w:hint="eastAsia" w:ascii="黑体" w:hAnsi="黑体" w:eastAsia="黑体" w:cs="仿宋_GB2312"/>
          <w:b/>
          <w:bCs/>
          <w:sz w:val="32"/>
          <w:szCs w:val="32"/>
          <w:lang w:val="zh-CN"/>
        </w:rPr>
      </w:pPr>
    </w:p>
    <w:p>
      <w:pPr>
        <w:pStyle w:val="44"/>
        <w:adjustRightInd w:val="0"/>
        <w:snapToGrid w:val="0"/>
        <w:spacing w:line="600" w:lineRule="exact"/>
        <w:ind w:firstLine="642" w:firstLineChars="200"/>
        <w:outlineLvl w:val="0"/>
        <w:rPr>
          <w:rFonts w:hint="eastAsia" w:ascii="仿宋" w:hAnsi="仿宋" w:eastAsia="仿宋" w:cs="仿宋_GB2312"/>
          <w:sz w:val="32"/>
          <w:szCs w:val="32"/>
          <w:lang w:val="zh-CN"/>
        </w:rPr>
      </w:pPr>
      <w:r>
        <w:rPr>
          <w:rFonts w:hint="eastAsia" w:ascii="黑体" w:hAnsi="黑体" w:eastAsia="黑体" w:cs="仿宋_GB2312"/>
          <w:b/>
          <w:bCs/>
          <w:sz w:val="32"/>
          <w:szCs w:val="32"/>
          <w:lang w:val="zh-CN"/>
        </w:rPr>
        <w:t>一、基本情况</w:t>
      </w:r>
    </w:p>
    <w:p>
      <w:pPr>
        <w:pStyle w:val="44"/>
        <w:adjustRightInd w:val="0"/>
        <w:snapToGrid w:val="0"/>
        <w:spacing w:line="600" w:lineRule="exact"/>
        <w:rPr>
          <w:rFonts w:hint="eastAsia" w:ascii="楷体" w:hAnsi="楷体" w:eastAsia="楷体" w:cs="楷体"/>
          <w:b/>
          <w:bCs/>
          <w:sz w:val="32"/>
          <w:szCs w:val="32"/>
          <w:lang w:val="zh-CN"/>
        </w:rPr>
      </w:pPr>
      <w:r>
        <w:rPr>
          <w:rFonts w:hint="eastAsia" w:ascii="仿宋" w:hAnsi="仿宋" w:eastAsia="仿宋" w:cs="仿宋_GB2312"/>
          <w:sz w:val="32"/>
          <w:szCs w:val="32"/>
        </w:rPr>
        <w:t xml:space="preserve">   </w:t>
      </w:r>
      <w:r>
        <w:rPr>
          <w:rFonts w:hint="eastAsia" w:ascii="楷体" w:hAnsi="楷体" w:eastAsia="楷体" w:cs="楷体"/>
          <w:b/>
          <w:bCs/>
          <w:sz w:val="32"/>
          <w:szCs w:val="32"/>
          <w:lang w:val="zh-CN"/>
        </w:rPr>
        <w:t>（一）资金安排情况</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_GB2312"/>
          <w:sz w:val="32"/>
          <w:szCs w:val="32"/>
          <w:lang w:val="en-US" w:eastAsia="zh-CN"/>
        </w:rPr>
      </w:pPr>
      <w:r>
        <w:rPr>
          <w:rFonts w:hint="eastAsia" w:ascii="仿宋_GB2312" w:hAnsi="仿宋_GB2312" w:eastAsia="仿宋_GB2312" w:cs="仿宋_GB2312"/>
          <w:sz w:val="32"/>
          <w:szCs w:val="32"/>
        </w:rPr>
        <w:t>1.2020年度</w:t>
      </w:r>
      <w:r>
        <w:rPr>
          <w:rFonts w:hint="eastAsia" w:ascii="仿宋_GB2312" w:hAnsi="仿宋_GB2312" w:eastAsia="仿宋_GB2312" w:cs="仿宋_GB2312"/>
          <w:sz w:val="32"/>
          <w:szCs w:val="32"/>
          <w:lang w:val="en-US" w:eastAsia="zh-CN"/>
        </w:rPr>
        <w:t>茂财资环[2020]22号文件下达省级资金126万元，主要用于防火阻隔系统建设</w:t>
      </w:r>
      <w:r>
        <w:rPr>
          <w:rFonts w:hint="eastAsia" w:ascii="仿宋" w:hAnsi="仿宋" w:eastAsia="仿宋" w:cs="仿宋_GB2312"/>
          <w:sz w:val="32"/>
          <w:szCs w:val="32"/>
          <w:lang w:val="en-US" w:eastAsia="zh-CN"/>
        </w:rPr>
        <w:t>。</w:t>
      </w:r>
    </w:p>
    <w:p>
      <w:pPr>
        <w:pStyle w:val="44"/>
        <w:adjustRightInd w:val="0"/>
        <w:snapToGrid w:val="0"/>
        <w:spacing w:line="600" w:lineRule="exact"/>
        <w:rPr>
          <w:rFonts w:hint="eastAsia" w:ascii="仿宋" w:hAnsi="仿宋" w:eastAsia="仿宋" w:cs="仿宋_GB2312"/>
          <w:sz w:val="32"/>
          <w:szCs w:val="32"/>
          <w:lang w:val="zh-CN"/>
        </w:rPr>
      </w:pPr>
      <w:r>
        <w:rPr>
          <w:rFonts w:hint="eastAsia" w:ascii="仿宋" w:hAnsi="仿宋" w:eastAsia="仿宋" w:cs="仿宋_GB2312"/>
          <w:sz w:val="32"/>
          <w:szCs w:val="32"/>
        </w:rPr>
        <w:t xml:space="preserve">   </w:t>
      </w:r>
      <w:r>
        <w:rPr>
          <w:rFonts w:hint="eastAsia" w:ascii="楷体" w:hAnsi="楷体" w:eastAsia="楷体" w:cs="楷体"/>
          <w:b/>
          <w:bCs/>
          <w:sz w:val="32"/>
          <w:szCs w:val="32"/>
          <w:lang w:val="zh-CN"/>
        </w:rPr>
        <w:t>（二）项目绩效目标</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新建1800亩防火阻隔带，在县城周边林农交界地带建防火隔离带675亩，在凤仪镇小沟炸药库周围及土地岭、松坪沟等重点林区建设防火隔离带1125亩。</w:t>
      </w:r>
    </w:p>
    <w:p>
      <w:pPr>
        <w:pStyle w:val="44"/>
        <w:adjustRightInd w:val="0"/>
        <w:snapToGrid w:val="0"/>
        <w:spacing w:line="600" w:lineRule="exact"/>
        <w:rPr>
          <w:rFonts w:hint="eastAsia" w:ascii="黑体" w:hAnsi="黑体" w:eastAsia="黑体" w:cs="仿宋_GB2312"/>
          <w:b/>
          <w:bCs/>
          <w:sz w:val="32"/>
          <w:szCs w:val="32"/>
          <w:lang w:val="zh-CN"/>
        </w:rPr>
      </w:pPr>
      <w:r>
        <w:rPr>
          <w:rFonts w:hint="eastAsia" w:ascii="仿宋" w:hAnsi="仿宋" w:eastAsia="仿宋" w:cs="仿宋_GB2312"/>
          <w:sz w:val="32"/>
          <w:szCs w:val="32"/>
        </w:rPr>
        <w:t xml:space="preserve">    </w:t>
      </w:r>
      <w:r>
        <w:rPr>
          <w:rFonts w:hint="eastAsia" w:ascii="黑体" w:hAnsi="黑体" w:eastAsia="黑体" w:cs="仿宋_GB2312"/>
          <w:b/>
          <w:bCs/>
          <w:sz w:val="32"/>
          <w:szCs w:val="32"/>
          <w:lang w:val="zh-CN"/>
        </w:rPr>
        <w:t>二、绩效自评</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项目建设完全符合资金使用要求。总体目标和绩效目标均达标。</w:t>
      </w:r>
    </w:p>
    <w:p>
      <w:pPr>
        <w:pStyle w:val="44"/>
        <w:adjustRightInd w:val="0"/>
        <w:snapToGrid w:val="0"/>
        <w:spacing w:line="600" w:lineRule="exact"/>
        <w:ind w:firstLine="642" w:firstLineChars="200"/>
        <w:outlineLvl w:val="0"/>
        <w:rPr>
          <w:rFonts w:hint="eastAsia" w:ascii="黑体" w:hAnsi="黑体" w:eastAsia="黑体" w:cs="仿宋_GB2312"/>
          <w:b/>
          <w:bCs/>
          <w:sz w:val="32"/>
          <w:szCs w:val="32"/>
          <w:lang w:val="zh-CN"/>
        </w:rPr>
      </w:pPr>
      <w:r>
        <w:rPr>
          <w:rFonts w:hint="eastAsia" w:ascii="黑体" w:hAnsi="黑体" w:eastAsia="黑体" w:cs="仿宋_GB2312"/>
          <w:b/>
          <w:bCs/>
          <w:sz w:val="32"/>
          <w:szCs w:val="32"/>
          <w:lang w:val="zh-CN"/>
        </w:rPr>
        <w:t>三、评价方法及过程</w:t>
      </w:r>
    </w:p>
    <w:p>
      <w:pPr>
        <w:pStyle w:val="44"/>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绩效评价方法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按照《森林草原防灭火项目绩效评价表》（附表2-1）逐一开展自评。</w:t>
      </w:r>
    </w:p>
    <w:p>
      <w:pPr>
        <w:pStyle w:val="44"/>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绩效评价过程</w:t>
      </w:r>
    </w:p>
    <w:p>
      <w:pPr>
        <w:pStyle w:val="44"/>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1.资金投入与使用-2.资金项目管理-3.资金实际产出-4.政策实施效果。</w:t>
      </w:r>
    </w:p>
    <w:p>
      <w:pPr>
        <w:pStyle w:val="44"/>
        <w:adjustRightInd w:val="0"/>
        <w:snapToGrid w:val="0"/>
        <w:spacing w:line="600" w:lineRule="exact"/>
        <w:outlineLvl w:val="0"/>
        <w:rPr>
          <w:rFonts w:hint="eastAsia" w:ascii="黑体" w:hAnsi="黑体" w:eastAsia="黑体" w:cs="仿宋_GB2312"/>
          <w:b/>
          <w:bCs/>
          <w:sz w:val="32"/>
          <w:szCs w:val="32"/>
        </w:rPr>
      </w:pPr>
      <w:r>
        <w:rPr>
          <w:rFonts w:hint="eastAsia" w:ascii="黑体" w:hAnsi="黑体" w:eastAsia="黑体" w:cs="仿宋_GB2312"/>
          <w:b/>
          <w:bCs/>
          <w:sz w:val="32"/>
          <w:szCs w:val="32"/>
        </w:rPr>
        <w:t xml:space="preserve">    四、绩效评价分析（</w:t>
      </w:r>
      <w:r>
        <w:rPr>
          <w:rFonts w:hint="eastAsia" w:ascii="黑体" w:hAnsi="黑体" w:eastAsia="黑体" w:cs="仿宋_GB2312"/>
          <w:b/>
          <w:bCs/>
          <w:sz w:val="32"/>
          <w:szCs w:val="32"/>
          <w:lang w:val="zh-CN"/>
        </w:rPr>
        <w:t>含问题分析说明</w:t>
      </w:r>
      <w:r>
        <w:rPr>
          <w:rFonts w:hint="eastAsia" w:ascii="黑体" w:hAnsi="黑体" w:eastAsia="黑体" w:cs="仿宋_GB2312"/>
          <w:b/>
          <w:bCs/>
          <w:sz w:val="32"/>
          <w:szCs w:val="32"/>
        </w:rPr>
        <w:t>）</w:t>
      </w:r>
    </w:p>
    <w:p>
      <w:pPr>
        <w:pStyle w:val="44"/>
        <w:adjustRightInd w:val="0"/>
        <w:snapToGrid w:val="0"/>
        <w:spacing w:line="600" w:lineRule="exact"/>
        <w:rPr>
          <w:rFonts w:hint="eastAsia" w:ascii="仿宋" w:hAnsi="仿宋" w:eastAsia="仿宋" w:cs="仿宋_GB2312"/>
          <w:sz w:val="32"/>
          <w:szCs w:val="32"/>
        </w:rPr>
      </w:pPr>
      <w:r>
        <w:rPr>
          <w:rFonts w:hint="eastAsia" w:ascii="仿宋" w:hAnsi="仿宋" w:eastAsia="仿宋" w:cs="仿宋_GB2312"/>
          <w:sz w:val="32"/>
          <w:szCs w:val="32"/>
        </w:rPr>
        <w:t xml:space="preserve">    </w:t>
      </w:r>
      <w:r>
        <w:rPr>
          <w:rFonts w:hint="eastAsia" w:ascii="楷体" w:hAnsi="楷体" w:eastAsia="楷体" w:cs="楷体"/>
          <w:b/>
          <w:bCs/>
          <w:sz w:val="32"/>
          <w:szCs w:val="32"/>
        </w:rPr>
        <w:t xml:space="preserve">（一）资金使用管理 </w:t>
      </w:r>
      <w:r>
        <w:rPr>
          <w:rFonts w:hint="eastAsia" w:ascii="仿宋" w:hAnsi="仿宋" w:eastAsia="仿宋" w:cs="仿宋_GB2312"/>
          <w:sz w:val="32"/>
          <w:szCs w:val="32"/>
        </w:rPr>
        <w:t xml:space="preserve"> </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1.资金到位情况。</w:t>
      </w:r>
      <w:r>
        <w:rPr>
          <w:rFonts w:hint="eastAsia" w:ascii="仿宋_GB2312" w:hAnsi="仿宋_GB2312" w:eastAsia="仿宋_GB2312" w:cs="仿宋_GB2312"/>
          <w:sz w:val="32"/>
          <w:szCs w:val="32"/>
          <w:lang w:val="en-US" w:eastAsia="zh-CN"/>
        </w:rPr>
        <w:t>2020年11月5日，县财政下达2020年第二批省级林业草原改革发展专项资金126万元。</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2.资金使用情况。</w:t>
      </w:r>
      <w:r>
        <w:rPr>
          <w:rFonts w:hint="eastAsia" w:ascii="仿宋_GB2312" w:hAnsi="仿宋_GB2312" w:eastAsia="仿宋_GB2312" w:cs="仿宋_GB2312"/>
          <w:sz w:val="32"/>
          <w:szCs w:val="32"/>
          <w:lang w:val="zh-CN"/>
        </w:rPr>
        <w:t>统计截止评价时点项目资金</w:t>
      </w:r>
      <w:r>
        <w:rPr>
          <w:rFonts w:hint="eastAsia" w:ascii="仿宋_GB2312" w:hAnsi="仿宋_GB2312" w:eastAsia="仿宋_GB2312" w:cs="仿宋_GB2312"/>
          <w:sz w:val="32"/>
          <w:szCs w:val="32"/>
          <w:lang w:val="en-US" w:eastAsia="zh-CN"/>
        </w:rPr>
        <w:t>已使用579342.71元，今年预计还需支付140814.91元，主要用于支付施工质量保证金、招标控制价评审费和竣工结算审核费等，剩余资金本将退回县财政。项目资金支付安全、规范，资金支付范围、支付标准进行支付、支付进度、</w:t>
      </w:r>
      <w:r>
        <w:rPr>
          <w:rFonts w:hint="eastAsia" w:ascii="仿宋_GB2312" w:hAnsi="仿宋_GB2312" w:eastAsia="仿宋_GB2312" w:cs="仿宋_GB2312"/>
          <w:sz w:val="32"/>
          <w:szCs w:val="32"/>
          <w:lang w:val="zh-CN"/>
        </w:rPr>
        <w:t>支付依据等合规合法，与预算相符。</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3.资金管理情况。财务管理制度健全，</w:t>
      </w: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sz w:val="32"/>
          <w:szCs w:val="32"/>
        </w:rPr>
        <w:t>严格执行财务管理制度，账务处理及时，会计核算规范。</w:t>
      </w:r>
    </w:p>
    <w:p>
      <w:pPr>
        <w:pStyle w:val="44"/>
        <w:adjustRightInd w:val="0"/>
        <w:snapToGrid w:val="0"/>
        <w:spacing w:line="600" w:lineRule="exact"/>
        <w:rPr>
          <w:rFonts w:hint="eastAsia" w:ascii="仿宋" w:hAnsi="仿宋" w:eastAsia="仿宋" w:cs="仿宋_GB2312"/>
          <w:sz w:val="32"/>
          <w:szCs w:val="32"/>
        </w:rPr>
      </w:pPr>
      <w:r>
        <w:rPr>
          <w:rFonts w:hint="eastAsia" w:ascii="仿宋" w:hAnsi="仿宋" w:eastAsia="仿宋" w:cs="仿宋_GB2312"/>
          <w:sz w:val="32"/>
          <w:szCs w:val="32"/>
        </w:rPr>
        <w:t xml:space="preserve">   </w:t>
      </w:r>
      <w:r>
        <w:rPr>
          <w:rFonts w:hint="eastAsia" w:ascii="楷体" w:hAnsi="楷体" w:eastAsia="楷体" w:cs="楷体"/>
          <w:b/>
          <w:bCs/>
          <w:sz w:val="32"/>
          <w:szCs w:val="32"/>
        </w:rPr>
        <w:t>（二）项目实施管理</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项目完成数量。</w:t>
      </w:r>
      <w:r>
        <w:rPr>
          <w:rFonts w:hint="eastAsia" w:ascii="仿宋_GB2312" w:hAnsi="仿宋_GB2312" w:eastAsia="仿宋_GB2312" w:cs="仿宋_GB2312"/>
          <w:sz w:val="32"/>
          <w:szCs w:val="32"/>
          <w:lang w:val="en-US" w:eastAsia="zh-CN"/>
        </w:rPr>
        <w:t>新建1800亩防火阻隔带，完成率100%。</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项目完成质量。</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zh-CN"/>
        </w:rPr>
        <w:t>验收</w:t>
      </w:r>
      <w:r>
        <w:rPr>
          <w:rFonts w:hint="eastAsia" w:ascii="仿宋_GB2312" w:hAnsi="仿宋_GB2312" w:eastAsia="仿宋_GB2312" w:cs="仿宋_GB2312"/>
          <w:sz w:val="32"/>
          <w:szCs w:val="32"/>
          <w:lang w:val="en-US" w:eastAsia="zh-CN"/>
        </w:rPr>
        <w:t>合格</w:t>
      </w:r>
      <w:r>
        <w:rPr>
          <w:rFonts w:hint="eastAsia" w:ascii="仿宋_GB2312" w:hAnsi="仿宋_GB2312" w:eastAsia="仿宋_GB2312" w:cs="仿宋_GB2312"/>
          <w:sz w:val="32"/>
          <w:szCs w:val="32"/>
          <w:lang w:val="zh-CN"/>
        </w:rPr>
        <w:t>。</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项目完成进度。</w:t>
      </w:r>
      <w:r>
        <w:rPr>
          <w:rFonts w:hint="eastAsia" w:ascii="仿宋_GB2312" w:hAnsi="仿宋_GB2312" w:eastAsia="仿宋_GB2312" w:cs="仿宋_GB2312"/>
          <w:sz w:val="32"/>
          <w:szCs w:val="32"/>
          <w:lang w:val="en-US" w:eastAsia="zh-CN"/>
        </w:rPr>
        <w:t>已完成</w:t>
      </w:r>
      <w:r>
        <w:rPr>
          <w:rFonts w:hint="eastAsia" w:ascii="仿宋_GB2312" w:hAnsi="仿宋_GB2312" w:eastAsia="仿宋_GB2312" w:cs="仿宋_GB2312"/>
          <w:sz w:val="32"/>
          <w:szCs w:val="32"/>
          <w:lang w:val="zh-CN"/>
        </w:rPr>
        <w:t>。</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项目管理情况。</w:t>
      </w:r>
      <w:r>
        <w:rPr>
          <w:rFonts w:hint="eastAsia" w:ascii="仿宋_GB2312" w:hAnsi="仿宋_GB2312" w:eastAsia="仿宋_GB2312" w:cs="仿宋_GB2312"/>
          <w:sz w:val="32"/>
          <w:szCs w:val="32"/>
        </w:rPr>
        <w:t>为保障项目建设质量，</w:t>
      </w:r>
      <w:r>
        <w:rPr>
          <w:rFonts w:hint="eastAsia" w:ascii="仿宋_GB2312" w:hAnsi="仿宋_GB2312" w:eastAsia="仿宋_GB2312" w:cs="仿宋_GB2312"/>
          <w:sz w:val="32"/>
          <w:szCs w:val="32"/>
          <w:lang w:val="en-US" w:eastAsia="zh-CN"/>
        </w:rPr>
        <w:t>工程类项目</w:t>
      </w:r>
      <w:r>
        <w:rPr>
          <w:rFonts w:hint="eastAsia" w:ascii="仿宋_GB2312" w:hAnsi="仿宋_GB2312" w:eastAsia="仿宋_GB2312" w:cs="仿宋_GB2312"/>
          <w:sz w:val="32"/>
          <w:szCs w:val="32"/>
          <w:lang w:eastAsia="zh-CN"/>
        </w:rPr>
        <w:t>选派业主代表、</w:t>
      </w:r>
      <w:r>
        <w:rPr>
          <w:rFonts w:hint="eastAsia" w:ascii="仿宋_GB2312" w:hAnsi="仿宋_GB2312" w:eastAsia="仿宋_GB2312" w:cs="仿宋_GB2312"/>
          <w:sz w:val="32"/>
          <w:szCs w:val="32"/>
        </w:rPr>
        <w:t>聘请第三方监理机构对项目建设的质量及进度进行监督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并按照要求开展验收工作。</w:t>
      </w:r>
    </w:p>
    <w:p>
      <w:pPr>
        <w:pStyle w:val="44"/>
        <w:adjustRightInd w:val="0"/>
        <w:snapToGrid w:val="0"/>
        <w:spacing w:line="600" w:lineRule="exact"/>
        <w:ind w:firstLine="640"/>
        <w:rPr>
          <w:rFonts w:hint="eastAsia" w:ascii="黑体" w:hAnsi="黑体" w:eastAsia="黑体" w:cs="仿宋_GB2312"/>
          <w:b/>
          <w:bCs/>
          <w:sz w:val="32"/>
          <w:szCs w:val="32"/>
        </w:rPr>
      </w:pPr>
      <w:r>
        <w:rPr>
          <w:rFonts w:hint="eastAsia" w:ascii="黑体" w:hAnsi="黑体" w:eastAsia="黑体" w:cs="仿宋_GB2312"/>
          <w:b/>
          <w:bCs/>
          <w:sz w:val="32"/>
          <w:szCs w:val="32"/>
        </w:rPr>
        <w:t>五、绩效评价结论</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在项目决策上，项目建设严格按照上级文件要求与茂县森林草原防火基础设施建设需求进行决策。</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（二）在项目管理上，严格按照项目工程管理相关法律法规及程序要求进行。</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（三）项目完成上，项目已保质保量完成，并通过验收。</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（四）在</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lang w:val="en-US" w:eastAsia="zh-CN"/>
        </w:rPr>
        <w:t>效果上，主要体现如下：</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1.生态效益。防火阻隔系统的建成，极大地提升了茂县重点林区森林草原防灭火能力；</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2.经济效益。项目建设过程会产生大量的劳务用工，增加了当地农户的经济收入。</w:t>
      </w:r>
    </w:p>
    <w:p>
      <w:pPr>
        <w:pStyle w:val="44"/>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3.社会效益。项目建设，预期会减少项目实施区域森林草原火灾受灾面积，老百姓对此反响积极，产生了较好的社会效益。</w:t>
      </w:r>
    </w:p>
    <w:p>
      <w:pPr>
        <w:pStyle w:val="44"/>
        <w:adjustRightInd w:val="0"/>
        <w:snapToGrid w:val="0"/>
        <w:spacing w:line="600" w:lineRule="exact"/>
        <w:rPr>
          <w:rFonts w:hint="eastAsia" w:ascii="黑体" w:hAnsi="黑体" w:eastAsia="黑体" w:cs="仿宋_GB2312"/>
          <w:b/>
          <w:bCs/>
          <w:sz w:val="32"/>
          <w:szCs w:val="32"/>
        </w:rPr>
      </w:pPr>
      <w:r>
        <w:rPr>
          <w:rFonts w:hint="eastAsia" w:ascii="仿宋" w:hAnsi="仿宋" w:eastAsia="仿宋" w:cs="仿宋_GB2312"/>
          <w:sz w:val="32"/>
          <w:szCs w:val="32"/>
        </w:rPr>
        <w:t xml:space="preserve">    </w:t>
      </w:r>
      <w:r>
        <w:rPr>
          <w:rFonts w:hint="eastAsia" w:ascii="黑体" w:hAnsi="黑体" w:eastAsia="黑体" w:cs="仿宋_GB2312"/>
          <w:b/>
          <w:bCs/>
          <w:sz w:val="32"/>
          <w:szCs w:val="32"/>
        </w:rPr>
        <w:t>六、绩效评价意见</w:t>
      </w:r>
    </w:p>
    <w:p>
      <w:pPr>
        <w:pStyle w:val="44"/>
        <w:adjustRightInd w:val="0"/>
        <w:snapToGrid w:val="0"/>
        <w:spacing w:line="600" w:lineRule="exact"/>
        <w:ind w:firstLine="640" w:firstLineChars="200"/>
        <w:rPr>
          <w:rFonts w:hint="eastAsia" w:ascii="黑体" w:hAnsi="黑体" w:eastAsia="黑体" w:cs="仿宋_GB2312"/>
          <w:b/>
          <w:bCs/>
          <w:sz w:val="32"/>
          <w:szCs w:val="32"/>
          <w:lang w:val="en-US" w:eastAsia="zh-CN"/>
        </w:rPr>
      </w:pPr>
      <w:r>
        <w:rPr>
          <w:rFonts w:hint="eastAsia" w:ascii="仿宋_GB2312" w:hAnsi="仿宋_GB2312" w:eastAsia="仿宋_GB2312" w:cs="仿宋_GB2312"/>
          <w:sz w:val="32"/>
          <w:szCs w:val="32"/>
          <w:lang w:val="en-US" w:eastAsia="zh-CN"/>
        </w:rPr>
        <w:t>无</w:t>
      </w:r>
      <w:r>
        <w:rPr>
          <w:rFonts w:hint="eastAsia" w:ascii="仿宋" w:hAnsi="仿宋" w:eastAsia="仿宋" w:cs="仿宋_GB2312"/>
          <w:sz w:val="32"/>
          <w:szCs w:val="32"/>
          <w:lang w:val="en-US" w:eastAsia="zh-CN"/>
        </w:rPr>
        <w:t>。</w:t>
      </w:r>
    </w:p>
    <w:p>
      <w:pPr>
        <w:pStyle w:val="37"/>
        <w:pageBreakBefore w:val="0"/>
        <w:kinsoku/>
        <w:wordWrap/>
        <w:overflowPunct/>
        <w:topLinePunct w:val="0"/>
        <w:bidi w:val="0"/>
        <w:spacing w:line="560" w:lineRule="exact"/>
      </w:pPr>
    </w:p>
    <w:p>
      <w:pPr>
        <w:pStyle w:val="4"/>
      </w:pPr>
    </w:p>
    <w:p/>
    <w:p>
      <w:pPr>
        <w:pStyle w:val="2"/>
      </w:pPr>
    </w:p>
    <w:p>
      <w:pPr>
        <w:pStyle w:val="2"/>
      </w:pPr>
    </w:p>
    <w:p>
      <w:pPr>
        <w:pStyle w:val="2"/>
      </w:pPr>
    </w:p>
    <w:p>
      <w:pPr>
        <w:pStyle w:val="3"/>
        <w:pageBreakBefore w:val="0"/>
        <w:kinsoku/>
        <w:wordWrap/>
        <w:overflowPunct/>
        <w:topLinePunct w:val="0"/>
        <w:bidi w:val="0"/>
        <w:spacing w:before="0" w:after="0" w:line="560" w:lineRule="exact"/>
        <w:jc w:val="center"/>
        <w:rPr>
          <w:rFonts w:ascii="黑体" w:hAnsi="黑体" w:eastAsia="黑体" w:cs="黑体"/>
        </w:rPr>
      </w:pPr>
      <w:bookmarkStart w:id="79" w:name="_Toc79163885"/>
      <w:bookmarkStart w:id="80" w:name="_Toc113981025"/>
      <w:bookmarkStart w:id="81" w:name="_Toc79163635"/>
      <w:bookmarkStart w:id="82" w:name="_Toc111208512"/>
      <w:r>
        <w:rPr>
          <w:rFonts w:hint="eastAsia" w:ascii="黑体" w:hAnsi="黑体" w:eastAsia="黑体" w:cs="黑体"/>
        </w:rPr>
        <w:t>第五部分 附表</w:t>
      </w:r>
      <w:bookmarkEnd w:id="79"/>
      <w:bookmarkEnd w:id="80"/>
      <w:bookmarkEnd w:id="81"/>
      <w:bookmarkEnd w:id="82"/>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83" w:name="_Toc79163636"/>
      <w:bookmarkStart w:id="84" w:name="_Toc79163886"/>
      <w:bookmarkStart w:id="85" w:name="_Toc111208513"/>
      <w:bookmarkStart w:id="86" w:name="_Toc113981026"/>
      <w:r>
        <w:rPr>
          <w:rFonts w:hint="eastAsia" w:ascii="黑体" w:eastAsia="黑体" w:cs="Times New Roman"/>
          <w:bCs w:val="0"/>
          <w:color w:val="000000"/>
        </w:rPr>
        <w:t>一、收入支出决算总表</w:t>
      </w:r>
      <w:bookmarkEnd w:id="83"/>
      <w:bookmarkEnd w:id="84"/>
      <w:bookmarkEnd w:id="85"/>
      <w:bookmarkEnd w:id="86"/>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87" w:name="_Toc79163887"/>
      <w:bookmarkStart w:id="88" w:name="_Toc79163637"/>
      <w:bookmarkStart w:id="89" w:name="_Toc111208514"/>
      <w:bookmarkStart w:id="90" w:name="_Toc113981027"/>
      <w:r>
        <w:rPr>
          <w:rFonts w:hint="eastAsia" w:ascii="黑体" w:eastAsia="黑体" w:cs="Times New Roman"/>
          <w:bCs w:val="0"/>
          <w:color w:val="000000"/>
        </w:rPr>
        <w:t>二、收入决算表</w:t>
      </w:r>
      <w:bookmarkEnd w:id="87"/>
      <w:bookmarkEnd w:id="88"/>
      <w:bookmarkEnd w:id="89"/>
      <w:bookmarkEnd w:id="90"/>
    </w:p>
    <w:p>
      <w:pPr>
        <w:pStyle w:val="4"/>
        <w:pageBreakBefore w:val="0"/>
        <w:kinsoku/>
        <w:wordWrap/>
        <w:overflowPunct/>
        <w:topLinePunct w:val="0"/>
        <w:bidi w:val="0"/>
        <w:spacing w:before="0" w:after="0" w:line="560" w:lineRule="exact"/>
        <w:ind w:firstLine="642" w:firstLineChars="200"/>
        <w:rPr>
          <w:rFonts w:ascii="黑体" w:eastAsia="黑体" w:cs="Times New Roman"/>
          <w:b w:val="0"/>
          <w:color w:val="000000"/>
        </w:rPr>
      </w:pPr>
      <w:bookmarkStart w:id="91" w:name="_Toc79163638"/>
      <w:bookmarkStart w:id="92" w:name="_Toc79163888"/>
      <w:bookmarkStart w:id="93" w:name="_Toc111208515"/>
      <w:bookmarkStart w:id="94" w:name="_Toc113981028"/>
      <w:r>
        <w:rPr>
          <w:rFonts w:hint="eastAsia" w:ascii="黑体" w:eastAsia="黑体" w:cs="Times New Roman"/>
          <w:bCs w:val="0"/>
          <w:color w:val="000000"/>
        </w:rPr>
        <w:t>三、支出决算表</w:t>
      </w:r>
      <w:bookmarkEnd w:id="91"/>
      <w:bookmarkEnd w:id="92"/>
      <w:bookmarkEnd w:id="93"/>
      <w:bookmarkEnd w:id="94"/>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95" w:name="_Toc79163889"/>
      <w:bookmarkStart w:id="96" w:name="_Toc79163639"/>
      <w:bookmarkStart w:id="97" w:name="_Toc111208516"/>
      <w:bookmarkStart w:id="98" w:name="_Toc113981029"/>
      <w:r>
        <w:rPr>
          <w:rFonts w:hint="eastAsia" w:ascii="黑体" w:eastAsia="黑体" w:cs="Times New Roman"/>
          <w:bCs w:val="0"/>
          <w:color w:val="000000"/>
        </w:rPr>
        <w:t>四、财政拨款收入支出决算总表</w:t>
      </w:r>
      <w:bookmarkEnd w:id="95"/>
      <w:bookmarkEnd w:id="96"/>
      <w:bookmarkEnd w:id="97"/>
      <w:bookmarkEnd w:id="98"/>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99" w:name="_Toc79163890"/>
      <w:bookmarkStart w:id="100" w:name="_Toc79163640"/>
      <w:bookmarkStart w:id="101" w:name="_Toc111208517"/>
      <w:bookmarkStart w:id="102" w:name="_Toc113981030"/>
      <w:r>
        <w:rPr>
          <w:rFonts w:hint="eastAsia" w:ascii="黑体" w:eastAsia="黑体" w:cs="Times New Roman"/>
          <w:bCs w:val="0"/>
          <w:color w:val="000000"/>
        </w:rPr>
        <w:t>五、财政拨款支出决算明细表</w:t>
      </w:r>
      <w:bookmarkEnd w:id="99"/>
      <w:bookmarkEnd w:id="100"/>
      <w:bookmarkEnd w:id="101"/>
      <w:bookmarkEnd w:id="102"/>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03" w:name="_Toc79163891"/>
      <w:bookmarkStart w:id="104" w:name="_Toc79163641"/>
      <w:bookmarkStart w:id="105" w:name="_Toc111208518"/>
      <w:bookmarkStart w:id="106" w:name="_Toc113981031"/>
      <w:r>
        <w:rPr>
          <w:rFonts w:hint="eastAsia" w:ascii="黑体" w:eastAsia="黑体" w:cs="Times New Roman"/>
          <w:bCs w:val="0"/>
          <w:color w:val="000000"/>
        </w:rPr>
        <w:t>六、一般公共预算财政拨款支出决算表</w:t>
      </w:r>
      <w:bookmarkEnd w:id="103"/>
      <w:bookmarkEnd w:id="104"/>
      <w:bookmarkEnd w:id="105"/>
      <w:bookmarkEnd w:id="106"/>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07" w:name="_Toc79163892"/>
      <w:bookmarkStart w:id="108" w:name="_Toc79163642"/>
      <w:bookmarkStart w:id="109" w:name="_Toc111208519"/>
      <w:bookmarkStart w:id="110" w:name="_Toc113981032"/>
      <w:r>
        <w:rPr>
          <w:rFonts w:hint="eastAsia" w:ascii="黑体" w:eastAsia="黑体" w:cs="Times New Roman"/>
          <w:bCs w:val="0"/>
          <w:color w:val="000000"/>
        </w:rPr>
        <w:t>七、一般公共预算财政拨款支出决算明细表</w:t>
      </w:r>
      <w:bookmarkEnd w:id="107"/>
      <w:bookmarkEnd w:id="108"/>
      <w:bookmarkEnd w:id="109"/>
      <w:bookmarkEnd w:id="110"/>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11" w:name="_Toc79163893"/>
      <w:bookmarkStart w:id="112" w:name="_Toc79163643"/>
      <w:bookmarkStart w:id="113" w:name="_Toc111208520"/>
      <w:bookmarkStart w:id="114" w:name="_Toc113981033"/>
      <w:r>
        <w:rPr>
          <w:rFonts w:hint="eastAsia" w:ascii="黑体" w:eastAsia="黑体" w:cs="Times New Roman"/>
          <w:bCs w:val="0"/>
          <w:color w:val="000000"/>
        </w:rPr>
        <w:t>八、一般公共预算财政拨款基本支出决算表</w:t>
      </w:r>
      <w:bookmarkEnd w:id="111"/>
      <w:bookmarkEnd w:id="112"/>
      <w:bookmarkEnd w:id="113"/>
      <w:bookmarkEnd w:id="114"/>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15" w:name="_Toc79163644"/>
      <w:bookmarkStart w:id="116" w:name="_Toc79163894"/>
      <w:bookmarkStart w:id="117" w:name="_Toc111208521"/>
      <w:bookmarkStart w:id="118" w:name="_Toc113981034"/>
      <w:r>
        <w:rPr>
          <w:rFonts w:hint="eastAsia" w:ascii="黑体" w:eastAsia="黑体" w:cs="Times New Roman"/>
          <w:bCs w:val="0"/>
          <w:color w:val="000000"/>
        </w:rPr>
        <w:t>九、一般公共预算财政拨款项目支出决算表</w:t>
      </w:r>
      <w:bookmarkEnd w:id="115"/>
      <w:bookmarkEnd w:id="116"/>
      <w:bookmarkEnd w:id="117"/>
      <w:bookmarkEnd w:id="118"/>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19" w:name="_Toc79163645"/>
      <w:bookmarkStart w:id="120" w:name="_Toc79163895"/>
      <w:bookmarkStart w:id="121" w:name="_Toc111208522"/>
      <w:bookmarkStart w:id="122" w:name="_Toc113981035"/>
      <w:r>
        <w:rPr>
          <w:rFonts w:hint="eastAsia" w:ascii="黑体" w:eastAsia="黑体" w:cs="Times New Roman"/>
          <w:bCs w:val="0"/>
          <w:color w:val="000000"/>
        </w:rPr>
        <w:t>十、一般公共预算财政拨款“三公”经费支出决算表</w:t>
      </w:r>
      <w:bookmarkEnd w:id="119"/>
      <w:bookmarkEnd w:id="120"/>
      <w:bookmarkEnd w:id="121"/>
      <w:bookmarkEnd w:id="122"/>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23" w:name="_Toc79163646"/>
      <w:bookmarkStart w:id="124" w:name="_Toc79163896"/>
      <w:bookmarkStart w:id="125" w:name="_Toc111208523"/>
      <w:bookmarkStart w:id="126" w:name="_Toc113981036"/>
      <w:r>
        <w:rPr>
          <w:rFonts w:hint="eastAsia" w:ascii="黑体" w:eastAsia="黑体" w:cs="Times New Roman"/>
          <w:bCs w:val="0"/>
          <w:color w:val="000000"/>
        </w:rPr>
        <w:t>十一、政府性基金预算财政拨款收入支出决算表</w:t>
      </w:r>
      <w:bookmarkEnd w:id="123"/>
      <w:bookmarkEnd w:id="124"/>
      <w:bookmarkEnd w:id="125"/>
      <w:bookmarkEnd w:id="126"/>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27" w:name="_Toc79163897"/>
      <w:bookmarkStart w:id="128" w:name="_Toc79163647"/>
      <w:bookmarkStart w:id="129" w:name="_Toc111208524"/>
      <w:bookmarkStart w:id="130" w:name="_Toc113981037"/>
      <w:r>
        <w:rPr>
          <w:rFonts w:hint="eastAsia" w:ascii="黑体" w:eastAsia="黑体" w:cs="Times New Roman"/>
          <w:bCs w:val="0"/>
          <w:color w:val="000000"/>
        </w:rPr>
        <w:t>十二、政府性基金预算财政拨款“三公”经费支出决算表</w:t>
      </w:r>
      <w:bookmarkEnd w:id="127"/>
      <w:bookmarkEnd w:id="128"/>
      <w:bookmarkEnd w:id="129"/>
      <w:bookmarkEnd w:id="130"/>
    </w:p>
    <w:p>
      <w:pPr>
        <w:pStyle w:val="4"/>
        <w:pageBreakBefore w:val="0"/>
        <w:kinsoku/>
        <w:wordWrap/>
        <w:overflowPunct/>
        <w:topLinePunct w:val="0"/>
        <w:bidi w:val="0"/>
        <w:spacing w:before="0" w:after="0" w:line="560" w:lineRule="exact"/>
        <w:ind w:firstLine="642" w:firstLineChars="200"/>
        <w:rPr>
          <w:rFonts w:ascii="黑体" w:eastAsia="黑体" w:cs="Times New Roman"/>
          <w:bCs w:val="0"/>
          <w:color w:val="000000"/>
        </w:rPr>
      </w:pPr>
      <w:bookmarkStart w:id="131" w:name="_Toc79163898"/>
      <w:bookmarkStart w:id="132" w:name="_Toc79163648"/>
      <w:bookmarkStart w:id="133" w:name="_Toc111208525"/>
      <w:bookmarkStart w:id="134" w:name="_Toc113981038"/>
      <w:r>
        <w:rPr>
          <w:rFonts w:hint="eastAsia" w:ascii="黑体" w:eastAsia="黑体" w:cs="Times New Roman"/>
          <w:bCs w:val="0"/>
          <w:color w:val="000000"/>
        </w:rPr>
        <w:t>十三、</w:t>
      </w:r>
      <w:bookmarkEnd w:id="131"/>
      <w:bookmarkEnd w:id="132"/>
      <w:r>
        <w:rPr>
          <w:rFonts w:hint="eastAsia" w:ascii="黑体" w:eastAsia="黑体" w:cs="Times New Roman"/>
          <w:bCs w:val="0"/>
          <w:color w:val="000000"/>
        </w:rPr>
        <w:t>国有资本经营预算财政拨款收入支出决算表</w:t>
      </w:r>
      <w:bookmarkEnd w:id="133"/>
      <w:bookmarkEnd w:id="134"/>
    </w:p>
    <w:p>
      <w:pPr>
        <w:pStyle w:val="4"/>
        <w:pageBreakBefore w:val="0"/>
        <w:kinsoku/>
        <w:wordWrap/>
        <w:overflowPunct/>
        <w:topLinePunct w:val="0"/>
        <w:bidi w:val="0"/>
        <w:spacing w:before="0" w:after="0" w:line="560" w:lineRule="exact"/>
        <w:ind w:firstLine="642" w:firstLineChars="200"/>
        <w:rPr>
          <w:rFonts w:ascii="黑体" w:eastAsia="黑体" w:cs="Times New Roman"/>
          <w:b w:val="0"/>
          <w:color w:val="000000"/>
        </w:rPr>
      </w:pPr>
      <w:bookmarkStart w:id="135" w:name="_Toc111208526"/>
      <w:bookmarkStart w:id="136" w:name="_Toc113981039"/>
      <w:r>
        <w:rPr>
          <w:rFonts w:hint="eastAsia" w:ascii="黑体" w:eastAsia="黑体" w:cs="Times New Roman"/>
          <w:bCs w:val="0"/>
          <w:color w:val="000000"/>
        </w:rPr>
        <w:t>十四、国有资本经营预算财政拨款支出决算表</w:t>
      </w:r>
      <w:bookmarkEnd w:id="135"/>
      <w:bookmarkEnd w:id="13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chineseCounting"/>
      <w:suff w:val="nothing"/>
      <w:lvlText w:val="（%1）"/>
      <w:lvlJc w:val="left"/>
    </w:lvl>
  </w:abstractNum>
  <w:abstractNum w:abstractNumId="1">
    <w:nsid w:val="CF092B84"/>
    <w:multiLevelType w:val="singleLevel"/>
    <w:tmpl w:val="CF092B84"/>
    <w:lvl w:ilvl="0" w:tentative="0">
      <w:start w:val="3"/>
      <w:numFmt w:val="chineseCounting"/>
      <w:suff w:val="nothing"/>
      <w:lvlText w:val="（%1）"/>
      <w:lvlJc w:val="left"/>
      <w:rPr>
        <w:rFonts w:hint="eastAsia"/>
      </w:rPr>
    </w:lvl>
  </w:abstractNum>
  <w:abstractNum w:abstractNumId="2">
    <w:nsid w:val="0053208E"/>
    <w:multiLevelType w:val="singleLevel"/>
    <w:tmpl w:val="0053208E"/>
    <w:lvl w:ilvl="0" w:tentative="0">
      <w:start w:val="2"/>
      <w:numFmt w:val="chineseCounting"/>
      <w:suff w:val="nothing"/>
      <w:lvlText w:val="（%1）"/>
      <w:lvlJc w:val="left"/>
      <w:rPr>
        <w:rFonts w:hint="eastAsia"/>
        <w:b/>
        <w:bCs/>
      </w:rPr>
    </w:lvl>
  </w:abstractNum>
  <w:abstractNum w:abstractNumId="3">
    <w:nsid w:val="0B715968"/>
    <w:multiLevelType w:val="singleLevel"/>
    <w:tmpl w:val="0B715968"/>
    <w:lvl w:ilvl="0" w:tentative="0">
      <w:start w:val="2"/>
      <w:numFmt w:val="chineseCounting"/>
      <w:suff w:val="nothing"/>
      <w:lvlText w:val="（%1）"/>
      <w:lvlJc w:val="left"/>
      <w:rPr>
        <w:rFonts w:hint="eastAsia"/>
      </w:rPr>
    </w:lvl>
  </w:abstractNum>
  <w:abstractNum w:abstractNumId="4">
    <w:nsid w:val="59ADCABA"/>
    <w:multiLevelType w:val="singleLevel"/>
    <w:tmpl w:val="59ADCABA"/>
    <w:lvl w:ilvl="0" w:tentative="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Q1ZDRmYmY2MTk1MDlhODgzMGYzYTcwMDUwOTg2YTY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072F7E"/>
    <w:rsid w:val="089C4B49"/>
    <w:rsid w:val="09081517"/>
    <w:rsid w:val="091B747D"/>
    <w:rsid w:val="0A19737C"/>
    <w:rsid w:val="0AFC6E22"/>
    <w:rsid w:val="0B445E0F"/>
    <w:rsid w:val="0B7218AA"/>
    <w:rsid w:val="0B99373B"/>
    <w:rsid w:val="0BA37CB5"/>
    <w:rsid w:val="0CF83115"/>
    <w:rsid w:val="0D0429D6"/>
    <w:rsid w:val="0D093B48"/>
    <w:rsid w:val="0D322E51"/>
    <w:rsid w:val="0D6C338E"/>
    <w:rsid w:val="0DB37F58"/>
    <w:rsid w:val="0E993724"/>
    <w:rsid w:val="0F142722"/>
    <w:rsid w:val="0F5E6610"/>
    <w:rsid w:val="10C055FF"/>
    <w:rsid w:val="11D56DF6"/>
    <w:rsid w:val="11ED6591"/>
    <w:rsid w:val="12F64B58"/>
    <w:rsid w:val="13367661"/>
    <w:rsid w:val="16BB723D"/>
    <w:rsid w:val="17BC7656"/>
    <w:rsid w:val="17EA348C"/>
    <w:rsid w:val="1840212F"/>
    <w:rsid w:val="19943114"/>
    <w:rsid w:val="1AB026BC"/>
    <w:rsid w:val="1ABB32B6"/>
    <w:rsid w:val="1BF70747"/>
    <w:rsid w:val="1C0370FF"/>
    <w:rsid w:val="1C06153F"/>
    <w:rsid w:val="1C986C96"/>
    <w:rsid w:val="1D1A76AB"/>
    <w:rsid w:val="1D7371C3"/>
    <w:rsid w:val="1DDC2BB3"/>
    <w:rsid w:val="1E20059B"/>
    <w:rsid w:val="1E34479D"/>
    <w:rsid w:val="1E6A3B55"/>
    <w:rsid w:val="1EF81F78"/>
    <w:rsid w:val="1F620905"/>
    <w:rsid w:val="1F887529"/>
    <w:rsid w:val="1F8977CC"/>
    <w:rsid w:val="1F923A37"/>
    <w:rsid w:val="201A6AB0"/>
    <w:rsid w:val="203B66A0"/>
    <w:rsid w:val="211A679A"/>
    <w:rsid w:val="21763F0B"/>
    <w:rsid w:val="232E3EB1"/>
    <w:rsid w:val="238C6E29"/>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4445E1"/>
    <w:rsid w:val="28513369"/>
    <w:rsid w:val="28BF6D42"/>
    <w:rsid w:val="298955F8"/>
    <w:rsid w:val="29C77855"/>
    <w:rsid w:val="29FD04D3"/>
    <w:rsid w:val="2CAE1BBE"/>
    <w:rsid w:val="2CCF04B2"/>
    <w:rsid w:val="2E4C04E0"/>
    <w:rsid w:val="2F57478F"/>
    <w:rsid w:val="2F803D16"/>
    <w:rsid w:val="30C306B7"/>
    <w:rsid w:val="316F4012"/>
    <w:rsid w:val="31810DA9"/>
    <w:rsid w:val="31903F88"/>
    <w:rsid w:val="319F7F4E"/>
    <w:rsid w:val="329448A6"/>
    <w:rsid w:val="32F45598"/>
    <w:rsid w:val="35244754"/>
    <w:rsid w:val="364D41F6"/>
    <w:rsid w:val="36FD0156"/>
    <w:rsid w:val="38F8371D"/>
    <w:rsid w:val="39226F5F"/>
    <w:rsid w:val="39866872"/>
    <w:rsid w:val="39902098"/>
    <w:rsid w:val="39902D77"/>
    <w:rsid w:val="3A3A0F35"/>
    <w:rsid w:val="3A4E1148"/>
    <w:rsid w:val="3C8D2F9D"/>
    <w:rsid w:val="3CE0510E"/>
    <w:rsid w:val="3D1E4B3E"/>
    <w:rsid w:val="3DD75F9A"/>
    <w:rsid w:val="3E03620E"/>
    <w:rsid w:val="3E343C22"/>
    <w:rsid w:val="3F216F54"/>
    <w:rsid w:val="3F512FA9"/>
    <w:rsid w:val="3FAC4683"/>
    <w:rsid w:val="3FEA5DFB"/>
    <w:rsid w:val="401C35B7"/>
    <w:rsid w:val="4119235A"/>
    <w:rsid w:val="41677310"/>
    <w:rsid w:val="422C2C46"/>
    <w:rsid w:val="4251506E"/>
    <w:rsid w:val="43684120"/>
    <w:rsid w:val="444F07DA"/>
    <w:rsid w:val="44601E28"/>
    <w:rsid w:val="447D50E6"/>
    <w:rsid w:val="45957B37"/>
    <w:rsid w:val="46FD57C4"/>
    <w:rsid w:val="475E72DC"/>
    <w:rsid w:val="47F514AF"/>
    <w:rsid w:val="4839282C"/>
    <w:rsid w:val="48FD75BD"/>
    <w:rsid w:val="4A745623"/>
    <w:rsid w:val="4D135D42"/>
    <w:rsid w:val="4D846266"/>
    <w:rsid w:val="4D8D78A2"/>
    <w:rsid w:val="4DF123A8"/>
    <w:rsid w:val="4E832A53"/>
    <w:rsid w:val="4EF45E81"/>
    <w:rsid w:val="4F6F7A34"/>
    <w:rsid w:val="4FD74194"/>
    <w:rsid w:val="4FDA49F5"/>
    <w:rsid w:val="50AE413E"/>
    <w:rsid w:val="51E1640E"/>
    <w:rsid w:val="51EE42CA"/>
    <w:rsid w:val="52302EF2"/>
    <w:rsid w:val="52745EF2"/>
    <w:rsid w:val="52ED6284"/>
    <w:rsid w:val="5322283B"/>
    <w:rsid w:val="532B0C13"/>
    <w:rsid w:val="53BE2B80"/>
    <w:rsid w:val="541505F1"/>
    <w:rsid w:val="54992FD0"/>
    <w:rsid w:val="55872E29"/>
    <w:rsid w:val="56D0674C"/>
    <w:rsid w:val="574A45CE"/>
    <w:rsid w:val="579730CB"/>
    <w:rsid w:val="58BA52C3"/>
    <w:rsid w:val="59E11CD3"/>
    <w:rsid w:val="5BE202EA"/>
    <w:rsid w:val="5CFA7F1D"/>
    <w:rsid w:val="5D172CE4"/>
    <w:rsid w:val="5D8B1942"/>
    <w:rsid w:val="5E2506F8"/>
    <w:rsid w:val="5EA316D6"/>
    <w:rsid w:val="5F3A07D2"/>
    <w:rsid w:val="5F526256"/>
    <w:rsid w:val="5F593A88"/>
    <w:rsid w:val="5FB648F6"/>
    <w:rsid w:val="60651EAC"/>
    <w:rsid w:val="60BB3927"/>
    <w:rsid w:val="62A42EE2"/>
    <w:rsid w:val="630D013F"/>
    <w:rsid w:val="63347FC4"/>
    <w:rsid w:val="634265E1"/>
    <w:rsid w:val="63604CB9"/>
    <w:rsid w:val="64A36D0B"/>
    <w:rsid w:val="64C179D9"/>
    <w:rsid w:val="64C656C1"/>
    <w:rsid w:val="653D1936"/>
    <w:rsid w:val="659D03C7"/>
    <w:rsid w:val="65DF63C9"/>
    <w:rsid w:val="662A7F2C"/>
    <w:rsid w:val="67997E71"/>
    <w:rsid w:val="68DA2DB6"/>
    <w:rsid w:val="69725134"/>
    <w:rsid w:val="6B4666B6"/>
    <w:rsid w:val="6BCD3C9B"/>
    <w:rsid w:val="6CC85DA9"/>
    <w:rsid w:val="6D8F2D6B"/>
    <w:rsid w:val="6DC31436"/>
    <w:rsid w:val="6ECB49CF"/>
    <w:rsid w:val="6ECB5A2B"/>
    <w:rsid w:val="70202A42"/>
    <w:rsid w:val="72227D09"/>
    <w:rsid w:val="72E476B5"/>
    <w:rsid w:val="73BE3A62"/>
    <w:rsid w:val="746C7E4B"/>
    <w:rsid w:val="74D96C14"/>
    <w:rsid w:val="750E6C6B"/>
    <w:rsid w:val="755E374E"/>
    <w:rsid w:val="75A97924"/>
    <w:rsid w:val="75E3587B"/>
    <w:rsid w:val="76377F56"/>
    <w:rsid w:val="764B35A7"/>
    <w:rsid w:val="78A4106B"/>
    <w:rsid w:val="79975481"/>
    <w:rsid w:val="7A1B4027"/>
    <w:rsid w:val="7A965738"/>
    <w:rsid w:val="7ABC1C9C"/>
    <w:rsid w:val="7B022DCE"/>
    <w:rsid w:val="7B272834"/>
    <w:rsid w:val="7B8F71DF"/>
    <w:rsid w:val="7CB2612E"/>
    <w:rsid w:val="7CC25607"/>
    <w:rsid w:val="7DE859ED"/>
    <w:rsid w:val="7E4C610E"/>
    <w:rsid w:val="7E5576B9"/>
    <w:rsid w:val="7F86552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f1583138"/>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4"/>
    <w:semiHidden/>
    <w:qFormat/>
    <w:uiPriority w:val="0"/>
  </w:style>
  <w:style w:type="table" w:customStyle="1" w:styleId="35">
    <w:name w:val="Normal Tablee3526864"/>
    <w:semiHidden/>
    <w:qFormat/>
    <w:uiPriority w:val="0"/>
    <w:tblPr>
      <w:tblCellMar>
        <w:top w:w="0" w:type="dxa"/>
        <w:left w:w="108" w:type="dxa"/>
        <w:bottom w:w="0" w:type="dxa"/>
        <w:right w:w="108" w:type="dxa"/>
      </w:tblCellMar>
    </w:tblPr>
  </w:style>
  <w:style w:type="paragraph" w:customStyle="1" w:styleId="36">
    <w:name w:val="Salutation06bf72bb"/>
    <w:basedOn w:val="33"/>
    <w:next w:val="3"/>
    <w:unhideWhenUsed/>
    <w:qFormat/>
    <w:uiPriority w:val="99"/>
  </w:style>
  <w:style w:type="paragraph" w:customStyle="1" w:styleId="37">
    <w:name w:val="Normalabbab5df"/>
    <w:next w:val="4"/>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8">
    <w:name w:val="Default Paragraph Font5dd4c37b"/>
    <w:semiHidden/>
    <w:qFormat/>
    <w:uiPriority w:val="0"/>
  </w:style>
  <w:style w:type="table" w:customStyle="1" w:styleId="39">
    <w:name w:val="Normal Table172aeafe"/>
    <w:semiHidden/>
    <w:qFormat/>
    <w:uiPriority w:val="0"/>
    <w:tblPr>
      <w:tblCellMar>
        <w:top w:w="0" w:type="dxa"/>
        <w:left w:w="108" w:type="dxa"/>
        <w:bottom w:w="0" w:type="dxa"/>
        <w:right w:w="108" w:type="dxa"/>
      </w:tblCellMar>
    </w:tblPr>
  </w:style>
  <w:style w:type="paragraph" w:customStyle="1" w:styleId="40">
    <w:name w:val="Salutation1e007a2f"/>
    <w:basedOn w:val="37"/>
    <w:next w:val="3"/>
    <w:unhideWhenUsed/>
    <w:qFormat/>
    <w:uiPriority w:val="99"/>
  </w:style>
  <w:style w:type="paragraph" w:customStyle="1" w:styleId="41">
    <w:name w:val="四号正文5"/>
    <w:basedOn w:val="37"/>
    <w:qFormat/>
    <w:uiPriority w:val="0"/>
    <w:pPr>
      <w:spacing w:line="360" w:lineRule="auto"/>
    </w:pPr>
    <w:rPr>
      <w:rFonts w:ascii="??" w:hAnsi="??" w:eastAsia="宋体"/>
      <w:color w:val="000000"/>
      <w:kern w:val="0"/>
      <w:sz w:val="28"/>
      <w:szCs w:val="21"/>
      <w:lang w:val="zh-CN"/>
    </w:rPr>
  </w:style>
  <w:style w:type="paragraph" w:customStyle="1" w:styleId="42">
    <w:name w:val="Normal7dfacf90"/>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43">
    <w:name w:val="Normal Tablebd2f115f"/>
    <w:semiHidden/>
    <w:qFormat/>
    <w:uiPriority w:val="0"/>
    <w:tblPr>
      <w:tblCellMar>
        <w:top w:w="0" w:type="dxa"/>
        <w:left w:w="108" w:type="dxa"/>
        <w:bottom w:w="0" w:type="dxa"/>
        <w:right w:w="108" w:type="dxa"/>
      </w:tblCellMar>
    </w:tblPr>
  </w:style>
  <w:style w:type="paragraph" w:customStyle="1" w:styleId="44">
    <w:name w:val="Normal39fdbaa5"/>
    <w:next w:val="4"/>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45">
    <w:name w:val="Salutation5e5acfcb"/>
    <w:basedOn w:val="44"/>
    <w:next w:val="3"/>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{13005.65,13716.58}</c:f>
              <c:numCache>
                <c:formatCode>General</c:formatCode>
                <c:ptCount val="2"/>
                <c:pt idx="0">
                  <c:v>13005.65</c:v>
                </c:pt>
                <c:pt idx="1">
                  <c:v>13716.58</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{13005.65,13716.58}</c:f>
              <c:numCache>
                <c:formatCode>General</c:formatCode>
                <c:ptCount val="2"/>
                <c:pt idx="0">
                  <c:v>13005.65</c:v>
                </c:pt>
                <c:pt idx="1">
                  <c:v>13716.58</c:v>
                </c:pt>
              </c:numCache>
            </c:numRef>
          </c:val>
        </c:ser>
        <c:dLbls>
          <c:showLegendKey val="false"/>
          <c:showVal val="true"/>
          <c:showCatName val="false"/>
          <c:showSerName val="false"/>
          <c:showPercent val="false"/>
          <c:showBubbleSize val="false"/>
        </c:dLbls>
        <c:gapWidth val="41"/>
        <c:axId val="261387392"/>
        <c:axId val="261388928"/>
      </c:barChart>
      <c:catAx>
        <c:axId val="261387392"/>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true"/>
        <c:lblAlgn val="ctr"/>
        <c:lblOffset val="100"/>
        <c:noMultiLvlLbl val="false"/>
      </c:catAx>
      <c:valAx>
        <c:axId val="261388928"/>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{106102585.27,6782114.71,0,0,0,0,0,0}</c:f>
              <c:numCache>
                <c:formatCode>General</c:formatCode>
                <c:ptCount val="8"/>
                <c:pt idx="0">
                  <c:v>106102585.27</c:v>
                </c:pt>
                <c:pt idx="1">
                  <c:v>6782114.71</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{4891667.11,132274167.38,0,0,0}</c:f>
              <c:numCache>
                <c:formatCode>General</c:formatCode>
                <c:ptCount val="5"/>
                <c:pt idx="0">
                  <c:v>4891667.11</c:v>
                </c:pt>
                <c:pt idx="1">
                  <c:v>132274167.38</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{13005.65,13716.58}</c:f>
              <c:numCache>
                <c:formatCode>General</c:formatCode>
                <c:ptCount val="2"/>
                <c:pt idx="0">
                  <c:v>13005.65</c:v>
                </c:pt>
                <c:pt idx="1">
                  <c:v>13716.58</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{13005.65,13716.58}</c:f>
              <c:numCache>
                <c:formatCode>General</c:formatCode>
                <c:ptCount val="2"/>
                <c:pt idx="0">
                  <c:v>13005.65</c:v>
                </c:pt>
                <c:pt idx="1">
                  <c:v>13716.58</c:v>
                </c:pt>
              </c:numCache>
            </c:numRef>
          </c:val>
        </c:ser>
        <c:dLbls>
          <c:showLegendKey val="false"/>
          <c:showVal val="true"/>
          <c:showCatName val="false"/>
          <c:showSerName val="false"/>
          <c:showPercent val="false"/>
          <c:showBubbleSize val="false"/>
        </c:dLbls>
        <c:gapWidth val="100"/>
        <c:overlap val="-24"/>
        <c:axId val="263359104"/>
        <c:axId val="263373184"/>
      </c:barChart>
      <c:catAx>
        <c:axId val="26335910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73184"/>
        <c:crosses val="autoZero"/>
        <c:auto val="true"/>
        <c:lblAlgn val="ctr"/>
        <c:lblOffset val="100"/>
        <c:noMultiLvlLbl val="false"/>
      </c:catAx>
      <c:valAx>
        <c:axId val="263373184"/>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{9722.94}</c:f>
              <c:numCache>
                <c:formatCode>General</c:formatCode>
                <c:ptCount val="1"/>
                <c:pt idx="0">
                  <c:v>9722.94</c:v>
                </c:pt>
              </c:numCache>
            </c:numRef>
          </c:val>
        </c:ser>
        <c:ser>
          <c:idx val="2"/>
          <c:order val="1"/>
          <c:tx>
            <c:strRef>
              <c:f>2021</c:f>
              <c:strCache>
                <c:ptCount val="1"/>
                <c:pt idx="0">
                  <c:v>2021</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{13038.37}</c:f>
              <c:numCache>
                <c:formatCode>General</c:formatCode>
                <c:ptCount val="1"/>
                <c:pt idx="0">
                  <c:v>13038.37</c:v>
                </c:pt>
              </c:numCache>
            </c:numRef>
          </c:val>
        </c:ser>
        <c:dLbls>
          <c:showLegendKey val="false"/>
          <c:showVal val="true"/>
          <c:showCatName val="false"/>
          <c:showSerName val="false"/>
          <c:showPercent val="false"/>
          <c:showBubbleSize val="false"/>
        </c:dLbls>
        <c:gapWidth val="100"/>
        <c:overlap val="-24"/>
        <c:axId val="263440640"/>
        <c:axId val="263135232"/>
      </c:barChart>
      <c:catAx>
        <c:axId val="263440640"/>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3135232"/>
        <c:crosses val="autoZero"/>
        <c:auto val="true"/>
        <c:lblAlgn val="ctr"/>
        <c:lblOffset val="100"/>
        <c:noMultiLvlLbl val="false"/>
      </c:catAx>
      <c:valAx>
        <c:axId val="263135232"/>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{"社会保障和就业支出","卫生健康支出","节能环保支出","农林水支出","交通运输支出","住房保障支出","灾害防治及应急管理支出","其他支出"}</c:f>
              <c:strCache>
                <c:ptCount val="8"/>
                <c:pt idx="0">
                  <c:v>社会保障和就业支出</c:v>
                </c:pt>
                <c:pt idx="1">
                  <c:v>卫生健康支出</c:v>
                </c:pt>
                <c:pt idx="2">
                  <c:v>节能环保支出</c:v>
                </c:pt>
                <c:pt idx="3">
                  <c:v>农林水支出</c:v>
                </c:pt>
                <c:pt idx="4">
                  <c:v>交通运输支出</c:v>
                </c:pt>
                <c:pt idx="5">
                  <c:v>住房保障支出</c:v>
                </c:pt>
                <c:pt idx="6">
                  <c:v>灾害防治及应急管理支出</c:v>
                </c:pt>
                <c:pt idx="7">
                  <c:v>其他支出</c:v>
                </c:pt>
              </c:strCache>
            </c:strRef>
          </c:cat>
          <c:val>
            <c:numRef>
              <c:f>{29.85,31.25,4873.1,7338.29,193.86,26.61,236.21,309.2}</c:f>
              <c:numCache>
                <c:formatCode>General</c:formatCode>
                <c:ptCount val="8"/>
                <c:pt idx="0">
                  <c:v>29.85</c:v>
                </c:pt>
                <c:pt idx="1">
                  <c:v>31.25</c:v>
                </c:pt>
                <c:pt idx="2">
                  <c:v>4873.1</c:v>
                </c:pt>
                <c:pt idx="3">
                  <c:v>7338.29</c:v>
                </c:pt>
                <c:pt idx="4">
                  <c:v>193.86</c:v>
                </c:pt>
                <c:pt idx="5">
                  <c:v>26.61</c:v>
                </c:pt>
                <c:pt idx="6">
                  <c:v>236.21</c:v>
                </c:pt>
                <c:pt idx="7">
                  <c:v>309.2</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{0,4.25,0.27}</c:f>
              <c:numCache>
                <c:formatCode>General</c:formatCode>
                <c:ptCount val="3"/>
                <c:pt idx="0">
                  <c:v>0</c:v>
                </c:pt>
                <c:pt idx="1">
                  <c:v>4.25</c:v>
                </c:pt>
                <c:pt idx="2">
                  <c:v>0.27</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54</Pages>
  <Words>22187</Words>
  <Characters>24971</Characters>
  <Lines>51</Lines>
  <Paragraphs>14</Paragraphs>
  <TotalTime>9</TotalTime>
  <ScaleCrop>false</ScaleCrop>
  <LinksUpToDate>false</LinksUpToDate>
  <CharactersWithSpaces>25145</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军魂不变</cp:lastModifiedBy>
  <cp:lastPrinted>2021-09-26T16:39:00Z</cp:lastPrinted>
  <dcterms:modified xsi:type="dcterms:W3CDTF">2022-09-29T16:49:04Z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B93CA6F4BEAD4F359769D1203595D585</vt:lpwstr>
  </property>
</Properties>
</file>