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475"/>
      <w:bookmarkStart w:id="2" w:name="_Toc15377193"/>
      <w:bookmarkStart w:id="3" w:name="_Toc15377425"/>
      <w:bookmarkStart w:id="4" w:name="_Toc15378441"/>
      <w:bookmarkStart w:id="5" w:name="_Toc15396597"/>
      <w:r>
        <w:rPr>
          <w:rFonts w:hint="eastAsia" w:ascii="方正小标宋简体" w:hAnsi="黑体" w:eastAsia="方正小标宋简体"/>
          <w:color w:val="000000"/>
          <w:sz w:val="52"/>
          <w:szCs w:val="52"/>
        </w:rPr>
        <w:t>2022</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78442"/>
      <w:bookmarkStart w:id="7" w:name="_Toc15396598"/>
      <w:bookmarkStart w:id="8" w:name="_Toc15377426"/>
      <w:bookmarkStart w:id="9" w:name="_Toc15377194"/>
      <w:bookmarkStart w:id="10" w:name="_Toc15396476"/>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茂县医疗保障局</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公开时间：2023年9月1日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2</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2</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18</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21</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21</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2</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21</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25</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“医疗服务与保障能力提升补助资金”</w:t>
      </w:r>
      <w:r>
        <w:rPr>
          <w:rFonts w:ascii="仿宋" w:hAnsi="仿宋" w:eastAsia="仿宋"/>
          <w:smallCaps/>
          <w:sz w:val="22"/>
          <w:szCs w:val="22"/>
        </w:rPr>
        <w:t>项目202</w:t>
      </w:r>
      <w:r>
        <w:rPr>
          <w:rFonts w:hint="eastAsia" w:ascii="仿宋" w:hAnsi="仿宋" w:eastAsia="仿宋"/>
          <w:smallCaps/>
          <w:sz w:val="22"/>
          <w:szCs w:val="22"/>
        </w:rPr>
        <w:t>2</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25</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w:t>
      </w:r>
      <w:r>
        <w:rPr>
          <w:rFonts w:hint="eastAsia" w:ascii="仿宋" w:hAnsi="仿宋" w:eastAsia="仿宋"/>
          <w:smallCaps/>
          <w:sz w:val="22"/>
          <w:szCs w:val="22"/>
        </w:rPr>
        <w:t>3</w:t>
      </w:r>
      <w:r>
        <w:rPr>
          <w:rFonts w:ascii="仿宋" w:hAnsi="仿宋" w:eastAsia="仿宋"/>
          <w:smallCaps/>
          <w:sz w:val="22"/>
          <w:szCs w:val="22"/>
        </w:rPr>
        <w:tab/>
      </w:r>
      <w:r>
        <w:rPr>
          <w:rFonts w:hint="eastAsia" w:ascii="仿宋" w:hAnsi="仿宋" w:eastAsia="仿宋"/>
          <w:smallCaps/>
          <w:sz w:val="22"/>
          <w:szCs w:val="22"/>
        </w:rPr>
        <w:t>29</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“驻村干部临岗补贴”</w:t>
      </w:r>
      <w:r>
        <w:rPr>
          <w:rFonts w:ascii="仿宋" w:hAnsi="仿宋" w:eastAsia="仿宋"/>
          <w:smallCaps/>
          <w:sz w:val="22"/>
          <w:szCs w:val="22"/>
        </w:rPr>
        <w:t>项目202</w:t>
      </w:r>
      <w:r>
        <w:rPr>
          <w:rFonts w:hint="eastAsia" w:ascii="仿宋" w:hAnsi="仿宋" w:eastAsia="仿宋"/>
          <w:smallCaps/>
          <w:sz w:val="22"/>
          <w:szCs w:val="22"/>
        </w:rPr>
        <w:t>2</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33</w:t>
      </w:r>
    </w:p>
    <w:p>
      <w:pPr>
        <w:tabs>
          <w:tab w:val="right" w:leader="dot" w:pos="8296"/>
        </w:tabs>
        <w:spacing w:line="412" w:lineRule="exact"/>
        <w:ind w:left="210"/>
        <w:jc w:val="left"/>
        <w:rPr>
          <w:rFonts w:ascii="仿宋" w:hAnsi="仿宋" w:eastAsia="仿宋"/>
          <w:smallCaps/>
          <w:sz w:val="22"/>
          <w:szCs w:val="22"/>
        </w:rPr>
      </w:pPr>
    </w:p>
    <w:p>
      <w:pPr>
        <w:tabs>
          <w:tab w:val="right" w:leader="dot" w:pos="8296"/>
        </w:tabs>
        <w:spacing w:line="412" w:lineRule="exact"/>
        <w:jc w:val="left"/>
        <w:rPr>
          <w:rFonts w:ascii="仿宋" w:hAnsi="仿宋" w:eastAsia="仿宋"/>
          <w:smallCaps/>
          <w:sz w:val="22"/>
          <w:szCs w:val="22"/>
        </w:rPr>
      </w:pP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bookmarkStart w:id="12" w:name="_Toc15377196"/>
      <w:bookmarkStart w:id="13" w:name="_Toc15396599"/>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77197"/>
      <w:bookmarkStart w:id="15" w:name="_Toc15396600"/>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8445"/>
      <w:bookmarkStart w:id="17" w:name="_Toc15377198"/>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8446"/>
      <w:bookmarkStart w:id="19" w:name="_Toc15377199"/>
      <w:r>
        <w:rPr>
          <w:rFonts w:hint="eastAsia" w:ascii="楷体_GB2312" w:hAnsi="楷体_GB2312" w:eastAsia="楷体_GB2312" w:cs="楷体_GB2312"/>
          <w:b/>
          <w:sz w:val="32"/>
          <w:szCs w:val="32"/>
        </w:rPr>
        <w:t>（二）2022年重点工作完成情况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2022年，我局在县委县政府的领导下，在州医保的业务指导下认真贯彻执行国家、省有关医疗保险新政策，通过各镇、各医疗机构的大力支持和职工们的共同努力，全面提前并超额完成全年医疗目标任务。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名。其中行政人员8名，参公人员8名，事业人员10名。</w:t>
      </w:r>
    </w:p>
    <w:p>
      <w:pPr>
        <w:widowControl/>
        <w:adjustRightInd w:val="0"/>
        <w:snapToGrid w:val="0"/>
        <w:spacing w:line="576" w:lineRule="exact"/>
        <w:jc w:val="left"/>
        <w:rPr>
          <w:rFonts w:ascii="仿宋_GB2312" w:hAnsi="仿宋_GB2312" w:eastAsia="仿宋_GB2312" w:cs="仿宋_GB2312"/>
          <w:sz w:val="32"/>
          <w:szCs w:val="32"/>
        </w:rPr>
      </w:pPr>
    </w:p>
    <w:p>
      <w:pPr>
        <w:widowControl/>
        <w:adjustRightInd w:val="0"/>
        <w:snapToGrid w:val="0"/>
        <w:spacing w:line="576" w:lineRule="exact"/>
        <w:jc w:val="left"/>
        <w:rPr>
          <w:rFonts w:ascii="仿宋" w:hAnsi="仿宋" w:eastAsia="仿宋"/>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96602"/>
      <w:bookmarkStart w:id="23" w:name="_Toc15377204"/>
      <w:r>
        <w:rPr>
          <w:rStyle w:val="24"/>
          <w:rFonts w:hint="eastAsia" w:ascii="方正小标宋简体" w:hAnsi="方正小标宋简体" w:eastAsia="方正小标宋简体" w:cs="方正小标宋简体"/>
          <w:b w:val="0"/>
          <w:bCs w:val="0"/>
        </w:rPr>
        <w:t>2021年度部门决算情况说明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2022年度收入总计476.82万元（其中：年初结转和结余0万元），支出总计476.82万元。与2021年相比，收入总计增加38.63万元，增加8.82%；支出总计增加38.63万元，增加8.82%。主要变动原因是1.人员变动调整；2.</w:t>
      </w:r>
      <w:r>
        <w:rPr>
          <w:rFonts w:hint="eastAsia" w:ascii="仿宋_GB2312" w:hAnsi="仿宋" w:eastAsia="仿宋_GB2312" w:cs="仿宋"/>
          <w:sz w:val="32"/>
          <w:szCs w:val="32"/>
        </w:rPr>
        <w:t>五险一金增减变动；3.工资变动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本年收入合计476.82万元，其中：一般公共预算财政拨款收入476.82万元，占100%（其中：2022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2022年本年支出合计476.82万元，其中：基本支出460.74万元，占96.63%；项目支出16.08万元，占3.37%；上缴上级支出0万元，经营支出0万元，对附属单位补助支出0万元。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77208"/>
      <w:bookmarkStart w:id="31" w:name="_Toc15396606"/>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2022年度收入总计476.82万元（其中：年初结转和结余0万元），支出总计476.82万元。与2021年相比，收入总计增加38.63万元，增加8.82%；支出总计增加38.63万元，增加8.82%。主要变动原因是1.人员变动调整；2.</w:t>
      </w:r>
      <w:r>
        <w:rPr>
          <w:rFonts w:hint="eastAsia" w:ascii="仿宋_GB2312" w:hAnsi="仿宋" w:eastAsia="仿宋_GB2312" w:cs="仿宋"/>
          <w:sz w:val="32"/>
          <w:szCs w:val="32"/>
        </w:rPr>
        <w:t>五险一金增减变动；3.工资变动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77209"/>
      <w:bookmarkStart w:id="33" w:name="_Toc15396607"/>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2022年一般公共预算财政拨款支出476.82万元，占本年支出合计的100%。与2021年相比，一般公共预算财政拨款增加38.63万元，增加8.82%。主要变动原因是1.人员变动调整；2.</w:t>
      </w:r>
      <w:r>
        <w:rPr>
          <w:rFonts w:hint="eastAsia" w:ascii="仿宋_GB2312" w:hAnsi="仿宋" w:eastAsia="仿宋_GB2312" w:cs="仿宋"/>
          <w:sz w:val="32"/>
          <w:szCs w:val="32"/>
        </w:rPr>
        <w:t>五险一金增减变动；3.工资变动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2022年一般公共预算财</w:t>
      </w:r>
      <w:r>
        <w:rPr>
          <w:rFonts w:hint="eastAsia" w:ascii="仿宋_GB2312" w:hAnsi="仿宋_GB2312" w:eastAsia="仿宋_GB2312" w:cs="仿宋_GB2312"/>
          <w:color w:val="000000" w:themeColor="text1"/>
          <w:sz w:val="32"/>
          <w:szCs w:val="32"/>
        </w:rPr>
        <w:t>政拨款支出476.82万元，主要用于以下方面:社会保障和就业（类）支出53.85万元，占11.29%；健康卫生支出（类）388.32万元，占81.44%；农林水（类）支出1.08万元，占0.23%；住房保障（类）支出33.57万元，占7.04%。</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bCs/>
          <w:color w:val="000000" w:themeColor="text1"/>
          <w:sz w:val="32"/>
          <w:szCs w:val="32"/>
        </w:rPr>
        <w:t>2022年一般公共预算支出决算数为476.82万元，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支出决算为35.9万元，完成预算100%。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支出决算为17.95万元，完成预算100%。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3.卫生健康支出（类）行政事业单位医疗（款）行政单位医疗（项）:</w:t>
      </w:r>
      <w:r>
        <w:rPr>
          <w:rStyle w:val="14"/>
          <w:rFonts w:hint="eastAsia" w:ascii="仿宋_GB2312" w:hAnsi="仿宋_GB2312" w:eastAsia="仿宋_GB2312" w:cs="仿宋_GB2312"/>
          <w:b w:val="0"/>
          <w:bCs/>
          <w:color w:val="000000"/>
          <w:sz w:val="32"/>
          <w:szCs w:val="32"/>
        </w:rPr>
        <w:t>支出决算为14.67万元，完成预算100%。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4.卫生健康支出（类）行政事业单位医疗（款）事业单位医疗（项）:</w:t>
      </w:r>
      <w:r>
        <w:rPr>
          <w:rStyle w:val="14"/>
          <w:rFonts w:hint="eastAsia" w:ascii="仿宋_GB2312" w:hAnsi="仿宋_GB2312" w:eastAsia="仿宋_GB2312" w:cs="仿宋_GB2312"/>
          <w:b w:val="0"/>
          <w:bCs/>
          <w:color w:val="000000"/>
          <w:sz w:val="32"/>
          <w:szCs w:val="32"/>
        </w:rPr>
        <w:t>支出决算为8.67万元，完成预算100%。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5.卫生健康支出（类）医疗保障管理事务（款）行政运行（项）:</w:t>
      </w:r>
      <w:r>
        <w:rPr>
          <w:rStyle w:val="14"/>
          <w:rFonts w:hint="eastAsia" w:ascii="仿宋_GB2312" w:hAnsi="仿宋_GB2312" w:eastAsia="仿宋_GB2312" w:cs="仿宋_GB2312"/>
          <w:b w:val="0"/>
          <w:bCs/>
          <w:color w:val="000000"/>
          <w:sz w:val="32"/>
          <w:szCs w:val="32"/>
        </w:rPr>
        <w:t>支出决算为214.79万元，完成预算100%。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6.卫生健康支出（类）医疗保障管理事务（款）事业运行（项）:</w:t>
      </w:r>
      <w:r>
        <w:rPr>
          <w:rStyle w:val="14"/>
          <w:rFonts w:hint="eastAsia" w:ascii="仿宋_GB2312" w:hAnsi="仿宋_GB2312" w:eastAsia="仿宋_GB2312" w:cs="仿宋_GB2312"/>
          <w:b w:val="0"/>
          <w:bCs/>
          <w:color w:val="000000"/>
          <w:sz w:val="32"/>
          <w:szCs w:val="32"/>
        </w:rPr>
        <w:t>支出决算为135.19万元，完成预算100%。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7.卫生健康支出（类）医疗保障管理事务（款）其他医疗保障管理事务支出（项）:</w:t>
      </w:r>
      <w:r>
        <w:rPr>
          <w:rStyle w:val="14"/>
          <w:rFonts w:hint="eastAsia" w:ascii="仿宋_GB2312" w:hAnsi="仿宋_GB2312" w:eastAsia="仿宋_GB2312" w:cs="仿宋_GB2312"/>
          <w:b w:val="0"/>
          <w:bCs/>
          <w:color w:val="000000"/>
          <w:sz w:val="32"/>
          <w:szCs w:val="32"/>
        </w:rPr>
        <w:t>支出决算为15万元，完成预算100%。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8.农林水支出（类）扶贫（款）其他扶贫支出（项）:</w:t>
      </w:r>
      <w:r>
        <w:rPr>
          <w:rStyle w:val="14"/>
          <w:rFonts w:hint="eastAsia" w:ascii="仿宋_GB2312" w:hAnsi="仿宋_GB2312" w:eastAsia="仿宋_GB2312" w:cs="仿宋_GB2312"/>
          <w:b w:val="0"/>
          <w:bCs/>
          <w:color w:val="000000"/>
          <w:sz w:val="32"/>
          <w:szCs w:val="32"/>
        </w:rPr>
        <w:t>支出决算为1.08万元，完成预算100%。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9.住房保障（类）住房改革支出（款）住房公积金（项）:</w:t>
      </w:r>
      <w:r>
        <w:rPr>
          <w:rStyle w:val="14"/>
          <w:rFonts w:hint="eastAsia" w:ascii="仿宋_GB2312" w:hAnsi="仿宋_GB2312" w:eastAsia="仿宋_GB2312" w:cs="仿宋_GB2312"/>
          <w:b w:val="0"/>
          <w:bCs/>
          <w:color w:val="000000"/>
          <w:sz w:val="32"/>
          <w:szCs w:val="32"/>
        </w:rPr>
        <w:t>支出决算为33.57万元，完成预算100%。</w:t>
      </w:r>
    </w:p>
    <w:p>
      <w:pPr>
        <w:pStyle w:val="3"/>
        <w:adjustRightInd w:val="0"/>
        <w:snapToGrid w:val="0"/>
        <w:spacing w:line="576" w:lineRule="exact"/>
        <w:ind w:firstLine="640" w:firstLineChars="200"/>
        <w:rPr>
          <w:rStyle w:val="25"/>
          <w:b w:val="0"/>
          <w:bCs w:val="0"/>
        </w:rPr>
      </w:pPr>
      <w:bookmarkStart w:id="40" w:name="_Toc15377214"/>
      <w:bookmarkStart w:id="41" w:name="_Toc15396608"/>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2022年一般公共预算财政拨款基本支出460.74万元，其中：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人员经费428.95万元，主要包括：基本工资、津贴补贴、奖金、机关事业单位基本养老保险缴费、职业年金缴费、其他社会保障缴费、医疗费、奖励金、住房公积金等。</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公用经费31.79万元，主要包括：办公费、邮电费、差旅费、培训费、公务接待费、工会经费、其他交通费等。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77215"/>
      <w:bookmarkStart w:id="43" w:name="_Toc15396609"/>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2022年“三公”经费财政拨款支出决算为4.41万元，完成预算100%。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2022年“三公”经费财政拨款支出决算中，因公出国（境）费支出决算0万元，公务用车购置及运行维护费支出决算2.45万元，公务接待费支出决算0.26万元，占100%。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2.19元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公务用车运行维护费支出2.19万元。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0.26万元，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公务接待费支出决算比2021年减少0.02万元，减少7.14%。主要原因是由于接待人次、接待批次减少，导致单位年底“三公”经费减少。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10批次，38人次（不包括陪同人员），共计支出0.26万元，具体内容包括接待州级单位检查、各地方交叉检查共计支付0.26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其他国内公务接待支出0.26万元，主要用于</w:t>
      </w:r>
      <w:bookmarkStart w:id="46" w:name="_Toc15377218"/>
      <w:bookmarkStart w:id="47" w:name="_Toc15396610"/>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22年，茂县医疗保障局机关运行经费支出31.79万元,较2021年增加19.42万元。主要由于人员变动，支出增加。</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截至2022年12月31日，茂县医疗保障局共有车辆0辆。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根据预算绩效管理要求，本部门（单位）在年初预算编制阶段，组织对“医疗服务与保障能力提升补助资金”、“驻村干部临岗补贴”等2个项目开展了预算事前绩效评估，编制了绩效目标，预算执行过程中，</w:t>
      </w:r>
      <w:r>
        <w:rPr>
          <w:rFonts w:hint="eastAsia" w:ascii="仿宋_GB2312" w:hAnsi="仿宋_GB2312" w:eastAsia="仿宋_GB2312" w:cs="仿宋_GB2312"/>
          <w:sz w:val="32"/>
          <w:szCs w:val="32"/>
          <w:lang w:eastAsia="zh-CN"/>
        </w:rPr>
        <w:t>对评估项目</w:t>
      </w:r>
      <w:r>
        <w:rPr>
          <w:rFonts w:hint="eastAsia" w:ascii="仿宋_GB2312" w:hAnsi="仿宋_GB2312" w:eastAsia="仿宋_GB2312" w:cs="仿宋_GB2312"/>
          <w:sz w:val="32"/>
          <w:szCs w:val="32"/>
        </w:rPr>
        <w:t>开展绩效监控，年终执行完毕后，对</w:t>
      </w:r>
      <w:r>
        <w:rPr>
          <w:rFonts w:hint="eastAsia" w:ascii="仿宋_GB2312" w:hAnsi="仿宋_GB2312" w:eastAsia="仿宋_GB2312" w:cs="仿宋_GB2312"/>
          <w:sz w:val="32"/>
          <w:szCs w:val="32"/>
          <w:lang w:eastAsia="zh-CN"/>
        </w:rPr>
        <w:t>绩效评估</w:t>
      </w:r>
      <w:r>
        <w:rPr>
          <w:rFonts w:hint="eastAsia" w:ascii="仿宋_GB2312" w:hAnsi="仿宋_GB2312" w:eastAsia="仿宋_GB2312" w:cs="仿宋_GB2312"/>
          <w:sz w:val="32"/>
          <w:szCs w:val="32"/>
        </w:rPr>
        <w:t>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本部门按要求对2022年部门整体支出开展绩效自评，从评价情况来看2022年部门整体支出有效的保障了单位的正常运行，保障了职工的基本福利待遇，使大家的工作积极性得到了提高。</w:t>
      </w:r>
    </w:p>
    <w:p>
      <w:pPr>
        <w:spacing w:line="600" w:lineRule="exact"/>
        <w:ind w:firstLine="642" w:firstLineChars="200"/>
        <w:outlineLvl w:val="1"/>
        <w:rPr>
          <w:rFonts w:ascii="楷体_GB2312" w:hAnsi="仿宋" w:eastAsia="楷体_GB2312" w:cs="楷体_GB2312"/>
          <w:b/>
          <w:bCs/>
          <w:sz w:val="32"/>
          <w:szCs w:val="32"/>
        </w:rPr>
      </w:pPr>
      <w:r>
        <w:rPr>
          <w:rFonts w:hint="eastAsia" w:ascii="楷体_GB2312" w:hAnsi="仿宋" w:eastAsia="楷体_GB2312" w:cs="楷体_GB2312"/>
          <w:b/>
          <w:bCs/>
          <w:sz w:val="32"/>
          <w:szCs w:val="32"/>
        </w:rPr>
        <w:t>项目绩效目标完成情况</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本部门在2022年度部门决算中反映“医疗服务与保障能力提升补助资金”、“驻村干部临岗补贴”等2个项目绩效目标实际完成情况。</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“医疗服务与保障能力提升补助资金”项目绩效目标完成情况综述。项目全年预算数15万元，执行数为15万元，完成预算的100%。通过项目实施，保障了医保信息系统的正常运行以及医保活动的政策宣传工作。</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“驻村干部临岗补贴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项目绩效目标完成情况综述。项目全年预算数1.08万元，执行数为1.08万元，完成预算的100%。通过项目实施，保障了驻村干部的生活需求，使驻村干部能够更好地完成驻村工作。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医疗服务与保障能力提升补助资金</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保障了医保信息系统的正常运行以及医保活动的政策宣传工作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保障了2022年医保信息系统的正常运行以及医保活动的政策宣传工作</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参保群众政策知晓率</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驻村干部临岗补贴</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保障了驻村干部的生活需求，使驻村干部能够更好地完成驻村工作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保障了驻村干部的2022年的生活需求，使驻村干部能够更好地完成驻村工作</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帮助老百姓解决困难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乡镇老百姓对驻村干部的满意度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本部门按要求对2022年部门整体支出绩效评价情况开展自评，《茂县医疗保障局2022年部门整体支出绩效评价报告》见附件。</w:t>
      </w: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hAnsi="仿宋_GB2312" w:eastAsia="仿宋_GB2312" w:cs="仿宋_GB2312"/>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96613"/>
      <w:bookmarkStart w:id="54" w:name="_Toc15377225"/>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名，在编在职人员26名。其中行政人员8名，参公人员8名，事业人员10名。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2022年本年收入合计476.82万元，其中：一般公共预算财政拨款收入476.82万元，占100%；年初结转结余收入0万元，占0%。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2022年本年支出合计476.82万元，其中：基本支出460.74万元，占96.63%；项目支出16.08万元，占3.37%。</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我单位在编制2022年预算时严格按照《行政事业单位会计制度》</w:t>
      </w:r>
      <w:bookmarkStart w:id="69" w:name="_GoBack"/>
      <w:bookmarkEnd w:id="69"/>
      <w:r>
        <w:rPr>
          <w:rFonts w:hint="eastAsia" w:ascii="仿宋_GB2312" w:hAnsi="仿宋_GB2312" w:eastAsia="仿宋_GB2312" w:cs="仿宋_GB2312"/>
          <w:sz w:val="32"/>
          <w:szCs w:val="32"/>
        </w:rPr>
        <w:t>《中华人民共和国预算法》等相关法律法规及县级财政部门要求，并结合自身工作实际制定了部门整体支出绩效总体目标及绩效指标，据实向财政部门报送《部门整体支出绩效目标申报表》。经自评，单位2022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2022年一般公共预算财政拨款支出预算执行数476.82万元，占支出总额的100%，预算完成情况达到100%。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在2022年决算公开中，专项预算管理内容我单位不涉及。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2022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2022较好的完成了年度工作目标。通过加强预算收支管理，不断建立健全内部管理制度，梳理内部管理流程，部门整体支出管理水平得到提升。</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收支较去年有所增加，主要变动原因是1.人员变动调整；2.</w:t>
      </w:r>
      <w:r>
        <w:rPr>
          <w:rFonts w:hint="eastAsia" w:ascii="仿宋_GB2312" w:hAnsi="仿宋" w:eastAsia="仿宋_GB2312" w:cs="仿宋"/>
          <w:sz w:val="32"/>
          <w:szCs w:val="32"/>
        </w:rPr>
        <w:t>五险一金变动；3.工资变动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黑体" w:hAnsi="黑体" w:eastAsia="黑体" w:cs="黑体"/>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“医疗服务与保障能力提升补助资金”</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2022年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2.根据国家医疗保障局下拨的项目资金进行资金使用。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保障医保信息系统的正常运行以及医保活动的政策宣传工作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2．项目应实现的具体绩效目标：开展全域医保政策宣传的活动次数，具体项目的完成时间，工作开展所需的资金以及群众对政策的知晓率和医保服务的满意程度。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通过国家医疗保障局下拨资金，严格按照中央转移支付的项目资金进行使用。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中央补助资金全年计划15万元。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中央补助资金全年及时到位15万元。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所有资金已通过县财政全部下拨到位。截止2022年12月31日，医疗服务与保障能力提升补助资金全年执行数为11万元，执行率为100%。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（1）数量指标。开展全域医保政策宣传活动次数大于等于2次。</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（1）社会效益指标。参保群众政策知晓率大于等于90%。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（2）满意度指标。参保人员对医保服务的满意度大于90%。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lang w:val="zh-CN"/>
        </w:rPr>
        <w:t>附件</w:t>
      </w:r>
      <w:r>
        <w:rPr>
          <w:rFonts w:hint="eastAsia" w:ascii="黑体" w:hAnsi="黑体" w:eastAsia="黑体" w:cs="黑体"/>
          <w:sz w:val="32"/>
          <w:szCs w:val="32"/>
        </w:rPr>
        <w:t>3</w:t>
      </w:r>
    </w:p>
    <w:p>
      <w:pPr>
        <w:adjustRightInd w:val="0"/>
        <w:snapToGrid w:val="0"/>
        <w:spacing w:line="600" w:lineRule="exact"/>
        <w:ind w:firstLine="640" w:firstLineChars="200"/>
        <w:rPr>
          <w:rFonts w:ascii="仿宋_GB2312" w:hAnsi="宋体" w:eastAsia="仿宋_GB2312"/>
          <w:sz w:val="32"/>
          <w:szCs w:val="32"/>
          <w:lang w:val="zh-CN"/>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“驻村干部临岗补贴”</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2022年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2.根据年初预算，县财政下拨的项目资金进行资金使用。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项目主要内容：</w:t>
      </w:r>
      <w:r>
        <w:rPr>
          <w:rFonts w:hint="eastAsia" w:ascii="仿宋_GB2312" w:hAnsi="仿宋_GB2312" w:eastAsia="仿宋_GB2312" w:cs="仿宋_GB2312"/>
          <w:sz w:val="32"/>
          <w:szCs w:val="32"/>
        </w:rPr>
        <w:t>保障驻村干部生活需求，使驻村干部能够更好地完成驻村工作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项目应实现的具体绩效目标：驻村干部人数，具体项目的完成时间，工作开展所需的资金，帮助老百姓解决困难的情况以及乡镇百姓对驻村干部的满意程度。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w:t>
      </w:r>
      <w:r>
        <w:rPr>
          <w:rFonts w:hint="eastAsia" w:ascii="楷体_GB2312" w:hAnsi="宋体" w:eastAsia="楷体_GB2312"/>
          <w:sz w:val="32"/>
          <w:szCs w:val="32"/>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县级财政资金全年计划1.08万元。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w:t>
      </w:r>
      <w:r>
        <w:rPr>
          <w:rFonts w:hint="eastAsia" w:ascii="楷体_GB2312" w:hAnsi="宋体" w:eastAsia="楷体_GB2312"/>
          <w:sz w:val="32"/>
          <w:szCs w:val="32"/>
        </w:rPr>
        <w:t>.</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县级财政资金全年及时到位1.08万元。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w:t>
      </w:r>
      <w:r>
        <w:rPr>
          <w:rFonts w:hint="eastAsia" w:ascii="楷体_GB2312" w:hAnsi="宋体" w:eastAsia="楷体_GB2312"/>
          <w:sz w:val="32"/>
          <w:szCs w:val="32"/>
        </w:rPr>
        <w:t>.</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所有资金已通过县财政全部下拨到位。截止2022年12月31日，驻村干部临岗补贴全年执行数为1.08万元，执行率为100%。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（1）数量指标。驻村干部人数大于等于1人。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（1）社会效益指标。帮助老百姓解决困难大于等于90%。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（2）满意度指标。乡镇老百姓对驻村干部的满意度大于90%。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w:t>
      </w:r>
      <w:bookmarkEnd w:id="60"/>
      <w:r>
        <w:rPr>
          <w:rStyle w:val="25"/>
          <w:rFonts w:hint="eastAsia" w:ascii="仿宋_GB2312" w:hAnsi="仿宋_GB2312" w:eastAsia="仿宋_GB2312" w:cs="仿宋_GB2312"/>
          <w:b w:val="0"/>
          <w:bCs w:val="0"/>
        </w:rPr>
        <w:t>决算表</w:t>
      </w:r>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w:t>
      </w:r>
      <w:bookmarkEnd w:id="61"/>
      <w:r>
        <w:rPr>
          <w:rStyle w:val="25"/>
          <w:rFonts w:hint="eastAsia" w:ascii="仿宋_GB2312" w:hAnsi="仿宋_GB2312" w:eastAsia="仿宋_GB2312" w:cs="仿宋_GB2312"/>
          <w:b w:val="0"/>
          <w:bCs w:val="0"/>
        </w:rPr>
        <w:t>决算表</w:t>
      </w:r>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pPr>
        <w:rPr>
          <w:rStyle w:val="25"/>
          <w:rFonts w:ascii="仿宋_GB2312" w:hAnsi="仿宋_GB2312" w:eastAsia="仿宋_GB2312" w:cs="仿宋_GB2312"/>
          <w:b w:val="0"/>
          <w:bCs w:val="0"/>
        </w:rPr>
      </w:pPr>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210"/>
  <w:drawingGridVerticalSpacing w:val="156"/>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M5YjlkODk2OGJiM2UzZTM1NGUyN2YwNWIyMjRlMjIifQ=="/>
  </w:docVars>
  <w:rsids>
    <w:rsidRoot w:val="00F1361C"/>
    <w:rsid w:val="00001643"/>
    <w:rsid w:val="00002502"/>
    <w:rsid w:val="00002F18"/>
    <w:rsid w:val="000222C6"/>
    <w:rsid w:val="0002549F"/>
    <w:rsid w:val="00030DA7"/>
    <w:rsid w:val="00031C46"/>
    <w:rsid w:val="00033D01"/>
    <w:rsid w:val="00054D36"/>
    <w:rsid w:val="00060C87"/>
    <w:rsid w:val="0006487A"/>
    <w:rsid w:val="00065F8F"/>
    <w:rsid w:val="0007244C"/>
    <w:rsid w:val="000768F2"/>
    <w:rsid w:val="000775AF"/>
    <w:rsid w:val="0009184B"/>
    <w:rsid w:val="0009593C"/>
    <w:rsid w:val="000A7AB7"/>
    <w:rsid w:val="000B047F"/>
    <w:rsid w:val="000B5923"/>
    <w:rsid w:val="000B5A48"/>
    <w:rsid w:val="000B67C9"/>
    <w:rsid w:val="000B6FF3"/>
    <w:rsid w:val="000B7C42"/>
    <w:rsid w:val="000B7E7A"/>
    <w:rsid w:val="000C3467"/>
    <w:rsid w:val="000C3CA6"/>
    <w:rsid w:val="000D1267"/>
    <w:rsid w:val="000D1D50"/>
    <w:rsid w:val="000D45B0"/>
    <w:rsid w:val="000D5782"/>
    <w:rsid w:val="000E2FDD"/>
    <w:rsid w:val="000E6613"/>
    <w:rsid w:val="000E7119"/>
    <w:rsid w:val="000F17B9"/>
    <w:rsid w:val="00101567"/>
    <w:rsid w:val="00114E9B"/>
    <w:rsid w:val="001463CB"/>
    <w:rsid w:val="0014729F"/>
    <w:rsid w:val="0015592E"/>
    <w:rsid w:val="00155A68"/>
    <w:rsid w:val="00156D1F"/>
    <w:rsid w:val="00157BAB"/>
    <w:rsid w:val="001654D1"/>
    <w:rsid w:val="0017007D"/>
    <w:rsid w:val="0018106D"/>
    <w:rsid w:val="001877A7"/>
    <w:rsid w:val="00191536"/>
    <w:rsid w:val="00196687"/>
    <w:rsid w:val="001A6CC5"/>
    <w:rsid w:val="001B7964"/>
    <w:rsid w:val="001C0962"/>
    <w:rsid w:val="001C1906"/>
    <w:rsid w:val="001C3E7E"/>
    <w:rsid w:val="001D7531"/>
    <w:rsid w:val="001E737D"/>
    <w:rsid w:val="001F0592"/>
    <w:rsid w:val="001F7506"/>
    <w:rsid w:val="002006CD"/>
    <w:rsid w:val="00202B36"/>
    <w:rsid w:val="00204B7A"/>
    <w:rsid w:val="00204EC9"/>
    <w:rsid w:val="0021101A"/>
    <w:rsid w:val="00216322"/>
    <w:rsid w:val="00220536"/>
    <w:rsid w:val="00230EE9"/>
    <w:rsid w:val="00234FC3"/>
    <w:rsid w:val="00235629"/>
    <w:rsid w:val="00235ADA"/>
    <w:rsid w:val="00253888"/>
    <w:rsid w:val="00257E41"/>
    <w:rsid w:val="00260C38"/>
    <w:rsid w:val="002616C0"/>
    <w:rsid w:val="00262A0E"/>
    <w:rsid w:val="002662AA"/>
    <w:rsid w:val="002779C3"/>
    <w:rsid w:val="00280496"/>
    <w:rsid w:val="00281315"/>
    <w:rsid w:val="00295495"/>
    <w:rsid w:val="00295A0F"/>
    <w:rsid w:val="002A27D7"/>
    <w:rsid w:val="002A7FBB"/>
    <w:rsid w:val="002B2613"/>
    <w:rsid w:val="002C3A42"/>
    <w:rsid w:val="002D020C"/>
    <w:rsid w:val="002D3AB6"/>
    <w:rsid w:val="002D4D40"/>
    <w:rsid w:val="002E217C"/>
    <w:rsid w:val="002F08DE"/>
    <w:rsid w:val="002F1818"/>
    <w:rsid w:val="002F567B"/>
    <w:rsid w:val="003058C8"/>
    <w:rsid w:val="00310429"/>
    <w:rsid w:val="00311BEB"/>
    <w:rsid w:val="00316526"/>
    <w:rsid w:val="00320A81"/>
    <w:rsid w:val="003216A9"/>
    <w:rsid w:val="00360DB6"/>
    <w:rsid w:val="00361EAC"/>
    <w:rsid w:val="0036420F"/>
    <w:rsid w:val="00365468"/>
    <w:rsid w:val="0037013F"/>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0EEE"/>
    <w:rsid w:val="003E1310"/>
    <w:rsid w:val="003E6F55"/>
    <w:rsid w:val="003F3958"/>
    <w:rsid w:val="003F621B"/>
    <w:rsid w:val="004054E8"/>
    <w:rsid w:val="00406254"/>
    <w:rsid w:val="004100C7"/>
    <w:rsid w:val="00420DB9"/>
    <w:rsid w:val="004223DE"/>
    <w:rsid w:val="00434489"/>
    <w:rsid w:val="00437085"/>
    <w:rsid w:val="00443880"/>
    <w:rsid w:val="004464F4"/>
    <w:rsid w:val="00460F09"/>
    <w:rsid w:val="00464335"/>
    <w:rsid w:val="00471401"/>
    <w:rsid w:val="00473F31"/>
    <w:rsid w:val="0048263A"/>
    <w:rsid w:val="00487E5D"/>
    <w:rsid w:val="00494666"/>
    <w:rsid w:val="004A223A"/>
    <w:rsid w:val="004A39B2"/>
    <w:rsid w:val="004A711F"/>
    <w:rsid w:val="004A71F4"/>
    <w:rsid w:val="004B0F14"/>
    <w:rsid w:val="004B199D"/>
    <w:rsid w:val="004B4690"/>
    <w:rsid w:val="004C3A6F"/>
    <w:rsid w:val="004C6D9D"/>
    <w:rsid w:val="004E0A2D"/>
    <w:rsid w:val="004E206B"/>
    <w:rsid w:val="004E6DF7"/>
    <w:rsid w:val="004F0FBD"/>
    <w:rsid w:val="004F52A8"/>
    <w:rsid w:val="00501DBA"/>
    <w:rsid w:val="00502895"/>
    <w:rsid w:val="00503758"/>
    <w:rsid w:val="00505A47"/>
    <w:rsid w:val="00512FDA"/>
    <w:rsid w:val="00520DA0"/>
    <w:rsid w:val="005664BB"/>
    <w:rsid w:val="0056666F"/>
    <w:rsid w:val="0057481D"/>
    <w:rsid w:val="0058486E"/>
    <w:rsid w:val="005922C9"/>
    <w:rsid w:val="005C0082"/>
    <w:rsid w:val="005D1928"/>
    <w:rsid w:val="005D1C8B"/>
    <w:rsid w:val="005D5CED"/>
    <w:rsid w:val="005F1A4C"/>
    <w:rsid w:val="00605688"/>
    <w:rsid w:val="006070AF"/>
    <w:rsid w:val="00607E6C"/>
    <w:rsid w:val="006101B1"/>
    <w:rsid w:val="00610371"/>
    <w:rsid w:val="00612E32"/>
    <w:rsid w:val="00614E44"/>
    <w:rsid w:val="00622830"/>
    <w:rsid w:val="00630AEF"/>
    <w:rsid w:val="00632102"/>
    <w:rsid w:val="006325F8"/>
    <w:rsid w:val="00634C9A"/>
    <w:rsid w:val="00642ED8"/>
    <w:rsid w:val="006440E4"/>
    <w:rsid w:val="006466CA"/>
    <w:rsid w:val="0065695B"/>
    <w:rsid w:val="0066171A"/>
    <w:rsid w:val="0066343B"/>
    <w:rsid w:val="00663B5F"/>
    <w:rsid w:val="00664199"/>
    <w:rsid w:val="00664777"/>
    <w:rsid w:val="00666954"/>
    <w:rsid w:val="00667F95"/>
    <w:rsid w:val="0067224A"/>
    <w:rsid w:val="00673AAD"/>
    <w:rsid w:val="006748A4"/>
    <w:rsid w:val="00683E73"/>
    <w:rsid w:val="00691605"/>
    <w:rsid w:val="00696E74"/>
    <w:rsid w:val="006A13E5"/>
    <w:rsid w:val="006A3141"/>
    <w:rsid w:val="006A5E34"/>
    <w:rsid w:val="006B2422"/>
    <w:rsid w:val="006B2B9A"/>
    <w:rsid w:val="006C1937"/>
    <w:rsid w:val="006D10C0"/>
    <w:rsid w:val="006D3018"/>
    <w:rsid w:val="006D7131"/>
    <w:rsid w:val="006E12D6"/>
    <w:rsid w:val="006E4AE8"/>
    <w:rsid w:val="006F020C"/>
    <w:rsid w:val="006F45C7"/>
    <w:rsid w:val="00701E47"/>
    <w:rsid w:val="00702257"/>
    <w:rsid w:val="00703B0E"/>
    <w:rsid w:val="007127B7"/>
    <w:rsid w:val="00716B5A"/>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3D65"/>
    <w:rsid w:val="007E6E71"/>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5AF4"/>
    <w:rsid w:val="00887A57"/>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81B71"/>
    <w:rsid w:val="0098660A"/>
    <w:rsid w:val="009903FB"/>
    <w:rsid w:val="00991CF8"/>
    <w:rsid w:val="009931C3"/>
    <w:rsid w:val="009968E0"/>
    <w:rsid w:val="009B2C43"/>
    <w:rsid w:val="009B4983"/>
    <w:rsid w:val="009B4EAE"/>
    <w:rsid w:val="009B7573"/>
    <w:rsid w:val="009C22F4"/>
    <w:rsid w:val="009C2E98"/>
    <w:rsid w:val="009C39A2"/>
    <w:rsid w:val="009D25BC"/>
    <w:rsid w:val="009D3447"/>
    <w:rsid w:val="009D4711"/>
    <w:rsid w:val="009E39A2"/>
    <w:rsid w:val="009E6901"/>
    <w:rsid w:val="009E711D"/>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83513"/>
    <w:rsid w:val="00A91760"/>
    <w:rsid w:val="00A93B00"/>
    <w:rsid w:val="00A93C21"/>
    <w:rsid w:val="00AA4038"/>
    <w:rsid w:val="00AA709D"/>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1876"/>
    <w:rsid w:val="00B77EA6"/>
    <w:rsid w:val="00B80B76"/>
    <w:rsid w:val="00B81598"/>
    <w:rsid w:val="00B822D9"/>
    <w:rsid w:val="00B841F1"/>
    <w:rsid w:val="00B944D6"/>
    <w:rsid w:val="00BA02D4"/>
    <w:rsid w:val="00BB0468"/>
    <w:rsid w:val="00BB4DF0"/>
    <w:rsid w:val="00BC289F"/>
    <w:rsid w:val="00BC5361"/>
    <w:rsid w:val="00BC5460"/>
    <w:rsid w:val="00BC6B50"/>
    <w:rsid w:val="00BD0E25"/>
    <w:rsid w:val="00BD2AE5"/>
    <w:rsid w:val="00BE7CA1"/>
    <w:rsid w:val="00BF185B"/>
    <w:rsid w:val="00BF5BD6"/>
    <w:rsid w:val="00BF731F"/>
    <w:rsid w:val="00C03E31"/>
    <w:rsid w:val="00C03F0C"/>
    <w:rsid w:val="00C077CC"/>
    <w:rsid w:val="00C20EC3"/>
    <w:rsid w:val="00C26755"/>
    <w:rsid w:val="00C31445"/>
    <w:rsid w:val="00C33E72"/>
    <w:rsid w:val="00C34057"/>
    <w:rsid w:val="00C354B2"/>
    <w:rsid w:val="00C35554"/>
    <w:rsid w:val="00C400A4"/>
    <w:rsid w:val="00C42709"/>
    <w:rsid w:val="00C533CC"/>
    <w:rsid w:val="00C5751C"/>
    <w:rsid w:val="00C61A1C"/>
    <w:rsid w:val="00C61BFC"/>
    <w:rsid w:val="00C62B85"/>
    <w:rsid w:val="00C64B77"/>
    <w:rsid w:val="00C65438"/>
    <w:rsid w:val="00C66A71"/>
    <w:rsid w:val="00C762B5"/>
    <w:rsid w:val="00C849C9"/>
    <w:rsid w:val="00C91CBB"/>
    <w:rsid w:val="00CA3CE0"/>
    <w:rsid w:val="00CA615B"/>
    <w:rsid w:val="00CB492C"/>
    <w:rsid w:val="00CC09B6"/>
    <w:rsid w:val="00CC666F"/>
    <w:rsid w:val="00CD1E3F"/>
    <w:rsid w:val="00CE1A8E"/>
    <w:rsid w:val="00CE297E"/>
    <w:rsid w:val="00CE44F6"/>
    <w:rsid w:val="00CE49DA"/>
    <w:rsid w:val="00CE7B61"/>
    <w:rsid w:val="00CF4DE4"/>
    <w:rsid w:val="00D00095"/>
    <w:rsid w:val="00D16421"/>
    <w:rsid w:val="00D20396"/>
    <w:rsid w:val="00D20620"/>
    <w:rsid w:val="00D21386"/>
    <w:rsid w:val="00D24DD1"/>
    <w:rsid w:val="00D26091"/>
    <w:rsid w:val="00D34E7C"/>
    <w:rsid w:val="00D35489"/>
    <w:rsid w:val="00D45A01"/>
    <w:rsid w:val="00D476FD"/>
    <w:rsid w:val="00D51276"/>
    <w:rsid w:val="00D62782"/>
    <w:rsid w:val="00D7035F"/>
    <w:rsid w:val="00D724BB"/>
    <w:rsid w:val="00D75961"/>
    <w:rsid w:val="00D81794"/>
    <w:rsid w:val="00D93726"/>
    <w:rsid w:val="00DA38BD"/>
    <w:rsid w:val="00DA57A6"/>
    <w:rsid w:val="00DA65AC"/>
    <w:rsid w:val="00DB1913"/>
    <w:rsid w:val="00DB3A3F"/>
    <w:rsid w:val="00DC410D"/>
    <w:rsid w:val="00DC68CA"/>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3545"/>
    <w:rsid w:val="00E44184"/>
    <w:rsid w:val="00E45A58"/>
    <w:rsid w:val="00E50624"/>
    <w:rsid w:val="00E568DF"/>
    <w:rsid w:val="00E60A3F"/>
    <w:rsid w:val="00E64269"/>
    <w:rsid w:val="00E72D24"/>
    <w:rsid w:val="00E747DD"/>
    <w:rsid w:val="00E82267"/>
    <w:rsid w:val="00E84189"/>
    <w:rsid w:val="00E86F34"/>
    <w:rsid w:val="00E92A6D"/>
    <w:rsid w:val="00EA010F"/>
    <w:rsid w:val="00EB0F29"/>
    <w:rsid w:val="00EC2381"/>
    <w:rsid w:val="00ED1B63"/>
    <w:rsid w:val="00ED2828"/>
    <w:rsid w:val="00ED3C1F"/>
    <w:rsid w:val="00ED4085"/>
    <w:rsid w:val="00ED420E"/>
    <w:rsid w:val="00ED774E"/>
    <w:rsid w:val="00EE2F57"/>
    <w:rsid w:val="00EF0BA5"/>
    <w:rsid w:val="00EF16B9"/>
    <w:rsid w:val="00EF23C1"/>
    <w:rsid w:val="00EF4C34"/>
    <w:rsid w:val="00EF77C6"/>
    <w:rsid w:val="00F007DC"/>
    <w:rsid w:val="00F05438"/>
    <w:rsid w:val="00F06392"/>
    <w:rsid w:val="00F11C70"/>
    <w:rsid w:val="00F1361C"/>
    <w:rsid w:val="00F160C7"/>
    <w:rsid w:val="00F2624A"/>
    <w:rsid w:val="00F355EB"/>
    <w:rsid w:val="00F36152"/>
    <w:rsid w:val="00F36D8F"/>
    <w:rsid w:val="00F417B1"/>
    <w:rsid w:val="00F43541"/>
    <w:rsid w:val="00F43CFF"/>
    <w:rsid w:val="00F447B3"/>
    <w:rsid w:val="00F50630"/>
    <w:rsid w:val="00F602DF"/>
    <w:rsid w:val="00F62557"/>
    <w:rsid w:val="00F7547C"/>
    <w:rsid w:val="00F77699"/>
    <w:rsid w:val="00F81FD9"/>
    <w:rsid w:val="00F841AA"/>
    <w:rsid w:val="00FA0A16"/>
    <w:rsid w:val="00FA181A"/>
    <w:rsid w:val="00FA23E8"/>
    <w:rsid w:val="00FA6E17"/>
    <w:rsid w:val="00FB5D3E"/>
    <w:rsid w:val="00FD3CC1"/>
    <w:rsid w:val="00FE4BBE"/>
    <w:rsid w:val="00FF1E02"/>
    <w:rsid w:val="00FF30B4"/>
    <w:rsid w:val="00FF37B0"/>
    <w:rsid w:val="00FF3CC7"/>
    <w:rsid w:val="02AD44CC"/>
    <w:rsid w:val="0771118F"/>
    <w:rsid w:val="08EA2BF8"/>
    <w:rsid w:val="09503632"/>
    <w:rsid w:val="0F9D58C8"/>
    <w:rsid w:val="10C055FF"/>
    <w:rsid w:val="15846D41"/>
    <w:rsid w:val="16BB723D"/>
    <w:rsid w:val="1CBF74C7"/>
    <w:rsid w:val="1FF9B56E"/>
    <w:rsid w:val="240371BF"/>
    <w:rsid w:val="283C6481"/>
    <w:rsid w:val="29D23E1C"/>
    <w:rsid w:val="29FD04D3"/>
    <w:rsid w:val="2BC12629"/>
    <w:rsid w:val="2CAB2406"/>
    <w:rsid w:val="2CF03FB3"/>
    <w:rsid w:val="314C40C8"/>
    <w:rsid w:val="319F7F4E"/>
    <w:rsid w:val="3C7D46A6"/>
    <w:rsid w:val="419F12C5"/>
    <w:rsid w:val="45F171A9"/>
    <w:rsid w:val="46A67970"/>
    <w:rsid w:val="49381582"/>
    <w:rsid w:val="4A3D3CF0"/>
    <w:rsid w:val="4A7F0D99"/>
    <w:rsid w:val="4B9A4995"/>
    <w:rsid w:val="53494809"/>
    <w:rsid w:val="58872062"/>
    <w:rsid w:val="5C3B7E27"/>
    <w:rsid w:val="61BD3C26"/>
    <w:rsid w:val="626F420C"/>
    <w:rsid w:val="6372760F"/>
    <w:rsid w:val="69322C02"/>
    <w:rsid w:val="6C1D5C21"/>
    <w:rsid w:val="6E1A42F5"/>
    <w:rsid w:val="70E909A8"/>
    <w:rsid w:val="72623FE1"/>
    <w:rsid w:val="74017585"/>
    <w:rsid w:val="77724A10"/>
    <w:rsid w:val="7B9F073E"/>
    <w:rsid w:val="7E0D5C2D"/>
    <w:rsid w:val="F7FEBF51"/>
    <w:rsid w:val="FE775CA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8"/>
          <c:y val="0.0793650793650794"/>
        </c:manualLayout>
      </c:layout>
      <c:overlay val="false"/>
      <c:spPr>
        <a:noFill/>
        <a:ln w="25301">
          <a:noFill/>
        </a:ln>
      </c:spPr>
    </c:title>
    <c:autoTitleDeleted val="false"/>
    <c:plotArea>
      <c:layout>
        <c:manualLayout>
          <c:layoutTarget val="inner"/>
          <c:xMode val="edge"/>
          <c:yMode val="edge"/>
          <c:x val="0.119533527696793"/>
          <c:y val="0.259109311740891"/>
          <c:w val="0.641399416909637"/>
          <c:h val="0.595141700404858"/>
        </c:manualLayout>
      </c:layout>
      <c:barChart>
        <c:barDir val="col"/>
        <c:grouping val="clustered"/>
        <c:varyColors val="false"/>
        <c:ser>
          <c:idx val="0"/>
          <c:order val="0"/>
          <c:tx>
            <c:strRef>
              <c:f>Sheet1!$B$1</c:f>
              <c:strCache>
                <c:ptCount val="1"/>
                <c:pt idx="0">
                  <c:v>2022</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476.82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Sheet1!$B$2</c:f>
              <c:numCache>
                <c:formatCode>General</c:formatCode>
                <c:ptCount val="1"/>
                <c:pt idx="0">
                  <c:v>476.82</c:v>
                </c:pt>
              </c:numCache>
            </c:numRef>
          </c:val>
        </c:ser>
        <c:ser>
          <c:idx val="1"/>
          <c:order val="1"/>
          <c:tx>
            <c:strRef>
              <c:f>Sheet1!$C$1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438.19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Sheet1!$C$2</c:f>
              <c:numCache>
                <c:formatCode>General</c:formatCode>
                <c:ptCount val="1"/>
                <c:pt idx="0">
                  <c:v>438.19</c:v>
                </c:pt>
              </c:numCache>
            </c:numRef>
          </c:val>
        </c:ser>
        <c:dLbls>
          <c:showLegendKey val="false"/>
          <c:showVal val="true"/>
          <c:showCatName val="false"/>
          <c:showSerName val="false"/>
          <c:showPercent val="false"/>
          <c:showBubbleSize val="false"/>
        </c:dLbls>
        <c:gapWidth val="150"/>
        <c:axId val="48654976"/>
        <c:axId val="76326016"/>
      </c:barChart>
      <c:catAx>
        <c:axId val="48654976"/>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76326016"/>
        <c:crosses val="autoZero"/>
        <c:auto val="true"/>
        <c:lblAlgn val="ctr"/>
        <c:lblOffset val="100"/>
        <c:noMultiLvlLbl val="false"/>
      </c:catAx>
      <c:valAx>
        <c:axId val="7632601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48654976"/>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2022</a:t>
            </a:r>
            <a:r>
              <a:rPr lang="zh-CN" altLang="en-US"/>
              <a:t>年收入情况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2021年收入情况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211841057181286"/>
                  <c:y val="-0.1998666238148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 100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2022</a:t>
            </a:r>
            <a:r>
              <a:rPr lang="zh-CN" altLang="en-US"/>
              <a:t>年支出情况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2022年收入情况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145506065473159"/>
                  <c:y val="-0.19986715946221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 96.63</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layout>
                <c:manualLayout>
                  <c:x val="0.0447492197803633"/>
                  <c:y val="0.0201226632385237"/>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3.37%</a:t>
                    </a:r>
                    <a:endParaRPr lang="zh-CN"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96.63</c:v>
                </c:pt>
                <c:pt idx="1">
                  <c:v>3.37</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false"/>
      <c:spPr>
        <a:noFill/>
        <a:ln w="25301">
          <a:noFill/>
        </a:ln>
      </c:spPr>
    </c:title>
    <c:autoTitleDeleted val="false"/>
    <c:plotArea>
      <c:layout>
        <c:manualLayout>
          <c:layoutTarget val="inner"/>
          <c:xMode val="edge"/>
          <c:yMode val="edge"/>
          <c:x val="0.119533527696793"/>
          <c:y val="0.259109311740891"/>
          <c:w val="0.641399416909637"/>
          <c:h val="0.595141700404858"/>
        </c:manualLayout>
      </c:layout>
      <c:barChart>
        <c:barDir val="col"/>
        <c:grouping val="clustered"/>
        <c:varyColors val="false"/>
        <c:ser>
          <c:idx val="0"/>
          <c:order val="0"/>
          <c:tx>
            <c:strRef>
              <c:f>Sheet1!$B$1</c:f>
              <c:strCache>
                <c:ptCount val="1"/>
                <c:pt idx="0">
                  <c:v>2022</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476.82</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476.82</c:v>
                </c:pt>
              </c:numCache>
            </c:numRef>
          </c:val>
        </c:ser>
        <c:ser>
          <c:idx val="1"/>
          <c:order val="1"/>
          <c:tx>
            <c:strRef>
              <c:f>Sheet1!$C$1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438.19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438.19</c:v>
                </c:pt>
              </c:numCache>
            </c:numRef>
          </c:val>
        </c:ser>
        <c:dLbls>
          <c:showLegendKey val="false"/>
          <c:showVal val="true"/>
          <c:showCatName val="false"/>
          <c:showSerName val="false"/>
          <c:showPercent val="false"/>
          <c:showBubbleSize val="false"/>
        </c:dLbls>
        <c:gapWidth val="150"/>
        <c:axId val="78976512"/>
        <c:axId val="78978048"/>
      </c:barChart>
      <c:catAx>
        <c:axId val="78976512"/>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78978048"/>
        <c:crosses val="autoZero"/>
        <c:auto val="true"/>
        <c:lblAlgn val="ctr"/>
        <c:lblOffset val="100"/>
        <c:noMultiLvlLbl val="false"/>
      </c:catAx>
      <c:valAx>
        <c:axId val="7897804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78976512"/>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false"/>
      <c:spPr>
        <a:noFill/>
        <a:ln w="25301">
          <a:noFill/>
        </a:ln>
      </c:spPr>
    </c:title>
    <c:autoTitleDeleted val="false"/>
    <c:plotArea>
      <c:layout>
        <c:manualLayout>
          <c:layoutTarget val="inner"/>
          <c:xMode val="edge"/>
          <c:yMode val="edge"/>
          <c:x val="0.119533527696793"/>
          <c:y val="0.259109311740891"/>
          <c:w val="0.641399416909639"/>
          <c:h val="0.595141700404858"/>
        </c:manualLayout>
      </c:layout>
      <c:barChart>
        <c:barDir val="col"/>
        <c:grouping val="clustered"/>
        <c:varyColors val="false"/>
        <c:ser>
          <c:idx val="0"/>
          <c:order val="0"/>
          <c:tx>
            <c:strRef>
              <c:f>Sheet1!$B$1</c:f>
              <c:strCache>
                <c:ptCount val="1"/>
                <c:pt idx="0">
                  <c:v>2022年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476.82</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476.82</c:v>
                </c:pt>
              </c:numCache>
            </c:numRef>
          </c:val>
        </c:ser>
        <c:ser>
          <c:idx val="1"/>
          <c:order val="1"/>
          <c:tx>
            <c:strRef>
              <c:f>Sheet1!$C$1</c:f>
              <c:strCache>
                <c:ptCount val="1"/>
                <c:pt idx="0">
                  <c:v>2021年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438.19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438.19</c:v>
                </c:pt>
              </c:numCache>
            </c:numRef>
          </c:val>
        </c:ser>
        <c:dLbls>
          <c:showLegendKey val="false"/>
          <c:showVal val="true"/>
          <c:showCatName val="false"/>
          <c:showSerName val="false"/>
          <c:showPercent val="false"/>
          <c:showBubbleSize val="false"/>
        </c:dLbls>
        <c:gapWidth val="150"/>
        <c:axId val="79290752"/>
        <c:axId val="79292288"/>
      </c:barChart>
      <c:catAx>
        <c:axId val="79290752"/>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79292288"/>
        <c:crosses val="autoZero"/>
        <c:auto val="true"/>
        <c:lblAlgn val="ctr"/>
        <c:lblOffset val="100"/>
        <c:noMultiLvlLbl val="false"/>
      </c:catAx>
      <c:valAx>
        <c:axId val="7929228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79290752"/>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w="25296">
          <a:noFill/>
        </a:ln>
      </c:spPr>
      <c:txPr>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p>
      </c:txPr>
    </c:title>
    <c:autoTitleDeleted val="false"/>
    <c:plotArea>
      <c:layout>
        <c:manualLayout>
          <c:layoutTarget val="inner"/>
          <c:xMode val="edge"/>
          <c:yMode val="edge"/>
          <c:x val="0.125"/>
          <c:y val="0.280851063829793"/>
          <c:w val="0.375000000000004"/>
          <c:h val="0.600000000000006"/>
        </c:manualLayout>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Pt>
            <c:idx val="3"/>
            <c:bubble3D val="false"/>
          </c:dPt>
          <c:dLbls>
            <c:dLbl>
              <c:idx val="0"/>
              <c:layout>
                <c:manualLayout>
                  <c:x val="0.0838764468574719"/>
                  <c:y val="0.102120945751039"/>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11.29%</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1"/>
              <c:layout>
                <c:manualLayout>
                  <c:x val="0.0237113480246712"/>
                  <c:y val="0.0194202969210892"/>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81.44%</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2"/>
              <c:layout>
                <c:manualLayout>
                  <c:x val="-0.0883577083300357"/>
                  <c:y val="0.0396927142424633"/>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7.04%</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0.23</a:t>
                    </a:r>
                    <a:r>
                      <a:rPr altLang="en-US"/>
                      <a:t>%</a:t>
                    </a:r>
                    <a:endParaRPr altLang="en-US"/>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11.29</c:v>
                </c:pt>
                <c:pt idx="1">
                  <c:v>81.44</c:v>
                </c:pt>
                <c:pt idx="2">
                  <c:v>7.04</c:v>
                </c:pt>
                <c:pt idx="3">
                  <c:v>0.23</c:v>
                </c:pt>
              </c:numCache>
            </c:numRef>
          </c:val>
        </c:ser>
        <c:dLbls>
          <c:showLegendKey val="false"/>
          <c:showVal val="false"/>
          <c:showCatName val="false"/>
          <c:showSerName val="false"/>
          <c:showPercent val="true"/>
          <c:showBubbleSize val="false"/>
          <c:showLeaderLines val="true"/>
        </c:dLbls>
        <c:firstSliceAng val="0"/>
      </c:pieChart>
      <c:spPr>
        <a:noFill/>
        <a:ln w="25296">
          <a:noFill/>
        </a:ln>
      </c:spPr>
    </c:plotArea>
    <c:legend>
      <c:legendPos val="r"/>
      <c:layout>
        <c:manualLayout>
          <c:xMode val="edge"/>
          <c:yMode val="edge"/>
          <c:x val="0.659574468085115"/>
          <c:y val="0.348936170212771"/>
          <c:w val="0.305851063829795"/>
          <c:h val="0.51063829787233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440" b="1" i="0" u="none" strike="noStrike" kern="1200" baseline="0">
                <a:solidFill>
                  <a:schemeClr val="tx1"/>
                </a:solidFill>
                <a:latin typeface="+mn-lt"/>
                <a:ea typeface="+mn-ea"/>
                <a:cs typeface="+mn-cs"/>
              </a:defRPr>
            </a:pPr>
            <a:r>
              <a:rPr lang="en-US" altLang="zh-CN"/>
              <a:t>2022</a:t>
            </a:r>
            <a:r>
              <a:rPr lang="zh-CN" altLang="en-US"/>
              <a:t>年“三公”经费财政拨款支出决算情况</a:t>
            </a:r>
            <a:endParaRPr lang="zh-CN" altLang="en-US"/>
          </a:p>
        </c:rich>
      </c:tx>
      <c:layout/>
      <c:overlay val="false"/>
      <c:spPr>
        <a:noFill/>
        <a:ln w="25399">
          <a:noFill/>
        </a:ln>
      </c:spPr>
    </c:title>
    <c:autoTitleDeleted val="false"/>
    <c:plotArea>
      <c:layout/>
      <c:pieChart>
        <c:varyColors val="true"/>
        <c:ser>
          <c:idx val="0"/>
          <c:order val="0"/>
          <c:tx>
            <c:strRef>
              <c:f>Sheet1!$B$1</c:f>
              <c:strCache>
                <c:ptCount val="1"/>
                <c:pt idx="0">
                  <c:v>2022年“三公”经费财政拨款支出决算情况</c:v>
                </c:pt>
              </c:strCache>
            </c:strRef>
          </c:tx>
          <c:explosion val="0"/>
          <c:dPt>
            <c:idx val="0"/>
            <c:bubble3D val="false"/>
          </c:dPt>
          <c:dPt>
            <c:idx val="1"/>
            <c:bubble3D val="false"/>
          </c:dPt>
          <c:dPt>
            <c:idx val="2"/>
            <c:bubble3D val="false"/>
          </c:dPt>
          <c:dLbls>
            <c:dLbl>
              <c:idx val="0"/>
              <c:delete val="true"/>
            </c:dLbl>
            <c:dLbl>
              <c:idx val="1"/>
              <c:layout/>
              <c:tx>
                <c:rich>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r>
                      <a:rPr lang="en-US" altLang="zh-CN"/>
                      <a:t>10.61%</a:t>
                    </a:r>
                    <a:endParaRPr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2.19</c:v>
                </c:pt>
                <c:pt idx="1">
                  <c:v>0.26</c:v>
                </c:pt>
              </c:numCache>
            </c:numRef>
          </c:val>
        </c:ser>
        <c:dLbls>
          <c:showLegendKey val="false"/>
          <c:showVal val="true"/>
          <c:showCatName val="false"/>
          <c:showSerName val="false"/>
          <c:showPercent val="false"/>
          <c:showBubbleSize val="false"/>
          <c:showLeaderLines val="true"/>
        </c:dLbls>
        <c:firstSliceAng val="0"/>
      </c:pieChart>
      <c:spPr>
        <a:noFill/>
        <a:ln w="25399">
          <a:noFill/>
        </a:ln>
      </c:spPr>
    </c:plotArea>
    <c:legend>
      <c:legendPos val="r"/>
      <c:layout>
        <c:manualLayout>
          <c:xMode val="edge"/>
          <c:yMode val="edge"/>
          <c:x val="0.634408602150552"/>
          <c:y val="0.411458333333333"/>
          <c:w val="0.344086021505376"/>
          <c:h val="0.583333333333333"/>
        </c:manualLayout>
      </c:layout>
      <c:overlay val="false"/>
      <c:txPr>
        <a:bodyPr rot="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sz="1200"/>
      </a:pPr>
    </a:p>
  </c:txPr>
  <c:externalData r:id="rId1">
    <c:autoUpdate val="false"/>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33</Pages>
  <Words>1618</Words>
  <Characters>9229</Characters>
  <Lines>76</Lines>
  <Paragraphs>21</Paragraphs>
  <TotalTime>44</TotalTime>
  <ScaleCrop>false</ScaleCrop>
  <LinksUpToDate>false</LinksUpToDate>
  <CharactersWithSpaces>10826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军魂不变</cp:lastModifiedBy>
  <cp:lastPrinted>2023-09-01T11:15:00Z</cp:lastPrinted>
  <dcterms:modified xsi:type="dcterms:W3CDTF">2023-09-01T16:53:36Z</dcterms:modified>
  <dc:title>四川省***</dc:title>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D593247E9233440091FE672F01D3B7C1</vt:lpwstr>
  </property>
</Properties>
</file>