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outlineLvl w:val="0"/>
        <w:rPr>
          <w:rFonts w:ascii="方正小标宋简体" w:hAnsi="宋体" w:eastAsia="方正小标宋简体"/>
          <w:color w:val="000000"/>
          <w:sz w:val="44"/>
          <w:szCs w:val="44"/>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77193"/>
      <w:bookmarkStart w:id="2" w:name="_Toc15396597"/>
      <w:bookmarkStart w:id="3" w:name="_Toc15377425"/>
      <w:bookmarkStart w:id="4" w:name="_Toc15378441"/>
      <w:bookmarkStart w:id="5" w:name="_Toc15396475"/>
      <w:r>
        <w:rPr>
          <w:rFonts w:hint="eastAsia" w:ascii="方正小标宋简体" w:hAnsi="黑体" w:eastAsia="方正小标宋简体"/>
          <w:color w:val="000000"/>
          <w:sz w:val="52"/>
          <w:szCs w:val="52"/>
        </w:rPr>
        <w:t>2022</w:t>
      </w:r>
      <w:r>
        <w:rPr>
          <w:rFonts w:hint="eastAsia" w:ascii="方正小标宋简体" w:hAnsi="宋体" w:eastAsia="方正小标宋简体"/>
          <w:color w:val="000000"/>
          <w:sz w:val="52"/>
          <w:szCs w:val="52"/>
        </w:rPr>
        <w:t>年度</w:t>
      </w:r>
      <w:bookmarkEnd w:id="1"/>
      <w:bookmarkEnd w:id="2"/>
      <w:bookmarkEnd w:id="3"/>
      <w:bookmarkEnd w:id="4"/>
      <w:bookmarkEnd w:id="5"/>
      <w:bookmarkStart w:id="6" w:name="_Toc15378442"/>
      <w:bookmarkStart w:id="7" w:name="_Toc15377426"/>
      <w:bookmarkStart w:id="8" w:name="_Toc15396476"/>
      <w:bookmarkStart w:id="9" w:name="_Toc15396598"/>
      <w:bookmarkStart w:id="10" w:name="_Toc15377194"/>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四川省阿坝州</w:t>
      </w:r>
      <w:bookmarkEnd w:id="0"/>
      <w:bookmarkStart w:id="11" w:name="_Toc15306268"/>
      <w:r>
        <w:rPr>
          <w:rFonts w:hint="eastAsia" w:ascii="方正小标宋简体" w:hAnsi="宋体" w:eastAsia="方正小标宋简体"/>
          <w:color w:val="000000"/>
          <w:sz w:val="52"/>
          <w:szCs w:val="52"/>
        </w:rPr>
        <w:t>茂县医疗保障局(本级)</w:t>
      </w:r>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  录</w:t>
      </w:r>
    </w:p>
    <w:p>
      <w:pPr>
        <w:widowControl/>
        <w:adjustRightInd w:val="0"/>
        <w:snapToGrid w:val="0"/>
        <w:spacing w:line="576" w:lineRule="exact"/>
        <w:jc w:val="center"/>
        <w:rPr>
          <w:rFonts w:ascii="黑体" w:hAnsi="黑体" w:eastAsia="黑体"/>
          <w:color w:val="000000"/>
          <w:sz w:val="28"/>
          <w:szCs w:val="28"/>
        </w:rPr>
      </w:pPr>
      <w:r>
        <w:rPr>
          <w:rFonts w:hint="eastAsia" w:ascii="黑体" w:hAnsi="黑体" w:eastAsia="黑体"/>
          <w:color w:val="000000"/>
          <w:sz w:val="28"/>
          <w:szCs w:val="28"/>
        </w:rPr>
        <w:t>公开时间：2023年9月1日</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fldChar w:fldCharType="begin"/>
      </w:r>
      <w:r>
        <w:rPr>
          <w:rFonts w:ascii="仿宋" w:hAnsi="仿宋" w:eastAsia="仿宋"/>
          <w:smallCaps/>
          <w:sz w:val="22"/>
          <w:szCs w:val="22"/>
        </w:rPr>
        <w:instrText xml:space="preserve"> TOC \o \u </w:instrText>
      </w:r>
      <w:r>
        <w:rPr>
          <w:rFonts w:ascii="仿宋" w:hAnsi="仿宋" w:eastAsia="仿宋"/>
          <w:smallCaps/>
          <w:sz w:val="22"/>
          <w:szCs w:val="22"/>
        </w:rPr>
        <w:fldChar w:fldCharType="separate"/>
      </w:r>
      <w:r>
        <w:rPr>
          <w:rFonts w:ascii="仿宋" w:hAnsi="仿宋" w:eastAsia="仿宋"/>
          <w:smallCaps/>
          <w:sz w:val="22"/>
          <w:szCs w:val="22"/>
        </w:rPr>
        <w:t>第一部分 部门概况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一、基本职能及主要工作</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（一）主要职能</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（二）202</w:t>
      </w:r>
      <w:r>
        <w:rPr>
          <w:rFonts w:hint="eastAsia" w:ascii="仿宋" w:hAnsi="仿宋" w:eastAsia="仿宋"/>
          <w:smallCaps/>
          <w:sz w:val="22"/>
          <w:szCs w:val="22"/>
        </w:rPr>
        <w:t>2</w:t>
      </w:r>
      <w:r>
        <w:rPr>
          <w:rFonts w:ascii="仿宋" w:hAnsi="仿宋" w:eastAsia="仿宋"/>
          <w:smallCaps/>
          <w:sz w:val="22"/>
          <w:szCs w:val="22"/>
        </w:rPr>
        <w:t>年重点工作完成情况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二、机构设置</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第二部分 202</w:t>
      </w:r>
      <w:r>
        <w:rPr>
          <w:rFonts w:hint="eastAsia" w:ascii="仿宋" w:hAnsi="仿宋" w:eastAsia="仿宋"/>
          <w:smallCaps/>
          <w:sz w:val="22"/>
          <w:szCs w:val="22"/>
        </w:rPr>
        <w:t>2</w:t>
      </w:r>
      <w:r>
        <w:rPr>
          <w:rFonts w:ascii="仿宋" w:hAnsi="仿宋" w:eastAsia="仿宋"/>
          <w:smallCaps/>
          <w:sz w:val="22"/>
          <w:szCs w:val="22"/>
        </w:rPr>
        <w:t>年度部门决算情况说明</w:t>
      </w:r>
      <w:r>
        <w:rPr>
          <w:rFonts w:ascii="仿宋" w:hAnsi="仿宋" w:eastAsia="仿宋"/>
          <w:smallCaps/>
          <w:sz w:val="22"/>
          <w:szCs w:val="22"/>
        </w:rPr>
        <w:tab/>
      </w:r>
      <w:r>
        <w:rPr>
          <w:rFonts w:hint="eastAsia" w:ascii="仿宋" w:hAnsi="仿宋" w:eastAsia="仿宋"/>
          <w:smallCaps/>
          <w:sz w:val="22"/>
          <w:szCs w:val="22"/>
        </w:rPr>
        <w:t>5</w:t>
      </w:r>
    </w:p>
    <w:p>
      <w:pPr>
        <w:tabs>
          <w:tab w:val="left" w:pos="840"/>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一、收入支出决算总体情况说明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二、收入决算情况说明</w:t>
      </w:r>
      <w:r>
        <w:rPr>
          <w:rFonts w:ascii="仿宋" w:hAnsi="仿宋" w:eastAsia="仿宋"/>
          <w:smallCaps/>
          <w:sz w:val="22"/>
          <w:szCs w:val="22"/>
        </w:rPr>
        <w:tab/>
      </w:r>
      <w:r>
        <w:rPr>
          <w:rFonts w:hint="eastAsia" w:ascii="仿宋" w:hAnsi="仿宋" w:eastAsia="仿宋"/>
          <w:smallCaps/>
          <w:sz w:val="22"/>
          <w:szCs w:val="22"/>
        </w:rPr>
        <w:t>6</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三、支出决算情况说明</w:t>
      </w:r>
      <w:r>
        <w:rPr>
          <w:rFonts w:ascii="仿宋" w:hAnsi="仿宋" w:eastAsia="仿宋"/>
          <w:smallCaps/>
          <w:sz w:val="22"/>
          <w:szCs w:val="22"/>
        </w:rPr>
        <w:tab/>
      </w:r>
      <w:r>
        <w:rPr>
          <w:rFonts w:hint="eastAsia" w:ascii="仿宋" w:hAnsi="仿宋" w:eastAsia="仿宋"/>
          <w:smallCaps/>
          <w:sz w:val="22"/>
          <w:szCs w:val="22"/>
        </w:rPr>
        <w:t>6</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四、财政拨款收入支出决算总体情况说明</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五、一般公共预算财政拨款支出决算情况说明</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（一）一般公共预算财政拨款支出决算总体情况</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（二）一般公共预算财政拨款支出决算结构情况</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（三）一般公共预算财政拨款支出决算具体情况</w:t>
      </w:r>
      <w:r>
        <w:rPr>
          <w:rFonts w:ascii="仿宋" w:hAnsi="仿宋" w:eastAsia="仿宋"/>
          <w:smallCaps/>
          <w:sz w:val="22"/>
          <w:szCs w:val="22"/>
        </w:rPr>
        <w:tab/>
      </w:r>
      <w:r>
        <w:rPr>
          <w:rFonts w:hint="eastAsia" w:ascii="仿宋" w:hAnsi="仿宋" w:eastAsia="仿宋"/>
          <w:smallCaps/>
          <w:sz w:val="22"/>
          <w:szCs w:val="22"/>
        </w:rPr>
        <w:t>9</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六、一般公共预算财政拨款基本支出决算情况说明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七、“三公”经费财政拨款支出决算情况说明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（一）“三公”经费财政拨款支出决算总体情况说明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（二）“三公”经费财政拨款支出决算具体情况说明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八、政府性基金预算支出决算情况说明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九、国有资本经营预算支出决算情况说明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十、其他重要事项的情况说明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（一）机关运行经费支出情况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（二）政府采购支出情况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（三）国有资产占有使用情况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（四）预算绩效管理情况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第三部分 名词解释</w:t>
      </w:r>
      <w:r>
        <w:rPr>
          <w:rFonts w:ascii="仿宋" w:hAnsi="仿宋" w:eastAsia="仿宋"/>
          <w:smallCaps/>
          <w:sz w:val="22"/>
          <w:szCs w:val="22"/>
        </w:rPr>
        <w:tab/>
      </w:r>
      <w:r>
        <w:rPr>
          <w:rFonts w:hint="eastAsia" w:ascii="仿宋" w:hAnsi="仿宋" w:eastAsia="仿宋"/>
          <w:smallCaps/>
          <w:sz w:val="22"/>
          <w:szCs w:val="22"/>
        </w:rPr>
        <w:t>16</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第四部分 附件</w:t>
      </w:r>
      <w:r>
        <w:rPr>
          <w:rFonts w:ascii="仿宋" w:hAnsi="仿宋" w:eastAsia="仿宋"/>
          <w:smallCaps/>
          <w:sz w:val="22"/>
          <w:szCs w:val="22"/>
        </w:rPr>
        <w:tab/>
      </w:r>
      <w:r>
        <w:rPr>
          <w:rFonts w:hint="eastAsia" w:ascii="仿宋" w:hAnsi="仿宋" w:eastAsia="仿宋"/>
          <w:smallCaps/>
          <w:sz w:val="22"/>
          <w:szCs w:val="22"/>
        </w:rPr>
        <w:t>19</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附件1</w:t>
      </w:r>
      <w:r>
        <w:rPr>
          <w:rFonts w:ascii="仿宋" w:hAnsi="仿宋" w:eastAsia="仿宋"/>
          <w:smallCaps/>
          <w:sz w:val="22"/>
          <w:szCs w:val="22"/>
        </w:rPr>
        <w:tab/>
      </w:r>
      <w:r>
        <w:rPr>
          <w:rFonts w:hint="eastAsia" w:ascii="仿宋" w:hAnsi="仿宋" w:eastAsia="仿宋"/>
          <w:smallCaps/>
          <w:sz w:val="22"/>
          <w:szCs w:val="22"/>
        </w:rPr>
        <w:t>19</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茂县医疗保障局</w:t>
      </w:r>
      <w:r>
        <w:rPr>
          <w:rFonts w:ascii="仿宋" w:hAnsi="仿宋" w:eastAsia="仿宋"/>
          <w:smallCaps/>
          <w:sz w:val="22"/>
          <w:szCs w:val="22"/>
        </w:rPr>
        <w:t>部门202</w:t>
      </w:r>
      <w:r>
        <w:rPr>
          <w:rFonts w:hint="eastAsia" w:ascii="仿宋" w:hAnsi="仿宋" w:eastAsia="仿宋"/>
          <w:smallCaps/>
          <w:sz w:val="22"/>
          <w:szCs w:val="22"/>
        </w:rPr>
        <w:t>2</w:t>
      </w:r>
      <w:r>
        <w:rPr>
          <w:rFonts w:ascii="仿宋" w:hAnsi="仿宋" w:eastAsia="仿宋"/>
          <w:smallCaps/>
          <w:sz w:val="22"/>
          <w:szCs w:val="22"/>
        </w:rPr>
        <w:t>年部门整体支出绩效评价报告</w:t>
      </w:r>
      <w:r>
        <w:rPr>
          <w:rFonts w:ascii="仿宋" w:hAnsi="仿宋" w:eastAsia="仿宋"/>
          <w:smallCaps/>
          <w:sz w:val="22"/>
          <w:szCs w:val="22"/>
        </w:rPr>
        <w:tab/>
      </w:r>
      <w:r>
        <w:rPr>
          <w:rFonts w:hint="eastAsia" w:ascii="仿宋" w:hAnsi="仿宋" w:eastAsia="仿宋"/>
          <w:smallCaps/>
          <w:sz w:val="22"/>
          <w:szCs w:val="22"/>
        </w:rPr>
        <w:t>19</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附件2</w:t>
      </w:r>
      <w:r>
        <w:rPr>
          <w:rFonts w:ascii="仿宋" w:hAnsi="仿宋" w:eastAsia="仿宋"/>
          <w:smallCaps/>
          <w:sz w:val="22"/>
          <w:szCs w:val="22"/>
        </w:rPr>
        <w:tab/>
      </w:r>
      <w:r>
        <w:rPr>
          <w:rFonts w:hint="eastAsia" w:ascii="仿宋" w:hAnsi="仿宋" w:eastAsia="仿宋"/>
          <w:smallCaps/>
          <w:sz w:val="22"/>
          <w:szCs w:val="22"/>
        </w:rPr>
        <w:t>23</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 xml:space="preserve"> “医疗服务与保障能力提升补助资金”</w:t>
      </w:r>
      <w:r>
        <w:rPr>
          <w:rFonts w:ascii="仿宋" w:hAnsi="仿宋" w:eastAsia="仿宋"/>
          <w:smallCaps/>
          <w:sz w:val="22"/>
          <w:szCs w:val="22"/>
        </w:rPr>
        <w:t>项目202</w:t>
      </w:r>
      <w:r>
        <w:rPr>
          <w:rFonts w:hint="eastAsia" w:ascii="仿宋" w:hAnsi="仿宋" w:eastAsia="仿宋"/>
          <w:smallCaps/>
          <w:sz w:val="22"/>
          <w:szCs w:val="22"/>
        </w:rPr>
        <w:t>2</w:t>
      </w:r>
      <w:r>
        <w:rPr>
          <w:rFonts w:ascii="仿宋" w:hAnsi="仿宋" w:eastAsia="仿宋"/>
          <w:smallCaps/>
          <w:sz w:val="22"/>
          <w:szCs w:val="22"/>
        </w:rPr>
        <w:t>年绩效评价报告</w:t>
      </w:r>
      <w:r>
        <w:rPr>
          <w:rFonts w:ascii="仿宋" w:hAnsi="仿宋" w:eastAsia="仿宋"/>
          <w:smallCaps/>
          <w:sz w:val="22"/>
          <w:szCs w:val="22"/>
        </w:rPr>
        <w:tab/>
      </w:r>
      <w:r>
        <w:rPr>
          <w:rFonts w:hint="eastAsia" w:ascii="仿宋" w:hAnsi="仿宋" w:eastAsia="仿宋"/>
          <w:smallCaps/>
          <w:sz w:val="22"/>
          <w:szCs w:val="22"/>
        </w:rPr>
        <w:t>23</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第五部分 附表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五、财政拨款支出决算明细表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七、一般公共预算财政拨款支出决算明细表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八、一般公共预算财政拨款基本支出决算表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九、一般公共预算财政拨款项目支出决算表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十、一般公共预算财政拨款“三公”经费支出决算表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p>
    <w:p>
      <w:pPr>
        <w:tabs>
          <w:tab w:val="right" w:leader="dot" w:pos="8296"/>
        </w:tabs>
        <w:spacing w:line="412" w:lineRule="exact"/>
        <w:jc w:val="left"/>
        <w:rPr>
          <w:rFonts w:ascii="仿宋" w:hAnsi="仿宋" w:eastAsia="仿宋"/>
          <w:smallCaps/>
          <w:sz w:val="22"/>
          <w:szCs w:val="22"/>
        </w:rPr>
      </w:pPr>
    </w:p>
    <w:p>
      <w:pPr>
        <w:tabs>
          <w:tab w:val="right" w:leader="dot" w:pos="8296"/>
        </w:tabs>
        <w:spacing w:line="412" w:lineRule="exact"/>
        <w:jc w:val="left"/>
        <w:rPr>
          <w:rFonts w:ascii="仿宋" w:hAnsi="仿宋" w:eastAsia="仿宋"/>
          <w:smallCaps/>
          <w:sz w:val="22"/>
          <w:szCs w:val="22"/>
        </w:rPr>
      </w:pPr>
    </w:p>
    <w:p>
      <w:pPr>
        <w:spacing w:line="412" w:lineRule="exact"/>
        <w:rPr>
          <w:rFonts w:ascii="仿宋" w:hAnsi="仿宋" w:eastAsia="仿宋"/>
          <w:sz w:val="22"/>
          <w:szCs w:val="22"/>
        </w:rPr>
      </w:pPr>
      <w:r>
        <w:rPr>
          <w:rFonts w:ascii="仿宋" w:hAnsi="仿宋" w:eastAsia="仿宋"/>
          <w:smallCaps/>
          <w:sz w:val="22"/>
          <w:szCs w:val="22"/>
        </w:rPr>
        <w:fldChar w:fldCharType="end"/>
      </w:r>
      <w:r>
        <w:rPr>
          <w:rFonts w:ascii="仿宋" w:hAnsi="仿宋" w:eastAsia="仿宋"/>
          <w:b/>
          <w:sz w:val="22"/>
          <w:szCs w:val="22"/>
        </w:rPr>
        <w:br w:type="page"/>
      </w:r>
      <w:bookmarkStart w:id="12" w:name="_Toc15396599"/>
      <w:bookmarkStart w:id="13" w:name="_Toc15377196"/>
      <w:r>
        <w:rPr>
          <w:rFonts w:ascii="黑体" w:hAnsi="黑体" w:eastAsia="黑体"/>
        </w:rPr>
        <w:tab/>
      </w:r>
    </w:p>
    <w:p>
      <w:pPr>
        <w:adjustRightInd w:val="0"/>
        <w:snapToGrid w:val="0"/>
        <w:spacing w:line="576" w:lineRule="exact"/>
        <w:jc w:val="center"/>
        <w:outlineLvl w:val="0"/>
        <w:rPr>
          <w:rFonts w:ascii="黑体" w:hAnsi="黑体" w:eastAsia="黑体"/>
          <w:sz w:val="48"/>
          <w:szCs w:val="48"/>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b w:val="0"/>
          <w:bCs w:val="0"/>
        </w:rPr>
        <w:t>部门概况</w:t>
      </w:r>
      <w:bookmarkEnd w:id="12"/>
      <w:bookmarkEnd w:id="13"/>
    </w:p>
    <w:p>
      <w:pPr>
        <w:adjustRightInd w:val="0"/>
        <w:snapToGrid w:val="0"/>
        <w:spacing w:line="576" w:lineRule="exact"/>
        <w:ind w:firstLine="640" w:firstLineChars="200"/>
        <w:rPr>
          <w:rFonts w:ascii="仿宋_GB2312" w:hAnsi="仿宋_GB2312" w:eastAsia="仿宋_GB2312" w:cs="仿宋_GB2312"/>
          <w:sz w:val="32"/>
          <w:szCs w:val="32"/>
        </w:rPr>
      </w:pPr>
    </w:p>
    <w:p>
      <w:pPr>
        <w:pStyle w:val="3"/>
        <w:adjustRightInd w:val="0"/>
        <w:snapToGrid w:val="0"/>
        <w:spacing w:line="576" w:lineRule="exact"/>
        <w:ind w:firstLine="640" w:firstLineChars="200"/>
        <w:rPr>
          <w:rFonts w:ascii="黑体" w:hAnsi="黑体" w:eastAsia="黑体" w:cs="黑体"/>
          <w:b w:val="0"/>
        </w:rPr>
      </w:pPr>
      <w:bookmarkStart w:id="14" w:name="_Toc15377197"/>
      <w:bookmarkStart w:id="15" w:name="_Toc15396600"/>
      <w:r>
        <w:rPr>
          <w:rFonts w:hint="eastAsia" w:ascii="黑体" w:hAnsi="黑体" w:eastAsia="黑体" w:cs="黑体"/>
          <w:b w:val="0"/>
        </w:rPr>
        <w:t>一、基</w:t>
      </w:r>
      <w:r>
        <w:rPr>
          <w:rStyle w:val="25"/>
          <w:rFonts w:hint="eastAsia" w:ascii="黑体" w:hAnsi="黑体" w:eastAsia="黑体" w:cs="黑体"/>
          <w:b w:val="0"/>
          <w:bCs/>
        </w:rPr>
        <w:t>本职能及主要工作</w:t>
      </w:r>
      <w:bookmarkEnd w:id="14"/>
      <w:bookmarkEnd w:id="15"/>
      <w:bookmarkStart w:id="16" w:name="_Toc15377198"/>
      <w:bookmarkStart w:id="17" w:name="_Toc15378445"/>
    </w:p>
    <w:p>
      <w:pPr>
        <w:adjustRightInd w:val="0"/>
        <w:snapToGrid w:val="0"/>
        <w:spacing w:line="576" w:lineRule="exac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（一）主要职能</w:t>
      </w:r>
      <w:bookmarkEnd w:id="16"/>
      <w:bookmarkEnd w:id="17"/>
    </w:p>
    <w:p>
      <w:pPr>
        <w:adjustRightInd w:val="0"/>
        <w:snapToGrid w:val="0"/>
        <w:spacing w:line="576" w:lineRule="exact"/>
        <w:ind w:firstLine="640" w:firstLineChars="200"/>
        <w:rPr>
          <w:rFonts w:ascii="仿宋" w:hAnsi="仿宋" w:eastAsia="仿宋"/>
          <w:bCs/>
          <w:sz w:val="32"/>
          <w:szCs w:val="32"/>
        </w:rPr>
      </w:pP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sz w:val="32"/>
          <w:szCs w:val="32"/>
        </w:rPr>
      </w:pPr>
      <w:bookmarkStart w:id="18" w:name="_Toc15377199"/>
      <w:bookmarkStart w:id="19" w:name="_Toc15378446"/>
      <w:r>
        <w:rPr>
          <w:rFonts w:hint="eastAsia" w:ascii="楷体_GB2312" w:hAnsi="楷体_GB2312" w:eastAsia="楷体_GB2312" w:cs="楷体_GB2312"/>
          <w:b/>
          <w:sz w:val="32"/>
          <w:szCs w:val="32"/>
        </w:rPr>
        <w:t>（二）2022年重点工作完成情况</w:t>
      </w:r>
      <w:bookmarkEnd w:id="18"/>
      <w:bookmarkEnd w:id="19"/>
    </w:p>
    <w:p>
      <w:pPr>
        <w:adjustRightInd w:val="0"/>
        <w:snapToGrid w:val="0"/>
        <w:spacing w:line="576" w:lineRule="exact"/>
        <w:ind w:firstLine="640" w:firstLineChars="200"/>
        <w:rPr>
          <w:rFonts w:ascii="仿宋_GB2312" w:eastAsia="仿宋_GB2312" w:cs="Calibri"/>
          <w:sz w:val="32"/>
          <w:szCs w:val="32"/>
        </w:rPr>
      </w:pPr>
      <w:r>
        <w:rPr>
          <w:rFonts w:hint="eastAsia" w:ascii="仿宋_GB2312" w:eastAsia="仿宋_GB2312" w:cs="Calibri"/>
          <w:sz w:val="32"/>
          <w:szCs w:val="32"/>
        </w:rPr>
        <w:t>2022年，我局在县委县政府的领导下，在州医保的业务指导下认真贯彻执行国家、省有关医疗保险新政策，通过各镇、各医疗机构的大力支持和职工们的共同努力，全面提前并超额完成全年医疗目标任务。</w:t>
      </w:r>
    </w:p>
    <w:p>
      <w:pPr>
        <w:pStyle w:val="3"/>
        <w:adjustRightInd w:val="0"/>
        <w:snapToGrid w:val="0"/>
        <w:spacing w:line="576" w:lineRule="exact"/>
        <w:ind w:firstLine="640" w:firstLineChars="200"/>
        <w:rPr>
          <w:rStyle w:val="25"/>
          <w:b w:val="0"/>
          <w:bCs w:val="0"/>
        </w:rPr>
      </w:pPr>
      <w:bookmarkStart w:id="20" w:name="_Toc15396601"/>
      <w:bookmarkStart w:id="21" w:name="_Toc15377200"/>
      <w:r>
        <w:rPr>
          <w:rFonts w:hint="eastAsia" w:ascii="黑体" w:eastAsia="黑体"/>
          <w:b w:val="0"/>
        </w:rPr>
        <w:t>二、</w:t>
      </w:r>
      <w:r>
        <w:rPr>
          <w:rFonts w:hint="eastAsia" w:ascii="黑体" w:hAnsi="黑体" w:eastAsia="黑体"/>
          <w:b w:val="0"/>
        </w:rPr>
        <w:t>机</w:t>
      </w:r>
      <w:r>
        <w:rPr>
          <w:rStyle w:val="25"/>
          <w:rFonts w:hint="eastAsia" w:ascii="黑体" w:hAnsi="黑体" w:eastAsia="黑体"/>
          <w:b w:val="0"/>
          <w:bCs w:val="0"/>
        </w:rPr>
        <w:t>构设置</w:t>
      </w:r>
      <w:bookmarkEnd w:id="20"/>
      <w:bookmarkEnd w:id="21"/>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茂县医疗保障局属财政全额拨款一级预算单位。下属二级单位2个，其中行政单位1个，参照公务员法管理的事业单位</w:t>
      </w: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个，其他事业单位1个。</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名，在编在职人员26名。其中行政人员8名，参公人员8名，事业人员10名。</w:t>
      </w:r>
    </w:p>
    <w:p>
      <w:pPr>
        <w:adjustRightInd w:val="0"/>
        <w:snapToGrid w:val="0"/>
        <w:spacing w:line="576" w:lineRule="exact"/>
        <w:rPr>
          <w:rFonts w:ascii="仿宋_GB2312" w:eastAsia="仿宋_GB2312" w:cs="Calibri"/>
          <w:sz w:val="32"/>
          <w:szCs w:val="32"/>
        </w:rPr>
      </w:pPr>
    </w:p>
    <w:p>
      <w:pPr>
        <w:numPr>
          <w:ilvl w:val="0"/>
          <w:numId w:val="1"/>
        </w:numPr>
        <w:adjustRightInd w:val="0"/>
        <w:snapToGrid w:val="0"/>
        <w:spacing w:line="576" w:lineRule="exact"/>
        <w:jc w:val="center"/>
        <w:outlineLvl w:val="0"/>
        <w:rPr>
          <w:rStyle w:val="24"/>
          <w:rFonts w:ascii="方正小标宋简体" w:hAnsi="方正小标宋简体" w:eastAsia="方正小标宋简体" w:cs="方正小标宋简体"/>
          <w:b w:val="0"/>
          <w:bCs w:val="0"/>
        </w:rPr>
      </w:pPr>
      <w:bookmarkStart w:id="22" w:name="_Toc15377204"/>
      <w:bookmarkStart w:id="23" w:name="_Toc15396602"/>
      <w:r>
        <w:rPr>
          <w:rStyle w:val="24"/>
          <w:rFonts w:hint="eastAsia" w:ascii="方正小标宋简体" w:hAnsi="方正小标宋简体" w:eastAsia="方正小标宋简体" w:cs="方正小标宋简体"/>
          <w:b w:val="0"/>
          <w:bCs w:val="0"/>
        </w:rPr>
        <w:t>2022年度部门决算情况说明</w:t>
      </w:r>
      <w:bookmarkEnd w:id="22"/>
      <w:bookmarkEnd w:id="23"/>
    </w:p>
    <w:p>
      <w:pPr>
        <w:adjustRightInd w:val="0"/>
        <w:snapToGrid w:val="0"/>
        <w:spacing w:line="576" w:lineRule="exact"/>
        <w:jc w:val="left"/>
      </w:pPr>
    </w:p>
    <w:p>
      <w:pPr>
        <w:pStyle w:val="23"/>
        <w:numPr>
          <w:ilvl w:val="0"/>
          <w:numId w:val="2"/>
        </w:numPr>
        <w:adjustRightInd w:val="0"/>
        <w:snapToGrid w:val="0"/>
        <w:spacing w:line="576" w:lineRule="exact"/>
        <w:ind w:firstLineChars="0"/>
        <w:jc w:val="left"/>
        <w:outlineLvl w:val="1"/>
        <w:rPr>
          <w:rStyle w:val="25"/>
          <w:rFonts w:ascii="黑体" w:hAnsi="黑体" w:eastAsia="黑体"/>
          <w:b w:val="0"/>
        </w:rPr>
      </w:pPr>
      <w:bookmarkStart w:id="24" w:name="_Toc15377205"/>
      <w:bookmarkStart w:id="25" w:name="_Toc15396603"/>
      <w:r>
        <w:rPr>
          <w:rFonts w:hint="eastAsia" w:ascii="黑体" w:hAnsi="黑体" w:eastAsia="黑体"/>
          <w:sz w:val="32"/>
          <w:szCs w:val="32"/>
        </w:rPr>
        <w:t>收</w:t>
      </w:r>
      <w:r>
        <w:rPr>
          <w:rStyle w:val="25"/>
          <w:rFonts w:hint="eastAsia" w:ascii="黑体" w:hAnsi="黑体" w:eastAsia="黑体"/>
          <w:b w:val="0"/>
        </w:rPr>
        <w:t>入支出决算总体情况说明</w:t>
      </w:r>
      <w:bookmarkEnd w:id="24"/>
      <w:bookmarkEnd w:id="25"/>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2022年度收入总计299.92万元（其中：年初结转和结余0万元），支出总计299.92万元。与2021年相比，收入总计增加41.93万元，增加16.25%；支出总计增加41.93万元，增加16.25%。主要变动原因是1.人员变动调整；2.</w:t>
      </w:r>
      <w:r>
        <w:rPr>
          <w:rFonts w:hint="eastAsia" w:ascii="仿宋_GB2312" w:hAnsi="仿宋" w:eastAsia="仿宋_GB2312" w:cs="仿宋"/>
          <w:sz w:val="32"/>
          <w:szCs w:val="32"/>
        </w:rPr>
        <w:t>五险一金增减变动;3.工作变动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ind w:firstLine="1470" w:firstLineChars="700"/>
      </w:pPr>
      <w:r>
        <w:drawing>
          <wp:inline distT="0" distB="0" distL="0" distR="0">
            <wp:extent cx="3324225" cy="2400300"/>
            <wp:effectExtent l="19050" t="0" r="9525" b="0"/>
            <wp:docPr id="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adjustRightInd w:val="0"/>
        <w:snapToGrid w:val="0"/>
        <w:spacing w:line="576"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2022年本年收入合计</w:t>
      </w:r>
      <w:r>
        <w:rPr>
          <w:rFonts w:hint="eastAsia" w:ascii="仿宋_GB2312" w:hAnsi="仿宋_GB2312" w:eastAsia="仿宋_GB2312" w:cs="仿宋_GB2312"/>
          <w:sz w:val="32"/>
          <w:szCs w:val="32"/>
        </w:rPr>
        <w:t>299.92</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sz w:val="32"/>
          <w:szCs w:val="32"/>
        </w:rPr>
        <w:t>299.92</w:t>
      </w:r>
      <w:r>
        <w:rPr>
          <w:rFonts w:hint="eastAsia" w:ascii="仿宋_GB2312" w:hAnsi="仿宋_GB2312" w:eastAsia="仿宋_GB2312" w:cs="仿宋_GB2312"/>
          <w:color w:val="000000"/>
          <w:sz w:val="32"/>
          <w:szCs w:val="32"/>
        </w:rPr>
        <w:t>万元，占100%（其中：2022年度一般公共预算财政拨款年初结转和结余0万元）；政府性基金预算财政拨款收入0万元，国有资本经营预算财政拨款收入0万元，事业收入0万元，经营收入0万元，附属单位上缴收入0万元，其他收入0万元。</w:t>
      </w:r>
    </w:p>
    <w:p>
      <w:pPr>
        <w:adjustRightInd w:val="0"/>
        <w:snapToGrid w:val="0"/>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（图2：收入决算结构图）（饼状图）</w:t>
      </w:r>
    </w:p>
    <w:p>
      <w:pPr>
        <w:ind w:firstLine="945" w:firstLineChars="450"/>
      </w:pPr>
      <w:r>
        <w:drawing>
          <wp:inline distT="0" distB="0" distL="0" distR="0">
            <wp:extent cx="3829050" cy="1866900"/>
            <wp:effectExtent l="19050" t="0" r="19050" b="0"/>
            <wp:docPr id="10" name="对象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adjustRightInd w:val="0"/>
        <w:snapToGrid w:val="0"/>
        <w:spacing w:line="576" w:lineRule="exact"/>
        <w:ind w:firstLine="640"/>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2022年本年支出合计</w:t>
      </w:r>
      <w:r>
        <w:rPr>
          <w:rFonts w:hint="eastAsia" w:ascii="仿宋_GB2312" w:hAnsi="仿宋_GB2312" w:eastAsia="仿宋_GB2312" w:cs="仿宋_GB2312"/>
          <w:sz w:val="32"/>
          <w:szCs w:val="32"/>
        </w:rPr>
        <w:t>299.92</w:t>
      </w:r>
      <w:r>
        <w:rPr>
          <w:rFonts w:hint="eastAsia" w:ascii="仿宋_GB2312" w:hAnsi="仿宋_GB2312" w:eastAsia="仿宋_GB2312" w:cs="仿宋_GB2312"/>
          <w:color w:val="000000"/>
          <w:sz w:val="32"/>
          <w:szCs w:val="32"/>
        </w:rPr>
        <w:t>万元，其中：基本支出284.92万元，占95%；项目支出15万元，占5%；上缴上级支出0万元，经营支出0万元，对附属单位补助支出0万元。</w:t>
      </w:r>
    </w:p>
    <w:p>
      <w:pPr>
        <w:adjustRightInd w:val="0"/>
        <w:snapToGrid w:val="0"/>
        <w:spacing w:line="576" w:lineRule="exact"/>
        <w:ind w:firstLine="640" w:firstLineChars="200"/>
        <w:rPr>
          <w:rFonts w:ascii="仿宋" w:hAnsi="仿宋" w:eastAsia="仿宋"/>
          <w:color w:val="000000" w:themeColor="text1"/>
          <w:sz w:val="32"/>
          <w:szCs w:val="32"/>
        </w:rPr>
      </w:pPr>
      <w:r>
        <w:rPr>
          <w:rFonts w:hint="eastAsia" w:ascii="仿宋_GB2312" w:hAnsi="仿宋_GB2312" w:eastAsia="仿宋_GB2312" w:cs="仿宋_GB2312"/>
          <w:color w:val="000000" w:themeColor="text1"/>
          <w:sz w:val="32"/>
          <w:szCs w:val="32"/>
        </w:rPr>
        <w:t>（图3：支出决算结构图）（饼状图）</w:t>
      </w:r>
    </w:p>
    <w:p>
      <w:pPr>
        <w:ind w:firstLine="945" w:firstLineChars="450"/>
      </w:pPr>
      <w:r>
        <w:drawing>
          <wp:inline distT="0" distB="0" distL="0" distR="0">
            <wp:extent cx="3829050" cy="1866900"/>
            <wp:effectExtent l="19050" t="0" r="19050" b="0"/>
            <wp:docPr id="15" name="对象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adjustRightInd w:val="0"/>
        <w:snapToGrid w:val="0"/>
        <w:spacing w:line="576" w:lineRule="exact"/>
        <w:ind w:firstLine="640" w:firstLineChars="200"/>
        <w:rPr>
          <w:rStyle w:val="25"/>
          <w:rFonts w:ascii="黑体" w:hAnsi="黑体" w:eastAsia="黑体" w:cs="黑体"/>
          <w:b w:val="0"/>
          <w:bCs w:val="0"/>
        </w:rPr>
      </w:pPr>
      <w:bookmarkStart w:id="30" w:name="_Toc15396606"/>
      <w:bookmarkStart w:id="31" w:name="_Toc15377208"/>
      <w:r>
        <w:rPr>
          <w:rFonts w:hint="eastAsia" w:ascii="黑体" w:hAnsi="黑体" w:eastAsia="黑体" w:cs="黑体"/>
          <w:b w:val="0"/>
          <w:bCs w:val="0"/>
          <w:color w:val="000000"/>
        </w:rPr>
        <w:t>四、财</w:t>
      </w:r>
      <w:r>
        <w:rPr>
          <w:rStyle w:val="25"/>
          <w:rFonts w:hint="eastAsia" w:ascii="黑体" w:hAnsi="黑体" w:eastAsia="黑体" w:cs="黑体"/>
          <w:b w:val="0"/>
          <w:bCs w:val="0"/>
        </w:rPr>
        <w:t>政拨款收入支出决算总体情况说明</w:t>
      </w:r>
      <w:bookmarkEnd w:id="30"/>
      <w:bookmarkEnd w:id="31"/>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2022年度收入总计299.92万元（其中：年初结转和结余0万元），支出总计299.92万元。与2021年相比，收入总计增加41.93万元，增加16.25%；支出总计增加41.93万元，增加16.25%。主要变动原因是1.人员变动调整；2.</w:t>
      </w:r>
      <w:r>
        <w:rPr>
          <w:rFonts w:hint="eastAsia" w:ascii="仿宋_GB2312" w:hAnsi="仿宋" w:eastAsia="仿宋_GB2312" w:cs="仿宋"/>
          <w:sz w:val="32"/>
          <w:szCs w:val="32"/>
        </w:rPr>
        <w:t>五险一金增减变动;3.工资变动。</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ind w:firstLine="1470" w:firstLineChars="700"/>
      </w:pPr>
      <w:r>
        <w:drawing>
          <wp:inline distT="0" distB="0" distL="0" distR="0">
            <wp:extent cx="3324225" cy="2400300"/>
            <wp:effectExtent l="19050" t="0" r="9525" b="0"/>
            <wp:docPr id="2"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adjustRightInd w:val="0"/>
        <w:snapToGrid w:val="0"/>
        <w:spacing w:line="576" w:lineRule="exact"/>
        <w:ind w:firstLine="640" w:firstLineChars="200"/>
        <w:rPr>
          <w:rFonts w:ascii="黑体" w:hAnsi="黑体" w:eastAsia="黑体" w:cs="黑体"/>
          <w:b w:val="0"/>
          <w:bCs w:val="0"/>
          <w:color w:val="000000"/>
        </w:rPr>
      </w:pPr>
      <w:bookmarkStart w:id="32" w:name="_Toc15396607"/>
      <w:bookmarkStart w:id="33" w:name="_Toc15377209"/>
      <w:r>
        <w:rPr>
          <w:rFonts w:hint="eastAsia" w:ascii="黑体" w:hAnsi="黑体" w:eastAsia="黑体" w:cs="黑体"/>
          <w:b w:val="0"/>
          <w:bCs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（一）一般公共预算财政拨款支出决算总体情况</w:t>
      </w:r>
      <w:bookmarkEnd w:id="34"/>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2022年一般公共预算财政拨款支出299.92万元，占本年支出合计的100%。与2021年相比，一般公共预算财政拨款增加41.93万元，增加16.25%。主要变动原因是1.人员变动调整；2.</w:t>
      </w:r>
      <w:r>
        <w:rPr>
          <w:rFonts w:hint="eastAsia" w:ascii="仿宋_GB2312" w:hAnsi="仿宋" w:eastAsia="仿宋_GB2312" w:cs="仿宋"/>
          <w:sz w:val="32"/>
          <w:szCs w:val="32"/>
        </w:rPr>
        <w:t>五险一金增减变动；3.工资变动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ind w:firstLine="1470" w:firstLineChars="700"/>
      </w:pPr>
      <w:r>
        <w:drawing>
          <wp:inline distT="0" distB="0" distL="0" distR="0">
            <wp:extent cx="3324225" cy="2400300"/>
            <wp:effectExtent l="19050" t="0" r="9525" b="0"/>
            <wp:docPr id="37" name="对象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pPr>
        <w:adjustRightInd w:val="0"/>
        <w:snapToGrid w:val="0"/>
        <w:spacing w:line="576"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2022年一般公共预算财</w:t>
      </w:r>
      <w:r>
        <w:rPr>
          <w:rFonts w:hint="eastAsia" w:ascii="仿宋_GB2312" w:hAnsi="仿宋_GB2312" w:eastAsia="仿宋_GB2312" w:cs="仿宋_GB2312"/>
          <w:color w:val="000000" w:themeColor="text1"/>
          <w:sz w:val="32"/>
          <w:szCs w:val="32"/>
        </w:rPr>
        <w:t>政拨款支出299.92万元，主要用于以下方面:社会保障和就业（类）支出33.88万元，占11.30%；健康卫生支出（类）244.46万元，占81.51%；住房保障（类）支出21.58万元，占7.19%。</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ind w:firstLine="1470" w:firstLineChars="700"/>
      </w:pPr>
      <w:r>
        <w:drawing>
          <wp:inline distT="0" distB="0" distL="0" distR="0">
            <wp:extent cx="3638550" cy="2286000"/>
            <wp:effectExtent l="19050" t="0" r="19050" b="0"/>
            <wp:docPr id="5" name="对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adjustRightInd w:val="0"/>
        <w:snapToGrid w:val="0"/>
        <w:spacing w:line="576" w:lineRule="exact"/>
        <w:ind w:firstLine="640" w:firstLineChars="200"/>
        <w:outlineLvl w:val="2"/>
        <w:rPr>
          <w:rFonts w:ascii="仿宋_GB2312" w:hAnsi="仿宋_GB2312" w:eastAsia="仿宋_GB2312" w:cs="仿宋_GB2312"/>
          <w:bCs/>
          <w:color w:val="FF0000"/>
          <w:sz w:val="32"/>
          <w:szCs w:val="32"/>
        </w:rPr>
      </w:pPr>
      <w:bookmarkStart w:id="37" w:name="_Toc15378460"/>
      <w:bookmarkStart w:id="38" w:name="_Toc15377444"/>
      <w:bookmarkStart w:id="39" w:name="_Toc15377213"/>
      <w:r>
        <w:rPr>
          <w:rFonts w:hint="eastAsia" w:ascii="仿宋_GB2312" w:hAnsi="仿宋_GB2312" w:eastAsia="仿宋_GB2312" w:cs="仿宋_GB2312"/>
          <w:bCs/>
          <w:color w:val="000000" w:themeColor="text1"/>
          <w:sz w:val="32"/>
          <w:szCs w:val="32"/>
        </w:rPr>
        <w:t>2022年一般公共预算支出决算数为299.92万元，</w:t>
      </w:r>
      <w:r>
        <w:rPr>
          <w:rStyle w:val="14"/>
          <w:rFonts w:hint="eastAsia" w:ascii="仿宋_GB2312" w:hAnsi="仿宋_GB2312" w:eastAsia="仿宋_GB2312" w:cs="仿宋_GB2312"/>
          <w:b w:val="0"/>
          <w:bCs/>
          <w:color w:val="000000" w:themeColor="text1"/>
          <w:sz w:val="32"/>
          <w:szCs w:val="32"/>
        </w:rPr>
        <w:t>完成</w:t>
      </w:r>
      <w:r>
        <w:rPr>
          <w:rStyle w:val="14"/>
          <w:rFonts w:hint="eastAsia" w:ascii="仿宋_GB2312" w:hAnsi="仿宋_GB2312" w:eastAsia="仿宋_GB2312" w:cs="仿宋_GB2312"/>
          <w:b w:val="0"/>
          <w:bCs/>
          <w:color w:val="000000"/>
          <w:sz w:val="32"/>
          <w:szCs w:val="32"/>
        </w:rPr>
        <w:t>预算100%。其中：</w:t>
      </w:r>
      <w:bookmarkEnd w:id="37"/>
      <w:bookmarkEnd w:id="38"/>
      <w:bookmarkEnd w:id="39"/>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1.社会保障和就业（类）行政事业单位离退休（款）机关事业单位基本养老保险缴费支出（项）:</w:t>
      </w:r>
      <w:r>
        <w:rPr>
          <w:rStyle w:val="14"/>
          <w:rFonts w:hint="eastAsia" w:ascii="仿宋_GB2312" w:hAnsi="仿宋_GB2312" w:eastAsia="仿宋_GB2312" w:cs="仿宋_GB2312"/>
          <w:b w:val="0"/>
          <w:bCs/>
          <w:color w:val="000000"/>
          <w:sz w:val="32"/>
          <w:szCs w:val="32"/>
        </w:rPr>
        <w:t>支出决算为22.59万元，完成预算100%。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2.社会保障和就业（类）行政事业单位离退休（款）机关事业单位职业年金缴费支出（项）:</w:t>
      </w:r>
      <w:r>
        <w:rPr>
          <w:rStyle w:val="14"/>
          <w:rFonts w:hint="eastAsia" w:ascii="仿宋_GB2312" w:hAnsi="仿宋_GB2312" w:eastAsia="仿宋_GB2312" w:cs="仿宋_GB2312"/>
          <w:b w:val="0"/>
          <w:bCs/>
          <w:color w:val="000000"/>
          <w:sz w:val="32"/>
          <w:szCs w:val="32"/>
        </w:rPr>
        <w:t>支出决算为11.29万元，完成预算100%。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3.卫生健康支出（类）行政事业单位医疗（款）行政单位医疗（项）:</w:t>
      </w:r>
      <w:r>
        <w:rPr>
          <w:rStyle w:val="14"/>
          <w:rFonts w:hint="eastAsia" w:ascii="仿宋_GB2312" w:hAnsi="仿宋_GB2312" w:eastAsia="仿宋_GB2312" w:cs="仿宋_GB2312"/>
          <w:b w:val="0"/>
          <w:bCs/>
          <w:color w:val="000000"/>
          <w:sz w:val="32"/>
          <w:szCs w:val="32"/>
        </w:rPr>
        <w:t>支出决算为14.67万元，完成预算100%。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4.卫生健康支出（类）医疗保障管理事务（款）行政运行（项）:</w:t>
      </w:r>
      <w:r>
        <w:rPr>
          <w:rStyle w:val="14"/>
          <w:rFonts w:hint="eastAsia" w:ascii="仿宋_GB2312" w:hAnsi="仿宋_GB2312" w:eastAsia="仿宋_GB2312" w:cs="仿宋_GB2312"/>
          <w:b w:val="0"/>
          <w:bCs/>
          <w:color w:val="000000"/>
          <w:sz w:val="32"/>
          <w:szCs w:val="32"/>
        </w:rPr>
        <w:t>支出决算为214.79万元，完成预算100%。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5.卫生健康支出（类）医疗保障管理事务（款）其他医疗保障管理事务支出（项）:</w:t>
      </w:r>
      <w:r>
        <w:rPr>
          <w:rStyle w:val="14"/>
          <w:rFonts w:hint="eastAsia" w:ascii="仿宋_GB2312" w:hAnsi="仿宋_GB2312" w:eastAsia="仿宋_GB2312" w:cs="仿宋_GB2312"/>
          <w:b w:val="0"/>
          <w:bCs/>
          <w:color w:val="000000"/>
          <w:sz w:val="32"/>
          <w:szCs w:val="32"/>
        </w:rPr>
        <w:t>支出决算为15万元，完成预算100%。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6.住房保障（类）住房改革支出（款）住房公积金（项）:</w:t>
      </w:r>
      <w:r>
        <w:rPr>
          <w:rStyle w:val="14"/>
          <w:rFonts w:hint="eastAsia" w:ascii="仿宋_GB2312" w:hAnsi="仿宋_GB2312" w:eastAsia="仿宋_GB2312" w:cs="仿宋_GB2312"/>
          <w:b w:val="0"/>
          <w:bCs/>
          <w:color w:val="000000"/>
          <w:sz w:val="32"/>
          <w:szCs w:val="32"/>
        </w:rPr>
        <w:t>支出决算为20.56万元，完成预算100%。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7.住房保障（类）住房改革支出（款）购房补贴（项）:</w:t>
      </w:r>
      <w:r>
        <w:rPr>
          <w:rStyle w:val="14"/>
          <w:rFonts w:hint="eastAsia" w:ascii="仿宋_GB2312" w:hAnsi="仿宋_GB2312" w:eastAsia="仿宋_GB2312" w:cs="仿宋_GB2312"/>
          <w:b w:val="0"/>
          <w:bCs/>
          <w:color w:val="000000"/>
          <w:sz w:val="32"/>
          <w:szCs w:val="32"/>
        </w:rPr>
        <w:t>支出决算为1.02万元，完成预算100%。</w:t>
      </w:r>
    </w:p>
    <w:p>
      <w:pPr>
        <w:pStyle w:val="3"/>
        <w:adjustRightInd w:val="0"/>
        <w:snapToGrid w:val="0"/>
        <w:spacing w:line="576" w:lineRule="exact"/>
        <w:ind w:firstLine="640" w:firstLineChars="200"/>
        <w:rPr>
          <w:rStyle w:val="25"/>
          <w:b w:val="0"/>
          <w:bCs w:val="0"/>
        </w:rPr>
      </w:pPr>
      <w:bookmarkStart w:id="40" w:name="_Toc15377214"/>
      <w:bookmarkStart w:id="41" w:name="_Toc15396608"/>
      <w:r>
        <w:rPr>
          <w:rFonts w:hint="eastAsia" w:ascii="黑体" w:eastAsia="黑体"/>
          <w:b w:val="0"/>
          <w:bCs w:val="0"/>
          <w:color w:val="000000"/>
        </w:rPr>
        <w:t>六、</w:t>
      </w:r>
      <w:r>
        <w:rPr>
          <w:rFonts w:hint="eastAsia" w:ascii="黑体" w:hAnsi="黑体" w:eastAsia="黑体"/>
          <w:b w:val="0"/>
          <w:bCs w:val="0"/>
          <w:color w:val="000000"/>
        </w:rPr>
        <w:t>一</w:t>
      </w:r>
      <w:r>
        <w:rPr>
          <w:rStyle w:val="25"/>
          <w:rFonts w:hint="eastAsia" w:ascii="黑体" w:hAnsi="黑体" w:eastAsia="黑体"/>
          <w:b w:val="0"/>
          <w:bCs w:val="0"/>
        </w:rPr>
        <w:t>般公共预算财政拨款基本支出决算情况说明</w:t>
      </w:r>
      <w:bookmarkEnd w:id="40"/>
      <w:bookmarkEnd w:id="41"/>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2022年一般公共预算财政拨款基本支出284.92万元，其中：</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人员经费274.84万元，主要包括：基本工资、津贴补贴、奖金、机关事业单位基本养老保险缴费、职业年金缴费、其他社会保障缴费、医疗费、奖励金、住房公积金等。</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公用经费10.08万元，主要包括：办公费、邮电费、差旅费、培训费、公务接待费、工会经费、其他交通费等。</w:t>
      </w:r>
    </w:p>
    <w:p>
      <w:pPr>
        <w:pStyle w:val="3"/>
        <w:adjustRightInd w:val="0"/>
        <w:snapToGrid w:val="0"/>
        <w:spacing w:line="576" w:lineRule="exact"/>
        <w:ind w:firstLine="640" w:firstLineChars="200"/>
        <w:rPr>
          <w:rStyle w:val="25"/>
          <w:rFonts w:ascii="黑体" w:hAnsi="黑体" w:eastAsia="黑体" w:cs="黑体"/>
          <w:b w:val="0"/>
          <w:bCs w:val="0"/>
        </w:rPr>
      </w:pPr>
      <w:bookmarkStart w:id="42" w:name="_Toc15396609"/>
      <w:bookmarkStart w:id="43" w:name="_Toc15377215"/>
      <w:r>
        <w:rPr>
          <w:rFonts w:hint="eastAsia" w:ascii="黑体" w:hAnsi="黑体" w:eastAsia="黑体" w:cs="黑体"/>
          <w:b w:val="0"/>
          <w:bCs w:val="0"/>
          <w:color w:val="000000"/>
        </w:rPr>
        <w:t>七、</w:t>
      </w:r>
      <w:r>
        <w:rPr>
          <w:rStyle w:val="25"/>
          <w:rFonts w:hint="eastAsia" w:ascii="黑体" w:hAnsi="黑体" w:eastAsia="黑体" w:cs="黑体"/>
          <w:b w:val="0"/>
          <w:bCs w:val="0"/>
        </w:rPr>
        <w:t>“三公”经费财政拨款支出决算情况说明</w:t>
      </w:r>
      <w:bookmarkEnd w:id="42"/>
      <w:bookmarkEnd w:id="43"/>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adjustRightInd w:val="0"/>
        <w:snapToGrid w:val="0"/>
        <w:spacing w:line="576" w:lineRule="exact"/>
        <w:ind w:firstLine="640"/>
        <w:rPr>
          <w:rFonts w:ascii="仿宋_GB2312" w:hAnsi="仿宋_GB2312" w:eastAsia="仿宋_GB2312" w:cs="仿宋_GB2312"/>
          <w:b/>
          <w:color w:val="000000" w:themeColor="text1"/>
          <w:sz w:val="32"/>
          <w:szCs w:val="32"/>
        </w:rPr>
      </w:pPr>
      <w:r>
        <w:rPr>
          <w:rFonts w:hint="eastAsia" w:ascii="仿宋_GB2312" w:hAnsi="仿宋_GB2312" w:eastAsia="仿宋_GB2312" w:cs="仿宋_GB2312"/>
          <w:color w:val="000000"/>
          <w:sz w:val="32"/>
          <w:szCs w:val="32"/>
        </w:rPr>
        <w:t>2022年“三公”经费财政拨款支出决算为2.29万元，完成预算100%。</w:t>
      </w:r>
    </w:p>
    <w:p>
      <w:pPr>
        <w:adjustRightInd w:val="0"/>
        <w:snapToGrid w:val="0"/>
        <w:spacing w:line="576" w:lineRule="exact"/>
        <w:ind w:firstLine="642" w:firstLineChars="200"/>
        <w:outlineLvl w:val="1"/>
        <w:rPr>
          <w:rFonts w:ascii="仿宋" w:hAnsi="仿宋" w:eastAsia="仿宋"/>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2022年“三公”经费财政拨款支出决算中，因公出国（境）费支出决算0万元，公务用车购置及运行维护费支出决算2.19万元，公务接待费支出决算0.1万元，占100%。</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具体情况如下：</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（图8：“三公”经费财政拨款支出结构）（饼状图）</w:t>
      </w:r>
    </w:p>
    <w:p>
      <w:pPr>
        <w:widowControl/>
        <w:ind w:firstLine="1470" w:firstLineChars="700"/>
      </w:pPr>
      <w:r>
        <w:drawing>
          <wp:inline distT="0" distB="0" distL="0" distR="0">
            <wp:extent cx="3600450" cy="1885950"/>
            <wp:effectExtent l="19050" t="0" r="19050" b="0"/>
            <wp:docPr id="34" name="对象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rPr>
        <w:t>2.19万元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其中：公务用车购置支出0万元。</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公务用车运行维护费支出2.19万元。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rPr>
        <w:t>0.1万元，</w:t>
      </w:r>
      <w:r>
        <w:rPr>
          <w:rStyle w:val="14"/>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公务接待费支出决算比2021年减少0.11万元，减少47.62%。主要原因是由于接待人次、接待批次减少，导致单位年底“三公”经费减少。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8批次，30人次（不包括陪同人员），共计支出0.1万元，具体内容包括接待州级单位检查、各地方交叉检查共计支付0.1万元。其中：外事接待支出0万元</w:t>
      </w:r>
      <w:r>
        <w:rPr>
          <w:rFonts w:hint="eastAsia" w:ascii="仿宋_GB2312" w:hAnsi="仿宋_GB2312" w:eastAsia="仿宋_GB2312" w:cs="仿宋_GB2312"/>
          <w:color w:val="000000" w:themeColor="text1"/>
          <w:sz w:val="32"/>
          <w:szCs w:val="32"/>
        </w:rPr>
        <w:t>，外事接待0批次，0人，共计支出0万元。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其他国内公务接待支出0.1万元，主要用于</w:t>
      </w:r>
      <w:bookmarkStart w:id="46" w:name="_Toc15377218"/>
      <w:bookmarkStart w:id="47" w:name="_Toc15396610"/>
      <w:r>
        <w:rPr>
          <w:rFonts w:hint="eastAsia" w:ascii="仿宋_GB2312" w:hAnsi="仿宋_GB2312" w:eastAsia="仿宋_GB2312" w:cs="仿宋_GB2312"/>
          <w:sz w:val="32"/>
          <w:szCs w:val="32"/>
        </w:rPr>
        <w:t>执行公务、开展业务活动开支的交通费、住宿费、用餐费等。</w:t>
      </w:r>
    </w:p>
    <w:p>
      <w:pPr>
        <w:pStyle w:val="3"/>
        <w:adjustRightInd w:val="0"/>
        <w:snapToGrid w:val="0"/>
        <w:spacing w:line="576" w:lineRule="exact"/>
        <w:ind w:firstLine="640" w:firstLineChars="200"/>
        <w:rPr>
          <w:rStyle w:val="25"/>
          <w:rFonts w:ascii="黑体" w:hAnsi="黑体" w:eastAsia="黑体"/>
          <w:b/>
          <w:bCs/>
        </w:rPr>
      </w:pPr>
      <w:r>
        <w:rPr>
          <w:rFonts w:hint="eastAsia" w:ascii="黑体" w:hAns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22年政府性基金预算拨款支出0万元。</w:t>
      </w:r>
    </w:p>
    <w:p>
      <w:pPr>
        <w:pStyle w:val="3"/>
        <w:adjustRightInd w:val="0"/>
        <w:snapToGrid w:val="0"/>
        <w:spacing w:line="576" w:lineRule="exact"/>
        <w:ind w:firstLine="640" w:firstLineChars="200"/>
        <w:rPr>
          <w:rStyle w:val="25"/>
          <w:rFonts w:ascii="黑体" w:hAnsi="黑体" w:eastAsia="黑体"/>
          <w:b w:val="0"/>
          <w:bCs/>
        </w:rPr>
      </w:pPr>
      <w:bookmarkStart w:id="48" w:name="_Toc15396611"/>
      <w:bookmarkStart w:id="49" w:name="_Toc15377219"/>
      <w:r>
        <w:rPr>
          <w:rStyle w:val="25"/>
          <w:rFonts w:hint="eastAsia" w:ascii="黑体" w:hAnsi="黑体" w:eastAsia="黑体"/>
          <w:b w:val="0"/>
          <w:bCs/>
        </w:rPr>
        <w:t>九、国有资本经营预算支出决算情况说明</w:t>
      </w:r>
      <w:bookmarkEnd w:id="48"/>
      <w:bookmarkEnd w:id="49"/>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22年国有资本经营预算拨款支出0万元。</w:t>
      </w:r>
    </w:p>
    <w:p>
      <w:pPr>
        <w:pStyle w:val="3"/>
        <w:adjustRightInd w:val="0"/>
        <w:snapToGrid w:val="0"/>
        <w:spacing w:line="576" w:lineRule="exact"/>
        <w:ind w:firstLine="640" w:firstLineChars="200"/>
        <w:rPr>
          <w:rStyle w:val="25"/>
          <w:rFonts w:ascii="黑体" w:hAnsi="黑体" w:eastAsia="黑体"/>
          <w:b w:val="0"/>
          <w:bCs/>
        </w:rPr>
      </w:pPr>
      <w:r>
        <w:rPr>
          <w:rStyle w:val="25"/>
          <w:rFonts w:hint="eastAsia" w:ascii="黑体" w:hAnsi="黑体" w:eastAsia="黑体"/>
          <w:b w:val="0"/>
          <w:bCs/>
        </w:rPr>
        <w:t>十、其他重要事项的情况说明</w:t>
      </w:r>
    </w:p>
    <w:p>
      <w:pPr>
        <w:adjustRightInd w:val="0"/>
        <w:snapToGrid w:val="0"/>
        <w:spacing w:line="576" w:lineRule="exact"/>
        <w:ind w:firstLine="642" w:firstLineChars="200"/>
        <w:outlineLvl w:val="2"/>
        <w:rPr>
          <w:rFonts w:ascii="楷体_GB2312" w:hAnsi="楷体_GB2312" w:eastAsia="楷体_GB2312" w:cs="楷体_GB2312"/>
          <w:b/>
          <w:color w:val="000000"/>
          <w:sz w:val="32"/>
          <w:szCs w:val="32"/>
        </w:rPr>
      </w:pPr>
      <w:bookmarkStart w:id="50" w:name="_Toc15377222"/>
      <w:r>
        <w:rPr>
          <w:rFonts w:hint="eastAsia" w:ascii="楷体_GB2312" w:hAnsi="楷体_GB2312" w:eastAsia="楷体_GB2312" w:cs="楷体_GB2312"/>
          <w:b/>
          <w:color w:val="000000"/>
          <w:sz w:val="32"/>
          <w:szCs w:val="32"/>
        </w:rPr>
        <w:t>（一）机关运行经费支出情况</w:t>
      </w:r>
      <w:bookmarkEnd w:id="50"/>
    </w:p>
    <w:p>
      <w:pPr>
        <w:adjustRightInd w:val="0"/>
        <w:snapToGrid w:val="0"/>
        <w:spacing w:line="576"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w:t>
      </w:r>
      <w:r>
        <w:rPr>
          <w:rFonts w:hint="eastAsia" w:ascii="仿宋_GB2312" w:eastAsia="仿宋_GB2312"/>
          <w:color w:val="000000"/>
          <w:sz w:val="32"/>
          <w:szCs w:val="32"/>
        </w:rPr>
        <w:t>22年，茂县医疗保障局机关运行经费支出10.08万元,较2021减少2.29万元。主要由于人员变动，减少支出。</w:t>
      </w:r>
    </w:p>
    <w:p>
      <w:pPr>
        <w:adjustRightInd w:val="0"/>
        <w:snapToGrid w:val="0"/>
        <w:spacing w:line="576" w:lineRule="exact"/>
        <w:ind w:firstLine="642" w:firstLineChars="200"/>
        <w:outlineLvl w:val="1"/>
        <w:rPr>
          <w:rFonts w:ascii="仿宋" w:hAnsi="仿宋" w:eastAsia="仿宋"/>
          <w:b/>
          <w:color w:val="000000"/>
          <w:sz w:val="32"/>
          <w:szCs w:val="32"/>
        </w:rPr>
      </w:pPr>
      <w:bookmarkStart w:id="51" w:name="_Toc15377223"/>
      <w:r>
        <w:rPr>
          <w:rFonts w:hint="eastAsia" w:ascii="楷体_GB2312" w:hAnsi="楷体_GB2312" w:eastAsia="楷体_GB2312" w:cs="楷体_GB2312"/>
          <w:b/>
          <w:color w:val="000000"/>
          <w:sz w:val="32"/>
          <w:szCs w:val="32"/>
        </w:rPr>
        <w:t>（二）政府采购支出情况</w:t>
      </w:r>
      <w:bookmarkEnd w:id="51"/>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2022年，茂县医疗保障局政府采购支出总额0万元。</w:t>
      </w:r>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52" w:name="_Toc15377224"/>
      <w:r>
        <w:rPr>
          <w:rFonts w:hint="eastAsia" w:ascii="楷体_GB2312" w:hAnsi="楷体_GB2312" w:eastAsia="楷体_GB2312" w:cs="楷体_GB2312"/>
          <w:b/>
          <w:color w:val="000000"/>
          <w:sz w:val="32"/>
          <w:szCs w:val="32"/>
        </w:rPr>
        <w:t>（三）国有资产占有使用情况</w:t>
      </w:r>
      <w:bookmarkEnd w:id="52"/>
    </w:p>
    <w:p>
      <w:pPr>
        <w:autoSpaceDE w:val="0"/>
        <w:autoSpaceDN w:val="0"/>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截至2022年12月31日，茂县医疗保障局共有车辆0辆。</w:t>
      </w:r>
    </w:p>
    <w:p>
      <w:pPr>
        <w:adjustRightInd w:val="0"/>
        <w:snapToGrid w:val="0"/>
        <w:spacing w:line="576"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由于2019年度机构改革，茂县医疗保险管理局和茂县城乡居民基本医疗保险管理办公室合并更名为茂县医疗保障局。</w:t>
      </w:r>
    </w:p>
    <w:p>
      <w:pPr>
        <w:adjustRightInd w:val="0"/>
        <w:snapToGrid w:val="0"/>
        <w:spacing w:line="576" w:lineRule="exact"/>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（四）预算绩效管理情况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医疗服务与保障能力提升补助资金”项目开展了预算事前绩效评估，对这个项目编制了绩效目标，预算执行过程中，选取这个项目开展绩效监控，年终执行完毕后，对这个项目开展了绩效目标完成情况梳理填报。</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本部门按要求对2022年部门整体支出开展绩效自评，从评价情况来看2022年部门整体支出有效的保障了单位的正常运行，保障了职工的基本福利待遇，使大家的工作积极性得到了提高。</w:t>
      </w:r>
    </w:p>
    <w:p>
      <w:pPr>
        <w:spacing w:line="600" w:lineRule="exact"/>
        <w:ind w:firstLine="642" w:firstLineChars="200"/>
        <w:outlineLvl w:val="1"/>
        <w:rPr>
          <w:rFonts w:ascii="楷体_GB2312" w:hAnsi="仿宋" w:eastAsia="楷体_GB2312" w:cs="楷体_GB2312"/>
          <w:b/>
          <w:bCs/>
          <w:sz w:val="32"/>
          <w:szCs w:val="32"/>
        </w:rPr>
      </w:pPr>
      <w:r>
        <w:rPr>
          <w:rFonts w:hint="eastAsia" w:ascii="楷体_GB2312" w:hAnsi="仿宋" w:eastAsia="楷体_GB2312" w:cs="楷体_GB2312"/>
          <w:b/>
          <w:bCs/>
          <w:sz w:val="32"/>
          <w:szCs w:val="32"/>
        </w:rPr>
        <w:t>项目绩效目标完成情况</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本部门在2022年度部门决算中反映 “医疗服务与保障能力提升补助资金”项目绩效目标实际完成情况。</w:t>
      </w:r>
    </w:p>
    <w:p>
      <w:pPr>
        <w:tabs>
          <w:tab w:val="left" w:pos="312"/>
        </w:tabs>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“医疗服务与保障能力提升补助资金”项目绩效目标完成情况综述。项目全年预算数15万元，执行数为15万元，完成预算的100%。通过项目实施，保障了医保信息系统的正常运行以及医保活动的政策宣传工作。</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widowControl/>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r>
              <w:rPr>
                <w:rFonts w:hint="eastAsia" w:ascii="黑体" w:hAns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hAnsi="宋体" w:cs="宋体"/>
                <w:color w:val="000000"/>
                <w:sz w:val="36"/>
                <w:szCs w:val="36"/>
              </w:rPr>
            </w:pPr>
            <w:r>
              <w:rPr>
                <w:rFonts w:hint="eastAsia" w:ascii="宋体" w:hAnsi="宋体" w:cs="宋体"/>
                <w:color w:val="000000"/>
                <w:kern w:val="0"/>
                <w:sz w:val="36"/>
                <w:szCs w:val="36"/>
              </w:rPr>
              <w:t>(2022年度)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医疗服务与保障能力提升补助资金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保障了医保信息系统的正常运行以及医保活动的政策宣传工作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保障了2022年医保信息系统的正常运行以及医保活动的政策宣传工作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开展全域医保政策宣传活动次数</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参保群众政策知晓率</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参保人员对医保服务的满意度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adjustRightInd w:val="0"/>
        <w:snapToGrid w:val="0"/>
        <w:spacing w:line="576" w:lineRule="exact"/>
        <w:ind w:firstLine="642" w:firstLineChars="200"/>
        <w:outlineLvl w:val="1"/>
        <w:rPr>
          <w:rFonts w:ascii="楷体_GB2312" w:hAnsi="楷体_GB2312" w:eastAsia="楷体_GB2312" w:cs="楷体_GB2312"/>
          <w:b/>
          <w:bCs/>
          <w:sz w:val="32"/>
          <w:szCs w:val="32"/>
        </w:rPr>
      </w:pPr>
    </w:p>
    <w:p>
      <w:pPr>
        <w:adjustRightInd w:val="0"/>
        <w:snapToGrid w:val="0"/>
        <w:spacing w:line="576" w:lineRule="exact"/>
        <w:ind w:firstLine="642" w:firstLineChars="200"/>
        <w:outlineLvl w:val="1"/>
        <w:rPr>
          <w:rFonts w:ascii="楷体_GB2312" w:hAnsi="楷体_GB2312" w:eastAsia="楷体_GB2312" w:cs="楷体_GB2312"/>
          <w:sz w:val="32"/>
          <w:szCs w:val="32"/>
        </w:rPr>
      </w:pPr>
      <w:r>
        <w:rPr>
          <w:rFonts w:hint="eastAsia" w:ascii="楷体_GB2312" w:hAnsi="楷体_GB2312" w:eastAsia="楷体_GB2312" w:cs="楷体_GB2312"/>
          <w:b/>
          <w:bCs/>
          <w:sz w:val="32"/>
          <w:szCs w:val="32"/>
        </w:rPr>
        <w:t>部门开展绩效评价结果</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本部门按要求对2022年部门整体支出绩效评价情况开展自评，《茂县医疗保障局2022年部门整体支出绩效评价报告》见附件。</w:t>
      </w:r>
    </w:p>
    <w:p>
      <w:pPr>
        <w:autoSpaceDE w:val="0"/>
        <w:autoSpaceDN w:val="0"/>
        <w:adjustRightInd w:val="0"/>
        <w:snapToGrid w:val="0"/>
        <w:spacing w:line="576" w:lineRule="exac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numPr>
          <w:ilvl w:val="0"/>
          <w:numId w:val="3"/>
        </w:numPr>
        <w:adjustRightInd w:val="0"/>
        <w:snapToGrid w:val="0"/>
        <w:spacing w:line="576" w:lineRule="exact"/>
        <w:jc w:val="center"/>
        <w:outlineLvl w:val="0"/>
        <w:rPr>
          <w:rStyle w:val="24"/>
          <w:rFonts w:ascii="方正小标宋简体" w:hAnsi="方正小标宋简体" w:eastAsia="方正小标宋简体" w:cs="方正小标宋简体"/>
          <w:b w:val="0"/>
        </w:rPr>
      </w:pPr>
      <w:bookmarkStart w:id="53" w:name="_Toc15396613"/>
      <w:bookmarkStart w:id="54" w:name="_Toc15377225"/>
      <w:r>
        <w:rPr>
          <w:rFonts w:hint="eastAsia" w:ascii="方正小标宋简体" w:hAnsi="方正小标宋简体" w:eastAsia="方正小标宋简体" w:cs="方正小标宋简体"/>
          <w:b/>
          <w:color w:val="000000"/>
          <w:sz w:val="44"/>
          <w:szCs w:val="44"/>
        </w:rPr>
        <w:t>名</w:t>
      </w:r>
      <w:r>
        <w:rPr>
          <w:rStyle w:val="24"/>
          <w:rFonts w:hint="eastAsia" w:ascii="方正小标宋简体" w:hAnsi="方正小标宋简体" w:eastAsia="方正小标宋简体" w:cs="方正小标宋简体"/>
          <w:b w:val="0"/>
        </w:rPr>
        <w:t>词解释</w:t>
      </w:r>
      <w:bookmarkEnd w:id="53"/>
      <w:bookmarkEnd w:id="54"/>
    </w:p>
    <w:p>
      <w:pPr>
        <w:adjustRightInd w:val="0"/>
        <w:snapToGrid w:val="0"/>
        <w:spacing w:line="576" w:lineRule="exact"/>
        <w:jc w:val="left"/>
        <w:rPr>
          <w:rFonts w:ascii="宋体"/>
          <w:b/>
          <w:color w:val="000000"/>
          <w:sz w:val="44"/>
          <w:szCs w:val="44"/>
        </w:rPr>
      </w:pP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 xml:space="preserve"> 社会保障和就业（类）人力资源和社会保障管理事务（款）社会保险经办机构（项）：指社会保险经办机构开展业务工作的支出。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10.社会保障和就业（类）行政事业单位离退休（款）机关事业单位基本养老保险缴费支出（项）：指机关事业单位实施养老保险制度由单位缴纳的基本养老保险费支出。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11.社会保障和就业（类）行政事业单位离退休（款）机关事业单位职业年金缴费支出（项）：指机关事业单位养老保险制度由单位缴纳的职业年金支出。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12.社会保障和就业（类）人力资源和社会保障管理事务（款）行政运行（项）:指指社会保险经办机构开展业务工作的行政运行支出。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医疗卫生与计划生育（类）行政事业单位医疗（款）行政单位医疗（项）：指财政部门集中安排的行政单位基本医疗保险缴费。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住房保障（类）住房改革支出（款）住房公积金（项）：指行政事业单位按规定的标准和比例为职工缴纳的住房公积金。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15.基本支出：指为保障机构正常运转、完成日常工作任务而发生的人员支出和公用支出。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16.项目支出：指在基本支出之外为完成特定行政任务和事业发展目标所发生的支出。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17.经营支出：指事业单位在专业业务活动及其辅助活动之外开展非独立核算经营活动发生的支出。</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napToGrid w:val="0"/>
        <w:spacing w:line="576" w:lineRule="exact"/>
        <w:ind w:firstLine="640" w:firstLineChars="200"/>
        <w:jc w:val="both"/>
        <w:rPr>
          <w:rFonts w:ascii="仿宋_GB2312" w:hAnsi="仿宋_GB2312" w:eastAsia="仿宋_GB2312" w:cs="仿宋_GB2312"/>
          <w:b/>
          <w:sz w:val="44"/>
          <w:szCs w:val="44"/>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hint="eastAsia" w:ascii="仿宋_GB2312" w:hAnsi="仿宋_GB2312" w:eastAsia="仿宋_GB2312" w:cs="仿宋_GB2312"/>
          <w:b/>
          <w:sz w:val="44"/>
          <w:szCs w:val="44"/>
        </w:rPr>
        <w:br w:type="page"/>
      </w:r>
      <w:bookmarkStart w:id="56" w:name="_Toc15396614"/>
    </w:p>
    <w:p>
      <w:pPr>
        <w:spacing w:line="600" w:lineRule="exact"/>
        <w:jc w:val="center"/>
        <w:outlineLvl w:val="0"/>
        <w:rPr>
          <w:rFonts w:ascii="方正小标宋简体" w:hAnsi="方正小标宋简体" w:eastAsia="方正小标宋简体" w:cs="方正小标宋简体"/>
          <w:bCs/>
          <w:kern w:val="44"/>
          <w:sz w:val="44"/>
          <w:szCs w:val="44"/>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四部分 附件</w:t>
      </w:r>
    </w:p>
    <w:p>
      <w:pPr>
        <w:pStyle w:val="22"/>
        <w:snapToGrid w:val="0"/>
        <w:spacing w:line="576" w:lineRule="exact"/>
        <w:jc w:val="both"/>
        <w:rPr>
          <w:rStyle w:val="24"/>
          <w:rFonts w:ascii="黑体" w:hAnsi="黑体" w:eastAsia="黑体" w:cs="黑体"/>
          <w:b w:val="0"/>
          <w:sz w:val="32"/>
          <w:szCs w:val="32"/>
        </w:rPr>
      </w:pPr>
      <w:r>
        <w:rPr>
          <w:rStyle w:val="24"/>
          <w:rFonts w:hint="eastAsia" w:ascii="黑体" w:hAnsi="黑体" w:eastAsia="黑体" w:cs="黑体"/>
          <w:b w:val="0"/>
          <w:sz w:val="32"/>
          <w:szCs w:val="32"/>
        </w:rPr>
        <w:t>附件</w:t>
      </w:r>
      <w:bookmarkEnd w:id="56"/>
      <w:r>
        <w:rPr>
          <w:rStyle w:val="24"/>
          <w:rFonts w:hint="eastAsia" w:ascii="黑体" w:hAnsi="黑体" w:eastAsia="黑体" w:cs="黑体"/>
          <w:b w:val="0"/>
          <w:sz w:val="32"/>
          <w:szCs w:val="32"/>
        </w:rPr>
        <w:t>1</w:t>
      </w:r>
    </w:p>
    <w:p>
      <w:pPr>
        <w:adjustRightInd w:val="0"/>
        <w:snapToGrid w:val="0"/>
        <w:spacing w:line="576" w:lineRule="exact"/>
        <w:jc w:val="center"/>
        <w:rPr>
          <w:rFonts w:ascii="方正小标宋简体" w:hAnsi="方正小标宋简体" w:eastAsia="方正小标宋简体" w:cs="方正小标宋简体"/>
          <w:sz w:val="44"/>
          <w:szCs w:val="44"/>
        </w:rPr>
      </w:pPr>
      <w:bookmarkStart w:id="57" w:name="_Toc15396616"/>
      <w:r>
        <w:rPr>
          <w:rFonts w:hint="eastAsia" w:ascii="方正小标宋简体" w:hAnsi="方正小标宋简体" w:eastAsia="方正小标宋简体" w:cs="方正小标宋简体"/>
          <w:sz w:val="44"/>
          <w:szCs w:val="44"/>
        </w:rPr>
        <w:t>茂县医疗保障局</w:t>
      </w:r>
    </w:p>
    <w:p>
      <w:pPr>
        <w:adjustRightInd w:val="0"/>
        <w:snapToGrid w:val="0"/>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2022年部门整体支出绩效评价报告</w:t>
      </w:r>
      <w:bookmarkEnd w:id="57"/>
    </w:p>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一、部门（单位）概况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adjustRightInd w:val="0"/>
        <w:snapToGrid w:val="0"/>
        <w:spacing w:line="576" w:lineRule="exact"/>
        <w:ind w:firstLine="640" w:firstLineChars="200"/>
        <w:rPr>
          <w:rFonts w:ascii="仿宋_GB2312" w:eastAsia="仿宋_GB2312" w:cs="Calibri"/>
          <w:sz w:val="32"/>
          <w:szCs w:val="32"/>
        </w:rPr>
      </w:pPr>
      <w:r>
        <w:rPr>
          <w:rFonts w:hint="eastAsia" w:ascii="仿宋_GB2312" w:hAnsi="仿宋_GB2312" w:eastAsia="仿宋_GB2312" w:cs="仿宋_GB2312"/>
          <w:sz w:val="32"/>
          <w:szCs w:val="32"/>
        </w:rPr>
        <w:t>茂县医疗保障局属财政全额拨款一级预算单位。单位核定编制2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名，在编在职人员26名。其中行政人员8名，参公人员8名，事业人员10名。</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adjustRightInd w:val="0"/>
        <w:snapToGrid w:val="0"/>
        <w:spacing w:line="576" w:lineRule="exact"/>
        <w:ind w:firstLine="640" w:firstLineChars="200"/>
        <w:rPr>
          <w:rFonts w:ascii="仿宋" w:hAnsi="仿宋" w:eastAsia="仿宋"/>
          <w:bCs/>
          <w:sz w:val="32"/>
          <w:szCs w:val="32"/>
        </w:rPr>
      </w:pPr>
      <w:r>
        <w:rPr>
          <w:rFonts w:hint="eastAsia" w:ascii="仿宋_GB2312" w:eastAsia="仿宋_GB2312" w:cs="Calibri"/>
          <w:sz w:val="32"/>
          <w:szCs w:val="32"/>
        </w:rPr>
        <w:t>茂县医疗保障局</w:t>
      </w: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名，在编在职人员26名。</w:t>
      </w:r>
    </w:p>
    <w:p>
      <w:pPr>
        <w:adjustRightInd w:val="0"/>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2022年本年收入合计299.92万元，其中：一般公共预算财政拨款收入299.92万元，占100%；年初结转结余收入0万元，占0%。</w:t>
      </w:r>
    </w:p>
    <w:p>
      <w:pPr>
        <w:adjustRightInd w:val="0"/>
        <w:snapToGrid w:val="0"/>
        <w:spacing w:line="576" w:lineRule="exact"/>
        <w:ind w:firstLine="642" w:firstLineChars="200"/>
        <w:jc w:val="left"/>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（二）部门财政资金支出情况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2022年本年支出合计299.92万元，其中：基本支出</w:t>
      </w:r>
      <w:r>
        <w:rPr>
          <w:rFonts w:hint="eastAsia" w:ascii="仿宋_GB2312" w:hAnsi="仿宋_GB2312" w:eastAsia="仿宋_GB2312" w:cs="仿宋_GB2312"/>
          <w:color w:val="000000"/>
          <w:sz w:val="32"/>
          <w:szCs w:val="32"/>
        </w:rPr>
        <w:t>284.92万元，占95%</w:t>
      </w:r>
      <w:r>
        <w:rPr>
          <w:rFonts w:hint="eastAsia" w:ascii="仿宋_GB2312" w:hAnsi="仿宋_GB2312" w:eastAsia="仿宋_GB2312" w:cs="仿宋_GB2312"/>
          <w:sz w:val="32"/>
          <w:szCs w:val="32"/>
        </w:rPr>
        <w:t>%；项目支出15万元，占5%。</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三、部门整体预算绩效管理情况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1.部门绩效目标制定及完成情况。</w:t>
      </w:r>
      <w:r>
        <w:rPr>
          <w:rFonts w:hint="eastAsia" w:ascii="仿宋_GB2312" w:hAnsi="仿宋_GB2312" w:eastAsia="仿宋_GB2312" w:cs="仿宋_GB2312"/>
          <w:sz w:val="32"/>
          <w:szCs w:val="32"/>
        </w:rPr>
        <w:t>我单位在编制2022年预算时严格按照《行政事业单位会计制度》</w:t>
      </w:r>
      <w:bookmarkStart w:id="69" w:name="_GoBack"/>
      <w:bookmarkEnd w:id="69"/>
      <w:r>
        <w:rPr>
          <w:rFonts w:hint="eastAsia" w:ascii="仿宋_GB2312" w:hAnsi="仿宋_GB2312" w:eastAsia="仿宋_GB2312" w:cs="仿宋_GB2312"/>
          <w:sz w:val="32"/>
          <w:szCs w:val="32"/>
        </w:rPr>
        <w:t>《中华人民共和国预算法》等相关法律法规及县级财政部门要求，并结合自身工作实际制定了部门整体支出绩效总体目标及绩效指标，据实向财政部门报送《部门整体支出绩效目标申报表》。经自评，单位2022年部门整体支出绩效总体上达到既定目标，有效保障了单位正常运转及开展部门职能工作。</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2.预算编制情况。</w:t>
      </w:r>
      <w:r>
        <w:rPr>
          <w:rFonts w:hint="eastAsia" w:ascii="仿宋_GB2312" w:hAnsi="仿宋_GB2312" w:eastAsia="仿宋_GB2312" w:cs="仿宋_GB2312"/>
          <w:sz w:val="32"/>
          <w:szCs w:val="32"/>
        </w:rPr>
        <w:t>我单位严格按照县财政部门预算编制通知和有关文件要求，并结合本单位实际情况进行预算编制。单位预算编制工作完成后按“二上二下”的编制程序提交县财政支出管理股室进行审核后下达批复。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3.预算执行及支出控制情况。</w:t>
      </w:r>
      <w:r>
        <w:rPr>
          <w:rFonts w:hint="eastAsia" w:ascii="仿宋_GB2312" w:hAnsi="仿宋_GB2312" w:eastAsia="仿宋_GB2312" w:cs="仿宋_GB2312"/>
          <w:sz w:val="32"/>
          <w:szCs w:val="32"/>
        </w:rPr>
        <w:t>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4.预算动态调整情况。</w:t>
      </w:r>
      <w:r>
        <w:rPr>
          <w:rFonts w:hint="eastAsia" w:ascii="仿宋_GB2312" w:hAnsi="仿宋_GB2312" w:eastAsia="仿宋_GB2312" w:cs="仿宋_GB2312"/>
          <w:sz w:val="32"/>
          <w:szCs w:val="32"/>
        </w:rPr>
        <w:t>除政策性工资预算的追加、保险费用的追加以外，本部门预算未进行预算相关事项的调整。</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5.预算执行进度及完成情况。</w:t>
      </w:r>
      <w:r>
        <w:rPr>
          <w:rFonts w:hint="eastAsia" w:ascii="仿宋_GB2312" w:hAnsi="仿宋_GB2312" w:eastAsia="仿宋_GB2312" w:cs="仿宋_GB2312"/>
          <w:sz w:val="32"/>
          <w:szCs w:val="32"/>
        </w:rPr>
        <w:t>2022年一般公共预算财政拨款支出预算执行数299.92万元，占支出总额的100%，预算完成情况达到100%。</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6.违规记录情况：</w:t>
      </w:r>
      <w:r>
        <w:rPr>
          <w:rFonts w:hint="eastAsia" w:ascii="仿宋_GB2312" w:hAnsi="仿宋_GB2312" w:eastAsia="仿宋_GB2312" w:cs="仿宋_GB2312"/>
          <w:sz w:val="32"/>
          <w:szCs w:val="32"/>
        </w:rPr>
        <w:t>无。</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（二）专项预算管理</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在2022年决算公开中，专项预算管理内容我单位不涉及。</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（三）结果应用情况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每年按照县财政文件要求根据自身工作实际做好财政支出绩效评价自评及前期准备工作，同时撰写绩效自评报告及填写绩效评价指标体系并自评分数，说明扣分理由。按时将相应评价资料报送相应财政部门支出管理股室。单位严格落实工作责任，积极协调配合财政部门绩效评价小组对本单位进行实地评价。同时针对在绩效评价中发现的问题和不足认真整改落实，并将整改情况报送财政部门绩效评价小组。单位对照《县级部门整体支出绩效评价指标体系表》中各项具体指标认真开展了2022年部门整体绩效自评工作。经自评，单位部门整体支出均按照相应的规章制度和要求执行办理。</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四、评价结论及建议</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2022年，在县财政局的监督下，我单位积极履职，强化管理，较好的完成了年度工作目标。通过加强预算收支管理，不断建立健全内部管理制度，梳理内部管理流程，部门整体支出管理水平得到提升。</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收支较去年有所增加，主要变动原因是1.人员变动调整；2.</w:t>
      </w:r>
      <w:r>
        <w:rPr>
          <w:rFonts w:hint="eastAsia" w:ascii="仿宋_GB2312" w:hAnsi="仿宋" w:eastAsia="仿宋_GB2312" w:cs="仿宋"/>
          <w:sz w:val="32"/>
          <w:szCs w:val="32"/>
        </w:rPr>
        <w:t>五险一金变动；3.工资变动</w:t>
      </w:r>
      <w:r>
        <w:rPr>
          <w:rFonts w:hint="eastAsia" w:ascii="仿宋_GB2312" w:hAnsi="仿宋_GB2312" w:eastAsia="仿宋_GB2312" w:cs="仿宋_GB2312"/>
          <w:sz w:val="32"/>
          <w:szCs w:val="32"/>
        </w:rPr>
        <w:t>。</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w:t>
      </w:r>
    </w:p>
    <w:p>
      <w:pPr>
        <w:adjustRightInd w:val="0"/>
        <w:snapToGrid w:val="0"/>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2.加强财务管理，严格财务审核。</w:t>
      </w:r>
    </w:p>
    <w:p>
      <w:pPr>
        <w:adjustRightInd w:val="0"/>
        <w:snapToGrid w:val="0"/>
        <w:spacing w:line="576" w:lineRule="exact"/>
        <w:ind w:firstLine="640" w:firstLineChars="200"/>
        <w:jc w:val="lef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br w:type="page"/>
      </w:r>
      <w:r>
        <w:rPr>
          <w:rFonts w:hint="eastAsia" w:ascii="黑体" w:hAnsi="黑体" w:eastAsia="黑体" w:cs="黑体"/>
          <w:sz w:val="32"/>
          <w:szCs w:val="32"/>
        </w:rPr>
        <w:t>附件2</w:t>
      </w:r>
    </w:p>
    <w:p>
      <w:pPr>
        <w:adjustRightInd w:val="0"/>
        <w:snapToGrid w:val="0"/>
        <w:spacing w:line="600" w:lineRule="exact"/>
        <w:ind w:firstLine="640" w:firstLineChars="200"/>
        <w:rPr>
          <w:rFonts w:ascii="黑体" w:hAnsi="黑体" w:eastAsia="黑体" w:cs="黑体"/>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“医疗服务与保障能力提升补助资金”</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2022年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2.根据国家医疗保障局下拨的项目资金进行资金使用。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r>
        <w:rPr>
          <w:rFonts w:hint="eastAsia" w:ascii="仿宋_GB2312" w:hAnsi="仿宋_GB2312" w:eastAsia="仿宋_GB2312" w:cs="仿宋_GB2312"/>
          <w:sz w:val="32"/>
          <w:szCs w:val="32"/>
        </w:rPr>
        <w:t>保障医保信息系统的正常运行以及医保活动的政策宣传工作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2．项目应实现的具体绩效目标：开展全域医保政策宣传的活动次数，具体项目的完成时间，工作开展所需的资金以及群众对政策的知晓率和医保服务的满意程度。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通过国家医疗保障局下拨资金，严格按照中央转移支付的项目资金进行使用。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县级财政资金全年计划15万元。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县级财政资金全年及时到位15万元。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仿宋_GB2312" w:eastAsia="仿宋_GB2312" w:cs="仿宋_GB2312"/>
          <w:sz w:val="32"/>
          <w:szCs w:val="32"/>
        </w:rPr>
        <w:t>所有资金已通过县财政全部下拨到位。截止2022年12月31日，医疗服务与保障能力提升补助资金全年执行数为15万元，执行率为100%。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（1）数量指标。开展全域医保政策宣传活动次数大于等于2次。</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（1）社会效益指标。参保群众政策知晓率大于等于90%。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（2）满意度指标。参保人员对医保服务的满意度大于90%。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宋体" w:eastAsia="仿宋_GB2312"/>
          <w:sz w:val="32"/>
          <w:szCs w:val="32"/>
          <w:lang w:val="zh-CN"/>
        </w:rPr>
      </w:pPr>
      <w:r>
        <w:rPr>
          <w:rFonts w:hint="eastAsia" w:ascii="仿宋_GB2312" w:hAnsi="宋体" w:eastAsia="仿宋_GB2312"/>
          <w:sz w:val="32"/>
          <w:szCs w:val="32"/>
          <w:lang w:val="zh-CN"/>
        </w:rPr>
        <w:br w:type="page"/>
      </w:r>
    </w:p>
    <w:p>
      <w:pPr>
        <w:adjustRightInd w:val="0"/>
        <w:snapToGrid w:val="0"/>
        <w:spacing w:line="576" w:lineRule="exact"/>
        <w:jc w:val="center"/>
        <w:rPr>
          <w:rStyle w:val="24"/>
          <w:rFonts w:ascii="方正小标宋简体" w:hAnsi="方正小标宋简体" w:eastAsia="方正小标宋简体" w:cs="方正小标宋简体"/>
          <w:b w:val="0"/>
          <w:bCs w:val="0"/>
        </w:rPr>
      </w:pPr>
      <w:bookmarkStart w:id="58" w:name="_Toc15396618"/>
      <w:r>
        <w:rPr>
          <w:rStyle w:val="24"/>
          <w:rFonts w:hint="eastAsia" w:ascii="方正小标宋简体" w:hAnsi="方正小标宋简体" w:eastAsia="方正小标宋简体" w:cs="方正小标宋简体"/>
          <w:b w:val="0"/>
          <w:bCs w:val="0"/>
        </w:rPr>
        <w:t>第五部分附表</w:t>
      </w:r>
      <w:bookmarkEnd w:id="55"/>
      <w:bookmarkEnd w:id="58"/>
      <w:bookmarkStart w:id="59" w:name="_Toc15396619"/>
    </w:p>
    <w:p>
      <w:pPr>
        <w:adjustRightInd w:val="0"/>
        <w:snapToGrid w:val="0"/>
        <w:spacing w:line="576" w:lineRule="exact"/>
        <w:jc w:val="left"/>
        <w:rPr>
          <w:rFonts w:ascii="仿宋_GB2312" w:hAnsi="仿宋_GB2312" w:eastAsia="仿宋_GB2312" w:cs="仿宋_GB2312"/>
          <w:color w:val="000000"/>
          <w:sz w:val="32"/>
          <w:szCs w:val="32"/>
        </w:rPr>
      </w:pPr>
    </w:p>
    <w:p>
      <w:pPr>
        <w:adjustRightInd w:val="0"/>
        <w:snapToGrid w:val="0"/>
        <w:spacing w:line="480" w:lineRule="auto"/>
        <w:jc w:val="left"/>
        <w:rPr>
          <w:rStyle w:val="25"/>
          <w:rFonts w:ascii="仿宋_GB2312" w:hAnsi="仿宋_GB2312" w:eastAsia="仿宋_GB2312" w:cs="仿宋_GB2312"/>
          <w:b w:val="0"/>
          <w:bCs w:val="0"/>
        </w:rPr>
      </w:pPr>
      <w:r>
        <w:rPr>
          <w:rFonts w:hint="eastAsia" w:ascii="仿宋_GB2312" w:hAnsi="仿宋_GB2312" w:eastAsia="仿宋_GB2312" w:cs="仿宋_GB2312"/>
          <w:color w:val="000000"/>
          <w:sz w:val="32"/>
          <w:szCs w:val="32"/>
        </w:rPr>
        <w:t>一、收</w:t>
      </w:r>
      <w:r>
        <w:rPr>
          <w:rStyle w:val="25"/>
          <w:rFonts w:hint="eastAsia" w:ascii="仿宋_GB2312" w:hAnsi="仿宋_GB2312" w:eastAsia="仿宋_GB2312" w:cs="仿宋_GB2312"/>
          <w:b w:val="0"/>
          <w:bCs w:val="0"/>
        </w:rPr>
        <w:t>入支出决算总表</w:t>
      </w:r>
      <w:bookmarkEnd w:id="59"/>
      <w:bookmarkStart w:id="60" w:name="_Toc15396620"/>
    </w:p>
    <w:p>
      <w:pPr>
        <w:adjustRightInd w:val="0"/>
        <w:snapToGrid w:val="0"/>
        <w:spacing w:line="480" w:lineRule="auto"/>
        <w:jc w:val="left"/>
        <w:rPr>
          <w:rFonts w:ascii="仿宋_GB2312" w:hAnsi="仿宋_GB2312" w:eastAsia="仿宋_GB2312" w:cs="仿宋_GB2312"/>
          <w:color w:val="000000"/>
          <w:sz w:val="32"/>
          <w:szCs w:val="32"/>
        </w:rPr>
      </w:pPr>
      <w:r>
        <w:rPr>
          <w:rStyle w:val="25"/>
          <w:rFonts w:hint="eastAsia" w:ascii="仿宋_GB2312" w:hAnsi="仿宋_GB2312" w:eastAsia="仿宋_GB2312" w:cs="仿宋_GB2312"/>
          <w:b w:val="0"/>
          <w:bCs w:val="0"/>
        </w:rPr>
        <w:t>二、收入总表</w:t>
      </w:r>
      <w:bookmarkEnd w:id="60"/>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1" w:name="_Toc15396621"/>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5"/>
          <w:rFonts w:hint="eastAsia" w:ascii="仿宋_GB2312" w:hAnsi="仿宋_GB2312" w:eastAsia="仿宋_GB2312" w:cs="仿宋_GB2312"/>
          <w:b w:val="0"/>
          <w:bCs w:val="0"/>
        </w:rPr>
        <w:t>出总表</w:t>
      </w:r>
      <w:bookmarkEnd w:id="61"/>
    </w:p>
    <w:p>
      <w:pPr>
        <w:pStyle w:val="3"/>
        <w:keepNext w:val="0"/>
        <w:keepLines w:val="0"/>
        <w:adjustRightInd w:val="0"/>
        <w:snapToGrid w:val="0"/>
        <w:spacing w:before="0" w:after="0" w:line="480" w:lineRule="auto"/>
        <w:jc w:val="left"/>
        <w:rPr>
          <w:rFonts w:ascii="仿宋_GB2312" w:hAnsi="仿宋_GB2312" w:eastAsia="仿宋_GB2312" w:cs="仿宋_GB2312"/>
          <w:b w:val="0"/>
          <w:color w:val="000000"/>
        </w:rPr>
      </w:pPr>
      <w:bookmarkStart w:id="62" w:name="_Toc15396622"/>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政拨款收入支出决算总表</w:t>
      </w:r>
      <w:bookmarkEnd w:id="62"/>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3" w:name="_Toc15396623"/>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政拨款支出决算明细表（政府经济分类科目）</w:t>
      </w:r>
      <w:bookmarkEnd w:id="63"/>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4" w:name="_Toc15396624"/>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般公共预算财政拨款支出决算表</w:t>
      </w:r>
      <w:bookmarkEnd w:id="64"/>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5" w:name="_Toc15396625"/>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般公共预算财政拨款支出决算明细表</w:t>
      </w:r>
      <w:bookmarkEnd w:id="65"/>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6" w:name="_Toc15396626"/>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般公共预算财政拨款基本支出决算表</w:t>
      </w:r>
      <w:bookmarkEnd w:id="66"/>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7" w:name="_Toc15396627"/>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般公共预算财政拨款项目支出决算表</w:t>
      </w:r>
      <w:bookmarkEnd w:id="67"/>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8" w:name="_Toc15396628"/>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般公共预算财政拨款“三公”经费支出决算表</w:t>
      </w:r>
      <w:bookmarkEnd w:id="68"/>
    </w:p>
    <w:sectPr>
      <w:headerReference r:id="rId3" w:type="default"/>
      <w:footerReference r:id="rId4" w:type="default"/>
      <w:pgSz w:w="11906" w:h="16838"/>
      <w:pgMar w:top="2098" w:right="1474" w:bottom="2041" w:left="2007"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w:altName w:val="DejaVu Sans"/>
    <w:panose1 w:val="020F050202020403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20</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210"/>
  <w:drawingGridVerticalSpacing w:val="156"/>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M5YjlkODk2OGJiM2UzZTM1NGUyN2YwNWIyMjRlMjIifQ=="/>
  </w:docVars>
  <w:rsids>
    <w:rsidRoot w:val="00F1361C"/>
    <w:rsid w:val="00002502"/>
    <w:rsid w:val="00002F18"/>
    <w:rsid w:val="000222C6"/>
    <w:rsid w:val="0002549F"/>
    <w:rsid w:val="00030DA7"/>
    <w:rsid w:val="00031C46"/>
    <w:rsid w:val="00033D01"/>
    <w:rsid w:val="00054D36"/>
    <w:rsid w:val="00060C87"/>
    <w:rsid w:val="0006487A"/>
    <w:rsid w:val="00065F8F"/>
    <w:rsid w:val="00066F65"/>
    <w:rsid w:val="0007244C"/>
    <w:rsid w:val="000768F2"/>
    <w:rsid w:val="0009184B"/>
    <w:rsid w:val="0009593C"/>
    <w:rsid w:val="000A7AB7"/>
    <w:rsid w:val="000B047F"/>
    <w:rsid w:val="000B5923"/>
    <w:rsid w:val="000B5A48"/>
    <w:rsid w:val="000B67C9"/>
    <w:rsid w:val="000B6FF3"/>
    <w:rsid w:val="000B7C42"/>
    <w:rsid w:val="000C3467"/>
    <w:rsid w:val="000C3CA6"/>
    <w:rsid w:val="000D1267"/>
    <w:rsid w:val="000D1D50"/>
    <w:rsid w:val="000D2DE6"/>
    <w:rsid w:val="000D45B0"/>
    <w:rsid w:val="000D5782"/>
    <w:rsid w:val="000D7906"/>
    <w:rsid w:val="000E2FDD"/>
    <w:rsid w:val="000E6613"/>
    <w:rsid w:val="000E7119"/>
    <w:rsid w:val="000E7410"/>
    <w:rsid w:val="000F17B9"/>
    <w:rsid w:val="000F62DF"/>
    <w:rsid w:val="00114E9B"/>
    <w:rsid w:val="001463CB"/>
    <w:rsid w:val="0014729F"/>
    <w:rsid w:val="0015592E"/>
    <w:rsid w:val="00155A68"/>
    <w:rsid w:val="00156D1F"/>
    <w:rsid w:val="00157BAB"/>
    <w:rsid w:val="001654D1"/>
    <w:rsid w:val="0017007D"/>
    <w:rsid w:val="0018106D"/>
    <w:rsid w:val="001877A7"/>
    <w:rsid w:val="00191536"/>
    <w:rsid w:val="00196687"/>
    <w:rsid w:val="001A6CC5"/>
    <w:rsid w:val="001C0962"/>
    <w:rsid w:val="001C1906"/>
    <w:rsid w:val="001C2736"/>
    <w:rsid w:val="001C3E7E"/>
    <w:rsid w:val="001D7531"/>
    <w:rsid w:val="001E737D"/>
    <w:rsid w:val="001F0592"/>
    <w:rsid w:val="001F7506"/>
    <w:rsid w:val="002006CD"/>
    <w:rsid w:val="00202B36"/>
    <w:rsid w:val="00204B7A"/>
    <w:rsid w:val="00204EC9"/>
    <w:rsid w:val="00205F5A"/>
    <w:rsid w:val="0021101A"/>
    <w:rsid w:val="00216322"/>
    <w:rsid w:val="00220536"/>
    <w:rsid w:val="00230EE9"/>
    <w:rsid w:val="0023284F"/>
    <w:rsid w:val="00234FC3"/>
    <w:rsid w:val="00235629"/>
    <w:rsid w:val="00243117"/>
    <w:rsid w:val="00253888"/>
    <w:rsid w:val="00257E41"/>
    <w:rsid w:val="00260C38"/>
    <w:rsid w:val="002616C0"/>
    <w:rsid w:val="00262A0E"/>
    <w:rsid w:val="00264208"/>
    <w:rsid w:val="002662AA"/>
    <w:rsid w:val="002779C3"/>
    <w:rsid w:val="00280496"/>
    <w:rsid w:val="00281315"/>
    <w:rsid w:val="00284415"/>
    <w:rsid w:val="00295495"/>
    <w:rsid w:val="00295A0F"/>
    <w:rsid w:val="002A27D7"/>
    <w:rsid w:val="002A7FBB"/>
    <w:rsid w:val="002B2613"/>
    <w:rsid w:val="002C3A42"/>
    <w:rsid w:val="002D020C"/>
    <w:rsid w:val="002D3AB6"/>
    <w:rsid w:val="002D4D40"/>
    <w:rsid w:val="002E217C"/>
    <w:rsid w:val="002F1818"/>
    <w:rsid w:val="002F4812"/>
    <w:rsid w:val="002F567B"/>
    <w:rsid w:val="00310429"/>
    <w:rsid w:val="00311BEB"/>
    <w:rsid w:val="003205EA"/>
    <w:rsid w:val="00320A81"/>
    <w:rsid w:val="003216A9"/>
    <w:rsid w:val="00360DB6"/>
    <w:rsid w:val="00361EAC"/>
    <w:rsid w:val="00365468"/>
    <w:rsid w:val="0037013F"/>
    <w:rsid w:val="00380C92"/>
    <w:rsid w:val="003A484F"/>
    <w:rsid w:val="003A5BDD"/>
    <w:rsid w:val="003A7CCF"/>
    <w:rsid w:val="003B0BE0"/>
    <w:rsid w:val="003B0C1B"/>
    <w:rsid w:val="003B688C"/>
    <w:rsid w:val="003B7375"/>
    <w:rsid w:val="003C0291"/>
    <w:rsid w:val="003C39AE"/>
    <w:rsid w:val="003C56BD"/>
    <w:rsid w:val="003C5C3C"/>
    <w:rsid w:val="003C7B60"/>
    <w:rsid w:val="003D1FB2"/>
    <w:rsid w:val="003D66DA"/>
    <w:rsid w:val="003E0E2A"/>
    <w:rsid w:val="003E0EEE"/>
    <w:rsid w:val="003E1310"/>
    <w:rsid w:val="003E446B"/>
    <w:rsid w:val="003E6F55"/>
    <w:rsid w:val="003F3958"/>
    <w:rsid w:val="003F3E14"/>
    <w:rsid w:val="003F621B"/>
    <w:rsid w:val="0040230F"/>
    <w:rsid w:val="004054E8"/>
    <w:rsid w:val="00406254"/>
    <w:rsid w:val="004100C7"/>
    <w:rsid w:val="00420DB9"/>
    <w:rsid w:val="004223DE"/>
    <w:rsid w:val="00430293"/>
    <w:rsid w:val="00434489"/>
    <w:rsid w:val="00437085"/>
    <w:rsid w:val="00443880"/>
    <w:rsid w:val="004464F4"/>
    <w:rsid w:val="00456CEE"/>
    <w:rsid w:val="00460F09"/>
    <w:rsid w:val="00464335"/>
    <w:rsid w:val="00471401"/>
    <w:rsid w:val="00473F31"/>
    <w:rsid w:val="0048263A"/>
    <w:rsid w:val="00487E5D"/>
    <w:rsid w:val="00494666"/>
    <w:rsid w:val="00497714"/>
    <w:rsid w:val="004A711F"/>
    <w:rsid w:val="004A71F4"/>
    <w:rsid w:val="004B0F14"/>
    <w:rsid w:val="004B199D"/>
    <w:rsid w:val="004B4690"/>
    <w:rsid w:val="004B61DC"/>
    <w:rsid w:val="004C3A6F"/>
    <w:rsid w:val="004C6D9D"/>
    <w:rsid w:val="004C7AEB"/>
    <w:rsid w:val="004E0A2D"/>
    <w:rsid w:val="004E206B"/>
    <w:rsid w:val="004E6DF7"/>
    <w:rsid w:val="004F0FBD"/>
    <w:rsid w:val="004F52A8"/>
    <w:rsid w:val="00501DBA"/>
    <w:rsid w:val="00502895"/>
    <w:rsid w:val="00503758"/>
    <w:rsid w:val="00505A47"/>
    <w:rsid w:val="00512FDA"/>
    <w:rsid w:val="00520DA0"/>
    <w:rsid w:val="00521E5E"/>
    <w:rsid w:val="00561CC2"/>
    <w:rsid w:val="005664BB"/>
    <w:rsid w:val="0056666F"/>
    <w:rsid w:val="0057481D"/>
    <w:rsid w:val="00576C5A"/>
    <w:rsid w:val="0058486E"/>
    <w:rsid w:val="005922C9"/>
    <w:rsid w:val="005C0082"/>
    <w:rsid w:val="005D1928"/>
    <w:rsid w:val="005D1C8B"/>
    <w:rsid w:val="005D5CED"/>
    <w:rsid w:val="005F1A4C"/>
    <w:rsid w:val="00601E5A"/>
    <w:rsid w:val="00605688"/>
    <w:rsid w:val="006070AF"/>
    <w:rsid w:val="00607E6C"/>
    <w:rsid w:val="006101B1"/>
    <w:rsid w:val="00610371"/>
    <w:rsid w:val="00612E32"/>
    <w:rsid w:val="00614E44"/>
    <w:rsid w:val="00622830"/>
    <w:rsid w:val="00630AEF"/>
    <w:rsid w:val="00632102"/>
    <w:rsid w:val="006325F8"/>
    <w:rsid w:val="00634C9A"/>
    <w:rsid w:val="00636628"/>
    <w:rsid w:val="00642ED8"/>
    <w:rsid w:val="006440E4"/>
    <w:rsid w:val="006466CA"/>
    <w:rsid w:val="0065645B"/>
    <w:rsid w:val="0065695B"/>
    <w:rsid w:val="0066171A"/>
    <w:rsid w:val="0066343B"/>
    <w:rsid w:val="00664199"/>
    <w:rsid w:val="00664777"/>
    <w:rsid w:val="00666954"/>
    <w:rsid w:val="00667F95"/>
    <w:rsid w:val="0067224A"/>
    <w:rsid w:val="006748A4"/>
    <w:rsid w:val="00683E73"/>
    <w:rsid w:val="00696E74"/>
    <w:rsid w:val="006A13E5"/>
    <w:rsid w:val="006A3141"/>
    <w:rsid w:val="006A3288"/>
    <w:rsid w:val="006A5E34"/>
    <w:rsid w:val="006B2422"/>
    <w:rsid w:val="006B2B9A"/>
    <w:rsid w:val="006B6708"/>
    <w:rsid w:val="006C1937"/>
    <w:rsid w:val="006D3018"/>
    <w:rsid w:val="006D7131"/>
    <w:rsid w:val="006E12D6"/>
    <w:rsid w:val="006E4AE8"/>
    <w:rsid w:val="006F020C"/>
    <w:rsid w:val="006F45C7"/>
    <w:rsid w:val="00701E47"/>
    <w:rsid w:val="00703B0E"/>
    <w:rsid w:val="007127B7"/>
    <w:rsid w:val="00716B5A"/>
    <w:rsid w:val="00734B8F"/>
    <w:rsid w:val="00735953"/>
    <w:rsid w:val="00736575"/>
    <w:rsid w:val="007416B6"/>
    <w:rsid w:val="00746F48"/>
    <w:rsid w:val="0075404D"/>
    <w:rsid w:val="0076182A"/>
    <w:rsid w:val="00765BE5"/>
    <w:rsid w:val="00767B7E"/>
    <w:rsid w:val="007770C3"/>
    <w:rsid w:val="00784D24"/>
    <w:rsid w:val="00785FBA"/>
    <w:rsid w:val="00786E4A"/>
    <w:rsid w:val="007875EB"/>
    <w:rsid w:val="007927FF"/>
    <w:rsid w:val="00793156"/>
    <w:rsid w:val="0079426B"/>
    <w:rsid w:val="00796DA1"/>
    <w:rsid w:val="007B566A"/>
    <w:rsid w:val="007B71C4"/>
    <w:rsid w:val="007D312A"/>
    <w:rsid w:val="007D3F19"/>
    <w:rsid w:val="007E23B0"/>
    <w:rsid w:val="007E2AC0"/>
    <w:rsid w:val="007E6E71"/>
    <w:rsid w:val="007F1403"/>
    <w:rsid w:val="007F1991"/>
    <w:rsid w:val="007F2C2F"/>
    <w:rsid w:val="007F35DE"/>
    <w:rsid w:val="007F55FC"/>
    <w:rsid w:val="007F5665"/>
    <w:rsid w:val="00800112"/>
    <w:rsid w:val="008071CC"/>
    <w:rsid w:val="008253BB"/>
    <w:rsid w:val="008276FB"/>
    <w:rsid w:val="0083706E"/>
    <w:rsid w:val="008423A5"/>
    <w:rsid w:val="008453E6"/>
    <w:rsid w:val="00850573"/>
    <w:rsid w:val="00850625"/>
    <w:rsid w:val="00853718"/>
    <w:rsid w:val="00855221"/>
    <w:rsid w:val="00860645"/>
    <w:rsid w:val="00871F71"/>
    <w:rsid w:val="00873847"/>
    <w:rsid w:val="008843B5"/>
    <w:rsid w:val="00885AF4"/>
    <w:rsid w:val="00887A57"/>
    <w:rsid w:val="008939CD"/>
    <w:rsid w:val="008A4C41"/>
    <w:rsid w:val="008A7571"/>
    <w:rsid w:val="008B026E"/>
    <w:rsid w:val="008B768C"/>
    <w:rsid w:val="008C4DB1"/>
    <w:rsid w:val="008C4EAF"/>
    <w:rsid w:val="008C5176"/>
    <w:rsid w:val="008C7FD0"/>
    <w:rsid w:val="008E1DE7"/>
    <w:rsid w:val="008E707C"/>
    <w:rsid w:val="008F5D5C"/>
    <w:rsid w:val="00900B08"/>
    <w:rsid w:val="009011BD"/>
    <w:rsid w:val="00902155"/>
    <w:rsid w:val="00902FA3"/>
    <w:rsid w:val="00912556"/>
    <w:rsid w:val="0092079C"/>
    <w:rsid w:val="00923564"/>
    <w:rsid w:val="0092392E"/>
    <w:rsid w:val="00927D65"/>
    <w:rsid w:val="009315F9"/>
    <w:rsid w:val="009369FD"/>
    <w:rsid w:val="00946945"/>
    <w:rsid w:val="00951248"/>
    <w:rsid w:val="0095152F"/>
    <w:rsid w:val="00954C49"/>
    <w:rsid w:val="0097099F"/>
    <w:rsid w:val="00971997"/>
    <w:rsid w:val="00971FFC"/>
    <w:rsid w:val="00973E6A"/>
    <w:rsid w:val="0097483C"/>
    <w:rsid w:val="0098660A"/>
    <w:rsid w:val="009903FB"/>
    <w:rsid w:val="00991CF8"/>
    <w:rsid w:val="009931C3"/>
    <w:rsid w:val="009968E0"/>
    <w:rsid w:val="009B2C43"/>
    <w:rsid w:val="009B446E"/>
    <w:rsid w:val="009B4983"/>
    <w:rsid w:val="009B4EAE"/>
    <w:rsid w:val="009B7573"/>
    <w:rsid w:val="009C2291"/>
    <w:rsid w:val="009C22F4"/>
    <w:rsid w:val="009C2E98"/>
    <w:rsid w:val="009C39A2"/>
    <w:rsid w:val="009C7B01"/>
    <w:rsid w:val="009D25BC"/>
    <w:rsid w:val="009D3447"/>
    <w:rsid w:val="009D4711"/>
    <w:rsid w:val="009E39A2"/>
    <w:rsid w:val="009E6901"/>
    <w:rsid w:val="009F1185"/>
    <w:rsid w:val="009F18CD"/>
    <w:rsid w:val="009F2A13"/>
    <w:rsid w:val="009F4D1C"/>
    <w:rsid w:val="00A02E2C"/>
    <w:rsid w:val="00A04EB0"/>
    <w:rsid w:val="00A1326B"/>
    <w:rsid w:val="00A13CC1"/>
    <w:rsid w:val="00A16847"/>
    <w:rsid w:val="00A237D8"/>
    <w:rsid w:val="00A268C4"/>
    <w:rsid w:val="00A27BFA"/>
    <w:rsid w:val="00A307CD"/>
    <w:rsid w:val="00A40A00"/>
    <w:rsid w:val="00A4142F"/>
    <w:rsid w:val="00A56DF2"/>
    <w:rsid w:val="00A6086D"/>
    <w:rsid w:val="00A67AB5"/>
    <w:rsid w:val="00A70055"/>
    <w:rsid w:val="00A83513"/>
    <w:rsid w:val="00A91760"/>
    <w:rsid w:val="00A935D6"/>
    <w:rsid w:val="00A93B00"/>
    <w:rsid w:val="00A93C21"/>
    <w:rsid w:val="00AB70E0"/>
    <w:rsid w:val="00AC3C6A"/>
    <w:rsid w:val="00AC4FF9"/>
    <w:rsid w:val="00AC64F4"/>
    <w:rsid w:val="00AD0515"/>
    <w:rsid w:val="00AD4CF0"/>
    <w:rsid w:val="00AD5620"/>
    <w:rsid w:val="00AD7373"/>
    <w:rsid w:val="00AD7C1B"/>
    <w:rsid w:val="00AE16BA"/>
    <w:rsid w:val="00AE1EBE"/>
    <w:rsid w:val="00AE2B54"/>
    <w:rsid w:val="00AE7140"/>
    <w:rsid w:val="00AF18E7"/>
    <w:rsid w:val="00AF26E1"/>
    <w:rsid w:val="00AF7FE2"/>
    <w:rsid w:val="00B00178"/>
    <w:rsid w:val="00B03C9D"/>
    <w:rsid w:val="00B060AE"/>
    <w:rsid w:val="00B10517"/>
    <w:rsid w:val="00B14E76"/>
    <w:rsid w:val="00B161B8"/>
    <w:rsid w:val="00B2048C"/>
    <w:rsid w:val="00B244FF"/>
    <w:rsid w:val="00B310B9"/>
    <w:rsid w:val="00B35F3F"/>
    <w:rsid w:val="00B36CBB"/>
    <w:rsid w:val="00B37CF3"/>
    <w:rsid w:val="00B40543"/>
    <w:rsid w:val="00B40B92"/>
    <w:rsid w:val="00B425E0"/>
    <w:rsid w:val="00B440AA"/>
    <w:rsid w:val="00B44B70"/>
    <w:rsid w:val="00B46BD0"/>
    <w:rsid w:val="00B53C56"/>
    <w:rsid w:val="00B77EA6"/>
    <w:rsid w:val="00B80B76"/>
    <w:rsid w:val="00B81598"/>
    <w:rsid w:val="00B822D9"/>
    <w:rsid w:val="00B83CB2"/>
    <w:rsid w:val="00B841F1"/>
    <w:rsid w:val="00B944D6"/>
    <w:rsid w:val="00BA02D4"/>
    <w:rsid w:val="00BB0468"/>
    <w:rsid w:val="00BB2F06"/>
    <w:rsid w:val="00BB4DF0"/>
    <w:rsid w:val="00BC289F"/>
    <w:rsid w:val="00BC5361"/>
    <w:rsid w:val="00BC5460"/>
    <w:rsid w:val="00BC6B50"/>
    <w:rsid w:val="00BD0E25"/>
    <w:rsid w:val="00BD2AE5"/>
    <w:rsid w:val="00BE0896"/>
    <w:rsid w:val="00BE4823"/>
    <w:rsid w:val="00BE7650"/>
    <w:rsid w:val="00BE7CA1"/>
    <w:rsid w:val="00BF185B"/>
    <w:rsid w:val="00BF5BD6"/>
    <w:rsid w:val="00BF731F"/>
    <w:rsid w:val="00C03E31"/>
    <w:rsid w:val="00C03F0C"/>
    <w:rsid w:val="00C20EC3"/>
    <w:rsid w:val="00C26755"/>
    <w:rsid w:val="00C31445"/>
    <w:rsid w:val="00C33E72"/>
    <w:rsid w:val="00C34057"/>
    <w:rsid w:val="00C354B2"/>
    <w:rsid w:val="00C35554"/>
    <w:rsid w:val="00C37368"/>
    <w:rsid w:val="00C400A4"/>
    <w:rsid w:val="00C42709"/>
    <w:rsid w:val="00C533CC"/>
    <w:rsid w:val="00C5751C"/>
    <w:rsid w:val="00C61A1C"/>
    <w:rsid w:val="00C61BFC"/>
    <w:rsid w:val="00C62B85"/>
    <w:rsid w:val="00C65438"/>
    <w:rsid w:val="00C66A71"/>
    <w:rsid w:val="00C66EF8"/>
    <w:rsid w:val="00C762B5"/>
    <w:rsid w:val="00C849C9"/>
    <w:rsid w:val="00C91CBB"/>
    <w:rsid w:val="00C936FD"/>
    <w:rsid w:val="00CA0F3E"/>
    <w:rsid w:val="00CA3CE0"/>
    <w:rsid w:val="00CA615B"/>
    <w:rsid w:val="00CB492C"/>
    <w:rsid w:val="00CC09B6"/>
    <w:rsid w:val="00CC666F"/>
    <w:rsid w:val="00CD1E3F"/>
    <w:rsid w:val="00CE0441"/>
    <w:rsid w:val="00CE1A8E"/>
    <w:rsid w:val="00CE44F6"/>
    <w:rsid w:val="00CE49DA"/>
    <w:rsid w:val="00CE7B61"/>
    <w:rsid w:val="00CF4DE4"/>
    <w:rsid w:val="00D00095"/>
    <w:rsid w:val="00D20396"/>
    <w:rsid w:val="00D20620"/>
    <w:rsid w:val="00D21386"/>
    <w:rsid w:val="00D26091"/>
    <w:rsid w:val="00D31120"/>
    <w:rsid w:val="00D34E7C"/>
    <w:rsid w:val="00D35489"/>
    <w:rsid w:val="00D45A01"/>
    <w:rsid w:val="00D476FD"/>
    <w:rsid w:val="00D51276"/>
    <w:rsid w:val="00D7035F"/>
    <w:rsid w:val="00D724BB"/>
    <w:rsid w:val="00D81794"/>
    <w:rsid w:val="00D93726"/>
    <w:rsid w:val="00DA38BD"/>
    <w:rsid w:val="00DA57A6"/>
    <w:rsid w:val="00DA65AC"/>
    <w:rsid w:val="00DB1913"/>
    <w:rsid w:val="00DC410D"/>
    <w:rsid w:val="00DC68CA"/>
    <w:rsid w:val="00DC7CBA"/>
    <w:rsid w:val="00DD2627"/>
    <w:rsid w:val="00DD73B7"/>
    <w:rsid w:val="00DE0F9E"/>
    <w:rsid w:val="00DE1869"/>
    <w:rsid w:val="00DE3C6D"/>
    <w:rsid w:val="00DF28BC"/>
    <w:rsid w:val="00DF34B9"/>
    <w:rsid w:val="00E01053"/>
    <w:rsid w:val="00E06CC6"/>
    <w:rsid w:val="00E07377"/>
    <w:rsid w:val="00E07ACF"/>
    <w:rsid w:val="00E331A1"/>
    <w:rsid w:val="00E33202"/>
    <w:rsid w:val="00E336A9"/>
    <w:rsid w:val="00E33F62"/>
    <w:rsid w:val="00E369E9"/>
    <w:rsid w:val="00E43545"/>
    <w:rsid w:val="00E44184"/>
    <w:rsid w:val="00E45A58"/>
    <w:rsid w:val="00E50624"/>
    <w:rsid w:val="00E568DF"/>
    <w:rsid w:val="00E60A3F"/>
    <w:rsid w:val="00E61122"/>
    <w:rsid w:val="00E64269"/>
    <w:rsid w:val="00E72D24"/>
    <w:rsid w:val="00E747DD"/>
    <w:rsid w:val="00E82267"/>
    <w:rsid w:val="00E84189"/>
    <w:rsid w:val="00E86F34"/>
    <w:rsid w:val="00E92A6D"/>
    <w:rsid w:val="00EA010F"/>
    <w:rsid w:val="00EB0F29"/>
    <w:rsid w:val="00EC2381"/>
    <w:rsid w:val="00ED1B63"/>
    <w:rsid w:val="00ED2828"/>
    <w:rsid w:val="00ED3C1F"/>
    <w:rsid w:val="00ED4085"/>
    <w:rsid w:val="00ED420E"/>
    <w:rsid w:val="00ED774E"/>
    <w:rsid w:val="00EE2F57"/>
    <w:rsid w:val="00EF0BA5"/>
    <w:rsid w:val="00EF16B9"/>
    <w:rsid w:val="00EF4C34"/>
    <w:rsid w:val="00EF77C6"/>
    <w:rsid w:val="00F007DC"/>
    <w:rsid w:val="00F05438"/>
    <w:rsid w:val="00F06392"/>
    <w:rsid w:val="00F11C70"/>
    <w:rsid w:val="00F1361C"/>
    <w:rsid w:val="00F160C7"/>
    <w:rsid w:val="00F2624A"/>
    <w:rsid w:val="00F355EB"/>
    <w:rsid w:val="00F36D8F"/>
    <w:rsid w:val="00F417B1"/>
    <w:rsid w:val="00F43541"/>
    <w:rsid w:val="00F43CFF"/>
    <w:rsid w:val="00F447B3"/>
    <w:rsid w:val="00F50630"/>
    <w:rsid w:val="00F602DF"/>
    <w:rsid w:val="00F7547C"/>
    <w:rsid w:val="00F77699"/>
    <w:rsid w:val="00F81FD9"/>
    <w:rsid w:val="00F841AA"/>
    <w:rsid w:val="00FA0A16"/>
    <w:rsid w:val="00FA181A"/>
    <w:rsid w:val="00FA23E8"/>
    <w:rsid w:val="00FA6E17"/>
    <w:rsid w:val="00FB5D3E"/>
    <w:rsid w:val="00FC371B"/>
    <w:rsid w:val="00FD3CC1"/>
    <w:rsid w:val="00FE3EEC"/>
    <w:rsid w:val="00FE4BBE"/>
    <w:rsid w:val="00FE782C"/>
    <w:rsid w:val="00FF1E02"/>
    <w:rsid w:val="00FF30B4"/>
    <w:rsid w:val="00FF37B0"/>
    <w:rsid w:val="00FF3B9C"/>
    <w:rsid w:val="00FF3CC7"/>
    <w:rsid w:val="02AD44CC"/>
    <w:rsid w:val="0771118F"/>
    <w:rsid w:val="08EA2BF8"/>
    <w:rsid w:val="09503632"/>
    <w:rsid w:val="0F9D58C8"/>
    <w:rsid w:val="10C055FF"/>
    <w:rsid w:val="16BB723D"/>
    <w:rsid w:val="17A164BA"/>
    <w:rsid w:val="1CBF74C7"/>
    <w:rsid w:val="240371BF"/>
    <w:rsid w:val="283C6481"/>
    <w:rsid w:val="29D23E1C"/>
    <w:rsid w:val="29FD04D3"/>
    <w:rsid w:val="2BC12629"/>
    <w:rsid w:val="2CAB2406"/>
    <w:rsid w:val="2CF03FB3"/>
    <w:rsid w:val="314C40C8"/>
    <w:rsid w:val="319F7F4E"/>
    <w:rsid w:val="3C7D46A6"/>
    <w:rsid w:val="3DA16634"/>
    <w:rsid w:val="3FF27B19"/>
    <w:rsid w:val="419F12C5"/>
    <w:rsid w:val="45F171A9"/>
    <w:rsid w:val="46A67970"/>
    <w:rsid w:val="4B9A4995"/>
    <w:rsid w:val="4D215693"/>
    <w:rsid w:val="4D8D68AB"/>
    <w:rsid w:val="53494809"/>
    <w:rsid w:val="571A5DAF"/>
    <w:rsid w:val="58872062"/>
    <w:rsid w:val="5C3B7E27"/>
    <w:rsid w:val="5EDF3FFF"/>
    <w:rsid w:val="61BD3C26"/>
    <w:rsid w:val="626F420C"/>
    <w:rsid w:val="6372760F"/>
    <w:rsid w:val="69322C02"/>
    <w:rsid w:val="6C1D5C21"/>
    <w:rsid w:val="6E1A42F5"/>
    <w:rsid w:val="70E909A8"/>
    <w:rsid w:val="72623FE1"/>
    <w:rsid w:val="74017585"/>
    <w:rsid w:val="76C70DF0"/>
    <w:rsid w:val="77724A10"/>
    <w:rsid w:val="7B9F073E"/>
    <w:rsid w:val="7E0D5C2D"/>
    <w:rsid w:val="7F374A3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收入支出决算总体对比情况</a:t>
            </a:r>
            <a:endParaRPr lang="zh-CN" altLang="en-US" sz="1195"/>
          </a:p>
        </c:rich>
      </c:tx>
      <c:layout>
        <c:manualLayout>
          <c:xMode val="edge"/>
          <c:yMode val="edge"/>
          <c:x val="0.160095360572769"/>
          <c:y val="0.0793650793650794"/>
        </c:manualLayout>
      </c:layout>
      <c:overlay val="false"/>
      <c:spPr>
        <a:noFill/>
        <a:ln w="25301">
          <a:noFill/>
        </a:ln>
      </c:spPr>
    </c:title>
    <c:autoTitleDeleted val="false"/>
    <c:plotArea>
      <c:layout>
        <c:manualLayout>
          <c:layoutTarget val="inner"/>
          <c:xMode val="edge"/>
          <c:yMode val="edge"/>
          <c:x val="0.119533527696793"/>
          <c:y val="0.259109311740891"/>
          <c:w val="0.64139941690964"/>
          <c:h val="0.595141700404858"/>
        </c:manualLayout>
      </c:layout>
      <c:barChart>
        <c:barDir val="col"/>
        <c:grouping val="clustered"/>
        <c:varyColors val="false"/>
        <c:ser>
          <c:idx val="0"/>
          <c:order val="0"/>
          <c:tx>
            <c:strRef>
              <c:f>Sheet1!$B$1</c:f>
              <c:strCache>
                <c:ptCount val="1"/>
                <c:pt idx="0">
                  <c:v>2022</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299.92</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Sheet1!$B$2</c:f>
              <c:numCache>
                <c:formatCode>General</c:formatCode>
                <c:ptCount val="1"/>
                <c:pt idx="0">
                  <c:v>299.919999999999</c:v>
                </c:pt>
              </c:numCache>
            </c:numRef>
          </c:val>
        </c:ser>
        <c:ser>
          <c:idx val="1"/>
          <c:order val="1"/>
          <c:tx>
            <c:strRef>
              <c:f>Sheet1!$C$1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257.99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Sheet1!$C$2</c:f>
              <c:numCache>
                <c:formatCode>General</c:formatCode>
                <c:ptCount val="1"/>
                <c:pt idx="0">
                  <c:v>257.989999999999</c:v>
                </c:pt>
              </c:numCache>
            </c:numRef>
          </c:val>
        </c:ser>
        <c:dLbls>
          <c:showLegendKey val="false"/>
          <c:showVal val="true"/>
          <c:showCatName val="false"/>
          <c:showSerName val="false"/>
          <c:showPercent val="false"/>
          <c:showBubbleSize val="false"/>
        </c:dLbls>
        <c:gapWidth val="150"/>
        <c:axId val="93565312"/>
        <c:axId val="93568384"/>
      </c:barChart>
      <c:catAx>
        <c:axId val="93565312"/>
        <c:scaling>
          <c:orientation val="minMax"/>
        </c:scaling>
        <c:delete val="true"/>
        <c:axPos val="b"/>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93568384"/>
        <c:crosses val="autoZero"/>
        <c:auto val="true"/>
        <c:lblAlgn val="ctr"/>
        <c:lblOffset val="100"/>
        <c:noMultiLvlLbl val="false"/>
      </c:catAx>
      <c:valAx>
        <c:axId val="93568384"/>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93565312"/>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2022</a:t>
            </a:r>
            <a:r>
              <a:rPr lang="zh-CN" altLang="en-US"/>
              <a:t>年收入情况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2019年收入情况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211841057181286"/>
                  <c:y val="-0.19986662381488"/>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100</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delete val="true"/>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财政拨款收入</c:v>
                </c:pt>
                <c:pt idx="1">
                  <c:v>结转结余收入</c:v>
                </c:pt>
                <c:pt idx="2">
                  <c:v>经营收入</c:v>
                </c:pt>
                <c:pt idx="3">
                  <c:v>附属单位上缴收入</c:v>
                </c:pt>
                <c:pt idx="4">
                  <c:v>其他收入</c:v>
                </c:pt>
              </c:strCache>
            </c:strRef>
          </c:cat>
          <c:val>
            <c:numRef>
              <c:f>Sheet1!$B$2:$B$6</c:f>
              <c:numCache>
                <c:formatCode>General</c:formatCode>
                <c:ptCount val="5"/>
                <c:pt idx="0">
                  <c:v>100</c:v>
                </c:pt>
                <c:pt idx="1">
                  <c:v>0</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2"/>
          <c:w val="0.325757575757584"/>
          <c:h val="0.628272251308907"/>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2022</a:t>
            </a:r>
            <a:r>
              <a:rPr lang="zh-CN" altLang="en-US"/>
              <a:t>年支出情况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2022年收入情况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145506065473159"/>
                  <c:y val="-0.199867159462213"/>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95</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layout>
                <c:manualLayout>
                  <c:x val="0.0447492197803633"/>
                  <c:y val="0.0201226632385237"/>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5%</a:t>
                    </a:r>
                    <a:endParaRPr lang="zh-CN"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基本支出</c:v>
                </c:pt>
                <c:pt idx="1">
                  <c:v>项目支出</c:v>
                </c:pt>
                <c:pt idx="2">
                  <c:v>上缴上级支出</c:v>
                </c:pt>
                <c:pt idx="3">
                  <c:v>经营支出</c:v>
                </c:pt>
                <c:pt idx="4">
                  <c:v>辅助支出</c:v>
                </c:pt>
              </c:strCache>
            </c:strRef>
          </c:cat>
          <c:val>
            <c:numRef>
              <c:f>Sheet1!$B$2:$B$6</c:f>
              <c:numCache>
                <c:formatCode>General</c:formatCode>
                <c:ptCount val="5"/>
                <c:pt idx="0">
                  <c:v>95</c:v>
                </c:pt>
                <c:pt idx="1">
                  <c:v>5</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2"/>
          <c:w val="0.325757575757584"/>
          <c:h val="0.628272251308907"/>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财政拨款收支决算对比情况</a:t>
            </a:r>
            <a:endParaRPr lang="zh-CN" altLang="en-US" sz="1195"/>
          </a:p>
        </c:rich>
      </c:tx>
      <c:layout/>
      <c:overlay val="false"/>
      <c:spPr>
        <a:noFill/>
        <a:ln w="25301">
          <a:noFill/>
        </a:ln>
      </c:spPr>
    </c:title>
    <c:autoTitleDeleted val="false"/>
    <c:plotArea>
      <c:layout>
        <c:manualLayout>
          <c:layoutTarget val="inner"/>
          <c:xMode val="edge"/>
          <c:yMode val="edge"/>
          <c:x val="0.119533527696793"/>
          <c:y val="0.259109311740891"/>
          <c:w val="0.64139941690964"/>
          <c:h val="0.595141700404858"/>
        </c:manualLayout>
      </c:layout>
      <c:barChart>
        <c:barDir val="col"/>
        <c:grouping val="clustered"/>
        <c:varyColors val="false"/>
        <c:ser>
          <c:idx val="0"/>
          <c:order val="0"/>
          <c:tx>
            <c:strRef>
              <c:f>Sheet1!$B$1</c:f>
              <c:strCache>
                <c:ptCount val="1"/>
                <c:pt idx="0">
                  <c:v>2022</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299.92</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299.919999999999</c:v>
                </c:pt>
              </c:numCache>
            </c:numRef>
          </c:val>
        </c:ser>
        <c:ser>
          <c:idx val="1"/>
          <c:order val="1"/>
          <c:tx>
            <c:strRef>
              <c:f>Sheet1!$C$1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257.99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257.989999999999</c:v>
                </c:pt>
              </c:numCache>
            </c:numRef>
          </c:val>
        </c:ser>
        <c:dLbls>
          <c:showLegendKey val="false"/>
          <c:showVal val="true"/>
          <c:showCatName val="false"/>
          <c:showSerName val="false"/>
          <c:showPercent val="false"/>
          <c:showBubbleSize val="false"/>
        </c:dLbls>
        <c:gapWidth val="150"/>
        <c:axId val="59749888"/>
        <c:axId val="59751424"/>
      </c:barChart>
      <c:catAx>
        <c:axId val="59749888"/>
        <c:scaling>
          <c:orientation val="minMax"/>
        </c:scaling>
        <c:delete val="true"/>
        <c:axPos val="b"/>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9751424"/>
        <c:crosses val="autoZero"/>
        <c:auto val="true"/>
        <c:lblAlgn val="ctr"/>
        <c:lblOffset val="100"/>
        <c:noMultiLvlLbl val="false"/>
      </c:catAx>
      <c:valAx>
        <c:axId val="59751424"/>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9749888"/>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一般公共预算财政拨款支出对比情况</a:t>
            </a:r>
            <a:endParaRPr lang="zh-CN" altLang="en-US" sz="1195"/>
          </a:p>
        </c:rich>
      </c:tx>
      <c:layout>
        <c:manualLayout>
          <c:xMode val="edge"/>
          <c:yMode val="edge"/>
          <c:x val="0.0531612631515618"/>
          <c:y val="0.0846560846560852"/>
        </c:manualLayout>
      </c:layout>
      <c:overlay val="false"/>
      <c:spPr>
        <a:noFill/>
        <a:ln w="25301">
          <a:noFill/>
        </a:ln>
      </c:spPr>
    </c:title>
    <c:autoTitleDeleted val="false"/>
    <c:plotArea>
      <c:layout>
        <c:manualLayout>
          <c:layoutTarget val="inner"/>
          <c:xMode val="edge"/>
          <c:yMode val="edge"/>
          <c:x val="0.119533527696793"/>
          <c:y val="0.259109311740891"/>
          <c:w val="0.641399416909642"/>
          <c:h val="0.595141700404858"/>
        </c:manualLayout>
      </c:layout>
      <c:barChart>
        <c:barDir val="col"/>
        <c:grouping val="clustered"/>
        <c:varyColors val="false"/>
        <c:ser>
          <c:idx val="0"/>
          <c:order val="0"/>
          <c:tx>
            <c:strRef>
              <c:f>Sheet1!$B$1</c:f>
              <c:strCache>
                <c:ptCount val="1"/>
                <c:pt idx="0">
                  <c:v>2022年</c:v>
                </c:pt>
              </c:strCache>
            </c:strRef>
          </c:tx>
          <c:invertIfNegative val="false"/>
          <c:dLbls>
            <c:dLbl>
              <c:idx val="0"/>
              <c:layout>
                <c:manualLayout>
                  <c:x val="-0.00573065902578799"/>
                  <c:y val="0.0074074074074074"/>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299.92</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15:layout>
                    <c:manualLayout>
                      <c:w val="0.128939828080229"/>
                      <c:h val="0.0682539682539682"/>
                    </c:manualLayout>
                  </c15:layout>
                </c:ext>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299.919999999999</c:v>
                </c:pt>
              </c:numCache>
            </c:numRef>
          </c:val>
        </c:ser>
        <c:ser>
          <c:idx val="1"/>
          <c:order val="1"/>
          <c:tx>
            <c:strRef>
              <c:f>Sheet1!$C$1</c:f>
              <c:strCache>
                <c:ptCount val="1"/>
                <c:pt idx="0">
                  <c:v>2021年</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257.99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257.989999999999</c:v>
                </c:pt>
              </c:numCache>
            </c:numRef>
          </c:val>
        </c:ser>
        <c:dLbls>
          <c:showLegendKey val="false"/>
          <c:showVal val="true"/>
          <c:showCatName val="false"/>
          <c:showSerName val="false"/>
          <c:showPercent val="false"/>
          <c:showBubbleSize val="false"/>
        </c:dLbls>
        <c:gapWidth val="150"/>
        <c:axId val="59765504"/>
        <c:axId val="59767040"/>
      </c:barChart>
      <c:catAx>
        <c:axId val="59765504"/>
        <c:scaling>
          <c:orientation val="minMax"/>
        </c:scaling>
        <c:delete val="false"/>
        <c:axPos val="b"/>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9767040"/>
        <c:crosses val="autoZero"/>
        <c:auto val="true"/>
        <c:lblAlgn val="ctr"/>
        <c:lblOffset val="100"/>
        <c:noMultiLvlLbl val="false"/>
      </c:catAx>
      <c:valAx>
        <c:axId val="59767040"/>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9765504"/>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false"/>
      <c:spPr>
        <a:noFill/>
        <a:ln w="25296">
          <a:noFill/>
        </a:ln>
      </c:spPr>
      <c:txPr>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p>
      </c:txPr>
    </c:title>
    <c:autoTitleDeleted val="false"/>
    <c:plotArea>
      <c:layout>
        <c:manualLayout>
          <c:layoutTarget val="inner"/>
          <c:xMode val="edge"/>
          <c:yMode val="edge"/>
          <c:x val="0.125"/>
          <c:y val="0.280851063829795"/>
          <c:w val="0.375000000000005"/>
          <c:h val="0.600000000000007"/>
        </c:manualLayout>
      </c:layout>
      <c:pieChart>
        <c:varyColors val="true"/>
        <c:ser>
          <c:idx val="0"/>
          <c:order val="0"/>
          <c:tx>
            <c:strRef>
              <c:f>Sheet1!$B$1</c:f>
              <c:strCache>
                <c:ptCount val="1"/>
                <c:pt idx="0">
                  <c:v>一般公共预算财政拨款支出决算结构</c:v>
                </c:pt>
              </c:strCache>
            </c:strRef>
          </c:tx>
          <c:explosion val="0"/>
          <c:dPt>
            <c:idx val="0"/>
            <c:bubble3D val="false"/>
          </c:dPt>
          <c:dPt>
            <c:idx val="1"/>
            <c:bubble3D val="false"/>
          </c:dPt>
          <c:dPt>
            <c:idx val="2"/>
            <c:bubble3D val="false"/>
          </c:dPt>
          <c:dLbls>
            <c:dLbl>
              <c:idx val="0"/>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11.3%</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extLst>
            </c:dLbl>
            <c:dLbl>
              <c:idx val="1"/>
              <c:layout>
                <c:manualLayout>
                  <c:x val="0.0237113480246714"/>
                  <c:y val="0.0194202969210892"/>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81.51%</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7.19%</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extLst>
            </c:dLbl>
            <c:spPr>
              <a:noFill/>
              <a:ln w="25296">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Sheet1!$A$2:$A$4</c:f>
              <c:strCache>
                <c:ptCount val="3"/>
                <c:pt idx="0">
                  <c:v>社会保障和就业支出</c:v>
                </c:pt>
                <c:pt idx="1">
                  <c:v>健康卫生支出</c:v>
                </c:pt>
                <c:pt idx="2">
                  <c:v>住房保障支出</c:v>
                </c:pt>
              </c:strCache>
            </c:strRef>
          </c:cat>
          <c:val>
            <c:numRef>
              <c:f>Sheet1!$B$2:$B$4</c:f>
              <c:numCache>
                <c:formatCode>General</c:formatCode>
                <c:ptCount val="3"/>
                <c:pt idx="0">
                  <c:v>11.3</c:v>
                </c:pt>
                <c:pt idx="1">
                  <c:v>81.51</c:v>
                </c:pt>
                <c:pt idx="2">
                  <c:v>7.19</c:v>
                </c:pt>
              </c:numCache>
            </c:numRef>
          </c:val>
        </c:ser>
        <c:dLbls>
          <c:showLegendKey val="false"/>
          <c:showVal val="false"/>
          <c:showCatName val="false"/>
          <c:showSerName val="false"/>
          <c:showPercent val="true"/>
          <c:showBubbleSize val="false"/>
          <c:showLeaderLines val="true"/>
        </c:dLbls>
        <c:firstSliceAng val="0"/>
      </c:pieChart>
      <c:spPr>
        <a:noFill/>
        <a:ln w="25296">
          <a:noFill/>
        </a:ln>
      </c:spPr>
    </c:plotArea>
    <c:legend>
      <c:legendPos val="r"/>
      <c:layout>
        <c:manualLayout>
          <c:xMode val="edge"/>
          <c:yMode val="edge"/>
          <c:x val="0.659574468085117"/>
          <c:y val="0.348936170212773"/>
          <c:w val="0.305851063829797"/>
          <c:h val="0.51063829787233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440" b="1" i="0" u="none" strike="noStrike" kern="1200" baseline="0">
                <a:solidFill>
                  <a:schemeClr val="tx1"/>
                </a:solidFill>
                <a:latin typeface="+mn-lt"/>
                <a:ea typeface="+mn-ea"/>
                <a:cs typeface="+mn-cs"/>
              </a:defRPr>
            </a:pPr>
            <a:r>
              <a:rPr lang="en-US" altLang="zh-CN"/>
              <a:t>2022</a:t>
            </a:r>
            <a:r>
              <a:rPr lang="zh-CN" altLang="en-US"/>
              <a:t>年“三公”经费财政拨款支出决算情况</a:t>
            </a:r>
            <a:endParaRPr lang="zh-CN" altLang="en-US"/>
          </a:p>
        </c:rich>
      </c:tx>
      <c:layout/>
      <c:overlay val="false"/>
      <c:spPr>
        <a:noFill/>
        <a:ln w="25399">
          <a:noFill/>
        </a:ln>
      </c:spPr>
    </c:title>
    <c:autoTitleDeleted val="false"/>
    <c:plotArea>
      <c:layout/>
      <c:pieChart>
        <c:varyColors val="true"/>
        <c:ser>
          <c:idx val="0"/>
          <c:order val="0"/>
          <c:tx>
            <c:strRef>
              <c:f>Sheet1!$B$1</c:f>
              <c:strCache>
                <c:ptCount val="1"/>
                <c:pt idx="0">
                  <c:v>2022年“三公”经费财政拨款支出决算情况</c:v>
                </c:pt>
              </c:strCache>
            </c:strRef>
          </c:tx>
          <c:explosion val="0"/>
          <c:dPt>
            <c:idx val="0"/>
            <c:bubble3D val="false"/>
          </c:dPt>
          <c:dPt>
            <c:idx val="1"/>
            <c:bubble3D val="false"/>
          </c:dPt>
          <c:dPt>
            <c:idx val="2"/>
            <c:bubble3D val="false"/>
          </c:dPt>
          <c:dLbls>
            <c:dLbl>
              <c:idx val="0"/>
              <c:delete val="true"/>
            </c:dLbl>
            <c:dLbl>
              <c:idx val="1"/>
              <c:layout/>
              <c:tx>
                <c:rich>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r>
                      <a:rPr lang="en-US" altLang="zh-CN"/>
                      <a:t>4.37%</a:t>
                    </a:r>
                    <a:endParaRPr altLang="en-US"/>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delete val="true"/>
            </c:dLbl>
            <c:spPr>
              <a:noFill/>
              <a:ln>
                <a:noFill/>
              </a:ln>
              <a:effectLst/>
            </c:spPr>
            <c:txPr>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c:v>2.19</c:v>
                </c:pt>
                <c:pt idx="1">
                  <c:v>0.1</c:v>
                </c:pt>
              </c:numCache>
            </c:numRef>
          </c:val>
        </c:ser>
        <c:dLbls>
          <c:showLegendKey val="false"/>
          <c:showVal val="true"/>
          <c:showCatName val="false"/>
          <c:showSerName val="false"/>
          <c:showPercent val="false"/>
          <c:showBubbleSize val="false"/>
          <c:showLeaderLines val="true"/>
        </c:dLbls>
        <c:firstSliceAng val="0"/>
      </c:pieChart>
      <c:spPr>
        <a:noFill/>
        <a:ln w="25399">
          <a:noFill/>
        </a:ln>
      </c:spPr>
    </c:plotArea>
    <c:legend>
      <c:legendPos val="r"/>
      <c:layout>
        <c:manualLayout>
          <c:xMode val="edge"/>
          <c:yMode val="edge"/>
          <c:x val="0.634408602150555"/>
          <c:y val="0.411458333333333"/>
          <c:w val="0.344086021505376"/>
          <c:h val="0.583333333333333"/>
        </c:manualLayout>
      </c:layout>
      <c:overlay val="false"/>
      <c:txPr>
        <a:bodyPr rot="0" spcFirstLastPara="0" vertOverflow="ellipsis" vert="horz" wrap="square" anchor="ctr" anchorCtr="true"/>
        <a:lstStyle/>
        <a:p>
          <a:pPr>
            <a:defRPr lang="zh-CN" sz="9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sz="1200"/>
      </a:pPr>
    </a:p>
  </c:txPr>
  <c:externalData r:id="rId1">
    <c:autoUpdate val="false"/>
  </c:externalData>
</c:chartSpace>
</file>

<file path=word/drawings/drawing1.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27</Pages>
  <Words>1335</Words>
  <Characters>7614</Characters>
  <Lines>63</Lines>
  <Paragraphs>17</Paragraphs>
  <TotalTime>539</TotalTime>
  <ScaleCrop>false</ScaleCrop>
  <LinksUpToDate>false</LinksUpToDate>
  <CharactersWithSpaces>8932</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军魂不变</cp:lastModifiedBy>
  <cp:lastPrinted>2023-08-31T09:56:00Z</cp:lastPrinted>
  <dcterms:modified xsi:type="dcterms:W3CDTF">2023-09-01T16:49:39Z</dcterms:modified>
  <dc:title>四川省***</dc:title>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D593247E9233440091FE672F01D3B7C1</vt:lpwstr>
  </property>
</Properties>
</file>