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96475"/>
      <w:bookmarkStart w:id="1" w:name="_Toc15396597"/>
      <w:bookmarkStart w:id="2" w:name="_Toc15377425"/>
      <w:bookmarkStart w:id="3" w:name="_Toc15306267"/>
      <w:bookmarkStart w:id="4" w:name="_Toc15377193"/>
      <w:bookmarkStart w:id="5" w:name="_Toc15378441"/>
    </w:p>
    <w:p>
      <w:pPr>
        <w:pStyle w:val="2"/>
        <w:ind w:firstLine="0"/>
      </w:pPr>
    </w:p>
    <w:bookmarkEnd w:id="0"/>
    <w:bookmarkEnd w:id="1"/>
    <w:bookmarkEnd w:id="2"/>
    <w:bookmarkEnd w:id="3"/>
    <w:bookmarkEnd w:id="4"/>
    <w:bookmarkEnd w:id="5"/>
    <w:p>
      <w:pPr>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202</w:t>
      </w:r>
      <w:r>
        <w:rPr>
          <w:rFonts w:hint="eastAsia" w:ascii="方正小标宋简体" w:hAnsi="方正小标宋简体" w:eastAsia="方正小标宋简体" w:cs="方正小标宋简体"/>
          <w:b/>
          <w:sz w:val="44"/>
          <w:szCs w:val="44"/>
          <w:lang w:val="en-US" w:eastAsia="zh-CN"/>
        </w:rPr>
        <w:t>2</w:t>
      </w:r>
      <w:r>
        <w:rPr>
          <w:rFonts w:hint="eastAsia" w:ascii="方正小标宋简体" w:hAnsi="方正小标宋简体" w:eastAsia="方正小标宋简体" w:cs="方正小标宋简体"/>
          <w:b/>
          <w:sz w:val="44"/>
          <w:szCs w:val="44"/>
        </w:rPr>
        <w:t>年度</w:t>
      </w:r>
      <w:bookmarkStart w:id="6" w:name="_Toc15378442"/>
      <w:bookmarkStart w:id="7" w:name="_Toc15377194"/>
      <w:bookmarkStart w:id="8" w:name="_Toc15396476"/>
      <w:bookmarkStart w:id="9" w:name="_Toc15396598"/>
      <w:bookmarkStart w:id="10" w:name="_Toc15306268"/>
      <w:bookmarkStart w:id="11" w:name="_Toc15377426"/>
    </w:p>
    <w:p>
      <w:pPr>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四川省阿坝州</w:t>
      </w:r>
    </w:p>
    <w:p>
      <w:pPr>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茂县政务服务和公共资源交易中心决算</w:t>
      </w:r>
      <w:bookmarkEnd w:id="6"/>
      <w:bookmarkEnd w:id="7"/>
      <w:bookmarkEnd w:id="8"/>
      <w:bookmarkEnd w:id="9"/>
      <w:bookmarkEnd w:id="10"/>
      <w:bookmarkEnd w:id="11"/>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keepNext w:val="0"/>
        <w:keepLines w:val="0"/>
        <w:pageBreakBefore w:val="0"/>
        <w:widowControl/>
        <w:kinsoku/>
        <w:wordWrap/>
        <w:overflowPunct/>
        <w:topLinePunct w:val="0"/>
        <w:autoSpaceDE/>
        <w:autoSpaceDN/>
        <w:bidi w:val="0"/>
        <w:adjustRightInd/>
        <w:snapToGrid/>
        <w:spacing w:line="576" w:lineRule="exact"/>
        <w:ind w:left="0"/>
        <w:jc w:val="center"/>
        <w:textAlignment w:val="auto"/>
        <w:rPr>
          <w:rFonts w:ascii="黑体" w:eastAsia="黑体"/>
          <w:color w:val="000000"/>
          <w:sz w:val="44"/>
          <w:szCs w:val="44"/>
        </w:rPr>
      </w:pPr>
      <w:r>
        <w:rPr>
          <w:rFonts w:ascii="方正小标宋简体" w:hAnsi="宋体" w:eastAsia="方正小标宋简体"/>
          <w:color w:val="000000"/>
          <w:sz w:val="36"/>
          <w:szCs w:val="36"/>
        </w:rPr>
        <w:br w:type="page"/>
      </w:r>
      <w:bookmarkStart w:id="12" w:name="_Toc15377196"/>
      <w:r>
        <w:rPr>
          <w:rFonts w:hint="eastAsia" w:ascii="黑体" w:eastAsia="黑体"/>
          <w:color w:val="000000"/>
          <w:sz w:val="44"/>
          <w:szCs w:val="44"/>
        </w:rPr>
        <w:t>目录</w:t>
      </w:r>
    </w:p>
    <w:p>
      <w:pPr>
        <w:pStyle w:val="12"/>
        <w:keepNext w:val="0"/>
        <w:keepLines w:val="0"/>
        <w:pageBreakBefore w:val="0"/>
        <w:widowControl w:val="0"/>
        <w:kinsoku/>
        <w:wordWrap/>
        <w:overflowPunct/>
        <w:topLinePunct w:val="0"/>
        <w:autoSpaceDE/>
        <w:autoSpaceDN/>
        <w:bidi w:val="0"/>
        <w:adjustRightInd/>
        <w:snapToGrid/>
        <w:spacing w:before="0" w:line="576" w:lineRule="exact"/>
        <w:ind w:left="0"/>
        <w:jc w:val="center"/>
        <w:textAlignment w:val="auto"/>
        <w:rPr>
          <w:rFonts w:hint="eastAsia" w:ascii="楷体_GB2312" w:eastAsia="楷体_GB2312" w:cs="楷体_GB2312"/>
          <w:b/>
          <w:bCs/>
          <w:sz w:val="24"/>
          <w:szCs w:val="24"/>
        </w:rPr>
      </w:pPr>
      <w:r>
        <w:rPr>
          <w:rFonts w:hint="eastAsia" w:ascii="楷体_GB2312" w:eastAsia="楷体_GB2312" w:cs="楷体_GB2312"/>
          <w:b/>
          <w:bCs/>
          <w:sz w:val="24"/>
          <w:szCs w:val="24"/>
        </w:rPr>
        <w:t>公开时间：2023年</w:t>
      </w:r>
      <w:r>
        <w:rPr>
          <w:rFonts w:hint="eastAsia" w:ascii="楷体_GB2312" w:eastAsia="楷体_GB2312" w:cs="楷体_GB2312"/>
          <w:b/>
          <w:bCs/>
          <w:sz w:val="24"/>
          <w:szCs w:val="24"/>
          <w:lang w:val="en-US" w:eastAsia="zh-CN"/>
        </w:rPr>
        <w:t>9</w:t>
      </w:r>
      <w:r>
        <w:rPr>
          <w:rFonts w:hint="eastAsia" w:ascii="楷体_GB2312" w:eastAsia="楷体_GB2312" w:cs="楷体_GB2312"/>
          <w:b/>
          <w:bCs/>
          <w:sz w:val="24"/>
          <w:szCs w:val="24"/>
        </w:rPr>
        <w:t xml:space="preserve"> 月</w:t>
      </w:r>
      <w:r>
        <w:rPr>
          <w:rFonts w:hint="eastAsia" w:ascii="楷体_GB2312" w:eastAsia="楷体_GB2312" w:cs="楷体_GB2312"/>
          <w:b/>
          <w:bCs/>
          <w:sz w:val="24"/>
          <w:szCs w:val="24"/>
          <w:lang w:val="en-US" w:eastAsia="zh-CN"/>
        </w:rPr>
        <w:t>12</w:t>
      </w:r>
      <w:r>
        <w:rPr>
          <w:rFonts w:hint="eastAsia" w:ascii="楷体_GB2312" w:eastAsia="楷体_GB2312" w:cs="楷体_GB2312"/>
          <w:b/>
          <w:bCs/>
          <w:sz w:val="24"/>
          <w:szCs w:val="24"/>
        </w:rPr>
        <w:t>日</w:t>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ind w:left="0"/>
        <w:jc w:val="both"/>
        <w:textAlignment w:val="auto"/>
        <w:rPr>
          <w:sz w:val="20"/>
          <w:szCs w:val="20"/>
        </w:rPr>
      </w:pPr>
      <w:r>
        <w:rPr>
          <w:sz w:val="20"/>
          <w:szCs w:val="20"/>
        </w:rPr>
        <w:fldChar w:fldCharType="begin"/>
      </w:r>
      <w:r>
        <w:rPr>
          <w:sz w:val="20"/>
          <w:szCs w:val="20"/>
        </w:rPr>
        <w:instrText xml:space="preserve">TOC \o "1-3" \h \u </w:instrText>
      </w:r>
      <w:r>
        <w:rPr>
          <w:sz w:val="20"/>
          <w:szCs w:val="20"/>
        </w:rPr>
        <w:fldChar w:fldCharType="separate"/>
      </w:r>
      <w:r>
        <w:rPr>
          <w:sz w:val="20"/>
          <w:szCs w:val="20"/>
        </w:rPr>
        <w:fldChar w:fldCharType="begin"/>
      </w:r>
      <w:r>
        <w:rPr>
          <w:sz w:val="20"/>
          <w:szCs w:val="20"/>
        </w:rPr>
        <w:instrText xml:space="preserve"> HYPERLINK \l _Toc4822 </w:instrText>
      </w:r>
      <w:r>
        <w:rPr>
          <w:sz w:val="20"/>
          <w:szCs w:val="20"/>
        </w:rPr>
        <w:fldChar w:fldCharType="separate"/>
      </w:r>
      <w:r>
        <w:rPr>
          <w:rFonts w:hint="eastAsia" w:ascii="黑体" w:eastAsia="黑体" w:cs="Times New Roman"/>
          <w:sz w:val="20"/>
          <w:szCs w:val="20"/>
          <w:lang w:bidi="ar-SA"/>
        </w:rPr>
        <w:t>第一部分 单位概况</w:t>
      </w:r>
      <w:r>
        <w:rPr>
          <w:sz w:val="20"/>
          <w:szCs w:val="20"/>
        </w:rPr>
        <w:tab/>
      </w:r>
      <w:r>
        <w:rPr>
          <w:rFonts w:hint="eastAsia"/>
          <w:sz w:val="20"/>
          <w:szCs w:val="20"/>
          <w:lang w:val="en-US" w:eastAsia="zh-CN"/>
        </w:rPr>
        <w:t>4</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_Toc28308 </w:instrText>
      </w:r>
      <w:r>
        <w:rPr>
          <w:sz w:val="20"/>
          <w:szCs w:val="20"/>
        </w:rPr>
        <w:fldChar w:fldCharType="separate"/>
      </w:r>
      <w:r>
        <w:rPr>
          <w:rFonts w:hint="eastAsia" w:ascii="黑体" w:eastAsia="黑体" w:cs="Times New Roman"/>
          <w:bCs w:val="0"/>
          <w:sz w:val="20"/>
          <w:szCs w:val="20"/>
        </w:rPr>
        <w:t>一、基本职能及主要工作</w:t>
      </w:r>
      <w:r>
        <w:rPr>
          <w:sz w:val="20"/>
          <w:szCs w:val="20"/>
        </w:rPr>
        <w:tab/>
      </w:r>
      <w:r>
        <w:rPr>
          <w:rFonts w:hint="eastAsia"/>
          <w:sz w:val="20"/>
          <w:szCs w:val="20"/>
          <w:lang w:val="en-US" w:eastAsia="zh-CN"/>
        </w:rPr>
        <w:t>4</w:t>
      </w:r>
      <w:r>
        <w:rPr>
          <w:sz w:val="20"/>
          <w:szCs w:val="20"/>
        </w:rPr>
        <w:fldChar w:fldCharType="end"/>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_Toc31324 </w:instrText>
      </w:r>
      <w:r>
        <w:rPr>
          <w:sz w:val="20"/>
          <w:szCs w:val="20"/>
        </w:rPr>
        <w:fldChar w:fldCharType="separate"/>
      </w:r>
      <w:r>
        <w:rPr>
          <w:rFonts w:hint="eastAsia" w:ascii="仿宋" w:eastAsia="仿宋"/>
          <w:sz w:val="20"/>
          <w:szCs w:val="20"/>
        </w:rPr>
        <w:t>（一）主要职能</w:t>
      </w:r>
      <w:r>
        <w:rPr>
          <w:sz w:val="20"/>
          <w:szCs w:val="20"/>
        </w:rPr>
        <w:tab/>
      </w:r>
      <w:r>
        <w:rPr>
          <w:rFonts w:hint="eastAsia"/>
          <w:sz w:val="20"/>
          <w:szCs w:val="20"/>
          <w:lang w:val="en-US" w:eastAsia="zh-CN"/>
        </w:rPr>
        <w:t>4</w:t>
      </w:r>
      <w:r>
        <w:rPr>
          <w:sz w:val="20"/>
          <w:szCs w:val="20"/>
        </w:rPr>
        <w:fldChar w:fldCharType="end"/>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_Toc9030 </w:instrText>
      </w:r>
      <w:r>
        <w:rPr>
          <w:sz w:val="20"/>
          <w:szCs w:val="20"/>
        </w:rPr>
        <w:fldChar w:fldCharType="separate"/>
      </w:r>
      <w:r>
        <w:rPr>
          <w:rFonts w:hint="eastAsia" w:ascii="仿宋" w:eastAsia="仿宋"/>
          <w:sz w:val="20"/>
          <w:szCs w:val="20"/>
        </w:rPr>
        <w:t>（二）</w:t>
      </w:r>
      <w:r>
        <w:rPr>
          <w:rFonts w:ascii="仿宋" w:eastAsia="仿宋"/>
          <w:sz w:val="20"/>
          <w:szCs w:val="20"/>
        </w:rPr>
        <w:t>2022</w:t>
      </w:r>
      <w:r>
        <w:rPr>
          <w:rFonts w:hint="eastAsia" w:ascii="仿宋" w:eastAsia="仿宋"/>
          <w:sz w:val="20"/>
          <w:szCs w:val="20"/>
        </w:rPr>
        <w:t>重点工作完成情况</w:t>
      </w:r>
      <w:r>
        <w:rPr>
          <w:sz w:val="20"/>
          <w:szCs w:val="20"/>
        </w:rPr>
        <w:tab/>
      </w:r>
      <w:r>
        <w:rPr>
          <w:rFonts w:hint="eastAsia"/>
          <w:sz w:val="20"/>
          <w:szCs w:val="20"/>
          <w:lang w:val="en-US" w:eastAsia="zh-CN"/>
        </w:rPr>
        <w:t>5</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_Toc6006 </w:instrText>
      </w:r>
      <w:r>
        <w:rPr>
          <w:sz w:val="20"/>
          <w:szCs w:val="20"/>
        </w:rPr>
        <w:fldChar w:fldCharType="separate"/>
      </w:r>
      <w:r>
        <w:rPr>
          <w:rFonts w:hint="eastAsia" w:ascii="黑体" w:eastAsia="黑体" w:cs="Times New Roman"/>
          <w:bCs w:val="0"/>
          <w:sz w:val="20"/>
          <w:szCs w:val="20"/>
          <w:lang w:eastAsia="zh-CN"/>
        </w:rPr>
        <w:t>（三）</w:t>
      </w:r>
      <w:r>
        <w:rPr>
          <w:rFonts w:hint="eastAsia" w:ascii="黑体" w:eastAsia="黑体" w:cs="Times New Roman"/>
          <w:bCs w:val="0"/>
          <w:sz w:val="20"/>
          <w:szCs w:val="20"/>
        </w:rPr>
        <w:t>机构设置</w:t>
      </w:r>
      <w:r>
        <w:rPr>
          <w:sz w:val="20"/>
          <w:szCs w:val="20"/>
        </w:rPr>
        <w:tab/>
      </w:r>
      <w:r>
        <w:rPr>
          <w:rFonts w:hint="eastAsia"/>
          <w:sz w:val="20"/>
          <w:szCs w:val="20"/>
          <w:lang w:val="en-US" w:eastAsia="zh-CN"/>
        </w:rPr>
        <w:t>7</w:t>
      </w:r>
      <w:r>
        <w:rPr>
          <w:sz w:val="20"/>
          <w:szCs w:val="20"/>
        </w:rPr>
        <w:fldChar w:fldCharType="end"/>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ind w:left="0"/>
        <w:jc w:val="both"/>
        <w:textAlignment w:val="auto"/>
        <w:rPr>
          <w:sz w:val="20"/>
          <w:szCs w:val="20"/>
        </w:rPr>
      </w:pPr>
      <w:r>
        <w:rPr>
          <w:sz w:val="20"/>
          <w:szCs w:val="20"/>
        </w:rPr>
        <w:fldChar w:fldCharType="begin"/>
      </w:r>
      <w:r>
        <w:rPr>
          <w:sz w:val="20"/>
          <w:szCs w:val="20"/>
        </w:rPr>
        <w:instrText xml:space="preserve"> HYPERLINK \l _Toc13072 </w:instrText>
      </w:r>
      <w:r>
        <w:rPr>
          <w:sz w:val="20"/>
          <w:szCs w:val="20"/>
        </w:rPr>
        <w:fldChar w:fldCharType="separate"/>
      </w:r>
      <w:r>
        <w:rPr>
          <w:rFonts w:hint="eastAsia" w:ascii="黑体" w:eastAsia="黑体" w:cs="黑体"/>
          <w:sz w:val="20"/>
          <w:szCs w:val="20"/>
        </w:rPr>
        <w:t>第二部分</w:t>
      </w:r>
      <w:r>
        <w:rPr>
          <w:rFonts w:ascii="黑体" w:eastAsia="黑体" w:cs="黑体"/>
          <w:sz w:val="20"/>
          <w:szCs w:val="20"/>
        </w:rPr>
        <w:t xml:space="preserve"> </w:t>
      </w:r>
      <w:r>
        <w:rPr>
          <w:rFonts w:hint="eastAsia" w:ascii="黑体" w:eastAsia="黑体" w:cs="黑体"/>
          <w:sz w:val="20"/>
          <w:szCs w:val="20"/>
        </w:rPr>
        <w:t>2022</w:t>
      </w:r>
      <w:r>
        <w:rPr>
          <w:rFonts w:ascii="黑体" w:eastAsia="黑体" w:cs="黑体"/>
          <w:sz w:val="20"/>
          <w:szCs w:val="20"/>
        </w:rPr>
        <w:t>年度部门决算情况说明</w:t>
      </w:r>
      <w:r>
        <w:rPr>
          <w:sz w:val="20"/>
          <w:szCs w:val="20"/>
        </w:rPr>
        <w:tab/>
      </w:r>
      <w:r>
        <w:rPr>
          <w:rFonts w:hint="eastAsia"/>
          <w:sz w:val="20"/>
          <w:szCs w:val="20"/>
          <w:lang w:val="en-US" w:eastAsia="zh-CN"/>
        </w:rPr>
        <w:t>8</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_Toc26866 </w:instrText>
      </w:r>
      <w:r>
        <w:rPr>
          <w:sz w:val="20"/>
          <w:szCs w:val="20"/>
        </w:rPr>
        <w:fldChar w:fldCharType="separate"/>
      </w:r>
      <w:r>
        <w:rPr>
          <w:rFonts w:hint="eastAsia" w:ascii="黑体" w:eastAsia="黑体" w:cs="Times New Roman"/>
          <w:bCs w:val="0"/>
          <w:sz w:val="20"/>
          <w:szCs w:val="20"/>
        </w:rPr>
        <w:t>一、收入支出决算总体情况说明</w:t>
      </w:r>
      <w:r>
        <w:rPr>
          <w:sz w:val="20"/>
          <w:szCs w:val="20"/>
        </w:rPr>
        <w:tab/>
      </w:r>
      <w:r>
        <w:rPr>
          <w:rFonts w:hint="eastAsia"/>
          <w:sz w:val="20"/>
          <w:szCs w:val="20"/>
          <w:lang w:val="en-US" w:eastAsia="zh-CN"/>
        </w:rPr>
        <w:t>8</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_Toc6572 </w:instrText>
      </w:r>
      <w:r>
        <w:rPr>
          <w:sz w:val="20"/>
          <w:szCs w:val="20"/>
        </w:rPr>
        <w:fldChar w:fldCharType="separate"/>
      </w:r>
      <w:r>
        <w:rPr>
          <w:rFonts w:hint="eastAsia" w:ascii="黑体" w:eastAsia="黑体" w:cs="Times New Roman"/>
          <w:bCs w:val="0"/>
          <w:sz w:val="20"/>
          <w:szCs w:val="20"/>
        </w:rPr>
        <w:t>二、收入决算情况说明</w:t>
      </w:r>
      <w:r>
        <w:rPr>
          <w:sz w:val="20"/>
          <w:szCs w:val="20"/>
        </w:rPr>
        <w:tab/>
      </w:r>
      <w:r>
        <w:rPr>
          <w:rFonts w:hint="eastAsia"/>
          <w:sz w:val="20"/>
          <w:szCs w:val="20"/>
          <w:lang w:val="en-US" w:eastAsia="zh-CN"/>
        </w:rPr>
        <w:t>8</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_Toc2831 </w:instrText>
      </w:r>
      <w:r>
        <w:rPr>
          <w:sz w:val="20"/>
          <w:szCs w:val="20"/>
        </w:rPr>
        <w:fldChar w:fldCharType="separate"/>
      </w:r>
      <w:r>
        <w:rPr>
          <w:rFonts w:hint="eastAsia" w:ascii="黑体" w:eastAsia="黑体" w:cs="Times New Roman"/>
          <w:bCs w:val="0"/>
          <w:sz w:val="20"/>
          <w:szCs w:val="20"/>
        </w:rPr>
        <w:t>三、支出决算情况说明</w:t>
      </w:r>
      <w:r>
        <w:rPr>
          <w:sz w:val="20"/>
          <w:szCs w:val="20"/>
        </w:rPr>
        <w:tab/>
      </w:r>
      <w:r>
        <w:rPr>
          <w:rFonts w:hint="eastAsia"/>
          <w:sz w:val="20"/>
          <w:szCs w:val="20"/>
          <w:lang w:val="en-US" w:eastAsia="zh-CN"/>
        </w:rPr>
        <w:t>9</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宋体"/>
          <w:sz w:val="20"/>
          <w:szCs w:val="20"/>
          <w:lang w:val="en-US" w:eastAsia="zh-CN"/>
        </w:rPr>
      </w:pPr>
      <w:r>
        <w:rPr>
          <w:sz w:val="20"/>
          <w:szCs w:val="20"/>
        </w:rPr>
        <w:fldChar w:fldCharType="begin"/>
      </w:r>
      <w:r>
        <w:rPr>
          <w:sz w:val="20"/>
          <w:szCs w:val="20"/>
        </w:rPr>
        <w:instrText xml:space="preserve"> HYPERLINK \l _Toc31774 </w:instrText>
      </w:r>
      <w:r>
        <w:rPr>
          <w:sz w:val="20"/>
          <w:szCs w:val="20"/>
        </w:rPr>
        <w:fldChar w:fldCharType="separate"/>
      </w:r>
      <w:r>
        <w:rPr>
          <w:rFonts w:hint="eastAsia" w:ascii="黑体" w:eastAsia="黑体" w:cs="Times New Roman"/>
          <w:bCs w:val="0"/>
          <w:sz w:val="20"/>
          <w:szCs w:val="20"/>
        </w:rPr>
        <w:t>四、财政拨款收入支出决算总体情况说明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0</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_Toc10622 </w:instrText>
      </w:r>
      <w:r>
        <w:rPr>
          <w:sz w:val="20"/>
          <w:szCs w:val="20"/>
        </w:rPr>
        <w:fldChar w:fldCharType="separate"/>
      </w:r>
      <w:r>
        <w:rPr>
          <w:rFonts w:hint="eastAsia" w:ascii="黑体" w:eastAsia="黑体" w:cs="Times New Roman"/>
          <w:bCs w:val="0"/>
          <w:sz w:val="20"/>
          <w:szCs w:val="20"/>
        </w:rPr>
        <w:t>五、一般公共预算财政拨款支出决算情况说明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1</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_Toc28455 </w:instrText>
      </w:r>
      <w:r>
        <w:rPr>
          <w:sz w:val="20"/>
          <w:szCs w:val="20"/>
        </w:rPr>
        <w:fldChar w:fldCharType="separate"/>
      </w:r>
      <w:r>
        <w:rPr>
          <w:rFonts w:hint="eastAsia" w:ascii="仿宋" w:eastAsia="仿宋"/>
          <w:sz w:val="20"/>
          <w:szCs w:val="20"/>
        </w:rPr>
        <w:t>（一）一般公共预算财政拨款支出决算总体情况</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1</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_Toc1664 </w:instrText>
      </w:r>
      <w:r>
        <w:rPr>
          <w:sz w:val="20"/>
          <w:szCs w:val="20"/>
        </w:rPr>
        <w:fldChar w:fldCharType="separate"/>
      </w:r>
      <w:r>
        <w:rPr>
          <w:rFonts w:hint="eastAsia" w:ascii="仿宋" w:eastAsia="仿宋"/>
          <w:sz w:val="20"/>
          <w:szCs w:val="20"/>
        </w:rPr>
        <w:t>（二）一般公共预算财政拨款支出决算结构情况（一般公共预算收支表）</w:t>
      </w:r>
      <w:r>
        <w:rPr>
          <w:rFonts w:hint="eastAsia" w:ascii="仿宋" w:eastAsia="仿宋"/>
          <w:sz w:val="20"/>
          <w:szCs w:val="20"/>
          <w:lang w:val="en-US" w:eastAsia="zh-CN"/>
        </w:rPr>
        <w:t>.</w:t>
      </w:r>
      <w:r>
        <w:rPr>
          <w:sz w:val="20"/>
          <w:szCs w:val="20"/>
        </w:rPr>
        <w:fldChar w:fldCharType="end"/>
      </w:r>
      <w:r>
        <w:rPr>
          <w:rFonts w:hint="eastAsia"/>
          <w:sz w:val="20"/>
          <w:szCs w:val="20"/>
          <w:lang w:val="en-US" w:eastAsia="zh-CN"/>
        </w:rPr>
        <w:t>................................11</w:t>
      </w:r>
      <w:r>
        <w:rPr>
          <w:sz w:val="20"/>
          <w:szCs w:val="20"/>
        </w:rPr>
        <w:fldChar w:fldCharType="begin"/>
      </w:r>
      <w:r>
        <w:rPr>
          <w:sz w:val="20"/>
          <w:szCs w:val="20"/>
        </w:rPr>
        <w:instrText xml:space="preserve"> HYPERLINK \l _Toc21092 </w:instrText>
      </w:r>
      <w:r>
        <w:rPr>
          <w:sz w:val="20"/>
          <w:szCs w:val="20"/>
        </w:rPr>
        <w:fldChar w:fldCharType="separate"/>
      </w:r>
      <w:r>
        <w:rPr>
          <w:rFonts w:hint="eastAsia" w:ascii="仿宋" w:eastAsia="仿宋"/>
          <w:sz w:val="20"/>
          <w:szCs w:val="20"/>
        </w:rPr>
        <w:t>（三）一般公共预算财政拨款支出决算具体情况</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3</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_Toc6174 </w:instrText>
      </w:r>
      <w:r>
        <w:rPr>
          <w:sz w:val="20"/>
          <w:szCs w:val="20"/>
        </w:rPr>
        <w:fldChar w:fldCharType="separate"/>
      </w:r>
      <w:r>
        <w:rPr>
          <w:rFonts w:hint="eastAsia" w:ascii="黑体" w:eastAsia="黑体" w:cs="Times New Roman"/>
          <w:bCs w:val="0"/>
          <w:sz w:val="20"/>
          <w:szCs w:val="20"/>
        </w:rPr>
        <w:t>六、一般公共预算财政拨款基本支出决算情况说明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4</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_Toc27951 </w:instrText>
      </w:r>
      <w:r>
        <w:rPr>
          <w:sz w:val="20"/>
          <w:szCs w:val="20"/>
        </w:rPr>
        <w:fldChar w:fldCharType="separate"/>
      </w:r>
      <w:r>
        <w:rPr>
          <w:rFonts w:hint="eastAsia" w:ascii="黑体" w:eastAsia="黑体" w:cs="Times New Roman"/>
          <w:bCs w:val="0"/>
          <w:sz w:val="20"/>
          <w:szCs w:val="20"/>
        </w:rPr>
        <w:t>七、“三公”经费财政拨款支出决算情况说明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4</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_Toc21488 </w:instrText>
      </w:r>
      <w:r>
        <w:rPr>
          <w:sz w:val="20"/>
          <w:szCs w:val="20"/>
        </w:rPr>
        <w:fldChar w:fldCharType="separate"/>
      </w:r>
      <w:r>
        <w:rPr>
          <w:rFonts w:hint="eastAsia" w:ascii="仿宋" w:eastAsia="仿宋"/>
          <w:sz w:val="20"/>
          <w:szCs w:val="20"/>
        </w:rPr>
        <w:t>（一）“三公”经费财政拨款支出决算总体情况说明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4</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_Toc9150 </w:instrText>
      </w:r>
      <w:r>
        <w:rPr>
          <w:sz w:val="20"/>
          <w:szCs w:val="20"/>
        </w:rPr>
        <w:fldChar w:fldCharType="separate"/>
      </w:r>
      <w:r>
        <w:rPr>
          <w:rFonts w:hint="eastAsia" w:ascii="仿宋" w:eastAsia="仿宋"/>
          <w:sz w:val="20"/>
          <w:szCs w:val="20"/>
        </w:rPr>
        <w:t>（二）“三公”经费财政拨款支出决算具体情况说明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4</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_Toc18000 </w:instrText>
      </w:r>
      <w:r>
        <w:rPr>
          <w:sz w:val="20"/>
          <w:szCs w:val="20"/>
        </w:rPr>
        <w:fldChar w:fldCharType="separate"/>
      </w:r>
      <w:r>
        <w:rPr>
          <w:rFonts w:hint="eastAsia" w:ascii="黑体" w:eastAsia="黑体" w:cs="Times New Roman"/>
          <w:bCs w:val="0"/>
          <w:sz w:val="20"/>
          <w:szCs w:val="20"/>
        </w:rPr>
        <w:t>八、政府性基金预算支出决算情况说明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6</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_Toc3611 </w:instrText>
      </w:r>
      <w:r>
        <w:rPr>
          <w:sz w:val="20"/>
          <w:szCs w:val="20"/>
        </w:rPr>
        <w:fldChar w:fldCharType="separate"/>
      </w:r>
      <w:r>
        <w:rPr>
          <w:rFonts w:hint="eastAsia" w:ascii="黑体" w:eastAsia="黑体" w:cs="Times New Roman"/>
          <w:bCs w:val="0"/>
          <w:sz w:val="20"/>
          <w:szCs w:val="20"/>
        </w:rPr>
        <w:t>九、国有资本经营预算支出决算情况说明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6</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_Toc14313 </w:instrText>
      </w:r>
      <w:r>
        <w:rPr>
          <w:sz w:val="20"/>
          <w:szCs w:val="20"/>
        </w:rPr>
        <w:fldChar w:fldCharType="separate"/>
      </w:r>
      <w:r>
        <w:rPr>
          <w:rFonts w:hint="eastAsia" w:ascii="黑体" w:eastAsia="黑体" w:cs="Times New Roman"/>
          <w:bCs w:val="0"/>
          <w:sz w:val="20"/>
          <w:szCs w:val="20"/>
        </w:rPr>
        <w:t>十、其他重要事项的情况说明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6</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_Toc18401 </w:instrText>
      </w:r>
      <w:r>
        <w:rPr>
          <w:sz w:val="20"/>
          <w:szCs w:val="20"/>
        </w:rPr>
        <w:fldChar w:fldCharType="separate"/>
      </w:r>
      <w:r>
        <w:rPr>
          <w:rFonts w:hint="eastAsia" w:ascii="仿宋" w:eastAsia="仿宋"/>
          <w:sz w:val="20"/>
          <w:szCs w:val="20"/>
        </w:rPr>
        <w:t>（一</w:t>
      </w:r>
      <w:r>
        <w:rPr>
          <w:rFonts w:hint="eastAsia" w:ascii="仿宋_GB2312" w:eastAsia="仿宋_GB2312" w:cs="仿宋_GB2312"/>
          <w:sz w:val="20"/>
          <w:szCs w:val="20"/>
        </w:rPr>
        <w:t>）机关运行经费支出</w:t>
      </w:r>
      <w:r>
        <w:rPr>
          <w:rFonts w:hint="eastAsia" w:ascii="仿宋" w:eastAsia="仿宋"/>
          <w:sz w:val="20"/>
          <w:szCs w:val="20"/>
        </w:rPr>
        <w:t>情况</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6</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_Toc32005 </w:instrText>
      </w:r>
      <w:r>
        <w:rPr>
          <w:sz w:val="20"/>
          <w:szCs w:val="20"/>
        </w:rPr>
        <w:fldChar w:fldCharType="separate"/>
      </w:r>
      <w:r>
        <w:rPr>
          <w:rFonts w:hint="eastAsia" w:ascii="仿宋" w:eastAsia="仿宋"/>
          <w:sz w:val="20"/>
          <w:szCs w:val="20"/>
        </w:rPr>
        <w:t>（二）政府采购支出情况(机构运行信息表)</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6</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_Toc18150 </w:instrText>
      </w:r>
      <w:r>
        <w:rPr>
          <w:sz w:val="20"/>
          <w:szCs w:val="20"/>
        </w:rPr>
        <w:fldChar w:fldCharType="separate"/>
      </w:r>
      <w:r>
        <w:rPr>
          <w:rFonts w:hint="eastAsia" w:ascii="仿宋" w:eastAsia="仿宋"/>
          <w:sz w:val="20"/>
          <w:szCs w:val="20"/>
        </w:rPr>
        <w:t>（三）国有资产占有使用情况</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6</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_Toc9225 </w:instrText>
      </w:r>
      <w:r>
        <w:rPr>
          <w:sz w:val="20"/>
          <w:szCs w:val="20"/>
        </w:rPr>
        <w:fldChar w:fldCharType="separate"/>
      </w:r>
      <w:r>
        <w:rPr>
          <w:rFonts w:hint="eastAsia" w:ascii="仿宋" w:eastAsia="仿宋"/>
          <w:sz w:val="20"/>
          <w:szCs w:val="20"/>
        </w:rPr>
        <w:t>（四）预算绩效管理情况</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6</w:t>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ind w:left="0"/>
        <w:jc w:val="both"/>
        <w:textAlignment w:val="auto"/>
        <w:rPr>
          <w:rFonts w:hint="eastAsia" w:eastAsia="仿宋"/>
          <w:sz w:val="20"/>
          <w:szCs w:val="20"/>
          <w:lang w:val="en-US" w:eastAsia="zh-CN"/>
        </w:rPr>
      </w:pPr>
      <w:r>
        <w:rPr>
          <w:sz w:val="20"/>
          <w:szCs w:val="20"/>
        </w:rPr>
        <w:fldChar w:fldCharType="begin"/>
      </w:r>
      <w:r>
        <w:rPr>
          <w:sz w:val="20"/>
          <w:szCs w:val="20"/>
        </w:rPr>
        <w:instrText xml:space="preserve"> HYPERLINK \l _Toc14398 </w:instrText>
      </w:r>
      <w:r>
        <w:rPr>
          <w:sz w:val="20"/>
          <w:szCs w:val="20"/>
        </w:rPr>
        <w:fldChar w:fldCharType="separate"/>
      </w:r>
      <w:r>
        <w:rPr>
          <w:rFonts w:hint="eastAsia" w:ascii="黑体" w:eastAsia="黑体" w:cs="黑体"/>
          <w:sz w:val="20"/>
          <w:szCs w:val="20"/>
        </w:rPr>
        <w:t>第三部分 名词解释</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8</w:t>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ind w:left="0"/>
        <w:jc w:val="both"/>
        <w:textAlignment w:val="auto"/>
        <w:rPr>
          <w:rFonts w:hint="eastAsia" w:eastAsia="仿宋"/>
          <w:sz w:val="20"/>
          <w:szCs w:val="20"/>
          <w:lang w:val="en-US" w:eastAsia="zh-CN"/>
        </w:rPr>
      </w:pPr>
      <w:r>
        <w:rPr>
          <w:sz w:val="20"/>
          <w:szCs w:val="20"/>
        </w:rPr>
        <w:fldChar w:fldCharType="begin"/>
      </w:r>
      <w:r>
        <w:rPr>
          <w:sz w:val="20"/>
          <w:szCs w:val="20"/>
        </w:rPr>
        <w:instrText xml:space="preserve"> HYPERLINK \l _Toc9463 </w:instrText>
      </w:r>
      <w:r>
        <w:rPr>
          <w:sz w:val="20"/>
          <w:szCs w:val="20"/>
        </w:rPr>
        <w:fldChar w:fldCharType="separate"/>
      </w:r>
      <w:r>
        <w:rPr>
          <w:rFonts w:hint="eastAsia" w:ascii="黑体" w:eastAsia="黑体" w:cs="黑体"/>
          <w:sz w:val="20"/>
          <w:szCs w:val="20"/>
        </w:rPr>
        <w:t>第四部分 附件</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1</w:t>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ind w:left="0"/>
        <w:jc w:val="both"/>
        <w:textAlignment w:val="auto"/>
        <w:rPr>
          <w:rFonts w:hint="eastAsia" w:eastAsia="仿宋"/>
          <w:sz w:val="20"/>
          <w:szCs w:val="20"/>
          <w:lang w:val="en-US" w:eastAsia="zh-CN"/>
        </w:rPr>
      </w:pPr>
      <w:r>
        <w:rPr>
          <w:sz w:val="20"/>
          <w:szCs w:val="20"/>
        </w:rPr>
        <w:fldChar w:fldCharType="begin"/>
      </w:r>
      <w:r>
        <w:rPr>
          <w:sz w:val="20"/>
          <w:szCs w:val="20"/>
        </w:rPr>
        <w:instrText xml:space="preserve"> HYPERLINK \l _Toc7730 </w:instrText>
      </w:r>
      <w:r>
        <w:rPr>
          <w:sz w:val="20"/>
          <w:szCs w:val="20"/>
        </w:rPr>
        <w:fldChar w:fldCharType="separate"/>
      </w:r>
      <w:r>
        <w:rPr>
          <w:rFonts w:hint="eastAsia" w:ascii="黑体" w:eastAsia="黑体" w:cs="黑体"/>
          <w:sz w:val="20"/>
          <w:szCs w:val="20"/>
        </w:rPr>
        <w:t>第五部分 附表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2</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_Toc506 </w:instrText>
      </w:r>
      <w:r>
        <w:rPr>
          <w:sz w:val="20"/>
          <w:szCs w:val="20"/>
        </w:rPr>
        <w:fldChar w:fldCharType="separate"/>
      </w:r>
      <w:r>
        <w:rPr>
          <w:rFonts w:hint="eastAsia" w:ascii="黑体" w:eastAsia="黑体" w:cs="Times New Roman"/>
          <w:bCs w:val="0"/>
          <w:sz w:val="20"/>
          <w:szCs w:val="20"/>
        </w:rPr>
        <w:t>一、收入支出决算总表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2</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_Toc32553 </w:instrText>
      </w:r>
      <w:r>
        <w:rPr>
          <w:sz w:val="20"/>
          <w:szCs w:val="20"/>
        </w:rPr>
        <w:fldChar w:fldCharType="separate"/>
      </w:r>
      <w:r>
        <w:rPr>
          <w:rFonts w:hint="eastAsia" w:ascii="黑体" w:eastAsia="黑体" w:cs="Times New Roman"/>
          <w:bCs w:val="0"/>
          <w:sz w:val="20"/>
          <w:szCs w:val="20"/>
        </w:rPr>
        <w:t>二、收入决算表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2</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_Toc2365 </w:instrText>
      </w:r>
      <w:r>
        <w:rPr>
          <w:sz w:val="20"/>
          <w:szCs w:val="20"/>
        </w:rPr>
        <w:fldChar w:fldCharType="separate"/>
      </w:r>
      <w:r>
        <w:rPr>
          <w:rFonts w:hint="eastAsia" w:ascii="黑体" w:eastAsia="黑体" w:cs="Times New Roman"/>
          <w:bCs w:val="0"/>
          <w:sz w:val="20"/>
          <w:szCs w:val="20"/>
        </w:rPr>
        <w:t>三、支出决算表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2</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_Toc13453 </w:instrText>
      </w:r>
      <w:r>
        <w:rPr>
          <w:sz w:val="20"/>
          <w:szCs w:val="20"/>
        </w:rPr>
        <w:fldChar w:fldCharType="separate"/>
      </w:r>
      <w:r>
        <w:rPr>
          <w:rFonts w:hint="eastAsia" w:ascii="黑体" w:eastAsia="黑体" w:cs="Times New Roman"/>
          <w:bCs w:val="0"/>
          <w:sz w:val="20"/>
          <w:szCs w:val="20"/>
        </w:rPr>
        <w:t>四、财政拨款收入支出决算总表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2</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_Toc10916 </w:instrText>
      </w:r>
      <w:r>
        <w:rPr>
          <w:sz w:val="20"/>
          <w:szCs w:val="20"/>
        </w:rPr>
        <w:fldChar w:fldCharType="separate"/>
      </w:r>
      <w:r>
        <w:rPr>
          <w:rFonts w:hint="eastAsia" w:ascii="黑体" w:eastAsia="黑体" w:cs="Times New Roman"/>
          <w:bCs w:val="0"/>
          <w:sz w:val="20"/>
          <w:szCs w:val="20"/>
        </w:rPr>
        <w:t>五、财政拨款支出决算明细表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2</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_Toc8762 </w:instrText>
      </w:r>
      <w:r>
        <w:rPr>
          <w:sz w:val="20"/>
          <w:szCs w:val="20"/>
        </w:rPr>
        <w:fldChar w:fldCharType="separate"/>
      </w:r>
      <w:r>
        <w:rPr>
          <w:rFonts w:hint="eastAsia" w:ascii="黑体" w:eastAsia="黑体" w:cs="Times New Roman"/>
          <w:bCs w:val="0"/>
          <w:sz w:val="20"/>
          <w:szCs w:val="20"/>
        </w:rPr>
        <w:t>六、一般公共预算财政拨款支出决算表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2</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_Toc10268 </w:instrText>
      </w:r>
      <w:r>
        <w:rPr>
          <w:sz w:val="20"/>
          <w:szCs w:val="20"/>
        </w:rPr>
        <w:fldChar w:fldCharType="separate"/>
      </w:r>
      <w:r>
        <w:rPr>
          <w:rFonts w:hint="eastAsia" w:ascii="黑体" w:eastAsia="黑体" w:cs="Times New Roman"/>
          <w:bCs w:val="0"/>
          <w:sz w:val="20"/>
          <w:szCs w:val="20"/>
        </w:rPr>
        <w:t>七、一般公共预算财政拨款支出决算明细表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2</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_Toc8692 </w:instrText>
      </w:r>
      <w:r>
        <w:rPr>
          <w:sz w:val="20"/>
          <w:szCs w:val="20"/>
        </w:rPr>
        <w:fldChar w:fldCharType="separate"/>
      </w:r>
      <w:r>
        <w:rPr>
          <w:rFonts w:hint="eastAsia" w:ascii="黑体" w:eastAsia="黑体" w:cs="Times New Roman"/>
          <w:bCs w:val="0"/>
          <w:sz w:val="20"/>
          <w:szCs w:val="20"/>
        </w:rPr>
        <w:t>八、一般公共预算财政拨款基本支出决算表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2</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_Toc23968 </w:instrText>
      </w:r>
      <w:r>
        <w:rPr>
          <w:sz w:val="20"/>
          <w:szCs w:val="20"/>
        </w:rPr>
        <w:fldChar w:fldCharType="separate"/>
      </w:r>
      <w:r>
        <w:rPr>
          <w:rFonts w:hint="eastAsia" w:ascii="黑体" w:eastAsia="黑体" w:cs="Times New Roman"/>
          <w:bCs w:val="0"/>
          <w:sz w:val="20"/>
          <w:szCs w:val="20"/>
        </w:rPr>
        <w:t>九、一般公共预算财政拨款项目支出决算表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2</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_Toc3059 </w:instrText>
      </w:r>
      <w:r>
        <w:rPr>
          <w:sz w:val="20"/>
          <w:szCs w:val="20"/>
        </w:rPr>
        <w:fldChar w:fldCharType="separate"/>
      </w:r>
      <w:r>
        <w:rPr>
          <w:rFonts w:hint="eastAsia" w:ascii="黑体" w:eastAsia="黑体" w:cs="Times New Roman"/>
          <w:bCs w:val="0"/>
          <w:sz w:val="20"/>
          <w:szCs w:val="20"/>
        </w:rPr>
        <w:t>十、政府性基金预算财政拨款收入支出决算表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2</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_Toc1569 </w:instrText>
      </w:r>
      <w:r>
        <w:rPr>
          <w:sz w:val="20"/>
          <w:szCs w:val="20"/>
        </w:rPr>
        <w:fldChar w:fldCharType="separate"/>
      </w:r>
      <w:r>
        <w:rPr>
          <w:rFonts w:hint="eastAsia" w:ascii="黑体" w:eastAsia="黑体" w:cs="Times New Roman"/>
          <w:bCs w:val="0"/>
          <w:sz w:val="20"/>
          <w:szCs w:val="20"/>
        </w:rPr>
        <w:t>十一、国有资本经营预算财政拨款收入支出决算表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2</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_Toc19605 </w:instrText>
      </w:r>
      <w:r>
        <w:rPr>
          <w:sz w:val="20"/>
          <w:szCs w:val="20"/>
        </w:rPr>
        <w:fldChar w:fldCharType="separate"/>
      </w:r>
      <w:r>
        <w:rPr>
          <w:rFonts w:hint="eastAsia" w:ascii="黑体" w:eastAsia="黑体" w:cs="Times New Roman"/>
          <w:bCs w:val="0"/>
          <w:sz w:val="20"/>
          <w:szCs w:val="20"/>
        </w:rPr>
        <w:t>十二、国有资本经营预算财政拨款支出决算表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2</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_Toc19696 </w:instrText>
      </w:r>
      <w:r>
        <w:rPr>
          <w:sz w:val="20"/>
          <w:szCs w:val="20"/>
        </w:rPr>
        <w:fldChar w:fldCharType="separate"/>
      </w:r>
      <w:r>
        <w:rPr>
          <w:rFonts w:hint="eastAsia" w:ascii="黑体" w:eastAsia="黑体" w:cs="Times New Roman"/>
          <w:bCs w:val="0"/>
          <w:sz w:val="20"/>
          <w:szCs w:val="20"/>
        </w:rPr>
        <w:t>十三、财政拨款“三公”经费支出决算表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2</w:t>
      </w:r>
    </w:p>
    <w:p>
      <w:pPr>
        <w:pStyle w:val="2"/>
      </w:pPr>
      <w:r>
        <w:rPr>
          <w:sz w:val="20"/>
          <w:szCs w:val="20"/>
        </w:rPr>
        <w:fldChar w:fldCharType="end"/>
      </w:r>
    </w:p>
    <w:bookmarkEnd w:id="12"/>
    <w:p>
      <w:pPr>
        <w:pStyle w:val="3"/>
        <w:jc w:val="center"/>
        <w:rPr>
          <w:rFonts w:ascii="黑体" w:hAnsi="黑体" w:eastAsia="黑体" w:cs="黑体"/>
          <w:b w:val="0"/>
          <w:bCs w:val="0"/>
        </w:rPr>
      </w:pPr>
      <w:bookmarkStart w:id="13" w:name="_Toc1120"/>
      <w:bookmarkStart w:id="14" w:name="_Toc111208495"/>
      <w:r>
        <w:rPr>
          <w:rFonts w:hint="eastAsia" w:ascii="黑体" w:hAnsi="黑体" w:eastAsia="黑体" w:cs="黑体"/>
        </w:rPr>
        <w:t xml:space="preserve">第一部分 </w:t>
      </w:r>
      <w:r>
        <w:rPr>
          <w:rFonts w:hint="eastAsia" w:ascii="黑体" w:hAnsi="黑体" w:eastAsia="黑体" w:cs="黑体"/>
          <w:lang w:eastAsia="zh-CN"/>
        </w:rPr>
        <w:t>单位</w:t>
      </w:r>
      <w:r>
        <w:rPr>
          <w:rStyle w:val="28"/>
          <w:rFonts w:hint="eastAsia" w:ascii="黑体" w:hAnsi="黑体" w:eastAsia="黑体" w:cs="黑体"/>
          <w:b/>
          <w:bCs w:val="0"/>
        </w:rPr>
        <w:t>概况</w:t>
      </w:r>
      <w:bookmarkEnd w:id="13"/>
      <w:bookmarkEnd w:id="14"/>
    </w:p>
    <w:p>
      <w:pPr>
        <w:pStyle w:val="4"/>
        <w:pageBreakBefore w:val="0"/>
        <w:widowControl w:val="0"/>
        <w:kinsoku/>
        <w:wordWrap/>
        <w:overflowPunct/>
        <w:topLinePunct w:val="0"/>
        <w:autoSpaceDE/>
        <w:autoSpaceDN/>
        <w:bidi w:val="0"/>
        <w:adjustRightInd/>
        <w:snapToGrid/>
        <w:spacing w:line="576" w:lineRule="exact"/>
        <w:ind w:firstLine="643" w:firstLineChars="200"/>
        <w:textAlignment w:val="auto"/>
        <w:rPr>
          <w:rFonts w:ascii="黑体" w:eastAsia="黑体" w:cs="Times New Roman"/>
          <w:bCs w:val="0"/>
          <w:color w:val="000000"/>
        </w:rPr>
      </w:pPr>
      <w:bookmarkStart w:id="15" w:name="_Toc113981010"/>
      <w:bookmarkStart w:id="16" w:name="_Toc111208496"/>
      <w:bookmarkStart w:id="17" w:name="_Toc15377197"/>
      <w:bookmarkStart w:id="18" w:name="_Toc4825"/>
      <w:bookmarkStart w:id="19" w:name="_Toc15377198"/>
      <w:bookmarkStart w:id="20" w:name="_Toc15378445"/>
      <w:bookmarkStart w:id="21" w:name="_Toc15377204"/>
      <w:r>
        <w:rPr>
          <w:rFonts w:hint="eastAsia" w:ascii="黑体" w:eastAsia="黑体" w:cs="Times New Roman"/>
          <w:bCs w:val="0"/>
          <w:color w:val="000000"/>
        </w:rPr>
        <w:t>一、主要</w:t>
      </w:r>
      <w:r>
        <w:rPr>
          <w:rFonts w:hint="eastAsia" w:ascii="黑体" w:eastAsia="黑体" w:cs="Times New Roman"/>
          <w:bCs w:val="0"/>
          <w:color w:val="000000"/>
          <w:lang w:eastAsia="zh-CN"/>
        </w:rPr>
        <w:t>职责</w:t>
      </w:r>
      <w:bookmarkEnd w:id="15"/>
      <w:bookmarkEnd w:id="16"/>
      <w:bookmarkEnd w:id="17"/>
      <w:bookmarkEnd w:id="18"/>
    </w:p>
    <w:p>
      <w:pPr>
        <w:spacing w:line="600" w:lineRule="exact"/>
        <w:ind w:firstLine="643" w:firstLineChars="200"/>
        <w:outlineLvl w:val="2"/>
        <w:rPr>
          <w:rFonts w:hint="eastAsia" w:ascii="仿宋" w:hAnsi="仿宋" w:eastAsia="仿宋"/>
          <w:b/>
          <w:color w:val="000000"/>
          <w:sz w:val="32"/>
          <w:szCs w:val="32"/>
        </w:rPr>
      </w:pPr>
      <w:r>
        <w:rPr>
          <w:rFonts w:hint="eastAsia" w:ascii="仿宋" w:hAnsi="仿宋" w:eastAsia="仿宋"/>
          <w:b/>
          <w:color w:val="000000"/>
          <w:sz w:val="32"/>
          <w:szCs w:val="32"/>
        </w:rPr>
        <w:t>（一）主要职能</w:t>
      </w:r>
      <w:bookmarkEnd w:id="19"/>
      <w:bookmarkEnd w:id="20"/>
    </w:p>
    <w:p>
      <w:pPr>
        <w:spacing w:line="600" w:lineRule="exact"/>
        <w:ind w:firstLine="640" w:firstLineChars="200"/>
        <w:outlineLvl w:val="2"/>
      </w:pPr>
      <w:r>
        <w:rPr>
          <w:rFonts w:ascii="仿宋" w:hAnsi="仿宋" w:eastAsia="仿宋"/>
          <w:color w:val="000000"/>
          <w:sz w:val="32"/>
          <w:szCs w:val="32"/>
        </w:rPr>
        <w:t>1.负责深化行政审批制度改革和“放管服”改革工作。贯彻实施有关法律、法规、规章，执行上级有关行政审批制度和“放管服”改革的方针、政策；会同有关部门推进行政审批制度和“放管服”改革，提出行政审批制度和“放管服”改革的建议；承担县本级行政权力清单和责任清单的动态调整，牵头全县行政权力清单和责任清单工作，建立完善相关工作机制；制定县行政审批局各项规章制度和管理办法，并组织实施。2.负责规范指导全县行政审批和政务服务工作，建立和完善相应工作机制，推进标准化建设；负责对划转的行政许可事项进行流程再造、环节优化、时限压缩，并对办理情况进行跟踪督办。3.负责承办县直部门划入的涉及企业报效项目、市场准入、建设工程、交通水利、文教卫生、社会事务、涉农事务等方面的行政审批事项，及时将行政审批事项的结果通报给县直相关部门，逐步实行“一枚印章管审批”。4.负责指导、协调进驻政务服务大厅部门的行政审批和公共服务工作；对窗口工作人员进行日常管理、年度考核等工作。5.负责对涉及全县行政审批工作、政务服务大厅工作及公共资源交易工作的投诉举报和承办、转办和督办工作。6.负责对各乡镇便民服务中心相关工作的运行进行业务指导和监督，建立和完善高效的政务服务体系。7.负责全县公共资源交易管理工作。8.完成县委、县人民政府交办的其他任务。</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3" w:firstLineChars="200"/>
        <w:textAlignment w:val="auto"/>
        <w:outlineLvl w:val="2"/>
        <w:rPr>
          <w:rFonts w:hint="eastAsia" w:ascii="楷体_GB2312" w:eastAsia="楷体_GB2312" w:cs="楷体_GB2312"/>
          <w:b/>
          <w:color w:val="000000"/>
          <w:sz w:val="32"/>
          <w:szCs w:val="32"/>
        </w:rPr>
      </w:pPr>
      <w:bookmarkStart w:id="22" w:name="_Toc15378446"/>
      <w:bookmarkStart w:id="23" w:name="_Toc15377199"/>
      <w:bookmarkStart w:id="24" w:name="_Toc14172"/>
      <w:bookmarkStart w:id="25" w:name="_Toc113981011"/>
      <w:bookmarkStart w:id="26" w:name="_Toc15377200"/>
      <w:bookmarkStart w:id="27" w:name="_Toc111208497"/>
      <w:r>
        <w:rPr>
          <w:rFonts w:hint="eastAsia" w:ascii="楷体_GB2312" w:eastAsia="楷体_GB2312" w:cs="楷体_GB2312"/>
          <w:b/>
          <w:color w:val="000000"/>
          <w:sz w:val="32"/>
          <w:szCs w:val="32"/>
        </w:rPr>
        <w:t>（</w:t>
      </w:r>
      <w:bookmarkEnd w:id="22"/>
      <w:bookmarkEnd w:id="23"/>
      <w:r>
        <w:rPr>
          <w:rFonts w:hint="eastAsia" w:ascii="楷体_GB2312" w:eastAsia="楷体_GB2312" w:cs="楷体_GB2312"/>
          <w:b/>
          <w:color w:val="000000"/>
          <w:sz w:val="32"/>
          <w:szCs w:val="32"/>
        </w:rPr>
        <w:t>（二）2022重点工作完成情况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2022年，我局以“互联网+政务服务”为引领，以政务服务标准化建设为抓手，以“便民、规范、廉洁、高效”的服务宗旨，以提升人民群众满意度为出发点和落脚点，不断创新服务方式，优化服务流程，着力打造便民廉洁高效的政务服务新环境，切实提高了政务服务质量和效率。</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bCs/>
          <w:color w:val="000000"/>
          <w:sz w:val="32"/>
          <w:szCs w:val="32"/>
          <w:lang w:val="en-US" w:eastAsia="zh-CN"/>
        </w:rPr>
        <w:t xml:space="preserve"> </w:t>
      </w:r>
      <w:r>
        <w:rPr>
          <w:rFonts w:hint="eastAsia" w:ascii="仿宋_GB2312" w:eastAsia="仿宋_GB2312" w:cs="仿宋_GB2312"/>
          <w:b/>
          <w:bCs/>
          <w:color w:val="000000"/>
          <w:sz w:val="32"/>
          <w:szCs w:val="32"/>
        </w:rPr>
        <w:t>一是</w:t>
      </w:r>
      <w:r>
        <w:rPr>
          <w:rFonts w:hint="eastAsia" w:ascii="仿宋_GB2312" w:eastAsia="仿宋_GB2312" w:cs="仿宋_GB2312"/>
          <w:b w:val="0"/>
          <w:bCs w:val="0"/>
          <w:color w:val="000000"/>
          <w:sz w:val="32"/>
          <w:szCs w:val="32"/>
        </w:rPr>
        <w:t>及时动态调整好了全县37个部门行政权力清单、责任清单。</w:t>
      </w:r>
      <w:r>
        <w:rPr>
          <w:rFonts w:hint="eastAsia" w:ascii="仿宋_GB2312" w:eastAsia="仿宋_GB2312" w:cs="仿宋_GB2312"/>
          <w:color w:val="000000"/>
          <w:sz w:val="32"/>
          <w:szCs w:val="32"/>
        </w:rPr>
        <w:t>梳理并公布出我县各镇各部门行政权力事项5456项，其中行政许可252项、行政处罚4348项、行政征收23项、行政强制事项162项、行政确认事项40项、行政裁决事项8项、行政给付事项26项、行政检查事项276项、行政奖励事项108项、其他行政权力事项214项。公共服务事项391项；镇级便民服务事项（含帮代办事项）109项，乡镇法定行政权力事项116项。</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bCs/>
          <w:color w:val="000000"/>
          <w:sz w:val="32"/>
          <w:szCs w:val="32"/>
        </w:rPr>
        <w:t>二是</w:t>
      </w:r>
      <w:r>
        <w:rPr>
          <w:rFonts w:hint="eastAsia" w:ascii="仿宋_GB2312" w:eastAsia="仿宋_GB2312" w:cs="仿宋_GB2312"/>
          <w:color w:val="000000"/>
          <w:sz w:val="32"/>
          <w:szCs w:val="32"/>
        </w:rPr>
        <w:t>现全县入驻政务服务大厅集中审批服务的23个部门，71名工作人员，集中行政审批政务服务事项170项，公共服务事项237项，政务服务大厅设置一般办件窗口67个，“综合窗口”5个、“跨省通办”窗口1个，“川渝通办窗口”1个、按照“只进一扇门”“最多跑一次”，“前台综合受理、后台分类审批、统一窗口出件”的要求，将与群众生产生活密切相关的低保、医疗卫生、就业、文化教育等事项纳入“综合窗口”，进一步优化了办事流程、办事指南。截至</w:t>
      </w:r>
      <w:r>
        <w:rPr>
          <w:rFonts w:hint="eastAsia" w:ascii="仿宋_GB2312" w:cs="仿宋_GB2312"/>
          <w:color w:val="000000"/>
          <w:sz w:val="32"/>
          <w:szCs w:val="32"/>
          <w:lang w:val="en-US" w:eastAsia="zh-CN"/>
        </w:rPr>
        <w:t>2022年底</w:t>
      </w:r>
      <w:r>
        <w:rPr>
          <w:rFonts w:hint="eastAsia" w:ascii="仿宋_GB2312" w:eastAsia="仿宋_GB2312" w:cs="仿宋_GB2312"/>
          <w:color w:val="000000"/>
          <w:sz w:val="32"/>
          <w:szCs w:val="32"/>
        </w:rPr>
        <w:t>，县政务服务大厅各服务窗口共办理审批服务事项87752件。</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bCs/>
          <w:color w:val="000000"/>
          <w:sz w:val="32"/>
          <w:szCs w:val="32"/>
        </w:rPr>
        <w:t>三是</w:t>
      </w:r>
      <w:r>
        <w:rPr>
          <w:rFonts w:hint="eastAsia" w:ascii="仿宋_GB2312" w:eastAsia="仿宋_GB2312" w:cs="仿宋_GB2312"/>
          <w:color w:val="000000"/>
          <w:sz w:val="32"/>
          <w:szCs w:val="32"/>
        </w:rPr>
        <w:t>按照省、州镇村便民服务“三化”试点扩面增效要求，结合两项改革“后半篇”工作，编制了《茂县乡镇级片区便民服务设施专项规划》。在2021年创建的“凤仪镇、富顺镇、沟口镇”三个省级示范便民服务中心的基础上，</w:t>
      </w:r>
      <w:r>
        <w:rPr>
          <w:rFonts w:hint="eastAsia" w:ascii="仿宋_GB2312" w:cs="仿宋_GB2312"/>
          <w:color w:val="000000"/>
          <w:sz w:val="32"/>
          <w:szCs w:val="32"/>
          <w:lang w:val="en-US" w:eastAsia="zh-CN"/>
        </w:rPr>
        <w:t>2022</w:t>
      </w:r>
      <w:r>
        <w:rPr>
          <w:rFonts w:hint="eastAsia" w:ascii="仿宋_GB2312" w:eastAsia="仿宋_GB2312" w:cs="仿宋_GB2312"/>
          <w:color w:val="000000"/>
          <w:sz w:val="32"/>
          <w:szCs w:val="32"/>
        </w:rPr>
        <w:t>年“土门镇、南新镇、渭门镇”三个镇创建省级示范便民服务中心。</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bCs/>
          <w:color w:val="000000"/>
          <w:sz w:val="32"/>
          <w:szCs w:val="32"/>
          <w:lang w:val="en-US" w:eastAsia="zh-CN"/>
        </w:rPr>
        <w:t xml:space="preserve"> </w:t>
      </w:r>
      <w:r>
        <w:rPr>
          <w:rFonts w:hint="eastAsia" w:ascii="仿宋_GB2312" w:eastAsia="仿宋_GB2312" w:cs="仿宋_GB2312"/>
          <w:b/>
          <w:bCs/>
          <w:color w:val="000000"/>
          <w:sz w:val="32"/>
          <w:szCs w:val="32"/>
        </w:rPr>
        <w:t>四是</w:t>
      </w:r>
      <w:r>
        <w:rPr>
          <w:rFonts w:hint="eastAsia" w:ascii="仿宋_GB2312" w:eastAsia="仿宋_GB2312" w:cs="仿宋_GB2312"/>
          <w:color w:val="000000"/>
          <w:sz w:val="32"/>
          <w:szCs w:val="32"/>
        </w:rPr>
        <w:t>全力推进“一网通办”工作。组织召开“一网通办”工作推进会，专题整改攻坚等各类会议和培训活动共13次，截至</w:t>
      </w:r>
      <w:r>
        <w:rPr>
          <w:rFonts w:hint="eastAsia" w:ascii="仿宋_GB2312" w:cs="仿宋_GB2312"/>
          <w:color w:val="000000"/>
          <w:sz w:val="32"/>
          <w:szCs w:val="32"/>
          <w:lang w:val="en-US" w:eastAsia="zh-CN"/>
        </w:rPr>
        <w:t>2022年底</w:t>
      </w:r>
      <w:r>
        <w:rPr>
          <w:rFonts w:hint="eastAsia" w:ascii="仿宋_GB2312" w:eastAsia="仿宋_GB2312" w:cs="仿宋_GB2312"/>
          <w:color w:val="000000"/>
          <w:sz w:val="32"/>
          <w:szCs w:val="32"/>
        </w:rPr>
        <w:t>，各部门、各镇在一体化平台办件92644件，梳理出县级“一件事一次办”实施事项64项，跨层级跨部门事项9项，“一件事”月平均办件量20件；“川渝通办”事项102个，“一证一照办”政务服务事项171个，通过有效督导，截至</w:t>
      </w:r>
      <w:r>
        <w:rPr>
          <w:rFonts w:hint="eastAsia" w:ascii="仿宋_GB2312" w:cs="仿宋_GB2312"/>
          <w:color w:val="000000"/>
          <w:sz w:val="32"/>
          <w:szCs w:val="32"/>
          <w:lang w:val="en-US" w:eastAsia="zh-CN"/>
        </w:rPr>
        <w:t>2022年底,</w:t>
      </w:r>
      <w:r>
        <w:rPr>
          <w:rFonts w:hint="eastAsia" w:ascii="仿宋_GB2312" w:eastAsia="仿宋_GB2312" w:cs="仿宋_GB2312"/>
          <w:color w:val="000000"/>
          <w:sz w:val="32"/>
          <w:szCs w:val="32"/>
        </w:rPr>
        <w:t>我县在全省一体化办件平台的各指标得到持续提升，办事指南异常数为0</w:t>
      </w:r>
      <w:r>
        <w:rPr>
          <w:rFonts w:hint="eastAsia" w:ascii="仿宋_GB2312" w:cs="仿宋_GB2312"/>
          <w:color w:val="000000"/>
          <w:sz w:val="32"/>
          <w:szCs w:val="32"/>
          <w:lang w:eastAsia="zh-CN"/>
        </w:rPr>
        <w:t>，</w:t>
      </w:r>
      <w:r>
        <w:rPr>
          <w:rFonts w:hint="eastAsia" w:ascii="仿宋_GB2312" w:eastAsia="仿宋_GB2312" w:cs="仿宋_GB2312"/>
          <w:color w:val="000000"/>
          <w:sz w:val="32"/>
          <w:szCs w:val="32"/>
        </w:rPr>
        <w:t>全县支持预约办理事项414个，平均跑动次数降至1次。</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bCs/>
          <w:color w:val="000000"/>
          <w:sz w:val="32"/>
          <w:szCs w:val="32"/>
        </w:rPr>
        <w:t>五是</w:t>
      </w:r>
      <w:r>
        <w:rPr>
          <w:rFonts w:hint="eastAsia" w:ascii="仿宋_GB2312" w:cs="仿宋_GB2312"/>
          <w:b/>
          <w:bCs/>
          <w:color w:val="000000"/>
          <w:sz w:val="32"/>
          <w:szCs w:val="32"/>
          <w:lang w:eastAsia="zh-CN"/>
        </w:rPr>
        <w:t>做好了</w:t>
      </w:r>
      <w:r>
        <w:rPr>
          <w:rFonts w:hint="eastAsia" w:ascii="仿宋_GB2312" w:eastAsia="仿宋_GB2312" w:cs="仿宋_GB2312"/>
          <w:color w:val="000000"/>
          <w:sz w:val="32"/>
          <w:szCs w:val="32"/>
        </w:rPr>
        <w:t>“12345”政务服务热线工作</w:t>
      </w:r>
      <w:r>
        <w:rPr>
          <w:rFonts w:hint="eastAsia" w:ascii="仿宋_GB2312" w:cs="仿宋_GB2312"/>
          <w:color w:val="000000"/>
          <w:sz w:val="32"/>
          <w:szCs w:val="32"/>
          <w:lang w:eastAsia="zh-CN"/>
        </w:rPr>
        <w:t>，</w:t>
      </w:r>
      <w:r>
        <w:rPr>
          <w:rFonts w:hint="eastAsia" w:ascii="仿宋_GB2312" w:eastAsia="仿宋_GB2312" w:cs="仿宋_GB2312"/>
          <w:color w:val="000000"/>
          <w:sz w:val="32"/>
          <w:szCs w:val="32"/>
        </w:rPr>
        <w:t>共转办、督办群众来电931件</w:t>
      </w:r>
      <w:r>
        <w:rPr>
          <w:rFonts w:hint="eastAsia" w:ascii="仿宋_GB2312" w:cs="仿宋_GB2312"/>
          <w:color w:val="000000"/>
          <w:sz w:val="32"/>
          <w:szCs w:val="32"/>
          <w:lang w:eastAsia="zh-CN"/>
        </w:rPr>
        <w:t>。</w:t>
      </w:r>
      <w:r>
        <w:rPr>
          <w:rFonts w:hint="eastAsia" w:ascii="仿宋_GB2312" w:eastAsia="仿宋_GB2312" w:cs="仿宋_GB2312"/>
          <w:color w:val="000000"/>
          <w:sz w:val="32"/>
          <w:szCs w:val="32"/>
        </w:rPr>
        <w:t>六是公共资源交易。受理并组织集中采购活动29件次，预算总金额4188.766809万元，实际使用4055.021047万元，节约资金133.745762万元。</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bookmarkStart w:id="93" w:name="_GoBack"/>
      <w:bookmarkEnd w:id="93"/>
    </w:p>
    <w:p>
      <w:pPr>
        <w:pStyle w:val="4"/>
        <w:numPr>
          <w:ilvl w:val="0"/>
          <w:numId w:val="1"/>
        </w:numPr>
        <w:ind w:firstLine="643" w:firstLineChars="200"/>
        <w:rPr>
          <w:rFonts w:hint="eastAsia" w:ascii="黑体" w:eastAsia="黑体" w:cs="Times New Roman"/>
          <w:bCs w:val="0"/>
          <w:color w:val="000000"/>
        </w:rPr>
      </w:pPr>
      <w:r>
        <w:rPr>
          <w:rFonts w:hint="eastAsia" w:ascii="黑体" w:eastAsia="黑体" w:cs="Times New Roman"/>
          <w:bCs w:val="0"/>
          <w:color w:val="000000"/>
        </w:rPr>
        <w:t>机构设置</w:t>
      </w:r>
      <w:bookmarkEnd w:id="24"/>
      <w:bookmarkEnd w:id="25"/>
      <w:bookmarkEnd w:id="26"/>
      <w:bookmarkEnd w:id="27"/>
    </w:p>
    <w:p>
      <w:pPr>
        <w:pStyle w:val="4"/>
        <w:numPr>
          <w:ilvl w:val="0"/>
          <w:numId w:val="0"/>
        </w:numPr>
        <w:ind w:firstLine="640" w:firstLineChars="200"/>
        <w:rPr>
          <w:rFonts w:ascii="仿宋" w:hAnsi="仿宋" w:eastAsia="仿宋" w:cs="Times New Roman"/>
          <w:b w:val="0"/>
          <w:bCs w:val="0"/>
          <w:color w:val="000000"/>
          <w:kern w:val="2"/>
          <w:sz w:val="32"/>
          <w:szCs w:val="32"/>
          <w:lang w:val="en-US" w:eastAsia="zh-CN" w:bidi="ar-SA"/>
        </w:rPr>
      </w:pPr>
      <w:r>
        <w:rPr>
          <w:rFonts w:ascii="仿宋" w:hAnsi="仿宋" w:eastAsia="仿宋" w:cs="Times New Roman"/>
          <w:b w:val="0"/>
          <w:bCs w:val="0"/>
          <w:color w:val="000000"/>
          <w:kern w:val="2"/>
          <w:sz w:val="32"/>
          <w:szCs w:val="32"/>
          <w:lang w:val="en-US" w:eastAsia="zh-CN" w:bidi="ar-SA"/>
        </w:rPr>
        <w:t>茂县行政审批局下属二级单位1个，其中行政单位0个，参照公务员法管理的事业单位0个，其他事业单位1个。</w:t>
      </w:r>
      <w:r>
        <w:rPr>
          <w:rFonts w:ascii="仿宋" w:hAnsi="仿宋" w:eastAsia="仿宋" w:cs="Times New Roman"/>
          <w:b w:val="0"/>
          <w:bCs w:val="0"/>
          <w:color w:val="000000"/>
          <w:kern w:val="2"/>
          <w:sz w:val="32"/>
          <w:szCs w:val="32"/>
          <w:lang w:val="en-US" w:eastAsia="zh-CN" w:bidi="ar-SA"/>
        </w:rPr>
        <w:cr/>
      </w:r>
      <w:r>
        <w:rPr>
          <w:rFonts w:ascii="仿宋" w:hAnsi="仿宋" w:eastAsia="仿宋" w:cs="Times New Roman"/>
          <w:b w:val="0"/>
          <w:bCs w:val="0"/>
          <w:color w:val="000000"/>
          <w:kern w:val="2"/>
          <w:sz w:val="32"/>
          <w:szCs w:val="32"/>
          <w:lang w:val="en-US" w:eastAsia="zh-CN" w:bidi="ar-SA"/>
        </w:rPr>
        <w:t>纳入茂县行政审批局2020年度部门决算编制范围的二级预算单位包括：茂县政务服务和公共资源交易中心。</w:t>
      </w:r>
    </w:p>
    <w:p>
      <w:pPr>
        <w:widowControl/>
        <w:jc w:val="left"/>
        <w:rPr>
          <w:rFonts w:ascii="仿宋_GB2312" w:hAnsi="黑体" w:eastAsia="仿宋_GB2312"/>
          <w:b/>
          <w:bCs/>
          <w:color w:val="000000"/>
          <w:kern w:val="44"/>
          <w:sz w:val="44"/>
          <w:szCs w:val="44"/>
        </w:rPr>
      </w:pPr>
      <w:r>
        <w:rPr>
          <w:rFonts w:ascii="仿宋_GB2312" w:hAnsi="黑体" w:eastAsia="仿宋_GB2312"/>
          <w:color w:val="000000"/>
        </w:rPr>
        <w:br w:type="page"/>
      </w:r>
    </w:p>
    <w:p>
      <w:pPr>
        <w:pStyle w:val="3"/>
        <w:jc w:val="center"/>
        <w:rPr>
          <w:rFonts w:ascii="黑体" w:hAnsi="黑体" w:eastAsia="黑体" w:cs="黑体"/>
        </w:rPr>
      </w:pPr>
      <w:bookmarkStart w:id="28" w:name="_Toc16637"/>
      <w:bookmarkStart w:id="29" w:name="_Toc111208498"/>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2022</w:t>
      </w:r>
      <w:r>
        <w:rPr>
          <w:rFonts w:ascii="黑体" w:hAnsi="黑体" w:eastAsia="黑体" w:cs="黑体"/>
          <w:u w:color="auto"/>
        </w:rPr>
        <w:t>年度部门决算情况说明</w:t>
      </w:r>
      <w:bookmarkEnd w:id="21"/>
      <w:bookmarkEnd w:id="28"/>
      <w:bookmarkEnd w:id="29"/>
    </w:p>
    <w:p>
      <w:pPr>
        <w:pStyle w:val="4"/>
        <w:ind w:firstLine="643" w:firstLineChars="200"/>
        <w:rPr>
          <w:rFonts w:ascii="黑体" w:eastAsia="黑体" w:cs="Times New Roman"/>
          <w:bCs w:val="0"/>
          <w:color w:val="000000"/>
        </w:rPr>
      </w:pPr>
      <w:bookmarkStart w:id="30" w:name="_Toc15377205"/>
      <w:bookmarkStart w:id="31" w:name="_Toc111208499"/>
      <w:bookmarkStart w:id="32" w:name="_Toc18895"/>
      <w:r>
        <w:rPr>
          <w:rFonts w:hint="eastAsia" w:ascii="黑体" w:eastAsia="黑体" w:cs="Times New Roman"/>
          <w:bCs w:val="0"/>
          <w:color w:val="000000"/>
        </w:rPr>
        <w:t>一、收入支出决算总体情况说</w:t>
      </w:r>
      <w:bookmarkEnd w:id="30"/>
      <w:r>
        <w:rPr>
          <w:rFonts w:hint="eastAsia" w:ascii="黑体" w:eastAsia="黑体" w:cs="Times New Roman"/>
          <w:bCs w:val="0"/>
          <w:color w:val="000000"/>
        </w:rPr>
        <w:t>明</w:t>
      </w:r>
      <w:bookmarkEnd w:id="31"/>
      <w:bookmarkEnd w:id="32"/>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2022</w:t>
      </w:r>
      <w:r>
        <w:rPr>
          <w:rFonts w:hint="eastAsia" w:ascii="仿宋" w:hAnsi="仿宋" w:eastAsia="仿宋"/>
          <w:color w:val="000000"/>
          <w:sz w:val="32"/>
          <w:szCs w:val="32"/>
        </w:rPr>
        <w:t>年度收入总计</w:t>
      </w:r>
      <w:r>
        <w:rPr>
          <w:rFonts w:hint="eastAsia" w:ascii="仿宋" w:hAnsi="仿宋" w:eastAsia="仿宋"/>
          <w:color w:val="000000"/>
          <w:sz w:val="32"/>
          <w:szCs w:val="32"/>
          <w:lang w:val="en-US" w:eastAsia="zh-CN"/>
        </w:rPr>
        <w:t>152.75</w:t>
      </w:r>
      <w:r>
        <w:rPr>
          <w:rFonts w:hint="eastAsia" w:ascii="仿宋" w:hAnsi="仿宋" w:eastAsia="仿宋"/>
          <w:color w:val="000000"/>
          <w:sz w:val="32"/>
          <w:szCs w:val="32"/>
        </w:rPr>
        <w:t>万元，支出总计</w:t>
      </w:r>
      <w:r>
        <w:rPr>
          <w:rFonts w:hint="eastAsia" w:ascii="仿宋" w:hAnsi="仿宋" w:eastAsia="仿宋"/>
          <w:color w:val="000000"/>
          <w:sz w:val="32"/>
          <w:szCs w:val="32"/>
          <w:lang w:val="en-US" w:eastAsia="zh-CN"/>
        </w:rPr>
        <w:t>152.75</w:t>
      </w:r>
      <w:r>
        <w:rPr>
          <w:rFonts w:hint="eastAsia" w:ascii="仿宋" w:hAnsi="仿宋" w:eastAsia="仿宋"/>
          <w:color w:val="000000"/>
          <w:sz w:val="32"/>
          <w:szCs w:val="32"/>
        </w:rPr>
        <w:t>万元。与</w:t>
      </w:r>
      <w:r>
        <w:rPr>
          <w:rFonts w:ascii="仿宋" w:hAnsi="仿宋" w:eastAsia="仿宋"/>
          <w:color w:val="000000"/>
          <w:sz w:val="32"/>
          <w:szCs w:val="32"/>
        </w:rPr>
        <w:t>2021</w:t>
      </w:r>
      <w:r>
        <w:rPr>
          <w:rFonts w:hint="eastAsia" w:ascii="仿宋" w:hAnsi="仿宋" w:eastAsia="仿宋"/>
          <w:color w:val="000000"/>
          <w:sz w:val="32"/>
          <w:szCs w:val="32"/>
        </w:rPr>
        <w:t>年相比，收入总计</w:t>
      </w:r>
      <w:r>
        <w:rPr>
          <w:rFonts w:hint="eastAsia" w:ascii="仿宋" w:hAnsi="仿宋" w:eastAsia="仿宋"/>
          <w:color w:val="000000"/>
          <w:sz w:val="32"/>
          <w:szCs w:val="32"/>
          <w:lang w:val="en-US" w:eastAsia="zh-CN"/>
        </w:rPr>
        <w:t>增加26.47</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增加20.96</w:t>
      </w:r>
      <w:r>
        <w:rPr>
          <w:rFonts w:hint="eastAsia" w:ascii="仿宋" w:hAnsi="仿宋" w:eastAsia="仿宋"/>
          <w:color w:val="000000"/>
          <w:sz w:val="32"/>
          <w:szCs w:val="32"/>
        </w:rPr>
        <w:t>%，支出总计</w:t>
      </w:r>
      <w:r>
        <w:rPr>
          <w:rFonts w:hint="eastAsia" w:ascii="仿宋" w:hAnsi="仿宋" w:eastAsia="仿宋"/>
          <w:color w:val="000000"/>
          <w:sz w:val="32"/>
          <w:szCs w:val="32"/>
          <w:lang w:val="en-US" w:eastAsia="zh-CN"/>
        </w:rPr>
        <w:t>增加26.47</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增加20.96</w:t>
      </w:r>
      <w:r>
        <w:rPr>
          <w:rFonts w:hint="eastAsia" w:ascii="仿宋" w:hAnsi="仿宋" w:eastAsia="仿宋"/>
          <w:color w:val="000000"/>
          <w:sz w:val="32"/>
          <w:szCs w:val="32"/>
        </w:rPr>
        <w:t>%。</w:t>
      </w:r>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主要变动原因是政务大厅人员公用经费调入。 </w:t>
      </w:r>
    </w:p>
    <w:p>
      <w:pPr>
        <w:pStyle w:val="2"/>
        <w:rPr>
          <w:rFonts w:hint="eastAsia"/>
        </w:rPr>
      </w:pPr>
    </w:p>
    <w:p>
      <w:pPr>
        <w:pStyle w:val="2"/>
      </w:pPr>
    </w:p>
    <w:p>
      <w:pPr>
        <w:spacing w:line="600" w:lineRule="exact"/>
        <w:ind w:firstLine="640" w:firstLineChars="200"/>
        <w:jc w:val="center"/>
        <w:rPr>
          <w:rFonts w:ascii="仿宋_GB2312" w:hAnsi="仿宋" w:eastAsia="仿宋_GB2312"/>
          <w:color w:val="000000" w:themeColor="text1"/>
          <w:sz w:val="28"/>
          <w:szCs w:val="28"/>
          <w14:textFill>
            <w14:solidFill>
              <w14:schemeClr w14:val="tx1"/>
            </w14:solidFill>
          </w14:textFill>
        </w:rPr>
      </w:pPr>
      <w:r>
        <w:rPr>
          <w:rFonts w:hint="eastAsia" w:ascii="仿宋" w:hAnsi="仿宋" w:eastAsia="仿宋"/>
          <w:color w:val="000000"/>
          <w:sz w:val="32"/>
          <w:szCs w:val="32"/>
        </w:rPr>
        <w:t>（图1：收、支决算总计变动情况图）</w:t>
      </w:r>
    </w:p>
    <w:p>
      <w:pPr>
        <w:spacing w:line="600" w:lineRule="exact"/>
        <w:ind w:firstLine="560" w:firstLineChars="200"/>
        <w:jc w:val="center"/>
        <w:rPr>
          <w:rFonts w:ascii="仿宋_GB2312" w:eastAsia="仿宋_GB2312"/>
          <w:color w:val="000000"/>
          <w:sz w:val="28"/>
          <w:szCs w:val="28"/>
        </w:rPr>
      </w:pPr>
    </w:p>
    <w:p>
      <w:pPr>
        <w:pStyle w:val="2"/>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3" w:firstLineChars="200"/>
        <w:rPr>
          <w:rFonts w:ascii="黑体" w:eastAsia="黑体" w:cs="Times New Roman"/>
          <w:bCs w:val="0"/>
          <w:color w:val="000000"/>
        </w:rPr>
      </w:pPr>
      <w:bookmarkStart w:id="33" w:name="_Toc111208500"/>
      <w:bookmarkStart w:id="34" w:name="_Toc15377206"/>
      <w:bookmarkStart w:id="35" w:name="_Toc23721"/>
      <w:r>
        <w:rPr>
          <w:rFonts w:hint="eastAsia" w:ascii="黑体" w:eastAsia="黑体" w:cs="Times New Roman"/>
          <w:bCs w:val="0"/>
          <w:color w:val="000000"/>
        </w:rPr>
        <w:t>二、收入决算情况说明</w:t>
      </w:r>
      <w:bookmarkEnd w:id="33"/>
      <w:bookmarkEnd w:id="34"/>
      <w:bookmarkEnd w:id="3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本年收入合计152.75万元，其中：一般公共预算财政拨款收入152.75万元，占100.00%；政府性基金预算财政拨款收入0万元；国有资本经营预算财政拨款收入0万元；上级补助收入0万元；事业收入0万元；经营收入0万元；附属单位上缴收入0万元；其他收入0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3" w:firstLineChars="200"/>
        <w:rPr>
          <w:rFonts w:ascii="黑体" w:eastAsia="黑体" w:cs="Times New Roman"/>
          <w:bCs w:val="0"/>
          <w:color w:val="000000"/>
        </w:rPr>
      </w:pPr>
      <w:bookmarkStart w:id="36" w:name="_Toc111208501"/>
      <w:bookmarkStart w:id="37" w:name="_Toc215"/>
      <w:bookmarkStart w:id="38" w:name="_Toc15377207"/>
      <w:r>
        <w:rPr>
          <w:rFonts w:hint="eastAsia" w:ascii="黑体" w:eastAsia="黑体" w:cs="Times New Roman"/>
          <w:bCs w:val="0"/>
          <w:color w:val="000000"/>
        </w:rPr>
        <w:t>三、支出决算情况说明</w:t>
      </w:r>
      <w:bookmarkEnd w:id="36"/>
      <w:bookmarkEnd w:id="37"/>
      <w:bookmarkEnd w:id="38"/>
    </w:p>
    <w:p>
      <w:pPr>
        <w:pStyle w:val="2"/>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szCs w:val="32"/>
        </w:rPr>
        <w:t>年本年支出合计</w:t>
      </w:r>
      <w:r>
        <w:rPr>
          <w:rFonts w:hint="eastAsia" w:ascii="仿宋" w:hAnsi="仿宋" w:eastAsia="仿宋"/>
          <w:color w:val="000000"/>
          <w:sz w:val="32"/>
          <w:szCs w:val="32"/>
        </w:rPr>
        <w:t>152.75</w:t>
      </w:r>
      <w:r>
        <w:rPr>
          <w:rFonts w:ascii="仿宋" w:hAnsi="仿宋" w:eastAsia="仿宋"/>
          <w:color w:val="000000"/>
          <w:sz w:val="32"/>
          <w:szCs w:val="32"/>
        </w:rPr>
        <w:t>万元，其中：基本支出</w:t>
      </w:r>
      <w:r>
        <w:rPr>
          <w:rFonts w:hint="eastAsia" w:ascii="仿宋" w:hAnsi="仿宋" w:eastAsia="仿宋"/>
          <w:color w:val="000000"/>
          <w:sz w:val="32"/>
          <w:szCs w:val="32"/>
        </w:rPr>
        <w:t>152.75</w:t>
      </w:r>
      <w:r>
        <w:rPr>
          <w:rFonts w:ascii="仿宋" w:hAnsi="仿宋" w:eastAsia="仿宋"/>
          <w:color w:val="000000"/>
          <w:sz w:val="32"/>
          <w:szCs w:val="32"/>
        </w:rPr>
        <w:t>万元，占</w:t>
      </w:r>
      <w:r>
        <w:rPr>
          <w:rFonts w:hint="eastAsia" w:ascii="仿宋" w:hAnsi="仿宋" w:eastAsia="仿宋"/>
          <w:color w:val="000000"/>
          <w:sz w:val="32"/>
          <w:szCs w:val="32"/>
        </w:rPr>
        <w:t>100.00</w:t>
      </w:r>
      <w:r>
        <w:rPr>
          <w:rFonts w:ascii="仿宋" w:hAnsi="仿宋" w:eastAsia="仿宋"/>
          <w:color w:val="000000"/>
          <w:sz w:val="32"/>
          <w:szCs w:val="32"/>
        </w:rPr>
        <w:t>%；项目支出</w:t>
      </w:r>
      <w:r>
        <w:rPr>
          <w:rFonts w:hint="eastAsia" w:ascii="仿宋" w:hAnsi="仿宋" w:eastAsia="仿宋"/>
          <w:color w:val="000000"/>
          <w:sz w:val="32"/>
          <w:szCs w:val="32"/>
        </w:rPr>
        <w:t>0</w:t>
      </w:r>
      <w:r>
        <w:rPr>
          <w:rFonts w:ascii="仿宋" w:hAnsi="仿宋" w:eastAsia="仿宋"/>
          <w:color w:val="000000"/>
          <w:sz w:val="32"/>
          <w:szCs w:val="32"/>
        </w:rPr>
        <w:t>万元；上缴上级支出</w:t>
      </w:r>
      <w:r>
        <w:rPr>
          <w:rFonts w:hint="eastAsia" w:ascii="仿宋" w:hAnsi="仿宋" w:eastAsia="仿宋"/>
          <w:color w:val="000000"/>
          <w:sz w:val="32"/>
          <w:szCs w:val="32"/>
        </w:rPr>
        <w:t>0</w:t>
      </w:r>
      <w:r>
        <w:rPr>
          <w:rFonts w:ascii="仿宋" w:hAnsi="仿宋" w:eastAsia="仿宋"/>
          <w:color w:val="000000"/>
          <w:sz w:val="32"/>
          <w:szCs w:val="32"/>
        </w:rPr>
        <w:t>万元；经营支出</w:t>
      </w:r>
      <w:r>
        <w:rPr>
          <w:rFonts w:hint="eastAsia" w:ascii="仿宋" w:hAnsi="仿宋" w:eastAsia="仿宋"/>
          <w:color w:val="000000"/>
          <w:sz w:val="32"/>
          <w:szCs w:val="32"/>
        </w:rPr>
        <w:t>0</w:t>
      </w:r>
      <w:r>
        <w:rPr>
          <w:rFonts w:ascii="仿宋" w:hAnsi="仿宋" w:eastAsia="仿宋"/>
          <w:color w:val="000000"/>
          <w:sz w:val="32"/>
          <w:szCs w:val="32"/>
        </w:rPr>
        <w:t>万元；对附属单位补助支出</w:t>
      </w:r>
      <w:r>
        <w:rPr>
          <w:rFonts w:hint="eastAsia" w:ascii="仿宋" w:hAnsi="仿宋" w:eastAsia="仿宋"/>
          <w:color w:val="000000"/>
          <w:sz w:val="32"/>
          <w:szCs w:val="32"/>
        </w:rPr>
        <w:t>0</w:t>
      </w:r>
      <w:r>
        <w:rPr>
          <w:rFonts w:ascii="仿宋" w:hAnsi="仿宋" w:eastAsia="仿宋"/>
          <w:color w:val="000000"/>
          <w:sz w:val="32"/>
          <w:szCs w:val="32"/>
        </w:rPr>
        <w:t>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3" w:firstLineChars="200"/>
        <w:rPr>
          <w:rFonts w:ascii="黑体" w:eastAsia="黑体" w:cs="Times New Roman"/>
          <w:bCs w:val="0"/>
          <w:color w:val="000000"/>
        </w:rPr>
      </w:pPr>
      <w:bookmarkStart w:id="39" w:name="_Toc4107"/>
      <w:bookmarkStart w:id="40" w:name="_Toc111208502"/>
      <w:bookmarkStart w:id="41" w:name="_Toc15377208"/>
      <w:r>
        <w:rPr>
          <w:rFonts w:hint="eastAsia" w:ascii="黑体" w:eastAsia="黑体" w:cs="Times New Roman"/>
          <w:bCs w:val="0"/>
          <w:color w:val="000000"/>
        </w:rPr>
        <w:t>四、财政拨款收入支出决算总体情况说明</w:t>
      </w:r>
      <w:bookmarkEnd w:id="39"/>
      <w:bookmarkEnd w:id="40"/>
      <w:bookmarkEnd w:id="41"/>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年财政拨款收入总计152.75</w:t>
      </w:r>
      <w:r>
        <w:rPr>
          <w:rFonts w:hint="eastAsia" w:ascii="仿宋" w:hAnsi="仿宋" w:eastAsia="仿宋"/>
          <w:color w:val="000000"/>
          <w:sz w:val="32"/>
          <w:szCs w:val="32"/>
        </w:rPr>
        <w:t>万元，财政拨款支出总计</w:t>
      </w:r>
      <w:r>
        <w:rPr>
          <w:rFonts w:ascii="仿宋" w:hAnsi="仿宋" w:eastAsia="仿宋"/>
          <w:color w:val="000000"/>
          <w:sz w:val="32"/>
          <w:u w:color="auto"/>
        </w:rPr>
        <w:t>152.75万元。与2021年相比，财政拨款收入总计</w:t>
      </w:r>
      <w:r>
        <w:rPr>
          <w:rFonts w:hint="eastAsia" w:ascii="仿宋" w:hAnsi="仿宋" w:eastAsia="仿宋"/>
          <w:color w:val="000000"/>
          <w:sz w:val="32"/>
          <w:szCs w:val="32"/>
          <w:lang w:val="en-US" w:eastAsia="zh-CN"/>
        </w:rPr>
        <w:t>增加26.47</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增加20.96</w:t>
      </w:r>
      <w:r>
        <w:rPr>
          <w:rFonts w:hint="eastAsia" w:ascii="仿宋" w:hAnsi="仿宋" w:eastAsia="仿宋"/>
          <w:color w:val="000000"/>
          <w:sz w:val="32"/>
          <w:szCs w:val="32"/>
        </w:rPr>
        <w:t>%，财政拨款支出总计</w:t>
      </w:r>
      <w:r>
        <w:rPr>
          <w:rFonts w:ascii="仿宋" w:hAnsi="仿宋" w:eastAsia="仿宋"/>
          <w:color w:val="000000"/>
          <w:sz w:val="32"/>
          <w:u w:color="auto"/>
        </w:rPr>
        <w:t>增加26.47万元，增加20.96%。</w:t>
      </w:r>
    </w:p>
    <w:p>
      <w:pPr>
        <w:pStyle w:val="2"/>
        <w:rPr>
          <w:rFonts w:hint="eastAsia" w:eastAsia="仿宋"/>
          <w:lang w:eastAsia="zh-CN"/>
        </w:rPr>
      </w:pPr>
      <w:r>
        <w:rPr>
          <w:rFonts w:hint="eastAsia" w:ascii="仿宋" w:hAnsi="仿宋" w:eastAsia="仿宋"/>
          <w:color w:val="000000"/>
          <w:sz w:val="32"/>
          <w:szCs w:val="32"/>
        </w:rPr>
        <w:t>主要变动原因是政务大厅人员公用经费调入。</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（图4：财政拨款收、支决算总计变动情况）</w:t>
      </w:r>
    </w:p>
    <w:p>
      <w:pPr>
        <w:pStyle w:val="2"/>
        <w:ind w:firstLine="0"/>
      </w:pPr>
    </w:p>
    <w:p>
      <w:pPr>
        <w:pStyle w:val="2"/>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jc w:val="center"/>
      </w:pPr>
    </w:p>
    <w:p>
      <w:pPr>
        <w:pStyle w:val="4"/>
        <w:ind w:firstLine="643" w:firstLineChars="200"/>
        <w:rPr>
          <w:rFonts w:ascii="黑体" w:eastAsia="黑体" w:cs="Times New Roman"/>
          <w:bCs w:val="0"/>
          <w:color w:val="000000"/>
        </w:rPr>
      </w:pPr>
      <w:bookmarkStart w:id="42" w:name="_Toc15377209"/>
      <w:bookmarkStart w:id="43" w:name="_Toc31079"/>
      <w:bookmarkStart w:id="44" w:name="_Toc111208503"/>
      <w:r>
        <w:rPr>
          <w:rFonts w:hint="eastAsia" w:ascii="黑体" w:eastAsia="黑体" w:cs="Times New Roman"/>
          <w:bCs w:val="0"/>
          <w:color w:val="000000"/>
        </w:rPr>
        <w:t>五、一般公共预算财政拨款支出决算情况说</w:t>
      </w:r>
      <w:bookmarkEnd w:id="42"/>
      <w:r>
        <w:rPr>
          <w:rFonts w:hint="eastAsia" w:ascii="黑体" w:eastAsia="黑体" w:cs="Times New Roman"/>
          <w:bCs w:val="0"/>
          <w:color w:val="000000"/>
        </w:rPr>
        <w:t>明</w:t>
      </w:r>
      <w:bookmarkEnd w:id="43"/>
      <w:bookmarkEnd w:id="44"/>
    </w:p>
    <w:p>
      <w:pPr>
        <w:spacing w:line="600" w:lineRule="exact"/>
        <w:ind w:firstLine="643" w:firstLineChars="200"/>
        <w:outlineLvl w:val="2"/>
        <w:rPr>
          <w:rFonts w:ascii="仿宋" w:hAnsi="仿宋" w:eastAsia="仿宋"/>
          <w:b/>
          <w:color w:val="000000"/>
          <w:sz w:val="32"/>
          <w:szCs w:val="32"/>
        </w:rPr>
      </w:pPr>
      <w:bookmarkStart w:id="45" w:name="_Toc15377210"/>
      <w:r>
        <w:rPr>
          <w:rFonts w:hint="eastAsia" w:ascii="仿宋" w:hAnsi="仿宋" w:eastAsia="仿宋"/>
          <w:b/>
          <w:color w:val="000000"/>
          <w:sz w:val="32"/>
          <w:szCs w:val="32"/>
        </w:rPr>
        <w:t>（一）一般公共预算财政拨款支出决算总体情况</w:t>
      </w:r>
      <w:bookmarkEnd w:id="45"/>
    </w:p>
    <w:p>
      <w:pPr>
        <w:spacing w:line="600" w:lineRule="exact"/>
        <w:ind w:firstLine="640" w:firstLineChars="200"/>
        <w:rPr>
          <w:rFonts w:ascii="仿宋_GB2312" w:hAnsi="仿宋" w:eastAsia="仿宋_GB2312"/>
          <w:color w:val="000000"/>
          <w:sz w:val="32"/>
          <w:szCs w:val="32"/>
        </w:rPr>
      </w:pPr>
      <w:bookmarkStart w:id="46" w:name="_Toc15377211"/>
      <w:r>
        <w:rPr>
          <w:rFonts w:hint="eastAsia" w:ascii="仿宋" w:hAnsi="仿宋" w:eastAsia="仿宋"/>
          <w:color w:val="000000"/>
          <w:sz w:val="32"/>
          <w:szCs w:val="32"/>
        </w:rPr>
        <w:t>2022</w:t>
      </w:r>
      <w:r>
        <w:rPr>
          <w:rFonts w:ascii="仿宋" w:hAnsi="仿宋" w:eastAsia="仿宋"/>
          <w:color w:val="000000"/>
          <w:sz w:val="32"/>
          <w:u w:color="auto"/>
        </w:rPr>
        <w:t>年一般公共预算财政拨款支出152.75</w:t>
      </w:r>
      <w:r>
        <w:rPr>
          <w:rFonts w:hint="eastAsia" w:ascii="仿宋" w:hAnsi="仿宋" w:eastAsia="仿宋"/>
          <w:color w:val="000000"/>
          <w:sz w:val="32"/>
          <w:szCs w:val="32"/>
        </w:rPr>
        <w:t>万元，占本年支出合计的</w:t>
      </w:r>
      <w:r>
        <w:rPr>
          <w:rFonts w:ascii="仿宋" w:hAnsi="仿宋" w:eastAsia="仿宋"/>
          <w:color w:val="000000"/>
          <w:sz w:val="32"/>
          <w:u w:color="auto"/>
        </w:rPr>
        <w:t>100.00</w:t>
      </w:r>
      <w:r>
        <w:rPr>
          <w:rFonts w:hint="eastAsia" w:ascii="仿宋" w:hAnsi="仿宋" w:eastAsia="仿宋"/>
          <w:color w:val="000000"/>
          <w:sz w:val="32"/>
          <w:szCs w:val="32"/>
        </w:rPr>
        <w:t>%。与</w:t>
      </w:r>
      <w:r>
        <w:rPr>
          <w:rFonts w:ascii="仿宋" w:hAnsi="仿宋" w:eastAsia="仿宋"/>
          <w:color w:val="000000"/>
          <w:sz w:val="32"/>
          <w:u w:color="auto"/>
        </w:rPr>
        <w:t>2021相比，一般公共预算财政拨款增加26.47</w:t>
      </w:r>
      <w:r>
        <w:rPr>
          <w:rFonts w:hint="eastAsia" w:ascii="仿宋" w:hAnsi="仿宋" w:eastAsia="仿宋"/>
          <w:color w:val="000000"/>
          <w:sz w:val="32"/>
          <w:szCs w:val="32"/>
        </w:rPr>
        <w:t>万元，</w:t>
      </w:r>
      <w:r>
        <w:rPr>
          <w:rFonts w:ascii="仿宋" w:hAnsi="仿宋" w:eastAsia="仿宋"/>
          <w:color w:val="000000"/>
          <w:sz w:val="32"/>
          <w:u w:color="auto"/>
        </w:rPr>
        <w:t>增加20.96</w:t>
      </w:r>
      <w:r>
        <w:rPr>
          <w:rFonts w:hint="eastAsia" w:ascii="仿宋" w:hAnsi="仿宋" w:eastAsia="仿宋"/>
          <w:color w:val="000000"/>
          <w:sz w:val="32"/>
          <w:szCs w:val="32"/>
        </w:rPr>
        <w:t xml:space="preserve"> %。</w:t>
      </w:r>
      <w:r>
        <w:rPr>
          <w:rFonts w:ascii="仿宋" w:hAnsi="仿宋" w:eastAsia="仿宋"/>
          <w:color w:val="000000"/>
          <w:sz w:val="32"/>
          <w:u w:color="auto"/>
        </w:rPr>
        <w:t>主要变动原因是政务大厅人员公用经费调入。</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w:t>
      </w:r>
    </w:p>
    <w:p>
      <w:pPr>
        <w:pStyle w:val="2"/>
        <w:ind w:firstLine="0"/>
        <w:rPr>
          <w:rFonts w:ascii="仿宋_GB2312" w:hAnsi="仿宋" w:eastAsia="仿宋_GB2312"/>
          <w:b/>
          <w:color w:val="000000"/>
          <w:sz w:val="32"/>
          <w:szCs w:val="32"/>
        </w:rPr>
      </w:pPr>
    </w:p>
    <w:p>
      <w:pPr>
        <w:pStyle w:val="2"/>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ind w:firstLine="0"/>
        <w:rPr>
          <w:rFonts w:ascii="仿宋_GB2312" w:hAnsi="仿宋" w:eastAsia="仿宋_GB2312"/>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6"/>
      <w:r>
        <w:rPr>
          <w:rFonts w:hint="eastAsia" w:ascii="仿宋" w:hAnsi="仿宋" w:eastAsia="仿宋"/>
          <w:b/>
          <w:color w:val="000000"/>
          <w:sz w:val="32"/>
          <w:szCs w:val="32"/>
        </w:rPr>
        <w:t>（一般公共预算收支表）</w:t>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 w:hAnsi="仿宋" w:eastAsia="仿宋"/>
          <w:color w:val="000000"/>
          <w:sz w:val="32"/>
          <w:szCs w:val="32"/>
        </w:rPr>
        <w:t>2022</w:t>
      </w:r>
      <w:r>
        <w:rPr>
          <w:rFonts w:ascii="仿宋" w:hAnsi="仿宋" w:eastAsia="仿宋"/>
          <w:color w:val="000000"/>
          <w:sz w:val="32"/>
          <w:u w:color="auto"/>
        </w:rPr>
        <w:t>年一般公共预算财政拨款支出152.75</w:t>
      </w:r>
      <w:r>
        <w:rPr>
          <w:rFonts w:hint="eastAsia" w:ascii="仿宋" w:hAnsi="仿宋" w:eastAsia="仿宋"/>
          <w:color w:val="000000"/>
          <w:sz w:val="32"/>
          <w:szCs w:val="32"/>
        </w:rPr>
        <w:t xml:space="preserve">万元，主要用于以下方面: </w:t>
      </w:r>
      <w:r>
        <w:rPr>
          <w:rFonts w:ascii="仿宋" w:hAnsi="仿宋" w:eastAsia="仿宋"/>
          <w:color w:val="000000"/>
          <w:sz w:val="32"/>
          <w:u w:color="auto"/>
        </w:rPr>
        <w:t>一般公共服务支出113.06万元，占74.02%；社会保障和就业支出20.48万元，占13.41%；卫生健康支出8.06万元，占5.28%；住房保障支出11.15万元，占7.29%。</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bookmarkStart w:id="47" w:name="_Toc15377212"/>
    </w:p>
    <w:p>
      <w:pPr>
        <w:pStyle w:val="2"/>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7"/>
    </w:p>
    <w:p>
      <w:pPr>
        <w:spacing w:line="600" w:lineRule="exact"/>
        <w:ind w:firstLine="640"/>
        <w:rPr>
          <w:rFonts w:ascii="仿宋" w:hAnsi="仿宋" w:eastAsia="仿宋"/>
          <w:color w:val="000000"/>
          <w:sz w:val="32"/>
          <w:szCs w:val="32"/>
        </w:rPr>
      </w:pPr>
      <w:bookmarkStart w:id="48" w:name="_Toc15378460"/>
      <w:bookmarkStart w:id="49" w:name="_Toc15377213"/>
      <w:bookmarkStart w:id="50" w:name="_Toc15377444"/>
      <w:r>
        <w:rPr>
          <w:rFonts w:hint="eastAsia" w:ascii="仿宋" w:hAnsi="仿宋" w:eastAsia="仿宋"/>
          <w:color w:val="000000"/>
          <w:sz w:val="32"/>
          <w:szCs w:val="32"/>
        </w:rPr>
        <w:t>2022</w:t>
      </w:r>
      <w:r>
        <w:rPr>
          <w:rFonts w:ascii="仿宋" w:hAnsi="仿宋" w:eastAsia="仿宋"/>
          <w:color w:val="000000"/>
          <w:sz w:val="32"/>
          <w:u w:color="auto"/>
        </w:rPr>
        <w:t>年一般公共预算支出决算数为152.75</w:t>
      </w:r>
      <w:r>
        <w:rPr>
          <w:rFonts w:hint="eastAsia" w:ascii="仿宋" w:hAnsi="仿宋" w:eastAsia="仿宋"/>
          <w:color w:val="000000"/>
          <w:sz w:val="32"/>
          <w:szCs w:val="32"/>
        </w:rPr>
        <w:t>万</w:t>
      </w:r>
      <w:r>
        <w:rPr>
          <w:rFonts w:hint="eastAsia" w:ascii="仿宋" w:hAnsi="仿宋" w:eastAsia="仿宋"/>
          <w:color w:val="000000"/>
          <w:sz w:val="32"/>
          <w:szCs w:val="32"/>
          <w:lang w:eastAsia="zh-CN"/>
        </w:rPr>
        <w:t>元</w:t>
      </w:r>
      <w:r>
        <w:rPr>
          <w:rFonts w:hint="eastAsia" w:ascii="仿宋" w:hAnsi="仿宋" w:eastAsia="仿宋"/>
          <w:color w:val="000000"/>
          <w:sz w:val="32"/>
          <w:szCs w:val="32"/>
        </w:rPr>
        <w:t>，完成预算100%。其中：</w:t>
      </w:r>
      <w:bookmarkEnd w:id="48"/>
      <w:bookmarkEnd w:id="49"/>
      <w:bookmarkEnd w:id="50"/>
    </w:p>
    <w:p>
      <w:pPr>
        <w:numPr>
          <w:ilvl w:val="0"/>
          <w:numId w:val="2"/>
        </w:num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一般公共服务支出（201）政府办公厅（室）及相关机构事务（20103）事业运行（2010350）支出决算113.06万元，完成预算100%。</w:t>
      </w:r>
    </w:p>
    <w:p>
      <w:pPr>
        <w:numPr>
          <w:ilvl w:val="0"/>
          <w:numId w:val="0"/>
        </w:num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2.社会保障和就业支出（208）行政事业单位养老支出（20805）机关事业单位基本养老保险缴费支出（2080505）支出决算13.66万元，完成预算100%。</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3.社会保障和就业支出（208）行政事业单位养老支出（20805）机关事业单位职业年金缴费支出（2080506）支出决算6.83万元，完成预算100%。</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4.卫生健康支出（210）行政事业单位医疗（21011）事业单位医疗（2101102）支出决算8.06万元，完成预算100%。</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5.住房保障支出（221）住房改革支出（22102）住房公积金（2210201）支出决算11.15万元，完成预算100%。</w:t>
      </w:r>
    </w:p>
    <w:p>
      <w:pPr>
        <w:pStyle w:val="4"/>
        <w:ind w:firstLine="643" w:firstLineChars="200"/>
        <w:rPr>
          <w:rFonts w:ascii="黑体" w:eastAsia="黑体" w:cs="Times New Roman"/>
          <w:b w:val="0"/>
          <w:color w:val="000000"/>
        </w:rPr>
      </w:pPr>
      <w:bookmarkStart w:id="51" w:name="_Toc15377214"/>
      <w:bookmarkStart w:id="52" w:name="_Toc6617"/>
      <w:bookmarkStart w:id="53" w:name="_Toc111208504"/>
      <w:r>
        <w:rPr>
          <w:rFonts w:hint="eastAsia" w:ascii="黑体" w:eastAsia="黑体" w:cs="Times New Roman"/>
          <w:bCs w:val="0"/>
          <w:color w:val="000000"/>
        </w:rPr>
        <w:t>六、一般公共预算财政拨款基本支出决算情况说</w:t>
      </w:r>
      <w:bookmarkEnd w:id="51"/>
      <w:r>
        <w:rPr>
          <w:rFonts w:hint="eastAsia" w:ascii="黑体" w:eastAsia="黑体" w:cs="Times New Roman"/>
          <w:bCs w:val="0"/>
          <w:color w:val="000000"/>
        </w:rPr>
        <w:t>明</w:t>
      </w:r>
      <w:bookmarkEnd w:id="52"/>
      <w:bookmarkEnd w:id="5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年一般公共预算财政拨款基本支出152.75</w:t>
      </w:r>
      <w:r>
        <w:rPr>
          <w:rFonts w:hint="eastAsia" w:ascii="仿宋" w:hAnsi="仿宋" w:eastAsia="仿宋"/>
          <w:color w:val="000000"/>
          <w:sz w:val="32"/>
          <w:szCs w:val="32"/>
        </w:rPr>
        <w:t>万元，其中：</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u w:color="auto"/>
        </w:rPr>
        <w:t>133.68</w:t>
      </w:r>
      <w:r>
        <w:rPr>
          <w:rFonts w:hint="eastAsia" w:ascii="仿宋" w:hAnsi="仿宋" w:eastAsia="仿宋"/>
          <w:color w:val="000000"/>
          <w:sz w:val="32"/>
          <w:szCs w:val="32"/>
        </w:rPr>
        <w:t>万元，主要包括：</w:t>
      </w:r>
      <w:r>
        <w:rPr>
          <w:rFonts w:ascii="仿宋" w:hAnsi="仿宋" w:eastAsia="仿宋"/>
          <w:color w:val="000000"/>
          <w:sz w:val="32"/>
          <w:u w:color="auto"/>
        </w:rPr>
        <w:t>基本工资28.96万元、津贴补贴3.94万元、绩效工资59.54万元、机关事业单位基本养老保险缴费13.66万元、职业年金缴费6.83万元、职工基本医疗保险缴费8.06万元、其他社会保障缴费0.58万元、住房公积金11.15万元、医疗费0.96万元、奖励金0.02万元。</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公用经费</w:t>
      </w:r>
      <w:r>
        <w:rPr>
          <w:rFonts w:ascii="仿宋" w:hAnsi="仿宋" w:eastAsia="仿宋"/>
          <w:color w:val="000000"/>
          <w:sz w:val="32"/>
          <w:u w:color="auto"/>
        </w:rPr>
        <w:t>19.07</w:t>
      </w:r>
      <w:r>
        <w:rPr>
          <w:rFonts w:hint="eastAsia" w:ascii="仿宋" w:hAnsi="仿宋" w:eastAsia="仿宋"/>
          <w:color w:val="000000"/>
          <w:sz w:val="32"/>
          <w:szCs w:val="32"/>
        </w:rPr>
        <w:t>万元，主要包括：</w:t>
      </w:r>
      <w:r>
        <w:rPr>
          <w:rFonts w:ascii="仿宋" w:hAnsi="仿宋" w:eastAsia="仿宋"/>
          <w:color w:val="000000"/>
          <w:sz w:val="32"/>
          <w:u w:color="auto"/>
        </w:rPr>
        <w:t>办公费16.28万元、邮电费0.24万元、差旅费2.47万元、公务接待费0.08万元</w:t>
      </w:r>
      <w:r>
        <w:rPr>
          <w:rFonts w:hint="eastAsia" w:ascii="仿宋" w:hAnsi="仿宋" w:eastAsia="仿宋"/>
          <w:color w:val="000000"/>
          <w:sz w:val="32"/>
          <w:szCs w:val="32"/>
        </w:rPr>
        <w:t>。</w:t>
      </w:r>
    </w:p>
    <w:p>
      <w:pPr>
        <w:pStyle w:val="4"/>
        <w:ind w:firstLine="643" w:firstLineChars="200"/>
        <w:rPr>
          <w:rFonts w:ascii="黑体" w:eastAsia="黑体" w:cs="Times New Roman"/>
          <w:bCs w:val="0"/>
          <w:color w:val="000000"/>
        </w:rPr>
      </w:pPr>
      <w:bookmarkStart w:id="54" w:name="_Toc15377215"/>
      <w:bookmarkStart w:id="55" w:name="_Toc32425"/>
      <w:bookmarkStart w:id="56" w:name="_Toc111208505"/>
      <w:r>
        <w:rPr>
          <w:rFonts w:hint="eastAsia" w:ascii="黑体" w:eastAsia="黑体" w:cs="Times New Roman"/>
          <w:bCs w:val="0"/>
          <w:color w:val="000000"/>
        </w:rPr>
        <w:t>七、“三公”经费财政拨款支出决算情况说明</w:t>
      </w:r>
      <w:bookmarkEnd w:id="54"/>
      <w:bookmarkEnd w:id="55"/>
      <w:bookmarkEnd w:id="56"/>
    </w:p>
    <w:p>
      <w:pPr>
        <w:spacing w:line="600" w:lineRule="exact"/>
        <w:ind w:firstLine="643" w:firstLineChars="200"/>
        <w:outlineLvl w:val="2"/>
        <w:rPr>
          <w:rFonts w:ascii="仿宋" w:hAnsi="仿宋" w:eastAsia="仿宋"/>
          <w:b/>
          <w:color w:val="000000"/>
          <w:sz w:val="32"/>
          <w:szCs w:val="32"/>
        </w:rPr>
      </w:pPr>
      <w:bookmarkStart w:id="57" w:name="_Toc15377216"/>
      <w:r>
        <w:rPr>
          <w:rFonts w:hint="eastAsia" w:ascii="仿宋" w:hAnsi="仿宋" w:eastAsia="仿宋"/>
          <w:b/>
          <w:color w:val="000000"/>
          <w:sz w:val="32"/>
          <w:szCs w:val="32"/>
        </w:rPr>
        <w:t>（一）“三公”经费财政拨款支出决算总体情况说明</w:t>
      </w:r>
      <w:bookmarkEnd w:id="57"/>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年“三公”经费财政拨款支出决算为0.08</w:t>
      </w:r>
      <w:r>
        <w:rPr>
          <w:rFonts w:hint="eastAsia" w:ascii="仿宋" w:hAnsi="仿宋" w:eastAsia="仿宋"/>
          <w:color w:val="000000"/>
          <w:sz w:val="32"/>
          <w:szCs w:val="32"/>
        </w:rPr>
        <w:t>万元，完成预算</w:t>
      </w:r>
      <w:r>
        <w:rPr>
          <w:rFonts w:ascii="仿宋" w:hAnsi="仿宋" w:eastAsia="仿宋"/>
          <w:color w:val="000000"/>
          <w:sz w:val="32"/>
          <w:u w:color="auto"/>
        </w:rPr>
        <w:t>100.00</w:t>
      </w:r>
      <w:r>
        <w:rPr>
          <w:rFonts w:hint="eastAsia" w:ascii="仿宋" w:hAnsi="仿宋" w:eastAsia="仿宋"/>
          <w:color w:val="000000"/>
          <w:sz w:val="32"/>
          <w:szCs w:val="32"/>
        </w:rPr>
        <w:t>%。</w:t>
      </w:r>
      <w:bookmarkStart w:id="58" w:name="_Toc15377217"/>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年“三公”经费财政拨款支出0.08</w:t>
      </w:r>
      <w:r>
        <w:rPr>
          <w:rFonts w:hint="eastAsia" w:ascii="仿宋" w:hAnsi="仿宋" w:eastAsia="仿宋"/>
          <w:color w:val="000000"/>
          <w:sz w:val="32"/>
          <w:szCs w:val="32"/>
        </w:rPr>
        <w:t>万</w:t>
      </w:r>
      <w:r>
        <w:rPr>
          <w:rFonts w:hint="eastAsia" w:ascii="仿宋" w:hAnsi="仿宋" w:eastAsia="仿宋"/>
          <w:color w:val="000000"/>
          <w:sz w:val="32"/>
          <w:szCs w:val="32"/>
          <w:lang w:eastAsia="zh-CN"/>
        </w:rPr>
        <w:t>元</w:t>
      </w:r>
      <w:r>
        <w:rPr>
          <w:rFonts w:hint="eastAsia" w:ascii="仿宋" w:hAnsi="仿宋" w:eastAsia="仿宋"/>
          <w:color w:val="000000"/>
          <w:sz w:val="32"/>
          <w:szCs w:val="32"/>
        </w:rPr>
        <w:t>，因公出国（境）费支出决算</w:t>
      </w:r>
      <w:r>
        <w:rPr>
          <w:rFonts w:ascii="仿宋" w:hAnsi="仿宋" w:eastAsia="仿宋"/>
          <w:color w:val="000000"/>
          <w:sz w:val="32"/>
          <w:u w:color="auto"/>
        </w:rPr>
        <w:t>0</w:t>
      </w:r>
      <w:r>
        <w:rPr>
          <w:rFonts w:hint="eastAsia" w:ascii="仿宋" w:hAnsi="仿宋" w:eastAsia="仿宋"/>
          <w:color w:val="000000"/>
          <w:sz w:val="32"/>
          <w:szCs w:val="32"/>
        </w:rPr>
        <w:t>万元；公务用车购置及运行维护费支出决算</w:t>
      </w:r>
      <w:r>
        <w:rPr>
          <w:rFonts w:ascii="仿宋" w:hAnsi="仿宋" w:eastAsia="仿宋"/>
          <w:color w:val="000000"/>
          <w:sz w:val="32"/>
          <w:u w:color="auto"/>
        </w:rPr>
        <w:t>0</w:t>
      </w:r>
      <w:r>
        <w:rPr>
          <w:rFonts w:hint="eastAsia" w:ascii="仿宋" w:hAnsi="仿宋" w:eastAsia="仿宋"/>
          <w:color w:val="000000"/>
          <w:sz w:val="32"/>
          <w:szCs w:val="32"/>
        </w:rPr>
        <w:t>万元；公务接待费支出决算</w:t>
      </w:r>
      <w:r>
        <w:rPr>
          <w:rFonts w:ascii="仿宋" w:hAnsi="仿宋" w:eastAsia="仿宋"/>
          <w:color w:val="000000"/>
          <w:sz w:val="32"/>
          <w:u w:color="auto"/>
        </w:rPr>
        <w:t>0.08</w:t>
      </w:r>
      <w:r>
        <w:rPr>
          <w:rFonts w:hint="eastAsia" w:ascii="仿宋" w:hAnsi="仿宋" w:eastAsia="仿宋"/>
          <w:color w:val="000000"/>
          <w:sz w:val="32"/>
          <w:szCs w:val="32"/>
        </w:rPr>
        <w:t>万元，占</w:t>
      </w:r>
      <w:r>
        <w:rPr>
          <w:rFonts w:ascii="仿宋" w:hAnsi="仿宋" w:eastAsia="仿宋"/>
          <w:color w:val="000000"/>
          <w:sz w:val="32"/>
          <w:u w:color="auto"/>
        </w:rPr>
        <w:t>100.00</w:t>
      </w:r>
      <w:r>
        <w:rPr>
          <w:rFonts w:hint="eastAsia" w:ascii="仿宋" w:hAnsi="仿宋" w:eastAsia="仿宋"/>
          <w:color w:val="000000"/>
          <w:sz w:val="32"/>
          <w:szCs w:val="32"/>
        </w:rPr>
        <w:t>%。具体情况如下：</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pStyle w:val="2"/>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1.因公出国（境）经费支出</w:t>
      </w:r>
      <w:r>
        <w:rPr>
          <w:rFonts w:ascii="仿宋" w:hAnsi="仿宋" w:eastAsia="仿宋"/>
          <w:color w:val="000000"/>
          <w:sz w:val="32"/>
          <w:u w:color="auto"/>
        </w:rPr>
        <w:t>0</w:t>
      </w:r>
      <w:r>
        <w:rPr>
          <w:rFonts w:hint="eastAsia" w:ascii="仿宋" w:hAnsi="仿宋" w:eastAsia="仿宋"/>
          <w:color w:val="000000"/>
          <w:sz w:val="32"/>
          <w:szCs w:val="32"/>
        </w:rPr>
        <w:t>万元。全年安排因公出国（境）团组</w:t>
      </w:r>
      <w:r>
        <w:rPr>
          <w:rFonts w:ascii="仿宋" w:hAnsi="仿宋" w:eastAsia="仿宋"/>
          <w:color w:val="000000"/>
          <w:sz w:val="32"/>
          <w:u w:color="auto"/>
        </w:rPr>
        <w:t>0</w:t>
      </w:r>
      <w:r>
        <w:rPr>
          <w:rFonts w:hint="eastAsia" w:ascii="仿宋" w:hAnsi="仿宋" w:eastAsia="仿宋"/>
          <w:color w:val="000000"/>
          <w:sz w:val="32"/>
          <w:szCs w:val="32"/>
        </w:rPr>
        <w:t>次，出国（境）</w:t>
      </w:r>
      <w:r>
        <w:rPr>
          <w:rFonts w:ascii="仿宋" w:hAnsi="仿宋" w:eastAsia="仿宋"/>
          <w:color w:val="000000"/>
          <w:sz w:val="32"/>
          <w:u w:color="auto"/>
        </w:rPr>
        <w:t>0</w:t>
      </w:r>
      <w:r>
        <w:rPr>
          <w:rFonts w:hint="eastAsia" w:ascii="仿宋" w:hAnsi="仿宋" w:eastAsia="仿宋"/>
          <w:color w:val="000000"/>
          <w:sz w:val="32"/>
          <w:szCs w:val="32"/>
        </w:rPr>
        <w:t>人。因公出国（境）支出决算比</w:t>
      </w:r>
      <w:r>
        <w:rPr>
          <w:rFonts w:ascii="仿宋" w:hAnsi="仿宋" w:eastAsia="仿宋"/>
          <w:color w:val="000000"/>
          <w:sz w:val="32"/>
          <w:u w:color="auto"/>
        </w:rPr>
        <w:t>2021年增加0</w:t>
      </w:r>
      <w:r>
        <w:rPr>
          <w:rFonts w:hint="eastAsia" w:ascii="仿宋" w:hAnsi="仿宋" w:eastAsia="仿宋"/>
          <w:color w:val="000000"/>
          <w:sz w:val="32"/>
          <w:szCs w:val="32"/>
        </w:rPr>
        <w:t>万元。</w:t>
      </w:r>
      <w:r>
        <w:rPr>
          <w:rFonts w:ascii="仿宋" w:hAnsi="仿宋" w:eastAsia="仿宋"/>
          <w:color w:val="000000"/>
          <w:sz w:val="32"/>
          <w:u w:color="auto"/>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2.公务用车购置及运行维护费支出</w:t>
      </w:r>
      <w:r>
        <w:rPr>
          <w:rFonts w:ascii="仿宋" w:hAnsi="仿宋" w:eastAsia="仿宋"/>
          <w:color w:val="000000"/>
          <w:sz w:val="32"/>
          <w:u w:color="auto"/>
        </w:rPr>
        <w:t>0</w:t>
      </w:r>
      <w:r>
        <w:rPr>
          <w:rFonts w:hint="eastAsia" w:ascii="仿宋" w:hAnsi="仿宋" w:eastAsia="仿宋"/>
          <w:color w:val="000000"/>
          <w:sz w:val="32"/>
          <w:szCs w:val="32"/>
        </w:rPr>
        <w:t>万元。公务用车购置及运行维护费支出决算比</w:t>
      </w:r>
      <w:r>
        <w:rPr>
          <w:rFonts w:ascii="仿宋" w:hAnsi="仿宋" w:eastAsia="仿宋"/>
          <w:color w:val="000000"/>
          <w:sz w:val="32"/>
          <w:u w:color="auto"/>
        </w:rPr>
        <w:t>2021年增加0</w:t>
      </w:r>
      <w:r>
        <w:rPr>
          <w:rFonts w:hint="eastAsia" w:ascii="仿宋" w:hAnsi="仿宋" w:eastAsia="仿宋"/>
          <w:color w:val="000000"/>
          <w:sz w:val="32"/>
          <w:szCs w:val="32"/>
        </w:rPr>
        <w:t>万元。</w:t>
      </w:r>
      <w:r>
        <w:rPr>
          <w:rFonts w:ascii="仿宋" w:hAnsi="仿宋" w:eastAsia="仿宋"/>
          <w:color w:val="000000"/>
          <w:sz w:val="32"/>
          <w:u w:color="auto"/>
        </w:rPr>
        <w:t xml:space="preserve">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w:t>
      </w:r>
      <w:r>
        <w:rPr>
          <w:rFonts w:ascii="仿宋" w:hAnsi="仿宋" w:eastAsia="仿宋"/>
          <w:color w:val="000000"/>
          <w:sz w:val="32"/>
          <w:u w:color="auto"/>
        </w:rPr>
        <w:t>0万元。全年按规定更新购置公务用车0辆，其中：轿车0辆、金额0万元，越野车0辆、金额0万元，载客汽车0辆、金额0万元。截至</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月底，单位共有公务用车</w:t>
      </w:r>
      <w:r>
        <w:rPr>
          <w:rFonts w:ascii="仿宋" w:hAnsi="仿宋" w:eastAsia="仿宋"/>
          <w:color w:val="000000"/>
          <w:sz w:val="32"/>
          <w:u w:color="auto"/>
        </w:rPr>
        <w:t>0</w:t>
      </w:r>
      <w:r>
        <w:rPr>
          <w:rFonts w:hint="eastAsia" w:ascii="仿宋" w:hAnsi="仿宋" w:eastAsia="仿宋"/>
          <w:color w:val="000000"/>
          <w:sz w:val="32"/>
          <w:szCs w:val="32"/>
        </w:rPr>
        <w:t>辆，其中：轿车</w:t>
      </w:r>
      <w:r>
        <w:rPr>
          <w:rFonts w:ascii="仿宋" w:hAnsi="仿宋" w:eastAsia="仿宋"/>
          <w:color w:val="000000"/>
          <w:sz w:val="32"/>
          <w:u w:color="auto"/>
        </w:rPr>
        <w:t>0辆、越野车0辆、载客汽车0辆。</w:t>
      </w:r>
      <w:r>
        <w:rPr>
          <w:rFonts w:hint="eastAsia" w:ascii="仿宋" w:hAnsi="仿宋" w:eastAsia="仿宋"/>
          <w:color w:val="000000"/>
          <w:sz w:val="32"/>
          <w:szCs w:val="32"/>
        </w:rPr>
        <w:t>公务用车运行维护费支出</w:t>
      </w:r>
      <w:r>
        <w:rPr>
          <w:rFonts w:ascii="仿宋" w:hAnsi="仿宋" w:eastAsia="仿宋"/>
          <w:color w:val="000000"/>
          <w:sz w:val="32"/>
          <w:u w:color="auto"/>
        </w:rPr>
        <w:t>0</w:t>
      </w:r>
      <w:r>
        <w:rPr>
          <w:rFonts w:hint="eastAsia" w:ascii="仿宋" w:hAnsi="仿宋" w:eastAsia="仿宋"/>
          <w:color w:val="000000"/>
          <w:sz w:val="32"/>
          <w:szCs w:val="32"/>
        </w:rPr>
        <w:t>万元。</w:t>
      </w:r>
      <w:r>
        <w:rPr>
          <w:rFonts w:ascii="仿宋" w:hAnsi="仿宋" w:eastAsia="仿宋"/>
          <w:color w:val="000000"/>
          <w:sz w:val="32"/>
          <w:u w:color="auto"/>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3.公务接待费支出</w:t>
      </w:r>
      <w:r>
        <w:rPr>
          <w:rFonts w:ascii="仿宋" w:hAnsi="仿宋" w:eastAsia="仿宋"/>
          <w:color w:val="000000"/>
          <w:sz w:val="32"/>
          <w:u w:color="auto"/>
        </w:rPr>
        <w:t>0.08万元，完成预算100.00</w:t>
      </w:r>
      <w:r>
        <w:rPr>
          <w:rFonts w:hint="eastAsia" w:ascii="仿宋" w:hAnsi="仿宋" w:eastAsia="仿宋"/>
          <w:color w:val="000000"/>
          <w:sz w:val="32"/>
          <w:szCs w:val="32"/>
        </w:rPr>
        <w:t>%。公务接待费支出决算比</w:t>
      </w:r>
      <w:r>
        <w:rPr>
          <w:rFonts w:ascii="仿宋" w:hAnsi="仿宋" w:eastAsia="仿宋"/>
          <w:color w:val="000000"/>
          <w:sz w:val="32"/>
          <w:u w:color="auto"/>
        </w:rPr>
        <w:t>2021年增加0.08</w:t>
      </w:r>
      <w:r>
        <w:rPr>
          <w:rFonts w:hint="eastAsia" w:ascii="仿宋" w:hAnsi="仿宋" w:eastAsia="仿宋"/>
          <w:color w:val="000000"/>
          <w:sz w:val="32"/>
          <w:szCs w:val="32"/>
        </w:rPr>
        <w:t>万元，</w:t>
      </w:r>
      <w:r>
        <w:rPr>
          <w:rFonts w:ascii="仿宋" w:hAnsi="仿宋" w:eastAsia="仿宋"/>
          <w:color w:val="000000"/>
          <w:sz w:val="32"/>
          <w:u w:color="auto"/>
        </w:rPr>
        <w:t>增加100.00</w:t>
      </w:r>
      <w:r>
        <w:rPr>
          <w:rFonts w:ascii="仿宋" w:hAnsi="仿宋" w:eastAsia="仿宋"/>
          <w:color w:val="000000"/>
          <w:sz w:val="32"/>
          <w:szCs w:val="32"/>
        </w:rPr>
        <w:t>%</w:t>
      </w:r>
      <w:r>
        <w:rPr>
          <w:rFonts w:hint="eastAsia" w:ascii="仿宋" w:hAnsi="仿宋" w:eastAsia="仿宋"/>
          <w:color w:val="000000"/>
          <w:sz w:val="32"/>
          <w:szCs w:val="32"/>
        </w:rPr>
        <w:t>。</w:t>
      </w:r>
      <w:bookmarkStart w:id="59" w:name="_Toc15377218"/>
      <w:r>
        <w:rPr>
          <w:rFonts w:hint="eastAsia"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w:t>
      </w:r>
      <w:r>
        <w:rPr>
          <w:rFonts w:ascii="仿宋" w:hAnsi="仿宋" w:eastAsia="仿宋"/>
          <w:color w:val="000000"/>
          <w:sz w:val="32"/>
          <w:u w:color="auto"/>
        </w:rPr>
        <w:t>0.08万元。国内公务接待2批次，10人次（不包括陪同人员），共计支出0.08万元。</w:t>
      </w:r>
    </w:p>
    <w:p>
      <w:pPr>
        <w:pStyle w:val="2"/>
        <w:rPr>
          <w:rFonts w:ascii="仿宋" w:hAnsi="仿宋" w:eastAsia="仿宋"/>
          <w:color w:val="000000"/>
          <w:sz w:val="32"/>
          <w:szCs w:val="32"/>
        </w:rPr>
      </w:pPr>
      <w:r>
        <w:rPr>
          <w:rFonts w:hint="eastAsia" w:ascii="仿宋" w:hAnsi="仿宋" w:eastAsia="仿宋"/>
          <w:color w:val="000000"/>
          <w:sz w:val="32"/>
          <w:szCs w:val="32"/>
        </w:rPr>
        <w:t>外事接待支出</w:t>
      </w:r>
      <w:r>
        <w:rPr>
          <w:rFonts w:ascii="仿宋" w:hAnsi="仿宋" w:eastAsia="仿宋"/>
          <w:color w:val="000000"/>
          <w:sz w:val="32"/>
          <w:u w:color="auto"/>
        </w:rPr>
        <w:t>0万元，外事接待0批次，0人，共计支出0万元。</w:t>
      </w:r>
    </w:p>
    <w:p>
      <w:pPr>
        <w:pStyle w:val="4"/>
        <w:ind w:firstLine="643" w:firstLineChars="200"/>
        <w:rPr>
          <w:rFonts w:ascii="黑体" w:eastAsia="黑体" w:cs="Times New Roman"/>
          <w:bCs w:val="0"/>
          <w:color w:val="000000"/>
        </w:rPr>
      </w:pPr>
      <w:bookmarkStart w:id="60" w:name="_Toc111208506"/>
      <w:bookmarkStart w:id="61" w:name="_Toc10932"/>
      <w:r>
        <w:rPr>
          <w:rFonts w:hint="eastAsia" w:ascii="黑体" w:eastAsia="黑体" w:cs="Times New Roman"/>
          <w:bCs w:val="0"/>
          <w:color w:val="000000"/>
        </w:rPr>
        <w:t>八、政府性基金预算支出决算情况说明</w:t>
      </w:r>
      <w:bookmarkEnd w:id="59"/>
      <w:bookmarkEnd w:id="60"/>
      <w:bookmarkEnd w:id="61"/>
    </w:p>
    <w:p>
      <w:pPr>
        <w:spacing w:line="600" w:lineRule="exact"/>
        <w:ind w:firstLine="640"/>
        <w:rPr>
          <w:rFonts w:ascii="仿宋" w:hAnsi="仿宋" w:eastAsia="仿宋"/>
        </w:rPr>
      </w:pPr>
      <w:r>
        <w:rPr>
          <w:rFonts w:hint="eastAsia" w:ascii="仿宋" w:hAnsi="仿宋" w:eastAsia="仿宋"/>
          <w:color w:val="000000"/>
          <w:sz w:val="32"/>
          <w:szCs w:val="32"/>
        </w:rPr>
        <w:t>2022</w:t>
      </w:r>
      <w:r>
        <w:rPr>
          <w:rFonts w:ascii="仿宋" w:hAnsi="仿宋" w:eastAsia="仿宋"/>
          <w:color w:val="000000"/>
          <w:sz w:val="32"/>
          <w:u w:color="auto"/>
        </w:rPr>
        <w:t>年政府性基金预算拨款支出0</w:t>
      </w:r>
      <w:r>
        <w:rPr>
          <w:rFonts w:hint="eastAsia" w:ascii="仿宋" w:hAnsi="仿宋" w:eastAsia="仿宋"/>
          <w:color w:val="000000"/>
          <w:sz w:val="32"/>
          <w:szCs w:val="32"/>
        </w:rPr>
        <w:t>万元。</w:t>
      </w:r>
      <w:bookmarkStart w:id="62" w:name="_Toc15377219"/>
    </w:p>
    <w:p>
      <w:pPr>
        <w:pStyle w:val="4"/>
        <w:ind w:firstLine="643" w:firstLineChars="200"/>
        <w:rPr>
          <w:rFonts w:ascii="黑体" w:eastAsia="黑体" w:cs="Times New Roman"/>
          <w:bCs w:val="0"/>
          <w:color w:val="000000"/>
        </w:rPr>
      </w:pPr>
      <w:bookmarkStart w:id="63" w:name="_Toc111208507"/>
      <w:bookmarkStart w:id="64" w:name="_Toc20557"/>
      <w:r>
        <w:rPr>
          <w:rFonts w:hint="eastAsia" w:ascii="黑体" w:eastAsia="黑体" w:cs="Times New Roman"/>
          <w:bCs w:val="0"/>
          <w:color w:val="000000"/>
        </w:rPr>
        <w:t>九、国有资本经营预算支出决算情况说明</w:t>
      </w:r>
      <w:bookmarkEnd w:id="62"/>
      <w:bookmarkEnd w:id="63"/>
      <w:bookmarkEnd w:id="64"/>
    </w:p>
    <w:p>
      <w:pPr>
        <w:spacing w:line="600" w:lineRule="exact"/>
        <w:ind w:firstLine="640"/>
        <w:rPr>
          <w:rFonts w:ascii="仿宋" w:hAnsi="仿宋" w:eastAsia="仿宋"/>
        </w:rPr>
      </w:pPr>
      <w:r>
        <w:rPr>
          <w:rFonts w:hint="eastAsia" w:ascii="仿宋" w:hAnsi="仿宋" w:eastAsia="仿宋"/>
          <w:color w:val="000000"/>
          <w:sz w:val="32"/>
          <w:szCs w:val="32"/>
        </w:rPr>
        <w:t>2022</w:t>
      </w:r>
      <w:r>
        <w:rPr>
          <w:rFonts w:ascii="仿宋" w:hAnsi="仿宋" w:eastAsia="仿宋"/>
          <w:color w:val="000000"/>
          <w:sz w:val="32"/>
          <w:u w:color="auto"/>
        </w:rPr>
        <w:t>年国有资本经营预算拨款支出0</w:t>
      </w:r>
      <w:r>
        <w:rPr>
          <w:rFonts w:hint="eastAsia" w:ascii="仿宋" w:hAnsi="仿宋" w:eastAsia="仿宋"/>
          <w:color w:val="000000"/>
          <w:sz w:val="32"/>
          <w:szCs w:val="32"/>
        </w:rPr>
        <w:t>万元。</w:t>
      </w:r>
    </w:p>
    <w:p>
      <w:pPr>
        <w:pStyle w:val="4"/>
        <w:ind w:firstLine="643" w:firstLineChars="200"/>
        <w:rPr>
          <w:rFonts w:ascii="黑体" w:eastAsia="黑体" w:cs="Times New Roman"/>
          <w:bCs w:val="0"/>
          <w:color w:val="000000"/>
        </w:rPr>
      </w:pPr>
      <w:bookmarkStart w:id="65" w:name="_Toc111208508"/>
      <w:bookmarkStart w:id="66" w:name="_Toc15377221"/>
      <w:bookmarkStart w:id="67" w:name="_Toc30403"/>
      <w:r>
        <w:rPr>
          <w:rFonts w:hint="eastAsia" w:ascii="黑体" w:eastAsia="黑体" w:cs="Times New Roman"/>
          <w:bCs w:val="0"/>
          <w:color w:val="000000"/>
        </w:rPr>
        <w:t>十、其他重要事项的情况说明</w:t>
      </w:r>
      <w:bookmarkEnd w:id="65"/>
      <w:bookmarkEnd w:id="66"/>
      <w:bookmarkEnd w:id="67"/>
    </w:p>
    <w:p>
      <w:pPr>
        <w:spacing w:line="600" w:lineRule="exact"/>
        <w:ind w:firstLine="643" w:firstLineChars="200"/>
        <w:outlineLvl w:val="2"/>
        <w:rPr>
          <w:rFonts w:ascii="仿宋" w:hAnsi="仿宋" w:eastAsia="仿宋"/>
          <w:b/>
          <w:color w:val="000000"/>
          <w:sz w:val="32"/>
          <w:szCs w:val="32"/>
        </w:rPr>
      </w:pPr>
      <w:bookmarkStart w:id="68" w:name="_Toc15377222"/>
      <w:r>
        <w:rPr>
          <w:rFonts w:hint="eastAsia" w:ascii="仿宋" w:hAnsi="仿宋" w:eastAsia="仿宋"/>
          <w:b/>
          <w:color w:val="000000"/>
          <w:sz w:val="32"/>
          <w:szCs w:val="32"/>
        </w:rPr>
        <w:t>（一）机关运行经费支出情况</w:t>
      </w:r>
      <w:bookmarkEnd w:id="6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年，机关运行经费支出19.07</w:t>
      </w:r>
      <w:r>
        <w:rPr>
          <w:rFonts w:hint="eastAsia" w:ascii="仿宋" w:hAnsi="仿宋" w:eastAsia="仿宋"/>
          <w:color w:val="000000"/>
          <w:sz w:val="32"/>
          <w:szCs w:val="32"/>
        </w:rPr>
        <w:t>万元，比</w:t>
      </w:r>
      <w:r>
        <w:rPr>
          <w:rFonts w:ascii="仿宋" w:hAnsi="仿宋" w:eastAsia="仿宋"/>
          <w:color w:val="000000"/>
          <w:sz w:val="32"/>
          <w:u w:color="auto"/>
        </w:rPr>
        <w:t>2021年增加0</w:t>
      </w:r>
      <w:r>
        <w:rPr>
          <w:rFonts w:hint="eastAsia" w:ascii="仿宋" w:hAnsi="仿宋" w:eastAsia="仿宋"/>
          <w:color w:val="000000"/>
          <w:sz w:val="32"/>
          <w:szCs w:val="32"/>
        </w:rPr>
        <w:t>万元</w:t>
      </w:r>
      <w:r>
        <w:rPr>
          <w:rFonts w:ascii="仿宋" w:hAnsi="仿宋" w:eastAsia="仿宋"/>
          <w:color w:val="000000"/>
          <w:sz w:val="32"/>
          <w:u w:color="auto"/>
        </w:rPr>
        <w:t xml:space="preserve">。 </w:t>
      </w:r>
    </w:p>
    <w:p>
      <w:pPr>
        <w:spacing w:line="600" w:lineRule="exact"/>
        <w:ind w:firstLine="643" w:firstLineChars="200"/>
        <w:outlineLvl w:val="2"/>
        <w:rPr>
          <w:rFonts w:ascii="仿宋" w:hAnsi="仿宋" w:eastAsia="仿宋"/>
          <w:b/>
          <w:color w:val="000000"/>
          <w:sz w:val="32"/>
          <w:szCs w:val="32"/>
        </w:rPr>
      </w:pPr>
      <w:bookmarkStart w:id="69" w:name="_Toc15377223"/>
      <w:r>
        <w:rPr>
          <w:rFonts w:hint="eastAsia" w:ascii="仿宋" w:hAnsi="仿宋" w:eastAsia="仿宋"/>
          <w:b/>
          <w:color w:val="000000"/>
          <w:sz w:val="32"/>
          <w:szCs w:val="32"/>
        </w:rPr>
        <w:t>（二）政府采购支出情况</w:t>
      </w:r>
      <w:bookmarkEnd w:id="69"/>
      <w:r>
        <w:rPr>
          <w:rFonts w:hint="eastAsia" w:ascii="仿宋" w:hAns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年，政府采购支出总额0</w:t>
      </w:r>
      <w:r>
        <w:rPr>
          <w:rFonts w:hint="eastAsia" w:ascii="仿宋" w:hAnsi="仿宋" w:eastAsia="仿宋"/>
          <w:color w:val="000000"/>
          <w:sz w:val="32"/>
          <w:szCs w:val="32"/>
        </w:rPr>
        <w:t>万元，其中：政府采购货物支出</w:t>
      </w:r>
      <w:r>
        <w:rPr>
          <w:rFonts w:ascii="仿宋" w:hAnsi="仿宋" w:eastAsia="仿宋"/>
          <w:color w:val="000000"/>
          <w:sz w:val="32"/>
          <w:u w:color="auto"/>
        </w:rPr>
        <w:t>0</w:t>
      </w:r>
      <w:r>
        <w:rPr>
          <w:rFonts w:hint="eastAsia" w:ascii="仿宋" w:hAnsi="仿宋" w:eastAsia="仿宋"/>
          <w:color w:val="000000"/>
          <w:sz w:val="32"/>
          <w:szCs w:val="32"/>
        </w:rPr>
        <w:t>万元、政府采购工程支出</w:t>
      </w:r>
      <w:r>
        <w:rPr>
          <w:rFonts w:ascii="仿宋" w:hAnsi="仿宋" w:eastAsia="仿宋"/>
          <w:color w:val="000000"/>
          <w:sz w:val="32"/>
          <w:u w:color="auto"/>
        </w:rPr>
        <w:t>0</w:t>
      </w:r>
      <w:r>
        <w:rPr>
          <w:rFonts w:hint="eastAsia" w:ascii="仿宋" w:hAnsi="仿宋" w:eastAsia="仿宋"/>
          <w:color w:val="000000"/>
          <w:sz w:val="32"/>
          <w:szCs w:val="32"/>
        </w:rPr>
        <w:t>万元、政府采购服务支出</w:t>
      </w:r>
      <w:r>
        <w:rPr>
          <w:rFonts w:ascii="仿宋" w:hAnsi="仿宋" w:eastAsia="仿宋"/>
          <w:color w:val="000000"/>
          <w:sz w:val="32"/>
          <w:u w:color="auto"/>
        </w:rPr>
        <w:t>0</w:t>
      </w:r>
      <w:r>
        <w:rPr>
          <w:rFonts w:hint="eastAsia" w:ascii="仿宋" w:hAnsi="仿宋" w:eastAsia="仿宋"/>
          <w:color w:val="000000"/>
          <w:sz w:val="32"/>
          <w:szCs w:val="32"/>
        </w:rPr>
        <w:t>万元。授予中小企业合同金额</w:t>
      </w:r>
      <w:r>
        <w:rPr>
          <w:rFonts w:ascii="仿宋" w:hAnsi="仿宋" w:eastAsia="仿宋"/>
          <w:color w:val="000000"/>
          <w:sz w:val="32"/>
          <w:u w:color="auto"/>
        </w:rPr>
        <w:t>0</w:t>
      </w:r>
      <w:r>
        <w:rPr>
          <w:rFonts w:hint="eastAsia" w:ascii="仿宋" w:hAnsi="仿宋" w:eastAsia="仿宋"/>
          <w:color w:val="000000"/>
          <w:sz w:val="32"/>
          <w:szCs w:val="32"/>
        </w:rPr>
        <w:t>万元，其中：授予小微企业合同金额</w:t>
      </w:r>
      <w:r>
        <w:rPr>
          <w:rFonts w:ascii="仿宋" w:hAnsi="仿宋" w:eastAsia="仿宋"/>
          <w:color w:val="000000"/>
          <w:sz w:val="32"/>
          <w:u w:color="auto"/>
        </w:rPr>
        <w:t>0</w:t>
      </w:r>
      <w:r>
        <w:rPr>
          <w:rFonts w:hint="eastAsia" w:ascii="仿宋" w:hAnsi="仿宋" w:eastAsia="仿宋"/>
          <w:color w:val="000000"/>
          <w:sz w:val="32"/>
          <w:szCs w:val="32"/>
        </w:rPr>
        <w:t>万元。</w:t>
      </w:r>
    </w:p>
    <w:p>
      <w:pPr>
        <w:spacing w:line="600" w:lineRule="exact"/>
        <w:ind w:firstLine="643" w:firstLineChars="200"/>
        <w:outlineLvl w:val="2"/>
        <w:rPr>
          <w:rFonts w:ascii="仿宋" w:hAnsi="仿宋" w:eastAsia="仿宋"/>
          <w:b/>
          <w:color w:val="000000"/>
          <w:sz w:val="32"/>
          <w:szCs w:val="32"/>
        </w:rPr>
      </w:pPr>
      <w:bookmarkStart w:id="70" w:name="_Toc15377224"/>
      <w:r>
        <w:rPr>
          <w:rFonts w:hint="eastAsia" w:ascii="仿宋" w:hAnsi="仿宋" w:eastAsia="仿宋"/>
          <w:b/>
          <w:color w:val="000000"/>
          <w:sz w:val="32"/>
          <w:szCs w:val="32"/>
        </w:rPr>
        <w:t>（三）国有资产占有使用情况</w:t>
      </w:r>
      <w:bookmarkEnd w:id="70"/>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截至</w:t>
      </w:r>
      <w:r>
        <w:rPr>
          <w:rFonts w:ascii="仿宋" w:hAnsi="仿宋" w:eastAsia="仿宋"/>
          <w:color w:val="000000"/>
          <w:sz w:val="32"/>
          <w:u w:color="auto"/>
        </w:rPr>
        <w:t>2022年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w:t>
      </w:r>
      <w:r>
        <w:rPr>
          <w:rFonts w:ascii="仿宋" w:hAnsi="仿宋" w:eastAsia="仿宋"/>
          <w:color w:val="000000"/>
          <w:sz w:val="32"/>
          <w:u w:color="auto"/>
        </w:rPr>
        <w:t>0辆，其中：主要领导干部用车0</w:t>
      </w:r>
      <w:r>
        <w:rPr>
          <w:rFonts w:hint="eastAsia" w:ascii="仿宋" w:hAnsi="仿宋" w:eastAsia="仿宋"/>
          <w:color w:val="000000"/>
          <w:sz w:val="32"/>
          <w:szCs w:val="32"/>
        </w:rPr>
        <w:t>辆、机要通信用车</w:t>
      </w:r>
      <w:r>
        <w:rPr>
          <w:rFonts w:ascii="仿宋" w:hAnsi="仿宋" w:eastAsia="仿宋"/>
          <w:color w:val="000000"/>
          <w:sz w:val="32"/>
          <w:u w:color="auto"/>
        </w:rPr>
        <w:t>0</w:t>
      </w:r>
      <w:r>
        <w:rPr>
          <w:rFonts w:hint="eastAsia" w:ascii="仿宋" w:hAnsi="仿宋" w:eastAsia="仿宋"/>
          <w:color w:val="000000"/>
          <w:sz w:val="32"/>
          <w:szCs w:val="32"/>
        </w:rPr>
        <w:t>辆、应急保障用车</w:t>
      </w:r>
      <w:r>
        <w:rPr>
          <w:rFonts w:ascii="仿宋" w:hAnsi="仿宋" w:eastAsia="仿宋"/>
          <w:color w:val="000000"/>
          <w:sz w:val="32"/>
          <w:u w:color="auto"/>
        </w:rPr>
        <w:t>0</w:t>
      </w:r>
      <w:r>
        <w:rPr>
          <w:rFonts w:hint="eastAsia" w:ascii="仿宋" w:hAnsi="仿宋" w:eastAsia="仿宋"/>
          <w:color w:val="000000"/>
          <w:sz w:val="32"/>
          <w:szCs w:val="32"/>
        </w:rPr>
        <w:t>辆、其他用车</w:t>
      </w:r>
      <w:r>
        <w:rPr>
          <w:rFonts w:ascii="仿宋" w:hAnsi="仿宋" w:eastAsia="仿宋"/>
          <w:color w:val="000000"/>
          <w:sz w:val="32"/>
          <w:u w:color="auto"/>
        </w:rPr>
        <w:t>0</w:t>
      </w:r>
      <w:r>
        <w:rPr>
          <w:rFonts w:hint="eastAsia" w:ascii="仿宋" w:hAnsi="仿宋" w:eastAsia="仿宋"/>
          <w:color w:val="000000"/>
          <w:sz w:val="32"/>
          <w:szCs w:val="32"/>
        </w:rPr>
        <w:t>辆。单价</w:t>
      </w:r>
      <w:r>
        <w:rPr>
          <w:rFonts w:ascii="仿宋" w:hAnsi="仿宋" w:eastAsia="仿宋"/>
          <w:color w:val="000000"/>
          <w:sz w:val="32"/>
          <w:szCs w:val="32"/>
        </w:rPr>
        <w:t>50</w:t>
      </w:r>
      <w:r>
        <w:rPr>
          <w:rFonts w:hint="eastAsia" w:ascii="仿宋" w:hAnsi="仿宋" w:eastAsia="仿宋"/>
          <w:color w:val="000000"/>
          <w:sz w:val="32"/>
          <w:szCs w:val="32"/>
        </w:rPr>
        <w:t>万元以上通用设备</w:t>
      </w:r>
      <w:r>
        <w:rPr>
          <w:rFonts w:ascii="仿宋" w:hAnsi="仿宋" w:eastAsia="仿宋"/>
          <w:color w:val="000000"/>
          <w:sz w:val="32"/>
          <w:u w:color="auto"/>
        </w:rPr>
        <w:t>0</w:t>
      </w:r>
      <w:r>
        <w:rPr>
          <w:rFonts w:hint="eastAsia" w:ascii="仿宋" w:hAnsi="仿宋" w:eastAsia="仿宋"/>
          <w:color w:val="000000"/>
          <w:sz w:val="32"/>
          <w:szCs w:val="32"/>
        </w:rPr>
        <w:t>台（套），单价</w:t>
      </w:r>
      <w:r>
        <w:rPr>
          <w:rFonts w:ascii="仿宋" w:hAnsi="仿宋" w:eastAsia="仿宋"/>
          <w:color w:val="000000"/>
          <w:sz w:val="32"/>
          <w:szCs w:val="32"/>
        </w:rPr>
        <w:t>100</w:t>
      </w:r>
      <w:r>
        <w:rPr>
          <w:rFonts w:hint="eastAsia" w:ascii="仿宋" w:hAnsi="仿宋" w:eastAsia="仿宋"/>
          <w:color w:val="000000"/>
          <w:sz w:val="32"/>
          <w:szCs w:val="32"/>
        </w:rPr>
        <w:t>万元以上专用设备</w:t>
      </w:r>
      <w:r>
        <w:rPr>
          <w:rFonts w:hint="eastAsia" w:ascii="仿宋" w:hAnsi="仿宋" w:eastAsia="仿宋"/>
          <w:color w:val="000000"/>
          <w:sz w:val="32"/>
          <w:u w:color="auto"/>
          <w:lang w:val="en-US" w:eastAsia="zh-CN"/>
        </w:rPr>
        <w:t>0</w:t>
      </w:r>
      <w:r>
        <w:rPr>
          <w:rFonts w:hint="eastAsia" w:ascii="仿宋" w:hAnsi="仿宋" w:eastAsia="仿宋"/>
          <w:color w:val="000000"/>
          <w:sz w:val="32"/>
          <w:szCs w:val="32"/>
        </w:rPr>
        <w:t>台（套）。</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pStyle w:val="2"/>
      </w:pPr>
      <w:r>
        <w:rPr>
          <w:rFonts w:hint="eastAsia"/>
        </w:rPr>
        <w:t xml:space="preserve"> </w:t>
      </w:r>
    </w:p>
    <w:p>
      <w:pPr>
        <w:widowControl/>
        <w:jc w:val="left"/>
        <w:rPr>
          <w:rFonts w:ascii="仿宋_GB2312" w:eastAsia="仿宋_GB2312"/>
          <w:b/>
          <w:color w:val="000000"/>
          <w:sz w:val="32"/>
          <w:szCs w:val="32"/>
        </w:rPr>
      </w:pPr>
      <w:r>
        <w:rPr>
          <w:rFonts w:hint="eastAsia" w:ascii="仿宋_GB2312" w:eastAsia="仿宋_GB2312"/>
          <w:b/>
          <w:color w:val="000000"/>
          <w:sz w:val="32"/>
          <w:szCs w:val="32"/>
          <w:lang w:eastAsia="zh-CN"/>
        </w:rPr>
        <w:t>无</w:t>
      </w:r>
      <w:r>
        <w:rPr>
          <w:rFonts w:ascii="仿宋_GB2312" w:eastAsia="仿宋_GB2312"/>
          <w:b/>
          <w:color w:val="000000"/>
          <w:sz w:val="32"/>
          <w:szCs w:val="32"/>
        </w:rPr>
        <w:br w:type="page"/>
      </w:r>
    </w:p>
    <w:p>
      <w:pPr>
        <w:pStyle w:val="3"/>
        <w:jc w:val="center"/>
        <w:rPr>
          <w:rFonts w:ascii="黑体" w:hAnsi="黑体" w:eastAsia="黑体" w:cs="黑体"/>
        </w:rPr>
      </w:pPr>
      <w:bookmarkStart w:id="71" w:name="_Toc16463"/>
      <w:bookmarkStart w:id="72" w:name="_Toc15377225"/>
      <w:bookmarkStart w:id="73" w:name="_Toc111208509"/>
      <w:r>
        <w:rPr>
          <w:rFonts w:hint="eastAsia" w:ascii="黑体" w:hAnsi="黑体" w:eastAsia="黑体" w:cs="黑体"/>
        </w:rPr>
        <w:t>第三部分 名词解释</w:t>
      </w:r>
      <w:bookmarkEnd w:id="71"/>
      <w:bookmarkEnd w:id="72"/>
      <w:bookmarkEnd w:id="73"/>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9.一般公共服务支出（201）政府办公厅（室）及相关机构事务（20103）事业运行（2010350）：反映事业单位的基本支出，不包括行政单位（包括实行公务员管理的事业单位）后勤服务中心、医务室等附属事业单位。</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10.社会保障和就业支出（208）行政事业单位养老支出（20805）机关事业单位基本养老保险缴费支出（2080505）：反映机关事业单位实施养老保险制度由单位缴纳的基本养老保险费支出。</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11.社会保障和就业支出（208）行政事业单位养老支出（20805）机关事业单位职业年金缴费支出（2080506）：反映机关事业单位实施养老保险制度由单位实际缴纳的职业年金支出。</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12.卫生健康支出（210）行政事业单位医疗（21011）事业单位医疗（2101102）：反映财政部门安排的事业单位基本医疗保险缴费经费，未参加医疗保险的事业单位的公费医疗经费，按国家规定享受离休人员待遇的医疗经费。</w:t>
      </w:r>
      <w:r>
        <w:rPr>
          <w:rFonts w:hint="eastAsia" w:ascii="仿宋" w:hAnsi="仿宋" w:eastAsia="仿宋"/>
          <w:color w:val="000000"/>
          <w:sz w:val="32"/>
          <w:szCs w:val="32"/>
        </w:rPr>
        <w:cr/>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13.住房保障支出（221）住房改革支出（22102）住房公积金（2210201）：反映行政事业单位按人力资源和社会保障部、财政部规定的基本工资和津贴补贴以及规定比例为职工缴纳的住房公积金。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14.基本支出：指为保障机构正常运转、完成日常工作任务而发生的人员支出和公用支出。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15</w:t>
      </w:r>
      <w:r>
        <w:rPr>
          <w:rFonts w:hint="eastAsia" w:ascii="仿宋" w:hAnsi="仿宋" w:eastAsia="仿宋"/>
          <w:color w:val="000000"/>
          <w:sz w:val="32"/>
          <w:szCs w:val="32"/>
        </w:rPr>
        <w:t xml:space="preserve">.项目支出：指在基本支出之外为完成特定行政任务和事业发展目标所发生的支出。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w:t>
      </w: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.经营支出：指事业单位在专业业务活动及其辅助活动之外开展非独立核算经营活动发生的支出。</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hAnsi="仿宋" w:eastAsia="仿宋"/>
          <w:color w:val="000000"/>
          <w:sz w:val="32"/>
          <w:szCs w:val="32"/>
        </w:rPr>
        <w:t>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.财政应返还额度：为行政事业单位会计核算科目，用于核算实行国库集中支付的行政事业单位应收财政返还的资金额度。</w:t>
      </w:r>
    </w:p>
    <w:p>
      <w:pPr>
        <w:widowControl/>
        <w:jc w:val="left"/>
        <w:rPr>
          <w:rStyle w:val="28"/>
          <w:rFonts w:ascii="黑体" w:hAnsi="黑体" w:eastAsia="黑体"/>
        </w:rPr>
      </w:pPr>
      <w:r>
        <w:rPr>
          <w:rStyle w:val="28"/>
          <w:rFonts w:ascii="黑体" w:hAnsi="黑体" w:eastAsia="黑体"/>
        </w:rPr>
        <w:br w:type="page"/>
      </w:r>
    </w:p>
    <w:p>
      <w:pPr>
        <w:pStyle w:val="3"/>
        <w:jc w:val="center"/>
        <w:rPr>
          <w:rFonts w:ascii="黑体" w:hAnsi="黑体" w:eastAsia="黑体" w:cs="黑体"/>
        </w:rPr>
      </w:pPr>
      <w:bookmarkStart w:id="74" w:name="_Toc111208510"/>
      <w:bookmarkStart w:id="75" w:name="_Toc25810"/>
      <w:r>
        <w:rPr>
          <w:rFonts w:hint="eastAsia" w:ascii="黑体" w:hAnsi="黑体" w:eastAsia="黑体" w:cs="黑体"/>
        </w:rPr>
        <w:t>第四部分 附件</w:t>
      </w:r>
      <w:bookmarkEnd w:id="74"/>
      <w:bookmarkEnd w:id="75"/>
    </w:p>
    <w:p>
      <w:pPr>
        <w:pStyle w:val="2"/>
        <w:rPr>
          <w:rFonts w:hint="eastAsia" w:eastAsia="宋体"/>
          <w:sz w:val="32"/>
          <w:szCs w:val="32"/>
          <w:lang w:val="en-US" w:eastAsia="zh-CN"/>
        </w:rPr>
      </w:pPr>
      <w:r>
        <w:rPr>
          <w:rFonts w:hint="eastAsia"/>
          <w:sz w:val="32"/>
          <w:szCs w:val="32"/>
        </w:rPr>
        <w:t xml:space="preserve"> </w:t>
      </w:r>
      <w:r>
        <w:rPr>
          <w:rFonts w:hint="eastAsia"/>
          <w:sz w:val="32"/>
          <w:szCs w:val="32"/>
          <w:lang w:eastAsia="zh-CN"/>
        </w:rPr>
        <w:t>无</w:t>
      </w:r>
    </w:p>
    <w:p>
      <w:pPr>
        <w:pStyle w:val="3"/>
        <w:jc w:val="center"/>
        <w:rPr>
          <w:rFonts w:ascii="黑体" w:hAnsi="黑体" w:eastAsia="黑体" w:cs="黑体"/>
        </w:rPr>
      </w:pPr>
      <w:bookmarkStart w:id="76" w:name="_Toc79163635"/>
      <w:bookmarkStart w:id="77" w:name="_Toc3074"/>
      <w:bookmarkStart w:id="78" w:name="_Toc79163885"/>
      <w:bookmarkStart w:id="79" w:name="_Toc111208512"/>
      <w:r>
        <w:rPr>
          <w:rFonts w:hint="eastAsia" w:ascii="黑体" w:hAnsi="黑体" w:eastAsia="黑体" w:cs="黑体"/>
        </w:rPr>
        <w:t>第五部分 附表</w:t>
      </w:r>
      <w:bookmarkEnd w:id="76"/>
      <w:bookmarkEnd w:id="77"/>
      <w:bookmarkEnd w:id="78"/>
      <w:bookmarkEnd w:id="79"/>
    </w:p>
    <w:p>
      <w:pPr>
        <w:pStyle w:val="4"/>
        <w:ind w:firstLine="643" w:firstLineChars="200"/>
        <w:rPr>
          <w:rFonts w:hint="eastAsia" w:ascii="仿宋" w:hAnsi="仿宋" w:eastAsia="仿宋" w:cs="仿宋"/>
          <w:bCs w:val="0"/>
          <w:color w:val="000000"/>
        </w:rPr>
      </w:pPr>
      <w:bookmarkStart w:id="80" w:name="_Toc20411"/>
      <w:r>
        <w:rPr>
          <w:rFonts w:hint="eastAsia" w:ascii="仿宋" w:hAnsi="仿宋" w:eastAsia="仿宋" w:cs="仿宋"/>
          <w:bCs w:val="0"/>
          <w:color w:val="000000"/>
        </w:rPr>
        <w:t>一、收入支出决算总表</w:t>
      </w:r>
      <w:bookmarkEnd w:id="80"/>
    </w:p>
    <w:p>
      <w:pPr>
        <w:pStyle w:val="4"/>
        <w:ind w:firstLine="643" w:firstLineChars="200"/>
        <w:rPr>
          <w:rFonts w:hint="eastAsia" w:ascii="仿宋" w:hAnsi="仿宋" w:eastAsia="仿宋" w:cs="仿宋"/>
          <w:bCs w:val="0"/>
          <w:color w:val="000000"/>
        </w:rPr>
      </w:pPr>
      <w:bookmarkStart w:id="81" w:name="_Toc12897"/>
      <w:r>
        <w:rPr>
          <w:rFonts w:hint="eastAsia" w:ascii="仿宋" w:hAnsi="仿宋" w:eastAsia="仿宋" w:cs="仿宋"/>
          <w:bCs w:val="0"/>
          <w:color w:val="000000"/>
        </w:rPr>
        <w:t>二、收入决算表</w:t>
      </w:r>
      <w:bookmarkEnd w:id="81"/>
    </w:p>
    <w:p>
      <w:pPr>
        <w:pStyle w:val="4"/>
        <w:ind w:firstLine="643" w:firstLineChars="200"/>
        <w:rPr>
          <w:rFonts w:hint="eastAsia" w:ascii="仿宋" w:hAnsi="仿宋" w:eastAsia="仿宋" w:cs="仿宋"/>
          <w:bCs w:val="0"/>
          <w:color w:val="000000"/>
        </w:rPr>
      </w:pPr>
      <w:bookmarkStart w:id="82" w:name="_Toc13296"/>
      <w:r>
        <w:rPr>
          <w:rFonts w:hint="eastAsia" w:ascii="仿宋" w:hAnsi="仿宋" w:eastAsia="仿宋" w:cs="仿宋"/>
          <w:bCs w:val="0"/>
          <w:color w:val="000000"/>
        </w:rPr>
        <w:t>三、支出决算表</w:t>
      </w:r>
      <w:bookmarkEnd w:id="82"/>
    </w:p>
    <w:p>
      <w:pPr>
        <w:pStyle w:val="4"/>
        <w:ind w:firstLine="643" w:firstLineChars="200"/>
        <w:rPr>
          <w:rFonts w:hint="eastAsia" w:ascii="仿宋" w:hAnsi="仿宋" w:eastAsia="仿宋" w:cs="仿宋"/>
          <w:bCs w:val="0"/>
          <w:color w:val="000000"/>
        </w:rPr>
      </w:pPr>
      <w:bookmarkStart w:id="83" w:name="_Toc23025"/>
      <w:r>
        <w:rPr>
          <w:rFonts w:hint="eastAsia" w:ascii="仿宋" w:hAnsi="仿宋" w:eastAsia="仿宋" w:cs="仿宋"/>
          <w:bCs w:val="0"/>
          <w:color w:val="000000"/>
        </w:rPr>
        <w:t>四、财政拨款收入支出决算总表</w:t>
      </w:r>
      <w:bookmarkEnd w:id="83"/>
    </w:p>
    <w:p>
      <w:pPr>
        <w:pStyle w:val="4"/>
        <w:ind w:firstLine="643" w:firstLineChars="200"/>
        <w:rPr>
          <w:rFonts w:hint="eastAsia" w:ascii="仿宋" w:hAnsi="仿宋" w:eastAsia="仿宋" w:cs="仿宋"/>
          <w:bCs w:val="0"/>
          <w:color w:val="000000"/>
        </w:rPr>
      </w:pPr>
      <w:bookmarkStart w:id="84" w:name="_Toc12880"/>
      <w:r>
        <w:rPr>
          <w:rFonts w:hint="eastAsia" w:ascii="仿宋" w:hAnsi="仿宋" w:eastAsia="仿宋" w:cs="仿宋"/>
          <w:bCs w:val="0"/>
          <w:color w:val="000000"/>
        </w:rPr>
        <w:t>五、财政拨款支出决算明细表</w:t>
      </w:r>
      <w:bookmarkEnd w:id="84"/>
    </w:p>
    <w:p>
      <w:pPr>
        <w:pStyle w:val="4"/>
        <w:ind w:firstLine="643" w:firstLineChars="200"/>
        <w:rPr>
          <w:rFonts w:hint="eastAsia" w:ascii="仿宋" w:hAnsi="仿宋" w:eastAsia="仿宋" w:cs="仿宋"/>
          <w:bCs w:val="0"/>
          <w:color w:val="000000"/>
        </w:rPr>
      </w:pPr>
      <w:bookmarkStart w:id="85" w:name="_Toc10945"/>
      <w:r>
        <w:rPr>
          <w:rFonts w:hint="eastAsia" w:ascii="仿宋" w:hAnsi="仿宋" w:eastAsia="仿宋" w:cs="仿宋"/>
          <w:bCs w:val="0"/>
          <w:color w:val="000000"/>
        </w:rPr>
        <w:t>六、一般公共预算财政拨款支出决算表</w:t>
      </w:r>
      <w:bookmarkEnd w:id="85"/>
    </w:p>
    <w:p>
      <w:pPr>
        <w:pStyle w:val="4"/>
        <w:ind w:firstLine="643" w:firstLineChars="200"/>
        <w:rPr>
          <w:rFonts w:hint="eastAsia" w:ascii="仿宋" w:hAnsi="仿宋" w:eastAsia="仿宋" w:cs="仿宋"/>
          <w:bCs w:val="0"/>
          <w:color w:val="000000"/>
        </w:rPr>
      </w:pPr>
      <w:bookmarkStart w:id="86" w:name="_Toc23218"/>
      <w:r>
        <w:rPr>
          <w:rFonts w:hint="eastAsia" w:ascii="仿宋" w:hAnsi="仿宋" w:eastAsia="仿宋" w:cs="仿宋"/>
          <w:bCs w:val="0"/>
          <w:color w:val="000000"/>
        </w:rPr>
        <w:t>七、一般公共预算财政拨款支出决算明细表</w:t>
      </w:r>
      <w:bookmarkEnd w:id="86"/>
    </w:p>
    <w:p>
      <w:pPr>
        <w:pStyle w:val="4"/>
        <w:ind w:firstLine="643" w:firstLineChars="200"/>
        <w:rPr>
          <w:rFonts w:hint="eastAsia" w:ascii="仿宋" w:hAnsi="仿宋" w:eastAsia="仿宋" w:cs="仿宋"/>
          <w:bCs w:val="0"/>
          <w:color w:val="000000"/>
        </w:rPr>
      </w:pPr>
      <w:bookmarkStart w:id="87" w:name="_Toc25924"/>
      <w:r>
        <w:rPr>
          <w:rFonts w:hint="eastAsia" w:ascii="仿宋" w:hAnsi="仿宋" w:eastAsia="仿宋" w:cs="仿宋"/>
          <w:bCs w:val="0"/>
          <w:color w:val="000000"/>
        </w:rPr>
        <w:t>八、一般公共预算财政拨款基本支出决算表</w:t>
      </w:r>
      <w:bookmarkEnd w:id="87"/>
    </w:p>
    <w:p>
      <w:pPr>
        <w:pStyle w:val="4"/>
        <w:ind w:firstLine="643" w:firstLineChars="200"/>
        <w:rPr>
          <w:rFonts w:hint="eastAsia" w:ascii="仿宋" w:hAnsi="仿宋" w:eastAsia="仿宋" w:cs="仿宋"/>
          <w:bCs w:val="0"/>
          <w:color w:val="000000"/>
        </w:rPr>
      </w:pPr>
      <w:bookmarkStart w:id="88" w:name="_Toc975"/>
      <w:r>
        <w:rPr>
          <w:rFonts w:hint="eastAsia" w:ascii="仿宋" w:hAnsi="仿宋" w:eastAsia="仿宋" w:cs="仿宋"/>
          <w:bCs w:val="0"/>
          <w:color w:val="000000"/>
        </w:rPr>
        <w:t>九、一般公共预算财政拨款项目支出决算表</w:t>
      </w:r>
      <w:bookmarkEnd w:id="88"/>
    </w:p>
    <w:p>
      <w:pPr>
        <w:pStyle w:val="4"/>
        <w:ind w:firstLine="643" w:firstLineChars="200"/>
        <w:rPr>
          <w:rFonts w:hint="eastAsia" w:ascii="仿宋" w:hAnsi="仿宋" w:eastAsia="仿宋" w:cs="仿宋"/>
          <w:bCs w:val="0"/>
          <w:color w:val="000000"/>
        </w:rPr>
      </w:pPr>
      <w:bookmarkStart w:id="89" w:name="_Toc1304"/>
      <w:r>
        <w:rPr>
          <w:rFonts w:hint="eastAsia" w:ascii="仿宋" w:hAnsi="仿宋" w:eastAsia="仿宋" w:cs="仿宋"/>
          <w:bCs w:val="0"/>
          <w:color w:val="000000"/>
        </w:rPr>
        <w:t>十、政府性基金预算财政拨款收入支出决算表</w:t>
      </w:r>
      <w:bookmarkEnd w:id="89"/>
    </w:p>
    <w:p>
      <w:pPr>
        <w:pStyle w:val="4"/>
        <w:ind w:firstLine="643" w:firstLineChars="200"/>
        <w:rPr>
          <w:rFonts w:hint="eastAsia" w:ascii="仿宋" w:hAnsi="仿宋" w:eastAsia="仿宋" w:cs="仿宋"/>
          <w:bCs w:val="0"/>
          <w:color w:val="000000"/>
        </w:rPr>
      </w:pPr>
      <w:bookmarkStart w:id="90" w:name="_Toc25457"/>
      <w:r>
        <w:rPr>
          <w:rFonts w:hint="eastAsia" w:ascii="仿宋" w:hAnsi="仿宋" w:eastAsia="仿宋" w:cs="仿宋"/>
          <w:bCs w:val="0"/>
          <w:color w:val="000000"/>
        </w:rPr>
        <w:t>十一、国有资本经营预算财政拨款收入支出决算表</w:t>
      </w:r>
      <w:bookmarkEnd w:id="90"/>
    </w:p>
    <w:p>
      <w:pPr>
        <w:pStyle w:val="4"/>
        <w:ind w:firstLine="643" w:firstLineChars="200"/>
        <w:rPr>
          <w:rFonts w:hint="eastAsia" w:ascii="仿宋" w:hAnsi="仿宋" w:eastAsia="仿宋" w:cs="仿宋"/>
          <w:bCs w:val="0"/>
          <w:color w:val="000000"/>
        </w:rPr>
      </w:pPr>
      <w:bookmarkStart w:id="91" w:name="_Toc30460"/>
      <w:r>
        <w:rPr>
          <w:rFonts w:hint="eastAsia" w:ascii="仿宋" w:hAnsi="仿宋" w:eastAsia="仿宋" w:cs="仿宋"/>
          <w:bCs w:val="0"/>
          <w:color w:val="000000"/>
        </w:rPr>
        <w:t>十二、国有资本经营预算财政拨款支出决算表</w:t>
      </w:r>
      <w:bookmarkEnd w:id="91"/>
    </w:p>
    <w:p>
      <w:pPr>
        <w:pStyle w:val="4"/>
        <w:ind w:firstLine="643" w:firstLineChars="200"/>
        <w:rPr>
          <w:rFonts w:hint="eastAsia" w:ascii="仿宋" w:hAnsi="仿宋" w:eastAsia="仿宋" w:cs="仿宋"/>
          <w:b w:val="0"/>
          <w:color w:val="000000"/>
        </w:rPr>
      </w:pPr>
      <w:bookmarkStart w:id="92" w:name="_Toc28937"/>
      <w:r>
        <w:rPr>
          <w:rFonts w:hint="eastAsia" w:ascii="仿宋" w:hAnsi="仿宋" w:eastAsia="仿宋" w:cs="仿宋"/>
          <w:bCs w:val="0"/>
          <w:color w:val="000000"/>
        </w:rPr>
        <w:t>十三、财政拨款“三公”经费支出决算表</w:t>
      </w:r>
      <w:bookmarkEnd w:id="9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9249B5"/>
    <w:multiLevelType w:val="singleLevel"/>
    <w:tmpl w:val="C19249B5"/>
    <w:lvl w:ilvl="0" w:tentative="0">
      <w:start w:val="1"/>
      <w:numFmt w:val="decimal"/>
      <w:lvlText w:val="%1."/>
      <w:lvlJc w:val="left"/>
      <w:pPr>
        <w:tabs>
          <w:tab w:val="left" w:pos="312"/>
        </w:tabs>
      </w:pPr>
    </w:lvl>
  </w:abstractNum>
  <w:abstractNum w:abstractNumId="1">
    <w:nsid w:val="6A23D0DA"/>
    <w:multiLevelType w:val="singleLevel"/>
    <w:tmpl w:val="6A23D0DA"/>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M2OGQ3ZDc3NGQ3MmExZjk1YTg4MDIzOGFhN2Q4ZjY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5FA"/>
    <w:rsid w:val="00887A58"/>
    <w:rsid w:val="008918AA"/>
    <w:rsid w:val="008918C9"/>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5647CC"/>
    <w:rsid w:val="0463543B"/>
    <w:rsid w:val="048D6B52"/>
    <w:rsid w:val="04A56E6E"/>
    <w:rsid w:val="04D550AF"/>
    <w:rsid w:val="051A6F96"/>
    <w:rsid w:val="05C25E8C"/>
    <w:rsid w:val="06951176"/>
    <w:rsid w:val="07001BE1"/>
    <w:rsid w:val="07267DE7"/>
    <w:rsid w:val="088F55D5"/>
    <w:rsid w:val="089C4B49"/>
    <w:rsid w:val="09081517"/>
    <w:rsid w:val="091B747D"/>
    <w:rsid w:val="0A19737C"/>
    <w:rsid w:val="0B7218AA"/>
    <w:rsid w:val="0B99373B"/>
    <w:rsid w:val="0BA37CB5"/>
    <w:rsid w:val="0D0429D6"/>
    <w:rsid w:val="0D093B48"/>
    <w:rsid w:val="0D322E51"/>
    <w:rsid w:val="0D6C338E"/>
    <w:rsid w:val="0DB37F58"/>
    <w:rsid w:val="0DDC2020"/>
    <w:rsid w:val="0E6D2010"/>
    <w:rsid w:val="0F5E6610"/>
    <w:rsid w:val="0FDB629D"/>
    <w:rsid w:val="10C055FF"/>
    <w:rsid w:val="11761AF6"/>
    <w:rsid w:val="11851C0B"/>
    <w:rsid w:val="11D56DF6"/>
    <w:rsid w:val="11ED6591"/>
    <w:rsid w:val="13367661"/>
    <w:rsid w:val="15F1786F"/>
    <w:rsid w:val="16A7275E"/>
    <w:rsid w:val="16BB723D"/>
    <w:rsid w:val="17283764"/>
    <w:rsid w:val="17BC7656"/>
    <w:rsid w:val="17EA348C"/>
    <w:rsid w:val="1840212F"/>
    <w:rsid w:val="184656CF"/>
    <w:rsid w:val="193C261A"/>
    <w:rsid w:val="19943114"/>
    <w:rsid w:val="19DE22C0"/>
    <w:rsid w:val="1A652C1E"/>
    <w:rsid w:val="1AB026BC"/>
    <w:rsid w:val="1ABB32B6"/>
    <w:rsid w:val="1BF70747"/>
    <w:rsid w:val="1C06153F"/>
    <w:rsid w:val="1C986C96"/>
    <w:rsid w:val="1D7371C3"/>
    <w:rsid w:val="1DDC2BB3"/>
    <w:rsid w:val="1E34479D"/>
    <w:rsid w:val="1EF81F78"/>
    <w:rsid w:val="1F620905"/>
    <w:rsid w:val="201A6AB0"/>
    <w:rsid w:val="203B66A0"/>
    <w:rsid w:val="211A679A"/>
    <w:rsid w:val="22CD4467"/>
    <w:rsid w:val="23902475"/>
    <w:rsid w:val="23FA0B3C"/>
    <w:rsid w:val="240371BF"/>
    <w:rsid w:val="2435534E"/>
    <w:rsid w:val="24534F10"/>
    <w:rsid w:val="24DF6C66"/>
    <w:rsid w:val="253D03DB"/>
    <w:rsid w:val="25A20B86"/>
    <w:rsid w:val="25B1070F"/>
    <w:rsid w:val="25DD571A"/>
    <w:rsid w:val="265C1D1F"/>
    <w:rsid w:val="26BB36DB"/>
    <w:rsid w:val="271C5A93"/>
    <w:rsid w:val="276F1834"/>
    <w:rsid w:val="27B459F9"/>
    <w:rsid w:val="27C51E91"/>
    <w:rsid w:val="28513369"/>
    <w:rsid w:val="28BF6D42"/>
    <w:rsid w:val="29FD04D3"/>
    <w:rsid w:val="2AA82678"/>
    <w:rsid w:val="2C1E1BB4"/>
    <w:rsid w:val="2CAE1BBE"/>
    <w:rsid w:val="2CCF04B2"/>
    <w:rsid w:val="2DF079DB"/>
    <w:rsid w:val="2E4C04E0"/>
    <w:rsid w:val="2F803D16"/>
    <w:rsid w:val="30CB71E3"/>
    <w:rsid w:val="30E36C85"/>
    <w:rsid w:val="31810DA9"/>
    <w:rsid w:val="31903F88"/>
    <w:rsid w:val="319F7F4E"/>
    <w:rsid w:val="323A1C2F"/>
    <w:rsid w:val="329448A6"/>
    <w:rsid w:val="32F45598"/>
    <w:rsid w:val="33447C07"/>
    <w:rsid w:val="35244754"/>
    <w:rsid w:val="364D41F6"/>
    <w:rsid w:val="36FD0156"/>
    <w:rsid w:val="38207F4E"/>
    <w:rsid w:val="38F8371D"/>
    <w:rsid w:val="39226F5F"/>
    <w:rsid w:val="394C17EB"/>
    <w:rsid w:val="39902098"/>
    <w:rsid w:val="3A3A0F35"/>
    <w:rsid w:val="3A4E1148"/>
    <w:rsid w:val="3A92629C"/>
    <w:rsid w:val="3AF15A98"/>
    <w:rsid w:val="3C8D2F9D"/>
    <w:rsid w:val="3CE0510E"/>
    <w:rsid w:val="3D0E3B71"/>
    <w:rsid w:val="3D1927CA"/>
    <w:rsid w:val="3D1E4B3E"/>
    <w:rsid w:val="3D8344ED"/>
    <w:rsid w:val="3E03620E"/>
    <w:rsid w:val="3E343C22"/>
    <w:rsid w:val="3F512FA9"/>
    <w:rsid w:val="3FAC4683"/>
    <w:rsid w:val="3FEA5DFB"/>
    <w:rsid w:val="401C35B7"/>
    <w:rsid w:val="4119235A"/>
    <w:rsid w:val="41677310"/>
    <w:rsid w:val="422C2C46"/>
    <w:rsid w:val="4251506E"/>
    <w:rsid w:val="42B75819"/>
    <w:rsid w:val="43684120"/>
    <w:rsid w:val="444F07DA"/>
    <w:rsid w:val="44601E28"/>
    <w:rsid w:val="475E72DC"/>
    <w:rsid w:val="47F514AF"/>
    <w:rsid w:val="4839282C"/>
    <w:rsid w:val="48FD75BD"/>
    <w:rsid w:val="494008F6"/>
    <w:rsid w:val="49CC0B90"/>
    <w:rsid w:val="4A745623"/>
    <w:rsid w:val="4B187071"/>
    <w:rsid w:val="4D135D42"/>
    <w:rsid w:val="4D846266"/>
    <w:rsid w:val="4D8D78A2"/>
    <w:rsid w:val="4DF123A8"/>
    <w:rsid w:val="4E832A53"/>
    <w:rsid w:val="4F6F7A34"/>
    <w:rsid w:val="4FD74194"/>
    <w:rsid w:val="4FDA49F5"/>
    <w:rsid w:val="4FE80A7A"/>
    <w:rsid w:val="50AE413E"/>
    <w:rsid w:val="51666B2D"/>
    <w:rsid w:val="51E1640E"/>
    <w:rsid w:val="51EE42CA"/>
    <w:rsid w:val="52302EF2"/>
    <w:rsid w:val="52ED6284"/>
    <w:rsid w:val="5322283B"/>
    <w:rsid w:val="532B0C13"/>
    <w:rsid w:val="53BA6F17"/>
    <w:rsid w:val="53BE2B80"/>
    <w:rsid w:val="541505F1"/>
    <w:rsid w:val="54992FD0"/>
    <w:rsid w:val="55872E29"/>
    <w:rsid w:val="567011BE"/>
    <w:rsid w:val="56D0674C"/>
    <w:rsid w:val="58BA52C3"/>
    <w:rsid w:val="58BC5D23"/>
    <w:rsid w:val="58FE1654"/>
    <w:rsid w:val="59E11CD3"/>
    <w:rsid w:val="5A857BDE"/>
    <w:rsid w:val="5BE202EA"/>
    <w:rsid w:val="5CFA7F1D"/>
    <w:rsid w:val="5DF9063C"/>
    <w:rsid w:val="5E2506F8"/>
    <w:rsid w:val="5E5E7F75"/>
    <w:rsid w:val="5EA316D6"/>
    <w:rsid w:val="5ECE1AC8"/>
    <w:rsid w:val="5F3A07D2"/>
    <w:rsid w:val="5F593A88"/>
    <w:rsid w:val="5FF901AE"/>
    <w:rsid w:val="60651EAC"/>
    <w:rsid w:val="60AC3890"/>
    <w:rsid w:val="60BB3927"/>
    <w:rsid w:val="62A42EE2"/>
    <w:rsid w:val="62F14F12"/>
    <w:rsid w:val="630D013F"/>
    <w:rsid w:val="63347FC4"/>
    <w:rsid w:val="63604CB9"/>
    <w:rsid w:val="64A36D0B"/>
    <w:rsid w:val="64C656C1"/>
    <w:rsid w:val="64F77166"/>
    <w:rsid w:val="658466A7"/>
    <w:rsid w:val="65DF63C9"/>
    <w:rsid w:val="662A7F2C"/>
    <w:rsid w:val="66D65FFA"/>
    <w:rsid w:val="67EB36EB"/>
    <w:rsid w:val="68DA2DB6"/>
    <w:rsid w:val="694624C3"/>
    <w:rsid w:val="69725134"/>
    <w:rsid w:val="6B4666B6"/>
    <w:rsid w:val="6CC85DA9"/>
    <w:rsid w:val="6D2A5F93"/>
    <w:rsid w:val="6D3D6CD6"/>
    <w:rsid w:val="6D8F2D6B"/>
    <w:rsid w:val="6DB91990"/>
    <w:rsid w:val="6DC31436"/>
    <w:rsid w:val="6ECB49CF"/>
    <w:rsid w:val="6ECB5A2B"/>
    <w:rsid w:val="6EFC2F1A"/>
    <w:rsid w:val="70202A42"/>
    <w:rsid w:val="709126D5"/>
    <w:rsid w:val="70ED3F4C"/>
    <w:rsid w:val="72227D09"/>
    <w:rsid w:val="72E476B5"/>
    <w:rsid w:val="73BE3A62"/>
    <w:rsid w:val="746C7E4B"/>
    <w:rsid w:val="750E6C6B"/>
    <w:rsid w:val="755E374E"/>
    <w:rsid w:val="75B310E7"/>
    <w:rsid w:val="75B318F4"/>
    <w:rsid w:val="76292932"/>
    <w:rsid w:val="76377F56"/>
    <w:rsid w:val="764B35A7"/>
    <w:rsid w:val="769E6A57"/>
    <w:rsid w:val="77B238DE"/>
    <w:rsid w:val="78A4106B"/>
    <w:rsid w:val="79975481"/>
    <w:rsid w:val="79F60BE5"/>
    <w:rsid w:val="7A1B4027"/>
    <w:rsid w:val="7A965738"/>
    <w:rsid w:val="7ABC1C9C"/>
    <w:rsid w:val="7B022DCE"/>
    <w:rsid w:val="7B272834"/>
    <w:rsid w:val="7B8F71DF"/>
    <w:rsid w:val="7C1568F9"/>
    <w:rsid w:val="7CB2612E"/>
    <w:rsid w:val="7CC25607"/>
    <w:rsid w:val="7DE859ED"/>
    <w:rsid w:val="7E4C610E"/>
    <w:rsid w:val="7F09108F"/>
    <w:rsid w:val="7F11601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字符"/>
    <w:basedOn w:val="16"/>
    <w:link w:val="3"/>
    <w:qFormat/>
    <w:uiPriority w:val="9"/>
    <w:rPr>
      <w:rFonts w:ascii="Times New Roman" w:hAnsi="Times New Roman"/>
      <w:b/>
      <w:bCs/>
      <w:kern w:val="44"/>
      <w:sz w:val="44"/>
      <w:szCs w:val="44"/>
    </w:rPr>
  </w:style>
  <w:style w:type="character" w:customStyle="1" w:styleId="29">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5"/>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{126.28,152.75}</c:f>
              <c:numCache>
                <c:formatCode>General</c:formatCode>
                <c:ptCount val="2"/>
                <c:pt idx="0">
                  <c:v>126.28</c:v>
                </c:pt>
                <c:pt idx="1">
                  <c:v>152.75</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{126.28,152.75}</c:f>
              <c:numCache>
                <c:formatCode>General</c:formatCode>
                <c:ptCount val="2"/>
                <c:pt idx="0">
                  <c:v>126.28</c:v>
                </c:pt>
                <c:pt idx="1">
                  <c:v>152.75</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{1527486.25,0,0,0,0,0,0,0}</c:f>
              <c:numCache>
                <c:formatCode>General</c:formatCode>
                <c:ptCount val="8"/>
                <c:pt idx="0">
                  <c:v>1527486.25</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{1527486.25,0,0,0,0}</c:f>
              <c:numCache>
                <c:formatCode>General</c:formatCode>
                <c:ptCount val="5"/>
                <c:pt idx="0">
                  <c:v>1527486.25</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{126.28,152.75}</c:f>
              <c:numCache>
                <c:formatCode>General</c:formatCode>
                <c:ptCount val="2"/>
                <c:pt idx="0">
                  <c:v>126.28</c:v>
                </c:pt>
                <c:pt idx="1">
                  <c:v>152.75</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{126.28,152.75}</c:f>
              <c:numCache>
                <c:formatCode>General</c:formatCode>
                <c:ptCount val="2"/>
                <c:pt idx="0">
                  <c:v>126.28</c:v>
                </c:pt>
                <c:pt idx="1">
                  <c:v>152.75</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{126.28}</c:f>
              <c:numCache>
                <c:formatCode>General</c:formatCode>
                <c:ptCount val="1"/>
                <c:pt idx="0">
                  <c:v>126.28</c:v>
                </c:pt>
              </c:numCache>
            </c:numRef>
          </c:val>
        </c:ser>
        <c:ser>
          <c:idx val="2"/>
          <c:order val="1"/>
          <c:tx>
            <c:strRef>
              <c:f>2022</c:f>
              <c:strCache>
                <c:ptCount val="1"/>
                <c:pt idx="0">
                  <c:v>2022</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{152.75}</c:f>
              <c:numCache>
                <c:formatCode>General</c:formatCode>
                <c:ptCount val="1"/>
                <c:pt idx="0">
                  <c:v>152.75</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{"一般公共服务支出","社会保障和就业支出","卫生健康支出","住房保障支出"}</c:f>
              <c:strCache>
                <c:ptCount val="4"/>
                <c:pt idx="0">
                  <c:v>一般公共服务支出</c:v>
                </c:pt>
                <c:pt idx="1">
                  <c:v>社会保障和就业支出</c:v>
                </c:pt>
                <c:pt idx="2">
                  <c:v>卫生健康支出</c:v>
                </c:pt>
                <c:pt idx="3">
                  <c:v>住房保障支出</c:v>
                </c:pt>
              </c:strCache>
            </c:strRef>
          </c:cat>
          <c:val>
            <c:numRef>
              <c:f>{113.06,20.48,8.06,11.15}</c:f>
              <c:numCache>
                <c:formatCode>General</c:formatCode>
                <c:ptCount val="4"/>
                <c:pt idx="0">
                  <c:v>113.06</c:v>
                </c:pt>
                <c:pt idx="1">
                  <c:v>20.48</c:v>
                </c:pt>
                <c:pt idx="2">
                  <c:v>8.06</c:v>
                </c:pt>
                <c:pt idx="3">
                  <c:v>11.15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{0,0,0.08}</c:f>
              <c:numCache>
                <c:formatCode>General</c:formatCode>
                <c:ptCount val="3"/>
                <c:pt idx="0">
                  <c:v>0</c:v>
                </c:pt>
                <c:pt idx="1">
                  <c:v>0</c:v>
                </c:pt>
                <c:pt idx="2">
                  <c:v>0.08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6002</Words>
  <Characters>6728</Characters>
  <Lines>51</Lines>
  <Paragraphs>14</Paragraphs>
  <TotalTime>0</TotalTime>
  <ScaleCrop>false</ScaleCrop>
  <LinksUpToDate>false</LinksUpToDate>
  <CharactersWithSpaces>6832</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Lenovo</cp:lastModifiedBy>
  <cp:lastPrinted>2023-09-14T09:12:00Z</cp:lastPrinted>
  <dcterms:modified xsi:type="dcterms:W3CDTF">2023-09-14T09:38:13Z</dcterms:modified>
  <dc:title>四川省决算编制说明</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D7806FF8CDDC4B8C9BF507CEA5662F7C_13</vt:lpwstr>
  </property>
</Properties>
</file>