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ind w:left="0" w:right="0"/>
        <w:jc w:val="center"/>
        <w:rPr>
          <w:rFonts w:hint="eastAsia" w:ascii="方正小标宋简体" w:hAnsi="宋体" w:eastAsia="方正小标宋简体" w:cs="Times New Roman"/>
          <w:kern w:val="2"/>
          <w:sz w:val="44"/>
          <w:szCs w:val="44"/>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3</w:t>
      </w:r>
      <w:r>
        <w:rPr>
          <w:rFonts w:hint="eastAsia" w:ascii="方正小标宋简体" w:hAnsi="方正小标宋简体" w:eastAsia="方正小标宋简体" w:cs="方正小标宋简体"/>
          <w:sz w:val="52"/>
          <w:szCs w:val="52"/>
        </w:rPr>
        <w:t>年度</w:t>
      </w:r>
    </w:p>
    <w:p>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bookmarkStart w:id="0" w:name="_Toc15378442"/>
      <w:bookmarkStart w:id="1" w:name="_Toc15396598"/>
      <w:bookmarkStart w:id="2" w:name="_Toc15396476"/>
      <w:bookmarkStart w:id="3" w:name="_Toc15377426"/>
      <w:bookmarkStart w:id="4" w:name="_Toc15377194"/>
      <w:r>
        <w:rPr>
          <w:rFonts w:hint="eastAsia" w:ascii="方正小标宋简体" w:hAnsi="方正小标宋简体" w:eastAsia="方正小标宋简体" w:cs="方正小标宋简体"/>
          <w:sz w:val="52"/>
          <w:szCs w:val="52"/>
        </w:rPr>
        <w:t>四川省</w:t>
      </w:r>
      <w:bookmarkStart w:id="5" w:name="_Toc15306268"/>
      <w:r>
        <w:rPr>
          <w:rFonts w:hint="eastAsia" w:ascii="方正小标宋简体" w:hAnsi="方正小标宋简体" w:eastAsia="方正小标宋简体" w:cs="方正小标宋简体"/>
          <w:sz w:val="52"/>
          <w:szCs w:val="52"/>
          <w:lang w:eastAsia="zh-CN"/>
        </w:rPr>
        <w:t>阿坝州</w:t>
      </w:r>
      <w:r>
        <w:rPr>
          <w:rFonts w:hint="eastAsia" w:ascii="方正小标宋简体" w:hAnsi="方正小标宋简体" w:eastAsia="方正小标宋简体" w:cs="方正小标宋简体"/>
          <w:sz w:val="52"/>
          <w:szCs w:val="52"/>
        </w:rPr>
        <w:t>茂县</w:t>
      </w:r>
      <w:r>
        <w:rPr>
          <w:rFonts w:hint="eastAsia" w:ascii="方正小标宋简体" w:hAnsi="方正小标宋简体" w:eastAsia="方正小标宋简体" w:cs="方正小标宋简体"/>
          <w:sz w:val="52"/>
          <w:szCs w:val="52"/>
          <w:lang w:eastAsia="zh-CN"/>
        </w:rPr>
        <w:t>政务服务和公共资源交易服务</w:t>
      </w:r>
      <w:r>
        <w:rPr>
          <w:rFonts w:hint="eastAsia" w:ascii="方正小标宋简体" w:hAnsi="方正小标宋简体" w:eastAsia="方正小标宋简体" w:cs="方正小标宋简体"/>
          <w:sz w:val="52"/>
          <w:szCs w:val="52"/>
        </w:rPr>
        <w:t>中心</w:t>
      </w:r>
      <w:r>
        <w:rPr>
          <w:rFonts w:hint="eastAsia" w:ascii="方正小标宋简体" w:hAnsi="方正小标宋简体" w:eastAsia="方正小标宋简体" w:cs="方正小标宋简体"/>
          <w:sz w:val="52"/>
          <w:szCs w:val="52"/>
          <w:lang w:eastAsia="zh-CN"/>
        </w:rPr>
        <w:t>单位</w:t>
      </w:r>
      <w:r>
        <w:rPr>
          <w:rFonts w:hint="eastAsia" w:ascii="方正小标宋简体" w:hAnsi="方正小标宋简体" w:eastAsia="方正小标宋简体" w:cs="方正小标宋简体"/>
          <w:sz w:val="52"/>
          <w:szCs w:val="52"/>
        </w:rPr>
        <w:t>决算</w:t>
      </w:r>
      <w:bookmarkEnd w:id="0"/>
      <w:bookmarkEnd w:id="1"/>
      <w:bookmarkEnd w:id="2"/>
      <w:bookmarkEnd w:id="3"/>
      <w:bookmarkEnd w:id="4"/>
      <w:bookmarkEnd w:id="5"/>
    </w:p>
    <w:p>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pPr>
        <w:pStyle w:val="8"/>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公开时间：2024年9 月 25日</w:t>
      </w:r>
    </w:p>
    <w:p>
      <w:pPr>
        <w:pStyle w:val="8"/>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pPr>
        <w:pStyle w:val="8"/>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pPr>
        <w:pStyle w:val="10"/>
        <w:widowControl/>
        <w:adjustRightInd w:val="0"/>
        <w:snapToGrid w:val="0"/>
        <w:spacing w:before="0" w:beforeAutospacing="1" w:after="0" w:afterAutospacing="1" w:line="440" w:lineRule="exact"/>
        <w:ind w:left="0" w:leftChars="0" w:right="0" w:firstLine="480" w:firstLineChars="20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....................................................2</w:t>
      </w:r>
    </w:p>
    <w:p>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2023年度单位决算情况说明</w:t>
      </w:r>
      <w:r>
        <w:rPr>
          <w:rFonts w:hint="eastAsia" w:ascii="宋体" w:hAnsi="宋体" w:cs="宋体"/>
          <w:kern w:val="2"/>
          <w:sz w:val="24"/>
          <w:szCs w:val="24"/>
          <w:lang w:val="en-US" w:eastAsia="zh-CN" w:bidi="ar"/>
        </w:rPr>
        <w:t>..................................2</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....................................2</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............................................3</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........................4</w:t>
      </w:r>
    </w:p>
    <w:p>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..............................6</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............................6</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......................................6</w:t>
      </w:r>
    </w:p>
    <w:p>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...................................................8</w:t>
      </w:r>
    </w:p>
    <w:p>
      <w:pPr>
        <w:pStyle w:val="8"/>
        <w:widowControl/>
        <w:numPr>
          <w:ilvl w:val="0"/>
          <w:numId w:val="0"/>
        </w:numPr>
        <w:adjustRightInd w:val="0"/>
        <w:snapToGrid w:val="0"/>
        <w:spacing w:before="0" w:beforeAutospacing="0" w:after="0" w:afterAutospacing="1" w:line="440" w:lineRule="exact"/>
        <w:ind w:right="0" w:right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附表......................................................11</w:t>
      </w:r>
    </w:p>
    <w:p>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pPr>
        <w:pStyle w:val="10"/>
        <w:widowControl/>
        <w:adjustRightInd w:val="0"/>
        <w:snapToGrid w:val="0"/>
        <w:spacing w:before="0" w:beforeAutospacing="1" w:after="0" w:afterAutospacing="1" w:line="440" w:lineRule="exact"/>
        <w:ind w:leftChars="200" w:right="0"/>
        <w:jc w:val="left"/>
        <w:rPr>
          <w:rFonts w:hint="default" w:ascii="黑体" w:hAnsi="宋体" w:eastAsia="黑体" w:cs="黑体"/>
          <w:b w:val="0"/>
          <w:bCs/>
          <w:kern w:val="44"/>
          <w:sz w:val="44"/>
          <w:szCs w:val="44"/>
          <w:lang w:val="en-US"/>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十三、财政拨款“三公”经费支出决算表</w:t>
      </w:r>
    </w:p>
    <w:p>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6"/>
          <w:rFonts w:hint="eastAsia" w:ascii="黑体" w:hAnsi="宋体" w:eastAsia="黑体" w:cs="黑体"/>
          <w:b w:val="0"/>
          <w:bCs w:val="0"/>
          <w:kern w:val="44"/>
          <w:sz w:val="44"/>
          <w:szCs w:val="44"/>
        </w:rPr>
        <w:t>概况</w:t>
      </w:r>
    </w:p>
    <w:p>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8"/>
          <w:rFonts w:hint="eastAsia" w:ascii="黑体" w:hAnsi="宋体" w:eastAsia="黑体" w:cs="黑体"/>
          <w:b w:val="0"/>
          <w:bCs w:val="0"/>
          <w:sz w:val="32"/>
          <w:szCs w:val="32"/>
        </w:rPr>
        <w:t>主要职责</w:t>
      </w:r>
    </w:p>
    <w:p>
      <w:pPr>
        <w:numPr>
          <w:ilvl w:val="0"/>
          <w:numId w:val="2"/>
        </w:num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负责规范指导全县行政审批和政务服务工作，建立和完善相应工作机制，推进标准化建设；负责对划转的行政许可事项进行流程再造、环节优化、时限压缩，并对办理情况进行跟踪督办。</w:t>
      </w:r>
    </w:p>
    <w:p>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承办县直部门划入的涉及企业报效项目、市场准入、建设工程、交通水利、文教卫生、社会事务、涉农事务等方面的行政审批事项，及时将行政审批事项的结果通报给县直相关部门，逐步实行“一枚印章管审批”。</w:t>
      </w:r>
    </w:p>
    <w:p>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负责指导、协调进驻政务服务大厅部门的行政审批和公共服务工作；对窗口工作人员进行日常管理、年度考核等工作。</w:t>
      </w:r>
    </w:p>
    <w:p>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负责对涉及全县行政审批工作、政务服务大厅工作及公共资源交易工作的投诉举报和承办、转办和督办工作。</w:t>
      </w:r>
    </w:p>
    <w:p>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负责对各乡镇便民服务中心相关工作的运行进行业务指导和监督，建立和完善高效的政务服务体系。</w:t>
      </w:r>
    </w:p>
    <w:p>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负责全县公共资源交易管理工作。</w:t>
      </w:r>
    </w:p>
    <w:p>
      <w:pPr>
        <w:numPr>
          <w:ilvl w:val="0"/>
          <w:numId w:val="0"/>
        </w:numPr>
        <w:spacing w:line="600" w:lineRule="exact"/>
        <w:ind w:firstLine="640" w:firstLineChars="200"/>
        <w:outlineLvl w:val="2"/>
      </w:pPr>
      <w:r>
        <w:rPr>
          <w:rFonts w:ascii="仿宋" w:hAnsi="仿宋" w:eastAsia="仿宋"/>
          <w:color w:val="000000"/>
          <w:sz w:val="32"/>
          <w:szCs w:val="32"/>
        </w:rPr>
        <w:t>8.完成县委、县人民政府交办的其他任务。</w:t>
      </w:r>
    </w:p>
    <w:p>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pPr>
        <w:spacing w:line="600" w:lineRule="exact"/>
        <w:ind w:firstLine="640" w:firstLineChars="200"/>
        <w:rPr>
          <w:rFonts w:hint="eastAsia"/>
          <w:lang w:val="en-US" w:eastAsia="zh-CN"/>
        </w:rPr>
      </w:pPr>
      <w:r>
        <w:rPr>
          <w:rFonts w:hint="eastAsia" w:ascii="仿宋" w:hAnsi="仿宋" w:eastAsia="仿宋" w:cs="仿宋"/>
          <w:kern w:val="2"/>
          <w:sz w:val="32"/>
          <w:szCs w:val="32"/>
          <w:lang w:val="en-US" w:eastAsia="zh-CN" w:bidi="ar"/>
        </w:rPr>
        <w:t>茂县政务服务和公共资源交易服务中心是茂县行政审批局下属的二级预算单位，是事业单位。</w:t>
      </w:r>
      <w:bookmarkStart w:id="6" w:name="_GoBack"/>
      <w:bookmarkEnd w:id="6"/>
    </w:p>
    <w:p>
      <w:pPr>
        <w:numPr>
          <w:ilvl w:val="0"/>
          <w:numId w:val="0"/>
        </w:numPr>
        <w:ind w:leftChars="0"/>
        <w:rPr>
          <w:rFonts w:hint="eastAsia"/>
        </w:rPr>
      </w:pP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2023年度</w:t>
      </w:r>
      <w:r>
        <w:rPr>
          <w:rStyle w:val="16"/>
          <w:rFonts w:hint="eastAsia" w:ascii="黑体" w:hAnsi="宋体" w:eastAsia="黑体" w:cs="黑体"/>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pStyle w:val="19"/>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8"/>
          <w:rFonts w:hint="eastAsia" w:ascii="黑体" w:hAnsi="宋体" w:eastAsia="黑体" w:cs="黑体"/>
          <w:b w:val="0"/>
          <w:bCs/>
          <w:sz w:val="32"/>
          <w:szCs w:val="32"/>
        </w:rPr>
        <w:t>入支出决算总体情况说明</w:t>
      </w:r>
    </w:p>
    <w:p>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2023年度收、支总计均为</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万元。与2022年度相比，收、支总计各增加</w:t>
      </w:r>
      <w:r>
        <w:rPr>
          <w:rFonts w:hint="eastAsia" w:ascii="仿宋" w:hAnsi="仿宋" w:eastAsia="仿宋" w:cs="Times New Roman"/>
          <w:kern w:val="2"/>
          <w:sz w:val="32"/>
          <w:szCs w:val="32"/>
          <w:lang w:val="en-US" w:eastAsia="zh-CN" w:bidi="ar"/>
        </w:rPr>
        <w:t>1.3</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0.85%</w:t>
      </w:r>
      <w:r>
        <w:rPr>
          <w:rFonts w:hint="eastAsia" w:ascii="仿宋" w:hAnsi="仿宋" w:eastAsia="仿宋" w:cs="仿宋"/>
          <w:kern w:val="2"/>
          <w:sz w:val="32"/>
          <w:szCs w:val="32"/>
          <w:lang w:val="en-US" w:eastAsia="zh-CN" w:bidi="ar"/>
        </w:rPr>
        <w:t>。主要变动原因为人员变动和</w:t>
      </w:r>
      <w:r>
        <w:rPr>
          <w:rFonts w:hint="eastAsia" w:ascii="仿宋" w:eastAsia="仿宋"/>
          <w:color w:val="000000"/>
          <w:sz w:val="32"/>
          <w:szCs w:val="32"/>
          <w:lang w:eastAsia="zh-CN"/>
        </w:rPr>
        <w:t>工资福利的增加。</w:t>
      </w:r>
    </w:p>
    <w:p>
      <w:pPr>
        <w:pStyle w:val="9"/>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8"/>
          <w:rFonts w:hint="eastAsia" w:ascii="黑体" w:hAnsi="宋体" w:eastAsia="黑体" w:cs="黑体"/>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2023年度本年收入合计</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8"/>
          <w:rFonts w:hint="eastAsia" w:ascii="黑体" w:hAnsi="宋体" w:eastAsia="黑体" w:cs="黑体"/>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2023年度本年支出合计</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w:t>
      </w:r>
    </w:p>
    <w:p>
      <w:pPr>
        <w:pStyle w:val="9"/>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8"/>
          <w:rFonts w:hint="eastAsia" w:ascii="黑体" w:hAnsi="宋体" w:eastAsia="黑体" w:cs="黑体"/>
          <w:b w:val="0"/>
          <w:bCs/>
          <w:kern w:val="2"/>
          <w:sz w:val="32"/>
          <w:szCs w:val="32"/>
          <w:lang w:val="en-US" w:eastAsia="zh-CN" w:bidi="ar"/>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2023年度财政拨款收、支总计均为</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万元。与2022年度相比，财政拨款收、支总计各增加</w:t>
      </w:r>
      <w:r>
        <w:rPr>
          <w:rFonts w:hint="eastAsia" w:ascii="仿宋" w:hAnsi="仿宋" w:eastAsia="仿宋" w:cs="Times New Roman"/>
          <w:kern w:val="2"/>
          <w:sz w:val="32"/>
          <w:szCs w:val="32"/>
          <w:lang w:val="en-US" w:eastAsia="zh-CN" w:bidi="ar"/>
        </w:rPr>
        <w:t>1.3</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0.85%</w:t>
      </w:r>
      <w:r>
        <w:rPr>
          <w:rFonts w:hint="eastAsia" w:ascii="仿宋" w:hAnsi="仿宋" w:eastAsia="仿宋" w:cs="仿宋"/>
          <w:kern w:val="2"/>
          <w:sz w:val="32"/>
          <w:szCs w:val="32"/>
          <w:lang w:val="en-US" w:eastAsia="zh-CN" w:bidi="ar"/>
        </w:rPr>
        <w:t>。主要变动原因为人员变动和</w:t>
      </w:r>
      <w:r>
        <w:rPr>
          <w:rFonts w:hint="eastAsia" w:ascii="仿宋" w:eastAsia="仿宋"/>
          <w:color w:val="000000"/>
          <w:sz w:val="32"/>
          <w:szCs w:val="32"/>
          <w:lang w:eastAsia="zh-CN"/>
        </w:rPr>
        <w:t>工资福利的增加。</w:t>
      </w:r>
    </w:p>
    <w:p>
      <w:pPr>
        <w:pStyle w:val="9"/>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pPr>
        <w:pStyle w:val="9"/>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8"/>
          <w:rFonts w:hint="eastAsia" w:ascii="黑体" w:hAnsi="宋体" w:eastAsia="黑体" w:cs="黑体"/>
          <w:b w:val="0"/>
          <w:bCs/>
          <w:kern w:val="2"/>
          <w:sz w:val="32"/>
          <w:szCs w:val="32"/>
          <w:lang w:val="en-US" w:eastAsia="zh-CN" w:bidi="ar"/>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。与2022年度相比，一般公共预算财政拨款支出增加</w:t>
      </w:r>
      <w:r>
        <w:rPr>
          <w:rFonts w:hint="eastAsia" w:ascii="仿宋" w:hAnsi="仿宋" w:eastAsia="仿宋" w:cs="Times New Roman"/>
          <w:kern w:val="2"/>
          <w:sz w:val="32"/>
          <w:szCs w:val="32"/>
          <w:lang w:val="en-US" w:eastAsia="zh-CN" w:bidi="ar"/>
        </w:rPr>
        <w:t>1.3</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0.85%</w:t>
      </w:r>
      <w:r>
        <w:rPr>
          <w:rFonts w:hint="eastAsia" w:ascii="仿宋" w:hAnsi="仿宋" w:eastAsia="仿宋" w:cs="仿宋"/>
          <w:kern w:val="2"/>
          <w:sz w:val="32"/>
          <w:szCs w:val="32"/>
          <w:lang w:val="en-US" w:eastAsia="zh-CN" w:bidi="ar"/>
        </w:rPr>
        <w:t>。主要变动原因为人员变动和</w:t>
      </w:r>
      <w:r>
        <w:rPr>
          <w:rFonts w:hint="eastAsia" w:ascii="仿宋" w:eastAsia="仿宋"/>
          <w:color w:val="000000"/>
          <w:sz w:val="32"/>
          <w:szCs w:val="32"/>
          <w:lang w:eastAsia="zh-CN"/>
        </w:rPr>
        <w:t>工资福利的增加。</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仿宋"/>
          <w:b w:val="0"/>
          <w:bCs w:val="0"/>
          <w:kern w:val="2"/>
          <w:sz w:val="32"/>
          <w:szCs w:val="32"/>
          <w:lang w:val="en-US" w:eastAsia="zh-CN" w:bidi="ar"/>
        </w:rPr>
        <w:t>109.36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71.62%</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24.09</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15.64%</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10.77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6.99%</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9.83</w:t>
      </w:r>
      <w:r>
        <w:rPr>
          <w:rFonts w:hint="eastAsia" w:ascii="仿宋" w:hAnsi="仿宋" w:eastAsia="仿宋" w:cs="仿宋"/>
          <w:kern w:val="2"/>
          <w:sz w:val="32"/>
          <w:szCs w:val="32"/>
          <w:lang w:val="en-US" w:eastAsia="zh-CN" w:bidi="ar"/>
        </w:rPr>
        <w:t>万元，占7.4</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5pt;width:327.9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2023年度一般公共预算支出决算数为</w:t>
      </w:r>
      <w:r>
        <w:rPr>
          <w:rFonts w:hint="eastAsia" w:ascii="仿宋" w:hAnsi="仿宋" w:eastAsia="仿宋" w:cs="Times New Roman"/>
          <w:b/>
          <w:bCs w:val="0"/>
          <w:kern w:val="2"/>
          <w:sz w:val="32"/>
          <w:szCs w:val="32"/>
          <w:lang w:val="en-US" w:eastAsia="zh-CN" w:bidi="ar"/>
        </w:rPr>
        <w:t>154.05万元</w:t>
      </w:r>
      <w:r>
        <w:rPr>
          <w:rFonts w:hint="eastAsia" w:ascii="仿宋" w:hAnsi="仿宋" w:eastAsia="仿宋" w:cs="仿宋"/>
          <w:kern w:val="2"/>
          <w:sz w:val="32"/>
          <w:szCs w:val="32"/>
          <w:lang w:val="en-US" w:eastAsia="zh-CN" w:bidi="ar"/>
        </w:rPr>
        <w:t>，</w:t>
      </w:r>
      <w:r>
        <w:rPr>
          <w:rStyle w:val="17"/>
          <w:rFonts w:hint="eastAsia" w:ascii="仿宋" w:hAnsi="仿宋" w:eastAsia="仿宋" w:cs="仿宋"/>
          <w:b/>
          <w:bCs/>
          <w:kern w:val="2"/>
          <w:sz w:val="32"/>
          <w:szCs w:val="32"/>
          <w:lang w:val="en-US" w:eastAsia="zh-CN" w:bidi="ar"/>
        </w:rPr>
        <w:t>完成预算</w:t>
      </w:r>
      <w:r>
        <w:rPr>
          <w:rStyle w:val="17"/>
          <w:rFonts w:hint="eastAsia" w:ascii="仿宋" w:hAnsi="仿宋" w:eastAsia="仿宋" w:cs="Times New Roman"/>
          <w:b/>
          <w:bCs/>
          <w:kern w:val="2"/>
          <w:sz w:val="32"/>
          <w:szCs w:val="32"/>
          <w:lang w:val="en-US" w:eastAsia="zh-CN" w:bidi="ar"/>
        </w:rPr>
        <w:t>100%</w:t>
      </w:r>
      <w:r>
        <w:rPr>
          <w:rStyle w:val="17"/>
          <w:rFonts w:hint="eastAsia" w:ascii="仿宋" w:hAnsi="仿宋" w:eastAsia="仿宋" w:cs="仿宋"/>
          <w:b/>
          <w:bCs/>
          <w:kern w:val="2"/>
          <w:sz w:val="32"/>
          <w:szCs w:val="32"/>
          <w:lang w:val="en-US" w:eastAsia="zh-CN" w:bidi="ar"/>
        </w:rPr>
        <w:t>。其中：</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7"/>
          <w:rFonts w:hint="eastAsia" w:ascii="仿宋" w:hAnsi="仿宋" w:eastAsia="仿宋" w:cs="仿宋"/>
          <w:b w:val="0"/>
          <w:bCs/>
          <w:kern w:val="2"/>
          <w:sz w:val="32"/>
          <w:szCs w:val="32"/>
          <w:lang w:val="en-US" w:eastAsia="zh-CN" w:bidi="ar"/>
        </w:rPr>
      </w:pPr>
      <w:r>
        <w:rPr>
          <w:rStyle w:val="17"/>
          <w:rFonts w:hint="eastAsia" w:ascii="仿宋" w:hAnsi="仿宋" w:eastAsia="仿宋" w:cs="仿宋"/>
          <w:b/>
          <w:bCs/>
          <w:kern w:val="2"/>
          <w:sz w:val="32"/>
          <w:szCs w:val="32"/>
          <w:lang w:val="en-US" w:eastAsia="zh-CN" w:bidi="ar"/>
        </w:rPr>
        <w:t>1.一般公共服务（201）</w:t>
      </w:r>
      <w:r>
        <w:rPr>
          <w:rStyle w:val="17"/>
          <w:rFonts w:hint="eastAsia" w:ascii="仿宋" w:hAnsi="仿宋" w:eastAsia="仿宋" w:cs="Times New Roman"/>
          <w:b/>
          <w:bCs/>
          <w:kern w:val="2"/>
          <w:sz w:val="32"/>
          <w:szCs w:val="32"/>
          <w:lang w:val="en-US" w:eastAsia="zh-CN" w:bidi="ar"/>
        </w:rPr>
        <w:t>政府办公厅（室）及相关机构事务</w:t>
      </w:r>
      <w:r>
        <w:rPr>
          <w:rStyle w:val="17"/>
          <w:rFonts w:hint="eastAsia" w:ascii="仿宋" w:hAnsi="仿宋" w:eastAsia="仿宋" w:cs="仿宋"/>
          <w:b/>
          <w:bCs/>
          <w:kern w:val="2"/>
          <w:sz w:val="32"/>
          <w:szCs w:val="32"/>
          <w:lang w:val="en-US" w:eastAsia="zh-CN" w:bidi="ar"/>
        </w:rPr>
        <w:t>（20103）</w:t>
      </w:r>
      <w:r>
        <w:rPr>
          <w:rStyle w:val="17"/>
          <w:rFonts w:hint="eastAsia" w:ascii="仿宋" w:hAnsi="仿宋" w:eastAsia="仿宋" w:cs="Times New Roman"/>
          <w:b/>
          <w:bCs/>
          <w:kern w:val="2"/>
          <w:sz w:val="32"/>
          <w:szCs w:val="32"/>
          <w:lang w:val="en-US" w:eastAsia="zh-CN" w:bidi="ar"/>
        </w:rPr>
        <w:t>事业运行</w:t>
      </w:r>
      <w:r>
        <w:rPr>
          <w:rStyle w:val="17"/>
          <w:rFonts w:hint="eastAsia" w:ascii="仿宋" w:hAnsi="仿宋" w:eastAsia="仿宋" w:cs="仿宋"/>
          <w:b/>
          <w:bCs/>
          <w:kern w:val="2"/>
          <w:sz w:val="32"/>
          <w:szCs w:val="32"/>
          <w:lang w:val="en-US" w:eastAsia="zh-CN" w:bidi="ar"/>
        </w:rPr>
        <w:t>（2010350）</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109.36</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7"/>
          <w:rFonts w:hint="eastAsia" w:ascii="仿宋" w:hAnsi="仿宋" w:eastAsia="仿宋" w:cs="仿宋"/>
          <w:b w:val="0"/>
          <w:bCs/>
          <w:kern w:val="2"/>
          <w:sz w:val="32"/>
          <w:szCs w:val="32"/>
          <w:lang w:val="en-US" w:eastAsia="zh-CN" w:bidi="ar"/>
        </w:rPr>
      </w:pPr>
      <w:r>
        <w:rPr>
          <w:rStyle w:val="17"/>
          <w:rFonts w:hint="eastAsia" w:ascii="仿宋" w:hAnsi="仿宋" w:eastAsia="仿宋" w:cs="Times New Roman"/>
          <w:b/>
          <w:bCs/>
          <w:kern w:val="2"/>
          <w:sz w:val="32"/>
          <w:szCs w:val="32"/>
          <w:lang w:val="en-US" w:eastAsia="zh-CN" w:bidi="ar"/>
        </w:rPr>
        <w:t>2.</w:t>
      </w:r>
      <w:r>
        <w:rPr>
          <w:rStyle w:val="17"/>
          <w:rFonts w:hint="eastAsia" w:ascii="仿宋" w:hAnsi="仿宋" w:eastAsia="仿宋" w:cs="仿宋"/>
          <w:b/>
          <w:bCs/>
          <w:kern w:val="2"/>
          <w:sz w:val="32"/>
          <w:szCs w:val="32"/>
          <w:lang w:val="en-US" w:eastAsia="zh-CN" w:bidi="ar"/>
        </w:rPr>
        <w:t>社会保障和就业（208）</w:t>
      </w:r>
      <w:r>
        <w:rPr>
          <w:rStyle w:val="17"/>
          <w:rFonts w:hint="eastAsia" w:ascii="仿宋" w:hAnsi="仿宋" w:eastAsia="仿宋" w:cs="Times New Roman"/>
          <w:b/>
          <w:bCs/>
          <w:kern w:val="2"/>
          <w:sz w:val="32"/>
          <w:szCs w:val="32"/>
          <w:lang w:val="en-US" w:eastAsia="zh-CN" w:bidi="ar"/>
        </w:rPr>
        <w:t>行政事业单位养老支出</w:t>
      </w:r>
      <w:r>
        <w:rPr>
          <w:rStyle w:val="17"/>
          <w:rFonts w:hint="eastAsia" w:ascii="仿宋" w:hAnsi="仿宋" w:eastAsia="仿宋" w:cs="仿宋"/>
          <w:b/>
          <w:bCs/>
          <w:kern w:val="2"/>
          <w:sz w:val="32"/>
          <w:szCs w:val="32"/>
          <w:lang w:val="en-US" w:eastAsia="zh-CN" w:bidi="ar"/>
        </w:rPr>
        <w:t>（20805）</w:t>
      </w:r>
      <w:r>
        <w:rPr>
          <w:rStyle w:val="17"/>
          <w:rFonts w:hint="eastAsia" w:ascii="仿宋" w:hAnsi="仿宋" w:eastAsia="仿宋" w:cs="Times New Roman"/>
          <w:b/>
          <w:bCs/>
          <w:kern w:val="2"/>
          <w:sz w:val="32"/>
          <w:szCs w:val="32"/>
          <w:lang w:val="en-US" w:eastAsia="zh-CN" w:bidi="ar"/>
        </w:rPr>
        <w:t>机关事业单位基本养老保险缴费支出</w:t>
      </w:r>
      <w:r>
        <w:rPr>
          <w:rStyle w:val="17"/>
          <w:rFonts w:hint="eastAsia" w:ascii="仿宋" w:hAnsi="仿宋" w:eastAsia="仿宋" w:cs="仿宋"/>
          <w:b/>
          <w:bCs/>
          <w:kern w:val="2"/>
          <w:sz w:val="32"/>
          <w:szCs w:val="32"/>
          <w:lang w:val="en-US" w:eastAsia="zh-CN" w:bidi="ar"/>
        </w:rPr>
        <w:t>（2080505）</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16.06</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7"/>
          <w:rFonts w:hint="eastAsia" w:ascii="仿宋" w:hAnsi="仿宋" w:eastAsia="仿宋" w:cs="仿宋"/>
          <w:b/>
          <w:bCs/>
          <w:kern w:val="2"/>
          <w:sz w:val="32"/>
          <w:szCs w:val="32"/>
          <w:lang w:val="en-US" w:eastAsia="zh-CN" w:bidi="ar"/>
        </w:rPr>
        <w:t>3.社会保障和就业（208）</w:t>
      </w:r>
      <w:r>
        <w:rPr>
          <w:rStyle w:val="17"/>
          <w:rFonts w:hint="eastAsia" w:ascii="仿宋" w:hAnsi="仿宋" w:eastAsia="仿宋" w:cs="Times New Roman"/>
          <w:b/>
          <w:bCs/>
          <w:kern w:val="2"/>
          <w:sz w:val="32"/>
          <w:szCs w:val="32"/>
          <w:lang w:val="en-US" w:eastAsia="zh-CN" w:bidi="ar"/>
        </w:rPr>
        <w:t>行政事业单位养老支出</w:t>
      </w:r>
      <w:r>
        <w:rPr>
          <w:rStyle w:val="17"/>
          <w:rFonts w:hint="eastAsia" w:ascii="仿宋" w:hAnsi="仿宋" w:eastAsia="仿宋" w:cs="仿宋"/>
          <w:b/>
          <w:bCs/>
          <w:kern w:val="2"/>
          <w:sz w:val="32"/>
          <w:szCs w:val="32"/>
          <w:lang w:val="en-US" w:eastAsia="zh-CN" w:bidi="ar"/>
        </w:rPr>
        <w:t>（20805）</w:t>
      </w:r>
      <w:r>
        <w:rPr>
          <w:rStyle w:val="17"/>
          <w:rFonts w:hint="eastAsia" w:ascii="仿宋" w:hAnsi="仿宋" w:eastAsia="仿宋" w:cs="Times New Roman"/>
          <w:b/>
          <w:bCs/>
          <w:kern w:val="2"/>
          <w:sz w:val="32"/>
          <w:szCs w:val="32"/>
          <w:lang w:val="en-US" w:eastAsia="zh-CN" w:bidi="ar"/>
        </w:rPr>
        <w:t>机关事业单位职业年金缴费支出</w:t>
      </w:r>
      <w:r>
        <w:rPr>
          <w:rStyle w:val="17"/>
          <w:rFonts w:hint="eastAsia" w:ascii="仿宋" w:hAnsi="仿宋" w:eastAsia="仿宋" w:cs="仿宋"/>
          <w:b/>
          <w:bCs/>
          <w:kern w:val="2"/>
          <w:sz w:val="32"/>
          <w:szCs w:val="32"/>
          <w:lang w:val="en-US" w:eastAsia="zh-CN" w:bidi="ar"/>
        </w:rPr>
        <w:t>（2080506）</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8.03</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b/>
          <w:bCs w:val="0"/>
          <w:kern w:val="2"/>
          <w:sz w:val="32"/>
          <w:szCs w:val="32"/>
        </w:rPr>
      </w:pPr>
      <w:r>
        <w:rPr>
          <w:rStyle w:val="17"/>
          <w:rFonts w:hint="eastAsia" w:ascii="仿宋" w:hAnsi="仿宋" w:eastAsia="仿宋" w:cs="Times New Roman"/>
          <w:b/>
          <w:bCs/>
          <w:kern w:val="2"/>
          <w:sz w:val="32"/>
          <w:szCs w:val="32"/>
          <w:lang w:val="en-US" w:eastAsia="zh-CN" w:bidi="ar"/>
        </w:rPr>
        <w:t>4.</w:t>
      </w:r>
      <w:r>
        <w:rPr>
          <w:rFonts w:hint="eastAsia" w:ascii="仿宋" w:hAnsi="仿宋" w:eastAsia="仿宋" w:cs="仿宋"/>
          <w:b/>
          <w:bCs/>
          <w:kern w:val="2"/>
          <w:sz w:val="32"/>
          <w:szCs w:val="32"/>
          <w:lang w:val="en-US" w:eastAsia="zh-CN" w:bidi="ar"/>
        </w:rPr>
        <w:t>卫生健康</w:t>
      </w:r>
      <w:r>
        <w:rPr>
          <w:rStyle w:val="17"/>
          <w:rFonts w:hint="eastAsia" w:ascii="仿宋" w:hAnsi="仿宋" w:eastAsia="仿宋" w:cs="仿宋"/>
          <w:b/>
          <w:bCs/>
          <w:kern w:val="2"/>
          <w:sz w:val="32"/>
          <w:szCs w:val="32"/>
          <w:lang w:val="en-US" w:eastAsia="zh-CN" w:bidi="ar"/>
        </w:rPr>
        <w:t>（210）</w:t>
      </w:r>
      <w:r>
        <w:rPr>
          <w:rStyle w:val="17"/>
          <w:rFonts w:hint="eastAsia" w:ascii="仿宋" w:hAnsi="仿宋" w:eastAsia="仿宋" w:cs="Times New Roman"/>
          <w:b/>
          <w:bCs/>
          <w:kern w:val="2"/>
          <w:sz w:val="32"/>
          <w:szCs w:val="32"/>
          <w:lang w:val="en-US" w:eastAsia="zh-CN" w:bidi="ar"/>
        </w:rPr>
        <w:t>行政事业单位医疗</w:t>
      </w:r>
      <w:r>
        <w:rPr>
          <w:rStyle w:val="17"/>
          <w:rFonts w:hint="eastAsia" w:ascii="仿宋" w:hAnsi="仿宋" w:eastAsia="仿宋" w:cs="仿宋"/>
          <w:b/>
          <w:bCs/>
          <w:kern w:val="2"/>
          <w:sz w:val="32"/>
          <w:szCs w:val="32"/>
          <w:lang w:val="en-US" w:eastAsia="zh-CN" w:bidi="ar"/>
        </w:rPr>
        <w:t>（21011）</w:t>
      </w:r>
      <w:r>
        <w:rPr>
          <w:rStyle w:val="17"/>
          <w:rFonts w:hint="eastAsia" w:ascii="仿宋" w:hAnsi="仿宋" w:eastAsia="仿宋" w:cs="Times New Roman"/>
          <w:b/>
          <w:bCs/>
          <w:kern w:val="2"/>
          <w:sz w:val="32"/>
          <w:szCs w:val="32"/>
          <w:lang w:val="en-US" w:eastAsia="zh-CN" w:bidi="ar"/>
        </w:rPr>
        <w:t>事业单位医疗</w:t>
      </w:r>
      <w:r>
        <w:rPr>
          <w:rStyle w:val="17"/>
          <w:rFonts w:hint="eastAsia" w:ascii="仿宋" w:hAnsi="仿宋" w:eastAsia="仿宋" w:cs="仿宋"/>
          <w:b/>
          <w:bCs/>
          <w:kern w:val="2"/>
          <w:sz w:val="32"/>
          <w:szCs w:val="32"/>
          <w:lang w:val="en-US" w:eastAsia="zh-CN" w:bidi="ar"/>
        </w:rPr>
        <w:t>（2101102）</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10.77</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w:t>
      </w:r>
    </w:p>
    <w:p>
      <w:pPr>
        <w:spacing w:line="600" w:lineRule="exact"/>
        <w:ind w:firstLine="643" w:firstLineChars="200"/>
        <w:rPr>
          <w:rFonts w:hint="eastAsia" w:ascii="仿宋" w:hAnsi="仿宋" w:eastAsia="仿宋" w:cs="Times New Roman"/>
          <w:b/>
          <w:bCs w:val="0"/>
          <w:kern w:val="2"/>
          <w:sz w:val="32"/>
          <w:szCs w:val="32"/>
        </w:rPr>
      </w:pPr>
      <w:r>
        <w:rPr>
          <w:rFonts w:hint="eastAsia" w:ascii="仿宋" w:hAnsi="仿宋" w:eastAsia="仿宋" w:cs="仿宋"/>
          <w:b/>
          <w:bCs/>
          <w:kern w:val="2"/>
          <w:sz w:val="32"/>
          <w:szCs w:val="32"/>
          <w:lang w:val="en-US" w:eastAsia="zh-CN" w:bidi="ar"/>
        </w:rPr>
        <w:t>5.住房保障支出（221）住房改革支出（22102）住房公积金（2210201）：</w:t>
      </w:r>
      <w:r>
        <w:rPr>
          <w:rStyle w:val="17"/>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9.83</w:t>
      </w:r>
      <w:r>
        <w:rPr>
          <w:rFonts w:hint="eastAsia" w:ascii="仿宋_GB2312" w:eastAsia="仿宋_GB2312"/>
          <w:color w:val="000000"/>
          <w:sz w:val="32"/>
          <w:szCs w:val="32"/>
        </w:rPr>
        <w:t>万元，完成预算的100%。</w:t>
      </w:r>
      <w:r>
        <w:rPr>
          <w:rFonts w:hint="eastAsia" w:ascii="仿宋" w:hAnsi="仿宋" w:eastAsia="仿宋" w:cs="Times New Roman"/>
          <w:b/>
          <w:bCs w:val="0"/>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8"/>
          <w:rFonts w:hint="eastAsia" w:ascii="黑体" w:hAnsi="宋体" w:eastAsia="黑体" w:cs="黑体"/>
          <w:b w:val="0"/>
          <w:bCs/>
          <w:kern w:val="2"/>
          <w:sz w:val="32"/>
          <w:szCs w:val="32"/>
          <w:lang w:val="en-US" w:eastAsia="zh-CN" w:bidi="ar"/>
        </w:rPr>
        <w:t>般公共预算财政拨款基本支出决算情况说明</w:t>
      </w:r>
      <w:r>
        <w:rPr>
          <w:rStyle w:val="18"/>
          <w:rFonts w:hint="eastAsia" w:ascii="黑体" w:hAnsi="宋体" w:eastAsia="黑体" w:cs="Times New Roman"/>
          <w:b w:val="0"/>
          <w:bCs/>
          <w:kern w:val="2"/>
          <w:sz w:val="32"/>
          <w:szCs w:val="32"/>
          <w:lang w:val="en-US" w:eastAsia="zh-CN" w:bidi="ar"/>
        </w:rPr>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2023年度一般公共预算财政拨款基本支出</w:t>
      </w:r>
      <w:r>
        <w:rPr>
          <w:rFonts w:hint="eastAsia" w:ascii="仿宋" w:hAnsi="仿宋" w:eastAsia="仿宋" w:cs="Times New Roman"/>
          <w:kern w:val="2"/>
          <w:sz w:val="32"/>
          <w:szCs w:val="32"/>
          <w:lang w:val="en-US" w:eastAsia="zh-CN" w:bidi="ar"/>
        </w:rPr>
        <w:t>154.05</w:t>
      </w:r>
      <w:r>
        <w:rPr>
          <w:rFonts w:hint="eastAsia" w:ascii="仿宋" w:hAnsi="仿宋" w:eastAsia="仿宋" w:cs="仿宋"/>
          <w:kern w:val="2"/>
          <w:sz w:val="32"/>
          <w:szCs w:val="32"/>
          <w:lang w:val="en-US" w:eastAsia="zh-CN" w:bidi="ar"/>
        </w:rPr>
        <w:t>万元，其中：</w:t>
      </w:r>
    </w:p>
    <w:p>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140.47</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13.58</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8"/>
          <w:rFonts w:hint="eastAsia" w:ascii="黑体" w:hAnsi="宋体" w:eastAsia="黑体" w:cs="黑体"/>
          <w:b w:val="0"/>
          <w:bCs/>
          <w:kern w:val="2"/>
          <w:sz w:val="32"/>
          <w:szCs w:val="32"/>
          <w:lang w:val="en-US" w:eastAsia="zh-CN" w:bidi="ar"/>
        </w:rPr>
        <w:t>财政拨款</w:t>
      </w:r>
      <w:r>
        <w:rPr>
          <w:rStyle w:val="18"/>
          <w:rFonts w:hint="eastAsia" w:ascii="黑体" w:hAnsi="宋体" w:eastAsia="黑体" w:cs="黑体"/>
          <w:b/>
          <w:bCs/>
          <w:kern w:val="2"/>
          <w:sz w:val="32"/>
          <w:szCs w:val="32"/>
          <w:lang w:val="en-US" w:eastAsia="zh-CN" w:bidi="ar"/>
        </w:rPr>
        <w:t>“</w:t>
      </w:r>
      <w:r>
        <w:rPr>
          <w:rStyle w:val="18"/>
          <w:rFonts w:hint="eastAsia" w:ascii="黑体" w:hAnsi="宋体" w:eastAsia="黑体" w:cs="黑体"/>
          <w:b w:val="0"/>
          <w:bCs/>
          <w:kern w:val="2"/>
          <w:sz w:val="32"/>
          <w:szCs w:val="32"/>
          <w:lang w:val="en-US" w:eastAsia="zh-CN" w:bidi="ar"/>
        </w:rPr>
        <w:t>三公”经费支出决算情况说明</w:t>
      </w:r>
    </w:p>
    <w:p>
      <w:pPr>
        <w:pageBreakBefore w:val="0"/>
        <w:kinsoku/>
        <w:wordWrap/>
        <w:overflowPunct/>
        <w:topLinePunct w:val="0"/>
        <w:bidi w:val="0"/>
        <w:spacing w:line="576" w:lineRule="exact"/>
        <w:ind w:firstLine="640"/>
        <w:textAlignment w:val="auto"/>
        <w:outlineLvl w:val="1"/>
        <w:rPr>
          <w:rFonts w:hint="eastAsia" w:ascii="仿宋_GB2312" w:hAnsi="宋体" w:eastAsia="仿宋_GB2312"/>
          <w:sz w:val="32"/>
          <w:szCs w:val="32"/>
          <w:lang w:eastAsia="zh-CN"/>
        </w:rPr>
      </w:pPr>
      <w:r>
        <w:rPr>
          <w:rFonts w:hint="eastAsia" w:ascii="仿宋" w:hAnsi="仿宋" w:eastAsia="仿宋"/>
          <w:color w:val="000000"/>
          <w:sz w:val="32"/>
          <w:szCs w:val="32"/>
          <w:lang w:val="en-US" w:eastAsia="zh-CN"/>
        </w:rPr>
        <w:t>2023年</w:t>
      </w:r>
      <w:r>
        <w:rPr>
          <w:rFonts w:hint="eastAsia" w:ascii="仿宋_GB2312" w:hAnsi="Calibri" w:eastAsia="仿宋_GB2312" w:cs="仿宋_GB2312"/>
          <w:kern w:val="2"/>
          <w:sz w:val="32"/>
          <w:szCs w:val="32"/>
          <w:lang w:val="en-US" w:eastAsia="zh-CN" w:bidi="ar"/>
        </w:rPr>
        <w:t>度</w:t>
      </w:r>
      <w:r>
        <w:rPr>
          <w:rFonts w:hint="eastAsia" w:ascii="仿宋_GB2312" w:hAnsi="宋体" w:eastAsia="仿宋_GB2312"/>
          <w:sz w:val="32"/>
          <w:szCs w:val="32"/>
        </w:rPr>
        <w:t>茂县</w:t>
      </w:r>
      <w:r>
        <w:rPr>
          <w:rFonts w:hint="eastAsia" w:ascii="仿宋_GB2312" w:hAnsi="宋体" w:eastAsia="仿宋_GB2312"/>
          <w:sz w:val="32"/>
          <w:szCs w:val="32"/>
          <w:lang w:eastAsia="zh-CN"/>
        </w:rPr>
        <w:t>政务服务和公共资源交易服务</w:t>
      </w:r>
      <w:r>
        <w:rPr>
          <w:rFonts w:hint="eastAsia" w:ascii="仿宋_GB2312" w:hAnsi="宋体" w:eastAsia="仿宋_GB2312"/>
          <w:sz w:val="32"/>
          <w:szCs w:val="32"/>
        </w:rPr>
        <w:t>中心</w:t>
      </w:r>
      <w:r>
        <w:rPr>
          <w:rFonts w:hint="eastAsia" w:ascii="仿宋_GB2312" w:hAnsi="宋体" w:eastAsia="仿宋_GB2312"/>
          <w:sz w:val="32"/>
          <w:szCs w:val="32"/>
          <w:lang w:eastAsia="zh-CN"/>
        </w:rPr>
        <w:t>无“三公”经费支出，相比</w:t>
      </w:r>
      <w:r>
        <w:rPr>
          <w:rFonts w:hint="eastAsia" w:ascii="仿宋_GB2312" w:hAnsi="宋体" w:eastAsia="仿宋_GB2312"/>
          <w:sz w:val="32"/>
          <w:szCs w:val="32"/>
          <w:lang w:val="en-US" w:eastAsia="zh-CN"/>
        </w:rPr>
        <w:t>2022年减少0.08万元，主要原因是今年未产生公务接待费</w:t>
      </w:r>
      <w:r>
        <w:rPr>
          <w:rFonts w:hint="eastAsia" w:ascii="仿宋_GB2312" w:hAnsi="宋体" w:eastAsia="仿宋_GB2312"/>
          <w:sz w:val="32"/>
          <w:szCs w:val="32"/>
          <w:lang w:eastAsia="zh-CN"/>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8"/>
          <w:rFonts w:hint="eastAsia" w:ascii="黑体" w:hAnsi="宋体" w:eastAsia="黑体" w:cs="黑体"/>
          <w:b w:val="0"/>
          <w:bCs/>
          <w:kern w:val="2"/>
          <w:sz w:val="32"/>
          <w:szCs w:val="32"/>
          <w:lang w:val="en-US" w:eastAsia="zh-CN" w:bidi="ar"/>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2023年度无政府性基金预算财政拨款支出。</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8"/>
          <w:rFonts w:hint="eastAsia" w:ascii="黑体" w:hAnsi="宋体" w:eastAsia="黑体" w:cs="黑体"/>
          <w:b w:val="0"/>
          <w:bCs/>
          <w:kern w:val="2"/>
          <w:sz w:val="32"/>
          <w:szCs w:val="32"/>
          <w:lang w:val="en-US" w:eastAsia="zh-CN" w:bidi="ar"/>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2023年度无国有资本经营预算财政拨款支出。</w:t>
      </w:r>
      <w:r>
        <w:rPr>
          <w:rFonts w:hint="eastAsia" w:ascii="方正小标宋简体" w:hAnsi="方正小标宋简体" w:eastAsia="方正小标宋简体" w:cs="方正小标宋简体"/>
          <w:kern w:val="2"/>
          <w:sz w:val="44"/>
          <w:szCs w:val="44"/>
          <w:lang w:val="en-US" w:eastAsia="zh-CN" w:bidi="ar"/>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8"/>
          <w:rFonts w:hint="eastAsia" w:ascii="黑体" w:hAnsi="宋体" w:eastAsia="黑体" w:cs="黑体"/>
          <w:b w:val="0"/>
          <w:bCs/>
          <w:kern w:val="2"/>
          <w:sz w:val="32"/>
          <w:szCs w:val="32"/>
          <w:lang w:val="en-US" w:eastAsia="zh-CN" w:bidi="ar"/>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outlineLvl w:val="2"/>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hAnsi="Calibri" w:eastAsia="仿宋_GB2312" w:cs="仿宋_GB2312"/>
          <w:kern w:val="2"/>
          <w:sz w:val="32"/>
          <w:szCs w:val="32"/>
          <w:lang w:val="en-US" w:eastAsia="zh-CN" w:bidi="ar"/>
        </w:rPr>
        <w:t>度</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13.58万元，比2022年减少5.49万元，减少40.43%，主要原因是办公费用减少。</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lang w:eastAsia="zh-CN"/>
        </w:rPr>
        <w:t>无</w:t>
      </w:r>
      <w:r>
        <w:rPr>
          <w:rFonts w:hint="eastAsia" w:ascii="仿宋_GB2312" w:hAnsi="Calibri" w:eastAsia="仿宋_GB2312" w:cs="仿宋_GB2312"/>
          <w:kern w:val="2"/>
          <w:sz w:val="32"/>
          <w:szCs w:val="32"/>
          <w:lang w:val="en-US" w:eastAsia="zh-CN" w:bidi="ar"/>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hAnsi="宋体" w:eastAsia="仿宋_GB2312"/>
          <w:sz w:val="32"/>
          <w:szCs w:val="32"/>
        </w:rPr>
        <w:t>茂县</w:t>
      </w:r>
      <w:r>
        <w:rPr>
          <w:rFonts w:hint="eastAsia" w:ascii="仿宋_GB2312" w:hAnsi="宋体" w:eastAsia="仿宋_GB2312"/>
          <w:sz w:val="32"/>
          <w:szCs w:val="32"/>
          <w:lang w:eastAsia="zh-CN"/>
        </w:rPr>
        <w:t>政务服务和公共资源交易服务</w:t>
      </w:r>
      <w:r>
        <w:rPr>
          <w:rFonts w:hint="eastAsia" w:ascii="仿宋_GB2312" w:hAnsi="宋体" w:eastAsia="仿宋_GB2312"/>
          <w:sz w:val="32"/>
          <w:szCs w:val="32"/>
        </w:rPr>
        <w:t>中心</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pPr>
        <w:pageBreakBefore w:val="0"/>
        <w:numPr>
          <w:ilvl w:val="0"/>
          <w:numId w:val="0"/>
        </w:numPr>
        <w:kinsoku/>
        <w:wordWrap/>
        <w:overflowPunct/>
        <w:topLinePunct w:val="0"/>
        <w:bidi w:val="0"/>
        <w:spacing w:line="576" w:lineRule="exact"/>
        <w:ind w:firstLine="640" w:firstLineChars="200"/>
        <w:textAlignment w:val="auto"/>
        <w:outlineLvl w:val="2"/>
      </w:pPr>
      <w:r>
        <w:rPr>
          <w:rFonts w:hint="eastAsia" w:ascii="仿宋_GB2312" w:eastAsia="仿宋_GB2312"/>
          <w:color w:val="000000"/>
          <w:sz w:val="32"/>
          <w:szCs w:val="32"/>
          <w:lang w:val="en-US" w:eastAsia="zh-CN"/>
        </w:rPr>
        <w:t>2023年度无项目目标。</w:t>
      </w:r>
      <w:r>
        <w:t>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6"/>
          <w:rFonts w:hint="eastAsia" w:ascii="黑体" w:hAnsi="宋体" w:eastAsia="黑体" w:cs="黑体"/>
          <w:b w:val="0"/>
          <w:bCs/>
          <w:kern w:val="44"/>
          <w:sz w:val="44"/>
          <w:szCs w:val="44"/>
          <w:lang w:val="en-US" w:eastAsia="zh-CN" w:bidi="ar"/>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pPr>
        <w:pStyle w:val="20"/>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0"/>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pStyle w:val="20"/>
        <w:spacing w:line="560" w:lineRule="exact"/>
        <w:ind w:firstLine="480" w:firstLineChars="200"/>
      </w:pPr>
    </w:p>
    <w:p>
      <w:pPr>
        <w:pStyle w:val="20"/>
        <w:spacing w:line="560" w:lineRule="exact"/>
        <w:ind w:firstLine="480" w:firstLineChars="200"/>
      </w:pPr>
    </w:p>
    <w:p>
      <w:pPr>
        <w:pStyle w:val="20"/>
        <w:spacing w:line="560" w:lineRule="exact"/>
        <w:ind w:firstLine="480" w:firstLineChars="200"/>
      </w:pPr>
    </w:p>
    <w:p>
      <w:pPr>
        <w:pStyle w:val="20"/>
        <w:spacing w:line="560" w:lineRule="exact"/>
        <w:ind w:firstLine="480" w:firstLineChars="200"/>
      </w:pPr>
    </w:p>
    <w:p>
      <w:pPr>
        <w:pStyle w:val="20"/>
        <w:spacing w:line="560" w:lineRule="exact"/>
        <w:ind w:firstLine="480" w:firstLineChars="200"/>
      </w:pPr>
    </w:p>
    <w:p>
      <w:pPr>
        <w:pStyle w:val="20"/>
        <w:spacing w:line="560" w:lineRule="exact"/>
        <w:ind w:firstLine="480" w:firstLineChars="200"/>
        <w:rPr>
          <w:rFonts w:hint="eastAsia"/>
        </w:rPr>
      </w:pPr>
    </w:p>
    <w:p>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6"/>
          <w:rFonts w:hint="eastAsia" w:ascii="黑体" w:hAnsi="宋体" w:eastAsia="黑体" w:cs="黑体"/>
          <w:b w:val="0"/>
          <w:bCs/>
          <w:kern w:val="44"/>
          <w:sz w:val="44"/>
          <w:szCs w:val="44"/>
          <w:lang w:val="en-US" w:eastAsia="zh-CN" w:bidi="ar"/>
        </w:rPr>
        <w:t>四部分</w:t>
      </w:r>
      <w:r>
        <w:rPr>
          <w:rStyle w:val="16"/>
          <w:rFonts w:hint="eastAsia" w:ascii="黑体" w:hAnsi="宋体" w:eastAsia="黑体" w:cs="Times New Roman"/>
          <w:b w:val="0"/>
          <w:bCs/>
          <w:kern w:val="44"/>
          <w:sz w:val="44"/>
          <w:szCs w:val="44"/>
          <w:lang w:val="en-US" w:eastAsia="zh-CN" w:bidi="ar"/>
        </w:rPr>
        <w:t xml:space="preserve"> </w:t>
      </w:r>
      <w:r>
        <w:rPr>
          <w:rStyle w:val="16"/>
          <w:rFonts w:hint="eastAsia" w:ascii="黑体" w:hAnsi="宋体" w:eastAsia="黑体" w:cs="黑体"/>
          <w:b w:val="0"/>
          <w:bCs/>
          <w:kern w:val="44"/>
          <w:sz w:val="44"/>
          <w:szCs w:val="44"/>
          <w:lang w:val="en-US" w:eastAsia="zh-CN" w:bidi="ar"/>
        </w:rPr>
        <w:t>附表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8"/>
          <w:rFonts w:hint="eastAsia" w:ascii="仿宋" w:hAnsi="仿宋" w:eastAsia="仿宋" w:cs="仿宋"/>
          <w:b w:val="0"/>
          <w:bCs w:val="0"/>
          <w:sz w:val="32"/>
          <w:szCs w:val="32"/>
        </w:rPr>
        <w:t>入支出决算总表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8"/>
          <w:rFonts w:hint="eastAsia" w:ascii="仿宋" w:hAnsi="仿宋" w:eastAsia="仿宋" w:cs="仿宋"/>
          <w:b w:val="0"/>
          <w:bCs w:val="0"/>
          <w:sz w:val="32"/>
          <w:szCs w:val="32"/>
        </w:rPr>
        <w:t>入决算表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8"/>
          <w:rFonts w:hint="eastAsia" w:ascii="仿宋" w:hAnsi="仿宋" w:eastAsia="仿宋" w:cs="仿宋"/>
          <w:b w:val="0"/>
          <w:bCs w:val="0"/>
          <w:sz w:val="32"/>
          <w:szCs w:val="32"/>
        </w:rPr>
        <w:t>出决算表</w:t>
      </w:r>
    </w:p>
    <w:p>
      <w:pPr>
        <w:pStyle w:val="4"/>
        <w:widowControl/>
        <w:rPr>
          <w:rFonts w:hint="eastAsia" w:ascii="仿宋" w:hAnsi="仿宋" w:eastAsia="仿宋" w:cs="Times New Roman"/>
          <w:b w:val="0"/>
          <w:bCs/>
          <w:kern w:val="2"/>
          <w:sz w:val="32"/>
          <w:szCs w:val="32"/>
        </w:rPr>
      </w:pPr>
      <w:r>
        <w:rPr>
          <w:rStyle w:val="18"/>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8"/>
          <w:rFonts w:hint="eastAsia" w:ascii="仿宋" w:hAnsi="仿宋" w:eastAsia="仿宋" w:cs="仿宋"/>
          <w:b w:val="0"/>
          <w:bCs w:val="0"/>
          <w:sz w:val="32"/>
          <w:szCs w:val="32"/>
        </w:rPr>
        <w:t>政拨款收入支出决算总表</w:t>
      </w:r>
    </w:p>
    <w:p>
      <w:pPr>
        <w:pStyle w:val="4"/>
        <w:widowControl/>
        <w:rPr>
          <w:rFonts w:hint="eastAsia" w:ascii="仿宋" w:hAnsi="仿宋" w:eastAsia="仿宋" w:cs="Times New Roman"/>
          <w:b w:val="0"/>
          <w:bCs w:val="0"/>
          <w:sz w:val="32"/>
          <w:szCs w:val="32"/>
        </w:rPr>
      </w:pPr>
      <w:r>
        <w:rPr>
          <w:rStyle w:val="18"/>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8"/>
          <w:rFonts w:hint="eastAsia" w:ascii="仿宋" w:hAnsi="仿宋" w:eastAsia="仿宋" w:cs="仿宋"/>
          <w:b w:val="0"/>
          <w:bCs w:val="0"/>
          <w:sz w:val="32"/>
          <w:szCs w:val="32"/>
        </w:rPr>
        <w:t>政拨款支出决算明细表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般公共预算财政拨款支出决算明细表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般公共预算财政拨款基本支出决算表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般公共预算财政拨款项目支出决算表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8"/>
          <w:rFonts w:hint="eastAsia" w:ascii="仿宋" w:hAnsi="仿宋" w:eastAsia="仿宋" w:cs="仿宋"/>
          <w:b w:val="0"/>
          <w:bCs w:val="0"/>
          <w:sz w:val="32"/>
          <w:szCs w:val="32"/>
        </w:rPr>
        <w:t>府性基金预算财政拨款收入支出决算表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8"/>
          <w:rFonts w:hint="eastAsia" w:ascii="仿宋" w:hAnsi="仿宋" w:eastAsia="仿宋" w:cs="仿宋"/>
          <w:b w:val="0"/>
          <w:bCs w:val="0"/>
          <w:sz w:val="32"/>
          <w:szCs w:val="32"/>
        </w:rPr>
        <w:t>有资本经营预算财政拨款收入支出决算表</w:t>
      </w:r>
    </w:p>
    <w:p>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十二、国有资本经营预算财政拨款支出决算表</w:t>
      </w:r>
    </w:p>
    <w:p>
      <w:pPr>
        <w:pStyle w:val="4"/>
        <w:widowControl/>
        <w:rPr>
          <w:rFonts w:hint="eastAsia" w:ascii="Cambria" w:hAnsi="Cambria" w:eastAsia="仿宋" w:cs="Times New Roman"/>
          <w:b/>
          <w:bCs/>
          <w:kern w:val="2"/>
          <w:sz w:val="32"/>
          <w:szCs w:val="32"/>
        </w:rPr>
      </w:pPr>
      <w:r>
        <w:rPr>
          <w:rStyle w:val="18"/>
          <w:rFonts w:hint="eastAsia" w:ascii="仿宋" w:hAnsi="仿宋" w:eastAsia="仿宋" w:cs="仿宋"/>
          <w:b w:val="0"/>
          <w:bCs w:val="0"/>
          <w:sz w:val="32"/>
          <w:szCs w:val="32"/>
        </w:rPr>
        <w:t>十三、财政拨款“三公”经费支出决算表</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7EED34"/>
    <w:multiLevelType w:val="singleLevel"/>
    <w:tmpl w:val="AD7EED34"/>
    <w:lvl w:ilvl="0" w:tentative="0">
      <w:start w:val="1"/>
      <w:numFmt w:val="decimal"/>
      <w:lvlText w:val="%1."/>
      <w:lvlJc w:val="left"/>
      <w:pPr>
        <w:tabs>
          <w:tab w:val="left" w:pos="312"/>
        </w:tabs>
      </w:pPr>
    </w:lvl>
  </w:abstractNum>
  <w:abstractNum w:abstractNumId="1">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07429A2"/>
    <w:rsid w:val="03AF483B"/>
    <w:rsid w:val="03B35AE9"/>
    <w:rsid w:val="04665056"/>
    <w:rsid w:val="09AE1F88"/>
    <w:rsid w:val="0A960382"/>
    <w:rsid w:val="0A977596"/>
    <w:rsid w:val="0DDD0AFB"/>
    <w:rsid w:val="10FB1AA8"/>
    <w:rsid w:val="147847D5"/>
    <w:rsid w:val="15FA1CFE"/>
    <w:rsid w:val="18102107"/>
    <w:rsid w:val="18465320"/>
    <w:rsid w:val="186D70E5"/>
    <w:rsid w:val="1A876E66"/>
    <w:rsid w:val="1F736BA3"/>
    <w:rsid w:val="223905D4"/>
    <w:rsid w:val="23D30F0C"/>
    <w:rsid w:val="255517FA"/>
    <w:rsid w:val="25B56DD4"/>
    <w:rsid w:val="26757452"/>
    <w:rsid w:val="29EB2AFB"/>
    <w:rsid w:val="2ABB2F4F"/>
    <w:rsid w:val="2C6311C4"/>
    <w:rsid w:val="2C8052CD"/>
    <w:rsid w:val="2DD37B2E"/>
    <w:rsid w:val="2F7A1D56"/>
    <w:rsid w:val="31424138"/>
    <w:rsid w:val="35763D57"/>
    <w:rsid w:val="381C7532"/>
    <w:rsid w:val="39B43A3B"/>
    <w:rsid w:val="3A282B8F"/>
    <w:rsid w:val="3D6701E3"/>
    <w:rsid w:val="3D6C1E8E"/>
    <w:rsid w:val="3E47640C"/>
    <w:rsid w:val="3E477ACF"/>
    <w:rsid w:val="3F3861FA"/>
    <w:rsid w:val="405A5EEC"/>
    <w:rsid w:val="414A4154"/>
    <w:rsid w:val="43CB1E59"/>
    <w:rsid w:val="44502853"/>
    <w:rsid w:val="483427C0"/>
    <w:rsid w:val="487503AE"/>
    <w:rsid w:val="4A3B288C"/>
    <w:rsid w:val="4C0146CD"/>
    <w:rsid w:val="4ED14148"/>
    <w:rsid w:val="50F530E7"/>
    <w:rsid w:val="514364CA"/>
    <w:rsid w:val="536961B3"/>
    <w:rsid w:val="582E2D75"/>
    <w:rsid w:val="58805B34"/>
    <w:rsid w:val="5B9C3B0C"/>
    <w:rsid w:val="5C5F5DB2"/>
    <w:rsid w:val="5D131446"/>
    <w:rsid w:val="5D752101"/>
    <w:rsid w:val="5EA33DE2"/>
    <w:rsid w:val="60233110"/>
    <w:rsid w:val="60D21CFD"/>
    <w:rsid w:val="6198312F"/>
    <w:rsid w:val="627C57DB"/>
    <w:rsid w:val="673C3788"/>
    <w:rsid w:val="6B8D71AD"/>
    <w:rsid w:val="6BB931DF"/>
    <w:rsid w:val="6E6F337E"/>
    <w:rsid w:val="719A1C34"/>
    <w:rsid w:val="720F7F50"/>
    <w:rsid w:val="72411760"/>
    <w:rsid w:val="74BD6F2E"/>
    <w:rsid w:val="7521645C"/>
    <w:rsid w:val="770E4313"/>
    <w:rsid w:val="7B9D456B"/>
    <w:rsid w:val="7F435763"/>
    <w:rsid w:val="7FBF7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able of figures"/>
    <w:basedOn w:val="1"/>
    <w:next w:val="1"/>
    <w:unhideWhenUsed/>
    <w:qFormat/>
    <w:uiPriority w:val="0"/>
    <w:pPr>
      <w:ind w:left="200" w:leftChars="200" w:hanging="200" w:hangingChars="200"/>
    </w:pPr>
    <w:rPr>
      <w:rFonts w:hint="eastAsia"/>
      <w:sz w:val="32"/>
      <w:szCs w:val="21"/>
    </w:rPr>
  </w:style>
  <w:style w:type="paragraph" w:styleId="10">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1">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4">
    <w:name w:val="Strong"/>
    <w:basedOn w:val="13"/>
    <w:qFormat/>
    <w:uiPriority w:val="0"/>
    <w:rPr>
      <w:b/>
    </w:rPr>
  </w:style>
  <w:style w:type="character" w:customStyle="1" w:styleId="15">
    <w:name w:val="10"/>
    <w:basedOn w:val="13"/>
    <w:qFormat/>
    <w:uiPriority w:val="0"/>
    <w:rPr>
      <w:rFonts w:hint="default" w:ascii="Times New Roman" w:hAnsi="Times New Roman" w:cs="Times New Roman"/>
    </w:rPr>
  </w:style>
  <w:style w:type="character" w:customStyle="1" w:styleId="16">
    <w:name w:val="16"/>
    <w:basedOn w:val="13"/>
    <w:qFormat/>
    <w:uiPriority w:val="0"/>
    <w:rPr>
      <w:rFonts w:hint="default" w:ascii="Times New Roman" w:hAnsi="Times New Roman" w:cs="Times New Roman"/>
      <w:b/>
      <w:bCs/>
      <w:kern w:val="44"/>
      <w:sz w:val="44"/>
      <w:szCs w:val="44"/>
    </w:rPr>
  </w:style>
  <w:style w:type="character" w:customStyle="1" w:styleId="17">
    <w:name w:val="15"/>
    <w:basedOn w:val="13"/>
    <w:qFormat/>
    <w:uiPriority w:val="0"/>
    <w:rPr>
      <w:rFonts w:hint="default" w:ascii="Times New Roman" w:hAnsi="Times New Roman" w:cs="Times New Roman"/>
      <w:b/>
    </w:rPr>
  </w:style>
  <w:style w:type="character" w:customStyle="1" w:styleId="18">
    <w:name w:val="17"/>
    <w:basedOn w:val="13"/>
    <w:qFormat/>
    <w:uiPriority w:val="0"/>
    <w:rPr>
      <w:rFonts w:hint="default" w:ascii="Cambria" w:hAnsi="Cambria" w:eastAsia="宋体" w:cs="Times New Roman"/>
      <w:b/>
      <w:bCs/>
      <w:sz w:val="32"/>
      <w:szCs w:val="32"/>
    </w:rPr>
  </w:style>
  <w:style w:type="paragraph" w:customStyle="1" w:styleId="19">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0">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3570</Words>
  <Characters>4929</Characters>
  <Lines>0</Lines>
  <Paragraphs>0</Paragraphs>
  <TotalTime>8</TotalTime>
  <ScaleCrop>false</ScaleCrop>
  <LinksUpToDate>false</LinksUpToDate>
  <CharactersWithSpaces>4965</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2024-09-25T09:43:27Z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D4A39BB81AD24DD694D5EAEE214133A3_12</vt:lpwstr>
  </property>
</Properties>
</file>