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16A925">
      <w:pPr>
        <w:pStyle w:val="5"/>
        <w:widowControl/>
        <w:ind w:left="0" w:right="0"/>
        <w:jc w:val="center"/>
        <w:rPr>
          <w:rFonts w:hint="eastAsia" w:ascii="方正小标宋简体" w:hAnsi="宋体" w:eastAsia="方正小标宋简体" w:cs="Times New Roman"/>
          <w:kern w:val="2"/>
          <w:sz w:val="44"/>
          <w:szCs w:val="44"/>
        </w:rPr>
      </w:pPr>
    </w:p>
    <w:p w14:paraId="45BB5DB5">
      <w:pPr>
        <w:pStyle w:val="5"/>
        <w:widowControl/>
        <w:ind w:left="0" w:right="0"/>
        <w:jc w:val="center"/>
        <w:rPr>
          <w:rFonts w:hint="eastAsia" w:ascii="方正小标宋简体" w:hAnsi="方正小标宋简体" w:eastAsia="方正小标宋简体" w:cs="方正小标宋简体"/>
          <w:kern w:val="2"/>
          <w:sz w:val="48"/>
          <w:szCs w:val="48"/>
        </w:rPr>
      </w:pPr>
    </w:p>
    <w:p w14:paraId="408C9CE6">
      <w:pPr>
        <w:pStyle w:val="5"/>
        <w:widowControl/>
        <w:ind w:left="0" w:right="0"/>
        <w:jc w:val="center"/>
        <w:rPr>
          <w:rFonts w:hint="eastAsia" w:ascii="方正小标宋简体" w:hAnsi="方正小标宋简体" w:eastAsia="方正小标宋简体" w:cs="方正小标宋简体"/>
          <w:kern w:val="2"/>
          <w:sz w:val="48"/>
          <w:szCs w:val="48"/>
        </w:rPr>
      </w:pPr>
    </w:p>
    <w:p w14:paraId="111FC48E">
      <w:pPr>
        <w:pStyle w:val="5"/>
        <w:widowControl/>
        <w:ind w:left="0" w:right="0"/>
        <w:jc w:val="center"/>
        <w:rPr>
          <w:rFonts w:hint="eastAsia" w:ascii="方正小标宋简体" w:hAnsi="方正小标宋简体" w:eastAsia="方正小标宋简体" w:cs="方正小标宋简体"/>
          <w:kern w:val="2"/>
          <w:sz w:val="48"/>
          <w:szCs w:val="48"/>
        </w:rPr>
      </w:pPr>
      <w:r>
        <w:rPr>
          <w:rFonts w:hint="eastAsia" w:ascii="方正小标宋简体" w:hAnsi="方正小标宋简体" w:eastAsia="方正小标宋简体" w:cs="方正小标宋简体"/>
          <w:kern w:val="2"/>
          <w:sz w:val="48"/>
          <w:szCs w:val="48"/>
        </w:rPr>
        <w:t>202</w:t>
      </w:r>
      <w:r>
        <w:rPr>
          <w:rFonts w:hint="eastAsia" w:ascii="方正小标宋简体" w:hAnsi="方正小标宋简体" w:eastAsia="方正小标宋简体" w:cs="方正小标宋简体"/>
          <w:kern w:val="2"/>
          <w:sz w:val="48"/>
          <w:szCs w:val="48"/>
          <w:lang w:val="en-US" w:eastAsia="zh-CN"/>
        </w:rPr>
        <w:t>4</w:t>
      </w:r>
      <w:r>
        <w:rPr>
          <w:rFonts w:hint="eastAsia" w:ascii="方正小标宋简体" w:hAnsi="方正小标宋简体" w:eastAsia="方正小标宋简体" w:cs="方正小标宋简体"/>
          <w:kern w:val="2"/>
          <w:sz w:val="48"/>
          <w:szCs w:val="48"/>
        </w:rPr>
        <w:t>年度</w:t>
      </w:r>
    </w:p>
    <w:p w14:paraId="098F46C0">
      <w:pPr>
        <w:pStyle w:val="5"/>
        <w:widowControl/>
        <w:ind w:left="0" w:right="0"/>
        <w:jc w:val="center"/>
        <w:rPr>
          <w:rFonts w:hint="eastAsia" w:ascii="方正小标宋简体" w:hAnsi="方正小标宋简体" w:eastAsia="方正小标宋简体" w:cs="方正小标宋简体"/>
          <w:kern w:val="2"/>
          <w:sz w:val="48"/>
          <w:szCs w:val="48"/>
          <w:lang w:eastAsia="zh-CN"/>
        </w:rPr>
      </w:pPr>
      <w:r>
        <w:rPr>
          <w:rFonts w:hint="eastAsia" w:ascii="方正小标宋简体" w:hAnsi="方正小标宋简体" w:eastAsia="方正小标宋简体" w:cs="方正小标宋简体"/>
          <w:kern w:val="2"/>
          <w:sz w:val="48"/>
          <w:szCs w:val="48"/>
        </w:rPr>
        <w:t>四川省阿坝州茂县</w:t>
      </w:r>
      <w:r>
        <w:rPr>
          <w:rFonts w:hint="eastAsia" w:ascii="方正小标宋简体" w:hAnsi="方正小标宋简体" w:eastAsia="方正小标宋简体" w:cs="方正小标宋简体"/>
          <w:kern w:val="2"/>
          <w:sz w:val="48"/>
          <w:szCs w:val="48"/>
          <w:lang w:eastAsia="zh-CN"/>
        </w:rPr>
        <w:t>行政审批局</w:t>
      </w:r>
    </w:p>
    <w:p w14:paraId="10BFB1C0">
      <w:pPr>
        <w:pStyle w:val="5"/>
        <w:widowControl/>
        <w:ind w:left="0" w:right="0"/>
        <w:jc w:val="center"/>
        <w:rPr>
          <w:rFonts w:hint="eastAsia" w:ascii="方正小标宋简体" w:hAnsi="宋体" w:eastAsia="方正小标宋简体" w:cs="Times New Roman"/>
          <w:kern w:val="2"/>
          <w:sz w:val="44"/>
          <w:szCs w:val="44"/>
        </w:rPr>
      </w:pPr>
      <w:r>
        <w:rPr>
          <w:rFonts w:hint="eastAsia" w:ascii="方正小标宋简体" w:hAnsi="方正小标宋简体" w:eastAsia="方正小标宋简体" w:cs="方正小标宋简体"/>
          <w:kern w:val="2"/>
          <w:sz w:val="48"/>
          <w:szCs w:val="48"/>
          <w:lang w:eastAsia="zh-CN"/>
        </w:rPr>
        <w:t>汇总部门</w:t>
      </w:r>
      <w:r>
        <w:rPr>
          <w:rFonts w:hint="eastAsia" w:ascii="方正小标宋简体" w:hAnsi="方正小标宋简体" w:eastAsia="方正小标宋简体" w:cs="方正小标宋简体"/>
          <w:kern w:val="2"/>
          <w:sz w:val="48"/>
          <w:szCs w:val="48"/>
        </w:rPr>
        <w:t>决算</w:t>
      </w:r>
    </w:p>
    <w:p w14:paraId="1EA4622E">
      <w:pPr>
        <w:pStyle w:val="5"/>
        <w:widowControl/>
        <w:ind w:left="0" w:right="0"/>
        <w:jc w:val="center"/>
        <w:rPr>
          <w:rFonts w:hint="eastAsia" w:ascii="黑体" w:hAnsi="宋体" w:eastAsia="黑体" w:cs="黑体"/>
          <w:kern w:val="2"/>
          <w:sz w:val="48"/>
          <w:szCs w:val="48"/>
          <w:lang w:val="en-US" w:eastAsia="zh-CN" w:bidi="ar"/>
        </w:rPr>
        <w:sectPr>
          <w:pgSz w:w="11906" w:h="16838"/>
          <w:pgMar w:top="1440" w:right="1800" w:bottom="1440" w:left="1800" w:header="851" w:footer="992" w:gutter="0"/>
          <w:pgNumType w:fmt="decimal" w:start="1"/>
          <w:cols w:space="425" w:num="1"/>
          <w:docGrid w:type="lines" w:linePitch="312" w:charSpace="0"/>
        </w:sectPr>
      </w:pPr>
    </w:p>
    <w:p w14:paraId="1D2C2787">
      <w:pPr>
        <w:pStyle w:val="5"/>
        <w:widowControl/>
        <w:ind w:left="0" w:right="0"/>
        <w:jc w:val="center"/>
        <w:rPr>
          <w:rFonts w:hint="eastAsia" w:ascii="黑体" w:hAnsi="宋体" w:eastAsia="黑体" w:cs="Times New Roman"/>
          <w:kern w:val="2"/>
          <w:sz w:val="48"/>
          <w:szCs w:val="48"/>
        </w:rPr>
      </w:pPr>
      <w:r>
        <w:rPr>
          <w:rFonts w:hint="eastAsia" w:ascii="黑体" w:hAnsi="宋体" w:eastAsia="黑体" w:cs="黑体"/>
          <w:kern w:val="2"/>
          <w:sz w:val="48"/>
          <w:szCs w:val="48"/>
          <w:lang w:val="en-US" w:eastAsia="zh-CN" w:bidi="ar"/>
        </w:rPr>
        <w:t>目录</w:t>
      </w:r>
    </w:p>
    <w:p w14:paraId="13A32C6A">
      <w:pPr>
        <w:keepNext w:val="0"/>
        <w:keepLines w:val="0"/>
        <w:widowControl/>
        <w:suppressLineNumbers w:val="0"/>
        <w:suppressAutoHyphens/>
        <w:spacing w:before="0" w:beforeAutospacing="0" w:after="0" w:afterAutospacing="0"/>
        <w:ind w:left="0" w:right="0"/>
        <w:jc w:val="center"/>
        <w:rPr>
          <w:rFonts w:hint="eastAsia" w:ascii="黑体" w:hAnsi="宋体" w:eastAsia="黑体" w:cs="Times New Roman"/>
          <w:kern w:val="2"/>
          <w:sz w:val="28"/>
          <w:szCs w:val="28"/>
        </w:rPr>
      </w:pPr>
      <w:r>
        <w:rPr>
          <w:rFonts w:hint="eastAsia" w:ascii="黑体" w:hAnsi="宋体" w:eastAsia="黑体" w:cs="Times New Roman"/>
          <w:kern w:val="2"/>
          <w:sz w:val="28"/>
          <w:szCs w:val="28"/>
          <w:lang w:val="en-US" w:eastAsia="zh-CN" w:bidi="ar"/>
        </w:rPr>
        <w:t xml:space="preserve"> </w:t>
      </w:r>
    </w:p>
    <w:p w14:paraId="631EA30C">
      <w:pPr>
        <w:pStyle w:val="9"/>
        <w:widowControl/>
        <w:spacing w:after="0" w:afterAutospacing="1"/>
        <w:ind w:left="0" w:right="0"/>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公开时间：2025年9月 25日</w:t>
      </w:r>
    </w:p>
    <w:p w14:paraId="019FAF25">
      <w:pPr>
        <w:pStyle w:val="9"/>
        <w:widowControl/>
        <w:spacing w:after="0" w:afterAutospacing="1"/>
        <w:ind w:left="0" w:right="0"/>
        <w:jc w:val="both"/>
      </w:pPr>
      <w:r>
        <w:rPr>
          <w:rFonts w:hint="eastAsia" w:ascii="宋体" w:hAnsi="宋体" w:eastAsia="宋体" w:cs="宋体"/>
          <w:kern w:val="2"/>
          <w:sz w:val="24"/>
          <w:szCs w:val="24"/>
          <w:lang w:val="en-US" w:eastAsia="zh-CN" w:bidi="ar"/>
        </w:rPr>
        <w:t>第一部分 单位概况...................................................1</w:t>
      </w:r>
    </w:p>
    <w:p w14:paraId="6DAB16FA">
      <w:pPr>
        <w:pStyle w:val="9"/>
        <w:widowControl/>
        <w:numPr>
          <w:ilvl w:val="0"/>
          <w:numId w:val="0"/>
        </w:numPr>
        <w:spacing w:after="0" w:afterAutospacing="1"/>
        <w:ind w:right="0" w:rightChars="0" w:firstLine="480" w:firstLineChars="20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一、主要职责....................................................1</w:t>
      </w:r>
    </w:p>
    <w:p w14:paraId="12B64C4D">
      <w:pPr>
        <w:pStyle w:val="11"/>
        <w:widowControl/>
        <w:adjustRightInd w:val="0"/>
        <w:snapToGrid w:val="0"/>
        <w:spacing w:before="0" w:beforeAutospacing="1" w:after="0" w:afterAutospacing="1" w:line="440" w:lineRule="exact"/>
        <w:ind w:left="0" w:leftChars="0" w:right="0" w:firstLine="480" w:firstLineChars="200"/>
        <w:jc w:val="left"/>
        <w:rPr>
          <w:rFonts w:hint="default" w:ascii="宋体" w:hAnsi="宋体" w:cs="宋体"/>
          <w:kern w:val="2"/>
          <w:sz w:val="24"/>
          <w:szCs w:val="24"/>
          <w:lang w:val="en-US" w:eastAsia="zh-CN" w:bidi="ar"/>
        </w:rPr>
      </w:pPr>
      <w:r>
        <w:rPr>
          <w:rFonts w:hint="eastAsia" w:ascii="宋体" w:hAnsi="宋体" w:eastAsia="宋体" w:cs="宋体"/>
          <w:kern w:val="2"/>
          <w:sz w:val="24"/>
          <w:szCs w:val="24"/>
          <w:lang w:val="en-US" w:eastAsia="zh-CN" w:bidi="ar"/>
        </w:rPr>
        <w:t>二、机构设置</w:t>
      </w:r>
      <w:r>
        <w:rPr>
          <w:rFonts w:hint="eastAsia" w:ascii="宋体" w:hAnsi="宋体" w:cs="宋体"/>
          <w:kern w:val="2"/>
          <w:sz w:val="24"/>
          <w:szCs w:val="24"/>
          <w:lang w:val="en-US" w:eastAsia="zh-CN" w:bidi="ar"/>
        </w:rPr>
        <w:t>....................................................2</w:t>
      </w:r>
    </w:p>
    <w:p w14:paraId="5E048842">
      <w:pPr>
        <w:pStyle w:val="11"/>
        <w:widowControl/>
        <w:adjustRightInd w:val="0"/>
        <w:snapToGrid w:val="0"/>
        <w:spacing w:before="0" w:beforeAutospacing="1" w:after="0" w:afterAutospacing="1" w:line="440" w:lineRule="exact"/>
        <w:ind w:left="0" w:leftChars="0" w:right="0" w:firstLine="0" w:firstLineChars="0"/>
        <w:jc w:val="left"/>
        <w:rPr>
          <w:rFonts w:hint="default"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 xml:space="preserve">第二部分 </w:t>
      </w:r>
      <w:r>
        <w:rPr>
          <w:rFonts w:hint="eastAsia" w:ascii="宋体" w:hAnsi="宋体" w:eastAsia="宋体" w:cs="宋体"/>
          <w:kern w:val="2"/>
          <w:sz w:val="24"/>
          <w:szCs w:val="24"/>
          <w:lang w:val="en-US" w:eastAsia="zh-CN" w:bidi="ar"/>
        </w:rPr>
        <w:t>202</w:t>
      </w:r>
      <w:r>
        <w:rPr>
          <w:rFonts w:hint="eastAsia" w:ascii="宋体" w:hAnsi="宋体" w:cs="宋体"/>
          <w:kern w:val="2"/>
          <w:sz w:val="24"/>
          <w:szCs w:val="24"/>
          <w:lang w:val="en-US" w:eastAsia="zh-CN" w:bidi="ar"/>
        </w:rPr>
        <w:t>4</w:t>
      </w:r>
      <w:r>
        <w:rPr>
          <w:rFonts w:hint="eastAsia" w:ascii="宋体" w:hAnsi="宋体" w:eastAsia="宋体" w:cs="宋体"/>
          <w:kern w:val="2"/>
          <w:sz w:val="24"/>
          <w:szCs w:val="24"/>
          <w:lang w:val="en-US" w:eastAsia="zh-CN" w:bidi="ar"/>
        </w:rPr>
        <w:t>年度单位决算情况说明</w:t>
      </w:r>
      <w:r>
        <w:rPr>
          <w:rFonts w:hint="eastAsia" w:ascii="宋体" w:hAnsi="宋体" w:cs="宋体"/>
          <w:kern w:val="2"/>
          <w:sz w:val="24"/>
          <w:szCs w:val="24"/>
          <w:lang w:val="en-US" w:eastAsia="zh-CN" w:bidi="ar"/>
        </w:rPr>
        <w:t>..................................2</w:t>
      </w:r>
    </w:p>
    <w:p w14:paraId="3273D0B8">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一、收入支出决算总体情况说明</w:t>
      </w:r>
      <w:r>
        <w:rPr>
          <w:rFonts w:hint="eastAsia" w:ascii="宋体" w:hAnsi="宋体" w:cs="宋体"/>
          <w:kern w:val="2"/>
          <w:sz w:val="24"/>
          <w:szCs w:val="24"/>
          <w:lang w:val="en-US" w:eastAsia="zh-CN" w:bidi="ar"/>
        </w:rPr>
        <w:t>....................................2</w:t>
      </w:r>
    </w:p>
    <w:p w14:paraId="1F3CAA4C">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二、收入决算情况说明</w:t>
      </w:r>
      <w:r>
        <w:rPr>
          <w:rFonts w:hint="eastAsia" w:ascii="宋体" w:hAnsi="宋体" w:cs="宋体"/>
          <w:kern w:val="2"/>
          <w:sz w:val="24"/>
          <w:szCs w:val="24"/>
          <w:lang w:val="en-US" w:eastAsia="zh-CN" w:bidi="ar"/>
        </w:rPr>
        <w:t>............................................2</w:t>
      </w:r>
    </w:p>
    <w:p w14:paraId="7EC74179">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三、支出决算情况说明</w:t>
      </w:r>
      <w:r>
        <w:rPr>
          <w:rFonts w:hint="eastAsia" w:ascii="宋体" w:hAnsi="宋体" w:cs="宋体"/>
          <w:kern w:val="2"/>
          <w:sz w:val="24"/>
          <w:szCs w:val="24"/>
          <w:lang w:val="en-US" w:eastAsia="zh-CN" w:bidi="ar"/>
        </w:rPr>
        <w:t>............................................3</w:t>
      </w:r>
    </w:p>
    <w:p w14:paraId="161D2576">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四、财政拨款收入支出决算总体情况说明</w:t>
      </w:r>
      <w:r>
        <w:rPr>
          <w:rFonts w:hint="eastAsia" w:ascii="宋体" w:hAnsi="宋体" w:cs="宋体"/>
          <w:kern w:val="2"/>
          <w:sz w:val="24"/>
          <w:szCs w:val="24"/>
          <w:lang w:val="en-US" w:eastAsia="zh-CN" w:bidi="ar"/>
        </w:rPr>
        <w:t>............................3</w:t>
      </w:r>
    </w:p>
    <w:p w14:paraId="26D3E9CA">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五、一般公共预算财政拨款支出决算情况说明</w:t>
      </w:r>
      <w:r>
        <w:rPr>
          <w:rFonts w:hint="eastAsia" w:ascii="宋体" w:hAnsi="宋体" w:cs="宋体"/>
          <w:kern w:val="2"/>
          <w:sz w:val="24"/>
          <w:szCs w:val="24"/>
          <w:lang w:val="en-US" w:eastAsia="zh-CN" w:bidi="ar"/>
        </w:rPr>
        <w:t>........................4</w:t>
      </w:r>
    </w:p>
    <w:p w14:paraId="40E0D177">
      <w:pPr>
        <w:pStyle w:val="11"/>
        <w:widowControl/>
        <w:adjustRightInd w:val="0"/>
        <w:snapToGrid w:val="0"/>
        <w:spacing w:before="0" w:beforeAutospacing="1" w:after="0" w:afterAutospacing="1" w:line="440" w:lineRule="exact"/>
        <w:ind w:leftChars="200" w:right="0"/>
        <w:jc w:val="left"/>
        <w:rPr>
          <w:rFonts w:hint="default" w:ascii="宋体" w:hAnsi="宋体" w:cs="宋体"/>
          <w:kern w:val="2"/>
          <w:sz w:val="24"/>
          <w:szCs w:val="24"/>
          <w:lang w:val="en-US" w:eastAsia="zh-CN" w:bidi="ar"/>
        </w:rPr>
      </w:pPr>
      <w:r>
        <w:rPr>
          <w:rFonts w:hint="eastAsia" w:ascii="宋体" w:hAnsi="宋体" w:eastAsia="宋体" w:cs="宋体"/>
          <w:kern w:val="2"/>
          <w:sz w:val="24"/>
          <w:szCs w:val="24"/>
          <w:lang w:val="en-US" w:eastAsia="zh-CN" w:bidi="ar"/>
        </w:rPr>
        <w:t>六、一般公共预算财政拨款基本支出决算情况说明</w:t>
      </w:r>
      <w:r>
        <w:rPr>
          <w:rFonts w:hint="eastAsia" w:ascii="宋体" w:hAnsi="宋体" w:cs="宋体"/>
          <w:kern w:val="2"/>
          <w:sz w:val="24"/>
          <w:szCs w:val="24"/>
          <w:lang w:val="en-US" w:eastAsia="zh-CN" w:bidi="ar"/>
        </w:rPr>
        <w:t>....................6</w:t>
      </w:r>
    </w:p>
    <w:p w14:paraId="3DB5616D">
      <w:pPr>
        <w:pStyle w:val="11"/>
        <w:widowControl/>
        <w:adjustRightInd w:val="0"/>
        <w:snapToGrid w:val="0"/>
        <w:spacing w:before="0" w:beforeAutospacing="1" w:after="0" w:afterAutospacing="1" w:line="440" w:lineRule="exact"/>
        <w:ind w:leftChars="200" w:right="0"/>
        <w:jc w:val="left"/>
        <w:rPr>
          <w:rFonts w:hint="default" w:ascii="宋体" w:hAnsi="宋体" w:cs="宋体"/>
          <w:kern w:val="2"/>
          <w:sz w:val="24"/>
          <w:szCs w:val="24"/>
          <w:lang w:val="en-US" w:eastAsia="zh-CN" w:bidi="ar"/>
        </w:rPr>
      </w:pPr>
      <w:r>
        <w:rPr>
          <w:rFonts w:hint="eastAsia" w:ascii="宋体" w:hAnsi="宋体" w:eastAsia="宋体" w:cs="宋体"/>
          <w:kern w:val="2"/>
          <w:sz w:val="24"/>
          <w:szCs w:val="24"/>
          <w:lang w:val="en-US" w:eastAsia="zh-CN" w:bidi="ar"/>
        </w:rPr>
        <w:t>七、财政拨款“三公”经费支出决算情况说明</w:t>
      </w:r>
      <w:r>
        <w:rPr>
          <w:rFonts w:hint="eastAsia" w:ascii="宋体" w:hAnsi="宋体" w:cs="宋体"/>
          <w:kern w:val="2"/>
          <w:sz w:val="24"/>
          <w:szCs w:val="24"/>
          <w:lang w:val="en-US" w:eastAsia="zh-CN" w:bidi="ar"/>
        </w:rPr>
        <w:t>........................6</w:t>
      </w:r>
    </w:p>
    <w:p w14:paraId="49B44FD3">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八、政府性基金预算支出决算情况说明</w:t>
      </w:r>
      <w:r>
        <w:rPr>
          <w:rFonts w:hint="eastAsia" w:ascii="宋体" w:hAnsi="宋体" w:cs="宋体"/>
          <w:kern w:val="2"/>
          <w:sz w:val="24"/>
          <w:szCs w:val="24"/>
          <w:lang w:val="en-US" w:eastAsia="zh-CN" w:bidi="ar"/>
        </w:rPr>
        <w:t>..............................8</w:t>
      </w:r>
    </w:p>
    <w:p w14:paraId="22E9EC0E">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九、国有资本经营预算支出决算情况说明</w:t>
      </w:r>
      <w:r>
        <w:rPr>
          <w:rFonts w:hint="eastAsia" w:ascii="宋体" w:hAnsi="宋体" w:cs="宋体"/>
          <w:kern w:val="2"/>
          <w:sz w:val="24"/>
          <w:szCs w:val="24"/>
          <w:lang w:val="en-US" w:eastAsia="zh-CN" w:bidi="ar"/>
        </w:rPr>
        <w:t>............................8</w:t>
      </w:r>
    </w:p>
    <w:p w14:paraId="381A0CC8">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十、其他重要事项的情况说明</w:t>
      </w:r>
      <w:r>
        <w:rPr>
          <w:rFonts w:hint="eastAsia" w:ascii="宋体" w:hAnsi="宋体" w:cs="宋体"/>
          <w:kern w:val="2"/>
          <w:sz w:val="24"/>
          <w:szCs w:val="24"/>
          <w:lang w:val="en-US" w:eastAsia="zh-CN" w:bidi="ar"/>
        </w:rPr>
        <w:t>......................................8</w:t>
      </w:r>
    </w:p>
    <w:p w14:paraId="75402068">
      <w:pPr>
        <w:pStyle w:val="11"/>
        <w:widowControl/>
        <w:adjustRightInd w:val="0"/>
        <w:snapToGrid w:val="0"/>
        <w:spacing w:before="0" w:beforeAutospacing="1" w:after="0" w:afterAutospacing="1" w:line="440" w:lineRule="exact"/>
        <w:ind w:left="0" w:leftChars="0" w:right="0" w:firstLine="0" w:firstLineChars="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第三部分 名词解释</w:t>
      </w:r>
      <w:r>
        <w:rPr>
          <w:rFonts w:hint="eastAsia" w:ascii="宋体" w:hAnsi="宋体" w:cs="宋体"/>
          <w:kern w:val="2"/>
          <w:sz w:val="24"/>
          <w:szCs w:val="24"/>
          <w:lang w:val="en-US" w:eastAsia="zh-CN" w:bidi="ar"/>
        </w:rPr>
        <w:t>..................................................10</w:t>
      </w:r>
    </w:p>
    <w:p w14:paraId="1CD96372">
      <w:pPr>
        <w:pStyle w:val="9"/>
        <w:widowControl/>
        <w:adjustRightInd w:val="0"/>
        <w:snapToGrid w:val="0"/>
        <w:spacing w:before="0" w:beforeAutospacing="0" w:after="0" w:afterAutospacing="1" w:line="440" w:lineRule="exact"/>
        <w:ind w:left="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第四部分 附件......................................................12</w:t>
      </w:r>
    </w:p>
    <w:p w14:paraId="3EDFEA8C">
      <w:pPr>
        <w:pStyle w:val="9"/>
        <w:widowControl/>
        <w:adjustRightInd w:val="0"/>
        <w:snapToGrid w:val="0"/>
        <w:spacing w:before="0" w:beforeAutospacing="0" w:after="0" w:afterAutospacing="1" w:line="440" w:lineRule="exact"/>
        <w:ind w:left="0" w:right="0"/>
        <w:jc w:val="left"/>
        <w:rPr>
          <w:rFonts w:hint="eastAsia" w:ascii="宋体" w:hAnsi="宋体" w:eastAsia="宋体" w:cs="宋体"/>
          <w:kern w:val="2"/>
          <w:sz w:val="24"/>
          <w:szCs w:val="24"/>
          <w:lang w:val="en-US" w:eastAsia="zh-CN" w:bidi="ar"/>
        </w:rPr>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pPr>
    </w:p>
    <w:p w14:paraId="6131D831">
      <w:pPr>
        <w:pStyle w:val="9"/>
        <w:widowControl/>
        <w:numPr>
          <w:ilvl w:val="0"/>
          <w:numId w:val="1"/>
        </w:numPr>
        <w:adjustRightInd w:val="0"/>
        <w:snapToGrid w:val="0"/>
        <w:spacing w:before="0" w:beforeAutospacing="0" w:after="0" w:afterAutospacing="1" w:line="440" w:lineRule="exact"/>
        <w:ind w:left="0" w:right="0"/>
        <w:jc w:val="left"/>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附表......................................................34</w:t>
      </w:r>
    </w:p>
    <w:p w14:paraId="5852879C">
      <w:pPr>
        <w:pStyle w:val="9"/>
        <w:widowControl/>
        <w:numPr>
          <w:ilvl w:val="0"/>
          <w:numId w:val="0"/>
        </w:numPr>
        <w:adjustRightInd w:val="0"/>
        <w:snapToGrid w:val="0"/>
        <w:spacing w:before="0" w:beforeAutospacing="0" w:after="0" w:afterAutospacing="1" w:line="440" w:lineRule="exact"/>
        <w:ind w:right="0" w:rightChars="0" w:firstLine="480" w:firstLineChars="20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一、收入支出决算总表</w:t>
      </w:r>
    </w:p>
    <w:p w14:paraId="0EC9238E">
      <w:pPr>
        <w:pStyle w:val="9"/>
        <w:widowControl/>
        <w:numPr>
          <w:ilvl w:val="0"/>
          <w:numId w:val="0"/>
        </w:numPr>
        <w:adjustRightInd w:val="0"/>
        <w:snapToGrid w:val="0"/>
        <w:spacing w:before="0" w:beforeAutospacing="0" w:after="0" w:afterAutospacing="1" w:line="440" w:lineRule="exact"/>
        <w:ind w:right="0" w:rightChars="0" w:firstLine="480" w:firstLineChars="20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二、收入决算表</w:t>
      </w:r>
    </w:p>
    <w:p w14:paraId="5649F0E6">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三、支出决算表</w:t>
      </w:r>
    </w:p>
    <w:p w14:paraId="1BFF72C9">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四、财政拨款收入支出决算总表</w:t>
      </w:r>
    </w:p>
    <w:p w14:paraId="0102E793">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五、财政拨款支出决算明细表</w:t>
      </w:r>
    </w:p>
    <w:p w14:paraId="50A60C23">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六、一般公共预算财政拨款支出决算表</w:t>
      </w:r>
    </w:p>
    <w:p w14:paraId="066FC226">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七、一般公共预算财政拨款支出决算明细表</w:t>
      </w:r>
    </w:p>
    <w:p w14:paraId="0C68C14D">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八、一般公共预算财政拨款基本支出决算明细表</w:t>
      </w:r>
    </w:p>
    <w:p w14:paraId="02C3139A">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九、一般公共预算财政拨款项目支出决算表</w:t>
      </w:r>
    </w:p>
    <w:p w14:paraId="5E110F30">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十、政府性基金预算财政拨款收入支出决算表</w:t>
      </w:r>
    </w:p>
    <w:p w14:paraId="09CA7ADA">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十一、国有资本经营预算财政拨款收入支出决算表</w:t>
      </w:r>
    </w:p>
    <w:p w14:paraId="3A801C1F">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十二、国有资本经营预算财政拨款支出决算表</w:t>
      </w:r>
    </w:p>
    <w:p w14:paraId="4F5E74D2">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十三、财政拨款“三公”经费支出决算表</w:t>
      </w:r>
    </w:p>
    <w:p w14:paraId="47806715">
      <w:pPr>
        <w:pStyle w:val="3"/>
        <w:widowControl/>
        <w:jc w:val="center"/>
        <w:rPr>
          <w:rFonts w:hint="eastAsia" w:ascii="黑体" w:hAnsi="宋体" w:eastAsia="黑体" w:cs="黑体"/>
          <w:b w:val="0"/>
          <w:bCs/>
          <w:kern w:val="44"/>
          <w:sz w:val="44"/>
          <w:szCs w:val="44"/>
        </w:rPr>
        <w:sectPr>
          <w:footerReference r:id="rId5" w:type="default"/>
          <w:pgSz w:w="11906" w:h="16838"/>
          <w:pgMar w:top="1440" w:right="1800" w:bottom="1440" w:left="1800" w:header="851" w:footer="992" w:gutter="0"/>
          <w:pgNumType w:fmt="decimal" w:start="1"/>
          <w:cols w:space="425" w:num="1"/>
          <w:docGrid w:type="lines" w:linePitch="312" w:charSpace="0"/>
        </w:sectPr>
      </w:pPr>
    </w:p>
    <w:p w14:paraId="7C94D5A6">
      <w:pPr>
        <w:pStyle w:val="3"/>
        <w:widowControl/>
        <w:jc w:val="center"/>
        <w:rPr>
          <w:rFonts w:hint="eastAsia" w:ascii="黑体" w:hAnsi="Calibri" w:eastAsia="黑体" w:cs="Times New Roman"/>
          <w:kern w:val="2"/>
          <w:sz w:val="32"/>
          <w:szCs w:val="32"/>
        </w:rPr>
      </w:pPr>
      <w:r>
        <w:rPr>
          <w:rFonts w:hint="eastAsia" w:ascii="黑体" w:hAnsi="宋体" w:eastAsia="黑体" w:cs="黑体"/>
          <w:b w:val="0"/>
          <w:bCs/>
          <w:kern w:val="44"/>
          <w:sz w:val="44"/>
          <w:szCs w:val="44"/>
        </w:rPr>
        <w:t>第一部分</w:t>
      </w:r>
      <w:r>
        <w:rPr>
          <w:rFonts w:hint="eastAsia" w:ascii="黑体" w:hAnsi="宋体" w:eastAsia="黑体" w:cs="Times New Roman"/>
          <w:b w:val="0"/>
          <w:bCs/>
          <w:kern w:val="44"/>
          <w:sz w:val="44"/>
          <w:szCs w:val="44"/>
        </w:rPr>
        <w:t xml:space="preserve"> </w:t>
      </w:r>
      <w:r>
        <w:rPr>
          <w:rFonts w:hint="eastAsia" w:ascii="黑体" w:hAnsi="宋体" w:eastAsia="黑体" w:cs="黑体"/>
          <w:b w:val="0"/>
          <w:bCs/>
          <w:kern w:val="44"/>
          <w:sz w:val="44"/>
          <w:szCs w:val="44"/>
        </w:rPr>
        <w:t>单位</w:t>
      </w:r>
      <w:r>
        <w:rPr>
          <w:rStyle w:val="17"/>
          <w:rFonts w:hint="eastAsia" w:ascii="黑体" w:hAnsi="宋体" w:eastAsia="黑体" w:cs="黑体"/>
          <w:b w:val="0"/>
          <w:bCs w:val="0"/>
          <w:kern w:val="44"/>
          <w:sz w:val="44"/>
          <w:szCs w:val="44"/>
        </w:rPr>
        <w:t>概况</w:t>
      </w:r>
    </w:p>
    <w:p w14:paraId="10E9609F">
      <w:pPr>
        <w:pStyle w:val="4"/>
        <w:keepNext/>
        <w:keepLines/>
        <w:pageBreakBefore w:val="0"/>
        <w:widowControl/>
        <w:numPr>
          <w:ilvl w:val="0"/>
          <w:numId w:val="2"/>
        </w:numPr>
        <w:kinsoku/>
        <w:wordWrap/>
        <w:overflowPunct/>
        <w:topLinePunct w:val="0"/>
        <w:autoSpaceDE/>
        <w:autoSpaceDN/>
        <w:bidi w:val="0"/>
        <w:adjustRightInd/>
        <w:snapToGrid/>
        <w:spacing w:before="0" w:after="0" w:line="240" w:lineRule="auto"/>
        <w:ind w:firstLine="640" w:firstLineChars="200"/>
        <w:textAlignment w:val="auto"/>
        <w:rPr>
          <w:rFonts w:hint="eastAsia"/>
        </w:rPr>
      </w:pPr>
      <w:r>
        <w:rPr>
          <w:rStyle w:val="19"/>
          <w:rFonts w:hint="eastAsia" w:ascii="黑体" w:hAnsi="宋体" w:eastAsia="黑体" w:cs="黑体"/>
          <w:b w:val="0"/>
          <w:bCs w:val="0"/>
          <w:sz w:val="32"/>
          <w:szCs w:val="32"/>
        </w:rPr>
        <w:t>主要职责</w:t>
      </w:r>
    </w:p>
    <w:p w14:paraId="7621C82E">
      <w:pPr>
        <w:pageBreakBefore w:val="0"/>
        <w:widowControl w:val="0"/>
        <w:kinsoku/>
        <w:wordWrap/>
        <w:overflowPunct/>
        <w:topLinePunct w:val="0"/>
        <w:autoSpaceDE/>
        <w:autoSpaceDN/>
        <w:bidi w:val="0"/>
        <w:adjustRightInd/>
        <w:snapToGrid/>
        <w:spacing w:beforeAutospacing="0" w:afterAutospacing="0" w:line="576" w:lineRule="exact"/>
        <w:ind w:left="0" w:firstLine="640" w:firstLineChars="200"/>
        <w:textAlignment w:val="auto"/>
        <w:outlineLvl w:val="2"/>
        <w:rPr>
          <w:rFonts w:hint="eastAsia" w:ascii="仿宋_GB2312" w:eastAsia="仿宋_GB2312" w:cs="仿宋_GB2312"/>
          <w:color w:val="000000"/>
          <w:sz w:val="32"/>
          <w:szCs w:val="32"/>
        </w:rPr>
      </w:pPr>
      <w:r>
        <w:rPr>
          <w:rFonts w:hint="eastAsia" w:ascii="仿宋_GB2312" w:eastAsia="仿宋_GB2312" w:cs="仿宋_GB2312"/>
          <w:color w:val="000000"/>
          <w:sz w:val="32"/>
          <w:szCs w:val="32"/>
        </w:rPr>
        <w:t xml:space="preserve"> 1.会同相关部门对全县行政许可、非许可审批和相关服务项目进行清理、审核，上报县人民政府确认；负责梳理审查县级许可、非许可审批事项，确定办理具体内容，编制行政审批项目目录，并向社会公示。</w:t>
      </w:r>
    </w:p>
    <w:p w14:paraId="02433B70">
      <w:pPr>
        <w:pageBreakBefore w:val="0"/>
        <w:widowControl w:val="0"/>
        <w:kinsoku/>
        <w:wordWrap/>
        <w:overflowPunct/>
        <w:topLinePunct w:val="0"/>
        <w:autoSpaceDE/>
        <w:autoSpaceDN/>
        <w:bidi w:val="0"/>
        <w:adjustRightInd/>
        <w:snapToGrid/>
        <w:spacing w:beforeAutospacing="0" w:afterAutospacing="0" w:line="576" w:lineRule="exact"/>
        <w:ind w:left="0" w:firstLine="640" w:firstLineChars="200"/>
        <w:textAlignment w:val="auto"/>
        <w:outlineLvl w:val="2"/>
        <w:rPr>
          <w:rFonts w:hint="eastAsia" w:ascii="仿宋_GB2312" w:eastAsia="仿宋_GB2312" w:cs="仿宋_GB2312"/>
          <w:color w:val="000000"/>
          <w:sz w:val="32"/>
          <w:szCs w:val="32"/>
        </w:rPr>
      </w:pPr>
      <w:r>
        <w:rPr>
          <w:rFonts w:hint="eastAsia" w:ascii="仿宋_GB2312" w:eastAsia="仿宋_GB2312" w:cs="仿宋_GB2312"/>
          <w:color w:val="000000"/>
          <w:sz w:val="32"/>
          <w:szCs w:val="32"/>
        </w:rPr>
        <w:t xml:space="preserve"> 2.负责对在中心运行的行政许可、非许可审批事项的办理情况进行协调、监督、通报和考评；对经县人民政府批准，未进中心的行政许可、非许可审批事项的运行情况，会同监察机关进行监督检查。 </w:t>
      </w:r>
    </w:p>
    <w:p w14:paraId="266F33FE">
      <w:pPr>
        <w:pageBreakBefore w:val="0"/>
        <w:widowControl w:val="0"/>
        <w:kinsoku/>
        <w:wordWrap/>
        <w:overflowPunct/>
        <w:topLinePunct w:val="0"/>
        <w:autoSpaceDE/>
        <w:autoSpaceDN/>
        <w:bidi w:val="0"/>
        <w:adjustRightInd/>
        <w:snapToGrid/>
        <w:spacing w:beforeAutospacing="0" w:afterAutospacing="0" w:line="576" w:lineRule="exact"/>
        <w:ind w:left="0" w:firstLine="640" w:firstLineChars="200"/>
        <w:textAlignment w:val="auto"/>
        <w:outlineLvl w:val="2"/>
        <w:rPr>
          <w:rFonts w:hint="eastAsia" w:ascii="仿宋_GB2312" w:eastAsia="仿宋_GB2312" w:cs="仿宋_GB2312"/>
          <w:color w:val="000000"/>
          <w:sz w:val="32"/>
          <w:szCs w:val="32"/>
        </w:rPr>
      </w:pPr>
      <w:r>
        <w:rPr>
          <w:rFonts w:hint="eastAsia" w:ascii="仿宋_GB2312" w:eastAsia="仿宋_GB2312" w:cs="仿宋_GB2312"/>
          <w:color w:val="000000"/>
          <w:sz w:val="32"/>
          <w:szCs w:val="32"/>
        </w:rPr>
        <w:t xml:space="preserve">3.负责全县行政审批制度、工作机制和运行方式的改革等具体工作；组织对现有行政许可、非许可审批项目的办理环节、流程进行精简、优化；依法对涉及两个及两个以上部门的同一行政审批项目联合审批进行组织协调和督办。 </w:t>
      </w:r>
    </w:p>
    <w:p w14:paraId="3FA42E1C">
      <w:pPr>
        <w:pageBreakBefore w:val="0"/>
        <w:widowControl w:val="0"/>
        <w:kinsoku/>
        <w:wordWrap/>
        <w:overflowPunct/>
        <w:topLinePunct w:val="0"/>
        <w:autoSpaceDE/>
        <w:autoSpaceDN/>
        <w:bidi w:val="0"/>
        <w:adjustRightInd/>
        <w:snapToGrid/>
        <w:spacing w:beforeAutospacing="0" w:afterAutospacing="0" w:line="576" w:lineRule="exact"/>
        <w:ind w:firstLine="640" w:firstLineChars="200"/>
        <w:textAlignment w:val="auto"/>
        <w:outlineLvl w:val="2"/>
        <w:rPr>
          <w:rFonts w:hint="eastAsia" w:ascii="仿宋_GB2312" w:eastAsia="仿宋_GB2312" w:cs="仿宋_GB2312"/>
          <w:color w:val="000000"/>
          <w:sz w:val="32"/>
          <w:szCs w:val="32"/>
          <w:lang w:eastAsia="zh-CN"/>
        </w:rPr>
      </w:pPr>
      <w:r>
        <w:rPr>
          <w:rFonts w:hint="eastAsia" w:ascii="仿宋_GB2312" w:eastAsia="仿宋_GB2312" w:cs="仿宋_GB2312"/>
          <w:color w:val="000000"/>
          <w:sz w:val="32"/>
          <w:szCs w:val="32"/>
        </w:rPr>
        <w:t>4.负责中心的电子政务建设、管理、后勤保障和安全</w:t>
      </w:r>
      <w:r>
        <w:rPr>
          <w:rFonts w:hint="eastAsia" w:ascii="仿宋_GB2312" w:eastAsia="仿宋_GB2312" w:cs="仿宋_GB2312"/>
          <w:color w:val="000000"/>
          <w:sz w:val="32"/>
          <w:szCs w:val="32"/>
          <w:lang w:eastAsia="zh-CN"/>
        </w:rPr>
        <w:t>。</w:t>
      </w:r>
    </w:p>
    <w:p w14:paraId="7514E71B">
      <w:pPr>
        <w:pageBreakBefore w:val="0"/>
        <w:widowControl w:val="0"/>
        <w:kinsoku/>
        <w:wordWrap/>
        <w:overflowPunct/>
        <w:topLinePunct w:val="0"/>
        <w:autoSpaceDE/>
        <w:autoSpaceDN/>
        <w:bidi w:val="0"/>
        <w:adjustRightInd/>
        <w:snapToGrid/>
        <w:spacing w:beforeAutospacing="0" w:afterAutospacing="0" w:line="576" w:lineRule="exact"/>
        <w:ind w:firstLine="640" w:firstLineChars="200"/>
        <w:textAlignment w:val="auto"/>
        <w:outlineLvl w:val="2"/>
        <w:rPr>
          <w:rFonts w:hint="eastAsia" w:ascii="仿宋_GB2312" w:eastAsia="仿宋_GB2312" w:cs="仿宋_GB2312"/>
          <w:color w:val="000000"/>
          <w:sz w:val="32"/>
          <w:szCs w:val="32"/>
        </w:rPr>
      </w:pPr>
      <w:r>
        <w:rPr>
          <w:rFonts w:hint="eastAsia" w:ascii="仿宋_GB2312" w:eastAsia="仿宋_GB2312" w:cs="仿宋_GB2312"/>
          <w:color w:val="000000"/>
          <w:sz w:val="32"/>
          <w:szCs w:val="32"/>
        </w:rPr>
        <w:t xml:space="preserve">5.制定中心的各项规章制度、管理办法，并组织实施；负责服务窗口工作人员工作状况管理考核等具体工作；负责协调相关部门设立服务窗口，办理许可、非许可审批项目，以及派驻中心工作人员的管理与服务工作；负责受理办事企业和群众对服务窗口工作的投诉。 </w:t>
      </w:r>
    </w:p>
    <w:p w14:paraId="2EE8168A">
      <w:pPr>
        <w:pageBreakBefore w:val="0"/>
        <w:widowControl w:val="0"/>
        <w:kinsoku/>
        <w:wordWrap/>
        <w:overflowPunct/>
        <w:topLinePunct w:val="0"/>
        <w:autoSpaceDE/>
        <w:autoSpaceDN/>
        <w:bidi w:val="0"/>
        <w:adjustRightInd/>
        <w:snapToGrid/>
        <w:spacing w:beforeAutospacing="0" w:afterAutospacing="0" w:line="576" w:lineRule="exact"/>
        <w:ind w:firstLine="640" w:firstLineChars="200"/>
        <w:textAlignment w:val="auto"/>
        <w:outlineLvl w:val="2"/>
        <w:rPr>
          <w:rFonts w:hint="eastAsia" w:ascii="仿宋_GB2312" w:eastAsia="仿宋_GB2312" w:cs="仿宋_GB2312"/>
          <w:color w:val="000000"/>
          <w:sz w:val="32"/>
          <w:szCs w:val="32"/>
        </w:rPr>
      </w:pPr>
      <w:r>
        <w:rPr>
          <w:rFonts w:hint="eastAsia" w:ascii="仿宋_GB2312" w:eastAsia="仿宋_GB2312" w:cs="仿宋_GB2312"/>
          <w:color w:val="000000"/>
          <w:sz w:val="32"/>
          <w:szCs w:val="32"/>
        </w:rPr>
        <w:t xml:space="preserve">6.负责对分中心和乡镇便民服务中心经进行业务指导和监督。 </w:t>
      </w:r>
    </w:p>
    <w:p w14:paraId="1BE4EE9B">
      <w:pPr>
        <w:pageBreakBefore w:val="0"/>
        <w:widowControl w:val="0"/>
        <w:kinsoku/>
        <w:wordWrap/>
        <w:overflowPunct/>
        <w:topLinePunct w:val="0"/>
        <w:autoSpaceDE/>
        <w:autoSpaceDN/>
        <w:bidi w:val="0"/>
        <w:adjustRightInd/>
        <w:snapToGrid/>
        <w:spacing w:beforeAutospacing="0" w:afterAutospacing="0" w:line="576" w:lineRule="exact"/>
        <w:ind w:firstLine="640" w:firstLineChars="200"/>
        <w:textAlignment w:val="auto"/>
        <w:outlineLvl w:val="2"/>
        <w:rPr>
          <w:rFonts w:hint="eastAsia"/>
          <w:b w:val="0"/>
          <w:bCs w:val="0"/>
        </w:rPr>
      </w:pPr>
      <w:r>
        <w:rPr>
          <w:rFonts w:hint="eastAsia" w:ascii="仿宋_GB2312" w:eastAsia="仿宋_GB2312" w:cs="仿宋_GB2312"/>
          <w:color w:val="000000"/>
          <w:sz w:val="32"/>
          <w:szCs w:val="32"/>
        </w:rPr>
        <w:t>7.承办县委、县政府交办的其他工作。</w:t>
      </w:r>
    </w:p>
    <w:p w14:paraId="00867C30">
      <w:pPr>
        <w:pStyle w:val="4"/>
        <w:keepNext/>
        <w:keepLines/>
        <w:pageBreakBefore w:val="0"/>
        <w:widowControl/>
        <w:numPr>
          <w:ilvl w:val="0"/>
          <w:numId w:val="2"/>
        </w:numPr>
        <w:tabs>
          <w:tab w:val="left" w:pos="591"/>
        </w:tabs>
        <w:kinsoku/>
        <w:wordWrap/>
        <w:overflowPunct/>
        <w:topLinePunct w:val="0"/>
        <w:autoSpaceDE/>
        <w:autoSpaceDN/>
        <w:bidi w:val="0"/>
        <w:adjustRightInd/>
        <w:snapToGrid/>
        <w:spacing w:before="0" w:after="0" w:line="240" w:lineRule="auto"/>
        <w:ind w:left="0" w:leftChars="0" w:firstLine="640" w:firstLineChars="200"/>
        <w:textAlignment w:val="auto"/>
        <w:rPr>
          <w:rFonts w:hint="eastAsia" w:ascii="仿宋" w:hAnsi="Times New Roman" w:eastAsia="仿宋" w:cs="Times New Roman"/>
          <w:color w:val="000000"/>
          <w:sz w:val="32"/>
          <w:szCs w:val="32"/>
          <w:lang w:val="en-US" w:eastAsia="zh-CN"/>
        </w:rPr>
      </w:pPr>
      <w:r>
        <w:rPr>
          <w:rFonts w:hint="eastAsia" w:ascii="黑体" w:hAnsi="宋体" w:eastAsia="黑体" w:cs="黑体"/>
          <w:b w:val="0"/>
          <w:bCs/>
          <w:kern w:val="2"/>
          <w:sz w:val="32"/>
          <w:szCs w:val="32"/>
        </w:rPr>
        <w:t>机构设置</w:t>
      </w:r>
    </w:p>
    <w:p w14:paraId="7D2521B8">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640" w:firstLineChars="200"/>
        <w:textAlignment w:val="auto"/>
        <w:outlineLvl w:val="2"/>
        <w:rPr>
          <w:rFonts w:hint="eastAsia" w:ascii="仿宋_GB2312" w:eastAsia="仿宋_GB2312" w:cs="仿宋_GB2312"/>
          <w:b w:val="0"/>
          <w:bCs w:val="0"/>
          <w:color w:val="000000"/>
          <w:sz w:val="32"/>
          <w:szCs w:val="32"/>
        </w:rPr>
      </w:pPr>
      <w:r>
        <w:rPr>
          <w:rFonts w:hint="eastAsia" w:ascii="仿宋_GB2312" w:eastAsia="仿宋_GB2312" w:cs="仿宋_GB2312"/>
          <w:b w:val="0"/>
          <w:bCs w:val="0"/>
          <w:color w:val="000000"/>
          <w:sz w:val="32"/>
          <w:szCs w:val="32"/>
        </w:rPr>
        <w:t>茂县行政审批局</w:t>
      </w:r>
      <w:r>
        <w:rPr>
          <w:rFonts w:hint="eastAsia" w:ascii="仿宋_GB2312" w:eastAsia="仿宋_GB2312" w:cs="仿宋_GB2312"/>
          <w:b w:val="0"/>
          <w:bCs w:val="0"/>
          <w:color w:val="000000"/>
          <w:sz w:val="32"/>
          <w:szCs w:val="32"/>
          <w:lang w:eastAsia="zh-CN"/>
        </w:rPr>
        <w:t>是一级决算单位</w:t>
      </w:r>
      <w:r>
        <w:rPr>
          <w:rFonts w:hint="eastAsia" w:ascii="仿宋_GB2312" w:eastAsia="仿宋_GB2312" w:cs="仿宋_GB2312"/>
          <w:b w:val="0"/>
          <w:bCs w:val="0"/>
          <w:color w:val="000000"/>
          <w:sz w:val="32"/>
          <w:szCs w:val="32"/>
          <w:lang w:val="en-US" w:eastAsia="zh-CN"/>
        </w:rPr>
        <w:t>,为正科级行政机构，内设办公室、行政审批一室、行政审批二室、政务服务管理股（政策法规股），</w:t>
      </w:r>
      <w:r>
        <w:rPr>
          <w:rFonts w:hint="eastAsia" w:ascii="仿宋_GB2312" w:eastAsia="仿宋_GB2312" w:cs="仿宋_GB2312"/>
          <w:b w:val="0"/>
          <w:bCs w:val="0"/>
          <w:color w:val="000000"/>
          <w:sz w:val="32"/>
          <w:szCs w:val="32"/>
          <w:lang w:eastAsia="zh-CN"/>
        </w:rPr>
        <w:t>纳入</w:t>
      </w:r>
      <w:r>
        <w:rPr>
          <w:rFonts w:hint="eastAsia" w:ascii="仿宋_GB2312" w:eastAsia="仿宋_GB2312" w:cs="仿宋_GB2312"/>
          <w:b w:val="0"/>
          <w:bCs w:val="0"/>
          <w:color w:val="000000"/>
          <w:sz w:val="32"/>
          <w:szCs w:val="32"/>
          <w:lang w:val="en-US" w:eastAsia="zh-CN"/>
        </w:rPr>
        <w:t>2024年度部门决算的下属</w:t>
      </w:r>
      <w:r>
        <w:rPr>
          <w:rFonts w:hint="eastAsia" w:ascii="仿宋_GB2312" w:eastAsia="仿宋_GB2312" w:cs="仿宋_GB2312"/>
          <w:b w:val="0"/>
          <w:bCs w:val="0"/>
          <w:color w:val="000000"/>
          <w:sz w:val="32"/>
          <w:szCs w:val="32"/>
        </w:rPr>
        <w:t>二级单位1个</w:t>
      </w:r>
      <w:r>
        <w:rPr>
          <w:rFonts w:hint="eastAsia" w:ascii="仿宋_GB2312" w:eastAsia="仿宋_GB2312" w:cs="仿宋_GB2312"/>
          <w:b w:val="0"/>
          <w:bCs w:val="0"/>
          <w:color w:val="000000"/>
          <w:sz w:val="32"/>
          <w:szCs w:val="32"/>
          <w:lang w:val="en-US" w:eastAsia="zh-CN"/>
        </w:rPr>
        <w:t>:</w:t>
      </w:r>
      <w:r>
        <w:rPr>
          <w:rFonts w:hint="eastAsia" w:ascii="仿宋_GB2312" w:eastAsia="仿宋_GB2312" w:cs="仿宋_GB2312"/>
          <w:b w:val="0"/>
          <w:bCs w:val="0"/>
          <w:color w:val="000000"/>
          <w:sz w:val="32"/>
          <w:szCs w:val="32"/>
        </w:rPr>
        <w:t>茂县政务服务和公共资源交易中心。</w:t>
      </w:r>
    </w:p>
    <w:p w14:paraId="0630DF99">
      <w:pPr>
        <w:pStyle w:val="2"/>
        <w:rPr>
          <w:rFonts w:hint="eastAsia"/>
        </w:rPr>
      </w:pPr>
    </w:p>
    <w:p w14:paraId="12A13B71">
      <w:pPr>
        <w:keepNext w:val="0"/>
        <w:keepLines w:val="0"/>
        <w:widowControl/>
        <w:suppressLineNumbers w:val="0"/>
        <w:suppressAutoHyphens/>
        <w:spacing w:before="0" w:beforeAutospacing="0" w:after="0" w:afterAutospacing="0"/>
        <w:ind w:left="0" w:right="0"/>
        <w:jc w:val="center"/>
        <w:rPr>
          <w:rFonts w:hint="default" w:ascii="Calibri" w:hAnsi="Calibri" w:eastAsia="宋体" w:cs="Times New Roman"/>
          <w:kern w:val="2"/>
          <w:sz w:val="21"/>
          <w:szCs w:val="21"/>
        </w:rPr>
      </w:pPr>
      <w:r>
        <w:rPr>
          <w:rFonts w:hint="eastAsia" w:ascii="黑体" w:hAnsi="宋体" w:eastAsia="黑体" w:cs="黑体"/>
          <w:b w:val="0"/>
          <w:bCs/>
          <w:kern w:val="44"/>
          <w:sz w:val="44"/>
          <w:szCs w:val="44"/>
        </w:rPr>
        <w:t>第二部分</w:t>
      </w:r>
      <w:r>
        <w:rPr>
          <w:rFonts w:hint="eastAsia" w:ascii="黑体" w:hAnsi="宋体" w:eastAsia="黑体" w:cs="Times New Roman"/>
          <w:b w:val="0"/>
          <w:bCs/>
          <w:kern w:val="44"/>
          <w:sz w:val="44"/>
          <w:szCs w:val="44"/>
        </w:rPr>
        <w:t xml:space="preserve"> </w:t>
      </w:r>
      <w:r>
        <w:rPr>
          <w:rFonts w:hint="eastAsia" w:ascii="黑体" w:hAnsi="宋体" w:eastAsia="黑体" w:cs="黑体"/>
          <w:b w:val="0"/>
          <w:bCs/>
          <w:kern w:val="44"/>
          <w:sz w:val="44"/>
          <w:szCs w:val="44"/>
        </w:rPr>
        <w:t>202</w:t>
      </w:r>
      <w:r>
        <w:rPr>
          <w:rFonts w:hint="eastAsia" w:ascii="黑体" w:hAnsi="宋体" w:eastAsia="黑体" w:cs="黑体"/>
          <w:b w:val="0"/>
          <w:bCs/>
          <w:kern w:val="44"/>
          <w:sz w:val="44"/>
          <w:szCs w:val="44"/>
          <w:lang w:val="en-US" w:eastAsia="zh-CN"/>
        </w:rPr>
        <w:t>4</w:t>
      </w:r>
      <w:r>
        <w:rPr>
          <w:rFonts w:hint="eastAsia" w:ascii="黑体" w:hAnsi="宋体" w:eastAsia="黑体" w:cs="黑体"/>
          <w:b w:val="0"/>
          <w:bCs/>
          <w:kern w:val="44"/>
          <w:sz w:val="44"/>
          <w:szCs w:val="44"/>
        </w:rPr>
        <w:t>年度</w:t>
      </w:r>
      <w:r>
        <w:rPr>
          <w:rStyle w:val="17"/>
          <w:rFonts w:hint="eastAsia" w:ascii="黑体" w:hAnsi="宋体" w:eastAsia="黑体" w:cs="黑体"/>
          <w:b w:val="0"/>
          <w:bCs/>
          <w:kern w:val="44"/>
          <w:sz w:val="44"/>
          <w:szCs w:val="44"/>
        </w:rPr>
        <w:t>单位决算情况说明</w:t>
      </w:r>
    </w:p>
    <w:p w14:paraId="5A42D858">
      <w:pPr>
        <w:pStyle w:val="20"/>
        <w:keepNext w:val="0"/>
        <w:keepLines w:val="0"/>
        <w:pageBreakBefore w:val="0"/>
        <w:widowControl/>
        <w:kinsoku/>
        <w:wordWrap/>
        <w:overflowPunct/>
        <w:topLinePunct w:val="0"/>
        <w:bidi w:val="0"/>
        <w:snapToGrid/>
        <w:spacing w:beforeAutospacing="0" w:line="600" w:lineRule="exact"/>
        <w:ind w:left="0" w:leftChars="0" w:firstLine="640" w:firstLineChars="200"/>
        <w:textAlignment w:val="auto"/>
        <w:outlineLvl w:val="1"/>
        <w:rPr>
          <w:rFonts w:hint="eastAsia" w:ascii="黑体" w:hAnsi="宋体" w:eastAsia="黑体" w:cs="Times New Roman"/>
          <w:b w:val="0"/>
          <w:bCs/>
          <w:sz w:val="32"/>
          <w:szCs w:val="32"/>
        </w:rPr>
      </w:pPr>
      <w:r>
        <w:rPr>
          <w:rFonts w:hint="eastAsia" w:ascii="黑体" w:hAnsi="宋体" w:eastAsia="黑体" w:cs="黑体"/>
          <w:kern w:val="2"/>
          <w:sz w:val="32"/>
          <w:szCs w:val="32"/>
        </w:rPr>
        <w:t>一、收</w:t>
      </w:r>
      <w:r>
        <w:rPr>
          <w:rStyle w:val="19"/>
          <w:rFonts w:hint="eastAsia" w:ascii="黑体" w:hAnsi="宋体" w:eastAsia="黑体" w:cs="黑体"/>
          <w:b w:val="0"/>
          <w:bCs/>
          <w:sz w:val="32"/>
          <w:szCs w:val="32"/>
        </w:rPr>
        <w:t>入支出决算总体情况说明</w:t>
      </w:r>
    </w:p>
    <w:p w14:paraId="29A9C2EF">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2024年度收、支总计均为</w:t>
      </w:r>
      <w:r>
        <w:rPr>
          <w:rFonts w:hint="eastAsia" w:ascii="仿宋" w:hAnsi="仿宋" w:eastAsia="仿宋" w:cs="Times New Roman"/>
          <w:kern w:val="2"/>
          <w:sz w:val="32"/>
          <w:szCs w:val="32"/>
          <w:lang w:val="en-US" w:eastAsia="zh-CN" w:bidi="ar"/>
        </w:rPr>
        <w:t>426.66</w:t>
      </w:r>
      <w:r>
        <w:rPr>
          <w:rFonts w:hint="eastAsia" w:ascii="仿宋" w:hAnsi="仿宋" w:eastAsia="仿宋" w:cs="仿宋"/>
          <w:kern w:val="2"/>
          <w:sz w:val="32"/>
          <w:szCs w:val="32"/>
          <w:lang w:val="en-US" w:eastAsia="zh-CN" w:bidi="ar"/>
        </w:rPr>
        <w:t>万元。与2023年度相比，收、支总计各增加</w:t>
      </w:r>
      <w:r>
        <w:rPr>
          <w:rFonts w:hint="eastAsia" w:ascii="仿宋" w:hAnsi="仿宋" w:eastAsia="仿宋" w:cs="Times New Roman"/>
          <w:kern w:val="2"/>
          <w:sz w:val="32"/>
          <w:szCs w:val="32"/>
          <w:lang w:val="en-US" w:eastAsia="zh-CN" w:bidi="ar"/>
        </w:rPr>
        <w:t>69.01</w:t>
      </w:r>
      <w:r>
        <w:rPr>
          <w:rFonts w:hint="eastAsia" w:ascii="仿宋" w:hAnsi="仿宋" w:eastAsia="仿宋" w:cs="仿宋"/>
          <w:kern w:val="2"/>
          <w:sz w:val="32"/>
          <w:szCs w:val="32"/>
          <w:lang w:val="en-US" w:eastAsia="zh-CN" w:bidi="ar"/>
        </w:rPr>
        <w:t>万元，增长</w:t>
      </w:r>
      <w:r>
        <w:rPr>
          <w:rFonts w:hint="eastAsia" w:ascii="仿宋" w:hAnsi="仿宋" w:eastAsia="仿宋" w:cs="Times New Roman"/>
          <w:kern w:val="2"/>
          <w:sz w:val="32"/>
          <w:szCs w:val="32"/>
          <w:lang w:val="en-US" w:eastAsia="zh-CN" w:bidi="ar"/>
        </w:rPr>
        <w:t>19.30%</w:t>
      </w:r>
      <w:r>
        <w:rPr>
          <w:rFonts w:hint="eastAsia" w:ascii="仿宋" w:hAnsi="仿宋" w:eastAsia="仿宋" w:cs="仿宋"/>
          <w:kern w:val="2"/>
          <w:sz w:val="32"/>
          <w:szCs w:val="32"/>
          <w:lang w:val="en-US" w:eastAsia="zh-CN" w:bidi="ar"/>
        </w:rPr>
        <w:t>。主要变动原因是：2024年人员增加和工资福利的增加。</w:t>
      </w:r>
    </w:p>
    <w:p w14:paraId="040DCAF0">
      <w:pPr>
        <w:pStyle w:val="10"/>
        <w:rPr>
          <w:rFonts w:hint="default" w:ascii="仿宋" w:hAnsi="仿宋" w:eastAsia="仿宋" w:cs="仿宋"/>
          <w:kern w:val="2"/>
          <w:sz w:val="32"/>
          <w:szCs w:val="32"/>
          <w:lang w:val="en-US" w:eastAsia="zh-CN" w:bidi="ar"/>
        </w:rPr>
      </w:pPr>
      <w:r>
        <w:rPr>
          <w:rFonts w:hint="eastAsia" w:ascii="仿宋" w:hAnsi="Times New Roman" w:eastAsia="仿宋" w:cs="Times New Roman"/>
          <w:color w:val="000000"/>
          <w:sz w:val="32"/>
          <w:szCs w:val="32"/>
          <w:lang w:eastAsia="zh-CN"/>
        </w:rPr>
        <w:object>
          <v:shape id="_x0000_i1025" o:spt="75" type="#_x0000_t75" style="height:191.7pt;width:341.9pt;" o:ole="t" filled="f" o:preferrelative="t" stroked="f" coordsize="21600,21600">
            <v:path/>
            <v:fill on="f" focussize="0,0"/>
            <v:stroke on="f"/>
            <v:imagedata r:id="rId11" o:title=""/>
            <o:lock v:ext="edit" aspectratio="t"/>
            <w10:wrap type="none"/>
            <w10:anchorlock/>
          </v:shape>
          <o:OLEObject Type="Embed" ProgID="Excel.Chart.8" ShapeID="_x0000_i1025" DrawAspect="Content" ObjectID="_1468075725" r:id="rId10">
            <o:LockedField>false</o:LockedField>
          </o:OLEObject>
        </w:object>
      </w:r>
      <w:r>
        <w:rPr>
          <w:rFonts w:hint="eastAsia" w:ascii="仿宋" w:hAnsi="Times New Roman" w:eastAsia="仿宋" w:cs="Times New Roman"/>
          <w:color w:val="000000"/>
          <w:sz w:val="32"/>
          <w:szCs w:val="32"/>
          <w:lang w:val="en-US" w:eastAsia="zh-CN"/>
        </w:rPr>
        <w:t xml:space="preserve">   </w:t>
      </w:r>
    </w:p>
    <w:p w14:paraId="3F46061B">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0" w:firstLineChars="200"/>
        <w:jc w:val="left"/>
        <w:textAlignment w:val="auto"/>
        <w:rPr>
          <w:rFonts w:hint="eastAsia" w:ascii="黑体" w:hAnsi="宋体" w:eastAsia="黑体" w:cs="Times New Roman"/>
          <w:b w:val="0"/>
          <w:bCs/>
          <w:sz w:val="32"/>
          <w:szCs w:val="32"/>
        </w:rPr>
      </w:pPr>
      <w:r>
        <w:rPr>
          <w:rFonts w:hint="eastAsia" w:ascii="黑体" w:hAnsi="宋体" w:eastAsia="黑体" w:cs="黑体"/>
          <w:kern w:val="2"/>
          <w:sz w:val="32"/>
          <w:szCs w:val="32"/>
        </w:rPr>
        <w:t>二、收</w:t>
      </w:r>
      <w:r>
        <w:rPr>
          <w:rStyle w:val="19"/>
          <w:rFonts w:hint="eastAsia" w:ascii="黑体" w:hAnsi="宋体" w:eastAsia="黑体" w:cs="黑体"/>
          <w:b w:val="0"/>
          <w:bCs/>
          <w:sz w:val="32"/>
          <w:szCs w:val="32"/>
        </w:rPr>
        <w:t>入决算情况说明</w:t>
      </w:r>
    </w:p>
    <w:p w14:paraId="4D7551BE">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r>
        <w:rPr>
          <w:rFonts w:hint="eastAsia" w:ascii="仿宋" w:hAnsi="仿宋" w:eastAsia="仿宋" w:cs="仿宋"/>
          <w:kern w:val="2"/>
          <w:sz w:val="32"/>
          <w:szCs w:val="32"/>
          <w:lang w:val="en-US" w:eastAsia="zh-CN" w:bidi="ar"/>
        </w:rPr>
        <w:t>2024年度本年收入合计</w:t>
      </w:r>
      <w:r>
        <w:rPr>
          <w:rFonts w:hint="eastAsia" w:ascii="仿宋" w:hAnsi="仿宋" w:eastAsia="仿宋" w:cs="Times New Roman"/>
          <w:kern w:val="2"/>
          <w:sz w:val="32"/>
          <w:szCs w:val="32"/>
          <w:lang w:val="en-US" w:eastAsia="zh-CN" w:bidi="ar"/>
        </w:rPr>
        <w:t>426.66</w:t>
      </w:r>
      <w:r>
        <w:rPr>
          <w:rFonts w:hint="eastAsia" w:ascii="仿宋" w:hAnsi="仿宋" w:eastAsia="仿宋" w:cs="仿宋"/>
          <w:kern w:val="2"/>
          <w:sz w:val="32"/>
          <w:szCs w:val="32"/>
          <w:lang w:val="en-US" w:eastAsia="zh-CN" w:bidi="ar"/>
        </w:rPr>
        <w:t>万元，其中：一般公共预算财政拨款收入</w:t>
      </w:r>
      <w:r>
        <w:rPr>
          <w:rFonts w:hint="eastAsia" w:ascii="仿宋" w:hAnsi="仿宋" w:eastAsia="仿宋" w:cs="Times New Roman"/>
          <w:kern w:val="2"/>
          <w:sz w:val="32"/>
          <w:szCs w:val="32"/>
          <w:lang w:val="en-US" w:eastAsia="zh-CN" w:bidi="ar"/>
        </w:rPr>
        <w:t>426.66</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100%;</w:t>
      </w:r>
      <w:r>
        <w:rPr>
          <w:rFonts w:hint="eastAsia" w:ascii="仿宋" w:hAnsi="仿宋" w:eastAsia="仿宋" w:cs="仿宋"/>
          <w:kern w:val="2"/>
          <w:sz w:val="32"/>
          <w:szCs w:val="32"/>
          <w:lang w:val="en-US" w:eastAsia="zh-CN" w:bidi="ar"/>
        </w:rPr>
        <w:t>政府性基金预算财政拨款收入0万元，占0%;国有资本经营预算财政拨款收入0万元，占0%；上级补助收入0万元，占0%；事业收入0万元；占0%；经营收入0万元，占0%；附属单位上缴收入0万元，占0%；其他收入0万元，占0%。</w:t>
      </w:r>
    </w:p>
    <w:p w14:paraId="23DF65E7">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jc w:val="both"/>
        <w:textAlignment w:val="auto"/>
        <w:outlineLvl w:val="1"/>
        <w:rPr>
          <w:rFonts w:hint="eastAsia" w:ascii="仿宋" w:hAnsi="仿宋" w:eastAsia="仿宋" w:cs="Times New Roman"/>
          <w:kern w:val="2"/>
          <w:sz w:val="32"/>
          <w:szCs w:val="32"/>
          <w:lang w:val="en-US" w:eastAsia="zh-CN" w:bidi="ar"/>
        </w:rPr>
      </w:pPr>
      <w:r>
        <w:rPr>
          <w:rFonts w:hint="eastAsia" w:ascii="仿宋" w:hAnsi="Times New Roman" w:eastAsia="仿宋" w:cs="Times New Roman"/>
          <w:color w:val="000000"/>
          <w:sz w:val="32"/>
          <w:szCs w:val="32"/>
          <w:lang w:val="en-US" w:eastAsia="zh-CN"/>
        </w:rPr>
        <w:pict>
          <v:shape id="_x0000_s1026" o:spid="_x0000_s1026" o:spt="75" type="#_x0000_t75" style="position:absolute;left:0pt;margin-left:72.25pt;margin-top:10.5pt;height:182.6pt;width:256.95pt;mso-wrap-distance-bottom:0pt;mso-wrap-distance-left:9pt;mso-wrap-distance-right:9pt;mso-wrap-distance-top:0pt;z-index:251659264;mso-width-relative:page;mso-height-relative:page;" o:ole="t" filled="f" o:preferrelative="t" stroked="f" coordsize="21600,21600">
            <v:path/>
            <v:fill on="f" focussize="0,0"/>
            <v:stroke on="f"/>
            <v:imagedata r:id="rId13" o:title=""/>
            <o:lock v:ext="edit" aspectratio="t"/>
            <w10:wrap type="square"/>
          </v:shape>
          <o:OLEObject Type="Embed" ProgID="Excel.Chart.8" ShapeID="_x0000_s1026" DrawAspect="Content" ObjectID="_1468075726" r:id="rId12">
            <o:LockedField>false</o:LockedField>
          </o:OLEObject>
        </w:pict>
      </w:r>
    </w:p>
    <w:p w14:paraId="2166BC4C">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0" w:firstLineChars="200"/>
        <w:jc w:val="both"/>
        <w:textAlignment w:val="auto"/>
        <w:outlineLvl w:val="1"/>
        <w:rPr>
          <w:rFonts w:hint="eastAsia" w:ascii="黑体" w:hAnsi="宋体" w:eastAsia="黑体" w:cs="黑体"/>
          <w:kern w:val="2"/>
          <w:sz w:val="32"/>
          <w:szCs w:val="32"/>
        </w:rPr>
      </w:pPr>
    </w:p>
    <w:p w14:paraId="11BCCE3F">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0" w:firstLineChars="200"/>
        <w:jc w:val="both"/>
        <w:textAlignment w:val="auto"/>
        <w:outlineLvl w:val="1"/>
        <w:rPr>
          <w:rFonts w:hint="eastAsia" w:ascii="黑体" w:hAnsi="宋体" w:eastAsia="黑体" w:cs="黑体"/>
          <w:kern w:val="2"/>
          <w:sz w:val="32"/>
          <w:szCs w:val="32"/>
        </w:rPr>
      </w:pPr>
    </w:p>
    <w:p w14:paraId="508BA64E">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0" w:firstLineChars="200"/>
        <w:jc w:val="both"/>
        <w:textAlignment w:val="auto"/>
        <w:outlineLvl w:val="1"/>
        <w:rPr>
          <w:rFonts w:hint="eastAsia" w:ascii="黑体" w:hAnsi="宋体" w:eastAsia="黑体" w:cs="黑体"/>
          <w:kern w:val="2"/>
          <w:sz w:val="32"/>
          <w:szCs w:val="32"/>
        </w:rPr>
      </w:pPr>
    </w:p>
    <w:p w14:paraId="4CD58C83">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0" w:firstLineChars="200"/>
        <w:jc w:val="both"/>
        <w:textAlignment w:val="auto"/>
        <w:outlineLvl w:val="1"/>
        <w:rPr>
          <w:rFonts w:hint="eastAsia" w:ascii="黑体" w:hAnsi="宋体" w:eastAsia="黑体" w:cs="黑体"/>
          <w:kern w:val="2"/>
          <w:sz w:val="32"/>
          <w:szCs w:val="32"/>
        </w:rPr>
      </w:pPr>
    </w:p>
    <w:p w14:paraId="63C3735D">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0" w:firstLineChars="200"/>
        <w:jc w:val="both"/>
        <w:textAlignment w:val="auto"/>
        <w:outlineLvl w:val="1"/>
        <w:rPr>
          <w:rFonts w:hint="eastAsia" w:ascii="黑体" w:hAnsi="宋体" w:eastAsia="黑体" w:cs="黑体"/>
          <w:kern w:val="2"/>
          <w:sz w:val="32"/>
          <w:szCs w:val="32"/>
        </w:rPr>
      </w:pPr>
    </w:p>
    <w:p w14:paraId="0C67569B">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0" w:firstLineChars="200"/>
        <w:jc w:val="both"/>
        <w:textAlignment w:val="auto"/>
        <w:outlineLvl w:val="1"/>
        <w:rPr>
          <w:rFonts w:hint="eastAsia" w:ascii="黑体" w:hAnsi="宋体" w:eastAsia="黑体" w:cs="黑体"/>
          <w:kern w:val="2"/>
          <w:sz w:val="32"/>
          <w:szCs w:val="32"/>
        </w:rPr>
      </w:pPr>
    </w:p>
    <w:p w14:paraId="5FB3A515">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0" w:firstLineChars="200"/>
        <w:jc w:val="both"/>
        <w:textAlignment w:val="auto"/>
        <w:outlineLvl w:val="1"/>
        <w:rPr>
          <w:rFonts w:hint="eastAsia" w:ascii="黑体" w:hAnsi="宋体" w:eastAsia="黑体" w:cs="Times New Roman"/>
          <w:b w:val="0"/>
          <w:bCs/>
          <w:sz w:val="32"/>
          <w:szCs w:val="32"/>
        </w:rPr>
      </w:pPr>
      <w:r>
        <w:rPr>
          <w:rFonts w:hint="eastAsia" w:ascii="黑体" w:hAnsi="宋体" w:eastAsia="黑体" w:cs="黑体"/>
          <w:kern w:val="2"/>
          <w:sz w:val="32"/>
          <w:szCs w:val="32"/>
        </w:rPr>
        <w:t>三、支</w:t>
      </w:r>
      <w:r>
        <w:rPr>
          <w:rStyle w:val="19"/>
          <w:rFonts w:hint="eastAsia" w:ascii="黑体" w:hAnsi="宋体" w:eastAsia="黑体" w:cs="黑体"/>
          <w:b w:val="0"/>
          <w:bCs/>
          <w:sz w:val="32"/>
          <w:szCs w:val="32"/>
        </w:rPr>
        <w:t>出决算情况说明</w:t>
      </w:r>
    </w:p>
    <w:p w14:paraId="1ABE856C">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default" w:ascii="仿宋" w:hAnsi="仿宋" w:eastAsia="仿宋" w:cs="Times New Roman"/>
          <w:kern w:val="2"/>
          <w:sz w:val="32"/>
          <w:szCs w:val="32"/>
          <w:shd w:val="clear" w:fill="7F7F7F"/>
          <w:lang w:val="en-US"/>
        </w:rPr>
      </w:pPr>
      <w:r>
        <w:rPr>
          <w:rFonts w:hint="eastAsia" w:ascii="仿宋" w:hAnsi="仿宋" w:eastAsia="仿宋" w:cs="仿宋"/>
          <w:kern w:val="2"/>
          <w:sz w:val="32"/>
          <w:szCs w:val="32"/>
          <w:lang w:val="en-US" w:eastAsia="zh-CN" w:bidi="ar"/>
        </w:rPr>
        <w:t>2024年度本年支出合计</w:t>
      </w:r>
      <w:r>
        <w:rPr>
          <w:rFonts w:hint="eastAsia" w:ascii="仿宋" w:hAnsi="仿宋" w:eastAsia="仿宋" w:cs="Times New Roman"/>
          <w:kern w:val="2"/>
          <w:sz w:val="32"/>
          <w:szCs w:val="32"/>
          <w:lang w:val="en-US" w:eastAsia="zh-CN" w:bidi="ar"/>
        </w:rPr>
        <w:t>426.66</w:t>
      </w:r>
      <w:r>
        <w:rPr>
          <w:rFonts w:hint="eastAsia" w:ascii="仿宋" w:hAnsi="仿宋" w:eastAsia="仿宋" w:cs="仿宋"/>
          <w:kern w:val="2"/>
          <w:sz w:val="32"/>
          <w:szCs w:val="32"/>
          <w:lang w:val="en-US" w:eastAsia="zh-CN" w:bidi="ar"/>
        </w:rPr>
        <w:t>万元，其中：基本支出</w:t>
      </w:r>
      <w:r>
        <w:rPr>
          <w:rFonts w:hint="eastAsia" w:ascii="仿宋" w:hAnsi="仿宋" w:eastAsia="仿宋" w:cs="Times New Roman"/>
          <w:kern w:val="2"/>
          <w:sz w:val="32"/>
          <w:szCs w:val="32"/>
          <w:lang w:val="en-US" w:eastAsia="zh-CN" w:bidi="ar"/>
        </w:rPr>
        <w:t>371.10</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86.98%</w:t>
      </w:r>
      <w:r>
        <w:rPr>
          <w:rFonts w:hint="eastAsia" w:ascii="仿宋" w:hAnsi="仿宋" w:eastAsia="仿宋" w:cs="仿宋"/>
          <w:kern w:val="2"/>
          <w:sz w:val="32"/>
          <w:szCs w:val="32"/>
          <w:lang w:val="en-US" w:eastAsia="zh-CN" w:bidi="ar"/>
        </w:rPr>
        <w:t>；项目支出</w:t>
      </w:r>
      <w:r>
        <w:rPr>
          <w:rFonts w:hint="eastAsia" w:ascii="仿宋" w:hAnsi="仿宋" w:eastAsia="仿宋" w:cs="Times New Roman"/>
          <w:kern w:val="2"/>
          <w:sz w:val="32"/>
          <w:szCs w:val="32"/>
          <w:lang w:val="en-US" w:eastAsia="zh-CN" w:bidi="ar"/>
        </w:rPr>
        <w:t>55.56</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13.02%；上缴上级支出0万元，占0%；经营支出0万元，占0%；对附属单位补助支出0万元，占0%。</w:t>
      </w:r>
    </w:p>
    <w:p w14:paraId="397BD344">
      <w:pPr>
        <w:pStyle w:val="10"/>
        <w:ind w:left="1058" w:leftChars="504" w:firstLine="0" w:firstLineChars="0"/>
        <w:rPr>
          <w:rFonts w:hint="eastAsia" w:ascii="仿宋" w:hAnsi="仿宋" w:eastAsia="仿宋" w:cs="Times New Roman"/>
          <w:kern w:val="2"/>
          <w:sz w:val="32"/>
          <w:szCs w:val="32"/>
          <w:shd w:val="clear" w:fill="7F7F7F"/>
        </w:rPr>
      </w:pPr>
      <w:r>
        <w:rPr>
          <w:rFonts w:hint="eastAsia" w:ascii="仿宋" w:hAnsi="Times New Roman" w:eastAsia="仿宋" w:cs="Times New Roman"/>
          <w:color w:val="000000"/>
          <w:sz w:val="32"/>
          <w:szCs w:val="32"/>
          <w:lang w:val="en-US" w:eastAsia="zh-CN"/>
        </w:rPr>
        <w:object>
          <v:shape id="_x0000_i1026" o:spt="75" type="#_x0000_t75" style="height:200.35pt;width:241.05pt;" o:ole="t" filled="f" o:preferrelative="t" stroked="f" coordsize="21600,21600">
            <v:path/>
            <v:fill on="f" focussize="0,0"/>
            <v:stroke on="f"/>
            <v:imagedata r:id="rId15" o:title=""/>
            <o:lock v:ext="edit" aspectratio="t"/>
            <w10:wrap type="none"/>
            <w10:anchorlock/>
          </v:shape>
          <o:OLEObject Type="Embed" ProgID="Excel.Chart.8" ShapeID="_x0000_i1026" DrawAspect="Content" ObjectID="_1468075727" r:id="rId14">
            <o:LockedField>false</o:LockedField>
          </o:OLEObject>
        </w:object>
      </w:r>
    </w:p>
    <w:p w14:paraId="230F77EA">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0" w:firstLineChars="200"/>
        <w:jc w:val="both"/>
        <w:textAlignment w:val="auto"/>
        <w:rPr>
          <w:rFonts w:hint="eastAsia" w:ascii="黑体" w:hAnsi="宋体" w:eastAsia="黑体" w:cs="Times New Roman"/>
          <w:b w:val="0"/>
          <w:bCs/>
          <w:sz w:val="32"/>
          <w:szCs w:val="32"/>
        </w:rPr>
      </w:pPr>
      <w:r>
        <w:rPr>
          <w:rFonts w:hint="eastAsia" w:ascii="黑体" w:hAnsi="宋体" w:eastAsia="黑体" w:cs="黑体"/>
          <w:kern w:val="2"/>
          <w:sz w:val="32"/>
          <w:szCs w:val="32"/>
          <w:lang w:val="en-US" w:eastAsia="zh-CN" w:bidi="ar"/>
        </w:rPr>
        <w:t>四、财</w:t>
      </w:r>
      <w:r>
        <w:rPr>
          <w:rStyle w:val="19"/>
          <w:rFonts w:hint="eastAsia" w:ascii="黑体" w:hAnsi="宋体" w:eastAsia="黑体" w:cs="黑体"/>
          <w:b w:val="0"/>
          <w:bCs/>
          <w:kern w:val="2"/>
          <w:sz w:val="32"/>
          <w:szCs w:val="32"/>
          <w:lang w:val="en-US" w:eastAsia="zh-CN" w:bidi="ar"/>
        </w:rPr>
        <w:t>政拨款收入支出决算总体情况说明</w:t>
      </w:r>
    </w:p>
    <w:p w14:paraId="2E681BF9">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2024年度财政拨款收、支总计均为</w:t>
      </w:r>
      <w:r>
        <w:rPr>
          <w:rFonts w:hint="eastAsia" w:ascii="仿宋" w:hAnsi="仿宋" w:eastAsia="仿宋" w:cs="Times New Roman"/>
          <w:kern w:val="2"/>
          <w:sz w:val="32"/>
          <w:szCs w:val="32"/>
          <w:lang w:val="en-US" w:eastAsia="zh-CN" w:bidi="ar"/>
        </w:rPr>
        <w:t>426.66</w:t>
      </w:r>
      <w:r>
        <w:rPr>
          <w:rFonts w:hint="eastAsia" w:ascii="仿宋" w:hAnsi="仿宋" w:eastAsia="仿宋" w:cs="仿宋"/>
          <w:kern w:val="2"/>
          <w:sz w:val="32"/>
          <w:szCs w:val="32"/>
          <w:lang w:val="en-US" w:eastAsia="zh-CN" w:bidi="ar"/>
        </w:rPr>
        <w:t>万元。与2023年度相比，财政拨款收、支总计各增加</w:t>
      </w:r>
      <w:r>
        <w:rPr>
          <w:rFonts w:hint="eastAsia" w:ascii="仿宋" w:hAnsi="仿宋" w:eastAsia="仿宋" w:cs="Times New Roman"/>
          <w:kern w:val="2"/>
          <w:sz w:val="32"/>
          <w:szCs w:val="32"/>
          <w:lang w:val="en-US" w:eastAsia="zh-CN" w:bidi="ar"/>
        </w:rPr>
        <w:t>69.01</w:t>
      </w:r>
      <w:r>
        <w:rPr>
          <w:rFonts w:hint="eastAsia" w:ascii="仿宋" w:hAnsi="仿宋" w:eastAsia="仿宋" w:cs="仿宋"/>
          <w:kern w:val="2"/>
          <w:sz w:val="32"/>
          <w:szCs w:val="32"/>
          <w:lang w:val="en-US" w:eastAsia="zh-CN" w:bidi="ar"/>
        </w:rPr>
        <w:t>万元，增长</w:t>
      </w:r>
      <w:r>
        <w:rPr>
          <w:rFonts w:hint="eastAsia" w:ascii="仿宋" w:hAnsi="仿宋" w:eastAsia="仿宋" w:cs="Times New Roman"/>
          <w:kern w:val="2"/>
          <w:sz w:val="32"/>
          <w:szCs w:val="32"/>
          <w:lang w:val="en-US" w:eastAsia="zh-CN" w:bidi="ar"/>
        </w:rPr>
        <w:t>19.30%</w:t>
      </w:r>
      <w:r>
        <w:rPr>
          <w:rFonts w:hint="eastAsia" w:ascii="仿宋" w:hAnsi="仿宋" w:eastAsia="仿宋" w:cs="仿宋"/>
          <w:kern w:val="2"/>
          <w:sz w:val="32"/>
          <w:szCs w:val="32"/>
          <w:lang w:val="en-US" w:eastAsia="zh-CN" w:bidi="ar"/>
        </w:rPr>
        <w:t>。主要变动原因是：人员和工资福利的增加。</w:t>
      </w:r>
    </w:p>
    <w:p w14:paraId="2AFDA252">
      <w:pPr>
        <w:pStyle w:val="10"/>
        <w:rPr>
          <w:rFonts w:hint="eastAsia" w:ascii="仿宋" w:hAnsi="Times New Roman" w:eastAsia="仿宋" w:cs="Times New Roman"/>
          <w:color w:val="000000"/>
          <w:sz w:val="32"/>
          <w:szCs w:val="32"/>
          <w:lang w:eastAsia="zh-CN"/>
        </w:rPr>
      </w:pPr>
      <w:r>
        <w:rPr>
          <w:rFonts w:hint="eastAsia" w:ascii="仿宋" w:hAnsi="Times New Roman" w:eastAsia="仿宋" w:cs="Times New Roman"/>
          <w:color w:val="000000"/>
          <w:sz w:val="32"/>
          <w:szCs w:val="32"/>
          <w:lang w:eastAsia="zh-CN"/>
        </w:rPr>
        <w:object>
          <v:shape id="_x0000_i1027" o:spt="75" type="#_x0000_t75" style="height:181.2pt;width:328.75pt;" o:ole="t" filled="f" o:preferrelative="t" stroked="f" coordsize="21600,21600">
            <v:path/>
            <v:fill on="f" focussize="0,0"/>
            <v:stroke on="f"/>
            <v:imagedata r:id="rId17" o:title=""/>
            <o:lock v:ext="edit" aspectratio="t"/>
            <w10:wrap type="none"/>
            <w10:anchorlock/>
          </v:shape>
          <o:OLEObject Type="Embed" ProgID="Excel.Chart.8" ShapeID="_x0000_i1027" DrawAspect="Content" ObjectID="_1468075728" r:id="rId16">
            <o:LockedField>false</o:LockedField>
          </o:OLEObject>
        </w:object>
      </w:r>
    </w:p>
    <w:p w14:paraId="5EA8A430">
      <w:pPr>
        <w:pStyle w:val="10"/>
        <w:ind w:left="1059" w:leftChars="352" w:hanging="320" w:hangingChars="100"/>
        <w:rPr>
          <w:rFonts w:hint="eastAsia" w:ascii="黑体" w:hAnsi="宋体" w:eastAsia="黑体" w:cs="Times New Roman"/>
          <w:b w:val="0"/>
          <w:bCs/>
          <w:sz w:val="32"/>
          <w:szCs w:val="32"/>
        </w:rPr>
      </w:pPr>
      <w:r>
        <w:rPr>
          <w:rFonts w:hint="eastAsia" w:ascii="黑体" w:hAnsi="宋体" w:eastAsia="黑体" w:cs="黑体"/>
          <w:kern w:val="2"/>
          <w:sz w:val="32"/>
          <w:szCs w:val="32"/>
          <w:lang w:val="en-US" w:eastAsia="zh-CN" w:bidi="ar"/>
        </w:rPr>
        <w:t>五、</w:t>
      </w:r>
      <w:r>
        <w:rPr>
          <w:rFonts w:hint="eastAsia" w:ascii="黑体" w:hAnsi="宋体" w:eastAsia="黑体" w:cs="黑体"/>
          <w:b/>
          <w:bCs w:val="0"/>
          <w:kern w:val="2"/>
          <w:sz w:val="32"/>
          <w:szCs w:val="32"/>
          <w:lang w:val="en-US" w:eastAsia="zh-CN" w:bidi="ar"/>
        </w:rPr>
        <w:t>一</w:t>
      </w:r>
      <w:r>
        <w:rPr>
          <w:rStyle w:val="19"/>
          <w:rFonts w:hint="eastAsia" w:ascii="黑体" w:hAnsi="宋体" w:eastAsia="黑体" w:cs="黑体"/>
          <w:b w:val="0"/>
          <w:bCs/>
          <w:kern w:val="2"/>
          <w:sz w:val="32"/>
          <w:szCs w:val="32"/>
          <w:lang w:val="en-US" w:eastAsia="zh-CN" w:bidi="ar"/>
        </w:rPr>
        <w:t>般公共预算财政拨款支出决算情况说明</w:t>
      </w:r>
    </w:p>
    <w:p w14:paraId="7CC91C97">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（一）一般公共预算财政拨款支出决算总体情况</w:t>
      </w:r>
    </w:p>
    <w:p w14:paraId="11FF2BC4">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2024年度一般公共预算财政拨款支出</w:t>
      </w:r>
      <w:r>
        <w:rPr>
          <w:rFonts w:hint="eastAsia" w:ascii="仿宋" w:hAnsi="仿宋" w:eastAsia="仿宋" w:cs="Times New Roman"/>
          <w:kern w:val="2"/>
          <w:sz w:val="32"/>
          <w:szCs w:val="32"/>
          <w:lang w:val="en-US" w:eastAsia="zh-CN" w:bidi="ar"/>
        </w:rPr>
        <w:t>426.66</w:t>
      </w:r>
      <w:r>
        <w:rPr>
          <w:rFonts w:hint="eastAsia" w:ascii="仿宋" w:hAnsi="仿宋" w:eastAsia="仿宋" w:cs="仿宋"/>
          <w:kern w:val="2"/>
          <w:sz w:val="32"/>
          <w:szCs w:val="32"/>
          <w:lang w:val="en-US" w:eastAsia="zh-CN" w:bidi="ar"/>
        </w:rPr>
        <w:t>万元，占本年支出合计的</w:t>
      </w:r>
      <w:r>
        <w:rPr>
          <w:rFonts w:hint="eastAsia" w:ascii="仿宋" w:hAnsi="仿宋" w:eastAsia="仿宋" w:cs="Times New Roman"/>
          <w:kern w:val="2"/>
          <w:sz w:val="32"/>
          <w:szCs w:val="32"/>
          <w:lang w:val="en-US" w:eastAsia="zh-CN" w:bidi="ar"/>
        </w:rPr>
        <w:t>100%</w:t>
      </w:r>
      <w:r>
        <w:rPr>
          <w:rFonts w:hint="eastAsia" w:ascii="仿宋" w:hAnsi="仿宋" w:eastAsia="仿宋" w:cs="仿宋"/>
          <w:kern w:val="2"/>
          <w:sz w:val="32"/>
          <w:szCs w:val="32"/>
          <w:lang w:val="en-US" w:eastAsia="zh-CN" w:bidi="ar"/>
        </w:rPr>
        <w:t>。与2023年度相比，一般公共预算财政拨款支出增加</w:t>
      </w:r>
      <w:r>
        <w:rPr>
          <w:rFonts w:hint="eastAsia" w:ascii="仿宋" w:hAnsi="仿宋" w:eastAsia="仿宋" w:cs="Times New Roman"/>
          <w:kern w:val="2"/>
          <w:sz w:val="32"/>
          <w:szCs w:val="32"/>
          <w:lang w:val="en-US" w:eastAsia="zh-CN" w:bidi="ar"/>
        </w:rPr>
        <w:t>69.01</w:t>
      </w:r>
      <w:r>
        <w:rPr>
          <w:rFonts w:hint="eastAsia" w:ascii="仿宋" w:hAnsi="仿宋" w:eastAsia="仿宋" w:cs="仿宋"/>
          <w:kern w:val="2"/>
          <w:sz w:val="32"/>
          <w:szCs w:val="32"/>
          <w:lang w:val="en-US" w:eastAsia="zh-CN" w:bidi="ar"/>
        </w:rPr>
        <w:t>万元，增长</w:t>
      </w:r>
      <w:r>
        <w:rPr>
          <w:rFonts w:hint="eastAsia" w:ascii="仿宋" w:hAnsi="仿宋" w:eastAsia="仿宋" w:cs="Times New Roman"/>
          <w:kern w:val="2"/>
          <w:sz w:val="32"/>
          <w:szCs w:val="32"/>
          <w:lang w:val="en-US" w:eastAsia="zh-CN" w:bidi="ar"/>
        </w:rPr>
        <w:t>19.3%</w:t>
      </w:r>
      <w:r>
        <w:rPr>
          <w:rFonts w:hint="eastAsia" w:ascii="仿宋" w:hAnsi="仿宋" w:eastAsia="仿宋" w:cs="仿宋"/>
          <w:kern w:val="2"/>
          <w:sz w:val="32"/>
          <w:szCs w:val="32"/>
          <w:lang w:val="en-US" w:eastAsia="zh-CN" w:bidi="ar"/>
        </w:rPr>
        <w:t>。主要变动原因是：2024年人员和工资福利的增加。</w:t>
      </w:r>
    </w:p>
    <w:p w14:paraId="39035B6A">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r>
        <w:rPr>
          <w:rFonts w:hint="eastAsia" w:ascii="仿宋" w:hAnsi="Times New Roman" w:eastAsia="仿宋" w:cs="Times New Roman"/>
          <w:color w:val="000000"/>
          <w:sz w:val="32"/>
          <w:szCs w:val="32"/>
          <w:lang w:eastAsia="zh-CN"/>
        </w:rPr>
        <w:pict>
          <v:shape id="_x0000_s1027" o:spid="_x0000_s1027" o:spt="75" type="#_x0000_t75" style="position:absolute;left:0pt;margin-left:69.5pt;margin-top:10.8pt;height:181.2pt;width:286pt;mso-wrap-distance-bottom:0pt;mso-wrap-distance-left:9pt;mso-wrap-distance-right:9pt;mso-wrap-distance-top:0pt;z-index:251660288;mso-width-relative:page;mso-height-relative:page;" o:ole="t" filled="f" o:preferrelative="t" stroked="f" coordsize="21600,21600">
            <v:path/>
            <v:fill on="f" focussize="0,0"/>
            <v:stroke on="f"/>
            <v:imagedata r:id="rId19" o:title=""/>
            <o:lock v:ext="edit" aspectratio="t"/>
            <w10:wrap type="square"/>
          </v:shape>
          <o:OLEObject Type="Embed" ProgID="Excel.Chart.8" ShapeID="_x0000_s1027" DrawAspect="Content" ObjectID="_1468075729" r:id="rId18">
            <o:LockedField>false</o:LockedField>
          </o:OLEObject>
        </w:pict>
      </w:r>
    </w:p>
    <w:p w14:paraId="688AA77F">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73665CF5">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757CB3D4">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default" w:ascii="仿宋" w:hAnsi="仿宋" w:eastAsia="仿宋" w:cs="Times New Roman"/>
          <w:kern w:val="2"/>
          <w:sz w:val="32"/>
          <w:szCs w:val="32"/>
          <w:lang w:val="en-US" w:eastAsia="zh-CN" w:bidi="ar"/>
        </w:rPr>
      </w:pPr>
      <w:r>
        <w:rPr>
          <w:rFonts w:hint="eastAsia" w:ascii="仿宋" w:hAnsi="仿宋" w:eastAsia="仿宋" w:cs="Times New Roman"/>
          <w:kern w:val="2"/>
          <w:sz w:val="32"/>
          <w:szCs w:val="32"/>
          <w:lang w:val="en-US" w:eastAsia="zh-CN" w:bidi="ar"/>
        </w:rPr>
        <w:t xml:space="preserve"> </w:t>
      </w:r>
    </w:p>
    <w:p w14:paraId="45490672">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692EBA23">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jc w:val="both"/>
        <w:textAlignment w:val="auto"/>
        <w:rPr>
          <w:rFonts w:hint="eastAsia" w:ascii="仿宋" w:hAnsi="仿宋" w:eastAsia="仿宋" w:cs="Times New Roman"/>
          <w:kern w:val="2"/>
          <w:sz w:val="32"/>
          <w:szCs w:val="32"/>
        </w:rPr>
      </w:pPr>
      <w:r>
        <w:rPr>
          <w:rFonts w:hint="eastAsia" w:ascii="仿宋" w:hAnsi="仿宋" w:eastAsia="仿宋" w:cs="Times New Roman"/>
          <w:kern w:val="2"/>
          <w:sz w:val="32"/>
          <w:szCs w:val="32"/>
          <w:lang w:val="en-US" w:eastAsia="zh-CN" w:bidi="ar"/>
        </w:rPr>
        <w:t xml:space="preserve"> </w:t>
      </w:r>
    </w:p>
    <w:p w14:paraId="00320DAD">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jc w:val="both"/>
        <w:textAlignment w:val="auto"/>
        <w:outlineLvl w:val="2"/>
        <w:rPr>
          <w:rFonts w:hint="eastAsia" w:ascii="仿宋" w:hAnsi="仿宋" w:eastAsia="仿宋" w:cs="仿宋"/>
          <w:b/>
          <w:bCs w:val="0"/>
          <w:kern w:val="2"/>
          <w:sz w:val="32"/>
          <w:szCs w:val="32"/>
          <w:lang w:val="en-US" w:eastAsia="zh-CN" w:bidi="ar"/>
        </w:rPr>
      </w:pPr>
    </w:p>
    <w:p w14:paraId="2829DD19">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3" w:firstLineChars="200"/>
        <w:jc w:val="both"/>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（二）一般公共预算财政拨款支出决算结构情况</w:t>
      </w:r>
    </w:p>
    <w:p w14:paraId="4860539C">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b/>
          <w:bCs w:val="0"/>
          <w:kern w:val="2"/>
          <w:sz w:val="32"/>
          <w:szCs w:val="32"/>
        </w:rPr>
      </w:pPr>
      <w:r>
        <w:rPr>
          <w:rFonts w:hint="eastAsia" w:ascii="仿宋" w:hAnsi="仿宋" w:eastAsia="仿宋" w:cs="仿宋"/>
          <w:kern w:val="2"/>
          <w:sz w:val="32"/>
          <w:szCs w:val="32"/>
          <w:lang w:val="en-US" w:eastAsia="zh-CN" w:bidi="ar"/>
        </w:rPr>
        <w:t>2024年度一般公共预算财政拨款支出426.66万元，主要用于以下方面</w:t>
      </w:r>
      <w:r>
        <w:rPr>
          <w:rFonts w:hint="eastAsia" w:ascii="仿宋" w:hAnsi="仿宋" w:eastAsia="仿宋" w:cs="Times New Roman"/>
          <w:kern w:val="2"/>
          <w:sz w:val="32"/>
          <w:szCs w:val="32"/>
          <w:lang w:val="en-US" w:eastAsia="zh-CN" w:bidi="ar"/>
        </w:rPr>
        <w:t>:</w:t>
      </w:r>
      <w:r>
        <w:rPr>
          <w:rFonts w:hint="eastAsia" w:ascii="仿宋" w:hAnsi="仿宋" w:eastAsia="仿宋" w:cs="仿宋"/>
          <w:b/>
          <w:bCs w:val="0"/>
          <w:kern w:val="2"/>
          <w:sz w:val="32"/>
          <w:szCs w:val="32"/>
          <w:lang w:val="en-US" w:eastAsia="zh-CN" w:bidi="ar"/>
        </w:rPr>
        <w:t>一般公共服务</w:t>
      </w:r>
      <w:r>
        <w:rPr>
          <w:rFonts w:hint="eastAsia" w:ascii="仿宋" w:hAnsi="仿宋" w:eastAsia="仿宋" w:cs="仿宋"/>
          <w:b/>
          <w:bCs/>
          <w:kern w:val="2"/>
          <w:sz w:val="32"/>
          <w:szCs w:val="32"/>
          <w:lang w:val="en-US" w:eastAsia="zh-CN" w:bidi="ar"/>
        </w:rPr>
        <w:t>支出</w:t>
      </w:r>
      <w:r>
        <w:rPr>
          <w:rFonts w:hint="eastAsia" w:ascii="仿宋" w:hAnsi="仿宋" w:eastAsia="仿宋" w:cs="仿宋"/>
          <w:b w:val="0"/>
          <w:bCs w:val="0"/>
          <w:kern w:val="2"/>
          <w:sz w:val="32"/>
          <w:szCs w:val="32"/>
          <w:lang w:val="en-US" w:eastAsia="zh-CN" w:bidi="ar"/>
        </w:rPr>
        <w:t>278.82</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75.13%</w:t>
      </w:r>
      <w:r>
        <w:rPr>
          <w:rFonts w:hint="eastAsia" w:ascii="仿宋" w:hAnsi="仿宋" w:eastAsia="仿宋" w:cs="仿宋"/>
          <w:kern w:val="2"/>
          <w:sz w:val="32"/>
          <w:szCs w:val="32"/>
          <w:lang w:val="en-US" w:eastAsia="zh-CN" w:bidi="ar"/>
        </w:rPr>
        <w:t>；</w:t>
      </w:r>
      <w:r>
        <w:rPr>
          <w:rFonts w:hint="eastAsia" w:ascii="仿宋" w:hAnsi="仿宋" w:eastAsia="仿宋" w:cs="仿宋"/>
          <w:b/>
          <w:bCs w:val="0"/>
          <w:kern w:val="2"/>
          <w:sz w:val="32"/>
          <w:szCs w:val="32"/>
          <w:lang w:val="en-US" w:eastAsia="zh-CN" w:bidi="ar"/>
        </w:rPr>
        <w:t>社会保障和就业</w:t>
      </w:r>
      <w:r>
        <w:rPr>
          <w:rFonts w:hint="eastAsia" w:ascii="仿宋" w:hAnsi="仿宋" w:eastAsia="仿宋" w:cs="仿宋"/>
          <w:b/>
          <w:bCs/>
          <w:kern w:val="2"/>
          <w:sz w:val="32"/>
          <w:szCs w:val="32"/>
          <w:lang w:val="en-US" w:eastAsia="zh-CN" w:bidi="ar"/>
        </w:rPr>
        <w:t>支出</w:t>
      </w:r>
      <w:r>
        <w:rPr>
          <w:rFonts w:hint="eastAsia" w:ascii="仿宋" w:hAnsi="仿宋" w:eastAsia="仿宋" w:cs="Times New Roman"/>
          <w:kern w:val="2"/>
          <w:sz w:val="32"/>
          <w:szCs w:val="32"/>
          <w:lang w:val="en-US" w:eastAsia="zh-CN" w:bidi="ar"/>
        </w:rPr>
        <w:t>46.99</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12.66%</w:t>
      </w:r>
      <w:r>
        <w:rPr>
          <w:rFonts w:hint="eastAsia" w:ascii="仿宋" w:hAnsi="仿宋" w:eastAsia="仿宋" w:cs="仿宋"/>
          <w:kern w:val="2"/>
          <w:sz w:val="32"/>
          <w:szCs w:val="32"/>
          <w:lang w:val="en-US" w:eastAsia="zh-CN" w:bidi="ar"/>
        </w:rPr>
        <w:t>；</w:t>
      </w:r>
      <w:r>
        <w:rPr>
          <w:rFonts w:hint="eastAsia" w:ascii="仿宋" w:hAnsi="仿宋" w:eastAsia="仿宋" w:cs="仿宋"/>
          <w:b/>
          <w:bCs/>
          <w:kern w:val="2"/>
          <w:sz w:val="32"/>
          <w:szCs w:val="32"/>
          <w:lang w:val="en-US" w:eastAsia="zh-CN" w:bidi="ar"/>
        </w:rPr>
        <w:t>卫生健康支出</w:t>
      </w:r>
      <w:r>
        <w:rPr>
          <w:rFonts w:hint="eastAsia" w:ascii="仿宋" w:hAnsi="仿宋" w:eastAsia="仿宋" w:cs="Times New Roman"/>
          <w:kern w:val="2"/>
          <w:sz w:val="32"/>
          <w:szCs w:val="32"/>
          <w:lang w:val="en-US" w:eastAsia="zh-CN" w:bidi="ar"/>
        </w:rPr>
        <w:t>19.78</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5.33%</w:t>
      </w:r>
      <w:r>
        <w:rPr>
          <w:rFonts w:hint="eastAsia" w:ascii="仿宋" w:hAnsi="仿宋" w:eastAsia="仿宋" w:cs="仿宋"/>
          <w:kern w:val="2"/>
          <w:sz w:val="32"/>
          <w:szCs w:val="32"/>
          <w:lang w:val="en-US" w:eastAsia="zh-CN" w:bidi="ar"/>
        </w:rPr>
        <w:t>；</w:t>
      </w:r>
      <w:r>
        <w:rPr>
          <w:rFonts w:hint="eastAsia" w:ascii="仿宋" w:hAnsi="仿宋" w:eastAsia="仿宋" w:cs="仿宋"/>
          <w:b/>
          <w:bCs/>
          <w:kern w:val="2"/>
          <w:sz w:val="32"/>
          <w:szCs w:val="32"/>
          <w:lang w:val="en-US" w:eastAsia="zh-CN" w:bidi="ar"/>
        </w:rPr>
        <w:t>住房保障支出</w:t>
      </w:r>
      <w:r>
        <w:rPr>
          <w:rFonts w:hint="eastAsia" w:ascii="仿宋" w:hAnsi="仿宋" w:eastAsia="仿宋" w:cs="Times New Roman"/>
          <w:kern w:val="2"/>
          <w:sz w:val="32"/>
          <w:szCs w:val="32"/>
          <w:lang w:val="en-US" w:eastAsia="zh-CN" w:bidi="ar"/>
        </w:rPr>
        <w:t>25.51</w:t>
      </w:r>
      <w:r>
        <w:rPr>
          <w:rFonts w:hint="eastAsia" w:ascii="仿宋" w:hAnsi="仿宋" w:eastAsia="仿宋" w:cs="仿宋"/>
          <w:kern w:val="2"/>
          <w:sz w:val="32"/>
          <w:szCs w:val="32"/>
          <w:lang w:val="en-US" w:eastAsia="zh-CN" w:bidi="ar"/>
        </w:rPr>
        <w:t>万元，占6.30</w:t>
      </w:r>
      <w:r>
        <w:rPr>
          <w:rFonts w:hint="eastAsia" w:ascii="仿宋" w:hAnsi="仿宋" w:eastAsia="仿宋" w:cs="Times New Roman"/>
          <w:kern w:val="2"/>
          <w:sz w:val="32"/>
          <w:szCs w:val="32"/>
          <w:lang w:val="en-US" w:eastAsia="zh-CN" w:bidi="ar"/>
        </w:rPr>
        <w:t>%</w:t>
      </w:r>
      <w:r>
        <w:rPr>
          <w:rFonts w:hint="eastAsia" w:ascii="仿宋" w:hAnsi="仿宋" w:eastAsia="仿宋" w:cs="仿宋"/>
          <w:kern w:val="2"/>
          <w:sz w:val="32"/>
          <w:szCs w:val="32"/>
          <w:lang w:val="en-US" w:eastAsia="zh-CN" w:bidi="ar"/>
        </w:rPr>
        <w:t>。</w:t>
      </w:r>
    </w:p>
    <w:p w14:paraId="160ECC13">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rPr>
          <w:rFonts w:hint="eastAsia" w:ascii="仿宋" w:hAnsi="仿宋" w:eastAsia="仿宋" w:cs="Times New Roman"/>
          <w:kern w:val="2"/>
          <w:sz w:val="32"/>
          <w:szCs w:val="32"/>
          <w:lang w:val="en-US" w:eastAsia="zh-CN" w:bidi="ar"/>
        </w:rPr>
      </w:pPr>
      <w:r>
        <w:rPr>
          <w:rFonts w:hint="eastAsia" w:ascii="仿宋" w:hAnsi="Times New Roman" w:eastAsia="仿宋" w:cs="Times New Roman"/>
          <w:b/>
          <w:color w:val="000000"/>
          <w:sz w:val="32"/>
          <w:szCs w:val="32"/>
          <w:lang w:eastAsia="zh-CN"/>
        </w:rPr>
        <w:pict>
          <v:shape id="Object 6" o:spid="_x0000_s1028" o:spt="75" type="#_x0000_t75" style="position:absolute;left:0pt;margin-left:24.95pt;margin-top:1.15pt;height:197.4pt;width:327.85pt;mso-wrap-distance-bottom:0pt;mso-wrap-distance-left:9pt;mso-wrap-distance-right:9pt;mso-wrap-distance-top:0pt;z-index:251661312;mso-width-relative:page;mso-height-relative:page;" o:ole="t" filled="f" o:preferrelative="t" stroked="f" coordsize="21600,21600">
            <v:path/>
            <v:fill on="f" focussize="0,0"/>
            <v:stroke on="f"/>
            <v:imagedata r:id="rId21" o:title=""/>
            <o:lock v:ext="edit" aspectratio="t"/>
            <w10:wrap type="square"/>
          </v:shape>
          <o:OLEObject Type="Embed" ProgID="Excel.Chart.8" ShapeID="Object 6" DrawAspect="Content" ObjectID="_1468075730" r:id="rId20">
            <o:LockedField>false</o:LockedField>
          </o:OLEObject>
        </w:pict>
      </w:r>
    </w:p>
    <w:p w14:paraId="62AE56CD">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25A6198B">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2920E41D">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39B35757">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01D43D7C">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14:paraId="6C5F8CA3">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jc w:val="both"/>
        <w:textAlignment w:val="auto"/>
        <w:rPr>
          <w:rFonts w:hint="eastAsia" w:ascii="仿宋" w:hAnsi="仿宋" w:eastAsia="仿宋" w:cs="仿宋"/>
          <w:b/>
          <w:bCs w:val="0"/>
          <w:kern w:val="2"/>
          <w:sz w:val="32"/>
          <w:szCs w:val="32"/>
          <w:lang w:val="en-US" w:eastAsia="zh-CN" w:bidi="ar"/>
        </w:rPr>
      </w:pPr>
    </w:p>
    <w:p w14:paraId="7B5717F1">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3" w:firstLineChars="200"/>
        <w:jc w:val="both"/>
        <w:textAlignment w:val="auto"/>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（三）一般公共预算财政拨款支出决算具体情况</w:t>
      </w:r>
    </w:p>
    <w:p w14:paraId="2F4E572B">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2"/>
        <w:rPr>
          <w:rFonts w:hint="eastAsia" w:ascii="仿宋" w:hAnsi="仿宋" w:eastAsia="仿宋" w:cs="Times New Roman"/>
          <w:b w:val="0"/>
          <w:bCs/>
          <w:kern w:val="2"/>
          <w:sz w:val="32"/>
          <w:szCs w:val="32"/>
        </w:rPr>
      </w:pPr>
      <w:r>
        <w:rPr>
          <w:rFonts w:hint="eastAsia" w:ascii="仿宋" w:hAnsi="仿宋" w:eastAsia="仿宋" w:cs="仿宋"/>
          <w:b w:val="0"/>
          <w:bCs/>
          <w:kern w:val="2"/>
          <w:sz w:val="32"/>
          <w:szCs w:val="32"/>
          <w:lang w:val="en-US" w:eastAsia="zh-CN" w:bidi="ar"/>
        </w:rPr>
        <w:t>2024年度一般公共预算支出决算数为</w:t>
      </w:r>
      <w:r>
        <w:rPr>
          <w:rFonts w:hint="eastAsia" w:ascii="仿宋" w:hAnsi="仿宋" w:eastAsia="仿宋" w:cs="Times New Roman"/>
          <w:b w:val="0"/>
          <w:bCs/>
          <w:kern w:val="2"/>
          <w:sz w:val="32"/>
          <w:szCs w:val="32"/>
          <w:lang w:val="en-US" w:eastAsia="zh-CN" w:bidi="ar"/>
        </w:rPr>
        <w:t>426.66万元</w:t>
      </w:r>
      <w:r>
        <w:rPr>
          <w:rFonts w:hint="eastAsia" w:ascii="仿宋" w:hAnsi="仿宋" w:eastAsia="仿宋" w:cs="仿宋"/>
          <w:b w:val="0"/>
          <w:bCs/>
          <w:kern w:val="2"/>
          <w:sz w:val="32"/>
          <w:szCs w:val="32"/>
          <w:lang w:val="en-US" w:eastAsia="zh-CN" w:bidi="ar"/>
        </w:rPr>
        <w:t>，</w:t>
      </w:r>
      <w:r>
        <w:rPr>
          <w:rStyle w:val="18"/>
          <w:rFonts w:hint="eastAsia" w:ascii="仿宋" w:hAnsi="仿宋" w:eastAsia="仿宋" w:cs="仿宋"/>
          <w:b w:val="0"/>
          <w:bCs/>
          <w:kern w:val="2"/>
          <w:sz w:val="32"/>
          <w:szCs w:val="32"/>
          <w:lang w:val="en-US" w:eastAsia="zh-CN" w:bidi="ar"/>
        </w:rPr>
        <w:t>完成预算</w:t>
      </w:r>
      <w:r>
        <w:rPr>
          <w:rStyle w:val="18"/>
          <w:rFonts w:hint="eastAsia" w:ascii="仿宋" w:hAnsi="仿宋" w:eastAsia="仿宋" w:cs="Times New Roman"/>
          <w:b w:val="0"/>
          <w:bCs/>
          <w:kern w:val="2"/>
          <w:sz w:val="32"/>
          <w:szCs w:val="32"/>
          <w:lang w:val="en-US" w:eastAsia="zh-CN" w:bidi="ar"/>
        </w:rPr>
        <w:t>100%</w:t>
      </w:r>
      <w:r>
        <w:rPr>
          <w:rStyle w:val="18"/>
          <w:rFonts w:hint="eastAsia" w:ascii="仿宋" w:hAnsi="仿宋" w:eastAsia="仿宋" w:cs="仿宋"/>
          <w:b w:val="0"/>
          <w:bCs/>
          <w:kern w:val="2"/>
          <w:sz w:val="32"/>
          <w:szCs w:val="32"/>
          <w:lang w:val="en-US" w:eastAsia="zh-CN" w:bidi="ar"/>
        </w:rPr>
        <w:t>。其中：</w:t>
      </w:r>
    </w:p>
    <w:p w14:paraId="43565716">
      <w:pPr>
        <w:keepNext w:val="0"/>
        <w:keepLines w:val="0"/>
        <w:pageBreakBefore w:val="0"/>
        <w:widowControl w:val="0"/>
        <w:numPr>
          <w:ilvl w:val="0"/>
          <w:numId w:val="0"/>
        </w:numPr>
        <w:suppressLineNumbers w:val="0"/>
        <w:suppressAutoHyphens/>
        <w:kinsoku/>
        <w:wordWrap/>
        <w:overflowPunct/>
        <w:topLinePunct w:val="0"/>
        <w:bidi w:val="0"/>
        <w:snapToGrid/>
        <w:spacing w:before="0" w:beforeAutospacing="0" w:after="0" w:afterAutospacing="0" w:line="600" w:lineRule="exact"/>
        <w:ind w:right="0" w:rightChars="0" w:firstLine="643" w:firstLineChars="200"/>
        <w:jc w:val="both"/>
        <w:textAlignment w:val="auto"/>
        <w:rPr>
          <w:rStyle w:val="18"/>
          <w:rFonts w:hint="eastAsia" w:ascii="仿宋" w:hAnsi="仿宋" w:eastAsia="仿宋" w:cs="仿宋"/>
          <w:b w:val="0"/>
          <w:bCs/>
          <w:kern w:val="2"/>
          <w:sz w:val="32"/>
          <w:szCs w:val="32"/>
          <w:lang w:val="en-US" w:eastAsia="zh-CN" w:bidi="ar"/>
        </w:rPr>
      </w:pPr>
      <w:r>
        <w:rPr>
          <w:rStyle w:val="18"/>
          <w:rFonts w:hint="eastAsia" w:ascii="仿宋" w:hAnsi="仿宋" w:eastAsia="仿宋" w:cs="仿宋"/>
          <w:b/>
          <w:bCs/>
          <w:kern w:val="2"/>
          <w:sz w:val="32"/>
          <w:szCs w:val="32"/>
          <w:lang w:val="en-US" w:eastAsia="zh-CN" w:bidi="ar"/>
        </w:rPr>
        <w:t>1.一般公共服务（201）</w:t>
      </w:r>
      <w:r>
        <w:rPr>
          <w:rStyle w:val="18"/>
          <w:rFonts w:hint="eastAsia" w:ascii="仿宋" w:hAnsi="仿宋" w:eastAsia="仿宋" w:cs="Times New Roman"/>
          <w:b/>
          <w:bCs/>
          <w:kern w:val="2"/>
          <w:sz w:val="32"/>
          <w:szCs w:val="32"/>
          <w:lang w:val="en-US" w:eastAsia="zh-CN" w:bidi="ar"/>
        </w:rPr>
        <w:t>政府办公厅（室）及相关机构事务</w:t>
      </w:r>
      <w:r>
        <w:rPr>
          <w:rStyle w:val="18"/>
          <w:rFonts w:hint="eastAsia" w:ascii="仿宋" w:hAnsi="仿宋" w:eastAsia="仿宋" w:cs="仿宋"/>
          <w:b/>
          <w:bCs/>
          <w:kern w:val="2"/>
          <w:sz w:val="32"/>
          <w:szCs w:val="32"/>
          <w:lang w:val="en-US" w:eastAsia="zh-CN" w:bidi="ar"/>
        </w:rPr>
        <w:t>（03）</w:t>
      </w:r>
      <w:r>
        <w:rPr>
          <w:rStyle w:val="18"/>
          <w:rFonts w:hint="eastAsia" w:ascii="仿宋" w:hAnsi="仿宋" w:eastAsia="仿宋" w:cs="Times New Roman"/>
          <w:b/>
          <w:bCs/>
          <w:kern w:val="2"/>
          <w:sz w:val="32"/>
          <w:szCs w:val="32"/>
          <w:lang w:val="en-US" w:eastAsia="zh-CN" w:bidi="ar"/>
        </w:rPr>
        <w:t>行政运行</w:t>
      </w:r>
      <w:r>
        <w:rPr>
          <w:rStyle w:val="18"/>
          <w:rFonts w:hint="eastAsia" w:ascii="仿宋" w:hAnsi="仿宋" w:eastAsia="仿宋" w:cs="仿宋"/>
          <w:b/>
          <w:bCs/>
          <w:kern w:val="2"/>
          <w:sz w:val="32"/>
          <w:szCs w:val="32"/>
          <w:lang w:val="en-US" w:eastAsia="zh-CN" w:bidi="ar"/>
        </w:rPr>
        <w:t>（01）</w:t>
      </w:r>
      <w:r>
        <w:rPr>
          <w:rStyle w:val="18"/>
          <w:rFonts w:hint="eastAsia" w:ascii="仿宋" w:hAnsi="仿宋" w:eastAsia="仿宋" w:cs="Times New Roman"/>
          <w:b/>
          <w:bCs/>
          <w:kern w:val="2"/>
          <w:sz w:val="32"/>
          <w:szCs w:val="32"/>
          <w:lang w:val="en-US" w:eastAsia="zh-CN" w:bidi="ar"/>
        </w:rPr>
        <w:t>:</w:t>
      </w:r>
      <w:r>
        <w:rPr>
          <w:rStyle w:val="18"/>
          <w:rFonts w:hint="eastAsia" w:ascii="仿宋" w:hAnsi="仿宋" w:eastAsia="仿宋" w:cs="Times New Roman"/>
          <w:b w:val="0"/>
          <w:bCs/>
          <w:kern w:val="2"/>
          <w:sz w:val="32"/>
          <w:szCs w:val="32"/>
          <w:lang w:val="en-US" w:eastAsia="zh-CN" w:bidi="ar"/>
        </w:rPr>
        <w:t xml:space="preserve"> </w:t>
      </w:r>
      <w:r>
        <w:rPr>
          <w:rStyle w:val="18"/>
          <w:rFonts w:hint="eastAsia" w:ascii="仿宋" w:hAnsi="仿宋" w:eastAsia="仿宋" w:cs="仿宋"/>
          <w:b w:val="0"/>
          <w:bCs/>
          <w:kern w:val="2"/>
          <w:sz w:val="32"/>
          <w:szCs w:val="32"/>
          <w:lang w:val="en-US" w:eastAsia="zh-CN" w:bidi="ar"/>
        </w:rPr>
        <w:t>支出决算为</w:t>
      </w:r>
      <w:r>
        <w:rPr>
          <w:rStyle w:val="18"/>
          <w:rFonts w:hint="eastAsia" w:ascii="仿宋" w:hAnsi="仿宋" w:eastAsia="仿宋" w:cs="Times New Roman"/>
          <w:b w:val="0"/>
          <w:bCs/>
          <w:kern w:val="2"/>
          <w:sz w:val="32"/>
          <w:szCs w:val="32"/>
          <w:lang w:val="en-US" w:eastAsia="zh-CN" w:bidi="ar"/>
        </w:rPr>
        <w:t>158.20</w:t>
      </w:r>
      <w:r>
        <w:rPr>
          <w:rStyle w:val="18"/>
          <w:rFonts w:hint="eastAsia" w:ascii="仿宋" w:hAnsi="仿宋" w:eastAsia="仿宋" w:cs="仿宋"/>
          <w:b w:val="0"/>
          <w:bCs/>
          <w:kern w:val="2"/>
          <w:sz w:val="32"/>
          <w:szCs w:val="32"/>
          <w:lang w:val="en-US" w:eastAsia="zh-CN" w:bidi="ar"/>
        </w:rPr>
        <w:t>万元，完成预算</w:t>
      </w:r>
      <w:r>
        <w:rPr>
          <w:rStyle w:val="18"/>
          <w:rFonts w:hint="eastAsia" w:ascii="仿宋" w:hAnsi="仿宋" w:eastAsia="仿宋" w:cs="Times New Roman"/>
          <w:b w:val="0"/>
          <w:bCs/>
          <w:kern w:val="2"/>
          <w:sz w:val="32"/>
          <w:szCs w:val="32"/>
          <w:lang w:val="en-US" w:eastAsia="zh-CN" w:bidi="ar"/>
        </w:rPr>
        <w:t>100%，</w:t>
      </w:r>
      <w:r>
        <w:rPr>
          <w:rStyle w:val="18"/>
          <w:rFonts w:hint="eastAsia" w:ascii="仿宋" w:hAnsi="仿宋" w:eastAsia="仿宋" w:cs="仿宋"/>
          <w:b w:val="0"/>
          <w:bCs/>
          <w:kern w:val="2"/>
          <w:sz w:val="32"/>
          <w:szCs w:val="32"/>
          <w:lang w:val="en-US" w:eastAsia="zh-CN" w:bidi="ar"/>
        </w:rPr>
        <w:t>决算数与预算数持平。</w:t>
      </w:r>
    </w:p>
    <w:p w14:paraId="18D4E241">
      <w:pPr>
        <w:keepNext w:val="0"/>
        <w:keepLines w:val="0"/>
        <w:pageBreakBefore w:val="0"/>
        <w:widowControl w:val="0"/>
        <w:numPr>
          <w:ilvl w:val="0"/>
          <w:numId w:val="0"/>
        </w:numPr>
        <w:suppressLineNumbers w:val="0"/>
        <w:suppressAutoHyphens/>
        <w:kinsoku/>
        <w:wordWrap/>
        <w:overflowPunct/>
        <w:topLinePunct w:val="0"/>
        <w:bidi w:val="0"/>
        <w:snapToGrid/>
        <w:spacing w:before="0" w:beforeAutospacing="0" w:after="0" w:afterAutospacing="0" w:line="600" w:lineRule="exact"/>
        <w:ind w:right="0" w:rightChars="0" w:firstLine="643" w:firstLineChars="200"/>
        <w:jc w:val="both"/>
        <w:textAlignment w:val="auto"/>
        <w:rPr>
          <w:rStyle w:val="18"/>
          <w:rFonts w:hint="eastAsia" w:ascii="仿宋" w:hAnsi="仿宋" w:eastAsia="仿宋" w:cs="仿宋"/>
          <w:b w:val="0"/>
          <w:bCs/>
          <w:kern w:val="2"/>
          <w:sz w:val="32"/>
          <w:szCs w:val="32"/>
          <w:lang w:val="en-US" w:eastAsia="zh-CN" w:bidi="ar"/>
        </w:rPr>
      </w:pPr>
      <w:r>
        <w:rPr>
          <w:rStyle w:val="18"/>
          <w:rFonts w:hint="eastAsia" w:ascii="仿宋" w:hAnsi="仿宋" w:eastAsia="仿宋" w:cs="仿宋"/>
          <w:b/>
          <w:bCs/>
          <w:kern w:val="2"/>
          <w:sz w:val="32"/>
          <w:szCs w:val="32"/>
          <w:lang w:val="en-US" w:eastAsia="zh-CN" w:bidi="ar"/>
        </w:rPr>
        <w:t>2.一般公共服务（201）</w:t>
      </w:r>
      <w:r>
        <w:rPr>
          <w:rStyle w:val="18"/>
          <w:rFonts w:hint="eastAsia" w:ascii="仿宋" w:hAnsi="仿宋" w:eastAsia="仿宋" w:cs="Times New Roman"/>
          <w:b/>
          <w:bCs/>
          <w:kern w:val="2"/>
          <w:sz w:val="32"/>
          <w:szCs w:val="32"/>
          <w:lang w:val="en-US" w:eastAsia="zh-CN" w:bidi="ar"/>
        </w:rPr>
        <w:t>政府办公厅（室）及相关机构事务</w:t>
      </w:r>
      <w:r>
        <w:rPr>
          <w:rStyle w:val="18"/>
          <w:rFonts w:hint="eastAsia" w:ascii="仿宋" w:hAnsi="仿宋" w:eastAsia="仿宋" w:cs="仿宋"/>
          <w:b/>
          <w:bCs/>
          <w:kern w:val="2"/>
          <w:sz w:val="32"/>
          <w:szCs w:val="32"/>
          <w:lang w:val="en-US" w:eastAsia="zh-CN" w:bidi="ar"/>
        </w:rPr>
        <w:t>（03）</w:t>
      </w:r>
      <w:r>
        <w:rPr>
          <w:rStyle w:val="18"/>
          <w:rFonts w:hint="eastAsia" w:ascii="仿宋" w:hAnsi="仿宋" w:eastAsia="仿宋" w:cs="Times New Roman"/>
          <w:b/>
          <w:bCs/>
          <w:kern w:val="2"/>
          <w:sz w:val="32"/>
          <w:szCs w:val="32"/>
          <w:lang w:val="en-US" w:eastAsia="zh-CN" w:bidi="ar"/>
        </w:rPr>
        <w:t>事业运行</w:t>
      </w:r>
      <w:r>
        <w:rPr>
          <w:rStyle w:val="18"/>
          <w:rFonts w:hint="eastAsia" w:ascii="仿宋" w:hAnsi="仿宋" w:eastAsia="仿宋" w:cs="仿宋"/>
          <w:b/>
          <w:bCs/>
          <w:kern w:val="2"/>
          <w:sz w:val="32"/>
          <w:szCs w:val="32"/>
          <w:lang w:val="en-US" w:eastAsia="zh-CN" w:bidi="ar"/>
        </w:rPr>
        <w:t>（50）</w:t>
      </w:r>
      <w:r>
        <w:rPr>
          <w:rStyle w:val="18"/>
          <w:rFonts w:hint="eastAsia" w:ascii="仿宋" w:hAnsi="仿宋" w:eastAsia="仿宋" w:cs="Times New Roman"/>
          <w:b/>
          <w:bCs/>
          <w:kern w:val="2"/>
          <w:sz w:val="32"/>
          <w:szCs w:val="32"/>
          <w:lang w:val="en-US" w:eastAsia="zh-CN" w:bidi="ar"/>
        </w:rPr>
        <w:t>:</w:t>
      </w:r>
      <w:r>
        <w:rPr>
          <w:rStyle w:val="18"/>
          <w:rFonts w:hint="eastAsia" w:ascii="仿宋" w:hAnsi="仿宋" w:eastAsia="仿宋" w:cs="Times New Roman"/>
          <w:b w:val="0"/>
          <w:bCs/>
          <w:kern w:val="2"/>
          <w:sz w:val="32"/>
          <w:szCs w:val="32"/>
          <w:lang w:val="en-US" w:eastAsia="zh-CN" w:bidi="ar"/>
        </w:rPr>
        <w:t xml:space="preserve"> </w:t>
      </w:r>
      <w:r>
        <w:rPr>
          <w:rStyle w:val="18"/>
          <w:rFonts w:hint="eastAsia" w:ascii="仿宋" w:hAnsi="仿宋" w:eastAsia="仿宋" w:cs="仿宋"/>
          <w:b w:val="0"/>
          <w:bCs/>
          <w:kern w:val="2"/>
          <w:sz w:val="32"/>
          <w:szCs w:val="32"/>
          <w:lang w:val="en-US" w:eastAsia="zh-CN" w:bidi="ar"/>
        </w:rPr>
        <w:t>支出决算为</w:t>
      </w:r>
      <w:r>
        <w:rPr>
          <w:rStyle w:val="18"/>
          <w:rFonts w:hint="eastAsia" w:ascii="仿宋" w:hAnsi="仿宋" w:eastAsia="仿宋" w:cs="Times New Roman"/>
          <w:b w:val="0"/>
          <w:bCs/>
          <w:kern w:val="2"/>
          <w:sz w:val="32"/>
          <w:szCs w:val="32"/>
          <w:lang w:val="en-US" w:eastAsia="zh-CN" w:bidi="ar"/>
        </w:rPr>
        <w:t>120.62</w:t>
      </w:r>
      <w:r>
        <w:rPr>
          <w:rStyle w:val="18"/>
          <w:rFonts w:hint="eastAsia" w:ascii="仿宋" w:hAnsi="仿宋" w:eastAsia="仿宋" w:cs="仿宋"/>
          <w:b w:val="0"/>
          <w:bCs/>
          <w:kern w:val="2"/>
          <w:sz w:val="32"/>
          <w:szCs w:val="32"/>
          <w:lang w:val="en-US" w:eastAsia="zh-CN" w:bidi="ar"/>
        </w:rPr>
        <w:t>万元，完成预算</w:t>
      </w:r>
      <w:r>
        <w:rPr>
          <w:rStyle w:val="18"/>
          <w:rFonts w:hint="eastAsia" w:ascii="仿宋" w:hAnsi="仿宋" w:eastAsia="仿宋" w:cs="Times New Roman"/>
          <w:b w:val="0"/>
          <w:bCs/>
          <w:kern w:val="2"/>
          <w:sz w:val="32"/>
          <w:szCs w:val="32"/>
          <w:lang w:val="en-US" w:eastAsia="zh-CN" w:bidi="ar"/>
        </w:rPr>
        <w:t>100%，</w:t>
      </w:r>
      <w:r>
        <w:rPr>
          <w:rStyle w:val="18"/>
          <w:rFonts w:hint="eastAsia" w:ascii="仿宋" w:hAnsi="仿宋" w:eastAsia="仿宋" w:cs="仿宋"/>
          <w:b w:val="0"/>
          <w:bCs/>
          <w:kern w:val="2"/>
          <w:sz w:val="32"/>
          <w:szCs w:val="32"/>
          <w:lang w:val="en-US" w:eastAsia="zh-CN" w:bidi="ar"/>
        </w:rPr>
        <w:t>决算数与预算数持平。</w:t>
      </w:r>
    </w:p>
    <w:p w14:paraId="282304BA">
      <w:pPr>
        <w:keepNext w:val="0"/>
        <w:keepLines w:val="0"/>
        <w:pageBreakBefore w:val="0"/>
        <w:widowControl w:val="0"/>
        <w:numPr>
          <w:ilvl w:val="0"/>
          <w:numId w:val="0"/>
        </w:numPr>
        <w:suppressLineNumbers w:val="0"/>
        <w:suppressAutoHyphens/>
        <w:kinsoku/>
        <w:wordWrap/>
        <w:overflowPunct/>
        <w:topLinePunct w:val="0"/>
        <w:bidi w:val="0"/>
        <w:snapToGrid/>
        <w:spacing w:before="0" w:beforeAutospacing="0" w:after="0" w:afterAutospacing="0" w:line="600" w:lineRule="exact"/>
        <w:ind w:right="0" w:rightChars="0" w:firstLine="643" w:firstLineChars="200"/>
        <w:jc w:val="both"/>
        <w:textAlignment w:val="auto"/>
        <w:rPr>
          <w:rFonts w:hint="eastAsia"/>
          <w:lang w:val="en-US" w:eastAsia="zh-CN"/>
        </w:rPr>
      </w:pPr>
      <w:r>
        <w:rPr>
          <w:rStyle w:val="18"/>
          <w:rFonts w:hint="eastAsia" w:ascii="仿宋" w:hAnsi="仿宋" w:eastAsia="仿宋" w:cs="仿宋"/>
          <w:b/>
          <w:bCs/>
          <w:kern w:val="2"/>
          <w:sz w:val="32"/>
          <w:szCs w:val="32"/>
          <w:lang w:val="en-US" w:eastAsia="zh-CN" w:bidi="ar"/>
        </w:rPr>
        <w:t>3.一般公共服务（201）</w:t>
      </w:r>
      <w:r>
        <w:rPr>
          <w:rStyle w:val="18"/>
          <w:rFonts w:hint="eastAsia" w:ascii="仿宋" w:hAnsi="仿宋" w:eastAsia="仿宋" w:cs="Times New Roman"/>
          <w:b/>
          <w:bCs/>
          <w:kern w:val="2"/>
          <w:sz w:val="32"/>
          <w:szCs w:val="32"/>
          <w:lang w:val="en-US" w:eastAsia="zh-CN" w:bidi="ar"/>
        </w:rPr>
        <w:t>政府办公厅（室）及相关机构事务</w:t>
      </w:r>
      <w:r>
        <w:rPr>
          <w:rStyle w:val="18"/>
          <w:rFonts w:hint="eastAsia" w:ascii="仿宋" w:hAnsi="仿宋" w:eastAsia="仿宋" w:cs="仿宋"/>
          <w:b/>
          <w:bCs/>
          <w:kern w:val="2"/>
          <w:sz w:val="32"/>
          <w:szCs w:val="32"/>
          <w:lang w:val="en-US" w:eastAsia="zh-CN" w:bidi="ar"/>
        </w:rPr>
        <w:t>（03）</w:t>
      </w:r>
      <w:r>
        <w:rPr>
          <w:rStyle w:val="18"/>
          <w:rFonts w:hint="eastAsia" w:ascii="仿宋" w:hAnsi="仿宋" w:eastAsia="仿宋" w:cs="Times New Roman"/>
          <w:b/>
          <w:bCs/>
          <w:kern w:val="2"/>
          <w:sz w:val="32"/>
          <w:szCs w:val="32"/>
          <w:lang w:val="en-US" w:eastAsia="zh-CN" w:bidi="ar"/>
        </w:rPr>
        <w:t>其他政府办公厅（室）及相关机构事务支出</w:t>
      </w:r>
      <w:r>
        <w:rPr>
          <w:rStyle w:val="18"/>
          <w:rFonts w:hint="eastAsia" w:ascii="仿宋" w:hAnsi="仿宋" w:eastAsia="仿宋" w:cs="仿宋"/>
          <w:b/>
          <w:bCs/>
          <w:kern w:val="2"/>
          <w:sz w:val="32"/>
          <w:szCs w:val="32"/>
          <w:lang w:val="en-US" w:eastAsia="zh-CN" w:bidi="ar"/>
        </w:rPr>
        <w:t>（99）</w:t>
      </w:r>
      <w:r>
        <w:rPr>
          <w:rStyle w:val="18"/>
          <w:rFonts w:hint="eastAsia" w:ascii="仿宋" w:hAnsi="仿宋" w:eastAsia="仿宋" w:cs="Times New Roman"/>
          <w:b/>
          <w:bCs/>
          <w:kern w:val="2"/>
          <w:sz w:val="32"/>
          <w:szCs w:val="32"/>
          <w:lang w:val="en-US" w:eastAsia="zh-CN" w:bidi="ar"/>
        </w:rPr>
        <w:t>:</w:t>
      </w:r>
      <w:r>
        <w:rPr>
          <w:rStyle w:val="18"/>
          <w:rFonts w:hint="eastAsia" w:ascii="仿宋" w:hAnsi="仿宋" w:eastAsia="仿宋" w:cs="Times New Roman"/>
          <w:b w:val="0"/>
          <w:bCs/>
          <w:kern w:val="2"/>
          <w:sz w:val="32"/>
          <w:szCs w:val="32"/>
          <w:lang w:val="en-US" w:eastAsia="zh-CN" w:bidi="ar"/>
        </w:rPr>
        <w:t xml:space="preserve"> </w:t>
      </w:r>
      <w:r>
        <w:rPr>
          <w:rStyle w:val="18"/>
          <w:rFonts w:hint="eastAsia" w:ascii="仿宋" w:hAnsi="仿宋" w:eastAsia="仿宋" w:cs="仿宋"/>
          <w:b w:val="0"/>
          <w:bCs/>
          <w:kern w:val="2"/>
          <w:sz w:val="32"/>
          <w:szCs w:val="32"/>
          <w:lang w:val="en-US" w:eastAsia="zh-CN" w:bidi="ar"/>
        </w:rPr>
        <w:t>支出决算为</w:t>
      </w:r>
      <w:r>
        <w:rPr>
          <w:rStyle w:val="18"/>
          <w:rFonts w:hint="eastAsia" w:ascii="仿宋" w:hAnsi="仿宋" w:eastAsia="仿宋" w:cs="Times New Roman"/>
          <w:b w:val="0"/>
          <w:bCs/>
          <w:kern w:val="2"/>
          <w:sz w:val="32"/>
          <w:szCs w:val="32"/>
          <w:lang w:val="en-US" w:eastAsia="zh-CN" w:bidi="ar"/>
        </w:rPr>
        <w:t>55.56</w:t>
      </w:r>
      <w:r>
        <w:rPr>
          <w:rStyle w:val="18"/>
          <w:rFonts w:hint="eastAsia" w:ascii="仿宋" w:hAnsi="仿宋" w:eastAsia="仿宋" w:cs="仿宋"/>
          <w:b w:val="0"/>
          <w:bCs/>
          <w:kern w:val="2"/>
          <w:sz w:val="32"/>
          <w:szCs w:val="32"/>
          <w:lang w:val="en-US" w:eastAsia="zh-CN" w:bidi="ar"/>
        </w:rPr>
        <w:t>万元，完成预算</w:t>
      </w:r>
      <w:r>
        <w:rPr>
          <w:rStyle w:val="18"/>
          <w:rFonts w:hint="eastAsia" w:ascii="仿宋" w:hAnsi="仿宋" w:eastAsia="仿宋" w:cs="Times New Roman"/>
          <w:b w:val="0"/>
          <w:bCs/>
          <w:kern w:val="2"/>
          <w:sz w:val="32"/>
          <w:szCs w:val="32"/>
          <w:lang w:val="en-US" w:eastAsia="zh-CN" w:bidi="ar"/>
        </w:rPr>
        <w:t>100%，</w:t>
      </w:r>
      <w:r>
        <w:rPr>
          <w:rStyle w:val="18"/>
          <w:rFonts w:hint="eastAsia" w:ascii="仿宋" w:hAnsi="仿宋" w:eastAsia="仿宋" w:cs="仿宋"/>
          <w:b w:val="0"/>
          <w:bCs/>
          <w:kern w:val="2"/>
          <w:sz w:val="32"/>
          <w:szCs w:val="32"/>
          <w:lang w:val="en-US" w:eastAsia="zh-CN" w:bidi="ar"/>
        </w:rPr>
        <w:t>决算数与预算数持平。</w:t>
      </w:r>
    </w:p>
    <w:p w14:paraId="43484B60">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rPr>
          <w:rStyle w:val="18"/>
          <w:rFonts w:hint="eastAsia" w:ascii="仿宋" w:hAnsi="仿宋" w:eastAsia="仿宋" w:cs="仿宋"/>
          <w:b w:val="0"/>
          <w:bCs/>
          <w:kern w:val="2"/>
          <w:sz w:val="32"/>
          <w:szCs w:val="32"/>
          <w:lang w:val="en-US" w:eastAsia="zh-CN" w:bidi="ar"/>
        </w:rPr>
      </w:pPr>
      <w:r>
        <w:rPr>
          <w:rStyle w:val="18"/>
          <w:rFonts w:hint="eastAsia" w:ascii="仿宋" w:hAnsi="仿宋" w:eastAsia="仿宋" w:cs="Times New Roman"/>
          <w:b/>
          <w:bCs/>
          <w:kern w:val="2"/>
          <w:sz w:val="32"/>
          <w:szCs w:val="32"/>
          <w:lang w:val="en-US" w:eastAsia="zh-CN" w:bidi="ar"/>
        </w:rPr>
        <w:t>4.</w:t>
      </w:r>
      <w:r>
        <w:rPr>
          <w:rStyle w:val="18"/>
          <w:rFonts w:hint="eastAsia" w:ascii="仿宋" w:hAnsi="仿宋" w:eastAsia="仿宋" w:cs="仿宋"/>
          <w:b/>
          <w:bCs/>
          <w:kern w:val="2"/>
          <w:sz w:val="32"/>
          <w:szCs w:val="32"/>
          <w:lang w:val="en-US" w:eastAsia="zh-CN" w:bidi="ar"/>
        </w:rPr>
        <w:t>社会保障和就业（208）</w:t>
      </w:r>
      <w:r>
        <w:rPr>
          <w:rStyle w:val="18"/>
          <w:rFonts w:hint="eastAsia" w:ascii="仿宋" w:hAnsi="仿宋" w:eastAsia="仿宋" w:cs="Times New Roman"/>
          <w:b/>
          <w:bCs/>
          <w:kern w:val="2"/>
          <w:sz w:val="32"/>
          <w:szCs w:val="32"/>
          <w:lang w:val="en-US" w:eastAsia="zh-CN" w:bidi="ar"/>
        </w:rPr>
        <w:t>行政事业单位养老支出</w:t>
      </w:r>
      <w:r>
        <w:rPr>
          <w:rStyle w:val="18"/>
          <w:rFonts w:hint="eastAsia" w:ascii="仿宋" w:hAnsi="仿宋" w:eastAsia="仿宋" w:cs="仿宋"/>
          <w:b/>
          <w:bCs/>
          <w:kern w:val="2"/>
          <w:sz w:val="32"/>
          <w:szCs w:val="32"/>
          <w:lang w:val="en-US" w:eastAsia="zh-CN" w:bidi="ar"/>
        </w:rPr>
        <w:t>（05）</w:t>
      </w:r>
      <w:r>
        <w:rPr>
          <w:rStyle w:val="18"/>
          <w:rFonts w:hint="eastAsia" w:ascii="仿宋" w:hAnsi="仿宋" w:eastAsia="仿宋" w:cs="Times New Roman"/>
          <w:b/>
          <w:bCs/>
          <w:kern w:val="2"/>
          <w:sz w:val="32"/>
          <w:szCs w:val="32"/>
          <w:lang w:val="en-US" w:eastAsia="zh-CN" w:bidi="ar"/>
        </w:rPr>
        <w:t>机关事业单位基本养老保险缴费支出</w:t>
      </w:r>
      <w:r>
        <w:rPr>
          <w:rStyle w:val="18"/>
          <w:rFonts w:hint="eastAsia" w:ascii="仿宋" w:hAnsi="仿宋" w:eastAsia="仿宋" w:cs="仿宋"/>
          <w:b/>
          <w:bCs/>
          <w:kern w:val="2"/>
          <w:sz w:val="32"/>
          <w:szCs w:val="32"/>
          <w:lang w:val="en-US" w:eastAsia="zh-CN" w:bidi="ar"/>
        </w:rPr>
        <w:t>（05）</w:t>
      </w:r>
      <w:r>
        <w:rPr>
          <w:rStyle w:val="18"/>
          <w:rFonts w:hint="eastAsia" w:ascii="仿宋" w:hAnsi="仿宋" w:eastAsia="仿宋" w:cs="Times New Roman"/>
          <w:b/>
          <w:bCs/>
          <w:kern w:val="2"/>
          <w:sz w:val="32"/>
          <w:szCs w:val="32"/>
          <w:lang w:val="en-US" w:eastAsia="zh-CN" w:bidi="ar"/>
        </w:rPr>
        <w:t>:</w:t>
      </w:r>
      <w:r>
        <w:rPr>
          <w:rStyle w:val="18"/>
          <w:rFonts w:hint="eastAsia" w:ascii="仿宋" w:hAnsi="仿宋" w:eastAsia="仿宋" w:cs="Times New Roman"/>
          <w:b w:val="0"/>
          <w:bCs/>
          <w:kern w:val="2"/>
          <w:sz w:val="32"/>
          <w:szCs w:val="32"/>
          <w:lang w:val="en-US" w:eastAsia="zh-CN" w:bidi="ar"/>
        </w:rPr>
        <w:t xml:space="preserve"> </w:t>
      </w:r>
      <w:r>
        <w:rPr>
          <w:rStyle w:val="18"/>
          <w:rFonts w:hint="eastAsia" w:ascii="仿宋" w:hAnsi="仿宋" w:eastAsia="仿宋" w:cs="仿宋"/>
          <w:b w:val="0"/>
          <w:bCs/>
          <w:kern w:val="2"/>
          <w:sz w:val="32"/>
          <w:szCs w:val="32"/>
          <w:lang w:val="en-US" w:eastAsia="zh-CN" w:bidi="ar"/>
        </w:rPr>
        <w:t>支出决算为</w:t>
      </w:r>
      <w:r>
        <w:rPr>
          <w:rStyle w:val="18"/>
          <w:rFonts w:hint="eastAsia" w:ascii="仿宋" w:hAnsi="仿宋" w:eastAsia="仿宋" w:cs="Times New Roman"/>
          <w:b w:val="0"/>
          <w:bCs/>
          <w:kern w:val="2"/>
          <w:sz w:val="32"/>
          <w:szCs w:val="32"/>
          <w:lang w:val="en-US" w:eastAsia="zh-CN" w:bidi="ar"/>
        </w:rPr>
        <w:t>31.33</w:t>
      </w:r>
      <w:r>
        <w:rPr>
          <w:rStyle w:val="18"/>
          <w:rFonts w:hint="eastAsia" w:ascii="仿宋" w:hAnsi="仿宋" w:eastAsia="仿宋" w:cs="仿宋"/>
          <w:b w:val="0"/>
          <w:bCs/>
          <w:kern w:val="2"/>
          <w:sz w:val="32"/>
          <w:szCs w:val="32"/>
          <w:lang w:val="en-US" w:eastAsia="zh-CN" w:bidi="ar"/>
        </w:rPr>
        <w:t>万元，完成预算</w:t>
      </w:r>
      <w:r>
        <w:rPr>
          <w:rStyle w:val="18"/>
          <w:rFonts w:hint="eastAsia" w:ascii="仿宋" w:hAnsi="仿宋" w:eastAsia="仿宋" w:cs="Times New Roman"/>
          <w:b w:val="0"/>
          <w:bCs/>
          <w:kern w:val="2"/>
          <w:sz w:val="32"/>
          <w:szCs w:val="32"/>
          <w:lang w:val="en-US" w:eastAsia="zh-CN" w:bidi="ar"/>
        </w:rPr>
        <w:t>100%，</w:t>
      </w:r>
      <w:r>
        <w:rPr>
          <w:rStyle w:val="18"/>
          <w:rFonts w:hint="eastAsia" w:ascii="仿宋" w:hAnsi="仿宋" w:eastAsia="仿宋" w:cs="仿宋"/>
          <w:b w:val="0"/>
          <w:bCs/>
          <w:kern w:val="2"/>
          <w:sz w:val="32"/>
          <w:szCs w:val="32"/>
          <w:lang w:val="en-US" w:eastAsia="zh-CN" w:bidi="ar"/>
        </w:rPr>
        <w:t>决算数与预算数持平。</w:t>
      </w:r>
    </w:p>
    <w:p w14:paraId="10196D3A">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rPr>
          <w:rFonts w:hint="eastAsia"/>
        </w:rPr>
      </w:pPr>
      <w:r>
        <w:rPr>
          <w:rStyle w:val="18"/>
          <w:rFonts w:hint="eastAsia" w:ascii="仿宋" w:hAnsi="仿宋" w:eastAsia="仿宋" w:cs="仿宋"/>
          <w:b/>
          <w:bCs/>
          <w:kern w:val="2"/>
          <w:sz w:val="32"/>
          <w:szCs w:val="32"/>
          <w:lang w:val="en-US" w:eastAsia="zh-CN" w:bidi="ar"/>
        </w:rPr>
        <w:t>5.社会保障和就业（208）</w:t>
      </w:r>
      <w:r>
        <w:rPr>
          <w:rStyle w:val="18"/>
          <w:rFonts w:hint="eastAsia" w:ascii="仿宋" w:hAnsi="仿宋" w:eastAsia="仿宋" w:cs="Times New Roman"/>
          <w:b/>
          <w:bCs/>
          <w:kern w:val="2"/>
          <w:sz w:val="32"/>
          <w:szCs w:val="32"/>
          <w:lang w:val="en-US" w:eastAsia="zh-CN" w:bidi="ar"/>
        </w:rPr>
        <w:t>行政事业单位养老支出</w:t>
      </w:r>
      <w:r>
        <w:rPr>
          <w:rStyle w:val="18"/>
          <w:rFonts w:hint="eastAsia" w:ascii="仿宋" w:hAnsi="仿宋" w:eastAsia="仿宋" w:cs="仿宋"/>
          <w:b/>
          <w:bCs/>
          <w:kern w:val="2"/>
          <w:sz w:val="32"/>
          <w:szCs w:val="32"/>
          <w:lang w:val="en-US" w:eastAsia="zh-CN" w:bidi="ar"/>
        </w:rPr>
        <w:t>（05）</w:t>
      </w:r>
      <w:r>
        <w:rPr>
          <w:rStyle w:val="18"/>
          <w:rFonts w:hint="eastAsia" w:ascii="仿宋" w:hAnsi="仿宋" w:eastAsia="仿宋" w:cs="Times New Roman"/>
          <w:b/>
          <w:bCs/>
          <w:kern w:val="2"/>
          <w:sz w:val="32"/>
          <w:szCs w:val="32"/>
          <w:lang w:val="en-US" w:eastAsia="zh-CN" w:bidi="ar"/>
        </w:rPr>
        <w:t>机关事业单位职业年金缴费支出</w:t>
      </w:r>
      <w:r>
        <w:rPr>
          <w:rStyle w:val="18"/>
          <w:rFonts w:hint="eastAsia" w:ascii="仿宋" w:hAnsi="仿宋" w:eastAsia="仿宋" w:cs="仿宋"/>
          <w:b/>
          <w:bCs/>
          <w:kern w:val="2"/>
          <w:sz w:val="32"/>
          <w:szCs w:val="32"/>
          <w:lang w:val="en-US" w:eastAsia="zh-CN" w:bidi="ar"/>
        </w:rPr>
        <w:t>（06）</w:t>
      </w:r>
      <w:r>
        <w:rPr>
          <w:rStyle w:val="18"/>
          <w:rFonts w:hint="eastAsia" w:ascii="仿宋" w:hAnsi="仿宋" w:eastAsia="仿宋" w:cs="Times New Roman"/>
          <w:b/>
          <w:bCs/>
          <w:kern w:val="2"/>
          <w:sz w:val="32"/>
          <w:szCs w:val="32"/>
          <w:lang w:val="en-US" w:eastAsia="zh-CN" w:bidi="ar"/>
        </w:rPr>
        <w:t>:</w:t>
      </w:r>
      <w:r>
        <w:rPr>
          <w:rStyle w:val="18"/>
          <w:rFonts w:hint="eastAsia" w:ascii="仿宋" w:hAnsi="仿宋" w:eastAsia="仿宋" w:cs="Times New Roman"/>
          <w:b w:val="0"/>
          <w:bCs/>
          <w:kern w:val="2"/>
          <w:sz w:val="32"/>
          <w:szCs w:val="32"/>
          <w:lang w:val="en-US" w:eastAsia="zh-CN" w:bidi="ar"/>
        </w:rPr>
        <w:t xml:space="preserve"> </w:t>
      </w:r>
      <w:r>
        <w:rPr>
          <w:rStyle w:val="18"/>
          <w:rFonts w:hint="eastAsia" w:ascii="仿宋" w:hAnsi="仿宋" w:eastAsia="仿宋" w:cs="仿宋"/>
          <w:b w:val="0"/>
          <w:bCs/>
          <w:kern w:val="2"/>
          <w:sz w:val="32"/>
          <w:szCs w:val="32"/>
          <w:lang w:val="en-US" w:eastAsia="zh-CN" w:bidi="ar"/>
        </w:rPr>
        <w:t>支出决算为</w:t>
      </w:r>
      <w:r>
        <w:rPr>
          <w:rStyle w:val="18"/>
          <w:rFonts w:hint="eastAsia" w:ascii="仿宋" w:hAnsi="仿宋" w:eastAsia="仿宋" w:cs="Times New Roman"/>
          <w:b w:val="0"/>
          <w:bCs/>
          <w:kern w:val="2"/>
          <w:sz w:val="32"/>
          <w:szCs w:val="32"/>
          <w:lang w:val="en-US" w:eastAsia="zh-CN" w:bidi="ar"/>
        </w:rPr>
        <w:t>15.66</w:t>
      </w:r>
      <w:r>
        <w:rPr>
          <w:rStyle w:val="18"/>
          <w:rFonts w:hint="eastAsia" w:ascii="仿宋" w:hAnsi="仿宋" w:eastAsia="仿宋" w:cs="仿宋"/>
          <w:b w:val="0"/>
          <w:bCs/>
          <w:kern w:val="2"/>
          <w:sz w:val="32"/>
          <w:szCs w:val="32"/>
          <w:lang w:val="en-US" w:eastAsia="zh-CN" w:bidi="ar"/>
        </w:rPr>
        <w:t>万元，完成预算</w:t>
      </w:r>
      <w:r>
        <w:rPr>
          <w:rStyle w:val="18"/>
          <w:rFonts w:hint="eastAsia" w:ascii="仿宋" w:hAnsi="仿宋" w:eastAsia="仿宋" w:cs="Times New Roman"/>
          <w:b w:val="0"/>
          <w:bCs/>
          <w:kern w:val="2"/>
          <w:sz w:val="32"/>
          <w:szCs w:val="32"/>
          <w:lang w:val="en-US" w:eastAsia="zh-CN" w:bidi="ar"/>
        </w:rPr>
        <w:t>100%，</w:t>
      </w:r>
      <w:r>
        <w:rPr>
          <w:rStyle w:val="18"/>
          <w:rFonts w:hint="eastAsia" w:ascii="仿宋" w:hAnsi="仿宋" w:eastAsia="仿宋" w:cs="仿宋"/>
          <w:b w:val="0"/>
          <w:bCs/>
          <w:kern w:val="2"/>
          <w:sz w:val="32"/>
          <w:szCs w:val="32"/>
          <w:lang w:val="en-US" w:eastAsia="zh-CN" w:bidi="ar"/>
        </w:rPr>
        <w:t>决算数与预算数持平。</w:t>
      </w:r>
    </w:p>
    <w:p w14:paraId="6AB622BC">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rPr>
          <w:rStyle w:val="18"/>
          <w:rFonts w:hint="eastAsia" w:ascii="仿宋" w:hAnsi="仿宋" w:eastAsia="仿宋" w:cs="仿宋"/>
          <w:b w:val="0"/>
          <w:bCs/>
          <w:kern w:val="2"/>
          <w:sz w:val="32"/>
          <w:szCs w:val="32"/>
          <w:lang w:val="en-US" w:eastAsia="zh-CN" w:bidi="ar"/>
        </w:rPr>
      </w:pPr>
      <w:r>
        <w:rPr>
          <w:rStyle w:val="18"/>
          <w:rFonts w:hint="eastAsia" w:ascii="仿宋" w:hAnsi="仿宋" w:eastAsia="仿宋" w:cs="Times New Roman"/>
          <w:b/>
          <w:bCs/>
          <w:kern w:val="2"/>
          <w:sz w:val="32"/>
          <w:szCs w:val="32"/>
          <w:lang w:val="en-US" w:eastAsia="zh-CN" w:bidi="ar"/>
        </w:rPr>
        <w:t>6.</w:t>
      </w:r>
      <w:r>
        <w:rPr>
          <w:rFonts w:hint="eastAsia" w:ascii="仿宋" w:hAnsi="仿宋" w:eastAsia="仿宋" w:cs="仿宋"/>
          <w:b/>
          <w:bCs/>
          <w:kern w:val="2"/>
          <w:sz w:val="32"/>
          <w:szCs w:val="32"/>
          <w:lang w:val="en-US" w:eastAsia="zh-CN" w:bidi="ar"/>
        </w:rPr>
        <w:t>卫生健康</w:t>
      </w:r>
      <w:r>
        <w:rPr>
          <w:rStyle w:val="18"/>
          <w:rFonts w:hint="eastAsia" w:ascii="仿宋" w:hAnsi="仿宋" w:eastAsia="仿宋" w:cs="仿宋"/>
          <w:b/>
          <w:bCs/>
          <w:kern w:val="2"/>
          <w:sz w:val="32"/>
          <w:szCs w:val="32"/>
          <w:lang w:val="en-US" w:eastAsia="zh-CN" w:bidi="ar"/>
        </w:rPr>
        <w:t>（210）</w:t>
      </w:r>
      <w:r>
        <w:rPr>
          <w:rStyle w:val="18"/>
          <w:rFonts w:hint="eastAsia" w:ascii="仿宋" w:hAnsi="仿宋" w:eastAsia="仿宋" w:cs="Times New Roman"/>
          <w:b/>
          <w:bCs/>
          <w:kern w:val="2"/>
          <w:sz w:val="32"/>
          <w:szCs w:val="32"/>
          <w:lang w:val="en-US" w:eastAsia="zh-CN" w:bidi="ar"/>
        </w:rPr>
        <w:t>行政事业单位医疗</w:t>
      </w:r>
      <w:r>
        <w:rPr>
          <w:rStyle w:val="18"/>
          <w:rFonts w:hint="eastAsia" w:ascii="仿宋" w:hAnsi="仿宋" w:eastAsia="仿宋" w:cs="仿宋"/>
          <w:b/>
          <w:bCs/>
          <w:kern w:val="2"/>
          <w:sz w:val="32"/>
          <w:szCs w:val="32"/>
          <w:lang w:val="en-US" w:eastAsia="zh-CN" w:bidi="ar"/>
        </w:rPr>
        <w:t>（11）</w:t>
      </w:r>
      <w:r>
        <w:rPr>
          <w:rStyle w:val="18"/>
          <w:rFonts w:hint="eastAsia" w:ascii="仿宋" w:hAnsi="仿宋" w:eastAsia="仿宋" w:cs="Times New Roman"/>
          <w:b/>
          <w:bCs/>
          <w:kern w:val="2"/>
          <w:sz w:val="32"/>
          <w:szCs w:val="32"/>
          <w:lang w:val="en-US" w:eastAsia="zh-CN" w:bidi="ar"/>
        </w:rPr>
        <w:t>行政单位医疗</w:t>
      </w:r>
      <w:r>
        <w:rPr>
          <w:rStyle w:val="18"/>
          <w:rFonts w:hint="eastAsia" w:ascii="仿宋" w:hAnsi="仿宋" w:eastAsia="仿宋" w:cs="仿宋"/>
          <w:b/>
          <w:bCs/>
          <w:kern w:val="2"/>
          <w:sz w:val="32"/>
          <w:szCs w:val="32"/>
          <w:lang w:val="en-US" w:eastAsia="zh-CN" w:bidi="ar"/>
        </w:rPr>
        <w:t>（01）</w:t>
      </w:r>
      <w:r>
        <w:rPr>
          <w:rStyle w:val="18"/>
          <w:rFonts w:hint="eastAsia" w:ascii="仿宋" w:hAnsi="仿宋" w:eastAsia="仿宋" w:cs="Times New Roman"/>
          <w:b/>
          <w:bCs/>
          <w:kern w:val="2"/>
          <w:sz w:val="32"/>
          <w:szCs w:val="32"/>
          <w:lang w:val="en-US" w:eastAsia="zh-CN" w:bidi="ar"/>
        </w:rPr>
        <w:t>:</w:t>
      </w:r>
      <w:r>
        <w:rPr>
          <w:rStyle w:val="18"/>
          <w:rFonts w:hint="eastAsia" w:ascii="仿宋" w:hAnsi="仿宋" w:eastAsia="仿宋" w:cs="仿宋"/>
          <w:b w:val="0"/>
          <w:bCs/>
          <w:kern w:val="2"/>
          <w:sz w:val="32"/>
          <w:szCs w:val="32"/>
          <w:lang w:val="en-US" w:eastAsia="zh-CN" w:bidi="ar"/>
        </w:rPr>
        <w:t>支出决算为</w:t>
      </w:r>
      <w:r>
        <w:rPr>
          <w:rStyle w:val="18"/>
          <w:rFonts w:hint="eastAsia" w:ascii="仿宋" w:hAnsi="仿宋" w:eastAsia="仿宋" w:cs="Times New Roman"/>
          <w:b w:val="0"/>
          <w:bCs/>
          <w:kern w:val="2"/>
          <w:sz w:val="32"/>
          <w:szCs w:val="32"/>
          <w:lang w:val="en-US" w:eastAsia="zh-CN" w:bidi="ar"/>
        </w:rPr>
        <w:t>9.20</w:t>
      </w:r>
      <w:r>
        <w:rPr>
          <w:rStyle w:val="18"/>
          <w:rFonts w:hint="eastAsia" w:ascii="仿宋" w:hAnsi="仿宋" w:eastAsia="仿宋" w:cs="仿宋"/>
          <w:b w:val="0"/>
          <w:bCs/>
          <w:kern w:val="2"/>
          <w:sz w:val="32"/>
          <w:szCs w:val="32"/>
          <w:lang w:val="en-US" w:eastAsia="zh-CN" w:bidi="ar"/>
        </w:rPr>
        <w:t>万元，完成预算</w:t>
      </w:r>
      <w:r>
        <w:rPr>
          <w:rStyle w:val="18"/>
          <w:rFonts w:hint="eastAsia" w:ascii="仿宋" w:hAnsi="仿宋" w:eastAsia="仿宋" w:cs="Times New Roman"/>
          <w:b w:val="0"/>
          <w:bCs/>
          <w:kern w:val="2"/>
          <w:sz w:val="32"/>
          <w:szCs w:val="32"/>
          <w:lang w:val="en-US" w:eastAsia="zh-CN" w:bidi="ar"/>
        </w:rPr>
        <w:t>100%，</w:t>
      </w:r>
      <w:r>
        <w:rPr>
          <w:rStyle w:val="18"/>
          <w:rFonts w:hint="eastAsia" w:ascii="仿宋" w:hAnsi="仿宋" w:eastAsia="仿宋" w:cs="仿宋"/>
          <w:b w:val="0"/>
          <w:bCs/>
          <w:kern w:val="2"/>
          <w:sz w:val="32"/>
          <w:szCs w:val="32"/>
          <w:lang w:val="en-US" w:eastAsia="zh-CN" w:bidi="ar"/>
        </w:rPr>
        <w:t>决算数与预算数持平。</w:t>
      </w:r>
    </w:p>
    <w:p w14:paraId="36A09548">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rPr>
          <w:rFonts w:hint="eastAsia"/>
        </w:rPr>
      </w:pPr>
      <w:r>
        <w:rPr>
          <w:rFonts w:hint="eastAsia" w:ascii="仿宋" w:hAnsi="仿宋" w:eastAsia="仿宋" w:cs="仿宋"/>
          <w:b/>
          <w:bCs/>
          <w:kern w:val="2"/>
          <w:sz w:val="32"/>
          <w:szCs w:val="32"/>
          <w:lang w:val="en-US" w:eastAsia="zh-CN" w:bidi="ar"/>
        </w:rPr>
        <w:t>7.卫生健康</w:t>
      </w:r>
      <w:r>
        <w:rPr>
          <w:rStyle w:val="18"/>
          <w:rFonts w:hint="eastAsia" w:ascii="仿宋" w:hAnsi="仿宋" w:eastAsia="仿宋" w:cs="仿宋"/>
          <w:b/>
          <w:bCs/>
          <w:kern w:val="2"/>
          <w:sz w:val="32"/>
          <w:szCs w:val="32"/>
          <w:lang w:val="en-US" w:eastAsia="zh-CN" w:bidi="ar"/>
        </w:rPr>
        <w:t>（210）</w:t>
      </w:r>
      <w:r>
        <w:rPr>
          <w:rStyle w:val="18"/>
          <w:rFonts w:hint="eastAsia" w:ascii="仿宋" w:hAnsi="仿宋" w:eastAsia="仿宋" w:cs="Times New Roman"/>
          <w:b/>
          <w:bCs/>
          <w:kern w:val="2"/>
          <w:sz w:val="32"/>
          <w:szCs w:val="32"/>
          <w:lang w:val="en-US" w:eastAsia="zh-CN" w:bidi="ar"/>
        </w:rPr>
        <w:t>行政事业单位医疗</w:t>
      </w:r>
      <w:r>
        <w:rPr>
          <w:rStyle w:val="18"/>
          <w:rFonts w:hint="eastAsia" w:ascii="仿宋" w:hAnsi="仿宋" w:eastAsia="仿宋" w:cs="仿宋"/>
          <w:b/>
          <w:bCs/>
          <w:kern w:val="2"/>
          <w:sz w:val="32"/>
          <w:szCs w:val="32"/>
          <w:lang w:val="en-US" w:eastAsia="zh-CN" w:bidi="ar"/>
        </w:rPr>
        <w:t>（11）事业</w:t>
      </w:r>
      <w:r>
        <w:rPr>
          <w:rStyle w:val="18"/>
          <w:rFonts w:hint="eastAsia" w:ascii="仿宋" w:hAnsi="仿宋" w:eastAsia="仿宋" w:cs="Times New Roman"/>
          <w:b/>
          <w:bCs/>
          <w:kern w:val="2"/>
          <w:sz w:val="32"/>
          <w:szCs w:val="32"/>
          <w:lang w:val="en-US" w:eastAsia="zh-CN" w:bidi="ar"/>
        </w:rPr>
        <w:t>单位医疗</w:t>
      </w:r>
      <w:r>
        <w:rPr>
          <w:rStyle w:val="18"/>
          <w:rFonts w:hint="eastAsia" w:ascii="仿宋" w:hAnsi="仿宋" w:eastAsia="仿宋" w:cs="仿宋"/>
          <w:b/>
          <w:bCs/>
          <w:kern w:val="2"/>
          <w:sz w:val="32"/>
          <w:szCs w:val="32"/>
          <w:lang w:val="en-US" w:eastAsia="zh-CN" w:bidi="ar"/>
        </w:rPr>
        <w:t>（02）</w:t>
      </w:r>
      <w:r>
        <w:rPr>
          <w:rStyle w:val="18"/>
          <w:rFonts w:hint="eastAsia" w:ascii="仿宋" w:hAnsi="仿宋" w:eastAsia="仿宋" w:cs="Times New Roman"/>
          <w:b/>
          <w:bCs/>
          <w:kern w:val="2"/>
          <w:sz w:val="32"/>
          <w:szCs w:val="32"/>
          <w:lang w:val="en-US" w:eastAsia="zh-CN" w:bidi="ar"/>
        </w:rPr>
        <w:t>:</w:t>
      </w:r>
      <w:r>
        <w:rPr>
          <w:rStyle w:val="18"/>
          <w:rFonts w:hint="eastAsia" w:ascii="仿宋" w:hAnsi="仿宋" w:eastAsia="仿宋" w:cs="仿宋"/>
          <w:b w:val="0"/>
          <w:bCs/>
          <w:kern w:val="2"/>
          <w:sz w:val="32"/>
          <w:szCs w:val="32"/>
          <w:lang w:val="en-US" w:eastAsia="zh-CN" w:bidi="ar"/>
        </w:rPr>
        <w:t>支出决算为</w:t>
      </w:r>
      <w:r>
        <w:rPr>
          <w:rStyle w:val="18"/>
          <w:rFonts w:hint="eastAsia" w:ascii="仿宋" w:hAnsi="仿宋" w:eastAsia="仿宋" w:cs="Times New Roman"/>
          <w:b w:val="0"/>
          <w:bCs/>
          <w:kern w:val="2"/>
          <w:sz w:val="32"/>
          <w:szCs w:val="32"/>
          <w:lang w:val="en-US" w:eastAsia="zh-CN" w:bidi="ar"/>
        </w:rPr>
        <w:t>10.58</w:t>
      </w:r>
      <w:r>
        <w:rPr>
          <w:rStyle w:val="18"/>
          <w:rFonts w:hint="eastAsia" w:ascii="仿宋" w:hAnsi="仿宋" w:eastAsia="仿宋" w:cs="仿宋"/>
          <w:b w:val="0"/>
          <w:bCs/>
          <w:kern w:val="2"/>
          <w:sz w:val="32"/>
          <w:szCs w:val="32"/>
          <w:lang w:val="en-US" w:eastAsia="zh-CN" w:bidi="ar"/>
        </w:rPr>
        <w:t>万元，完成预算</w:t>
      </w:r>
      <w:r>
        <w:rPr>
          <w:rStyle w:val="18"/>
          <w:rFonts w:hint="eastAsia" w:ascii="仿宋" w:hAnsi="仿宋" w:eastAsia="仿宋" w:cs="Times New Roman"/>
          <w:b w:val="0"/>
          <w:bCs/>
          <w:kern w:val="2"/>
          <w:sz w:val="32"/>
          <w:szCs w:val="32"/>
          <w:lang w:val="en-US" w:eastAsia="zh-CN" w:bidi="ar"/>
        </w:rPr>
        <w:t>100%，</w:t>
      </w:r>
      <w:r>
        <w:rPr>
          <w:rStyle w:val="18"/>
          <w:rFonts w:hint="eastAsia" w:ascii="仿宋" w:hAnsi="仿宋" w:eastAsia="仿宋" w:cs="仿宋"/>
          <w:b w:val="0"/>
          <w:bCs/>
          <w:kern w:val="2"/>
          <w:sz w:val="32"/>
          <w:szCs w:val="32"/>
          <w:lang w:val="en-US" w:eastAsia="zh-CN" w:bidi="ar"/>
        </w:rPr>
        <w:t>决算数与预算数持平。</w:t>
      </w:r>
    </w:p>
    <w:p w14:paraId="4B2F94EA">
      <w:pPr>
        <w:spacing w:line="600" w:lineRule="exact"/>
        <w:ind w:firstLine="643" w:firstLineChars="200"/>
        <w:rPr>
          <w:rFonts w:hint="eastAsia" w:ascii="仿宋_GB2312" w:eastAsia="仿宋_GB2312"/>
          <w:color w:val="000000"/>
          <w:sz w:val="32"/>
          <w:szCs w:val="32"/>
        </w:rPr>
      </w:pPr>
      <w:r>
        <w:rPr>
          <w:rFonts w:hint="eastAsia" w:ascii="仿宋" w:hAnsi="仿宋" w:eastAsia="仿宋" w:cs="仿宋"/>
          <w:b/>
          <w:bCs/>
          <w:kern w:val="2"/>
          <w:sz w:val="32"/>
          <w:szCs w:val="32"/>
          <w:lang w:val="en-US" w:eastAsia="zh-CN" w:bidi="ar"/>
        </w:rPr>
        <w:t>8.住房保障支出（221）住房改革支出（02）住房公积金（01）：</w:t>
      </w:r>
      <w:r>
        <w:rPr>
          <w:rStyle w:val="18"/>
          <w:rFonts w:hint="eastAsia" w:ascii="仿宋" w:hAnsi="仿宋" w:eastAsia="仿宋" w:cs="仿宋"/>
          <w:b w:val="0"/>
          <w:bCs/>
          <w:kern w:val="2"/>
          <w:sz w:val="32"/>
          <w:szCs w:val="32"/>
          <w:lang w:val="en-US" w:eastAsia="zh-CN" w:bidi="ar"/>
        </w:rPr>
        <w:t>支出决算为</w:t>
      </w:r>
      <w:r>
        <w:rPr>
          <w:rFonts w:hint="eastAsia" w:ascii="仿宋_GB2312" w:eastAsia="仿宋_GB2312"/>
          <w:color w:val="000000"/>
          <w:sz w:val="32"/>
          <w:szCs w:val="32"/>
          <w:lang w:val="en-US" w:eastAsia="zh-CN"/>
        </w:rPr>
        <w:t>25.51</w:t>
      </w:r>
      <w:r>
        <w:rPr>
          <w:rFonts w:hint="eastAsia" w:ascii="仿宋_GB2312" w:eastAsia="仿宋_GB2312"/>
          <w:color w:val="000000"/>
          <w:sz w:val="32"/>
          <w:szCs w:val="32"/>
        </w:rPr>
        <w:t>万元，完成预算的100%</w:t>
      </w:r>
      <w:r>
        <w:rPr>
          <w:rStyle w:val="18"/>
          <w:rFonts w:hint="eastAsia" w:ascii="仿宋" w:hAnsi="仿宋" w:eastAsia="仿宋" w:cs="Times New Roman"/>
          <w:b w:val="0"/>
          <w:bCs/>
          <w:kern w:val="2"/>
          <w:sz w:val="32"/>
          <w:szCs w:val="32"/>
          <w:lang w:val="en-US" w:eastAsia="zh-CN" w:bidi="ar"/>
        </w:rPr>
        <w:t>，</w:t>
      </w:r>
      <w:r>
        <w:rPr>
          <w:rStyle w:val="18"/>
          <w:rFonts w:hint="eastAsia" w:ascii="仿宋" w:hAnsi="仿宋" w:eastAsia="仿宋" w:cs="仿宋"/>
          <w:b w:val="0"/>
          <w:bCs/>
          <w:kern w:val="2"/>
          <w:sz w:val="32"/>
          <w:szCs w:val="32"/>
          <w:lang w:val="en-US" w:eastAsia="zh-CN" w:bidi="ar"/>
        </w:rPr>
        <w:t>决算数与预算数持平。</w:t>
      </w:r>
    </w:p>
    <w:p w14:paraId="74F1EFC4">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default" w:ascii="Cambria" w:hAnsi="Cambria" w:eastAsia="宋体" w:cs="Times New Roman"/>
          <w:b/>
          <w:bCs/>
          <w:sz w:val="32"/>
          <w:szCs w:val="32"/>
        </w:rPr>
      </w:pPr>
      <w:r>
        <w:rPr>
          <w:rFonts w:hint="eastAsia" w:ascii="黑体" w:hAnsi="宋体" w:eastAsia="黑体" w:cs="黑体"/>
          <w:kern w:val="2"/>
          <w:sz w:val="32"/>
          <w:szCs w:val="32"/>
          <w:lang w:val="en-US" w:eastAsia="zh-CN" w:bidi="ar"/>
        </w:rPr>
        <w:t>六</w:t>
      </w:r>
      <w:r>
        <w:rPr>
          <w:rFonts w:hint="eastAsia" w:ascii="黑体" w:hAnsi="宋体" w:eastAsia="黑体" w:cs="黑体"/>
          <w:b/>
          <w:bCs w:val="0"/>
          <w:kern w:val="2"/>
          <w:sz w:val="32"/>
          <w:szCs w:val="32"/>
          <w:lang w:val="en-US" w:eastAsia="zh-CN" w:bidi="ar"/>
        </w:rPr>
        <w:t>、一</w:t>
      </w:r>
      <w:r>
        <w:rPr>
          <w:rStyle w:val="19"/>
          <w:rFonts w:hint="eastAsia" w:ascii="黑体" w:hAnsi="宋体" w:eastAsia="黑体" w:cs="黑体"/>
          <w:b w:val="0"/>
          <w:bCs/>
          <w:kern w:val="2"/>
          <w:sz w:val="32"/>
          <w:szCs w:val="32"/>
          <w:lang w:val="en-US" w:eastAsia="zh-CN" w:bidi="ar"/>
        </w:rPr>
        <w:t>般公共预算财政拨款基本支出决算情况说明</w:t>
      </w:r>
      <w:r>
        <w:rPr>
          <w:rStyle w:val="19"/>
          <w:rFonts w:hint="eastAsia" w:ascii="黑体" w:hAnsi="宋体" w:eastAsia="黑体" w:cs="Times New Roman"/>
          <w:b w:val="0"/>
          <w:bCs/>
          <w:kern w:val="2"/>
          <w:sz w:val="32"/>
          <w:szCs w:val="32"/>
          <w:lang w:val="en-US" w:eastAsia="zh-CN" w:bidi="ar"/>
        </w:rPr>
        <w:tab/>
      </w:r>
    </w:p>
    <w:p w14:paraId="3EEFC364">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rPr>
      </w:pPr>
      <w:r>
        <w:rPr>
          <w:rFonts w:hint="eastAsia" w:ascii="仿宋" w:hAnsi="仿宋" w:eastAsia="仿宋" w:cs="仿宋"/>
          <w:kern w:val="2"/>
          <w:sz w:val="32"/>
          <w:szCs w:val="32"/>
          <w:lang w:val="en-US" w:eastAsia="zh-CN" w:bidi="ar"/>
        </w:rPr>
        <w:t>2024年度一般公共预算财政拨款基本支出</w:t>
      </w:r>
      <w:r>
        <w:rPr>
          <w:rFonts w:hint="eastAsia" w:ascii="仿宋" w:hAnsi="仿宋" w:eastAsia="仿宋" w:cs="Times New Roman"/>
          <w:kern w:val="2"/>
          <w:sz w:val="32"/>
          <w:szCs w:val="32"/>
          <w:lang w:val="en-US" w:eastAsia="zh-CN" w:bidi="ar"/>
        </w:rPr>
        <w:t>426.66</w:t>
      </w:r>
      <w:r>
        <w:rPr>
          <w:rFonts w:hint="eastAsia" w:ascii="仿宋" w:hAnsi="仿宋" w:eastAsia="仿宋" w:cs="仿宋"/>
          <w:kern w:val="2"/>
          <w:sz w:val="32"/>
          <w:szCs w:val="32"/>
          <w:lang w:val="en-US" w:eastAsia="zh-CN" w:bidi="ar"/>
        </w:rPr>
        <w:t>万元，其中：</w:t>
      </w:r>
    </w:p>
    <w:p w14:paraId="3F716E2C">
      <w:pPr>
        <w:spacing w:line="600" w:lineRule="exact"/>
        <w:ind w:firstLine="645"/>
        <w:rPr>
          <w:rFonts w:hint="eastAsia" w:ascii="仿宋" w:hAnsi="仿宋" w:eastAsia="仿宋" w:cs="Times New Roman"/>
          <w:b/>
          <w:bCs w:val="0"/>
          <w:kern w:val="2"/>
          <w:sz w:val="32"/>
          <w:szCs w:val="32"/>
        </w:rPr>
      </w:pPr>
      <w:r>
        <w:rPr>
          <w:rFonts w:hint="eastAsia" w:ascii="仿宋" w:hAnsi="仿宋" w:eastAsia="仿宋" w:cs="仿宋"/>
          <w:kern w:val="2"/>
          <w:sz w:val="32"/>
          <w:szCs w:val="32"/>
          <w:lang w:val="en-US" w:eastAsia="zh-CN" w:bidi="ar"/>
        </w:rPr>
        <w:t>人员经费</w:t>
      </w:r>
      <w:r>
        <w:rPr>
          <w:rFonts w:hint="eastAsia" w:ascii="仿宋" w:hAnsi="仿宋" w:eastAsia="仿宋" w:cs="Times New Roman"/>
          <w:kern w:val="2"/>
          <w:sz w:val="32"/>
          <w:szCs w:val="32"/>
          <w:lang w:val="en-US" w:eastAsia="zh-CN" w:bidi="ar"/>
        </w:rPr>
        <w:t>325.69</w:t>
      </w:r>
      <w:r>
        <w:rPr>
          <w:rFonts w:hint="eastAsia" w:ascii="仿宋" w:hAnsi="仿宋" w:eastAsia="仿宋" w:cs="仿宋"/>
          <w:kern w:val="2"/>
          <w:sz w:val="32"/>
          <w:szCs w:val="32"/>
          <w:lang w:val="en-US" w:eastAsia="zh-CN" w:bidi="ar"/>
        </w:rPr>
        <w:t>万元，</w:t>
      </w:r>
      <w:r>
        <w:rPr>
          <w:rFonts w:hint="eastAsia" w:ascii="仿宋" w:hAnsi="仿宋" w:eastAsia="仿宋"/>
          <w:color w:val="000000"/>
          <w:sz w:val="32"/>
          <w:szCs w:val="32"/>
        </w:rPr>
        <w:t>主要包括：基本工资、津贴补贴、奖金、绩效工资、机关事业单位基本养老保险缴费、职业年金缴费、职工基本医疗保险、医疗费、其他社会保障缴费、生活补助、医疗费补助、奖励金、住房公积金等。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45.41</w:t>
      </w:r>
      <w:r>
        <w:rPr>
          <w:rFonts w:hint="eastAsia" w:ascii="仿宋" w:hAnsi="仿宋" w:eastAsia="仿宋"/>
          <w:color w:val="000000"/>
          <w:sz w:val="32"/>
          <w:szCs w:val="32"/>
        </w:rPr>
        <w:t>万元，主要包括：办公费、邮电费、差旅费、培训费、</w:t>
      </w:r>
      <w:r>
        <w:rPr>
          <w:rFonts w:hint="eastAsia" w:ascii="仿宋" w:hAnsi="仿宋" w:eastAsia="仿宋"/>
          <w:color w:val="000000"/>
          <w:sz w:val="32"/>
          <w:szCs w:val="32"/>
          <w:lang w:eastAsia="zh-CN"/>
        </w:rPr>
        <w:t>其他交通费</w:t>
      </w:r>
      <w:r>
        <w:rPr>
          <w:rFonts w:hint="eastAsia" w:ascii="仿宋" w:hAnsi="仿宋" w:eastAsia="仿宋"/>
          <w:color w:val="000000"/>
          <w:sz w:val="32"/>
          <w:szCs w:val="32"/>
        </w:rPr>
        <w:t>等</w:t>
      </w:r>
      <w:r>
        <w:rPr>
          <w:rFonts w:hint="eastAsia" w:ascii="仿宋" w:hAnsi="仿宋" w:eastAsia="仿宋"/>
          <w:color w:val="000000"/>
          <w:sz w:val="32"/>
          <w:szCs w:val="32"/>
          <w:lang w:eastAsia="zh-CN"/>
        </w:rPr>
        <w:t>。</w:t>
      </w:r>
      <w:r>
        <w:rPr>
          <w:rFonts w:hint="eastAsia" w:ascii="仿宋" w:hAnsi="仿宋" w:eastAsia="仿宋" w:cs="Times New Roman"/>
          <w:b/>
          <w:bCs w:val="0"/>
          <w:kern w:val="2"/>
          <w:sz w:val="32"/>
          <w:szCs w:val="32"/>
          <w:lang w:val="en-US" w:eastAsia="zh-CN" w:bidi="ar"/>
        </w:rPr>
        <w:t xml:space="preserve"> </w:t>
      </w:r>
    </w:p>
    <w:p w14:paraId="1FD2D59B">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黑体" w:hAnsi="宋体" w:eastAsia="黑体" w:cs="Times New Roman"/>
          <w:b w:val="0"/>
          <w:bCs/>
          <w:sz w:val="32"/>
          <w:szCs w:val="32"/>
        </w:rPr>
      </w:pPr>
      <w:r>
        <w:rPr>
          <w:rFonts w:hint="eastAsia" w:ascii="黑体" w:hAnsi="宋体" w:eastAsia="黑体" w:cs="黑体"/>
          <w:kern w:val="2"/>
          <w:sz w:val="32"/>
          <w:szCs w:val="32"/>
          <w:lang w:val="en-US" w:eastAsia="zh-CN" w:bidi="ar"/>
        </w:rPr>
        <w:t>七、</w:t>
      </w:r>
      <w:r>
        <w:rPr>
          <w:rStyle w:val="19"/>
          <w:rFonts w:hint="eastAsia" w:ascii="黑体" w:hAnsi="宋体" w:eastAsia="黑体" w:cs="黑体"/>
          <w:b w:val="0"/>
          <w:bCs/>
          <w:kern w:val="2"/>
          <w:sz w:val="32"/>
          <w:szCs w:val="32"/>
          <w:lang w:val="en-US" w:eastAsia="zh-CN" w:bidi="ar"/>
        </w:rPr>
        <w:t>财政拨款</w:t>
      </w:r>
      <w:r>
        <w:rPr>
          <w:rStyle w:val="19"/>
          <w:rFonts w:hint="eastAsia" w:ascii="黑体" w:hAnsi="宋体" w:eastAsia="黑体" w:cs="黑体"/>
          <w:b/>
          <w:bCs/>
          <w:kern w:val="2"/>
          <w:sz w:val="32"/>
          <w:szCs w:val="32"/>
          <w:lang w:val="en-US" w:eastAsia="zh-CN" w:bidi="ar"/>
        </w:rPr>
        <w:t>“</w:t>
      </w:r>
      <w:r>
        <w:rPr>
          <w:rStyle w:val="19"/>
          <w:rFonts w:hint="eastAsia" w:ascii="黑体" w:hAnsi="宋体" w:eastAsia="黑体" w:cs="黑体"/>
          <w:b w:val="0"/>
          <w:bCs/>
          <w:kern w:val="2"/>
          <w:sz w:val="32"/>
          <w:szCs w:val="32"/>
          <w:lang w:val="en-US" w:eastAsia="zh-CN" w:bidi="ar"/>
        </w:rPr>
        <w:t>三公”经费支出决算情况说明</w:t>
      </w:r>
    </w:p>
    <w:p w14:paraId="18E36E35">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（一）“三公”经费财政拨款支出决算总体情况说明</w:t>
      </w:r>
    </w:p>
    <w:p w14:paraId="12D31CA9">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rPr>
      </w:pPr>
      <w:r>
        <w:rPr>
          <w:rFonts w:hint="eastAsia" w:ascii="仿宋" w:hAnsi="仿宋" w:eastAsia="仿宋" w:cs="仿宋"/>
          <w:kern w:val="2"/>
          <w:sz w:val="32"/>
          <w:szCs w:val="32"/>
          <w:lang w:val="en-US" w:eastAsia="zh-CN" w:bidi="ar"/>
        </w:rPr>
        <w:t>2024年度“三公”经费财政拨款支出为0万元</w:t>
      </w:r>
      <w:r>
        <w:rPr>
          <w:rFonts w:hint="eastAsia" w:ascii="仿宋" w:hAnsi="仿宋" w:eastAsia="仿宋" w:cs="Times New Roman"/>
          <w:kern w:val="2"/>
          <w:sz w:val="32"/>
          <w:szCs w:val="32"/>
          <w:lang w:val="en-US" w:eastAsia="zh-CN" w:bidi="ar"/>
        </w:rPr>
        <w:t>。</w:t>
      </w:r>
    </w:p>
    <w:p w14:paraId="6C9FA1F5">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（二）“三公”经费财政拨款支出决算具体情况说明</w:t>
      </w:r>
    </w:p>
    <w:p w14:paraId="70835943">
      <w:pPr>
        <w:pageBreakBefore w:val="0"/>
        <w:numPr>
          <w:ilvl w:val="0"/>
          <w:numId w:val="0"/>
        </w:numPr>
        <w:kinsoku/>
        <w:wordWrap/>
        <w:overflowPunct/>
        <w:topLinePunct w:val="0"/>
        <w:bidi w:val="0"/>
        <w:spacing w:line="576" w:lineRule="exact"/>
        <w:ind w:firstLine="643" w:firstLineChars="200"/>
        <w:textAlignment w:val="auto"/>
        <w:rPr>
          <w:rFonts w:hint="eastAsia" w:ascii="仿宋_GB2312" w:hAnsi="Calibri" w:eastAsia="仿宋_GB2312" w:cs="Times New Roman"/>
          <w:kern w:val="2"/>
          <w:sz w:val="32"/>
          <w:szCs w:val="32"/>
        </w:rPr>
      </w:pPr>
      <w:r>
        <w:rPr>
          <w:rFonts w:hint="eastAsia" w:ascii="仿宋_GB2312" w:hAnsi="Calibri" w:eastAsia="仿宋_GB2312" w:cs="Times New Roman"/>
          <w:b/>
          <w:bCs w:val="0"/>
          <w:kern w:val="2"/>
          <w:sz w:val="32"/>
          <w:szCs w:val="32"/>
          <w:lang w:val="en-US" w:eastAsia="zh-CN" w:bidi="ar"/>
        </w:rPr>
        <w:t>1.</w:t>
      </w:r>
      <w:r>
        <w:rPr>
          <w:rFonts w:hint="eastAsia" w:ascii="仿宋_GB2312" w:hAnsi="Calibri" w:eastAsia="仿宋_GB2312" w:cs="仿宋_GB2312"/>
          <w:b/>
          <w:bCs w:val="0"/>
          <w:kern w:val="2"/>
          <w:sz w:val="32"/>
          <w:szCs w:val="32"/>
          <w:lang w:val="en-US" w:eastAsia="zh-CN" w:bidi="ar"/>
        </w:rPr>
        <w:t>公务接待费支出</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万元，</w:t>
      </w:r>
      <w:r>
        <w:rPr>
          <w:rStyle w:val="18"/>
          <w:rFonts w:hint="eastAsia" w:ascii="仿宋" w:hAnsi="仿宋" w:eastAsia="仿宋" w:cs="仿宋"/>
          <w:b w:val="0"/>
          <w:bCs/>
          <w:kern w:val="2"/>
          <w:sz w:val="32"/>
          <w:szCs w:val="32"/>
          <w:lang w:val="en-US" w:eastAsia="zh-CN" w:bidi="ar"/>
        </w:rPr>
        <w:t>完成预算</w:t>
      </w:r>
      <w:r>
        <w:rPr>
          <w:rStyle w:val="18"/>
          <w:rFonts w:hint="eastAsia" w:ascii="仿宋" w:hAnsi="仿宋" w:eastAsia="仿宋" w:cs="Times New Roman"/>
          <w:b w:val="0"/>
          <w:bCs/>
          <w:kern w:val="2"/>
          <w:sz w:val="32"/>
          <w:szCs w:val="32"/>
          <w:lang w:val="en-US" w:eastAsia="zh-CN" w:bidi="ar"/>
        </w:rPr>
        <w:t>100%</w:t>
      </w:r>
      <w:r>
        <w:rPr>
          <w:rStyle w:val="18"/>
          <w:rFonts w:hint="eastAsia" w:ascii="仿宋" w:hAnsi="仿宋" w:eastAsia="仿宋" w:cs="仿宋"/>
          <w:b w:val="0"/>
          <w:bCs/>
          <w:kern w:val="2"/>
          <w:sz w:val="32"/>
          <w:szCs w:val="32"/>
          <w:lang w:val="en-US" w:eastAsia="zh-CN" w:bidi="ar"/>
        </w:rPr>
        <w:t>。</w:t>
      </w:r>
      <w:r>
        <w:rPr>
          <w:rFonts w:hint="eastAsia" w:ascii="仿宋_GB2312" w:hAnsi="Calibri" w:eastAsia="仿宋_GB2312" w:cs="仿宋_GB2312"/>
          <w:kern w:val="2"/>
          <w:sz w:val="32"/>
          <w:szCs w:val="32"/>
          <w:lang w:val="en-US" w:eastAsia="zh-CN" w:bidi="ar"/>
        </w:rPr>
        <w:t>公务接待费支出决算与2023年度相比减少</w:t>
      </w:r>
      <w:r>
        <w:rPr>
          <w:rFonts w:hint="eastAsia" w:ascii="仿宋_GB2312" w:hAnsi="Calibri" w:eastAsia="仿宋_GB2312" w:cs="Times New Roman"/>
          <w:kern w:val="2"/>
          <w:sz w:val="32"/>
          <w:szCs w:val="32"/>
          <w:lang w:val="en-US" w:eastAsia="zh-CN" w:bidi="ar"/>
        </w:rPr>
        <w:t>0.73</w:t>
      </w:r>
      <w:r>
        <w:rPr>
          <w:rFonts w:hint="eastAsia" w:ascii="仿宋_GB2312" w:hAnsi="Calibri" w:eastAsia="仿宋_GB2312" w:cs="仿宋_GB2312"/>
          <w:kern w:val="2"/>
          <w:sz w:val="32"/>
          <w:szCs w:val="32"/>
          <w:lang w:val="en-US" w:eastAsia="zh-CN" w:bidi="ar"/>
        </w:rPr>
        <w:t>万元，下降100</w:t>
      </w:r>
      <w:r>
        <w:rPr>
          <w:rFonts w:hint="eastAsia" w:ascii="仿宋_GB2312" w:hAnsi="Calibri" w:eastAsia="仿宋_GB2312" w:cs="Times New Roman"/>
          <w:kern w:val="2"/>
          <w:sz w:val="32"/>
          <w:szCs w:val="32"/>
          <w:lang w:val="en-US" w:eastAsia="zh-CN" w:bidi="ar"/>
        </w:rPr>
        <w:t>%</w:t>
      </w:r>
      <w:r>
        <w:rPr>
          <w:rFonts w:hint="eastAsia" w:ascii="仿宋_GB2312" w:hAnsi="Calibri" w:eastAsia="仿宋_GB2312" w:cs="仿宋_GB2312"/>
          <w:kern w:val="2"/>
          <w:sz w:val="32"/>
          <w:szCs w:val="32"/>
          <w:lang w:val="en-US" w:eastAsia="zh-CN" w:bidi="ar"/>
        </w:rPr>
        <w:t>。主要原因是：2024年度无公务接待。</w:t>
      </w:r>
    </w:p>
    <w:p w14:paraId="6972D72A">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黑体" w:hAnsi="宋体" w:eastAsia="黑体" w:cs="Times New Roman"/>
          <w:b/>
          <w:bCs/>
          <w:sz w:val="32"/>
          <w:szCs w:val="32"/>
        </w:rPr>
      </w:pPr>
      <w:r>
        <w:rPr>
          <w:rFonts w:hint="eastAsia" w:ascii="黑体" w:hAnsi="宋体" w:eastAsia="黑体" w:cs="黑体"/>
          <w:kern w:val="2"/>
          <w:sz w:val="32"/>
          <w:szCs w:val="32"/>
          <w:lang w:val="en-US" w:eastAsia="zh-CN" w:bidi="ar"/>
        </w:rPr>
        <w:t>八、</w:t>
      </w:r>
      <w:r>
        <w:rPr>
          <w:rStyle w:val="19"/>
          <w:rFonts w:hint="eastAsia" w:ascii="黑体" w:hAnsi="宋体" w:eastAsia="黑体" w:cs="黑体"/>
          <w:b w:val="0"/>
          <w:bCs/>
          <w:kern w:val="2"/>
          <w:sz w:val="32"/>
          <w:szCs w:val="32"/>
          <w:lang w:val="en-US" w:eastAsia="zh-CN" w:bidi="ar"/>
        </w:rPr>
        <w:t>政府性基金预算支出决算情况说明</w:t>
      </w:r>
    </w:p>
    <w:p w14:paraId="64E762F1">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_GB2312" w:hAnsi="Calibri" w:eastAsia="仿宋_GB2312" w:cs="Times New Roman"/>
          <w:kern w:val="2"/>
          <w:sz w:val="32"/>
          <w:szCs w:val="32"/>
        </w:rPr>
      </w:pPr>
      <w:r>
        <w:rPr>
          <w:rFonts w:hint="eastAsia" w:ascii="仿宋_GB2312" w:hAnsi="Calibri" w:eastAsia="仿宋_GB2312" w:cs="仿宋_GB2312"/>
          <w:kern w:val="2"/>
          <w:sz w:val="32"/>
          <w:szCs w:val="32"/>
          <w:lang w:val="en-US" w:eastAsia="zh-CN" w:bidi="ar"/>
        </w:rPr>
        <w:t>2024年度政府性基金预算财政拨款支出为0万元</w:t>
      </w:r>
      <w:r>
        <w:rPr>
          <w:rFonts w:hint="eastAsia" w:ascii="仿宋" w:hAnsi="仿宋" w:eastAsia="仿宋" w:cs="仿宋"/>
          <w:kern w:val="2"/>
          <w:sz w:val="32"/>
          <w:szCs w:val="32"/>
          <w:lang w:val="en-US" w:eastAsia="zh-CN" w:bidi="ar"/>
        </w:rPr>
        <w:t>。</w:t>
      </w:r>
    </w:p>
    <w:p w14:paraId="2CE22AAB">
      <w:pPr>
        <w:keepNext w:val="0"/>
        <w:keepLines w:val="0"/>
        <w:pageBreakBefore w:val="0"/>
        <w:widowControl w:val="0"/>
        <w:suppressLineNumbers w:val="0"/>
        <w:suppressAutoHyphens/>
        <w:kinsoku/>
        <w:wordWrap/>
        <w:overflowPunct/>
        <w:topLinePunct w:val="0"/>
        <w:autoSpaceDE w:val="0"/>
        <w:autoSpaceDN/>
        <w:bidi w:val="0"/>
        <w:snapToGrid/>
        <w:spacing w:before="0" w:beforeAutospacing="0" w:after="0" w:afterAutospacing="0" w:line="600" w:lineRule="exact"/>
        <w:ind w:left="0" w:right="0" w:firstLine="640" w:firstLineChars="200"/>
        <w:jc w:val="both"/>
        <w:textAlignment w:val="auto"/>
        <w:outlineLvl w:val="1"/>
        <w:rPr>
          <w:rFonts w:hint="eastAsia" w:ascii="黑体" w:hAnsi="宋体" w:eastAsia="黑体" w:cs="Times New Roman"/>
          <w:b w:val="0"/>
          <w:bCs/>
          <w:sz w:val="32"/>
          <w:szCs w:val="32"/>
        </w:rPr>
      </w:pPr>
      <w:r>
        <w:rPr>
          <w:rStyle w:val="19"/>
          <w:rFonts w:hint="eastAsia" w:ascii="黑体" w:hAnsi="宋体" w:eastAsia="黑体" w:cs="黑体"/>
          <w:b w:val="0"/>
          <w:bCs/>
          <w:kern w:val="2"/>
          <w:sz w:val="32"/>
          <w:szCs w:val="32"/>
          <w:lang w:val="en-US" w:eastAsia="zh-CN" w:bidi="ar"/>
        </w:rPr>
        <w:t>九、国有资本经营预算支出决算情况说明</w:t>
      </w:r>
    </w:p>
    <w:p w14:paraId="128763E1">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方正小标宋简体" w:hAnsi="方正小标宋简体" w:eastAsia="方正小标宋简体" w:cs="方正小标宋简体"/>
          <w:kern w:val="2"/>
          <w:sz w:val="44"/>
          <w:szCs w:val="44"/>
        </w:rPr>
      </w:pPr>
      <w:r>
        <w:rPr>
          <w:rFonts w:hint="eastAsia" w:ascii="仿宋_GB2312" w:hAnsi="Calibri" w:eastAsia="仿宋_GB2312" w:cs="仿宋_GB2312"/>
          <w:kern w:val="2"/>
          <w:sz w:val="32"/>
          <w:szCs w:val="32"/>
          <w:lang w:val="en-US" w:eastAsia="zh-CN" w:bidi="ar"/>
        </w:rPr>
        <w:t>2024年度国有资本经营预算财政拨款支出为0</w:t>
      </w:r>
      <w:r>
        <w:rPr>
          <w:rFonts w:hint="eastAsia" w:ascii="仿宋" w:hAnsi="仿宋" w:eastAsia="仿宋" w:cs="仿宋"/>
          <w:kern w:val="2"/>
          <w:sz w:val="32"/>
          <w:szCs w:val="32"/>
          <w:lang w:val="en-US" w:eastAsia="zh-CN" w:bidi="ar"/>
        </w:rPr>
        <w:t>万元。</w:t>
      </w:r>
      <w:r>
        <w:rPr>
          <w:rFonts w:hint="eastAsia" w:ascii="方正小标宋简体" w:hAnsi="方正小标宋简体" w:eastAsia="方正小标宋简体" w:cs="方正小标宋简体"/>
          <w:kern w:val="2"/>
          <w:sz w:val="44"/>
          <w:szCs w:val="44"/>
          <w:lang w:val="en-US" w:eastAsia="zh-CN" w:bidi="ar"/>
        </w:rPr>
        <w:t xml:space="preserve"> </w:t>
      </w:r>
    </w:p>
    <w:p w14:paraId="2BF3A199">
      <w:pPr>
        <w:keepNext w:val="0"/>
        <w:keepLines w:val="0"/>
        <w:pageBreakBefore w:val="0"/>
        <w:widowControl w:val="0"/>
        <w:suppressLineNumbers w:val="0"/>
        <w:suppressAutoHyphens/>
        <w:kinsoku/>
        <w:wordWrap/>
        <w:overflowPunct/>
        <w:topLinePunct w:val="0"/>
        <w:autoSpaceDE w:val="0"/>
        <w:autoSpaceDN/>
        <w:bidi w:val="0"/>
        <w:snapToGrid/>
        <w:spacing w:before="0" w:beforeAutospacing="0" w:after="0" w:afterAutospacing="0" w:line="600" w:lineRule="exact"/>
        <w:ind w:left="0" w:right="0" w:firstLine="640" w:firstLineChars="200"/>
        <w:jc w:val="both"/>
        <w:textAlignment w:val="auto"/>
        <w:outlineLvl w:val="1"/>
        <w:rPr>
          <w:rFonts w:hint="eastAsia" w:ascii="黑体" w:hAnsi="宋体" w:eastAsia="黑体" w:cs="Times New Roman"/>
          <w:b w:val="0"/>
          <w:bCs/>
          <w:sz w:val="32"/>
          <w:szCs w:val="32"/>
        </w:rPr>
      </w:pPr>
      <w:r>
        <w:rPr>
          <w:rStyle w:val="19"/>
          <w:rFonts w:hint="eastAsia" w:ascii="黑体" w:hAnsi="宋体" w:eastAsia="黑体" w:cs="黑体"/>
          <w:b w:val="0"/>
          <w:bCs/>
          <w:kern w:val="2"/>
          <w:sz w:val="32"/>
          <w:szCs w:val="32"/>
          <w:lang w:val="en-US" w:eastAsia="zh-CN" w:bidi="ar"/>
        </w:rPr>
        <w:t>十、其他重要事项的情况说明</w:t>
      </w:r>
    </w:p>
    <w:p w14:paraId="50C7EC35">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outlineLvl w:val="2"/>
        <w:rPr>
          <w:rFonts w:hint="eastAsia" w:ascii="仿宋" w:hAnsi="仿宋" w:eastAsia="仿宋" w:cs="Times New Roman"/>
          <w:kern w:val="2"/>
          <w:sz w:val="32"/>
          <w:szCs w:val="32"/>
        </w:rPr>
      </w:pPr>
      <w:r>
        <w:rPr>
          <w:rFonts w:hint="eastAsia" w:ascii="仿宋" w:hAnsi="仿宋" w:eastAsia="仿宋" w:cs="仿宋"/>
          <w:b/>
          <w:bCs w:val="0"/>
          <w:kern w:val="2"/>
          <w:sz w:val="32"/>
          <w:szCs w:val="32"/>
          <w:lang w:val="en-US" w:eastAsia="zh-CN" w:bidi="ar"/>
        </w:rPr>
        <w:t>（一）机关运行经费支出情况</w:t>
      </w:r>
    </w:p>
    <w:p w14:paraId="41859EA0">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_GB2312" w:hAnsi="Calibri" w:eastAsia="仿宋_GB2312" w:cs="Times New Roman"/>
          <w:kern w:val="2"/>
          <w:sz w:val="32"/>
          <w:szCs w:val="32"/>
        </w:rPr>
      </w:pPr>
      <w:r>
        <w:rPr>
          <w:rFonts w:hint="eastAsia" w:ascii="仿宋_GB2312" w:hAnsi="Calibri" w:eastAsia="仿宋_GB2312" w:cs="仿宋_GB2312"/>
          <w:kern w:val="2"/>
          <w:sz w:val="32"/>
          <w:szCs w:val="32"/>
          <w:lang w:val="en-US" w:eastAsia="zh-CN" w:bidi="ar"/>
        </w:rPr>
        <w:t>2024年度，</w:t>
      </w:r>
      <w:r>
        <w:rPr>
          <w:rFonts w:hint="eastAsia" w:ascii="仿宋_GB2312" w:eastAsia="仿宋_GB2312"/>
          <w:color w:val="000000"/>
          <w:sz w:val="32"/>
          <w:szCs w:val="32"/>
        </w:rPr>
        <w:t>茂县</w:t>
      </w:r>
      <w:r>
        <w:rPr>
          <w:rFonts w:hint="eastAsia" w:ascii="仿宋_GB2312" w:eastAsia="仿宋_GB2312"/>
          <w:color w:val="000000"/>
          <w:sz w:val="32"/>
          <w:szCs w:val="32"/>
          <w:lang w:eastAsia="zh-CN"/>
        </w:rPr>
        <w:t>行政审批局</w:t>
      </w:r>
      <w:r>
        <w:rPr>
          <w:rFonts w:hint="eastAsia" w:ascii="仿宋_GB2312" w:hAnsi="Calibri" w:eastAsia="仿宋_GB2312" w:cs="仿宋_GB2312"/>
          <w:kern w:val="2"/>
          <w:sz w:val="32"/>
          <w:szCs w:val="32"/>
          <w:lang w:val="en-US" w:eastAsia="zh-CN" w:bidi="ar"/>
        </w:rPr>
        <w:t>机关运行经费支出</w:t>
      </w:r>
      <w:r>
        <w:rPr>
          <w:rFonts w:hint="eastAsia" w:ascii="仿宋_GB2312" w:hAnsi="Calibri" w:eastAsia="仿宋_GB2312" w:cs="Times New Roman"/>
          <w:kern w:val="2"/>
          <w:sz w:val="32"/>
          <w:szCs w:val="32"/>
          <w:lang w:val="en-US" w:eastAsia="zh-CN" w:bidi="ar"/>
        </w:rPr>
        <w:t>24.87</w:t>
      </w:r>
      <w:r>
        <w:rPr>
          <w:rFonts w:hint="eastAsia" w:ascii="仿宋_GB2312" w:hAnsi="Calibri" w:eastAsia="仿宋_GB2312" w:cs="仿宋_GB2312"/>
          <w:kern w:val="2"/>
          <w:sz w:val="32"/>
          <w:szCs w:val="32"/>
          <w:lang w:val="en-US" w:eastAsia="zh-CN" w:bidi="ar"/>
        </w:rPr>
        <w:t>万元，与2023年度相比减少6.25万元，减少20.09</w:t>
      </w:r>
      <w:r>
        <w:rPr>
          <w:rFonts w:hint="eastAsia" w:ascii="仿宋_GB2312" w:hAnsi="Calibri" w:eastAsia="仿宋_GB2312" w:cs="Times New Roman"/>
          <w:kern w:val="2"/>
          <w:sz w:val="32"/>
          <w:szCs w:val="32"/>
          <w:lang w:val="en-US" w:eastAsia="zh-CN" w:bidi="ar"/>
        </w:rPr>
        <w:t>%</w:t>
      </w:r>
      <w:r>
        <w:rPr>
          <w:rFonts w:hint="eastAsia" w:ascii="仿宋_GB2312" w:hAnsi="Calibri" w:eastAsia="仿宋_GB2312" w:cs="仿宋_GB2312"/>
          <w:kern w:val="2"/>
          <w:sz w:val="32"/>
          <w:szCs w:val="32"/>
          <w:lang w:val="en-US" w:eastAsia="zh-CN" w:bidi="ar"/>
        </w:rPr>
        <w:t>。主要原因是：政务大厅人员减少。</w:t>
      </w:r>
    </w:p>
    <w:p w14:paraId="2E7347AE">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3" w:firstLineChars="200"/>
        <w:jc w:val="left"/>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（二）政府采购支出情况</w:t>
      </w:r>
    </w:p>
    <w:p w14:paraId="6E28AB3A">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b/>
          <w:bCs w:val="0"/>
          <w:kern w:val="2"/>
          <w:sz w:val="32"/>
          <w:szCs w:val="32"/>
        </w:rPr>
      </w:pPr>
      <w:r>
        <w:rPr>
          <w:rFonts w:hint="eastAsia" w:ascii="仿宋_GB2312" w:hAnsi="Calibri" w:eastAsia="仿宋_GB2312" w:cs="仿宋_GB2312"/>
          <w:kern w:val="2"/>
          <w:sz w:val="32"/>
          <w:szCs w:val="32"/>
          <w:lang w:val="en-US" w:eastAsia="zh-CN" w:bidi="ar"/>
        </w:rPr>
        <w:t>2024年度</w:t>
      </w:r>
      <w:r>
        <w:rPr>
          <w:rFonts w:hint="eastAsia" w:ascii="仿宋_GB2312" w:eastAsia="仿宋_GB2312"/>
          <w:color w:val="000000"/>
          <w:sz w:val="32"/>
          <w:szCs w:val="32"/>
        </w:rPr>
        <w:t>茂县</w:t>
      </w:r>
      <w:r>
        <w:rPr>
          <w:rFonts w:hint="eastAsia" w:ascii="仿宋_GB2312" w:eastAsia="仿宋_GB2312"/>
          <w:color w:val="000000"/>
          <w:sz w:val="32"/>
          <w:szCs w:val="32"/>
          <w:lang w:eastAsia="zh-CN"/>
        </w:rPr>
        <w:t>行政审批局无</w:t>
      </w:r>
      <w:r>
        <w:rPr>
          <w:rFonts w:hint="eastAsia" w:ascii="仿宋_GB2312" w:hAnsi="Calibri" w:eastAsia="仿宋_GB2312" w:cs="仿宋_GB2312"/>
          <w:kern w:val="2"/>
          <w:sz w:val="32"/>
          <w:szCs w:val="32"/>
          <w:lang w:val="en-US" w:eastAsia="zh-CN" w:bidi="ar"/>
        </w:rPr>
        <w:t>政府采购支出。</w:t>
      </w:r>
    </w:p>
    <w:p w14:paraId="51E5AA02">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3" w:firstLineChars="200"/>
        <w:jc w:val="left"/>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（三）国有资产占有使用情况</w:t>
      </w:r>
    </w:p>
    <w:p w14:paraId="265BF2FB">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0" w:firstLineChars="200"/>
        <w:jc w:val="left"/>
        <w:textAlignment w:val="auto"/>
        <w:rPr>
          <w:rFonts w:hint="eastAsia" w:ascii="仿宋_GB2312" w:hAnsi="Calibri" w:eastAsia="仿宋_GB2312" w:cs="Times New Roman"/>
          <w:kern w:val="2"/>
          <w:sz w:val="32"/>
          <w:szCs w:val="32"/>
        </w:rPr>
      </w:pPr>
      <w:r>
        <w:rPr>
          <w:rFonts w:hint="eastAsia" w:ascii="仿宋_GB2312" w:hAnsi="Calibri" w:eastAsia="仿宋_GB2312" w:cs="仿宋_GB2312"/>
          <w:kern w:val="2"/>
          <w:sz w:val="32"/>
          <w:szCs w:val="32"/>
          <w:lang w:val="en-US" w:eastAsia="zh-CN" w:bidi="ar"/>
        </w:rPr>
        <w:t>截至2024年</w:t>
      </w:r>
      <w:r>
        <w:rPr>
          <w:rFonts w:hint="eastAsia" w:ascii="仿宋_GB2312" w:hAnsi="Calibri" w:eastAsia="仿宋_GB2312" w:cs="Times New Roman"/>
          <w:kern w:val="2"/>
          <w:sz w:val="32"/>
          <w:szCs w:val="32"/>
          <w:lang w:val="en-US" w:eastAsia="zh-CN" w:bidi="ar"/>
        </w:rPr>
        <w:t>12</w:t>
      </w:r>
      <w:r>
        <w:rPr>
          <w:rFonts w:hint="eastAsia" w:ascii="仿宋_GB2312" w:hAnsi="Calibri" w:eastAsia="仿宋_GB2312" w:cs="仿宋_GB2312"/>
          <w:kern w:val="2"/>
          <w:sz w:val="32"/>
          <w:szCs w:val="32"/>
          <w:lang w:val="en-US" w:eastAsia="zh-CN" w:bidi="ar"/>
        </w:rPr>
        <w:t>月</w:t>
      </w:r>
      <w:r>
        <w:rPr>
          <w:rFonts w:hint="eastAsia" w:ascii="仿宋_GB2312" w:hAnsi="Calibri" w:eastAsia="仿宋_GB2312" w:cs="Times New Roman"/>
          <w:kern w:val="2"/>
          <w:sz w:val="32"/>
          <w:szCs w:val="32"/>
          <w:lang w:val="en-US" w:eastAsia="zh-CN" w:bidi="ar"/>
        </w:rPr>
        <w:t>31</w:t>
      </w:r>
      <w:r>
        <w:rPr>
          <w:rFonts w:hint="eastAsia" w:ascii="仿宋_GB2312" w:hAnsi="Calibri" w:eastAsia="仿宋_GB2312" w:cs="仿宋_GB2312"/>
          <w:kern w:val="2"/>
          <w:sz w:val="32"/>
          <w:szCs w:val="32"/>
          <w:lang w:val="en-US" w:eastAsia="zh-CN" w:bidi="ar"/>
        </w:rPr>
        <w:t>日，</w:t>
      </w:r>
      <w:r>
        <w:rPr>
          <w:rFonts w:hint="eastAsia" w:ascii="仿宋_GB2312" w:eastAsia="仿宋_GB2312"/>
          <w:color w:val="000000"/>
          <w:sz w:val="32"/>
          <w:szCs w:val="32"/>
        </w:rPr>
        <w:t>茂县</w:t>
      </w:r>
      <w:r>
        <w:rPr>
          <w:rFonts w:hint="eastAsia" w:ascii="仿宋_GB2312" w:eastAsia="仿宋_GB2312"/>
          <w:color w:val="000000"/>
          <w:sz w:val="32"/>
          <w:szCs w:val="32"/>
          <w:lang w:eastAsia="zh-CN"/>
        </w:rPr>
        <w:t>行政审批和政务服务管理局未占有、未使用国有资产</w:t>
      </w:r>
      <w:r>
        <w:rPr>
          <w:rFonts w:hint="eastAsia" w:ascii="仿宋_GB2312" w:hAnsi="Calibri" w:eastAsia="仿宋_GB2312" w:cs="仿宋_GB2312"/>
          <w:kern w:val="2"/>
          <w:sz w:val="32"/>
          <w:szCs w:val="32"/>
          <w:lang w:val="en-US" w:eastAsia="zh-CN" w:bidi="ar"/>
        </w:rPr>
        <w:t>。</w:t>
      </w:r>
    </w:p>
    <w:p w14:paraId="401546D6">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3" w:firstLineChars="200"/>
        <w:jc w:val="left"/>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（四）预算绩效管理情况</w:t>
      </w:r>
    </w:p>
    <w:p w14:paraId="07AC3259">
      <w:pPr>
        <w:spacing w:line="560" w:lineRule="exact"/>
        <w:ind w:firstLine="640" w:firstLineChars="200"/>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围绕省</w:t>
      </w:r>
      <w:r>
        <w:rPr>
          <w:rFonts w:hint="eastAsia" w:ascii="仿宋_GB2312" w:hAnsi="仿宋_GB2312" w:eastAsia="仿宋_GB2312" w:cs="仿宋_GB2312"/>
          <w:color w:val="000000"/>
          <w:kern w:val="0"/>
          <w:sz w:val="32"/>
          <w:szCs w:val="32"/>
          <w:shd w:val="clear" w:color="auto" w:fill="FFFFFF"/>
          <w:lang w:val="zh-CN" w:eastAsia="zh-CN"/>
        </w:rPr>
        <w:t>、</w:t>
      </w:r>
      <w:r>
        <w:rPr>
          <w:rFonts w:hint="eastAsia" w:ascii="仿宋_GB2312" w:hAnsi="仿宋_GB2312" w:eastAsia="仿宋_GB2312" w:cs="仿宋_GB2312"/>
          <w:color w:val="000000"/>
          <w:kern w:val="0"/>
          <w:sz w:val="32"/>
          <w:szCs w:val="32"/>
          <w:shd w:val="clear" w:color="auto" w:fill="FFFFFF"/>
          <w:lang w:val="zh-CN"/>
        </w:rPr>
        <w:t>州、县政务服务工作要点，持续提升政务服务质量及效能。</w:t>
      </w:r>
      <w:r>
        <w:rPr>
          <w:rFonts w:hint="eastAsia" w:ascii="仿宋_GB2312" w:hAnsi="仿宋_GB2312" w:eastAsia="仿宋_GB2312" w:cs="仿宋_GB2312"/>
          <w:kern w:val="2"/>
          <w:sz w:val="32"/>
          <w:szCs w:val="32"/>
          <w:lang w:eastAsia="zh-CN"/>
        </w:rPr>
        <w:t>预算项目设立按规定履行评估论证、申报程序。项目绩效目标与计划期内的任务量、预算安排的资金量相匹配，绩效目标设置科学合理、规范完整，在规定时间完成了项目入库。</w:t>
      </w:r>
    </w:p>
    <w:p w14:paraId="2EA391B4">
      <w:pPr>
        <w:spacing w:line="560" w:lineRule="exact"/>
        <w:ind w:firstLine="640" w:firstLineChars="200"/>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年使用项目质保金</w:t>
      </w:r>
      <w:r>
        <w:rPr>
          <w:rFonts w:hint="eastAsia" w:ascii="仿宋_GB2312" w:hAnsi="仿宋_GB2312" w:eastAsia="仿宋_GB2312" w:cs="仿宋_GB2312"/>
          <w:color w:val="auto"/>
          <w:sz w:val="32"/>
          <w:szCs w:val="32"/>
          <w:lang w:val="en-US" w:eastAsia="zh-CN"/>
        </w:rPr>
        <w:t>55.56</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其中</w:t>
      </w:r>
      <w:r>
        <w:rPr>
          <w:rFonts w:hint="eastAsia" w:ascii="仿宋_GB2312" w:hAnsi="仿宋_GB2312" w:eastAsia="仿宋_GB2312" w:cs="仿宋_GB2312"/>
          <w:color w:val="auto"/>
          <w:sz w:val="32"/>
          <w:szCs w:val="32"/>
          <w:lang w:val="en-US" w:eastAsia="zh-CN"/>
        </w:rPr>
        <w:t>2022年至2024年政务服务大厅相关经费53.82万元；2024年第三、四季度政府集中采购专家评审劳务费1.74万元；</w:t>
      </w:r>
      <w:r>
        <w:rPr>
          <w:rFonts w:hint="eastAsia" w:ascii="仿宋_GB2312" w:hAnsi="仿宋_GB2312" w:eastAsia="仿宋_GB2312" w:cs="仿宋_GB2312"/>
          <w:color w:val="000000"/>
          <w:kern w:val="0"/>
          <w:sz w:val="32"/>
          <w:szCs w:val="32"/>
          <w:shd w:val="clear" w:color="auto" w:fill="FFFFFF"/>
          <w:lang w:val="zh-CN"/>
        </w:rPr>
        <w:t>围绕项目资金安排，项目实际列支内容与绩效目标设置方向相符，严格按照相关规定执行资金支付，各项目顺利完成。</w:t>
      </w:r>
    </w:p>
    <w:p w14:paraId="66325EA8">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_GB2312" w:hAnsi="Times New Roman" w:eastAsia="仿宋_GB2312" w:cs="Times New Roman"/>
          <w:kern w:val="2"/>
          <w:sz w:val="32"/>
          <w:szCs w:val="32"/>
        </w:rPr>
      </w:pPr>
      <w:r>
        <w:rPr>
          <w:rFonts w:hint="eastAsia" w:ascii="仿宋_GB2312" w:hAnsi="仿宋_GB2312" w:eastAsia="仿宋_GB2312" w:cs="仿宋_GB2312"/>
          <w:color w:val="000000"/>
          <w:kern w:val="0"/>
          <w:sz w:val="32"/>
          <w:szCs w:val="32"/>
          <w:shd w:val="clear" w:color="auto" w:fill="FFFFFF"/>
          <w:lang w:val="zh-CN"/>
        </w:rPr>
        <w:t>以上两项资金</w:t>
      </w:r>
      <w:r>
        <w:rPr>
          <w:rFonts w:hint="eastAsia" w:ascii="仿宋_GB2312" w:hAnsi="仿宋_GB2312" w:eastAsia="仿宋_GB2312" w:cs="仿宋_GB2312"/>
          <w:sz w:val="32"/>
          <w:szCs w:val="32"/>
          <w:lang w:val="zh-CN"/>
        </w:rPr>
        <w:t>按照进度有效使用</w:t>
      </w:r>
      <w:r>
        <w:rPr>
          <w:rFonts w:hint="eastAsia" w:ascii="仿宋_GB2312" w:hAnsi="仿宋_GB2312" w:eastAsia="仿宋_GB2312" w:cs="仿宋_GB2312"/>
          <w:color w:val="000000"/>
          <w:kern w:val="0"/>
          <w:sz w:val="32"/>
          <w:szCs w:val="32"/>
          <w:shd w:val="clear" w:color="auto" w:fill="FFFFFF"/>
          <w:lang w:val="zh-CN"/>
        </w:rPr>
        <w:t>项目资金，</w:t>
      </w:r>
      <w:r>
        <w:rPr>
          <w:rFonts w:hint="eastAsia" w:ascii="仿宋_GB2312" w:hAnsi="仿宋_GB2312" w:eastAsia="仿宋_GB2312" w:cs="仿宋_GB2312"/>
          <w:sz w:val="32"/>
          <w:szCs w:val="32"/>
          <w:lang w:val="zh-CN"/>
        </w:rPr>
        <w:t>完成预期指标值。</w:t>
      </w:r>
      <w:r>
        <w:rPr>
          <w:rFonts w:hint="eastAsia" w:ascii="仿宋_GB2312" w:hAnsi="仿宋_GB2312" w:eastAsia="仿宋_GB2312" w:cs="仿宋_GB2312"/>
          <w:color w:val="auto"/>
          <w:sz w:val="32"/>
          <w:szCs w:val="32"/>
          <w:lang w:eastAsia="zh-CN"/>
        </w:rPr>
        <w:t>有效的推进了政务服务工作，提升政务服务效能</w:t>
      </w:r>
      <w:r>
        <w:rPr>
          <w:rFonts w:hint="eastAsia" w:ascii="仿宋_GB2312" w:hAnsi="仿宋_GB2312" w:eastAsia="仿宋_GB2312" w:cs="仿宋_GB2312"/>
          <w:color w:val="auto"/>
          <w:sz w:val="32"/>
          <w:szCs w:val="32"/>
        </w:rPr>
        <w:t>。</w:t>
      </w:r>
      <w:r>
        <w:rPr>
          <w:rFonts w:hint="eastAsia" w:ascii="仿宋_GB2312" w:hAnsi="Times New Roman" w:eastAsia="仿宋_GB2312" w:cs="Times New Roman"/>
          <w:kern w:val="2"/>
          <w:sz w:val="32"/>
          <w:szCs w:val="32"/>
          <w:lang w:val="en-US" w:eastAsia="zh-CN" w:bidi="ar"/>
        </w:rPr>
        <w:br w:type="page"/>
      </w:r>
    </w:p>
    <w:p w14:paraId="70C0CD6C">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880" w:firstLineChars="200"/>
        <w:jc w:val="center"/>
        <w:textAlignment w:val="auto"/>
        <w:outlineLvl w:val="0"/>
        <w:rPr>
          <w:rFonts w:hint="eastAsia" w:ascii="黑体" w:hAnsi="宋体" w:eastAsia="黑体" w:cs="Times New Roman"/>
          <w:b w:val="0"/>
          <w:bCs/>
          <w:kern w:val="44"/>
          <w:sz w:val="44"/>
          <w:szCs w:val="44"/>
        </w:rPr>
      </w:pPr>
      <w:r>
        <w:rPr>
          <w:rFonts w:hint="eastAsia" w:ascii="黑体" w:hAnsi="宋体" w:eastAsia="黑体" w:cs="黑体"/>
          <w:kern w:val="2"/>
          <w:sz w:val="44"/>
          <w:szCs w:val="44"/>
          <w:lang w:val="en-US" w:eastAsia="zh-CN" w:bidi="ar"/>
        </w:rPr>
        <w:t>第三部分</w:t>
      </w:r>
      <w:r>
        <w:rPr>
          <w:rFonts w:hint="eastAsia" w:ascii="黑体" w:hAnsi="宋体" w:eastAsia="黑体" w:cs="Times New Roman"/>
          <w:kern w:val="2"/>
          <w:sz w:val="44"/>
          <w:szCs w:val="44"/>
          <w:lang w:val="en-US" w:eastAsia="zh-CN" w:bidi="ar"/>
        </w:rPr>
        <w:t xml:space="preserve">  </w:t>
      </w:r>
      <w:r>
        <w:rPr>
          <w:rFonts w:hint="eastAsia" w:ascii="黑体" w:hAnsi="宋体" w:eastAsia="黑体" w:cs="黑体"/>
          <w:kern w:val="2"/>
          <w:sz w:val="44"/>
          <w:szCs w:val="44"/>
          <w:lang w:val="en-US" w:eastAsia="zh-CN" w:bidi="ar"/>
        </w:rPr>
        <w:t>名</w:t>
      </w:r>
      <w:r>
        <w:rPr>
          <w:rStyle w:val="17"/>
          <w:rFonts w:hint="eastAsia" w:ascii="黑体" w:hAnsi="宋体" w:eastAsia="黑体" w:cs="黑体"/>
          <w:b w:val="0"/>
          <w:bCs/>
          <w:kern w:val="44"/>
          <w:sz w:val="44"/>
          <w:szCs w:val="44"/>
          <w:lang w:val="en-US" w:eastAsia="zh-CN" w:bidi="ar"/>
        </w:rPr>
        <w:t>词解释</w:t>
      </w:r>
    </w:p>
    <w:p w14:paraId="0A2A0C9B">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883" w:firstLineChars="200"/>
        <w:jc w:val="left"/>
        <w:textAlignment w:val="auto"/>
        <w:rPr>
          <w:rFonts w:hint="eastAsia" w:ascii="宋体" w:hAnsi="Calibri" w:eastAsia="宋体" w:cs="Times New Roman"/>
          <w:b/>
          <w:bCs w:val="0"/>
          <w:kern w:val="2"/>
          <w:sz w:val="44"/>
          <w:szCs w:val="44"/>
        </w:rPr>
      </w:pPr>
      <w:r>
        <w:rPr>
          <w:rFonts w:hint="eastAsia" w:ascii="宋体" w:hAnsi="Calibri" w:eastAsia="宋体" w:cs="Times New Roman"/>
          <w:b/>
          <w:bCs w:val="0"/>
          <w:kern w:val="2"/>
          <w:sz w:val="44"/>
          <w:szCs w:val="44"/>
          <w:lang w:val="en-US" w:eastAsia="zh-CN" w:bidi="ar"/>
        </w:rPr>
        <w:t xml:space="preserve"> </w:t>
      </w:r>
    </w:p>
    <w:p w14:paraId="7F80AC56">
      <w:pPr>
        <w:pStyle w:val="21"/>
        <w:spacing w:line="560" w:lineRule="exact"/>
        <w:ind w:left="640"/>
        <w:rPr>
          <w:rFonts w:ascii="仿宋_GB2312" w:eastAsia="仿宋_GB2312"/>
          <w:sz w:val="32"/>
          <w:szCs w:val="32"/>
        </w:rPr>
      </w:pPr>
      <w:r>
        <w:rPr>
          <w:rFonts w:hint="eastAsia" w:ascii="仿宋_GB2312" w:eastAsia="仿宋_GB2312"/>
          <w:sz w:val="32"/>
          <w:szCs w:val="32"/>
        </w:rPr>
        <w:t xml:space="preserve">1.财政拨款收入：指州级财政当年拨付的资金。 </w:t>
      </w:r>
    </w:p>
    <w:p w14:paraId="488F834B">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2.事业收入：指事业单位开展专业业务活动及辅助活动所取得的收入。</w:t>
      </w:r>
    </w:p>
    <w:p w14:paraId="78BF7241">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14:paraId="5B39A92E">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4.其他收入：指除上述“财政拨款收入”“事业收入”“经营收入”等以外的收入。 </w:t>
      </w:r>
    </w:p>
    <w:p w14:paraId="60506E30">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14:paraId="56AD93D1">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14:paraId="7F9D317F">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7.一般公共服务（类）人大事务（款）行政运行（项）：指人大机关用于保障机构正常运行、开展日常工作的基本支出。</w:t>
      </w:r>
    </w:p>
    <w:p w14:paraId="5550BE11">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8.一般公共服务（类）人大事务（款）一般行政管理事务（项）：指人大机关开展综合业务等工作的支出。</w:t>
      </w:r>
    </w:p>
    <w:p w14:paraId="0DFA488F">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9.一般公共服务（类）人大事务（款）人大会议（项）：指人大机关所有会议经费的支出。</w:t>
      </w:r>
    </w:p>
    <w:p w14:paraId="6BE6DBAC">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10.一般公共服务（类）人大事务（款）代表工作（项）：指人大机关用于保障代表活动开展的各项支出。</w:t>
      </w:r>
    </w:p>
    <w:p w14:paraId="2F590F1D">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hint="eastAsia"/>
        </w:rPr>
        <w:t xml:space="preserve"> </w:t>
      </w:r>
      <w:r>
        <w:rPr>
          <w:rFonts w:hint="eastAsia" w:ascii="仿宋_GB2312" w:eastAsia="仿宋_GB2312"/>
          <w:color w:val="000000"/>
          <w:sz w:val="32"/>
          <w:szCs w:val="32"/>
        </w:rPr>
        <w:t>社会保障和就业（类）行政事业单位离退休（款）机关事业单位基本养老保险缴费支出（项）：指部门实施养老保险制度由单位缴纳的养老保险费的支出。</w:t>
      </w:r>
    </w:p>
    <w:p w14:paraId="4ECAD5F1">
      <w:pPr>
        <w:ind w:firstLine="640" w:firstLineChars="200"/>
        <w:rPr>
          <w:rFonts w:ascii="仿宋_GB2312" w:eastAsia="仿宋_GB2312"/>
          <w:color w:val="000000"/>
          <w:sz w:val="32"/>
          <w:szCs w:val="32"/>
        </w:rPr>
      </w:pPr>
      <w:r>
        <w:rPr>
          <w:rFonts w:hint="eastAsia" w:ascii="仿宋_GB2312" w:eastAsia="仿宋_GB2312"/>
          <w:color w:val="000000"/>
          <w:sz w:val="32"/>
          <w:szCs w:val="32"/>
        </w:rPr>
        <w:t>12.社会保障和就业（类）行政事业单位离退休（款）机关事业单位职业年金缴费支出（项）：指部门实施养老保险制度由单位缴纳的职业年金的支出。</w:t>
      </w:r>
    </w:p>
    <w:p w14:paraId="6A35642C">
      <w:pPr>
        <w:spacing w:line="580" w:lineRule="exact"/>
        <w:ind w:firstLine="640" w:firstLineChars="200"/>
        <w:rPr>
          <w:rFonts w:ascii="仿宋_GB2312" w:eastAsia="仿宋_GB2312"/>
          <w:sz w:val="32"/>
          <w:szCs w:val="32"/>
        </w:rPr>
      </w:pPr>
      <w:r>
        <w:rPr>
          <w:rFonts w:hint="eastAsia" w:ascii="仿宋_GB2312" w:eastAsia="仿宋_GB2312"/>
          <w:sz w:val="32"/>
          <w:szCs w:val="32"/>
        </w:rPr>
        <w:t>13.</w:t>
      </w:r>
      <w:r>
        <w:rPr>
          <w:rFonts w:hint="eastAsia"/>
        </w:rPr>
        <w:t xml:space="preserve"> </w:t>
      </w:r>
      <w:r>
        <w:rPr>
          <w:rFonts w:hint="eastAsia" w:ascii="仿宋_GB2312" w:eastAsia="仿宋_GB2312"/>
          <w:sz w:val="32"/>
          <w:szCs w:val="32"/>
        </w:rPr>
        <w:t>卫生健康（类）行政事业单位医疗（款）行政单位医疗（项）：指人大机关用于缴纳单位基本医疗保险支出。</w:t>
      </w:r>
    </w:p>
    <w:p w14:paraId="3513FB56">
      <w:pPr>
        <w:spacing w:line="580" w:lineRule="exact"/>
        <w:ind w:firstLine="640" w:firstLineChars="200"/>
        <w:rPr>
          <w:rFonts w:ascii="仿宋_GB2312" w:eastAsia="仿宋_GB2312"/>
          <w:sz w:val="32"/>
          <w:szCs w:val="32"/>
        </w:rPr>
      </w:pPr>
      <w:r>
        <w:rPr>
          <w:rFonts w:hint="eastAsia" w:ascii="仿宋_GB2312" w:eastAsia="仿宋_GB2312"/>
          <w:sz w:val="32"/>
          <w:szCs w:val="32"/>
        </w:rPr>
        <w:t>14.卫生健康（类）行政事业单位医疗（款）事业单位医疗（项）：指事业单位用于缴纳单位基本医疗保险支出。</w:t>
      </w:r>
    </w:p>
    <w:p w14:paraId="2122B30E">
      <w:pPr>
        <w:spacing w:line="580" w:lineRule="exact"/>
        <w:ind w:firstLine="640" w:firstLineChars="200"/>
        <w:rPr>
          <w:rFonts w:ascii="仿宋_GB2312" w:eastAsia="仿宋_GB2312"/>
          <w:sz w:val="32"/>
          <w:szCs w:val="32"/>
        </w:rPr>
      </w:pPr>
      <w:r>
        <w:rPr>
          <w:rFonts w:hint="eastAsia" w:ascii="仿宋_GB2312" w:eastAsia="仿宋_GB2312"/>
          <w:sz w:val="32"/>
          <w:szCs w:val="32"/>
        </w:rPr>
        <w:t>15.</w:t>
      </w:r>
      <w:r>
        <w:rPr>
          <w:rFonts w:hint="eastAsia"/>
        </w:rPr>
        <w:t xml:space="preserve"> </w:t>
      </w:r>
      <w:r>
        <w:rPr>
          <w:rFonts w:hint="eastAsia" w:ascii="仿宋_GB2312" w:eastAsia="仿宋_GB2312"/>
          <w:sz w:val="32"/>
          <w:szCs w:val="32"/>
        </w:rPr>
        <w:t>住房保障（类）住房改革支出（款）住房公积金（项）：指按照《住房公积金管理条例》的规定，由单位及其在职职工缴存的长期住房储金。</w:t>
      </w:r>
    </w:p>
    <w:p w14:paraId="217D3B16">
      <w:pPr>
        <w:ind w:firstLine="640" w:firstLineChars="200"/>
        <w:rPr>
          <w:rFonts w:ascii="仿宋_GB2312" w:eastAsia="仿宋_GB2312"/>
          <w:color w:val="000000"/>
          <w:sz w:val="32"/>
          <w:szCs w:val="32"/>
        </w:rPr>
      </w:pPr>
      <w:r>
        <w:rPr>
          <w:rFonts w:hint="eastAsia" w:ascii="仿宋_GB2312" w:eastAsia="仿宋_GB2312"/>
          <w:color w:val="000000"/>
          <w:sz w:val="32"/>
          <w:szCs w:val="32"/>
        </w:rPr>
        <w:t>16.结余分配：指事业单位按规定提取的职工福利基金、事业基金和缴纳的所得税，以及建设单位按规定应交回的基本建设竣工项目结余资金。</w:t>
      </w:r>
    </w:p>
    <w:p w14:paraId="4D5AFD89">
      <w:pPr>
        <w:ind w:firstLine="640" w:firstLineChars="200"/>
        <w:rPr>
          <w:rFonts w:ascii="仿宋_GB2312" w:eastAsia="仿宋_GB2312"/>
          <w:color w:val="000000"/>
          <w:sz w:val="32"/>
          <w:szCs w:val="32"/>
        </w:rPr>
      </w:pPr>
      <w:r>
        <w:rPr>
          <w:rFonts w:hint="eastAsia" w:ascii="仿宋_GB2312" w:eastAsia="仿宋_GB2312"/>
          <w:color w:val="000000"/>
          <w:sz w:val="32"/>
          <w:szCs w:val="32"/>
        </w:rPr>
        <w:t>17.年末结转和结余：指本年度或以前年度预算安排、因客观条件发生变化无法按原计划实施，需延迟到以后年度按有关规定继续使用的资金。</w:t>
      </w:r>
    </w:p>
    <w:p w14:paraId="5F1A91C2">
      <w:pPr>
        <w:ind w:firstLine="640" w:firstLineChars="200"/>
        <w:rPr>
          <w:rFonts w:ascii="仿宋_GB2312" w:eastAsia="仿宋_GB2312"/>
          <w:color w:val="000000"/>
          <w:sz w:val="32"/>
          <w:szCs w:val="32"/>
        </w:rPr>
      </w:pPr>
      <w:r>
        <w:rPr>
          <w:rFonts w:hint="eastAsia" w:ascii="仿宋_GB2312" w:eastAsia="仿宋_GB2312"/>
          <w:color w:val="000000"/>
          <w:sz w:val="32"/>
          <w:szCs w:val="32"/>
        </w:rPr>
        <w:t>18.基本支出：指为保障机构正常运转、完成日常工作任务而发生的人员支出和公用支出。</w:t>
      </w:r>
    </w:p>
    <w:p w14:paraId="014867F0">
      <w:pPr>
        <w:ind w:firstLine="640" w:firstLineChars="200"/>
        <w:rPr>
          <w:rFonts w:ascii="仿宋_GB2312" w:eastAsia="仿宋_GB2312"/>
          <w:color w:val="000000"/>
          <w:sz w:val="32"/>
          <w:szCs w:val="32"/>
        </w:rPr>
      </w:pPr>
      <w:r>
        <w:rPr>
          <w:rFonts w:hint="eastAsia" w:ascii="仿宋_GB2312" w:eastAsia="仿宋_GB2312"/>
          <w:color w:val="000000"/>
          <w:sz w:val="32"/>
          <w:szCs w:val="32"/>
        </w:rPr>
        <w:t xml:space="preserve">19.项目支出：指在基本支出之外为完成特定行政任务和事业发展目标所发生的支出。 </w:t>
      </w:r>
    </w:p>
    <w:p w14:paraId="61708121">
      <w:pPr>
        <w:ind w:firstLine="640" w:firstLineChars="200"/>
        <w:rPr>
          <w:rFonts w:ascii="仿宋_GB2312" w:eastAsia="仿宋_GB2312"/>
          <w:color w:val="000000"/>
          <w:sz w:val="32"/>
          <w:szCs w:val="32"/>
        </w:rPr>
      </w:pPr>
      <w:r>
        <w:rPr>
          <w:rFonts w:hint="eastAsia" w:ascii="仿宋_GB2312" w:eastAsia="仿宋_GB2312"/>
          <w:color w:val="000000"/>
          <w:sz w:val="32"/>
          <w:szCs w:val="32"/>
        </w:rPr>
        <w:t>20.经营支出：指事业单位在专业业务活动及其辅助活动之外开展非独立核算经营活动发生的支出。</w:t>
      </w:r>
    </w:p>
    <w:p w14:paraId="34AF90D4">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21.“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5CAD62FA">
      <w:pPr>
        <w:pStyle w:val="21"/>
        <w:spacing w:line="560" w:lineRule="exact"/>
        <w:ind w:firstLine="640" w:firstLineChars="200"/>
      </w:pPr>
      <w:r>
        <w:rPr>
          <w:rFonts w:hint="eastAsia" w:ascii="仿宋_GB2312" w:eastAsia="仿宋_GB2312"/>
          <w:sz w:val="32"/>
          <w:szCs w:val="32"/>
        </w:rPr>
        <w:t>22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t> </w:t>
      </w:r>
    </w:p>
    <w:p w14:paraId="0E0E9815">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883" w:firstLineChars="200"/>
        <w:jc w:val="center"/>
        <w:textAlignment w:val="auto"/>
        <w:outlineLvl w:val="0"/>
        <w:rPr>
          <w:rFonts w:hint="eastAsia" w:ascii="黑体" w:hAnsi="宋体" w:eastAsia="黑体" w:cs="Times New Roman"/>
          <w:b w:val="0"/>
          <w:bCs/>
          <w:kern w:val="44"/>
          <w:sz w:val="44"/>
          <w:szCs w:val="44"/>
        </w:rPr>
      </w:pPr>
      <w:r>
        <w:rPr>
          <w:rFonts w:hint="eastAsia" w:ascii="宋体" w:hAnsi="Calibri" w:eastAsia="宋体" w:cs="Times New Roman"/>
          <w:b/>
          <w:bCs w:val="0"/>
          <w:kern w:val="2"/>
          <w:sz w:val="44"/>
          <w:szCs w:val="44"/>
          <w:lang w:val="en-US" w:eastAsia="zh-CN" w:bidi="ar"/>
        </w:rPr>
        <w:br w:type="page"/>
      </w:r>
      <w:r>
        <w:rPr>
          <w:rFonts w:hint="eastAsia" w:ascii="黑体" w:hAnsi="宋体" w:eastAsia="黑体" w:cs="黑体"/>
          <w:kern w:val="2"/>
          <w:sz w:val="44"/>
          <w:szCs w:val="44"/>
          <w:lang w:val="en-US" w:eastAsia="zh-CN" w:bidi="ar"/>
        </w:rPr>
        <w:t>第</w:t>
      </w:r>
      <w:r>
        <w:rPr>
          <w:rStyle w:val="17"/>
          <w:rFonts w:hint="eastAsia" w:ascii="黑体" w:hAnsi="宋体" w:eastAsia="黑体" w:cs="黑体"/>
          <w:b w:val="0"/>
          <w:bCs/>
          <w:kern w:val="44"/>
          <w:sz w:val="44"/>
          <w:szCs w:val="44"/>
          <w:lang w:val="en-US" w:eastAsia="zh-CN" w:bidi="ar"/>
        </w:rPr>
        <w:t>四部分</w:t>
      </w:r>
      <w:r>
        <w:rPr>
          <w:rStyle w:val="17"/>
          <w:rFonts w:hint="eastAsia" w:ascii="黑体" w:hAnsi="宋体" w:eastAsia="黑体" w:cs="Times New Roman"/>
          <w:b w:val="0"/>
          <w:bCs/>
          <w:kern w:val="44"/>
          <w:sz w:val="44"/>
          <w:szCs w:val="44"/>
          <w:lang w:val="en-US" w:eastAsia="zh-CN" w:bidi="ar"/>
        </w:rPr>
        <w:t xml:space="preserve"> </w:t>
      </w:r>
      <w:r>
        <w:rPr>
          <w:rStyle w:val="17"/>
          <w:rFonts w:hint="eastAsia" w:ascii="黑体" w:hAnsi="宋体" w:eastAsia="黑体" w:cs="黑体"/>
          <w:b w:val="0"/>
          <w:bCs/>
          <w:kern w:val="44"/>
          <w:sz w:val="44"/>
          <w:szCs w:val="44"/>
          <w:lang w:val="en-US" w:eastAsia="zh-CN" w:bidi="ar"/>
        </w:rPr>
        <w:t>附件</w:t>
      </w:r>
    </w:p>
    <w:p w14:paraId="6AA1D6B2">
      <w:pPr>
        <w:keepNext w:val="0"/>
        <w:keepLines w:val="0"/>
        <w:pageBreakBefore w:val="0"/>
        <w:widowControl w:val="0"/>
        <w:suppressLineNumbers w:val="0"/>
        <w:suppressAutoHyphens/>
        <w:kinsoku/>
        <w:wordWrap/>
        <w:overflowPunct/>
        <w:topLinePunct w:val="0"/>
        <w:autoSpaceDE w:val="0"/>
        <w:autoSpaceDN/>
        <w:bidi w:val="0"/>
        <w:snapToGrid/>
        <w:spacing w:before="0" w:beforeAutospacing="0" w:after="0" w:afterAutospacing="0" w:line="572" w:lineRule="exact"/>
        <w:ind w:left="0" w:right="0" w:firstLine="640" w:firstLineChars="200"/>
        <w:jc w:val="left"/>
        <w:textAlignment w:val="auto"/>
        <w:outlineLvl w:val="0"/>
        <w:rPr>
          <w:rFonts w:hint="eastAsia" w:ascii="仿宋_GB2312" w:eastAsia="仿宋_GB2312" w:cs="仿宋_GB2312"/>
          <w:kern w:val="2"/>
          <w:sz w:val="32"/>
          <w:szCs w:val="32"/>
        </w:rPr>
      </w:pPr>
      <w:r>
        <w:rPr>
          <w:rFonts w:hint="eastAsia" w:ascii="仿宋_GB2312" w:hAnsi="Calibri" w:eastAsia="仿宋_GB2312" w:cs="仿宋_GB2312"/>
          <w:kern w:val="2"/>
          <w:sz w:val="32"/>
          <w:szCs w:val="32"/>
          <w:lang w:val="en-US" w:eastAsia="zh-CN" w:bidi="ar"/>
        </w:rPr>
        <w:t xml:space="preserve"> </w:t>
      </w:r>
    </w:p>
    <w:p w14:paraId="66D5AA56">
      <w:pPr>
        <w:widowControl/>
        <w:spacing w:line="578" w:lineRule="exact"/>
        <w:contextualSpacing/>
        <w:jc w:val="center"/>
        <w:rPr>
          <w:rFonts w:hint="eastAsia" w:eastAsia="方正小标宋简体"/>
          <w:bCs/>
          <w:sz w:val="44"/>
          <w:szCs w:val="44"/>
          <w:shd w:val="clear" w:color="auto" w:fill="FFFFFF"/>
          <w:lang w:eastAsia="zh-CN"/>
        </w:rPr>
      </w:pPr>
      <w:r>
        <w:rPr>
          <w:rFonts w:hint="eastAsia" w:ascii="仿宋_GB2312" w:hAnsi="Times New Roman" w:eastAsia="宋体" w:cs="Times New Roman"/>
          <w:kern w:val="2"/>
          <w:sz w:val="32"/>
          <w:szCs w:val="32"/>
        </w:rPr>
        <w:t xml:space="preserve"> </w:t>
      </w:r>
      <w:r>
        <w:rPr>
          <w:rFonts w:hint="eastAsia" w:eastAsia="方正小标宋简体"/>
          <w:bCs/>
          <w:sz w:val="44"/>
          <w:szCs w:val="44"/>
          <w:shd w:val="clear" w:color="auto" w:fill="FFFFFF"/>
          <w:lang w:eastAsia="zh-CN"/>
        </w:rPr>
        <w:t>茂县行政审批和政务服务管理局</w:t>
      </w:r>
    </w:p>
    <w:p w14:paraId="69718061">
      <w:pPr>
        <w:widowControl/>
        <w:spacing w:line="578" w:lineRule="exact"/>
        <w:contextualSpacing/>
        <w:jc w:val="center"/>
        <w:rPr>
          <w:rFonts w:eastAsia="方正小标宋简体"/>
          <w:bCs/>
          <w:sz w:val="44"/>
          <w:szCs w:val="44"/>
          <w:shd w:val="clear" w:color="auto" w:fill="FFFFFF"/>
        </w:rPr>
      </w:pPr>
      <w:r>
        <w:rPr>
          <w:rFonts w:eastAsia="方正小标宋简体"/>
          <w:bCs/>
          <w:sz w:val="44"/>
          <w:szCs w:val="44"/>
          <w:shd w:val="clear" w:color="auto" w:fill="FFFFFF"/>
        </w:rPr>
        <w:t>预算绩效</w:t>
      </w:r>
      <w:r>
        <w:rPr>
          <w:rFonts w:hint="eastAsia" w:eastAsia="方正小标宋简体"/>
          <w:bCs/>
          <w:sz w:val="44"/>
          <w:szCs w:val="44"/>
          <w:shd w:val="clear" w:color="auto" w:fill="FFFFFF"/>
        </w:rPr>
        <w:t>评价</w:t>
      </w:r>
      <w:r>
        <w:rPr>
          <w:rFonts w:eastAsia="方正小标宋简体"/>
          <w:bCs/>
          <w:sz w:val="44"/>
          <w:szCs w:val="44"/>
          <w:shd w:val="clear" w:color="auto" w:fill="FFFFFF"/>
        </w:rPr>
        <w:t>报告</w:t>
      </w:r>
    </w:p>
    <w:p w14:paraId="56346167">
      <w:pPr>
        <w:pStyle w:val="2"/>
      </w:pPr>
    </w:p>
    <w:p w14:paraId="7625161E">
      <w:pPr>
        <w:widowControl/>
        <w:adjustRightInd w:val="0"/>
        <w:snapToGrid w:val="0"/>
        <w:spacing w:line="578" w:lineRule="exact"/>
        <w:ind w:firstLine="643" w:firstLineChars="200"/>
        <w:contextualSpacing/>
        <w:jc w:val="left"/>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kern w:val="0"/>
          <w:sz w:val="32"/>
          <w:szCs w:val="32"/>
          <w:shd w:val="clear" w:color="auto" w:fill="FFFFFF"/>
          <w:lang w:val="zh-CN"/>
        </w:rPr>
        <w:t>一、部门（单位）基本情况</w:t>
      </w:r>
    </w:p>
    <w:p w14:paraId="2879B437">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（一）机构组成</w:t>
      </w:r>
    </w:p>
    <w:p w14:paraId="5D5445CB">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茂县行政审批局是茂县人民政府工作部门，为正科级行政机构，内</w:t>
      </w:r>
      <w:r>
        <w:rPr>
          <w:rFonts w:hint="eastAsia" w:ascii="仿宋_GB2312" w:hAnsi="仿宋_GB2312" w:eastAsia="仿宋_GB2312" w:cs="仿宋_GB2312"/>
          <w:color w:val="auto"/>
          <w:kern w:val="0"/>
          <w:sz w:val="32"/>
          <w:szCs w:val="32"/>
          <w:lang w:eastAsia="zh-CN"/>
        </w:rPr>
        <w:t>设</w:t>
      </w:r>
      <w:r>
        <w:rPr>
          <w:rFonts w:hint="eastAsia" w:ascii="仿宋_GB2312" w:hAnsi="仿宋_GB2312" w:eastAsia="仿宋_GB2312" w:cs="仿宋_GB2312"/>
          <w:color w:val="auto"/>
          <w:kern w:val="0"/>
          <w:sz w:val="32"/>
          <w:szCs w:val="32"/>
        </w:rPr>
        <w:t>办公室、行政审批一室、行政审批二室、政务服务管理股（政策法规股）、茂县城乡网格化服务管理指挥中心、政务服务和资源交易中心等股室。</w:t>
      </w:r>
    </w:p>
    <w:p w14:paraId="6AC91A40">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321" w:firstLineChars="100"/>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（二）机构职能</w:t>
      </w:r>
    </w:p>
    <w:p w14:paraId="2DDEC6A5">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负责深化行政审批制度改革和“放管服”改革工作。贯彻实施有关法律、法规、规章，执行上级有关行政审批制度和“放管服”改革的方针、政策；会同有关部门推进行政审批制度和“放管服”改革，提出行政审批制度和“放管服”改革的建议；承担县本级行政权力清单和责任清单的动态调整，牵头全县行政权力清单和责任清单工作，建立完善相关工作机制；制定县行政审批局各项规章制度和管理办法，并组织实施。</w:t>
      </w:r>
    </w:p>
    <w:p w14:paraId="39664874">
      <w:pPr>
        <w:keepNext w:val="0"/>
        <w:keepLines w:val="0"/>
        <w:pageBreakBefore w:val="0"/>
        <w:widowControl w:val="0"/>
        <w:kinsoku/>
        <w:wordWrap/>
        <w:overflowPunct/>
        <w:topLinePunct w:val="0"/>
        <w:autoSpaceDE/>
        <w:autoSpaceDN/>
        <w:bidi w:val="0"/>
        <w:adjustRightInd w:val="0"/>
        <w:snapToGrid w:val="0"/>
        <w:spacing w:line="580" w:lineRule="exact"/>
        <w:ind w:firstLine="672" w:firstLineChars="210"/>
        <w:textAlignment w:val="auto"/>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rPr>
        <w:t>2.负责规范指导全县行政审批和政务服务工作，建立和完善相应工作机制，推进标准化建设；负责对划转的行政许可事项进行流程再造、环节优化、时限压缩，并对办理情况进行跟踪督办</w:t>
      </w:r>
      <w:r>
        <w:rPr>
          <w:rFonts w:hint="eastAsia" w:ascii="仿宋_GB2312" w:hAnsi="仿宋_GB2312" w:eastAsia="仿宋_GB2312" w:cs="仿宋_GB2312"/>
          <w:color w:val="auto"/>
          <w:kern w:val="0"/>
          <w:sz w:val="32"/>
          <w:szCs w:val="32"/>
          <w:lang w:eastAsia="zh-CN"/>
        </w:rPr>
        <w:t>。</w:t>
      </w:r>
    </w:p>
    <w:p w14:paraId="4C0C5216">
      <w:pPr>
        <w:keepNext w:val="0"/>
        <w:keepLines w:val="0"/>
        <w:pageBreakBefore w:val="0"/>
        <w:widowControl w:val="0"/>
        <w:kinsoku/>
        <w:wordWrap/>
        <w:overflowPunct/>
        <w:topLinePunct w:val="0"/>
        <w:autoSpaceDE/>
        <w:autoSpaceDN/>
        <w:bidi w:val="0"/>
        <w:adjustRightInd w:val="0"/>
        <w:snapToGrid w:val="0"/>
        <w:spacing w:line="580" w:lineRule="exact"/>
        <w:ind w:firstLine="672" w:firstLineChars="21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3.负责承办县直部门划入的涉及企业</w:t>
      </w:r>
      <w:r>
        <w:rPr>
          <w:rFonts w:hint="eastAsia" w:ascii="仿宋_GB2312" w:hAnsi="仿宋_GB2312" w:eastAsia="仿宋_GB2312" w:cs="仿宋_GB2312"/>
          <w:color w:val="auto"/>
          <w:kern w:val="0"/>
          <w:sz w:val="32"/>
          <w:szCs w:val="32"/>
          <w:lang w:eastAsia="zh-CN"/>
        </w:rPr>
        <w:t>投资</w:t>
      </w:r>
      <w:r>
        <w:rPr>
          <w:rFonts w:hint="eastAsia" w:ascii="仿宋_GB2312" w:hAnsi="仿宋_GB2312" w:eastAsia="仿宋_GB2312" w:cs="仿宋_GB2312"/>
          <w:color w:val="auto"/>
          <w:kern w:val="0"/>
          <w:sz w:val="32"/>
          <w:szCs w:val="32"/>
        </w:rPr>
        <w:t>项目、市场准入、建设工程、交通水利、文教卫生、社会事务、涉农事务等方面的行政审批事项，及时将行政审批事项的结果通报给县直相关部门，逐步实行“一枚印章管审批”。</w:t>
      </w:r>
    </w:p>
    <w:p w14:paraId="21CCCF30">
      <w:pPr>
        <w:keepNext w:val="0"/>
        <w:keepLines w:val="0"/>
        <w:pageBreakBefore w:val="0"/>
        <w:widowControl w:val="0"/>
        <w:kinsoku/>
        <w:wordWrap/>
        <w:overflowPunct/>
        <w:topLinePunct w:val="0"/>
        <w:autoSpaceDE/>
        <w:autoSpaceDN/>
        <w:bidi w:val="0"/>
        <w:adjustRightInd w:val="0"/>
        <w:snapToGrid w:val="0"/>
        <w:spacing w:line="580" w:lineRule="exact"/>
        <w:ind w:firstLine="672" w:firstLineChars="21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4.负责指导、协调进驻政务服务大厅部门的行政审批和公共服务工作；对窗口工作人员进行日常管理、年度考核等工作。</w:t>
      </w:r>
    </w:p>
    <w:p w14:paraId="0121FCDD">
      <w:pPr>
        <w:keepNext w:val="0"/>
        <w:keepLines w:val="0"/>
        <w:pageBreakBefore w:val="0"/>
        <w:widowControl w:val="0"/>
        <w:kinsoku/>
        <w:wordWrap/>
        <w:overflowPunct/>
        <w:topLinePunct w:val="0"/>
        <w:autoSpaceDE/>
        <w:autoSpaceDN/>
        <w:bidi w:val="0"/>
        <w:adjustRightInd w:val="0"/>
        <w:snapToGrid w:val="0"/>
        <w:spacing w:line="580" w:lineRule="exact"/>
        <w:ind w:firstLine="672" w:firstLineChars="21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5.负责对涉及全县行政审批工作、政务服务大厅工作及公共资源交易工作的投诉举报和承办、转办和督办工作。</w:t>
      </w:r>
    </w:p>
    <w:p w14:paraId="0B262FCC">
      <w:pPr>
        <w:keepNext w:val="0"/>
        <w:keepLines w:val="0"/>
        <w:pageBreakBefore w:val="0"/>
        <w:widowControl w:val="0"/>
        <w:kinsoku/>
        <w:wordWrap/>
        <w:overflowPunct/>
        <w:topLinePunct w:val="0"/>
        <w:autoSpaceDE/>
        <w:autoSpaceDN/>
        <w:bidi w:val="0"/>
        <w:adjustRightInd w:val="0"/>
        <w:snapToGrid w:val="0"/>
        <w:spacing w:line="580" w:lineRule="exact"/>
        <w:ind w:firstLine="672" w:firstLineChars="21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6.负责对各乡镇便民服务中心相关工作的运行进行业务指导和监督，建立和完善高效的政务服务体系。</w:t>
      </w:r>
    </w:p>
    <w:p w14:paraId="4DADB816">
      <w:pPr>
        <w:keepNext w:val="0"/>
        <w:keepLines w:val="0"/>
        <w:pageBreakBefore w:val="0"/>
        <w:widowControl w:val="0"/>
        <w:kinsoku/>
        <w:wordWrap/>
        <w:overflowPunct/>
        <w:topLinePunct w:val="0"/>
        <w:autoSpaceDE/>
        <w:autoSpaceDN/>
        <w:bidi w:val="0"/>
        <w:adjustRightInd w:val="0"/>
        <w:snapToGrid w:val="0"/>
        <w:spacing w:line="580" w:lineRule="exact"/>
        <w:ind w:firstLine="672" w:firstLineChars="21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7.负责全县公共资源交易管理工作。</w:t>
      </w:r>
    </w:p>
    <w:p w14:paraId="2AF3CD9E">
      <w:pPr>
        <w:keepNext w:val="0"/>
        <w:keepLines w:val="0"/>
        <w:pageBreakBefore w:val="0"/>
        <w:widowControl w:val="0"/>
        <w:kinsoku/>
        <w:wordWrap/>
        <w:overflowPunct/>
        <w:topLinePunct w:val="0"/>
        <w:autoSpaceDE/>
        <w:autoSpaceDN/>
        <w:bidi w:val="0"/>
        <w:adjustRightInd w:val="0"/>
        <w:snapToGrid w:val="0"/>
        <w:spacing w:line="580" w:lineRule="exact"/>
        <w:ind w:firstLine="672" w:firstLineChars="21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8.完成县委、县政府交办的其他任务。</w:t>
      </w:r>
    </w:p>
    <w:p w14:paraId="6E648722">
      <w:pPr>
        <w:keepNext w:val="0"/>
        <w:keepLines w:val="0"/>
        <w:pageBreakBefore w:val="0"/>
        <w:widowControl w:val="0"/>
        <w:kinsoku/>
        <w:wordWrap/>
        <w:overflowPunct/>
        <w:topLinePunct w:val="0"/>
        <w:autoSpaceDE/>
        <w:autoSpaceDN/>
        <w:bidi w:val="0"/>
        <w:adjustRightInd w:val="0"/>
        <w:snapToGrid w:val="0"/>
        <w:spacing w:line="580" w:lineRule="exact"/>
        <w:ind w:firstLine="675" w:firstLineChars="210"/>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（三）人员概况</w:t>
      </w:r>
    </w:p>
    <w:p w14:paraId="7554AB21">
      <w:pPr>
        <w:keepNext w:val="0"/>
        <w:keepLines w:val="0"/>
        <w:pageBreakBefore w:val="0"/>
        <w:widowControl w:val="0"/>
        <w:kinsoku/>
        <w:wordWrap/>
        <w:overflowPunct/>
        <w:topLinePunct w:val="0"/>
        <w:autoSpaceDE/>
        <w:autoSpaceDN/>
        <w:bidi w:val="0"/>
        <w:adjustRightInd w:val="0"/>
        <w:snapToGrid w:val="0"/>
        <w:spacing w:line="580" w:lineRule="exact"/>
        <w:ind w:firstLine="672"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kern w:val="0"/>
          <w:sz w:val="32"/>
          <w:szCs w:val="32"/>
        </w:rPr>
        <w:t>茂县行政审批局现有行政编制人员9名，事业编制人员</w:t>
      </w:r>
      <w:r>
        <w:rPr>
          <w:rFonts w:hint="eastAsia" w:ascii="仿宋_GB2312" w:hAnsi="仿宋_GB2312" w:eastAsia="仿宋_GB2312" w:cs="仿宋_GB2312"/>
          <w:color w:val="auto"/>
          <w:kern w:val="0"/>
          <w:sz w:val="32"/>
          <w:szCs w:val="32"/>
          <w:lang w:val="en-US" w:eastAsia="zh-CN"/>
        </w:rPr>
        <w:t>9</w:t>
      </w:r>
      <w:r>
        <w:rPr>
          <w:rFonts w:hint="eastAsia" w:ascii="仿宋_GB2312" w:hAnsi="仿宋_GB2312" w:eastAsia="仿宋_GB2312" w:cs="仿宋_GB2312"/>
          <w:color w:val="auto"/>
          <w:kern w:val="0"/>
          <w:sz w:val="32"/>
          <w:szCs w:val="32"/>
        </w:rPr>
        <w:t>名。202</w:t>
      </w:r>
      <w:r>
        <w:rPr>
          <w:rFonts w:hint="eastAsia" w:ascii="仿宋_GB2312" w:hAnsi="仿宋_GB2312" w:eastAsia="仿宋_GB2312" w:cs="仿宋_GB2312"/>
          <w:color w:val="auto"/>
          <w:kern w:val="0"/>
          <w:sz w:val="32"/>
          <w:szCs w:val="32"/>
          <w:lang w:val="en-US" w:eastAsia="zh-CN"/>
        </w:rPr>
        <w:t>4</w:t>
      </w:r>
      <w:r>
        <w:rPr>
          <w:rFonts w:hint="eastAsia" w:ascii="仿宋_GB2312" w:hAnsi="仿宋_GB2312" w:eastAsia="仿宋_GB2312" w:cs="仿宋_GB2312"/>
          <w:color w:val="auto"/>
          <w:kern w:val="0"/>
          <w:sz w:val="32"/>
          <w:szCs w:val="32"/>
        </w:rPr>
        <w:t>年12月我局实有在职职工1</w:t>
      </w:r>
      <w:r>
        <w:rPr>
          <w:rFonts w:hint="eastAsia" w:ascii="仿宋_GB2312" w:hAnsi="仿宋_GB2312" w:eastAsia="仿宋_GB2312" w:cs="仿宋_GB2312"/>
          <w:color w:val="auto"/>
          <w:kern w:val="0"/>
          <w:sz w:val="32"/>
          <w:szCs w:val="32"/>
          <w:lang w:val="en-US" w:eastAsia="zh-CN"/>
        </w:rPr>
        <w:t>8</w:t>
      </w:r>
      <w:r>
        <w:rPr>
          <w:rFonts w:hint="eastAsia" w:ascii="仿宋_GB2312" w:hAnsi="仿宋_GB2312" w:eastAsia="仿宋_GB2312" w:cs="仿宋_GB2312"/>
          <w:color w:val="auto"/>
          <w:kern w:val="0"/>
          <w:sz w:val="32"/>
          <w:szCs w:val="32"/>
        </w:rPr>
        <w:t>人</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退休人员3人</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其中:行政在职</w:t>
      </w:r>
      <w:r>
        <w:rPr>
          <w:rFonts w:hint="eastAsia" w:ascii="仿宋_GB2312" w:hAnsi="仿宋_GB2312" w:eastAsia="仿宋_GB2312" w:cs="仿宋_GB2312"/>
          <w:color w:val="auto"/>
          <w:kern w:val="0"/>
          <w:sz w:val="32"/>
          <w:szCs w:val="32"/>
          <w:lang w:val="en-US" w:eastAsia="zh-CN"/>
        </w:rPr>
        <w:t>7</w:t>
      </w:r>
      <w:r>
        <w:rPr>
          <w:rFonts w:hint="eastAsia" w:ascii="仿宋_GB2312" w:hAnsi="仿宋_GB2312" w:eastAsia="仿宋_GB2312" w:cs="仿宋_GB2312"/>
          <w:color w:val="auto"/>
          <w:kern w:val="0"/>
          <w:sz w:val="32"/>
          <w:szCs w:val="32"/>
        </w:rPr>
        <w:t>人,行政工勤</w:t>
      </w:r>
      <w:r>
        <w:rPr>
          <w:rFonts w:hint="eastAsia" w:ascii="仿宋_GB2312" w:hAnsi="仿宋_GB2312" w:eastAsia="仿宋_GB2312" w:cs="仿宋_GB2312"/>
          <w:color w:val="auto"/>
          <w:kern w:val="0"/>
          <w:sz w:val="32"/>
          <w:szCs w:val="32"/>
          <w:lang w:eastAsia="zh-CN"/>
        </w:rPr>
        <w:t>在职</w:t>
      </w:r>
      <w:r>
        <w:rPr>
          <w:rFonts w:hint="eastAsia" w:ascii="仿宋_GB2312" w:hAnsi="仿宋_GB2312" w:eastAsia="仿宋_GB2312" w:cs="仿宋_GB2312"/>
          <w:color w:val="auto"/>
          <w:kern w:val="0"/>
          <w:sz w:val="32"/>
          <w:szCs w:val="32"/>
        </w:rPr>
        <w:t>2人,事业在职</w:t>
      </w:r>
      <w:r>
        <w:rPr>
          <w:rFonts w:hint="eastAsia" w:ascii="仿宋_GB2312" w:hAnsi="仿宋_GB2312" w:eastAsia="仿宋_GB2312" w:cs="仿宋_GB2312"/>
          <w:color w:val="auto"/>
          <w:kern w:val="0"/>
          <w:sz w:val="32"/>
          <w:szCs w:val="32"/>
          <w:lang w:val="en-US" w:eastAsia="zh-CN"/>
        </w:rPr>
        <w:t>9</w:t>
      </w:r>
      <w:r>
        <w:rPr>
          <w:rFonts w:hint="eastAsia" w:ascii="仿宋_GB2312" w:hAnsi="仿宋_GB2312" w:eastAsia="仿宋_GB2312" w:cs="仿宋_GB2312"/>
          <w:color w:val="auto"/>
          <w:kern w:val="0"/>
          <w:sz w:val="32"/>
          <w:szCs w:val="32"/>
        </w:rPr>
        <w:t>人。</w:t>
      </w:r>
    </w:p>
    <w:p w14:paraId="37DC0C08">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rPr>
          <w:rFonts w:hint="eastAsia" w:ascii="仿宋_GB2312" w:hAnsi="仿宋_GB2312" w:eastAsia="仿宋_GB2312" w:cs="仿宋_GB2312"/>
          <w:b/>
          <w:bCs/>
          <w:color w:val="000000"/>
          <w:kern w:val="0"/>
          <w:sz w:val="32"/>
          <w:szCs w:val="32"/>
          <w:shd w:val="clear" w:color="auto" w:fill="FFFFFF"/>
        </w:rPr>
      </w:pPr>
      <w:r>
        <w:rPr>
          <w:rFonts w:hint="eastAsia" w:ascii="仿宋_GB2312" w:hAnsi="仿宋_GB2312" w:eastAsia="仿宋_GB2312" w:cs="仿宋_GB2312"/>
          <w:b/>
          <w:bCs/>
          <w:color w:val="000000"/>
          <w:kern w:val="0"/>
          <w:sz w:val="32"/>
          <w:szCs w:val="32"/>
          <w:shd w:val="clear" w:color="auto" w:fill="FFFFFF"/>
        </w:rPr>
        <w:t>二、部门资金收支情况</w:t>
      </w:r>
    </w:p>
    <w:p w14:paraId="5308E369">
      <w:pPr>
        <w:keepNext w:val="0"/>
        <w:keepLines w:val="0"/>
        <w:pageBreakBefore w:val="0"/>
        <w:kinsoku/>
        <w:wordWrap/>
        <w:overflowPunct/>
        <w:topLinePunct w:val="0"/>
        <w:autoSpaceDE/>
        <w:autoSpaceDN/>
        <w:bidi w:val="0"/>
        <w:adjustRightInd w:val="0"/>
        <w:snapToGrid w:val="0"/>
        <w:spacing w:line="580" w:lineRule="exact"/>
        <w:ind w:firstLine="675" w:firstLineChars="210"/>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（一）收入情况</w:t>
      </w:r>
    </w:p>
    <w:p w14:paraId="3B6496A5">
      <w:pPr>
        <w:keepNext w:val="0"/>
        <w:keepLines w:val="0"/>
        <w:pageBreakBefore w:val="0"/>
        <w:kinsoku/>
        <w:wordWrap/>
        <w:overflowPunct/>
        <w:topLinePunct w:val="0"/>
        <w:autoSpaceDE/>
        <w:autoSpaceDN/>
        <w:bidi w:val="0"/>
        <w:adjustRightInd w:val="0"/>
        <w:snapToGrid w:val="0"/>
        <w:spacing w:line="580" w:lineRule="exact"/>
        <w:ind w:firstLine="672" w:firstLineChars="210"/>
        <w:textAlignment w:val="auto"/>
        <w:rPr>
          <w:rStyle w:val="22"/>
          <w:rFonts w:hint="eastAsia" w:ascii="仿宋_GB2312" w:hAnsi="仿宋_GB2312" w:eastAsia="仿宋_GB2312" w:cs="仿宋_GB2312"/>
          <w:b w:val="0"/>
          <w:bCs w:val="0"/>
          <w:color w:val="auto"/>
          <w:kern w:val="0"/>
          <w:sz w:val="32"/>
          <w:szCs w:val="32"/>
        </w:rPr>
      </w:pPr>
      <w:r>
        <w:rPr>
          <w:rFonts w:hint="eastAsia" w:ascii="仿宋_GB2312" w:hAnsi="仿宋_GB2312" w:eastAsia="仿宋_GB2312" w:cs="仿宋_GB2312"/>
          <w:color w:val="auto"/>
          <w:kern w:val="0"/>
          <w:sz w:val="32"/>
          <w:szCs w:val="32"/>
        </w:rPr>
        <w:t>202</w:t>
      </w:r>
      <w:r>
        <w:rPr>
          <w:rFonts w:hint="eastAsia" w:ascii="仿宋_GB2312" w:hAnsi="仿宋_GB2312" w:eastAsia="仿宋_GB2312" w:cs="仿宋_GB2312"/>
          <w:color w:val="auto"/>
          <w:kern w:val="0"/>
          <w:sz w:val="32"/>
          <w:szCs w:val="32"/>
          <w:lang w:val="en-US" w:eastAsia="zh-CN"/>
        </w:rPr>
        <w:t>4</w:t>
      </w:r>
      <w:r>
        <w:rPr>
          <w:rFonts w:hint="eastAsia" w:ascii="仿宋_GB2312" w:hAnsi="仿宋_GB2312" w:eastAsia="仿宋_GB2312" w:cs="仿宋_GB2312"/>
          <w:color w:val="auto"/>
          <w:kern w:val="0"/>
          <w:sz w:val="32"/>
          <w:szCs w:val="32"/>
        </w:rPr>
        <w:t>年1月至202</w:t>
      </w:r>
      <w:r>
        <w:rPr>
          <w:rFonts w:hint="eastAsia" w:ascii="仿宋_GB2312" w:hAnsi="仿宋_GB2312" w:eastAsia="仿宋_GB2312" w:cs="仿宋_GB2312"/>
          <w:color w:val="auto"/>
          <w:kern w:val="0"/>
          <w:sz w:val="32"/>
          <w:szCs w:val="32"/>
          <w:lang w:val="en-US" w:eastAsia="zh-CN"/>
        </w:rPr>
        <w:t>4</w:t>
      </w:r>
      <w:r>
        <w:rPr>
          <w:rFonts w:hint="eastAsia" w:ascii="仿宋_GB2312" w:hAnsi="仿宋_GB2312" w:eastAsia="仿宋_GB2312" w:cs="仿宋_GB2312"/>
          <w:color w:val="auto"/>
          <w:kern w:val="0"/>
          <w:sz w:val="32"/>
          <w:szCs w:val="32"/>
        </w:rPr>
        <w:t>年12月，茂县行政审批局本年收入合计</w:t>
      </w:r>
      <w:r>
        <w:rPr>
          <w:rFonts w:hint="eastAsia" w:ascii="仿宋_GB2312" w:hAnsi="仿宋_GB2312" w:eastAsia="仿宋_GB2312" w:cs="仿宋_GB2312"/>
          <w:color w:val="auto"/>
          <w:sz w:val="32"/>
          <w:szCs w:val="32"/>
          <w:lang w:val="en-US" w:eastAsia="zh-CN"/>
        </w:rPr>
        <w:t>426.66</w:t>
      </w:r>
      <w:r>
        <w:rPr>
          <w:rFonts w:hint="eastAsia" w:ascii="仿宋_GB2312" w:hAnsi="仿宋_GB2312" w:eastAsia="仿宋_GB2312" w:cs="仿宋_GB2312"/>
          <w:color w:val="auto"/>
          <w:kern w:val="0"/>
          <w:sz w:val="32"/>
          <w:szCs w:val="32"/>
        </w:rPr>
        <w:t>万元，其中：一般公共财政预算拨款收入</w:t>
      </w:r>
      <w:r>
        <w:rPr>
          <w:rFonts w:hint="eastAsia" w:ascii="仿宋_GB2312" w:hAnsi="仿宋_GB2312" w:eastAsia="仿宋_GB2312" w:cs="仿宋_GB2312"/>
          <w:color w:val="auto"/>
          <w:sz w:val="32"/>
          <w:szCs w:val="32"/>
          <w:lang w:val="en-US" w:eastAsia="zh-CN"/>
        </w:rPr>
        <w:t>426.66</w:t>
      </w:r>
      <w:r>
        <w:rPr>
          <w:rFonts w:hint="eastAsia" w:ascii="仿宋_GB2312" w:hAnsi="仿宋_GB2312" w:eastAsia="仿宋_GB2312" w:cs="仿宋_GB2312"/>
          <w:color w:val="auto"/>
          <w:kern w:val="0"/>
          <w:sz w:val="32"/>
          <w:szCs w:val="32"/>
        </w:rPr>
        <w:t>万元，政府性基金预算财政拨款收入0万元。</w:t>
      </w:r>
    </w:p>
    <w:p w14:paraId="5DB80791">
      <w:pPr>
        <w:keepNext w:val="0"/>
        <w:keepLines w:val="0"/>
        <w:pageBreakBefore w:val="0"/>
        <w:numPr>
          <w:ilvl w:val="0"/>
          <w:numId w:val="0"/>
        </w:numPr>
        <w:kinsoku/>
        <w:wordWrap/>
        <w:overflowPunct/>
        <w:topLinePunct w:val="0"/>
        <w:autoSpaceDE/>
        <w:autoSpaceDN/>
        <w:bidi w:val="0"/>
        <w:adjustRightInd w:val="0"/>
        <w:snapToGrid w:val="0"/>
        <w:spacing w:line="580" w:lineRule="exact"/>
        <w:ind w:firstLine="643" w:firstLineChars="200"/>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（二）支出情况</w:t>
      </w:r>
    </w:p>
    <w:p w14:paraId="25A6F818">
      <w:pPr>
        <w:keepNext w:val="0"/>
        <w:keepLines w:val="0"/>
        <w:pageBreakBefore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Style w:val="22"/>
          <w:rFonts w:hint="eastAsia" w:ascii="仿宋_GB2312" w:hAnsi="仿宋_GB2312" w:eastAsia="仿宋_GB2312" w:cs="仿宋_GB2312"/>
          <w:b w:val="0"/>
          <w:bCs w:val="0"/>
          <w:color w:val="auto"/>
          <w:kern w:val="0"/>
          <w:sz w:val="32"/>
          <w:szCs w:val="32"/>
        </w:rPr>
      </w:pPr>
      <w:r>
        <w:rPr>
          <w:rFonts w:hint="eastAsia" w:ascii="仿宋_GB2312" w:hAnsi="仿宋_GB2312" w:eastAsia="仿宋_GB2312" w:cs="仿宋_GB2312"/>
          <w:color w:val="auto"/>
          <w:kern w:val="0"/>
          <w:sz w:val="32"/>
          <w:szCs w:val="32"/>
        </w:rPr>
        <w:t>202</w:t>
      </w:r>
      <w:r>
        <w:rPr>
          <w:rFonts w:hint="eastAsia" w:ascii="仿宋_GB2312" w:hAnsi="仿宋_GB2312" w:eastAsia="仿宋_GB2312" w:cs="仿宋_GB2312"/>
          <w:color w:val="auto"/>
          <w:kern w:val="0"/>
          <w:sz w:val="32"/>
          <w:szCs w:val="32"/>
          <w:lang w:val="en-US" w:eastAsia="zh-CN"/>
        </w:rPr>
        <w:t>4</w:t>
      </w:r>
      <w:r>
        <w:rPr>
          <w:rFonts w:hint="eastAsia" w:ascii="仿宋_GB2312" w:hAnsi="仿宋_GB2312" w:eastAsia="仿宋_GB2312" w:cs="仿宋_GB2312"/>
          <w:color w:val="auto"/>
          <w:kern w:val="0"/>
          <w:sz w:val="32"/>
          <w:szCs w:val="32"/>
        </w:rPr>
        <w:t>年1月至202</w:t>
      </w:r>
      <w:r>
        <w:rPr>
          <w:rFonts w:hint="eastAsia" w:ascii="仿宋_GB2312" w:hAnsi="仿宋_GB2312" w:eastAsia="仿宋_GB2312" w:cs="仿宋_GB2312"/>
          <w:color w:val="auto"/>
          <w:kern w:val="0"/>
          <w:sz w:val="32"/>
          <w:szCs w:val="32"/>
          <w:lang w:val="en-US" w:eastAsia="zh-CN"/>
        </w:rPr>
        <w:t>4</w:t>
      </w:r>
      <w:r>
        <w:rPr>
          <w:rFonts w:hint="eastAsia" w:ascii="仿宋_GB2312" w:hAnsi="仿宋_GB2312" w:eastAsia="仿宋_GB2312" w:cs="仿宋_GB2312"/>
          <w:color w:val="auto"/>
          <w:kern w:val="0"/>
          <w:sz w:val="32"/>
          <w:szCs w:val="32"/>
        </w:rPr>
        <w:t>年12月茂县行政审批局本年支出合计</w:t>
      </w:r>
      <w:r>
        <w:rPr>
          <w:rFonts w:hint="eastAsia" w:ascii="仿宋_GB2312" w:hAnsi="仿宋_GB2312" w:eastAsia="仿宋_GB2312" w:cs="仿宋_GB2312"/>
          <w:color w:val="auto"/>
          <w:sz w:val="32"/>
          <w:szCs w:val="32"/>
          <w:lang w:val="en-US" w:eastAsia="zh-CN"/>
        </w:rPr>
        <w:t>426.66</w:t>
      </w:r>
      <w:r>
        <w:rPr>
          <w:rFonts w:hint="eastAsia" w:ascii="仿宋_GB2312" w:hAnsi="仿宋_GB2312" w:eastAsia="仿宋_GB2312" w:cs="仿宋_GB2312"/>
          <w:color w:val="auto"/>
          <w:kern w:val="0"/>
          <w:sz w:val="32"/>
          <w:szCs w:val="32"/>
        </w:rPr>
        <w:t>万元，其中：基本支出</w:t>
      </w:r>
      <w:r>
        <w:rPr>
          <w:rFonts w:hint="eastAsia" w:ascii="仿宋_GB2312" w:hAnsi="仿宋_GB2312" w:eastAsia="仿宋_GB2312" w:cs="仿宋_GB2312"/>
          <w:color w:val="auto"/>
          <w:sz w:val="32"/>
          <w:szCs w:val="32"/>
          <w:lang w:val="en-US" w:eastAsia="zh-CN"/>
        </w:rPr>
        <w:t>426.66</w:t>
      </w:r>
      <w:r>
        <w:rPr>
          <w:rFonts w:hint="eastAsia" w:ascii="仿宋_GB2312" w:hAnsi="仿宋_GB2312" w:eastAsia="仿宋_GB2312" w:cs="仿宋_GB2312"/>
          <w:color w:val="auto"/>
          <w:kern w:val="0"/>
          <w:sz w:val="32"/>
          <w:szCs w:val="32"/>
        </w:rPr>
        <w:t>万元。按功能分类，一般公共服务支出</w:t>
      </w:r>
      <w:r>
        <w:rPr>
          <w:rFonts w:hint="eastAsia" w:ascii="仿宋_GB2312" w:hAnsi="仿宋_GB2312" w:eastAsia="仿宋_GB2312" w:cs="仿宋_GB2312"/>
          <w:color w:val="auto"/>
          <w:kern w:val="0"/>
          <w:sz w:val="32"/>
          <w:szCs w:val="32"/>
          <w:lang w:val="en-US" w:eastAsia="zh-CN"/>
        </w:rPr>
        <w:t>278.82</w:t>
      </w:r>
      <w:r>
        <w:rPr>
          <w:rFonts w:hint="eastAsia" w:ascii="仿宋_GB2312" w:hAnsi="仿宋_GB2312" w:eastAsia="仿宋_GB2312" w:cs="仿宋_GB2312"/>
          <w:color w:val="auto"/>
          <w:kern w:val="0"/>
          <w:sz w:val="32"/>
          <w:szCs w:val="32"/>
        </w:rPr>
        <w:t>万元、社会保障和就业支出</w:t>
      </w:r>
      <w:r>
        <w:rPr>
          <w:rFonts w:hint="eastAsia" w:ascii="仿宋_GB2312" w:hAnsi="仿宋_GB2312" w:eastAsia="仿宋_GB2312" w:cs="仿宋_GB2312"/>
          <w:color w:val="auto"/>
          <w:kern w:val="0"/>
          <w:sz w:val="32"/>
          <w:szCs w:val="32"/>
          <w:lang w:val="en-US" w:eastAsia="zh-CN"/>
        </w:rPr>
        <w:t>46.99</w:t>
      </w:r>
      <w:r>
        <w:rPr>
          <w:rFonts w:hint="eastAsia" w:ascii="仿宋_GB2312" w:hAnsi="仿宋_GB2312" w:eastAsia="仿宋_GB2312" w:cs="仿宋_GB2312"/>
          <w:color w:val="auto"/>
          <w:kern w:val="0"/>
          <w:sz w:val="32"/>
          <w:szCs w:val="32"/>
        </w:rPr>
        <w:t>万元、卫生健康支出</w:t>
      </w:r>
      <w:r>
        <w:rPr>
          <w:rFonts w:hint="eastAsia" w:ascii="仿宋_GB2312" w:hAnsi="仿宋_GB2312" w:eastAsia="仿宋_GB2312" w:cs="仿宋_GB2312"/>
          <w:color w:val="auto"/>
          <w:kern w:val="0"/>
          <w:sz w:val="32"/>
          <w:szCs w:val="32"/>
          <w:lang w:val="en-US" w:eastAsia="zh-CN"/>
        </w:rPr>
        <w:t>19.78</w:t>
      </w:r>
      <w:r>
        <w:rPr>
          <w:rFonts w:hint="eastAsia" w:ascii="仿宋_GB2312" w:hAnsi="仿宋_GB2312" w:eastAsia="仿宋_GB2312" w:cs="仿宋_GB2312"/>
          <w:color w:val="auto"/>
          <w:kern w:val="0"/>
          <w:sz w:val="32"/>
          <w:szCs w:val="32"/>
        </w:rPr>
        <w:t>万元、住房保障支出</w:t>
      </w:r>
      <w:r>
        <w:rPr>
          <w:rFonts w:hint="eastAsia" w:ascii="仿宋_GB2312" w:hAnsi="仿宋_GB2312" w:eastAsia="仿宋_GB2312" w:cs="仿宋_GB2312"/>
          <w:color w:val="auto"/>
          <w:kern w:val="0"/>
          <w:sz w:val="32"/>
          <w:szCs w:val="32"/>
          <w:lang w:val="en-US" w:eastAsia="zh-CN"/>
        </w:rPr>
        <w:t>25.51</w:t>
      </w:r>
      <w:r>
        <w:rPr>
          <w:rFonts w:hint="eastAsia" w:ascii="仿宋_GB2312" w:hAnsi="仿宋_GB2312" w:eastAsia="仿宋_GB2312" w:cs="仿宋_GB2312"/>
          <w:color w:val="auto"/>
          <w:kern w:val="0"/>
          <w:sz w:val="32"/>
          <w:szCs w:val="32"/>
        </w:rPr>
        <w:t>万元。按经济分类，工资福利支出</w:t>
      </w:r>
      <w:r>
        <w:rPr>
          <w:rFonts w:hint="eastAsia" w:ascii="仿宋_GB2312" w:hAnsi="仿宋_GB2312" w:eastAsia="仿宋_GB2312" w:cs="仿宋_GB2312"/>
          <w:color w:val="auto"/>
          <w:kern w:val="0"/>
          <w:sz w:val="32"/>
          <w:szCs w:val="32"/>
          <w:lang w:val="en-US" w:eastAsia="zh-CN"/>
        </w:rPr>
        <w:t>323.49</w:t>
      </w:r>
      <w:r>
        <w:rPr>
          <w:rFonts w:hint="eastAsia" w:ascii="仿宋_GB2312" w:hAnsi="仿宋_GB2312" w:eastAsia="仿宋_GB2312" w:cs="仿宋_GB2312"/>
          <w:color w:val="auto"/>
          <w:kern w:val="0"/>
          <w:sz w:val="32"/>
          <w:szCs w:val="32"/>
        </w:rPr>
        <w:t>万元，对家庭和个人的补助</w:t>
      </w:r>
      <w:r>
        <w:rPr>
          <w:rFonts w:hint="eastAsia" w:ascii="仿宋_GB2312" w:hAnsi="仿宋_GB2312" w:eastAsia="仿宋_GB2312" w:cs="仿宋_GB2312"/>
          <w:color w:val="auto"/>
          <w:kern w:val="0"/>
          <w:sz w:val="32"/>
          <w:szCs w:val="32"/>
          <w:lang w:val="en-US" w:eastAsia="zh-CN"/>
        </w:rPr>
        <w:t>56.01</w:t>
      </w:r>
      <w:r>
        <w:rPr>
          <w:rFonts w:hint="eastAsia" w:ascii="仿宋_GB2312" w:hAnsi="仿宋_GB2312" w:eastAsia="仿宋_GB2312" w:cs="仿宋_GB2312"/>
          <w:color w:val="auto"/>
          <w:kern w:val="0"/>
          <w:sz w:val="32"/>
          <w:szCs w:val="32"/>
        </w:rPr>
        <w:t>万元，商品服务支出</w:t>
      </w:r>
      <w:r>
        <w:rPr>
          <w:rFonts w:hint="eastAsia" w:ascii="仿宋_GB2312" w:hAnsi="仿宋_GB2312" w:eastAsia="仿宋_GB2312" w:cs="仿宋_GB2312"/>
          <w:color w:val="auto"/>
          <w:kern w:val="0"/>
          <w:sz w:val="32"/>
          <w:szCs w:val="32"/>
          <w:lang w:val="en-US" w:eastAsia="zh-CN"/>
        </w:rPr>
        <w:t>47.15</w:t>
      </w:r>
      <w:r>
        <w:rPr>
          <w:rFonts w:hint="eastAsia" w:ascii="仿宋_GB2312" w:hAnsi="仿宋_GB2312" w:eastAsia="仿宋_GB2312" w:cs="仿宋_GB2312"/>
          <w:color w:val="auto"/>
          <w:kern w:val="0"/>
          <w:sz w:val="32"/>
          <w:szCs w:val="32"/>
        </w:rPr>
        <w:t>万元。</w:t>
      </w:r>
    </w:p>
    <w:p w14:paraId="4462AC17">
      <w:pPr>
        <w:widowControl/>
        <w:numPr>
          <w:ilvl w:val="0"/>
          <w:numId w:val="0"/>
        </w:numPr>
        <w:adjustRightInd w:val="0"/>
        <w:snapToGrid w:val="0"/>
        <w:spacing w:line="578" w:lineRule="exact"/>
        <w:ind w:firstLine="643" w:firstLineChars="200"/>
        <w:contextualSpacing/>
        <w:jc w:val="left"/>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eastAsia="zh-CN"/>
        </w:rPr>
        <w:t>（三）</w:t>
      </w:r>
      <w:r>
        <w:rPr>
          <w:rFonts w:hint="eastAsia" w:ascii="仿宋_GB2312" w:hAnsi="仿宋_GB2312" w:eastAsia="仿宋_GB2312" w:cs="仿宋_GB2312"/>
          <w:b/>
          <w:sz w:val="32"/>
          <w:szCs w:val="32"/>
        </w:rPr>
        <w:t>结余分配和结转结余情况</w:t>
      </w:r>
    </w:p>
    <w:p w14:paraId="7A894F70">
      <w:pPr>
        <w:widowControl/>
        <w:numPr>
          <w:ilvl w:val="0"/>
          <w:numId w:val="0"/>
        </w:num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auto"/>
          <w:kern w:val="0"/>
          <w:sz w:val="32"/>
          <w:szCs w:val="32"/>
        </w:rPr>
        <w:t>202</w:t>
      </w:r>
      <w:r>
        <w:rPr>
          <w:rFonts w:hint="eastAsia" w:ascii="仿宋_GB2312" w:hAnsi="仿宋_GB2312" w:eastAsia="仿宋_GB2312" w:cs="仿宋_GB2312"/>
          <w:color w:val="auto"/>
          <w:kern w:val="0"/>
          <w:sz w:val="32"/>
          <w:szCs w:val="32"/>
          <w:lang w:val="en-US" w:eastAsia="zh-CN"/>
        </w:rPr>
        <w:t>4</w:t>
      </w:r>
      <w:r>
        <w:rPr>
          <w:rFonts w:hint="eastAsia" w:ascii="仿宋_GB2312" w:hAnsi="仿宋_GB2312" w:eastAsia="仿宋_GB2312" w:cs="仿宋_GB2312"/>
          <w:color w:val="auto"/>
          <w:kern w:val="0"/>
          <w:sz w:val="32"/>
          <w:szCs w:val="32"/>
        </w:rPr>
        <w:t>年年末项目支出结余结转0万元。</w:t>
      </w:r>
    </w:p>
    <w:p w14:paraId="408C1A90">
      <w:pPr>
        <w:widowControl/>
        <w:adjustRightInd w:val="0"/>
        <w:snapToGrid w:val="0"/>
        <w:spacing w:line="578" w:lineRule="exact"/>
        <w:ind w:firstLine="643" w:firstLineChars="200"/>
        <w:contextualSpacing/>
        <w:jc w:val="left"/>
        <w:rPr>
          <w:rFonts w:hint="eastAsia" w:ascii="仿宋_GB2312" w:hAnsi="仿宋_GB2312" w:eastAsia="仿宋_GB2312" w:cs="仿宋_GB2312"/>
          <w:b/>
          <w:bCs/>
          <w:color w:val="000000" w:themeColor="text1"/>
          <w:kern w:val="0"/>
          <w:sz w:val="32"/>
          <w:szCs w:val="32"/>
          <w:shd w:val="clear" w:color="auto" w:fill="FFFFFF"/>
          <w14:textFill>
            <w14:solidFill>
              <w14:schemeClr w14:val="tx1"/>
            </w14:solidFill>
          </w14:textFill>
        </w:rPr>
      </w:pPr>
      <w:r>
        <w:rPr>
          <w:rFonts w:hint="eastAsia" w:ascii="仿宋_GB2312" w:hAnsi="仿宋_GB2312" w:eastAsia="仿宋_GB2312" w:cs="仿宋_GB2312"/>
          <w:b/>
          <w:bCs/>
          <w:color w:val="000000"/>
          <w:kern w:val="0"/>
          <w:sz w:val="32"/>
          <w:szCs w:val="32"/>
          <w:shd w:val="clear" w:color="auto" w:fill="FFFFFF"/>
        </w:rPr>
        <w:t>三、部门预算绩效分析</w:t>
      </w:r>
    </w:p>
    <w:p w14:paraId="751225DC">
      <w:pPr>
        <w:adjustRightInd w:val="0"/>
        <w:snapToGrid w:val="0"/>
        <w:spacing w:line="578" w:lineRule="exact"/>
        <w:ind w:firstLine="643"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（一）部门预算总体绩效分析。</w:t>
      </w:r>
    </w:p>
    <w:p w14:paraId="4CAC5C43">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lang w:val="zh-CN"/>
        </w:rPr>
        <w:t>履职效能。</w:t>
      </w:r>
      <w:r>
        <w:rPr>
          <w:rFonts w:hint="eastAsia" w:ascii="仿宋_GB2312" w:hAnsi="仿宋_GB2312" w:eastAsia="仿宋_GB2312" w:cs="仿宋_GB2312"/>
          <w:color w:val="auto"/>
          <w:kern w:val="0"/>
          <w:sz w:val="32"/>
          <w:szCs w:val="32"/>
        </w:rPr>
        <w:t>负责规范指导全县行政审批和政务服务工作，建立和完善相应工作机制，推进标准化建设；负责指导、协调进驻政务服务大厅部门的行政审批和公共服务工作；对窗口工作人员进行日常管理、年度考核等工作</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负责对各乡镇便民服务中心相关工作的运行进行业务指导和监督，建立和完善高效的政务服务体系</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负责全县公共资源交易管理工作</w:t>
      </w:r>
      <w:r>
        <w:rPr>
          <w:rFonts w:hint="eastAsia" w:ascii="仿宋_GB2312" w:hAnsi="仿宋_GB2312" w:eastAsia="仿宋_GB2312" w:cs="仿宋_GB2312"/>
          <w:color w:val="000000"/>
          <w:kern w:val="0"/>
          <w:sz w:val="32"/>
          <w:szCs w:val="32"/>
          <w:shd w:val="clear" w:color="auto" w:fill="FFFFFF"/>
          <w:lang w:val="zh-CN"/>
        </w:rPr>
        <w:t>。</w:t>
      </w:r>
    </w:p>
    <w:p w14:paraId="4E1B8C30">
      <w:pPr>
        <w:widowControl/>
        <w:spacing w:line="576" w:lineRule="exact"/>
        <w:ind w:firstLine="640" w:firstLineChars="20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2.</w:t>
      </w:r>
      <w:r>
        <w:rPr>
          <w:rFonts w:hint="eastAsia" w:ascii="仿宋_GB2312" w:hAnsi="仿宋_GB2312" w:eastAsia="仿宋_GB2312" w:cs="仿宋_GB2312"/>
          <w:color w:val="000000"/>
          <w:kern w:val="0"/>
          <w:sz w:val="32"/>
          <w:szCs w:val="32"/>
          <w:shd w:val="clear" w:color="auto" w:fill="FFFFFF"/>
          <w:lang w:val="zh-CN"/>
        </w:rPr>
        <w:t>预算管理。</w:t>
      </w:r>
      <w:r>
        <w:rPr>
          <w:rFonts w:hint="eastAsia" w:ascii="仿宋_GB2312" w:hAnsi="仿宋_GB2312" w:eastAsia="仿宋_GB2312" w:cs="仿宋_GB2312"/>
          <w:kern w:val="0"/>
          <w:sz w:val="32"/>
          <w:szCs w:val="32"/>
        </w:rPr>
        <w:t>根据《预算法》等法律法规的规定</w:t>
      </w:r>
      <w:r>
        <w:rPr>
          <w:rFonts w:hint="eastAsia" w:ascii="仿宋_GB2312" w:hAnsi="仿宋_GB2312" w:eastAsia="仿宋_GB2312" w:cs="仿宋_GB2312"/>
          <w:color w:val="000000"/>
          <w:kern w:val="0"/>
          <w:sz w:val="32"/>
          <w:szCs w:val="32"/>
          <w:shd w:val="clear" w:color="auto" w:fill="FFFFFF"/>
          <w:lang w:val="zh-CN" w:eastAsia="zh-CN"/>
        </w:rPr>
        <w:t>和本单位工作实际情况，严格按要求编制年初部门预算，确保年初预算编制的科学性和准确性。单位严控“三公”经费、会议、培训、差旅、办节办展、办公设备购置、信息网络及软件购置更新、课题经费等一般性支出。</w:t>
      </w:r>
      <w:r>
        <w:rPr>
          <w:rFonts w:hint="eastAsia" w:ascii="仿宋_GB2312" w:hAnsi="仿宋_GB2312" w:eastAsia="仿宋_GB2312" w:cs="仿宋_GB2312"/>
          <w:color w:val="auto"/>
          <w:kern w:val="0"/>
          <w:sz w:val="32"/>
          <w:szCs w:val="32"/>
        </w:rPr>
        <w:t>基本支出202</w:t>
      </w:r>
      <w:r>
        <w:rPr>
          <w:rFonts w:hint="eastAsia" w:ascii="仿宋_GB2312" w:hAnsi="仿宋_GB2312" w:eastAsia="仿宋_GB2312" w:cs="仿宋_GB2312"/>
          <w:color w:val="auto"/>
          <w:kern w:val="0"/>
          <w:sz w:val="32"/>
          <w:szCs w:val="32"/>
          <w:lang w:val="en-US" w:eastAsia="zh-CN"/>
        </w:rPr>
        <w:t>4</w:t>
      </w:r>
      <w:r>
        <w:rPr>
          <w:rFonts w:hint="eastAsia" w:ascii="仿宋_GB2312" w:hAnsi="仿宋_GB2312" w:eastAsia="仿宋_GB2312" w:cs="仿宋_GB2312"/>
          <w:color w:val="auto"/>
          <w:kern w:val="0"/>
          <w:sz w:val="32"/>
          <w:szCs w:val="32"/>
        </w:rPr>
        <w:t>年1月至202</w:t>
      </w:r>
      <w:r>
        <w:rPr>
          <w:rFonts w:hint="eastAsia" w:ascii="仿宋_GB2312" w:hAnsi="仿宋_GB2312" w:eastAsia="仿宋_GB2312" w:cs="仿宋_GB2312"/>
          <w:color w:val="auto"/>
          <w:kern w:val="0"/>
          <w:sz w:val="32"/>
          <w:szCs w:val="32"/>
          <w:lang w:val="en-US" w:eastAsia="zh-CN"/>
        </w:rPr>
        <w:t>4</w:t>
      </w:r>
      <w:r>
        <w:rPr>
          <w:rFonts w:hint="eastAsia" w:ascii="仿宋_GB2312" w:hAnsi="仿宋_GB2312" w:eastAsia="仿宋_GB2312" w:cs="仿宋_GB2312"/>
          <w:color w:val="auto"/>
          <w:kern w:val="0"/>
          <w:sz w:val="32"/>
          <w:szCs w:val="32"/>
        </w:rPr>
        <w:t>年12月按月或季度进行申报，其中人员工资按月申报并直接支付，日常公用经费按月进行申报并支付，项目支出按项目实际开展进度申报并支付。</w:t>
      </w:r>
    </w:p>
    <w:p w14:paraId="59CE29CE">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3.</w:t>
      </w:r>
      <w:r>
        <w:rPr>
          <w:rFonts w:hint="eastAsia" w:ascii="仿宋_GB2312" w:hAnsi="仿宋_GB2312" w:eastAsia="仿宋_GB2312" w:cs="仿宋_GB2312"/>
          <w:color w:val="000000"/>
          <w:kern w:val="0"/>
          <w:sz w:val="32"/>
          <w:szCs w:val="32"/>
          <w:shd w:val="clear" w:color="auto" w:fill="FFFFFF"/>
          <w:lang w:val="zh-CN"/>
        </w:rPr>
        <w:t>财务管理。</w:t>
      </w:r>
      <w:r>
        <w:rPr>
          <w:rFonts w:hint="eastAsia" w:ascii="仿宋_GB2312" w:hAnsi="仿宋_GB2312" w:eastAsia="仿宋_GB2312" w:cs="仿宋_GB2312"/>
          <w:color w:val="000000"/>
          <w:kern w:val="0"/>
          <w:sz w:val="32"/>
          <w:szCs w:val="32"/>
          <w:shd w:val="clear" w:color="auto" w:fill="FFFFFF"/>
          <w:lang w:val="zh-CN" w:eastAsia="zh-CN"/>
        </w:rPr>
        <w:t>根据《会计法》及财务工作有关规定，结合单位实际，制订了《茂县行政审批局财务管理制度》，合理设置财务工作岗位，明确职责权限，严格实行不相容岗位分离，严格按照相关财务管理制度规定使用各项资金。</w:t>
      </w:r>
    </w:p>
    <w:p w14:paraId="2B063E5E">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4.</w:t>
      </w:r>
      <w:r>
        <w:rPr>
          <w:rFonts w:hint="eastAsia" w:ascii="仿宋_GB2312" w:hAnsi="仿宋_GB2312" w:eastAsia="仿宋_GB2312" w:cs="仿宋_GB2312"/>
          <w:color w:val="000000"/>
          <w:kern w:val="0"/>
          <w:sz w:val="32"/>
          <w:szCs w:val="32"/>
          <w:shd w:val="clear" w:color="auto" w:fill="FFFFFF"/>
          <w:lang w:val="zh-CN"/>
        </w:rPr>
        <w:t>资产管理。人均资产无变化，科学合理分配使用资产，无闲置资产。</w:t>
      </w:r>
    </w:p>
    <w:p w14:paraId="1B49D657">
      <w:pPr>
        <w:adjustRightInd w:val="0"/>
        <w:snapToGrid w:val="0"/>
        <w:spacing w:line="578" w:lineRule="exact"/>
        <w:ind w:firstLine="643" w:firstLineChars="200"/>
        <w:contextualSpacing/>
        <w:jc w:val="left"/>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rPr>
        <w:t>5.</w:t>
      </w:r>
      <w:r>
        <w:rPr>
          <w:rFonts w:hint="eastAsia" w:ascii="仿宋_GB2312" w:hAnsi="仿宋_GB2312" w:eastAsia="仿宋_GB2312" w:cs="仿宋_GB2312"/>
          <w:b/>
          <w:bCs/>
          <w:color w:val="000000"/>
          <w:kern w:val="0"/>
          <w:sz w:val="32"/>
          <w:szCs w:val="32"/>
          <w:shd w:val="clear" w:color="auto" w:fill="FFFFFF"/>
          <w:lang w:val="zh-CN"/>
        </w:rPr>
        <w:t>采购管理。</w:t>
      </w:r>
    </w:p>
    <w:p w14:paraId="4A87AC51">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2024年度茂县行政审批和政务服务管理局无采购项目。</w:t>
      </w:r>
    </w:p>
    <w:p w14:paraId="5DEBF788">
      <w:pPr>
        <w:widowControl/>
        <w:adjustRightInd w:val="0"/>
        <w:snapToGrid w:val="0"/>
        <w:spacing w:line="578" w:lineRule="exact"/>
        <w:ind w:firstLine="643" w:firstLineChars="200"/>
        <w:contextualSpacing/>
        <w:jc w:val="left"/>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b/>
          <w:bCs/>
          <w:color w:val="000000"/>
          <w:kern w:val="0"/>
          <w:sz w:val="32"/>
          <w:szCs w:val="32"/>
          <w:shd w:val="clear" w:color="auto" w:fill="FFFFFF"/>
          <w:lang w:val="zh-CN"/>
        </w:rPr>
        <w:t>（二）部门预算项目绩效分析。</w:t>
      </w:r>
    </w:p>
    <w:p w14:paraId="3D296977">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阶段（一次性）项目绩效分析。</w:t>
      </w:r>
      <w:r>
        <w:rPr>
          <w:rFonts w:hint="eastAsia" w:ascii="仿宋_GB2312" w:hAnsi="仿宋_GB2312" w:eastAsia="仿宋_GB2312" w:cs="仿宋_GB2312"/>
          <w:color w:val="000000"/>
          <w:kern w:val="0"/>
          <w:sz w:val="32"/>
          <w:szCs w:val="32"/>
          <w:shd w:val="clear" w:color="auto" w:fill="FFFFFF"/>
          <w:lang w:val="zh-CN"/>
        </w:rPr>
        <w:t>该类项目总数</w:t>
      </w:r>
      <w:r>
        <w:rPr>
          <w:rFonts w:hint="eastAsia" w:ascii="仿宋_GB2312" w:hAnsi="仿宋_GB2312" w:eastAsia="仿宋_GB2312" w:cs="仿宋_GB2312"/>
          <w:color w:val="000000"/>
          <w:kern w:val="0"/>
          <w:sz w:val="32"/>
          <w:szCs w:val="32"/>
          <w:shd w:val="clear" w:color="auto" w:fill="FFFFFF"/>
          <w:lang w:val="en-US" w:eastAsia="zh-CN"/>
        </w:rPr>
        <w:t>2</w:t>
      </w:r>
      <w:r>
        <w:rPr>
          <w:rFonts w:hint="eastAsia" w:ascii="仿宋_GB2312" w:hAnsi="仿宋_GB2312" w:eastAsia="仿宋_GB2312" w:cs="仿宋_GB2312"/>
          <w:color w:val="000000"/>
          <w:kern w:val="0"/>
          <w:sz w:val="32"/>
          <w:szCs w:val="32"/>
          <w:shd w:val="clear" w:color="auto" w:fill="FFFFFF"/>
          <w:lang w:val="zh-CN"/>
        </w:rPr>
        <w:t>个，涉及预算总金额</w:t>
      </w:r>
      <w:r>
        <w:rPr>
          <w:rFonts w:hint="eastAsia" w:ascii="仿宋_GB2312" w:hAnsi="仿宋_GB2312" w:eastAsia="仿宋_GB2312" w:cs="仿宋_GB2312"/>
          <w:color w:val="000000"/>
          <w:kern w:val="0"/>
          <w:sz w:val="32"/>
          <w:szCs w:val="32"/>
          <w:shd w:val="clear" w:color="auto" w:fill="FFFFFF"/>
          <w:lang w:val="en-US" w:eastAsia="zh-CN"/>
        </w:rPr>
        <w:t>55.56</w:t>
      </w:r>
      <w:r>
        <w:rPr>
          <w:rFonts w:hint="eastAsia" w:ascii="仿宋_GB2312" w:hAnsi="仿宋_GB2312" w:eastAsia="仿宋_GB2312" w:cs="仿宋_GB2312"/>
          <w:color w:val="000000"/>
          <w:kern w:val="0"/>
          <w:sz w:val="32"/>
          <w:szCs w:val="32"/>
          <w:shd w:val="clear" w:color="auto" w:fill="FFFFFF"/>
          <w:lang w:val="zh-CN"/>
        </w:rPr>
        <w:t>万元，1—1</w:t>
      </w:r>
      <w:r>
        <w:rPr>
          <w:rFonts w:hint="eastAsia" w:ascii="仿宋_GB2312" w:hAnsi="仿宋_GB2312" w:eastAsia="仿宋_GB2312" w:cs="仿宋_GB2312"/>
          <w:color w:val="000000"/>
          <w:kern w:val="0"/>
          <w:sz w:val="32"/>
          <w:szCs w:val="32"/>
          <w:shd w:val="clear" w:color="auto" w:fill="FFFFFF"/>
        </w:rPr>
        <w:t>2</w:t>
      </w:r>
      <w:r>
        <w:rPr>
          <w:rFonts w:hint="eastAsia" w:ascii="仿宋_GB2312" w:hAnsi="仿宋_GB2312" w:eastAsia="仿宋_GB2312" w:cs="仿宋_GB2312"/>
          <w:color w:val="000000"/>
          <w:kern w:val="0"/>
          <w:sz w:val="32"/>
          <w:szCs w:val="32"/>
          <w:shd w:val="clear" w:color="auto" w:fill="FFFFFF"/>
          <w:lang w:val="zh-CN"/>
        </w:rPr>
        <w:t>月预算执行总体进度为</w:t>
      </w:r>
      <w:r>
        <w:rPr>
          <w:rFonts w:hint="eastAsia" w:ascii="仿宋_GB2312" w:hAnsi="仿宋_GB2312" w:eastAsia="仿宋_GB2312" w:cs="仿宋_GB2312"/>
          <w:color w:val="000000"/>
          <w:kern w:val="0"/>
          <w:sz w:val="32"/>
          <w:szCs w:val="32"/>
          <w:shd w:val="clear" w:color="auto" w:fill="FFFFFF"/>
          <w:lang w:val="en-US" w:eastAsia="zh-CN"/>
        </w:rPr>
        <w:t>100</w:t>
      </w:r>
      <w:r>
        <w:rPr>
          <w:rFonts w:hint="eastAsia" w:ascii="仿宋_GB2312" w:hAnsi="仿宋_GB2312" w:eastAsia="仿宋_GB2312" w:cs="仿宋_GB2312"/>
          <w:color w:val="000000"/>
          <w:kern w:val="0"/>
          <w:sz w:val="32"/>
          <w:szCs w:val="32"/>
          <w:shd w:val="clear" w:color="auto" w:fill="FFFFFF"/>
          <w:lang w:val="zh-CN"/>
        </w:rPr>
        <w:t>%，无预算结余率大于</w:t>
      </w:r>
      <w:r>
        <w:rPr>
          <w:rFonts w:hint="eastAsia" w:ascii="仿宋_GB2312" w:hAnsi="仿宋_GB2312" w:eastAsia="仿宋_GB2312" w:cs="仿宋_GB2312"/>
          <w:color w:val="000000"/>
          <w:kern w:val="0"/>
          <w:sz w:val="32"/>
          <w:szCs w:val="32"/>
          <w:shd w:val="clear" w:color="auto" w:fill="FFFFFF"/>
        </w:rPr>
        <w:t>10%</w:t>
      </w:r>
      <w:r>
        <w:rPr>
          <w:rFonts w:hint="eastAsia" w:ascii="仿宋_GB2312" w:hAnsi="仿宋_GB2312" w:eastAsia="仿宋_GB2312" w:cs="仿宋_GB2312"/>
          <w:color w:val="000000"/>
          <w:kern w:val="0"/>
          <w:sz w:val="32"/>
          <w:szCs w:val="32"/>
          <w:shd w:val="clear" w:color="auto" w:fill="FFFFFF"/>
          <w:lang w:val="zh-CN"/>
        </w:rPr>
        <w:t>的项目。</w:t>
      </w:r>
    </w:p>
    <w:p w14:paraId="35A40262">
      <w:pPr>
        <w:spacing w:line="560" w:lineRule="exact"/>
        <w:ind w:firstLine="640" w:firstLineChars="200"/>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lang w:val="zh-CN"/>
        </w:rPr>
        <w:t>项目决策。围绕省</w:t>
      </w:r>
      <w:r>
        <w:rPr>
          <w:rFonts w:hint="eastAsia" w:ascii="仿宋_GB2312" w:hAnsi="仿宋_GB2312" w:eastAsia="仿宋_GB2312" w:cs="仿宋_GB2312"/>
          <w:color w:val="000000"/>
          <w:kern w:val="0"/>
          <w:sz w:val="32"/>
          <w:szCs w:val="32"/>
          <w:shd w:val="clear" w:color="auto" w:fill="FFFFFF"/>
          <w:lang w:val="zh-CN" w:eastAsia="zh-CN"/>
        </w:rPr>
        <w:t>、</w:t>
      </w:r>
      <w:r>
        <w:rPr>
          <w:rFonts w:hint="eastAsia" w:ascii="仿宋_GB2312" w:hAnsi="仿宋_GB2312" w:eastAsia="仿宋_GB2312" w:cs="仿宋_GB2312"/>
          <w:color w:val="000000"/>
          <w:kern w:val="0"/>
          <w:sz w:val="32"/>
          <w:szCs w:val="32"/>
          <w:shd w:val="clear" w:color="auto" w:fill="FFFFFF"/>
          <w:lang w:val="zh-CN"/>
        </w:rPr>
        <w:t>州、县政务服务工作要点，持续提升政务服务质量及效能。</w:t>
      </w:r>
      <w:r>
        <w:rPr>
          <w:rFonts w:hint="eastAsia" w:ascii="仿宋_GB2312" w:hAnsi="仿宋_GB2312" w:eastAsia="仿宋_GB2312" w:cs="仿宋_GB2312"/>
          <w:kern w:val="2"/>
          <w:sz w:val="32"/>
          <w:szCs w:val="32"/>
          <w:lang w:eastAsia="zh-CN"/>
        </w:rPr>
        <w:t>预算项目设立按规定履行评估论证、申报程序。项目绩效目标与计划期内的任务量、预算安排的资金量相匹配，绩效目标设置科学合理、规范完整，在规定时间完成了项目入库。</w:t>
      </w:r>
    </w:p>
    <w:p w14:paraId="79BCDB82">
      <w:pPr>
        <w:spacing w:line="560" w:lineRule="exact"/>
        <w:ind w:firstLine="640" w:firstLineChars="200"/>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2.项目执行</w:t>
      </w:r>
      <w:r>
        <w:rPr>
          <w:rFonts w:hint="eastAsia" w:ascii="仿宋_GB2312" w:hAnsi="仿宋_GB2312" w:eastAsia="仿宋_GB2312" w:cs="仿宋_GB2312"/>
          <w:color w:val="000000"/>
          <w:kern w:val="0"/>
          <w:sz w:val="32"/>
          <w:szCs w:val="32"/>
          <w:shd w:val="clear" w:color="auto" w:fill="FFFFFF"/>
          <w:lang w:val="zh-CN"/>
        </w:rPr>
        <w:t>。</w:t>
      </w:r>
    </w:p>
    <w:p w14:paraId="279C15C6">
      <w:pPr>
        <w:spacing w:line="560" w:lineRule="exact"/>
        <w:ind w:firstLine="640" w:firstLineChars="200"/>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年使用项目质保金</w:t>
      </w:r>
      <w:r>
        <w:rPr>
          <w:rFonts w:hint="eastAsia" w:ascii="仿宋_GB2312" w:hAnsi="仿宋_GB2312" w:eastAsia="仿宋_GB2312" w:cs="仿宋_GB2312"/>
          <w:color w:val="auto"/>
          <w:sz w:val="32"/>
          <w:szCs w:val="32"/>
          <w:lang w:val="en-US" w:eastAsia="zh-CN"/>
        </w:rPr>
        <w:t>55.56</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其中</w:t>
      </w:r>
      <w:r>
        <w:rPr>
          <w:rFonts w:hint="eastAsia" w:ascii="仿宋_GB2312" w:hAnsi="仿宋_GB2312" w:eastAsia="仿宋_GB2312" w:cs="仿宋_GB2312"/>
          <w:color w:val="auto"/>
          <w:sz w:val="32"/>
          <w:szCs w:val="32"/>
          <w:lang w:val="en-US" w:eastAsia="zh-CN"/>
        </w:rPr>
        <w:t>2022年至2024年政务服务大厅相关经费53.82万元；2024年第三、四季度政府集中采购专家评审劳务费1.74万元；</w:t>
      </w:r>
      <w:r>
        <w:rPr>
          <w:rFonts w:hint="eastAsia" w:ascii="仿宋_GB2312" w:hAnsi="仿宋_GB2312" w:eastAsia="仿宋_GB2312" w:cs="仿宋_GB2312"/>
          <w:color w:val="000000"/>
          <w:kern w:val="0"/>
          <w:sz w:val="32"/>
          <w:szCs w:val="32"/>
          <w:shd w:val="clear" w:color="auto" w:fill="FFFFFF"/>
          <w:lang w:val="zh-CN"/>
        </w:rPr>
        <w:t>围绕项目资金安排，项目实际列支内容与绩效目标设置方向相符，严格按照相关规定执行资金支付，各项目顺利完成。</w:t>
      </w:r>
    </w:p>
    <w:p w14:paraId="3B8CDDAB">
      <w:pPr>
        <w:spacing w:line="560" w:lineRule="exact"/>
        <w:ind w:firstLine="640" w:firstLineChars="200"/>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3.</w:t>
      </w:r>
      <w:r>
        <w:rPr>
          <w:rFonts w:hint="eastAsia" w:ascii="仿宋_GB2312" w:hAnsi="仿宋_GB2312" w:eastAsia="仿宋_GB2312" w:cs="仿宋_GB2312"/>
          <w:color w:val="000000"/>
          <w:kern w:val="0"/>
          <w:sz w:val="32"/>
          <w:szCs w:val="32"/>
          <w:shd w:val="clear" w:color="auto" w:fill="FFFFFF"/>
          <w:lang w:val="zh-CN"/>
        </w:rPr>
        <w:t>目标实现。以上两项资金</w:t>
      </w:r>
      <w:r>
        <w:rPr>
          <w:rFonts w:hint="eastAsia" w:ascii="仿宋_GB2312" w:hAnsi="仿宋_GB2312" w:eastAsia="仿宋_GB2312" w:cs="仿宋_GB2312"/>
          <w:sz w:val="32"/>
          <w:szCs w:val="32"/>
          <w:lang w:val="zh-CN"/>
        </w:rPr>
        <w:t>按照进度有效使用</w:t>
      </w:r>
      <w:r>
        <w:rPr>
          <w:rFonts w:hint="eastAsia" w:ascii="仿宋_GB2312" w:hAnsi="仿宋_GB2312" w:eastAsia="仿宋_GB2312" w:cs="仿宋_GB2312"/>
          <w:color w:val="000000"/>
          <w:kern w:val="0"/>
          <w:sz w:val="32"/>
          <w:szCs w:val="32"/>
          <w:shd w:val="clear" w:color="auto" w:fill="FFFFFF"/>
          <w:lang w:val="zh-CN"/>
        </w:rPr>
        <w:t>项目资金，</w:t>
      </w:r>
      <w:r>
        <w:rPr>
          <w:rFonts w:hint="eastAsia" w:ascii="仿宋_GB2312" w:hAnsi="仿宋_GB2312" w:eastAsia="仿宋_GB2312" w:cs="仿宋_GB2312"/>
          <w:sz w:val="32"/>
          <w:szCs w:val="32"/>
          <w:lang w:val="zh-CN"/>
        </w:rPr>
        <w:t>完成预期指标值。</w:t>
      </w:r>
      <w:r>
        <w:rPr>
          <w:rFonts w:hint="eastAsia" w:ascii="仿宋_GB2312" w:hAnsi="仿宋_GB2312" w:eastAsia="仿宋_GB2312" w:cs="仿宋_GB2312"/>
          <w:color w:val="auto"/>
          <w:sz w:val="32"/>
          <w:szCs w:val="32"/>
          <w:lang w:eastAsia="zh-CN"/>
        </w:rPr>
        <w:t>有效的推进了政务服务工作，提升政务服务效能</w:t>
      </w:r>
      <w:r>
        <w:rPr>
          <w:rFonts w:hint="eastAsia" w:ascii="仿宋_GB2312" w:hAnsi="仿宋_GB2312" w:eastAsia="仿宋_GB2312" w:cs="仿宋_GB2312"/>
          <w:color w:val="auto"/>
          <w:sz w:val="32"/>
          <w:szCs w:val="32"/>
        </w:rPr>
        <w:t>。</w:t>
      </w:r>
    </w:p>
    <w:p w14:paraId="248D35C8">
      <w:pPr>
        <w:widowControl/>
        <w:adjustRightInd w:val="0"/>
        <w:snapToGrid w:val="0"/>
        <w:spacing w:line="578" w:lineRule="exact"/>
        <w:ind w:firstLine="643" w:firstLineChars="200"/>
        <w:contextualSpacing/>
        <w:jc w:val="left"/>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（三）重点领域绩效分析。</w:t>
      </w:r>
    </w:p>
    <w:p w14:paraId="740029EE">
      <w:pPr>
        <w:widowControl/>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eastAsia="zh-CN"/>
        </w:rPr>
      </w:pPr>
      <w:r>
        <w:rPr>
          <w:rFonts w:hint="eastAsia" w:ascii="仿宋_GB2312" w:hAnsi="仿宋_GB2312" w:eastAsia="仿宋_GB2312" w:cs="仿宋_GB2312"/>
          <w:b w:val="0"/>
          <w:bCs w:val="0"/>
          <w:color w:val="000000"/>
          <w:kern w:val="0"/>
          <w:sz w:val="32"/>
          <w:szCs w:val="32"/>
          <w:shd w:val="clear" w:color="auto" w:fill="FFFFFF"/>
          <w:lang w:val="en-US" w:eastAsia="zh-CN"/>
        </w:rPr>
        <w:t>2024年度茂县行政审批和政务服务管理局无重点领域项目。</w:t>
      </w:r>
    </w:p>
    <w:p w14:paraId="2CECE745">
      <w:pPr>
        <w:widowControl/>
        <w:adjustRightInd w:val="0"/>
        <w:snapToGrid w:val="0"/>
        <w:spacing w:line="578" w:lineRule="exact"/>
        <w:ind w:firstLine="643" w:firstLineChars="200"/>
        <w:contextualSpacing/>
        <w:jc w:val="left"/>
        <w:rPr>
          <w:rFonts w:hint="eastAsia" w:ascii="仿宋_GB2312" w:hAnsi="仿宋_GB2312" w:eastAsia="仿宋_GB2312" w:cs="仿宋_GB2312"/>
          <w:b/>
          <w:sz w:val="32"/>
          <w:szCs w:val="32"/>
        </w:rPr>
      </w:pPr>
      <w:r>
        <w:rPr>
          <w:rFonts w:hint="eastAsia" w:ascii="仿宋_GB2312" w:hAnsi="仿宋_GB2312" w:eastAsia="仿宋_GB2312" w:cs="仿宋_GB2312"/>
          <w:b/>
          <w:bCs/>
          <w:sz w:val="32"/>
          <w:szCs w:val="32"/>
          <w:lang w:val="zh-CN"/>
        </w:rPr>
        <w:t>（四）绩效结果应用情况。</w:t>
      </w:r>
      <w:r>
        <w:rPr>
          <w:rFonts w:hint="eastAsia" w:ascii="仿宋_GB2312" w:hAnsi="仿宋_GB2312" w:eastAsia="仿宋_GB2312" w:cs="仿宋_GB2312"/>
          <w:color w:val="000000"/>
          <w:kern w:val="0"/>
          <w:sz w:val="32"/>
          <w:szCs w:val="32"/>
          <w:shd w:val="clear" w:color="auto" w:fill="FFFFFF"/>
          <w:lang w:val="zh-CN"/>
        </w:rPr>
        <w:t>加强绩效自评结果应用，高度重视自评发现的问题，认真整改，通过不断完善现有政策、调整优化重点支持方向、严格预算绩效管理的全流程规范执行等手段逐步提升绩效自评工作质量。建立绩效自评结果与年度预算安排和政策调整挂钩机制，将绩效自评结果作为申请及分配预算资金、调整完善政策和改进管理的重要依据，强化绩效评价结果对预算安排的刚</w:t>
      </w:r>
      <w:bookmarkStart w:id="1" w:name="_GoBack"/>
      <w:bookmarkEnd w:id="1"/>
      <w:r>
        <w:rPr>
          <w:rFonts w:hint="eastAsia" w:ascii="仿宋_GB2312" w:hAnsi="仿宋_GB2312" w:eastAsia="仿宋_GB2312" w:cs="仿宋_GB2312"/>
          <w:color w:val="000000"/>
          <w:kern w:val="0"/>
          <w:sz w:val="32"/>
          <w:szCs w:val="32"/>
          <w:shd w:val="clear" w:color="auto" w:fill="FFFFFF"/>
          <w:lang w:val="zh-CN"/>
        </w:rPr>
        <w:t>性约束，激发预算绩效管理的内生动力。严格按照预算绩效管理和信息公开相关工作要求，逐步推进绩效目标、评价结果等信息公开，明确工作程序，规范工作要求，做好宣传引导，主动接受社会监督。</w:t>
      </w:r>
    </w:p>
    <w:p w14:paraId="2F88177F">
      <w:pPr>
        <w:widowControl/>
        <w:adjustRightInd w:val="0"/>
        <w:snapToGrid w:val="0"/>
        <w:spacing w:line="578" w:lineRule="exact"/>
        <w:ind w:firstLine="643" w:firstLineChars="200"/>
        <w:contextualSpacing/>
        <w:jc w:val="left"/>
        <w:rPr>
          <w:rFonts w:hint="eastAsia" w:ascii="仿宋_GB2312" w:hAnsi="仿宋_GB2312" w:eastAsia="仿宋_GB2312" w:cs="仿宋_GB2312"/>
          <w:b/>
          <w:bCs/>
          <w:color w:val="000000"/>
          <w:kern w:val="0"/>
          <w:sz w:val="32"/>
          <w:szCs w:val="32"/>
          <w:shd w:val="clear" w:color="auto" w:fill="FFFFFF"/>
        </w:rPr>
      </w:pPr>
      <w:r>
        <w:rPr>
          <w:rFonts w:hint="eastAsia" w:ascii="仿宋_GB2312" w:hAnsi="仿宋_GB2312" w:eastAsia="仿宋_GB2312" w:cs="仿宋_GB2312"/>
          <w:b/>
          <w:bCs/>
          <w:color w:val="000000"/>
          <w:kern w:val="0"/>
          <w:sz w:val="32"/>
          <w:szCs w:val="32"/>
          <w:shd w:val="clear" w:color="auto" w:fill="FFFFFF"/>
        </w:rPr>
        <w:t>四、评价结论及建议</w:t>
      </w:r>
    </w:p>
    <w:p w14:paraId="5F475100">
      <w:pPr>
        <w:adjustRightInd w:val="0"/>
        <w:snapToGrid w:val="0"/>
        <w:spacing w:beforeLines="30" w:line="580" w:lineRule="exact"/>
        <w:ind w:firstLine="675" w:firstLineChars="21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bCs/>
          <w:color w:val="000000"/>
          <w:kern w:val="0"/>
          <w:sz w:val="32"/>
          <w:szCs w:val="32"/>
          <w:shd w:val="clear" w:color="auto" w:fill="FFFFFF"/>
          <w:lang w:val="zh-CN"/>
        </w:rPr>
        <w:t>（一）评价结论。</w:t>
      </w:r>
      <w:r>
        <w:rPr>
          <w:rFonts w:hint="eastAsia" w:ascii="仿宋_GB2312" w:hAnsi="仿宋_GB2312" w:eastAsia="仿宋_GB2312" w:cs="仿宋_GB2312"/>
          <w:color w:val="auto"/>
          <w:kern w:val="0"/>
          <w:sz w:val="32"/>
          <w:szCs w:val="32"/>
        </w:rPr>
        <w:t>202</w:t>
      </w:r>
      <w:r>
        <w:rPr>
          <w:rFonts w:hint="eastAsia" w:ascii="仿宋_GB2312" w:hAnsi="仿宋_GB2312" w:eastAsia="仿宋_GB2312" w:cs="仿宋_GB2312"/>
          <w:color w:val="auto"/>
          <w:kern w:val="0"/>
          <w:sz w:val="32"/>
          <w:szCs w:val="32"/>
          <w:lang w:val="en-US" w:eastAsia="zh-CN"/>
        </w:rPr>
        <w:t>4</w:t>
      </w:r>
      <w:r>
        <w:rPr>
          <w:rFonts w:hint="eastAsia" w:ascii="仿宋_GB2312" w:hAnsi="仿宋_GB2312" w:eastAsia="仿宋_GB2312" w:cs="仿宋_GB2312"/>
          <w:color w:val="auto"/>
          <w:kern w:val="0"/>
          <w:sz w:val="32"/>
          <w:szCs w:val="32"/>
        </w:rPr>
        <w:t>年我单位部门整体支出绩效评价自查自评结果良好，全年基本支出保证了部门的正常运行和日常工作的正常开展，项目支出保障了重点工作的开展，达到预期绩效目标。</w:t>
      </w:r>
    </w:p>
    <w:p w14:paraId="4E9B79B9">
      <w:pPr>
        <w:adjustRightInd w:val="0"/>
        <w:snapToGrid w:val="0"/>
        <w:spacing w:beforeLines="30" w:line="580" w:lineRule="exact"/>
        <w:ind w:firstLine="675" w:firstLineChars="21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bCs/>
          <w:color w:val="000000"/>
          <w:kern w:val="0"/>
          <w:sz w:val="32"/>
          <w:szCs w:val="32"/>
          <w:shd w:val="clear" w:color="auto" w:fill="FFFFFF"/>
          <w:lang w:val="zh-CN"/>
        </w:rPr>
        <w:t>（二）存在问题。</w:t>
      </w:r>
      <w:r>
        <w:rPr>
          <w:rFonts w:hint="eastAsia" w:ascii="仿宋_GB2312" w:hAnsi="仿宋_GB2312" w:eastAsia="仿宋_GB2312" w:cs="仿宋_GB2312"/>
          <w:color w:val="auto"/>
          <w:kern w:val="0"/>
          <w:sz w:val="32"/>
          <w:szCs w:val="32"/>
        </w:rPr>
        <w:t>预算编制需完善，绩效目标的制定有待更科学更合理。</w:t>
      </w:r>
    </w:p>
    <w:p w14:paraId="5756F085">
      <w:pPr>
        <w:widowControl/>
        <w:adjustRightInd w:val="0"/>
        <w:snapToGrid w:val="0"/>
        <w:spacing w:line="578" w:lineRule="exact"/>
        <w:ind w:firstLine="643" w:firstLineChars="200"/>
        <w:contextualSpacing/>
        <w:jc w:val="left"/>
        <w:rPr>
          <w:rFonts w:hint="eastAsia" w:ascii="仿宋_GB2312" w:hAnsi="仿宋_GB2312" w:eastAsia="仿宋_GB2312" w:cs="仿宋_GB2312"/>
          <w:kern w:val="0"/>
          <w:sz w:val="32"/>
          <w:szCs w:val="32"/>
          <w:lang w:val="en"/>
        </w:rPr>
      </w:pPr>
      <w:r>
        <w:rPr>
          <w:rFonts w:hint="eastAsia" w:ascii="仿宋_GB2312" w:hAnsi="仿宋_GB2312" w:eastAsia="仿宋_GB2312" w:cs="仿宋_GB2312"/>
          <w:b/>
          <w:bCs/>
          <w:color w:val="000000"/>
          <w:kern w:val="0"/>
          <w:sz w:val="32"/>
          <w:szCs w:val="32"/>
          <w:shd w:val="clear" w:color="auto" w:fill="FFFFFF"/>
          <w:lang w:val="zh-CN"/>
        </w:rPr>
        <w:t>（三）改进建议。</w:t>
      </w:r>
      <w:bookmarkStart w:id="0" w:name="_Hlk110546638"/>
      <w:r>
        <w:rPr>
          <w:rFonts w:hint="eastAsia" w:ascii="仿宋_GB2312" w:hAnsi="仿宋_GB2312" w:eastAsia="仿宋_GB2312" w:cs="仿宋_GB2312"/>
          <w:color w:val="auto"/>
          <w:kern w:val="0"/>
          <w:sz w:val="32"/>
          <w:szCs w:val="32"/>
        </w:rPr>
        <w:t>针对存在的问题，我们将进一步科学设定绩效目标，加强预算执行管理。一是改进部门收支预算编制，夯实预算基础工作，提高预算编制质量；二是认真研究政策，加强项目绩效目标审核，力求科学合理；三是认真研究重点项目的执行，特别是涉及政府采购的项目，提早规划，提前实施，确保项目顺利实施，提高财政资金的使用效益。</w:t>
      </w:r>
    </w:p>
    <w:bookmarkEnd w:id="0"/>
    <w:p w14:paraId="32929682">
      <w:pPr>
        <w:pStyle w:val="2"/>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附表：</w:t>
      </w:r>
      <w:r>
        <w:rPr>
          <w:rFonts w:hint="eastAsia" w:ascii="仿宋_GB2312" w:hAnsi="仿宋_GB2312" w:eastAsia="仿宋_GB2312" w:cs="仿宋_GB2312"/>
          <w:color w:val="000000"/>
          <w:kern w:val="0"/>
          <w:sz w:val="32"/>
          <w:szCs w:val="32"/>
          <w:shd w:val="clear" w:color="auto" w:fill="FFFFFF"/>
          <w:lang w:val="en-US" w:eastAsia="zh-CN"/>
        </w:rPr>
        <w:t>1.</w:t>
      </w:r>
      <w:r>
        <w:rPr>
          <w:rFonts w:hint="eastAsia" w:ascii="仿宋_GB2312" w:hAnsi="仿宋_GB2312" w:eastAsia="仿宋_GB2312" w:cs="仿宋_GB2312"/>
          <w:color w:val="000000"/>
          <w:kern w:val="0"/>
          <w:sz w:val="32"/>
          <w:szCs w:val="32"/>
          <w:shd w:val="clear" w:color="auto" w:fill="FFFFFF"/>
          <w:lang w:val="en-US" w:eastAsia="zh-CN" w:bidi="ar-SA"/>
        </w:rPr>
        <w:t>专项预算项目绩效评价指标体系</w:t>
      </w:r>
    </w:p>
    <w:p w14:paraId="4CA96C25">
      <w:pPr>
        <w:widowControl/>
        <w:numPr>
          <w:ilvl w:val="0"/>
          <w:numId w:val="0"/>
        </w:numPr>
        <w:adjustRightInd w:val="0"/>
        <w:snapToGrid w:val="0"/>
        <w:spacing w:line="578" w:lineRule="exact"/>
        <w:ind w:firstLine="1600" w:firstLineChars="500"/>
        <w:contextualSpacing/>
        <w:jc w:val="left"/>
        <w:rPr>
          <w:rFonts w:hint="eastAsia" w:ascii="仿宋" w:hAnsi="仿宋" w:eastAsia="仿宋" w:cs="仿宋"/>
          <w:color w:val="auto"/>
          <w:kern w:val="0"/>
          <w:lang w:val="en-US" w:eastAsia="zh-CN"/>
        </w:rPr>
      </w:pPr>
      <w:r>
        <w:rPr>
          <w:rFonts w:hint="eastAsia" w:ascii="仿宋_GB2312" w:hAnsi="仿宋_GB2312" w:eastAsia="仿宋_GB2312" w:cs="仿宋_GB2312"/>
          <w:color w:val="000000"/>
          <w:kern w:val="0"/>
          <w:sz w:val="32"/>
          <w:szCs w:val="32"/>
          <w:shd w:val="clear" w:color="auto" w:fill="FFFFFF"/>
          <w:lang w:val="en-US" w:eastAsia="zh-CN"/>
        </w:rPr>
        <w:t>2.</w:t>
      </w:r>
      <w:r>
        <w:rPr>
          <w:rFonts w:hint="eastAsia" w:ascii="仿宋_GB2312" w:hAnsi="仿宋_GB2312" w:eastAsia="仿宋_GB2312" w:cs="仿宋_GB2312"/>
          <w:color w:val="000000"/>
          <w:kern w:val="0"/>
          <w:sz w:val="32"/>
          <w:szCs w:val="32"/>
          <w:shd w:val="clear" w:color="auto" w:fill="FFFFFF"/>
        </w:rPr>
        <w:t>部门整体支出绩效目标完成情况自评表</w:t>
      </w:r>
      <w:r>
        <w:rPr>
          <w:rFonts w:hint="eastAsia" w:ascii="仿宋" w:hAnsi="仿宋" w:eastAsia="仿宋" w:cs="仿宋"/>
          <w:color w:val="auto"/>
          <w:kern w:val="0"/>
        </w:rPr>
        <w:t xml:space="preserve"> </w:t>
      </w:r>
      <w:r>
        <w:rPr>
          <w:rFonts w:hint="eastAsia" w:ascii="仿宋" w:hAnsi="仿宋" w:eastAsia="仿宋" w:cs="仿宋"/>
          <w:color w:val="auto"/>
          <w:kern w:val="0"/>
          <w:lang w:val="en-US" w:eastAsia="zh-CN"/>
        </w:rPr>
        <w:t xml:space="preserve">      </w:t>
      </w:r>
    </w:p>
    <w:p w14:paraId="576118D0">
      <w:pPr>
        <w:widowControl/>
        <w:numPr>
          <w:ilvl w:val="0"/>
          <w:numId w:val="0"/>
        </w:numPr>
        <w:adjustRightInd w:val="0"/>
        <w:snapToGrid w:val="0"/>
        <w:spacing w:line="578" w:lineRule="exact"/>
        <w:contextualSpacing/>
        <w:jc w:val="left"/>
        <w:rPr>
          <w:rFonts w:hint="eastAsia" w:ascii="仿宋_GB2312" w:hAnsi="仿宋_GB2312" w:eastAsia="仿宋_GB2312" w:cs="仿宋_GB2312"/>
          <w:color w:val="auto"/>
          <w:kern w:val="0"/>
          <w:sz w:val="32"/>
          <w:szCs w:val="32"/>
          <w:lang w:val="en-US" w:eastAsia="zh-CN"/>
        </w:rPr>
      </w:pPr>
      <w:r>
        <w:rPr>
          <w:rFonts w:hint="eastAsia" w:ascii="仿宋" w:hAnsi="仿宋" w:eastAsia="仿宋" w:cs="仿宋"/>
          <w:color w:val="auto"/>
          <w:kern w:val="0"/>
          <w:lang w:val="en-US" w:eastAsia="zh-CN"/>
        </w:rPr>
        <w:t xml:space="preserve">               </w:t>
      </w:r>
      <w:r>
        <w:rPr>
          <w:rFonts w:hint="eastAsia" w:ascii="仿宋_GB2312" w:hAnsi="仿宋_GB2312" w:eastAsia="仿宋_GB2312" w:cs="仿宋_GB2312"/>
          <w:color w:val="auto"/>
          <w:kern w:val="0"/>
          <w:sz w:val="32"/>
          <w:szCs w:val="32"/>
          <w:lang w:val="en-US" w:eastAsia="zh-CN"/>
        </w:rPr>
        <w:t xml:space="preserve"> </w:t>
      </w:r>
    </w:p>
    <w:p w14:paraId="18D10282">
      <w:pPr>
        <w:widowControl/>
        <w:adjustRightInd w:val="0"/>
        <w:snapToGrid w:val="0"/>
        <w:spacing w:line="578" w:lineRule="exact"/>
        <w:ind w:firstLine="3520" w:firstLineChars="1100"/>
        <w:contextualSpacing/>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茂县行政审批</w:t>
      </w:r>
      <w:r>
        <w:rPr>
          <w:rFonts w:hint="eastAsia" w:ascii="仿宋_GB2312" w:hAnsi="仿宋_GB2312" w:eastAsia="仿宋_GB2312" w:cs="仿宋_GB2312"/>
          <w:color w:val="auto"/>
          <w:kern w:val="0"/>
          <w:sz w:val="32"/>
          <w:szCs w:val="32"/>
          <w:lang w:eastAsia="zh-CN"/>
        </w:rPr>
        <w:t>和政务服务管理</w:t>
      </w:r>
      <w:r>
        <w:rPr>
          <w:rFonts w:hint="eastAsia" w:ascii="仿宋_GB2312" w:hAnsi="仿宋_GB2312" w:eastAsia="仿宋_GB2312" w:cs="仿宋_GB2312"/>
          <w:color w:val="auto"/>
          <w:kern w:val="0"/>
          <w:sz w:val="32"/>
          <w:szCs w:val="32"/>
        </w:rPr>
        <w:t>局</w:t>
      </w:r>
    </w:p>
    <w:p w14:paraId="2380BAFE">
      <w:pPr>
        <w:widowControl/>
        <w:adjustRightInd w:val="0"/>
        <w:snapToGrid w:val="0"/>
        <w:spacing w:line="578" w:lineRule="exact"/>
        <w:ind w:firstLine="640" w:firstLineChars="200"/>
        <w:contextualSpacing/>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xml:space="preserve">                          202</w:t>
      </w:r>
      <w:r>
        <w:rPr>
          <w:rFonts w:hint="eastAsia" w:ascii="仿宋_GB2312" w:hAnsi="仿宋_GB2312" w:eastAsia="仿宋_GB2312" w:cs="仿宋_GB2312"/>
          <w:color w:val="auto"/>
          <w:kern w:val="0"/>
          <w:sz w:val="32"/>
          <w:szCs w:val="32"/>
          <w:lang w:val="en-US" w:eastAsia="zh-CN"/>
        </w:rPr>
        <w:t>5</w:t>
      </w:r>
      <w:r>
        <w:rPr>
          <w:rFonts w:hint="eastAsia" w:ascii="仿宋_GB2312" w:hAnsi="仿宋_GB2312" w:eastAsia="仿宋_GB2312" w:cs="仿宋_GB2312"/>
          <w:color w:val="auto"/>
          <w:kern w:val="0"/>
          <w:sz w:val="32"/>
          <w:szCs w:val="32"/>
        </w:rPr>
        <w:t>年</w:t>
      </w:r>
      <w:r>
        <w:rPr>
          <w:rFonts w:hint="eastAsia" w:ascii="仿宋_GB2312" w:hAnsi="仿宋_GB2312" w:eastAsia="仿宋_GB2312" w:cs="仿宋_GB2312"/>
          <w:color w:val="auto"/>
          <w:kern w:val="0"/>
          <w:sz w:val="32"/>
          <w:szCs w:val="32"/>
          <w:lang w:val="en-US" w:eastAsia="zh-CN"/>
        </w:rPr>
        <w:t>9</w:t>
      </w:r>
      <w:r>
        <w:rPr>
          <w:rFonts w:hint="eastAsia" w:ascii="仿宋_GB2312" w:hAnsi="仿宋_GB2312" w:eastAsia="仿宋_GB2312" w:cs="仿宋_GB2312"/>
          <w:color w:val="auto"/>
          <w:kern w:val="0"/>
          <w:sz w:val="32"/>
          <w:szCs w:val="32"/>
        </w:rPr>
        <w:t>月</w:t>
      </w:r>
      <w:r>
        <w:rPr>
          <w:rFonts w:hint="eastAsia" w:ascii="仿宋_GB2312" w:hAnsi="仿宋_GB2312" w:eastAsia="仿宋_GB2312" w:cs="仿宋_GB2312"/>
          <w:color w:val="auto"/>
          <w:kern w:val="0"/>
          <w:sz w:val="32"/>
          <w:szCs w:val="32"/>
          <w:lang w:val="en-US" w:eastAsia="zh-CN"/>
        </w:rPr>
        <w:t>25</w:t>
      </w:r>
      <w:r>
        <w:rPr>
          <w:rFonts w:hint="eastAsia" w:ascii="仿宋_GB2312" w:hAnsi="仿宋_GB2312" w:eastAsia="仿宋_GB2312" w:cs="仿宋_GB2312"/>
          <w:color w:val="auto"/>
          <w:kern w:val="0"/>
          <w:sz w:val="32"/>
          <w:szCs w:val="32"/>
        </w:rPr>
        <w:t>日</w:t>
      </w:r>
    </w:p>
    <w:p w14:paraId="027957A1">
      <w:pPr>
        <w:pStyle w:val="2"/>
        <w:rPr>
          <w:rFonts w:hint="eastAsia" w:ascii="仿宋_GB2312" w:hAnsi="仿宋_GB2312" w:eastAsia="仿宋_GB2312" w:cs="仿宋_GB2312"/>
          <w:color w:val="auto"/>
          <w:kern w:val="0"/>
          <w:sz w:val="32"/>
          <w:szCs w:val="32"/>
        </w:rPr>
      </w:pPr>
    </w:p>
    <w:p w14:paraId="5F7EBE58">
      <w:pPr>
        <w:pStyle w:val="2"/>
        <w:rPr>
          <w:rFonts w:hint="eastAsia" w:ascii="仿宋_GB2312" w:hAnsi="仿宋_GB2312" w:eastAsia="仿宋_GB2312" w:cs="仿宋_GB2312"/>
          <w:color w:val="auto"/>
          <w:kern w:val="0"/>
          <w:sz w:val="32"/>
          <w:szCs w:val="32"/>
        </w:rPr>
      </w:pPr>
    </w:p>
    <w:p w14:paraId="72E3B6B8">
      <w:pPr>
        <w:pStyle w:val="2"/>
        <w:rPr>
          <w:rFonts w:hint="eastAsia" w:ascii="仿宋_GB2312" w:hAnsi="仿宋_GB2312" w:eastAsia="仿宋_GB2312" w:cs="仿宋_GB2312"/>
          <w:color w:val="auto"/>
          <w:kern w:val="0"/>
          <w:sz w:val="32"/>
          <w:szCs w:val="32"/>
        </w:rPr>
      </w:pPr>
    </w:p>
    <w:p w14:paraId="33F029A5">
      <w:pPr>
        <w:pStyle w:val="2"/>
        <w:rPr>
          <w:rFonts w:hint="eastAsia" w:ascii="仿宋_GB2312" w:hAnsi="仿宋_GB2312" w:eastAsia="仿宋_GB2312" w:cs="仿宋_GB2312"/>
          <w:color w:val="auto"/>
          <w:kern w:val="0"/>
          <w:sz w:val="32"/>
          <w:szCs w:val="32"/>
        </w:rPr>
      </w:pPr>
    </w:p>
    <w:p w14:paraId="7BE588B0">
      <w:pPr>
        <w:pStyle w:val="2"/>
        <w:rPr>
          <w:rFonts w:hint="eastAsia" w:ascii="仿宋_GB2312" w:hAnsi="仿宋_GB2312" w:eastAsia="仿宋_GB2312" w:cs="仿宋_GB2312"/>
          <w:color w:val="auto"/>
          <w:kern w:val="0"/>
          <w:sz w:val="32"/>
          <w:szCs w:val="32"/>
        </w:rPr>
      </w:pPr>
    </w:p>
    <w:p w14:paraId="43315A34">
      <w:pPr>
        <w:pStyle w:val="2"/>
        <w:rPr>
          <w:rFonts w:hint="eastAsia" w:ascii="仿宋_GB2312" w:hAnsi="仿宋_GB2312" w:eastAsia="仿宋_GB2312" w:cs="仿宋_GB2312"/>
          <w:color w:val="auto"/>
          <w:kern w:val="0"/>
          <w:sz w:val="32"/>
          <w:szCs w:val="32"/>
        </w:rPr>
        <w:sectPr>
          <w:footerReference r:id="rId6" w:type="default"/>
          <w:pgSz w:w="11906" w:h="16838"/>
          <w:pgMar w:top="1440" w:right="1800" w:bottom="1440" w:left="1800" w:header="851" w:footer="992" w:gutter="0"/>
          <w:pgNumType w:fmt="decimal" w:start="1"/>
          <w:cols w:space="425" w:num="1"/>
          <w:docGrid w:type="lines" w:linePitch="312" w:charSpace="0"/>
        </w:sectPr>
      </w:pPr>
    </w:p>
    <w:p w14:paraId="2BDBF09B">
      <w:pPr>
        <w:pStyle w:val="2"/>
        <w:ind w:left="0" w:leftChars="0" w:firstLine="0" w:firstLineChars="0"/>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eastAsia="zh-CN"/>
        </w:rPr>
        <w:t>附件</w:t>
      </w:r>
    </w:p>
    <w:tbl>
      <w:tblPr>
        <w:tblStyle w:val="1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8"/>
        <w:gridCol w:w="718"/>
        <w:gridCol w:w="465"/>
        <w:gridCol w:w="721"/>
        <w:gridCol w:w="696"/>
        <w:gridCol w:w="1102"/>
        <w:gridCol w:w="953"/>
        <w:gridCol w:w="2739"/>
        <w:gridCol w:w="465"/>
        <w:gridCol w:w="465"/>
        <w:gridCol w:w="465"/>
        <w:gridCol w:w="465"/>
        <w:gridCol w:w="465"/>
        <w:gridCol w:w="465"/>
        <w:gridCol w:w="465"/>
        <w:gridCol w:w="465"/>
        <w:gridCol w:w="465"/>
        <w:gridCol w:w="465"/>
        <w:gridCol w:w="465"/>
        <w:gridCol w:w="482"/>
        <w:gridCol w:w="465"/>
      </w:tblGrid>
      <w:tr w14:paraId="34E6D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jc w:val="center"/>
        </w:trPr>
        <w:tc>
          <w:tcPr>
            <w:tcW w:w="0" w:type="auto"/>
            <w:tcBorders>
              <w:top w:val="nil"/>
              <w:left w:val="nil"/>
              <w:bottom w:val="nil"/>
              <w:right w:val="nil"/>
            </w:tcBorders>
            <w:shd w:val="clear" w:color="auto" w:fill="auto"/>
            <w:vAlign w:val="center"/>
          </w:tcPr>
          <w:p w14:paraId="0CABDD26">
            <w:pPr>
              <w:keepNext w:val="0"/>
              <w:keepLines w:val="0"/>
              <w:widowControl/>
              <w:suppressLineNumbers w:val="0"/>
              <w:jc w:val="left"/>
              <w:textAlignment w:val="center"/>
              <w:rPr>
                <w:rFonts w:hint="eastAsia" w:ascii="黑体" w:hAnsi="宋体" w:eastAsia="黑体" w:cs="黑体"/>
                <w:i w:val="0"/>
                <w:iCs w:val="0"/>
                <w:color w:val="000000"/>
                <w:sz w:val="32"/>
                <w:szCs w:val="32"/>
                <w:u w:val="none"/>
                <w:lang w:eastAsia="zh-CN"/>
              </w:rPr>
            </w:pPr>
          </w:p>
        </w:tc>
        <w:tc>
          <w:tcPr>
            <w:tcW w:w="0" w:type="auto"/>
            <w:tcBorders>
              <w:top w:val="nil"/>
              <w:left w:val="nil"/>
              <w:bottom w:val="nil"/>
              <w:right w:val="nil"/>
            </w:tcBorders>
            <w:shd w:val="clear" w:color="auto" w:fill="auto"/>
            <w:vAlign w:val="center"/>
          </w:tcPr>
          <w:p w14:paraId="15A5D020">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14:paraId="30810B45">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14:paraId="53B7E975">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14:paraId="2BDFC995">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14:paraId="1F377280">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14:paraId="64D62870">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14:paraId="1476571F">
            <w:pPr>
              <w:jc w:val="left"/>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14:paraId="2925410B">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14:paraId="5BD85786">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14:paraId="71AB4814">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14:paraId="3A722310">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14:paraId="45DC8571">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14:paraId="35D23A8F">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14:paraId="7E155520">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14:paraId="1D31F460">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14:paraId="35CDCB0C">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14:paraId="369CECFD">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14:paraId="2A5E6C56">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14:paraId="4CE8E710">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14:paraId="79020CF0">
            <w:pPr>
              <w:jc w:val="center"/>
              <w:rPr>
                <w:rFonts w:hint="eastAsia" w:ascii="宋体" w:hAnsi="宋体" w:eastAsia="宋体" w:cs="宋体"/>
                <w:i w:val="0"/>
                <w:iCs w:val="0"/>
                <w:color w:val="000000"/>
                <w:sz w:val="24"/>
                <w:szCs w:val="24"/>
                <w:u w:val="none"/>
              </w:rPr>
            </w:pPr>
          </w:p>
        </w:tc>
      </w:tr>
      <w:tr w14:paraId="40702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0" w:type="auto"/>
            <w:gridSpan w:val="19"/>
            <w:tcBorders>
              <w:top w:val="nil"/>
              <w:left w:val="nil"/>
              <w:bottom w:val="nil"/>
              <w:right w:val="nil"/>
            </w:tcBorders>
            <w:shd w:val="clear" w:color="auto" w:fill="auto"/>
            <w:vAlign w:val="center"/>
          </w:tcPr>
          <w:p w14:paraId="5347F74F">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48"/>
                <w:szCs w:val="48"/>
                <w:u w:val="none"/>
              </w:rPr>
            </w:pPr>
            <w:r>
              <w:rPr>
                <w:rFonts w:hint="eastAsia" w:ascii="方正小标宋简体" w:hAnsi="方正小标宋简体" w:eastAsia="方正小标宋简体" w:cs="方正小标宋简体"/>
                <w:i w:val="0"/>
                <w:iCs w:val="0"/>
                <w:color w:val="000000"/>
                <w:kern w:val="0"/>
                <w:sz w:val="48"/>
                <w:szCs w:val="48"/>
                <w:u w:val="none"/>
                <w:lang w:val="en-US" w:eastAsia="zh-CN" w:bidi="ar"/>
              </w:rPr>
              <w:t>专项预算项目绩效评价指标体系</w:t>
            </w:r>
          </w:p>
        </w:tc>
        <w:tc>
          <w:tcPr>
            <w:tcW w:w="0" w:type="auto"/>
            <w:tcBorders>
              <w:top w:val="nil"/>
              <w:left w:val="nil"/>
              <w:bottom w:val="nil"/>
              <w:right w:val="nil"/>
            </w:tcBorders>
            <w:shd w:val="clear" w:color="auto" w:fill="auto"/>
            <w:vAlign w:val="center"/>
          </w:tcPr>
          <w:p w14:paraId="3FF8A86D">
            <w:pPr>
              <w:jc w:val="center"/>
              <w:rPr>
                <w:rFonts w:hint="eastAsia" w:ascii="方正小标宋简体" w:hAnsi="方正小标宋简体" w:eastAsia="方正小标宋简体" w:cs="方正小标宋简体"/>
                <w:i w:val="0"/>
                <w:iCs w:val="0"/>
                <w:color w:val="000000"/>
                <w:sz w:val="48"/>
                <w:szCs w:val="48"/>
                <w:u w:val="none"/>
              </w:rPr>
            </w:pPr>
          </w:p>
        </w:tc>
        <w:tc>
          <w:tcPr>
            <w:tcW w:w="0" w:type="auto"/>
            <w:tcBorders>
              <w:top w:val="nil"/>
              <w:left w:val="nil"/>
              <w:bottom w:val="nil"/>
              <w:right w:val="nil"/>
            </w:tcBorders>
            <w:shd w:val="clear" w:color="auto" w:fill="auto"/>
            <w:vAlign w:val="center"/>
          </w:tcPr>
          <w:p w14:paraId="7FCC8556">
            <w:pPr>
              <w:jc w:val="center"/>
              <w:rPr>
                <w:rFonts w:hint="eastAsia" w:ascii="宋体" w:hAnsi="宋体" w:eastAsia="宋体" w:cs="宋体"/>
                <w:i w:val="0"/>
                <w:iCs w:val="0"/>
                <w:color w:val="000000"/>
                <w:sz w:val="24"/>
                <w:szCs w:val="24"/>
                <w:u w:val="none"/>
              </w:rPr>
            </w:pPr>
          </w:p>
        </w:tc>
      </w:tr>
      <w:tr w14:paraId="77EEF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0" w:type="auto"/>
            <w:gridSpan w:val="5"/>
            <w:tcBorders>
              <w:top w:val="single" w:color="000000" w:sz="4" w:space="0"/>
              <w:left w:val="single" w:color="000000" w:sz="4" w:space="0"/>
              <w:bottom w:val="nil"/>
              <w:right w:val="nil"/>
            </w:tcBorders>
            <w:shd w:val="clear" w:color="auto" w:fill="auto"/>
            <w:vAlign w:val="center"/>
          </w:tcPr>
          <w:p w14:paraId="0FC4F483">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绩效评价指标</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360440">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指标解释</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9F219A">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评分方法</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8E9949">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评分说明</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0BB577">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评价方式</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67848C">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评价属性</w:t>
            </w:r>
          </w:p>
        </w:tc>
        <w:tc>
          <w:tcPr>
            <w:tcW w:w="0" w:type="auto"/>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5E0F398">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评价标准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BEA7AB">
            <w:pPr>
              <w:jc w:val="center"/>
              <w:rPr>
                <w:rFonts w:hint="eastAsia" w:ascii="黑体" w:hAnsi="宋体" w:eastAsia="黑体" w:cs="黑体"/>
                <w:i w:val="0"/>
                <w:iCs w:val="0"/>
                <w:color w:val="000000"/>
                <w:sz w:val="24"/>
                <w:szCs w:val="24"/>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8A080D">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备注</w:t>
            </w:r>
          </w:p>
        </w:tc>
      </w:tr>
      <w:tr w14:paraId="050F2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EDD7D3">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一级指标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67A8B3">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530B34">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A65E0D">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指标</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分值</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027FC4">
            <w:pPr>
              <w:jc w:val="center"/>
              <w:rPr>
                <w:rFonts w:hint="eastAsia" w:ascii="黑体" w:hAnsi="宋体" w:eastAsia="黑体" w:cs="黑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F12E8C">
            <w:pPr>
              <w:jc w:val="center"/>
              <w:rPr>
                <w:rFonts w:hint="eastAsia" w:ascii="黑体" w:hAnsi="宋体" w:eastAsia="黑体" w:cs="黑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49B2BC">
            <w:pPr>
              <w:jc w:val="center"/>
              <w:rPr>
                <w:rFonts w:hint="eastAsia" w:ascii="黑体" w:hAnsi="宋体" w:eastAsia="黑体" w:cs="黑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7C7025">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整体</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评价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0F0D8D">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样本</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评价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87B3DE">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定性</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评价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32C5B3">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定量</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评价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9732B6">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国家</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标准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0E7AA5">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行业</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标准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2E740B">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地方</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标准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48E8CF">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申报</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标准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AC1677">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历史</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200BF6">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样本</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218248">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其他</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标准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DA1997">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自评得分</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473937">
            <w:pPr>
              <w:jc w:val="center"/>
              <w:rPr>
                <w:rFonts w:hint="eastAsia" w:ascii="黑体" w:hAnsi="宋体" w:eastAsia="黑体" w:cs="黑体"/>
                <w:i w:val="0"/>
                <w:iCs w:val="0"/>
                <w:color w:val="000000"/>
                <w:sz w:val="24"/>
                <w:szCs w:val="24"/>
                <w:u w:val="none"/>
              </w:rPr>
            </w:pPr>
          </w:p>
        </w:tc>
      </w:tr>
      <w:tr w14:paraId="3F2B8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B7E53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通用指标</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（54分）</w:t>
            </w:r>
          </w:p>
        </w:tc>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22ECC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项目决策</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（18分）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AE0B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决策程序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0E66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FA2FC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项目决策程序是否严密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B1F5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缺（错）项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扣分法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288CF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项目设立、调整延续等方面是否符合资金管理基本规范和决策程序要求，发现一处不符合的扣3分，扣完为止。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F11676">
            <w:pPr>
              <w:keepNext w:val="0"/>
              <w:keepLines w:val="0"/>
              <w:widowControl/>
              <w:suppressLineNumbers w:val="0"/>
              <w:jc w:val="center"/>
              <w:textAlignment w:val="center"/>
              <w:rPr>
                <w:rFonts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6D9103">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6FB89A">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F9435D">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598602">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2CD92E">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78FC7C">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8F83A1">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114ADC">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8144CA">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801FC6">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5CD8DE">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3185C5">
            <w:pPr>
              <w:jc w:val="center"/>
              <w:rPr>
                <w:rFonts w:hint="eastAsia" w:ascii="宋体" w:hAnsi="宋体" w:eastAsia="宋体" w:cs="宋体"/>
                <w:i w:val="0"/>
                <w:iCs w:val="0"/>
                <w:color w:val="000000"/>
                <w:sz w:val="24"/>
                <w:szCs w:val="24"/>
                <w:u w:val="none"/>
              </w:rPr>
            </w:pPr>
          </w:p>
        </w:tc>
      </w:tr>
      <w:tr w14:paraId="5860D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8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46EE27">
            <w:pPr>
              <w:jc w:val="center"/>
              <w:rPr>
                <w:rFonts w:hint="eastAsia" w:ascii="宋体" w:hAnsi="宋体" w:eastAsia="宋体" w:cs="宋体"/>
                <w:b/>
                <w:bCs/>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96D453">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B167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规划论证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252D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0DAF0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项目规划论证是否符合中省要求，项目绩效目标设置是否科学合理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8591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缺（错）项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扣分法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E9519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1.项目规划符合中央、省委省政府有关决策部署安排，得1分；充分评估论证项目立项必要性、前瞻性、合理性和可行性，得3分。否则该项不得分。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总体绩效目标设置合理性的偏离度≤15%，得2分；30%≥偏离度＞15%，得1分；偏离度＞30%，不得分。绩效目标是否科学合理、规范完整、量化细化、预算匹配。总体绩效目标设置合理性为绩效目标设置合理的数量与绩效目标总数的比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6DF38E">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DAF232">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0A1B19">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DF0E97">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50F951">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F3797E">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C12D06">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CA9AC7">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D5873C">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5985B0">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C80BCA">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4E7410">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777506">
            <w:pPr>
              <w:jc w:val="center"/>
              <w:rPr>
                <w:rFonts w:hint="eastAsia" w:ascii="宋体" w:hAnsi="宋体" w:eastAsia="宋体" w:cs="宋体"/>
                <w:i w:val="0"/>
                <w:iCs w:val="0"/>
                <w:color w:val="000000"/>
                <w:sz w:val="24"/>
                <w:szCs w:val="24"/>
                <w:u w:val="none"/>
              </w:rPr>
            </w:pPr>
          </w:p>
        </w:tc>
      </w:tr>
      <w:tr w14:paraId="39101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BDC0E3">
            <w:pPr>
              <w:jc w:val="center"/>
              <w:rPr>
                <w:rFonts w:hint="eastAsia" w:ascii="宋体" w:hAnsi="宋体" w:eastAsia="宋体" w:cs="宋体"/>
                <w:b/>
                <w:bCs/>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2D74B9">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6676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资金投向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7B3E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D5B9C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项目资金是否与项目总体规划、相关行业事业发展相匹配，是否聚焦重大任务、重点领域、重点环节和重点项目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AD6A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缺（错）项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扣分法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EC9E3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属于政府支持范围，且符合财政事权支出责任划分规定，得1分；资金投向与项目总体规划、相关行业事业发展相匹配，得1分；聚焦重大任务、重点领域、重点环节和重点项目，体现“集中财力办大事”原则，避免“撒胡椒面”，得3分；未与其他同类项目或部门内部相关项目交叉重复，得1分。否则该项不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AFE8D3">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0528D4">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4910A2">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4231B5">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40633E">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CFE470">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5669F6">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9625A1">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04DEE9">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6A368E">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5BC45B">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C3155D">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7EE4DD">
            <w:pPr>
              <w:jc w:val="center"/>
              <w:rPr>
                <w:rFonts w:hint="eastAsia" w:ascii="宋体" w:hAnsi="宋体" w:eastAsia="宋体" w:cs="宋体"/>
                <w:i w:val="0"/>
                <w:iCs w:val="0"/>
                <w:color w:val="000000"/>
                <w:sz w:val="24"/>
                <w:szCs w:val="24"/>
                <w:u w:val="none"/>
              </w:rPr>
            </w:pPr>
          </w:p>
        </w:tc>
      </w:tr>
      <w:tr w14:paraId="20EC6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BC5702">
            <w:pPr>
              <w:jc w:val="center"/>
              <w:rPr>
                <w:rFonts w:hint="eastAsia" w:ascii="宋体" w:hAnsi="宋体" w:eastAsia="宋体" w:cs="宋体"/>
                <w:b/>
                <w:bCs/>
                <w:i w:val="0"/>
                <w:iCs w:val="0"/>
                <w:color w:val="000000"/>
                <w:sz w:val="24"/>
                <w:szCs w:val="24"/>
                <w:u w:val="none"/>
              </w:rPr>
            </w:pPr>
          </w:p>
        </w:tc>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5DE59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项目管理</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（18分）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D1EF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制度办法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3C5D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21DE6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项目制度办法是否体系健全、要素完备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45F1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是否评分法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52B95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资金管理办法等管理制度体系健全完善，不存在管理制度缺失、管理办法过期情况，得2分。否则该项不得分。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99A95A">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0EDB62">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542329">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EC2321">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BF0D9F">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C1DAE1">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FEF908">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FD1A60">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114E04">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23BE58">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4D6045">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6AEE77">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E3D431">
            <w:pPr>
              <w:jc w:val="center"/>
              <w:rPr>
                <w:rFonts w:hint="eastAsia" w:ascii="宋体" w:hAnsi="宋体" w:eastAsia="宋体" w:cs="宋体"/>
                <w:i w:val="0"/>
                <w:iCs w:val="0"/>
                <w:color w:val="000000"/>
                <w:sz w:val="24"/>
                <w:szCs w:val="24"/>
                <w:u w:val="none"/>
              </w:rPr>
            </w:pPr>
          </w:p>
        </w:tc>
      </w:tr>
      <w:tr w14:paraId="50C43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D84E59">
            <w:pPr>
              <w:jc w:val="center"/>
              <w:rPr>
                <w:rFonts w:hint="eastAsia" w:ascii="宋体" w:hAnsi="宋体" w:eastAsia="宋体" w:cs="宋体"/>
                <w:b/>
                <w:bCs/>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B49367">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07ED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分配管理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3BF9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6D154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项目资金分配因素选取、权重设置、区域分布，项目管理、审批是否符合管理要求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CEFE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缺（错）项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扣分法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1D05F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因素分配法：资金分配因素选取充分考虑相关行业事业发展实际和发展需求，得2分；资金分配因素的权重设置有效突出项目实施重点，得2分；资金区域分布结果公平合理，得2分。项目分配法：建设项目储备库，得2分；实行入库项目动态管理、推动资金竞争性分配，得2分；明确项目申报审核程序，按规定程序履行项目审批，得2分。其他分配法：资金分配依据充分合理，得6分。否则该项不得分。如涉及多种分配法，按相应资金量的权重进行测算。</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2.资金分配是否严格按管理办法执行，决策程序是否符合管理要求，及时高效，得4分。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F14350">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3CD83B">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9A5900">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888CAC">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CF4F90">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BA2615">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17FD5A">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DFAC1D">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C602E4">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8F2CAB">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8DF61F">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5C0CF5">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43DFD3">
            <w:pPr>
              <w:jc w:val="center"/>
              <w:rPr>
                <w:rFonts w:hint="eastAsia" w:ascii="宋体" w:hAnsi="宋体" w:eastAsia="宋体" w:cs="宋体"/>
                <w:i w:val="0"/>
                <w:iCs w:val="0"/>
                <w:color w:val="000000"/>
                <w:sz w:val="24"/>
                <w:szCs w:val="24"/>
                <w:u w:val="none"/>
              </w:rPr>
            </w:pPr>
          </w:p>
        </w:tc>
      </w:tr>
      <w:tr w14:paraId="32246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4115B8">
            <w:pPr>
              <w:jc w:val="center"/>
              <w:rPr>
                <w:rFonts w:hint="eastAsia" w:ascii="宋体" w:hAnsi="宋体" w:eastAsia="宋体" w:cs="宋体"/>
                <w:b/>
                <w:bCs/>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FDA787">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2C2E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绩效监管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6F3A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B72D4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管资金、项目、政策是否管绩效，项目绩效监管是否按要求开展，对下指导是否有力有效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421D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缺（错）项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扣分法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F7DE2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是否按中省要求全面完成绩效目标（含事前评估）、绩效评价、以前年度问题整改等预算绩效管理工作，得4分；省级部门对市县主管部门预算绩效管理要求是否到位，是否存在对市县资金分配和项目管理指导力度不够的情况，是否对市县开展评价、监督、指导等工作，得2分。否则该项不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D56297">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851209">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2B4F09">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BF3683">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C3A101">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3189FE">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190492">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C9818F">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14EA3B">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12155E">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56012B">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19DB2D">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EC5844">
            <w:pPr>
              <w:jc w:val="center"/>
              <w:rPr>
                <w:rFonts w:hint="eastAsia" w:ascii="宋体" w:hAnsi="宋体" w:eastAsia="宋体" w:cs="宋体"/>
                <w:i w:val="0"/>
                <w:iCs w:val="0"/>
                <w:color w:val="000000"/>
                <w:sz w:val="24"/>
                <w:szCs w:val="24"/>
                <w:u w:val="none"/>
              </w:rPr>
            </w:pPr>
          </w:p>
        </w:tc>
      </w:tr>
      <w:tr w14:paraId="6A336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E94E95">
            <w:pPr>
              <w:jc w:val="center"/>
              <w:rPr>
                <w:rFonts w:hint="eastAsia" w:ascii="宋体" w:hAnsi="宋体" w:eastAsia="宋体" w:cs="宋体"/>
                <w:b/>
                <w:bCs/>
                <w:i w:val="0"/>
                <w:iCs w:val="0"/>
                <w:color w:val="000000"/>
                <w:sz w:val="24"/>
                <w:szCs w:val="24"/>
                <w:u w:val="none"/>
              </w:rPr>
            </w:pPr>
          </w:p>
        </w:tc>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DF29B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项目实施</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（9分）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0A94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预算执行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48FF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F4354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项目资金财政拨付、单位执行和地方配套到位情况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E15B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4B468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该项指标得分=财政资金拨付率×100%×2+单位资金使用率×100%×2+地方资金到位率×100%×2。如部分计算内容不涉及，可同比例分配至本指标其他计算内容。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0755A6">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FFE266">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2E8AA0">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89E0B9">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2A53B6">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B0C080">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5940B9">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9EFD04">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FB4DA0">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022EED">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06BE6E">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5CFC1C">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82CE8E">
            <w:pPr>
              <w:jc w:val="center"/>
              <w:rPr>
                <w:rFonts w:hint="eastAsia" w:ascii="宋体" w:hAnsi="宋体" w:eastAsia="宋体" w:cs="宋体"/>
                <w:i w:val="0"/>
                <w:iCs w:val="0"/>
                <w:color w:val="000000"/>
                <w:sz w:val="24"/>
                <w:szCs w:val="24"/>
                <w:u w:val="none"/>
              </w:rPr>
            </w:pPr>
          </w:p>
        </w:tc>
      </w:tr>
      <w:tr w14:paraId="7B6CC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B6C651">
            <w:pPr>
              <w:jc w:val="center"/>
              <w:rPr>
                <w:rFonts w:hint="eastAsia" w:ascii="宋体" w:hAnsi="宋体" w:eastAsia="宋体" w:cs="宋体"/>
                <w:b/>
                <w:bCs/>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0BA03C">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6EBF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资金使用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A778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457A9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资金使用拨付、项目实施是否符合规定</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D95F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缺（错）项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扣分法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96268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资金使用、拨付是否符合国家财经法规、财务管理制度及有关专项资金管理制度办法规定和审批程序，是否存在超范围、超标准、超进度使用专项资金，是否存在资金损失浪费、长期沉淀、截留、挤占、挪用、虚列支出等情况，项目实施是否遵守相关法律法规，发现一处不合规的扣1分，扣完为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7CA99F">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640FB3">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BAC627">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53BA73">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A84E06">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561D07">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13EBF9">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70F4F4">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FAE8FD">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60192F">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6184AB">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831884">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04E6A5">
            <w:pPr>
              <w:jc w:val="center"/>
              <w:rPr>
                <w:rFonts w:hint="eastAsia" w:ascii="宋体" w:hAnsi="宋体" w:eastAsia="宋体" w:cs="宋体"/>
                <w:i w:val="0"/>
                <w:iCs w:val="0"/>
                <w:color w:val="000000"/>
                <w:sz w:val="24"/>
                <w:szCs w:val="24"/>
                <w:u w:val="none"/>
              </w:rPr>
            </w:pPr>
          </w:p>
        </w:tc>
      </w:tr>
      <w:tr w14:paraId="0D6A1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8B50D6">
            <w:pPr>
              <w:jc w:val="center"/>
              <w:rPr>
                <w:rFonts w:hint="eastAsia" w:ascii="宋体" w:hAnsi="宋体" w:eastAsia="宋体" w:cs="宋体"/>
                <w:b/>
                <w:bCs/>
                <w:i w:val="0"/>
                <w:iCs w:val="0"/>
                <w:color w:val="000000"/>
                <w:sz w:val="24"/>
                <w:szCs w:val="24"/>
                <w:u w:val="none"/>
              </w:rPr>
            </w:pPr>
          </w:p>
        </w:tc>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E0141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项目结果</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（9分）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B1FF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目标完成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6A59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793CD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项目是否完成预期目标，实施结果是否与绩效目标相匹配，反映目标实现程度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62B1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3DA03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该项指标得分=实际完成目标任务量÷首次批复立项设定绩效目标任务总量×100%×6。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8D73E7">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3C8AD0">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55DD5B">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E147A8">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696FE8">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386A01">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944841">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0D50BA">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FACE94">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0A616E">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BE6DBF">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021304">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5369F4">
            <w:pPr>
              <w:jc w:val="center"/>
              <w:rPr>
                <w:rFonts w:hint="eastAsia" w:ascii="宋体" w:hAnsi="宋体" w:eastAsia="宋体" w:cs="宋体"/>
                <w:i w:val="0"/>
                <w:iCs w:val="0"/>
                <w:color w:val="000000"/>
                <w:sz w:val="24"/>
                <w:szCs w:val="24"/>
                <w:u w:val="none"/>
              </w:rPr>
            </w:pPr>
          </w:p>
        </w:tc>
      </w:tr>
      <w:tr w14:paraId="0ABC3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4F5218">
            <w:pPr>
              <w:jc w:val="center"/>
              <w:rPr>
                <w:rFonts w:hint="eastAsia" w:ascii="宋体" w:hAnsi="宋体" w:eastAsia="宋体" w:cs="宋体"/>
                <w:b/>
                <w:bCs/>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76EFC7">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ECBA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完成时效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7879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1C1AF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A8DE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BD1C9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该项指标得分=（1-(实际完成时间-计划完成时间)÷计划完成时间）×100%×3。一般以天数、月数或年数为单位。当实际完成时间-计划完成时间小于等于0时得满分；实际完成时间超过计划完成时间1倍及以上得0分。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5741DB">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909569">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C11516">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AB8E5E">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0F895D">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931EFC">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08226F">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59EF62">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0A761B">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DA4CF4">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D58234">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CC8E04">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E51F97">
            <w:pPr>
              <w:jc w:val="center"/>
              <w:rPr>
                <w:rFonts w:hint="eastAsia" w:ascii="宋体" w:hAnsi="宋体" w:eastAsia="宋体" w:cs="宋体"/>
                <w:i w:val="0"/>
                <w:iCs w:val="0"/>
                <w:color w:val="000000"/>
                <w:sz w:val="24"/>
                <w:szCs w:val="24"/>
                <w:u w:val="none"/>
              </w:rPr>
            </w:pPr>
          </w:p>
        </w:tc>
      </w:tr>
      <w:tr w14:paraId="2CC70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2"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B7B17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专用指标</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（30分）</w:t>
            </w:r>
          </w:p>
        </w:tc>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AEE5D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产业发展</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（30分）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17D5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符合性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B13F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7BBE7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项目实施是否与省委省政府支持重点、产业支持政策符合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8CC8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C388C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该项指标得分=项目实施符合省委省政府支持重点、六大优势产业做大做强、传统产业转型升级、产业支持政策的点位数量÷所有选点总数×100%×10。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13770C">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914304">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5FECCA">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B059D1">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D6B946">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C90869">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71B8CE">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52AE31">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98A3E3">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FBCFEE">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16212D">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C0DACB">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59C96A">
            <w:pPr>
              <w:jc w:val="center"/>
              <w:rPr>
                <w:rFonts w:hint="eastAsia" w:ascii="宋体" w:hAnsi="宋体" w:eastAsia="宋体" w:cs="宋体"/>
                <w:i w:val="0"/>
                <w:iCs w:val="0"/>
                <w:color w:val="000000"/>
                <w:sz w:val="24"/>
                <w:szCs w:val="24"/>
                <w:u w:val="none"/>
              </w:rPr>
            </w:pPr>
          </w:p>
        </w:tc>
      </w:tr>
      <w:tr w14:paraId="5C914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D66264">
            <w:pPr>
              <w:jc w:val="center"/>
              <w:rPr>
                <w:rFonts w:hint="eastAsia" w:ascii="宋体" w:hAnsi="宋体" w:eastAsia="宋体" w:cs="宋体"/>
                <w:b/>
                <w:bCs/>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A90980">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7B3B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成长性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F85B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0F0F9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项目实施对相关企业（机构）成长性的促进作用，主要反映支持对象创新创造创业能力情况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2E4E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9FE69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该项指标得分=项目实施对相关行业企业体现促进的点位数量÷所有选点总数×100%×10。对相关企业（机构）创新创造能力提升、扩大投资、技术更新、就业促进以及对农业良种良机良法推广应用、工业科技研发投入、服务业消费新场景新模式、提升行业新质生产力等情况进行综合判断，可查看统计年鉴和企业近三年财报。</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E991AB">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14F3F0">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827982">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041A09">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63BEBF">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DE0860">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3767E5">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CBFF36">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0EE45F">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4632D7">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054027">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50EA97">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3ACF03">
            <w:pPr>
              <w:jc w:val="center"/>
              <w:rPr>
                <w:rFonts w:hint="eastAsia" w:ascii="宋体" w:hAnsi="宋体" w:eastAsia="宋体" w:cs="宋体"/>
                <w:i w:val="0"/>
                <w:iCs w:val="0"/>
                <w:color w:val="000000"/>
                <w:sz w:val="24"/>
                <w:szCs w:val="24"/>
                <w:u w:val="none"/>
              </w:rPr>
            </w:pPr>
          </w:p>
        </w:tc>
      </w:tr>
      <w:tr w14:paraId="4B6EA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C136D6">
            <w:pPr>
              <w:jc w:val="center"/>
              <w:rPr>
                <w:rFonts w:hint="eastAsia" w:ascii="宋体" w:hAnsi="宋体" w:eastAsia="宋体" w:cs="宋体"/>
                <w:b/>
                <w:bCs/>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B904E1">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388C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97D5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82BE3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项目实施对相关企业（机构）主营业务收入、净利润、税收、产量等方面增长情况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72E5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8EEBE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该项指标反映企业主营业务收入、净利润、税收、产量等增长情况，需将企业（机构）涉及的所有经济指标纳入计算。以主营业务收入为例，主营业务收入增加率≥行业平均增加率，且≥企业上一年度主营业务收入增加率，得10分；主营业务收入增加率≥行业平均增加率且＜企业上一年度主营业务收入增加率，或≥企业上一年度主营业务收入增加率且＜行业平均增加率，得5分；否则不得分。该项指标得分=各指标算术平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C27B1F">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2AA5A4">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DD3220">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2CF528">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66A7F6">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D05A9E">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0BEDCA">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F70B55">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C1AB05">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FCB897">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78D531">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90A139">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DEBAD3">
            <w:pPr>
              <w:jc w:val="center"/>
              <w:rPr>
                <w:rFonts w:hint="eastAsia" w:ascii="宋体" w:hAnsi="宋体" w:eastAsia="宋体" w:cs="宋体"/>
                <w:i w:val="0"/>
                <w:iCs w:val="0"/>
                <w:color w:val="000000"/>
                <w:sz w:val="24"/>
                <w:szCs w:val="24"/>
                <w:u w:val="none"/>
              </w:rPr>
            </w:pPr>
          </w:p>
        </w:tc>
      </w:tr>
      <w:tr w14:paraId="028D5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C42C1">
            <w:pPr>
              <w:jc w:val="center"/>
              <w:rPr>
                <w:rFonts w:hint="eastAsia" w:ascii="宋体" w:hAnsi="宋体" w:eastAsia="宋体" w:cs="宋体"/>
                <w:b/>
                <w:bCs/>
                <w:i w:val="0"/>
                <w:iCs w:val="0"/>
                <w:color w:val="000000"/>
                <w:sz w:val="24"/>
                <w:szCs w:val="24"/>
                <w:u w:val="none"/>
              </w:rPr>
            </w:pPr>
          </w:p>
        </w:tc>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A1F19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民生保障</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（30分）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9C49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区域均衡性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8F98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54F6C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项目资金分配体现的均衡公平情况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4732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分级评分法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38C20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按实际区域分配结果选择客观因素测算验证资金分配是否科学合理、均衡公平。主要查看区域均衡情况是否得到改善、区域间差距是否缩小，分级计分。其中，区域均衡情况得到改善、区域间差距缩小，得10分；区域均衡情况维持原状、区域间差距不变，得5分；区域均衡情况未得到改善、区域间差距扩大，得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BDC83C">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4AA69B">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F4ACAD">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92D6F6">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2D082F">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F6B077">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1C80EC">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7FC20C">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54BF8B">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5B9437">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630D60">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F262A9">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EE733C">
            <w:pPr>
              <w:jc w:val="center"/>
              <w:rPr>
                <w:rFonts w:hint="eastAsia" w:ascii="宋体" w:hAnsi="宋体" w:eastAsia="宋体" w:cs="宋体"/>
                <w:i w:val="0"/>
                <w:iCs w:val="0"/>
                <w:color w:val="000000"/>
                <w:sz w:val="24"/>
                <w:szCs w:val="24"/>
                <w:u w:val="none"/>
              </w:rPr>
            </w:pPr>
          </w:p>
        </w:tc>
      </w:tr>
      <w:tr w14:paraId="3D174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902763">
            <w:pPr>
              <w:jc w:val="center"/>
              <w:rPr>
                <w:rFonts w:hint="eastAsia" w:ascii="宋体" w:hAnsi="宋体" w:eastAsia="宋体" w:cs="宋体"/>
                <w:b/>
                <w:bCs/>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A72EC9">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9F15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对象精准性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4155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FB610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资金实际支持对象是否符合管理要求，是否符合支持对象范围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EBD4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BA75C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该项指标得分=（抽样的支持对象总人数-不符合支持对象人数）÷抽样的支持对象总人数×100%×10。主要查看项目资金分配和实施结果是否精准，是否存在明显的排他性和歧视性情形，是否及时落实到支持对象个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7731D9">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40EE42">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852CE7">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52DD02">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16CA4C">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D21202">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8D4188">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BAF87C">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0D8164">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2F85A7">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4C8D34">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C957A3">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EB64A4">
            <w:pPr>
              <w:jc w:val="center"/>
              <w:rPr>
                <w:rFonts w:hint="eastAsia" w:ascii="宋体" w:hAnsi="宋体" w:eastAsia="宋体" w:cs="宋体"/>
                <w:i w:val="0"/>
                <w:iCs w:val="0"/>
                <w:color w:val="000000"/>
                <w:sz w:val="24"/>
                <w:szCs w:val="24"/>
                <w:u w:val="none"/>
              </w:rPr>
            </w:pPr>
          </w:p>
        </w:tc>
      </w:tr>
      <w:tr w14:paraId="23911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D26B1A">
            <w:pPr>
              <w:jc w:val="center"/>
              <w:rPr>
                <w:rFonts w:hint="eastAsia" w:ascii="宋体" w:hAnsi="宋体" w:eastAsia="宋体" w:cs="宋体"/>
                <w:b/>
                <w:bCs/>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B84305">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90BF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标准合理性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042F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C81AC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资金实际补贴标准是否符合资金管理办法规定的补助标准，是否及时按标准兑现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2317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EABE3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该项指标得分=（抽样的支持对象总人数-不符合支持标准人数）÷抽样的支持对象总人数×100%×5。主要查看项目资金补贴标准是否符合资金管理办法规定的补助标准。如存在多发、漏发、重发、迟发等情况，均计入不符合支持标准人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B15635">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39F8AE">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EEB15F">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EE6A3F">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726C49">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215AE4">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BA625D">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CA095E">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47BEBF">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5B6FD8">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0C7DAF">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9D3725">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15E058">
            <w:pPr>
              <w:jc w:val="center"/>
              <w:rPr>
                <w:rFonts w:hint="eastAsia" w:ascii="宋体" w:hAnsi="宋体" w:eastAsia="宋体" w:cs="宋体"/>
                <w:i w:val="0"/>
                <w:iCs w:val="0"/>
                <w:color w:val="000000"/>
                <w:sz w:val="24"/>
                <w:szCs w:val="24"/>
                <w:u w:val="none"/>
              </w:rPr>
            </w:pPr>
          </w:p>
        </w:tc>
      </w:tr>
      <w:tr w14:paraId="5A0F4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B9AA1E">
            <w:pPr>
              <w:jc w:val="center"/>
              <w:rPr>
                <w:rFonts w:hint="eastAsia" w:ascii="宋体" w:hAnsi="宋体" w:eastAsia="宋体" w:cs="宋体"/>
                <w:b/>
                <w:bCs/>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F4719F">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7E1C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群众满意度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9AB0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B92F6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资金涉及相关受益群体、支持对象的满意度调查访谈情况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BE88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04658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该项指标得分=经调研的群众实际满意度得分×100%×5。反映项目相关方在项目实施过程中的人民群众满意值和获得感。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D47800">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C690C7">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4A55CA">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265E56">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FD06AE">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EA787D">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796E87">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08C389">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57FE7B">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47ED83">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B55B8C">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16E175">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1AB98D">
            <w:pPr>
              <w:jc w:val="center"/>
              <w:rPr>
                <w:rFonts w:hint="eastAsia" w:ascii="宋体" w:hAnsi="宋体" w:eastAsia="宋体" w:cs="宋体"/>
                <w:i w:val="0"/>
                <w:iCs w:val="0"/>
                <w:color w:val="000000"/>
                <w:sz w:val="24"/>
                <w:szCs w:val="24"/>
                <w:u w:val="none"/>
              </w:rPr>
            </w:pPr>
          </w:p>
        </w:tc>
      </w:tr>
      <w:tr w14:paraId="5DCEE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5C86F5">
            <w:pPr>
              <w:jc w:val="center"/>
              <w:rPr>
                <w:rFonts w:hint="eastAsia" w:ascii="宋体" w:hAnsi="宋体" w:eastAsia="宋体" w:cs="宋体"/>
                <w:b/>
                <w:bCs/>
                <w:i w:val="0"/>
                <w:iCs w:val="0"/>
                <w:color w:val="000000"/>
                <w:sz w:val="24"/>
                <w:szCs w:val="24"/>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2FDD9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基础</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设施</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（30分）</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8C4AA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在建</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C212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工程进度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29A2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B78A0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项目是否达到计划工程进度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2130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7501A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实际工程进度≥计划工程进度，得15分；计划工程进度＞实际工程进度≥计划工程进度的85%，得10分；计划工程进度的85%＞实际工程进度≥计划工程进度的70%，得5分；实际工程进度＜计划工程进度的70%，不得分。按工程时间节点测算进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235153">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6D21C5">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335226">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363A50">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B56AF8">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ED167B">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535DE4">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856F9B">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0A7D13">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718AD7">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09DD8F">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A658F8">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BAAE14">
            <w:pPr>
              <w:jc w:val="center"/>
              <w:rPr>
                <w:rFonts w:hint="eastAsia" w:ascii="宋体" w:hAnsi="宋体" w:eastAsia="宋体" w:cs="宋体"/>
                <w:i w:val="0"/>
                <w:iCs w:val="0"/>
                <w:color w:val="000000"/>
                <w:sz w:val="24"/>
                <w:szCs w:val="24"/>
                <w:u w:val="none"/>
              </w:rPr>
            </w:pPr>
          </w:p>
        </w:tc>
      </w:tr>
      <w:tr w14:paraId="4A0BC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DE9DDA">
            <w:pPr>
              <w:jc w:val="center"/>
              <w:rPr>
                <w:rFonts w:hint="eastAsia" w:ascii="宋体" w:hAnsi="宋体" w:eastAsia="宋体" w:cs="宋体"/>
                <w:b/>
                <w:bCs/>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80D136">
            <w:pPr>
              <w:jc w:val="center"/>
              <w:rPr>
                <w:rFonts w:hint="eastAsia" w:ascii="宋体" w:hAnsi="宋体" w:eastAsia="宋体" w:cs="宋体"/>
                <w:b/>
                <w:bCs/>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276531">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8261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资金拨付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7525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74C27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项目是否达到预先确定的资金拨付进度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3764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7A727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实际资金拨付进度≥预先确定的资金拨付进度，得15分；预先确定的资金拨付进度＞实际资金拨付进度≥预先确定的资金拨付进度的85%，得10分；预先确定的资金拨付进度的85%＞实际资金拨付进度≥预先确定的资金拨付进度的70%，得5分；实际资金拨付进度＜预先确定的资金拨付进度的70%，不得分。如有资金拨付计划、合同约定，按此测算。如无资金拨付计划，按工程进度测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6DCF35">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D5617C">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D5D8E8">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5FFEA1">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5A3AE2">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706A87">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5720A8">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88896F">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C4380C">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45E372">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C87703">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055D7A">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CC3BEF">
            <w:pPr>
              <w:jc w:val="center"/>
              <w:rPr>
                <w:rFonts w:hint="eastAsia" w:ascii="宋体" w:hAnsi="宋体" w:eastAsia="宋体" w:cs="宋体"/>
                <w:i w:val="0"/>
                <w:iCs w:val="0"/>
                <w:color w:val="000000"/>
                <w:sz w:val="24"/>
                <w:szCs w:val="24"/>
                <w:u w:val="none"/>
              </w:rPr>
            </w:pPr>
          </w:p>
        </w:tc>
      </w:tr>
      <w:tr w14:paraId="0DEDD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6E6BF1">
            <w:pPr>
              <w:jc w:val="center"/>
              <w:rPr>
                <w:rFonts w:hint="eastAsia" w:ascii="宋体" w:hAnsi="宋体" w:eastAsia="宋体" w:cs="宋体"/>
                <w:b/>
                <w:bCs/>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50ABD9">
            <w:pPr>
              <w:jc w:val="center"/>
              <w:rPr>
                <w:rFonts w:hint="eastAsia" w:ascii="宋体" w:hAnsi="宋体" w:eastAsia="宋体" w:cs="宋体"/>
                <w:b/>
                <w:bCs/>
                <w:i w:val="0"/>
                <w:iCs w:val="0"/>
                <w:color w:val="000000"/>
                <w:sz w:val="24"/>
                <w:szCs w:val="24"/>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AF019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建成</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F4F1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项目验收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CE8F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520D8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项目验收是否及时合格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D54C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59F70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该项指标得分=（建成项目总量-验收不及时、验收不合格的建成项目数量）÷建成项目总量×100%×10。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020110">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ACEC11">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DDDAC6">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61A023">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DCC7ED">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AE3D66">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06D469">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D6A98D">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2F1A66">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1FF2D1">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81A370">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FD20C2">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E6F2A0">
            <w:pPr>
              <w:jc w:val="center"/>
              <w:rPr>
                <w:rFonts w:hint="eastAsia" w:ascii="宋体" w:hAnsi="宋体" w:eastAsia="宋体" w:cs="宋体"/>
                <w:i w:val="0"/>
                <w:iCs w:val="0"/>
                <w:color w:val="000000"/>
                <w:sz w:val="24"/>
                <w:szCs w:val="24"/>
                <w:u w:val="none"/>
              </w:rPr>
            </w:pPr>
          </w:p>
        </w:tc>
      </w:tr>
      <w:tr w14:paraId="1BC95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49AB07">
            <w:pPr>
              <w:jc w:val="center"/>
              <w:rPr>
                <w:rFonts w:hint="eastAsia" w:ascii="宋体" w:hAnsi="宋体" w:eastAsia="宋体" w:cs="宋体"/>
                <w:b/>
                <w:bCs/>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F130A4">
            <w:pPr>
              <w:jc w:val="center"/>
              <w:rPr>
                <w:rFonts w:hint="eastAsia" w:ascii="宋体" w:hAnsi="宋体" w:eastAsia="宋体" w:cs="宋体"/>
                <w:b/>
                <w:bCs/>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6D30BE">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B2D8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功能实现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E403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41AAE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项目经济社会功能是否实现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088E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5D03C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该项指标得分=（建成项目总量-经济或社会功能未实现的建成项目数量）÷建成项目总量×100%×10。主要查看建成项目是否实现预期功能，是否功能配套整合协调、能够持续良好地运作，特别是公共设施类项目，是否能有效满足群众现实需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704A1D">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4D195A">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8B6E0F">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5BFC6B">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B26972">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2A1C3A">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B31A82">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CCB2F1">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E2C085">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B7129F">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F06AAD">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5CEF51">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8E3B7C">
            <w:pPr>
              <w:jc w:val="center"/>
              <w:rPr>
                <w:rFonts w:hint="eastAsia" w:ascii="宋体" w:hAnsi="宋体" w:eastAsia="宋体" w:cs="宋体"/>
                <w:i w:val="0"/>
                <w:iCs w:val="0"/>
                <w:color w:val="000000"/>
                <w:sz w:val="24"/>
                <w:szCs w:val="24"/>
                <w:u w:val="none"/>
              </w:rPr>
            </w:pPr>
          </w:p>
        </w:tc>
      </w:tr>
      <w:tr w14:paraId="41EF9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53EE4">
            <w:pPr>
              <w:jc w:val="center"/>
              <w:rPr>
                <w:rFonts w:hint="eastAsia" w:ascii="宋体" w:hAnsi="宋体" w:eastAsia="宋体" w:cs="宋体"/>
                <w:b/>
                <w:bCs/>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562467">
            <w:pPr>
              <w:jc w:val="center"/>
              <w:rPr>
                <w:rFonts w:hint="eastAsia" w:ascii="宋体" w:hAnsi="宋体" w:eastAsia="宋体" w:cs="宋体"/>
                <w:b/>
                <w:bCs/>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E51378">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04D7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后续管护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899A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05A81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项目后续维护是否实现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742C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7CA21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该项指标得分=（建成项目总量-后续维护未实现的建成项目数量）÷建成项目总量×100%×10。主要查看建成项目是否建立后续管理维护制度机制，是否实现有效维护。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E00636">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06529B">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1A4B68">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D40E99">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B4AD3D">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63129E">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34F4CC">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A4DB5B">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CC1C48">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A15582">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0AC6A5">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5FCB16">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8D1F07">
            <w:pPr>
              <w:jc w:val="center"/>
              <w:rPr>
                <w:rFonts w:hint="eastAsia" w:ascii="宋体" w:hAnsi="宋体" w:eastAsia="宋体" w:cs="宋体"/>
                <w:i w:val="0"/>
                <w:iCs w:val="0"/>
                <w:color w:val="000000"/>
                <w:sz w:val="24"/>
                <w:szCs w:val="24"/>
                <w:u w:val="none"/>
              </w:rPr>
            </w:pPr>
          </w:p>
        </w:tc>
      </w:tr>
      <w:tr w14:paraId="1A871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38476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专用指标</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（30分）</w:t>
            </w:r>
          </w:p>
        </w:tc>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EFEF4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行政运转</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（30分）</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495A20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用途合规性</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52690B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3C17251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是否按规定用途、适用范围进行本地区专项资金分配</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7512D9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缺（错）项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扣分法</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44FC1AE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资金实际用途不符合专项资金管理要求的，发现一处扣2分。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84DBE4">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E758F1">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5C45F6">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4F609B">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028F52">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6AA87E">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054096">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EE118D">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6F1D22">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1327FB">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C81244">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93BF27">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12E921">
            <w:pPr>
              <w:jc w:val="center"/>
              <w:rPr>
                <w:rFonts w:hint="eastAsia" w:ascii="宋体" w:hAnsi="宋体" w:eastAsia="宋体" w:cs="宋体"/>
                <w:i w:val="0"/>
                <w:iCs w:val="0"/>
                <w:color w:val="000000"/>
                <w:sz w:val="24"/>
                <w:szCs w:val="24"/>
                <w:u w:val="none"/>
              </w:rPr>
            </w:pPr>
          </w:p>
        </w:tc>
      </w:tr>
      <w:tr w14:paraId="0A026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3CB053">
            <w:pPr>
              <w:jc w:val="center"/>
              <w:rPr>
                <w:rFonts w:hint="eastAsia" w:ascii="宋体" w:hAnsi="宋体" w:eastAsia="宋体" w:cs="宋体"/>
                <w:b/>
                <w:bCs/>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4C737B">
            <w:pPr>
              <w:jc w:val="center"/>
              <w:rPr>
                <w:rFonts w:hint="eastAsia" w:ascii="宋体" w:hAnsi="宋体" w:eastAsia="宋体" w:cs="宋体"/>
                <w:b/>
                <w:bCs/>
                <w:i w:val="0"/>
                <w:iCs w:val="0"/>
                <w:color w:val="000000"/>
                <w:sz w:val="24"/>
                <w:szCs w:val="24"/>
                <w:u w:val="none"/>
              </w:rPr>
            </w:pPr>
          </w:p>
        </w:tc>
        <w:tc>
          <w:tcPr>
            <w:tcW w:w="0" w:type="auto"/>
            <w:tcBorders>
              <w:top w:val="nil"/>
              <w:left w:val="single" w:color="000000" w:sz="4" w:space="0"/>
              <w:bottom w:val="single" w:color="000000" w:sz="4" w:space="0"/>
              <w:right w:val="single" w:color="000000" w:sz="4" w:space="0"/>
            </w:tcBorders>
            <w:shd w:val="clear" w:color="auto" w:fill="auto"/>
            <w:vAlign w:val="center"/>
          </w:tcPr>
          <w:p w14:paraId="42F28F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程序合规性</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62B821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2E756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资金管理程序是否符合专项资金管理要求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2F46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缺（错）项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扣分法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42258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资金管理程序不符合专项资金管理要求的，发现一处扣2分。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52CAFF">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8D8A00">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D7DAE5">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30748A">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56FE35">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8D0AC1">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C7292F">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21B478">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6E45EF">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CC2E10">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430865">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52FE0C">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1A80B4">
            <w:pPr>
              <w:jc w:val="center"/>
              <w:rPr>
                <w:rFonts w:hint="eastAsia" w:ascii="宋体" w:hAnsi="宋体" w:eastAsia="宋体" w:cs="宋体"/>
                <w:i w:val="0"/>
                <w:iCs w:val="0"/>
                <w:color w:val="000000"/>
                <w:sz w:val="24"/>
                <w:szCs w:val="24"/>
                <w:u w:val="none"/>
              </w:rPr>
            </w:pPr>
          </w:p>
        </w:tc>
      </w:tr>
      <w:tr w14:paraId="641E3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C267F5">
            <w:pPr>
              <w:jc w:val="center"/>
              <w:rPr>
                <w:rFonts w:hint="eastAsia" w:ascii="宋体" w:hAnsi="宋体" w:eastAsia="宋体" w:cs="宋体"/>
                <w:b/>
                <w:bCs/>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D34564">
            <w:pPr>
              <w:jc w:val="center"/>
              <w:rPr>
                <w:rFonts w:hint="eastAsia" w:ascii="宋体" w:hAnsi="宋体" w:eastAsia="宋体" w:cs="宋体"/>
                <w:b/>
                <w:bCs/>
                <w:i w:val="0"/>
                <w:iCs w:val="0"/>
                <w:color w:val="000000"/>
                <w:sz w:val="24"/>
                <w:szCs w:val="24"/>
                <w:u w:val="none"/>
              </w:rPr>
            </w:pPr>
          </w:p>
        </w:tc>
        <w:tc>
          <w:tcPr>
            <w:tcW w:w="0" w:type="auto"/>
            <w:tcBorders>
              <w:top w:val="nil"/>
              <w:left w:val="single" w:color="000000" w:sz="4" w:space="0"/>
              <w:bottom w:val="single" w:color="000000" w:sz="4" w:space="0"/>
              <w:right w:val="single" w:color="000000" w:sz="4" w:space="0"/>
            </w:tcBorders>
            <w:shd w:val="clear" w:color="auto" w:fill="auto"/>
            <w:vAlign w:val="center"/>
          </w:tcPr>
          <w:p w14:paraId="33DCE8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标准合规性</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69352A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6CBAC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资金分配标准是否符合专项资金管理要求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BA4A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缺（错）项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扣分法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D0110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资金分配标准不符合专项资金管理要求的，发现一处扣2分。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D79C83">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6719DF">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8D27F4">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D5ED7E">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BD32ED">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220A88">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B685A4">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E5101C">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68AD84">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D831F1">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195F78">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D143A4">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4A143A">
            <w:pPr>
              <w:jc w:val="center"/>
              <w:rPr>
                <w:rFonts w:hint="eastAsia" w:ascii="宋体" w:hAnsi="宋体" w:eastAsia="宋体" w:cs="宋体"/>
                <w:i w:val="0"/>
                <w:iCs w:val="0"/>
                <w:color w:val="000000"/>
                <w:sz w:val="24"/>
                <w:szCs w:val="24"/>
                <w:u w:val="none"/>
              </w:rPr>
            </w:pPr>
          </w:p>
        </w:tc>
      </w:tr>
      <w:tr w14:paraId="7448F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gridSpan w:val="3"/>
            <w:vMerge w:val="restart"/>
            <w:tcBorders>
              <w:top w:val="single" w:color="000000" w:sz="4" w:space="0"/>
              <w:left w:val="single" w:color="000000" w:sz="4" w:space="0"/>
              <w:bottom w:val="nil"/>
              <w:right w:val="single" w:color="000000" w:sz="4" w:space="0"/>
            </w:tcBorders>
            <w:shd w:val="clear" w:color="auto" w:fill="auto"/>
            <w:vAlign w:val="center"/>
          </w:tcPr>
          <w:p w14:paraId="44D2AC3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个性指标</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（16分）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A57A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F408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E0A75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根据项目个性自行设定部分指标，反映该项指标执行完成情况。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D9181F">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E2F78B">
            <w:pPr>
              <w:jc w:val="left"/>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D3A1E7">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AEA6B2">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2E7386">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D9BEAF">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41D7D1">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B8CB94">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E73E03">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0BC48A">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2550EE">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03967D">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AC76C4">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5F87A1">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D229B1">
            <w:pPr>
              <w:jc w:val="center"/>
              <w:rPr>
                <w:rFonts w:hint="eastAsia" w:ascii="宋体" w:hAnsi="宋体" w:eastAsia="宋体" w:cs="宋体"/>
                <w:i w:val="0"/>
                <w:iCs w:val="0"/>
                <w:color w:val="000000"/>
                <w:sz w:val="24"/>
                <w:szCs w:val="24"/>
                <w:u w:val="none"/>
              </w:rPr>
            </w:pPr>
          </w:p>
        </w:tc>
      </w:tr>
      <w:tr w14:paraId="11CEC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gridSpan w:val="3"/>
            <w:vMerge w:val="continue"/>
            <w:tcBorders>
              <w:top w:val="single" w:color="000000" w:sz="4" w:space="0"/>
              <w:left w:val="single" w:color="000000" w:sz="4" w:space="0"/>
              <w:bottom w:val="nil"/>
              <w:right w:val="single" w:color="000000" w:sz="4" w:space="0"/>
            </w:tcBorders>
            <w:shd w:val="clear" w:color="auto" w:fill="auto"/>
            <w:vAlign w:val="center"/>
          </w:tcPr>
          <w:p w14:paraId="3D0F1451">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E585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21B3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A9BA12">
            <w:pPr>
              <w:jc w:val="left"/>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320B13">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BC70F1">
            <w:pPr>
              <w:jc w:val="left"/>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213CDD">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C0B733">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DF3018">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1FAB00">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DBB342">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C43AC7">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7DA3E7">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C3BF09">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6EFA69">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1B31AE">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53556B">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1AD8B7">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494F0A">
            <w:pPr>
              <w:jc w:val="center"/>
              <w:rPr>
                <w:rFonts w:hint="eastAsia" w:ascii="宋体" w:hAnsi="宋体" w:eastAsia="宋体" w:cs="宋体"/>
                <w:i w:val="0"/>
                <w:iCs w:val="0"/>
                <w:color w:val="000000"/>
                <w:sz w:val="24"/>
                <w:szCs w:val="24"/>
                <w:u w:val="none"/>
              </w:rPr>
            </w:pPr>
          </w:p>
        </w:tc>
      </w:tr>
      <w:tr w14:paraId="1984F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gridSpan w:val="3"/>
            <w:vMerge w:val="continue"/>
            <w:tcBorders>
              <w:top w:val="single" w:color="000000" w:sz="4" w:space="0"/>
              <w:left w:val="single" w:color="000000" w:sz="4" w:space="0"/>
              <w:bottom w:val="nil"/>
              <w:right w:val="single" w:color="000000" w:sz="4" w:space="0"/>
            </w:tcBorders>
            <w:shd w:val="clear" w:color="auto" w:fill="auto"/>
            <w:vAlign w:val="center"/>
          </w:tcPr>
          <w:p w14:paraId="6D44A748">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7E09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FD65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E57C8B">
            <w:pPr>
              <w:jc w:val="left"/>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BAC3BD">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845DA7">
            <w:pPr>
              <w:jc w:val="left"/>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549759">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A81FDE">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D5FF41">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B8B89E">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C7C7BA">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E06AB7">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884649">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FC1B8A">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8501F7">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F10265">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53D2E5">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3933D9">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95348C">
            <w:pPr>
              <w:jc w:val="center"/>
              <w:rPr>
                <w:rFonts w:hint="eastAsia" w:ascii="宋体" w:hAnsi="宋体" w:eastAsia="宋体" w:cs="宋体"/>
                <w:i w:val="0"/>
                <w:iCs w:val="0"/>
                <w:color w:val="000000"/>
                <w:sz w:val="24"/>
                <w:szCs w:val="24"/>
                <w:u w:val="none"/>
              </w:rPr>
            </w:pPr>
          </w:p>
        </w:tc>
      </w:tr>
      <w:tr w14:paraId="308F2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0" w:type="auto"/>
            <w:gridSpan w:val="3"/>
            <w:vMerge w:val="restart"/>
            <w:tcBorders>
              <w:top w:val="nil"/>
              <w:left w:val="single" w:color="000000" w:sz="4" w:space="0"/>
              <w:bottom w:val="single" w:color="000000" w:sz="4" w:space="0"/>
              <w:right w:val="single" w:color="000000" w:sz="4" w:space="0"/>
            </w:tcBorders>
            <w:shd w:val="clear" w:color="auto" w:fill="auto"/>
            <w:vAlign w:val="center"/>
          </w:tcPr>
          <w:p w14:paraId="4F8DA3B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扣分项</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0E22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绩效管理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存在问题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9A85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3E30C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预算绩效管理工作存在问题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1113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缺（错）项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扣分法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7F2A3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依据评价年度人大监督、巡视巡察、审计监督、财会监督等结果以及评价指标体系涉及各方面出现的问题，每有一个问题点扣1分，扣完为止。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A0656F">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A2DDEA">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F28394">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9A5A8B">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2F8E65">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6BE4B7">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935A9C">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AB8290">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4ED102">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0FEF03">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5E0A02">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EB89B0">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F462C3">
            <w:pPr>
              <w:jc w:val="center"/>
              <w:rPr>
                <w:rFonts w:hint="eastAsia" w:ascii="宋体" w:hAnsi="宋体" w:eastAsia="宋体" w:cs="宋体"/>
                <w:i w:val="0"/>
                <w:iCs w:val="0"/>
                <w:color w:val="000000"/>
                <w:sz w:val="24"/>
                <w:szCs w:val="24"/>
                <w:u w:val="none"/>
              </w:rPr>
            </w:pPr>
          </w:p>
        </w:tc>
      </w:tr>
      <w:tr w14:paraId="688D3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0" w:type="auto"/>
            <w:gridSpan w:val="3"/>
            <w:vMerge w:val="continue"/>
            <w:tcBorders>
              <w:top w:val="nil"/>
              <w:left w:val="single" w:color="000000" w:sz="4" w:space="0"/>
              <w:bottom w:val="single" w:color="000000" w:sz="4" w:space="0"/>
              <w:right w:val="single" w:color="000000" w:sz="4" w:space="0"/>
            </w:tcBorders>
            <w:shd w:val="clear" w:color="auto" w:fill="auto"/>
            <w:vAlign w:val="center"/>
          </w:tcPr>
          <w:p w14:paraId="22F6B687">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4465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被评价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部门配合度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E57A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81813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被评价对象工作配合情况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58ED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缺（错）项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扣分法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C4D6E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评价工作开展过程中，被评价对象拖延推诿、提交资料不及时等拒不配合评价工作的，发现一处扣1分，扣完为止。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3627AA">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3365F0">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300BC1">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137900">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DCC1DA">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6E37CE">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7CBE0A">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501941">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6F41BA">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847BB9">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CDE72C">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E32C58">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4D4772">
            <w:pPr>
              <w:jc w:val="center"/>
              <w:rPr>
                <w:rFonts w:hint="eastAsia" w:ascii="宋体" w:hAnsi="宋体" w:eastAsia="宋体" w:cs="宋体"/>
                <w:i w:val="0"/>
                <w:iCs w:val="0"/>
                <w:color w:val="000000"/>
                <w:sz w:val="24"/>
                <w:szCs w:val="24"/>
                <w:u w:val="none"/>
              </w:rPr>
            </w:pPr>
          </w:p>
        </w:tc>
      </w:tr>
    </w:tbl>
    <w:p w14:paraId="5D6103E8">
      <w:pPr>
        <w:pStyle w:val="2"/>
        <w:rPr>
          <w:rFonts w:hint="eastAsia" w:ascii="仿宋_GB2312" w:hAnsi="仿宋_GB2312" w:eastAsia="仿宋_GB2312" w:cs="仿宋_GB2312"/>
          <w:color w:val="auto"/>
          <w:kern w:val="0"/>
          <w:sz w:val="32"/>
          <w:szCs w:val="32"/>
        </w:rPr>
      </w:pPr>
    </w:p>
    <w:p w14:paraId="0FCF3632">
      <w:pPr>
        <w:widowControl/>
        <w:adjustRightInd w:val="0"/>
        <w:snapToGrid w:val="0"/>
        <w:spacing w:line="578" w:lineRule="exact"/>
        <w:ind w:firstLine="640" w:firstLineChars="200"/>
        <w:contextualSpacing/>
        <w:jc w:val="left"/>
        <w:rPr>
          <w:rFonts w:hint="eastAsia" w:ascii="仿宋_GB2312" w:hAnsi="仿宋_GB2312" w:eastAsia="仿宋_GB2312" w:cs="仿宋_GB2312"/>
          <w:color w:val="auto"/>
          <w:kern w:val="0"/>
          <w:sz w:val="32"/>
          <w:szCs w:val="32"/>
        </w:rPr>
      </w:pPr>
    </w:p>
    <w:p w14:paraId="4D3D1852">
      <w:pPr>
        <w:spacing w:line="578" w:lineRule="exact"/>
        <w:ind w:firstLine="420" w:firstLineChars="200"/>
        <w:rPr>
          <w:rFonts w:hint="eastAsia" w:ascii="黑体" w:hAnsi="黑体" w:eastAsia="黑体" w:cs="黑体"/>
        </w:rPr>
        <w:sectPr>
          <w:footerReference r:id="rId7" w:type="default"/>
          <w:pgSz w:w="16838" w:h="11906" w:orient="landscape"/>
          <w:pgMar w:top="1800" w:right="1440" w:bottom="1800" w:left="1440" w:header="851" w:footer="992" w:gutter="0"/>
          <w:pgNumType w:fmt="decimal" w:start="19"/>
          <w:cols w:space="425" w:num="1"/>
          <w:docGrid w:type="lines" w:linePitch="312" w:charSpace="0"/>
        </w:sectPr>
      </w:pPr>
    </w:p>
    <w:p w14:paraId="027A1800">
      <w:pPr>
        <w:spacing w:line="578" w:lineRule="exact"/>
      </w:pPr>
      <w:r>
        <w:rPr>
          <w:rFonts w:hint="eastAsia" w:ascii="黑体" w:hAnsi="黑体" w:eastAsia="黑体" w:cs="黑体"/>
        </w:rPr>
        <w:t>附表</w:t>
      </w:r>
    </w:p>
    <w:tbl>
      <w:tblPr>
        <w:tblStyle w:val="13"/>
        <w:tblW w:w="10560" w:type="dxa"/>
        <w:jc w:val="center"/>
        <w:tblLayout w:type="fixed"/>
        <w:tblCellMar>
          <w:top w:w="15" w:type="dxa"/>
          <w:left w:w="15" w:type="dxa"/>
          <w:bottom w:w="15" w:type="dxa"/>
          <w:right w:w="15" w:type="dxa"/>
        </w:tblCellMar>
      </w:tblPr>
      <w:tblGrid>
        <w:gridCol w:w="1308"/>
        <w:gridCol w:w="1347"/>
        <w:gridCol w:w="1273"/>
        <w:gridCol w:w="1851"/>
        <w:gridCol w:w="1035"/>
        <w:gridCol w:w="1095"/>
        <w:gridCol w:w="915"/>
        <w:gridCol w:w="622"/>
        <w:gridCol w:w="1114"/>
      </w:tblGrid>
      <w:tr w14:paraId="70A9B63A">
        <w:tblPrEx>
          <w:tblCellMar>
            <w:top w:w="15" w:type="dxa"/>
            <w:left w:w="15" w:type="dxa"/>
            <w:bottom w:w="15" w:type="dxa"/>
            <w:right w:w="15" w:type="dxa"/>
          </w:tblCellMar>
        </w:tblPrEx>
        <w:trPr>
          <w:trHeight w:val="762" w:hRule="exact"/>
          <w:jc w:val="center"/>
        </w:trPr>
        <w:tc>
          <w:tcPr>
            <w:tcW w:w="10560" w:type="dxa"/>
            <w:gridSpan w:val="9"/>
            <w:shd w:val="clear" w:color="auto" w:fill="auto"/>
            <w:vAlign w:val="center"/>
          </w:tcPr>
          <w:p w14:paraId="5966FD08">
            <w:pPr>
              <w:widowControl/>
              <w:spacing w:line="600" w:lineRule="exact"/>
              <w:jc w:val="center"/>
              <w:textAlignment w:val="center"/>
              <w:rPr>
                <w:rFonts w:eastAsia="黑体"/>
                <w:color w:val="000000"/>
                <w:sz w:val="28"/>
                <w:szCs w:val="28"/>
              </w:rPr>
            </w:pPr>
            <w:r>
              <w:rPr>
                <w:rFonts w:eastAsia="方正小标宋简体"/>
                <w:color w:val="000000"/>
                <w:kern w:val="0"/>
                <w:sz w:val="44"/>
                <w:szCs w:val="44"/>
                <w:lang w:bidi="ar"/>
              </w:rPr>
              <w:t>部门整体支出绩效目标完成情况自评表</w:t>
            </w:r>
          </w:p>
        </w:tc>
      </w:tr>
      <w:tr w14:paraId="08E01F2A">
        <w:tblPrEx>
          <w:tblCellMar>
            <w:top w:w="15" w:type="dxa"/>
            <w:left w:w="15" w:type="dxa"/>
            <w:bottom w:w="15" w:type="dxa"/>
            <w:right w:w="15" w:type="dxa"/>
          </w:tblCellMar>
        </w:tblPrEx>
        <w:trPr>
          <w:trHeight w:val="23" w:hRule="atLeast"/>
          <w:jc w:val="center"/>
        </w:trPr>
        <w:tc>
          <w:tcPr>
            <w:tcW w:w="10560" w:type="dxa"/>
            <w:gridSpan w:val="9"/>
            <w:shd w:val="clear" w:color="auto" w:fill="auto"/>
            <w:vAlign w:val="center"/>
          </w:tcPr>
          <w:p w14:paraId="4ED193BF">
            <w:pPr>
              <w:widowControl/>
              <w:spacing w:line="300" w:lineRule="exact"/>
              <w:jc w:val="center"/>
              <w:textAlignment w:val="center"/>
              <w:rPr>
                <w:rFonts w:eastAsia="宋体"/>
                <w:color w:val="000000"/>
                <w:sz w:val="28"/>
                <w:szCs w:val="28"/>
              </w:rPr>
            </w:pPr>
            <w:r>
              <w:rPr>
                <w:rFonts w:eastAsia="宋体"/>
                <w:color w:val="000000"/>
                <w:kern w:val="0"/>
                <w:sz w:val="28"/>
                <w:szCs w:val="28"/>
                <w:lang w:bidi="ar"/>
              </w:rPr>
              <w:t>（2023年度）</w:t>
            </w:r>
          </w:p>
        </w:tc>
      </w:tr>
      <w:tr w14:paraId="25C30330">
        <w:tblPrEx>
          <w:tblCellMar>
            <w:top w:w="15" w:type="dxa"/>
            <w:left w:w="15" w:type="dxa"/>
            <w:bottom w:w="15" w:type="dxa"/>
            <w:right w:w="15" w:type="dxa"/>
          </w:tblCellMar>
        </w:tblPrEx>
        <w:trPr>
          <w:trHeight w:val="23" w:hRule="atLeast"/>
          <w:jc w:val="center"/>
        </w:trPr>
        <w:tc>
          <w:tcPr>
            <w:tcW w:w="10560" w:type="dxa"/>
            <w:gridSpan w:val="9"/>
            <w:tcBorders>
              <w:bottom w:val="single" w:color="000000" w:sz="4" w:space="0"/>
            </w:tcBorders>
            <w:shd w:val="clear" w:color="auto" w:fill="auto"/>
            <w:vAlign w:val="center"/>
          </w:tcPr>
          <w:p w14:paraId="008727D4">
            <w:pPr>
              <w:widowControl/>
              <w:spacing w:line="300" w:lineRule="exact"/>
              <w:jc w:val="right"/>
              <w:textAlignment w:val="center"/>
              <w:rPr>
                <w:rFonts w:eastAsia="宋体"/>
                <w:color w:val="000000"/>
                <w:sz w:val="21"/>
                <w:szCs w:val="21"/>
              </w:rPr>
            </w:pPr>
            <w:r>
              <w:rPr>
                <w:rFonts w:eastAsia="宋体"/>
                <w:color w:val="000000"/>
                <w:kern w:val="0"/>
                <w:sz w:val="21"/>
                <w:szCs w:val="21"/>
                <w:lang w:bidi="ar"/>
              </w:rPr>
              <w:t>单位：万元</w:t>
            </w:r>
          </w:p>
        </w:tc>
      </w:tr>
      <w:tr w14:paraId="45C846D3">
        <w:tblPrEx>
          <w:tblCellMar>
            <w:top w:w="15" w:type="dxa"/>
            <w:left w:w="15" w:type="dxa"/>
            <w:bottom w:w="15" w:type="dxa"/>
            <w:right w:w="15" w:type="dxa"/>
          </w:tblCellMar>
        </w:tblPrEx>
        <w:trPr>
          <w:trHeight w:val="23" w:hRule="atLeast"/>
          <w:jc w:val="center"/>
        </w:trPr>
        <w:tc>
          <w:tcPr>
            <w:tcW w:w="39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429A2D">
            <w:pPr>
              <w:widowControl/>
              <w:spacing w:line="300" w:lineRule="exact"/>
              <w:jc w:val="center"/>
              <w:textAlignment w:val="center"/>
              <w:rPr>
                <w:rFonts w:eastAsia="宋体"/>
                <w:color w:val="000000"/>
                <w:sz w:val="24"/>
              </w:rPr>
            </w:pPr>
            <w:r>
              <w:rPr>
                <w:rFonts w:eastAsia="宋体"/>
                <w:color w:val="000000"/>
                <w:kern w:val="0"/>
                <w:sz w:val="24"/>
                <w:lang w:bidi="ar"/>
              </w:rPr>
              <w:t>部门名称</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108959C">
            <w:pPr>
              <w:widowControl/>
              <w:spacing w:line="300" w:lineRule="exact"/>
              <w:jc w:val="center"/>
              <w:textAlignment w:val="center"/>
              <w:rPr>
                <w:rFonts w:eastAsia="宋体"/>
                <w:color w:val="000000"/>
                <w:sz w:val="24"/>
              </w:rPr>
            </w:pPr>
            <w:r>
              <w:rPr>
                <w:rFonts w:hint="eastAsia" w:eastAsia="宋体"/>
                <w:color w:val="000000"/>
                <w:kern w:val="0"/>
                <w:sz w:val="24"/>
                <w:lang w:bidi="ar"/>
              </w:rPr>
              <w:t>茂县行政审批和政务服务管理局</w:t>
            </w:r>
          </w:p>
        </w:tc>
      </w:tr>
      <w:tr w14:paraId="6025885F">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1CCBCE">
            <w:pPr>
              <w:widowControl/>
              <w:spacing w:line="300" w:lineRule="exact"/>
              <w:jc w:val="center"/>
              <w:textAlignment w:val="center"/>
              <w:rPr>
                <w:rFonts w:eastAsia="宋体"/>
                <w:color w:val="000000"/>
                <w:sz w:val="24"/>
              </w:rPr>
            </w:pPr>
            <w:r>
              <w:rPr>
                <w:rFonts w:eastAsia="宋体"/>
                <w:color w:val="000000"/>
                <w:kern w:val="0"/>
                <w:sz w:val="24"/>
                <w:lang w:bidi="ar"/>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DD50BF">
            <w:pPr>
              <w:widowControl/>
              <w:spacing w:line="300" w:lineRule="exact"/>
              <w:jc w:val="center"/>
              <w:textAlignment w:val="center"/>
              <w:rPr>
                <w:rFonts w:eastAsia="宋体"/>
                <w:color w:val="000000"/>
                <w:sz w:val="24"/>
              </w:rPr>
            </w:pPr>
            <w:r>
              <w:rPr>
                <w:rFonts w:eastAsia="宋体"/>
                <w:color w:val="000000"/>
                <w:kern w:val="0"/>
                <w:sz w:val="24"/>
                <w:lang w:bidi="ar"/>
              </w:rPr>
              <w:t>资金总额</w:t>
            </w:r>
          </w:p>
        </w:tc>
        <w:tc>
          <w:tcPr>
            <w:tcW w:w="28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4CE3F9">
            <w:pPr>
              <w:widowControl/>
              <w:spacing w:line="300" w:lineRule="exact"/>
              <w:jc w:val="center"/>
              <w:textAlignment w:val="center"/>
              <w:rPr>
                <w:rFonts w:eastAsia="宋体"/>
                <w:color w:val="000000"/>
                <w:sz w:val="24"/>
              </w:rPr>
            </w:pPr>
            <w:r>
              <w:rPr>
                <w:rFonts w:eastAsia="宋体"/>
                <w:color w:val="000000"/>
                <w:kern w:val="0"/>
                <w:sz w:val="24"/>
                <w:lang w:bidi="ar"/>
              </w:rPr>
              <w:t>财政拨款</w:t>
            </w:r>
          </w:p>
        </w:tc>
        <w:tc>
          <w:tcPr>
            <w:tcW w:w="374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6A2E199">
            <w:pPr>
              <w:widowControl/>
              <w:spacing w:line="300" w:lineRule="exact"/>
              <w:jc w:val="center"/>
              <w:textAlignment w:val="center"/>
              <w:rPr>
                <w:rFonts w:eastAsia="宋体"/>
                <w:color w:val="000000"/>
                <w:sz w:val="24"/>
              </w:rPr>
            </w:pPr>
            <w:r>
              <w:rPr>
                <w:rFonts w:eastAsia="宋体"/>
                <w:color w:val="000000"/>
                <w:kern w:val="0"/>
                <w:sz w:val="24"/>
                <w:lang w:bidi="ar"/>
              </w:rPr>
              <w:t>其他资金</w:t>
            </w:r>
          </w:p>
        </w:tc>
      </w:tr>
      <w:tr w14:paraId="5A453F3F">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6E7467">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9D1B0D">
            <w:pPr>
              <w:widowControl/>
              <w:spacing w:line="300" w:lineRule="exact"/>
              <w:jc w:val="center"/>
              <w:textAlignment w:val="center"/>
              <w:rPr>
                <w:rFonts w:hint="default" w:eastAsia="宋体"/>
                <w:color w:val="000000"/>
                <w:sz w:val="24"/>
                <w:lang w:val="en-US" w:eastAsia="zh-CN"/>
              </w:rPr>
            </w:pPr>
            <w:r>
              <w:rPr>
                <w:rFonts w:hint="eastAsia" w:eastAsia="宋体"/>
                <w:color w:val="000000"/>
                <w:kern w:val="0"/>
                <w:sz w:val="24"/>
                <w:lang w:val="en-US" w:eastAsia="zh-CN" w:bidi="ar"/>
              </w:rPr>
              <w:t>426.66</w:t>
            </w:r>
          </w:p>
        </w:tc>
        <w:tc>
          <w:tcPr>
            <w:tcW w:w="28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6E288D">
            <w:pPr>
              <w:widowControl/>
              <w:spacing w:line="300" w:lineRule="exact"/>
              <w:jc w:val="center"/>
              <w:textAlignment w:val="center"/>
              <w:rPr>
                <w:rFonts w:hint="default" w:eastAsia="宋体"/>
                <w:color w:val="000000"/>
                <w:sz w:val="24"/>
                <w:lang w:val="en-US" w:eastAsia="zh-CN"/>
              </w:rPr>
            </w:pPr>
            <w:r>
              <w:rPr>
                <w:rFonts w:hint="eastAsia" w:eastAsia="宋体"/>
                <w:color w:val="000000"/>
                <w:kern w:val="0"/>
                <w:sz w:val="24"/>
                <w:lang w:val="en-US" w:eastAsia="zh-CN" w:bidi="ar"/>
              </w:rPr>
              <w:t>426.66</w:t>
            </w:r>
          </w:p>
        </w:tc>
        <w:tc>
          <w:tcPr>
            <w:tcW w:w="374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71A89BD">
            <w:pPr>
              <w:widowControl/>
              <w:spacing w:line="300" w:lineRule="exact"/>
              <w:jc w:val="center"/>
              <w:textAlignment w:val="center"/>
              <w:rPr>
                <w:rFonts w:hint="default" w:eastAsia="宋体"/>
                <w:color w:val="000000"/>
                <w:sz w:val="24"/>
                <w:lang w:val="en-US" w:eastAsia="zh-CN"/>
              </w:rPr>
            </w:pPr>
            <w:r>
              <w:rPr>
                <w:rFonts w:hint="eastAsia" w:eastAsia="宋体"/>
                <w:color w:val="000000"/>
                <w:kern w:val="0"/>
                <w:sz w:val="24"/>
                <w:lang w:val="en-US" w:eastAsia="zh-CN" w:bidi="ar"/>
              </w:rPr>
              <w:t>0.00</w:t>
            </w:r>
          </w:p>
        </w:tc>
      </w:tr>
      <w:tr w14:paraId="526556B0">
        <w:tblPrEx>
          <w:tblCellMar>
            <w:top w:w="15" w:type="dxa"/>
            <w:left w:w="15" w:type="dxa"/>
            <w:bottom w:w="15" w:type="dxa"/>
            <w:right w:w="15" w:type="dxa"/>
          </w:tblCellMar>
        </w:tblPrEx>
        <w:trPr>
          <w:trHeight w:val="23" w:hRule="atLeast"/>
          <w:jc w:val="center"/>
        </w:trPr>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6628D">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年度总体</w:t>
            </w:r>
          </w:p>
          <w:p w14:paraId="4085ADEC">
            <w:pPr>
              <w:widowControl/>
              <w:spacing w:line="300" w:lineRule="exact"/>
              <w:jc w:val="center"/>
              <w:textAlignment w:val="center"/>
              <w:rPr>
                <w:rFonts w:eastAsia="宋体"/>
                <w:color w:val="000000"/>
                <w:sz w:val="24"/>
              </w:rPr>
            </w:pPr>
            <w:r>
              <w:rPr>
                <w:rFonts w:eastAsia="宋体"/>
                <w:color w:val="000000"/>
                <w:kern w:val="0"/>
                <w:sz w:val="24"/>
                <w:lang w:bidi="ar"/>
              </w:rPr>
              <w:t>目标</w:t>
            </w:r>
          </w:p>
        </w:tc>
        <w:tc>
          <w:tcPr>
            <w:tcW w:w="925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0A65723">
            <w:pPr>
              <w:widowControl/>
              <w:spacing w:line="300" w:lineRule="exact"/>
              <w:jc w:val="left"/>
              <w:textAlignment w:val="center"/>
              <w:rPr>
                <w:rFonts w:hint="eastAsia" w:eastAsia="宋体"/>
                <w:color w:val="000000"/>
                <w:kern w:val="0"/>
                <w:sz w:val="24"/>
                <w:lang w:bidi="ar"/>
              </w:rPr>
            </w:pPr>
            <w:r>
              <w:rPr>
                <w:rFonts w:hint="eastAsia" w:eastAsia="宋体"/>
                <w:color w:val="000000"/>
                <w:kern w:val="0"/>
                <w:sz w:val="24"/>
                <w:lang w:bidi="ar"/>
              </w:rPr>
              <w:t>1.履行政治领导责任，贯彻落实党的路线方针政策</w:t>
            </w:r>
          </w:p>
          <w:p w14:paraId="19E31965">
            <w:pPr>
              <w:widowControl/>
              <w:spacing w:line="300" w:lineRule="exact"/>
              <w:jc w:val="left"/>
              <w:textAlignment w:val="center"/>
              <w:rPr>
                <w:rFonts w:hint="eastAsia" w:eastAsia="宋体"/>
                <w:color w:val="000000"/>
                <w:kern w:val="0"/>
                <w:sz w:val="24"/>
                <w:lang w:bidi="ar"/>
              </w:rPr>
            </w:pPr>
            <w:r>
              <w:rPr>
                <w:rFonts w:hint="eastAsia" w:eastAsia="宋体"/>
                <w:color w:val="000000"/>
                <w:kern w:val="0"/>
                <w:sz w:val="24"/>
                <w:lang w:bidi="ar"/>
              </w:rPr>
              <w:t>2履行政治领导责任,学习、宣传、贯彻执行党的理论和路线方针政策，贯彻落实中央、省委、州委、县委的决策部署，发挥好把方向、管大局、保落实的重要作用</w:t>
            </w:r>
          </w:p>
          <w:p w14:paraId="59F536B4">
            <w:pPr>
              <w:widowControl/>
              <w:spacing w:line="300" w:lineRule="exact"/>
              <w:jc w:val="left"/>
              <w:textAlignment w:val="center"/>
              <w:rPr>
                <w:rFonts w:hint="eastAsia" w:eastAsia="宋体"/>
                <w:color w:val="000000"/>
                <w:kern w:val="0"/>
                <w:sz w:val="24"/>
                <w:lang w:bidi="ar"/>
              </w:rPr>
            </w:pPr>
            <w:r>
              <w:rPr>
                <w:rFonts w:hint="eastAsia" w:eastAsia="宋体"/>
                <w:color w:val="000000"/>
                <w:kern w:val="0"/>
                <w:sz w:val="24"/>
                <w:lang w:bidi="ar"/>
              </w:rPr>
              <w:t>3.行政审批、政务服务、公共资源交易管理:贯彻落实党中央关于行政审批、政务服务、公共资源管理等工作的方针政策和省委、州委、县委的决策部署，在履职责任过程中坚持和加强党对深化行政审批制度改革、“放管服”改革、行政审批、政务服务、公共资源交易管理等工作的集中统一领导</w:t>
            </w:r>
          </w:p>
          <w:p w14:paraId="45152C44">
            <w:pPr>
              <w:widowControl/>
              <w:spacing w:line="300" w:lineRule="exact"/>
              <w:jc w:val="left"/>
              <w:textAlignment w:val="center"/>
              <w:rPr>
                <w:rFonts w:hint="eastAsia" w:eastAsia="宋体"/>
                <w:color w:val="000000"/>
                <w:kern w:val="0"/>
                <w:sz w:val="24"/>
                <w:lang w:bidi="ar"/>
              </w:rPr>
            </w:pPr>
            <w:r>
              <w:rPr>
                <w:rFonts w:hint="eastAsia" w:eastAsia="宋体"/>
                <w:color w:val="000000"/>
                <w:kern w:val="0"/>
                <w:sz w:val="24"/>
                <w:lang w:bidi="ar"/>
              </w:rPr>
              <w:t>4.行政审批制度改革和“放管服”改革:负责深化行政审批制度改革和“放管服”改革:指导全县行政审批和政务服务工作、建立和完善相应工作机制，推进标准化建设；承办县直部门划入的行政审批事项，并将结果通报给县直部门；负责窗口人员管理：负责投诉举报的承办、转办和督办；负责各乡镇便民服务中心相关工作的指导和监督。</w:t>
            </w:r>
          </w:p>
          <w:p w14:paraId="19DD236F">
            <w:pPr>
              <w:widowControl/>
              <w:spacing w:line="300" w:lineRule="exact"/>
              <w:jc w:val="left"/>
              <w:textAlignment w:val="center"/>
              <w:rPr>
                <w:rFonts w:hint="eastAsia" w:eastAsia="宋体"/>
                <w:color w:val="000000"/>
                <w:kern w:val="0"/>
                <w:sz w:val="24"/>
                <w:lang w:bidi="ar"/>
              </w:rPr>
            </w:pPr>
            <w:r>
              <w:rPr>
                <w:rFonts w:hint="eastAsia" w:eastAsia="宋体"/>
                <w:color w:val="000000"/>
                <w:kern w:val="0"/>
                <w:sz w:val="24"/>
                <w:lang w:bidi="ar"/>
              </w:rPr>
              <w:t>5.公共资源交易:负责全县公共资源交易管理工作</w:t>
            </w:r>
          </w:p>
          <w:p w14:paraId="77EFE289">
            <w:pPr>
              <w:widowControl/>
              <w:spacing w:line="300" w:lineRule="exact"/>
              <w:jc w:val="left"/>
              <w:textAlignment w:val="center"/>
              <w:rPr>
                <w:rFonts w:hint="eastAsia" w:eastAsia="宋体"/>
                <w:color w:val="000000"/>
                <w:kern w:val="0"/>
                <w:sz w:val="24"/>
                <w:lang w:bidi="ar"/>
              </w:rPr>
            </w:pPr>
            <w:r>
              <w:rPr>
                <w:rFonts w:hint="eastAsia" w:eastAsia="宋体"/>
                <w:color w:val="000000"/>
                <w:kern w:val="0"/>
                <w:sz w:val="24"/>
                <w:lang w:bidi="ar"/>
              </w:rPr>
              <w:t>6.对各镇便民服务中心相关工作的运行进行业务指导和监督，建立和完善高效的政务服务体系。</w:t>
            </w:r>
          </w:p>
          <w:p w14:paraId="5DE8D689">
            <w:pPr>
              <w:widowControl/>
              <w:spacing w:line="300" w:lineRule="exact"/>
              <w:jc w:val="left"/>
              <w:textAlignment w:val="center"/>
              <w:rPr>
                <w:rFonts w:eastAsia="宋体"/>
                <w:color w:val="000000"/>
                <w:sz w:val="24"/>
              </w:rPr>
            </w:pPr>
            <w:r>
              <w:rPr>
                <w:rFonts w:hint="eastAsia" w:eastAsia="宋体"/>
                <w:color w:val="000000"/>
                <w:kern w:val="0"/>
                <w:sz w:val="24"/>
                <w:lang w:bidi="ar"/>
              </w:rPr>
              <w:t>7.驻村工作队员乡镇工作补贴及临时岗位补贴:驻村工作队乡镇工作补贴雅都镇500元每月，一年6000元。临岗补贴400元每月，一年4800元。</w:t>
            </w:r>
          </w:p>
        </w:tc>
      </w:tr>
      <w:tr w14:paraId="53B77CFE">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685500">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年度主要</w:t>
            </w:r>
          </w:p>
          <w:p w14:paraId="72FE17F3">
            <w:pPr>
              <w:widowControl/>
              <w:spacing w:line="300" w:lineRule="exact"/>
              <w:jc w:val="center"/>
              <w:textAlignment w:val="center"/>
              <w:rPr>
                <w:rFonts w:eastAsia="宋体"/>
                <w:color w:val="000000"/>
                <w:sz w:val="24"/>
              </w:rPr>
            </w:pPr>
            <w:r>
              <w:rPr>
                <w:rFonts w:eastAsia="宋体"/>
                <w:color w:val="000000"/>
                <w:kern w:val="0"/>
                <w:sz w:val="24"/>
                <w:lang w:bidi="ar"/>
              </w:rPr>
              <w:t>任务</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22BC8B">
            <w:pPr>
              <w:widowControl/>
              <w:spacing w:line="300" w:lineRule="exact"/>
              <w:jc w:val="center"/>
              <w:textAlignment w:val="center"/>
              <w:rPr>
                <w:rFonts w:eastAsia="宋体"/>
                <w:color w:val="000000"/>
                <w:sz w:val="24"/>
              </w:rPr>
            </w:pPr>
            <w:r>
              <w:rPr>
                <w:rFonts w:eastAsia="宋体"/>
                <w:color w:val="000000"/>
                <w:kern w:val="0"/>
                <w:sz w:val="24"/>
                <w:lang w:bidi="ar"/>
              </w:rPr>
              <w:t>任务名称</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59D7D20">
            <w:pPr>
              <w:widowControl/>
              <w:spacing w:line="300" w:lineRule="exact"/>
              <w:jc w:val="center"/>
              <w:textAlignment w:val="center"/>
              <w:rPr>
                <w:rFonts w:eastAsia="宋体"/>
                <w:color w:val="000000"/>
                <w:sz w:val="24"/>
              </w:rPr>
            </w:pPr>
            <w:r>
              <w:rPr>
                <w:rFonts w:eastAsia="宋体"/>
                <w:color w:val="000000"/>
                <w:kern w:val="0"/>
                <w:sz w:val="24"/>
                <w:lang w:bidi="ar"/>
              </w:rPr>
              <w:t>主要内容</w:t>
            </w:r>
          </w:p>
        </w:tc>
      </w:tr>
      <w:tr w14:paraId="146D6E15">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5A3076">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6D3324">
            <w:pPr>
              <w:widowControl/>
              <w:spacing w:line="300" w:lineRule="exact"/>
              <w:jc w:val="left"/>
              <w:textAlignment w:val="center"/>
              <w:rPr>
                <w:rFonts w:eastAsia="宋体"/>
                <w:color w:val="000000"/>
                <w:sz w:val="24"/>
              </w:rPr>
            </w:pPr>
            <w:r>
              <w:rPr>
                <w:rFonts w:hint="eastAsia" w:eastAsia="宋体"/>
                <w:color w:val="000000"/>
                <w:kern w:val="0"/>
                <w:sz w:val="24"/>
                <w:lang w:bidi="ar"/>
              </w:rPr>
              <w:t>工资福利支出</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382BBFA">
            <w:pPr>
              <w:widowControl/>
              <w:spacing w:line="300" w:lineRule="exact"/>
              <w:jc w:val="left"/>
              <w:textAlignment w:val="center"/>
              <w:rPr>
                <w:rFonts w:eastAsia="宋体"/>
                <w:color w:val="000000"/>
                <w:sz w:val="24"/>
              </w:rPr>
            </w:pPr>
            <w:r>
              <w:rPr>
                <w:rFonts w:hint="eastAsia" w:eastAsia="宋体"/>
                <w:color w:val="000000"/>
                <w:kern w:val="0"/>
                <w:sz w:val="24"/>
                <w:lang w:bidi="ar"/>
              </w:rPr>
              <w:t>职工基本工资、津贴补贴、奖金、绩效工资、机关事业养老保险，职业年金等</w:t>
            </w:r>
          </w:p>
        </w:tc>
      </w:tr>
      <w:tr w14:paraId="26A07644">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F23CA">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751D8E">
            <w:pPr>
              <w:widowControl/>
              <w:spacing w:line="300" w:lineRule="exact"/>
              <w:jc w:val="left"/>
              <w:rPr>
                <w:rFonts w:eastAsia="宋体"/>
                <w:color w:val="000000"/>
                <w:sz w:val="24"/>
              </w:rPr>
            </w:pPr>
            <w:r>
              <w:rPr>
                <w:rFonts w:hint="eastAsia" w:eastAsia="宋体"/>
                <w:color w:val="000000"/>
                <w:sz w:val="24"/>
              </w:rPr>
              <w:t>商品和服务支出</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0CF94CA">
            <w:pPr>
              <w:widowControl/>
              <w:spacing w:line="300" w:lineRule="exact"/>
              <w:jc w:val="left"/>
              <w:rPr>
                <w:rFonts w:eastAsia="宋体"/>
                <w:color w:val="000000"/>
                <w:sz w:val="24"/>
              </w:rPr>
            </w:pPr>
            <w:r>
              <w:rPr>
                <w:rFonts w:hint="eastAsia" w:eastAsia="宋体"/>
                <w:color w:val="000000"/>
                <w:sz w:val="24"/>
              </w:rPr>
              <w:t>单位日常运转经费：办公费、差旅费、邮电费、维修（护）费、培训费、公务接待费等</w:t>
            </w:r>
          </w:p>
        </w:tc>
      </w:tr>
      <w:tr w14:paraId="3042EAC9">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B6B4F0">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E97F1F">
            <w:pPr>
              <w:widowControl/>
              <w:spacing w:line="300" w:lineRule="exact"/>
              <w:jc w:val="left"/>
              <w:rPr>
                <w:rFonts w:eastAsia="宋体"/>
                <w:color w:val="000000"/>
                <w:sz w:val="24"/>
              </w:rPr>
            </w:pPr>
            <w:r>
              <w:rPr>
                <w:rFonts w:hint="eastAsia" w:eastAsia="宋体"/>
                <w:color w:val="000000"/>
                <w:sz w:val="24"/>
              </w:rPr>
              <w:t>政务大厅日常运行经费</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340CD58">
            <w:pPr>
              <w:widowControl/>
              <w:spacing w:line="300" w:lineRule="exact"/>
              <w:jc w:val="left"/>
              <w:rPr>
                <w:rFonts w:eastAsia="宋体"/>
                <w:color w:val="000000"/>
                <w:sz w:val="24"/>
              </w:rPr>
            </w:pPr>
            <w:r>
              <w:rPr>
                <w:rFonts w:hint="eastAsia" w:eastAsia="宋体"/>
                <w:color w:val="000000"/>
                <w:sz w:val="24"/>
              </w:rPr>
              <w:t>大厅日常设备维护费、办公用品、耗材</w:t>
            </w:r>
          </w:p>
        </w:tc>
      </w:tr>
      <w:tr w14:paraId="08B8AC2E">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DC7BDB">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FE2744">
            <w:pPr>
              <w:widowControl/>
              <w:spacing w:line="300" w:lineRule="exact"/>
              <w:jc w:val="left"/>
              <w:rPr>
                <w:rFonts w:eastAsia="宋体"/>
                <w:color w:val="000000"/>
                <w:sz w:val="24"/>
              </w:rPr>
            </w:pPr>
            <w:r>
              <w:rPr>
                <w:rFonts w:hint="eastAsia" w:eastAsia="宋体"/>
                <w:color w:val="000000"/>
                <w:sz w:val="24"/>
              </w:rPr>
              <w:t>政务辅助人员工资</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19A376B">
            <w:pPr>
              <w:widowControl/>
              <w:spacing w:line="300" w:lineRule="exact"/>
              <w:jc w:val="left"/>
              <w:rPr>
                <w:rFonts w:eastAsia="宋体"/>
                <w:color w:val="000000"/>
                <w:sz w:val="24"/>
              </w:rPr>
            </w:pPr>
            <w:r>
              <w:rPr>
                <w:rFonts w:hint="eastAsia" w:eastAsia="宋体"/>
                <w:color w:val="000000"/>
                <w:sz w:val="24"/>
              </w:rPr>
              <w:t>为提高行政审批效率和政务服务水平支付劳务费</w:t>
            </w:r>
          </w:p>
        </w:tc>
      </w:tr>
      <w:tr w14:paraId="5CB906C1">
        <w:tblPrEx>
          <w:tblCellMar>
            <w:top w:w="15" w:type="dxa"/>
            <w:left w:w="15" w:type="dxa"/>
            <w:bottom w:w="15" w:type="dxa"/>
            <w:right w:w="15" w:type="dxa"/>
          </w:tblCellMar>
        </w:tblPrEx>
        <w:trPr>
          <w:trHeight w:val="23" w:hRule="atLeast"/>
          <w:jc w:val="center"/>
        </w:trPr>
        <w:tc>
          <w:tcPr>
            <w:tcW w:w="130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98F0174">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年度绩效</w:t>
            </w:r>
          </w:p>
          <w:p w14:paraId="2753A7D1">
            <w:pPr>
              <w:widowControl/>
              <w:spacing w:line="300" w:lineRule="exact"/>
              <w:jc w:val="center"/>
              <w:textAlignment w:val="center"/>
              <w:rPr>
                <w:rFonts w:eastAsia="宋体"/>
                <w:color w:val="000000"/>
                <w:sz w:val="24"/>
              </w:rPr>
            </w:pPr>
            <w:r>
              <w:rPr>
                <w:rFonts w:eastAsia="宋体"/>
                <w:color w:val="000000"/>
                <w:kern w:val="0"/>
                <w:sz w:val="24"/>
                <w:lang w:bidi="ar"/>
              </w:rPr>
              <w:t>指标</w:t>
            </w:r>
          </w:p>
        </w:tc>
        <w:tc>
          <w:tcPr>
            <w:tcW w:w="1347" w:type="dxa"/>
            <w:tcBorders>
              <w:top w:val="single" w:color="auto" w:sz="4" w:space="0"/>
              <w:left w:val="single" w:color="auto" w:sz="4" w:space="0"/>
              <w:bottom w:val="single" w:color="auto" w:sz="4" w:space="0"/>
              <w:right w:val="single" w:color="auto" w:sz="4" w:space="0"/>
            </w:tcBorders>
            <w:shd w:val="clear" w:color="auto" w:fill="auto"/>
            <w:vAlign w:val="center"/>
          </w:tcPr>
          <w:p w14:paraId="268EC811">
            <w:pPr>
              <w:widowControl/>
              <w:spacing w:line="300" w:lineRule="exact"/>
              <w:jc w:val="center"/>
              <w:textAlignment w:val="center"/>
              <w:rPr>
                <w:rFonts w:eastAsia="宋体"/>
                <w:color w:val="000000"/>
                <w:sz w:val="24"/>
              </w:rPr>
            </w:pPr>
            <w:r>
              <w:rPr>
                <w:rFonts w:eastAsia="宋体"/>
                <w:color w:val="000000"/>
                <w:kern w:val="0"/>
                <w:sz w:val="24"/>
                <w:lang w:bidi="ar"/>
              </w:rPr>
              <w:t>一级指标</w:t>
            </w:r>
          </w:p>
        </w:tc>
        <w:tc>
          <w:tcPr>
            <w:tcW w:w="1273" w:type="dxa"/>
            <w:tcBorders>
              <w:top w:val="single" w:color="auto" w:sz="4" w:space="0"/>
              <w:left w:val="single" w:color="auto" w:sz="4" w:space="0"/>
              <w:bottom w:val="single" w:color="auto" w:sz="4" w:space="0"/>
              <w:right w:val="single" w:color="auto" w:sz="4" w:space="0"/>
            </w:tcBorders>
            <w:shd w:val="clear" w:color="auto" w:fill="auto"/>
            <w:vAlign w:val="center"/>
          </w:tcPr>
          <w:p w14:paraId="143AB295">
            <w:pPr>
              <w:widowControl/>
              <w:spacing w:line="300" w:lineRule="exact"/>
              <w:jc w:val="center"/>
              <w:textAlignment w:val="center"/>
              <w:rPr>
                <w:rFonts w:eastAsia="宋体"/>
                <w:color w:val="000000"/>
                <w:sz w:val="24"/>
              </w:rPr>
            </w:pPr>
            <w:r>
              <w:rPr>
                <w:rFonts w:eastAsia="宋体"/>
                <w:color w:val="000000"/>
                <w:kern w:val="0"/>
                <w:sz w:val="24"/>
                <w:lang w:bidi="ar"/>
              </w:rPr>
              <w:t>二级指标</w:t>
            </w:r>
          </w:p>
        </w:tc>
        <w:tc>
          <w:tcPr>
            <w:tcW w:w="1851" w:type="dxa"/>
            <w:tcBorders>
              <w:top w:val="single" w:color="auto" w:sz="4" w:space="0"/>
              <w:left w:val="single" w:color="auto" w:sz="4" w:space="0"/>
              <w:bottom w:val="single" w:color="auto" w:sz="4" w:space="0"/>
              <w:right w:val="single" w:color="auto" w:sz="4" w:space="0"/>
            </w:tcBorders>
            <w:shd w:val="clear" w:color="auto" w:fill="auto"/>
            <w:vAlign w:val="center"/>
          </w:tcPr>
          <w:p w14:paraId="67EFAA96">
            <w:pPr>
              <w:widowControl/>
              <w:spacing w:line="300" w:lineRule="exact"/>
              <w:jc w:val="center"/>
              <w:textAlignment w:val="center"/>
              <w:rPr>
                <w:rFonts w:eastAsia="宋体"/>
                <w:color w:val="000000"/>
                <w:sz w:val="24"/>
              </w:rPr>
            </w:pPr>
            <w:r>
              <w:rPr>
                <w:rFonts w:eastAsia="宋体"/>
                <w:color w:val="000000"/>
                <w:kern w:val="0"/>
                <w:sz w:val="24"/>
                <w:lang w:bidi="ar"/>
              </w:rPr>
              <w:t>三级指标</w:t>
            </w:r>
          </w:p>
        </w:tc>
        <w:tc>
          <w:tcPr>
            <w:tcW w:w="1035" w:type="dxa"/>
            <w:tcBorders>
              <w:top w:val="single" w:color="auto" w:sz="4" w:space="0"/>
              <w:left w:val="single" w:color="auto" w:sz="4" w:space="0"/>
              <w:bottom w:val="single" w:color="auto" w:sz="4" w:space="0"/>
              <w:right w:val="single" w:color="auto" w:sz="4" w:space="0"/>
            </w:tcBorders>
            <w:shd w:val="clear" w:color="auto" w:fill="auto"/>
            <w:vAlign w:val="center"/>
          </w:tcPr>
          <w:p w14:paraId="1AD0FCA3">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绩效指标</w:t>
            </w:r>
          </w:p>
          <w:p w14:paraId="717BAAF4">
            <w:pPr>
              <w:widowControl/>
              <w:spacing w:line="300" w:lineRule="exact"/>
              <w:jc w:val="center"/>
              <w:textAlignment w:val="center"/>
              <w:rPr>
                <w:rFonts w:eastAsia="宋体"/>
                <w:color w:val="000000"/>
                <w:sz w:val="24"/>
              </w:rPr>
            </w:pPr>
            <w:r>
              <w:rPr>
                <w:rFonts w:eastAsia="宋体"/>
                <w:color w:val="000000"/>
                <w:kern w:val="0"/>
                <w:sz w:val="24"/>
                <w:lang w:bidi="ar"/>
              </w:rPr>
              <w:t>性质</w:t>
            </w:r>
          </w:p>
        </w:tc>
        <w:tc>
          <w:tcPr>
            <w:tcW w:w="1095" w:type="dxa"/>
            <w:tcBorders>
              <w:top w:val="single" w:color="000000" w:sz="4" w:space="0"/>
              <w:left w:val="single" w:color="auto" w:sz="4" w:space="0"/>
              <w:bottom w:val="single" w:color="000000" w:sz="4" w:space="0"/>
              <w:right w:val="single" w:color="000000" w:sz="4" w:space="0"/>
            </w:tcBorders>
            <w:shd w:val="clear" w:color="auto" w:fill="auto"/>
            <w:vAlign w:val="center"/>
          </w:tcPr>
          <w:p w14:paraId="68E968A5">
            <w:pPr>
              <w:widowControl/>
              <w:spacing w:line="300" w:lineRule="exact"/>
              <w:jc w:val="center"/>
              <w:textAlignment w:val="center"/>
              <w:rPr>
                <w:rFonts w:eastAsia="宋体"/>
                <w:color w:val="000000"/>
                <w:sz w:val="24"/>
              </w:rPr>
            </w:pPr>
            <w:r>
              <w:rPr>
                <w:rFonts w:eastAsia="宋体"/>
                <w:color w:val="000000"/>
                <w:kern w:val="0"/>
                <w:sz w:val="24"/>
                <w:lang w:bidi="ar"/>
              </w:rPr>
              <w:t>绩效指标值</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82E19">
            <w:pPr>
              <w:widowControl/>
              <w:spacing w:line="300" w:lineRule="exact"/>
              <w:jc w:val="center"/>
              <w:textAlignment w:val="center"/>
              <w:rPr>
                <w:rFonts w:eastAsia="宋体"/>
                <w:color w:val="000000"/>
                <w:sz w:val="24"/>
              </w:rPr>
            </w:pPr>
            <w:r>
              <w:rPr>
                <w:rFonts w:eastAsia="宋体"/>
                <w:color w:val="000000"/>
                <w:kern w:val="0"/>
                <w:sz w:val="24"/>
                <w:lang w:bidi="ar"/>
              </w:rPr>
              <w:t>绩效度量单位</w:t>
            </w:r>
          </w:p>
        </w:tc>
        <w:tc>
          <w:tcPr>
            <w:tcW w:w="622" w:type="dxa"/>
            <w:tcBorders>
              <w:top w:val="single" w:color="000000" w:sz="4" w:space="0"/>
              <w:left w:val="single" w:color="000000" w:sz="4" w:space="0"/>
              <w:bottom w:val="single" w:color="000000" w:sz="4" w:space="0"/>
            </w:tcBorders>
            <w:shd w:val="clear" w:color="auto" w:fill="auto"/>
            <w:vAlign w:val="center"/>
          </w:tcPr>
          <w:p w14:paraId="43CDDC76">
            <w:pPr>
              <w:widowControl/>
              <w:spacing w:line="300" w:lineRule="exact"/>
              <w:jc w:val="center"/>
              <w:textAlignment w:val="center"/>
              <w:rPr>
                <w:rFonts w:eastAsia="宋体"/>
                <w:color w:val="000000"/>
                <w:sz w:val="24"/>
              </w:rPr>
            </w:pPr>
            <w:r>
              <w:rPr>
                <w:rFonts w:eastAsia="宋体"/>
                <w:color w:val="000000"/>
                <w:kern w:val="0"/>
                <w:sz w:val="24"/>
                <w:lang w:bidi="ar"/>
              </w:rPr>
              <w:t>权重</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FD726">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实际完成</w:t>
            </w:r>
          </w:p>
          <w:p w14:paraId="5BE03B37">
            <w:pPr>
              <w:widowControl/>
              <w:spacing w:line="300" w:lineRule="exact"/>
              <w:jc w:val="center"/>
              <w:textAlignment w:val="center"/>
              <w:rPr>
                <w:rFonts w:eastAsia="宋体"/>
                <w:color w:val="000000"/>
                <w:sz w:val="24"/>
              </w:rPr>
            </w:pPr>
            <w:r>
              <w:rPr>
                <w:rFonts w:eastAsia="宋体"/>
                <w:color w:val="000000"/>
                <w:kern w:val="0"/>
                <w:sz w:val="24"/>
                <w:lang w:bidi="ar"/>
              </w:rPr>
              <w:t>指标值</w:t>
            </w:r>
          </w:p>
        </w:tc>
      </w:tr>
      <w:tr w14:paraId="63D7DD29">
        <w:tblPrEx>
          <w:tblCellMar>
            <w:top w:w="15" w:type="dxa"/>
            <w:left w:w="15" w:type="dxa"/>
            <w:bottom w:w="15" w:type="dxa"/>
            <w:right w:w="15" w:type="dxa"/>
          </w:tblCellMar>
        </w:tblPrEx>
        <w:trPr>
          <w:trHeight w:val="23" w:hRule="atLeast"/>
          <w:jc w:val="center"/>
        </w:trPr>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BC7DA0A">
            <w:pPr>
              <w:widowControl/>
              <w:spacing w:line="300" w:lineRule="exact"/>
              <w:jc w:val="center"/>
              <w:rPr>
                <w:rFonts w:eastAsia="宋体"/>
                <w:color w:val="000000"/>
                <w:sz w:val="24"/>
              </w:rPr>
            </w:pPr>
          </w:p>
        </w:tc>
        <w:tc>
          <w:tcPr>
            <w:tcW w:w="134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2B66CE1">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产出指标</w:t>
            </w:r>
          </w:p>
        </w:tc>
        <w:tc>
          <w:tcPr>
            <w:tcW w:w="1273" w:type="dxa"/>
            <w:tcBorders>
              <w:top w:val="single" w:color="auto" w:sz="4" w:space="0"/>
              <w:left w:val="single" w:color="auto" w:sz="4" w:space="0"/>
              <w:bottom w:val="single" w:color="auto" w:sz="4" w:space="0"/>
              <w:right w:val="single" w:color="auto" w:sz="4" w:space="0"/>
            </w:tcBorders>
            <w:shd w:val="clear" w:color="auto" w:fill="auto"/>
            <w:vAlign w:val="center"/>
          </w:tcPr>
          <w:p w14:paraId="1BDC0043">
            <w:pPr>
              <w:keepNext w:val="0"/>
              <w:keepLines w:val="0"/>
              <w:widowControl/>
              <w:suppressLineNumbers w:val="0"/>
              <w:jc w:val="left"/>
              <w:textAlignment w:val="center"/>
              <w:rPr>
                <w:rFonts w:eastAsia="宋体"/>
                <w:color w:val="000000"/>
                <w:sz w:val="18"/>
                <w:szCs w:val="18"/>
              </w:rPr>
            </w:pPr>
            <w:r>
              <w:rPr>
                <w:rFonts w:ascii="宋体" w:hAnsi="宋体" w:eastAsia="宋体" w:cs="宋体"/>
                <w:i w:val="0"/>
                <w:iCs w:val="0"/>
                <w:color w:val="000000"/>
                <w:kern w:val="0"/>
                <w:sz w:val="18"/>
                <w:szCs w:val="18"/>
                <w:u w:val="none"/>
                <w:lang w:val="en-US" w:eastAsia="zh-CN" w:bidi="ar"/>
              </w:rPr>
              <w:t>数量指标</w:t>
            </w:r>
          </w:p>
        </w:tc>
        <w:tc>
          <w:tcPr>
            <w:tcW w:w="1851" w:type="dxa"/>
            <w:tcBorders>
              <w:top w:val="single" w:color="auto" w:sz="4" w:space="0"/>
              <w:left w:val="single" w:color="auto" w:sz="4" w:space="0"/>
              <w:bottom w:val="single" w:color="auto" w:sz="4" w:space="0"/>
              <w:right w:val="single" w:color="auto" w:sz="4" w:space="0"/>
            </w:tcBorders>
            <w:shd w:val="clear" w:color="auto" w:fill="auto"/>
            <w:vAlign w:val="center"/>
          </w:tcPr>
          <w:p w14:paraId="7B97FB31">
            <w:pPr>
              <w:keepNext w:val="0"/>
              <w:keepLines w:val="0"/>
              <w:widowControl/>
              <w:suppressLineNumbers w:val="0"/>
              <w:jc w:val="left"/>
              <w:textAlignment w:val="center"/>
              <w:rPr>
                <w:rFonts w:eastAsia="宋体"/>
                <w:color w:val="000000"/>
                <w:sz w:val="18"/>
                <w:szCs w:val="18"/>
              </w:rPr>
            </w:pPr>
            <w:r>
              <w:rPr>
                <w:rFonts w:ascii="宋体" w:hAnsi="宋体" w:eastAsia="宋体" w:cs="宋体"/>
                <w:i w:val="0"/>
                <w:iCs w:val="0"/>
                <w:color w:val="000000"/>
                <w:kern w:val="0"/>
                <w:sz w:val="18"/>
                <w:szCs w:val="18"/>
                <w:u w:val="none"/>
                <w:lang w:val="en-US" w:eastAsia="zh-CN" w:bidi="ar"/>
              </w:rPr>
              <w:t>完成全县行政审批、公共资源交易工作、政务服务工作</w:t>
            </w:r>
          </w:p>
        </w:tc>
        <w:tc>
          <w:tcPr>
            <w:tcW w:w="1035" w:type="dxa"/>
            <w:tcBorders>
              <w:top w:val="single" w:color="auto" w:sz="4" w:space="0"/>
              <w:left w:val="single" w:color="auto" w:sz="4" w:space="0"/>
              <w:bottom w:val="single" w:color="auto" w:sz="4" w:space="0"/>
              <w:right w:val="single" w:color="auto" w:sz="4" w:space="0"/>
            </w:tcBorders>
            <w:shd w:val="clear" w:color="auto" w:fill="auto"/>
            <w:vAlign w:val="center"/>
          </w:tcPr>
          <w:p w14:paraId="0AF1EA61">
            <w:pPr>
              <w:keepNext w:val="0"/>
              <w:keepLines w:val="0"/>
              <w:widowControl/>
              <w:suppressLineNumbers w:val="0"/>
              <w:jc w:val="left"/>
              <w:textAlignment w:val="center"/>
              <w:rPr>
                <w:rFonts w:eastAsia="宋体"/>
                <w:color w:val="000000"/>
                <w:sz w:val="18"/>
                <w:szCs w:val="18"/>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auto" w:sz="4" w:space="0"/>
              <w:bottom w:val="single" w:color="000000" w:sz="4" w:space="0"/>
              <w:right w:val="single" w:color="000000" w:sz="4" w:space="0"/>
            </w:tcBorders>
            <w:shd w:val="clear" w:color="auto" w:fill="auto"/>
            <w:vAlign w:val="center"/>
          </w:tcPr>
          <w:p w14:paraId="35819B4F">
            <w:pPr>
              <w:keepNext w:val="0"/>
              <w:keepLines w:val="0"/>
              <w:widowControl/>
              <w:suppressLineNumbers w:val="0"/>
              <w:jc w:val="left"/>
              <w:textAlignment w:val="center"/>
              <w:rPr>
                <w:rFonts w:hint="default" w:eastAsia="宋体"/>
                <w:color w:val="000000"/>
                <w:sz w:val="18"/>
                <w:szCs w:val="18"/>
                <w:lang w:val="en-US"/>
              </w:rPr>
            </w:pPr>
            <w:r>
              <w:rPr>
                <w:rFonts w:hint="eastAsia" w:ascii="宋体" w:hAnsi="宋体" w:eastAsia="宋体" w:cs="宋体"/>
                <w:i w:val="0"/>
                <w:iCs w:val="0"/>
                <w:color w:val="000000"/>
                <w:kern w:val="0"/>
                <w:sz w:val="18"/>
                <w:szCs w:val="18"/>
                <w:u w:val="none"/>
                <w:lang w:val="en-US" w:eastAsia="zh-CN" w:bidi="ar"/>
              </w:rPr>
              <w:t>426.66</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D79B0">
            <w:pPr>
              <w:keepNext w:val="0"/>
              <w:keepLines w:val="0"/>
              <w:widowControl/>
              <w:suppressLineNumbers w:val="0"/>
              <w:jc w:val="left"/>
              <w:textAlignment w:val="center"/>
              <w:rPr>
                <w:rFonts w:eastAsia="宋体"/>
                <w:color w:val="000000"/>
                <w:sz w:val="18"/>
                <w:szCs w:val="18"/>
              </w:rPr>
            </w:pPr>
            <w:r>
              <w:rPr>
                <w:rFonts w:ascii="宋体" w:hAnsi="宋体" w:eastAsia="宋体" w:cs="宋体"/>
                <w:i w:val="0"/>
                <w:iCs w:val="0"/>
                <w:color w:val="000000"/>
                <w:kern w:val="0"/>
                <w:sz w:val="18"/>
                <w:szCs w:val="18"/>
                <w:u w:val="none"/>
                <w:lang w:val="en-US" w:eastAsia="zh-CN" w:bidi="ar"/>
              </w:rPr>
              <w:t>万</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C5EEC">
            <w:pPr>
              <w:keepNext w:val="0"/>
              <w:keepLines w:val="0"/>
              <w:widowControl/>
              <w:suppressLineNumbers w:val="0"/>
              <w:jc w:val="left"/>
              <w:textAlignment w:val="center"/>
              <w:rPr>
                <w:rFonts w:eastAsia="宋体"/>
                <w:color w:val="000000"/>
                <w:sz w:val="18"/>
                <w:szCs w:val="18"/>
              </w:rPr>
            </w:pPr>
            <w:r>
              <w:rPr>
                <w:rFonts w:hint="eastAsia" w:eastAsia="宋体"/>
                <w:color w:val="000000"/>
                <w:sz w:val="18"/>
                <w:szCs w:val="18"/>
                <w:lang w:val="en-US" w:eastAsia="zh-CN"/>
              </w:rPr>
              <w:t>20%</w:t>
            </w:r>
          </w:p>
        </w:tc>
        <w:tc>
          <w:tcPr>
            <w:tcW w:w="1114" w:type="dxa"/>
            <w:tcBorders>
              <w:left w:val="single" w:color="000000" w:sz="4" w:space="0"/>
              <w:bottom w:val="single" w:color="000000" w:sz="4" w:space="0"/>
              <w:right w:val="single" w:color="000000" w:sz="4" w:space="0"/>
            </w:tcBorders>
            <w:shd w:val="clear" w:color="auto" w:fill="auto"/>
            <w:vAlign w:val="center"/>
          </w:tcPr>
          <w:p w14:paraId="638CAF8F">
            <w:pPr>
              <w:widowControl/>
              <w:spacing w:line="300" w:lineRule="exact"/>
              <w:jc w:val="left"/>
              <w:textAlignment w:val="center"/>
              <w:rPr>
                <w:rFonts w:hint="default" w:eastAsia="宋体"/>
                <w:color w:val="000000"/>
                <w:sz w:val="18"/>
                <w:szCs w:val="18"/>
                <w:lang w:val="en-US" w:eastAsia="zh-CN"/>
              </w:rPr>
            </w:pPr>
            <w:r>
              <w:rPr>
                <w:rFonts w:hint="eastAsia" w:eastAsia="宋体"/>
                <w:color w:val="000000"/>
                <w:sz w:val="24"/>
                <w:lang w:val="en-US" w:eastAsia="zh-CN"/>
              </w:rPr>
              <w:t>100%</w:t>
            </w:r>
          </w:p>
        </w:tc>
      </w:tr>
      <w:tr w14:paraId="264C5E21">
        <w:tblPrEx>
          <w:tblCellMar>
            <w:top w:w="15" w:type="dxa"/>
            <w:left w:w="15" w:type="dxa"/>
            <w:bottom w:w="15" w:type="dxa"/>
            <w:right w:w="15" w:type="dxa"/>
          </w:tblCellMar>
        </w:tblPrEx>
        <w:trPr>
          <w:trHeight w:val="23" w:hRule="atLeast"/>
          <w:jc w:val="center"/>
        </w:trPr>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F0162C4">
            <w:pPr>
              <w:widowControl/>
              <w:spacing w:line="300" w:lineRule="exact"/>
              <w:jc w:val="center"/>
              <w:rPr>
                <w:rFonts w:eastAsia="宋体"/>
                <w:color w:val="000000"/>
                <w:sz w:val="24"/>
              </w:rPr>
            </w:pPr>
          </w:p>
        </w:tc>
        <w:tc>
          <w:tcPr>
            <w:tcW w:w="13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99E0D28">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p>
        </w:tc>
        <w:tc>
          <w:tcPr>
            <w:tcW w:w="1273" w:type="dxa"/>
            <w:tcBorders>
              <w:top w:val="single" w:color="auto" w:sz="4" w:space="0"/>
              <w:left w:val="single" w:color="auto" w:sz="4" w:space="0"/>
              <w:bottom w:val="single" w:color="auto" w:sz="4" w:space="0"/>
              <w:right w:val="single" w:color="auto" w:sz="4" w:space="0"/>
            </w:tcBorders>
            <w:shd w:val="clear" w:color="auto" w:fill="auto"/>
            <w:vAlign w:val="center"/>
          </w:tcPr>
          <w:p w14:paraId="6C527690">
            <w:pPr>
              <w:widowControl/>
              <w:spacing w:line="300" w:lineRule="exact"/>
              <w:jc w:val="center"/>
              <w:textAlignment w:val="center"/>
              <w:rPr>
                <w:rFonts w:ascii="宋体" w:hAnsi="宋体" w:eastAsia="宋体" w:cs="宋体"/>
                <w:i w:val="0"/>
                <w:iCs w:val="0"/>
                <w:color w:val="000000"/>
                <w:kern w:val="0"/>
                <w:sz w:val="18"/>
                <w:szCs w:val="18"/>
                <w:u w:val="none"/>
                <w:lang w:val="en-US" w:eastAsia="zh-CN" w:bidi="ar"/>
              </w:rPr>
            </w:pPr>
            <w:r>
              <w:rPr>
                <w:rFonts w:eastAsia="宋体"/>
                <w:color w:val="000000"/>
                <w:kern w:val="0"/>
                <w:sz w:val="18"/>
                <w:szCs w:val="18"/>
                <w:lang w:bidi="ar"/>
              </w:rPr>
              <w:t>质量指标</w:t>
            </w:r>
          </w:p>
        </w:tc>
        <w:tc>
          <w:tcPr>
            <w:tcW w:w="1851" w:type="dxa"/>
            <w:tcBorders>
              <w:top w:val="single" w:color="auto" w:sz="4" w:space="0"/>
              <w:left w:val="single" w:color="auto" w:sz="4" w:space="0"/>
              <w:bottom w:val="single" w:color="auto" w:sz="4" w:space="0"/>
              <w:right w:val="single" w:color="auto" w:sz="4" w:space="0"/>
            </w:tcBorders>
            <w:shd w:val="clear" w:color="auto" w:fill="auto"/>
            <w:vAlign w:val="center"/>
          </w:tcPr>
          <w:p w14:paraId="1D24AE03">
            <w:pPr>
              <w:widowControl/>
              <w:spacing w:line="300" w:lineRule="exact"/>
              <w:jc w:val="left"/>
              <w:rPr>
                <w:rFonts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进一步优化政务服务，</w:t>
            </w:r>
            <w:r>
              <w:rPr>
                <w:rFonts w:hint="eastAsia" w:ascii="仿宋" w:hAnsi="仿宋" w:eastAsia="仿宋" w:cs="仿宋_GB2312"/>
                <w:color w:val="auto"/>
                <w:sz w:val="18"/>
                <w:szCs w:val="18"/>
                <w:lang w:eastAsia="zh-CN"/>
              </w:rPr>
              <w:t>提升政务服务效能，</w:t>
            </w:r>
          </w:p>
        </w:tc>
        <w:tc>
          <w:tcPr>
            <w:tcW w:w="1035" w:type="dxa"/>
            <w:tcBorders>
              <w:top w:val="single" w:color="auto" w:sz="4" w:space="0"/>
              <w:left w:val="single" w:color="auto" w:sz="4" w:space="0"/>
              <w:bottom w:val="single" w:color="auto" w:sz="4" w:space="0"/>
              <w:right w:val="single" w:color="auto" w:sz="4" w:space="0"/>
            </w:tcBorders>
            <w:shd w:val="clear" w:color="auto" w:fill="auto"/>
            <w:vAlign w:val="center"/>
          </w:tcPr>
          <w:p w14:paraId="2DFF5458">
            <w:pPr>
              <w:widowControl/>
              <w:spacing w:line="300" w:lineRule="exact"/>
              <w:jc w:val="left"/>
              <w:rPr>
                <w:rFonts w:ascii="宋体" w:hAnsi="宋体" w:eastAsia="宋体" w:cs="宋体"/>
                <w:i w:val="0"/>
                <w:iCs w:val="0"/>
                <w:color w:val="000000"/>
                <w:kern w:val="0"/>
                <w:sz w:val="18"/>
                <w:szCs w:val="18"/>
                <w:u w:val="none"/>
                <w:lang w:val="en-US" w:eastAsia="zh-CN" w:bidi="ar"/>
              </w:rPr>
            </w:pPr>
            <w:r>
              <w:rPr>
                <w:rFonts w:hint="eastAsia" w:eastAsia="宋体"/>
                <w:color w:val="000000"/>
                <w:sz w:val="18"/>
                <w:szCs w:val="18"/>
                <w:lang w:val="en-US" w:eastAsia="zh-CN"/>
              </w:rPr>
              <w:t>=</w:t>
            </w:r>
          </w:p>
        </w:tc>
        <w:tc>
          <w:tcPr>
            <w:tcW w:w="1095" w:type="dxa"/>
            <w:tcBorders>
              <w:top w:val="single" w:color="000000" w:sz="4" w:space="0"/>
              <w:left w:val="single" w:color="auto" w:sz="4" w:space="0"/>
              <w:bottom w:val="single" w:color="000000" w:sz="4" w:space="0"/>
              <w:right w:val="single" w:color="000000" w:sz="4" w:space="0"/>
            </w:tcBorders>
            <w:shd w:val="clear" w:color="auto" w:fill="auto"/>
            <w:vAlign w:val="center"/>
          </w:tcPr>
          <w:p w14:paraId="526BAD35">
            <w:pPr>
              <w:widowControl/>
              <w:spacing w:line="300" w:lineRule="exact"/>
              <w:jc w:val="left"/>
              <w:rPr>
                <w:rFonts w:ascii="宋体" w:hAnsi="宋体" w:eastAsia="宋体" w:cs="宋体"/>
                <w:i w:val="0"/>
                <w:iCs w:val="0"/>
                <w:color w:val="000000"/>
                <w:kern w:val="0"/>
                <w:sz w:val="18"/>
                <w:szCs w:val="18"/>
                <w:u w:val="none"/>
                <w:lang w:val="en-US" w:eastAsia="zh-CN" w:bidi="ar"/>
              </w:rPr>
            </w:pPr>
            <w:r>
              <w:rPr>
                <w:rFonts w:hint="eastAsia" w:eastAsia="宋体"/>
                <w:color w:val="000000"/>
                <w:sz w:val="18"/>
                <w:szCs w:val="18"/>
                <w:lang w:val="en-US" w:eastAsia="zh-CN"/>
              </w:rPr>
              <w:t>100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5E680">
            <w:pPr>
              <w:widowControl/>
              <w:spacing w:line="300" w:lineRule="exact"/>
              <w:jc w:val="left"/>
              <w:rPr>
                <w:rFonts w:eastAsia="宋体"/>
                <w:color w:val="000000"/>
                <w:sz w:val="18"/>
                <w:szCs w:val="18"/>
              </w:rPr>
            </w:pPr>
            <w:r>
              <w:rPr>
                <w:rFonts w:hint="eastAsia" w:eastAsia="宋体"/>
                <w:color w:val="000000"/>
                <w:sz w:val="18"/>
                <w:szCs w:val="18"/>
                <w:lang w:val="en-US" w:eastAsia="zh-CN"/>
              </w:rPr>
              <w:t>%</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63A2B">
            <w:pPr>
              <w:widowControl/>
              <w:spacing w:line="300" w:lineRule="exact"/>
              <w:jc w:val="left"/>
              <w:rPr>
                <w:rFonts w:ascii="宋体" w:hAnsi="宋体" w:eastAsia="宋体" w:cs="宋体"/>
                <w:i w:val="0"/>
                <w:iCs w:val="0"/>
                <w:color w:val="000000"/>
                <w:kern w:val="0"/>
                <w:sz w:val="18"/>
                <w:szCs w:val="18"/>
                <w:u w:val="none"/>
                <w:lang w:val="en-US" w:eastAsia="zh-CN" w:bidi="ar"/>
              </w:rPr>
            </w:pPr>
            <w:r>
              <w:rPr>
                <w:rFonts w:hint="eastAsia" w:eastAsia="宋体"/>
                <w:color w:val="000000"/>
                <w:sz w:val="18"/>
                <w:szCs w:val="18"/>
                <w:lang w:val="en-US" w:eastAsia="zh-CN"/>
              </w:rPr>
              <w:t>20%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04F2C">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hint="eastAsia" w:eastAsia="宋体"/>
                <w:color w:val="000000"/>
                <w:sz w:val="24"/>
                <w:lang w:val="en-US" w:eastAsia="zh-CN"/>
              </w:rPr>
              <w:t>100%</w:t>
            </w:r>
          </w:p>
        </w:tc>
      </w:tr>
      <w:tr w14:paraId="2246013A">
        <w:tblPrEx>
          <w:tblCellMar>
            <w:top w:w="15" w:type="dxa"/>
            <w:left w:w="15" w:type="dxa"/>
            <w:bottom w:w="15" w:type="dxa"/>
            <w:right w:w="15" w:type="dxa"/>
          </w:tblCellMar>
        </w:tblPrEx>
        <w:trPr>
          <w:trHeight w:val="23" w:hRule="atLeast"/>
          <w:jc w:val="center"/>
        </w:trPr>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9D2894F">
            <w:pPr>
              <w:widowControl/>
              <w:spacing w:line="300" w:lineRule="exact"/>
              <w:jc w:val="center"/>
              <w:rPr>
                <w:rFonts w:eastAsia="宋体"/>
                <w:color w:val="000000"/>
                <w:sz w:val="24"/>
              </w:rPr>
            </w:pPr>
          </w:p>
        </w:tc>
        <w:tc>
          <w:tcPr>
            <w:tcW w:w="13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664C115">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p>
        </w:tc>
        <w:tc>
          <w:tcPr>
            <w:tcW w:w="1273" w:type="dxa"/>
            <w:tcBorders>
              <w:top w:val="single" w:color="auto" w:sz="4" w:space="0"/>
              <w:left w:val="single" w:color="auto" w:sz="4" w:space="0"/>
              <w:bottom w:val="single" w:color="auto" w:sz="4" w:space="0"/>
              <w:right w:val="single" w:color="auto" w:sz="4" w:space="0"/>
            </w:tcBorders>
            <w:shd w:val="clear" w:color="auto" w:fill="auto"/>
            <w:vAlign w:val="center"/>
          </w:tcPr>
          <w:p w14:paraId="429D457A">
            <w:pPr>
              <w:widowControl/>
              <w:spacing w:line="300" w:lineRule="exact"/>
              <w:jc w:val="center"/>
              <w:textAlignment w:val="center"/>
              <w:rPr>
                <w:rFonts w:ascii="宋体" w:hAnsi="宋体" w:eastAsia="宋体" w:cs="宋体"/>
                <w:i w:val="0"/>
                <w:iCs w:val="0"/>
                <w:color w:val="000000"/>
                <w:kern w:val="0"/>
                <w:sz w:val="18"/>
                <w:szCs w:val="18"/>
                <w:u w:val="none"/>
                <w:lang w:val="en-US" w:eastAsia="zh-CN" w:bidi="ar"/>
              </w:rPr>
            </w:pPr>
            <w:r>
              <w:rPr>
                <w:rFonts w:eastAsia="宋体"/>
                <w:color w:val="000000"/>
                <w:kern w:val="0"/>
                <w:sz w:val="18"/>
                <w:szCs w:val="18"/>
                <w:lang w:bidi="ar"/>
              </w:rPr>
              <w:t>时效指标</w:t>
            </w:r>
          </w:p>
        </w:tc>
        <w:tc>
          <w:tcPr>
            <w:tcW w:w="1851" w:type="dxa"/>
            <w:tcBorders>
              <w:top w:val="single" w:color="auto" w:sz="4" w:space="0"/>
              <w:left w:val="single" w:color="auto" w:sz="4" w:space="0"/>
              <w:bottom w:val="single" w:color="auto" w:sz="4" w:space="0"/>
              <w:right w:val="single" w:color="auto" w:sz="4" w:space="0"/>
            </w:tcBorders>
            <w:shd w:val="clear" w:color="auto" w:fill="auto"/>
            <w:vAlign w:val="center"/>
          </w:tcPr>
          <w:p w14:paraId="22366DE3">
            <w:pPr>
              <w:widowControl/>
              <w:spacing w:line="300" w:lineRule="exact"/>
              <w:jc w:val="left"/>
              <w:rPr>
                <w:rFonts w:ascii="宋体" w:hAnsi="宋体" w:eastAsia="宋体" w:cs="宋体"/>
                <w:i w:val="0"/>
                <w:iCs w:val="0"/>
                <w:color w:val="000000"/>
                <w:kern w:val="0"/>
                <w:sz w:val="18"/>
                <w:szCs w:val="18"/>
                <w:u w:val="none"/>
                <w:lang w:val="en-US" w:eastAsia="zh-CN" w:bidi="ar"/>
              </w:rPr>
            </w:pPr>
            <w:r>
              <w:rPr>
                <w:rFonts w:hint="eastAsia" w:eastAsia="宋体"/>
                <w:color w:val="000000"/>
                <w:sz w:val="18"/>
                <w:szCs w:val="18"/>
              </w:rPr>
              <w:t>按时完成目标任务</w:t>
            </w:r>
          </w:p>
        </w:tc>
        <w:tc>
          <w:tcPr>
            <w:tcW w:w="1035" w:type="dxa"/>
            <w:tcBorders>
              <w:top w:val="single" w:color="auto" w:sz="4" w:space="0"/>
              <w:left w:val="single" w:color="auto" w:sz="4" w:space="0"/>
              <w:bottom w:val="single" w:color="auto" w:sz="4" w:space="0"/>
              <w:right w:val="single" w:color="auto" w:sz="4" w:space="0"/>
            </w:tcBorders>
            <w:shd w:val="clear" w:color="auto" w:fill="auto"/>
            <w:vAlign w:val="center"/>
          </w:tcPr>
          <w:p w14:paraId="7BFF3AD7">
            <w:pPr>
              <w:widowControl/>
              <w:spacing w:line="300" w:lineRule="exact"/>
              <w:jc w:val="left"/>
              <w:rPr>
                <w:rFonts w:ascii="宋体" w:hAnsi="宋体" w:eastAsia="宋体" w:cs="宋体"/>
                <w:i w:val="0"/>
                <w:iCs w:val="0"/>
                <w:color w:val="000000"/>
                <w:kern w:val="0"/>
                <w:sz w:val="18"/>
                <w:szCs w:val="18"/>
                <w:u w:val="none"/>
                <w:lang w:val="en-US" w:eastAsia="zh-CN" w:bidi="ar"/>
              </w:rPr>
            </w:pPr>
            <w:r>
              <w:rPr>
                <w:rFonts w:hint="eastAsia" w:eastAsia="宋体"/>
                <w:color w:val="000000"/>
                <w:sz w:val="18"/>
                <w:szCs w:val="18"/>
                <w:lang w:val="en-US" w:eastAsia="zh-CN"/>
              </w:rPr>
              <w:t>=</w:t>
            </w:r>
          </w:p>
        </w:tc>
        <w:tc>
          <w:tcPr>
            <w:tcW w:w="1095" w:type="dxa"/>
            <w:tcBorders>
              <w:top w:val="single" w:color="000000" w:sz="4" w:space="0"/>
              <w:left w:val="single" w:color="auto" w:sz="4" w:space="0"/>
              <w:bottom w:val="single" w:color="000000" w:sz="4" w:space="0"/>
              <w:right w:val="single" w:color="000000" w:sz="4" w:space="0"/>
            </w:tcBorders>
            <w:shd w:val="clear" w:color="auto" w:fill="auto"/>
            <w:vAlign w:val="center"/>
          </w:tcPr>
          <w:p w14:paraId="1D2D1EF1">
            <w:pPr>
              <w:widowControl/>
              <w:spacing w:line="300" w:lineRule="exact"/>
              <w:jc w:val="left"/>
              <w:rPr>
                <w:rFonts w:ascii="宋体" w:hAnsi="宋体" w:eastAsia="宋体" w:cs="宋体"/>
                <w:i w:val="0"/>
                <w:iCs w:val="0"/>
                <w:color w:val="000000"/>
                <w:kern w:val="0"/>
                <w:sz w:val="18"/>
                <w:szCs w:val="18"/>
                <w:u w:val="none"/>
                <w:lang w:val="en-US" w:eastAsia="zh-CN" w:bidi="ar"/>
              </w:rPr>
            </w:pPr>
            <w:r>
              <w:rPr>
                <w:rFonts w:hint="eastAsia" w:eastAsia="宋体"/>
                <w:color w:val="000000"/>
                <w:sz w:val="18"/>
                <w:szCs w:val="18"/>
                <w:lang w:val="en-US" w:eastAsia="zh-CN"/>
              </w:rPr>
              <w:t>1</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642A6">
            <w:pPr>
              <w:widowControl/>
              <w:spacing w:line="300" w:lineRule="exact"/>
              <w:jc w:val="left"/>
              <w:rPr>
                <w:rFonts w:eastAsia="宋体"/>
                <w:color w:val="000000"/>
                <w:sz w:val="18"/>
                <w:szCs w:val="18"/>
              </w:rPr>
            </w:pPr>
            <w:r>
              <w:rPr>
                <w:rFonts w:hint="eastAsia" w:eastAsia="宋体"/>
                <w:color w:val="000000"/>
                <w:sz w:val="18"/>
                <w:szCs w:val="18"/>
                <w:lang w:eastAsia="zh-CN"/>
              </w:rPr>
              <w:t>年</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B9301">
            <w:pPr>
              <w:widowControl/>
              <w:spacing w:line="300" w:lineRule="exact"/>
              <w:jc w:val="left"/>
              <w:rPr>
                <w:rFonts w:ascii="宋体" w:hAnsi="宋体" w:eastAsia="宋体" w:cs="宋体"/>
                <w:i w:val="0"/>
                <w:iCs w:val="0"/>
                <w:color w:val="000000"/>
                <w:kern w:val="0"/>
                <w:sz w:val="18"/>
                <w:szCs w:val="18"/>
                <w:u w:val="none"/>
                <w:lang w:val="en-US" w:eastAsia="zh-CN" w:bidi="ar"/>
              </w:rPr>
            </w:pPr>
            <w:r>
              <w:rPr>
                <w:rFonts w:hint="eastAsia" w:eastAsia="宋体"/>
                <w:color w:val="000000"/>
                <w:sz w:val="18"/>
                <w:szCs w:val="18"/>
                <w:lang w:val="en-US" w:eastAsia="zh-CN"/>
              </w:rPr>
              <w:t>20%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87696">
            <w:pPr>
              <w:widowControl/>
              <w:spacing w:line="300" w:lineRule="exact"/>
              <w:jc w:val="left"/>
              <w:textAlignment w:val="center"/>
              <w:rPr>
                <w:rFonts w:ascii="宋体" w:hAnsi="宋体" w:eastAsia="宋体" w:cs="宋体"/>
                <w:i w:val="0"/>
                <w:iCs w:val="0"/>
                <w:color w:val="000000"/>
                <w:kern w:val="0"/>
                <w:sz w:val="18"/>
                <w:szCs w:val="18"/>
                <w:u w:val="none"/>
                <w:lang w:val="en-US" w:eastAsia="zh-CN" w:bidi="ar"/>
              </w:rPr>
            </w:pPr>
            <w:r>
              <w:rPr>
                <w:rFonts w:hint="eastAsia" w:eastAsia="宋体"/>
                <w:color w:val="000000"/>
                <w:sz w:val="24"/>
                <w:lang w:val="en-US" w:eastAsia="zh-CN"/>
              </w:rPr>
              <w:t>100%</w:t>
            </w:r>
          </w:p>
        </w:tc>
      </w:tr>
      <w:tr w14:paraId="53253064">
        <w:tblPrEx>
          <w:tblCellMar>
            <w:top w:w="15" w:type="dxa"/>
            <w:left w:w="15" w:type="dxa"/>
            <w:bottom w:w="15" w:type="dxa"/>
            <w:right w:w="15" w:type="dxa"/>
          </w:tblCellMar>
        </w:tblPrEx>
        <w:trPr>
          <w:trHeight w:val="23" w:hRule="atLeast"/>
          <w:jc w:val="center"/>
        </w:trPr>
        <w:tc>
          <w:tcPr>
            <w:tcW w:w="130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14:paraId="714037BC">
            <w:pPr>
              <w:widowControl/>
              <w:spacing w:line="300" w:lineRule="exact"/>
              <w:jc w:val="center"/>
              <w:rPr>
                <w:rFonts w:eastAsia="宋体"/>
                <w:color w:val="000000"/>
                <w:sz w:val="24"/>
              </w:rPr>
            </w:pPr>
          </w:p>
        </w:tc>
        <w:tc>
          <w:tcPr>
            <w:tcW w:w="1347" w:type="dxa"/>
            <w:vMerge w:val="restart"/>
            <w:tcBorders>
              <w:top w:val="single" w:color="auto" w:sz="4" w:space="0"/>
              <w:left w:val="single" w:color="000000" w:sz="4" w:space="0"/>
              <w:right w:val="single" w:color="000000" w:sz="4" w:space="0"/>
            </w:tcBorders>
            <w:shd w:val="clear" w:color="auto" w:fill="auto"/>
            <w:vAlign w:val="center"/>
          </w:tcPr>
          <w:p w14:paraId="5729CD86">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效益指标</w:t>
            </w:r>
          </w:p>
        </w:tc>
        <w:tc>
          <w:tcPr>
            <w:tcW w:w="1273" w:type="dxa"/>
            <w:tcBorders>
              <w:top w:val="single" w:color="auto" w:sz="4" w:space="0"/>
              <w:left w:val="single" w:color="000000" w:sz="4" w:space="0"/>
              <w:bottom w:val="single" w:color="000000" w:sz="4" w:space="0"/>
              <w:right w:val="single" w:color="000000" w:sz="4" w:space="0"/>
            </w:tcBorders>
            <w:shd w:val="clear" w:color="auto" w:fill="auto"/>
            <w:vAlign w:val="center"/>
          </w:tcPr>
          <w:p w14:paraId="2AF030DB">
            <w:pPr>
              <w:widowControl/>
              <w:spacing w:line="300" w:lineRule="exact"/>
              <w:jc w:val="center"/>
              <w:textAlignment w:val="center"/>
              <w:rPr>
                <w:rFonts w:eastAsia="宋体"/>
                <w:color w:val="000000"/>
                <w:kern w:val="0"/>
                <w:sz w:val="18"/>
                <w:szCs w:val="18"/>
                <w:lang w:bidi="ar"/>
              </w:rPr>
            </w:pPr>
            <w:r>
              <w:rPr>
                <w:rFonts w:eastAsia="宋体"/>
                <w:color w:val="000000"/>
                <w:kern w:val="0"/>
                <w:sz w:val="18"/>
                <w:szCs w:val="18"/>
                <w:lang w:bidi="ar"/>
              </w:rPr>
              <w:t>社会效益</w:t>
            </w:r>
          </w:p>
          <w:p w14:paraId="108DE420">
            <w:pPr>
              <w:widowControl/>
              <w:spacing w:line="300" w:lineRule="exact"/>
              <w:jc w:val="center"/>
              <w:textAlignment w:val="center"/>
              <w:rPr>
                <w:rFonts w:ascii="宋体" w:hAnsi="宋体" w:eastAsia="宋体" w:cs="宋体"/>
                <w:i w:val="0"/>
                <w:iCs w:val="0"/>
                <w:color w:val="000000"/>
                <w:kern w:val="0"/>
                <w:sz w:val="18"/>
                <w:szCs w:val="18"/>
                <w:u w:val="none"/>
                <w:lang w:val="en-US" w:eastAsia="zh-CN" w:bidi="ar"/>
              </w:rPr>
            </w:pPr>
            <w:r>
              <w:rPr>
                <w:rFonts w:eastAsia="宋体"/>
                <w:color w:val="000000"/>
                <w:kern w:val="0"/>
                <w:sz w:val="18"/>
                <w:szCs w:val="18"/>
                <w:lang w:bidi="ar"/>
              </w:rPr>
              <w:t>指标</w:t>
            </w:r>
          </w:p>
        </w:tc>
        <w:tc>
          <w:tcPr>
            <w:tcW w:w="1851" w:type="dxa"/>
            <w:tcBorders>
              <w:top w:val="single" w:color="auto" w:sz="4" w:space="0"/>
              <w:left w:val="single" w:color="000000" w:sz="4" w:space="0"/>
              <w:bottom w:val="single" w:color="000000" w:sz="4" w:space="0"/>
              <w:right w:val="single" w:color="000000" w:sz="4" w:space="0"/>
            </w:tcBorders>
            <w:shd w:val="clear" w:color="auto" w:fill="auto"/>
            <w:vAlign w:val="center"/>
          </w:tcPr>
          <w:p w14:paraId="186BD73B">
            <w:pPr>
              <w:widowControl/>
              <w:spacing w:line="300" w:lineRule="exact"/>
              <w:jc w:val="left"/>
              <w:rPr>
                <w:rFonts w:ascii="宋体" w:hAnsi="宋体" w:eastAsia="宋体" w:cs="宋体"/>
                <w:i w:val="0"/>
                <w:iCs w:val="0"/>
                <w:color w:val="000000"/>
                <w:kern w:val="0"/>
                <w:sz w:val="18"/>
                <w:szCs w:val="18"/>
                <w:u w:val="none"/>
                <w:lang w:val="en-US" w:eastAsia="zh-CN" w:bidi="ar"/>
              </w:rPr>
            </w:pPr>
            <w:r>
              <w:rPr>
                <w:rFonts w:hint="eastAsia" w:ascii="仿宋" w:hAnsi="仿宋" w:eastAsia="仿宋" w:cs="仿宋_GB2312"/>
                <w:color w:val="auto"/>
                <w:sz w:val="18"/>
                <w:szCs w:val="18"/>
                <w:lang w:eastAsia="zh-CN"/>
              </w:rPr>
              <w:t>有效的推进了政务服务工作，方便群众办事</w:t>
            </w:r>
          </w:p>
        </w:tc>
        <w:tc>
          <w:tcPr>
            <w:tcW w:w="1035" w:type="dxa"/>
            <w:tcBorders>
              <w:top w:val="single" w:color="auto" w:sz="4" w:space="0"/>
              <w:left w:val="single" w:color="000000" w:sz="4" w:space="0"/>
              <w:bottom w:val="single" w:color="000000" w:sz="4" w:space="0"/>
              <w:right w:val="single" w:color="000000" w:sz="4" w:space="0"/>
            </w:tcBorders>
            <w:shd w:val="clear" w:color="auto" w:fill="auto"/>
            <w:vAlign w:val="center"/>
          </w:tcPr>
          <w:p w14:paraId="3639C59E">
            <w:pPr>
              <w:widowControl/>
              <w:spacing w:line="300" w:lineRule="exact"/>
              <w:jc w:val="left"/>
              <w:rPr>
                <w:rFonts w:ascii="宋体" w:hAnsi="宋体" w:eastAsia="宋体" w:cs="宋体"/>
                <w:i w:val="0"/>
                <w:iCs w:val="0"/>
                <w:color w:val="000000"/>
                <w:kern w:val="0"/>
                <w:sz w:val="18"/>
                <w:szCs w:val="18"/>
                <w:u w:val="none"/>
                <w:lang w:val="en-US" w:eastAsia="zh-CN" w:bidi="ar"/>
              </w:rPr>
            </w:pPr>
            <w:r>
              <w:rPr>
                <w:rFonts w:hint="eastAsia" w:eastAsia="宋体"/>
                <w:color w:val="000000"/>
                <w:sz w:val="18"/>
                <w:szCs w:val="18"/>
                <w:lang w:eastAsia="zh-CN"/>
              </w:rPr>
              <w:t>定性</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59C63">
            <w:pPr>
              <w:widowControl/>
              <w:spacing w:line="300" w:lineRule="exact"/>
              <w:jc w:val="left"/>
              <w:rPr>
                <w:rFonts w:ascii="宋体" w:hAnsi="宋体" w:eastAsia="宋体" w:cs="宋体"/>
                <w:i w:val="0"/>
                <w:iCs w:val="0"/>
                <w:color w:val="000000"/>
                <w:kern w:val="0"/>
                <w:sz w:val="18"/>
                <w:szCs w:val="18"/>
                <w:u w:val="none"/>
                <w:lang w:val="en-US" w:eastAsia="zh-CN" w:bidi="ar"/>
              </w:rPr>
            </w:pPr>
            <w:r>
              <w:rPr>
                <w:rFonts w:hint="eastAsia" w:eastAsia="宋体"/>
                <w:color w:val="000000"/>
                <w:sz w:val="18"/>
                <w:szCs w:val="18"/>
                <w:lang w:eastAsia="zh-CN"/>
              </w:rPr>
              <w:t>好</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F3299">
            <w:pPr>
              <w:widowControl/>
              <w:spacing w:line="300" w:lineRule="exact"/>
              <w:jc w:val="left"/>
              <w:rPr>
                <w:rFonts w:eastAsia="宋体"/>
                <w:color w:val="000000"/>
                <w:sz w:val="18"/>
                <w:szCs w:val="18"/>
              </w:rPr>
            </w:pP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18383">
            <w:pPr>
              <w:widowControl/>
              <w:spacing w:line="300" w:lineRule="exact"/>
              <w:jc w:val="left"/>
              <w:rPr>
                <w:rFonts w:ascii="宋体" w:hAnsi="宋体" w:eastAsia="宋体" w:cs="宋体"/>
                <w:i w:val="0"/>
                <w:iCs w:val="0"/>
                <w:color w:val="000000"/>
                <w:kern w:val="0"/>
                <w:sz w:val="18"/>
                <w:szCs w:val="18"/>
                <w:u w:val="none"/>
                <w:lang w:val="en-US" w:eastAsia="zh-CN" w:bidi="ar"/>
              </w:rPr>
            </w:pPr>
            <w:r>
              <w:rPr>
                <w:rFonts w:hint="eastAsia" w:eastAsia="宋体"/>
                <w:color w:val="000000"/>
                <w:sz w:val="18"/>
                <w:szCs w:val="18"/>
                <w:lang w:val="en-US" w:eastAsia="zh-CN"/>
              </w:rPr>
              <w:t>20%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3B897">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hint="eastAsia" w:eastAsia="宋体"/>
                <w:color w:val="000000"/>
                <w:sz w:val="24"/>
                <w:lang w:val="en-US" w:eastAsia="zh-CN"/>
              </w:rPr>
              <w:t>100%</w:t>
            </w:r>
          </w:p>
        </w:tc>
      </w:tr>
      <w:tr w14:paraId="3FEA07BC">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49E77525">
            <w:pPr>
              <w:widowControl/>
              <w:spacing w:line="300" w:lineRule="exact"/>
              <w:jc w:val="center"/>
              <w:rPr>
                <w:rFonts w:eastAsia="宋体"/>
                <w:color w:val="000000"/>
                <w:sz w:val="24"/>
              </w:rPr>
            </w:pPr>
          </w:p>
        </w:tc>
        <w:tc>
          <w:tcPr>
            <w:tcW w:w="1347" w:type="dxa"/>
            <w:vMerge w:val="continue"/>
            <w:tcBorders>
              <w:left w:val="single" w:color="000000" w:sz="4" w:space="0"/>
              <w:bottom w:val="single" w:color="000000" w:sz="4" w:space="0"/>
              <w:right w:val="single" w:color="000000" w:sz="4" w:space="0"/>
            </w:tcBorders>
            <w:shd w:val="clear" w:color="auto" w:fill="auto"/>
            <w:vAlign w:val="center"/>
          </w:tcPr>
          <w:p w14:paraId="271055C1">
            <w:pPr>
              <w:keepNext w:val="0"/>
              <w:keepLines w:val="0"/>
              <w:widowControl/>
              <w:suppressLineNumbers w:val="0"/>
              <w:jc w:val="left"/>
              <w:textAlignment w:val="center"/>
              <w:rPr>
                <w:rFonts w:eastAsia="宋体"/>
                <w:color w:val="000000"/>
                <w:sz w:val="24"/>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14A57">
            <w:pPr>
              <w:keepNext w:val="0"/>
              <w:keepLines w:val="0"/>
              <w:widowControl/>
              <w:suppressLineNumbers w:val="0"/>
              <w:jc w:val="left"/>
              <w:textAlignment w:val="center"/>
              <w:rPr>
                <w:rFonts w:eastAsia="宋体"/>
                <w:color w:val="000000"/>
                <w:sz w:val="18"/>
                <w:szCs w:val="18"/>
              </w:rPr>
            </w:pPr>
            <w:r>
              <w:rPr>
                <w:rFonts w:ascii="宋体" w:hAnsi="宋体" w:eastAsia="宋体" w:cs="宋体"/>
                <w:i w:val="0"/>
                <w:iCs w:val="0"/>
                <w:color w:val="000000"/>
                <w:kern w:val="0"/>
                <w:sz w:val="18"/>
                <w:szCs w:val="18"/>
                <w:u w:val="none"/>
                <w:lang w:val="en-US" w:eastAsia="zh-CN" w:bidi="ar"/>
              </w:rPr>
              <w:t>经济效益指标</w:t>
            </w:r>
          </w:p>
        </w:tc>
        <w:tc>
          <w:tcPr>
            <w:tcW w:w="1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75C1B">
            <w:pPr>
              <w:keepNext w:val="0"/>
              <w:keepLines w:val="0"/>
              <w:widowControl/>
              <w:suppressLineNumbers w:val="0"/>
              <w:jc w:val="left"/>
              <w:textAlignment w:val="center"/>
              <w:rPr>
                <w:rFonts w:eastAsia="宋体"/>
                <w:color w:val="000000"/>
                <w:sz w:val="18"/>
                <w:szCs w:val="18"/>
              </w:rPr>
            </w:pPr>
            <w:r>
              <w:rPr>
                <w:rFonts w:ascii="宋体" w:hAnsi="宋体" w:eastAsia="宋体" w:cs="宋体"/>
                <w:i w:val="0"/>
                <w:iCs w:val="0"/>
                <w:color w:val="000000"/>
                <w:kern w:val="0"/>
                <w:sz w:val="18"/>
                <w:szCs w:val="18"/>
                <w:u w:val="none"/>
                <w:lang w:val="en-US" w:eastAsia="zh-CN" w:bidi="ar"/>
              </w:rPr>
              <w:t>对行政许可事项进行流程再造、环节优化、时限压缩</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6B9C8">
            <w:pPr>
              <w:keepNext w:val="0"/>
              <w:keepLines w:val="0"/>
              <w:widowControl/>
              <w:suppressLineNumbers w:val="0"/>
              <w:jc w:val="left"/>
              <w:textAlignment w:val="center"/>
              <w:rPr>
                <w:rFonts w:eastAsia="宋体"/>
                <w:color w:val="000000"/>
                <w:sz w:val="18"/>
                <w:szCs w:val="18"/>
              </w:rPr>
            </w:pPr>
            <w:r>
              <w:rPr>
                <w:rFonts w:ascii="宋体" w:hAnsi="宋体" w:eastAsia="宋体" w:cs="宋体"/>
                <w:i w:val="0"/>
                <w:iCs w:val="0"/>
                <w:color w:val="000000"/>
                <w:kern w:val="0"/>
                <w:sz w:val="18"/>
                <w:szCs w:val="18"/>
                <w:u w:val="none"/>
                <w:lang w:val="en-US" w:eastAsia="zh-CN" w:bidi="ar"/>
              </w:rPr>
              <w:t>定性</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C614E">
            <w:pPr>
              <w:keepNext w:val="0"/>
              <w:keepLines w:val="0"/>
              <w:widowControl/>
              <w:suppressLineNumbers w:val="0"/>
              <w:jc w:val="left"/>
              <w:textAlignment w:val="center"/>
              <w:rPr>
                <w:rFonts w:eastAsia="宋体"/>
                <w:color w:val="000000"/>
                <w:sz w:val="18"/>
                <w:szCs w:val="18"/>
              </w:rPr>
            </w:pPr>
            <w:r>
              <w:rPr>
                <w:rFonts w:ascii="宋体" w:hAnsi="宋体" w:eastAsia="宋体" w:cs="宋体"/>
                <w:i w:val="0"/>
                <w:iCs w:val="0"/>
                <w:color w:val="000000"/>
                <w:kern w:val="0"/>
                <w:sz w:val="18"/>
                <w:szCs w:val="18"/>
                <w:u w:val="none"/>
                <w:lang w:val="en-US" w:eastAsia="zh-CN" w:bidi="ar"/>
              </w:rPr>
              <w:t>优良中低差</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56FF4">
            <w:pPr>
              <w:jc w:val="left"/>
              <w:rPr>
                <w:rFonts w:eastAsia="宋体"/>
                <w:color w:val="000000"/>
                <w:sz w:val="18"/>
                <w:szCs w:val="18"/>
              </w:rPr>
            </w:pP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6CF25">
            <w:pPr>
              <w:keepNext w:val="0"/>
              <w:keepLines w:val="0"/>
              <w:widowControl/>
              <w:suppressLineNumbers w:val="0"/>
              <w:jc w:val="left"/>
              <w:textAlignment w:val="center"/>
              <w:rPr>
                <w:rFonts w:eastAsia="宋体"/>
                <w:color w:val="000000"/>
                <w:sz w:val="18"/>
                <w:szCs w:val="18"/>
              </w:rPr>
            </w:pPr>
            <w:r>
              <w:rPr>
                <w:rFonts w:hint="eastAsia" w:eastAsia="宋体"/>
                <w:color w:val="000000"/>
                <w:sz w:val="18"/>
                <w:szCs w:val="18"/>
                <w:lang w:val="en-US" w:eastAsia="zh-CN"/>
              </w:rPr>
              <w:t>20%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11044">
            <w:pPr>
              <w:keepNext w:val="0"/>
              <w:keepLines w:val="0"/>
              <w:widowControl/>
              <w:suppressLineNumbers w:val="0"/>
              <w:jc w:val="left"/>
              <w:textAlignment w:val="center"/>
              <w:rPr>
                <w:rFonts w:eastAsia="宋体"/>
                <w:color w:val="000000"/>
                <w:sz w:val="18"/>
                <w:szCs w:val="18"/>
              </w:rPr>
            </w:pPr>
            <w:r>
              <w:rPr>
                <w:rFonts w:hint="eastAsia" w:eastAsia="宋体"/>
                <w:color w:val="000000"/>
                <w:sz w:val="24"/>
                <w:lang w:val="en-US" w:eastAsia="zh-CN"/>
              </w:rPr>
              <w:t>100%</w:t>
            </w:r>
          </w:p>
        </w:tc>
      </w:tr>
      <w:tr w14:paraId="673761D0">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716D1748">
            <w:pPr>
              <w:widowControl/>
              <w:spacing w:line="300" w:lineRule="exact"/>
              <w:jc w:val="center"/>
              <w:rPr>
                <w:rFonts w:eastAsia="宋体"/>
                <w:color w:val="000000"/>
                <w:sz w:val="24"/>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2B6FC">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满意度指标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1AB6C">
            <w:pPr>
              <w:keepNext w:val="0"/>
              <w:keepLines w:val="0"/>
              <w:widowControl/>
              <w:suppressLineNumbers w:val="0"/>
              <w:jc w:val="left"/>
              <w:textAlignment w:val="center"/>
              <w:rPr>
                <w:rFonts w:eastAsia="宋体"/>
                <w:color w:val="000000"/>
                <w:sz w:val="18"/>
                <w:szCs w:val="18"/>
              </w:rPr>
            </w:pPr>
            <w:r>
              <w:rPr>
                <w:rFonts w:ascii="宋体" w:hAnsi="宋体" w:eastAsia="宋体" w:cs="宋体"/>
                <w:i w:val="0"/>
                <w:iCs w:val="0"/>
                <w:color w:val="000000"/>
                <w:kern w:val="0"/>
                <w:sz w:val="18"/>
                <w:szCs w:val="18"/>
                <w:u w:val="none"/>
                <w:lang w:val="en-US" w:eastAsia="zh-CN" w:bidi="ar"/>
              </w:rPr>
              <w:t>服务对象满意度指标</w:t>
            </w:r>
          </w:p>
        </w:tc>
        <w:tc>
          <w:tcPr>
            <w:tcW w:w="1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59634">
            <w:pPr>
              <w:keepNext w:val="0"/>
              <w:keepLines w:val="0"/>
              <w:widowControl/>
              <w:suppressLineNumbers w:val="0"/>
              <w:jc w:val="left"/>
              <w:textAlignment w:val="center"/>
              <w:rPr>
                <w:rFonts w:eastAsia="宋体"/>
                <w:color w:val="000000"/>
                <w:sz w:val="18"/>
                <w:szCs w:val="18"/>
              </w:rPr>
            </w:pPr>
            <w:r>
              <w:rPr>
                <w:rFonts w:ascii="宋体" w:hAnsi="宋体" w:eastAsia="宋体" w:cs="宋体"/>
                <w:i w:val="0"/>
                <w:iCs w:val="0"/>
                <w:color w:val="000000"/>
                <w:kern w:val="0"/>
                <w:sz w:val="18"/>
                <w:szCs w:val="18"/>
                <w:u w:val="none"/>
                <w:lang w:val="en-US" w:eastAsia="zh-CN" w:bidi="ar"/>
              </w:rPr>
              <w:t>推进”三化“建设</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B1881">
            <w:pPr>
              <w:keepNext w:val="0"/>
              <w:keepLines w:val="0"/>
              <w:widowControl/>
              <w:suppressLineNumbers w:val="0"/>
              <w:jc w:val="left"/>
              <w:textAlignment w:val="center"/>
              <w:rPr>
                <w:rFonts w:eastAsia="宋体"/>
                <w:color w:val="000000"/>
                <w:sz w:val="18"/>
                <w:szCs w:val="18"/>
              </w:rPr>
            </w:pPr>
            <w:r>
              <w:rPr>
                <w:rFonts w:ascii="宋体" w:hAnsi="宋体" w:eastAsia="宋体" w:cs="宋体"/>
                <w:i w:val="0"/>
                <w:iCs w:val="0"/>
                <w:color w:val="000000"/>
                <w:kern w:val="0"/>
                <w:sz w:val="18"/>
                <w:szCs w:val="18"/>
                <w:u w:val="none"/>
                <w:lang w:val="en-US" w:eastAsia="zh-CN" w:bidi="ar"/>
              </w:rPr>
              <w:t>定性</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08477">
            <w:pPr>
              <w:keepNext w:val="0"/>
              <w:keepLines w:val="0"/>
              <w:widowControl/>
              <w:suppressLineNumbers w:val="0"/>
              <w:jc w:val="left"/>
              <w:textAlignment w:val="center"/>
              <w:rPr>
                <w:rFonts w:eastAsia="宋体"/>
                <w:color w:val="000000"/>
                <w:sz w:val="18"/>
                <w:szCs w:val="18"/>
              </w:rPr>
            </w:pPr>
            <w:r>
              <w:rPr>
                <w:rFonts w:ascii="宋体" w:hAnsi="宋体" w:eastAsia="宋体" w:cs="宋体"/>
                <w:i w:val="0"/>
                <w:iCs w:val="0"/>
                <w:color w:val="000000"/>
                <w:kern w:val="0"/>
                <w:sz w:val="18"/>
                <w:szCs w:val="18"/>
                <w:u w:val="none"/>
                <w:lang w:val="en-US" w:eastAsia="zh-CN" w:bidi="ar"/>
              </w:rPr>
              <w:t>优良中低差</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A187F">
            <w:pPr>
              <w:jc w:val="left"/>
              <w:rPr>
                <w:rFonts w:eastAsia="宋体"/>
                <w:color w:val="000000"/>
                <w:sz w:val="18"/>
                <w:szCs w:val="18"/>
              </w:rPr>
            </w:pP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88F20">
            <w:pPr>
              <w:keepNext w:val="0"/>
              <w:keepLines w:val="0"/>
              <w:widowControl/>
              <w:suppressLineNumbers w:val="0"/>
              <w:jc w:val="left"/>
              <w:textAlignment w:val="center"/>
              <w:rPr>
                <w:rFonts w:eastAsia="宋体"/>
                <w:color w:val="000000"/>
                <w:sz w:val="18"/>
                <w:szCs w:val="18"/>
              </w:rPr>
            </w:pPr>
            <w:r>
              <w:rPr>
                <w:rFonts w:hint="eastAsia" w:eastAsia="宋体"/>
                <w:color w:val="000000"/>
                <w:sz w:val="18"/>
                <w:szCs w:val="18"/>
                <w:lang w:val="en-US" w:eastAsia="zh-CN"/>
              </w:rPr>
              <w:t>20%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80BFE">
            <w:pPr>
              <w:keepNext w:val="0"/>
              <w:keepLines w:val="0"/>
              <w:widowControl/>
              <w:suppressLineNumbers w:val="0"/>
              <w:jc w:val="left"/>
              <w:textAlignment w:val="center"/>
              <w:rPr>
                <w:rFonts w:eastAsia="宋体"/>
                <w:color w:val="000000"/>
                <w:sz w:val="18"/>
                <w:szCs w:val="18"/>
              </w:rPr>
            </w:pPr>
            <w:r>
              <w:rPr>
                <w:rFonts w:hint="eastAsia" w:eastAsia="宋体"/>
                <w:color w:val="000000"/>
                <w:sz w:val="24"/>
                <w:lang w:val="en-US" w:eastAsia="zh-CN"/>
              </w:rPr>
              <w:t>100%</w:t>
            </w:r>
          </w:p>
        </w:tc>
      </w:tr>
    </w:tbl>
    <w:p w14:paraId="5E120E05">
      <w:pPr>
        <w:pStyle w:val="12"/>
        <w:ind w:left="0" w:leftChars="0" w:firstLine="0" w:firstLineChars="0"/>
        <w:rPr>
          <w:rFonts w:ascii="Times New Roman" w:eastAsia="黑体"/>
          <w:sz w:val="24"/>
          <w:szCs w:val="24"/>
        </w:rPr>
      </w:pPr>
    </w:p>
    <w:p w14:paraId="41D92C91">
      <w:pPr>
        <w:pStyle w:val="12"/>
        <w:keepNext w:val="0"/>
        <w:keepLines w:val="0"/>
        <w:pageBreakBefore w:val="0"/>
        <w:widowControl w:val="0"/>
        <w:suppressLineNumbers w:val="0"/>
        <w:kinsoku/>
        <w:wordWrap/>
        <w:overflowPunct/>
        <w:topLinePunct w:val="0"/>
        <w:autoSpaceDE w:val="0"/>
        <w:autoSpaceDN/>
        <w:bidi w:val="0"/>
        <w:snapToGrid/>
        <w:spacing w:before="0" w:beforeAutospacing="0" w:line="560" w:lineRule="exact"/>
        <w:ind w:left="420" w:leftChars="200" w:right="0" w:firstLine="640" w:firstLineChars="200"/>
        <w:textAlignment w:val="auto"/>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14:paraId="2EABD830">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14:paraId="725C1454">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14:paraId="40D66867">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14:paraId="155970CF">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14:paraId="0EBC3848">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14:paraId="168F027B">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14:paraId="22D087A6">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14:paraId="56238E31">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14:paraId="2089C05B">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14:paraId="5E5CDF59">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14:paraId="1D99D0B6">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14:paraId="0E4E197E">
      <w:pPr>
        <w:keepNext w:val="0"/>
        <w:keepLines w:val="0"/>
        <w:widowControl w:val="0"/>
        <w:suppressLineNumbers w:val="0"/>
        <w:suppressAutoHyphens/>
        <w:spacing w:before="0" w:beforeAutospacing="0" w:after="0" w:afterAutospacing="0"/>
        <w:ind w:left="0" w:right="0"/>
        <w:jc w:val="both"/>
        <w:rPr>
          <w:rFonts w:hint="eastAsia" w:ascii="黑体" w:hAnsi="宋体" w:eastAsia="黑体" w:cs="Times New Roman"/>
          <w:kern w:val="2"/>
          <w:sz w:val="44"/>
          <w:szCs w:val="44"/>
        </w:rPr>
      </w:pPr>
      <w:r>
        <w:rPr>
          <w:rFonts w:hint="eastAsia" w:ascii="黑体" w:hAnsi="宋体" w:eastAsia="黑体" w:cs="Times New Roman"/>
          <w:kern w:val="2"/>
          <w:sz w:val="44"/>
          <w:szCs w:val="44"/>
          <w:lang w:val="en-US" w:eastAsia="zh-CN" w:bidi="ar"/>
        </w:rPr>
        <w:br w:type="page"/>
      </w:r>
    </w:p>
    <w:p w14:paraId="45C6CFAA">
      <w:pPr>
        <w:keepNext w:val="0"/>
        <w:keepLines w:val="0"/>
        <w:widowControl w:val="0"/>
        <w:suppressLineNumbers w:val="0"/>
        <w:suppressAutoHyphens/>
        <w:spacing w:before="0" w:beforeAutospacing="0" w:after="0" w:afterAutospacing="0" w:line="600" w:lineRule="exact"/>
        <w:ind w:left="0" w:right="0"/>
        <w:jc w:val="center"/>
        <w:outlineLvl w:val="0"/>
        <w:rPr>
          <w:rFonts w:hint="eastAsia" w:ascii="仿宋" w:hAnsi="仿宋" w:eastAsia="仿宋" w:cs="Times New Roman"/>
          <w:b w:val="0"/>
          <w:kern w:val="2"/>
          <w:sz w:val="21"/>
          <w:szCs w:val="21"/>
        </w:rPr>
      </w:pPr>
      <w:r>
        <w:rPr>
          <w:rFonts w:hint="eastAsia" w:ascii="黑体" w:hAnsi="宋体" w:eastAsia="黑体" w:cs="黑体"/>
          <w:kern w:val="2"/>
          <w:sz w:val="44"/>
          <w:szCs w:val="44"/>
          <w:lang w:val="en-US" w:eastAsia="zh-CN" w:bidi="ar"/>
        </w:rPr>
        <w:t>第</w:t>
      </w:r>
      <w:r>
        <w:rPr>
          <w:rStyle w:val="17"/>
          <w:rFonts w:hint="eastAsia" w:ascii="黑体" w:hAnsi="宋体" w:eastAsia="黑体" w:cs="黑体"/>
          <w:b w:val="0"/>
          <w:bCs/>
          <w:kern w:val="44"/>
          <w:sz w:val="44"/>
          <w:szCs w:val="44"/>
          <w:lang w:val="en-US" w:eastAsia="zh-CN" w:bidi="ar"/>
        </w:rPr>
        <w:t>五部分</w:t>
      </w:r>
      <w:r>
        <w:rPr>
          <w:rStyle w:val="17"/>
          <w:rFonts w:hint="eastAsia" w:ascii="黑体" w:hAnsi="宋体" w:eastAsia="黑体" w:cs="Times New Roman"/>
          <w:b w:val="0"/>
          <w:bCs/>
          <w:kern w:val="44"/>
          <w:sz w:val="44"/>
          <w:szCs w:val="44"/>
          <w:lang w:val="en-US" w:eastAsia="zh-CN" w:bidi="ar"/>
        </w:rPr>
        <w:t xml:space="preserve"> </w:t>
      </w:r>
      <w:r>
        <w:rPr>
          <w:rStyle w:val="17"/>
          <w:rFonts w:hint="eastAsia" w:ascii="黑体" w:hAnsi="宋体" w:eastAsia="黑体" w:cs="黑体"/>
          <w:b w:val="0"/>
          <w:bCs/>
          <w:kern w:val="44"/>
          <w:sz w:val="44"/>
          <w:szCs w:val="44"/>
          <w:lang w:val="en-US" w:eastAsia="zh-CN" w:bidi="ar"/>
        </w:rPr>
        <w:t>附表</w:t>
      </w:r>
    </w:p>
    <w:p w14:paraId="1DB45109">
      <w:pPr>
        <w:pStyle w:val="4"/>
        <w:widowControl/>
        <w:rPr>
          <w:rFonts w:hint="eastAsia" w:ascii="仿宋" w:hAnsi="仿宋" w:eastAsia="仿宋" w:cs="Times New Roman"/>
          <w:b/>
          <w:bCs/>
          <w:kern w:val="2"/>
          <w:sz w:val="32"/>
          <w:szCs w:val="32"/>
        </w:rPr>
      </w:pPr>
      <w:r>
        <w:rPr>
          <w:rFonts w:hint="eastAsia" w:ascii="仿宋" w:hAnsi="仿宋" w:eastAsia="仿宋" w:cs="仿宋"/>
          <w:b w:val="0"/>
          <w:bCs/>
          <w:kern w:val="2"/>
          <w:sz w:val="32"/>
          <w:szCs w:val="32"/>
        </w:rPr>
        <w:t>一、收</w:t>
      </w:r>
      <w:r>
        <w:rPr>
          <w:rStyle w:val="19"/>
          <w:rFonts w:hint="eastAsia" w:ascii="仿宋" w:hAnsi="仿宋" w:eastAsia="仿宋" w:cs="仿宋"/>
          <w:b w:val="0"/>
          <w:bCs w:val="0"/>
          <w:sz w:val="32"/>
          <w:szCs w:val="32"/>
        </w:rPr>
        <w:t>入支出决算总表</w:t>
      </w:r>
    </w:p>
    <w:p w14:paraId="4BD5BC53">
      <w:pPr>
        <w:pStyle w:val="4"/>
        <w:widowControl/>
        <w:rPr>
          <w:rFonts w:hint="eastAsia" w:ascii="仿宋" w:hAnsi="仿宋" w:eastAsia="仿宋" w:cs="Times New Roman"/>
          <w:b/>
          <w:bCs/>
          <w:kern w:val="2"/>
          <w:sz w:val="32"/>
          <w:szCs w:val="32"/>
        </w:rPr>
      </w:pPr>
      <w:r>
        <w:rPr>
          <w:rFonts w:hint="eastAsia" w:ascii="仿宋" w:hAnsi="仿宋" w:eastAsia="仿宋" w:cs="仿宋"/>
          <w:b w:val="0"/>
          <w:bCs/>
          <w:kern w:val="2"/>
          <w:sz w:val="32"/>
          <w:szCs w:val="32"/>
        </w:rPr>
        <w:t>二、收</w:t>
      </w:r>
      <w:r>
        <w:rPr>
          <w:rStyle w:val="19"/>
          <w:rFonts w:hint="eastAsia" w:ascii="仿宋" w:hAnsi="仿宋" w:eastAsia="仿宋" w:cs="仿宋"/>
          <w:b w:val="0"/>
          <w:bCs w:val="0"/>
          <w:sz w:val="32"/>
          <w:szCs w:val="32"/>
        </w:rPr>
        <w:t>入决算表</w:t>
      </w:r>
    </w:p>
    <w:p w14:paraId="42B52511">
      <w:pPr>
        <w:pStyle w:val="4"/>
        <w:widowControl/>
        <w:rPr>
          <w:rFonts w:hint="eastAsia" w:ascii="仿宋" w:hAnsi="仿宋" w:eastAsia="仿宋" w:cs="Times New Roman"/>
          <w:b/>
          <w:bCs/>
          <w:kern w:val="2"/>
          <w:sz w:val="32"/>
          <w:szCs w:val="32"/>
        </w:rPr>
      </w:pPr>
      <w:r>
        <w:rPr>
          <w:rStyle w:val="19"/>
          <w:rFonts w:hint="eastAsia" w:ascii="仿宋" w:hAnsi="仿宋" w:eastAsia="仿宋" w:cs="仿宋"/>
          <w:b w:val="0"/>
          <w:bCs w:val="0"/>
          <w:sz w:val="32"/>
          <w:szCs w:val="32"/>
        </w:rPr>
        <w:t>三、</w:t>
      </w:r>
      <w:r>
        <w:rPr>
          <w:rFonts w:hint="eastAsia" w:ascii="仿宋" w:hAnsi="仿宋" w:eastAsia="仿宋" w:cs="仿宋"/>
          <w:b w:val="0"/>
          <w:bCs/>
          <w:kern w:val="2"/>
          <w:sz w:val="32"/>
          <w:szCs w:val="32"/>
        </w:rPr>
        <w:t>支</w:t>
      </w:r>
      <w:r>
        <w:rPr>
          <w:rStyle w:val="19"/>
          <w:rFonts w:hint="eastAsia" w:ascii="仿宋" w:hAnsi="仿宋" w:eastAsia="仿宋" w:cs="仿宋"/>
          <w:b w:val="0"/>
          <w:bCs w:val="0"/>
          <w:sz w:val="32"/>
          <w:szCs w:val="32"/>
        </w:rPr>
        <w:t>出决算表</w:t>
      </w:r>
    </w:p>
    <w:p w14:paraId="7401D424">
      <w:pPr>
        <w:pStyle w:val="4"/>
        <w:widowControl/>
        <w:rPr>
          <w:rFonts w:hint="eastAsia" w:ascii="仿宋" w:hAnsi="仿宋" w:eastAsia="仿宋" w:cs="Times New Roman"/>
          <w:b w:val="0"/>
          <w:bCs/>
          <w:kern w:val="2"/>
          <w:sz w:val="32"/>
          <w:szCs w:val="32"/>
        </w:rPr>
      </w:pPr>
      <w:r>
        <w:rPr>
          <w:rStyle w:val="19"/>
          <w:rFonts w:hint="eastAsia" w:ascii="仿宋" w:hAnsi="仿宋" w:eastAsia="仿宋" w:cs="仿宋"/>
          <w:b w:val="0"/>
          <w:bCs w:val="0"/>
          <w:sz w:val="32"/>
          <w:szCs w:val="32"/>
        </w:rPr>
        <w:t>四、</w:t>
      </w:r>
      <w:r>
        <w:rPr>
          <w:rFonts w:hint="eastAsia" w:ascii="仿宋" w:hAnsi="仿宋" w:eastAsia="仿宋" w:cs="仿宋"/>
          <w:b w:val="0"/>
          <w:bCs/>
          <w:kern w:val="2"/>
          <w:sz w:val="32"/>
          <w:szCs w:val="32"/>
        </w:rPr>
        <w:t>财</w:t>
      </w:r>
      <w:r>
        <w:rPr>
          <w:rStyle w:val="19"/>
          <w:rFonts w:hint="eastAsia" w:ascii="仿宋" w:hAnsi="仿宋" w:eastAsia="仿宋" w:cs="仿宋"/>
          <w:b w:val="0"/>
          <w:bCs w:val="0"/>
          <w:sz w:val="32"/>
          <w:szCs w:val="32"/>
        </w:rPr>
        <w:t>政拨款收入支出决算总表</w:t>
      </w:r>
    </w:p>
    <w:p w14:paraId="3D08A42F">
      <w:pPr>
        <w:pStyle w:val="4"/>
        <w:widowControl/>
        <w:rPr>
          <w:rFonts w:hint="eastAsia" w:ascii="仿宋" w:hAnsi="仿宋" w:eastAsia="仿宋" w:cs="Times New Roman"/>
          <w:b w:val="0"/>
          <w:bCs w:val="0"/>
          <w:sz w:val="32"/>
          <w:szCs w:val="32"/>
        </w:rPr>
      </w:pPr>
      <w:r>
        <w:rPr>
          <w:rStyle w:val="19"/>
          <w:rFonts w:hint="eastAsia" w:ascii="仿宋" w:hAnsi="仿宋" w:eastAsia="仿宋" w:cs="仿宋"/>
          <w:b w:val="0"/>
          <w:bCs w:val="0"/>
          <w:sz w:val="32"/>
          <w:szCs w:val="32"/>
        </w:rPr>
        <w:t>五、</w:t>
      </w:r>
      <w:r>
        <w:rPr>
          <w:rFonts w:hint="eastAsia" w:ascii="仿宋" w:hAnsi="仿宋" w:eastAsia="仿宋" w:cs="仿宋"/>
          <w:b w:val="0"/>
          <w:bCs/>
          <w:kern w:val="2"/>
          <w:sz w:val="32"/>
          <w:szCs w:val="32"/>
        </w:rPr>
        <w:t>财</w:t>
      </w:r>
      <w:r>
        <w:rPr>
          <w:rStyle w:val="19"/>
          <w:rFonts w:hint="eastAsia" w:ascii="仿宋" w:hAnsi="仿宋" w:eastAsia="仿宋" w:cs="仿宋"/>
          <w:b w:val="0"/>
          <w:bCs w:val="0"/>
          <w:sz w:val="32"/>
          <w:szCs w:val="32"/>
        </w:rPr>
        <w:t>政拨款支出决算明细表</w:t>
      </w:r>
    </w:p>
    <w:p w14:paraId="024F0E2E">
      <w:pPr>
        <w:pStyle w:val="4"/>
        <w:widowControl/>
        <w:rPr>
          <w:rFonts w:hint="eastAsia" w:ascii="仿宋" w:hAnsi="仿宋" w:eastAsia="仿宋" w:cs="Times New Roman"/>
          <w:b/>
          <w:bCs/>
          <w:kern w:val="2"/>
          <w:sz w:val="32"/>
          <w:szCs w:val="32"/>
        </w:rPr>
      </w:pPr>
      <w:r>
        <w:rPr>
          <w:rStyle w:val="19"/>
          <w:rFonts w:hint="eastAsia" w:ascii="仿宋" w:hAnsi="仿宋" w:eastAsia="仿宋" w:cs="仿宋"/>
          <w:b w:val="0"/>
          <w:bCs w:val="0"/>
          <w:sz w:val="32"/>
          <w:szCs w:val="32"/>
        </w:rPr>
        <w:t>六、</w:t>
      </w:r>
      <w:r>
        <w:rPr>
          <w:rFonts w:hint="eastAsia" w:ascii="仿宋" w:hAnsi="仿宋" w:eastAsia="仿宋" w:cs="仿宋"/>
          <w:b w:val="0"/>
          <w:bCs/>
          <w:kern w:val="2"/>
          <w:sz w:val="32"/>
          <w:szCs w:val="32"/>
        </w:rPr>
        <w:t>一</w:t>
      </w:r>
      <w:r>
        <w:rPr>
          <w:rStyle w:val="19"/>
          <w:rFonts w:hint="eastAsia" w:ascii="仿宋" w:hAnsi="仿宋" w:eastAsia="仿宋" w:cs="仿宋"/>
          <w:b w:val="0"/>
          <w:bCs w:val="0"/>
          <w:sz w:val="32"/>
          <w:szCs w:val="32"/>
        </w:rPr>
        <w:t>般公共预算财政拨款支出决算表</w:t>
      </w:r>
    </w:p>
    <w:p w14:paraId="29B1BC49">
      <w:pPr>
        <w:pStyle w:val="4"/>
        <w:widowControl/>
        <w:rPr>
          <w:rFonts w:hint="eastAsia" w:ascii="仿宋" w:hAnsi="仿宋" w:eastAsia="仿宋" w:cs="Times New Roman"/>
          <w:b/>
          <w:bCs/>
          <w:kern w:val="2"/>
          <w:sz w:val="32"/>
          <w:szCs w:val="32"/>
        </w:rPr>
      </w:pPr>
      <w:r>
        <w:rPr>
          <w:rStyle w:val="19"/>
          <w:rFonts w:hint="eastAsia" w:ascii="仿宋" w:hAnsi="仿宋" w:eastAsia="仿宋" w:cs="仿宋"/>
          <w:b w:val="0"/>
          <w:bCs w:val="0"/>
          <w:sz w:val="32"/>
          <w:szCs w:val="32"/>
        </w:rPr>
        <w:t>七、</w:t>
      </w:r>
      <w:r>
        <w:rPr>
          <w:rFonts w:hint="eastAsia" w:ascii="仿宋" w:hAnsi="仿宋" w:eastAsia="仿宋" w:cs="仿宋"/>
          <w:b w:val="0"/>
          <w:bCs/>
          <w:kern w:val="2"/>
          <w:sz w:val="32"/>
          <w:szCs w:val="32"/>
        </w:rPr>
        <w:t>一</w:t>
      </w:r>
      <w:r>
        <w:rPr>
          <w:rStyle w:val="19"/>
          <w:rFonts w:hint="eastAsia" w:ascii="仿宋" w:hAnsi="仿宋" w:eastAsia="仿宋" w:cs="仿宋"/>
          <w:b w:val="0"/>
          <w:bCs w:val="0"/>
          <w:sz w:val="32"/>
          <w:szCs w:val="32"/>
        </w:rPr>
        <w:t>般公共预算财政拨款支出决算明细表</w:t>
      </w:r>
    </w:p>
    <w:p w14:paraId="3EA9DBB4">
      <w:pPr>
        <w:pStyle w:val="4"/>
        <w:widowControl/>
        <w:rPr>
          <w:rFonts w:hint="eastAsia" w:ascii="仿宋" w:hAnsi="仿宋" w:eastAsia="仿宋" w:cs="Times New Roman"/>
          <w:b/>
          <w:bCs/>
          <w:kern w:val="2"/>
          <w:sz w:val="32"/>
          <w:szCs w:val="32"/>
        </w:rPr>
      </w:pPr>
      <w:r>
        <w:rPr>
          <w:rStyle w:val="19"/>
          <w:rFonts w:hint="eastAsia" w:ascii="仿宋" w:hAnsi="仿宋" w:eastAsia="仿宋" w:cs="仿宋"/>
          <w:b w:val="0"/>
          <w:bCs w:val="0"/>
          <w:sz w:val="32"/>
          <w:szCs w:val="32"/>
        </w:rPr>
        <w:t>八、</w:t>
      </w:r>
      <w:r>
        <w:rPr>
          <w:rFonts w:hint="eastAsia" w:ascii="仿宋" w:hAnsi="仿宋" w:eastAsia="仿宋" w:cs="仿宋"/>
          <w:b w:val="0"/>
          <w:bCs/>
          <w:kern w:val="2"/>
          <w:sz w:val="32"/>
          <w:szCs w:val="32"/>
        </w:rPr>
        <w:t>一</w:t>
      </w:r>
      <w:r>
        <w:rPr>
          <w:rStyle w:val="19"/>
          <w:rFonts w:hint="eastAsia" w:ascii="仿宋" w:hAnsi="仿宋" w:eastAsia="仿宋" w:cs="仿宋"/>
          <w:b w:val="0"/>
          <w:bCs w:val="0"/>
          <w:sz w:val="32"/>
          <w:szCs w:val="32"/>
        </w:rPr>
        <w:t>般公共预算财政拨款基本支出决算表</w:t>
      </w:r>
    </w:p>
    <w:p w14:paraId="5C6AECE1">
      <w:pPr>
        <w:pStyle w:val="4"/>
        <w:widowControl/>
        <w:rPr>
          <w:rFonts w:hint="eastAsia" w:ascii="仿宋" w:hAnsi="仿宋" w:eastAsia="仿宋" w:cs="Times New Roman"/>
          <w:b/>
          <w:bCs/>
          <w:kern w:val="2"/>
          <w:sz w:val="32"/>
          <w:szCs w:val="32"/>
        </w:rPr>
      </w:pPr>
      <w:r>
        <w:rPr>
          <w:rStyle w:val="19"/>
          <w:rFonts w:hint="eastAsia" w:ascii="仿宋" w:hAnsi="仿宋" w:eastAsia="仿宋" w:cs="仿宋"/>
          <w:b w:val="0"/>
          <w:bCs w:val="0"/>
          <w:sz w:val="32"/>
          <w:szCs w:val="32"/>
        </w:rPr>
        <w:t>九、</w:t>
      </w:r>
      <w:r>
        <w:rPr>
          <w:rFonts w:hint="eastAsia" w:ascii="仿宋" w:hAnsi="仿宋" w:eastAsia="仿宋" w:cs="仿宋"/>
          <w:b w:val="0"/>
          <w:bCs/>
          <w:kern w:val="2"/>
          <w:sz w:val="32"/>
          <w:szCs w:val="32"/>
        </w:rPr>
        <w:t>一</w:t>
      </w:r>
      <w:r>
        <w:rPr>
          <w:rStyle w:val="19"/>
          <w:rFonts w:hint="eastAsia" w:ascii="仿宋" w:hAnsi="仿宋" w:eastAsia="仿宋" w:cs="仿宋"/>
          <w:b w:val="0"/>
          <w:bCs w:val="0"/>
          <w:sz w:val="32"/>
          <w:szCs w:val="32"/>
        </w:rPr>
        <w:t>般公共预算财政拨款项目支出决算表</w:t>
      </w:r>
    </w:p>
    <w:p w14:paraId="61521C00">
      <w:pPr>
        <w:pStyle w:val="4"/>
        <w:widowControl/>
        <w:rPr>
          <w:rFonts w:hint="eastAsia" w:ascii="仿宋" w:hAnsi="仿宋" w:eastAsia="仿宋" w:cs="Times New Roman"/>
          <w:b/>
          <w:bCs/>
          <w:kern w:val="2"/>
          <w:sz w:val="32"/>
          <w:szCs w:val="32"/>
        </w:rPr>
      </w:pPr>
      <w:r>
        <w:rPr>
          <w:rStyle w:val="19"/>
          <w:rFonts w:hint="eastAsia" w:ascii="仿宋" w:hAnsi="仿宋" w:eastAsia="仿宋" w:cs="仿宋"/>
          <w:b w:val="0"/>
          <w:bCs w:val="0"/>
          <w:sz w:val="32"/>
          <w:szCs w:val="32"/>
        </w:rPr>
        <w:t>十、</w:t>
      </w:r>
      <w:r>
        <w:rPr>
          <w:rFonts w:hint="eastAsia" w:ascii="仿宋" w:hAnsi="仿宋" w:eastAsia="仿宋" w:cs="仿宋"/>
          <w:b w:val="0"/>
          <w:bCs/>
          <w:kern w:val="2"/>
          <w:sz w:val="32"/>
          <w:szCs w:val="32"/>
        </w:rPr>
        <w:t>政</w:t>
      </w:r>
      <w:r>
        <w:rPr>
          <w:rStyle w:val="19"/>
          <w:rFonts w:hint="eastAsia" w:ascii="仿宋" w:hAnsi="仿宋" w:eastAsia="仿宋" w:cs="仿宋"/>
          <w:b w:val="0"/>
          <w:bCs w:val="0"/>
          <w:sz w:val="32"/>
          <w:szCs w:val="32"/>
        </w:rPr>
        <w:t>府性基金预算财政拨款收入支出决算表</w:t>
      </w:r>
    </w:p>
    <w:p w14:paraId="6BA1AE2E">
      <w:pPr>
        <w:pStyle w:val="4"/>
        <w:widowControl/>
        <w:rPr>
          <w:rFonts w:hint="eastAsia" w:ascii="仿宋" w:hAnsi="仿宋" w:eastAsia="仿宋" w:cs="Times New Roman"/>
          <w:b/>
          <w:bCs/>
          <w:kern w:val="2"/>
          <w:sz w:val="32"/>
          <w:szCs w:val="32"/>
        </w:rPr>
      </w:pPr>
      <w:r>
        <w:rPr>
          <w:rStyle w:val="19"/>
          <w:rFonts w:hint="eastAsia" w:ascii="仿宋" w:hAnsi="仿宋" w:eastAsia="仿宋" w:cs="仿宋"/>
          <w:b w:val="0"/>
          <w:bCs w:val="0"/>
          <w:sz w:val="32"/>
          <w:szCs w:val="32"/>
        </w:rPr>
        <w:t>十一、</w:t>
      </w:r>
      <w:r>
        <w:rPr>
          <w:rFonts w:hint="eastAsia" w:ascii="仿宋" w:hAnsi="仿宋" w:eastAsia="仿宋" w:cs="仿宋"/>
          <w:b w:val="0"/>
          <w:bCs/>
          <w:kern w:val="2"/>
          <w:sz w:val="32"/>
          <w:szCs w:val="32"/>
        </w:rPr>
        <w:t>国</w:t>
      </w:r>
      <w:r>
        <w:rPr>
          <w:rStyle w:val="19"/>
          <w:rFonts w:hint="eastAsia" w:ascii="仿宋" w:hAnsi="仿宋" w:eastAsia="仿宋" w:cs="仿宋"/>
          <w:b w:val="0"/>
          <w:bCs w:val="0"/>
          <w:sz w:val="32"/>
          <w:szCs w:val="32"/>
        </w:rPr>
        <w:t>有资本经营预算财政拨款收入支出决算表</w:t>
      </w:r>
    </w:p>
    <w:p w14:paraId="02744477">
      <w:pPr>
        <w:pStyle w:val="4"/>
        <w:widowControl/>
        <w:rPr>
          <w:rFonts w:hint="eastAsia" w:ascii="仿宋" w:hAnsi="仿宋" w:eastAsia="仿宋" w:cs="Times New Roman"/>
          <w:b/>
          <w:bCs/>
          <w:kern w:val="2"/>
          <w:sz w:val="32"/>
          <w:szCs w:val="32"/>
        </w:rPr>
      </w:pPr>
      <w:r>
        <w:rPr>
          <w:rStyle w:val="19"/>
          <w:rFonts w:hint="eastAsia" w:ascii="仿宋" w:hAnsi="仿宋" w:eastAsia="仿宋" w:cs="仿宋"/>
          <w:b w:val="0"/>
          <w:bCs w:val="0"/>
          <w:sz w:val="32"/>
          <w:szCs w:val="32"/>
        </w:rPr>
        <w:t>十二、国有资本经营预算财政拨款支出决算表</w:t>
      </w:r>
    </w:p>
    <w:p w14:paraId="0D91AA8B">
      <w:pPr>
        <w:pStyle w:val="4"/>
        <w:widowControl/>
        <w:rPr>
          <w:rFonts w:hint="eastAsia" w:ascii="Cambria" w:hAnsi="Cambria" w:eastAsia="仿宋" w:cs="Times New Roman"/>
          <w:b/>
          <w:bCs/>
          <w:kern w:val="2"/>
          <w:sz w:val="32"/>
          <w:szCs w:val="32"/>
        </w:rPr>
      </w:pPr>
      <w:r>
        <w:rPr>
          <w:rStyle w:val="19"/>
          <w:rFonts w:hint="eastAsia" w:ascii="仿宋" w:hAnsi="仿宋" w:eastAsia="仿宋" w:cs="仿宋"/>
          <w:b w:val="0"/>
          <w:bCs w:val="0"/>
          <w:sz w:val="32"/>
          <w:szCs w:val="32"/>
        </w:rPr>
        <w:t>十三、财政拨款“三公”经费支出决算表</w:t>
      </w:r>
    </w:p>
    <w:p w14:paraId="0005A0DF">
      <w:pPr>
        <w:keepNext w:val="0"/>
        <w:keepLines w:val="0"/>
        <w:widowControl w:val="0"/>
        <w:suppressLineNumbers w:val="0"/>
        <w:suppressAutoHyphens/>
        <w:spacing w:before="0" w:beforeAutospacing="0" w:after="0" w:afterAutospacing="0"/>
        <w:ind w:left="0" w:right="0"/>
        <w:jc w:val="both"/>
        <w:rPr>
          <w:rFonts w:hint="default" w:ascii="Calibri" w:hAnsi="Calibri" w:eastAsia="宋体" w:cs="Times New Roman"/>
          <w:kern w:val="2"/>
          <w:sz w:val="21"/>
          <w:szCs w:val="21"/>
        </w:rPr>
      </w:pPr>
    </w:p>
    <w:p w14:paraId="05A4ECA2"/>
    <w:sectPr>
      <w:footerReference r:id="rId8" w:type="default"/>
      <w:pgSz w:w="11906" w:h="16838"/>
      <w:pgMar w:top="1440" w:right="1800" w:bottom="1440" w:left="1800" w:header="851" w:footer="992" w:gutter="0"/>
      <w:pgNumType w:fmt="decimal" w:start="3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东文宋体">
    <w:altName w:val="宋体"/>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0D119">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D9497A">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6EBBF1">
    <w:pPr>
      <w:pStyle w:val="7"/>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533C41">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8533C41">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A6E84">
    <w:pPr>
      <w:pStyle w:val="7"/>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B401AB">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2B401AB">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4EA60B">
    <w:pPr>
      <w:pStyle w:val="7"/>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9AF08F">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79AF08F">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FDCFF8">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5182EB"/>
    <w:multiLevelType w:val="multilevel"/>
    <w:tmpl w:val="CF5182EB"/>
    <w:lvl w:ilvl="0" w:tentative="0">
      <w:start w:val="1"/>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4E795579"/>
    <w:multiLevelType w:val="singleLevel"/>
    <w:tmpl w:val="4E795579"/>
    <w:lvl w:ilvl="0" w:tentative="0">
      <w:start w:val="5"/>
      <w:numFmt w:val="chineseCounting"/>
      <w:suff w:val="space"/>
      <w:lvlText w:val="第%1部分"/>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1ZGEwNTAwNThhMTdmM2FhY2FlMzkwNDNiZWM0NGIifQ=="/>
    <w:docVar w:name="KSO_WPS_MARK_KEY" w:val="24d0312c-7052-40e3-aaec-667171814512"/>
  </w:docVars>
  <w:rsids>
    <w:rsidRoot w:val="00000000"/>
    <w:rsid w:val="03B35AE9"/>
    <w:rsid w:val="04665056"/>
    <w:rsid w:val="09AE1F88"/>
    <w:rsid w:val="0A5F4902"/>
    <w:rsid w:val="0A977596"/>
    <w:rsid w:val="0B4F6C35"/>
    <w:rsid w:val="0BE00440"/>
    <w:rsid w:val="0DDD0AFB"/>
    <w:rsid w:val="10FB1AA8"/>
    <w:rsid w:val="147847D5"/>
    <w:rsid w:val="14DC3643"/>
    <w:rsid w:val="18465320"/>
    <w:rsid w:val="1A876E66"/>
    <w:rsid w:val="1AE90A58"/>
    <w:rsid w:val="1CD05E80"/>
    <w:rsid w:val="1F736BA3"/>
    <w:rsid w:val="20282611"/>
    <w:rsid w:val="255517FA"/>
    <w:rsid w:val="25B56DD4"/>
    <w:rsid w:val="26757452"/>
    <w:rsid w:val="29EB2AFB"/>
    <w:rsid w:val="2BA63E47"/>
    <w:rsid w:val="2C475206"/>
    <w:rsid w:val="2C8052CD"/>
    <w:rsid w:val="2C9B7130"/>
    <w:rsid w:val="2DD37B2E"/>
    <w:rsid w:val="2F5B6CAF"/>
    <w:rsid w:val="2F956CDC"/>
    <w:rsid w:val="303A0C90"/>
    <w:rsid w:val="31424138"/>
    <w:rsid w:val="32866D48"/>
    <w:rsid w:val="38F131A4"/>
    <w:rsid w:val="39567F24"/>
    <w:rsid w:val="3A282B8F"/>
    <w:rsid w:val="3BE04B81"/>
    <w:rsid w:val="3D6C1E8E"/>
    <w:rsid w:val="3E47640C"/>
    <w:rsid w:val="3E477ACF"/>
    <w:rsid w:val="3F3861FA"/>
    <w:rsid w:val="3F446ADE"/>
    <w:rsid w:val="411B6B2F"/>
    <w:rsid w:val="414A4154"/>
    <w:rsid w:val="44502853"/>
    <w:rsid w:val="483427C0"/>
    <w:rsid w:val="487503AE"/>
    <w:rsid w:val="4B481731"/>
    <w:rsid w:val="4C0146CD"/>
    <w:rsid w:val="4DAC1914"/>
    <w:rsid w:val="4ED14148"/>
    <w:rsid w:val="50F530E7"/>
    <w:rsid w:val="582E2D75"/>
    <w:rsid w:val="599F590B"/>
    <w:rsid w:val="5A6134FD"/>
    <w:rsid w:val="5B9C3B0C"/>
    <w:rsid w:val="5C5F5DB2"/>
    <w:rsid w:val="5CE07708"/>
    <w:rsid w:val="5D131446"/>
    <w:rsid w:val="5EA33DE2"/>
    <w:rsid w:val="60233110"/>
    <w:rsid w:val="60D179CD"/>
    <w:rsid w:val="62B81FED"/>
    <w:rsid w:val="673C3788"/>
    <w:rsid w:val="67B06DA0"/>
    <w:rsid w:val="6E6F337E"/>
    <w:rsid w:val="70B771A2"/>
    <w:rsid w:val="719A1C34"/>
    <w:rsid w:val="720F7F50"/>
    <w:rsid w:val="74BD6F2E"/>
    <w:rsid w:val="7521645C"/>
    <w:rsid w:val="770E4313"/>
    <w:rsid w:val="7B9D456B"/>
    <w:rsid w:val="7C4334E0"/>
    <w:rsid w:val="7C557002"/>
    <w:rsid w:val="7C7B6ADA"/>
    <w:rsid w:val="7D052B84"/>
    <w:rsid w:val="7F0F72A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22"/>
    <w:qFormat/>
    <w:uiPriority w:val="0"/>
    <w:pPr>
      <w:keepNext/>
      <w:keepLines/>
      <w:widowControl w:val="0"/>
      <w:suppressLineNumbers w:val="0"/>
      <w:suppressAutoHyphens/>
      <w:spacing w:before="340" w:beforeAutospacing="0" w:after="330" w:afterAutospacing="0" w:line="576" w:lineRule="auto"/>
      <w:jc w:val="both"/>
      <w:outlineLvl w:val="0"/>
    </w:pPr>
    <w:rPr>
      <w:rFonts w:hint="default" w:ascii="Calibri" w:hAnsi="Calibri" w:eastAsia="宋体" w:cs="Times New Roman"/>
      <w:b/>
      <w:bCs/>
      <w:kern w:val="44"/>
      <w:sz w:val="44"/>
      <w:szCs w:val="44"/>
      <w:lang w:val="en-US" w:eastAsia="zh-CN" w:bidi="ar"/>
    </w:rPr>
  </w:style>
  <w:style w:type="paragraph" w:styleId="4">
    <w:name w:val="heading 2"/>
    <w:basedOn w:val="1"/>
    <w:next w:val="1"/>
    <w:semiHidden/>
    <w:unhideWhenUsed/>
    <w:qFormat/>
    <w:uiPriority w:val="0"/>
    <w:pPr>
      <w:keepNext/>
      <w:keepLines/>
      <w:widowControl w:val="0"/>
      <w:suppressLineNumbers w:val="0"/>
      <w:suppressAutoHyphens/>
      <w:spacing w:before="260" w:beforeAutospacing="0" w:after="260" w:afterAutospacing="0" w:line="415" w:lineRule="auto"/>
      <w:jc w:val="both"/>
      <w:outlineLvl w:val="1"/>
    </w:pPr>
    <w:rPr>
      <w:rFonts w:hint="default" w:ascii="Cambria" w:hAnsi="Cambria" w:eastAsia="宋体" w:cs="Times New Roman"/>
      <w:b/>
      <w:bCs/>
      <w:kern w:val="2"/>
      <w:sz w:val="32"/>
      <w:szCs w:val="32"/>
      <w:lang w:val="en-US" w:eastAsia="zh-CN" w:bidi="ar"/>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200" w:firstLineChars="200"/>
    </w:pPr>
  </w:style>
  <w:style w:type="paragraph" w:styleId="5">
    <w:name w:val="Body Text"/>
    <w:basedOn w:val="1"/>
    <w:qFormat/>
    <w:uiPriority w:val="0"/>
    <w:pPr>
      <w:keepNext w:val="0"/>
      <w:keepLines w:val="0"/>
      <w:widowControl w:val="0"/>
      <w:suppressLineNumbers w:val="0"/>
      <w:suppressAutoHyphens/>
      <w:spacing w:before="0" w:beforeAutospacing="0" w:after="140" w:afterAutospacing="0" w:line="273" w:lineRule="auto"/>
      <w:jc w:val="both"/>
    </w:pPr>
    <w:rPr>
      <w:rFonts w:hint="default" w:ascii="Calibri" w:hAnsi="Calibri" w:eastAsia="宋体" w:cs="Times New Roman"/>
      <w:kern w:val="2"/>
      <w:sz w:val="21"/>
      <w:szCs w:val="21"/>
      <w:lang w:val="en-US" w:eastAsia="zh-CN" w:bidi="ar"/>
    </w:rPr>
  </w:style>
  <w:style w:type="paragraph" w:styleId="6">
    <w:name w:val="Body Text Indent"/>
    <w:basedOn w:val="1"/>
    <w:qFormat/>
    <w:uiPriority w:val="0"/>
    <w:pPr>
      <w:spacing w:after="120"/>
      <w:ind w:left="200" w:leftChars="200"/>
    </w:pPr>
    <w:rPr>
      <w:rFonts w:ascii="仿宋_GB2312"/>
      <w:szCs w:val="32"/>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pPr>
      <w:keepNext w:val="0"/>
      <w:keepLines w:val="0"/>
      <w:widowControl w:val="0"/>
      <w:suppressLineNumbers w:val="0"/>
      <w:suppressAutoHyphens/>
      <w:spacing w:before="93" w:beforeAutospacing="0"/>
      <w:jc w:val="center"/>
    </w:pPr>
    <w:rPr>
      <w:rFonts w:hint="eastAsia" w:ascii="仿宋" w:hAnsi="仿宋" w:eastAsia="仿宋" w:cs="Times New Roman"/>
      <w:kern w:val="2"/>
      <w:sz w:val="28"/>
      <w:szCs w:val="28"/>
      <w:lang w:val="en-US" w:eastAsia="zh-CN" w:bidi="ar"/>
    </w:rPr>
  </w:style>
  <w:style w:type="paragraph" w:styleId="10">
    <w:name w:val="table of figures"/>
    <w:basedOn w:val="1"/>
    <w:next w:val="1"/>
    <w:unhideWhenUsed/>
    <w:qFormat/>
    <w:uiPriority w:val="0"/>
    <w:pPr>
      <w:ind w:left="200" w:leftChars="200" w:hanging="200" w:hangingChars="200"/>
    </w:pPr>
    <w:rPr>
      <w:rFonts w:hint="eastAsia"/>
      <w:sz w:val="32"/>
      <w:szCs w:val="21"/>
    </w:rPr>
  </w:style>
  <w:style w:type="paragraph" w:styleId="11">
    <w:name w:val="toc 2"/>
    <w:basedOn w:val="1"/>
    <w:next w:val="1"/>
    <w:qFormat/>
    <w:uiPriority w:val="0"/>
    <w:pPr>
      <w:keepNext w:val="0"/>
      <w:keepLines w:val="0"/>
      <w:widowControl w:val="0"/>
      <w:suppressLineNumbers w:val="0"/>
      <w:suppressAutoHyphens/>
      <w:ind w:left="420" w:leftChars="200"/>
      <w:jc w:val="both"/>
    </w:pPr>
    <w:rPr>
      <w:rFonts w:hint="default" w:ascii="Calibri" w:hAnsi="Calibri" w:eastAsia="宋体" w:cs="Times New Roman"/>
      <w:kern w:val="2"/>
      <w:sz w:val="21"/>
      <w:szCs w:val="21"/>
      <w:lang w:val="en-US" w:eastAsia="zh-CN" w:bidi="ar"/>
    </w:rPr>
  </w:style>
  <w:style w:type="paragraph" w:styleId="12">
    <w:name w:val="Body Text First Indent 2"/>
    <w:basedOn w:val="6"/>
    <w:qFormat/>
    <w:uiPriority w:val="0"/>
    <w:pPr>
      <w:keepNext w:val="0"/>
      <w:keepLines w:val="0"/>
      <w:widowControl w:val="0"/>
      <w:suppressLineNumbers w:val="0"/>
      <w:suppressAutoHyphens/>
      <w:spacing w:after="120" w:afterAutospacing="0"/>
      <w:ind w:leftChars="200" w:firstLine="420" w:firstLineChars="200"/>
      <w:jc w:val="both"/>
    </w:pPr>
    <w:rPr>
      <w:rFonts w:hint="eastAsia" w:ascii="仿宋_GB2312" w:hAnsi="Calibri" w:eastAsia="宋体" w:cs="Times New Roman"/>
      <w:kern w:val="2"/>
      <w:sz w:val="21"/>
      <w:szCs w:val="21"/>
      <w:lang w:val="en-US" w:eastAsia="zh-CN" w:bidi="ar"/>
    </w:rPr>
  </w:style>
  <w:style w:type="character" w:styleId="15">
    <w:name w:val="Strong"/>
    <w:basedOn w:val="14"/>
    <w:qFormat/>
    <w:uiPriority w:val="0"/>
    <w:rPr>
      <w:b/>
    </w:rPr>
  </w:style>
  <w:style w:type="character" w:customStyle="1" w:styleId="16">
    <w:name w:val="10"/>
    <w:basedOn w:val="14"/>
    <w:qFormat/>
    <w:uiPriority w:val="0"/>
    <w:rPr>
      <w:rFonts w:hint="default" w:ascii="Times New Roman" w:hAnsi="Times New Roman" w:cs="Times New Roman"/>
    </w:rPr>
  </w:style>
  <w:style w:type="character" w:customStyle="1" w:styleId="17">
    <w:name w:val="16"/>
    <w:basedOn w:val="14"/>
    <w:qFormat/>
    <w:uiPriority w:val="0"/>
    <w:rPr>
      <w:rFonts w:hint="default" w:ascii="Times New Roman" w:hAnsi="Times New Roman" w:cs="Times New Roman"/>
      <w:b/>
      <w:bCs/>
      <w:kern w:val="44"/>
      <w:sz w:val="44"/>
      <w:szCs w:val="44"/>
    </w:rPr>
  </w:style>
  <w:style w:type="character" w:customStyle="1" w:styleId="18">
    <w:name w:val="15"/>
    <w:basedOn w:val="14"/>
    <w:qFormat/>
    <w:uiPriority w:val="0"/>
    <w:rPr>
      <w:rFonts w:hint="default" w:ascii="Times New Roman" w:hAnsi="Times New Roman" w:cs="Times New Roman"/>
      <w:b/>
    </w:rPr>
  </w:style>
  <w:style w:type="character" w:customStyle="1" w:styleId="19">
    <w:name w:val="17"/>
    <w:basedOn w:val="14"/>
    <w:qFormat/>
    <w:uiPriority w:val="0"/>
    <w:rPr>
      <w:rFonts w:hint="default" w:ascii="Cambria" w:hAnsi="Cambria" w:eastAsia="宋体" w:cs="Times New Roman"/>
      <w:b/>
      <w:bCs/>
      <w:sz w:val="32"/>
      <w:szCs w:val="32"/>
    </w:rPr>
  </w:style>
  <w:style w:type="paragraph" w:customStyle="1" w:styleId="20">
    <w:name w:val="List Paragraph"/>
    <w:basedOn w:val="1"/>
    <w:qFormat/>
    <w:uiPriority w:val="0"/>
    <w:pPr>
      <w:keepNext w:val="0"/>
      <w:keepLines w:val="0"/>
      <w:widowControl w:val="0"/>
      <w:suppressLineNumbers w:val="0"/>
      <w:suppressAutoHyphens/>
      <w:spacing w:before="0" w:beforeAutospacing="0" w:after="0" w:afterAutospacing="0"/>
      <w:ind w:left="0" w:right="0" w:firstLine="420" w:firstLineChars="200"/>
      <w:jc w:val="both"/>
    </w:pPr>
    <w:rPr>
      <w:rFonts w:hint="default" w:ascii="Calibri" w:hAnsi="Calibri" w:eastAsia="宋体" w:cs="Times New Roman"/>
      <w:kern w:val="2"/>
      <w:sz w:val="21"/>
      <w:szCs w:val="21"/>
      <w:lang w:val="en-US" w:eastAsia="zh-CN" w:bidi="ar"/>
    </w:rPr>
  </w:style>
  <w:style w:type="paragraph" w:customStyle="1" w:styleId="21">
    <w:name w:val="Default"/>
    <w:basedOn w:val="1"/>
    <w:qFormat/>
    <w:uiPriority w:val="0"/>
    <w:pPr>
      <w:keepNext w:val="0"/>
      <w:keepLines w:val="0"/>
      <w:widowControl w:val="0"/>
      <w:suppressLineNumbers w:val="0"/>
      <w:suppressAutoHyphens w:val="0"/>
      <w:autoSpaceDE w:val="0"/>
      <w:autoSpaceDN w:val="0"/>
      <w:adjustRightInd w:val="0"/>
      <w:spacing w:before="0" w:beforeAutospacing="0" w:after="0" w:afterAutospacing="0"/>
      <w:ind w:left="0" w:right="0"/>
      <w:jc w:val="left"/>
    </w:pPr>
    <w:rPr>
      <w:rFonts w:hint="eastAsia" w:ascii="仿宋" w:hAnsi="Calibri" w:eastAsia="仿宋" w:cs="仿宋"/>
      <w:color w:val="000000"/>
      <w:kern w:val="0"/>
      <w:sz w:val="24"/>
      <w:szCs w:val="24"/>
      <w:lang w:val="en-US" w:eastAsia="zh-CN" w:bidi="ar"/>
    </w:rPr>
  </w:style>
  <w:style w:type="character" w:customStyle="1" w:styleId="22">
    <w:name w:val="标题 1 Char"/>
    <w:basedOn w:val="14"/>
    <w:link w:val="3"/>
    <w:qFormat/>
    <w:uiPriority w:val="0"/>
    <w:rPr>
      <w:rFonts w:hint="default" w:ascii="Calibri" w:hAnsi="Calibri" w:eastAsia="宋体" w:cs="Times New Roman"/>
      <w:b/>
      <w:bCs/>
      <w:kern w:val="44"/>
      <w:sz w:val="44"/>
      <w:szCs w:val="4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6.emf"/><Relationship Id="rId20" Type="http://schemas.openxmlformats.org/officeDocument/2006/relationships/oleObject" Target="embeddings/oleObject6.bin"/><Relationship Id="rId2" Type="http://schemas.openxmlformats.org/officeDocument/2006/relationships/settings" Target="settings.xml"/><Relationship Id="rId19" Type="http://schemas.openxmlformats.org/officeDocument/2006/relationships/image" Target="media/image5.emf"/><Relationship Id="rId18" Type="http://schemas.openxmlformats.org/officeDocument/2006/relationships/oleObject" Target="embeddings/oleObject5.bin"/><Relationship Id="rId17" Type="http://schemas.openxmlformats.org/officeDocument/2006/relationships/image" Target="media/image4.emf"/><Relationship Id="rId16" Type="http://schemas.openxmlformats.org/officeDocument/2006/relationships/oleObject" Target="embeddings/oleObject4.bin"/><Relationship Id="rId15" Type="http://schemas.openxmlformats.org/officeDocument/2006/relationships/image" Target="media/image3.emf"/><Relationship Id="rId14" Type="http://schemas.openxmlformats.org/officeDocument/2006/relationships/oleObject" Target="embeddings/oleObject3.bin"/><Relationship Id="rId13" Type="http://schemas.openxmlformats.org/officeDocument/2006/relationships/image" Target="media/image2.emf"/><Relationship Id="rId12" Type="http://schemas.openxmlformats.org/officeDocument/2006/relationships/oleObject" Target="embeddings/oleObject2.bin"/><Relationship Id="rId11" Type="http://schemas.openxmlformats.org/officeDocument/2006/relationships/image" Target="media/image1.e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36</Pages>
  <Words>6997</Words>
  <Characters>8229</Characters>
  <Lines>0</Lines>
  <Paragraphs>0</Paragraphs>
  <TotalTime>14</TotalTime>
  <ScaleCrop>false</ScaleCrop>
  <LinksUpToDate>false</LinksUpToDate>
  <CharactersWithSpaces>8322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沈 强</cp:lastModifiedBy>
  <cp:lastPrinted>2024-09-08T01:14:00Z</cp:lastPrinted>
  <dcterms:modified xsi:type="dcterms:W3CDTF">2025-09-28T09:43:34Z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D4A39BB81AD24DD694D5EAEE214133A3_12</vt:lpwstr>
  </property>
  <property fmtid="{D5CDD505-2E9C-101B-9397-08002B2CF9AE}" pid="4" name="KSOTemplateDocerSaveRecord">
    <vt:lpwstr>eyJoZGlkIjoiMjM2OGQ3ZDc3NGQ3MmExZjk1YTg4MDIzOGFhN2Q4ZjYiLCJ1c2VySWQiOiIyNjQ5OTE0NjYifQ==</vt:lpwstr>
  </property>
</Properties>
</file>