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A624E">
      <w:pPr>
        <w:pStyle w:val="5"/>
        <w:widowControl/>
        <w:ind w:left="0" w:right="0"/>
        <w:jc w:val="center"/>
        <w:rPr>
          <w:rFonts w:hint="eastAsia" w:ascii="方正小标宋简体" w:hAnsi="宋体" w:eastAsia="方正小标宋简体" w:cs="Times New Roman"/>
          <w:kern w:val="2"/>
          <w:sz w:val="44"/>
          <w:szCs w:val="44"/>
        </w:rPr>
      </w:pPr>
    </w:p>
    <w:p w14:paraId="6D298994">
      <w:pPr>
        <w:pStyle w:val="5"/>
        <w:widowControl/>
        <w:ind w:left="0" w:right="0"/>
        <w:jc w:val="center"/>
        <w:rPr>
          <w:rFonts w:hint="eastAsia" w:ascii="方正小标宋简体" w:hAnsi="方正小标宋简体" w:eastAsia="方正小标宋简体" w:cs="方正小标宋简体"/>
          <w:kern w:val="2"/>
          <w:sz w:val="48"/>
          <w:szCs w:val="48"/>
        </w:rPr>
      </w:pPr>
    </w:p>
    <w:p w14:paraId="5A7CF2AE">
      <w:pPr>
        <w:pStyle w:val="5"/>
        <w:widowControl/>
        <w:ind w:left="0" w:right="0"/>
        <w:jc w:val="center"/>
        <w:rPr>
          <w:rFonts w:hint="eastAsia" w:ascii="方正小标宋简体" w:hAnsi="方正小标宋简体" w:eastAsia="方正小标宋简体" w:cs="方正小标宋简体"/>
          <w:kern w:val="2"/>
          <w:sz w:val="48"/>
          <w:szCs w:val="48"/>
        </w:rPr>
      </w:pPr>
    </w:p>
    <w:p w14:paraId="7AE54B51">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w:t>
      </w:r>
      <w:r>
        <w:rPr>
          <w:rFonts w:hint="eastAsia" w:ascii="方正小标宋简体" w:hAnsi="方正小标宋简体" w:eastAsia="方正小标宋简体" w:cs="方正小标宋简体"/>
          <w:kern w:val="2"/>
          <w:sz w:val="48"/>
          <w:szCs w:val="48"/>
          <w:lang w:val="en-US" w:eastAsia="zh-CN"/>
        </w:rPr>
        <w:t>4</w:t>
      </w:r>
      <w:r>
        <w:rPr>
          <w:rFonts w:hint="eastAsia" w:ascii="方正小标宋简体" w:hAnsi="方正小标宋简体" w:eastAsia="方正小标宋简体" w:cs="方正小标宋简体"/>
          <w:kern w:val="2"/>
          <w:sz w:val="48"/>
          <w:szCs w:val="48"/>
        </w:rPr>
        <w:t>年度</w:t>
      </w:r>
    </w:p>
    <w:p w14:paraId="6CB3BD86">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四川省阿坝州茂县</w:t>
      </w:r>
    </w:p>
    <w:p w14:paraId="1A638D73">
      <w:pPr>
        <w:pStyle w:val="5"/>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lang w:eastAsia="zh-CN"/>
        </w:rPr>
        <w:t>行政审批和政务服务管理局</w:t>
      </w:r>
    </w:p>
    <w:p w14:paraId="31267F48">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本级</w:t>
      </w:r>
      <w:r>
        <w:rPr>
          <w:rFonts w:hint="eastAsia" w:ascii="方正小标宋简体" w:hAnsi="方正小标宋简体" w:eastAsia="方正小标宋简体" w:cs="方正小标宋简体"/>
          <w:kern w:val="2"/>
          <w:sz w:val="48"/>
          <w:szCs w:val="48"/>
        </w:rPr>
        <w:t>单位决算</w:t>
      </w:r>
    </w:p>
    <w:p w14:paraId="510338EA">
      <w:pPr>
        <w:pStyle w:val="5"/>
        <w:widowControl/>
        <w:ind w:left="0" w:right="0"/>
        <w:jc w:val="center"/>
        <w:rPr>
          <w:rFonts w:hint="eastAsia" w:ascii="黑体" w:hAnsi="宋体" w:eastAsia="黑体" w:cs="黑体"/>
          <w:kern w:val="2"/>
          <w:sz w:val="48"/>
          <w:szCs w:val="48"/>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422CAE5">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14:paraId="6EF5EFD6">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14:paraId="73DD6076">
      <w:pPr>
        <w:pStyle w:val="9"/>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公开时间：2025年  9月  25 日</w:t>
      </w:r>
    </w:p>
    <w:p w14:paraId="09259BA8">
      <w:pPr>
        <w:pStyle w:val="9"/>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14:paraId="0D6EE2DC">
      <w:pPr>
        <w:pStyle w:val="9"/>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14:paraId="6EAFD31B">
      <w:pPr>
        <w:pStyle w:val="11"/>
        <w:widowControl/>
        <w:adjustRightInd w:val="0"/>
        <w:snapToGrid w:val="0"/>
        <w:spacing w:before="0" w:beforeAutospacing="1" w:after="0" w:afterAutospacing="1" w:line="440" w:lineRule="exact"/>
        <w:ind w:left="0" w:leftChars="0" w:right="0" w:firstLine="480" w:firstLineChars="200"/>
        <w:jc w:val="left"/>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....................................................1</w:t>
      </w:r>
    </w:p>
    <w:p w14:paraId="2CD195D1">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w:t>
      </w: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年度单位决算情况说明</w:t>
      </w:r>
      <w:r>
        <w:rPr>
          <w:rFonts w:hint="eastAsia" w:ascii="宋体" w:hAnsi="宋体" w:cs="宋体"/>
          <w:kern w:val="2"/>
          <w:sz w:val="24"/>
          <w:szCs w:val="24"/>
          <w:lang w:val="en-US" w:eastAsia="zh-CN" w:bidi="ar"/>
        </w:rPr>
        <w:t>..................................2</w:t>
      </w:r>
    </w:p>
    <w:p w14:paraId="37C9B769">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....................................2</w:t>
      </w:r>
    </w:p>
    <w:p w14:paraId="30F7B48D">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14:paraId="47BECA2F">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............................................3</w:t>
      </w:r>
    </w:p>
    <w:p w14:paraId="1DCB0837">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14:paraId="5F21A4DB">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........................4</w:t>
      </w:r>
    </w:p>
    <w:p w14:paraId="3983A461">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....................6</w:t>
      </w:r>
    </w:p>
    <w:p w14:paraId="7D74C5C0">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14:paraId="28DB56C8">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..............................7</w:t>
      </w:r>
    </w:p>
    <w:p w14:paraId="00B7834F">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............................7</w:t>
      </w:r>
    </w:p>
    <w:p w14:paraId="639CD047">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......................................8</w:t>
      </w:r>
    </w:p>
    <w:p w14:paraId="30D899D0">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..................................................10</w:t>
      </w:r>
    </w:p>
    <w:p w14:paraId="2B86D620">
      <w:pPr>
        <w:pStyle w:val="9"/>
        <w:widowControl/>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附件......................................................13</w:t>
      </w:r>
    </w:p>
    <w:p w14:paraId="03A287E2">
      <w:pPr>
        <w:pStyle w:val="9"/>
        <w:widowControl/>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7741E1C8">
      <w:pPr>
        <w:pStyle w:val="9"/>
        <w:widowControl/>
        <w:numPr>
          <w:ilvl w:val="0"/>
          <w:numId w:val="1"/>
        </w:numPr>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附表......................................................34</w:t>
      </w:r>
    </w:p>
    <w:p w14:paraId="622CFA9A">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14:paraId="4E0DC1C8">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14:paraId="27ED434B">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14:paraId="51FDA9CC">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14:paraId="411C11DB">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14:paraId="1629A4B2">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14:paraId="4CF43A59">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14:paraId="7EC62CCF">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14:paraId="5FD0C41F">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14:paraId="29277613">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14:paraId="74E3FBC9">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14:paraId="6114B0DD">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14:paraId="5D3848FF">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十三、财政拨款“三公”经费支出决算表</w:t>
      </w:r>
    </w:p>
    <w:p w14:paraId="6F4C7341">
      <w:pPr>
        <w:pStyle w:val="3"/>
        <w:widowControl/>
        <w:jc w:val="center"/>
        <w:rPr>
          <w:rFonts w:hint="eastAsia" w:ascii="黑体" w:hAnsi="宋体" w:eastAsia="黑体" w:cs="黑体"/>
          <w:b w:val="0"/>
          <w:bCs/>
          <w:kern w:val="44"/>
          <w:sz w:val="44"/>
          <w:szCs w:val="44"/>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34B5F739">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7"/>
          <w:rFonts w:hint="eastAsia" w:ascii="黑体" w:hAnsi="宋体" w:eastAsia="黑体" w:cs="黑体"/>
          <w:b w:val="0"/>
          <w:bCs w:val="0"/>
          <w:kern w:val="44"/>
          <w:sz w:val="44"/>
          <w:szCs w:val="44"/>
        </w:rPr>
        <w:t>概况</w:t>
      </w:r>
    </w:p>
    <w:p w14:paraId="7EC9AF7B">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9"/>
          <w:rFonts w:hint="eastAsia" w:ascii="黑体" w:hAnsi="宋体" w:eastAsia="黑体" w:cs="黑体"/>
          <w:b w:val="0"/>
          <w:bCs w:val="0"/>
          <w:sz w:val="32"/>
          <w:szCs w:val="32"/>
        </w:rPr>
        <w:t>主要职责</w:t>
      </w:r>
    </w:p>
    <w:p w14:paraId="0777D799">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w:t>
      </w:r>
    </w:p>
    <w:p w14:paraId="4ADFCA32">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2.负责对在中心运行的行政许可、非许可审批事项的办理情况进行协调、监督、通报和考评；对经县人民政府批准，未进中心的行政许可、非许可审批事项的运行情况，会同监察机关进行监督检查。 </w:t>
      </w:r>
    </w:p>
    <w:p w14:paraId="1304E371">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3.负责全县行政审批制度、工作机制和运行方式的改革等具体工作；组织对现有行政许可、非许可审批项目的办理环节、流程进行精简、优化；依法对涉及两个及两个以上部门的同一行政审批项目联合审批进行组织协调和督办。 </w:t>
      </w:r>
    </w:p>
    <w:p w14:paraId="266EF712">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4.负责中心的电子政务建设、管理、后勤保障和安全</w:t>
      </w:r>
      <w:r>
        <w:rPr>
          <w:rFonts w:hint="eastAsia" w:ascii="仿宋_GB2312" w:eastAsia="仿宋_GB2312" w:cs="仿宋_GB2312"/>
          <w:color w:val="000000"/>
          <w:sz w:val="32"/>
          <w:szCs w:val="32"/>
          <w:lang w:eastAsia="zh-CN"/>
        </w:rPr>
        <w:t>。</w:t>
      </w:r>
    </w:p>
    <w:p w14:paraId="2E172EFC">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w:t>
      </w:r>
    </w:p>
    <w:p w14:paraId="5DC33DF3">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6.负责对分中心和乡镇便民服务中心经进行业务指导和监督。 </w:t>
      </w:r>
    </w:p>
    <w:p w14:paraId="409AA4A2">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sz w:val="32"/>
          <w:szCs w:val="32"/>
        </w:rPr>
      </w:pPr>
      <w:r>
        <w:rPr>
          <w:rFonts w:hint="eastAsia" w:ascii="仿宋_GB2312" w:eastAsia="仿宋_GB2312" w:cs="仿宋_GB2312"/>
          <w:color w:val="000000"/>
          <w:sz w:val="32"/>
          <w:szCs w:val="32"/>
        </w:rPr>
        <w:t>7.承办县委、县政府交办的其他工作。</w:t>
      </w:r>
    </w:p>
    <w:p w14:paraId="7E32DF7E">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b w:val="0"/>
          <w:bCs w:val="0"/>
        </w:rPr>
      </w:pPr>
    </w:p>
    <w:p w14:paraId="0851185E">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14:paraId="6960889A">
      <w:pPr>
        <w:pStyle w:val="2"/>
        <w:rPr>
          <w:rFonts w:hint="eastAsia" w:ascii="仿宋_GB2312" w:eastAsia="仿宋_GB2312" w:cs="仿宋_GB2312"/>
          <w:b w:val="0"/>
          <w:bCs w:val="0"/>
          <w:color w:val="000000"/>
          <w:sz w:val="32"/>
          <w:szCs w:val="32"/>
          <w:lang w:val="en-US" w:eastAsia="zh-CN"/>
        </w:rPr>
      </w:pPr>
      <w:r>
        <w:rPr>
          <w:rFonts w:hint="eastAsia" w:ascii="仿宋_GB2312" w:eastAsia="仿宋_GB2312" w:cs="仿宋_GB2312"/>
          <w:b w:val="0"/>
          <w:bCs w:val="0"/>
          <w:color w:val="000000"/>
          <w:sz w:val="32"/>
          <w:szCs w:val="32"/>
        </w:rPr>
        <w:t>茂县行政审批局</w:t>
      </w:r>
      <w:r>
        <w:rPr>
          <w:rFonts w:hint="eastAsia" w:ascii="仿宋_GB2312" w:eastAsia="仿宋_GB2312" w:cs="仿宋_GB2312"/>
          <w:b w:val="0"/>
          <w:bCs w:val="0"/>
          <w:color w:val="000000"/>
          <w:sz w:val="32"/>
          <w:szCs w:val="32"/>
          <w:lang w:eastAsia="zh-CN"/>
        </w:rPr>
        <w:t>是一级决算单位</w:t>
      </w:r>
      <w:r>
        <w:rPr>
          <w:rFonts w:hint="eastAsia" w:ascii="仿宋_GB2312" w:eastAsia="仿宋_GB2312" w:cs="仿宋_GB2312"/>
          <w:b w:val="0"/>
          <w:bCs w:val="0"/>
          <w:color w:val="000000"/>
          <w:sz w:val="32"/>
          <w:szCs w:val="32"/>
          <w:lang w:val="en-US" w:eastAsia="zh-CN"/>
        </w:rPr>
        <w:t>,为正科级行政机构，内设办公室、行政审批一室、行政审批二室、政务服务管理股（政策法规股），</w:t>
      </w:r>
      <w:r>
        <w:rPr>
          <w:rFonts w:hint="eastAsia" w:ascii="仿宋_GB2312" w:eastAsia="仿宋_GB2312" w:cs="仿宋_GB2312"/>
          <w:b w:val="0"/>
          <w:bCs w:val="0"/>
          <w:color w:val="000000"/>
          <w:sz w:val="32"/>
          <w:szCs w:val="32"/>
          <w:lang w:eastAsia="zh-CN"/>
        </w:rPr>
        <w:t>纳入</w:t>
      </w:r>
      <w:r>
        <w:rPr>
          <w:rFonts w:hint="eastAsia" w:ascii="仿宋_GB2312" w:eastAsia="仿宋_GB2312" w:cs="仿宋_GB2312"/>
          <w:b w:val="0"/>
          <w:bCs w:val="0"/>
          <w:color w:val="000000"/>
          <w:sz w:val="32"/>
          <w:szCs w:val="32"/>
          <w:lang w:val="en-US" w:eastAsia="zh-CN"/>
        </w:rPr>
        <w:t>2024年度部门决算的下属</w:t>
      </w:r>
      <w:r>
        <w:rPr>
          <w:rFonts w:hint="eastAsia" w:ascii="仿宋_GB2312" w:eastAsia="仿宋_GB2312" w:cs="仿宋_GB2312"/>
          <w:b w:val="0"/>
          <w:bCs w:val="0"/>
          <w:color w:val="000000"/>
          <w:sz w:val="32"/>
          <w:szCs w:val="32"/>
        </w:rPr>
        <w:t>二级单位1个</w:t>
      </w:r>
      <w:r>
        <w:rPr>
          <w:rFonts w:hint="eastAsia" w:ascii="仿宋_GB2312" w:eastAsia="仿宋_GB2312" w:cs="仿宋_GB2312"/>
          <w:b w:val="0"/>
          <w:bCs w:val="0"/>
          <w:color w:val="000000"/>
          <w:sz w:val="32"/>
          <w:szCs w:val="32"/>
          <w:lang w:val="en-US" w:eastAsia="zh-CN"/>
        </w:rPr>
        <w:t>:</w:t>
      </w:r>
      <w:r>
        <w:rPr>
          <w:rFonts w:hint="eastAsia" w:ascii="仿宋_GB2312" w:eastAsia="仿宋_GB2312" w:cs="仿宋_GB2312"/>
          <w:b w:val="0"/>
          <w:bCs w:val="0"/>
          <w:color w:val="000000"/>
          <w:sz w:val="32"/>
          <w:szCs w:val="32"/>
        </w:rPr>
        <w:t>茂县政务服务和公共资源交易中心。</w:t>
      </w:r>
    </w:p>
    <w:p w14:paraId="19599E2A">
      <w:pPr>
        <w:keepNext w:val="0"/>
        <w:keepLines w:val="0"/>
        <w:widowControl/>
        <w:suppressLineNumbers w:val="0"/>
        <w:suppressAutoHyphens/>
        <w:spacing w:before="0" w:beforeAutospacing="0" w:after="0" w:afterAutospacing="0"/>
        <w:ind w:left="0" w:right="0"/>
        <w:jc w:val="center"/>
        <w:rPr>
          <w:rFonts w:hint="default"/>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w:t>
      </w:r>
      <w:r>
        <w:rPr>
          <w:rFonts w:hint="eastAsia" w:ascii="黑体" w:hAnsi="宋体" w:eastAsia="黑体" w:cs="黑体"/>
          <w:b w:val="0"/>
          <w:bCs/>
          <w:kern w:val="44"/>
          <w:sz w:val="44"/>
          <w:szCs w:val="44"/>
          <w:lang w:val="en-US" w:eastAsia="zh-CN"/>
        </w:rPr>
        <w:t>4</w:t>
      </w:r>
      <w:r>
        <w:rPr>
          <w:rFonts w:hint="eastAsia" w:ascii="黑体" w:hAnsi="宋体" w:eastAsia="黑体" w:cs="黑体"/>
          <w:b w:val="0"/>
          <w:bCs/>
          <w:kern w:val="44"/>
          <w:sz w:val="44"/>
          <w:szCs w:val="44"/>
        </w:rPr>
        <w:t>年度</w:t>
      </w:r>
      <w:r>
        <w:rPr>
          <w:rStyle w:val="17"/>
          <w:rFonts w:hint="eastAsia" w:ascii="黑体" w:hAnsi="宋体" w:eastAsia="黑体" w:cs="黑体"/>
          <w:b w:val="0"/>
          <w:bCs/>
          <w:kern w:val="44"/>
          <w:sz w:val="44"/>
          <w:szCs w:val="44"/>
        </w:rPr>
        <w:t>单位决算情况说明</w:t>
      </w:r>
    </w:p>
    <w:p w14:paraId="6D73116B">
      <w:pPr>
        <w:pStyle w:val="20"/>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9"/>
          <w:rFonts w:hint="eastAsia" w:ascii="黑体" w:hAnsi="宋体" w:eastAsia="黑体" w:cs="黑体"/>
          <w:b w:val="0"/>
          <w:bCs/>
          <w:sz w:val="32"/>
          <w:szCs w:val="32"/>
        </w:rPr>
        <w:t>入支出决算总体情况说明</w:t>
      </w:r>
    </w:p>
    <w:p w14:paraId="0B27390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2024年度收、支总计均为259.05万元。与2023年度相比，收、支总计各增加</w:t>
      </w:r>
      <w:r>
        <w:rPr>
          <w:rFonts w:hint="eastAsia" w:ascii="仿宋" w:hAnsi="仿宋" w:eastAsia="仿宋" w:cs="Times New Roman"/>
          <w:kern w:val="2"/>
          <w:sz w:val="32"/>
          <w:szCs w:val="32"/>
          <w:lang w:val="en-US" w:eastAsia="zh-CN" w:bidi="ar"/>
        </w:rPr>
        <w:t>55.45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27.23%</w:t>
      </w:r>
      <w:r>
        <w:rPr>
          <w:rFonts w:hint="eastAsia" w:ascii="仿宋" w:hAnsi="仿宋" w:eastAsia="仿宋" w:cs="仿宋"/>
          <w:kern w:val="2"/>
          <w:sz w:val="32"/>
          <w:szCs w:val="32"/>
          <w:lang w:val="en-US" w:eastAsia="zh-CN" w:bidi="ar"/>
        </w:rPr>
        <w:t>。主要变动原因是：2024年工资福利和人员的增加。</w:t>
      </w:r>
    </w:p>
    <w:p w14:paraId="209147B5">
      <w:pPr>
        <w:pStyle w:val="10"/>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61AAF78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9"/>
          <w:rFonts w:hint="eastAsia" w:ascii="黑体" w:hAnsi="宋体" w:eastAsia="黑体" w:cs="黑体"/>
          <w:b w:val="0"/>
          <w:bCs/>
          <w:sz w:val="32"/>
          <w:szCs w:val="32"/>
        </w:rPr>
        <w:t>入决算情况说明</w:t>
      </w:r>
    </w:p>
    <w:p w14:paraId="4D7551B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r>
        <w:rPr>
          <w:rFonts w:hint="eastAsia" w:ascii="仿宋" w:hAnsi="仿宋" w:eastAsia="仿宋" w:cs="仿宋"/>
          <w:kern w:val="2"/>
          <w:sz w:val="32"/>
          <w:szCs w:val="32"/>
          <w:lang w:val="en-US" w:eastAsia="zh-CN" w:bidi="ar"/>
        </w:rPr>
        <w:t>2024年度本年收入合计</w:t>
      </w:r>
      <w:r>
        <w:rPr>
          <w:rFonts w:hint="eastAsia" w:ascii="仿宋" w:hAnsi="仿宋" w:eastAsia="仿宋" w:cs="Times New Roman"/>
          <w:kern w:val="2"/>
          <w:sz w:val="32"/>
          <w:szCs w:val="32"/>
          <w:lang w:val="en-US" w:eastAsia="zh-CN" w:bidi="ar"/>
        </w:rPr>
        <w:t>259.05</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259.05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政府性基金预算财政拨款收入0万元，占0%;国有资本经营预算财政拨款收入0万元，占0%；上级补助收入0万元，占0%；事业收入0万元；占0%；经营收入0万元，占0%；附属单位上缴收入0万元，占0%；其他收入0万元，占0%。</w:t>
      </w:r>
    </w:p>
    <w:p w14:paraId="6F9BD91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106.75pt;margin-top:19.45pt;height:130.85pt;width:184.0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490A083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084A1DF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EC895E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12CAEBC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黑体" w:hAnsi="宋体" w:eastAsia="黑体" w:cs="黑体"/>
          <w:kern w:val="2"/>
          <w:sz w:val="32"/>
          <w:szCs w:val="32"/>
        </w:rPr>
      </w:pPr>
    </w:p>
    <w:p w14:paraId="793DCCF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黑体"/>
          <w:kern w:val="2"/>
          <w:sz w:val="32"/>
          <w:szCs w:val="32"/>
        </w:rPr>
      </w:pPr>
    </w:p>
    <w:p w14:paraId="4509476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9"/>
          <w:rFonts w:hint="eastAsia" w:ascii="黑体" w:hAnsi="宋体" w:eastAsia="黑体" w:cs="黑体"/>
          <w:b w:val="0"/>
          <w:bCs/>
          <w:sz w:val="32"/>
          <w:szCs w:val="32"/>
        </w:rPr>
        <w:t>出决算情况说明</w:t>
      </w:r>
    </w:p>
    <w:p w14:paraId="1EACD98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2024年度本年支出合计</w:t>
      </w:r>
      <w:r>
        <w:rPr>
          <w:rFonts w:hint="eastAsia" w:ascii="仿宋" w:hAnsi="仿宋" w:eastAsia="仿宋" w:cs="Times New Roman"/>
          <w:kern w:val="2"/>
          <w:sz w:val="32"/>
          <w:szCs w:val="32"/>
          <w:lang w:val="en-US" w:eastAsia="zh-CN" w:bidi="ar"/>
        </w:rPr>
        <w:t>259.05</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203.49</w:t>
      </w:r>
      <w:r>
        <w:rPr>
          <w:rFonts w:hint="eastAsia" w:ascii="仿宋" w:hAnsi="仿宋" w:eastAsia="仿宋" w:cs="仿宋"/>
          <w:kern w:val="2"/>
          <w:sz w:val="32"/>
          <w:szCs w:val="32"/>
          <w:lang w:val="en-US" w:eastAsia="zh-CN" w:bidi="ar"/>
        </w:rPr>
        <w:t>万元，占78.55</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；项目支出55.56万元，占21.45</w:t>
      </w:r>
      <w:r>
        <w:rPr>
          <w:rFonts w:hint="eastAsia" w:ascii="仿宋" w:hAnsi="仿宋" w:eastAsia="仿宋" w:cs="Times New Roman"/>
          <w:kern w:val="2"/>
          <w:sz w:val="32"/>
          <w:szCs w:val="32"/>
          <w:lang w:val="en-US" w:eastAsia="zh-CN" w:bidi="ar"/>
        </w:rPr>
        <w:t>%；上缴上级支出0万元，占0%；经营支出0万元，占0%；对附属单位补助支出0万元，占0%。</w:t>
      </w:r>
    </w:p>
    <w:p w14:paraId="707866BD">
      <w:pPr>
        <w:pStyle w:val="10"/>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14:paraId="2F93C5F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9"/>
          <w:rFonts w:hint="eastAsia" w:ascii="黑体" w:hAnsi="宋体" w:eastAsia="黑体" w:cs="黑体"/>
          <w:b w:val="0"/>
          <w:bCs/>
          <w:kern w:val="2"/>
          <w:sz w:val="32"/>
          <w:szCs w:val="32"/>
          <w:lang w:val="en-US" w:eastAsia="zh-CN" w:bidi="ar"/>
        </w:rPr>
        <w:t>政拨款收入支出决算总体情况说明</w:t>
      </w:r>
    </w:p>
    <w:p w14:paraId="53A92F7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2024年度财政拨款收、支总计均为</w:t>
      </w:r>
      <w:r>
        <w:rPr>
          <w:rFonts w:hint="eastAsia" w:ascii="仿宋" w:hAnsi="仿宋" w:eastAsia="仿宋" w:cs="Times New Roman"/>
          <w:kern w:val="2"/>
          <w:sz w:val="32"/>
          <w:szCs w:val="32"/>
          <w:lang w:val="en-US" w:eastAsia="zh-CN" w:bidi="ar"/>
        </w:rPr>
        <w:t>259.05</w:t>
      </w:r>
      <w:r>
        <w:rPr>
          <w:rFonts w:hint="eastAsia" w:ascii="仿宋" w:hAnsi="仿宋" w:eastAsia="仿宋" w:cs="仿宋"/>
          <w:kern w:val="2"/>
          <w:sz w:val="32"/>
          <w:szCs w:val="32"/>
          <w:lang w:val="en-US" w:eastAsia="zh-CN" w:bidi="ar"/>
        </w:rPr>
        <w:t>万元。与2023年度相比，财政拨款收、支总计各增加</w:t>
      </w:r>
      <w:r>
        <w:rPr>
          <w:rFonts w:hint="eastAsia" w:ascii="仿宋" w:hAnsi="仿宋" w:eastAsia="仿宋" w:cs="Times New Roman"/>
          <w:kern w:val="2"/>
          <w:sz w:val="32"/>
          <w:szCs w:val="32"/>
          <w:lang w:val="en-US" w:eastAsia="zh-CN" w:bidi="ar"/>
        </w:rPr>
        <w:t>55.45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27.24%</w:t>
      </w:r>
      <w:r>
        <w:rPr>
          <w:rFonts w:hint="eastAsia" w:ascii="仿宋" w:hAnsi="仿宋" w:eastAsia="仿宋" w:cs="仿宋"/>
          <w:kern w:val="2"/>
          <w:sz w:val="32"/>
          <w:szCs w:val="32"/>
          <w:lang w:val="en-US" w:eastAsia="zh-CN" w:bidi="ar"/>
        </w:rPr>
        <w:t>。主要变动原因是：工资福利和人员的增加。</w:t>
      </w:r>
    </w:p>
    <w:p w14:paraId="19A1D682">
      <w:pPr>
        <w:pStyle w:val="10"/>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14:paraId="11DF29CF">
      <w:pPr>
        <w:pStyle w:val="10"/>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般公共预算财政拨款支出决算情况说明</w:t>
      </w:r>
    </w:p>
    <w:p w14:paraId="5B66B9B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3D19AC6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259.05</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。与2023年度相比，一般公共预算财政拨款支出增加</w:t>
      </w:r>
      <w:r>
        <w:rPr>
          <w:rFonts w:hint="eastAsia" w:ascii="仿宋" w:hAnsi="仿宋" w:eastAsia="仿宋" w:cs="Times New Roman"/>
          <w:kern w:val="2"/>
          <w:sz w:val="32"/>
          <w:szCs w:val="32"/>
          <w:lang w:val="en-US" w:eastAsia="zh-CN" w:bidi="ar"/>
        </w:rPr>
        <w:t>55.45</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27.24%</w:t>
      </w:r>
      <w:r>
        <w:rPr>
          <w:rFonts w:hint="eastAsia" w:ascii="仿宋" w:hAnsi="仿宋" w:eastAsia="仿宋" w:cs="仿宋"/>
          <w:kern w:val="2"/>
          <w:sz w:val="32"/>
          <w:szCs w:val="32"/>
          <w:lang w:val="en-US" w:eastAsia="zh-CN" w:bidi="ar"/>
        </w:rPr>
        <w:t>。主要变动原因是：2024年工资福利和人员的增加。</w:t>
      </w:r>
    </w:p>
    <w:p w14:paraId="2F57B50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14:paraId="4349AC2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02386F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D908E1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14F3292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EC3987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35AE777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14:paraId="5AD3194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7B5C5D7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259.05</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158.20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77.74%</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21.72</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10.67%</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9.20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4.52%</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14.37</w:t>
      </w:r>
      <w:r>
        <w:rPr>
          <w:rFonts w:hint="eastAsia" w:ascii="仿宋" w:hAnsi="仿宋" w:eastAsia="仿宋" w:cs="仿宋"/>
          <w:kern w:val="2"/>
          <w:sz w:val="32"/>
          <w:szCs w:val="32"/>
          <w:lang w:val="en-US" w:eastAsia="zh-CN" w:bidi="ar"/>
        </w:rPr>
        <w:t>万元，占6.30</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157E685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14:paraId="4151C27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57D65F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116F7C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82CFAA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61B34A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BA5887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605C22B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2B8FE41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2"/>
        <w:rPr>
          <w:rFonts w:hint="eastAsia" w:ascii="仿宋" w:hAnsi="仿宋" w:eastAsia="仿宋" w:cs="Times New Roman"/>
          <w:b w:val="0"/>
          <w:bCs/>
          <w:kern w:val="2"/>
          <w:sz w:val="32"/>
          <w:szCs w:val="32"/>
        </w:rPr>
      </w:pPr>
      <w:r>
        <w:rPr>
          <w:rFonts w:hint="eastAsia" w:ascii="仿宋" w:hAnsi="仿宋" w:eastAsia="仿宋" w:cs="仿宋"/>
          <w:b w:val="0"/>
          <w:bCs/>
          <w:kern w:val="2"/>
          <w:sz w:val="32"/>
          <w:szCs w:val="32"/>
          <w:lang w:val="en-US" w:eastAsia="zh-CN" w:bidi="ar"/>
        </w:rPr>
        <w:t>2024年度一般公共预算支出决算数为</w:t>
      </w:r>
      <w:r>
        <w:rPr>
          <w:rFonts w:hint="eastAsia" w:ascii="仿宋" w:hAnsi="仿宋" w:eastAsia="仿宋" w:cs="Times New Roman"/>
          <w:b w:val="0"/>
          <w:bCs/>
          <w:kern w:val="2"/>
          <w:sz w:val="32"/>
          <w:szCs w:val="32"/>
          <w:lang w:val="en-US" w:eastAsia="zh-CN" w:bidi="ar"/>
        </w:rPr>
        <w:t>259.05万元</w:t>
      </w:r>
      <w:r>
        <w:rPr>
          <w:rFonts w:hint="eastAsia" w:ascii="仿宋" w:hAnsi="仿宋" w:eastAsia="仿宋" w:cs="仿宋"/>
          <w:b w:val="0"/>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。其中：</w:t>
      </w:r>
    </w:p>
    <w:p w14:paraId="648D8979">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val="0"/>
          <w:kern w:val="2"/>
          <w:sz w:val="32"/>
          <w:szCs w:val="32"/>
          <w:lang w:val="en-US" w:eastAsia="zh-CN" w:bidi="ar"/>
        </w:rPr>
        <w:t>1.一般公共服务（201）</w:t>
      </w:r>
      <w:r>
        <w:rPr>
          <w:rStyle w:val="18"/>
          <w:rFonts w:hint="eastAsia" w:ascii="仿宋" w:hAnsi="仿宋" w:eastAsia="仿宋" w:cs="Times New Roman"/>
          <w:b/>
          <w:bCs w:val="0"/>
          <w:kern w:val="2"/>
          <w:sz w:val="32"/>
          <w:szCs w:val="32"/>
          <w:lang w:val="en-US" w:eastAsia="zh-CN" w:bidi="ar"/>
        </w:rPr>
        <w:t>政府办公厅（室）及相关机构事务</w:t>
      </w:r>
      <w:r>
        <w:rPr>
          <w:rStyle w:val="18"/>
          <w:rFonts w:hint="eastAsia" w:ascii="仿宋" w:hAnsi="仿宋" w:eastAsia="仿宋" w:cs="仿宋"/>
          <w:b/>
          <w:bCs w:val="0"/>
          <w:kern w:val="2"/>
          <w:sz w:val="32"/>
          <w:szCs w:val="32"/>
          <w:lang w:val="en-US" w:eastAsia="zh-CN" w:bidi="ar"/>
        </w:rPr>
        <w:t>（03）</w:t>
      </w:r>
      <w:r>
        <w:rPr>
          <w:rStyle w:val="18"/>
          <w:rFonts w:hint="eastAsia" w:ascii="仿宋" w:hAnsi="仿宋" w:eastAsia="仿宋" w:cs="Times New Roman"/>
          <w:b/>
          <w:bCs w:val="0"/>
          <w:kern w:val="2"/>
          <w:sz w:val="32"/>
          <w:szCs w:val="32"/>
          <w:lang w:val="en-US" w:eastAsia="zh-CN" w:bidi="ar"/>
        </w:rPr>
        <w:t>行政运行</w:t>
      </w:r>
      <w:r>
        <w:rPr>
          <w:rStyle w:val="18"/>
          <w:rFonts w:hint="eastAsia" w:ascii="仿宋" w:hAnsi="仿宋" w:eastAsia="仿宋" w:cs="仿宋"/>
          <w:b/>
          <w:bCs w:val="0"/>
          <w:kern w:val="2"/>
          <w:sz w:val="32"/>
          <w:szCs w:val="32"/>
          <w:lang w:val="en-US" w:eastAsia="zh-CN" w:bidi="ar"/>
        </w:rPr>
        <w:t>（01）</w:t>
      </w:r>
      <w:r>
        <w:rPr>
          <w:rStyle w:val="18"/>
          <w:rFonts w:hint="eastAsia" w:ascii="仿宋" w:hAnsi="仿宋" w:eastAsia="仿宋" w:cs="Times New Roman"/>
          <w:b/>
          <w:bCs w:val="0"/>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158.20</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1A48D5BB">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val="0"/>
          <w:kern w:val="2"/>
          <w:sz w:val="32"/>
          <w:szCs w:val="32"/>
          <w:lang w:val="en-US" w:eastAsia="zh-CN" w:bidi="ar"/>
        </w:rPr>
        <w:t>2.一般公共服务（201）</w:t>
      </w:r>
      <w:r>
        <w:rPr>
          <w:rStyle w:val="18"/>
          <w:rFonts w:hint="eastAsia" w:ascii="仿宋" w:hAnsi="仿宋" w:eastAsia="仿宋" w:cs="Times New Roman"/>
          <w:b/>
          <w:bCs w:val="0"/>
          <w:kern w:val="2"/>
          <w:sz w:val="32"/>
          <w:szCs w:val="32"/>
          <w:lang w:val="en-US" w:eastAsia="zh-CN" w:bidi="ar"/>
        </w:rPr>
        <w:t>政府办公厅（室）及相关机构事务</w:t>
      </w:r>
      <w:r>
        <w:rPr>
          <w:rStyle w:val="18"/>
          <w:rFonts w:hint="eastAsia" w:ascii="仿宋" w:hAnsi="仿宋" w:eastAsia="仿宋" w:cs="仿宋"/>
          <w:b/>
          <w:bCs w:val="0"/>
          <w:kern w:val="2"/>
          <w:sz w:val="32"/>
          <w:szCs w:val="32"/>
          <w:lang w:val="en-US" w:eastAsia="zh-CN" w:bidi="ar"/>
        </w:rPr>
        <w:t>（03）</w:t>
      </w:r>
      <w:r>
        <w:rPr>
          <w:rStyle w:val="18"/>
          <w:rFonts w:hint="eastAsia" w:ascii="仿宋" w:hAnsi="仿宋" w:eastAsia="仿宋" w:cs="Times New Roman"/>
          <w:b/>
          <w:bCs w:val="0"/>
          <w:kern w:val="2"/>
          <w:sz w:val="32"/>
          <w:szCs w:val="32"/>
          <w:lang w:val="en-US" w:eastAsia="zh-CN" w:bidi="ar"/>
        </w:rPr>
        <w:t>其他政府办公厅（室）及相关机构事务支出</w:t>
      </w:r>
      <w:r>
        <w:rPr>
          <w:rStyle w:val="18"/>
          <w:rFonts w:hint="eastAsia" w:ascii="仿宋" w:hAnsi="仿宋" w:eastAsia="仿宋" w:cs="仿宋"/>
          <w:b/>
          <w:bCs w:val="0"/>
          <w:kern w:val="2"/>
          <w:sz w:val="32"/>
          <w:szCs w:val="32"/>
          <w:lang w:val="en-US" w:eastAsia="zh-CN" w:bidi="ar"/>
        </w:rPr>
        <w:t>（99）</w:t>
      </w:r>
      <w:r>
        <w:rPr>
          <w:rStyle w:val="18"/>
          <w:rFonts w:hint="eastAsia" w:ascii="仿宋" w:hAnsi="仿宋" w:eastAsia="仿宋" w:cs="Times New Roman"/>
          <w:b/>
          <w:bCs w:val="0"/>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55.56</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3CA8D69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Times New Roman"/>
          <w:b/>
          <w:bCs w:val="0"/>
          <w:kern w:val="2"/>
          <w:sz w:val="32"/>
          <w:szCs w:val="32"/>
          <w:lang w:val="en-US" w:eastAsia="zh-CN" w:bidi="ar"/>
        </w:rPr>
        <w:t>3.</w:t>
      </w:r>
      <w:r>
        <w:rPr>
          <w:rStyle w:val="18"/>
          <w:rFonts w:hint="eastAsia" w:ascii="仿宋" w:hAnsi="仿宋" w:eastAsia="仿宋" w:cs="仿宋"/>
          <w:b/>
          <w:bCs w:val="0"/>
          <w:kern w:val="2"/>
          <w:sz w:val="32"/>
          <w:szCs w:val="32"/>
          <w:lang w:val="en-US" w:eastAsia="zh-CN" w:bidi="ar"/>
        </w:rPr>
        <w:t>社会保障和就业（208）</w:t>
      </w:r>
      <w:r>
        <w:rPr>
          <w:rStyle w:val="18"/>
          <w:rFonts w:hint="eastAsia" w:ascii="仿宋" w:hAnsi="仿宋" w:eastAsia="仿宋" w:cs="Times New Roman"/>
          <w:b/>
          <w:bCs w:val="0"/>
          <w:kern w:val="2"/>
          <w:sz w:val="32"/>
          <w:szCs w:val="32"/>
          <w:lang w:val="en-US" w:eastAsia="zh-CN" w:bidi="ar"/>
        </w:rPr>
        <w:t>行政事业单位养老支出</w:t>
      </w:r>
      <w:r>
        <w:rPr>
          <w:rStyle w:val="18"/>
          <w:rFonts w:hint="eastAsia" w:ascii="仿宋" w:hAnsi="仿宋" w:eastAsia="仿宋" w:cs="仿宋"/>
          <w:b/>
          <w:bCs w:val="0"/>
          <w:kern w:val="2"/>
          <w:sz w:val="32"/>
          <w:szCs w:val="32"/>
          <w:lang w:val="en-US" w:eastAsia="zh-CN" w:bidi="ar"/>
        </w:rPr>
        <w:t>（05）</w:t>
      </w:r>
      <w:r>
        <w:rPr>
          <w:rStyle w:val="18"/>
          <w:rFonts w:hint="eastAsia" w:ascii="仿宋" w:hAnsi="仿宋" w:eastAsia="仿宋" w:cs="Times New Roman"/>
          <w:b/>
          <w:bCs w:val="0"/>
          <w:kern w:val="2"/>
          <w:sz w:val="32"/>
          <w:szCs w:val="32"/>
          <w:lang w:val="en-US" w:eastAsia="zh-CN" w:bidi="ar"/>
        </w:rPr>
        <w:t>机关事业单位基本养老保险缴费支出</w:t>
      </w:r>
      <w:r>
        <w:rPr>
          <w:rStyle w:val="18"/>
          <w:rFonts w:hint="eastAsia" w:ascii="仿宋" w:hAnsi="仿宋" w:eastAsia="仿宋" w:cs="仿宋"/>
          <w:b/>
          <w:bCs w:val="0"/>
          <w:kern w:val="2"/>
          <w:sz w:val="32"/>
          <w:szCs w:val="32"/>
          <w:lang w:val="en-US" w:eastAsia="zh-CN" w:bidi="ar"/>
        </w:rPr>
        <w:t>（05）</w:t>
      </w:r>
      <w:r>
        <w:rPr>
          <w:rStyle w:val="18"/>
          <w:rFonts w:hint="eastAsia" w:ascii="仿宋" w:hAnsi="仿宋" w:eastAsia="仿宋" w:cs="Times New Roman"/>
          <w:b/>
          <w:bCs w:val="0"/>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14.48</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62498F1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b w:val="0"/>
          <w:bCs/>
        </w:rPr>
      </w:pPr>
      <w:r>
        <w:rPr>
          <w:rStyle w:val="18"/>
          <w:rFonts w:hint="eastAsia" w:ascii="仿宋" w:hAnsi="仿宋" w:eastAsia="仿宋" w:cs="仿宋"/>
          <w:b/>
          <w:bCs w:val="0"/>
          <w:kern w:val="2"/>
          <w:sz w:val="32"/>
          <w:szCs w:val="32"/>
          <w:lang w:val="en-US" w:eastAsia="zh-CN" w:bidi="ar"/>
        </w:rPr>
        <w:t>4.社会保障和就业（208）</w:t>
      </w:r>
      <w:r>
        <w:rPr>
          <w:rStyle w:val="18"/>
          <w:rFonts w:hint="eastAsia" w:ascii="仿宋" w:hAnsi="仿宋" w:eastAsia="仿宋" w:cs="Times New Roman"/>
          <w:b/>
          <w:bCs w:val="0"/>
          <w:kern w:val="2"/>
          <w:sz w:val="32"/>
          <w:szCs w:val="32"/>
          <w:lang w:val="en-US" w:eastAsia="zh-CN" w:bidi="ar"/>
        </w:rPr>
        <w:t>行政事业单位养老支出</w:t>
      </w:r>
      <w:r>
        <w:rPr>
          <w:rStyle w:val="18"/>
          <w:rFonts w:hint="eastAsia" w:ascii="仿宋" w:hAnsi="仿宋" w:eastAsia="仿宋" w:cs="仿宋"/>
          <w:b/>
          <w:bCs w:val="0"/>
          <w:kern w:val="2"/>
          <w:sz w:val="32"/>
          <w:szCs w:val="32"/>
          <w:lang w:val="en-US" w:eastAsia="zh-CN" w:bidi="ar"/>
        </w:rPr>
        <w:t>（05）</w:t>
      </w:r>
      <w:r>
        <w:rPr>
          <w:rStyle w:val="18"/>
          <w:rFonts w:hint="eastAsia" w:ascii="仿宋" w:hAnsi="仿宋" w:eastAsia="仿宋" w:cs="Times New Roman"/>
          <w:b/>
          <w:bCs w:val="0"/>
          <w:kern w:val="2"/>
          <w:sz w:val="32"/>
          <w:szCs w:val="32"/>
          <w:lang w:val="en-US" w:eastAsia="zh-CN" w:bidi="ar"/>
        </w:rPr>
        <w:t>机关事业单位职业年金缴费支出</w:t>
      </w:r>
      <w:r>
        <w:rPr>
          <w:rStyle w:val="18"/>
          <w:rFonts w:hint="eastAsia" w:ascii="仿宋" w:hAnsi="仿宋" w:eastAsia="仿宋" w:cs="仿宋"/>
          <w:b/>
          <w:bCs w:val="0"/>
          <w:kern w:val="2"/>
          <w:sz w:val="32"/>
          <w:szCs w:val="32"/>
          <w:lang w:val="en-US" w:eastAsia="zh-CN" w:bidi="ar"/>
        </w:rPr>
        <w:t>（06）</w:t>
      </w:r>
      <w:r>
        <w:rPr>
          <w:rStyle w:val="18"/>
          <w:rFonts w:hint="eastAsia" w:ascii="仿宋" w:hAnsi="仿宋" w:eastAsia="仿宋" w:cs="Times New Roman"/>
          <w:b/>
          <w:bCs w:val="0"/>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支出决算为7.24万元，完成预算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2F6D385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b/>
          <w:bCs w:val="0"/>
          <w:kern w:val="2"/>
          <w:sz w:val="32"/>
          <w:szCs w:val="32"/>
        </w:rPr>
      </w:pPr>
      <w:r>
        <w:rPr>
          <w:rStyle w:val="18"/>
          <w:rFonts w:hint="eastAsia" w:ascii="仿宋" w:hAnsi="仿宋" w:eastAsia="仿宋" w:cs="Times New Roman"/>
          <w:b/>
          <w:bCs w:val="0"/>
          <w:kern w:val="2"/>
          <w:sz w:val="32"/>
          <w:szCs w:val="32"/>
          <w:lang w:val="en-US" w:eastAsia="zh-CN" w:bidi="ar"/>
        </w:rPr>
        <w:t>5.</w:t>
      </w:r>
      <w:r>
        <w:rPr>
          <w:rFonts w:hint="eastAsia" w:ascii="仿宋" w:hAnsi="仿宋" w:eastAsia="仿宋" w:cs="仿宋"/>
          <w:b/>
          <w:bCs w:val="0"/>
          <w:kern w:val="2"/>
          <w:sz w:val="32"/>
          <w:szCs w:val="32"/>
          <w:lang w:val="en-US" w:eastAsia="zh-CN" w:bidi="ar"/>
        </w:rPr>
        <w:t>卫生健康</w:t>
      </w:r>
      <w:r>
        <w:rPr>
          <w:rStyle w:val="18"/>
          <w:rFonts w:hint="eastAsia" w:ascii="仿宋" w:hAnsi="仿宋" w:eastAsia="仿宋" w:cs="仿宋"/>
          <w:b/>
          <w:bCs w:val="0"/>
          <w:kern w:val="2"/>
          <w:sz w:val="32"/>
          <w:szCs w:val="32"/>
          <w:lang w:val="en-US" w:eastAsia="zh-CN" w:bidi="ar"/>
        </w:rPr>
        <w:t>（210）</w:t>
      </w:r>
      <w:r>
        <w:rPr>
          <w:rStyle w:val="18"/>
          <w:rFonts w:hint="eastAsia" w:ascii="仿宋" w:hAnsi="仿宋" w:eastAsia="仿宋" w:cs="Times New Roman"/>
          <w:b/>
          <w:bCs w:val="0"/>
          <w:kern w:val="2"/>
          <w:sz w:val="32"/>
          <w:szCs w:val="32"/>
          <w:lang w:val="en-US" w:eastAsia="zh-CN" w:bidi="ar"/>
        </w:rPr>
        <w:t>行政事业单位医疗</w:t>
      </w:r>
      <w:r>
        <w:rPr>
          <w:rStyle w:val="18"/>
          <w:rFonts w:hint="eastAsia" w:ascii="仿宋" w:hAnsi="仿宋" w:eastAsia="仿宋" w:cs="仿宋"/>
          <w:b/>
          <w:bCs w:val="0"/>
          <w:kern w:val="2"/>
          <w:sz w:val="32"/>
          <w:szCs w:val="32"/>
          <w:lang w:val="en-US" w:eastAsia="zh-CN" w:bidi="ar"/>
        </w:rPr>
        <w:t>（11）</w:t>
      </w:r>
      <w:r>
        <w:rPr>
          <w:rStyle w:val="18"/>
          <w:rFonts w:hint="eastAsia" w:ascii="仿宋" w:hAnsi="仿宋" w:eastAsia="仿宋" w:cs="Times New Roman"/>
          <w:b/>
          <w:bCs w:val="0"/>
          <w:kern w:val="2"/>
          <w:sz w:val="32"/>
          <w:szCs w:val="32"/>
          <w:lang w:val="en-US" w:eastAsia="zh-CN" w:bidi="ar"/>
        </w:rPr>
        <w:t>行政单位医疗</w:t>
      </w:r>
      <w:r>
        <w:rPr>
          <w:rStyle w:val="18"/>
          <w:rFonts w:hint="eastAsia" w:ascii="仿宋" w:hAnsi="仿宋" w:eastAsia="仿宋" w:cs="仿宋"/>
          <w:b/>
          <w:bCs w:val="0"/>
          <w:kern w:val="2"/>
          <w:sz w:val="32"/>
          <w:szCs w:val="32"/>
          <w:lang w:val="en-US" w:eastAsia="zh-CN" w:bidi="ar"/>
        </w:rPr>
        <w:t>（01）</w:t>
      </w:r>
      <w:r>
        <w:rPr>
          <w:rStyle w:val="18"/>
          <w:rFonts w:hint="eastAsia" w:ascii="仿宋" w:hAnsi="仿宋" w:eastAsia="仿宋" w:cs="Times New Roman"/>
          <w:b/>
          <w:bCs w:val="0"/>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支出决算为9.20万元，完成预算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422E0866">
      <w:pPr>
        <w:spacing w:line="600" w:lineRule="exact"/>
        <w:ind w:firstLine="643" w:firstLineChars="200"/>
        <w:rPr>
          <w:rFonts w:hint="eastAsia" w:ascii="仿宋_GB2312" w:eastAsia="仿宋_GB2312"/>
          <w:b w:val="0"/>
          <w:bCs/>
          <w:color w:val="000000"/>
          <w:sz w:val="32"/>
          <w:szCs w:val="32"/>
        </w:rPr>
      </w:pPr>
      <w:r>
        <w:rPr>
          <w:rFonts w:hint="eastAsia" w:ascii="仿宋" w:hAnsi="仿宋" w:eastAsia="仿宋" w:cs="仿宋"/>
          <w:b/>
          <w:bCs w:val="0"/>
          <w:kern w:val="2"/>
          <w:sz w:val="32"/>
          <w:szCs w:val="32"/>
          <w:lang w:val="en-US" w:eastAsia="zh-CN" w:bidi="ar"/>
        </w:rPr>
        <w:t>6.住房保障支出（221）住房改革支出（02）住房公积金（01）：</w:t>
      </w:r>
      <w:r>
        <w:rPr>
          <w:rStyle w:val="18"/>
          <w:rFonts w:hint="eastAsia" w:ascii="仿宋" w:hAnsi="仿宋" w:eastAsia="仿宋" w:cs="仿宋"/>
          <w:b w:val="0"/>
          <w:bCs/>
          <w:kern w:val="2"/>
          <w:sz w:val="32"/>
          <w:szCs w:val="32"/>
          <w:lang w:val="en-US" w:eastAsia="zh-CN" w:bidi="ar"/>
        </w:rPr>
        <w:t>支出决算为14.37</w:t>
      </w:r>
      <w:r>
        <w:rPr>
          <w:rFonts w:hint="eastAsia" w:ascii="仿宋_GB2312" w:eastAsia="仿宋_GB2312"/>
          <w:b w:val="0"/>
          <w:bCs/>
          <w:color w:val="000000"/>
          <w:sz w:val="32"/>
          <w:szCs w:val="32"/>
        </w:rPr>
        <w:t>万元，完成预算的100%</w:t>
      </w:r>
      <w:r>
        <w:rPr>
          <w:rStyle w:val="18"/>
          <w:rFonts w:hint="eastAsia" w:ascii="仿宋" w:hAnsi="仿宋" w:eastAsia="仿宋" w:cs="Times New Roman"/>
          <w:b w:val="0"/>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决算数与预算数持平。</w:t>
      </w:r>
    </w:p>
    <w:p w14:paraId="4BD2B52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般公共预算财政拨款基本支出决算情况说明</w:t>
      </w:r>
      <w:r>
        <w:rPr>
          <w:rStyle w:val="19"/>
          <w:rFonts w:hint="eastAsia" w:ascii="黑体" w:hAnsi="宋体" w:eastAsia="黑体" w:cs="Times New Roman"/>
          <w:b w:val="0"/>
          <w:bCs/>
          <w:kern w:val="2"/>
          <w:sz w:val="32"/>
          <w:szCs w:val="32"/>
          <w:lang w:val="en-US" w:eastAsia="zh-CN" w:bidi="ar"/>
        </w:rPr>
        <w:tab/>
      </w:r>
    </w:p>
    <w:p w14:paraId="0573229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2024年度一般公共预算财政拨款基本支出259.05万元，其中：</w:t>
      </w:r>
    </w:p>
    <w:p w14:paraId="6A253EEC">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178.62</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24.87</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1C06664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9"/>
          <w:rFonts w:hint="eastAsia" w:ascii="黑体" w:hAnsi="宋体" w:eastAsia="黑体" w:cs="黑体"/>
          <w:b w:val="0"/>
          <w:bCs/>
          <w:kern w:val="2"/>
          <w:sz w:val="32"/>
          <w:szCs w:val="32"/>
          <w:lang w:val="en-US" w:eastAsia="zh-CN" w:bidi="ar"/>
        </w:rPr>
        <w:t>财政拨款</w:t>
      </w:r>
      <w:r>
        <w:rPr>
          <w:rStyle w:val="19"/>
          <w:rFonts w:hint="eastAsia" w:ascii="黑体" w:hAnsi="宋体" w:eastAsia="黑体" w:cs="黑体"/>
          <w:b/>
          <w:bCs/>
          <w:kern w:val="2"/>
          <w:sz w:val="32"/>
          <w:szCs w:val="32"/>
          <w:lang w:val="en-US" w:eastAsia="zh-CN" w:bidi="ar"/>
        </w:rPr>
        <w:t>“</w:t>
      </w:r>
      <w:r>
        <w:rPr>
          <w:rStyle w:val="19"/>
          <w:rFonts w:hint="eastAsia" w:ascii="黑体" w:hAnsi="宋体" w:eastAsia="黑体" w:cs="黑体"/>
          <w:b w:val="0"/>
          <w:bCs/>
          <w:kern w:val="2"/>
          <w:sz w:val="32"/>
          <w:szCs w:val="32"/>
          <w:lang w:val="en-US" w:eastAsia="zh-CN" w:bidi="ar"/>
        </w:rPr>
        <w:t>三公”经费支出决算情况说明</w:t>
      </w:r>
    </w:p>
    <w:p w14:paraId="57FE161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rPr>
      </w:pPr>
      <w:r>
        <w:rPr>
          <w:rFonts w:hint="eastAsia" w:ascii="仿宋" w:hAnsi="仿宋" w:eastAsia="仿宋" w:cs="仿宋"/>
          <w:kern w:val="2"/>
          <w:sz w:val="32"/>
          <w:szCs w:val="32"/>
          <w:lang w:val="en-US" w:eastAsia="zh-CN" w:bidi="ar"/>
        </w:rPr>
        <w:t>2024年度“三公”经费财政拨款支出为0万元</w:t>
      </w:r>
      <w:r>
        <w:rPr>
          <w:rFonts w:hint="eastAsia" w:ascii="仿宋" w:hAnsi="仿宋" w:eastAsia="仿宋" w:cs="Times New Roman"/>
          <w:kern w:val="2"/>
          <w:sz w:val="32"/>
          <w:szCs w:val="32"/>
          <w:lang w:val="en-US" w:eastAsia="zh-CN" w:bidi="ar"/>
        </w:rPr>
        <w:t>。</w:t>
      </w:r>
    </w:p>
    <w:p w14:paraId="654C93B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9"/>
          <w:rFonts w:hint="eastAsia" w:ascii="黑体" w:hAnsi="宋体" w:eastAsia="黑体" w:cs="黑体"/>
          <w:b w:val="0"/>
          <w:bCs/>
          <w:kern w:val="2"/>
          <w:sz w:val="32"/>
          <w:szCs w:val="32"/>
          <w:lang w:val="en-US" w:eastAsia="zh-CN" w:bidi="ar"/>
        </w:rPr>
        <w:t>政府性基金预算支出决算情况说明</w:t>
      </w:r>
    </w:p>
    <w:p w14:paraId="259FB57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2024年度政府性基金预算财政拨款支出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14:paraId="0B3126FE">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九、国有资本经营预算支出决算情况说明</w:t>
      </w:r>
    </w:p>
    <w:p w14:paraId="60678F0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2024年度国有资本经营预算财政拨款支出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14:paraId="1E45B83F">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十、其他重要事项的情况说明</w:t>
      </w:r>
    </w:p>
    <w:p w14:paraId="225EF95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3BF9595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24.87</w:t>
      </w:r>
      <w:r>
        <w:rPr>
          <w:rFonts w:hint="eastAsia" w:ascii="仿宋_GB2312" w:hAnsi="Calibri" w:eastAsia="仿宋_GB2312" w:cs="仿宋_GB2312"/>
          <w:kern w:val="2"/>
          <w:sz w:val="32"/>
          <w:szCs w:val="32"/>
          <w:lang w:val="en-US" w:eastAsia="zh-CN" w:bidi="ar"/>
        </w:rPr>
        <w:t>万元，与2023年度相比减少6.25万元，减少</w:t>
      </w:r>
      <w:r>
        <w:rPr>
          <w:rFonts w:hint="eastAsia" w:ascii="仿宋_GB2312" w:hAnsi="Calibri" w:eastAsia="仿宋_GB2312" w:cs="Times New Roman"/>
          <w:kern w:val="2"/>
          <w:sz w:val="32"/>
          <w:szCs w:val="32"/>
          <w:lang w:val="en-US" w:eastAsia="zh-CN" w:bidi="ar"/>
        </w:rPr>
        <w:t>20.09%</w:t>
      </w:r>
      <w:r>
        <w:rPr>
          <w:rFonts w:hint="eastAsia" w:ascii="仿宋_GB2312" w:hAnsi="Calibri" w:eastAsia="仿宋_GB2312" w:cs="仿宋_GB2312"/>
          <w:kern w:val="2"/>
          <w:sz w:val="32"/>
          <w:szCs w:val="32"/>
          <w:lang w:val="en-US" w:eastAsia="zh-CN" w:bidi="ar"/>
        </w:rPr>
        <w:t>。主要原因是政务大厅</w:t>
      </w:r>
      <w:r>
        <w:rPr>
          <w:rFonts w:hint="eastAsia" w:ascii="仿宋" w:hAnsi="仿宋" w:eastAsia="仿宋" w:cs="仿宋"/>
          <w:kern w:val="2"/>
          <w:sz w:val="32"/>
          <w:szCs w:val="32"/>
          <w:lang w:val="en-US" w:eastAsia="zh-CN" w:bidi="ar"/>
        </w:rPr>
        <w:t>人员减少</w:t>
      </w:r>
      <w:r>
        <w:rPr>
          <w:rFonts w:hint="eastAsia" w:ascii="仿宋_GB2312" w:hAnsi="Calibri" w:eastAsia="仿宋_GB2312" w:cs="仿宋_GB2312"/>
          <w:kern w:val="2"/>
          <w:sz w:val="32"/>
          <w:szCs w:val="32"/>
          <w:lang w:val="en-US" w:eastAsia="zh-CN" w:bidi="ar"/>
        </w:rPr>
        <w:t>。</w:t>
      </w:r>
    </w:p>
    <w:p w14:paraId="026FA0D8">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0B9223D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行政审批局无</w:t>
      </w:r>
      <w:r>
        <w:rPr>
          <w:rFonts w:hint="eastAsia" w:ascii="仿宋_GB2312" w:hAnsi="Calibri" w:eastAsia="仿宋_GB2312" w:cs="仿宋_GB2312"/>
          <w:kern w:val="2"/>
          <w:sz w:val="32"/>
          <w:szCs w:val="32"/>
          <w:lang w:val="en-US" w:eastAsia="zh-CN" w:bidi="ar"/>
        </w:rPr>
        <w:t>政府采购支出。</w:t>
      </w:r>
    </w:p>
    <w:p w14:paraId="5F0C9DA0">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32526AB4">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截至2024年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行政审批和政务服务管理局未占有、未使用国有资产</w:t>
      </w:r>
      <w:r>
        <w:rPr>
          <w:rFonts w:hint="eastAsia" w:ascii="仿宋_GB2312" w:hAnsi="Calibri" w:eastAsia="仿宋_GB2312" w:cs="仿宋_GB2312"/>
          <w:kern w:val="2"/>
          <w:sz w:val="32"/>
          <w:szCs w:val="32"/>
          <w:lang w:val="en-US" w:eastAsia="zh-CN" w:bidi="ar"/>
        </w:rPr>
        <w:t>。</w:t>
      </w:r>
    </w:p>
    <w:p w14:paraId="7B35BF51">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07AC3259">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围绕省</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zh-CN"/>
        </w:rPr>
        <w:t>州、县政务服务工作要点，持续提升政务服务质量及效能。</w:t>
      </w:r>
      <w:r>
        <w:rPr>
          <w:rFonts w:hint="eastAsia" w:ascii="仿宋_GB2312" w:hAnsi="仿宋_GB2312" w:eastAsia="仿宋_GB2312" w:cs="仿宋_GB2312"/>
          <w:kern w:val="2"/>
          <w:sz w:val="32"/>
          <w:szCs w:val="32"/>
          <w:lang w:eastAsia="zh-CN"/>
        </w:rPr>
        <w:t>预算项目设立按规定履行评估论证、申报程序。项目绩效目标与计划期内的任务量、预算安排的资金量相匹配，绩效目标设置科学合理、规范完整，在规定时间完成了项目入库。</w:t>
      </w:r>
    </w:p>
    <w:p w14:paraId="2EA391B4">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55.56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lang w:val="en-US" w:eastAsia="zh-CN"/>
        </w:rPr>
        <w:t>2022年至2024年政务服务大厅相关经费53.82万元；2024年第三、四季度政府集中采购专家评审劳务费1.74万元；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14:paraId="0685680B">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w:t>
      </w:r>
      <w:r>
        <w:rPr>
          <w:rFonts w:hint="eastAsia" w:ascii="仿宋_GB2312" w:hAnsi="仿宋_GB2312" w:eastAsia="仿宋_GB2312" w:cs="仿宋_GB2312"/>
          <w:color w:val="auto"/>
          <w:sz w:val="32"/>
          <w:szCs w:val="32"/>
        </w:rPr>
        <w:t>。</w:t>
      </w:r>
    </w:p>
    <w:p w14:paraId="19A9FC9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14:paraId="1B44496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7"/>
          <w:rFonts w:hint="eastAsia" w:ascii="黑体" w:hAnsi="宋体" w:eastAsia="黑体" w:cs="黑体"/>
          <w:b w:val="0"/>
          <w:bCs/>
          <w:kern w:val="44"/>
          <w:sz w:val="44"/>
          <w:szCs w:val="44"/>
          <w:lang w:val="en-US" w:eastAsia="zh-CN" w:bidi="ar"/>
        </w:rPr>
        <w:t>词解释</w:t>
      </w:r>
    </w:p>
    <w:p w14:paraId="0ED276A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14:paraId="334568F3">
      <w:pPr>
        <w:pStyle w:val="21"/>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60D14D63">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62ED27B4">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42870D6C">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46448278">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D780646">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24EED6F0">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27FC0E2F">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248A21C9">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6ECC6018">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109AB7D1">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367AA9F3">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1E522D8A">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7FCB84AD">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51727499">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6E7450C7">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2A50663F">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594B8418">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3315BCF8">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4966FFF3">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6FEA9FD7">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39BD103">
      <w:pPr>
        <w:pStyle w:val="21"/>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66C1CFC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Fonts w:hint="eastAsia" w:ascii="黑体" w:hAnsi="宋体" w:eastAsia="黑体" w:cs="Times New Roman"/>
          <w:b w:val="0"/>
          <w:bCs/>
          <w:kern w:val="44"/>
          <w:sz w:val="44"/>
          <w:szCs w:val="44"/>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四部分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附件</w:t>
      </w:r>
    </w:p>
    <w:p w14:paraId="00FDD2B0">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left="0" w:right="0" w:firstLine="640" w:firstLineChars="200"/>
        <w:jc w:val="left"/>
        <w:textAlignment w:val="auto"/>
        <w:outlineLvl w:val="0"/>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14:paraId="2DFE4C48">
      <w:pPr>
        <w:widowControl/>
        <w:spacing w:line="578" w:lineRule="exact"/>
        <w:contextualSpacing/>
        <w:jc w:val="center"/>
        <w:rPr>
          <w:rFonts w:hint="eastAsia" w:eastAsia="方正小标宋简体"/>
          <w:bCs/>
          <w:sz w:val="44"/>
          <w:szCs w:val="44"/>
          <w:shd w:val="clear" w:color="auto" w:fill="FFFFFF"/>
          <w:lang w:eastAsia="zh-CN"/>
        </w:rPr>
      </w:pPr>
      <w:r>
        <w:rPr>
          <w:rFonts w:hint="eastAsia" w:ascii="仿宋_GB2312" w:hAnsi="Times New Roman" w:eastAsia="宋体" w:cs="Times New Roman"/>
          <w:kern w:val="2"/>
          <w:sz w:val="32"/>
          <w:szCs w:val="32"/>
        </w:rPr>
        <w:t xml:space="preserve"> </w:t>
      </w:r>
      <w:r>
        <w:rPr>
          <w:rFonts w:hint="eastAsia" w:eastAsia="方正小标宋简体"/>
          <w:bCs/>
          <w:sz w:val="44"/>
          <w:szCs w:val="44"/>
          <w:shd w:val="clear" w:color="auto" w:fill="FFFFFF"/>
          <w:lang w:eastAsia="zh-CN"/>
        </w:rPr>
        <w:t>茂县行政审批和政务服务管理局</w:t>
      </w:r>
    </w:p>
    <w:p w14:paraId="2B52968B">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008E2569">
      <w:pPr>
        <w:pStyle w:val="2"/>
      </w:pPr>
    </w:p>
    <w:p w14:paraId="2E8F04CC">
      <w:pPr>
        <w:widowControl/>
        <w:adjustRightInd w:val="0"/>
        <w:snapToGrid w:val="0"/>
        <w:spacing w:line="578"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shd w:val="clear" w:color="auto" w:fill="FFFFFF"/>
          <w:lang w:val="zh-CN"/>
        </w:rPr>
        <w:t>一、部门（单位）基本情况</w:t>
      </w:r>
    </w:p>
    <w:p w14:paraId="154C9D3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14:paraId="4706EEE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茂县行政审批局是茂县人民政府工作部门，为正科级行政机构，内</w:t>
      </w:r>
      <w:r>
        <w:rPr>
          <w:rFonts w:hint="eastAsia" w:ascii="仿宋_GB2312" w:hAnsi="仿宋_GB2312" w:eastAsia="仿宋_GB2312" w:cs="仿宋_GB2312"/>
          <w:color w:val="auto"/>
          <w:kern w:val="0"/>
          <w:sz w:val="32"/>
          <w:szCs w:val="32"/>
          <w:lang w:eastAsia="zh-CN"/>
        </w:rPr>
        <w:t>设</w:t>
      </w:r>
      <w:r>
        <w:rPr>
          <w:rFonts w:hint="eastAsia" w:ascii="仿宋_GB2312" w:hAnsi="仿宋_GB2312" w:eastAsia="仿宋_GB2312" w:cs="仿宋_GB2312"/>
          <w:color w:val="auto"/>
          <w:kern w:val="0"/>
          <w:sz w:val="32"/>
          <w:szCs w:val="32"/>
        </w:rPr>
        <w:t>办公室、行政审批一室、行政审批二室、政务服务管理股（政策法规股）、茂县城乡网格化服务管理指挥中心、政务服务和资源交易中心等股室。</w:t>
      </w:r>
    </w:p>
    <w:p w14:paraId="5BBF483C">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321" w:firstLineChars="1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p>
    <w:p w14:paraId="49CD96FB">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14:paraId="59EC7D50">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2.负责规范指导全县行政审批和政务服务工作，建立和完善相应工作机制，推进标准化建设；负责对划转的行政许可事项进行流程再造、环节优化、时限压缩，并对办理情况进行跟踪督办</w:t>
      </w:r>
      <w:r>
        <w:rPr>
          <w:rFonts w:hint="eastAsia" w:ascii="仿宋_GB2312" w:hAnsi="仿宋_GB2312" w:eastAsia="仿宋_GB2312" w:cs="仿宋_GB2312"/>
          <w:color w:val="auto"/>
          <w:kern w:val="0"/>
          <w:sz w:val="32"/>
          <w:szCs w:val="32"/>
          <w:lang w:eastAsia="zh-CN"/>
        </w:rPr>
        <w:t>。</w:t>
      </w:r>
    </w:p>
    <w:p w14:paraId="43A19098">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3.负责承办县直部门划入的涉及企业</w:t>
      </w:r>
      <w:r>
        <w:rPr>
          <w:rFonts w:hint="eastAsia" w:ascii="仿宋_GB2312" w:hAnsi="仿宋_GB2312" w:eastAsia="仿宋_GB2312" w:cs="仿宋_GB2312"/>
          <w:color w:val="auto"/>
          <w:kern w:val="0"/>
          <w:sz w:val="32"/>
          <w:szCs w:val="32"/>
          <w:lang w:eastAsia="zh-CN"/>
        </w:rPr>
        <w:t>投资</w:t>
      </w:r>
      <w:r>
        <w:rPr>
          <w:rFonts w:hint="eastAsia" w:ascii="仿宋_GB2312" w:hAnsi="仿宋_GB2312" w:eastAsia="仿宋_GB2312" w:cs="仿宋_GB2312"/>
          <w:color w:val="auto"/>
          <w:kern w:val="0"/>
          <w:sz w:val="32"/>
          <w:szCs w:val="32"/>
        </w:rPr>
        <w:t>项目、市场准入、建设工程、交通水利、文教卫生、社会事务、涉农事务等方面的行政审批事项，及时将行政审批事项的结果通报给县直相关部门，逐步实行“一枚印章管审批”。</w:t>
      </w:r>
    </w:p>
    <w:p w14:paraId="78C03035">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4.负责指导、协调进驻政务服务大厅部门的行政审批和公共服务工作；对窗口工作人员进行日常管理、年度考核等工作。</w:t>
      </w:r>
    </w:p>
    <w:p w14:paraId="3A816D33">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5.负责对涉及全县行政审批工作、政务服务大厅工作及公共资源交易工作的投诉举报和承办、转办和督办工作。</w:t>
      </w:r>
    </w:p>
    <w:p w14:paraId="55497FC3">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6.负责对各乡镇便民服务中心相关工作的运行进行业务指导和监督，建立和完善高效的政务服务体系。</w:t>
      </w:r>
    </w:p>
    <w:p w14:paraId="33602D0E">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7.负责全县公共资源交易管理工作。</w:t>
      </w:r>
    </w:p>
    <w:p w14:paraId="73A067F1">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8.完成县委、县政府交办的其他任务。</w:t>
      </w:r>
    </w:p>
    <w:p w14:paraId="127AEA8C">
      <w:pPr>
        <w:keepNext w:val="0"/>
        <w:keepLines w:val="0"/>
        <w:pageBreakBefore w:val="0"/>
        <w:widowControl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（三）人员概况</w:t>
      </w:r>
    </w:p>
    <w:p w14:paraId="2227C615">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kern w:val="0"/>
          <w:sz w:val="32"/>
          <w:szCs w:val="32"/>
        </w:rPr>
        <w:t>茂县行政审批局现有行政编制人员9名，事业编制人员</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名。202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年12月我局实有在职职工</w:t>
      </w:r>
      <w:r>
        <w:rPr>
          <w:rFonts w:hint="eastAsia" w:ascii="仿宋_GB2312" w:hAnsi="仿宋_GB2312" w:eastAsia="仿宋_GB2312" w:cs="仿宋_GB2312"/>
          <w:color w:val="auto"/>
          <w:kern w:val="0"/>
          <w:sz w:val="32"/>
          <w:szCs w:val="32"/>
          <w:lang w:val="en-US" w:eastAsia="zh-CN"/>
        </w:rPr>
        <w:t>18</w:t>
      </w:r>
      <w:r>
        <w:rPr>
          <w:rFonts w:hint="eastAsia" w:ascii="仿宋_GB2312" w:hAnsi="仿宋_GB2312" w:eastAsia="仿宋_GB2312" w:cs="仿宋_GB2312"/>
          <w:color w:val="auto"/>
          <w:kern w:val="0"/>
          <w:sz w:val="32"/>
          <w:szCs w:val="32"/>
        </w:rPr>
        <w:t>人，退休人员3人。其中:行政在职</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人,行政工勤</w:t>
      </w:r>
      <w:r>
        <w:rPr>
          <w:rFonts w:hint="eastAsia" w:ascii="仿宋_GB2312" w:hAnsi="仿宋_GB2312" w:eastAsia="仿宋_GB2312" w:cs="仿宋_GB2312"/>
          <w:color w:val="auto"/>
          <w:kern w:val="0"/>
          <w:sz w:val="32"/>
          <w:szCs w:val="32"/>
          <w:lang w:eastAsia="zh-CN"/>
        </w:rPr>
        <w:t>在职</w:t>
      </w:r>
      <w:r>
        <w:rPr>
          <w:rFonts w:hint="eastAsia" w:ascii="仿宋_GB2312" w:hAnsi="仿宋_GB2312" w:eastAsia="仿宋_GB2312" w:cs="仿宋_GB2312"/>
          <w:color w:val="auto"/>
          <w:kern w:val="0"/>
          <w:sz w:val="32"/>
          <w:szCs w:val="32"/>
        </w:rPr>
        <w:t>2人,事业在职</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人</w:t>
      </w:r>
      <w:r>
        <w:rPr>
          <w:rFonts w:hint="eastAsia" w:ascii="仿宋_GB2312" w:hAnsi="仿宋_GB2312" w:eastAsia="仿宋_GB2312" w:cs="仿宋_GB2312"/>
          <w:color w:val="auto"/>
          <w:kern w:val="0"/>
          <w:sz w:val="32"/>
          <w:szCs w:val="32"/>
          <w:lang w:eastAsia="zh-CN"/>
        </w:rPr>
        <w:t>。</w:t>
      </w:r>
    </w:p>
    <w:p w14:paraId="6A49C3AA">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二、部门资金收支情况</w:t>
      </w:r>
    </w:p>
    <w:p w14:paraId="487CB285">
      <w:pPr>
        <w:keepNext w:val="0"/>
        <w:keepLines w:val="0"/>
        <w:pageBreakBefore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（一）收入情况</w:t>
      </w:r>
    </w:p>
    <w:p w14:paraId="745A9057">
      <w:pPr>
        <w:keepNext w:val="0"/>
        <w:keepLines w:val="0"/>
        <w:pageBreakBefore w:val="0"/>
        <w:kinsoku/>
        <w:wordWrap/>
        <w:overflowPunct/>
        <w:topLinePunct w:val="0"/>
        <w:autoSpaceDE/>
        <w:autoSpaceDN/>
        <w:bidi w:val="0"/>
        <w:adjustRightInd w:val="0"/>
        <w:snapToGrid w:val="0"/>
        <w:spacing w:line="580" w:lineRule="exact"/>
        <w:ind w:firstLine="672" w:firstLineChars="21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年12月，茂县行政审批局本年收入合计</w:t>
      </w:r>
      <w:r>
        <w:rPr>
          <w:rFonts w:hint="eastAsia" w:ascii="仿宋_GB2312" w:hAnsi="仿宋_GB2312" w:eastAsia="仿宋_GB2312" w:cs="仿宋_GB2312"/>
          <w:color w:val="auto"/>
          <w:sz w:val="32"/>
          <w:szCs w:val="32"/>
          <w:lang w:val="en-US" w:eastAsia="zh-CN"/>
        </w:rPr>
        <w:t>259.05</w:t>
      </w:r>
      <w:r>
        <w:rPr>
          <w:rFonts w:hint="eastAsia" w:ascii="仿宋_GB2312" w:hAnsi="仿宋_GB2312" w:eastAsia="仿宋_GB2312" w:cs="仿宋_GB2312"/>
          <w:color w:val="auto"/>
          <w:kern w:val="0"/>
          <w:sz w:val="32"/>
          <w:szCs w:val="32"/>
        </w:rPr>
        <w:t>万元，其中：一般公共财政预算拨款收入</w:t>
      </w:r>
      <w:r>
        <w:rPr>
          <w:rFonts w:hint="eastAsia" w:ascii="仿宋_GB2312" w:hAnsi="仿宋_GB2312" w:eastAsia="仿宋_GB2312" w:cs="仿宋_GB2312"/>
          <w:color w:val="auto"/>
          <w:sz w:val="32"/>
          <w:szCs w:val="32"/>
          <w:lang w:val="en-US" w:eastAsia="zh-CN"/>
        </w:rPr>
        <w:t>259.05</w:t>
      </w:r>
      <w:r>
        <w:rPr>
          <w:rFonts w:hint="eastAsia" w:ascii="仿宋_GB2312" w:hAnsi="仿宋_GB2312" w:eastAsia="仿宋_GB2312" w:cs="仿宋_GB2312"/>
          <w:color w:val="auto"/>
          <w:kern w:val="0"/>
          <w:sz w:val="32"/>
          <w:szCs w:val="32"/>
        </w:rPr>
        <w:t>万元，政府性基金预算财政拨款收入0万元。</w:t>
      </w:r>
    </w:p>
    <w:p w14:paraId="2942A731">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（二）支出情况</w:t>
      </w:r>
    </w:p>
    <w:p w14:paraId="52AF48FF">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年12月茂县行政审批局本年支出合计</w:t>
      </w:r>
      <w:r>
        <w:rPr>
          <w:rFonts w:hint="eastAsia" w:ascii="仿宋_GB2312" w:hAnsi="仿宋_GB2312" w:eastAsia="仿宋_GB2312" w:cs="仿宋_GB2312"/>
          <w:color w:val="auto"/>
          <w:sz w:val="32"/>
          <w:szCs w:val="32"/>
          <w:lang w:val="en-US" w:eastAsia="zh-CN"/>
        </w:rPr>
        <w:t>259.05</w:t>
      </w:r>
      <w:r>
        <w:rPr>
          <w:rFonts w:hint="eastAsia" w:ascii="仿宋_GB2312" w:hAnsi="仿宋_GB2312" w:eastAsia="仿宋_GB2312" w:cs="仿宋_GB2312"/>
          <w:color w:val="auto"/>
          <w:kern w:val="0"/>
          <w:sz w:val="32"/>
          <w:szCs w:val="32"/>
        </w:rPr>
        <w:t>万元，其中：基本支出</w:t>
      </w:r>
      <w:r>
        <w:rPr>
          <w:rFonts w:hint="eastAsia" w:ascii="仿宋_GB2312" w:hAnsi="仿宋_GB2312" w:eastAsia="仿宋_GB2312" w:cs="仿宋_GB2312"/>
          <w:color w:val="auto"/>
          <w:sz w:val="32"/>
          <w:szCs w:val="32"/>
          <w:lang w:val="en-US" w:eastAsia="zh-CN"/>
        </w:rPr>
        <w:t>259.05</w:t>
      </w:r>
      <w:r>
        <w:rPr>
          <w:rFonts w:hint="eastAsia" w:ascii="仿宋_GB2312" w:hAnsi="仿宋_GB2312" w:eastAsia="仿宋_GB2312" w:cs="仿宋_GB2312"/>
          <w:color w:val="auto"/>
          <w:kern w:val="0"/>
          <w:sz w:val="32"/>
          <w:szCs w:val="32"/>
        </w:rPr>
        <w:t>万元。按功能分类，一般公共服务支出</w:t>
      </w:r>
      <w:r>
        <w:rPr>
          <w:rFonts w:hint="eastAsia" w:ascii="仿宋_GB2312" w:hAnsi="仿宋_GB2312" w:eastAsia="仿宋_GB2312" w:cs="仿宋_GB2312"/>
          <w:color w:val="auto"/>
          <w:kern w:val="0"/>
          <w:sz w:val="32"/>
          <w:szCs w:val="32"/>
          <w:lang w:val="en-US" w:eastAsia="zh-CN"/>
        </w:rPr>
        <w:t>158.20</w:t>
      </w:r>
      <w:r>
        <w:rPr>
          <w:rFonts w:hint="eastAsia" w:ascii="仿宋_GB2312" w:hAnsi="仿宋_GB2312" w:eastAsia="仿宋_GB2312" w:cs="仿宋_GB2312"/>
          <w:color w:val="auto"/>
          <w:kern w:val="0"/>
          <w:sz w:val="32"/>
          <w:szCs w:val="32"/>
        </w:rPr>
        <w:t>万元、社会保障和就业支出</w:t>
      </w:r>
      <w:r>
        <w:rPr>
          <w:rFonts w:hint="eastAsia" w:ascii="仿宋_GB2312" w:hAnsi="仿宋_GB2312" w:eastAsia="仿宋_GB2312" w:cs="仿宋_GB2312"/>
          <w:color w:val="auto"/>
          <w:kern w:val="0"/>
          <w:sz w:val="32"/>
          <w:szCs w:val="32"/>
          <w:lang w:val="en-US" w:eastAsia="zh-CN"/>
        </w:rPr>
        <w:t>21.72</w:t>
      </w:r>
      <w:r>
        <w:rPr>
          <w:rFonts w:hint="eastAsia" w:ascii="仿宋_GB2312" w:hAnsi="仿宋_GB2312" w:eastAsia="仿宋_GB2312" w:cs="仿宋_GB2312"/>
          <w:color w:val="auto"/>
          <w:kern w:val="0"/>
          <w:sz w:val="32"/>
          <w:szCs w:val="32"/>
        </w:rPr>
        <w:t>万元、卫生健康支出</w:t>
      </w:r>
      <w:r>
        <w:rPr>
          <w:rFonts w:hint="eastAsia" w:ascii="仿宋_GB2312" w:hAnsi="仿宋_GB2312" w:eastAsia="仿宋_GB2312" w:cs="仿宋_GB2312"/>
          <w:color w:val="auto"/>
          <w:kern w:val="0"/>
          <w:sz w:val="32"/>
          <w:szCs w:val="32"/>
          <w:lang w:val="en-US" w:eastAsia="zh-CN"/>
        </w:rPr>
        <w:t>9.20</w:t>
      </w:r>
      <w:r>
        <w:rPr>
          <w:rFonts w:hint="eastAsia" w:ascii="仿宋_GB2312" w:hAnsi="仿宋_GB2312" w:eastAsia="仿宋_GB2312" w:cs="仿宋_GB2312"/>
          <w:color w:val="auto"/>
          <w:kern w:val="0"/>
          <w:sz w:val="32"/>
          <w:szCs w:val="32"/>
        </w:rPr>
        <w:t>万元、住房保障支出</w:t>
      </w:r>
      <w:r>
        <w:rPr>
          <w:rFonts w:hint="eastAsia" w:ascii="仿宋_GB2312" w:hAnsi="仿宋_GB2312" w:eastAsia="仿宋_GB2312" w:cs="仿宋_GB2312"/>
          <w:color w:val="auto"/>
          <w:kern w:val="0"/>
          <w:sz w:val="32"/>
          <w:szCs w:val="32"/>
          <w:lang w:val="en-US" w:eastAsia="zh-CN"/>
        </w:rPr>
        <w:t>14.37</w:t>
      </w:r>
      <w:r>
        <w:rPr>
          <w:rFonts w:hint="eastAsia" w:ascii="仿宋_GB2312" w:hAnsi="仿宋_GB2312" w:eastAsia="仿宋_GB2312" w:cs="仿宋_GB2312"/>
          <w:color w:val="auto"/>
          <w:kern w:val="0"/>
          <w:sz w:val="32"/>
          <w:szCs w:val="32"/>
        </w:rPr>
        <w:t>万元。按经济分类，工资福利支出</w:t>
      </w:r>
      <w:r>
        <w:rPr>
          <w:rFonts w:hint="eastAsia" w:ascii="仿宋_GB2312" w:hAnsi="仿宋_GB2312" w:eastAsia="仿宋_GB2312" w:cs="仿宋_GB2312"/>
          <w:color w:val="auto"/>
          <w:kern w:val="0"/>
          <w:sz w:val="32"/>
          <w:szCs w:val="32"/>
          <w:lang w:val="en-US" w:eastAsia="zh-CN"/>
        </w:rPr>
        <w:t>176.45</w:t>
      </w:r>
      <w:r>
        <w:rPr>
          <w:rFonts w:hint="eastAsia" w:ascii="仿宋_GB2312" w:hAnsi="仿宋_GB2312" w:eastAsia="仿宋_GB2312" w:cs="仿宋_GB2312"/>
          <w:color w:val="auto"/>
          <w:kern w:val="0"/>
          <w:sz w:val="32"/>
          <w:szCs w:val="32"/>
        </w:rPr>
        <w:t>万元，对家庭和个人的补助</w:t>
      </w:r>
      <w:r>
        <w:rPr>
          <w:rFonts w:hint="eastAsia" w:ascii="仿宋_GB2312" w:hAnsi="仿宋_GB2312" w:eastAsia="仿宋_GB2312" w:cs="仿宋_GB2312"/>
          <w:color w:val="auto"/>
          <w:kern w:val="0"/>
          <w:sz w:val="32"/>
          <w:szCs w:val="32"/>
          <w:lang w:val="en-US" w:eastAsia="zh-CN"/>
        </w:rPr>
        <w:t>55.99</w:t>
      </w:r>
      <w:r>
        <w:rPr>
          <w:rFonts w:hint="eastAsia" w:ascii="仿宋_GB2312" w:hAnsi="仿宋_GB2312" w:eastAsia="仿宋_GB2312" w:cs="仿宋_GB2312"/>
          <w:color w:val="auto"/>
          <w:kern w:val="0"/>
          <w:sz w:val="32"/>
          <w:szCs w:val="32"/>
        </w:rPr>
        <w:t>万元，商品服务支出</w:t>
      </w:r>
      <w:r>
        <w:rPr>
          <w:rFonts w:hint="eastAsia" w:ascii="仿宋_GB2312" w:hAnsi="仿宋_GB2312" w:eastAsia="仿宋_GB2312" w:cs="仿宋_GB2312"/>
          <w:color w:val="auto"/>
          <w:kern w:val="0"/>
          <w:sz w:val="32"/>
          <w:szCs w:val="32"/>
          <w:lang w:val="en-US" w:eastAsia="zh-CN"/>
        </w:rPr>
        <w:t>26.60</w:t>
      </w:r>
      <w:r>
        <w:rPr>
          <w:rFonts w:hint="eastAsia" w:ascii="仿宋_GB2312" w:hAnsi="仿宋_GB2312" w:eastAsia="仿宋_GB2312" w:cs="仿宋_GB2312"/>
          <w:color w:val="auto"/>
          <w:kern w:val="0"/>
          <w:sz w:val="32"/>
          <w:szCs w:val="32"/>
        </w:rPr>
        <w:t>万元。</w:t>
      </w:r>
    </w:p>
    <w:p w14:paraId="2C627710">
      <w:pPr>
        <w:widowControl/>
        <w:numPr>
          <w:ilvl w:val="0"/>
          <w:numId w:val="0"/>
        </w:numPr>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结余分配和结转结余情况</w:t>
      </w:r>
    </w:p>
    <w:p w14:paraId="1124B123">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年年末项目支出结余结转0万元。</w:t>
      </w:r>
    </w:p>
    <w:p w14:paraId="49F6BE2A">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bCs/>
          <w:color w:val="000000"/>
          <w:kern w:val="0"/>
          <w:sz w:val="32"/>
          <w:szCs w:val="32"/>
          <w:shd w:val="clear" w:color="auto" w:fill="FFFFFF"/>
        </w:rPr>
        <w:t>三、部门预算绩效分析</w:t>
      </w:r>
    </w:p>
    <w:p w14:paraId="11A3834D">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p>
    <w:p w14:paraId="7CC3CB5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r>
        <w:rPr>
          <w:rFonts w:hint="eastAsia" w:ascii="仿宋_GB2312" w:hAnsi="仿宋_GB2312" w:eastAsia="仿宋_GB2312" w:cs="仿宋_GB2312"/>
          <w:color w:val="auto"/>
          <w:kern w:val="0"/>
          <w:sz w:val="32"/>
          <w:szCs w:val="32"/>
        </w:rPr>
        <w:t>负责规范指导全县行政审批和政务服务工作，建立和完善相应工作机制，推进标准化建设；负责指导、协调进驻政务服务大厅部门的行政审批和公共服务工作；对窗口工作人员进行日常管理、年度考核等工作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负责对各乡镇便民服务中心相关工作的运行进行业务指导和监督，建立和完善高效的政务服务体系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负责全县公共资源交易管理工作</w:t>
      </w:r>
      <w:r>
        <w:rPr>
          <w:rFonts w:hint="eastAsia" w:ascii="仿宋_GB2312" w:hAnsi="仿宋_GB2312" w:eastAsia="仿宋_GB2312" w:cs="仿宋_GB2312"/>
          <w:color w:val="000000"/>
          <w:kern w:val="0"/>
          <w:sz w:val="32"/>
          <w:szCs w:val="32"/>
          <w:shd w:val="clear" w:color="auto" w:fill="FFFFFF"/>
          <w:lang w:val="zh-CN"/>
        </w:rPr>
        <w:t>。</w:t>
      </w:r>
    </w:p>
    <w:p w14:paraId="730FE5AD">
      <w:pPr>
        <w:widowControl/>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r>
        <w:rPr>
          <w:rFonts w:hint="eastAsia" w:ascii="仿宋_GB2312" w:hAnsi="仿宋_GB2312" w:eastAsia="仿宋_GB2312" w:cs="仿宋_GB2312"/>
          <w:kern w:val="0"/>
          <w:sz w:val="32"/>
          <w:szCs w:val="32"/>
        </w:rPr>
        <w:t>根据《预算法》等法律法规的规定</w:t>
      </w:r>
      <w:r>
        <w:rPr>
          <w:rFonts w:hint="eastAsia" w:ascii="仿宋_GB2312" w:hAnsi="仿宋_GB2312" w:eastAsia="仿宋_GB2312" w:cs="仿宋_GB2312"/>
          <w:color w:val="000000"/>
          <w:kern w:val="0"/>
          <w:sz w:val="32"/>
          <w:szCs w:val="32"/>
          <w:shd w:val="clear" w:color="auto" w:fill="FFFFFF"/>
          <w:lang w:val="zh-CN" w:eastAsia="zh-CN"/>
        </w:rPr>
        <w:t>和本单位工作实际情况，严格按要求编制年初部门预算，确保年初预算编制的科学性和准确性。单位严控“三公”经费、会议、培训、差旅、办节办展、办公设备购置、信息网络及软件购置更新、课题经费等一般性支出。</w:t>
      </w:r>
      <w:r>
        <w:rPr>
          <w:rFonts w:hint="eastAsia" w:ascii="仿宋_GB2312" w:hAnsi="仿宋_GB2312" w:eastAsia="仿宋_GB2312" w:cs="仿宋_GB2312"/>
          <w:color w:val="auto"/>
          <w:kern w:val="0"/>
          <w:sz w:val="32"/>
          <w:szCs w:val="32"/>
        </w:rPr>
        <w:t>基本支出202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年12月按月或季度进行申报，其中人员工资按月申报并直接支付，日常公用经费按月进行申报并支付，项目支出按项目实际开展进度申报并支付。</w:t>
      </w:r>
    </w:p>
    <w:p w14:paraId="5C3742A4">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财务管理。</w:t>
      </w:r>
      <w:r>
        <w:rPr>
          <w:rFonts w:hint="eastAsia" w:ascii="仿宋_GB2312" w:hAnsi="仿宋_GB2312" w:eastAsia="仿宋_GB2312" w:cs="仿宋_GB2312"/>
          <w:color w:val="000000"/>
          <w:kern w:val="0"/>
          <w:sz w:val="32"/>
          <w:szCs w:val="32"/>
          <w:shd w:val="clear" w:color="auto" w:fill="FFFFFF"/>
          <w:lang w:val="zh-CN" w:eastAsia="zh-CN"/>
        </w:rPr>
        <w:t>根据《会计法》及财务工作有关规定，结合单位实际，制订了《茂县行政审批局财务管理制度》，合理设置财务工作岗位，明确职责权限，严格实行不相容岗位分离，严格按照相关财务管理制度规定使用各项资金。</w:t>
      </w:r>
    </w:p>
    <w:p w14:paraId="03888CD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资产管理。人均资产无变化，科学合理分配使用资产，无闲置资产。</w:t>
      </w:r>
    </w:p>
    <w:p w14:paraId="5AA58480">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5.</w:t>
      </w:r>
      <w:r>
        <w:rPr>
          <w:rFonts w:hint="eastAsia" w:ascii="仿宋_GB2312" w:hAnsi="仿宋_GB2312" w:eastAsia="仿宋_GB2312" w:cs="仿宋_GB2312"/>
          <w:color w:val="000000"/>
          <w:kern w:val="0"/>
          <w:sz w:val="32"/>
          <w:szCs w:val="32"/>
          <w:shd w:val="clear" w:color="auto" w:fill="FFFFFF"/>
          <w:lang w:val="zh-CN"/>
        </w:rPr>
        <w:t>采购管理。无</w:t>
      </w:r>
    </w:p>
    <w:p w14:paraId="19CBD53A">
      <w:pPr>
        <w:widowControl/>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p>
    <w:p w14:paraId="771E331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常年项目绩效分析。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14:paraId="3D296977">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55.56</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14:paraId="35A40262">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项目决策。围绕省、州、县政务服务工作要点，持续提升政务服务质量及效能。</w:t>
      </w:r>
      <w:r>
        <w:rPr>
          <w:rFonts w:hint="eastAsia" w:ascii="仿宋_GB2312" w:hAnsi="仿宋_GB2312" w:eastAsia="仿宋_GB2312" w:cs="仿宋_GB2312"/>
          <w:kern w:val="2"/>
          <w:sz w:val="32"/>
          <w:szCs w:val="32"/>
          <w:lang w:eastAsia="zh-CN"/>
        </w:rPr>
        <w:t>预算项目设立按规定履行评估论证、申报程序。项目绩效目标与计划期内的任务量、预算安排的资金量相匹配，绩效目标设置科学合理、规范完整，在规定时间完成了项目入库。</w:t>
      </w:r>
    </w:p>
    <w:p w14:paraId="79BCDB82">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bookmarkStart w:id="1" w:name="_GoBack"/>
      <w:bookmarkEnd w:id="1"/>
    </w:p>
    <w:p w14:paraId="279C15C6">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55.56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lang w:val="en-US" w:eastAsia="zh-CN"/>
        </w:rPr>
        <w:t>2022年至2024年政务服务大厅相关经费53.82万元；2024年第三、四季度政府集中采购专家评审劳务费1.74万元；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14:paraId="7979A46A">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w:t>
      </w:r>
      <w:r>
        <w:rPr>
          <w:rFonts w:hint="eastAsia" w:ascii="仿宋_GB2312" w:hAnsi="仿宋_GB2312" w:eastAsia="仿宋_GB2312" w:cs="仿宋_GB2312"/>
          <w:color w:val="auto"/>
          <w:sz w:val="32"/>
          <w:szCs w:val="32"/>
        </w:rPr>
        <w:t>。</w:t>
      </w:r>
    </w:p>
    <w:p w14:paraId="4C9AAA61">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（三）重点领域绩效分析。</w:t>
      </w:r>
    </w:p>
    <w:p w14:paraId="158C498D">
      <w:pPr>
        <w:widowControl/>
        <w:adjustRightInd w:val="0"/>
        <w:snapToGrid w:val="0"/>
        <w:spacing w:line="578" w:lineRule="exact"/>
        <w:ind w:firstLine="640" w:firstLineChars="200"/>
        <w:contextualSpacing/>
        <w:jc w:val="left"/>
        <w:rPr>
          <w:rFonts w:hint="eastAsia"/>
          <w:lang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2024年度茂县行政审批和政务服务管理局无重点领域项目。</w:t>
      </w:r>
    </w:p>
    <w:p w14:paraId="6EE37D05">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zh-CN"/>
        </w:rPr>
        <w:t>（四）绩效结果应用情况。</w:t>
      </w:r>
      <w:r>
        <w:rPr>
          <w:rFonts w:hint="eastAsia" w:ascii="仿宋_GB2312" w:hAnsi="仿宋_GB2312" w:eastAsia="仿宋_GB2312" w:cs="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14:paraId="417FA491">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14:paraId="78C89F23">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（一）评价结论。</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茂县行政审批和政务服务管理局</w:t>
      </w:r>
      <w:r>
        <w:rPr>
          <w:rFonts w:hint="eastAsia" w:ascii="仿宋_GB2312" w:hAnsi="仿宋_GB2312" w:eastAsia="仿宋_GB2312" w:cs="仿宋_GB2312"/>
          <w:color w:val="auto"/>
          <w:kern w:val="0"/>
          <w:sz w:val="32"/>
          <w:szCs w:val="32"/>
        </w:rPr>
        <w:t>整体支出绩效评价自查自评结果良好，全年基本支出保证了部门的正常运行和日常工作的正常开展，项目支出保障了重点工作的开展，达到预期绩效目标。</w:t>
      </w:r>
    </w:p>
    <w:p w14:paraId="714D863C">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（二）存在问题。</w:t>
      </w:r>
      <w:r>
        <w:rPr>
          <w:rFonts w:hint="eastAsia" w:ascii="仿宋_GB2312" w:hAnsi="仿宋_GB2312" w:eastAsia="仿宋_GB2312" w:cs="仿宋_GB2312"/>
          <w:color w:val="auto"/>
          <w:kern w:val="0"/>
          <w:sz w:val="32"/>
          <w:szCs w:val="32"/>
        </w:rPr>
        <w:t>预算编制需完善，绩效目标的制定有待更科学更合理。</w:t>
      </w:r>
    </w:p>
    <w:p w14:paraId="33601E52">
      <w:pPr>
        <w:widowControl/>
        <w:adjustRightInd w:val="0"/>
        <w:snapToGrid w:val="0"/>
        <w:spacing w:line="578" w:lineRule="exact"/>
        <w:ind w:firstLine="643" w:firstLineChars="200"/>
        <w:contextualSpacing/>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b/>
          <w:bCs/>
          <w:color w:val="000000"/>
          <w:kern w:val="0"/>
          <w:sz w:val="32"/>
          <w:szCs w:val="32"/>
          <w:shd w:val="clear" w:color="auto" w:fill="FFFFFF"/>
          <w:lang w:val="zh-CN"/>
        </w:rPr>
        <w:t>（三）改进建议。</w:t>
      </w:r>
      <w:bookmarkStart w:id="0" w:name="_Hlk110546638"/>
      <w:r>
        <w:rPr>
          <w:rFonts w:hint="eastAsia" w:ascii="仿宋_GB2312" w:hAnsi="仿宋_GB2312" w:eastAsia="仿宋_GB2312" w:cs="仿宋_GB2312"/>
          <w:color w:val="auto"/>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bookmarkEnd w:id="0"/>
    <w:p w14:paraId="5F7CC9BB">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000000"/>
          <w:kern w:val="0"/>
          <w:sz w:val="32"/>
          <w:szCs w:val="32"/>
          <w:shd w:val="clear" w:color="auto" w:fill="FFFFFF"/>
        </w:rPr>
        <w:t>附表：</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auto"/>
          <w:kern w:val="0"/>
          <w:sz w:val="32"/>
          <w:szCs w:val="32"/>
          <w:lang w:val="en-US" w:eastAsia="zh-CN"/>
        </w:rPr>
        <w:t>专项预算项目绩效评价指标体系</w:t>
      </w:r>
    </w:p>
    <w:p w14:paraId="1132CE93">
      <w:pPr>
        <w:widowControl/>
        <w:adjustRightInd w:val="0"/>
        <w:snapToGrid w:val="0"/>
        <w:spacing w:line="578" w:lineRule="exact"/>
        <w:ind w:firstLine="1600" w:firstLineChars="500"/>
        <w:contextualSpacing/>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rPr>
        <w:t>部门整体支出绩效目标完成情况自评表</w:t>
      </w:r>
    </w:p>
    <w:p w14:paraId="1E9D0B68">
      <w:pPr>
        <w:widowControl/>
        <w:adjustRightInd w:val="0"/>
        <w:snapToGrid w:val="0"/>
        <w:spacing w:line="578" w:lineRule="exact"/>
        <w:ind w:firstLine="420" w:firstLineChars="200"/>
        <w:contextualSpacing/>
        <w:jc w:val="left"/>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rPr>
        <w:t xml:space="preserve"> </w:t>
      </w:r>
      <w:r>
        <w:rPr>
          <w:rFonts w:hint="eastAsia" w:ascii="仿宋" w:hAnsi="仿宋" w:eastAsia="仿宋" w:cs="仿宋"/>
          <w:color w:val="auto"/>
          <w:kern w:val="0"/>
          <w:lang w:val="en-US" w:eastAsia="zh-CN"/>
        </w:rPr>
        <w:t xml:space="preserve">                     </w:t>
      </w:r>
      <w:r>
        <w:rPr>
          <w:rFonts w:hint="eastAsia" w:ascii="仿宋_GB2312" w:hAnsi="仿宋_GB2312" w:eastAsia="仿宋_GB2312" w:cs="仿宋_GB2312"/>
          <w:color w:val="auto"/>
          <w:kern w:val="0"/>
          <w:sz w:val="32"/>
          <w:szCs w:val="32"/>
          <w:lang w:val="en-US" w:eastAsia="zh-CN"/>
        </w:rPr>
        <w:t xml:space="preserve"> </w:t>
      </w:r>
    </w:p>
    <w:p w14:paraId="09D6DBAC">
      <w:pPr>
        <w:widowControl/>
        <w:adjustRightInd w:val="0"/>
        <w:snapToGrid w:val="0"/>
        <w:spacing w:line="578" w:lineRule="exact"/>
        <w:ind w:firstLine="3520" w:firstLineChars="11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w:t>
      </w:r>
      <w:r>
        <w:rPr>
          <w:rFonts w:hint="eastAsia" w:ascii="仿宋_GB2312" w:hAnsi="仿宋_GB2312" w:eastAsia="仿宋_GB2312" w:cs="仿宋_GB2312"/>
          <w:color w:val="auto"/>
          <w:kern w:val="0"/>
          <w:sz w:val="32"/>
          <w:szCs w:val="32"/>
          <w:lang w:eastAsia="zh-CN"/>
        </w:rPr>
        <w:t>和政务服务管理</w:t>
      </w:r>
      <w:r>
        <w:rPr>
          <w:rFonts w:hint="eastAsia" w:ascii="仿宋_GB2312" w:hAnsi="仿宋_GB2312" w:eastAsia="仿宋_GB2312" w:cs="仿宋_GB2312"/>
          <w:color w:val="auto"/>
          <w:kern w:val="0"/>
          <w:sz w:val="32"/>
          <w:szCs w:val="32"/>
        </w:rPr>
        <w:t>局</w:t>
      </w:r>
    </w:p>
    <w:p w14:paraId="1E9C5366">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25</w:t>
      </w:r>
      <w:r>
        <w:rPr>
          <w:rFonts w:hint="eastAsia" w:ascii="仿宋_GB2312" w:hAnsi="仿宋_GB2312" w:eastAsia="仿宋_GB2312" w:cs="仿宋_GB2312"/>
          <w:color w:val="auto"/>
          <w:kern w:val="0"/>
          <w:sz w:val="32"/>
          <w:szCs w:val="32"/>
        </w:rPr>
        <w:t>日</w:t>
      </w:r>
    </w:p>
    <w:p w14:paraId="1D3145D5">
      <w:pPr>
        <w:pStyle w:val="2"/>
        <w:rPr>
          <w:rFonts w:hint="eastAsia" w:ascii="仿宋_GB2312" w:hAnsi="仿宋_GB2312" w:eastAsia="仿宋_GB2312" w:cs="仿宋_GB2312"/>
          <w:color w:val="auto"/>
          <w:kern w:val="0"/>
          <w:sz w:val="32"/>
          <w:szCs w:val="32"/>
        </w:rPr>
      </w:pPr>
    </w:p>
    <w:p w14:paraId="020E686D">
      <w:pPr>
        <w:pStyle w:val="2"/>
        <w:rPr>
          <w:rFonts w:hint="eastAsia" w:ascii="仿宋_GB2312" w:hAnsi="仿宋_GB2312" w:eastAsia="仿宋_GB2312" w:cs="仿宋_GB2312"/>
          <w:color w:val="auto"/>
          <w:kern w:val="0"/>
          <w:sz w:val="32"/>
          <w:szCs w:val="32"/>
        </w:rPr>
      </w:pPr>
    </w:p>
    <w:p w14:paraId="6988D423">
      <w:pPr>
        <w:pStyle w:val="2"/>
        <w:rPr>
          <w:rFonts w:hint="eastAsia" w:ascii="仿宋_GB2312" w:hAnsi="仿宋_GB2312" w:eastAsia="仿宋_GB2312" w:cs="仿宋_GB2312"/>
          <w:color w:val="auto"/>
          <w:kern w:val="0"/>
          <w:sz w:val="32"/>
          <w:szCs w:val="32"/>
        </w:rPr>
      </w:pPr>
    </w:p>
    <w:p w14:paraId="38F78D4F">
      <w:pPr>
        <w:pStyle w:val="2"/>
        <w:rPr>
          <w:rFonts w:hint="eastAsia" w:ascii="仿宋_GB2312" w:hAnsi="仿宋_GB2312" w:eastAsia="仿宋_GB2312" w:cs="仿宋_GB2312"/>
          <w:color w:val="auto"/>
          <w:kern w:val="0"/>
          <w:sz w:val="32"/>
          <w:szCs w:val="32"/>
        </w:rPr>
      </w:pPr>
    </w:p>
    <w:p w14:paraId="09D9D1E6">
      <w:pPr>
        <w:pStyle w:val="2"/>
        <w:rPr>
          <w:rFonts w:hint="eastAsia" w:ascii="仿宋_GB2312" w:hAnsi="仿宋_GB2312" w:eastAsia="仿宋_GB2312" w:cs="仿宋_GB2312"/>
          <w:color w:val="auto"/>
          <w:kern w:val="0"/>
          <w:sz w:val="32"/>
          <w:szCs w:val="32"/>
        </w:rPr>
      </w:pPr>
    </w:p>
    <w:p w14:paraId="64E81D20">
      <w:pPr>
        <w:pStyle w:val="2"/>
        <w:rPr>
          <w:rFonts w:hint="eastAsia" w:ascii="仿宋_GB2312" w:hAnsi="仿宋_GB2312" w:eastAsia="仿宋_GB2312" w:cs="仿宋_GB2312"/>
          <w:color w:val="auto"/>
          <w:kern w:val="0"/>
          <w:sz w:val="32"/>
          <w:szCs w:val="32"/>
        </w:rPr>
      </w:pPr>
    </w:p>
    <w:p w14:paraId="48BFF488">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sectPr>
          <w:footerReference r:id="rId6" w:type="default"/>
          <w:pgSz w:w="11906" w:h="16838"/>
          <w:pgMar w:top="1440" w:right="1800" w:bottom="1440" w:left="1800" w:header="851" w:footer="992" w:gutter="0"/>
          <w:pgNumType w:fmt="decimal" w:start="1"/>
          <w:cols w:space="425" w:num="1"/>
          <w:docGrid w:type="lines" w:linePitch="312" w:charSpace="0"/>
        </w:sect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718"/>
        <w:gridCol w:w="465"/>
        <w:gridCol w:w="721"/>
        <w:gridCol w:w="696"/>
        <w:gridCol w:w="1102"/>
        <w:gridCol w:w="953"/>
        <w:gridCol w:w="2739"/>
        <w:gridCol w:w="465"/>
        <w:gridCol w:w="465"/>
        <w:gridCol w:w="465"/>
        <w:gridCol w:w="465"/>
        <w:gridCol w:w="465"/>
        <w:gridCol w:w="465"/>
        <w:gridCol w:w="465"/>
        <w:gridCol w:w="465"/>
        <w:gridCol w:w="465"/>
        <w:gridCol w:w="465"/>
        <w:gridCol w:w="465"/>
        <w:gridCol w:w="482"/>
        <w:gridCol w:w="465"/>
      </w:tblGrid>
      <w:tr w14:paraId="3BC2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0" w:type="auto"/>
            <w:tcBorders>
              <w:top w:val="nil"/>
              <w:left w:val="nil"/>
              <w:bottom w:val="nil"/>
              <w:right w:val="nil"/>
            </w:tcBorders>
            <w:shd w:val="clear" w:color="auto" w:fill="auto"/>
            <w:vAlign w:val="center"/>
          </w:tcPr>
          <w:p w14:paraId="3AF1FA71">
            <w:pPr>
              <w:keepNext w:val="0"/>
              <w:keepLines w:val="0"/>
              <w:widowControl/>
              <w:suppressLineNumbers w:val="0"/>
              <w:jc w:val="left"/>
              <w:textAlignment w:val="center"/>
              <w:rPr>
                <w:rFonts w:hint="eastAsia" w:ascii="黑体" w:hAnsi="宋体" w:eastAsia="黑体" w:cs="黑体"/>
                <w:i w:val="0"/>
                <w:iCs w:val="0"/>
                <w:color w:val="000000"/>
                <w:sz w:val="32"/>
                <w:szCs w:val="32"/>
                <w:u w:val="none"/>
                <w:lang w:eastAsia="zh-CN"/>
              </w:rPr>
            </w:pPr>
          </w:p>
        </w:tc>
        <w:tc>
          <w:tcPr>
            <w:tcW w:w="0" w:type="auto"/>
            <w:tcBorders>
              <w:top w:val="nil"/>
              <w:left w:val="nil"/>
              <w:bottom w:val="nil"/>
              <w:right w:val="nil"/>
            </w:tcBorders>
            <w:shd w:val="clear" w:color="auto" w:fill="auto"/>
            <w:vAlign w:val="center"/>
          </w:tcPr>
          <w:p w14:paraId="1569D893">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67C68092">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793DC5F3">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7698F499">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1BC295F8">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09D12DF2">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0CD39799">
            <w:pPr>
              <w:jc w:val="lef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79554E36">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6DC8B5E4">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44F3B65B">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45FA024B">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67110E0F">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3B85EB9C">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5082B464">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5BFDFB3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072B8239">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644221D2">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16BA6761">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005355AF">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152D04D3">
            <w:pPr>
              <w:jc w:val="center"/>
              <w:rPr>
                <w:rFonts w:hint="eastAsia" w:ascii="宋体" w:hAnsi="宋体" w:eastAsia="宋体" w:cs="宋体"/>
                <w:i w:val="0"/>
                <w:iCs w:val="0"/>
                <w:color w:val="000000"/>
                <w:sz w:val="24"/>
                <w:szCs w:val="24"/>
                <w:u w:val="none"/>
              </w:rPr>
            </w:pPr>
          </w:p>
        </w:tc>
      </w:tr>
      <w:tr w14:paraId="3A147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0" w:type="auto"/>
            <w:gridSpan w:val="19"/>
            <w:tcBorders>
              <w:top w:val="nil"/>
              <w:left w:val="nil"/>
              <w:bottom w:val="nil"/>
              <w:right w:val="nil"/>
            </w:tcBorders>
            <w:shd w:val="clear" w:color="auto" w:fill="auto"/>
            <w:vAlign w:val="center"/>
          </w:tcPr>
          <w:p w14:paraId="0B0EC38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专项预算项目绩效评价指标体系</w:t>
            </w:r>
          </w:p>
        </w:tc>
        <w:tc>
          <w:tcPr>
            <w:tcW w:w="0" w:type="auto"/>
            <w:tcBorders>
              <w:top w:val="nil"/>
              <w:left w:val="nil"/>
              <w:bottom w:val="nil"/>
              <w:right w:val="nil"/>
            </w:tcBorders>
            <w:shd w:val="clear" w:color="auto" w:fill="auto"/>
            <w:vAlign w:val="center"/>
          </w:tcPr>
          <w:p w14:paraId="67D87571">
            <w:pPr>
              <w:jc w:val="center"/>
              <w:rPr>
                <w:rFonts w:hint="eastAsia" w:ascii="方正小标宋简体" w:hAnsi="方正小标宋简体" w:eastAsia="方正小标宋简体" w:cs="方正小标宋简体"/>
                <w:i w:val="0"/>
                <w:iCs w:val="0"/>
                <w:color w:val="000000"/>
                <w:sz w:val="48"/>
                <w:szCs w:val="48"/>
                <w:u w:val="none"/>
              </w:rPr>
            </w:pPr>
          </w:p>
        </w:tc>
        <w:tc>
          <w:tcPr>
            <w:tcW w:w="0" w:type="auto"/>
            <w:tcBorders>
              <w:top w:val="nil"/>
              <w:left w:val="nil"/>
              <w:bottom w:val="nil"/>
              <w:right w:val="nil"/>
            </w:tcBorders>
            <w:shd w:val="clear" w:color="auto" w:fill="auto"/>
            <w:vAlign w:val="center"/>
          </w:tcPr>
          <w:p w14:paraId="6B9E3818">
            <w:pPr>
              <w:jc w:val="center"/>
              <w:rPr>
                <w:rFonts w:hint="eastAsia" w:ascii="宋体" w:hAnsi="宋体" w:eastAsia="宋体" w:cs="宋体"/>
                <w:i w:val="0"/>
                <w:iCs w:val="0"/>
                <w:color w:val="000000"/>
                <w:sz w:val="24"/>
                <w:szCs w:val="24"/>
                <w:u w:val="none"/>
              </w:rPr>
            </w:pPr>
          </w:p>
        </w:tc>
      </w:tr>
      <w:tr w14:paraId="60E13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5"/>
            <w:tcBorders>
              <w:top w:val="single" w:color="000000" w:sz="4" w:space="0"/>
              <w:left w:val="single" w:color="000000" w:sz="4" w:space="0"/>
              <w:bottom w:val="nil"/>
              <w:right w:val="nil"/>
            </w:tcBorders>
            <w:shd w:val="clear" w:color="auto" w:fill="auto"/>
            <w:vAlign w:val="center"/>
          </w:tcPr>
          <w:p w14:paraId="669004E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绩效评价指标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509E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指标解释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BC19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CA17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评分说明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02EA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评价方式</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C016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评价属性</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6B089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8088D">
            <w:pPr>
              <w:jc w:val="center"/>
              <w:rPr>
                <w:rFonts w:hint="eastAsia" w:ascii="黑体" w:hAnsi="宋体" w:eastAsia="黑体" w:cs="黑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53DE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414DC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5212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1AF6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B2058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C80C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分值</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9C8A9">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E549E">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32FE0">
            <w:pPr>
              <w:jc w:val="center"/>
              <w:rPr>
                <w:rFonts w:hint="eastAsia" w:ascii="黑体" w:hAnsi="宋体" w:eastAsia="黑体" w:cs="黑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2C81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整体</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6FEC8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F69C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定性</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34BB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定量</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7638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国家</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A4E8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行业</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1D24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地方</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16CC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申报</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0340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历史</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78121">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9E83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其他</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0509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自评得分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6E53F">
            <w:pPr>
              <w:jc w:val="center"/>
              <w:rPr>
                <w:rFonts w:hint="eastAsia" w:ascii="黑体" w:hAnsi="宋体" w:eastAsia="黑体" w:cs="黑体"/>
                <w:i w:val="0"/>
                <w:iCs w:val="0"/>
                <w:color w:val="000000"/>
                <w:sz w:val="24"/>
                <w:szCs w:val="24"/>
                <w:u w:val="none"/>
              </w:rPr>
            </w:pPr>
          </w:p>
        </w:tc>
      </w:tr>
      <w:tr w14:paraId="43F14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244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通用指标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（54分）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D57C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项目决策</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4B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DDA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AFC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项目决策程序是否严密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027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58F6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项目设立、调整延续等方面是否符合资金管理基本规范和决策程序要求，发现一处不符合的扣3分，扣完为止。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2247B">
            <w:pPr>
              <w:keepNext w:val="0"/>
              <w:keepLines w:val="0"/>
              <w:widowControl/>
              <w:suppressLineNumbers w:val="0"/>
              <w:jc w:val="center"/>
              <w:textAlignment w:val="center"/>
              <w:rPr>
                <w:rFonts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0A09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962B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47E4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3111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6E43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0578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B4BA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97A5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A736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60D71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3828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4C760">
            <w:pPr>
              <w:jc w:val="center"/>
              <w:rPr>
                <w:rFonts w:hint="eastAsia" w:ascii="宋体" w:hAnsi="宋体" w:eastAsia="宋体" w:cs="宋体"/>
                <w:i w:val="0"/>
                <w:iCs w:val="0"/>
                <w:color w:val="000000"/>
                <w:sz w:val="24"/>
                <w:szCs w:val="24"/>
                <w:u w:val="none"/>
              </w:rPr>
            </w:pPr>
          </w:p>
        </w:tc>
      </w:tr>
      <w:tr w14:paraId="55D4A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EA508">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A0E7C">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DCB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规划论证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1F8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3C8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项目规划论证是否符合中省要求，项目绩效目标设置是否科学合理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0AD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F95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1.项目规划符合中央、省委省政府有关决策部署安排，得1分；充分评估论证项目立项必要性、前瞻性、合理性和可行性，得3分。否则该项不得分。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总体绩效目标设置合理性的偏离度≤15%，得2分；30%≥偏离度＞15%，得1分；偏离度＞30%，不得分。绩效目标是否科学合理、规范完整、量化细化、预算匹配。总体绩效目标设置合理性为绩效目标设置合理的数量与绩效目标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17A2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799A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6DF8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1FD8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7EEB3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5C04A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AD27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DEA9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C190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4573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A0928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2B642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89DF8">
            <w:pPr>
              <w:jc w:val="center"/>
              <w:rPr>
                <w:rFonts w:hint="eastAsia" w:ascii="宋体" w:hAnsi="宋体" w:eastAsia="宋体" w:cs="宋体"/>
                <w:i w:val="0"/>
                <w:iCs w:val="0"/>
                <w:color w:val="000000"/>
                <w:sz w:val="24"/>
                <w:szCs w:val="24"/>
                <w:u w:val="none"/>
              </w:rPr>
            </w:pPr>
          </w:p>
        </w:tc>
      </w:tr>
      <w:tr w14:paraId="48063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6EF7E">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535B5">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1E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E69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0EE4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A5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6FF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属于政府支持范围，且符合财政事权支出责任划分规定，得1分；资金投向与项目总体规划、相关行业事业发展相匹配，得1分；聚焦重大任务、重点领域、重点环节和重点项目，体现“集中财力办大事”原则，避免“撒胡椒面”，得3分；未与其他同类项目或部门内部相关项目交叉重复，得1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89843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AD05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1F1C8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1C171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ECFF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FC22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72A2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6FEE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7E919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7C10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819E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1943B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4C8A6">
            <w:pPr>
              <w:jc w:val="center"/>
              <w:rPr>
                <w:rFonts w:hint="eastAsia" w:ascii="宋体" w:hAnsi="宋体" w:eastAsia="宋体" w:cs="宋体"/>
                <w:i w:val="0"/>
                <w:iCs w:val="0"/>
                <w:color w:val="000000"/>
                <w:sz w:val="24"/>
                <w:szCs w:val="24"/>
                <w:u w:val="none"/>
              </w:rPr>
            </w:pPr>
          </w:p>
        </w:tc>
      </w:tr>
      <w:tr w14:paraId="4C405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6938C">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299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项目管理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01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制度办法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830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231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项目制度办法是否体系健全、要素完备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FEE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FDA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资金管理办法等管理制度体系健全完善，不存在管理制度缺失、管理办法过期情况，得2分。否则该项不得分。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045D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23AA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82F5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237C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C06EE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A324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6E97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9F75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1444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5CD94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9D45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5D3E9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9288E4">
            <w:pPr>
              <w:jc w:val="center"/>
              <w:rPr>
                <w:rFonts w:hint="eastAsia" w:ascii="宋体" w:hAnsi="宋体" w:eastAsia="宋体" w:cs="宋体"/>
                <w:i w:val="0"/>
                <w:iCs w:val="0"/>
                <w:color w:val="000000"/>
                <w:sz w:val="24"/>
                <w:szCs w:val="24"/>
                <w:u w:val="none"/>
              </w:rPr>
            </w:pPr>
          </w:p>
        </w:tc>
      </w:tr>
      <w:tr w14:paraId="5E017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76A61">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804A9">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A25F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FC5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36CA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项目资金分配因素选取、权重设置、区域分布，项目管理、审批是否符合管理要求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0EA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31F4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因素分配法：资金分配因素选取充分考虑相关行业事业发展实际和发展需求，得2分；资金分配因素的权重设置有效突出项目实施重点，得2分；资金区域分布结果公平合理，得2分。项目分配法：建设项目储备库，得2分；实行入库项目动态管理、推动资金竞争性分配，得2分；明确项目申报审核程序，按规定程序履行项目审批，得2分。其他分配法：资金分配依据充分合理，得6分。否则该项不得分。如涉及多种分配法，按相应资金量的权重进行测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2.资金分配是否严格按管理办法执行，决策程序是否符合管理要求，及时高效，得4分。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4F29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7F1E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FFA1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F730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2650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3C8F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57F2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04E2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32F9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8CBE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5D65B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33B27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C7743">
            <w:pPr>
              <w:jc w:val="center"/>
              <w:rPr>
                <w:rFonts w:hint="eastAsia" w:ascii="宋体" w:hAnsi="宋体" w:eastAsia="宋体" w:cs="宋体"/>
                <w:i w:val="0"/>
                <w:iCs w:val="0"/>
                <w:color w:val="000000"/>
                <w:sz w:val="24"/>
                <w:szCs w:val="24"/>
                <w:u w:val="none"/>
              </w:rPr>
            </w:pPr>
          </w:p>
        </w:tc>
      </w:tr>
      <w:tr w14:paraId="19C20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1DC57">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FE462">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99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D6D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C78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管资金、项目、政策是否管绩效，项目绩效监管是否按要求开展，对下指导是否有力有效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0F0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C4A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按中省要求全面完成绩效目标（含事前评估）、绩效评价、以前年度问题整改等预算绩效管理工作，得4分；省级部门对市县主管部门预算绩效管理要求是否到位，是否存在对市县资金分配和项目管理指导力度不够的情况，是否对市县开展评价、监督、指导等工作，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834A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3E4D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8CE1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7A4D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7924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01990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94DF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D5CF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6B62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B5BEC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3248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A509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B120B7">
            <w:pPr>
              <w:jc w:val="center"/>
              <w:rPr>
                <w:rFonts w:hint="eastAsia" w:ascii="宋体" w:hAnsi="宋体" w:eastAsia="宋体" w:cs="宋体"/>
                <w:i w:val="0"/>
                <w:iCs w:val="0"/>
                <w:color w:val="000000"/>
                <w:sz w:val="24"/>
                <w:szCs w:val="24"/>
                <w:u w:val="none"/>
              </w:rPr>
            </w:pPr>
          </w:p>
        </w:tc>
      </w:tr>
      <w:tr w14:paraId="4F15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69403">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E0E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项目实施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82C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预算执行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BA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79B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项目资金财政拨付、单位执行和地方配套到位情况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1F4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9E0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该项指标得分=财政资金拨付率×100%×2+单位资金使用率×100%×2+地方资金到位率×100%×2。如部分计算内容不涉及，可同比例分配至本指标其他计算内容。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744A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CB07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6F8AA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D905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EBE93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B802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E450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15C6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00B0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E913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0B9F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AB76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D4CFE">
            <w:pPr>
              <w:jc w:val="center"/>
              <w:rPr>
                <w:rFonts w:hint="eastAsia" w:ascii="宋体" w:hAnsi="宋体" w:eastAsia="宋体" w:cs="宋体"/>
                <w:i w:val="0"/>
                <w:iCs w:val="0"/>
                <w:color w:val="000000"/>
                <w:sz w:val="24"/>
                <w:szCs w:val="24"/>
                <w:u w:val="none"/>
              </w:rPr>
            </w:pPr>
          </w:p>
        </w:tc>
      </w:tr>
      <w:tr w14:paraId="4B34F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3C873">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66969">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8F3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7FC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488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资金使用拨付、项目实施是否符合规定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3E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192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使用、拨付是否符合国家财经法规、财务管理制度及有关专项资金管理制度办法规定和审批程序，是否存在超范围、超标准、超进度使用专项资金，是否存在资金损失浪费、长期沉淀、截留、挤占、挪用、虚列支出等情况，项目实施是否遵守相关法律法规，发现一处不合规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E54C3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B60FF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2CDB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D120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E439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904C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33A1D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4644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0122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FF6E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FE44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7A34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C476F">
            <w:pPr>
              <w:jc w:val="center"/>
              <w:rPr>
                <w:rFonts w:hint="eastAsia" w:ascii="宋体" w:hAnsi="宋体" w:eastAsia="宋体" w:cs="宋体"/>
                <w:i w:val="0"/>
                <w:iCs w:val="0"/>
                <w:color w:val="000000"/>
                <w:sz w:val="24"/>
                <w:szCs w:val="24"/>
                <w:u w:val="none"/>
              </w:rPr>
            </w:pPr>
          </w:p>
        </w:tc>
      </w:tr>
      <w:tr w14:paraId="33653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5E8AC">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2D8E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项目结果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9C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8DF4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10A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项目是否完成预期目标，实施结果是否与绩效目标相匹配，反映目标实现程度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1B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829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该项指标得分=实际完成目标任务量÷首次批复立项设定绩效目标任务总量×100%×6。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3874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84C8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CF33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D8BC1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753E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909E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CC93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FD896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D504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839A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4CD6A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497F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A5B986">
            <w:pPr>
              <w:jc w:val="center"/>
              <w:rPr>
                <w:rFonts w:hint="eastAsia" w:ascii="宋体" w:hAnsi="宋体" w:eastAsia="宋体" w:cs="宋体"/>
                <w:i w:val="0"/>
                <w:iCs w:val="0"/>
                <w:color w:val="000000"/>
                <w:sz w:val="24"/>
                <w:szCs w:val="24"/>
                <w:u w:val="none"/>
              </w:rPr>
            </w:pPr>
          </w:p>
        </w:tc>
      </w:tr>
      <w:tr w14:paraId="223E6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58082">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75E7E">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81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完成时效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4447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3EF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B3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F77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该项指标得分=（1-(实际完成时间-计划完成时间)÷计划完成时间）×100%×3。一般以天数、月数或年数为单位。当实际完成时间-计划完成时间小于等于0时得满分；实际完成时间超过计划完成时间1倍及以上得0分。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811A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C5D83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45E79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99B93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113B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5D61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4B6D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C44C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95D3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11AA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9338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EE26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3E8D0">
            <w:pPr>
              <w:jc w:val="center"/>
              <w:rPr>
                <w:rFonts w:hint="eastAsia" w:ascii="宋体" w:hAnsi="宋体" w:eastAsia="宋体" w:cs="宋体"/>
                <w:i w:val="0"/>
                <w:iCs w:val="0"/>
                <w:color w:val="000000"/>
                <w:sz w:val="24"/>
                <w:szCs w:val="24"/>
                <w:u w:val="none"/>
              </w:rPr>
            </w:pPr>
          </w:p>
        </w:tc>
      </w:tr>
      <w:tr w14:paraId="253E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5A44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2ED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产业发展</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12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73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B60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项目实施是否与省委省政府支持重点、产业支持政策符合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4EF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7AA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该项指标得分=项目实施符合省委省政府支持重点、六大优势产业做大做强、传统产业转型升级、产业支持政策的点位数量÷所有选点总数×100%×10。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82360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B451B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448D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7733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6032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B6A59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9B2E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87095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B164F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8EE9F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5C77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7FC0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B0B3D3">
            <w:pPr>
              <w:jc w:val="center"/>
              <w:rPr>
                <w:rFonts w:hint="eastAsia" w:ascii="宋体" w:hAnsi="宋体" w:eastAsia="宋体" w:cs="宋体"/>
                <w:i w:val="0"/>
                <w:iCs w:val="0"/>
                <w:color w:val="000000"/>
                <w:sz w:val="24"/>
                <w:szCs w:val="24"/>
                <w:u w:val="none"/>
              </w:rPr>
            </w:pPr>
          </w:p>
        </w:tc>
      </w:tr>
      <w:tr w14:paraId="5CE22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C4D2A">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71A9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A1B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成长性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586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7F1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项目实施对相关企业（机构）成长性的促进作用，主要反映支持对象创新创造创业能力情况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266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862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对相关行业企业体现促进的点位数量÷所有选点总数×100%×10。对相关企业（机构）创新创造能力提升、扩大投资、技术更新、就业促进以及对农业良种良机良法推广应用、工业科技研发投入、服务业消费新场景新模式、提升行业新质生产力等情况进行综合判断，可查看统计年鉴和企业近三年财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E8E31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E748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C2DB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6EDC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7E1DB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39E1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7510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28CE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6EB65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4D72E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15B7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08C3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ED47C">
            <w:pPr>
              <w:jc w:val="center"/>
              <w:rPr>
                <w:rFonts w:hint="eastAsia" w:ascii="宋体" w:hAnsi="宋体" w:eastAsia="宋体" w:cs="宋体"/>
                <w:i w:val="0"/>
                <w:iCs w:val="0"/>
                <w:color w:val="000000"/>
                <w:sz w:val="24"/>
                <w:szCs w:val="24"/>
                <w:u w:val="none"/>
              </w:rPr>
            </w:pPr>
          </w:p>
        </w:tc>
      </w:tr>
      <w:tr w14:paraId="0EC01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A1CE4">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4AB4F">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882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2AE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890E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项目实施对相关企业（机构）主营业务收入、净利润、税收、产量等方面增长情况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F67B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F23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反映企业主营业务收入、净利润、税收、产量等增长情况，需将企业（机构）涉及的所有经济指标纳入计算。以主营业务收入为例，主营业务收入增加率≥行业平均增加率，且≥企业上一年度主营业务收入增加率，得10分；主营业务收入增加率≥行业平均增加率且＜企业上一年度主营业务收入增加率，或≥企业上一年度主营业务收入增加率且＜行业平均增加率，得5分；否则不得分。该项指标得分=各指标算术平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960A0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AAA55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26CA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3D41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6B11F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9B6F0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838D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4580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7D8F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1F72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FD03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FF91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EB9CF">
            <w:pPr>
              <w:jc w:val="center"/>
              <w:rPr>
                <w:rFonts w:hint="eastAsia" w:ascii="宋体" w:hAnsi="宋体" w:eastAsia="宋体" w:cs="宋体"/>
                <w:i w:val="0"/>
                <w:iCs w:val="0"/>
                <w:color w:val="000000"/>
                <w:sz w:val="24"/>
                <w:szCs w:val="24"/>
                <w:u w:val="none"/>
              </w:rPr>
            </w:pPr>
          </w:p>
        </w:tc>
      </w:tr>
      <w:tr w14:paraId="05DA7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9C5B7">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00C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民生保障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DBA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区域均衡性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10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ABC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项目资金分配体现的均衡公平情况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3DC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分级评分法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C7E4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实际区域分配结果选择客观因素测算验证资金分配是否科学合理、均衡公平。主要查看区域均衡情况是否得到改善、区域间差距是否缩小，分级计分。其中，区域均衡情况得到改善、区域间差距缩小，得10分；区域均衡情况维持原状、区域间差距不变，得5分；区域均衡情况未得到改善、区域间差距扩大，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7E85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8F2E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26C96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DFDA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A1CB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9380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AF38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B66D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B9D9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E0515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8DCA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F250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8C197">
            <w:pPr>
              <w:jc w:val="center"/>
              <w:rPr>
                <w:rFonts w:hint="eastAsia" w:ascii="宋体" w:hAnsi="宋体" w:eastAsia="宋体" w:cs="宋体"/>
                <w:i w:val="0"/>
                <w:iCs w:val="0"/>
                <w:color w:val="000000"/>
                <w:sz w:val="24"/>
                <w:szCs w:val="24"/>
                <w:u w:val="none"/>
              </w:rPr>
            </w:pPr>
          </w:p>
        </w:tc>
      </w:tr>
      <w:tr w14:paraId="0CA2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341C4">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F8D6F">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6EF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对象精准性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F7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339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资金实际支持对象是否符合管理要求，是否符合支持对象范围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B0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5C25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对象人数）÷抽样的支持对象总人数×100%×10。主要查看项目资金分配和实施结果是否精准，是否存在明显的排他性和歧视性情形，是否及时落实到支持对象个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DA4B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5A4D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1BA7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2D81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8702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59E8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16BC8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F2B35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3C1E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F6E1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E74D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FC55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741854">
            <w:pPr>
              <w:jc w:val="center"/>
              <w:rPr>
                <w:rFonts w:hint="eastAsia" w:ascii="宋体" w:hAnsi="宋体" w:eastAsia="宋体" w:cs="宋体"/>
                <w:i w:val="0"/>
                <w:iCs w:val="0"/>
                <w:color w:val="000000"/>
                <w:sz w:val="24"/>
                <w:szCs w:val="24"/>
                <w:u w:val="none"/>
              </w:rPr>
            </w:pPr>
          </w:p>
        </w:tc>
      </w:tr>
      <w:tr w14:paraId="29242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990E8">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FDFAC">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2A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9EE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3CF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资金实际补贴标准是否符合资金管理办法规定的补助标准，是否及时按标准兑现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1C40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052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标准人数）÷抽样的支持对象总人数×100%×5。主要查看项目资金补贴标准是否符合资金管理办法规定的补助标准。如存在多发、漏发、重发、迟发等情况，均计入不符合支持标准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8581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22E0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5A10C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AC0FD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41C1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4BF5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F0B1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EC66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5E57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B768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52C5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3FA3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C8CD7">
            <w:pPr>
              <w:jc w:val="center"/>
              <w:rPr>
                <w:rFonts w:hint="eastAsia" w:ascii="宋体" w:hAnsi="宋体" w:eastAsia="宋体" w:cs="宋体"/>
                <w:i w:val="0"/>
                <w:iCs w:val="0"/>
                <w:color w:val="000000"/>
                <w:sz w:val="24"/>
                <w:szCs w:val="24"/>
                <w:u w:val="none"/>
              </w:rPr>
            </w:pPr>
          </w:p>
        </w:tc>
      </w:tr>
      <w:tr w14:paraId="1E74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8CA65">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E765C">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60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461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EBD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资金涉及相关受益群体、支持对象的满意度调查访谈情况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23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AAA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该项指标得分=经调研的群众实际满意度得分×100%×5。反映项目相关方在项目实施过程中的人民群众满意值和获得感。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6658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3A3E6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74D6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7130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54DD0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C146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9A85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4480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60AF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64BA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191D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BE2B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890567">
            <w:pPr>
              <w:jc w:val="center"/>
              <w:rPr>
                <w:rFonts w:hint="eastAsia" w:ascii="宋体" w:hAnsi="宋体" w:eastAsia="宋体" w:cs="宋体"/>
                <w:i w:val="0"/>
                <w:iCs w:val="0"/>
                <w:color w:val="000000"/>
                <w:sz w:val="24"/>
                <w:szCs w:val="24"/>
                <w:u w:val="none"/>
              </w:rPr>
            </w:pPr>
          </w:p>
        </w:tc>
      </w:tr>
      <w:tr w14:paraId="575A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8A166">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B710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设施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D32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在建</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10C9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28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F46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项目是否达到计划工程进度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68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E3D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工程进度≥计划工程进度，得15分；计划工程进度＞实际工程进度≥计划工程进度的85%，得10分；计划工程进度的85%＞实际工程进度≥计划工程进度的70%，得5分；实际工程进度＜计划工程进度的70%，不得分。按工程时间节点测算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F8C1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5DAAF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5C732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2665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276E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BC97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49E2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EB58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74D3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71C4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56BD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15B1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13484B">
            <w:pPr>
              <w:jc w:val="center"/>
              <w:rPr>
                <w:rFonts w:hint="eastAsia" w:ascii="宋体" w:hAnsi="宋体" w:eastAsia="宋体" w:cs="宋体"/>
                <w:i w:val="0"/>
                <w:iCs w:val="0"/>
                <w:color w:val="000000"/>
                <w:sz w:val="24"/>
                <w:szCs w:val="24"/>
                <w:u w:val="none"/>
              </w:rPr>
            </w:pPr>
          </w:p>
        </w:tc>
      </w:tr>
      <w:tr w14:paraId="3BEF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A16A5">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7AA3D">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94F9D">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05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资金拨付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3F9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D09F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项目是否达到预先确定的资金拨付进度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435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404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资金拨付进度≥预先确定的资金拨付进度，得15分；预先确定的资金拨付进度＞实际资金拨付进度≥预先确定的资金拨付进度的85%，得10分；预先确定的资金拨付进度的85%＞实际资金拨付进度≥预先确定的资金拨付进度的70%，得5分；实际资金拨付进度＜预先确定的资金拨付进度的70%，不得分。如有资金拨付计划、合同约定，按此测算。如无资金拨付计划，按工程进度测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1D3B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C7A2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A530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38EF1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06A09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12074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1A77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0656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1860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DD36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F23B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29C62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30EDF">
            <w:pPr>
              <w:jc w:val="center"/>
              <w:rPr>
                <w:rFonts w:hint="eastAsia" w:ascii="宋体" w:hAnsi="宋体" w:eastAsia="宋体" w:cs="宋体"/>
                <w:i w:val="0"/>
                <w:iCs w:val="0"/>
                <w:color w:val="000000"/>
                <w:sz w:val="24"/>
                <w:szCs w:val="24"/>
                <w:u w:val="none"/>
              </w:rPr>
            </w:pPr>
          </w:p>
        </w:tc>
      </w:tr>
      <w:tr w14:paraId="0AF3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D310A">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89AB1">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1D1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建成</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0A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B9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1918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项目验收是否及时合格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A1E2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404E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该项指标得分=（建成项目总量-验收不及时、验收不合格的建成项目数量）÷建成项目总量×100%×10。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0E2D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57FC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F713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DCE0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57F75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B96E0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4EC5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B27D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525A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56B5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E9BC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EEAE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B95DB">
            <w:pPr>
              <w:jc w:val="center"/>
              <w:rPr>
                <w:rFonts w:hint="eastAsia" w:ascii="宋体" w:hAnsi="宋体" w:eastAsia="宋体" w:cs="宋体"/>
                <w:i w:val="0"/>
                <w:iCs w:val="0"/>
                <w:color w:val="000000"/>
                <w:sz w:val="24"/>
                <w:szCs w:val="24"/>
                <w:u w:val="none"/>
              </w:rPr>
            </w:pPr>
          </w:p>
        </w:tc>
      </w:tr>
      <w:tr w14:paraId="760D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08607">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D354B">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CC0A4">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BE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功能实现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017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F21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项目经济社会功能是否实现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B3A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B367E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经济或社会功能未实现的建成项目数量）÷建成项目总量×100%×10。主要查看建成项目是否实现预期功能，是否功能配套整合协调、能够持续良好地运作，特别是公共设施类项目，是否能有效满足群众现实需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3361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84C8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EC4B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F7208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FEC7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6AE7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0A3B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AE1F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A89EB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2A8A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EFCE7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689F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92254">
            <w:pPr>
              <w:jc w:val="center"/>
              <w:rPr>
                <w:rFonts w:hint="eastAsia" w:ascii="宋体" w:hAnsi="宋体" w:eastAsia="宋体" w:cs="宋体"/>
                <w:i w:val="0"/>
                <w:iCs w:val="0"/>
                <w:color w:val="000000"/>
                <w:sz w:val="24"/>
                <w:szCs w:val="24"/>
                <w:u w:val="none"/>
              </w:rPr>
            </w:pPr>
          </w:p>
        </w:tc>
      </w:tr>
      <w:tr w14:paraId="3E544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C2270">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7CECE">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E0C9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54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后续管护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799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1AA6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项目后续维护是否实现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C182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41F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该项指标得分=（建成项目总量-后续维护未实现的建成项目数量）÷建成项目总量×100%×10。主要查看建成项目是否建立后续管理维护制度机制，是否实现有效维护。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790F5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E99C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02FE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CE9E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8EF7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389F5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1DE06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0670F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B4CD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AA13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D2CF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13046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43668C">
            <w:pPr>
              <w:jc w:val="center"/>
              <w:rPr>
                <w:rFonts w:hint="eastAsia" w:ascii="宋体" w:hAnsi="宋体" w:eastAsia="宋体" w:cs="宋体"/>
                <w:i w:val="0"/>
                <w:iCs w:val="0"/>
                <w:color w:val="000000"/>
                <w:sz w:val="24"/>
                <w:szCs w:val="24"/>
                <w:u w:val="none"/>
              </w:rPr>
            </w:pPr>
          </w:p>
        </w:tc>
      </w:tr>
      <w:tr w14:paraId="4146F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EEC7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AE3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行政运转</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521CA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用途合规性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17809A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BF355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是否按规定用途、适用范围进行本地区专项资金分配</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4CEF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588390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资金实际用途不符合专项资金管理要求的，发现一处扣2分。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5E186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631E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CAEE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95BE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110C5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564A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73927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E4646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A5247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DE07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D2C2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0245A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06989">
            <w:pPr>
              <w:jc w:val="center"/>
              <w:rPr>
                <w:rFonts w:hint="eastAsia" w:ascii="宋体" w:hAnsi="宋体" w:eastAsia="宋体" w:cs="宋体"/>
                <w:i w:val="0"/>
                <w:iCs w:val="0"/>
                <w:color w:val="000000"/>
                <w:sz w:val="24"/>
                <w:szCs w:val="24"/>
                <w:u w:val="none"/>
              </w:rPr>
            </w:pPr>
          </w:p>
        </w:tc>
      </w:tr>
      <w:tr w14:paraId="7A5C1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F7552">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75D3D">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6D21F0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程序合规性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48A9D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792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932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2ADA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87A30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6EECD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4FDC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91AA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56CA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50D0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98FC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C735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6C2E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9FD1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40D1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599E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59914">
            <w:pPr>
              <w:jc w:val="center"/>
              <w:rPr>
                <w:rFonts w:hint="eastAsia" w:ascii="宋体" w:hAnsi="宋体" w:eastAsia="宋体" w:cs="宋体"/>
                <w:i w:val="0"/>
                <w:iCs w:val="0"/>
                <w:color w:val="000000"/>
                <w:sz w:val="24"/>
                <w:szCs w:val="24"/>
                <w:u w:val="none"/>
              </w:rPr>
            </w:pPr>
          </w:p>
        </w:tc>
      </w:tr>
      <w:tr w14:paraId="114D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CA9F5">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F3FB5">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3BFAF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21F31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9CD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A6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6CD0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C1A2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D728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3940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C516B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D332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04B4B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EB4F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5061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93EC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C0D1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054D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8B73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D7365">
            <w:pPr>
              <w:jc w:val="center"/>
              <w:rPr>
                <w:rFonts w:hint="eastAsia" w:ascii="宋体" w:hAnsi="宋体" w:eastAsia="宋体" w:cs="宋体"/>
                <w:i w:val="0"/>
                <w:iCs w:val="0"/>
                <w:color w:val="000000"/>
                <w:sz w:val="24"/>
                <w:szCs w:val="24"/>
                <w:u w:val="none"/>
              </w:rPr>
            </w:pPr>
          </w:p>
        </w:tc>
      </w:tr>
      <w:tr w14:paraId="3ADA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gridSpan w:val="3"/>
            <w:vMerge w:val="restart"/>
            <w:tcBorders>
              <w:top w:val="single" w:color="000000" w:sz="4" w:space="0"/>
              <w:left w:val="single" w:color="000000" w:sz="4" w:space="0"/>
              <w:bottom w:val="nil"/>
              <w:right w:val="single" w:color="000000" w:sz="4" w:space="0"/>
            </w:tcBorders>
            <w:shd w:val="clear" w:color="auto" w:fill="auto"/>
            <w:vAlign w:val="center"/>
          </w:tcPr>
          <w:p w14:paraId="283BCE4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个性指标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042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FB5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11F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根据项目个性自行设定部分指标，反映该项指标执行完成情况。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319A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7D2D3">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3894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A207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CA72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2F83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0888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84ED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3B57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03DB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E026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12967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B8B4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D038D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18C5F">
            <w:pPr>
              <w:jc w:val="center"/>
              <w:rPr>
                <w:rFonts w:hint="eastAsia" w:ascii="宋体" w:hAnsi="宋体" w:eastAsia="宋体" w:cs="宋体"/>
                <w:i w:val="0"/>
                <w:iCs w:val="0"/>
                <w:color w:val="000000"/>
                <w:sz w:val="24"/>
                <w:szCs w:val="24"/>
                <w:u w:val="none"/>
              </w:rPr>
            </w:pPr>
          </w:p>
        </w:tc>
      </w:tr>
      <w:tr w14:paraId="54B1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14:paraId="38516725">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D5D4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B3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2CF32">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0628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F6A69A">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FE96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B432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32381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3812C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9FE7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D4AB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D7DC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F03D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042C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BAFB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C19C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A66C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523F4">
            <w:pPr>
              <w:jc w:val="center"/>
              <w:rPr>
                <w:rFonts w:hint="eastAsia" w:ascii="宋体" w:hAnsi="宋体" w:eastAsia="宋体" w:cs="宋体"/>
                <w:i w:val="0"/>
                <w:iCs w:val="0"/>
                <w:color w:val="000000"/>
                <w:sz w:val="24"/>
                <w:szCs w:val="24"/>
                <w:u w:val="none"/>
              </w:rPr>
            </w:pPr>
          </w:p>
        </w:tc>
      </w:tr>
      <w:tr w14:paraId="2D60C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9"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14:paraId="09FDA23F">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92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A0E0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56F1E">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4CF8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9A7234">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AE896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5D79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FCE65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E001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A8C06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DC3A5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2FF4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178D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8A012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D61A2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EE3A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3AC6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5A878">
            <w:pPr>
              <w:jc w:val="center"/>
              <w:rPr>
                <w:rFonts w:hint="eastAsia" w:ascii="宋体" w:hAnsi="宋体" w:eastAsia="宋体" w:cs="宋体"/>
                <w:i w:val="0"/>
                <w:iCs w:val="0"/>
                <w:color w:val="000000"/>
                <w:sz w:val="24"/>
                <w:szCs w:val="24"/>
                <w:u w:val="none"/>
              </w:rPr>
            </w:pPr>
          </w:p>
        </w:tc>
      </w:tr>
      <w:tr w14:paraId="0ED0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0" w:type="auto"/>
            <w:gridSpan w:val="3"/>
            <w:vMerge w:val="restart"/>
            <w:tcBorders>
              <w:top w:val="nil"/>
              <w:left w:val="single" w:color="000000" w:sz="4" w:space="0"/>
              <w:bottom w:val="single" w:color="000000" w:sz="4" w:space="0"/>
              <w:right w:val="single" w:color="000000" w:sz="4" w:space="0"/>
            </w:tcBorders>
            <w:shd w:val="clear" w:color="auto" w:fill="auto"/>
            <w:vAlign w:val="center"/>
          </w:tcPr>
          <w:p w14:paraId="7E3C97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扣分项</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ACE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51F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D60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预算绩效管理工作存在问题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4F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2A9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依据评价年度人大监督、巡视巡察、审计监督、财会监督等结果以及评价指标体系涉及各方面出现的问题，每有一个问题点扣1分，扣完为止。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B1605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2788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9763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1D7A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2B5F9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5AA5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283A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1686D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3757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FF4F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9DA1F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38682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BA092">
            <w:pPr>
              <w:jc w:val="center"/>
              <w:rPr>
                <w:rFonts w:hint="eastAsia" w:ascii="宋体" w:hAnsi="宋体" w:eastAsia="宋体" w:cs="宋体"/>
                <w:i w:val="0"/>
                <w:iCs w:val="0"/>
                <w:color w:val="000000"/>
                <w:sz w:val="24"/>
                <w:szCs w:val="24"/>
                <w:u w:val="none"/>
              </w:rPr>
            </w:pPr>
          </w:p>
        </w:tc>
      </w:tr>
      <w:tr w14:paraId="7D4B7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gridSpan w:val="3"/>
            <w:vMerge w:val="continue"/>
            <w:tcBorders>
              <w:top w:val="nil"/>
              <w:left w:val="single" w:color="000000" w:sz="4" w:space="0"/>
              <w:bottom w:val="single" w:color="000000" w:sz="4" w:space="0"/>
              <w:right w:val="single" w:color="000000" w:sz="4" w:space="0"/>
            </w:tcBorders>
            <w:shd w:val="clear" w:color="auto" w:fill="auto"/>
            <w:vAlign w:val="center"/>
          </w:tcPr>
          <w:p w14:paraId="16C136F4">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D3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部门配合度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25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4DE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被评价对象工作配合情况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3C1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845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评价工作开展过程中，被评价对象拖延推诿、提交资料不及时等拒不配合评价工作的，发现一处扣1分，扣完为止。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9658E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2FBC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0310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C2E4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073EC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BED8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8EEEB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DF60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E8F4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E9E75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55A31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42BC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45858">
            <w:pPr>
              <w:jc w:val="center"/>
              <w:rPr>
                <w:rFonts w:hint="eastAsia" w:ascii="宋体" w:hAnsi="宋体" w:eastAsia="宋体" w:cs="宋体"/>
                <w:i w:val="0"/>
                <w:iCs w:val="0"/>
                <w:color w:val="000000"/>
                <w:sz w:val="24"/>
                <w:szCs w:val="24"/>
                <w:u w:val="none"/>
              </w:rPr>
            </w:pPr>
          </w:p>
        </w:tc>
      </w:tr>
    </w:tbl>
    <w:p w14:paraId="44B3BD70">
      <w:pPr>
        <w:pStyle w:val="2"/>
        <w:rPr>
          <w:rFonts w:hint="eastAsia"/>
        </w:rPr>
      </w:pPr>
    </w:p>
    <w:p w14:paraId="3158ACA0">
      <w:pPr>
        <w:pStyle w:val="2"/>
        <w:rPr>
          <w:rFonts w:hint="eastAsia"/>
        </w:rPr>
      </w:pPr>
    </w:p>
    <w:p w14:paraId="0E24643A">
      <w:pPr>
        <w:spacing w:line="578" w:lineRule="exact"/>
        <w:ind w:firstLine="420" w:firstLineChars="200"/>
        <w:rPr>
          <w:rFonts w:hint="eastAsia" w:ascii="黑体" w:hAnsi="黑体" w:eastAsia="黑体" w:cs="黑体"/>
        </w:rPr>
      </w:pPr>
    </w:p>
    <w:p w14:paraId="2906F295">
      <w:pPr>
        <w:spacing w:line="578" w:lineRule="exact"/>
        <w:ind w:firstLine="420" w:firstLineChars="200"/>
        <w:rPr>
          <w:rFonts w:hint="eastAsia" w:ascii="黑体" w:hAnsi="黑体" w:eastAsia="黑体" w:cs="黑体"/>
        </w:rPr>
      </w:pPr>
    </w:p>
    <w:p w14:paraId="5A39D22B">
      <w:pPr>
        <w:spacing w:line="578" w:lineRule="exact"/>
        <w:ind w:firstLine="420" w:firstLineChars="200"/>
        <w:rPr>
          <w:rFonts w:hint="eastAsia" w:ascii="黑体" w:hAnsi="黑体" w:eastAsia="黑体" w:cs="黑体"/>
        </w:rPr>
      </w:pPr>
    </w:p>
    <w:p w14:paraId="4440B1EF">
      <w:pPr>
        <w:spacing w:line="578" w:lineRule="exact"/>
        <w:ind w:firstLine="420" w:firstLineChars="200"/>
        <w:rPr>
          <w:rFonts w:hint="eastAsia" w:ascii="黑体" w:hAnsi="黑体" w:eastAsia="黑体" w:cs="黑体"/>
        </w:rPr>
      </w:pPr>
    </w:p>
    <w:p w14:paraId="44CD4535">
      <w:pPr>
        <w:spacing w:line="578" w:lineRule="exact"/>
        <w:ind w:firstLine="420" w:firstLineChars="200"/>
        <w:rPr>
          <w:rFonts w:hint="eastAsia" w:ascii="黑体" w:hAnsi="黑体" w:eastAsia="黑体" w:cs="黑体"/>
        </w:rPr>
      </w:pPr>
    </w:p>
    <w:p w14:paraId="48472E30">
      <w:pPr>
        <w:spacing w:line="578" w:lineRule="exact"/>
        <w:ind w:firstLine="420" w:firstLineChars="200"/>
        <w:rPr>
          <w:rFonts w:hint="eastAsia" w:ascii="黑体" w:hAnsi="黑体" w:eastAsia="黑体" w:cs="黑体"/>
        </w:rPr>
      </w:pPr>
    </w:p>
    <w:p w14:paraId="004D1681">
      <w:pPr>
        <w:spacing w:line="578" w:lineRule="exact"/>
        <w:ind w:firstLine="420" w:firstLineChars="200"/>
        <w:rPr>
          <w:rFonts w:hint="eastAsia" w:ascii="黑体" w:hAnsi="黑体" w:eastAsia="黑体" w:cs="黑体"/>
        </w:rPr>
      </w:pPr>
    </w:p>
    <w:p w14:paraId="2E3067D3">
      <w:pPr>
        <w:spacing w:line="578" w:lineRule="exact"/>
        <w:ind w:firstLine="420" w:firstLineChars="200"/>
        <w:rPr>
          <w:rFonts w:hint="eastAsia" w:ascii="黑体" w:hAnsi="黑体" w:eastAsia="黑体" w:cs="黑体"/>
        </w:rPr>
      </w:pPr>
    </w:p>
    <w:p w14:paraId="7643F12B">
      <w:pPr>
        <w:spacing w:line="578" w:lineRule="exact"/>
        <w:ind w:firstLine="420" w:firstLineChars="200"/>
        <w:rPr>
          <w:rFonts w:hint="eastAsia" w:ascii="黑体" w:hAnsi="黑体" w:eastAsia="黑体" w:cs="黑体"/>
        </w:rPr>
      </w:pPr>
    </w:p>
    <w:p w14:paraId="481D41D4">
      <w:pPr>
        <w:spacing w:line="578" w:lineRule="exact"/>
        <w:ind w:firstLine="420" w:firstLineChars="200"/>
        <w:rPr>
          <w:rFonts w:hint="eastAsia" w:ascii="黑体" w:hAnsi="黑体" w:eastAsia="黑体" w:cs="黑体"/>
        </w:rPr>
      </w:pPr>
    </w:p>
    <w:p w14:paraId="23B166BE">
      <w:pPr>
        <w:spacing w:line="578" w:lineRule="exact"/>
        <w:ind w:firstLine="420" w:firstLineChars="200"/>
        <w:rPr>
          <w:rFonts w:hint="eastAsia" w:ascii="黑体" w:hAnsi="黑体" w:eastAsia="黑体" w:cs="黑体"/>
        </w:rPr>
      </w:pPr>
    </w:p>
    <w:p w14:paraId="676FEA7A">
      <w:pPr>
        <w:spacing w:line="578" w:lineRule="exact"/>
        <w:ind w:firstLine="420" w:firstLineChars="200"/>
        <w:rPr>
          <w:rFonts w:hint="eastAsia" w:ascii="黑体" w:hAnsi="黑体" w:eastAsia="黑体" w:cs="黑体"/>
        </w:rPr>
        <w:sectPr>
          <w:footerReference r:id="rId7" w:type="default"/>
          <w:pgSz w:w="16838" w:h="11906" w:orient="landscape"/>
          <w:pgMar w:top="1800" w:right="1440" w:bottom="1800" w:left="1440" w:header="851" w:footer="992" w:gutter="0"/>
          <w:pgNumType w:fmt="decimal" w:start="19"/>
          <w:cols w:space="425" w:num="1"/>
          <w:docGrid w:type="lines" w:linePitch="312" w:charSpace="0"/>
        </w:sectPr>
      </w:pPr>
    </w:p>
    <w:p w14:paraId="2B6D0679">
      <w:pPr>
        <w:pStyle w:val="2"/>
        <w:rPr>
          <w:rFonts w:hint="eastAsia"/>
        </w:rPr>
      </w:pPr>
    </w:p>
    <w:p w14:paraId="5A2A5B6A">
      <w:pPr>
        <w:spacing w:line="578" w:lineRule="exact"/>
        <w:ind w:firstLine="420" w:firstLineChars="200"/>
      </w:pPr>
      <w:r>
        <w:rPr>
          <w:rFonts w:hint="eastAsia" w:ascii="黑体" w:hAnsi="黑体" w:eastAsia="黑体" w:cs="黑体"/>
        </w:rPr>
        <w:t>附表</w:t>
      </w:r>
    </w:p>
    <w:tbl>
      <w:tblPr>
        <w:tblStyle w:val="13"/>
        <w:tblW w:w="10560" w:type="dxa"/>
        <w:jc w:val="center"/>
        <w:tblLayout w:type="fixed"/>
        <w:tblCellMar>
          <w:top w:w="15" w:type="dxa"/>
          <w:left w:w="15" w:type="dxa"/>
          <w:bottom w:w="15" w:type="dxa"/>
          <w:right w:w="15" w:type="dxa"/>
        </w:tblCellMar>
      </w:tblPr>
      <w:tblGrid>
        <w:gridCol w:w="1308"/>
        <w:gridCol w:w="1347"/>
        <w:gridCol w:w="1273"/>
        <w:gridCol w:w="1851"/>
        <w:gridCol w:w="1035"/>
        <w:gridCol w:w="1095"/>
        <w:gridCol w:w="915"/>
        <w:gridCol w:w="622"/>
        <w:gridCol w:w="1114"/>
      </w:tblGrid>
      <w:tr w14:paraId="6555022B">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2C8426A4">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5005BF14">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475B12C7">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4</w:t>
            </w:r>
            <w:r>
              <w:rPr>
                <w:rFonts w:eastAsia="宋体"/>
                <w:color w:val="000000"/>
                <w:kern w:val="0"/>
                <w:sz w:val="28"/>
                <w:szCs w:val="28"/>
                <w:lang w:bidi="ar"/>
              </w:rPr>
              <w:t>年度）</w:t>
            </w:r>
          </w:p>
        </w:tc>
      </w:tr>
      <w:tr w14:paraId="3D6FCED0">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0AEC7917">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0AF844B1">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C20DD">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3D7E4E">
            <w:pPr>
              <w:widowControl/>
              <w:spacing w:line="300" w:lineRule="exact"/>
              <w:jc w:val="center"/>
              <w:textAlignment w:val="center"/>
              <w:rPr>
                <w:rFonts w:eastAsia="宋体"/>
                <w:color w:val="000000"/>
                <w:sz w:val="24"/>
              </w:rPr>
            </w:pPr>
            <w:r>
              <w:rPr>
                <w:rFonts w:hint="eastAsia" w:eastAsia="宋体"/>
                <w:color w:val="000000"/>
                <w:kern w:val="0"/>
                <w:sz w:val="24"/>
                <w:lang w:bidi="ar"/>
              </w:rPr>
              <w:t>茂县行政审批和政务服务管理局</w:t>
            </w:r>
          </w:p>
        </w:tc>
      </w:tr>
      <w:tr w14:paraId="18B522CB">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29810">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38143">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51EC0">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09B0A8">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6934C57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26371">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A5981">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259.05</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2EA7A">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259.05</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820024">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0.00</w:t>
            </w:r>
          </w:p>
        </w:tc>
      </w:tr>
      <w:tr w14:paraId="7D62172D">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ABA4">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10AB7C57">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65386D">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1.履行政治领导责任，贯彻落实党的路线方针政策</w:t>
            </w:r>
          </w:p>
          <w:p w14:paraId="48E84B91">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2履行政治领导责任,学习、宣传、贯彻执行党的理论和路线方针政策，贯彻落实中央、省委、州委、县委的决策部署，发挥好把方向、管大局、保落实的重要作用</w:t>
            </w:r>
          </w:p>
          <w:p w14:paraId="7837D509">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3.行政审批、政务服务、公共资源交易管理:贯彻落实党中央关于行政审批、政务服务、公共资源管理等工作的方针政策和省委、州委、县委的决策部署，在履职责任过程中坚持和加强党对深化行政审批制度改革、“放管服”改革、行政审批、政务服务、公共资源交易管理等工作的集中统一领导</w:t>
            </w:r>
          </w:p>
          <w:p w14:paraId="271F23D6">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4.行政审批制度改革和“放管服”改革:负责深化行政审批制度改革和“放管服”改革:指导全县行政审批和政务服务工作、建立和完善相应工作机制，推进标准化建设；承办县直部门划入的行政审批事项，并将结果通报给县直部门；负责窗口人员管理：负责投诉举报的承办、转办和督办；负责各乡镇便民服务中心相关工作的指导和监督。</w:t>
            </w:r>
          </w:p>
          <w:p w14:paraId="096E49C1">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5.公共资源交易:负责全县公共资源交易管理工作</w:t>
            </w:r>
          </w:p>
          <w:p w14:paraId="028323E2">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6.对各镇便民服务中心相关工作的运行进行业务指导和监督，建立和完善高效的政务服务体系。</w:t>
            </w:r>
          </w:p>
          <w:p w14:paraId="7DFD5337">
            <w:pPr>
              <w:widowControl/>
              <w:spacing w:line="300" w:lineRule="exact"/>
              <w:jc w:val="left"/>
              <w:textAlignment w:val="center"/>
              <w:rPr>
                <w:rFonts w:eastAsia="宋体"/>
                <w:color w:val="000000"/>
                <w:sz w:val="24"/>
              </w:rPr>
            </w:pPr>
            <w:r>
              <w:rPr>
                <w:rFonts w:hint="eastAsia" w:eastAsia="宋体"/>
                <w:color w:val="000000"/>
                <w:kern w:val="0"/>
                <w:sz w:val="24"/>
                <w:lang w:bidi="ar"/>
              </w:rPr>
              <w:t>7.驻村工作队员乡镇工作补贴及临时岗位补贴:驻村工作队乡镇工作补贴雅都镇500元每月，一年6000元。临岗补贴400元每月，一年4800元。</w:t>
            </w:r>
          </w:p>
        </w:tc>
      </w:tr>
      <w:tr w14:paraId="01223E00">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8B4B4">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161EEC87">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35424">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F14F4A">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575339E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18875">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2AF29">
            <w:pPr>
              <w:widowControl/>
              <w:spacing w:line="300" w:lineRule="exact"/>
              <w:jc w:val="left"/>
              <w:textAlignment w:val="center"/>
              <w:rPr>
                <w:rFonts w:eastAsia="宋体"/>
                <w:color w:val="000000"/>
                <w:sz w:val="24"/>
              </w:rPr>
            </w:pPr>
            <w:r>
              <w:rPr>
                <w:rFonts w:hint="eastAsia" w:eastAsia="宋体"/>
                <w:color w:val="000000"/>
                <w:kern w:val="0"/>
                <w:sz w:val="24"/>
                <w:lang w:bidi="ar"/>
              </w:rPr>
              <w:t>工资福利支出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7ACE5E">
            <w:pPr>
              <w:widowControl/>
              <w:spacing w:line="300" w:lineRule="exact"/>
              <w:jc w:val="left"/>
              <w:textAlignment w:val="center"/>
              <w:rPr>
                <w:rFonts w:eastAsia="宋体"/>
                <w:color w:val="000000"/>
                <w:sz w:val="24"/>
              </w:rPr>
            </w:pPr>
            <w:r>
              <w:rPr>
                <w:rFonts w:hint="eastAsia" w:eastAsia="宋体"/>
                <w:color w:val="000000"/>
                <w:kern w:val="0"/>
                <w:sz w:val="24"/>
                <w:lang w:bidi="ar"/>
              </w:rPr>
              <w:t>职工基本工资、津贴补贴、奖金、绩效工资、机关事业养老保险，职业年金等</w:t>
            </w:r>
          </w:p>
        </w:tc>
      </w:tr>
      <w:tr w14:paraId="403DB97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446A0">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0D15F">
            <w:pPr>
              <w:widowControl/>
              <w:spacing w:line="300" w:lineRule="exact"/>
              <w:jc w:val="left"/>
              <w:rPr>
                <w:rFonts w:eastAsia="宋体"/>
                <w:color w:val="000000"/>
                <w:sz w:val="24"/>
              </w:rPr>
            </w:pPr>
            <w:r>
              <w:rPr>
                <w:rFonts w:hint="eastAsia" w:eastAsia="宋体"/>
                <w:color w:val="000000"/>
                <w:sz w:val="24"/>
              </w:rPr>
              <w:t>商品和服务支出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49408F">
            <w:pPr>
              <w:widowControl/>
              <w:spacing w:line="300" w:lineRule="exact"/>
              <w:jc w:val="left"/>
              <w:rPr>
                <w:rFonts w:eastAsia="宋体"/>
                <w:color w:val="000000"/>
                <w:sz w:val="24"/>
              </w:rPr>
            </w:pPr>
            <w:r>
              <w:rPr>
                <w:rFonts w:hint="eastAsia" w:eastAsia="宋体"/>
                <w:color w:val="000000"/>
                <w:sz w:val="24"/>
              </w:rPr>
              <w:t>单位日常运转经费：办公费、差旅费、邮电费、维修（护）费、培训费、公务接待费等</w:t>
            </w:r>
          </w:p>
        </w:tc>
      </w:tr>
      <w:tr w14:paraId="0117401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362A9">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153EA">
            <w:pPr>
              <w:widowControl/>
              <w:spacing w:line="300" w:lineRule="exact"/>
              <w:jc w:val="left"/>
              <w:rPr>
                <w:rFonts w:eastAsia="宋体"/>
                <w:color w:val="000000"/>
                <w:sz w:val="24"/>
              </w:rPr>
            </w:pPr>
            <w:r>
              <w:rPr>
                <w:rFonts w:hint="eastAsia" w:eastAsia="宋体"/>
                <w:color w:val="000000"/>
                <w:sz w:val="24"/>
              </w:rPr>
              <w:t>政务大厅日常运行经费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282370">
            <w:pPr>
              <w:widowControl/>
              <w:spacing w:line="300" w:lineRule="exact"/>
              <w:jc w:val="left"/>
              <w:rPr>
                <w:rFonts w:eastAsia="宋体"/>
                <w:color w:val="000000"/>
                <w:sz w:val="24"/>
              </w:rPr>
            </w:pPr>
            <w:r>
              <w:rPr>
                <w:rFonts w:hint="eastAsia" w:eastAsia="宋体"/>
                <w:color w:val="000000"/>
                <w:sz w:val="24"/>
              </w:rPr>
              <w:t>大厅日常设备维护费、办公用品、耗材</w:t>
            </w:r>
          </w:p>
        </w:tc>
      </w:tr>
      <w:tr w14:paraId="21FAD57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4C856">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1AAA8">
            <w:pPr>
              <w:widowControl/>
              <w:spacing w:line="300" w:lineRule="exact"/>
              <w:jc w:val="left"/>
              <w:rPr>
                <w:rFonts w:eastAsia="宋体"/>
                <w:color w:val="000000"/>
                <w:sz w:val="24"/>
              </w:rPr>
            </w:pPr>
            <w:r>
              <w:rPr>
                <w:rFonts w:hint="eastAsia" w:eastAsia="宋体"/>
                <w:color w:val="000000"/>
                <w:sz w:val="24"/>
              </w:rPr>
              <w:t>政务辅助人员工资</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EEFDAC">
            <w:pPr>
              <w:widowControl/>
              <w:spacing w:line="300" w:lineRule="exact"/>
              <w:jc w:val="left"/>
              <w:rPr>
                <w:rFonts w:eastAsia="宋体"/>
                <w:color w:val="000000"/>
                <w:sz w:val="24"/>
              </w:rPr>
            </w:pPr>
            <w:r>
              <w:rPr>
                <w:rFonts w:hint="eastAsia" w:eastAsia="宋体"/>
                <w:color w:val="000000"/>
                <w:sz w:val="24"/>
              </w:rPr>
              <w:t>为提高行政审批效率和政务服务水平支付劳务费</w:t>
            </w:r>
          </w:p>
        </w:tc>
      </w:tr>
      <w:tr w14:paraId="4A6537EA">
        <w:tblPrEx>
          <w:tblCellMar>
            <w:top w:w="15" w:type="dxa"/>
            <w:left w:w="15" w:type="dxa"/>
            <w:bottom w:w="15" w:type="dxa"/>
            <w:right w:w="15" w:type="dxa"/>
          </w:tblCellMar>
        </w:tblPrEx>
        <w:trPr>
          <w:trHeight w:val="23"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C4DC89">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0EBAD792">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5807A733">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2B75E4F6">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09967F93">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544E1B26">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588403A8">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50C4E5BC">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A2DE">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622" w:type="dxa"/>
            <w:tcBorders>
              <w:top w:val="single" w:color="000000" w:sz="4" w:space="0"/>
              <w:left w:val="single" w:color="000000" w:sz="4" w:space="0"/>
              <w:bottom w:val="single" w:color="000000" w:sz="4" w:space="0"/>
            </w:tcBorders>
            <w:shd w:val="clear" w:color="auto" w:fill="auto"/>
            <w:vAlign w:val="center"/>
          </w:tcPr>
          <w:p w14:paraId="691D9D72">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E51A">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2E60BD24">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790BE76E">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3D4DD4">
            <w:pPr>
              <w:widowControl/>
              <w:spacing w:line="300" w:lineRule="exact"/>
              <w:jc w:val="center"/>
              <w:rPr>
                <w:rFonts w:eastAsia="宋体"/>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4BC15F">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产出指标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6AE6592C">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数量指标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5F3906B6">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完成全县行政审批、公共资源交易工作、政务服务工作</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2D178E56">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463FB9BF">
            <w:pPr>
              <w:keepNext w:val="0"/>
              <w:keepLines w:val="0"/>
              <w:widowControl/>
              <w:suppressLineNumbers w:val="0"/>
              <w:jc w:val="left"/>
              <w:textAlignment w:val="center"/>
              <w:rPr>
                <w:rFonts w:hint="default" w:eastAsia="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259.05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6285">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万</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F1C5">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14:paraId="674A077B">
            <w:pPr>
              <w:widowControl/>
              <w:spacing w:line="300" w:lineRule="exact"/>
              <w:jc w:val="left"/>
              <w:textAlignment w:val="center"/>
              <w:rPr>
                <w:rFonts w:hint="default" w:eastAsia="宋体"/>
                <w:color w:val="000000"/>
                <w:sz w:val="18"/>
                <w:szCs w:val="18"/>
                <w:lang w:val="en-US" w:eastAsia="zh-CN"/>
              </w:rPr>
            </w:pPr>
            <w:r>
              <w:rPr>
                <w:rFonts w:hint="eastAsia" w:eastAsia="宋体"/>
                <w:color w:val="000000"/>
                <w:sz w:val="24"/>
                <w:lang w:val="en-US" w:eastAsia="zh-CN"/>
              </w:rPr>
              <w:t>100%</w:t>
            </w:r>
          </w:p>
        </w:tc>
      </w:tr>
      <w:tr w14:paraId="6F94F27A">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EC13CF">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4662A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1B5AF25F">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质量指标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0A298E4E">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进一步优化政务服务，</w:t>
            </w:r>
            <w:r>
              <w:rPr>
                <w:rFonts w:hint="eastAsia" w:ascii="仿宋" w:hAnsi="仿宋" w:eastAsia="仿宋" w:cs="仿宋_GB2312"/>
                <w:color w:val="auto"/>
                <w:sz w:val="18"/>
                <w:szCs w:val="18"/>
                <w:lang w:eastAsia="zh-CN"/>
              </w:rPr>
              <w:t>提升政务服务效能，</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0186BFBB">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411F5090">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7330">
            <w:pPr>
              <w:widowControl/>
              <w:spacing w:line="300" w:lineRule="exact"/>
              <w:jc w:val="left"/>
              <w:rPr>
                <w:rFonts w:eastAsia="宋体"/>
                <w:color w:val="000000"/>
                <w:sz w:val="18"/>
                <w:szCs w:val="18"/>
              </w:rPr>
            </w:pPr>
            <w:r>
              <w:rPr>
                <w:rFonts w:hint="eastAsia" w:eastAsia="宋体"/>
                <w:color w:val="000000"/>
                <w:sz w:val="18"/>
                <w:szCs w:val="18"/>
                <w:lang w:val="en-US" w:eastAsia="zh-CN"/>
              </w:rPr>
              <w:t>%</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208E">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3CE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14:paraId="0A3DE446">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2ACC5F">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4AEC2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2C481B74">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时效指标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001B11B7">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rPr>
              <w:t>按时完成目标任务</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19D8C738">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4C2E8B42">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8E81">
            <w:pPr>
              <w:widowControl/>
              <w:spacing w:line="300" w:lineRule="exact"/>
              <w:jc w:val="left"/>
              <w:rPr>
                <w:rFonts w:eastAsia="宋体"/>
                <w:color w:val="000000"/>
                <w:sz w:val="18"/>
                <w:szCs w:val="18"/>
              </w:rPr>
            </w:pPr>
            <w:r>
              <w:rPr>
                <w:rFonts w:hint="eastAsia" w:eastAsia="宋体"/>
                <w:color w:val="000000"/>
                <w:sz w:val="18"/>
                <w:szCs w:val="18"/>
                <w:lang w:eastAsia="zh-CN"/>
              </w:rPr>
              <w:t>年</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D7B6">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CAA6">
            <w:pPr>
              <w:widowControl/>
              <w:spacing w:line="300" w:lineRule="exact"/>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14:paraId="07555B8B">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B7F8545">
            <w:pPr>
              <w:widowControl/>
              <w:spacing w:line="300" w:lineRule="exact"/>
              <w:jc w:val="center"/>
              <w:rPr>
                <w:rFonts w:eastAsia="宋体"/>
                <w:color w:val="000000"/>
                <w:sz w:val="24"/>
              </w:rPr>
            </w:pPr>
          </w:p>
        </w:tc>
        <w:tc>
          <w:tcPr>
            <w:tcW w:w="1347" w:type="dxa"/>
            <w:vMerge w:val="restart"/>
            <w:tcBorders>
              <w:top w:val="single" w:color="auto" w:sz="4" w:space="0"/>
              <w:left w:val="single" w:color="000000" w:sz="4" w:space="0"/>
              <w:right w:val="single" w:color="000000" w:sz="4" w:space="0"/>
            </w:tcBorders>
            <w:shd w:val="clear" w:color="auto" w:fill="auto"/>
            <w:vAlign w:val="center"/>
          </w:tcPr>
          <w:p w14:paraId="081505D2">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效益指标</w:t>
            </w: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14:paraId="3B143047">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社会效益</w:t>
            </w:r>
          </w:p>
          <w:p w14:paraId="7E479B74">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指标</w:t>
            </w:r>
          </w:p>
        </w:tc>
        <w:tc>
          <w:tcPr>
            <w:tcW w:w="18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704358F">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仿宋" w:hAnsi="仿宋" w:eastAsia="仿宋" w:cs="仿宋_GB2312"/>
                <w:color w:val="auto"/>
                <w:sz w:val="18"/>
                <w:szCs w:val="18"/>
                <w:lang w:eastAsia="zh-CN"/>
              </w:rPr>
              <w:t>有效的推进了政务服务工作，方便群众办事</w:t>
            </w:r>
          </w:p>
        </w:tc>
        <w:tc>
          <w:tcPr>
            <w:tcW w:w="1035" w:type="dxa"/>
            <w:tcBorders>
              <w:top w:val="single" w:color="auto" w:sz="4" w:space="0"/>
              <w:left w:val="single" w:color="000000" w:sz="4" w:space="0"/>
              <w:bottom w:val="single" w:color="000000" w:sz="4" w:space="0"/>
              <w:right w:val="single" w:color="000000" w:sz="4" w:space="0"/>
            </w:tcBorders>
            <w:shd w:val="clear" w:color="auto" w:fill="auto"/>
            <w:vAlign w:val="center"/>
          </w:tcPr>
          <w:p w14:paraId="73BC09A9">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0654">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B21B">
            <w:pPr>
              <w:widowControl/>
              <w:spacing w:line="300" w:lineRule="exact"/>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B70D">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DB6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14:paraId="58621AD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0D0B381">
            <w:pPr>
              <w:widowControl/>
              <w:spacing w:line="300" w:lineRule="exact"/>
              <w:jc w:val="center"/>
              <w:rPr>
                <w:rFonts w:eastAsia="宋体"/>
                <w:color w:val="000000"/>
                <w:sz w:val="24"/>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33E517BD">
            <w:pPr>
              <w:keepNext w:val="0"/>
              <w:keepLines w:val="0"/>
              <w:widowControl/>
              <w:suppressLineNumbers w:val="0"/>
              <w:jc w:val="left"/>
              <w:textAlignment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D287">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经济效益指标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BE5A">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对行政许可事项进行流程再造、环节优化、时限压缩</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49DF">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EE71">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12A2">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8507">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CBD9">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r w14:paraId="2195C521">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22E93C6">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9A5D">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580E">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服务对象满意度指标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BCB9">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推进”三化“建设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E864">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6C0E">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B74E">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A99A">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6965">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bl>
    <w:p w14:paraId="1412FE3C">
      <w:pPr>
        <w:pStyle w:val="12"/>
        <w:ind w:left="0" w:leftChars="0" w:firstLine="0" w:firstLineChars="0"/>
        <w:rPr>
          <w:rFonts w:ascii="Times New Roman" w:eastAsia="黑体"/>
          <w:sz w:val="24"/>
          <w:szCs w:val="24"/>
        </w:rPr>
      </w:pPr>
    </w:p>
    <w:p w14:paraId="1E6F0D8F">
      <w:pPr>
        <w:pStyle w:val="12"/>
        <w:keepNext w:val="0"/>
        <w:keepLines w:val="0"/>
        <w:pageBreakBefore w:val="0"/>
        <w:widowControl w:val="0"/>
        <w:suppressLineNumbers w:val="0"/>
        <w:kinsoku/>
        <w:wordWrap/>
        <w:overflowPunct/>
        <w:topLinePunct w:val="0"/>
        <w:autoSpaceDE w:val="0"/>
        <w:autoSpaceDN/>
        <w:bidi w:val="0"/>
        <w:snapToGrid/>
        <w:spacing w:before="0" w:beforeAutospacing="0" w:line="560" w:lineRule="exact"/>
        <w:ind w:left="420" w:leftChars="200" w:right="0" w:firstLine="640" w:firstLineChars="200"/>
        <w:textAlignment w:val="auto"/>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2D68B9D">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51B48114">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30E57EC7">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40F1EE0D">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CCABCF5">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54DF0B0">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935015A">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4BA59DC">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F39DEA1">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4A6FCF6">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3A424B10">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50F8D364">
      <w:pPr>
        <w:keepNext w:val="0"/>
        <w:keepLines w:val="0"/>
        <w:widowControl w:val="0"/>
        <w:suppressLineNumbers w:val="0"/>
        <w:suppressAutoHyphens/>
        <w:spacing w:before="0" w:beforeAutospacing="0" w:after="0" w:afterAutospacing="0"/>
        <w:ind w:left="0" w:right="0"/>
        <w:jc w:val="both"/>
        <w:rPr>
          <w:rFonts w:hint="eastAsia" w:ascii="黑体" w:hAnsi="宋体" w:eastAsia="黑体" w:cs="Times New Roman"/>
          <w:kern w:val="2"/>
          <w:sz w:val="44"/>
          <w:szCs w:val="44"/>
        </w:rPr>
      </w:pPr>
      <w:r>
        <w:rPr>
          <w:rFonts w:hint="eastAsia" w:ascii="黑体" w:hAnsi="宋体" w:eastAsia="黑体" w:cs="Times New Roman"/>
          <w:kern w:val="2"/>
          <w:sz w:val="44"/>
          <w:szCs w:val="44"/>
          <w:lang w:val="en-US" w:eastAsia="zh-CN" w:bidi="ar"/>
        </w:rPr>
        <w:br w:type="page"/>
      </w:r>
    </w:p>
    <w:p w14:paraId="4803C11D">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五部分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附表</w:t>
      </w:r>
    </w:p>
    <w:p w14:paraId="54E50049">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9"/>
          <w:rFonts w:hint="eastAsia" w:ascii="仿宋" w:hAnsi="仿宋" w:eastAsia="仿宋" w:cs="仿宋"/>
          <w:b w:val="0"/>
          <w:bCs w:val="0"/>
          <w:sz w:val="32"/>
          <w:szCs w:val="32"/>
        </w:rPr>
        <w:t>入支出决算总表</w:t>
      </w:r>
    </w:p>
    <w:p w14:paraId="2B629E6D">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9"/>
          <w:rFonts w:hint="eastAsia" w:ascii="仿宋" w:hAnsi="仿宋" w:eastAsia="仿宋" w:cs="仿宋"/>
          <w:b w:val="0"/>
          <w:bCs w:val="0"/>
          <w:sz w:val="32"/>
          <w:szCs w:val="32"/>
        </w:rPr>
        <w:t>入决算表</w:t>
      </w:r>
    </w:p>
    <w:p w14:paraId="3EC774A9">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9"/>
          <w:rFonts w:hint="eastAsia" w:ascii="仿宋" w:hAnsi="仿宋" w:eastAsia="仿宋" w:cs="仿宋"/>
          <w:b w:val="0"/>
          <w:bCs w:val="0"/>
          <w:sz w:val="32"/>
          <w:szCs w:val="32"/>
        </w:rPr>
        <w:t>出决算表</w:t>
      </w:r>
    </w:p>
    <w:p w14:paraId="32FFF358">
      <w:pPr>
        <w:pStyle w:val="4"/>
        <w:widowControl/>
        <w:rPr>
          <w:rFonts w:hint="eastAsia" w:ascii="仿宋" w:hAnsi="仿宋" w:eastAsia="仿宋" w:cs="Times New Roman"/>
          <w:b w:val="0"/>
          <w:bCs/>
          <w:kern w:val="2"/>
          <w:sz w:val="32"/>
          <w:szCs w:val="32"/>
        </w:rPr>
      </w:pPr>
      <w:r>
        <w:rPr>
          <w:rStyle w:val="19"/>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政拨款收入支出决算总表</w:t>
      </w:r>
    </w:p>
    <w:p w14:paraId="21E0F1D6">
      <w:pPr>
        <w:pStyle w:val="4"/>
        <w:widowControl/>
        <w:rPr>
          <w:rFonts w:hint="eastAsia" w:ascii="仿宋" w:hAnsi="仿宋" w:eastAsia="仿宋" w:cs="Times New Roman"/>
          <w:b w:val="0"/>
          <w:bCs w:val="0"/>
          <w:sz w:val="32"/>
          <w:szCs w:val="32"/>
        </w:rPr>
      </w:pPr>
      <w:r>
        <w:rPr>
          <w:rStyle w:val="19"/>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政拨款支出决算明细表</w:t>
      </w:r>
    </w:p>
    <w:p w14:paraId="5CF05C0F">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般公共预算财政拨款支出决算表</w:t>
      </w:r>
    </w:p>
    <w:p w14:paraId="5FEA2F4E">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般公共预算财政拨款支出决算明细表</w:t>
      </w:r>
    </w:p>
    <w:p w14:paraId="2B91CD97">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般公共预算财政拨款基本支出决算表</w:t>
      </w:r>
    </w:p>
    <w:p w14:paraId="2E3781BB">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般公共预算财政拨款项目支出决算表</w:t>
      </w:r>
    </w:p>
    <w:p w14:paraId="269AF427">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9"/>
          <w:rFonts w:hint="eastAsia" w:ascii="仿宋" w:hAnsi="仿宋" w:eastAsia="仿宋" w:cs="仿宋"/>
          <w:b w:val="0"/>
          <w:bCs w:val="0"/>
          <w:sz w:val="32"/>
          <w:szCs w:val="32"/>
        </w:rPr>
        <w:t>府性基金预算财政拨款收入支出决算表</w:t>
      </w:r>
    </w:p>
    <w:p w14:paraId="1D0E1B6E">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9"/>
          <w:rFonts w:hint="eastAsia" w:ascii="仿宋" w:hAnsi="仿宋" w:eastAsia="仿宋" w:cs="仿宋"/>
          <w:b w:val="0"/>
          <w:bCs w:val="0"/>
          <w:sz w:val="32"/>
          <w:szCs w:val="32"/>
        </w:rPr>
        <w:t>有资本经营预算财政拨款收入支出决算表</w:t>
      </w:r>
    </w:p>
    <w:p w14:paraId="3EFC5180">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十二、国有资本经营预算财政拨款支出决算表</w:t>
      </w:r>
    </w:p>
    <w:p w14:paraId="3914A5A9">
      <w:pPr>
        <w:pStyle w:val="4"/>
        <w:widowControl/>
        <w:rPr>
          <w:rFonts w:hint="eastAsia" w:ascii="Cambria" w:hAnsi="Cambria" w:eastAsia="仿宋" w:cs="Times New Roman"/>
          <w:b/>
          <w:bCs/>
          <w:kern w:val="2"/>
          <w:sz w:val="32"/>
          <w:szCs w:val="32"/>
        </w:rPr>
      </w:pPr>
      <w:r>
        <w:rPr>
          <w:rStyle w:val="19"/>
          <w:rFonts w:hint="eastAsia" w:ascii="仿宋" w:hAnsi="仿宋" w:eastAsia="仿宋" w:cs="仿宋"/>
          <w:b w:val="0"/>
          <w:bCs w:val="0"/>
          <w:sz w:val="32"/>
          <w:szCs w:val="32"/>
        </w:rPr>
        <w:t>十三、财政拨款“三公”经费支出决算表</w:t>
      </w:r>
    </w:p>
    <w:p w14:paraId="5F63D813">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14:paraId="5C32B5A4"/>
    <w:sectPr>
      <w:footerReference r:id="rId8" w:type="default"/>
      <w:pgSz w:w="11906" w:h="16838"/>
      <w:pgMar w:top="1440" w:right="1800" w:bottom="1440" w:left="1800" w:header="851" w:footer="992" w:gutter="0"/>
      <w:pgNumType w:fmt="decimal" w:start="3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东文宋体">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D660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9093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AA19">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1514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491514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4438D">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4FF4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D4FF4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110C">
    <w:pPr>
      <w:pStyle w:val="7"/>
    </w:pPr>
  </w:p>
  <w:p w14:paraId="03AAD292">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B0E8D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5B0E8D0">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059C6">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4E795579"/>
    <w:multiLevelType w:val="singleLevel"/>
    <w:tmpl w:val="4E79557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3B35AE9"/>
    <w:rsid w:val="04665056"/>
    <w:rsid w:val="084C512A"/>
    <w:rsid w:val="09AE1F88"/>
    <w:rsid w:val="0A977596"/>
    <w:rsid w:val="0A9B3AB1"/>
    <w:rsid w:val="0DDD0AFB"/>
    <w:rsid w:val="10FB1AA8"/>
    <w:rsid w:val="11F2120D"/>
    <w:rsid w:val="147847D5"/>
    <w:rsid w:val="15BB7C6B"/>
    <w:rsid w:val="15E24C92"/>
    <w:rsid w:val="165766B9"/>
    <w:rsid w:val="180C1485"/>
    <w:rsid w:val="18465320"/>
    <w:rsid w:val="1A876E66"/>
    <w:rsid w:val="1DCC1C3D"/>
    <w:rsid w:val="1E4F0BD2"/>
    <w:rsid w:val="1F736BA3"/>
    <w:rsid w:val="23193E1E"/>
    <w:rsid w:val="255517FA"/>
    <w:rsid w:val="25B56DD4"/>
    <w:rsid w:val="26757452"/>
    <w:rsid w:val="29EB2AFB"/>
    <w:rsid w:val="2C475206"/>
    <w:rsid w:val="2C8052CD"/>
    <w:rsid w:val="2C9B7130"/>
    <w:rsid w:val="2DD37B2E"/>
    <w:rsid w:val="2F923539"/>
    <w:rsid w:val="2F956CDC"/>
    <w:rsid w:val="30F304E8"/>
    <w:rsid w:val="31424138"/>
    <w:rsid w:val="373E5EFE"/>
    <w:rsid w:val="3A282B8F"/>
    <w:rsid w:val="3D6C1E8E"/>
    <w:rsid w:val="3E47640C"/>
    <w:rsid w:val="3E477ACF"/>
    <w:rsid w:val="3F3861FA"/>
    <w:rsid w:val="3FD722A9"/>
    <w:rsid w:val="414A4154"/>
    <w:rsid w:val="44502853"/>
    <w:rsid w:val="483427C0"/>
    <w:rsid w:val="487503AE"/>
    <w:rsid w:val="4A777DDD"/>
    <w:rsid w:val="4C0146CD"/>
    <w:rsid w:val="4ED14148"/>
    <w:rsid w:val="50F530E7"/>
    <w:rsid w:val="582E2D75"/>
    <w:rsid w:val="5B9C3B0C"/>
    <w:rsid w:val="5C5F5DB2"/>
    <w:rsid w:val="5D131446"/>
    <w:rsid w:val="5EA33DE2"/>
    <w:rsid w:val="5EAF556D"/>
    <w:rsid w:val="60233110"/>
    <w:rsid w:val="673C3788"/>
    <w:rsid w:val="6A910EA1"/>
    <w:rsid w:val="6E6F337E"/>
    <w:rsid w:val="719A1C34"/>
    <w:rsid w:val="720F7F50"/>
    <w:rsid w:val="74241EE3"/>
    <w:rsid w:val="745B1FEA"/>
    <w:rsid w:val="74BD6F2E"/>
    <w:rsid w:val="7521645C"/>
    <w:rsid w:val="770E4313"/>
    <w:rsid w:val="7B9D456B"/>
    <w:rsid w:val="7D4547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2"/>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Body Text Indent"/>
    <w:basedOn w:val="1"/>
    <w:qFormat/>
    <w:uiPriority w:val="0"/>
    <w:pPr>
      <w:spacing w:after="120"/>
      <w:ind w:left="200"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0">
    <w:name w:val="table of figures"/>
    <w:basedOn w:val="1"/>
    <w:next w:val="1"/>
    <w:unhideWhenUsed/>
    <w:qFormat/>
    <w:uiPriority w:val="0"/>
    <w:pPr>
      <w:ind w:left="200" w:leftChars="200" w:hanging="200" w:hangingChars="200"/>
    </w:pPr>
    <w:rPr>
      <w:rFonts w:hint="eastAsia"/>
      <w:sz w:val="32"/>
      <w:szCs w:val="21"/>
    </w:rPr>
  </w:style>
  <w:style w:type="paragraph" w:styleId="11">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2">
    <w:name w:val="Body Text First Indent 2"/>
    <w:basedOn w:val="6"/>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5">
    <w:name w:val="Strong"/>
    <w:basedOn w:val="14"/>
    <w:qFormat/>
    <w:uiPriority w:val="0"/>
    <w:rPr>
      <w:b/>
    </w:rPr>
  </w:style>
  <w:style w:type="character" w:customStyle="1" w:styleId="16">
    <w:name w:val="10"/>
    <w:basedOn w:val="14"/>
    <w:qFormat/>
    <w:uiPriority w:val="0"/>
    <w:rPr>
      <w:rFonts w:hint="default" w:ascii="Times New Roman" w:hAnsi="Times New Roman" w:cs="Times New Roman"/>
    </w:rPr>
  </w:style>
  <w:style w:type="character" w:customStyle="1" w:styleId="17">
    <w:name w:val="16"/>
    <w:basedOn w:val="14"/>
    <w:qFormat/>
    <w:uiPriority w:val="0"/>
    <w:rPr>
      <w:rFonts w:hint="default" w:ascii="Times New Roman" w:hAnsi="Times New Roman" w:cs="Times New Roman"/>
      <w:b/>
      <w:bCs/>
      <w:kern w:val="44"/>
      <w:sz w:val="44"/>
      <w:szCs w:val="44"/>
    </w:rPr>
  </w:style>
  <w:style w:type="character" w:customStyle="1" w:styleId="18">
    <w:name w:val="15"/>
    <w:basedOn w:val="14"/>
    <w:qFormat/>
    <w:uiPriority w:val="0"/>
    <w:rPr>
      <w:rFonts w:hint="default" w:ascii="Times New Roman" w:hAnsi="Times New Roman" w:cs="Times New Roman"/>
      <w:b/>
    </w:rPr>
  </w:style>
  <w:style w:type="character" w:customStyle="1" w:styleId="19">
    <w:name w:val="17"/>
    <w:basedOn w:val="14"/>
    <w:qFormat/>
    <w:uiPriority w:val="0"/>
    <w:rPr>
      <w:rFonts w:hint="default" w:ascii="Cambria" w:hAnsi="Cambria" w:eastAsia="宋体" w:cs="Times New Roman"/>
      <w:b/>
      <w:bCs/>
      <w:sz w:val="32"/>
      <w:szCs w:val="32"/>
    </w:rPr>
  </w:style>
  <w:style w:type="paragraph" w:customStyle="1" w:styleId="20">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1">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character" w:customStyle="1" w:styleId="22">
    <w:name w:val="标题 1 Char"/>
    <w:basedOn w:val="14"/>
    <w:link w:val="3"/>
    <w:qFormat/>
    <w:uiPriority w:val="0"/>
    <w:rPr>
      <w:rFonts w:hint="default" w:ascii="Calibri" w:hAnsi="Calibri" w:eastAsia="宋体" w:cs="Times New Roman"/>
      <w:b/>
      <w:bCs/>
      <w:kern w:val="44"/>
      <w:sz w:val="44"/>
      <w:szCs w:val="4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6852</Words>
  <Characters>8041</Characters>
  <Lines>0</Lines>
  <Paragraphs>0</Paragraphs>
  <TotalTime>0</TotalTime>
  <ScaleCrop>false</ScaleCrop>
  <LinksUpToDate>false</LinksUpToDate>
  <CharactersWithSpaces>8135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2025-09-28T09:42:34Z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D4A39BB81AD24DD694D5EAEE214133A3_12</vt:lpwstr>
  </property>
  <property fmtid="{D5CDD505-2E9C-101B-9397-08002B2CF9AE}" pid="4" name="KSOTemplateDocerSaveRecord">
    <vt:lpwstr>eyJoZGlkIjoiMjM2OGQ3ZDc3NGQ3MmExZjk1YTg4MDIzOGFhN2Q4ZjYiLCJ1c2VySWQiOiIyNjQ5OTE0NjYifQ==</vt:lpwstr>
  </property>
</Properties>
</file>