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charts/chart4.xml" ContentType="application/vnd.openxmlformats-officedocument.drawingml.chart+xml"/>
  <Override PartName="/word/charts/chart5.xml" ContentType="application/vnd.openxmlformats-officedocument.drawingml.chart+xml"/>
  <Override PartName="/word/charts/chart6.xml" ContentType="application/vnd.openxmlformats-officedocument.drawingml.chart+xml"/>
  <Override PartName="/word/charts/colors1.xml" ContentType="application/vnd.ms-office.chartcolorstyle+xml"/>
  <Override PartName="/word/charts/colors2.xml" ContentType="application/vnd.ms-office.chartcolorstyle+xml"/>
  <Override PartName="/word/charts/colors3.xml" ContentType="application/vnd.ms-office.chartcolorstyle+xml"/>
  <Override PartName="/word/charts/colors4.xml" ContentType="application/vnd.ms-office.chartcolorstyle+xml"/>
  <Override PartName="/word/charts/colors5.xml" ContentType="application/vnd.ms-office.chartcolorstyle+xml"/>
  <Override PartName="/word/charts/colors6.xml" ContentType="application/vnd.ms-office.chartcolorstyle+xml"/>
  <Override PartName="/word/charts/style1.xml" ContentType="application/vnd.ms-office.chartstyle+xml"/>
  <Override PartName="/word/charts/style2.xml" ContentType="application/vnd.ms-office.chartstyle+xml"/>
  <Override PartName="/word/charts/style3.xml" ContentType="application/vnd.ms-office.chartstyle+xml"/>
  <Override PartName="/word/charts/style4.xml" ContentType="application/vnd.ms-office.chartstyle+xml"/>
  <Override PartName="/word/charts/style5.xml" ContentType="application/vnd.ms-office.chartstyle+xml"/>
  <Override PartName="/word/charts/style6.xml" ContentType="application/vnd.ms-office.chartstyle+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600" w:lineRule="exact"/>
        <w:jc w:val="center"/>
        <w:outlineLvl w:val="0"/>
        <w:rPr>
          <w:rFonts w:ascii="方正小标宋简体" w:hAnsi="宋体" w:eastAsia="方正小标宋简体"/>
          <w:color w:val="000000"/>
          <w:sz w:val="72"/>
          <w:szCs w:val="72"/>
        </w:rPr>
      </w:pPr>
      <w:bookmarkStart w:id="0" w:name="_Toc15306267"/>
    </w:p>
    <w:p>
      <w:pPr>
        <w:spacing w:line="600" w:lineRule="exact"/>
        <w:jc w:val="center"/>
        <w:outlineLvl w:val="0"/>
        <w:rPr>
          <w:rFonts w:ascii="方正小标宋简体" w:hAnsi="宋体" w:eastAsia="方正小标宋简体"/>
          <w:color w:val="000000"/>
          <w:sz w:val="72"/>
          <w:szCs w:val="72"/>
        </w:rPr>
      </w:pPr>
    </w:p>
    <w:p>
      <w:pPr>
        <w:spacing w:line="600" w:lineRule="exact"/>
        <w:jc w:val="center"/>
        <w:outlineLvl w:val="0"/>
        <w:rPr>
          <w:rFonts w:ascii="方正小标宋简体" w:hAnsi="宋体" w:eastAsia="方正小标宋简体"/>
          <w:color w:val="000000"/>
          <w:sz w:val="72"/>
          <w:szCs w:val="72"/>
        </w:rPr>
      </w:pPr>
    </w:p>
    <w:p>
      <w:pPr>
        <w:spacing w:line="600" w:lineRule="exact"/>
        <w:jc w:val="center"/>
        <w:outlineLvl w:val="0"/>
        <w:rPr>
          <w:rFonts w:ascii="方正小标宋简体" w:hAnsi="宋体" w:eastAsia="方正小标宋简体"/>
          <w:color w:val="000000"/>
          <w:sz w:val="72"/>
          <w:szCs w:val="72"/>
        </w:rPr>
      </w:pPr>
    </w:p>
    <w:p>
      <w:pPr>
        <w:adjustRightInd w:val="0"/>
        <w:snapToGrid w:val="0"/>
        <w:spacing w:line="360" w:lineRule="auto"/>
        <w:jc w:val="center"/>
        <w:outlineLvl w:val="0"/>
        <w:rPr>
          <w:rFonts w:ascii="方正小标宋简体" w:hAnsi="宋体" w:eastAsia="方正小标宋简体"/>
          <w:color w:val="000000"/>
          <w:sz w:val="44"/>
          <w:szCs w:val="44"/>
        </w:rPr>
      </w:pPr>
      <w:bookmarkStart w:id="1" w:name="_Toc15378441"/>
      <w:bookmarkStart w:id="2" w:name="_Toc15377193"/>
      <w:bookmarkStart w:id="3" w:name="_Toc15377425"/>
      <w:bookmarkStart w:id="4" w:name="_Toc15396597"/>
      <w:bookmarkStart w:id="5" w:name="_Toc15396475"/>
      <w:r>
        <w:rPr>
          <w:rFonts w:ascii="黑体" w:hAnsi="黑体" w:eastAsia="黑体"/>
          <w:color w:val="000000"/>
          <w:sz w:val="44"/>
          <w:szCs w:val="44"/>
        </w:rPr>
        <w:t>201</w:t>
      </w:r>
      <w:r>
        <w:rPr>
          <w:rFonts w:hint="eastAsia" w:ascii="黑体" w:hAnsi="黑体" w:eastAsia="黑体"/>
          <w:color w:val="000000"/>
          <w:sz w:val="44"/>
          <w:szCs w:val="44"/>
        </w:rPr>
        <w:t>9</w:t>
      </w:r>
      <w:r>
        <w:rPr>
          <w:rFonts w:hint="eastAsia" w:ascii="方正小标宋简体" w:hAnsi="宋体" w:eastAsia="方正小标宋简体"/>
          <w:color w:val="000000"/>
          <w:sz w:val="44"/>
          <w:szCs w:val="44"/>
        </w:rPr>
        <w:t>年度</w:t>
      </w:r>
      <w:bookmarkEnd w:id="1"/>
      <w:bookmarkEnd w:id="2"/>
      <w:bookmarkEnd w:id="3"/>
      <w:bookmarkEnd w:id="4"/>
      <w:bookmarkEnd w:id="5"/>
    </w:p>
    <w:p>
      <w:pPr>
        <w:adjustRightInd w:val="0"/>
        <w:snapToGrid w:val="0"/>
        <w:spacing w:line="360" w:lineRule="auto"/>
        <w:jc w:val="center"/>
        <w:outlineLvl w:val="0"/>
        <w:rPr>
          <w:rFonts w:hint="eastAsia" w:ascii="方正小标宋简体" w:hAnsi="宋体" w:eastAsia="方正小标宋简体"/>
          <w:color w:val="000000"/>
          <w:sz w:val="44"/>
          <w:szCs w:val="44"/>
          <w:lang w:eastAsia="zh-CN"/>
        </w:rPr>
      </w:pPr>
      <w:bookmarkStart w:id="6" w:name="_Toc15377426"/>
      <w:bookmarkStart w:id="7" w:name="_Toc15377194"/>
      <w:bookmarkStart w:id="8" w:name="_Toc15396598"/>
      <w:bookmarkStart w:id="9" w:name="_Toc15396476"/>
      <w:bookmarkStart w:id="10" w:name="_Toc15378442"/>
      <w:r>
        <w:rPr>
          <w:rFonts w:hint="eastAsia" w:ascii="方正小标宋简体" w:hAnsi="宋体" w:eastAsia="方正小标宋简体"/>
          <w:color w:val="000000"/>
          <w:sz w:val="44"/>
          <w:szCs w:val="44"/>
        </w:rPr>
        <w:t>四川省阿坝州</w:t>
      </w:r>
      <w:bookmarkEnd w:id="0"/>
      <w:bookmarkStart w:id="11" w:name="_Toc15306268"/>
      <w:r>
        <w:rPr>
          <w:rFonts w:hint="eastAsia" w:ascii="方正小标宋简体" w:hAnsi="宋体" w:eastAsia="方正小标宋简体"/>
          <w:color w:val="000000"/>
          <w:sz w:val="44"/>
          <w:szCs w:val="44"/>
          <w:lang w:eastAsia="zh-CN"/>
        </w:rPr>
        <w:t>茂县供销合作社联合社</w:t>
      </w:r>
    </w:p>
    <w:p>
      <w:pPr>
        <w:adjustRightInd w:val="0"/>
        <w:snapToGrid w:val="0"/>
        <w:spacing w:line="360" w:lineRule="auto"/>
        <w:jc w:val="center"/>
        <w:outlineLvl w:val="0"/>
        <w:rPr>
          <w:rFonts w:ascii="方正小标宋简体" w:hAnsi="宋体" w:eastAsia="方正小标宋简体"/>
          <w:color w:val="000000"/>
          <w:sz w:val="44"/>
          <w:szCs w:val="44"/>
        </w:rPr>
      </w:pPr>
      <w:r>
        <w:rPr>
          <w:rFonts w:hint="eastAsia" w:ascii="方正小标宋简体" w:hAnsi="宋体" w:eastAsia="方正小标宋简体"/>
          <w:color w:val="000000"/>
          <w:sz w:val="44"/>
          <w:szCs w:val="44"/>
        </w:rPr>
        <w:t>部门决算</w:t>
      </w:r>
      <w:bookmarkEnd w:id="6"/>
      <w:bookmarkEnd w:id="7"/>
      <w:bookmarkEnd w:id="8"/>
      <w:bookmarkEnd w:id="9"/>
      <w:bookmarkEnd w:id="10"/>
      <w:bookmarkEnd w:id="11"/>
    </w:p>
    <w:p>
      <w:pPr>
        <w:widowControl/>
        <w:jc w:val="center"/>
        <w:rPr>
          <w:rFonts w:ascii="方正小标宋简体" w:hAnsi="宋体" w:eastAsia="方正小标宋简体"/>
          <w:color w:val="000000"/>
          <w:sz w:val="36"/>
          <w:szCs w:val="36"/>
        </w:rPr>
      </w:pPr>
    </w:p>
    <w:p>
      <w:pPr>
        <w:rPr>
          <w:rFonts w:ascii="方正小标宋简体" w:hAnsi="宋体" w:eastAsia="方正小标宋简体"/>
          <w:sz w:val="36"/>
          <w:szCs w:val="36"/>
        </w:rPr>
      </w:pPr>
    </w:p>
    <w:p>
      <w:pPr>
        <w:rPr>
          <w:rFonts w:ascii="方正小标宋简体" w:hAnsi="宋体" w:eastAsia="方正小标宋简体"/>
          <w:sz w:val="36"/>
          <w:szCs w:val="36"/>
        </w:rPr>
      </w:pPr>
    </w:p>
    <w:p>
      <w:pPr>
        <w:rPr>
          <w:rFonts w:ascii="方正小标宋简体" w:hAnsi="宋体" w:eastAsia="方正小标宋简体"/>
          <w:sz w:val="36"/>
          <w:szCs w:val="36"/>
        </w:rPr>
      </w:pPr>
    </w:p>
    <w:p>
      <w:pPr>
        <w:rPr>
          <w:rFonts w:ascii="方正小标宋简体" w:hAnsi="宋体" w:eastAsia="方正小标宋简体"/>
          <w:sz w:val="36"/>
          <w:szCs w:val="36"/>
        </w:rPr>
      </w:pPr>
    </w:p>
    <w:p>
      <w:pPr>
        <w:rPr>
          <w:rFonts w:ascii="方正小标宋简体" w:hAnsi="宋体" w:eastAsia="方正小标宋简体"/>
          <w:sz w:val="36"/>
          <w:szCs w:val="36"/>
        </w:rPr>
      </w:pPr>
    </w:p>
    <w:p>
      <w:pPr>
        <w:rPr>
          <w:rFonts w:ascii="方正小标宋简体" w:hAnsi="宋体" w:eastAsia="方正小标宋简体"/>
          <w:sz w:val="36"/>
          <w:szCs w:val="36"/>
        </w:rPr>
      </w:pPr>
    </w:p>
    <w:p>
      <w:pPr>
        <w:autoSpaceDE w:val="0"/>
        <w:autoSpaceDN w:val="0"/>
        <w:adjustRightInd w:val="0"/>
        <w:ind w:firstLine="1276"/>
        <w:jc w:val="left"/>
        <w:rPr>
          <w:rFonts w:eastAsia="仿宋_GB2312"/>
          <w:sz w:val="32"/>
          <w:szCs w:val="32"/>
        </w:rPr>
      </w:pPr>
      <w:r>
        <w:rPr>
          <w:rFonts w:hint="eastAsia" w:ascii="仿宋_GB2312" w:hAnsi="Calibri" w:eastAsia="仿宋_GB2312" w:cs="仿宋_GB2312"/>
          <w:sz w:val="32"/>
          <w:szCs w:val="32"/>
        </w:rPr>
        <w:t>保密审查情况：</w:t>
      </w:r>
    </w:p>
    <w:p>
      <w:pPr>
        <w:widowControl/>
        <w:ind w:firstLine="1280" w:firstLineChars="400"/>
        <w:jc w:val="both"/>
        <w:rPr>
          <w:rFonts w:ascii="黑体" w:hAnsi="黑体" w:eastAsia="黑体"/>
          <w:color w:val="000000"/>
          <w:sz w:val="48"/>
          <w:szCs w:val="48"/>
        </w:rPr>
      </w:pPr>
      <w:r>
        <w:rPr>
          <w:rFonts w:hint="eastAsia" w:ascii="仿宋_GB2312" w:eastAsia="仿宋_GB2312" w:cs="仿宋_GB2312"/>
          <w:sz w:val="32"/>
          <w:szCs w:val="32"/>
        </w:rPr>
        <w:t>部</w:t>
      </w:r>
      <w:r>
        <w:rPr>
          <w:rFonts w:hint="eastAsia" w:ascii="仿宋_GB2312" w:eastAsia="仿宋_GB2312" w:cs="仿宋_GB2312"/>
          <w:sz w:val="32"/>
          <w:szCs w:val="32"/>
          <w:highlight w:val="none"/>
        </w:rPr>
        <w:t>门主要负责人审签情况：</w:t>
      </w:r>
      <w:r>
        <w:rPr>
          <w:rFonts w:ascii="方正小标宋简体" w:hAnsi="宋体" w:eastAsia="方正小标宋简体"/>
          <w:sz w:val="36"/>
          <w:szCs w:val="36"/>
        </w:rPr>
        <w:br w:type="page"/>
      </w:r>
      <w:r>
        <w:rPr>
          <w:rFonts w:hint="eastAsia" w:ascii="方正小标宋简体" w:hAnsi="宋体" w:eastAsia="方正小标宋简体"/>
          <w:sz w:val="36"/>
          <w:szCs w:val="36"/>
          <w:lang w:val="en-US" w:eastAsia="zh-CN"/>
        </w:rPr>
        <w:t xml:space="preserve">                   </w:t>
      </w:r>
      <w:r>
        <w:rPr>
          <w:rFonts w:hint="eastAsia" w:ascii="黑体" w:hAnsi="黑体" w:eastAsia="黑体"/>
          <w:color w:val="000000"/>
          <w:sz w:val="48"/>
          <w:szCs w:val="48"/>
        </w:rPr>
        <w:t>目</w:t>
      </w:r>
      <w:r>
        <w:rPr>
          <w:rFonts w:hint="eastAsia" w:ascii="黑体" w:hAnsi="黑体" w:eastAsia="黑体"/>
          <w:color w:val="000000"/>
          <w:sz w:val="48"/>
          <w:szCs w:val="48"/>
          <w:lang w:val="en-US" w:eastAsia="zh-CN"/>
        </w:rPr>
        <w:t xml:space="preserve">  </w:t>
      </w:r>
      <w:r>
        <w:rPr>
          <w:rFonts w:hint="eastAsia" w:ascii="黑体" w:hAnsi="黑体" w:eastAsia="黑体"/>
          <w:color w:val="000000"/>
          <w:sz w:val="48"/>
          <w:szCs w:val="48"/>
        </w:rPr>
        <w:t>录</w:t>
      </w:r>
    </w:p>
    <w:p>
      <w:pPr>
        <w:widowControl/>
        <w:jc w:val="center"/>
        <w:rPr>
          <w:rFonts w:ascii="黑体" w:hAnsi="黑体" w:eastAsia="黑体" w:cstheme="minorBidi"/>
          <w:sz w:val="28"/>
          <w:szCs w:val="28"/>
        </w:rPr>
      </w:pPr>
    </w:p>
    <w:p/>
    <w:p>
      <w:pPr>
        <w:pStyle w:val="10"/>
        <w:adjustRightInd w:val="0"/>
        <w:snapToGrid w:val="0"/>
        <w:spacing w:before="0" w:line="440" w:lineRule="exact"/>
        <w:jc w:val="left"/>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rPr>
        <w:t>第一部分 部门概况</w:t>
      </w:r>
      <w:r>
        <w:rPr>
          <w:rFonts w:hint="eastAsia" w:ascii="仿宋_GB2312" w:hAnsi="仿宋_GB2312" w:eastAsia="仿宋_GB2312" w:cs="仿宋_GB2312"/>
          <w:sz w:val="32"/>
          <w:szCs w:val="32"/>
        </w:rPr>
        <w:tab/>
      </w:r>
      <w:r>
        <w:rPr>
          <w:rFonts w:hint="eastAsia" w:ascii="仿宋_GB2312" w:hAnsi="仿宋_GB2312" w:eastAsia="仿宋_GB2312" w:cs="仿宋_GB2312"/>
          <w:sz w:val="32"/>
          <w:szCs w:val="32"/>
          <w:lang w:val="en-US" w:eastAsia="zh-CN"/>
        </w:rPr>
        <w:t>4</w:t>
      </w:r>
    </w:p>
    <w:p>
      <w:pPr>
        <w:pStyle w:val="11"/>
        <w:adjustRightInd w:val="0"/>
        <w:snapToGrid w:val="0"/>
        <w:spacing w:line="440" w:lineRule="exact"/>
        <w:jc w:val="left"/>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rPr>
        <w:t>一、基本职能及主要工作</w:t>
      </w:r>
      <w:r>
        <w:rPr>
          <w:rFonts w:hint="eastAsia" w:ascii="仿宋_GB2312" w:hAnsi="仿宋_GB2312" w:eastAsia="仿宋_GB2312" w:cs="仿宋_GB2312"/>
          <w:sz w:val="32"/>
          <w:szCs w:val="32"/>
        </w:rPr>
        <w:tab/>
      </w:r>
      <w:r>
        <w:rPr>
          <w:rFonts w:hint="eastAsia" w:ascii="仿宋_GB2312" w:hAnsi="仿宋_GB2312" w:eastAsia="仿宋_GB2312" w:cs="仿宋_GB2312"/>
          <w:sz w:val="32"/>
          <w:szCs w:val="32"/>
          <w:lang w:val="en-US" w:eastAsia="zh-CN"/>
        </w:rPr>
        <w:t>4</w:t>
      </w:r>
    </w:p>
    <w:p>
      <w:pPr>
        <w:pStyle w:val="11"/>
        <w:adjustRightInd w:val="0"/>
        <w:snapToGrid w:val="0"/>
        <w:spacing w:line="440" w:lineRule="exact"/>
        <w:jc w:val="left"/>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rPr>
        <w:t>二、机构设置</w:t>
      </w:r>
      <w:r>
        <w:rPr>
          <w:rFonts w:hint="eastAsia" w:ascii="仿宋_GB2312" w:hAnsi="仿宋_GB2312" w:eastAsia="仿宋_GB2312" w:cs="仿宋_GB2312"/>
          <w:sz w:val="32"/>
          <w:szCs w:val="32"/>
        </w:rPr>
        <w:tab/>
      </w:r>
      <w:r>
        <w:rPr>
          <w:rFonts w:hint="eastAsia" w:ascii="仿宋_GB2312" w:hAnsi="仿宋_GB2312" w:eastAsia="仿宋_GB2312" w:cs="仿宋_GB2312"/>
          <w:sz w:val="32"/>
          <w:szCs w:val="32"/>
          <w:lang w:val="en-US" w:eastAsia="zh-CN"/>
        </w:rPr>
        <w:t>6</w:t>
      </w:r>
    </w:p>
    <w:p>
      <w:pPr>
        <w:pStyle w:val="10"/>
        <w:adjustRightInd w:val="0"/>
        <w:snapToGrid w:val="0"/>
        <w:spacing w:before="0" w:line="440" w:lineRule="exact"/>
        <w:jc w:val="left"/>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rPr>
        <w:t>第二部分度部门决算情况说明</w:t>
      </w:r>
      <w:r>
        <w:rPr>
          <w:rFonts w:hint="eastAsia" w:ascii="仿宋_GB2312" w:hAnsi="仿宋_GB2312" w:eastAsia="仿宋_GB2312" w:cs="仿宋_GB2312"/>
          <w:sz w:val="32"/>
          <w:szCs w:val="32"/>
        </w:rPr>
        <w:tab/>
      </w:r>
      <w:r>
        <w:rPr>
          <w:rFonts w:hint="eastAsia" w:ascii="仿宋_GB2312" w:hAnsi="仿宋_GB2312" w:eastAsia="仿宋_GB2312" w:cs="仿宋_GB2312"/>
          <w:sz w:val="32"/>
          <w:szCs w:val="32"/>
          <w:lang w:val="en-US" w:eastAsia="zh-CN"/>
        </w:rPr>
        <w:t>6</w:t>
      </w:r>
    </w:p>
    <w:p>
      <w:pPr>
        <w:pStyle w:val="11"/>
        <w:adjustRightInd w:val="0"/>
        <w:snapToGrid w:val="0"/>
        <w:spacing w:line="440" w:lineRule="exact"/>
        <w:jc w:val="left"/>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rPr>
        <w:t>一、收入支出决算总体情况说明</w:t>
      </w:r>
      <w:r>
        <w:rPr>
          <w:rFonts w:hint="eastAsia" w:ascii="仿宋_GB2312" w:hAnsi="仿宋_GB2312" w:eastAsia="仿宋_GB2312" w:cs="仿宋_GB2312"/>
          <w:sz w:val="32"/>
          <w:szCs w:val="32"/>
        </w:rPr>
        <w:tab/>
      </w:r>
      <w:r>
        <w:rPr>
          <w:rFonts w:hint="eastAsia" w:ascii="仿宋_GB2312" w:hAnsi="仿宋_GB2312" w:eastAsia="仿宋_GB2312" w:cs="仿宋_GB2312"/>
          <w:sz w:val="32"/>
          <w:szCs w:val="32"/>
          <w:lang w:val="en-US" w:eastAsia="zh-CN"/>
        </w:rPr>
        <w:t>6</w:t>
      </w:r>
    </w:p>
    <w:p>
      <w:pPr>
        <w:pStyle w:val="11"/>
        <w:adjustRightInd w:val="0"/>
        <w:snapToGrid w:val="0"/>
        <w:spacing w:line="440" w:lineRule="exact"/>
        <w:jc w:val="left"/>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rPr>
        <w:t>二、收入决算情况说明</w:t>
      </w:r>
      <w:r>
        <w:rPr>
          <w:rFonts w:hint="eastAsia" w:ascii="仿宋_GB2312" w:hAnsi="仿宋_GB2312" w:eastAsia="仿宋_GB2312" w:cs="仿宋_GB2312"/>
          <w:sz w:val="32"/>
          <w:szCs w:val="32"/>
        </w:rPr>
        <w:tab/>
      </w:r>
      <w:r>
        <w:rPr>
          <w:rFonts w:hint="eastAsia" w:ascii="仿宋_GB2312" w:hAnsi="仿宋_GB2312" w:eastAsia="仿宋_GB2312" w:cs="仿宋_GB2312"/>
          <w:sz w:val="32"/>
          <w:szCs w:val="32"/>
          <w:lang w:val="en-US" w:eastAsia="zh-CN"/>
        </w:rPr>
        <w:t>7</w:t>
      </w:r>
    </w:p>
    <w:p>
      <w:pPr>
        <w:pStyle w:val="11"/>
        <w:adjustRightInd w:val="0"/>
        <w:snapToGrid w:val="0"/>
        <w:spacing w:line="440" w:lineRule="exact"/>
        <w:jc w:val="left"/>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rPr>
        <w:t>三、支出决算情况说明</w:t>
      </w:r>
      <w:r>
        <w:rPr>
          <w:rFonts w:hint="eastAsia" w:ascii="仿宋_GB2312" w:hAnsi="仿宋_GB2312" w:eastAsia="仿宋_GB2312" w:cs="仿宋_GB2312"/>
          <w:sz w:val="32"/>
          <w:szCs w:val="32"/>
        </w:rPr>
        <w:tab/>
      </w:r>
      <w:r>
        <w:rPr>
          <w:rFonts w:hint="eastAsia" w:ascii="仿宋_GB2312" w:hAnsi="仿宋_GB2312" w:eastAsia="仿宋_GB2312" w:cs="仿宋_GB2312"/>
          <w:sz w:val="32"/>
          <w:szCs w:val="32"/>
          <w:lang w:val="en-US" w:eastAsia="zh-CN"/>
        </w:rPr>
        <w:t>7</w:t>
      </w:r>
    </w:p>
    <w:p>
      <w:pPr>
        <w:pStyle w:val="11"/>
        <w:adjustRightInd w:val="0"/>
        <w:snapToGrid w:val="0"/>
        <w:spacing w:line="440" w:lineRule="exact"/>
        <w:jc w:val="left"/>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rPr>
        <w:t>四、财政拨款收入支出决算总体情况说明</w:t>
      </w:r>
      <w:r>
        <w:rPr>
          <w:rFonts w:hint="eastAsia" w:ascii="仿宋_GB2312" w:hAnsi="仿宋_GB2312" w:eastAsia="仿宋_GB2312" w:cs="仿宋_GB2312"/>
          <w:sz w:val="32"/>
          <w:szCs w:val="32"/>
        </w:rPr>
        <w:tab/>
      </w:r>
      <w:r>
        <w:rPr>
          <w:rFonts w:hint="eastAsia" w:ascii="仿宋_GB2312" w:hAnsi="仿宋_GB2312" w:eastAsia="仿宋_GB2312" w:cs="仿宋_GB2312"/>
          <w:sz w:val="32"/>
          <w:szCs w:val="32"/>
          <w:lang w:val="en-US" w:eastAsia="zh-CN"/>
        </w:rPr>
        <w:t>8</w:t>
      </w:r>
    </w:p>
    <w:p>
      <w:pPr>
        <w:pStyle w:val="11"/>
        <w:adjustRightInd w:val="0"/>
        <w:snapToGrid w:val="0"/>
        <w:spacing w:line="440" w:lineRule="exact"/>
        <w:jc w:val="left"/>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rPr>
        <w:t>五、一般公共预算财政拨款支出决算情况说明</w:t>
      </w:r>
      <w:r>
        <w:rPr>
          <w:rFonts w:hint="eastAsia" w:ascii="仿宋_GB2312" w:hAnsi="仿宋_GB2312" w:eastAsia="仿宋_GB2312" w:cs="仿宋_GB2312"/>
          <w:sz w:val="32"/>
          <w:szCs w:val="32"/>
        </w:rPr>
        <w:tab/>
      </w:r>
      <w:r>
        <w:rPr>
          <w:rFonts w:hint="eastAsia" w:ascii="仿宋_GB2312" w:hAnsi="仿宋_GB2312" w:eastAsia="仿宋_GB2312" w:cs="仿宋_GB2312"/>
          <w:sz w:val="32"/>
          <w:szCs w:val="32"/>
          <w:lang w:val="en-US" w:eastAsia="zh-CN"/>
        </w:rPr>
        <w:t>9</w:t>
      </w:r>
    </w:p>
    <w:p>
      <w:pPr>
        <w:pStyle w:val="11"/>
        <w:adjustRightInd w:val="0"/>
        <w:snapToGrid w:val="0"/>
        <w:spacing w:line="440" w:lineRule="exact"/>
        <w:jc w:val="left"/>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rPr>
        <w:t>六、一般公共预算财政拨款基本支出决算情况说明</w:t>
      </w:r>
      <w:r>
        <w:rPr>
          <w:rFonts w:hint="eastAsia" w:ascii="仿宋_GB2312" w:hAnsi="仿宋_GB2312" w:eastAsia="仿宋_GB2312" w:cs="仿宋_GB2312"/>
          <w:sz w:val="32"/>
          <w:szCs w:val="32"/>
        </w:rPr>
        <w:tab/>
      </w:r>
      <w:r>
        <w:rPr>
          <w:rFonts w:hint="eastAsia" w:ascii="仿宋_GB2312" w:hAnsi="仿宋_GB2312" w:eastAsia="仿宋_GB2312" w:cs="仿宋_GB2312"/>
          <w:sz w:val="32"/>
          <w:szCs w:val="32"/>
          <w:lang w:val="en-US" w:eastAsia="zh-CN"/>
        </w:rPr>
        <w:t>12</w:t>
      </w:r>
    </w:p>
    <w:p>
      <w:pPr>
        <w:pStyle w:val="11"/>
        <w:adjustRightInd w:val="0"/>
        <w:snapToGrid w:val="0"/>
        <w:spacing w:line="440" w:lineRule="exact"/>
        <w:jc w:val="left"/>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rPr>
        <w:t>七、“三公”经费财政拨款支出决算情况说明</w:t>
      </w:r>
      <w:r>
        <w:rPr>
          <w:rFonts w:hint="eastAsia" w:ascii="仿宋_GB2312" w:hAnsi="仿宋_GB2312" w:eastAsia="仿宋_GB2312" w:cs="仿宋_GB2312"/>
          <w:sz w:val="32"/>
          <w:szCs w:val="32"/>
        </w:rPr>
        <w:tab/>
      </w:r>
      <w:r>
        <w:rPr>
          <w:rFonts w:hint="eastAsia" w:ascii="仿宋_GB2312" w:hAnsi="仿宋_GB2312" w:eastAsia="仿宋_GB2312" w:cs="仿宋_GB2312"/>
          <w:sz w:val="32"/>
          <w:szCs w:val="32"/>
          <w:lang w:val="en-US" w:eastAsia="zh-CN"/>
        </w:rPr>
        <w:t>13</w:t>
      </w:r>
    </w:p>
    <w:p>
      <w:pPr>
        <w:pStyle w:val="11"/>
        <w:adjustRightInd w:val="0"/>
        <w:snapToGrid w:val="0"/>
        <w:spacing w:line="440" w:lineRule="exact"/>
        <w:jc w:val="left"/>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rPr>
        <w:t>八、政府性基金预算支出决算情况说明</w:t>
      </w:r>
      <w:r>
        <w:rPr>
          <w:rFonts w:hint="eastAsia" w:ascii="仿宋_GB2312" w:hAnsi="仿宋_GB2312" w:eastAsia="仿宋_GB2312" w:cs="仿宋_GB2312"/>
          <w:sz w:val="32"/>
          <w:szCs w:val="32"/>
        </w:rPr>
        <w:tab/>
      </w:r>
      <w:r>
        <w:rPr>
          <w:rFonts w:hint="eastAsia" w:ascii="仿宋_GB2312" w:hAnsi="仿宋_GB2312" w:eastAsia="仿宋_GB2312" w:cs="仿宋_GB2312"/>
          <w:sz w:val="32"/>
          <w:szCs w:val="32"/>
          <w:lang w:val="en-US" w:eastAsia="zh-CN"/>
        </w:rPr>
        <w:t>13</w:t>
      </w:r>
    </w:p>
    <w:p>
      <w:pPr>
        <w:pStyle w:val="11"/>
        <w:adjustRightInd w:val="0"/>
        <w:snapToGrid w:val="0"/>
        <w:spacing w:line="440" w:lineRule="exact"/>
        <w:ind w:leftChars="0"/>
        <w:jc w:val="left"/>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rPr>
        <w:t>九、国有资本经营预算支出决算情况说明</w:t>
      </w:r>
      <w:r>
        <w:rPr>
          <w:rFonts w:hint="eastAsia" w:ascii="仿宋_GB2312" w:hAnsi="仿宋_GB2312" w:eastAsia="仿宋_GB2312" w:cs="仿宋_GB2312"/>
          <w:sz w:val="32"/>
          <w:szCs w:val="32"/>
        </w:rPr>
        <w:tab/>
      </w:r>
      <w:r>
        <w:rPr>
          <w:rFonts w:hint="eastAsia" w:ascii="仿宋_GB2312" w:hAnsi="仿宋_GB2312" w:eastAsia="仿宋_GB2312" w:cs="仿宋_GB2312"/>
          <w:sz w:val="32"/>
          <w:szCs w:val="32"/>
          <w:lang w:val="en-US" w:eastAsia="zh-CN"/>
        </w:rPr>
        <w:t>13</w:t>
      </w:r>
    </w:p>
    <w:p>
      <w:pPr>
        <w:pStyle w:val="11"/>
        <w:adjustRightInd w:val="0"/>
        <w:snapToGrid w:val="0"/>
        <w:spacing w:line="440" w:lineRule="exact"/>
        <w:jc w:val="left"/>
        <w:rPr>
          <w:rFonts w:hint="eastAsia" w:ascii="仿宋_GB2312" w:hAnsi="仿宋_GB2312" w:eastAsia="仿宋_GB2312" w:cs="仿宋_GB2312"/>
          <w:sz w:val="32"/>
          <w:szCs w:val="32"/>
          <w:lang w:val="en-US" w:eastAsia="zh-CN"/>
        </w:rPr>
      </w:pPr>
      <w:r>
        <w:rPr>
          <w:rStyle w:val="15"/>
          <w:rFonts w:hint="eastAsia" w:ascii="仿宋_GB2312" w:hAnsi="仿宋_GB2312" w:eastAsia="仿宋_GB2312" w:cs="仿宋_GB2312"/>
          <w:color w:val="000000" w:themeColor="text1"/>
          <w:sz w:val="32"/>
          <w:szCs w:val="32"/>
          <w:u w:val="none"/>
        </w:rPr>
        <w:t>十、</w:t>
      </w:r>
      <w:r>
        <w:rPr>
          <w:rFonts w:hint="eastAsia" w:ascii="仿宋_GB2312" w:hAnsi="仿宋_GB2312" w:eastAsia="仿宋_GB2312" w:cs="仿宋_GB2312"/>
          <w:sz w:val="32"/>
          <w:szCs w:val="32"/>
        </w:rPr>
        <w:t>其他重要事项的情况说明</w:t>
      </w:r>
      <w:r>
        <w:rPr>
          <w:rFonts w:hint="eastAsia" w:ascii="仿宋_GB2312" w:hAnsi="仿宋_GB2312" w:eastAsia="仿宋_GB2312" w:cs="仿宋_GB2312"/>
          <w:sz w:val="32"/>
          <w:szCs w:val="32"/>
        </w:rPr>
        <w:tab/>
      </w:r>
      <w:r>
        <w:rPr>
          <w:rFonts w:hint="eastAsia" w:ascii="仿宋_GB2312" w:hAnsi="仿宋_GB2312" w:eastAsia="仿宋_GB2312" w:cs="仿宋_GB2312"/>
          <w:sz w:val="32"/>
          <w:szCs w:val="32"/>
          <w:lang w:val="en-US" w:eastAsia="zh-CN"/>
        </w:rPr>
        <w:t>13</w:t>
      </w:r>
    </w:p>
    <w:p>
      <w:pPr>
        <w:pStyle w:val="10"/>
        <w:adjustRightInd w:val="0"/>
        <w:snapToGrid w:val="0"/>
        <w:spacing w:before="0" w:line="440" w:lineRule="exact"/>
        <w:jc w:val="left"/>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rPr>
        <w:t>第三部分 名词解释</w:t>
      </w:r>
      <w:r>
        <w:rPr>
          <w:rFonts w:hint="eastAsia" w:ascii="仿宋_GB2312" w:hAnsi="仿宋_GB2312" w:eastAsia="仿宋_GB2312" w:cs="仿宋_GB2312"/>
          <w:sz w:val="32"/>
          <w:szCs w:val="32"/>
        </w:rPr>
        <w:tab/>
      </w:r>
      <w:r>
        <w:rPr>
          <w:rFonts w:hint="eastAsia" w:ascii="仿宋_GB2312" w:hAnsi="仿宋_GB2312" w:eastAsia="仿宋_GB2312" w:cs="仿宋_GB2312"/>
          <w:sz w:val="32"/>
          <w:szCs w:val="32"/>
          <w:lang w:val="en-US" w:eastAsia="zh-CN"/>
        </w:rPr>
        <w:t>18</w:t>
      </w:r>
    </w:p>
    <w:p>
      <w:pPr>
        <w:pStyle w:val="10"/>
        <w:adjustRightInd w:val="0"/>
        <w:snapToGrid w:val="0"/>
        <w:spacing w:before="0" w:line="440" w:lineRule="exact"/>
        <w:jc w:val="left"/>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rPr>
        <w:t>第四部分 附件</w:t>
      </w:r>
      <w:r>
        <w:rPr>
          <w:rFonts w:hint="eastAsia" w:ascii="仿宋_GB2312" w:hAnsi="仿宋_GB2312" w:eastAsia="仿宋_GB2312" w:cs="仿宋_GB2312"/>
          <w:sz w:val="32"/>
          <w:szCs w:val="32"/>
        </w:rPr>
        <w:tab/>
      </w:r>
      <w:r>
        <w:rPr>
          <w:rFonts w:hint="eastAsia" w:ascii="仿宋_GB2312" w:hAnsi="仿宋_GB2312" w:eastAsia="仿宋_GB2312" w:cs="仿宋_GB2312"/>
          <w:sz w:val="32"/>
          <w:szCs w:val="32"/>
          <w:lang w:val="en-US" w:eastAsia="zh-CN"/>
        </w:rPr>
        <w:t>21</w:t>
      </w:r>
    </w:p>
    <w:p>
      <w:pPr>
        <w:pStyle w:val="11"/>
        <w:adjustRightInd w:val="0"/>
        <w:snapToGrid w:val="0"/>
        <w:spacing w:line="440" w:lineRule="exact"/>
        <w:ind w:firstLine="640" w:firstLineChars="200"/>
        <w:jc w:val="left"/>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eastAsia="zh-CN"/>
        </w:rPr>
        <w:t>供销社</w:t>
      </w:r>
      <w:r>
        <w:rPr>
          <w:rFonts w:hint="eastAsia" w:ascii="仿宋_GB2312" w:hAnsi="仿宋_GB2312" w:eastAsia="仿宋_GB2312" w:cs="仿宋_GB2312"/>
          <w:sz w:val="32"/>
          <w:szCs w:val="32"/>
          <w:lang w:val="en-US" w:eastAsia="zh-CN"/>
        </w:rPr>
        <w:t>2019年部门整体支出绩效评价报告</w:t>
      </w:r>
      <w:r>
        <w:rPr>
          <w:rFonts w:hint="eastAsia" w:ascii="仿宋_GB2312" w:hAnsi="仿宋_GB2312" w:eastAsia="仿宋_GB2312" w:cs="仿宋_GB2312"/>
          <w:sz w:val="32"/>
          <w:szCs w:val="32"/>
        </w:rPr>
        <w:tab/>
      </w:r>
      <w:r>
        <w:rPr>
          <w:rFonts w:hint="eastAsia" w:ascii="仿宋_GB2312" w:hAnsi="仿宋_GB2312" w:eastAsia="仿宋_GB2312" w:cs="仿宋_GB2312"/>
          <w:sz w:val="32"/>
          <w:szCs w:val="32"/>
          <w:lang w:val="en-US" w:eastAsia="zh-CN"/>
        </w:rPr>
        <w:t>21</w:t>
      </w:r>
    </w:p>
    <w:p>
      <w:pPr>
        <w:pStyle w:val="10"/>
        <w:adjustRightInd w:val="0"/>
        <w:snapToGrid w:val="0"/>
        <w:spacing w:before="0" w:line="440" w:lineRule="exact"/>
        <w:jc w:val="left"/>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rPr>
        <w:t>第五部分 附表</w:t>
      </w:r>
      <w:r>
        <w:rPr>
          <w:rFonts w:hint="eastAsia" w:ascii="仿宋_GB2312" w:hAnsi="仿宋_GB2312" w:eastAsia="仿宋_GB2312" w:cs="仿宋_GB2312"/>
          <w:sz w:val="32"/>
          <w:szCs w:val="32"/>
        </w:rPr>
        <w:tab/>
      </w:r>
      <w:r>
        <w:rPr>
          <w:rFonts w:hint="eastAsia" w:ascii="仿宋_GB2312" w:hAnsi="仿宋_GB2312" w:eastAsia="仿宋_GB2312" w:cs="仿宋_GB2312"/>
          <w:sz w:val="32"/>
          <w:szCs w:val="32"/>
          <w:lang w:val="en-US" w:eastAsia="zh-CN"/>
        </w:rPr>
        <w:t>27</w:t>
      </w:r>
    </w:p>
    <w:p>
      <w:pPr>
        <w:pStyle w:val="11"/>
        <w:adjustRightInd w:val="0"/>
        <w:snapToGrid w:val="0"/>
        <w:spacing w:line="440" w:lineRule="exact"/>
        <w:jc w:val="left"/>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rPr>
        <w:t>一、收入支出决算总表</w:t>
      </w:r>
      <w:r>
        <w:rPr>
          <w:rFonts w:hint="eastAsia" w:ascii="仿宋_GB2312" w:hAnsi="仿宋_GB2312" w:eastAsia="仿宋_GB2312" w:cs="仿宋_GB2312"/>
          <w:sz w:val="32"/>
          <w:szCs w:val="32"/>
        </w:rPr>
        <w:tab/>
      </w:r>
      <w:r>
        <w:rPr>
          <w:rFonts w:hint="eastAsia" w:ascii="仿宋_GB2312" w:hAnsi="仿宋_GB2312" w:eastAsia="仿宋_GB2312" w:cs="仿宋_GB2312"/>
          <w:sz w:val="32"/>
          <w:szCs w:val="32"/>
          <w:lang w:val="en-US" w:eastAsia="zh-CN"/>
        </w:rPr>
        <w:t>27</w:t>
      </w:r>
    </w:p>
    <w:p>
      <w:pPr>
        <w:pStyle w:val="11"/>
        <w:adjustRightInd w:val="0"/>
        <w:snapToGrid w:val="0"/>
        <w:spacing w:line="440" w:lineRule="exact"/>
        <w:jc w:val="left"/>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rPr>
        <w:t>二、收入决算表</w:t>
      </w:r>
      <w:r>
        <w:rPr>
          <w:rFonts w:hint="eastAsia" w:ascii="仿宋_GB2312" w:hAnsi="仿宋_GB2312" w:eastAsia="仿宋_GB2312" w:cs="仿宋_GB2312"/>
          <w:sz w:val="32"/>
          <w:szCs w:val="32"/>
        </w:rPr>
        <w:tab/>
      </w:r>
      <w:r>
        <w:rPr>
          <w:rFonts w:hint="eastAsia" w:ascii="仿宋_GB2312" w:hAnsi="仿宋_GB2312" w:eastAsia="仿宋_GB2312" w:cs="仿宋_GB2312"/>
          <w:sz w:val="32"/>
          <w:szCs w:val="32"/>
          <w:lang w:val="en-US" w:eastAsia="zh-CN"/>
        </w:rPr>
        <w:t>27</w:t>
      </w:r>
    </w:p>
    <w:p>
      <w:pPr>
        <w:pStyle w:val="11"/>
        <w:adjustRightInd w:val="0"/>
        <w:snapToGrid w:val="0"/>
        <w:spacing w:line="440" w:lineRule="exact"/>
        <w:jc w:val="left"/>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rPr>
        <w:t>三、支出决算表</w:t>
      </w:r>
      <w:r>
        <w:rPr>
          <w:rFonts w:hint="eastAsia" w:ascii="仿宋_GB2312" w:hAnsi="仿宋_GB2312" w:eastAsia="仿宋_GB2312" w:cs="仿宋_GB2312"/>
          <w:sz w:val="32"/>
          <w:szCs w:val="32"/>
        </w:rPr>
        <w:tab/>
      </w:r>
      <w:r>
        <w:rPr>
          <w:rFonts w:hint="eastAsia" w:ascii="仿宋_GB2312" w:hAnsi="仿宋_GB2312" w:eastAsia="仿宋_GB2312" w:cs="仿宋_GB2312"/>
          <w:sz w:val="32"/>
          <w:szCs w:val="32"/>
          <w:lang w:val="en-US" w:eastAsia="zh-CN"/>
        </w:rPr>
        <w:t>27</w:t>
      </w:r>
    </w:p>
    <w:p>
      <w:pPr>
        <w:pStyle w:val="11"/>
        <w:adjustRightInd w:val="0"/>
        <w:snapToGrid w:val="0"/>
        <w:spacing w:line="440" w:lineRule="exact"/>
        <w:jc w:val="left"/>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rPr>
        <w:t>四、财政拨款收入支出决算总表</w:t>
      </w:r>
      <w:r>
        <w:rPr>
          <w:rFonts w:hint="eastAsia" w:ascii="仿宋_GB2312" w:hAnsi="仿宋_GB2312" w:eastAsia="仿宋_GB2312" w:cs="仿宋_GB2312"/>
          <w:sz w:val="32"/>
          <w:szCs w:val="32"/>
        </w:rPr>
        <w:tab/>
      </w:r>
      <w:r>
        <w:rPr>
          <w:rFonts w:hint="eastAsia" w:ascii="仿宋_GB2312" w:hAnsi="仿宋_GB2312" w:eastAsia="仿宋_GB2312" w:cs="仿宋_GB2312"/>
          <w:sz w:val="32"/>
          <w:szCs w:val="32"/>
          <w:lang w:val="en-US" w:eastAsia="zh-CN"/>
        </w:rPr>
        <w:t>27</w:t>
      </w:r>
    </w:p>
    <w:p>
      <w:pPr>
        <w:pStyle w:val="11"/>
        <w:adjustRightInd w:val="0"/>
        <w:snapToGrid w:val="0"/>
        <w:spacing w:line="440" w:lineRule="exact"/>
        <w:jc w:val="left"/>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rPr>
        <w:t>五、财政拨款支出决算明细表</w:t>
      </w:r>
      <w:r>
        <w:rPr>
          <w:rFonts w:hint="eastAsia" w:ascii="仿宋_GB2312" w:hAnsi="仿宋_GB2312" w:eastAsia="仿宋_GB2312" w:cs="仿宋_GB2312"/>
          <w:sz w:val="32"/>
          <w:szCs w:val="32"/>
        </w:rPr>
        <w:tab/>
      </w:r>
      <w:r>
        <w:rPr>
          <w:rFonts w:hint="eastAsia" w:ascii="仿宋_GB2312" w:hAnsi="仿宋_GB2312" w:eastAsia="仿宋_GB2312" w:cs="仿宋_GB2312"/>
          <w:sz w:val="32"/>
          <w:szCs w:val="32"/>
          <w:lang w:val="en-US" w:eastAsia="zh-CN"/>
        </w:rPr>
        <w:t>27</w:t>
      </w:r>
      <w:bookmarkStart w:id="73" w:name="_GoBack"/>
      <w:bookmarkEnd w:id="73"/>
    </w:p>
    <w:p>
      <w:pPr>
        <w:pStyle w:val="11"/>
        <w:adjustRightInd w:val="0"/>
        <w:snapToGrid w:val="0"/>
        <w:spacing w:line="440" w:lineRule="exact"/>
        <w:jc w:val="left"/>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rPr>
        <w:t>六、一般公共预算财政拨款支出决算表</w:t>
      </w:r>
      <w:r>
        <w:rPr>
          <w:rFonts w:hint="eastAsia" w:ascii="仿宋_GB2312" w:hAnsi="仿宋_GB2312" w:eastAsia="仿宋_GB2312" w:cs="仿宋_GB2312"/>
          <w:sz w:val="32"/>
          <w:szCs w:val="32"/>
        </w:rPr>
        <w:tab/>
      </w:r>
      <w:r>
        <w:rPr>
          <w:rFonts w:hint="eastAsia" w:ascii="仿宋_GB2312" w:hAnsi="仿宋_GB2312" w:eastAsia="仿宋_GB2312" w:cs="仿宋_GB2312"/>
          <w:sz w:val="32"/>
          <w:szCs w:val="32"/>
          <w:lang w:val="en-US" w:eastAsia="zh-CN"/>
        </w:rPr>
        <w:t>27</w:t>
      </w:r>
    </w:p>
    <w:p>
      <w:pPr>
        <w:pStyle w:val="11"/>
        <w:adjustRightInd w:val="0"/>
        <w:snapToGrid w:val="0"/>
        <w:spacing w:line="440" w:lineRule="exact"/>
        <w:jc w:val="left"/>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rPr>
        <w:t>七、一般公共预算财政拨款支出决算明细表</w:t>
      </w:r>
      <w:r>
        <w:rPr>
          <w:rFonts w:hint="eastAsia" w:ascii="仿宋_GB2312" w:hAnsi="仿宋_GB2312" w:eastAsia="仿宋_GB2312" w:cs="仿宋_GB2312"/>
          <w:sz w:val="32"/>
          <w:szCs w:val="32"/>
        </w:rPr>
        <w:tab/>
      </w:r>
      <w:r>
        <w:rPr>
          <w:rFonts w:hint="eastAsia" w:ascii="仿宋_GB2312" w:hAnsi="仿宋_GB2312" w:eastAsia="仿宋_GB2312" w:cs="仿宋_GB2312"/>
          <w:sz w:val="32"/>
          <w:szCs w:val="32"/>
          <w:lang w:val="en-US" w:eastAsia="zh-CN"/>
        </w:rPr>
        <w:t>27</w:t>
      </w:r>
    </w:p>
    <w:p>
      <w:pPr>
        <w:pStyle w:val="11"/>
        <w:adjustRightInd w:val="0"/>
        <w:snapToGrid w:val="0"/>
        <w:spacing w:line="440" w:lineRule="exact"/>
        <w:jc w:val="left"/>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rPr>
        <w:t>八、一般公共预算财政拨款基本支出决算表</w:t>
      </w:r>
      <w:r>
        <w:rPr>
          <w:rFonts w:hint="eastAsia" w:ascii="仿宋_GB2312" w:hAnsi="仿宋_GB2312" w:eastAsia="仿宋_GB2312" w:cs="仿宋_GB2312"/>
          <w:sz w:val="32"/>
          <w:szCs w:val="32"/>
        </w:rPr>
        <w:tab/>
      </w:r>
      <w:r>
        <w:rPr>
          <w:rFonts w:hint="eastAsia" w:ascii="仿宋_GB2312" w:hAnsi="仿宋_GB2312" w:eastAsia="仿宋_GB2312" w:cs="仿宋_GB2312"/>
          <w:sz w:val="32"/>
          <w:szCs w:val="32"/>
          <w:lang w:val="en-US" w:eastAsia="zh-CN"/>
        </w:rPr>
        <w:t>27</w:t>
      </w:r>
    </w:p>
    <w:p>
      <w:pPr>
        <w:pStyle w:val="11"/>
        <w:adjustRightInd w:val="0"/>
        <w:snapToGrid w:val="0"/>
        <w:spacing w:line="440" w:lineRule="exact"/>
        <w:jc w:val="left"/>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rPr>
        <w:t>九、一般公共预算财政拨款项目支出决算表</w:t>
      </w:r>
      <w:r>
        <w:rPr>
          <w:rFonts w:hint="eastAsia" w:ascii="仿宋_GB2312" w:hAnsi="仿宋_GB2312" w:eastAsia="仿宋_GB2312" w:cs="仿宋_GB2312"/>
          <w:sz w:val="32"/>
          <w:szCs w:val="32"/>
        </w:rPr>
        <w:tab/>
      </w:r>
      <w:r>
        <w:rPr>
          <w:rFonts w:hint="eastAsia" w:ascii="仿宋_GB2312" w:hAnsi="仿宋_GB2312" w:eastAsia="仿宋_GB2312" w:cs="仿宋_GB2312"/>
          <w:sz w:val="32"/>
          <w:szCs w:val="32"/>
          <w:lang w:val="en-US" w:eastAsia="zh-CN"/>
        </w:rPr>
        <w:t>27</w:t>
      </w:r>
    </w:p>
    <w:p>
      <w:pPr>
        <w:pStyle w:val="11"/>
        <w:adjustRightInd w:val="0"/>
        <w:snapToGrid w:val="0"/>
        <w:spacing w:line="440" w:lineRule="exact"/>
        <w:jc w:val="left"/>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rPr>
        <w:t>十、一般公共预算财政拨款“三公”经费支出决算表</w:t>
      </w:r>
      <w:r>
        <w:rPr>
          <w:rFonts w:hint="eastAsia" w:ascii="仿宋_GB2312" w:hAnsi="仿宋_GB2312" w:eastAsia="仿宋_GB2312" w:cs="仿宋_GB2312"/>
          <w:sz w:val="32"/>
          <w:szCs w:val="32"/>
        </w:rPr>
        <w:tab/>
      </w:r>
      <w:r>
        <w:rPr>
          <w:rFonts w:hint="eastAsia" w:ascii="仿宋_GB2312" w:hAnsi="仿宋_GB2312" w:eastAsia="仿宋_GB2312" w:cs="仿宋_GB2312"/>
          <w:sz w:val="32"/>
          <w:szCs w:val="32"/>
          <w:lang w:val="en-US" w:eastAsia="zh-CN"/>
        </w:rPr>
        <w:t>27</w:t>
      </w:r>
    </w:p>
    <w:p>
      <w:pPr>
        <w:pStyle w:val="11"/>
        <w:adjustRightInd w:val="0"/>
        <w:snapToGrid w:val="0"/>
        <w:spacing w:line="440" w:lineRule="exact"/>
        <w:jc w:val="left"/>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rPr>
        <w:t>十一、政府性基金预算财政拨款收入支出决算表</w:t>
      </w:r>
      <w:r>
        <w:rPr>
          <w:rFonts w:hint="eastAsia" w:ascii="仿宋_GB2312" w:hAnsi="仿宋_GB2312" w:eastAsia="仿宋_GB2312" w:cs="仿宋_GB2312"/>
          <w:sz w:val="32"/>
          <w:szCs w:val="32"/>
        </w:rPr>
        <w:tab/>
      </w:r>
      <w:r>
        <w:rPr>
          <w:rFonts w:hint="eastAsia" w:ascii="仿宋_GB2312" w:hAnsi="仿宋_GB2312" w:eastAsia="仿宋_GB2312" w:cs="仿宋_GB2312"/>
          <w:sz w:val="32"/>
          <w:szCs w:val="32"/>
          <w:lang w:val="en-US" w:eastAsia="zh-CN"/>
        </w:rPr>
        <w:t>27</w:t>
      </w:r>
    </w:p>
    <w:p>
      <w:pPr>
        <w:pStyle w:val="11"/>
        <w:adjustRightInd w:val="0"/>
        <w:snapToGrid w:val="0"/>
        <w:spacing w:line="440" w:lineRule="exact"/>
        <w:jc w:val="left"/>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rPr>
        <w:t>十二、政府性基金预算财政拨款“三公”经费支出决算表</w:t>
      </w:r>
      <w:r>
        <w:rPr>
          <w:rFonts w:hint="eastAsia" w:ascii="仿宋_GB2312" w:hAnsi="仿宋_GB2312" w:eastAsia="仿宋_GB2312" w:cs="仿宋_GB2312"/>
          <w:sz w:val="32"/>
          <w:szCs w:val="32"/>
        </w:rPr>
        <w:tab/>
      </w:r>
      <w:r>
        <w:rPr>
          <w:rFonts w:hint="eastAsia" w:ascii="仿宋_GB2312" w:hAnsi="仿宋_GB2312" w:eastAsia="仿宋_GB2312" w:cs="仿宋_GB2312"/>
          <w:sz w:val="32"/>
          <w:szCs w:val="32"/>
          <w:lang w:val="en-US" w:eastAsia="zh-CN"/>
        </w:rPr>
        <w:t>27</w:t>
      </w:r>
    </w:p>
    <w:p>
      <w:pPr>
        <w:pStyle w:val="11"/>
        <w:adjustRightInd w:val="0"/>
        <w:snapToGrid w:val="0"/>
        <w:spacing w:line="440" w:lineRule="exact"/>
        <w:jc w:val="left"/>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rPr>
        <w:t>十三、国有资本经营预算支出决算表</w:t>
      </w:r>
      <w:r>
        <w:rPr>
          <w:rFonts w:hint="eastAsia" w:ascii="仿宋_GB2312" w:hAnsi="仿宋_GB2312" w:eastAsia="仿宋_GB2312" w:cs="仿宋_GB2312"/>
          <w:sz w:val="32"/>
          <w:szCs w:val="32"/>
        </w:rPr>
        <w:tab/>
      </w:r>
      <w:r>
        <w:rPr>
          <w:rFonts w:hint="eastAsia" w:ascii="仿宋_GB2312" w:hAnsi="仿宋_GB2312" w:eastAsia="仿宋_GB2312" w:cs="仿宋_GB2312"/>
          <w:sz w:val="32"/>
          <w:szCs w:val="32"/>
          <w:lang w:val="en-US" w:eastAsia="zh-CN"/>
        </w:rPr>
        <w:t>27</w:t>
      </w:r>
    </w:p>
    <w:p>
      <w:pPr>
        <w:widowControl/>
        <w:spacing w:line="440" w:lineRule="exact"/>
        <w:jc w:val="left"/>
        <w:rPr>
          <w:rFonts w:hint="eastAsia" w:ascii="仿宋_GB2312" w:hAnsi="仿宋_GB2312" w:eastAsia="仿宋_GB2312" w:cs="仿宋_GB2312"/>
          <w:bCs/>
          <w:kern w:val="44"/>
          <w:sz w:val="32"/>
          <w:szCs w:val="32"/>
        </w:rPr>
      </w:pPr>
      <w:bookmarkStart w:id="12" w:name="_Toc15377196"/>
      <w:bookmarkStart w:id="13" w:name="_Toc15396599"/>
      <w:r>
        <w:rPr>
          <w:rFonts w:hint="eastAsia" w:ascii="仿宋_GB2312" w:hAnsi="仿宋_GB2312" w:eastAsia="仿宋_GB2312" w:cs="仿宋_GB2312"/>
          <w:b/>
          <w:sz w:val="32"/>
          <w:szCs w:val="32"/>
        </w:rPr>
        <w:br w:type="page"/>
      </w:r>
    </w:p>
    <w:p>
      <w:pPr>
        <w:pStyle w:val="2"/>
        <w:numPr>
          <w:ilvl w:val="0"/>
          <w:numId w:val="1"/>
        </w:numPr>
        <w:jc w:val="center"/>
      </w:pPr>
      <w:r>
        <w:rPr>
          <w:rStyle w:val="24"/>
          <w:rFonts w:hint="eastAsia" w:ascii="黑体" w:hAnsi="黑体" w:eastAsia="黑体"/>
          <w:b w:val="0"/>
          <w:bCs w:val="0"/>
        </w:rPr>
        <w:t>部门概况</w:t>
      </w:r>
      <w:bookmarkEnd w:id="12"/>
      <w:bookmarkEnd w:id="13"/>
    </w:p>
    <w:p>
      <w:pPr>
        <w:pStyle w:val="3"/>
        <w:ind w:firstLine="640" w:firstLineChars="200"/>
        <w:rPr>
          <w:rStyle w:val="25"/>
          <w:rFonts w:ascii="仿宋" w:hAnsi="仿宋" w:eastAsia="仿宋"/>
          <w:b w:val="0"/>
          <w:bCs w:val="0"/>
        </w:rPr>
      </w:pPr>
      <w:bookmarkStart w:id="14" w:name="_Toc15396600"/>
      <w:bookmarkStart w:id="15" w:name="_Toc15377197"/>
      <w:r>
        <w:rPr>
          <w:rFonts w:hint="eastAsia" w:ascii="黑体" w:hAnsi="黑体" w:eastAsia="黑体"/>
          <w:b w:val="0"/>
          <w:color w:val="000000"/>
        </w:rPr>
        <w:t>一、基</w:t>
      </w:r>
      <w:r>
        <w:rPr>
          <w:rStyle w:val="25"/>
          <w:rFonts w:hint="eastAsia" w:ascii="黑体" w:hAnsi="黑体" w:eastAsia="黑体"/>
          <w:b w:val="0"/>
          <w:bCs w:val="0"/>
        </w:rPr>
        <w:t>本职能及主要工作</w:t>
      </w:r>
      <w:bookmarkEnd w:id="14"/>
      <w:bookmarkEnd w:id="15"/>
    </w:p>
    <w:p>
      <w:pPr>
        <w:pStyle w:val="5"/>
        <w:adjustRightInd w:val="0"/>
        <w:snapToGrid w:val="0"/>
        <w:spacing w:before="93" w:line="600" w:lineRule="exact"/>
        <w:ind w:firstLine="674" w:firstLineChars="210"/>
        <w:outlineLvl w:val="2"/>
        <w:rPr>
          <w:rFonts w:hint="eastAsia" w:ascii="仿宋" w:hAnsi="仿宋" w:eastAsia="仿宋"/>
          <w:bCs/>
          <w:color w:val="000000"/>
          <w:sz w:val="32"/>
          <w:szCs w:val="32"/>
        </w:rPr>
      </w:pPr>
      <w:bookmarkStart w:id="16" w:name="_Toc15377198"/>
      <w:bookmarkStart w:id="17" w:name="_Toc15378445"/>
      <w:r>
        <w:rPr>
          <w:rFonts w:hint="eastAsia" w:ascii="楷体" w:hAnsi="楷体" w:eastAsia="楷体" w:cs="楷体"/>
          <w:b/>
          <w:bCs w:val="0"/>
          <w:color w:val="000000"/>
          <w:sz w:val="32"/>
          <w:szCs w:val="32"/>
        </w:rPr>
        <w:t>（一）主要职能</w:t>
      </w:r>
    </w:p>
    <w:p>
      <w:pPr>
        <w:pStyle w:val="5"/>
        <w:adjustRightInd w:val="0"/>
        <w:snapToGrid w:val="0"/>
        <w:spacing w:before="93" w:line="600" w:lineRule="exact"/>
        <w:ind w:firstLine="672" w:firstLineChars="210"/>
        <w:outlineLvl w:val="2"/>
        <w:rPr>
          <w:rFonts w:hint="eastAsia" w:ascii="仿宋" w:hAnsi="仿宋" w:eastAsia="仿宋"/>
          <w:bCs/>
          <w:color w:val="000000"/>
          <w:sz w:val="32"/>
          <w:szCs w:val="32"/>
          <w:lang w:eastAsia="zh-CN"/>
        </w:rPr>
      </w:pPr>
      <w:r>
        <w:rPr>
          <w:rFonts w:hint="eastAsia" w:ascii="仿宋" w:hAnsi="仿宋" w:eastAsia="仿宋"/>
          <w:bCs/>
          <w:color w:val="000000"/>
          <w:sz w:val="32"/>
          <w:szCs w:val="32"/>
          <w:lang w:val="en-US" w:eastAsia="zh-CN"/>
        </w:rPr>
        <w:t>1.</w:t>
      </w:r>
      <w:r>
        <w:rPr>
          <w:rFonts w:hint="eastAsia" w:ascii="仿宋" w:hAnsi="仿宋" w:eastAsia="仿宋"/>
          <w:bCs/>
          <w:color w:val="000000"/>
          <w:sz w:val="32"/>
          <w:szCs w:val="32"/>
        </w:rPr>
        <w:t>宣传贯彻党中央、国务院、省委、省政府和州委、市政府及县委县政府有关农业、农村经济工作和社会发展方针政策，维护全县供销社的合法权益</w:t>
      </w:r>
      <w:r>
        <w:rPr>
          <w:rFonts w:hint="eastAsia" w:ascii="仿宋" w:hAnsi="仿宋" w:eastAsia="仿宋"/>
          <w:bCs/>
          <w:color w:val="000000"/>
          <w:sz w:val="32"/>
          <w:szCs w:val="32"/>
          <w:lang w:eastAsia="zh-CN"/>
        </w:rPr>
        <w:t>。</w:t>
      </w:r>
    </w:p>
    <w:p>
      <w:pPr>
        <w:pStyle w:val="5"/>
        <w:adjustRightInd w:val="0"/>
        <w:snapToGrid w:val="0"/>
        <w:spacing w:before="93" w:line="600" w:lineRule="exact"/>
        <w:ind w:firstLine="672" w:firstLineChars="210"/>
        <w:outlineLvl w:val="2"/>
        <w:rPr>
          <w:rFonts w:hint="eastAsia" w:ascii="仿宋" w:hAnsi="仿宋" w:eastAsia="仿宋"/>
          <w:bCs/>
          <w:color w:val="000000"/>
          <w:sz w:val="32"/>
          <w:szCs w:val="32"/>
          <w:lang w:eastAsia="zh-CN"/>
        </w:rPr>
      </w:pPr>
      <w:r>
        <w:rPr>
          <w:rFonts w:hint="eastAsia" w:ascii="仿宋" w:hAnsi="仿宋" w:eastAsia="仿宋"/>
          <w:bCs/>
          <w:color w:val="000000"/>
          <w:sz w:val="32"/>
          <w:szCs w:val="32"/>
          <w:lang w:val="en-US" w:eastAsia="zh-CN"/>
        </w:rPr>
        <w:t>2.</w:t>
      </w:r>
      <w:r>
        <w:rPr>
          <w:rFonts w:hint="eastAsia" w:ascii="仿宋" w:hAnsi="仿宋" w:eastAsia="仿宋"/>
          <w:bCs/>
          <w:color w:val="000000"/>
          <w:sz w:val="32"/>
          <w:szCs w:val="32"/>
        </w:rPr>
        <w:t>研究和制定全县供销合作社发展规划，指导全县供销合作社的企业改革和发展</w:t>
      </w:r>
      <w:r>
        <w:rPr>
          <w:rFonts w:hint="eastAsia" w:ascii="仿宋" w:hAnsi="仿宋" w:eastAsia="仿宋"/>
          <w:bCs/>
          <w:color w:val="000000"/>
          <w:sz w:val="32"/>
          <w:szCs w:val="32"/>
          <w:lang w:eastAsia="zh-CN"/>
        </w:rPr>
        <w:t>。</w:t>
      </w:r>
    </w:p>
    <w:p>
      <w:pPr>
        <w:pStyle w:val="5"/>
        <w:adjustRightInd w:val="0"/>
        <w:snapToGrid w:val="0"/>
        <w:spacing w:before="93" w:line="600" w:lineRule="exact"/>
        <w:ind w:firstLine="672" w:firstLineChars="210"/>
        <w:outlineLvl w:val="2"/>
        <w:rPr>
          <w:rFonts w:hint="eastAsia" w:ascii="仿宋" w:hAnsi="仿宋" w:eastAsia="仿宋"/>
          <w:bCs/>
          <w:color w:val="000000"/>
          <w:sz w:val="32"/>
          <w:szCs w:val="32"/>
          <w:lang w:eastAsia="zh-CN"/>
        </w:rPr>
      </w:pPr>
      <w:r>
        <w:rPr>
          <w:rFonts w:hint="eastAsia" w:ascii="仿宋" w:hAnsi="仿宋" w:eastAsia="仿宋"/>
          <w:bCs/>
          <w:color w:val="000000"/>
          <w:sz w:val="32"/>
          <w:szCs w:val="32"/>
          <w:lang w:val="en-US" w:eastAsia="zh-CN"/>
        </w:rPr>
        <w:t>3.</w:t>
      </w:r>
      <w:r>
        <w:rPr>
          <w:rFonts w:hint="eastAsia" w:ascii="仿宋" w:hAnsi="仿宋" w:eastAsia="仿宋"/>
          <w:bCs/>
          <w:color w:val="000000"/>
          <w:sz w:val="32"/>
          <w:szCs w:val="32"/>
        </w:rPr>
        <w:t>受政府委托，对重要农业生产资料、农副产品经营进行组织、储备、调运工作，负责烟花爆竹和废旧物资再生资源的经营及社办工业的指导</w:t>
      </w:r>
      <w:r>
        <w:rPr>
          <w:rFonts w:hint="eastAsia" w:ascii="仿宋" w:hAnsi="仿宋" w:eastAsia="仿宋"/>
          <w:bCs/>
          <w:color w:val="000000"/>
          <w:sz w:val="32"/>
          <w:szCs w:val="32"/>
          <w:lang w:eastAsia="zh-CN"/>
        </w:rPr>
        <w:t>。</w:t>
      </w:r>
    </w:p>
    <w:p>
      <w:pPr>
        <w:pStyle w:val="5"/>
        <w:adjustRightInd w:val="0"/>
        <w:snapToGrid w:val="0"/>
        <w:spacing w:before="93" w:line="600" w:lineRule="exact"/>
        <w:ind w:firstLine="672" w:firstLineChars="210"/>
        <w:outlineLvl w:val="2"/>
        <w:rPr>
          <w:rFonts w:hint="eastAsia" w:ascii="仿宋" w:hAnsi="仿宋" w:eastAsia="仿宋"/>
          <w:bCs/>
          <w:color w:val="000000"/>
          <w:sz w:val="32"/>
          <w:szCs w:val="32"/>
          <w:lang w:eastAsia="zh-CN"/>
        </w:rPr>
      </w:pPr>
      <w:r>
        <w:rPr>
          <w:rFonts w:hint="eastAsia" w:ascii="仿宋" w:hAnsi="仿宋" w:eastAsia="仿宋"/>
          <w:bCs/>
          <w:color w:val="000000"/>
          <w:sz w:val="32"/>
          <w:szCs w:val="32"/>
          <w:lang w:val="en-US" w:eastAsia="zh-CN"/>
        </w:rPr>
        <w:t>4.</w:t>
      </w:r>
      <w:r>
        <w:rPr>
          <w:rFonts w:hint="eastAsia" w:ascii="仿宋" w:hAnsi="仿宋" w:eastAsia="仿宋"/>
          <w:bCs/>
          <w:color w:val="000000"/>
          <w:sz w:val="32"/>
          <w:szCs w:val="32"/>
        </w:rPr>
        <w:t>负责对政策性商品经营资格审定、质量监督和行业管理及有关救灾物资的组织、储备、调运工作</w:t>
      </w:r>
      <w:r>
        <w:rPr>
          <w:rFonts w:hint="eastAsia" w:ascii="仿宋" w:hAnsi="仿宋" w:eastAsia="仿宋"/>
          <w:bCs/>
          <w:color w:val="000000"/>
          <w:sz w:val="32"/>
          <w:szCs w:val="32"/>
          <w:lang w:eastAsia="zh-CN"/>
        </w:rPr>
        <w:t>。</w:t>
      </w:r>
    </w:p>
    <w:p>
      <w:pPr>
        <w:pStyle w:val="5"/>
        <w:adjustRightInd w:val="0"/>
        <w:snapToGrid w:val="0"/>
        <w:spacing w:before="93" w:line="600" w:lineRule="exact"/>
        <w:ind w:firstLine="672" w:firstLineChars="210"/>
        <w:outlineLvl w:val="2"/>
        <w:rPr>
          <w:rFonts w:hint="eastAsia" w:ascii="仿宋" w:hAnsi="仿宋" w:eastAsia="仿宋"/>
          <w:bCs/>
          <w:color w:val="000000"/>
          <w:sz w:val="32"/>
          <w:szCs w:val="32"/>
          <w:lang w:eastAsia="zh-CN"/>
        </w:rPr>
      </w:pPr>
      <w:r>
        <w:rPr>
          <w:rFonts w:hint="eastAsia" w:ascii="仿宋" w:hAnsi="仿宋" w:eastAsia="仿宋"/>
          <w:bCs/>
          <w:color w:val="000000"/>
          <w:sz w:val="32"/>
          <w:szCs w:val="32"/>
          <w:lang w:val="en-US" w:eastAsia="zh-CN"/>
        </w:rPr>
        <w:t>5.</w:t>
      </w:r>
      <w:r>
        <w:rPr>
          <w:rFonts w:hint="eastAsia" w:ascii="仿宋" w:hAnsi="仿宋" w:eastAsia="仿宋"/>
          <w:bCs/>
          <w:color w:val="000000"/>
          <w:sz w:val="32"/>
          <w:szCs w:val="32"/>
        </w:rPr>
        <w:t>协调同政府有关部门、社会组织的关系，研究供销合作经济运行中的重大问题，维护合作经济组织的合法权益</w:t>
      </w:r>
      <w:r>
        <w:rPr>
          <w:rFonts w:hint="eastAsia" w:ascii="仿宋" w:hAnsi="仿宋" w:eastAsia="仿宋"/>
          <w:bCs/>
          <w:color w:val="000000"/>
          <w:sz w:val="32"/>
          <w:szCs w:val="32"/>
          <w:lang w:eastAsia="zh-CN"/>
        </w:rPr>
        <w:t>。</w:t>
      </w:r>
    </w:p>
    <w:p>
      <w:pPr>
        <w:pStyle w:val="5"/>
        <w:adjustRightInd w:val="0"/>
        <w:snapToGrid w:val="0"/>
        <w:spacing w:before="93" w:line="600" w:lineRule="exact"/>
        <w:ind w:firstLine="672" w:firstLineChars="210"/>
        <w:outlineLvl w:val="2"/>
        <w:rPr>
          <w:rFonts w:hint="eastAsia" w:ascii="仿宋" w:hAnsi="仿宋" w:eastAsia="仿宋"/>
          <w:bCs/>
          <w:color w:val="000000"/>
          <w:sz w:val="32"/>
          <w:szCs w:val="32"/>
          <w:lang w:eastAsia="zh-CN"/>
        </w:rPr>
      </w:pPr>
      <w:r>
        <w:rPr>
          <w:rFonts w:hint="eastAsia" w:ascii="仿宋" w:hAnsi="仿宋" w:eastAsia="仿宋"/>
          <w:bCs/>
          <w:color w:val="000000"/>
          <w:sz w:val="32"/>
          <w:szCs w:val="32"/>
          <w:lang w:val="en-US" w:eastAsia="zh-CN"/>
        </w:rPr>
        <w:t>6.</w:t>
      </w:r>
      <w:r>
        <w:rPr>
          <w:rFonts w:hint="eastAsia" w:ascii="仿宋" w:hAnsi="仿宋" w:eastAsia="仿宋"/>
          <w:bCs/>
          <w:color w:val="000000"/>
          <w:sz w:val="32"/>
          <w:szCs w:val="32"/>
        </w:rPr>
        <w:t>组织全县供销系统参与和推进农业产业化经营，加强农产品市场调查研究，培育农产品市场，组织发展专业合作社、消费合作社等中介服务组织，培育龙头企业，加强商品供求市场、信息服务体系建设</w:t>
      </w:r>
      <w:r>
        <w:rPr>
          <w:rFonts w:hint="eastAsia" w:ascii="仿宋" w:hAnsi="仿宋" w:eastAsia="仿宋"/>
          <w:bCs/>
          <w:color w:val="000000"/>
          <w:sz w:val="32"/>
          <w:szCs w:val="32"/>
          <w:lang w:eastAsia="zh-CN"/>
        </w:rPr>
        <w:t>。</w:t>
      </w:r>
    </w:p>
    <w:p>
      <w:pPr>
        <w:pStyle w:val="5"/>
        <w:adjustRightInd w:val="0"/>
        <w:snapToGrid w:val="0"/>
        <w:spacing w:before="93" w:line="600" w:lineRule="exact"/>
        <w:ind w:firstLine="672" w:firstLineChars="210"/>
        <w:outlineLvl w:val="2"/>
        <w:rPr>
          <w:rFonts w:hint="eastAsia" w:ascii="仿宋" w:hAnsi="仿宋" w:eastAsia="仿宋"/>
          <w:bCs/>
          <w:color w:val="000000"/>
          <w:sz w:val="32"/>
          <w:szCs w:val="32"/>
          <w:lang w:eastAsia="zh-CN"/>
        </w:rPr>
      </w:pPr>
      <w:r>
        <w:rPr>
          <w:rFonts w:hint="eastAsia" w:ascii="仿宋" w:hAnsi="仿宋" w:eastAsia="仿宋"/>
          <w:bCs/>
          <w:color w:val="000000"/>
          <w:sz w:val="32"/>
          <w:szCs w:val="32"/>
          <w:lang w:val="en-US" w:eastAsia="zh-CN"/>
        </w:rPr>
        <w:t>7.</w:t>
      </w:r>
      <w:r>
        <w:rPr>
          <w:rFonts w:hint="eastAsia" w:ascii="仿宋" w:hAnsi="仿宋" w:eastAsia="仿宋"/>
          <w:bCs/>
          <w:color w:val="000000"/>
          <w:sz w:val="32"/>
          <w:szCs w:val="32"/>
        </w:rPr>
        <w:t>指导农村社会化服务体系建设，推进建立现代流通体系和现代营销方式，发展社区性、综合性、便民性社区综合服务社，满足农牧民生产、生活等社会化服务的需要</w:t>
      </w:r>
      <w:r>
        <w:rPr>
          <w:rFonts w:hint="eastAsia" w:ascii="仿宋" w:hAnsi="仿宋" w:eastAsia="仿宋"/>
          <w:bCs/>
          <w:color w:val="000000"/>
          <w:sz w:val="32"/>
          <w:szCs w:val="32"/>
          <w:lang w:eastAsia="zh-CN"/>
        </w:rPr>
        <w:t>。</w:t>
      </w:r>
    </w:p>
    <w:p>
      <w:pPr>
        <w:pStyle w:val="5"/>
        <w:adjustRightInd w:val="0"/>
        <w:snapToGrid w:val="0"/>
        <w:spacing w:before="93" w:line="600" w:lineRule="exact"/>
        <w:ind w:firstLine="672" w:firstLineChars="210"/>
        <w:outlineLvl w:val="2"/>
        <w:rPr>
          <w:rFonts w:hint="eastAsia" w:ascii="仿宋" w:hAnsi="仿宋" w:eastAsia="仿宋"/>
          <w:bCs/>
          <w:color w:val="000000"/>
          <w:sz w:val="32"/>
          <w:szCs w:val="32"/>
          <w:lang w:eastAsia="zh-CN"/>
        </w:rPr>
      </w:pPr>
      <w:r>
        <w:rPr>
          <w:rFonts w:hint="eastAsia" w:ascii="仿宋" w:hAnsi="仿宋" w:eastAsia="仿宋"/>
          <w:bCs/>
          <w:color w:val="000000"/>
          <w:sz w:val="32"/>
          <w:szCs w:val="32"/>
          <w:lang w:val="en-US" w:eastAsia="zh-CN"/>
        </w:rPr>
        <w:t>8.</w:t>
      </w:r>
      <w:r>
        <w:rPr>
          <w:rFonts w:hint="eastAsia" w:ascii="仿宋" w:hAnsi="仿宋" w:eastAsia="仿宋"/>
          <w:bCs/>
          <w:color w:val="000000"/>
          <w:sz w:val="32"/>
          <w:szCs w:val="32"/>
        </w:rPr>
        <w:t>监督和管理社有资产，确保社有资产的保值、增值，对直属企业行使出资人的职权，依法享有资产受益、重大决策和选择经营管理者等权利</w:t>
      </w:r>
      <w:r>
        <w:rPr>
          <w:rFonts w:hint="eastAsia" w:ascii="仿宋" w:hAnsi="仿宋" w:eastAsia="仿宋"/>
          <w:bCs/>
          <w:color w:val="000000"/>
          <w:sz w:val="32"/>
          <w:szCs w:val="32"/>
          <w:lang w:eastAsia="zh-CN"/>
        </w:rPr>
        <w:t>。</w:t>
      </w:r>
    </w:p>
    <w:p>
      <w:pPr>
        <w:pStyle w:val="5"/>
        <w:adjustRightInd w:val="0"/>
        <w:snapToGrid w:val="0"/>
        <w:spacing w:before="93" w:line="600" w:lineRule="exact"/>
        <w:ind w:firstLine="672" w:firstLineChars="210"/>
        <w:outlineLvl w:val="2"/>
        <w:rPr>
          <w:rFonts w:hint="eastAsia" w:ascii="仿宋" w:hAnsi="仿宋" w:eastAsia="仿宋"/>
          <w:bCs/>
          <w:color w:val="000000"/>
          <w:sz w:val="32"/>
          <w:szCs w:val="32"/>
        </w:rPr>
      </w:pPr>
      <w:r>
        <w:rPr>
          <w:rFonts w:hint="eastAsia" w:ascii="仿宋" w:hAnsi="仿宋" w:eastAsia="仿宋"/>
          <w:bCs/>
          <w:color w:val="000000"/>
          <w:sz w:val="32"/>
          <w:szCs w:val="32"/>
          <w:lang w:val="en-US" w:eastAsia="zh-CN"/>
        </w:rPr>
        <w:t>9.</w:t>
      </w:r>
      <w:r>
        <w:rPr>
          <w:rFonts w:hint="eastAsia" w:ascii="仿宋" w:hAnsi="仿宋" w:eastAsia="仿宋"/>
          <w:bCs/>
          <w:color w:val="000000"/>
          <w:sz w:val="32"/>
          <w:szCs w:val="32"/>
        </w:rPr>
        <w:t>积极参与供销合作经济对外交流活动；承担县政府交办的其他事项。</w:t>
      </w:r>
    </w:p>
    <w:p>
      <w:pPr>
        <w:pStyle w:val="5"/>
        <w:adjustRightInd w:val="0"/>
        <w:snapToGrid w:val="0"/>
        <w:spacing w:before="93" w:line="600" w:lineRule="exact"/>
        <w:ind w:firstLine="674" w:firstLineChars="210"/>
        <w:outlineLvl w:val="2"/>
        <w:rPr>
          <w:rFonts w:hint="eastAsia" w:ascii="仿宋" w:hAnsi="仿宋" w:eastAsia="仿宋" w:cs="仿宋"/>
          <w:bCs/>
          <w:color w:val="000000"/>
          <w:sz w:val="32"/>
          <w:szCs w:val="32"/>
        </w:rPr>
      </w:pPr>
      <w:bookmarkStart w:id="18" w:name="_Toc15378446"/>
      <w:bookmarkStart w:id="19" w:name="_Toc15377199"/>
      <w:r>
        <w:rPr>
          <w:rFonts w:hint="eastAsia" w:ascii="楷体" w:hAnsi="楷体" w:eastAsia="楷体" w:cs="楷体"/>
          <w:b/>
          <w:bCs w:val="0"/>
          <w:color w:val="000000"/>
          <w:sz w:val="32"/>
          <w:szCs w:val="32"/>
        </w:rPr>
        <w:t>（二）2019年重点工作完成情况</w:t>
      </w:r>
      <w:bookmarkEnd w:id="18"/>
      <w:bookmarkEnd w:id="19"/>
    </w:p>
    <w:p>
      <w:pPr>
        <w:pStyle w:val="5"/>
        <w:adjustRightInd w:val="0"/>
        <w:snapToGrid w:val="0"/>
        <w:spacing w:before="93" w:line="600" w:lineRule="exact"/>
        <w:ind w:firstLine="672" w:firstLineChars="210"/>
        <w:outlineLvl w:val="2"/>
        <w:rPr>
          <w:rFonts w:hint="eastAsia" w:ascii="仿宋" w:hAnsi="仿宋" w:eastAsia="仿宋" w:cs="仿宋"/>
          <w:bCs/>
          <w:color w:val="000000"/>
          <w:sz w:val="32"/>
          <w:szCs w:val="32"/>
          <w:lang w:val="en-US" w:eastAsia="zh-CN"/>
        </w:rPr>
      </w:pPr>
      <w:r>
        <w:rPr>
          <w:rFonts w:hint="eastAsia" w:ascii="仿宋" w:hAnsi="仿宋" w:eastAsia="仿宋" w:cs="仿宋"/>
          <w:color w:val="000000"/>
          <w:sz w:val="32"/>
          <w:szCs w:val="32"/>
          <w:lang w:val="en-US" w:eastAsia="zh-CN"/>
        </w:rPr>
        <w:t>2019年以来，我社在县委、县政府的正确领导和州供销社的业务指导下，紧紧围绕县委、县政府关于乡村振兴、全面深化供销社综合改革和全面从严治党等统一部署，创新发展，坚持为“三农”服务办社宗旨，提升为农服务功能；坚持以市场经济为导向，提升企业市场竞争力；坚持稳中求进的工作基调，推进供销社综合改革发展，取得了较好的成效。</w:t>
      </w:r>
      <w:r>
        <w:rPr>
          <w:rFonts w:hint="eastAsia" w:ascii="仿宋" w:hAnsi="仿宋" w:eastAsia="仿宋" w:cs="仿宋"/>
          <w:bCs/>
          <w:color w:val="000000"/>
          <w:sz w:val="32"/>
          <w:szCs w:val="32"/>
          <w:lang w:val="en-US" w:eastAsia="zh-CN"/>
        </w:rPr>
        <w:t xml:space="preserve"> </w:t>
      </w:r>
    </w:p>
    <w:p>
      <w:pPr>
        <w:pStyle w:val="5"/>
        <w:adjustRightInd w:val="0"/>
        <w:snapToGrid w:val="0"/>
        <w:spacing w:before="93" w:line="600" w:lineRule="exact"/>
        <w:outlineLvl w:val="2"/>
        <w:rPr>
          <w:rFonts w:hint="eastAsia" w:ascii="仿宋" w:hAnsi="仿宋" w:eastAsia="仿宋" w:cs="仿宋"/>
          <w:bCs/>
          <w:color w:val="000000"/>
          <w:sz w:val="32"/>
          <w:szCs w:val="32"/>
          <w:lang w:val="en-US" w:eastAsia="zh-CN"/>
        </w:rPr>
      </w:pPr>
      <w:r>
        <w:rPr>
          <w:rFonts w:hint="eastAsia" w:ascii="仿宋" w:hAnsi="仿宋" w:eastAsia="仿宋" w:cs="仿宋"/>
          <w:bCs/>
          <w:color w:val="000000"/>
          <w:sz w:val="32"/>
          <w:szCs w:val="32"/>
          <w:lang w:val="en-US" w:eastAsia="zh-CN"/>
        </w:rPr>
        <w:t xml:space="preserve">   1.做好农资储备和供应，确保农业生产所需；2.积极开展便民、利民和惠利于民工作；3.严格烟花爆竹安全监管；4.开展为农服务中心及基层社建设工作；5.支持供销合作社和农民专业合作社等农村合作经济组织融合发展，</w:t>
      </w:r>
      <w:r>
        <w:rPr>
          <w:rFonts w:hint="eastAsia" w:ascii="仿宋" w:hAnsi="仿宋" w:eastAsia="仿宋" w:cs="仿宋"/>
          <w:b w:val="0"/>
          <w:bCs/>
          <w:sz w:val="32"/>
          <w:szCs w:val="32"/>
        </w:rPr>
        <w:t>积极发展生产合作、供销合作、信用合作、消费合作，加快建成以农民为主体的综合性合作社</w:t>
      </w:r>
      <w:r>
        <w:rPr>
          <w:rFonts w:hint="eastAsia" w:ascii="仿宋" w:hAnsi="仿宋" w:eastAsia="仿宋" w:cs="仿宋"/>
          <w:b w:val="0"/>
          <w:bCs/>
          <w:color w:val="000000"/>
          <w:sz w:val="32"/>
          <w:szCs w:val="32"/>
          <w:lang w:val="en-US" w:eastAsia="zh-CN"/>
        </w:rPr>
        <w:t>；6.</w:t>
      </w:r>
      <w:r>
        <w:rPr>
          <w:rFonts w:hint="eastAsia" w:ascii="仿宋" w:hAnsi="仿宋" w:eastAsia="仿宋" w:cs="仿宋"/>
          <w:b w:val="0"/>
          <w:bCs/>
          <w:sz w:val="32"/>
          <w:szCs w:val="32"/>
        </w:rPr>
        <w:t>大力推广宣传“四川扶贫”集体商标工作</w:t>
      </w:r>
      <w:r>
        <w:rPr>
          <w:rFonts w:hint="eastAsia" w:ascii="仿宋" w:hAnsi="仿宋" w:eastAsia="仿宋" w:cs="仿宋"/>
          <w:b w:val="0"/>
          <w:bCs/>
          <w:color w:val="000000"/>
          <w:sz w:val="32"/>
          <w:szCs w:val="32"/>
          <w:lang w:val="en-US" w:eastAsia="zh-CN"/>
        </w:rPr>
        <w:t>；7.</w:t>
      </w:r>
      <w:r>
        <w:rPr>
          <w:rFonts w:hint="eastAsia" w:ascii="仿宋" w:hAnsi="仿宋" w:eastAsia="仿宋" w:cs="仿宋"/>
          <w:b w:val="0"/>
          <w:bCs/>
          <w:color w:val="0D0D0D"/>
          <w:sz w:val="32"/>
          <w:szCs w:val="32"/>
          <w:shd w:val="clear" w:color="auto" w:fill="FFFFFF"/>
        </w:rPr>
        <w:t>以党建为抓手，打造学习型、服务型班子队伍</w:t>
      </w:r>
      <w:r>
        <w:rPr>
          <w:rFonts w:hint="eastAsia" w:ascii="仿宋" w:hAnsi="仿宋" w:eastAsia="仿宋" w:cs="仿宋"/>
          <w:b w:val="0"/>
          <w:bCs/>
          <w:color w:val="000000"/>
          <w:sz w:val="32"/>
          <w:szCs w:val="32"/>
          <w:lang w:val="en-US" w:eastAsia="zh-CN"/>
        </w:rPr>
        <w:t>；8.</w:t>
      </w:r>
      <w:r>
        <w:rPr>
          <w:rFonts w:hint="eastAsia" w:ascii="仿宋" w:hAnsi="仿宋" w:eastAsia="仿宋" w:cs="仿宋"/>
          <w:b w:val="0"/>
          <w:bCs/>
          <w:kern w:val="2"/>
          <w:sz w:val="32"/>
          <w:szCs w:val="32"/>
        </w:rPr>
        <w:t>抓好廉政建设，建立健全惩防体系</w:t>
      </w:r>
      <w:r>
        <w:rPr>
          <w:rFonts w:hint="eastAsia" w:ascii="仿宋" w:hAnsi="仿宋" w:eastAsia="仿宋" w:cs="仿宋"/>
          <w:b w:val="0"/>
          <w:bCs/>
          <w:color w:val="000000"/>
          <w:sz w:val="32"/>
          <w:szCs w:val="32"/>
          <w:lang w:val="en-US" w:eastAsia="zh-CN"/>
        </w:rPr>
        <w:t>；9.</w:t>
      </w:r>
      <w:r>
        <w:rPr>
          <w:rFonts w:hint="eastAsia" w:ascii="仿宋" w:hAnsi="仿宋" w:eastAsia="仿宋" w:cs="仿宋"/>
          <w:b w:val="0"/>
          <w:bCs/>
          <w:kern w:val="2"/>
          <w:sz w:val="32"/>
          <w:szCs w:val="32"/>
        </w:rPr>
        <w:t>推进法治建设，依法治社成效显著</w:t>
      </w:r>
      <w:r>
        <w:rPr>
          <w:rFonts w:hint="eastAsia" w:ascii="仿宋" w:hAnsi="仿宋" w:eastAsia="仿宋" w:cs="仿宋"/>
          <w:b w:val="0"/>
          <w:bCs/>
          <w:color w:val="000000"/>
          <w:sz w:val="32"/>
          <w:szCs w:val="32"/>
          <w:lang w:val="en-US" w:eastAsia="zh-CN"/>
        </w:rPr>
        <w:t>。</w:t>
      </w:r>
    </w:p>
    <w:bookmarkEnd w:id="16"/>
    <w:bookmarkEnd w:id="17"/>
    <w:p>
      <w:pPr>
        <w:pStyle w:val="3"/>
        <w:ind w:firstLine="640" w:firstLineChars="200"/>
        <w:rPr>
          <w:rStyle w:val="25"/>
          <w:b w:val="0"/>
          <w:bCs w:val="0"/>
        </w:rPr>
      </w:pPr>
      <w:bookmarkStart w:id="20" w:name="_Toc15396601"/>
      <w:bookmarkStart w:id="21" w:name="_Toc15377200"/>
      <w:r>
        <w:rPr>
          <w:rFonts w:hint="eastAsia" w:ascii="黑体" w:eastAsia="黑体"/>
          <w:b w:val="0"/>
          <w:color w:val="000000"/>
        </w:rPr>
        <w:t>二、</w:t>
      </w:r>
      <w:r>
        <w:rPr>
          <w:rFonts w:hint="eastAsia" w:ascii="黑体" w:hAnsi="黑体" w:eastAsia="黑体"/>
          <w:b w:val="0"/>
          <w:color w:val="000000"/>
        </w:rPr>
        <w:t>机</w:t>
      </w:r>
      <w:r>
        <w:rPr>
          <w:rStyle w:val="25"/>
          <w:rFonts w:hint="eastAsia" w:ascii="黑体" w:hAnsi="黑体" w:eastAsia="黑体"/>
          <w:b w:val="0"/>
          <w:bCs w:val="0"/>
        </w:rPr>
        <w:t>构设置</w:t>
      </w:r>
      <w:bookmarkEnd w:id="20"/>
      <w:bookmarkEnd w:id="21"/>
    </w:p>
    <w:p>
      <w:pPr>
        <w:ind w:firstLine="640" w:firstLineChars="200"/>
        <w:rPr>
          <w:rFonts w:ascii="仿宋" w:hAnsi="仿宋" w:eastAsia="仿宋"/>
          <w:sz w:val="32"/>
          <w:szCs w:val="32"/>
        </w:rPr>
      </w:pPr>
      <w:r>
        <w:rPr>
          <w:rFonts w:hint="eastAsia" w:ascii="仿宋" w:hAnsi="仿宋" w:eastAsia="仿宋"/>
          <w:sz w:val="32"/>
          <w:szCs w:val="32"/>
          <w:lang w:eastAsia="zh-CN"/>
        </w:rPr>
        <w:t>本部分</w:t>
      </w:r>
      <w:r>
        <w:rPr>
          <w:rFonts w:hint="eastAsia" w:ascii="仿宋" w:hAnsi="仿宋" w:eastAsia="仿宋"/>
          <w:sz w:val="32"/>
          <w:szCs w:val="32"/>
        </w:rPr>
        <w:t>下属二级单位</w:t>
      </w:r>
      <w:r>
        <w:rPr>
          <w:rFonts w:hint="eastAsia" w:ascii="仿宋" w:hAnsi="仿宋" w:eastAsia="仿宋"/>
          <w:sz w:val="32"/>
          <w:szCs w:val="32"/>
          <w:lang w:val="en-US" w:eastAsia="zh-CN"/>
        </w:rPr>
        <w:t>0</w:t>
      </w:r>
      <w:r>
        <w:rPr>
          <w:rFonts w:hint="eastAsia" w:ascii="仿宋" w:hAnsi="仿宋" w:eastAsia="仿宋"/>
          <w:sz w:val="32"/>
          <w:szCs w:val="32"/>
        </w:rPr>
        <w:t>个，其中行政单位</w:t>
      </w:r>
      <w:r>
        <w:rPr>
          <w:rFonts w:hint="eastAsia" w:ascii="仿宋" w:hAnsi="仿宋" w:eastAsia="仿宋"/>
          <w:sz w:val="32"/>
          <w:szCs w:val="32"/>
          <w:lang w:val="en-US" w:eastAsia="zh-CN"/>
        </w:rPr>
        <w:t>0</w:t>
      </w:r>
      <w:r>
        <w:rPr>
          <w:rFonts w:hint="eastAsia" w:ascii="仿宋" w:hAnsi="仿宋" w:eastAsia="仿宋"/>
          <w:sz w:val="32"/>
          <w:szCs w:val="32"/>
        </w:rPr>
        <w:t>个，参照公务员法管理的事业单位</w:t>
      </w:r>
      <w:r>
        <w:rPr>
          <w:rFonts w:hint="eastAsia" w:ascii="仿宋" w:hAnsi="仿宋" w:eastAsia="仿宋"/>
          <w:bCs/>
          <w:sz w:val="32"/>
          <w:szCs w:val="32"/>
          <w:lang w:val="en-US" w:eastAsia="zh-CN"/>
        </w:rPr>
        <w:t>0</w:t>
      </w:r>
      <w:r>
        <w:rPr>
          <w:rFonts w:hint="eastAsia" w:ascii="仿宋" w:hAnsi="仿宋" w:eastAsia="仿宋"/>
          <w:sz w:val="32"/>
          <w:szCs w:val="32"/>
        </w:rPr>
        <w:t>个，其他事业单位</w:t>
      </w:r>
      <w:r>
        <w:rPr>
          <w:rFonts w:hint="eastAsia" w:ascii="仿宋" w:hAnsi="仿宋" w:eastAsia="仿宋"/>
          <w:sz w:val="32"/>
          <w:szCs w:val="32"/>
          <w:lang w:val="en-US" w:eastAsia="zh-CN"/>
        </w:rPr>
        <w:t>0</w:t>
      </w:r>
      <w:r>
        <w:rPr>
          <w:rFonts w:hint="eastAsia" w:ascii="仿宋" w:hAnsi="仿宋" w:eastAsia="仿宋"/>
          <w:sz w:val="32"/>
          <w:szCs w:val="32"/>
        </w:rPr>
        <w:t>个。</w:t>
      </w:r>
    </w:p>
    <w:p>
      <w:pPr>
        <w:pStyle w:val="2"/>
        <w:ind w:right="440"/>
        <w:jc w:val="right"/>
        <w:rPr>
          <w:rStyle w:val="24"/>
          <w:rFonts w:ascii="黑体" w:hAnsi="黑体" w:eastAsia="黑体"/>
          <w:b w:val="0"/>
          <w:bCs w:val="0"/>
        </w:rPr>
      </w:pPr>
      <w:bookmarkStart w:id="22" w:name="_Toc15396602"/>
      <w:bookmarkStart w:id="23" w:name="_Toc15377204"/>
      <w:r>
        <w:rPr>
          <w:rFonts w:hint="eastAsia" w:ascii="黑体" w:hAnsi="黑体" w:eastAsia="黑体"/>
          <w:b w:val="0"/>
          <w:color w:val="000000"/>
        </w:rPr>
        <w:t>第二部分</w:t>
      </w:r>
      <w:r>
        <w:rPr>
          <w:rFonts w:hint="eastAsia" w:ascii="黑体" w:hAnsi="黑体" w:eastAsia="黑体"/>
          <w:color w:val="000000"/>
        </w:rPr>
        <w:t xml:space="preserve"> </w:t>
      </w:r>
      <w:r>
        <w:rPr>
          <w:rStyle w:val="24"/>
          <w:rFonts w:hint="eastAsia" w:ascii="黑体" w:hAnsi="黑体" w:eastAsia="黑体"/>
          <w:b w:val="0"/>
          <w:bCs w:val="0"/>
        </w:rPr>
        <w:t>2019年度部门决算情况说明</w:t>
      </w:r>
      <w:bookmarkEnd w:id="22"/>
      <w:bookmarkEnd w:id="23"/>
    </w:p>
    <w:p/>
    <w:p>
      <w:pPr>
        <w:pStyle w:val="23"/>
        <w:numPr>
          <w:ilvl w:val="0"/>
          <w:numId w:val="2"/>
        </w:numPr>
        <w:spacing w:line="600" w:lineRule="exact"/>
        <w:ind w:firstLineChars="0"/>
        <w:outlineLvl w:val="1"/>
        <w:rPr>
          <w:rStyle w:val="25"/>
          <w:rFonts w:ascii="黑体" w:hAnsi="黑体" w:eastAsia="黑体"/>
          <w:b w:val="0"/>
        </w:rPr>
      </w:pPr>
      <w:bookmarkStart w:id="24" w:name="_Toc15396603"/>
      <w:bookmarkStart w:id="25" w:name="_Toc15377205"/>
      <w:r>
        <w:rPr>
          <w:rFonts w:hint="eastAsia" w:ascii="黑体" w:hAnsi="黑体" w:eastAsia="黑体"/>
          <w:color w:val="000000"/>
          <w:sz w:val="32"/>
          <w:szCs w:val="32"/>
        </w:rPr>
        <w:t>收</w:t>
      </w:r>
      <w:r>
        <w:rPr>
          <w:rStyle w:val="25"/>
          <w:rFonts w:hint="eastAsia" w:ascii="黑体" w:hAnsi="黑体" w:eastAsia="黑体"/>
          <w:b w:val="0"/>
        </w:rPr>
        <w:t>入支出决算总体情况说明</w:t>
      </w:r>
      <w:bookmarkEnd w:id="24"/>
      <w:bookmarkEnd w:id="25"/>
    </w:p>
    <w:p>
      <w:pPr>
        <w:spacing w:line="600" w:lineRule="exact"/>
        <w:ind w:firstLine="640" w:firstLineChars="200"/>
        <w:rPr>
          <w:rFonts w:hint="eastAsia" w:ascii="仿宋" w:hAnsi="仿宋" w:eastAsia="仿宋"/>
          <w:color w:val="000000"/>
          <w:sz w:val="32"/>
          <w:szCs w:val="32"/>
          <w:lang w:eastAsia="zh-CN"/>
        </w:rPr>
      </w:pPr>
      <w:r>
        <w:rPr>
          <w:rFonts w:hint="eastAsia" w:ascii="仿宋" w:hAnsi="仿宋" w:eastAsia="仿宋"/>
          <w:color w:val="000000"/>
          <w:sz w:val="32"/>
          <w:szCs w:val="32"/>
        </w:rPr>
        <w:t>2019年度收、支总计</w:t>
      </w:r>
      <w:r>
        <w:rPr>
          <w:rFonts w:hint="eastAsia" w:ascii="仿宋" w:hAnsi="仿宋" w:eastAsia="仿宋"/>
          <w:color w:val="000000"/>
          <w:sz w:val="32"/>
          <w:szCs w:val="32"/>
          <w:lang w:val="en-US" w:eastAsia="zh-CN"/>
        </w:rPr>
        <w:t>521.85</w:t>
      </w:r>
      <w:r>
        <w:rPr>
          <w:rFonts w:hint="eastAsia" w:ascii="仿宋" w:hAnsi="仿宋" w:eastAsia="仿宋"/>
          <w:color w:val="000000"/>
          <w:sz w:val="32"/>
          <w:szCs w:val="32"/>
        </w:rPr>
        <w:t>万元。与2018年相比，收、支总计各增加</w:t>
      </w:r>
      <w:r>
        <w:rPr>
          <w:rFonts w:hint="eastAsia" w:ascii="仿宋" w:hAnsi="仿宋" w:eastAsia="仿宋"/>
          <w:color w:val="000000"/>
          <w:sz w:val="32"/>
          <w:szCs w:val="32"/>
          <w:lang w:val="en-US" w:eastAsia="zh-CN"/>
        </w:rPr>
        <w:t>276.28</w:t>
      </w:r>
      <w:r>
        <w:rPr>
          <w:rFonts w:hint="eastAsia" w:ascii="仿宋" w:hAnsi="仿宋" w:eastAsia="仿宋"/>
          <w:color w:val="000000"/>
          <w:sz w:val="32"/>
          <w:szCs w:val="32"/>
        </w:rPr>
        <w:t>万元，增长</w:t>
      </w:r>
      <w:r>
        <w:rPr>
          <w:rFonts w:hint="eastAsia" w:ascii="仿宋" w:hAnsi="仿宋" w:eastAsia="仿宋"/>
          <w:color w:val="000000"/>
          <w:sz w:val="32"/>
          <w:szCs w:val="32"/>
          <w:lang w:val="en-US" w:eastAsia="zh-CN"/>
        </w:rPr>
        <w:t>112.5</w:t>
      </w:r>
      <w:r>
        <w:rPr>
          <w:rFonts w:ascii="仿宋" w:hAnsi="仿宋" w:eastAsia="仿宋"/>
          <w:color w:val="000000"/>
          <w:sz w:val="32"/>
          <w:szCs w:val="32"/>
        </w:rPr>
        <w:t>%</w:t>
      </w:r>
      <w:r>
        <w:rPr>
          <w:rFonts w:hint="eastAsia" w:ascii="仿宋" w:hAnsi="仿宋" w:eastAsia="仿宋"/>
          <w:color w:val="000000"/>
          <w:sz w:val="32"/>
          <w:szCs w:val="32"/>
        </w:rPr>
        <w:t>。主要变动原因是</w:t>
      </w:r>
      <w:r>
        <w:rPr>
          <w:rFonts w:hint="eastAsia" w:ascii="仿宋" w:hAnsi="仿宋" w:eastAsia="仿宋"/>
          <w:color w:val="000000"/>
          <w:sz w:val="32"/>
          <w:szCs w:val="32"/>
          <w:lang w:val="en-US" w:eastAsia="zh-CN"/>
        </w:rPr>
        <w:t>2019年</w:t>
      </w:r>
      <w:r>
        <w:rPr>
          <w:rFonts w:hint="eastAsia" w:ascii="仿宋" w:hAnsi="仿宋" w:eastAsia="仿宋"/>
          <w:color w:val="000000"/>
          <w:sz w:val="32"/>
          <w:szCs w:val="32"/>
          <w:lang w:eastAsia="zh-CN"/>
        </w:rPr>
        <w:t>项目资金增加。</w:t>
      </w:r>
    </w:p>
    <w:p>
      <w:pPr>
        <w:spacing w:line="600" w:lineRule="exact"/>
        <w:ind w:firstLine="420" w:firstLineChars="200"/>
        <w:rPr>
          <w:rFonts w:ascii="仿宋" w:hAnsi="仿宋" w:eastAsia="仿宋"/>
          <w:color w:val="000000" w:themeColor="text1"/>
          <w:sz w:val="32"/>
          <w:szCs w:val="32"/>
        </w:rPr>
      </w:pPr>
      <w:r>
        <w:drawing>
          <wp:anchor distT="0" distB="0" distL="114300" distR="114300" simplePos="0" relativeHeight="251662336" behindDoc="0" locked="0" layoutInCell="1" allowOverlap="1">
            <wp:simplePos x="0" y="0"/>
            <wp:positionH relativeFrom="column">
              <wp:posOffset>271145</wp:posOffset>
            </wp:positionH>
            <wp:positionV relativeFrom="paragraph">
              <wp:posOffset>548005</wp:posOffset>
            </wp:positionV>
            <wp:extent cx="4572000" cy="2743200"/>
            <wp:effectExtent l="4445" t="4445" r="14605" b="14605"/>
            <wp:wrapTopAndBottom/>
            <wp:docPr id="3" name="图表 9"/>
            <wp:cNvGraphicFramePr/>
            <a:graphic xmlns:a="http://schemas.openxmlformats.org/drawingml/2006/main">
              <a:graphicData uri="http://schemas.openxmlformats.org/drawingml/2006/chart">
                <c:chart xmlns:c="http://schemas.openxmlformats.org/drawingml/2006/chart" xmlns:r="http://schemas.openxmlformats.org/officeDocument/2006/relationships" r:id="rId6"/>
              </a:graphicData>
            </a:graphic>
          </wp:anchor>
        </w:drawing>
      </w:r>
      <w:r>
        <w:rPr>
          <w:rFonts w:hint="eastAsia" w:ascii="仿宋" w:hAnsi="仿宋" w:eastAsia="仿宋"/>
          <w:color w:val="000000" w:themeColor="text1"/>
          <w:sz w:val="32"/>
          <w:szCs w:val="32"/>
        </w:rPr>
        <w:t>（图</w:t>
      </w:r>
      <w:r>
        <w:rPr>
          <w:rFonts w:ascii="仿宋" w:hAnsi="仿宋" w:eastAsia="仿宋"/>
          <w:color w:val="000000" w:themeColor="text1"/>
          <w:sz w:val="32"/>
          <w:szCs w:val="32"/>
        </w:rPr>
        <w:t>1</w:t>
      </w:r>
      <w:r>
        <w:rPr>
          <w:rFonts w:hint="eastAsia" w:ascii="仿宋" w:hAnsi="仿宋" w:eastAsia="仿宋"/>
          <w:color w:val="000000" w:themeColor="text1"/>
          <w:sz w:val="32"/>
          <w:szCs w:val="32"/>
        </w:rPr>
        <w:t>：收、支决算总计变动情况图）（柱状图）</w:t>
      </w:r>
    </w:p>
    <w:p>
      <w:pPr>
        <w:spacing w:line="600" w:lineRule="exact"/>
        <w:ind w:firstLine="640" w:firstLineChars="200"/>
        <w:jc w:val="left"/>
        <w:rPr>
          <w:rFonts w:ascii="仿宋_GB2312" w:eastAsia="仿宋_GB2312"/>
          <w:color w:val="000000"/>
          <w:sz w:val="32"/>
          <w:szCs w:val="32"/>
        </w:rPr>
      </w:pPr>
    </w:p>
    <w:p>
      <w:pPr>
        <w:pStyle w:val="23"/>
        <w:numPr>
          <w:ilvl w:val="0"/>
          <w:numId w:val="2"/>
        </w:numPr>
        <w:spacing w:line="600" w:lineRule="exact"/>
        <w:ind w:firstLineChars="0"/>
        <w:outlineLvl w:val="1"/>
        <w:rPr>
          <w:rStyle w:val="25"/>
          <w:rFonts w:ascii="黑体" w:hAnsi="黑体" w:eastAsia="黑体"/>
          <w:b w:val="0"/>
        </w:rPr>
      </w:pPr>
      <w:bookmarkStart w:id="26" w:name="_Toc15396604"/>
      <w:bookmarkStart w:id="27" w:name="_Toc15377206"/>
      <w:r>
        <w:rPr>
          <w:rFonts w:hint="eastAsia" w:ascii="黑体" w:hAnsi="黑体" w:eastAsia="黑体"/>
          <w:color w:val="000000"/>
          <w:sz w:val="32"/>
          <w:szCs w:val="32"/>
        </w:rPr>
        <w:t>收</w:t>
      </w:r>
      <w:r>
        <w:rPr>
          <w:rStyle w:val="25"/>
          <w:rFonts w:hint="eastAsia" w:ascii="黑体" w:hAnsi="黑体" w:eastAsia="黑体"/>
          <w:b w:val="0"/>
        </w:rPr>
        <w:t>入决算情况说明</w:t>
      </w:r>
      <w:bookmarkEnd w:id="26"/>
      <w:bookmarkEnd w:id="27"/>
    </w:p>
    <w:p>
      <w:pPr>
        <w:spacing w:line="600" w:lineRule="exact"/>
        <w:ind w:firstLine="640" w:firstLineChars="200"/>
        <w:outlineLvl w:val="1"/>
        <w:rPr>
          <w:rFonts w:ascii="仿宋" w:hAnsi="仿宋" w:eastAsia="仿宋"/>
          <w:color w:val="000000"/>
          <w:sz w:val="32"/>
          <w:szCs w:val="32"/>
        </w:rPr>
      </w:pPr>
      <w:r>
        <w:rPr>
          <w:rFonts w:ascii="仿宋" w:hAnsi="仿宋" w:eastAsia="仿宋"/>
          <w:color w:val="000000"/>
          <w:sz w:val="32"/>
          <w:szCs w:val="32"/>
        </w:rPr>
        <w:t>201</w:t>
      </w:r>
      <w:r>
        <w:rPr>
          <w:rFonts w:hint="eastAsia" w:ascii="仿宋" w:hAnsi="仿宋" w:eastAsia="仿宋"/>
          <w:color w:val="000000"/>
          <w:sz w:val="32"/>
          <w:szCs w:val="32"/>
        </w:rPr>
        <w:t>9年本年收入合计</w:t>
      </w:r>
      <w:r>
        <w:rPr>
          <w:rFonts w:hint="eastAsia" w:ascii="仿宋" w:hAnsi="仿宋" w:eastAsia="仿宋"/>
          <w:color w:val="000000"/>
          <w:sz w:val="32"/>
          <w:szCs w:val="32"/>
          <w:lang w:val="en-US" w:eastAsia="zh-CN"/>
        </w:rPr>
        <w:t>516.88</w:t>
      </w:r>
      <w:r>
        <w:rPr>
          <w:rFonts w:hint="eastAsia" w:ascii="仿宋" w:hAnsi="仿宋" w:eastAsia="仿宋"/>
          <w:color w:val="000000"/>
          <w:sz w:val="32"/>
          <w:szCs w:val="32"/>
        </w:rPr>
        <w:t>万元，其中：一般公共预算财政拨款收入</w:t>
      </w:r>
      <w:r>
        <w:rPr>
          <w:rFonts w:hint="eastAsia" w:ascii="仿宋" w:hAnsi="仿宋" w:eastAsia="仿宋"/>
          <w:color w:val="000000"/>
          <w:sz w:val="32"/>
          <w:szCs w:val="32"/>
          <w:lang w:val="en-US" w:eastAsia="zh-CN"/>
        </w:rPr>
        <w:t>516.88</w:t>
      </w:r>
      <w:r>
        <w:rPr>
          <w:rFonts w:hint="eastAsia" w:ascii="仿宋" w:hAnsi="仿宋" w:eastAsia="仿宋"/>
          <w:color w:val="000000"/>
          <w:sz w:val="32"/>
          <w:szCs w:val="32"/>
        </w:rPr>
        <w:t>万元，占</w:t>
      </w:r>
      <w:r>
        <w:rPr>
          <w:rFonts w:hint="eastAsia" w:ascii="仿宋" w:hAnsi="仿宋" w:eastAsia="仿宋"/>
          <w:color w:val="000000"/>
          <w:sz w:val="32"/>
          <w:szCs w:val="32"/>
          <w:lang w:val="en-US" w:eastAsia="zh-CN"/>
        </w:rPr>
        <w:t>100</w:t>
      </w:r>
      <w:r>
        <w:rPr>
          <w:rFonts w:ascii="仿宋" w:hAnsi="仿宋" w:eastAsia="仿宋"/>
          <w:color w:val="000000"/>
          <w:sz w:val="32"/>
          <w:szCs w:val="32"/>
        </w:rPr>
        <w:t>%</w:t>
      </w:r>
      <w:r>
        <w:rPr>
          <w:rFonts w:hint="eastAsia" w:ascii="仿宋" w:hAnsi="仿宋" w:eastAsia="仿宋"/>
          <w:color w:val="000000"/>
          <w:sz w:val="32"/>
          <w:szCs w:val="32"/>
        </w:rPr>
        <w:t>；政府性基金预算财政拨款收入</w:t>
      </w:r>
      <w:r>
        <w:rPr>
          <w:rFonts w:hint="eastAsia" w:ascii="仿宋" w:hAnsi="仿宋" w:eastAsia="仿宋"/>
          <w:color w:val="000000"/>
          <w:sz w:val="32"/>
          <w:szCs w:val="32"/>
          <w:lang w:val="en-US" w:eastAsia="zh-CN"/>
        </w:rPr>
        <w:t>0</w:t>
      </w:r>
      <w:r>
        <w:rPr>
          <w:rFonts w:hint="eastAsia" w:ascii="仿宋" w:hAnsi="仿宋" w:eastAsia="仿宋"/>
          <w:color w:val="000000"/>
          <w:sz w:val="32"/>
          <w:szCs w:val="32"/>
        </w:rPr>
        <w:t>万元；</w:t>
      </w:r>
      <w:r>
        <w:rPr>
          <w:rFonts w:hint="eastAsia" w:ascii="仿宋" w:hAnsi="仿宋" w:eastAsia="仿宋"/>
          <w:color w:val="000000" w:themeColor="text1"/>
          <w:sz w:val="32"/>
          <w:szCs w:val="32"/>
        </w:rPr>
        <w:t>上级补助收入</w:t>
      </w:r>
      <w:r>
        <w:rPr>
          <w:rFonts w:hint="eastAsia" w:ascii="仿宋" w:hAnsi="仿宋" w:eastAsia="仿宋"/>
          <w:color w:val="000000" w:themeColor="text1"/>
          <w:sz w:val="32"/>
          <w:szCs w:val="32"/>
          <w:lang w:val="en-US" w:eastAsia="zh-CN"/>
        </w:rPr>
        <w:t>0</w:t>
      </w:r>
      <w:r>
        <w:rPr>
          <w:rFonts w:hint="eastAsia" w:ascii="仿宋" w:hAnsi="仿宋" w:eastAsia="仿宋"/>
          <w:color w:val="000000"/>
          <w:sz w:val="32"/>
          <w:szCs w:val="32"/>
        </w:rPr>
        <w:t>万元；事业收入</w:t>
      </w:r>
      <w:r>
        <w:rPr>
          <w:rFonts w:hint="eastAsia" w:ascii="仿宋" w:hAnsi="仿宋" w:eastAsia="仿宋"/>
          <w:color w:val="000000"/>
          <w:sz w:val="32"/>
          <w:szCs w:val="32"/>
          <w:lang w:val="en-US" w:eastAsia="zh-CN"/>
        </w:rPr>
        <w:t>0</w:t>
      </w:r>
      <w:r>
        <w:rPr>
          <w:rFonts w:hint="eastAsia" w:ascii="仿宋" w:hAnsi="仿宋" w:eastAsia="仿宋"/>
          <w:color w:val="000000"/>
          <w:sz w:val="32"/>
          <w:szCs w:val="32"/>
        </w:rPr>
        <w:t>万元；经营收入</w:t>
      </w:r>
      <w:r>
        <w:rPr>
          <w:rFonts w:hint="eastAsia" w:ascii="仿宋" w:hAnsi="仿宋" w:eastAsia="仿宋"/>
          <w:color w:val="000000"/>
          <w:sz w:val="32"/>
          <w:szCs w:val="32"/>
          <w:lang w:val="en-US" w:eastAsia="zh-CN"/>
        </w:rPr>
        <w:t>0</w:t>
      </w:r>
      <w:r>
        <w:rPr>
          <w:rFonts w:hint="eastAsia" w:ascii="仿宋" w:hAnsi="仿宋" w:eastAsia="仿宋"/>
          <w:color w:val="000000"/>
          <w:sz w:val="32"/>
          <w:szCs w:val="32"/>
        </w:rPr>
        <w:t>万元；附属单位上缴收入</w:t>
      </w:r>
      <w:r>
        <w:rPr>
          <w:rFonts w:hint="eastAsia" w:ascii="仿宋" w:hAnsi="仿宋" w:eastAsia="仿宋"/>
          <w:color w:val="000000"/>
          <w:sz w:val="32"/>
          <w:szCs w:val="32"/>
          <w:lang w:val="en-US" w:eastAsia="zh-CN"/>
        </w:rPr>
        <w:t>0</w:t>
      </w:r>
      <w:r>
        <w:rPr>
          <w:rFonts w:hint="eastAsia" w:ascii="仿宋" w:hAnsi="仿宋" w:eastAsia="仿宋"/>
          <w:color w:val="000000"/>
          <w:sz w:val="32"/>
          <w:szCs w:val="32"/>
        </w:rPr>
        <w:t>万元；其他收入</w:t>
      </w:r>
      <w:r>
        <w:rPr>
          <w:rFonts w:hint="eastAsia" w:ascii="仿宋" w:hAnsi="仿宋" w:eastAsia="仿宋"/>
          <w:color w:val="000000"/>
          <w:sz w:val="32"/>
          <w:szCs w:val="32"/>
          <w:lang w:val="en-US" w:eastAsia="zh-CN"/>
        </w:rPr>
        <w:t>0</w:t>
      </w:r>
      <w:r>
        <w:rPr>
          <w:rFonts w:hint="eastAsia" w:ascii="仿宋" w:hAnsi="仿宋" w:eastAsia="仿宋"/>
          <w:color w:val="000000"/>
          <w:sz w:val="32"/>
          <w:szCs w:val="32"/>
        </w:rPr>
        <w:t>万元。</w:t>
      </w:r>
    </w:p>
    <w:p>
      <w:pPr>
        <w:spacing w:line="600" w:lineRule="exact"/>
        <w:ind w:firstLine="640" w:firstLineChars="200"/>
        <w:outlineLvl w:val="1"/>
        <w:rPr>
          <w:rFonts w:ascii="仿宋" w:hAnsi="仿宋" w:eastAsia="仿宋"/>
          <w:color w:val="000000"/>
          <w:sz w:val="32"/>
          <w:szCs w:val="32"/>
        </w:rPr>
      </w:pPr>
    </w:p>
    <w:p>
      <w:pPr>
        <w:spacing w:line="600" w:lineRule="exact"/>
        <w:ind w:firstLine="640" w:firstLineChars="200"/>
        <w:rPr>
          <w:rFonts w:hint="eastAsia" w:ascii="仿宋" w:hAnsi="仿宋" w:eastAsia="仿宋"/>
          <w:color w:val="000000" w:themeColor="text1"/>
          <w:sz w:val="32"/>
          <w:szCs w:val="32"/>
        </w:rPr>
      </w:pPr>
      <w:r>
        <w:rPr>
          <w:rFonts w:hint="eastAsia" w:ascii="仿宋" w:hAnsi="仿宋" w:eastAsia="仿宋"/>
          <w:color w:val="000000" w:themeColor="text1"/>
          <w:sz w:val="32"/>
          <w:szCs w:val="32"/>
        </w:rPr>
        <w:t>（图2：收入决算结构图）（饼状图）</w:t>
      </w:r>
    </w:p>
    <w:p>
      <w:pPr>
        <w:spacing w:line="600" w:lineRule="exact"/>
        <w:ind w:firstLine="420" w:firstLineChars="200"/>
        <w:rPr>
          <w:rFonts w:hint="eastAsia" w:ascii="仿宋" w:hAnsi="仿宋" w:eastAsia="仿宋"/>
          <w:color w:val="000000" w:themeColor="text1"/>
          <w:sz w:val="32"/>
          <w:szCs w:val="32"/>
        </w:rPr>
      </w:pPr>
      <w:r>
        <w:drawing>
          <wp:anchor distT="0" distB="0" distL="114300" distR="114300" simplePos="0" relativeHeight="251659264" behindDoc="0" locked="0" layoutInCell="1" allowOverlap="1">
            <wp:simplePos x="0" y="0"/>
            <wp:positionH relativeFrom="column">
              <wp:posOffset>323850</wp:posOffset>
            </wp:positionH>
            <wp:positionV relativeFrom="paragraph">
              <wp:posOffset>246380</wp:posOffset>
            </wp:positionV>
            <wp:extent cx="4572000" cy="2743200"/>
            <wp:effectExtent l="4445" t="4445" r="14605" b="14605"/>
            <wp:wrapTopAndBottom/>
            <wp:docPr id="9" name="图表 8"/>
            <wp:cNvGraphicFramePr/>
            <a:graphic xmlns:a="http://schemas.openxmlformats.org/drawingml/2006/main">
              <a:graphicData uri="http://schemas.openxmlformats.org/drawingml/2006/chart">
                <c:chart xmlns:c="http://schemas.openxmlformats.org/drawingml/2006/chart" xmlns:r="http://schemas.openxmlformats.org/officeDocument/2006/relationships" r:id="rId7"/>
              </a:graphicData>
            </a:graphic>
          </wp:anchor>
        </w:drawing>
      </w:r>
    </w:p>
    <w:p>
      <w:pPr>
        <w:spacing w:line="600" w:lineRule="exact"/>
        <w:ind w:firstLine="640" w:firstLineChars="200"/>
        <w:rPr>
          <w:rFonts w:ascii="仿宋_GB2312" w:eastAsia="仿宋_GB2312"/>
          <w:color w:val="FF0000"/>
          <w:sz w:val="32"/>
          <w:szCs w:val="32"/>
        </w:rPr>
      </w:pPr>
    </w:p>
    <w:p>
      <w:pPr>
        <w:pStyle w:val="23"/>
        <w:numPr>
          <w:ilvl w:val="0"/>
          <w:numId w:val="2"/>
        </w:numPr>
        <w:spacing w:line="600" w:lineRule="exact"/>
        <w:ind w:firstLineChars="0"/>
        <w:outlineLvl w:val="1"/>
        <w:rPr>
          <w:rStyle w:val="25"/>
          <w:rFonts w:ascii="黑体" w:hAnsi="黑体" w:eastAsia="黑体"/>
          <w:b w:val="0"/>
        </w:rPr>
      </w:pPr>
      <w:bookmarkStart w:id="28" w:name="_Toc15377207"/>
      <w:bookmarkStart w:id="29" w:name="_Toc15396605"/>
      <w:r>
        <w:rPr>
          <w:rFonts w:hint="eastAsia" w:ascii="黑体" w:hAnsi="黑体" w:eastAsia="黑体"/>
          <w:color w:val="000000"/>
          <w:sz w:val="32"/>
          <w:szCs w:val="32"/>
        </w:rPr>
        <w:t>支</w:t>
      </w:r>
      <w:r>
        <w:rPr>
          <w:rStyle w:val="25"/>
          <w:rFonts w:hint="eastAsia" w:ascii="黑体" w:hAnsi="黑体" w:eastAsia="黑体"/>
          <w:b w:val="0"/>
        </w:rPr>
        <w:t>出决算情况说明</w:t>
      </w:r>
      <w:bookmarkEnd w:id="28"/>
      <w:bookmarkEnd w:id="29"/>
    </w:p>
    <w:p>
      <w:pPr>
        <w:spacing w:line="600" w:lineRule="exact"/>
        <w:ind w:firstLine="640" w:firstLineChars="200"/>
        <w:outlineLvl w:val="1"/>
        <w:rPr>
          <w:rFonts w:ascii="仿宋" w:hAnsi="仿宋" w:eastAsia="仿宋"/>
          <w:color w:val="000000"/>
          <w:sz w:val="32"/>
          <w:szCs w:val="32"/>
        </w:rPr>
      </w:pPr>
      <w:r>
        <w:rPr>
          <w:rFonts w:ascii="仿宋" w:hAnsi="仿宋" w:eastAsia="仿宋"/>
          <w:color w:val="000000"/>
          <w:sz w:val="32"/>
          <w:szCs w:val="32"/>
        </w:rPr>
        <w:t>201</w:t>
      </w:r>
      <w:r>
        <w:rPr>
          <w:rFonts w:hint="eastAsia" w:ascii="仿宋" w:hAnsi="仿宋" w:eastAsia="仿宋"/>
          <w:color w:val="000000"/>
          <w:sz w:val="32"/>
          <w:szCs w:val="32"/>
        </w:rPr>
        <w:t>9年本年支出合计</w:t>
      </w:r>
      <w:r>
        <w:rPr>
          <w:rFonts w:hint="eastAsia" w:ascii="仿宋" w:hAnsi="仿宋" w:eastAsia="仿宋"/>
          <w:color w:val="000000"/>
          <w:sz w:val="32"/>
          <w:szCs w:val="32"/>
          <w:lang w:val="en-US" w:eastAsia="zh-CN"/>
        </w:rPr>
        <w:t>521.85</w:t>
      </w:r>
      <w:r>
        <w:rPr>
          <w:rFonts w:hint="eastAsia" w:ascii="仿宋" w:hAnsi="仿宋" w:eastAsia="仿宋"/>
          <w:color w:val="000000"/>
          <w:sz w:val="32"/>
          <w:szCs w:val="32"/>
        </w:rPr>
        <w:t>万元，其中：基本支出</w:t>
      </w:r>
      <w:r>
        <w:rPr>
          <w:rFonts w:hint="eastAsia" w:ascii="仿宋" w:hAnsi="仿宋" w:eastAsia="仿宋"/>
          <w:color w:val="000000"/>
          <w:sz w:val="32"/>
          <w:szCs w:val="32"/>
          <w:lang w:val="en-US" w:eastAsia="zh-CN"/>
        </w:rPr>
        <w:t>220.44</w:t>
      </w:r>
      <w:r>
        <w:rPr>
          <w:rFonts w:hint="eastAsia" w:ascii="仿宋" w:hAnsi="仿宋" w:eastAsia="仿宋"/>
          <w:color w:val="000000"/>
          <w:sz w:val="32"/>
          <w:szCs w:val="32"/>
        </w:rPr>
        <w:t>万元，占</w:t>
      </w:r>
      <w:r>
        <w:rPr>
          <w:rFonts w:hint="eastAsia" w:ascii="仿宋" w:hAnsi="仿宋" w:eastAsia="仿宋"/>
          <w:color w:val="000000"/>
          <w:sz w:val="32"/>
          <w:szCs w:val="32"/>
          <w:lang w:val="en-US" w:eastAsia="zh-CN"/>
        </w:rPr>
        <w:t>42.24</w:t>
      </w:r>
      <w:r>
        <w:rPr>
          <w:rFonts w:ascii="仿宋" w:hAnsi="仿宋" w:eastAsia="仿宋"/>
          <w:color w:val="000000"/>
          <w:sz w:val="32"/>
          <w:szCs w:val="32"/>
        </w:rPr>
        <w:t>%</w:t>
      </w:r>
      <w:r>
        <w:rPr>
          <w:rFonts w:hint="eastAsia" w:ascii="仿宋" w:hAnsi="仿宋" w:eastAsia="仿宋"/>
          <w:color w:val="000000"/>
          <w:sz w:val="32"/>
          <w:szCs w:val="32"/>
        </w:rPr>
        <w:t>；项目支出</w:t>
      </w:r>
      <w:r>
        <w:rPr>
          <w:rFonts w:hint="eastAsia" w:ascii="仿宋" w:hAnsi="仿宋" w:eastAsia="仿宋"/>
          <w:color w:val="000000"/>
          <w:sz w:val="32"/>
          <w:szCs w:val="32"/>
          <w:lang w:val="en-US" w:eastAsia="zh-CN"/>
        </w:rPr>
        <w:t>301.41</w:t>
      </w:r>
      <w:r>
        <w:rPr>
          <w:rFonts w:hint="eastAsia" w:ascii="仿宋" w:hAnsi="仿宋" w:eastAsia="仿宋"/>
          <w:color w:val="000000"/>
          <w:sz w:val="32"/>
          <w:szCs w:val="32"/>
        </w:rPr>
        <w:t>万元，占</w:t>
      </w:r>
      <w:r>
        <w:rPr>
          <w:rFonts w:hint="eastAsia" w:ascii="仿宋" w:hAnsi="仿宋" w:eastAsia="仿宋"/>
          <w:color w:val="000000"/>
          <w:sz w:val="32"/>
          <w:szCs w:val="32"/>
          <w:lang w:val="en-US" w:eastAsia="zh-CN"/>
        </w:rPr>
        <w:t>57.76</w:t>
      </w:r>
      <w:r>
        <w:rPr>
          <w:rFonts w:ascii="仿宋" w:hAnsi="仿宋" w:eastAsia="仿宋"/>
          <w:color w:val="000000"/>
          <w:sz w:val="32"/>
          <w:szCs w:val="32"/>
        </w:rPr>
        <w:t>%</w:t>
      </w:r>
      <w:r>
        <w:rPr>
          <w:rFonts w:hint="eastAsia" w:ascii="仿宋" w:hAnsi="仿宋" w:eastAsia="仿宋"/>
          <w:color w:val="000000"/>
          <w:sz w:val="32"/>
          <w:szCs w:val="32"/>
        </w:rPr>
        <w:t>；上缴上级支出</w:t>
      </w:r>
      <w:r>
        <w:rPr>
          <w:rFonts w:hint="eastAsia" w:ascii="仿宋" w:hAnsi="仿宋" w:eastAsia="仿宋"/>
          <w:color w:val="000000"/>
          <w:sz w:val="32"/>
          <w:szCs w:val="32"/>
          <w:lang w:val="en-US" w:eastAsia="zh-CN"/>
        </w:rPr>
        <w:t>0</w:t>
      </w:r>
      <w:r>
        <w:rPr>
          <w:rFonts w:hint="eastAsia" w:ascii="仿宋" w:hAnsi="仿宋" w:eastAsia="仿宋"/>
          <w:color w:val="000000"/>
          <w:sz w:val="32"/>
          <w:szCs w:val="32"/>
        </w:rPr>
        <w:t>万元；经营支出</w:t>
      </w:r>
      <w:r>
        <w:rPr>
          <w:rFonts w:hint="eastAsia" w:ascii="仿宋" w:hAnsi="仿宋" w:eastAsia="仿宋"/>
          <w:color w:val="000000"/>
          <w:sz w:val="32"/>
          <w:szCs w:val="32"/>
          <w:lang w:val="en-US" w:eastAsia="zh-CN"/>
        </w:rPr>
        <w:t>0</w:t>
      </w:r>
      <w:r>
        <w:rPr>
          <w:rFonts w:hint="eastAsia" w:ascii="仿宋" w:hAnsi="仿宋" w:eastAsia="仿宋"/>
          <w:color w:val="000000"/>
          <w:sz w:val="32"/>
          <w:szCs w:val="32"/>
        </w:rPr>
        <w:t>万元；对附属单位补助支出</w:t>
      </w:r>
      <w:r>
        <w:rPr>
          <w:rFonts w:hint="eastAsia" w:ascii="仿宋" w:hAnsi="仿宋" w:eastAsia="仿宋"/>
          <w:color w:val="000000"/>
          <w:sz w:val="32"/>
          <w:szCs w:val="32"/>
          <w:lang w:val="en-US" w:eastAsia="zh-CN"/>
        </w:rPr>
        <w:t>0</w:t>
      </w:r>
      <w:r>
        <w:rPr>
          <w:rFonts w:hint="eastAsia" w:ascii="仿宋" w:hAnsi="仿宋" w:eastAsia="仿宋"/>
          <w:color w:val="000000"/>
          <w:sz w:val="32"/>
          <w:szCs w:val="32"/>
        </w:rPr>
        <w:t>万元。</w:t>
      </w:r>
    </w:p>
    <w:p>
      <w:pPr>
        <w:spacing w:line="600" w:lineRule="exact"/>
        <w:ind w:firstLine="640" w:firstLineChars="200"/>
        <w:rPr>
          <w:rFonts w:ascii="仿宋_GB2312" w:eastAsia="仿宋_GB2312"/>
          <w:color w:val="FF0000"/>
          <w:sz w:val="32"/>
          <w:szCs w:val="32"/>
        </w:rPr>
      </w:pPr>
      <w:r>
        <w:rPr>
          <w:rFonts w:hint="eastAsia" w:ascii="仿宋" w:hAnsi="仿宋" w:eastAsia="仿宋"/>
          <w:color w:val="000000" w:themeColor="text1"/>
          <w:sz w:val="32"/>
          <w:szCs w:val="32"/>
        </w:rPr>
        <w:t>（图3：支出决算结构图）（饼状图）</w:t>
      </w:r>
      <w:r>
        <w:drawing>
          <wp:anchor distT="0" distB="0" distL="114300" distR="114300" simplePos="0" relativeHeight="251660288" behindDoc="0" locked="0" layoutInCell="1" allowOverlap="1">
            <wp:simplePos x="0" y="0"/>
            <wp:positionH relativeFrom="column">
              <wp:posOffset>228600</wp:posOffset>
            </wp:positionH>
            <wp:positionV relativeFrom="paragraph">
              <wp:posOffset>222885</wp:posOffset>
            </wp:positionV>
            <wp:extent cx="4572000" cy="3171825"/>
            <wp:effectExtent l="4445" t="4445" r="14605" b="5080"/>
            <wp:wrapTopAndBottom/>
            <wp:docPr id="1" name="图表 8"/>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anchor>
        </w:drawing>
      </w:r>
    </w:p>
    <w:p>
      <w:pPr>
        <w:spacing w:line="600" w:lineRule="exact"/>
        <w:ind w:firstLine="640" w:firstLineChars="200"/>
        <w:outlineLvl w:val="1"/>
        <w:rPr>
          <w:rStyle w:val="25"/>
          <w:rFonts w:ascii="黑体" w:hAnsi="黑体" w:eastAsia="黑体"/>
          <w:b w:val="0"/>
        </w:rPr>
      </w:pPr>
      <w:bookmarkStart w:id="30" w:name="_Toc15396606"/>
      <w:bookmarkStart w:id="31" w:name="_Toc15377208"/>
      <w:r>
        <w:rPr>
          <w:rFonts w:hint="eastAsia" w:ascii="黑体" w:hAnsi="黑体" w:eastAsia="黑体"/>
          <w:color w:val="000000"/>
          <w:sz w:val="32"/>
          <w:szCs w:val="32"/>
        </w:rPr>
        <w:t>四、财</w:t>
      </w:r>
      <w:r>
        <w:rPr>
          <w:rStyle w:val="25"/>
          <w:rFonts w:hint="eastAsia" w:ascii="黑体" w:hAnsi="黑体" w:eastAsia="黑体"/>
          <w:b w:val="0"/>
        </w:rPr>
        <w:t>政拨款收入支出决算总体情况说明</w:t>
      </w:r>
      <w:bookmarkEnd w:id="30"/>
      <w:bookmarkEnd w:id="31"/>
    </w:p>
    <w:p>
      <w:pPr>
        <w:spacing w:line="600" w:lineRule="exact"/>
        <w:ind w:firstLine="640"/>
        <w:rPr>
          <w:rFonts w:ascii="仿宋" w:hAnsi="仿宋" w:eastAsia="仿宋"/>
          <w:color w:val="000000"/>
          <w:sz w:val="32"/>
          <w:szCs w:val="32"/>
        </w:rPr>
      </w:pPr>
      <w:r>
        <w:rPr>
          <w:rFonts w:ascii="仿宋" w:hAnsi="仿宋" w:eastAsia="仿宋"/>
          <w:color w:val="000000"/>
          <w:sz w:val="32"/>
          <w:szCs w:val="32"/>
        </w:rPr>
        <w:t>201</w:t>
      </w:r>
      <w:r>
        <w:rPr>
          <w:rFonts w:hint="eastAsia" w:ascii="仿宋" w:hAnsi="仿宋" w:eastAsia="仿宋"/>
          <w:color w:val="000000"/>
          <w:sz w:val="32"/>
          <w:szCs w:val="32"/>
        </w:rPr>
        <w:t>9年财政拨款收、支总计</w:t>
      </w:r>
      <w:r>
        <w:rPr>
          <w:rFonts w:hint="eastAsia" w:ascii="仿宋" w:hAnsi="仿宋" w:eastAsia="仿宋"/>
          <w:color w:val="000000"/>
          <w:sz w:val="32"/>
          <w:szCs w:val="32"/>
          <w:lang w:val="en-US" w:eastAsia="zh-CN"/>
        </w:rPr>
        <w:t>521.85</w:t>
      </w:r>
      <w:r>
        <w:rPr>
          <w:rFonts w:hint="eastAsia" w:ascii="仿宋" w:hAnsi="仿宋" w:eastAsia="仿宋"/>
          <w:color w:val="000000"/>
          <w:sz w:val="32"/>
          <w:szCs w:val="32"/>
        </w:rPr>
        <w:t>万元。与</w:t>
      </w:r>
      <w:r>
        <w:rPr>
          <w:rFonts w:ascii="仿宋" w:hAnsi="仿宋" w:eastAsia="仿宋"/>
          <w:color w:val="000000"/>
          <w:sz w:val="32"/>
          <w:szCs w:val="32"/>
        </w:rPr>
        <w:t>201</w:t>
      </w:r>
      <w:r>
        <w:rPr>
          <w:rFonts w:hint="eastAsia" w:ascii="仿宋" w:hAnsi="仿宋" w:eastAsia="仿宋"/>
          <w:color w:val="000000"/>
          <w:sz w:val="32"/>
          <w:szCs w:val="32"/>
        </w:rPr>
        <w:t>8年相比，财政拨款收、支总计各增加</w:t>
      </w:r>
      <w:r>
        <w:rPr>
          <w:rFonts w:hint="eastAsia" w:ascii="仿宋" w:hAnsi="仿宋" w:eastAsia="仿宋"/>
          <w:color w:val="000000"/>
          <w:sz w:val="32"/>
          <w:szCs w:val="32"/>
          <w:lang w:val="en-US" w:eastAsia="zh-CN"/>
        </w:rPr>
        <w:t>276.28</w:t>
      </w:r>
      <w:r>
        <w:rPr>
          <w:rFonts w:hint="eastAsia" w:ascii="仿宋" w:hAnsi="仿宋" w:eastAsia="仿宋"/>
          <w:color w:val="000000"/>
          <w:sz w:val="32"/>
          <w:szCs w:val="32"/>
        </w:rPr>
        <w:t>万元，</w:t>
      </w:r>
      <w:r>
        <w:rPr>
          <w:rFonts w:hint="eastAsia" w:ascii="仿宋" w:hAnsi="仿宋" w:eastAsia="仿宋"/>
          <w:color w:val="000000"/>
          <w:sz w:val="32"/>
          <w:szCs w:val="32"/>
          <w:lang w:eastAsia="zh-CN"/>
        </w:rPr>
        <w:t>增长</w:t>
      </w:r>
      <w:r>
        <w:rPr>
          <w:rFonts w:hint="eastAsia" w:ascii="仿宋" w:hAnsi="仿宋" w:eastAsia="仿宋"/>
          <w:color w:val="000000"/>
          <w:sz w:val="32"/>
          <w:szCs w:val="32"/>
          <w:lang w:val="en-US" w:eastAsia="zh-CN"/>
        </w:rPr>
        <w:t>112.5%</w:t>
      </w:r>
      <w:r>
        <w:rPr>
          <w:rFonts w:hint="eastAsia" w:ascii="仿宋" w:hAnsi="仿宋" w:eastAsia="仿宋"/>
          <w:color w:val="000000"/>
          <w:sz w:val="32"/>
          <w:szCs w:val="32"/>
        </w:rPr>
        <w:t>主要变动原因是</w:t>
      </w:r>
      <w:r>
        <w:rPr>
          <w:rFonts w:hint="eastAsia" w:ascii="仿宋" w:hAnsi="仿宋" w:eastAsia="仿宋"/>
          <w:color w:val="000000"/>
          <w:sz w:val="32"/>
          <w:szCs w:val="32"/>
          <w:lang w:val="en-US" w:eastAsia="zh-CN"/>
        </w:rPr>
        <w:t>2019年</w:t>
      </w:r>
      <w:r>
        <w:rPr>
          <w:rFonts w:hint="eastAsia" w:ascii="仿宋" w:hAnsi="仿宋" w:eastAsia="仿宋"/>
          <w:color w:val="000000"/>
          <w:sz w:val="32"/>
          <w:szCs w:val="32"/>
          <w:lang w:eastAsia="zh-CN"/>
        </w:rPr>
        <w:t>项目资金增加。</w:t>
      </w:r>
    </w:p>
    <w:p>
      <w:pPr>
        <w:spacing w:line="600" w:lineRule="exact"/>
        <w:ind w:firstLine="640" w:firstLineChars="200"/>
        <w:rPr>
          <w:rFonts w:hint="eastAsia" w:ascii="仿宋" w:hAnsi="仿宋" w:eastAsia="仿宋"/>
          <w:color w:val="000000" w:themeColor="text1"/>
          <w:sz w:val="32"/>
          <w:szCs w:val="32"/>
        </w:rPr>
      </w:pPr>
      <w:r>
        <w:rPr>
          <w:rFonts w:hint="eastAsia" w:ascii="仿宋" w:hAnsi="仿宋" w:eastAsia="仿宋"/>
          <w:color w:val="000000" w:themeColor="text1"/>
          <w:sz w:val="32"/>
          <w:szCs w:val="32"/>
        </w:rPr>
        <w:t>（图4：财政拨款收、支决算总计变动情况）（柱状图）</w:t>
      </w:r>
    </w:p>
    <w:p>
      <w:pPr>
        <w:spacing w:line="600" w:lineRule="exact"/>
        <w:ind w:firstLine="640"/>
        <w:rPr>
          <w:rFonts w:ascii="仿宋" w:hAnsi="仿宋" w:eastAsia="仿宋"/>
          <w:b/>
          <w:color w:val="00B050"/>
          <w:sz w:val="32"/>
          <w:szCs w:val="32"/>
        </w:rPr>
      </w:pPr>
      <w:r>
        <w:drawing>
          <wp:anchor distT="0" distB="0" distL="114300" distR="114300" simplePos="0" relativeHeight="251661312" behindDoc="1" locked="0" layoutInCell="1" allowOverlap="1">
            <wp:simplePos x="0" y="0"/>
            <wp:positionH relativeFrom="column">
              <wp:posOffset>410845</wp:posOffset>
            </wp:positionH>
            <wp:positionV relativeFrom="paragraph">
              <wp:posOffset>296545</wp:posOffset>
            </wp:positionV>
            <wp:extent cx="4572000" cy="2743200"/>
            <wp:effectExtent l="4445" t="4445" r="14605" b="14605"/>
            <wp:wrapTight wrapText="bothSides">
              <wp:wrapPolygon>
                <wp:start x="-21" y="-35"/>
                <wp:lineTo x="-21" y="21565"/>
                <wp:lineTo x="21579" y="21565"/>
                <wp:lineTo x="21579" y="-35"/>
                <wp:lineTo x="-21" y="-35"/>
              </wp:wrapPolygon>
            </wp:wrapTight>
            <wp:docPr id="10" name="图表 9"/>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anchor>
        </w:drawing>
      </w:r>
    </w:p>
    <w:p>
      <w:pPr>
        <w:spacing w:line="600" w:lineRule="exact"/>
        <w:ind w:firstLine="640" w:firstLineChars="200"/>
        <w:outlineLvl w:val="1"/>
        <w:rPr>
          <w:rStyle w:val="25"/>
          <w:rFonts w:ascii="黑体" w:hAnsi="黑体" w:eastAsia="黑体"/>
          <w:b w:val="0"/>
        </w:rPr>
      </w:pPr>
      <w:bookmarkStart w:id="32" w:name="_Toc15377209"/>
      <w:bookmarkStart w:id="33" w:name="_Toc15396607"/>
      <w:r>
        <w:rPr>
          <w:rFonts w:hint="eastAsia" w:ascii="黑体" w:hAnsi="黑体" w:eastAsia="黑体"/>
          <w:color w:val="000000"/>
          <w:sz w:val="32"/>
          <w:szCs w:val="32"/>
        </w:rPr>
        <w:t>五、</w:t>
      </w:r>
      <w:r>
        <w:rPr>
          <w:rFonts w:hint="eastAsia" w:ascii="黑体" w:hAnsi="黑体" w:eastAsia="黑体"/>
          <w:b/>
          <w:color w:val="000000"/>
          <w:sz w:val="32"/>
          <w:szCs w:val="32"/>
        </w:rPr>
        <w:t>一</w:t>
      </w:r>
      <w:r>
        <w:rPr>
          <w:rStyle w:val="25"/>
          <w:rFonts w:hint="eastAsia" w:ascii="黑体" w:hAnsi="黑体" w:eastAsia="黑体"/>
          <w:b w:val="0"/>
        </w:rPr>
        <w:t>般公共预算财政拨款支出决算情况说明</w:t>
      </w:r>
      <w:bookmarkEnd w:id="32"/>
      <w:bookmarkEnd w:id="33"/>
    </w:p>
    <w:p>
      <w:pPr>
        <w:spacing w:line="600" w:lineRule="exact"/>
        <w:ind w:firstLine="642" w:firstLineChars="200"/>
        <w:outlineLvl w:val="2"/>
        <w:rPr>
          <w:rFonts w:hint="eastAsia" w:ascii="楷体" w:hAnsi="楷体" w:eastAsia="楷体" w:cs="楷体"/>
          <w:b/>
          <w:color w:val="000000"/>
          <w:sz w:val="32"/>
          <w:szCs w:val="32"/>
        </w:rPr>
      </w:pPr>
      <w:bookmarkStart w:id="34" w:name="_Toc15377210"/>
      <w:r>
        <w:rPr>
          <w:rFonts w:hint="eastAsia" w:ascii="楷体" w:hAnsi="楷体" w:eastAsia="楷体" w:cs="楷体"/>
          <w:b/>
          <w:color w:val="000000"/>
          <w:sz w:val="32"/>
          <w:szCs w:val="32"/>
        </w:rPr>
        <w:t>（一）一般公共预算财政拨款支出决算总体情况</w:t>
      </w:r>
      <w:bookmarkEnd w:id="34"/>
    </w:p>
    <w:p>
      <w:pPr>
        <w:spacing w:line="600" w:lineRule="exact"/>
        <w:ind w:firstLine="640" w:firstLineChars="200"/>
        <w:rPr>
          <w:rFonts w:ascii="仿宋" w:hAnsi="仿宋" w:eastAsia="仿宋"/>
          <w:color w:val="000000"/>
          <w:sz w:val="32"/>
          <w:szCs w:val="32"/>
        </w:rPr>
      </w:pPr>
      <w:r>
        <w:rPr>
          <w:rFonts w:ascii="仿宋" w:hAnsi="仿宋" w:eastAsia="仿宋"/>
          <w:color w:val="000000"/>
          <w:sz w:val="32"/>
          <w:szCs w:val="32"/>
        </w:rPr>
        <w:t>201</w:t>
      </w:r>
      <w:r>
        <w:rPr>
          <w:rFonts w:hint="eastAsia" w:ascii="仿宋" w:hAnsi="仿宋" w:eastAsia="仿宋"/>
          <w:color w:val="000000"/>
          <w:sz w:val="32"/>
          <w:szCs w:val="32"/>
        </w:rPr>
        <w:t>9年一般公共预算财政拨款支出</w:t>
      </w:r>
      <w:r>
        <w:rPr>
          <w:rFonts w:hint="eastAsia" w:ascii="仿宋" w:hAnsi="仿宋" w:eastAsia="仿宋"/>
          <w:color w:val="000000"/>
          <w:sz w:val="32"/>
          <w:szCs w:val="32"/>
          <w:lang w:val="en-US" w:eastAsia="zh-CN"/>
        </w:rPr>
        <w:t>521.85</w:t>
      </w:r>
      <w:r>
        <w:rPr>
          <w:rFonts w:hint="eastAsia" w:ascii="仿宋" w:hAnsi="仿宋" w:eastAsia="仿宋"/>
          <w:color w:val="000000"/>
          <w:sz w:val="32"/>
          <w:szCs w:val="32"/>
        </w:rPr>
        <w:t>万元，占本年支出合计的</w:t>
      </w:r>
      <w:r>
        <w:rPr>
          <w:rFonts w:hint="eastAsia" w:ascii="仿宋" w:hAnsi="仿宋" w:eastAsia="仿宋"/>
          <w:color w:val="000000"/>
          <w:sz w:val="32"/>
          <w:szCs w:val="32"/>
          <w:lang w:val="en-US" w:eastAsia="zh-CN"/>
        </w:rPr>
        <w:t>100</w:t>
      </w:r>
      <w:r>
        <w:rPr>
          <w:rFonts w:ascii="仿宋" w:hAnsi="仿宋" w:eastAsia="仿宋"/>
          <w:color w:val="000000"/>
          <w:sz w:val="32"/>
          <w:szCs w:val="32"/>
        </w:rPr>
        <w:t>%</w:t>
      </w:r>
      <w:r>
        <w:rPr>
          <w:rFonts w:hint="eastAsia" w:ascii="仿宋" w:hAnsi="仿宋" w:eastAsia="仿宋"/>
          <w:color w:val="000000"/>
          <w:sz w:val="32"/>
          <w:szCs w:val="32"/>
        </w:rPr>
        <w:t>。与</w:t>
      </w:r>
      <w:r>
        <w:rPr>
          <w:rFonts w:ascii="仿宋" w:hAnsi="仿宋" w:eastAsia="仿宋"/>
          <w:color w:val="000000"/>
          <w:sz w:val="32"/>
          <w:szCs w:val="32"/>
        </w:rPr>
        <w:t>201</w:t>
      </w:r>
      <w:r>
        <w:rPr>
          <w:rFonts w:hint="eastAsia" w:ascii="仿宋" w:hAnsi="仿宋" w:eastAsia="仿宋"/>
          <w:color w:val="000000"/>
          <w:sz w:val="32"/>
          <w:szCs w:val="32"/>
        </w:rPr>
        <w:t>8年相比，一般公共预算财政拨款增加</w:t>
      </w:r>
      <w:r>
        <w:rPr>
          <w:rFonts w:hint="eastAsia" w:ascii="仿宋" w:hAnsi="仿宋" w:eastAsia="仿宋"/>
          <w:color w:val="000000"/>
          <w:sz w:val="32"/>
          <w:szCs w:val="32"/>
          <w:lang w:val="en-US" w:eastAsia="zh-CN"/>
        </w:rPr>
        <w:t>276.28</w:t>
      </w:r>
      <w:r>
        <w:rPr>
          <w:rFonts w:hint="eastAsia" w:ascii="仿宋" w:hAnsi="仿宋" w:eastAsia="仿宋"/>
          <w:color w:val="000000"/>
          <w:sz w:val="32"/>
          <w:szCs w:val="32"/>
        </w:rPr>
        <w:t>万元，增长</w:t>
      </w:r>
      <w:r>
        <w:rPr>
          <w:rFonts w:hint="eastAsia" w:ascii="仿宋" w:hAnsi="仿宋" w:eastAsia="仿宋"/>
          <w:color w:val="000000"/>
          <w:sz w:val="32"/>
          <w:szCs w:val="32"/>
          <w:lang w:val="en-US" w:eastAsia="zh-CN"/>
        </w:rPr>
        <w:t>112.5</w:t>
      </w:r>
      <w:r>
        <w:rPr>
          <w:rFonts w:ascii="仿宋" w:hAnsi="仿宋" w:eastAsia="仿宋"/>
          <w:color w:val="000000"/>
          <w:sz w:val="32"/>
          <w:szCs w:val="32"/>
        </w:rPr>
        <w:t>%</w:t>
      </w:r>
      <w:r>
        <w:rPr>
          <w:rFonts w:hint="eastAsia" w:ascii="仿宋" w:hAnsi="仿宋" w:eastAsia="仿宋"/>
          <w:color w:val="000000"/>
          <w:sz w:val="32"/>
          <w:szCs w:val="32"/>
        </w:rPr>
        <w:t>。主要变动原因是</w:t>
      </w:r>
      <w:r>
        <w:rPr>
          <w:rFonts w:hint="eastAsia" w:ascii="仿宋" w:hAnsi="仿宋" w:eastAsia="仿宋"/>
          <w:color w:val="000000"/>
          <w:sz w:val="32"/>
          <w:szCs w:val="32"/>
          <w:lang w:val="en-US" w:eastAsia="zh-CN"/>
        </w:rPr>
        <w:t>2019年</w:t>
      </w:r>
      <w:r>
        <w:rPr>
          <w:rFonts w:hint="eastAsia" w:ascii="仿宋" w:hAnsi="仿宋" w:eastAsia="仿宋"/>
          <w:color w:val="000000"/>
          <w:sz w:val="32"/>
          <w:szCs w:val="32"/>
          <w:lang w:eastAsia="zh-CN"/>
        </w:rPr>
        <w:t>项目资金增加。</w:t>
      </w:r>
    </w:p>
    <w:p>
      <w:pPr>
        <w:spacing w:line="600" w:lineRule="exact"/>
        <w:ind w:firstLine="420" w:firstLineChars="200"/>
        <w:rPr>
          <w:rFonts w:ascii="仿宋" w:hAnsi="仿宋" w:eastAsia="仿宋"/>
          <w:color w:val="000000" w:themeColor="text1"/>
          <w:sz w:val="32"/>
          <w:szCs w:val="32"/>
        </w:rPr>
      </w:pPr>
      <w:r>
        <w:drawing>
          <wp:anchor distT="0" distB="0" distL="114300" distR="114300" simplePos="0" relativeHeight="251663360" behindDoc="0" locked="0" layoutInCell="1" allowOverlap="1">
            <wp:simplePos x="0" y="0"/>
            <wp:positionH relativeFrom="column">
              <wp:posOffset>423545</wp:posOffset>
            </wp:positionH>
            <wp:positionV relativeFrom="paragraph">
              <wp:posOffset>775335</wp:posOffset>
            </wp:positionV>
            <wp:extent cx="4572000" cy="2743200"/>
            <wp:effectExtent l="4445" t="4445" r="14605" b="14605"/>
            <wp:wrapTopAndBottom/>
            <wp:docPr id="4" name="图表 9"/>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anchor>
        </w:drawing>
      </w:r>
      <w:r>
        <w:rPr>
          <w:rFonts w:hint="eastAsia" w:ascii="仿宋" w:hAnsi="仿宋" w:eastAsia="仿宋"/>
          <w:color w:val="000000" w:themeColor="text1"/>
          <w:sz w:val="32"/>
          <w:szCs w:val="32"/>
        </w:rPr>
        <w:t>（图5：一般公共预算财政拨款支出决算变动情况）（柱状图）</w:t>
      </w:r>
    </w:p>
    <w:p>
      <w:pPr>
        <w:spacing w:line="600" w:lineRule="exact"/>
        <w:ind w:firstLine="640" w:firstLineChars="200"/>
        <w:rPr>
          <w:rFonts w:ascii="仿宋" w:hAnsi="仿宋" w:eastAsia="仿宋"/>
          <w:color w:val="000000" w:themeColor="text1"/>
          <w:sz w:val="32"/>
          <w:szCs w:val="32"/>
        </w:rPr>
      </w:pPr>
    </w:p>
    <w:p>
      <w:pPr>
        <w:spacing w:line="600" w:lineRule="exact"/>
        <w:ind w:firstLine="642" w:firstLineChars="200"/>
        <w:outlineLvl w:val="2"/>
        <w:rPr>
          <w:rFonts w:hint="eastAsia" w:ascii="楷体" w:hAnsi="楷体" w:eastAsia="楷体" w:cs="楷体"/>
          <w:b/>
          <w:color w:val="000000"/>
          <w:sz w:val="32"/>
          <w:szCs w:val="32"/>
        </w:rPr>
      </w:pPr>
      <w:bookmarkStart w:id="35" w:name="_Toc15377211"/>
      <w:r>
        <w:rPr>
          <w:rFonts w:hint="eastAsia" w:ascii="楷体" w:hAnsi="楷体" w:eastAsia="楷体" w:cs="楷体"/>
          <w:b/>
          <w:color w:val="000000"/>
          <w:sz w:val="32"/>
          <w:szCs w:val="32"/>
        </w:rPr>
        <w:t>（二）一般公共预算财政拨款支出决算结构情况</w:t>
      </w:r>
      <w:bookmarkEnd w:id="35"/>
    </w:p>
    <w:p>
      <w:pPr>
        <w:spacing w:line="600" w:lineRule="exact"/>
        <w:ind w:firstLine="640"/>
        <w:rPr>
          <w:rFonts w:ascii="仿宋" w:hAnsi="仿宋" w:eastAsia="仿宋"/>
          <w:color w:val="000000" w:themeColor="text1"/>
          <w:sz w:val="32"/>
          <w:szCs w:val="32"/>
        </w:rPr>
      </w:pPr>
      <w:r>
        <w:rPr>
          <w:rFonts w:ascii="仿宋" w:hAnsi="仿宋" w:eastAsia="仿宋"/>
          <w:color w:val="000000"/>
          <w:sz w:val="32"/>
          <w:szCs w:val="32"/>
        </w:rPr>
        <w:t>201</w:t>
      </w:r>
      <w:r>
        <w:rPr>
          <w:rFonts w:hint="eastAsia" w:ascii="仿宋" w:hAnsi="仿宋" w:eastAsia="仿宋"/>
          <w:color w:val="000000"/>
          <w:sz w:val="32"/>
          <w:szCs w:val="32"/>
        </w:rPr>
        <w:t>9年一般公共预算财</w:t>
      </w:r>
      <w:r>
        <w:rPr>
          <w:rFonts w:hint="eastAsia" w:ascii="仿宋" w:hAnsi="仿宋" w:eastAsia="仿宋"/>
          <w:color w:val="000000" w:themeColor="text1"/>
          <w:sz w:val="32"/>
          <w:szCs w:val="32"/>
        </w:rPr>
        <w:t>政拨款支出</w:t>
      </w:r>
      <w:r>
        <w:rPr>
          <w:rFonts w:hint="eastAsia" w:ascii="仿宋" w:hAnsi="仿宋" w:eastAsia="仿宋"/>
          <w:color w:val="000000" w:themeColor="text1"/>
          <w:sz w:val="32"/>
          <w:szCs w:val="32"/>
          <w:lang w:val="en-US" w:eastAsia="zh-CN"/>
        </w:rPr>
        <w:t>521.85</w:t>
      </w:r>
      <w:r>
        <w:rPr>
          <w:rFonts w:hint="eastAsia" w:ascii="仿宋" w:hAnsi="仿宋" w:eastAsia="仿宋"/>
          <w:color w:val="000000" w:themeColor="text1"/>
          <w:sz w:val="32"/>
          <w:szCs w:val="32"/>
        </w:rPr>
        <w:t>万元，主要用于以下方面</w:t>
      </w:r>
      <w:r>
        <w:rPr>
          <w:rFonts w:ascii="仿宋" w:hAnsi="仿宋" w:eastAsia="仿宋"/>
          <w:color w:val="000000" w:themeColor="text1"/>
          <w:sz w:val="32"/>
          <w:szCs w:val="32"/>
        </w:rPr>
        <w:t>:</w:t>
      </w:r>
      <w:r>
        <w:rPr>
          <w:rFonts w:hint="eastAsia" w:ascii="仿宋" w:hAnsi="仿宋" w:eastAsia="仿宋"/>
          <w:b/>
          <w:color w:val="000000" w:themeColor="text1"/>
          <w:sz w:val="32"/>
          <w:szCs w:val="32"/>
        </w:rPr>
        <w:t>一般公共服务（类）</w:t>
      </w:r>
      <w:r>
        <w:rPr>
          <w:rFonts w:hint="eastAsia" w:ascii="仿宋" w:hAnsi="仿宋" w:eastAsia="仿宋"/>
          <w:color w:val="000000" w:themeColor="text1"/>
          <w:sz w:val="32"/>
          <w:szCs w:val="32"/>
        </w:rPr>
        <w:t>支出</w:t>
      </w:r>
      <w:r>
        <w:rPr>
          <w:rFonts w:hint="eastAsia" w:ascii="仿宋" w:hAnsi="仿宋" w:eastAsia="仿宋"/>
          <w:color w:val="000000" w:themeColor="text1"/>
          <w:sz w:val="32"/>
          <w:szCs w:val="32"/>
          <w:lang w:val="en-US" w:eastAsia="zh-CN"/>
        </w:rPr>
        <w:t>432.4</w:t>
      </w:r>
      <w:r>
        <w:rPr>
          <w:rFonts w:hint="eastAsia" w:ascii="仿宋" w:hAnsi="仿宋" w:eastAsia="仿宋"/>
          <w:color w:val="000000" w:themeColor="text1"/>
          <w:sz w:val="32"/>
          <w:szCs w:val="32"/>
        </w:rPr>
        <w:t>万元，占</w:t>
      </w:r>
      <w:r>
        <w:rPr>
          <w:rFonts w:hint="eastAsia" w:ascii="仿宋" w:hAnsi="仿宋" w:eastAsia="仿宋"/>
          <w:color w:val="000000" w:themeColor="text1"/>
          <w:sz w:val="32"/>
          <w:szCs w:val="32"/>
          <w:lang w:val="en-US" w:eastAsia="zh-CN"/>
        </w:rPr>
        <w:t>82.86</w:t>
      </w:r>
      <w:r>
        <w:rPr>
          <w:rFonts w:ascii="仿宋" w:hAnsi="仿宋" w:eastAsia="仿宋"/>
          <w:color w:val="000000" w:themeColor="text1"/>
          <w:sz w:val="32"/>
          <w:szCs w:val="32"/>
        </w:rPr>
        <w:t>%</w:t>
      </w:r>
      <w:r>
        <w:rPr>
          <w:rFonts w:hint="eastAsia" w:ascii="仿宋" w:hAnsi="仿宋" w:eastAsia="仿宋"/>
          <w:color w:val="000000" w:themeColor="text1"/>
          <w:sz w:val="32"/>
          <w:szCs w:val="32"/>
        </w:rPr>
        <w:t>；</w:t>
      </w:r>
      <w:r>
        <w:rPr>
          <w:rFonts w:hint="eastAsia" w:ascii="仿宋" w:hAnsi="仿宋" w:eastAsia="仿宋"/>
          <w:b/>
          <w:color w:val="000000" w:themeColor="text1"/>
          <w:sz w:val="32"/>
          <w:szCs w:val="32"/>
        </w:rPr>
        <w:t>教育支出（类）</w:t>
      </w:r>
      <w:r>
        <w:rPr>
          <w:rFonts w:hint="eastAsia" w:ascii="仿宋" w:hAnsi="仿宋" w:eastAsia="仿宋"/>
          <w:color w:val="000000" w:themeColor="text1"/>
          <w:sz w:val="32"/>
          <w:szCs w:val="32"/>
          <w:lang w:val="en-US" w:eastAsia="zh-CN"/>
        </w:rPr>
        <w:t>0</w:t>
      </w:r>
      <w:r>
        <w:rPr>
          <w:rFonts w:hint="eastAsia" w:ascii="仿宋" w:hAnsi="仿宋" w:eastAsia="仿宋"/>
          <w:color w:val="000000" w:themeColor="text1"/>
          <w:sz w:val="32"/>
          <w:szCs w:val="32"/>
        </w:rPr>
        <w:t>万元；</w:t>
      </w:r>
      <w:r>
        <w:rPr>
          <w:rFonts w:hint="eastAsia" w:ascii="仿宋" w:hAnsi="仿宋" w:eastAsia="仿宋"/>
          <w:b/>
          <w:color w:val="000000" w:themeColor="text1"/>
          <w:sz w:val="32"/>
          <w:szCs w:val="32"/>
        </w:rPr>
        <w:t>科学技术（类）</w:t>
      </w:r>
      <w:r>
        <w:rPr>
          <w:rFonts w:hint="eastAsia" w:ascii="仿宋" w:hAnsi="仿宋" w:eastAsia="仿宋"/>
          <w:color w:val="000000" w:themeColor="text1"/>
          <w:sz w:val="32"/>
          <w:szCs w:val="32"/>
        </w:rPr>
        <w:t>支出</w:t>
      </w:r>
      <w:r>
        <w:rPr>
          <w:rFonts w:hint="eastAsia" w:ascii="仿宋" w:hAnsi="仿宋" w:eastAsia="仿宋"/>
          <w:color w:val="000000" w:themeColor="text1"/>
          <w:sz w:val="32"/>
          <w:szCs w:val="32"/>
          <w:lang w:val="en-US" w:eastAsia="zh-CN"/>
        </w:rPr>
        <w:t>0</w:t>
      </w:r>
      <w:r>
        <w:rPr>
          <w:rFonts w:hint="eastAsia" w:ascii="仿宋" w:hAnsi="仿宋" w:eastAsia="仿宋"/>
          <w:color w:val="000000" w:themeColor="text1"/>
          <w:sz w:val="32"/>
          <w:szCs w:val="32"/>
        </w:rPr>
        <w:t>万元；</w:t>
      </w:r>
      <w:r>
        <w:rPr>
          <w:rFonts w:hint="eastAsia" w:ascii="仿宋" w:hAnsi="仿宋" w:eastAsia="仿宋"/>
          <w:b/>
          <w:bCs/>
          <w:color w:val="000000" w:themeColor="text1"/>
          <w:sz w:val="32"/>
          <w:szCs w:val="32"/>
        </w:rPr>
        <w:t>文化旅游体育与传媒（类）支出</w:t>
      </w:r>
      <w:r>
        <w:rPr>
          <w:rFonts w:hint="eastAsia" w:ascii="仿宋" w:hAnsi="仿宋" w:eastAsia="仿宋"/>
          <w:b/>
          <w:bCs/>
          <w:color w:val="000000" w:themeColor="text1"/>
          <w:sz w:val="32"/>
          <w:szCs w:val="32"/>
          <w:lang w:val="en-US" w:eastAsia="zh-CN"/>
        </w:rPr>
        <w:t>0</w:t>
      </w:r>
      <w:r>
        <w:rPr>
          <w:rFonts w:hint="eastAsia" w:ascii="仿宋" w:hAnsi="仿宋" w:eastAsia="仿宋"/>
          <w:b/>
          <w:bCs/>
          <w:color w:val="000000" w:themeColor="text1"/>
          <w:sz w:val="32"/>
          <w:szCs w:val="32"/>
        </w:rPr>
        <w:t>万元</w:t>
      </w:r>
      <w:r>
        <w:rPr>
          <w:rFonts w:hint="eastAsia" w:ascii="仿宋" w:hAnsi="仿宋" w:eastAsia="仿宋"/>
          <w:color w:val="000000" w:themeColor="text1"/>
          <w:sz w:val="32"/>
          <w:szCs w:val="32"/>
        </w:rPr>
        <w:t>；</w:t>
      </w:r>
      <w:r>
        <w:rPr>
          <w:rFonts w:hint="eastAsia" w:ascii="仿宋" w:hAnsi="仿宋" w:eastAsia="仿宋"/>
          <w:b/>
          <w:color w:val="000000" w:themeColor="text1"/>
          <w:sz w:val="32"/>
          <w:szCs w:val="32"/>
        </w:rPr>
        <w:t>社会保障和就业（类）</w:t>
      </w:r>
      <w:r>
        <w:rPr>
          <w:rFonts w:hint="eastAsia" w:ascii="仿宋" w:hAnsi="仿宋" w:eastAsia="仿宋"/>
          <w:color w:val="000000" w:themeColor="text1"/>
          <w:sz w:val="32"/>
          <w:szCs w:val="32"/>
        </w:rPr>
        <w:t>支出</w:t>
      </w:r>
      <w:r>
        <w:rPr>
          <w:rFonts w:hint="eastAsia" w:ascii="仿宋" w:hAnsi="仿宋" w:eastAsia="仿宋"/>
          <w:color w:val="000000" w:themeColor="text1"/>
          <w:sz w:val="32"/>
          <w:szCs w:val="32"/>
          <w:lang w:val="en-US" w:eastAsia="zh-CN"/>
        </w:rPr>
        <w:t>23.04</w:t>
      </w:r>
      <w:r>
        <w:rPr>
          <w:rFonts w:hint="eastAsia" w:ascii="仿宋" w:hAnsi="仿宋" w:eastAsia="仿宋"/>
          <w:color w:val="000000" w:themeColor="text1"/>
          <w:sz w:val="32"/>
          <w:szCs w:val="32"/>
        </w:rPr>
        <w:t>万元，占</w:t>
      </w:r>
      <w:r>
        <w:rPr>
          <w:rFonts w:hint="eastAsia" w:ascii="仿宋" w:hAnsi="仿宋" w:eastAsia="仿宋"/>
          <w:color w:val="000000" w:themeColor="text1"/>
          <w:sz w:val="32"/>
          <w:szCs w:val="32"/>
          <w:lang w:val="en-US" w:eastAsia="zh-CN"/>
        </w:rPr>
        <w:t>4.42</w:t>
      </w:r>
      <w:r>
        <w:rPr>
          <w:rFonts w:ascii="仿宋" w:hAnsi="仿宋" w:eastAsia="仿宋"/>
          <w:color w:val="000000" w:themeColor="text1"/>
          <w:sz w:val="32"/>
          <w:szCs w:val="32"/>
        </w:rPr>
        <w:t>%</w:t>
      </w:r>
      <w:r>
        <w:rPr>
          <w:rFonts w:hint="eastAsia" w:ascii="仿宋" w:hAnsi="仿宋" w:eastAsia="仿宋"/>
          <w:color w:val="000000" w:themeColor="text1"/>
          <w:sz w:val="32"/>
          <w:szCs w:val="32"/>
        </w:rPr>
        <w:t>；</w:t>
      </w:r>
      <w:r>
        <w:rPr>
          <w:rFonts w:hint="eastAsia" w:ascii="仿宋" w:hAnsi="仿宋" w:eastAsia="仿宋"/>
          <w:b/>
          <w:bCs/>
          <w:color w:val="000000" w:themeColor="text1"/>
          <w:sz w:val="32"/>
          <w:szCs w:val="32"/>
        </w:rPr>
        <w:t>卫生健康支出</w:t>
      </w:r>
      <w:r>
        <w:rPr>
          <w:rFonts w:hint="eastAsia" w:ascii="仿宋" w:hAnsi="仿宋" w:eastAsia="仿宋"/>
          <w:color w:val="000000" w:themeColor="text1"/>
          <w:sz w:val="32"/>
          <w:szCs w:val="32"/>
          <w:lang w:val="en-US" w:eastAsia="zh-CN"/>
        </w:rPr>
        <w:t>12.47</w:t>
      </w:r>
      <w:r>
        <w:rPr>
          <w:rFonts w:hint="eastAsia" w:ascii="仿宋" w:hAnsi="仿宋" w:eastAsia="仿宋"/>
          <w:color w:val="000000" w:themeColor="text1"/>
          <w:sz w:val="32"/>
          <w:szCs w:val="32"/>
        </w:rPr>
        <w:t>万元，占</w:t>
      </w:r>
      <w:r>
        <w:rPr>
          <w:rFonts w:hint="eastAsia" w:ascii="仿宋" w:hAnsi="仿宋" w:eastAsia="仿宋"/>
          <w:color w:val="000000" w:themeColor="text1"/>
          <w:sz w:val="32"/>
          <w:szCs w:val="32"/>
          <w:lang w:val="en-US" w:eastAsia="zh-CN"/>
        </w:rPr>
        <w:t>2.39</w:t>
      </w:r>
      <w:r>
        <w:rPr>
          <w:rFonts w:ascii="仿宋" w:hAnsi="仿宋" w:eastAsia="仿宋"/>
          <w:color w:val="000000" w:themeColor="text1"/>
          <w:sz w:val="32"/>
          <w:szCs w:val="32"/>
        </w:rPr>
        <w:t>%</w:t>
      </w:r>
      <w:r>
        <w:rPr>
          <w:rFonts w:hint="eastAsia" w:ascii="仿宋" w:hAnsi="仿宋" w:eastAsia="仿宋"/>
          <w:color w:val="000000" w:themeColor="text1"/>
          <w:sz w:val="32"/>
          <w:szCs w:val="32"/>
        </w:rPr>
        <w:t>；住房保障支出</w:t>
      </w:r>
      <w:r>
        <w:rPr>
          <w:rFonts w:hint="eastAsia" w:ascii="仿宋" w:hAnsi="仿宋" w:eastAsia="仿宋"/>
          <w:color w:val="000000" w:themeColor="text1"/>
          <w:sz w:val="32"/>
          <w:szCs w:val="32"/>
          <w:lang w:val="en-US" w:eastAsia="zh-CN"/>
        </w:rPr>
        <w:t>14.5</w:t>
      </w:r>
      <w:r>
        <w:rPr>
          <w:rFonts w:hint="eastAsia" w:ascii="仿宋" w:hAnsi="仿宋" w:eastAsia="仿宋"/>
          <w:color w:val="000000" w:themeColor="text1"/>
          <w:sz w:val="32"/>
          <w:szCs w:val="32"/>
        </w:rPr>
        <w:t>万元，占</w:t>
      </w:r>
      <w:r>
        <w:rPr>
          <w:rFonts w:hint="eastAsia" w:ascii="仿宋" w:hAnsi="仿宋" w:eastAsia="仿宋"/>
          <w:color w:val="000000" w:themeColor="text1"/>
          <w:sz w:val="32"/>
          <w:szCs w:val="32"/>
          <w:lang w:val="en-US" w:eastAsia="zh-CN"/>
        </w:rPr>
        <w:t>2.78</w:t>
      </w:r>
      <w:r>
        <w:rPr>
          <w:rFonts w:ascii="仿宋" w:hAnsi="仿宋" w:eastAsia="仿宋"/>
          <w:color w:val="000000" w:themeColor="text1"/>
          <w:sz w:val="32"/>
          <w:szCs w:val="32"/>
        </w:rPr>
        <w:t>%</w:t>
      </w:r>
      <w:r>
        <w:rPr>
          <w:rFonts w:hint="eastAsia" w:ascii="仿宋" w:hAnsi="仿宋" w:eastAsia="仿宋"/>
          <w:color w:val="000000" w:themeColor="text1"/>
          <w:sz w:val="32"/>
          <w:szCs w:val="32"/>
        </w:rPr>
        <w:t>；</w:t>
      </w:r>
      <w:r>
        <w:rPr>
          <w:rFonts w:hint="eastAsia" w:ascii="仿宋" w:hAnsi="仿宋" w:eastAsia="仿宋"/>
          <w:b/>
          <w:bCs/>
          <w:color w:val="000000" w:themeColor="text1"/>
          <w:sz w:val="32"/>
          <w:szCs w:val="32"/>
          <w:lang w:eastAsia="zh-CN"/>
        </w:rPr>
        <w:t>农林水（类）</w:t>
      </w:r>
      <w:r>
        <w:rPr>
          <w:rFonts w:hint="eastAsia" w:ascii="仿宋" w:hAnsi="仿宋" w:eastAsia="仿宋"/>
          <w:color w:val="000000" w:themeColor="text1"/>
          <w:sz w:val="32"/>
          <w:szCs w:val="32"/>
          <w:lang w:eastAsia="zh-CN"/>
        </w:rPr>
        <w:t>支出</w:t>
      </w:r>
      <w:r>
        <w:rPr>
          <w:rFonts w:hint="eastAsia" w:ascii="仿宋" w:hAnsi="仿宋" w:eastAsia="仿宋"/>
          <w:color w:val="000000" w:themeColor="text1"/>
          <w:sz w:val="32"/>
          <w:szCs w:val="32"/>
          <w:lang w:val="en-US" w:eastAsia="zh-CN"/>
        </w:rPr>
        <w:t>39.44万元，占7.55%</w:t>
      </w:r>
      <w:r>
        <w:rPr>
          <w:rFonts w:hint="eastAsia" w:ascii="仿宋" w:hAnsi="仿宋" w:eastAsia="仿宋"/>
          <w:color w:val="000000" w:themeColor="text1"/>
          <w:sz w:val="32"/>
          <w:szCs w:val="32"/>
        </w:rPr>
        <w:t>。</w:t>
      </w:r>
    </w:p>
    <w:p>
      <w:pPr>
        <w:spacing w:line="600" w:lineRule="exact"/>
        <w:jc w:val="center"/>
        <w:rPr>
          <w:rFonts w:ascii="仿宋" w:hAnsi="仿宋" w:eastAsia="仿宋"/>
          <w:color w:val="000000"/>
          <w:sz w:val="32"/>
          <w:szCs w:val="32"/>
        </w:rPr>
      </w:pPr>
      <w:r>
        <w:rPr>
          <w:rFonts w:hint="eastAsia" w:ascii="仿宋" w:hAnsi="仿宋" w:eastAsia="仿宋"/>
          <w:color w:val="000000"/>
          <w:sz w:val="32"/>
          <w:szCs w:val="32"/>
        </w:rPr>
        <w:t>（图6：一般公共预算财政拨款支出决算结构）（饼状图）</w:t>
      </w:r>
    </w:p>
    <w:p>
      <w:pPr>
        <w:spacing w:line="600" w:lineRule="exact"/>
        <w:ind w:firstLine="420" w:firstLineChars="200"/>
        <w:rPr>
          <w:rFonts w:ascii="仿宋" w:hAnsi="仿宋" w:eastAsia="仿宋"/>
          <w:color w:val="000000"/>
          <w:sz w:val="32"/>
          <w:szCs w:val="32"/>
        </w:rPr>
      </w:pPr>
      <w:r>
        <w:drawing>
          <wp:anchor distT="0" distB="0" distL="114300" distR="114300" simplePos="0" relativeHeight="251664384" behindDoc="0" locked="0" layoutInCell="1" allowOverlap="1">
            <wp:simplePos x="0" y="0"/>
            <wp:positionH relativeFrom="column">
              <wp:posOffset>323215</wp:posOffset>
            </wp:positionH>
            <wp:positionV relativeFrom="paragraph">
              <wp:posOffset>201930</wp:posOffset>
            </wp:positionV>
            <wp:extent cx="4572000" cy="3686175"/>
            <wp:effectExtent l="4445" t="4445" r="14605" b="5080"/>
            <wp:wrapTopAndBottom/>
            <wp:docPr id="5" name="图表 8"/>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anchor>
        </w:drawing>
      </w:r>
    </w:p>
    <w:p>
      <w:pPr>
        <w:spacing w:line="600" w:lineRule="exact"/>
        <w:ind w:firstLine="642" w:firstLineChars="200"/>
        <w:outlineLvl w:val="2"/>
        <w:rPr>
          <w:rFonts w:hint="eastAsia" w:ascii="楷体" w:hAnsi="楷体" w:eastAsia="楷体" w:cs="楷体"/>
          <w:b/>
          <w:color w:val="000000"/>
          <w:sz w:val="32"/>
          <w:szCs w:val="32"/>
        </w:rPr>
      </w:pPr>
      <w:bookmarkStart w:id="36" w:name="_Toc15377212"/>
      <w:r>
        <w:rPr>
          <w:rFonts w:hint="eastAsia" w:ascii="楷体" w:hAnsi="楷体" w:eastAsia="楷体" w:cs="楷体"/>
          <w:b/>
          <w:color w:val="000000"/>
          <w:sz w:val="32"/>
          <w:szCs w:val="32"/>
        </w:rPr>
        <w:t>（三）一般公共预算财政拨款支出决算具体情况</w:t>
      </w:r>
      <w:bookmarkEnd w:id="36"/>
    </w:p>
    <w:p>
      <w:pPr>
        <w:spacing w:line="600" w:lineRule="exact"/>
        <w:ind w:firstLine="642" w:firstLineChars="200"/>
        <w:outlineLvl w:val="2"/>
        <w:rPr>
          <w:rFonts w:ascii="仿宋" w:hAnsi="仿宋" w:eastAsia="仿宋"/>
          <w:color w:val="FF0000"/>
          <w:sz w:val="32"/>
          <w:szCs w:val="32"/>
        </w:rPr>
      </w:pPr>
      <w:bookmarkStart w:id="37" w:name="_Toc15377444"/>
      <w:bookmarkStart w:id="38" w:name="_Toc15378460"/>
      <w:bookmarkStart w:id="39" w:name="_Toc15377213"/>
      <w:r>
        <w:rPr>
          <w:rFonts w:hint="eastAsia" w:ascii="仿宋" w:hAnsi="仿宋" w:eastAsia="仿宋"/>
          <w:b/>
          <w:color w:val="000000" w:themeColor="text1"/>
          <w:sz w:val="32"/>
          <w:szCs w:val="32"/>
        </w:rPr>
        <w:t>2019年般公共预算支出决算数为</w:t>
      </w:r>
      <w:r>
        <w:rPr>
          <w:rFonts w:hint="eastAsia" w:ascii="仿宋" w:hAnsi="仿宋" w:eastAsia="仿宋"/>
          <w:b/>
          <w:color w:val="000000" w:themeColor="text1"/>
          <w:sz w:val="32"/>
          <w:szCs w:val="32"/>
          <w:lang w:val="en-US" w:eastAsia="zh-CN"/>
        </w:rPr>
        <w:t>516.88</w:t>
      </w:r>
      <w:r>
        <w:rPr>
          <w:rFonts w:hint="eastAsia" w:ascii="仿宋" w:hAnsi="仿宋" w:eastAsia="仿宋"/>
          <w:color w:val="000000" w:themeColor="text1"/>
          <w:sz w:val="32"/>
          <w:szCs w:val="32"/>
        </w:rPr>
        <w:t>，</w:t>
      </w:r>
      <w:r>
        <w:rPr>
          <w:rStyle w:val="14"/>
          <w:rFonts w:hint="eastAsia" w:ascii="仿宋" w:hAnsi="仿宋" w:eastAsia="仿宋"/>
          <w:bCs/>
          <w:color w:val="000000" w:themeColor="text1"/>
          <w:sz w:val="32"/>
          <w:szCs w:val="32"/>
        </w:rPr>
        <w:t>完成</w:t>
      </w:r>
      <w:r>
        <w:rPr>
          <w:rStyle w:val="14"/>
          <w:rFonts w:hint="eastAsia" w:ascii="仿宋" w:hAnsi="仿宋" w:eastAsia="仿宋"/>
          <w:bCs/>
          <w:color w:val="000000"/>
          <w:sz w:val="32"/>
          <w:szCs w:val="32"/>
        </w:rPr>
        <w:t>预算</w:t>
      </w:r>
      <w:r>
        <w:rPr>
          <w:rStyle w:val="14"/>
          <w:rFonts w:hint="eastAsia" w:ascii="仿宋" w:hAnsi="仿宋" w:eastAsia="仿宋"/>
          <w:bCs/>
          <w:color w:val="000000"/>
          <w:sz w:val="32"/>
          <w:szCs w:val="32"/>
          <w:lang w:val="en-US" w:eastAsia="zh-CN"/>
        </w:rPr>
        <w:t>100</w:t>
      </w:r>
      <w:r>
        <w:rPr>
          <w:rStyle w:val="14"/>
          <w:rFonts w:ascii="仿宋" w:hAnsi="仿宋" w:eastAsia="仿宋"/>
          <w:bCs/>
          <w:color w:val="000000"/>
          <w:sz w:val="32"/>
          <w:szCs w:val="32"/>
        </w:rPr>
        <w:t>%</w:t>
      </w:r>
      <w:r>
        <w:rPr>
          <w:rStyle w:val="14"/>
          <w:rFonts w:hint="eastAsia" w:ascii="仿宋" w:hAnsi="仿宋" w:eastAsia="仿宋"/>
          <w:bCs/>
          <w:color w:val="000000"/>
          <w:sz w:val="32"/>
          <w:szCs w:val="32"/>
        </w:rPr>
        <w:t>。其中：</w:t>
      </w:r>
      <w:bookmarkEnd w:id="37"/>
      <w:bookmarkEnd w:id="38"/>
      <w:bookmarkEnd w:id="39"/>
    </w:p>
    <w:p>
      <w:pPr>
        <w:keepNext w:val="0"/>
        <w:keepLines w:val="0"/>
        <w:pageBreakBefore w:val="0"/>
        <w:widowControl w:val="0"/>
        <w:numPr>
          <w:ilvl w:val="0"/>
          <w:numId w:val="0"/>
        </w:numPr>
        <w:kinsoku/>
        <w:wordWrap/>
        <w:overflowPunct/>
        <w:topLinePunct w:val="0"/>
        <w:autoSpaceDE/>
        <w:autoSpaceDN/>
        <w:bidi w:val="0"/>
        <w:adjustRightInd/>
        <w:snapToGrid/>
        <w:spacing w:line="576" w:lineRule="exact"/>
        <w:ind w:firstLine="642" w:firstLineChars="200"/>
        <w:textAlignment w:val="auto"/>
        <w:rPr>
          <w:rFonts w:hint="eastAsia" w:ascii="仿宋_GB2312" w:hAnsi="楷体" w:eastAsia="仿宋_GB2312" w:cs="楷体"/>
          <w:b w:val="0"/>
          <w:bCs/>
          <w:color w:val="000000"/>
          <w:sz w:val="32"/>
          <w:szCs w:val="32"/>
        </w:rPr>
      </w:pPr>
      <w:r>
        <w:rPr>
          <w:rFonts w:hint="eastAsia" w:ascii="仿宋_GB2312" w:hAnsi="楷体" w:eastAsia="仿宋_GB2312" w:cs="楷体"/>
          <w:b/>
          <w:bCs/>
          <w:color w:val="000000"/>
          <w:sz w:val="32"/>
          <w:szCs w:val="32"/>
          <w:lang w:val="en-US" w:eastAsia="zh-CN"/>
        </w:rPr>
        <w:t>1.一般公共服务商业服务业（类）商业流通事务（款）行政运行（项）：</w:t>
      </w:r>
      <w:r>
        <w:rPr>
          <w:rFonts w:hint="eastAsia" w:ascii="仿宋_GB2312" w:hAnsi="楷体" w:eastAsia="仿宋_GB2312" w:cs="楷体"/>
          <w:b w:val="0"/>
          <w:bCs/>
          <w:color w:val="000000"/>
          <w:sz w:val="32"/>
          <w:szCs w:val="32"/>
        </w:rPr>
        <w:t>支出决算为</w:t>
      </w:r>
      <w:r>
        <w:rPr>
          <w:rFonts w:hint="eastAsia" w:ascii="仿宋_GB2312" w:hAnsi="楷体" w:eastAsia="仿宋_GB2312" w:cs="楷体"/>
          <w:b w:val="0"/>
          <w:bCs/>
          <w:color w:val="000000"/>
          <w:sz w:val="32"/>
          <w:szCs w:val="32"/>
          <w:lang w:val="en-US" w:eastAsia="zh-CN"/>
        </w:rPr>
        <w:t>170.4</w:t>
      </w:r>
      <w:r>
        <w:rPr>
          <w:rFonts w:hint="eastAsia" w:ascii="仿宋_GB2312" w:hAnsi="楷体" w:eastAsia="仿宋_GB2312" w:cs="楷体"/>
          <w:b w:val="0"/>
          <w:bCs/>
          <w:color w:val="000000"/>
          <w:sz w:val="32"/>
          <w:szCs w:val="32"/>
        </w:rPr>
        <w:t>万元，完成预算100%</w:t>
      </w:r>
      <w:r>
        <w:rPr>
          <w:rFonts w:hint="eastAsia" w:ascii="仿宋_GB2312" w:hAnsi="楷体" w:eastAsia="仿宋_GB2312" w:cs="楷体"/>
          <w:b w:val="0"/>
          <w:bCs/>
          <w:color w:val="000000"/>
          <w:sz w:val="32"/>
          <w:szCs w:val="32"/>
          <w:lang w:eastAsia="zh-CN"/>
        </w:rPr>
        <w:t>。</w:t>
      </w:r>
    </w:p>
    <w:p>
      <w:pPr>
        <w:keepNext w:val="0"/>
        <w:keepLines w:val="0"/>
        <w:pageBreakBefore w:val="0"/>
        <w:widowControl w:val="0"/>
        <w:numPr>
          <w:ilvl w:val="0"/>
          <w:numId w:val="0"/>
        </w:numPr>
        <w:kinsoku/>
        <w:wordWrap/>
        <w:overflowPunct/>
        <w:topLinePunct w:val="0"/>
        <w:autoSpaceDE/>
        <w:autoSpaceDN/>
        <w:bidi w:val="0"/>
        <w:adjustRightInd/>
        <w:snapToGrid/>
        <w:spacing w:line="576" w:lineRule="exact"/>
        <w:ind w:firstLine="642" w:firstLineChars="200"/>
        <w:textAlignment w:val="auto"/>
        <w:rPr>
          <w:rFonts w:hint="eastAsia" w:ascii="仿宋_GB2312" w:hAnsi="楷体" w:eastAsia="仿宋_GB2312" w:cs="楷体"/>
          <w:b w:val="0"/>
          <w:bCs/>
          <w:color w:val="000000"/>
          <w:sz w:val="32"/>
          <w:szCs w:val="32"/>
          <w:lang w:eastAsia="zh-CN"/>
        </w:rPr>
      </w:pPr>
      <w:r>
        <w:rPr>
          <w:rFonts w:hint="eastAsia" w:ascii="仿宋_GB2312" w:hAnsi="楷体" w:eastAsia="仿宋_GB2312" w:cs="楷体"/>
          <w:b/>
          <w:bCs/>
          <w:color w:val="000000"/>
          <w:sz w:val="32"/>
          <w:szCs w:val="32"/>
          <w:lang w:val="en-US" w:eastAsia="zh-CN"/>
        </w:rPr>
        <w:t>2.一般公共服务商业服务业（类）商业流通事务（款）其他商业流通事务（项）：</w:t>
      </w:r>
      <w:r>
        <w:rPr>
          <w:rFonts w:hint="eastAsia" w:ascii="仿宋_GB2312" w:hAnsi="楷体" w:eastAsia="仿宋_GB2312" w:cs="楷体"/>
          <w:b w:val="0"/>
          <w:bCs/>
          <w:color w:val="000000"/>
          <w:sz w:val="32"/>
          <w:szCs w:val="32"/>
        </w:rPr>
        <w:t>支出决算</w:t>
      </w:r>
      <w:r>
        <w:rPr>
          <w:rFonts w:hint="eastAsia" w:ascii="仿宋_GB2312" w:hAnsi="楷体" w:eastAsia="仿宋_GB2312" w:cs="楷体"/>
          <w:b w:val="0"/>
          <w:bCs/>
          <w:color w:val="000000"/>
          <w:sz w:val="32"/>
          <w:szCs w:val="32"/>
          <w:lang w:val="en-US" w:eastAsia="zh-CN"/>
        </w:rPr>
        <w:t>数</w:t>
      </w:r>
      <w:r>
        <w:rPr>
          <w:rFonts w:hint="eastAsia" w:ascii="仿宋_GB2312" w:hAnsi="楷体" w:eastAsia="仿宋_GB2312" w:cs="楷体"/>
          <w:b w:val="0"/>
          <w:bCs/>
          <w:color w:val="000000"/>
          <w:sz w:val="32"/>
          <w:szCs w:val="32"/>
        </w:rPr>
        <w:t>为</w:t>
      </w:r>
      <w:r>
        <w:rPr>
          <w:rFonts w:hint="eastAsia" w:ascii="仿宋_GB2312" w:hAnsi="楷体" w:eastAsia="仿宋_GB2312" w:cs="楷体"/>
          <w:b w:val="0"/>
          <w:bCs/>
          <w:color w:val="000000"/>
          <w:sz w:val="32"/>
          <w:szCs w:val="32"/>
          <w:lang w:val="en-US" w:eastAsia="zh-CN"/>
        </w:rPr>
        <w:t>200</w:t>
      </w:r>
      <w:r>
        <w:rPr>
          <w:rFonts w:hint="eastAsia" w:ascii="仿宋_GB2312" w:hAnsi="楷体" w:eastAsia="仿宋_GB2312" w:cs="楷体"/>
          <w:b w:val="0"/>
          <w:bCs/>
          <w:color w:val="000000"/>
          <w:sz w:val="32"/>
          <w:szCs w:val="32"/>
        </w:rPr>
        <w:t>万元</w:t>
      </w:r>
      <w:r>
        <w:rPr>
          <w:rFonts w:hint="eastAsia" w:ascii="仿宋_GB2312" w:hAnsi="楷体" w:eastAsia="仿宋_GB2312" w:cs="楷体"/>
          <w:b w:val="0"/>
          <w:bCs/>
          <w:color w:val="000000"/>
          <w:sz w:val="32"/>
          <w:szCs w:val="32"/>
          <w:lang w:eastAsia="zh-CN"/>
        </w:rPr>
        <w:t>，</w:t>
      </w:r>
      <w:r>
        <w:rPr>
          <w:rFonts w:hint="eastAsia" w:ascii="仿宋_GB2312" w:hAnsi="楷体" w:eastAsia="仿宋_GB2312" w:cs="楷体"/>
          <w:b w:val="0"/>
          <w:bCs/>
          <w:color w:val="000000"/>
          <w:sz w:val="32"/>
          <w:szCs w:val="32"/>
        </w:rPr>
        <w:t>完成预算100%</w:t>
      </w:r>
      <w:r>
        <w:rPr>
          <w:rFonts w:hint="eastAsia" w:ascii="仿宋_GB2312" w:hAnsi="楷体" w:eastAsia="仿宋_GB2312" w:cs="楷体"/>
          <w:b w:val="0"/>
          <w:bCs/>
          <w:color w:val="000000"/>
          <w:sz w:val="32"/>
          <w:szCs w:val="32"/>
          <w:lang w:eastAsia="zh-CN"/>
        </w:rPr>
        <w:t>。</w:t>
      </w:r>
    </w:p>
    <w:p>
      <w:pPr>
        <w:keepNext w:val="0"/>
        <w:keepLines w:val="0"/>
        <w:pageBreakBefore w:val="0"/>
        <w:widowControl w:val="0"/>
        <w:numPr>
          <w:ilvl w:val="0"/>
          <w:numId w:val="0"/>
        </w:numPr>
        <w:kinsoku/>
        <w:wordWrap/>
        <w:overflowPunct/>
        <w:topLinePunct w:val="0"/>
        <w:autoSpaceDE/>
        <w:autoSpaceDN/>
        <w:bidi w:val="0"/>
        <w:adjustRightInd/>
        <w:snapToGrid/>
        <w:spacing w:line="576" w:lineRule="exact"/>
        <w:ind w:firstLine="642" w:firstLineChars="200"/>
        <w:textAlignment w:val="auto"/>
        <w:rPr>
          <w:rFonts w:hint="eastAsia" w:ascii="仿宋_GB2312" w:hAnsi="楷体" w:eastAsia="仿宋_GB2312" w:cs="楷体"/>
          <w:b w:val="0"/>
          <w:bCs/>
          <w:color w:val="000000"/>
          <w:sz w:val="32"/>
          <w:szCs w:val="32"/>
          <w:lang w:val="en-US" w:eastAsia="zh-CN"/>
        </w:rPr>
      </w:pPr>
      <w:r>
        <w:rPr>
          <w:rFonts w:hint="eastAsia" w:ascii="仿宋_GB2312" w:hAnsi="楷体" w:eastAsia="仿宋_GB2312" w:cs="楷体"/>
          <w:b/>
          <w:bCs/>
          <w:color w:val="000000"/>
          <w:sz w:val="32"/>
          <w:szCs w:val="32"/>
          <w:lang w:val="en-US" w:eastAsia="zh-CN"/>
        </w:rPr>
        <w:t>3.一般公共服务商业服务业（类）商业流通事务（款）民贸民品贷款贴息（项）：</w:t>
      </w:r>
      <w:r>
        <w:rPr>
          <w:rFonts w:hint="eastAsia" w:ascii="仿宋_GB2312" w:hAnsi="楷体" w:eastAsia="仿宋_GB2312" w:cs="楷体"/>
          <w:b w:val="0"/>
          <w:bCs/>
          <w:color w:val="000000"/>
          <w:sz w:val="32"/>
          <w:szCs w:val="32"/>
        </w:rPr>
        <w:t>支出决算</w:t>
      </w:r>
      <w:r>
        <w:rPr>
          <w:rFonts w:hint="eastAsia" w:ascii="仿宋_GB2312" w:hAnsi="楷体" w:eastAsia="仿宋_GB2312" w:cs="楷体"/>
          <w:b w:val="0"/>
          <w:bCs/>
          <w:color w:val="000000"/>
          <w:sz w:val="32"/>
          <w:szCs w:val="32"/>
          <w:lang w:val="en-US" w:eastAsia="zh-CN"/>
        </w:rPr>
        <w:t>数</w:t>
      </w:r>
      <w:r>
        <w:rPr>
          <w:rFonts w:hint="eastAsia" w:ascii="仿宋_GB2312" w:hAnsi="楷体" w:eastAsia="仿宋_GB2312" w:cs="楷体"/>
          <w:b w:val="0"/>
          <w:bCs/>
          <w:color w:val="000000"/>
          <w:sz w:val="32"/>
          <w:szCs w:val="32"/>
        </w:rPr>
        <w:t>为</w:t>
      </w:r>
      <w:r>
        <w:rPr>
          <w:rFonts w:hint="eastAsia" w:ascii="仿宋_GB2312" w:hAnsi="楷体" w:eastAsia="仿宋_GB2312" w:cs="楷体"/>
          <w:b w:val="0"/>
          <w:bCs/>
          <w:color w:val="000000"/>
          <w:sz w:val="32"/>
          <w:szCs w:val="32"/>
          <w:lang w:val="en-US" w:eastAsia="zh-CN"/>
        </w:rPr>
        <w:t>62</w:t>
      </w:r>
      <w:r>
        <w:rPr>
          <w:rFonts w:hint="eastAsia" w:ascii="仿宋_GB2312" w:hAnsi="楷体" w:eastAsia="仿宋_GB2312" w:cs="楷体"/>
          <w:b w:val="0"/>
          <w:bCs/>
          <w:color w:val="000000"/>
          <w:sz w:val="32"/>
          <w:szCs w:val="32"/>
        </w:rPr>
        <w:t>万元</w:t>
      </w:r>
      <w:r>
        <w:rPr>
          <w:rFonts w:hint="eastAsia" w:ascii="仿宋_GB2312" w:hAnsi="楷体" w:eastAsia="仿宋_GB2312" w:cs="楷体"/>
          <w:b w:val="0"/>
          <w:bCs/>
          <w:color w:val="000000"/>
          <w:sz w:val="32"/>
          <w:szCs w:val="32"/>
          <w:lang w:eastAsia="zh-CN"/>
        </w:rPr>
        <w:t>，</w:t>
      </w:r>
      <w:r>
        <w:rPr>
          <w:rFonts w:hint="eastAsia" w:ascii="仿宋_GB2312" w:hAnsi="楷体" w:eastAsia="仿宋_GB2312" w:cs="楷体"/>
          <w:b w:val="0"/>
          <w:bCs/>
          <w:color w:val="000000"/>
          <w:sz w:val="32"/>
          <w:szCs w:val="32"/>
        </w:rPr>
        <w:t>完成预算100%</w:t>
      </w:r>
      <w:r>
        <w:rPr>
          <w:rFonts w:hint="eastAsia" w:ascii="仿宋_GB2312" w:hAnsi="楷体" w:eastAsia="仿宋_GB2312" w:cs="楷体"/>
          <w:b w:val="0"/>
          <w:bCs/>
          <w:color w:val="000000"/>
          <w:sz w:val="32"/>
          <w:szCs w:val="32"/>
          <w:lang w:eastAsia="zh-CN"/>
        </w:rPr>
        <w:t>。</w:t>
      </w:r>
    </w:p>
    <w:p>
      <w:pPr>
        <w:keepNext w:val="0"/>
        <w:keepLines w:val="0"/>
        <w:pageBreakBefore w:val="0"/>
        <w:widowControl w:val="0"/>
        <w:numPr>
          <w:ilvl w:val="0"/>
          <w:numId w:val="0"/>
        </w:numPr>
        <w:kinsoku/>
        <w:wordWrap/>
        <w:overflowPunct/>
        <w:topLinePunct w:val="0"/>
        <w:autoSpaceDE/>
        <w:autoSpaceDN/>
        <w:bidi w:val="0"/>
        <w:adjustRightInd/>
        <w:snapToGrid/>
        <w:spacing w:line="576" w:lineRule="exact"/>
        <w:ind w:firstLine="642" w:firstLineChars="200"/>
        <w:textAlignment w:val="auto"/>
        <w:rPr>
          <w:rFonts w:hint="eastAsia" w:ascii="仿宋_GB2312" w:hAnsi="楷体" w:eastAsia="仿宋_GB2312" w:cs="楷体"/>
          <w:b w:val="0"/>
          <w:bCs/>
          <w:color w:val="000000"/>
          <w:sz w:val="32"/>
          <w:szCs w:val="32"/>
          <w:lang w:eastAsia="zh-CN"/>
        </w:rPr>
      </w:pPr>
      <w:r>
        <w:rPr>
          <w:rFonts w:hint="eastAsia" w:ascii="仿宋_GB2312" w:hAnsi="楷体" w:eastAsia="仿宋_GB2312" w:cs="楷体"/>
          <w:b/>
          <w:bCs/>
          <w:color w:val="000000"/>
          <w:sz w:val="32"/>
          <w:szCs w:val="32"/>
          <w:lang w:val="en-US" w:eastAsia="zh-CN"/>
        </w:rPr>
        <w:t>4.社会保障和就业（类）行政事业单位离退休（款）机关事业单位基本养老保险缴费（项）：</w:t>
      </w:r>
      <w:r>
        <w:rPr>
          <w:rFonts w:hint="eastAsia" w:ascii="仿宋_GB2312" w:hAnsi="楷体" w:eastAsia="仿宋_GB2312" w:cs="楷体"/>
          <w:b w:val="0"/>
          <w:bCs/>
          <w:color w:val="000000"/>
          <w:sz w:val="32"/>
          <w:szCs w:val="32"/>
        </w:rPr>
        <w:t>支出决算</w:t>
      </w:r>
      <w:r>
        <w:rPr>
          <w:rFonts w:hint="eastAsia" w:ascii="仿宋_GB2312" w:hAnsi="楷体" w:eastAsia="仿宋_GB2312" w:cs="楷体"/>
          <w:b w:val="0"/>
          <w:bCs/>
          <w:color w:val="000000"/>
          <w:sz w:val="32"/>
          <w:szCs w:val="32"/>
          <w:lang w:val="en-US" w:eastAsia="zh-CN"/>
        </w:rPr>
        <w:t>数</w:t>
      </w:r>
      <w:r>
        <w:rPr>
          <w:rFonts w:hint="eastAsia" w:ascii="仿宋_GB2312" w:hAnsi="楷体" w:eastAsia="仿宋_GB2312" w:cs="楷体"/>
          <w:b w:val="0"/>
          <w:bCs/>
          <w:color w:val="000000"/>
          <w:sz w:val="32"/>
          <w:szCs w:val="32"/>
        </w:rPr>
        <w:t>为</w:t>
      </w:r>
      <w:r>
        <w:rPr>
          <w:rFonts w:hint="eastAsia" w:ascii="仿宋_GB2312" w:hAnsi="楷体" w:eastAsia="仿宋_GB2312" w:cs="楷体"/>
          <w:b w:val="0"/>
          <w:bCs/>
          <w:color w:val="000000"/>
          <w:sz w:val="32"/>
          <w:szCs w:val="32"/>
          <w:lang w:val="en-US" w:eastAsia="zh-CN"/>
        </w:rPr>
        <w:t>15.8</w:t>
      </w:r>
      <w:r>
        <w:rPr>
          <w:rFonts w:hint="eastAsia" w:ascii="仿宋_GB2312" w:hAnsi="楷体" w:eastAsia="仿宋_GB2312" w:cs="楷体"/>
          <w:b w:val="0"/>
          <w:bCs/>
          <w:color w:val="000000"/>
          <w:sz w:val="32"/>
          <w:szCs w:val="32"/>
        </w:rPr>
        <w:t>万元</w:t>
      </w:r>
      <w:r>
        <w:rPr>
          <w:rFonts w:hint="eastAsia" w:ascii="仿宋_GB2312" w:hAnsi="楷体" w:eastAsia="仿宋_GB2312" w:cs="楷体"/>
          <w:b w:val="0"/>
          <w:bCs/>
          <w:color w:val="000000"/>
          <w:sz w:val="32"/>
          <w:szCs w:val="32"/>
          <w:lang w:eastAsia="zh-CN"/>
        </w:rPr>
        <w:t>，</w:t>
      </w:r>
      <w:r>
        <w:rPr>
          <w:rFonts w:hint="eastAsia" w:ascii="仿宋_GB2312" w:hAnsi="楷体" w:eastAsia="仿宋_GB2312" w:cs="楷体"/>
          <w:b w:val="0"/>
          <w:bCs/>
          <w:color w:val="000000"/>
          <w:sz w:val="32"/>
          <w:szCs w:val="32"/>
        </w:rPr>
        <w:t>完成预算100%</w:t>
      </w:r>
      <w:r>
        <w:rPr>
          <w:rFonts w:hint="eastAsia" w:ascii="仿宋_GB2312" w:hAnsi="楷体" w:eastAsia="仿宋_GB2312" w:cs="楷体"/>
          <w:b w:val="0"/>
          <w:bCs/>
          <w:color w:val="000000"/>
          <w:sz w:val="32"/>
          <w:szCs w:val="32"/>
          <w:lang w:eastAsia="zh-CN"/>
        </w:rPr>
        <w:t>。</w:t>
      </w:r>
    </w:p>
    <w:p>
      <w:pPr>
        <w:keepNext w:val="0"/>
        <w:keepLines w:val="0"/>
        <w:pageBreakBefore w:val="0"/>
        <w:widowControl w:val="0"/>
        <w:numPr>
          <w:ilvl w:val="0"/>
          <w:numId w:val="0"/>
        </w:numPr>
        <w:kinsoku/>
        <w:wordWrap/>
        <w:overflowPunct/>
        <w:topLinePunct w:val="0"/>
        <w:autoSpaceDE/>
        <w:autoSpaceDN/>
        <w:bidi w:val="0"/>
        <w:adjustRightInd/>
        <w:snapToGrid/>
        <w:spacing w:line="576" w:lineRule="exact"/>
        <w:ind w:firstLine="642" w:firstLineChars="200"/>
        <w:textAlignment w:val="auto"/>
        <w:rPr>
          <w:rFonts w:hint="eastAsia" w:ascii="仿宋_GB2312" w:hAnsi="楷体" w:eastAsia="仿宋_GB2312" w:cs="楷体"/>
          <w:color w:val="000000"/>
          <w:sz w:val="32"/>
          <w:szCs w:val="32"/>
        </w:rPr>
      </w:pPr>
      <w:r>
        <w:rPr>
          <w:rFonts w:hint="eastAsia" w:ascii="仿宋_GB2312" w:hAnsi="楷体" w:eastAsia="仿宋_GB2312" w:cs="楷体"/>
          <w:b/>
          <w:bCs/>
          <w:color w:val="000000"/>
          <w:sz w:val="32"/>
          <w:szCs w:val="32"/>
          <w:lang w:val="en-US" w:eastAsia="zh-CN"/>
        </w:rPr>
        <w:t>5.社会保障和就业（类）行政事业单位离退休（款）机关事业单位职业年金缴费（项）：</w:t>
      </w:r>
      <w:r>
        <w:rPr>
          <w:rFonts w:hint="eastAsia" w:ascii="仿宋_GB2312" w:hAnsi="楷体" w:eastAsia="仿宋_GB2312" w:cs="楷体"/>
          <w:color w:val="000000"/>
          <w:sz w:val="32"/>
          <w:szCs w:val="32"/>
          <w:lang w:val="en-US" w:eastAsia="zh-CN"/>
        </w:rPr>
        <w:t>支出决算数为7.24</w:t>
      </w:r>
      <w:r>
        <w:rPr>
          <w:rFonts w:hint="eastAsia" w:ascii="仿宋_GB2312" w:hAnsi="楷体" w:eastAsia="仿宋_GB2312" w:cs="楷体"/>
          <w:color w:val="000000"/>
          <w:sz w:val="32"/>
          <w:szCs w:val="32"/>
        </w:rPr>
        <w:t>万元</w:t>
      </w:r>
      <w:r>
        <w:rPr>
          <w:rFonts w:hint="eastAsia" w:ascii="仿宋_GB2312" w:hAnsi="楷体" w:eastAsia="仿宋_GB2312" w:cs="楷体"/>
          <w:color w:val="000000"/>
          <w:sz w:val="32"/>
          <w:szCs w:val="32"/>
          <w:lang w:eastAsia="zh-CN"/>
        </w:rPr>
        <w:t>，</w:t>
      </w:r>
      <w:r>
        <w:rPr>
          <w:rFonts w:hint="eastAsia" w:ascii="仿宋_GB2312" w:hAnsi="楷体" w:eastAsia="仿宋_GB2312" w:cs="楷体"/>
          <w:color w:val="000000"/>
          <w:sz w:val="32"/>
          <w:szCs w:val="32"/>
        </w:rPr>
        <w:t>完成预算100%</w:t>
      </w:r>
      <w:r>
        <w:rPr>
          <w:rFonts w:hint="eastAsia" w:ascii="仿宋_GB2312" w:hAnsi="楷体" w:eastAsia="仿宋_GB2312" w:cs="楷体"/>
          <w:color w:val="000000"/>
          <w:sz w:val="32"/>
          <w:szCs w:val="32"/>
          <w:lang w:eastAsia="zh-CN"/>
        </w:rPr>
        <w:t>。</w:t>
      </w:r>
    </w:p>
    <w:p>
      <w:pPr>
        <w:keepNext w:val="0"/>
        <w:keepLines w:val="0"/>
        <w:pageBreakBefore w:val="0"/>
        <w:widowControl w:val="0"/>
        <w:kinsoku/>
        <w:wordWrap/>
        <w:overflowPunct/>
        <w:topLinePunct w:val="0"/>
        <w:autoSpaceDE/>
        <w:autoSpaceDN/>
        <w:bidi w:val="0"/>
        <w:adjustRightInd/>
        <w:snapToGrid/>
        <w:spacing w:line="576" w:lineRule="exact"/>
        <w:ind w:firstLine="642" w:firstLineChars="200"/>
        <w:textAlignment w:val="auto"/>
        <w:rPr>
          <w:rFonts w:hint="eastAsia" w:ascii="仿宋_GB2312" w:hAnsi="楷体" w:eastAsia="仿宋_GB2312" w:cs="楷体"/>
          <w:color w:val="000000"/>
          <w:sz w:val="32"/>
          <w:szCs w:val="32"/>
        </w:rPr>
      </w:pPr>
      <w:r>
        <w:rPr>
          <w:rFonts w:hint="eastAsia" w:ascii="仿宋_GB2312" w:hAnsi="楷体" w:eastAsia="仿宋_GB2312" w:cs="楷体"/>
          <w:b/>
          <w:bCs/>
          <w:color w:val="000000"/>
          <w:sz w:val="32"/>
          <w:szCs w:val="32"/>
          <w:lang w:val="en-US" w:eastAsia="zh-CN"/>
        </w:rPr>
        <w:t>6.医疗卫生与计划生育（类）行政事业单位医疗（款）行政单位医疗（项）：支出</w:t>
      </w:r>
      <w:r>
        <w:rPr>
          <w:rFonts w:hint="eastAsia" w:ascii="仿宋_GB2312" w:hAnsi="楷体" w:eastAsia="仿宋_GB2312" w:cs="楷体"/>
          <w:color w:val="000000"/>
          <w:sz w:val="32"/>
          <w:szCs w:val="32"/>
          <w:lang w:val="en-US" w:eastAsia="zh-CN"/>
        </w:rPr>
        <w:t>决算数为12.47万元，完成预算100%；</w:t>
      </w:r>
    </w:p>
    <w:p>
      <w:pPr>
        <w:keepNext w:val="0"/>
        <w:keepLines w:val="0"/>
        <w:pageBreakBefore w:val="0"/>
        <w:widowControl w:val="0"/>
        <w:kinsoku/>
        <w:wordWrap/>
        <w:overflowPunct/>
        <w:topLinePunct w:val="0"/>
        <w:autoSpaceDE/>
        <w:autoSpaceDN/>
        <w:bidi w:val="0"/>
        <w:adjustRightInd/>
        <w:snapToGrid/>
        <w:spacing w:line="576" w:lineRule="exact"/>
        <w:ind w:firstLine="642" w:firstLineChars="200"/>
        <w:textAlignment w:val="auto"/>
        <w:rPr>
          <w:rFonts w:hint="eastAsia" w:ascii="仿宋_GB2312" w:hAnsi="楷体" w:eastAsia="仿宋_GB2312" w:cs="楷体"/>
          <w:color w:val="000000"/>
          <w:sz w:val="32"/>
          <w:szCs w:val="32"/>
          <w:lang w:val="en-US" w:eastAsia="zh-CN"/>
        </w:rPr>
      </w:pPr>
      <w:r>
        <w:rPr>
          <w:rFonts w:hint="eastAsia" w:ascii="仿宋_GB2312" w:hAnsi="楷体" w:eastAsia="仿宋_GB2312" w:cs="楷体"/>
          <w:b/>
          <w:bCs/>
          <w:color w:val="000000"/>
          <w:sz w:val="32"/>
          <w:szCs w:val="32"/>
          <w:lang w:val="en-US" w:eastAsia="zh-CN"/>
        </w:rPr>
        <w:t>7.住房保障支出（类）住房改革支出（款）住房公积住房改革支出（款）住房公积金（项）：</w:t>
      </w:r>
      <w:r>
        <w:rPr>
          <w:rFonts w:hint="eastAsia" w:ascii="仿宋_GB2312" w:hAnsi="楷体" w:eastAsia="仿宋_GB2312" w:cs="楷体"/>
          <w:b w:val="0"/>
          <w:bCs w:val="0"/>
          <w:color w:val="000000"/>
          <w:sz w:val="32"/>
          <w:szCs w:val="32"/>
          <w:lang w:val="en-US" w:eastAsia="zh-CN"/>
        </w:rPr>
        <w:t>支出</w:t>
      </w:r>
      <w:r>
        <w:rPr>
          <w:rFonts w:hint="eastAsia" w:ascii="仿宋_GB2312" w:hAnsi="楷体" w:eastAsia="仿宋_GB2312" w:cs="楷体"/>
          <w:color w:val="000000"/>
          <w:sz w:val="32"/>
          <w:szCs w:val="32"/>
          <w:lang w:val="en-US" w:eastAsia="zh-CN"/>
        </w:rPr>
        <w:t>决算数为13.48万元，完成预算100%。</w:t>
      </w:r>
    </w:p>
    <w:p>
      <w:pPr>
        <w:keepNext w:val="0"/>
        <w:keepLines w:val="0"/>
        <w:pageBreakBefore w:val="0"/>
        <w:widowControl w:val="0"/>
        <w:kinsoku/>
        <w:wordWrap/>
        <w:overflowPunct/>
        <w:topLinePunct w:val="0"/>
        <w:autoSpaceDE/>
        <w:autoSpaceDN/>
        <w:bidi w:val="0"/>
        <w:adjustRightInd/>
        <w:snapToGrid/>
        <w:spacing w:line="576" w:lineRule="exact"/>
        <w:ind w:firstLine="642" w:firstLineChars="200"/>
        <w:textAlignment w:val="auto"/>
        <w:rPr>
          <w:rFonts w:hint="eastAsia" w:ascii="仿宋_GB2312" w:hAnsi="楷体" w:eastAsia="仿宋_GB2312" w:cs="楷体"/>
          <w:color w:val="000000"/>
          <w:sz w:val="32"/>
          <w:szCs w:val="32"/>
          <w:lang w:val="en-US" w:eastAsia="zh-CN"/>
        </w:rPr>
      </w:pPr>
      <w:r>
        <w:rPr>
          <w:rFonts w:hint="eastAsia" w:ascii="仿宋_GB2312" w:hAnsi="楷体" w:eastAsia="仿宋_GB2312" w:cs="楷体"/>
          <w:b/>
          <w:bCs/>
          <w:color w:val="000000"/>
          <w:sz w:val="32"/>
          <w:szCs w:val="32"/>
          <w:lang w:val="en-US" w:eastAsia="zh-CN"/>
        </w:rPr>
        <w:t>8.住房保障支出（类）住房改革支出（款）住房公积住房改革支出（款）购房补贴（项）：</w:t>
      </w:r>
      <w:r>
        <w:rPr>
          <w:rFonts w:hint="eastAsia" w:ascii="仿宋_GB2312" w:hAnsi="楷体" w:eastAsia="仿宋_GB2312" w:cs="楷体"/>
          <w:b w:val="0"/>
          <w:bCs w:val="0"/>
          <w:color w:val="000000"/>
          <w:sz w:val="32"/>
          <w:szCs w:val="32"/>
          <w:lang w:val="en-US" w:eastAsia="zh-CN"/>
        </w:rPr>
        <w:t>支出</w:t>
      </w:r>
      <w:r>
        <w:rPr>
          <w:rFonts w:hint="eastAsia" w:ascii="仿宋_GB2312" w:hAnsi="楷体" w:eastAsia="仿宋_GB2312" w:cs="楷体"/>
          <w:color w:val="000000"/>
          <w:sz w:val="32"/>
          <w:szCs w:val="32"/>
          <w:lang w:val="en-US" w:eastAsia="zh-CN"/>
        </w:rPr>
        <w:t>决算数为1.02万元，完成预算100%。</w:t>
      </w:r>
    </w:p>
    <w:p>
      <w:pPr>
        <w:keepNext w:val="0"/>
        <w:keepLines w:val="0"/>
        <w:pageBreakBefore w:val="0"/>
        <w:widowControl w:val="0"/>
        <w:kinsoku/>
        <w:wordWrap/>
        <w:overflowPunct/>
        <w:topLinePunct w:val="0"/>
        <w:autoSpaceDE/>
        <w:autoSpaceDN/>
        <w:bidi w:val="0"/>
        <w:adjustRightInd/>
        <w:snapToGrid/>
        <w:spacing w:line="576" w:lineRule="exact"/>
        <w:ind w:firstLine="642" w:firstLineChars="200"/>
        <w:textAlignment w:val="auto"/>
        <w:rPr>
          <w:rFonts w:hint="eastAsia" w:ascii="仿宋_GB2312" w:hAnsi="楷体" w:eastAsia="仿宋_GB2312" w:cs="楷体"/>
          <w:color w:val="000000"/>
          <w:sz w:val="32"/>
          <w:szCs w:val="32"/>
          <w:lang w:val="en-US" w:eastAsia="zh-CN"/>
        </w:rPr>
      </w:pPr>
      <w:r>
        <w:rPr>
          <w:rFonts w:hint="eastAsia" w:ascii="仿宋_GB2312" w:hAnsi="楷体" w:eastAsia="仿宋_GB2312" w:cs="楷体"/>
          <w:b/>
          <w:bCs/>
          <w:color w:val="000000"/>
          <w:sz w:val="32"/>
          <w:szCs w:val="32"/>
          <w:lang w:val="en-US" w:eastAsia="zh-CN"/>
        </w:rPr>
        <w:t>9.农林水支出（类）农业（款）农业生产支持补贴（项）：</w:t>
      </w:r>
      <w:r>
        <w:rPr>
          <w:rFonts w:hint="eastAsia" w:ascii="仿宋_GB2312" w:hAnsi="楷体" w:eastAsia="仿宋_GB2312" w:cs="楷体"/>
          <w:color w:val="000000"/>
          <w:sz w:val="32"/>
          <w:szCs w:val="32"/>
          <w:lang w:val="en-US" w:eastAsia="zh-CN"/>
        </w:rPr>
        <w:t>支出决算37.97万元，完成预算100%。</w:t>
      </w:r>
    </w:p>
    <w:p>
      <w:pPr>
        <w:keepNext w:val="0"/>
        <w:keepLines w:val="0"/>
        <w:pageBreakBefore w:val="0"/>
        <w:widowControl w:val="0"/>
        <w:kinsoku/>
        <w:wordWrap/>
        <w:overflowPunct/>
        <w:topLinePunct w:val="0"/>
        <w:autoSpaceDE/>
        <w:autoSpaceDN/>
        <w:bidi w:val="0"/>
        <w:adjustRightInd/>
        <w:snapToGrid/>
        <w:spacing w:line="576" w:lineRule="exact"/>
        <w:ind w:firstLine="642" w:firstLineChars="200"/>
        <w:textAlignment w:val="auto"/>
        <w:rPr>
          <w:rFonts w:ascii="仿宋" w:hAnsi="仿宋" w:eastAsia="仿宋"/>
          <w:b/>
          <w:color w:val="000000"/>
          <w:sz w:val="32"/>
          <w:szCs w:val="32"/>
        </w:rPr>
      </w:pPr>
      <w:r>
        <w:rPr>
          <w:rFonts w:hint="eastAsia" w:ascii="仿宋_GB2312" w:hAnsi="楷体" w:eastAsia="仿宋_GB2312" w:cs="楷体"/>
          <w:b/>
          <w:bCs/>
          <w:color w:val="000000"/>
          <w:sz w:val="32"/>
          <w:szCs w:val="32"/>
          <w:lang w:val="en-US" w:eastAsia="zh-CN"/>
        </w:rPr>
        <w:t>10.农林水支出（类）农业（款）其他农业支出（项）：</w:t>
      </w:r>
      <w:r>
        <w:rPr>
          <w:rFonts w:hint="eastAsia" w:ascii="仿宋_GB2312" w:hAnsi="楷体" w:eastAsia="仿宋_GB2312" w:cs="楷体"/>
          <w:color w:val="000000"/>
          <w:sz w:val="32"/>
          <w:szCs w:val="32"/>
          <w:lang w:val="en-US" w:eastAsia="zh-CN"/>
        </w:rPr>
        <w:t>支出决算为1.47万元，完成预算100%。</w:t>
      </w:r>
    </w:p>
    <w:p>
      <w:pPr>
        <w:tabs>
          <w:tab w:val="right" w:pos="8306"/>
        </w:tabs>
        <w:spacing w:line="600" w:lineRule="exact"/>
        <w:ind w:firstLine="640"/>
        <w:outlineLvl w:val="1"/>
        <w:rPr>
          <w:rStyle w:val="25"/>
        </w:rPr>
      </w:pPr>
      <w:bookmarkStart w:id="40" w:name="_Toc15377214"/>
      <w:bookmarkStart w:id="41" w:name="_Toc15396608"/>
      <w:r>
        <w:rPr>
          <w:rFonts w:hint="eastAsia" w:ascii="黑体" w:eastAsia="黑体"/>
          <w:color w:val="000000"/>
          <w:sz w:val="32"/>
          <w:szCs w:val="32"/>
        </w:rPr>
        <w:t>六</w:t>
      </w:r>
      <w:r>
        <w:rPr>
          <w:rFonts w:hint="eastAsia" w:ascii="黑体" w:eastAsia="黑体"/>
          <w:b/>
          <w:color w:val="000000"/>
          <w:sz w:val="32"/>
          <w:szCs w:val="32"/>
        </w:rPr>
        <w:t>、</w:t>
      </w:r>
      <w:r>
        <w:rPr>
          <w:rFonts w:hint="eastAsia" w:ascii="黑体" w:hAnsi="黑体" w:eastAsia="黑体"/>
          <w:b/>
          <w:color w:val="000000"/>
          <w:sz w:val="32"/>
          <w:szCs w:val="32"/>
        </w:rPr>
        <w:t>一</w:t>
      </w:r>
      <w:r>
        <w:rPr>
          <w:rStyle w:val="25"/>
          <w:rFonts w:hint="eastAsia" w:ascii="黑体" w:hAnsi="黑体" w:eastAsia="黑体"/>
          <w:b w:val="0"/>
        </w:rPr>
        <w:t>般公共预算财政拨款基本支出决算情况说明</w:t>
      </w:r>
      <w:bookmarkEnd w:id="40"/>
      <w:bookmarkEnd w:id="41"/>
      <w:r>
        <w:rPr>
          <w:rStyle w:val="25"/>
          <w:rFonts w:ascii="黑体" w:hAnsi="黑体" w:eastAsia="黑体"/>
          <w:b w:val="0"/>
        </w:rPr>
        <w:tab/>
      </w:r>
    </w:p>
    <w:p>
      <w:pPr>
        <w:spacing w:line="600" w:lineRule="exact"/>
        <w:ind w:firstLine="645"/>
        <w:rPr>
          <w:rFonts w:ascii="仿宋" w:hAnsi="仿宋" w:eastAsia="仿宋"/>
          <w:color w:val="000000"/>
          <w:sz w:val="32"/>
          <w:szCs w:val="32"/>
        </w:rPr>
      </w:pPr>
      <w:r>
        <w:rPr>
          <w:rFonts w:ascii="仿宋" w:hAnsi="仿宋" w:eastAsia="仿宋"/>
          <w:color w:val="000000"/>
          <w:sz w:val="32"/>
          <w:szCs w:val="32"/>
        </w:rPr>
        <w:t>201</w:t>
      </w:r>
      <w:r>
        <w:rPr>
          <w:rFonts w:hint="eastAsia" w:ascii="仿宋" w:hAnsi="仿宋" w:eastAsia="仿宋"/>
          <w:color w:val="000000"/>
          <w:sz w:val="32"/>
          <w:szCs w:val="32"/>
        </w:rPr>
        <w:t>9年一般公共预算财政拨款基本支出</w:t>
      </w:r>
      <w:r>
        <w:rPr>
          <w:rFonts w:hint="eastAsia" w:ascii="仿宋" w:hAnsi="仿宋" w:eastAsia="仿宋"/>
          <w:color w:val="000000"/>
          <w:sz w:val="32"/>
          <w:szCs w:val="32"/>
          <w:lang w:val="en-US" w:eastAsia="zh-CN"/>
        </w:rPr>
        <w:t>220.43</w:t>
      </w:r>
      <w:r>
        <w:rPr>
          <w:rFonts w:hint="eastAsia" w:ascii="仿宋" w:hAnsi="仿宋" w:eastAsia="仿宋"/>
          <w:color w:val="000000"/>
          <w:sz w:val="32"/>
          <w:szCs w:val="32"/>
        </w:rPr>
        <w:t>万元，其中：</w:t>
      </w:r>
    </w:p>
    <w:p>
      <w:pPr>
        <w:spacing w:line="600" w:lineRule="exact"/>
        <w:ind w:firstLine="645"/>
        <w:rPr>
          <w:rFonts w:ascii="仿宋" w:hAnsi="仿宋" w:eastAsia="仿宋"/>
          <w:color w:val="000000"/>
          <w:sz w:val="32"/>
          <w:szCs w:val="32"/>
        </w:rPr>
      </w:pPr>
      <w:r>
        <w:rPr>
          <w:rFonts w:hint="eastAsia" w:ascii="仿宋" w:hAnsi="仿宋" w:eastAsia="仿宋"/>
          <w:color w:val="000000"/>
          <w:sz w:val="32"/>
          <w:szCs w:val="32"/>
        </w:rPr>
        <w:t>人员经费</w:t>
      </w:r>
      <w:r>
        <w:rPr>
          <w:rFonts w:hint="eastAsia" w:ascii="仿宋" w:hAnsi="仿宋" w:eastAsia="仿宋"/>
          <w:color w:val="000000"/>
          <w:sz w:val="32"/>
          <w:szCs w:val="32"/>
          <w:lang w:val="en-US" w:eastAsia="zh-CN"/>
        </w:rPr>
        <w:t>206.81</w:t>
      </w:r>
      <w:r>
        <w:rPr>
          <w:rFonts w:hint="eastAsia" w:ascii="仿宋" w:hAnsi="仿宋" w:eastAsia="仿宋"/>
          <w:color w:val="000000"/>
          <w:sz w:val="32"/>
          <w:szCs w:val="32"/>
        </w:rPr>
        <w:t>万元，主要包括：基本工资、津贴补贴、奖金、伙食补助费、绩效工资、机关事业单位基本养老保险缴费、职业年金缴费、其他社会保障缴费、其他工资福利支出、离休费、退休费、抚恤金、生活补助、医疗费补助、奖励金、住房公积金、其他对个人和家庭的补助支出等。</w:t>
      </w:r>
      <w:r>
        <w:rPr>
          <w:rFonts w:ascii="仿宋" w:hAnsi="仿宋" w:eastAsia="仿宋"/>
          <w:color w:val="000000"/>
          <w:sz w:val="32"/>
          <w:szCs w:val="32"/>
        </w:rPr>
        <w:br w:type="textWrapping"/>
      </w:r>
      <w:r>
        <w:rPr>
          <w:rFonts w:hint="eastAsia" w:ascii="仿宋" w:hAnsi="仿宋" w:eastAsia="仿宋"/>
          <w:color w:val="000000"/>
          <w:sz w:val="32"/>
          <w:szCs w:val="32"/>
        </w:rPr>
        <w:t>　　日常公用经费</w:t>
      </w:r>
      <w:r>
        <w:rPr>
          <w:rFonts w:hint="eastAsia" w:ascii="仿宋" w:hAnsi="仿宋" w:eastAsia="仿宋"/>
          <w:color w:val="000000"/>
          <w:sz w:val="32"/>
          <w:szCs w:val="32"/>
          <w:lang w:val="en-US" w:eastAsia="zh-CN"/>
        </w:rPr>
        <w:t>13.62</w:t>
      </w:r>
      <w:r>
        <w:rPr>
          <w:rFonts w:hint="eastAsia" w:ascii="仿宋" w:hAnsi="仿宋" w:eastAsia="仿宋"/>
          <w:color w:val="000000"/>
          <w:sz w:val="32"/>
          <w:szCs w:val="32"/>
        </w:rPr>
        <w:t>万元，主要包括：办公费、印刷费、咨询费、手续费、水费、电费、邮电费、取暖费、物业管理费、差旅费、因公出国（境）费用、维修（护）费、租赁费、会议费、培训费、公务接待费、劳务费、委托业务费、工会经费、福利费、公务用车运行维护费、其他交通费、税金及附加费用、其他商品和服务支出、办公设备购置、专用设备购置、信息网络及软件购置更新、其他资本性支出等。</w:t>
      </w:r>
    </w:p>
    <w:p>
      <w:pPr>
        <w:spacing w:line="600" w:lineRule="exact"/>
        <w:ind w:firstLine="640"/>
        <w:outlineLvl w:val="1"/>
        <w:rPr>
          <w:rStyle w:val="25"/>
          <w:rFonts w:ascii="黑体" w:hAnsi="黑体" w:eastAsia="黑体"/>
          <w:b w:val="0"/>
        </w:rPr>
      </w:pPr>
      <w:bookmarkStart w:id="42" w:name="_Toc15396609"/>
      <w:bookmarkStart w:id="43" w:name="_Toc15377215"/>
      <w:r>
        <w:rPr>
          <w:rFonts w:hint="eastAsia" w:ascii="黑体" w:eastAsia="黑体"/>
          <w:color w:val="000000"/>
          <w:sz w:val="32"/>
          <w:szCs w:val="32"/>
        </w:rPr>
        <w:t>七、</w:t>
      </w:r>
      <w:r>
        <w:rPr>
          <w:rStyle w:val="25"/>
          <w:rFonts w:hint="eastAsia" w:ascii="黑体" w:hAnsi="黑体" w:eastAsia="黑体"/>
        </w:rPr>
        <w:t>“</w:t>
      </w:r>
      <w:r>
        <w:rPr>
          <w:rStyle w:val="25"/>
          <w:rFonts w:hint="eastAsia" w:ascii="黑体" w:hAnsi="黑体" w:eastAsia="黑体"/>
          <w:b w:val="0"/>
        </w:rPr>
        <w:t>三公”经费财政拨款支出决算情况说明</w:t>
      </w:r>
      <w:bookmarkEnd w:id="42"/>
      <w:bookmarkEnd w:id="43"/>
    </w:p>
    <w:p>
      <w:pPr>
        <w:spacing w:line="600" w:lineRule="exact"/>
        <w:ind w:firstLine="640"/>
        <w:outlineLvl w:val="2"/>
        <w:rPr>
          <w:rFonts w:hint="eastAsia" w:ascii="楷体" w:hAnsi="楷体" w:eastAsia="楷体" w:cs="楷体"/>
          <w:b/>
          <w:color w:val="000000"/>
          <w:sz w:val="32"/>
          <w:szCs w:val="32"/>
        </w:rPr>
      </w:pPr>
      <w:bookmarkStart w:id="44" w:name="_Toc15377216"/>
      <w:r>
        <w:rPr>
          <w:rFonts w:hint="eastAsia" w:ascii="楷体" w:hAnsi="楷体" w:eastAsia="楷体" w:cs="楷体"/>
          <w:b/>
          <w:color w:val="000000"/>
          <w:sz w:val="32"/>
          <w:szCs w:val="32"/>
        </w:rPr>
        <w:t>（一）“三公”经费财政拨款支出决算总体情况说明</w:t>
      </w:r>
      <w:bookmarkEnd w:id="44"/>
    </w:p>
    <w:p>
      <w:pPr>
        <w:spacing w:line="600" w:lineRule="exact"/>
        <w:ind w:firstLine="640"/>
        <w:rPr>
          <w:rFonts w:ascii="仿宋" w:hAnsi="仿宋" w:eastAsia="仿宋"/>
          <w:color w:val="000000"/>
          <w:sz w:val="32"/>
          <w:szCs w:val="32"/>
        </w:rPr>
      </w:pPr>
      <w:r>
        <w:rPr>
          <w:rFonts w:ascii="仿宋" w:hAnsi="仿宋" w:eastAsia="仿宋"/>
          <w:color w:val="000000"/>
          <w:sz w:val="32"/>
          <w:szCs w:val="32"/>
        </w:rPr>
        <w:t>201</w:t>
      </w:r>
      <w:r>
        <w:rPr>
          <w:rFonts w:hint="eastAsia" w:ascii="仿宋" w:hAnsi="仿宋" w:eastAsia="仿宋"/>
          <w:color w:val="000000"/>
          <w:sz w:val="32"/>
          <w:szCs w:val="32"/>
        </w:rPr>
        <w:t>9年“三公”经费财政拨款支出决算为</w:t>
      </w:r>
      <w:r>
        <w:rPr>
          <w:rFonts w:hint="eastAsia" w:ascii="仿宋" w:hAnsi="仿宋" w:eastAsia="仿宋"/>
          <w:color w:val="000000"/>
          <w:sz w:val="32"/>
          <w:szCs w:val="32"/>
          <w:lang w:val="en-US" w:eastAsia="zh-CN"/>
        </w:rPr>
        <w:t>0</w:t>
      </w:r>
      <w:r>
        <w:rPr>
          <w:rFonts w:hint="eastAsia" w:ascii="仿宋" w:hAnsi="仿宋" w:eastAsia="仿宋"/>
          <w:color w:val="000000"/>
          <w:sz w:val="32"/>
          <w:szCs w:val="32"/>
        </w:rPr>
        <w:t>万元，决算数小于预算数的主要原因是</w:t>
      </w:r>
      <w:r>
        <w:rPr>
          <w:rFonts w:hint="eastAsia" w:ascii="仿宋" w:hAnsi="仿宋" w:eastAsia="仿宋"/>
          <w:color w:val="000000"/>
          <w:sz w:val="32"/>
          <w:szCs w:val="32"/>
          <w:lang w:eastAsia="zh-CN"/>
        </w:rPr>
        <w:t>积极贯彻中央八项规定节约开支</w:t>
      </w:r>
      <w:r>
        <w:rPr>
          <w:rFonts w:hint="eastAsia" w:ascii="仿宋" w:hAnsi="仿宋" w:eastAsia="仿宋"/>
          <w:color w:val="000000"/>
          <w:sz w:val="32"/>
          <w:szCs w:val="32"/>
        </w:rPr>
        <w:t>。</w:t>
      </w:r>
    </w:p>
    <w:p>
      <w:pPr>
        <w:spacing w:line="600" w:lineRule="exact"/>
        <w:ind w:firstLine="640"/>
        <w:outlineLvl w:val="2"/>
        <w:rPr>
          <w:rFonts w:hint="eastAsia" w:ascii="楷体" w:hAnsi="楷体" w:eastAsia="楷体" w:cs="楷体"/>
          <w:b/>
          <w:color w:val="000000"/>
          <w:sz w:val="32"/>
          <w:szCs w:val="32"/>
        </w:rPr>
      </w:pPr>
      <w:bookmarkStart w:id="45" w:name="_Toc15377217"/>
      <w:r>
        <w:rPr>
          <w:rFonts w:hint="eastAsia" w:ascii="楷体" w:hAnsi="楷体" w:eastAsia="楷体" w:cs="楷体"/>
          <w:b/>
          <w:color w:val="000000"/>
          <w:sz w:val="32"/>
          <w:szCs w:val="32"/>
        </w:rPr>
        <w:t>（二）“三公”经费财政拨款支出决算具体情况说明</w:t>
      </w:r>
      <w:bookmarkEnd w:id="45"/>
    </w:p>
    <w:p>
      <w:pPr>
        <w:spacing w:line="600" w:lineRule="exact"/>
        <w:ind w:firstLine="640"/>
        <w:rPr>
          <w:rFonts w:hint="eastAsia" w:ascii="仿宋" w:hAnsi="仿宋" w:eastAsia="仿宋"/>
          <w:color w:val="000000"/>
          <w:sz w:val="32"/>
          <w:szCs w:val="32"/>
        </w:rPr>
      </w:pPr>
      <w:r>
        <w:rPr>
          <w:rFonts w:ascii="仿宋" w:hAnsi="仿宋" w:eastAsia="仿宋"/>
          <w:color w:val="000000"/>
          <w:sz w:val="32"/>
          <w:szCs w:val="32"/>
        </w:rPr>
        <w:t>201</w:t>
      </w:r>
      <w:r>
        <w:rPr>
          <w:rFonts w:hint="eastAsia" w:ascii="仿宋" w:hAnsi="仿宋" w:eastAsia="仿宋"/>
          <w:color w:val="000000"/>
          <w:sz w:val="32"/>
          <w:szCs w:val="32"/>
        </w:rPr>
        <w:t>9年“三公”经费财政拨款支出决算中，因公出国（境）费支出决算</w:t>
      </w:r>
      <w:r>
        <w:rPr>
          <w:rFonts w:hint="eastAsia" w:ascii="仿宋" w:hAnsi="仿宋" w:eastAsia="仿宋"/>
          <w:color w:val="000000"/>
          <w:sz w:val="32"/>
          <w:szCs w:val="32"/>
          <w:lang w:val="en-US" w:eastAsia="zh-CN"/>
        </w:rPr>
        <w:t>0</w:t>
      </w:r>
      <w:r>
        <w:rPr>
          <w:rFonts w:hint="eastAsia" w:ascii="仿宋" w:hAnsi="仿宋" w:eastAsia="仿宋"/>
          <w:color w:val="000000"/>
          <w:sz w:val="32"/>
          <w:szCs w:val="32"/>
        </w:rPr>
        <w:t>万元；公务用车购置及运行维护费支出决算</w:t>
      </w:r>
      <w:r>
        <w:rPr>
          <w:rFonts w:hint="eastAsia" w:ascii="仿宋" w:hAnsi="仿宋" w:eastAsia="仿宋"/>
          <w:color w:val="000000"/>
          <w:sz w:val="32"/>
          <w:szCs w:val="32"/>
          <w:lang w:val="en-US" w:eastAsia="zh-CN"/>
        </w:rPr>
        <w:t>0</w:t>
      </w:r>
      <w:r>
        <w:rPr>
          <w:rFonts w:hint="eastAsia" w:ascii="仿宋" w:hAnsi="仿宋" w:eastAsia="仿宋"/>
          <w:color w:val="000000"/>
          <w:sz w:val="32"/>
          <w:szCs w:val="32"/>
        </w:rPr>
        <w:t>万元；公务接待费支出决算</w:t>
      </w:r>
      <w:r>
        <w:rPr>
          <w:rFonts w:hint="eastAsia" w:ascii="仿宋" w:hAnsi="仿宋" w:eastAsia="仿宋"/>
          <w:color w:val="000000"/>
          <w:sz w:val="32"/>
          <w:szCs w:val="32"/>
          <w:lang w:val="en-US" w:eastAsia="zh-CN"/>
        </w:rPr>
        <w:t>0</w:t>
      </w:r>
      <w:r>
        <w:rPr>
          <w:rFonts w:hint="eastAsia" w:ascii="仿宋" w:hAnsi="仿宋" w:eastAsia="仿宋"/>
          <w:color w:val="000000"/>
          <w:sz w:val="32"/>
          <w:szCs w:val="32"/>
        </w:rPr>
        <w:t>万元。具体情况如下：</w:t>
      </w:r>
    </w:p>
    <w:p>
      <w:pPr>
        <w:spacing w:line="600" w:lineRule="exact"/>
        <w:ind w:firstLine="640"/>
        <w:rPr>
          <w:rFonts w:ascii="仿宋_GB2312" w:eastAsia="仿宋_GB2312"/>
          <w:color w:val="000000"/>
          <w:sz w:val="32"/>
          <w:szCs w:val="32"/>
        </w:rPr>
      </w:pPr>
      <w:r>
        <w:rPr>
          <w:rFonts w:ascii="仿宋_GB2312" w:eastAsia="仿宋_GB2312"/>
          <w:b/>
          <w:color w:val="000000"/>
          <w:sz w:val="32"/>
          <w:szCs w:val="32"/>
        </w:rPr>
        <w:t>1.</w:t>
      </w:r>
      <w:r>
        <w:rPr>
          <w:rFonts w:hint="eastAsia" w:ascii="仿宋_GB2312" w:eastAsia="仿宋_GB2312"/>
          <w:b/>
          <w:color w:val="000000"/>
          <w:sz w:val="32"/>
          <w:szCs w:val="32"/>
        </w:rPr>
        <w:t>因公出国（境）经费支出</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万元</w:t>
      </w:r>
      <w:r>
        <w:rPr>
          <w:rStyle w:val="14"/>
          <w:rFonts w:hint="eastAsia" w:ascii="仿宋" w:hAnsi="仿宋" w:eastAsia="仿宋"/>
          <w:b w:val="0"/>
          <w:bCs/>
          <w:color w:val="000000"/>
          <w:sz w:val="32"/>
          <w:szCs w:val="32"/>
        </w:rPr>
        <w:t>。</w:t>
      </w:r>
      <w:r>
        <w:rPr>
          <w:rFonts w:hint="eastAsia" w:ascii="仿宋_GB2312" w:eastAsia="仿宋_GB2312"/>
          <w:color w:val="000000"/>
          <w:sz w:val="32"/>
          <w:szCs w:val="32"/>
        </w:rPr>
        <w:t>全年安排因公出国（境）团组</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次，出国（境）</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人。</w:t>
      </w:r>
    </w:p>
    <w:p>
      <w:pPr>
        <w:spacing w:line="600" w:lineRule="exact"/>
        <w:ind w:firstLine="640"/>
        <w:rPr>
          <w:rFonts w:hint="eastAsia" w:ascii="仿宋_GB2312" w:eastAsia="仿宋"/>
          <w:b/>
          <w:color w:val="000000"/>
          <w:sz w:val="32"/>
          <w:szCs w:val="32"/>
          <w:lang w:eastAsia="zh-CN"/>
        </w:rPr>
      </w:pPr>
      <w:r>
        <w:rPr>
          <w:rFonts w:ascii="仿宋_GB2312" w:eastAsia="仿宋_GB2312"/>
          <w:b/>
          <w:color w:val="000000"/>
          <w:sz w:val="32"/>
          <w:szCs w:val="32"/>
        </w:rPr>
        <w:t>2.</w:t>
      </w:r>
      <w:r>
        <w:rPr>
          <w:rFonts w:hint="eastAsia" w:ascii="仿宋_GB2312" w:eastAsia="仿宋_GB2312"/>
          <w:b/>
          <w:color w:val="000000"/>
          <w:sz w:val="32"/>
          <w:szCs w:val="32"/>
        </w:rPr>
        <w:t>公务用车购置及运行维护费支出</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万元</w:t>
      </w:r>
      <w:r>
        <w:rPr>
          <w:rStyle w:val="14"/>
          <w:rFonts w:hint="eastAsia" w:ascii="仿宋" w:hAnsi="仿宋" w:eastAsia="仿宋"/>
          <w:b w:val="0"/>
          <w:bCs/>
          <w:color w:val="000000"/>
          <w:sz w:val="32"/>
          <w:szCs w:val="32"/>
        </w:rPr>
        <w:t>。</w:t>
      </w:r>
      <w:r>
        <w:rPr>
          <w:rStyle w:val="14"/>
          <w:rFonts w:hint="eastAsia" w:ascii="仿宋" w:hAnsi="仿宋" w:eastAsia="仿宋"/>
          <w:b w:val="0"/>
          <w:bCs/>
          <w:color w:val="000000"/>
          <w:sz w:val="32"/>
          <w:szCs w:val="32"/>
          <w:lang w:eastAsia="zh-CN"/>
        </w:rPr>
        <w:t>主要原因是单位无公务用车。</w:t>
      </w:r>
    </w:p>
    <w:p>
      <w:pPr>
        <w:spacing w:line="600" w:lineRule="exact"/>
        <w:ind w:firstLine="640"/>
        <w:rPr>
          <w:rFonts w:ascii="黑体" w:eastAsia="黑体"/>
          <w:color w:val="000000"/>
          <w:sz w:val="32"/>
          <w:szCs w:val="32"/>
        </w:rPr>
      </w:pPr>
      <w:r>
        <w:rPr>
          <w:rFonts w:ascii="仿宋_GB2312" w:eastAsia="仿宋_GB2312"/>
          <w:b/>
          <w:color w:val="000000"/>
          <w:sz w:val="32"/>
          <w:szCs w:val="32"/>
        </w:rPr>
        <w:t>3.</w:t>
      </w:r>
      <w:r>
        <w:rPr>
          <w:rFonts w:hint="eastAsia" w:ascii="仿宋_GB2312" w:eastAsia="仿宋_GB2312"/>
          <w:b/>
          <w:color w:val="000000"/>
          <w:sz w:val="32"/>
          <w:szCs w:val="32"/>
        </w:rPr>
        <w:t>公务接待费支出</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万元</w:t>
      </w:r>
      <w:r>
        <w:rPr>
          <w:rFonts w:hint="eastAsia" w:ascii="仿宋_GB2312" w:eastAsia="仿宋_GB2312"/>
          <w:color w:val="000000"/>
          <w:sz w:val="32"/>
          <w:szCs w:val="32"/>
          <w:lang w:eastAsia="zh-CN"/>
        </w:rPr>
        <w:t>。</w:t>
      </w:r>
      <w:bookmarkStart w:id="46" w:name="_Toc15377218"/>
      <w:bookmarkStart w:id="47" w:name="_Toc15396610"/>
    </w:p>
    <w:p>
      <w:pPr>
        <w:spacing w:line="600" w:lineRule="exact"/>
        <w:ind w:firstLine="640"/>
        <w:outlineLvl w:val="1"/>
        <w:rPr>
          <w:rStyle w:val="25"/>
          <w:rFonts w:ascii="黑体" w:hAnsi="黑体" w:eastAsia="黑体"/>
        </w:rPr>
      </w:pPr>
      <w:r>
        <w:rPr>
          <w:rFonts w:hint="eastAsia" w:ascii="黑体" w:eastAsia="黑体"/>
          <w:color w:val="000000"/>
          <w:sz w:val="32"/>
          <w:szCs w:val="32"/>
        </w:rPr>
        <w:t>八、</w:t>
      </w:r>
      <w:r>
        <w:rPr>
          <w:rStyle w:val="25"/>
          <w:rFonts w:hint="eastAsia" w:ascii="黑体" w:hAnsi="黑体" w:eastAsia="黑体"/>
          <w:b w:val="0"/>
        </w:rPr>
        <w:t>政府性基金预算支出决算情况说明</w:t>
      </w:r>
      <w:bookmarkEnd w:id="46"/>
      <w:bookmarkEnd w:id="47"/>
    </w:p>
    <w:p>
      <w:pPr>
        <w:spacing w:line="600" w:lineRule="exact"/>
        <w:ind w:firstLine="640"/>
        <w:rPr>
          <w:rFonts w:ascii="仿宋_GB2312" w:eastAsia="仿宋_GB2312"/>
          <w:color w:val="000000"/>
          <w:sz w:val="32"/>
          <w:szCs w:val="32"/>
        </w:rPr>
      </w:pPr>
      <w:r>
        <w:rPr>
          <w:rFonts w:ascii="仿宋_GB2312" w:eastAsia="仿宋_GB2312"/>
          <w:color w:val="000000"/>
          <w:sz w:val="32"/>
          <w:szCs w:val="32"/>
        </w:rPr>
        <w:t>201</w:t>
      </w:r>
      <w:r>
        <w:rPr>
          <w:rFonts w:hint="eastAsia" w:ascii="仿宋_GB2312" w:eastAsia="仿宋_GB2312"/>
          <w:color w:val="000000"/>
          <w:sz w:val="32"/>
          <w:szCs w:val="32"/>
        </w:rPr>
        <w:t>9年</w:t>
      </w:r>
      <w:r>
        <w:rPr>
          <w:rFonts w:hint="eastAsia" w:ascii="仿宋_GB2312" w:eastAsia="仿宋_GB2312"/>
          <w:color w:val="000000"/>
          <w:sz w:val="32"/>
          <w:szCs w:val="32"/>
          <w:lang w:eastAsia="zh-CN"/>
        </w:rPr>
        <w:t>无</w:t>
      </w:r>
      <w:r>
        <w:rPr>
          <w:rFonts w:hint="eastAsia" w:ascii="仿宋_GB2312" w:eastAsia="仿宋_GB2312"/>
          <w:color w:val="000000"/>
          <w:sz w:val="32"/>
          <w:szCs w:val="32"/>
        </w:rPr>
        <w:t>政府性基金预算拨款支出。</w:t>
      </w:r>
    </w:p>
    <w:p>
      <w:pPr>
        <w:numPr>
          <w:ilvl w:val="0"/>
          <w:numId w:val="3"/>
        </w:numPr>
        <w:spacing w:line="600" w:lineRule="exact"/>
        <w:ind w:firstLine="640"/>
        <w:outlineLvl w:val="1"/>
        <w:rPr>
          <w:rStyle w:val="25"/>
          <w:rFonts w:ascii="黑体" w:hAnsi="黑体" w:eastAsia="黑体"/>
          <w:b w:val="0"/>
        </w:rPr>
      </w:pPr>
      <w:bookmarkStart w:id="48" w:name="_Toc15396611"/>
      <w:bookmarkStart w:id="49" w:name="_Toc15377219"/>
      <w:r>
        <w:rPr>
          <w:rStyle w:val="25"/>
          <w:rFonts w:hint="eastAsia" w:ascii="黑体" w:hAnsi="黑体" w:eastAsia="黑体"/>
          <w:b w:val="0"/>
        </w:rPr>
        <w:t>国有资本经营预算支出决算情况说明</w:t>
      </w:r>
      <w:bookmarkEnd w:id="48"/>
      <w:bookmarkEnd w:id="49"/>
    </w:p>
    <w:p>
      <w:pPr>
        <w:spacing w:line="600" w:lineRule="exact"/>
        <w:ind w:firstLine="640"/>
        <w:rPr>
          <w:rFonts w:ascii="方正小标宋简体" w:hAnsi="方正小标宋简体" w:eastAsia="方正小标宋简体" w:cs="方正小标宋简体"/>
          <w:sz w:val="44"/>
          <w:szCs w:val="44"/>
        </w:rPr>
      </w:pPr>
      <w:r>
        <w:rPr>
          <w:rFonts w:ascii="仿宋_GB2312" w:eastAsia="仿宋_GB2312"/>
          <w:color w:val="000000"/>
          <w:sz w:val="32"/>
          <w:szCs w:val="32"/>
        </w:rPr>
        <w:t>201</w:t>
      </w:r>
      <w:r>
        <w:rPr>
          <w:rFonts w:hint="eastAsia" w:ascii="仿宋_GB2312" w:eastAsia="仿宋_GB2312"/>
          <w:color w:val="000000"/>
          <w:sz w:val="32"/>
          <w:szCs w:val="32"/>
        </w:rPr>
        <w:t>9年</w:t>
      </w:r>
      <w:r>
        <w:rPr>
          <w:rFonts w:hint="eastAsia" w:ascii="仿宋_GB2312" w:eastAsia="仿宋_GB2312"/>
          <w:color w:val="000000"/>
          <w:sz w:val="32"/>
          <w:szCs w:val="32"/>
          <w:lang w:eastAsia="zh-CN"/>
        </w:rPr>
        <w:t>无</w:t>
      </w:r>
      <w:r>
        <w:rPr>
          <w:rFonts w:hint="eastAsia" w:ascii="仿宋_GB2312" w:eastAsia="仿宋_GB2312"/>
          <w:color w:val="000000"/>
          <w:sz w:val="32"/>
          <w:szCs w:val="32"/>
        </w:rPr>
        <w:t>国有资本经营预算拨款支出。</w:t>
      </w:r>
    </w:p>
    <w:p>
      <w:pPr>
        <w:spacing w:line="600" w:lineRule="exact"/>
        <w:ind w:firstLine="800" w:firstLineChars="250"/>
        <w:outlineLvl w:val="1"/>
        <w:rPr>
          <w:rStyle w:val="25"/>
          <w:rFonts w:ascii="黑体" w:hAnsi="黑体" w:eastAsia="黑体"/>
        </w:rPr>
      </w:pPr>
      <w:bookmarkStart w:id="50" w:name="_Toc15377221"/>
      <w:bookmarkStart w:id="51" w:name="_Toc15396612"/>
      <w:r>
        <w:rPr>
          <w:rFonts w:hint="eastAsia" w:ascii="黑体" w:hAnsi="黑体" w:eastAsia="黑体"/>
          <w:color w:val="000000"/>
          <w:sz w:val="32"/>
          <w:szCs w:val="32"/>
        </w:rPr>
        <w:t>十</w:t>
      </w:r>
      <w:r>
        <w:rPr>
          <w:rStyle w:val="25"/>
          <w:rFonts w:hint="eastAsia" w:ascii="黑体" w:hAnsi="黑体" w:eastAsia="黑体"/>
        </w:rPr>
        <w:t>、</w:t>
      </w:r>
      <w:r>
        <w:rPr>
          <w:rStyle w:val="25"/>
          <w:rFonts w:hint="eastAsia" w:ascii="黑体" w:hAnsi="黑体" w:eastAsia="黑体"/>
          <w:b w:val="0"/>
        </w:rPr>
        <w:t>其他重要事项的情况说明</w:t>
      </w:r>
      <w:bookmarkEnd w:id="50"/>
      <w:bookmarkEnd w:id="51"/>
    </w:p>
    <w:p>
      <w:pPr>
        <w:spacing w:line="600" w:lineRule="exact"/>
        <w:ind w:firstLine="642" w:firstLineChars="200"/>
        <w:outlineLvl w:val="2"/>
        <w:rPr>
          <w:rFonts w:ascii="仿宋" w:hAnsi="仿宋" w:eastAsia="仿宋"/>
          <w:color w:val="000000"/>
          <w:sz w:val="32"/>
          <w:szCs w:val="32"/>
        </w:rPr>
      </w:pPr>
      <w:bookmarkStart w:id="52" w:name="_Toc15377222"/>
      <w:r>
        <w:rPr>
          <w:rFonts w:hint="eastAsia" w:ascii="楷体" w:hAnsi="楷体" w:eastAsia="楷体" w:cs="楷体"/>
          <w:b/>
          <w:color w:val="000000"/>
          <w:sz w:val="32"/>
          <w:szCs w:val="32"/>
        </w:rPr>
        <w:t>（一）机关运行经费支出情况</w:t>
      </w:r>
      <w:bookmarkEnd w:id="52"/>
    </w:p>
    <w:p>
      <w:pPr>
        <w:spacing w:line="600" w:lineRule="exact"/>
        <w:ind w:firstLine="640" w:firstLineChars="200"/>
        <w:rPr>
          <w:rFonts w:hint="eastAsia" w:ascii="仿宋_GB2312" w:eastAsia="仿宋_GB2312"/>
          <w:color w:val="000000" w:themeColor="text1"/>
          <w:sz w:val="32"/>
          <w:szCs w:val="32"/>
          <w:lang w:eastAsia="zh-CN"/>
        </w:rPr>
      </w:pPr>
      <w:r>
        <w:rPr>
          <w:rFonts w:ascii="仿宋_GB2312" w:eastAsia="仿宋_GB2312"/>
          <w:color w:val="000000"/>
          <w:sz w:val="32"/>
          <w:szCs w:val="32"/>
        </w:rPr>
        <w:t>201</w:t>
      </w:r>
      <w:r>
        <w:rPr>
          <w:rFonts w:hint="eastAsia" w:ascii="仿宋_GB2312" w:eastAsia="仿宋_GB2312"/>
          <w:color w:val="000000"/>
          <w:sz w:val="32"/>
          <w:szCs w:val="32"/>
        </w:rPr>
        <w:t>9年</w:t>
      </w:r>
      <w:r>
        <w:rPr>
          <w:rFonts w:hint="eastAsia" w:ascii="仿宋_GB2312" w:eastAsia="仿宋_GB2312"/>
          <w:color w:val="000000"/>
          <w:sz w:val="32"/>
          <w:szCs w:val="32"/>
          <w:lang w:eastAsia="zh-CN"/>
        </w:rPr>
        <w:t>，供销社</w:t>
      </w:r>
      <w:r>
        <w:rPr>
          <w:rFonts w:hint="eastAsia" w:ascii="仿宋_GB2312" w:eastAsia="仿宋_GB2312"/>
          <w:color w:val="000000"/>
          <w:sz w:val="32"/>
          <w:szCs w:val="32"/>
        </w:rPr>
        <w:t>机关运行经费支出</w:t>
      </w:r>
      <w:r>
        <w:rPr>
          <w:rFonts w:hint="eastAsia" w:ascii="仿宋_GB2312" w:eastAsia="仿宋_GB2312"/>
          <w:color w:val="000000"/>
          <w:sz w:val="32"/>
          <w:szCs w:val="32"/>
          <w:lang w:val="en-US" w:eastAsia="zh-CN"/>
        </w:rPr>
        <w:t>13.62</w:t>
      </w:r>
      <w:r>
        <w:rPr>
          <w:rFonts w:hint="eastAsia" w:ascii="仿宋_GB2312" w:eastAsia="仿宋_GB2312"/>
          <w:color w:val="000000"/>
          <w:sz w:val="32"/>
          <w:szCs w:val="32"/>
        </w:rPr>
        <w:t>万元，比</w:t>
      </w:r>
      <w:r>
        <w:rPr>
          <w:rFonts w:ascii="仿宋_GB2312" w:eastAsia="仿宋_GB2312"/>
          <w:color w:val="000000"/>
          <w:sz w:val="32"/>
          <w:szCs w:val="32"/>
        </w:rPr>
        <w:t>201</w:t>
      </w:r>
      <w:r>
        <w:rPr>
          <w:rFonts w:hint="eastAsia" w:ascii="仿宋_GB2312" w:eastAsia="仿宋_GB2312"/>
          <w:color w:val="000000"/>
          <w:sz w:val="32"/>
          <w:szCs w:val="32"/>
        </w:rPr>
        <w:t>8年增加</w:t>
      </w:r>
      <w:r>
        <w:rPr>
          <w:rFonts w:hint="eastAsia" w:ascii="仿宋_GB2312" w:eastAsia="仿宋_GB2312"/>
          <w:color w:val="000000"/>
          <w:sz w:val="32"/>
          <w:szCs w:val="32"/>
          <w:lang w:val="en-US" w:eastAsia="zh-CN"/>
        </w:rPr>
        <w:t>0.4</w:t>
      </w:r>
      <w:r>
        <w:rPr>
          <w:rFonts w:hint="eastAsia" w:ascii="仿宋_GB2312" w:eastAsia="仿宋_GB2312"/>
          <w:color w:val="000000"/>
          <w:sz w:val="32"/>
          <w:szCs w:val="32"/>
        </w:rPr>
        <w:t>万元，增长</w:t>
      </w:r>
      <w:r>
        <w:rPr>
          <w:rFonts w:hint="eastAsia" w:ascii="仿宋_GB2312" w:eastAsia="仿宋_GB2312"/>
          <w:color w:val="000000"/>
          <w:sz w:val="32"/>
          <w:szCs w:val="32"/>
          <w:lang w:val="en-US" w:eastAsia="zh-CN"/>
        </w:rPr>
        <w:t>3.02</w:t>
      </w:r>
      <w:r>
        <w:rPr>
          <w:rFonts w:ascii="仿宋_GB2312" w:eastAsia="仿宋_GB2312"/>
          <w:color w:val="000000"/>
          <w:sz w:val="32"/>
          <w:szCs w:val="32"/>
        </w:rPr>
        <w:t>%</w:t>
      </w:r>
      <w:r>
        <w:rPr>
          <w:rFonts w:hint="eastAsia" w:ascii="仿宋_GB2312" w:eastAsia="仿宋_GB2312"/>
          <w:color w:val="000000"/>
          <w:sz w:val="32"/>
          <w:szCs w:val="32"/>
        </w:rPr>
        <w:t>。</w:t>
      </w:r>
      <w:r>
        <w:rPr>
          <w:rFonts w:hint="eastAsia" w:ascii="仿宋_GB2312" w:eastAsia="仿宋_GB2312"/>
          <w:color w:val="000000" w:themeColor="text1"/>
          <w:sz w:val="32"/>
          <w:szCs w:val="32"/>
        </w:rPr>
        <w:t>主要原因是</w:t>
      </w:r>
      <w:r>
        <w:rPr>
          <w:rFonts w:hint="eastAsia" w:ascii="仿宋_GB2312" w:eastAsia="仿宋_GB2312"/>
          <w:color w:val="000000" w:themeColor="text1"/>
          <w:sz w:val="32"/>
          <w:szCs w:val="32"/>
          <w:lang w:eastAsia="zh-CN"/>
        </w:rPr>
        <w:t>下乡时间多，经费增加。</w:t>
      </w:r>
    </w:p>
    <w:p>
      <w:pPr>
        <w:spacing w:line="600" w:lineRule="exact"/>
        <w:ind w:firstLine="642" w:firstLineChars="200"/>
        <w:outlineLvl w:val="2"/>
        <w:rPr>
          <w:rFonts w:hint="eastAsia" w:ascii="楷体" w:hAnsi="楷体" w:eastAsia="楷体" w:cs="楷体"/>
          <w:b/>
          <w:color w:val="000000"/>
          <w:sz w:val="32"/>
          <w:szCs w:val="32"/>
        </w:rPr>
      </w:pPr>
      <w:bookmarkStart w:id="53" w:name="_Toc15377223"/>
      <w:r>
        <w:rPr>
          <w:rFonts w:hint="eastAsia" w:ascii="楷体" w:hAnsi="楷体" w:eastAsia="楷体" w:cs="楷体"/>
          <w:b/>
          <w:color w:val="000000"/>
          <w:sz w:val="32"/>
          <w:szCs w:val="32"/>
        </w:rPr>
        <w:t>（二）政府采购支出情况</w:t>
      </w:r>
      <w:bookmarkEnd w:id="53"/>
    </w:p>
    <w:p>
      <w:pPr>
        <w:spacing w:line="600" w:lineRule="exact"/>
        <w:ind w:firstLine="640" w:firstLineChars="200"/>
        <w:rPr>
          <w:rFonts w:hint="eastAsia" w:ascii="仿宋_GB2312" w:eastAsia="仿宋_GB2312"/>
          <w:color w:val="000000"/>
          <w:sz w:val="32"/>
          <w:szCs w:val="32"/>
          <w:lang w:eastAsia="zh-CN"/>
        </w:rPr>
      </w:pPr>
      <w:r>
        <w:rPr>
          <w:rFonts w:ascii="仿宋_GB2312" w:eastAsia="仿宋_GB2312"/>
          <w:color w:val="000000"/>
          <w:sz w:val="32"/>
          <w:szCs w:val="32"/>
        </w:rPr>
        <w:t>201</w:t>
      </w:r>
      <w:r>
        <w:rPr>
          <w:rFonts w:hint="eastAsia" w:ascii="仿宋_GB2312" w:eastAsia="仿宋_GB2312"/>
          <w:color w:val="000000"/>
          <w:sz w:val="32"/>
          <w:szCs w:val="32"/>
        </w:rPr>
        <w:t>9年，</w:t>
      </w:r>
      <w:r>
        <w:rPr>
          <w:rFonts w:hint="eastAsia" w:ascii="仿宋_GB2312" w:eastAsia="仿宋_GB2312"/>
          <w:color w:val="000000"/>
          <w:sz w:val="32"/>
          <w:szCs w:val="32"/>
          <w:lang w:eastAsia="zh-CN"/>
        </w:rPr>
        <w:t>供销社</w:t>
      </w:r>
      <w:r>
        <w:rPr>
          <w:rFonts w:hint="eastAsia" w:ascii="仿宋_GB2312" w:eastAsia="仿宋_GB2312"/>
          <w:color w:val="000000"/>
          <w:sz w:val="32"/>
          <w:szCs w:val="32"/>
        </w:rPr>
        <w:t>政府采购支出总额</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万元</w:t>
      </w:r>
      <w:r>
        <w:rPr>
          <w:rFonts w:hint="eastAsia" w:ascii="仿宋_GB2312" w:eastAsia="仿宋_GB2312"/>
          <w:color w:val="000000"/>
          <w:sz w:val="32"/>
          <w:szCs w:val="32"/>
          <w:lang w:eastAsia="zh-CN"/>
        </w:rPr>
        <w:t>。</w:t>
      </w:r>
    </w:p>
    <w:p>
      <w:pPr>
        <w:spacing w:line="600" w:lineRule="exact"/>
        <w:ind w:firstLine="642" w:firstLineChars="200"/>
        <w:outlineLvl w:val="2"/>
        <w:rPr>
          <w:rFonts w:hint="eastAsia" w:ascii="楷体" w:hAnsi="楷体" w:eastAsia="楷体" w:cs="楷体"/>
          <w:b/>
          <w:color w:val="000000"/>
          <w:sz w:val="32"/>
          <w:szCs w:val="32"/>
        </w:rPr>
      </w:pPr>
      <w:bookmarkStart w:id="54" w:name="_Toc15377224"/>
      <w:r>
        <w:rPr>
          <w:rFonts w:hint="eastAsia" w:ascii="楷体" w:hAnsi="楷体" w:eastAsia="楷体" w:cs="楷体"/>
          <w:b/>
          <w:color w:val="000000"/>
          <w:sz w:val="32"/>
          <w:szCs w:val="32"/>
        </w:rPr>
        <w:t>（三）国有资产占有使用情况</w:t>
      </w:r>
      <w:bookmarkEnd w:id="54"/>
    </w:p>
    <w:p>
      <w:pPr>
        <w:autoSpaceDE w:val="0"/>
        <w:autoSpaceDN w:val="0"/>
        <w:adjustRightInd w:val="0"/>
        <w:spacing w:line="600" w:lineRule="exact"/>
        <w:ind w:firstLine="640" w:firstLineChars="200"/>
        <w:jc w:val="left"/>
        <w:rPr>
          <w:rFonts w:ascii="仿宋" w:hAnsi="仿宋" w:eastAsia="仿宋"/>
          <w:b/>
          <w:color w:val="FF0000"/>
          <w:sz w:val="32"/>
          <w:szCs w:val="32"/>
        </w:rPr>
      </w:pPr>
      <w:r>
        <w:rPr>
          <w:rFonts w:hint="eastAsia" w:ascii="仿宋_GB2312" w:eastAsia="仿宋_GB2312"/>
          <w:color w:val="000000"/>
          <w:sz w:val="32"/>
          <w:szCs w:val="32"/>
        </w:rPr>
        <w:t>截至</w:t>
      </w:r>
      <w:r>
        <w:rPr>
          <w:rFonts w:ascii="仿宋_GB2312" w:eastAsia="仿宋_GB2312"/>
          <w:color w:val="000000"/>
          <w:sz w:val="32"/>
          <w:szCs w:val="32"/>
        </w:rPr>
        <w:t>201</w:t>
      </w:r>
      <w:r>
        <w:rPr>
          <w:rFonts w:hint="eastAsia" w:ascii="仿宋_GB2312" w:eastAsia="仿宋_GB2312"/>
          <w:color w:val="000000"/>
          <w:sz w:val="32"/>
          <w:szCs w:val="32"/>
        </w:rPr>
        <w:t>9年</w:t>
      </w:r>
      <w:r>
        <w:rPr>
          <w:rFonts w:ascii="仿宋_GB2312" w:eastAsia="仿宋_GB2312"/>
          <w:color w:val="000000"/>
          <w:sz w:val="32"/>
          <w:szCs w:val="32"/>
        </w:rPr>
        <w:t>12</w:t>
      </w:r>
      <w:r>
        <w:rPr>
          <w:rFonts w:hint="eastAsia" w:ascii="仿宋_GB2312" w:eastAsia="仿宋_GB2312"/>
          <w:color w:val="000000"/>
          <w:sz w:val="32"/>
          <w:szCs w:val="32"/>
        </w:rPr>
        <w:t>月</w:t>
      </w:r>
      <w:r>
        <w:rPr>
          <w:rFonts w:ascii="仿宋_GB2312" w:eastAsia="仿宋_GB2312"/>
          <w:color w:val="000000"/>
          <w:sz w:val="32"/>
          <w:szCs w:val="32"/>
        </w:rPr>
        <w:t>31</w:t>
      </w:r>
      <w:r>
        <w:rPr>
          <w:rFonts w:hint="eastAsia" w:ascii="仿宋_GB2312" w:eastAsia="仿宋_GB2312"/>
          <w:color w:val="000000"/>
          <w:sz w:val="32"/>
          <w:szCs w:val="32"/>
        </w:rPr>
        <w:t>日，</w:t>
      </w:r>
      <w:r>
        <w:rPr>
          <w:rFonts w:hint="eastAsia" w:ascii="仿宋_GB2312" w:eastAsia="仿宋_GB2312"/>
          <w:color w:val="000000"/>
          <w:sz w:val="32"/>
          <w:szCs w:val="32"/>
          <w:lang w:eastAsia="zh-CN"/>
        </w:rPr>
        <w:t>供销社</w:t>
      </w:r>
      <w:r>
        <w:rPr>
          <w:rFonts w:hint="eastAsia" w:ascii="仿宋_GB2312" w:eastAsia="仿宋_GB2312"/>
          <w:color w:val="000000"/>
          <w:sz w:val="32"/>
          <w:szCs w:val="32"/>
        </w:rPr>
        <w:t>共</w:t>
      </w:r>
      <w:r>
        <w:rPr>
          <w:rFonts w:hint="eastAsia" w:ascii="仿宋_GB2312" w:eastAsia="仿宋_GB2312"/>
          <w:color w:val="000000"/>
          <w:sz w:val="32"/>
          <w:szCs w:val="32"/>
          <w:lang w:eastAsia="zh-CN"/>
        </w:rPr>
        <w:t>无公务用车</w:t>
      </w:r>
      <w:r>
        <w:rPr>
          <w:rFonts w:hint="eastAsia" w:ascii="仿宋_GB2312" w:eastAsia="仿宋_GB2312"/>
          <w:color w:val="000000"/>
          <w:sz w:val="32"/>
          <w:szCs w:val="32"/>
        </w:rPr>
        <w:t>车辆</w:t>
      </w:r>
      <w:r>
        <w:rPr>
          <w:rFonts w:hint="eastAsia" w:ascii="仿宋_GB2312" w:eastAsia="仿宋_GB2312"/>
          <w:color w:val="000000"/>
          <w:sz w:val="32"/>
          <w:szCs w:val="32"/>
          <w:lang w:eastAsia="zh-CN"/>
        </w:rPr>
        <w:t>。</w:t>
      </w:r>
    </w:p>
    <w:p>
      <w:pPr>
        <w:autoSpaceDE w:val="0"/>
        <w:autoSpaceDN w:val="0"/>
        <w:adjustRightInd w:val="0"/>
        <w:spacing w:line="600" w:lineRule="exact"/>
        <w:ind w:firstLine="642" w:firstLineChars="200"/>
        <w:jc w:val="left"/>
        <w:outlineLvl w:val="2"/>
        <w:rPr>
          <w:rFonts w:ascii="仿宋" w:hAnsi="仿宋" w:eastAsia="仿宋"/>
          <w:b/>
          <w:color w:val="000000"/>
          <w:sz w:val="32"/>
          <w:szCs w:val="32"/>
        </w:rPr>
      </w:pPr>
      <w:r>
        <w:rPr>
          <w:rFonts w:hint="eastAsia" w:ascii="楷体" w:hAnsi="楷体" w:eastAsia="楷体" w:cs="楷体"/>
          <w:b/>
          <w:color w:val="000000"/>
          <w:sz w:val="32"/>
          <w:szCs w:val="32"/>
        </w:rPr>
        <w:t>（四）预算绩效管理情况</w:t>
      </w:r>
    </w:p>
    <w:p>
      <w:pPr>
        <w:spacing w:line="58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根据预算绩效管理要求，本部门（单位）在年初预算编制阶段，组织对</w:t>
      </w:r>
      <w:r>
        <w:rPr>
          <w:rFonts w:hint="eastAsia" w:ascii="仿宋_GB2312" w:hAnsi="仿宋_GB2312" w:eastAsia="仿宋_GB2312" w:cs="仿宋_GB2312"/>
          <w:sz w:val="32"/>
          <w:szCs w:val="32"/>
          <w:lang w:eastAsia="zh-CN"/>
        </w:rPr>
        <w:t>“农业生产补贴”</w:t>
      </w:r>
      <w:r>
        <w:rPr>
          <w:rFonts w:hint="eastAsia" w:ascii="仿宋_GB2312" w:hAnsi="仿宋_GB2312" w:eastAsia="仿宋_GB2312" w:cs="仿宋_GB2312"/>
          <w:sz w:val="32"/>
          <w:szCs w:val="32"/>
        </w:rPr>
        <w:t>项目（项目名称）开展了预算事前绩效评估，对</w:t>
      </w:r>
      <w:r>
        <w:rPr>
          <w:rFonts w:hint="eastAsia" w:ascii="仿宋_GB2312" w:hAnsi="仿宋_GB2312" w:eastAsia="仿宋_GB2312" w:cs="仿宋_GB2312"/>
          <w:sz w:val="32"/>
          <w:szCs w:val="32"/>
          <w:lang w:val="en-US" w:eastAsia="zh-CN"/>
        </w:rPr>
        <w:t>1</w:t>
      </w:r>
      <w:r>
        <w:rPr>
          <w:rFonts w:hint="eastAsia" w:ascii="仿宋_GB2312" w:hAnsi="仿宋_GB2312" w:eastAsia="仿宋_GB2312" w:cs="仿宋_GB2312"/>
          <w:sz w:val="32"/>
          <w:szCs w:val="32"/>
        </w:rPr>
        <w:t>个项目编制了绩效目标，预算执行过程中，选取</w:t>
      </w:r>
      <w:r>
        <w:rPr>
          <w:rFonts w:hint="eastAsia" w:ascii="仿宋_GB2312" w:hAnsi="仿宋_GB2312" w:eastAsia="仿宋_GB2312" w:cs="仿宋_GB2312"/>
          <w:sz w:val="32"/>
          <w:szCs w:val="32"/>
          <w:lang w:val="en-US" w:eastAsia="zh-CN"/>
        </w:rPr>
        <w:t>1</w:t>
      </w:r>
      <w:r>
        <w:rPr>
          <w:rFonts w:hint="eastAsia" w:ascii="仿宋_GB2312" w:hAnsi="仿宋_GB2312" w:eastAsia="仿宋_GB2312" w:cs="仿宋_GB2312"/>
          <w:sz w:val="32"/>
          <w:szCs w:val="32"/>
        </w:rPr>
        <w:t>个项目开展绩效监控，年终执行完毕后，对</w:t>
      </w:r>
      <w:r>
        <w:rPr>
          <w:rFonts w:hint="eastAsia" w:ascii="仿宋_GB2312" w:hAnsi="仿宋_GB2312" w:eastAsia="仿宋_GB2312" w:cs="仿宋_GB2312"/>
          <w:sz w:val="32"/>
          <w:szCs w:val="32"/>
          <w:lang w:val="en-US" w:eastAsia="zh-CN"/>
        </w:rPr>
        <w:t>1</w:t>
      </w:r>
      <w:r>
        <w:rPr>
          <w:rFonts w:hint="eastAsia" w:ascii="仿宋_GB2312" w:hAnsi="仿宋_GB2312" w:eastAsia="仿宋_GB2312" w:cs="仿宋_GB2312"/>
          <w:sz w:val="32"/>
          <w:szCs w:val="32"/>
        </w:rPr>
        <w:t>个项目开展了绩效目标完成情况自评。</w:t>
      </w:r>
    </w:p>
    <w:p>
      <w:pPr>
        <w:spacing w:line="58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本部门按要求对2019年部门整体支出开展绩效自评，从评价情况来</w:t>
      </w:r>
      <w:r>
        <w:rPr>
          <w:rFonts w:hint="eastAsia" w:ascii="仿宋_GB2312" w:hAnsi="仿宋_GB2312" w:eastAsia="仿宋_GB2312" w:cs="仿宋_GB2312"/>
          <w:sz w:val="32"/>
          <w:szCs w:val="32"/>
          <w:lang w:eastAsia="zh-CN"/>
        </w:rPr>
        <w:t>看，整体支出绩效评价自评结果良好，全年基本支出保证了部门的正常运行和日常工作的开展</w:t>
      </w:r>
      <w:r>
        <w:rPr>
          <w:rFonts w:hint="eastAsia" w:ascii="仿宋_GB2312" w:hAnsi="仿宋_GB2312" w:eastAsia="仿宋_GB2312" w:cs="仿宋_GB2312"/>
          <w:sz w:val="32"/>
          <w:szCs w:val="32"/>
        </w:rPr>
        <w:t>。</w:t>
      </w:r>
    </w:p>
    <w:p>
      <w:pPr>
        <w:numPr>
          <w:ilvl w:val="0"/>
          <w:numId w:val="0"/>
        </w:numPr>
        <w:spacing w:line="580" w:lineRule="exact"/>
        <w:ind w:firstLine="640" w:firstLineChars="200"/>
        <w:rPr>
          <w:rFonts w:hint="eastAsia" w:ascii="仿宋_GB2312" w:hAnsi="仿宋_GB2312" w:eastAsia="仿宋_GB2312" w:cs="仿宋_GB2312"/>
          <w:sz w:val="32"/>
          <w:szCs w:val="32"/>
        </w:rPr>
      </w:pPr>
      <w:r>
        <w:rPr>
          <w:rFonts w:hint="eastAsia" w:ascii="楷体_GB2312" w:hAnsi="楷体_GB2312" w:eastAsia="楷体_GB2312" w:cs="楷体_GB2312"/>
          <w:sz w:val="32"/>
          <w:szCs w:val="32"/>
          <w:lang w:val="en-US" w:eastAsia="zh-CN"/>
        </w:rPr>
        <w:t>1.</w:t>
      </w:r>
      <w:r>
        <w:rPr>
          <w:rFonts w:hint="eastAsia" w:ascii="楷体_GB2312" w:hAnsi="楷体_GB2312" w:eastAsia="楷体_GB2312" w:cs="楷体_GB2312"/>
          <w:sz w:val="32"/>
          <w:szCs w:val="32"/>
        </w:rPr>
        <w:t>项目绩效目标完成情况</w:t>
      </w:r>
      <w:r>
        <w:rPr>
          <w:rFonts w:hint="eastAsia" w:ascii="楷体_GB2312" w:hAnsi="楷体_GB2312" w:eastAsia="楷体_GB2312" w:cs="楷体_GB2312"/>
          <w:sz w:val="32"/>
          <w:szCs w:val="32"/>
        </w:rPr>
        <w:br w:type="textWrapping"/>
      </w:r>
      <w:r>
        <w:rPr>
          <w:rFonts w:hint="eastAsia" w:ascii="仿宋_GB2312" w:hAnsi="仿宋_GB2312" w:eastAsia="仿宋_GB2312" w:cs="仿宋_GB2312"/>
          <w:sz w:val="32"/>
          <w:szCs w:val="32"/>
        </w:rPr>
        <w:t xml:space="preserve">    本部门在2019年度部门决算中反映“</w:t>
      </w:r>
      <w:r>
        <w:rPr>
          <w:rFonts w:hint="eastAsia" w:ascii="仿宋_GB2312" w:hAnsi="仿宋_GB2312" w:eastAsia="仿宋_GB2312" w:cs="仿宋_GB2312"/>
          <w:sz w:val="32"/>
          <w:szCs w:val="32"/>
          <w:lang w:eastAsia="zh-CN"/>
        </w:rPr>
        <w:t>农业生产支持补贴</w:t>
      </w:r>
      <w:r>
        <w:rPr>
          <w:rFonts w:ascii="仿宋_GB2312" w:hAnsi="仿宋_GB2312" w:eastAsia="仿宋_GB2312" w:cs="仿宋_GB2312"/>
          <w:sz w:val="32"/>
          <w:szCs w:val="32"/>
        </w:rPr>
        <w:t>””</w:t>
      </w:r>
      <w:r>
        <w:rPr>
          <w:rFonts w:hint="eastAsia" w:ascii="仿宋_GB2312" w:hAnsi="仿宋_GB2312" w:eastAsia="仿宋_GB2312" w:cs="仿宋_GB2312"/>
          <w:sz w:val="32"/>
          <w:szCs w:val="32"/>
          <w:lang w:eastAsia="zh-CN"/>
        </w:rPr>
        <w:t>民贸民品优惠贴息</w:t>
      </w:r>
      <w:r>
        <w:rPr>
          <w:rFonts w:ascii="仿宋_GB2312" w:hAnsi="仿宋_GB2312" w:eastAsia="仿宋_GB2312" w:cs="仿宋_GB2312"/>
          <w:sz w:val="32"/>
          <w:szCs w:val="32"/>
        </w:rPr>
        <w:t>”</w:t>
      </w:r>
      <w:r>
        <w:rPr>
          <w:rFonts w:hint="eastAsia" w:ascii="仿宋_GB2312" w:hAnsi="仿宋_GB2312" w:eastAsia="仿宋_GB2312" w:cs="仿宋_GB2312"/>
          <w:sz w:val="32"/>
          <w:szCs w:val="32"/>
        </w:rPr>
        <w:t>“</w:t>
      </w:r>
      <w:r>
        <w:rPr>
          <w:rFonts w:hint="eastAsia" w:ascii="仿宋_GB2312" w:hAnsi="仿宋_GB2312" w:eastAsia="仿宋_GB2312" w:cs="仿宋_GB2312"/>
          <w:sz w:val="32"/>
          <w:szCs w:val="32"/>
          <w:lang w:eastAsia="zh-CN"/>
        </w:rPr>
        <w:t>其他商品流通事务支出项目</w:t>
      </w:r>
      <w:r>
        <w:rPr>
          <w:rFonts w:hint="eastAsia" w:ascii="仿宋_GB2312" w:hAnsi="仿宋_GB2312" w:eastAsia="仿宋_GB2312" w:cs="仿宋_GB2312"/>
          <w:sz w:val="32"/>
          <w:szCs w:val="32"/>
        </w:rPr>
        <w:t>”</w:t>
      </w:r>
      <w:r>
        <w:rPr>
          <w:rFonts w:hint="eastAsia" w:ascii="仿宋_GB2312" w:hAnsi="仿宋_GB2312" w:eastAsia="仿宋_GB2312" w:cs="仿宋_GB2312"/>
          <w:sz w:val="32"/>
          <w:szCs w:val="32"/>
          <w:lang w:eastAsia="zh-CN"/>
        </w:rPr>
        <w:t>“扶贫项目”</w:t>
      </w:r>
      <w:r>
        <w:rPr>
          <w:rFonts w:hint="eastAsia" w:ascii="仿宋_GB2312" w:hAnsi="仿宋_GB2312" w:eastAsia="仿宋_GB2312" w:cs="仿宋_GB2312"/>
          <w:sz w:val="32"/>
          <w:szCs w:val="32"/>
        </w:rPr>
        <w:t>等</w:t>
      </w:r>
      <w:r>
        <w:rPr>
          <w:rFonts w:hint="eastAsia" w:ascii="仿宋_GB2312" w:hAnsi="仿宋_GB2312" w:eastAsia="仿宋_GB2312" w:cs="仿宋_GB2312"/>
          <w:sz w:val="32"/>
          <w:szCs w:val="32"/>
          <w:lang w:val="en-US" w:eastAsia="zh-CN"/>
        </w:rPr>
        <w:t>4</w:t>
      </w:r>
      <w:r>
        <w:rPr>
          <w:rFonts w:hint="eastAsia" w:ascii="仿宋_GB2312" w:hAnsi="仿宋_GB2312" w:eastAsia="仿宋_GB2312" w:cs="仿宋_GB2312"/>
          <w:sz w:val="32"/>
          <w:szCs w:val="32"/>
        </w:rPr>
        <w:t>个项目绩效目标实际完成情况。</w:t>
      </w:r>
    </w:p>
    <w:p>
      <w:pPr>
        <w:numPr>
          <w:ilvl w:val="0"/>
          <w:numId w:val="0"/>
        </w:numPr>
        <w:spacing w:line="580" w:lineRule="exact"/>
        <w:ind w:firstLine="640" w:firstLineChars="200"/>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rPr>
        <w:t>（1）</w:t>
      </w:r>
      <w:r>
        <w:rPr>
          <w:rFonts w:hint="eastAsia" w:ascii="仿宋_GB2312" w:hAnsi="仿宋_GB2312" w:eastAsia="仿宋_GB2312" w:cs="仿宋_GB2312"/>
          <w:sz w:val="32"/>
          <w:szCs w:val="32"/>
          <w:lang w:eastAsia="zh-CN"/>
        </w:rPr>
        <w:t>农业生产支持补贴</w:t>
      </w:r>
      <w:r>
        <w:rPr>
          <w:rFonts w:hint="eastAsia" w:ascii="仿宋_GB2312" w:hAnsi="仿宋_GB2312" w:eastAsia="仿宋_GB2312" w:cs="仿宋_GB2312"/>
          <w:sz w:val="32"/>
          <w:szCs w:val="32"/>
        </w:rPr>
        <w:t>项目绩效目标完成情况综述。项目全年预算数</w:t>
      </w:r>
      <w:r>
        <w:rPr>
          <w:rFonts w:hint="eastAsia" w:ascii="仿宋_GB2312" w:hAnsi="仿宋_GB2312" w:eastAsia="仿宋_GB2312" w:cs="仿宋_GB2312"/>
          <w:sz w:val="32"/>
          <w:szCs w:val="32"/>
          <w:lang w:val="en-US" w:eastAsia="zh-CN"/>
        </w:rPr>
        <w:t>37.97</w:t>
      </w:r>
      <w:r>
        <w:rPr>
          <w:rFonts w:hint="eastAsia" w:ascii="仿宋_GB2312" w:hAnsi="仿宋_GB2312" w:eastAsia="仿宋_GB2312" w:cs="仿宋_GB2312"/>
          <w:sz w:val="32"/>
          <w:szCs w:val="32"/>
        </w:rPr>
        <w:t>万元，执行数为</w:t>
      </w:r>
      <w:r>
        <w:rPr>
          <w:rFonts w:hint="eastAsia" w:ascii="仿宋_GB2312" w:hAnsi="仿宋_GB2312" w:eastAsia="仿宋_GB2312" w:cs="仿宋_GB2312"/>
          <w:sz w:val="32"/>
          <w:szCs w:val="32"/>
          <w:lang w:val="en-US" w:eastAsia="zh-CN"/>
        </w:rPr>
        <w:t>37.97</w:t>
      </w:r>
      <w:r>
        <w:rPr>
          <w:rFonts w:hint="eastAsia" w:ascii="仿宋_GB2312" w:hAnsi="仿宋_GB2312" w:eastAsia="仿宋_GB2312" w:cs="仿宋_GB2312"/>
          <w:sz w:val="32"/>
          <w:szCs w:val="32"/>
        </w:rPr>
        <w:t>万元，完成预算的</w:t>
      </w:r>
      <w:r>
        <w:rPr>
          <w:rFonts w:hint="eastAsia" w:ascii="仿宋_GB2312" w:hAnsi="仿宋_GB2312" w:eastAsia="仿宋_GB2312" w:cs="仿宋_GB2312"/>
          <w:sz w:val="32"/>
          <w:szCs w:val="32"/>
          <w:lang w:val="en-US" w:eastAsia="zh-CN"/>
        </w:rPr>
        <w:t>100</w:t>
      </w:r>
      <w:r>
        <w:rPr>
          <w:rFonts w:hint="eastAsia" w:ascii="仿宋_GB2312" w:hAnsi="仿宋_GB2312" w:eastAsia="仿宋_GB2312" w:cs="仿宋_GB2312"/>
          <w:sz w:val="32"/>
          <w:szCs w:val="32"/>
        </w:rPr>
        <w:t>%。通过项目实施，</w:t>
      </w:r>
      <w:r>
        <w:rPr>
          <w:rFonts w:hint="eastAsia" w:ascii="仿宋_GB2312" w:hAnsi="仿宋_GB2312" w:eastAsia="仿宋_GB2312" w:cs="仿宋_GB2312"/>
          <w:sz w:val="32"/>
          <w:szCs w:val="32"/>
          <w:lang w:eastAsia="zh-CN"/>
        </w:rPr>
        <w:t>减轻了农民的负担。</w:t>
      </w:r>
    </w:p>
    <w:p>
      <w:pPr>
        <w:spacing w:line="580" w:lineRule="exact"/>
        <w:ind w:firstLine="640" w:firstLineChars="200"/>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rPr>
        <w:t>（2）</w:t>
      </w:r>
      <w:r>
        <w:rPr>
          <w:rFonts w:hint="eastAsia" w:ascii="仿宋_GB2312" w:hAnsi="仿宋_GB2312" w:eastAsia="仿宋_GB2312" w:cs="仿宋_GB2312"/>
          <w:sz w:val="32"/>
          <w:szCs w:val="32"/>
          <w:lang w:eastAsia="zh-CN"/>
        </w:rPr>
        <w:t>民贸民品优惠贴息</w:t>
      </w:r>
      <w:r>
        <w:rPr>
          <w:rFonts w:hint="eastAsia" w:ascii="仿宋_GB2312" w:hAnsi="仿宋_GB2312" w:eastAsia="仿宋_GB2312" w:cs="仿宋_GB2312"/>
          <w:sz w:val="32"/>
          <w:szCs w:val="32"/>
        </w:rPr>
        <w:t>项目绩效目标完成情况综述。项目全年预算数</w:t>
      </w:r>
      <w:r>
        <w:rPr>
          <w:rFonts w:hint="eastAsia" w:ascii="仿宋_GB2312" w:hAnsi="仿宋_GB2312" w:eastAsia="仿宋_GB2312" w:cs="仿宋_GB2312"/>
          <w:sz w:val="32"/>
          <w:szCs w:val="32"/>
          <w:lang w:val="en-US" w:eastAsia="zh-CN"/>
        </w:rPr>
        <w:t>61.98</w:t>
      </w:r>
      <w:r>
        <w:rPr>
          <w:rFonts w:hint="eastAsia" w:ascii="仿宋_GB2312" w:hAnsi="仿宋_GB2312" w:eastAsia="仿宋_GB2312" w:cs="仿宋_GB2312"/>
          <w:sz w:val="32"/>
          <w:szCs w:val="32"/>
        </w:rPr>
        <w:t>万元，执行数为</w:t>
      </w:r>
      <w:r>
        <w:rPr>
          <w:rFonts w:hint="eastAsia" w:ascii="仿宋_GB2312" w:hAnsi="仿宋_GB2312" w:eastAsia="仿宋_GB2312" w:cs="仿宋_GB2312"/>
          <w:sz w:val="32"/>
          <w:szCs w:val="32"/>
          <w:lang w:val="en-US" w:eastAsia="zh-CN"/>
        </w:rPr>
        <w:t>61.98</w:t>
      </w:r>
      <w:r>
        <w:rPr>
          <w:rFonts w:hint="eastAsia" w:ascii="仿宋_GB2312" w:hAnsi="仿宋_GB2312" w:eastAsia="仿宋_GB2312" w:cs="仿宋_GB2312"/>
          <w:sz w:val="32"/>
          <w:szCs w:val="32"/>
        </w:rPr>
        <w:t>万元，完成预算的</w:t>
      </w:r>
      <w:r>
        <w:rPr>
          <w:rFonts w:hint="eastAsia" w:ascii="仿宋_GB2312" w:hAnsi="仿宋_GB2312" w:eastAsia="仿宋_GB2312" w:cs="仿宋_GB2312"/>
          <w:sz w:val="32"/>
          <w:szCs w:val="32"/>
          <w:lang w:val="en-US" w:eastAsia="zh-CN"/>
        </w:rPr>
        <w:t>100</w:t>
      </w:r>
      <w:r>
        <w:rPr>
          <w:rFonts w:hint="eastAsia" w:ascii="仿宋_GB2312" w:hAnsi="仿宋_GB2312" w:eastAsia="仿宋_GB2312" w:cs="仿宋_GB2312"/>
          <w:sz w:val="32"/>
          <w:szCs w:val="32"/>
        </w:rPr>
        <w:t>%。通过项目实施，支持</w:t>
      </w:r>
      <w:r>
        <w:rPr>
          <w:rFonts w:hint="eastAsia" w:ascii="仿宋_GB2312" w:hAnsi="仿宋_GB2312" w:eastAsia="仿宋_GB2312" w:cs="仿宋_GB2312"/>
          <w:sz w:val="32"/>
          <w:szCs w:val="32"/>
          <w:lang w:eastAsia="zh-CN"/>
        </w:rPr>
        <w:t>为农行业的发展，减轻企业的负担。</w:t>
      </w:r>
    </w:p>
    <w:p>
      <w:pPr>
        <w:spacing w:line="580" w:lineRule="exact"/>
        <w:ind w:firstLine="640" w:firstLineChars="200"/>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rPr>
        <w:t>（3）</w:t>
      </w:r>
      <w:r>
        <w:rPr>
          <w:rFonts w:hint="eastAsia" w:ascii="仿宋_GB2312" w:hAnsi="仿宋_GB2312" w:eastAsia="仿宋_GB2312" w:cs="仿宋_GB2312"/>
          <w:sz w:val="32"/>
          <w:szCs w:val="32"/>
          <w:lang w:eastAsia="zh-CN"/>
        </w:rPr>
        <w:t>其他商品流通事务支出</w:t>
      </w:r>
      <w:r>
        <w:rPr>
          <w:rFonts w:hint="eastAsia" w:ascii="仿宋_GB2312" w:hAnsi="仿宋_GB2312" w:eastAsia="仿宋_GB2312" w:cs="仿宋_GB2312"/>
          <w:sz w:val="32"/>
          <w:szCs w:val="32"/>
        </w:rPr>
        <w:t>项目绩效目标完成情况综述。项目全年预算数</w:t>
      </w:r>
      <w:r>
        <w:rPr>
          <w:rFonts w:hint="eastAsia" w:ascii="仿宋_GB2312" w:hAnsi="仿宋_GB2312" w:eastAsia="仿宋_GB2312" w:cs="仿宋_GB2312"/>
          <w:sz w:val="32"/>
          <w:szCs w:val="32"/>
          <w:lang w:val="en-US" w:eastAsia="zh-CN"/>
        </w:rPr>
        <w:t>200</w:t>
      </w:r>
      <w:r>
        <w:rPr>
          <w:rFonts w:hint="eastAsia" w:ascii="仿宋_GB2312" w:hAnsi="仿宋_GB2312" w:eastAsia="仿宋_GB2312" w:cs="仿宋_GB2312"/>
          <w:sz w:val="32"/>
          <w:szCs w:val="32"/>
        </w:rPr>
        <w:t>万元，执行数为</w:t>
      </w:r>
      <w:r>
        <w:rPr>
          <w:rFonts w:hint="eastAsia" w:ascii="仿宋_GB2312" w:hAnsi="仿宋_GB2312" w:eastAsia="仿宋_GB2312" w:cs="仿宋_GB2312"/>
          <w:sz w:val="32"/>
          <w:szCs w:val="32"/>
          <w:lang w:val="en-US" w:eastAsia="zh-CN"/>
        </w:rPr>
        <w:t>200</w:t>
      </w:r>
      <w:r>
        <w:rPr>
          <w:rFonts w:hint="eastAsia" w:ascii="仿宋_GB2312" w:hAnsi="仿宋_GB2312" w:eastAsia="仿宋_GB2312" w:cs="仿宋_GB2312"/>
          <w:sz w:val="32"/>
          <w:szCs w:val="32"/>
        </w:rPr>
        <w:t>万元，完成预算的</w:t>
      </w:r>
      <w:r>
        <w:rPr>
          <w:rFonts w:hint="eastAsia" w:ascii="仿宋_GB2312" w:hAnsi="仿宋_GB2312" w:eastAsia="仿宋_GB2312" w:cs="仿宋_GB2312"/>
          <w:sz w:val="32"/>
          <w:szCs w:val="32"/>
          <w:lang w:val="en-US" w:eastAsia="zh-CN"/>
        </w:rPr>
        <w:t>100</w:t>
      </w:r>
      <w:r>
        <w:rPr>
          <w:rFonts w:hint="eastAsia" w:ascii="仿宋_GB2312" w:hAnsi="仿宋_GB2312" w:eastAsia="仿宋_GB2312" w:cs="仿宋_GB2312"/>
          <w:sz w:val="32"/>
          <w:szCs w:val="32"/>
        </w:rPr>
        <w:t>%。通过项目实施，</w:t>
      </w:r>
      <w:r>
        <w:rPr>
          <w:rFonts w:hint="eastAsia" w:ascii="仿宋_GB2312" w:hAnsi="仿宋_GB2312" w:eastAsia="仿宋_GB2312" w:cs="仿宋_GB2312"/>
          <w:sz w:val="32"/>
          <w:szCs w:val="32"/>
          <w:lang w:eastAsia="zh-CN"/>
        </w:rPr>
        <w:t>支持了为农服务中心建设。</w:t>
      </w:r>
    </w:p>
    <w:p>
      <w:pPr>
        <w:spacing w:line="580" w:lineRule="exact"/>
        <w:ind w:firstLine="640" w:firstLineChars="200"/>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rPr>
        <w:t>（</w:t>
      </w:r>
      <w:r>
        <w:rPr>
          <w:rFonts w:hint="eastAsia" w:ascii="仿宋_GB2312" w:hAnsi="仿宋_GB2312" w:eastAsia="仿宋_GB2312" w:cs="仿宋_GB2312"/>
          <w:sz w:val="32"/>
          <w:szCs w:val="32"/>
          <w:lang w:val="en-US" w:eastAsia="zh-CN"/>
        </w:rPr>
        <w:t>4</w:t>
      </w:r>
      <w:r>
        <w:rPr>
          <w:rFonts w:hint="eastAsia" w:ascii="仿宋_GB2312" w:hAnsi="仿宋_GB2312" w:eastAsia="仿宋_GB2312" w:cs="仿宋_GB2312"/>
          <w:sz w:val="32"/>
          <w:szCs w:val="32"/>
        </w:rPr>
        <w:t>）</w:t>
      </w:r>
      <w:r>
        <w:rPr>
          <w:rFonts w:hint="eastAsia" w:ascii="仿宋_GB2312" w:hAnsi="仿宋_GB2312" w:eastAsia="仿宋_GB2312" w:cs="仿宋_GB2312"/>
          <w:sz w:val="32"/>
          <w:szCs w:val="32"/>
          <w:lang w:eastAsia="zh-CN"/>
        </w:rPr>
        <w:t>扶贫</w:t>
      </w:r>
      <w:r>
        <w:rPr>
          <w:rFonts w:hint="eastAsia" w:ascii="仿宋_GB2312" w:hAnsi="仿宋_GB2312" w:eastAsia="仿宋_GB2312" w:cs="仿宋_GB2312"/>
          <w:sz w:val="32"/>
          <w:szCs w:val="32"/>
        </w:rPr>
        <w:t>项目绩效目标完成情况综述。项目全年预算数</w:t>
      </w:r>
      <w:r>
        <w:rPr>
          <w:rFonts w:hint="eastAsia" w:ascii="仿宋_GB2312" w:hAnsi="仿宋_GB2312" w:eastAsia="仿宋_GB2312" w:cs="仿宋_GB2312"/>
          <w:sz w:val="32"/>
          <w:szCs w:val="32"/>
          <w:lang w:val="en-US" w:eastAsia="zh-CN"/>
        </w:rPr>
        <w:t>1.47</w:t>
      </w:r>
      <w:r>
        <w:rPr>
          <w:rFonts w:hint="eastAsia" w:ascii="仿宋_GB2312" w:hAnsi="仿宋_GB2312" w:eastAsia="仿宋_GB2312" w:cs="仿宋_GB2312"/>
          <w:sz w:val="32"/>
          <w:szCs w:val="32"/>
        </w:rPr>
        <w:t>万元，执行数为</w:t>
      </w:r>
      <w:r>
        <w:rPr>
          <w:rFonts w:hint="eastAsia" w:ascii="仿宋_GB2312" w:hAnsi="仿宋_GB2312" w:eastAsia="仿宋_GB2312" w:cs="仿宋_GB2312"/>
          <w:sz w:val="32"/>
          <w:szCs w:val="32"/>
          <w:lang w:val="en-US" w:eastAsia="zh-CN"/>
        </w:rPr>
        <w:t>1.47</w:t>
      </w:r>
      <w:r>
        <w:rPr>
          <w:rFonts w:hint="eastAsia" w:ascii="仿宋_GB2312" w:hAnsi="仿宋_GB2312" w:eastAsia="仿宋_GB2312" w:cs="仿宋_GB2312"/>
          <w:sz w:val="32"/>
          <w:szCs w:val="32"/>
        </w:rPr>
        <w:t>万元，完成预算的</w:t>
      </w:r>
      <w:r>
        <w:rPr>
          <w:rFonts w:hint="eastAsia" w:ascii="仿宋_GB2312" w:hAnsi="仿宋_GB2312" w:eastAsia="仿宋_GB2312" w:cs="仿宋_GB2312"/>
          <w:sz w:val="32"/>
          <w:szCs w:val="32"/>
          <w:lang w:val="en-US" w:eastAsia="zh-CN"/>
        </w:rPr>
        <w:t>100</w:t>
      </w:r>
      <w:r>
        <w:rPr>
          <w:rFonts w:hint="eastAsia" w:ascii="仿宋_GB2312" w:hAnsi="仿宋_GB2312" w:eastAsia="仿宋_GB2312" w:cs="仿宋_GB2312"/>
          <w:sz w:val="32"/>
          <w:szCs w:val="32"/>
        </w:rPr>
        <w:t>%。通过项目实施，</w:t>
      </w:r>
      <w:r>
        <w:rPr>
          <w:rFonts w:hint="eastAsia" w:ascii="仿宋_GB2312" w:hAnsi="仿宋_GB2312" w:eastAsia="仿宋_GB2312" w:cs="仿宋_GB2312"/>
          <w:sz w:val="32"/>
          <w:szCs w:val="32"/>
          <w:lang w:eastAsia="zh-CN"/>
        </w:rPr>
        <w:t>支持了脱贫攻坚工作。</w:t>
      </w:r>
    </w:p>
    <w:tbl>
      <w:tblPr>
        <w:tblStyle w:val="12"/>
        <w:tblpPr w:leftFromText="180" w:rightFromText="180" w:vertAnchor="text" w:horzAnchor="page" w:tblpX="1395" w:tblpY="80"/>
        <w:tblOverlap w:val="never"/>
        <w:tblW w:w="0" w:type="auto"/>
        <w:tblInd w:w="0" w:type="dxa"/>
        <w:tblLayout w:type="fixed"/>
        <w:tblCellMar>
          <w:top w:w="0" w:type="dxa"/>
          <w:left w:w="0" w:type="dxa"/>
          <w:bottom w:w="0" w:type="dxa"/>
          <w:right w:w="0" w:type="dxa"/>
        </w:tblCellMar>
      </w:tblPr>
      <w:tblGrid>
        <w:gridCol w:w="801"/>
        <w:gridCol w:w="1384"/>
        <w:gridCol w:w="1065"/>
        <w:gridCol w:w="1924"/>
        <w:gridCol w:w="2043"/>
        <w:gridCol w:w="1886"/>
      </w:tblGrid>
      <w:tr>
        <w:tblPrEx>
          <w:tblCellMar>
            <w:top w:w="0" w:type="dxa"/>
            <w:left w:w="0" w:type="dxa"/>
            <w:bottom w:w="0" w:type="dxa"/>
            <w:right w:w="0" w:type="dxa"/>
          </w:tblCellMar>
        </w:tblPrEx>
        <w:trPr>
          <w:trHeight w:val="1034" w:hRule="atLeast"/>
        </w:trPr>
        <w:tc>
          <w:tcPr>
            <w:tcW w:w="9103" w:type="dxa"/>
            <w:gridSpan w:val="6"/>
            <w:noWrap w:val="0"/>
            <w:tcMar>
              <w:top w:w="15" w:type="dxa"/>
              <w:left w:w="15" w:type="dxa"/>
              <w:bottom w:w="0" w:type="dxa"/>
              <w:right w:w="15" w:type="dxa"/>
            </w:tcMar>
            <w:vAlign w:val="center"/>
          </w:tcPr>
          <w:p>
            <w:pPr>
              <w:pStyle w:val="23"/>
              <w:widowControl/>
              <w:spacing w:line="576" w:lineRule="exact"/>
              <w:ind w:firstLine="0" w:firstLineChars="0"/>
              <w:jc w:val="both"/>
              <w:textAlignment w:val="center"/>
              <w:rPr>
                <w:rFonts w:hint="eastAsia" w:ascii="黑体" w:hAnsi="黑体" w:eastAsia="黑体" w:cs="黑体"/>
                <w:color w:val="000000"/>
                <w:kern w:val="0"/>
                <w:sz w:val="36"/>
                <w:szCs w:val="36"/>
              </w:rPr>
            </w:pPr>
          </w:p>
          <w:p>
            <w:pPr>
              <w:pStyle w:val="23"/>
              <w:widowControl/>
              <w:spacing w:line="576" w:lineRule="exact"/>
              <w:ind w:firstLine="0" w:firstLineChars="0"/>
              <w:jc w:val="center"/>
              <w:textAlignment w:val="center"/>
              <w:rPr>
                <w:rFonts w:ascii="宋体"/>
                <w:color w:val="000000"/>
                <w:sz w:val="36"/>
                <w:szCs w:val="36"/>
              </w:rPr>
            </w:pPr>
            <w:r>
              <w:rPr>
                <w:rFonts w:hint="eastAsia" w:ascii="黑体" w:hAnsi="黑体" w:eastAsia="黑体" w:cs="黑体"/>
                <w:color w:val="000000"/>
                <w:kern w:val="0"/>
                <w:sz w:val="36"/>
                <w:szCs w:val="36"/>
              </w:rPr>
              <w:t>项目支出绩效目标完成情况表</w:t>
            </w:r>
            <w:r>
              <w:rPr>
                <w:rFonts w:ascii="宋体"/>
                <w:b/>
                <w:bCs/>
                <w:color w:val="000000"/>
                <w:kern w:val="0"/>
                <w:sz w:val="36"/>
                <w:szCs w:val="36"/>
              </w:rPr>
              <w:br w:type="textWrapping"/>
            </w:r>
            <w:r>
              <w:rPr>
                <w:rFonts w:ascii="宋体" w:hAnsi="宋体" w:cs="宋体"/>
                <w:color w:val="000000"/>
                <w:kern w:val="0"/>
                <w:sz w:val="36"/>
                <w:szCs w:val="36"/>
              </w:rPr>
              <w:t>(201</w:t>
            </w:r>
            <w:r>
              <w:rPr>
                <w:rFonts w:hint="eastAsia" w:ascii="宋体" w:hAnsi="宋体" w:cs="宋体"/>
                <w:color w:val="000000"/>
                <w:kern w:val="0"/>
                <w:sz w:val="36"/>
                <w:szCs w:val="36"/>
                <w:lang w:val="en-US" w:eastAsia="zh-CN"/>
              </w:rPr>
              <w:t>9</w:t>
            </w:r>
            <w:r>
              <w:rPr>
                <w:rFonts w:hint="eastAsia" w:ascii="宋体" w:hAnsi="宋体" w:cs="宋体"/>
                <w:color w:val="000000"/>
                <w:kern w:val="0"/>
                <w:sz w:val="36"/>
                <w:szCs w:val="36"/>
              </w:rPr>
              <w:t>年度</w:t>
            </w:r>
            <w:r>
              <w:rPr>
                <w:rFonts w:ascii="宋体" w:hAnsi="宋体" w:cs="宋体"/>
                <w:color w:val="000000"/>
                <w:kern w:val="0"/>
                <w:sz w:val="36"/>
                <w:szCs w:val="36"/>
              </w:rPr>
              <w:t>)</w:t>
            </w:r>
          </w:p>
        </w:tc>
      </w:tr>
      <w:tr>
        <w:tblPrEx>
          <w:tblCellMar>
            <w:top w:w="0" w:type="dxa"/>
            <w:left w:w="0" w:type="dxa"/>
            <w:bottom w:w="0" w:type="dxa"/>
            <w:right w:w="0" w:type="dxa"/>
          </w:tblCellMar>
        </w:tblPrEx>
        <w:trPr>
          <w:trHeight w:val="276" w:hRule="atLeast"/>
        </w:trPr>
        <w:tc>
          <w:tcPr>
            <w:tcW w:w="3250" w:type="dxa"/>
            <w:gridSpan w:val="3"/>
            <w:tcBorders>
              <w:top w:val="single" w:color="000000" w:sz="4" w:space="0"/>
              <w:left w:val="single" w:color="000000" w:sz="4" w:space="0"/>
              <w:bottom w:val="single" w:color="000000" w:sz="4" w:space="0"/>
              <w:right w:val="single" w:color="000000" w:sz="4" w:space="0"/>
            </w:tcBorders>
            <w:noWrap w:val="0"/>
            <w:tcMar>
              <w:top w:w="15" w:type="dxa"/>
              <w:left w:w="15" w:type="dxa"/>
              <w:bottom w:w="0" w:type="dxa"/>
              <w:right w:w="15" w:type="dxa"/>
            </w:tcMar>
            <w:vAlign w:val="center"/>
          </w:tcPr>
          <w:p>
            <w:pPr>
              <w:widowControl/>
              <w:spacing w:line="576" w:lineRule="exact"/>
              <w:ind w:left="420" w:leftChars="200"/>
              <w:jc w:val="center"/>
              <w:textAlignment w:val="center"/>
              <w:rPr>
                <w:rFonts w:ascii="宋体"/>
                <w:color w:val="000000"/>
                <w:sz w:val="24"/>
                <w:szCs w:val="24"/>
              </w:rPr>
            </w:pPr>
            <w:r>
              <w:rPr>
                <w:rFonts w:hint="eastAsia" w:ascii="宋体" w:hAnsi="宋体" w:cs="宋体"/>
                <w:color w:val="000000"/>
                <w:kern w:val="0"/>
                <w:sz w:val="24"/>
                <w:szCs w:val="24"/>
              </w:rPr>
              <w:t>项目名称</w:t>
            </w:r>
          </w:p>
        </w:tc>
        <w:tc>
          <w:tcPr>
            <w:tcW w:w="5853" w:type="dxa"/>
            <w:gridSpan w:val="3"/>
            <w:tcBorders>
              <w:top w:val="single" w:color="000000" w:sz="4" w:space="0"/>
              <w:left w:val="single" w:color="000000" w:sz="4" w:space="0"/>
              <w:bottom w:val="single" w:color="000000" w:sz="4" w:space="0"/>
              <w:right w:val="single" w:color="000000" w:sz="4" w:space="0"/>
            </w:tcBorders>
            <w:noWrap w:val="0"/>
            <w:tcMar>
              <w:top w:w="15" w:type="dxa"/>
              <w:left w:w="15" w:type="dxa"/>
              <w:bottom w:w="0" w:type="dxa"/>
              <w:right w:w="15" w:type="dxa"/>
            </w:tcMar>
            <w:vAlign w:val="center"/>
          </w:tcPr>
          <w:p>
            <w:pPr>
              <w:widowControl/>
              <w:spacing w:line="576" w:lineRule="exact"/>
              <w:ind w:left="420" w:leftChars="200"/>
              <w:jc w:val="center"/>
              <w:textAlignment w:val="center"/>
              <w:rPr>
                <w:rFonts w:ascii="宋体"/>
                <w:color w:val="000000"/>
                <w:sz w:val="24"/>
                <w:szCs w:val="24"/>
              </w:rPr>
            </w:pPr>
            <w:r>
              <w:rPr>
                <w:rFonts w:hint="eastAsia" w:ascii="仿宋_GB2312" w:hAnsi="仿宋_GB2312" w:eastAsia="仿宋_GB2312" w:cs="仿宋_GB2312"/>
                <w:color w:val="000000"/>
                <w:kern w:val="0"/>
                <w:sz w:val="32"/>
                <w:szCs w:val="32"/>
                <w:lang w:val="en-US" w:eastAsia="zh-CN"/>
              </w:rPr>
              <w:t>农业生产支持补贴</w:t>
            </w:r>
          </w:p>
        </w:tc>
      </w:tr>
      <w:tr>
        <w:tblPrEx>
          <w:tblCellMar>
            <w:top w:w="0" w:type="dxa"/>
            <w:left w:w="0" w:type="dxa"/>
            <w:bottom w:w="0" w:type="dxa"/>
            <w:right w:w="0" w:type="dxa"/>
          </w:tblCellMar>
        </w:tblPrEx>
        <w:trPr>
          <w:trHeight w:val="276" w:hRule="atLeast"/>
        </w:trPr>
        <w:tc>
          <w:tcPr>
            <w:tcW w:w="3250" w:type="dxa"/>
            <w:gridSpan w:val="3"/>
            <w:tcBorders>
              <w:top w:val="single" w:color="000000" w:sz="4" w:space="0"/>
              <w:left w:val="single" w:color="000000" w:sz="4" w:space="0"/>
              <w:bottom w:val="single" w:color="000000" w:sz="4" w:space="0"/>
              <w:right w:val="single" w:color="000000" w:sz="4" w:space="0"/>
            </w:tcBorders>
            <w:noWrap w:val="0"/>
            <w:tcMar>
              <w:top w:w="15" w:type="dxa"/>
              <w:left w:w="15" w:type="dxa"/>
              <w:bottom w:w="0" w:type="dxa"/>
              <w:right w:w="15" w:type="dxa"/>
            </w:tcMar>
            <w:vAlign w:val="center"/>
          </w:tcPr>
          <w:p>
            <w:pPr>
              <w:widowControl/>
              <w:spacing w:line="576" w:lineRule="exact"/>
              <w:ind w:left="420" w:leftChars="200"/>
              <w:jc w:val="center"/>
              <w:textAlignment w:val="center"/>
              <w:rPr>
                <w:rFonts w:ascii="宋体"/>
                <w:color w:val="000000"/>
                <w:sz w:val="24"/>
                <w:szCs w:val="24"/>
              </w:rPr>
            </w:pPr>
            <w:r>
              <w:rPr>
                <w:rFonts w:hint="eastAsia" w:ascii="宋体" w:hAnsi="宋体" w:cs="宋体"/>
                <w:color w:val="000000"/>
                <w:kern w:val="0"/>
                <w:sz w:val="24"/>
                <w:szCs w:val="24"/>
              </w:rPr>
              <w:t>预算单位</w:t>
            </w:r>
          </w:p>
        </w:tc>
        <w:tc>
          <w:tcPr>
            <w:tcW w:w="5853" w:type="dxa"/>
            <w:gridSpan w:val="3"/>
            <w:tcBorders>
              <w:top w:val="single" w:color="000000" w:sz="4" w:space="0"/>
              <w:left w:val="single" w:color="000000" w:sz="4" w:space="0"/>
              <w:bottom w:val="single" w:color="000000" w:sz="4" w:space="0"/>
              <w:right w:val="single" w:color="000000" w:sz="4" w:space="0"/>
            </w:tcBorders>
            <w:noWrap w:val="0"/>
            <w:tcMar>
              <w:top w:w="15" w:type="dxa"/>
              <w:left w:w="15" w:type="dxa"/>
              <w:bottom w:w="0" w:type="dxa"/>
              <w:right w:w="15" w:type="dxa"/>
            </w:tcMar>
            <w:vAlign w:val="center"/>
          </w:tcPr>
          <w:p>
            <w:pPr>
              <w:widowControl/>
              <w:spacing w:line="576" w:lineRule="exact"/>
              <w:ind w:left="420" w:leftChars="200"/>
              <w:jc w:val="center"/>
              <w:textAlignment w:val="center"/>
              <w:rPr>
                <w:rFonts w:hint="default" w:ascii="宋体" w:eastAsia="宋体"/>
                <w:color w:val="000000"/>
                <w:sz w:val="24"/>
                <w:szCs w:val="24"/>
                <w:lang w:val="en-US" w:eastAsia="zh-CN"/>
              </w:rPr>
            </w:pPr>
            <w:r>
              <w:rPr>
                <w:rFonts w:hint="eastAsia" w:ascii="宋体" w:hAnsi="宋体" w:cs="宋体"/>
                <w:color w:val="000000"/>
                <w:kern w:val="0"/>
                <w:sz w:val="24"/>
                <w:szCs w:val="24"/>
                <w:lang w:val="en-US" w:eastAsia="zh-CN"/>
              </w:rPr>
              <w:t>茂县供销社</w:t>
            </w:r>
          </w:p>
        </w:tc>
      </w:tr>
      <w:tr>
        <w:tblPrEx>
          <w:tblCellMar>
            <w:top w:w="0" w:type="dxa"/>
            <w:left w:w="0" w:type="dxa"/>
            <w:bottom w:w="0" w:type="dxa"/>
            <w:right w:w="0" w:type="dxa"/>
          </w:tblCellMar>
        </w:tblPrEx>
        <w:trPr>
          <w:trHeight w:val="276" w:hRule="atLeast"/>
        </w:trPr>
        <w:tc>
          <w:tcPr>
            <w:tcW w:w="801" w:type="dxa"/>
            <w:vMerge w:val="restart"/>
            <w:tcBorders>
              <w:top w:val="single" w:color="000000" w:sz="4" w:space="0"/>
              <w:left w:val="single" w:color="000000" w:sz="4" w:space="0"/>
              <w:bottom w:val="single" w:color="000000" w:sz="4" w:space="0"/>
              <w:right w:val="single" w:color="000000" w:sz="4" w:space="0"/>
            </w:tcBorders>
            <w:noWrap w:val="0"/>
            <w:tcMar>
              <w:top w:w="15" w:type="dxa"/>
              <w:left w:w="15" w:type="dxa"/>
              <w:bottom w:w="0" w:type="dxa"/>
              <w:right w:w="15" w:type="dxa"/>
            </w:tcMar>
            <w:vAlign w:val="center"/>
          </w:tcPr>
          <w:p>
            <w:pPr>
              <w:widowControl/>
              <w:spacing w:line="576" w:lineRule="exact"/>
              <w:jc w:val="center"/>
              <w:textAlignment w:val="center"/>
              <w:rPr>
                <w:rFonts w:ascii="宋体"/>
                <w:color w:val="000000"/>
                <w:kern w:val="0"/>
                <w:sz w:val="24"/>
                <w:szCs w:val="24"/>
              </w:rPr>
            </w:pPr>
            <w:r>
              <w:rPr>
                <w:rFonts w:hint="eastAsia" w:ascii="宋体" w:hAnsi="宋体" w:cs="宋体"/>
                <w:color w:val="000000"/>
                <w:kern w:val="0"/>
                <w:sz w:val="24"/>
                <w:szCs w:val="24"/>
              </w:rPr>
              <w:t>预</w:t>
            </w:r>
          </w:p>
          <w:p>
            <w:pPr>
              <w:widowControl/>
              <w:spacing w:line="576" w:lineRule="exact"/>
              <w:jc w:val="center"/>
              <w:textAlignment w:val="center"/>
              <w:rPr>
                <w:rFonts w:ascii="宋体"/>
                <w:color w:val="000000"/>
                <w:kern w:val="0"/>
                <w:sz w:val="24"/>
                <w:szCs w:val="24"/>
              </w:rPr>
            </w:pPr>
            <w:r>
              <w:rPr>
                <w:rFonts w:hint="eastAsia" w:ascii="宋体" w:hAnsi="宋体" w:cs="宋体"/>
                <w:color w:val="000000"/>
                <w:kern w:val="0"/>
                <w:sz w:val="24"/>
                <w:szCs w:val="24"/>
              </w:rPr>
              <w:t>算</w:t>
            </w:r>
          </w:p>
          <w:p>
            <w:pPr>
              <w:widowControl/>
              <w:spacing w:line="576" w:lineRule="exact"/>
              <w:jc w:val="center"/>
              <w:textAlignment w:val="center"/>
              <w:rPr>
                <w:rFonts w:ascii="宋体"/>
                <w:color w:val="000000"/>
                <w:kern w:val="0"/>
                <w:sz w:val="24"/>
                <w:szCs w:val="24"/>
              </w:rPr>
            </w:pPr>
            <w:r>
              <w:rPr>
                <w:rFonts w:hint="eastAsia" w:ascii="宋体" w:hAnsi="宋体" w:cs="宋体"/>
                <w:color w:val="000000"/>
                <w:kern w:val="0"/>
                <w:sz w:val="24"/>
                <w:szCs w:val="24"/>
              </w:rPr>
              <w:t>执</w:t>
            </w:r>
          </w:p>
          <w:p>
            <w:pPr>
              <w:widowControl/>
              <w:spacing w:line="576" w:lineRule="exact"/>
              <w:jc w:val="center"/>
              <w:textAlignment w:val="center"/>
              <w:rPr>
                <w:rFonts w:ascii="宋体"/>
                <w:color w:val="000000"/>
                <w:kern w:val="0"/>
                <w:sz w:val="24"/>
                <w:szCs w:val="24"/>
              </w:rPr>
            </w:pPr>
            <w:r>
              <w:rPr>
                <w:rFonts w:hint="eastAsia" w:ascii="宋体" w:hAnsi="宋体" w:cs="宋体"/>
                <w:color w:val="000000"/>
                <w:kern w:val="0"/>
                <w:sz w:val="24"/>
                <w:szCs w:val="24"/>
              </w:rPr>
              <w:t>行</w:t>
            </w:r>
          </w:p>
          <w:p>
            <w:pPr>
              <w:widowControl/>
              <w:spacing w:line="576" w:lineRule="exact"/>
              <w:jc w:val="center"/>
              <w:textAlignment w:val="center"/>
              <w:rPr>
                <w:rFonts w:ascii="宋体"/>
                <w:color w:val="000000"/>
                <w:kern w:val="0"/>
                <w:sz w:val="24"/>
                <w:szCs w:val="24"/>
              </w:rPr>
            </w:pPr>
            <w:r>
              <w:rPr>
                <w:rFonts w:hint="eastAsia" w:ascii="宋体" w:hAnsi="宋体" w:cs="宋体"/>
                <w:color w:val="000000"/>
                <w:kern w:val="0"/>
                <w:sz w:val="24"/>
                <w:szCs w:val="24"/>
              </w:rPr>
              <w:t>情</w:t>
            </w:r>
          </w:p>
          <w:p>
            <w:pPr>
              <w:widowControl/>
              <w:spacing w:line="576" w:lineRule="exact"/>
              <w:jc w:val="center"/>
              <w:textAlignment w:val="center"/>
              <w:rPr>
                <w:rFonts w:ascii="宋体"/>
                <w:color w:val="000000"/>
                <w:kern w:val="0"/>
                <w:sz w:val="24"/>
                <w:szCs w:val="24"/>
              </w:rPr>
            </w:pPr>
            <w:r>
              <w:rPr>
                <w:rFonts w:hint="eastAsia" w:ascii="宋体" w:hAnsi="宋体" w:cs="宋体"/>
                <w:color w:val="000000"/>
                <w:kern w:val="0"/>
                <w:sz w:val="24"/>
                <w:szCs w:val="24"/>
              </w:rPr>
              <w:t>况</w:t>
            </w:r>
          </w:p>
          <w:p>
            <w:pPr>
              <w:widowControl/>
              <w:spacing w:line="576" w:lineRule="exact"/>
              <w:jc w:val="center"/>
              <w:textAlignment w:val="center"/>
              <w:rPr>
                <w:rFonts w:ascii="宋体"/>
                <w:color w:val="000000"/>
                <w:sz w:val="24"/>
                <w:szCs w:val="24"/>
              </w:rPr>
            </w:pPr>
            <w:r>
              <w:rPr>
                <w:rFonts w:ascii="宋体" w:hAnsi="宋体" w:cs="宋体"/>
                <w:color w:val="000000"/>
                <w:kern w:val="0"/>
                <w:sz w:val="24"/>
                <w:szCs w:val="24"/>
              </w:rPr>
              <w:t>(</w:t>
            </w:r>
            <w:r>
              <w:rPr>
                <w:rFonts w:hint="eastAsia" w:ascii="宋体" w:hAnsi="宋体" w:cs="宋体"/>
                <w:color w:val="000000"/>
                <w:kern w:val="0"/>
                <w:sz w:val="24"/>
                <w:szCs w:val="24"/>
              </w:rPr>
              <w:t>万元</w:t>
            </w:r>
            <w:r>
              <w:rPr>
                <w:rFonts w:ascii="宋体" w:hAnsi="宋体" w:cs="宋体"/>
                <w:color w:val="000000"/>
                <w:kern w:val="0"/>
                <w:sz w:val="24"/>
                <w:szCs w:val="24"/>
              </w:rPr>
              <w:t>)</w:t>
            </w:r>
          </w:p>
        </w:tc>
        <w:tc>
          <w:tcPr>
            <w:tcW w:w="2449" w:type="dxa"/>
            <w:gridSpan w:val="2"/>
            <w:tcBorders>
              <w:top w:val="single" w:color="000000" w:sz="4" w:space="0"/>
              <w:left w:val="single" w:color="000000" w:sz="4" w:space="0"/>
              <w:bottom w:val="single" w:color="000000" w:sz="4" w:space="0"/>
              <w:right w:val="single" w:color="000000" w:sz="4" w:space="0"/>
            </w:tcBorders>
            <w:noWrap w:val="0"/>
            <w:tcMar>
              <w:top w:w="15" w:type="dxa"/>
              <w:left w:w="15" w:type="dxa"/>
              <w:bottom w:w="0" w:type="dxa"/>
              <w:right w:w="15" w:type="dxa"/>
            </w:tcMar>
            <w:vAlign w:val="center"/>
          </w:tcPr>
          <w:p>
            <w:pPr>
              <w:widowControl/>
              <w:spacing w:line="576" w:lineRule="exact"/>
              <w:ind w:left="420" w:leftChars="200"/>
              <w:jc w:val="center"/>
              <w:textAlignment w:val="center"/>
              <w:rPr>
                <w:rFonts w:ascii="宋体"/>
                <w:color w:val="000000"/>
                <w:sz w:val="24"/>
                <w:szCs w:val="24"/>
              </w:rPr>
            </w:pPr>
            <w:r>
              <w:rPr>
                <w:rFonts w:hint="eastAsia" w:ascii="宋体" w:hAnsi="宋体" w:cs="宋体"/>
                <w:color w:val="000000"/>
                <w:kern w:val="0"/>
                <w:sz w:val="24"/>
                <w:szCs w:val="24"/>
              </w:rPr>
              <w:t>预算数</w:t>
            </w:r>
            <w:r>
              <w:rPr>
                <w:rFonts w:ascii="宋体" w:hAnsi="宋体" w:cs="宋体"/>
                <w:color w:val="000000"/>
                <w:kern w:val="0"/>
                <w:sz w:val="24"/>
                <w:szCs w:val="24"/>
              </w:rPr>
              <w:t>:</w:t>
            </w:r>
          </w:p>
        </w:tc>
        <w:tc>
          <w:tcPr>
            <w:tcW w:w="1924" w:type="dxa"/>
            <w:tcBorders>
              <w:top w:val="single" w:color="000000" w:sz="4" w:space="0"/>
              <w:left w:val="single" w:color="000000" w:sz="4" w:space="0"/>
              <w:bottom w:val="single" w:color="000000" w:sz="4" w:space="0"/>
              <w:right w:val="single" w:color="000000" w:sz="4" w:space="0"/>
            </w:tcBorders>
            <w:noWrap w:val="0"/>
            <w:tcMar>
              <w:top w:w="15" w:type="dxa"/>
              <w:left w:w="15" w:type="dxa"/>
              <w:bottom w:w="0" w:type="dxa"/>
              <w:right w:w="15" w:type="dxa"/>
            </w:tcMar>
            <w:vAlign w:val="center"/>
          </w:tcPr>
          <w:p>
            <w:pPr>
              <w:widowControl/>
              <w:spacing w:line="576" w:lineRule="exact"/>
              <w:ind w:left="420" w:leftChars="200"/>
              <w:jc w:val="center"/>
              <w:textAlignment w:val="center"/>
              <w:rPr>
                <w:rFonts w:hint="default" w:ascii="宋体" w:eastAsia="宋体" w:cs="宋体"/>
                <w:color w:val="000000"/>
                <w:sz w:val="24"/>
                <w:szCs w:val="24"/>
                <w:lang w:val="en-US" w:eastAsia="zh-CN"/>
              </w:rPr>
            </w:pPr>
            <w:r>
              <w:rPr>
                <w:rFonts w:hint="eastAsia" w:ascii="宋体" w:cs="宋体"/>
                <w:color w:val="000000"/>
                <w:sz w:val="24"/>
                <w:szCs w:val="24"/>
                <w:lang w:val="en-US" w:eastAsia="zh-CN"/>
              </w:rPr>
              <w:t>37.97</w:t>
            </w:r>
          </w:p>
        </w:tc>
        <w:tc>
          <w:tcPr>
            <w:tcW w:w="2043" w:type="dxa"/>
            <w:tcBorders>
              <w:top w:val="single" w:color="000000" w:sz="4" w:space="0"/>
              <w:left w:val="single" w:color="000000" w:sz="4" w:space="0"/>
              <w:bottom w:val="single" w:color="000000" w:sz="4" w:space="0"/>
              <w:right w:val="single" w:color="000000" w:sz="4" w:space="0"/>
            </w:tcBorders>
            <w:noWrap w:val="0"/>
            <w:tcMar>
              <w:top w:w="15" w:type="dxa"/>
              <w:left w:w="15" w:type="dxa"/>
              <w:bottom w:w="0" w:type="dxa"/>
              <w:right w:w="15" w:type="dxa"/>
            </w:tcMar>
            <w:vAlign w:val="center"/>
          </w:tcPr>
          <w:p>
            <w:pPr>
              <w:widowControl/>
              <w:spacing w:line="576" w:lineRule="exact"/>
              <w:ind w:left="420" w:leftChars="200"/>
              <w:jc w:val="center"/>
              <w:textAlignment w:val="center"/>
              <w:rPr>
                <w:rFonts w:ascii="宋体"/>
                <w:color w:val="000000"/>
                <w:sz w:val="24"/>
                <w:szCs w:val="24"/>
              </w:rPr>
            </w:pPr>
            <w:r>
              <w:rPr>
                <w:rFonts w:hint="eastAsia" w:ascii="宋体" w:hAnsi="宋体" w:cs="宋体"/>
                <w:color w:val="000000"/>
                <w:kern w:val="0"/>
                <w:sz w:val="24"/>
                <w:szCs w:val="24"/>
              </w:rPr>
              <w:t>执行数</w:t>
            </w:r>
            <w:r>
              <w:rPr>
                <w:rFonts w:ascii="宋体" w:hAnsi="宋体" w:cs="宋体"/>
                <w:color w:val="000000"/>
                <w:kern w:val="0"/>
                <w:sz w:val="24"/>
                <w:szCs w:val="24"/>
              </w:rPr>
              <w:t>:</w:t>
            </w:r>
          </w:p>
        </w:tc>
        <w:tc>
          <w:tcPr>
            <w:tcW w:w="1886" w:type="dxa"/>
            <w:tcBorders>
              <w:top w:val="single" w:color="000000" w:sz="4" w:space="0"/>
              <w:left w:val="single" w:color="000000" w:sz="4" w:space="0"/>
              <w:bottom w:val="single" w:color="000000" w:sz="4" w:space="0"/>
              <w:right w:val="single" w:color="000000" w:sz="4" w:space="0"/>
            </w:tcBorders>
            <w:noWrap w:val="0"/>
            <w:tcMar>
              <w:top w:w="15" w:type="dxa"/>
              <w:left w:w="15" w:type="dxa"/>
              <w:bottom w:w="0" w:type="dxa"/>
              <w:right w:w="15" w:type="dxa"/>
            </w:tcMar>
            <w:vAlign w:val="center"/>
          </w:tcPr>
          <w:p>
            <w:pPr>
              <w:widowControl/>
              <w:spacing w:line="576" w:lineRule="exact"/>
              <w:ind w:left="420" w:leftChars="200"/>
              <w:jc w:val="center"/>
              <w:textAlignment w:val="center"/>
              <w:rPr>
                <w:rFonts w:hint="default" w:ascii="宋体" w:eastAsia="宋体" w:cs="宋体"/>
                <w:color w:val="000000"/>
                <w:sz w:val="24"/>
                <w:szCs w:val="24"/>
                <w:lang w:val="en-US" w:eastAsia="zh-CN"/>
              </w:rPr>
            </w:pPr>
            <w:r>
              <w:rPr>
                <w:rFonts w:hint="eastAsia" w:ascii="宋体" w:cs="宋体"/>
                <w:color w:val="000000"/>
                <w:sz w:val="24"/>
                <w:szCs w:val="24"/>
                <w:lang w:val="en-US" w:eastAsia="zh-CN"/>
              </w:rPr>
              <w:t>37.97</w:t>
            </w:r>
          </w:p>
        </w:tc>
      </w:tr>
      <w:tr>
        <w:tblPrEx>
          <w:tblCellMar>
            <w:top w:w="0" w:type="dxa"/>
            <w:left w:w="0" w:type="dxa"/>
            <w:bottom w:w="0" w:type="dxa"/>
            <w:right w:w="0" w:type="dxa"/>
          </w:tblCellMar>
        </w:tblPrEx>
        <w:trPr>
          <w:trHeight w:val="276" w:hRule="atLeast"/>
        </w:trPr>
        <w:tc>
          <w:tcPr>
            <w:tcW w:w="801" w:type="dxa"/>
            <w:vMerge w:val="continue"/>
            <w:tcBorders>
              <w:top w:val="single" w:color="000000" w:sz="4" w:space="0"/>
              <w:left w:val="single" w:color="000000" w:sz="4" w:space="0"/>
              <w:bottom w:val="single" w:color="000000" w:sz="4" w:space="0"/>
              <w:right w:val="single" w:color="000000" w:sz="4" w:space="0"/>
            </w:tcBorders>
            <w:noWrap w:val="0"/>
            <w:vAlign w:val="center"/>
          </w:tcPr>
          <w:p>
            <w:pPr>
              <w:widowControl/>
              <w:spacing w:line="576" w:lineRule="exact"/>
              <w:ind w:left="420" w:leftChars="200"/>
              <w:jc w:val="center"/>
              <w:rPr>
                <w:rFonts w:ascii="宋体"/>
                <w:color w:val="000000"/>
                <w:sz w:val="24"/>
                <w:szCs w:val="24"/>
              </w:rPr>
            </w:pPr>
          </w:p>
        </w:tc>
        <w:tc>
          <w:tcPr>
            <w:tcW w:w="2449" w:type="dxa"/>
            <w:gridSpan w:val="2"/>
            <w:tcBorders>
              <w:top w:val="single" w:color="000000" w:sz="4" w:space="0"/>
              <w:left w:val="single" w:color="000000" w:sz="4" w:space="0"/>
              <w:bottom w:val="single" w:color="000000" w:sz="4" w:space="0"/>
              <w:right w:val="single" w:color="000000" w:sz="4" w:space="0"/>
            </w:tcBorders>
            <w:noWrap w:val="0"/>
            <w:tcMar>
              <w:top w:w="15" w:type="dxa"/>
              <w:left w:w="15" w:type="dxa"/>
              <w:bottom w:w="0" w:type="dxa"/>
              <w:right w:w="15" w:type="dxa"/>
            </w:tcMar>
            <w:vAlign w:val="center"/>
          </w:tcPr>
          <w:p>
            <w:pPr>
              <w:widowControl/>
              <w:spacing w:line="576" w:lineRule="exact"/>
              <w:ind w:left="420" w:leftChars="200"/>
              <w:jc w:val="center"/>
              <w:textAlignment w:val="center"/>
              <w:rPr>
                <w:rFonts w:ascii="宋体"/>
                <w:color w:val="000000"/>
                <w:sz w:val="24"/>
                <w:szCs w:val="24"/>
              </w:rPr>
            </w:pPr>
            <w:r>
              <w:rPr>
                <w:rFonts w:hint="eastAsia" w:ascii="宋体" w:hAnsi="宋体" w:cs="宋体"/>
                <w:color w:val="000000"/>
                <w:kern w:val="0"/>
                <w:sz w:val="24"/>
                <w:szCs w:val="24"/>
              </w:rPr>
              <w:t>其中</w:t>
            </w:r>
            <w:r>
              <w:rPr>
                <w:rFonts w:ascii="宋体" w:cs="宋体"/>
                <w:color w:val="000000"/>
                <w:kern w:val="0"/>
                <w:sz w:val="24"/>
                <w:szCs w:val="24"/>
              </w:rPr>
              <w:t>-</w:t>
            </w:r>
            <w:r>
              <w:rPr>
                <w:rFonts w:hint="eastAsia" w:ascii="宋体" w:hAnsi="宋体" w:cs="宋体"/>
                <w:color w:val="000000"/>
                <w:kern w:val="0"/>
                <w:sz w:val="24"/>
                <w:szCs w:val="24"/>
              </w:rPr>
              <w:t>财政拨款</w:t>
            </w:r>
            <w:r>
              <w:rPr>
                <w:rFonts w:ascii="宋体" w:hAnsi="宋体" w:cs="宋体"/>
                <w:color w:val="000000"/>
                <w:kern w:val="0"/>
                <w:sz w:val="24"/>
                <w:szCs w:val="24"/>
              </w:rPr>
              <w:t>:</w:t>
            </w:r>
          </w:p>
        </w:tc>
        <w:tc>
          <w:tcPr>
            <w:tcW w:w="1924" w:type="dxa"/>
            <w:tcBorders>
              <w:top w:val="single" w:color="000000" w:sz="4" w:space="0"/>
              <w:left w:val="single" w:color="000000" w:sz="4" w:space="0"/>
              <w:bottom w:val="single" w:color="000000" w:sz="4" w:space="0"/>
              <w:right w:val="single" w:color="000000" w:sz="4" w:space="0"/>
            </w:tcBorders>
            <w:noWrap w:val="0"/>
            <w:tcMar>
              <w:top w:w="15" w:type="dxa"/>
              <w:left w:w="15" w:type="dxa"/>
              <w:bottom w:w="0" w:type="dxa"/>
              <w:right w:w="15" w:type="dxa"/>
            </w:tcMar>
            <w:vAlign w:val="center"/>
          </w:tcPr>
          <w:p>
            <w:pPr>
              <w:widowControl/>
              <w:spacing w:line="576" w:lineRule="exact"/>
              <w:ind w:left="420" w:leftChars="200"/>
              <w:jc w:val="center"/>
              <w:textAlignment w:val="center"/>
              <w:rPr>
                <w:rFonts w:hint="default" w:ascii="宋体" w:eastAsia="宋体" w:cs="宋体"/>
                <w:color w:val="000000"/>
                <w:sz w:val="24"/>
                <w:szCs w:val="24"/>
                <w:lang w:val="en-US" w:eastAsia="zh-CN"/>
              </w:rPr>
            </w:pPr>
            <w:r>
              <w:rPr>
                <w:rFonts w:hint="eastAsia" w:ascii="宋体" w:cs="宋体"/>
                <w:color w:val="000000"/>
                <w:sz w:val="24"/>
                <w:szCs w:val="24"/>
                <w:lang w:val="en-US" w:eastAsia="zh-CN"/>
              </w:rPr>
              <w:t>37.97</w:t>
            </w:r>
          </w:p>
        </w:tc>
        <w:tc>
          <w:tcPr>
            <w:tcW w:w="2043" w:type="dxa"/>
            <w:tcBorders>
              <w:top w:val="single" w:color="000000" w:sz="4" w:space="0"/>
              <w:left w:val="single" w:color="000000" w:sz="4" w:space="0"/>
              <w:bottom w:val="single" w:color="000000" w:sz="4" w:space="0"/>
              <w:right w:val="single" w:color="000000" w:sz="4" w:space="0"/>
            </w:tcBorders>
            <w:noWrap w:val="0"/>
            <w:tcMar>
              <w:top w:w="15" w:type="dxa"/>
              <w:left w:w="15" w:type="dxa"/>
              <w:bottom w:w="0" w:type="dxa"/>
              <w:right w:w="15" w:type="dxa"/>
            </w:tcMar>
            <w:vAlign w:val="center"/>
          </w:tcPr>
          <w:p>
            <w:pPr>
              <w:widowControl/>
              <w:spacing w:line="576" w:lineRule="exact"/>
              <w:ind w:left="420" w:leftChars="200"/>
              <w:jc w:val="center"/>
              <w:textAlignment w:val="center"/>
              <w:rPr>
                <w:rFonts w:ascii="宋体"/>
                <w:color w:val="000000"/>
                <w:sz w:val="24"/>
                <w:szCs w:val="24"/>
              </w:rPr>
            </w:pPr>
            <w:r>
              <w:rPr>
                <w:rFonts w:hint="eastAsia" w:ascii="宋体" w:hAnsi="宋体" w:cs="宋体"/>
                <w:color w:val="000000"/>
                <w:kern w:val="0"/>
                <w:sz w:val="24"/>
                <w:szCs w:val="24"/>
              </w:rPr>
              <w:t>其中</w:t>
            </w:r>
            <w:r>
              <w:rPr>
                <w:rFonts w:ascii="宋体" w:cs="宋体"/>
                <w:color w:val="000000"/>
                <w:kern w:val="0"/>
                <w:sz w:val="24"/>
                <w:szCs w:val="24"/>
              </w:rPr>
              <w:t>-</w:t>
            </w:r>
            <w:r>
              <w:rPr>
                <w:rFonts w:hint="eastAsia" w:ascii="宋体" w:hAnsi="宋体" w:cs="宋体"/>
                <w:color w:val="000000"/>
                <w:kern w:val="0"/>
                <w:sz w:val="24"/>
                <w:szCs w:val="24"/>
              </w:rPr>
              <w:t>财政拨款</w:t>
            </w:r>
            <w:r>
              <w:rPr>
                <w:rFonts w:ascii="宋体" w:hAnsi="宋体" w:cs="宋体"/>
                <w:color w:val="000000"/>
                <w:kern w:val="0"/>
                <w:sz w:val="24"/>
                <w:szCs w:val="24"/>
              </w:rPr>
              <w:t>:</w:t>
            </w:r>
          </w:p>
        </w:tc>
        <w:tc>
          <w:tcPr>
            <w:tcW w:w="1886" w:type="dxa"/>
            <w:tcBorders>
              <w:top w:val="single" w:color="000000" w:sz="4" w:space="0"/>
              <w:left w:val="single" w:color="000000" w:sz="4" w:space="0"/>
              <w:bottom w:val="single" w:color="000000" w:sz="4" w:space="0"/>
              <w:right w:val="single" w:color="000000" w:sz="4" w:space="0"/>
            </w:tcBorders>
            <w:noWrap w:val="0"/>
            <w:tcMar>
              <w:top w:w="15" w:type="dxa"/>
              <w:left w:w="15" w:type="dxa"/>
              <w:bottom w:w="0" w:type="dxa"/>
              <w:right w:w="15" w:type="dxa"/>
            </w:tcMar>
            <w:vAlign w:val="center"/>
          </w:tcPr>
          <w:p>
            <w:pPr>
              <w:widowControl/>
              <w:spacing w:line="576" w:lineRule="exact"/>
              <w:ind w:left="420" w:leftChars="200"/>
              <w:jc w:val="center"/>
              <w:textAlignment w:val="center"/>
              <w:rPr>
                <w:rFonts w:hint="default" w:ascii="宋体" w:eastAsia="宋体" w:cs="宋体"/>
                <w:color w:val="000000"/>
                <w:sz w:val="24"/>
                <w:szCs w:val="24"/>
                <w:lang w:val="en-US" w:eastAsia="zh-CN"/>
              </w:rPr>
            </w:pPr>
            <w:r>
              <w:rPr>
                <w:rFonts w:hint="eastAsia" w:ascii="宋体" w:cs="宋体"/>
                <w:color w:val="000000"/>
                <w:sz w:val="24"/>
                <w:szCs w:val="24"/>
                <w:lang w:val="en-US" w:eastAsia="zh-CN"/>
              </w:rPr>
              <w:t>37.97</w:t>
            </w:r>
          </w:p>
        </w:tc>
      </w:tr>
      <w:tr>
        <w:tblPrEx>
          <w:tblCellMar>
            <w:top w:w="0" w:type="dxa"/>
            <w:left w:w="0" w:type="dxa"/>
            <w:bottom w:w="0" w:type="dxa"/>
            <w:right w:w="0" w:type="dxa"/>
          </w:tblCellMar>
        </w:tblPrEx>
        <w:trPr>
          <w:trHeight w:val="3290" w:hRule="atLeast"/>
        </w:trPr>
        <w:tc>
          <w:tcPr>
            <w:tcW w:w="801" w:type="dxa"/>
            <w:vMerge w:val="continue"/>
            <w:tcBorders>
              <w:top w:val="single" w:color="000000" w:sz="4" w:space="0"/>
              <w:left w:val="single" w:color="000000" w:sz="4" w:space="0"/>
              <w:bottom w:val="single" w:color="000000" w:sz="4" w:space="0"/>
              <w:right w:val="single" w:color="000000" w:sz="4" w:space="0"/>
            </w:tcBorders>
            <w:noWrap w:val="0"/>
            <w:vAlign w:val="center"/>
          </w:tcPr>
          <w:p>
            <w:pPr>
              <w:widowControl/>
              <w:spacing w:line="576" w:lineRule="exact"/>
              <w:ind w:left="420" w:leftChars="200"/>
              <w:jc w:val="center"/>
              <w:rPr>
                <w:rFonts w:ascii="宋体"/>
                <w:color w:val="000000"/>
                <w:sz w:val="24"/>
                <w:szCs w:val="24"/>
              </w:rPr>
            </w:pPr>
          </w:p>
        </w:tc>
        <w:tc>
          <w:tcPr>
            <w:tcW w:w="2449" w:type="dxa"/>
            <w:gridSpan w:val="2"/>
            <w:tcBorders>
              <w:top w:val="single" w:color="000000" w:sz="4" w:space="0"/>
              <w:left w:val="single" w:color="000000" w:sz="4" w:space="0"/>
              <w:bottom w:val="single" w:color="000000" w:sz="4" w:space="0"/>
              <w:right w:val="single" w:color="000000" w:sz="4" w:space="0"/>
            </w:tcBorders>
            <w:noWrap w:val="0"/>
            <w:tcMar>
              <w:top w:w="15" w:type="dxa"/>
              <w:left w:w="15" w:type="dxa"/>
              <w:bottom w:w="0" w:type="dxa"/>
              <w:right w:w="15" w:type="dxa"/>
            </w:tcMar>
            <w:vAlign w:val="center"/>
          </w:tcPr>
          <w:p>
            <w:pPr>
              <w:widowControl/>
              <w:spacing w:line="576" w:lineRule="exact"/>
              <w:ind w:left="420" w:leftChars="200"/>
              <w:jc w:val="center"/>
              <w:textAlignment w:val="center"/>
              <w:rPr>
                <w:rFonts w:ascii="宋体"/>
                <w:color w:val="000000"/>
                <w:sz w:val="24"/>
                <w:szCs w:val="24"/>
              </w:rPr>
            </w:pPr>
            <w:r>
              <w:rPr>
                <w:rFonts w:hint="eastAsia" w:ascii="宋体" w:hAnsi="宋体" w:cs="宋体"/>
                <w:color w:val="000000"/>
                <w:kern w:val="0"/>
                <w:sz w:val="24"/>
                <w:szCs w:val="24"/>
              </w:rPr>
              <w:t>其它资金</w:t>
            </w:r>
            <w:r>
              <w:rPr>
                <w:rFonts w:ascii="宋体" w:hAnsi="宋体" w:cs="宋体"/>
                <w:color w:val="000000"/>
                <w:kern w:val="0"/>
                <w:sz w:val="24"/>
                <w:szCs w:val="24"/>
              </w:rPr>
              <w:t>:</w:t>
            </w:r>
          </w:p>
        </w:tc>
        <w:tc>
          <w:tcPr>
            <w:tcW w:w="1924" w:type="dxa"/>
            <w:tcBorders>
              <w:top w:val="single" w:color="000000" w:sz="4" w:space="0"/>
              <w:left w:val="single" w:color="000000" w:sz="4" w:space="0"/>
              <w:bottom w:val="single" w:color="000000" w:sz="4" w:space="0"/>
              <w:right w:val="single" w:color="000000" w:sz="4" w:space="0"/>
            </w:tcBorders>
            <w:noWrap w:val="0"/>
            <w:tcMar>
              <w:top w:w="15" w:type="dxa"/>
              <w:left w:w="15" w:type="dxa"/>
              <w:bottom w:w="0" w:type="dxa"/>
              <w:right w:w="15" w:type="dxa"/>
            </w:tcMar>
            <w:vAlign w:val="center"/>
          </w:tcPr>
          <w:p>
            <w:pPr>
              <w:widowControl/>
              <w:spacing w:line="576" w:lineRule="exact"/>
              <w:ind w:left="420" w:leftChars="200"/>
              <w:jc w:val="center"/>
              <w:textAlignment w:val="center"/>
              <w:rPr>
                <w:rFonts w:ascii="宋体"/>
                <w:color w:val="000000"/>
                <w:sz w:val="24"/>
                <w:szCs w:val="24"/>
              </w:rPr>
            </w:pPr>
            <w:r>
              <w:rPr>
                <w:rFonts w:ascii="宋体" w:cs="宋体"/>
                <w:color w:val="000000"/>
                <w:kern w:val="0"/>
                <w:sz w:val="24"/>
                <w:szCs w:val="24"/>
              </w:rPr>
              <w:t>0</w:t>
            </w:r>
          </w:p>
        </w:tc>
        <w:tc>
          <w:tcPr>
            <w:tcW w:w="2043" w:type="dxa"/>
            <w:tcBorders>
              <w:top w:val="single" w:color="000000" w:sz="4" w:space="0"/>
              <w:left w:val="single" w:color="000000" w:sz="4" w:space="0"/>
              <w:bottom w:val="single" w:color="000000" w:sz="4" w:space="0"/>
              <w:right w:val="single" w:color="000000" w:sz="4" w:space="0"/>
            </w:tcBorders>
            <w:noWrap w:val="0"/>
            <w:tcMar>
              <w:top w:w="15" w:type="dxa"/>
              <w:left w:w="15" w:type="dxa"/>
              <w:bottom w:w="0" w:type="dxa"/>
              <w:right w:w="15" w:type="dxa"/>
            </w:tcMar>
            <w:vAlign w:val="center"/>
          </w:tcPr>
          <w:p>
            <w:pPr>
              <w:widowControl/>
              <w:spacing w:line="576" w:lineRule="exact"/>
              <w:ind w:left="420" w:leftChars="200"/>
              <w:jc w:val="center"/>
              <w:textAlignment w:val="center"/>
              <w:rPr>
                <w:rFonts w:ascii="宋体"/>
                <w:color w:val="000000"/>
                <w:sz w:val="24"/>
                <w:szCs w:val="24"/>
              </w:rPr>
            </w:pPr>
            <w:r>
              <w:rPr>
                <w:rFonts w:hint="eastAsia" w:ascii="宋体" w:hAnsi="宋体" w:cs="宋体"/>
                <w:color w:val="000000"/>
                <w:kern w:val="0"/>
                <w:sz w:val="24"/>
                <w:szCs w:val="24"/>
              </w:rPr>
              <w:t>其它资金</w:t>
            </w:r>
            <w:r>
              <w:rPr>
                <w:rFonts w:ascii="宋体" w:hAnsi="宋体" w:cs="宋体"/>
                <w:color w:val="000000"/>
                <w:kern w:val="0"/>
                <w:sz w:val="24"/>
                <w:szCs w:val="24"/>
              </w:rPr>
              <w:t>:</w:t>
            </w:r>
          </w:p>
        </w:tc>
        <w:tc>
          <w:tcPr>
            <w:tcW w:w="1886" w:type="dxa"/>
            <w:tcBorders>
              <w:top w:val="single" w:color="000000" w:sz="4" w:space="0"/>
              <w:left w:val="single" w:color="000000" w:sz="4" w:space="0"/>
              <w:bottom w:val="single" w:color="000000" w:sz="4" w:space="0"/>
              <w:right w:val="single" w:color="000000" w:sz="4" w:space="0"/>
            </w:tcBorders>
            <w:noWrap w:val="0"/>
            <w:tcMar>
              <w:top w:w="15" w:type="dxa"/>
              <w:left w:w="15" w:type="dxa"/>
              <w:bottom w:w="0" w:type="dxa"/>
              <w:right w:w="15" w:type="dxa"/>
            </w:tcMar>
            <w:vAlign w:val="center"/>
          </w:tcPr>
          <w:p>
            <w:pPr>
              <w:spacing w:line="576" w:lineRule="exact"/>
              <w:ind w:left="420" w:leftChars="200"/>
              <w:jc w:val="center"/>
              <w:rPr>
                <w:rFonts w:ascii="宋体" w:cs="宋体"/>
                <w:color w:val="000000"/>
                <w:sz w:val="24"/>
                <w:szCs w:val="24"/>
              </w:rPr>
            </w:pPr>
            <w:r>
              <w:rPr>
                <w:rFonts w:ascii="宋体" w:cs="宋体"/>
                <w:color w:val="000000"/>
                <w:sz w:val="24"/>
                <w:szCs w:val="24"/>
              </w:rPr>
              <w:t>0</w:t>
            </w:r>
          </w:p>
        </w:tc>
      </w:tr>
      <w:tr>
        <w:tblPrEx>
          <w:tblCellMar>
            <w:top w:w="0" w:type="dxa"/>
            <w:left w:w="0" w:type="dxa"/>
            <w:bottom w:w="0" w:type="dxa"/>
            <w:right w:w="0" w:type="dxa"/>
          </w:tblCellMar>
        </w:tblPrEx>
        <w:trPr>
          <w:trHeight w:val="276" w:hRule="atLeast"/>
        </w:trPr>
        <w:tc>
          <w:tcPr>
            <w:tcW w:w="801" w:type="dxa"/>
            <w:vMerge w:val="restart"/>
            <w:tcBorders>
              <w:top w:val="single" w:color="000000" w:sz="4" w:space="0"/>
              <w:left w:val="single" w:color="000000" w:sz="4" w:space="0"/>
              <w:bottom w:val="single" w:color="000000" w:sz="4" w:space="0"/>
              <w:right w:val="single" w:color="000000" w:sz="4" w:space="0"/>
            </w:tcBorders>
            <w:noWrap w:val="0"/>
            <w:tcMar>
              <w:top w:w="15" w:type="dxa"/>
              <w:left w:w="15" w:type="dxa"/>
              <w:bottom w:w="0" w:type="dxa"/>
              <w:right w:w="15" w:type="dxa"/>
            </w:tcMar>
            <w:vAlign w:val="center"/>
          </w:tcPr>
          <w:p>
            <w:pPr>
              <w:widowControl/>
              <w:spacing w:line="576" w:lineRule="exact"/>
              <w:jc w:val="center"/>
              <w:textAlignment w:val="center"/>
              <w:rPr>
                <w:rFonts w:ascii="宋体"/>
                <w:color w:val="000000"/>
                <w:kern w:val="0"/>
                <w:sz w:val="24"/>
                <w:szCs w:val="24"/>
              </w:rPr>
            </w:pPr>
            <w:r>
              <w:rPr>
                <w:rFonts w:hint="eastAsia" w:ascii="宋体" w:hAnsi="宋体" w:cs="宋体"/>
                <w:color w:val="000000"/>
                <w:kern w:val="0"/>
                <w:sz w:val="24"/>
                <w:szCs w:val="24"/>
              </w:rPr>
              <w:t>年</w:t>
            </w:r>
          </w:p>
          <w:p>
            <w:pPr>
              <w:widowControl/>
              <w:spacing w:line="576" w:lineRule="exact"/>
              <w:jc w:val="center"/>
              <w:textAlignment w:val="center"/>
              <w:rPr>
                <w:rFonts w:ascii="宋体"/>
                <w:color w:val="000000"/>
                <w:kern w:val="0"/>
                <w:sz w:val="24"/>
                <w:szCs w:val="24"/>
              </w:rPr>
            </w:pPr>
            <w:r>
              <w:rPr>
                <w:rFonts w:hint="eastAsia" w:ascii="宋体" w:hAnsi="宋体" w:cs="宋体"/>
                <w:color w:val="000000"/>
                <w:kern w:val="0"/>
                <w:sz w:val="24"/>
                <w:szCs w:val="24"/>
              </w:rPr>
              <w:t>度</w:t>
            </w:r>
          </w:p>
          <w:p>
            <w:pPr>
              <w:widowControl/>
              <w:spacing w:line="576" w:lineRule="exact"/>
              <w:jc w:val="center"/>
              <w:textAlignment w:val="center"/>
              <w:rPr>
                <w:rFonts w:ascii="宋体"/>
                <w:color w:val="000000"/>
                <w:kern w:val="0"/>
                <w:sz w:val="24"/>
                <w:szCs w:val="24"/>
              </w:rPr>
            </w:pPr>
            <w:r>
              <w:rPr>
                <w:rFonts w:hint="eastAsia" w:ascii="宋体" w:hAnsi="宋体" w:cs="宋体"/>
                <w:color w:val="000000"/>
                <w:kern w:val="0"/>
                <w:sz w:val="24"/>
                <w:szCs w:val="24"/>
              </w:rPr>
              <w:t>目</w:t>
            </w:r>
          </w:p>
          <w:p>
            <w:pPr>
              <w:widowControl/>
              <w:spacing w:line="576" w:lineRule="exact"/>
              <w:jc w:val="center"/>
              <w:textAlignment w:val="center"/>
              <w:rPr>
                <w:rFonts w:ascii="宋体"/>
                <w:color w:val="000000"/>
                <w:kern w:val="0"/>
                <w:sz w:val="24"/>
                <w:szCs w:val="24"/>
              </w:rPr>
            </w:pPr>
            <w:r>
              <w:rPr>
                <w:rFonts w:hint="eastAsia" w:ascii="宋体" w:hAnsi="宋体" w:cs="宋体"/>
                <w:color w:val="000000"/>
                <w:kern w:val="0"/>
                <w:sz w:val="24"/>
                <w:szCs w:val="24"/>
              </w:rPr>
              <w:t>标</w:t>
            </w:r>
          </w:p>
          <w:p>
            <w:pPr>
              <w:widowControl/>
              <w:spacing w:line="576" w:lineRule="exact"/>
              <w:jc w:val="center"/>
              <w:textAlignment w:val="center"/>
              <w:rPr>
                <w:rFonts w:ascii="宋体"/>
                <w:color w:val="000000"/>
                <w:kern w:val="0"/>
                <w:sz w:val="24"/>
                <w:szCs w:val="24"/>
              </w:rPr>
            </w:pPr>
            <w:r>
              <w:rPr>
                <w:rFonts w:hint="eastAsia" w:ascii="宋体" w:hAnsi="宋体" w:cs="宋体"/>
                <w:color w:val="000000"/>
                <w:kern w:val="0"/>
                <w:sz w:val="24"/>
                <w:szCs w:val="24"/>
              </w:rPr>
              <w:t>完</w:t>
            </w:r>
          </w:p>
          <w:p>
            <w:pPr>
              <w:widowControl/>
              <w:spacing w:line="576" w:lineRule="exact"/>
              <w:jc w:val="center"/>
              <w:textAlignment w:val="center"/>
              <w:rPr>
                <w:rFonts w:ascii="宋体"/>
                <w:color w:val="000000"/>
                <w:kern w:val="0"/>
                <w:sz w:val="24"/>
                <w:szCs w:val="24"/>
              </w:rPr>
            </w:pPr>
            <w:r>
              <w:rPr>
                <w:rFonts w:hint="eastAsia" w:ascii="宋体" w:hAnsi="宋体" w:cs="宋体"/>
                <w:color w:val="000000"/>
                <w:kern w:val="0"/>
                <w:sz w:val="24"/>
                <w:szCs w:val="24"/>
              </w:rPr>
              <w:t>成</w:t>
            </w:r>
          </w:p>
          <w:p>
            <w:pPr>
              <w:widowControl/>
              <w:spacing w:line="576" w:lineRule="exact"/>
              <w:jc w:val="center"/>
              <w:textAlignment w:val="center"/>
              <w:rPr>
                <w:rFonts w:ascii="宋体"/>
                <w:color w:val="000000"/>
                <w:kern w:val="0"/>
                <w:sz w:val="24"/>
                <w:szCs w:val="24"/>
              </w:rPr>
            </w:pPr>
            <w:r>
              <w:rPr>
                <w:rFonts w:hint="eastAsia" w:ascii="宋体" w:hAnsi="宋体" w:cs="宋体"/>
                <w:color w:val="000000"/>
                <w:kern w:val="0"/>
                <w:sz w:val="24"/>
                <w:szCs w:val="24"/>
              </w:rPr>
              <w:t>情</w:t>
            </w:r>
          </w:p>
          <w:p>
            <w:pPr>
              <w:widowControl/>
              <w:spacing w:line="576" w:lineRule="exact"/>
              <w:jc w:val="center"/>
              <w:textAlignment w:val="center"/>
              <w:rPr>
                <w:rFonts w:ascii="宋体"/>
                <w:color w:val="000000"/>
                <w:sz w:val="24"/>
                <w:szCs w:val="24"/>
              </w:rPr>
            </w:pPr>
            <w:r>
              <w:rPr>
                <w:rFonts w:hint="eastAsia" w:ascii="宋体" w:hAnsi="宋体" w:cs="宋体"/>
                <w:color w:val="000000"/>
                <w:kern w:val="0"/>
                <w:sz w:val="24"/>
                <w:szCs w:val="24"/>
              </w:rPr>
              <w:t>况</w:t>
            </w:r>
          </w:p>
        </w:tc>
        <w:tc>
          <w:tcPr>
            <w:tcW w:w="4373" w:type="dxa"/>
            <w:gridSpan w:val="3"/>
            <w:tcBorders>
              <w:top w:val="single" w:color="000000" w:sz="4" w:space="0"/>
              <w:left w:val="single" w:color="000000" w:sz="4" w:space="0"/>
              <w:bottom w:val="single" w:color="000000" w:sz="4" w:space="0"/>
              <w:right w:val="single" w:color="000000" w:sz="4" w:space="0"/>
            </w:tcBorders>
            <w:noWrap w:val="0"/>
            <w:tcMar>
              <w:top w:w="15" w:type="dxa"/>
              <w:left w:w="15" w:type="dxa"/>
              <w:bottom w:w="0" w:type="dxa"/>
              <w:right w:w="15" w:type="dxa"/>
            </w:tcMar>
            <w:vAlign w:val="center"/>
          </w:tcPr>
          <w:p>
            <w:pPr>
              <w:widowControl/>
              <w:spacing w:line="576" w:lineRule="exact"/>
              <w:ind w:left="420" w:leftChars="200"/>
              <w:jc w:val="center"/>
              <w:textAlignment w:val="center"/>
              <w:rPr>
                <w:rFonts w:ascii="宋体"/>
                <w:color w:val="000000"/>
                <w:sz w:val="24"/>
                <w:szCs w:val="24"/>
              </w:rPr>
            </w:pPr>
            <w:r>
              <w:rPr>
                <w:rFonts w:hint="eastAsia" w:ascii="宋体" w:cs="宋体"/>
                <w:color w:val="000000"/>
                <w:sz w:val="24"/>
                <w:szCs w:val="24"/>
                <w:lang w:val="en-US" w:eastAsia="zh-CN"/>
              </w:rPr>
              <w:t>预期目标</w:t>
            </w:r>
          </w:p>
        </w:tc>
        <w:tc>
          <w:tcPr>
            <w:tcW w:w="3929" w:type="dxa"/>
            <w:gridSpan w:val="2"/>
            <w:tcBorders>
              <w:top w:val="single" w:color="000000" w:sz="4" w:space="0"/>
              <w:left w:val="single" w:color="000000" w:sz="4" w:space="0"/>
              <w:bottom w:val="single" w:color="000000" w:sz="4" w:space="0"/>
              <w:right w:val="single" w:color="000000" w:sz="4" w:space="0"/>
            </w:tcBorders>
            <w:noWrap w:val="0"/>
            <w:tcMar>
              <w:top w:w="15" w:type="dxa"/>
              <w:left w:w="15" w:type="dxa"/>
              <w:bottom w:w="0" w:type="dxa"/>
              <w:right w:w="15" w:type="dxa"/>
            </w:tcMar>
            <w:vAlign w:val="center"/>
          </w:tcPr>
          <w:p>
            <w:pPr>
              <w:widowControl/>
              <w:spacing w:line="576" w:lineRule="exact"/>
              <w:ind w:left="420" w:leftChars="200"/>
              <w:jc w:val="center"/>
              <w:textAlignment w:val="center"/>
              <w:rPr>
                <w:rFonts w:ascii="宋体"/>
                <w:color w:val="000000"/>
                <w:sz w:val="24"/>
                <w:szCs w:val="24"/>
              </w:rPr>
            </w:pPr>
            <w:r>
              <w:rPr>
                <w:rFonts w:hint="eastAsia" w:ascii="宋体" w:hAnsi="宋体" w:cs="宋体"/>
                <w:color w:val="000000"/>
                <w:kern w:val="0"/>
                <w:sz w:val="24"/>
                <w:szCs w:val="24"/>
              </w:rPr>
              <w:t>实际完成目标</w:t>
            </w:r>
          </w:p>
        </w:tc>
      </w:tr>
      <w:tr>
        <w:tblPrEx>
          <w:tblCellMar>
            <w:top w:w="0" w:type="dxa"/>
            <w:left w:w="0" w:type="dxa"/>
            <w:bottom w:w="0" w:type="dxa"/>
            <w:right w:w="0" w:type="dxa"/>
          </w:tblCellMar>
        </w:tblPrEx>
        <w:trPr>
          <w:trHeight w:val="2701" w:hRule="atLeast"/>
        </w:trPr>
        <w:tc>
          <w:tcPr>
            <w:tcW w:w="801" w:type="dxa"/>
            <w:vMerge w:val="continue"/>
            <w:tcBorders>
              <w:top w:val="single" w:color="000000" w:sz="4" w:space="0"/>
              <w:left w:val="single" w:color="000000" w:sz="4" w:space="0"/>
              <w:bottom w:val="single" w:color="000000" w:sz="4" w:space="0"/>
              <w:right w:val="single" w:color="000000" w:sz="4" w:space="0"/>
            </w:tcBorders>
            <w:noWrap w:val="0"/>
            <w:vAlign w:val="center"/>
          </w:tcPr>
          <w:p>
            <w:pPr>
              <w:widowControl/>
              <w:spacing w:line="576" w:lineRule="exact"/>
              <w:ind w:left="420" w:leftChars="200"/>
              <w:jc w:val="center"/>
              <w:rPr>
                <w:rFonts w:ascii="宋体"/>
                <w:color w:val="000000"/>
                <w:sz w:val="24"/>
                <w:szCs w:val="24"/>
              </w:rPr>
            </w:pPr>
          </w:p>
        </w:tc>
        <w:tc>
          <w:tcPr>
            <w:tcW w:w="4373" w:type="dxa"/>
            <w:gridSpan w:val="3"/>
            <w:tcBorders>
              <w:top w:val="single" w:color="000000" w:sz="4" w:space="0"/>
              <w:left w:val="single" w:color="000000" w:sz="4" w:space="0"/>
              <w:bottom w:val="single" w:color="000000" w:sz="4" w:space="0"/>
              <w:right w:val="single" w:color="000000" w:sz="4" w:space="0"/>
            </w:tcBorders>
            <w:noWrap w:val="0"/>
            <w:tcMar>
              <w:top w:w="15" w:type="dxa"/>
              <w:left w:w="15" w:type="dxa"/>
              <w:bottom w:w="0" w:type="dxa"/>
              <w:right w:w="15" w:type="dxa"/>
            </w:tcMar>
            <w:vAlign w:val="center"/>
          </w:tcPr>
          <w:p>
            <w:pPr>
              <w:widowControl/>
              <w:spacing w:line="576" w:lineRule="exact"/>
              <w:ind w:left="420" w:leftChars="200"/>
              <w:jc w:val="center"/>
              <w:textAlignment w:val="center"/>
              <w:rPr>
                <w:rFonts w:ascii="宋体"/>
                <w:color w:val="000000"/>
                <w:sz w:val="24"/>
                <w:szCs w:val="24"/>
              </w:rPr>
            </w:pPr>
            <w:r>
              <w:rPr>
                <w:rFonts w:hint="eastAsia" w:ascii="宋体" w:cs="宋体"/>
                <w:color w:val="000000"/>
                <w:sz w:val="24"/>
                <w:szCs w:val="24"/>
                <w:lang w:val="en-US" w:eastAsia="zh-CN"/>
              </w:rPr>
              <w:t>减轻农民的负担</w:t>
            </w:r>
          </w:p>
        </w:tc>
        <w:tc>
          <w:tcPr>
            <w:tcW w:w="3929" w:type="dxa"/>
            <w:gridSpan w:val="2"/>
            <w:tcBorders>
              <w:top w:val="single" w:color="000000" w:sz="4" w:space="0"/>
              <w:left w:val="single" w:color="000000" w:sz="4" w:space="0"/>
              <w:bottom w:val="single" w:color="000000" w:sz="4" w:space="0"/>
              <w:right w:val="single" w:color="000000" w:sz="4" w:space="0"/>
            </w:tcBorders>
            <w:noWrap w:val="0"/>
            <w:tcMar>
              <w:top w:w="15" w:type="dxa"/>
              <w:left w:w="15" w:type="dxa"/>
              <w:bottom w:w="0" w:type="dxa"/>
              <w:right w:w="15" w:type="dxa"/>
            </w:tcMar>
            <w:vAlign w:val="center"/>
          </w:tcPr>
          <w:p>
            <w:pPr>
              <w:widowControl/>
              <w:spacing w:line="576" w:lineRule="exact"/>
              <w:ind w:left="420" w:leftChars="200"/>
              <w:jc w:val="center"/>
              <w:textAlignment w:val="center"/>
              <w:rPr>
                <w:rFonts w:hint="eastAsia" w:ascii="宋体" w:cs="宋体"/>
                <w:color w:val="000000"/>
                <w:sz w:val="24"/>
                <w:szCs w:val="24"/>
                <w:lang w:val="en-US" w:eastAsia="zh-CN"/>
              </w:rPr>
            </w:pPr>
            <w:r>
              <w:rPr>
                <w:rFonts w:hint="eastAsia" w:ascii="宋体" w:cs="宋体"/>
                <w:color w:val="000000"/>
                <w:sz w:val="24"/>
                <w:szCs w:val="24"/>
                <w:lang w:val="en-US" w:eastAsia="zh-CN"/>
              </w:rPr>
              <w:t>通过对项目的实施，减轻了农民的负担</w:t>
            </w:r>
          </w:p>
          <w:p>
            <w:pPr>
              <w:widowControl/>
              <w:spacing w:line="576" w:lineRule="exact"/>
              <w:ind w:left="420" w:leftChars="200"/>
              <w:jc w:val="center"/>
              <w:textAlignment w:val="center"/>
              <w:rPr>
                <w:rFonts w:ascii="宋体"/>
                <w:color w:val="000000"/>
                <w:sz w:val="24"/>
                <w:szCs w:val="24"/>
              </w:rPr>
            </w:pPr>
          </w:p>
        </w:tc>
      </w:tr>
      <w:tr>
        <w:tblPrEx>
          <w:tblCellMar>
            <w:top w:w="0" w:type="dxa"/>
            <w:left w:w="0" w:type="dxa"/>
            <w:bottom w:w="0" w:type="dxa"/>
            <w:right w:w="0" w:type="dxa"/>
          </w:tblCellMar>
        </w:tblPrEx>
        <w:trPr>
          <w:trHeight w:val="1311" w:hRule="atLeast"/>
        </w:trPr>
        <w:tc>
          <w:tcPr>
            <w:tcW w:w="801" w:type="dxa"/>
            <w:vMerge w:val="restart"/>
            <w:tcBorders>
              <w:top w:val="single" w:color="000000" w:sz="4" w:space="0"/>
              <w:left w:val="single" w:color="000000" w:sz="4" w:space="0"/>
              <w:bottom w:val="single" w:color="000000" w:sz="4" w:space="0"/>
              <w:right w:val="single" w:color="000000" w:sz="4" w:space="0"/>
            </w:tcBorders>
            <w:noWrap w:val="0"/>
            <w:tcMar>
              <w:top w:w="15" w:type="dxa"/>
              <w:left w:w="15" w:type="dxa"/>
              <w:bottom w:w="0" w:type="dxa"/>
              <w:right w:w="15" w:type="dxa"/>
            </w:tcMar>
            <w:vAlign w:val="center"/>
          </w:tcPr>
          <w:p>
            <w:pPr>
              <w:widowControl/>
              <w:spacing w:line="576" w:lineRule="exact"/>
              <w:jc w:val="center"/>
              <w:textAlignment w:val="center"/>
              <w:rPr>
                <w:rFonts w:ascii="宋体"/>
                <w:color w:val="000000"/>
                <w:sz w:val="24"/>
                <w:szCs w:val="24"/>
              </w:rPr>
            </w:pPr>
            <w:r>
              <w:rPr>
                <w:rFonts w:hint="eastAsia" w:ascii="宋体" w:hAnsi="宋体" w:cs="宋体"/>
                <w:color w:val="000000"/>
                <w:sz w:val="24"/>
                <w:szCs w:val="24"/>
              </w:rPr>
              <w:t>绩</w:t>
            </w:r>
          </w:p>
          <w:p>
            <w:pPr>
              <w:widowControl/>
              <w:spacing w:line="576" w:lineRule="exact"/>
              <w:jc w:val="center"/>
              <w:textAlignment w:val="center"/>
              <w:rPr>
                <w:rFonts w:ascii="宋体"/>
                <w:color w:val="000000"/>
                <w:sz w:val="24"/>
                <w:szCs w:val="24"/>
              </w:rPr>
            </w:pPr>
            <w:r>
              <w:rPr>
                <w:rFonts w:hint="eastAsia" w:ascii="宋体" w:hAnsi="宋体" w:cs="宋体"/>
                <w:color w:val="000000"/>
                <w:sz w:val="24"/>
                <w:szCs w:val="24"/>
              </w:rPr>
              <w:t>效</w:t>
            </w:r>
          </w:p>
          <w:p>
            <w:pPr>
              <w:widowControl/>
              <w:spacing w:line="576" w:lineRule="exact"/>
              <w:jc w:val="center"/>
              <w:textAlignment w:val="center"/>
              <w:rPr>
                <w:rFonts w:ascii="宋体"/>
                <w:color w:val="000000"/>
                <w:sz w:val="24"/>
                <w:szCs w:val="24"/>
              </w:rPr>
            </w:pPr>
            <w:r>
              <w:rPr>
                <w:rFonts w:hint="eastAsia" w:ascii="宋体" w:hAnsi="宋体" w:cs="宋体"/>
                <w:color w:val="000000"/>
                <w:sz w:val="24"/>
                <w:szCs w:val="24"/>
              </w:rPr>
              <w:t>指</w:t>
            </w:r>
          </w:p>
          <w:p>
            <w:pPr>
              <w:widowControl/>
              <w:spacing w:line="576" w:lineRule="exact"/>
              <w:jc w:val="center"/>
              <w:textAlignment w:val="center"/>
              <w:rPr>
                <w:rFonts w:ascii="宋体"/>
                <w:color w:val="000000"/>
                <w:sz w:val="24"/>
                <w:szCs w:val="24"/>
              </w:rPr>
            </w:pPr>
            <w:r>
              <w:rPr>
                <w:rFonts w:hint="eastAsia" w:ascii="宋体" w:hAnsi="宋体" w:cs="宋体"/>
                <w:color w:val="000000"/>
                <w:sz w:val="24"/>
                <w:szCs w:val="24"/>
              </w:rPr>
              <w:t>标</w:t>
            </w:r>
          </w:p>
          <w:p>
            <w:pPr>
              <w:widowControl/>
              <w:spacing w:line="576" w:lineRule="exact"/>
              <w:jc w:val="center"/>
              <w:textAlignment w:val="center"/>
              <w:rPr>
                <w:rFonts w:ascii="宋体"/>
                <w:color w:val="000000"/>
                <w:sz w:val="24"/>
                <w:szCs w:val="24"/>
              </w:rPr>
            </w:pPr>
            <w:r>
              <w:rPr>
                <w:rFonts w:hint="eastAsia" w:ascii="宋体" w:hAnsi="宋体" w:cs="宋体"/>
                <w:color w:val="000000"/>
                <w:sz w:val="24"/>
                <w:szCs w:val="24"/>
              </w:rPr>
              <w:t>完</w:t>
            </w:r>
          </w:p>
          <w:p>
            <w:pPr>
              <w:widowControl/>
              <w:spacing w:line="576" w:lineRule="exact"/>
              <w:jc w:val="center"/>
              <w:textAlignment w:val="center"/>
              <w:rPr>
                <w:rFonts w:ascii="宋体"/>
                <w:color w:val="000000"/>
                <w:sz w:val="24"/>
                <w:szCs w:val="24"/>
              </w:rPr>
            </w:pPr>
            <w:r>
              <w:rPr>
                <w:rFonts w:hint="eastAsia" w:ascii="宋体" w:hAnsi="宋体" w:cs="宋体"/>
                <w:color w:val="000000"/>
                <w:sz w:val="24"/>
                <w:szCs w:val="24"/>
              </w:rPr>
              <w:t>成</w:t>
            </w:r>
          </w:p>
          <w:p>
            <w:pPr>
              <w:widowControl/>
              <w:spacing w:line="576" w:lineRule="exact"/>
              <w:jc w:val="center"/>
              <w:textAlignment w:val="center"/>
              <w:rPr>
                <w:rFonts w:ascii="宋体"/>
                <w:color w:val="000000"/>
                <w:sz w:val="24"/>
                <w:szCs w:val="24"/>
              </w:rPr>
            </w:pPr>
            <w:r>
              <w:rPr>
                <w:rFonts w:hint="eastAsia" w:ascii="宋体" w:hAnsi="宋体" w:cs="宋体"/>
                <w:color w:val="000000"/>
                <w:sz w:val="24"/>
                <w:szCs w:val="24"/>
              </w:rPr>
              <w:t>情</w:t>
            </w:r>
          </w:p>
          <w:p>
            <w:pPr>
              <w:widowControl/>
              <w:spacing w:line="576" w:lineRule="exact"/>
              <w:jc w:val="center"/>
              <w:textAlignment w:val="center"/>
              <w:rPr>
                <w:rFonts w:ascii="宋体"/>
                <w:color w:val="000000"/>
                <w:sz w:val="24"/>
                <w:szCs w:val="24"/>
              </w:rPr>
            </w:pPr>
            <w:r>
              <w:rPr>
                <w:rFonts w:hint="eastAsia" w:ascii="宋体" w:hAnsi="宋体" w:cs="宋体"/>
                <w:color w:val="000000"/>
                <w:sz w:val="24"/>
                <w:szCs w:val="24"/>
              </w:rPr>
              <w:t>况</w:t>
            </w:r>
          </w:p>
        </w:tc>
        <w:tc>
          <w:tcPr>
            <w:tcW w:w="1384" w:type="dxa"/>
            <w:tcBorders>
              <w:top w:val="single" w:color="000000" w:sz="4" w:space="0"/>
              <w:left w:val="single" w:color="000000" w:sz="4" w:space="0"/>
              <w:bottom w:val="single" w:color="000000" w:sz="4" w:space="0"/>
              <w:right w:val="single" w:color="000000" w:sz="4" w:space="0"/>
            </w:tcBorders>
            <w:noWrap w:val="0"/>
            <w:tcMar>
              <w:top w:w="15" w:type="dxa"/>
              <w:left w:w="15" w:type="dxa"/>
              <w:bottom w:w="0" w:type="dxa"/>
              <w:right w:w="15" w:type="dxa"/>
            </w:tcMar>
            <w:vAlign w:val="center"/>
          </w:tcPr>
          <w:p>
            <w:pPr>
              <w:widowControl/>
              <w:spacing w:line="576" w:lineRule="exact"/>
              <w:jc w:val="center"/>
              <w:textAlignment w:val="center"/>
              <w:rPr>
                <w:rFonts w:ascii="宋体"/>
                <w:color w:val="000000"/>
                <w:sz w:val="24"/>
                <w:szCs w:val="24"/>
              </w:rPr>
            </w:pPr>
            <w:r>
              <w:rPr>
                <w:rFonts w:hint="eastAsia" w:ascii="宋体" w:hAnsi="宋体" w:cs="宋体"/>
                <w:color w:val="000000"/>
                <w:kern w:val="0"/>
                <w:sz w:val="24"/>
                <w:szCs w:val="24"/>
              </w:rPr>
              <w:t>一级指标</w:t>
            </w:r>
          </w:p>
        </w:tc>
        <w:tc>
          <w:tcPr>
            <w:tcW w:w="1065" w:type="dxa"/>
            <w:tcBorders>
              <w:top w:val="single" w:color="000000" w:sz="4" w:space="0"/>
              <w:left w:val="single" w:color="000000" w:sz="4" w:space="0"/>
              <w:bottom w:val="single" w:color="000000" w:sz="4" w:space="0"/>
              <w:right w:val="single" w:color="000000" w:sz="4" w:space="0"/>
            </w:tcBorders>
            <w:noWrap w:val="0"/>
            <w:tcMar>
              <w:top w:w="15" w:type="dxa"/>
              <w:left w:w="15" w:type="dxa"/>
              <w:bottom w:w="0" w:type="dxa"/>
              <w:right w:w="15" w:type="dxa"/>
            </w:tcMar>
            <w:vAlign w:val="center"/>
          </w:tcPr>
          <w:p>
            <w:pPr>
              <w:widowControl/>
              <w:spacing w:line="576" w:lineRule="exact"/>
              <w:jc w:val="center"/>
              <w:textAlignment w:val="center"/>
              <w:rPr>
                <w:rFonts w:ascii="宋体"/>
                <w:color w:val="000000"/>
                <w:sz w:val="24"/>
                <w:szCs w:val="24"/>
              </w:rPr>
            </w:pPr>
            <w:r>
              <w:rPr>
                <w:rFonts w:hint="eastAsia" w:ascii="宋体" w:hAnsi="宋体" w:cs="宋体"/>
                <w:color w:val="000000"/>
                <w:kern w:val="0"/>
                <w:sz w:val="24"/>
                <w:szCs w:val="24"/>
              </w:rPr>
              <w:t>二级指标</w:t>
            </w:r>
          </w:p>
        </w:tc>
        <w:tc>
          <w:tcPr>
            <w:tcW w:w="1924" w:type="dxa"/>
            <w:tcBorders>
              <w:top w:val="single" w:color="000000" w:sz="4" w:space="0"/>
              <w:left w:val="single" w:color="000000" w:sz="4" w:space="0"/>
              <w:bottom w:val="single" w:color="000000" w:sz="4" w:space="0"/>
              <w:right w:val="single" w:color="000000" w:sz="4" w:space="0"/>
            </w:tcBorders>
            <w:noWrap w:val="0"/>
            <w:tcMar>
              <w:top w:w="15" w:type="dxa"/>
              <w:left w:w="15" w:type="dxa"/>
              <w:bottom w:w="0" w:type="dxa"/>
              <w:right w:w="15" w:type="dxa"/>
            </w:tcMar>
            <w:vAlign w:val="center"/>
          </w:tcPr>
          <w:p>
            <w:pPr>
              <w:widowControl/>
              <w:spacing w:line="576" w:lineRule="exact"/>
              <w:ind w:left="420" w:leftChars="200"/>
              <w:jc w:val="center"/>
              <w:textAlignment w:val="center"/>
              <w:rPr>
                <w:rFonts w:ascii="宋体"/>
                <w:color w:val="000000"/>
                <w:sz w:val="24"/>
                <w:szCs w:val="24"/>
              </w:rPr>
            </w:pPr>
            <w:r>
              <w:rPr>
                <w:rFonts w:hint="eastAsia" w:ascii="宋体" w:hAnsi="宋体" w:cs="宋体"/>
                <w:color w:val="000000"/>
                <w:kern w:val="0"/>
                <w:sz w:val="24"/>
                <w:szCs w:val="24"/>
              </w:rPr>
              <w:t>三级指标</w:t>
            </w:r>
          </w:p>
        </w:tc>
        <w:tc>
          <w:tcPr>
            <w:tcW w:w="2043" w:type="dxa"/>
            <w:tcBorders>
              <w:top w:val="single" w:color="000000" w:sz="4" w:space="0"/>
              <w:left w:val="single" w:color="000000" w:sz="4" w:space="0"/>
              <w:bottom w:val="single" w:color="000000" w:sz="4" w:space="0"/>
              <w:right w:val="single" w:color="000000" w:sz="4" w:space="0"/>
            </w:tcBorders>
            <w:noWrap w:val="0"/>
            <w:tcMar>
              <w:top w:w="15" w:type="dxa"/>
              <w:left w:w="15" w:type="dxa"/>
              <w:bottom w:w="0" w:type="dxa"/>
              <w:right w:w="15" w:type="dxa"/>
            </w:tcMar>
            <w:vAlign w:val="center"/>
          </w:tcPr>
          <w:p>
            <w:pPr>
              <w:widowControl/>
              <w:spacing w:line="576" w:lineRule="exact"/>
              <w:jc w:val="center"/>
              <w:textAlignment w:val="center"/>
              <w:rPr>
                <w:rFonts w:ascii="宋体"/>
                <w:color w:val="000000"/>
                <w:sz w:val="24"/>
                <w:szCs w:val="24"/>
              </w:rPr>
            </w:pPr>
            <w:r>
              <w:rPr>
                <w:rFonts w:hint="eastAsia" w:ascii="宋体" w:hAnsi="宋体" w:cs="宋体"/>
                <w:color w:val="000000"/>
                <w:kern w:val="0"/>
                <w:sz w:val="24"/>
                <w:szCs w:val="24"/>
              </w:rPr>
              <w:t>预期指标值</w:t>
            </w:r>
            <w:r>
              <w:rPr>
                <w:rFonts w:ascii="宋体" w:hAnsi="宋体" w:cs="宋体"/>
                <w:color w:val="000000"/>
                <w:kern w:val="0"/>
                <w:sz w:val="24"/>
                <w:szCs w:val="24"/>
              </w:rPr>
              <w:t>(</w:t>
            </w:r>
            <w:r>
              <w:rPr>
                <w:rFonts w:hint="eastAsia" w:ascii="宋体" w:hAnsi="宋体" w:cs="宋体"/>
                <w:color w:val="000000"/>
                <w:kern w:val="0"/>
                <w:sz w:val="24"/>
                <w:szCs w:val="24"/>
              </w:rPr>
              <w:t>包含数字及文字描述</w:t>
            </w:r>
            <w:r>
              <w:rPr>
                <w:rFonts w:ascii="宋体" w:hAnsi="宋体" w:cs="宋体"/>
                <w:color w:val="000000"/>
                <w:kern w:val="0"/>
                <w:sz w:val="24"/>
                <w:szCs w:val="24"/>
              </w:rPr>
              <w:t>)</w:t>
            </w:r>
          </w:p>
        </w:tc>
        <w:tc>
          <w:tcPr>
            <w:tcW w:w="1886" w:type="dxa"/>
            <w:tcBorders>
              <w:top w:val="single" w:color="000000" w:sz="4" w:space="0"/>
              <w:left w:val="single" w:color="000000" w:sz="4" w:space="0"/>
              <w:bottom w:val="single" w:color="000000" w:sz="4" w:space="0"/>
              <w:right w:val="single" w:color="000000" w:sz="4" w:space="0"/>
            </w:tcBorders>
            <w:noWrap w:val="0"/>
            <w:tcMar>
              <w:top w:w="15" w:type="dxa"/>
              <w:left w:w="15" w:type="dxa"/>
              <w:bottom w:w="0" w:type="dxa"/>
              <w:right w:w="15" w:type="dxa"/>
            </w:tcMar>
            <w:vAlign w:val="center"/>
          </w:tcPr>
          <w:p>
            <w:pPr>
              <w:widowControl/>
              <w:spacing w:line="576" w:lineRule="exact"/>
              <w:jc w:val="center"/>
              <w:textAlignment w:val="center"/>
              <w:rPr>
                <w:rFonts w:ascii="宋体"/>
                <w:color w:val="000000"/>
                <w:sz w:val="24"/>
                <w:szCs w:val="24"/>
              </w:rPr>
            </w:pPr>
            <w:r>
              <w:rPr>
                <w:rFonts w:hint="eastAsia" w:ascii="宋体" w:hAnsi="宋体" w:cs="宋体"/>
                <w:color w:val="000000"/>
                <w:kern w:val="0"/>
                <w:sz w:val="24"/>
                <w:szCs w:val="24"/>
              </w:rPr>
              <w:t>实际完成指标值</w:t>
            </w:r>
            <w:r>
              <w:rPr>
                <w:rFonts w:ascii="宋体" w:hAnsi="宋体" w:cs="宋体"/>
                <w:color w:val="000000"/>
                <w:kern w:val="0"/>
                <w:sz w:val="24"/>
                <w:szCs w:val="24"/>
              </w:rPr>
              <w:t>(</w:t>
            </w:r>
            <w:r>
              <w:rPr>
                <w:rFonts w:hint="eastAsia" w:ascii="宋体" w:hAnsi="宋体" w:cs="宋体"/>
                <w:color w:val="000000"/>
                <w:kern w:val="0"/>
                <w:sz w:val="24"/>
                <w:szCs w:val="24"/>
              </w:rPr>
              <w:t>包含数字及文字描述</w:t>
            </w:r>
            <w:r>
              <w:rPr>
                <w:rFonts w:ascii="宋体" w:hAnsi="宋体" w:cs="宋体"/>
                <w:color w:val="000000"/>
                <w:kern w:val="0"/>
                <w:sz w:val="24"/>
                <w:szCs w:val="24"/>
              </w:rPr>
              <w:t>)</w:t>
            </w:r>
          </w:p>
        </w:tc>
      </w:tr>
      <w:tr>
        <w:tblPrEx>
          <w:tblCellMar>
            <w:top w:w="0" w:type="dxa"/>
            <w:left w:w="0" w:type="dxa"/>
            <w:bottom w:w="0" w:type="dxa"/>
            <w:right w:w="0" w:type="dxa"/>
          </w:tblCellMar>
        </w:tblPrEx>
        <w:trPr>
          <w:trHeight w:val="813" w:hRule="atLeast"/>
        </w:trPr>
        <w:tc>
          <w:tcPr>
            <w:tcW w:w="801" w:type="dxa"/>
            <w:vMerge w:val="continue"/>
            <w:tcBorders>
              <w:top w:val="single" w:color="000000" w:sz="4" w:space="0"/>
              <w:left w:val="single" w:color="000000" w:sz="4" w:space="0"/>
              <w:bottom w:val="single" w:color="000000" w:sz="4" w:space="0"/>
              <w:right w:val="single" w:color="000000" w:sz="4" w:space="0"/>
            </w:tcBorders>
            <w:noWrap w:val="0"/>
            <w:vAlign w:val="center"/>
          </w:tcPr>
          <w:p>
            <w:pPr>
              <w:widowControl/>
              <w:spacing w:line="576" w:lineRule="exact"/>
              <w:ind w:left="420" w:leftChars="200"/>
              <w:jc w:val="center"/>
              <w:rPr>
                <w:rFonts w:ascii="宋体"/>
                <w:color w:val="000000"/>
                <w:sz w:val="24"/>
                <w:szCs w:val="24"/>
              </w:rPr>
            </w:pPr>
          </w:p>
        </w:tc>
        <w:tc>
          <w:tcPr>
            <w:tcW w:w="1384" w:type="dxa"/>
            <w:tcBorders>
              <w:top w:val="single" w:color="000000" w:sz="4" w:space="0"/>
              <w:left w:val="single" w:color="000000" w:sz="4" w:space="0"/>
              <w:bottom w:val="single" w:color="000000" w:sz="4" w:space="0"/>
              <w:right w:val="single" w:color="000000" w:sz="4" w:space="0"/>
            </w:tcBorders>
            <w:noWrap w:val="0"/>
            <w:tcMar>
              <w:top w:w="15" w:type="dxa"/>
              <w:left w:w="15" w:type="dxa"/>
              <w:bottom w:w="0" w:type="dxa"/>
              <w:right w:w="15" w:type="dxa"/>
            </w:tcMar>
            <w:vAlign w:val="center"/>
          </w:tcPr>
          <w:p>
            <w:pPr>
              <w:widowControl/>
              <w:spacing w:line="576" w:lineRule="exact"/>
              <w:jc w:val="center"/>
              <w:textAlignment w:val="center"/>
              <w:rPr>
                <w:rFonts w:ascii="宋体"/>
                <w:color w:val="000000"/>
                <w:kern w:val="0"/>
                <w:sz w:val="24"/>
                <w:szCs w:val="24"/>
              </w:rPr>
            </w:pPr>
            <w:r>
              <w:rPr>
                <w:rFonts w:hint="eastAsia" w:ascii="宋体" w:hAnsi="宋体" w:cs="宋体"/>
                <w:color w:val="000000"/>
                <w:kern w:val="0"/>
                <w:sz w:val="24"/>
                <w:szCs w:val="24"/>
              </w:rPr>
              <w:t>项目</w:t>
            </w:r>
          </w:p>
          <w:p>
            <w:pPr>
              <w:widowControl/>
              <w:spacing w:line="576" w:lineRule="exact"/>
              <w:jc w:val="center"/>
              <w:textAlignment w:val="center"/>
              <w:rPr>
                <w:rFonts w:ascii="宋体"/>
                <w:color w:val="000000"/>
                <w:kern w:val="0"/>
                <w:sz w:val="24"/>
                <w:szCs w:val="24"/>
              </w:rPr>
            </w:pPr>
            <w:r>
              <w:rPr>
                <w:rFonts w:hint="eastAsia" w:ascii="宋体" w:hAnsi="宋体" w:cs="宋体"/>
                <w:color w:val="000000"/>
                <w:kern w:val="0"/>
                <w:sz w:val="24"/>
                <w:szCs w:val="24"/>
              </w:rPr>
              <w:t>完成</w:t>
            </w:r>
          </w:p>
          <w:p>
            <w:pPr>
              <w:widowControl/>
              <w:spacing w:line="576" w:lineRule="exact"/>
              <w:jc w:val="center"/>
              <w:textAlignment w:val="center"/>
              <w:rPr>
                <w:rFonts w:ascii="宋体"/>
                <w:color w:val="000000"/>
                <w:sz w:val="24"/>
                <w:szCs w:val="24"/>
              </w:rPr>
            </w:pPr>
            <w:r>
              <w:rPr>
                <w:rFonts w:hint="eastAsia" w:ascii="宋体" w:hAnsi="宋体" w:cs="宋体"/>
                <w:color w:val="000000"/>
                <w:kern w:val="0"/>
                <w:sz w:val="24"/>
                <w:szCs w:val="24"/>
              </w:rPr>
              <w:t>指标</w:t>
            </w:r>
          </w:p>
        </w:tc>
        <w:tc>
          <w:tcPr>
            <w:tcW w:w="1065" w:type="dxa"/>
            <w:tcBorders>
              <w:top w:val="single" w:color="000000" w:sz="4" w:space="0"/>
              <w:left w:val="single" w:color="000000" w:sz="4" w:space="0"/>
              <w:bottom w:val="single" w:color="000000" w:sz="4" w:space="0"/>
              <w:right w:val="single" w:color="000000" w:sz="4" w:space="0"/>
            </w:tcBorders>
            <w:noWrap w:val="0"/>
            <w:tcMar>
              <w:top w:w="15" w:type="dxa"/>
              <w:left w:w="15" w:type="dxa"/>
              <w:bottom w:w="0" w:type="dxa"/>
              <w:right w:w="15" w:type="dxa"/>
            </w:tcMar>
            <w:vAlign w:val="center"/>
          </w:tcPr>
          <w:p>
            <w:pPr>
              <w:widowControl/>
              <w:spacing w:line="576" w:lineRule="exact"/>
              <w:jc w:val="center"/>
              <w:textAlignment w:val="center"/>
              <w:rPr>
                <w:rFonts w:ascii="宋体"/>
                <w:color w:val="000000"/>
                <w:sz w:val="24"/>
                <w:szCs w:val="24"/>
              </w:rPr>
            </w:pPr>
            <w:r>
              <w:rPr>
                <w:rFonts w:hint="eastAsia" w:ascii="宋体" w:cs="宋体"/>
                <w:color w:val="000000"/>
                <w:sz w:val="24"/>
                <w:szCs w:val="24"/>
              </w:rPr>
              <w:t>质量指标</w:t>
            </w:r>
          </w:p>
        </w:tc>
        <w:tc>
          <w:tcPr>
            <w:tcW w:w="1924" w:type="dxa"/>
            <w:tcBorders>
              <w:top w:val="single" w:color="000000" w:sz="4" w:space="0"/>
              <w:left w:val="single" w:color="000000" w:sz="4" w:space="0"/>
              <w:bottom w:val="single" w:color="000000" w:sz="4" w:space="0"/>
              <w:right w:val="single" w:color="000000" w:sz="4" w:space="0"/>
            </w:tcBorders>
            <w:noWrap w:val="0"/>
            <w:tcMar>
              <w:top w:w="15" w:type="dxa"/>
              <w:left w:w="15" w:type="dxa"/>
              <w:bottom w:w="0" w:type="dxa"/>
              <w:right w:w="15" w:type="dxa"/>
            </w:tcMar>
            <w:vAlign w:val="center"/>
          </w:tcPr>
          <w:p>
            <w:pPr>
              <w:widowControl/>
              <w:spacing w:line="576" w:lineRule="exact"/>
              <w:jc w:val="center"/>
              <w:rPr>
                <w:rFonts w:ascii="宋体"/>
                <w:color w:val="000000"/>
                <w:sz w:val="24"/>
                <w:szCs w:val="24"/>
              </w:rPr>
            </w:pPr>
            <w:r>
              <w:rPr>
                <w:rFonts w:hint="eastAsia" w:ascii="宋体" w:cs="宋体"/>
                <w:color w:val="000000"/>
                <w:sz w:val="24"/>
                <w:szCs w:val="24"/>
              </w:rPr>
              <w:t>发放次数</w:t>
            </w:r>
          </w:p>
        </w:tc>
        <w:tc>
          <w:tcPr>
            <w:tcW w:w="2043" w:type="dxa"/>
            <w:tcBorders>
              <w:top w:val="single" w:color="000000" w:sz="4" w:space="0"/>
              <w:left w:val="single" w:color="000000" w:sz="4" w:space="0"/>
              <w:bottom w:val="single" w:color="000000" w:sz="4" w:space="0"/>
              <w:right w:val="single" w:color="000000" w:sz="4" w:space="0"/>
            </w:tcBorders>
            <w:noWrap w:val="0"/>
            <w:tcMar>
              <w:top w:w="15" w:type="dxa"/>
              <w:left w:w="15" w:type="dxa"/>
              <w:bottom w:w="0" w:type="dxa"/>
              <w:right w:w="15" w:type="dxa"/>
            </w:tcMar>
            <w:vAlign w:val="center"/>
          </w:tcPr>
          <w:p>
            <w:pPr>
              <w:widowControl/>
              <w:spacing w:line="576" w:lineRule="exact"/>
              <w:ind w:left="420" w:leftChars="200" w:firstLine="480" w:firstLineChars="200"/>
              <w:jc w:val="both"/>
              <w:textAlignment w:val="center"/>
              <w:rPr>
                <w:rFonts w:ascii="宋体"/>
                <w:color w:val="000000"/>
                <w:sz w:val="24"/>
                <w:szCs w:val="24"/>
              </w:rPr>
            </w:pPr>
            <w:r>
              <w:rPr>
                <w:rFonts w:ascii="宋体" w:cs="宋体"/>
                <w:color w:val="000000"/>
                <w:sz w:val="24"/>
                <w:szCs w:val="24"/>
              </w:rPr>
              <w:t>&gt;2</w:t>
            </w:r>
            <w:r>
              <w:rPr>
                <w:rFonts w:hint="eastAsia" w:ascii="宋体" w:cs="宋体"/>
                <w:color w:val="000000"/>
                <w:sz w:val="24"/>
                <w:szCs w:val="24"/>
              </w:rPr>
              <w:t>次</w:t>
            </w:r>
          </w:p>
        </w:tc>
        <w:tc>
          <w:tcPr>
            <w:tcW w:w="1886" w:type="dxa"/>
            <w:tcBorders>
              <w:top w:val="single" w:color="000000" w:sz="4" w:space="0"/>
              <w:left w:val="single" w:color="000000" w:sz="4" w:space="0"/>
              <w:bottom w:val="single" w:color="000000" w:sz="4" w:space="0"/>
              <w:right w:val="single" w:color="000000" w:sz="4" w:space="0"/>
            </w:tcBorders>
            <w:noWrap w:val="0"/>
            <w:tcMar>
              <w:top w:w="15" w:type="dxa"/>
              <w:left w:w="15" w:type="dxa"/>
              <w:bottom w:w="0" w:type="dxa"/>
              <w:right w:w="15" w:type="dxa"/>
            </w:tcMar>
            <w:vAlign w:val="center"/>
          </w:tcPr>
          <w:p>
            <w:pPr>
              <w:widowControl/>
              <w:spacing w:line="576" w:lineRule="exact"/>
              <w:ind w:left="420" w:leftChars="200"/>
              <w:jc w:val="center"/>
              <w:textAlignment w:val="center"/>
              <w:rPr>
                <w:rFonts w:ascii="宋体"/>
                <w:color w:val="000000"/>
                <w:sz w:val="24"/>
                <w:szCs w:val="24"/>
              </w:rPr>
            </w:pPr>
            <w:r>
              <w:rPr>
                <w:rFonts w:hint="eastAsia" w:ascii="宋体" w:cs="宋体"/>
                <w:color w:val="000000"/>
                <w:sz w:val="24"/>
                <w:szCs w:val="24"/>
              </w:rPr>
              <w:t>一次性发放</w:t>
            </w:r>
          </w:p>
        </w:tc>
      </w:tr>
      <w:tr>
        <w:tblPrEx>
          <w:tblCellMar>
            <w:top w:w="0" w:type="dxa"/>
            <w:left w:w="0" w:type="dxa"/>
            <w:bottom w:w="0" w:type="dxa"/>
            <w:right w:w="0" w:type="dxa"/>
          </w:tblCellMar>
        </w:tblPrEx>
        <w:trPr>
          <w:trHeight w:val="880" w:hRule="atLeast"/>
        </w:trPr>
        <w:tc>
          <w:tcPr>
            <w:tcW w:w="801" w:type="dxa"/>
            <w:vMerge w:val="continue"/>
            <w:tcBorders>
              <w:top w:val="single" w:color="000000" w:sz="4" w:space="0"/>
              <w:left w:val="single" w:color="000000" w:sz="4" w:space="0"/>
              <w:bottom w:val="single" w:color="000000" w:sz="4" w:space="0"/>
              <w:right w:val="single" w:color="000000" w:sz="4" w:space="0"/>
            </w:tcBorders>
            <w:noWrap w:val="0"/>
            <w:vAlign w:val="center"/>
          </w:tcPr>
          <w:p>
            <w:pPr>
              <w:widowControl/>
              <w:spacing w:line="576" w:lineRule="exact"/>
              <w:ind w:left="420" w:leftChars="200"/>
              <w:jc w:val="center"/>
              <w:rPr>
                <w:rFonts w:ascii="宋体"/>
                <w:color w:val="000000"/>
                <w:sz w:val="24"/>
                <w:szCs w:val="24"/>
              </w:rPr>
            </w:pPr>
          </w:p>
        </w:tc>
        <w:tc>
          <w:tcPr>
            <w:tcW w:w="1384" w:type="dxa"/>
            <w:tcBorders>
              <w:top w:val="single" w:color="000000" w:sz="4" w:space="0"/>
              <w:left w:val="single" w:color="000000" w:sz="4" w:space="0"/>
              <w:bottom w:val="single" w:color="000000" w:sz="4" w:space="0"/>
              <w:right w:val="single" w:color="000000" w:sz="4" w:space="0"/>
            </w:tcBorders>
            <w:noWrap w:val="0"/>
            <w:tcMar>
              <w:top w:w="15" w:type="dxa"/>
              <w:left w:w="15" w:type="dxa"/>
              <w:bottom w:w="0" w:type="dxa"/>
              <w:right w:w="15" w:type="dxa"/>
            </w:tcMar>
            <w:vAlign w:val="center"/>
          </w:tcPr>
          <w:p>
            <w:pPr>
              <w:widowControl/>
              <w:spacing w:line="576" w:lineRule="exact"/>
              <w:jc w:val="center"/>
              <w:textAlignment w:val="center"/>
              <w:rPr>
                <w:rFonts w:ascii="宋体"/>
                <w:color w:val="000000"/>
                <w:kern w:val="0"/>
                <w:sz w:val="24"/>
                <w:szCs w:val="24"/>
              </w:rPr>
            </w:pPr>
            <w:r>
              <w:rPr>
                <w:rFonts w:hint="eastAsia" w:ascii="宋体" w:hAnsi="宋体" w:cs="宋体"/>
                <w:color w:val="000000"/>
                <w:kern w:val="0"/>
                <w:sz w:val="24"/>
                <w:szCs w:val="24"/>
              </w:rPr>
              <w:t>项目</w:t>
            </w:r>
          </w:p>
          <w:p>
            <w:pPr>
              <w:widowControl/>
              <w:spacing w:line="576" w:lineRule="exact"/>
              <w:jc w:val="center"/>
              <w:textAlignment w:val="center"/>
              <w:rPr>
                <w:rFonts w:ascii="宋体"/>
                <w:color w:val="000000"/>
                <w:kern w:val="0"/>
                <w:sz w:val="24"/>
                <w:szCs w:val="24"/>
              </w:rPr>
            </w:pPr>
            <w:r>
              <w:rPr>
                <w:rFonts w:hint="eastAsia" w:ascii="宋体" w:hAnsi="宋体" w:cs="宋体"/>
                <w:color w:val="000000"/>
                <w:kern w:val="0"/>
                <w:sz w:val="24"/>
                <w:szCs w:val="24"/>
              </w:rPr>
              <w:t>完成</w:t>
            </w:r>
          </w:p>
          <w:p>
            <w:pPr>
              <w:widowControl/>
              <w:spacing w:line="576" w:lineRule="exact"/>
              <w:jc w:val="center"/>
              <w:textAlignment w:val="center"/>
              <w:rPr>
                <w:rFonts w:ascii="宋体"/>
                <w:color w:val="000000"/>
                <w:sz w:val="24"/>
                <w:szCs w:val="24"/>
              </w:rPr>
            </w:pPr>
            <w:r>
              <w:rPr>
                <w:rFonts w:hint="eastAsia" w:ascii="宋体" w:hAnsi="宋体" w:cs="宋体"/>
                <w:color w:val="000000"/>
                <w:kern w:val="0"/>
                <w:sz w:val="24"/>
                <w:szCs w:val="24"/>
              </w:rPr>
              <w:t>指标</w:t>
            </w:r>
          </w:p>
        </w:tc>
        <w:tc>
          <w:tcPr>
            <w:tcW w:w="1065" w:type="dxa"/>
            <w:tcBorders>
              <w:top w:val="single" w:color="000000" w:sz="4" w:space="0"/>
              <w:left w:val="single" w:color="000000" w:sz="4" w:space="0"/>
              <w:bottom w:val="single" w:color="000000" w:sz="4" w:space="0"/>
              <w:right w:val="single" w:color="000000" w:sz="4" w:space="0"/>
            </w:tcBorders>
            <w:noWrap w:val="0"/>
            <w:tcMar>
              <w:top w:w="15" w:type="dxa"/>
              <w:left w:w="15" w:type="dxa"/>
              <w:bottom w:w="0" w:type="dxa"/>
              <w:right w:w="15" w:type="dxa"/>
            </w:tcMar>
            <w:vAlign w:val="center"/>
          </w:tcPr>
          <w:p>
            <w:pPr>
              <w:widowControl/>
              <w:spacing w:line="576" w:lineRule="exact"/>
              <w:jc w:val="center"/>
              <w:textAlignment w:val="center"/>
              <w:rPr>
                <w:rFonts w:ascii="宋体"/>
                <w:color w:val="000000"/>
                <w:sz w:val="24"/>
                <w:szCs w:val="24"/>
              </w:rPr>
            </w:pPr>
            <w:r>
              <w:rPr>
                <w:rFonts w:hint="eastAsia" w:ascii="宋体" w:cs="宋体"/>
                <w:color w:val="000000"/>
                <w:sz w:val="24"/>
                <w:szCs w:val="24"/>
              </w:rPr>
              <w:t>时效指标</w:t>
            </w:r>
          </w:p>
        </w:tc>
        <w:tc>
          <w:tcPr>
            <w:tcW w:w="1924" w:type="dxa"/>
            <w:tcBorders>
              <w:top w:val="single" w:color="000000" w:sz="4" w:space="0"/>
              <w:left w:val="single" w:color="000000" w:sz="4" w:space="0"/>
              <w:bottom w:val="single" w:color="000000" w:sz="4" w:space="0"/>
              <w:right w:val="single" w:color="000000" w:sz="4" w:space="0"/>
            </w:tcBorders>
            <w:noWrap w:val="0"/>
            <w:tcMar>
              <w:top w:w="15" w:type="dxa"/>
              <w:left w:w="15" w:type="dxa"/>
              <w:bottom w:w="0" w:type="dxa"/>
              <w:right w:w="15" w:type="dxa"/>
            </w:tcMar>
            <w:vAlign w:val="center"/>
          </w:tcPr>
          <w:p>
            <w:pPr>
              <w:widowControl/>
              <w:spacing w:line="576" w:lineRule="exact"/>
              <w:jc w:val="center"/>
              <w:textAlignment w:val="center"/>
              <w:rPr>
                <w:rFonts w:ascii="宋体"/>
                <w:color w:val="000000"/>
                <w:sz w:val="24"/>
                <w:szCs w:val="24"/>
              </w:rPr>
            </w:pPr>
            <w:r>
              <w:rPr>
                <w:rFonts w:hint="eastAsia" w:ascii="宋体" w:cs="宋体"/>
                <w:color w:val="000000"/>
                <w:sz w:val="24"/>
                <w:szCs w:val="24"/>
              </w:rPr>
              <w:t>发放时间</w:t>
            </w:r>
          </w:p>
        </w:tc>
        <w:tc>
          <w:tcPr>
            <w:tcW w:w="2043" w:type="dxa"/>
            <w:tcBorders>
              <w:top w:val="single" w:color="000000" w:sz="4" w:space="0"/>
              <w:left w:val="single" w:color="000000" w:sz="4" w:space="0"/>
              <w:bottom w:val="single" w:color="000000" w:sz="4" w:space="0"/>
              <w:right w:val="single" w:color="000000" w:sz="4" w:space="0"/>
            </w:tcBorders>
            <w:noWrap w:val="0"/>
            <w:tcMar>
              <w:top w:w="15" w:type="dxa"/>
              <w:left w:w="15" w:type="dxa"/>
              <w:bottom w:w="0" w:type="dxa"/>
              <w:right w:w="15" w:type="dxa"/>
            </w:tcMar>
            <w:vAlign w:val="center"/>
          </w:tcPr>
          <w:p>
            <w:pPr>
              <w:widowControl/>
              <w:spacing w:line="576" w:lineRule="exact"/>
              <w:ind w:firstLine="720" w:firstLineChars="300"/>
              <w:textAlignment w:val="center"/>
              <w:rPr>
                <w:rFonts w:ascii="宋体"/>
                <w:color w:val="000000"/>
                <w:sz w:val="24"/>
                <w:szCs w:val="24"/>
              </w:rPr>
            </w:pPr>
            <w:r>
              <w:rPr>
                <w:rFonts w:ascii="宋体" w:hAnsi="宋体" w:cs="宋体"/>
                <w:color w:val="000000"/>
                <w:sz w:val="24"/>
                <w:szCs w:val="24"/>
              </w:rPr>
              <w:t>201</w:t>
            </w:r>
            <w:r>
              <w:rPr>
                <w:rFonts w:hint="eastAsia" w:ascii="宋体" w:hAnsi="宋体" w:cs="宋体"/>
                <w:color w:val="000000"/>
                <w:sz w:val="24"/>
                <w:szCs w:val="24"/>
                <w:lang w:val="en-US" w:eastAsia="zh-CN"/>
              </w:rPr>
              <w:t>9</w:t>
            </w:r>
            <w:r>
              <w:rPr>
                <w:rFonts w:hint="eastAsia" w:ascii="宋体" w:hAnsi="宋体" w:cs="宋体"/>
                <w:color w:val="000000"/>
                <w:sz w:val="24"/>
                <w:szCs w:val="24"/>
              </w:rPr>
              <w:t>年</w:t>
            </w:r>
          </w:p>
        </w:tc>
        <w:tc>
          <w:tcPr>
            <w:tcW w:w="1886" w:type="dxa"/>
            <w:tcBorders>
              <w:top w:val="single" w:color="000000" w:sz="4" w:space="0"/>
              <w:left w:val="single" w:color="000000" w:sz="4" w:space="0"/>
              <w:bottom w:val="single" w:color="000000" w:sz="4" w:space="0"/>
              <w:right w:val="single" w:color="000000" w:sz="4" w:space="0"/>
            </w:tcBorders>
            <w:noWrap w:val="0"/>
            <w:tcMar>
              <w:top w:w="15" w:type="dxa"/>
              <w:left w:w="15" w:type="dxa"/>
              <w:bottom w:w="0" w:type="dxa"/>
              <w:right w:w="15" w:type="dxa"/>
            </w:tcMar>
            <w:vAlign w:val="center"/>
          </w:tcPr>
          <w:p>
            <w:pPr>
              <w:widowControl/>
              <w:spacing w:line="576" w:lineRule="exact"/>
              <w:jc w:val="center"/>
              <w:textAlignment w:val="center"/>
              <w:rPr>
                <w:rFonts w:hint="eastAsia" w:ascii="宋体" w:eastAsia="宋体"/>
                <w:color w:val="000000"/>
                <w:sz w:val="24"/>
                <w:szCs w:val="24"/>
                <w:lang w:val="en-US" w:eastAsia="zh-CN"/>
              </w:rPr>
            </w:pPr>
            <w:r>
              <w:rPr>
                <w:rFonts w:hint="eastAsia" w:ascii="宋体" w:cs="宋体"/>
                <w:color w:val="000000"/>
                <w:sz w:val="24"/>
                <w:szCs w:val="24"/>
              </w:rPr>
              <w:t>按时足额</w:t>
            </w:r>
            <w:r>
              <w:rPr>
                <w:rFonts w:hint="eastAsia" w:ascii="宋体" w:cs="宋体"/>
                <w:color w:val="000000"/>
                <w:sz w:val="24"/>
                <w:szCs w:val="24"/>
                <w:lang w:val="en-US" w:eastAsia="zh-CN"/>
              </w:rPr>
              <w:t>兑现</w:t>
            </w:r>
          </w:p>
        </w:tc>
      </w:tr>
      <w:tr>
        <w:tblPrEx>
          <w:tblCellMar>
            <w:top w:w="0" w:type="dxa"/>
            <w:left w:w="0" w:type="dxa"/>
            <w:bottom w:w="0" w:type="dxa"/>
            <w:right w:w="0" w:type="dxa"/>
          </w:tblCellMar>
        </w:tblPrEx>
        <w:trPr>
          <w:trHeight w:val="1042" w:hRule="atLeast"/>
        </w:trPr>
        <w:tc>
          <w:tcPr>
            <w:tcW w:w="801" w:type="dxa"/>
            <w:vMerge w:val="continue"/>
            <w:tcBorders>
              <w:top w:val="single" w:color="000000" w:sz="4" w:space="0"/>
              <w:left w:val="single" w:color="000000" w:sz="4" w:space="0"/>
              <w:bottom w:val="single" w:color="000000" w:sz="4" w:space="0"/>
              <w:right w:val="single" w:color="000000" w:sz="4" w:space="0"/>
            </w:tcBorders>
            <w:noWrap w:val="0"/>
            <w:vAlign w:val="center"/>
          </w:tcPr>
          <w:p>
            <w:pPr>
              <w:widowControl/>
              <w:spacing w:line="576" w:lineRule="exact"/>
              <w:ind w:left="420" w:leftChars="200"/>
              <w:jc w:val="center"/>
              <w:rPr>
                <w:rFonts w:ascii="宋体"/>
                <w:color w:val="000000"/>
                <w:sz w:val="24"/>
                <w:szCs w:val="24"/>
              </w:rPr>
            </w:pPr>
          </w:p>
        </w:tc>
        <w:tc>
          <w:tcPr>
            <w:tcW w:w="1384" w:type="dxa"/>
            <w:tcBorders>
              <w:top w:val="single" w:color="000000" w:sz="4" w:space="0"/>
              <w:left w:val="single" w:color="000000" w:sz="4" w:space="0"/>
              <w:bottom w:val="single" w:color="000000" w:sz="4" w:space="0"/>
              <w:right w:val="single" w:color="000000" w:sz="4" w:space="0"/>
            </w:tcBorders>
            <w:noWrap w:val="0"/>
            <w:tcMar>
              <w:top w:w="15" w:type="dxa"/>
              <w:left w:w="15" w:type="dxa"/>
              <w:bottom w:w="0" w:type="dxa"/>
              <w:right w:w="15" w:type="dxa"/>
            </w:tcMar>
            <w:vAlign w:val="center"/>
          </w:tcPr>
          <w:p>
            <w:pPr>
              <w:widowControl/>
              <w:spacing w:line="576" w:lineRule="exact"/>
              <w:jc w:val="center"/>
              <w:textAlignment w:val="center"/>
              <w:rPr>
                <w:rFonts w:ascii="宋体"/>
                <w:color w:val="000000"/>
                <w:sz w:val="24"/>
                <w:szCs w:val="24"/>
              </w:rPr>
            </w:pPr>
            <w:r>
              <w:rPr>
                <w:rFonts w:hint="eastAsia" w:ascii="宋体" w:hAnsi="宋体" w:cs="宋体"/>
                <w:color w:val="000000"/>
                <w:kern w:val="0"/>
                <w:sz w:val="24"/>
                <w:szCs w:val="24"/>
              </w:rPr>
              <w:t>效益指标</w:t>
            </w:r>
          </w:p>
        </w:tc>
        <w:tc>
          <w:tcPr>
            <w:tcW w:w="1065" w:type="dxa"/>
            <w:tcBorders>
              <w:top w:val="single" w:color="000000" w:sz="4" w:space="0"/>
              <w:left w:val="single" w:color="000000" w:sz="4" w:space="0"/>
              <w:bottom w:val="single" w:color="000000" w:sz="4" w:space="0"/>
              <w:right w:val="single" w:color="000000" w:sz="4" w:space="0"/>
            </w:tcBorders>
            <w:noWrap w:val="0"/>
            <w:tcMar>
              <w:top w:w="15" w:type="dxa"/>
              <w:left w:w="15" w:type="dxa"/>
              <w:bottom w:w="0" w:type="dxa"/>
              <w:right w:w="15" w:type="dxa"/>
            </w:tcMar>
            <w:vAlign w:val="center"/>
          </w:tcPr>
          <w:p>
            <w:pPr>
              <w:widowControl/>
              <w:spacing w:line="576" w:lineRule="exact"/>
              <w:jc w:val="center"/>
              <w:textAlignment w:val="center"/>
              <w:rPr>
                <w:rFonts w:ascii="宋体"/>
                <w:color w:val="000000"/>
                <w:sz w:val="24"/>
                <w:szCs w:val="24"/>
              </w:rPr>
            </w:pPr>
            <w:r>
              <w:rPr>
                <w:rFonts w:hint="eastAsia" w:ascii="宋体" w:cs="宋体"/>
                <w:color w:val="000000"/>
                <w:sz w:val="24"/>
                <w:szCs w:val="24"/>
              </w:rPr>
              <w:t>社会效益指标</w:t>
            </w:r>
          </w:p>
        </w:tc>
        <w:tc>
          <w:tcPr>
            <w:tcW w:w="1924" w:type="dxa"/>
            <w:tcBorders>
              <w:top w:val="single" w:color="000000" w:sz="4" w:space="0"/>
              <w:left w:val="single" w:color="000000" w:sz="4" w:space="0"/>
              <w:bottom w:val="single" w:color="000000" w:sz="4" w:space="0"/>
              <w:right w:val="single" w:color="000000" w:sz="4" w:space="0"/>
            </w:tcBorders>
            <w:noWrap w:val="0"/>
            <w:tcMar>
              <w:top w:w="15" w:type="dxa"/>
              <w:left w:w="15" w:type="dxa"/>
              <w:bottom w:w="0" w:type="dxa"/>
              <w:right w:w="15" w:type="dxa"/>
            </w:tcMar>
            <w:vAlign w:val="center"/>
          </w:tcPr>
          <w:p>
            <w:pPr>
              <w:widowControl/>
              <w:spacing w:line="576" w:lineRule="exact"/>
              <w:jc w:val="center"/>
              <w:textAlignment w:val="center"/>
              <w:rPr>
                <w:rFonts w:ascii="宋体"/>
                <w:color w:val="000000"/>
                <w:sz w:val="24"/>
                <w:szCs w:val="24"/>
              </w:rPr>
            </w:pPr>
            <w:r>
              <w:rPr>
                <w:rFonts w:hint="eastAsia" w:ascii="宋体" w:cs="宋体"/>
                <w:color w:val="000000"/>
                <w:sz w:val="24"/>
                <w:szCs w:val="24"/>
              </w:rPr>
              <w:t>拟达指标</w:t>
            </w:r>
          </w:p>
        </w:tc>
        <w:tc>
          <w:tcPr>
            <w:tcW w:w="2043" w:type="dxa"/>
            <w:tcBorders>
              <w:top w:val="single" w:color="000000" w:sz="4" w:space="0"/>
              <w:left w:val="single" w:color="000000" w:sz="4" w:space="0"/>
              <w:bottom w:val="single" w:color="000000" w:sz="4" w:space="0"/>
              <w:right w:val="single" w:color="000000" w:sz="4" w:space="0"/>
            </w:tcBorders>
            <w:noWrap w:val="0"/>
            <w:tcMar>
              <w:top w:w="15" w:type="dxa"/>
              <w:left w:w="15" w:type="dxa"/>
              <w:bottom w:w="0" w:type="dxa"/>
              <w:right w:w="15" w:type="dxa"/>
            </w:tcMar>
            <w:vAlign w:val="center"/>
          </w:tcPr>
          <w:p>
            <w:pPr>
              <w:widowControl/>
              <w:spacing w:line="576" w:lineRule="exact"/>
              <w:jc w:val="center"/>
              <w:rPr>
                <w:rFonts w:ascii="宋体"/>
                <w:color w:val="000000"/>
                <w:sz w:val="24"/>
                <w:szCs w:val="24"/>
              </w:rPr>
            </w:pPr>
            <w:r>
              <w:rPr>
                <w:rFonts w:hint="eastAsia" w:ascii="宋体" w:cs="宋体"/>
                <w:color w:val="000000"/>
                <w:sz w:val="24"/>
                <w:szCs w:val="24"/>
                <w:lang w:val="en-US" w:eastAsia="zh-CN"/>
              </w:rPr>
              <w:t>减轻农民的负担</w:t>
            </w:r>
          </w:p>
        </w:tc>
        <w:tc>
          <w:tcPr>
            <w:tcW w:w="1886" w:type="dxa"/>
            <w:tcBorders>
              <w:top w:val="single" w:color="000000" w:sz="4" w:space="0"/>
              <w:left w:val="single" w:color="000000" w:sz="4" w:space="0"/>
              <w:bottom w:val="single" w:color="000000" w:sz="4" w:space="0"/>
              <w:right w:val="single" w:color="000000" w:sz="4" w:space="0"/>
            </w:tcBorders>
            <w:noWrap w:val="0"/>
            <w:tcMar>
              <w:top w:w="15" w:type="dxa"/>
              <w:left w:w="15" w:type="dxa"/>
              <w:bottom w:w="0" w:type="dxa"/>
              <w:right w:w="15" w:type="dxa"/>
            </w:tcMar>
            <w:vAlign w:val="center"/>
          </w:tcPr>
          <w:p>
            <w:pPr>
              <w:widowControl/>
              <w:spacing w:line="576" w:lineRule="exact"/>
              <w:jc w:val="center"/>
              <w:textAlignment w:val="center"/>
              <w:rPr>
                <w:rFonts w:ascii="宋体"/>
                <w:color w:val="000000"/>
                <w:sz w:val="24"/>
                <w:szCs w:val="24"/>
              </w:rPr>
            </w:pPr>
            <w:r>
              <w:rPr>
                <w:rFonts w:hint="eastAsia" w:ascii="宋体" w:cs="宋体"/>
                <w:color w:val="000000"/>
                <w:sz w:val="24"/>
                <w:szCs w:val="24"/>
                <w:lang w:val="en-US" w:eastAsia="zh-CN"/>
              </w:rPr>
              <w:t>通过对项目的实施，减轻了农民的负担</w:t>
            </w:r>
          </w:p>
        </w:tc>
      </w:tr>
      <w:tr>
        <w:tblPrEx>
          <w:tblCellMar>
            <w:top w:w="0" w:type="dxa"/>
            <w:left w:w="0" w:type="dxa"/>
            <w:bottom w:w="0" w:type="dxa"/>
            <w:right w:w="0" w:type="dxa"/>
          </w:tblCellMar>
        </w:tblPrEx>
        <w:trPr>
          <w:trHeight w:val="1050" w:hRule="atLeast"/>
        </w:trPr>
        <w:tc>
          <w:tcPr>
            <w:tcW w:w="801" w:type="dxa"/>
            <w:vMerge w:val="continue"/>
            <w:tcBorders>
              <w:top w:val="single" w:color="000000" w:sz="4" w:space="0"/>
              <w:left w:val="single" w:color="000000" w:sz="4" w:space="0"/>
              <w:bottom w:val="single" w:color="000000" w:sz="4" w:space="0"/>
              <w:right w:val="single" w:color="000000" w:sz="4" w:space="0"/>
            </w:tcBorders>
            <w:noWrap w:val="0"/>
            <w:vAlign w:val="center"/>
          </w:tcPr>
          <w:p>
            <w:pPr>
              <w:widowControl/>
              <w:spacing w:line="576" w:lineRule="exact"/>
              <w:ind w:left="420" w:leftChars="200"/>
              <w:jc w:val="center"/>
              <w:rPr>
                <w:rFonts w:ascii="宋体"/>
                <w:color w:val="000000"/>
                <w:sz w:val="24"/>
                <w:szCs w:val="24"/>
              </w:rPr>
            </w:pPr>
          </w:p>
        </w:tc>
        <w:tc>
          <w:tcPr>
            <w:tcW w:w="1384" w:type="dxa"/>
            <w:tcBorders>
              <w:top w:val="single" w:color="000000" w:sz="4" w:space="0"/>
              <w:left w:val="single" w:color="000000" w:sz="4" w:space="0"/>
              <w:bottom w:val="single" w:color="000000" w:sz="4" w:space="0"/>
              <w:right w:val="single" w:color="000000" w:sz="4" w:space="0"/>
            </w:tcBorders>
            <w:noWrap w:val="0"/>
            <w:tcMar>
              <w:top w:w="15" w:type="dxa"/>
              <w:left w:w="15" w:type="dxa"/>
              <w:bottom w:w="0" w:type="dxa"/>
              <w:right w:w="15" w:type="dxa"/>
            </w:tcMar>
            <w:vAlign w:val="center"/>
          </w:tcPr>
          <w:p>
            <w:pPr>
              <w:widowControl/>
              <w:spacing w:line="576" w:lineRule="exact"/>
              <w:jc w:val="center"/>
              <w:textAlignment w:val="center"/>
              <w:rPr>
                <w:rFonts w:ascii="宋体"/>
                <w:color w:val="000000"/>
                <w:kern w:val="0"/>
                <w:sz w:val="24"/>
                <w:szCs w:val="24"/>
              </w:rPr>
            </w:pPr>
            <w:r>
              <w:rPr>
                <w:rFonts w:hint="eastAsia" w:ascii="宋体" w:hAnsi="宋体" w:cs="宋体"/>
                <w:color w:val="000000"/>
                <w:kern w:val="0"/>
                <w:sz w:val="24"/>
                <w:szCs w:val="24"/>
              </w:rPr>
              <w:t>满意度</w:t>
            </w:r>
          </w:p>
          <w:p>
            <w:pPr>
              <w:widowControl/>
              <w:spacing w:line="576" w:lineRule="exact"/>
              <w:jc w:val="center"/>
              <w:textAlignment w:val="center"/>
              <w:rPr>
                <w:rFonts w:ascii="宋体"/>
                <w:color w:val="000000"/>
                <w:sz w:val="24"/>
                <w:szCs w:val="24"/>
              </w:rPr>
            </w:pPr>
            <w:r>
              <w:rPr>
                <w:rFonts w:hint="eastAsia" w:ascii="宋体" w:hAnsi="宋体" w:cs="宋体"/>
                <w:color w:val="000000"/>
                <w:kern w:val="0"/>
                <w:sz w:val="24"/>
                <w:szCs w:val="24"/>
              </w:rPr>
              <w:t>指标</w:t>
            </w:r>
          </w:p>
        </w:tc>
        <w:tc>
          <w:tcPr>
            <w:tcW w:w="1065" w:type="dxa"/>
            <w:tcBorders>
              <w:top w:val="single" w:color="000000" w:sz="4" w:space="0"/>
              <w:left w:val="single" w:color="000000" w:sz="4" w:space="0"/>
              <w:bottom w:val="single" w:color="000000" w:sz="4" w:space="0"/>
              <w:right w:val="single" w:color="000000" w:sz="4" w:space="0"/>
            </w:tcBorders>
            <w:noWrap w:val="0"/>
            <w:tcMar>
              <w:top w:w="15" w:type="dxa"/>
              <w:left w:w="15" w:type="dxa"/>
              <w:bottom w:w="0" w:type="dxa"/>
              <w:right w:w="15" w:type="dxa"/>
            </w:tcMar>
            <w:vAlign w:val="center"/>
          </w:tcPr>
          <w:p>
            <w:pPr>
              <w:widowControl/>
              <w:spacing w:line="576" w:lineRule="exact"/>
              <w:jc w:val="center"/>
              <w:textAlignment w:val="center"/>
              <w:rPr>
                <w:rFonts w:ascii="宋体"/>
                <w:color w:val="000000"/>
                <w:kern w:val="0"/>
                <w:sz w:val="24"/>
                <w:szCs w:val="24"/>
              </w:rPr>
            </w:pPr>
            <w:r>
              <w:rPr>
                <w:rFonts w:hint="eastAsia" w:ascii="宋体" w:hAnsi="宋体" w:cs="宋体"/>
                <w:color w:val="000000"/>
                <w:kern w:val="0"/>
                <w:sz w:val="24"/>
                <w:szCs w:val="24"/>
              </w:rPr>
              <w:t>满意度</w:t>
            </w:r>
          </w:p>
          <w:p>
            <w:pPr>
              <w:widowControl/>
              <w:spacing w:line="576" w:lineRule="exact"/>
              <w:jc w:val="center"/>
              <w:textAlignment w:val="center"/>
              <w:rPr>
                <w:rFonts w:ascii="宋体"/>
                <w:color w:val="000000"/>
                <w:sz w:val="24"/>
                <w:szCs w:val="24"/>
              </w:rPr>
            </w:pPr>
            <w:r>
              <w:rPr>
                <w:rFonts w:hint="eastAsia" w:ascii="宋体" w:hAnsi="宋体" w:cs="宋体"/>
                <w:color w:val="000000"/>
                <w:kern w:val="0"/>
                <w:sz w:val="24"/>
                <w:szCs w:val="24"/>
              </w:rPr>
              <w:t>指标</w:t>
            </w:r>
          </w:p>
        </w:tc>
        <w:tc>
          <w:tcPr>
            <w:tcW w:w="1924" w:type="dxa"/>
            <w:tcBorders>
              <w:top w:val="single" w:color="000000" w:sz="4" w:space="0"/>
              <w:left w:val="single" w:color="000000" w:sz="4" w:space="0"/>
              <w:bottom w:val="single" w:color="000000" w:sz="4" w:space="0"/>
              <w:right w:val="single" w:color="000000" w:sz="4" w:space="0"/>
            </w:tcBorders>
            <w:noWrap w:val="0"/>
            <w:tcMar>
              <w:top w:w="15" w:type="dxa"/>
              <w:left w:w="15" w:type="dxa"/>
              <w:bottom w:w="0" w:type="dxa"/>
              <w:right w:w="15" w:type="dxa"/>
            </w:tcMar>
            <w:vAlign w:val="center"/>
          </w:tcPr>
          <w:p>
            <w:pPr>
              <w:widowControl/>
              <w:spacing w:line="576" w:lineRule="exact"/>
              <w:ind w:left="420" w:leftChars="200"/>
              <w:jc w:val="center"/>
              <w:textAlignment w:val="center"/>
              <w:rPr>
                <w:rFonts w:ascii="宋体"/>
                <w:color w:val="000000"/>
                <w:sz w:val="24"/>
                <w:szCs w:val="24"/>
              </w:rPr>
            </w:pPr>
            <w:r>
              <w:rPr>
                <w:rFonts w:hint="eastAsia" w:ascii="宋体" w:cs="宋体"/>
                <w:color w:val="000000"/>
                <w:sz w:val="24"/>
                <w:szCs w:val="24"/>
              </w:rPr>
              <w:t>用户满意度</w:t>
            </w:r>
          </w:p>
        </w:tc>
        <w:tc>
          <w:tcPr>
            <w:tcW w:w="2043" w:type="dxa"/>
            <w:tcBorders>
              <w:top w:val="single" w:color="000000" w:sz="4" w:space="0"/>
              <w:left w:val="single" w:color="000000" w:sz="4" w:space="0"/>
              <w:bottom w:val="single" w:color="000000" w:sz="4" w:space="0"/>
              <w:right w:val="single" w:color="000000" w:sz="4" w:space="0"/>
            </w:tcBorders>
            <w:noWrap w:val="0"/>
            <w:tcMar>
              <w:top w:w="15" w:type="dxa"/>
              <w:left w:w="15" w:type="dxa"/>
              <w:bottom w:w="0" w:type="dxa"/>
              <w:right w:w="15" w:type="dxa"/>
            </w:tcMar>
            <w:vAlign w:val="center"/>
          </w:tcPr>
          <w:p>
            <w:pPr>
              <w:widowControl/>
              <w:spacing w:line="576" w:lineRule="exact"/>
              <w:ind w:left="420" w:leftChars="200"/>
              <w:jc w:val="center"/>
              <w:textAlignment w:val="center"/>
              <w:rPr>
                <w:rFonts w:ascii="宋体"/>
                <w:color w:val="000000"/>
                <w:sz w:val="24"/>
                <w:szCs w:val="24"/>
              </w:rPr>
            </w:pPr>
            <w:r>
              <w:rPr>
                <w:rFonts w:ascii="宋体" w:hAnsi="宋体" w:cs="宋体"/>
                <w:color w:val="000000"/>
                <w:sz w:val="24"/>
                <w:szCs w:val="24"/>
              </w:rPr>
              <w:t>&gt;90%</w:t>
            </w:r>
          </w:p>
        </w:tc>
        <w:tc>
          <w:tcPr>
            <w:tcW w:w="1886" w:type="dxa"/>
            <w:tcBorders>
              <w:top w:val="single" w:color="000000" w:sz="4" w:space="0"/>
              <w:left w:val="single" w:color="000000" w:sz="4" w:space="0"/>
              <w:bottom w:val="single" w:color="000000" w:sz="4" w:space="0"/>
              <w:right w:val="single" w:color="000000" w:sz="4" w:space="0"/>
            </w:tcBorders>
            <w:noWrap w:val="0"/>
            <w:tcMar>
              <w:top w:w="15" w:type="dxa"/>
              <w:left w:w="15" w:type="dxa"/>
              <w:bottom w:w="0" w:type="dxa"/>
              <w:right w:w="15" w:type="dxa"/>
            </w:tcMar>
            <w:vAlign w:val="center"/>
          </w:tcPr>
          <w:p>
            <w:pPr>
              <w:widowControl/>
              <w:spacing w:line="576" w:lineRule="exact"/>
              <w:jc w:val="center"/>
              <w:textAlignment w:val="center"/>
              <w:rPr>
                <w:rFonts w:ascii="宋体" w:cs="宋体"/>
                <w:color w:val="000000"/>
                <w:sz w:val="24"/>
                <w:szCs w:val="24"/>
              </w:rPr>
            </w:pPr>
            <w:r>
              <w:rPr>
                <w:rFonts w:hint="eastAsia" w:ascii="宋体" w:cs="宋体"/>
                <w:color w:val="000000"/>
                <w:sz w:val="24"/>
                <w:szCs w:val="24"/>
              </w:rPr>
              <w:t>用户满意度</w:t>
            </w:r>
            <w:r>
              <w:rPr>
                <w:rFonts w:ascii="宋体" w:cs="宋体"/>
                <w:color w:val="000000"/>
                <w:sz w:val="24"/>
                <w:szCs w:val="24"/>
              </w:rPr>
              <w:t>100%</w:t>
            </w:r>
          </w:p>
        </w:tc>
      </w:tr>
    </w:tbl>
    <w:p>
      <w:pPr>
        <w:spacing w:line="580" w:lineRule="exact"/>
        <w:rPr>
          <w:rFonts w:hint="eastAsia" w:ascii="仿宋_GB2312" w:hAnsi="仿宋_GB2312" w:eastAsia="仿宋_GB2312" w:cs="仿宋_GB2312"/>
          <w:sz w:val="32"/>
          <w:szCs w:val="32"/>
          <w:lang w:eastAsia="zh-CN"/>
        </w:rPr>
      </w:pPr>
    </w:p>
    <w:p>
      <w:pPr>
        <w:spacing w:line="580" w:lineRule="exact"/>
        <w:ind w:left="630"/>
        <w:rPr>
          <w:rFonts w:ascii="仿宋_GB2312" w:hAnsi="仿宋_GB2312" w:eastAsia="仿宋_GB2312" w:cs="仿宋_GB2312"/>
          <w:sz w:val="32"/>
          <w:szCs w:val="32"/>
        </w:rPr>
      </w:pPr>
    </w:p>
    <w:p>
      <w:pPr>
        <w:spacing w:line="580" w:lineRule="exact"/>
        <w:ind w:left="630"/>
        <w:rPr>
          <w:rFonts w:ascii="仿宋_GB2312" w:hAnsi="仿宋_GB2312" w:eastAsia="仿宋_GB2312" w:cs="仿宋_GB2312"/>
          <w:sz w:val="32"/>
          <w:szCs w:val="32"/>
        </w:rPr>
      </w:pPr>
      <w:r>
        <w:rPr>
          <w:rFonts w:hint="eastAsia" w:ascii="楷体_GB2312" w:hAnsi="楷体_GB2312" w:eastAsia="楷体_GB2312" w:cs="楷体_GB2312"/>
          <w:sz w:val="32"/>
          <w:szCs w:val="32"/>
        </w:rPr>
        <w:t>2.部门绩效评价结果</w:t>
      </w:r>
    </w:p>
    <w:p>
      <w:pPr>
        <w:spacing w:line="580" w:lineRule="exact"/>
        <w:ind w:firstLine="640" w:firstLineChars="200"/>
        <w:rPr>
          <w:rFonts w:ascii="仿宋_GB2312" w:eastAsia="仿宋_GB2312"/>
          <w:b/>
          <w:color w:val="000000"/>
          <w:sz w:val="32"/>
          <w:szCs w:val="32"/>
        </w:rPr>
      </w:pPr>
      <w:r>
        <w:rPr>
          <w:rFonts w:hint="eastAsia" w:ascii="仿宋_GB2312" w:hAnsi="仿宋_GB2312" w:eastAsia="仿宋_GB2312" w:cs="仿宋_GB2312"/>
          <w:sz w:val="32"/>
          <w:szCs w:val="32"/>
        </w:rPr>
        <w:t>本部门按要求对2019年部门整体支出绩效评价情况开展自评，《</w:t>
      </w:r>
      <w:r>
        <w:rPr>
          <w:rFonts w:hint="eastAsia" w:ascii="仿宋_GB2312" w:hAnsi="仿宋_GB2312" w:eastAsia="仿宋_GB2312" w:cs="仿宋_GB2312"/>
          <w:sz w:val="32"/>
          <w:szCs w:val="32"/>
          <w:lang w:eastAsia="zh-CN"/>
        </w:rPr>
        <w:t>供销社</w:t>
      </w:r>
      <w:r>
        <w:rPr>
          <w:rFonts w:hint="eastAsia" w:ascii="仿宋_GB2312" w:hAnsi="仿宋_GB2312" w:eastAsia="仿宋_GB2312" w:cs="仿宋_GB2312"/>
          <w:sz w:val="32"/>
          <w:szCs w:val="32"/>
        </w:rPr>
        <w:t>2019年部门整体支出绩效评价报告》见附件（附件1）。</w:t>
      </w:r>
      <w:r>
        <w:rPr>
          <w:rFonts w:ascii="仿宋_GB2312" w:eastAsia="仿宋_GB2312"/>
          <w:b/>
          <w:color w:val="000000"/>
          <w:sz w:val="32"/>
          <w:szCs w:val="32"/>
        </w:rPr>
        <w:br w:type="page"/>
      </w:r>
    </w:p>
    <w:p>
      <w:pPr>
        <w:numPr>
          <w:ilvl w:val="0"/>
          <w:numId w:val="4"/>
        </w:numPr>
        <w:spacing w:line="600" w:lineRule="exact"/>
        <w:ind w:firstLine="660" w:firstLineChars="150"/>
        <w:jc w:val="center"/>
        <w:outlineLvl w:val="0"/>
        <w:rPr>
          <w:rStyle w:val="24"/>
          <w:rFonts w:ascii="黑体" w:hAnsi="黑体" w:eastAsia="黑体"/>
          <w:b w:val="0"/>
        </w:rPr>
      </w:pPr>
      <w:bookmarkStart w:id="55" w:name="_Toc15396613"/>
      <w:bookmarkStart w:id="56" w:name="_Toc15377225"/>
      <w:r>
        <w:rPr>
          <w:rFonts w:hint="eastAsia" w:ascii="黑体" w:hAnsi="黑体" w:eastAsia="黑体"/>
          <w:color w:val="000000"/>
          <w:sz w:val="44"/>
          <w:szCs w:val="44"/>
        </w:rPr>
        <w:t>名</w:t>
      </w:r>
      <w:r>
        <w:rPr>
          <w:rStyle w:val="24"/>
          <w:rFonts w:hint="eastAsia" w:ascii="黑体" w:hAnsi="黑体" w:eastAsia="黑体"/>
          <w:b w:val="0"/>
        </w:rPr>
        <w:t>词解释</w:t>
      </w:r>
      <w:bookmarkEnd w:id="55"/>
      <w:bookmarkEnd w:id="56"/>
    </w:p>
    <w:p>
      <w:pPr>
        <w:spacing w:line="600" w:lineRule="exact"/>
        <w:jc w:val="left"/>
        <w:rPr>
          <w:rFonts w:ascii="宋体"/>
          <w:b/>
          <w:color w:val="000000"/>
          <w:sz w:val="44"/>
          <w:szCs w:val="44"/>
        </w:rPr>
      </w:pPr>
    </w:p>
    <w:p>
      <w:pPr>
        <w:pStyle w:val="22"/>
        <w:spacing w:line="560" w:lineRule="exact"/>
        <w:ind w:firstLine="640" w:firstLineChars="200"/>
        <w:rPr>
          <w:rFonts w:ascii="仿宋_GB2312" w:eastAsia="仿宋_GB2312"/>
          <w:sz w:val="32"/>
          <w:szCs w:val="32"/>
        </w:rPr>
      </w:pPr>
      <w:r>
        <w:rPr>
          <w:rFonts w:ascii="仿宋_GB2312" w:eastAsia="仿宋_GB2312"/>
          <w:sz w:val="32"/>
          <w:szCs w:val="32"/>
        </w:rPr>
        <w:t>1.</w:t>
      </w:r>
      <w:r>
        <w:rPr>
          <w:rFonts w:hint="eastAsia" w:ascii="仿宋_GB2312" w:eastAsia="仿宋_GB2312"/>
          <w:sz w:val="32"/>
          <w:szCs w:val="32"/>
        </w:rPr>
        <w:t>财政拨款收入：指单位从同级财政部门取得的财政预算资金。</w:t>
      </w:r>
    </w:p>
    <w:p>
      <w:pPr>
        <w:pStyle w:val="22"/>
        <w:spacing w:line="560" w:lineRule="exact"/>
        <w:ind w:firstLine="640" w:firstLineChars="200"/>
        <w:rPr>
          <w:rFonts w:hint="eastAsia" w:ascii="仿宋_GB2312" w:eastAsia="仿宋_GB2312"/>
          <w:sz w:val="32"/>
          <w:szCs w:val="32"/>
        </w:rPr>
      </w:pPr>
      <w:r>
        <w:rPr>
          <w:rFonts w:ascii="仿宋_GB2312" w:eastAsia="仿宋_GB2312"/>
          <w:sz w:val="32"/>
          <w:szCs w:val="32"/>
        </w:rPr>
        <w:t>2.</w:t>
      </w:r>
      <w:r>
        <w:rPr>
          <w:rFonts w:hint="eastAsia" w:ascii="仿宋_GB2312" w:eastAsia="仿宋_GB2312"/>
          <w:sz w:val="32"/>
          <w:szCs w:val="32"/>
        </w:rPr>
        <w:t>事业收入：指事业单位开展专业业务活动及辅助活动取得的收入。</w:t>
      </w:r>
    </w:p>
    <w:p>
      <w:pPr>
        <w:pStyle w:val="22"/>
        <w:spacing w:line="560" w:lineRule="exact"/>
        <w:ind w:firstLine="640" w:firstLineChars="200"/>
        <w:rPr>
          <w:rFonts w:hint="eastAsia" w:ascii="仿宋_GB2312" w:eastAsia="仿宋_GB2312"/>
          <w:sz w:val="32"/>
          <w:szCs w:val="32"/>
        </w:rPr>
      </w:pPr>
      <w:r>
        <w:rPr>
          <w:rFonts w:ascii="仿宋_GB2312" w:eastAsia="仿宋_GB2312"/>
          <w:sz w:val="32"/>
          <w:szCs w:val="32"/>
        </w:rPr>
        <w:t>3.</w:t>
      </w:r>
      <w:r>
        <w:rPr>
          <w:rFonts w:hint="eastAsia" w:ascii="仿宋_GB2312" w:eastAsia="仿宋_GB2312"/>
          <w:sz w:val="32"/>
          <w:szCs w:val="32"/>
        </w:rPr>
        <w:t>经营收入：指事业单位在专业业务活动及其辅助活动之外开展非独立核算经营活动取得的收入。</w:t>
      </w:r>
    </w:p>
    <w:p>
      <w:pPr>
        <w:pStyle w:val="22"/>
        <w:spacing w:line="560" w:lineRule="exact"/>
        <w:ind w:firstLine="640" w:firstLineChars="200"/>
        <w:rPr>
          <w:rFonts w:ascii="仿宋_GB2312" w:eastAsia="仿宋_GB2312"/>
          <w:sz w:val="32"/>
          <w:szCs w:val="32"/>
        </w:rPr>
      </w:pPr>
      <w:r>
        <w:rPr>
          <w:rFonts w:ascii="仿宋_GB2312" w:eastAsia="仿宋_GB2312"/>
          <w:sz w:val="32"/>
          <w:szCs w:val="32"/>
        </w:rPr>
        <w:t>4.</w:t>
      </w:r>
      <w:r>
        <w:rPr>
          <w:rFonts w:hint="eastAsia" w:ascii="仿宋_GB2312" w:eastAsia="仿宋_GB2312"/>
          <w:sz w:val="32"/>
          <w:szCs w:val="32"/>
        </w:rPr>
        <w:t>其他收入：指单位取得的除上述收入以外的各项收入。</w:t>
      </w:r>
      <w:r>
        <w:rPr>
          <w:rFonts w:ascii="仿宋_GB2312" w:eastAsia="仿宋_GB2312"/>
          <w:sz w:val="32"/>
          <w:szCs w:val="32"/>
        </w:rPr>
        <w:t xml:space="preserve"> </w:t>
      </w:r>
    </w:p>
    <w:p>
      <w:pPr>
        <w:pStyle w:val="22"/>
        <w:spacing w:line="560" w:lineRule="exact"/>
        <w:ind w:firstLine="640" w:firstLineChars="200"/>
        <w:rPr>
          <w:rFonts w:ascii="仿宋_GB2312" w:eastAsia="仿宋_GB2312"/>
          <w:sz w:val="32"/>
          <w:szCs w:val="32"/>
        </w:rPr>
      </w:pPr>
      <w:r>
        <w:rPr>
          <w:rFonts w:ascii="仿宋_GB2312" w:eastAsia="仿宋_GB2312"/>
          <w:sz w:val="32"/>
          <w:szCs w:val="32"/>
        </w:rPr>
        <w:t>5.</w:t>
      </w:r>
      <w:r>
        <w:rPr>
          <w:rFonts w:hint="eastAsia" w:ascii="仿宋_GB2312" w:eastAsia="仿宋_GB2312"/>
          <w:sz w:val="32"/>
          <w:szCs w:val="32"/>
        </w:rPr>
        <w:t>用事业基金弥补收支差额：指事业单位在当年的财政拨款收入、事业收入、经营收入、其他收入不足以安排当年支出的情况下，使用以前年度积累的事业基金（事业单位当年收支相抵后按国家规定提取、用于弥补以后年度收支差额的基金）弥补本年度收支缺口的资金。</w:t>
      </w:r>
      <w:r>
        <w:rPr>
          <w:rFonts w:ascii="仿宋_GB2312" w:eastAsia="仿宋_GB2312"/>
          <w:sz w:val="32"/>
          <w:szCs w:val="32"/>
        </w:rPr>
        <w:t xml:space="preserve"> </w:t>
      </w:r>
    </w:p>
    <w:p>
      <w:pPr>
        <w:pStyle w:val="22"/>
        <w:spacing w:line="560" w:lineRule="exact"/>
        <w:ind w:firstLine="640" w:firstLineChars="200"/>
        <w:rPr>
          <w:rFonts w:ascii="仿宋_GB2312" w:eastAsia="仿宋_GB2312"/>
          <w:sz w:val="32"/>
          <w:szCs w:val="32"/>
        </w:rPr>
      </w:pPr>
      <w:r>
        <w:rPr>
          <w:rFonts w:ascii="仿宋_GB2312" w:eastAsia="仿宋_GB2312"/>
          <w:sz w:val="32"/>
          <w:szCs w:val="32"/>
        </w:rPr>
        <w:t>6.</w:t>
      </w:r>
      <w:r>
        <w:rPr>
          <w:rFonts w:hint="eastAsia" w:ascii="仿宋_GB2312" w:eastAsia="仿宋_GB2312"/>
          <w:sz w:val="32"/>
          <w:szCs w:val="32"/>
        </w:rPr>
        <w:t>年初结转和结余：指以前年度尚未完成、结转到本年按有关规定继续使用的资金。</w:t>
      </w:r>
      <w:r>
        <w:rPr>
          <w:rFonts w:ascii="仿宋_GB2312" w:eastAsia="仿宋_GB2312"/>
          <w:sz w:val="32"/>
          <w:szCs w:val="32"/>
        </w:rPr>
        <w:t xml:space="preserve"> </w:t>
      </w:r>
    </w:p>
    <w:p>
      <w:pPr>
        <w:pStyle w:val="22"/>
        <w:spacing w:line="560" w:lineRule="exact"/>
        <w:ind w:firstLine="640" w:firstLineChars="200"/>
        <w:rPr>
          <w:rFonts w:ascii="仿宋_GB2312" w:eastAsia="仿宋_GB2312"/>
          <w:sz w:val="32"/>
          <w:szCs w:val="32"/>
        </w:rPr>
      </w:pPr>
      <w:r>
        <w:rPr>
          <w:rFonts w:ascii="仿宋_GB2312" w:eastAsia="仿宋_GB2312"/>
          <w:sz w:val="32"/>
          <w:szCs w:val="32"/>
        </w:rPr>
        <w:t>7.</w:t>
      </w:r>
      <w:r>
        <w:rPr>
          <w:rFonts w:hint="eastAsia" w:ascii="仿宋_GB2312" w:eastAsia="仿宋_GB2312"/>
          <w:sz w:val="32"/>
          <w:szCs w:val="32"/>
        </w:rPr>
        <w:t>结余分配：指事业单位按照事业单位会计制度的规定从非财政补助结余中分配的事业基金和职工福利基金等。</w:t>
      </w:r>
    </w:p>
    <w:p>
      <w:pPr>
        <w:pStyle w:val="22"/>
        <w:spacing w:line="560" w:lineRule="exact"/>
        <w:ind w:firstLine="640" w:firstLineChars="200"/>
        <w:rPr>
          <w:rFonts w:hint="eastAsia" w:ascii="仿宋_GB2312" w:eastAsia="仿宋_GB2312"/>
          <w:sz w:val="32"/>
          <w:szCs w:val="32"/>
        </w:rPr>
      </w:pPr>
      <w:r>
        <w:rPr>
          <w:rFonts w:ascii="仿宋_GB2312" w:eastAsia="仿宋_GB2312"/>
          <w:sz w:val="32"/>
          <w:szCs w:val="32"/>
        </w:rPr>
        <w:t>8</w:t>
      </w:r>
      <w:r>
        <w:rPr>
          <w:rFonts w:hint="eastAsia" w:ascii="仿宋_GB2312" w:eastAsia="仿宋_GB2312"/>
          <w:sz w:val="32"/>
          <w:szCs w:val="32"/>
        </w:rPr>
        <w:t>、年末结转和结余：指单位按有关规定结转到下年或以后年度继续使用的资金。</w:t>
      </w:r>
    </w:p>
    <w:p>
      <w:pPr>
        <w:pStyle w:val="22"/>
        <w:spacing w:line="560" w:lineRule="exact"/>
        <w:ind w:firstLine="640" w:firstLineChars="200"/>
        <w:rPr>
          <w:rFonts w:hint="eastAsia" w:ascii="仿宋_GB2312" w:eastAsia="仿宋_GB2312"/>
          <w:sz w:val="32"/>
          <w:szCs w:val="32"/>
        </w:rPr>
      </w:pPr>
      <w:r>
        <w:rPr>
          <w:rFonts w:hint="eastAsia" w:ascii="仿宋_GB2312" w:eastAsia="仿宋_GB2312"/>
          <w:sz w:val="32"/>
          <w:szCs w:val="32"/>
          <w:lang w:val="en-US" w:eastAsia="zh-CN"/>
        </w:rPr>
        <w:t>9.一般公共服务商业服务业（类）商业流通事务（款）行政运行（项）：指</w:t>
      </w:r>
      <w:r>
        <w:rPr>
          <w:rFonts w:ascii="仿宋_GB2312" w:eastAsia="仿宋_GB2312"/>
          <w:sz w:val="32"/>
          <w:szCs w:val="32"/>
        </w:rPr>
        <w:t>用于保障机构正常运行、开展日常工作</w:t>
      </w:r>
      <w:r>
        <w:rPr>
          <w:rFonts w:hint="eastAsia" w:ascii="仿宋_GB2312" w:eastAsia="仿宋_GB2312"/>
          <w:sz w:val="32"/>
          <w:szCs w:val="32"/>
        </w:rPr>
        <w:t>的基本支出。</w:t>
      </w:r>
    </w:p>
    <w:p>
      <w:pPr>
        <w:pStyle w:val="22"/>
        <w:spacing w:line="560" w:lineRule="exact"/>
        <w:ind w:firstLine="640" w:firstLineChars="200"/>
        <w:rPr>
          <w:rFonts w:hint="eastAsia" w:ascii="仿宋_GB2312" w:eastAsia="仿宋_GB2312"/>
          <w:sz w:val="32"/>
          <w:szCs w:val="32"/>
          <w:lang w:val="en-US" w:eastAsia="zh-CN"/>
        </w:rPr>
      </w:pPr>
      <w:r>
        <w:rPr>
          <w:rFonts w:hint="eastAsia" w:ascii="仿宋_GB2312" w:eastAsia="仿宋_GB2312"/>
          <w:sz w:val="32"/>
          <w:szCs w:val="32"/>
          <w:lang w:val="en-US" w:eastAsia="zh-CN"/>
        </w:rPr>
        <w:t>10.一般公共服务商业服务业（类）商业流通事务（款）其他商业流通事务（项）：指</w:t>
      </w:r>
      <w:r>
        <w:rPr>
          <w:rFonts w:hint="eastAsia" w:ascii="仿宋_GB2312" w:eastAsia="仿宋_GB2312"/>
          <w:sz w:val="32"/>
          <w:szCs w:val="32"/>
        </w:rPr>
        <w:t>其他用于商业流通事务方面的支出。</w:t>
      </w:r>
    </w:p>
    <w:p>
      <w:pPr>
        <w:pStyle w:val="22"/>
        <w:spacing w:line="560" w:lineRule="exact"/>
        <w:ind w:firstLine="640" w:firstLineChars="200"/>
        <w:rPr>
          <w:rFonts w:hint="eastAsia" w:ascii="仿宋_GB2312" w:eastAsia="仿宋_GB2312"/>
          <w:sz w:val="32"/>
          <w:szCs w:val="32"/>
          <w:lang w:val="en-US" w:eastAsia="zh-CN"/>
        </w:rPr>
      </w:pPr>
      <w:r>
        <w:rPr>
          <w:rFonts w:hint="eastAsia" w:ascii="仿宋_GB2312" w:eastAsia="仿宋_GB2312"/>
          <w:sz w:val="32"/>
          <w:szCs w:val="32"/>
          <w:lang w:val="en-US" w:eastAsia="zh-CN"/>
        </w:rPr>
        <w:t>11.一般公共服务商业服务业（类）商业流通事务（款）民贸民品贷款贴息（项）：指对从事民贸民品生产销售企业贷款贴息。</w:t>
      </w:r>
    </w:p>
    <w:p>
      <w:pPr>
        <w:pStyle w:val="22"/>
        <w:spacing w:line="560" w:lineRule="exact"/>
        <w:ind w:firstLine="640" w:firstLineChars="200"/>
        <w:rPr>
          <w:rFonts w:hint="eastAsia" w:ascii="仿宋_GB2312" w:eastAsia="仿宋_GB2312"/>
          <w:sz w:val="32"/>
          <w:szCs w:val="32"/>
          <w:lang w:val="en-US" w:eastAsia="zh-CN"/>
        </w:rPr>
      </w:pPr>
      <w:r>
        <w:rPr>
          <w:rFonts w:hint="eastAsia" w:ascii="仿宋_GB2312" w:eastAsia="仿宋_GB2312"/>
          <w:sz w:val="32"/>
          <w:szCs w:val="32"/>
          <w:lang w:val="en-US" w:eastAsia="zh-CN"/>
        </w:rPr>
        <w:t>12.社会保障和就业（类）行政事业单位离退休（款）机关事业单位基本养老保险缴费（项）：</w:t>
      </w:r>
      <w:r>
        <w:rPr>
          <w:rFonts w:hint="eastAsia" w:ascii="仿宋_GB2312" w:eastAsia="仿宋_GB2312"/>
          <w:sz w:val="32"/>
          <w:szCs w:val="32"/>
        </w:rPr>
        <w:t xml:space="preserve">指部门实施养老保险制度由单位缴纳的养老保险费的支出。 </w:t>
      </w:r>
    </w:p>
    <w:p>
      <w:pPr>
        <w:pStyle w:val="22"/>
        <w:spacing w:line="560" w:lineRule="exact"/>
        <w:ind w:firstLine="640" w:firstLineChars="200"/>
        <w:rPr>
          <w:rFonts w:hint="eastAsia" w:ascii="仿宋_GB2312" w:eastAsia="仿宋_GB2312"/>
          <w:sz w:val="32"/>
          <w:szCs w:val="32"/>
          <w:lang w:val="en-US" w:eastAsia="zh-CN"/>
        </w:rPr>
      </w:pPr>
      <w:r>
        <w:rPr>
          <w:rFonts w:hint="eastAsia" w:ascii="仿宋_GB2312" w:eastAsia="仿宋_GB2312"/>
          <w:sz w:val="32"/>
          <w:szCs w:val="32"/>
          <w:lang w:val="en-US" w:eastAsia="zh-CN"/>
        </w:rPr>
        <w:t>13.社会保障和就业（类）行政事业单位离退休（款）机关事业单位职业年金缴费（项）：指</w:t>
      </w:r>
      <w:r>
        <w:rPr>
          <w:rFonts w:hint="eastAsia" w:ascii="仿宋_GB2312" w:eastAsia="仿宋_GB2312"/>
          <w:sz w:val="32"/>
          <w:szCs w:val="32"/>
        </w:rPr>
        <w:t xml:space="preserve">部门实施养老保险制度由单位缴纳的职业年金的支出。 </w:t>
      </w:r>
    </w:p>
    <w:p>
      <w:pPr>
        <w:pStyle w:val="22"/>
        <w:spacing w:line="560" w:lineRule="exact"/>
        <w:ind w:firstLine="640" w:firstLineChars="200"/>
        <w:rPr>
          <w:rFonts w:hint="eastAsia" w:ascii="仿宋_GB2312" w:eastAsia="仿宋_GB2312"/>
          <w:sz w:val="32"/>
          <w:szCs w:val="32"/>
          <w:lang w:val="en-US" w:eastAsia="zh-CN"/>
        </w:rPr>
      </w:pPr>
      <w:r>
        <w:rPr>
          <w:rFonts w:hint="eastAsia" w:ascii="仿宋_GB2312" w:eastAsia="仿宋_GB2312"/>
          <w:sz w:val="32"/>
          <w:szCs w:val="32"/>
          <w:lang w:val="en-US" w:eastAsia="zh-CN"/>
        </w:rPr>
        <w:t>14.医疗卫生与计划生育（类）行政事业单位医疗（款）行政单位医疗（项）：指</w:t>
      </w:r>
      <w:r>
        <w:rPr>
          <w:rFonts w:hint="eastAsia" w:ascii="仿宋_GB2312" w:eastAsia="仿宋_GB2312"/>
          <w:sz w:val="32"/>
          <w:szCs w:val="32"/>
        </w:rPr>
        <w:t xml:space="preserve">厅机关及参公管理事业单位用于缴纳单位基本医疗保险支出。 </w:t>
      </w:r>
    </w:p>
    <w:p>
      <w:pPr>
        <w:pStyle w:val="22"/>
        <w:spacing w:line="560" w:lineRule="exact"/>
        <w:ind w:firstLine="640" w:firstLineChars="200"/>
        <w:rPr>
          <w:rFonts w:hint="eastAsia" w:ascii="仿宋_GB2312" w:eastAsia="仿宋_GB2312"/>
          <w:sz w:val="32"/>
          <w:szCs w:val="32"/>
          <w:lang w:val="en-US" w:eastAsia="zh-CN"/>
        </w:rPr>
      </w:pPr>
      <w:r>
        <w:rPr>
          <w:rFonts w:hint="eastAsia" w:ascii="仿宋_GB2312" w:eastAsia="仿宋_GB2312"/>
          <w:sz w:val="32"/>
          <w:szCs w:val="32"/>
          <w:lang w:val="en-US" w:eastAsia="zh-CN"/>
        </w:rPr>
        <w:t>15.住房保障支出（类）住房公积金（款）住房公积金（项）：指</w:t>
      </w:r>
      <w:r>
        <w:rPr>
          <w:rFonts w:hint="eastAsia" w:ascii="仿宋_GB2312" w:eastAsia="仿宋_GB2312"/>
          <w:sz w:val="32"/>
          <w:szCs w:val="32"/>
        </w:rPr>
        <w:t>行政事业单位按规定为职工缴纳的住房公积金</w:t>
      </w:r>
      <w:r>
        <w:rPr>
          <w:rFonts w:hint="eastAsia" w:ascii="仿宋_GB2312" w:eastAsia="仿宋_GB2312"/>
          <w:sz w:val="32"/>
          <w:szCs w:val="32"/>
          <w:lang w:eastAsia="zh-CN"/>
        </w:rPr>
        <w:t>。</w:t>
      </w:r>
    </w:p>
    <w:p>
      <w:pPr>
        <w:pStyle w:val="22"/>
        <w:spacing w:line="560" w:lineRule="exact"/>
        <w:ind w:firstLine="640" w:firstLineChars="200"/>
        <w:rPr>
          <w:rFonts w:hint="eastAsia" w:ascii="仿宋_GB2312" w:eastAsia="仿宋_GB2312"/>
          <w:sz w:val="32"/>
          <w:szCs w:val="32"/>
          <w:lang w:val="en-US" w:eastAsia="zh-CN"/>
        </w:rPr>
      </w:pPr>
      <w:r>
        <w:rPr>
          <w:rFonts w:hint="eastAsia" w:ascii="仿宋_GB2312" w:eastAsia="仿宋_GB2312"/>
          <w:sz w:val="32"/>
          <w:szCs w:val="32"/>
          <w:lang w:val="en-US" w:eastAsia="zh-CN"/>
        </w:rPr>
        <w:t>16.住房保障支出（类）住房改革支出（款）住房公积住房改革支出（款）购房补贴（项）：指</w:t>
      </w:r>
      <w:r>
        <w:rPr>
          <w:rFonts w:hint="eastAsia" w:ascii="仿宋_GB2312" w:eastAsia="仿宋_GB2312"/>
          <w:sz w:val="32"/>
          <w:szCs w:val="32"/>
        </w:rPr>
        <w:t>行政事业单位按规定为职工</w:t>
      </w:r>
      <w:r>
        <w:rPr>
          <w:rFonts w:hint="eastAsia" w:ascii="仿宋_GB2312" w:eastAsia="仿宋_GB2312"/>
          <w:sz w:val="32"/>
          <w:szCs w:val="32"/>
          <w:lang w:eastAsia="zh-CN"/>
        </w:rPr>
        <w:t>支付的购房补贴。</w:t>
      </w:r>
    </w:p>
    <w:p>
      <w:pPr>
        <w:pStyle w:val="22"/>
        <w:spacing w:line="560" w:lineRule="exact"/>
        <w:ind w:firstLine="640" w:firstLineChars="200"/>
        <w:rPr>
          <w:rFonts w:hint="eastAsia" w:ascii="仿宋_GB2312" w:eastAsia="仿宋_GB2312"/>
          <w:sz w:val="32"/>
          <w:szCs w:val="32"/>
          <w:lang w:val="en-US" w:eastAsia="zh-CN"/>
        </w:rPr>
      </w:pPr>
      <w:r>
        <w:rPr>
          <w:rFonts w:hint="eastAsia" w:ascii="仿宋_GB2312" w:eastAsia="仿宋_GB2312"/>
          <w:sz w:val="32"/>
          <w:szCs w:val="32"/>
          <w:lang w:val="en-US" w:eastAsia="zh-CN"/>
        </w:rPr>
        <w:t>17.农林水支出（类）农业（款）农业生产支持补贴（项）：指</w:t>
      </w:r>
      <w:r>
        <w:rPr>
          <w:rFonts w:hint="eastAsia" w:ascii="仿宋_GB2312" w:eastAsia="仿宋_GB2312"/>
          <w:sz w:val="32"/>
          <w:szCs w:val="32"/>
        </w:rPr>
        <w:t>反映对种粮农民直接补贴，对农业生产资料补贴、技术物化补贴，推广先进适用农机农艺技术等方面支出。</w:t>
      </w:r>
    </w:p>
    <w:p>
      <w:pPr>
        <w:pStyle w:val="22"/>
        <w:spacing w:line="560" w:lineRule="exact"/>
        <w:ind w:firstLine="640" w:firstLineChars="200"/>
        <w:rPr>
          <w:rFonts w:hint="eastAsia" w:ascii="仿宋_GB2312" w:eastAsia="仿宋_GB2312"/>
          <w:sz w:val="32"/>
          <w:szCs w:val="32"/>
        </w:rPr>
      </w:pPr>
      <w:r>
        <w:rPr>
          <w:rFonts w:hint="eastAsia" w:ascii="仿宋_GB2312" w:eastAsia="仿宋_GB2312"/>
          <w:sz w:val="32"/>
          <w:szCs w:val="32"/>
          <w:lang w:val="en-US" w:eastAsia="zh-CN"/>
        </w:rPr>
        <w:t>18.农林水支出（类）农业（款）其他农业支出（项）：指</w:t>
      </w:r>
      <w:r>
        <w:rPr>
          <w:rFonts w:hint="eastAsia" w:ascii="仿宋_GB2312" w:eastAsia="仿宋_GB2312"/>
          <w:sz w:val="32"/>
          <w:szCs w:val="32"/>
        </w:rPr>
        <w:t>反映其他用于农业方面的支出。</w:t>
      </w:r>
    </w:p>
    <w:p>
      <w:pPr>
        <w:ind w:firstLine="640" w:firstLineChars="200"/>
        <w:rPr>
          <w:rFonts w:ascii="仿宋_GB2312" w:eastAsia="仿宋_GB2312"/>
          <w:color w:val="000000"/>
          <w:sz w:val="32"/>
          <w:szCs w:val="32"/>
        </w:rPr>
      </w:pPr>
      <w:r>
        <w:rPr>
          <w:rFonts w:hint="eastAsia" w:ascii="仿宋_GB2312" w:eastAsia="仿宋_GB2312"/>
          <w:color w:val="000000"/>
          <w:sz w:val="32"/>
          <w:szCs w:val="32"/>
          <w:lang w:val="en-US" w:eastAsia="zh-CN"/>
        </w:rPr>
        <w:t>19</w:t>
      </w:r>
      <w:r>
        <w:rPr>
          <w:rFonts w:ascii="仿宋_GB2312" w:eastAsia="仿宋_GB2312"/>
          <w:color w:val="000000"/>
          <w:sz w:val="32"/>
          <w:szCs w:val="32"/>
        </w:rPr>
        <w:t>.</w:t>
      </w:r>
      <w:r>
        <w:rPr>
          <w:rFonts w:hint="eastAsia" w:ascii="仿宋_GB2312" w:eastAsia="仿宋_GB2312"/>
          <w:color w:val="000000"/>
          <w:sz w:val="32"/>
          <w:szCs w:val="32"/>
        </w:rPr>
        <w:t>基本支出：指为保障机构正常运转、完成日常工作任务而发生的人员支出和公用支出。</w:t>
      </w:r>
    </w:p>
    <w:p>
      <w:pPr>
        <w:ind w:firstLine="640" w:firstLineChars="200"/>
        <w:rPr>
          <w:rFonts w:ascii="仿宋_GB2312" w:eastAsia="仿宋_GB2312"/>
          <w:color w:val="000000"/>
          <w:sz w:val="32"/>
          <w:szCs w:val="32"/>
        </w:rPr>
      </w:pPr>
      <w:r>
        <w:rPr>
          <w:rFonts w:hint="eastAsia" w:ascii="仿宋_GB2312" w:eastAsia="仿宋_GB2312"/>
          <w:color w:val="000000"/>
          <w:sz w:val="32"/>
          <w:szCs w:val="32"/>
          <w:lang w:val="en-US" w:eastAsia="zh-CN"/>
        </w:rPr>
        <w:t>20</w:t>
      </w:r>
      <w:r>
        <w:rPr>
          <w:rFonts w:ascii="仿宋_GB2312" w:eastAsia="仿宋_GB2312"/>
          <w:color w:val="000000"/>
          <w:sz w:val="32"/>
          <w:szCs w:val="32"/>
        </w:rPr>
        <w:t>.</w:t>
      </w:r>
      <w:r>
        <w:rPr>
          <w:rFonts w:hint="eastAsia" w:ascii="仿宋_GB2312" w:eastAsia="仿宋_GB2312"/>
          <w:color w:val="000000"/>
          <w:sz w:val="32"/>
          <w:szCs w:val="32"/>
        </w:rPr>
        <w:t>项目支出：指在基本支出之外为完成特定行政任务和事业发展目标所发生的支出。</w:t>
      </w:r>
      <w:r>
        <w:rPr>
          <w:rFonts w:ascii="仿宋_GB2312" w:eastAsia="仿宋_GB2312"/>
          <w:color w:val="000000"/>
          <w:sz w:val="32"/>
          <w:szCs w:val="32"/>
        </w:rPr>
        <w:t xml:space="preserve"> </w:t>
      </w:r>
    </w:p>
    <w:p>
      <w:pPr>
        <w:ind w:firstLine="640" w:firstLineChars="200"/>
        <w:rPr>
          <w:rFonts w:ascii="仿宋_GB2312" w:eastAsia="仿宋_GB2312"/>
          <w:color w:val="000000"/>
          <w:sz w:val="32"/>
          <w:szCs w:val="32"/>
        </w:rPr>
      </w:pPr>
      <w:r>
        <w:rPr>
          <w:rFonts w:hint="eastAsia" w:ascii="仿宋_GB2312" w:eastAsia="仿宋_GB2312"/>
          <w:color w:val="000000"/>
          <w:sz w:val="32"/>
          <w:szCs w:val="32"/>
          <w:lang w:val="en-US" w:eastAsia="zh-CN"/>
        </w:rPr>
        <w:t>21</w:t>
      </w:r>
      <w:r>
        <w:rPr>
          <w:rFonts w:ascii="仿宋_GB2312" w:eastAsia="仿宋_GB2312"/>
          <w:color w:val="000000"/>
          <w:sz w:val="32"/>
          <w:szCs w:val="32"/>
        </w:rPr>
        <w:t>.</w:t>
      </w:r>
      <w:r>
        <w:rPr>
          <w:rFonts w:hint="eastAsia" w:ascii="仿宋_GB2312" w:eastAsia="仿宋_GB2312"/>
          <w:color w:val="000000"/>
          <w:sz w:val="32"/>
          <w:szCs w:val="32"/>
        </w:rPr>
        <w:t>经营支出：指事业单位在专业业务活动及其辅助活动之外开展非独立核算经营活动发生的支出。</w:t>
      </w:r>
    </w:p>
    <w:p>
      <w:pPr>
        <w:pStyle w:val="22"/>
        <w:spacing w:line="560" w:lineRule="exact"/>
        <w:ind w:firstLine="640" w:firstLineChars="200"/>
        <w:rPr>
          <w:rFonts w:ascii="仿宋_GB2312" w:eastAsia="仿宋_GB2312"/>
          <w:sz w:val="32"/>
          <w:szCs w:val="32"/>
        </w:rPr>
      </w:pPr>
      <w:r>
        <w:rPr>
          <w:rFonts w:hint="eastAsia" w:ascii="仿宋_GB2312" w:eastAsia="仿宋_GB2312"/>
          <w:sz w:val="32"/>
          <w:szCs w:val="32"/>
          <w:lang w:val="en-US" w:eastAsia="zh-CN"/>
        </w:rPr>
        <w:t>22</w:t>
      </w:r>
      <w:r>
        <w:rPr>
          <w:rFonts w:ascii="仿宋_GB2312" w:eastAsia="仿宋_GB2312"/>
          <w:sz w:val="32"/>
          <w:szCs w:val="32"/>
        </w:rPr>
        <w:t>.</w:t>
      </w:r>
      <w:r>
        <w:rPr>
          <w:rFonts w:hint="eastAsia" w:ascii="仿宋_GB2312" w:eastAsia="仿宋_GB2312"/>
          <w:sz w:val="32"/>
          <w:szCs w:val="32"/>
        </w:rPr>
        <w:t>“三公”经费：指部门用财政拨款安排的因公出国（境）费、公务用车购置及运行费和公务接待费。其中，因公出国（境）费反映单位公务出国（境）的国际旅费、国外城市间交通费、住宿费、伙食费、培训费、公杂费等支出；公务用车购置及运行费反映单位公务用车车辆购置支出（含车辆购置税）及租用费、燃料费、维修费、过路过桥费、保险费等支出；公务接待费反映单位按规定开支的各类公务接待（含外宾接待）支出。</w:t>
      </w:r>
    </w:p>
    <w:p>
      <w:pPr>
        <w:pStyle w:val="22"/>
        <w:spacing w:line="560" w:lineRule="exact"/>
        <w:ind w:firstLine="640" w:firstLineChars="200"/>
        <w:rPr>
          <w:rFonts w:ascii="仿宋_GB2312" w:eastAsia="仿宋_GB2312"/>
          <w:sz w:val="32"/>
          <w:szCs w:val="32"/>
        </w:rPr>
      </w:pPr>
      <w:r>
        <w:rPr>
          <w:rFonts w:hint="eastAsia" w:ascii="仿宋_GB2312" w:eastAsia="仿宋_GB2312"/>
          <w:sz w:val="32"/>
          <w:szCs w:val="32"/>
          <w:lang w:val="en-US" w:eastAsia="zh-CN"/>
        </w:rPr>
        <w:t>23</w:t>
      </w:r>
      <w:r>
        <w:rPr>
          <w:rFonts w:ascii="仿宋_GB2312" w:eastAsia="仿宋_GB2312"/>
          <w:sz w:val="32"/>
          <w:szCs w:val="32"/>
        </w:rPr>
        <w:t>.</w:t>
      </w:r>
      <w:r>
        <w:rPr>
          <w:rFonts w:hint="eastAsia" w:ascii="仿宋_GB2312" w:eastAsia="仿宋_GB2312"/>
          <w:sz w:val="32"/>
          <w:szCs w:val="32"/>
        </w:rPr>
        <w:t>机关运行经费：为保障行政单位（含参照公务员法管理的事业单位）运行用于购买货物和服务的各项资金，包括办公及印刷费、邮电费、差旅费、会议费、福利费、日常维修费、专用材料及一般设备购置费、办公用房水电费、办公用房取暖费、办公用房物业管理费、公务用车运行维护费以及其他费用。</w:t>
      </w:r>
    </w:p>
    <w:p>
      <w:pPr>
        <w:pStyle w:val="22"/>
        <w:spacing w:line="560" w:lineRule="exact"/>
        <w:ind w:firstLine="640" w:firstLineChars="200"/>
        <w:rPr>
          <w:rFonts w:ascii="仿宋_GB2312" w:eastAsia="仿宋_GB2312" w:cs="黑体"/>
          <w:sz w:val="32"/>
          <w:szCs w:val="32"/>
        </w:rPr>
      </w:pPr>
    </w:p>
    <w:p>
      <w:pPr>
        <w:spacing w:line="600" w:lineRule="exact"/>
        <w:jc w:val="center"/>
        <w:outlineLvl w:val="0"/>
        <w:rPr>
          <w:rStyle w:val="24"/>
          <w:rFonts w:ascii="黑体" w:hAnsi="黑体" w:eastAsia="黑体"/>
          <w:b w:val="0"/>
        </w:rPr>
      </w:pPr>
      <w:bookmarkStart w:id="57" w:name="_Toc15377226"/>
      <w:r>
        <w:rPr>
          <w:rFonts w:ascii="宋体"/>
          <w:b/>
          <w:color w:val="000000"/>
          <w:sz w:val="44"/>
          <w:szCs w:val="44"/>
        </w:rPr>
        <w:br w:type="page"/>
      </w:r>
      <w:bookmarkStart w:id="58" w:name="_Toc15396614"/>
      <w:r>
        <w:rPr>
          <w:rFonts w:hint="eastAsia" w:ascii="黑体" w:hAnsi="黑体" w:eastAsia="黑体"/>
          <w:color w:val="000000"/>
          <w:sz w:val="44"/>
          <w:szCs w:val="44"/>
        </w:rPr>
        <w:t>第</w:t>
      </w:r>
      <w:r>
        <w:rPr>
          <w:rStyle w:val="24"/>
          <w:rFonts w:hint="eastAsia" w:ascii="黑体" w:hAnsi="黑体" w:eastAsia="黑体"/>
          <w:b w:val="0"/>
        </w:rPr>
        <w:t>四部分 附件</w:t>
      </w:r>
      <w:bookmarkEnd w:id="58"/>
    </w:p>
    <w:p>
      <w:pPr>
        <w:spacing w:line="600" w:lineRule="exact"/>
        <w:jc w:val="left"/>
        <w:outlineLvl w:val="0"/>
        <w:rPr>
          <w:rFonts w:ascii="方正小标宋简体" w:hAnsi="方正小标宋简体" w:eastAsia="方正小标宋简体" w:cs="方正小标宋简体"/>
          <w:sz w:val="32"/>
          <w:szCs w:val="32"/>
        </w:rPr>
      </w:pPr>
      <w:r>
        <w:rPr>
          <w:rFonts w:hint="eastAsia" w:ascii="黑体" w:hAnsi="黑体" w:eastAsia="黑体" w:cs="黑体"/>
          <w:sz w:val="32"/>
          <w:szCs w:val="32"/>
        </w:rPr>
        <w:t>附件1</w:t>
      </w:r>
    </w:p>
    <w:p>
      <w:pPr>
        <w:spacing w:line="580" w:lineRule="exact"/>
        <w:jc w:val="center"/>
        <w:rPr>
          <w:rFonts w:ascii="方正小标宋简体" w:hAnsi="方正小标宋简体" w:eastAsia="方正小标宋简体" w:cs="方正小标宋简体"/>
          <w:sz w:val="44"/>
          <w:szCs w:val="44"/>
        </w:rPr>
      </w:pPr>
    </w:p>
    <w:p>
      <w:pPr>
        <w:spacing w:line="600" w:lineRule="exact"/>
        <w:jc w:val="center"/>
        <w:rPr>
          <w:rFonts w:ascii="方正小标宋简体" w:hAnsi="宋体" w:eastAsia="方正小标宋简体"/>
          <w:color w:val="000000"/>
          <w:kern w:val="0"/>
          <w:sz w:val="40"/>
          <w:szCs w:val="44"/>
          <w:lang w:val="zh-CN"/>
        </w:rPr>
      </w:pPr>
      <w:r>
        <w:rPr>
          <w:rFonts w:hint="eastAsia" w:ascii="方正小标宋简体" w:hAnsi="宋体" w:eastAsia="方正小标宋简体"/>
          <w:color w:val="000000"/>
          <w:kern w:val="0"/>
          <w:sz w:val="40"/>
          <w:szCs w:val="44"/>
          <w:lang w:eastAsia="zh-CN"/>
        </w:rPr>
        <w:t>供销社</w:t>
      </w:r>
      <w:r>
        <w:rPr>
          <w:rFonts w:ascii="方正小标宋简体" w:hAnsi="宋体" w:eastAsia="方正小标宋简体"/>
          <w:color w:val="000000"/>
          <w:kern w:val="0"/>
          <w:sz w:val="40"/>
          <w:szCs w:val="44"/>
        </w:rPr>
        <w:t>2019年部门</w:t>
      </w:r>
      <w:r>
        <w:rPr>
          <w:rFonts w:hint="eastAsia" w:ascii="方正小标宋简体" w:hAnsi="宋体" w:eastAsia="方正小标宋简体"/>
          <w:color w:val="000000"/>
          <w:kern w:val="0"/>
          <w:sz w:val="40"/>
          <w:szCs w:val="44"/>
          <w:lang w:val="zh-CN"/>
        </w:rPr>
        <w:t>整体支出绩效评价报告</w:t>
      </w:r>
    </w:p>
    <w:p>
      <w:pPr>
        <w:widowControl/>
        <w:spacing w:line="580" w:lineRule="exact"/>
        <w:ind w:firstLine="640" w:firstLineChars="200"/>
        <w:contextualSpacing/>
        <w:jc w:val="center"/>
        <w:rPr>
          <w:rFonts w:ascii="仿宋_GB2312" w:hAnsi="宋体" w:eastAsia="仿宋_GB2312"/>
          <w:sz w:val="32"/>
          <w:szCs w:val="32"/>
          <w:shd w:val="clear" w:color="auto" w:fill="FFFFFF"/>
        </w:rPr>
      </w:pPr>
      <w:r>
        <w:rPr>
          <w:rFonts w:hint="eastAsia" w:ascii="仿宋_GB2312" w:hAnsi="宋体" w:eastAsia="仿宋_GB2312"/>
          <w:sz w:val="32"/>
          <w:szCs w:val="32"/>
          <w:shd w:val="clear" w:color="auto" w:fill="FFFFFF"/>
        </w:rPr>
        <w:t>（报告范围包括机关和下属单位）</w:t>
      </w:r>
    </w:p>
    <w:p>
      <w:pPr>
        <w:widowControl/>
        <w:adjustRightInd w:val="0"/>
        <w:snapToGrid w:val="0"/>
        <w:spacing w:line="580" w:lineRule="exact"/>
        <w:ind w:firstLine="480" w:firstLineChars="200"/>
        <w:contextualSpacing/>
        <w:jc w:val="left"/>
        <w:rPr>
          <w:rFonts w:ascii="黑体" w:hAnsi="宋体" w:eastAsia="黑体" w:cs="宋体"/>
          <w:color w:val="000000"/>
          <w:kern w:val="0"/>
          <w:sz w:val="24"/>
          <w:szCs w:val="32"/>
          <w:shd w:val="clear" w:color="auto" w:fill="FFFFFF"/>
        </w:rPr>
      </w:pPr>
    </w:p>
    <w:p>
      <w:pPr>
        <w:widowControl/>
        <w:adjustRightInd w:val="0"/>
        <w:snapToGrid w:val="0"/>
        <w:spacing w:line="580" w:lineRule="exact"/>
        <w:ind w:firstLine="640" w:firstLineChars="200"/>
        <w:contextualSpacing/>
        <w:jc w:val="left"/>
        <w:rPr>
          <w:rFonts w:ascii="黑体" w:hAnsi="宋体" w:eastAsia="黑体" w:cs="宋体"/>
          <w:color w:val="000000"/>
          <w:kern w:val="0"/>
          <w:sz w:val="32"/>
          <w:szCs w:val="32"/>
          <w:shd w:val="clear" w:color="auto" w:fill="FFFFFF"/>
          <w:lang w:val="zh-CN"/>
        </w:rPr>
      </w:pPr>
      <w:r>
        <w:rPr>
          <w:rFonts w:hint="eastAsia" w:ascii="黑体" w:hAnsi="宋体" w:eastAsia="黑体" w:cs="宋体"/>
          <w:color w:val="000000"/>
          <w:kern w:val="0"/>
          <w:sz w:val="32"/>
          <w:szCs w:val="32"/>
          <w:shd w:val="clear" w:color="auto" w:fill="FFFFFF"/>
        </w:rPr>
        <w:t>一、</w:t>
      </w:r>
      <w:r>
        <w:rPr>
          <w:rFonts w:hint="eastAsia" w:ascii="黑体" w:hAnsi="宋体" w:eastAsia="黑体" w:cs="宋体"/>
          <w:color w:val="000000"/>
          <w:kern w:val="0"/>
          <w:sz w:val="32"/>
          <w:szCs w:val="32"/>
          <w:shd w:val="clear" w:color="auto" w:fill="FFFFFF"/>
          <w:lang w:val="zh-CN"/>
        </w:rPr>
        <w:t>部门（单位）概况</w:t>
      </w:r>
    </w:p>
    <w:p>
      <w:pPr>
        <w:widowControl/>
        <w:adjustRightInd w:val="0"/>
        <w:snapToGrid w:val="0"/>
        <w:spacing w:line="580" w:lineRule="exact"/>
        <w:ind w:firstLine="642" w:firstLineChars="200"/>
        <w:contextualSpacing/>
        <w:jc w:val="left"/>
        <w:rPr>
          <w:rFonts w:hint="eastAsia" w:ascii="仿宋_GB2312" w:hAnsi="宋体" w:eastAsia="仿宋_GB2312" w:cs="宋体"/>
          <w:color w:val="000000"/>
          <w:kern w:val="0"/>
          <w:sz w:val="32"/>
          <w:szCs w:val="32"/>
          <w:shd w:val="clear" w:color="auto" w:fill="FFFFFF"/>
          <w:lang w:val="zh-CN"/>
        </w:rPr>
      </w:pPr>
      <w:r>
        <w:rPr>
          <w:rFonts w:hint="eastAsia" w:ascii="楷体" w:hAnsi="楷体" w:eastAsia="楷体" w:cs="楷体"/>
          <w:b/>
          <w:bCs/>
          <w:color w:val="000000"/>
          <w:kern w:val="0"/>
          <w:sz w:val="32"/>
          <w:szCs w:val="32"/>
          <w:shd w:val="clear" w:color="auto" w:fill="FFFFFF"/>
          <w:lang w:val="zh-CN"/>
        </w:rPr>
        <w:t>（一）机构组成</w:t>
      </w:r>
    </w:p>
    <w:p>
      <w:pPr>
        <w:widowControl/>
        <w:adjustRightInd w:val="0"/>
        <w:snapToGrid w:val="0"/>
        <w:spacing w:line="580" w:lineRule="exact"/>
        <w:ind w:firstLine="640" w:firstLineChars="200"/>
        <w:contextualSpacing/>
        <w:jc w:val="left"/>
        <w:rPr>
          <w:rFonts w:hint="eastAsia" w:ascii="仿宋_GB2312" w:hAnsi="宋体" w:eastAsia="仿宋_GB2312" w:cs="宋体"/>
          <w:color w:val="000000"/>
          <w:kern w:val="0"/>
          <w:sz w:val="32"/>
          <w:szCs w:val="32"/>
          <w:shd w:val="clear" w:color="auto" w:fill="FFFFFF"/>
          <w:lang w:val="zh-CN"/>
        </w:rPr>
      </w:pPr>
      <w:r>
        <w:rPr>
          <w:rFonts w:hint="eastAsia" w:ascii="仿宋_GB2312" w:hAnsi="宋体" w:eastAsia="仿宋_GB2312" w:cs="宋体"/>
          <w:color w:val="000000"/>
          <w:kern w:val="0"/>
          <w:sz w:val="32"/>
          <w:szCs w:val="32"/>
          <w:shd w:val="clear" w:color="auto" w:fill="FFFFFF"/>
          <w:lang w:val="zh-CN"/>
        </w:rPr>
        <w:t>茂县供销合作社联合社内办公室、计财审计股、社务指导.业务发展.物业管理.安全法制综合股。</w:t>
      </w:r>
    </w:p>
    <w:p>
      <w:pPr>
        <w:widowControl/>
        <w:numPr>
          <w:ilvl w:val="0"/>
          <w:numId w:val="0"/>
        </w:numPr>
        <w:adjustRightInd w:val="0"/>
        <w:snapToGrid w:val="0"/>
        <w:spacing w:line="580" w:lineRule="exact"/>
        <w:ind w:firstLine="642" w:firstLineChars="200"/>
        <w:contextualSpacing/>
        <w:jc w:val="left"/>
        <w:rPr>
          <w:rFonts w:hint="eastAsia" w:ascii="仿宋_GB2312" w:hAnsi="宋体" w:eastAsia="仿宋_GB2312" w:cs="宋体"/>
          <w:color w:val="000000"/>
          <w:kern w:val="0"/>
          <w:sz w:val="32"/>
          <w:szCs w:val="32"/>
          <w:shd w:val="clear" w:color="auto" w:fill="FFFFFF"/>
          <w:lang w:val="zh-CN"/>
        </w:rPr>
      </w:pPr>
      <w:r>
        <w:rPr>
          <w:rFonts w:hint="eastAsia" w:ascii="楷体" w:hAnsi="楷体" w:eastAsia="楷体" w:cs="楷体"/>
          <w:b/>
          <w:bCs/>
          <w:color w:val="000000"/>
          <w:kern w:val="0"/>
          <w:sz w:val="32"/>
          <w:szCs w:val="32"/>
          <w:shd w:val="clear" w:color="auto" w:fill="FFFFFF"/>
          <w:lang w:val="zh-CN"/>
        </w:rPr>
        <w:t>（二）机构职能</w:t>
      </w:r>
    </w:p>
    <w:p>
      <w:pPr>
        <w:widowControl/>
        <w:adjustRightInd w:val="0"/>
        <w:snapToGrid w:val="0"/>
        <w:spacing w:line="580" w:lineRule="exact"/>
        <w:ind w:firstLine="640" w:firstLineChars="200"/>
        <w:contextualSpacing/>
        <w:jc w:val="left"/>
        <w:rPr>
          <w:rFonts w:hint="eastAsia" w:ascii="仿宋_GB2312" w:hAnsi="宋体" w:eastAsia="仿宋_GB2312" w:cs="宋体"/>
          <w:color w:val="000000"/>
          <w:kern w:val="0"/>
          <w:sz w:val="32"/>
          <w:szCs w:val="32"/>
          <w:shd w:val="clear" w:color="auto" w:fill="FFFFFF"/>
          <w:lang w:val="zh-CN"/>
        </w:rPr>
      </w:pPr>
      <w:r>
        <w:rPr>
          <w:rFonts w:hint="eastAsia" w:ascii="仿宋_GB2312" w:hAnsi="宋体" w:eastAsia="仿宋_GB2312" w:cs="宋体"/>
          <w:color w:val="000000"/>
          <w:kern w:val="0"/>
          <w:sz w:val="32"/>
          <w:szCs w:val="32"/>
          <w:shd w:val="clear" w:color="auto" w:fill="FFFFFF"/>
          <w:lang w:val="zh-CN"/>
        </w:rPr>
        <w:t>宣传贯彻党中央、国务院、省委、省政府和州委、州政府及县委、县政府有关农业、农村经济工作和社会发展方针政策，维护全县供销社的合法权益；研究和制定全县供销合作社发展规划，指导全县供销合作社的企业改革和发展；对重要农业生产资料、农副产品经营进行组织、储备、调运工作，负责烟花爆竹和废旧物资再生资源的经营及社办工业的指导；协调同政府有关部门、社会组织的关系，研究供销合作经济运行中的重大问题，组织全县供销系统参与和推进农业产业化经营，加强农产品市场调查研究，培育农产品市场，组织发展专业合作社消费合作社等中介服务组织；指导农村社会化服务体系建设；积极参与供销合作经济对外交流活动；承担县政府交办的其他事项。</w:t>
      </w:r>
    </w:p>
    <w:p>
      <w:pPr>
        <w:widowControl/>
        <w:numPr>
          <w:ilvl w:val="0"/>
          <w:numId w:val="0"/>
        </w:numPr>
        <w:adjustRightInd w:val="0"/>
        <w:snapToGrid w:val="0"/>
        <w:spacing w:line="580" w:lineRule="exact"/>
        <w:ind w:firstLine="642" w:firstLineChars="200"/>
        <w:contextualSpacing/>
        <w:jc w:val="left"/>
        <w:rPr>
          <w:rFonts w:hint="eastAsia" w:ascii="楷体" w:hAnsi="楷体" w:eastAsia="楷体" w:cs="楷体"/>
          <w:b/>
          <w:bCs/>
          <w:color w:val="000000"/>
          <w:kern w:val="0"/>
          <w:sz w:val="32"/>
          <w:szCs w:val="32"/>
          <w:shd w:val="clear" w:color="auto" w:fill="FFFFFF"/>
          <w:lang w:val="zh-CN"/>
        </w:rPr>
      </w:pPr>
      <w:r>
        <w:rPr>
          <w:rFonts w:hint="eastAsia" w:ascii="楷体" w:hAnsi="楷体" w:eastAsia="楷体" w:cs="楷体"/>
          <w:b/>
          <w:bCs/>
          <w:color w:val="000000"/>
          <w:kern w:val="0"/>
          <w:sz w:val="32"/>
          <w:szCs w:val="32"/>
          <w:shd w:val="clear" w:color="auto" w:fill="FFFFFF"/>
          <w:lang w:val="zh-CN"/>
        </w:rPr>
        <w:t>（三）人员概况</w:t>
      </w:r>
    </w:p>
    <w:p>
      <w:pPr>
        <w:widowControl/>
        <w:numPr>
          <w:ilvl w:val="0"/>
          <w:numId w:val="0"/>
        </w:numPr>
        <w:adjustRightInd w:val="0"/>
        <w:snapToGrid w:val="0"/>
        <w:spacing w:line="580" w:lineRule="exact"/>
        <w:ind w:firstLine="640" w:firstLineChars="200"/>
        <w:contextualSpacing/>
        <w:jc w:val="left"/>
        <w:rPr>
          <w:rFonts w:hint="eastAsia" w:ascii="仿宋_GB2312" w:hAnsi="宋体" w:eastAsia="仿宋_GB2312" w:cs="宋体"/>
          <w:color w:val="000000"/>
          <w:kern w:val="0"/>
          <w:sz w:val="32"/>
          <w:szCs w:val="32"/>
          <w:shd w:val="clear" w:color="auto" w:fill="FFFFFF"/>
          <w:lang w:val="zh-CN"/>
        </w:rPr>
      </w:pPr>
      <w:r>
        <w:rPr>
          <w:rFonts w:hint="eastAsia" w:ascii="仿宋_GB2312" w:hAnsi="宋体" w:eastAsia="仿宋_GB2312" w:cs="宋体"/>
          <w:color w:val="000000"/>
          <w:kern w:val="0"/>
          <w:sz w:val="32"/>
          <w:szCs w:val="32"/>
          <w:shd w:val="clear" w:color="auto" w:fill="FFFFFF"/>
          <w:lang w:val="zh-CN"/>
        </w:rPr>
        <w:t>供销社机关事业编制12人，实有在职职工1</w:t>
      </w:r>
      <w:r>
        <w:rPr>
          <w:rFonts w:hint="eastAsia" w:ascii="仿宋_GB2312" w:hAnsi="宋体" w:eastAsia="仿宋_GB2312" w:cs="宋体"/>
          <w:color w:val="000000"/>
          <w:kern w:val="0"/>
          <w:sz w:val="32"/>
          <w:szCs w:val="32"/>
          <w:shd w:val="clear" w:color="auto" w:fill="FFFFFF"/>
          <w:lang w:val="en-US" w:eastAsia="zh-CN"/>
        </w:rPr>
        <w:t>1</w:t>
      </w:r>
      <w:r>
        <w:rPr>
          <w:rFonts w:hint="eastAsia" w:ascii="仿宋_GB2312" w:hAnsi="宋体" w:eastAsia="仿宋_GB2312" w:cs="宋体"/>
          <w:color w:val="000000"/>
          <w:kern w:val="0"/>
          <w:sz w:val="32"/>
          <w:szCs w:val="32"/>
          <w:shd w:val="clear" w:color="auto" w:fill="FFFFFF"/>
          <w:lang w:val="zh-CN"/>
        </w:rPr>
        <w:t>人，退休</w:t>
      </w:r>
      <w:r>
        <w:rPr>
          <w:rFonts w:hint="default" w:ascii="仿宋_GB2312" w:hAnsi="宋体" w:eastAsia="仿宋_GB2312" w:cs="宋体"/>
          <w:color w:val="000000"/>
          <w:kern w:val="0"/>
          <w:sz w:val="32"/>
          <w:szCs w:val="32"/>
          <w:shd w:val="clear" w:color="auto" w:fill="FFFFFF"/>
          <w:lang w:val="en-US"/>
        </w:rPr>
        <w:t>5</w:t>
      </w:r>
      <w:r>
        <w:rPr>
          <w:rFonts w:hint="eastAsia" w:ascii="仿宋_GB2312" w:hAnsi="宋体" w:eastAsia="仿宋_GB2312" w:cs="宋体"/>
          <w:color w:val="000000"/>
          <w:kern w:val="0"/>
          <w:sz w:val="32"/>
          <w:szCs w:val="32"/>
          <w:shd w:val="clear" w:color="auto" w:fill="FFFFFF"/>
          <w:lang w:val="zh-CN"/>
        </w:rPr>
        <w:t>人，离休1人。</w:t>
      </w:r>
    </w:p>
    <w:p>
      <w:pPr>
        <w:widowControl/>
        <w:adjustRightInd w:val="0"/>
        <w:snapToGrid w:val="0"/>
        <w:spacing w:line="580" w:lineRule="exact"/>
        <w:ind w:firstLine="640" w:firstLineChars="200"/>
        <w:contextualSpacing/>
        <w:jc w:val="left"/>
        <w:rPr>
          <w:rFonts w:ascii="黑体" w:hAnsi="宋体" w:eastAsia="黑体" w:cs="宋体"/>
          <w:color w:val="000000"/>
          <w:kern w:val="0"/>
          <w:sz w:val="32"/>
          <w:szCs w:val="32"/>
          <w:shd w:val="clear" w:color="auto" w:fill="FFFFFF"/>
        </w:rPr>
      </w:pPr>
      <w:r>
        <w:rPr>
          <w:rFonts w:hint="eastAsia" w:ascii="黑体" w:hAnsi="宋体" w:eastAsia="黑体" w:cs="宋体"/>
          <w:color w:val="000000"/>
          <w:kern w:val="0"/>
          <w:sz w:val="32"/>
          <w:szCs w:val="32"/>
          <w:shd w:val="clear" w:color="auto" w:fill="FFFFFF"/>
        </w:rPr>
        <w:t>二、部门财政资金收支情况</w:t>
      </w:r>
    </w:p>
    <w:p>
      <w:pPr>
        <w:widowControl/>
        <w:adjustRightInd w:val="0"/>
        <w:snapToGrid w:val="0"/>
        <w:spacing w:line="580" w:lineRule="exact"/>
        <w:ind w:firstLine="642" w:firstLineChars="200"/>
        <w:contextualSpacing/>
        <w:jc w:val="left"/>
        <w:rPr>
          <w:rFonts w:hint="eastAsia" w:ascii="仿宋_GB2312" w:hAnsi="宋体" w:eastAsia="仿宋_GB2312" w:cs="宋体"/>
          <w:color w:val="000000"/>
          <w:kern w:val="0"/>
          <w:sz w:val="32"/>
          <w:szCs w:val="32"/>
          <w:shd w:val="clear" w:color="auto" w:fill="FFFFFF"/>
          <w:lang w:val="zh-CN"/>
        </w:rPr>
      </w:pPr>
      <w:r>
        <w:rPr>
          <w:rFonts w:hint="eastAsia" w:ascii="楷体" w:hAnsi="楷体" w:eastAsia="楷体" w:cs="楷体"/>
          <w:b/>
          <w:bCs/>
          <w:color w:val="000000"/>
          <w:kern w:val="0"/>
          <w:sz w:val="32"/>
          <w:szCs w:val="32"/>
          <w:shd w:val="clear" w:color="auto" w:fill="FFFFFF"/>
          <w:lang w:val="zh-CN"/>
        </w:rPr>
        <w:t>（一）部门财政资金收入情况</w:t>
      </w:r>
    </w:p>
    <w:p>
      <w:pPr>
        <w:widowControl/>
        <w:adjustRightInd w:val="0"/>
        <w:snapToGrid w:val="0"/>
        <w:spacing w:line="580" w:lineRule="exact"/>
        <w:ind w:firstLine="640" w:firstLineChars="200"/>
        <w:contextualSpacing/>
        <w:jc w:val="left"/>
        <w:rPr>
          <w:rFonts w:hint="default" w:ascii="仿宋_GB2312" w:hAnsi="宋体" w:eastAsia="仿宋_GB2312" w:cs="宋体"/>
          <w:color w:val="000000"/>
          <w:kern w:val="0"/>
          <w:sz w:val="32"/>
          <w:szCs w:val="32"/>
          <w:shd w:val="clear" w:color="auto" w:fill="FFFFFF"/>
          <w:lang w:val="en-US" w:eastAsia="zh-CN"/>
        </w:rPr>
      </w:pPr>
      <w:r>
        <w:rPr>
          <w:rFonts w:hint="eastAsia" w:ascii="仿宋_GB2312" w:hAnsi="宋体" w:eastAsia="仿宋_GB2312" w:cs="宋体"/>
          <w:color w:val="000000"/>
          <w:kern w:val="0"/>
          <w:sz w:val="32"/>
          <w:szCs w:val="32"/>
          <w:shd w:val="clear" w:color="auto" w:fill="FFFFFF"/>
          <w:lang w:val="en-US" w:eastAsia="zh-CN"/>
        </w:rPr>
        <w:t>2019</w:t>
      </w:r>
      <w:r>
        <w:rPr>
          <w:rFonts w:hint="eastAsia" w:ascii="仿宋_GB2312" w:hAnsi="宋体" w:eastAsia="仿宋_GB2312" w:cs="宋体"/>
          <w:color w:val="000000"/>
          <w:kern w:val="0"/>
          <w:sz w:val="32"/>
          <w:szCs w:val="32"/>
          <w:shd w:val="clear" w:color="auto" w:fill="FFFFFF"/>
          <w:lang w:val="zh-CN"/>
        </w:rPr>
        <w:t>年度一般公共预算财政拨款年初结转和结余</w:t>
      </w:r>
      <w:r>
        <w:rPr>
          <w:rFonts w:hint="eastAsia" w:ascii="仿宋_GB2312" w:hAnsi="宋体" w:eastAsia="仿宋_GB2312" w:cs="宋体"/>
          <w:color w:val="000000"/>
          <w:kern w:val="0"/>
          <w:sz w:val="32"/>
          <w:szCs w:val="32"/>
          <w:shd w:val="clear" w:color="auto" w:fill="FFFFFF"/>
          <w:lang w:val="en-US" w:eastAsia="zh-CN"/>
        </w:rPr>
        <w:t>4.97万元，</w:t>
      </w:r>
      <w:r>
        <w:rPr>
          <w:rFonts w:hint="eastAsia" w:ascii="仿宋_GB2312" w:hAnsi="宋体" w:eastAsia="仿宋_GB2312" w:cs="宋体"/>
          <w:color w:val="000000"/>
          <w:kern w:val="0"/>
          <w:sz w:val="32"/>
          <w:szCs w:val="32"/>
          <w:shd w:val="clear" w:color="auto" w:fill="FFFFFF"/>
          <w:lang w:val="zh-CN"/>
        </w:rPr>
        <w:t>本年度收入</w:t>
      </w:r>
      <w:r>
        <w:rPr>
          <w:rFonts w:hint="eastAsia" w:ascii="仿宋_GB2312" w:hAnsi="宋体" w:eastAsia="仿宋_GB2312" w:cs="宋体"/>
          <w:color w:val="000000"/>
          <w:kern w:val="0"/>
          <w:sz w:val="32"/>
          <w:szCs w:val="32"/>
          <w:shd w:val="clear" w:color="auto" w:fill="FFFFFF"/>
          <w:lang w:val="en-US" w:eastAsia="zh-CN"/>
        </w:rPr>
        <w:t>516.88万元，2019年度收入合计521.85万元。</w:t>
      </w:r>
    </w:p>
    <w:p>
      <w:pPr>
        <w:widowControl/>
        <w:adjustRightInd w:val="0"/>
        <w:snapToGrid w:val="0"/>
        <w:spacing w:line="580" w:lineRule="exact"/>
        <w:ind w:firstLine="642" w:firstLineChars="200"/>
        <w:contextualSpacing/>
        <w:jc w:val="left"/>
        <w:rPr>
          <w:rFonts w:hint="eastAsia" w:ascii="楷体" w:hAnsi="楷体" w:eastAsia="楷体" w:cs="楷体"/>
          <w:b/>
          <w:bCs/>
          <w:color w:val="000000"/>
          <w:kern w:val="0"/>
          <w:sz w:val="32"/>
          <w:szCs w:val="32"/>
          <w:shd w:val="clear" w:color="auto" w:fill="FFFFFF"/>
          <w:lang w:val="zh-CN"/>
        </w:rPr>
      </w:pPr>
      <w:r>
        <w:rPr>
          <w:rFonts w:hint="eastAsia" w:ascii="楷体" w:hAnsi="楷体" w:eastAsia="楷体" w:cs="楷体"/>
          <w:b/>
          <w:bCs/>
          <w:color w:val="000000"/>
          <w:kern w:val="0"/>
          <w:sz w:val="32"/>
          <w:szCs w:val="32"/>
          <w:shd w:val="clear" w:color="auto" w:fill="FFFFFF"/>
          <w:lang w:val="zh-CN"/>
        </w:rPr>
        <w:t>（二）部门财政资金支出情况</w:t>
      </w:r>
    </w:p>
    <w:p>
      <w:pPr>
        <w:widowControl/>
        <w:spacing w:line="576" w:lineRule="exact"/>
        <w:ind w:firstLine="640" w:firstLineChars="200"/>
        <w:jc w:val="left"/>
        <w:rPr>
          <w:rFonts w:hint="eastAsia" w:ascii="仿宋_GB2312" w:hAnsi="仿宋" w:eastAsia="仿宋_GB2312" w:cs="仿宋_GB2312"/>
          <w:sz w:val="32"/>
          <w:szCs w:val="32"/>
        </w:rPr>
      </w:pPr>
      <w:r>
        <w:rPr>
          <w:rFonts w:hint="eastAsia" w:ascii="仿宋_GB2312" w:hAnsi="仿宋" w:eastAsia="仿宋_GB2312" w:cs="仿宋_GB2312"/>
          <w:sz w:val="32"/>
          <w:szCs w:val="32"/>
        </w:rPr>
        <w:t>供销社</w:t>
      </w:r>
      <w:r>
        <w:rPr>
          <w:rFonts w:hint="eastAsia" w:ascii="仿宋_GB2312" w:hAnsi="仿宋" w:eastAsia="仿宋_GB2312"/>
          <w:color w:val="000000"/>
          <w:sz w:val="32"/>
          <w:szCs w:val="32"/>
          <w:lang w:val="en-US" w:eastAsia="zh-CN"/>
        </w:rPr>
        <w:t>2019</w:t>
      </w:r>
      <w:r>
        <w:rPr>
          <w:rFonts w:hint="eastAsia" w:ascii="仿宋_GB2312" w:hAnsi="仿宋" w:eastAsia="仿宋_GB2312"/>
          <w:color w:val="000000"/>
          <w:sz w:val="32"/>
          <w:szCs w:val="32"/>
        </w:rPr>
        <w:t>年度支出决算总额为</w:t>
      </w:r>
      <w:r>
        <w:rPr>
          <w:rFonts w:hint="eastAsia" w:ascii="仿宋_GB2312" w:hAnsi="仿宋" w:eastAsia="仿宋_GB2312"/>
          <w:color w:val="000000"/>
          <w:sz w:val="32"/>
          <w:szCs w:val="32"/>
          <w:lang w:val="en-US" w:eastAsia="zh-CN"/>
        </w:rPr>
        <w:t>521.85</w:t>
      </w:r>
      <w:r>
        <w:rPr>
          <w:rFonts w:hint="eastAsia" w:ascii="仿宋_GB2312" w:hAnsi="仿宋" w:eastAsia="仿宋_GB2312"/>
          <w:color w:val="000000"/>
          <w:sz w:val="32"/>
          <w:szCs w:val="32"/>
        </w:rPr>
        <w:t>万元，</w:t>
      </w:r>
      <w:r>
        <w:rPr>
          <w:rFonts w:hint="eastAsia" w:ascii="仿宋_GB2312" w:hAnsi="仿宋" w:eastAsia="仿宋_GB2312" w:cs="仿宋"/>
          <w:color w:val="000000"/>
          <w:kern w:val="0"/>
          <w:sz w:val="32"/>
          <w:szCs w:val="32"/>
          <w:lang w:bidi="ar"/>
        </w:rPr>
        <w:t xml:space="preserve">其中按功能分类，一般公共服务支出 </w:t>
      </w:r>
      <w:r>
        <w:rPr>
          <w:rFonts w:hint="eastAsia" w:ascii="仿宋_GB2312" w:hAnsi="仿宋" w:eastAsia="仿宋_GB2312" w:cs="仿宋"/>
          <w:color w:val="000000"/>
          <w:kern w:val="0"/>
          <w:sz w:val="32"/>
          <w:szCs w:val="32"/>
          <w:lang w:val="en-US" w:eastAsia="zh-CN" w:bidi="ar"/>
        </w:rPr>
        <w:t>432.4</w:t>
      </w:r>
      <w:r>
        <w:rPr>
          <w:rFonts w:hint="eastAsia" w:ascii="仿宋_GB2312" w:hAnsi="仿宋" w:eastAsia="仿宋_GB2312" w:cs="仿宋"/>
          <w:color w:val="000000"/>
          <w:kern w:val="0"/>
          <w:sz w:val="32"/>
          <w:szCs w:val="32"/>
          <w:lang w:bidi="ar"/>
        </w:rPr>
        <w:t>万元、社会保障和就业支出</w:t>
      </w:r>
      <w:r>
        <w:rPr>
          <w:rFonts w:hint="eastAsia" w:ascii="仿宋_GB2312" w:hAnsi="仿宋" w:eastAsia="仿宋_GB2312" w:cs="仿宋"/>
          <w:color w:val="000000"/>
          <w:kern w:val="0"/>
          <w:sz w:val="32"/>
          <w:szCs w:val="32"/>
          <w:lang w:val="en-US" w:eastAsia="zh-CN" w:bidi="ar"/>
        </w:rPr>
        <w:t>23.04</w:t>
      </w:r>
      <w:r>
        <w:rPr>
          <w:rFonts w:hint="eastAsia" w:ascii="仿宋_GB2312" w:hAnsi="仿宋" w:eastAsia="仿宋_GB2312" w:cs="仿宋"/>
          <w:color w:val="000000"/>
          <w:kern w:val="0"/>
          <w:sz w:val="32"/>
          <w:szCs w:val="32"/>
          <w:lang w:bidi="ar"/>
        </w:rPr>
        <w:t xml:space="preserve"> 万元、医疗卫生与计划生育支出</w:t>
      </w:r>
      <w:r>
        <w:rPr>
          <w:rFonts w:hint="eastAsia" w:ascii="仿宋_GB2312" w:hAnsi="仿宋" w:eastAsia="仿宋_GB2312" w:cs="仿宋"/>
          <w:color w:val="000000"/>
          <w:kern w:val="0"/>
          <w:sz w:val="32"/>
          <w:szCs w:val="32"/>
          <w:lang w:val="en-US" w:eastAsia="zh-CN" w:bidi="ar"/>
        </w:rPr>
        <w:t>12.47</w:t>
      </w:r>
      <w:r>
        <w:rPr>
          <w:rFonts w:hint="eastAsia" w:ascii="仿宋_GB2312" w:hAnsi="仿宋" w:eastAsia="仿宋_GB2312" w:cs="仿宋"/>
          <w:color w:val="000000"/>
          <w:kern w:val="0"/>
          <w:sz w:val="32"/>
          <w:szCs w:val="32"/>
          <w:lang w:bidi="ar"/>
        </w:rPr>
        <w:t>万元、住房保障支出</w:t>
      </w:r>
      <w:r>
        <w:rPr>
          <w:rFonts w:hint="eastAsia" w:ascii="仿宋_GB2312" w:hAnsi="仿宋" w:eastAsia="仿宋_GB2312" w:cs="仿宋"/>
          <w:color w:val="000000"/>
          <w:kern w:val="0"/>
          <w:sz w:val="32"/>
          <w:szCs w:val="32"/>
          <w:lang w:val="en-US" w:eastAsia="zh-CN" w:bidi="ar"/>
        </w:rPr>
        <w:t>14.5</w:t>
      </w:r>
      <w:r>
        <w:rPr>
          <w:rFonts w:hint="eastAsia" w:ascii="仿宋_GB2312" w:hAnsi="仿宋" w:eastAsia="仿宋_GB2312" w:cs="仿宋"/>
          <w:color w:val="000000"/>
          <w:kern w:val="0"/>
          <w:sz w:val="32"/>
          <w:szCs w:val="32"/>
          <w:lang w:bidi="ar"/>
        </w:rPr>
        <w:t>万元、农林水支出</w:t>
      </w:r>
      <w:r>
        <w:rPr>
          <w:rFonts w:hint="eastAsia" w:ascii="仿宋_GB2312" w:hAnsi="仿宋" w:eastAsia="仿宋_GB2312" w:cs="仿宋"/>
          <w:color w:val="000000"/>
          <w:kern w:val="0"/>
          <w:sz w:val="32"/>
          <w:szCs w:val="32"/>
          <w:lang w:val="en-US" w:eastAsia="zh-CN" w:bidi="ar"/>
        </w:rPr>
        <w:t>39.44</w:t>
      </w:r>
      <w:r>
        <w:rPr>
          <w:rFonts w:hint="eastAsia" w:ascii="仿宋_GB2312" w:hAnsi="仿宋" w:eastAsia="仿宋_GB2312" w:cs="仿宋"/>
          <w:color w:val="000000"/>
          <w:kern w:val="0"/>
          <w:sz w:val="32"/>
          <w:szCs w:val="32"/>
          <w:lang w:bidi="ar"/>
        </w:rPr>
        <w:t>万元。</w:t>
      </w:r>
    </w:p>
    <w:p>
      <w:pPr>
        <w:widowControl/>
        <w:numPr>
          <w:ilvl w:val="0"/>
          <w:numId w:val="2"/>
        </w:numPr>
        <w:adjustRightInd w:val="0"/>
        <w:snapToGrid w:val="0"/>
        <w:spacing w:line="580" w:lineRule="exact"/>
        <w:ind w:left="1360" w:leftChars="0" w:hanging="720" w:firstLineChars="0"/>
        <w:contextualSpacing/>
        <w:jc w:val="left"/>
        <w:rPr>
          <w:rFonts w:hint="eastAsia" w:ascii="黑体" w:hAnsi="宋体" w:eastAsia="黑体" w:cs="宋体"/>
          <w:color w:val="000000"/>
          <w:kern w:val="0"/>
          <w:sz w:val="32"/>
          <w:szCs w:val="32"/>
          <w:shd w:val="clear" w:color="auto" w:fill="FFFFFF"/>
        </w:rPr>
      </w:pPr>
      <w:r>
        <w:rPr>
          <w:rFonts w:hint="eastAsia" w:ascii="黑体" w:hAnsi="宋体" w:eastAsia="黑体" w:cs="宋体"/>
          <w:color w:val="000000"/>
          <w:kern w:val="0"/>
          <w:sz w:val="32"/>
          <w:szCs w:val="32"/>
          <w:shd w:val="clear" w:color="auto" w:fill="FFFFFF"/>
        </w:rPr>
        <w:t>部门整体预算绩效管理情况</w:t>
      </w:r>
    </w:p>
    <w:p>
      <w:pPr>
        <w:widowControl/>
        <w:adjustRightInd w:val="0"/>
        <w:snapToGrid w:val="0"/>
        <w:spacing w:line="580" w:lineRule="exact"/>
        <w:ind w:firstLine="642" w:firstLineChars="200"/>
        <w:contextualSpacing/>
        <w:jc w:val="left"/>
        <w:rPr>
          <w:rFonts w:hint="eastAsia" w:ascii="楷体" w:hAnsi="楷体" w:eastAsia="楷体" w:cs="楷体"/>
          <w:b/>
          <w:bCs/>
          <w:color w:val="000000"/>
          <w:kern w:val="0"/>
          <w:sz w:val="32"/>
          <w:szCs w:val="32"/>
          <w:shd w:val="clear" w:color="auto" w:fill="FFFFFF"/>
          <w:lang w:val="zh-CN" w:eastAsia="zh-CN"/>
        </w:rPr>
      </w:pPr>
      <w:r>
        <w:rPr>
          <w:rFonts w:hint="eastAsia" w:ascii="楷体" w:hAnsi="楷体" w:eastAsia="楷体" w:cs="楷体"/>
          <w:b/>
          <w:bCs/>
          <w:color w:val="000000"/>
          <w:kern w:val="0"/>
          <w:sz w:val="32"/>
          <w:szCs w:val="32"/>
          <w:shd w:val="clear" w:color="auto" w:fill="FFFFFF"/>
          <w:lang w:val="zh-CN" w:eastAsia="zh-CN"/>
        </w:rPr>
        <w:t>（一）部门预算管理</w:t>
      </w:r>
    </w:p>
    <w:p>
      <w:pPr>
        <w:widowControl/>
        <w:spacing w:line="576" w:lineRule="exact"/>
        <w:ind w:firstLine="640" w:firstLineChars="200"/>
        <w:jc w:val="both"/>
        <w:rPr>
          <w:rFonts w:hint="eastAsia" w:ascii="仿宋_GB2312" w:hAnsi="仿宋" w:eastAsia="仿宋_GB2312" w:cs="仿宋"/>
          <w:color w:val="000000"/>
          <w:kern w:val="0"/>
          <w:sz w:val="32"/>
          <w:szCs w:val="32"/>
          <w:lang w:val="zh-CN" w:bidi="ar"/>
        </w:rPr>
      </w:pPr>
      <w:r>
        <w:rPr>
          <w:rFonts w:hint="eastAsia" w:ascii="仿宋_GB2312" w:hAnsi="仿宋" w:eastAsia="仿宋_GB2312" w:cs="仿宋"/>
          <w:color w:val="000000"/>
          <w:kern w:val="0"/>
          <w:sz w:val="32"/>
          <w:szCs w:val="32"/>
          <w:lang w:val="zh-CN" w:bidi="ar"/>
        </w:rPr>
        <w:t>茂县供销社单位机构性质是参照公务员管理的事业</w:t>
      </w:r>
      <w:r>
        <w:rPr>
          <w:rFonts w:hint="eastAsia" w:ascii="仿宋_GB2312" w:hAnsi="仿宋" w:eastAsia="仿宋_GB2312" w:cs="仿宋"/>
          <w:color w:val="000000"/>
          <w:kern w:val="0"/>
          <w:sz w:val="32"/>
          <w:szCs w:val="32"/>
          <w:lang w:val="en-US" w:eastAsia="zh-CN" w:bidi="ar"/>
        </w:rPr>
        <w:t>单</w:t>
      </w:r>
      <w:r>
        <w:rPr>
          <w:rFonts w:hint="eastAsia" w:ascii="仿宋_GB2312" w:hAnsi="仿宋" w:eastAsia="仿宋_GB2312" w:cs="仿宋"/>
          <w:color w:val="000000"/>
          <w:kern w:val="0"/>
          <w:sz w:val="32"/>
          <w:szCs w:val="32"/>
          <w:lang w:val="zh-CN" w:bidi="ar"/>
        </w:rPr>
        <w:t>位，</w:t>
      </w:r>
      <w:r>
        <w:rPr>
          <w:rFonts w:hint="eastAsia" w:ascii="仿宋_GB2312" w:hAnsi="仿宋" w:eastAsia="仿宋_GB2312" w:cs="仿宋"/>
          <w:color w:val="000000"/>
          <w:kern w:val="0"/>
          <w:sz w:val="32"/>
          <w:szCs w:val="32"/>
          <w:lang w:bidi="ar"/>
        </w:rPr>
        <w:t>201</w:t>
      </w:r>
      <w:r>
        <w:rPr>
          <w:rFonts w:hint="eastAsia" w:ascii="仿宋_GB2312" w:hAnsi="仿宋" w:eastAsia="仿宋_GB2312" w:cs="仿宋"/>
          <w:color w:val="000000"/>
          <w:kern w:val="0"/>
          <w:sz w:val="32"/>
          <w:szCs w:val="32"/>
          <w:lang w:val="en-US" w:eastAsia="zh-CN" w:bidi="ar"/>
        </w:rPr>
        <w:t>9</w:t>
      </w:r>
      <w:r>
        <w:rPr>
          <w:rFonts w:hint="eastAsia" w:ascii="仿宋_GB2312" w:hAnsi="仿宋" w:eastAsia="仿宋_GB2312" w:cs="仿宋"/>
          <w:color w:val="000000"/>
          <w:kern w:val="0"/>
          <w:sz w:val="32"/>
          <w:szCs w:val="32"/>
          <w:lang w:bidi="ar"/>
        </w:rPr>
        <w:t>年收入总额为</w:t>
      </w:r>
      <w:r>
        <w:rPr>
          <w:rFonts w:hint="eastAsia" w:ascii="仿宋_GB2312" w:hAnsi="仿宋" w:eastAsia="仿宋_GB2312" w:cs="仿宋"/>
          <w:color w:val="000000"/>
          <w:kern w:val="0"/>
          <w:sz w:val="32"/>
          <w:szCs w:val="32"/>
          <w:lang w:val="en-US" w:eastAsia="zh-CN" w:bidi="ar"/>
        </w:rPr>
        <w:t>516.88万</w:t>
      </w:r>
      <w:r>
        <w:rPr>
          <w:rFonts w:hint="eastAsia" w:ascii="仿宋_GB2312" w:hAnsi="仿宋" w:eastAsia="仿宋_GB2312" w:cs="仿宋"/>
          <w:color w:val="000000"/>
          <w:kern w:val="0"/>
          <w:sz w:val="32"/>
          <w:szCs w:val="32"/>
          <w:lang w:bidi="ar"/>
        </w:rPr>
        <w:t>元；</w:t>
      </w:r>
      <w:r>
        <w:rPr>
          <w:rFonts w:hint="eastAsia" w:ascii="仿宋_GB2312" w:hAnsi="仿宋" w:eastAsia="仿宋_GB2312" w:cs="仿宋"/>
          <w:color w:val="000000"/>
          <w:kern w:val="0"/>
          <w:sz w:val="32"/>
          <w:szCs w:val="32"/>
          <w:lang w:val="zh-CN" w:bidi="ar"/>
        </w:rPr>
        <w:t>201</w:t>
      </w:r>
      <w:r>
        <w:rPr>
          <w:rFonts w:hint="eastAsia" w:ascii="仿宋_GB2312" w:hAnsi="仿宋" w:eastAsia="仿宋_GB2312" w:cs="仿宋"/>
          <w:color w:val="000000"/>
          <w:kern w:val="0"/>
          <w:sz w:val="32"/>
          <w:szCs w:val="32"/>
          <w:lang w:val="en-US" w:eastAsia="zh-CN" w:bidi="ar"/>
        </w:rPr>
        <w:t>9</w:t>
      </w:r>
      <w:r>
        <w:rPr>
          <w:rFonts w:hint="eastAsia" w:ascii="仿宋_GB2312" w:hAnsi="仿宋" w:eastAsia="仿宋_GB2312" w:cs="仿宋"/>
          <w:color w:val="000000"/>
          <w:kern w:val="0"/>
          <w:sz w:val="32"/>
          <w:szCs w:val="32"/>
          <w:lang w:val="zh-CN" w:bidi="ar"/>
        </w:rPr>
        <w:t>年度供销社财政拨款收入决算数为</w:t>
      </w:r>
      <w:r>
        <w:rPr>
          <w:rFonts w:hint="eastAsia" w:ascii="仿宋_GB2312" w:hAnsi="仿宋" w:eastAsia="仿宋_GB2312" w:cs="仿宋"/>
          <w:color w:val="000000"/>
          <w:kern w:val="0"/>
          <w:sz w:val="32"/>
          <w:szCs w:val="32"/>
          <w:lang w:val="en-US" w:eastAsia="zh-CN" w:bidi="ar"/>
        </w:rPr>
        <w:t>516.88万</w:t>
      </w:r>
      <w:r>
        <w:rPr>
          <w:rFonts w:hint="eastAsia" w:ascii="仿宋_GB2312" w:hAnsi="仿宋" w:eastAsia="仿宋_GB2312" w:cs="仿宋"/>
          <w:color w:val="000000"/>
          <w:kern w:val="0"/>
          <w:sz w:val="32"/>
          <w:szCs w:val="32"/>
          <w:lang w:val="zh-CN" w:bidi="ar"/>
        </w:rPr>
        <w:t>元，支出决算数为</w:t>
      </w:r>
      <w:r>
        <w:rPr>
          <w:rFonts w:hint="eastAsia" w:ascii="仿宋_GB2312" w:hAnsi="仿宋" w:eastAsia="仿宋_GB2312" w:cs="仿宋"/>
          <w:color w:val="000000"/>
          <w:kern w:val="0"/>
          <w:sz w:val="32"/>
          <w:szCs w:val="32"/>
          <w:lang w:val="en-US" w:eastAsia="zh-CN" w:bidi="ar"/>
        </w:rPr>
        <w:t>521.85万</w:t>
      </w:r>
      <w:r>
        <w:rPr>
          <w:rFonts w:hint="eastAsia" w:ascii="仿宋_GB2312" w:hAnsi="仿宋" w:eastAsia="仿宋_GB2312" w:cs="仿宋"/>
          <w:color w:val="000000"/>
          <w:kern w:val="0"/>
          <w:sz w:val="32"/>
          <w:szCs w:val="32"/>
          <w:lang w:val="zh-CN" w:bidi="ar"/>
        </w:rPr>
        <w:t>元。</w:t>
      </w:r>
    </w:p>
    <w:p>
      <w:pPr>
        <w:widowControl/>
        <w:spacing w:line="576" w:lineRule="exact"/>
        <w:ind w:firstLine="640" w:firstLineChars="200"/>
        <w:jc w:val="both"/>
        <w:rPr>
          <w:rFonts w:hint="eastAsia" w:ascii="仿宋_GB2312" w:hAnsi="宋体" w:cs="宋体"/>
          <w:color w:val="000000"/>
          <w:kern w:val="0"/>
          <w:szCs w:val="32"/>
          <w:shd w:val="clear" w:color="auto" w:fill="FFFFFF"/>
          <w:lang w:val="zh-CN"/>
        </w:rPr>
      </w:pPr>
      <w:r>
        <w:rPr>
          <w:rFonts w:hint="eastAsia" w:ascii="仿宋_GB2312" w:hAnsi="仿宋" w:eastAsia="仿宋_GB2312" w:cs="仿宋"/>
          <w:color w:val="000000"/>
          <w:kern w:val="0"/>
          <w:sz w:val="32"/>
          <w:szCs w:val="32"/>
          <w:lang w:val="en-US" w:eastAsia="zh-CN" w:bidi="ar"/>
        </w:rPr>
        <w:t>本</w:t>
      </w:r>
      <w:r>
        <w:rPr>
          <w:rFonts w:hint="eastAsia" w:ascii="仿宋_GB2312" w:hAnsi="仿宋" w:eastAsia="仿宋_GB2312" w:cs="仿宋"/>
          <w:color w:val="000000"/>
          <w:kern w:val="0"/>
          <w:sz w:val="32"/>
          <w:szCs w:val="32"/>
          <w:lang w:val="zh-CN" w:bidi="ar"/>
        </w:rPr>
        <w:t>单位</w:t>
      </w:r>
      <w:r>
        <w:rPr>
          <w:rFonts w:hint="eastAsia" w:ascii="仿宋_GB2312" w:hAnsi="仿宋" w:eastAsia="仿宋_GB2312" w:cs="仿宋"/>
          <w:color w:val="000000"/>
          <w:kern w:val="0"/>
          <w:sz w:val="32"/>
          <w:szCs w:val="32"/>
          <w:lang w:bidi="ar"/>
        </w:rPr>
        <w:t>201</w:t>
      </w:r>
      <w:r>
        <w:rPr>
          <w:rFonts w:hint="eastAsia" w:ascii="仿宋_GB2312" w:hAnsi="仿宋" w:eastAsia="仿宋_GB2312" w:cs="仿宋"/>
          <w:color w:val="000000"/>
          <w:kern w:val="0"/>
          <w:sz w:val="32"/>
          <w:szCs w:val="32"/>
          <w:lang w:val="en-US" w:eastAsia="zh-CN" w:bidi="ar"/>
        </w:rPr>
        <w:t>9</w:t>
      </w:r>
      <w:r>
        <w:rPr>
          <w:rFonts w:hint="eastAsia" w:ascii="仿宋_GB2312" w:hAnsi="仿宋" w:eastAsia="仿宋_GB2312" w:cs="仿宋"/>
          <w:color w:val="000000"/>
          <w:kern w:val="0"/>
          <w:sz w:val="32"/>
          <w:szCs w:val="32"/>
          <w:lang w:bidi="ar"/>
        </w:rPr>
        <w:t>年度</w:t>
      </w:r>
      <w:r>
        <w:rPr>
          <w:rFonts w:hint="eastAsia" w:ascii="仿宋_GB2312" w:hAnsi="仿宋" w:eastAsia="仿宋_GB2312" w:cs="仿宋"/>
          <w:color w:val="000000"/>
          <w:kern w:val="0"/>
          <w:sz w:val="32"/>
          <w:szCs w:val="32"/>
          <w:lang w:val="zh-CN" w:bidi="ar"/>
        </w:rPr>
        <w:t>“三公”经费支付总额为</w:t>
      </w:r>
      <w:r>
        <w:rPr>
          <w:rFonts w:hint="eastAsia" w:ascii="仿宋_GB2312" w:hAnsi="仿宋" w:eastAsia="仿宋_GB2312" w:cs="仿宋"/>
          <w:color w:val="000000"/>
          <w:kern w:val="0"/>
          <w:sz w:val="32"/>
          <w:szCs w:val="32"/>
          <w:lang w:bidi="ar"/>
        </w:rPr>
        <w:t>0</w:t>
      </w:r>
      <w:r>
        <w:rPr>
          <w:rFonts w:hint="eastAsia" w:ascii="仿宋_GB2312" w:hAnsi="仿宋" w:eastAsia="仿宋_GB2312" w:cs="仿宋"/>
          <w:color w:val="000000"/>
          <w:kern w:val="0"/>
          <w:sz w:val="32"/>
          <w:szCs w:val="32"/>
          <w:lang w:eastAsia="zh-CN" w:bidi="ar"/>
        </w:rPr>
        <w:t>万</w:t>
      </w:r>
      <w:r>
        <w:rPr>
          <w:rFonts w:hint="eastAsia" w:ascii="仿宋_GB2312" w:hAnsi="仿宋" w:eastAsia="仿宋_GB2312" w:cs="仿宋"/>
          <w:color w:val="000000"/>
          <w:kern w:val="0"/>
          <w:sz w:val="32"/>
          <w:szCs w:val="32"/>
          <w:lang w:bidi="ar"/>
        </w:rPr>
        <w:t>元，主要是节约资金开支。各项收支</w:t>
      </w:r>
      <w:r>
        <w:rPr>
          <w:rFonts w:hint="eastAsia" w:ascii="仿宋_GB2312" w:hAnsi="仿宋" w:eastAsia="仿宋_GB2312" w:cs="仿宋"/>
          <w:color w:val="000000"/>
          <w:kern w:val="0"/>
          <w:sz w:val="32"/>
          <w:szCs w:val="32"/>
          <w:lang w:val="zh-CN" w:bidi="ar"/>
        </w:rPr>
        <w:t>数据是真实、准确、完整并及时上报，不存在上报数据与财务账不一致等问题。</w:t>
      </w:r>
    </w:p>
    <w:p>
      <w:pPr>
        <w:widowControl/>
        <w:adjustRightInd w:val="0"/>
        <w:snapToGrid w:val="0"/>
        <w:spacing w:line="580" w:lineRule="exact"/>
        <w:ind w:firstLine="642" w:firstLineChars="200"/>
        <w:contextualSpacing/>
        <w:jc w:val="left"/>
        <w:rPr>
          <w:rFonts w:hint="eastAsia" w:ascii="楷体" w:hAnsi="楷体" w:eastAsia="楷体" w:cs="楷体"/>
          <w:b/>
          <w:bCs/>
          <w:color w:val="000000"/>
          <w:kern w:val="0"/>
          <w:sz w:val="32"/>
          <w:szCs w:val="32"/>
          <w:shd w:val="clear" w:color="auto" w:fill="FFFFFF"/>
          <w:lang w:val="zh-CN" w:eastAsia="zh-CN"/>
        </w:rPr>
      </w:pPr>
      <w:r>
        <w:rPr>
          <w:rFonts w:hint="eastAsia" w:ascii="楷体" w:hAnsi="楷体" w:eastAsia="楷体" w:cs="楷体"/>
          <w:b/>
          <w:bCs/>
          <w:color w:val="000000"/>
          <w:kern w:val="0"/>
          <w:sz w:val="32"/>
          <w:szCs w:val="32"/>
          <w:shd w:val="clear" w:color="auto" w:fill="FFFFFF"/>
          <w:lang w:val="zh-CN" w:eastAsia="zh-CN"/>
        </w:rPr>
        <w:t>（二）结果应用情况</w:t>
      </w:r>
    </w:p>
    <w:p>
      <w:pPr>
        <w:widowControl/>
        <w:adjustRightInd w:val="0"/>
        <w:snapToGrid w:val="0"/>
        <w:spacing w:line="580" w:lineRule="exact"/>
        <w:ind w:firstLine="640" w:firstLineChars="200"/>
        <w:contextualSpacing/>
        <w:jc w:val="left"/>
        <w:rPr>
          <w:rFonts w:hint="eastAsia" w:ascii="仿宋_GB2312" w:eastAsia="仿宋_GB2312"/>
          <w:sz w:val="32"/>
          <w:szCs w:val="32"/>
        </w:rPr>
      </w:pPr>
      <w:r>
        <w:rPr>
          <w:rFonts w:hint="eastAsia" w:ascii="仿宋_GB2312" w:hAnsi="仿宋" w:eastAsia="仿宋_GB2312" w:cs="仿宋"/>
          <w:color w:val="000000"/>
          <w:kern w:val="0"/>
          <w:sz w:val="32"/>
          <w:szCs w:val="32"/>
          <w:lang w:val="en-US" w:eastAsia="zh-CN"/>
        </w:rPr>
        <w:t>本单位</w:t>
      </w:r>
      <w:r>
        <w:rPr>
          <w:rFonts w:hint="eastAsia" w:ascii="仿宋_GB2312" w:hAnsi="仿宋" w:eastAsia="仿宋_GB2312" w:cs="仿宋"/>
          <w:color w:val="000000"/>
          <w:kern w:val="0"/>
          <w:sz w:val="32"/>
          <w:szCs w:val="32"/>
          <w:lang w:val="zh-CN"/>
        </w:rPr>
        <w:t>严格按照政府和财政的规定执行政策采购</w:t>
      </w:r>
      <w:r>
        <w:rPr>
          <w:rFonts w:hint="eastAsia" w:ascii="仿宋_GB2312" w:hAnsi="仿宋" w:eastAsia="仿宋_GB2312" w:cs="仿宋"/>
          <w:color w:val="000000"/>
          <w:kern w:val="0"/>
          <w:sz w:val="32"/>
          <w:szCs w:val="32"/>
          <w:lang w:bidi="ar"/>
        </w:rPr>
        <w:t xml:space="preserve">不断强化绩效理念，对部门预算绩效管理工作开展情况认真进行了自查自评。将评价结果作为预算安排的重要依据，保障重点支出，调整支出结构，优化财政资金配置，推动部门整体绩效管理水平不断提升。 </w:t>
      </w:r>
    </w:p>
    <w:p>
      <w:pPr>
        <w:widowControl/>
        <w:numPr>
          <w:ilvl w:val="0"/>
          <w:numId w:val="2"/>
        </w:numPr>
        <w:adjustRightInd w:val="0"/>
        <w:snapToGrid w:val="0"/>
        <w:spacing w:line="580" w:lineRule="exact"/>
        <w:ind w:left="1360" w:leftChars="0" w:hanging="720" w:firstLineChars="0"/>
        <w:contextualSpacing/>
        <w:jc w:val="left"/>
        <w:rPr>
          <w:rFonts w:hint="eastAsia" w:ascii="黑体" w:hAnsi="宋体" w:eastAsia="黑体" w:cs="宋体"/>
          <w:color w:val="000000"/>
          <w:kern w:val="0"/>
          <w:sz w:val="32"/>
          <w:szCs w:val="32"/>
          <w:shd w:val="clear" w:color="auto" w:fill="FFFFFF"/>
          <w:lang w:val="en-US" w:eastAsia="zh-CN"/>
        </w:rPr>
      </w:pPr>
      <w:r>
        <w:rPr>
          <w:rFonts w:hint="eastAsia" w:ascii="黑体" w:hAnsi="宋体" w:eastAsia="黑体" w:cs="宋体"/>
          <w:color w:val="000000"/>
          <w:kern w:val="0"/>
          <w:sz w:val="32"/>
          <w:szCs w:val="32"/>
          <w:shd w:val="clear" w:color="auto" w:fill="FFFFFF"/>
          <w:lang w:val="en-US" w:eastAsia="zh-CN"/>
        </w:rPr>
        <w:t>评价结论及建议</w:t>
      </w:r>
    </w:p>
    <w:p>
      <w:pPr>
        <w:widowControl/>
        <w:adjustRightInd w:val="0"/>
        <w:snapToGrid w:val="0"/>
        <w:spacing w:line="580" w:lineRule="exact"/>
        <w:ind w:firstLine="642" w:firstLineChars="200"/>
        <w:contextualSpacing/>
        <w:jc w:val="left"/>
        <w:rPr>
          <w:rFonts w:hint="eastAsia" w:ascii="楷体" w:hAnsi="楷体" w:eastAsia="楷体" w:cs="楷体"/>
          <w:b/>
          <w:bCs/>
          <w:color w:val="000000"/>
          <w:kern w:val="0"/>
          <w:sz w:val="32"/>
          <w:szCs w:val="32"/>
          <w:shd w:val="clear" w:color="auto" w:fill="FFFFFF"/>
          <w:lang w:val="zh-CN" w:eastAsia="zh-CN"/>
        </w:rPr>
      </w:pPr>
      <w:r>
        <w:rPr>
          <w:rFonts w:hint="eastAsia" w:ascii="楷体" w:hAnsi="楷体" w:eastAsia="楷体" w:cs="楷体"/>
          <w:b/>
          <w:bCs/>
          <w:color w:val="000000"/>
          <w:kern w:val="0"/>
          <w:sz w:val="32"/>
          <w:szCs w:val="32"/>
          <w:shd w:val="clear" w:color="auto" w:fill="FFFFFF"/>
          <w:lang w:val="zh-CN" w:eastAsia="zh-CN"/>
        </w:rPr>
        <w:t>（一）评价结论</w:t>
      </w:r>
    </w:p>
    <w:p>
      <w:pPr>
        <w:pStyle w:val="3"/>
        <w:spacing w:line="576" w:lineRule="exact"/>
        <w:ind w:firstLine="640" w:firstLineChars="200"/>
        <w:jc w:val="both"/>
        <w:rPr>
          <w:rFonts w:hint="default" w:ascii="仿宋_GB2312" w:hAnsi="仿宋_GB2312" w:eastAsia="仿宋_GB2312" w:cs="仿宋_GB2312"/>
          <w:b w:val="0"/>
          <w:bCs w:val="0"/>
          <w:sz w:val="32"/>
          <w:szCs w:val="32"/>
          <w:lang w:val="en-US" w:eastAsia="zh-CN"/>
        </w:rPr>
      </w:pPr>
      <w:r>
        <w:rPr>
          <w:rFonts w:hint="eastAsia" w:ascii="仿宋_GB2312" w:hAnsi="仿宋_GB2312" w:eastAsia="仿宋_GB2312" w:cs="仿宋_GB2312"/>
          <w:b w:val="0"/>
          <w:bCs w:val="0"/>
          <w:color w:val="000000"/>
          <w:sz w:val="32"/>
          <w:szCs w:val="32"/>
        </w:rPr>
        <w:t>供销社坚持为“三农”服务办社宗旨，提升为农服务功能；坚持以市场经济为导向，提升企业市场竞争力；坚持稳中求进的工作基调，推进供销社综合改革发展，取得了较好的成效</w:t>
      </w:r>
      <w:r>
        <w:rPr>
          <w:rFonts w:hint="eastAsia" w:ascii="仿宋_GB2312" w:hAnsi="仿宋_GB2312" w:eastAsia="仿宋_GB2312" w:cs="仿宋_GB2312"/>
          <w:b w:val="0"/>
          <w:bCs w:val="0"/>
          <w:color w:val="000000"/>
          <w:sz w:val="32"/>
          <w:szCs w:val="32"/>
          <w:lang w:eastAsia="zh-CN"/>
        </w:rPr>
        <w:t>。</w:t>
      </w:r>
      <w:r>
        <w:rPr>
          <w:rFonts w:hint="eastAsia" w:ascii="仿宋_GB2312" w:hAnsi="仿宋_GB2312" w:eastAsia="仿宋_GB2312" w:cs="仿宋_GB2312"/>
          <w:b w:val="0"/>
          <w:bCs w:val="0"/>
          <w:color w:val="000000"/>
          <w:kern w:val="0"/>
          <w:sz w:val="32"/>
          <w:szCs w:val="32"/>
          <w:lang w:bidi="ar"/>
        </w:rPr>
        <w:t>201</w:t>
      </w:r>
      <w:r>
        <w:rPr>
          <w:rFonts w:hint="eastAsia" w:ascii="仿宋_GB2312" w:hAnsi="仿宋_GB2312" w:eastAsia="仿宋_GB2312" w:cs="仿宋_GB2312"/>
          <w:b w:val="0"/>
          <w:bCs w:val="0"/>
          <w:color w:val="000000"/>
          <w:kern w:val="0"/>
          <w:sz w:val="32"/>
          <w:szCs w:val="32"/>
          <w:lang w:val="en-US" w:eastAsia="zh-CN" w:bidi="ar"/>
        </w:rPr>
        <w:t>9</w:t>
      </w:r>
      <w:r>
        <w:rPr>
          <w:rFonts w:hint="eastAsia" w:ascii="仿宋_GB2312" w:hAnsi="仿宋_GB2312" w:eastAsia="仿宋_GB2312" w:cs="仿宋_GB2312"/>
          <w:b w:val="0"/>
          <w:bCs w:val="0"/>
          <w:color w:val="000000"/>
          <w:kern w:val="0"/>
          <w:sz w:val="32"/>
          <w:szCs w:val="32"/>
          <w:lang w:bidi="ar"/>
        </w:rPr>
        <w:t>年茂县供销社整体支出绩效评价自查自评结果良好，全年基本支出保证了部门的正常运行和日常工作正常开展，项目支出保障了重点工作的开展，达到预期绩效目标</w:t>
      </w:r>
      <w:r>
        <w:rPr>
          <w:rFonts w:hint="eastAsia" w:ascii="仿宋_GB2312" w:hAnsi="仿宋_GB2312" w:eastAsia="仿宋_GB2312" w:cs="仿宋_GB2312"/>
          <w:b w:val="0"/>
          <w:bCs w:val="0"/>
          <w:color w:val="000000"/>
          <w:kern w:val="0"/>
          <w:sz w:val="32"/>
          <w:szCs w:val="32"/>
          <w:lang w:eastAsia="zh-CN" w:bidi="ar"/>
        </w:rPr>
        <w:t>，得分</w:t>
      </w:r>
      <w:r>
        <w:rPr>
          <w:rFonts w:hint="eastAsia" w:ascii="仿宋_GB2312" w:hAnsi="仿宋_GB2312" w:eastAsia="仿宋_GB2312" w:cs="仿宋_GB2312"/>
          <w:b w:val="0"/>
          <w:bCs w:val="0"/>
          <w:color w:val="000000"/>
          <w:kern w:val="0"/>
          <w:sz w:val="32"/>
          <w:szCs w:val="32"/>
          <w:lang w:val="en-US" w:eastAsia="zh-CN" w:bidi="ar"/>
        </w:rPr>
        <w:t>95.5分。</w:t>
      </w:r>
    </w:p>
    <w:p>
      <w:pPr>
        <w:widowControl/>
        <w:adjustRightInd w:val="0"/>
        <w:snapToGrid w:val="0"/>
        <w:spacing w:line="580" w:lineRule="exact"/>
        <w:ind w:firstLine="642" w:firstLineChars="200"/>
        <w:contextualSpacing/>
        <w:jc w:val="left"/>
        <w:rPr>
          <w:rFonts w:hint="eastAsia" w:ascii="楷体" w:hAnsi="楷体" w:eastAsia="楷体" w:cs="楷体"/>
          <w:b/>
          <w:bCs/>
          <w:color w:val="000000"/>
          <w:kern w:val="0"/>
          <w:sz w:val="32"/>
          <w:szCs w:val="32"/>
          <w:shd w:val="clear" w:color="auto" w:fill="FFFFFF"/>
          <w:lang w:val="zh-CN" w:eastAsia="zh-CN"/>
        </w:rPr>
      </w:pPr>
      <w:r>
        <w:rPr>
          <w:rFonts w:hint="eastAsia" w:ascii="楷体" w:hAnsi="楷体" w:eastAsia="楷体" w:cs="楷体"/>
          <w:b/>
          <w:bCs/>
          <w:color w:val="000000"/>
          <w:kern w:val="0"/>
          <w:sz w:val="32"/>
          <w:szCs w:val="32"/>
          <w:shd w:val="clear" w:color="auto" w:fill="FFFFFF"/>
          <w:lang w:val="zh-CN" w:eastAsia="zh-CN"/>
        </w:rPr>
        <w:t>（二）存在问题</w:t>
      </w:r>
    </w:p>
    <w:p>
      <w:pPr>
        <w:widowControl/>
        <w:spacing w:line="576" w:lineRule="exact"/>
        <w:ind w:firstLine="640" w:firstLineChars="200"/>
        <w:jc w:val="left"/>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lang w:val="zh-CN"/>
        </w:rPr>
        <w:t>内控制度是单位重要部分，我单位内控制度还有待完善和提高</w:t>
      </w:r>
      <w:r>
        <w:rPr>
          <w:rFonts w:hint="eastAsia" w:ascii="仿宋_GB2312" w:hAnsi="仿宋_GB2312" w:eastAsia="仿宋_GB2312" w:cs="仿宋_GB2312"/>
          <w:color w:val="000000"/>
          <w:sz w:val="32"/>
          <w:szCs w:val="32"/>
        </w:rPr>
        <w:t>。</w:t>
      </w:r>
    </w:p>
    <w:tbl>
      <w:tblPr>
        <w:tblStyle w:val="12"/>
        <w:tblW w:w="0" w:type="auto"/>
        <w:tblInd w:w="95" w:type="dxa"/>
        <w:tblLayout w:type="fixed"/>
        <w:tblCellMar>
          <w:top w:w="0" w:type="dxa"/>
          <w:left w:w="0" w:type="dxa"/>
          <w:bottom w:w="0" w:type="dxa"/>
          <w:right w:w="0" w:type="dxa"/>
        </w:tblCellMar>
      </w:tblPr>
      <w:tblGrid>
        <w:gridCol w:w="520"/>
        <w:gridCol w:w="520"/>
        <w:gridCol w:w="939"/>
        <w:gridCol w:w="2414"/>
        <w:gridCol w:w="240"/>
        <w:gridCol w:w="466"/>
        <w:gridCol w:w="3478"/>
      </w:tblGrid>
      <w:tr>
        <w:tblPrEx>
          <w:tblCellMar>
            <w:top w:w="0" w:type="dxa"/>
            <w:left w:w="0" w:type="dxa"/>
            <w:bottom w:w="0" w:type="dxa"/>
            <w:right w:w="0" w:type="dxa"/>
          </w:tblCellMar>
        </w:tblPrEx>
        <w:trPr>
          <w:trHeight w:val="90" w:hRule="atLeast"/>
        </w:trPr>
        <w:tc>
          <w:tcPr>
            <w:tcW w:w="8577" w:type="dxa"/>
            <w:gridSpan w:val="7"/>
            <w:tcBorders>
              <w:top w:val="nil"/>
              <w:left w:val="nil"/>
              <w:bottom w:val="single" w:color="000000" w:sz="4" w:space="0"/>
              <w:right w:val="nil"/>
            </w:tcBorders>
            <w:noWrap/>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b/>
                <w:color w:val="000000"/>
                <w:kern w:val="2"/>
                <w:sz w:val="28"/>
                <w:szCs w:val="28"/>
              </w:rPr>
            </w:pPr>
            <w:r>
              <w:rPr>
                <w:rFonts w:hint="eastAsia" w:ascii="宋体" w:hAnsi="宋体" w:eastAsia="宋体" w:cs="宋体"/>
                <w:b/>
                <w:color w:val="000000"/>
                <w:kern w:val="0"/>
                <w:sz w:val="28"/>
                <w:szCs w:val="28"/>
                <w:lang w:val="en-US" w:eastAsia="zh-CN" w:bidi="ar"/>
              </w:rPr>
              <w:t>201</w:t>
            </w:r>
            <w:r>
              <w:rPr>
                <w:rFonts w:hint="eastAsia" w:ascii="宋体" w:hAnsi="宋体" w:cs="宋体"/>
                <w:b/>
                <w:color w:val="000000"/>
                <w:kern w:val="0"/>
                <w:sz w:val="28"/>
                <w:szCs w:val="28"/>
                <w:lang w:val="en-US" w:eastAsia="zh-CN" w:bidi="ar"/>
              </w:rPr>
              <w:t>9</w:t>
            </w:r>
            <w:r>
              <w:rPr>
                <w:rFonts w:hint="eastAsia" w:ascii="宋体" w:hAnsi="宋体" w:eastAsia="宋体" w:cs="宋体"/>
                <w:b/>
                <w:color w:val="000000"/>
                <w:kern w:val="0"/>
                <w:sz w:val="28"/>
                <w:szCs w:val="28"/>
                <w:lang w:val="en-US" w:eastAsia="zh-CN" w:bidi="ar"/>
              </w:rPr>
              <w:t>年县级部门整体支出绩效评价指标体系</w:t>
            </w:r>
          </w:p>
        </w:tc>
      </w:tr>
      <w:tr>
        <w:tblPrEx>
          <w:tblCellMar>
            <w:top w:w="0" w:type="dxa"/>
            <w:left w:w="0" w:type="dxa"/>
            <w:bottom w:w="0" w:type="dxa"/>
            <w:right w:w="0" w:type="dxa"/>
          </w:tblCellMar>
        </w:tblPrEx>
        <w:trPr>
          <w:trHeight w:val="285" w:hRule="atLeast"/>
        </w:trPr>
        <w:tc>
          <w:tcPr>
            <w:tcW w:w="520" w:type="dxa"/>
            <w:tcBorders>
              <w:top w:val="single" w:color="000000" w:sz="4" w:space="0"/>
              <w:left w:val="single" w:color="000000" w:sz="4" w:space="0"/>
              <w:bottom w:val="single" w:color="000000" w:sz="4" w:space="0"/>
              <w:right w:val="single" w:color="000000" w:sz="4" w:space="0"/>
            </w:tcBorders>
            <w:shd w:val="clear" w:color="auto" w:fill="auto"/>
            <w:noWrap w:val="0"/>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b/>
                <w:color w:val="000000"/>
                <w:kern w:val="2"/>
                <w:sz w:val="20"/>
                <w:szCs w:val="20"/>
              </w:rPr>
            </w:pPr>
            <w:r>
              <w:rPr>
                <w:rFonts w:hint="eastAsia" w:ascii="宋体" w:hAnsi="宋体" w:eastAsia="宋体" w:cs="宋体"/>
                <w:b/>
                <w:color w:val="000000"/>
                <w:kern w:val="0"/>
                <w:sz w:val="20"/>
                <w:szCs w:val="20"/>
                <w:lang w:val="en-US" w:eastAsia="zh-CN" w:bidi="ar"/>
              </w:rPr>
              <w:t>一级指标</w:t>
            </w:r>
          </w:p>
        </w:tc>
        <w:tc>
          <w:tcPr>
            <w:tcW w:w="520" w:type="dxa"/>
            <w:tcBorders>
              <w:top w:val="single" w:color="000000" w:sz="4" w:space="0"/>
              <w:left w:val="nil"/>
              <w:bottom w:val="single" w:color="000000" w:sz="4" w:space="0"/>
              <w:right w:val="single" w:color="000000" w:sz="4" w:space="0"/>
            </w:tcBorders>
            <w:shd w:val="clear" w:color="auto" w:fill="auto"/>
            <w:noWrap w:val="0"/>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b/>
                <w:color w:val="000000"/>
                <w:kern w:val="2"/>
                <w:sz w:val="20"/>
                <w:szCs w:val="20"/>
              </w:rPr>
            </w:pPr>
            <w:r>
              <w:rPr>
                <w:rFonts w:hint="eastAsia" w:ascii="宋体" w:hAnsi="宋体" w:eastAsia="宋体" w:cs="宋体"/>
                <w:b/>
                <w:color w:val="000000"/>
                <w:kern w:val="0"/>
                <w:sz w:val="20"/>
                <w:szCs w:val="20"/>
                <w:lang w:val="en-US" w:eastAsia="zh-CN" w:bidi="ar"/>
              </w:rPr>
              <w:t>二级指标</w:t>
            </w:r>
          </w:p>
        </w:tc>
        <w:tc>
          <w:tcPr>
            <w:tcW w:w="939" w:type="dxa"/>
            <w:tcBorders>
              <w:top w:val="single" w:color="000000" w:sz="4" w:space="0"/>
              <w:left w:val="nil"/>
              <w:bottom w:val="single" w:color="000000" w:sz="4" w:space="0"/>
              <w:right w:val="single" w:color="000000" w:sz="4" w:space="0"/>
            </w:tcBorders>
            <w:shd w:val="clear" w:color="auto" w:fill="auto"/>
            <w:noWrap w:val="0"/>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b/>
                <w:color w:val="000000"/>
                <w:kern w:val="2"/>
                <w:sz w:val="20"/>
                <w:szCs w:val="20"/>
              </w:rPr>
            </w:pPr>
            <w:r>
              <w:rPr>
                <w:rFonts w:hint="eastAsia" w:ascii="宋体" w:hAnsi="宋体" w:eastAsia="宋体" w:cs="宋体"/>
                <w:b/>
                <w:color w:val="000000"/>
                <w:kern w:val="0"/>
                <w:sz w:val="20"/>
                <w:szCs w:val="20"/>
                <w:lang w:val="en-US" w:eastAsia="zh-CN" w:bidi="ar"/>
              </w:rPr>
              <w:t>三级指标</w:t>
            </w:r>
          </w:p>
        </w:tc>
        <w:tc>
          <w:tcPr>
            <w:tcW w:w="2414" w:type="dxa"/>
            <w:tcBorders>
              <w:top w:val="single" w:color="000000" w:sz="4" w:space="0"/>
              <w:left w:val="nil"/>
              <w:bottom w:val="single" w:color="000000" w:sz="4" w:space="0"/>
              <w:right w:val="single" w:color="000000" w:sz="4" w:space="0"/>
            </w:tcBorders>
            <w:shd w:val="clear" w:color="auto" w:fill="auto"/>
            <w:noWrap w:val="0"/>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b/>
                <w:color w:val="000000"/>
                <w:kern w:val="2"/>
                <w:sz w:val="20"/>
                <w:szCs w:val="20"/>
              </w:rPr>
            </w:pPr>
            <w:r>
              <w:rPr>
                <w:rFonts w:hint="eastAsia" w:ascii="宋体" w:hAnsi="宋体" w:eastAsia="宋体" w:cs="宋体"/>
                <w:b/>
                <w:color w:val="000000"/>
                <w:kern w:val="0"/>
                <w:sz w:val="20"/>
                <w:szCs w:val="20"/>
                <w:lang w:val="en-US" w:eastAsia="zh-CN" w:bidi="ar"/>
              </w:rPr>
              <w:t>指标解释</w:t>
            </w:r>
          </w:p>
        </w:tc>
        <w:tc>
          <w:tcPr>
            <w:tcW w:w="240" w:type="dxa"/>
            <w:tcBorders>
              <w:top w:val="single" w:color="000000" w:sz="4" w:space="0"/>
              <w:left w:val="nil"/>
              <w:bottom w:val="single" w:color="000000" w:sz="4" w:space="0"/>
              <w:right w:val="single" w:color="000000" w:sz="4" w:space="0"/>
            </w:tcBorders>
            <w:shd w:val="clear" w:color="auto" w:fill="FFFFFF"/>
            <w:noWrap w:val="0"/>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b/>
                <w:color w:val="000000"/>
                <w:kern w:val="2"/>
                <w:sz w:val="20"/>
                <w:szCs w:val="20"/>
              </w:rPr>
            </w:pPr>
            <w:r>
              <w:rPr>
                <w:rFonts w:hint="eastAsia" w:ascii="宋体" w:hAnsi="宋体" w:eastAsia="宋体" w:cs="宋体"/>
                <w:b/>
                <w:color w:val="000000"/>
                <w:kern w:val="0"/>
                <w:sz w:val="20"/>
                <w:szCs w:val="20"/>
                <w:lang w:val="en-US" w:eastAsia="zh-CN" w:bidi="ar"/>
              </w:rPr>
              <w:t>扣分</w:t>
            </w:r>
          </w:p>
        </w:tc>
        <w:tc>
          <w:tcPr>
            <w:tcW w:w="466" w:type="dxa"/>
            <w:tcBorders>
              <w:top w:val="single" w:color="000000" w:sz="4" w:space="0"/>
              <w:left w:val="nil"/>
              <w:bottom w:val="single" w:color="000000" w:sz="4" w:space="0"/>
              <w:right w:val="single" w:color="000000" w:sz="4" w:space="0"/>
            </w:tcBorders>
            <w:shd w:val="clear" w:color="auto" w:fill="FFFFFF"/>
            <w:noWrap w:val="0"/>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b/>
                <w:color w:val="000000"/>
                <w:kern w:val="2"/>
                <w:sz w:val="20"/>
                <w:szCs w:val="20"/>
              </w:rPr>
            </w:pPr>
            <w:r>
              <w:rPr>
                <w:rFonts w:hint="eastAsia" w:ascii="宋体" w:hAnsi="宋体" w:eastAsia="宋体" w:cs="宋体"/>
                <w:b/>
                <w:color w:val="000000"/>
                <w:kern w:val="0"/>
                <w:sz w:val="20"/>
                <w:szCs w:val="20"/>
                <w:lang w:val="en-US" w:eastAsia="zh-CN" w:bidi="ar"/>
              </w:rPr>
              <w:t>扣分理由</w:t>
            </w:r>
          </w:p>
        </w:tc>
        <w:tc>
          <w:tcPr>
            <w:tcW w:w="3478" w:type="dxa"/>
            <w:tcBorders>
              <w:top w:val="single" w:color="000000" w:sz="4" w:space="0"/>
              <w:left w:val="nil"/>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b/>
                <w:color w:val="000000"/>
                <w:kern w:val="2"/>
                <w:sz w:val="20"/>
                <w:szCs w:val="20"/>
              </w:rPr>
            </w:pPr>
            <w:r>
              <w:rPr>
                <w:rFonts w:hint="eastAsia" w:ascii="宋体" w:hAnsi="宋体" w:eastAsia="宋体" w:cs="宋体"/>
                <w:b/>
                <w:color w:val="000000"/>
                <w:kern w:val="0"/>
                <w:sz w:val="20"/>
                <w:szCs w:val="20"/>
                <w:lang w:val="en-US" w:eastAsia="zh-CN" w:bidi="ar"/>
              </w:rPr>
              <w:t>计分标准（备注）</w:t>
            </w:r>
          </w:p>
        </w:tc>
      </w:tr>
      <w:tr>
        <w:tblPrEx>
          <w:tblCellMar>
            <w:top w:w="0" w:type="dxa"/>
            <w:left w:w="0" w:type="dxa"/>
            <w:bottom w:w="0" w:type="dxa"/>
            <w:right w:w="0" w:type="dxa"/>
          </w:tblCellMar>
        </w:tblPrEx>
        <w:trPr>
          <w:trHeight w:val="1184" w:hRule="atLeast"/>
        </w:trPr>
        <w:tc>
          <w:tcPr>
            <w:tcW w:w="520" w:type="dxa"/>
            <w:vMerge w:val="restart"/>
            <w:tcBorders>
              <w:top w:val="nil"/>
              <w:left w:val="single" w:color="000000" w:sz="4" w:space="0"/>
              <w:bottom w:val="nil"/>
              <w:right w:val="single" w:color="000000" w:sz="4" w:space="0"/>
            </w:tcBorders>
            <w:shd w:val="clear" w:color="auto" w:fill="FFFFFF"/>
            <w:noWrap w:val="0"/>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000000"/>
                <w:kern w:val="2"/>
                <w:sz w:val="20"/>
                <w:szCs w:val="20"/>
              </w:rPr>
            </w:pPr>
            <w:r>
              <w:rPr>
                <w:rFonts w:hint="eastAsia" w:ascii="宋体" w:hAnsi="宋体" w:eastAsia="宋体" w:cs="宋体"/>
                <w:color w:val="000000"/>
                <w:kern w:val="0"/>
                <w:sz w:val="20"/>
                <w:szCs w:val="20"/>
                <w:lang w:val="en-US" w:eastAsia="zh-CN" w:bidi="ar"/>
              </w:rPr>
              <w:t>预算编制</w:t>
            </w:r>
            <w:r>
              <w:rPr>
                <w:rFonts w:hint="eastAsia" w:ascii="宋体" w:hAnsi="宋体" w:eastAsia="宋体" w:cs="宋体"/>
                <w:color w:val="000000"/>
                <w:kern w:val="0"/>
                <w:sz w:val="20"/>
                <w:szCs w:val="20"/>
                <w:lang w:val="en-US" w:eastAsia="zh-CN" w:bidi="ar"/>
              </w:rPr>
              <w:br w:type="textWrapping"/>
            </w:r>
            <w:r>
              <w:rPr>
                <w:rFonts w:hint="eastAsia" w:ascii="宋体" w:hAnsi="宋体" w:eastAsia="宋体" w:cs="宋体"/>
                <w:color w:val="000000"/>
                <w:kern w:val="0"/>
                <w:sz w:val="20"/>
                <w:szCs w:val="20"/>
                <w:lang w:val="en-US" w:eastAsia="zh-CN" w:bidi="ar"/>
              </w:rPr>
              <w:t>（10分）</w:t>
            </w:r>
          </w:p>
        </w:tc>
        <w:tc>
          <w:tcPr>
            <w:tcW w:w="520" w:type="dxa"/>
            <w:tcBorders>
              <w:top w:val="single" w:color="000000" w:sz="4" w:space="0"/>
              <w:left w:val="nil"/>
              <w:bottom w:val="single" w:color="000000" w:sz="4" w:space="0"/>
              <w:right w:val="single" w:color="000000" w:sz="4" w:space="0"/>
            </w:tcBorders>
            <w:shd w:val="clear" w:color="auto" w:fill="auto"/>
            <w:noWrap w:val="0"/>
            <w:tcMar>
              <w:top w:w="15" w:type="dxa"/>
              <w:left w:w="15" w:type="dxa"/>
              <w:right w:w="15" w:type="dxa"/>
            </w:tcMar>
            <w:vAlign w:val="center"/>
          </w:tcPr>
          <w:p>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color w:val="000000"/>
                <w:kern w:val="2"/>
                <w:sz w:val="20"/>
                <w:szCs w:val="20"/>
              </w:rPr>
            </w:pPr>
            <w:r>
              <w:rPr>
                <w:rFonts w:hint="eastAsia" w:ascii="宋体" w:hAnsi="宋体" w:eastAsia="宋体" w:cs="宋体"/>
                <w:color w:val="000000"/>
                <w:kern w:val="0"/>
                <w:sz w:val="20"/>
                <w:szCs w:val="20"/>
                <w:lang w:val="en-US" w:eastAsia="zh-CN" w:bidi="ar"/>
              </w:rPr>
              <w:t>报送时效</w:t>
            </w:r>
            <w:r>
              <w:rPr>
                <w:rFonts w:hint="eastAsia" w:ascii="宋体" w:hAnsi="宋体" w:eastAsia="宋体" w:cs="宋体"/>
                <w:color w:val="000000"/>
                <w:kern w:val="0"/>
                <w:sz w:val="20"/>
                <w:szCs w:val="20"/>
                <w:lang w:val="en-US" w:eastAsia="zh-CN" w:bidi="ar"/>
              </w:rPr>
              <w:br w:type="textWrapping"/>
            </w:r>
            <w:r>
              <w:rPr>
                <w:rFonts w:hint="eastAsia" w:ascii="宋体" w:hAnsi="宋体" w:eastAsia="宋体" w:cs="宋体"/>
                <w:color w:val="000000"/>
                <w:kern w:val="0"/>
                <w:sz w:val="20"/>
                <w:szCs w:val="20"/>
                <w:lang w:val="en-US" w:eastAsia="zh-CN" w:bidi="ar"/>
              </w:rPr>
              <w:t>（2分）</w:t>
            </w:r>
          </w:p>
        </w:tc>
        <w:tc>
          <w:tcPr>
            <w:tcW w:w="939" w:type="dxa"/>
            <w:tcBorders>
              <w:top w:val="single" w:color="000000" w:sz="4" w:space="0"/>
              <w:left w:val="nil"/>
              <w:bottom w:val="single" w:color="000000" w:sz="4" w:space="0"/>
              <w:right w:val="single" w:color="000000" w:sz="4" w:space="0"/>
            </w:tcBorders>
            <w:shd w:val="clear" w:color="auto" w:fill="auto"/>
            <w:noWrap w:val="0"/>
            <w:tcMar>
              <w:top w:w="15" w:type="dxa"/>
              <w:left w:w="15" w:type="dxa"/>
              <w:right w:w="15" w:type="dxa"/>
            </w:tcMar>
            <w:vAlign w:val="center"/>
          </w:tcPr>
          <w:p>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color w:val="000000"/>
                <w:kern w:val="2"/>
                <w:sz w:val="20"/>
                <w:szCs w:val="20"/>
              </w:rPr>
            </w:pPr>
            <w:r>
              <w:rPr>
                <w:rFonts w:hint="eastAsia" w:ascii="宋体" w:hAnsi="宋体" w:eastAsia="宋体" w:cs="宋体"/>
                <w:color w:val="000000"/>
                <w:kern w:val="0"/>
                <w:sz w:val="20"/>
                <w:szCs w:val="20"/>
                <w:lang w:val="en-US" w:eastAsia="zh-CN" w:bidi="ar"/>
              </w:rPr>
              <w:t>基础信息更新</w:t>
            </w:r>
            <w:r>
              <w:rPr>
                <w:rFonts w:hint="eastAsia" w:ascii="宋体" w:hAnsi="宋体" w:eastAsia="宋体" w:cs="宋体"/>
                <w:color w:val="000000"/>
                <w:kern w:val="0"/>
                <w:sz w:val="20"/>
                <w:szCs w:val="20"/>
                <w:lang w:val="en-US" w:eastAsia="zh-CN" w:bidi="ar"/>
              </w:rPr>
              <w:br w:type="textWrapping"/>
            </w:r>
            <w:r>
              <w:rPr>
                <w:rFonts w:hint="eastAsia" w:ascii="宋体" w:hAnsi="宋体" w:eastAsia="宋体" w:cs="宋体"/>
                <w:color w:val="000000"/>
                <w:kern w:val="0"/>
                <w:sz w:val="20"/>
                <w:szCs w:val="20"/>
                <w:lang w:val="en-US" w:eastAsia="zh-CN" w:bidi="ar"/>
              </w:rPr>
              <w:t>（2分）</w:t>
            </w:r>
          </w:p>
        </w:tc>
        <w:tc>
          <w:tcPr>
            <w:tcW w:w="2414" w:type="dxa"/>
            <w:tcBorders>
              <w:top w:val="single" w:color="000000" w:sz="4" w:space="0"/>
              <w:left w:val="nil"/>
              <w:bottom w:val="single" w:color="000000" w:sz="4" w:space="0"/>
              <w:right w:val="single" w:color="000000" w:sz="4" w:space="0"/>
            </w:tcBorders>
            <w:shd w:val="clear" w:color="auto" w:fill="auto"/>
            <w:noWrap w:val="0"/>
            <w:tcMar>
              <w:top w:w="15" w:type="dxa"/>
              <w:left w:w="15" w:type="dxa"/>
              <w:right w:w="15" w:type="dxa"/>
            </w:tcMar>
            <w:vAlign w:val="center"/>
          </w:tcPr>
          <w:p>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color w:val="000000"/>
                <w:kern w:val="2"/>
                <w:sz w:val="20"/>
                <w:szCs w:val="20"/>
              </w:rPr>
            </w:pPr>
            <w:r>
              <w:rPr>
                <w:rFonts w:hint="eastAsia" w:ascii="宋体" w:hAnsi="宋体" w:eastAsia="宋体" w:cs="宋体"/>
                <w:color w:val="000000"/>
                <w:kern w:val="0"/>
                <w:sz w:val="20"/>
                <w:szCs w:val="20"/>
                <w:lang w:val="en-US" w:eastAsia="zh-CN" w:bidi="ar"/>
              </w:rPr>
              <w:t>部门是否按照县级部门预算编制通知和有关要求，按时完成基础库、项目库报送工作</w:t>
            </w:r>
          </w:p>
        </w:tc>
        <w:tc>
          <w:tcPr>
            <w:tcW w:w="240" w:type="dxa"/>
            <w:tcBorders>
              <w:top w:val="single" w:color="000000" w:sz="4" w:space="0"/>
              <w:left w:val="nil"/>
              <w:bottom w:val="single" w:color="000000" w:sz="4" w:space="0"/>
              <w:right w:val="single" w:color="000000" w:sz="4" w:space="0"/>
            </w:tcBorders>
            <w:shd w:val="clear" w:color="auto" w:fill="FFFFFF"/>
            <w:noWrap w:val="0"/>
            <w:tcMar>
              <w:top w:w="15" w:type="dxa"/>
              <w:left w:w="15" w:type="dxa"/>
              <w:right w:w="15" w:type="dxa"/>
            </w:tcMar>
            <w:vAlign w:val="center"/>
          </w:tcPr>
          <w:p>
            <w:pPr>
              <w:keepNext w:val="0"/>
              <w:keepLines w:val="0"/>
              <w:widowControl w:val="0"/>
              <w:suppressLineNumbers w:val="0"/>
              <w:spacing w:before="0" w:beforeAutospacing="0" w:after="0" w:afterAutospacing="0"/>
              <w:ind w:left="0" w:right="0"/>
              <w:jc w:val="both"/>
              <w:rPr>
                <w:rFonts w:hint="eastAsia" w:ascii="宋体" w:hAnsi="宋体" w:eastAsia="宋体" w:cs="宋体"/>
                <w:color w:val="000000"/>
                <w:kern w:val="2"/>
                <w:sz w:val="20"/>
                <w:szCs w:val="20"/>
              </w:rPr>
            </w:pPr>
          </w:p>
        </w:tc>
        <w:tc>
          <w:tcPr>
            <w:tcW w:w="466" w:type="dxa"/>
            <w:tcBorders>
              <w:top w:val="single" w:color="000000" w:sz="4" w:space="0"/>
              <w:left w:val="nil"/>
              <w:bottom w:val="single" w:color="000000" w:sz="4" w:space="0"/>
              <w:right w:val="single" w:color="000000" w:sz="4" w:space="0"/>
            </w:tcBorders>
            <w:shd w:val="clear" w:color="auto" w:fill="FFFFFF"/>
            <w:noWrap w:val="0"/>
            <w:tcMar>
              <w:top w:w="15" w:type="dxa"/>
              <w:left w:w="15" w:type="dxa"/>
              <w:right w:w="15" w:type="dxa"/>
            </w:tcMar>
            <w:vAlign w:val="center"/>
          </w:tcPr>
          <w:p>
            <w:pPr>
              <w:keepNext w:val="0"/>
              <w:keepLines w:val="0"/>
              <w:widowControl w:val="0"/>
              <w:suppressLineNumbers w:val="0"/>
              <w:spacing w:before="0" w:beforeAutospacing="0" w:after="0" w:afterAutospacing="0"/>
              <w:ind w:left="0" w:right="0"/>
              <w:jc w:val="both"/>
              <w:rPr>
                <w:rFonts w:hint="eastAsia" w:ascii="宋体" w:hAnsi="宋体" w:eastAsia="宋体" w:cs="宋体"/>
                <w:color w:val="000000"/>
                <w:kern w:val="2"/>
                <w:sz w:val="20"/>
                <w:szCs w:val="20"/>
              </w:rPr>
            </w:pPr>
          </w:p>
        </w:tc>
        <w:tc>
          <w:tcPr>
            <w:tcW w:w="3478" w:type="dxa"/>
            <w:tcBorders>
              <w:top w:val="single" w:color="000000" w:sz="4" w:space="0"/>
              <w:left w:val="nil"/>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color w:val="000000"/>
                <w:kern w:val="2"/>
                <w:sz w:val="20"/>
                <w:szCs w:val="20"/>
              </w:rPr>
            </w:pPr>
            <w:r>
              <w:rPr>
                <w:rFonts w:hint="eastAsia" w:ascii="宋体" w:hAnsi="宋体" w:eastAsia="宋体" w:cs="宋体"/>
                <w:color w:val="000000"/>
                <w:kern w:val="0"/>
                <w:sz w:val="20"/>
                <w:szCs w:val="20"/>
                <w:lang w:val="en-US" w:eastAsia="zh-CN" w:bidi="ar"/>
              </w:rPr>
              <w:t>超过规定5个工作日扣0.5分，10个工作日扣1分，以此类推，直至扣完</w:t>
            </w:r>
          </w:p>
        </w:tc>
      </w:tr>
      <w:tr>
        <w:tblPrEx>
          <w:tblCellMar>
            <w:top w:w="0" w:type="dxa"/>
            <w:left w:w="0" w:type="dxa"/>
            <w:bottom w:w="0" w:type="dxa"/>
            <w:right w:w="0" w:type="dxa"/>
          </w:tblCellMar>
        </w:tblPrEx>
        <w:trPr>
          <w:trHeight w:val="1385" w:hRule="atLeast"/>
        </w:trPr>
        <w:tc>
          <w:tcPr>
            <w:tcW w:w="520" w:type="dxa"/>
            <w:vMerge w:val="continue"/>
            <w:tcBorders>
              <w:top w:val="nil"/>
              <w:left w:val="single" w:color="000000" w:sz="4" w:space="0"/>
              <w:bottom w:val="nil"/>
              <w:right w:val="single" w:color="000000" w:sz="4" w:space="0"/>
            </w:tcBorders>
            <w:shd w:val="clear" w:color="auto" w:fill="FFFFFF"/>
            <w:noWrap w:val="0"/>
            <w:tcMar>
              <w:top w:w="15" w:type="dxa"/>
              <w:left w:w="15" w:type="dxa"/>
              <w:right w:w="15" w:type="dxa"/>
            </w:tcMar>
            <w:vAlign w:val="center"/>
          </w:tcPr>
          <w:p>
            <w:pPr>
              <w:rPr>
                <w:rFonts w:hint="default" w:ascii="Times New Roman" w:hAnsi="Times New Roman" w:cs="Times New Roman"/>
                <w:sz w:val="20"/>
                <w:szCs w:val="20"/>
              </w:rPr>
            </w:pPr>
          </w:p>
        </w:tc>
        <w:tc>
          <w:tcPr>
            <w:tcW w:w="520" w:type="dxa"/>
            <w:vMerge w:val="restart"/>
            <w:tcBorders>
              <w:top w:val="nil"/>
              <w:left w:val="nil"/>
              <w:bottom w:val="single" w:color="000000" w:sz="4" w:space="0"/>
              <w:right w:val="single" w:color="000000" w:sz="4" w:space="0"/>
            </w:tcBorders>
            <w:shd w:val="clear" w:color="auto" w:fill="auto"/>
            <w:noWrap w:val="0"/>
            <w:tcMar>
              <w:top w:w="15" w:type="dxa"/>
              <w:left w:w="15" w:type="dxa"/>
              <w:right w:w="15" w:type="dxa"/>
            </w:tcMar>
            <w:vAlign w:val="center"/>
          </w:tcPr>
          <w:p>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color w:val="000000"/>
                <w:kern w:val="2"/>
                <w:sz w:val="20"/>
                <w:szCs w:val="20"/>
              </w:rPr>
            </w:pPr>
            <w:r>
              <w:rPr>
                <w:rFonts w:hint="eastAsia" w:ascii="宋体" w:hAnsi="宋体" w:eastAsia="宋体" w:cs="宋体"/>
                <w:color w:val="000000"/>
                <w:kern w:val="0"/>
                <w:sz w:val="20"/>
                <w:szCs w:val="20"/>
                <w:lang w:val="en-US" w:eastAsia="zh-CN" w:bidi="ar"/>
              </w:rPr>
              <w:t>编制质量</w:t>
            </w:r>
            <w:r>
              <w:rPr>
                <w:rFonts w:hint="eastAsia" w:ascii="宋体" w:hAnsi="宋体" w:eastAsia="宋体" w:cs="宋体"/>
                <w:color w:val="000000"/>
                <w:kern w:val="0"/>
                <w:sz w:val="20"/>
                <w:szCs w:val="20"/>
                <w:lang w:val="en-US" w:eastAsia="zh-CN" w:bidi="ar"/>
              </w:rPr>
              <w:br w:type="textWrapping"/>
            </w:r>
            <w:r>
              <w:rPr>
                <w:rFonts w:hint="eastAsia" w:ascii="宋体" w:hAnsi="宋体" w:eastAsia="宋体" w:cs="宋体"/>
                <w:color w:val="000000"/>
                <w:kern w:val="0"/>
                <w:sz w:val="20"/>
                <w:szCs w:val="20"/>
                <w:lang w:val="en-US" w:eastAsia="zh-CN" w:bidi="ar"/>
              </w:rPr>
              <w:t>（3分）</w:t>
            </w:r>
          </w:p>
        </w:tc>
        <w:tc>
          <w:tcPr>
            <w:tcW w:w="939" w:type="dxa"/>
            <w:tcBorders>
              <w:top w:val="single" w:color="000000" w:sz="4" w:space="0"/>
              <w:left w:val="nil"/>
              <w:bottom w:val="single" w:color="000000" w:sz="4" w:space="0"/>
              <w:right w:val="single" w:color="000000" w:sz="4" w:space="0"/>
            </w:tcBorders>
            <w:shd w:val="clear" w:color="auto" w:fill="auto"/>
            <w:noWrap w:val="0"/>
            <w:tcMar>
              <w:top w:w="15" w:type="dxa"/>
              <w:left w:w="15" w:type="dxa"/>
              <w:right w:w="15" w:type="dxa"/>
            </w:tcMar>
            <w:vAlign w:val="center"/>
          </w:tcPr>
          <w:p>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color w:val="000000"/>
                <w:kern w:val="2"/>
                <w:sz w:val="20"/>
                <w:szCs w:val="20"/>
              </w:rPr>
            </w:pPr>
            <w:r>
              <w:rPr>
                <w:rFonts w:hint="eastAsia" w:ascii="宋体" w:hAnsi="宋体" w:eastAsia="宋体" w:cs="宋体"/>
                <w:color w:val="000000"/>
                <w:kern w:val="0"/>
                <w:sz w:val="20"/>
                <w:szCs w:val="20"/>
                <w:lang w:val="en-US" w:eastAsia="zh-CN" w:bidi="ar"/>
              </w:rPr>
              <w:t>预算编制准确</w:t>
            </w:r>
            <w:r>
              <w:rPr>
                <w:rFonts w:hint="eastAsia" w:ascii="宋体" w:hAnsi="宋体" w:eastAsia="宋体" w:cs="宋体"/>
                <w:color w:val="000000"/>
                <w:kern w:val="0"/>
                <w:sz w:val="20"/>
                <w:szCs w:val="20"/>
                <w:lang w:val="en-US" w:eastAsia="zh-CN" w:bidi="ar"/>
              </w:rPr>
              <w:br w:type="textWrapping"/>
            </w:r>
            <w:r>
              <w:rPr>
                <w:rFonts w:hint="eastAsia" w:ascii="宋体" w:hAnsi="宋体" w:eastAsia="宋体" w:cs="宋体"/>
                <w:color w:val="000000"/>
                <w:kern w:val="0"/>
                <w:sz w:val="20"/>
                <w:szCs w:val="20"/>
                <w:lang w:val="en-US" w:eastAsia="zh-CN" w:bidi="ar"/>
              </w:rPr>
              <w:t>（2分）</w:t>
            </w:r>
          </w:p>
        </w:tc>
        <w:tc>
          <w:tcPr>
            <w:tcW w:w="2414" w:type="dxa"/>
            <w:tcBorders>
              <w:top w:val="single" w:color="000000" w:sz="4" w:space="0"/>
              <w:left w:val="nil"/>
              <w:bottom w:val="single" w:color="000000" w:sz="4" w:space="0"/>
              <w:right w:val="single" w:color="000000" w:sz="4" w:space="0"/>
            </w:tcBorders>
            <w:shd w:val="clear" w:color="auto" w:fill="auto"/>
            <w:noWrap w:val="0"/>
            <w:tcMar>
              <w:top w:w="15" w:type="dxa"/>
              <w:left w:w="15" w:type="dxa"/>
              <w:right w:w="15" w:type="dxa"/>
            </w:tcMar>
            <w:vAlign w:val="center"/>
          </w:tcPr>
          <w:p>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color w:val="000000"/>
                <w:kern w:val="2"/>
                <w:sz w:val="20"/>
                <w:szCs w:val="20"/>
              </w:rPr>
            </w:pPr>
            <w:r>
              <w:rPr>
                <w:rFonts w:hint="eastAsia" w:ascii="宋体" w:hAnsi="宋体" w:eastAsia="宋体" w:cs="宋体"/>
                <w:color w:val="000000"/>
                <w:kern w:val="0"/>
                <w:sz w:val="20"/>
                <w:szCs w:val="20"/>
                <w:lang w:val="en-US" w:eastAsia="zh-CN" w:bidi="ar"/>
              </w:rPr>
              <w:t>（预算资金总来源-中期评估调整取消资金-预算结余注销资金）÷预算资金总来源*指标分值</w:t>
            </w:r>
          </w:p>
        </w:tc>
        <w:tc>
          <w:tcPr>
            <w:tcW w:w="240" w:type="dxa"/>
            <w:tcBorders>
              <w:top w:val="single" w:color="000000" w:sz="4" w:space="0"/>
              <w:left w:val="nil"/>
              <w:bottom w:val="single" w:color="000000" w:sz="4" w:space="0"/>
              <w:right w:val="single" w:color="000000" w:sz="4" w:space="0"/>
            </w:tcBorders>
            <w:shd w:val="clear" w:color="auto" w:fill="FFFFFF"/>
            <w:noWrap w:val="0"/>
            <w:tcMar>
              <w:top w:w="15" w:type="dxa"/>
              <w:left w:w="15" w:type="dxa"/>
              <w:right w:w="15" w:type="dxa"/>
            </w:tcMar>
            <w:vAlign w:val="center"/>
          </w:tcPr>
          <w:p>
            <w:pPr>
              <w:keepNext w:val="0"/>
              <w:keepLines w:val="0"/>
              <w:widowControl w:val="0"/>
              <w:suppressLineNumbers w:val="0"/>
              <w:spacing w:before="0" w:beforeAutospacing="0" w:after="0" w:afterAutospacing="0"/>
              <w:ind w:left="0" w:right="0"/>
              <w:jc w:val="center"/>
              <w:rPr>
                <w:rFonts w:hint="eastAsia" w:ascii="宋体" w:hAnsi="宋体" w:eastAsia="宋体" w:cs="宋体"/>
                <w:color w:val="000000"/>
                <w:kern w:val="2"/>
                <w:sz w:val="20"/>
                <w:szCs w:val="20"/>
              </w:rPr>
            </w:pPr>
          </w:p>
        </w:tc>
        <w:tc>
          <w:tcPr>
            <w:tcW w:w="466" w:type="dxa"/>
            <w:tcBorders>
              <w:top w:val="single" w:color="000000" w:sz="4" w:space="0"/>
              <w:left w:val="nil"/>
              <w:bottom w:val="single" w:color="000000" w:sz="4" w:space="0"/>
              <w:right w:val="single" w:color="000000" w:sz="4" w:space="0"/>
            </w:tcBorders>
            <w:shd w:val="clear" w:color="auto" w:fill="FFFFFF"/>
            <w:noWrap w:val="0"/>
            <w:tcMar>
              <w:top w:w="15" w:type="dxa"/>
              <w:left w:w="15" w:type="dxa"/>
              <w:right w:w="15" w:type="dxa"/>
            </w:tcMar>
            <w:vAlign w:val="center"/>
          </w:tcPr>
          <w:p>
            <w:pPr>
              <w:keepNext w:val="0"/>
              <w:keepLines w:val="0"/>
              <w:widowControl w:val="0"/>
              <w:suppressLineNumbers w:val="0"/>
              <w:spacing w:before="0" w:beforeAutospacing="0" w:after="0" w:afterAutospacing="0"/>
              <w:ind w:left="0" w:right="0"/>
              <w:jc w:val="left"/>
              <w:rPr>
                <w:rFonts w:hint="eastAsia" w:ascii="宋体" w:hAnsi="宋体" w:eastAsia="宋体" w:cs="宋体"/>
                <w:color w:val="000000"/>
                <w:kern w:val="2"/>
                <w:sz w:val="20"/>
                <w:szCs w:val="20"/>
              </w:rPr>
            </w:pPr>
          </w:p>
        </w:tc>
        <w:tc>
          <w:tcPr>
            <w:tcW w:w="3478" w:type="dxa"/>
            <w:tcBorders>
              <w:top w:val="single" w:color="000000" w:sz="4" w:space="0"/>
              <w:left w:val="nil"/>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color w:val="000000"/>
                <w:kern w:val="2"/>
                <w:sz w:val="20"/>
                <w:szCs w:val="20"/>
              </w:rPr>
            </w:pPr>
            <w:r>
              <w:rPr>
                <w:rFonts w:hint="eastAsia" w:ascii="宋体" w:hAnsi="宋体" w:eastAsia="宋体" w:cs="宋体"/>
                <w:color w:val="000000"/>
                <w:kern w:val="0"/>
                <w:sz w:val="20"/>
                <w:szCs w:val="20"/>
                <w:lang w:val="en-US" w:eastAsia="zh-CN" w:bidi="ar"/>
              </w:rPr>
              <w:t>其中：预算资金总来源是指县级年初预算与执行中追加预算（不含当年专款）总和</w:t>
            </w:r>
          </w:p>
        </w:tc>
      </w:tr>
      <w:tr>
        <w:tblPrEx>
          <w:tblCellMar>
            <w:top w:w="0" w:type="dxa"/>
            <w:left w:w="0" w:type="dxa"/>
            <w:bottom w:w="0" w:type="dxa"/>
            <w:right w:w="0" w:type="dxa"/>
          </w:tblCellMar>
        </w:tblPrEx>
        <w:trPr>
          <w:trHeight w:val="817" w:hRule="atLeast"/>
        </w:trPr>
        <w:tc>
          <w:tcPr>
            <w:tcW w:w="520" w:type="dxa"/>
            <w:vMerge w:val="continue"/>
            <w:tcBorders>
              <w:top w:val="nil"/>
              <w:left w:val="single" w:color="000000" w:sz="4" w:space="0"/>
              <w:bottom w:val="nil"/>
              <w:right w:val="single" w:color="000000" w:sz="4" w:space="0"/>
            </w:tcBorders>
            <w:shd w:val="clear" w:color="auto" w:fill="FFFFFF"/>
            <w:noWrap w:val="0"/>
            <w:tcMar>
              <w:top w:w="15" w:type="dxa"/>
              <w:left w:w="15" w:type="dxa"/>
              <w:right w:w="15" w:type="dxa"/>
            </w:tcMar>
            <w:vAlign w:val="center"/>
          </w:tcPr>
          <w:p>
            <w:pPr>
              <w:rPr>
                <w:rFonts w:hint="default" w:ascii="Times New Roman" w:hAnsi="Times New Roman" w:cs="Times New Roman"/>
                <w:sz w:val="20"/>
                <w:szCs w:val="20"/>
              </w:rPr>
            </w:pPr>
          </w:p>
        </w:tc>
        <w:tc>
          <w:tcPr>
            <w:tcW w:w="520" w:type="dxa"/>
            <w:vMerge w:val="continue"/>
            <w:tcBorders>
              <w:top w:val="nil"/>
              <w:left w:val="nil"/>
              <w:bottom w:val="single" w:color="000000" w:sz="4" w:space="0"/>
              <w:right w:val="single" w:color="000000" w:sz="4" w:space="0"/>
            </w:tcBorders>
            <w:shd w:val="clear" w:color="auto" w:fill="auto"/>
            <w:noWrap w:val="0"/>
            <w:tcMar>
              <w:top w:w="15" w:type="dxa"/>
              <w:left w:w="15" w:type="dxa"/>
              <w:right w:w="15" w:type="dxa"/>
            </w:tcMar>
            <w:vAlign w:val="center"/>
          </w:tcPr>
          <w:p>
            <w:pPr>
              <w:rPr>
                <w:rFonts w:hint="default" w:ascii="Times New Roman" w:hAnsi="Times New Roman" w:cs="Times New Roman"/>
                <w:sz w:val="20"/>
                <w:szCs w:val="20"/>
              </w:rPr>
            </w:pPr>
          </w:p>
        </w:tc>
        <w:tc>
          <w:tcPr>
            <w:tcW w:w="939" w:type="dxa"/>
            <w:tcBorders>
              <w:top w:val="single" w:color="000000" w:sz="4" w:space="0"/>
              <w:left w:val="nil"/>
              <w:bottom w:val="single" w:color="000000" w:sz="4" w:space="0"/>
              <w:right w:val="single" w:color="000000" w:sz="4" w:space="0"/>
            </w:tcBorders>
            <w:shd w:val="clear" w:color="auto" w:fill="auto"/>
            <w:noWrap w:val="0"/>
            <w:tcMar>
              <w:top w:w="15" w:type="dxa"/>
              <w:left w:w="15" w:type="dxa"/>
              <w:right w:w="15" w:type="dxa"/>
            </w:tcMar>
            <w:vAlign w:val="center"/>
          </w:tcPr>
          <w:p>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color w:val="000000"/>
                <w:kern w:val="2"/>
                <w:sz w:val="20"/>
                <w:szCs w:val="20"/>
              </w:rPr>
            </w:pPr>
            <w:r>
              <w:rPr>
                <w:rFonts w:hint="eastAsia" w:ascii="宋体" w:hAnsi="宋体" w:eastAsia="宋体" w:cs="宋体"/>
                <w:color w:val="000000"/>
                <w:kern w:val="0"/>
                <w:sz w:val="20"/>
                <w:szCs w:val="20"/>
                <w:lang w:val="en-US" w:eastAsia="zh-CN" w:bidi="ar"/>
              </w:rPr>
              <w:t>部门预算审查</w:t>
            </w:r>
            <w:r>
              <w:rPr>
                <w:rFonts w:hint="eastAsia" w:ascii="宋体" w:hAnsi="宋体" w:eastAsia="宋体" w:cs="宋体"/>
                <w:color w:val="000000"/>
                <w:kern w:val="0"/>
                <w:sz w:val="20"/>
                <w:szCs w:val="20"/>
                <w:lang w:val="en-US" w:eastAsia="zh-CN" w:bidi="ar"/>
              </w:rPr>
              <w:br w:type="textWrapping"/>
            </w:r>
            <w:r>
              <w:rPr>
                <w:rFonts w:hint="eastAsia" w:ascii="宋体" w:hAnsi="宋体" w:eastAsia="宋体" w:cs="宋体"/>
                <w:color w:val="000000"/>
                <w:kern w:val="0"/>
                <w:sz w:val="20"/>
                <w:szCs w:val="20"/>
                <w:lang w:val="en-US" w:eastAsia="zh-CN" w:bidi="ar"/>
              </w:rPr>
              <w:t>（1分）</w:t>
            </w:r>
          </w:p>
        </w:tc>
        <w:tc>
          <w:tcPr>
            <w:tcW w:w="2414" w:type="dxa"/>
            <w:tcBorders>
              <w:top w:val="single" w:color="000000" w:sz="4" w:space="0"/>
              <w:left w:val="nil"/>
              <w:bottom w:val="single" w:color="000000" w:sz="4" w:space="0"/>
              <w:right w:val="single" w:color="000000" w:sz="4" w:space="0"/>
            </w:tcBorders>
            <w:shd w:val="clear" w:color="auto" w:fill="auto"/>
            <w:noWrap w:val="0"/>
            <w:tcMar>
              <w:top w:w="15" w:type="dxa"/>
              <w:left w:w="15" w:type="dxa"/>
              <w:right w:w="15" w:type="dxa"/>
            </w:tcMar>
            <w:vAlign w:val="center"/>
          </w:tcPr>
          <w:p>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color w:val="000000"/>
                <w:kern w:val="2"/>
                <w:sz w:val="20"/>
                <w:szCs w:val="20"/>
              </w:rPr>
            </w:pPr>
            <w:r>
              <w:rPr>
                <w:rFonts w:hint="eastAsia" w:ascii="宋体" w:hAnsi="宋体" w:eastAsia="宋体" w:cs="宋体"/>
                <w:color w:val="000000"/>
                <w:kern w:val="0"/>
                <w:sz w:val="20"/>
                <w:szCs w:val="20"/>
                <w:lang w:val="en-US" w:eastAsia="zh-CN" w:bidi="ar"/>
              </w:rPr>
              <w:t>根据县人大财经委对预算草案审查结果进行考核</w:t>
            </w:r>
          </w:p>
        </w:tc>
        <w:tc>
          <w:tcPr>
            <w:tcW w:w="240" w:type="dxa"/>
            <w:tcBorders>
              <w:top w:val="single" w:color="000000" w:sz="4" w:space="0"/>
              <w:left w:val="nil"/>
              <w:bottom w:val="single" w:color="000000" w:sz="4" w:space="0"/>
              <w:right w:val="single" w:color="000000" w:sz="4" w:space="0"/>
            </w:tcBorders>
            <w:shd w:val="clear" w:color="auto" w:fill="FFFFFF"/>
            <w:noWrap w:val="0"/>
            <w:tcMar>
              <w:top w:w="15" w:type="dxa"/>
              <w:left w:w="15" w:type="dxa"/>
              <w:right w:w="15" w:type="dxa"/>
            </w:tcMar>
            <w:vAlign w:val="center"/>
          </w:tcPr>
          <w:p>
            <w:pPr>
              <w:keepNext w:val="0"/>
              <w:keepLines w:val="0"/>
              <w:widowControl w:val="0"/>
              <w:suppressLineNumbers w:val="0"/>
              <w:spacing w:before="0" w:beforeAutospacing="0" w:after="0" w:afterAutospacing="0"/>
              <w:ind w:left="0" w:right="0"/>
              <w:jc w:val="left"/>
              <w:rPr>
                <w:rFonts w:hint="eastAsia" w:ascii="宋体" w:hAnsi="宋体" w:eastAsia="宋体" w:cs="宋体"/>
                <w:color w:val="000000"/>
                <w:kern w:val="2"/>
                <w:sz w:val="20"/>
                <w:szCs w:val="20"/>
              </w:rPr>
            </w:pPr>
          </w:p>
        </w:tc>
        <w:tc>
          <w:tcPr>
            <w:tcW w:w="466" w:type="dxa"/>
            <w:tcBorders>
              <w:top w:val="single" w:color="000000" w:sz="4" w:space="0"/>
              <w:left w:val="nil"/>
              <w:bottom w:val="single" w:color="000000" w:sz="4" w:space="0"/>
              <w:right w:val="single" w:color="000000" w:sz="4" w:space="0"/>
            </w:tcBorders>
            <w:shd w:val="clear" w:color="auto" w:fill="FFFFFF"/>
            <w:noWrap w:val="0"/>
            <w:tcMar>
              <w:top w:w="15" w:type="dxa"/>
              <w:left w:w="15" w:type="dxa"/>
              <w:right w:w="15" w:type="dxa"/>
            </w:tcMar>
            <w:vAlign w:val="center"/>
          </w:tcPr>
          <w:p>
            <w:pPr>
              <w:keepNext w:val="0"/>
              <w:keepLines w:val="0"/>
              <w:widowControl w:val="0"/>
              <w:suppressLineNumbers w:val="0"/>
              <w:spacing w:before="0" w:beforeAutospacing="0" w:after="0" w:afterAutospacing="0"/>
              <w:ind w:left="0" w:right="0"/>
              <w:jc w:val="left"/>
              <w:rPr>
                <w:rFonts w:hint="eastAsia" w:ascii="宋体" w:hAnsi="宋体" w:eastAsia="宋体" w:cs="宋体"/>
                <w:color w:val="000000"/>
                <w:kern w:val="2"/>
                <w:sz w:val="20"/>
                <w:szCs w:val="20"/>
              </w:rPr>
            </w:pPr>
          </w:p>
        </w:tc>
        <w:tc>
          <w:tcPr>
            <w:tcW w:w="3478" w:type="dxa"/>
            <w:tcBorders>
              <w:top w:val="single" w:color="000000" w:sz="4" w:space="0"/>
              <w:left w:val="nil"/>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color w:val="000000"/>
                <w:kern w:val="2"/>
                <w:sz w:val="20"/>
                <w:szCs w:val="20"/>
              </w:rPr>
            </w:pPr>
            <w:r>
              <w:rPr>
                <w:rFonts w:hint="eastAsia" w:ascii="宋体" w:hAnsi="宋体" w:eastAsia="宋体" w:cs="宋体"/>
                <w:color w:val="000000"/>
                <w:kern w:val="0"/>
                <w:sz w:val="20"/>
                <w:szCs w:val="20"/>
                <w:lang w:val="en-US" w:eastAsia="zh-CN" w:bidi="ar"/>
              </w:rPr>
              <w:t>对财经委审查后提出并确需修改的问题，每个问题扣0.02分，直至扣完</w:t>
            </w:r>
          </w:p>
        </w:tc>
      </w:tr>
      <w:tr>
        <w:tblPrEx>
          <w:tblCellMar>
            <w:top w:w="0" w:type="dxa"/>
            <w:left w:w="0" w:type="dxa"/>
            <w:bottom w:w="0" w:type="dxa"/>
            <w:right w:w="0" w:type="dxa"/>
          </w:tblCellMar>
        </w:tblPrEx>
        <w:trPr>
          <w:trHeight w:val="720" w:hRule="atLeast"/>
        </w:trPr>
        <w:tc>
          <w:tcPr>
            <w:tcW w:w="520" w:type="dxa"/>
            <w:vMerge w:val="continue"/>
            <w:tcBorders>
              <w:top w:val="nil"/>
              <w:left w:val="single" w:color="000000" w:sz="4" w:space="0"/>
              <w:bottom w:val="nil"/>
              <w:right w:val="single" w:color="000000" w:sz="4" w:space="0"/>
            </w:tcBorders>
            <w:shd w:val="clear" w:color="auto" w:fill="FFFFFF"/>
            <w:noWrap w:val="0"/>
            <w:tcMar>
              <w:top w:w="15" w:type="dxa"/>
              <w:left w:w="15" w:type="dxa"/>
              <w:right w:w="15" w:type="dxa"/>
            </w:tcMar>
            <w:vAlign w:val="center"/>
          </w:tcPr>
          <w:p>
            <w:pPr>
              <w:rPr>
                <w:rFonts w:hint="default" w:ascii="Times New Roman" w:hAnsi="Times New Roman" w:cs="Times New Roman"/>
                <w:sz w:val="20"/>
                <w:szCs w:val="20"/>
              </w:rPr>
            </w:pPr>
          </w:p>
        </w:tc>
        <w:tc>
          <w:tcPr>
            <w:tcW w:w="520" w:type="dxa"/>
            <w:vMerge w:val="restart"/>
            <w:tcBorders>
              <w:top w:val="nil"/>
              <w:left w:val="nil"/>
              <w:bottom w:val="single" w:color="000000" w:sz="4" w:space="0"/>
              <w:right w:val="single" w:color="000000" w:sz="4" w:space="0"/>
            </w:tcBorders>
            <w:shd w:val="clear" w:color="auto" w:fill="auto"/>
            <w:noWrap w:val="0"/>
            <w:tcMar>
              <w:top w:w="15" w:type="dxa"/>
              <w:left w:w="15" w:type="dxa"/>
              <w:right w:w="15" w:type="dxa"/>
            </w:tcMar>
            <w:vAlign w:val="center"/>
          </w:tcPr>
          <w:p>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color w:val="000000"/>
                <w:kern w:val="2"/>
                <w:sz w:val="20"/>
                <w:szCs w:val="20"/>
              </w:rPr>
            </w:pPr>
            <w:r>
              <w:rPr>
                <w:rFonts w:hint="eastAsia" w:ascii="宋体" w:hAnsi="宋体" w:eastAsia="宋体" w:cs="宋体"/>
                <w:color w:val="000000"/>
                <w:kern w:val="0"/>
                <w:sz w:val="20"/>
                <w:szCs w:val="20"/>
                <w:lang w:val="en-US" w:eastAsia="zh-CN" w:bidi="ar"/>
              </w:rPr>
              <w:t>绩效目标</w:t>
            </w:r>
            <w:r>
              <w:rPr>
                <w:rFonts w:hint="eastAsia" w:ascii="宋体" w:hAnsi="宋体" w:eastAsia="宋体" w:cs="宋体"/>
                <w:color w:val="000000"/>
                <w:kern w:val="0"/>
                <w:sz w:val="20"/>
                <w:szCs w:val="20"/>
                <w:lang w:val="en-US" w:eastAsia="zh-CN" w:bidi="ar"/>
              </w:rPr>
              <w:br w:type="textWrapping"/>
            </w:r>
            <w:r>
              <w:rPr>
                <w:rFonts w:hint="eastAsia" w:ascii="宋体" w:hAnsi="宋体" w:eastAsia="宋体" w:cs="宋体"/>
                <w:color w:val="000000"/>
                <w:kern w:val="0"/>
                <w:sz w:val="20"/>
                <w:szCs w:val="20"/>
                <w:lang w:val="en-US" w:eastAsia="zh-CN" w:bidi="ar"/>
              </w:rPr>
              <w:t>（5分）</w:t>
            </w:r>
          </w:p>
        </w:tc>
        <w:tc>
          <w:tcPr>
            <w:tcW w:w="939" w:type="dxa"/>
            <w:tcBorders>
              <w:top w:val="single" w:color="000000" w:sz="4" w:space="0"/>
              <w:left w:val="nil"/>
              <w:bottom w:val="single" w:color="000000" w:sz="4" w:space="0"/>
              <w:right w:val="single" w:color="000000" w:sz="4" w:space="0"/>
            </w:tcBorders>
            <w:shd w:val="clear" w:color="auto" w:fill="auto"/>
            <w:noWrap w:val="0"/>
            <w:tcMar>
              <w:top w:w="15" w:type="dxa"/>
              <w:left w:w="15" w:type="dxa"/>
              <w:right w:w="15" w:type="dxa"/>
            </w:tcMar>
            <w:vAlign w:val="center"/>
          </w:tcPr>
          <w:p>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color w:val="000000"/>
                <w:kern w:val="2"/>
                <w:sz w:val="20"/>
                <w:szCs w:val="20"/>
              </w:rPr>
            </w:pPr>
            <w:r>
              <w:rPr>
                <w:rFonts w:hint="eastAsia" w:ascii="宋体" w:hAnsi="宋体" w:eastAsia="宋体" w:cs="宋体"/>
                <w:color w:val="000000"/>
                <w:kern w:val="0"/>
                <w:sz w:val="20"/>
                <w:szCs w:val="20"/>
                <w:lang w:val="en-US" w:eastAsia="zh-CN" w:bidi="ar"/>
              </w:rPr>
              <w:t>部门整体绩效目标</w:t>
            </w:r>
            <w:r>
              <w:rPr>
                <w:rFonts w:hint="eastAsia" w:ascii="宋体" w:hAnsi="宋体" w:eastAsia="宋体" w:cs="宋体"/>
                <w:color w:val="000000"/>
                <w:kern w:val="0"/>
                <w:sz w:val="20"/>
                <w:szCs w:val="20"/>
                <w:lang w:val="en-US" w:eastAsia="zh-CN" w:bidi="ar"/>
              </w:rPr>
              <w:br w:type="textWrapping"/>
            </w:r>
            <w:r>
              <w:rPr>
                <w:rFonts w:hint="eastAsia" w:ascii="宋体" w:hAnsi="宋体" w:eastAsia="宋体" w:cs="宋体"/>
                <w:color w:val="000000"/>
                <w:kern w:val="0"/>
                <w:sz w:val="20"/>
                <w:szCs w:val="20"/>
                <w:lang w:val="en-US" w:eastAsia="zh-CN" w:bidi="ar"/>
              </w:rPr>
              <w:t>（2分）</w:t>
            </w:r>
          </w:p>
        </w:tc>
        <w:tc>
          <w:tcPr>
            <w:tcW w:w="2414" w:type="dxa"/>
            <w:tcBorders>
              <w:top w:val="single" w:color="000000" w:sz="4" w:space="0"/>
              <w:left w:val="nil"/>
              <w:bottom w:val="single" w:color="000000" w:sz="4" w:space="0"/>
              <w:right w:val="single" w:color="000000" w:sz="4" w:space="0"/>
            </w:tcBorders>
            <w:shd w:val="clear" w:color="auto" w:fill="auto"/>
            <w:noWrap w:val="0"/>
            <w:tcMar>
              <w:top w:w="15" w:type="dxa"/>
              <w:left w:w="15" w:type="dxa"/>
              <w:right w:w="15" w:type="dxa"/>
            </w:tcMar>
            <w:vAlign w:val="center"/>
          </w:tcPr>
          <w:p>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color w:val="000000"/>
                <w:kern w:val="2"/>
                <w:sz w:val="20"/>
                <w:szCs w:val="20"/>
              </w:rPr>
            </w:pPr>
            <w:r>
              <w:rPr>
                <w:rFonts w:hint="eastAsia" w:ascii="宋体" w:hAnsi="宋体" w:eastAsia="宋体" w:cs="宋体"/>
                <w:color w:val="000000"/>
                <w:kern w:val="0"/>
                <w:sz w:val="20"/>
                <w:szCs w:val="20"/>
                <w:lang w:val="en-US" w:eastAsia="zh-CN" w:bidi="ar"/>
              </w:rPr>
              <w:t>部门整体绩效目标编制完整、合理</w:t>
            </w:r>
          </w:p>
        </w:tc>
        <w:tc>
          <w:tcPr>
            <w:tcW w:w="240" w:type="dxa"/>
            <w:tcBorders>
              <w:top w:val="single" w:color="000000" w:sz="4" w:space="0"/>
              <w:left w:val="nil"/>
              <w:bottom w:val="single" w:color="000000" w:sz="4" w:space="0"/>
              <w:right w:val="single" w:color="000000" w:sz="4" w:space="0"/>
            </w:tcBorders>
            <w:shd w:val="clear" w:color="auto" w:fill="FFFFFF"/>
            <w:noWrap w:val="0"/>
            <w:tcMar>
              <w:top w:w="15" w:type="dxa"/>
              <w:left w:w="15" w:type="dxa"/>
              <w:right w:w="15" w:type="dxa"/>
            </w:tcMar>
            <w:vAlign w:val="center"/>
          </w:tcPr>
          <w:p>
            <w:pPr>
              <w:keepNext w:val="0"/>
              <w:keepLines w:val="0"/>
              <w:widowControl w:val="0"/>
              <w:suppressLineNumbers w:val="0"/>
              <w:spacing w:before="0" w:beforeAutospacing="0" w:after="0" w:afterAutospacing="0"/>
              <w:ind w:left="0" w:right="0"/>
              <w:jc w:val="left"/>
              <w:rPr>
                <w:rFonts w:hint="eastAsia" w:ascii="宋体" w:hAnsi="宋体" w:eastAsia="宋体" w:cs="宋体"/>
                <w:color w:val="000000"/>
                <w:kern w:val="2"/>
                <w:sz w:val="20"/>
                <w:szCs w:val="20"/>
              </w:rPr>
            </w:pPr>
          </w:p>
        </w:tc>
        <w:tc>
          <w:tcPr>
            <w:tcW w:w="466" w:type="dxa"/>
            <w:tcBorders>
              <w:top w:val="single" w:color="000000" w:sz="4" w:space="0"/>
              <w:left w:val="nil"/>
              <w:bottom w:val="single" w:color="000000" w:sz="4" w:space="0"/>
              <w:right w:val="single" w:color="000000" w:sz="4" w:space="0"/>
            </w:tcBorders>
            <w:shd w:val="clear" w:color="auto" w:fill="FFFFFF"/>
            <w:noWrap w:val="0"/>
            <w:tcMar>
              <w:top w:w="15" w:type="dxa"/>
              <w:left w:w="15" w:type="dxa"/>
              <w:right w:w="15" w:type="dxa"/>
            </w:tcMar>
            <w:vAlign w:val="center"/>
          </w:tcPr>
          <w:p>
            <w:pPr>
              <w:keepNext w:val="0"/>
              <w:keepLines w:val="0"/>
              <w:widowControl w:val="0"/>
              <w:suppressLineNumbers w:val="0"/>
              <w:spacing w:before="0" w:beforeAutospacing="0" w:after="0" w:afterAutospacing="0"/>
              <w:ind w:left="0" w:right="0"/>
              <w:jc w:val="left"/>
              <w:rPr>
                <w:rFonts w:hint="eastAsia" w:ascii="宋体" w:hAnsi="宋体" w:eastAsia="宋体" w:cs="宋体"/>
                <w:color w:val="000000"/>
                <w:kern w:val="2"/>
                <w:sz w:val="20"/>
                <w:szCs w:val="20"/>
              </w:rPr>
            </w:pPr>
          </w:p>
        </w:tc>
        <w:tc>
          <w:tcPr>
            <w:tcW w:w="3478" w:type="dxa"/>
            <w:tcBorders>
              <w:top w:val="single" w:color="000000" w:sz="4" w:space="0"/>
              <w:left w:val="nil"/>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color w:val="000000"/>
                <w:kern w:val="2"/>
                <w:sz w:val="20"/>
                <w:szCs w:val="20"/>
              </w:rPr>
            </w:pPr>
            <w:r>
              <w:rPr>
                <w:rFonts w:hint="eastAsia" w:ascii="宋体" w:hAnsi="宋体" w:eastAsia="宋体" w:cs="宋体"/>
                <w:color w:val="000000"/>
                <w:kern w:val="0"/>
                <w:sz w:val="20"/>
                <w:szCs w:val="20"/>
                <w:lang w:val="en-US" w:eastAsia="zh-CN" w:bidi="ar"/>
              </w:rPr>
              <w:t>部门整体绩效目标能完整、合理反映部门年度职责履行情况的得分，否则不得分</w:t>
            </w:r>
          </w:p>
        </w:tc>
      </w:tr>
      <w:tr>
        <w:tblPrEx>
          <w:tblCellMar>
            <w:top w:w="0" w:type="dxa"/>
            <w:left w:w="0" w:type="dxa"/>
            <w:bottom w:w="0" w:type="dxa"/>
            <w:right w:w="0" w:type="dxa"/>
          </w:tblCellMar>
        </w:tblPrEx>
        <w:trPr>
          <w:trHeight w:val="720" w:hRule="atLeast"/>
        </w:trPr>
        <w:tc>
          <w:tcPr>
            <w:tcW w:w="520" w:type="dxa"/>
            <w:vMerge w:val="continue"/>
            <w:tcBorders>
              <w:top w:val="nil"/>
              <w:left w:val="single" w:color="000000" w:sz="4" w:space="0"/>
              <w:bottom w:val="nil"/>
              <w:right w:val="single" w:color="000000" w:sz="4" w:space="0"/>
            </w:tcBorders>
            <w:shd w:val="clear" w:color="auto" w:fill="FFFFFF"/>
            <w:noWrap w:val="0"/>
            <w:tcMar>
              <w:top w:w="15" w:type="dxa"/>
              <w:left w:w="15" w:type="dxa"/>
              <w:right w:w="15" w:type="dxa"/>
            </w:tcMar>
            <w:vAlign w:val="center"/>
          </w:tcPr>
          <w:p>
            <w:pPr>
              <w:rPr>
                <w:rFonts w:hint="default" w:ascii="Times New Roman" w:hAnsi="Times New Roman" w:cs="Times New Roman"/>
                <w:sz w:val="20"/>
                <w:szCs w:val="20"/>
              </w:rPr>
            </w:pPr>
          </w:p>
        </w:tc>
        <w:tc>
          <w:tcPr>
            <w:tcW w:w="520" w:type="dxa"/>
            <w:vMerge w:val="continue"/>
            <w:tcBorders>
              <w:top w:val="nil"/>
              <w:left w:val="nil"/>
              <w:bottom w:val="single" w:color="000000" w:sz="4" w:space="0"/>
              <w:right w:val="single" w:color="000000" w:sz="4" w:space="0"/>
            </w:tcBorders>
            <w:shd w:val="clear" w:color="auto" w:fill="auto"/>
            <w:noWrap w:val="0"/>
            <w:tcMar>
              <w:top w:w="15" w:type="dxa"/>
              <w:left w:w="15" w:type="dxa"/>
              <w:right w:w="15" w:type="dxa"/>
            </w:tcMar>
            <w:vAlign w:val="center"/>
          </w:tcPr>
          <w:p>
            <w:pPr>
              <w:rPr>
                <w:rFonts w:hint="default" w:ascii="Times New Roman" w:hAnsi="Times New Roman" w:cs="Times New Roman"/>
                <w:sz w:val="20"/>
                <w:szCs w:val="20"/>
              </w:rPr>
            </w:pPr>
          </w:p>
        </w:tc>
        <w:tc>
          <w:tcPr>
            <w:tcW w:w="939" w:type="dxa"/>
            <w:tcBorders>
              <w:top w:val="single" w:color="000000" w:sz="4" w:space="0"/>
              <w:left w:val="nil"/>
              <w:bottom w:val="single" w:color="000000" w:sz="4" w:space="0"/>
              <w:right w:val="single" w:color="000000" w:sz="4" w:space="0"/>
            </w:tcBorders>
            <w:shd w:val="clear" w:color="auto" w:fill="auto"/>
            <w:noWrap w:val="0"/>
            <w:tcMar>
              <w:top w:w="15" w:type="dxa"/>
              <w:left w:w="15" w:type="dxa"/>
              <w:right w:w="15" w:type="dxa"/>
            </w:tcMar>
            <w:vAlign w:val="center"/>
          </w:tcPr>
          <w:p>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color w:val="000000"/>
                <w:kern w:val="2"/>
                <w:sz w:val="20"/>
                <w:szCs w:val="20"/>
              </w:rPr>
            </w:pPr>
            <w:r>
              <w:rPr>
                <w:rFonts w:hint="eastAsia" w:ascii="宋体" w:hAnsi="宋体" w:eastAsia="宋体" w:cs="宋体"/>
                <w:color w:val="000000"/>
                <w:kern w:val="0"/>
                <w:sz w:val="20"/>
                <w:szCs w:val="20"/>
                <w:lang w:val="en-US" w:eastAsia="zh-CN" w:bidi="ar"/>
              </w:rPr>
              <w:t>重点项目绩效目标</w:t>
            </w:r>
            <w:r>
              <w:rPr>
                <w:rFonts w:hint="eastAsia" w:ascii="宋体" w:hAnsi="宋体" w:eastAsia="宋体" w:cs="宋体"/>
                <w:color w:val="000000"/>
                <w:kern w:val="0"/>
                <w:sz w:val="20"/>
                <w:szCs w:val="20"/>
                <w:lang w:val="en-US" w:eastAsia="zh-CN" w:bidi="ar"/>
              </w:rPr>
              <w:br w:type="textWrapping"/>
            </w:r>
            <w:r>
              <w:rPr>
                <w:rFonts w:hint="eastAsia" w:ascii="宋体" w:hAnsi="宋体" w:eastAsia="宋体" w:cs="宋体"/>
                <w:color w:val="000000"/>
                <w:kern w:val="0"/>
                <w:sz w:val="20"/>
                <w:szCs w:val="20"/>
                <w:lang w:val="en-US" w:eastAsia="zh-CN" w:bidi="ar"/>
              </w:rPr>
              <w:t>（3分）</w:t>
            </w:r>
          </w:p>
        </w:tc>
        <w:tc>
          <w:tcPr>
            <w:tcW w:w="2414" w:type="dxa"/>
            <w:tcBorders>
              <w:top w:val="single" w:color="000000" w:sz="4" w:space="0"/>
              <w:left w:val="nil"/>
              <w:bottom w:val="single" w:color="000000" w:sz="4" w:space="0"/>
              <w:right w:val="single" w:color="000000" w:sz="4" w:space="0"/>
            </w:tcBorders>
            <w:shd w:val="clear" w:color="auto" w:fill="auto"/>
            <w:noWrap w:val="0"/>
            <w:tcMar>
              <w:top w:w="15" w:type="dxa"/>
              <w:left w:w="15" w:type="dxa"/>
              <w:right w:w="15" w:type="dxa"/>
            </w:tcMar>
            <w:vAlign w:val="center"/>
          </w:tcPr>
          <w:p>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color w:val="000000"/>
                <w:kern w:val="2"/>
                <w:sz w:val="20"/>
                <w:szCs w:val="20"/>
              </w:rPr>
            </w:pPr>
            <w:r>
              <w:rPr>
                <w:rFonts w:hint="eastAsia" w:ascii="宋体" w:hAnsi="宋体" w:eastAsia="宋体" w:cs="宋体"/>
                <w:color w:val="000000"/>
                <w:kern w:val="0"/>
                <w:sz w:val="20"/>
                <w:szCs w:val="20"/>
                <w:lang w:val="en-US" w:eastAsia="zh-CN" w:bidi="ar"/>
              </w:rPr>
              <w:t>项目绩效目标编制明确、量化</w:t>
            </w:r>
          </w:p>
        </w:tc>
        <w:tc>
          <w:tcPr>
            <w:tcW w:w="240" w:type="dxa"/>
            <w:tcBorders>
              <w:top w:val="single" w:color="000000" w:sz="4" w:space="0"/>
              <w:left w:val="nil"/>
              <w:bottom w:val="single" w:color="000000" w:sz="4" w:space="0"/>
              <w:right w:val="single" w:color="000000" w:sz="4" w:space="0"/>
            </w:tcBorders>
            <w:shd w:val="clear" w:color="auto" w:fill="FFFFFF"/>
            <w:noWrap w:val="0"/>
            <w:tcMar>
              <w:top w:w="15" w:type="dxa"/>
              <w:left w:w="15" w:type="dxa"/>
              <w:right w:w="15" w:type="dxa"/>
            </w:tcMar>
            <w:vAlign w:val="center"/>
          </w:tcPr>
          <w:p>
            <w:pPr>
              <w:keepNext w:val="0"/>
              <w:keepLines w:val="0"/>
              <w:widowControl w:val="0"/>
              <w:suppressLineNumbers w:val="0"/>
              <w:spacing w:before="0" w:beforeAutospacing="0" w:after="0" w:afterAutospacing="0"/>
              <w:ind w:left="0" w:right="0"/>
              <w:jc w:val="left"/>
              <w:rPr>
                <w:rFonts w:hint="eastAsia" w:ascii="宋体" w:hAnsi="宋体" w:eastAsia="宋体" w:cs="宋体"/>
                <w:color w:val="000000"/>
                <w:kern w:val="2"/>
                <w:sz w:val="20"/>
                <w:szCs w:val="20"/>
              </w:rPr>
            </w:pPr>
          </w:p>
        </w:tc>
        <w:tc>
          <w:tcPr>
            <w:tcW w:w="466" w:type="dxa"/>
            <w:tcBorders>
              <w:top w:val="single" w:color="000000" w:sz="4" w:space="0"/>
              <w:left w:val="nil"/>
              <w:bottom w:val="single" w:color="000000" w:sz="4" w:space="0"/>
              <w:right w:val="single" w:color="000000" w:sz="4" w:space="0"/>
            </w:tcBorders>
            <w:shd w:val="clear" w:color="auto" w:fill="FFFFFF"/>
            <w:noWrap w:val="0"/>
            <w:tcMar>
              <w:top w:w="15" w:type="dxa"/>
              <w:left w:w="15" w:type="dxa"/>
              <w:right w:w="15" w:type="dxa"/>
            </w:tcMar>
            <w:vAlign w:val="center"/>
          </w:tcPr>
          <w:p>
            <w:pPr>
              <w:keepNext w:val="0"/>
              <w:keepLines w:val="0"/>
              <w:widowControl w:val="0"/>
              <w:suppressLineNumbers w:val="0"/>
              <w:spacing w:before="0" w:beforeAutospacing="0" w:after="0" w:afterAutospacing="0"/>
              <w:ind w:left="0" w:right="0"/>
              <w:jc w:val="left"/>
              <w:rPr>
                <w:rFonts w:hint="eastAsia" w:ascii="宋体" w:hAnsi="宋体" w:eastAsia="宋体" w:cs="宋体"/>
                <w:color w:val="000000"/>
                <w:kern w:val="2"/>
                <w:sz w:val="20"/>
                <w:szCs w:val="20"/>
              </w:rPr>
            </w:pPr>
          </w:p>
        </w:tc>
        <w:tc>
          <w:tcPr>
            <w:tcW w:w="3478" w:type="dxa"/>
            <w:tcBorders>
              <w:top w:val="single" w:color="000000" w:sz="4" w:space="0"/>
              <w:left w:val="nil"/>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color w:val="000000"/>
                <w:kern w:val="2"/>
                <w:sz w:val="20"/>
                <w:szCs w:val="20"/>
              </w:rPr>
            </w:pPr>
            <w:r>
              <w:rPr>
                <w:rFonts w:hint="eastAsia" w:ascii="宋体" w:hAnsi="宋体" w:eastAsia="宋体" w:cs="宋体"/>
                <w:color w:val="000000"/>
                <w:kern w:val="0"/>
                <w:sz w:val="20"/>
                <w:szCs w:val="20"/>
                <w:lang w:val="en-US" w:eastAsia="zh-CN" w:bidi="ar"/>
              </w:rPr>
              <w:t>项目支出绩效目标编制不明确和量化的发现一个扣0.5分，直至扣完</w:t>
            </w:r>
          </w:p>
        </w:tc>
      </w:tr>
      <w:tr>
        <w:tblPrEx>
          <w:tblCellMar>
            <w:top w:w="0" w:type="dxa"/>
            <w:left w:w="0" w:type="dxa"/>
            <w:bottom w:w="0" w:type="dxa"/>
            <w:right w:w="0" w:type="dxa"/>
          </w:tblCellMar>
        </w:tblPrEx>
        <w:trPr>
          <w:trHeight w:val="720" w:hRule="atLeast"/>
        </w:trPr>
        <w:tc>
          <w:tcPr>
            <w:tcW w:w="520" w:type="dxa"/>
            <w:vMerge w:val="restart"/>
            <w:tcBorders>
              <w:top w:val="single" w:color="000000" w:sz="4" w:space="0"/>
              <w:left w:val="single" w:color="000000" w:sz="4" w:space="0"/>
              <w:bottom w:val="single" w:color="000000" w:sz="4" w:space="0"/>
              <w:right w:val="single" w:color="000000" w:sz="4" w:space="0"/>
            </w:tcBorders>
            <w:shd w:val="clear" w:color="auto" w:fill="auto"/>
            <w:noWrap w:val="0"/>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000000"/>
                <w:kern w:val="2"/>
                <w:sz w:val="20"/>
                <w:szCs w:val="20"/>
              </w:rPr>
            </w:pPr>
            <w:r>
              <w:rPr>
                <w:rFonts w:hint="eastAsia" w:ascii="宋体" w:hAnsi="宋体" w:eastAsia="宋体" w:cs="宋体"/>
                <w:color w:val="000000"/>
                <w:kern w:val="0"/>
                <w:sz w:val="20"/>
                <w:szCs w:val="20"/>
                <w:lang w:val="en-US" w:eastAsia="zh-CN" w:bidi="ar"/>
              </w:rPr>
              <w:t>预算执行</w:t>
            </w:r>
            <w:r>
              <w:rPr>
                <w:rFonts w:hint="eastAsia" w:ascii="宋体" w:hAnsi="宋体" w:eastAsia="宋体" w:cs="宋体"/>
                <w:color w:val="000000"/>
                <w:kern w:val="0"/>
                <w:sz w:val="20"/>
                <w:szCs w:val="20"/>
                <w:lang w:val="en-US" w:eastAsia="zh-CN" w:bidi="ar"/>
              </w:rPr>
              <w:br w:type="textWrapping"/>
            </w:r>
            <w:r>
              <w:rPr>
                <w:rFonts w:hint="eastAsia" w:ascii="宋体" w:hAnsi="宋体" w:eastAsia="宋体" w:cs="宋体"/>
                <w:color w:val="000000"/>
                <w:kern w:val="0"/>
                <w:sz w:val="20"/>
                <w:szCs w:val="20"/>
                <w:lang w:val="en-US" w:eastAsia="zh-CN" w:bidi="ar"/>
              </w:rPr>
              <w:t>（20分）</w:t>
            </w:r>
          </w:p>
        </w:tc>
        <w:tc>
          <w:tcPr>
            <w:tcW w:w="520" w:type="dxa"/>
            <w:vMerge w:val="restart"/>
            <w:tcBorders>
              <w:top w:val="nil"/>
              <w:left w:val="nil"/>
              <w:bottom w:val="single" w:color="000000" w:sz="4" w:space="0"/>
              <w:right w:val="single" w:color="000000" w:sz="4" w:space="0"/>
            </w:tcBorders>
            <w:shd w:val="clear" w:color="auto" w:fill="auto"/>
            <w:noWrap w:val="0"/>
            <w:tcMar>
              <w:top w:w="15" w:type="dxa"/>
              <w:left w:w="15" w:type="dxa"/>
              <w:right w:w="15" w:type="dxa"/>
            </w:tcMar>
            <w:vAlign w:val="center"/>
          </w:tcPr>
          <w:p>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color w:val="000000"/>
                <w:kern w:val="2"/>
                <w:sz w:val="20"/>
                <w:szCs w:val="20"/>
              </w:rPr>
            </w:pPr>
            <w:r>
              <w:rPr>
                <w:rFonts w:hint="eastAsia" w:ascii="宋体" w:hAnsi="宋体" w:eastAsia="宋体" w:cs="宋体"/>
                <w:color w:val="000000"/>
                <w:kern w:val="0"/>
                <w:sz w:val="20"/>
                <w:szCs w:val="20"/>
                <w:lang w:val="en-US" w:eastAsia="zh-CN" w:bidi="ar"/>
              </w:rPr>
              <w:t>执行进度</w:t>
            </w:r>
            <w:r>
              <w:rPr>
                <w:rFonts w:hint="eastAsia" w:ascii="宋体" w:hAnsi="宋体" w:eastAsia="宋体" w:cs="宋体"/>
                <w:color w:val="000000"/>
                <w:kern w:val="0"/>
                <w:sz w:val="20"/>
                <w:szCs w:val="20"/>
                <w:lang w:val="en-US" w:eastAsia="zh-CN" w:bidi="ar"/>
              </w:rPr>
              <w:br w:type="textWrapping"/>
            </w:r>
            <w:r>
              <w:rPr>
                <w:rFonts w:hint="eastAsia" w:ascii="宋体" w:hAnsi="宋体" w:eastAsia="宋体" w:cs="宋体"/>
                <w:color w:val="000000"/>
                <w:kern w:val="0"/>
                <w:sz w:val="20"/>
                <w:szCs w:val="20"/>
                <w:lang w:val="en-US" w:eastAsia="zh-CN" w:bidi="ar"/>
              </w:rPr>
              <w:t>（10分）</w:t>
            </w:r>
          </w:p>
        </w:tc>
        <w:tc>
          <w:tcPr>
            <w:tcW w:w="939" w:type="dxa"/>
            <w:tcBorders>
              <w:top w:val="single" w:color="000000" w:sz="4" w:space="0"/>
              <w:left w:val="nil"/>
              <w:bottom w:val="single" w:color="000000" w:sz="4" w:space="0"/>
              <w:right w:val="single" w:color="000000" w:sz="4" w:space="0"/>
            </w:tcBorders>
            <w:shd w:val="clear" w:color="auto" w:fill="auto"/>
            <w:noWrap w:val="0"/>
            <w:tcMar>
              <w:top w:w="15" w:type="dxa"/>
              <w:left w:w="15" w:type="dxa"/>
              <w:right w:w="15" w:type="dxa"/>
            </w:tcMar>
            <w:vAlign w:val="center"/>
          </w:tcPr>
          <w:p>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color w:val="000000"/>
                <w:kern w:val="2"/>
                <w:sz w:val="20"/>
                <w:szCs w:val="20"/>
              </w:rPr>
            </w:pPr>
            <w:r>
              <w:rPr>
                <w:rFonts w:hint="eastAsia" w:ascii="宋体" w:hAnsi="宋体" w:eastAsia="宋体" w:cs="宋体"/>
                <w:color w:val="000000"/>
                <w:kern w:val="0"/>
                <w:sz w:val="20"/>
                <w:szCs w:val="20"/>
                <w:lang w:val="en-US" w:eastAsia="zh-CN" w:bidi="ar"/>
              </w:rPr>
              <w:t>财力专项预算分配时限（4分）</w:t>
            </w:r>
          </w:p>
        </w:tc>
        <w:tc>
          <w:tcPr>
            <w:tcW w:w="2414" w:type="dxa"/>
            <w:tcBorders>
              <w:top w:val="single" w:color="000000" w:sz="4" w:space="0"/>
              <w:left w:val="nil"/>
              <w:bottom w:val="single" w:color="000000" w:sz="4" w:space="0"/>
              <w:right w:val="single" w:color="000000" w:sz="4" w:space="0"/>
            </w:tcBorders>
            <w:shd w:val="clear" w:color="auto" w:fill="auto"/>
            <w:noWrap w:val="0"/>
            <w:tcMar>
              <w:top w:w="15" w:type="dxa"/>
              <w:left w:w="15" w:type="dxa"/>
              <w:right w:w="15" w:type="dxa"/>
            </w:tcMar>
            <w:vAlign w:val="center"/>
          </w:tcPr>
          <w:p>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color w:val="000000"/>
                <w:kern w:val="2"/>
                <w:sz w:val="20"/>
                <w:szCs w:val="20"/>
              </w:rPr>
            </w:pPr>
            <w:r>
              <w:rPr>
                <w:rFonts w:hint="eastAsia" w:ascii="宋体" w:hAnsi="宋体" w:eastAsia="宋体" w:cs="宋体"/>
                <w:color w:val="000000"/>
                <w:kern w:val="0"/>
                <w:sz w:val="20"/>
                <w:szCs w:val="20"/>
                <w:lang w:val="en-US" w:eastAsia="zh-CN" w:bidi="ar"/>
              </w:rPr>
              <w:t>按规定及时分配财力专项预算</w:t>
            </w:r>
          </w:p>
        </w:tc>
        <w:tc>
          <w:tcPr>
            <w:tcW w:w="240" w:type="dxa"/>
            <w:tcBorders>
              <w:top w:val="single" w:color="000000" w:sz="4" w:space="0"/>
              <w:left w:val="nil"/>
              <w:bottom w:val="single" w:color="000000" w:sz="4" w:space="0"/>
              <w:right w:val="single" w:color="000000" w:sz="4" w:space="0"/>
            </w:tcBorders>
            <w:shd w:val="clear" w:color="auto" w:fill="FFFFFF"/>
            <w:noWrap w:val="0"/>
            <w:tcMar>
              <w:top w:w="15" w:type="dxa"/>
              <w:left w:w="15" w:type="dxa"/>
              <w:right w:w="15" w:type="dxa"/>
            </w:tcMar>
            <w:vAlign w:val="center"/>
          </w:tcPr>
          <w:p>
            <w:pPr>
              <w:keepNext w:val="0"/>
              <w:keepLines w:val="0"/>
              <w:widowControl w:val="0"/>
              <w:suppressLineNumbers w:val="0"/>
              <w:spacing w:before="0" w:beforeAutospacing="0" w:after="0" w:afterAutospacing="0"/>
              <w:ind w:left="0" w:right="0"/>
              <w:jc w:val="both"/>
              <w:rPr>
                <w:rFonts w:hint="eastAsia" w:ascii="宋体" w:hAnsi="宋体" w:eastAsia="宋体" w:cs="宋体"/>
                <w:color w:val="000000"/>
                <w:kern w:val="2"/>
                <w:sz w:val="20"/>
                <w:szCs w:val="20"/>
              </w:rPr>
            </w:pPr>
          </w:p>
        </w:tc>
        <w:tc>
          <w:tcPr>
            <w:tcW w:w="466" w:type="dxa"/>
            <w:tcBorders>
              <w:top w:val="single" w:color="000000" w:sz="4" w:space="0"/>
              <w:left w:val="nil"/>
              <w:bottom w:val="single" w:color="000000" w:sz="4" w:space="0"/>
              <w:right w:val="single" w:color="000000" w:sz="4" w:space="0"/>
            </w:tcBorders>
            <w:shd w:val="clear" w:color="auto" w:fill="FFFFFF"/>
            <w:noWrap w:val="0"/>
            <w:tcMar>
              <w:top w:w="15" w:type="dxa"/>
              <w:left w:w="15" w:type="dxa"/>
              <w:right w:w="15" w:type="dxa"/>
            </w:tcMar>
            <w:vAlign w:val="center"/>
          </w:tcPr>
          <w:p>
            <w:pPr>
              <w:keepNext w:val="0"/>
              <w:keepLines w:val="0"/>
              <w:widowControl w:val="0"/>
              <w:suppressLineNumbers w:val="0"/>
              <w:spacing w:before="0" w:beforeAutospacing="0" w:after="0" w:afterAutospacing="0"/>
              <w:ind w:left="0" w:right="0"/>
              <w:jc w:val="both"/>
              <w:rPr>
                <w:rFonts w:hint="eastAsia" w:ascii="宋体" w:hAnsi="宋体" w:eastAsia="宋体" w:cs="宋体"/>
                <w:color w:val="000000"/>
                <w:kern w:val="2"/>
                <w:sz w:val="20"/>
                <w:szCs w:val="20"/>
              </w:rPr>
            </w:pPr>
          </w:p>
        </w:tc>
        <w:tc>
          <w:tcPr>
            <w:tcW w:w="3478" w:type="dxa"/>
            <w:tcBorders>
              <w:top w:val="single" w:color="000000" w:sz="4" w:space="0"/>
              <w:left w:val="nil"/>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color w:val="000000"/>
                <w:kern w:val="2"/>
                <w:sz w:val="20"/>
                <w:szCs w:val="20"/>
              </w:rPr>
            </w:pPr>
            <w:r>
              <w:rPr>
                <w:rFonts w:hint="eastAsia" w:ascii="宋体" w:hAnsi="宋体" w:eastAsia="宋体" w:cs="宋体"/>
                <w:color w:val="000000"/>
                <w:kern w:val="0"/>
                <w:sz w:val="20"/>
                <w:szCs w:val="20"/>
                <w:lang w:val="en-US" w:eastAsia="zh-CN" w:bidi="ar"/>
              </w:rPr>
              <w:t>按《预算法》规定时限完成分配的考核得分，否则不得分</w:t>
            </w:r>
          </w:p>
        </w:tc>
      </w:tr>
      <w:tr>
        <w:tblPrEx>
          <w:tblCellMar>
            <w:top w:w="0" w:type="dxa"/>
            <w:left w:w="0" w:type="dxa"/>
            <w:bottom w:w="0" w:type="dxa"/>
            <w:right w:w="0" w:type="dxa"/>
          </w:tblCellMar>
        </w:tblPrEx>
        <w:trPr>
          <w:trHeight w:val="720" w:hRule="atLeast"/>
        </w:trPr>
        <w:tc>
          <w:tcPr>
            <w:tcW w:w="520" w:type="dxa"/>
            <w:vMerge w:val="continue"/>
            <w:tcBorders>
              <w:top w:val="single" w:color="000000" w:sz="4" w:space="0"/>
              <w:left w:val="single" w:color="000000" w:sz="4" w:space="0"/>
              <w:bottom w:val="single" w:color="000000" w:sz="4" w:space="0"/>
              <w:right w:val="single" w:color="000000" w:sz="4" w:space="0"/>
            </w:tcBorders>
            <w:shd w:val="clear" w:color="auto" w:fill="auto"/>
            <w:noWrap w:val="0"/>
            <w:tcMar>
              <w:top w:w="15" w:type="dxa"/>
              <w:left w:w="15" w:type="dxa"/>
              <w:right w:w="15" w:type="dxa"/>
            </w:tcMar>
            <w:vAlign w:val="center"/>
          </w:tcPr>
          <w:p>
            <w:pPr>
              <w:rPr>
                <w:rFonts w:hint="default" w:ascii="Times New Roman" w:hAnsi="Times New Roman" w:cs="Times New Roman"/>
                <w:sz w:val="20"/>
                <w:szCs w:val="20"/>
              </w:rPr>
            </w:pPr>
          </w:p>
        </w:tc>
        <w:tc>
          <w:tcPr>
            <w:tcW w:w="520" w:type="dxa"/>
            <w:vMerge w:val="continue"/>
            <w:tcBorders>
              <w:top w:val="nil"/>
              <w:left w:val="nil"/>
              <w:bottom w:val="single" w:color="000000" w:sz="4" w:space="0"/>
              <w:right w:val="single" w:color="000000" w:sz="4" w:space="0"/>
            </w:tcBorders>
            <w:shd w:val="clear" w:color="auto" w:fill="auto"/>
            <w:noWrap w:val="0"/>
            <w:tcMar>
              <w:top w:w="15" w:type="dxa"/>
              <w:left w:w="15" w:type="dxa"/>
              <w:right w:w="15" w:type="dxa"/>
            </w:tcMar>
            <w:vAlign w:val="center"/>
          </w:tcPr>
          <w:p>
            <w:pPr>
              <w:rPr>
                <w:rFonts w:hint="default" w:ascii="Times New Roman" w:hAnsi="Times New Roman" w:cs="Times New Roman"/>
                <w:sz w:val="20"/>
                <w:szCs w:val="20"/>
              </w:rPr>
            </w:pPr>
          </w:p>
        </w:tc>
        <w:tc>
          <w:tcPr>
            <w:tcW w:w="939" w:type="dxa"/>
            <w:tcBorders>
              <w:top w:val="single" w:color="000000" w:sz="4" w:space="0"/>
              <w:left w:val="nil"/>
              <w:bottom w:val="single" w:color="000000" w:sz="4" w:space="0"/>
              <w:right w:val="single" w:color="000000" w:sz="4" w:space="0"/>
            </w:tcBorders>
            <w:shd w:val="clear" w:color="auto" w:fill="auto"/>
            <w:noWrap w:val="0"/>
            <w:tcMar>
              <w:top w:w="15" w:type="dxa"/>
              <w:left w:w="15" w:type="dxa"/>
              <w:right w:w="15" w:type="dxa"/>
            </w:tcMar>
            <w:vAlign w:val="center"/>
          </w:tcPr>
          <w:p>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color w:val="000000"/>
                <w:kern w:val="2"/>
                <w:sz w:val="20"/>
                <w:szCs w:val="20"/>
              </w:rPr>
            </w:pPr>
            <w:r>
              <w:rPr>
                <w:rFonts w:hint="eastAsia" w:ascii="宋体" w:hAnsi="宋体" w:eastAsia="宋体" w:cs="宋体"/>
                <w:color w:val="000000"/>
                <w:kern w:val="0"/>
                <w:sz w:val="20"/>
                <w:szCs w:val="20"/>
                <w:lang w:val="en-US" w:eastAsia="zh-CN" w:bidi="ar"/>
              </w:rPr>
              <w:t>部门预算执行进度</w:t>
            </w:r>
            <w:r>
              <w:rPr>
                <w:rFonts w:hint="eastAsia" w:ascii="宋体" w:hAnsi="宋体" w:eastAsia="宋体" w:cs="宋体"/>
                <w:color w:val="000000"/>
                <w:kern w:val="0"/>
                <w:sz w:val="20"/>
                <w:szCs w:val="20"/>
                <w:lang w:val="en-US" w:eastAsia="zh-CN" w:bidi="ar"/>
              </w:rPr>
              <w:br w:type="textWrapping"/>
            </w:r>
            <w:r>
              <w:rPr>
                <w:rFonts w:hint="eastAsia" w:ascii="宋体" w:hAnsi="宋体" w:eastAsia="宋体" w:cs="宋体"/>
                <w:color w:val="000000"/>
                <w:kern w:val="0"/>
                <w:sz w:val="20"/>
                <w:szCs w:val="20"/>
                <w:lang w:val="en-US" w:eastAsia="zh-CN" w:bidi="ar"/>
              </w:rPr>
              <w:t>（6分）</w:t>
            </w:r>
          </w:p>
        </w:tc>
        <w:tc>
          <w:tcPr>
            <w:tcW w:w="2414" w:type="dxa"/>
            <w:tcBorders>
              <w:top w:val="single" w:color="000000" w:sz="4" w:space="0"/>
              <w:left w:val="nil"/>
              <w:bottom w:val="single" w:color="000000" w:sz="4" w:space="0"/>
              <w:right w:val="single" w:color="000000" w:sz="4" w:space="0"/>
            </w:tcBorders>
            <w:shd w:val="clear" w:color="auto" w:fill="auto"/>
            <w:noWrap w:val="0"/>
            <w:tcMar>
              <w:top w:w="15" w:type="dxa"/>
              <w:left w:w="15" w:type="dxa"/>
              <w:right w:w="15" w:type="dxa"/>
            </w:tcMar>
            <w:vAlign w:val="center"/>
          </w:tcPr>
          <w:p>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color w:val="000000"/>
                <w:kern w:val="2"/>
                <w:sz w:val="20"/>
                <w:szCs w:val="20"/>
              </w:rPr>
            </w:pPr>
            <w:r>
              <w:rPr>
                <w:rFonts w:hint="eastAsia" w:ascii="宋体" w:hAnsi="宋体" w:eastAsia="宋体" w:cs="宋体"/>
                <w:color w:val="000000"/>
                <w:kern w:val="0"/>
                <w:sz w:val="20"/>
                <w:szCs w:val="20"/>
                <w:lang w:val="en-US" w:eastAsia="zh-CN" w:bidi="ar"/>
              </w:rPr>
              <w:t>部门按要求严格预算执行管理</w:t>
            </w:r>
          </w:p>
        </w:tc>
        <w:tc>
          <w:tcPr>
            <w:tcW w:w="240" w:type="dxa"/>
            <w:tcBorders>
              <w:top w:val="single" w:color="000000" w:sz="4" w:space="0"/>
              <w:left w:val="nil"/>
              <w:bottom w:val="single" w:color="000000" w:sz="4" w:space="0"/>
              <w:right w:val="single" w:color="000000" w:sz="4" w:space="0"/>
            </w:tcBorders>
            <w:shd w:val="clear" w:color="auto" w:fill="FFFFFF"/>
            <w:noWrap w:val="0"/>
            <w:tcMar>
              <w:top w:w="15" w:type="dxa"/>
              <w:left w:w="15" w:type="dxa"/>
              <w:right w:w="15" w:type="dxa"/>
            </w:tcMar>
            <w:vAlign w:val="center"/>
          </w:tcPr>
          <w:p>
            <w:pPr>
              <w:keepNext w:val="0"/>
              <w:keepLines w:val="0"/>
              <w:widowControl w:val="0"/>
              <w:suppressLineNumbers w:val="0"/>
              <w:spacing w:before="0" w:beforeAutospacing="0" w:after="0" w:afterAutospacing="0"/>
              <w:ind w:left="0" w:right="0"/>
              <w:jc w:val="both"/>
              <w:rPr>
                <w:rFonts w:hint="default" w:ascii="宋体" w:hAnsi="宋体" w:eastAsia="宋体" w:cs="宋体"/>
                <w:color w:val="000000"/>
                <w:kern w:val="2"/>
                <w:sz w:val="20"/>
                <w:szCs w:val="20"/>
                <w:lang w:val="en-US" w:eastAsia="zh-CN"/>
              </w:rPr>
            </w:pPr>
            <w:r>
              <w:rPr>
                <w:rFonts w:hint="eastAsia" w:ascii="宋体" w:hAnsi="宋体" w:eastAsia="宋体" w:cs="宋体"/>
                <w:color w:val="000000"/>
                <w:kern w:val="2"/>
                <w:sz w:val="20"/>
                <w:szCs w:val="20"/>
                <w:lang w:val="en-US" w:eastAsia="zh-CN"/>
              </w:rPr>
              <w:t>0.5</w:t>
            </w:r>
          </w:p>
        </w:tc>
        <w:tc>
          <w:tcPr>
            <w:tcW w:w="466" w:type="dxa"/>
            <w:tcBorders>
              <w:top w:val="single" w:color="000000" w:sz="4" w:space="0"/>
              <w:left w:val="nil"/>
              <w:bottom w:val="single" w:color="000000" w:sz="4" w:space="0"/>
              <w:right w:val="single" w:color="000000" w:sz="4" w:space="0"/>
            </w:tcBorders>
            <w:shd w:val="clear" w:color="auto" w:fill="FFFFFF"/>
            <w:noWrap w:val="0"/>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color w:val="000000"/>
                <w:kern w:val="2"/>
                <w:sz w:val="20"/>
                <w:szCs w:val="20"/>
              </w:rPr>
            </w:pPr>
          </w:p>
        </w:tc>
        <w:tc>
          <w:tcPr>
            <w:tcW w:w="3478" w:type="dxa"/>
            <w:tcBorders>
              <w:top w:val="single" w:color="000000" w:sz="4" w:space="0"/>
              <w:left w:val="nil"/>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color w:val="000000"/>
                <w:kern w:val="2"/>
                <w:sz w:val="20"/>
                <w:szCs w:val="20"/>
              </w:rPr>
            </w:pPr>
            <w:r>
              <w:rPr>
                <w:rFonts w:hint="eastAsia" w:ascii="宋体" w:hAnsi="宋体" w:eastAsia="宋体" w:cs="宋体"/>
                <w:color w:val="000000"/>
                <w:kern w:val="0"/>
                <w:sz w:val="20"/>
                <w:szCs w:val="20"/>
                <w:lang w:val="en-US" w:eastAsia="zh-CN" w:bidi="ar"/>
              </w:rPr>
              <w:t>部门预算实际列支数÷部门预算总额*指标分值</w:t>
            </w:r>
          </w:p>
        </w:tc>
      </w:tr>
      <w:tr>
        <w:tblPrEx>
          <w:tblCellMar>
            <w:top w:w="0" w:type="dxa"/>
            <w:left w:w="0" w:type="dxa"/>
            <w:bottom w:w="0" w:type="dxa"/>
            <w:right w:w="0" w:type="dxa"/>
          </w:tblCellMar>
        </w:tblPrEx>
        <w:trPr>
          <w:trHeight w:val="720" w:hRule="atLeast"/>
        </w:trPr>
        <w:tc>
          <w:tcPr>
            <w:tcW w:w="520" w:type="dxa"/>
            <w:vMerge w:val="continue"/>
            <w:tcBorders>
              <w:top w:val="single" w:color="000000" w:sz="4" w:space="0"/>
              <w:left w:val="single" w:color="000000" w:sz="4" w:space="0"/>
              <w:bottom w:val="single" w:color="000000" w:sz="4" w:space="0"/>
              <w:right w:val="single" w:color="000000" w:sz="4" w:space="0"/>
            </w:tcBorders>
            <w:shd w:val="clear" w:color="auto" w:fill="auto"/>
            <w:noWrap w:val="0"/>
            <w:tcMar>
              <w:top w:w="15" w:type="dxa"/>
              <w:left w:w="15" w:type="dxa"/>
              <w:right w:w="15" w:type="dxa"/>
            </w:tcMar>
            <w:vAlign w:val="center"/>
          </w:tcPr>
          <w:p>
            <w:pPr>
              <w:rPr>
                <w:rFonts w:hint="default" w:ascii="Times New Roman" w:hAnsi="Times New Roman" w:cs="Times New Roman"/>
                <w:sz w:val="20"/>
                <w:szCs w:val="20"/>
              </w:rPr>
            </w:pPr>
          </w:p>
        </w:tc>
        <w:tc>
          <w:tcPr>
            <w:tcW w:w="520" w:type="dxa"/>
            <w:tcBorders>
              <w:top w:val="single" w:color="000000" w:sz="4" w:space="0"/>
              <w:left w:val="nil"/>
              <w:bottom w:val="single" w:color="000000" w:sz="4" w:space="0"/>
              <w:right w:val="single" w:color="000000" w:sz="4" w:space="0"/>
            </w:tcBorders>
            <w:shd w:val="clear" w:color="auto" w:fill="auto"/>
            <w:noWrap w:val="0"/>
            <w:tcMar>
              <w:top w:w="15" w:type="dxa"/>
              <w:left w:w="15" w:type="dxa"/>
              <w:right w:w="15" w:type="dxa"/>
            </w:tcMar>
            <w:vAlign w:val="center"/>
          </w:tcPr>
          <w:p>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color w:val="000000"/>
                <w:kern w:val="2"/>
                <w:sz w:val="20"/>
                <w:szCs w:val="20"/>
              </w:rPr>
            </w:pPr>
            <w:r>
              <w:rPr>
                <w:rFonts w:hint="eastAsia" w:ascii="宋体" w:hAnsi="宋体" w:eastAsia="宋体" w:cs="宋体"/>
                <w:color w:val="000000"/>
                <w:kern w:val="0"/>
                <w:sz w:val="20"/>
                <w:szCs w:val="20"/>
                <w:lang w:val="en-US" w:eastAsia="zh-CN" w:bidi="ar"/>
              </w:rPr>
              <w:t>预算调整</w:t>
            </w:r>
            <w:r>
              <w:rPr>
                <w:rFonts w:hint="eastAsia" w:ascii="宋体" w:hAnsi="宋体" w:eastAsia="宋体" w:cs="宋体"/>
                <w:color w:val="000000"/>
                <w:kern w:val="0"/>
                <w:sz w:val="20"/>
                <w:szCs w:val="20"/>
                <w:lang w:val="en-US" w:eastAsia="zh-CN" w:bidi="ar"/>
              </w:rPr>
              <w:br w:type="textWrapping"/>
            </w:r>
            <w:r>
              <w:rPr>
                <w:rFonts w:hint="eastAsia" w:ascii="宋体" w:hAnsi="宋体" w:eastAsia="宋体" w:cs="宋体"/>
                <w:color w:val="000000"/>
                <w:kern w:val="0"/>
                <w:sz w:val="20"/>
                <w:szCs w:val="20"/>
                <w:lang w:val="en-US" w:eastAsia="zh-CN" w:bidi="ar"/>
              </w:rPr>
              <w:t>（4分）</w:t>
            </w:r>
          </w:p>
        </w:tc>
        <w:tc>
          <w:tcPr>
            <w:tcW w:w="939" w:type="dxa"/>
            <w:tcBorders>
              <w:top w:val="single" w:color="000000" w:sz="4" w:space="0"/>
              <w:left w:val="nil"/>
              <w:bottom w:val="single" w:color="000000" w:sz="4" w:space="0"/>
              <w:right w:val="single" w:color="000000" w:sz="4" w:space="0"/>
            </w:tcBorders>
            <w:shd w:val="clear" w:color="auto" w:fill="auto"/>
            <w:noWrap w:val="0"/>
            <w:tcMar>
              <w:top w:w="15" w:type="dxa"/>
              <w:left w:w="15" w:type="dxa"/>
              <w:right w:w="15" w:type="dxa"/>
            </w:tcMar>
            <w:vAlign w:val="center"/>
          </w:tcPr>
          <w:p>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color w:val="000000"/>
                <w:kern w:val="2"/>
                <w:sz w:val="20"/>
                <w:szCs w:val="20"/>
              </w:rPr>
            </w:pPr>
            <w:r>
              <w:rPr>
                <w:rFonts w:hint="eastAsia" w:ascii="宋体" w:hAnsi="宋体" w:eastAsia="宋体" w:cs="宋体"/>
                <w:color w:val="000000"/>
                <w:kern w:val="0"/>
                <w:sz w:val="20"/>
                <w:szCs w:val="20"/>
                <w:lang w:val="en-US" w:eastAsia="zh-CN" w:bidi="ar"/>
              </w:rPr>
              <w:t>执行中期评估</w:t>
            </w:r>
            <w:r>
              <w:rPr>
                <w:rFonts w:hint="eastAsia" w:ascii="宋体" w:hAnsi="宋体" w:eastAsia="宋体" w:cs="宋体"/>
                <w:color w:val="000000"/>
                <w:kern w:val="0"/>
                <w:sz w:val="20"/>
                <w:szCs w:val="20"/>
                <w:lang w:val="en-US" w:eastAsia="zh-CN" w:bidi="ar"/>
              </w:rPr>
              <w:br w:type="textWrapping"/>
            </w:r>
            <w:r>
              <w:rPr>
                <w:rFonts w:hint="eastAsia" w:ascii="宋体" w:hAnsi="宋体" w:eastAsia="宋体" w:cs="宋体"/>
                <w:color w:val="000000"/>
                <w:kern w:val="0"/>
                <w:sz w:val="20"/>
                <w:szCs w:val="20"/>
                <w:lang w:val="en-US" w:eastAsia="zh-CN" w:bidi="ar"/>
              </w:rPr>
              <w:t>（4分）</w:t>
            </w:r>
          </w:p>
        </w:tc>
        <w:tc>
          <w:tcPr>
            <w:tcW w:w="2414" w:type="dxa"/>
            <w:tcBorders>
              <w:top w:val="single" w:color="000000" w:sz="4" w:space="0"/>
              <w:left w:val="nil"/>
              <w:bottom w:val="single" w:color="000000" w:sz="4" w:space="0"/>
              <w:right w:val="single" w:color="000000" w:sz="4" w:space="0"/>
            </w:tcBorders>
            <w:shd w:val="clear" w:color="auto" w:fill="auto"/>
            <w:noWrap w:val="0"/>
            <w:tcMar>
              <w:top w:w="15" w:type="dxa"/>
              <w:left w:w="15" w:type="dxa"/>
              <w:right w:w="15" w:type="dxa"/>
            </w:tcMar>
            <w:vAlign w:val="center"/>
          </w:tcPr>
          <w:p>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color w:val="000000"/>
                <w:kern w:val="2"/>
                <w:sz w:val="20"/>
                <w:szCs w:val="20"/>
              </w:rPr>
            </w:pPr>
            <w:r>
              <w:rPr>
                <w:rFonts w:hint="eastAsia" w:ascii="宋体" w:hAnsi="宋体" w:eastAsia="宋体" w:cs="宋体"/>
                <w:color w:val="000000"/>
                <w:kern w:val="0"/>
                <w:sz w:val="20"/>
                <w:szCs w:val="20"/>
                <w:lang w:val="en-US" w:eastAsia="zh-CN" w:bidi="ar"/>
              </w:rPr>
              <w:t>部门中期评估调整取消资金÷(中期评估调整取消资金+预算结余注销资金）*指标分值</w:t>
            </w:r>
          </w:p>
        </w:tc>
        <w:tc>
          <w:tcPr>
            <w:tcW w:w="240" w:type="dxa"/>
            <w:tcBorders>
              <w:top w:val="single" w:color="000000" w:sz="4" w:space="0"/>
              <w:left w:val="nil"/>
              <w:bottom w:val="single" w:color="000000" w:sz="4" w:space="0"/>
              <w:right w:val="single" w:color="000000" w:sz="4" w:space="0"/>
            </w:tcBorders>
            <w:shd w:val="clear" w:color="auto" w:fill="FFFFFF"/>
            <w:noWrap w:val="0"/>
            <w:tcMar>
              <w:top w:w="15" w:type="dxa"/>
              <w:left w:w="15" w:type="dxa"/>
              <w:right w:w="15" w:type="dxa"/>
            </w:tcMar>
            <w:vAlign w:val="center"/>
          </w:tcPr>
          <w:p>
            <w:pPr>
              <w:keepNext w:val="0"/>
              <w:keepLines w:val="0"/>
              <w:widowControl w:val="0"/>
              <w:suppressLineNumbers w:val="0"/>
              <w:spacing w:before="0" w:beforeAutospacing="0" w:after="0" w:afterAutospacing="0"/>
              <w:ind w:left="0" w:right="0"/>
              <w:jc w:val="left"/>
              <w:rPr>
                <w:rFonts w:hint="eastAsia" w:ascii="宋体" w:hAnsi="宋体" w:eastAsia="宋体" w:cs="宋体"/>
                <w:color w:val="000000"/>
                <w:kern w:val="2"/>
                <w:sz w:val="20"/>
                <w:szCs w:val="20"/>
              </w:rPr>
            </w:pPr>
          </w:p>
        </w:tc>
        <w:tc>
          <w:tcPr>
            <w:tcW w:w="466" w:type="dxa"/>
            <w:tcBorders>
              <w:top w:val="single" w:color="000000" w:sz="4" w:space="0"/>
              <w:left w:val="nil"/>
              <w:bottom w:val="single" w:color="000000" w:sz="4" w:space="0"/>
              <w:right w:val="single" w:color="000000" w:sz="4" w:space="0"/>
            </w:tcBorders>
            <w:shd w:val="clear" w:color="auto" w:fill="FFFFFF"/>
            <w:noWrap w:val="0"/>
            <w:tcMar>
              <w:top w:w="15" w:type="dxa"/>
              <w:left w:w="15" w:type="dxa"/>
              <w:right w:w="15" w:type="dxa"/>
            </w:tcMar>
            <w:vAlign w:val="center"/>
          </w:tcPr>
          <w:p>
            <w:pPr>
              <w:keepNext w:val="0"/>
              <w:keepLines w:val="0"/>
              <w:widowControl w:val="0"/>
              <w:suppressLineNumbers w:val="0"/>
              <w:spacing w:before="0" w:beforeAutospacing="0" w:after="0" w:afterAutospacing="0"/>
              <w:ind w:left="0" w:right="0"/>
              <w:jc w:val="left"/>
              <w:rPr>
                <w:rFonts w:hint="eastAsia" w:ascii="宋体" w:hAnsi="宋体" w:eastAsia="宋体" w:cs="宋体"/>
                <w:color w:val="000000"/>
                <w:kern w:val="2"/>
                <w:sz w:val="20"/>
                <w:szCs w:val="20"/>
              </w:rPr>
            </w:pPr>
          </w:p>
        </w:tc>
        <w:tc>
          <w:tcPr>
            <w:tcW w:w="3478" w:type="dxa"/>
            <w:tcBorders>
              <w:top w:val="single" w:color="000000" w:sz="4" w:space="0"/>
              <w:left w:val="nil"/>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color w:val="000000"/>
                <w:kern w:val="2"/>
                <w:sz w:val="20"/>
                <w:szCs w:val="20"/>
              </w:rPr>
            </w:pPr>
            <w:r>
              <w:rPr>
                <w:rFonts w:hint="eastAsia" w:ascii="宋体" w:hAnsi="宋体" w:eastAsia="宋体" w:cs="宋体"/>
                <w:color w:val="000000"/>
                <w:kern w:val="0"/>
                <w:sz w:val="20"/>
                <w:szCs w:val="20"/>
                <w:lang w:val="en-US" w:eastAsia="zh-CN" w:bidi="ar"/>
              </w:rPr>
              <w:t>当中期评估调整取消资金与结余注销资金之和为零时，得满分</w:t>
            </w:r>
          </w:p>
        </w:tc>
      </w:tr>
      <w:tr>
        <w:tblPrEx>
          <w:tblCellMar>
            <w:top w:w="0" w:type="dxa"/>
            <w:left w:w="0" w:type="dxa"/>
            <w:bottom w:w="0" w:type="dxa"/>
            <w:right w:w="0" w:type="dxa"/>
          </w:tblCellMar>
        </w:tblPrEx>
        <w:trPr>
          <w:trHeight w:val="720" w:hRule="atLeast"/>
        </w:trPr>
        <w:tc>
          <w:tcPr>
            <w:tcW w:w="520" w:type="dxa"/>
            <w:vMerge w:val="continue"/>
            <w:tcBorders>
              <w:top w:val="single" w:color="000000" w:sz="4" w:space="0"/>
              <w:left w:val="single" w:color="000000" w:sz="4" w:space="0"/>
              <w:bottom w:val="single" w:color="000000" w:sz="4" w:space="0"/>
              <w:right w:val="single" w:color="000000" w:sz="4" w:space="0"/>
            </w:tcBorders>
            <w:shd w:val="clear" w:color="auto" w:fill="auto"/>
            <w:noWrap w:val="0"/>
            <w:tcMar>
              <w:top w:w="15" w:type="dxa"/>
              <w:left w:w="15" w:type="dxa"/>
              <w:right w:w="15" w:type="dxa"/>
            </w:tcMar>
            <w:vAlign w:val="center"/>
          </w:tcPr>
          <w:p>
            <w:pPr>
              <w:rPr>
                <w:rFonts w:hint="default" w:ascii="Times New Roman" w:hAnsi="Times New Roman" w:cs="Times New Roman"/>
                <w:sz w:val="20"/>
                <w:szCs w:val="20"/>
              </w:rPr>
            </w:pPr>
          </w:p>
        </w:tc>
        <w:tc>
          <w:tcPr>
            <w:tcW w:w="520" w:type="dxa"/>
            <w:tcBorders>
              <w:top w:val="nil"/>
              <w:left w:val="nil"/>
              <w:bottom w:val="single" w:color="000000" w:sz="4" w:space="0"/>
              <w:right w:val="single" w:color="000000" w:sz="4" w:space="0"/>
            </w:tcBorders>
            <w:shd w:val="clear" w:color="auto" w:fill="auto"/>
            <w:noWrap w:val="0"/>
            <w:tcMar>
              <w:top w:w="15" w:type="dxa"/>
              <w:left w:w="15" w:type="dxa"/>
              <w:right w:w="15" w:type="dxa"/>
            </w:tcMar>
            <w:vAlign w:val="center"/>
          </w:tcPr>
          <w:p>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color w:val="000000"/>
                <w:kern w:val="2"/>
                <w:sz w:val="20"/>
                <w:szCs w:val="20"/>
              </w:rPr>
            </w:pPr>
            <w:r>
              <w:rPr>
                <w:rFonts w:hint="eastAsia" w:ascii="宋体" w:hAnsi="宋体" w:eastAsia="宋体" w:cs="宋体"/>
                <w:color w:val="000000"/>
                <w:kern w:val="0"/>
                <w:sz w:val="20"/>
                <w:szCs w:val="20"/>
                <w:lang w:val="en-US" w:eastAsia="zh-CN" w:bidi="ar"/>
              </w:rPr>
              <w:t>行政成本</w:t>
            </w:r>
            <w:r>
              <w:rPr>
                <w:rFonts w:hint="eastAsia" w:ascii="宋体" w:hAnsi="宋体" w:eastAsia="宋体" w:cs="宋体"/>
                <w:color w:val="000000"/>
                <w:kern w:val="0"/>
                <w:sz w:val="20"/>
                <w:szCs w:val="20"/>
                <w:lang w:val="en-US" w:eastAsia="zh-CN" w:bidi="ar"/>
              </w:rPr>
              <w:br w:type="textWrapping"/>
            </w:r>
            <w:r>
              <w:rPr>
                <w:rFonts w:hint="eastAsia" w:ascii="宋体" w:hAnsi="宋体" w:eastAsia="宋体" w:cs="宋体"/>
                <w:color w:val="000000"/>
                <w:kern w:val="0"/>
                <w:sz w:val="20"/>
                <w:szCs w:val="20"/>
                <w:lang w:val="en-US" w:eastAsia="zh-CN" w:bidi="ar"/>
              </w:rPr>
              <w:t>（6分）</w:t>
            </w:r>
          </w:p>
        </w:tc>
        <w:tc>
          <w:tcPr>
            <w:tcW w:w="939" w:type="dxa"/>
            <w:tcBorders>
              <w:top w:val="single" w:color="000000" w:sz="4" w:space="0"/>
              <w:left w:val="nil"/>
              <w:bottom w:val="single" w:color="000000" w:sz="4" w:space="0"/>
              <w:right w:val="single" w:color="000000" w:sz="4" w:space="0"/>
            </w:tcBorders>
            <w:shd w:val="clear" w:color="auto" w:fill="auto"/>
            <w:noWrap w:val="0"/>
            <w:tcMar>
              <w:top w:w="15" w:type="dxa"/>
              <w:left w:w="15" w:type="dxa"/>
              <w:right w:w="15" w:type="dxa"/>
            </w:tcMar>
            <w:vAlign w:val="center"/>
          </w:tcPr>
          <w:p>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color w:val="000000"/>
                <w:kern w:val="2"/>
                <w:sz w:val="20"/>
                <w:szCs w:val="20"/>
              </w:rPr>
            </w:pPr>
            <w:r>
              <w:rPr>
                <w:rFonts w:hint="eastAsia" w:ascii="宋体" w:hAnsi="宋体" w:eastAsia="宋体" w:cs="宋体"/>
                <w:color w:val="000000"/>
                <w:kern w:val="0"/>
                <w:sz w:val="20"/>
                <w:szCs w:val="20"/>
                <w:lang w:val="en-US" w:eastAsia="zh-CN" w:bidi="ar"/>
              </w:rPr>
              <w:t>“三公”经费</w:t>
            </w:r>
            <w:r>
              <w:rPr>
                <w:rFonts w:hint="eastAsia" w:ascii="宋体" w:hAnsi="宋体" w:eastAsia="宋体" w:cs="宋体"/>
                <w:color w:val="000000"/>
                <w:kern w:val="0"/>
                <w:sz w:val="20"/>
                <w:szCs w:val="20"/>
                <w:lang w:val="en-US" w:eastAsia="zh-CN" w:bidi="ar"/>
              </w:rPr>
              <w:br w:type="textWrapping"/>
            </w:r>
            <w:r>
              <w:rPr>
                <w:rFonts w:hint="eastAsia" w:ascii="宋体" w:hAnsi="宋体" w:eastAsia="宋体" w:cs="宋体"/>
                <w:color w:val="000000"/>
                <w:kern w:val="0"/>
                <w:sz w:val="20"/>
                <w:szCs w:val="20"/>
                <w:lang w:val="en-US" w:eastAsia="zh-CN" w:bidi="ar"/>
              </w:rPr>
              <w:t>（6分）</w:t>
            </w:r>
          </w:p>
        </w:tc>
        <w:tc>
          <w:tcPr>
            <w:tcW w:w="2414" w:type="dxa"/>
            <w:tcBorders>
              <w:top w:val="single" w:color="000000" w:sz="4" w:space="0"/>
              <w:left w:val="nil"/>
              <w:bottom w:val="single" w:color="000000" w:sz="4" w:space="0"/>
              <w:right w:val="single" w:color="000000" w:sz="4" w:space="0"/>
            </w:tcBorders>
            <w:shd w:val="clear" w:color="auto" w:fill="auto"/>
            <w:noWrap w:val="0"/>
            <w:tcMar>
              <w:top w:w="15" w:type="dxa"/>
              <w:left w:w="15" w:type="dxa"/>
              <w:right w:w="15" w:type="dxa"/>
            </w:tcMar>
            <w:vAlign w:val="center"/>
          </w:tcPr>
          <w:p>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color w:val="000000"/>
                <w:kern w:val="2"/>
                <w:sz w:val="20"/>
                <w:szCs w:val="20"/>
              </w:rPr>
            </w:pPr>
            <w:r>
              <w:rPr>
                <w:rFonts w:hint="eastAsia" w:ascii="宋体" w:hAnsi="宋体" w:eastAsia="宋体" w:cs="宋体"/>
                <w:color w:val="000000"/>
                <w:kern w:val="0"/>
                <w:sz w:val="20"/>
                <w:szCs w:val="20"/>
                <w:lang w:val="en-US" w:eastAsia="zh-CN" w:bidi="ar"/>
              </w:rPr>
              <w:t>严格执行“三公”经费预算</w:t>
            </w:r>
          </w:p>
        </w:tc>
        <w:tc>
          <w:tcPr>
            <w:tcW w:w="240" w:type="dxa"/>
            <w:tcBorders>
              <w:top w:val="single" w:color="000000" w:sz="4" w:space="0"/>
              <w:left w:val="nil"/>
              <w:bottom w:val="single" w:color="000000" w:sz="4" w:space="0"/>
              <w:right w:val="single" w:color="000000" w:sz="4" w:space="0"/>
            </w:tcBorders>
            <w:shd w:val="clear" w:color="auto" w:fill="FFFFFF"/>
            <w:noWrap w:val="0"/>
            <w:tcMar>
              <w:top w:w="15" w:type="dxa"/>
              <w:left w:w="15" w:type="dxa"/>
              <w:right w:w="15" w:type="dxa"/>
            </w:tcMar>
            <w:vAlign w:val="center"/>
          </w:tcPr>
          <w:p>
            <w:pPr>
              <w:keepNext w:val="0"/>
              <w:keepLines w:val="0"/>
              <w:widowControl w:val="0"/>
              <w:suppressLineNumbers w:val="0"/>
              <w:spacing w:before="0" w:beforeAutospacing="0" w:after="0" w:afterAutospacing="0"/>
              <w:ind w:left="0" w:right="0"/>
              <w:jc w:val="left"/>
              <w:rPr>
                <w:rFonts w:hint="eastAsia" w:ascii="宋体" w:hAnsi="宋体" w:eastAsia="宋体" w:cs="宋体"/>
                <w:color w:val="000000"/>
                <w:kern w:val="2"/>
                <w:sz w:val="20"/>
                <w:szCs w:val="20"/>
              </w:rPr>
            </w:pPr>
          </w:p>
        </w:tc>
        <w:tc>
          <w:tcPr>
            <w:tcW w:w="466" w:type="dxa"/>
            <w:tcBorders>
              <w:top w:val="single" w:color="000000" w:sz="4" w:space="0"/>
              <w:left w:val="nil"/>
              <w:bottom w:val="single" w:color="000000" w:sz="4" w:space="0"/>
              <w:right w:val="single" w:color="000000" w:sz="4" w:space="0"/>
            </w:tcBorders>
            <w:shd w:val="clear" w:color="auto" w:fill="FFFFFF"/>
            <w:noWrap w:val="0"/>
            <w:tcMar>
              <w:top w:w="15" w:type="dxa"/>
              <w:left w:w="15" w:type="dxa"/>
              <w:right w:w="15" w:type="dxa"/>
            </w:tcMar>
            <w:vAlign w:val="center"/>
          </w:tcPr>
          <w:p>
            <w:pPr>
              <w:keepNext w:val="0"/>
              <w:keepLines w:val="0"/>
              <w:widowControl w:val="0"/>
              <w:suppressLineNumbers w:val="0"/>
              <w:spacing w:before="0" w:beforeAutospacing="0" w:after="0" w:afterAutospacing="0"/>
              <w:ind w:left="0" w:right="0"/>
              <w:jc w:val="left"/>
              <w:rPr>
                <w:rFonts w:hint="eastAsia" w:ascii="宋体" w:hAnsi="宋体" w:eastAsia="宋体" w:cs="宋体"/>
                <w:color w:val="000000"/>
                <w:kern w:val="2"/>
                <w:sz w:val="20"/>
                <w:szCs w:val="20"/>
              </w:rPr>
            </w:pPr>
          </w:p>
        </w:tc>
        <w:tc>
          <w:tcPr>
            <w:tcW w:w="3478" w:type="dxa"/>
            <w:tcBorders>
              <w:top w:val="single" w:color="000000" w:sz="4" w:space="0"/>
              <w:left w:val="nil"/>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color w:val="000000"/>
                <w:kern w:val="2"/>
                <w:sz w:val="20"/>
                <w:szCs w:val="20"/>
              </w:rPr>
            </w:pPr>
            <w:r>
              <w:rPr>
                <w:rFonts w:hint="eastAsia" w:ascii="宋体" w:hAnsi="宋体" w:eastAsia="宋体" w:cs="宋体"/>
                <w:color w:val="000000"/>
                <w:kern w:val="0"/>
                <w:sz w:val="20"/>
                <w:szCs w:val="20"/>
                <w:lang w:val="en-US" w:eastAsia="zh-CN" w:bidi="ar"/>
              </w:rPr>
              <w:t>部门“三公”经费决算数一项超预算扣1分，两项超预算扣2分，以此类推，直至扣完</w:t>
            </w:r>
          </w:p>
        </w:tc>
      </w:tr>
      <w:tr>
        <w:tblPrEx>
          <w:tblCellMar>
            <w:top w:w="0" w:type="dxa"/>
            <w:left w:w="0" w:type="dxa"/>
            <w:bottom w:w="0" w:type="dxa"/>
            <w:right w:w="0" w:type="dxa"/>
          </w:tblCellMar>
        </w:tblPrEx>
        <w:trPr>
          <w:trHeight w:val="720" w:hRule="atLeast"/>
        </w:trPr>
        <w:tc>
          <w:tcPr>
            <w:tcW w:w="520" w:type="dxa"/>
            <w:vMerge w:val="restart"/>
            <w:tcBorders>
              <w:top w:val="nil"/>
              <w:left w:val="single" w:color="000000" w:sz="4" w:space="0"/>
              <w:bottom w:val="single" w:color="000000" w:sz="4" w:space="0"/>
              <w:right w:val="single" w:color="000000" w:sz="4" w:space="0"/>
            </w:tcBorders>
            <w:shd w:val="clear" w:color="auto" w:fill="auto"/>
            <w:noWrap w:val="0"/>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000000"/>
                <w:kern w:val="2"/>
                <w:sz w:val="20"/>
                <w:szCs w:val="20"/>
              </w:rPr>
            </w:pPr>
            <w:r>
              <w:rPr>
                <w:rFonts w:hint="eastAsia" w:ascii="宋体" w:hAnsi="宋体" w:eastAsia="宋体" w:cs="宋体"/>
                <w:color w:val="000000"/>
                <w:kern w:val="0"/>
                <w:sz w:val="20"/>
                <w:szCs w:val="20"/>
                <w:lang w:val="en-US" w:eastAsia="zh-CN" w:bidi="ar"/>
              </w:rPr>
              <w:t>综合管理</w:t>
            </w:r>
            <w:r>
              <w:rPr>
                <w:rFonts w:hint="eastAsia" w:ascii="宋体" w:hAnsi="宋体" w:eastAsia="宋体" w:cs="宋体"/>
                <w:color w:val="000000"/>
                <w:kern w:val="0"/>
                <w:sz w:val="20"/>
                <w:szCs w:val="20"/>
                <w:lang w:val="en-US" w:eastAsia="zh-CN" w:bidi="ar"/>
              </w:rPr>
              <w:br w:type="textWrapping"/>
            </w:r>
            <w:r>
              <w:rPr>
                <w:rFonts w:hint="eastAsia" w:ascii="宋体" w:hAnsi="宋体" w:eastAsia="宋体" w:cs="宋体"/>
                <w:color w:val="000000"/>
                <w:kern w:val="0"/>
                <w:sz w:val="20"/>
                <w:szCs w:val="20"/>
                <w:lang w:val="en-US" w:eastAsia="zh-CN" w:bidi="ar"/>
              </w:rPr>
              <w:t>（40分）</w:t>
            </w:r>
          </w:p>
        </w:tc>
        <w:tc>
          <w:tcPr>
            <w:tcW w:w="520" w:type="dxa"/>
            <w:vMerge w:val="restart"/>
            <w:tcBorders>
              <w:top w:val="nil"/>
              <w:left w:val="nil"/>
              <w:bottom w:val="single" w:color="000000" w:sz="4" w:space="0"/>
              <w:right w:val="single" w:color="000000" w:sz="4" w:space="0"/>
            </w:tcBorders>
            <w:shd w:val="clear" w:color="auto" w:fill="auto"/>
            <w:noWrap w:val="0"/>
            <w:tcMar>
              <w:top w:w="15" w:type="dxa"/>
              <w:left w:w="15" w:type="dxa"/>
              <w:right w:w="15" w:type="dxa"/>
            </w:tcMar>
            <w:vAlign w:val="center"/>
          </w:tcPr>
          <w:p>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color w:val="000000"/>
                <w:kern w:val="2"/>
                <w:sz w:val="20"/>
                <w:szCs w:val="20"/>
              </w:rPr>
            </w:pPr>
            <w:r>
              <w:rPr>
                <w:rFonts w:hint="eastAsia" w:ascii="宋体" w:hAnsi="宋体" w:eastAsia="宋体" w:cs="宋体"/>
                <w:color w:val="000000"/>
                <w:kern w:val="0"/>
                <w:sz w:val="20"/>
                <w:szCs w:val="20"/>
                <w:lang w:val="en-US" w:eastAsia="zh-CN" w:bidi="ar"/>
              </w:rPr>
              <w:t>政府采购</w:t>
            </w:r>
            <w:r>
              <w:rPr>
                <w:rFonts w:hint="eastAsia" w:ascii="宋体" w:hAnsi="宋体" w:eastAsia="宋体" w:cs="宋体"/>
                <w:color w:val="000000"/>
                <w:kern w:val="0"/>
                <w:sz w:val="20"/>
                <w:szCs w:val="20"/>
                <w:lang w:val="en-US" w:eastAsia="zh-CN" w:bidi="ar"/>
              </w:rPr>
              <w:br w:type="textWrapping"/>
            </w:r>
            <w:r>
              <w:rPr>
                <w:rFonts w:hint="eastAsia" w:ascii="宋体" w:hAnsi="宋体" w:eastAsia="宋体" w:cs="宋体"/>
                <w:color w:val="000000"/>
                <w:kern w:val="0"/>
                <w:sz w:val="20"/>
                <w:szCs w:val="20"/>
                <w:lang w:val="en-US" w:eastAsia="zh-CN" w:bidi="ar"/>
              </w:rPr>
              <w:t>实施计划</w:t>
            </w:r>
            <w:r>
              <w:rPr>
                <w:rFonts w:hint="eastAsia" w:ascii="宋体" w:hAnsi="宋体" w:eastAsia="宋体" w:cs="宋体"/>
                <w:color w:val="000000"/>
                <w:kern w:val="0"/>
                <w:sz w:val="20"/>
                <w:szCs w:val="20"/>
                <w:lang w:val="en-US" w:eastAsia="zh-CN" w:bidi="ar"/>
              </w:rPr>
              <w:br w:type="textWrapping"/>
            </w:r>
            <w:r>
              <w:rPr>
                <w:rFonts w:hint="eastAsia" w:ascii="宋体" w:hAnsi="宋体" w:eastAsia="宋体" w:cs="宋体"/>
                <w:color w:val="000000"/>
                <w:kern w:val="0"/>
                <w:sz w:val="20"/>
                <w:szCs w:val="20"/>
                <w:lang w:val="en-US" w:eastAsia="zh-CN" w:bidi="ar"/>
              </w:rPr>
              <w:t>（4分）</w:t>
            </w:r>
          </w:p>
        </w:tc>
        <w:tc>
          <w:tcPr>
            <w:tcW w:w="939" w:type="dxa"/>
            <w:tcBorders>
              <w:top w:val="single" w:color="000000" w:sz="4" w:space="0"/>
              <w:left w:val="nil"/>
              <w:bottom w:val="single" w:color="000000" w:sz="4" w:space="0"/>
              <w:right w:val="single" w:color="000000" w:sz="4" w:space="0"/>
            </w:tcBorders>
            <w:shd w:val="clear" w:color="auto" w:fill="auto"/>
            <w:noWrap w:val="0"/>
            <w:tcMar>
              <w:top w:w="15" w:type="dxa"/>
              <w:left w:w="15" w:type="dxa"/>
              <w:right w:w="15" w:type="dxa"/>
            </w:tcMar>
            <w:vAlign w:val="center"/>
          </w:tcPr>
          <w:p>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color w:val="000000"/>
                <w:kern w:val="2"/>
                <w:sz w:val="20"/>
                <w:szCs w:val="20"/>
              </w:rPr>
            </w:pPr>
            <w:r>
              <w:rPr>
                <w:rFonts w:hint="eastAsia" w:ascii="宋体" w:hAnsi="宋体" w:eastAsia="宋体" w:cs="宋体"/>
                <w:color w:val="000000"/>
                <w:kern w:val="0"/>
                <w:sz w:val="20"/>
                <w:szCs w:val="20"/>
                <w:lang w:val="en-US" w:eastAsia="zh-CN" w:bidi="ar"/>
              </w:rPr>
              <w:t>政府采购实施计划编制（2）</w:t>
            </w:r>
          </w:p>
        </w:tc>
        <w:tc>
          <w:tcPr>
            <w:tcW w:w="2414" w:type="dxa"/>
            <w:tcBorders>
              <w:top w:val="single" w:color="000000" w:sz="4" w:space="0"/>
              <w:left w:val="nil"/>
              <w:bottom w:val="single" w:color="000000" w:sz="4" w:space="0"/>
              <w:right w:val="single" w:color="000000" w:sz="4" w:space="0"/>
            </w:tcBorders>
            <w:shd w:val="clear" w:color="auto" w:fill="auto"/>
            <w:noWrap w:val="0"/>
            <w:tcMar>
              <w:top w:w="15" w:type="dxa"/>
              <w:left w:w="15" w:type="dxa"/>
              <w:right w:w="15" w:type="dxa"/>
            </w:tcMar>
            <w:vAlign w:val="center"/>
          </w:tcPr>
          <w:p>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color w:val="000000"/>
                <w:kern w:val="2"/>
                <w:sz w:val="20"/>
                <w:szCs w:val="20"/>
              </w:rPr>
            </w:pPr>
            <w:r>
              <w:rPr>
                <w:rFonts w:hint="eastAsia" w:ascii="宋体" w:hAnsi="宋体" w:eastAsia="宋体" w:cs="宋体"/>
                <w:color w:val="000000"/>
                <w:kern w:val="0"/>
                <w:sz w:val="20"/>
                <w:szCs w:val="20"/>
                <w:lang w:val="en-US" w:eastAsia="zh-CN" w:bidi="ar"/>
              </w:rPr>
              <w:t>实施计划与政府采购预算的一致性</w:t>
            </w:r>
          </w:p>
        </w:tc>
        <w:tc>
          <w:tcPr>
            <w:tcW w:w="240" w:type="dxa"/>
            <w:tcBorders>
              <w:top w:val="single" w:color="000000" w:sz="4" w:space="0"/>
              <w:left w:val="nil"/>
              <w:bottom w:val="single" w:color="000000" w:sz="4" w:space="0"/>
              <w:right w:val="single" w:color="000000" w:sz="4" w:space="0"/>
            </w:tcBorders>
            <w:shd w:val="clear" w:color="auto" w:fill="FFFFFF"/>
            <w:noWrap w:val="0"/>
            <w:tcMar>
              <w:top w:w="15" w:type="dxa"/>
              <w:left w:w="15" w:type="dxa"/>
              <w:right w:w="15" w:type="dxa"/>
            </w:tcMar>
            <w:vAlign w:val="center"/>
          </w:tcPr>
          <w:p>
            <w:pPr>
              <w:keepNext w:val="0"/>
              <w:keepLines w:val="0"/>
              <w:widowControl w:val="0"/>
              <w:suppressLineNumbers w:val="0"/>
              <w:spacing w:before="0" w:beforeAutospacing="0" w:after="0" w:afterAutospacing="0"/>
              <w:ind w:left="0" w:right="0"/>
              <w:jc w:val="left"/>
              <w:rPr>
                <w:rFonts w:hint="eastAsia" w:ascii="宋体" w:hAnsi="宋体" w:eastAsia="宋体" w:cs="宋体"/>
                <w:color w:val="000000"/>
                <w:kern w:val="2"/>
                <w:sz w:val="20"/>
                <w:szCs w:val="20"/>
              </w:rPr>
            </w:pPr>
          </w:p>
        </w:tc>
        <w:tc>
          <w:tcPr>
            <w:tcW w:w="466" w:type="dxa"/>
            <w:tcBorders>
              <w:top w:val="single" w:color="000000" w:sz="4" w:space="0"/>
              <w:left w:val="nil"/>
              <w:bottom w:val="single" w:color="000000" w:sz="4" w:space="0"/>
              <w:right w:val="single" w:color="000000" w:sz="4" w:space="0"/>
            </w:tcBorders>
            <w:shd w:val="clear" w:color="auto" w:fill="FFFFFF"/>
            <w:noWrap w:val="0"/>
            <w:tcMar>
              <w:top w:w="15" w:type="dxa"/>
              <w:left w:w="15" w:type="dxa"/>
              <w:right w:w="15" w:type="dxa"/>
            </w:tcMar>
            <w:vAlign w:val="center"/>
          </w:tcPr>
          <w:p>
            <w:pPr>
              <w:keepNext w:val="0"/>
              <w:keepLines w:val="0"/>
              <w:widowControl w:val="0"/>
              <w:suppressLineNumbers w:val="0"/>
              <w:spacing w:before="0" w:beforeAutospacing="0" w:after="0" w:afterAutospacing="0"/>
              <w:ind w:left="0" w:right="0"/>
              <w:jc w:val="left"/>
              <w:rPr>
                <w:rFonts w:hint="eastAsia" w:ascii="宋体" w:hAnsi="宋体" w:eastAsia="宋体" w:cs="宋体"/>
                <w:color w:val="000000"/>
                <w:kern w:val="2"/>
                <w:sz w:val="20"/>
                <w:szCs w:val="20"/>
              </w:rPr>
            </w:pPr>
          </w:p>
        </w:tc>
        <w:tc>
          <w:tcPr>
            <w:tcW w:w="3478" w:type="dxa"/>
            <w:tcBorders>
              <w:top w:val="single" w:color="000000" w:sz="4" w:space="0"/>
              <w:left w:val="nil"/>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color w:val="000000"/>
                <w:kern w:val="2"/>
                <w:sz w:val="20"/>
                <w:szCs w:val="20"/>
              </w:rPr>
            </w:pPr>
            <w:r>
              <w:rPr>
                <w:rFonts w:hint="eastAsia" w:ascii="宋体" w:hAnsi="宋体" w:eastAsia="宋体" w:cs="宋体"/>
                <w:color w:val="000000"/>
                <w:kern w:val="0"/>
                <w:sz w:val="20"/>
                <w:szCs w:val="20"/>
                <w:lang w:val="en-US" w:eastAsia="zh-CN" w:bidi="ar"/>
              </w:rPr>
              <w:t>（1-调整或细化资金/政府采购预算资金）*分值</w:t>
            </w:r>
          </w:p>
        </w:tc>
      </w:tr>
      <w:tr>
        <w:tblPrEx>
          <w:tblCellMar>
            <w:top w:w="0" w:type="dxa"/>
            <w:left w:w="0" w:type="dxa"/>
            <w:bottom w:w="0" w:type="dxa"/>
            <w:right w:w="0" w:type="dxa"/>
          </w:tblCellMar>
        </w:tblPrEx>
        <w:trPr>
          <w:trHeight w:val="720" w:hRule="atLeast"/>
        </w:trPr>
        <w:tc>
          <w:tcPr>
            <w:tcW w:w="520" w:type="dxa"/>
            <w:vMerge w:val="continue"/>
            <w:tcBorders>
              <w:top w:val="nil"/>
              <w:left w:val="single" w:color="000000" w:sz="4" w:space="0"/>
              <w:bottom w:val="single" w:color="000000" w:sz="4" w:space="0"/>
              <w:right w:val="single" w:color="000000" w:sz="4" w:space="0"/>
            </w:tcBorders>
            <w:shd w:val="clear" w:color="auto" w:fill="auto"/>
            <w:noWrap w:val="0"/>
            <w:tcMar>
              <w:top w:w="15" w:type="dxa"/>
              <w:left w:w="15" w:type="dxa"/>
              <w:right w:w="15" w:type="dxa"/>
            </w:tcMar>
            <w:vAlign w:val="center"/>
          </w:tcPr>
          <w:p>
            <w:pPr>
              <w:rPr>
                <w:rFonts w:hint="default" w:ascii="Times New Roman" w:hAnsi="Times New Roman" w:cs="Times New Roman"/>
                <w:sz w:val="20"/>
                <w:szCs w:val="20"/>
              </w:rPr>
            </w:pPr>
          </w:p>
        </w:tc>
        <w:tc>
          <w:tcPr>
            <w:tcW w:w="520" w:type="dxa"/>
            <w:vMerge w:val="continue"/>
            <w:tcBorders>
              <w:top w:val="nil"/>
              <w:left w:val="nil"/>
              <w:bottom w:val="single" w:color="000000" w:sz="4" w:space="0"/>
              <w:right w:val="single" w:color="000000" w:sz="4" w:space="0"/>
            </w:tcBorders>
            <w:shd w:val="clear" w:color="auto" w:fill="auto"/>
            <w:noWrap w:val="0"/>
            <w:tcMar>
              <w:top w:w="15" w:type="dxa"/>
              <w:left w:w="15" w:type="dxa"/>
              <w:right w:w="15" w:type="dxa"/>
            </w:tcMar>
            <w:vAlign w:val="center"/>
          </w:tcPr>
          <w:p>
            <w:pPr>
              <w:rPr>
                <w:rFonts w:hint="default" w:ascii="Times New Roman" w:hAnsi="Times New Roman" w:cs="Times New Roman"/>
                <w:sz w:val="20"/>
                <w:szCs w:val="20"/>
              </w:rPr>
            </w:pPr>
          </w:p>
        </w:tc>
        <w:tc>
          <w:tcPr>
            <w:tcW w:w="939" w:type="dxa"/>
            <w:tcBorders>
              <w:top w:val="single" w:color="000000" w:sz="4" w:space="0"/>
              <w:left w:val="nil"/>
              <w:bottom w:val="single" w:color="000000" w:sz="4" w:space="0"/>
              <w:right w:val="single" w:color="000000" w:sz="4" w:space="0"/>
            </w:tcBorders>
            <w:shd w:val="clear" w:color="auto" w:fill="auto"/>
            <w:noWrap w:val="0"/>
            <w:tcMar>
              <w:top w:w="15" w:type="dxa"/>
              <w:left w:w="15" w:type="dxa"/>
              <w:right w:w="15" w:type="dxa"/>
            </w:tcMar>
            <w:vAlign w:val="center"/>
          </w:tcPr>
          <w:p>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color w:val="000000"/>
                <w:kern w:val="2"/>
                <w:sz w:val="20"/>
                <w:szCs w:val="20"/>
              </w:rPr>
            </w:pPr>
            <w:r>
              <w:rPr>
                <w:rFonts w:hint="eastAsia" w:ascii="宋体" w:hAnsi="宋体" w:eastAsia="宋体" w:cs="宋体"/>
                <w:color w:val="000000"/>
                <w:kern w:val="0"/>
                <w:sz w:val="20"/>
                <w:szCs w:val="20"/>
                <w:lang w:val="en-US" w:eastAsia="zh-CN" w:bidi="ar"/>
              </w:rPr>
              <w:t>政府采购实施计划的执行（2）</w:t>
            </w:r>
          </w:p>
        </w:tc>
        <w:tc>
          <w:tcPr>
            <w:tcW w:w="2414" w:type="dxa"/>
            <w:tcBorders>
              <w:top w:val="single" w:color="000000" w:sz="4" w:space="0"/>
              <w:left w:val="nil"/>
              <w:bottom w:val="single" w:color="000000" w:sz="4" w:space="0"/>
              <w:right w:val="single" w:color="000000" w:sz="4" w:space="0"/>
            </w:tcBorders>
            <w:shd w:val="clear" w:color="auto" w:fill="auto"/>
            <w:noWrap w:val="0"/>
            <w:tcMar>
              <w:top w:w="15" w:type="dxa"/>
              <w:left w:w="15" w:type="dxa"/>
              <w:right w:w="15" w:type="dxa"/>
            </w:tcMar>
            <w:vAlign w:val="center"/>
          </w:tcPr>
          <w:p>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color w:val="000000"/>
                <w:kern w:val="2"/>
                <w:sz w:val="20"/>
                <w:szCs w:val="20"/>
              </w:rPr>
            </w:pPr>
            <w:r>
              <w:rPr>
                <w:rFonts w:hint="eastAsia" w:ascii="宋体" w:hAnsi="宋体" w:eastAsia="宋体" w:cs="宋体"/>
                <w:color w:val="000000"/>
                <w:kern w:val="0"/>
                <w:sz w:val="20"/>
                <w:szCs w:val="20"/>
                <w:lang w:val="en-US" w:eastAsia="zh-CN" w:bidi="ar"/>
              </w:rPr>
              <w:t>执行的实施计划与备案的实施计划的一致性</w:t>
            </w:r>
          </w:p>
        </w:tc>
        <w:tc>
          <w:tcPr>
            <w:tcW w:w="240" w:type="dxa"/>
            <w:tcBorders>
              <w:top w:val="single" w:color="000000" w:sz="4" w:space="0"/>
              <w:left w:val="nil"/>
              <w:bottom w:val="single" w:color="000000" w:sz="4" w:space="0"/>
              <w:right w:val="single" w:color="000000" w:sz="4" w:space="0"/>
            </w:tcBorders>
            <w:shd w:val="clear" w:color="auto" w:fill="FFFFFF"/>
            <w:noWrap w:val="0"/>
            <w:tcMar>
              <w:top w:w="15" w:type="dxa"/>
              <w:left w:w="15" w:type="dxa"/>
              <w:right w:w="15" w:type="dxa"/>
            </w:tcMar>
            <w:vAlign w:val="center"/>
          </w:tcPr>
          <w:p>
            <w:pPr>
              <w:keepNext w:val="0"/>
              <w:keepLines w:val="0"/>
              <w:widowControl w:val="0"/>
              <w:suppressLineNumbers w:val="0"/>
              <w:spacing w:before="0" w:beforeAutospacing="0" w:after="0" w:afterAutospacing="0"/>
              <w:ind w:left="0" w:right="0"/>
              <w:jc w:val="left"/>
              <w:rPr>
                <w:rFonts w:hint="eastAsia" w:ascii="宋体" w:hAnsi="宋体" w:eastAsia="宋体" w:cs="宋体"/>
                <w:color w:val="000000"/>
                <w:kern w:val="2"/>
                <w:sz w:val="20"/>
                <w:szCs w:val="20"/>
              </w:rPr>
            </w:pPr>
          </w:p>
        </w:tc>
        <w:tc>
          <w:tcPr>
            <w:tcW w:w="466" w:type="dxa"/>
            <w:tcBorders>
              <w:top w:val="single" w:color="000000" w:sz="4" w:space="0"/>
              <w:left w:val="nil"/>
              <w:bottom w:val="single" w:color="000000" w:sz="4" w:space="0"/>
              <w:right w:val="single" w:color="000000" w:sz="4" w:space="0"/>
            </w:tcBorders>
            <w:shd w:val="clear" w:color="auto" w:fill="FFFFFF"/>
            <w:noWrap w:val="0"/>
            <w:tcMar>
              <w:top w:w="15" w:type="dxa"/>
              <w:left w:w="15" w:type="dxa"/>
              <w:right w:w="15" w:type="dxa"/>
            </w:tcMar>
            <w:vAlign w:val="center"/>
          </w:tcPr>
          <w:p>
            <w:pPr>
              <w:keepNext w:val="0"/>
              <w:keepLines w:val="0"/>
              <w:widowControl w:val="0"/>
              <w:suppressLineNumbers w:val="0"/>
              <w:spacing w:before="0" w:beforeAutospacing="0" w:after="0" w:afterAutospacing="0"/>
              <w:ind w:left="0" w:right="0"/>
              <w:jc w:val="left"/>
              <w:rPr>
                <w:rFonts w:hint="eastAsia" w:ascii="宋体" w:hAnsi="宋体" w:eastAsia="宋体" w:cs="宋体"/>
                <w:color w:val="000000"/>
                <w:kern w:val="2"/>
                <w:sz w:val="20"/>
                <w:szCs w:val="20"/>
              </w:rPr>
            </w:pPr>
          </w:p>
        </w:tc>
        <w:tc>
          <w:tcPr>
            <w:tcW w:w="3478" w:type="dxa"/>
            <w:tcBorders>
              <w:top w:val="single" w:color="000000" w:sz="4" w:space="0"/>
              <w:left w:val="nil"/>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color w:val="000000"/>
                <w:kern w:val="2"/>
                <w:sz w:val="20"/>
                <w:szCs w:val="20"/>
              </w:rPr>
            </w:pPr>
            <w:r>
              <w:rPr>
                <w:rFonts w:hint="eastAsia" w:ascii="宋体" w:hAnsi="宋体" w:eastAsia="宋体" w:cs="宋体"/>
                <w:color w:val="000000"/>
                <w:kern w:val="0"/>
                <w:sz w:val="20"/>
                <w:szCs w:val="20"/>
                <w:lang w:val="en-US" w:eastAsia="zh-CN" w:bidi="ar"/>
              </w:rPr>
              <w:t>（1-实施计划备案后的调整或细化资金/实施计划备案后的资金）*分值</w:t>
            </w:r>
          </w:p>
        </w:tc>
      </w:tr>
      <w:tr>
        <w:tblPrEx>
          <w:tblCellMar>
            <w:top w:w="0" w:type="dxa"/>
            <w:left w:w="0" w:type="dxa"/>
            <w:bottom w:w="0" w:type="dxa"/>
            <w:right w:w="0" w:type="dxa"/>
          </w:tblCellMar>
        </w:tblPrEx>
        <w:trPr>
          <w:trHeight w:val="960" w:hRule="atLeast"/>
        </w:trPr>
        <w:tc>
          <w:tcPr>
            <w:tcW w:w="520" w:type="dxa"/>
            <w:vMerge w:val="continue"/>
            <w:tcBorders>
              <w:top w:val="nil"/>
              <w:left w:val="single" w:color="000000" w:sz="4" w:space="0"/>
              <w:bottom w:val="single" w:color="000000" w:sz="4" w:space="0"/>
              <w:right w:val="single" w:color="000000" w:sz="4" w:space="0"/>
            </w:tcBorders>
            <w:shd w:val="clear" w:color="auto" w:fill="auto"/>
            <w:noWrap w:val="0"/>
            <w:tcMar>
              <w:top w:w="15" w:type="dxa"/>
              <w:left w:w="15" w:type="dxa"/>
              <w:right w:w="15" w:type="dxa"/>
            </w:tcMar>
            <w:vAlign w:val="center"/>
          </w:tcPr>
          <w:p>
            <w:pPr>
              <w:rPr>
                <w:rFonts w:hint="default" w:ascii="Times New Roman" w:hAnsi="Times New Roman" w:cs="Times New Roman"/>
                <w:sz w:val="20"/>
                <w:szCs w:val="20"/>
              </w:rPr>
            </w:pPr>
          </w:p>
        </w:tc>
        <w:tc>
          <w:tcPr>
            <w:tcW w:w="520" w:type="dxa"/>
            <w:vMerge w:val="restart"/>
            <w:tcBorders>
              <w:top w:val="nil"/>
              <w:left w:val="nil"/>
              <w:bottom w:val="single" w:color="000000" w:sz="4" w:space="0"/>
              <w:right w:val="single" w:color="000000" w:sz="4" w:space="0"/>
            </w:tcBorders>
            <w:shd w:val="clear" w:color="auto" w:fill="auto"/>
            <w:noWrap w:val="0"/>
            <w:tcMar>
              <w:top w:w="15" w:type="dxa"/>
              <w:left w:w="15" w:type="dxa"/>
              <w:right w:w="15" w:type="dxa"/>
            </w:tcMar>
            <w:vAlign w:val="center"/>
          </w:tcPr>
          <w:p>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color w:val="000000"/>
                <w:kern w:val="2"/>
                <w:sz w:val="20"/>
                <w:szCs w:val="20"/>
              </w:rPr>
            </w:pPr>
            <w:r>
              <w:rPr>
                <w:rFonts w:hint="eastAsia" w:ascii="宋体" w:hAnsi="宋体" w:eastAsia="宋体" w:cs="宋体"/>
                <w:color w:val="000000"/>
                <w:kern w:val="0"/>
                <w:sz w:val="20"/>
                <w:szCs w:val="20"/>
                <w:lang w:val="en-US" w:eastAsia="zh-CN" w:bidi="ar"/>
              </w:rPr>
              <w:t>资产管理</w:t>
            </w:r>
            <w:r>
              <w:rPr>
                <w:rFonts w:hint="eastAsia" w:ascii="宋体" w:hAnsi="宋体" w:eastAsia="宋体" w:cs="宋体"/>
                <w:color w:val="000000"/>
                <w:kern w:val="0"/>
                <w:sz w:val="20"/>
                <w:szCs w:val="20"/>
                <w:lang w:val="en-US" w:eastAsia="zh-CN" w:bidi="ar"/>
              </w:rPr>
              <w:br w:type="textWrapping"/>
            </w:r>
            <w:r>
              <w:rPr>
                <w:rFonts w:hint="eastAsia" w:ascii="宋体" w:hAnsi="宋体" w:eastAsia="宋体" w:cs="宋体"/>
                <w:color w:val="000000"/>
                <w:kern w:val="0"/>
                <w:sz w:val="20"/>
                <w:szCs w:val="20"/>
                <w:lang w:val="en-US" w:eastAsia="zh-CN" w:bidi="ar"/>
              </w:rPr>
              <w:t>（6分）</w:t>
            </w:r>
          </w:p>
        </w:tc>
        <w:tc>
          <w:tcPr>
            <w:tcW w:w="939" w:type="dxa"/>
            <w:tcBorders>
              <w:top w:val="single" w:color="000000" w:sz="4" w:space="0"/>
              <w:left w:val="nil"/>
              <w:bottom w:val="single" w:color="000000" w:sz="4" w:space="0"/>
              <w:right w:val="single" w:color="000000" w:sz="4" w:space="0"/>
            </w:tcBorders>
            <w:shd w:val="clear" w:color="auto" w:fill="auto"/>
            <w:noWrap w:val="0"/>
            <w:tcMar>
              <w:top w:w="15" w:type="dxa"/>
              <w:left w:w="15" w:type="dxa"/>
              <w:right w:w="15" w:type="dxa"/>
            </w:tcMar>
            <w:vAlign w:val="center"/>
          </w:tcPr>
          <w:p>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color w:val="000000"/>
                <w:kern w:val="2"/>
                <w:sz w:val="20"/>
                <w:szCs w:val="20"/>
              </w:rPr>
            </w:pPr>
            <w:r>
              <w:rPr>
                <w:rFonts w:hint="eastAsia" w:ascii="宋体" w:hAnsi="宋体" w:eastAsia="宋体" w:cs="宋体"/>
                <w:color w:val="000000"/>
                <w:kern w:val="0"/>
                <w:sz w:val="20"/>
                <w:szCs w:val="20"/>
                <w:lang w:val="en-US" w:eastAsia="zh-CN" w:bidi="ar"/>
              </w:rPr>
              <w:t>资产管理信息系统建设情况（2分）</w:t>
            </w:r>
          </w:p>
        </w:tc>
        <w:tc>
          <w:tcPr>
            <w:tcW w:w="2414" w:type="dxa"/>
            <w:tcBorders>
              <w:top w:val="single" w:color="000000" w:sz="4" w:space="0"/>
              <w:left w:val="nil"/>
              <w:bottom w:val="single" w:color="000000" w:sz="4" w:space="0"/>
              <w:right w:val="single" w:color="000000" w:sz="4" w:space="0"/>
            </w:tcBorders>
            <w:shd w:val="clear" w:color="auto" w:fill="auto"/>
            <w:noWrap w:val="0"/>
            <w:tcMar>
              <w:top w:w="15" w:type="dxa"/>
              <w:left w:w="15" w:type="dxa"/>
              <w:right w:w="15" w:type="dxa"/>
            </w:tcMar>
            <w:vAlign w:val="center"/>
          </w:tcPr>
          <w:p>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color w:val="000000"/>
                <w:kern w:val="2"/>
                <w:sz w:val="20"/>
                <w:szCs w:val="20"/>
              </w:rPr>
            </w:pPr>
            <w:r>
              <w:rPr>
                <w:rFonts w:hint="eastAsia" w:ascii="宋体" w:hAnsi="宋体" w:eastAsia="宋体" w:cs="宋体"/>
                <w:color w:val="000000"/>
                <w:kern w:val="0"/>
                <w:sz w:val="20"/>
                <w:szCs w:val="20"/>
                <w:lang w:val="en-US" w:eastAsia="zh-CN" w:bidi="ar"/>
              </w:rPr>
              <w:t>考核部门和单位将国有资产纳入资产信息系统管理情况</w:t>
            </w:r>
          </w:p>
        </w:tc>
        <w:tc>
          <w:tcPr>
            <w:tcW w:w="240" w:type="dxa"/>
            <w:tcBorders>
              <w:top w:val="single" w:color="000000" w:sz="4" w:space="0"/>
              <w:left w:val="nil"/>
              <w:bottom w:val="single" w:color="000000" w:sz="4" w:space="0"/>
              <w:right w:val="single" w:color="000000" w:sz="4" w:space="0"/>
            </w:tcBorders>
            <w:shd w:val="clear" w:color="auto" w:fill="FFFFFF"/>
            <w:noWrap w:val="0"/>
            <w:tcMar>
              <w:top w:w="15" w:type="dxa"/>
              <w:left w:w="15" w:type="dxa"/>
              <w:right w:w="15" w:type="dxa"/>
            </w:tcMar>
            <w:vAlign w:val="center"/>
          </w:tcPr>
          <w:p>
            <w:pPr>
              <w:keepNext w:val="0"/>
              <w:keepLines w:val="0"/>
              <w:widowControl w:val="0"/>
              <w:suppressLineNumbers w:val="0"/>
              <w:spacing w:before="0" w:beforeAutospacing="0" w:after="0" w:afterAutospacing="0"/>
              <w:ind w:left="0" w:right="0"/>
              <w:jc w:val="both"/>
              <w:rPr>
                <w:rFonts w:hint="eastAsia" w:ascii="宋体" w:hAnsi="宋体" w:eastAsia="宋体" w:cs="宋体"/>
                <w:color w:val="000000"/>
                <w:kern w:val="2"/>
                <w:sz w:val="20"/>
                <w:szCs w:val="20"/>
              </w:rPr>
            </w:pPr>
          </w:p>
        </w:tc>
        <w:tc>
          <w:tcPr>
            <w:tcW w:w="466" w:type="dxa"/>
            <w:tcBorders>
              <w:top w:val="single" w:color="000000" w:sz="4" w:space="0"/>
              <w:left w:val="nil"/>
              <w:bottom w:val="single" w:color="000000" w:sz="4" w:space="0"/>
              <w:right w:val="single" w:color="000000" w:sz="4" w:space="0"/>
            </w:tcBorders>
            <w:shd w:val="clear" w:color="auto" w:fill="FFFFFF"/>
            <w:noWrap w:val="0"/>
            <w:tcMar>
              <w:top w:w="15" w:type="dxa"/>
              <w:left w:w="15" w:type="dxa"/>
              <w:right w:w="15" w:type="dxa"/>
            </w:tcMar>
            <w:vAlign w:val="center"/>
          </w:tcPr>
          <w:p>
            <w:pPr>
              <w:keepNext w:val="0"/>
              <w:keepLines w:val="0"/>
              <w:widowControl w:val="0"/>
              <w:suppressLineNumbers w:val="0"/>
              <w:spacing w:before="0" w:beforeAutospacing="0" w:after="0" w:afterAutospacing="0"/>
              <w:ind w:left="0" w:right="0"/>
              <w:jc w:val="both"/>
              <w:rPr>
                <w:rFonts w:hint="eastAsia" w:ascii="宋体" w:hAnsi="宋体" w:eastAsia="宋体" w:cs="宋体"/>
                <w:color w:val="000000"/>
                <w:kern w:val="2"/>
                <w:sz w:val="20"/>
                <w:szCs w:val="20"/>
              </w:rPr>
            </w:pPr>
          </w:p>
        </w:tc>
        <w:tc>
          <w:tcPr>
            <w:tcW w:w="3478" w:type="dxa"/>
            <w:tcBorders>
              <w:top w:val="single" w:color="000000" w:sz="4" w:space="0"/>
              <w:left w:val="nil"/>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color w:val="000000"/>
                <w:kern w:val="2"/>
                <w:sz w:val="20"/>
                <w:szCs w:val="20"/>
              </w:rPr>
            </w:pPr>
            <w:r>
              <w:rPr>
                <w:rFonts w:hint="eastAsia" w:ascii="宋体" w:hAnsi="宋体" w:eastAsia="宋体" w:cs="宋体"/>
                <w:color w:val="000000"/>
                <w:kern w:val="0"/>
                <w:sz w:val="20"/>
                <w:szCs w:val="20"/>
                <w:lang w:val="en-US" w:eastAsia="zh-CN" w:bidi="ar"/>
              </w:rPr>
              <w:t>①未将所属单位国有资产纳入系统管理，每少一个单位扣1分。②未将资产变动情况及时录入系统，每次扣0.5分。③未落实人员负责管理系统，扣1分。</w:t>
            </w:r>
          </w:p>
        </w:tc>
      </w:tr>
      <w:tr>
        <w:tblPrEx>
          <w:tblCellMar>
            <w:top w:w="0" w:type="dxa"/>
            <w:left w:w="0" w:type="dxa"/>
            <w:bottom w:w="0" w:type="dxa"/>
            <w:right w:w="0" w:type="dxa"/>
          </w:tblCellMar>
        </w:tblPrEx>
        <w:trPr>
          <w:trHeight w:val="1977" w:hRule="atLeast"/>
        </w:trPr>
        <w:tc>
          <w:tcPr>
            <w:tcW w:w="520" w:type="dxa"/>
            <w:vMerge w:val="continue"/>
            <w:tcBorders>
              <w:top w:val="nil"/>
              <w:left w:val="single" w:color="000000" w:sz="4" w:space="0"/>
              <w:bottom w:val="single" w:color="000000" w:sz="4" w:space="0"/>
              <w:right w:val="single" w:color="000000" w:sz="4" w:space="0"/>
            </w:tcBorders>
            <w:shd w:val="clear" w:color="auto" w:fill="auto"/>
            <w:noWrap w:val="0"/>
            <w:tcMar>
              <w:top w:w="15" w:type="dxa"/>
              <w:left w:w="15" w:type="dxa"/>
              <w:right w:w="15" w:type="dxa"/>
            </w:tcMar>
            <w:vAlign w:val="center"/>
          </w:tcPr>
          <w:p>
            <w:pPr>
              <w:rPr>
                <w:rFonts w:hint="default" w:ascii="Times New Roman" w:hAnsi="Times New Roman" w:cs="Times New Roman"/>
                <w:sz w:val="20"/>
                <w:szCs w:val="20"/>
              </w:rPr>
            </w:pPr>
          </w:p>
        </w:tc>
        <w:tc>
          <w:tcPr>
            <w:tcW w:w="520" w:type="dxa"/>
            <w:vMerge w:val="continue"/>
            <w:tcBorders>
              <w:top w:val="nil"/>
              <w:left w:val="nil"/>
              <w:bottom w:val="single" w:color="000000" w:sz="4" w:space="0"/>
              <w:right w:val="single" w:color="000000" w:sz="4" w:space="0"/>
            </w:tcBorders>
            <w:shd w:val="clear" w:color="auto" w:fill="auto"/>
            <w:noWrap w:val="0"/>
            <w:tcMar>
              <w:top w:w="15" w:type="dxa"/>
              <w:left w:w="15" w:type="dxa"/>
              <w:right w:w="15" w:type="dxa"/>
            </w:tcMar>
            <w:vAlign w:val="center"/>
          </w:tcPr>
          <w:p>
            <w:pPr>
              <w:rPr>
                <w:rFonts w:hint="default" w:ascii="Times New Roman" w:hAnsi="Times New Roman" w:cs="Times New Roman"/>
                <w:sz w:val="20"/>
                <w:szCs w:val="20"/>
              </w:rPr>
            </w:pPr>
          </w:p>
        </w:tc>
        <w:tc>
          <w:tcPr>
            <w:tcW w:w="939" w:type="dxa"/>
            <w:tcBorders>
              <w:top w:val="single" w:color="000000" w:sz="4" w:space="0"/>
              <w:left w:val="nil"/>
              <w:bottom w:val="single" w:color="000000" w:sz="4" w:space="0"/>
              <w:right w:val="single" w:color="000000" w:sz="4" w:space="0"/>
            </w:tcBorders>
            <w:shd w:val="clear" w:color="auto" w:fill="auto"/>
            <w:noWrap w:val="0"/>
            <w:tcMar>
              <w:top w:w="15" w:type="dxa"/>
              <w:left w:w="15" w:type="dxa"/>
              <w:right w:w="15" w:type="dxa"/>
            </w:tcMar>
            <w:vAlign w:val="center"/>
          </w:tcPr>
          <w:p>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color w:val="000000"/>
                <w:kern w:val="2"/>
                <w:sz w:val="20"/>
                <w:szCs w:val="20"/>
              </w:rPr>
            </w:pPr>
            <w:r>
              <w:rPr>
                <w:rFonts w:hint="eastAsia" w:ascii="宋体" w:hAnsi="宋体" w:eastAsia="宋体" w:cs="宋体"/>
                <w:color w:val="000000"/>
                <w:kern w:val="0"/>
                <w:sz w:val="20"/>
                <w:szCs w:val="20"/>
                <w:lang w:val="en-US" w:eastAsia="zh-CN" w:bidi="ar"/>
              </w:rPr>
              <w:t>行政事业单位资产清查开展情况（2分）</w:t>
            </w:r>
          </w:p>
        </w:tc>
        <w:tc>
          <w:tcPr>
            <w:tcW w:w="2414" w:type="dxa"/>
            <w:tcBorders>
              <w:top w:val="single" w:color="000000" w:sz="4" w:space="0"/>
              <w:left w:val="nil"/>
              <w:bottom w:val="single" w:color="000000" w:sz="4" w:space="0"/>
              <w:right w:val="single" w:color="000000" w:sz="4" w:space="0"/>
            </w:tcBorders>
            <w:shd w:val="clear" w:color="auto" w:fill="auto"/>
            <w:noWrap w:val="0"/>
            <w:tcMar>
              <w:top w:w="15" w:type="dxa"/>
              <w:left w:w="15" w:type="dxa"/>
              <w:right w:w="15" w:type="dxa"/>
            </w:tcMar>
            <w:vAlign w:val="center"/>
          </w:tcPr>
          <w:p>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color w:val="000000"/>
                <w:kern w:val="2"/>
                <w:sz w:val="20"/>
                <w:szCs w:val="20"/>
              </w:rPr>
            </w:pPr>
            <w:r>
              <w:rPr>
                <w:rFonts w:hint="eastAsia" w:ascii="宋体" w:hAnsi="宋体" w:eastAsia="宋体" w:cs="宋体"/>
                <w:color w:val="000000"/>
                <w:kern w:val="0"/>
                <w:sz w:val="20"/>
                <w:szCs w:val="20"/>
                <w:lang w:val="en-US" w:eastAsia="zh-CN" w:bidi="ar"/>
              </w:rPr>
              <w:t>考核行政事业单位按要求及时、准确、全面开展资产清查工作情况</w:t>
            </w:r>
          </w:p>
        </w:tc>
        <w:tc>
          <w:tcPr>
            <w:tcW w:w="240" w:type="dxa"/>
            <w:tcBorders>
              <w:top w:val="single" w:color="000000" w:sz="4" w:space="0"/>
              <w:left w:val="nil"/>
              <w:bottom w:val="single" w:color="000000" w:sz="4" w:space="0"/>
              <w:right w:val="single" w:color="000000" w:sz="4" w:space="0"/>
            </w:tcBorders>
            <w:shd w:val="clear" w:color="auto" w:fill="FFFFFF"/>
            <w:noWrap w:val="0"/>
            <w:tcMar>
              <w:top w:w="15" w:type="dxa"/>
              <w:left w:w="15" w:type="dxa"/>
              <w:right w:w="15" w:type="dxa"/>
            </w:tcMar>
            <w:vAlign w:val="center"/>
          </w:tcPr>
          <w:p>
            <w:pPr>
              <w:keepNext w:val="0"/>
              <w:keepLines w:val="0"/>
              <w:widowControl w:val="0"/>
              <w:suppressLineNumbers w:val="0"/>
              <w:spacing w:before="0" w:beforeAutospacing="0" w:after="0" w:afterAutospacing="0"/>
              <w:ind w:left="0" w:right="0"/>
              <w:jc w:val="both"/>
              <w:rPr>
                <w:rFonts w:hint="eastAsia" w:ascii="宋体" w:hAnsi="宋体" w:eastAsia="宋体" w:cs="宋体"/>
                <w:color w:val="000000"/>
                <w:kern w:val="2"/>
                <w:sz w:val="20"/>
                <w:szCs w:val="20"/>
              </w:rPr>
            </w:pPr>
          </w:p>
        </w:tc>
        <w:tc>
          <w:tcPr>
            <w:tcW w:w="466" w:type="dxa"/>
            <w:tcBorders>
              <w:top w:val="single" w:color="000000" w:sz="4" w:space="0"/>
              <w:left w:val="nil"/>
              <w:bottom w:val="single" w:color="000000" w:sz="4" w:space="0"/>
              <w:right w:val="single" w:color="000000" w:sz="4" w:space="0"/>
            </w:tcBorders>
            <w:shd w:val="clear" w:color="auto" w:fill="FFFFFF"/>
            <w:noWrap w:val="0"/>
            <w:tcMar>
              <w:top w:w="15" w:type="dxa"/>
              <w:left w:w="15" w:type="dxa"/>
              <w:right w:w="15" w:type="dxa"/>
            </w:tcMar>
            <w:vAlign w:val="center"/>
          </w:tcPr>
          <w:p>
            <w:pPr>
              <w:keepNext w:val="0"/>
              <w:keepLines w:val="0"/>
              <w:widowControl w:val="0"/>
              <w:suppressLineNumbers w:val="0"/>
              <w:spacing w:before="0" w:beforeAutospacing="0" w:after="0" w:afterAutospacing="0"/>
              <w:ind w:left="0" w:right="0"/>
              <w:jc w:val="both"/>
              <w:rPr>
                <w:rFonts w:hint="eastAsia" w:ascii="宋体" w:hAnsi="宋体" w:eastAsia="宋体" w:cs="宋体"/>
                <w:color w:val="000000"/>
                <w:kern w:val="2"/>
                <w:sz w:val="20"/>
                <w:szCs w:val="20"/>
              </w:rPr>
            </w:pPr>
          </w:p>
        </w:tc>
        <w:tc>
          <w:tcPr>
            <w:tcW w:w="3478" w:type="dxa"/>
            <w:tcBorders>
              <w:top w:val="single" w:color="000000" w:sz="4" w:space="0"/>
              <w:left w:val="nil"/>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color w:val="000000"/>
                <w:kern w:val="2"/>
                <w:sz w:val="20"/>
                <w:szCs w:val="20"/>
              </w:rPr>
            </w:pPr>
            <w:r>
              <w:rPr>
                <w:rFonts w:hint="eastAsia" w:ascii="宋体" w:hAnsi="宋体" w:eastAsia="宋体" w:cs="宋体"/>
                <w:color w:val="000000"/>
                <w:kern w:val="0"/>
                <w:sz w:val="20"/>
                <w:szCs w:val="20"/>
                <w:lang w:val="en-US" w:eastAsia="zh-CN" w:bidi="ar"/>
              </w:rPr>
              <w:t>①未在规定时间内完成资产清查任务扣1分。②资产清查结果与财政组织复核的结果误差超过10%的扣1分。③未及时按批复的清查结果进行账务调整扣1分。④未及时更新资产管理信息系统，导致系统资产数据与上报财政的资产清查结果不一致扣1分。</w:t>
            </w:r>
          </w:p>
        </w:tc>
      </w:tr>
      <w:tr>
        <w:tblPrEx>
          <w:tblCellMar>
            <w:top w:w="0" w:type="dxa"/>
            <w:left w:w="0" w:type="dxa"/>
            <w:bottom w:w="0" w:type="dxa"/>
            <w:right w:w="0" w:type="dxa"/>
          </w:tblCellMar>
        </w:tblPrEx>
        <w:trPr>
          <w:trHeight w:val="1200" w:hRule="atLeast"/>
        </w:trPr>
        <w:tc>
          <w:tcPr>
            <w:tcW w:w="520" w:type="dxa"/>
            <w:vMerge w:val="continue"/>
            <w:tcBorders>
              <w:top w:val="nil"/>
              <w:left w:val="single" w:color="000000" w:sz="4" w:space="0"/>
              <w:bottom w:val="single" w:color="000000" w:sz="4" w:space="0"/>
              <w:right w:val="single" w:color="000000" w:sz="4" w:space="0"/>
            </w:tcBorders>
            <w:shd w:val="clear" w:color="auto" w:fill="auto"/>
            <w:noWrap w:val="0"/>
            <w:tcMar>
              <w:top w:w="15" w:type="dxa"/>
              <w:left w:w="15" w:type="dxa"/>
              <w:right w:w="15" w:type="dxa"/>
            </w:tcMar>
            <w:vAlign w:val="center"/>
          </w:tcPr>
          <w:p>
            <w:pPr>
              <w:rPr>
                <w:rFonts w:hint="default" w:ascii="Times New Roman" w:hAnsi="Times New Roman" w:cs="Times New Roman"/>
                <w:sz w:val="20"/>
                <w:szCs w:val="20"/>
              </w:rPr>
            </w:pPr>
          </w:p>
        </w:tc>
        <w:tc>
          <w:tcPr>
            <w:tcW w:w="520" w:type="dxa"/>
            <w:vMerge w:val="continue"/>
            <w:tcBorders>
              <w:top w:val="nil"/>
              <w:left w:val="nil"/>
              <w:bottom w:val="single" w:color="000000" w:sz="4" w:space="0"/>
              <w:right w:val="single" w:color="000000" w:sz="4" w:space="0"/>
            </w:tcBorders>
            <w:shd w:val="clear" w:color="auto" w:fill="auto"/>
            <w:noWrap w:val="0"/>
            <w:tcMar>
              <w:top w:w="15" w:type="dxa"/>
              <w:left w:w="15" w:type="dxa"/>
              <w:right w:w="15" w:type="dxa"/>
            </w:tcMar>
            <w:vAlign w:val="center"/>
          </w:tcPr>
          <w:p>
            <w:pPr>
              <w:rPr>
                <w:rFonts w:hint="default" w:ascii="Times New Roman" w:hAnsi="Times New Roman" w:cs="Times New Roman"/>
                <w:sz w:val="20"/>
                <w:szCs w:val="20"/>
              </w:rPr>
            </w:pPr>
          </w:p>
        </w:tc>
        <w:tc>
          <w:tcPr>
            <w:tcW w:w="939" w:type="dxa"/>
            <w:tcBorders>
              <w:top w:val="single" w:color="000000" w:sz="4" w:space="0"/>
              <w:left w:val="nil"/>
              <w:bottom w:val="single" w:color="000000" w:sz="4" w:space="0"/>
              <w:right w:val="single" w:color="000000" w:sz="4" w:space="0"/>
            </w:tcBorders>
            <w:shd w:val="clear" w:color="auto" w:fill="auto"/>
            <w:noWrap w:val="0"/>
            <w:tcMar>
              <w:top w:w="15" w:type="dxa"/>
              <w:left w:w="15" w:type="dxa"/>
              <w:right w:w="15" w:type="dxa"/>
            </w:tcMar>
            <w:vAlign w:val="center"/>
          </w:tcPr>
          <w:p>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color w:val="000000"/>
                <w:kern w:val="2"/>
                <w:sz w:val="20"/>
                <w:szCs w:val="20"/>
              </w:rPr>
            </w:pPr>
            <w:r>
              <w:rPr>
                <w:rFonts w:hint="eastAsia" w:ascii="宋体" w:hAnsi="宋体" w:eastAsia="宋体" w:cs="宋体"/>
                <w:color w:val="000000"/>
                <w:kern w:val="0"/>
                <w:sz w:val="20"/>
                <w:szCs w:val="20"/>
                <w:lang w:val="en-US" w:eastAsia="zh-CN" w:bidi="ar"/>
              </w:rPr>
              <w:t>行政事业单位资产报表上报情况（2分）</w:t>
            </w:r>
          </w:p>
        </w:tc>
        <w:tc>
          <w:tcPr>
            <w:tcW w:w="2414" w:type="dxa"/>
            <w:tcBorders>
              <w:top w:val="single" w:color="000000" w:sz="4" w:space="0"/>
              <w:left w:val="nil"/>
              <w:bottom w:val="single" w:color="000000" w:sz="4" w:space="0"/>
              <w:right w:val="single" w:color="000000" w:sz="4" w:space="0"/>
            </w:tcBorders>
            <w:shd w:val="clear" w:color="auto" w:fill="auto"/>
            <w:noWrap w:val="0"/>
            <w:tcMar>
              <w:top w:w="15" w:type="dxa"/>
              <w:left w:w="15" w:type="dxa"/>
              <w:right w:w="15" w:type="dxa"/>
            </w:tcMar>
            <w:vAlign w:val="center"/>
          </w:tcPr>
          <w:p>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color w:val="000000"/>
                <w:kern w:val="2"/>
                <w:sz w:val="20"/>
                <w:szCs w:val="20"/>
              </w:rPr>
            </w:pPr>
            <w:r>
              <w:rPr>
                <w:rFonts w:hint="eastAsia" w:ascii="宋体" w:hAnsi="宋体" w:eastAsia="宋体" w:cs="宋体"/>
                <w:color w:val="000000"/>
                <w:kern w:val="0"/>
                <w:sz w:val="20"/>
                <w:szCs w:val="20"/>
                <w:lang w:val="en-US" w:eastAsia="zh-CN" w:bidi="ar"/>
              </w:rPr>
              <w:t>考核行政事业单位上报国有资产报表数据的真实性、准确性、全面性</w:t>
            </w:r>
          </w:p>
        </w:tc>
        <w:tc>
          <w:tcPr>
            <w:tcW w:w="240" w:type="dxa"/>
            <w:tcBorders>
              <w:top w:val="single" w:color="000000" w:sz="4" w:space="0"/>
              <w:left w:val="nil"/>
              <w:bottom w:val="single" w:color="000000" w:sz="4" w:space="0"/>
              <w:right w:val="single" w:color="000000" w:sz="4" w:space="0"/>
            </w:tcBorders>
            <w:shd w:val="clear" w:color="auto" w:fill="FFFFFF"/>
            <w:noWrap w:val="0"/>
            <w:tcMar>
              <w:top w:w="15" w:type="dxa"/>
              <w:left w:w="15" w:type="dxa"/>
              <w:right w:w="15" w:type="dxa"/>
            </w:tcMar>
            <w:vAlign w:val="center"/>
          </w:tcPr>
          <w:p>
            <w:pPr>
              <w:keepNext w:val="0"/>
              <w:keepLines w:val="0"/>
              <w:widowControl w:val="0"/>
              <w:suppressLineNumbers w:val="0"/>
              <w:spacing w:before="0" w:beforeAutospacing="0" w:after="0" w:afterAutospacing="0"/>
              <w:ind w:left="0" w:right="0"/>
              <w:jc w:val="both"/>
              <w:rPr>
                <w:rFonts w:hint="eastAsia" w:ascii="宋体" w:hAnsi="宋体" w:eastAsia="宋体" w:cs="宋体"/>
                <w:color w:val="000000"/>
                <w:kern w:val="2"/>
                <w:sz w:val="20"/>
                <w:szCs w:val="20"/>
              </w:rPr>
            </w:pPr>
          </w:p>
        </w:tc>
        <w:tc>
          <w:tcPr>
            <w:tcW w:w="466" w:type="dxa"/>
            <w:tcBorders>
              <w:top w:val="single" w:color="000000" w:sz="4" w:space="0"/>
              <w:left w:val="nil"/>
              <w:bottom w:val="single" w:color="000000" w:sz="4" w:space="0"/>
              <w:right w:val="single" w:color="000000" w:sz="4" w:space="0"/>
            </w:tcBorders>
            <w:shd w:val="clear" w:color="auto" w:fill="FFFFFF"/>
            <w:noWrap w:val="0"/>
            <w:tcMar>
              <w:top w:w="15" w:type="dxa"/>
              <w:left w:w="15" w:type="dxa"/>
              <w:right w:w="15" w:type="dxa"/>
            </w:tcMar>
            <w:vAlign w:val="center"/>
          </w:tcPr>
          <w:p>
            <w:pPr>
              <w:keepNext w:val="0"/>
              <w:keepLines w:val="0"/>
              <w:widowControl w:val="0"/>
              <w:suppressLineNumbers w:val="0"/>
              <w:spacing w:before="0" w:beforeAutospacing="0" w:after="0" w:afterAutospacing="0"/>
              <w:ind w:left="0" w:right="0"/>
              <w:jc w:val="both"/>
              <w:rPr>
                <w:rFonts w:hint="eastAsia" w:ascii="宋体" w:hAnsi="宋体" w:eastAsia="宋体" w:cs="宋体"/>
                <w:color w:val="000000"/>
                <w:kern w:val="2"/>
                <w:sz w:val="20"/>
                <w:szCs w:val="20"/>
              </w:rPr>
            </w:pPr>
          </w:p>
        </w:tc>
        <w:tc>
          <w:tcPr>
            <w:tcW w:w="3478" w:type="dxa"/>
            <w:tcBorders>
              <w:top w:val="single" w:color="000000" w:sz="4" w:space="0"/>
              <w:left w:val="nil"/>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color w:val="000000"/>
                <w:kern w:val="2"/>
                <w:sz w:val="20"/>
                <w:szCs w:val="20"/>
              </w:rPr>
            </w:pPr>
            <w:r>
              <w:rPr>
                <w:rFonts w:hint="eastAsia" w:ascii="宋体" w:hAnsi="宋体" w:eastAsia="宋体" w:cs="宋体"/>
                <w:color w:val="000000"/>
                <w:kern w:val="0"/>
                <w:sz w:val="20"/>
                <w:szCs w:val="20"/>
                <w:lang w:val="en-US" w:eastAsia="zh-CN" w:bidi="ar"/>
              </w:rPr>
              <w:t>①未落实专人负责资产报表，未及时上报资产报表扣1分。②报表填报不规范，内容不完整，数据不真实，扣1分。③未提交分析报告，对资产变动情况未作分析说明，扣1分。</w:t>
            </w:r>
          </w:p>
        </w:tc>
      </w:tr>
      <w:tr>
        <w:tblPrEx>
          <w:tblCellMar>
            <w:top w:w="0" w:type="dxa"/>
            <w:left w:w="0" w:type="dxa"/>
            <w:bottom w:w="0" w:type="dxa"/>
            <w:right w:w="0" w:type="dxa"/>
          </w:tblCellMar>
        </w:tblPrEx>
        <w:trPr>
          <w:trHeight w:val="960" w:hRule="atLeast"/>
        </w:trPr>
        <w:tc>
          <w:tcPr>
            <w:tcW w:w="520" w:type="dxa"/>
            <w:vMerge w:val="continue"/>
            <w:tcBorders>
              <w:top w:val="nil"/>
              <w:left w:val="single" w:color="000000" w:sz="4" w:space="0"/>
              <w:bottom w:val="single" w:color="000000" w:sz="4" w:space="0"/>
              <w:right w:val="single" w:color="000000" w:sz="4" w:space="0"/>
            </w:tcBorders>
            <w:shd w:val="clear" w:color="auto" w:fill="auto"/>
            <w:noWrap w:val="0"/>
            <w:tcMar>
              <w:top w:w="15" w:type="dxa"/>
              <w:left w:w="15" w:type="dxa"/>
              <w:right w:w="15" w:type="dxa"/>
            </w:tcMar>
            <w:vAlign w:val="center"/>
          </w:tcPr>
          <w:p>
            <w:pPr>
              <w:rPr>
                <w:rFonts w:hint="default" w:ascii="Times New Roman" w:hAnsi="Times New Roman" w:cs="Times New Roman"/>
                <w:sz w:val="20"/>
                <w:szCs w:val="20"/>
              </w:rPr>
            </w:pPr>
          </w:p>
        </w:tc>
        <w:tc>
          <w:tcPr>
            <w:tcW w:w="520" w:type="dxa"/>
            <w:tcBorders>
              <w:top w:val="single" w:color="000000" w:sz="4" w:space="0"/>
              <w:left w:val="nil"/>
              <w:bottom w:val="nil"/>
              <w:right w:val="single" w:color="000000" w:sz="4" w:space="0"/>
            </w:tcBorders>
            <w:shd w:val="clear" w:color="auto" w:fill="auto"/>
            <w:noWrap w:val="0"/>
            <w:tcMar>
              <w:top w:w="15" w:type="dxa"/>
              <w:left w:w="15" w:type="dxa"/>
              <w:right w:w="15" w:type="dxa"/>
            </w:tcMar>
            <w:vAlign w:val="center"/>
          </w:tcPr>
          <w:p>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color w:val="000000"/>
                <w:kern w:val="2"/>
                <w:sz w:val="20"/>
                <w:szCs w:val="20"/>
              </w:rPr>
            </w:pPr>
            <w:r>
              <w:rPr>
                <w:rFonts w:hint="eastAsia" w:ascii="宋体" w:hAnsi="宋体" w:eastAsia="宋体" w:cs="宋体"/>
                <w:color w:val="000000"/>
                <w:kern w:val="0"/>
                <w:sz w:val="20"/>
                <w:szCs w:val="20"/>
                <w:lang w:val="en-US" w:eastAsia="zh-CN" w:bidi="ar"/>
              </w:rPr>
              <w:t>内控制</w:t>
            </w:r>
            <w:r>
              <w:rPr>
                <w:rFonts w:hint="eastAsia" w:ascii="宋体" w:hAnsi="宋体" w:eastAsia="宋体" w:cs="宋体"/>
                <w:color w:val="000000"/>
                <w:kern w:val="0"/>
                <w:sz w:val="20"/>
                <w:szCs w:val="20"/>
                <w:lang w:val="en-US" w:eastAsia="zh-CN" w:bidi="ar"/>
              </w:rPr>
              <w:br w:type="textWrapping"/>
            </w:r>
            <w:r>
              <w:rPr>
                <w:rFonts w:hint="eastAsia" w:ascii="宋体" w:hAnsi="宋体" w:eastAsia="宋体" w:cs="宋体"/>
                <w:color w:val="000000"/>
                <w:kern w:val="0"/>
                <w:sz w:val="20"/>
                <w:szCs w:val="20"/>
                <w:lang w:val="en-US" w:eastAsia="zh-CN" w:bidi="ar"/>
              </w:rPr>
              <w:t>度管理</w:t>
            </w:r>
            <w:r>
              <w:rPr>
                <w:rFonts w:hint="eastAsia" w:ascii="宋体" w:hAnsi="宋体" w:eastAsia="宋体" w:cs="宋体"/>
                <w:color w:val="000000"/>
                <w:kern w:val="0"/>
                <w:sz w:val="20"/>
                <w:szCs w:val="20"/>
                <w:lang w:val="en-US" w:eastAsia="zh-CN" w:bidi="ar"/>
              </w:rPr>
              <w:br w:type="textWrapping"/>
            </w:r>
            <w:r>
              <w:rPr>
                <w:rFonts w:hint="eastAsia" w:ascii="宋体" w:hAnsi="宋体" w:eastAsia="宋体" w:cs="宋体"/>
                <w:color w:val="000000"/>
                <w:kern w:val="0"/>
                <w:sz w:val="20"/>
                <w:szCs w:val="20"/>
                <w:lang w:val="en-US" w:eastAsia="zh-CN" w:bidi="ar"/>
              </w:rPr>
              <w:t>（4分）</w:t>
            </w:r>
          </w:p>
        </w:tc>
        <w:tc>
          <w:tcPr>
            <w:tcW w:w="939" w:type="dxa"/>
            <w:tcBorders>
              <w:top w:val="single" w:color="000000" w:sz="4" w:space="0"/>
              <w:left w:val="nil"/>
              <w:bottom w:val="single" w:color="000000" w:sz="4" w:space="0"/>
              <w:right w:val="single" w:color="000000" w:sz="4" w:space="0"/>
            </w:tcBorders>
            <w:shd w:val="clear" w:color="auto" w:fill="auto"/>
            <w:noWrap w:val="0"/>
            <w:tcMar>
              <w:top w:w="15" w:type="dxa"/>
              <w:left w:w="15" w:type="dxa"/>
              <w:right w:w="15" w:type="dxa"/>
            </w:tcMar>
            <w:vAlign w:val="center"/>
          </w:tcPr>
          <w:p>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color w:val="000000"/>
                <w:kern w:val="2"/>
                <w:sz w:val="20"/>
                <w:szCs w:val="20"/>
              </w:rPr>
            </w:pPr>
            <w:r>
              <w:rPr>
                <w:rFonts w:hint="eastAsia" w:ascii="宋体" w:hAnsi="宋体" w:eastAsia="宋体" w:cs="宋体"/>
                <w:color w:val="000000"/>
                <w:kern w:val="0"/>
                <w:sz w:val="20"/>
                <w:szCs w:val="20"/>
                <w:lang w:val="en-US" w:eastAsia="zh-CN" w:bidi="ar"/>
              </w:rPr>
              <w:t>内部控制度健全完整（4分）</w:t>
            </w:r>
          </w:p>
        </w:tc>
        <w:tc>
          <w:tcPr>
            <w:tcW w:w="2414" w:type="dxa"/>
            <w:tcBorders>
              <w:top w:val="single" w:color="000000" w:sz="4" w:space="0"/>
              <w:left w:val="nil"/>
              <w:bottom w:val="single" w:color="000000" w:sz="4" w:space="0"/>
              <w:right w:val="single" w:color="000000" w:sz="4" w:space="0"/>
            </w:tcBorders>
            <w:shd w:val="clear" w:color="auto" w:fill="auto"/>
            <w:noWrap w:val="0"/>
            <w:tcMar>
              <w:top w:w="15" w:type="dxa"/>
              <w:left w:w="15" w:type="dxa"/>
              <w:right w:w="15" w:type="dxa"/>
            </w:tcMar>
            <w:vAlign w:val="center"/>
          </w:tcPr>
          <w:p>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color w:val="000000"/>
                <w:kern w:val="2"/>
                <w:sz w:val="20"/>
                <w:szCs w:val="20"/>
              </w:rPr>
            </w:pPr>
            <w:r>
              <w:rPr>
                <w:rFonts w:hint="eastAsia" w:ascii="宋体" w:hAnsi="宋体" w:eastAsia="宋体" w:cs="宋体"/>
                <w:color w:val="000000"/>
                <w:kern w:val="0"/>
                <w:sz w:val="20"/>
                <w:szCs w:val="20"/>
                <w:lang w:val="en-US" w:eastAsia="zh-CN" w:bidi="ar"/>
              </w:rPr>
              <w:t>考核部门内部控制制度的设置和执行情况</w:t>
            </w:r>
          </w:p>
        </w:tc>
        <w:tc>
          <w:tcPr>
            <w:tcW w:w="240" w:type="dxa"/>
            <w:tcBorders>
              <w:top w:val="single" w:color="000000" w:sz="4" w:space="0"/>
              <w:left w:val="nil"/>
              <w:bottom w:val="single" w:color="000000" w:sz="4" w:space="0"/>
              <w:right w:val="single" w:color="000000" w:sz="4" w:space="0"/>
            </w:tcBorders>
            <w:shd w:val="clear" w:color="auto" w:fill="FFFFFF"/>
            <w:noWrap w:val="0"/>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000000"/>
                <w:kern w:val="2"/>
                <w:sz w:val="20"/>
                <w:szCs w:val="20"/>
              </w:rPr>
            </w:pPr>
            <w:r>
              <w:rPr>
                <w:rFonts w:hint="eastAsia" w:ascii="宋体" w:hAnsi="宋体" w:eastAsia="宋体" w:cs="宋体"/>
                <w:color w:val="000000"/>
                <w:kern w:val="0"/>
                <w:sz w:val="20"/>
                <w:szCs w:val="20"/>
                <w:lang w:val="en-US" w:eastAsia="zh-CN" w:bidi="ar"/>
              </w:rPr>
              <w:t>2</w:t>
            </w:r>
          </w:p>
        </w:tc>
        <w:tc>
          <w:tcPr>
            <w:tcW w:w="466" w:type="dxa"/>
            <w:tcBorders>
              <w:top w:val="single" w:color="000000" w:sz="4" w:space="0"/>
              <w:left w:val="nil"/>
              <w:bottom w:val="single" w:color="000000" w:sz="4" w:space="0"/>
              <w:right w:val="single" w:color="000000" w:sz="4" w:space="0"/>
            </w:tcBorders>
            <w:shd w:val="clear" w:color="auto" w:fill="FFFFFF"/>
            <w:noWrap w:val="0"/>
            <w:tcMar>
              <w:top w:w="15" w:type="dxa"/>
              <w:left w:w="15" w:type="dxa"/>
              <w:right w:w="15" w:type="dxa"/>
            </w:tcMar>
            <w:vAlign w:val="center"/>
          </w:tcPr>
          <w:p>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color w:val="000000"/>
                <w:kern w:val="2"/>
                <w:sz w:val="20"/>
                <w:szCs w:val="20"/>
              </w:rPr>
            </w:pPr>
            <w:r>
              <w:rPr>
                <w:rFonts w:hint="eastAsia" w:ascii="宋体" w:hAnsi="宋体" w:eastAsia="宋体" w:cs="宋体"/>
                <w:color w:val="000000"/>
                <w:kern w:val="0"/>
                <w:sz w:val="20"/>
                <w:szCs w:val="20"/>
                <w:lang w:val="en-US" w:eastAsia="zh-CN" w:bidi="ar"/>
              </w:rPr>
              <w:t>制度还需进一步完善</w:t>
            </w:r>
          </w:p>
        </w:tc>
        <w:tc>
          <w:tcPr>
            <w:tcW w:w="3478" w:type="dxa"/>
            <w:tcBorders>
              <w:top w:val="single" w:color="000000" w:sz="4" w:space="0"/>
              <w:left w:val="nil"/>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color w:val="000000"/>
                <w:kern w:val="2"/>
                <w:sz w:val="20"/>
                <w:szCs w:val="20"/>
              </w:rPr>
            </w:pPr>
            <w:r>
              <w:rPr>
                <w:rFonts w:hint="eastAsia" w:ascii="宋体" w:hAnsi="宋体" w:eastAsia="宋体" w:cs="宋体"/>
                <w:color w:val="000000"/>
                <w:kern w:val="0"/>
                <w:sz w:val="20"/>
                <w:szCs w:val="20"/>
                <w:lang w:val="en-US" w:eastAsia="zh-CN" w:bidi="ar"/>
              </w:rPr>
              <w:t>内部控制制度健全完整并执行良好的得分，否则不得分。在本年度内因内控制度不健全或执行不到位，造成单位出现廉政风险或发生重大责任事故的不得分。</w:t>
            </w:r>
          </w:p>
        </w:tc>
      </w:tr>
      <w:tr>
        <w:tblPrEx>
          <w:tblCellMar>
            <w:top w:w="0" w:type="dxa"/>
            <w:left w:w="0" w:type="dxa"/>
            <w:bottom w:w="0" w:type="dxa"/>
            <w:right w:w="0" w:type="dxa"/>
          </w:tblCellMar>
        </w:tblPrEx>
        <w:trPr>
          <w:trHeight w:val="720" w:hRule="atLeast"/>
        </w:trPr>
        <w:tc>
          <w:tcPr>
            <w:tcW w:w="520" w:type="dxa"/>
            <w:vMerge w:val="continue"/>
            <w:tcBorders>
              <w:top w:val="nil"/>
              <w:left w:val="single" w:color="000000" w:sz="4" w:space="0"/>
              <w:bottom w:val="single" w:color="000000" w:sz="4" w:space="0"/>
              <w:right w:val="single" w:color="000000" w:sz="4" w:space="0"/>
            </w:tcBorders>
            <w:shd w:val="clear" w:color="auto" w:fill="auto"/>
            <w:noWrap w:val="0"/>
            <w:tcMar>
              <w:top w:w="15" w:type="dxa"/>
              <w:left w:w="15" w:type="dxa"/>
              <w:right w:w="15" w:type="dxa"/>
            </w:tcMar>
            <w:vAlign w:val="center"/>
          </w:tcPr>
          <w:p>
            <w:pPr>
              <w:rPr>
                <w:rFonts w:hint="default" w:ascii="Times New Roman" w:hAnsi="Times New Roman" w:cs="Times New Roman"/>
                <w:sz w:val="20"/>
                <w:szCs w:val="20"/>
              </w:rPr>
            </w:pPr>
          </w:p>
        </w:tc>
        <w:tc>
          <w:tcPr>
            <w:tcW w:w="520" w:type="dxa"/>
            <w:vMerge w:val="restart"/>
            <w:tcBorders>
              <w:top w:val="single" w:color="000000" w:sz="4" w:space="0"/>
              <w:left w:val="nil"/>
              <w:bottom w:val="single" w:color="000000" w:sz="4" w:space="0"/>
              <w:right w:val="single" w:color="000000" w:sz="4" w:space="0"/>
            </w:tcBorders>
            <w:shd w:val="clear" w:color="auto" w:fill="auto"/>
            <w:noWrap w:val="0"/>
            <w:tcMar>
              <w:top w:w="15" w:type="dxa"/>
              <w:left w:w="15" w:type="dxa"/>
              <w:right w:w="15" w:type="dxa"/>
            </w:tcMar>
            <w:vAlign w:val="center"/>
          </w:tcPr>
          <w:p>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color w:val="000000"/>
                <w:kern w:val="2"/>
                <w:sz w:val="20"/>
                <w:szCs w:val="20"/>
              </w:rPr>
            </w:pPr>
            <w:r>
              <w:rPr>
                <w:rFonts w:hint="eastAsia" w:ascii="宋体" w:hAnsi="宋体" w:eastAsia="宋体" w:cs="宋体"/>
                <w:color w:val="000000"/>
                <w:kern w:val="0"/>
                <w:sz w:val="20"/>
                <w:szCs w:val="20"/>
                <w:lang w:val="en-US" w:eastAsia="zh-CN" w:bidi="ar"/>
              </w:rPr>
              <w:t>信息公开</w:t>
            </w:r>
            <w:r>
              <w:rPr>
                <w:rFonts w:hint="eastAsia" w:ascii="宋体" w:hAnsi="宋体" w:eastAsia="宋体" w:cs="宋体"/>
                <w:color w:val="000000"/>
                <w:kern w:val="0"/>
                <w:sz w:val="20"/>
                <w:szCs w:val="20"/>
                <w:lang w:val="en-US" w:eastAsia="zh-CN" w:bidi="ar"/>
              </w:rPr>
              <w:br w:type="textWrapping"/>
            </w:r>
            <w:r>
              <w:rPr>
                <w:rFonts w:hint="eastAsia" w:ascii="宋体" w:hAnsi="宋体" w:eastAsia="宋体" w:cs="宋体"/>
                <w:color w:val="000000"/>
                <w:kern w:val="0"/>
                <w:sz w:val="20"/>
                <w:szCs w:val="20"/>
                <w:lang w:val="en-US" w:eastAsia="zh-CN" w:bidi="ar"/>
              </w:rPr>
              <w:t>（10分）</w:t>
            </w:r>
          </w:p>
        </w:tc>
        <w:tc>
          <w:tcPr>
            <w:tcW w:w="939" w:type="dxa"/>
            <w:tcBorders>
              <w:top w:val="single" w:color="000000" w:sz="4" w:space="0"/>
              <w:left w:val="nil"/>
              <w:bottom w:val="single" w:color="000000" w:sz="4" w:space="0"/>
              <w:right w:val="single" w:color="000000" w:sz="4" w:space="0"/>
            </w:tcBorders>
            <w:shd w:val="clear" w:color="auto" w:fill="auto"/>
            <w:noWrap w:val="0"/>
            <w:tcMar>
              <w:top w:w="15" w:type="dxa"/>
              <w:left w:w="15" w:type="dxa"/>
              <w:right w:w="15" w:type="dxa"/>
            </w:tcMar>
            <w:vAlign w:val="center"/>
          </w:tcPr>
          <w:p>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color w:val="000000"/>
                <w:kern w:val="2"/>
                <w:sz w:val="20"/>
                <w:szCs w:val="20"/>
              </w:rPr>
            </w:pPr>
            <w:r>
              <w:rPr>
                <w:rFonts w:hint="eastAsia" w:ascii="宋体" w:hAnsi="宋体" w:eastAsia="宋体" w:cs="宋体"/>
                <w:color w:val="000000"/>
                <w:kern w:val="0"/>
                <w:sz w:val="20"/>
                <w:szCs w:val="20"/>
                <w:lang w:val="en-US" w:eastAsia="zh-CN" w:bidi="ar"/>
              </w:rPr>
              <w:t>预算公开（4分）</w:t>
            </w:r>
          </w:p>
        </w:tc>
        <w:tc>
          <w:tcPr>
            <w:tcW w:w="2414" w:type="dxa"/>
            <w:tcBorders>
              <w:top w:val="single" w:color="000000" w:sz="4" w:space="0"/>
              <w:left w:val="nil"/>
              <w:bottom w:val="single" w:color="000000" w:sz="4" w:space="0"/>
              <w:right w:val="single" w:color="000000" w:sz="4" w:space="0"/>
            </w:tcBorders>
            <w:shd w:val="clear" w:color="auto" w:fill="auto"/>
            <w:noWrap w:val="0"/>
            <w:tcMar>
              <w:top w:w="15" w:type="dxa"/>
              <w:left w:w="15" w:type="dxa"/>
              <w:right w:w="15" w:type="dxa"/>
            </w:tcMar>
            <w:vAlign w:val="center"/>
          </w:tcPr>
          <w:p>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color w:val="000000"/>
                <w:kern w:val="2"/>
                <w:sz w:val="20"/>
                <w:szCs w:val="20"/>
              </w:rPr>
            </w:pPr>
            <w:r>
              <w:rPr>
                <w:rFonts w:hint="eastAsia" w:ascii="宋体" w:hAnsi="宋体" w:eastAsia="宋体" w:cs="宋体"/>
                <w:color w:val="000000"/>
                <w:kern w:val="0"/>
                <w:sz w:val="20"/>
                <w:szCs w:val="20"/>
                <w:lang w:val="en-US" w:eastAsia="zh-CN" w:bidi="ar"/>
              </w:rPr>
              <w:t>除涉密信息外，各部门要在财政部门批复后二十日内向社会公开本部门预算（含所有财政资金安排的“三公”经费、机关运行经费的安排、使用情况等）</w:t>
            </w:r>
          </w:p>
        </w:tc>
        <w:tc>
          <w:tcPr>
            <w:tcW w:w="240" w:type="dxa"/>
            <w:tcBorders>
              <w:top w:val="single" w:color="000000" w:sz="4" w:space="0"/>
              <w:left w:val="nil"/>
              <w:bottom w:val="single" w:color="000000" w:sz="4" w:space="0"/>
              <w:right w:val="single" w:color="000000" w:sz="4" w:space="0"/>
            </w:tcBorders>
            <w:shd w:val="clear" w:color="auto" w:fill="FFFFFF"/>
            <w:noWrap w:val="0"/>
            <w:tcMar>
              <w:top w:w="15" w:type="dxa"/>
              <w:left w:w="15" w:type="dxa"/>
              <w:right w:w="15" w:type="dxa"/>
            </w:tcMar>
            <w:vAlign w:val="center"/>
          </w:tcPr>
          <w:p>
            <w:pPr>
              <w:keepNext w:val="0"/>
              <w:keepLines w:val="0"/>
              <w:widowControl w:val="0"/>
              <w:suppressLineNumbers w:val="0"/>
              <w:spacing w:before="0" w:beforeAutospacing="0" w:after="0" w:afterAutospacing="0"/>
              <w:ind w:left="0" w:right="0"/>
              <w:jc w:val="left"/>
              <w:rPr>
                <w:rFonts w:hint="eastAsia" w:ascii="宋体" w:hAnsi="宋体" w:eastAsia="宋体" w:cs="宋体"/>
                <w:color w:val="000000"/>
                <w:kern w:val="2"/>
                <w:sz w:val="20"/>
                <w:szCs w:val="20"/>
              </w:rPr>
            </w:pPr>
          </w:p>
        </w:tc>
        <w:tc>
          <w:tcPr>
            <w:tcW w:w="466" w:type="dxa"/>
            <w:tcBorders>
              <w:top w:val="single" w:color="000000" w:sz="4" w:space="0"/>
              <w:left w:val="nil"/>
              <w:bottom w:val="single" w:color="000000" w:sz="4" w:space="0"/>
              <w:right w:val="single" w:color="000000" w:sz="4" w:space="0"/>
            </w:tcBorders>
            <w:shd w:val="clear" w:color="auto" w:fill="FFFFFF"/>
            <w:noWrap w:val="0"/>
            <w:tcMar>
              <w:top w:w="15" w:type="dxa"/>
              <w:left w:w="15" w:type="dxa"/>
              <w:right w:w="15" w:type="dxa"/>
            </w:tcMar>
            <w:vAlign w:val="center"/>
          </w:tcPr>
          <w:p>
            <w:pPr>
              <w:keepNext w:val="0"/>
              <w:keepLines w:val="0"/>
              <w:widowControl w:val="0"/>
              <w:suppressLineNumbers w:val="0"/>
              <w:spacing w:before="0" w:beforeAutospacing="0" w:after="0" w:afterAutospacing="0"/>
              <w:ind w:left="0" w:right="0"/>
              <w:jc w:val="left"/>
              <w:rPr>
                <w:rFonts w:hint="eastAsia" w:ascii="宋体" w:hAnsi="宋体" w:eastAsia="宋体" w:cs="宋体"/>
                <w:color w:val="000000"/>
                <w:kern w:val="2"/>
                <w:sz w:val="20"/>
                <w:szCs w:val="20"/>
              </w:rPr>
            </w:pPr>
          </w:p>
        </w:tc>
        <w:tc>
          <w:tcPr>
            <w:tcW w:w="3478" w:type="dxa"/>
            <w:tcBorders>
              <w:top w:val="single" w:color="000000" w:sz="4" w:space="0"/>
              <w:left w:val="nil"/>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color w:val="000000"/>
                <w:kern w:val="2"/>
                <w:sz w:val="20"/>
                <w:szCs w:val="20"/>
              </w:rPr>
            </w:pPr>
            <w:r>
              <w:rPr>
                <w:rFonts w:hint="eastAsia" w:ascii="宋体" w:hAnsi="宋体" w:eastAsia="宋体" w:cs="宋体"/>
                <w:color w:val="000000"/>
                <w:kern w:val="0"/>
                <w:sz w:val="20"/>
                <w:szCs w:val="20"/>
                <w:lang w:val="en-US" w:eastAsia="zh-CN" w:bidi="ar"/>
              </w:rPr>
              <w:t>按县财政通知要求公开预算，未按要求公开的，发现一处扣0.5分，直至扣完</w:t>
            </w:r>
          </w:p>
        </w:tc>
      </w:tr>
      <w:tr>
        <w:tblPrEx>
          <w:tblCellMar>
            <w:top w:w="0" w:type="dxa"/>
            <w:left w:w="0" w:type="dxa"/>
            <w:bottom w:w="0" w:type="dxa"/>
            <w:right w:w="0" w:type="dxa"/>
          </w:tblCellMar>
        </w:tblPrEx>
        <w:trPr>
          <w:trHeight w:val="720" w:hRule="atLeast"/>
        </w:trPr>
        <w:tc>
          <w:tcPr>
            <w:tcW w:w="520" w:type="dxa"/>
            <w:vMerge w:val="continue"/>
            <w:tcBorders>
              <w:top w:val="nil"/>
              <w:left w:val="single" w:color="000000" w:sz="4" w:space="0"/>
              <w:bottom w:val="single" w:color="000000" w:sz="4" w:space="0"/>
              <w:right w:val="single" w:color="000000" w:sz="4" w:space="0"/>
            </w:tcBorders>
            <w:shd w:val="clear" w:color="auto" w:fill="auto"/>
            <w:noWrap w:val="0"/>
            <w:tcMar>
              <w:top w:w="15" w:type="dxa"/>
              <w:left w:w="15" w:type="dxa"/>
              <w:right w:w="15" w:type="dxa"/>
            </w:tcMar>
            <w:vAlign w:val="center"/>
          </w:tcPr>
          <w:p>
            <w:pPr>
              <w:rPr>
                <w:rFonts w:hint="default" w:ascii="Times New Roman" w:hAnsi="Times New Roman" w:cs="Times New Roman"/>
                <w:sz w:val="20"/>
                <w:szCs w:val="20"/>
              </w:rPr>
            </w:pPr>
          </w:p>
        </w:tc>
        <w:tc>
          <w:tcPr>
            <w:tcW w:w="520" w:type="dxa"/>
            <w:vMerge w:val="continue"/>
            <w:tcBorders>
              <w:top w:val="single" w:color="000000" w:sz="4" w:space="0"/>
              <w:left w:val="nil"/>
              <w:bottom w:val="single" w:color="000000" w:sz="4" w:space="0"/>
              <w:right w:val="single" w:color="000000" w:sz="4" w:space="0"/>
            </w:tcBorders>
            <w:shd w:val="clear" w:color="auto" w:fill="auto"/>
            <w:noWrap w:val="0"/>
            <w:tcMar>
              <w:top w:w="15" w:type="dxa"/>
              <w:left w:w="15" w:type="dxa"/>
              <w:right w:w="15" w:type="dxa"/>
            </w:tcMar>
            <w:vAlign w:val="center"/>
          </w:tcPr>
          <w:p>
            <w:pPr>
              <w:rPr>
                <w:rFonts w:hint="default" w:ascii="Times New Roman" w:hAnsi="Times New Roman" w:cs="Times New Roman"/>
                <w:sz w:val="20"/>
                <w:szCs w:val="20"/>
              </w:rPr>
            </w:pPr>
          </w:p>
        </w:tc>
        <w:tc>
          <w:tcPr>
            <w:tcW w:w="939" w:type="dxa"/>
            <w:tcBorders>
              <w:top w:val="single" w:color="000000" w:sz="4" w:space="0"/>
              <w:left w:val="nil"/>
              <w:bottom w:val="single" w:color="000000" w:sz="4" w:space="0"/>
              <w:right w:val="single" w:color="000000" w:sz="4" w:space="0"/>
            </w:tcBorders>
            <w:shd w:val="clear" w:color="auto" w:fill="auto"/>
            <w:noWrap w:val="0"/>
            <w:tcMar>
              <w:top w:w="15" w:type="dxa"/>
              <w:left w:w="15" w:type="dxa"/>
              <w:right w:w="15" w:type="dxa"/>
            </w:tcMar>
            <w:vAlign w:val="center"/>
          </w:tcPr>
          <w:p>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color w:val="000000"/>
                <w:kern w:val="2"/>
                <w:sz w:val="20"/>
                <w:szCs w:val="20"/>
              </w:rPr>
            </w:pPr>
            <w:r>
              <w:rPr>
                <w:rFonts w:hint="eastAsia" w:ascii="宋体" w:hAnsi="宋体" w:eastAsia="宋体" w:cs="宋体"/>
                <w:color w:val="000000"/>
                <w:kern w:val="0"/>
                <w:sz w:val="20"/>
                <w:szCs w:val="20"/>
                <w:lang w:val="en-US" w:eastAsia="zh-CN" w:bidi="ar"/>
              </w:rPr>
              <w:t>决算公开（4分）</w:t>
            </w:r>
          </w:p>
        </w:tc>
        <w:tc>
          <w:tcPr>
            <w:tcW w:w="2414" w:type="dxa"/>
            <w:tcBorders>
              <w:top w:val="single" w:color="000000" w:sz="4" w:space="0"/>
              <w:left w:val="nil"/>
              <w:bottom w:val="single" w:color="000000" w:sz="4" w:space="0"/>
              <w:right w:val="single" w:color="000000" w:sz="4" w:space="0"/>
            </w:tcBorders>
            <w:shd w:val="clear" w:color="auto" w:fill="auto"/>
            <w:noWrap w:val="0"/>
            <w:tcMar>
              <w:top w:w="15" w:type="dxa"/>
              <w:left w:w="15" w:type="dxa"/>
              <w:right w:w="15" w:type="dxa"/>
            </w:tcMar>
            <w:vAlign w:val="center"/>
          </w:tcPr>
          <w:p>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color w:val="000000"/>
                <w:kern w:val="2"/>
                <w:sz w:val="20"/>
                <w:szCs w:val="20"/>
              </w:rPr>
            </w:pPr>
            <w:r>
              <w:rPr>
                <w:rFonts w:hint="eastAsia" w:ascii="宋体" w:hAnsi="宋体" w:eastAsia="宋体" w:cs="宋体"/>
                <w:color w:val="000000"/>
                <w:kern w:val="0"/>
                <w:sz w:val="20"/>
                <w:szCs w:val="20"/>
                <w:lang w:val="en-US" w:eastAsia="zh-CN" w:bidi="ar"/>
              </w:rPr>
              <w:t>除涉密信息外，各部门要在财政部门批复二十日内向社会公开本部门决算（含所有财政资金安排的“三公”经费、机关运行经费的安排、使用情况等）</w:t>
            </w:r>
          </w:p>
        </w:tc>
        <w:tc>
          <w:tcPr>
            <w:tcW w:w="240" w:type="dxa"/>
            <w:tcBorders>
              <w:top w:val="single" w:color="000000" w:sz="4" w:space="0"/>
              <w:left w:val="nil"/>
              <w:bottom w:val="single" w:color="000000" w:sz="4" w:space="0"/>
              <w:right w:val="single" w:color="000000" w:sz="4" w:space="0"/>
            </w:tcBorders>
            <w:shd w:val="clear" w:color="auto" w:fill="FFFFFF"/>
            <w:noWrap w:val="0"/>
            <w:tcMar>
              <w:top w:w="15" w:type="dxa"/>
              <w:left w:w="15" w:type="dxa"/>
              <w:right w:w="15" w:type="dxa"/>
            </w:tcMar>
            <w:vAlign w:val="center"/>
          </w:tcPr>
          <w:p>
            <w:pPr>
              <w:keepNext w:val="0"/>
              <w:keepLines w:val="0"/>
              <w:widowControl w:val="0"/>
              <w:suppressLineNumbers w:val="0"/>
              <w:spacing w:before="0" w:beforeAutospacing="0" w:after="0" w:afterAutospacing="0"/>
              <w:ind w:left="0" w:right="0"/>
              <w:jc w:val="both"/>
              <w:rPr>
                <w:rFonts w:hint="eastAsia" w:ascii="宋体" w:hAnsi="宋体" w:eastAsia="宋体" w:cs="宋体"/>
                <w:color w:val="000000"/>
                <w:kern w:val="2"/>
                <w:sz w:val="20"/>
                <w:szCs w:val="20"/>
              </w:rPr>
            </w:pPr>
          </w:p>
        </w:tc>
        <w:tc>
          <w:tcPr>
            <w:tcW w:w="466" w:type="dxa"/>
            <w:tcBorders>
              <w:top w:val="single" w:color="000000" w:sz="4" w:space="0"/>
              <w:left w:val="nil"/>
              <w:bottom w:val="single" w:color="000000" w:sz="4" w:space="0"/>
              <w:right w:val="single" w:color="000000" w:sz="4" w:space="0"/>
            </w:tcBorders>
            <w:shd w:val="clear" w:color="auto" w:fill="FFFFFF"/>
            <w:noWrap w:val="0"/>
            <w:tcMar>
              <w:top w:w="15" w:type="dxa"/>
              <w:left w:w="15" w:type="dxa"/>
              <w:right w:w="15" w:type="dxa"/>
            </w:tcMar>
            <w:vAlign w:val="center"/>
          </w:tcPr>
          <w:p>
            <w:pPr>
              <w:keepNext w:val="0"/>
              <w:keepLines w:val="0"/>
              <w:widowControl w:val="0"/>
              <w:suppressLineNumbers w:val="0"/>
              <w:spacing w:before="0" w:beforeAutospacing="0" w:after="0" w:afterAutospacing="0"/>
              <w:ind w:left="0" w:right="0"/>
              <w:jc w:val="both"/>
              <w:rPr>
                <w:rFonts w:hint="eastAsia" w:ascii="宋体" w:hAnsi="宋体" w:eastAsia="宋体" w:cs="宋体"/>
                <w:color w:val="000000"/>
                <w:kern w:val="2"/>
                <w:sz w:val="20"/>
                <w:szCs w:val="20"/>
              </w:rPr>
            </w:pPr>
          </w:p>
        </w:tc>
        <w:tc>
          <w:tcPr>
            <w:tcW w:w="3478" w:type="dxa"/>
            <w:tcBorders>
              <w:top w:val="single" w:color="000000" w:sz="4" w:space="0"/>
              <w:left w:val="nil"/>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color w:val="000000"/>
                <w:kern w:val="2"/>
                <w:sz w:val="20"/>
                <w:szCs w:val="20"/>
              </w:rPr>
            </w:pPr>
            <w:r>
              <w:rPr>
                <w:rFonts w:hint="eastAsia" w:ascii="宋体" w:hAnsi="宋体" w:eastAsia="宋体" w:cs="宋体"/>
                <w:color w:val="000000"/>
                <w:kern w:val="0"/>
                <w:sz w:val="20"/>
                <w:szCs w:val="20"/>
                <w:lang w:val="en-US" w:eastAsia="zh-CN" w:bidi="ar"/>
              </w:rPr>
              <w:t>未按要求公开的，发现一处问题0.5分，直至扣完</w:t>
            </w:r>
          </w:p>
        </w:tc>
      </w:tr>
      <w:tr>
        <w:tblPrEx>
          <w:tblCellMar>
            <w:top w:w="0" w:type="dxa"/>
            <w:left w:w="0" w:type="dxa"/>
            <w:bottom w:w="0" w:type="dxa"/>
            <w:right w:w="0" w:type="dxa"/>
          </w:tblCellMar>
        </w:tblPrEx>
        <w:trPr>
          <w:trHeight w:val="480" w:hRule="atLeast"/>
        </w:trPr>
        <w:tc>
          <w:tcPr>
            <w:tcW w:w="520" w:type="dxa"/>
            <w:vMerge w:val="continue"/>
            <w:tcBorders>
              <w:top w:val="nil"/>
              <w:left w:val="single" w:color="000000" w:sz="4" w:space="0"/>
              <w:bottom w:val="single" w:color="000000" w:sz="4" w:space="0"/>
              <w:right w:val="single" w:color="000000" w:sz="4" w:space="0"/>
            </w:tcBorders>
            <w:shd w:val="clear" w:color="auto" w:fill="auto"/>
            <w:noWrap w:val="0"/>
            <w:tcMar>
              <w:top w:w="15" w:type="dxa"/>
              <w:left w:w="15" w:type="dxa"/>
              <w:right w:w="15" w:type="dxa"/>
            </w:tcMar>
            <w:vAlign w:val="center"/>
          </w:tcPr>
          <w:p>
            <w:pPr>
              <w:rPr>
                <w:rFonts w:hint="default" w:ascii="Times New Roman" w:hAnsi="Times New Roman" w:cs="Times New Roman"/>
                <w:sz w:val="20"/>
                <w:szCs w:val="20"/>
              </w:rPr>
            </w:pPr>
          </w:p>
        </w:tc>
        <w:tc>
          <w:tcPr>
            <w:tcW w:w="520" w:type="dxa"/>
            <w:vMerge w:val="continue"/>
            <w:tcBorders>
              <w:top w:val="single" w:color="000000" w:sz="4" w:space="0"/>
              <w:left w:val="nil"/>
              <w:bottom w:val="single" w:color="000000" w:sz="4" w:space="0"/>
              <w:right w:val="single" w:color="000000" w:sz="4" w:space="0"/>
            </w:tcBorders>
            <w:shd w:val="clear" w:color="auto" w:fill="auto"/>
            <w:noWrap w:val="0"/>
            <w:tcMar>
              <w:top w:w="15" w:type="dxa"/>
              <w:left w:w="15" w:type="dxa"/>
              <w:right w:w="15" w:type="dxa"/>
            </w:tcMar>
            <w:vAlign w:val="center"/>
          </w:tcPr>
          <w:p>
            <w:pPr>
              <w:rPr>
                <w:rFonts w:hint="default" w:ascii="Times New Roman" w:hAnsi="Times New Roman" w:cs="Times New Roman"/>
                <w:sz w:val="20"/>
                <w:szCs w:val="20"/>
              </w:rPr>
            </w:pPr>
          </w:p>
        </w:tc>
        <w:tc>
          <w:tcPr>
            <w:tcW w:w="939" w:type="dxa"/>
            <w:tcBorders>
              <w:top w:val="single" w:color="000000" w:sz="4" w:space="0"/>
              <w:left w:val="nil"/>
              <w:bottom w:val="single" w:color="000000" w:sz="4" w:space="0"/>
              <w:right w:val="single" w:color="000000" w:sz="4" w:space="0"/>
            </w:tcBorders>
            <w:shd w:val="clear" w:color="auto" w:fill="auto"/>
            <w:noWrap w:val="0"/>
            <w:tcMar>
              <w:top w:w="15" w:type="dxa"/>
              <w:left w:w="15" w:type="dxa"/>
              <w:right w:w="15" w:type="dxa"/>
            </w:tcMar>
            <w:vAlign w:val="center"/>
          </w:tcPr>
          <w:p>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color w:val="000000"/>
                <w:kern w:val="2"/>
                <w:sz w:val="20"/>
                <w:szCs w:val="20"/>
              </w:rPr>
            </w:pPr>
            <w:r>
              <w:rPr>
                <w:rFonts w:hint="eastAsia" w:ascii="宋体" w:hAnsi="宋体" w:eastAsia="宋体" w:cs="宋体"/>
                <w:color w:val="000000"/>
                <w:kern w:val="0"/>
                <w:sz w:val="20"/>
                <w:szCs w:val="20"/>
                <w:lang w:val="en-US" w:eastAsia="zh-CN" w:bidi="ar"/>
              </w:rPr>
              <w:t>绩效信息公开（2分）</w:t>
            </w:r>
          </w:p>
        </w:tc>
        <w:tc>
          <w:tcPr>
            <w:tcW w:w="2414" w:type="dxa"/>
            <w:tcBorders>
              <w:top w:val="single" w:color="000000" w:sz="4" w:space="0"/>
              <w:left w:val="nil"/>
              <w:bottom w:val="single" w:color="000000" w:sz="4" w:space="0"/>
              <w:right w:val="single" w:color="000000" w:sz="4" w:space="0"/>
            </w:tcBorders>
            <w:shd w:val="clear" w:color="auto" w:fill="auto"/>
            <w:noWrap w:val="0"/>
            <w:tcMar>
              <w:top w:w="15" w:type="dxa"/>
              <w:left w:w="15" w:type="dxa"/>
              <w:right w:w="15" w:type="dxa"/>
            </w:tcMar>
            <w:vAlign w:val="center"/>
          </w:tcPr>
          <w:p>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color w:val="000000"/>
                <w:kern w:val="2"/>
                <w:sz w:val="20"/>
                <w:szCs w:val="20"/>
              </w:rPr>
            </w:pPr>
            <w:r>
              <w:rPr>
                <w:rFonts w:hint="eastAsia" w:ascii="宋体" w:hAnsi="宋体" w:eastAsia="宋体" w:cs="宋体"/>
                <w:color w:val="000000"/>
                <w:kern w:val="0"/>
                <w:sz w:val="20"/>
                <w:szCs w:val="20"/>
                <w:lang w:val="en-US" w:eastAsia="zh-CN" w:bidi="ar"/>
              </w:rPr>
              <w:t>按要求公开部门整体支出绩效自评报告及其他按要求应公开的绩效信息</w:t>
            </w:r>
          </w:p>
        </w:tc>
        <w:tc>
          <w:tcPr>
            <w:tcW w:w="240" w:type="dxa"/>
            <w:tcBorders>
              <w:top w:val="single" w:color="000000" w:sz="4" w:space="0"/>
              <w:left w:val="nil"/>
              <w:bottom w:val="single" w:color="000000" w:sz="4" w:space="0"/>
              <w:right w:val="single" w:color="000000" w:sz="4" w:space="0"/>
            </w:tcBorders>
            <w:shd w:val="clear" w:color="auto" w:fill="FFFFFF"/>
            <w:noWrap w:val="0"/>
            <w:tcMar>
              <w:top w:w="15" w:type="dxa"/>
              <w:left w:w="15" w:type="dxa"/>
              <w:right w:w="15" w:type="dxa"/>
            </w:tcMar>
            <w:vAlign w:val="center"/>
          </w:tcPr>
          <w:p>
            <w:pPr>
              <w:keepNext w:val="0"/>
              <w:keepLines w:val="0"/>
              <w:widowControl w:val="0"/>
              <w:suppressLineNumbers w:val="0"/>
              <w:spacing w:before="0" w:beforeAutospacing="0" w:after="0" w:afterAutospacing="0"/>
              <w:ind w:left="0" w:right="0"/>
              <w:jc w:val="left"/>
              <w:rPr>
                <w:rFonts w:hint="eastAsia" w:ascii="宋体" w:hAnsi="宋体" w:eastAsia="宋体" w:cs="宋体"/>
                <w:color w:val="000000"/>
                <w:kern w:val="2"/>
                <w:sz w:val="20"/>
                <w:szCs w:val="20"/>
              </w:rPr>
            </w:pPr>
          </w:p>
        </w:tc>
        <w:tc>
          <w:tcPr>
            <w:tcW w:w="466" w:type="dxa"/>
            <w:tcBorders>
              <w:top w:val="single" w:color="000000" w:sz="4" w:space="0"/>
              <w:left w:val="nil"/>
              <w:bottom w:val="single" w:color="000000" w:sz="4" w:space="0"/>
              <w:right w:val="single" w:color="000000" w:sz="4" w:space="0"/>
            </w:tcBorders>
            <w:shd w:val="clear" w:color="auto" w:fill="FFFFFF"/>
            <w:noWrap w:val="0"/>
            <w:tcMar>
              <w:top w:w="15" w:type="dxa"/>
              <w:left w:w="15" w:type="dxa"/>
              <w:right w:w="15" w:type="dxa"/>
            </w:tcMar>
            <w:vAlign w:val="center"/>
          </w:tcPr>
          <w:p>
            <w:pPr>
              <w:keepNext w:val="0"/>
              <w:keepLines w:val="0"/>
              <w:widowControl w:val="0"/>
              <w:suppressLineNumbers w:val="0"/>
              <w:spacing w:before="0" w:beforeAutospacing="0" w:after="0" w:afterAutospacing="0"/>
              <w:ind w:left="0" w:right="0"/>
              <w:jc w:val="left"/>
              <w:rPr>
                <w:rFonts w:hint="eastAsia" w:ascii="宋体" w:hAnsi="宋体" w:eastAsia="宋体" w:cs="宋体"/>
                <w:color w:val="000000"/>
                <w:kern w:val="2"/>
                <w:sz w:val="20"/>
                <w:szCs w:val="20"/>
              </w:rPr>
            </w:pPr>
          </w:p>
        </w:tc>
        <w:tc>
          <w:tcPr>
            <w:tcW w:w="3478" w:type="dxa"/>
            <w:tcBorders>
              <w:top w:val="single" w:color="000000" w:sz="4" w:space="0"/>
              <w:left w:val="nil"/>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color w:val="000000"/>
                <w:kern w:val="2"/>
                <w:sz w:val="20"/>
                <w:szCs w:val="20"/>
              </w:rPr>
            </w:pPr>
            <w:r>
              <w:rPr>
                <w:rFonts w:hint="eastAsia" w:ascii="宋体" w:hAnsi="宋体" w:eastAsia="宋体" w:cs="宋体"/>
                <w:color w:val="000000"/>
                <w:kern w:val="0"/>
                <w:sz w:val="20"/>
                <w:szCs w:val="20"/>
                <w:lang w:val="en-US" w:eastAsia="zh-CN" w:bidi="ar"/>
              </w:rPr>
              <w:t>未按要求公开的，发现一处问题0.5分，直至扣完</w:t>
            </w:r>
          </w:p>
        </w:tc>
      </w:tr>
      <w:tr>
        <w:tblPrEx>
          <w:tblCellMar>
            <w:top w:w="0" w:type="dxa"/>
            <w:left w:w="0" w:type="dxa"/>
            <w:bottom w:w="0" w:type="dxa"/>
            <w:right w:w="0" w:type="dxa"/>
          </w:tblCellMar>
        </w:tblPrEx>
        <w:trPr>
          <w:trHeight w:val="720" w:hRule="atLeast"/>
        </w:trPr>
        <w:tc>
          <w:tcPr>
            <w:tcW w:w="520" w:type="dxa"/>
            <w:vMerge w:val="continue"/>
            <w:tcBorders>
              <w:top w:val="nil"/>
              <w:left w:val="single" w:color="000000" w:sz="4" w:space="0"/>
              <w:bottom w:val="single" w:color="000000" w:sz="4" w:space="0"/>
              <w:right w:val="single" w:color="000000" w:sz="4" w:space="0"/>
            </w:tcBorders>
            <w:shd w:val="clear" w:color="auto" w:fill="auto"/>
            <w:noWrap w:val="0"/>
            <w:tcMar>
              <w:top w:w="15" w:type="dxa"/>
              <w:left w:w="15" w:type="dxa"/>
              <w:right w:w="15" w:type="dxa"/>
            </w:tcMar>
            <w:vAlign w:val="center"/>
          </w:tcPr>
          <w:p>
            <w:pPr>
              <w:rPr>
                <w:rFonts w:hint="default" w:ascii="Times New Roman" w:hAnsi="Times New Roman" w:cs="Times New Roman"/>
                <w:sz w:val="20"/>
                <w:szCs w:val="20"/>
              </w:rPr>
            </w:pPr>
          </w:p>
        </w:tc>
        <w:tc>
          <w:tcPr>
            <w:tcW w:w="520" w:type="dxa"/>
            <w:vMerge w:val="restart"/>
            <w:tcBorders>
              <w:top w:val="nil"/>
              <w:left w:val="nil"/>
              <w:bottom w:val="single" w:color="000000" w:sz="4" w:space="0"/>
              <w:right w:val="single" w:color="000000" w:sz="4" w:space="0"/>
            </w:tcBorders>
            <w:shd w:val="clear" w:color="auto" w:fill="auto"/>
            <w:noWrap w:val="0"/>
            <w:tcMar>
              <w:top w:w="15" w:type="dxa"/>
              <w:left w:w="15" w:type="dxa"/>
              <w:right w:w="15" w:type="dxa"/>
            </w:tcMar>
            <w:vAlign w:val="center"/>
          </w:tcPr>
          <w:p>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color w:val="000000"/>
                <w:kern w:val="2"/>
                <w:sz w:val="20"/>
                <w:szCs w:val="20"/>
              </w:rPr>
            </w:pPr>
            <w:r>
              <w:rPr>
                <w:rFonts w:hint="eastAsia" w:ascii="宋体" w:hAnsi="宋体" w:eastAsia="宋体" w:cs="宋体"/>
                <w:color w:val="000000"/>
                <w:kern w:val="0"/>
                <w:sz w:val="20"/>
                <w:szCs w:val="20"/>
                <w:lang w:val="en-US" w:eastAsia="zh-CN" w:bidi="ar"/>
              </w:rPr>
              <w:t>绩效评价</w:t>
            </w:r>
            <w:r>
              <w:rPr>
                <w:rFonts w:hint="eastAsia" w:ascii="宋体" w:hAnsi="宋体" w:eastAsia="宋体" w:cs="宋体"/>
                <w:color w:val="000000"/>
                <w:kern w:val="0"/>
                <w:sz w:val="20"/>
                <w:szCs w:val="20"/>
                <w:lang w:val="en-US" w:eastAsia="zh-CN" w:bidi="ar"/>
              </w:rPr>
              <w:br w:type="textWrapping"/>
            </w:r>
            <w:r>
              <w:rPr>
                <w:rFonts w:hint="eastAsia" w:ascii="宋体" w:hAnsi="宋体" w:eastAsia="宋体" w:cs="宋体"/>
                <w:color w:val="000000"/>
                <w:kern w:val="0"/>
                <w:sz w:val="20"/>
                <w:szCs w:val="20"/>
                <w:lang w:val="en-US" w:eastAsia="zh-CN" w:bidi="ar"/>
              </w:rPr>
              <w:t>（10分）</w:t>
            </w:r>
          </w:p>
        </w:tc>
        <w:tc>
          <w:tcPr>
            <w:tcW w:w="939" w:type="dxa"/>
            <w:tcBorders>
              <w:top w:val="single" w:color="000000" w:sz="4" w:space="0"/>
              <w:left w:val="nil"/>
              <w:bottom w:val="single" w:color="000000" w:sz="4" w:space="0"/>
              <w:right w:val="single" w:color="000000" w:sz="4" w:space="0"/>
            </w:tcBorders>
            <w:shd w:val="clear" w:color="auto" w:fill="auto"/>
            <w:noWrap w:val="0"/>
            <w:tcMar>
              <w:top w:w="15" w:type="dxa"/>
              <w:left w:w="15" w:type="dxa"/>
              <w:right w:w="15" w:type="dxa"/>
            </w:tcMar>
            <w:vAlign w:val="center"/>
          </w:tcPr>
          <w:p>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color w:val="000000"/>
                <w:kern w:val="2"/>
                <w:sz w:val="20"/>
                <w:szCs w:val="20"/>
              </w:rPr>
            </w:pPr>
            <w:r>
              <w:rPr>
                <w:rFonts w:hint="eastAsia" w:ascii="宋体" w:hAnsi="宋体" w:eastAsia="宋体" w:cs="宋体"/>
                <w:color w:val="000000"/>
                <w:kern w:val="0"/>
                <w:sz w:val="20"/>
                <w:szCs w:val="20"/>
                <w:lang w:val="en-US" w:eastAsia="zh-CN" w:bidi="ar"/>
              </w:rPr>
              <w:t>评价项目覆盖率（2分）</w:t>
            </w:r>
          </w:p>
        </w:tc>
        <w:tc>
          <w:tcPr>
            <w:tcW w:w="2414" w:type="dxa"/>
            <w:tcBorders>
              <w:top w:val="single" w:color="000000" w:sz="4" w:space="0"/>
              <w:left w:val="nil"/>
              <w:bottom w:val="single" w:color="000000" w:sz="4" w:space="0"/>
              <w:right w:val="single" w:color="000000" w:sz="4" w:space="0"/>
            </w:tcBorders>
            <w:shd w:val="clear" w:color="auto" w:fill="auto"/>
            <w:noWrap w:val="0"/>
            <w:tcMar>
              <w:top w:w="15" w:type="dxa"/>
              <w:left w:w="15" w:type="dxa"/>
              <w:right w:w="15" w:type="dxa"/>
            </w:tcMar>
            <w:vAlign w:val="center"/>
          </w:tcPr>
          <w:p>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color w:val="000000"/>
                <w:kern w:val="2"/>
                <w:sz w:val="20"/>
                <w:szCs w:val="20"/>
              </w:rPr>
            </w:pPr>
            <w:r>
              <w:rPr>
                <w:rFonts w:hint="eastAsia" w:ascii="宋体" w:hAnsi="宋体" w:eastAsia="宋体" w:cs="宋体"/>
                <w:color w:val="000000"/>
                <w:kern w:val="0"/>
                <w:sz w:val="20"/>
                <w:szCs w:val="20"/>
                <w:lang w:val="en-US" w:eastAsia="zh-CN" w:bidi="ar"/>
              </w:rPr>
              <w:t>部门实施绩效评价项目数量占部门管理专项预算项目数量的比重，部门申报绩效目标项目数量的比重，用以反映和考核部门实施绩效评价项目资金覆盖情况</w:t>
            </w:r>
          </w:p>
        </w:tc>
        <w:tc>
          <w:tcPr>
            <w:tcW w:w="240" w:type="dxa"/>
            <w:tcBorders>
              <w:top w:val="single" w:color="000000" w:sz="4" w:space="0"/>
              <w:left w:val="nil"/>
              <w:bottom w:val="single" w:color="000000" w:sz="4" w:space="0"/>
              <w:right w:val="single" w:color="000000" w:sz="4" w:space="0"/>
            </w:tcBorders>
            <w:shd w:val="clear" w:color="auto" w:fill="FFFFFF"/>
            <w:noWrap w:val="0"/>
            <w:tcMar>
              <w:top w:w="15" w:type="dxa"/>
              <w:left w:w="15" w:type="dxa"/>
              <w:right w:w="15" w:type="dxa"/>
            </w:tcMar>
            <w:vAlign w:val="center"/>
          </w:tcPr>
          <w:p>
            <w:pPr>
              <w:keepNext w:val="0"/>
              <w:keepLines w:val="0"/>
              <w:widowControl w:val="0"/>
              <w:suppressLineNumbers w:val="0"/>
              <w:spacing w:before="0" w:beforeAutospacing="0" w:after="0" w:afterAutospacing="0"/>
              <w:ind w:left="0" w:right="0"/>
              <w:jc w:val="left"/>
              <w:rPr>
                <w:rFonts w:hint="eastAsia" w:ascii="宋体" w:hAnsi="宋体" w:eastAsia="宋体" w:cs="宋体"/>
                <w:color w:val="000000"/>
                <w:kern w:val="2"/>
                <w:sz w:val="20"/>
                <w:szCs w:val="20"/>
              </w:rPr>
            </w:pPr>
          </w:p>
        </w:tc>
        <w:tc>
          <w:tcPr>
            <w:tcW w:w="466" w:type="dxa"/>
            <w:tcBorders>
              <w:top w:val="single" w:color="000000" w:sz="4" w:space="0"/>
              <w:left w:val="nil"/>
              <w:bottom w:val="single" w:color="000000" w:sz="4" w:space="0"/>
              <w:right w:val="single" w:color="000000" w:sz="4" w:space="0"/>
            </w:tcBorders>
            <w:shd w:val="clear" w:color="auto" w:fill="FFFFFF"/>
            <w:noWrap w:val="0"/>
            <w:tcMar>
              <w:top w:w="15" w:type="dxa"/>
              <w:left w:w="15" w:type="dxa"/>
              <w:right w:w="15" w:type="dxa"/>
            </w:tcMar>
            <w:vAlign w:val="center"/>
          </w:tcPr>
          <w:p>
            <w:pPr>
              <w:keepNext w:val="0"/>
              <w:keepLines w:val="0"/>
              <w:widowControl w:val="0"/>
              <w:suppressLineNumbers w:val="0"/>
              <w:spacing w:before="0" w:beforeAutospacing="0" w:after="0" w:afterAutospacing="0"/>
              <w:ind w:left="0" w:right="0"/>
              <w:jc w:val="left"/>
              <w:rPr>
                <w:rFonts w:hint="eastAsia" w:ascii="宋体" w:hAnsi="宋体" w:eastAsia="宋体" w:cs="宋体"/>
                <w:color w:val="000000"/>
                <w:kern w:val="2"/>
                <w:sz w:val="20"/>
                <w:szCs w:val="20"/>
              </w:rPr>
            </w:pPr>
          </w:p>
        </w:tc>
        <w:tc>
          <w:tcPr>
            <w:tcW w:w="3478" w:type="dxa"/>
            <w:tcBorders>
              <w:top w:val="single" w:color="000000" w:sz="4" w:space="0"/>
              <w:left w:val="nil"/>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color w:val="000000"/>
                <w:kern w:val="2"/>
                <w:sz w:val="20"/>
                <w:szCs w:val="20"/>
              </w:rPr>
            </w:pPr>
            <w:r>
              <w:rPr>
                <w:rFonts w:hint="eastAsia" w:ascii="宋体" w:hAnsi="宋体" w:eastAsia="宋体" w:cs="宋体"/>
                <w:color w:val="000000"/>
                <w:kern w:val="0"/>
                <w:sz w:val="20"/>
                <w:szCs w:val="20"/>
                <w:lang w:val="en-US" w:eastAsia="zh-CN" w:bidi="ar"/>
              </w:rPr>
              <w:t>评价覆盖率=实施绩效评价项目数量/部门管理专项预算项目数量×100%</w:t>
            </w:r>
          </w:p>
        </w:tc>
      </w:tr>
      <w:tr>
        <w:tblPrEx>
          <w:tblCellMar>
            <w:top w:w="0" w:type="dxa"/>
            <w:left w:w="0" w:type="dxa"/>
            <w:bottom w:w="0" w:type="dxa"/>
            <w:right w:w="0" w:type="dxa"/>
          </w:tblCellMar>
        </w:tblPrEx>
        <w:trPr>
          <w:trHeight w:val="480" w:hRule="atLeast"/>
        </w:trPr>
        <w:tc>
          <w:tcPr>
            <w:tcW w:w="520" w:type="dxa"/>
            <w:vMerge w:val="continue"/>
            <w:tcBorders>
              <w:top w:val="nil"/>
              <w:left w:val="single" w:color="000000" w:sz="4" w:space="0"/>
              <w:bottom w:val="single" w:color="000000" w:sz="4" w:space="0"/>
              <w:right w:val="single" w:color="000000" w:sz="4" w:space="0"/>
            </w:tcBorders>
            <w:shd w:val="clear" w:color="auto" w:fill="auto"/>
            <w:noWrap w:val="0"/>
            <w:tcMar>
              <w:top w:w="15" w:type="dxa"/>
              <w:left w:w="15" w:type="dxa"/>
              <w:right w:w="15" w:type="dxa"/>
            </w:tcMar>
            <w:vAlign w:val="center"/>
          </w:tcPr>
          <w:p>
            <w:pPr>
              <w:rPr>
                <w:rFonts w:hint="default" w:ascii="Times New Roman" w:hAnsi="Times New Roman" w:cs="Times New Roman"/>
                <w:sz w:val="20"/>
                <w:szCs w:val="20"/>
              </w:rPr>
            </w:pPr>
          </w:p>
        </w:tc>
        <w:tc>
          <w:tcPr>
            <w:tcW w:w="520" w:type="dxa"/>
            <w:vMerge w:val="continue"/>
            <w:tcBorders>
              <w:top w:val="nil"/>
              <w:left w:val="nil"/>
              <w:bottom w:val="single" w:color="000000" w:sz="4" w:space="0"/>
              <w:right w:val="single" w:color="000000" w:sz="4" w:space="0"/>
            </w:tcBorders>
            <w:shd w:val="clear" w:color="auto" w:fill="auto"/>
            <w:noWrap w:val="0"/>
            <w:tcMar>
              <w:top w:w="15" w:type="dxa"/>
              <w:left w:w="15" w:type="dxa"/>
              <w:right w:w="15" w:type="dxa"/>
            </w:tcMar>
            <w:vAlign w:val="center"/>
          </w:tcPr>
          <w:p>
            <w:pPr>
              <w:rPr>
                <w:rFonts w:hint="default" w:ascii="Times New Roman" w:hAnsi="Times New Roman" w:cs="Times New Roman"/>
                <w:sz w:val="20"/>
                <w:szCs w:val="20"/>
              </w:rPr>
            </w:pPr>
          </w:p>
        </w:tc>
        <w:tc>
          <w:tcPr>
            <w:tcW w:w="939" w:type="dxa"/>
            <w:tcBorders>
              <w:top w:val="single" w:color="000000" w:sz="4" w:space="0"/>
              <w:left w:val="nil"/>
              <w:bottom w:val="single" w:color="000000" w:sz="4" w:space="0"/>
              <w:right w:val="single" w:color="000000" w:sz="4" w:space="0"/>
            </w:tcBorders>
            <w:shd w:val="clear" w:color="auto" w:fill="auto"/>
            <w:noWrap w:val="0"/>
            <w:tcMar>
              <w:top w:w="15" w:type="dxa"/>
              <w:left w:w="15" w:type="dxa"/>
              <w:right w:w="15" w:type="dxa"/>
            </w:tcMar>
            <w:vAlign w:val="center"/>
          </w:tcPr>
          <w:p>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color w:val="000000"/>
                <w:kern w:val="2"/>
                <w:sz w:val="20"/>
                <w:szCs w:val="20"/>
              </w:rPr>
            </w:pPr>
            <w:r>
              <w:rPr>
                <w:rFonts w:hint="eastAsia" w:ascii="宋体" w:hAnsi="宋体" w:eastAsia="宋体" w:cs="宋体"/>
                <w:color w:val="000000"/>
                <w:kern w:val="0"/>
                <w:sz w:val="20"/>
                <w:szCs w:val="20"/>
                <w:lang w:val="en-US" w:eastAsia="zh-CN" w:bidi="ar"/>
              </w:rPr>
              <w:t>评价层次（2分）</w:t>
            </w:r>
          </w:p>
        </w:tc>
        <w:tc>
          <w:tcPr>
            <w:tcW w:w="2414" w:type="dxa"/>
            <w:tcBorders>
              <w:top w:val="single" w:color="000000" w:sz="4" w:space="0"/>
              <w:left w:val="nil"/>
              <w:bottom w:val="single" w:color="000000" w:sz="4" w:space="0"/>
              <w:right w:val="single" w:color="000000" w:sz="4" w:space="0"/>
            </w:tcBorders>
            <w:shd w:val="clear" w:color="auto" w:fill="auto"/>
            <w:noWrap w:val="0"/>
            <w:tcMar>
              <w:top w:w="15" w:type="dxa"/>
              <w:left w:w="15" w:type="dxa"/>
              <w:right w:w="15" w:type="dxa"/>
            </w:tcMar>
            <w:vAlign w:val="center"/>
          </w:tcPr>
          <w:p>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color w:val="000000"/>
                <w:kern w:val="2"/>
                <w:sz w:val="20"/>
                <w:szCs w:val="20"/>
              </w:rPr>
            </w:pPr>
            <w:r>
              <w:rPr>
                <w:rFonts w:hint="eastAsia" w:ascii="宋体" w:hAnsi="宋体" w:eastAsia="宋体" w:cs="宋体"/>
                <w:color w:val="000000"/>
                <w:kern w:val="0"/>
                <w:sz w:val="20"/>
                <w:szCs w:val="20"/>
                <w:lang w:val="en-US" w:eastAsia="zh-CN" w:bidi="ar"/>
              </w:rPr>
              <w:t>部门（单位）是否对单位内部股室开展整体绩效评价</w:t>
            </w:r>
          </w:p>
        </w:tc>
        <w:tc>
          <w:tcPr>
            <w:tcW w:w="240" w:type="dxa"/>
            <w:tcBorders>
              <w:top w:val="single" w:color="000000" w:sz="4" w:space="0"/>
              <w:left w:val="nil"/>
              <w:bottom w:val="single" w:color="000000" w:sz="4" w:space="0"/>
              <w:right w:val="single" w:color="000000" w:sz="4" w:space="0"/>
            </w:tcBorders>
            <w:shd w:val="clear" w:color="auto" w:fill="FFFFFF"/>
            <w:noWrap w:val="0"/>
            <w:tcMar>
              <w:top w:w="15" w:type="dxa"/>
              <w:left w:w="15" w:type="dxa"/>
              <w:right w:w="15" w:type="dxa"/>
            </w:tcMar>
            <w:vAlign w:val="center"/>
          </w:tcPr>
          <w:p>
            <w:pPr>
              <w:keepNext w:val="0"/>
              <w:keepLines w:val="0"/>
              <w:widowControl w:val="0"/>
              <w:suppressLineNumbers w:val="0"/>
              <w:spacing w:before="0" w:beforeAutospacing="0" w:after="0" w:afterAutospacing="0"/>
              <w:ind w:left="0" w:right="0"/>
              <w:jc w:val="left"/>
              <w:rPr>
                <w:rFonts w:hint="eastAsia" w:ascii="宋体" w:hAnsi="宋体" w:eastAsia="宋体" w:cs="宋体"/>
                <w:color w:val="000000"/>
                <w:kern w:val="2"/>
                <w:sz w:val="20"/>
                <w:szCs w:val="20"/>
              </w:rPr>
            </w:pPr>
          </w:p>
        </w:tc>
        <w:tc>
          <w:tcPr>
            <w:tcW w:w="466" w:type="dxa"/>
            <w:tcBorders>
              <w:top w:val="single" w:color="000000" w:sz="4" w:space="0"/>
              <w:left w:val="nil"/>
              <w:bottom w:val="single" w:color="000000" w:sz="4" w:space="0"/>
              <w:right w:val="single" w:color="000000" w:sz="4" w:space="0"/>
            </w:tcBorders>
            <w:shd w:val="clear" w:color="auto" w:fill="FFFFFF"/>
            <w:noWrap w:val="0"/>
            <w:tcMar>
              <w:top w:w="15" w:type="dxa"/>
              <w:left w:w="15" w:type="dxa"/>
              <w:right w:w="15" w:type="dxa"/>
            </w:tcMar>
            <w:vAlign w:val="center"/>
          </w:tcPr>
          <w:p>
            <w:pPr>
              <w:keepNext w:val="0"/>
              <w:keepLines w:val="0"/>
              <w:widowControl w:val="0"/>
              <w:suppressLineNumbers w:val="0"/>
              <w:spacing w:before="0" w:beforeAutospacing="0" w:after="0" w:afterAutospacing="0"/>
              <w:ind w:left="0" w:right="0"/>
              <w:jc w:val="left"/>
              <w:rPr>
                <w:rFonts w:hint="eastAsia" w:ascii="宋体" w:hAnsi="宋体" w:eastAsia="宋体" w:cs="宋体"/>
                <w:color w:val="000000"/>
                <w:kern w:val="2"/>
                <w:sz w:val="20"/>
                <w:szCs w:val="20"/>
              </w:rPr>
            </w:pPr>
          </w:p>
        </w:tc>
        <w:tc>
          <w:tcPr>
            <w:tcW w:w="3478" w:type="dxa"/>
            <w:tcBorders>
              <w:top w:val="single" w:color="000000" w:sz="4" w:space="0"/>
              <w:left w:val="nil"/>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color w:val="000000"/>
                <w:kern w:val="2"/>
                <w:sz w:val="20"/>
                <w:szCs w:val="20"/>
              </w:rPr>
            </w:pPr>
            <w:r>
              <w:rPr>
                <w:rFonts w:hint="eastAsia" w:ascii="宋体" w:hAnsi="宋体" w:eastAsia="宋体" w:cs="宋体"/>
                <w:color w:val="000000"/>
                <w:kern w:val="0"/>
                <w:sz w:val="20"/>
                <w:szCs w:val="20"/>
                <w:lang w:val="en-US" w:eastAsia="zh-CN" w:bidi="ar"/>
              </w:rPr>
              <w:t>对单位内部实施评价的得分，否则不得分</w:t>
            </w:r>
          </w:p>
        </w:tc>
      </w:tr>
      <w:tr>
        <w:tblPrEx>
          <w:tblCellMar>
            <w:top w:w="0" w:type="dxa"/>
            <w:left w:w="0" w:type="dxa"/>
            <w:bottom w:w="0" w:type="dxa"/>
            <w:right w:w="0" w:type="dxa"/>
          </w:tblCellMar>
        </w:tblPrEx>
        <w:trPr>
          <w:trHeight w:val="480" w:hRule="atLeast"/>
        </w:trPr>
        <w:tc>
          <w:tcPr>
            <w:tcW w:w="520" w:type="dxa"/>
            <w:vMerge w:val="continue"/>
            <w:tcBorders>
              <w:top w:val="nil"/>
              <w:left w:val="single" w:color="000000" w:sz="4" w:space="0"/>
              <w:bottom w:val="single" w:color="000000" w:sz="4" w:space="0"/>
              <w:right w:val="single" w:color="000000" w:sz="4" w:space="0"/>
            </w:tcBorders>
            <w:shd w:val="clear" w:color="auto" w:fill="auto"/>
            <w:noWrap w:val="0"/>
            <w:tcMar>
              <w:top w:w="15" w:type="dxa"/>
              <w:left w:w="15" w:type="dxa"/>
              <w:right w:w="15" w:type="dxa"/>
            </w:tcMar>
            <w:vAlign w:val="center"/>
          </w:tcPr>
          <w:p>
            <w:pPr>
              <w:rPr>
                <w:rFonts w:hint="default" w:ascii="Times New Roman" w:hAnsi="Times New Roman" w:cs="Times New Roman"/>
                <w:sz w:val="20"/>
                <w:szCs w:val="20"/>
              </w:rPr>
            </w:pPr>
          </w:p>
        </w:tc>
        <w:tc>
          <w:tcPr>
            <w:tcW w:w="520" w:type="dxa"/>
            <w:vMerge w:val="continue"/>
            <w:tcBorders>
              <w:top w:val="nil"/>
              <w:left w:val="nil"/>
              <w:bottom w:val="single" w:color="000000" w:sz="4" w:space="0"/>
              <w:right w:val="single" w:color="000000" w:sz="4" w:space="0"/>
            </w:tcBorders>
            <w:shd w:val="clear" w:color="auto" w:fill="auto"/>
            <w:noWrap w:val="0"/>
            <w:tcMar>
              <w:top w:w="15" w:type="dxa"/>
              <w:left w:w="15" w:type="dxa"/>
              <w:right w:w="15" w:type="dxa"/>
            </w:tcMar>
            <w:vAlign w:val="center"/>
          </w:tcPr>
          <w:p>
            <w:pPr>
              <w:rPr>
                <w:rFonts w:hint="default" w:ascii="Times New Roman" w:hAnsi="Times New Roman" w:cs="Times New Roman"/>
                <w:sz w:val="20"/>
                <w:szCs w:val="20"/>
              </w:rPr>
            </w:pPr>
          </w:p>
        </w:tc>
        <w:tc>
          <w:tcPr>
            <w:tcW w:w="939" w:type="dxa"/>
            <w:tcBorders>
              <w:top w:val="single" w:color="000000" w:sz="4" w:space="0"/>
              <w:left w:val="nil"/>
              <w:bottom w:val="single" w:color="000000" w:sz="4" w:space="0"/>
              <w:right w:val="single" w:color="000000" w:sz="4" w:space="0"/>
            </w:tcBorders>
            <w:shd w:val="clear" w:color="auto" w:fill="auto"/>
            <w:noWrap w:val="0"/>
            <w:tcMar>
              <w:top w:w="15" w:type="dxa"/>
              <w:left w:w="15" w:type="dxa"/>
              <w:right w:w="15" w:type="dxa"/>
            </w:tcMar>
            <w:vAlign w:val="center"/>
          </w:tcPr>
          <w:p>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color w:val="000000"/>
                <w:kern w:val="2"/>
                <w:sz w:val="20"/>
                <w:szCs w:val="20"/>
              </w:rPr>
            </w:pPr>
            <w:r>
              <w:rPr>
                <w:rFonts w:hint="eastAsia" w:ascii="宋体" w:hAnsi="宋体" w:eastAsia="宋体" w:cs="宋体"/>
                <w:color w:val="000000"/>
                <w:kern w:val="0"/>
                <w:sz w:val="20"/>
                <w:szCs w:val="20"/>
                <w:lang w:val="en-US" w:eastAsia="zh-CN" w:bidi="ar"/>
              </w:rPr>
              <w:t>评价结果报告（2分）</w:t>
            </w:r>
          </w:p>
        </w:tc>
        <w:tc>
          <w:tcPr>
            <w:tcW w:w="2414" w:type="dxa"/>
            <w:tcBorders>
              <w:top w:val="single" w:color="000000" w:sz="4" w:space="0"/>
              <w:left w:val="nil"/>
              <w:bottom w:val="single" w:color="000000" w:sz="4" w:space="0"/>
              <w:right w:val="single" w:color="000000" w:sz="4" w:space="0"/>
            </w:tcBorders>
            <w:shd w:val="clear" w:color="auto" w:fill="auto"/>
            <w:noWrap w:val="0"/>
            <w:tcMar>
              <w:top w:w="15" w:type="dxa"/>
              <w:left w:w="15" w:type="dxa"/>
              <w:right w:w="15" w:type="dxa"/>
            </w:tcMar>
            <w:vAlign w:val="center"/>
          </w:tcPr>
          <w:p>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color w:val="000000"/>
                <w:kern w:val="2"/>
                <w:sz w:val="20"/>
                <w:szCs w:val="20"/>
              </w:rPr>
            </w:pPr>
            <w:r>
              <w:rPr>
                <w:rFonts w:hint="eastAsia" w:ascii="宋体" w:hAnsi="宋体" w:eastAsia="宋体" w:cs="宋体"/>
                <w:color w:val="000000"/>
                <w:kern w:val="0"/>
                <w:sz w:val="20"/>
                <w:szCs w:val="20"/>
                <w:lang w:val="en-US" w:eastAsia="zh-CN" w:bidi="ar"/>
              </w:rPr>
              <w:t>部门是否按要求向财政部门报告自评报告等相关绩效信息</w:t>
            </w:r>
          </w:p>
        </w:tc>
        <w:tc>
          <w:tcPr>
            <w:tcW w:w="240" w:type="dxa"/>
            <w:tcBorders>
              <w:top w:val="single" w:color="000000" w:sz="4" w:space="0"/>
              <w:left w:val="nil"/>
              <w:bottom w:val="single" w:color="000000" w:sz="4" w:space="0"/>
              <w:right w:val="single" w:color="000000" w:sz="4" w:space="0"/>
            </w:tcBorders>
            <w:shd w:val="clear" w:color="auto" w:fill="FFFFFF"/>
            <w:noWrap w:val="0"/>
            <w:tcMar>
              <w:top w:w="15" w:type="dxa"/>
              <w:left w:w="15" w:type="dxa"/>
              <w:right w:w="15" w:type="dxa"/>
            </w:tcMar>
            <w:vAlign w:val="center"/>
          </w:tcPr>
          <w:p>
            <w:pPr>
              <w:keepNext w:val="0"/>
              <w:keepLines w:val="0"/>
              <w:widowControl w:val="0"/>
              <w:suppressLineNumbers w:val="0"/>
              <w:spacing w:before="0" w:beforeAutospacing="0" w:after="0" w:afterAutospacing="0"/>
              <w:ind w:left="0" w:right="0"/>
              <w:jc w:val="left"/>
              <w:rPr>
                <w:rFonts w:hint="eastAsia" w:ascii="宋体" w:hAnsi="宋体" w:eastAsia="宋体" w:cs="宋体"/>
                <w:color w:val="000000"/>
                <w:kern w:val="2"/>
                <w:sz w:val="20"/>
                <w:szCs w:val="20"/>
              </w:rPr>
            </w:pPr>
          </w:p>
        </w:tc>
        <w:tc>
          <w:tcPr>
            <w:tcW w:w="466" w:type="dxa"/>
            <w:tcBorders>
              <w:top w:val="single" w:color="000000" w:sz="4" w:space="0"/>
              <w:left w:val="nil"/>
              <w:bottom w:val="single" w:color="000000" w:sz="4" w:space="0"/>
              <w:right w:val="single" w:color="000000" w:sz="4" w:space="0"/>
            </w:tcBorders>
            <w:shd w:val="clear" w:color="auto" w:fill="FFFFFF"/>
            <w:noWrap w:val="0"/>
            <w:tcMar>
              <w:top w:w="15" w:type="dxa"/>
              <w:left w:w="15" w:type="dxa"/>
              <w:right w:w="15" w:type="dxa"/>
            </w:tcMar>
            <w:vAlign w:val="center"/>
          </w:tcPr>
          <w:p>
            <w:pPr>
              <w:keepNext w:val="0"/>
              <w:keepLines w:val="0"/>
              <w:widowControl w:val="0"/>
              <w:suppressLineNumbers w:val="0"/>
              <w:spacing w:before="0" w:beforeAutospacing="0" w:after="0" w:afterAutospacing="0"/>
              <w:ind w:left="0" w:right="0"/>
              <w:jc w:val="left"/>
              <w:rPr>
                <w:rFonts w:hint="eastAsia" w:ascii="宋体" w:hAnsi="宋体" w:eastAsia="宋体" w:cs="宋体"/>
                <w:color w:val="000000"/>
                <w:kern w:val="2"/>
                <w:sz w:val="20"/>
                <w:szCs w:val="20"/>
              </w:rPr>
            </w:pPr>
          </w:p>
        </w:tc>
        <w:tc>
          <w:tcPr>
            <w:tcW w:w="3478" w:type="dxa"/>
            <w:tcBorders>
              <w:top w:val="single" w:color="000000" w:sz="4" w:space="0"/>
              <w:left w:val="nil"/>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color w:val="000000"/>
                <w:kern w:val="2"/>
                <w:sz w:val="20"/>
                <w:szCs w:val="20"/>
              </w:rPr>
            </w:pPr>
            <w:r>
              <w:rPr>
                <w:rFonts w:hint="eastAsia" w:ascii="宋体" w:hAnsi="宋体" w:eastAsia="宋体" w:cs="宋体"/>
                <w:color w:val="000000"/>
                <w:kern w:val="0"/>
                <w:sz w:val="20"/>
                <w:szCs w:val="20"/>
                <w:lang w:val="en-US" w:eastAsia="zh-CN" w:bidi="ar"/>
              </w:rPr>
              <w:t>未按要求报送的，发现一处扣0.5分，直至扣完。</w:t>
            </w:r>
          </w:p>
        </w:tc>
      </w:tr>
      <w:tr>
        <w:tblPrEx>
          <w:tblCellMar>
            <w:top w:w="0" w:type="dxa"/>
            <w:left w:w="0" w:type="dxa"/>
            <w:bottom w:w="0" w:type="dxa"/>
            <w:right w:w="0" w:type="dxa"/>
          </w:tblCellMar>
        </w:tblPrEx>
        <w:trPr>
          <w:trHeight w:val="480" w:hRule="atLeast"/>
        </w:trPr>
        <w:tc>
          <w:tcPr>
            <w:tcW w:w="520" w:type="dxa"/>
            <w:vMerge w:val="continue"/>
            <w:tcBorders>
              <w:top w:val="nil"/>
              <w:left w:val="single" w:color="000000" w:sz="4" w:space="0"/>
              <w:bottom w:val="single" w:color="000000" w:sz="4" w:space="0"/>
              <w:right w:val="single" w:color="000000" w:sz="4" w:space="0"/>
            </w:tcBorders>
            <w:shd w:val="clear" w:color="auto" w:fill="auto"/>
            <w:noWrap w:val="0"/>
            <w:tcMar>
              <w:top w:w="15" w:type="dxa"/>
              <w:left w:w="15" w:type="dxa"/>
              <w:right w:w="15" w:type="dxa"/>
            </w:tcMar>
            <w:vAlign w:val="center"/>
          </w:tcPr>
          <w:p>
            <w:pPr>
              <w:rPr>
                <w:rFonts w:hint="default" w:ascii="Times New Roman" w:hAnsi="Times New Roman" w:cs="Times New Roman"/>
                <w:sz w:val="20"/>
                <w:szCs w:val="20"/>
              </w:rPr>
            </w:pPr>
          </w:p>
        </w:tc>
        <w:tc>
          <w:tcPr>
            <w:tcW w:w="520" w:type="dxa"/>
            <w:vMerge w:val="continue"/>
            <w:tcBorders>
              <w:top w:val="nil"/>
              <w:left w:val="nil"/>
              <w:bottom w:val="single" w:color="000000" w:sz="4" w:space="0"/>
              <w:right w:val="single" w:color="000000" w:sz="4" w:space="0"/>
            </w:tcBorders>
            <w:shd w:val="clear" w:color="auto" w:fill="auto"/>
            <w:noWrap w:val="0"/>
            <w:tcMar>
              <w:top w:w="15" w:type="dxa"/>
              <w:left w:w="15" w:type="dxa"/>
              <w:right w:w="15" w:type="dxa"/>
            </w:tcMar>
            <w:vAlign w:val="center"/>
          </w:tcPr>
          <w:p>
            <w:pPr>
              <w:rPr>
                <w:rFonts w:hint="default" w:ascii="Times New Roman" w:hAnsi="Times New Roman" w:cs="Times New Roman"/>
                <w:sz w:val="20"/>
                <w:szCs w:val="20"/>
              </w:rPr>
            </w:pPr>
          </w:p>
        </w:tc>
        <w:tc>
          <w:tcPr>
            <w:tcW w:w="939" w:type="dxa"/>
            <w:tcBorders>
              <w:top w:val="single" w:color="000000" w:sz="4" w:space="0"/>
              <w:left w:val="nil"/>
              <w:bottom w:val="single" w:color="000000" w:sz="4" w:space="0"/>
              <w:right w:val="single" w:color="000000" w:sz="4" w:space="0"/>
            </w:tcBorders>
            <w:shd w:val="clear" w:color="auto" w:fill="auto"/>
            <w:noWrap w:val="0"/>
            <w:tcMar>
              <w:top w:w="15" w:type="dxa"/>
              <w:left w:w="15" w:type="dxa"/>
              <w:right w:w="15" w:type="dxa"/>
            </w:tcMar>
            <w:vAlign w:val="center"/>
          </w:tcPr>
          <w:p>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color w:val="000000"/>
                <w:kern w:val="2"/>
                <w:sz w:val="20"/>
                <w:szCs w:val="20"/>
              </w:rPr>
            </w:pPr>
            <w:r>
              <w:rPr>
                <w:rFonts w:hint="eastAsia" w:ascii="宋体" w:hAnsi="宋体" w:eastAsia="宋体" w:cs="宋体"/>
                <w:color w:val="000000"/>
                <w:kern w:val="0"/>
                <w:sz w:val="20"/>
                <w:szCs w:val="20"/>
                <w:lang w:val="en-US" w:eastAsia="zh-CN" w:bidi="ar"/>
              </w:rPr>
              <w:t>整改完成率（4分）</w:t>
            </w:r>
          </w:p>
        </w:tc>
        <w:tc>
          <w:tcPr>
            <w:tcW w:w="2414" w:type="dxa"/>
            <w:tcBorders>
              <w:top w:val="single" w:color="000000" w:sz="4" w:space="0"/>
              <w:left w:val="nil"/>
              <w:bottom w:val="single" w:color="000000" w:sz="4" w:space="0"/>
              <w:right w:val="single" w:color="000000" w:sz="4" w:space="0"/>
            </w:tcBorders>
            <w:shd w:val="clear" w:color="auto" w:fill="auto"/>
            <w:noWrap w:val="0"/>
            <w:tcMar>
              <w:top w:w="15" w:type="dxa"/>
              <w:left w:w="15" w:type="dxa"/>
              <w:right w:w="15" w:type="dxa"/>
            </w:tcMar>
            <w:vAlign w:val="center"/>
          </w:tcPr>
          <w:p>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color w:val="000000"/>
                <w:kern w:val="2"/>
                <w:sz w:val="20"/>
                <w:szCs w:val="20"/>
              </w:rPr>
            </w:pPr>
            <w:r>
              <w:rPr>
                <w:rFonts w:hint="eastAsia" w:ascii="宋体" w:hAnsi="宋体" w:eastAsia="宋体" w:cs="宋体"/>
                <w:color w:val="000000"/>
                <w:kern w:val="0"/>
                <w:sz w:val="20"/>
                <w:szCs w:val="20"/>
                <w:lang w:val="en-US" w:eastAsia="zh-CN" w:bidi="ar"/>
              </w:rPr>
              <w:t>部门是否按要求针对绩效评价发现问题制定整改措施，并整改落实到位</w:t>
            </w:r>
          </w:p>
        </w:tc>
        <w:tc>
          <w:tcPr>
            <w:tcW w:w="240" w:type="dxa"/>
            <w:tcBorders>
              <w:top w:val="single" w:color="000000" w:sz="4" w:space="0"/>
              <w:left w:val="nil"/>
              <w:bottom w:val="single" w:color="000000" w:sz="4" w:space="0"/>
              <w:right w:val="single" w:color="000000" w:sz="4" w:space="0"/>
            </w:tcBorders>
            <w:shd w:val="clear" w:color="auto" w:fill="FFFFFF"/>
            <w:noWrap w:val="0"/>
            <w:tcMar>
              <w:top w:w="15" w:type="dxa"/>
              <w:left w:w="15" w:type="dxa"/>
              <w:right w:w="15" w:type="dxa"/>
            </w:tcMar>
            <w:vAlign w:val="center"/>
          </w:tcPr>
          <w:p>
            <w:pPr>
              <w:keepNext w:val="0"/>
              <w:keepLines w:val="0"/>
              <w:widowControl w:val="0"/>
              <w:suppressLineNumbers w:val="0"/>
              <w:spacing w:before="0" w:beforeAutospacing="0" w:after="0" w:afterAutospacing="0"/>
              <w:ind w:left="0" w:right="0"/>
              <w:jc w:val="left"/>
              <w:rPr>
                <w:rFonts w:hint="eastAsia" w:ascii="宋体" w:hAnsi="宋体" w:eastAsia="宋体" w:cs="宋体"/>
                <w:color w:val="000000"/>
                <w:kern w:val="2"/>
                <w:sz w:val="20"/>
                <w:szCs w:val="20"/>
              </w:rPr>
            </w:pPr>
          </w:p>
        </w:tc>
        <w:tc>
          <w:tcPr>
            <w:tcW w:w="466" w:type="dxa"/>
            <w:tcBorders>
              <w:top w:val="single" w:color="000000" w:sz="4" w:space="0"/>
              <w:left w:val="nil"/>
              <w:bottom w:val="single" w:color="000000" w:sz="4" w:space="0"/>
              <w:right w:val="single" w:color="000000" w:sz="4" w:space="0"/>
            </w:tcBorders>
            <w:shd w:val="clear" w:color="auto" w:fill="FFFFFF"/>
            <w:noWrap w:val="0"/>
            <w:tcMar>
              <w:top w:w="15" w:type="dxa"/>
              <w:left w:w="15" w:type="dxa"/>
              <w:right w:w="15" w:type="dxa"/>
            </w:tcMar>
            <w:vAlign w:val="center"/>
          </w:tcPr>
          <w:p>
            <w:pPr>
              <w:keepNext w:val="0"/>
              <w:keepLines w:val="0"/>
              <w:widowControl w:val="0"/>
              <w:suppressLineNumbers w:val="0"/>
              <w:spacing w:before="0" w:beforeAutospacing="0" w:after="0" w:afterAutospacing="0"/>
              <w:ind w:left="0" w:right="0"/>
              <w:jc w:val="left"/>
              <w:rPr>
                <w:rFonts w:hint="eastAsia" w:ascii="宋体" w:hAnsi="宋体" w:eastAsia="宋体" w:cs="宋体"/>
                <w:color w:val="000000"/>
                <w:kern w:val="2"/>
                <w:sz w:val="20"/>
                <w:szCs w:val="20"/>
              </w:rPr>
            </w:pPr>
          </w:p>
        </w:tc>
        <w:tc>
          <w:tcPr>
            <w:tcW w:w="3478" w:type="dxa"/>
            <w:tcBorders>
              <w:top w:val="single" w:color="000000" w:sz="4" w:space="0"/>
              <w:left w:val="nil"/>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color w:val="000000"/>
                <w:kern w:val="2"/>
                <w:sz w:val="20"/>
                <w:szCs w:val="20"/>
              </w:rPr>
            </w:pPr>
            <w:r>
              <w:rPr>
                <w:rFonts w:hint="eastAsia" w:ascii="宋体" w:hAnsi="宋体" w:eastAsia="宋体" w:cs="宋体"/>
                <w:color w:val="000000"/>
                <w:kern w:val="0"/>
                <w:sz w:val="20"/>
                <w:szCs w:val="20"/>
                <w:lang w:val="en-US" w:eastAsia="zh-CN" w:bidi="ar"/>
              </w:rPr>
              <w:t>完成率=应制定整改措施的项目数量/部门实际制定整改措施项目数量×100%。</w:t>
            </w:r>
          </w:p>
        </w:tc>
      </w:tr>
      <w:tr>
        <w:tblPrEx>
          <w:tblCellMar>
            <w:top w:w="0" w:type="dxa"/>
            <w:left w:w="0" w:type="dxa"/>
            <w:bottom w:w="0" w:type="dxa"/>
            <w:right w:w="0" w:type="dxa"/>
          </w:tblCellMar>
        </w:tblPrEx>
        <w:trPr>
          <w:trHeight w:val="1200" w:hRule="atLeast"/>
        </w:trPr>
        <w:tc>
          <w:tcPr>
            <w:tcW w:w="520" w:type="dxa"/>
            <w:vMerge w:val="continue"/>
            <w:tcBorders>
              <w:top w:val="nil"/>
              <w:left w:val="single" w:color="000000" w:sz="4" w:space="0"/>
              <w:bottom w:val="single" w:color="000000" w:sz="4" w:space="0"/>
              <w:right w:val="single" w:color="000000" w:sz="4" w:space="0"/>
            </w:tcBorders>
            <w:shd w:val="clear" w:color="auto" w:fill="auto"/>
            <w:noWrap w:val="0"/>
            <w:tcMar>
              <w:top w:w="15" w:type="dxa"/>
              <w:left w:w="15" w:type="dxa"/>
              <w:right w:w="15" w:type="dxa"/>
            </w:tcMar>
            <w:vAlign w:val="center"/>
          </w:tcPr>
          <w:p>
            <w:pPr>
              <w:rPr>
                <w:rFonts w:hint="default" w:ascii="Times New Roman" w:hAnsi="Times New Roman" w:cs="Times New Roman"/>
                <w:sz w:val="20"/>
                <w:szCs w:val="20"/>
              </w:rPr>
            </w:pPr>
          </w:p>
        </w:tc>
        <w:tc>
          <w:tcPr>
            <w:tcW w:w="520" w:type="dxa"/>
            <w:vMerge w:val="restart"/>
            <w:tcBorders>
              <w:top w:val="nil"/>
              <w:left w:val="nil"/>
              <w:bottom w:val="single" w:color="000000" w:sz="4" w:space="0"/>
              <w:right w:val="single" w:color="000000" w:sz="4" w:space="0"/>
            </w:tcBorders>
            <w:shd w:val="clear" w:color="auto" w:fill="auto"/>
            <w:noWrap w:val="0"/>
            <w:tcMar>
              <w:top w:w="15" w:type="dxa"/>
              <w:left w:w="15" w:type="dxa"/>
              <w:right w:w="15" w:type="dxa"/>
            </w:tcMar>
            <w:vAlign w:val="center"/>
          </w:tcPr>
          <w:p>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color w:val="000000"/>
                <w:kern w:val="2"/>
                <w:sz w:val="20"/>
                <w:szCs w:val="20"/>
              </w:rPr>
            </w:pPr>
            <w:r>
              <w:rPr>
                <w:rFonts w:hint="eastAsia" w:ascii="宋体" w:hAnsi="宋体" w:eastAsia="宋体" w:cs="宋体"/>
                <w:color w:val="000000"/>
                <w:kern w:val="0"/>
                <w:sz w:val="20"/>
                <w:szCs w:val="20"/>
                <w:lang w:val="en-US" w:eastAsia="zh-CN" w:bidi="ar"/>
              </w:rPr>
              <w:t>依法接受</w:t>
            </w:r>
            <w:r>
              <w:rPr>
                <w:rFonts w:hint="eastAsia" w:ascii="宋体" w:hAnsi="宋体" w:eastAsia="宋体" w:cs="宋体"/>
                <w:color w:val="000000"/>
                <w:kern w:val="0"/>
                <w:sz w:val="20"/>
                <w:szCs w:val="20"/>
                <w:lang w:val="en-US" w:eastAsia="zh-CN" w:bidi="ar"/>
              </w:rPr>
              <w:br w:type="textWrapping"/>
            </w:r>
            <w:r>
              <w:rPr>
                <w:rFonts w:hint="eastAsia" w:ascii="宋体" w:hAnsi="宋体" w:eastAsia="宋体" w:cs="宋体"/>
                <w:color w:val="000000"/>
                <w:kern w:val="0"/>
                <w:sz w:val="20"/>
                <w:szCs w:val="20"/>
                <w:lang w:val="en-US" w:eastAsia="zh-CN" w:bidi="ar"/>
              </w:rPr>
              <w:t>财政监督</w:t>
            </w:r>
            <w:r>
              <w:rPr>
                <w:rFonts w:hint="eastAsia" w:ascii="宋体" w:hAnsi="宋体" w:eastAsia="宋体" w:cs="宋体"/>
                <w:color w:val="000000"/>
                <w:kern w:val="0"/>
                <w:sz w:val="20"/>
                <w:szCs w:val="20"/>
                <w:lang w:val="en-US" w:eastAsia="zh-CN" w:bidi="ar"/>
              </w:rPr>
              <w:br w:type="textWrapping"/>
            </w:r>
            <w:r>
              <w:rPr>
                <w:rFonts w:hint="eastAsia" w:ascii="宋体" w:hAnsi="宋体" w:eastAsia="宋体" w:cs="宋体"/>
                <w:color w:val="000000"/>
                <w:kern w:val="0"/>
                <w:sz w:val="20"/>
                <w:szCs w:val="20"/>
                <w:lang w:val="en-US" w:eastAsia="zh-CN" w:bidi="ar"/>
              </w:rPr>
              <w:t>（6分）</w:t>
            </w:r>
          </w:p>
        </w:tc>
        <w:tc>
          <w:tcPr>
            <w:tcW w:w="939" w:type="dxa"/>
            <w:tcBorders>
              <w:top w:val="single" w:color="000000" w:sz="4" w:space="0"/>
              <w:left w:val="nil"/>
              <w:bottom w:val="single" w:color="000000" w:sz="4" w:space="0"/>
              <w:right w:val="single" w:color="000000" w:sz="4" w:space="0"/>
            </w:tcBorders>
            <w:shd w:val="clear" w:color="auto" w:fill="auto"/>
            <w:noWrap w:val="0"/>
            <w:tcMar>
              <w:top w:w="15" w:type="dxa"/>
              <w:left w:w="15" w:type="dxa"/>
              <w:right w:w="15" w:type="dxa"/>
            </w:tcMar>
            <w:vAlign w:val="center"/>
          </w:tcPr>
          <w:p>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color w:val="000000"/>
                <w:kern w:val="2"/>
                <w:sz w:val="20"/>
                <w:szCs w:val="20"/>
              </w:rPr>
            </w:pPr>
            <w:r>
              <w:rPr>
                <w:rFonts w:hint="eastAsia" w:ascii="宋体" w:hAnsi="宋体" w:eastAsia="宋体" w:cs="宋体"/>
                <w:color w:val="000000"/>
                <w:kern w:val="0"/>
                <w:sz w:val="20"/>
                <w:szCs w:val="20"/>
                <w:lang w:val="en-US" w:eastAsia="zh-CN" w:bidi="ar"/>
              </w:rPr>
              <w:t>是否按要求开展自查自纠（2分）</w:t>
            </w:r>
          </w:p>
        </w:tc>
        <w:tc>
          <w:tcPr>
            <w:tcW w:w="2414" w:type="dxa"/>
            <w:tcBorders>
              <w:top w:val="single" w:color="000000" w:sz="4" w:space="0"/>
              <w:left w:val="nil"/>
              <w:bottom w:val="single" w:color="000000" w:sz="4" w:space="0"/>
              <w:right w:val="single" w:color="000000" w:sz="4" w:space="0"/>
            </w:tcBorders>
            <w:shd w:val="clear" w:color="auto" w:fill="auto"/>
            <w:noWrap w:val="0"/>
            <w:tcMar>
              <w:top w:w="15" w:type="dxa"/>
              <w:left w:w="15" w:type="dxa"/>
              <w:right w:w="15" w:type="dxa"/>
            </w:tcMar>
            <w:vAlign w:val="center"/>
          </w:tcPr>
          <w:p>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color w:val="000000"/>
                <w:kern w:val="2"/>
                <w:sz w:val="20"/>
                <w:szCs w:val="20"/>
              </w:rPr>
            </w:pPr>
            <w:r>
              <w:rPr>
                <w:rFonts w:hint="eastAsia" w:ascii="宋体" w:hAnsi="宋体" w:eastAsia="宋体" w:cs="宋体"/>
                <w:color w:val="000000"/>
                <w:kern w:val="0"/>
                <w:sz w:val="20"/>
                <w:szCs w:val="20"/>
                <w:lang w:val="en-US" w:eastAsia="zh-CN" w:bidi="ar"/>
              </w:rPr>
              <w:t>根据相关自查自纠报告、报表报送时效和质量进行考核</w:t>
            </w:r>
          </w:p>
        </w:tc>
        <w:tc>
          <w:tcPr>
            <w:tcW w:w="240" w:type="dxa"/>
            <w:tcBorders>
              <w:top w:val="single" w:color="000000" w:sz="4" w:space="0"/>
              <w:left w:val="nil"/>
              <w:bottom w:val="single" w:color="000000" w:sz="4" w:space="0"/>
              <w:right w:val="single" w:color="000000" w:sz="4" w:space="0"/>
            </w:tcBorders>
            <w:shd w:val="clear" w:color="auto" w:fill="FFFFFF"/>
            <w:noWrap w:val="0"/>
            <w:tcMar>
              <w:top w:w="15" w:type="dxa"/>
              <w:left w:w="15" w:type="dxa"/>
              <w:right w:w="15" w:type="dxa"/>
            </w:tcMar>
            <w:vAlign w:val="center"/>
          </w:tcPr>
          <w:p>
            <w:pPr>
              <w:keepNext w:val="0"/>
              <w:keepLines w:val="0"/>
              <w:widowControl w:val="0"/>
              <w:suppressLineNumbers w:val="0"/>
              <w:spacing w:before="0" w:beforeAutospacing="0" w:after="0" w:afterAutospacing="0"/>
              <w:ind w:left="0" w:right="0"/>
              <w:jc w:val="left"/>
              <w:rPr>
                <w:rFonts w:hint="eastAsia" w:ascii="宋体" w:hAnsi="宋体" w:eastAsia="宋体" w:cs="宋体"/>
                <w:color w:val="000000"/>
                <w:kern w:val="2"/>
                <w:sz w:val="20"/>
                <w:szCs w:val="20"/>
              </w:rPr>
            </w:pPr>
          </w:p>
        </w:tc>
        <w:tc>
          <w:tcPr>
            <w:tcW w:w="466" w:type="dxa"/>
            <w:tcBorders>
              <w:top w:val="single" w:color="000000" w:sz="4" w:space="0"/>
              <w:left w:val="nil"/>
              <w:bottom w:val="single" w:color="000000" w:sz="4" w:space="0"/>
              <w:right w:val="single" w:color="000000" w:sz="4" w:space="0"/>
            </w:tcBorders>
            <w:shd w:val="clear" w:color="auto" w:fill="FFFFFF"/>
            <w:noWrap w:val="0"/>
            <w:tcMar>
              <w:top w:w="15" w:type="dxa"/>
              <w:left w:w="15" w:type="dxa"/>
              <w:right w:w="15" w:type="dxa"/>
            </w:tcMar>
            <w:vAlign w:val="center"/>
          </w:tcPr>
          <w:p>
            <w:pPr>
              <w:keepNext w:val="0"/>
              <w:keepLines w:val="0"/>
              <w:widowControl w:val="0"/>
              <w:suppressLineNumbers w:val="0"/>
              <w:spacing w:before="0" w:beforeAutospacing="0" w:after="0" w:afterAutospacing="0"/>
              <w:ind w:left="0" w:right="0"/>
              <w:jc w:val="left"/>
              <w:rPr>
                <w:rFonts w:hint="eastAsia" w:ascii="宋体" w:hAnsi="宋体" w:eastAsia="宋体" w:cs="宋体"/>
                <w:color w:val="000000"/>
                <w:kern w:val="2"/>
                <w:sz w:val="20"/>
                <w:szCs w:val="20"/>
              </w:rPr>
            </w:pPr>
          </w:p>
        </w:tc>
        <w:tc>
          <w:tcPr>
            <w:tcW w:w="3478" w:type="dxa"/>
            <w:tcBorders>
              <w:top w:val="single" w:color="000000" w:sz="4" w:space="0"/>
              <w:left w:val="nil"/>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color w:val="000000"/>
                <w:kern w:val="2"/>
                <w:sz w:val="20"/>
                <w:szCs w:val="20"/>
              </w:rPr>
            </w:pPr>
            <w:r>
              <w:rPr>
                <w:rFonts w:hint="eastAsia" w:ascii="宋体" w:hAnsi="宋体" w:eastAsia="宋体" w:cs="宋体"/>
                <w:color w:val="000000"/>
                <w:kern w:val="0"/>
                <w:sz w:val="20"/>
                <w:szCs w:val="20"/>
                <w:lang w:val="en-US" w:eastAsia="zh-CN" w:bidi="ar"/>
              </w:rPr>
              <w:t>未在规定时间内报送自查自纠相关材料（包括：纸质和电子版）的，扣0.5分；报告内容不完整，扣1分；报表质量差（如：数据、逻辑、勾稽关系错误）等扣0.5分；直至扣完</w:t>
            </w:r>
          </w:p>
        </w:tc>
      </w:tr>
      <w:tr>
        <w:tblPrEx>
          <w:tblCellMar>
            <w:top w:w="0" w:type="dxa"/>
            <w:left w:w="0" w:type="dxa"/>
            <w:bottom w:w="0" w:type="dxa"/>
            <w:right w:w="0" w:type="dxa"/>
          </w:tblCellMar>
        </w:tblPrEx>
        <w:trPr>
          <w:trHeight w:val="960" w:hRule="atLeast"/>
        </w:trPr>
        <w:tc>
          <w:tcPr>
            <w:tcW w:w="520" w:type="dxa"/>
            <w:vMerge w:val="continue"/>
            <w:tcBorders>
              <w:top w:val="nil"/>
              <w:left w:val="single" w:color="000000" w:sz="4" w:space="0"/>
              <w:bottom w:val="single" w:color="000000" w:sz="4" w:space="0"/>
              <w:right w:val="single" w:color="000000" w:sz="4" w:space="0"/>
            </w:tcBorders>
            <w:shd w:val="clear" w:color="auto" w:fill="auto"/>
            <w:noWrap w:val="0"/>
            <w:tcMar>
              <w:top w:w="15" w:type="dxa"/>
              <w:left w:w="15" w:type="dxa"/>
              <w:right w:w="15" w:type="dxa"/>
            </w:tcMar>
            <w:vAlign w:val="center"/>
          </w:tcPr>
          <w:p>
            <w:pPr>
              <w:rPr>
                <w:rFonts w:hint="default" w:ascii="Times New Roman" w:hAnsi="Times New Roman" w:cs="Times New Roman"/>
                <w:sz w:val="20"/>
                <w:szCs w:val="20"/>
              </w:rPr>
            </w:pPr>
          </w:p>
        </w:tc>
        <w:tc>
          <w:tcPr>
            <w:tcW w:w="520" w:type="dxa"/>
            <w:vMerge w:val="continue"/>
            <w:tcBorders>
              <w:top w:val="nil"/>
              <w:left w:val="nil"/>
              <w:bottom w:val="single" w:color="000000" w:sz="4" w:space="0"/>
              <w:right w:val="single" w:color="000000" w:sz="4" w:space="0"/>
            </w:tcBorders>
            <w:shd w:val="clear" w:color="auto" w:fill="auto"/>
            <w:noWrap w:val="0"/>
            <w:tcMar>
              <w:top w:w="15" w:type="dxa"/>
              <w:left w:w="15" w:type="dxa"/>
              <w:right w:w="15" w:type="dxa"/>
            </w:tcMar>
            <w:vAlign w:val="center"/>
          </w:tcPr>
          <w:p>
            <w:pPr>
              <w:rPr>
                <w:rFonts w:hint="default" w:ascii="Times New Roman" w:hAnsi="Times New Roman" w:cs="Times New Roman"/>
                <w:sz w:val="20"/>
                <w:szCs w:val="20"/>
              </w:rPr>
            </w:pPr>
          </w:p>
        </w:tc>
        <w:tc>
          <w:tcPr>
            <w:tcW w:w="939" w:type="dxa"/>
            <w:tcBorders>
              <w:top w:val="single" w:color="000000" w:sz="4" w:space="0"/>
              <w:left w:val="nil"/>
              <w:bottom w:val="single" w:color="000000" w:sz="4" w:space="0"/>
              <w:right w:val="single" w:color="000000" w:sz="4" w:space="0"/>
            </w:tcBorders>
            <w:shd w:val="clear" w:color="auto" w:fill="auto"/>
            <w:noWrap w:val="0"/>
            <w:tcMar>
              <w:top w:w="15" w:type="dxa"/>
              <w:left w:w="15" w:type="dxa"/>
              <w:right w:w="15" w:type="dxa"/>
            </w:tcMar>
            <w:vAlign w:val="center"/>
          </w:tcPr>
          <w:p>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color w:val="000000"/>
                <w:kern w:val="2"/>
                <w:sz w:val="20"/>
                <w:szCs w:val="20"/>
              </w:rPr>
            </w:pPr>
            <w:r>
              <w:rPr>
                <w:rFonts w:hint="eastAsia" w:ascii="宋体" w:hAnsi="宋体" w:eastAsia="宋体" w:cs="宋体"/>
                <w:color w:val="000000"/>
                <w:kern w:val="0"/>
                <w:sz w:val="20"/>
                <w:szCs w:val="20"/>
                <w:lang w:val="en-US" w:eastAsia="zh-CN" w:bidi="ar"/>
              </w:rPr>
              <w:t>重点检查发现违规违纪问题（2分）</w:t>
            </w:r>
          </w:p>
        </w:tc>
        <w:tc>
          <w:tcPr>
            <w:tcW w:w="2414" w:type="dxa"/>
            <w:tcBorders>
              <w:top w:val="single" w:color="000000" w:sz="4" w:space="0"/>
              <w:left w:val="nil"/>
              <w:bottom w:val="single" w:color="000000" w:sz="4" w:space="0"/>
              <w:right w:val="single" w:color="000000" w:sz="4" w:space="0"/>
            </w:tcBorders>
            <w:shd w:val="clear" w:color="auto" w:fill="auto"/>
            <w:noWrap w:val="0"/>
            <w:tcMar>
              <w:top w:w="15" w:type="dxa"/>
              <w:left w:w="15" w:type="dxa"/>
              <w:right w:w="15" w:type="dxa"/>
            </w:tcMar>
            <w:vAlign w:val="center"/>
          </w:tcPr>
          <w:p>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color w:val="000000"/>
                <w:kern w:val="2"/>
                <w:sz w:val="20"/>
                <w:szCs w:val="20"/>
              </w:rPr>
            </w:pPr>
            <w:r>
              <w:rPr>
                <w:rFonts w:hint="eastAsia" w:ascii="宋体" w:hAnsi="宋体" w:eastAsia="宋体" w:cs="宋体"/>
                <w:color w:val="000000"/>
                <w:kern w:val="0"/>
                <w:sz w:val="20"/>
                <w:szCs w:val="20"/>
                <w:lang w:val="en-US" w:eastAsia="zh-CN" w:bidi="ar"/>
              </w:rPr>
              <w:t>根据检查组提供的工作底稿、检查报告等资料进行考核</w:t>
            </w:r>
          </w:p>
        </w:tc>
        <w:tc>
          <w:tcPr>
            <w:tcW w:w="240" w:type="dxa"/>
            <w:tcBorders>
              <w:top w:val="single" w:color="000000" w:sz="4" w:space="0"/>
              <w:left w:val="nil"/>
              <w:bottom w:val="single" w:color="000000" w:sz="4" w:space="0"/>
              <w:right w:val="single" w:color="000000" w:sz="4" w:space="0"/>
            </w:tcBorders>
            <w:shd w:val="clear" w:color="auto" w:fill="FFFFFF"/>
            <w:noWrap w:val="0"/>
            <w:tcMar>
              <w:top w:w="15" w:type="dxa"/>
              <w:left w:w="15" w:type="dxa"/>
              <w:right w:w="15" w:type="dxa"/>
            </w:tcMar>
            <w:vAlign w:val="center"/>
          </w:tcPr>
          <w:p>
            <w:pPr>
              <w:keepNext w:val="0"/>
              <w:keepLines w:val="0"/>
              <w:widowControl w:val="0"/>
              <w:suppressLineNumbers w:val="0"/>
              <w:spacing w:before="0" w:beforeAutospacing="0" w:after="0" w:afterAutospacing="0"/>
              <w:ind w:left="0" w:right="0"/>
              <w:jc w:val="left"/>
              <w:rPr>
                <w:rFonts w:hint="eastAsia" w:ascii="宋体" w:hAnsi="宋体" w:eastAsia="宋体" w:cs="宋体"/>
                <w:color w:val="000000"/>
                <w:kern w:val="2"/>
                <w:sz w:val="20"/>
                <w:szCs w:val="20"/>
              </w:rPr>
            </w:pPr>
          </w:p>
        </w:tc>
        <w:tc>
          <w:tcPr>
            <w:tcW w:w="466" w:type="dxa"/>
            <w:tcBorders>
              <w:top w:val="single" w:color="000000" w:sz="4" w:space="0"/>
              <w:left w:val="nil"/>
              <w:bottom w:val="single" w:color="000000" w:sz="4" w:space="0"/>
              <w:right w:val="single" w:color="000000" w:sz="4" w:space="0"/>
            </w:tcBorders>
            <w:shd w:val="clear" w:color="auto" w:fill="FFFFFF"/>
            <w:noWrap w:val="0"/>
            <w:tcMar>
              <w:top w:w="15" w:type="dxa"/>
              <w:left w:w="15" w:type="dxa"/>
              <w:right w:w="15" w:type="dxa"/>
            </w:tcMar>
            <w:vAlign w:val="center"/>
          </w:tcPr>
          <w:p>
            <w:pPr>
              <w:keepNext w:val="0"/>
              <w:keepLines w:val="0"/>
              <w:widowControl w:val="0"/>
              <w:suppressLineNumbers w:val="0"/>
              <w:spacing w:before="0" w:beforeAutospacing="0" w:after="0" w:afterAutospacing="0"/>
              <w:ind w:left="0" w:right="0"/>
              <w:jc w:val="left"/>
              <w:rPr>
                <w:rFonts w:hint="eastAsia" w:ascii="宋体" w:hAnsi="宋体" w:eastAsia="宋体" w:cs="宋体"/>
                <w:color w:val="000000"/>
                <w:kern w:val="2"/>
                <w:sz w:val="20"/>
                <w:szCs w:val="20"/>
              </w:rPr>
            </w:pPr>
          </w:p>
        </w:tc>
        <w:tc>
          <w:tcPr>
            <w:tcW w:w="3478" w:type="dxa"/>
            <w:tcBorders>
              <w:top w:val="single" w:color="000000" w:sz="4" w:space="0"/>
              <w:left w:val="nil"/>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color w:val="000000"/>
                <w:kern w:val="2"/>
                <w:sz w:val="20"/>
                <w:szCs w:val="20"/>
              </w:rPr>
            </w:pPr>
            <w:r>
              <w:rPr>
                <w:rFonts w:hint="eastAsia" w:ascii="宋体" w:hAnsi="宋体" w:eastAsia="宋体" w:cs="宋体"/>
                <w:color w:val="000000"/>
                <w:kern w:val="0"/>
                <w:sz w:val="20"/>
                <w:szCs w:val="20"/>
                <w:lang w:val="en-US" w:eastAsia="zh-CN" w:bidi="ar"/>
              </w:rPr>
              <w:t>专项检查发现的违纪违规问题，每个问题扣0.5分，直至扣完</w:t>
            </w:r>
          </w:p>
        </w:tc>
      </w:tr>
      <w:tr>
        <w:tblPrEx>
          <w:tblCellMar>
            <w:top w:w="0" w:type="dxa"/>
            <w:left w:w="0" w:type="dxa"/>
            <w:bottom w:w="0" w:type="dxa"/>
            <w:right w:w="0" w:type="dxa"/>
          </w:tblCellMar>
        </w:tblPrEx>
        <w:trPr>
          <w:trHeight w:val="960" w:hRule="atLeast"/>
        </w:trPr>
        <w:tc>
          <w:tcPr>
            <w:tcW w:w="520" w:type="dxa"/>
            <w:vMerge w:val="continue"/>
            <w:tcBorders>
              <w:top w:val="nil"/>
              <w:left w:val="single" w:color="000000" w:sz="4" w:space="0"/>
              <w:bottom w:val="single" w:color="000000" w:sz="4" w:space="0"/>
              <w:right w:val="single" w:color="000000" w:sz="4" w:space="0"/>
            </w:tcBorders>
            <w:shd w:val="clear" w:color="auto" w:fill="auto"/>
            <w:noWrap w:val="0"/>
            <w:tcMar>
              <w:top w:w="15" w:type="dxa"/>
              <w:left w:w="15" w:type="dxa"/>
              <w:right w:w="15" w:type="dxa"/>
            </w:tcMar>
            <w:vAlign w:val="center"/>
          </w:tcPr>
          <w:p>
            <w:pPr>
              <w:rPr>
                <w:rFonts w:hint="default" w:ascii="Times New Roman" w:hAnsi="Times New Roman" w:cs="Times New Roman"/>
                <w:sz w:val="20"/>
                <w:szCs w:val="20"/>
              </w:rPr>
            </w:pPr>
          </w:p>
        </w:tc>
        <w:tc>
          <w:tcPr>
            <w:tcW w:w="520" w:type="dxa"/>
            <w:vMerge w:val="continue"/>
            <w:tcBorders>
              <w:top w:val="nil"/>
              <w:left w:val="nil"/>
              <w:bottom w:val="single" w:color="000000" w:sz="4" w:space="0"/>
              <w:right w:val="single" w:color="000000" w:sz="4" w:space="0"/>
            </w:tcBorders>
            <w:shd w:val="clear" w:color="auto" w:fill="auto"/>
            <w:noWrap w:val="0"/>
            <w:tcMar>
              <w:top w:w="15" w:type="dxa"/>
              <w:left w:w="15" w:type="dxa"/>
              <w:right w:w="15" w:type="dxa"/>
            </w:tcMar>
            <w:vAlign w:val="center"/>
          </w:tcPr>
          <w:p>
            <w:pPr>
              <w:rPr>
                <w:rFonts w:hint="default" w:ascii="Times New Roman" w:hAnsi="Times New Roman" w:cs="Times New Roman"/>
                <w:sz w:val="20"/>
                <w:szCs w:val="20"/>
              </w:rPr>
            </w:pPr>
          </w:p>
        </w:tc>
        <w:tc>
          <w:tcPr>
            <w:tcW w:w="939" w:type="dxa"/>
            <w:tcBorders>
              <w:top w:val="single" w:color="000000" w:sz="4" w:space="0"/>
              <w:left w:val="nil"/>
              <w:bottom w:val="single" w:color="000000" w:sz="4" w:space="0"/>
              <w:right w:val="single" w:color="000000" w:sz="4" w:space="0"/>
            </w:tcBorders>
            <w:shd w:val="clear" w:color="auto" w:fill="auto"/>
            <w:noWrap w:val="0"/>
            <w:tcMar>
              <w:top w:w="15" w:type="dxa"/>
              <w:left w:w="15" w:type="dxa"/>
              <w:right w:w="15" w:type="dxa"/>
            </w:tcMar>
            <w:vAlign w:val="center"/>
          </w:tcPr>
          <w:p>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color w:val="000000"/>
                <w:kern w:val="2"/>
                <w:sz w:val="20"/>
                <w:szCs w:val="20"/>
              </w:rPr>
            </w:pPr>
            <w:r>
              <w:rPr>
                <w:rFonts w:hint="eastAsia" w:ascii="宋体" w:hAnsi="宋体" w:eastAsia="宋体" w:cs="宋体"/>
                <w:color w:val="000000"/>
                <w:kern w:val="0"/>
                <w:sz w:val="20"/>
                <w:szCs w:val="20"/>
                <w:lang w:val="en-US" w:eastAsia="zh-CN" w:bidi="ar"/>
              </w:rPr>
              <w:t>存在问题整改是否到位（2分）</w:t>
            </w:r>
          </w:p>
        </w:tc>
        <w:tc>
          <w:tcPr>
            <w:tcW w:w="2414" w:type="dxa"/>
            <w:tcBorders>
              <w:top w:val="single" w:color="000000" w:sz="4" w:space="0"/>
              <w:left w:val="nil"/>
              <w:bottom w:val="single" w:color="000000" w:sz="4" w:space="0"/>
              <w:right w:val="single" w:color="000000" w:sz="4" w:space="0"/>
            </w:tcBorders>
            <w:shd w:val="clear" w:color="auto" w:fill="auto"/>
            <w:noWrap w:val="0"/>
            <w:tcMar>
              <w:top w:w="15" w:type="dxa"/>
              <w:left w:w="15" w:type="dxa"/>
              <w:right w:w="15" w:type="dxa"/>
            </w:tcMar>
            <w:vAlign w:val="center"/>
          </w:tcPr>
          <w:p>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color w:val="000000"/>
                <w:kern w:val="2"/>
                <w:sz w:val="20"/>
                <w:szCs w:val="20"/>
              </w:rPr>
            </w:pPr>
            <w:r>
              <w:rPr>
                <w:rFonts w:hint="eastAsia" w:ascii="宋体" w:hAnsi="宋体" w:eastAsia="宋体" w:cs="宋体"/>
                <w:color w:val="000000"/>
                <w:kern w:val="0"/>
                <w:sz w:val="20"/>
                <w:szCs w:val="20"/>
                <w:lang w:val="en-US" w:eastAsia="zh-CN" w:bidi="ar"/>
              </w:rPr>
              <w:t>根据相关整改报告、凭证依据等相关证明材料进行考核</w:t>
            </w:r>
          </w:p>
        </w:tc>
        <w:tc>
          <w:tcPr>
            <w:tcW w:w="240" w:type="dxa"/>
            <w:tcBorders>
              <w:top w:val="single" w:color="000000" w:sz="4" w:space="0"/>
              <w:left w:val="nil"/>
              <w:bottom w:val="single" w:color="000000" w:sz="4" w:space="0"/>
              <w:right w:val="single" w:color="000000" w:sz="4" w:space="0"/>
            </w:tcBorders>
            <w:shd w:val="clear" w:color="auto" w:fill="FFFFFF"/>
            <w:noWrap w:val="0"/>
            <w:tcMar>
              <w:top w:w="15" w:type="dxa"/>
              <w:left w:w="15" w:type="dxa"/>
              <w:right w:w="15" w:type="dxa"/>
            </w:tcMar>
            <w:vAlign w:val="center"/>
          </w:tcPr>
          <w:p>
            <w:pPr>
              <w:keepNext w:val="0"/>
              <w:keepLines w:val="0"/>
              <w:widowControl w:val="0"/>
              <w:suppressLineNumbers w:val="0"/>
              <w:spacing w:before="0" w:beforeAutospacing="0" w:after="0" w:afterAutospacing="0"/>
              <w:ind w:left="0" w:right="0"/>
              <w:jc w:val="left"/>
              <w:rPr>
                <w:rFonts w:hint="eastAsia" w:ascii="宋体" w:hAnsi="宋体" w:eastAsia="宋体" w:cs="宋体"/>
                <w:color w:val="000000"/>
                <w:kern w:val="2"/>
                <w:sz w:val="20"/>
                <w:szCs w:val="20"/>
              </w:rPr>
            </w:pPr>
          </w:p>
        </w:tc>
        <w:tc>
          <w:tcPr>
            <w:tcW w:w="466" w:type="dxa"/>
            <w:tcBorders>
              <w:top w:val="single" w:color="000000" w:sz="4" w:space="0"/>
              <w:left w:val="nil"/>
              <w:bottom w:val="single" w:color="000000" w:sz="4" w:space="0"/>
              <w:right w:val="single" w:color="000000" w:sz="4" w:space="0"/>
            </w:tcBorders>
            <w:shd w:val="clear" w:color="auto" w:fill="FFFFFF"/>
            <w:noWrap w:val="0"/>
            <w:tcMar>
              <w:top w:w="15" w:type="dxa"/>
              <w:left w:w="15" w:type="dxa"/>
              <w:right w:w="15" w:type="dxa"/>
            </w:tcMar>
            <w:vAlign w:val="center"/>
          </w:tcPr>
          <w:p>
            <w:pPr>
              <w:keepNext w:val="0"/>
              <w:keepLines w:val="0"/>
              <w:widowControl w:val="0"/>
              <w:suppressLineNumbers w:val="0"/>
              <w:spacing w:before="0" w:beforeAutospacing="0" w:after="0" w:afterAutospacing="0"/>
              <w:ind w:left="0" w:right="0"/>
              <w:jc w:val="left"/>
              <w:rPr>
                <w:rFonts w:hint="eastAsia" w:ascii="宋体" w:hAnsi="宋体" w:eastAsia="宋体" w:cs="宋体"/>
                <w:color w:val="000000"/>
                <w:kern w:val="2"/>
                <w:sz w:val="20"/>
                <w:szCs w:val="20"/>
              </w:rPr>
            </w:pPr>
          </w:p>
        </w:tc>
        <w:tc>
          <w:tcPr>
            <w:tcW w:w="3478" w:type="dxa"/>
            <w:tcBorders>
              <w:top w:val="single" w:color="000000" w:sz="4" w:space="0"/>
              <w:left w:val="nil"/>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color w:val="000000"/>
                <w:kern w:val="2"/>
                <w:sz w:val="20"/>
                <w:szCs w:val="20"/>
              </w:rPr>
            </w:pPr>
            <w:r>
              <w:rPr>
                <w:rFonts w:hint="eastAsia" w:ascii="宋体" w:hAnsi="宋体" w:eastAsia="宋体" w:cs="宋体"/>
                <w:color w:val="000000"/>
                <w:kern w:val="0"/>
                <w:sz w:val="20"/>
                <w:szCs w:val="20"/>
                <w:lang w:val="en-US" w:eastAsia="zh-CN" w:bidi="ar"/>
              </w:rPr>
              <w:t>未在规定时间内完成整改，并提供相关证明材料的，每个问题0.5分，直至扣完</w:t>
            </w:r>
          </w:p>
        </w:tc>
      </w:tr>
      <w:tr>
        <w:tblPrEx>
          <w:tblCellMar>
            <w:top w:w="0" w:type="dxa"/>
            <w:left w:w="0" w:type="dxa"/>
            <w:bottom w:w="0" w:type="dxa"/>
            <w:right w:w="0" w:type="dxa"/>
          </w:tblCellMar>
        </w:tblPrEx>
        <w:trPr>
          <w:trHeight w:val="960" w:hRule="atLeast"/>
        </w:trPr>
        <w:tc>
          <w:tcPr>
            <w:tcW w:w="520" w:type="dxa"/>
            <w:vMerge w:val="restart"/>
            <w:tcBorders>
              <w:top w:val="nil"/>
              <w:left w:val="single" w:color="000000" w:sz="4" w:space="0"/>
              <w:bottom w:val="single" w:color="000000" w:sz="4" w:space="0"/>
              <w:right w:val="single" w:color="000000" w:sz="4" w:space="0"/>
            </w:tcBorders>
            <w:shd w:val="clear" w:color="auto" w:fill="auto"/>
            <w:noWrap w:val="0"/>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000000"/>
                <w:kern w:val="2"/>
                <w:sz w:val="20"/>
                <w:szCs w:val="20"/>
              </w:rPr>
            </w:pPr>
            <w:r>
              <w:rPr>
                <w:rFonts w:hint="eastAsia" w:ascii="宋体" w:hAnsi="宋体" w:eastAsia="宋体" w:cs="宋体"/>
                <w:color w:val="000000"/>
                <w:kern w:val="0"/>
                <w:sz w:val="20"/>
                <w:szCs w:val="20"/>
                <w:lang w:val="en-US" w:eastAsia="zh-CN" w:bidi="ar"/>
              </w:rPr>
              <w:t>整体效益</w:t>
            </w:r>
            <w:r>
              <w:rPr>
                <w:rFonts w:hint="eastAsia" w:ascii="宋体" w:hAnsi="宋体" w:eastAsia="宋体" w:cs="宋体"/>
                <w:color w:val="000000"/>
                <w:kern w:val="0"/>
                <w:sz w:val="20"/>
                <w:szCs w:val="20"/>
                <w:lang w:val="en-US" w:eastAsia="zh-CN" w:bidi="ar"/>
              </w:rPr>
              <w:br w:type="textWrapping"/>
            </w:r>
            <w:r>
              <w:rPr>
                <w:rFonts w:hint="eastAsia" w:ascii="宋体" w:hAnsi="宋体" w:eastAsia="宋体" w:cs="宋体"/>
                <w:color w:val="000000"/>
                <w:kern w:val="0"/>
                <w:sz w:val="20"/>
                <w:szCs w:val="20"/>
                <w:lang w:val="en-US" w:eastAsia="zh-CN" w:bidi="ar"/>
              </w:rPr>
              <w:t>（30分）</w:t>
            </w:r>
          </w:p>
        </w:tc>
        <w:tc>
          <w:tcPr>
            <w:tcW w:w="520" w:type="dxa"/>
            <w:vMerge w:val="restart"/>
            <w:tcBorders>
              <w:top w:val="nil"/>
              <w:left w:val="nil"/>
              <w:bottom w:val="single" w:color="000000" w:sz="4" w:space="0"/>
              <w:right w:val="single" w:color="000000" w:sz="4" w:space="0"/>
            </w:tcBorders>
            <w:shd w:val="clear" w:color="auto" w:fill="auto"/>
            <w:noWrap w:val="0"/>
            <w:tcMar>
              <w:top w:w="15" w:type="dxa"/>
              <w:left w:w="15" w:type="dxa"/>
              <w:right w:w="15" w:type="dxa"/>
            </w:tcMar>
            <w:vAlign w:val="center"/>
          </w:tcPr>
          <w:p>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color w:val="000000"/>
                <w:kern w:val="2"/>
                <w:sz w:val="20"/>
                <w:szCs w:val="20"/>
              </w:rPr>
            </w:pPr>
            <w:r>
              <w:rPr>
                <w:rFonts w:hint="eastAsia" w:ascii="宋体" w:hAnsi="宋体" w:eastAsia="宋体" w:cs="宋体"/>
                <w:color w:val="000000"/>
                <w:kern w:val="0"/>
                <w:sz w:val="20"/>
                <w:szCs w:val="20"/>
                <w:lang w:val="en-US" w:eastAsia="zh-CN" w:bidi="ar"/>
              </w:rPr>
              <w:t>部门整</w:t>
            </w:r>
            <w:r>
              <w:rPr>
                <w:rFonts w:hint="eastAsia" w:ascii="宋体" w:hAnsi="宋体" w:eastAsia="宋体" w:cs="宋体"/>
                <w:color w:val="000000"/>
                <w:kern w:val="0"/>
                <w:sz w:val="20"/>
                <w:szCs w:val="20"/>
                <w:lang w:val="en-US" w:eastAsia="zh-CN" w:bidi="ar"/>
              </w:rPr>
              <w:br w:type="textWrapping"/>
            </w:r>
            <w:r>
              <w:rPr>
                <w:rFonts w:hint="eastAsia" w:ascii="宋体" w:hAnsi="宋体" w:eastAsia="宋体" w:cs="宋体"/>
                <w:color w:val="000000"/>
                <w:kern w:val="0"/>
                <w:sz w:val="20"/>
                <w:szCs w:val="20"/>
                <w:lang w:val="en-US" w:eastAsia="zh-CN" w:bidi="ar"/>
              </w:rPr>
              <w:t>体绩效</w:t>
            </w:r>
            <w:r>
              <w:rPr>
                <w:rFonts w:hint="eastAsia" w:ascii="宋体" w:hAnsi="宋体" w:eastAsia="宋体" w:cs="宋体"/>
                <w:color w:val="000000"/>
                <w:kern w:val="0"/>
                <w:sz w:val="20"/>
                <w:szCs w:val="20"/>
                <w:lang w:val="en-US" w:eastAsia="zh-CN" w:bidi="ar"/>
              </w:rPr>
              <w:br w:type="textWrapping"/>
            </w:r>
            <w:r>
              <w:rPr>
                <w:rFonts w:hint="eastAsia" w:ascii="宋体" w:hAnsi="宋体" w:eastAsia="宋体" w:cs="宋体"/>
                <w:color w:val="000000"/>
                <w:kern w:val="0"/>
                <w:sz w:val="20"/>
                <w:szCs w:val="20"/>
                <w:lang w:val="en-US" w:eastAsia="zh-CN" w:bidi="ar"/>
              </w:rPr>
              <w:t>（30分）</w:t>
            </w:r>
          </w:p>
        </w:tc>
        <w:tc>
          <w:tcPr>
            <w:tcW w:w="939" w:type="dxa"/>
            <w:tcBorders>
              <w:top w:val="single" w:color="000000" w:sz="4" w:space="0"/>
              <w:left w:val="nil"/>
              <w:bottom w:val="single" w:color="000000" w:sz="4" w:space="0"/>
              <w:right w:val="single" w:color="000000" w:sz="4" w:space="0"/>
            </w:tcBorders>
            <w:shd w:val="clear" w:color="auto" w:fill="auto"/>
            <w:noWrap w:val="0"/>
            <w:tcMar>
              <w:top w:w="15" w:type="dxa"/>
              <w:left w:w="15" w:type="dxa"/>
              <w:right w:w="15" w:type="dxa"/>
            </w:tcMar>
            <w:vAlign w:val="center"/>
          </w:tcPr>
          <w:p>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color w:val="000000"/>
                <w:kern w:val="2"/>
                <w:sz w:val="20"/>
                <w:szCs w:val="20"/>
              </w:rPr>
            </w:pPr>
            <w:r>
              <w:rPr>
                <w:rFonts w:hint="eastAsia" w:ascii="宋体" w:hAnsi="宋体" w:eastAsia="宋体" w:cs="宋体"/>
                <w:color w:val="000000"/>
                <w:kern w:val="0"/>
                <w:sz w:val="20"/>
                <w:szCs w:val="20"/>
                <w:lang w:val="en-US" w:eastAsia="zh-CN" w:bidi="ar"/>
              </w:rPr>
              <w:t>重点项目绩效评价结果（10分）</w:t>
            </w:r>
          </w:p>
        </w:tc>
        <w:tc>
          <w:tcPr>
            <w:tcW w:w="2414" w:type="dxa"/>
            <w:tcBorders>
              <w:top w:val="single" w:color="000000" w:sz="4" w:space="0"/>
              <w:left w:val="nil"/>
              <w:bottom w:val="single" w:color="000000" w:sz="4" w:space="0"/>
              <w:right w:val="single" w:color="000000" w:sz="4" w:space="0"/>
            </w:tcBorders>
            <w:shd w:val="clear" w:color="auto" w:fill="auto"/>
            <w:noWrap w:val="0"/>
            <w:tcMar>
              <w:top w:w="15" w:type="dxa"/>
              <w:left w:w="15" w:type="dxa"/>
              <w:right w:w="15" w:type="dxa"/>
            </w:tcMar>
            <w:vAlign w:val="center"/>
          </w:tcPr>
          <w:p>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color w:val="000000"/>
                <w:kern w:val="2"/>
                <w:sz w:val="20"/>
                <w:szCs w:val="20"/>
              </w:rPr>
            </w:pPr>
            <w:r>
              <w:rPr>
                <w:rFonts w:hint="eastAsia" w:ascii="宋体" w:hAnsi="宋体" w:eastAsia="宋体" w:cs="宋体"/>
                <w:color w:val="000000"/>
                <w:kern w:val="0"/>
                <w:sz w:val="20"/>
                <w:szCs w:val="20"/>
                <w:lang w:val="en-US" w:eastAsia="zh-CN" w:bidi="ar"/>
              </w:rPr>
              <w:t>部门实施重大项目的经济、社会效益</w:t>
            </w:r>
          </w:p>
        </w:tc>
        <w:tc>
          <w:tcPr>
            <w:tcW w:w="240" w:type="dxa"/>
            <w:tcBorders>
              <w:top w:val="single" w:color="000000" w:sz="4" w:space="0"/>
              <w:left w:val="nil"/>
              <w:bottom w:val="single" w:color="000000" w:sz="4" w:space="0"/>
              <w:right w:val="single" w:color="000000" w:sz="4" w:space="0"/>
            </w:tcBorders>
            <w:shd w:val="clear" w:color="auto" w:fill="FFFFFF"/>
            <w:noWrap w:val="0"/>
            <w:tcMar>
              <w:top w:w="15" w:type="dxa"/>
              <w:left w:w="15" w:type="dxa"/>
              <w:right w:w="15" w:type="dxa"/>
            </w:tcMar>
            <w:vAlign w:val="center"/>
          </w:tcPr>
          <w:p>
            <w:pPr>
              <w:keepNext w:val="0"/>
              <w:keepLines w:val="0"/>
              <w:widowControl w:val="0"/>
              <w:suppressLineNumbers w:val="0"/>
              <w:spacing w:before="0" w:beforeAutospacing="0" w:after="0" w:afterAutospacing="0"/>
              <w:ind w:left="0" w:right="0"/>
              <w:jc w:val="both"/>
              <w:rPr>
                <w:rFonts w:hint="eastAsia" w:ascii="宋体" w:hAnsi="宋体" w:eastAsia="宋体" w:cs="宋体"/>
                <w:color w:val="000000"/>
                <w:kern w:val="2"/>
                <w:sz w:val="20"/>
                <w:szCs w:val="20"/>
                <w:lang w:val="en-US" w:eastAsia="zh-CN"/>
              </w:rPr>
            </w:pPr>
            <w:r>
              <w:rPr>
                <w:rFonts w:hint="eastAsia" w:ascii="宋体" w:hAnsi="宋体" w:cs="宋体"/>
                <w:color w:val="000000"/>
                <w:kern w:val="2"/>
                <w:sz w:val="20"/>
                <w:szCs w:val="20"/>
                <w:lang w:val="en-US" w:eastAsia="zh-CN"/>
              </w:rPr>
              <w:t>1</w:t>
            </w:r>
          </w:p>
        </w:tc>
        <w:tc>
          <w:tcPr>
            <w:tcW w:w="466" w:type="dxa"/>
            <w:tcBorders>
              <w:top w:val="single" w:color="000000" w:sz="4" w:space="0"/>
              <w:left w:val="nil"/>
              <w:bottom w:val="single" w:color="000000" w:sz="4" w:space="0"/>
              <w:right w:val="single" w:color="000000" w:sz="4" w:space="0"/>
            </w:tcBorders>
            <w:shd w:val="clear" w:color="auto" w:fill="FFFFFF"/>
            <w:noWrap w:val="0"/>
            <w:tcMar>
              <w:top w:w="15" w:type="dxa"/>
              <w:left w:w="15" w:type="dxa"/>
              <w:right w:w="15" w:type="dxa"/>
            </w:tcMar>
            <w:vAlign w:val="center"/>
          </w:tcPr>
          <w:p>
            <w:pPr>
              <w:keepNext w:val="0"/>
              <w:keepLines w:val="0"/>
              <w:widowControl w:val="0"/>
              <w:suppressLineNumbers w:val="0"/>
              <w:spacing w:before="0" w:beforeAutospacing="0" w:after="0" w:afterAutospacing="0"/>
              <w:ind w:left="0" w:right="0"/>
              <w:jc w:val="both"/>
              <w:rPr>
                <w:rFonts w:hint="eastAsia" w:ascii="宋体" w:hAnsi="宋体" w:eastAsia="宋体" w:cs="宋体"/>
                <w:color w:val="000000"/>
                <w:kern w:val="2"/>
                <w:sz w:val="20"/>
                <w:szCs w:val="20"/>
                <w:lang w:eastAsia="zh-CN"/>
              </w:rPr>
            </w:pPr>
            <w:r>
              <w:rPr>
                <w:rFonts w:hint="eastAsia" w:ascii="宋体" w:hAnsi="宋体" w:cs="宋体"/>
                <w:color w:val="000000"/>
                <w:kern w:val="2"/>
                <w:sz w:val="20"/>
                <w:szCs w:val="20"/>
                <w:lang w:eastAsia="zh-CN"/>
              </w:rPr>
              <w:t>加强项目实施</w:t>
            </w:r>
          </w:p>
        </w:tc>
        <w:tc>
          <w:tcPr>
            <w:tcW w:w="3478" w:type="dxa"/>
            <w:tcBorders>
              <w:top w:val="single" w:color="000000" w:sz="4" w:space="0"/>
              <w:left w:val="nil"/>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color w:val="000000"/>
                <w:kern w:val="2"/>
                <w:sz w:val="20"/>
                <w:szCs w:val="20"/>
              </w:rPr>
            </w:pPr>
            <w:r>
              <w:rPr>
                <w:rFonts w:hint="eastAsia" w:ascii="宋体" w:hAnsi="宋体" w:eastAsia="宋体" w:cs="宋体"/>
                <w:color w:val="000000"/>
                <w:kern w:val="0"/>
                <w:sz w:val="20"/>
                <w:szCs w:val="20"/>
                <w:lang w:val="en-US" w:eastAsia="zh-CN" w:bidi="ar"/>
              </w:rPr>
              <w:t>根据县财政组织实施项目绩效评价结果换算</w:t>
            </w:r>
          </w:p>
        </w:tc>
      </w:tr>
      <w:tr>
        <w:tblPrEx>
          <w:tblCellMar>
            <w:top w:w="0" w:type="dxa"/>
            <w:left w:w="0" w:type="dxa"/>
            <w:bottom w:w="0" w:type="dxa"/>
            <w:right w:w="0" w:type="dxa"/>
          </w:tblCellMar>
        </w:tblPrEx>
        <w:trPr>
          <w:trHeight w:val="315" w:hRule="atLeast"/>
        </w:trPr>
        <w:tc>
          <w:tcPr>
            <w:tcW w:w="520" w:type="dxa"/>
            <w:vMerge w:val="continue"/>
            <w:tcBorders>
              <w:top w:val="nil"/>
              <w:left w:val="single" w:color="000000" w:sz="4" w:space="0"/>
              <w:bottom w:val="single" w:color="000000" w:sz="4" w:space="0"/>
              <w:right w:val="single" w:color="000000" w:sz="4" w:space="0"/>
            </w:tcBorders>
            <w:shd w:val="clear" w:color="auto" w:fill="auto"/>
            <w:noWrap w:val="0"/>
            <w:tcMar>
              <w:top w:w="15" w:type="dxa"/>
              <w:left w:w="15" w:type="dxa"/>
              <w:right w:w="15" w:type="dxa"/>
            </w:tcMar>
            <w:vAlign w:val="center"/>
          </w:tcPr>
          <w:p>
            <w:pPr>
              <w:rPr>
                <w:rFonts w:hint="default" w:ascii="Times New Roman" w:hAnsi="Times New Roman" w:cs="Times New Roman"/>
                <w:sz w:val="20"/>
                <w:szCs w:val="20"/>
              </w:rPr>
            </w:pPr>
          </w:p>
        </w:tc>
        <w:tc>
          <w:tcPr>
            <w:tcW w:w="520" w:type="dxa"/>
            <w:vMerge w:val="continue"/>
            <w:tcBorders>
              <w:top w:val="nil"/>
              <w:left w:val="nil"/>
              <w:bottom w:val="single" w:color="000000" w:sz="4" w:space="0"/>
              <w:right w:val="single" w:color="000000" w:sz="4" w:space="0"/>
            </w:tcBorders>
            <w:shd w:val="clear" w:color="auto" w:fill="auto"/>
            <w:noWrap w:val="0"/>
            <w:tcMar>
              <w:top w:w="15" w:type="dxa"/>
              <w:left w:w="15" w:type="dxa"/>
              <w:right w:w="15" w:type="dxa"/>
            </w:tcMar>
            <w:vAlign w:val="center"/>
          </w:tcPr>
          <w:p>
            <w:pPr>
              <w:rPr>
                <w:rFonts w:hint="default" w:ascii="Times New Roman" w:hAnsi="Times New Roman" w:cs="Times New Roman"/>
                <w:sz w:val="20"/>
                <w:szCs w:val="20"/>
              </w:rPr>
            </w:pPr>
          </w:p>
        </w:tc>
        <w:tc>
          <w:tcPr>
            <w:tcW w:w="939" w:type="dxa"/>
            <w:vMerge w:val="restart"/>
            <w:tcBorders>
              <w:top w:val="nil"/>
              <w:left w:val="nil"/>
              <w:bottom w:val="single" w:color="000000" w:sz="4" w:space="0"/>
              <w:right w:val="single" w:color="000000" w:sz="4" w:space="0"/>
            </w:tcBorders>
            <w:shd w:val="clear" w:color="auto" w:fill="auto"/>
            <w:noWrap w:val="0"/>
            <w:tcMar>
              <w:top w:w="15" w:type="dxa"/>
              <w:left w:w="15" w:type="dxa"/>
              <w:right w:w="15" w:type="dxa"/>
            </w:tcMar>
            <w:vAlign w:val="center"/>
          </w:tcPr>
          <w:p>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color w:val="000000"/>
                <w:kern w:val="2"/>
                <w:sz w:val="20"/>
                <w:szCs w:val="20"/>
              </w:rPr>
            </w:pPr>
            <w:r>
              <w:rPr>
                <w:rFonts w:hint="eastAsia" w:ascii="宋体" w:hAnsi="宋体" w:eastAsia="宋体" w:cs="宋体"/>
                <w:color w:val="000000"/>
                <w:kern w:val="0"/>
                <w:sz w:val="20"/>
                <w:szCs w:val="20"/>
                <w:lang w:val="en-US" w:eastAsia="zh-CN" w:bidi="ar"/>
              </w:rPr>
              <w:t>部门职能完成情况特性指标（20分）</w:t>
            </w:r>
          </w:p>
        </w:tc>
        <w:tc>
          <w:tcPr>
            <w:tcW w:w="2414" w:type="dxa"/>
            <w:vMerge w:val="restart"/>
            <w:tcBorders>
              <w:top w:val="nil"/>
              <w:left w:val="nil"/>
              <w:bottom w:val="single" w:color="000000" w:sz="4" w:space="0"/>
              <w:right w:val="single" w:color="000000" w:sz="4" w:space="0"/>
            </w:tcBorders>
            <w:shd w:val="clear" w:color="auto" w:fill="auto"/>
            <w:noWrap w:val="0"/>
            <w:tcMar>
              <w:top w:w="15" w:type="dxa"/>
              <w:left w:w="15" w:type="dxa"/>
              <w:right w:w="15" w:type="dxa"/>
            </w:tcMar>
            <w:vAlign w:val="center"/>
          </w:tcPr>
          <w:p>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color w:val="000000"/>
                <w:kern w:val="2"/>
                <w:sz w:val="20"/>
                <w:szCs w:val="20"/>
              </w:rPr>
            </w:pPr>
            <w:r>
              <w:rPr>
                <w:rFonts w:hint="eastAsia" w:ascii="宋体" w:hAnsi="宋体" w:eastAsia="宋体" w:cs="宋体"/>
                <w:color w:val="000000"/>
                <w:kern w:val="0"/>
                <w:sz w:val="20"/>
                <w:szCs w:val="20"/>
                <w:lang w:val="en-US" w:eastAsia="zh-CN" w:bidi="ar"/>
              </w:rPr>
              <w:t>根据部门职能职责、州级主管部门和县委县政府安排的各项专项工作任务及其他年度重点工作任务等，汇总梳理形成能够量化衡量且全面反映部门职能工作完成情况的若干指标。</w:t>
            </w:r>
          </w:p>
        </w:tc>
        <w:tc>
          <w:tcPr>
            <w:tcW w:w="240" w:type="dxa"/>
            <w:vMerge w:val="restart"/>
            <w:tcBorders>
              <w:top w:val="nil"/>
              <w:left w:val="nil"/>
              <w:bottom w:val="single" w:color="000000" w:sz="4" w:space="0"/>
              <w:right w:val="single" w:color="000000" w:sz="4" w:space="0"/>
            </w:tcBorders>
            <w:shd w:val="clear" w:color="auto" w:fill="FFFFFF"/>
            <w:noWrap w:val="0"/>
            <w:tcMar>
              <w:top w:w="15" w:type="dxa"/>
              <w:left w:w="15" w:type="dxa"/>
              <w:right w:w="15" w:type="dxa"/>
            </w:tcMar>
            <w:vAlign w:val="center"/>
          </w:tcPr>
          <w:p>
            <w:pPr>
              <w:keepNext w:val="0"/>
              <w:keepLines w:val="0"/>
              <w:widowControl w:val="0"/>
              <w:suppressLineNumbers w:val="0"/>
              <w:spacing w:before="0" w:beforeAutospacing="0" w:after="0" w:afterAutospacing="0"/>
              <w:ind w:left="0" w:right="0"/>
              <w:jc w:val="center"/>
              <w:rPr>
                <w:rFonts w:hint="eastAsia" w:ascii="宋体" w:hAnsi="宋体" w:eastAsia="宋体" w:cs="宋体"/>
                <w:color w:val="000000"/>
                <w:kern w:val="2"/>
                <w:sz w:val="20"/>
                <w:szCs w:val="20"/>
                <w:lang w:val="en-US" w:eastAsia="zh-CN"/>
              </w:rPr>
            </w:pPr>
            <w:r>
              <w:rPr>
                <w:rFonts w:hint="eastAsia" w:ascii="宋体" w:hAnsi="宋体" w:cs="宋体"/>
                <w:color w:val="000000"/>
                <w:kern w:val="2"/>
                <w:sz w:val="20"/>
                <w:szCs w:val="20"/>
                <w:lang w:val="en-US" w:eastAsia="zh-CN"/>
              </w:rPr>
              <w:t>1</w:t>
            </w:r>
          </w:p>
        </w:tc>
        <w:tc>
          <w:tcPr>
            <w:tcW w:w="466" w:type="dxa"/>
            <w:vMerge w:val="restart"/>
            <w:tcBorders>
              <w:top w:val="nil"/>
              <w:left w:val="nil"/>
              <w:bottom w:val="single" w:color="000000" w:sz="4" w:space="0"/>
              <w:right w:val="single" w:color="000000" w:sz="4" w:space="0"/>
            </w:tcBorders>
            <w:shd w:val="clear" w:color="auto" w:fill="FFFFFF"/>
            <w:noWrap w:val="0"/>
            <w:tcMar>
              <w:top w:w="15" w:type="dxa"/>
              <w:left w:w="15" w:type="dxa"/>
              <w:right w:w="15" w:type="dxa"/>
            </w:tcMar>
            <w:vAlign w:val="center"/>
          </w:tcPr>
          <w:p>
            <w:pPr>
              <w:keepNext w:val="0"/>
              <w:keepLines w:val="0"/>
              <w:widowControl w:val="0"/>
              <w:suppressLineNumbers w:val="0"/>
              <w:spacing w:before="0" w:beforeAutospacing="0" w:after="0" w:afterAutospacing="0"/>
              <w:ind w:left="0" w:right="0"/>
              <w:jc w:val="center"/>
              <w:rPr>
                <w:rFonts w:hint="default" w:ascii="宋体" w:hAnsi="宋体" w:eastAsia="宋体" w:cs="宋体"/>
                <w:color w:val="000000"/>
                <w:kern w:val="2"/>
                <w:sz w:val="20"/>
                <w:szCs w:val="20"/>
                <w:lang w:val="en-US" w:eastAsia="zh-CN"/>
              </w:rPr>
            </w:pPr>
            <w:r>
              <w:rPr>
                <w:rFonts w:hint="eastAsia" w:ascii="宋体" w:hAnsi="宋体" w:cs="宋体"/>
                <w:color w:val="000000"/>
                <w:kern w:val="2"/>
                <w:sz w:val="20"/>
                <w:szCs w:val="20"/>
                <w:lang w:val="en-US" w:eastAsia="zh-CN"/>
              </w:rPr>
              <w:t>职能有待提升</w:t>
            </w:r>
          </w:p>
        </w:tc>
        <w:tc>
          <w:tcPr>
            <w:tcW w:w="3478" w:type="dxa"/>
            <w:vMerge w:val="restart"/>
            <w:tcBorders>
              <w:top w:val="nil"/>
              <w:left w:val="nil"/>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color w:val="000000"/>
                <w:kern w:val="2"/>
                <w:sz w:val="20"/>
                <w:szCs w:val="20"/>
              </w:rPr>
            </w:pPr>
            <w:r>
              <w:rPr>
                <w:rFonts w:hint="eastAsia" w:ascii="宋体" w:hAnsi="宋体" w:eastAsia="宋体" w:cs="宋体"/>
                <w:color w:val="000000"/>
                <w:kern w:val="0"/>
                <w:sz w:val="20"/>
                <w:szCs w:val="20"/>
                <w:lang w:val="en-US" w:eastAsia="zh-CN" w:bidi="ar"/>
              </w:rPr>
              <w:t>部门和评价组根据部门实际设置</w:t>
            </w:r>
          </w:p>
        </w:tc>
      </w:tr>
      <w:tr>
        <w:tblPrEx>
          <w:tblCellMar>
            <w:top w:w="0" w:type="dxa"/>
            <w:left w:w="0" w:type="dxa"/>
            <w:bottom w:w="0" w:type="dxa"/>
            <w:right w:w="0" w:type="dxa"/>
          </w:tblCellMar>
        </w:tblPrEx>
        <w:trPr>
          <w:trHeight w:val="1581" w:hRule="atLeast"/>
        </w:trPr>
        <w:tc>
          <w:tcPr>
            <w:tcW w:w="520" w:type="dxa"/>
            <w:vMerge w:val="continue"/>
            <w:tcBorders>
              <w:top w:val="nil"/>
              <w:left w:val="single" w:color="000000" w:sz="4" w:space="0"/>
              <w:bottom w:val="single" w:color="000000" w:sz="4" w:space="0"/>
              <w:right w:val="single" w:color="000000" w:sz="4" w:space="0"/>
            </w:tcBorders>
            <w:shd w:val="clear" w:color="auto" w:fill="auto"/>
            <w:noWrap w:val="0"/>
            <w:tcMar>
              <w:top w:w="15" w:type="dxa"/>
              <w:left w:w="15" w:type="dxa"/>
              <w:right w:w="15" w:type="dxa"/>
            </w:tcMar>
            <w:vAlign w:val="center"/>
          </w:tcPr>
          <w:p>
            <w:pPr>
              <w:rPr>
                <w:rFonts w:hint="default" w:ascii="Times New Roman" w:hAnsi="Times New Roman" w:cs="Times New Roman"/>
                <w:sz w:val="20"/>
                <w:szCs w:val="20"/>
              </w:rPr>
            </w:pPr>
          </w:p>
        </w:tc>
        <w:tc>
          <w:tcPr>
            <w:tcW w:w="520" w:type="dxa"/>
            <w:vMerge w:val="continue"/>
            <w:tcBorders>
              <w:top w:val="nil"/>
              <w:left w:val="nil"/>
              <w:bottom w:val="single" w:color="000000" w:sz="4" w:space="0"/>
              <w:right w:val="single" w:color="000000" w:sz="4" w:space="0"/>
            </w:tcBorders>
            <w:shd w:val="clear" w:color="auto" w:fill="auto"/>
            <w:noWrap w:val="0"/>
            <w:tcMar>
              <w:top w:w="15" w:type="dxa"/>
              <w:left w:w="15" w:type="dxa"/>
              <w:right w:w="15" w:type="dxa"/>
            </w:tcMar>
            <w:vAlign w:val="center"/>
          </w:tcPr>
          <w:p>
            <w:pPr>
              <w:rPr>
                <w:rFonts w:hint="default" w:ascii="Times New Roman" w:hAnsi="Times New Roman" w:cs="Times New Roman"/>
                <w:sz w:val="20"/>
                <w:szCs w:val="20"/>
              </w:rPr>
            </w:pPr>
          </w:p>
        </w:tc>
        <w:tc>
          <w:tcPr>
            <w:tcW w:w="939" w:type="dxa"/>
            <w:vMerge w:val="continue"/>
            <w:tcBorders>
              <w:top w:val="nil"/>
              <w:left w:val="nil"/>
              <w:bottom w:val="single" w:color="000000" w:sz="4" w:space="0"/>
              <w:right w:val="single" w:color="000000" w:sz="4" w:space="0"/>
            </w:tcBorders>
            <w:shd w:val="clear" w:color="auto" w:fill="auto"/>
            <w:noWrap w:val="0"/>
            <w:tcMar>
              <w:top w:w="15" w:type="dxa"/>
              <w:left w:w="15" w:type="dxa"/>
              <w:right w:w="15" w:type="dxa"/>
            </w:tcMar>
            <w:vAlign w:val="center"/>
          </w:tcPr>
          <w:p>
            <w:pPr>
              <w:rPr>
                <w:rFonts w:hint="default" w:ascii="Times New Roman" w:hAnsi="Times New Roman" w:cs="Times New Roman"/>
                <w:sz w:val="20"/>
                <w:szCs w:val="20"/>
              </w:rPr>
            </w:pPr>
          </w:p>
        </w:tc>
        <w:tc>
          <w:tcPr>
            <w:tcW w:w="2414" w:type="dxa"/>
            <w:vMerge w:val="continue"/>
            <w:tcBorders>
              <w:top w:val="nil"/>
              <w:left w:val="nil"/>
              <w:bottom w:val="single" w:color="000000" w:sz="4" w:space="0"/>
              <w:right w:val="single" w:color="000000" w:sz="4" w:space="0"/>
            </w:tcBorders>
            <w:shd w:val="clear" w:color="auto" w:fill="auto"/>
            <w:noWrap w:val="0"/>
            <w:tcMar>
              <w:top w:w="15" w:type="dxa"/>
              <w:left w:w="15" w:type="dxa"/>
              <w:right w:w="15" w:type="dxa"/>
            </w:tcMar>
            <w:vAlign w:val="center"/>
          </w:tcPr>
          <w:p>
            <w:pPr>
              <w:rPr>
                <w:rFonts w:hint="default" w:ascii="Times New Roman" w:hAnsi="Times New Roman" w:cs="Times New Roman"/>
                <w:sz w:val="20"/>
                <w:szCs w:val="20"/>
              </w:rPr>
            </w:pPr>
          </w:p>
        </w:tc>
        <w:tc>
          <w:tcPr>
            <w:tcW w:w="240" w:type="dxa"/>
            <w:vMerge w:val="continue"/>
            <w:tcBorders>
              <w:top w:val="nil"/>
              <w:left w:val="nil"/>
              <w:bottom w:val="single" w:color="000000" w:sz="4" w:space="0"/>
              <w:right w:val="single" w:color="000000" w:sz="4" w:space="0"/>
            </w:tcBorders>
            <w:shd w:val="clear" w:color="auto" w:fill="FFFFFF"/>
            <w:noWrap w:val="0"/>
            <w:tcMar>
              <w:top w:w="15" w:type="dxa"/>
              <w:left w:w="15" w:type="dxa"/>
              <w:right w:w="15" w:type="dxa"/>
            </w:tcMar>
            <w:vAlign w:val="center"/>
          </w:tcPr>
          <w:p>
            <w:pPr>
              <w:rPr>
                <w:rFonts w:hint="default" w:ascii="Times New Roman" w:hAnsi="Times New Roman" w:cs="Times New Roman"/>
                <w:sz w:val="20"/>
                <w:szCs w:val="20"/>
              </w:rPr>
            </w:pPr>
          </w:p>
        </w:tc>
        <w:tc>
          <w:tcPr>
            <w:tcW w:w="466" w:type="dxa"/>
            <w:vMerge w:val="continue"/>
            <w:tcBorders>
              <w:top w:val="nil"/>
              <w:left w:val="nil"/>
              <w:bottom w:val="single" w:color="000000" w:sz="4" w:space="0"/>
              <w:right w:val="single" w:color="000000" w:sz="4" w:space="0"/>
            </w:tcBorders>
            <w:shd w:val="clear" w:color="auto" w:fill="FFFFFF"/>
            <w:noWrap w:val="0"/>
            <w:tcMar>
              <w:top w:w="15" w:type="dxa"/>
              <w:left w:w="15" w:type="dxa"/>
              <w:right w:w="15" w:type="dxa"/>
            </w:tcMar>
            <w:vAlign w:val="center"/>
          </w:tcPr>
          <w:p>
            <w:pPr>
              <w:rPr>
                <w:rFonts w:hint="default" w:ascii="Times New Roman" w:hAnsi="Times New Roman" w:cs="Times New Roman"/>
                <w:sz w:val="20"/>
                <w:szCs w:val="20"/>
              </w:rPr>
            </w:pPr>
          </w:p>
        </w:tc>
        <w:tc>
          <w:tcPr>
            <w:tcW w:w="3478" w:type="dxa"/>
            <w:vMerge w:val="continue"/>
            <w:tcBorders>
              <w:top w:val="nil"/>
              <w:left w:val="nil"/>
              <w:bottom w:val="single" w:color="000000" w:sz="4" w:space="0"/>
              <w:right w:val="single" w:color="000000" w:sz="4" w:space="0"/>
            </w:tcBorders>
            <w:noWrap w:val="0"/>
            <w:tcMar>
              <w:top w:w="15" w:type="dxa"/>
              <w:left w:w="15" w:type="dxa"/>
              <w:right w:w="15" w:type="dxa"/>
            </w:tcMar>
            <w:vAlign w:val="center"/>
          </w:tcPr>
          <w:p>
            <w:pPr>
              <w:rPr>
                <w:rFonts w:hint="default" w:ascii="Times New Roman" w:hAnsi="Times New Roman" w:cs="Times New Roman"/>
                <w:sz w:val="20"/>
                <w:szCs w:val="20"/>
              </w:rPr>
            </w:pPr>
          </w:p>
        </w:tc>
      </w:tr>
      <w:tr>
        <w:tblPrEx>
          <w:tblCellMar>
            <w:top w:w="0" w:type="dxa"/>
            <w:left w:w="0" w:type="dxa"/>
            <w:bottom w:w="0" w:type="dxa"/>
            <w:right w:w="0" w:type="dxa"/>
          </w:tblCellMar>
        </w:tblPrEx>
        <w:trPr>
          <w:trHeight w:val="940" w:hRule="atLeast"/>
        </w:trPr>
        <w:tc>
          <w:tcPr>
            <w:tcW w:w="8577" w:type="dxa"/>
            <w:gridSpan w:val="7"/>
            <w:tcBorders>
              <w:top w:val="single" w:color="000000" w:sz="4" w:space="0"/>
              <w:left w:val="nil"/>
              <w:bottom w:val="nil"/>
              <w:right w:val="nil"/>
            </w:tcBorders>
            <w:noWrap w:val="0"/>
            <w:tcMar>
              <w:top w:w="15" w:type="dxa"/>
              <w:left w:w="15" w:type="dxa"/>
              <w:right w:w="15" w:type="dxa"/>
            </w:tcMar>
            <w:vAlign w:val="center"/>
          </w:tcPr>
          <w:p>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b/>
                <w:color w:val="000000"/>
                <w:kern w:val="2"/>
                <w:sz w:val="20"/>
                <w:szCs w:val="20"/>
              </w:rPr>
            </w:pPr>
            <w:r>
              <w:rPr>
                <w:rFonts w:hint="eastAsia" w:ascii="宋体" w:hAnsi="宋体" w:eastAsia="宋体" w:cs="宋体"/>
                <w:b/>
                <w:color w:val="000000"/>
                <w:kern w:val="0"/>
                <w:sz w:val="20"/>
                <w:szCs w:val="20"/>
                <w:lang w:val="en-US" w:eastAsia="zh-CN" w:bidi="ar"/>
              </w:rPr>
              <w:t>注：若某部门不存在某项评价内容或评价指标，则该评价内容或评价指标不计入该部门考核评价范围，即该部门评价总分＝不含该评价内容或指标的评价总分/（100-该评价内容或指标所占分值）*100。</w:t>
            </w:r>
          </w:p>
        </w:tc>
      </w:tr>
    </w:tbl>
    <w:p>
      <w:pPr>
        <w:spacing w:line="600" w:lineRule="exact"/>
        <w:jc w:val="both"/>
        <w:outlineLvl w:val="0"/>
        <w:rPr>
          <w:rStyle w:val="24"/>
          <w:rFonts w:ascii="黑体" w:hAnsi="黑体" w:eastAsia="黑体"/>
          <w:b w:val="0"/>
        </w:rPr>
      </w:pPr>
    </w:p>
    <w:p>
      <w:pPr>
        <w:spacing w:line="600" w:lineRule="exact"/>
        <w:jc w:val="both"/>
        <w:outlineLvl w:val="0"/>
        <w:rPr>
          <w:rStyle w:val="24"/>
          <w:rFonts w:ascii="黑体" w:hAnsi="黑体" w:eastAsia="黑体"/>
          <w:b w:val="0"/>
        </w:rPr>
      </w:pPr>
    </w:p>
    <w:p>
      <w:pPr>
        <w:spacing w:line="600" w:lineRule="exact"/>
        <w:jc w:val="both"/>
        <w:outlineLvl w:val="0"/>
        <w:rPr>
          <w:rStyle w:val="24"/>
          <w:rFonts w:ascii="黑体" w:hAnsi="黑体" w:eastAsia="黑体"/>
          <w:b w:val="0"/>
        </w:rPr>
      </w:pPr>
    </w:p>
    <w:p>
      <w:pPr>
        <w:spacing w:line="600" w:lineRule="exact"/>
        <w:jc w:val="both"/>
        <w:outlineLvl w:val="0"/>
        <w:rPr>
          <w:rStyle w:val="24"/>
          <w:rFonts w:ascii="黑体" w:hAnsi="黑体" w:eastAsia="黑体"/>
          <w:b w:val="0"/>
        </w:rPr>
      </w:pPr>
    </w:p>
    <w:p>
      <w:pPr>
        <w:spacing w:line="600" w:lineRule="exact"/>
        <w:jc w:val="both"/>
        <w:outlineLvl w:val="0"/>
        <w:rPr>
          <w:rStyle w:val="24"/>
          <w:rFonts w:ascii="黑体" w:hAnsi="黑体" w:eastAsia="黑体"/>
          <w:b w:val="0"/>
        </w:rPr>
      </w:pPr>
    </w:p>
    <w:p>
      <w:pPr>
        <w:spacing w:line="600" w:lineRule="exact"/>
        <w:jc w:val="both"/>
        <w:outlineLvl w:val="0"/>
        <w:rPr>
          <w:rStyle w:val="24"/>
          <w:rFonts w:ascii="黑体" w:hAnsi="黑体" w:eastAsia="黑体"/>
          <w:b w:val="0"/>
        </w:rPr>
      </w:pPr>
    </w:p>
    <w:p>
      <w:pPr>
        <w:spacing w:line="600" w:lineRule="exact"/>
        <w:jc w:val="both"/>
        <w:outlineLvl w:val="0"/>
        <w:rPr>
          <w:rStyle w:val="24"/>
          <w:rFonts w:ascii="黑体" w:hAnsi="黑体" w:eastAsia="黑体"/>
          <w:b w:val="0"/>
        </w:rPr>
      </w:pPr>
    </w:p>
    <w:p>
      <w:pPr>
        <w:spacing w:line="600" w:lineRule="exact"/>
        <w:jc w:val="both"/>
        <w:outlineLvl w:val="0"/>
        <w:rPr>
          <w:rStyle w:val="24"/>
          <w:rFonts w:ascii="黑体" w:hAnsi="黑体" w:eastAsia="黑体"/>
          <w:b w:val="0"/>
        </w:rPr>
      </w:pPr>
    </w:p>
    <w:p>
      <w:pPr>
        <w:spacing w:line="600" w:lineRule="exact"/>
        <w:jc w:val="both"/>
        <w:outlineLvl w:val="0"/>
        <w:rPr>
          <w:rStyle w:val="24"/>
          <w:rFonts w:ascii="黑体" w:hAnsi="黑体" w:eastAsia="黑体"/>
          <w:b w:val="0"/>
        </w:rPr>
      </w:pPr>
    </w:p>
    <w:p>
      <w:pPr>
        <w:spacing w:line="600" w:lineRule="exact"/>
        <w:jc w:val="center"/>
        <w:outlineLvl w:val="0"/>
        <w:rPr>
          <w:rStyle w:val="24"/>
          <w:rFonts w:ascii="黑体" w:hAnsi="黑体" w:eastAsia="黑体"/>
          <w:b w:val="0"/>
        </w:rPr>
      </w:pPr>
      <w:bookmarkStart w:id="59" w:name="_Toc15396618"/>
      <w:r>
        <w:rPr>
          <w:rFonts w:hint="eastAsia" w:ascii="黑体" w:hAnsi="黑体" w:eastAsia="黑体"/>
          <w:color w:val="000000"/>
          <w:sz w:val="44"/>
          <w:szCs w:val="44"/>
        </w:rPr>
        <w:t>第</w:t>
      </w:r>
      <w:r>
        <w:rPr>
          <w:rStyle w:val="24"/>
          <w:rFonts w:hint="eastAsia" w:ascii="黑体" w:hAnsi="黑体" w:eastAsia="黑体"/>
          <w:b w:val="0"/>
        </w:rPr>
        <w:t>五部分 附表</w:t>
      </w:r>
      <w:bookmarkEnd w:id="57"/>
      <w:bookmarkEnd w:id="59"/>
    </w:p>
    <w:p>
      <w:pPr>
        <w:spacing w:line="600" w:lineRule="exact"/>
        <w:jc w:val="center"/>
        <w:outlineLvl w:val="0"/>
        <w:rPr>
          <w:rFonts w:ascii="仿宋" w:hAnsi="仿宋" w:eastAsia="仿宋"/>
          <w:b/>
          <w:color w:val="000000"/>
          <w:sz w:val="44"/>
          <w:szCs w:val="44"/>
        </w:rPr>
      </w:pPr>
    </w:p>
    <w:p>
      <w:pPr>
        <w:pStyle w:val="3"/>
        <w:rPr>
          <w:rFonts w:ascii="仿宋" w:hAnsi="仿宋" w:eastAsia="仿宋"/>
          <w:color w:val="000000"/>
        </w:rPr>
      </w:pPr>
      <w:bookmarkStart w:id="60" w:name="_Toc15396619"/>
      <w:r>
        <w:rPr>
          <w:rFonts w:hint="eastAsia" w:ascii="仿宋" w:hAnsi="仿宋" w:eastAsia="仿宋"/>
          <w:b w:val="0"/>
          <w:color w:val="000000"/>
        </w:rPr>
        <w:t>一、收</w:t>
      </w:r>
      <w:r>
        <w:rPr>
          <w:rStyle w:val="25"/>
          <w:rFonts w:hint="eastAsia" w:ascii="仿宋" w:hAnsi="仿宋" w:eastAsia="仿宋"/>
          <w:b w:val="0"/>
          <w:bCs w:val="0"/>
        </w:rPr>
        <w:t>入支出决算总表</w:t>
      </w:r>
      <w:bookmarkEnd w:id="60"/>
    </w:p>
    <w:p>
      <w:pPr>
        <w:pStyle w:val="3"/>
        <w:rPr>
          <w:rFonts w:ascii="仿宋" w:hAnsi="仿宋" w:eastAsia="仿宋"/>
          <w:color w:val="000000"/>
        </w:rPr>
      </w:pPr>
      <w:bookmarkStart w:id="61" w:name="_Toc15396620"/>
      <w:r>
        <w:rPr>
          <w:rFonts w:hint="eastAsia" w:ascii="仿宋" w:hAnsi="仿宋" w:eastAsia="仿宋"/>
          <w:b w:val="0"/>
          <w:color w:val="000000"/>
        </w:rPr>
        <w:t>二、收</w:t>
      </w:r>
      <w:r>
        <w:rPr>
          <w:rStyle w:val="25"/>
          <w:rFonts w:hint="eastAsia" w:ascii="仿宋" w:hAnsi="仿宋" w:eastAsia="仿宋"/>
          <w:b w:val="0"/>
          <w:bCs w:val="0"/>
        </w:rPr>
        <w:t>入决算表</w:t>
      </w:r>
      <w:bookmarkEnd w:id="61"/>
    </w:p>
    <w:p>
      <w:pPr>
        <w:pStyle w:val="3"/>
        <w:rPr>
          <w:rFonts w:ascii="仿宋" w:hAnsi="仿宋" w:eastAsia="仿宋"/>
          <w:color w:val="000000"/>
        </w:rPr>
      </w:pPr>
      <w:bookmarkStart w:id="62" w:name="_Toc15396621"/>
      <w:r>
        <w:rPr>
          <w:rStyle w:val="25"/>
          <w:rFonts w:hint="eastAsia" w:ascii="仿宋" w:hAnsi="仿宋" w:eastAsia="仿宋"/>
          <w:b w:val="0"/>
          <w:bCs w:val="0"/>
        </w:rPr>
        <w:t>三、</w:t>
      </w:r>
      <w:r>
        <w:rPr>
          <w:rFonts w:hint="eastAsia" w:ascii="仿宋" w:hAnsi="仿宋" w:eastAsia="仿宋"/>
          <w:b w:val="0"/>
          <w:color w:val="000000"/>
        </w:rPr>
        <w:t>支</w:t>
      </w:r>
      <w:r>
        <w:rPr>
          <w:rStyle w:val="25"/>
          <w:rFonts w:hint="eastAsia" w:ascii="仿宋" w:hAnsi="仿宋" w:eastAsia="仿宋"/>
          <w:b w:val="0"/>
          <w:bCs w:val="0"/>
        </w:rPr>
        <w:t>出决算表</w:t>
      </w:r>
      <w:bookmarkEnd w:id="62"/>
    </w:p>
    <w:p>
      <w:pPr>
        <w:pStyle w:val="3"/>
        <w:rPr>
          <w:rFonts w:ascii="仿宋" w:hAnsi="仿宋" w:eastAsia="仿宋"/>
          <w:b w:val="0"/>
          <w:color w:val="000000"/>
        </w:rPr>
      </w:pPr>
      <w:bookmarkStart w:id="63" w:name="_Toc15396622"/>
      <w:r>
        <w:rPr>
          <w:rStyle w:val="25"/>
          <w:rFonts w:hint="eastAsia" w:ascii="仿宋" w:hAnsi="仿宋" w:eastAsia="仿宋"/>
          <w:b w:val="0"/>
          <w:bCs w:val="0"/>
        </w:rPr>
        <w:t>四、</w:t>
      </w:r>
      <w:r>
        <w:rPr>
          <w:rFonts w:hint="eastAsia" w:ascii="仿宋" w:hAnsi="仿宋" w:eastAsia="仿宋"/>
          <w:b w:val="0"/>
          <w:color w:val="000000"/>
        </w:rPr>
        <w:t>财</w:t>
      </w:r>
      <w:r>
        <w:rPr>
          <w:rStyle w:val="25"/>
          <w:rFonts w:hint="eastAsia" w:ascii="仿宋" w:hAnsi="仿宋" w:eastAsia="仿宋"/>
          <w:b w:val="0"/>
          <w:bCs w:val="0"/>
        </w:rPr>
        <w:t>政拨款收入支出决算总表</w:t>
      </w:r>
      <w:bookmarkEnd w:id="63"/>
    </w:p>
    <w:p>
      <w:pPr>
        <w:pStyle w:val="3"/>
        <w:rPr>
          <w:rStyle w:val="25"/>
          <w:rFonts w:ascii="仿宋" w:hAnsi="仿宋" w:eastAsia="仿宋"/>
          <w:b w:val="0"/>
          <w:bCs w:val="0"/>
        </w:rPr>
      </w:pPr>
      <w:bookmarkStart w:id="64" w:name="_Toc15396623"/>
      <w:r>
        <w:rPr>
          <w:rStyle w:val="25"/>
          <w:rFonts w:hint="eastAsia" w:ascii="仿宋" w:hAnsi="仿宋" w:eastAsia="仿宋"/>
          <w:b w:val="0"/>
          <w:bCs w:val="0"/>
        </w:rPr>
        <w:t>五、</w:t>
      </w:r>
      <w:r>
        <w:rPr>
          <w:rFonts w:hint="eastAsia" w:ascii="仿宋" w:hAnsi="仿宋" w:eastAsia="仿宋"/>
          <w:b w:val="0"/>
          <w:color w:val="000000"/>
        </w:rPr>
        <w:t>财</w:t>
      </w:r>
      <w:r>
        <w:rPr>
          <w:rStyle w:val="25"/>
          <w:rFonts w:hint="eastAsia" w:ascii="仿宋" w:hAnsi="仿宋" w:eastAsia="仿宋"/>
          <w:b w:val="0"/>
          <w:bCs w:val="0"/>
        </w:rPr>
        <w:t>政拨款支出决算明细表</w:t>
      </w:r>
      <w:bookmarkEnd w:id="64"/>
      <w:bookmarkStart w:id="65" w:name="_Toc15396624"/>
    </w:p>
    <w:p>
      <w:pPr>
        <w:pStyle w:val="3"/>
        <w:rPr>
          <w:rFonts w:ascii="仿宋" w:hAnsi="仿宋" w:eastAsia="仿宋"/>
          <w:color w:val="000000"/>
        </w:rPr>
      </w:pPr>
      <w:r>
        <w:rPr>
          <w:rStyle w:val="25"/>
          <w:rFonts w:hint="eastAsia" w:ascii="仿宋" w:hAnsi="仿宋" w:eastAsia="仿宋"/>
          <w:b w:val="0"/>
          <w:bCs w:val="0"/>
        </w:rPr>
        <w:t>六、</w:t>
      </w:r>
      <w:r>
        <w:rPr>
          <w:rFonts w:hint="eastAsia" w:ascii="仿宋" w:hAnsi="仿宋" w:eastAsia="仿宋"/>
          <w:b w:val="0"/>
          <w:color w:val="000000"/>
        </w:rPr>
        <w:t>一</w:t>
      </w:r>
      <w:r>
        <w:rPr>
          <w:rStyle w:val="25"/>
          <w:rFonts w:hint="eastAsia" w:ascii="仿宋" w:hAnsi="仿宋" w:eastAsia="仿宋"/>
          <w:b w:val="0"/>
          <w:bCs w:val="0"/>
        </w:rPr>
        <w:t>般公共预算财政拨款支出决算表</w:t>
      </w:r>
      <w:bookmarkEnd w:id="65"/>
    </w:p>
    <w:p>
      <w:pPr>
        <w:pStyle w:val="3"/>
        <w:rPr>
          <w:rFonts w:ascii="仿宋" w:hAnsi="仿宋" w:eastAsia="仿宋"/>
          <w:color w:val="000000"/>
        </w:rPr>
      </w:pPr>
      <w:bookmarkStart w:id="66" w:name="_Toc15396625"/>
      <w:r>
        <w:rPr>
          <w:rStyle w:val="25"/>
          <w:rFonts w:hint="eastAsia" w:ascii="仿宋" w:hAnsi="仿宋" w:eastAsia="仿宋"/>
          <w:b w:val="0"/>
          <w:bCs w:val="0"/>
        </w:rPr>
        <w:t>七、</w:t>
      </w:r>
      <w:r>
        <w:rPr>
          <w:rFonts w:hint="eastAsia" w:ascii="仿宋" w:hAnsi="仿宋" w:eastAsia="仿宋"/>
          <w:b w:val="0"/>
          <w:color w:val="000000"/>
        </w:rPr>
        <w:t>一</w:t>
      </w:r>
      <w:r>
        <w:rPr>
          <w:rStyle w:val="25"/>
          <w:rFonts w:hint="eastAsia" w:ascii="仿宋" w:hAnsi="仿宋" w:eastAsia="仿宋"/>
          <w:b w:val="0"/>
          <w:bCs w:val="0"/>
        </w:rPr>
        <w:t>般公共预算财政拨款支出决算明细表</w:t>
      </w:r>
      <w:bookmarkEnd w:id="66"/>
    </w:p>
    <w:p>
      <w:pPr>
        <w:pStyle w:val="3"/>
        <w:rPr>
          <w:rFonts w:ascii="仿宋" w:hAnsi="仿宋" w:eastAsia="仿宋"/>
          <w:color w:val="000000"/>
        </w:rPr>
      </w:pPr>
      <w:bookmarkStart w:id="67" w:name="_Toc15396626"/>
      <w:r>
        <w:rPr>
          <w:rStyle w:val="25"/>
          <w:rFonts w:hint="eastAsia" w:ascii="仿宋" w:hAnsi="仿宋" w:eastAsia="仿宋"/>
          <w:b w:val="0"/>
          <w:bCs w:val="0"/>
        </w:rPr>
        <w:t>八、</w:t>
      </w:r>
      <w:r>
        <w:rPr>
          <w:rFonts w:hint="eastAsia" w:ascii="仿宋" w:hAnsi="仿宋" w:eastAsia="仿宋"/>
          <w:b w:val="0"/>
          <w:color w:val="000000"/>
        </w:rPr>
        <w:t>一</w:t>
      </w:r>
      <w:r>
        <w:rPr>
          <w:rStyle w:val="25"/>
          <w:rFonts w:hint="eastAsia" w:ascii="仿宋" w:hAnsi="仿宋" w:eastAsia="仿宋"/>
          <w:b w:val="0"/>
          <w:bCs w:val="0"/>
        </w:rPr>
        <w:t>般公共预算财政拨款基本支出决算表</w:t>
      </w:r>
      <w:bookmarkEnd w:id="67"/>
    </w:p>
    <w:p>
      <w:pPr>
        <w:pStyle w:val="3"/>
        <w:rPr>
          <w:rFonts w:ascii="仿宋" w:hAnsi="仿宋" w:eastAsia="仿宋"/>
          <w:color w:val="000000"/>
        </w:rPr>
      </w:pPr>
      <w:bookmarkStart w:id="68" w:name="_Toc15396627"/>
      <w:r>
        <w:rPr>
          <w:rStyle w:val="25"/>
          <w:rFonts w:hint="eastAsia" w:ascii="仿宋" w:hAnsi="仿宋" w:eastAsia="仿宋"/>
          <w:b w:val="0"/>
          <w:bCs w:val="0"/>
        </w:rPr>
        <w:t>九、</w:t>
      </w:r>
      <w:r>
        <w:rPr>
          <w:rFonts w:hint="eastAsia" w:ascii="仿宋" w:hAnsi="仿宋" w:eastAsia="仿宋"/>
          <w:b w:val="0"/>
          <w:color w:val="000000"/>
        </w:rPr>
        <w:t>一</w:t>
      </w:r>
      <w:r>
        <w:rPr>
          <w:rStyle w:val="25"/>
          <w:rFonts w:hint="eastAsia" w:ascii="仿宋" w:hAnsi="仿宋" w:eastAsia="仿宋"/>
          <w:b w:val="0"/>
          <w:bCs w:val="0"/>
        </w:rPr>
        <w:t>般公共预算财政拨款项目支出决算表</w:t>
      </w:r>
      <w:bookmarkEnd w:id="68"/>
    </w:p>
    <w:p>
      <w:pPr>
        <w:pStyle w:val="3"/>
        <w:rPr>
          <w:rFonts w:ascii="仿宋" w:hAnsi="仿宋" w:eastAsia="仿宋"/>
          <w:color w:val="000000"/>
        </w:rPr>
      </w:pPr>
      <w:bookmarkStart w:id="69" w:name="_Toc15396628"/>
      <w:r>
        <w:rPr>
          <w:rStyle w:val="25"/>
          <w:rFonts w:hint="eastAsia" w:ascii="仿宋" w:hAnsi="仿宋" w:eastAsia="仿宋"/>
          <w:b w:val="0"/>
          <w:bCs w:val="0"/>
        </w:rPr>
        <w:t>十、</w:t>
      </w:r>
      <w:r>
        <w:rPr>
          <w:rFonts w:hint="eastAsia" w:ascii="仿宋" w:hAnsi="仿宋" w:eastAsia="仿宋"/>
          <w:b w:val="0"/>
          <w:color w:val="000000"/>
        </w:rPr>
        <w:t>一</w:t>
      </w:r>
      <w:r>
        <w:rPr>
          <w:rStyle w:val="25"/>
          <w:rFonts w:hint="eastAsia" w:ascii="仿宋" w:hAnsi="仿宋" w:eastAsia="仿宋"/>
          <w:b w:val="0"/>
          <w:bCs w:val="0"/>
        </w:rPr>
        <w:t>般公共预算财政拨款“三公”经费支出决算表</w:t>
      </w:r>
      <w:bookmarkEnd w:id="69"/>
    </w:p>
    <w:p>
      <w:pPr>
        <w:pStyle w:val="3"/>
        <w:rPr>
          <w:rFonts w:ascii="仿宋" w:hAnsi="仿宋" w:eastAsia="仿宋"/>
          <w:color w:val="000000"/>
        </w:rPr>
      </w:pPr>
      <w:bookmarkStart w:id="70" w:name="_Toc15396629"/>
      <w:r>
        <w:rPr>
          <w:rStyle w:val="25"/>
          <w:rFonts w:hint="eastAsia" w:ascii="仿宋" w:hAnsi="仿宋" w:eastAsia="仿宋"/>
          <w:b w:val="0"/>
          <w:bCs w:val="0"/>
        </w:rPr>
        <w:t>十一、</w:t>
      </w:r>
      <w:r>
        <w:rPr>
          <w:rFonts w:hint="eastAsia" w:ascii="仿宋" w:hAnsi="仿宋" w:eastAsia="仿宋"/>
          <w:b w:val="0"/>
          <w:color w:val="000000"/>
        </w:rPr>
        <w:t>政</w:t>
      </w:r>
      <w:r>
        <w:rPr>
          <w:rStyle w:val="25"/>
          <w:rFonts w:hint="eastAsia" w:ascii="仿宋" w:hAnsi="仿宋" w:eastAsia="仿宋"/>
          <w:b w:val="0"/>
          <w:bCs w:val="0"/>
        </w:rPr>
        <w:t>府性基金预算财政拨款收入支出决算表</w:t>
      </w:r>
      <w:bookmarkEnd w:id="70"/>
    </w:p>
    <w:p>
      <w:pPr>
        <w:pStyle w:val="3"/>
        <w:rPr>
          <w:rFonts w:ascii="仿宋" w:hAnsi="仿宋" w:eastAsia="仿宋"/>
          <w:color w:val="000000"/>
        </w:rPr>
      </w:pPr>
      <w:bookmarkStart w:id="71" w:name="_Toc15396630"/>
      <w:r>
        <w:rPr>
          <w:rStyle w:val="25"/>
          <w:rFonts w:hint="eastAsia" w:ascii="仿宋" w:hAnsi="仿宋" w:eastAsia="仿宋"/>
          <w:b w:val="0"/>
          <w:bCs w:val="0"/>
        </w:rPr>
        <w:t>十二、</w:t>
      </w:r>
      <w:r>
        <w:rPr>
          <w:rFonts w:hint="eastAsia" w:ascii="仿宋" w:hAnsi="仿宋" w:eastAsia="仿宋"/>
          <w:b w:val="0"/>
          <w:color w:val="000000"/>
        </w:rPr>
        <w:t>政</w:t>
      </w:r>
      <w:r>
        <w:rPr>
          <w:rStyle w:val="25"/>
          <w:rFonts w:hint="eastAsia" w:ascii="仿宋" w:hAnsi="仿宋" w:eastAsia="仿宋"/>
          <w:b w:val="0"/>
          <w:bCs w:val="0"/>
        </w:rPr>
        <w:t>府性基金预算财政拨款“三公”经费支出决算表</w:t>
      </w:r>
      <w:bookmarkEnd w:id="71"/>
    </w:p>
    <w:p>
      <w:pPr>
        <w:pStyle w:val="3"/>
        <w:rPr>
          <w:rFonts w:ascii="仿宋" w:hAnsi="仿宋" w:eastAsia="仿宋"/>
          <w:color w:val="000000" w:themeColor="text1"/>
        </w:rPr>
      </w:pPr>
      <w:bookmarkStart w:id="72" w:name="_Toc15396631"/>
      <w:r>
        <w:rPr>
          <w:rStyle w:val="25"/>
          <w:rFonts w:hint="eastAsia" w:ascii="仿宋" w:hAnsi="仿宋" w:eastAsia="仿宋"/>
          <w:b w:val="0"/>
          <w:bCs w:val="0"/>
        </w:rPr>
        <w:t>十三、</w:t>
      </w:r>
      <w:r>
        <w:rPr>
          <w:rFonts w:hint="eastAsia" w:ascii="仿宋" w:hAnsi="仿宋" w:eastAsia="仿宋"/>
          <w:b w:val="0"/>
          <w:color w:val="000000"/>
        </w:rPr>
        <w:t>国</w:t>
      </w:r>
      <w:r>
        <w:rPr>
          <w:rStyle w:val="25"/>
          <w:rFonts w:hint="eastAsia" w:ascii="仿宋" w:hAnsi="仿宋" w:eastAsia="仿宋"/>
          <w:b w:val="0"/>
          <w:bCs w:val="0"/>
        </w:rPr>
        <w:t>有资本经营预算支出决算表</w:t>
      </w:r>
      <w:bookmarkEnd w:id="72"/>
    </w:p>
    <w:sectPr>
      <w:headerReference r:id="rId3" w:type="default"/>
      <w:footerReference r:id="rId4" w:type="default"/>
      <w:pgSz w:w="11906" w:h="16838"/>
      <w:pgMar w:top="1440" w:right="1800" w:bottom="1440" w:left="1800" w:header="851" w:footer="992" w:gutter="0"/>
      <w:pgNumType w:start="1"/>
      <w:cols w:space="425" w:num="1"/>
      <w:titlePg/>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altName w:val="Times New Roman"/>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panose1 w:val="02000609000000000000"/>
    <w:charset w:val="02"/>
    <w:family w:val="roman"/>
    <w:pitch w:val="default"/>
    <w:sig w:usb0="800000AF" w:usb1="4000204A" w:usb2="00000000" w:usb3="00000000" w:csb0="20000000" w:csb1="00000000"/>
  </w:font>
  <w:font w:name="Calibri">
    <w:altName w:val="DejaVu Sans"/>
    <w:panose1 w:val="020F0502020204030204"/>
    <w:charset w:val="00"/>
    <w:family w:val="swiss"/>
    <w:pitch w:val="default"/>
    <w:sig w:usb0="00000000" w:usb1="00000000" w:usb2="00000001" w:usb3="00000000" w:csb0="0000019F" w:csb1="00000000"/>
  </w:font>
  <w:font w:name="DejaVu Sans">
    <w:panose1 w:val="020B0606030804020204"/>
    <w:charset w:val="00"/>
    <w:family w:val="auto"/>
    <w:pitch w:val="default"/>
    <w:sig w:usb0="E7006EFF" w:usb1="D200FDFF" w:usb2="0A246029" w:usb3="0400200C" w:csb0="600001FF" w:csb1="DFFF0000"/>
  </w:font>
  <w:font w:name="Cambria">
    <w:altName w:val="Noto Sans Syriac Eastern"/>
    <w:panose1 w:val="02040503050406030204"/>
    <w:charset w:val="00"/>
    <w:family w:val="roman"/>
    <w:pitch w:val="default"/>
    <w:sig w:usb0="00000000" w:usb1="00000000" w:usb2="00000000" w:usb3="00000000" w:csb0="2000019F" w:csb1="00000000"/>
  </w:font>
  <w:font w:name="Noto Sans Syriac Eastern">
    <w:panose1 w:val="02040503050306020203"/>
    <w:charset w:val="86"/>
    <w:family w:val="auto"/>
    <w:pitch w:val="default"/>
    <w:sig w:usb0="00000000" w:usb1="00000000" w:usb2="00000080" w:usb3="00000000" w:csb0="203E0161" w:csb1="D7FF0000"/>
  </w:font>
  <w:font w:name="仿宋_GB2312">
    <w:panose1 w:val="02010609030101010101"/>
    <w:charset w:val="86"/>
    <w:family w:val="modern"/>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 w:name="方正小标宋简体">
    <w:panose1 w:val="02000000000000000000"/>
    <w:charset w:val="86"/>
    <w:family w:val="script"/>
    <w:pitch w:val="default"/>
    <w:sig w:usb0="A00002BF" w:usb1="184F6CFA" w:usb2="00000012" w:usb3="00000000" w:csb0="00040001" w:csb1="00000000"/>
  </w:font>
  <w:font w:name="楷体">
    <w:panose1 w:val="02010609060101010101"/>
    <w:charset w:val="86"/>
    <w:family w:val="auto"/>
    <w:pitch w:val="default"/>
    <w:sig w:usb0="800002BF" w:usb1="38CF7CFA" w:usb2="00000016" w:usb3="00000000" w:csb0="00040001" w:csb1="00000000"/>
  </w:font>
  <w:font w:name="楷体_GB2312">
    <w:panose1 w:val="02010609030101010101"/>
    <w:charset w:val="86"/>
    <w:family w:val="modern"/>
    <w:pitch w:val="default"/>
    <w:sig w:usb0="00000001" w:usb1="080E0000" w:usb2="00000000" w:usb3="00000000" w:csb0="00040000" w:csb1="00000000"/>
  </w:font>
  <w:font w:name="文泉驿正黑">
    <w:panose1 w:val="02000603000000000000"/>
    <w:charset w:val="86"/>
    <w:family w:val="auto"/>
    <w:pitch w:val="default"/>
    <w:sig w:usb0="900002BF" w:usb1="2BDF7DFB" w:usb2="00000036" w:usb3="00000000" w:csb0="603E000D" w:csb1="D2D70000"/>
  </w:font>
  <w:font w:name="方正仿宋_GBK">
    <w:panose1 w:val="02000000000000000000"/>
    <w:charset w:val="86"/>
    <w:family w:val="auto"/>
    <w:pitch w:val="default"/>
    <w:sig w:usb0="00000001" w:usb1="0800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
    </w:sdtPr>
    <w:sdtContent>
      <w:p>
        <w:pPr>
          <w:pStyle w:val="8"/>
          <w:jc w:val="center"/>
        </w:pPr>
        <w:r>
          <w:fldChar w:fldCharType="begin"/>
        </w:r>
        <w:r>
          <w:instrText xml:space="preserve">PAGE   \* MERGEFORMAT</w:instrText>
        </w:r>
        <w:r>
          <w:fldChar w:fldCharType="separate"/>
        </w:r>
        <w:r>
          <w:rPr>
            <w:lang w:val="zh-CN"/>
          </w:rPr>
          <w:t>2</w:t>
        </w:r>
        <w:r>
          <w:fldChar w:fldCharType="end"/>
        </w:r>
      </w:p>
    </w:sdtContent>
  </w:sdt>
  <w:p>
    <w:pPr>
      <w:pStyle w:val="8"/>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9"/>
      <w:pBdr>
        <w:bottom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8806EC95"/>
    <w:multiLevelType w:val="singleLevel"/>
    <w:tmpl w:val="8806EC95"/>
    <w:lvl w:ilvl="0" w:tentative="0">
      <w:start w:val="1"/>
      <w:numFmt w:val="chineseCounting"/>
      <w:suff w:val="space"/>
      <w:lvlText w:val="第%1部分"/>
      <w:lvlJc w:val="left"/>
      <w:rPr>
        <w:rFonts w:hint="eastAsia"/>
      </w:rPr>
    </w:lvl>
  </w:abstractNum>
  <w:abstractNum w:abstractNumId="1">
    <w:nsid w:val="CF652CEC"/>
    <w:multiLevelType w:val="singleLevel"/>
    <w:tmpl w:val="CF652CEC"/>
    <w:lvl w:ilvl="0" w:tentative="0">
      <w:start w:val="9"/>
      <w:numFmt w:val="chineseCounting"/>
      <w:suff w:val="nothing"/>
      <w:lvlText w:val="%1、"/>
      <w:lvlJc w:val="left"/>
      <w:rPr>
        <w:rFonts w:hint="eastAsia"/>
      </w:rPr>
    </w:lvl>
  </w:abstractNum>
  <w:abstractNum w:abstractNumId="2">
    <w:nsid w:val="E2FA047D"/>
    <w:multiLevelType w:val="singleLevel"/>
    <w:tmpl w:val="E2FA047D"/>
    <w:lvl w:ilvl="0" w:tentative="0">
      <w:start w:val="3"/>
      <w:numFmt w:val="chineseCounting"/>
      <w:suff w:val="space"/>
      <w:lvlText w:val="第%1部分"/>
      <w:lvlJc w:val="left"/>
      <w:rPr>
        <w:rFonts w:hint="eastAsia"/>
      </w:rPr>
    </w:lvl>
  </w:abstractNum>
  <w:abstractNum w:abstractNumId="3">
    <w:nsid w:val="1272550B"/>
    <w:multiLevelType w:val="multilevel"/>
    <w:tmpl w:val="1272550B"/>
    <w:lvl w:ilvl="0" w:tentative="0">
      <w:start w:val="1"/>
      <w:numFmt w:val="japaneseCounting"/>
      <w:lvlText w:val="%1、"/>
      <w:lvlJc w:val="left"/>
      <w:pPr>
        <w:ind w:left="1360" w:hanging="720"/>
      </w:pPr>
      <w:rPr>
        <w:rFonts w:hint="default"/>
        <w:b w:val="0"/>
      </w:rPr>
    </w:lvl>
    <w:lvl w:ilvl="1" w:tentative="0">
      <w:start w:val="1"/>
      <w:numFmt w:val="lowerLetter"/>
      <w:lvlText w:val="%2)"/>
      <w:lvlJc w:val="left"/>
      <w:pPr>
        <w:ind w:left="1480" w:hanging="420"/>
      </w:pPr>
    </w:lvl>
    <w:lvl w:ilvl="2" w:tentative="0">
      <w:start w:val="1"/>
      <w:numFmt w:val="lowerRoman"/>
      <w:lvlText w:val="%3."/>
      <w:lvlJc w:val="right"/>
      <w:pPr>
        <w:ind w:left="1900" w:hanging="420"/>
      </w:pPr>
    </w:lvl>
    <w:lvl w:ilvl="3" w:tentative="0">
      <w:start w:val="1"/>
      <w:numFmt w:val="decimal"/>
      <w:lvlText w:val="%4."/>
      <w:lvlJc w:val="left"/>
      <w:pPr>
        <w:ind w:left="2320" w:hanging="420"/>
      </w:pPr>
    </w:lvl>
    <w:lvl w:ilvl="4" w:tentative="0">
      <w:start w:val="1"/>
      <w:numFmt w:val="lowerLetter"/>
      <w:lvlText w:val="%5)"/>
      <w:lvlJc w:val="left"/>
      <w:pPr>
        <w:ind w:left="2740" w:hanging="420"/>
      </w:pPr>
    </w:lvl>
    <w:lvl w:ilvl="5" w:tentative="0">
      <w:start w:val="1"/>
      <w:numFmt w:val="lowerRoman"/>
      <w:lvlText w:val="%6."/>
      <w:lvlJc w:val="right"/>
      <w:pPr>
        <w:ind w:left="3160" w:hanging="420"/>
      </w:pPr>
    </w:lvl>
    <w:lvl w:ilvl="6" w:tentative="0">
      <w:start w:val="1"/>
      <w:numFmt w:val="decimal"/>
      <w:lvlText w:val="%7."/>
      <w:lvlJc w:val="left"/>
      <w:pPr>
        <w:ind w:left="3580" w:hanging="420"/>
      </w:pPr>
    </w:lvl>
    <w:lvl w:ilvl="7" w:tentative="0">
      <w:start w:val="1"/>
      <w:numFmt w:val="lowerLetter"/>
      <w:lvlText w:val="%8)"/>
      <w:lvlJc w:val="left"/>
      <w:pPr>
        <w:ind w:left="4000" w:hanging="420"/>
      </w:pPr>
    </w:lvl>
    <w:lvl w:ilvl="8" w:tentative="0">
      <w:start w:val="1"/>
      <w:numFmt w:val="lowerRoman"/>
      <w:lvlText w:val="%9."/>
      <w:lvlJc w:val="right"/>
      <w:pPr>
        <w:ind w:left="4420" w:hanging="420"/>
      </w:pPr>
    </w:lvl>
  </w:abstractNum>
  <w:num w:numId="1">
    <w:abstractNumId w:val="0"/>
  </w:num>
  <w:num w:numId="2">
    <w:abstractNumId w:val="3"/>
  </w:num>
  <w:num w:numId="3">
    <w:abstractNumId w:val="1"/>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documentProtection w:enforcement="0"/>
  <w:defaultTabStop w:val="420"/>
  <w:drawingGridHorizontalSpacing w:val="105"/>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2"/>
  </w:compat>
  <w:rsids>
    <w:rsidRoot w:val="00F1361C"/>
    <w:rsid w:val="000222C6"/>
    <w:rsid w:val="0002549F"/>
    <w:rsid w:val="000468DB"/>
    <w:rsid w:val="0006487A"/>
    <w:rsid w:val="00065F8F"/>
    <w:rsid w:val="00070A43"/>
    <w:rsid w:val="000768F2"/>
    <w:rsid w:val="0009184B"/>
    <w:rsid w:val="00094236"/>
    <w:rsid w:val="0009593C"/>
    <w:rsid w:val="00097322"/>
    <w:rsid w:val="000A6A92"/>
    <w:rsid w:val="000B047F"/>
    <w:rsid w:val="000B5923"/>
    <w:rsid w:val="000B5A48"/>
    <w:rsid w:val="000B6FF3"/>
    <w:rsid w:val="000C3467"/>
    <w:rsid w:val="000C3CA6"/>
    <w:rsid w:val="000D1267"/>
    <w:rsid w:val="000D1D50"/>
    <w:rsid w:val="000D5782"/>
    <w:rsid w:val="000E6613"/>
    <w:rsid w:val="000E7119"/>
    <w:rsid w:val="00114E9B"/>
    <w:rsid w:val="00142216"/>
    <w:rsid w:val="00144D6A"/>
    <w:rsid w:val="0014729F"/>
    <w:rsid w:val="00157BAB"/>
    <w:rsid w:val="001654D1"/>
    <w:rsid w:val="00174518"/>
    <w:rsid w:val="0018106D"/>
    <w:rsid w:val="001877A7"/>
    <w:rsid w:val="00191536"/>
    <w:rsid w:val="00196687"/>
    <w:rsid w:val="001C0962"/>
    <w:rsid w:val="001D7531"/>
    <w:rsid w:val="001E737D"/>
    <w:rsid w:val="001F0592"/>
    <w:rsid w:val="001F7506"/>
    <w:rsid w:val="002006CD"/>
    <w:rsid w:val="00202B36"/>
    <w:rsid w:val="00204B7A"/>
    <w:rsid w:val="00204CDE"/>
    <w:rsid w:val="0021101A"/>
    <w:rsid w:val="00220536"/>
    <w:rsid w:val="00235629"/>
    <w:rsid w:val="00260C38"/>
    <w:rsid w:val="002616C0"/>
    <w:rsid w:val="00265372"/>
    <w:rsid w:val="002662AA"/>
    <w:rsid w:val="00280496"/>
    <w:rsid w:val="00294DC9"/>
    <w:rsid w:val="00295495"/>
    <w:rsid w:val="002A31DE"/>
    <w:rsid w:val="002B2613"/>
    <w:rsid w:val="002D19B0"/>
    <w:rsid w:val="002D6D05"/>
    <w:rsid w:val="002F1818"/>
    <w:rsid w:val="002F567B"/>
    <w:rsid w:val="003216A9"/>
    <w:rsid w:val="00335A74"/>
    <w:rsid w:val="0036561B"/>
    <w:rsid w:val="0037013F"/>
    <w:rsid w:val="00380C92"/>
    <w:rsid w:val="003A484F"/>
    <w:rsid w:val="003A4883"/>
    <w:rsid w:val="003B0BE0"/>
    <w:rsid w:val="003B0C1B"/>
    <w:rsid w:val="003B688C"/>
    <w:rsid w:val="003C0291"/>
    <w:rsid w:val="003C39AE"/>
    <w:rsid w:val="003C7B60"/>
    <w:rsid w:val="003D0C0F"/>
    <w:rsid w:val="003D1FB2"/>
    <w:rsid w:val="003D66DA"/>
    <w:rsid w:val="003E1310"/>
    <w:rsid w:val="003E6F55"/>
    <w:rsid w:val="003F6619"/>
    <w:rsid w:val="00406254"/>
    <w:rsid w:val="00416CD4"/>
    <w:rsid w:val="004223DE"/>
    <w:rsid w:val="00434489"/>
    <w:rsid w:val="00437085"/>
    <w:rsid w:val="00443880"/>
    <w:rsid w:val="004464F4"/>
    <w:rsid w:val="00471401"/>
    <w:rsid w:val="00473F31"/>
    <w:rsid w:val="0048263A"/>
    <w:rsid w:val="00487E5D"/>
    <w:rsid w:val="004A711F"/>
    <w:rsid w:val="004B199D"/>
    <w:rsid w:val="004B4690"/>
    <w:rsid w:val="004E0A2D"/>
    <w:rsid w:val="004E206B"/>
    <w:rsid w:val="004E6DF7"/>
    <w:rsid w:val="004F0FBD"/>
    <w:rsid w:val="004F403E"/>
    <w:rsid w:val="00505A47"/>
    <w:rsid w:val="00512FDA"/>
    <w:rsid w:val="00520DA0"/>
    <w:rsid w:val="005664BB"/>
    <w:rsid w:val="00566FFA"/>
    <w:rsid w:val="0057481D"/>
    <w:rsid w:val="00575F0B"/>
    <w:rsid w:val="0058486E"/>
    <w:rsid w:val="00585B33"/>
    <w:rsid w:val="0059014D"/>
    <w:rsid w:val="005B5C64"/>
    <w:rsid w:val="005C6BD0"/>
    <w:rsid w:val="005C6C4C"/>
    <w:rsid w:val="005D1C8B"/>
    <w:rsid w:val="005D468D"/>
    <w:rsid w:val="005D5CED"/>
    <w:rsid w:val="005F1A4C"/>
    <w:rsid w:val="00605688"/>
    <w:rsid w:val="006070AF"/>
    <w:rsid w:val="00607E6C"/>
    <w:rsid w:val="006101B1"/>
    <w:rsid w:val="00614E44"/>
    <w:rsid w:val="0062270A"/>
    <w:rsid w:val="00622830"/>
    <w:rsid w:val="00623DA0"/>
    <w:rsid w:val="00630AEF"/>
    <w:rsid w:val="006325F8"/>
    <w:rsid w:val="00633463"/>
    <w:rsid w:val="00634C9A"/>
    <w:rsid w:val="006440E4"/>
    <w:rsid w:val="0066343B"/>
    <w:rsid w:val="00664777"/>
    <w:rsid w:val="006748A4"/>
    <w:rsid w:val="00681A31"/>
    <w:rsid w:val="00683E73"/>
    <w:rsid w:val="006A3141"/>
    <w:rsid w:val="006A5E34"/>
    <w:rsid w:val="006B2422"/>
    <w:rsid w:val="006B2B9A"/>
    <w:rsid w:val="006C1937"/>
    <w:rsid w:val="006F020C"/>
    <w:rsid w:val="007127B7"/>
    <w:rsid w:val="0071798E"/>
    <w:rsid w:val="00727533"/>
    <w:rsid w:val="007416B6"/>
    <w:rsid w:val="00746F48"/>
    <w:rsid w:val="0075404D"/>
    <w:rsid w:val="0076182A"/>
    <w:rsid w:val="00767B7E"/>
    <w:rsid w:val="007770C3"/>
    <w:rsid w:val="00784D24"/>
    <w:rsid w:val="00785FBA"/>
    <w:rsid w:val="00786E4A"/>
    <w:rsid w:val="007875EB"/>
    <w:rsid w:val="0079426B"/>
    <w:rsid w:val="007D1682"/>
    <w:rsid w:val="007D312A"/>
    <w:rsid w:val="007D3F19"/>
    <w:rsid w:val="007E23B0"/>
    <w:rsid w:val="007F1991"/>
    <w:rsid w:val="007F2C2F"/>
    <w:rsid w:val="007F55FC"/>
    <w:rsid w:val="007F5665"/>
    <w:rsid w:val="00800112"/>
    <w:rsid w:val="00813348"/>
    <w:rsid w:val="008253BB"/>
    <w:rsid w:val="00833962"/>
    <w:rsid w:val="0083706E"/>
    <w:rsid w:val="008408F6"/>
    <w:rsid w:val="008423A5"/>
    <w:rsid w:val="00850625"/>
    <w:rsid w:val="00853718"/>
    <w:rsid w:val="00855221"/>
    <w:rsid w:val="00860645"/>
    <w:rsid w:val="00871F71"/>
    <w:rsid w:val="00872FD8"/>
    <w:rsid w:val="00885AF4"/>
    <w:rsid w:val="008939CD"/>
    <w:rsid w:val="008B768C"/>
    <w:rsid w:val="008C4DB1"/>
    <w:rsid w:val="008C4EAF"/>
    <w:rsid w:val="008C5176"/>
    <w:rsid w:val="008C7FD0"/>
    <w:rsid w:val="008E1DE7"/>
    <w:rsid w:val="008E707C"/>
    <w:rsid w:val="00900B08"/>
    <w:rsid w:val="00902155"/>
    <w:rsid w:val="00902FA3"/>
    <w:rsid w:val="00923564"/>
    <w:rsid w:val="0092392E"/>
    <w:rsid w:val="009315F9"/>
    <w:rsid w:val="00933499"/>
    <w:rsid w:val="00935C98"/>
    <w:rsid w:val="00946945"/>
    <w:rsid w:val="00951248"/>
    <w:rsid w:val="0095152F"/>
    <w:rsid w:val="00954C49"/>
    <w:rsid w:val="00955E37"/>
    <w:rsid w:val="0097099F"/>
    <w:rsid w:val="00971997"/>
    <w:rsid w:val="00971FFC"/>
    <w:rsid w:val="0098660A"/>
    <w:rsid w:val="009931C3"/>
    <w:rsid w:val="009B2C43"/>
    <w:rsid w:val="009B4EAE"/>
    <w:rsid w:val="009B7573"/>
    <w:rsid w:val="009C22F4"/>
    <w:rsid w:val="009C2E98"/>
    <w:rsid w:val="009C37FB"/>
    <w:rsid w:val="009D3447"/>
    <w:rsid w:val="009D4711"/>
    <w:rsid w:val="009F1185"/>
    <w:rsid w:val="009F18CD"/>
    <w:rsid w:val="009F2A13"/>
    <w:rsid w:val="009F7527"/>
    <w:rsid w:val="00A039ED"/>
    <w:rsid w:val="00A04EB0"/>
    <w:rsid w:val="00A13CC1"/>
    <w:rsid w:val="00A16847"/>
    <w:rsid w:val="00A237D8"/>
    <w:rsid w:val="00A268C4"/>
    <w:rsid w:val="00A307CD"/>
    <w:rsid w:val="00A331C8"/>
    <w:rsid w:val="00A35117"/>
    <w:rsid w:val="00A40A00"/>
    <w:rsid w:val="00A4142F"/>
    <w:rsid w:val="00A422EB"/>
    <w:rsid w:val="00A45BB7"/>
    <w:rsid w:val="00A56DF2"/>
    <w:rsid w:val="00A56E6E"/>
    <w:rsid w:val="00A67AB5"/>
    <w:rsid w:val="00A733B2"/>
    <w:rsid w:val="00A741C2"/>
    <w:rsid w:val="00A91760"/>
    <w:rsid w:val="00A93B00"/>
    <w:rsid w:val="00A93C21"/>
    <w:rsid w:val="00AB64C9"/>
    <w:rsid w:val="00AC3C6A"/>
    <w:rsid w:val="00AD0F83"/>
    <w:rsid w:val="00AD5620"/>
    <w:rsid w:val="00AD656B"/>
    <w:rsid w:val="00AD7C1B"/>
    <w:rsid w:val="00AE16BA"/>
    <w:rsid w:val="00AE1EBE"/>
    <w:rsid w:val="00AF37A0"/>
    <w:rsid w:val="00B03C9D"/>
    <w:rsid w:val="00B060AE"/>
    <w:rsid w:val="00B10517"/>
    <w:rsid w:val="00B14E76"/>
    <w:rsid w:val="00B161B8"/>
    <w:rsid w:val="00B2048C"/>
    <w:rsid w:val="00B310B9"/>
    <w:rsid w:val="00B35F3F"/>
    <w:rsid w:val="00B36CBB"/>
    <w:rsid w:val="00B425E0"/>
    <w:rsid w:val="00B440AA"/>
    <w:rsid w:val="00B44B70"/>
    <w:rsid w:val="00B53C56"/>
    <w:rsid w:val="00B57DAF"/>
    <w:rsid w:val="00B77EA6"/>
    <w:rsid w:val="00B81598"/>
    <w:rsid w:val="00B841F1"/>
    <w:rsid w:val="00B944D6"/>
    <w:rsid w:val="00BB4DF0"/>
    <w:rsid w:val="00BC289F"/>
    <w:rsid w:val="00BC2D50"/>
    <w:rsid w:val="00BC5361"/>
    <w:rsid w:val="00BC5460"/>
    <w:rsid w:val="00BC6B50"/>
    <w:rsid w:val="00BD0E25"/>
    <w:rsid w:val="00BF5BD6"/>
    <w:rsid w:val="00C03E31"/>
    <w:rsid w:val="00C30E69"/>
    <w:rsid w:val="00C33E72"/>
    <w:rsid w:val="00C354B2"/>
    <w:rsid w:val="00C35554"/>
    <w:rsid w:val="00C42709"/>
    <w:rsid w:val="00C533CC"/>
    <w:rsid w:val="00C5751C"/>
    <w:rsid w:val="00C61BFC"/>
    <w:rsid w:val="00C62B85"/>
    <w:rsid w:val="00C65438"/>
    <w:rsid w:val="00C91CBB"/>
    <w:rsid w:val="00CB4E70"/>
    <w:rsid w:val="00CC09B6"/>
    <w:rsid w:val="00CC666F"/>
    <w:rsid w:val="00CD1E3F"/>
    <w:rsid w:val="00CE44F6"/>
    <w:rsid w:val="00CE49DA"/>
    <w:rsid w:val="00CE7B61"/>
    <w:rsid w:val="00D00095"/>
    <w:rsid w:val="00D114F0"/>
    <w:rsid w:val="00D179F5"/>
    <w:rsid w:val="00D20620"/>
    <w:rsid w:val="00D2207C"/>
    <w:rsid w:val="00D254F7"/>
    <w:rsid w:val="00D26091"/>
    <w:rsid w:val="00D2685C"/>
    <w:rsid w:val="00D34E7C"/>
    <w:rsid w:val="00D35489"/>
    <w:rsid w:val="00D36AFE"/>
    <w:rsid w:val="00D51276"/>
    <w:rsid w:val="00D7035F"/>
    <w:rsid w:val="00DA634F"/>
    <w:rsid w:val="00DA65AC"/>
    <w:rsid w:val="00DB1913"/>
    <w:rsid w:val="00DC410D"/>
    <w:rsid w:val="00DC5A81"/>
    <w:rsid w:val="00DC68CA"/>
    <w:rsid w:val="00DC7CBA"/>
    <w:rsid w:val="00DD73B7"/>
    <w:rsid w:val="00DF28BC"/>
    <w:rsid w:val="00DF34B9"/>
    <w:rsid w:val="00DF7548"/>
    <w:rsid w:val="00E01053"/>
    <w:rsid w:val="00E07ACF"/>
    <w:rsid w:val="00E331A1"/>
    <w:rsid w:val="00E33202"/>
    <w:rsid w:val="00E336A9"/>
    <w:rsid w:val="00E472B1"/>
    <w:rsid w:val="00E50624"/>
    <w:rsid w:val="00E568DF"/>
    <w:rsid w:val="00E64269"/>
    <w:rsid w:val="00E66797"/>
    <w:rsid w:val="00E82267"/>
    <w:rsid w:val="00E853CE"/>
    <w:rsid w:val="00E867B6"/>
    <w:rsid w:val="00E87F08"/>
    <w:rsid w:val="00EA010F"/>
    <w:rsid w:val="00ED1B63"/>
    <w:rsid w:val="00ED3C1F"/>
    <w:rsid w:val="00ED4085"/>
    <w:rsid w:val="00ED420E"/>
    <w:rsid w:val="00ED6FBE"/>
    <w:rsid w:val="00EE2F57"/>
    <w:rsid w:val="00EF4C34"/>
    <w:rsid w:val="00EF77C6"/>
    <w:rsid w:val="00F05438"/>
    <w:rsid w:val="00F1361C"/>
    <w:rsid w:val="00F156F0"/>
    <w:rsid w:val="00F160C7"/>
    <w:rsid w:val="00F2408F"/>
    <w:rsid w:val="00F240E9"/>
    <w:rsid w:val="00F36D8F"/>
    <w:rsid w:val="00F417B1"/>
    <w:rsid w:val="00F45853"/>
    <w:rsid w:val="00F602DF"/>
    <w:rsid w:val="00F754A1"/>
    <w:rsid w:val="00F81FD9"/>
    <w:rsid w:val="00F841AA"/>
    <w:rsid w:val="00F84A94"/>
    <w:rsid w:val="00F87E96"/>
    <w:rsid w:val="00FA23E8"/>
    <w:rsid w:val="00FD3CC1"/>
    <w:rsid w:val="00FF1E02"/>
    <w:rsid w:val="00FF30B4"/>
    <w:rsid w:val="019F4466"/>
    <w:rsid w:val="029A5E91"/>
    <w:rsid w:val="02D243C4"/>
    <w:rsid w:val="03BF4F66"/>
    <w:rsid w:val="03CA59E3"/>
    <w:rsid w:val="054D206B"/>
    <w:rsid w:val="066B7A24"/>
    <w:rsid w:val="06F46336"/>
    <w:rsid w:val="07235273"/>
    <w:rsid w:val="073E7283"/>
    <w:rsid w:val="07D70D4B"/>
    <w:rsid w:val="088E55C6"/>
    <w:rsid w:val="08DA2DF4"/>
    <w:rsid w:val="0917509B"/>
    <w:rsid w:val="09D86670"/>
    <w:rsid w:val="09F40056"/>
    <w:rsid w:val="09FC3CF5"/>
    <w:rsid w:val="0BDC31ED"/>
    <w:rsid w:val="10C055FF"/>
    <w:rsid w:val="12691BB7"/>
    <w:rsid w:val="126A2E23"/>
    <w:rsid w:val="136F049E"/>
    <w:rsid w:val="16BB723D"/>
    <w:rsid w:val="17024EC7"/>
    <w:rsid w:val="182A534E"/>
    <w:rsid w:val="19151A88"/>
    <w:rsid w:val="1AF33058"/>
    <w:rsid w:val="1F7F145C"/>
    <w:rsid w:val="1FF62D87"/>
    <w:rsid w:val="20D35118"/>
    <w:rsid w:val="22D40080"/>
    <w:rsid w:val="22F5059E"/>
    <w:rsid w:val="240371BF"/>
    <w:rsid w:val="2773093D"/>
    <w:rsid w:val="28D42CF2"/>
    <w:rsid w:val="291965C1"/>
    <w:rsid w:val="29FD04D3"/>
    <w:rsid w:val="30EC7F07"/>
    <w:rsid w:val="319F7F4E"/>
    <w:rsid w:val="365A12FF"/>
    <w:rsid w:val="38FC57A3"/>
    <w:rsid w:val="39585E95"/>
    <w:rsid w:val="39C95316"/>
    <w:rsid w:val="3ADE3A78"/>
    <w:rsid w:val="3BD4DF33"/>
    <w:rsid w:val="3CA77E17"/>
    <w:rsid w:val="3D162962"/>
    <w:rsid w:val="3E521801"/>
    <w:rsid w:val="3E9B5BAF"/>
    <w:rsid w:val="3F7D8F0A"/>
    <w:rsid w:val="4004170E"/>
    <w:rsid w:val="42031A4A"/>
    <w:rsid w:val="43FB0F28"/>
    <w:rsid w:val="4ABF2FF3"/>
    <w:rsid w:val="4C9915C6"/>
    <w:rsid w:val="4ECE2238"/>
    <w:rsid w:val="4F1C4E1B"/>
    <w:rsid w:val="4F275C7C"/>
    <w:rsid w:val="4F6FA178"/>
    <w:rsid w:val="500E03AC"/>
    <w:rsid w:val="5111149A"/>
    <w:rsid w:val="515D79FD"/>
    <w:rsid w:val="5516118F"/>
    <w:rsid w:val="57F824F3"/>
    <w:rsid w:val="58BF2E0A"/>
    <w:rsid w:val="5AF54CE7"/>
    <w:rsid w:val="5BEF1F1F"/>
    <w:rsid w:val="5D7713DB"/>
    <w:rsid w:val="5EF896AE"/>
    <w:rsid w:val="5FEC0FFD"/>
    <w:rsid w:val="62C56D41"/>
    <w:rsid w:val="63126946"/>
    <w:rsid w:val="68EE664B"/>
    <w:rsid w:val="69BB446C"/>
    <w:rsid w:val="6B7C174E"/>
    <w:rsid w:val="6B922ACC"/>
    <w:rsid w:val="6BA750CA"/>
    <w:rsid w:val="6BDBEC05"/>
    <w:rsid w:val="6F060A52"/>
    <w:rsid w:val="71FE1905"/>
    <w:rsid w:val="725E57FA"/>
    <w:rsid w:val="72734D90"/>
    <w:rsid w:val="73BFACE0"/>
    <w:rsid w:val="753B50FB"/>
    <w:rsid w:val="76DE1C55"/>
    <w:rsid w:val="77176718"/>
    <w:rsid w:val="775E9450"/>
    <w:rsid w:val="79080ED1"/>
    <w:rsid w:val="7B4F6F94"/>
    <w:rsid w:val="7BD78D2B"/>
    <w:rsid w:val="7C901FF7"/>
    <w:rsid w:val="7D89278A"/>
    <w:rsid w:val="7DDBDACE"/>
    <w:rsid w:val="7E9969F0"/>
    <w:rsid w:val="7FAF2AC1"/>
    <w:rsid w:val="7FE87ACC"/>
    <w:rsid w:val="7FF27A7C"/>
    <w:rsid w:val="BB972E3E"/>
    <w:rsid w:val="BEB74DCE"/>
    <w:rsid w:val="C5FD3BFC"/>
    <w:rsid w:val="C66638A3"/>
    <w:rsid w:val="D4FE9057"/>
    <w:rsid w:val="DF979A58"/>
    <w:rsid w:val="DFB70788"/>
    <w:rsid w:val="DFFDFCAD"/>
    <w:rsid w:val="EBFECDB7"/>
    <w:rsid w:val="F7CF3387"/>
    <w:rsid w:val="FAF72797"/>
    <w:rsid w:val="FDDFDD82"/>
    <w:rsid w:val="FF3F17A7"/>
    <w:rsid w:val="FFF91E60"/>
  </w:rsids>
  <m:mathPr>
    <m:mathFont m:val="Cambria Math"/>
    <m:brkBin m:val="before"/>
    <m:brkBinSub m:val="--"/>
    <m:smallFrac m:val="0"/>
    <m:dispDef/>
    <m:lMargin m:val="0"/>
    <m:rMargin m:val="0"/>
    <m:defJc m:val="centerGroup"/>
    <m:wrapIndent m:val="1440"/>
    <m:intLim m:val="subSup"/>
    <m:naryLim m:val="undOvr"/>
  </m:mathPr>
  <w:doNotAutoCompressPictures/>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Calibri" w:hAnsi="Calibri"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iPriority="39" w:semiHidden="0" w:name="toc 1"/>
    <w:lsdException w:qFormat="1" w:uiPriority="39" w:semiHidden="0" w:name="toc 2"/>
    <w:lsdException w:qFormat="1" w:uiPriority="39" w:semiHidden="0"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nhideWhenUsed="0" w:uiPriority="99" w:name="header"/>
    <w:lsdException w:qFormat="1" w:unhideWhenUsed="0"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nhideWhenUsed="0" w:uiPriority="99"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99"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link w:val="24"/>
    <w:qFormat/>
    <w:uiPriority w:val="9"/>
    <w:pPr>
      <w:keepNext/>
      <w:keepLines/>
      <w:spacing w:before="340" w:after="330" w:line="578" w:lineRule="auto"/>
      <w:outlineLvl w:val="0"/>
    </w:pPr>
    <w:rPr>
      <w:b/>
      <w:bCs/>
      <w:kern w:val="44"/>
      <w:sz w:val="44"/>
      <w:szCs w:val="44"/>
    </w:rPr>
  </w:style>
  <w:style w:type="paragraph" w:styleId="3">
    <w:name w:val="heading 2"/>
    <w:basedOn w:val="1"/>
    <w:next w:val="1"/>
    <w:link w:val="30"/>
    <w:unhideWhenUsed/>
    <w:qFormat/>
    <w:uiPriority w:val="9"/>
    <w:pPr>
      <w:keepNext/>
      <w:keepLines/>
      <w:spacing w:before="260" w:after="260" w:line="416" w:lineRule="auto"/>
      <w:outlineLvl w:val="1"/>
    </w:pPr>
    <w:rPr>
      <w:rFonts w:asciiTheme="majorHAnsi" w:hAnsiTheme="majorHAnsi" w:eastAsiaTheme="majorEastAsia" w:cstheme="majorBidi"/>
      <w:b/>
      <w:bCs/>
      <w:sz w:val="32"/>
      <w:szCs w:val="32"/>
    </w:rPr>
  </w:style>
  <w:style w:type="paragraph" w:styleId="4">
    <w:name w:val="heading 3"/>
    <w:basedOn w:val="1"/>
    <w:next w:val="1"/>
    <w:link w:val="28"/>
    <w:unhideWhenUsed/>
    <w:qFormat/>
    <w:uiPriority w:val="9"/>
    <w:pPr>
      <w:keepNext/>
      <w:keepLines/>
      <w:spacing w:before="260" w:after="260" w:line="416" w:lineRule="auto"/>
      <w:outlineLvl w:val="2"/>
    </w:pPr>
    <w:rPr>
      <w:b/>
      <w:bCs/>
      <w:sz w:val="32"/>
      <w:szCs w:val="32"/>
    </w:rPr>
  </w:style>
  <w:style w:type="character" w:default="1" w:styleId="13">
    <w:name w:val="Default Paragraph Font"/>
    <w:semiHidden/>
    <w:unhideWhenUsed/>
    <w:qFormat/>
    <w:uiPriority w:val="1"/>
  </w:style>
  <w:style w:type="table" w:default="1" w:styleId="12">
    <w:name w:val="Normal Table"/>
    <w:semiHidden/>
    <w:unhideWhenUsed/>
    <w:qFormat/>
    <w:uiPriority w:val="99"/>
    <w:tblPr>
      <w:tblCellMar>
        <w:top w:w="0" w:type="dxa"/>
        <w:left w:w="108" w:type="dxa"/>
        <w:bottom w:w="0" w:type="dxa"/>
        <w:right w:w="108" w:type="dxa"/>
      </w:tblCellMar>
    </w:tblPr>
  </w:style>
  <w:style w:type="paragraph" w:styleId="5">
    <w:name w:val="Body Text"/>
    <w:basedOn w:val="1"/>
    <w:link w:val="21"/>
    <w:qFormat/>
    <w:uiPriority w:val="99"/>
    <w:pPr>
      <w:spacing w:beforeLines="30"/>
    </w:pPr>
    <w:rPr>
      <w:rFonts w:ascii="仿宋_GB2312" w:eastAsia="仿宋_GB2312"/>
      <w:kern w:val="0"/>
      <w:sz w:val="30"/>
    </w:rPr>
  </w:style>
  <w:style w:type="paragraph" w:styleId="6">
    <w:name w:val="toc 3"/>
    <w:basedOn w:val="1"/>
    <w:next w:val="1"/>
    <w:unhideWhenUsed/>
    <w:qFormat/>
    <w:uiPriority w:val="39"/>
    <w:pPr>
      <w:tabs>
        <w:tab w:val="right" w:leader="dot" w:pos="8296"/>
      </w:tabs>
      <w:ind w:left="840" w:leftChars="400"/>
    </w:pPr>
  </w:style>
  <w:style w:type="paragraph" w:styleId="7">
    <w:name w:val="Balloon Text"/>
    <w:basedOn w:val="1"/>
    <w:link w:val="27"/>
    <w:semiHidden/>
    <w:unhideWhenUsed/>
    <w:qFormat/>
    <w:uiPriority w:val="99"/>
    <w:rPr>
      <w:sz w:val="18"/>
      <w:szCs w:val="18"/>
    </w:rPr>
  </w:style>
  <w:style w:type="paragraph" w:styleId="8">
    <w:name w:val="footer"/>
    <w:basedOn w:val="1"/>
    <w:link w:val="19"/>
    <w:qFormat/>
    <w:uiPriority w:val="99"/>
    <w:pPr>
      <w:tabs>
        <w:tab w:val="center" w:pos="4153"/>
        <w:tab w:val="right" w:pos="8306"/>
      </w:tabs>
      <w:snapToGrid w:val="0"/>
      <w:jc w:val="left"/>
    </w:pPr>
    <w:rPr>
      <w:rFonts w:ascii="Calibri" w:hAnsi="Calibri"/>
      <w:kern w:val="0"/>
      <w:sz w:val="18"/>
      <w:szCs w:val="18"/>
    </w:rPr>
  </w:style>
  <w:style w:type="paragraph" w:styleId="9">
    <w:name w:val="header"/>
    <w:basedOn w:val="1"/>
    <w:link w:val="17"/>
    <w:semiHidden/>
    <w:qFormat/>
    <w:uiPriority w:val="99"/>
    <w:pPr>
      <w:pBdr>
        <w:bottom w:val="single" w:color="auto" w:sz="6" w:space="1"/>
      </w:pBdr>
      <w:tabs>
        <w:tab w:val="center" w:pos="4153"/>
        <w:tab w:val="right" w:pos="8306"/>
      </w:tabs>
      <w:snapToGrid w:val="0"/>
      <w:jc w:val="center"/>
    </w:pPr>
    <w:rPr>
      <w:rFonts w:ascii="Calibri" w:hAnsi="Calibri"/>
      <w:kern w:val="0"/>
      <w:sz w:val="18"/>
      <w:szCs w:val="18"/>
    </w:rPr>
  </w:style>
  <w:style w:type="paragraph" w:styleId="10">
    <w:name w:val="toc 1"/>
    <w:basedOn w:val="1"/>
    <w:next w:val="1"/>
    <w:unhideWhenUsed/>
    <w:qFormat/>
    <w:uiPriority w:val="39"/>
    <w:pPr>
      <w:tabs>
        <w:tab w:val="right" w:leader="dot" w:pos="8296"/>
      </w:tabs>
      <w:spacing w:before="93"/>
      <w:jc w:val="center"/>
    </w:pPr>
    <w:rPr>
      <w:rFonts w:ascii="仿宋" w:hAnsi="仿宋" w:eastAsia="仿宋"/>
      <w:sz w:val="28"/>
      <w:szCs w:val="28"/>
    </w:rPr>
  </w:style>
  <w:style w:type="paragraph" w:styleId="11">
    <w:name w:val="toc 2"/>
    <w:basedOn w:val="1"/>
    <w:next w:val="1"/>
    <w:unhideWhenUsed/>
    <w:qFormat/>
    <w:uiPriority w:val="39"/>
    <w:pPr>
      <w:tabs>
        <w:tab w:val="right" w:leader="dot" w:pos="8296"/>
      </w:tabs>
      <w:ind w:left="420" w:leftChars="200"/>
    </w:pPr>
  </w:style>
  <w:style w:type="character" w:styleId="14">
    <w:name w:val="Strong"/>
    <w:basedOn w:val="13"/>
    <w:qFormat/>
    <w:uiPriority w:val="99"/>
    <w:rPr>
      <w:b/>
    </w:rPr>
  </w:style>
  <w:style w:type="character" w:styleId="15">
    <w:name w:val="Hyperlink"/>
    <w:basedOn w:val="13"/>
    <w:unhideWhenUsed/>
    <w:qFormat/>
    <w:uiPriority w:val="99"/>
    <w:rPr>
      <w:color w:val="0000FF" w:themeColor="hyperlink"/>
      <w:u w:val="single"/>
    </w:rPr>
  </w:style>
  <w:style w:type="character" w:customStyle="1" w:styleId="16">
    <w:name w:val="Header Char"/>
    <w:basedOn w:val="13"/>
    <w:semiHidden/>
    <w:qFormat/>
    <w:uiPriority w:val="99"/>
    <w:rPr>
      <w:rFonts w:ascii="Times New Roman" w:hAnsi="Times New Roman"/>
      <w:sz w:val="18"/>
      <w:szCs w:val="18"/>
    </w:rPr>
  </w:style>
  <w:style w:type="character" w:customStyle="1" w:styleId="17">
    <w:name w:val="页眉 字符"/>
    <w:link w:val="9"/>
    <w:semiHidden/>
    <w:qFormat/>
    <w:locked/>
    <w:uiPriority w:val="99"/>
    <w:rPr>
      <w:sz w:val="18"/>
    </w:rPr>
  </w:style>
  <w:style w:type="character" w:customStyle="1" w:styleId="18">
    <w:name w:val="Footer Char"/>
    <w:basedOn w:val="13"/>
    <w:semiHidden/>
    <w:qFormat/>
    <w:uiPriority w:val="99"/>
    <w:rPr>
      <w:rFonts w:ascii="Times New Roman" w:hAnsi="Times New Roman"/>
      <w:sz w:val="18"/>
      <w:szCs w:val="18"/>
    </w:rPr>
  </w:style>
  <w:style w:type="character" w:customStyle="1" w:styleId="19">
    <w:name w:val="页脚 字符"/>
    <w:link w:val="8"/>
    <w:qFormat/>
    <w:locked/>
    <w:uiPriority w:val="99"/>
    <w:rPr>
      <w:sz w:val="18"/>
    </w:rPr>
  </w:style>
  <w:style w:type="character" w:customStyle="1" w:styleId="20">
    <w:name w:val="Body Text Char"/>
    <w:basedOn w:val="13"/>
    <w:semiHidden/>
    <w:qFormat/>
    <w:uiPriority w:val="99"/>
    <w:rPr>
      <w:rFonts w:ascii="Times New Roman" w:hAnsi="Times New Roman"/>
      <w:szCs w:val="24"/>
    </w:rPr>
  </w:style>
  <w:style w:type="character" w:customStyle="1" w:styleId="21">
    <w:name w:val="正文文本 字符"/>
    <w:link w:val="5"/>
    <w:qFormat/>
    <w:locked/>
    <w:uiPriority w:val="99"/>
    <w:rPr>
      <w:rFonts w:ascii="仿宋_GB2312" w:hAnsi="Times New Roman" w:eastAsia="仿宋_GB2312"/>
      <w:sz w:val="24"/>
    </w:rPr>
  </w:style>
  <w:style w:type="paragraph" w:customStyle="1" w:styleId="22">
    <w:name w:val="Default"/>
    <w:qFormat/>
    <w:uiPriority w:val="99"/>
    <w:pPr>
      <w:widowControl w:val="0"/>
      <w:autoSpaceDE w:val="0"/>
      <w:autoSpaceDN w:val="0"/>
      <w:adjustRightInd w:val="0"/>
    </w:pPr>
    <w:rPr>
      <w:rFonts w:ascii="仿宋" w:hAnsi="Calibri" w:eastAsia="仿宋" w:cs="仿宋"/>
      <w:color w:val="000000"/>
      <w:sz w:val="24"/>
      <w:szCs w:val="24"/>
      <w:lang w:val="en-US" w:eastAsia="zh-CN" w:bidi="ar-SA"/>
    </w:rPr>
  </w:style>
  <w:style w:type="paragraph" w:styleId="23">
    <w:name w:val="List Paragraph"/>
    <w:basedOn w:val="1"/>
    <w:qFormat/>
    <w:uiPriority w:val="34"/>
    <w:pPr>
      <w:ind w:firstLine="420" w:firstLineChars="200"/>
    </w:pPr>
  </w:style>
  <w:style w:type="character" w:customStyle="1" w:styleId="24">
    <w:name w:val="标题 1 字符"/>
    <w:basedOn w:val="13"/>
    <w:link w:val="2"/>
    <w:qFormat/>
    <w:uiPriority w:val="9"/>
    <w:rPr>
      <w:rFonts w:ascii="Times New Roman" w:hAnsi="Times New Roman"/>
      <w:b/>
      <w:bCs/>
      <w:kern w:val="44"/>
      <w:sz w:val="44"/>
      <w:szCs w:val="44"/>
    </w:rPr>
  </w:style>
  <w:style w:type="character" w:customStyle="1" w:styleId="25">
    <w:name w:val="标题 2 字符"/>
    <w:basedOn w:val="13"/>
    <w:link w:val="3"/>
    <w:qFormat/>
    <w:uiPriority w:val="9"/>
    <w:rPr>
      <w:rFonts w:asciiTheme="majorHAnsi" w:hAnsiTheme="majorHAnsi" w:eastAsiaTheme="majorEastAsia" w:cstheme="majorBidi"/>
      <w:b/>
      <w:bCs/>
      <w:kern w:val="2"/>
      <w:sz w:val="32"/>
      <w:szCs w:val="32"/>
    </w:rPr>
  </w:style>
  <w:style w:type="paragraph" w:customStyle="1" w:styleId="26">
    <w:name w:val="TOC 标题1"/>
    <w:basedOn w:val="2"/>
    <w:next w:val="1"/>
    <w:unhideWhenUsed/>
    <w:qFormat/>
    <w:uiPriority w:val="39"/>
    <w:pPr>
      <w:widowControl/>
      <w:spacing w:before="480" w:after="0" w:line="276" w:lineRule="auto"/>
      <w:jc w:val="left"/>
      <w:outlineLvl w:val="9"/>
    </w:pPr>
    <w:rPr>
      <w:rFonts w:asciiTheme="majorHAnsi" w:hAnsiTheme="majorHAnsi" w:eastAsiaTheme="majorEastAsia" w:cstheme="majorBidi"/>
      <w:color w:val="366091" w:themeColor="accent1" w:themeShade="BF"/>
      <w:kern w:val="0"/>
      <w:sz w:val="28"/>
      <w:szCs w:val="28"/>
    </w:rPr>
  </w:style>
  <w:style w:type="character" w:customStyle="1" w:styleId="27">
    <w:name w:val="批注框文本 字符"/>
    <w:basedOn w:val="13"/>
    <w:link w:val="7"/>
    <w:semiHidden/>
    <w:qFormat/>
    <w:uiPriority w:val="99"/>
    <w:rPr>
      <w:rFonts w:ascii="Times New Roman" w:hAnsi="Times New Roman"/>
      <w:kern w:val="2"/>
      <w:sz w:val="18"/>
      <w:szCs w:val="18"/>
    </w:rPr>
  </w:style>
  <w:style w:type="character" w:customStyle="1" w:styleId="28">
    <w:name w:val="标题 3 字符"/>
    <w:basedOn w:val="13"/>
    <w:link w:val="4"/>
    <w:qFormat/>
    <w:uiPriority w:val="9"/>
    <w:rPr>
      <w:rFonts w:ascii="Times New Roman" w:hAnsi="Times New Roman"/>
      <w:b/>
      <w:bCs/>
      <w:kern w:val="2"/>
      <w:sz w:val="32"/>
      <w:szCs w:val="32"/>
    </w:rPr>
  </w:style>
  <w:style w:type="paragraph" w:customStyle="1" w:styleId="29">
    <w:name w:val="TOC Heading"/>
    <w:basedOn w:val="2"/>
    <w:next w:val="1"/>
    <w:unhideWhenUsed/>
    <w:qFormat/>
    <w:uiPriority w:val="39"/>
    <w:pPr>
      <w:widowControl/>
      <w:spacing w:before="480" w:after="0" w:line="276" w:lineRule="auto"/>
      <w:jc w:val="left"/>
      <w:outlineLvl w:val="9"/>
    </w:pPr>
    <w:rPr>
      <w:rFonts w:asciiTheme="majorHAnsi" w:hAnsiTheme="majorHAnsi" w:eastAsiaTheme="majorEastAsia" w:cstheme="majorBidi"/>
      <w:color w:val="366091" w:themeColor="accent1" w:themeShade="BF"/>
      <w:kern w:val="0"/>
      <w:sz w:val="28"/>
      <w:szCs w:val="28"/>
    </w:rPr>
  </w:style>
  <w:style w:type="character" w:customStyle="1" w:styleId="30">
    <w:name w:val=" Char Char5"/>
    <w:basedOn w:val="13"/>
    <w:link w:val="3"/>
    <w:qFormat/>
    <w:uiPriority w:val="9"/>
    <w:rPr>
      <w:rFonts w:ascii="Cambria" w:hAnsi="Cambria" w:eastAsia="宋体" w:cs="Times New Roman"/>
      <w:b/>
      <w:bCs/>
      <w:kern w:val="2"/>
      <w:sz w:val="32"/>
      <w:szCs w:val="32"/>
    </w:rPr>
  </w:style>
</w:styles>
</file>

<file path=word/_rels/document.xml.rels><?xml version="1.0" encoding="UTF-8" standalone="yes"?>
<Relationships xmlns="http://schemas.openxmlformats.org/package/2006/relationships"><Relationship Id="rId9" Type="http://schemas.openxmlformats.org/officeDocument/2006/relationships/chart" Target="charts/chart4.xml"/><Relationship Id="rId8" Type="http://schemas.openxmlformats.org/officeDocument/2006/relationships/chart" Target="charts/chart3.xml"/><Relationship Id="rId7" Type="http://schemas.openxmlformats.org/officeDocument/2006/relationships/chart" Target="charts/chart2.xml"/><Relationship Id="rId6" Type="http://schemas.openxmlformats.org/officeDocument/2006/relationships/chart" Target="charts/chart1.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4" Type="http://schemas.openxmlformats.org/officeDocument/2006/relationships/fontTable" Target="fontTable.xml"/><Relationship Id="rId13" Type="http://schemas.openxmlformats.org/officeDocument/2006/relationships/customXml" Target="../customXml/item1.xml"/><Relationship Id="rId12" Type="http://schemas.openxmlformats.org/officeDocument/2006/relationships/numbering" Target="numbering.xml"/><Relationship Id="rId11" Type="http://schemas.openxmlformats.org/officeDocument/2006/relationships/chart" Target="charts/chart6.xml"/><Relationship Id="rId10" Type="http://schemas.openxmlformats.org/officeDocument/2006/relationships/chart" Target="charts/chart5.xml"/><Relationship Id="rId1" Type="http://schemas.openxmlformats.org/officeDocument/2006/relationships/styles" Target="styles.xml"/></Relationships>
</file>

<file path=word/charts/_rels/chart1.xml.rels><?xml version="1.0" encoding="UTF-8" standalone="yes"?>
<Relationships xmlns="http://schemas.openxmlformats.org/package/2006/relationships"><Relationship Id="rId3" Type="http://schemas.microsoft.com/office/2011/relationships/chartColorStyle" Target="colors1.xml"/><Relationship Id="rId2" Type="http://schemas.microsoft.com/office/2011/relationships/chartStyle" Target="style1.xml"/><Relationship Id="rId1" Type="http://schemas.openxmlformats.org/officeDocument/2006/relationships/oleObject" Target="&#24037;&#20316;&#31807;1" TargetMode="External"/></Relationships>
</file>

<file path=word/charts/_rels/chart2.xml.rels><?xml version="1.0" encoding="UTF-8" standalone="yes"?>
<Relationships xmlns="http://schemas.openxmlformats.org/package/2006/relationships"><Relationship Id="rId3" Type="http://schemas.microsoft.com/office/2011/relationships/chartColorStyle" Target="colors2.xml"/><Relationship Id="rId2" Type="http://schemas.microsoft.com/office/2011/relationships/chartStyle" Target="style2.xml"/><Relationship Id="rId1" Type="http://schemas.openxmlformats.org/officeDocument/2006/relationships/oleObject" Target="&#24037;&#20316;&#31807;1" TargetMode="External"/></Relationships>
</file>

<file path=word/charts/_rels/chart3.xml.rels><?xml version="1.0" encoding="UTF-8" standalone="yes"?>
<Relationships xmlns="http://schemas.openxmlformats.org/package/2006/relationships"><Relationship Id="rId3" Type="http://schemas.microsoft.com/office/2011/relationships/chartColorStyle" Target="colors3.xml"/><Relationship Id="rId2" Type="http://schemas.microsoft.com/office/2011/relationships/chartStyle" Target="style3.xml"/><Relationship Id="rId1" Type="http://schemas.openxmlformats.org/officeDocument/2006/relationships/oleObject" Target="&#24037;&#20316;&#31807;1" TargetMode="External"/></Relationships>
</file>

<file path=word/charts/_rels/chart4.xml.rels><?xml version="1.0" encoding="UTF-8" standalone="yes"?>
<Relationships xmlns="http://schemas.openxmlformats.org/package/2006/relationships"><Relationship Id="rId3" Type="http://schemas.microsoft.com/office/2011/relationships/chartColorStyle" Target="colors4.xml"/><Relationship Id="rId2" Type="http://schemas.microsoft.com/office/2011/relationships/chartStyle" Target="style4.xml"/><Relationship Id="rId1" Type="http://schemas.openxmlformats.org/officeDocument/2006/relationships/oleObject" Target="&#24037;&#20316;&#31807;1" TargetMode="External"/></Relationships>
</file>

<file path=word/charts/_rels/chart5.xml.rels><?xml version="1.0" encoding="UTF-8" standalone="yes"?>
<Relationships xmlns="http://schemas.openxmlformats.org/package/2006/relationships"><Relationship Id="rId3" Type="http://schemas.microsoft.com/office/2011/relationships/chartColorStyle" Target="colors5.xml"/><Relationship Id="rId2" Type="http://schemas.microsoft.com/office/2011/relationships/chartStyle" Target="style5.xml"/><Relationship Id="rId1" Type="http://schemas.openxmlformats.org/officeDocument/2006/relationships/oleObject" Target="&#24037;&#20316;&#31807;1" TargetMode="External"/></Relationships>
</file>

<file path=word/charts/_rels/chart6.xml.rels><?xml version="1.0" encoding="UTF-8" standalone="yes"?>
<Relationships xmlns="http://schemas.openxmlformats.org/package/2006/relationships"><Relationship Id="rId3" Type="http://schemas.microsoft.com/office/2011/relationships/chartColorStyle" Target="colors6.xml"/><Relationship Id="rId2" Type="http://schemas.microsoft.com/office/2011/relationships/chartStyle" Target="style6.xml"/><Relationship Id="rId1" Type="http://schemas.openxmlformats.org/officeDocument/2006/relationships/oleObject" Target="&#24037;&#20316;&#31807;1" TargetMode="Externa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defTabSz="914400">
              <a:defRPr lang="zh-CN" sz="1400" b="0" i="0" u="none" strike="noStrike" kern="1200" spc="0" baseline="0">
                <a:solidFill>
                  <a:schemeClr val="tx1">
                    <a:lumMod val="65000"/>
                    <a:lumOff val="35000"/>
                  </a:schemeClr>
                </a:solidFill>
                <a:latin typeface="+mn-lt"/>
                <a:ea typeface="+mn-ea"/>
                <a:cs typeface="+mn-cs"/>
              </a:defRPr>
            </a:pPr>
            <a:r>
              <a:t>收入支出表</a:t>
            </a:r>
          </a:p>
        </c:rich>
      </c:tx>
      <c:layout/>
      <c:overlay val="0"/>
      <c:spPr>
        <a:noFill/>
        <a:ln>
          <a:noFill/>
        </a:ln>
        <a:effectLst/>
      </c:spPr>
    </c:title>
    <c:autoTitleDeleted val="0"/>
    <c:plotArea>
      <c:layout/>
      <c:barChart>
        <c:barDir val="col"/>
        <c:grouping val="clustered"/>
        <c:varyColors val="0"/>
        <c:ser>
          <c:idx val="0"/>
          <c:order val="0"/>
          <c:tx>
            <c:strRef>
              <c:f>[工作簿1]Sheet1!$L$2</c:f>
              <c:strCache>
                <c:ptCount val="1"/>
                <c:pt idx="0">
                  <c:v>2018年度</c:v>
                </c:pt>
              </c:strCache>
            </c:strRef>
          </c:tx>
          <c:spPr>
            <a:solidFill>
              <a:schemeClr val="accent1"/>
            </a:solidFill>
            <a:ln>
              <a:noFill/>
            </a:ln>
            <a:effectLst/>
          </c:spPr>
          <c:invertIfNegative val="0"/>
          <c:dLbls>
            <c:delete val="1"/>
          </c:dLbls>
          <c:cat>
            <c:strRef>
              <c:f>[工作簿1]Sheet1!$M$1:$N$1</c:f>
              <c:strCache>
                <c:ptCount val="2"/>
                <c:pt idx="0">
                  <c:v>支出</c:v>
                </c:pt>
                <c:pt idx="1">
                  <c:v>收入</c:v>
                </c:pt>
              </c:strCache>
            </c:strRef>
          </c:cat>
          <c:val>
            <c:numRef>
              <c:f>[工作簿1]Sheet1!$M$2:$N$2</c:f>
              <c:numCache>
                <c:formatCode>General</c:formatCode>
                <c:ptCount val="2"/>
                <c:pt idx="0">
                  <c:v>245.57</c:v>
                </c:pt>
                <c:pt idx="1">
                  <c:v>245.57</c:v>
                </c:pt>
              </c:numCache>
            </c:numRef>
          </c:val>
        </c:ser>
        <c:ser>
          <c:idx val="1"/>
          <c:order val="1"/>
          <c:tx>
            <c:strRef>
              <c:f>[工作簿1]Sheet1!$L$3</c:f>
              <c:strCache>
                <c:ptCount val="1"/>
                <c:pt idx="0">
                  <c:v>2019年度</c:v>
                </c:pt>
              </c:strCache>
            </c:strRef>
          </c:tx>
          <c:spPr>
            <a:solidFill>
              <a:schemeClr val="accent2"/>
            </a:solidFill>
            <a:ln>
              <a:noFill/>
            </a:ln>
            <a:effectLst/>
          </c:spPr>
          <c:invertIfNegative val="0"/>
          <c:dLbls>
            <c:delete val="1"/>
          </c:dLbls>
          <c:cat>
            <c:strRef>
              <c:f>[工作簿1]Sheet1!$M$1:$N$1</c:f>
              <c:strCache>
                <c:ptCount val="2"/>
                <c:pt idx="0">
                  <c:v>支出</c:v>
                </c:pt>
                <c:pt idx="1">
                  <c:v>收入</c:v>
                </c:pt>
              </c:strCache>
            </c:strRef>
          </c:cat>
          <c:val>
            <c:numRef>
              <c:f>[工作簿1]Sheet1!$M$3:$N$3</c:f>
              <c:numCache>
                <c:formatCode>General</c:formatCode>
                <c:ptCount val="2"/>
                <c:pt idx="0">
                  <c:v>521.85</c:v>
                </c:pt>
                <c:pt idx="1">
                  <c:v>521.85</c:v>
                </c:pt>
              </c:numCache>
            </c:numRef>
          </c:val>
        </c:ser>
        <c:dLbls>
          <c:showLegendKey val="0"/>
          <c:showVal val="0"/>
          <c:showCatName val="0"/>
          <c:showSerName val="0"/>
          <c:showPercent val="0"/>
          <c:showBubbleSize val="0"/>
        </c:dLbls>
        <c:gapWidth val="150"/>
        <c:overlap val="0"/>
        <c:axId val="146787569"/>
        <c:axId val="979099858"/>
      </c:barChart>
      <c:catAx>
        <c:axId val="146787569"/>
        <c:scaling>
          <c:orientation val="minMax"/>
        </c:scaling>
        <c:delete val="0"/>
        <c:axPos val="b"/>
        <c:majorTickMark val="none"/>
        <c:minorTickMark val="none"/>
        <c:tickLblPos val="nextTo"/>
        <c:spPr>
          <a:noFill/>
          <a:ln w="9525" cap="flat" cmpd="sng" algn="ctr">
            <a:solidFill>
              <a:schemeClr val="tx1">
                <a:lumMod val="15000"/>
                <a:lumOff val="85000"/>
              </a:schemeClr>
            </a:solidFill>
            <a:round/>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979099858"/>
        <c:crosses val="autoZero"/>
        <c:auto val="1"/>
        <c:lblAlgn val="ctr"/>
        <c:lblOffset val="100"/>
        <c:noMultiLvlLbl val="0"/>
      </c:catAx>
      <c:valAx>
        <c:axId val="979099858"/>
        <c:scaling>
          <c:orientation val="minMax"/>
        </c:scaling>
        <c:delete val="0"/>
        <c:axPos val="l"/>
        <c:majorGridlines>
          <c:spPr>
            <a:ln w="9525" cap="flat" cmpd="sng" algn="ctr">
              <a:solidFill>
                <a:schemeClr val="tx1">
                  <a:lumMod val="15000"/>
                  <a:lumOff val="85000"/>
                </a:schemeClr>
              </a:solidFill>
              <a:round/>
            </a:ln>
            <a:effectLst/>
          </c:spPr>
        </c:majorGridlines>
        <c:title>
          <c:layout/>
          <c:overlay val="0"/>
          <c:spPr>
            <a:noFill/>
            <a:ln>
              <a:noFill/>
            </a:ln>
            <a:effectLst/>
          </c:spPr>
          <c:txPr>
            <a:bodyPr rot="-5400000" spcFirstLastPara="0" vertOverflow="ellipsis" vert="horz" wrap="square" anchor="ctr" anchorCtr="1"/>
            <a:lstStyle/>
            <a:p>
              <a:pPr>
                <a:defRPr lang="zh-CN" sz="1000" b="0" i="0" u="none" strike="noStrike" kern="1200" baseline="0">
                  <a:solidFill>
                    <a:schemeClr val="tx1">
                      <a:lumMod val="65000"/>
                      <a:lumOff val="35000"/>
                    </a:schemeClr>
                  </a:solidFill>
                  <a:latin typeface="+mn-lt"/>
                  <a:ea typeface="+mn-ea"/>
                  <a:cs typeface="+mn-cs"/>
                </a:defRPr>
              </a:pPr>
            </a:p>
          </c:txPr>
        </c:title>
        <c:numFmt formatCode="General" sourceLinked="1"/>
        <c:majorTickMark val="none"/>
        <c:minorTickMark val="none"/>
        <c:tickLblPos val="nextTo"/>
        <c:spPr>
          <a:noFill/>
          <a:ln>
            <a:noFill/>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146787569"/>
        <c:crosses val="autoZero"/>
        <c:crossBetween val="between"/>
      </c:valAx>
      <c:dTable>
        <c:showHorzBorder val="1"/>
        <c:showVertBorder val="1"/>
        <c:showOutline val="1"/>
        <c:showKeys val="1"/>
        <c:spPr>
          <a:noFill/>
          <a:ln w="9525" cap="flat" cmpd="sng" algn="ctr">
            <a:solidFill>
              <a:schemeClr val="tx1">
                <a:lumMod val="15000"/>
                <a:lumOff val="85000"/>
              </a:schemeClr>
            </a:solidFill>
            <a:round/>
          </a:ln>
          <a:effectLst/>
        </c:spPr>
        <c:txPr>
          <a:bodyPr rot="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dTable>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lang="zh-CN"/>
      </a:pPr>
    </a:p>
  </c:txPr>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layout/>
      <c:overlay val="0"/>
      <c:spPr>
        <a:noFill/>
        <a:ln>
          <a:noFill/>
        </a:ln>
        <a:effectLst/>
      </c:spPr>
      <c:txPr>
        <a:bodyPr rot="0" spcFirstLastPara="0" vertOverflow="ellipsis" vert="horz" wrap="square" anchor="ctr" anchorCtr="1"/>
        <a:lstStyle/>
        <a:p>
          <a:pPr>
            <a:defRPr lang="zh-CN" sz="1400" b="0" i="0" u="none" strike="noStrike" kern="1200" spc="0" baseline="0">
              <a:solidFill>
                <a:schemeClr val="tx1">
                  <a:lumMod val="65000"/>
                  <a:lumOff val="35000"/>
                </a:schemeClr>
              </a:solidFill>
              <a:latin typeface="+mn-lt"/>
              <a:ea typeface="+mn-ea"/>
              <a:cs typeface="+mn-cs"/>
            </a:defRPr>
          </a:pPr>
        </a:p>
      </c:txPr>
    </c:title>
    <c:autoTitleDeleted val="0"/>
    <c:plotArea>
      <c:layout/>
      <c:pieChart>
        <c:varyColors val="1"/>
        <c:ser>
          <c:idx val="0"/>
          <c:order val="0"/>
          <c:tx>
            <c:strRef>
              <c:f>[工作簿1]Sheet1!$B$10</c:f>
              <c:strCache>
                <c:ptCount val="1"/>
                <c:pt idx="0">
                  <c:v>2019年度收入</c:v>
                </c:pt>
              </c:strCache>
            </c:strRef>
          </c:tx>
          <c:spPr/>
          <c:explosion val="0"/>
          <c:dPt>
            <c:idx val="0"/>
            <c:bubble3D val="0"/>
            <c:spPr>
              <a:solidFill>
                <a:schemeClr val="accent1"/>
              </a:solidFill>
              <a:ln w="19050">
                <a:solidFill>
                  <a:schemeClr val="lt1"/>
                </a:solidFill>
              </a:ln>
              <a:effectLst/>
            </c:spPr>
          </c:dPt>
          <c:dPt>
            <c:idx val="1"/>
            <c:bubble3D val="0"/>
            <c:spPr>
              <a:solidFill>
                <a:schemeClr val="accent2"/>
              </a:solidFill>
              <a:ln w="19050">
                <a:solidFill>
                  <a:schemeClr val="lt1"/>
                </a:solidFill>
              </a:ln>
              <a:effectLst/>
            </c:spPr>
          </c:dPt>
          <c:dPt>
            <c:idx val="2"/>
            <c:bubble3D val="0"/>
            <c:spPr>
              <a:solidFill>
                <a:schemeClr val="accent3"/>
              </a:solidFill>
              <a:ln w="19050">
                <a:solidFill>
                  <a:schemeClr val="lt1"/>
                </a:solidFill>
              </a:ln>
              <a:effectLst/>
            </c:spPr>
          </c:dPt>
          <c:dPt>
            <c:idx val="3"/>
            <c:bubble3D val="0"/>
            <c:spPr>
              <a:solidFill>
                <a:schemeClr val="accent4"/>
              </a:solidFill>
              <a:ln w="19050">
                <a:solidFill>
                  <a:schemeClr val="lt1"/>
                </a:solidFill>
              </a:ln>
              <a:effectLst/>
            </c:spPr>
          </c:dPt>
          <c:dPt>
            <c:idx val="4"/>
            <c:bubble3D val="0"/>
            <c:spPr>
              <a:solidFill>
                <a:schemeClr val="accent5"/>
              </a:solidFill>
              <a:ln w="19050">
                <a:solidFill>
                  <a:schemeClr val="lt1"/>
                </a:solidFill>
              </a:ln>
              <a:effectLst/>
            </c:spPr>
          </c:dPt>
          <c:dPt>
            <c:idx val="5"/>
            <c:bubble3D val="0"/>
            <c:spPr>
              <a:solidFill>
                <a:schemeClr val="accent6"/>
              </a:solidFill>
              <a:ln w="19050">
                <a:solidFill>
                  <a:schemeClr val="lt1"/>
                </a:solidFill>
              </a:ln>
              <a:effectLst/>
            </c:spPr>
          </c:dPt>
          <c:dPt>
            <c:idx val="6"/>
            <c:bubble3D val="0"/>
            <c:spPr>
              <a:solidFill>
                <a:schemeClr val="accent1">
                  <a:lumMod val="60000"/>
                </a:schemeClr>
              </a:solidFill>
              <a:ln w="19050">
                <a:solidFill>
                  <a:schemeClr val="lt1"/>
                </a:solidFill>
              </a:ln>
              <a:effectLst/>
            </c:spPr>
          </c:dPt>
          <c:dLbls>
            <c:spPr>
              <a:noFill/>
              <a:ln>
                <a:noFill/>
              </a:ln>
              <a:effectLst/>
            </c:spPr>
            <c:txPr>
              <a:bodyPr rot="0" spcFirstLastPara="0" vertOverflow="ellipsis" vert="horz" wrap="square" lIns="38100" tIns="19050" rIns="38100" bIns="19050" anchor="ctr" anchorCtr="1"/>
              <a:lstStyle/>
              <a:p>
                <a:pPr>
                  <a:defRPr lang="zh-CN" sz="900" b="0" i="0" u="none" strike="noStrike" kern="1200" baseline="0">
                    <a:solidFill>
                      <a:schemeClr val="tx1">
                        <a:lumMod val="75000"/>
                        <a:lumOff val="25000"/>
                      </a:schemeClr>
                    </a:solidFill>
                    <a:latin typeface="+mn-lt"/>
                    <a:ea typeface="+mn-ea"/>
                    <a:cs typeface="+mn-cs"/>
                  </a:defRPr>
                </a:pPr>
              </a:p>
            </c:txPr>
            <c:dLblPos val="inEnd"/>
            <c:showLegendKey val="0"/>
            <c:showVal val="0"/>
            <c:showCatName val="0"/>
            <c:showSerName val="0"/>
            <c:showPercent val="1"/>
            <c:showBubbleSize val="0"/>
            <c:showLeaderLines val="1"/>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[工作簿1]Sheet1!$A$11:$A$17</c:f>
              <c:strCache>
                <c:ptCount val="7"/>
                <c:pt idx="0">
                  <c:v>一般公共预算财政拨款收入</c:v>
                </c:pt>
                <c:pt idx="1">
                  <c:v>政府性基金预算财政拨款收入</c:v>
                </c:pt>
                <c:pt idx="2">
                  <c:v>上级补助收入</c:v>
                </c:pt>
                <c:pt idx="3">
                  <c:v>事业收入</c:v>
                </c:pt>
                <c:pt idx="4">
                  <c:v>经营收入</c:v>
                </c:pt>
                <c:pt idx="5">
                  <c:v>附属单位上缴收入</c:v>
                </c:pt>
                <c:pt idx="6">
                  <c:v>其他收入</c:v>
                </c:pt>
              </c:strCache>
            </c:strRef>
          </c:cat>
          <c:val>
            <c:numRef>
              <c:f>[工作簿1]Sheet1!$B$11:$B$17</c:f>
              <c:numCache>
                <c:formatCode>General</c:formatCode>
                <c:ptCount val="7"/>
                <c:pt idx="0">
                  <c:v>516.88</c:v>
                </c:pt>
                <c:pt idx="1">
                  <c:v>0</c:v>
                </c:pt>
                <c:pt idx="2">
                  <c:v>0</c:v>
                </c:pt>
                <c:pt idx="3">
                  <c:v>0</c:v>
                </c:pt>
                <c:pt idx="4">
                  <c:v>0</c:v>
                </c:pt>
                <c:pt idx="5">
                  <c:v>0</c:v>
                </c:pt>
                <c:pt idx="6">
                  <c:v>0</c:v>
                </c:pt>
              </c:numCache>
            </c:numRef>
          </c:val>
        </c:ser>
        <c:dLbls>
          <c:showLegendKey val="0"/>
          <c:showVal val="0"/>
          <c:showCatName val="0"/>
          <c:showSerName val="0"/>
          <c:showPercent val="1"/>
          <c:showBubbleSize val="0"/>
          <c:showLeaderLines val="1"/>
        </c:dLbls>
        <c:firstSliceAng val="0"/>
      </c:pieChart>
      <c:spPr>
        <a:noFill/>
        <a:ln>
          <a:noFill/>
        </a:ln>
        <a:effectLst/>
      </c:spPr>
    </c:plotArea>
    <c:legend>
      <c:legendPos val="r"/>
      <c:layout/>
      <c:overlay val="0"/>
      <c:spPr>
        <a:noFill/>
        <a:ln>
          <a:noFill/>
        </a:ln>
        <a:effectLst/>
      </c:spPr>
      <c:txPr>
        <a:bodyPr rot="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lang="zh-CN"/>
      </a:pPr>
    </a:p>
  </c:txPr>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layout/>
      <c:overlay val="0"/>
      <c:spPr>
        <a:noFill/>
        <a:ln>
          <a:noFill/>
        </a:ln>
        <a:effectLst/>
      </c:spPr>
      <c:txPr>
        <a:bodyPr rot="0" spcFirstLastPara="0" vertOverflow="ellipsis" vert="horz" wrap="square" anchor="ctr" anchorCtr="1"/>
        <a:lstStyle/>
        <a:p>
          <a:pPr>
            <a:defRPr lang="zh-CN" sz="1400" b="0" i="0" u="none" strike="noStrike" kern="1200" spc="0" baseline="0">
              <a:solidFill>
                <a:schemeClr val="tx1">
                  <a:lumMod val="65000"/>
                  <a:lumOff val="35000"/>
                </a:schemeClr>
              </a:solidFill>
              <a:latin typeface="+mn-lt"/>
              <a:ea typeface="+mn-ea"/>
              <a:cs typeface="+mn-cs"/>
            </a:defRPr>
          </a:pPr>
        </a:p>
      </c:txPr>
    </c:title>
    <c:autoTitleDeleted val="0"/>
    <c:plotArea>
      <c:layout/>
      <c:pieChart>
        <c:varyColors val="1"/>
        <c:ser>
          <c:idx val="0"/>
          <c:order val="0"/>
          <c:tx>
            <c:strRef>
              <c:f>[工作簿1]Sheet1!$B$10</c:f>
              <c:strCache>
                <c:ptCount val="1"/>
                <c:pt idx="0">
                  <c:v>2019年度支出</c:v>
                </c:pt>
              </c:strCache>
            </c:strRef>
          </c:tx>
          <c:spPr/>
          <c:explosion val="0"/>
          <c:dPt>
            <c:idx val="0"/>
            <c:bubble3D val="0"/>
            <c:spPr>
              <a:solidFill>
                <a:schemeClr val="accent1"/>
              </a:solidFill>
              <a:ln w="19050">
                <a:solidFill>
                  <a:schemeClr val="lt1"/>
                </a:solidFill>
              </a:ln>
              <a:effectLst/>
            </c:spPr>
          </c:dPt>
          <c:dPt>
            <c:idx val="1"/>
            <c:bubble3D val="0"/>
            <c:spPr>
              <a:solidFill>
                <a:schemeClr val="accent2"/>
              </a:solidFill>
              <a:ln w="19050">
                <a:solidFill>
                  <a:schemeClr val="lt1"/>
                </a:solidFill>
              </a:ln>
              <a:effectLst/>
            </c:spPr>
          </c:dPt>
          <c:dPt>
            <c:idx val="2"/>
            <c:bubble3D val="0"/>
            <c:spPr>
              <a:solidFill>
                <a:schemeClr val="accent3"/>
              </a:solidFill>
              <a:ln w="19050">
                <a:solidFill>
                  <a:schemeClr val="lt1"/>
                </a:solidFill>
              </a:ln>
              <a:effectLst/>
            </c:spPr>
          </c:dPt>
          <c:dPt>
            <c:idx val="3"/>
            <c:bubble3D val="0"/>
            <c:spPr>
              <a:solidFill>
                <a:schemeClr val="accent4"/>
              </a:solidFill>
              <a:ln w="19050">
                <a:solidFill>
                  <a:schemeClr val="lt1"/>
                </a:solidFill>
              </a:ln>
              <a:effectLst/>
            </c:spPr>
          </c:dPt>
          <c:dPt>
            <c:idx val="4"/>
            <c:bubble3D val="0"/>
            <c:spPr>
              <a:solidFill>
                <a:schemeClr val="accent5"/>
              </a:solidFill>
              <a:ln w="19050">
                <a:solidFill>
                  <a:schemeClr val="lt1"/>
                </a:solidFill>
              </a:ln>
              <a:effectLst/>
            </c:spPr>
          </c:dPt>
          <c:dLbls>
            <c:spPr>
              <a:noFill/>
              <a:ln>
                <a:noFill/>
              </a:ln>
              <a:effectLst/>
            </c:spPr>
            <c:txPr>
              <a:bodyPr rot="0" spcFirstLastPara="0" vertOverflow="ellipsis" vert="horz" wrap="square" lIns="38100" tIns="19050" rIns="38100" bIns="19050" anchor="ctr" anchorCtr="1"/>
              <a:lstStyle/>
              <a:p>
                <a:pPr>
                  <a:defRPr lang="zh-CN" sz="900" b="0" i="0" u="none" strike="noStrike" kern="1200" baseline="0">
                    <a:solidFill>
                      <a:schemeClr val="tx1">
                        <a:lumMod val="75000"/>
                        <a:lumOff val="25000"/>
                      </a:schemeClr>
                    </a:solidFill>
                    <a:latin typeface="+mn-lt"/>
                    <a:ea typeface="+mn-ea"/>
                    <a:cs typeface="+mn-cs"/>
                  </a:defRPr>
                </a:pPr>
              </a:p>
            </c:txPr>
            <c:dLblPos val="inEnd"/>
            <c:showLegendKey val="0"/>
            <c:showVal val="0"/>
            <c:showCatName val="0"/>
            <c:showSerName val="0"/>
            <c:showPercent val="1"/>
            <c:showBubbleSize val="0"/>
            <c:showLeaderLines val="1"/>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[工作簿1]Sheet1!$A$11:$A$15</c:f>
              <c:strCache>
                <c:ptCount val="5"/>
                <c:pt idx="0">
                  <c:v>基本支出</c:v>
                </c:pt>
                <c:pt idx="1">
                  <c:v>项目支出</c:v>
                </c:pt>
                <c:pt idx="2">
                  <c:v>上缴上级支出</c:v>
                </c:pt>
                <c:pt idx="3">
                  <c:v>经营支出</c:v>
                </c:pt>
                <c:pt idx="4">
                  <c:v>对附属单位补助支出</c:v>
                </c:pt>
              </c:strCache>
            </c:strRef>
          </c:cat>
          <c:val>
            <c:numRef>
              <c:f>[工作簿1]Sheet1!$B$11:$B$15</c:f>
              <c:numCache>
                <c:formatCode>General</c:formatCode>
                <c:ptCount val="5"/>
                <c:pt idx="0">
                  <c:v>220.44</c:v>
                </c:pt>
                <c:pt idx="1">
                  <c:v>301.41</c:v>
                </c:pt>
                <c:pt idx="2">
                  <c:v>0</c:v>
                </c:pt>
                <c:pt idx="3">
                  <c:v>0</c:v>
                </c:pt>
                <c:pt idx="4">
                  <c:v>0</c:v>
                </c:pt>
              </c:numCache>
            </c:numRef>
          </c:val>
        </c:ser>
        <c:dLbls>
          <c:showLegendKey val="0"/>
          <c:showVal val="0"/>
          <c:showCatName val="0"/>
          <c:showSerName val="0"/>
          <c:showPercent val="1"/>
          <c:showBubbleSize val="0"/>
          <c:showLeaderLines val="1"/>
        </c:dLbls>
        <c:firstSliceAng val="0"/>
      </c:pieChart>
      <c:spPr>
        <a:noFill/>
        <a:ln>
          <a:noFill/>
        </a:ln>
        <a:effectLst/>
      </c:spPr>
    </c:plotArea>
    <c:legend>
      <c:legendPos val="r"/>
      <c:layout/>
      <c:overlay val="0"/>
      <c:spPr>
        <a:noFill/>
        <a:ln>
          <a:noFill/>
        </a:ln>
        <a:effectLst/>
      </c:spPr>
      <c:txPr>
        <a:bodyPr rot="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lang="zh-CN"/>
      </a:pPr>
    </a:p>
  </c:txPr>
  <c:externalData r:id="rId1">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defTabSz="914400">
              <a:defRPr lang="zh-CN" sz="1400" b="0" i="0" u="none" strike="noStrike" kern="1200" spc="0" baseline="0">
                <a:solidFill>
                  <a:schemeClr val="tx1">
                    <a:lumMod val="65000"/>
                    <a:lumOff val="35000"/>
                  </a:schemeClr>
                </a:solidFill>
                <a:latin typeface="+mn-lt"/>
                <a:ea typeface="+mn-ea"/>
                <a:cs typeface="+mn-cs"/>
              </a:defRPr>
            </a:pPr>
            <a:r>
              <a:t>财政拨款收入支出表</a:t>
            </a:r>
          </a:p>
        </c:rich>
      </c:tx>
      <c:layout/>
      <c:overlay val="0"/>
      <c:spPr>
        <a:noFill/>
        <a:ln>
          <a:noFill/>
        </a:ln>
        <a:effectLst/>
      </c:spPr>
    </c:title>
    <c:autoTitleDeleted val="0"/>
    <c:plotArea>
      <c:layout/>
      <c:barChart>
        <c:barDir val="col"/>
        <c:grouping val="clustered"/>
        <c:varyColors val="0"/>
        <c:ser>
          <c:idx val="0"/>
          <c:order val="0"/>
          <c:tx>
            <c:strRef>
              <c:f>[工作簿1]Sheet1!$L$2</c:f>
              <c:strCache>
                <c:ptCount val="1"/>
                <c:pt idx="0">
                  <c:v>2018年度</c:v>
                </c:pt>
              </c:strCache>
            </c:strRef>
          </c:tx>
          <c:spPr>
            <a:solidFill>
              <a:schemeClr val="accent1"/>
            </a:solidFill>
            <a:ln>
              <a:noFill/>
            </a:ln>
            <a:effectLst/>
          </c:spPr>
          <c:invertIfNegative val="0"/>
          <c:dLbls>
            <c:delete val="1"/>
          </c:dLbls>
          <c:cat>
            <c:strRef>
              <c:f>[工作簿1]Sheet1!$M$1:$N$1</c:f>
              <c:strCache>
                <c:ptCount val="2"/>
                <c:pt idx="0">
                  <c:v>财政拨款支出</c:v>
                </c:pt>
                <c:pt idx="1">
                  <c:v>财政拨款收入</c:v>
                </c:pt>
              </c:strCache>
            </c:strRef>
          </c:cat>
          <c:val>
            <c:numRef>
              <c:f>[工作簿1]Sheet1!$M$2:$N$2</c:f>
              <c:numCache>
                <c:formatCode>General</c:formatCode>
                <c:ptCount val="2"/>
                <c:pt idx="0">
                  <c:v>245.57</c:v>
                </c:pt>
                <c:pt idx="1">
                  <c:v>245.57</c:v>
                </c:pt>
              </c:numCache>
            </c:numRef>
          </c:val>
        </c:ser>
        <c:ser>
          <c:idx val="1"/>
          <c:order val="1"/>
          <c:tx>
            <c:strRef>
              <c:f>[工作簿1]Sheet1!$L$3</c:f>
              <c:strCache>
                <c:ptCount val="1"/>
                <c:pt idx="0">
                  <c:v>2019年度</c:v>
                </c:pt>
              </c:strCache>
            </c:strRef>
          </c:tx>
          <c:spPr>
            <a:solidFill>
              <a:schemeClr val="accent2"/>
            </a:solidFill>
            <a:ln>
              <a:noFill/>
            </a:ln>
            <a:effectLst/>
          </c:spPr>
          <c:invertIfNegative val="0"/>
          <c:dLbls>
            <c:delete val="1"/>
          </c:dLbls>
          <c:cat>
            <c:strRef>
              <c:f>[工作簿1]Sheet1!$M$1:$N$1</c:f>
              <c:strCache>
                <c:ptCount val="2"/>
                <c:pt idx="0">
                  <c:v>财政拨款支出</c:v>
                </c:pt>
                <c:pt idx="1">
                  <c:v>财政拨款收入</c:v>
                </c:pt>
              </c:strCache>
            </c:strRef>
          </c:cat>
          <c:val>
            <c:numRef>
              <c:f>[工作簿1]Sheet1!$M$3:$N$3</c:f>
              <c:numCache>
                <c:formatCode>General</c:formatCode>
                <c:ptCount val="2"/>
                <c:pt idx="0">
                  <c:v>521.85</c:v>
                </c:pt>
                <c:pt idx="1">
                  <c:v>521.85</c:v>
                </c:pt>
              </c:numCache>
            </c:numRef>
          </c:val>
        </c:ser>
        <c:dLbls>
          <c:showLegendKey val="0"/>
          <c:showVal val="0"/>
          <c:showCatName val="0"/>
          <c:showSerName val="0"/>
          <c:showPercent val="0"/>
          <c:showBubbleSize val="0"/>
        </c:dLbls>
        <c:gapWidth val="150"/>
        <c:overlap val="0"/>
        <c:axId val="146787569"/>
        <c:axId val="979099858"/>
      </c:barChart>
      <c:catAx>
        <c:axId val="146787569"/>
        <c:scaling>
          <c:orientation val="minMax"/>
        </c:scaling>
        <c:delete val="0"/>
        <c:axPos val="b"/>
        <c:majorTickMark val="none"/>
        <c:minorTickMark val="none"/>
        <c:tickLblPos val="nextTo"/>
        <c:spPr>
          <a:noFill/>
          <a:ln w="9525" cap="flat" cmpd="sng" algn="ctr">
            <a:solidFill>
              <a:schemeClr val="tx1">
                <a:lumMod val="15000"/>
                <a:lumOff val="85000"/>
              </a:schemeClr>
            </a:solidFill>
            <a:round/>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979099858"/>
        <c:crosses val="autoZero"/>
        <c:auto val="1"/>
        <c:lblAlgn val="ctr"/>
        <c:lblOffset val="100"/>
        <c:noMultiLvlLbl val="0"/>
      </c:catAx>
      <c:valAx>
        <c:axId val="979099858"/>
        <c:scaling>
          <c:orientation val="minMax"/>
        </c:scaling>
        <c:delete val="0"/>
        <c:axPos val="l"/>
        <c:majorGridlines>
          <c:spPr>
            <a:ln w="9525" cap="flat" cmpd="sng" algn="ctr">
              <a:solidFill>
                <a:schemeClr val="tx1">
                  <a:lumMod val="15000"/>
                  <a:lumOff val="85000"/>
                </a:schemeClr>
              </a:solidFill>
              <a:round/>
            </a:ln>
            <a:effectLst/>
          </c:spPr>
        </c:majorGridlines>
        <c:title>
          <c:layout/>
          <c:overlay val="0"/>
          <c:spPr>
            <a:noFill/>
            <a:ln>
              <a:noFill/>
            </a:ln>
            <a:effectLst/>
          </c:spPr>
          <c:txPr>
            <a:bodyPr rot="-5400000" spcFirstLastPara="0" vertOverflow="ellipsis" vert="horz" wrap="square" anchor="ctr" anchorCtr="1"/>
            <a:lstStyle/>
            <a:p>
              <a:pPr>
                <a:defRPr lang="zh-CN" sz="1000" b="0" i="0" u="none" strike="noStrike" kern="1200" baseline="0">
                  <a:solidFill>
                    <a:schemeClr val="tx1">
                      <a:lumMod val="65000"/>
                      <a:lumOff val="35000"/>
                    </a:schemeClr>
                  </a:solidFill>
                  <a:latin typeface="+mn-lt"/>
                  <a:ea typeface="+mn-ea"/>
                  <a:cs typeface="+mn-cs"/>
                </a:defRPr>
              </a:pPr>
            </a:p>
          </c:txPr>
        </c:title>
        <c:numFmt formatCode="General" sourceLinked="1"/>
        <c:majorTickMark val="none"/>
        <c:minorTickMark val="none"/>
        <c:tickLblPos val="nextTo"/>
        <c:spPr>
          <a:noFill/>
          <a:ln>
            <a:noFill/>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146787569"/>
        <c:crosses val="autoZero"/>
        <c:crossBetween val="between"/>
      </c:valAx>
      <c:dTable>
        <c:showHorzBorder val="1"/>
        <c:showVertBorder val="1"/>
        <c:showOutline val="1"/>
        <c:showKeys val="1"/>
        <c:spPr>
          <a:noFill/>
          <a:ln w="9525" cap="flat" cmpd="sng" algn="ctr">
            <a:solidFill>
              <a:schemeClr val="tx1">
                <a:lumMod val="15000"/>
                <a:lumOff val="85000"/>
              </a:schemeClr>
            </a:solidFill>
            <a:round/>
          </a:ln>
          <a:effectLst/>
        </c:spPr>
        <c:txPr>
          <a:bodyPr rot="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dTable>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lang="zh-CN"/>
      </a:pPr>
    </a:p>
  </c:txPr>
  <c:externalData r:id="rId1">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defTabSz="914400">
              <a:defRPr lang="zh-CN" sz="1400" b="0" i="0" u="none" strike="noStrike" kern="1200" spc="0" baseline="0">
                <a:solidFill>
                  <a:schemeClr val="tx1">
                    <a:lumMod val="65000"/>
                    <a:lumOff val="35000"/>
                  </a:schemeClr>
                </a:solidFill>
                <a:latin typeface="+mn-lt"/>
                <a:ea typeface="+mn-ea"/>
                <a:cs typeface="+mn-cs"/>
              </a:defRPr>
            </a:pPr>
            <a:r>
              <a:t>一般公共预算财政拨款支出表</a:t>
            </a:r>
          </a:p>
        </c:rich>
      </c:tx>
      <c:layout/>
      <c:overlay val="0"/>
      <c:spPr>
        <a:noFill/>
        <a:ln>
          <a:noFill/>
        </a:ln>
        <a:effectLst/>
      </c:spPr>
    </c:title>
    <c:autoTitleDeleted val="0"/>
    <c:plotArea>
      <c:layout/>
      <c:barChart>
        <c:barDir val="col"/>
        <c:grouping val="clustered"/>
        <c:varyColors val="0"/>
        <c:ser>
          <c:idx val="0"/>
          <c:order val="0"/>
          <c:tx>
            <c:strRef>
              <c:f>[工作簿1]Sheet1!$L$2</c:f>
              <c:strCache>
                <c:ptCount val="1"/>
                <c:pt idx="0">
                  <c:v>2018年度</c:v>
                </c:pt>
              </c:strCache>
            </c:strRef>
          </c:tx>
          <c:spPr>
            <a:solidFill>
              <a:schemeClr val="accent1"/>
            </a:solidFill>
            <a:ln>
              <a:noFill/>
            </a:ln>
            <a:effectLst/>
          </c:spPr>
          <c:invertIfNegative val="0"/>
          <c:dLbls>
            <c:delete val="1"/>
          </c:dLbls>
          <c:cat>
            <c:strRef>
              <c:f>[工作簿1]Sheet1!$M$1:$N$1</c:f>
              <c:strCache>
                <c:ptCount val="2"/>
                <c:pt idx="0">
                  <c:v>一般公共预算财政拨款支出</c:v>
                </c:pt>
              </c:strCache>
            </c:strRef>
          </c:cat>
          <c:val>
            <c:numRef>
              <c:f>[工作簿1]Sheet1!$M$2:$N$2</c:f>
              <c:numCache>
                <c:formatCode>General</c:formatCode>
                <c:ptCount val="2"/>
                <c:pt idx="0">
                  <c:v>245.57</c:v>
                </c:pt>
              </c:numCache>
            </c:numRef>
          </c:val>
        </c:ser>
        <c:ser>
          <c:idx val="1"/>
          <c:order val="1"/>
          <c:tx>
            <c:strRef>
              <c:f>[工作簿1]Sheet1!$L$3</c:f>
              <c:strCache>
                <c:ptCount val="1"/>
                <c:pt idx="0">
                  <c:v>2019年度</c:v>
                </c:pt>
              </c:strCache>
            </c:strRef>
          </c:tx>
          <c:spPr>
            <a:solidFill>
              <a:schemeClr val="accent2"/>
            </a:solidFill>
            <a:ln>
              <a:noFill/>
            </a:ln>
            <a:effectLst/>
          </c:spPr>
          <c:invertIfNegative val="0"/>
          <c:dLbls>
            <c:delete val="1"/>
          </c:dLbls>
          <c:cat>
            <c:strRef>
              <c:f>[工作簿1]Sheet1!$M$1:$N$1</c:f>
              <c:strCache>
                <c:ptCount val="2"/>
                <c:pt idx="0">
                  <c:v>一般公共预算财政拨款支出</c:v>
                </c:pt>
              </c:strCache>
            </c:strRef>
          </c:cat>
          <c:val>
            <c:numRef>
              <c:f>[工作簿1]Sheet1!$M$3:$N$3</c:f>
              <c:numCache>
                <c:formatCode>General</c:formatCode>
                <c:ptCount val="2"/>
                <c:pt idx="0">
                  <c:v>521.85</c:v>
                </c:pt>
              </c:numCache>
            </c:numRef>
          </c:val>
        </c:ser>
        <c:dLbls>
          <c:showLegendKey val="0"/>
          <c:showVal val="0"/>
          <c:showCatName val="0"/>
          <c:showSerName val="0"/>
          <c:showPercent val="0"/>
          <c:showBubbleSize val="0"/>
        </c:dLbls>
        <c:gapWidth val="150"/>
        <c:overlap val="0"/>
        <c:axId val="146787569"/>
        <c:axId val="979099858"/>
      </c:barChart>
      <c:catAx>
        <c:axId val="146787569"/>
        <c:scaling>
          <c:orientation val="minMax"/>
        </c:scaling>
        <c:delete val="0"/>
        <c:axPos val="b"/>
        <c:majorTickMark val="none"/>
        <c:minorTickMark val="none"/>
        <c:tickLblPos val="nextTo"/>
        <c:spPr>
          <a:noFill/>
          <a:ln w="9525" cap="flat" cmpd="sng" algn="ctr">
            <a:solidFill>
              <a:schemeClr val="tx1">
                <a:lumMod val="15000"/>
                <a:lumOff val="85000"/>
              </a:schemeClr>
            </a:solidFill>
            <a:round/>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979099858"/>
        <c:crosses val="autoZero"/>
        <c:auto val="1"/>
        <c:lblAlgn val="ctr"/>
        <c:lblOffset val="100"/>
        <c:noMultiLvlLbl val="0"/>
      </c:catAx>
      <c:valAx>
        <c:axId val="979099858"/>
        <c:scaling>
          <c:orientation val="minMax"/>
        </c:scaling>
        <c:delete val="0"/>
        <c:axPos val="l"/>
        <c:majorGridlines>
          <c:spPr>
            <a:ln w="9525" cap="flat" cmpd="sng" algn="ctr">
              <a:solidFill>
                <a:schemeClr val="tx1">
                  <a:lumMod val="15000"/>
                  <a:lumOff val="85000"/>
                </a:schemeClr>
              </a:solidFill>
              <a:round/>
            </a:ln>
            <a:effectLst/>
          </c:spPr>
        </c:majorGridlines>
        <c:title>
          <c:layout/>
          <c:overlay val="0"/>
          <c:spPr>
            <a:noFill/>
            <a:ln>
              <a:noFill/>
            </a:ln>
            <a:effectLst/>
          </c:spPr>
          <c:txPr>
            <a:bodyPr rot="-5400000" spcFirstLastPara="0" vertOverflow="ellipsis" vert="horz" wrap="square" anchor="ctr" anchorCtr="1"/>
            <a:lstStyle/>
            <a:p>
              <a:pPr>
                <a:defRPr lang="zh-CN" sz="1000" b="0" i="0" u="none" strike="noStrike" kern="1200" baseline="0">
                  <a:solidFill>
                    <a:schemeClr val="tx1">
                      <a:lumMod val="65000"/>
                      <a:lumOff val="35000"/>
                    </a:schemeClr>
                  </a:solidFill>
                  <a:latin typeface="+mn-lt"/>
                  <a:ea typeface="+mn-ea"/>
                  <a:cs typeface="+mn-cs"/>
                </a:defRPr>
              </a:pPr>
            </a:p>
          </c:txPr>
        </c:title>
        <c:numFmt formatCode="General" sourceLinked="1"/>
        <c:majorTickMark val="none"/>
        <c:minorTickMark val="none"/>
        <c:tickLblPos val="nextTo"/>
        <c:spPr>
          <a:noFill/>
          <a:ln>
            <a:noFill/>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146787569"/>
        <c:crosses val="autoZero"/>
        <c:crossBetween val="between"/>
      </c:valAx>
      <c:dTable>
        <c:showHorzBorder val="1"/>
        <c:showVertBorder val="1"/>
        <c:showOutline val="1"/>
        <c:showKeys val="1"/>
        <c:spPr>
          <a:noFill/>
          <a:ln w="9525" cap="flat" cmpd="sng" algn="ctr">
            <a:solidFill>
              <a:schemeClr val="tx1">
                <a:lumMod val="15000"/>
                <a:lumOff val="85000"/>
              </a:schemeClr>
            </a:solidFill>
            <a:round/>
          </a:ln>
          <a:effectLst/>
        </c:spPr>
        <c:txPr>
          <a:bodyPr rot="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dTable>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lang="zh-CN"/>
      </a:pPr>
    </a:p>
  </c:txPr>
  <c:externalData r:id="rId1">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layout>
        <c:manualLayout>
          <c:xMode val="edge"/>
          <c:yMode val="edge"/>
          <c:x val="0.238055555555556"/>
          <c:y val="0.927304048234281"/>
        </c:manualLayout>
      </c:layout>
      <c:overlay val="0"/>
      <c:spPr>
        <a:noFill/>
        <a:ln>
          <a:noFill/>
        </a:ln>
        <a:effectLst/>
      </c:spPr>
      <c:txPr>
        <a:bodyPr rot="0" spcFirstLastPara="0" vertOverflow="ellipsis" vert="horz" wrap="square" anchor="ctr" anchorCtr="1"/>
        <a:lstStyle/>
        <a:p>
          <a:pPr>
            <a:defRPr lang="zh-CN" sz="1400" b="0" i="0" u="none" strike="noStrike" kern="1200" spc="0" baseline="0">
              <a:solidFill>
                <a:schemeClr val="tx1">
                  <a:lumMod val="65000"/>
                  <a:lumOff val="35000"/>
                </a:schemeClr>
              </a:solidFill>
              <a:latin typeface="+mn-lt"/>
              <a:ea typeface="+mn-ea"/>
              <a:cs typeface="+mn-cs"/>
            </a:defRPr>
          </a:pPr>
        </a:p>
      </c:txPr>
    </c:title>
    <c:autoTitleDeleted val="0"/>
    <c:plotArea>
      <c:layout/>
      <c:pieChart>
        <c:varyColors val="1"/>
        <c:ser>
          <c:idx val="0"/>
          <c:order val="0"/>
          <c:tx>
            <c:strRef>
              <c:f>[工作簿1]Sheet1!$B$10</c:f>
              <c:strCache>
                <c:ptCount val="1"/>
                <c:pt idx="0">
                  <c:v>一般公共预算财政拨款支出</c:v>
                </c:pt>
              </c:strCache>
            </c:strRef>
          </c:tx>
          <c:spPr/>
          <c:explosion val="0"/>
          <c:dPt>
            <c:idx val="0"/>
            <c:bubble3D val="0"/>
            <c:spPr>
              <a:solidFill>
                <a:schemeClr val="accent1"/>
              </a:solidFill>
              <a:ln w="19050">
                <a:solidFill>
                  <a:schemeClr val="lt1"/>
                </a:solidFill>
              </a:ln>
              <a:effectLst/>
            </c:spPr>
          </c:dPt>
          <c:dPt>
            <c:idx val="1"/>
            <c:bubble3D val="0"/>
            <c:spPr>
              <a:solidFill>
                <a:schemeClr val="accent2"/>
              </a:solidFill>
              <a:ln w="19050">
                <a:solidFill>
                  <a:schemeClr val="lt1"/>
                </a:solidFill>
              </a:ln>
              <a:effectLst/>
            </c:spPr>
          </c:dPt>
          <c:dPt>
            <c:idx val="2"/>
            <c:bubble3D val="0"/>
            <c:spPr>
              <a:solidFill>
                <a:schemeClr val="accent3"/>
              </a:solidFill>
              <a:ln w="19050">
                <a:solidFill>
                  <a:schemeClr val="lt1"/>
                </a:solidFill>
              </a:ln>
              <a:effectLst/>
            </c:spPr>
          </c:dPt>
          <c:dPt>
            <c:idx val="3"/>
            <c:bubble3D val="0"/>
            <c:spPr>
              <a:solidFill>
                <a:schemeClr val="accent4"/>
              </a:solidFill>
              <a:ln w="19050">
                <a:solidFill>
                  <a:schemeClr val="lt1"/>
                </a:solidFill>
              </a:ln>
              <a:effectLst/>
            </c:spPr>
          </c:dPt>
          <c:dPt>
            <c:idx val="4"/>
            <c:bubble3D val="0"/>
            <c:spPr>
              <a:solidFill>
                <a:schemeClr val="accent5"/>
              </a:solidFill>
              <a:ln w="19050">
                <a:solidFill>
                  <a:schemeClr val="lt1"/>
                </a:solidFill>
              </a:ln>
              <a:effectLst/>
            </c:spPr>
          </c:dPt>
          <c:dPt>
            <c:idx val="5"/>
            <c:bubble3D val="0"/>
            <c:spPr>
              <a:solidFill>
                <a:schemeClr val="accent6"/>
              </a:solidFill>
              <a:ln w="19050">
                <a:solidFill>
                  <a:schemeClr val="lt1"/>
                </a:solidFill>
              </a:ln>
              <a:effectLst/>
            </c:spPr>
          </c:dPt>
          <c:dPt>
            <c:idx val="6"/>
            <c:bubble3D val="0"/>
            <c:spPr>
              <a:solidFill>
                <a:schemeClr val="accent1">
                  <a:lumMod val="60000"/>
                </a:schemeClr>
              </a:solidFill>
              <a:ln w="19050">
                <a:solidFill>
                  <a:schemeClr val="lt1"/>
                </a:solidFill>
              </a:ln>
              <a:effectLst/>
            </c:spPr>
          </c:dPt>
          <c:dPt>
            <c:idx val="7"/>
            <c:bubble3D val="0"/>
            <c:spPr>
              <a:solidFill>
                <a:schemeClr val="accent2">
                  <a:lumMod val="60000"/>
                </a:schemeClr>
              </a:solidFill>
              <a:ln w="19050">
                <a:solidFill>
                  <a:schemeClr val="lt1"/>
                </a:solidFill>
              </a:ln>
              <a:effectLst/>
            </c:spPr>
          </c:dPt>
          <c:dLbls>
            <c:spPr>
              <a:noFill/>
              <a:ln>
                <a:noFill/>
              </a:ln>
              <a:effectLst/>
            </c:spPr>
            <c:txPr>
              <a:bodyPr rot="0" spcFirstLastPara="0" vertOverflow="ellipsis" vert="horz" wrap="square" lIns="38100" tIns="19050" rIns="38100" bIns="19050" anchor="ctr" anchorCtr="1"/>
              <a:lstStyle/>
              <a:p>
                <a:pPr>
                  <a:defRPr lang="zh-CN" sz="900" b="0" i="0" u="none" strike="noStrike" kern="1200" baseline="0">
                    <a:solidFill>
                      <a:schemeClr val="tx1">
                        <a:lumMod val="75000"/>
                        <a:lumOff val="25000"/>
                      </a:schemeClr>
                    </a:solidFill>
                    <a:latin typeface="+mn-lt"/>
                    <a:ea typeface="+mn-ea"/>
                    <a:cs typeface="+mn-cs"/>
                  </a:defRPr>
                </a:pPr>
              </a:p>
            </c:txPr>
            <c:dLblPos val="inEnd"/>
            <c:showLegendKey val="0"/>
            <c:showVal val="0"/>
            <c:showCatName val="0"/>
            <c:showSerName val="0"/>
            <c:showPercent val="1"/>
            <c:showBubbleSize val="0"/>
            <c:showLeaderLines val="1"/>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[工作簿1]Sheet1!$A$11:$A$18</c:f>
              <c:strCache>
                <c:ptCount val="8"/>
                <c:pt idx="0">
                  <c:v>一般公共服务（类）支出</c:v>
                </c:pt>
                <c:pt idx="1">
                  <c:v>教育支出（类）</c:v>
                </c:pt>
                <c:pt idx="2">
                  <c:v>科学技术（类）支出</c:v>
                </c:pt>
                <c:pt idx="3">
                  <c:v>文化旅游体育与传媒（类）支出</c:v>
                </c:pt>
                <c:pt idx="4">
                  <c:v>社会保障和就业（类）支出</c:v>
                </c:pt>
                <c:pt idx="5">
                  <c:v>卫生健康支出</c:v>
                </c:pt>
                <c:pt idx="6">
                  <c:v>住房保障支出</c:v>
                </c:pt>
                <c:pt idx="7">
                  <c:v>农林水（类）支出</c:v>
                </c:pt>
              </c:strCache>
            </c:strRef>
          </c:cat>
          <c:val>
            <c:numRef>
              <c:f>[工作簿1]Sheet1!$B$11:$B$18</c:f>
              <c:numCache>
                <c:formatCode>General</c:formatCode>
                <c:ptCount val="8"/>
                <c:pt idx="0">
                  <c:v>432.4</c:v>
                </c:pt>
                <c:pt idx="1">
                  <c:v>0</c:v>
                </c:pt>
                <c:pt idx="2">
                  <c:v>0</c:v>
                </c:pt>
                <c:pt idx="3">
                  <c:v>0</c:v>
                </c:pt>
                <c:pt idx="4">
                  <c:v>23.04</c:v>
                </c:pt>
                <c:pt idx="5">
                  <c:v>12.47</c:v>
                </c:pt>
                <c:pt idx="6">
                  <c:v>14.5</c:v>
                </c:pt>
                <c:pt idx="7">
                  <c:v>39.44</c:v>
                </c:pt>
              </c:numCache>
            </c:numRef>
          </c:val>
        </c:ser>
        <c:dLbls>
          <c:showLegendKey val="0"/>
          <c:showVal val="0"/>
          <c:showCatName val="0"/>
          <c:showSerName val="0"/>
          <c:showPercent val="1"/>
          <c:showBubbleSize val="0"/>
          <c:showLeaderLines val="1"/>
        </c:dLbls>
        <c:firstSliceAng val="0"/>
      </c:pieChart>
      <c:spPr>
        <a:noFill/>
        <a:ln>
          <a:noFill/>
        </a:ln>
        <a:effectLst/>
      </c:spPr>
    </c:plotArea>
    <c:legend>
      <c:legendPos val="r"/>
      <c:layout/>
      <c:overlay val="0"/>
      <c:spPr>
        <a:noFill/>
        <a:ln>
          <a:noFill/>
        </a:ln>
        <a:effectLst/>
      </c:spPr>
      <c:txPr>
        <a:bodyPr rot="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lang="zh-CN"/>
      </a:pPr>
    </a:p>
  </c:txPr>
  <c:externalData r:id="rId1">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5.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6.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tyleName="APA" SelectedStyle="\APA.XSL"/>
</file>

<file path=customXml/itemProps1.xml><?xml version="1.0" encoding="utf-8"?>
<ds:datastoreItem xmlns:ds="http://schemas.openxmlformats.org/officeDocument/2006/customXml" ds:itemID="{2C21FA5C-FBC4-4E0C-90C9-F7AB8D53FD89}">
  <ds:schemaRefs/>
</ds:datastoreItem>
</file>

<file path=docProps/app.xml><?xml version="1.0" encoding="utf-8"?>
<Properties xmlns="http://schemas.openxmlformats.org/officeDocument/2006/extended-properties" xmlns:vt="http://schemas.openxmlformats.org/officeDocument/2006/docPropsVTypes">
  <Template>Normal.dotm</Template>
  <Company>四川省财政厅</Company>
  <Pages>24</Pages>
  <Words>1284</Words>
  <Characters>7320</Characters>
  <Lines>61</Lines>
  <Paragraphs>17</Paragraphs>
  <TotalTime>0</TotalTime>
  <ScaleCrop>false</ScaleCrop>
  <LinksUpToDate>false</LinksUpToDate>
  <CharactersWithSpaces>8587</CharactersWithSpaces>
  <Application>WPS Office_11.8.2.1131_F1E327BC-269C-435d-A152-05C5408002CA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2020-08-04T09:49:00Z</dcterms:created>
  <dc:creator>曹颖</dc:creator>
  <cp:lastModifiedBy>user</cp:lastModifiedBy>
  <cp:lastPrinted>2020-09-24T11:45:00Z</cp:lastPrinted>
  <dcterms:modified xsi:type="dcterms:W3CDTF">2025-04-10T15:53:00Z</dcterms:modified>
  <dc:title>四川省***</dc:title>
  <cp:revision>41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2052-11.8.2.1131</vt:lpwstr>
  </property>
  <property fmtid="{D5CDD505-2E9C-101B-9397-08002B2CF9AE}" pid="3" name="ICV">
    <vt:lpwstr>DC201DB5291F86EEDC78F76743651605</vt:lpwstr>
  </property>
</Properties>
</file>