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C3F041">
      <w:pPr>
        <w:spacing w:line="600" w:lineRule="exact"/>
        <w:outlineLvl w:val="0"/>
        <w:rPr>
          <w:rFonts w:ascii="方正小标宋简体" w:hAnsi="宋体" w:eastAsia="方正小标宋简体"/>
          <w:color w:val="000000"/>
          <w:sz w:val="72"/>
          <w:szCs w:val="72"/>
        </w:rPr>
      </w:pPr>
      <w:bookmarkStart w:id="0" w:name="_Toc15306267"/>
    </w:p>
    <w:p w14:paraId="50EBAAF4">
      <w:pPr>
        <w:jc w:val="center"/>
        <w:rPr>
          <w:rFonts w:ascii="黑体" w:hAnsi="黑体" w:eastAsia="黑体"/>
          <w:sz w:val="72"/>
          <w:szCs w:val="72"/>
        </w:rPr>
      </w:pPr>
      <w:bookmarkStart w:id="1" w:name="_Toc15396597"/>
      <w:bookmarkStart w:id="2" w:name="_Toc15396475"/>
      <w:bookmarkStart w:id="3" w:name="_Toc15377193"/>
      <w:bookmarkStart w:id="4" w:name="_Toc15377425"/>
      <w:bookmarkStart w:id="5" w:name="_Toc15378441"/>
      <w:r>
        <w:rPr>
          <w:rFonts w:hint="eastAsia" w:ascii="方正小标宋简体" w:eastAsia="方正小标宋简体"/>
          <w:sz w:val="72"/>
          <w:szCs w:val="72"/>
        </w:rPr>
        <w:t>202</w:t>
      </w:r>
      <w:r>
        <w:rPr>
          <w:rFonts w:hint="eastAsia" w:ascii="方正小标宋简体" w:eastAsia="方正小标宋简体"/>
          <w:sz w:val="72"/>
          <w:szCs w:val="72"/>
          <w:lang w:val="en-US" w:eastAsia="zh-CN"/>
        </w:rPr>
        <w:t>3</w:t>
      </w:r>
      <w:r>
        <w:rPr>
          <w:rFonts w:hint="eastAsia" w:ascii="方正小标宋简体" w:eastAsia="方正小标宋简体"/>
          <w:sz w:val="72"/>
          <w:szCs w:val="72"/>
        </w:rPr>
        <w:t>年度</w:t>
      </w:r>
      <w:bookmarkEnd w:id="1"/>
      <w:bookmarkEnd w:id="2"/>
      <w:bookmarkEnd w:id="3"/>
      <w:bookmarkEnd w:id="4"/>
      <w:bookmarkEnd w:id="5"/>
      <w:bookmarkStart w:id="6" w:name="_Toc15378442"/>
      <w:bookmarkStart w:id="7" w:name="_Toc15396598"/>
      <w:bookmarkStart w:id="8" w:name="_Toc15377426"/>
      <w:bookmarkStart w:id="9" w:name="_Toc15377194"/>
      <w:bookmarkStart w:id="10" w:name="_Toc15396476"/>
      <w:r>
        <w:rPr>
          <w:rFonts w:hint="eastAsia" w:ascii="方正小标宋简体" w:eastAsia="方正小标宋简体"/>
          <w:sz w:val="72"/>
          <w:szCs w:val="72"/>
          <w:lang w:eastAsia="zh-CN"/>
        </w:rPr>
        <w:t>四川省</w:t>
      </w:r>
      <w:r>
        <w:rPr>
          <w:rFonts w:hint="eastAsia" w:ascii="方正小标宋简体" w:eastAsia="方正小标宋简体"/>
          <w:sz w:val="72"/>
          <w:szCs w:val="72"/>
        </w:rPr>
        <w:t>阿坝州</w:t>
      </w:r>
    </w:p>
    <w:p w14:paraId="3D11F1F0">
      <w:pPr>
        <w:jc w:val="center"/>
        <w:rPr>
          <w:rFonts w:ascii="方正小标宋简体" w:eastAsia="方正小标宋简体"/>
          <w:sz w:val="72"/>
          <w:szCs w:val="72"/>
        </w:rPr>
      </w:pPr>
      <w:r>
        <w:rPr>
          <w:rFonts w:hint="eastAsia" w:ascii="方正小标宋简体" w:eastAsia="方正小标宋简体"/>
          <w:sz w:val="72"/>
          <w:szCs w:val="72"/>
        </w:rPr>
        <w:t>茂县</w:t>
      </w:r>
      <w:bookmarkEnd w:id="0"/>
      <w:bookmarkStart w:id="11" w:name="_Toc15306268"/>
      <w:r>
        <w:rPr>
          <w:rFonts w:hint="eastAsia" w:ascii="方正小标宋简体" w:eastAsia="方正小标宋简体"/>
          <w:sz w:val="72"/>
          <w:szCs w:val="72"/>
        </w:rPr>
        <w:t>供销合作社联合社</w:t>
      </w:r>
    </w:p>
    <w:p w14:paraId="0DDAF2D1">
      <w:pPr>
        <w:jc w:val="center"/>
        <w:rPr>
          <w:rFonts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p>
    <w:p w14:paraId="7FF48B8D">
      <w:pPr>
        <w:widowControl/>
        <w:jc w:val="center"/>
        <w:rPr>
          <w:rFonts w:ascii="方正小标宋简体" w:hAnsi="宋体" w:eastAsia="方正小标宋简体"/>
          <w:color w:val="000000"/>
          <w:sz w:val="36"/>
          <w:szCs w:val="36"/>
        </w:rPr>
      </w:pPr>
    </w:p>
    <w:p w14:paraId="502A6364">
      <w:pPr>
        <w:rPr>
          <w:rFonts w:ascii="方正小标宋简体" w:hAnsi="宋体" w:eastAsia="方正小标宋简体"/>
          <w:sz w:val="36"/>
          <w:szCs w:val="36"/>
        </w:rPr>
      </w:pPr>
    </w:p>
    <w:p w14:paraId="0CD43D92">
      <w:pPr>
        <w:rPr>
          <w:rFonts w:ascii="方正小标宋简体" w:hAnsi="宋体" w:eastAsia="方正小标宋简体"/>
          <w:sz w:val="36"/>
          <w:szCs w:val="36"/>
        </w:rPr>
      </w:pPr>
    </w:p>
    <w:p w14:paraId="7C1D7F29">
      <w:pPr>
        <w:rPr>
          <w:rFonts w:ascii="方正小标宋简体" w:hAnsi="宋体" w:eastAsia="方正小标宋简体"/>
          <w:sz w:val="36"/>
          <w:szCs w:val="36"/>
        </w:rPr>
      </w:pPr>
    </w:p>
    <w:p w14:paraId="0464C561">
      <w:pPr>
        <w:rPr>
          <w:rFonts w:ascii="方正小标宋简体" w:hAnsi="宋体" w:eastAsia="方正小标宋简体"/>
          <w:sz w:val="36"/>
          <w:szCs w:val="36"/>
        </w:rPr>
      </w:pPr>
    </w:p>
    <w:p w14:paraId="6AAFF673">
      <w:pPr>
        <w:rPr>
          <w:rFonts w:ascii="方正小标宋简体" w:hAnsi="宋体" w:eastAsia="方正小标宋简体"/>
          <w:sz w:val="36"/>
          <w:szCs w:val="36"/>
        </w:rPr>
      </w:pPr>
    </w:p>
    <w:p w14:paraId="459732EB">
      <w:pPr>
        <w:rPr>
          <w:rFonts w:ascii="方正小标宋简体" w:hAnsi="宋体" w:eastAsia="方正小标宋简体"/>
          <w:sz w:val="36"/>
          <w:szCs w:val="36"/>
        </w:rPr>
      </w:pPr>
    </w:p>
    <w:p w14:paraId="169A2872">
      <w:pPr>
        <w:rPr>
          <w:rFonts w:ascii="方正小标宋简体" w:hAnsi="宋体" w:eastAsia="方正小标宋简体"/>
          <w:sz w:val="36"/>
          <w:szCs w:val="36"/>
        </w:rPr>
      </w:pPr>
    </w:p>
    <w:p w14:paraId="7C4A6D86">
      <w:pPr>
        <w:rPr>
          <w:rFonts w:ascii="方正小标宋简体" w:hAnsi="宋体" w:eastAsia="方正小标宋简体"/>
          <w:sz w:val="36"/>
          <w:szCs w:val="36"/>
        </w:rPr>
      </w:pPr>
    </w:p>
    <w:p w14:paraId="069B81EF">
      <w:pPr>
        <w:rPr>
          <w:rFonts w:ascii="方正小标宋简体" w:hAnsi="宋体" w:eastAsia="方正小标宋简体"/>
          <w:sz w:val="36"/>
          <w:szCs w:val="36"/>
        </w:rPr>
      </w:pPr>
    </w:p>
    <w:p w14:paraId="2423A5F1">
      <w:pPr>
        <w:autoSpaceDE w:val="0"/>
        <w:autoSpaceDN w:val="0"/>
        <w:adjustRightInd w:val="0"/>
        <w:spacing w:line="576" w:lineRule="exact"/>
        <w:ind w:left="420" w:leftChars="200" w:firstLine="320" w:firstLineChars="100"/>
        <w:jc w:val="left"/>
        <w:rPr>
          <w:rFonts w:ascii="宋体" w:cs="仿宋_GB2312"/>
          <w:sz w:val="32"/>
          <w:szCs w:val="32"/>
        </w:rPr>
      </w:pPr>
      <w:r>
        <w:rPr>
          <w:rFonts w:hint="eastAsia" w:ascii="宋体" w:cs="仿宋_GB2312"/>
          <w:sz w:val="32"/>
          <w:szCs w:val="32"/>
        </w:rPr>
        <w:t>已经保密审查、内容审定，同意对外公开</w:t>
      </w:r>
    </w:p>
    <w:p w14:paraId="7A936944">
      <w:pPr>
        <w:widowControl/>
        <w:jc w:val="center"/>
        <w:rPr>
          <w:rFonts w:ascii="方正小标宋简体" w:hAnsi="宋体" w:eastAsia="方正小标宋简体"/>
          <w:color w:val="000000"/>
          <w:sz w:val="36"/>
          <w:szCs w:val="36"/>
        </w:rPr>
      </w:pPr>
    </w:p>
    <w:p w14:paraId="31783C10">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1A8A8CC9">
      <w:pPr>
        <w:pStyle w:val="15"/>
        <w:jc w:val="center"/>
        <w:rPr>
          <w:rFonts w:ascii="仿宋_GB2312" w:eastAsia="仿宋_GB2312" w:hAnsiTheme="minorHAnsi"/>
          <w:b w:val="0"/>
          <w:bCs w:val="0"/>
          <w:sz w:val="24"/>
          <w:szCs w:val="24"/>
        </w:rPr>
      </w:pPr>
      <w:r>
        <w:rPr>
          <w:rFonts w:hint="eastAsia" w:ascii="仿宋_GB2312" w:eastAsia="仿宋_GB2312" w:hAnsiTheme="minorHAnsi"/>
          <w:b w:val="0"/>
          <w:bCs w:val="0"/>
          <w:sz w:val="24"/>
          <w:szCs w:val="24"/>
        </w:rPr>
        <w:t>公开时间：202</w:t>
      </w:r>
      <w:r>
        <w:rPr>
          <w:rFonts w:hint="eastAsia" w:ascii="仿宋_GB2312" w:eastAsia="仿宋_GB2312" w:hAnsiTheme="minorHAnsi"/>
          <w:b w:val="0"/>
          <w:bCs w:val="0"/>
          <w:sz w:val="24"/>
          <w:szCs w:val="24"/>
          <w:lang w:val="en-US" w:eastAsia="zh-CN"/>
        </w:rPr>
        <w:t>4</w:t>
      </w:r>
      <w:r>
        <w:rPr>
          <w:rFonts w:hint="eastAsia" w:ascii="仿宋_GB2312" w:eastAsia="仿宋_GB2312" w:hAnsiTheme="minorHAnsi"/>
          <w:b w:val="0"/>
          <w:bCs w:val="0"/>
          <w:sz w:val="24"/>
          <w:szCs w:val="24"/>
        </w:rPr>
        <w:t>年9 月</w:t>
      </w:r>
      <w:r>
        <w:rPr>
          <w:rFonts w:hint="eastAsia" w:ascii="仿宋_GB2312" w:eastAsia="仿宋_GB2312" w:hAnsiTheme="minorHAnsi"/>
          <w:b w:val="0"/>
          <w:bCs w:val="0"/>
          <w:sz w:val="24"/>
          <w:szCs w:val="24"/>
          <w:lang w:val="en-US" w:eastAsia="zh-CN"/>
        </w:rPr>
        <w:t>25</w:t>
      </w:r>
      <w:r>
        <w:rPr>
          <w:rFonts w:hint="eastAsia" w:ascii="仿宋_GB2312" w:eastAsia="仿宋_GB2312" w:hAnsiTheme="minorHAnsi"/>
          <w:b w:val="0"/>
          <w:bCs w:val="0"/>
          <w:sz w:val="24"/>
          <w:szCs w:val="24"/>
        </w:rPr>
        <w:t xml:space="preserve"> 日</w:t>
      </w:r>
    </w:p>
    <w:p w14:paraId="016FB95A">
      <w:pPr>
        <w:pStyle w:val="15"/>
        <w:tabs>
          <w:tab w:val="right" w:leader="dot" w:pos="8296"/>
        </w:tabs>
        <w:rPr>
          <w:rFonts w:ascii="仿宋_GB2312" w:hAnsi="仿宋" w:eastAsia="仿宋_GB2312"/>
          <w:b w:val="0"/>
          <w:bCs w:val="0"/>
          <w:caps w:val="0"/>
          <w:smallCaps/>
        </w:rPr>
      </w:pPr>
      <w:r>
        <w:rPr>
          <w:rFonts w:hint="eastAsia" w:ascii="仿宋_GB2312" w:hAnsi="仿宋" w:eastAsia="仿宋_GB2312"/>
          <w:b w:val="0"/>
          <w:bCs w:val="0"/>
          <w:caps w:val="0"/>
          <w:smallCaps/>
        </w:rPr>
        <w:fldChar w:fldCharType="begin"/>
      </w:r>
      <w:r>
        <w:rPr>
          <w:rFonts w:hint="eastAsia" w:ascii="仿宋_GB2312" w:hAnsi="仿宋" w:eastAsia="仿宋_GB2312"/>
          <w:b w:val="0"/>
          <w:bCs w:val="0"/>
          <w:caps w:val="0"/>
          <w:smallCaps/>
        </w:rPr>
        <w:instrText xml:space="preserve"> TOC \o \u </w:instrText>
      </w:r>
      <w:r>
        <w:rPr>
          <w:rFonts w:hint="eastAsia" w:ascii="仿宋_GB2312" w:hAnsi="仿宋" w:eastAsia="仿宋_GB2312"/>
          <w:b w:val="0"/>
          <w:bCs w:val="0"/>
          <w:caps w:val="0"/>
          <w:smallCaps/>
        </w:rPr>
        <w:fldChar w:fldCharType="separate"/>
      </w:r>
      <w:r>
        <w:rPr>
          <w:rFonts w:hint="eastAsia" w:ascii="仿宋_GB2312" w:hAnsi="仿宋" w:eastAsia="仿宋_GB2312"/>
          <w:b w:val="0"/>
          <w:bCs w:val="0"/>
          <w:caps w:val="0"/>
          <w:smallCaps/>
        </w:rPr>
        <w:t>第一部分 部门概况</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fldChar w:fldCharType="begin"/>
      </w:r>
      <w:r>
        <w:rPr>
          <w:rFonts w:hint="eastAsia" w:ascii="仿宋_GB2312" w:hAnsi="仿宋" w:eastAsia="仿宋_GB2312"/>
          <w:b w:val="0"/>
          <w:bCs w:val="0"/>
          <w:caps w:val="0"/>
          <w:smallCaps/>
        </w:rPr>
        <w:instrText xml:space="preserve"> PAGEREF _Toc79163851 \h </w:instrText>
      </w:r>
      <w:r>
        <w:rPr>
          <w:rFonts w:hint="eastAsia" w:ascii="仿宋_GB2312" w:hAnsi="仿宋" w:eastAsia="仿宋_GB2312"/>
          <w:b w:val="0"/>
          <w:bCs w:val="0"/>
          <w:caps w:val="0"/>
          <w:smallCaps/>
        </w:rPr>
        <w:fldChar w:fldCharType="separate"/>
      </w:r>
      <w:r>
        <w:rPr>
          <w:rFonts w:hint="eastAsia" w:ascii="仿宋_GB2312" w:hAnsi="仿宋" w:eastAsia="仿宋_GB2312"/>
          <w:b w:val="0"/>
          <w:bCs w:val="0"/>
          <w:caps w:val="0"/>
          <w:smallCaps/>
        </w:rPr>
        <w:t>4</w:t>
      </w:r>
      <w:r>
        <w:rPr>
          <w:rFonts w:hint="eastAsia" w:ascii="仿宋_GB2312" w:hAnsi="仿宋" w:eastAsia="仿宋_GB2312"/>
          <w:b w:val="0"/>
          <w:bCs w:val="0"/>
          <w:caps w:val="0"/>
          <w:smallCaps/>
        </w:rPr>
        <w:fldChar w:fldCharType="end"/>
      </w:r>
    </w:p>
    <w:p w14:paraId="261BAD9F">
      <w:pPr>
        <w:pStyle w:val="20"/>
        <w:tabs>
          <w:tab w:val="right" w:leader="dot" w:pos="8296"/>
        </w:tabs>
        <w:rPr>
          <w:rFonts w:ascii="仿宋_GB2312" w:hAnsi="仿宋" w:eastAsia="仿宋_GB2312"/>
        </w:rPr>
      </w:pPr>
      <w:r>
        <w:rPr>
          <w:rFonts w:hint="eastAsia" w:ascii="仿宋_GB2312" w:hAnsi="仿宋" w:eastAsia="仿宋_GB2312"/>
        </w:rPr>
        <w:t>一、</w:t>
      </w:r>
      <w:r>
        <w:rPr>
          <w:rFonts w:hint="eastAsia" w:ascii="仿宋_GB2312" w:hAnsi="仿宋" w:eastAsia="仿宋_GB2312"/>
          <w:lang w:eastAsia="zh-CN"/>
        </w:rPr>
        <w:t>部门职责</w:t>
      </w:r>
      <w:r>
        <w:rPr>
          <w:rFonts w:hint="eastAsia" w:ascii="仿宋_GB2312" w:hAnsi="仿宋" w:eastAsia="仿宋_GB2312"/>
        </w:rPr>
        <w:tab/>
      </w:r>
      <w:r>
        <w:rPr>
          <w:rFonts w:hint="eastAsia" w:ascii="仿宋_GB2312" w:hAnsi="仿宋" w:eastAsia="仿宋_GB2312"/>
        </w:rPr>
        <w:fldChar w:fldCharType="begin"/>
      </w:r>
      <w:r>
        <w:rPr>
          <w:rFonts w:hint="eastAsia" w:ascii="仿宋_GB2312" w:hAnsi="仿宋" w:eastAsia="仿宋_GB2312"/>
        </w:rPr>
        <w:instrText xml:space="preserve"> PAGEREF _Toc79163852 \h </w:instrText>
      </w:r>
      <w:r>
        <w:rPr>
          <w:rFonts w:hint="eastAsia" w:ascii="仿宋_GB2312" w:hAnsi="仿宋" w:eastAsia="仿宋_GB2312"/>
        </w:rPr>
        <w:fldChar w:fldCharType="separate"/>
      </w:r>
      <w:r>
        <w:rPr>
          <w:rFonts w:hint="eastAsia" w:ascii="仿宋_GB2312" w:hAnsi="仿宋" w:eastAsia="仿宋_GB2312"/>
        </w:rPr>
        <w:t>4</w:t>
      </w:r>
      <w:r>
        <w:rPr>
          <w:rFonts w:hint="eastAsia" w:ascii="仿宋_GB2312" w:hAnsi="仿宋" w:eastAsia="仿宋_GB2312"/>
        </w:rPr>
        <w:fldChar w:fldCharType="end"/>
      </w:r>
    </w:p>
    <w:p w14:paraId="792422D1">
      <w:pPr>
        <w:pStyle w:val="20"/>
        <w:tabs>
          <w:tab w:val="right" w:leader="dot" w:pos="8296"/>
        </w:tabs>
        <w:rPr>
          <w:rFonts w:hint="eastAsia" w:ascii="仿宋_GB2312" w:hAnsi="仿宋" w:eastAsia="仿宋_GB2312"/>
          <w:lang w:val="en-US" w:eastAsia="zh-CN"/>
        </w:rPr>
      </w:pPr>
      <w:r>
        <w:rPr>
          <w:rFonts w:hint="eastAsia" w:ascii="仿宋_GB2312" w:hAnsi="仿宋" w:eastAsia="仿宋_GB2312"/>
        </w:rPr>
        <w:t>二、机构设置</w:t>
      </w:r>
      <w:r>
        <w:rPr>
          <w:rFonts w:hint="eastAsia" w:ascii="仿宋_GB2312" w:hAnsi="仿宋" w:eastAsia="仿宋_GB2312"/>
        </w:rPr>
        <w:tab/>
      </w:r>
      <w:r>
        <w:rPr>
          <w:rFonts w:hint="eastAsia" w:ascii="仿宋_GB2312" w:hAnsi="仿宋" w:eastAsia="仿宋_GB2312"/>
          <w:lang w:val="en-US" w:eastAsia="zh-CN"/>
        </w:rPr>
        <w:t>5</w:t>
      </w:r>
    </w:p>
    <w:p w14:paraId="181DA90D">
      <w:pPr>
        <w:pStyle w:val="15"/>
        <w:tabs>
          <w:tab w:val="right" w:leader="dot" w:pos="8296"/>
        </w:tabs>
        <w:rPr>
          <w:rFonts w:hint="eastAsia" w:ascii="仿宋_GB2312" w:hAnsi="仿宋" w:eastAsia="仿宋_GB2312"/>
          <w:b w:val="0"/>
          <w:bCs w:val="0"/>
          <w:caps w:val="0"/>
          <w:smallCaps/>
          <w:lang w:val="en-US" w:eastAsia="zh-CN"/>
        </w:rPr>
      </w:pPr>
      <w:r>
        <w:rPr>
          <w:rFonts w:hint="eastAsia" w:ascii="仿宋_GB2312" w:hAnsi="仿宋" w:eastAsia="仿宋_GB2312"/>
          <w:b w:val="0"/>
          <w:bCs w:val="0"/>
          <w:caps w:val="0"/>
          <w:smallCaps/>
        </w:rPr>
        <w:t>第二部分 202</w:t>
      </w:r>
      <w:r>
        <w:rPr>
          <w:rFonts w:hint="eastAsia" w:ascii="仿宋_GB2312" w:hAnsi="仿宋" w:eastAsia="仿宋_GB2312"/>
          <w:b w:val="0"/>
          <w:bCs w:val="0"/>
          <w:caps w:val="0"/>
          <w:smallCaps/>
          <w:lang w:val="en-US" w:eastAsia="zh-CN"/>
        </w:rPr>
        <w:t>3</w:t>
      </w:r>
      <w:r>
        <w:rPr>
          <w:rFonts w:hint="eastAsia" w:ascii="仿宋_GB2312" w:hAnsi="仿宋" w:eastAsia="仿宋_GB2312"/>
          <w:b w:val="0"/>
          <w:bCs w:val="0"/>
          <w:caps w:val="0"/>
          <w:smallCaps/>
        </w:rPr>
        <w:t>年度部门决算情况说明</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6</w:t>
      </w:r>
    </w:p>
    <w:p w14:paraId="579FF0BB">
      <w:pPr>
        <w:pStyle w:val="20"/>
        <w:tabs>
          <w:tab w:val="left" w:pos="840"/>
          <w:tab w:val="right" w:leader="dot" w:pos="8296"/>
        </w:tabs>
        <w:rPr>
          <w:rFonts w:hint="eastAsia" w:ascii="仿宋_GB2312" w:hAnsi="仿宋" w:eastAsia="仿宋_GB2312"/>
          <w:lang w:eastAsia="zh-CN"/>
        </w:rPr>
      </w:pPr>
      <w:r>
        <w:rPr>
          <w:rFonts w:hint="eastAsia" w:ascii="仿宋_GB2312" w:hAnsi="仿宋" w:eastAsia="仿宋_GB2312"/>
        </w:rPr>
        <w:t>一、</w:t>
      </w:r>
      <w:r>
        <w:rPr>
          <w:rFonts w:hint="eastAsia" w:ascii="仿宋_GB2312" w:hAnsi="仿宋" w:eastAsia="仿宋_GB2312"/>
        </w:rPr>
        <w:tab/>
      </w:r>
      <w:r>
        <w:rPr>
          <w:rFonts w:hint="eastAsia" w:ascii="仿宋_GB2312" w:hAnsi="仿宋" w:eastAsia="仿宋_GB2312"/>
        </w:rPr>
        <w:t>收入支出决算总体情况说明</w:t>
      </w:r>
      <w:r>
        <w:rPr>
          <w:rFonts w:hint="eastAsia" w:ascii="仿宋_GB2312" w:hAnsi="仿宋" w:eastAsia="仿宋_GB2312"/>
        </w:rPr>
        <w:tab/>
      </w:r>
      <w:r>
        <w:rPr>
          <w:rFonts w:hint="eastAsia" w:ascii="仿宋_GB2312" w:hAnsi="仿宋" w:eastAsia="仿宋_GB2312"/>
          <w:lang w:val="en-US" w:eastAsia="zh-CN"/>
        </w:rPr>
        <w:t>6</w:t>
      </w:r>
    </w:p>
    <w:p w14:paraId="69978F0B">
      <w:pPr>
        <w:pStyle w:val="20"/>
        <w:tabs>
          <w:tab w:val="left" w:pos="840"/>
          <w:tab w:val="right" w:leader="dot" w:pos="8296"/>
        </w:tabs>
        <w:rPr>
          <w:rFonts w:hint="eastAsia" w:ascii="仿宋_GB2312" w:hAnsi="仿宋" w:eastAsia="仿宋_GB2312"/>
          <w:lang w:eastAsia="zh-CN"/>
        </w:rPr>
      </w:pPr>
      <w:r>
        <w:rPr>
          <w:rFonts w:hint="eastAsia" w:ascii="仿宋_GB2312" w:hAnsi="仿宋" w:eastAsia="仿宋_GB2312"/>
        </w:rPr>
        <w:t>二、</w:t>
      </w:r>
      <w:r>
        <w:rPr>
          <w:rFonts w:hint="eastAsia" w:ascii="仿宋_GB2312" w:hAnsi="仿宋" w:eastAsia="仿宋_GB2312"/>
        </w:rPr>
        <w:tab/>
      </w:r>
      <w:r>
        <w:rPr>
          <w:rFonts w:hint="eastAsia" w:ascii="仿宋_GB2312" w:hAnsi="仿宋" w:eastAsia="仿宋_GB2312"/>
        </w:rPr>
        <w:t>收入决算情况说明</w:t>
      </w:r>
      <w:r>
        <w:rPr>
          <w:rFonts w:hint="eastAsia" w:ascii="仿宋_GB2312" w:hAnsi="仿宋" w:eastAsia="仿宋_GB2312"/>
        </w:rPr>
        <w:tab/>
      </w:r>
      <w:r>
        <w:rPr>
          <w:rFonts w:hint="eastAsia" w:ascii="仿宋_GB2312" w:hAnsi="仿宋" w:eastAsia="仿宋_GB2312"/>
          <w:lang w:val="en-US" w:eastAsia="zh-CN"/>
        </w:rPr>
        <w:t>7</w:t>
      </w:r>
    </w:p>
    <w:p w14:paraId="2E809527">
      <w:pPr>
        <w:pStyle w:val="20"/>
        <w:tabs>
          <w:tab w:val="left" w:pos="840"/>
          <w:tab w:val="right" w:leader="dot" w:pos="8296"/>
        </w:tabs>
        <w:rPr>
          <w:rFonts w:hint="eastAsia" w:ascii="仿宋_GB2312" w:hAnsi="仿宋" w:eastAsia="仿宋_GB2312"/>
          <w:lang w:eastAsia="zh-CN"/>
        </w:rPr>
      </w:pPr>
      <w:r>
        <w:rPr>
          <w:rFonts w:hint="eastAsia" w:ascii="仿宋_GB2312" w:hAnsi="仿宋" w:eastAsia="仿宋_GB2312"/>
        </w:rPr>
        <w:t>三、</w:t>
      </w:r>
      <w:r>
        <w:rPr>
          <w:rFonts w:hint="eastAsia" w:ascii="仿宋_GB2312" w:hAnsi="仿宋" w:eastAsia="仿宋_GB2312"/>
        </w:rPr>
        <w:tab/>
      </w:r>
      <w:r>
        <w:rPr>
          <w:rFonts w:hint="eastAsia" w:ascii="仿宋_GB2312" w:hAnsi="仿宋" w:eastAsia="仿宋_GB2312"/>
        </w:rPr>
        <w:t>支出决算情况说明</w:t>
      </w:r>
      <w:r>
        <w:rPr>
          <w:rFonts w:hint="eastAsia" w:ascii="仿宋_GB2312" w:hAnsi="仿宋" w:eastAsia="仿宋_GB2312"/>
        </w:rPr>
        <w:tab/>
      </w:r>
      <w:r>
        <w:rPr>
          <w:rFonts w:hint="eastAsia" w:ascii="仿宋_GB2312" w:hAnsi="仿宋" w:eastAsia="仿宋_GB2312"/>
          <w:lang w:val="en-US" w:eastAsia="zh-CN"/>
        </w:rPr>
        <w:t>7</w:t>
      </w:r>
    </w:p>
    <w:p w14:paraId="75BB5F85">
      <w:pPr>
        <w:pStyle w:val="20"/>
        <w:tabs>
          <w:tab w:val="right" w:leader="dot" w:pos="8296"/>
        </w:tabs>
        <w:rPr>
          <w:rFonts w:hint="eastAsia" w:ascii="仿宋_GB2312" w:hAnsi="仿宋" w:eastAsia="仿宋_GB2312"/>
          <w:lang w:eastAsia="zh-CN"/>
        </w:rPr>
      </w:pPr>
      <w:r>
        <w:rPr>
          <w:rFonts w:hint="eastAsia" w:ascii="仿宋_GB2312" w:hAnsi="仿宋" w:eastAsia="仿宋_GB2312"/>
        </w:rPr>
        <w:t>四、财政拨款收入支出决算总体情况说明</w:t>
      </w:r>
      <w:r>
        <w:rPr>
          <w:rFonts w:hint="eastAsia" w:ascii="仿宋_GB2312" w:hAnsi="仿宋" w:eastAsia="仿宋_GB2312"/>
        </w:rPr>
        <w:tab/>
      </w:r>
      <w:r>
        <w:rPr>
          <w:rFonts w:hint="eastAsia" w:ascii="仿宋_GB2312" w:hAnsi="仿宋" w:eastAsia="仿宋_GB2312"/>
          <w:lang w:val="en-US" w:eastAsia="zh-CN"/>
        </w:rPr>
        <w:t>8</w:t>
      </w:r>
    </w:p>
    <w:p w14:paraId="2B0362C7">
      <w:pPr>
        <w:pStyle w:val="20"/>
        <w:tabs>
          <w:tab w:val="right" w:leader="dot" w:pos="8296"/>
        </w:tabs>
        <w:rPr>
          <w:rFonts w:hint="eastAsia" w:ascii="仿宋_GB2312" w:hAnsi="仿宋" w:eastAsia="仿宋_GB2312"/>
          <w:lang w:val="en-US" w:eastAsia="zh-CN"/>
        </w:rPr>
      </w:pPr>
      <w:r>
        <w:rPr>
          <w:rFonts w:hint="eastAsia" w:ascii="仿宋_GB2312" w:hAnsi="仿宋" w:eastAsia="仿宋_GB2312"/>
        </w:rPr>
        <w:t>五、一般公共预算财政拨款支出决算情况说明</w:t>
      </w:r>
      <w:r>
        <w:rPr>
          <w:rFonts w:hint="eastAsia" w:ascii="仿宋_GB2312" w:hAnsi="仿宋" w:eastAsia="仿宋_GB2312"/>
        </w:rPr>
        <w:tab/>
      </w:r>
      <w:r>
        <w:rPr>
          <w:rFonts w:hint="eastAsia" w:ascii="仿宋_GB2312" w:hAnsi="仿宋" w:eastAsia="仿宋_GB2312"/>
          <w:lang w:val="en-US" w:eastAsia="zh-CN"/>
        </w:rPr>
        <w:t>9</w:t>
      </w:r>
    </w:p>
    <w:p w14:paraId="7E01C0E1">
      <w:pPr>
        <w:pStyle w:val="10"/>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（一）一般公共预算财政拨款支出决算总体情况</w:t>
      </w:r>
      <w:r>
        <w:rPr>
          <w:rFonts w:hint="eastAsia" w:ascii="仿宋_GB2312" w:hAnsi="仿宋" w:eastAsia="仿宋_GB2312"/>
          <w:i w:val="0"/>
          <w:iCs w:val="0"/>
          <w:smallCaps/>
        </w:rPr>
        <w:tab/>
      </w:r>
      <w:r>
        <w:rPr>
          <w:rFonts w:hint="eastAsia" w:ascii="仿宋_GB2312" w:hAnsi="仿宋" w:eastAsia="仿宋_GB2312"/>
          <w:i w:val="0"/>
          <w:iCs w:val="0"/>
          <w:smallCaps/>
          <w:lang w:val="en-US" w:eastAsia="zh-CN"/>
        </w:rPr>
        <w:t>9</w:t>
      </w:r>
    </w:p>
    <w:p w14:paraId="4FFC9A65">
      <w:pPr>
        <w:pStyle w:val="10"/>
        <w:tabs>
          <w:tab w:val="right" w:leader="dot" w:pos="8296"/>
        </w:tabs>
        <w:rPr>
          <w:rFonts w:hint="default" w:ascii="仿宋_GB2312" w:hAnsi="仿宋" w:eastAsia="仿宋_GB2312"/>
          <w:i w:val="0"/>
          <w:iCs w:val="0"/>
          <w:smallCaps/>
          <w:lang w:val="en-US" w:eastAsia="zh-CN"/>
        </w:rPr>
      </w:pPr>
      <w:r>
        <w:rPr>
          <w:rFonts w:hint="eastAsia" w:ascii="仿宋_GB2312" w:hAnsi="仿宋" w:eastAsia="仿宋_GB2312"/>
          <w:i w:val="0"/>
          <w:iCs w:val="0"/>
          <w:smallCaps/>
        </w:rPr>
        <w:t>（二）一般公共预算财政拨款支出决算结构情况</w:t>
      </w:r>
      <w:r>
        <w:rPr>
          <w:rFonts w:hint="eastAsia" w:ascii="仿宋_GB2312" w:hAnsi="仿宋" w:eastAsia="仿宋_GB2312"/>
          <w:i w:val="0"/>
          <w:iCs w:val="0"/>
          <w:smallCaps/>
        </w:rPr>
        <w:tab/>
      </w:r>
      <w:r>
        <w:rPr>
          <w:rFonts w:hint="eastAsia" w:ascii="仿宋_GB2312" w:hAnsi="仿宋" w:eastAsia="仿宋_GB2312"/>
          <w:i w:val="0"/>
          <w:iCs w:val="0"/>
          <w:smallCaps/>
          <w:lang w:val="en-US" w:eastAsia="zh-CN"/>
        </w:rPr>
        <w:t>10</w:t>
      </w:r>
    </w:p>
    <w:p w14:paraId="2CF5F895">
      <w:pPr>
        <w:pStyle w:val="10"/>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（三）一般公共预算财政拨款支出决算具体情况</w:t>
      </w:r>
      <w:r>
        <w:rPr>
          <w:rFonts w:hint="eastAsia" w:ascii="仿宋_GB2312" w:hAnsi="仿宋" w:eastAsia="仿宋_GB2312"/>
          <w:i w:val="0"/>
          <w:iCs w:val="0"/>
          <w:smallCaps/>
        </w:rPr>
        <w:tab/>
      </w:r>
      <w:r>
        <w:rPr>
          <w:rFonts w:hint="eastAsia" w:ascii="仿宋_GB2312" w:hAnsi="仿宋" w:eastAsia="仿宋_GB2312"/>
          <w:i w:val="0"/>
          <w:iCs w:val="0"/>
          <w:smallCaps/>
        </w:rPr>
        <w:t>1</w:t>
      </w:r>
      <w:r>
        <w:rPr>
          <w:rFonts w:hint="eastAsia" w:ascii="仿宋_GB2312" w:hAnsi="仿宋" w:eastAsia="仿宋_GB2312"/>
          <w:i w:val="0"/>
          <w:iCs w:val="0"/>
          <w:smallCaps/>
          <w:lang w:val="en-US" w:eastAsia="zh-CN"/>
        </w:rPr>
        <w:t>0</w:t>
      </w:r>
    </w:p>
    <w:p w14:paraId="55A43173">
      <w:pPr>
        <w:pStyle w:val="20"/>
        <w:tabs>
          <w:tab w:val="right" w:leader="dot" w:pos="8296"/>
        </w:tabs>
        <w:rPr>
          <w:rFonts w:hint="eastAsia" w:ascii="仿宋_GB2312" w:hAnsi="仿宋" w:eastAsia="仿宋_GB2312"/>
          <w:lang w:val="en-US" w:eastAsia="zh-CN"/>
        </w:rPr>
      </w:pPr>
      <w:r>
        <w:rPr>
          <w:rFonts w:hint="eastAsia" w:ascii="仿宋_GB2312" w:hAnsi="仿宋" w:eastAsia="仿宋_GB2312"/>
        </w:rPr>
        <w:t>六、一般公共预算财政拨款基本支出决算情况说明</w:t>
      </w:r>
      <w:r>
        <w:rPr>
          <w:rFonts w:hint="eastAsia" w:ascii="仿宋_GB2312" w:hAnsi="仿宋" w:eastAsia="仿宋_GB2312"/>
        </w:rPr>
        <w:tab/>
      </w:r>
      <w:r>
        <w:rPr>
          <w:rFonts w:hint="eastAsia" w:ascii="仿宋_GB2312" w:hAnsi="仿宋" w:eastAsia="仿宋_GB2312"/>
        </w:rPr>
        <w:t>1</w:t>
      </w:r>
      <w:r>
        <w:rPr>
          <w:rFonts w:hint="eastAsia" w:ascii="仿宋_GB2312" w:hAnsi="仿宋" w:eastAsia="仿宋_GB2312"/>
          <w:lang w:val="en-US" w:eastAsia="zh-CN"/>
        </w:rPr>
        <w:t>2</w:t>
      </w:r>
    </w:p>
    <w:p w14:paraId="0565A5AE">
      <w:pPr>
        <w:pStyle w:val="20"/>
        <w:tabs>
          <w:tab w:val="right" w:leader="dot" w:pos="8296"/>
        </w:tabs>
        <w:rPr>
          <w:rFonts w:hint="eastAsia" w:ascii="仿宋_GB2312" w:hAnsi="仿宋" w:eastAsia="仿宋_GB2312"/>
          <w:lang w:val="en-US" w:eastAsia="zh-CN"/>
        </w:rPr>
      </w:pPr>
      <w:r>
        <w:rPr>
          <w:rFonts w:hint="eastAsia" w:ascii="仿宋_GB2312" w:hAnsi="仿宋" w:eastAsia="仿宋_GB2312"/>
        </w:rPr>
        <w:t>七、</w:t>
      </w:r>
      <w:r>
        <w:rPr>
          <w:rFonts w:hint="eastAsia" w:ascii="仿宋_GB2312" w:hAnsi="仿宋" w:eastAsia="仿宋_GB2312"/>
          <w:lang w:eastAsia="zh-CN"/>
        </w:rPr>
        <w:t>财政拨款</w:t>
      </w:r>
      <w:r>
        <w:rPr>
          <w:rFonts w:hint="eastAsia" w:ascii="仿宋_GB2312" w:hAnsi="仿宋" w:eastAsia="仿宋_GB2312"/>
        </w:rPr>
        <w:t>“三公”经费支出决算情况说明</w:t>
      </w:r>
      <w:r>
        <w:rPr>
          <w:rFonts w:hint="eastAsia" w:ascii="仿宋_GB2312" w:hAnsi="仿宋" w:eastAsia="仿宋_GB2312"/>
        </w:rPr>
        <w:tab/>
      </w:r>
      <w:r>
        <w:rPr>
          <w:rFonts w:hint="eastAsia" w:ascii="仿宋_GB2312" w:hAnsi="仿宋" w:eastAsia="仿宋_GB2312"/>
        </w:rPr>
        <w:t>1</w:t>
      </w:r>
      <w:r>
        <w:rPr>
          <w:rFonts w:hint="eastAsia" w:ascii="仿宋_GB2312" w:hAnsi="仿宋" w:eastAsia="仿宋_GB2312"/>
          <w:lang w:val="en-US" w:eastAsia="zh-CN"/>
        </w:rPr>
        <w:t>2</w:t>
      </w:r>
    </w:p>
    <w:p w14:paraId="5CF468D9">
      <w:pPr>
        <w:pStyle w:val="10"/>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（一）“三公”经费财政拨款支出决算总体情况说明</w:t>
      </w:r>
      <w:r>
        <w:rPr>
          <w:rFonts w:hint="eastAsia" w:ascii="仿宋_GB2312" w:hAnsi="仿宋" w:eastAsia="仿宋_GB2312"/>
          <w:i w:val="0"/>
          <w:iCs w:val="0"/>
          <w:smallCaps/>
        </w:rPr>
        <w:tab/>
      </w:r>
      <w:r>
        <w:rPr>
          <w:rFonts w:hint="eastAsia" w:ascii="仿宋_GB2312" w:hAnsi="仿宋" w:eastAsia="仿宋_GB2312"/>
          <w:i w:val="0"/>
          <w:iCs w:val="0"/>
          <w:smallCaps/>
        </w:rPr>
        <w:t>1</w:t>
      </w:r>
      <w:r>
        <w:rPr>
          <w:rFonts w:hint="eastAsia" w:ascii="仿宋_GB2312" w:hAnsi="仿宋" w:eastAsia="仿宋_GB2312"/>
          <w:i w:val="0"/>
          <w:iCs w:val="0"/>
          <w:smallCaps/>
          <w:lang w:val="en-US" w:eastAsia="zh-CN"/>
        </w:rPr>
        <w:t>2</w:t>
      </w:r>
    </w:p>
    <w:p w14:paraId="2A22FD96">
      <w:pPr>
        <w:pStyle w:val="10"/>
        <w:tabs>
          <w:tab w:val="right" w:leader="dot" w:pos="8296"/>
        </w:tabs>
        <w:rPr>
          <w:rFonts w:ascii="仿宋_GB2312" w:hAnsi="仿宋" w:eastAsia="仿宋_GB2312"/>
          <w:i w:val="0"/>
          <w:iCs w:val="0"/>
          <w:smallCaps/>
        </w:rPr>
      </w:pPr>
      <w:r>
        <w:rPr>
          <w:rFonts w:hint="eastAsia" w:ascii="仿宋_GB2312" w:hAnsi="仿宋" w:eastAsia="仿宋_GB2312"/>
          <w:i w:val="0"/>
          <w:iCs w:val="0"/>
          <w:smallCaps/>
        </w:rPr>
        <w:t>（二）“三公”经费财政拨款支出决算具体情况说明</w:t>
      </w:r>
      <w:r>
        <w:rPr>
          <w:rFonts w:hint="eastAsia" w:ascii="仿宋_GB2312" w:hAnsi="仿宋" w:eastAsia="仿宋_GB2312"/>
          <w:i w:val="0"/>
          <w:iCs w:val="0"/>
          <w:smallCaps/>
        </w:rPr>
        <w:tab/>
      </w:r>
      <w:r>
        <w:rPr>
          <w:rFonts w:hint="eastAsia" w:ascii="仿宋_GB2312" w:hAnsi="仿宋" w:eastAsia="仿宋_GB2312"/>
          <w:i w:val="0"/>
          <w:iCs w:val="0"/>
          <w:smallCaps/>
        </w:rPr>
        <w:fldChar w:fldCharType="begin"/>
      </w:r>
      <w:r>
        <w:rPr>
          <w:rFonts w:hint="eastAsia" w:ascii="仿宋_GB2312" w:hAnsi="仿宋" w:eastAsia="仿宋_GB2312"/>
          <w:i w:val="0"/>
          <w:iCs w:val="0"/>
          <w:smallCaps/>
        </w:rPr>
        <w:instrText xml:space="preserve"> PAGEREF _Toc79163871 \h </w:instrText>
      </w:r>
      <w:r>
        <w:rPr>
          <w:rFonts w:hint="eastAsia" w:ascii="仿宋_GB2312" w:hAnsi="仿宋" w:eastAsia="仿宋_GB2312"/>
          <w:i w:val="0"/>
          <w:iCs w:val="0"/>
          <w:smallCaps/>
        </w:rPr>
        <w:fldChar w:fldCharType="separate"/>
      </w:r>
      <w:r>
        <w:rPr>
          <w:rFonts w:hint="eastAsia" w:ascii="仿宋_GB2312" w:hAnsi="仿宋" w:eastAsia="仿宋_GB2312"/>
          <w:i w:val="0"/>
          <w:iCs w:val="0"/>
          <w:smallCaps/>
        </w:rPr>
        <w:t>12</w:t>
      </w:r>
      <w:r>
        <w:rPr>
          <w:rFonts w:hint="eastAsia" w:ascii="仿宋_GB2312" w:hAnsi="仿宋" w:eastAsia="仿宋_GB2312"/>
          <w:i w:val="0"/>
          <w:iCs w:val="0"/>
          <w:smallCaps/>
        </w:rPr>
        <w:fldChar w:fldCharType="end"/>
      </w:r>
    </w:p>
    <w:p w14:paraId="108EF00B">
      <w:pPr>
        <w:pStyle w:val="20"/>
        <w:tabs>
          <w:tab w:val="right" w:leader="dot" w:pos="8296"/>
        </w:tabs>
        <w:rPr>
          <w:rFonts w:ascii="仿宋_GB2312" w:hAnsi="仿宋" w:eastAsia="仿宋_GB2312"/>
        </w:rPr>
      </w:pPr>
      <w:r>
        <w:rPr>
          <w:rFonts w:hint="eastAsia" w:ascii="仿宋_GB2312" w:hAnsi="仿宋" w:eastAsia="仿宋_GB2312"/>
        </w:rPr>
        <w:t>八、政府性基金预算支出决算情况说明</w:t>
      </w:r>
      <w:r>
        <w:rPr>
          <w:rFonts w:hint="eastAsia" w:ascii="仿宋_GB2312" w:hAnsi="仿宋" w:eastAsia="仿宋_GB2312"/>
        </w:rPr>
        <w:tab/>
      </w:r>
      <w:r>
        <w:rPr>
          <w:rFonts w:hint="eastAsia" w:ascii="仿宋_GB2312" w:hAnsi="仿宋" w:eastAsia="仿宋_GB2312"/>
        </w:rPr>
        <w:fldChar w:fldCharType="begin"/>
      </w:r>
      <w:r>
        <w:rPr>
          <w:rFonts w:hint="eastAsia" w:ascii="仿宋_GB2312" w:hAnsi="仿宋" w:eastAsia="仿宋_GB2312"/>
        </w:rPr>
        <w:instrText xml:space="preserve"> PAGEREF _Toc79163872 \h </w:instrText>
      </w:r>
      <w:r>
        <w:rPr>
          <w:rFonts w:hint="eastAsia" w:ascii="仿宋_GB2312" w:hAnsi="仿宋" w:eastAsia="仿宋_GB2312"/>
        </w:rPr>
        <w:fldChar w:fldCharType="separate"/>
      </w:r>
      <w:r>
        <w:rPr>
          <w:rFonts w:hint="eastAsia" w:ascii="仿宋_GB2312" w:hAnsi="仿宋" w:eastAsia="仿宋_GB2312"/>
        </w:rPr>
        <w:t>14</w:t>
      </w:r>
      <w:r>
        <w:rPr>
          <w:rFonts w:hint="eastAsia" w:ascii="仿宋_GB2312" w:hAnsi="仿宋" w:eastAsia="仿宋_GB2312"/>
        </w:rPr>
        <w:fldChar w:fldCharType="end"/>
      </w:r>
    </w:p>
    <w:p w14:paraId="21F8BCF4">
      <w:pPr>
        <w:pStyle w:val="20"/>
        <w:tabs>
          <w:tab w:val="right" w:leader="dot" w:pos="8296"/>
        </w:tabs>
        <w:rPr>
          <w:rFonts w:hint="eastAsia" w:ascii="仿宋_GB2312" w:hAnsi="仿宋" w:eastAsia="仿宋_GB2312"/>
          <w:lang w:val="en-US" w:eastAsia="zh-CN"/>
        </w:rPr>
      </w:pPr>
      <w:r>
        <w:rPr>
          <w:rFonts w:hint="eastAsia" w:ascii="仿宋_GB2312" w:hAnsi="仿宋" w:eastAsia="仿宋_GB2312"/>
        </w:rPr>
        <w:t>九、 国有资本经营预算支出决算情况说明</w:t>
      </w:r>
      <w:r>
        <w:rPr>
          <w:rFonts w:hint="eastAsia" w:ascii="仿宋_GB2312" w:hAnsi="仿宋" w:eastAsia="仿宋_GB2312"/>
        </w:rPr>
        <w:tab/>
      </w:r>
      <w:r>
        <w:rPr>
          <w:rFonts w:hint="eastAsia" w:ascii="仿宋_GB2312" w:hAnsi="仿宋" w:eastAsia="仿宋_GB2312"/>
        </w:rPr>
        <w:t>1</w:t>
      </w:r>
      <w:r>
        <w:rPr>
          <w:rFonts w:hint="eastAsia" w:ascii="仿宋_GB2312" w:hAnsi="仿宋" w:eastAsia="仿宋_GB2312"/>
          <w:lang w:val="en-US" w:eastAsia="zh-CN"/>
        </w:rPr>
        <w:t>4</w:t>
      </w:r>
    </w:p>
    <w:p w14:paraId="01E3B23E">
      <w:pPr>
        <w:pStyle w:val="20"/>
        <w:tabs>
          <w:tab w:val="right" w:leader="dot" w:pos="8296"/>
        </w:tabs>
        <w:rPr>
          <w:rFonts w:hint="eastAsia" w:ascii="仿宋_GB2312" w:hAnsi="仿宋" w:eastAsia="仿宋_GB2312"/>
          <w:lang w:val="en-US" w:eastAsia="zh-CN"/>
        </w:rPr>
      </w:pPr>
      <w:r>
        <w:rPr>
          <w:rFonts w:hint="eastAsia" w:ascii="仿宋_GB2312" w:hAnsi="仿宋" w:eastAsia="仿宋_GB2312"/>
        </w:rPr>
        <w:t>十、其他重要事项的情况说明</w:t>
      </w:r>
      <w:r>
        <w:rPr>
          <w:rFonts w:hint="eastAsia" w:ascii="仿宋_GB2312" w:hAnsi="仿宋" w:eastAsia="仿宋_GB2312"/>
        </w:rPr>
        <w:tab/>
      </w:r>
      <w:r>
        <w:rPr>
          <w:rFonts w:hint="eastAsia" w:ascii="仿宋_GB2312" w:hAnsi="仿宋" w:eastAsia="仿宋_GB2312"/>
        </w:rPr>
        <w:t>1</w:t>
      </w:r>
      <w:r>
        <w:rPr>
          <w:rFonts w:hint="eastAsia" w:ascii="仿宋_GB2312" w:hAnsi="仿宋" w:eastAsia="仿宋_GB2312"/>
          <w:lang w:val="en-US" w:eastAsia="zh-CN"/>
        </w:rPr>
        <w:t>4</w:t>
      </w:r>
    </w:p>
    <w:p w14:paraId="3B053725">
      <w:pPr>
        <w:pStyle w:val="10"/>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（一）机关运行经费支出情况</w:t>
      </w:r>
      <w:r>
        <w:rPr>
          <w:rFonts w:hint="eastAsia" w:ascii="仿宋_GB2312" w:hAnsi="仿宋" w:eastAsia="仿宋_GB2312"/>
          <w:i w:val="0"/>
          <w:iCs w:val="0"/>
          <w:smallCaps/>
        </w:rPr>
        <w:tab/>
      </w:r>
      <w:r>
        <w:rPr>
          <w:rFonts w:hint="eastAsia" w:ascii="仿宋_GB2312" w:hAnsi="仿宋" w:eastAsia="仿宋_GB2312"/>
          <w:i w:val="0"/>
          <w:iCs w:val="0"/>
          <w:smallCaps/>
        </w:rPr>
        <w:t>1</w:t>
      </w:r>
      <w:r>
        <w:rPr>
          <w:rFonts w:hint="eastAsia" w:ascii="仿宋_GB2312" w:hAnsi="仿宋" w:eastAsia="仿宋_GB2312"/>
          <w:i w:val="0"/>
          <w:iCs w:val="0"/>
          <w:smallCaps/>
          <w:lang w:val="en-US" w:eastAsia="zh-CN"/>
        </w:rPr>
        <w:t>4</w:t>
      </w:r>
    </w:p>
    <w:p w14:paraId="23D5740D">
      <w:pPr>
        <w:pStyle w:val="10"/>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（二）政府采购支出情况</w:t>
      </w:r>
      <w:r>
        <w:rPr>
          <w:rFonts w:hint="eastAsia" w:ascii="仿宋_GB2312" w:hAnsi="仿宋" w:eastAsia="仿宋_GB2312"/>
          <w:i w:val="0"/>
          <w:iCs w:val="0"/>
          <w:smallCaps/>
        </w:rPr>
        <w:tab/>
      </w:r>
      <w:r>
        <w:rPr>
          <w:rFonts w:hint="eastAsia" w:ascii="仿宋_GB2312" w:hAnsi="仿宋" w:eastAsia="仿宋_GB2312"/>
          <w:i w:val="0"/>
          <w:iCs w:val="0"/>
          <w:smallCaps/>
        </w:rPr>
        <w:t>1</w:t>
      </w:r>
      <w:r>
        <w:rPr>
          <w:rFonts w:hint="eastAsia" w:ascii="仿宋_GB2312" w:hAnsi="仿宋" w:eastAsia="仿宋_GB2312"/>
          <w:i w:val="0"/>
          <w:iCs w:val="0"/>
          <w:smallCaps/>
          <w:lang w:val="en-US" w:eastAsia="zh-CN"/>
        </w:rPr>
        <w:t>4</w:t>
      </w:r>
    </w:p>
    <w:p w14:paraId="79C95E63">
      <w:pPr>
        <w:pStyle w:val="10"/>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（三）国有资产占有使用情况</w:t>
      </w:r>
      <w:r>
        <w:rPr>
          <w:rFonts w:hint="eastAsia" w:ascii="仿宋_GB2312" w:hAnsi="仿宋" w:eastAsia="仿宋_GB2312"/>
          <w:i w:val="0"/>
          <w:iCs w:val="0"/>
          <w:smallCaps/>
        </w:rPr>
        <w:tab/>
      </w:r>
      <w:r>
        <w:rPr>
          <w:rFonts w:hint="eastAsia" w:ascii="仿宋_GB2312" w:hAnsi="仿宋" w:eastAsia="仿宋_GB2312"/>
          <w:i w:val="0"/>
          <w:iCs w:val="0"/>
          <w:smallCaps/>
        </w:rPr>
        <w:t>1</w:t>
      </w:r>
      <w:r>
        <w:rPr>
          <w:rFonts w:hint="eastAsia" w:ascii="仿宋_GB2312" w:hAnsi="仿宋" w:eastAsia="仿宋_GB2312"/>
          <w:i w:val="0"/>
          <w:iCs w:val="0"/>
          <w:smallCaps/>
          <w:lang w:val="en-US" w:eastAsia="zh-CN"/>
        </w:rPr>
        <w:t>4</w:t>
      </w:r>
    </w:p>
    <w:p w14:paraId="51F6070B">
      <w:pPr>
        <w:pStyle w:val="10"/>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（四）预算绩效管理情况</w:t>
      </w:r>
      <w:r>
        <w:rPr>
          <w:rFonts w:hint="eastAsia" w:ascii="仿宋_GB2312" w:hAnsi="仿宋" w:eastAsia="仿宋_GB2312"/>
          <w:i w:val="0"/>
          <w:iCs w:val="0"/>
          <w:smallCaps/>
        </w:rPr>
        <w:tab/>
      </w:r>
      <w:r>
        <w:rPr>
          <w:rFonts w:hint="eastAsia" w:ascii="仿宋_GB2312" w:hAnsi="仿宋" w:eastAsia="仿宋_GB2312"/>
          <w:i w:val="0"/>
          <w:iCs w:val="0"/>
          <w:smallCaps/>
        </w:rPr>
        <w:t>1</w:t>
      </w:r>
      <w:r>
        <w:rPr>
          <w:rFonts w:hint="eastAsia" w:ascii="仿宋_GB2312" w:hAnsi="仿宋" w:eastAsia="仿宋_GB2312"/>
          <w:i w:val="0"/>
          <w:iCs w:val="0"/>
          <w:smallCaps/>
          <w:lang w:val="en-US" w:eastAsia="zh-CN"/>
        </w:rPr>
        <w:t>4</w:t>
      </w:r>
    </w:p>
    <w:p w14:paraId="73A3D087">
      <w:pPr>
        <w:pStyle w:val="15"/>
        <w:tabs>
          <w:tab w:val="right" w:leader="dot" w:pos="8296"/>
        </w:tabs>
        <w:rPr>
          <w:rFonts w:hint="eastAsia" w:ascii="仿宋_GB2312" w:hAnsi="仿宋" w:eastAsia="仿宋_GB2312"/>
          <w:b w:val="0"/>
          <w:bCs w:val="0"/>
          <w:caps w:val="0"/>
          <w:smallCaps/>
          <w:lang w:val="en-US" w:eastAsia="zh-CN"/>
        </w:rPr>
      </w:pPr>
      <w:r>
        <w:rPr>
          <w:rFonts w:hint="eastAsia" w:ascii="仿宋_GB2312" w:hAnsi="仿宋" w:eastAsia="仿宋_GB2312"/>
          <w:b w:val="0"/>
          <w:bCs w:val="0"/>
          <w:caps w:val="0"/>
          <w:smallCaps/>
        </w:rPr>
        <w:t>第三部分 名词解释</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t>1</w:t>
      </w:r>
      <w:r>
        <w:rPr>
          <w:rFonts w:hint="eastAsia" w:ascii="仿宋_GB2312" w:hAnsi="仿宋" w:eastAsia="仿宋_GB2312"/>
          <w:b w:val="0"/>
          <w:bCs w:val="0"/>
          <w:caps w:val="0"/>
          <w:smallCaps/>
          <w:lang w:val="en-US" w:eastAsia="zh-CN"/>
        </w:rPr>
        <w:t>6</w:t>
      </w:r>
    </w:p>
    <w:p w14:paraId="176A38EE">
      <w:pPr>
        <w:pStyle w:val="15"/>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第四部分 附件</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19</w:t>
      </w:r>
    </w:p>
    <w:p w14:paraId="77FCF84E">
      <w:pPr>
        <w:pStyle w:val="15"/>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附件1</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19</w:t>
      </w:r>
    </w:p>
    <w:p w14:paraId="23A9A46A">
      <w:pPr>
        <w:pStyle w:val="15"/>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茂县供销合作社联合社202</w:t>
      </w:r>
      <w:r>
        <w:rPr>
          <w:rFonts w:hint="eastAsia" w:ascii="仿宋_GB2312" w:hAnsi="仿宋" w:eastAsia="仿宋_GB2312"/>
          <w:b w:val="0"/>
          <w:bCs w:val="0"/>
          <w:caps w:val="0"/>
          <w:smallCaps/>
          <w:lang w:val="en-US" w:eastAsia="zh-CN"/>
        </w:rPr>
        <w:t>3</w:t>
      </w:r>
      <w:r>
        <w:rPr>
          <w:rFonts w:hint="eastAsia" w:ascii="仿宋_GB2312" w:hAnsi="仿宋" w:eastAsia="仿宋_GB2312"/>
          <w:b w:val="0"/>
          <w:bCs w:val="0"/>
          <w:caps w:val="0"/>
          <w:smallCaps/>
        </w:rPr>
        <w:t>年</w:t>
      </w:r>
      <w:r>
        <w:rPr>
          <w:rFonts w:hint="eastAsia" w:ascii="仿宋_GB2312" w:hAnsi="仿宋" w:eastAsia="仿宋_GB2312"/>
          <w:b w:val="0"/>
          <w:bCs w:val="0"/>
          <w:caps w:val="0"/>
          <w:smallCaps/>
          <w:lang w:eastAsia="zh-CN"/>
        </w:rPr>
        <w:t>部门预算</w:t>
      </w:r>
      <w:r>
        <w:rPr>
          <w:rFonts w:hint="eastAsia" w:ascii="仿宋_GB2312" w:hAnsi="仿宋" w:eastAsia="仿宋_GB2312"/>
          <w:b w:val="0"/>
          <w:bCs w:val="0"/>
          <w:caps w:val="0"/>
          <w:smallCaps/>
        </w:rPr>
        <w:t>绩效自评报告</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19</w:t>
      </w:r>
    </w:p>
    <w:p w14:paraId="7D077017">
      <w:pPr>
        <w:pStyle w:val="15"/>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附件2</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28</w:t>
      </w:r>
    </w:p>
    <w:p w14:paraId="753C995D">
      <w:pPr>
        <w:pStyle w:val="15"/>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茂县供销合作社联合社202</w:t>
      </w:r>
      <w:r>
        <w:rPr>
          <w:rFonts w:hint="eastAsia" w:ascii="仿宋_GB2312" w:hAnsi="仿宋" w:eastAsia="仿宋_GB2312"/>
          <w:b w:val="0"/>
          <w:bCs w:val="0"/>
          <w:caps w:val="0"/>
          <w:smallCaps/>
          <w:lang w:val="en-US" w:eastAsia="zh-CN"/>
        </w:rPr>
        <w:t>3</w:t>
      </w:r>
      <w:r>
        <w:rPr>
          <w:rFonts w:hint="eastAsia" w:ascii="仿宋_GB2312" w:hAnsi="仿宋" w:eastAsia="仿宋_GB2312"/>
          <w:b w:val="0"/>
          <w:bCs w:val="0"/>
          <w:caps w:val="0"/>
          <w:smallCaps/>
        </w:rPr>
        <w:t>年</w:t>
      </w:r>
      <w:r>
        <w:rPr>
          <w:rFonts w:hint="eastAsia" w:ascii="仿宋_GB2312" w:hAnsi="仿宋" w:eastAsia="仿宋_GB2312"/>
          <w:b w:val="0"/>
          <w:bCs w:val="0"/>
          <w:caps w:val="0"/>
          <w:smallCaps/>
          <w:lang w:eastAsia="zh-CN"/>
        </w:rPr>
        <w:t>“茂农服”数字平台项目绩效评价</w:t>
      </w:r>
      <w:r>
        <w:rPr>
          <w:rFonts w:hint="eastAsia" w:ascii="仿宋_GB2312" w:hAnsi="仿宋" w:eastAsia="仿宋_GB2312"/>
          <w:b w:val="0"/>
          <w:bCs w:val="0"/>
          <w:caps w:val="0"/>
          <w:smallCaps/>
        </w:rPr>
        <w:t>报告</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28</w:t>
      </w:r>
    </w:p>
    <w:p w14:paraId="23D5EABE">
      <w:pPr>
        <w:pStyle w:val="15"/>
        <w:tabs>
          <w:tab w:val="right" w:leader="dot" w:pos="8296"/>
        </w:tabs>
        <w:rPr>
          <w:rFonts w:hint="eastAsia" w:ascii="仿宋_GB2312" w:hAnsi="仿宋" w:eastAsia="仿宋_GB2312"/>
          <w:b w:val="0"/>
          <w:bCs w:val="0"/>
          <w:caps w:val="0"/>
          <w:smallCaps/>
          <w:lang w:val="en-US" w:eastAsia="zh-CN"/>
        </w:rPr>
      </w:pPr>
      <w:r>
        <w:rPr>
          <w:rFonts w:hint="eastAsia" w:ascii="仿宋_GB2312" w:hAnsi="仿宋" w:eastAsia="仿宋_GB2312"/>
          <w:b w:val="0"/>
          <w:bCs w:val="0"/>
          <w:caps w:val="0"/>
          <w:smallCaps/>
        </w:rPr>
        <w:t>附件3</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t>3</w:t>
      </w:r>
      <w:r>
        <w:rPr>
          <w:rFonts w:hint="eastAsia" w:ascii="仿宋_GB2312" w:hAnsi="仿宋" w:eastAsia="仿宋_GB2312"/>
          <w:b w:val="0"/>
          <w:bCs w:val="0"/>
          <w:caps w:val="0"/>
          <w:smallCaps/>
          <w:lang w:val="en-US" w:eastAsia="zh-CN"/>
        </w:rPr>
        <w:t>4</w:t>
      </w:r>
    </w:p>
    <w:p w14:paraId="05B5A1A9">
      <w:pPr>
        <w:pStyle w:val="15"/>
        <w:tabs>
          <w:tab w:val="right" w:leader="dot" w:pos="8296"/>
        </w:tabs>
        <w:rPr>
          <w:rFonts w:hint="eastAsia" w:ascii="仿宋_GB2312" w:hAnsi="仿宋" w:eastAsia="仿宋_GB2312"/>
          <w:b w:val="0"/>
          <w:bCs w:val="0"/>
          <w:caps w:val="0"/>
          <w:smallCaps/>
          <w:lang w:val="en-US" w:eastAsia="zh-CN"/>
        </w:rPr>
      </w:pPr>
      <w:r>
        <w:rPr>
          <w:rFonts w:hint="eastAsia" w:ascii="仿宋_GB2312" w:hAnsi="仿宋" w:eastAsia="仿宋_GB2312"/>
          <w:b w:val="0"/>
          <w:bCs w:val="0"/>
          <w:caps w:val="0"/>
          <w:smallCaps/>
        </w:rPr>
        <w:t>茂县供销合作社联合社202</w:t>
      </w:r>
      <w:r>
        <w:rPr>
          <w:rFonts w:hint="eastAsia" w:ascii="仿宋_GB2312" w:hAnsi="仿宋" w:eastAsia="仿宋_GB2312"/>
          <w:b w:val="0"/>
          <w:bCs w:val="0"/>
          <w:caps w:val="0"/>
          <w:smallCaps/>
          <w:lang w:val="en-US" w:eastAsia="zh-CN"/>
        </w:rPr>
        <w:t>3</w:t>
      </w:r>
      <w:r>
        <w:rPr>
          <w:rFonts w:hint="eastAsia" w:ascii="仿宋_GB2312" w:hAnsi="仿宋" w:eastAsia="仿宋_GB2312"/>
          <w:b w:val="0"/>
          <w:bCs w:val="0"/>
          <w:caps w:val="0"/>
          <w:smallCaps/>
        </w:rPr>
        <w:t>年茂县</w:t>
      </w:r>
      <w:r>
        <w:rPr>
          <w:rFonts w:hint="eastAsia" w:ascii="仿宋_GB2312" w:hAnsi="仿宋" w:eastAsia="仿宋_GB2312"/>
          <w:b w:val="0"/>
          <w:bCs w:val="0"/>
          <w:caps w:val="0"/>
          <w:smallCaps/>
          <w:lang w:eastAsia="zh-CN"/>
        </w:rPr>
        <w:t>交流交往交融项目绩效评价</w:t>
      </w:r>
      <w:r>
        <w:rPr>
          <w:rFonts w:hint="eastAsia" w:ascii="仿宋_GB2312" w:hAnsi="仿宋" w:eastAsia="仿宋_GB2312"/>
          <w:b w:val="0"/>
          <w:bCs w:val="0"/>
          <w:caps w:val="0"/>
          <w:smallCaps/>
        </w:rPr>
        <w:t>报告</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t>3</w:t>
      </w:r>
      <w:r>
        <w:rPr>
          <w:rFonts w:hint="eastAsia" w:ascii="仿宋_GB2312" w:hAnsi="仿宋" w:eastAsia="仿宋_GB2312"/>
          <w:b w:val="0"/>
          <w:bCs w:val="0"/>
          <w:caps w:val="0"/>
          <w:smallCaps/>
          <w:lang w:val="en-US" w:eastAsia="zh-CN"/>
        </w:rPr>
        <w:t>4</w:t>
      </w:r>
    </w:p>
    <w:p w14:paraId="694CB37F">
      <w:pPr>
        <w:pStyle w:val="15"/>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附件4</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41</w:t>
      </w:r>
    </w:p>
    <w:p w14:paraId="1CF07D3C">
      <w:pPr>
        <w:pStyle w:val="15"/>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茂县供销社合作社联合社202</w:t>
      </w:r>
      <w:r>
        <w:rPr>
          <w:rFonts w:hint="eastAsia" w:ascii="仿宋_GB2312" w:hAnsi="仿宋" w:eastAsia="仿宋_GB2312"/>
          <w:b w:val="0"/>
          <w:bCs w:val="0"/>
          <w:caps w:val="0"/>
          <w:smallCaps/>
          <w:lang w:val="en-US" w:eastAsia="zh-CN"/>
        </w:rPr>
        <w:t>3</w:t>
      </w:r>
      <w:r>
        <w:rPr>
          <w:rFonts w:hint="eastAsia" w:ascii="仿宋_GB2312" w:hAnsi="仿宋" w:eastAsia="仿宋_GB2312"/>
          <w:b w:val="0"/>
          <w:bCs w:val="0"/>
          <w:caps w:val="0"/>
          <w:smallCaps/>
        </w:rPr>
        <w:t>年</w:t>
      </w:r>
      <w:r>
        <w:rPr>
          <w:rFonts w:hint="eastAsia" w:ascii="仿宋_GB2312" w:hAnsi="仿宋" w:eastAsia="仿宋_GB2312"/>
          <w:b w:val="0"/>
          <w:bCs w:val="0"/>
          <w:caps w:val="0"/>
          <w:smallCaps/>
          <w:lang w:eastAsia="zh-CN"/>
        </w:rPr>
        <w:t>茂县数字农业服务平台扩建项目绩效评价</w:t>
      </w:r>
      <w:r>
        <w:rPr>
          <w:rFonts w:hint="eastAsia" w:ascii="仿宋_GB2312" w:hAnsi="仿宋" w:eastAsia="仿宋_GB2312"/>
          <w:b w:val="0"/>
          <w:bCs w:val="0"/>
          <w:caps w:val="0"/>
          <w:smallCaps/>
        </w:rPr>
        <w:t>报告</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41</w:t>
      </w:r>
    </w:p>
    <w:p w14:paraId="4F5547F9">
      <w:pPr>
        <w:pStyle w:val="15"/>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附件5</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48</w:t>
      </w:r>
    </w:p>
    <w:p w14:paraId="64B08006">
      <w:pPr>
        <w:pStyle w:val="15"/>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茂县供销合作社联合社</w:t>
      </w:r>
      <w:r>
        <w:rPr>
          <w:rFonts w:hint="eastAsia" w:ascii="仿宋_GB2312" w:hAnsi="仿宋" w:eastAsia="仿宋_GB2312"/>
          <w:b w:val="0"/>
          <w:bCs w:val="0"/>
          <w:caps w:val="0"/>
          <w:smallCaps/>
          <w:lang w:val="en-US" w:eastAsia="zh-CN"/>
        </w:rPr>
        <w:t>2023年</w:t>
      </w:r>
      <w:r>
        <w:rPr>
          <w:rFonts w:hint="eastAsia" w:ascii="仿宋_GB2312" w:hAnsi="仿宋" w:eastAsia="仿宋_GB2312"/>
          <w:b w:val="0"/>
          <w:bCs w:val="0"/>
          <w:caps w:val="0"/>
          <w:smallCaps/>
          <w:lang w:eastAsia="zh-CN"/>
        </w:rPr>
        <w:t>农资储备和价格补贴专项经费项目绩效评价</w:t>
      </w:r>
      <w:r>
        <w:rPr>
          <w:rFonts w:hint="eastAsia" w:ascii="仿宋_GB2312" w:hAnsi="仿宋" w:eastAsia="仿宋_GB2312"/>
          <w:b w:val="0"/>
          <w:bCs w:val="0"/>
          <w:caps w:val="0"/>
          <w:smallCaps/>
        </w:rPr>
        <w:t xml:space="preserve">报告. </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48</w:t>
      </w:r>
    </w:p>
    <w:p w14:paraId="1529E2DA">
      <w:pPr>
        <w:pStyle w:val="15"/>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第五部分 附表</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55</w:t>
      </w:r>
    </w:p>
    <w:p w14:paraId="7FB00550">
      <w:pPr>
        <w:pStyle w:val="20"/>
        <w:tabs>
          <w:tab w:val="right" w:leader="dot" w:pos="8296"/>
        </w:tabs>
        <w:rPr>
          <w:rFonts w:hint="default" w:ascii="仿宋_GB2312" w:hAnsi="仿宋" w:eastAsia="仿宋_GB2312"/>
          <w:lang w:val="en-US" w:eastAsia="zh-CN"/>
        </w:rPr>
      </w:pPr>
      <w:r>
        <w:rPr>
          <w:rFonts w:hint="eastAsia" w:ascii="仿宋_GB2312" w:hAnsi="仿宋" w:eastAsia="仿宋_GB2312"/>
        </w:rPr>
        <w:t>一、收入支出决算总表</w:t>
      </w:r>
      <w:r>
        <w:rPr>
          <w:rFonts w:hint="eastAsia" w:ascii="仿宋_GB2312" w:hAnsi="仿宋" w:eastAsia="仿宋_GB2312"/>
        </w:rPr>
        <w:tab/>
      </w:r>
      <w:r>
        <w:rPr>
          <w:rFonts w:hint="eastAsia" w:ascii="仿宋_GB2312" w:hAnsi="仿宋" w:eastAsia="仿宋_GB2312"/>
          <w:lang w:val="en-US" w:eastAsia="zh-CN"/>
        </w:rPr>
        <w:t>55</w:t>
      </w:r>
    </w:p>
    <w:p w14:paraId="0CDC1A17">
      <w:pPr>
        <w:pStyle w:val="20"/>
        <w:tabs>
          <w:tab w:val="right" w:leader="dot" w:pos="8296"/>
        </w:tabs>
        <w:rPr>
          <w:rFonts w:hint="default" w:ascii="仿宋_GB2312" w:hAnsi="仿宋" w:eastAsia="仿宋_GB2312"/>
          <w:lang w:val="en-US" w:eastAsia="zh-CN"/>
        </w:rPr>
      </w:pPr>
      <w:r>
        <w:rPr>
          <w:rFonts w:hint="eastAsia" w:ascii="仿宋_GB2312" w:hAnsi="仿宋" w:eastAsia="仿宋_GB2312"/>
        </w:rPr>
        <w:t>二、收入决算表</w:t>
      </w:r>
      <w:r>
        <w:rPr>
          <w:rFonts w:hint="eastAsia" w:ascii="仿宋_GB2312" w:hAnsi="仿宋" w:eastAsia="仿宋_GB2312"/>
        </w:rPr>
        <w:tab/>
      </w:r>
      <w:r>
        <w:rPr>
          <w:rFonts w:hint="eastAsia" w:ascii="仿宋_GB2312" w:hAnsi="仿宋" w:eastAsia="仿宋_GB2312"/>
          <w:lang w:val="en-US" w:eastAsia="zh-CN"/>
        </w:rPr>
        <w:t>55</w:t>
      </w:r>
    </w:p>
    <w:p w14:paraId="68983B13">
      <w:pPr>
        <w:pStyle w:val="20"/>
        <w:tabs>
          <w:tab w:val="right" w:leader="dot" w:pos="8296"/>
        </w:tabs>
        <w:rPr>
          <w:rFonts w:hint="default" w:ascii="仿宋_GB2312" w:hAnsi="仿宋" w:eastAsia="仿宋_GB2312"/>
          <w:lang w:val="en-US" w:eastAsia="zh-CN"/>
        </w:rPr>
      </w:pPr>
      <w:r>
        <w:rPr>
          <w:rFonts w:hint="eastAsia" w:ascii="仿宋_GB2312" w:hAnsi="仿宋" w:eastAsia="仿宋_GB2312"/>
        </w:rPr>
        <w:t>三、支出决算表</w:t>
      </w:r>
      <w:r>
        <w:rPr>
          <w:rFonts w:hint="eastAsia" w:ascii="仿宋_GB2312" w:hAnsi="仿宋" w:eastAsia="仿宋_GB2312"/>
        </w:rPr>
        <w:tab/>
      </w:r>
      <w:r>
        <w:rPr>
          <w:rFonts w:hint="eastAsia" w:ascii="仿宋_GB2312" w:hAnsi="仿宋" w:eastAsia="仿宋_GB2312"/>
          <w:lang w:val="en-US" w:eastAsia="zh-CN"/>
        </w:rPr>
        <w:t>55</w:t>
      </w:r>
    </w:p>
    <w:p w14:paraId="2D7C65F3">
      <w:pPr>
        <w:pStyle w:val="20"/>
        <w:tabs>
          <w:tab w:val="right" w:leader="dot" w:pos="8296"/>
        </w:tabs>
        <w:rPr>
          <w:rFonts w:hint="default" w:ascii="仿宋_GB2312" w:hAnsi="仿宋" w:eastAsia="仿宋_GB2312"/>
          <w:lang w:val="en-US" w:eastAsia="zh-CN"/>
        </w:rPr>
      </w:pPr>
      <w:r>
        <w:rPr>
          <w:rFonts w:hint="eastAsia" w:ascii="仿宋_GB2312" w:hAnsi="仿宋" w:eastAsia="仿宋_GB2312"/>
        </w:rPr>
        <w:t>四、财政拨款收入支出决算总表</w:t>
      </w:r>
      <w:r>
        <w:rPr>
          <w:rFonts w:hint="eastAsia" w:ascii="仿宋_GB2312" w:hAnsi="仿宋" w:eastAsia="仿宋_GB2312"/>
        </w:rPr>
        <w:tab/>
      </w:r>
      <w:r>
        <w:rPr>
          <w:rFonts w:hint="eastAsia" w:ascii="仿宋_GB2312" w:hAnsi="仿宋" w:eastAsia="仿宋_GB2312"/>
          <w:lang w:val="en-US" w:eastAsia="zh-CN"/>
        </w:rPr>
        <w:t>55</w:t>
      </w:r>
    </w:p>
    <w:p w14:paraId="3B0659A9">
      <w:pPr>
        <w:pStyle w:val="20"/>
        <w:tabs>
          <w:tab w:val="right" w:leader="dot" w:pos="8296"/>
        </w:tabs>
        <w:rPr>
          <w:rFonts w:hint="default" w:ascii="仿宋_GB2312" w:hAnsi="仿宋" w:eastAsia="仿宋_GB2312"/>
          <w:lang w:val="en-US" w:eastAsia="zh-CN"/>
        </w:rPr>
      </w:pPr>
      <w:r>
        <w:rPr>
          <w:rFonts w:hint="eastAsia" w:ascii="仿宋_GB2312" w:hAnsi="仿宋" w:eastAsia="仿宋_GB2312"/>
        </w:rPr>
        <w:t>五、财政拨款支出决算明细表</w:t>
      </w:r>
      <w:r>
        <w:rPr>
          <w:rFonts w:hint="eastAsia" w:ascii="仿宋_GB2312" w:hAnsi="仿宋" w:eastAsia="仿宋_GB2312"/>
        </w:rPr>
        <w:tab/>
      </w:r>
      <w:r>
        <w:rPr>
          <w:rFonts w:hint="eastAsia" w:ascii="仿宋_GB2312" w:hAnsi="仿宋" w:eastAsia="仿宋_GB2312"/>
          <w:lang w:val="en-US" w:eastAsia="zh-CN"/>
        </w:rPr>
        <w:t>55</w:t>
      </w:r>
    </w:p>
    <w:p w14:paraId="5C87F280">
      <w:pPr>
        <w:pStyle w:val="20"/>
        <w:tabs>
          <w:tab w:val="right" w:leader="dot" w:pos="8296"/>
        </w:tabs>
        <w:rPr>
          <w:rFonts w:hint="default" w:ascii="仿宋_GB2312" w:hAnsi="仿宋" w:eastAsia="仿宋_GB2312"/>
          <w:lang w:val="en-US" w:eastAsia="zh-CN"/>
        </w:rPr>
      </w:pPr>
      <w:r>
        <w:rPr>
          <w:rFonts w:hint="eastAsia" w:ascii="仿宋_GB2312" w:hAnsi="仿宋" w:eastAsia="仿宋_GB2312"/>
        </w:rPr>
        <w:t>六、一般公共预算财政拨款支出决算表</w:t>
      </w:r>
      <w:r>
        <w:rPr>
          <w:rFonts w:hint="eastAsia" w:ascii="仿宋_GB2312" w:hAnsi="仿宋" w:eastAsia="仿宋_GB2312"/>
        </w:rPr>
        <w:tab/>
      </w:r>
      <w:r>
        <w:rPr>
          <w:rFonts w:hint="eastAsia" w:ascii="仿宋_GB2312" w:hAnsi="仿宋" w:eastAsia="仿宋_GB2312"/>
          <w:lang w:val="en-US" w:eastAsia="zh-CN"/>
        </w:rPr>
        <w:t>55</w:t>
      </w:r>
    </w:p>
    <w:p w14:paraId="04E615B4">
      <w:pPr>
        <w:pStyle w:val="20"/>
        <w:tabs>
          <w:tab w:val="right" w:leader="dot" w:pos="8296"/>
        </w:tabs>
        <w:rPr>
          <w:rFonts w:hint="default" w:ascii="仿宋_GB2312" w:hAnsi="仿宋" w:eastAsia="仿宋_GB2312"/>
          <w:lang w:val="en-US" w:eastAsia="zh-CN"/>
        </w:rPr>
      </w:pPr>
      <w:r>
        <w:rPr>
          <w:rFonts w:hint="eastAsia" w:ascii="仿宋_GB2312" w:hAnsi="仿宋" w:eastAsia="仿宋_GB2312"/>
        </w:rPr>
        <w:t>七、一般公共预算财政拨款支出决算明细表</w:t>
      </w:r>
      <w:r>
        <w:rPr>
          <w:rFonts w:hint="eastAsia" w:ascii="仿宋_GB2312" w:hAnsi="仿宋" w:eastAsia="仿宋_GB2312"/>
        </w:rPr>
        <w:tab/>
      </w:r>
      <w:r>
        <w:rPr>
          <w:rFonts w:hint="eastAsia" w:ascii="仿宋_GB2312" w:hAnsi="仿宋" w:eastAsia="仿宋_GB2312"/>
          <w:lang w:val="en-US" w:eastAsia="zh-CN"/>
        </w:rPr>
        <w:t>55</w:t>
      </w:r>
    </w:p>
    <w:p w14:paraId="47AB8EB3">
      <w:pPr>
        <w:pStyle w:val="20"/>
        <w:tabs>
          <w:tab w:val="right" w:leader="dot" w:pos="8296"/>
        </w:tabs>
        <w:rPr>
          <w:rFonts w:hint="default" w:ascii="仿宋_GB2312" w:hAnsi="仿宋" w:eastAsia="仿宋_GB2312"/>
          <w:lang w:val="en-US" w:eastAsia="zh-CN"/>
        </w:rPr>
      </w:pPr>
      <w:r>
        <w:rPr>
          <w:rFonts w:hint="eastAsia" w:ascii="仿宋_GB2312" w:hAnsi="仿宋" w:eastAsia="仿宋_GB2312"/>
        </w:rPr>
        <w:t>八、一般公共预算财政拨款基本支出决算表</w:t>
      </w:r>
      <w:r>
        <w:rPr>
          <w:rFonts w:hint="eastAsia" w:ascii="仿宋_GB2312" w:hAnsi="仿宋" w:eastAsia="仿宋_GB2312"/>
        </w:rPr>
        <w:tab/>
      </w:r>
      <w:r>
        <w:rPr>
          <w:rFonts w:hint="eastAsia" w:ascii="仿宋_GB2312" w:hAnsi="仿宋" w:eastAsia="仿宋_GB2312"/>
          <w:lang w:val="en-US" w:eastAsia="zh-CN"/>
        </w:rPr>
        <w:t>55</w:t>
      </w:r>
    </w:p>
    <w:p w14:paraId="5D646889">
      <w:pPr>
        <w:pStyle w:val="20"/>
        <w:tabs>
          <w:tab w:val="right" w:leader="dot" w:pos="8296"/>
        </w:tabs>
        <w:rPr>
          <w:rFonts w:hint="default" w:ascii="仿宋_GB2312" w:hAnsi="仿宋" w:eastAsia="仿宋_GB2312"/>
          <w:lang w:val="en-US" w:eastAsia="zh-CN"/>
        </w:rPr>
      </w:pPr>
      <w:r>
        <w:rPr>
          <w:rFonts w:hint="eastAsia" w:ascii="仿宋_GB2312" w:hAnsi="仿宋" w:eastAsia="仿宋_GB2312"/>
        </w:rPr>
        <w:t>九、一般公共预算财政拨款项目支出决算表</w:t>
      </w:r>
      <w:r>
        <w:rPr>
          <w:rFonts w:hint="eastAsia" w:ascii="仿宋_GB2312" w:hAnsi="仿宋" w:eastAsia="仿宋_GB2312"/>
        </w:rPr>
        <w:tab/>
      </w:r>
      <w:r>
        <w:rPr>
          <w:rFonts w:hint="eastAsia" w:ascii="仿宋_GB2312" w:hAnsi="仿宋" w:eastAsia="仿宋_GB2312"/>
          <w:lang w:val="en-US" w:eastAsia="zh-CN"/>
        </w:rPr>
        <w:t>55</w:t>
      </w:r>
    </w:p>
    <w:p w14:paraId="66F920AF">
      <w:pPr>
        <w:pStyle w:val="20"/>
        <w:tabs>
          <w:tab w:val="right" w:leader="dot" w:pos="8296"/>
        </w:tabs>
        <w:rPr>
          <w:rFonts w:hint="default" w:ascii="仿宋_GB2312" w:hAnsi="仿宋" w:eastAsia="仿宋_GB2312"/>
          <w:lang w:val="en-US" w:eastAsia="zh-CN"/>
        </w:rPr>
      </w:pPr>
      <w:r>
        <w:rPr>
          <w:rFonts w:hint="eastAsia" w:ascii="仿宋_GB2312" w:hAnsi="仿宋" w:eastAsia="仿宋_GB2312"/>
        </w:rPr>
        <w:t>十、政府性基金预算财政拨款收入支出决算表</w:t>
      </w:r>
      <w:r>
        <w:rPr>
          <w:rFonts w:hint="eastAsia" w:ascii="仿宋_GB2312" w:hAnsi="仿宋" w:eastAsia="仿宋_GB2312"/>
        </w:rPr>
        <w:tab/>
      </w:r>
      <w:r>
        <w:rPr>
          <w:rFonts w:hint="eastAsia" w:ascii="仿宋_GB2312" w:hAnsi="仿宋" w:eastAsia="仿宋_GB2312"/>
          <w:lang w:val="en-US" w:eastAsia="zh-CN"/>
        </w:rPr>
        <w:t>55</w:t>
      </w:r>
    </w:p>
    <w:p w14:paraId="1B3D1A66">
      <w:pPr>
        <w:pStyle w:val="20"/>
        <w:tabs>
          <w:tab w:val="right" w:leader="dot" w:pos="8296"/>
        </w:tabs>
        <w:rPr>
          <w:rFonts w:hint="default" w:ascii="仿宋_GB2312" w:hAnsi="仿宋" w:eastAsia="仿宋_GB2312"/>
          <w:lang w:val="en-US" w:eastAsia="zh-CN"/>
        </w:rPr>
      </w:pPr>
      <w:r>
        <w:rPr>
          <w:rFonts w:hint="eastAsia" w:ascii="仿宋_GB2312" w:hAnsi="仿宋" w:eastAsia="仿宋_GB2312"/>
        </w:rPr>
        <w:t>十</w:t>
      </w:r>
      <w:r>
        <w:rPr>
          <w:rFonts w:hint="eastAsia" w:ascii="仿宋_GB2312" w:hAnsi="仿宋" w:eastAsia="仿宋_GB2312"/>
          <w:lang w:eastAsia="zh-CN"/>
        </w:rPr>
        <w:t>一</w:t>
      </w:r>
      <w:r>
        <w:rPr>
          <w:rFonts w:hint="eastAsia" w:ascii="仿宋_GB2312" w:hAnsi="仿宋" w:eastAsia="仿宋_GB2312"/>
        </w:rPr>
        <w:t>、国有资本经营预算财政拨款</w:t>
      </w:r>
      <w:r>
        <w:rPr>
          <w:rFonts w:hint="eastAsia" w:ascii="仿宋_GB2312" w:hAnsi="仿宋" w:eastAsia="仿宋_GB2312"/>
          <w:lang w:eastAsia="zh-CN"/>
        </w:rPr>
        <w:t>收入</w:t>
      </w:r>
      <w:r>
        <w:rPr>
          <w:rFonts w:hint="eastAsia" w:ascii="仿宋_GB2312" w:hAnsi="仿宋" w:eastAsia="仿宋_GB2312"/>
        </w:rPr>
        <w:t>支出决算表</w:t>
      </w:r>
      <w:r>
        <w:rPr>
          <w:rFonts w:hint="eastAsia" w:ascii="仿宋_GB2312" w:hAnsi="仿宋" w:eastAsia="仿宋_GB2312"/>
        </w:rPr>
        <w:tab/>
      </w:r>
      <w:r>
        <w:rPr>
          <w:rFonts w:hint="eastAsia" w:ascii="仿宋_GB2312" w:hAnsi="仿宋" w:eastAsia="仿宋_GB2312"/>
          <w:lang w:val="en-US" w:eastAsia="zh-CN"/>
        </w:rPr>
        <w:t>55</w:t>
      </w:r>
    </w:p>
    <w:p w14:paraId="31B63BE4">
      <w:pPr>
        <w:pStyle w:val="20"/>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rPr>
        <w:t>十</w:t>
      </w:r>
      <w:r>
        <w:rPr>
          <w:rFonts w:hint="eastAsia" w:ascii="仿宋_GB2312" w:hAnsi="仿宋" w:eastAsia="仿宋_GB2312"/>
          <w:lang w:eastAsia="zh-CN"/>
        </w:rPr>
        <w:t>二</w:t>
      </w:r>
      <w:r>
        <w:rPr>
          <w:rFonts w:hint="eastAsia" w:ascii="仿宋_GB2312" w:hAnsi="仿宋" w:eastAsia="仿宋_GB2312"/>
        </w:rPr>
        <w:t>、国有资本经营预算财政拨款支出决算表</w:t>
      </w:r>
      <w:r>
        <w:rPr>
          <w:rFonts w:hint="eastAsia" w:ascii="仿宋_GB2312" w:hAnsi="仿宋" w:eastAsia="仿宋_GB2312"/>
        </w:rPr>
        <w:tab/>
      </w:r>
      <w:r>
        <w:rPr>
          <w:rFonts w:hint="eastAsia" w:ascii="仿宋_GB2312" w:hAnsi="仿宋" w:eastAsia="仿宋_GB2312"/>
          <w:lang w:val="en-US" w:eastAsia="zh-CN"/>
        </w:rPr>
        <w:t>55</w:t>
      </w:r>
    </w:p>
    <w:p w14:paraId="25A5878B">
      <w:pPr>
        <w:pStyle w:val="20"/>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mallCaps/>
          <w:sz w:val="20"/>
          <w:szCs w:val="20"/>
        </w:rPr>
        <w:fldChar w:fldCharType="end"/>
      </w:r>
      <w:bookmarkStart w:id="12" w:name="_Toc15377196"/>
      <w:bookmarkStart w:id="13" w:name="_Toc15396599"/>
      <w:r>
        <w:rPr>
          <w:rFonts w:hint="eastAsia" w:ascii="仿宋_GB2312" w:hAnsi="仿宋" w:eastAsia="仿宋_GB2312"/>
        </w:rPr>
        <w:t>十</w:t>
      </w:r>
      <w:r>
        <w:rPr>
          <w:rFonts w:hint="eastAsia" w:ascii="仿宋_GB2312" w:hAnsi="仿宋" w:eastAsia="仿宋_GB2312"/>
          <w:lang w:eastAsia="zh-CN"/>
        </w:rPr>
        <w:t>三</w:t>
      </w:r>
      <w:r>
        <w:rPr>
          <w:rFonts w:hint="eastAsia" w:ascii="仿宋_GB2312" w:hAnsi="仿宋" w:eastAsia="仿宋_GB2312"/>
        </w:rPr>
        <w:t>、</w:t>
      </w:r>
      <w:r>
        <w:rPr>
          <w:rFonts w:hint="eastAsia" w:ascii="仿宋_GB2312" w:hAnsi="仿宋" w:eastAsia="仿宋_GB2312"/>
          <w:lang w:eastAsia="zh-CN"/>
        </w:rPr>
        <w:t>财政拨款“三公”经费</w:t>
      </w:r>
      <w:r>
        <w:rPr>
          <w:rFonts w:hint="eastAsia" w:ascii="仿宋_GB2312" w:hAnsi="仿宋" w:eastAsia="仿宋_GB2312"/>
        </w:rPr>
        <w:t>支出决算表</w:t>
      </w:r>
      <w:r>
        <w:rPr>
          <w:rFonts w:hint="eastAsia" w:ascii="仿宋_GB2312" w:hAnsi="仿宋" w:eastAsia="仿宋_GB2312"/>
        </w:rPr>
        <w:tab/>
      </w:r>
      <w:r>
        <w:rPr>
          <w:rFonts w:hint="eastAsia" w:ascii="仿宋_GB2312" w:hAnsi="仿宋" w:eastAsia="仿宋_GB2312"/>
          <w:lang w:val="en-US" w:eastAsia="zh-CN"/>
        </w:rPr>
        <w:t>55</w:t>
      </w:r>
    </w:p>
    <w:p w14:paraId="02203694">
      <w:pPr>
        <w:widowControl/>
        <w:spacing w:line="440" w:lineRule="exact"/>
        <w:jc w:val="left"/>
        <w:rPr>
          <w:rFonts w:ascii="仿宋_GB2312" w:hAnsi="仿宋" w:eastAsia="仿宋_GB2312"/>
          <w:smallCaps/>
          <w:sz w:val="20"/>
          <w:szCs w:val="20"/>
        </w:rPr>
      </w:pPr>
    </w:p>
    <w:p w14:paraId="0F4AD0A4">
      <w:pPr>
        <w:widowControl/>
        <w:spacing w:line="440" w:lineRule="exact"/>
        <w:jc w:val="left"/>
        <w:rPr>
          <w:rFonts w:ascii="仿宋_GB2312" w:hAnsi="仿宋" w:eastAsia="仿宋_GB2312"/>
          <w:smallCaps/>
          <w:sz w:val="20"/>
          <w:szCs w:val="20"/>
        </w:rPr>
      </w:pPr>
    </w:p>
    <w:p w14:paraId="036C2012">
      <w:pPr>
        <w:widowControl/>
        <w:spacing w:line="440" w:lineRule="exact"/>
        <w:jc w:val="left"/>
        <w:rPr>
          <w:rFonts w:ascii="仿宋" w:hAnsi="仿宋" w:eastAsia="仿宋"/>
          <w:smallCaps/>
          <w:sz w:val="20"/>
          <w:szCs w:val="20"/>
        </w:rPr>
      </w:pPr>
    </w:p>
    <w:p w14:paraId="51AB36FB">
      <w:pPr>
        <w:widowControl/>
        <w:spacing w:line="440" w:lineRule="exact"/>
        <w:jc w:val="left"/>
        <w:rPr>
          <w:rFonts w:ascii="仿宋" w:hAnsi="仿宋" w:eastAsia="仿宋"/>
          <w:smallCaps/>
          <w:sz w:val="20"/>
          <w:szCs w:val="20"/>
        </w:rPr>
      </w:pPr>
    </w:p>
    <w:p w14:paraId="143EBB20">
      <w:pPr>
        <w:widowControl/>
        <w:spacing w:line="440" w:lineRule="exact"/>
        <w:jc w:val="left"/>
        <w:rPr>
          <w:rFonts w:ascii="仿宋" w:hAnsi="仿宋" w:eastAsia="仿宋"/>
          <w:smallCaps/>
          <w:sz w:val="20"/>
          <w:szCs w:val="20"/>
        </w:rPr>
      </w:pPr>
    </w:p>
    <w:p w14:paraId="1FC93307">
      <w:pPr>
        <w:widowControl/>
        <w:spacing w:line="440" w:lineRule="exact"/>
        <w:jc w:val="left"/>
        <w:rPr>
          <w:rFonts w:ascii="仿宋" w:hAnsi="仿宋" w:eastAsia="仿宋"/>
          <w:smallCaps/>
          <w:sz w:val="20"/>
          <w:szCs w:val="20"/>
        </w:rPr>
      </w:pPr>
    </w:p>
    <w:p w14:paraId="267772D7">
      <w:pPr>
        <w:widowControl/>
        <w:spacing w:line="440" w:lineRule="exact"/>
        <w:jc w:val="left"/>
        <w:rPr>
          <w:rFonts w:ascii="仿宋" w:hAnsi="仿宋" w:eastAsia="仿宋"/>
          <w:smallCaps/>
          <w:sz w:val="20"/>
          <w:szCs w:val="20"/>
        </w:rPr>
      </w:pPr>
    </w:p>
    <w:p w14:paraId="1890BEB4">
      <w:pPr>
        <w:widowControl/>
        <w:spacing w:line="440" w:lineRule="exact"/>
        <w:jc w:val="left"/>
        <w:rPr>
          <w:rFonts w:ascii="仿宋" w:hAnsi="仿宋" w:eastAsia="仿宋"/>
          <w:smallCaps/>
          <w:sz w:val="20"/>
          <w:szCs w:val="20"/>
        </w:rPr>
      </w:pPr>
    </w:p>
    <w:p w14:paraId="0189AC2A">
      <w:pPr>
        <w:widowControl/>
        <w:spacing w:line="440" w:lineRule="exact"/>
        <w:jc w:val="left"/>
        <w:rPr>
          <w:rFonts w:ascii="仿宋" w:hAnsi="仿宋" w:eastAsia="仿宋"/>
          <w:smallCaps/>
          <w:sz w:val="20"/>
          <w:szCs w:val="20"/>
        </w:rPr>
      </w:pPr>
    </w:p>
    <w:p w14:paraId="708EE0B5">
      <w:pPr>
        <w:widowControl/>
        <w:spacing w:line="440" w:lineRule="exact"/>
        <w:jc w:val="left"/>
        <w:rPr>
          <w:rFonts w:ascii="仿宋" w:hAnsi="仿宋" w:eastAsia="仿宋"/>
          <w:smallCaps/>
          <w:sz w:val="20"/>
          <w:szCs w:val="20"/>
        </w:rPr>
      </w:pPr>
    </w:p>
    <w:p w14:paraId="4F9B5966">
      <w:pPr>
        <w:widowControl/>
        <w:spacing w:line="440" w:lineRule="exact"/>
        <w:jc w:val="left"/>
        <w:rPr>
          <w:rFonts w:ascii="仿宋" w:hAnsi="仿宋" w:eastAsia="仿宋"/>
          <w:smallCaps/>
          <w:sz w:val="20"/>
          <w:szCs w:val="20"/>
        </w:rPr>
      </w:pPr>
    </w:p>
    <w:p w14:paraId="6E9811E3">
      <w:pPr>
        <w:widowControl/>
        <w:spacing w:line="440" w:lineRule="exact"/>
        <w:jc w:val="left"/>
        <w:rPr>
          <w:rFonts w:ascii="仿宋" w:hAnsi="仿宋" w:eastAsia="仿宋"/>
          <w:smallCaps/>
          <w:sz w:val="20"/>
          <w:szCs w:val="20"/>
        </w:rPr>
      </w:pPr>
    </w:p>
    <w:p w14:paraId="367D4E78">
      <w:pPr>
        <w:widowControl/>
        <w:spacing w:line="440" w:lineRule="exact"/>
        <w:jc w:val="left"/>
        <w:rPr>
          <w:rFonts w:ascii="仿宋" w:hAnsi="仿宋" w:eastAsia="仿宋"/>
          <w:smallCaps/>
          <w:sz w:val="20"/>
          <w:szCs w:val="20"/>
        </w:rPr>
      </w:pPr>
    </w:p>
    <w:p w14:paraId="64F29CCF">
      <w:pPr>
        <w:widowControl/>
        <w:spacing w:line="440" w:lineRule="exact"/>
        <w:jc w:val="left"/>
        <w:rPr>
          <w:rFonts w:ascii="仿宋" w:hAnsi="仿宋" w:eastAsia="仿宋"/>
          <w:smallCaps/>
          <w:sz w:val="20"/>
          <w:szCs w:val="20"/>
        </w:rPr>
      </w:pPr>
    </w:p>
    <w:p w14:paraId="6C043E1E">
      <w:pPr>
        <w:widowControl/>
        <w:spacing w:line="440" w:lineRule="exact"/>
        <w:jc w:val="left"/>
        <w:rPr>
          <w:rFonts w:ascii="仿宋" w:hAnsi="仿宋" w:eastAsia="仿宋"/>
          <w:smallCaps/>
          <w:sz w:val="20"/>
          <w:szCs w:val="20"/>
        </w:rPr>
      </w:pPr>
    </w:p>
    <w:p w14:paraId="75B6BA30">
      <w:pPr>
        <w:widowControl/>
        <w:spacing w:line="440" w:lineRule="exact"/>
        <w:jc w:val="left"/>
        <w:rPr>
          <w:rFonts w:ascii="仿宋" w:hAnsi="仿宋" w:eastAsia="仿宋"/>
          <w:smallCaps/>
          <w:sz w:val="20"/>
          <w:szCs w:val="20"/>
        </w:rPr>
      </w:pPr>
    </w:p>
    <w:p w14:paraId="04B2B1F8">
      <w:pPr>
        <w:widowControl/>
        <w:spacing w:line="440" w:lineRule="exact"/>
        <w:jc w:val="left"/>
        <w:rPr>
          <w:rFonts w:ascii="仿宋" w:hAnsi="仿宋" w:eastAsia="仿宋"/>
          <w:smallCaps/>
          <w:sz w:val="20"/>
          <w:szCs w:val="20"/>
        </w:rPr>
      </w:pPr>
    </w:p>
    <w:p w14:paraId="254F0E03">
      <w:pPr>
        <w:rPr>
          <w:rFonts w:ascii="方正小标宋简体" w:hAnsi="方正小标宋简体" w:eastAsia="方正小标宋简体" w:cs="方正小标宋简体"/>
          <w:sz w:val="44"/>
          <w:szCs w:val="44"/>
        </w:rPr>
      </w:pPr>
      <w:bookmarkStart w:id="14" w:name="_Toc79163601"/>
      <w:bookmarkStart w:id="15" w:name="_Toc79163851"/>
    </w:p>
    <w:p w14:paraId="0C390E88">
      <w:pPr>
        <w:pStyle w:val="17"/>
        <w:rPr>
          <w:rFonts w:ascii="方正小标宋简体" w:hAnsi="方正小标宋简体" w:eastAsia="方正小标宋简体" w:cs="方正小标宋简体"/>
          <w:sz w:val="44"/>
          <w:szCs w:val="44"/>
        </w:rPr>
      </w:pPr>
    </w:p>
    <w:p w14:paraId="6F613EE6">
      <w:pPr>
        <w:pStyle w:val="8"/>
      </w:pPr>
    </w:p>
    <w:p w14:paraId="38592512">
      <w:pPr>
        <w:jc w:val="center"/>
        <w:rPr>
          <w:rFonts w:ascii="黑体" w:hAnsi="黑体" w:eastAsia="黑体" w:cs="黑体"/>
          <w:sz w:val="32"/>
          <w:szCs w:val="32"/>
        </w:rPr>
      </w:pPr>
      <w:r>
        <w:rPr>
          <w:rFonts w:hint="eastAsia" w:ascii="方正小标宋简体" w:hAnsi="方正小标宋简体" w:eastAsia="方正小标宋简体" w:cs="方正小标宋简体"/>
          <w:sz w:val="44"/>
          <w:szCs w:val="44"/>
        </w:rPr>
        <w:t>第一部分 部门概况</w:t>
      </w:r>
      <w:bookmarkEnd w:id="12"/>
      <w:bookmarkEnd w:id="13"/>
      <w:bookmarkEnd w:id="14"/>
      <w:bookmarkEnd w:id="15"/>
      <w:bookmarkStart w:id="16" w:name="_Toc79163602"/>
      <w:bookmarkStart w:id="17" w:name="_Toc79163852"/>
      <w:bookmarkStart w:id="18" w:name="_Toc15377197"/>
      <w:bookmarkStart w:id="19" w:name="_Toc15396600"/>
    </w:p>
    <w:p w14:paraId="43D9824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hAnsi="黑体" w:eastAsia="黑体" w:cs="黑体"/>
          <w:sz w:val="32"/>
          <w:szCs w:val="32"/>
        </w:rPr>
      </w:pPr>
    </w:p>
    <w:bookmarkEnd w:id="16"/>
    <w:bookmarkEnd w:id="17"/>
    <w:bookmarkEnd w:id="18"/>
    <w:bookmarkEnd w:id="19"/>
    <w:p w14:paraId="15CE2EAF">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部门职责</w:t>
      </w:r>
    </w:p>
    <w:p w14:paraId="068457DD">
      <w:pPr>
        <w:spacing w:line="576" w:lineRule="exact"/>
        <w:ind w:firstLine="640" w:firstLineChars="200"/>
        <w:rPr>
          <w:rFonts w:ascii="仿宋_GB2312" w:hAnsi="仿宋_GB2312" w:eastAsia="仿宋_GB2312" w:cs="仿宋_GB2312"/>
          <w:sz w:val="32"/>
          <w:szCs w:val="32"/>
        </w:rPr>
      </w:pPr>
      <w:bookmarkStart w:id="20" w:name="_Toc15396601"/>
      <w:bookmarkStart w:id="21" w:name="_Toc79163855"/>
      <w:bookmarkStart w:id="22" w:name="_Toc15377200"/>
      <w:bookmarkStart w:id="23" w:name="_Toc79163605"/>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宣传贯彻党中央、国务院、省委、省政府和州委、州政府及县委县政府有关农业、农村经济工作和社会发展方针政策，维护全县供销社的合法权益。</w:t>
      </w:r>
    </w:p>
    <w:p w14:paraId="299556CC">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研究和制定全县供销合作社发展规划，指导全县供销合作社的企业改革和发展。</w:t>
      </w:r>
    </w:p>
    <w:p w14:paraId="1F480BD9">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受县政府委托，对重要农业生产资料、农副产品经营进行组织、储备、调运工作，负责烟花爆竹和废旧物资再生资源的经营及社办工业的指导。</w:t>
      </w:r>
    </w:p>
    <w:p w14:paraId="6CE622E7">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负责对政策性商品经营资格审定、质量监督和行业管理及有关救灾物资的组织、储备、调运工作。</w:t>
      </w:r>
    </w:p>
    <w:p w14:paraId="178F740F">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协调同政府有关部门、社会组织的关系，研究供销合作经济运行中的重大问题，维护合作经济组织的合法权益。</w:t>
      </w:r>
    </w:p>
    <w:p w14:paraId="343B0A8A">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组织全县供销系统参与和推进农业产业化经营，加强农产品市场调查研究，培育农产品市场，组织发展专业合作社、消费合作社等中介服务组织，培育龙头企业，加强商品供求市场、信息服务体系建设。</w:t>
      </w:r>
    </w:p>
    <w:p w14:paraId="2910FE8B">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指导农村社会化服务体系建设，推进建立现代流通体系和现代营销方式，发展社区性、综合性、便民性社区综合服务社，满足农牧民生产、生活等社会化服务的需要。</w:t>
      </w:r>
    </w:p>
    <w:p w14:paraId="2565CC1F">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监督和管理社有资产，确保社有资产的保值、增值，对直属企业行使出资人的职权，依法享有资产受益、重大决策和选择经营管理者等权利。</w:t>
      </w:r>
    </w:p>
    <w:p w14:paraId="62759643">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积极参与供销合作经济对外交流活动；承担县政府交办的其他事项。</w:t>
      </w:r>
    </w:p>
    <w:p w14:paraId="50987A5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二、机构设置</w:t>
      </w:r>
      <w:bookmarkEnd w:id="20"/>
      <w:bookmarkEnd w:id="21"/>
      <w:bookmarkEnd w:id="22"/>
      <w:bookmarkEnd w:id="23"/>
    </w:p>
    <w:p w14:paraId="7956871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bookmarkStart w:id="24" w:name="_Toc79163859"/>
      <w:bookmarkStart w:id="25" w:name="_Toc79163609"/>
      <w:bookmarkStart w:id="26" w:name="_Toc15396602"/>
      <w:bookmarkStart w:id="27" w:name="_Toc15377204"/>
      <w:r>
        <w:rPr>
          <w:rFonts w:hint="eastAsia" w:ascii="仿宋_GB2312" w:hAnsi="仿宋_GB2312" w:eastAsia="仿宋_GB2312" w:cs="仿宋_GB2312"/>
          <w:sz w:val="32"/>
          <w:szCs w:val="32"/>
        </w:rPr>
        <w:t>茂县供销</w:t>
      </w:r>
      <w:r>
        <w:rPr>
          <w:rFonts w:hint="eastAsia" w:ascii="仿宋_GB2312" w:hAnsi="仿宋_GB2312" w:eastAsia="仿宋_GB2312" w:cs="仿宋_GB2312"/>
          <w:sz w:val="32"/>
          <w:szCs w:val="32"/>
          <w:lang w:eastAsia="zh-CN"/>
        </w:rPr>
        <w:t>合作社联合</w:t>
      </w:r>
      <w:r>
        <w:rPr>
          <w:rFonts w:hint="eastAsia" w:ascii="仿宋_GB2312" w:hAnsi="仿宋_GB2312" w:eastAsia="仿宋_GB2312" w:cs="仿宋_GB2312"/>
          <w:sz w:val="32"/>
          <w:szCs w:val="32"/>
        </w:rPr>
        <w:t>社下属二级单位0个，其中行政单位0个，参照公务员法管理的事业单位0个，其他事业单位0个。</w:t>
      </w:r>
    </w:p>
    <w:p w14:paraId="33FDC7A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无纳入202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年度部门决算编制范围的二级预算单位。</w:t>
      </w:r>
    </w:p>
    <w:p w14:paraId="1757C1C3">
      <w:pPr>
        <w:jc w:val="both"/>
        <w:rPr>
          <w:rFonts w:ascii="方正小标宋简体" w:hAnsi="方正小标宋简体" w:eastAsia="方正小标宋简体" w:cs="方正小标宋简体"/>
          <w:sz w:val="44"/>
          <w:szCs w:val="44"/>
        </w:rPr>
      </w:pPr>
    </w:p>
    <w:p w14:paraId="7F8643F5">
      <w:pPr>
        <w:jc w:val="center"/>
        <w:rPr>
          <w:rFonts w:hint="eastAsia" w:ascii="方正小标宋简体" w:hAnsi="方正小标宋简体" w:eastAsia="方正小标宋简体" w:cs="方正小标宋简体"/>
          <w:sz w:val="44"/>
          <w:szCs w:val="44"/>
        </w:rPr>
      </w:pPr>
    </w:p>
    <w:p w14:paraId="61FB7FC3">
      <w:pPr>
        <w:jc w:val="center"/>
        <w:rPr>
          <w:rFonts w:hint="eastAsia" w:ascii="方正小标宋简体" w:hAnsi="方正小标宋简体" w:eastAsia="方正小标宋简体" w:cs="方正小标宋简体"/>
          <w:sz w:val="44"/>
          <w:szCs w:val="44"/>
        </w:rPr>
      </w:pPr>
    </w:p>
    <w:p w14:paraId="2F5EE473">
      <w:pPr>
        <w:jc w:val="center"/>
        <w:rPr>
          <w:rFonts w:hint="eastAsia" w:ascii="方正小标宋简体" w:hAnsi="方正小标宋简体" w:eastAsia="方正小标宋简体" w:cs="方正小标宋简体"/>
          <w:sz w:val="44"/>
          <w:szCs w:val="44"/>
        </w:rPr>
      </w:pPr>
    </w:p>
    <w:p w14:paraId="163A687F">
      <w:pPr>
        <w:jc w:val="center"/>
        <w:rPr>
          <w:rFonts w:hint="eastAsia" w:ascii="方正小标宋简体" w:hAnsi="方正小标宋简体" w:eastAsia="方正小标宋简体" w:cs="方正小标宋简体"/>
          <w:sz w:val="44"/>
          <w:szCs w:val="44"/>
        </w:rPr>
      </w:pPr>
    </w:p>
    <w:p w14:paraId="0B84E4D4">
      <w:pPr>
        <w:jc w:val="center"/>
        <w:rPr>
          <w:rFonts w:hint="eastAsia" w:ascii="方正小标宋简体" w:hAnsi="方正小标宋简体" w:eastAsia="方正小标宋简体" w:cs="方正小标宋简体"/>
          <w:sz w:val="44"/>
          <w:szCs w:val="44"/>
        </w:rPr>
      </w:pPr>
    </w:p>
    <w:p w14:paraId="14D76F0F">
      <w:pPr>
        <w:jc w:val="center"/>
        <w:rPr>
          <w:rFonts w:hint="eastAsia" w:ascii="方正小标宋简体" w:hAnsi="方正小标宋简体" w:eastAsia="方正小标宋简体" w:cs="方正小标宋简体"/>
          <w:sz w:val="44"/>
          <w:szCs w:val="44"/>
        </w:rPr>
      </w:pPr>
    </w:p>
    <w:p w14:paraId="165677B3">
      <w:pPr>
        <w:jc w:val="center"/>
        <w:rPr>
          <w:rFonts w:hint="eastAsia" w:ascii="方正小标宋简体" w:hAnsi="方正小标宋简体" w:eastAsia="方正小标宋简体" w:cs="方正小标宋简体"/>
          <w:sz w:val="44"/>
          <w:szCs w:val="44"/>
        </w:rPr>
      </w:pPr>
    </w:p>
    <w:p w14:paraId="4462BBD9">
      <w:pPr>
        <w:jc w:val="center"/>
        <w:rPr>
          <w:rFonts w:hint="eastAsia" w:ascii="方正小标宋简体" w:hAnsi="方正小标宋简体" w:eastAsia="方正小标宋简体" w:cs="方正小标宋简体"/>
          <w:sz w:val="44"/>
          <w:szCs w:val="44"/>
        </w:rPr>
      </w:pPr>
    </w:p>
    <w:p w14:paraId="586A191D">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第二部分 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年度部门决算情况说明</w:t>
      </w:r>
      <w:bookmarkEnd w:id="24"/>
      <w:bookmarkEnd w:id="25"/>
      <w:bookmarkEnd w:id="26"/>
      <w:bookmarkEnd w:id="27"/>
    </w:p>
    <w:p w14:paraId="6A25B0CB">
      <w:pPr>
        <w:jc w:val="center"/>
      </w:pPr>
    </w:p>
    <w:p w14:paraId="08230865">
      <w:pPr>
        <w:pStyle w:val="39"/>
        <w:keepNext w:val="0"/>
        <w:keepLines w:val="0"/>
        <w:pageBreakBefore w:val="0"/>
        <w:widowControl w:val="0"/>
        <w:numPr>
          <w:ilvl w:val="0"/>
          <w:numId w:val="2"/>
        </w:numPr>
        <w:kinsoku/>
        <w:wordWrap/>
        <w:overflowPunct/>
        <w:topLinePunct w:val="0"/>
        <w:autoSpaceDE/>
        <w:autoSpaceDN/>
        <w:bidi w:val="0"/>
        <w:adjustRightInd/>
        <w:snapToGrid/>
        <w:spacing w:line="576" w:lineRule="exact"/>
        <w:ind w:firstLineChars="0"/>
        <w:textAlignment w:val="auto"/>
        <w:outlineLvl w:val="1"/>
        <w:rPr>
          <w:rStyle w:val="29"/>
          <w:rFonts w:ascii="黑体" w:hAnsi="黑体" w:eastAsia="黑体"/>
          <w:b w:val="0"/>
        </w:rPr>
      </w:pPr>
      <w:bookmarkStart w:id="28" w:name="_Toc79163610"/>
      <w:bookmarkStart w:id="29" w:name="_Toc15377205"/>
      <w:bookmarkStart w:id="30" w:name="_Toc79163860"/>
      <w:bookmarkStart w:id="31" w:name="_Toc15396603"/>
      <w:r>
        <w:rPr>
          <w:rFonts w:hint="eastAsia" w:ascii="黑体" w:hAnsi="黑体" w:eastAsia="黑体"/>
          <w:color w:val="000000"/>
          <w:sz w:val="32"/>
          <w:szCs w:val="32"/>
        </w:rPr>
        <w:t>收</w:t>
      </w:r>
      <w:r>
        <w:rPr>
          <w:rStyle w:val="29"/>
          <w:rFonts w:hint="eastAsia" w:ascii="黑体" w:hAnsi="黑体" w:eastAsia="黑体"/>
          <w:b w:val="0"/>
        </w:rPr>
        <w:t>入支出决算总体情况说明</w:t>
      </w:r>
      <w:bookmarkEnd w:id="28"/>
      <w:bookmarkEnd w:id="29"/>
      <w:bookmarkEnd w:id="30"/>
      <w:bookmarkEnd w:id="31"/>
    </w:p>
    <w:p w14:paraId="60505A4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年度收、支总计</w:t>
      </w:r>
      <w:r>
        <w:rPr>
          <w:rFonts w:hint="eastAsia" w:ascii="仿宋_GB2312" w:eastAsia="仿宋_GB2312" w:cs="仿宋_GB2312"/>
          <w:sz w:val="32"/>
          <w:szCs w:val="32"/>
          <w:lang w:val="en-US" w:eastAsia="zh-CN"/>
        </w:rPr>
        <w:t>403.99</w:t>
      </w:r>
      <w:r>
        <w:rPr>
          <w:rFonts w:hint="eastAsia" w:ascii="仿宋_GB2312" w:eastAsia="仿宋_GB2312" w:cs="仿宋_GB2312"/>
          <w:sz w:val="32"/>
          <w:szCs w:val="32"/>
        </w:rPr>
        <w:t>万元。与202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年相比，收、支总计各</w:t>
      </w:r>
      <w:r>
        <w:rPr>
          <w:rFonts w:hint="eastAsia" w:ascii="仿宋_GB2312" w:eastAsia="仿宋_GB2312" w:cs="仿宋_GB2312"/>
          <w:sz w:val="32"/>
          <w:szCs w:val="32"/>
          <w:lang w:eastAsia="zh-CN"/>
        </w:rPr>
        <w:t>减少</w:t>
      </w:r>
      <w:r>
        <w:rPr>
          <w:rFonts w:hint="eastAsia" w:ascii="仿宋_GB2312" w:eastAsia="仿宋_GB2312" w:cs="仿宋_GB2312"/>
          <w:sz w:val="32"/>
          <w:szCs w:val="32"/>
          <w:lang w:val="en-US" w:eastAsia="zh-CN"/>
        </w:rPr>
        <w:t>121.76</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下降</w:t>
      </w:r>
      <w:r>
        <w:rPr>
          <w:rFonts w:hint="eastAsia" w:ascii="仿宋_GB2312" w:eastAsia="仿宋_GB2312" w:cs="仿宋_GB2312"/>
          <w:sz w:val="32"/>
          <w:szCs w:val="32"/>
          <w:lang w:val="en-US" w:eastAsia="zh-CN"/>
        </w:rPr>
        <w:t>23.16</w:t>
      </w:r>
      <w:r>
        <w:rPr>
          <w:rFonts w:hint="eastAsia" w:ascii="仿宋_GB2312" w:eastAsia="仿宋_GB2312" w:cs="仿宋_GB2312"/>
          <w:sz w:val="32"/>
          <w:szCs w:val="32"/>
        </w:rPr>
        <w:t>%。主要变动原因是</w:t>
      </w:r>
      <w:r>
        <w:rPr>
          <w:rFonts w:hint="eastAsia" w:ascii="仿宋_GB2312" w:eastAsia="仿宋_GB2312" w:cs="仿宋_GB2312"/>
          <w:sz w:val="32"/>
          <w:szCs w:val="32"/>
          <w:lang w:val="en-US" w:eastAsia="zh-CN"/>
        </w:rPr>
        <w:t>2022年茂农服建设项目资金276.7万元，2023年茂农服扩建项目资金142.58万元，因此2023年</w:t>
      </w:r>
      <w:r>
        <w:rPr>
          <w:rFonts w:hint="eastAsia" w:ascii="仿宋_GB2312" w:eastAsia="仿宋_GB2312" w:cs="仿宋_GB2312"/>
          <w:sz w:val="32"/>
          <w:szCs w:val="32"/>
        </w:rPr>
        <w:t>项目资金</w:t>
      </w:r>
      <w:r>
        <w:rPr>
          <w:rFonts w:hint="eastAsia" w:ascii="仿宋_GB2312" w:eastAsia="仿宋_GB2312" w:cs="仿宋_GB2312"/>
          <w:sz w:val="32"/>
          <w:szCs w:val="32"/>
          <w:lang w:eastAsia="zh-CN"/>
        </w:rPr>
        <w:t>减少，收支总计减少</w:t>
      </w:r>
      <w:r>
        <w:rPr>
          <w:rFonts w:hint="eastAsia" w:ascii="仿宋_GB2312" w:eastAsia="仿宋_GB2312" w:cs="仿宋_GB2312"/>
          <w:sz w:val="32"/>
          <w:szCs w:val="32"/>
        </w:rPr>
        <w:t>。</w:t>
      </w:r>
    </w:p>
    <w:p w14:paraId="242DD8D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（图</w:t>
      </w:r>
      <w:r>
        <w:rPr>
          <w:rFonts w:ascii="仿宋_GB2312" w:eastAsia="仿宋_GB2312" w:cs="仿宋_GB2312"/>
          <w:sz w:val="32"/>
          <w:szCs w:val="32"/>
        </w:rPr>
        <w:t>1</w:t>
      </w:r>
      <w:r>
        <w:rPr>
          <w:rFonts w:hint="eastAsia" w:ascii="仿宋_GB2312" w:eastAsia="仿宋_GB2312" w:cs="仿宋_GB2312"/>
          <w:sz w:val="32"/>
          <w:szCs w:val="32"/>
        </w:rPr>
        <w:t>：收、支决算总计变动情况图）（单位：万元）</w:t>
      </w:r>
    </w:p>
    <w:p w14:paraId="12FE93F9">
      <w:pPr>
        <w:ind w:firstLine="420" w:firstLineChars="200"/>
        <w:rPr>
          <w:rFonts w:ascii="仿宋_GB2312" w:eastAsia="仿宋_GB2312"/>
          <w:color w:val="000000"/>
          <w:sz w:val="32"/>
          <w:szCs w:val="32"/>
        </w:rPr>
      </w:pPr>
      <w:r>
        <w:drawing>
          <wp:inline distT="0" distB="0" distL="114300" distR="114300">
            <wp:extent cx="4572000" cy="2600325"/>
            <wp:effectExtent l="4445" t="4445" r="14605" b="508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C333A5C">
      <w:pPr>
        <w:pStyle w:val="39"/>
        <w:keepNext w:val="0"/>
        <w:keepLines w:val="0"/>
        <w:pageBreakBefore w:val="0"/>
        <w:widowControl w:val="0"/>
        <w:numPr>
          <w:ilvl w:val="0"/>
          <w:numId w:val="0"/>
        </w:numPr>
        <w:kinsoku/>
        <w:wordWrap/>
        <w:overflowPunct/>
        <w:topLinePunct w:val="0"/>
        <w:autoSpaceDE/>
        <w:autoSpaceDN/>
        <w:bidi w:val="0"/>
        <w:adjustRightInd/>
        <w:snapToGrid/>
        <w:spacing w:line="576" w:lineRule="exact"/>
        <w:ind w:left="640" w:leftChars="0"/>
        <w:textAlignment w:val="auto"/>
        <w:outlineLvl w:val="1"/>
        <w:rPr>
          <w:rStyle w:val="29"/>
          <w:rFonts w:ascii="黑体" w:hAnsi="黑体" w:eastAsia="黑体"/>
          <w:b w:val="0"/>
        </w:rPr>
      </w:pPr>
      <w:bookmarkStart w:id="32" w:name="_Toc79163611"/>
      <w:bookmarkStart w:id="33" w:name="_Toc79163861"/>
      <w:bookmarkStart w:id="34" w:name="_Toc15396604"/>
      <w:bookmarkStart w:id="35" w:name="_Toc15377206"/>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9"/>
          <w:rFonts w:hint="eastAsia" w:ascii="黑体" w:hAnsi="黑体" w:eastAsia="黑体"/>
          <w:b w:val="0"/>
        </w:rPr>
        <w:t>入决算情况说明</w:t>
      </w:r>
      <w:bookmarkEnd w:id="32"/>
      <w:bookmarkEnd w:id="33"/>
      <w:bookmarkEnd w:id="34"/>
      <w:bookmarkEnd w:id="35"/>
    </w:p>
    <w:p w14:paraId="4703DA8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 w:hAnsi="仿宋" w:eastAsia="仿宋"/>
          <w:color w:val="auto"/>
          <w:sz w:val="32"/>
          <w:szCs w:val="32"/>
          <w:highlight w:val="none"/>
        </w:rPr>
      </w:pPr>
      <w:r>
        <w:rPr>
          <w:rFonts w:hint="eastAsia" w:ascii="仿宋_GB2312" w:eastAsia="仿宋_GB2312" w:cs="仿宋_GB2312"/>
          <w:sz w:val="32"/>
          <w:szCs w:val="32"/>
          <w:lang w:eastAsia="zh-CN"/>
        </w:rPr>
        <w:t>2023</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本年收入合计</w:t>
      </w:r>
      <w:r>
        <w:rPr>
          <w:rFonts w:hint="eastAsia" w:ascii="仿宋_GB2312" w:eastAsia="仿宋_GB2312" w:cs="仿宋_GB2312"/>
          <w:sz w:val="32"/>
          <w:szCs w:val="32"/>
          <w:lang w:val="en-US" w:eastAsia="zh-CN"/>
        </w:rPr>
        <w:t>403.99</w:t>
      </w:r>
      <w:r>
        <w:rPr>
          <w:rFonts w:hint="eastAsia" w:ascii="仿宋_GB2312" w:eastAsia="仿宋_GB2312" w:cs="仿宋_GB2312"/>
          <w:sz w:val="32"/>
          <w:szCs w:val="32"/>
        </w:rPr>
        <w:t>万元，其中：一般公共预算财政拨款收入</w:t>
      </w:r>
      <w:r>
        <w:rPr>
          <w:rFonts w:hint="eastAsia" w:ascii="仿宋_GB2312" w:eastAsia="仿宋_GB2312" w:cs="仿宋_GB2312"/>
          <w:sz w:val="32"/>
          <w:szCs w:val="32"/>
          <w:lang w:val="en-US" w:eastAsia="zh-CN"/>
        </w:rPr>
        <w:t>403.99</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%；政府性基金预算财政拨款收入</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w:t>
      </w:r>
      <w:r>
        <w:rPr>
          <w:rFonts w:hint="eastAsia" w:ascii="仿宋_GB2312" w:eastAsia="仿宋_GB2312" w:cs="仿宋_GB2312"/>
          <w:sz w:val="32"/>
          <w:szCs w:val="32"/>
          <w:lang w:eastAsia="zh-CN"/>
        </w:rPr>
        <w:t>国有资本经营预算财政拨款收入</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%；上级补助收入</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%；事业收入</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%；经营收入</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%；附属单位上缴收入</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%；其他收入</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w:t>
      </w:r>
    </w:p>
    <w:p w14:paraId="37258B7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p>
    <w:p w14:paraId="340D517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（图</w:t>
      </w:r>
      <w:r>
        <w:rPr>
          <w:rFonts w:ascii="仿宋_GB2312" w:eastAsia="仿宋_GB2312" w:cs="仿宋_GB2312"/>
          <w:sz w:val="32"/>
          <w:szCs w:val="32"/>
        </w:rPr>
        <w:t>2</w:t>
      </w:r>
      <w:r>
        <w:rPr>
          <w:rFonts w:hint="eastAsia" w:ascii="仿宋_GB2312" w:eastAsia="仿宋_GB2312" w:cs="仿宋_GB2312"/>
          <w:sz w:val="32"/>
          <w:szCs w:val="32"/>
        </w:rPr>
        <w:t>：收入决算结构图）（单位：万元）</w:t>
      </w:r>
      <w:r>
        <w:rPr>
          <w:rFonts w:asci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347345</wp:posOffset>
            </wp:positionH>
            <wp:positionV relativeFrom="paragraph">
              <wp:posOffset>899795</wp:posOffset>
            </wp:positionV>
            <wp:extent cx="4572000" cy="2743200"/>
            <wp:effectExtent l="19050" t="0" r="19050" b="0"/>
            <wp:wrapTopAndBottom/>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73BBA317">
      <w:pPr>
        <w:spacing w:line="600" w:lineRule="exact"/>
        <w:rPr>
          <w:rFonts w:ascii="仿宋_GB2312" w:eastAsia="仿宋_GB2312"/>
          <w:color w:val="FF0000"/>
          <w:sz w:val="32"/>
          <w:szCs w:val="32"/>
        </w:rPr>
      </w:pPr>
    </w:p>
    <w:p w14:paraId="405F5722">
      <w:pPr>
        <w:pStyle w:val="39"/>
        <w:keepNext w:val="0"/>
        <w:keepLines w:val="0"/>
        <w:pageBreakBefore w:val="0"/>
        <w:widowControl w:val="0"/>
        <w:numPr>
          <w:ilvl w:val="0"/>
          <w:numId w:val="0"/>
        </w:numPr>
        <w:kinsoku/>
        <w:wordWrap/>
        <w:overflowPunct/>
        <w:topLinePunct w:val="0"/>
        <w:autoSpaceDE/>
        <w:autoSpaceDN/>
        <w:bidi w:val="0"/>
        <w:adjustRightInd/>
        <w:snapToGrid/>
        <w:spacing w:line="576" w:lineRule="exact"/>
        <w:ind w:left="640" w:leftChars="0"/>
        <w:textAlignment w:val="auto"/>
        <w:outlineLvl w:val="1"/>
        <w:rPr>
          <w:rStyle w:val="29"/>
          <w:rFonts w:ascii="黑体" w:hAnsi="黑体" w:eastAsia="黑体"/>
          <w:b w:val="0"/>
        </w:rPr>
      </w:pPr>
      <w:bookmarkStart w:id="36" w:name="_Toc15396605"/>
      <w:bookmarkStart w:id="37" w:name="_Toc79163612"/>
      <w:bookmarkStart w:id="38" w:name="_Toc79163862"/>
      <w:bookmarkStart w:id="39" w:name="_Toc15377207"/>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9"/>
          <w:rFonts w:hint="eastAsia" w:ascii="黑体" w:hAnsi="黑体" w:eastAsia="黑体"/>
          <w:b w:val="0"/>
        </w:rPr>
        <w:t>出决算情况说明</w:t>
      </w:r>
      <w:bookmarkEnd w:id="36"/>
      <w:bookmarkEnd w:id="37"/>
      <w:bookmarkEnd w:id="38"/>
      <w:bookmarkEnd w:id="39"/>
    </w:p>
    <w:p w14:paraId="7604846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 w:hAnsi="仿宋" w:eastAsia="仿宋"/>
          <w:color w:val="auto"/>
          <w:sz w:val="32"/>
          <w:szCs w:val="32"/>
          <w:highlight w:val="none"/>
        </w:rPr>
      </w:pPr>
      <w:r>
        <w:rPr>
          <w:rFonts w:hint="eastAsia" w:ascii="仿宋_GB2312" w:eastAsia="仿宋_GB2312" w:cs="仿宋_GB2312"/>
          <w:sz w:val="32"/>
          <w:szCs w:val="32"/>
          <w:lang w:eastAsia="zh-CN"/>
        </w:rPr>
        <w:t>2023</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本年支出合计</w:t>
      </w:r>
      <w:r>
        <w:rPr>
          <w:rFonts w:hint="eastAsia" w:ascii="仿宋_GB2312" w:eastAsia="仿宋_GB2312" w:cs="仿宋_GB2312"/>
          <w:sz w:val="32"/>
          <w:szCs w:val="32"/>
          <w:lang w:val="en-US" w:eastAsia="zh-CN"/>
        </w:rPr>
        <w:t>403.99</w:t>
      </w:r>
      <w:r>
        <w:rPr>
          <w:rFonts w:hint="eastAsia" w:ascii="仿宋_GB2312" w:eastAsia="仿宋_GB2312" w:cs="仿宋_GB2312"/>
          <w:sz w:val="32"/>
          <w:szCs w:val="32"/>
        </w:rPr>
        <w:t>万元，其中：基本支出</w:t>
      </w:r>
      <w:r>
        <w:rPr>
          <w:rFonts w:hint="eastAsia" w:ascii="仿宋_GB2312" w:eastAsia="仿宋_GB2312" w:cs="仿宋_GB2312"/>
          <w:sz w:val="32"/>
          <w:szCs w:val="32"/>
          <w:lang w:val="en-US" w:eastAsia="zh-CN"/>
        </w:rPr>
        <w:t>197.94</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49</w:t>
      </w:r>
      <w:r>
        <w:rPr>
          <w:rFonts w:hint="eastAsia" w:ascii="仿宋_GB2312" w:eastAsia="仿宋_GB2312" w:cs="仿宋_GB2312"/>
          <w:sz w:val="32"/>
          <w:szCs w:val="32"/>
        </w:rPr>
        <w:t>%；项目支出</w:t>
      </w:r>
      <w:r>
        <w:rPr>
          <w:rFonts w:hint="eastAsia" w:ascii="仿宋_GB2312" w:eastAsia="仿宋_GB2312" w:cs="仿宋_GB2312"/>
          <w:sz w:val="32"/>
          <w:szCs w:val="32"/>
          <w:lang w:val="en-US" w:eastAsia="zh-CN"/>
        </w:rPr>
        <w:t>206.05</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51</w:t>
      </w:r>
      <w:r>
        <w:rPr>
          <w:rFonts w:hint="eastAsia" w:ascii="仿宋_GB2312" w:eastAsia="仿宋_GB2312" w:cs="仿宋_GB2312"/>
          <w:sz w:val="32"/>
          <w:szCs w:val="32"/>
        </w:rPr>
        <w:t>%；上缴上级支出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%；经营支出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%；对附属单位补助支出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w:t>
      </w:r>
    </w:p>
    <w:p w14:paraId="1FF47C19">
      <w:pPr>
        <w:spacing w:line="576" w:lineRule="atLeast"/>
        <w:ind w:firstLine="640" w:firstLineChars="200"/>
        <w:rPr>
          <w:rFonts w:ascii="仿宋_GB2312" w:eastAsia="仿宋_GB2312" w:cs="仿宋_GB2312"/>
          <w:sz w:val="32"/>
          <w:szCs w:val="32"/>
        </w:rPr>
      </w:pPr>
    </w:p>
    <w:p w14:paraId="151C1AD2">
      <w:pPr>
        <w:spacing w:line="576" w:lineRule="atLeast"/>
        <w:ind w:firstLine="640" w:firstLineChars="200"/>
        <w:rPr>
          <w:rFonts w:ascii="仿宋_GB2312" w:eastAsia="仿宋_GB2312" w:cs="仿宋_GB2312"/>
          <w:sz w:val="32"/>
          <w:szCs w:val="32"/>
        </w:rPr>
      </w:pPr>
      <w:r>
        <w:rPr>
          <w:rFonts w:hint="eastAsia" w:ascii="仿宋_GB2312" w:eastAsia="仿宋_GB2312" w:cs="仿宋_GB2312"/>
          <w:sz w:val="32"/>
          <w:szCs w:val="32"/>
        </w:rPr>
        <w:t>（图</w:t>
      </w:r>
      <w:r>
        <w:rPr>
          <w:rFonts w:ascii="仿宋_GB2312" w:eastAsia="仿宋_GB2312" w:cs="仿宋_GB2312"/>
          <w:sz w:val="32"/>
          <w:szCs w:val="32"/>
        </w:rPr>
        <w:t>3</w:t>
      </w:r>
      <w:r>
        <w:rPr>
          <w:rFonts w:hint="eastAsia" w:ascii="仿宋_GB2312" w:eastAsia="仿宋_GB2312" w:cs="仿宋_GB2312"/>
          <w:sz w:val="32"/>
          <w:szCs w:val="32"/>
        </w:rPr>
        <w:t>：支出决算结构图）（单位：万元）</w:t>
      </w:r>
    </w:p>
    <w:p w14:paraId="51B99ECF">
      <w:pPr>
        <w:ind w:firstLine="420" w:firstLineChars="200"/>
        <w:rPr>
          <w:rFonts w:ascii="仿宋_GB2312" w:eastAsia="仿宋_GB2312"/>
          <w:color w:val="FF0000"/>
          <w:sz w:val="32"/>
          <w:szCs w:val="32"/>
        </w:rPr>
      </w:pPr>
      <w:r>
        <w:drawing>
          <wp:inline distT="0" distB="0" distL="114300" distR="114300">
            <wp:extent cx="4595495" cy="3276600"/>
            <wp:effectExtent l="4445" t="4445" r="10160" b="1460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B98C1A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29"/>
          <w:rFonts w:ascii="黑体" w:hAnsi="黑体" w:eastAsia="黑体"/>
          <w:b w:val="0"/>
        </w:rPr>
      </w:pPr>
      <w:bookmarkStart w:id="40" w:name="_Toc15377208"/>
      <w:bookmarkStart w:id="41" w:name="_Toc79163613"/>
      <w:bookmarkStart w:id="42" w:name="_Toc15396606"/>
      <w:bookmarkStart w:id="43" w:name="_Toc79163863"/>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40"/>
      <w:bookmarkEnd w:id="41"/>
      <w:bookmarkEnd w:id="42"/>
      <w:bookmarkEnd w:id="43"/>
    </w:p>
    <w:p w14:paraId="4B3CC252">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auto"/>
          <w:sz w:val="32"/>
          <w:szCs w:val="32"/>
          <w:highlight w:val="none"/>
        </w:rPr>
      </w:pPr>
      <w:r>
        <w:rPr>
          <w:rFonts w:hint="eastAsia" w:ascii="仿宋_GB2312" w:eastAsia="仿宋_GB2312" w:cs="仿宋_GB2312"/>
          <w:sz w:val="32"/>
          <w:szCs w:val="32"/>
          <w:lang w:eastAsia="zh-CN"/>
        </w:rPr>
        <w:t>2023</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财政拨款收、支总计</w:t>
      </w:r>
      <w:r>
        <w:rPr>
          <w:rFonts w:hint="eastAsia" w:ascii="仿宋_GB2312" w:eastAsia="仿宋_GB2312" w:cs="仿宋_GB2312"/>
          <w:sz w:val="32"/>
          <w:szCs w:val="32"/>
          <w:lang w:eastAsia="zh-CN"/>
        </w:rPr>
        <w:t>均为</w:t>
      </w:r>
      <w:r>
        <w:rPr>
          <w:rFonts w:hint="eastAsia" w:ascii="仿宋_GB2312" w:eastAsia="仿宋_GB2312" w:cs="仿宋_GB2312"/>
          <w:sz w:val="32"/>
          <w:szCs w:val="32"/>
          <w:lang w:val="en-US" w:eastAsia="zh-CN"/>
        </w:rPr>
        <w:t>403.99</w:t>
      </w:r>
      <w:r>
        <w:rPr>
          <w:rFonts w:hint="eastAsia" w:ascii="仿宋_GB2312" w:eastAsia="仿宋_GB2312" w:cs="仿宋_GB2312"/>
          <w:sz w:val="32"/>
          <w:szCs w:val="32"/>
        </w:rPr>
        <w:t>万元。与</w:t>
      </w:r>
      <w:r>
        <w:rPr>
          <w:rFonts w:hint="eastAsia" w:ascii="仿宋_GB2312" w:eastAsia="仿宋_GB2312" w:cs="仿宋_GB2312"/>
          <w:sz w:val="32"/>
          <w:szCs w:val="32"/>
          <w:lang w:eastAsia="zh-CN"/>
        </w:rPr>
        <w:t>2022</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相比，财政拨款收、支总计各减少</w:t>
      </w:r>
      <w:r>
        <w:rPr>
          <w:rFonts w:hint="eastAsia" w:ascii="仿宋_GB2312" w:eastAsia="仿宋_GB2312" w:cs="仿宋_GB2312"/>
          <w:sz w:val="32"/>
          <w:szCs w:val="32"/>
          <w:lang w:val="en-US" w:eastAsia="zh-CN"/>
        </w:rPr>
        <w:t>121.76</w:t>
      </w:r>
      <w:r>
        <w:rPr>
          <w:rFonts w:hint="eastAsia" w:ascii="仿宋_GB2312" w:eastAsia="仿宋_GB2312" w:cs="仿宋_GB2312"/>
          <w:sz w:val="32"/>
          <w:szCs w:val="32"/>
        </w:rPr>
        <w:t>万元，下降</w:t>
      </w:r>
      <w:r>
        <w:rPr>
          <w:rFonts w:hint="eastAsia" w:ascii="仿宋_GB2312" w:eastAsia="仿宋_GB2312" w:cs="仿宋_GB2312"/>
          <w:sz w:val="32"/>
          <w:szCs w:val="32"/>
          <w:lang w:val="en-US" w:eastAsia="zh-CN"/>
        </w:rPr>
        <w:t>23.16</w:t>
      </w:r>
      <w:r>
        <w:rPr>
          <w:rFonts w:hint="eastAsia" w:ascii="仿宋_GB2312" w:eastAsia="仿宋_GB2312" w:cs="仿宋_GB2312"/>
          <w:sz w:val="32"/>
          <w:szCs w:val="32"/>
        </w:rPr>
        <w:t>%。主要变动原因是</w:t>
      </w:r>
      <w:r>
        <w:rPr>
          <w:rFonts w:hint="eastAsia" w:ascii="仿宋_GB2312" w:eastAsia="仿宋_GB2312" w:cs="仿宋_GB2312"/>
          <w:sz w:val="32"/>
          <w:szCs w:val="32"/>
          <w:lang w:val="en-US" w:eastAsia="zh-CN"/>
        </w:rPr>
        <w:t>2022年茂农服建设项目资金276.7万元，2023年茂农服扩建项目资金142.58万元，因此2023年</w:t>
      </w:r>
      <w:r>
        <w:rPr>
          <w:rFonts w:hint="eastAsia" w:ascii="仿宋_GB2312" w:eastAsia="仿宋_GB2312" w:cs="仿宋_GB2312"/>
          <w:sz w:val="32"/>
          <w:szCs w:val="32"/>
        </w:rPr>
        <w:t>项目资金</w:t>
      </w:r>
      <w:r>
        <w:rPr>
          <w:rFonts w:hint="eastAsia" w:ascii="仿宋_GB2312" w:eastAsia="仿宋_GB2312" w:cs="仿宋_GB2312"/>
          <w:sz w:val="32"/>
          <w:szCs w:val="32"/>
          <w:lang w:eastAsia="zh-CN"/>
        </w:rPr>
        <w:t>减少，收支总计减少。</w:t>
      </w:r>
    </w:p>
    <w:p w14:paraId="3742513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p>
    <w:p w14:paraId="4E4014D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（图</w:t>
      </w:r>
      <w:r>
        <w:rPr>
          <w:rFonts w:ascii="仿宋_GB2312" w:eastAsia="仿宋_GB2312" w:cs="仿宋_GB2312"/>
          <w:sz w:val="32"/>
          <w:szCs w:val="32"/>
        </w:rPr>
        <w:t>4</w:t>
      </w:r>
      <w:r>
        <w:rPr>
          <w:rFonts w:hint="eastAsia" w:ascii="仿宋_GB2312" w:eastAsia="仿宋_GB2312" w:cs="仿宋_GB2312"/>
          <w:sz w:val="32"/>
          <w:szCs w:val="32"/>
        </w:rPr>
        <w:t>：财政拨款收、支决算总计变动情况）（单位：万元）</w:t>
      </w:r>
    </w:p>
    <w:p w14:paraId="39131843">
      <w:pPr>
        <w:ind w:firstLine="420" w:firstLineChars="200"/>
        <w:rPr>
          <w:rFonts w:ascii="仿宋" w:hAnsi="仿宋" w:eastAsia="仿宋"/>
          <w:b/>
          <w:color w:val="00B050"/>
          <w:sz w:val="32"/>
          <w:szCs w:val="32"/>
        </w:rPr>
      </w:pPr>
      <w:r>
        <w:drawing>
          <wp:inline distT="0" distB="0" distL="114300" distR="114300">
            <wp:extent cx="4572000" cy="2600325"/>
            <wp:effectExtent l="4445" t="4445" r="14605" b="508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0E6DC3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29"/>
          <w:rFonts w:ascii="黑体" w:hAnsi="黑体" w:eastAsia="黑体"/>
          <w:b w:val="0"/>
        </w:rPr>
      </w:pPr>
      <w:bookmarkStart w:id="44" w:name="_Toc79163864"/>
      <w:bookmarkStart w:id="45" w:name="_Toc15396607"/>
      <w:bookmarkStart w:id="46" w:name="_Toc79163614"/>
      <w:bookmarkStart w:id="47"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44"/>
      <w:bookmarkEnd w:id="45"/>
      <w:bookmarkEnd w:id="46"/>
      <w:bookmarkEnd w:id="47"/>
    </w:p>
    <w:p w14:paraId="42996F2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48" w:name="_Toc15377210"/>
      <w:bookmarkStart w:id="49" w:name="_Toc79163865"/>
      <w:bookmarkStart w:id="50" w:name="_Toc79163615"/>
      <w:r>
        <w:rPr>
          <w:rFonts w:hint="eastAsia" w:ascii="楷体_GB2312" w:hAnsi="楷体_GB2312" w:eastAsia="楷体_GB2312" w:cs="楷体_GB2312"/>
          <w:b/>
          <w:bCs/>
          <w:sz w:val="32"/>
          <w:szCs w:val="32"/>
        </w:rPr>
        <w:t>（一）一般公共预算财政拨款支出决算总体情况</w:t>
      </w:r>
      <w:bookmarkEnd w:id="48"/>
      <w:bookmarkEnd w:id="49"/>
      <w:bookmarkEnd w:id="50"/>
    </w:p>
    <w:p w14:paraId="58262BE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auto"/>
          <w:sz w:val="32"/>
          <w:szCs w:val="32"/>
          <w:highlight w:val="none"/>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年一般公共预算财政拨款支出</w:t>
      </w:r>
      <w:r>
        <w:rPr>
          <w:rFonts w:hint="eastAsia" w:ascii="仿宋_GB2312" w:eastAsia="仿宋_GB2312" w:cs="仿宋_GB2312"/>
          <w:sz w:val="32"/>
          <w:szCs w:val="32"/>
          <w:lang w:val="en-US" w:eastAsia="zh-CN"/>
        </w:rPr>
        <w:t>403.99</w:t>
      </w:r>
      <w:r>
        <w:rPr>
          <w:rFonts w:hint="eastAsia" w:ascii="仿宋_GB2312" w:eastAsia="仿宋_GB2312" w:cs="仿宋_GB2312"/>
          <w:sz w:val="32"/>
          <w:szCs w:val="32"/>
        </w:rPr>
        <w:t>万元，占本年支出合计的100%。与202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年相比，一般公共预算财政拨款</w:t>
      </w:r>
      <w:r>
        <w:rPr>
          <w:rFonts w:hint="eastAsia" w:ascii="仿宋_GB2312" w:eastAsia="仿宋_GB2312" w:cs="仿宋_GB2312"/>
          <w:sz w:val="32"/>
          <w:szCs w:val="32"/>
          <w:lang w:eastAsia="zh-CN"/>
        </w:rPr>
        <w:t>减少</w:t>
      </w:r>
      <w:r>
        <w:rPr>
          <w:rFonts w:hint="eastAsia" w:ascii="仿宋_GB2312" w:eastAsia="仿宋_GB2312" w:cs="仿宋_GB2312"/>
          <w:sz w:val="32"/>
          <w:szCs w:val="32"/>
          <w:lang w:val="en-US" w:eastAsia="zh-CN"/>
        </w:rPr>
        <w:t>121.76</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下降</w:t>
      </w:r>
      <w:r>
        <w:rPr>
          <w:rFonts w:hint="eastAsia" w:ascii="仿宋_GB2312" w:eastAsia="仿宋_GB2312" w:cs="仿宋_GB2312"/>
          <w:sz w:val="32"/>
          <w:szCs w:val="32"/>
          <w:lang w:val="en-US" w:eastAsia="zh-CN"/>
        </w:rPr>
        <w:t>23.16</w:t>
      </w:r>
      <w:r>
        <w:rPr>
          <w:rFonts w:hint="eastAsia" w:ascii="仿宋_GB2312" w:eastAsia="仿宋_GB2312" w:cs="仿宋_GB2312"/>
          <w:sz w:val="32"/>
          <w:szCs w:val="32"/>
        </w:rPr>
        <w:t>%。主要变动原因是</w:t>
      </w:r>
      <w:r>
        <w:rPr>
          <w:rFonts w:hint="eastAsia" w:ascii="仿宋_GB2312" w:eastAsia="仿宋_GB2312" w:cs="仿宋_GB2312"/>
          <w:sz w:val="32"/>
          <w:szCs w:val="32"/>
          <w:lang w:val="en-US" w:eastAsia="zh-CN"/>
        </w:rPr>
        <w:t>2022年茂农服建设项目资金276.7万元，2023年茂农服扩建项目资金142.58万元，因此2023年</w:t>
      </w:r>
      <w:r>
        <w:rPr>
          <w:rFonts w:hint="eastAsia" w:ascii="仿宋_GB2312" w:eastAsia="仿宋_GB2312" w:cs="仿宋_GB2312"/>
          <w:sz w:val="32"/>
          <w:szCs w:val="32"/>
        </w:rPr>
        <w:t>项目资金</w:t>
      </w:r>
      <w:r>
        <w:rPr>
          <w:rFonts w:hint="eastAsia" w:ascii="仿宋_GB2312" w:eastAsia="仿宋_GB2312" w:cs="仿宋_GB2312"/>
          <w:sz w:val="32"/>
          <w:szCs w:val="32"/>
          <w:lang w:eastAsia="zh-CN"/>
        </w:rPr>
        <w:t>减少，收支总计减少。</w:t>
      </w:r>
    </w:p>
    <w:p w14:paraId="16D42E6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p>
    <w:p w14:paraId="2FAD9A8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（图5：一般公共预算财政拨款支出决算变动情况）（单位：万元）</w:t>
      </w:r>
    </w:p>
    <w:p w14:paraId="36E93DA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sz w:val="32"/>
          <w:szCs w:val="32"/>
        </w:rPr>
      </w:pPr>
    </w:p>
    <w:p w14:paraId="17CF792E">
      <w:pPr>
        <w:ind w:firstLine="420" w:firstLineChars="200"/>
        <w:rPr>
          <w:rFonts w:ascii="仿宋" w:hAnsi="仿宋" w:eastAsia="仿宋"/>
          <w:color w:val="000000"/>
          <w:sz w:val="32"/>
          <w:szCs w:val="32"/>
        </w:rPr>
      </w:pPr>
      <w:r>
        <w:drawing>
          <wp:inline distT="0" distB="0" distL="114300" distR="114300">
            <wp:extent cx="4572000" cy="2600325"/>
            <wp:effectExtent l="4445" t="4445" r="14605" b="5080"/>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3B7BDE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51" w:name="_Toc15377211"/>
      <w:bookmarkStart w:id="52" w:name="_Toc79163866"/>
      <w:bookmarkStart w:id="53" w:name="_Toc79163616"/>
      <w:r>
        <w:rPr>
          <w:rFonts w:hint="eastAsia" w:ascii="楷体_GB2312" w:hAnsi="楷体_GB2312" w:eastAsia="楷体_GB2312" w:cs="楷体_GB2312"/>
          <w:b/>
          <w:bCs/>
          <w:sz w:val="32"/>
          <w:szCs w:val="32"/>
        </w:rPr>
        <w:t>（二）一般公共预算财政拨款支出决算结构情况</w:t>
      </w:r>
      <w:bookmarkEnd w:id="51"/>
      <w:bookmarkEnd w:id="52"/>
      <w:bookmarkEnd w:id="53"/>
    </w:p>
    <w:p w14:paraId="6197683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403.99</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
          <w:bCs/>
          <w:sz w:val="32"/>
          <w:szCs w:val="32"/>
        </w:rPr>
        <w:t>社会保障和就业支出（208）</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万元，占4.2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卫生健康支出（210）</w:t>
      </w:r>
      <w:r>
        <w:rPr>
          <w:rFonts w:hint="eastAsia" w:ascii="仿宋_GB2312" w:hAnsi="仿宋_GB2312" w:eastAsia="仿宋_GB2312" w:cs="仿宋_GB2312"/>
          <w:sz w:val="32"/>
          <w:szCs w:val="32"/>
          <w:lang w:val="en-US" w:eastAsia="zh-CN"/>
        </w:rPr>
        <w:t>14.65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3.63</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农林水</w:t>
      </w:r>
      <w:r>
        <w:rPr>
          <w:rFonts w:hint="eastAsia" w:ascii="仿宋_GB2312" w:hAnsi="仿宋_GB2312" w:eastAsia="仿宋_GB2312" w:cs="仿宋_GB2312"/>
          <w:b/>
          <w:bCs/>
          <w:sz w:val="32"/>
          <w:szCs w:val="32"/>
          <w:lang w:eastAsia="zh-CN"/>
        </w:rPr>
        <w:t>支出</w:t>
      </w:r>
      <w:r>
        <w:rPr>
          <w:rFonts w:hint="eastAsia" w:ascii="仿宋_GB2312" w:hAnsi="仿宋_GB2312" w:eastAsia="仿宋_GB2312" w:cs="仿宋_GB2312"/>
          <w:b/>
          <w:bCs/>
          <w:sz w:val="32"/>
          <w:szCs w:val="32"/>
        </w:rPr>
        <w:t>（213）</w:t>
      </w:r>
      <w:r>
        <w:rPr>
          <w:rFonts w:hint="eastAsia" w:ascii="仿宋_GB2312" w:hAnsi="仿宋_GB2312" w:eastAsia="仿宋_GB2312" w:cs="仿宋_GB2312"/>
          <w:sz w:val="32"/>
          <w:szCs w:val="32"/>
          <w:lang w:val="en-US" w:eastAsia="zh-CN"/>
        </w:rPr>
        <w:t>206.05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51</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商业服务业等支出（216）</w:t>
      </w:r>
      <w:r>
        <w:rPr>
          <w:rFonts w:hint="eastAsia" w:ascii="仿宋_GB2312" w:hAnsi="仿宋_GB2312" w:eastAsia="仿宋_GB2312" w:cs="仿宋_GB2312"/>
          <w:sz w:val="32"/>
          <w:szCs w:val="32"/>
          <w:lang w:val="en-US" w:eastAsia="zh-CN"/>
        </w:rPr>
        <w:t>152.35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37.71</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住房保障支出（221）</w:t>
      </w:r>
      <w:r>
        <w:rPr>
          <w:rFonts w:hint="eastAsia" w:ascii="仿宋_GB2312" w:hAnsi="仿宋_GB2312" w:eastAsia="仿宋_GB2312" w:cs="仿宋_GB2312"/>
          <w:sz w:val="32"/>
          <w:szCs w:val="32"/>
          <w:lang w:val="en-US" w:eastAsia="zh-CN"/>
        </w:rPr>
        <w:t>13.94</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3.45</w:t>
      </w:r>
      <w:r>
        <w:rPr>
          <w:rFonts w:hint="eastAsia" w:ascii="仿宋_GB2312" w:eastAsia="仿宋_GB2312" w:cs="仿宋_GB2312"/>
          <w:sz w:val="32"/>
          <w:szCs w:val="32"/>
        </w:rPr>
        <w:t>%。</w:t>
      </w:r>
    </w:p>
    <w:p w14:paraId="5522F7D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（图</w:t>
      </w:r>
      <w:r>
        <w:rPr>
          <w:rFonts w:ascii="仿宋_GB2312" w:eastAsia="仿宋_GB2312" w:cs="仿宋_GB2312"/>
          <w:sz w:val="32"/>
          <w:szCs w:val="32"/>
        </w:rPr>
        <w:t>6</w:t>
      </w:r>
      <w:r>
        <w:rPr>
          <w:rFonts w:hint="eastAsia" w:ascii="仿宋_GB2312" w:eastAsia="仿宋_GB2312" w:cs="仿宋_GB2312"/>
          <w:sz w:val="32"/>
          <w:szCs w:val="32"/>
        </w:rPr>
        <w:t>：一般公共预算财政拨款支出决算结构）（单位：万元）</w:t>
      </w:r>
    </w:p>
    <w:p w14:paraId="2693A2D7">
      <w:pPr>
        <w:ind w:firstLine="420" w:firstLineChars="200"/>
        <w:rPr>
          <w:rFonts w:ascii="仿宋" w:hAnsi="仿宋" w:eastAsia="仿宋"/>
          <w:color w:val="000000"/>
          <w:sz w:val="32"/>
          <w:szCs w:val="32"/>
        </w:rPr>
      </w:pPr>
      <w:r>
        <w:drawing>
          <wp:inline distT="0" distB="0" distL="114300" distR="114300">
            <wp:extent cx="4667250" cy="2314575"/>
            <wp:effectExtent l="5080" t="5080" r="13970" b="4445"/>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476773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54" w:name="_Toc79163617"/>
      <w:bookmarkStart w:id="55" w:name="_Toc79163867"/>
      <w:bookmarkStart w:id="56" w:name="_Toc15377212"/>
      <w:r>
        <w:rPr>
          <w:rFonts w:hint="eastAsia" w:ascii="楷体_GB2312" w:hAnsi="楷体_GB2312" w:eastAsia="楷体_GB2312" w:cs="楷体_GB2312"/>
          <w:b/>
          <w:bCs/>
          <w:sz w:val="32"/>
          <w:szCs w:val="32"/>
        </w:rPr>
        <w:t>（三）一般公共预算财政拨款支出决算具体情况</w:t>
      </w:r>
      <w:bookmarkEnd w:id="54"/>
      <w:bookmarkEnd w:id="55"/>
      <w:bookmarkEnd w:id="56"/>
    </w:p>
    <w:p w14:paraId="10A2650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b w:val="0"/>
          <w:bCs w:val="0"/>
          <w:sz w:val="32"/>
          <w:szCs w:val="32"/>
        </w:rPr>
      </w:pPr>
      <w:bookmarkStart w:id="57" w:name="_Toc15377213"/>
      <w:bookmarkStart w:id="58" w:name="_Toc15377444"/>
      <w:bookmarkStart w:id="59" w:name="_Toc15378460"/>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年一般公共预算支出决算数为</w:t>
      </w:r>
      <w:r>
        <w:rPr>
          <w:rFonts w:hint="eastAsia" w:ascii="仿宋_GB2312" w:hAnsi="仿宋_GB2312" w:eastAsia="仿宋_GB2312" w:cs="仿宋_GB2312"/>
          <w:b w:val="0"/>
          <w:bCs w:val="0"/>
          <w:sz w:val="32"/>
          <w:szCs w:val="32"/>
          <w:lang w:val="en-US" w:eastAsia="zh-CN"/>
        </w:rPr>
        <w:t>403.99</w:t>
      </w:r>
      <w:r>
        <w:rPr>
          <w:rFonts w:hint="eastAsia" w:ascii="仿宋_GB2312" w:hAnsi="仿宋_GB2312" w:eastAsia="仿宋_GB2312" w:cs="仿宋_GB2312"/>
          <w:b w:val="0"/>
          <w:bCs w:val="0"/>
          <w:sz w:val="32"/>
          <w:szCs w:val="32"/>
        </w:rPr>
        <w:t>万元，完成预算100%。其中：</w:t>
      </w:r>
      <w:bookmarkEnd w:id="57"/>
      <w:bookmarkEnd w:id="58"/>
      <w:bookmarkEnd w:id="59"/>
    </w:p>
    <w:p w14:paraId="4357D88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bCs/>
          <w:color w:val="000000"/>
          <w:sz w:val="32"/>
          <w:szCs w:val="32"/>
        </w:rPr>
      </w:pPr>
      <w:r>
        <w:rPr>
          <w:rStyle w:val="26"/>
          <w:rFonts w:hint="eastAsia" w:ascii="仿宋_GB2312" w:hAnsi="仿宋_GB2312" w:eastAsia="仿宋_GB2312" w:cs="仿宋_GB2312"/>
          <w:bCs/>
          <w:color w:val="000000"/>
          <w:sz w:val="32"/>
          <w:szCs w:val="32"/>
        </w:rPr>
        <w:t>1.社会保障和就业支出（208）行政事业单位养老支出（20805）机关事业单位基本养老保险支出（2080505）</w:t>
      </w:r>
      <w:r>
        <w:rPr>
          <w:rStyle w:val="26"/>
          <w:rFonts w:hint="eastAsia" w:ascii="仿宋_GB2312" w:hAnsi="仿宋_GB2312" w:eastAsia="仿宋_GB2312" w:cs="仿宋_GB2312"/>
          <w:b w:val="0"/>
          <w:bCs/>
          <w:color w:val="000000"/>
          <w:sz w:val="32"/>
          <w:szCs w:val="32"/>
        </w:rPr>
        <w:t>支出决算为</w:t>
      </w:r>
      <w:r>
        <w:rPr>
          <w:rStyle w:val="26"/>
          <w:rFonts w:hint="eastAsia" w:ascii="仿宋_GB2312" w:hAnsi="仿宋_GB2312" w:eastAsia="仿宋_GB2312" w:cs="仿宋_GB2312"/>
          <w:b w:val="0"/>
          <w:bCs/>
          <w:color w:val="000000"/>
          <w:sz w:val="32"/>
          <w:szCs w:val="32"/>
          <w:lang w:val="en-US" w:eastAsia="zh-CN"/>
        </w:rPr>
        <w:t>11.32</w:t>
      </w:r>
      <w:r>
        <w:rPr>
          <w:rStyle w:val="26"/>
          <w:rFonts w:hint="eastAsia" w:ascii="仿宋_GB2312" w:hAnsi="仿宋_GB2312" w:eastAsia="仿宋_GB2312" w:cs="仿宋_GB2312"/>
          <w:b w:val="0"/>
          <w:bCs/>
          <w:color w:val="000000"/>
          <w:sz w:val="32"/>
          <w:szCs w:val="32"/>
        </w:rPr>
        <w:t>万元，完成预算100%，决算数与预算数持平。</w:t>
      </w:r>
    </w:p>
    <w:p w14:paraId="563C562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bCs/>
          <w:color w:val="000000"/>
          <w:sz w:val="32"/>
          <w:szCs w:val="32"/>
        </w:rPr>
      </w:pPr>
      <w:r>
        <w:rPr>
          <w:rStyle w:val="26"/>
          <w:rFonts w:hint="eastAsia" w:ascii="仿宋_GB2312" w:hAnsi="仿宋_GB2312" w:eastAsia="仿宋_GB2312" w:cs="仿宋_GB2312"/>
          <w:bCs/>
          <w:color w:val="000000"/>
          <w:sz w:val="32"/>
          <w:szCs w:val="32"/>
        </w:rPr>
        <w:t>2.社会保障和就业支出（208）行政事业单位养老支出（20805）机关事业单位职业年金缴费支出（2080506）</w:t>
      </w:r>
      <w:r>
        <w:rPr>
          <w:rStyle w:val="26"/>
          <w:rFonts w:hint="eastAsia" w:ascii="仿宋_GB2312" w:hAnsi="仿宋_GB2312" w:eastAsia="仿宋_GB2312" w:cs="仿宋_GB2312"/>
          <w:b w:val="0"/>
          <w:bCs/>
          <w:color w:val="000000"/>
          <w:sz w:val="32"/>
          <w:szCs w:val="32"/>
        </w:rPr>
        <w:t>支出决算为</w:t>
      </w:r>
      <w:r>
        <w:rPr>
          <w:rStyle w:val="26"/>
          <w:rFonts w:hint="eastAsia" w:ascii="仿宋_GB2312" w:hAnsi="仿宋_GB2312" w:eastAsia="仿宋_GB2312" w:cs="仿宋_GB2312"/>
          <w:b w:val="0"/>
          <w:bCs/>
          <w:color w:val="000000"/>
          <w:sz w:val="32"/>
          <w:szCs w:val="32"/>
          <w:lang w:val="en-US" w:eastAsia="zh-CN"/>
        </w:rPr>
        <w:t>5.67</w:t>
      </w:r>
      <w:r>
        <w:rPr>
          <w:rStyle w:val="26"/>
          <w:rFonts w:hint="eastAsia" w:ascii="仿宋_GB2312" w:hAnsi="仿宋_GB2312" w:eastAsia="仿宋_GB2312" w:cs="仿宋_GB2312"/>
          <w:b w:val="0"/>
          <w:bCs/>
          <w:color w:val="000000"/>
          <w:sz w:val="32"/>
          <w:szCs w:val="32"/>
        </w:rPr>
        <w:t>万元，完成预算100%，决算数与预算数持平。</w:t>
      </w:r>
    </w:p>
    <w:p w14:paraId="4648A4D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b/>
          <w:color w:val="000000"/>
          <w:sz w:val="32"/>
          <w:szCs w:val="32"/>
        </w:rPr>
      </w:pPr>
      <w:r>
        <w:rPr>
          <w:rStyle w:val="26"/>
          <w:rFonts w:hint="eastAsia" w:ascii="仿宋_GB2312" w:hAnsi="仿宋_GB2312" w:eastAsia="仿宋_GB2312" w:cs="仿宋_GB2312"/>
          <w:bCs/>
          <w:color w:val="000000"/>
          <w:sz w:val="32"/>
          <w:szCs w:val="32"/>
        </w:rPr>
        <w:t>3.</w:t>
      </w:r>
      <w:r>
        <w:rPr>
          <w:rFonts w:hint="eastAsia" w:ascii="仿宋_GB2312" w:hAnsi="仿宋_GB2312" w:eastAsia="仿宋_GB2312" w:cs="仿宋_GB2312"/>
          <w:b/>
          <w:bCs/>
          <w:color w:val="000000"/>
          <w:sz w:val="32"/>
          <w:szCs w:val="32"/>
        </w:rPr>
        <w:t>卫生健康支出</w:t>
      </w:r>
      <w:r>
        <w:rPr>
          <w:rStyle w:val="26"/>
          <w:rFonts w:hint="eastAsia" w:ascii="仿宋_GB2312" w:hAnsi="仿宋_GB2312" w:eastAsia="仿宋_GB2312" w:cs="仿宋_GB2312"/>
          <w:bCs/>
          <w:color w:val="000000"/>
          <w:sz w:val="32"/>
          <w:szCs w:val="32"/>
        </w:rPr>
        <w:t>（210）行政事业单位医疗（21011）行政单位医疗2101101）</w:t>
      </w:r>
      <w:r>
        <w:rPr>
          <w:rStyle w:val="26"/>
          <w:rFonts w:hint="eastAsia" w:ascii="仿宋_GB2312" w:hAnsi="仿宋_GB2312" w:eastAsia="仿宋_GB2312" w:cs="仿宋_GB2312"/>
          <w:b w:val="0"/>
          <w:bCs/>
          <w:color w:val="000000"/>
          <w:sz w:val="32"/>
          <w:szCs w:val="32"/>
        </w:rPr>
        <w:t>支出决算为</w:t>
      </w:r>
      <w:r>
        <w:rPr>
          <w:rStyle w:val="26"/>
          <w:rFonts w:hint="eastAsia" w:ascii="仿宋_GB2312" w:hAnsi="仿宋_GB2312" w:eastAsia="仿宋_GB2312" w:cs="仿宋_GB2312"/>
          <w:b w:val="0"/>
          <w:bCs/>
          <w:color w:val="000000"/>
          <w:sz w:val="32"/>
          <w:szCs w:val="32"/>
          <w:lang w:val="en-US" w:eastAsia="zh-CN"/>
        </w:rPr>
        <w:t>14.65</w:t>
      </w:r>
      <w:r>
        <w:rPr>
          <w:rStyle w:val="26"/>
          <w:rFonts w:hint="eastAsia" w:ascii="仿宋_GB2312" w:hAnsi="仿宋_GB2312" w:eastAsia="仿宋_GB2312" w:cs="仿宋_GB2312"/>
          <w:b w:val="0"/>
          <w:bCs/>
          <w:color w:val="000000"/>
          <w:sz w:val="32"/>
          <w:szCs w:val="32"/>
        </w:rPr>
        <w:t>万元，完成预算100%决算数与预算数持平。</w:t>
      </w:r>
    </w:p>
    <w:p w14:paraId="2DF46D7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bCs/>
          <w:color w:val="000000"/>
          <w:sz w:val="32"/>
          <w:szCs w:val="32"/>
        </w:rPr>
      </w:pPr>
      <w:r>
        <w:rPr>
          <w:rStyle w:val="26"/>
          <w:rFonts w:hint="eastAsia" w:ascii="仿宋_GB2312" w:hAnsi="仿宋_GB2312" w:eastAsia="仿宋_GB2312" w:cs="仿宋_GB2312"/>
          <w:bCs/>
          <w:color w:val="000000"/>
          <w:sz w:val="32"/>
          <w:szCs w:val="32"/>
          <w:lang w:val="en-US" w:eastAsia="zh-CN"/>
        </w:rPr>
        <w:t>4</w:t>
      </w:r>
      <w:r>
        <w:rPr>
          <w:rStyle w:val="26"/>
          <w:rFonts w:hint="eastAsia" w:ascii="仿宋_GB2312" w:hAnsi="仿宋_GB2312" w:eastAsia="仿宋_GB2312" w:cs="仿宋_GB2312"/>
          <w:bCs/>
          <w:color w:val="000000"/>
          <w:sz w:val="32"/>
          <w:szCs w:val="32"/>
        </w:rPr>
        <w:t>.农林水支出（213）农业农村（21301）其他农业农村支出（2130199</w:t>
      </w:r>
      <w:r>
        <w:rPr>
          <w:rStyle w:val="26"/>
          <w:rFonts w:ascii="仿宋_GB2312" w:hAnsi="仿宋_GB2312" w:eastAsia="仿宋_GB2312" w:cs="仿宋_GB2312"/>
          <w:bCs/>
          <w:color w:val="000000"/>
          <w:sz w:val="32"/>
          <w:szCs w:val="32"/>
        </w:rPr>
        <w:t>）</w:t>
      </w:r>
      <w:r>
        <w:rPr>
          <w:rStyle w:val="26"/>
          <w:rFonts w:hint="eastAsia" w:ascii="仿宋_GB2312" w:hAnsi="仿宋_GB2312" w:eastAsia="仿宋_GB2312" w:cs="仿宋_GB2312"/>
          <w:b w:val="0"/>
          <w:bCs/>
          <w:color w:val="000000"/>
          <w:sz w:val="32"/>
          <w:szCs w:val="32"/>
        </w:rPr>
        <w:t>支出决算为</w:t>
      </w:r>
      <w:r>
        <w:rPr>
          <w:rStyle w:val="26"/>
          <w:rFonts w:hint="eastAsia" w:ascii="仿宋_GB2312" w:hAnsi="仿宋_GB2312" w:eastAsia="仿宋_GB2312" w:cs="仿宋_GB2312"/>
          <w:b w:val="0"/>
          <w:bCs/>
          <w:color w:val="000000"/>
          <w:sz w:val="32"/>
          <w:szCs w:val="32"/>
          <w:lang w:val="en-US" w:eastAsia="zh-CN"/>
        </w:rPr>
        <w:t>36</w:t>
      </w:r>
      <w:r>
        <w:rPr>
          <w:rStyle w:val="26"/>
          <w:rFonts w:hint="eastAsia" w:ascii="仿宋_GB2312" w:hAnsi="仿宋_GB2312" w:eastAsia="仿宋_GB2312" w:cs="仿宋_GB2312"/>
          <w:b w:val="0"/>
          <w:bCs/>
          <w:color w:val="000000"/>
          <w:sz w:val="32"/>
          <w:szCs w:val="32"/>
        </w:rPr>
        <w:t>万元，完成预算100%，决算数与预算数持平。</w:t>
      </w:r>
    </w:p>
    <w:p w14:paraId="58B8B5D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b/>
          <w:color w:val="000000"/>
          <w:sz w:val="32"/>
          <w:szCs w:val="32"/>
        </w:rPr>
      </w:pPr>
      <w:r>
        <w:rPr>
          <w:rStyle w:val="26"/>
          <w:rFonts w:hint="eastAsia" w:ascii="仿宋_GB2312" w:hAnsi="仿宋_GB2312" w:eastAsia="仿宋_GB2312" w:cs="仿宋_GB2312"/>
          <w:bCs/>
          <w:color w:val="000000"/>
          <w:sz w:val="32"/>
          <w:szCs w:val="32"/>
          <w:lang w:val="en-US" w:eastAsia="zh-CN"/>
        </w:rPr>
        <w:t>5</w:t>
      </w:r>
      <w:r>
        <w:rPr>
          <w:rStyle w:val="26"/>
          <w:rFonts w:hint="eastAsia" w:ascii="仿宋_GB2312" w:hAnsi="仿宋_GB2312" w:eastAsia="仿宋_GB2312" w:cs="仿宋_GB2312"/>
          <w:bCs/>
          <w:color w:val="000000"/>
          <w:sz w:val="32"/>
          <w:szCs w:val="32"/>
        </w:rPr>
        <w:t>.农林水支出（213）巩固脱贫衔接乡村振兴（21305）其他巩固脱贫攻坚衔接乡村振兴支出（2130599）:</w:t>
      </w:r>
      <w:r>
        <w:rPr>
          <w:rStyle w:val="26"/>
          <w:rFonts w:hint="eastAsia" w:ascii="仿宋_GB2312" w:hAnsi="仿宋_GB2312" w:eastAsia="仿宋_GB2312" w:cs="仿宋_GB2312"/>
          <w:b w:val="0"/>
          <w:bCs/>
          <w:color w:val="000000"/>
          <w:sz w:val="32"/>
          <w:szCs w:val="32"/>
        </w:rPr>
        <w:t xml:space="preserve"> 支出决算为</w:t>
      </w:r>
      <w:r>
        <w:rPr>
          <w:rStyle w:val="26"/>
          <w:rFonts w:hint="eastAsia" w:ascii="仿宋_GB2312" w:hAnsi="仿宋_GB2312" w:eastAsia="仿宋_GB2312" w:cs="仿宋_GB2312"/>
          <w:b w:val="0"/>
          <w:bCs/>
          <w:color w:val="000000"/>
          <w:sz w:val="32"/>
          <w:szCs w:val="32"/>
          <w:lang w:val="en-US" w:eastAsia="zh-CN"/>
        </w:rPr>
        <w:t>170.05</w:t>
      </w:r>
      <w:r>
        <w:rPr>
          <w:rStyle w:val="26"/>
          <w:rFonts w:hint="eastAsia" w:ascii="仿宋_GB2312" w:hAnsi="仿宋_GB2312" w:eastAsia="仿宋_GB2312" w:cs="仿宋_GB2312"/>
          <w:b w:val="0"/>
          <w:bCs/>
          <w:color w:val="000000"/>
          <w:sz w:val="32"/>
          <w:szCs w:val="32"/>
        </w:rPr>
        <w:t>万元，完成预算100%，决算数与预算数持平。</w:t>
      </w:r>
    </w:p>
    <w:p w14:paraId="172FDA7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b/>
          <w:color w:val="000000"/>
          <w:sz w:val="32"/>
          <w:szCs w:val="32"/>
        </w:rPr>
      </w:pPr>
      <w:r>
        <w:rPr>
          <w:rStyle w:val="26"/>
          <w:rFonts w:hint="eastAsia" w:ascii="仿宋_GB2312" w:hAnsi="仿宋_GB2312" w:eastAsia="仿宋_GB2312" w:cs="仿宋_GB2312"/>
          <w:bCs/>
          <w:color w:val="000000"/>
          <w:sz w:val="32"/>
          <w:szCs w:val="32"/>
          <w:lang w:val="en-US" w:eastAsia="zh-CN"/>
        </w:rPr>
        <w:t>6</w:t>
      </w:r>
      <w:r>
        <w:rPr>
          <w:rStyle w:val="26"/>
          <w:rFonts w:hint="eastAsia" w:ascii="仿宋_GB2312" w:hAnsi="仿宋_GB2312" w:eastAsia="仿宋_GB2312" w:cs="仿宋_GB2312"/>
          <w:bCs/>
          <w:color w:val="000000"/>
          <w:sz w:val="32"/>
          <w:szCs w:val="32"/>
        </w:rPr>
        <w:t>.商业服务业等支出（216）商业流通事务（21602）行政运行（2160201）</w:t>
      </w:r>
      <w:r>
        <w:rPr>
          <w:rStyle w:val="26"/>
          <w:rFonts w:hint="eastAsia" w:ascii="仿宋_GB2312" w:hAnsi="仿宋_GB2312" w:eastAsia="仿宋_GB2312" w:cs="仿宋_GB2312"/>
          <w:b w:val="0"/>
          <w:bCs/>
          <w:color w:val="000000"/>
          <w:sz w:val="32"/>
          <w:szCs w:val="32"/>
        </w:rPr>
        <w:t>支出决算为</w:t>
      </w:r>
      <w:r>
        <w:rPr>
          <w:rStyle w:val="26"/>
          <w:rFonts w:hint="eastAsia" w:ascii="仿宋_GB2312" w:hAnsi="仿宋_GB2312" w:eastAsia="仿宋_GB2312" w:cs="仿宋_GB2312"/>
          <w:b w:val="0"/>
          <w:bCs/>
          <w:color w:val="000000"/>
          <w:sz w:val="32"/>
          <w:szCs w:val="32"/>
          <w:lang w:val="en-US" w:eastAsia="zh-CN"/>
        </w:rPr>
        <w:t>152.35</w:t>
      </w:r>
      <w:r>
        <w:rPr>
          <w:rStyle w:val="26"/>
          <w:rFonts w:hint="eastAsia" w:ascii="仿宋_GB2312" w:hAnsi="仿宋_GB2312" w:eastAsia="仿宋_GB2312" w:cs="仿宋_GB2312"/>
          <w:b w:val="0"/>
          <w:bCs/>
          <w:color w:val="000000"/>
          <w:sz w:val="32"/>
          <w:szCs w:val="32"/>
        </w:rPr>
        <w:t>万元，完成预算100%，决算数与预算数持平。</w:t>
      </w:r>
    </w:p>
    <w:p w14:paraId="7335100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b/>
          <w:color w:val="000000"/>
          <w:sz w:val="32"/>
          <w:szCs w:val="32"/>
        </w:rPr>
      </w:pPr>
      <w:r>
        <w:rPr>
          <w:rStyle w:val="26"/>
          <w:rFonts w:hint="eastAsia" w:ascii="仿宋_GB2312" w:hAnsi="仿宋_GB2312" w:eastAsia="仿宋_GB2312" w:cs="仿宋_GB2312"/>
          <w:bCs/>
          <w:color w:val="000000"/>
          <w:sz w:val="32"/>
          <w:szCs w:val="32"/>
          <w:lang w:val="en-US" w:eastAsia="zh-CN"/>
        </w:rPr>
        <w:t>7</w:t>
      </w:r>
      <w:r>
        <w:rPr>
          <w:rStyle w:val="26"/>
          <w:rFonts w:hint="eastAsia" w:ascii="仿宋_GB2312" w:hAnsi="仿宋_GB2312" w:eastAsia="仿宋_GB2312" w:cs="仿宋_GB2312"/>
          <w:bCs/>
          <w:color w:val="000000"/>
          <w:sz w:val="32"/>
          <w:szCs w:val="32"/>
        </w:rPr>
        <w:t>.</w:t>
      </w:r>
      <w:r>
        <w:rPr>
          <w:rFonts w:hint="eastAsia" w:ascii="仿宋_GB2312" w:hAnsi="仿宋_GB2312" w:eastAsia="仿宋_GB2312" w:cs="仿宋_GB2312"/>
          <w:b/>
          <w:bCs/>
          <w:color w:val="000000"/>
          <w:sz w:val="32"/>
          <w:szCs w:val="32"/>
        </w:rPr>
        <w:t>住房保障支出</w:t>
      </w:r>
      <w:r>
        <w:rPr>
          <w:rStyle w:val="26"/>
          <w:rFonts w:hint="eastAsia" w:ascii="仿宋_GB2312" w:hAnsi="仿宋_GB2312" w:eastAsia="仿宋_GB2312" w:cs="仿宋_GB2312"/>
          <w:bCs/>
          <w:color w:val="000000"/>
          <w:sz w:val="32"/>
          <w:szCs w:val="32"/>
        </w:rPr>
        <w:t>（221）住房改革支出（22102）住房公积金（2210201）</w:t>
      </w:r>
      <w:r>
        <w:rPr>
          <w:rStyle w:val="26"/>
          <w:rFonts w:hint="eastAsia" w:ascii="仿宋_GB2312" w:hAnsi="仿宋_GB2312" w:eastAsia="仿宋_GB2312" w:cs="仿宋_GB2312"/>
          <w:b w:val="0"/>
          <w:bCs/>
          <w:color w:val="000000"/>
          <w:sz w:val="32"/>
          <w:szCs w:val="32"/>
        </w:rPr>
        <w:t>支出决算为</w:t>
      </w:r>
      <w:r>
        <w:rPr>
          <w:rStyle w:val="26"/>
          <w:rFonts w:hint="eastAsia" w:ascii="仿宋_GB2312" w:hAnsi="仿宋_GB2312" w:eastAsia="仿宋_GB2312" w:cs="仿宋_GB2312"/>
          <w:b w:val="0"/>
          <w:bCs/>
          <w:color w:val="000000"/>
          <w:sz w:val="32"/>
          <w:szCs w:val="32"/>
          <w:lang w:val="en-US" w:eastAsia="zh-CN"/>
        </w:rPr>
        <w:t>12.93</w:t>
      </w:r>
      <w:r>
        <w:rPr>
          <w:rStyle w:val="26"/>
          <w:rFonts w:hint="eastAsia" w:ascii="仿宋_GB2312" w:hAnsi="仿宋_GB2312" w:eastAsia="仿宋_GB2312" w:cs="仿宋_GB2312"/>
          <w:b w:val="0"/>
          <w:bCs/>
          <w:color w:val="000000"/>
          <w:sz w:val="32"/>
          <w:szCs w:val="32"/>
        </w:rPr>
        <w:t>万元，完成预算100%，决算数与预算数持平。</w:t>
      </w:r>
    </w:p>
    <w:p w14:paraId="7A116E8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b/>
          <w:color w:val="000000"/>
          <w:sz w:val="32"/>
          <w:szCs w:val="32"/>
        </w:rPr>
      </w:pPr>
      <w:r>
        <w:rPr>
          <w:rStyle w:val="26"/>
          <w:rFonts w:hint="eastAsia" w:ascii="仿宋_GB2312" w:hAnsi="仿宋_GB2312" w:eastAsia="仿宋_GB2312" w:cs="仿宋_GB2312"/>
          <w:bCs/>
          <w:color w:val="000000"/>
          <w:sz w:val="32"/>
          <w:szCs w:val="32"/>
          <w:lang w:val="en-US" w:eastAsia="zh-CN"/>
        </w:rPr>
        <w:t>8</w:t>
      </w:r>
      <w:r>
        <w:rPr>
          <w:rStyle w:val="26"/>
          <w:rFonts w:hint="eastAsia" w:ascii="仿宋_GB2312" w:hAnsi="仿宋_GB2312" w:eastAsia="仿宋_GB2312" w:cs="仿宋_GB2312"/>
          <w:bCs/>
          <w:color w:val="000000"/>
          <w:sz w:val="32"/>
          <w:szCs w:val="32"/>
        </w:rPr>
        <w:t>.</w:t>
      </w:r>
      <w:r>
        <w:rPr>
          <w:rFonts w:hint="eastAsia" w:ascii="仿宋_GB2312" w:hAnsi="仿宋_GB2312" w:eastAsia="仿宋_GB2312" w:cs="仿宋_GB2312"/>
          <w:b/>
          <w:bCs/>
          <w:color w:val="000000"/>
          <w:sz w:val="32"/>
          <w:szCs w:val="32"/>
        </w:rPr>
        <w:t>住房保障支出</w:t>
      </w:r>
      <w:r>
        <w:rPr>
          <w:rStyle w:val="26"/>
          <w:rFonts w:hint="eastAsia" w:ascii="仿宋_GB2312" w:hAnsi="仿宋_GB2312" w:eastAsia="仿宋_GB2312" w:cs="仿宋_GB2312"/>
          <w:bCs/>
          <w:color w:val="000000"/>
          <w:sz w:val="32"/>
          <w:szCs w:val="32"/>
        </w:rPr>
        <w:t>（221）住房改革支出（22102）购房补贴（2210203）</w:t>
      </w:r>
      <w:r>
        <w:rPr>
          <w:rStyle w:val="26"/>
          <w:rFonts w:hint="eastAsia" w:ascii="仿宋_GB2312" w:hAnsi="仿宋_GB2312" w:eastAsia="仿宋_GB2312" w:cs="仿宋_GB2312"/>
          <w:b w:val="0"/>
          <w:bCs/>
          <w:color w:val="000000"/>
          <w:sz w:val="32"/>
          <w:szCs w:val="32"/>
        </w:rPr>
        <w:t>支出决算为1.02万元，完成预算100%，决算数与预算数持平。</w:t>
      </w:r>
    </w:p>
    <w:p w14:paraId="11DC05A5">
      <w:pPr>
        <w:keepNext w:val="0"/>
        <w:keepLines w:val="0"/>
        <w:pageBreakBefore w:val="0"/>
        <w:widowControl w:val="0"/>
        <w:tabs>
          <w:tab w:val="right" w:pos="8306"/>
        </w:tabs>
        <w:kinsoku/>
        <w:wordWrap/>
        <w:overflowPunct/>
        <w:topLinePunct w:val="0"/>
        <w:autoSpaceDE/>
        <w:autoSpaceDN/>
        <w:bidi w:val="0"/>
        <w:adjustRightInd/>
        <w:snapToGrid/>
        <w:spacing w:line="576" w:lineRule="exact"/>
        <w:ind w:firstLine="640"/>
        <w:textAlignment w:val="auto"/>
        <w:outlineLvl w:val="1"/>
        <w:rPr>
          <w:rStyle w:val="29"/>
        </w:rPr>
      </w:pPr>
      <w:bookmarkStart w:id="60" w:name="_Toc15377214"/>
      <w:bookmarkStart w:id="61" w:name="_Toc79163618"/>
      <w:bookmarkStart w:id="62" w:name="_Toc79163868"/>
      <w:bookmarkStart w:id="63"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60"/>
      <w:bookmarkEnd w:id="61"/>
      <w:bookmarkEnd w:id="62"/>
      <w:bookmarkEnd w:id="63"/>
      <w:r>
        <w:rPr>
          <w:rStyle w:val="29"/>
          <w:rFonts w:ascii="黑体" w:hAnsi="黑体" w:eastAsia="黑体"/>
          <w:b w:val="0"/>
        </w:rPr>
        <w:tab/>
      </w:r>
    </w:p>
    <w:p w14:paraId="5663DB93">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年一般公共预算财政拨款基本支出</w:t>
      </w:r>
      <w:r>
        <w:rPr>
          <w:rFonts w:hint="eastAsia" w:ascii="仿宋_GB2312" w:hAnsi="仿宋_GB2312" w:eastAsia="仿宋_GB2312" w:cs="仿宋_GB2312"/>
          <w:color w:val="000000"/>
          <w:sz w:val="32"/>
          <w:szCs w:val="32"/>
          <w:lang w:val="en-US" w:eastAsia="zh-CN"/>
        </w:rPr>
        <w:t>197.94</w:t>
      </w:r>
      <w:r>
        <w:rPr>
          <w:rFonts w:hint="eastAsia" w:ascii="仿宋_GB2312" w:hAnsi="仿宋_GB2312" w:eastAsia="仿宋_GB2312" w:cs="仿宋_GB2312"/>
          <w:color w:val="000000"/>
          <w:sz w:val="32"/>
          <w:szCs w:val="32"/>
        </w:rPr>
        <w:t>万元，其中：</w:t>
      </w:r>
    </w:p>
    <w:p w14:paraId="6175828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191.54</w:t>
      </w:r>
      <w:r>
        <w:rPr>
          <w:rFonts w:hint="eastAsia" w:ascii="仿宋_GB2312" w:hAnsi="仿宋_GB2312" w:eastAsia="仿宋_GB2312" w:cs="仿宋_GB2312"/>
          <w:sz w:val="32"/>
          <w:szCs w:val="32"/>
        </w:rPr>
        <w:t>万元，主要包括：基本工资</w:t>
      </w:r>
      <w:r>
        <w:rPr>
          <w:rFonts w:hint="eastAsia" w:ascii="仿宋_GB2312" w:hAnsi="仿宋_GB2312" w:eastAsia="仿宋_GB2312" w:cs="仿宋_GB2312"/>
          <w:sz w:val="32"/>
          <w:szCs w:val="32"/>
          <w:lang w:val="en-US" w:eastAsia="zh-CN"/>
        </w:rPr>
        <w:t>39.3</w:t>
      </w:r>
      <w:r>
        <w:rPr>
          <w:rFonts w:hint="eastAsia" w:ascii="仿宋_GB2312" w:hAnsi="仿宋_GB2312" w:eastAsia="仿宋_GB2312" w:cs="仿宋_GB2312"/>
          <w:sz w:val="32"/>
          <w:szCs w:val="32"/>
        </w:rPr>
        <w:t>万元、津贴补贴</w:t>
      </w:r>
      <w:r>
        <w:rPr>
          <w:rFonts w:hint="eastAsia" w:ascii="仿宋_GB2312" w:hAnsi="仿宋_GB2312" w:eastAsia="仿宋_GB2312" w:cs="仿宋_GB2312"/>
          <w:sz w:val="32"/>
          <w:szCs w:val="32"/>
          <w:lang w:val="en-US" w:eastAsia="zh-CN"/>
        </w:rPr>
        <w:t>37.43</w:t>
      </w:r>
      <w:r>
        <w:rPr>
          <w:rFonts w:hint="eastAsia" w:ascii="仿宋_GB2312" w:hAnsi="仿宋_GB2312" w:eastAsia="仿宋_GB2312" w:cs="仿宋_GB2312"/>
          <w:sz w:val="32"/>
          <w:szCs w:val="32"/>
        </w:rPr>
        <w:t>万元、奖金</w:t>
      </w:r>
      <w:r>
        <w:rPr>
          <w:rFonts w:hint="eastAsia" w:ascii="仿宋_GB2312" w:hAnsi="仿宋_GB2312" w:eastAsia="仿宋_GB2312" w:cs="仿宋_GB2312"/>
          <w:sz w:val="32"/>
          <w:szCs w:val="32"/>
          <w:lang w:val="en-US" w:eastAsia="zh-CN"/>
        </w:rPr>
        <w:t>45.84</w:t>
      </w:r>
      <w:r>
        <w:rPr>
          <w:rFonts w:hint="eastAsia" w:ascii="仿宋_GB2312" w:hAnsi="仿宋_GB2312" w:eastAsia="仿宋_GB2312" w:cs="仿宋_GB2312"/>
          <w:sz w:val="32"/>
          <w:szCs w:val="32"/>
        </w:rPr>
        <w:t>万元、机关事业单位基本养老保险缴费</w:t>
      </w:r>
      <w:r>
        <w:rPr>
          <w:rFonts w:hint="eastAsia" w:ascii="仿宋_GB2312" w:hAnsi="仿宋_GB2312" w:eastAsia="仿宋_GB2312" w:cs="仿宋_GB2312"/>
          <w:sz w:val="32"/>
          <w:szCs w:val="32"/>
          <w:lang w:val="en-US" w:eastAsia="zh-CN"/>
        </w:rPr>
        <w:t>11.33</w:t>
      </w:r>
      <w:r>
        <w:rPr>
          <w:rFonts w:hint="eastAsia" w:ascii="仿宋_GB2312" w:hAnsi="仿宋_GB2312" w:eastAsia="仿宋_GB2312" w:cs="仿宋_GB2312"/>
          <w:sz w:val="32"/>
          <w:szCs w:val="32"/>
        </w:rPr>
        <w:t>万元、职业年金缴费</w:t>
      </w:r>
      <w:r>
        <w:rPr>
          <w:rFonts w:hint="eastAsia" w:ascii="仿宋_GB2312" w:hAnsi="仿宋_GB2312" w:eastAsia="仿宋_GB2312" w:cs="仿宋_GB2312"/>
          <w:sz w:val="32"/>
          <w:szCs w:val="32"/>
          <w:lang w:val="en-US" w:eastAsia="zh-CN"/>
        </w:rPr>
        <w:t>5.67</w:t>
      </w:r>
      <w:r>
        <w:rPr>
          <w:rFonts w:hint="eastAsia" w:ascii="仿宋_GB2312" w:hAnsi="仿宋_GB2312" w:eastAsia="仿宋_GB2312" w:cs="仿宋_GB2312"/>
          <w:sz w:val="32"/>
          <w:szCs w:val="32"/>
        </w:rPr>
        <w:t>万元、职工基本医疗保险缴费</w:t>
      </w:r>
      <w:r>
        <w:rPr>
          <w:rFonts w:hint="eastAsia" w:ascii="仿宋_GB2312" w:hAnsi="仿宋_GB2312" w:eastAsia="仿宋_GB2312" w:cs="仿宋_GB2312"/>
          <w:sz w:val="32"/>
          <w:szCs w:val="32"/>
          <w:lang w:val="en-US" w:eastAsia="zh-CN"/>
        </w:rPr>
        <w:t>14.65</w:t>
      </w:r>
      <w:r>
        <w:rPr>
          <w:rFonts w:hint="eastAsia" w:ascii="仿宋_GB2312" w:hAnsi="仿宋_GB2312" w:eastAsia="仿宋_GB2312" w:cs="仿宋_GB2312"/>
          <w:sz w:val="32"/>
          <w:szCs w:val="32"/>
        </w:rPr>
        <w:t>万元、其他社会保障缴费</w:t>
      </w:r>
      <w:r>
        <w:rPr>
          <w:rFonts w:hint="eastAsia" w:ascii="仿宋_GB2312" w:hAnsi="仿宋_GB2312" w:eastAsia="仿宋_GB2312" w:cs="仿宋_GB2312"/>
          <w:sz w:val="32"/>
          <w:szCs w:val="32"/>
          <w:lang w:val="en-US" w:eastAsia="zh-CN"/>
        </w:rPr>
        <w:t>1.33</w:t>
      </w:r>
      <w:r>
        <w:rPr>
          <w:rFonts w:hint="eastAsia" w:ascii="仿宋_GB2312" w:hAnsi="仿宋_GB2312" w:eastAsia="仿宋_GB2312" w:cs="仿宋_GB2312"/>
          <w:sz w:val="32"/>
          <w:szCs w:val="32"/>
        </w:rPr>
        <w:t>万元、住房公积金</w:t>
      </w:r>
      <w:r>
        <w:rPr>
          <w:rFonts w:hint="eastAsia" w:ascii="仿宋_GB2312" w:hAnsi="仿宋_GB2312" w:eastAsia="仿宋_GB2312" w:cs="仿宋_GB2312"/>
          <w:sz w:val="32"/>
          <w:szCs w:val="32"/>
          <w:lang w:val="en-US" w:eastAsia="zh-CN"/>
        </w:rPr>
        <w:t>12.93</w:t>
      </w:r>
      <w:r>
        <w:rPr>
          <w:rFonts w:hint="eastAsia" w:ascii="仿宋_GB2312" w:hAnsi="仿宋_GB2312" w:eastAsia="仿宋_GB2312" w:cs="仿宋_GB2312"/>
          <w:sz w:val="32"/>
          <w:szCs w:val="32"/>
        </w:rPr>
        <w:t>万元、医疗费</w:t>
      </w:r>
      <w:r>
        <w:rPr>
          <w:rFonts w:hint="eastAsia" w:ascii="仿宋_GB2312" w:hAnsi="仿宋_GB2312" w:eastAsia="仿宋_GB2312" w:cs="仿宋_GB2312"/>
          <w:sz w:val="32"/>
          <w:szCs w:val="32"/>
          <w:lang w:val="en-US" w:eastAsia="zh-CN"/>
        </w:rPr>
        <w:t>2.64</w:t>
      </w:r>
      <w:r>
        <w:rPr>
          <w:rFonts w:hint="eastAsia" w:ascii="仿宋_GB2312" w:hAnsi="仿宋_GB2312" w:eastAsia="仿宋_GB2312" w:cs="仿宋_GB2312"/>
          <w:sz w:val="32"/>
          <w:szCs w:val="32"/>
        </w:rPr>
        <w:t>万元、抚恤金</w:t>
      </w:r>
      <w:r>
        <w:rPr>
          <w:rFonts w:hint="eastAsia" w:ascii="仿宋_GB2312" w:hAnsi="仿宋_GB2312" w:eastAsia="仿宋_GB2312" w:cs="仿宋_GB2312"/>
          <w:sz w:val="32"/>
          <w:szCs w:val="32"/>
          <w:lang w:val="en-US" w:eastAsia="zh-CN"/>
        </w:rPr>
        <w:t>6.25</w:t>
      </w:r>
      <w:r>
        <w:rPr>
          <w:rFonts w:hint="eastAsia" w:ascii="仿宋_GB2312" w:hAnsi="仿宋_GB2312" w:eastAsia="仿宋_GB2312" w:cs="仿宋_GB2312"/>
          <w:sz w:val="32"/>
          <w:szCs w:val="32"/>
        </w:rPr>
        <w:t>万元、生活补助</w:t>
      </w:r>
      <w:r>
        <w:rPr>
          <w:rFonts w:hint="eastAsia" w:ascii="仿宋_GB2312" w:hAnsi="仿宋_GB2312" w:eastAsia="仿宋_GB2312" w:cs="仿宋_GB2312"/>
          <w:sz w:val="32"/>
          <w:szCs w:val="32"/>
          <w:lang w:val="en-US" w:eastAsia="zh-CN"/>
        </w:rPr>
        <w:t>14.04</w:t>
      </w:r>
      <w:r>
        <w:rPr>
          <w:rFonts w:hint="eastAsia" w:ascii="仿宋_GB2312" w:hAnsi="仿宋_GB2312" w:eastAsia="仿宋_GB2312" w:cs="仿宋_GB2312"/>
          <w:sz w:val="32"/>
          <w:szCs w:val="32"/>
        </w:rPr>
        <w:t>万元、医疗费补助</w:t>
      </w:r>
      <w:r>
        <w:rPr>
          <w:rFonts w:hint="eastAsia" w:ascii="仿宋_GB2312" w:hAnsi="仿宋_GB2312" w:eastAsia="仿宋_GB2312" w:cs="仿宋_GB2312"/>
          <w:sz w:val="32"/>
          <w:szCs w:val="32"/>
          <w:lang w:val="en-US" w:eastAsia="zh-CN"/>
        </w:rPr>
        <w:t>0.12</w:t>
      </w:r>
      <w:r>
        <w:rPr>
          <w:rFonts w:hint="eastAsia" w:ascii="仿宋_GB2312" w:hAnsi="仿宋_GB2312" w:eastAsia="仿宋_GB2312" w:cs="仿宋_GB2312"/>
          <w:sz w:val="32"/>
          <w:szCs w:val="32"/>
        </w:rPr>
        <w:t>万元、奖励金0.01万元。</w:t>
      </w:r>
    </w:p>
    <w:p w14:paraId="292DF76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6.4</w:t>
      </w:r>
      <w:r>
        <w:rPr>
          <w:rFonts w:hint="eastAsia" w:ascii="仿宋_GB2312" w:hAnsi="仿宋_GB2312" w:eastAsia="仿宋_GB2312" w:cs="仿宋_GB2312"/>
          <w:sz w:val="32"/>
          <w:szCs w:val="32"/>
        </w:rPr>
        <w:t>万元，主要包括：办公费</w:t>
      </w:r>
      <w:r>
        <w:rPr>
          <w:rFonts w:hint="eastAsia" w:ascii="仿宋_GB2312" w:hAnsi="仿宋_GB2312" w:eastAsia="仿宋_GB2312" w:cs="仿宋_GB2312"/>
          <w:sz w:val="32"/>
          <w:szCs w:val="32"/>
          <w:lang w:val="en-US" w:eastAsia="zh-CN"/>
        </w:rPr>
        <w:t>4.5万元</w:t>
      </w:r>
      <w:r>
        <w:rPr>
          <w:rFonts w:hint="eastAsia" w:ascii="仿宋_GB2312" w:hAnsi="仿宋_GB2312" w:eastAsia="仿宋_GB2312" w:cs="仿宋_GB2312"/>
          <w:sz w:val="32"/>
          <w:szCs w:val="32"/>
        </w:rPr>
        <w:t>、差旅费</w:t>
      </w:r>
      <w:r>
        <w:rPr>
          <w:rFonts w:hint="eastAsia" w:ascii="仿宋_GB2312" w:hAnsi="仿宋_GB2312" w:eastAsia="仿宋_GB2312" w:cs="仿宋_GB2312"/>
          <w:sz w:val="32"/>
          <w:szCs w:val="32"/>
          <w:lang w:val="en-US" w:eastAsia="zh-CN"/>
        </w:rPr>
        <w:t>1.17</w:t>
      </w:r>
      <w:r>
        <w:rPr>
          <w:rFonts w:hint="eastAsia" w:ascii="仿宋_GB2312" w:hAnsi="仿宋_GB2312" w:eastAsia="仿宋_GB2312" w:cs="仿宋_GB2312"/>
          <w:sz w:val="32"/>
          <w:szCs w:val="32"/>
        </w:rPr>
        <w:t>万元、公务接待费0.1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万元、劳务费</w:t>
      </w:r>
      <w:r>
        <w:rPr>
          <w:rFonts w:hint="eastAsia" w:ascii="仿宋_GB2312" w:hAnsi="仿宋_GB2312" w:eastAsia="仿宋_GB2312" w:cs="仿宋_GB2312"/>
          <w:sz w:val="32"/>
          <w:szCs w:val="32"/>
          <w:lang w:val="en-US" w:eastAsia="zh-CN"/>
        </w:rPr>
        <w:t>0.6</w:t>
      </w:r>
      <w:r>
        <w:rPr>
          <w:rFonts w:hint="eastAsia" w:ascii="仿宋_GB2312" w:hAnsi="仿宋_GB2312" w:eastAsia="仿宋_GB2312" w:cs="仿宋_GB2312"/>
          <w:sz w:val="32"/>
          <w:szCs w:val="32"/>
        </w:rPr>
        <w:t>万元。</w:t>
      </w:r>
    </w:p>
    <w:p w14:paraId="16D5E01E">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1"/>
        <w:rPr>
          <w:rStyle w:val="29"/>
          <w:rFonts w:ascii="黑体" w:hAnsi="黑体" w:eastAsia="黑体"/>
          <w:b w:val="0"/>
        </w:rPr>
      </w:pPr>
      <w:bookmarkStart w:id="64" w:name="_Toc79163869"/>
      <w:bookmarkStart w:id="65" w:name="_Toc79163619"/>
      <w:bookmarkStart w:id="66" w:name="_Toc15396609"/>
      <w:bookmarkStart w:id="67" w:name="_Toc15377215"/>
      <w:r>
        <w:rPr>
          <w:rStyle w:val="29"/>
          <w:rFonts w:hint="eastAsia" w:ascii="黑体" w:hAnsi="黑体" w:eastAsia="黑体"/>
          <w:b w:val="0"/>
          <w:bCs w:val="0"/>
          <w:lang w:eastAsia="zh-CN"/>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64"/>
      <w:bookmarkEnd w:id="65"/>
      <w:bookmarkEnd w:id="66"/>
      <w:bookmarkEnd w:id="67"/>
    </w:p>
    <w:p w14:paraId="0A2901B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68" w:name="_Toc79163620"/>
      <w:bookmarkStart w:id="69" w:name="_Toc15377216"/>
      <w:bookmarkStart w:id="70" w:name="_Toc79163870"/>
      <w:r>
        <w:rPr>
          <w:rFonts w:hint="eastAsia" w:ascii="楷体_GB2312" w:hAnsi="楷体_GB2312" w:eastAsia="楷体_GB2312" w:cs="楷体_GB2312"/>
          <w:b/>
          <w:bCs/>
          <w:sz w:val="32"/>
          <w:szCs w:val="32"/>
        </w:rPr>
        <w:t>（一）“三公”经费财政拨款支出决算总体情况说明</w:t>
      </w:r>
      <w:bookmarkEnd w:id="68"/>
      <w:bookmarkEnd w:id="69"/>
      <w:bookmarkEnd w:id="70"/>
    </w:p>
    <w:p w14:paraId="2C3D74B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sz w:val="32"/>
          <w:szCs w:val="32"/>
        </w:rPr>
        <w:t>“三公”经费财政拨款支出决算为</w:t>
      </w:r>
      <w:r>
        <w:rPr>
          <w:rFonts w:hint="eastAsia" w:ascii="仿宋_GB2312" w:hAnsi="仿宋_GB2312" w:eastAsia="仿宋_GB2312" w:cs="仿宋_GB2312"/>
          <w:sz w:val="32"/>
          <w:szCs w:val="32"/>
          <w:lang w:val="en-US" w:eastAsia="zh-CN"/>
        </w:rPr>
        <w:t>0.13</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较上年度</w:t>
      </w:r>
      <w:r>
        <w:rPr>
          <w:rFonts w:hint="eastAsia" w:ascii="仿宋_GB2312" w:hAnsi="仿宋_GB2312" w:eastAsia="仿宋_GB2312" w:cs="仿宋_GB2312"/>
          <w:sz w:val="32"/>
          <w:szCs w:val="32"/>
          <w:lang w:val="en-US" w:eastAsia="zh-CN"/>
        </w:rPr>
        <w:t>减少0.01万元，下降7.14%。</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预算数持平。</w:t>
      </w:r>
    </w:p>
    <w:p w14:paraId="3A59EC8C">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71" w:name="_Toc79163621"/>
      <w:bookmarkStart w:id="72" w:name="_Toc15377217"/>
      <w:bookmarkStart w:id="73" w:name="_Toc79163871"/>
      <w:r>
        <w:rPr>
          <w:rFonts w:hint="eastAsia" w:ascii="楷体_GB2312" w:hAnsi="楷体_GB2312" w:eastAsia="楷体_GB2312" w:cs="楷体_GB2312"/>
          <w:b/>
          <w:bCs/>
          <w:sz w:val="32"/>
          <w:szCs w:val="32"/>
        </w:rPr>
        <w:t>（二）“三公”经费财政拨款支出决算具体情况说明</w:t>
      </w:r>
      <w:bookmarkEnd w:id="71"/>
      <w:bookmarkEnd w:id="72"/>
      <w:bookmarkEnd w:id="73"/>
    </w:p>
    <w:p w14:paraId="61868F7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sz w:val="32"/>
          <w:szCs w:val="32"/>
        </w:rPr>
        <w:t>“三公”经费财政拨款支出决算中，因公出国（境）费支出决算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0.13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14:paraId="0974D9C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（图7：“三公”经费财政拨款支出结构）（单位：万元）</w:t>
      </w:r>
    </w:p>
    <w:p w14:paraId="533E1A1C">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drawing>
          <wp:inline distT="0" distB="0" distL="0" distR="0">
            <wp:extent cx="4595495" cy="2838450"/>
            <wp:effectExtent l="19050" t="0" r="14287" b="0"/>
            <wp:docPr id="1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4250F15">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b/>
          <w:bCs/>
          <w:color w:val="000000"/>
          <w:sz w:val="32"/>
          <w:szCs w:val="32"/>
          <w:highlight w:val="none"/>
        </w:rPr>
        <w:t>1.因公出国（境）经费支出</w:t>
      </w:r>
      <w:r>
        <w:rPr>
          <w:rFonts w:hint="eastAsia" w:ascii="仿宋_GB2312" w:hAnsi="仿宋_GB2312" w:eastAsia="仿宋_GB2312" w:cs="仿宋_GB2312"/>
          <w:color w:val="000000"/>
          <w:sz w:val="32"/>
          <w:szCs w:val="32"/>
          <w:highlight w:val="none"/>
        </w:rPr>
        <w:t>0万元，全年安排因公出国（境）团组0次，出国（境）0人</w:t>
      </w:r>
      <w:r>
        <w:rPr>
          <w:rFonts w:hint="eastAsia" w:ascii="仿宋_GB2312" w:hAnsi="仿宋_GB2312" w:eastAsia="仿宋_GB2312" w:cs="仿宋_GB2312"/>
          <w:color w:val="000000"/>
          <w:sz w:val="32"/>
          <w:szCs w:val="32"/>
          <w:highlight w:val="none"/>
          <w:lang w:eastAsia="zh-CN"/>
        </w:rPr>
        <w:t>，无变化。</w:t>
      </w:r>
    </w:p>
    <w:p w14:paraId="779FE155">
      <w:pPr>
        <w:keepNext w:val="0"/>
        <w:keepLines w:val="0"/>
        <w:pageBreakBefore w:val="0"/>
        <w:widowControl w:val="0"/>
        <w:kinsoku/>
        <w:wordWrap/>
        <w:overflowPunct/>
        <w:topLinePunct w:val="0"/>
        <w:autoSpaceDE/>
        <w:autoSpaceDN/>
        <w:bidi w:val="0"/>
        <w:adjustRightInd/>
        <w:snapToGrid/>
        <w:spacing w:line="576" w:lineRule="exact"/>
        <w:ind w:firstLine="646"/>
        <w:textAlignment w:val="auto"/>
        <w:rPr>
          <w:rFonts w:hint="eastAsia" w:ascii="仿宋_GB2312" w:eastAsia="仿宋_GB2312"/>
          <w:color w:val="auto"/>
          <w:sz w:val="32"/>
          <w:szCs w:val="32"/>
          <w:highlight w:val="none"/>
          <w:lang w:eastAsia="zh-CN"/>
        </w:rPr>
      </w:pPr>
      <w:r>
        <w:rPr>
          <w:rFonts w:hint="eastAsia" w:ascii="仿宋_GB2312" w:hAnsi="仿宋_GB2312" w:eastAsia="仿宋_GB2312" w:cs="仿宋_GB2312"/>
          <w:b/>
          <w:bCs/>
          <w:color w:val="000000"/>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，无变化。</w:t>
      </w:r>
    </w:p>
    <w:p w14:paraId="75659027">
      <w:pPr>
        <w:keepNext w:val="0"/>
        <w:keepLines w:val="0"/>
        <w:pageBreakBefore w:val="0"/>
        <w:widowControl w:val="0"/>
        <w:kinsoku/>
        <w:wordWrap/>
        <w:overflowPunct/>
        <w:topLinePunct w:val="0"/>
        <w:autoSpaceDE/>
        <w:autoSpaceDN/>
        <w:bidi w:val="0"/>
        <w:adjustRightInd/>
        <w:snapToGrid/>
        <w:spacing w:line="576" w:lineRule="exact"/>
        <w:ind w:firstLine="646"/>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b/>
          <w:bCs/>
          <w:color w:val="000000"/>
          <w:sz w:val="32"/>
          <w:szCs w:val="32"/>
          <w:highlight w:val="none"/>
          <w:lang w:eastAsia="zh-CN"/>
        </w:rPr>
        <w:t>其中：</w:t>
      </w:r>
      <w:r>
        <w:rPr>
          <w:rFonts w:hint="eastAsia" w:ascii="仿宋_GB2312" w:hAnsi="仿宋_GB2312" w:eastAsia="仿宋_GB2312" w:cs="仿宋_GB2312"/>
          <w:b/>
          <w:bCs/>
          <w:color w:val="000000"/>
          <w:sz w:val="32"/>
          <w:szCs w:val="32"/>
          <w:highlight w:val="none"/>
        </w:rPr>
        <w:t>公务用车购置</w:t>
      </w:r>
      <w:r>
        <w:rPr>
          <w:rFonts w:hint="eastAsia" w:ascii="仿宋_GB2312" w:hAnsi="仿宋_GB2312" w:eastAsia="仿宋_GB2312" w:cs="仿宋_GB2312"/>
          <w:b/>
          <w:bCs/>
          <w:color w:val="000000"/>
          <w:sz w:val="32"/>
          <w:szCs w:val="32"/>
          <w:highlight w:val="none"/>
          <w:lang w:eastAsia="zh-CN"/>
        </w:rPr>
        <w:t>费支出</w:t>
      </w:r>
      <w:r>
        <w:rPr>
          <w:rFonts w:hint="eastAsia" w:ascii="仿宋_GB2312" w:hAnsi="仿宋_GB2312" w:eastAsia="仿宋_GB2312" w:cs="仿宋_GB2312"/>
          <w:color w:val="000000"/>
          <w:sz w:val="32"/>
          <w:szCs w:val="32"/>
          <w:highlight w:val="none"/>
          <w:lang w:val="en-US" w:eastAsia="zh-CN"/>
        </w:rPr>
        <w:t>0万元，无变化；</w:t>
      </w:r>
      <w:r>
        <w:rPr>
          <w:rFonts w:hint="eastAsia" w:ascii="仿宋_GB2312" w:hAnsi="仿宋_GB2312" w:eastAsia="仿宋_GB2312" w:cs="仿宋_GB2312"/>
          <w:b/>
          <w:bCs/>
          <w:color w:val="000000"/>
          <w:sz w:val="32"/>
          <w:szCs w:val="32"/>
          <w:highlight w:val="none"/>
          <w:lang w:val="en-US" w:eastAsia="zh-CN"/>
        </w:rPr>
        <w:t>公务用车</w:t>
      </w:r>
      <w:r>
        <w:rPr>
          <w:rFonts w:hint="eastAsia" w:ascii="仿宋_GB2312" w:hAnsi="仿宋_GB2312" w:eastAsia="仿宋_GB2312" w:cs="仿宋_GB2312"/>
          <w:b/>
          <w:bCs/>
          <w:color w:val="000000"/>
          <w:sz w:val="32"/>
          <w:szCs w:val="32"/>
          <w:highlight w:val="none"/>
        </w:rPr>
        <w:t>运行费</w:t>
      </w:r>
      <w:r>
        <w:rPr>
          <w:rFonts w:hint="eastAsia" w:ascii="仿宋_GB2312" w:hAnsi="仿宋_GB2312" w:eastAsia="仿宋_GB2312" w:cs="仿宋_GB2312"/>
          <w:color w:val="000000"/>
          <w:sz w:val="32"/>
          <w:szCs w:val="32"/>
          <w:highlight w:val="none"/>
        </w:rPr>
        <w:t>支出0万元</w:t>
      </w:r>
      <w:r>
        <w:rPr>
          <w:rFonts w:hint="eastAsia" w:ascii="仿宋_GB2312" w:hAnsi="仿宋_GB2312" w:eastAsia="仿宋_GB2312" w:cs="仿宋_GB2312"/>
          <w:color w:val="000000"/>
          <w:sz w:val="32"/>
          <w:szCs w:val="32"/>
          <w:highlight w:val="none"/>
          <w:lang w:eastAsia="zh-CN"/>
        </w:rPr>
        <w:t>，无变化。</w:t>
      </w:r>
    </w:p>
    <w:p w14:paraId="349D26FF">
      <w:pPr>
        <w:keepNext w:val="0"/>
        <w:keepLines w:val="0"/>
        <w:pageBreakBefore w:val="0"/>
        <w:widowControl w:val="0"/>
        <w:kinsoku/>
        <w:wordWrap/>
        <w:overflowPunct/>
        <w:topLinePunct w:val="0"/>
        <w:autoSpaceDE/>
        <w:autoSpaceDN/>
        <w:bidi w:val="0"/>
        <w:adjustRightInd/>
        <w:snapToGrid/>
        <w:spacing w:line="576" w:lineRule="exact"/>
        <w:ind w:firstLine="646"/>
        <w:textAlignment w:val="auto"/>
        <w:rPr>
          <w:rFonts w:hint="default" w:ascii="仿宋_GB2312" w:hAnsi="仿宋_GB2312" w:eastAsia="仿宋_GB2312" w:cs="仿宋_GB2312"/>
          <w:color w:val="000000"/>
          <w:sz w:val="32"/>
          <w:szCs w:val="32"/>
          <w:highlight w:val="none"/>
          <w:lang w:val="en-US"/>
        </w:rPr>
      </w:pPr>
      <w:r>
        <w:rPr>
          <w:rFonts w:hint="eastAsia" w:ascii="仿宋_GB2312" w:hAnsi="仿宋_GB2312" w:eastAsia="仿宋_GB2312" w:cs="仿宋_GB2312"/>
          <w:b/>
          <w:bCs/>
          <w:color w:val="000000"/>
          <w:sz w:val="32"/>
          <w:szCs w:val="32"/>
          <w:highlight w:val="none"/>
        </w:rPr>
        <w:t>3.公务接待费支出</w:t>
      </w:r>
      <w:r>
        <w:rPr>
          <w:rFonts w:hint="eastAsia" w:ascii="仿宋_GB2312" w:hAnsi="仿宋_GB2312" w:eastAsia="仿宋_GB2312" w:cs="仿宋_GB2312"/>
          <w:color w:val="000000"/>
          <w:sz w:val="32"/>
          <w:szCs w:val="32"/>
          <w:highlight w:val="none"/>
        </w:rPr>
        <w:t>0.1</w:t>
      </w: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万元，完成预算100%。公务接待费支出决算比202</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年</w:t>
      </w:r>
      <w:r>
        <w:rPr>
          <w:rFonts w:hint="eastAsia" w:ascii="仿宋_GB2312" w:hAnsi="仿宋_GB2312" w:eastAsia="仿宋_GB2312" w:cs="仿宋_GB2312"/>
          <w:color w:val="000000"/>
          <w:sz w:val="32"/>
          <w:szCs w:val="32"/>
          <w:highlight w:val="none"/>
          <w:lang w:eastAsia="zh-CN"/>
        </w:rPr>
        <w:t>减少</w:t>
      </w:r>
      <w:r>
        <w:rPr>
          <w:rFonts w:hint="eastAsia" w:ascii="仿宋_GB2312" w:hAnsi="仿宋_GB2312" w:eastAsia="仿宋_GB2312" w:cs="仿宋_GB2312"/>
          <w:color w:val="000000"/>
          <w:sz w:val="32"/>
          <w:szCs w:val="32"/>
          <w:highlight w:val="none"/>
        </w:rPr>
        <w:t>0.</w:t>
      </w:r>
      <w:r>
        <w:rPr>
          <w:rFonts w:hint="eastAsia" w:ascii="仿宋_GB2312" w:hAnsi="仿宋_GB2312" w:eastAsia="仿宋_GB2312" w:cs="仿宋_GB2312"/>
          <w:color w:val="000000"/>
          <w:sz w:val="32"/>
          <w:szCs w:val="32"/>
          <w:highlight w:val="none"/>
          <w:lang w:val="en-US" w:eastAsia="zh-CN"/>
        </w:rPr>
        <w:t>01</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下降</w:t>
      </w:r>
      <w:r>
        <w:rPr>
          <w:rFonts w:hint="eastAsia" w:ascii="仿宋_GB2312" w:hAnsi="仿宋_GB2312" w:eastAsia="仿宋_GB2312" w:cs="仿宋_GB2312"/>
          <w:color w:val="000000"/>
          <w:sz w:val="32"/>
          <w:szCs w:val="32"/>
          <w:highlight w:val="none"/>
          <w:lang w:val="en-US" w:eastAsia="zh-CN"/>
        </w:rPr>
        <w:t>7.14</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CN"/>
        </w:rPr>
        <w:t>下降</w:t>
      </w:r>
      <w:r>
        <w:rPr>
          <w:rFonts w:hint="eastAsia" w:ascii="仿宋_GB2312" w:hAnsi="仿宋_GB2312" w:eastAsia="仿宋_GB2312" w:cs="仿宋_GB2312"/>
          <w:color w:val="000000"/>
          <w:sz w:val="32"/>
          <w:szCs w:val="32"/>
          <w:highlight w:val="none"/>
        </w:rPr>
        <w:t>主要原因是</w:t>
      </w:r>
      <w:r>
        <w:rPr>
          <w:rFonts w:hint="eastAsia" w:ascii="仿宋_GB2312" w:hAnsi="仿宋_GB2312" w:eastAsia="仿宋_GB2312" w:cs="仿宋_GB2312"/>
          <w:color w:val="000000"/>
          <w:sz w:val="32"/>
          <w:szCs w:val="32"/>
          <w:highlight w:val="none"/>
          <w:lang w:eastAsia="zh-CN"/>
        </w:rPr>
        <w:t>相比</w:t>
      </w:r>
      <w:r>
        <w:rPr>
          <w:rFonts w:hint="eastAsia" w:ascii="仿宋_GB2312" w:hAnsi="仿宋_GB2312" w:eastAsia="仿宋_GB2312" w:cs="仿宋_GB2312"/>
          <w:color w:val="000000"/>
          <w:sz w:val="32"/>
          <w:szCs w:val="32"/>
          <w:highlight w:val="none"/>
          <w:lang w:val="en-US" w:eastAsia="zh-CN"/>
        </w:rPr>
        <w:t>2022年</w:t>
      </w:r>
      <w:r>
        <w:rPr>
          <w:rFonts w:hint="eastAsia" w:ascii="仿宋_GB2312" w:hAnsi="仿宋_GB2312" w:eastAsia="仿宋_GB2312" w:cs="仿宋_GB2312"/>
          <w:color w:val="000000"/>
          <w:sz w:val="32"/>
          <w:szCs w:val="32"/>
          <w:highlight w:val="none"/>
          <w:lang w:eastAsia="zh-CN"/>
        </w:rPr>
        <w:t>接待</w:t>
      </w:r>
      <w:r>
        <w:rPr>
          <w:rFonts w:hint="eastAsia" w:ascii="仿宋_GB2312" w:hAnsi="仿宋_GB2312" w:eastAsia="仿宋_GB2312" w:cs="仿宋_GB2312"/>
          <w:color w:val="000000"/>
          <w:sz w:val="32"/>
          <w:szCs w:val="32"/>
          <w:highlight w:val="none"/>
          <w:lang w:val="en-US" w:eastAsia="zh-CN"/>
        </w:rPr>
        <w:t>10人次,2023年接待7人次，接待人数减少，支出减少。</w:t>
      </w:r>
    </w:p>
    <w:p w14:paraId="2D79165F">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color w:val="000000"/>
          <w:sz w:val="32"/>
          <w:szCs w:val="32"/>
          <w:highlight w:val="none"/>
          <w:lang w:eastAsia="zh-CN"/>
        </w:rPr>
        <w:t>其中：</w:t>
      </w:r>
      <w:r>
        <w:rPr>
          <w:rFonts w:hint="eastAsia" w:ascii="仿宋_GB2312" w:hAnsi="仿宋_GB2312" w:eastAsia="仿宋_GB2312" w:cs="仿宋_GB2312"/>
          <w:b/>
          <w:bCs/>
          <w:color w:val="000000"/>
          <w:sz w:val="32"/>
          <w:szCs w:val="32"/>
          <w:highlight w:val="none"/>
        </w:rPr>
        <w:t>国内公务接待支出</w:t>
      </w:r>
      <w:r>
        <w:rPr>
          <w:rFonts w:hint="eastAsia" w:ascii="仿宋_GB2312" w:hAnsi="仿宋_GB2312" w:eastAsia="仿宋_GB2312" w:cs="仿宋_GB2312"/>
          <w:color w:val="000000"/>
          <w:sz w:val="32"/>
          <w:szCs w:val="32"/>
          <w:highlight w:val="none"/>
        </w:rPr>
        <w:t>0.1</w:t>
      </w: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万元，主要用于业务接待的用餐费。国内公务接待1批次，</w:t>
      </w:r>
      <w:r>
        <w:rPr>
          <w:rFonts w:hint="eastAsia" w:ascii="仿宋_GB2312" w:hAnsi="仿宋_GB2312" w:eastAsia="仿宋_GB2312" w:cs="仿宋_GB2312"/>
          <w:color w:val="000000"/>
          <w:sz w:val="32"/>
          <w:szCs w:val="32"/>
          <w:highlight w:val="none"/>
          <w:lang w:val="en-US" w:eastAsia="zh-CN"/>
        </w:rPr>
        <w:t>7</w:t>
      </w:r>
      <w:r>
        <w:rPr>
          <w:rFonts w:hint="eastAsia" w:ascii="仿宋_GB2312" w:hAnsi="仿宋_GB2312" w:eastAsia="仿宋_GB2312" w:cs="仿宋_GB2312"/>
          <w:color w:val="000000"/>
          <w:sz w:val="32"/>
          <w:szCs w:val="32"/>
          <w:highlight w:val="none"/>
        </w:rPr>
        <w:t>人次（不包括陪同人员），共计支出0.1</w:t>
      </w: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sz w:val="32"/>
          <w:szCs w:val="32"/>
          <w:highlight w:val="none"/>
        </w:rPr>
        <w:t>具体内容包括：接待202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年10月</w:t>
      </w: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eastAsia="zh-CN"/>
        </w:rPr>
        <w:t>省、州供销社来我社对政策制度建设、供销为农服务综合平台试点县建设推进、推进三社融合、加强基层社建设、县域流通服务网络建设、农资农产品销售体系建设、数字供销建设、安全生产等情况开展调研工作。</w:t>
      </w:r>
    </w:p>
    <w:p w14:paraId="2E09732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color w:val="FF0000"/>
          <w:sz w:val="32"/>
          <w:szCs w:val="32"/>
          <w:highlight w:val="none"/>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，无变化。</w:t>
      </w:r>
    </w:p>
    <w:p w14:paraId="6C0E2F9D">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1"/>
        <w:rPr>
          <w:rStyle w:val="29"/>
          <w:rFonts w:ascii="黑体" w:hAnsi="黑体" w:eastAsia="黑体"/>
          <w:highlight w:val="none"/>
        </w:rPr>
      </w:pPr>
      <w:bookmarkStart w:id="74" w:name="_Toc15377218"/>
      <w:bookmarkStart w:id="75" w:name="_Toc15396610"/>
      <w:bookmarkStart w:id="76" w:name="_Toc79163622"/>
      <w:bookmarkStart w:id="77" w:name="_Toc79163872"/>
      <w:r>
        <w:rPr>
          <w:rFonts w:hint="eastAsia" w:ascii="黑体" w:eastAsia="黑体"/>
          <w:color w:val="000000"/>
          <w:sz w:val="32"/>
          <w:szCs w:val="32"/>
          <w:highlight w:val="none"/>
        </w:rPr>
        <w:t>八、</w:t>
      </w:r>
      <w:r>
        <w:rPr>
          <w:rStyle w:val="29"/>
          <w:rFonts w:hint="eastAsia" w:ascii="黑体" w:hAnsi="黑体" w:eastAsia="黑体"/>
          <w:b w:val="0"/>
          <w:highlight w:val="none"/>
        </w:rPr>
        <w:t>政府性基金预算支出决算情况说明</w:t>
      </w:r>
      <w:bookmarkEnd w:id="74"/>
      <w:bookmarkEnd w:id="75"/>
      <w:bookmarkEnd w:id="76"/>
      <w:bookmarkEnd w:id="77"/>
    </w:p>
    <w:p w14:paraId="784720E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因我社不涉及</w:t>
      </w:r>
      <w:r>
        <w:rPr>
          <w:rFonts w:hint="eastAsia" w:ascii="仿宋_GB2312" w:hAnsi="仿宋_GB2312" w:eastAsia="仿宋_GB2312" w:cs="仿宋_GB2312"/>
          <w:sz w:val="32"/>
          <w:szCs w:val="32"/>
          <w:highlight w:val="none"/>
        </w:rPr>
        <w:t>政府性基金</w:t>
      </w:r>
      <w:r>
        <w:rPr>
          <w:rFonts w:hint="eastAsia" w:ascii="仿宋_GB2312" w:hAnsi="仿宋_GB2312" w:eastAsia="仿宋_GB2312" w:cs="仿宋_GB2312"/>
          <w:sz w:val="32"/>
          <w:szCs w:val="32"/>
          <w:highlight w:val="none"/>
          <w:lang w:eastAsia="zh-CN"/>
        </w:rPr>
        <w:t>预算支出，所以</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年政府性基金预算拨款支出0万元。</w:t>
      </w:r>
    </w:p>
    <w:p w14:paraId="194AC0B4">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Style w:val="29"/>
          <w:rFonts w:ascii="黑体" w:hAnsi="黑体" w:eastAsia="黑体"/>
          <w:b w:val="0"/>
          <w:highlight w:val="none"/>
        </w:rPr>
      </w:pPr>
      <w:bookmarkStart w:id="78" w:name="_Toc15377219"/>
      <w:bookmarkStart w:id="79" w:name="_Toc79163873"/>
      <w:bookmarkStart w:id="80" w:name="_Toc79163623"/>
      <w:bookmarkStart w:id="81" w:name="_Toc15396611"/>
      <w:r>
        <w:rPr>
          <w:rStyle w:val="29"/>
          <w:rFonts w:hint="eastAsia" w:ascii="黑体" w:hAnsi="黑体" w:eastAsia="黑体"/>
          <w:b w:val="0"/>
          <w:highlight w:val="none"/>
          <w:lang w:eastAsia="zh-CN"/>
        </w:rPr>
        <w:t>九、</w:t>
      </w:r>
      <w:r>
        <w:rPr>
          <w:rStyle w:val="29"/>
          <w:rFonts w:hint="eastAsia" w:ascii="黑体" w:hAnsi="黑体" w:eastAsia="黑体"/>
          <w:b w:val="0"/>
          <w:highlight w:val="none"/>
        </w:rPr>
        <w:t>国有资本经营预算支出决算情况说明</w:t>
      </w:r>
      <w:bookmarkEnd w:id="78"/>
      <w:bookmarkEnd w:id="79"/>
      <w:bookmarkEnd w:id="80"/>
      <w:bookmarkEnd w:id="81"/>
    </w:p>
    <w:p w14:paraId="7638184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因我社不涉及国有资本经营预算支出，所以</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年国有资本经营预算拨款支出0万元。</w:t>
      </w:r>
    </w:p>
    <w:p w14:paraId="3A3A835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29"/>
          <w:rFonts w:ascii="黑体" w:hAnsi="黑体" w:eastAsia="黑体"/>
        </w:rPr>
      </w:pPr>
      <w:bookmarkStart w:id="82" w:name="_Toc79163624"/>
      <w:bookmarkStart w:id="83" w:name="_Toc15377221"/>
      <w:bookmarkStart w:id="84" w:name="_Toc15396612"/>
      <w:bookmarkStart w:id="85" w:name="_Toc79163874"/>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82"/>
      <w:bookmarkEnd w:id="83"/>
      <w:bookmarkEnd w:id="84"/>
      <w:bookmarkEnd w:id="85"/>
    </w:p>
    <w:p w14:paraId="39CA632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86" w:name="_Toc79163625"/>
      <w:bookmarkStart w:id="87" w:name="_Toc79163875"/>
      <w:bookmarkStart w:id="88" w:name="_Toc15377222"/>
      <w:r>
        <w:rPr>
          <w:rFonts w:hint="eastAsia" w:ascii="楷体_GB2312" w:hAnsi="楷体_GB2312" w:eastAsia="楷体_GB2312" w:cs="楷体_GB2312"/>
          <w:b/>
          <w:bCs/>
          <w:sz w:val="32"/>
          <w:szCs w:val="32"/>
        </w:rPr>
        <w:t>（一）机关运行经费支出情况</w:t>
      </w:r>
      <w:bookmarkEnd w:id="86"/>
      <w:bookmarkEnd w:id="87"/>
      <w:bookmarkEnd w:id="88"/>
    </w:p>
    <w:p w14:paraId="3991BB7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年，茂县供销社机关运行经费支出</w:t>
      </w:r>
      <w:r>
        <w:rPr>
          <w:rFonts w:hint="eastAsia" w:ascii="仿宋_GB2312" w:hAnsi="仿宋_GB2312" w:eastAsia="仿宋_GB2312" w:cs="仿宋_GB2312"/>
          <w:sz w:val="32"/>
          <w:szCs w:val="32"/>
          <w:highlight w:val="none"/>
          <w:lang w:val="en-US" w:eastAsia="zh-CN"/>
        </w:rPr>
        <w:t>6.4</w:t>
      </w:r>
      <w:r>
        <w:rPr>
          <w:rFonts w:hint="eastAsia" w:ascii="仿宋_GB2312" w:hAnsi="仿宋_GB2312" w:eastAsia="仿宋_GB2312" w:cs="仿宋_GB2312"/>
          <w:sz w:val="32"/>
          <w:szCs w:val="32"/>
          <w:highlight w:val="none"/>
          <w:lang w:eastAsia="zh-CN"/>
        </w:rPr>
        <w:t>万元，比202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年增加</w:t>
      </w:r>
      <w:r>
        <w:rPr>
          <w:rFonts w:hint="eastAsia" w:ascii="仿宋_GB2312" w:hAnsi="仿宋_GB2312" w:eastAsia="仿宋_GB2312" w:cs="仿宋_GB2312"/>
          <w:sz w:val="32"/>
          <w:szCs w:val="32"/>
          <w:highlight w:val="none"/>
          <w:lang w:val="en-US" w:eastAsia="zh-CN"/>
        </w:rPr>
        <w:t>0.79</w:t>
      </w:r>
      <w:r>
        <w:rPr>
          <w:rFonts w:hint="eastAsia" w:ascii="仿宋_GB2312" w:hAnsi="仿宋_GB2312" w:eastAsia="仿宋_GB2312" w:cs="仿宋_GB2312"/>
          <w:sz w:val="32"/>
          <w:szCs w:val="32"/>
          <w:highlight w:val="none"/>
          <w:lang w:eastAsia="zh-CN"/>
        </w:rPr>
        <w:t>万元，增加</w:t>
      </w:r>
      <w:r>
        <w:rPr>
          <w:rFonts w:hint="eastAsia" w:ascii="仿宋_GB2312" w:hAnsi="仿宋_GB2312" w:eastAsia="仿宋_GB2312" w:cs="仿宋_GB2312"/>
          <w:sz w:val="32"/>
          <w:szCs w:val="32"/>
          <w:highlight w:val="none"/>
          <w:lang w:val="en-US" w:eastAsia="zh-CN"/>
        </w:rPr>
        <w:t>14.08</w:t>
      </w:r>
      <w:r>
        <w:rPr>
          <w:rFonts w:hint="eastAsia" w:ascii="仿宋_GB2312" w:hAnsi="仿宋_GB2312" w:eastAsia="仿宋_GB2312" w:cs="仿宋_GB2312"/>
          <w:sz w:val="32"/>
          <w:szCs w:val="32"/>
          <w:highlight w:val="none"/>
          <w:lang w:eastAsia="zh-CN"/>
        </w:rPr>
        <w:t>%。主要原因是我社新增驻村人员一名，相应机关运行经费增加。</w:t>
      </w:r>
    </w:p>
    <w:p w14:paraId="7F223B7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highlight w:val="none"/>
        </w:rPr>
      </w:pPr>
      <w:bookmarkStart w:id="89" w:name="_Toc15377223"/>
      <w:bookmarkStart w:id="90" w:name="_Toc79163626"/>
      <w:bookmarkStart w:id="91" w:name="_Toc79163876"/>
      <w:r>
        <w:rPr>
          <w:rFonts w:hint="eastAsia" w:ascii="楷体_GB2312" w:hAnsi="楷体_GB2312" w:eastAsia="楷体_GB2312" w:cs="楷体_GB2312"/>
          <w:b/>
          <w:bCs/>
          <w:sz w:val="32"/>
          <w:szCs w:val="32"/>
          <w:highlight w:val="none"/>
        </w:rPr>
        <w:t>（二）政府采购支出情况</w:t>
      </w:r>
      <w:bookmarkEnd w:id="89"/>
      <w:bookmarkEnd w:id="90"/>
      <w:bookmarkEnd w:id="91"/>
    </w:p>
    <w:p w14:paraId="1B2118A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年，政府采购支出总额</w:t>
      </w:r>
      <w:r>
        <w:rPr>
          <w:rFonts w:hint="eastAsia" w:ascii="仿宋_GB2312" w:hAnsi="仿宋_GB2312" w:eastAsia="仿宋_GB2312" w:cs="仿宋_GB2312"/>
          <w:sz w:val="32"/>
          <w:szCs w:val="32"/>
          <w:highlight w:val="none"/>
          <w:lang w:val="en-US" w:eastAsia="zh-CN"/>
        </w:rPr>
        <w:t>139.77</w:t>
      </w:r>
      <w:r>
        <w:rPr>
          <w:rFonts w:hint="eastAsia" w:ascii="仿宋_GB2312" w:hAnsi="仿宋_GB2312" w:eastAsia="仿宋_GB2312" w:cs="仿宋_GB2312"/>
          <w:sz w:val="32"/>
          <w:szCs w:val="32"/>
          <w:highlight w:val="none"/>
        </w:rPr>
        <w:t>万元。其中:政府采购货物支出</w:t>
      </w:r>
      <w:r>
        <w:rPr>
          <w:rFonts w:hint="eastAsia" w:ascii="仿宋_GB2312" w:hAnsi="仿宋_GB2312" w:eastAsia="仿宋_GB2312" w:cs="仿宋_GB2312"/>
          <w:sz w:val="32"/>
          <w:szCs w:val="32"/>
          <w:highlight w:val="none"/>
          <w:lang w:val="en-US" w:eastAsia="zh-CN"/>
        </w:rPr>
        <w:t>139.77</w:t>
      </w:r>
      <w:r>
        <w:rPr>
          <w:rFonts w:hint="eastAsia" w:ascii="仿宋_GB2312" w:hAnsi="仿宋_GB2312" w:eastAsia="仿宋_GB2312" w:cs="仿宋_GB2312"/>
          <w:sz w:val="32"/>
          <w:szCs w:val="32"/>
          <w:highlight w:val="none"/>
        </w:rPr>
        <w:t>万元、政府采购工程支出0万元、政府采购服务支出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万元。授予中小企业合同金额</w:t>
      </w:r>
      <w:r>
        <w:rPr>
          <w:rFonts w:hint="eastAsia" w:ascii="仿宋_GB2312" w:hAnsi="仿宋_GB2312" w:eastAsia="仿宋_GB2312" w:cs="仿宋_GB2312"/>
          <w:sz w:val="32"/>
          <w:szCs w:val="32"/>
          <w:highlight w:val="none"/>
          <w:lang w:val="en-US" w:eastAsia="zh-CN"/>
        </w:rPr>
        <w:t>139.77</w:t>
      </w:r>
      <w:r>
        <w:rPr>
          <w:rFonts w:hint="eastAsia" w:ascii="仿宋_GB2312" w:hAnsi="仿宋_GB2312" w:eastAsia="仿宋_GB2312" w:cs="仿宋_GB2312"/>
          <w:sz w:val="32"/>
          <w:szCs w:val="32"/>
          <w:highlight w:val="none"/>
        </w:rPr>
        <w:t>万元，其中：授予小微企业合同金额</w:t>
      </w:r>
      <w:r>
        <w:rPr>
          <w:rFonts w:hint="eastAsia" w:ascii="仿宋_GB2312" w:hAnsi="仿宋_GB2312" w:eastAsia="仿宋_GB2312" w:cs="仿宋_GB2312"/>
          <w:sz w:val="32"/>
          <w:szCs w:val="32"/>
          <w:highlight w:val="none"/>
          <w:lang w:val="en-US" w:eastAsia="zh-CN"/>
        </w:rPr>
        <w:t>139.77</w:t>
      </w:r>
      <w:r>
        <w:rPr>
          <w:rFonts w:hint="eastAsia" w:ascii="仿宋_GB2312" w:hAnsi="仿宋_GB2312" w:eastAsia="仿宋_GB2312" w:cs="仿宋_GB2312"/>
          <w:sz w:val="32"/>
          <w:szCs w:val="32"/>
          <w:highlight w:val="none"/>
        </w:rPr>
        <w:t>万元，占合同的</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0%</w:t>
      </w:r>
      <w:r>
        <w:rPr>
          <w:rFonts w:hint="eastAsia" w:ascii="仿宋_GB2312" w:hAnsi="仿宋_GB2312" w:eastAsia="仿宋_GB2312" w:cs="仿宋_GB2312"/>
          <w:sz w:val="32"/>
          <w:szCs w:val="32"/>
          <w:highlight w:val="none"/>
          <w:lang w:eastAsia="zh-CN"/>
        </w:rPr>
        <w:t>。</w:t>
      </w:r>
    </w:p>
    <w:p w14:paraId="66EB6B8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92" w:name="_Toc15377224"/>
      <w:bookmarkStart w:id="93" w:name="_Toc79163877"/>
      <w:bookmarkStart w:id="94" w:name="_Toc79163627"/>
      <w:r>
        <w:rPr>
          <w:rFonts w:hint="eastAsia" w:ascii="楷体_GB2312" w:hAnsi="楷体_GB2312" w:eastAsia="楷体_GB2312" w:cs="楷体_GB2312"/>
          <w:b/>
          <w:bCs/>
          <w:sz w:val="32"/>
          <w:szCs w:val="32"/>
        </w:rPr>
        <w:t>（三）国有资产占有使用情况</w:t>
      </w:r>
      <w:bookmarkEnd w:id="92"/>
      <w:bookmarkEnd w:id="93"/>
      <w:bookmarkEnd w:id="94"/>
    </w:p>
    <w:p w14:paraId="61AD08C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年12月31日，茂县供销合作社联合社共有车辆0辆。</w:t>
      </w:r>
    </w:p>
    <w:p w14:paraId="7F4BED6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highlight w:val="none"/>
        </w:rPr>
      </w:pPr>
      <w:bookmarkStart w:id="95" w:name="_Toc79163878"/>
      <w:bookmarkStart w:id="96" w:name="_Toc79163628"/>
      <w:r>
        <w:rPr>
          <w:rFonts w:hint="eastAsia" w:ascii="楷体_GB2312" w:hAnsi="楷体_GB2312" w:eastAsia="楷体_GB2312" w:cs="楷体_GB2312"/>
          <w:b/>
          <w:bCs/>
          <w:sz w:val="32"/>
          <w:szCs w:val="32"/>
          <w:highlight w:val="none"/>
        </w:rPr>
        <w:t>（四）预算绩效管理情况</w:t>
      </w:r>
      <w:bookmarkEnd w:id="95"/>
      <w:bookmarkEnd w:id="96"/>
    </w:p>
    <w:p w14:paraId="5C25BAF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根据预算绩效管理要求，本部门（单位）在年初预算编制阶段，组织对202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年茂县供销合作社“茂农服”数字平台项目、202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年茂县数字农业服务平台扩建</w:t>
      </w:r>
      <w:r>
        <w:rPr>
          <w:rFonts w:hint="eastAsia" w:ascii="仿宋_GB2312" w:hAnsi="仿宋_GB2312" w:eastAsia="仿宋_GB2312" w:cs="仿宋_GB2312"/>
          <w:sz w:val="32"/>
          <w:szCs w:val="32"/>
          <w:highlight w:val="none"/>
          <w:lang w:eastAsia="zh-CN"/>
        </w:rPr>
        <w:t>项目</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茂县供销合作社联合社交流交往交融项目、2023年农资储备和价格补贴专项经费项目开展了预算事前绩效评估，对4个项目编制了绩效目标，预算执行过程中，选取该项目开展绩效监控，年终执行完毕后，对该项目开展了绩效目标完成情况自评，</w:t>
      </w:r>
      <w:r>
        <w:rPr>
          <w:rFonts w:ascii="仿宋_GB2312" w:hAnsi="仿宋_GB2312" w:eastAsia="仿宋_GB2312" w:cs="仿宋_GB2312"/>
          <w:sz w:val="32"/>
          <w:szCs w:val="32"/>
          <w:highlight w:val="none"/>
        </w:rPr>
        <w:t>绩效自评表详见第四部分附件</w:t>
      </w:r>
      <w:r>
        <w:rPr>
          <w:rFonts w:hint="eastAsia" w:ascii="仿宋_GB2312" w:hAnsi="仿宋_GB2312" w:eastAsia="仿宋_GB2312" w:cs="仿宋_GB2312"/>
          <w:sz w:val="32"/>
          <w:szCs w:val="32"/>
          <w:highlight w:val="none"/>
        </w:rPr>
        <w:t>。</w:t>
      </w:r>
    </w:p>
    <w:p w14:paraId="080A4B90">
      <w:pPr>
        <w:keepNext w:val="0"/>
        <w:keepLines w:val="0"/>
        <w:pageBreakBefore w:val="0"/>
        <w:widowControl w:val="0"/>
        <w:kinsoku/>
        <w:wordWrap/>
        <w:overflowPunct/>
        <w:topLinePunct w:val="0"/>
        <w:autoSpaceDE/>
        <w:autoSpaceDN/>
        <w:bidi w:val="0"/>
        <w:adjustRightInd/>
        <w:snapToGrid/>
        <w:spacing w:line="576" w:lineRule="exact"/>
        <w:textAlignment w:val="auto"/>
        <w:rPr>
          <w:rFonts w:ascii="仿宋_GB2312" w:hAnsi="仿宋_GB2312" w:eastAsia="仿宋_GB2312" w:cs="仿宋_GB2312"/>
          <w:sz w:val="32"/>
          <w:szCs w:val="32"/>
        </w:rPr>
      </w:pPr>
    </w:p>
    <w:p w14:paraId="2F8248B4">
      <w:pPr>
        <w:pStyle w:val="19"/>
        <w:rPr>
          <w:rFonts w:ascii="仿宋_GB2312" w:hAnsi="仿宋_GB2312" w:eastAsia="仿宋_GB2312" w:cs="仿宋_GB2312"/>
          <w:sz w:val="32"/>
          <w:szCs w:val="32"/>
        </w:rPr>
      </w:pPr>
    </w:p>
    <w:p w14:paraId="3B1A6029">
      <w:pPr>
        <w:rPr>
          <w:rFonts w:ascii="仿宋_GB2312" w:hAnsi="仿宋_GB2312" w:eastAsia="仿宋_GB2312" w:cs="仿宋_GB2312"/>
          <w:sz w:val="32"/>
          <w:szCs w:val="32"/>
        </w:rPr>
      </w:pPr>
    </w:p>
    <w:p w14:paraId="3246F30F">
      <w:pPr>
        <w:pStyle w:val="19"/>
        <w:rPr>
          <w:rFonts w:ascii="仿宋_GB2312" w:hAnsi="仿宋_GB2312" w:eastAsia="仿宋_GB2312" w:cs="仿宋_GB2312"/>
          <w:sz w:val="32"/>
          <w:szCs w:val="32"/>
        </w:rPr>
      </w:pPr>
    </w:p>
    <w:p w14:paraId="61DEC723">
      <w:pPr>
        <w:rPr>
          <w:rFonts w:ascii="仿宋_GB2312" w:hAnsi="仿宋_GB2312" w:eastAsia="仿宋_GB2312" w:cs="仿宋_GB2312"/>
          <w:sz w:val="32"/>
          <w:szCs w:val="32"/>
        </w:rPr>
      </w:pPr>
    </w:p>
    <w:p w14:paraId="5F5C45B4">
      <w:pPr>
        <w:pStyle w:val="19"/>
        <w:rPr>
          <w:rFonts w:ascii="仿宋_GB2312" w:hAnsi="仿宋_GB2312" w:eastAsia="仿宋_GB2312" w:cs="仿宋_GB2312"/>
          <w:sz w:val="32"/>
          <w:szCs w:val="32"/>
        </w:rPr>
      </w:pPr>
    </w:p>
    <w:p w14:paraId="0E9BADC4">
      <w:pPr>
        <w:rPr>
          <w:rFonts w:ascii="仿宋_GB2312" w:hAnsi="仿宋_GB2312" w:eastAsia="仿宋_GB2312" w:cs="仿宋_GB2312"/>
          <w:sz w:val="32"/>
          <w:szCs w:val="32"/>
        </w:rPr>
      </w:pPr>
    </w:p>
    <w:p w14:paraId="7B5C4D6C">
      <w:pPr>
        <w:pStyle w:val="19"/>
        <w:rPr>
          <w:rFonts w:ascii="仿宋_GB2312" w:hAnsi="仿宋_GB2312" w:eastAsia="仿宋_GB2312" w:cs="仿宋_GB2312"/>
          <w:sz w:val="32"/>
          <w:szCs w:val="32"/>
        </w:rPr>
      </w:pPr>
    </w:p>
    <w:p w14:paraId="6BF6DBA7">
      <w:pPr>
        <w:rPr>
          <w:rFonts w:ascii="仿宋_GB2312" w:hAnsi="仿宋_GB2312" w:eastAsia="仿宋_GB2312" w:cs="仿宋_GB2312"/>
          <w:sz w:val="32"/>
          <w:szCs w:val="32"/>
        </w:rPr>
      </w:pPr>
    </w:p>
    <w:p w14:paraId="7DF86C0A">
      <w:pPr>
        <w:pStyle w:val="19"/>
        <w:rPr>
          <w:rFonts w:ascii="仿宋_GB2312" w:hAnsi="仿宋_GB2312" w:eastAsia="仿宋_GB2312" w:cs="仿宋_GB2312"/>
          <w:sz w:val="32"/>
          <w:szCs w:val="32"/>
        </w:rPr>
      </w:pPr>
    </w:p>
    <w:p w14:paraId="7A00DD49">
      <w:pPr>
        <w:rPr>
          <w:rFonts w:ascii="仿宋_GB2312" w:hAnsi="仿宋_GB2312" w:eastAsia="仿宋_GB2312" w:cs="仿宋_GB2312"/>
          <w:sz w:val="32"/>
          <w:szCs w:val="32"/>
        </w:rPr>
      </w:pPr>
    </w:p>
    <w:p w14:paraId="6E757433">
      <w:pPr>
        <w:pStyle w:val="19"/>
        <w:rPr>
          <w:rFonts w:ascii="仿宋_GB2312" w:hAnsi="仿宋_GB2312" w:eastAsia="仿宋_GB2312" w:cs="仿宋_GB2312"/>
          <w:sz w:val="32"/>
          <w:szCs w:val="32"/>
        </w:rPr>
      </w:pPr>
    </w:p>
    <w:p w14:paraId="05273E61">
      <w:pPr>
        <w:rPr>
          <w:rFonts w:ascii="仿宋_GB2312" w:hAnsi="仿宋_GB2312" w:eastAsia="仿宋_GB2312" w:cs="仿宋_GB2312"/>
          <w:sz w:val="32"/>
          <w:szCs w:val="32"/>
        </w:rPr>
      </w:pPr>
    </w:p>
    <w:p w14:paraId="7EEA3655">
      <w:pPr>
        <w:pStyle w:val="19"/>
        <w:rPr>
          <w:rFonts w:ascii="仿宋_GB2312" w:hAnsi="仿宋_GB2312" w:eastAsia="仿宋_GB2312" w:cs="仿宋_GB2312"/>
          <w:sz w:val="32"/>
          <w:szCs w:val="32"/>
        </w:rPr>
      </w:pPr>
    </w:p>
    <w:p w14:paraId="3045E780">
      <w:pPr>
        <w:rPr>
          <w:rFonts w:ascii="仿宋_GB2312" w:hAnsi="仿宋_GB2312" w:eastAsia="仿宋_GB2312" w:cs="仿宋_GB2312"/>
          <w:sz w:val="32"/>
          <w:szCs w:val="32"/>
        </w:rPr>
      </w:pPr>
    </w:p>
    <w:p w14:paraId="09671F3F">
      <w:pPr>
        <w:pStyle w:val="19"/>
      </w:pPr>
    </w:p>
    <w:p w14:paraId="382E7D0F">
      <w:pPr>
        <w:numPr>
          <w:ilvl w:val="0"/>
          <w:numId w:val="0"/>
        </w:numPr>
        <w:spacing w:line="600" w:lineRule="exact"/>
        <w:ind w:left="2730" w:leftChars="0"/>
        <w:outlineLvl w:val="0"/>
        <w:rPr>
          <w:rStyle w:val="28"/>
          <w:rFonts w:hint="eastAsia" w:ascii="方正小标宋简体" w:hAnsi="方正小标宋简体" w:eastAsia="方正小标宋简体" w:cs="方正小标宋简体"/>
          <w:b w:val="0"/>
        </w:rPr>
      </w:pPr>
      <w:bookmarkStart w:id="97" w:name="_Toc79163629"/>
      <w:bookmarkStart w:id="98" w:name="_Toc15377225"/>
      <w:bookmarkStart w:id="99" w:name="_Toc15396613"/>
      <w:bookmarkStart w:id="100" w:name="_Toc79163879"/>
      <w:r>
        <w:rPr>
          <w:rFonts w:hint="eastAsia" w:ascii="方正小标宋简体" w:hAnsi="方正小标宋简体" w:eastAsia="方正小标宋简体" w:cs="方正小标宋简体"/>
          <w:color w:val="000000"/>
          <w:sz w:val="44"/>
          <w:szCs w:val="44"/>
          <w:lang w:eastAsia="zh-CN"/>
        </w:rPr>
        <w:t>第三部分</w:t>
      </w:r>
      <w:r>
        <w:rPr>
          <w:rFonts w:hint="eastAsia" w:ascii="方正小标宋简体" w:hAnsi="方正小标宋简体" w:eastAsia="方正小标宋简体" w:cs="方正小标宋简体"/>
          <w:color w:val="000000"/>
          <w:sz w:val="44"/>
          <w:szCs w:val="44"/>
          <w:lang w:val="en-US" w:eastAsia="zh-CN"/>
        </w:rPr>
        <w:t xml:space="preserve"> </w:t>
      </w:r>
      <w:r>
        <w:rPr>
          <w:rFonts w:hint="eastAsia" w:ascii="方正小标宋简体" w:hAnsi="方正小标宋简体" w:eastAsia="方正小标宋简体" w:cs="方正小标宋简体"/>
          <w:color w:val="000000"/>
          <w:sz w:val="44"/>
          <w:szCs w:val="44"/>
        </w:rPr>
        <w:t>名</w:t>
      </w:r>
      <w:r>
        <w:rPr>
          <w:rStyle w:val="28"/>
          <w:rFonts w:hint="eastAsia" w:ascii="方正小标宋简体" w:hAnsi="方正小标宋简体" w:eastAsia="方正小标宋简体" w:cs="方正小标宋简体"/>
          <w:b w:val="0"/>
        </w:rPr>
        <w:t>词解释</w:t>
      </w:r>
      <w:bookmarkEnd w:id="97"/>
      <w:bookmarkEnd w:id="98"/>
      <w:bookmarkEnd w:id="99"/>
      <w:bookmarkEnd w:id="100"/>
    </w:p>
    <w:p w14:paraId="76B6DFBC">
      <w:pPr>
        <w:spacing w:line="600" w:lineRule="exact"/>
        <w:jc w:val="left"/>
        <w:rPr>
          <w:rFonts w:ascii="宋体"/>
          <w:b/>
          <w:color w:val="000000"/>
          <w:sz w:val="44"/>
          <w:szCs w:val="44"/>
        </w:rPr>
      </w:pPr>
    </w:p>
    <w:p w14:paraId="6A641E5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财政拨款收入：指单位从同级财政部门取得的财政预算资金。</w:t>
      </w:r>
    </w:p>
    <w:p w14:paraId="5ADF021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事业收入：指事业单位开展专业业务活动及辅助活动取得的收入。</w:t>
      </w:r>
    </w:p>
    <w:p w14:paraId="04D4F0B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经营收入：指事业单位在专业业务活动及其辅助活动之外开展非独立核算经营活动取得的收入。</w:t>
      </w:r>
    </w:p>
    <w:p w14:paraId="026C079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其他收入：指单位取得的除上述收入以外的各项收入。</w:t>
      </w:r>
    </w:p>
    <w:p w14:paraId="194D3C3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使用非财政拨款结余：指事业单位使用以前年度积累的非财政拨款结余弥补当年收支差额的金额。</w:t>
      </w:r>
      <w:r>
        <w:rPr>
          <w:rFonts w:ascii="仿宋_GB2312" w:hAnsi="仿宋_GB2312" w:eastAsia="仿宋_GB2312" w:cs="仿宋_GB2312"/>
          <w:sz w:val="32"/>
          <w:szCs w:val="32"/>
        </w:rPr>
        <w:t xml:space="preserve"> </w:t>
      </w:r>
    </w:p>
    <w:p w14:paraId="1B3DC84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年初结转和结余：指以前年度尚未完成、结转到本年按有关规定继续使用的资金。</w:t>
      </w:r>
      <w:r>
        <w:rPr>
          <w:rFonts w:ascii="仿宋_GB2312" w:hAnsi="仿宋_GB2312" w:eastAsia="仿宋_GB2312" w:cs="仿宋_GB2312"/>
          <w:sz w:val="32"/>
          <w:szCs w:val="32"/>
        </w:rPr>
        <w:t xml:space="preserve"> </w:t>
      </w:r>
    </w:p>
    <w:p w14:paraId="337DA6A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结余分配：指事业单位按照会计制度规定缴纳的所得税、提取的专用结余以及转入非财政拨款结余的金额等。</w:t>
      </w:r>
    </w:p>
    <w:p w14:paraId="467A475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、年末结转和结余：指单位按有关规定结转到下年或以后年度继续使用的资金。</w:t>
      </w:r>
    </w:p>
    <w:p w14:paraId="766B9BE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9.一般公共服务商业服务业（类）商业流通事务（款）行政运行（项）：指</w:t>
      </w:r>
      <w:r>
        <w:rPr>
          <w:rFonts w:ascii="仿宋_GB2312" w:hAnsi="仿宋_GB2312" w:eastAsia="仿宋_GB2312" w:cs="仿宋_GB2312"/>
          <w:sz w:val="32"/>
          <w:szCs w:val="32"/>
        </w:rPr>
        <w:t>用于保障机构正常运行、开展日常工作</w:t>
      </w:r>
      <w:r>
        <w:rPr>
          <w:rFonts w:hint="eastAsia" w:ascii="仿宋_GB2312" w:hAnsi="仿宋_GB2312" w:eastAsia="仿宋_GB2312" w:cs="仿宋_GB2312"/>
          <w:sz w:val="32"/>
          <w:szCs w:val="32"/>
        </w:rPr>
        <w:t>的基本支出。</w:t>
      </w:r>
    </w:p>
    <w:p w14:paraId="6E22263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10.一般公共服务商业服务业（类）商业流通事务（款）其他商业流通事务（项）：指其他用于商业流通事务方面的支出。</w:t>
      </w:r>
    </w:p>
    <w:p w14:paraId="7EF6E48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11.一般公共服务商业服务业（类）商业流通事务（款）民贸民品贷款贴息（项）：指对从事民贸民品生产销售企业贷款贴息。</w:t>
      </w:r>
    </w:p>
    <w:p w14:paraId="1258B7D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12.社会保障和就业（类）行政事业单位离退休（款）机关事业单位基本养老保险缴费（项）：指部门实施养老保险制度由单位缴纳的养老保险费的支出。 </w:t>
      </w:r>
    </w:p>
    <w:p w14:paraId="629F80C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13.社会保障和就业（类）行政事业单位离退休（款）机关事业单位职业年金缴费（项）：指部门实施养老保险制度由单位缴纳的职业年金的支出。 </w:t>
      </w:r>
    </w:p>
    <w:p w14:paraId="4D5B1FD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14.医疗卫生与计划生育（类）行政事业单位医疗（款）行政单位医疗（项）：指厅机关及参公管理事业单位用于缴纳单位基本医疗保险支出。 </w:t>
      </w:r>
    </w:p>
    <w:p w14:paraId="45A0041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15.住房保障支出（类）住房公积金（款）住房公积金（项）：指行政事业单位按规定为职工缴纳的住房公积金。</w:t>
      </w:r>
    </w:p>
    <w:p w14:paraId="076EFB0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16.住房保障支出（类）住房改革支出（款）住房公积金住房改革支出（款）购房补贴（项）：指行政事业单位按规定为职工支付的购房补贴。</w:t>
      </w:r>
    </w:p>
    <w:p w14:paraId="6EEF4F6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17.农林水支出（类）农业（款）农业生产支持补贴（项）：指反映对种粮农民直接补贴，对农业生产资料补贴、技术物化补贴，推广先进适用农机农艺技术等方面支出。</w:t>
      </w:r>
    </w:p>
    <w:p w14:paraId="050FA47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18.农林水支出（类）农业（款）其他农业支出（项）：指反映其他用于农业方面的支出。</w:t>
      </w:r>
    </w:p>
    <w:p w14:paraId="1899CB3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基本支出：指为保障机构正常运转、完成日常工作任务而发生的人员支出和公用支出。</w:t>
      </w:r>
    </w:p>
    <w:p w14:paraId="0F5EC46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项目支出：指在基本支出之外为完成特定行政任务和事业发展目标所发生的支出。</w:t>
      </w:r>
      <w:r>
        <w:rPr>
          <w:rFonts w:ascii="仿宋_GB2312" w:hAnsi="仿宋_GB2312" w:eastAsia="仿宋_GB2312" w:cs="仿宋_GB2312"/>
          <w:sz w:val="32"/>
          <w:szCs w:val="32"/>
        </w:rPr>
        <w:t xml:space="preserve"> </w:t>
      </w:r>
    </w:p>
    <w:p w14:paraId="5DC57C4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经营支出：指事业单位在专业业务活动及其辅助活动之外开展非独立核算经营活动发生的支出。</w:t>
      </w:r>
    </w:p>
    <w:p w14:paraId="4F57E0A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15F1F5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hAnsi="黑体" w:eastAsia="黑体"/>
          <w:color w:val="000000"/>
          <w:sz w:val="44"/>
          <w:szCs w:val="44"/>
        </w:rPr>
      </w:pPr>
      <w:r>
        <w:rPr>
          <w:rFonts w:hint="eastAsia" w:ascii="仿宋_GB2312" w:hAnsi="仿宋_GB2312" w:eastAsia="仿宋_GB2312" w:cs="仿宋_GB2312"/>
          <w:sz w:val="32"/>
          <w:szCs w:val="32"/>
        </w:rPr>
        <w:t>23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101" w:name="_Toc15396614"/>
      <w:bookmarkStart w:id="102" w:name="_Toc79163880"/>
      <w:bookmarkStart w:id="103" w:name="_Toc79163630"/>
      <w:bookmarkStart w:id="104" w:name="_Toc15377226"/>
    </w:p>
    <w:p w14:paraId="02D6C057">
      <w:pPr>
        <w:spacing w:line="576" w:lineRule="exact"/>
        <w:rPr>
          <w:rFonts w:ascii="黑体" w:hAnsi="黑体" w:eastAsia="黑体"/>
          <w:color w:val="000000"/>
          <w:sz w:val="44"/>
          <w:szCs w:val="44"/>
        </w:rPr>
      </w:pPr>
    </w:p>
    <w:p w14:paraId="2B10B206">
      <w:pPr>
        <w:pStyle w:val="19"/>
        <w:rPr>
          <w:rFonts w:ascii="黑体" w:hAnsi="黑体" w:eastAsia="黑体"/>
          <w:color w:val="000000"/>
          <w:sz w:val="44"/>
          <w:szCs w:val="44"/>
        </w:rPr>
      </w:pPr>
    </w:p>
    <w:p w14:paraId="48E20311">
      <w:pPr>
        <w:rPr>
          <w:rFonts w:ascii="黑体" w:hAnsi="黑体" w:eastAsia="黑体"/>
          <w:color w:val="000000"/>
          <w:sz w:val="44"/>
          <w:szCs w:val="44"/>
        </w:rPr>
      </w:pPr>
    </w:p>
    <w:p w14:paraId="4E9C97AB">
      <w:pPr>
        <w:pStyle w:val="19"/>
        <w:rPr>
          <w:rFonts w:ascii="黑体" w:hAnsi="黑体" w:eastAsia="黑体"/>
          <w:color w:val="000000"/>
          <w:sz w:val="44"/>
          <w:szCs w:val="44"/>
        </w:rPr>
      </w:pPr>
    </w:p>
    <w:p w14:paraId="31FD1454">
      <w:pPr>
        <w:rPr>
          <w:rFonts w:ascii="黑体" w:hAnsi="黑体" w:eastAsia="黑体"/>
          <w:color w:val="000000"/>
          <w:sz w:val="44"/>
          <w:szCs w:val="44"/>
        </w:rPr>
      </w:pPr>
    </w:p>
    <w:p w14:paraId="166CD3F7">
      <w:pPr>
        <w:pStyle w:val="19"/>
        <w:rPr>
          <w:rFonts w:ascii="黑体" w:hAnsi="黑体" w:eastAsia="黑体"/>
          <w:color w:val="000000"/>
          <w:sz w:val="44"/>
          <w:szCs w:val="44"/>
        </w:rPr>
      </w:pPr>
    </w:p>
    <w:p w14:paraId="12702BB7"/>
    <w:p w14:paraId="1411D075">
      <w:pPr>
        <w:spacing w:line="600" w:lineRule="exact"/>
        <w:jc w:val="center"/>
        <w:outlineLvl w:val="0"/>
        <w:rPr>
          <w:rStyle w:val="28"/>
          <w:rFonts w:ascii="方正小标宋简体" w:hAnsi="方正小标宋简体" w:eastAsia="方正小标宋简体" w:cs="方正小标宋简体"/>
          <w:b w:val="0"/>
        </w:rPr>
      </w:pPr>
      <w:r>
        <w:rPr>
          <w:rFonts w:hint="eastAsia" w:ascii="方正小标宋简体" w:hAnsi="方正小标宋简体" w:eastAsia="方正小标宋简体" w:cs="方正小标宋简体"/>
          <w:color w:val="000000"/>
          <w:sz w:val="44"/>
          <w:szCs w:val="44"/>
        </w:rPr>
        <w:t>第</w:t>
      </w:r>
      <w:r>
        <w:rPr>
          <w:rStyle w:val="28"/>
          <w:rFonts w:hint="eastAsia" w:ascii="方正小标宋简体" w:hAnsi="方正小标宋简体" w:eastAsia="方正小标宋简体" w:cs="方正小标宋简体"/>
          <w:b w:val="0"/>
        </w:rPr>
        <w:t>四部分 附件</w:t>
      </w:r>
      <w:bookmarkEnd w:id="101"/>
      <w:bookmarkEnd w:id="102"/>
      <w:bookmarkEnd w:id="103"/>
    </w:p>
    <w:p w14:paraId="2D66784B">
      <w:pPr>
        <w:spacing w:line="600" w:lineRule="exact"/>
        <w:jc w:val="left"/>
        <w:outlineLvl w:val="0"/>
        <w:rPr>
          <w:rFonts w:hint="eastAsia" w:ascii="黑体" w:hAnsi="黑体" w:eastAsia="黑体" w:cs="黑体"/>
          <w:color w:val="000000"/>
          <w:sz w:val="32"/>
          <w:szCs w:val="32"/>
        </w:rPr>
      </w:pPr>
      <w:bookmarkStart w:id="105" w:name="_Toc79163885"/>
      <w:bookmarkStart w:id="106" w:name="_Toc79163635"/>
      <w:bookmarkStart w:id="107" w:name="_Toc15396618"/>
      <w:r>
        <w:rPr>
          <w:rFonts w:hint="eastAsia" w:ascii="黑体" w:hAnsi="黑体" w:eastAsia="黑体" w:cs="黑体"/>
          <w:color w:val="000000"/>
          <w:sz w:val="32"/>
          <w:szCs w:val="32"/>
        </w:rPr>
        <w:t>附件1</w:t>
      </w:r>
    </w:p>
    <w:p w14:paraId="25D71DE9">
      <w:pPr>
        <w:keepNext w:val="0"/>
        <w:keepLines w:val="0"/>
        <w:pageBreakBefore w:val="0"/>
        <w:widowControl/>
        <w:kinsoku/>
        <w:wordWrap/>
        <w:overflowPunct/>
        <w:topLinePunct w:val="0"/>
        <w:autoSpaceDE/>
        <w:autoSpaceDN/>
        <w:bidi w:val="0"/>
        <w:spacing w:line="576"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茂县供销合作社联合社</w:t>
      </w:r>
    </w:p>
    <w:p w14:paraId="4A0E9FAE">
      <w:pPr>
        <w:keepNext w:val="0"/>
        <w:keepLines w:val="0"/>
        <w:pageBreakBefore w:val="0"/>
        <w:widowControl/>
        <w:kinsoku/>
        <w:wordWrap/>
        <w:overflowPunct/>
        <w:topLinePunct w:val="0"/>
        <w:autoSpaceDE/>
        <w:autoSpaceDN/>
        <w:bidi w:val="0"/>
        <w:spacing w:line="576" w:lineRule="exact"/>
        <w:contextualSpacing/>
        <w:jc w:val="center"/>
        <w:textAlignment w:val="auto"/>
        <w:rPr>
          <w:rFonts w:eastAsia="方正小标宋简体"/>
          <w:bCs/>
          <w:sz w:val="44"/>
          <w:szCs w:val="44"/>
          <w:shd w:val="clear" w:color="auto" w:fill="FFFFFF"/>
        </w:rPr>
      </w:pPr>
      <w:r>
        <w:rPr>
          <w:rFonts w:hint="eastAsia" w:ascii="方正小标宋简体" w:hAnsi="宋体" w:eastAsia="方正小标宋简体"/>
          <w:sz w:val="44"/>
          <w:szCs w:val="44"/>
          <w:shd w:val="clear" w:color="auto" w:fill="FFFFFF"/>
        </w:rPr>
        <w:t>202</w:t>
      </w:r>
      <w:r>
        <w:rPr>
          <w:rFonts w:hint="eastAsia" w:ascii="方正小标宋简体" w:hAnsi="宋体" w:eastAsia="方正小标宋简体"/>
          <w:sz w:val="44"/>
          <w:szCs w:val="44"/>
          <w:shd w:val="clear" w:color="auto" w:fill="FFFFFF"/>
          <w:lang w:val="en-US" w:eastAsia="zh-CN"/>
        </w:rPr>
        <w:t>3</w:t>
      </w:r>
      <w:r>
        <w:rPr>
          <w:rFonts w:hint="eastAsia" w:ascii="方正小标宋简体" w:hAnsi="宋体" w:eastAsia="方正小标宋简体"/>
          <w:sz w:val="44"/>
          <w:szCs w:val="44"/>
          <w:shd w:val="clear" w:color="auto" w:fill="FFFFFF"/>
        </w:rPr>
        <w:t>年</w:t>
      </w:r>
      <w:r>
        <w:rPr>
          <w:rFonts w:hint="eastAsia" w:ascii="方正小标宋简体" w:hAnsi="宋体" w:eastAsia="方正小标宋简体"/>
          <w:sz w:val="44"/>
          <w:szCs w:val="44"/>
          <w:shd w:val="clear" w:color="auto" w:fill="FFFFFF"/>
          <w:lang w:eastAsia="zh-CN"/>
        </w:rPr>
        <w:t>部门预算</w:t>
      </w:r>
      <w:r>
        <w:rPr>
          <w:rFonts w:hint="eastAsia" w:ascii="方正小标宋简体" w:hAnsi="宋体" w:eastAsia="方正小标宋简体"/>
          <w:sz w:val="44"/>
          <w:szCs w:val="44"/>
          <w:shd w:val="clear" w:color="auto" w:fill="FFFFFF"/>
        </w:rPr>
        <w:t>绩效自评报告</w:t>
      </w:r>
    </w:p>
    <w:p w14:paraId="5CD701F9">
      <w:pPr>
        <w:keepNext w:val="0"/>
        <w:keepLines w:val="0"/>
        <w:pageBreakBefore w:val="0"/>
        <w:widowControl/>
        <w:kinsoku/>
        <w:wordWrap/>
        <w:overflowPunct/>
        <w:topLinePunct w:val="0"/>
        <w:autoSpaceDE/>
        <w:autoSpaceDN/>
        <w:bidi w:val="0"/>
        <w:adjustRightInd w:val="0"/>
        <w:snapToGrid w:val="0"/>
        <w:spacing w:line="576" w:lineRule="exact"/>
        <w:ind w:firstLine="480" w:firstLineChars="200"/>
        <w:contextualSpacing/>
        <w:jc w:val="left"/>
        <w:textAlignment w:val="auto"/>
        <w:rPr>
          <w:rFonts w:eastAsia="黑体"/>
          <w:color w:val="000000"/>
          <w:kern w:val="0"/>
          <w:sz w:val="24"/>
          <w:szCs w:val="32"/>
          <w:shd w:val="clear" w:color="auto" w:fill="FFFFFF"/>
        </w:rPr>
      </w:pPr>
    </w:p>
    <w:p w14:paraId="57F449B2">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eastAsia="仿宋_GB2312"/>
          <w:sz w:val="32"/>
          <w:szCs w:val="32"/>
        </w:rPr>
      </w:pPr>
      <w:r>
        <w:rPr>
          <w:rFonts w:hint="eastAsia" w:eastAsia="黑体"/>
          <w:color w:val="000000"/>
          <w:kern w:val="0"/>
          <w:sz w:val="32"/>
          <w:szCs w:val="32"/>
          <w:shd w:val="clear" w:color="auto" w:fill="FFFFFF"/>
          <w:lang w:val="zh-CN"/>
        </w:rPr>
        <w:t>一、部门</w:t>
      </w:r>
      <w:r>
        <w:rPr>
          <w:rFonts w:eastAsia="黑体"/>
          <w:color w:val="000000"/>
          <w:kern w:val="0"/>
          <w:sz w:val="32"/>
          <w:szCs w:val="32"/>
          <w:shd w:val="clear" w:color="auto" w:fill="FFFFFF"/>
          <w:lang w:val="zh-CN"/>
        </w:rPr>
        <w:t>基本情况</w:t>
      </w:r>
    </w:p>
    <w:p w14:paraId="794EEC7A">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textAlignment w:val="auto"/>
        <w:rPr>
          <w:rFonts w:eastAsia="楷体_GB2312"/>
          <w:b/>
          <w:bCs/>
          <w:color w:val="000000"/>
          <w:kern w:val="0"/>
          <w:sz w:val="32"/>
          <w:szCs w:val="32"/>
          <w:shd w:val="clear" w:color="auto" w:fill="FFFFFF"/>
          <w:lang w:val="zh-CN"/>
        </w:rPr>
      </w:pPr>
      <w:r>
        <w:rPr>
          <w:rFonts w:hint="eastAsia" w:eastAsia="楷体_GB2312"/>
          <w:b/>
          <w:bCs/>
          <w:color w:val="000000"/>
          <w:kern w:val="0"/>
          <w:sz w:val="32"/>
          <w:szCs w:val="32"/>
          <w:shd w:val="clear" w:color="auto" w:fill="FFFFFF"/>
          <w:lang w:val="zh-CN"/>
        </w:rPr>
        <w:t>（一）</w:t>
      </w:r>
      <w:r>
        <w:rPr>
          <w:rFonts w:eastAsia="楷体_GB2312"/>
          <w:b/>
          <w:bCs/>
          <w:color w:val="000000"/>
          <w:kern w:val="0"/>
          <w:sz w:val="32"/>
          <w:szCs w:val="32"/>
          <w:shd w:val="clear" w:color="auto" w:fill="FFFFFF"/>
          <w:lang w:val="zh-CN"/>
        </w:rPr>
        <w:t>机构组成</w:t>
      </w:r>
    </w:p>
    <w:p w14:paraId="3DC79906">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textAlignment w:val="auto"/>
        <w:rPr>
          <w:rFonts w:eastAsia="仿宋_GB2312"/>
          <w:sz w:val="32"/>
          <w:szCs w:val="32"/>
        </w:rPr>
      </w:pPr>
      <w:r>
        <w:rPr>
          <w:rFonts w:hint="eastAsia" w:ascii="仿宋_GB2312" w:hAnsi="宋体" w:eastAsia="仿宋_GB2312" w:cs="宋体"/>
          <w:color w:val="000000"/>
          <w:kern w:val="0"/>
          <w:sz w:val="32"/>
          <w:szCs w:val="32"/>
          <w:shd w:val="clear" w:color="auto" w:fill="FFFFFF"/>
          <w:lang w:val="zh-CN"/>
        </w:rPr>
        <w:t>茂县供销合作社联合社内设办公室、计财审计股、综合股</w:t>
      </w:r>
      <w:r>
        <w:rPr>
          <w:rFonts w:hint="eastAsia" w:ascii="仿宋_GB2312" w:hAnsi="宋体" w:eastAsia="仿宋_GB2312" w:cs="宋体"/>
          <w:color w:val="000000"/>
          <w:kern w:val="0"/>
          <w:sz w:val="32"/>
          <w:szCs w:val="32"/>
          <w:shd w:val="clear" w:color="auto" w:fill="FFFFFF"/>
          <w:lang w:val="en-US" w:eastAsia="zh-CN"/>
        </w:rPr>
        <w:t>(</w:t>
      </w:r>
      <w:r>
        <w:rPr>
          <w:rFonts w:hint="eastAsia" w:ascii="仿宋_GB2312" w:hAnsi="宋体" w:eastAsia="仿宋_GB2312" w:cs="宋体"/>
          <w:color w:val="000000"/>
          <w:kern w:val="0"/>
          <w:sz w:val="32"/>
          <w:szCs w:val="32"/>
          <w:shd w:val="clear" w:color="auto" w:fill="FFFFFF"/>
          <w:lang w:val="zh-CN"/>
        </w:rPr>
        <w:t>社务指导</w:t>
      </w:r>
      <w:r>
        <w:rPr>
          <w:rFonts w:hint="eastAsia" w:ascii="仿宋_GB2312" w:hAnsi="宋体" w:eastAsia="仿宋_GB2312" w:cs="宋体"/>
          <w:color w:val="000000"/>
          <w:kern w:val="0"/>
          <w:sz w:val="32"/>
          <w:szCs w:val="32"/>
          <w:shd w:val="clear" w:color="auto" w:fill="FFFFFF"/>
          <w:lang w:val="zh-CN" w:eastAsia="zh-CN"/>
        </w:rPr>
        <w:t>、</w:t>
      </w:r>
      <w:r>
        <w:rPr>
          <w:rFonts w:hint="eastAsia" w:ascii="仿宋_GB2312" w:hAnsi="宋体" w:eastAsia="仿宋_GB2312" w:cs="宋体"/>
          <w:color w:val="000000"/>
          <w:kern w:val="0"/>
          <w:sz w:val="32"/>
          <w:szCs w:val="32"/>
          <w:shd w:val="clear" w:color="auto" w:fill="FFFFFF"/>
          <w:lang w:val="zh-CN"/>
        </w:rPr>
        <w:t>业务发展、物业管理、安全法制</w:t>
      </w:r>
      <w:r>
        <w:rPr>
          <w:rFonts w:hint="eastAsia" w:ascii="仿宋_GB2312" w:hAnsi="宋体" w:eastAsia="仿宋_GB2312" w:cs="宋体"/>
          <w:color w:val="000000"/>
          <w:kern w:val="0"/>
          <w:sz w:val="32"/>
          <w:szCs w:val="32"/>
          <w:shd w:val="clear" w:color="auto" w:fill="FFFFFF"/>
          <w:lang w:val="en-US" w:eastAsia="zh-CN"/>
        </w:rPr>
        <w:t>)</w:t>
      </w:r>
      <w:r>
        <w:rPr>
          <w:rFonts w:hint="eastAsia" w:ascii="仿宋_GB2312" w:hAnsi="宋体" w:eastAsia="仿宋_GB2312" w:cs="宋体"/>
          <w:color w:val="000000"/>
          <w:kern w:val="0"/>
          <w:sz w:val="32"/>
          <w:szCs w:val="32"/>
          <w:shd w:val="clear" w:color="auto" w:fill="FFFFFF"/>
          <w:lang w:val="zh-CN"/>
        </w:rPr>
        <w:t>。</w:t>
      </w:r>
    </w:p>
    <w:p w14:paraId="0969B1FF">
      <w:pPr>
        <w:keepNext w:val="0"/>
        <w:keepLines w:val="0"/>
        <w:pageBreakBefore w:val="0"/>
        <w:kinsoku/>
        <w:wordWrap/>
        <w:overflowPunct/>
        <w:topLinePunct w:val="0"/>
        <w:autoSpaceDE/>
        <w:autoSpaceDN/>
        <w:bidi w:val="0"/>
        <w:spacing w:line="576" w:lineRule="exact"/>
        <w:ind w:firstLine="643" w:firstLineChars="200"/>
        <w:textAlignment w:val="auto"/>
        <w:rPr>
          <w:rFonts w:hint="eastAsia"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（二）机构职能</w:t>
      </w:r>
    </w:p>
    <w:p w14:paraId="3F6C05DD">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1.宣传贯彻党中央、国务院、省委、省政府和州委、州政府及县委、县政府有关农业、农村经济工作和社会发展方针政策，维护全县供销社的合法权益。</w:t>
      </w:r>
    </w:p>
    <w:p w14:paraId="001FAF8C">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2.研究和制定全县供销合作社发展规划，指导全县供销合作社的企业改革和发展。加快体制、机制创新、探索社会主义市场经济条件下合作经济的多种实现形式。</w:t>
      </w:r>
    </w:p>
    <w:p w14:paraId="119A948C">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受政府委托，对重要农业生产资料、农副产品经营进行组织、储备、调运工作，负责烟花爆竹和废旧物资再生资源的经营及社办工业的指导。负责对政策性商品经营资格审定、质量监督和行业管理及有关救灾物资的组织、储备、调运工作。</w:t>
      </w:r>
    </w:p>
    <w:p w14:paraId="3EDF7FF2">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4.协调同政府有关部门、社会组织的关系，研究供销社合作经济运行的重大问题；了解、反映供销合作社系统和农牧民群众的意见和要求；维护合作经济组织的合法权益。</w:t>
      </w:r>
    </w:p>
    <w:p w14:paraId="69A56081">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5.组织全县供销系统参与和推进农业产业化经营，加强农产品市场调查研究，培育农产品市场，组织发展专业合作社、消费合作社等中介服务组织，培育龙头企业，加强商品供求市场，信息服务体系建设。                                        </w:t>
      </w:r>
    </w:p>
    <w:p w14:paraId="20FBCE1E">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6.指导农村社会化服务体系建设，推进建立现代化流通体系和现代化营销方式，发展社区性、综合性、便民性社区综合服务社，满足农牧民生产、生活等社会化服务的需要。</w:t>
      </w:r>
    </w:p>
    <w:p w14:paraId="3CA472AB">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7.监督和管理社有资产，确保社有资产的保值、增值，对直属企业行使出资人的职权，依法享有资产受益、重大决策和选择经营管理者等权利。</w:t>
      </w:r>
    </w:p>
    <w:p w14:paraId="4D5AE099">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8.积极参与供销合作经济对外交流活动。</w:t>
      </w:r>
    </w:p>
    <w:p w14:paraId="54EBFA6B">
      <w:pPr>
        <w:keepNext w:val="0"/>
        <w:keepLines w:val="0"/>
        <w:pageBreakBefore w:val="0"/>
        <w:kinsoku/>
        <w:wordWrap/>
        <w:overflowPunct/>
        <w:topLinePunct w:val="0"/>
        <w:autoSpaceDE/>
        <w:autoSpaceDN/>
        <w:bidi w:val="0"/>
        <w:spacing w:line="576" w:lineRule="exact"/>
        <w:ind w:firstLine="640" w:firstLineChars="200"/>
        <w:textAlignment w:val="auto"/>
        <w:rPr>
          <w:rFonts w:eastAsia="楷体_GB2312"/>
          <w:b/>
          <w:bCs/>
          <w:color w:val="000000"/>
          <w:kern w:val="0"/>
          <w:sz w:val="32"/>
          <w:szCs w:val="32"/>
          <w:shd w:val="clear" w:color="auto" w:fill="FFFFFF"/>
          <w:lang w:val="zh-CN"/>
        </w:rPr>
      </w:pPr>
      <w:r>
        <w:rPr>
          <w:rFonts w:hint="eastAsia" w:ascii="仿宋_GB2312" w:hAnsi="仿宋_GB2312" w:eastAsia="仿宋_GB2312" w:cs="仿宋_GB2312"/>
          <w:sz w:val="32"/>
          <w:szCs w:val="32"/>
        </w:rPr>
        <w:t>9.承担县政府交办的其他事项。</w:t>
      </w:r>
    </w:p>
    <w:p w14:paraId="6BF2DBB4">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textAlignment w:val="auto"/>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）人员概况</w:t>
      </w:r>
    </w:p>
    <w:p w14:paraId="1C028D13">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textAlignment w:val="auto"/>
        <w:rPr>
          <w:rFonts w:eastAsia="仿宋_GB2312"/>
          <w:sz w:val="32"/>
          <w:szCs w:val="32"/>
        </w:rPr>
      </w:pPr>
      <w:r>
        <w:rPr>
          <w:rFonts w:hint="eastAsia" w:ascii="仿宋_GB2312" w:hAnsi="宋体" w:eastAsia="仿宋_GB2312" w:cs="宋体"/>
          <w:color w:val="000000"/>
          <w:kern w:val="0"/>
          <w:sz w:val="32"/>
          <w:szCs w:val="32"/>
          <w:shd w:val="clear" w:color="auto" w:fill="FFFFFF"/>
          <w:lang w:val="zh-CN" w:eastAsia="zh-CN"/>
        </w:rPr>
        <w:t>茂县</w:t>
      </w:r>
      <w:r>
        <w:rPr>
          <w:rFonts w:hint="eastAsia" w:ascii="仿宋_GB2312" w:hAnsi="宋体" w:eastAsia="仿宋_GB2312" w:cs="宋体"/>
          <w:color w:val="000000"/>
          <w:kern w:val="0"/>
          <w:sz w:val="32"/>
          <w:szCs w:val="32"/>
          <w:shd w:val="clear" w:color="auto" w:fill="FFFFFF"/>
          <w:lang w:val="zh-CN"/>
        </w:rPr>
        <w:t>供销合作社联合社机关事业编制</w:t>
      </w:r>
      <w:r>
        <w:rPr>
          <w:rFonts w:hint="eastAsia" w:ascii="仿宋_GB2312" w:hAnsi="宋体" w:eastAsia="仿宋_GB2312" w:cs="宋体"/>
          <w:color w:val="000000"/>
          <w:kern w:val="0"/>
          <w:sz w:val="32"/>
          <w:szCs w:val="32"/>
          <w:shd w:val="clear" w:color="auto" w:fill="FFFFFF"/>
        </w:rPr>
        <w:t>10</w:t>
      </w:r>
      <w:r>
        <w:rPr>
          <w:rFonts w:hint="eastAsia" w:ascii="仿宋_GB2312" w:hAnsi="宋体" w:eastAsia="仿宋_GB2312" w:cs="宋体"/>
          <w:color w:val="000000"/>
          <w:kern w:val="0"/>
          <w:sz w:val="32"/>
          <w:szCs w:val="32"/>
          <w:shd w:val="clear" w:color="auto" w:fill="FFFFFF"/>
          <w:lang w:val="zh-CN"/>
        </w:rPr>
        <w:t>人，实有在职职工</w:t>
      </w:r>
      <w:r>
        <w:rPr>
          <w:rFonts w:hint="eastAsia" w:ascii="仿宋_GB2312" w:hAnsi="宋体" w:eastAsia="仿宋_GB2312" w:cs="宋体"/>
          <w:color w:val="000000"/>
          <w:kern w:val="0"/>
          <w:sz w:val="32"/>
          <w:szCs w:val="32"/>
          <w:shd w:val="clear" w:color="auto" w:fill="FFFFFF"/>
          <w:lang w:val="en-US" w:eastAsia="zh-CN"/>
        </w:rPr>
        <w:t>9</w:t>
      </w:r>
      <w:r>
        <w:rPr>
          <w:rFonts w:hint="eastAsia" w:ascii="仿宋_GB2312" w:hAnsi="宋体" w:eastAsia="仿宋_GB2312" w:cs="宋体"/>
          <w:color w:val="000000"/>
          <w:kern w:val="0"/>
          <w:sz w:val="32"/>
          <w:szCs w:val="32"/>
          <w:shd w:val="clear" w:color="auto" w:fill="FFFFFF"/>
          <w:lang w:val="zh-CN"/>
        </w:rPr>
        <w:t>人。</w:t>
      </w:r>
    </w:p>
    <w:p w14:paraId="56020997">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eastAsia="黑体"/>
          <w:color w:val="000000"/>
          <w:kern w:val="0"/>
          <w:sz w:val="32"/>
          <w:szCs w:val="32"/>
          <w:shd w:val="clear" w:color="auto" w:fill="FFFFFF"/>
        </w:rPr>
      </w:pPr>
      <w:r>
        <w:rPr>
          <w:rFonts w:eastAsia="黑体"/>
          <w:color w:val="000000"/>
          <w:kern w:val="0"/>
          <w:sz w:val="32"/>
          <w:szCs w:val="32"/>
          <w:shd w:val="clear" w:color="auto" w:fill="FFFFFF"/>
        </w:rPr>
        <w:t>二、部门资金收支情况</w:t>
      </w:r>
    </w:p>
    <w:p w14:paraId="76B77D27">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hint="eastAsia"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收入情况</w:t>
      </w:r>
    </w:p>
    <w:p w14:paraId="6E21977C">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eastAsia="楷体_GB2312"/>
          <w:b/>
          <w:bCs/>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lang w:val="zh-CN" w:eastAsia="zh-CN"/>
        </w:rPr>
        <w:t>茂县</w:t>
      </w:r>
      <w:r>
        <w:rPr>
          <w:rFonts w:hint="eastAsia" w:ascii="仿宋_GB2312" w:hAnsi="宋体" w:eastAsia="仿宋_GB2312" w:cs="宋体"/>
          <w:color w:val="000000"/>
          <w:kern w:val="0"/>
          <w:sz w:val="32"/>
          <w:szCs w:val="32"/>
          <w:shd w:val="clear" w:color="auto" w:fill="FFFFFF"/>
          <w:lang w:val="zh-CN"/>
        </w:rPr>
        <w:t>供销合作社联合社</w:t>
      </w:r>
      <w:r>
        <w:rPr>
          <w:rFonts w:hint="eastAsia" w:ascii="仿宋_GB2312" w:hAnsi="仿宋_GB2312" w:eastAsia="仿宋_GB2312" w:cs="仿宋_GB2312"/>
          <w:b w:val="0"/>
          <w:bCs w:val="0"/>
          <w:color w:val="000000"/>
          <w:kern w:val="0"/>
          <w:sz w:val="32"/>
          <w:szCs w:val="32"/>
          <w:shd w:val="clear" w:color="auto" w:fill="FFFFFF"/>
          <w:lang w:val="zh-CN" w:eastAsia="zh-CN"/>
        </w:rPr>
        <w:t>2023年年初预算收入</w:t>
      </w:r>
      <w:r>
        <w:rPr>
          <w:rFonts w:hint="eastAsia" w:ascii="仿宋_GB2312" w:hAnsi="仿宋_GB2312" w:eastAsia="仿宋_GB2312" w:cs="仿宋_GB2312"/>
          <w:b w:val="0"/>
          <w:bCs w:val="0"/>
          <w:color w:val="000000"/>
          <w:kern w:val="0"/>
          <w:sz w:val="32"/>
          <w:szCs w:val="32"/>
          <w:shd w:val="clear" w:color="auto" w:fill="FFFFFF"/>
          <w:lang w:val="en-US" w:eastAsia="zh-CN"/>
        </w:rPr>
        <w:t>160.13万元，</w:t>
      </w:r>
      <w:r>
        <w:rPr>
          <w:rFonts w:hint="eastAsia" w:ascii="仿宋_GB2312" w:hAnsi="仿宋_GB2312" w:eastAsia="仿宋_GB2312" w:cs="仿宋_GB2312"/>
          <w:b w:val="0"/>
          <w:bCs w:val="0"/>
          <w:color w:val="000000"/>
          <w:kern w:val="0"/>
          <w:sz w:val="32"/>
          <w:szCs w:val="32"/>
          <w:shd w:val="clear" w:color="auto" w:fill="FFFFFF"/>
          <w:lang w:val="zh-CN" w:eastAsia="zh-CN"/>
        </w:rPr>
        <w:t>决算报表收入</w:t>
      </w:r>
      <w:r>
        <w:rPr>
          <w:rFonts w:hint="eastAsia" w:ascii="仿宋_GB2312" w:hAnsi="仿宋_GB2312" w:eastAsia="仿宋_GB2312" w:cs="仿宋_GB2312"/>
          <w:b w:val="0"/>
          <w:bCs w:val="0"/>
          <w:color w:val="000000"/>
          <w:kern w:val="0"/>
          <w:sz w:val="32"/>
          <w:szCs w:val="32"/>
          <w:shd w:val="clear" w:color="auto" w:fill="FFFFFF"/>
          <w:lang w:val="en-US" w:eastAsia="zh-CN"/>
        </w:rPr>
        <w:t>403.99万元</w:t>
      </w:r>
      <w:r>
        <w:rPr>
          <w:rFonts w:hint="eastAsia" w:ascii="仿宋_GB2312" w:hAnsi="仿宋_GB2312" w:eastAsia="仿宋_GB2312" w:cs="仿宋_GB2312"/>
          <w:b w:val="0"/>
          <w:bCs w:val="0"/>
          <w:color w:val="000000"/>
          <w:kern w:val="0"/>
          <w:sz w:val="32"/>
          <w:szCs w:val="32"/>
          <w:shd w:val="clear" w:color="auto" w:fill="FFFFFF"/>
          <w:lang w:val="zh-CN" w:eastAsia="zh-CN"/>
        </w:rPr>
        <w:t>。</w:t>
      </w:r>
    </w:p>
    <w:p w14:paraId="07BA5DB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3" w:firstLineChars="200"/>
        <w:contextualSpacing/>
        <w:jc w:val="left"/>
        <w:textAlignment w:val="auto"/>
        <w:rPr>
          <w:rFonts w:hint="eastAsia"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二</w:t>
      </w: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支出情况</w:t>
      </w:r>
    </w:p>
    <w:p w14:paraId="3F0CEC2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eastAsia="仿宋_GB2312"/>
          <w:sz w:val="32"/>
          <w:szCs w:val="32"/>
          <w:lang w:val="zh-CN"/>
        </w:rPr>
      </w:pPr>
      <w:r>
        <w:rPr>
          <w:rFonts w:hint="eastAsia" w:ascii="仿宋_GB2312" w:hAnsi="宋体" w:eastAsia="仿宋_GB2312" w:cs="宋体"/>
          <w:color w:val="000000"/>
          <w:kern w:val="0"/>
          <w:sz w:val="32"/>
          <w:szCs w:val="32"/>
          <w:shd w:val="clear" w:color="auto" w:fill="FFFFFF"/>
          <w:lang w:val="zh-CN" w:eastAsia="zh-CN"/>
        </w:rPr>
        <w:t>茂县</w:t>
      </w:r>
      <w:r>
        <w:rPr>
          <w:rFonts w:hint="eastAsia" w:ascii="仿宋_GB2312" w:hAnsi="宋体" w:eastAsia="仿宋_GB2312" w:cs="宋体"/>
          <w:color w:val="000000"/>
          <w:kern w:val="0"/>
          <w:sz w:val="32"/>
          <w:szCs w:val="32"/>
          <w:shd w:val="clear" w:color="auto" w:fill="FFFFFF"/>
          <w:lang w:val="zh-CN"/>
        </w:rPr>
        <w:t>供销合作社联合社</w:t>
      </w:r>
      <w:r>
        <w:rPr>
          <w:rFonts w:hint="eastAsia" w:ascii="仿宋_GB2312" w:hAnsi="仿宋_GB2312" w:eastAsia="仿宋_GB2312" w:cs="仿宋_GB2312"/>
          <w:b w:val="0"/>
          <w:bCs w:val="0"/>
          <w:color w:val="000000"/>
          <w:kern w:val="0"/>
          <w:sz w:val="32"/>
          <w:szCs w:val="32"/>
          <w:shd w:val="clear" w:color="auto" w:fill="FFFFFF"/>
          <w:lang w:val="zh-CN" w:eastAsia="zh-CN"/>
        </w:rPr>
        <w:t>2023年年初预算</w:t>
      </w:r>
      <w:r>
        <w:rPr>
          <w:rFonts w:hint="eastAsia" w:eastAsia="仿宋_GB2312"/>
          <w:sz w:val="32"/>
          <w:szCs w:val="32"/>
        </w:rPr>
        <w:t>支出</w:t>
      </w:r>
      <w:r>
        <w:rPr>
          <w:rFonts w:hint="eastAsia" w:ascii="仿宋_GB2312" w:hAnsi="仿宋_GB2312" w:eastAsia="仿宋_GB2312" w:cs="仿宋_GB2312"/>
          <w:b w:val="0"/>
          <w:bCs w:val="0"/>
          <w:color w:val="000000"/>
          <w:kern w:val="0"/>
          <w:sz w:val="32"/>
          <w:szCs w:val="32"/>
          <w:shd w:val="clear" w:color="auto" w:fill="FFFFFF"/>
          <w:lang w:val="en-US" w:eastAsia="zh-CN"/>
        </w:rPr>
        <w:t>160.13万元，</w:t>
      </w:r>
      <w:r>
        <w:rPr>
          <w:rFonts w:hint="eastAsia" w:ascii="仿宋_GB2312" w:hAnsi="仿宋_GB2312" w:eastAsia="仿宋_GB2312" w:cs="仿宋_GB2312"/>
          <w:b w:val="0"/>
          <w:bCs w:val="0"/>
          <w:color w:val="000000"/>
          <w:kern w:val="0"/>
          <w:sz w:val="32"/>
          <w:szCs w:val="32"/>
          <w:shd w:val="clear" w:color="auto" w:fill="FFFFFF"/>
          <w:lang w:val="zh-CN" w:eastAsia="zh-CN"/>
        </w:rPr>
        <w:t>决算报表</w:t>
      </w:r>
      <w:r>
        <w:rPr>
          <w:rFonts w:hint="eastAsia" w:eastAsia="仿宋_GB2312"/>
          <w:sz w:val="32"/>
          <w:szCs w:val="32"/>
        </w:rPr>
        <w:t>支出</w:t>
      </w:r>
      <w:r>
        <w:rPr>
          <w:rFonts w:hint="eastAsia" w:ascii="仿宋_GB2312" w:hAnsi="仿宋_GB2312" w:eastAsia="仿宋_GB2312" w:cs="仿宋_GB2312"/>
          <w:b w:val="0"/>
          <w:bCs w:val="0"/>
          <w:color w:val="000000"/>
          <w:kern w:val="0"/>
          <w:sz w:val="32"/>
          <w:szCs w:val="32"/>
          <w:shd w:val="clear" w:color="auto" w:fill="FFFFFF"/>
          <w:lang w:val="en-US" w:eastAsia="zh-CN"/>
        </w:rPr>
        <w:t>403.99万元</w:t>
      </w:r>
      <w:r>
        <w:rPr>
          <w:rFonts w:hint="eastAsia" w:ascii="仿宋_GB2312" w:hAnsi="仿宋_GB2312" w:eastAsia="仿宋_GB2312" w:cs="仿宋_GB2312"/>
          <w:b w:val="0"/>
          <w:bCs w:val="0"/>
          <w:color w:val="000000"/>
          <w:kern w:val="0"/>
          <w:sz w:val="32"/>
          <w:szCs w:val="32"/>
          <w:shd w:val="clear" w:color="auto" w:fill="FFFFFF"/>
          <w:lang w:val="zh-CN" w:eastAsia="zh-CN"/>
        </w:rPr>
        <w:t>。</w:t>
      </w:r>
    </w:p>
    <w:p w14:paraId="205AD600">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eastAsia="楷体_GB2312"/>
          <w:b/>
          <w:sz w:val="32"/>
          <w:szCs w:val="32"/>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w:t>
      </w:r>
      <w:r>
        <w:rPr>
          <w:rFonts w:eastAsia="楷体_GB2312"/>
          <w:b/>
          <w:sz w:val="32"/>
          <w:szCs w:val="32"/>
        </w:rPr>
        <w:t>结余分配和结转结余情况</w:t>
      </w:r>
    </w:p>
    <w:p w14:paraId="4458A81D">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eastAsia="仿宋_GB2312"/>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eastAsia="zh-CN"/>
        </w:rPr>
        <w:t>茂县</w:t>
      </w:r>
      <w:r>
        <w:rPr>
          <w:rFonts w:hint="eastAsia" w:ascii="仿宋_GB2312" w:hAnsi="宋体" w:eastAsia="仿宋_GB2312" w:cs="宋体"/>
          <w:color w:val="000000"/>
          <w:kern w:val="0"/>
          <w:sz w:val="32"/>
          <w:szCs w:val="32"/>
          <w:shd w:val="clear" w:color="auto" w:fill="FFFFFF"/>
          <w:lang w:val="zh-CN"/>
        </w:rPr>
        <w:t>供销合作社联合社无结余分配和结余结转。</w:t>
      </w:r>
    </w:p>
    <w:p w14:paraId="5DFB51D1">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eastAsia="黑体"/>
          <w:color w:val="000000"/>
          <w:kern w:val="0"/>
          <w:sz w:val="32"/>
          <w:szCs w:val="32"/>
          <w:shd w:val="clear" w:color="auto" w:fill="FFFFFF"/>
        </w:rPr>
      </w:pPr>
      <w:r>
        <w:rPr>
          <w:rFonts w:eastAsia="黑体"/>
          <w:color w:val="000000"/>
          <w:kern w:val="0"/>
          <w:sz w:val="32"/>
          <w:szCs w:val="32"/>
          <w:shd w:val="clear" w:color="auto" w:fill="FFFFFF"/>
        </w:rPr>
        <w:t>三、部门预算绩效分析</w:t>
      </w:r>
    </w:p>
    <w:p w14:paraId="5A561016">
      <w:pPr>
        <w:keepNext w:val="0"/>
        <w:keepLines w:val="0"/>
        <w:pageBreakBefore w:val="0"/>
        <w:kinsoku/>
        <w:wordWrap/>
        <w:overflowPunct/>
        <w:topLinePunct w:val="0"/>
        <w:autoSpaceDE/>
        <w:autoSpaceDN/>
        <w:bidi w:val="0"/>
        <w:adjustRightInd w:val="0"/>
        <w:snapToGrid w:val="0"/>
        <w:spacing w:line="576" w:lineRule="exact"/>
        <w:ind w:firstLine="643" w:firstLineChars="200"/>
        <w:contextualSpacing/>
        <w:jc w:val="left"/>
        <w:textAlignment w:val="auto"/>
        <w:rPr>
          <w:rFonts w:eastAsia="仿宋_GB2312"/>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部门预算</w:t>
      </w:r>
      <w:r>
        <w:rPr>
          <w:rFonts w:eastAsia="楷体_GB2312"/>
          <w:b/>
          <w:bCs/>
          <w:color w:val="000000"/>
          <w:kern w:val="0"/>
          <w:sz w:val="32"/>
          <w:szCs w:val="32"/>
          <w:shd w:val="clear" w:color="auto" w:fill="FFFFFF"/>
          <w:lang w:val="zh-CN"/>
        </w:rPr>
        <w:t>总体绩效分析</w:t>
      </w:r>
    </w:p>
    <w:p w14:paraId="749712CD">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严格按照相关财务规定要求，加强财务管理。</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eastAsia="zh-CN"/>
        </w:rPr>
        <w:t>在规定的时间之内报送绩效管理相关工作，报送资料齐全。</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sz w:val="32"/>
          <w:szCs w:val="32"/>
          <w:lang w:eastAsia="zh-CN"/>
        </w:rPr>
        <w:t>在编制预算时，按时填报部门整体支出、项目支出绩效目标申报表。绩效目标申报表目标设置要合理，要符合项目特点，描述清晰明确，要填报新增重大政策、重大项目目标申报表。</w:t>
      </w: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sz w:val="32"/>
          <w:szCs w:val="32"/>
          <w:lang w:eastAsia="zh-CN"/>
        </w:rPr>
        <w:t>对预算执行中进行有效绩效跟踪监控的。</w:t>
      </w:r>
      <w:r>
        <w:rPr>
          <w:rFonts w:hint="eastAsia" w:ascii="仿宋_GB2312" w:hAnsi="仿宋_GB2312" w:eastAsia="仿宋_GB2312" w:cs="仿宋_GB2312"/>
          <w:b/>
          <w:bCs/>
          <w:sz w:val="32"/>
          <w:szCs w:val="32"/>
          <w:lang w:eastAsia="zh-CN"/>
        </w:rPr>
        <w:t>四是</w:t>
      </w:r>
      <w:r>
        <w:rPr>
          <w:rFonts w:hint="eastAsia" w:ascii="仿宋_GB2312" w:hAnsi="仿宋_GB2312" w:eastAsia="仿宋_GB2312" w:cs="仿宋_GB2312"/>
          <w:sz w:val="32"/>
          <w:szCs w:val="32"/>
          <w:lang w:eastAsia="zh-CN"/>
        </w:rPr>
        <w:t>认真开展项目支出、财政政策、部门整体支出事后绩效自评工作。</w:t>
      </w:r>
      <w:r>
        <w:rPr>
          <w:rFonts w:hint="eastAsia" w:ascii="仿宋_GB2312" w:hAnsi="仿宋_GB2312" w:eastAsia="仿宋_GB2312" w:cs="仿宋_GB2312"/>
          <w:b/>
          <w:bCs/>
          <w:sz w:val="32"/>
          <w:szCs w:val="32"/>
          <w:lang w:eastAsia="zh-CN"/>
        </w:rPr>
        <w:t>五是</w:t>
      </w:r>
      <w:r>
        <w:rPr>
          <w:rFonts w:hint="eastAsia" w:ascii="仿宋_GB2312" w:hAnsi="仿宋_GB2312" w:eastAsia="仿宋_GB2312" w:cs="仿宋_GB2312"/>
          <w:sz w:val="32"/>
          <w:szCs w:val="32"/>
          <w:lang w:eastAsia="zh-CN"/>
        </w:rPr>
        <w:t>及时整改绩效评价存在的问题，并及时报送整改报告。</w:t>
      </w:r>
    </w:p>
    <w:p w14:paraId="2818C1A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eastAsia="zh-CN"/>
        </w:rPr>
        <w:t>履职效能。针对部门整体绩效目标中选定3-5个核心职能目标，我们进行了全面的绩效分析。通过对比实际完成情况与预设目标，整体目标完成率达到</w:t>
      </w:r>
      <w:r>
        <w:rPr>
          <w:rFonts w:hint="eastAsia" w:ascii="仿宋_GB2312" w:hAnsi="仿宋_GB2312" w:eastAsia="仿宋_GB2312" w:cs="仿宋_GB2312"/>
          <w:sz w:val="32"/>
          <w:szCs w:val="32"/>
          <w:lang w:val="en-US" w:eastAsia="zh-CN"/>
        </w:rPr>
        <w:t>100%，超过预期目标。</w:t>
      </w:r>
    </w:p>
    <w:p w14:paraId="3ADD01A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ascii="楷体_GB2312" w:hAnsi="楷体_GB2312" w:eastAsia="楷体_GB2312" w:cs="楷体_GB2312"/>
          <w:color w:val="000000"/>
          <w:kern w:val="0"/>
          <w:sz w:val="32"/>
          <w:szCs w:val="32"/>
          <w:shd w:val="clear" w:color="auto" w:fill="FFFFFF"/>
          <w:lang w:val="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eastAsia="zh-CN"/>
        </w:rPr>
        <w:t>预算管理。在预算管理方面，我们重点分析了预算编制质量，预算编制质量得到了显著提升、支出执行进度符合预期，预算年终结余控制在合理范围内，未出现大额结余或超支情况。同时，我们严格执行一般性支出控制政策，有效降低了非必要支出</w:t>
      </w:r>
      <w:r>
        <w:rPr>
          <w:rFonts w:hint="eastAsia" w:eastAsia="仿宋_GB2312"/>
          <w:color w:val="000000"/>
          <w:kern w:val="0"/>
          <w:sz w:val="32"/>
          <w:szCs w:val="32"/>
          <w:shd w:val="clear" w:color="auto" w:fill="FFFFFF"/>
          <w:lang w:val="zh-CN"/>
        </w:rPr>
        <w:t>。</w:t>
      </w:r>
    </w:p>
    <w:p w14:paraId="7AA9CF6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eastAsia="zh-CN"/>
        </w:rPr>
        <w:t>财务管理。围绕财务管理制度、财务岗位设置以及资金使用等方面进行了规范，并严格执行了绩效分析。通过这一系列措施，确保了财务管理的科学性和规范性。财务管理制度的完善和绩效分析的实施，有助于提升资金使用的效率和透明度，减少不必要的支出，确保财务健康。</w:t>
      </w:r>
    </w:p>
    <w:p w14:paraId="7B40C01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eastAsia="zh-CN"/>
        </w:rPr>
        <w:t>资产管理。围绕资产变化率、资产利用率和资产盘活率进行了绩效分析。这些指标直接关联到资产的运营效率和价值实现。通过绩效分析，能够及时了解资产的使用情况和价值变化，从而采取相应措施提高资产利用率和盘活率。这有助于优化资产配置，提升整体资产价值。</w:t>
      </w:r>
    </w:p>
    <w:p w14:paraId="18986D4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eastAsia="仿宋_GB2312"/>
          <w:sz w:val="32"/>
          <w:highlight w:val="none"/>
          <w:lang w:eastAsia="zh-CN"/>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val="zh-CN" w:eastAsia="zh-CN"/>
        </w:rPr>
        <w:t>采购管理。提高效率和节约资金，通过整合采购项目线上、线下流转审核程序，优化采购流程，实现全流程电子化，加强采购预算编制、采购活动组织、政策功能落实等内容的审核，严格防范采购项目增加隐形债务风险。此外，通过开展专项整治，全面提升采购治理水平，规范采购代理机构行为，强化采购监督管理水平，确保采购活动的透明度和效率。</w:t>
      </w:r>
    </w:p>
    <w:p w14:paraId="650126AE">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3" w:firstLineChars="200"/>
        <w:contextualSpacing/>
        <w:jc w:val="left"/>
        <w:textAlignment w:val="auto"/>
        <w:rPr>
          <w:rFonts w:eastAsia="楷体_GB2312"/>
          <w:b/>
          <w:bCs/>
          <w:color w:val="000000"/>
          <w:kern w:val="0"/>
          <w:sz w:val="32"/>
          <w:szCs w:val="32"/>
          <w:shd w:val="clear" w:color="auto" w:fill="FFFFFF"/>
          <w:lang w:val="zh-CN"/>
        </w:rPr>
      </w:pPr>
      <w:r>
        <w:rPr>
          <w:rFonts w:hint="eastAsia" w:eastAsia="楷体_GB2312"/>
          <w:b/>
          <w:bCs/>
          <w:color w:val="000000"/>
          <w:kern w:val="0"/>
          <w:sz w:val="32"/>
          <w:szCs w:val="32"/>
          <w:shd w:val="clear" w:color="auto" w:fill="FFFFFF"/>
          <w:lang w:val="zh-CN"/>
        </w:rPr>
        <w:t>（二）</w:t>
      </w:r>
      <w:r>
        <w:rPr>
          <w:rFonts w:eastAsia="楷体_GB2312"/>
          <w:b/>
          <w:bCs/>
          <w:color w:val="000000"/>
          <w:kern w:val="0"/>
          <w:sz w:val="32"/>
          <w:szCs w:val="32"/>
          <w:shd w:val="clear" w:color="auto" w:fill="FFFFFF"/>
          <w:lang w:val="zh-CN"/>
        </w:rPr>
        <w:t>部门预算项目绩效分析</w:t>
      </w:r>
    </w:p>
    <w:p w14:paraId="4965F374">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本单位认真对部门预算项目绩效简要做了以下分析，情况如下：</w:t>
      </w:r>
    </w:p>
    <w:p w14:paraId="41AE09AF">
      <w:pPr>
        <w:keepNext w:val="0"/>
        <w:keepLines w:val="0"/>
        <w:pageBreakBefore w:val="0"/>
        <w:kinsoku/>
        <w:wordWrap/>
        <w:overflowPunct/>
        <w:topLinePunct w:val="0"/>
        <w:autoSpaceDE/>
        <w:autoSpaceDN/>
        <w:bidi w:val="0"/>
        <w:adjustRightInd w:val="0"/>
        <w:snapToGrid w:val="0"/>
        <w:spacing w:line="576" w:lineRule="exact"/>
        <w:ind w:firstLine="640" w:firstLineChars="200"/>
        <w:contextualSpacing/>
        <w:jc w:val="left"/>
        <w:textAlignment w:val="auto"/>
        <w:rPr>
          <w:rFonts w:eastAsia="仿宋_GB2312"/>
          <w:color w:val="000000"/>
          <w:kern w:val="0"/>
          <w:sz w:val="32"/>
          <w:szCs w:val="32"/>
          <w:highlight w:val="none"/>
          <w:shd w:val="clear" w:color="auto" w:fill="FFFFFF"/>
          <w:lang w:val="zh-CN"/>
        </w:rPr>
      </w:pPr>
      <w:r>
        <w:rPr>
          <w:rFonts w:eastAsia="仿宋_GB2312"/>
          <w:color w:val="000000"/>
          <w:kern w:val="0"/>
          <w:sz w:val="32"/>
          <w:szCs w:val="32"/>
          <w:highlight w:val="none"/>
          <w:shd w:val="clear" w:color="auto" w:fill="FFFFFF"/>
        </w:rPr>
        <w:t>常年项目绩效分析。</w:t>
      </w:r>
      <w:r>
        <w:rPr>
          <w:rFonts w:eastAsia="仿宋_GB2312"/>
          <w:color w:val="000000"/>
          <w:kern w:val="0"/>
          <w:sz w:val="32"/>
          <w:szCs w:val="32"/>
          <w:highlight w:val="none"/>
          <w:shd w:val="clear" w:color="auto" w:fill="FFFFFF"/>
          <w:lang w:val="zh-CN"/>
        </w:rPr>
        <w:t>该类项目总数</w:t>
      </w:r>
      <w:r>
        <w:rPr>
          <w:rFonts w:hint="eastAsia" w:eastAsia="仿宋_GB2312"/>
          <w:color w:val="000000"/>
          <w:kern w:val="0"/>
          <w:sz w:val="32"/>
          <w:szCs w:val="32"/>
          <w:highlight w:val="none"/>
          <w:shd w:val="clear" w:color="auto" w:fill="FFFFFF"/>
          <w:lang w:val="en-US" w:eastAsia="zh-CN"/>
        </w:rPr>
        <w:t>0</w:t>
      </w:r>
      <w:r>
        <w:rPr>
          <w:rFonts w:eastAsia="仿宋_GB2312"/>
          <w:color w:val="000000"/>
          <w:kern w:val="0"/>
          <w:sz w:val="32"/>
          <w:szCs w:val="32"/>
          <w:highlight w:val="none"/>
          <w:shd w:val="clear" w:color="auto" w:fill="FFFFFF"/>
          <w:lang w:val="zh-CN"/>
        </w:rPr>
        <w:t>个，涉及预算总金额</w:t>
      </w:r>
      <w:r>
        <w:rPr>
          <w:rFonts w:eastAsia="仿宋_GB2312"/>
          <w:color w:val="000000"/>
          <w:kern w:val="0"/>
          <w:sz w:val="32"/>
          <w:szCs w:val="32"/>
          <w:highlight w:val="none"/>
          <w:shd w:val="clear" w:color="auto" w:fill="FFFFFF"/>
        </w:rPr>
        <w:t xml:space="preserve"> </w:t>
      </w:r>
      <w:r>
        <w:rPr>
          <w:rFonts w:hint="eastAsia" w:eastAsia="仿宋_GB2312"/>
          <w:color w:val="000000"/>
          <w:kern w:val="0"/>
          <w:sz w:val="32"/>
          <w:szCs w:val="32"/>
          <w:highlight w:val="none"/>
          <w:shd w:val="clear" w:color="auto" w:fill="FFFFFF"/>
          <w:lang w:val="en-US" w:eastAsia="zh-CN"/>
        </w:rPr>
        <w:t>0</w:t>
      </w:r>
      <w:r>
        <w:rPr>
          <w:rFonts w:eastAsia="仿宋_GB2312"/>
          <w:color w:val="000000"/>
          <w:kern w:val="0"/>
          <w:sz w:val="32"/>
          <w:szCs w:val="32"/>
          <w:highlight w:val="none"/>
          <w:shd w:val="clear" w:color="auto" w:fill="FFFFFF"/>
          <w:lang w:val="zh-CN"/>
        </w:rPr>
        <w:t>万元，其中：预算结余率大于</w:t>
      </w:r>
      <w:r>
        <w:rPr>
          <w:rFonts w:eastAsia="仿宋_GB2312"/>
          <w:color w:val="000000"/>
          <w:kern w:val="0"/>
          <w:sz w:val="32"/>
          <w:szCs w:val="32"/>
          <w:highlight w:val="none"/>
          <w:shd w:val="clear" w:color="auto" w:fill="FFFFFF"/>
        </w:rPr>
        <w:t>10%</w:t>
      </w:r>
      <w:r>
        <w:rPr>
          <w:rFonts w:eastAsia="仿宋_GB2312"/>
          <w:color w:val="000000"/>
          <w:kern w:val="0"/>
          <w:sz w:val="32"/>
          <w:szCs w:val="32"/>
          <w:highlight w:val="none"/>
          <w:shd w:val="clear" w:color="auto" w:fill="FFFFFF"/>
          <w:lang w:val="zh-CN"/>
        </w:rPr>
        <w:t>的项目共计</w:t>
      </w:r>
      <w:r>
        <w:rPr>
          <w:rFonts w:hint="eastAsia" w:eastAsia="仿宋_GB2312"/>
          <w:color w:val="000000"/>
          <w:kern w:val="0"/>
          <w:sz w:val="32"/>
          <w:szCs w:val="32"/>
          <w:highlight w:val="none"/>
          <w:shd w:val="clear" w:color="auto" w:fill="FFFFFF"/>
          <w:lang w:val="en-US" w:eastAsia="zh-CN"/>
        </w:rPr>
        <w:t>0</w:t>
      </w:r>
      <w:r>
        <w:rPr>
          <w:rFonts w:eastAsia="仿宋_GB2312"/>
          <w:color w:val="000000"/>
          <w:kern w:val="0"/>
          <w:sz w:val="32"/>
          <w:szCs w:val="32"/>
          <w:highlight w:val="none"/>
          <w:shd w:val="clear" w:color="auto" w:fill="FFFFFF"/>
          <w:lang w:val="zh-CN"/>
        </w:rPr>
        <w:t>个。</w:t>
      </w:r>
    </w:p>
    <w:p w14:paraId="0302F194">
      <w:pPr>
        <w:keepNext w:val="0"/>
        <w:keepLines w:val="0"/>
        <w:pageBreakBefore w:val="0"/>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highlight w:val="none"/>
          <w:shd w:val="clear" w:color="auto" w:fill="FFFFFF"/>
          <w:lang w:val="en-US" w:eastAsia="zh-CN"/>
        </w:rPr>
      </w:pPr>
      <w:r>
        <w:rPr>
          <w:rFonts w:ascii="Times New Roman" w:hAnsi="Times New Roman" w:eastAsia="仿宋_GB2312" w:cs="Times New Roman"/>
          <w:color w:val="000000"/>
          <w:kern w:val="0"/>
          <w:sz w:val="32"/>
          <w:szCs w:val="32"/>
          <w:highlight w:val="none"/>
          <w:shd w:val="clear" w:color="auto" w:fill="FFFFFF"/>
        </w:rPr>
        <w:t>阶段</w:t>
      </w:r>
      <w:r>
        <w:rPr>
          <w:rFonts w:hint="eastAsia" w:ascii="Times New Roman" w:hAnsi="Times New Roman" w:eastAsia="仿宋_GB2312" w:cs="Times New Roman"/>
          <w:color w:val="000000"/>
          <w:kern w:val="0"/>
          <w:sz w:val="32"/>
          <w:szCs w:val="32"/>
          <w:highlight w:val="none"/>
          <w:shd w:val="clear" w:color="auto" w:fill="FFFFFF"/>
        </w:rPr>
        <w:t>（</w:t>
      </w:r>
      <w:r>
        <w:rPr>
          <w:rFonts w:ascii="Times New Roman" w:hAnsi="Times New Roman" w:eastAsia="仿宋_GB2312" w:cs="Times New Roman"/>
          <w:color w:val="000000"/>
          <w:kern w:val="0"/>
          <w:sz w:val="32"/>
          <w:szCs w:val="32"/>
          <w:highlight w:val="none"/>
          <w:shd w:val="clear" w:color="auto" w:fill="FFFFFF"/>
        </w:rPr>
        <w:t>一次性</w:t>
      </w:r>
      <w:r>
        <w:rPr>
          <w:rFonts w:hint="eastAsia" w:ascii="Times New Roman" w:hAnsi="Times New Roman" w:eastAsia="仿宋_GB2312" w:cs="Times New Roman"/>
          <w:color w:val="000000"/>
          <w:kern w:val="0"/>
          <w:sz w:val="32"/>
          <w:szCs w:val="32"/>
          <w:highlight w:val="none"/>
          <w:shd w:val="clear" w:color="auto" w:fill="FFFFFF"/>
        </w:rPr>
        <w:t>）</w:t>
      </w:r>
      <w:r>
        <w:rPr>
          <w:rFonts w:ascii="Times New Roman" w:hAnsi="Times New Roman" w:eastAsia="仿宋_GB2312" w:cs="Times New Roman"/>
          <w:color w:val="000000"/>
          <w:kern w:val="0"/>
          <w:sz w:val="32"/>
          <w:szCs w:val="32"/>
          <w:highlight w:val="none"/>
          <w:shd w:val="clear" w:color="auto" w:fill="FFFFFF"/>
        </w:rPr>
        <w:t>项目绩效分析。</w:t>
      </w:r>
      <w:r>
        <w:rPr>
          <w:rFonts w:ascii="Times New Roman" w:hAnsi="Times New Roman" w:eastAsia="仿宋_GB2312" w:cs="Times New Roman"/>
          <w:color w:val="000000"/>
          <w:kern w:val="0"/>
          <w:sz w:val="32"/>
          <w:szCs w:val="32"/>
          <w:highlight w:val="none"/>
          <w:shd w:val="clear" w:color="auto" w:fill="FFFFFF"/>
          <w:lang w:val="zh-CN"/>
        </w:rPr>
        <w:t>该类项目总数</w:t>
      </w:r>
      <w:r>
        <w:rPr>
          <w:rFonts w:hint="eastAsia" w:ascii="Times New Roman" w:hAnsi="Times New Roman" w:eastAsia="仿宋_GB2312" w:cs="Times New Roman"/>
          <w:color w:val="000000"/>
          <w:kern w:val="0"/>
          <w:sz w:val="32"/>
          <w:szCs w:val="32"/>
          <w:highlight w:val="none"/>
          <w:shd w:val="clear" w:color="auto" w:fill="FFFFFF"/>
          <w:lang w:val="en-US" w:eastAsia="zh-CN"/>
        </w:rPr>
        <w:t>4</w:t>
      </w:r>
      <w:r>
        <w:rPr>
          <w:rFonts w:ascii="Times New Roman" w:hAnsi="Times New Roman" w:eastAsia="仿宋_GB2312" w:cs="Times New Roman"/>
          <w:color w:val="000000"/>
          <w:kern w:val="0"/>
          <w:sz w:val="32"/>
          <w:szCs w:val="32"/>
          <w:highlight w:val="none"/>
          <w:shd w:val="clear" w:color="auto" w:fill="FFFFFF"/>
          <w:lang w:val="zh-CN"/>
        </w:rPr>
        <w:t>个，涉及预算总金额</w:t>
      </w:r>
      <w:r>
        <w:rPr>
          <w:rFonts w:hint="eastAsia" w:ascii="Times New Roman" w:hAnsi="Times New Roman" w:eastAsia="仿宋_GB2312" w:cs="Times New Roman"/>
          <w:color w:val="000000"/>
          <w:kern w:val="0"/>
          <w:sz w:val="32"/>
          <w:szCs w:val="32"/>
          <w:highlight w:val="none"/>
          <w:shd w:val="clear" w:color="auto" w:fill="FFFFFF"/>
          <w:lang w:val="en-US" w:eastAsia="zh-CN"/>
        </w:rPr>
        <w:t>206.05</w:t>
      </w:r>
      <w:r>
        <w:rPr>
          <w:rFonts w:ascii="Times New Roman" w:hAnsi="Times New Roman" w:eastAsia="仿宋_GB2312" w:cs="Times New Roman"/>
          <w:color w:val="000000"/>
          <w:kern w:val="0"/>
          <w:sz w:val="32"/>
          <w:szCs w:val="32"/>
          <w:highlight w:val="none"/>
          <w:shd w:val="clear" w:color="auto" w:fill="FFFFFF"/>
          <w:lang w:val="zh-CN"/>
        </w:rPr>
        <w:t>万元，1</w:t>
      </w:r>
      <w:r>
        <w:rPr>
          <w:rFonts w:hint="eastAsia" w:ascii="Times New Roman" w:hAnsi="Times New Roman" w:eastAsia="仿宋_GB2312" w:cs="Times New Roman"/>
          <w:color w:val="000000"/>
          <w:kern w:val="0"/>
          <w:sz w:val="32"/>
          <w:szCs w:val="32"/>
          <w:highlight w:val="none"/>
          <w:shd w:val="clear" w:color="auto" w:fill="FFFFFF"/>
          <w:lang w:val="zh-CN"/>
        </w:rPr>
        <w:t>—</w:t>
      </w:r>
      <w:r>
        <w:rPr>
          <w:rFonts w:ascii="Times New Roman" w:hAnsi="Times New Roman" w:eastAsia="仿宋_GB2312" w:cs="Times New Roman"/>
          <w:color w:val="000000"/>
          <w:kern w:val="0"/>
          <w:sz w:val="32"/>
          <w:szCs w:val="32"/>
          <w:highlight w:val="none"/>
          <w:shd w:val="clear" w:color="auto" w:fill="FFFFFF"/>
          <w:lang w:val="zh-CN"/>
        </w:rPr>
        <w:t>1</w:t>
      </w:r>
      <w:r>
        <w:rPr>
          <w:rFonts w:ascii="Times New Roman" w:hAnsi="Times New Roman" w:eastAsia="仿宋_GB2312" w:cs="Times New Roman"/>
          <w:color w:val="000000"/>
          <w:kern w:val="0"/>
          <w:sz w:val="32"/>
          <w:szCs w:val="32"/>
          <w:highlight w:val="none"/>
          <w:shd w:val="clear" w:color="auto" w:fill="FFFFFF"/>
        </w:rPr>
        <w:t>2</w:t>
      </w:r>
      <w:r>
        <w:rPr>
          <w:rFonts w:ascii="Times New Roman" w:hAnsi="Times New Roman" w:eastAsia="仿宋_GB2312" w:cs="Times New Roman"/>
          <w:color w:val="000000"/>
          <w:kern w:val="0"/>
          <w:sz w:val="32"/>
          <w:szCs w:val="32"/>
          <w:highlight w:val="none"/>
          <w:shd w:val="clear" w:color="auto" w:fill="FFFFFF"/>
          <w:lang w:val="zh-CN"/>
        </w:rPr>
        <w:t>月预算执行总体进度为</w:t>
      </w:r>
      <w:r>
        <w:rPr>
          <w:rFonts w:hint="eastAsia" w:ascii="Times New Roman" w:hAnsi="Times New Roman" w:eastAsia="仿宋_GB2312" w:cs="Times New Roman"/>
          <w:color w:val="000000"/>
          <w:kern w:val="0"/>
          <w:sz w:val="32"/>
          <w:szCs w:val="32"/>
          <w:highlight w:val="none"/>
          <w:shd w:val="clear" w:color="auto" w:fill="FFFFFF"/>
          <w:lang w:val="en-US" w:eastAsia="zh-CN"/>
        </w:rPr>
        <w:t>100</w:t>
      </w:r>
      <w:r>
        <w:rPr>
          <w:rFonts w:ascii="Times New Roman" w:hAnsi="Times New Roman" w:eastAsia="仿宋_GB2312" w:cs="Times New Roman"/>
          <w:color w:val="000000"/>
          <w:kern w:val="0"/>
          <w:sz w:val="32"/>
          <w:szCs w:val="32"/>
          <w:highlight w:val="none"/>
          <w:shd w:val="clear" w:color="auto" w:fill="FFFFFF"/>
        </w:rPr>
        <w:t xml:space="preserve"> </w:t>
      </w:r>
      <w:r>
        <w:rPr>
          <w:rFonts w:ascii="Times New Roman" w:hAnsi="Times New Roman" w:eastAsia="仿宋_GB2312" w:cs="Times New Roman"/>
          <w:color w:val="000000"/>
          <w:kern w:val="0"/>
          <w:sz w:val="32"/>
          <w:szCs w:val="32"/>
          <w:highlight w:val="none"/>
          <w:shd w:val="clear" w:color="auto" w:fill="FFFFFF"/>
          <w:lang w:val="zh-CN"/>
        </w:rPr>
        <w:t>%，其中：预算结余率大于</w:t>
      </w:r>
      <w:r>
        <w:rPr>
          <w:rFonts w:ascii="Times New Roman" w:hAnsi="Times New Roman" w:eastAsia="仿宋_GB2312" w:cs="Times New Roman"/>
          <w:color w:val="000000"/>
          <w:kern w:val="0"/>
          <w:sz w:val="32"/>
          <w:szCs w:val="32"/>
          <w:highlight w:val="none"/>
          <w:shd w:val="clear" w:color="auto" w:fill="FFFFFF"/>
        </w:rPr>
        <w:t>10%</w:t>
      </w:r>
      <w:r>
        <w:rPr>
          <w:rFonts w:ascii="Times New Roman" w:hAnsi="Times New Roman" w:eastAsia="仿宋_GB2312" w:cs="Times New Roman"/>
          <w:color w:val="000000"/>
          <w:kern w:val="0"/>
          <w:sz w:val="32"/>
          <w:szCs w:val="32"/>
          <w:highlight w:val="none"/>
          <w:shd w:val="clear" w:color="auto" w:fill="FFFFFF"/>
          <w:lang w:val="zh-CN"/>
        </w:rPr>
        <w:t>的项目共计</w:t>
      </w:r>
      <w:r>
        <w:rPr>
          <w:rFonts w:hint="eastAsia" w:ascii="Times New Roman" w:hAnsi="Times New Roman" w:eastAsia="仿宋_GB2312" w:cs="Times New Roman"/>
          <w:color w:val="000000"/>
          <w:kern w:val="0"/>
          <w:sz w:val="32"/>
          <w:szCs w:val="32"/>
          <w:highlight w:val="none"/>
          <w:shd w:val="clear" w:color="auto" w:fill="FFFFFF"/>
          <w:lang w:val="en-US" w:eastAsia="zh-CN"/>
        </w:rPr>
        <w:t>0</w:t>
      </w:r>
      <w:r>
        <w:rPr>
          <w:rFonts w:ascii="Times New Roman" w:hAnsi="Times New Roman" w:eastAsia="仿宋_GB2312" w:cs="Times New Roman"/>
          <w:color w:val="000000"/>
          <w:kern w:val="0"/>
          <w:sz w:val="32"/>
          <w:szCs w:val="32"/>
          <w:highlight w:val="none"/>
          <w:shd w:val="clear" w:color="auto" w:fill="FFFFFF"/>
          <w:lang w:val="zh-CN"/>
        </w:rPr>
        <w:t>个。</w:t>
      </w:r>
    </w:p>
    <w:p w14:paraId="0225D8B6">
      <w:pPr>
        <w:keepNext w:val="0"/>
        <w:keepLines w:val="0"/>
        <w:pageBreakBefore w:val="0"/>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eastAsia="zh-CN"/>
        </w:rPr>
        <w:t>项目决策。在项目启动之前，通过一系列科学、合理的规划来确定项目的可行性和必要性。决策程序需市场调研、风险评估、资源评估、技术可行性分析等，目标设置要具体、可衡量、可达成、相关性强、时限明确等原则。这些目标将成为项目执行过程中的指导方向，也是后续绩效评估的基准。一旦项目决策通过，项目将被正式纳入管理系统中。此时，需要进行初步的绩效分析，以评估项目预期成果与资源投入之间的匹配度，以及项目可能带来的长期效益。有助于进一步细化项目计划，确保项目资源得到合理分配，并为后续的项目执行和监控奠定基础。</w:t>
      </w:r>
    </w:p>
    <w:p w14:paraId="428D9486">
      <w:pPr>
        <w:keepNext w:val="0"/>
        <w:keepLines w:val="0"/>
        <w:pageBreakBefore w:val="0"/>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2.项目执行</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b/>
          <w:bCs/>
          <w:sz w:val="32"/>
          <w:szCs w:val="32"/>
          <w:lang w:val="zh-CN" w:eastAsia="zh-CN"/>
        </w:rPr>
        <w:t>一是</w:t>
      </w:r>
      <w:r>
        <w:rPr>
          <w:rFonts w:hint="eastAsia" w:ascii="仿宋_GB2312" w:hAnsi="仿宋_GB2312" w:eastAsia="仿宋_GB2312" w:cs="仿宋_GB2312"/>
          <w:sz w:val="32"/>
          <w:szCs w:val="32"/>
          <w:lang w:val="zh-CN" w:eastAsia="zh-CN"/>
        </w:rPr>
        <w:t>项目启动之初，需基于详细的项目计划制定科学合理的资金预算，明确各项开支的预期额度及时间安排。预算编制完成后，需经过严格的审批流程，确保预算的合理性和可行性。</w:t>
      </w:r>
      <w:r>
        <w:rPr>
          <w:rFonts w:hint="eastAsia" w:ascii="仿宋_GB2312" w:hAnsi="仿宋_GB2312" w:eastAsia="仿宋_GB2312" w:cs="仿宋_GB2312"/>
          <w:b/>
          <w:bCs/>
          <w:sz w:val="32"/>
          <w:szCs w:val="32"/>
          <w:lang w:val="zh-CN" w:eastAsia="zh-CN"/>
        </w:rPr>
        <w:t>二是</w:t>
      </w:r>
      <w:r>
        <w:rPr>
          <w:rFonts w:hint="eastAsia" w:ascii="仿宋_GB2312" w:hAnsi="仿宋_GB2312" w:eastAsia="仿宋_GB2312" w:cs="仿宋_GB2312"/>
          <w:sz w:val="32"/>
          <w:szCs w:val="32"/>
          <w:lang w:val="zh-CN" w:eastAsia="zh-CN"/>
        </w:rPr>
        <w:t>项目实施过程中，需建立有效的资金监控系统，实时跟踪资金使用情况，确保资金流与项目进度相匹配。通过精细化的成本管理和资源优化配置，减少不必要的开支，提高资金使用效率。同时，鼓励采用创新的成本控制方法，以最小的成本实现最大的项目价值。</w:t>
      </w:r>
      <w:r>
        <w:rPr>
          <w:rFonts w:hint="eastAsia" w:ascii="仿宋_GB2312" w:hAnsi="仿宋_GB2312" w:eastAsia="仿宋_GB2312" w:cs="仿宋_GB2312"/>
          <w:b/>
          <w:bCs/>
          <w:sz w:val="32"/>
          <w:szCs w:val="32"/>
          <w:lang w:val="zh-CN" w:eastAsia="zh-CN"/>
        </w:rPr>
        <w:t>三是</w:t>
      </w:r>
      <w:r>
        <w:rPr>
          <w:rFonts w:hint="eastAsia" w:ascii="仿宋_GB2312" w:hAnsi="仿宋_GB2312" w:eastAsia="仿宋_GB2312" w:cs="仿宋_GB2312"/>
          <w:sz w:val="32"/>
          <w:szCs w:val="32"/>
          <w:lang w:val="zh-CN" w:eastAsia="zh-CN"/>
        </w:rPr>
        <w:t>项目执行过程中难免会遇到各种变更需求，包括需求变更、范围变更、进度变更等。需建立完善的变更管理机制，明确变更申请、评估、审批及实施的流程确保项目有序进行。</w:t>
      </w:r>
    </w:p>
    <w:p w14:paraId="12241C66">
      <w:pPr>
        <w:keepNext w:val="0"/>
        <w:keepLines w:val="0"/>
        <w:pageBreakBefore w:val="0"/>
        <w:kinsoku/>
        <w:wordWrap/>
        <w:overflowPunct/>
        <w:topLinePunct w:val="0"/>
        <w:autoSpaceDE/>
        <w:autoSpaceDN/>
        <w:bidi w:val="0"/>
        <w:adjustRightInd w:val="0"/>
        <w:snapToGrid w:val="0"/>
        <w:spacing w:line="576" w:lineRule="exact"/>
        <w:ind w:firstLine="640" w:firstLineChars="200"/>
        <w:contextualSpacing/>
        <w:jc w:val="left"/>
        <w:textAlignment w:val="auto"/>
        <w:rPr>
          <w:rFonts w:eastAsia="仿宋_GB2312"/>
          <w:color w:val="000000"/>
          <w:kern w:val="0"/>
          <w:sz w:val="32"/>
          <w:szCs w:val="32"/>
          <w:shd w:val="clear" w:color="auto" w:fill="FFFFFF"/>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eastAsia="zh-CN"/>
        </w:rPr>
        <w:t>目标实现。目标设定与明确项目启动之初，需明确项目的总体目标及具体可量化的子目标。目标应清晰、具体、可衡量并与项目愿景和组织战略紧密相连。明确的目标为项目执行提供方向，也为后续的绩效分析奠定了基础。在项目执行过程中，需定期跟踪各项目标的完成情况。通过收集项目数据、进度报告，对比分析实际完成情况与计划目标的差距。这一过程有助于及时发现潜在问题，为采取必要的调整措施提供依据。当发现实际完成情况与计划目标存在偏差时，需进行深入的目标偏离分析。</w:t>
      </w:r>
    </w:p>
    <w:p w14:paraId="03EACE12">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）重点领域绩效分析</w:t>
      </w:r>
    </w:p>
    <w:p w14:paraId="1CB7F8CC">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eastAsia="楷体_GB2312"/>
          <w:color w:val="000000"/>
          <w:kern w:val="0"/>
          <w:sz w:val="32"/>
          <w:szCs w:val="32"/>
          <w:shd w:val="clear" w:color="auto" w:fill="FFFFFF"/>
          <w:lang w:eastAsia="zh-CN"/>
        </w:rPr>
      </w:pPr>
      <w:r>
        <w:rPr>
          <w:rFonts w:hint="eastAsia" w:eastAsia="楷体_GB2312"/>
          <w:sz w:val="32"/>
          <w:szCs w:val="32"/>
          <w:lang w:eastAsia="zh-CN"/>
        </w:rPr>
        <w:t>无</w:t>
      </w:r>
    </w:p>
    <w:p w14:paraId="27921AAB">
      <w:pPr>
        <w:keepNext w:val="0"/>
        <w:keepLines w:val="0"/>
        <w:pageBreakBefore w:val="0"/>
        <w:kinsoku/>
        <w:wordWrap/>
        <w:overflowPunct/>
        <w:topLinePunct w:val="0"/>
        <w:autoSpaceDE/>
        <w:autoSpaceDN/>
        <w:bidi w:val="0"/>
        <w:snapToGrid w:val="0"/>
        <w:spacing w:line="576" w:lineRule="exact"/>
        <w:ind w:firstLine="643" w:firstLineChars="200"/>
        <w:textAlignment w:val="auto"/>
        <w:rPr>
          <w:rFonts w:eastAsia="楷体_GB2312"/>
          <w:b/>
          <w:bCs/>
          <w:sz w:val="32"/>
          <w:szCs w:val="32"/>
          <w:lang w:val="zh-CN"/>
        </w:rPr>
      </w:pPr>
      <w:r>
        <w:rPr>
          <w:rFonts w:eastAsia="楷体_GB2312"/>
          <w:b/>
          <w:bCs/>
          <w:sz w:val="32"/>
          <w:szCs w:val="32"/>
          <w:lang w:val="zh-CN"/>
        </w:rPr>
        <w:t>（四）绩效结果应用情况</w:t>
      </w:r>
    </w:p>
    <w:p w14:paraId="3796BA2E">
      <w:pPr>
        <w:keepNext w:val="0"/>
        <w:keepLines w:val="0"/>
        <w:pageBreakBefore w:val="0"/>
        <w:kinsoku/>
        <w:wordWrap/>
        <w:overflowPunct/>
        <w:topLinePunct w:val="0"/>
        <w:autoSpaceDE/>
        <w:autoSpaceDN/>
        <w:bidi w:val="0"/>
        <w:snapToGrid w:val="0"/>
        <w:spacing w:line="576" w:lineRule="exact"/>
        <w:ind w:firstLine="643" w:firstLineChars="200"/>
        <w:textAlignment w:val="auto"/>
        <w:rPr>
          <w:rFonts w:ascii="仿宋_GB2312" w:hAnsi="仿宋_GB2312" w:eastAsia="仿宋_GB2312" w:cs="仿宋_GB2312"/>
          <w:b/>
          <w:sz w:val="32"/>
          <w:szCs w:val="32"/>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eastAsia="zh-CN"/>
        </w:rPr>
        <w:t>绩效自评结果将作为以后年度</w:t>
      </w:r>
      <w:r>
        <w:rPr>
          <w:rFonts w:hint="eastAsia" w:ascii="仿宋_GB2312" w:hAnsi="仿宋_GB2312" w:eastAsia="仿宋_GB2312" w:cs="仿宋_GB2312"/>
          <w:sz w:val="32"/>
          <w:szCs w:val="32"/>
          <w:lang w:val="en-US" w:eastAsia="zh-CN"/>
        </w:rPr>
        <w:t>项目立项和经费支持的重要依据，也作为财政部门对单位项目预算的重要参考。</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绩效自评结果公开将按照财政部门的统一要求，对绩效评价情况予以公开。</w:t>
      </w:r>
    </w:p>
    <w:p w14:paraId="60FDCD8B">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eastAsia="黑体"/>
          <w:color w:val="000000"/>
          <w:kern w:val="0"/>
          <w:sz w:val="32"/>
          <w:szCs w:val="32"/>
          <w:shd w:val="clear" w:color="auto" w:fill="FFFFFF"/>
        </w:rPr>
      </w:pPr>
      <w:r>
        <w:rPr>
          <w:rFonts w:eastAsia="黑体"/>
          <w:color w:val="000000"/>
          <w:kern w:val="0"/>
          <w:sz w:val="32"/>
          <w:szCs w:val="32"/>
          <w:shd w:val="clear" w:color="auto" w:fill="FFFFFF"/>
        </w:rPr>
        <w:t>四、评价结论及建议</w:t>
      </w:r>
    </w:p>
    <w:p w14:paraId="4224E115">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textAlignment w:val="auto"/>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（一）评价结论</w:t>
      </w:r>
    </w:p>
    <w:p w14:paraId="54B0695D">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textAlignment w:val="auto"/>
        <w:rPr>
          <w:rFonts w:ascii="仿宋_GB2312" w:hAnsi="宋体" w:eastAsia="仿宋_GB2312" w:cs="宋体"/>
          <w:color w:val="000000"/>
          <w:kern w:val="0"/>
          <w:sz w:val="32"/>
          <w:szCs w:val="32"/>
          <w:shd w:val="clear" w:color="auto" w:fill="FFFFFF"/>
        </w:rPr>
      </w:pPr>
      <w:r>
        <w:rPr>
          <w:rFonts w:hint="eastAsia" w:ascii="仿宋_GB2312" w:hAnsi="仿宋_GB2312" w:eastAsia="仿宋_GB2312" w:cs="仿宋_GB2312"/>
          <w:sz w:val="32"/>
          <w:szCs w:val="32"/>
          <w:lang w:val="zh-CN" w:eastAsia="zh-CN"/>
        </w:rPr>
        <w:t>供销社</w:t>
      </w:r>
      <w:r>
        <w:rPr>
          <w:rFonts w:hint="eastAsia" w:ascii="仿宋_GB2312" w:hAnsi="仿宋_GB2312" w:eastAsia="仿宋_GB2312" w:cs="仿宋_GB2312"/>
          <w:sz w:val="32"/>
          <w:szCs w:val="32"/>
          <w:lang w:val="en-US" w:eastAsia="zh-CN"/>
        </w:rPr>
        <w:t>认真做好年度财政资金的预算编制工作，在资金使用和管理方面，进一步强化资金统筹，优化结构，明确开支范围，细化资金用途，</w:t>
      </w:r>
      <w:r>
        <w:rPr>
          <w:rFonts w:hint="eastAsia" w:ascii="仿宋_GB2312" w:hAnsi="宋体" w:eastAsia="仿宋_GB2312" w:cs="宋体"/>
          <w:color w:val="000000"/>
          <w:kern w:val="0"/>
          <w:sz w:val="32"/>
          <w:szCs w:val="32"/>
          <w:shd w:val="clear" w:color="auto" w:fill="FFFFFF"/>
          <w:lang w:val="zh-CN"/>
        </w:rPr>
        <w:t>坚持为“三农”服务办社宗旨，提升为农服务功能；坚持以市场经济为导向，提升企业市场竞争力；坚持稳中求进的工作基调，推进供销社综合改革发展，取得了较好的成效。</w:t>
      </w:r>
      <w:r>
        <w:rPr>
          <w:rFonts w:hint="eastAsia" w:ascii="仿宋_GB2312" w:hAnsi="宋体" w:eastAsia="仿宋_GB2312" w:cs="宋体"/>
          <w:color w:val="000000"/>
          <w:kern w:val="0"/>
          <w:sz w:val="32"/>
          <w:szCs w:val="32"/>
          <w:shd w:val="clear" w:color="auto" w:fill="FFFFFF"/>
        </w:rPr>
        <w:t>2023</w:t>
      </w:r>
      <w:r>
        <w:rPr>
          <w:rFonts w:hint="eastAsia" w:ascii="仿宋_GB2312" w:hAnsi="宋体" w:eastAsia="仿宋_GB2312" w:cs="宋体"/>
          <w:color w:val="000000"/>
          <w:kern w:val="0"/>
          <w:sz w:val="32"/>
          <w:szCs w:val="32"/>
          <w:shd w:val="clear" w:color="auto" w:fill="FFFFFF"/>
          <w:lang w:val="zh-CN"/>
        </w:rPr>
        <w:t>年茂县供销合作社联合社整体支出绩效评价自查自评结果良好</w:t>
      </w:r>
      <w:r>
        <w:rPr>
          <w:rFonts w:hint="eastAsia" w:ascii="仿宋_GB2312" w:hAnsi="宋体" w:eastAsia="仿宋_GB2312" w:cs="宋体"/>
          <w:color w:val="000000"/>
          <w:kern w:val="0"/>
          <w:sz w:val="32"/>
          <w:szCs w:val="32"/>
          <w:shd w:val="clear" w:color="auto" w:fill="FFFFFF"/>
          <w:lang w:val="en-US" w:eastAsia="zh-CN"/>
        </w:rPr>
        <w:t>。</w:t>
      </w:r>
      <w:r>
        <w:rPr>
          <w:rFonts w:hint="eastAsia" w:ascii="仿宋_GB2312" w:hAnsi="仿宋_GB2312" w:eastAsia="仿宋_GB2312" w:cs="仿宋_GB2312"/>
          <w:sz w:val="32"/>
          <w:szCs w:val="32"/>
          <w:lang w:val="en-US" w:eastAsia="zh-CN"/>
        </w:rPr>
        <w:t>整体上完成了年初设定的绩效目标，保障了单位的正常运转，降低了运行成本，促进了社会和谐稳定，充分发挥了财政资金的经济效益、社会效益。</w:t>
      </w:r>
    </w:p>
    <w:p w14:paraId="6F086E8C">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（二）存在问题</w:t>
      </w:r>
    </w:p>
    <w:p w14:paraId="3E15E00C">
      <w:pPr>
        <w:keepNext w:val="0"/>
        <w:keepLines w:val="0"/>
        <w:pageBreakBefore w:val="0"/>
        <w:widowControl/>
        <w:kinsoku/>
        <w:wordWrap/>
        <w:overflowPunct/>
        <w:topLinePunct w:val="0"/>
        <w:autoSpaceDE/>
        <w:autoSpaceDN/>
        <w:bidi w:val="0"/>
        <w:adjustRightInd w:val="0"/>
        <w:snapToGrid w:val="0"/>
        <w:spacing w:line="576" w:lineRule="exact"/>
        <w:ind w:firstLine="608" w:firstLineChars="200"/>
        <w:contextualSpacing/>
        <w:jc w:val="left"/>
        <w:textAlignment w:val="auto"/>
        <w:rPr>
          <w:rFonts w:hint="eastAsia" w:ascii="仿宋_GB2312" w:hAnsi="仿宋_GB2312" w:eastAsia="仿宋_GB2312" w:cs="仿宋_GB2312"/>
          <w:w w:val="95"/>
          <w:kern w:val="0"/>
          <w:sz w:val="32"/>
          <w:szCs w:val="32"/>
        </w:rPr>
      </w:pPr>
      <w:r>
        <w:rPr>
          <w:rFonts w:hint="eastAsia" w:ascii="仿宋_GB2312" w:hAnsi="仿宋_GB2312" w:eastAsia="仿宋_GB2312" w:cs="仿宋_GB2312"/>
          <w:w w:val="95"/>
          <w:kern w:val="0"/>
          <w:sz w:val="32"/>
          <w:szCs w:val="32"/>
        </w:rPr>
        <w:t>预算绩效观念不深入，思想认识有误区。对预算绩效管理的认知不到位，存在“两轻两重”的惯性思维，重视资金分配而忽视资金使用效率。专业人员匮乏，规范管理有盲点。</w:t>
      </w:r>
    </w:p>
    <w:p w14:paraId="3EBAD79E">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（三</w:t>
      </w:r>
      <w:r>
        <w:rPr>
          <w:rFonts w:hint="eastAsia" w:eastAsia="楷体_GB2312"/>
          <w:b/>
          <w:bCs/>
          <w:color w:val="000000"/>
          <w:kern w:val="0"/>
          <w:sz w:val="32"/>
          <w:szCs w:val="32"/>
          <w:shd w:val="clear" w:color="auto" w:fill="FFFFFF"/>
          <w:lang w:val="zh-CN"/>
        </w:rPr>
        <w:t>）</w:t>
      </w:r>
      <w:r>
        <w:rPr>
          <w:rFonts w:eastAsia="楷体_GB2312"/>
          <w:b/>
          <w:bCs/>
          <w:color w:val="000000"/>
          <w:kern w:val="0"/>
          <w:sz w:val="32"/>
          <w:szCs w:val="32"/>
          <w:shd w:val="clear" w:color="auto" w:fill="FFFFFF"/>
          <w:lang w:val="zh-CN"/>
        </w:rPr>
        <w:t>改进建议</w:t>
      </w:r>
    </w:p>
    <w:p w14:paraId="76DCB363">
      <w:pPr>
        <w:keepNext w:val="0"/>
        <w:keepLines w:val="0"/>
        <w:pageBreakBefore w:val="0"/>
        <w:kinsoku/>
        <w:wordWrap/>
        <w:overflowPunct/>
        <w:topLinePunct w:val="0"/>
        <w:autoSpaceDE/>
        <w:autoSpaceDN/>
        <w:bidi w:val="0"/>
        <w:spacing w:line="576" w:lineRule="exact"/>
        <w:ind w:firstLine="608" w:firstLineChars="200"/>
        <w:contextualSpacing/>
        <w:textAlignment w:val="auto"/>
        <w:rPr>
          <w:rFonts w:hint="eastAsia" w:ascii="仿宋_GB2312" w:hAnsi="仿宋_GB2312" w:eastAsia="仿宋_GB2312" w:cs="仿宋_GB2312"/>
          <w:w w:val="95"/>
          <w:kern w:val="0"/>
          <w:sz w:val="32"/>
          <w:szCs w:val="32"/>
        </w:rPr>
      </w:pPr>
      <w:r>
        <w:rPr>
          <w:rFonts w:hint="eastAsia" w:ascii="仿宋_GB2312" w:hAnsi="仿宋_GB2312" w:eastAsia="仿宋_GB2312" w:cs="仿宋_GB2312"/>
          <w:w w:val="95"/>
          <w:kern w:val="0"/>
          <w:sz w:val="32"/>
          <w:szCs w:val="32"/>
        </w:rPr>
        <w:t>通过召开会议、举办业务讲座等多种形式，提高</w:t>
      </w:r>
      <w:r>
        <w:rPr>
          <w:rFonts w:hint="eastAsia" w:ascii="仿宋_GB2312" w:hAnsi="仿宋_GB2312" w:eastAsia="仿宋_GB2312" w:cs="仿宋_GB2312"/>
          <w:w w:val="95"/>
          <w:kern w:val="0"/>
          <w:sz w:val="32"/>
          <w:szCs w:val="32"/>
          <w:lang w:eastAsia="zh-CN"/>
        </w:rPr>
        <w:t>我社</w:t>
      </w:r>
      <w:r>
        <w:rPr>
          <w:rFonts w:hint="eastAsia" w:ascii="仿宋_GB2312" w:hAnsi="仿宋_GB2312" w:eastAsia="仿宋_GB2312" w:cs="仿宋_GB2312"/>
          <w:w w:val="95"/>
          <w:kern w:val="0"/>
          <w:sz w:val="32"/>
          <w:szCs w:val="32"/>
        </w:rPr>
        <w:t>领导和财务人员</w:t>
      </w:r>
      <w:r>
        <w:rPr>
          <w:rFonts w:hint="eastAsia" w:ascii="仿宋_GB2312" w:hAnsi="仿宋_GB2312" w:eastAsia="仿宋_GB2312" w:cs="仿宋_GB2312"/>
          <w:w w:val="95"/>
          <w:kern w:val="0"/>
          <w:sz w:val="32"/>
          <w:szCs w:val="32"/>
          <w:lang w:eastAsia="zh-CN"/>
        </w:rPr>
        <w:t>、项目人员</w:t>
      </w:r>
      <w:r>
        <w:rPr>
          <w:rFonts w:hint="eastAsia" w:ascii="仿宋_GB2312" w:hAnsi="仿宋_GB2312" w:eastAsia="仿宋_GB2312" w:cs="仿宋_GB2312"/>
          <w:w w:val="95"/>
          <w:kern w:val="0"/>
          <w:sz w:val="32"/>
          <w:szCs w:val="32"/>
        </w:rPr>
        <w:t>的预算绩效管理意识，确保绩效理念深入人心。通过培训和教育，提高预算单位财务人员</w:t>
      </w:r>
      <w:r>
        <w:rPr>
          <w:rFonts w:hint="eastAsia" w:ascii="仿宋_GB2312" w:hAnsi="仿宋_GB2312" w:eastAsia="仿宋_GB2312" w:cs="仿宋_GB2312"/>
          <w:w w:val="95"/>
          <w:kern w:val="0"/>
          <w:sz w:val="32"/>
          <w:szCs w:val="32"/>
          <w:lang w:eastAsia="zh-CN"/>
        </w:rPr>
        <w:t>和项目人员</w:t>
      </w:r>
      <w:r>
        <w:rPr>
          <w:rFonts w:hint="eastAsia" w:ascii="仿宋_GB2312" w:hAnsi="仿宋_GB2312" w:eastAsia="仿宋_GB2312" w:cs="仿宋_GB2312"/>
          <w:w w:val="95"/>
          <w:kern w:val="0"/>
          <w:sz w:val="32"/>
          <w:szCs w:val="32"/>
        </w:rPr>
        <w:t>的专业素养，确保管理工作的高效执行。</w:t>
      </w:r>
    </w:p>
    <w:p w14:paraId="6BFEA46D">
      <w:pPr>
        <w:keepNext w:val="0"/>
        <w:keepLines w:val="0"/>
        <w:pageBreakBefore w:val="0"/>
        <w:widowControl w:val="0"/>
        <w:kinsoku/>
        <w:wordWrap/>
        <w:overflowPunct/>
        <w:topLinePunct w:val="0"/>
        <w:autoSpaceDE/>
        <w:autoSpaceDN/>
        <w:bidi w:val="0"/>
        <w:spacing w:line="576" w:lineRule="exact"/>
        <w:ind w:left="1060" w:leftChars="200" w:hanging="640" w:hangingChars="200"/>
        <w:jc w:val="both"/>
        <w:textAlignment w:val="auto"/>
        <w:rPr>
          <w:rFonts w:ascii="Times New Roman" w:hAnsi="Times New Roman" w:eastAsia="仿宋_GB2312" w:cs="Times New Roman"/>
          <w:kern w:val="2"/>
          <w:sz w:val="32"/>
          <w:szCs w:val="24"/>
          <w:lang w:val="en-US" w:eastAsia="zh-CN" w:bidi="ar-SA"/>
        </w:rPr>
      </w:pPr>
    </w:p>
    <w:p w14:paraId="1873CF4B">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黑体" w:hAnsi="黑体" w:eastAsia="黑体" w:cs="黑体"/>
          <w:sz w:val="32"/>
        </w:rPr>
      </w:pPr>
      <w:r>
        <w:rPr>
          <w:rFonts w:hint="eastAsia" w:eastAsia="仿宋_GB2312"/>
          <w:color w:val="000000"/>
          <w:kern w:val="0"/>
          <w:sz w:val="32"/>
          <w:szCs w:val="32"/>
          <w:shd w:val="clear" w:color="auto" w:fill="FFFFFF"/>
        </w:rPr>
        <w:t>附表：</w:t>
      </w:r>
      <w:r>
        <w:rPr>
          <w:rFonts w:eastAsia="仿宋_GB2312"/>
          <w:color w:val="000000"/>
          <w:kern w:val="0"/>
          <w:sz w:val="32"/>
          <w:szCs w:val="32"/>
          <w:shd w:val="clear" w:color="auto" w:fill="FFFFFF"/>
        </w:rPr>
        <w:t>部门</w:t>
      </w:r>
      <w:bookmarkStart w:id="134" w:name="_GoBack"/>
      <w:bookmarkEnd w:id="134"/>
      <w:r>
        <w:rPr>
          <w:rFonts w:eastAsia="仿宋_GB2312"/>
          <w:color w:val="000000"/>
          <w:kern w:val="0"/>
          <w:sz w:val="32"/>
          <w:szCs w:val="32"/>
          <w:shd w:val="clear" w:color="auto" w:fill="FFFFFF"/>
        </w:rPr>
        <w:t>整体支出绩效目标完成情况自评表</w:t>
      </w:r>
      <w:r>
        <w:rPr>
          <w:rFonts w:eastAsia="仿宋_GB2312"/>
          <w:color w:val="000000"/>
          <w:kern w:val="0"/>
          <w:sz w:val="32"/>
          <w:szCs w:val="32"/>
          <w:shd w:val="clear" w:color="auto" w:fill="FFFFFF"/>
        </w:rPr>
        <w:br w:type="page"/>
      </w:r>
      <w:r>
        <w:rPr>
          <w:rFonts w:hint="eastAsia" w:ascii="黑体" w:hAnsi="黑体" w:eastAsia="黑体" w:cs="黑体"/>
          <w:sz w:val="32"/>
        </w:rPr>
        <w:t>附表</w:t>
      </w:r>
    </w:p>
    <w:tbl>
      <w:tblPr>
        <w:tblStyle w:val="23"/>
        <w:tblW w:w="82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3"/>
        <w:gridCol w:w="1135"/>
        <w:gridCol w:w="1138"/>
        <w:gridCol w:w="1293"/>
        <w:gridCol w:w="448"/>
        <w:gridCol w:w="912"/>
        <w:gridCol w:w="747"/>
        <w:gridCol w:w="530"/>
        <w:gridCol w:w="504"/>
        <w:gridCol w:w="650"/>
      </w:tblGrid>
      <w:tr w14:paraId="68413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8" w:hRule="atLeast"/>
        </w:trPr>
        <w:tc>
          <w:tcPr>
            <w:tcW w:w="8260" w:type="dxa"/>
            <w:gridSpan w:val="10"/>
            <w:tcBorders>
              <w:top w:val="nil"/>
              <w:left w:val="nil"/>
              <w:bottom w:val="nil"/>
              <w:right w:val="nil"/>
            </w:tcBorders>
            <w:shd w:val="clear" w:color="auto" w:fill="auto"/>
            <w:vAlign w:val="center"/>
          </w:tcPr>
          <w:p w14:paraId="30229C3A">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部门整体支出绩效目标表</w:t>
            </w:r>
          </w:p>
        </w:tc>
      </w:tr>
      <w:tr w14:paraId="63D6B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8260" w:type="dxa"/>
            <w:gridSpan w:val="10"/>
            <w:tcBorders>
              <w:top w:val="nil"/>
              <w:left w:val="nil"/>
              <w:bottom w:val="nil"/>
              <w:right w:val="nil"/>
            </w:tcBorders>
            <w:shd w:val="clear" w:color="auto" w:fill="auto"/>
            <w:vAlign w:val="center"/>
          </w:tcPr>
          <w:p w14:paraId="5B9DF1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（2023年度）</w:t>
            </w:r>
          </w:p>
        </w:tc>
      </w:tr>
      <w:tr w14:paraId="78EAB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8260" w:type="dxa"/>
            <w:gridSpan w:val="10"/>
            <w:tcBorders>
              <w:top w:val="nil"/>
              <w:left w:val="nil"/>
              <w:bottom w:val="single" w:color="000000" w:sz="4" w:space="0"/>
              <w:right w:val="nil"/>
            </w:tcBorders>
            <w:shd w:val="clear" w:color="auto" w:fill="auto"/>
            <w:vAlign w:val="center"/>
          </w:tcPr>
          <w:p w14:paraId="52F2050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14:paraId="6AC7C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C5B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508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CE190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茂县供销合作社联合社本级</w:t>
            </w:r>
          </w:p>
        </w:tc>
      </w:tr>
      <w:tr w14:paraId="172E0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9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5FE9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年度部门整体支出预算</w:t>
            </w:r>
          </w:p>
        </w:tc>
        <w:tc>
          <w:tcPr>
            <w:tcW w:w="2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2CEC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26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AAC9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w:t>
            </w:r>
          </w:p>
        </w:tc>
        <w:tc>
          <w:tcPr>
            <w:tcW w:w="24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8B34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r>
      <w:tr w14:paraId="5773E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744A4">
            <w:pPr>
              <w:jc w:val="center"/>
              <w:rPr>
                <w:rFonts w:hint="eastAsia" w:ascii="宋体" w:hAnsi="宋体" w:eastAsia="宋体" w:cs="宋体"/>
                <w:i w:val="0"/>
                <w:iCs w:val="0"/>
                <w:color w:val="000000"/>
                <w:sz w:val="18"/>
                <w:szCs w:val="18"/>
                <w:u w:val="none"/>
              </w:rPr>
            </w:pPr>
          </w:p>
        </w:tc>
        <w:tc>
          <w:tcPr>
            <w:tcW w:w="2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CF64A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160.13</w:t>
            </w:r>
          </w:p>
        </w:tc>
        <w:tc>
          <w:tcPr>
            <w:tcW w:w="26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7B871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160.13</w:t>
            </w:r>
          </w:p>
        </w:tc>
        <w:tc>
          <w:tcPr>
            <w:tcW w:w="24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8E0D5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r>
      <w:tr w14:paraId="3B2A0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3F0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年度总体目标</w:t>
            </w:r>
          </w:p>
        </w:tc>
        <w:tc>
          <w:tcPr>
            <w:tcW w:w="735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A5C7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面深入推进综合改革，提升为农服务能力。;加快体制、机制创新;有效的开展调运、储备重要物质工作;维护合作经济组织的合法权益;推进农业产业化经营;推进建立现代化流通体系和现代化营销方式;确保社有资产的保值、增值;加强对外经济合作;完成好上级主管部门、县委县政府交办的其他工作;</w:t>
            </w:r>
          </w:p>
        </w:tc>
      </w:tr>
      <w:tr w14:paraId="3B04C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9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0CC4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2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5B1C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508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6506C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14:paraId="7FFC7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C4221">
            <w:pPr>
              <w:jc w:val="center"/>
              <w:rPr>
                <w:rFonts w:hint="eastAsia" w:ascii="宋体" w:hAnsi="宋体" w:eastAsia="宋体" w:cs="宋体"/>
                <w:i w:val="0"/>
                <w:iCs w:val="0"/>
                <w:color w:val="000000"/>
                <w:sz w:val="18"/>
                <w:szCs w:val="18"/>
                <w:u w:val="none"/>
              </w:rPr>
            </w:pPr>
          </w:p>
        </w:tc>
        <w:tc>
          <w:tcPr>
            <w:tcW w:w="2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86B8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加强项目建设和储备</w:t>
            </w:r>
          </w:p>
        </w:tc>
        <w:tc>
          <w:tcPr>
            <w:tcW w:w="508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FDC76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申报项目资金，开展</w:t>
            </w:r>
            <w:r>
              <w:rPr>
                <w:rFonts w:hint="eastAsia" w:ascii="宋体" w:hAnsi="宋体" w:eastAsia="宋体" w:cs="宋体"/>
                <w:i w:val="0"/>
                <w:iCs w:val="0"/>
                <w:color w:val="000000"/>
                <w:kern w:val="0"/>
                <w:sz w:val="18"/>
                <w:szCs w:val="18"/>
                <w:u w:val="none"/>
                <w:lang w:val="en-US" w:eastAsia="zh-CN" w:bidi="ar"/>
              </w:rPr>
              <w:t>茂县</w:t>
            </w:r>
            <w:r>
              <w:rPr>
                <w:rFonts w:ascii="宋体" w:hAnsi="宋体" w:eastAsia="宋体" w:cs="宋体"/>
                <w:i w:val="0"/>
                <w:iCs w:val="0"/>
                <w:color w:val="000000"/>
                <w:kern w:val="0"/>
                <w:sz w:val="18"/>
                <w:szCs w:val="18"/>
                <w:u w:val="none"/>
                <w:lang w:val="en-US" w:eastAsia="zh-CN" w:bidi="ar"/>
              </w:rPr>
              <w:t>农特产品推介，拓宽茂县农产品销路，使农户增收致富。</w:t>
            </w:r>
          </w:p>
        </w:tc>
      </w:tr>
      <w:tr w14:paraId="39363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D1A72">
            <w:pPr>
              <w:jc w:val="center"/>
              <w:rPr>
                <w:rFonts w:hint="eastAsia" w:ascii="宋体" w:hAnsi="宋体" w:eastAsia="宋体" w:cs="宋体"/>
                <w:i w:val="0"/>
                <w:iCs w:val="0"/>
                <w:color w:val="000000"/>
                <w:sz w:val="18"/>
                <w:szCs w:val="18"/>
                <w:u w:val="none"/>
              </w:rPr>
            </w:pPr>
          </w:p>
        </w:tc>
        <w:tc>
          <w:tcPr>
            <w:tcW w:w="2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CAA3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深化企业改革发展</w:t>
            </w:r>
          </w:p>
        </w:tc>
        <w:tc>
          <w:tcPr>
            <w:tcW w:w="508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35CD6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深化企业改革发展，转型企业经营模式和方向，采取</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技物结合</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的方式，强化服务职能。</w:t>
            </w:r>
          </w:p>
        </w:tc>
      </w:tr>
      <w:tr w14:paraId="31204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1DAFD">
            <w:pPr>
              <w:jc w:val="center"/>
              <w:rPr>
                <w:rFonts w:hint="eastAsia" w:ascii="宋体" w:hAnsi="宋体" w:eastAsia="宋体" w:cs="宋体"/>
                <w:i w:val="0"/>
                <w:iCs w:val="0"/>
                <w:color w:val="000000"/>
                <w:sz w:val="18"/>
                <w:szCs w:val="18"/>
                <w:u w:val="none"/>
              </w:rPr>
            </w:pPr>
          </w:p>
        </w:tc>
        <w:tc>
          <w:tcPr>
            <w:tcW w:w="2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50E1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加强政治理论学习，强化党建引领</w:t>
            </w:r>
          </w:p>
        </w:tc>
        <w:tc>
          <w:tcPr>
            <w:tcW w:w="508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61626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建立健全学习制度，深入学习贯彻党的二十大精神，认真履行</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一岗双责</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，扎实推进党风廉政建设和反腐败工作。</w:t>
            </w:r>
          </w:p>
        </w:tc>
      </w:tr>
      <w:tr w14:paraId="47A42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B15A1">
            <w:pPr>
              <w:jc w:val="center"/>
              <w:rPr>
                <w:rFonts w:hint="eastAsia" w:ascii="宋体" w:hAnsi="宋体" w:eastAsia="宋体" w:cs="宋体"/>
                <w:i w:val="0"/>
                <w:iCs w:val="0"/>
                <w:color w:val="000000"/>
                <w:sz w:val="18"/>
                <w:szCs w:val="18"/>
                <w:u w:val="none"/>
              </w:rPr>
            </w:pPr>
          </w:p>
        </w:tc>
        <w:tc>
          <w:tcPr>
            <w:tcW w:w="2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8577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安全生产</w:t>
            </w:r>
          </w:p>
        </w:tc>
        <w:tc>
          <w:tcPr>
            <w:tcW w:w="508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32361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持续做好二不寨村和供销系统的”五防一安全“和群众的矛盾化解暨安全稳定工作，切实维护人民群众生命财产安全。</w:t>
            </w:r>
          </w:p>
        </w:tc>
      </w:tr>
      <w:tr w14:paraId="39743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trPr>
        <w:tc>
          <w:tcPr>
            <w:tcW w:w="9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65B1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D32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38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082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3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1418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绩效指标性质</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FD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绩效指标值</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997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绩效度量单位</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957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38B29">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实际完成数</w:t>
            </w:r>
          </w:p>
        </w:tc>
      </w:tr>
      <w:tr w14:paraId="26B92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7701F">
            <w:pPr>
              <w:jc w:val="center"/>
              <w:rPr>
                <w:rFonts w:hint="eastAsia" w:ascii="宋体" w:hAnsi="宋体" w:eastAsia="宋体" w:cs="宋体"/>
                <w:i w:val="0"/>
                <w:iCs w:val="0"/>
                <w:color w:val="000000"/>
                <w:sz w:val="18"/>
                <w:szCs w:val="18"/>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580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BC3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7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A136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在规定时限内完成所需项目申报工作</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5A1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A62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61C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390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84A48">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21DB7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7B0BD">
            <w:pPr>
              <w:jc w:val="center"/>
              <w:rPr>
                <w:rFonts w:hint="eastAsia" w:ascii="宋体" w:hAnsi="宋体" w:eastAsia="宋体" w:cs="宋体"/>
                <w:i w:val="0"/>
                <w:iCs w:val="0"/>
                <w:color w:val="000000"/>
                <w:sz w:val="18"/>
                <w:szCs w:val="18"/>
                <w:u w:val="none"/>
              </w:rPr>
            </w:pPr>
          </w:p>
        </w:tc>
        <w:tc>
          <w:tcPr>
            <w:tcW w:w="11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0E7B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A53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7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2F54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拓宽茂县农产品销路，使农户增收致富</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5ED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712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D7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种</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52E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B1072">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66E49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66AC0">
            <w:pPr>
              <w:jc w:val="center"/>
              <w:rPr>
                <w:rFonts w:hint="eastAsia" w:ascii="宋体" w:hAnsi="宋体" w:eastAsia="宋体" w:cs="宋体"/>
                <w:i w:val="0"/>
                <w:iCs w:val="0"/>
                <w:color w:val="000000"/>
                <w:sz w:val="18"/>
                <w:szCs w:val="18"/>
                <w:u w:val="none"/>
              </w:rPr>
            </w:pPr>
          </w:p>
        </w:tc>
        <w:tc>
          <w:tcPr>
            <w:tcW w:w="11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168D0">
            <w:pPr>
              <w:jc w:val="left"/>
              <w:rPr>
                <w:rFonts w:hint="eastAsia" w:ascii="宋体" w:hAnsi="宋体" w:eastAsia="宋体" w:cs="宋体"/>
                <w:i w:val="0"/>
                <w:iCs w:val="0"/>
                <w:color w:val="000000"/>
                <w:sz w:val="18"/>
                <w:szCs w:val="18"/>
                <w:u w:val="none"/>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1F8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7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A324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积极有效解决服务对象及供销系统相关问题</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8DC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B9C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D19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B33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9075F">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2AAAE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0ECA9">
            <w:pPr>
              <w:jc w:val="center"/>
              <w:rPr>
                <w:rFonts w:hint="eastAsia" w:ascii="宋体" w:hAnsi="宋体" w:eastAsia="宋体" w:cs="宋体"/>
                <w:i w:val="0"/>
                <w:iCs w:val="0"/>
                <w:color w:val="000000"/>
                <w:sz w:val="18"/>
                <w:szCs w:val="18"/>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2A4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481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7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1F5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服务对象对我社服务满意度</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9DB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3DB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F6D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408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4E1A">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85</w:t>
            </w:r>
          </w:p>
        </w:tc>
      </w:tr>
      <w:tr w14:paraId="61A70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0AD96">
            <w:pPr>
              <w:jc w:val="center"/>
              <w:rPr>
                <w:rFonts w:hint="eastAsia" w:ascii="宋体" w:hAnsi="宋体" w:eastAsia="宋体" w:cs="宋体"/>
                <w:i w:val="0"/>
                <w:iCs w:val="0"/>
                <w:color w:val="000000"/>
                <w:sz w:val="18"/>
                <w:szCs w:val="18"/>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09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118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7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5EFE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以农资补贴形式，在我社购买肥料每100元享受5元补贴，减少农民5%的投入成本</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0D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08C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7CA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357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E2EDA">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bl>
    <w:p w14:paraId="47CBA406">
      <w:pPr>
        <w:pStyle w:val="8"/>
        <w:ind w:left="0" w:leftChars="0" w:firstLine="0" w:firstLineChars="0"/>
        <w:rPr>
          <w:rFonts w:ascii="Times New Roman" w:eastAsia="黑体"/>
          <w:sz w:val="24"/>
          <w:szCs w:val="24"/>
        </w:rPr>
      </w:pPr>
    </w:p>
    <w:p w14:paraId="7690BA52">
      <w:pPr>
        <w:pStyle w:val="8"/>
        <w:ind w:left="0" w:leftChars="0" w:firstLine="0" w:firstLineChars="0"/>
        <w:rPr>
          <w:rFonts w:ascii="Times New Roman" w:eastAsia="黑体"/>
          <w:sz w:val="24"/>
          <w:szCs w:val="24"/>
        </w:rPr>
      </w:pPr>
    </w:p>
    <w:p w14:paraId="64B501EC">
      <w:pPr>
        <w:pStyle w:val="8"/>
        <w:ind w:left="0" w:leftChars="0" w:firstLine="0" w:firstLineChars="0"/>
        <w:rPr>
          <w:rFonts w:ascii="Times New Roman" w:eastAsia="黑体"/>
          <w:sz w:val="24"/>
          <w:szCs w:val="24"/>
        </w:rPr>
      </w:pPr>
    </w:p>
    <w:p w14:paraId="27E7523E">
      <w:pPr>
        <w:pStyle w:val="8"/>
        <w:ind w:left="0" w:leftChars="0" w:firstLine="0" w:firstLineChars="0"/>
        <w:rPr>
          <w:rFonts w:ascii="Times New Roman" w:eastAsia="黑体"/>
          <w:sz w:val="24"/>
          <w:szCs w:val="24"/>
        </w:rPr>
      </w:pPr>
    </w:p>
    <w:p w14:paraId="744CDEC1">
      <w:pPr>
        <w:pStyle w:val="8"/>
        <w:ind w:left="0" w:leftChars="0" w:firstLine="0" w:firstLineChars="0"/>
        <w:rPr>
          <w:rFonts w:ascii="Times New Roman" w:eastAsia="黑体"/>
          <w:sz w:val="24"/>
          <w:szCs w:val="24"/>
        </w:rPr>
      </w:pPr>
    </w:p>
    <w:p w14:paraId="4064BA6B">
      <w:pPr>
        <w:pStyle w:val="8"/>
        <w:ind w:left="0" w:leftChars="0" w:firstLine="0" w:firstLineChars="0"/>
        <w:rPr>
          <w:rFonts w:ascii="Times New Roman" w:eastAsia="黑体"/>
          <w:sz w:val="24"/>
          <w:szCs w:val="24"/>
        </w:rPr>
      </w:pPr>
    </w:p>
    <w:p w14:paraId="03E4B0B5">
      <w:pPr>
        <w:pStyle w:val="8"/>
        <w:ind w:left="0" w:leftChars="0" w:firstLine="0" w:firstLineChars="0"/>
        <w:rPr>
          <w:rFonts w:ascii="Times New Roman" w:eastAsia="黑体"/>
          <w:sz w:val="24"/>
          <w:szCs w:val="24"/>
        </w:rPr>
      </w:pPr>
    </w:p>
    <w:p w14:paraId="3A10430D">
      <w:pPr>
        <w:pStyle w:val="8"/>
        <w:ind w:left="0" w:leftChars="0" w:firstLine="0" w:firstLineChars="0"/>
        <w:rPr>
          <w:rFonts w:ascii="Times New Roman" w:eastAsia="黑体"/>
          <w:sz w:val="24"/>
          <w:szCs w:val="24"/>
        </w:rPr>
      </w:pPr>
    </w:p>
    <w:p w14:paraId="0C31DA1B">
      <w:pPr>
        <w:pStyle w:val="8"/>
        <w:ind w:left="0" w:leftChars="0" w:firstLine="0" w:firstLineChars="0"/>
        <w:rPr>
          <w:rFonts w:ascii="Times New Roman" w:eastAsia="黑体"/>
          <w:sz w:val="24"/>
          <w:szCs w:val="24"/>
        </w:rPr>
      </w:pPr>
    </w:p>
    <w:p w14:paraId="2FC49A81">
      <w:pPr>
        <w:pStyle w:val="8"/>
        <w:ind w:left="0" w:leftChars="0" w:firstLine="0" w:firstLineChars="0"/>
        <w:rPr>
          <w:rFonts w:ascii="Times New Roman" w:eastAsia="黑体"/>
          <w:sz w:val="24"/>
          <w:szCs w:val="24"/>
        </w:rPr>
      </w:pPr>
    </w:p>
    <w:p w14:paraId="427919AA">
      <w:pPr>
        <w:pStyle w:val="8"/>
        <w:ind w:left="0" w:leftChars="0" w:firstLine="0" w:firstLineChars="0"/>
        <w:rPr>
          <w:rFonts w:ascii="Times New Roman" w:eastAsia="黑体"/>
          <w:sz w:val="24"/>
          <w:szCs w:val="24"/>
        </w:rPr>
      </w:pPr>
    </w:p>
    <w:p w14:paraId="3185C3F5">
      <w:pPr>
        <w:pStyle w:val="8"/>
        <w:ind w:left="0" w:leftChars="0" w:firstLine="0" w:firstLineChars="0"/>
        <w:rPr>
          <w:rFonts w:ascii="Times New Roman" w:eastAsia="黑体"/>
          <w:sz w:val="24"/>
          <w:szCs w:val="24"/>
        </w:rPr>
      </w:pPr>
    </w:p>
    <w:p w14:paraId="4691AB92">
      <w:pPr>
        <w:pStyle w:val="8"/>
        <w:ind w:left="0" w:leftChars="0" w:firstLine="0" w:firstLineChars="0"/>
        <w:rPr>
          <w:rFonts w:ascii="Times New Roman" w:eastAsia="黑体"/>
          <w:sz w:val="24"/>
          <w:szCs w:val="24"/>
        </w:rPr>
      </w:pPr>
    </w:p>
    <w:p w14:paraId="51AAA7DF">
      <w:pPr>
        <w:pStyle w:val="8"/>
        <w:ind w:left="0" w:leftChars="0" w:firstLine="0" w:firstLineChars="0"/>
        <w:rPr>
          <w:rFonts w:ascii="Times New Roman" w:eastAsia="黑体"/>
          <w:sz w:val="24"/>
          <w:szCs w:val="24"/>
        </w:rPr>
      </w:pPr>
    </w:p>
    <w:p w14:paraId="788B7EAC">
      <w:pPr>
        <w:pStyle w:val="8"/>
        <w:ind w:left="0" w:leftChars="0" w:firstLine="0" w:firstLineChars="0"/>
        <w:rPr>
          <w:rFonts w:ascii="Times New Roman" w:eastAsia="黑体"/>
          <w:sz w:val="24"/>
          <w:szCs w:val="24"/>
        </w:rPr>
      </w:pPr>
    </w:p>
    <w:p w14:paraId="0CBA8A3D">
      <w:pPr>
        <w:pStyle w:val="8"/>
        <w:ind w:left="0" w:leftChars="0" w:firstLine="0" w:firstLineChars="0"/>
        <w:rPr>
          <w:rFonts w:ascii="Times New Roman" w:eastAsia="黑体"/>
          <w:sz w:val="24"/>
          <w:szCs w:val="24"/>
        </w:rPr>
      </w:pPr>
    </w:p>
    <w:p w14:paraId="0E97D9C1">
      <w:pPr>
        <w:pStyle w:val="8"/>
        <w:ind w:left="0" w:leftChars="0" w:firstLine="0" w:firstLineChars="0"/>
        <w:rPr>
          <w:rFonts w:ascii="Times New Roman" w:eastAsia="黑体"/>
          <w:sz w:val="24"/>
          <w:szCs w:val="24"/>
        </w:rPr>
      </w:pPr>
    </w:p>
    <w:p w14:paraId="39CC26A5">
      <w:pPr>
        <w:pStyle w:val="8"/>
        <w:ind w:left="0" w:leftChars="0" w:firstLine="0" w:firstLineChars="0"/>
        <w:rPr>
          <w:rFonts w:ascii="Times New Roman" w:eastAsia="黑体"/>
          <w:sz w:val="24"/>
          <w:szCs w:val="24"/>
        </w:rPr>
      </w:pPr>
    </w:p>
    <w:p w14:paraId="71570ADC">
      <w:pPr>
        <w:pStyle w:val="8"/>
        <w:ind w:left="0" w:leftChars="0" w:firstLine="0" w:firstLineChars="0"/>
        <w:rPr>
          <w:rFonts w:ascii="Times New Roman" w:eastAsia="黑体"/>
          <w:sz w:val="24"/>
          <w:szCs w:val="24"/>
        </w:rPr>
      </w:pPr>
    </w:p>
    <w:p w14:paraId="2F4D92C6">
      <w:pPr>
        <w:pStyle w:val="8"/>
        <w:ind w:left="0" w:leftChars="0" w:firstLine="0" w:firstLineChars="0"/>
        <w:rPr>
          <w:rFonts w:ascii="Times New Roman" w:eastAsia="黑体"/>
          <w:sz w:val="24"/>
          <w:szCs w:val="24"/>
        </w:rPr>
      </w:pPr>
    </w:p>
    <w:p w14:paraId="53EDEB49">
      <w:pPr>
        <w:pStyle w:val="8"/>
        <w:ind w:left="0" w:leftChars="0" w:firstLine="0" w:firstLineChars="0"/>
        <w:rPr>
          <w:rFonts w:ascii="Times New Roman" w:eastAsia="黑体"/>
          <w:sz w:val="24"/>
          <w:szCs w:val="24"/>
        </w:rPr>
      </w:pPr>
    </w:p>
    <w:p w14:paraId="0D6297DF">
      <w:pPr>
        <w:pStyle w:val="8"/>
        <w:ind w:left="0" w:leftChars="0" w:firstLine="0" w:firstLineChars="0"/>
        <w:rPr>
          <w:rFonts w:ascii="Times New Roman" w:eastAsia="黑体"/>
          <w:sz w:val="24"/>
          <w:szCs w:val="24"/>
        </w:rPr>
      </w:pPr>
    </w:p>
    <w:p w14:paraId="4D4D1F38">
      <w:pPr>
        <w:pStyle w:val="8"/>
        <w:ind w:left="0" w:leftChars="0" w:firstLine="0" w:firstLineChars="0"/>
        <w:rPr>
          <w:rFonts w:ascii="Times New Roman" w:eastAsia="黑体"/>
          <w:sz w:val="24"/>
          <w:szCs w:val="24"/>
        </w:rPr>
      </w:pPr>
    </w:p>
    <w:p w14:paraId="2960CB4B">
      <w:pPr>
        <w:pStyle w:val="8"/>
        <w:ind w:left="0" w:leftChars="0" w:firstLine="0" w:firstLineChars="0"/>
        <w:rPr>
          <w:rFonts w:ascii="Times New Roman" w:eastAsia="黑体"/>
          <w:sz w:val="24"/>
          <w:szCs w:val="24"/>
        </w:rPr>
      </w:pPr>
    </w:p>
    <w:p w14:paraId="21EAAC9E">
      <w:pPr>
        <w:pStyle w:val="8"/>
        <w:ind w:left="0" w:leftChars="0" w:firstLine="0" w:firstLineChars="0"/>
        <w:rPr>
          <w:rFonts w:ascii="Times New Roman" w:eastAsia="黑体"/>
          <w:sz w:val="24"/>
          <w:szCs w:val="24"/>
        </w:rPr>
      </w:pPr>
    </w:p>
    <w:p w14:paraId="3950026E">
      <w:pPr>
        <w:pStyle w:val="8"/>
        <w:ind w:left="0" w:leftChars="0" w:firstLine="0" w:firstLineChars="0"/>
        <w:rPr>
          <w:rFonts w:ascii="Times New Roman" w:eastAsia="黑体"/>
          <w:sz w:val="24"/>
          <w:szCs w:val="24"/>
        </w:rPr>
      </w:pPr>
    </w:p>
    <w:p w14:paraId="76A7E9E5">
      <w:pPr>
        <w:pStyle w:val="8"/>
        <w:ind w:left="0" w:leftChars="0" w:firstLine="0" w:firstLineChars="0"/>
        <w:rPr>
          <w:rFonts w:ascii="Times New Roman" w:eastAsia="黑体"/>
          <w:sz w:val="24"/>
          <w:szCs w:val="24"/>
        </w:rPr>
      </w:pPr>
    </w:p>
    <w:p w14:paraId="16DEA337">
      <w:pPr>
        <w:pStyle w:val="8"/>
        <w:ind w:left="0" w:leftChars="0" w:firstLine="0" w:firstLineChars="0"/>
        <w:rPr>
          <w:rFonts w:ascii="Times New Roman" w:eastAsia="黑体"/>
          <w:sz w:val="24"/>
          <w:szCs w:val="24"/>
        </w:rPr>
      </w:pPr>
    </w:p>
    <w:p w14:paraId="559E2870">
      <w:pPr>
        <w:spacing w:line="600" w:lineRule="exact"/>
        <w:jc w:val="left"/>
        <w:outlineLvl w:val="0"/>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附件2</w:t>
      </w:r>
    </w:p>
    <w:p w14:paraId="38314F72">
      <w:pPr>
        <w:keepNext w:val="0"/>
        <w:keepLines w:val="0"/>
        <w:pageBreakBefore w:val="0"/>
        <w:widowControl w:val="0"/>
        <w:kinsoku/>
        <w:wordWrap/>
        <w:overflowPunct/>
        <w:topLinePunct w:val="0"/>
        <w:autoSpaceDE/>
        <w:autoSpaceDN/>
        <w:bidi w:val="0"/>
        <w:spacing w:line="576" w:lineRule="exact"/>
        <w:jc w:val="center"/>
        <w:textAlignment w:val="auto"/>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茂县供销合作社联合社</w:t>
      </w:r>
    </w:p>
    <w:p w14:paraId="1EE98DA0">
      <w:pPr>
        <w:keepNext w:val="0"/>
        <w:keepLines w:val="0"/>
        <w:pageBreakBefore w:val="0"/>
        <w:widowControl w:val="0"/>
        <w:kinsoku/>
        <w:wordWrap/>
        <w:overflowPunct/>
        <w:topLinePunct w:val="0"/>
        <w:autoSpaceDE/>
        <w:autoSpaceDN/>
        <w:bidi w:val="0"/>
        <w:spacing w:line="576" w:lineRule="exact"/>
        <w:jc w:val="center"/>
        <w:textAlignment w:val="auto"/>
        <w:rPr>
          <w:rFonts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“茂农服”数字平台项目绩效评价报告</w:t>
      </w:r>
    </w:p>
    <w:p w14:paraId="60F3F562">
      <w:pPr>
        <w:keepNext w:val="0"/>
        <w:keepLines w:val="0"/>
        <w:pageBreakBefore w:val="0"/>
        <w:widowControl w:val="0"/>
        <w:kinsoku/>
        <w:wordWrap/>
        <w:overflowPunct/>
        <w:topLinePunct w:val="0"/>
        <w:autoSpaceDE/>
        <w:autoSpaceDN/>
        <w:bidi w:val="0"/>
        <w:spacing w:line="576" w:lineRule="exact"/>
        <w:ind w:firstLine="640"/>
        <w:jc w:val="center"/>
        <w:textAlignment w:val="auto"/>
        <w:rPr>
          <w:rFonts w:ascii="宋体" w:hAnsi="宋体" w:eastAsia="宋体" w:cs="Times New Roman"/>
          <w:color w:val="auto"/>
          <w:kern w:val="2"/>
          <w:sz w:val="32"/>
          <w:szCs w:val="32"/>
          <w:lang w:val="zh-CN" w:eastAsia="zh-CN" w:bidi="ar-SA"/>
        </w:rPr>
      </w:pPr>
    </w:p>
    <w:p w14:paraId="597FE451">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1E837557">
      <w:pPr>
        <w:keepNext w:val="0"/>
        <w:keepLines w:val="0"/>
        <w:pageBreakBefore w:val="0"/>
        <w:kinsoku/>
        <w:wordWrap/>
        <w:overflowPunct/>
        <w:topLinePunct w:val="0"/>
        <w:autoSpaceDE/>
        <w:autoSpaceDN/>
        <w:bidi w:val="0"/>
        <w:spacing w:line="576" w:lineRule="exact"/>
        <w:ind w:firstLine="643" w:firstLineChars="20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（一）设立背景及基本情况</w:t>
      </w:r>
    </w:p>
    <w:p w14:paraId="4A1F037B">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eastAsia="仿宋_GB2312" w:cs="Times New Roman"/>
          <w:kern w:val="2"/>
          <w:sz w:val="32"/>
          <w:szCs w:val="32"/>
          <w:u w:val="none"/>
          <w:lang w:eastAsia="zh-CN"/>
        </w:rPr>
      </w:pPr>
      <w:r>
        <w:rPr>
          <w:rFonts w:hint="eastAsia" w:ascii="仿宋_GB2312" w:eastAsia="仿宋_GB2312" w:cs="Times New Roman"/>
          <w:kern w:val="2"/>
          <w:sz w:val="32"/>
          <w:szCs w:val="32"/>
          <w:u w:val="none"/>
          <w:lang w:val="en-US" w:eastAsia="zh-CN"/>
        </w:rPr>
        <w:t>根据《浙江省平湖市、四川省茂县战略框架合作协议》，为进一步加快茂县数字农业发展，2022年2月向县对口支援和省内对口帮扶工作领导小组申请《关于审定&lt;茂县数字农业服务平台项目实施方案&gt;（茂供〔2022〕9号文件）》，3月下达了《关于&lt;茂县2022年浙江对口支援项目资金预安排的函&gt;（茂受援办函〔2022〕6号）文件》安排资金290万元。</w:t>
      </w:r>
    </w:p>
    <w:p w14:paraId="11720A25">
      <w:pPr>
        <w:keepNext w:val="0"/>
        <w:keepLines w:val="0"/>
        <w:pageBreakBefore w:val="0"/>
        <w:kinsoku/>
        <w:wordWrap/>
        <w:overflowPunct/>
        <w:topLinePunct w:val="0"/>
        <w:autoSpaceDE/>
        <w:autoSpaceDN/>
        <w:bidi w:val="0"/>
        <w:spacing w:line="576" w:lineRule="exact"/>
        <w:ind w:firstLine="645"/>
        <w:textAlignment w:val="auto"/>
        <w:rPr>
          <w:rFonts w:ascii="楷体_GB2312" w:hAnsi="宋体" w:eastAsia="楷体_GB2312"/>
          <w:b/>
          <w:sz w:val="32"/>
          <w:szCs w:val="32"/>
        </w:rPr>
      </w:pPr>
      <w:r>
        <w:rPr>
          <w:rFonts w:hint="eastAsia" w:ascii="楷体_GB2312" w:hAnsi="宋体" w:eastAsia="楷体_GB2312"/>
          <w:b/>
          <w:sz w:val="32"/>
          <w:szCs w:val="32"/>
          <w:lang w:val="zh-CN"/>
        </w:rPr>
        <w:t>（二）</w:t>
      </w:r>
      <w:r>
        <w:rPr>
          <w:rFonts w:ascii="楷体_GB2312" w:hAnsi="宋体" w:eastAsia="楷体_GB2312"/>
          <w:b/>
          <w:sz w:val="32"/>
          <w:szCs w:val="32"/>
        </w:rPr>
        <w:t>实施目的及支持方向</w:t>
      </w:r>
    </w:p>
    <w:p w14:paraId="3760F552">
      <w:pPr>
        <w:keepNext w:val="0"/>
        <w:keepLines w:val="0"/>
        <w:pageBreakBefore w:val="0"/>
        <w:kinsoku/>
        <w:wordWrap/>
        <w:overflowPunct/>
        <w:topLinePunct w:val="0"/>
        <w:autoSpaceDE/>
        <w:autoSpaceDN/>
        <w:bidi w:val="0"/>
        <w:spacing w:line="576" w:lineRule="exact"/>
        <w:ind w:firstLine="645"/>
        <w:textAlignment w:val="auto"/>
        <w:rPr>
          <w:rFonts w:hint="eastAsia" w:ascii="仿宋_GB2312" w:hAnsi="Times New Roman" w:eastAsia="仿宋_GB2312" w:cs="仿宋_GB2312"/>
          <w:sz w:val="32"/>
          <w:szCs w:val="32"/>
          <w:lang w:val="zh-CN" w:eastAsia="zh-CN"/>
        </w:rPr>
      </w:pPr>
      <w:r>
        <w:rPr>
          <w:rFonts w:hint="eastAsia" w:ascii="仿宋_GB2312" w:eastAsia="仿宋_GB2312"/>
          <w:sz w:val="32"/>
          <w:szCs w:val="32"/>
        </w:rPr>
        <w:t>按照《数字乡村发展战略纲要》的有关要求，积极推进乡村数字化建设，以数字化手段为乡村振兴和现代农业发展赋能</w:t>
      </w:r>
      <w:r>
        <w:rPr>
          <w:rFonts w:hint="eastAsia" w:ascii="仿宋" w:eastAsia="仿宋" w:cs="仿宋"/>
          <w:sz w:val="32"/>
          <w:szCs w:val="32"/>
        </w:rPr>
        <w:t>。</w:t>
      </w:r>
      <w:r>
        <w:rPr>
          <w:rFonts w:hint="eastAsia" w:ascii="仿宋_GB2312" w:eastAsia="仿宋_GB2312" w:cs="Times New Roman"/>
          <w:kern w:val="2"/>
          <w:sz w:val="32"/>
          <w:szCs w:val="32"/>
          <w:u w:val="none"/>
        </w:rPr>
        <w:t>符合</w:t>
      </w:r>
      <w:r>
        <w:rPr>
          <w:rFonts w:hint="eastAsia" w:ascii="仿宋_GB2312" w:eastAsia="仿宋_GB2312" w:cs="Times New Roman"/>
          <w:kern w:val="2"/>
          <w:sz w:val="32"/>
          <w:szCs w:val="32"/>
          <w:u w:val="none"/>
          <w:lang w:val="en-US" w:eastAsia="zh-CN"/>
        </w:rPr>
        <w:t>对口支援资金</w:t>
      </w:r>
      <w:r>
        <w:rPr>
          <w:rFonts w:hint="eastAsia" w:ascii="仿宋_GB2312" w:eastAsia="仿宋_GB2312" w:cs="Times New Roman"/>
          <w:kern w:val="2"/>
          <w:sz w:val="32"/>
          <w:szCs w:val="32"/>
          <w:u w:val="none"/>
        </w:rPr>
        <w:t>支持方向。</w:t>
      </w:r>
    </w:p>
    <w:p w14:paraId="27CF718A">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ascii="楷体_GB2312" w:hAnsi="宋体" w:eastAsia="楷体_GB2312"/>
          <w:b/>
          <w:sz w:val="32"/>
          <w:szCs w:val="32"/>
        </w:rPr>
      </w:pPr>
      <w:r>
        <w:rPr>
          <w:rFonts w:hint="eastAsia" w:ascii="楷体_GB2312" w:hAnsi="宋体" w:eastAsia="楷体_GB2312"/>
          <w:b/>
          <w:sz w:val="32"/>
          <w:szCs w:val="32"/>
          <w:lang w:val="zh-CN"/>
        </w:rPr>
        <w:t>（三）</w:t>
      </w:r>
      <w:r>
        <w:rPr>
          <w:rFonts w:ascii="楷体_GB2312" w:hAnsi="宋体" w:eastAsia="楷体_GB2312"/>
          <w:b/>
          <w:sz w:val="32"/>
          <w:szCs w:val="32"/>
        </w:rPr>
        <w:t>预算安排及分配管理</w:t>
      </w:r>
    </w:p>
    <w:p w14:paraId="2576BF89">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仿宋_GB2312" w:hAnsi="仿宋_GB2312" w:eastAsia="仿宋_GB2312" w:cs="仿宋_GB2312"/>
          <w:kern w:val="0"/>
          <w:sz w:val="32"/>
          <w:szCs w:val="32"/>
          <w:shd w:val="clear" w:color="auto" w:fill="FFFFFF"/>
          <w:lang w:val="zh-CN"/>
        </w:rPr>
      </w:pPr>
      <w:r>
        <w:rPr>
          <w:rFonts w:hint="eastAsia" w:ascii="仿宋_GB2312" w:eastAsia="仿宋_GB2312" w:cs="Times New Roman"/>
          <w:kern w:val="2"/>
          <w:sz w:val="32"/>
          <w:szCs w:val="32"/>
          <w:u w:val="none"/>
        </w:rPr>
        <w:t>预算</w:t>
      </w:r>
      <w:r>
        <w:rPr>
          <w:rFonts w:hint="eastAsia" w:ascii="仿宋_GB2312" w:eastAsia="仿宋_GB2312" w:cs="Times New Roman"/>
          <w:kern w:val="2"/>
          <w:sz w:val="32"/>
          <w:szCs w:val="32"/>
          <w:u w:val="none"/>
          <w:lang w:val="en-US" w:eastAsia="zh-CN"/>
        </w:rPr>
        <w:t>安排资金320</w:t>
      </w:r>
      <w:r>
        <w:rPr>
          <w:rFonts w:hint="eastAsia" w:ascii="仿宋_GB2312" w:eastAsia="仿宋_GB2312" w:cs="Times New Roman"/>
          <w:kern w:val="2"/>
          <w:sz w:val="32"/>
          <w:szCs w:val="32"/>
          <w:u w:val="none"/>
        </w:rPr>
        <w:t>万元，</w:t>
      </w:r>
      <w:r>
        <w:rPr>
          <w:rFonts w:hint="eastAsia" w:ascii="仿宋_GB2312" w:eastAsia="仿宋_GB2312" w:cs="Times New Roman"/>
          <w:kern w:val="2"/>
          <w:sz w:val="32"/>
          <w:szCs w:val="32"/>
          <w:u w:val="none"/>
          <w:lang w:val="en-US" w:eastAsia="zh-CN"/>
        </w:rPr>
        <w:t>其中：</w:t>
      </w:r>
      <w:r>
        <w:rPr>
          <w:rFonts w:hint="eastAsia" w:ascii="仿宋_GB2312" w:eastAsia="仿宋_GB2312" w:cs="Times New Roman"/>
          <w:kern w:val="2"/>
          <w:sz w:val="32"/>
          <w:szCs w:val="32"/>
          <w:u w:val="none"/>
        </w:rPr>
        <w:t>基础设备设施</w:t>
      </w:r>
      <w:r>
        <w:rPr>
          <w:rFonts w:hint="eastAsia" w:ascii="仿宋_GB2312" w:eastAsia="仿宋_GB2312" w:cs="Times New Roman"/>
          <w:kern w:val="2"/>
          <w:sz w:val="32"/>
          <w:szCs w:val="32"/>
          <w:u w:val="none"/>
          <w:lang w:val="en-US" w:eastAsia="zh-CN"/>
        </w:rPr>
        <w:t>及</w:t>
      </w:r>
      <w:r>
        <w:rPr>
          <w:rFonts w:hint="eastAsia" w:ascii="仿宋_GB2312" w:eastAsia="仿宋_GB2312" w:cs="Times New Roman"/>
          <w:kern w:val="2"/>
          <w:sz w:val="32"/>
          <w:szCs w:val="32"/>
          <w:u w:val="none"/>
          <w:lang w:eastAsia="zh-CN"/>
        </w:rPr>
        <w:t>茂县数字农业服务平台</w:t>
      </w:r>
      <w:r>
        <w:rPr>
          <w:rFonts w:hint="eastAsia" w:ascii="仿宋_GB2312" w:eastAsia="仿宋_GB2312" w:cs="Times New Roman"/>
          <w:kern w:val="2"/>
          <w:sz w:val="32"/>
          <w:szCs w:val="32"/>
          <w:u w:val="none"/>
          <w:lang w:val="en-US" w:eastAsia="zh-CN"/>
        </w:rPr>
        <w:t>252</w:t>
      </w:r>
      <w:r>
        <w:rPr>
          <w:rFonts w:hint="eastAsia" w:ascii="仿宋_GB2312" w:eastAsia="仿宋_GB2312" w:cs="Times New Roman"/>
          <w:kern w:val="2"/>
          <w:sz w:val="32"/>
          <w:szCs w:val="32"/>
          <w:u w:val="none"/>
          <w:lang w:eastAsia="zh-CN"/>
        </w:rPr>
        <w:t>万元、</w:t>
      </w:r>
      <w:r>
        <w:rPr>
          <w:rFonts w:hint="eastAsia" w:ascii="仿宋_GB2312" w:eastAsia="仿宋_GB2312" w:cs="Times New Roman"/>
          <w:kern w:val="2"/>
          <w:sz w:val="32"/>
          <w:szCs w:val="32"/>
          <w:u w:val="none"/>
          <w:lang w:val="en-US" w:eastAsia="zh-CN"/>
        </w:rPr>
        <w:t>三社融合资金50万元、</w:t>
      </w:r>
      <w:r>
        <w:rPr>
          <w:rFonts w:hint="eastAsia" w:ascii="仿宋_GB2312" w:eastAsia="仿宋_GB2312" w:cs="Times New Roman"/>
          <w:kern w:val="2"/>
          <w:sz w:val="32"/>
          <w:szCs w:val="32"/>
          <w:u w:val="none"/>
          <w:lang w:eastAsia="zh-CN"/>
        </w:rPr>
        <w:t>二类费用</w:t>
      </w:r>
      <w:r>
        <w:rPr>
          <w:rFonts w:hint="eastAsia" w:ascii="仿宋_GB2312" w:eastAsia="仿宋_GB2312" w:cs="Times New Roman"/>
          <w:kern w:val="2"/>
          <w:sz w:val="32"/>
          <w:szCs w:val="32"/>
          <w:u w:val="none"/>
          <w:lang w:val="en-US" w:eastAsia="zh-CN"/>
        </w:rPr>
        <w:t>18</w:t>
      </w:r>
      <w:r>
        <w:rPr>
          <w:rFonts w:hint="eastAsia" w:ascii="仿宋_GB2312" w:eastAsia="仿宋_GB2312" w:cs="Times New Roman"/>
          <w:kern w:val="2"/>
          <w:sz w:val="32"/>
          <w:szCs w:val="32"/>
          <w:u w:val="none"/>
          <w:lang w:eastAsia="zh-CN"/>
        </w:rPr>
        <w:t>万元。</w:t>
      </w:r>
    </w:p>
    <w:p w14:paraId="57C58689">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黑体" w:hAnsi="宋体" w:eastAsia="黑体"/>
          <w:sz w:val="32"/>
          <w:szCs w:val="32"/>
        </w:rPr>
      </w:pPr>
      <w:r>
        <w:rPr>
          <w:rFonts w:hint="eastAsia" w:ascii="黑体" w:hAnsi="宋体" w:eastAsia="黑体"/>
          <w:sz w:val="32"/>
          <w:szCs w:val="32"/>
        </w:rPr>
        <w:t>二、评价实施</w:t>
      </w:r>
    </w:p>
    <w:p w14:paraId="785220A9">
      <w:pPr>
        <w:keepNext w:val="0"/>
        <w:keepLines w:val="0"/>
        <w:pageBreakBefore w:val="0"/>
        <w:kinsoku/>
        <w:wordWrap/>
        <w:overflowPunct/>
        <w:topLinePunct w:val="0"/>
        <w:autoSpaceDE/>
        <w:autoSpaceDN/>
        <w:bidi w:val="0"/>
        <w:spacing w:line="576" w:lineRule="exact"/>
        <w:ind w:firstLine="64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（一）评价目的</w:t>
      </w:r>
    </w:p>
    <w:p w14:paraId="09778E70">
      <w:pPr>
        <w:keepNext w:val="0"/>
        <w:keepLines w:val="0"/>
        <w:pageBreakBefore w:val="0"/>
        <w:kinsoku/>
        <w:wordWrap/>
        <w:overflowPunct/>
        <w:topLinePunct w:val="0"/>
        <w:autoSpaceDE/>
        <w:autoSpaceDN/>
        <w:bidi w:val="0"/>
        <w:spacing w:line="576" w:lineRule="exact"/>
        <w:ind w:firstLine="640"/>
        <w:textAlignment w:val="auto"/>
        <w:rPr>
          <w:rFonts w:eastAsia="仿宋_GB2312"/>
          <w:sz w:val="32"/>
          <w:szCs w:val="32"/>
        </w:rPr>
      </w:pPr>
      <w:r>
        <w:rPr>
          <w:rFonts w:hint="eastAsia" w:eastAsia="仿宋_GB2312"/>
          <w:sz w:val="32"/>
          <w:szCs w:val="32"/>
        </w:rPr>
        <w:t>为贯彻落实中央、省、州关于全面实施预算绩效管理有关文件精神，推进全面实施预算绩效管理工作深入开展的要求，对项目依据、绩效目标、资金管理、项目完成、项目效益等方面进行全面、客观、公正的评价，对资金支出行为过程及其效果进行综合评价和判断，评价资金使用的科学性、合理性和有效性，分析存在的问题，提出资金管理、项目管理相关建议，提高资金使用效益。</w:t>
      </w:r>
    </w:p>
    <w:p w14:paraId="5DAFA6DA">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（二）预设问题及评价重点</w:t>
      </w:r>
    </w:p>
    <w:p w14:paraId="37C289F9">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eastAsia="仿宋_GB2312"/>
          <w:sz w:val="32"/>
          <w:szCs w:val="32"/>
        </w:rPr>
      </w:pPr>
      <w:r>
        <w:rPr>
          <w:rFonts w:hint="eastAsia" w:ascii="仿宋_GB2312" w:hAnsi="仿宋_GB2312" w:eastAsia="仿宋_GB2312" w:cs="仿宋_GB2312"/>
          <w:kern w:val="2"/>
          <w:sz w:val="32"/>
          <w:szCs w:val="32"/>
          <w:lang w:val="en-US" w:eastAsia="zh-CN"/>
        </w:rPr>
        <w:t>2022年</w:t>
      </w:r>
      <w:r>
        <w:rPr>
          <w:rFonts w:hint="eastAsia" w:ascii="仿宋_GB2312" w:eastAsia="仿宋_GB2312" w:cs="Times New Roman"/>
          <w:kern w:val="2"/>
          <w:sz w:val="32"/>
          <w:szCs w:val="32"/>
          <w:u w:val="none"/>
        </w:rPr>
        <w:t>茂县数字农业服务平台项目</w:t>
      </w:r>
      <w:r>
        <w:rPr>
          <w:rFonts w:hint="eastAsia" w:eastAsia="仿宋_GB2312"/>
          <w:sz w:val="32"/>
          <w:szCs w:val="32"/>
        </w:rPr>
        <w:t>资金支出使用全过程</w:t>
      </w:r>
      <w:r>
        <w:rPr>
          <w:rFonts w:hint="eastAsia" w:eastAsia="仿宋_GB2312"/>
          <w:sz w:val="32"/>
          <w:szCs w:val="32"/>
          <w:lang w:eastAsia="zh-CN"/>
        </w:rPr>
        <w:t>规范。</w:t>
      </w:r>
    </w:p>
    <w:p w14:paraId="39BF9A01">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（三）评价选点</w:t>
      </w:r>
    </w:p>
    <w:p w14:paraId="2E32E256">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eastAsia="仿宋_GB2312"/>
          <w:sz w:val="32"/>
          <w:szCs w:val="32"/>
          <w:lang w:val="zh-CN"/>
        </w:rPr>
      </w:pPr>
      <w:r>
        <w:rPr>
          <w:rFonts w:hint="eastAsia" w:eastAsia="仿宋_GB2312"/>
          <w:sz w:val="32"/>
          <w:szCs w:val="32"/>
          <w:lang w:val="zh-CN"/>
        </w:rPr>
        <w:t>茂县供销合作社联合社</w:t>
      </w:r>
    </w:p>
    <w:p w14:paraId="77BD638D">
      <w:pPr>
        <w:keepNext w:val="0"/>
        <w:keepLines w:val="0"/>
        <w:pageBreakBefore w:val="0"/>
        <w:numPr>
          <w:ilvl w:val="0"/>
          <w:numId w:val="3"/>
        </w:numPr>
        <w:kinsoku/>
        <w:wordWrap/>
        <w:overflowPunct/>
        <w:topLinePunct w:val="0"/>
        <w:autoSpaceDE/>
        <w:autoSpaceDN/>
        <w:bidi w:val="0"/>
        <w:spacing w:line="576" w:lineRule="exact"/>
        <w:ind w:firstLine="64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评价方法</w:t>
      </w:r>
    </w:p>
    <w:p w14:paraId="0C353822">
      <w:pPr>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eastAsia="仿宋_GB2312"/>
          <w:sz w:val="32"/>
          <w:szCs w:val="32"/>
        </w:rPr>
      </w:pPr>
      <w:r>
        <w:rPr>
          <w:rFonts w:hint="eastAsia" w:ascii="Times New Roman" w:hAnsi="Times New Roman" w:eastAsia="仿宋_GB2312" w:cs="Times New Roman"/>
          <w:sz w:val="32"/>
          <w:szCs w:val="32"/>
          <w:lang w:eastAsia="zh-CN"/>
        </w:rPr>
        <w:t>采用</w:t>
      </w:r>
      <w:r>
        <w:rPr>
          <w:rFonts w:eastAsia="仿宋_GB2312"/>
          <w:sz w:val="32"/>
          <w:szCs w:val="32"/>
        </w:rPr>
        <w:t>单位自评法</w:t>
      </w:r>
      <w:r>
        <w:rPr>
          <w:rFonts w:hint="eastAsia" w:eastAsia="仿宋_GB2312"/>
          <w:sz w:val="32"/>
          <w:szCs w:val="32"/>
        </w:rPr>
        <w:t>。</w:t>
      </w:r>
    </w:p>
    <w:p w14:paraId="68CFE1F5">
      <w:pPr>
        <w:keepNext w:val="0"/>
        <w:keepLines w:val="0"/>
        <w:pageBreakBefore w:val="0"/>
        <w:widowControl/>
        <w:tabs>
          <w:tab w:val="left" w:pos="2160"/>
        </w:tabs>
        <w:kinsoku/>
        <w:wordWrap/>
        <w:overflowPunct/>
        <w:topLinePunct w:val="0"/>
        <w:autoSpaceDE/>
        <w:autoSpaceDN/>
        <w:bidi w:val="0"/>
        <w:spacing w:line="576" w:lineRule="exact"/>
        <w:ind w:firstLine="640" w:firstLineChars="200"/>
        <w:jc w:val="left"/>
        <w:textAlignment w:val="auto"/>
        <w:rPr>
          <w:rFonts w:hint="eastAsia"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三、绩效分析</w:t>
      </w:r>
    </w:p>
    <w:p w14:paraId="5FB7F5B0">
      <w:pPr>
        <w:keepNext w:val="0"/>
        <w:keepLines w:val="0"/>
        <w:pageBreakBefore w:val="0"/>
        <w:kinsoku/>
        <w:wordWrap/>
        <w:overflowPunct/>
        <w:topLinePunct w:val="0"/>
        <w:autoSpaceDE/>
        <w:autoSpaceDN/>
        <w:bidi w:val="0"/>
        <w:spacing w:line="576" w:lineRule="exact"/>
        <w:ind w:firstLine="640"/>
        <w:textAlignment w:val="auto"/>
        <w:rPr>
          <w:rFonts w:ascii="楷体_GB2312" w:hAnsi="宋体" w:eastAsia="楷体_GB2312"/>
          <w:b/>
          <w:sz w:val="32"/>
          <w:szCs w:val="32"/>
        </w:rPr>
      </w:pPr>
      <w:r>
        <w:rPr>
          <w:rFonts w:hint="eastAsia" w:ascii="楷体_GB2312" w:hAnsi="宋体" w:eastAsia="楷体_GB2312"/>
          <w:b/>
          <w:sz w:val="32"/>
          <w:szCs w:val="32"/>
          <w:lang w:val="zh-CN"/>
        </w:rPr>
        <w:t>（一）</w:t>
      </w:r>
      <w:r>
        <w:rPr>
          <w:rFonts w:hint="eastAsia" w:ascii="楷体_GB2312" w:hAnsi="宋体" w:eastAsia="楷体_GB2312"/>
          <w:b/>
          <w:sz w:val="32"/>
          <w:szCs w:val="32"/>
        </w:rPr>
        <w:t>通用指标</w:t>
      </w:r>
      <w:r>
        <w:rPr>
          <w:rFonts w:eastAsia="楷体_GB2312"/>
          <w:b/>
          <w:bCs/>
          <w:color w:val="000000"/>
          <w:kern w:val="0"/>
          <w:sz w:val="32"/>
          <w:szCs w:val="32"/>
          <w:shd w:val="clear" w:color="auto" w:fill="FFFFFF"/>
          <w:lang w:val="zh-CN"/>
        </w:rPr>
        <w:t>绩效分析</w:t>
      </w:r>
    </w:p>
    <w:p w14:paraId="04EC31ED">
      <w:pPr>
        <w:keepNext w:val="0"/>
        <w:keepLines w:val="0"/>
        <w:pageBreakBefore w:val="0"/>
        <w:kinsoku/>
        <w:wordWrap/>
        <w:overflowPunct/>
        <w:topLinePunct w:val="0"/>
        <w:autoSpaceDE/>
        <w:autoSpaceDN/>
        <w:bidi w:val="0"/>
        <w:spacing w:line="576" w:lineRule="exact"/>
        <w:ind w:firstLine="640"/>
        <w:textAlignment w:val="auto"/>
        <w:rPr>
          <w:rFonts w:hint="default" w:eastAsia="仿宋_GB2312"/>
          <w:sz w:val="32"/>
          <w:szCs w:val="32"/>
          <w:lang w:val="en-US" w:eastAsia="zh-CN"/>
        </w:rPr>
      </w:pPr>
      <w:r>
        <w:rPr>
          <w:rFonts w:hint="eastAsia" w:eastAsia="仿宋_GB2312"/>
          <w:sz w:val="32"/>
          <w:szCs w:val="32"/>
        </w:rPr>
        <w:t>1.项目决策。决策程序</w:t>
      </w:r>
      <w:r>
        <w:rPr>
          <w:rFonts w:hint="eastAsia" w:eastAsia="仿宋_GB2312"/>
          <w:sz w:val="32"/>
          <w:szCs w:val="32"/>
          <w:lang w:eastAsia="zh-CN"/>
        </w:rPr>
        <w:t>严密，</w:t>
      </w:r>
      <w:r>
        <w:rPr>
          <w:rFonts w:hint="eastAsia" w:eastAsia="仿宋_GB2312"/>
          <w:sz w:val="32"/>
          <w:szCs w:val="32"/>
        </w:rPr>
        <w:t>符合资金管理基本规范和决策程序要求</w:t>
      </w:r>
      <w:r>
        <w:rPr>
          <w:rFonts w:hint="eastAsia" w:eastAsia="仿宋_GB2312"/>
          <w:sz w:val="32"/>
          <w:szCs w:val="32"/>
          <w:lang w:eastAsia="zh-CN"/>
        </w:rPr>
        <w:t>。</w:t>
      </w:r>
      <w:r>
        <w:rPr>
          <w:rFonts w:hint="eastAsia" w:eastAsia="仿宋_GB2312"/>
          <w:sz w:val="32"/>
          <w:szCs w:val="32"/>
        </w:rPr>
        <w:t>规划论证符合中省要求、项目绩效目标设置科学合理</w:t>
      </w:r>
      <w:r>
        <w:rPr>
          <w:rFonts w:hint="eastAsia" w:eastAsia="仿宋_GB2312"/>
          <w:sz w:val="32"/>
          <w:szCs w:val="32"/>
          <w:lang w:eastAsia="zh-CN"/>
        </w:rPr>
        <w:t>。</w:t>
      </w:r>
      <w:r>
        <w:rPr>
          <w:rFonts w:hint="eastAsia" w:eastAsia="仿宋_GB2312"/>
          <w:sz w:val="32"/>
          <w:szCs w:val="32"/>
        </w:rPr>
        <w:t>资金投向与项目总体规划、相关行业事业发展相匹配。</w:t>
      </w:r>
    </w:p>
    <w:p w14:paraId="3750CB11">
      <w:pPr>
        <w:keepNext w:val="0"/>
        <w:keepLines w:val="0"/>
        <w:pageBreakBefore w:val="0"/>
        <w:kinsoku/>
        <w:wordWrap/>
        <w:overflowPunct/>
        <w:topLinePunct w:val="0"/>
        <w:autoSpaceDE/>
        <w:autoSpaceDN/>
        <w:bidi w:val="0"/>
        <w:spacing w:line="576" w:lineRule="exact"/>
        <w:ind w:firstLine="640"/>
        <w:textAlignment w:val="auto"/>
        <w:rPr>
          <w:rFonts w:hint="default" w:eastAsia="仿宋_GB2312"/>
          <w:sz w:val="32"/>
          <w:szCs w:val="32"/>
          <w:lang w:val="en-US" w:eastAsia="zh-CN"/>
        </w:rPr>
      </w:pPr>
      <w:r>
        <w:rPr>
          <w:rFonts w:hint="eastAsia" w:ascii="楷体_GB2312" w:hAnsi="楷体_GB2312" w:eastAsia="楷体_GB2312" w:cs="楷体_GB2312"/>
          <w:sz w:val="32"/>
          <w:szCs w:val="32"/>
        </w:rPr>
        <w:t>2.</w:t>
      </w:r>
      <w:r>
        <w:rPr>
          <w:rFonts w:hint="eastAsia" w:eastAsia="仿宋_GB2312"/>
          <w:sz w:val="32"/>
          <w:szCs w:val="32"/>
        </w:rPr>
        <w:t>项目管理。项目资金分配因素选取、权重设置、区域分布，项目管理、审批符合管理要求、绩效监管按中省要求全面完成绩效目标（含事前评估）、绩效评价。</w:t>
      </w:r>
    </w:p>
    <w:p w14:paraId="38257493">
      <w:pPr>
        <w:keepNext w:val="0"/>
        <w:keepLines w:val="0"/>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en-US" w:eastAsia="zh-CN"/>
        </w:rPr>
      </w:pPr>
      <w:r>
        <w:rPr>
          <w:rFonts w:hint="eastAsia" w:ascii="楷体_GB2312" w:hAnsi="楷体_GB2312" w:eastAsia="楷体_GB2312" w:cs="楷体_GB2312"/>
          <w:sz w:val="32"/>
          <w:szCs w:val="32"/>
        </w:rPr>
        <w:t>3.</w:t>
      </w:r>
      <w:r>
        <w:rPr>
          <w:rFonts w:hint="eastAsia" w:eastAsia="仿宋_GB2312"/>
          <w:sz w:val="32"/>
          <w:szCs w:val="32"/>
        </w:rPr>
        <w:t>项目实施。</w:t>
      </w:r>
      <w:r>
        <w:rPr>
          <w:rFonts w:hint="eastAsia" w:eastAsia="仿宋_GB2312"/>
          <w:sz w:val="32"/>
          <w:szCs w:val="32"/>
          <w:lang w:eastAsia="zh-CN"/>
        </w:rPr>
        <w:t>财政资金拨付率</w:t>
      </w:r>
      <w:r>
        <w:rPr>
          <w:rFonts w:hint="eastAsia" w:eastAsia="仿宋_GB2312"/>
          <w:sz w:val="32"/>
          <w:szCs w:val="32"/>
          <w:lang w:val="en-US" w:eastAsia="zh-CN"/>
        </w:rPr>
        <w:t>100%，使用率100%，无地方配套资金。</w:t>
      </w:r>
    </w:p>
    <w:p w14:paraId="2D9AF9F1">
      <w:pPr>
        <w:keepNext w:val="0"/>
        <w:keepLines w:val="0"/>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en-US" w:eastAsia="zh-CN"/>
        </w:rPr>
      </w:pPr>
      <w:r>
        <w:rPr>
          <w:rFonts w:hint="eastAsia" w:ascii="楷体_GB2312" w:hAnsi="楷体_GB2312" w:eastAsia="楷体_GB2312" w:cs="楷体_GB2312"/>
          <w:sz w:val="32"/>
          <w:szCs w:val="32"/>
        </w:rPr>
        <w:t>4.</w:t>
      </w:r>
      <w:r>
        <w:rPr>
          <w:rFonts w:hint="eastAsia" w:eastAsia="仿宋_GB2312"/>
          <w:sz w:val="32"/>
          <w:szCs w:val="32"/>
        </w:rPr>
        <w:t>项目结果。完成预期目标，实施结果。与绩效目标相匹配</w:t>
      </w:r>
      <w:r>
        <w:rPr>
          <w:rFonts w:hint="eastAsia" w:eastAsia="仿宋_GB2312"/>
          <w:sz w:val="32"/>
          <w:szCs w:val="32"/>
          <w:lang w:eastAsia="zh-CN"/>
        </w:rPr>
        <w:t>。</w:t>
      </w:r>
    </w:p>
    <w:p w14:paraId="447DC98F">
      <w:pPr>
        <w:keepNext w:val="0"/>
        <w:keepLines w:val="0"/>
        <w:pageBreakBefore w:val="0"/>
        <w:kinsoku/>
        <w:wordWrap/>
        <w:overflowPunct/>
        <w:topLinePunct w:val="0"/>
        <w:autoSpaceDE/>
        <w:autoSpaceDN/>
        <w:bidi w:val="0"/>
        <w:spacing w:line="576" w:lineRule="exact"/>
        <w:ind w:firstLine="643" w:firstLineChars="200"/>
        <w:textAlignment w:val="auto"/>
        <w:rPr>
          <w:rFonts w:ascii="楷体_GB2312" w:hAnsi="楷体_GB2312" w:eastAsia="楷体_GB2312" w:cs="楷体_GB2312"/>
          <w:sz w:val="32"/>
          <w:szCs w:val="32"/>
          <w:lang w:val="zh-CN"/>
        </w:rPr>
      </w:pPr>
      <w:r>
        <w:rPr>
          <w:rFonts w:hint="eastAsia" w:ascii="楷体_GB2312" w:hAnsi="宋体" w:eastAsia="楷体_GB2312"/>
          <w:b/>
          <w:sz w:val="32"/>
          <w:szCs w:val="32"/>
          <w:lang w:val="zh-CN"/>
        </w:rPr>
        <w:t>（二）</w:t>
      </w:r>
      <w:r>
        <w:rPr>
          <w:rFonts w:hint="eastAsia" w:ascii="楷体_GB2312" w:hAnsi="宋体" w:eastAsia="楷体_GB2312"/>
          <w:b/>
          <w:sz w:val="32"/>
          <w:szCs w:val="32"/>
        </w:rPr>
        <w:t>专用指标</w:t>
      </w:r>
      <w:r>
        <w:rPr>
          <w:rFonts w:eastAsia="楷体_GB2312"/>
          <w:b/>
          <w:bCs/>
          <w:color w:val="000000"/>
          <w:kern w:val="0"/>
          <w:sz w:val="32"/>
          <w:szCs w:val="32"/>
          <w:shd w:val="clear" w:color="auto" w:fill="FFFFFF"/>
          <w:lang w:val="zh-CN"/>
        </w:rPr>
        <w:t>绩效分析</w:t>
      </w:r>
    </w:p>
    <w:p w14:paraId="0D626931">
      <w:pPr>
        <w:keepNext w:val="0"/>
        <w:keepLines w:val="0"/>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en-US" w:eastAsia="zh-CN"/>
        </w:rPr>
      </w:pPr>
      <w:r>
        <w:rPr>
          <w:rFonts w:hint="eastAsia" w:ascii="楷体_GB2312" w:hAnsi="楷体_GB2312" w:eastAsia="楷体_GB2312" w:cs="楷体_GB2312"/>
          <w:sz w:val="32"/>
          <w:szCs w:val="32"/>
        </w:rPr>
        <w:t>1.</w:t>
      </w:r>
      <w:r>
        <w:rPr>
          <w:rFonts w:hint="eastAsia" w:eastAsia="仿宋_GB2312"/>
          <w:sz w:val="32"/>
          <w:szCs w:val="32"/>
        </w:rPr>
        <w:t>产业发展。与省委省政府支持重点、产业支持政策符合、对相关企业（机构）成长性的促进作用。</w:t>
      </w:r>
    </w:p>
    <w:p w14:paraId="57F4BCEC">
      <w:pPr>
        <w:keepNext w:val="0"/>
        <w:keepLines w:val="0"/>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en-US" w:eastAsia="zh-CN"/>
        </w:rPr>
      </w:pPr>
      <w:r>
        <w:rPr>
          <w:rFonts w:hint="eastAsia" w:ascii="楷体_GB2312" w:hAnsi="楷体_GB2312" w:eastAsia="楷体_GB2312" w:cs="楷体_GB2312"/>
          <w:sz w:val="32"/>
          <w:szCs w:val="32"/>
          <w:lang w:val="en-US" w:eastAsia="zh-CN"/>
        </w:rPr>
        <w:t>2</w:t>
      </w:r>
      <w:r>
        <w:rPr>
          <w:rFonts w:hint="eastAsia" w:ascii="楷体_GB2312" w:hAnsi="楷体_GB2312" w:eastAsia="楷体_GB2312" w:cs="楷体_GB2312"/>
          <w:sz w:val="32"/>
          <w:szCs w:val="32"/>
        </w:rPr>
        <w:t>.</w:t>
      </w:r>
      <w:r>
        <w:rPr>
          <w:rFonts w:hint="eastAsia" w:eastAsia="仿宋_GB2312"/>
          <w:sz w:val="32"/>
          <w:szCs w:val="32"/>
          <w:lang w:val="zh-CN"/>
        </w:rPr>
        <w:t>行政运转。按规定用途、适用范围进行本地区专项资金分配。</w:t>
      </w:r>
    </w:p>
    <w:p w14:paraId="6D57E9F6">
      <w:pPr>
        <w:keepNext w:val="0"/>
        <w:keepLines w:val="0"/>
        <w:pageBreakBefore w:val="0"/>
        <w:kinsoku/>
        <w:wordWrap/>
        <w:overflowPunct/>
        <w:topLinePunct w:val="0"/>
        <w:autoSpaceDE/>
        <w:autoSpaceDN/>
        <w:bidi w:val="0"/>
        <w:spacing w:line="576" w:lineRule="exact"/>
        <w:ind w:firstLine="640"/>
        <w:textAlignment w:val="auto"/>
        <w:rPr>
          <w:rFonts w:eastAsia="楷体_GB2312"/>
          <w:b/>
          <w:bCs/>
          <w:color w:val="000000"/>
          <w:kern w:val="0"/>
          <w:sz w:val="32"/>
          <w:szCs w:val="32"/>
          <w:shd w:val="clear" w:color="auto" w:fill="FFFFFF"/>
          <w:lang w:val="zh-CN"/>
        </w:rPr>
      </w:pPr>
      <w:r>
        <w:rPr>
          <w:rFonts w:hint="eastAsia" w:ascii="楷体_GB2312" w:hAnsi="宋体" w:eastAsia="楷体_GB2312"/>
          <w:b/>
          <w:sz w:val="32"/>
          <w:szCs w:val="32"/>
          <w:lang w:val="zh-CN"/>
        </w:rPr>
        <w:t>（三）</w:t>
      </w:r>
      <w:r>
        <w:rPr>
          <w:rFonts w:hint="eastAsia" w:ascii="楷体_GB2312" w:hAnsi="宋体" w:eastAsia="楷体_GB2312"/>
          <w:b/>
          <w:sz w:val="32"/>
          <w:szCs w:val="32"/>
        </w:rPr>
        <w:t>个性指标</w:t>
      </w:r>
      <w:r>
        <w:rPr>
          <w:rFonts w:eastAsia="楷体_GB2312"/>
          <w:b/>
          <w:bCs/>
          <w:color w:val="000000"/>
          <w:kern w:val="0"/>
          <w:sz w:val="32"/>
          <w:szCs w:val="32"/>
          <w:shd w:val="clear" w:color="auto" w:fill="FFFFFF"/>
          <w:lang w:val="zh-CN"/>
        </w:rPr>
        <w:t>绩效分析</w:t>
      </w:r>
    </w:p>
    <w:p w14:paraId="0DF5DF47">
      <w:pPr>
        <w:keepNext w:val="0"/>
        <w:keepLines w:val="0"/>
        <w:pageBreakBefore w:val="0"/>
        <w:kinsoku/>
        <w:wordWrap/>
        <w:overflowPunct/>
        <w:topLinePunct w:val="0"/>
        <w:autoSpaceDE/>
        <w:autoSpaceDN/>
        <w:bidi w:val="0"/>
        <w:spacing w:line="576" w:lineRule="exact"/>
        <w:ind w:firstLine="640"/>
        <w:textAlignment w:val="auto"/>
        <w:rPr>
          <w:rFonts w:hint="default" w:eastAsia="仿宋_GB2312"/>
          <w:sz w:val="32"/>
          <w:szCs w:val="32"/>
          <w:lang w:val="en-US" w:eastAsia="zh-CN"/>
        </w:rPr>
      </w:pPr>
      <w:r>
        <w:rPr>
          <w:rFonts w:hint="eastAsia" w:eastAsia="仿宋_GB2312"/>
          <w:sz w:val="32"/>
          <w:szCs w:val="32"/>
          <w:lang w:val="zh-CN"/>
        </w:rPr>
        <w:t>根据项目设定指标如实完成。</w:t>
      </w:r>
    </w:p>
    <w:p w14:paraId="3DE45A7C">
      <w:pPr>
        <w:keepNext w:val="0"/>
        <w:keepLines w:val="0"/>
        <w:pageBreakBefore w:val="0"/>
        <w:widowControl/>
        <w:tabs>
          <w:tab w:val="left" w:pos="2160"/>
        </w:tabs>
        <w:kinsoku/>
        <w:wordWrap/>
        <w:overflowPunct/>
        <w:topLinePunct w:val="0"/>
        <w:autoSpaceDE/>
        <w:autoSpaceDN/>
        <w:bidi w:val="0"/>
        <w:spacing w:line="576" w:lineRule="exact"/>
        <w:ind w:firstLine="640" w:firstLineChars="200"/>
        <w:jc w:val="left"/>
        <w:textAlignment w:val="auto"/>
        <w:rPr>
          <w:rFonts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四、评价结论</w:t>
      </w:r>
    </w:p>
    <w:p w14:paraId="68AC3167">
      <w:pPr>
        <w:keepNext w:val="0"/>
        <w:keepLines w:val="0"/>
        <w:pageBreakBefore w:val="0"/>
        <w:kinsoku/>
        <w:wordWrap/>
        <w:overflowPunct/>
        <w:topLinePunct w:val="0"/>
        <w:autoSpaceDE/>
        <w:autoSpaceDN/>
        <w:bidi w:val="0"/>
        <w:spacing w:line="576" w:lineRule="exact"/>
        <w:ind w:left="49" w:firstLine="640" w:firstLineChars="200"/>
        <w:textAlignment w:val="auto"/>
        <w:rPr>
          <w:rFonts w:hint="eastAsia" w:ascii="仿宋_GB2312" w:hAnsi="仿宋_GB2312" w:eastAsia="仿宋_GB2312" w:cs="仿宋_GB2312"/>
          <w:kern w:val="2"/>
          <w:sz w:val="32"/>
          <w:szCs w:val="32"/>
        </w:rPr>
      </w:pPr>
      <w:r>
        <w:rPr>
          <w:rFonts w:hint="eastAsia" w:ascii="仿宋_GB2312" w:eastAsia="仿宋_GB2312" w:cs="Times New Roman"/>
          <w:kern w:val="2"/>
          <w:sz w:val="32"/>
          <w:szCs w:val="32"/>
          <w:u w:val="none"/>
        </w:rPr>
        <w:t>综合前述评估内容来看，该</w:t>
      </w:r>
      <w:r>
        <w:rPr>
          <w:rFonts w:hint="eastAsia" w:ascii="仿宋_GB2312" w:eastAsia="仿宋_GB2312" w:cs="Times New Roman"/>
          <w:color w:val="auto"/>
          <w:kern w:val="2"/>
          <w:sz w:val="32"/>
          <w:szCs w:val="32"/>
          <w:u w:val="none"/>
        </w:rPr>
        <w:t>项目</w:t>
      </w:r>
      <w:r>
        <w:rPr>
          <w:rFonts w:hint="eastAsia" w:ascii="仿宋_GB2312" w:eastAsia="仿宋_GB2312" w:cs="Times New Roman"/>
          <w:color w:val="auto"/>
          <w:kern w:val="2"/>
          <w:sz w:val="32"/>
          <w:szCs w:val="32"/>
          <w:u w:val="none"/>
          <w:lang w:val="en-US" w:eastAsia="zh-CN"/>
        </w:rPr>
        <w:t>依据</w:t>
      </w:r>
      <w:r>
        <w:rPr>
          <w:rFonts w:hint="eastAsia" w:ascii="仿宋_GB2312" w:eastAsia="仿宋_GB2312" w:cs="Times New Roman"/>
          <w:kern w:val="2"/>
          <w:sz w:val="32"/>
          <w:szCs w:val="32"/>
          <w:u w:val="none"/>
        </w:rPr>
        <w:t>充分，绩效目标明确，具备实施条件，具有公共性，符合</w:t>
      </w:r>
      <w:r>
        <w:rPr>
          <w:rFonts w:hint="eastAsia" w:ascii="仿宋_GB2312" w:eastAsia="仿宋_GB2312" w:cs="Times New Roman"/>
          <w:kern w:val="2"/>
          <w:sz w:val="32"/>
          <w:szCs w:val="32"/>
          <w:u w:val="none"/>
          <w:lang w:val="en-US" w:eastAsia="zh-CN"/>
        </w:rPr>
        <w:t>对口支援资金</w:t>
      </w:r>
      <w:r>
        <w:rPr>
          <w:rFonts w:hint="eastAsia" w:ascii="仿宋_GB2312" w:eastAsia="仿宋_GB2312" w:cs="Times New Roman"/>
          <w:kern w:val="2"/>
          <w:sz w:val="32"/>
          <w:szCs w:val="32"/>
          <w:u w:val="none"/>
        </w:rPr>
        <w:t>支持方向。</w:t>
      </w:r>
      <w:r>
        <w:rPr>
          <w:rFonts w:hint="eastAsia" w:ascii="仿宋_GB2312" w:eastAsia="仿宋_GB2312" w:cs="Times New Roman"/>
          <w:kern w:val="2"/>
          <w:sz w:val="32"/>
          <w:szCs w:val="32"/>
          <w:u w:val="none"/>
          <w:lang w:val="en-US" w:eastAsia="zh-CN"/>
        </w:rPr>
        <w:t>项目</w:t>
      </w:r>
      <w:r>
        <w:rPr>
          <w:rFonts w:hint="eastAsia" w:ascii="仿宋_GB2312" w:eastAsia="仿宋_GB2312" w:cs="Times New Roman"/>
          <w:kern w:val="2"/>
          <w:sz w:val="32"/>
          <w:szCs w:val="32"/>
          <w:u w:val="none"/>
        </w:rPr>
        <w:t>预算控制在</w:t>
      </w:r>
      <w:r>
        <w:rPr>
          <w:rFonts w:hint="eastAsia" w:ascii="仿宋_GB2312" w:eastAsia="仿宋_GB2312" w:cs="Times New Roman"/>
          <w:kern w:val="2"/>
          <w:sz w:val="32"/>
          <w:szCs w:val="32"/>
          <w:u w:val="none"/>
          <w:lang w:val="en-US" w:eastAsia="zh-CN"/>
        </w:rPr>
        <w:t>320</w:t>
      </w:r>
      <w:r>
        <w:rPr>
          <w:rFonts w:hint="eastAsia" w:ascii="仿宋_GB2312" w:eastAsia="仿宋_GB2312" w:cs="Times New Roman"/>
          <w:kern w:val="2"/>
          <w:sz w:val="32"/>
          <w:szCs w:val="32"/>
          <w:u w:val="none"/>
        </w:rPr>
        <w:t>万元以内</w:t>
      </w:r>
      <w:r>
        <w:rPr>
          <w:rFonts w:hint="eastAsia" w:ascii="仿宋_GB2312" w:eastAsia="仿宋_GB2312" w:cs="Times New Roman"/>
          <w:kern w:val="2"/>
          <w:sz w:val="32"/>
          <w:szCs w:val="32"/>
          <w:u w:val="none"/>
          <w:lang w:eastAsia="zh-CN"/>
        </w:rPr>
        <w:t>，</w:t>
      </w:r>
      <w:r>
        <w:rPr>
          <w:rFonts w:hint="eastAsia" w:ascii="仿宋_GB2312" w:eastAsia="仿宋_GB2312" w:cs="Times New Roman"/>
          <w:kern w:val="2"/>
          <w:sz w:val="32"/>
          <w:szCs w:val="32"/>
          <w:u w:val="none"/>
        </w:rPr>
        <w:t>申请资金</w:t>
      </w:r>
      <w:r>
        <w:rPr>
          <w:rFonts w:hint="eastAsia" w:ascii="仿宋_GB2312" w:eastAsia="仿宋_GB2312" w:cs="Times New Roman"/>
          <w:kern w:val="2"/>
          <w:sz w:val="32"/>
          <w:szCs w:val="32"/>
          <w:u w:val="none"/>
          <w:lang w:val="en-US" w:eastAsia="zh-CN"/>
        </w:rPr>
        <w:t>为290</w:t>
      </w:r>
      <w:r>
        <w:rPr>
          <w:rFonts w:hint="eastAsia" w:ascii="仿宋_GB2312" w:eastAsia="仿宋_GB2312" w:cs="Times New Roman"/>
          <w:kern w:val="2"/>
          <w:sz w:val="32"/>
          <w:szCs w:val="32"/>
          <w:u w:val="none"/>
        </w:rPr>
        <w:t xml:space="preserve"> 万元。我单位将进一步加强运行监控</w:t>
      </w:r>
      <w:r>
        <w:rPr>
          <w:rFonts w:hint="eastAsia" w:ascii="仿宋_GB2312" w:eastAsia="仿宋_GB2312" w:cs="Times New Roman"/>
          <w:kern w:val="2"/>
          <w:sz w:val="32"/>
          <w:szCs w:val="32"/>
          <w:u w:val="none"/>
          <w:lang w:eastAsia="zh-CN"/>
        </w:rPr>
        <w:t>，</w:t>
      </w:r>
      <w:r>
        <w:rPr>
          <w:rFonts w:hint="eastAsia" w:ascii="仿宋_GB2312" w:eastAsia="仿宋_GB2312" w:cs="Times New Roman"/>
          <w:kern w:val="2"/>
          <w:sz w:val="32"/>
          <w:szCs w:val="32"/>
          <w:u w:val="none"/>
        </w:rPr>
        <w:t>提升预算绩效管理水平</w:t>
      </w:r>
      <w:r>
        <w:rPr>
          <w:rFonts w:hint="eastAsia" w:ascii="仿宋_GB2312" w:eastAsia="仿宋_GB2312" w:cs="Times New Roman"/>
          <w:kern w:val="2"/>
          <w:sz w:val="32"/>
          <w:szCs w:val="32"/>
          <w:u w:val="none"/>
          <w:lang w:eastAsia="zh-CN"/>
        </w:rPr>
        <w:t>。</w:t>
      </w:r>
      <w:r>
        <w:rPr>
          <w:rFonts w:hint="eastAsia" w:ascii="仿宋_GB2312" w:eastAsia="仿宋_GB2312" w:cs="仿宋_GB2312"/>
          <w:kern w:val="0"/>
          <w:position w:val="0"/>
          <w:sz w:val="32"/>
          <w:szCs w:val="32"/>
          <w:highlight w:val="none"/>
          <w:u w:val="none"/>
          <w:shd w:val="clear" w:color="auto" w:fill="FFFFFF"/>
          <w:lang w:val="zh-CN" w:eastAsia="zh-CN" w:bidi="ar-SA"/>
        </w:rPr>
        <w:t>综合自评得分</w:t>
      </w:r>
      <w:r>
        <w:rPr>
          <w:rFonts w:hint="eastAsia" w:ascii="仿宋_GB2312" w:eastAsia="仿宋_GB2312" w:cs="仿宋_GB2312"/>
          <w:kern w:val="0"/>
          <w:position w:val="0"/>
          <w:sz w:val="32"/>
          <w:szCs w:val="32"/>
          <w:highlight w:val="none"/>
          <w:u w:val="none"/>
          <w:shd w:val="clear" w:color="auto" w:fill="FFFFFF"/>
          <w:lang w:val="en-US" w:eastAsia="zh-CN" w:bidi="ar-SA"/>
        </w:rPr>
        <w:t>95</w:t>
      </w:r>
      <w:r>
        <w:rPr>
          <w:rFonts w:hint="eastAsia" w:ascii="仿宋_GB2312" w:eastAsia="仿宋_GB2312" w:cs="仿宋_GB2312"/>
          <w:kern w:val="0"/>
          <w:position w:val="0"/>
          <w:sz w:val="32"/>
          <w:szCs w:val="32"/>
          <w:highlight w:val="none"/>
          <w:u w:val="none"/>
          <w:shd w:val="clear" w:color="auto" w:fill="FFFFFF"/>
          <w:lang w:val="zh-CN" w:eastAsia="zh-CN" w:bidi="ar-SA"/>
        </w:rPr>
        <w:t>分。</w:t>
      </w:r>
    </w:p>
    <w:p w14:paraId="06D9573D">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eastAsia="仿宋_GB2312"/>
          <w:color w:val="000000"/>
          <w:kern w:val="0"/>
          <w:sz w:val="32"/>
          <w:szCs w:val="32"/>
          <w:shd w:val="clear" w:color="auto" w:fill="FFFFFF"/>
          <w:lang w:val="zh-CN"/>
        </w:rPr>
      </w:pPr>
    </w:p>
    <w:p w14:paraId="74C9F475">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eastAsia="仿宋_GB2312"/>
          <w:color w:val="000000"/>
          <w:kern w:val="0"/>
          <w:sz w:val="32"/>
          <w:szCs w:val="32"/>
          <w:shd w:val="clear" w:color="auto" w:fill="FFFFFF"/>
        </w:rPr>
      </w:pPr>
      <w:r>
        <w:rPr>
          <w:rFonts w:hint="eastAsia" w:eastAsia="仿宋_GB2312"/>
          <w:color w:val="000000"/>
          <w:kern w:val="0"/>
          <w:sz w:val="32"/>
          <w:szCs w:val="32"/>
          <w:shd w:val="clear" w:color="auto" w:fill="FFFFFF"/>
        </w:rPr>
        <w:t>附表：1.项目资金分配涉及所有点位自评得分情况表</w:t>
      </w:r>
    </w:p>
    <w:p w14:paraId="6F17555F">
      <w:pPr>
        <w:keepNext w:val="0"/>
        <w:keepLines w:val="0"/>
        <w:pageBreakBefore w:val="0"/>
        <w:kinsoku/>
        <w:wordWrap/>
        <w:overflowPunct/>
        <w:topLinePunct w:val="0"/>
        <w:autoSpaceDE/>
        <w:autoSpaceDN/>
        <w:bidi w:val="0"/>
        <w:snapToGrid w:val="0"/>
        <w:spacing w:line="576" w:lineRule="exact"/>
        <w:ind w:firstLine="1600" w:firstLineChars="500"/>
        <w:textAlignment w:val="auto"/>
        <w:rPr>
          <w:rFonts w:eastAsia="仿宋_GB2312"/>
          <w:color w:val="000000"/>
          <w:kern w:val="0"/>
          <w:sz w:val="32"/>
          <w:szCs w:val="32"/>
          <w:shd w:val="clear" w:color="auto" w:fill="FFFFFF"/>
        </w:rPr>
      </w:pPr>
      <w:r>
        <w:rPr>
          <w:rFonts w:hint="eastAsia" w:eastAsia="仿宋_GB2312"/>
          <w:color w:val="000000"/>
          <w:kern w:val="0"/>
          <w:sz w:val="32"/>
          <w:szCs w:val="32"/>
          <w:shd w:val="clear" w:color="auto" w:fill="FFFFFF"/>
        </w:rPr>
        <w:t>2.专项预算项目绩效目标完成情况自评表</w:t>
      </w:r>
    </w:p>
    <w:p w14:paraId="157AF025">
      <w:pPr>
        <w:keepNext w:val="0"/>
        <w:keepLines w:val="0"/>
        <w:pageBreakBefore w:val="0"/>
        <w:kinsoku/>
        <w:wordWrap/>
        <w:overflowPunct/>
        <w:topLinePunct w:val="0"/>
        <w:autoSpaceDE/>
        <w:autoSpaceDN/>
        <w:bidi w:val="0"/>
        <w:spacing w:line="576" w:lineRule="exact"/>
        <w:textAlignment w:val="auto"/>
        <w:rPr>
          <w:rFonts w:hint="eastAsia" w:ascii="仿宋_GB2312" w:eastAsia="仿宋_GB2312" w:cs="Times New Roman"/>
          <w:kern w:val="2"/>
          <w:sz w:val="32"/>
          <w:szCs w:val="32"/>
          <w:u w:val="none"/>
          <w:lang w:val="en-US" w:eastAsia="zh-CN"/>
        </w:rPr>
      </w:pPr>
    </w:p>
    <w:p w14:paraId="4F04D425">
      <w:pPr>
        <w:keepNext w:val="0"/>
        <w:keepLines w:val="0"/>
        <w:pageBreakBefore w:val="0"/>
        <w:kinsoku/>
        <w:wordWrap/>
        <w:overflowPunct/>
        <w:topLinePunct w:val="0"/>
        <w:autoSpaceDE/>
        <w:autoSpaceDN/>
        <w:bidi w:val="0"/>
        <w:spacing w:line="576" w:lineRule="exact"/>
        <w:ind w:firstLine="4480" w:firstLineChars="1400"/>
        <w:textAlignment w:val="auto"/>
        <w:rPr>
          <w:rFonts w:hint="default" w:ascii="仿宋_GB2312" w:eastAsia="仿宋_GB2312" w:cs="Times New Roman"/>
          <w:kern w:val="2"/>
          <w:sz w:val="32"/>
          <w:szCs w:val="32"/>
          <w:u w:val="none"/>
          <w:lang w:val="en-US" w:eastAsia="zh-CN"/>
        </w:rPr>
      </w:pPr>
      <w:r>
        <w:rPr>
          <w:rFonts w:hint="eastAsia" w:ascii="仿宋_GB2312" w:eastAsia="仿宋_GB2312" w:cs="Times New Roman"/>
          <w:kern w:val="2"/>
          <w:sz w:val="32"/>
          <w:szCs w:val="32"/>
          <w:u w:val="none"/>
          <w:lang w:val="en-US" w:eastAsia="zh-CN"/>
        </w:rPr>
        <w:t>茂县供销合作社联合社</w:t>
      </w:r>
    </w:p>
    <w:p w14:paraId="39670407">
      <w:pPr>
        <w:keepNext w:val="0"/>
        <w:keepLines w:val="0"/>
        <w:pageBreakBefore w:val="0"/>
        <w:kinsoku/>
        <w:wordWrap/>
        <w:overflowPunct/>
        <w:topLinePunct w:val="0"/>
        <w:autoSpaceDE/>
        <w:autoSpaceDN/>
        <w:bidi w:val="0"/>
        <w:snapToGrid w:val="0"/>
        <w:spacing w:line="576" w:lineRule="exact"/>
        <w:ind w:firstLine="4800" w:firstLineChars="1500"/>
        <w:textAlignment w:val="auto"/>
        <w:rPr>
          <w:rFonts w:eastAsia="仿宋_GB2312"/>
          <w:color w:val="000000"/>
          <w:kern w:val="0"/>
          <w:sz w:val="32"/>
          <w:szCs w:val="32"/>
          <w:shd w:val="clear" w:color="auto" w:fill="FFFFFF"/>
          <w:lang w:val="zh-CN"/>
        </w:rPr>
      </w:pPr>
      <w:r>
        <w:rPr>
          <w:rFonts w:hint="eastAsia" w:ascii="仿宋_GB2312" w:eastAsia="仿宋_GB2312" w:cs="仿宋_GB2312"/>
          <w:sz w:val="32"/>
          <w:szCs w:val="32"/>
          <w:lang w:val="en-US" w:eastAsia="zh-CN"/>
        </w:rPr>
        <w:t>2024年8月8日</w:t>
      </w:r>
    </w:p>
    <w:p w14:paraId="485F7CCC">
      <w:pPr>
        <w:keepNext w:val="0"/>
        <w:keepLines w:val="0"/>
        <w:pageBreakBefore w:val="0"/>
        <w:kinsoku/>
        <w:wordWrap/>
        <w:overflowPunct/>
        <w:topLinePunct w:val="0"/>
        <w:autoSpaceDE/>
        <w:autoSpaceDN/>
        <w:bidi w:val="0"/>
        <w:spacing w:line="576" w:lineRule="exact"/>
        <w:textAlignment w:val="auto"/>
        <w:rPr>
          <w:rFonts w:hint="eastAsia"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br w:type="page"/>
      </w:r>
    </w:p>
    <w:p w14:paraId="15E3FEE9">
      <w:pPr>
        <w:widowControl/>
        <w:adjustRightInd w:val="0"/>
        <w:snapToGrid w:val="0"/>
        <w:spacing w:line="578" w:lineRule="exact"/>
        <w:contextualSpacing/>
        <w:jc w:val="left"/>
        <w:rPr>
          <w:rFonts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p w14:paraId="47AE2386">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24"/>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14:paraId="3E41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4ABD7500">
            <w:pPr>
              <w:spacing w:line="300" w:lineRule="exact"/>
              <w:jc w:val="center"/>
              <w:rPr>
                <w:rFonts w:ascii="黑体" w:hAnsi="黑体" w:eastAsia="黑体" w:cs="黑体"/>
                <w:sz w:val="24"/>
                <w:szCs w:val="24"/>
              </w:rPr>
            </w:pPr>
            <w:r>
              <w:rPr>
                <w:rFonts w:hint="eastAsia" w:ascii="黑体" w:hAnsi="黑体" w:eastAsia="黑体" w:cs="黑体"/>
                <w:sz w:val="24"/>
                <w:szCs w:val="24"/>
              </w:rPr>
              <w:t>序号</w:t>
            </w:r>
          </w:p>
        </w:tc>
        <w:tc>
          <w:tcPr>
            <w:tcW w:w="3843" w:type="dxa"/>
          </w:tcPr>
          <w:p w14:paraId="047BEC66">
            <w:pPr>
              <w:spacing w:line="300" w:lineRule="exact"/>
              <w:jc w:val="center"/>
              <w:rPr>
                <w:rFonts w:ascii="黑体" w:hAnsi="黑体" w:eastAsia="黑体" w:cs="黑体"/>
                <w:sz w:val="24"/>
                <w:szCs w:val="24"/>
                <w:lang w:val="en"/>
              </w:rPr>
            </w:pPr>
            <w:r>
              <w:rPr>
                <w:rFonts w:hint="eastAsia" w:ascii="黑体" w:hAnsi="黑体" w:eastAsia="黑体" w:cs="黑体"/>
                <w:sz w:val="24"/>
                <w:szCs w:val="24"/>
              </w:rPr>
              <w:t>项目资金末端分配点位</w:t>
            </w:r>
          </w:p>
        </w:tc>
        <w:tc>
          <w:tcPr>
            <w:tcW w:w="2861" w:type="dxa"/>
          </w:tcPr>
          <w:p w14:paraId="69F34D83">
            <w:pPr>
              <w:spacing w:line="300" w:lineRule="exact"/>
              <w:jc w:val="center"/>
              <w:rPr>
                <w:rFonts w:ascii="黑体" w:hAnsi="黑体" w:eastAsia="黑体" w:cs="黑体"/>
                <w:sz w:val="24"/>
                <w:szCs w:val="24"/>
              </w:rPr>
            </w:pPr>
            <w:r>
              <w:rPr>
                <w:rFonts w:hint="eastAsia" w:ascii="黑体" w:hAnsi="黑体" w:eastAsia="黑体" w:cs="黑体"/>
                <w:sz w:val="24"/>
                <w:szCs w:val="24"/>
                <w:lang w:val="en"/>
              </w:rPr>
              <w:t>自评得分（百分制）</w:t>
            </w:r>
          </w:p>
        </w:tc>
        <w:tc>
          <w:tcPr>
            <w:tcW w:w="993" w:type="dxa"/>
          </w:tcPr>
          <w:p w14:paraId="70FA430A">
            <w:pPr>
              <w:spacing w:line="300" w:lineRule="exact"/>
              <w:jc w:val="center"/>
              <w:rPr>
                <w:rFonts w:ascii="黑体" w:hAnsi="黑体" w:eastAsia="黑体" w:cs="黑体"/>
                <w:sz w:val="24"/>
                <w:szCs w:val="24"/>
              </w:rPr>
            </w:pPr>
            <w:r>
              <w:rPr>
                <w:rFonts w:hint="eastAsia" w:ascii="黑体" w:hAnsi="黑体" w:eastAsia="黑体" w:cs="黑体"/>
                <w:sz w:val="24"/>
                <w:szCs w:val="24"/>
              </w:rPr>
              <w:t>备注</w:t>
            </w:r>
          </w:p>
        </w:tc>
      </w:tr>
      <w:tr w14:paraId="3AD1D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exact"/>
          <w:jc w:val="center"/>
        </w:trPr>
        <w:tc>
          <w:tcPr>
            <w:tcW w:w="1123" w:type="dxa"/>
          </w:tcPr>
          <w:p w14:paraId="2C3997C0">
            <w:pPr>
              <w:spacing w:line="300" w:lineRule="exact"/>
              <w:jc w:val="center"/>
              <w:rPr>
                <w:rFonts w:ascii="宋体" w:hAnsi="宋体" w:eastAsia="宋体" w:cs="宋体"/>
                <w:sz w:val="24"/>
                <w:szCs w:val="24"/>
              </w:rPr>
            </w:pPr>
            <w:r>
              <w:rPr>
                <w:rFonts w:hint="eastAsia" w:ascii="宋体" w:hAnsi="宋体" w:eastAsia="宋体" w:cs="宋体"/>
                <w:sz w:val="24"/>
                <w:szCs w:val="24"/>
              </w:rPr>
              <w:t>1</w:t>
            </w:r>
          </w:p>
        </w:tc>
        <w:tc>
          <w:tcPr>
            <w:tcW w:w="3843" w:type="dxa"/>
          </w:tcPr>
          <w:p w14:paraId="13851B7C">
            <w:pPr>
              <w:spacing w:line="300" w:lineRule="exact"/>
              <w:rPr>
                <w:rFonts w:ascii="宋体" w:hAnsi="宋体" w:eastAsia="仿宋_GB2312" w:cs="宋体"/>
                <w:sz w:val="24"/>
                <w:szCs w:val="24"/>
                <w:lang w:val="en"/>
              </w:rPr>
            </w:pPr>
            <w:r>
              <w:rPr>
                <w:rFonts w:hint="eastAsia" w:ascii="仿宋_GB2312" w:eastAsia="仿宋_GB2312" w:cs="Times New Roman"/>
                <w:kern w:val="2"/>
                <w:sz w:val="32"/>
                <w:szCs w:val="21"/>
                <w:u w:val="none"/>
              </w:rPr>
              <w:t>茂县数字农业服务平台</w:t>
            </w:r>
          </w:p>
        </w:tc>
        <w:tc>
          <w:tcPr>
            <w:tcW w:w="2861" w:type="dxa"/>
          </w:tcPr>
          <w:p w14:paraId="4FBFFA3F">
            <w:pPr>
              <w:spacing w:line="300" w:lineRule="exact"/>
              <w:jc w:val="center"/>
              <w:rPr>
                <w:rFonts w:hint="default" w:ascii="宋体" w:hAnsi="宋体" w:eastAsia="仿宋_GB2312" w:cs="宋体"/>
                <w:sz w:val="24"/>
                <w:szCs w:val="24"/>
                <w:lang w:val="en-US" w:eastAsia="zh-CN"/>
              </w:rPr>
            </w:pPr>
            <w:r>
              <w:rPr>
                <w:rFonts w:hint="eastAsia" w:ascii="宋体" w:hAnsi="宋体" w:eastAsia="仿宋_GB2312" w:cs="宋体"/>
                <w:sz w:val="24"/>
                <w:szCs w:val="24"/>
                <w:lang w:val="en-US" w:eastAsia="zh-CN"/>
              </w:rPr>
              <w:t>95</w:t>
            </w:r>
          </w:p>
        </w:tc>
        <w:tc>
          <w:tcPr>
            <w:tcW w:w="993" w:type="dxa"/>
          </w:tcPr>
          <w:p w14:paraId="3C4252E5">
            <w:pPr>
              <w:spacing w:line="300" w:lineRule="exact"/>
              <w:rPr>
                <w:rFonts w:ascii="宋体" w:hAnsi="宋体" w:eastAsia="仿宋_GB2312" w:cs="宋体"/>
                <w:sz w:val="24"/>
                <w:szCs w:val="24"/>
              </w:rPr>
            </w:pPr>
          </w:p>
        </w:tc>
      </w:tr>
      <w:tr w14:paraId="689C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2103C065">
            <w:pPr>
              <w:spacing w:line="300" w:lineRule="exact"/>
              <w:jc w:val="center"/>
              <w:rPr>
                <w:rFonts w:ascii="宋体" w:hAnsi="宋体" w:eastAsia="宋体" w:cs="宋体"/>
                <w:sz w:val="24"/>
                <w:szCs w:val="24"/>
              </w:rPr>
            </w:pPr>
            <w:r>
              <w:rPr>
                <w:rFonts w:hint="eastAsia" w:ascii="宋体" w:hAnsi="宋体" w:eastAsia="宋体" w:cs="宋体"/>
                <w:sz w:val="24"/>
                <w:szCs w:val="24"/>
              </w:rPr>
              <w:t>2</w:t>
            </w:r>
          </w:p>
        </w:tc>
        <w:tc>
          <w:tcPr>
            <w:tcW w:w="3843" w:type="dxa"/>
          </w:tcPr>
          <w:p w14:paraId="598DE7A4">
            <w:pPr>
              <w:spacing w:line="300" w:lineRule="exact"/>
              <w:rPr>
                <w:rFonts w:ascii="宋体" w:hAnsi="宋体" w:eastAsia="仿宋_GB2312" w:cs="宋体"/>
                <w:sz w:val="24"/>
                <w:szCs w:val="24"/>
                <w:lang w:val="en"/>
              </w:rPr>
            </w:pPr>
          </w:p>
        </w:tc>
        <w:tc>
          <w:tcPr>
            <w:tcW w:w="2861" w:type="dxa"/>
          </w:tcPr>
          <w:p w14:paraId="1D5E3E21">
            <w:pPr>
              <w:spacing w:line="300" w:lineRule="exact"/>
              <w:rPr>
                <w:rFonts w:ascii="宋体" w:hAnsi="宋体" w:eastAsia="仿宋_GB2312" w:cs="宋体"/>
                <w:sz w:val="24"/>
                <w:szCs w:val="24"/>
                <w:lang w:val="en"/>
              </w:rPr>
            </w:pPr>
          </w:p>
        </w:tc>
        <w:tc>
          <w:tcPr>
            <w:tcW w:w="993" w:type="dxa"/>
          </w:tcPr>
          <w:p w14:paraId="7C549EB6">
            <w:pPr>
              <w:spacing w:line="300" w:lineRule="exact"/>
              <w:rPr>
                <w:rFonts w:ascii="宋体" w:hAnsi="宋体" w:eastAsia="仿宋_GB2312" w:cs="宋体"/>
                <w:sz w:val="24"/>
                <w:szCs w:val="24"/>
              </w:rPr>
            </w:pPr>
          </w:p>
        </w:tc>
      </w:tr>
      <w:tr w14:paraId="2A9A7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1B334476">
            <w:pPr>
              <w:spacing w:line="300" w:lineRule="exact"/>
              <w:jc w:val="center"/>
              <w:rPr>
                <w:rFonts w:ascii="宋体" w:hAnsi="宋体" w:eastAsia="宋体" w:cs="宋体"/>
                <w:sz w:val="24"/>
                <w:szCs w:val="24"/>
              </w:rPr>
            </w:pPr>
            <w:r>
              <w:rPr>
                <w:rFonts w:hint="eastAsia" w:ascii="宋体" w:hAnsi="宋体" w:eastAsia="宋体" w:cs="宋体"/>
                <w:sz w:val="24"/>
                <w:szCs w:val="24"/>
              </w:rPr>
              <w:t>3</w:t>
            </w:r>
          </w:p>
        </w:tc>
        <w:tc>
          <w:tcPr>
            <w:tcW w:w="3843" w:type="dxa"/>
          </w:tcPr>
          <w:p w14:paraId="77A7AEB5">
            <w:pPr>
              <w:spacing w:line="300" w:lineRule="exact"/>
              <w:rPr>
                <w:rFonts w:ascii="宋体" w:hAnsi="宋体" w:eastAsia="仿宋_GB2312" w:cs="宋体"/>
                <w:sz w:val="24"/>
                <w:szCs w:val="24"/>
                <w:lang w:val="en"/>
              </w:rPr>
            </w:pPr>
          </w:p>
        </w:tc>
        <w:tc>
          <w:tcPr>
            <w:tcW w:w="2861" w:type="dxa"/>
          </w:tcPr>
          <w:p w14:paraId="1EFB1EBA">
            <w:pPr>
              <w:spacing w:line="300" w:lineRule="exact"/>
              <w:rPr>
                <w:rFonts w:ascii="宋体" w:hAnsi="宋体" w:eastAsia="仿宋_GB2312" w:cs="宋体"/>
                <w:sz w:val="24"/>
                <w:szCs w:val="24"/>
                <w:lang w:val="en"/>
              </w:rPr>
            </w:pPr>
          </w:p>
        </w:tc>
        <w:tc>
          <w:tcPr>
            <w:tcW w:w="993" w:type="dxa"/>
          </w:tcPr>
          <w:p w14:paraId="7C3D55EE">
            <w:pPr>
              <w:spacing w:line="300" w:lineRule="exact"/>
              <w:rPr>
                <w:rFonts w:ascii="宋体" w:hAnsi="宋体" w:eastAsia="仿宋_GB2312" w:cs="宋体"/>
                <w:sz w:val="24"/>
                <w:szCs w:val="24"/>
              </w:rPr>
            </w:pPr>
          </w:p>
        </w:tc>
      </w:tr>
      <w:tr w14:paraId="0F502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29C8D242">
            <w:pPr>
              <w:spacing w:line="300" w:lineRule="exact"/>
              <w:jc w:val="center"/>
              <w:rPr>
                <w:rFonts w:ascii="宋体" w:hAnsi="宋体" w:eastAsia="宋体" w:cs="宋体"/>
                <w:sz w:val="24"/>
                <w:szCs w:val="24"/>
              </w:rPr>
            </w:pPr>
            <w:r>
              <w:rPr>
                <w:rFonts w:hint="eastAsia" w:ascii="宋体" w:hAnsi="宋体" w:eastAsia="宋体" w:cs="宋体"/>
                <w:sz w:val="24"/>
                <w:szCs w:val="24"/>
              </w:rPr>
              <w:t>4</w:t>
            </w:r>
          </w:p>
        </w:tc>
        <w:tc>
          <w:tcPr>
            <w:tcW w:w="3843" w:type="dxa"/>
          </w:tcPr>
          <w:p w14:paraId="364C3AE7">
            <w:pPr>
              <w:spacing w:line="300" w:lineRule="exact"/>
              <w:rPr>
                <w:rFonts w:ascii="宋体" w:hAnsi="宋体" w:eastAsia="仿宋_GB2312" w:cs="宋体"/>
                <w:sz w:val="24"/>
                <w:szCs w:val="24"/>
                <w:lang w:val="en"/>
              </w:rPr>
            </w:pPr>
          </w:p>
        </w:tc>
        <w:tc>
          <w:tcPr>
            <w:tcW w:w="2861" w:type="dxa"/>
          </w:tcPr>
          <w:p w14:paraId="3CB4B3B0">
            <w:pPr>
              <w:spacing w:line="300" w:lineRule="exact"/>
              <w:rPr>
                <w:rFonts w:ascii="宋体" w:hAnsi="宋体" w:eastAsia="仿宋_GB2312" w:cs="宋体"/>
                <w:sz w:val="24"/>
                <w:szCs w:val="24"/>
                <w:lang w:val="en"/>
              </w:rPr>
            </w:pPr>
          </w:p>
        </w:tc>
        <w:tc>
          <w:tcPr>
            <w:tcW w:w="993" w:type="dxa"/>
          </w:tcPr>
          <w:p w14:paraId="3B625EB6">
            <w:pPr>
              <w:spacing w:line="300" w:lineRule="exact"/>
              <w:rPr>
                <w:rFonts w:ascii="宋体" w:hAnsi="宋体" w:eastAsia="仿宋_GB2312" w:cs="宋体"/>
                <w:sz w:val="24"/>
                <w:szCs w:val="24"/>
              </w:rPr>
            </w:pPr>
          </w:p>
        </w:tc>
      </w:tr>
      <w:tr w14:paraId="77D0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2751E660">
            <w:pPr>
              <w:spacing w:line="300" w:lineRule="exact"/>
              <w:jc w:val="center"/>
              <w:rPr>
                <w:rFonts w:ascii="宋体" w:hAnsi="宋体" w:eastAsia="宋体" w:cs="宋体"/>
                <w:sz w:val="24"/>
                <w:szCs w:val="24"/>
              </w:rPr>
            </w:pPr>
            <w:r>
              <w:rPr>
                <w:rFonts w:hint="eastAsia" w:ascii="宋体" w:hAnsi="宋体" w:eastAsia="宋体" w:cs="宋体"/>
                <w:sz w:val="24"/>
                <w:szCs w:val="24"/>
              </w:rPr>
              <w:t>5</w:t>
            </w:r>
          </w:p>
        </w:tc>
        <w:tc>
          <w:tcPr>
            <w:tcW w:w="3843" w:type="dxa"/>
          </w:tcPr>
          <w:p w14:paraId="79503FCE">
            <w:pPr>
              <w:spacing w:line="300" w:lineRule="exact"/>
              <w:rPr>
                <w:rFonts w:ascii="宋体" w:hAnsi="宋体" w:eastAsia="仿宋_GB2312" w:cs="宋体"/>
                <w:sz w:val="24"/>
                <w:szCs w:val="24"/>
                <w:lang w:val="en"/>
              </w:rPr>
            </w:pPr>
          </w:p>
        </w:tc>
        <w:tc>
          <w:tcPr>
            <w:tcW w:w="2861" w:type="dxa"/>
          </w:tcPr>
          <w:p w14:paraId="75C94007">
            <w:pPr>
              <w:spacing w:line="300" w:lineRule="exact"/>
              <w:rPr>
                <w:rFonts w:ascii="宋体" w:hAnsi="宋体" w:eastAsia="仿宋_GB2312" w:cs="宋体"/>
                <w:sz w:val="24"/>
                <w:szCs w:val="24"/>
                <w:lang w:val="en"/>
              </w:rPr>
            </w:pPr>
          </w:p>
        </w:tc>
        <w:tc>
          <w:tcPr>
            <w:tcW w:w="993" w:type="dxa"/>
          </w:tcPr>
          <w:p w14:paraId="07EDEAC1">
            <w:pPr>
              <w:spacing w:line="300" w:lineRule="exact"/>
              <w:rPr>
                <w:rFonts w:ascii="宋体" w:hAnsi="宋体" w:eastAsia="仿宋_GB2312" w:cs="宋体"/>
                <w:sz w:val="24"/>
                <w:szCs w:val="24"/>
              </w:rPr>
            </w:pPr>
          </w:p>
        </w:tc>
      </w:tr>
      <w:tr w14:paraId="0C3F5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26603A00">
            <w:pPr>
              <w:spacing w:line="300" w:lineRule="exact"/>
              <w:jc w:val="center"/>
              <w:rPr>
                <w:rFonts w:ascii="宋体" w:hAnsi="宋体" w:eastAsia="宋体" w:cs="宋体"/>
                <w:sz w:val="24"/>
                <w:szCs w:val="24"/>
              </w:rPr>
            </w:pPr>
            <w:r>
              <w:rPr>
                <w:rFonts w:hint="eastAsia" w:ascii="宋体" w:hAnsi="宋体" w:eastAsia="宋体" w:cs="宋体"/>
                <w:sz w:val="24"/>
                <w:szCs w:val="24"/>
              </w:rPr>
              <w:t>6</w:t>
            </w:r>
          </w:p>
        </w:tc>
        <w:tc>
          <w:tcPr>
            <w:tcW w:w="3843" w:type="dxa"/>
          </w:tcPr>
          <w:p w14:paraId="2659973A">
            <w:pPr>
              <w:spacing w:line="300" w:lineRule="exact"/>
              <w:rPr>
                <w:rFonts w:ascii="宋体" w:hAnsi="宋体" w:eastAsia="仿宋_GB2312" w:cs="宋体"/>
                <w:sz w:val="24"/>
                <w:szCs w:val="24"/>
                <w:lang w:val="en"/>
              </w:rPr>
            </w:pPr>
          </w:p>
        </w:tc>
        <w:tc>
          <w:tcPr>
            <w:tcW w:w="2861" w:type="dxa"/>
          </w:tcPr>
          <w:p w14:paraId="2ED88BCA">
            <w:pPr>
              <w:spacing w:line="300" w:lineRule="exact"/>
              <w:rPr>
                <w:rFonts w:ascii="宋体" w:hAnsi="宋体" w:eastAsia="仿宋_GB2312" w:cs="宋体"/>
                <w:sz w:val="24"/>
                <w:szCs w:val="24"/>
                <w:lang w:val="en"/>
              </w:rPr>
            </w:pPr>
          </w:p>
        </w:tc>
        <w:tc>
          <w:tcPr>
            <w:tcW w:w="993" w:type="dxa"/>
          </w:tcPr>
          <w:p w14:paraId="68EE74EE">
            <w:pPr>
              <w:spacing w:line="300" w:lineRule="exact"/>
              <w:rPr>
                <w:rFonts w:ascii="宋体" w:hAnsi="宋体" w:eastAsia="仿宋_GB2312" w:cs="宋体"/>
                <w:sz w:val="24"/>
                <w:szCs w:val="24"/>
              </w:rPr>
            </w:pPr>
          </w:p>
        </w:tc>
      </w:tr>
      <w:tr w14:paraId="48BB5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438D774D">
            <w:pPr>
              <w:spacing w:line="300" w:lineRule="exact"/>
              <w:jc w:val="center"/>
              <w:rPr>
                <w:rFonts w:ascii="宋体" w:hAnsi="宋体" w:eastAsia="宋体" w:cs="宋体"/>
                <w:sz w:val="24"/>
                <w:szCs w:val="24"/>
              </w:rPr>
            </w:pPr>
            <w:r>
              <w:rPr>
                <w:rFonts w:hint="eastAsia" w:ascii="宋体" w:hAnsi="宋体" w:eastAsia="宋体" w:cs="宋体"/>
                <w:sz w:val="24"/>
                <w:szCs w:val="24"/>
              </w:rPr>
              <w:t>7</w:t>
            </w:r>
          </w:p>
        </w:tc>
        <w:tc>
          <w:tcPr>
            <w:tcW w:w="3843" w:type="dxa"/>
          </w:tcPr>
          <w:p w14:paraId="5115D993">
            <w:pPr>
              <w:spacing w:line="300" w:lineRule="exact"/>
              <w:rPr>
                <w:rFonts w:ascii="宋体" w:hAnsi="宋体" w:eastAsia="仿宋_GB2312" w:cs="宋体"/>
                <w:sz w:val="24"/>
                <w:szCs w:val="24"/>
                <w:lang w:val="en"/>
              </w:rPr>
            </w:pPr>
          </w:p>
        </w:tc>
        <w:tc>
          <w:tcPr>
            <w:tcW w:w="2861" w:type="dxa"/>
          </w:tcPr>
          <w:p w14:paraId="7BFAF3B5">
            <w:pPr>
              <w:spacing w:line="300" w:lineRule="exact"/>
              <w:rPr>
                <w:rFonts w:ascii="宋体" w:hAnsi="宋体" w:eastAsia="仿宋_GB2312" w:cs="宋体"/>
                <w:sz w:val="24"/>
                <w:szCs w:val="24"/>
                <w:lang w:val="en"/>
              </w:rPr>
            </w:pPr>
          </w:p>
        </w:tc>
        <w:tc>
          <w:tcPr>
            <w:tcW w:w="993" w:type="dxa"/>
          </w:tcPr>
          <w:p w14:paraId="566A4527">
            <w:pPr>
              <w:spacing w:line="300" w:lineRule="exact"/>
              <w:rPr>
                <w:rFonts w:ascii="宋体" w:hAnsi="宋体" w:eastAsia="仿宋_GB2312" w:cs="宋体"/>
                <w:sz w:val="24"/>
                <w:szCs w:val="24"/>
              </w:rPr>
            </w:pPr>
          </w:p>
        </w:tc>
      </w:tr>
      <w:tr w14:paraId="04376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6106AED0">
            <w:pPr>
              <w:spacing w:line="300" w:lineRule="exact"/>
              <w:jc w:val="center"/>
              <w:rPr>
                <w:rFonts w:ascii="宋体" w:hAnsi="宋体" w:eastAsia="宋体" w:cs="宋体"/>
                <w:sz w:val="24"/>
                <w:szCs w:val="24"/>
              </w:rPr>
            </w:pPr>
            <w:r>
              <w:rPr>
                <w:rFonts w:hint="eastAsia" w:ascii="宋体" w:hAnsi="宋体" w:eastAsia="宋体" w:cs="宋体"/>
                <w:sz w:val="24"/>
                <w:szCs w:val="24"/>
              </w:rPr>
              <w:t>8</w:t>
            </w:r>
          </w:p>
        </w:tc>
        <w:tc>
          <w:tcPr>
            <w:tcW w:w="3843" w:type="dxa"/>
          </w:tcPr>
          <w:p w14:paraId="0D538F86">
            <w:pPr>
              <w:spacing w:line="300" w:lineRule="exact"/>
              <w:rPr>
                <w:rFonts w:ascii="宋体" w:hAnsi="宋体" w:eastAsia="仿宋_GB2312" w:cs="宋体"/>
                <w:sz w:val="24"/>
                <w:szCs w:val="24"/>
                <w:lang w:val="en"/>
              </w:rPr>
            </w:pPr>
          </w:p>
        </w:tc>
        <w:tc>
          <w:tcPr>
            <w:tcW w:w="2861" w:type="dxa"/>
          </w:tcPr>
          <w:p w14:paraId="3251C8B0">
            <w:pPr>
              <w:spacing w:line="300" w:lineRule="exact"/>
              <w:rPr>
                <w:rFonts w:ascii="宋体" w:hAnsi="宋体" w:eastAsia="仿宋_GB2312" w:cs="宋体"/>
                <w:sz w:val="24"/>
                <w:szCs w:val="24"/>
                <w:lang w:val="en"/>
              </w:rPr>
            </w:pPr>
          </w:p>
        </w:tc>
        <w:tc>
          <w:tcPr>
            <w:tcW w:w="993" w:type="dxa"/>
          </w:tcPr>
          <w:p w14:paraId="7BD6AAFC">
            <w:pPr>
              <w:spacing w:line="300" w:lineRule="exact"/>
              <w:rPr>
                <w:rFonts w:ascii="宋体" w:hAnsi="宋体" w:eastAsia="仿宋_GB2312" w:cs="宋体"/>
                <w:sz w:val="24"/>
                <w:szCs w:val="24"/>
              </w:rPr>
            </w:pPr>
          </w:p>
        </w:tc>
      </w:tr>
      <w:tr w14:paraId="6FB80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4F3F4932">
            <w:pPr>
              <w:spacing w:line="300" w:lineRule="exact"/>
              <w:jc w:val="center"/>
              <w:rPr>
                <w:rFonts w:ascii="宋体" w:hAnsi="宋体" w:eastAsia="宋体" w:cs="宋体"/>
                <w:sz w:val="24"/>
                <w:szCs w:val="24"/>
              </w:rPr>
            </w:pPr>
            <w:r>
              <w:rPr>
                <w:rFonts w:hint="eastAsia" w:ascii="宋体" w:hAnsi="宋体" w:eastAsia="宋体" w:cs="宋体"/>
                <w:sz w:val="24"/>
                <w:szCs w:val="24"/>
              </w:rPr>
              <w:t>……</w:t>
            </w:r>
          </w:p>
        </w:tc>
        <w:tc>
          <w:tcPr>
            <w:tcW w:w="3843" w:type="dxa"/>
          </w:tcPr>
          <w:p w14:paraId="031493A9">
            <w:pPr>
              <w:spacing w:line="300" w:lineRule="exact"/>
              <w:rPr>
                <w:rFonts w:ascii="宋体" w:hAnsi="宋体" w:eastAsia="仿宋_GB2312" w:cs="宋体"/>
                <w:sz w:val="24"/>
                <w:szCs w:val="24"/>
                <w:lang w:val="en"/>
              </w:rPr>
            </w:pPr>
          </w:p>
        </w:tc>
        <w:tc>
          <w:tcPr>
            <w:tcW w:w="2861" w:type="dxa"/>
          </w:tcPr>
          <w:p w14:paraId="0DF0E13E">
            <w:pPr>
              <w:spacing w:line="300" w:lineRule="exact"/>
              <w:rPr>
                <w:rFonts w:ascii="宋体" w:hAnsi="宋体" w:eastAsia="仿宋_GB2312" w:cs="宋体"/>
                <w:sz w:val="24"/>
                <w:szCs w:val="24"/>
                <w:lang w:val="en"/>
              </w:rPr>
            </w:pPr>
          </w:p>
        </w:tc>
        <w:tc>
          <w:tcPr>
            <w:tcW w:w="993" w:type="dxa"/>
          </w:tcPr>
          <w:p w14:paraId="65E0EFE7">
            <w:pPr>
              <w:spacing w:line="300" w:lineRule="exact"/>
              <w:rPr>
                <w:rFonts w:ascii="宋体" w:hAnsi="宋体" w:eastAsia="仿宋_GB2312" w:cs="宋体"/>
                <w:sz w:val="24"/>
                <w:szCs w:val="24"/>
              </w:rPr>
            </w:pPr>
          </w:p>
        </w:tc>
      </w:tr>
    </w:tbl>
    <w:p w14:paraId="20ED4864">
      <w:pPr>
        <w:spacing w:line="400" w:lineRule="exact"/>
        <w:jc w:val="left"/>
        <w:rPr>
          <w:rFonts w:ascii="宋体" w:hAnsi="宋体" w:eastAsia="宋体" w:cs="宋体"/>
          <w:sz w:val="21"/>
          <w:szCs w:val="21"/>
        </w:rPr>
      </w:pPr>
      <w:r>
        <w:rPr>
          <w:rFonts w:hint="eastAsia" w:ascii="宋体" w:hAnsi="宋体" w:eastAsia="宋体" w:cs="宋体"/>
          <w:sz w:val="21"/>
          <w:szCs w:val="21"/>
        </w:rPr>
        <w:t>备注：1.项目资金末端分配点位包括本部门、部门下属单位及一次性单位等。</w:t>
      </w:r>
    </w:p>
    <w:p w14:paraId="0C41CC7B">
      <w:pPr>
        <w:numPr>
          <w:ilvl w:val="0"/>
          <w:numId w:val="4"/>
        </w:numPr>
        <w:spacing w:line="400" w:lineRule="exact"/>
        <w:ind w:firstLine="630" w:firstLineChars="300"/>
        <w:jc w:val="left"/>
        <w:rPr>
          <w:rFonts w:hint="eastAsia" w:ascii="宋体" w:hAnsi="宋体" w:eastAsia="宋体" w:cs="宋体"/>
          <w:sz w:val="21"/>
          <w:szCs w:val="21"/>
        </w:rPr>
      </w:pPr>
      <w:r>
        <w:rPr>
          <w:rFonts w:hint="eastAsia" w:ascii="宋体" w:hAnsi="宋体" w:eastAsia="宋体" w:cs="宋体"/>
          <w:sz w:val="21"/>
          <w:szCs w:val="21"/>
        </w:rPr>
        <w:t>自评得分（百分制）从高到低划分为优、良、中、差四个档次，各个档次数量占比分别为20%、20%、55%、5%，且不同档次间得分分值应体现差异化，同档次得分分值相同的比例不超过该档次总数量的10%。</w:t>
      </w:r>
    </w:p>
    <w:p w14:paraId="4178D357">
      <w:pPr>
        <w:pStyle w:val="19"/>
        <w:widowControl w:val="0"/>
        <w:numPr>
          <w:ilvl w:val="0"/>
          <w:numId w:val="0"/>
        </w:numPr>
        <w:jc w:val="both"/>
      </w:pPr>
    </w:p>
    <w:p w14:paraId="2029CE66"/>
    <w:p w14:paraId="09AE13B6">
      <w:pPr>
        <w:pStyle w:val="19"/>
      </w:pPr>
    </w:p>
    <w:p w14:paraId="2CFCA054"/>
    <w:p w14:paraId="00B1379B">
      <w:pPr>
        <w:pStyle w:val="19"/>
      </w:pPr>
    </w:p>
    <w:p w14:paraId="4C060AC0"/>
    <w:p w14:paraId="69827943">
      <w:pPr>
        <w:pStyle w:val="19"/>
      </w:pPr>
    </w:p>
    <w:p w14:paraId="2B126A7E"/>
    <w:p w14:paraId="707617C2">
      <w:pPr>
        <w:pStyle w:val="19"/>
      </w:pPr>
    </w:p>
    <w:p w14:paraId="0CE8E3FB"/>
    <w:p w14:paraId="52E03E93">
      <w:pPr>
        <w:pStyle w:val="19"/>
      </w:pPr>
    </w:p>
    <w:p w14:paraId="047F8C97"/>
    <w:p w14:paraId="64CD4F3F">
      <w:pPr>
        <w:pStyle w:val="19"/>
      </w:pPr>
    </w:p>
    <w:p w14:paraId="0502C61A"/>
    <w:p w14:paraId="3935DCB5">
      <w:pPr>
        <w:pStyle w:val="19"/>
      </w:pPr>
    </w:p>
    <w:p w14:paraId="7CA05F85">
      <w:pPr>
        <w:pStyle w:val="19"/>
      </w:pPr>
    </w:p>
    <w:p w14:paraId="509C42A9"/>
    <w:tbl>
      <w:tblPr>
        <w:tblStyle w:val="23"/>
        <w:tblW w:w="85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7"/>
        <w:gridCol w:w="1050"/>
        <w:gridCol w:w="929"/>
        <w:gridCol w:w="1138"/>
        <w:gridCol w:w="403"/>
        <w:gridCol w:w="834"/>
        <w:gridCol w:w="409"/>
        <w:gridCol w:w="863"/>
        <w:gridCol w:w="495"/>
        <w:gridCol w:w="495"/>
        <w:gridCol w:w="1357"/>
      </w:tblGrid>
      <w:tr w14:paraId="08DF5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5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8294CB7">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7A740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9856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92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B34E5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51322322T000006476422-茂县供销合作社“茂农服”数字平台项目</w:t>
            </w:r>
          </w:p>
        </w:tc>
      </w:tr>
      <w:tr w14:paraId="587DB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BF6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C168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茂县供销合作社联合社本级</w:t>
            </w:r>
          </w:p>
        </w:tc>
        <w:tc>
          <w:tcPr>
            <w:tcW w:w="863" w:type="dxa"/>
            <w:tcBorders>
              <w:top w:val="nil"/>
              <w:left w:val="nil"/>
              <w:bottom w:val="nil"/>
              <w:right w:val="nil"/>
            </w:tcBorders>
            <w:shd w:val="clear" w:color="auto" w:fill="auto"/>
            <w:vAlign w:val="center"/>
          </w:tcPr>
          <w:p w14:paraId="2718DFC7">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F826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w:t>
            </w:r>
          </w:p>
        </w:tc>
      </w:tr>
      <w:tr w14:paraId="6B278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1031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EFB8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163B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F48ED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3471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ED977">
            <w:pP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89909">
            <w:pPr>
              <w:rPr>
                <w:rFonts w:hint="eastAsia" w:ascii="宋体" w:hAnsi="宋体" w:eastAsia="宋体" w:cs="宋体"/>
                <w:i w:val="0"/>
                <w:iCs w:val="0"/>
                <w:color w:val="000000"/>
                <w:sz w:val="18"/>
                <w:szCs w:val="18"/>
                <w:u w:val="none"/>
              </w:rPr>
            </w:pPr>
          </w:p>
        </w:tc>
        <w:tc>
          <w:tcPr>
            <w:tcW w:w="37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EB7D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进一步做好茂县为农服务和监管工作</w:t>
            </w:r>
          </w:p>
        </w:tc>
        <w:tc>
          <w:tcPr>
            <w:tcW w:w="32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8858D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通过建立溯源基地，搭建销售系统，安装智慧农资一体机及三社融合发展，进一步提升了为农服务和监管工作。</w:t>
            </w:r>
          </w:p>
        </w:tc>
      </w:tr>
      <w:tr w14:paraId="24DBA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2E7E4">
            <w:pP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D37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92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97954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根据2022年实施的茂县数字农业服务平台项目，遵照合同于2023年11月完成资金支付。</w:t>
            </w:r>
          </w:p>
        </w:tc>
      </w:tr>
      <w:tr w14:paraId="7C66C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E0E4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8D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1C1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C7D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600B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40F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003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F4D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0F7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7B82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0FD00">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A86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61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BAD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7.53</w:t>
            </w:r>
          </w:p>
        </w:tc>
        <w:tc>
          <w:tcPr>
            <w:tcW w:w="16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7CB5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7.53</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D0A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801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C53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3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7FFBE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BD47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EF0DB">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BB4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37E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285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7.53</w:t>
            </w:r>
          </w:p>
        </w:tc>
        <w:tc>
          <w:tcPr>
            <w:tcW w:w="16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F2CF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7.53</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85A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E9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A2C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04A10">
            <w:pPr>
              <w:rPr>
                <w:rFonts w:hint="eastAsia" w:ascii="黑体" w:hAnsi="黑体" w:eastAsia="黑体" w:cs="黑体"/>
                <w:i/>
                <w:iCs/>
                <w:color w:val="000000"/>
                <w:sz w:val="18"/>
                <w:szCs w:val="18"/>
                <w:u w:val="none"/>
              </w:rPr>
            </w:pPr>
          </w:p>
        </w:tc>
      </w:tr>
      <w:tr w14:paraId="383FC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5D90E">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2B9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4DC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3D1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9533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B3A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FD5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A7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5B98F">
            <w:pPr>
              <w:rPr>
                <w:rFonts w:hint="eastAsia" w:ascii="黑体" w:hAnsi="黑体" w:eastAsia="黑体" w:cs="黑体"/>
                <w:i/>
                <w:iCs/>
                <w:color w:val="000000"/>
                <w:sz w:val="18"/>
                <w:szCs w:val="18"/>
                <w:u w:val="none"/>
              </w:rPr>
            </w:pPr>
          </w:p>
        </w:tc>
      </w:tr>
      <w:tr w14:paraId="217AB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C7665">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784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9B2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5C9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0310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CF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ED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B1C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A2EA9">
            <w:pPr>
              <w:rPr>
                <w:rFonts w:hint="eastAsia" w:ascii="黑体" w:hAnsi="黑体" w:eastAsia="黑体" w:cs="黑体"/>
                <w:i/>
                <w:iCs/>
                <w:color w:val="000000"/>
                <w:sz w:val="18"/>
                <w:szCs w:val="18"/>
                <w:u w:val="none"/>
              </w:rPr>
            </w:pPr>
          </w:p>
        </w:tc>
      </w:tr>
      <w:tr w14:paraId="6D867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E8A69">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DA6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C806E">
            <w:pPr>
              <w:jc w:val="center"/>
              <w:rPr>
                <w:rFonts w:hint="eastAsia" w:ascii="微软雅黑" w:hAnsi="微软雅黑" w:eastAsia="微软雅黑" w:cs="微软雅黑"/>
                <w:i/>
                <w:iCs/>
                <w:color w:val="000000"/>
                <w:sz w:val="16"/>
                <w:szCs w:val="16"/>
                <w:u w:val="none"/>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940B2">
            <w:pPr>
              <w:jc w:val="center"/>
              <w:rPr>
                <w:rFonts w:hint="eastAsia" w:ascii="微软雅黑" w:hAnsi="微软雅黑" w:eastAsia="微软雅黑" w:cs="微软雅黑"/>
                <w:i/>
                <w:iCs/>
                <w:color w:val="000000"/>
                <w:sz w:val="16"/>
                <w:szCs w:val="16"/>
                <w:u w:val="none"/>
              </w:rPr>
            </w:pPr>
          </w:p>
        </w:tc>
        <w:tc>
          <w:tcPr>
            <w:tcW w:w="16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A4A982">
            <w:pPr>
              <w:jc w:val="center"/>
              <w:rPr>
                <w:rFonts w:hint="eastAsia" w:ascii="微软雅黑" w:hAnsi="微软雅黑" w:eastAsia="微软雅黑" w:cs="微软雅黑"/>
                <w:i/>
                <w:iCs/>
                <w:color w:val="000000"/>
                <w:sz w:val="16"/>
                <w:szCs w:val="16"/>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4A2A3">
            <w:pPr>
              <w:jc w:val="center"/>
              <w:rPr>
                <w:rFonts w:hint="eastAsia" w:ascii="微软雅黑" w:hAnsi="微软雅黑" w:eastAsia="微软雅黑" w:cs="微软雅黑"/>
                <w:i/>
                <w:iCs/>
                <w:color w:val="000000"/>
                <w:sz w:val="16"/>
                <w:szCs w:val="16"/>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FEE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029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2FFAA">
            <w:pPr>
              <w:rPr>
                <w:rFonts w:hint="eastAsia" w:ascii="黑体" w:hAnsi="黑体" w:eastAsia="黑体" w:cs="黑体"/>
                <w:i/>
                <w:iCs/>
                <w:color w:val="000000"/>
                <w:sz w:val="18"/>
                <w:szCs w:val="18"/>
                <w:u w:val="none"/>
              </w:rPr>
            </w:pPr>
          </w:p>
        </w:tc>
      </w:tr>
      <w:tr w14:paraId="59BAC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9D35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78B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FE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BE2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41A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A4B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4BB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76C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484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214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A58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E68D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5F0AC">
            <w:pPr>
              <w:jc w:val="center"/>
              <w:rPr>
                <w:rFonts w:hint="eastAsia" w:ascii="宋体" w:hAnsi="宋体" w:eastAsia="宋体" w:cs="宋体"/>
                <w:i w:val="0"/>
                <w:iCs w:val="0"/>
                <w:color w:val="000000"/>
                <w:sz w:val="18"/>
                <w:szCs w:val="18"/>
                <w:u w:val="none"/>
              </w:rPr>
            </w:pP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D02D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830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C16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优化茂县农资管理和服务能力</w:t>
            </w:r>
          </w:p>
        </w:tc>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7DA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CEA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AC4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7B01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A09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14D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6B9A1">
            <w:pPr>
              <w:jc w:val="center"/>
              <w:rPr>
                <w:rFonts w:hint="eastAsia" w:ascii="微软雅黑" w:hAnsi="微软雅黑" w:eastAsia="微软雅黑" w:cs="微软雅黑"/>
                <w:i/>
                <w:iCs/>
                <w:color w:val="000000"/>
                <w:sz w:val="16"/>
                <w:szCs w:val="16"/>
                <w:u w:val="none"/>
              </w:rPr>
            </w:pPr>
          </w:p>
        </w:tc>
      </w:tr>
      <w:tr w14:paraId="36CC1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8987E">
            <w:pPr>
              <w:jc w:val="cente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7229C">
            <w:pPr>
              <w:jc w:val="center"/>
              <w:rPr>
                <w:rFonts w:hint="eastAsia" w:ascii="宋体" w:hAnsi="宋体" w:eastAsia="宋体" w:cs="宋体"/>
                <w:i w:val="0"/>
                <w:iCs w:val="0"/>
                <w:color w:val="000000"/>
                <w:sz w:val="18"/>
                <w:szCs w:val="18"/>
                <w:u w:val="none"/>
              </w:rPr>
            </w:pPr>
          </w:p>
        </w:tc>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63F7D">
            <w:pPr>
              <w:jc w:val="center"/>
              <w:rPr>
                <w:rFonts w:hint="eastAsia" w:ascii="宋体" w:hAnsi="宋体" w:eastAsia="宋体" w:cs="宋体"/>
                <w:i w:val="0"/>
                <w:iCs w:val="0"/>
                <w:color w:val="000000"/>
                <w:sz w:val="18"/>
                <w:szCs w:val="18"/>
                <w:u w:val="none"/>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179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实现农产品可追溯</w:t>
            </w:r>
          </w:p>
        </w:tc>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0B0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F33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44F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30AF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DDF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2C7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5EFB1">
            <w:pPr>
              <w:jc w:val="center"/>
              <w:rPr>
                <w:rFonts w:hint="eastAsia" w:ascii="微软雅黑" w:hAnsi="微软雅黑" w:eastAsia="微软雅黑" w:cs="微软雅黑"/>
                <w:i/>
                <w:iCs/>
                <w:color w:val="000000"/>
                <w:sz w:val="16"/>
                <w:szCs w:val="16"/>
                <w:u w:val="none"/>
              </w:rPr>
            </w:pPr>
          </w:p>
        </w:tc>
      </w:tr>
      <w:tr w14:paraId="2B7FD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D4F6D">
            <w:pPr>
              <w:jc w:val="center"/>
              <w:rPr>
                <w:rFonts w:hint="eastAsia" w:ascii="宋体" w:hAnsi="宋体" w:eastAsia="宋体" w:cs="宋体"/>
                <w:i w:val="0"/>
                <w:iCs w:val="0"/>
                <w:color w:val="000000"/>
                <w:sz w:val="18"/>
                <w:szCs w:val="18"/>
                <w:u w:val="none"/>
              </w:rPr>
            </w:pP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E995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17A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761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提升茂县农产品品牌影响力，拓展农产品销售渠道</w:t>
            </w:r>
          </w:p>
        </w:tc>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236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B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37578">
            <w:pPr>
              <w:jc w:val="cente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48F2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优</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0B3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87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AAF40">
            <w:pPr>
              <w:jc w:val="center"/>
              <w:rPr>
                <w:rFonts w:hint="eastAsia" w:ascii="微软雅黑" w:hAnsi="微软雅黑" w:eastAsia="微软雅黑" w:cs="微软雅黑"/>
                <w:i/>
                <w:iCs/>
                <w:color w:val="000000"/>
                <w:sz w:val="16"/>
                <w:szCs w:val="16"/>
                <w:u w:val="none"/>
              </w:rPr>
            </w:pPr>
          </w:p>
        </w:tc>
      </w:tr>
      <w:tr w14:paraId="4E4D5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19444">
            <w:pPr>
              <w:jc w:val="cente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BA1FD">
            <w:pPr>
              <w:jc w:val="center"/>
              <w:rPr>
                <w:rFonts w:hint="eastAsia" w:ascii="宋体" w:hAnsi="宋体" w:eastAsia="宋体" w:cs="宋体"/>
                <w:i w:val="0"/>
                <w:iCs w:val="0"/>
                <w:color w:val="000000"/>
                <w:sz w:val="18"/>
                <w:szCs w:val="18"/>
                <w:u w:val="none"/>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1F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9F5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控制生产过程中化肥与农药的投入，保障产品品质</w:t>
            </w:r>
          </w:p>
        </w:tc>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868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A6B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6AB24">
            <w:pPr>
              <w:jc w:val="cente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75F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中</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7A2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395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9E889">
            <w:pPr>
              <w:jc w:val="center"/>
              <w:rPr>
                <w:rFonts w:hint="eastAsia" w:ascii="微软雅黑" w:hAnsi="微软雅黑" w:eastAsia="微软雅黑" w:cs="微软雅黑"/>
                <w:i/>
                <w:iCs/>
                <w:color w:val="000000"/>
                <w:sz w:val="16"/>
                <w:szCs w:val="16"/>
                <w:u w:val="none"/>
              </w:rPr>
            </w:pPr>
          </w:p>
        </w:tc>
      </w:tr>
      <w:tr w14:paraId="526E7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64CE2">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981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6C5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C31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农户销售农产品满意度指标</w:t>
            </w:r>
          </w:p>
        </w:tc>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599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752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8C0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2C68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57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94A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27B65">
            <w:pPr>
              <w:jc w:val="center"/>
              <w:rPr>
                <w:rFonts w:hint="eastAsia" w:ascii="微软雅黑" w:hAnsi="微软雅黑" w:eastAsia="微软雅黑" w:cs="微软雅黑"/>
                <w:i/>
                <w:iCs/>
                <w:color w:val="000000"/>
                <w:sz w:val="16"/>
                <w:szCs w:val="16"/>
                <w:u w:val="none"/>
              </w:rPr>
            </w:pPr>
          </w:p>
        </w:tc>
      </w:tr>
      <w:tr w14:paraId="50CC0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21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2B44D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071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C725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B7F28">
            <w:pPr>
              <w:rPr>
                <w:rFonts w:hint="eastAsia" w:ascii="宋体" w:hAnsi="宋体" w:eastAsia="宋体" w:cs="宋体"/>
                <w:i w:val="0"/>
                <w:iCs w:val="0"/>
                <w:color w:val="000000"/>
                <w:sz w:val="18"/>
                <w:szCs w:val="18"/>
                <w:u w:val="none"/>
              </w:rPr>
            </w:pPr>
          </w:p>
        </w:tc>
      </w:tr>
      <w:tr w14:paraId="6EC2F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A51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97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44023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根据采购安装合同预定，该笔资金支付符合合同约定，并按项目资金管理办法完成支付，自评得分100分。</w:t>
            </w:r>
          </w:p>
        </w:tc>
      </w:tr>
      <w:tr w14:paraId="4704E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8C1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97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68D188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1071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9ED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97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06599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3BE1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0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DD40A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项目负责人：何福涛</w:t>
            </w:r>
          </w:p>
        </w:tc>
        <w:tc>
          <w:tcPr>
            <w:tcW w:w="445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01283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财务负责人：李婷</w:t>
            </w:r>
          </w:p>
        </w:tc>
      </w:tr>
      <w:tr w14:paraId="5AEAD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tcBorders>
              <w:top w:val="nil"/>
              <w:left w:val="nil"/>
              <w:bottom w:val="nil"/>
              <w:right w:val="nil"/>
            </w:tcBorders>
            <w:shd w:val="clear" w:color="auto" w:fill="auto"/>
            <w:vAlign w:val="center"/>
          </w:tcPr>
          <w:p w14:paraId="70678F19">
            <w:pPr>
              <w:rPr>
                <w:rFonts w:hint="eastAsia" w:ascii="宋体" w:hAnsi="宋体" w:eastAsia="宋体" w:cs="宋体"/>
                <w:i w:val="0"/>
                <w:iCs w:val="0"/>
                <w:color w:val="000000"/>
                <w:sz w:val="18"/>
                <w:szCs w:val="18"/>
                <w:u w:val="none"/>
              </w:rPr>
            </w:pPr>
          </w:p>
        </w:tc>
        <w:tc>
          <w:tcPr>
            <w:tcW w:w="1050" w:type="dxa"/>
            <w:tcBorders>
              <w:top w:val="nil"/>
              <w:left w:val="nil"/>
              <w:bottom w:val="nil"/>
              <w:right w:val="nil"/>
            </w:tcBorders>
            <w:shd w:val="clear" w:color="auto" w:fill="auto"/>
            <w:vAlign w:val="center"/>
          </w:tcPr>
          <w:p w14:paraId="745B2A72">
            <w:pPr>
              <w:rPr>
                <w:rFonts w:hint="eastAsia" w:ascii="宋体" w:hAnsi="宋体" w:eastAsia="宋体" w:cs="宋体"/>
                <w:i w:val="0"/>
                <w:iCs w:val="0"/>
                <w:color w:val="000000"/>
                <w:sz w:val="18"/>
                <w:szCs w:val="18"/>
                <w:u w:val="none"/>
              </w:rPr>
            </w:pPr>
          </w:p>
        </w:tc>
        <w:tc>
          <w:tcPr>
            <w:tcW w:w="929" w:type="dxa"/>
            <w:tcBorders>
              <w:top w:val="nil"/>
              <w:left w:val="nil"/>
              <w:bottom w:val="nil"/>
              <w:right w:val="nil"/>
            </w:tcBorders>
            <w:shd w:val="clear" w:color="auto" w:fill="auto"/>
            <w:vAlign w:val="center"/>
          </w:tcPr>
          <w:p w14:paraId="64FFEADE">
            <w:pPr>
              <w:rPr>
                <w:rFonts w:hint="eastAsia" w:ascii="宋体" w:hAnsi="宋体" w:eastAsia="宋体" w:cs="宋体"/>
                <w:i w:val="0"/>
                <w:iCs w:val="0"/>
                <w:color w:val="000000"/>
                <w:sz w:val="18"/>
                <w:szCs w:val="18"/>
                <w:u w:val="none"/>
              </w:rPr>
            </w:pPr>
          </w:p>
        </w:tc>
        <w:tc>
          <w:tcPr>
            <w:tcW w:w="1138" w:type="dxa"/>
            <w:tcBorders>
              <w:top w:val="nil"/>
              <w:left w:val="nil"/>
              <w:bottom w:val="nil"/>
              <w:right w:val="nil"/>
            </w:tcBorders>
            <w:shd w:val="clear" w:color="auto" w:fill="auto"/>
            <w:vAlign w:val="center"/>
          </w:tcPr>
          <w:p w14:paraId="29E03598">
            <w:pPr>
              <w:rPr>
                <w:rFonts w:hint="eastAsia" w:ascii="宋体" w:hAnsi="宋体" w:eastAsia="宋体" w:cs="宋体"/>
                <w:i w:val="0"/>
                <w:iCs w:val="0"/>
                <w:color w:val="000000"/>
                <w:sz w:val="18"/>
                <w:szCs w:val="18"/>
                <w:u w:val="none"/>
              </w:rPr>
            </w:pPr>
          </w:p>
        </w:tc>
        <w:tc>
          <w:tcPr>
            <w:tcW w:w="403" w:type="dxa"/>
            <w:tcBorders>
              <w:top w:val="nil"/>
              <w:left w:val="nil"/>
              <w:bottom w:val="nil"/>
              <w:right w:val="nil"/>
            </w:tcBorders>
            <w:shd w:val="clear" w:color="auto" w:fill="auto"/>
            <w:vAlign w:val="center"/>
          </w:tcPr>
          <w:p w14:paraId="26D9907F">
            <w:pPr>
              <w:rPr>
                <w:rFonts w:hint="eastAsia" w:ascii="宋体" w:hAnsi="宋体" w:eastAsia="宋体" w:cs="宋体"/>
                <w:i w:val="0"/>
                <w:iCs w:val="0"/>
                <w:color w:val="000000"/>
                <w:sz w:val="18"/>
                <w:szCs w:val="18"/>
                <w:u w:val="none"/>
              </w:rPr>
            </w:pPr>
          </w:p>
        </w:tc>
        <w:tc>
          <w:tcPr>
            <w:tcW w:w="834" w:type="dxa"/>
            <w:tcBorders>
              <w:top w:val="nil"/>
              <w:left w:val="nil"/>
              <w:bottom w:val="nil"/>
              <w:right w:val="nil"/>
            </w:tcBorders>
            <w:shd w:val="clear" w:color="auto" w:fill="auto"/>
            <w:vAlign w:val="center"/>
          </w:tcPr>
          <w:p w14:paraId="6AAB9F30">
            <w:pPr>
              <w:rPr>
                <w:rFonts w:hint="eastAsia" w:ascii="宋体" w:hAnsi="宋体" w:eastAsia="宋体" w:cs="宋体"/>
                <w:i w:val="0"/>
                <w:iCs w:val="0"/>
                <w:color w:val="000000"/>
                <w:sz w:val="18"/>
                <w:szCs w:val="18"/>
                <w:u w:val="none"/>
              </w:rPr>
            </w:pPr>
          </w:p>
        </w:tc>
        <w:tc>
          <w:tcPr>
            <w:tcW w:w="409" w:type="dxa"/>
            <w:tcBorders>
              <w:top w:val="nil"/>
              <w:left w:val="nil"/>
              <w:bottom w:val="nil"/>
              <w:right w:val="nil"/>
            </w:tcBorders>
            <w:shd w:val="clear" w:color="auto" w:fill="auto"/>
            <w:vAlign w:val="center"/>
          </w:tcPr>
          <w:p w14:paraId="111EF83F">
            <w:pPr>
              <w:rPr>
                <w:rFonts w:hint="eastAsia" w:ascii="宋体" w:hAnsi="宋体" w:eastAsia="宋体" w:cs="宋体"/>
                <w:i w:val="0"/>
                <w:iCs w:val="0"/>
                <w:color w:val="000000"/>
                <w:sz w:val="18"/>
                <w:szCs w:val="18"/>
                <w:u w:val="none"/>
              </w:rPr>
            </w:pPr>
          </w:p>
        </w:tc>
        <w:tc>
          <w:tcPr>
            <w:tcW w:w="863" w:type="dxa"/>
            <w:tcBorders>
              <w:top w:val="nil"/>
              <w:left w:val="nil"/>
              <w:bottom w:val="nil"/>
              <w:right w:val="nil"/>
            </w:tcBorders>
            <w:shd w:val="clear" w:color="auto" w:fill="auto"/>
            <w:vAlign w:val="center"/>
          </w:tcPr>
          <w:p w14:paraId="48AC479F">
            <w:pPr>
              <w:rPr>
                <w:rFonts w:hint="eastAsia" w:ascii="宋体" w:hAnsi="宋体" w:eastAsia="宋体" w:cs="宋体"/>
                <w:i w:val="0"/>
                <w:iCs w:val="0"/>
                <w:color w:val="000000"/>
                <w:sz w:val="18"/>
                <w:szCs w:val="18"/>
                <w:u w:val="none"/>
              </w:rPr>
            </w:pPr>
          </w:p>
        </w:tc>
        <w:tc>
          <w:tcPr>
            <w:tcW w:w="495" w:type="dxa"/>
            <w:tcBorders>
              <w:top w:val="nil"/>
              <w:left w:val="nil"/>
              <w:bottom w:val="nil"/>
              <w:right w:val="nil"/>
            </w:tcBorders>
            <w:shd w:val="clear" w:color="auto" w:fill="auto"/>
            <w:vAlign w:val="center"/>
          </w:tcPr>
          <w:p w14:paraId="16439687">
            <w:pPr>
              <w:rPr>
                <w:rFonts w:hint="eastAsia" w:ascii="宋体" w:hAnsi="宋体" w:eastAsia="宋体" w:cs="宋体"/>
                <w:i w:val="0"/>
                <w:iCs w:val="0"/>
                <w:color w:val="000000"/>
                <w:sz w:val="18"/>
                <w:szCs w:val="18"/>
                <w:u w:val="none"/>
              </w:rPr>
            </w:pPr>
          </w:p>
        </w:tc>
        <w:tc>
          <w:tcPr>
            <w:tcW w:w="495" w:type="dxa"/>
            <w:tcBorders>
              <w:top w:val="nil"/>
              <w:left w:val="nil"/>
              <w:bottom w:val="nil"/>
              <w:right w:val="nil"/>
            </w:tcBorders>
            <w:shd w:val="clear" w:color="auto" w:fill="auto"/>
            <w:vAlign w:val="center"/>
          </w:tcPr>
          <w:p w14:paraId="436ED8EF">
            <w:pPr>
              <w:rPr>
                <w:rFonts w:hint="eastAsia" w:ascii="宋体" w:hAnsi="宋体" w:eastAsia="宋体" w:cs="宋体"/>
                <w:i w:val="0"/>
                <w:iCs w:val="0"/>
                <w:color w:val="000000"/>
                <w:sz w:val="18"/>
                <w:szCs w:val="18"/>
                <w:u w:val="none"/>
              </w:rPr>
            </w:pPr>
          </w:p>
        </w:tc>
        <w:tc>
          <w:tcPr>
            <w:tcW w:w="1357" w:type="dxa"/>
            <w:tcBorders>
              <w:top w:val="nil"/>
              <w:left w:val="nil"/>
              <w:bottom w:val="nil"/>
              <w:right w:val="nil"/>
            </w:tcBorders>
            <w:shd w:val="clear" w:color="auto" w:fill="auto"/>
            <w:vAlign w:val="center"/>
          </w:tcPr>
          <w:p w14:paraId="039F7073">
            <w:pPr>
              <w:rPr>
                <w:rFonts w:hint="eastAsia" w:ascii="宋体" w:hAnsi="宋体" w:eastAsia="宋体" w:cs="宋体"/>
                <w:i w:val="0"/>
                <w:iCs w:val="0"/>
                <w:color w:val="000000"/>
                <w:sz w:val="18"/>
                <w:szCs w:val="18"/>
                <w:u w:val="none"/>
              </w:rPr>
            </w:pPr>
          </w:p>
        </w:tc>
      </w:tr>
    </w:tbl>
    <w:p w14:paraId="2BA2D9FE"/>
    <w:p w14:paraId="500A32DF">
      <w:pPr>
        <w:pStyle w:val="19"/>
      </w:pPr>
    </w:p>
    <w:p w14:paraId="4A8610AA"/>
    <w:p w14:paraId="54097A9D">
      <w:pPr>
        <w:pStyle w:val="19"/>
      </w:pPr>
    </w:p>
    <w:p w14:paraId="7E390ACB"/>
    <w:p w14:paraId="07CC61D0">
      <w:pPr>
        <w:pStyle w:val="19"/>
      </w:pPr>
    </w:p>
    <w:p w14:paraId="33536288"/>
    <w:p w14:paraId="4E870C31">
      <w:pPr>
        <w:pStyle w:val="19"/>
      </w:pPr>
    </w:p>
    <w:p w14:paraId="01D6D1B6"/>
    <w:p w14:paraId="70827407">
      <w:pPr>
        <w:pStyle w:val="19"/>
      </w:pPr>
    </w:p>
    <w:p w14:paraId="3B28B3E0"/>
    <w:p w14:paraId="335C9DAF">
      <w:pPr>
        <w:pStyle w:val="19"/>
      </w:pPr>
    </w:p>
    <w:p w14:paraId="74854331"/>
    <w:p w14:paraId="05D1A65D">
      <w:pPr>
        <w:pStyle w:val="19"/>
      </w:pPr>
    </w:p>
    <w:p w14:paraId="195A9FCF"/>
    <w:p w14:paraId="6AD69CE1">
      <w:pPr>
        <w:pStyle w:val="19"/>
      </w:pPr>
    </w:p>
    <w:p w14:paraId="457967D2"/>
    <w:p w14:paraId="49518E93">
      <w:pPr>
        <w:pStyle w:val="19"/>
      </w:pPr>
    </w:p>
    <w:p w14:paraId="222D634B">
      <w:pPr>
        <w:spacing w:line="600" w:lineRule="exact"/>
        <w:jc w:val="left"/>
        <w:outlineLvl w:val="0"/>
        <w:rPr>
          <w:rFonts w:hint="eastAsia" w:ascii="方正小标宋简体" w:hAnsi="方正小标宋简体" w:eastAsia="方正小标宋简体" w:cs="方正小标宋简体"/>
          <w:kern w:val="2"/>
          <w:sz w:val="44"/>
          <w:szCs w:val="44"/>
          <w:lang w:val="en-US" w:eastAsia="zh-CN"/>
        </w:rPr>
      </w:pPr>
      <w:r>
        <w:rPr>
          <w:rFonts w:hint="eastAsia" w:ascii="黑体" w:hAnsi="黑体" w:eastAsia="黑体" w:cs="黑体"/>
          <w:color w:val="000000"/>
          <w:sz w:val="32"/>
          <w:szCs w:val="32"/>
          <w:lang w:val="en-US" w:eastAsia="zh-CN"/>
        </w:rPr>
        <w:t>附件3</w:t>
      </w:r>
    </w:p>
    <w:p w14:paraId="41E851C0">
      <w:pPr>
        <w:keepNext w:val="0"/>
        <w:keepLines w:val="0"/>
        <w:pageBreakBefore w:val="0"/>
        <w:widowControl w:val="0"/>
        <w:kinsoku/>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kern w:val="2"/>
          <w:sz w:val="44"/>
          <w:szCs w:val="44"/>
          <w:lang w:val="en-US" w:eastAsia="zh-CN"/>
        </w:rPr>
      </w:pPr>
      <w:r>
        <w:rPr>
          <w:rFonts w:hint="eastAsia" w:ascii="方正小标宋简体" w:hAnsi="方正小标宋简体" w:eastAsia="方正小标宋简体" w:cs="方正小标宋简体"/>
          <w:kern w:val="2"/>
          <w:sz w:val="44"/>
          <w:szCs w:val="44"/>
          <w:lang w:val="en-US" w:eastAsia="zh-CN"/>
        </w:rPr>
        <w:t>茂县供销合作社联合社</w:t>
      </w:r>
    </w:p>
    <w:p w14:paraId="7D7FA1A6">
      <w:pPr>
        <w:keepNext w:val="0"/>
        <w:keepLines w:val="0"/>
        <w:pageBreakBefore w:val="0"/>
        <w:widowControl w:val="0"/>
        <w:kinsoku/>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rPr>
        <w:t>交流交往交融项目绩效评</w:t>
      </w:r>
      <w:r>
        <w:rPr>
          <w:rFonts w:hint="eastAsia" w:ascii="方正小标宋简体" w:hAnsi="方正小标宋简体" w:eastAsia="方正小标宋简体" w:cs="方正小标宋简体"/>
          <w:kern w:val="2"/>
          <w:sz w:val="44"/>
          <w:szCs w:val="44"/>
          <w:lang w:val="en-US" w:eastAsia="zh-CN"/>
        </w:rPr>
        <w:t>价</w:t>
      </w:r>
      <w:r>
        <w:rPr>
          <w:rFonts w:hint="eastAsia" w:ascii="方正小标宋简体" w:hAnsi="方正小标宋简体" w:eastAsia="方正小标宋简体" w:cs="方正小标宋简体"/>
          <w:kern w:val="2"/>
          <w:sz w:val="44"/>
          <w:szCs w:val="44"/>
        </w:rPr>
        <w:t>报告</w:t>
      </w:r>
    </w:p>
    <w:p w14:paraId="16A42294">
      <w:pPr>
        <w:adjustRightInd w:val="0"/>
        <w:snapToGrid w:val="0"/>
        <w:spacing w:line="578" w:lineRule="exact"/>
        <w:ind w:firstLine="640" w:firstLineChars="200"/>
        <w:rPr>
          <w:rFonts w:hint="eastAsia" w:ascii="黑体" w:hAnsi="宋体" w:eastAsia="黑体" w:cs="宋体"/>
          <w:kern w:val="0"/>
          <w:sz w:val="32"/>
          <w:szCs w:val="32"/>
        </w:rPr>
      </w:pPr>
    </w:p>
    <w:p w14:paraId="3DBA31A4">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ascii="黑体" w:hAnsi="宋体" w:eastAsia="黑体" w:cs="宋体"/>
          <w:kern w:val="0"/>
          <w:sz w:val="32"/>
          <w:szCs w:val="32"/>
          <w:lang w:val="zh-CN"/>
        </w:rPr>
      </w:pPr>
      <w:r>
        <w:rPr>
          <w:rFonts w:hint="eastAsia" w:ascii="黑体" w:hAnsi="宋体" w:eastAsia="黑体" w:cs="宋体"/>
          <w:kern w:val="0"/>
          <w:sz w:val="32"/>
          <w:szCs w:val="32"/>
        </w:rPr>
        <w:t>一、</w:t>
      </w:r>
      <w:r>
        <w:rPr>
          <w:rFonts w:hint="eastAsia" w:ascii="黑体" w:hAnsi="宋体" w:eastAsia="黑体" w:cs="宋体"/>
          <w:kern w:val="0"/>
          <w:sz w:val="32"/>
          <w:szCs w:val="32"/>
          <w:lang w:val="zh-CN"/>
        </w:rPr>
        <w:t>项目概况</w:t>
      </w:r>
    </w:p>
    <w:p w14:paraId="7EE9364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（一）设立背景及基本情况</w:t>
      </w:r>
    </w:p>
    <w:p w14:paraId="2E45963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u w:val="none"/>
          <w:lang w:eastAsia="zh-CN"/>
        </w:rPr>
      </w:pPr>
      <w:r>
        <w:rPr>
          <w:rFonts w:hint="eastAsia" w:ascii="仿宋_GB2312" w:eastAsia="仿宋_GB2312" w:cs="宋体"/>
          <w:kern w:val="0"/>
          <w:sz w:val="32"/>
          <w:szCs w:val="32"/>
          <w:lang w:val="en-US" w:eastAsia="zh-CN"/>
        </w:rPr>
        <w:t>根据脱贫攻坚同乡村振兴有效衔接，依托</w:t>
      </w:r>
      <w:r>
        <w:rPr>
          <w:rFonts w:hint="eastAsia" w:ascii="仿宋_GB2312" w:eastAsia="仿宋_GB2312" w:cs="宋体"/>
          <w:kern w:val="0"/>
          <w:sz w:val="32"/>
          <w:szCs w:val="32"/>
        </w:rPr>
        <w:t>《平湖-茂县东西部协作框架协议》《供销合作暨数字农业和服务平台共建协议》等相关</w:t>
      </w:r>
      <w:r>
        <w:rPr>
          <w:rFonts w:ascii="仿宋_GB2312" w:eastAsia="仿宋_GB2312" w:cs="宋体"/>
          <w:kern w:val="0"/>
          <w:sz w:val="32"/>
          <w:szCs w:val="32"/>
        </w:rPr>
        <w:t>要求</w:t>
      </w:r>
      <w:r>
        <w:rPr>
          <w:rFonts w:hint="eastAsia" w:ascii="仿宋_GB2312" w:eastAsia="仿宋_GB2312" w:cs="宋体"/>
          <w:kern w:val="0"/>
          <w:sz w:val="32"/>
          <w:szCs w:val="32"/>
        </w:rPr>
        <w:t>，</w:t>
      </w:r>
      <w:r>
        <w:rPr>
          <w:rFonts w:ascii="仿宋_GB2312" w:eastAsia="仿宋_GB2312" w:cs="宋体"/>
          <w:kern w:val="0"/>
          <w:sz w:val="32"/>
          <w:szCs w:val="32"/>
        </w:rPr>
        <w:t>结合2022年实施</w:t>
      </w:r>
      <w:r>
        <w:rPr>
          <w:rFonts w:hint="eastAsia" w:ascii="仿宋_GB2312" w:eastAsia="仿宋_GB2312" w:cs="宋体"/>
          <w:kern w:val="0"/>
          <w:sz w:val="32"/>
          <w:szCs w:val="32"/>
        </w:rPr>
        <w:t>“茂农服”</w:t>
      </w:r>
      <w:r>
        <w:rPr>
          <w:rFonts w:ascii="仿宋_GB2312" w:eastAsia="仿宋_GB2312" w:cs="宋体"/>
          <w:kern w:val="0"/>
          <w:sz w:val="32"/>
          <w:szCs w:val="32"/>
        </w:rPr>
        <w:t>交流交往交融项目取得的成效，</w:t>
      </w:r>
      <w:r>
        <w:rPr>
          <w:rFonts w:hint="eastAsia" w:ascii="仿宋_GB2312" w:hAnsi="仿宋_GB2312" w:eastAsia="仿宋_GB2312" w:cs="仿宋_GB2312"/>
          <w:kern w:val="2"/>
          <w:sz w:val="32"/>
          <w:szCs w:val="32"/>
          <w:lang w:val="en-US" w:eastAsia="zh-CN"/>
        </w:rPr>
        <w:t>2022年</w:t>
      </w:r>
      <w:r>
        <w:rPr>
          <w:rFonts w:hint="eastAsia" w:ascii="仿宋_GB2312" w:hAnsi="仿宋_GB2312" w:eastAsia="仿宋_GB2312" w:cs="仿宋_GB2312"/>
          <w:kern w:val="2"/>
          <w:sz w:val="32"/>
          <w:szCs w:val="32"/>
          <w:u w:val="none"/>
          <w:lang w:val="en-US" w:eastAsia="zh-CN"/>
        </w:rPr>
        <w:t>向县对口支援和省内对口帮扶工作领导小组提交《</w:t>
      </w:r>
      <w:r>
        <w:rPr>
          <w:rFonts w:hint="eastAsia" w:ascii="仿宋_GB2312" w:hAnsi="仿宋_GB2312" w:eastAsia="仿宋_GB2312" w:cs="仿宋_GB2312"/>
          <w:kern w:val="2"/>
          <w:sz w:val="32"/>
          <w:szCs w:val="32"/>
          <w:lang w:val="en-US" w:eastAsia="zh-CN"/>
        </w:rPr>
        <w:t>茂县供销合作社联合社交流交往交融项目》</w:t>
      </w:r>
      <w:r>
        <w:rPr>
          <w:rFonts w:hint="eastAsia" w:ascii="仿宋_GB2312" w:hAnsi="仿宋_GB2312" w:eastAsia="仿宋_GB2312" w:cs="仿宋_GB2312"/>
          <w:kern w:val="2"/>
          <w:sz w:val="32"/>
          <w:szCs w:val="32"/>
          <w:u w:val="none"/>
          <w:lang w:val="en-US" w:eastAsia="zh-CN"/>
        </w:rPr>
        <w:t>审定的请示</w:t>
      </w:r>
      <w:r>
        <w:rPr>
          <w:rFonts w:hint="eastAsia" w:ascii="仿宋_GB2312" w:hAnsi="仿宋_GB2312" w:eastAsia="仿宋_GB2312" w:cs="仿宋_GB2312"/>
          <w:kern w:val="2"/>
          <w:sz w:val="32"/>
          <w:szCs w:val="32"/>
          <w:u w:val="none"/>
          <w:lang w:eastAsia="zh-CN"/>
        </w:rPr>
        <w:t>，通过《茂县对口支援和省内对口帮扶工作领导小组第六次会议》，</w:t>
      </w:r>
      <w:r>
        <w:rPr>
          <w:rFonts w:hint="eastAsia" w:ascii="仿宋_GB2312" w:hAnsi="仿宋_GB2312" w:eastAsia="仿宋_GB2312" w:cs="仿宋_GB2312"/>
          <w:kern w:val="2"/>
          <w:sz w:val="32"/>
          <w:szCs w:val="32"/>
          <w:u w:val="none"/>
          <w:lang w:val="en-US" w:eastAsia="zh-CN"/>
        </w:rPr>
        <w:t>确定按照方案实施</w:t>
      </w:r>
      <w:r>
        <w:rPr>
          <w:rFonts w:hint="eastAsia" w:ascii="仿宋_GB2312" w:hAnsi="仿宋_GB2312" w:eastAsia="仿宋_GB2312" w:cs="仿宋_GB2312"/>
          <w:kern w:val="2"/>
          <w:sz w:val="32"/>
          <w:szCs w:val="32"/>
          <w:u w:val="none"/>
          <w:lang w:eastAsia="zh-CN"/>
        </w:rPr>
        <w:t>。</w:t>
      </w:r>
    </w:p>
    <w:p w14:paraId="21038E5D">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（二）实施目的及支持方向</w:t>
      </w:r>
    </w:p>
    <w:p w14:paraId="355C4D0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Times New Roman" w:eastAsia="仿宋_GB2312" w:cs="仿宋_GB2312"/>
          <w:kern w:val="0"/>
          <w:sz w:val="32"/>
          <w:szCs w:val="32"/>
          <w:lang w:val="zh-CN" w:eastAsia="zh-CN"/>
        </w:rPr>
      </w:pPr>
      <w:r>
        <w:rPr>
          <w:rFonts w:hint="eastAsia" w:ascii="仿宋_GB2312" w:eastAsia="仿宋_GB2312" w:cs="宋体"/>
          <w:kern w:val="0"/>
          <w:sz w:val="32"/>
          <w:szCs w:val="32"/>
        </w:rPr>
        <w:t>持续深化供销合作社综合改革，不断健全为农服务功能，</w:t>
      </w:r>
      <w:r>
        <w:rPr>
          <w:rFonts w:ascii="仿宋_GB2312" w:eastAsia="仿宋_GB2312" w:cs="宋体"/>
          <w:kern w:val="0"/>
          <w:sz w:val="32"/>
          <w:szCs w:val="32"/>
        </w:rPr>
        <w:t>为</w:t>
      </w:r>
      <w:r>
        <w:rPr>
          <w:rFonts w:hint="eastAsia" w:ascii="仿宋_GB2312" w:eastAsia="仿宋_GB2312" w:cs="宋体"/>
          <w:kern w:val="0"/>
          <w:sz w:val="32"/>
          <w:szCs w:val="32"/>
        </w:rPr>
        <w:t>持续推进茂县农产品的品质和拓宽销售渠道，助</w:t>
      </w:r>
      <w:r>
        <w:rPr>
          <w:rFonts w:ascii="仿宋_GB2312" w:eastAsia="仿宋_GB2312" w:cs="宋体"/>
          <w:kern w:val="0"/>
          <w:sz w:val="32"/>
          <w:szCs w:val="32"/>
        </w:rPr>
        <w:t>推</w:t>
      </w:r>
      <w:r>
        <w:rPr>
          <w:rFonts w:hint="eastAsia" w:ascii="仿宋_GB2312" w:eastAsia="仿宋_GB2312" w:cs="仿宋_GB2312"/>
          <w:kern w:val="0"/>
          <w:sz w:val="32"/>
          <w:szCs w:val="32"/>
        </w:rPr>
        <w:t>乡村振兴</w:t>
      </w:r>
      <w:r>
        <w:rPr>
          <w:rFonts w:ascii="仿宋_GB2312" w:eastAsia="仿宋_GB2312" w:cs="仿宋_GB2312"/>
          <w:kern w:val="0"/>
          <w:sz w:val="32"/>
          <w:szCs w:val="32"/>
        </w:rPr>
        <w:t>，</w:t>
      </w:r>
      <w:r>
        <w:rPr>
          <w:rFonts w:hint="eastAsia" w:ascii="仿宋_GB2312" w:eastAsia="仿宋_GB2312" w:cs="宋体"/>
          <w:kern w:val="0"/>
          <w:sz w:val="32"/>
          <w:szCs w:val="32"/>
        </w:rPr>
        <w:t>在结对助农、服务资源共享、农业品牌共推、数字转型共谋等方面深化协作，加强与</w:t>
      </w:r>
      <w:r>
        <w:rPr>
          <w:rFonts w:hint="eastAsia" w:ascii="仿宋_GB2312" w:eastAsia="仿宋_GB2312" w:cs="仿宋_GB2312"/>
          <w:kern w:val="0"/>
          <w:sz w:val="32"/>
          <w:szCs w:val="32"/>
        </w:rPr>
        <w:t>企业对接,把茂县的特色农产品卖到浙江、上海，增加农民收入，助推两地农民共同致富。</w:t>
      </w:r>
      <w:r>
        <w:rPr>
          <w:rFonts w:hint="eastAsia" w:ascii="仿宋_GB2312" w:eastAsia="仿宋_GB2312" w:cs="Times New Roman"/>
          <w:kern w:val="2"/>
          <w:sz w:val="32"/>
          <w:szCs w:val="32"/>
          <w:u w:val="none"/>
        </w:rPr>
        <w:t>符合</w:t>
      </w:r>
      <w:r>
        <w:rPr>
          <w:rFonts w:hint="eastAsia" w:ascii="仿宋_GB2312" w:eastAsia="仿宋_GB2312" w:cs="Times New Roman"/>
          <w:kern w:val="2"/>
          <w:sz w:val="32"/>
          <w:szCs w:val="32"/>
          <w:u w:val="none"/>
          <w:lang w:val="en-US" w:eastAsia="zh-CN"/>
        </w:rPr>
        <w:t>对口支援资金</w:t>
      </w:r>
      <w:r>
        <w:rPr>
          <w:rFonts w:hint="eastAsia" w:ascii="仿宋_GB2312" w:eastAsia="仿宋_GB2312" w:cs="Times New Roman"/>
          <w:kern w:val="2"/>
          <w:sz w:val="32"/>
          <w:szCs w:val="32"/>
          <w:u w:val="none"/>
        </w:rPr>
        <w:t>支持方向。</w:t>
      </w:r>
    </w:p>
    <w:p w14:paraId="2D6DF12B">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（三）预算安排及分配管理</w:t>
      </w:r>
    </w:p>
    <w:p w14:paraId="7124021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rPr>
        <w:t>预算</w:t>
      </w:r>
      <w:r>
        <w:rPr>
          <w:rFonts w:hint="eastAsia" w:ascii="仿宋_GB2312" w:eastAsia="仿宋_GB2312" w:cs="仿宋_GB2312"/>
          <w:kern w:val="0"/>
          <w:sz w:val="32"/>
          <w:szCs w:val="32"/>
          <w:lang w:val="en-US" w:eastAsia="zh-CN"/>
        </w:rPr>
        <w:t>资金安排：20</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其中：第一期技术培训12060元、第二期赴平湖考察学习费用54699元、第三期赴平湖考察学习费用21392元、农产平品鉴推介费30678元、农产品运输费（含燃油费）81171元。</w:t>
      </w:r>
    </w:p>
    <w:p w14:paraId="11D7711C">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（四）项目绩效目标设置</w:t>
      </w:r>
    </w:p>
    <w:p w14:paraId="00EA2BB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仿宋_GB2312" w:eastAsia="仿宋_GB2312" w:cs="仿宋_GB2312"/>
          <w:kern w:val="0"/>
          <w:sz w:val="32"/>
          <w:szCs w:val="32"/>
          <w:lang w:val="en-US"/>
        </w:rPr>
      </w:pPr>
      <w:r>
        <w:rPr>
          <w:rFonts w:hint="eastAsia" w:ascii="仿宋_GB2312" w:eastAsia="仿宋_GB2312" w:cs="仿宋_GB2312"/>
          <w:kern w:val="0"/>
          <w:sz w:val="32"/>
          <w:szCs w:val="32"/>
          <w:lang w:val="zh-CN"/>
        </w:rPr>
        <w:t>茂县供销合作社联合社于</w:t>
      </w:r>
      <w:r>
        <w:rPr>
          <w:rFonts w:hint="eastAsia" w:ascii="仿宋_GB2312" w:eastAsia="仿宋_GB2312" w:cs="仿宋_GB2312"/>
          <w:kern w:val="0"/>
          <w:sz w:val="32"/>
          <w:szCs w:val="32"/>
          <w:lang w:val="en-US" w:eastAsia="zh-CN"/>
        </w:rPr>
        <w:t>2023年6月9日完成了事前绩效评估。绩效目标设置如下：</w:t>
      </w:r>
    </w:p>
    <w:p w14:paraId="1F3BAC9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茂县供销合作社联合社</w:t>
      </w:r>
    </w:p>
    <w:p w14:paraId="6CF225FD">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交流交往交融项目</w:t>
      </w:r>
      <w:r>
        <w:rPr>
          <w:rFonts w:hint="eastAsia" w:ascii="仿宋_GB2312" w:hAnsi="仿宋_GB2312" w:eastAsia="仿宋_GB2312" w:cs="仿宋_GB2312"/>
          <w:kern w:val="2"/>
          <w:sz w:val="32"/>
          <w:szCs w:val="32"/>
        </w:rPr>
        <w:t>绩效目标表</w:t>
      </w:r>
    </w:p>
    <w:tbl>
      <w:tblPr>
        <w:tblStyle w:val="23"/>
        <w:tblpPr w:leftFromText="180" w:rightFromText="180" w:vertAnchor="text" w:horzAnchor="page" w:tblpX="1905" w:tblpY="1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5"/>
        <w:gridCol w:w="1653"/>
        <w:gridCol w:w="3606"/>
        <w:gridCol w:w="1476"/>
      </w:tblGrid>
      <w:tr w14:paraId="4221D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545" w:type="dxa"/>
            <w:tcBorders>
              <w:bottom w:val="single" w:color="auto" w:sz="4" w:space="0"/>
              <w:right w:val="single" w:color="auto" w:sz="4" w:space="0"/>
            </w:tcBorders>
            <w:noWrap w:val="0"/>
            <w:vAlign w:val="top"/>
          </w:tcPr>
          <w:p w14:paraId="017FD5B2">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一级指标</w:t>
            </w:r>
          </w:p>
        </w:tc>
        <w:tc>
          <w:tcPr>
            <w:tcW w:w="1653" w:type="dxa"/>
            <w:tcBorders>
              <w:left w:val="single" w:color="auto" w:sz="4" w:space="0"/>
              <w:bottom w:val="single" w:color="auto" w:sz="4" w:space="0"/>
              <w:right w:val="single" w:color="auto" w:sz="4" w:space="0"/>
            </w:tcBorders>
            <w:noWrap w:val="0"/>
            <w:vAlign w:val="top"/>
          </w:tcPr>
          <w:p w14:paraId="493C3893">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二级指标</w:t>
            </w:r>
          </w:p>
        </w:tc>
        <w:tc>
          <w:tcPr>
            <w:tcW w:w="3606" w:type="dxa"/>
            <w:tcBorders>
              <w:left w:val="single" w:color="auto" w:sz="4" w:space="0"/>
              <w:bottom w:val="single" w:color="auto" w:sz="4" w:space="0"/>
              <w:right w:val="single" w:color="auto" w:sz="4" w:space="0"/>
            </w:tcBorders>
            <w:noWrap w:val="0"/>
            <w:vAlign w:val="top"/>
          </w:tcPr>
          <w:p w14:paraId="3B4838C7">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三级指标</w:t>
            </w:r>
          </w:p>
        </w:tc>
        <w:tc>
          <w:tcPr>
            <w:tcW w:w="1476" w:type="dxa"/>
            <w:tcBorders>
              <w:left w:val="single" w:color="auto" w:sz="4" w:space="0"/>
              <w:bottom w:val="single" w:color="auto" w:sz="4" w:space="0"/>
            </w:tcBorders>
            <w:noWrap w:val="0"/>
            <w:vAlign w:val="top"/>
          </w:tcPr>
          <w:p w14:paraId="0753A04F">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指标值</w:t>
            </w:r>
          </w:p>
        </w:tc>
      </w:tr>
      <w:tr w14:paraId="4F6C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bottom w:val="single" w:color="auto" w:sz="4" w:space="0"/>
              <w:right w:val="single" w:color="auto" w:sz="4" w:space="0"/>
            </w:tcBorders>
            <w:noWrap w:val="0"/>
            <w:vAlign w:val="top"/>
          </w:tcPr>
          <w:p w14:paraId="14C66E0F">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产出</w:t>
            </w:r>
            <w:r>
              <w:rPr>
                <w:rFonts w:hint="eastAsia" w:ascii="仿宋_GB2312" w:hAnsi="仿宋_GB2312" w:eastAsia="仿宋_GB2312" w:cs="仿宋_GB2312"/>
                <w:kern w:val="0"/>
                <w:sz w:val="24"/>
                <w:szCs w:val="24"/>
              </w:rPr>
              <w:t>指标</w:t>
            </w:r>
          </w:p>
        </w:tc>
        <w:tc>
          <w:tcPr>
            <w:tcW w:w="1653" w:type="dxa"/>
            <w:tcBorders>
              <w:top w:val="single" w:color="auto" w:sz="4" w:space="0"/>
              <w:left w:val="single" w:color="auto" w:sz="4" w:space="0"/>
              <w:bottom w:val="single" w:color="auto" w:sz="4" w:space="0"/>
              <w:right w:val="single" w:color="auto" w:sz="4" w:space="0"/>
            </w:tcBorders>
            <w:noWrap w:val="0"/>
            <w:vAlign w:val="top"/>
          </w:tcPr>
          <w:p w14:paraId="14FA2112">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社会效益指标</w:t>
            </w:r>
          </w:p>
        </w:tc>
        <w:tc>
          <w:tcPr>
            <w:tcW w:w="3606" w:type="dxa"/>
            <w:tcBorders>
              <w:top w:val="single" w:color="auto" w:sz="4" w:space="0"/>
              <w:left w:val="single" w:color="auto" w:sz="4" w:space="0"/>
              <w:bottom w:val="single" w:color="auto" w:sz="4" w:space="0"/>
              <w:right w:val="single" w:color="auto" w:sz="4" w:space="0"/>
            </w:tcBorders>
            <w:noWrap w:val="0"/>
            <w:vAlign w:val="top"/>
          </w:tcPr>
          <w:p w14:paraId="6051D188">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eastAsia="zh-CN"/>
              </w:rPr>
              <w:t>三期培训人数共</w:t>
            </w:r>
            <w:r>
              <w:rPr>
                <w:rFonts w:hint="eastAsia" w:ascii="仿宋_GB2312" w:hAnsi="仿宋_GB2312" w:eastAsia="仿宋_GB2312" w:cs="仿宋_GB2312"/>
                <w:kern w:val="0"/>
                <w:sz w:val="24"/>
                <w:szCs w:val="24"/>
                <w:lang w:val="en-US" w:eastAsia="zh-CN"/>
              </w:rPr>
              <w:t>195人次</w:t>
            </w:r>
          </w:p>
        </w:tc>
        <w:tc>
          <w:tcPr>
            <w:tcW w:w="1476" w:type="dxa"/>
            <w:tcBorders>
              <w:top w:val="single" w:color="auto" w:sz="4" w:space="0"/>
              <w:left w:val="single" w:color="auto" w:sz="4" w:space="0"/>
              <w:bottom w:val="single" w:color="auto" w:sz="4" w:space="0"/>
            </w:tcBorders>
            <w:noWrap w:val="0"/>
            <w:vAlign w:val="top"/>
          </w:tcPr>
          <w:p w14:paraId="15F2B19D">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3期</w:t>
            </w:r>
          </w:p>
        </w:tc>
      </w:tr>
      <w:tr w14:paraId="07978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bottom w:val="single" w:color="auto" w:sz="4" w:space="0"/>
              <w:right w:val="single" w:color="auto" w:sz="4" w:space="0"/>
            </w:tcBorders>
            <w:noWrap w:val="0"/>
            <w:vAlign w:val="top"/>
          </w:tcPr>
          <w:p w14:paraId="6005D61D">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效益指标</w:t>
            </w:r>
          </w:p>
        </w:tc>
        <w:tc>
          <w:tcPr>
            <w:tcW w:w="1653" w:type="dxa"/>
            <w:tcBorders>
              <w:top w:val="single" w:color="auto" w:sz="4" w:space="0"/>
              <w:left w:val="single" w:color="auto" w:sz="4" w:space="0"/>
              <w:bottom w:val="single" w:color="auto" w:sz="4" w:space="0"/>
              <w:right w:val="single" w:color="auto" w:sz="4" w:space="0"/>
            </w:tcBorders>
            <w:noWrap w:val="0"/>
            <w:vAlign w:val="top"/>
          </w:tcPr>
          <w:p w14:paraId="290EBA54">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社会效益指标</w:t>
            </w:r>
          </w:p>
        </w:tc>
        <w:tc>
          <w:tcPr>
            <w:tcW w:w="3606" w:type="dxa"/>
            <w:tcBorders>
              <w:top w:val="single" w:color="auto" w:sz="4" w:space="0"/>
              <w:left w:val="single" w:color="auto" w:sz="4" w:space="0"/>
              <w:bottom w:val="single" w:color="auto" w:sz="4" w:space="0"/>
              <w:right w:val="single" w:color="auto" w:sz="4" w:space="0"/>
            </w:tcBorders>
            <w:noWrap w:val="0"/>
            <w:vAlign w:val="top"/>
          </w:tcPr>
          <w:p w14:paraId="4E181313">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赴平湖考察学习8人</w:t>
            </w:r>
          </w:p>
        </w:tc>
        <w:tc>
          <w:tcPr>
            <w:tcW w:w="1476" w:type="dxa"/>
            <w:tcBorders>
              <w:top w:val="single" w:color="auto" w:sz="4" w:space="0"/>
              <w:left w:val="single" w:color="auto" w:sz="4" w:space="0"/>
              <w:bottom w:val="single" w:color="auto" w:sz="4" w:space="0"/>
            </w:tcBorders>
            <w:noWrap w:val="0"/>
            <w:vAlign w:val="top"/>
          </w:tcPr>
          <w:p w14:paraId="105597A8">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8人</w:t>
            </w:r>
          </w:p>
        </w:tc>
      </w:tr>
      <w:tr w14:paraId="07DE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right w:val="single" w:color="auto" w:sz="4" w:space="0"/>
            </w:tcBorders>
            <w:noWrap w:val="0"/>
            <w:vAlign w:val="top"/>
          </w:tcPr>
          <w:p w14:paraId="7072F2EC">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满意度指标</w:t>
            </w:r>
          </w:p>
        </w:tc>
        <w:tc>
          <w:tcPr>
            <w:tcW w:w="1653" w:type="dxa"/>
            <w:tcBorders>
              <w:top w:val="single" w:color="auto" w:sz="4" w:space="0"/>
              <w:left w:val="single" w:color="auto" w:sz="4" w:space="0"/>
              <w:right w:val="single" w:color="auto" w:sz="4" w:space="0"/>
            </w:tcBorders>
            <w:noWrap w:val="0"/>
            <w:vAlign w:val="top"/>
          </w:tcPr>
          <w:p w14:paraId="5E8AD9BC">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服务对象满意度指标</w:t>
            </w:r>
          </w:p>
        </w:tc>
        <w:tc>
          <w:tcPr>
            <w:tcW w:w="3606" w:type="dxa"/>
            <w:tcBorders>
              <w:top w:val="single" w:color="auto" w:sz="4" w:space="0"/>
              <w:left w:val="single" w:color="auto" w:sz="4" w:space="0"/>
              <w:right w:val="single" w:color="auto" w:sz="4" w:space="0"/>
            </w:tcBorders>
            <w:noWrap w:val="0"/>
            <w:vAlign w:val="top"/>
          </w:tcPr>
          <w:p w14:paraId="1BC94708">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农户、受益群众对该项目的满意度</w:t>
            </w:r>
          </w:p>
        </w:tc>
        <w:tc>
          <w:tcPr>
            <w:tcW w:w="1476" w:type="dxa"/>
            <w:tcBorders>
              <w:top w:val="single" w:color="auto" w:sz="4" w:space="0"/>
              <w:left w:val="single" w:color="auto" w:sz="4" w:space="0"/>
            </w:tcBorders>
            <w:noWrap w:val="0"/>
            <w:vAlign w:val="top"/>
          </w:tcPr>
          <w:p w14:paraId="4F879234">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w:t>
            </w:r>
            <w:r>
              <w:rPr>
                <w:rFonts w:hint="eastAsia" w:ascii="仿宋_GB2312" w:hAnsi="仿宋_GB2312" w:eastAsia="仿宋_GB2312" w:cs="仿宋_GB2312"/>
                <w:kern w:val="0"/>
                <w:sz w:val="24"/>
                <w:szCs w:val="24"/>
                <w:lang w:val="en-US" w:eastAsia="zh-CN"/>
              </w:rPr>
              <w:t>0</w:t>
            </w:r>
            <w:r>
              <w:rPr>
                <w:rFonts w:hint="eastAsia" w:ascii="仿宋_GB2312" w:hAnsi="仿宋_GB2312" w:eastAsia="仿宋_GB2312" w:cs="仿宋_GB2312"/>
                <w:kern w:val="0"/>
                <w:sz w:val="24"/>
                <w:szCs w:val="24"/>
              </w:rPr>
              <w:t>%</w:t>
            </w:r>
          </w:p>
        </w:tc>
      </w:tr>
    </w:tbl>
    <w:p w14:paraId="316FB085">
      <w:pPr>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cs="宋体"/>
          <w:kern w:val="0"/>
          <w:sz w:val="32"/>
          <w:szCs w:val="32"/>
          <w:lang w:val="zh-CN"/>
        </w:rPr>
      </w:pPr>
      <w:r>
        <w:rPr>
          <w:rFonts w:hint="eastAsia" w:ascii="黑体" w:hAnsi="宋体" w:eastAsia="黑体" w:cs="宋体"/>
          <w:kern w:val="0"/>
          <w:sz w:val="32"/>
          <w:szCs w:val="32"/>
          <w:lang w:val="zh-CN"/>
        </w:rPr>
        <w:t>二、评价实施</w:t>
      </w:r>
    </w:p>
    <w:p w14:paraId="4C6478A2">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（一）评价目的</w:t>
      </w:r>
    </w:p>
    <w:p w14:paraId="7A4D83D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为贯彻落实中央、省、州关于全面实施预算绩效管理有关文件精神，推进全面实施预算绩效管理工作深入开展的要求，对项目依据、绩效目标、资金管理、项目完成、项目效益等方面进行全面、客观、公正的评价，对资金支出行为过程及其效果进行综合评价和判断，评价资金使用的科学性、合理性和有效性，分析存在的问题，提出资金管理、项目管理相关建议，提高资金使用效益。</w:t>
      </w:r>
    </w:p>
    <w:p w14:paraId="76214120">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（二）预设问题及评价重点</w:t>
      </w:r>
    </w:p>
    <w:p w14:paraId="1A52D57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2023年茂县供销合作社联合社交流交往交融项目</w:t>
      </w:r>
      <w:r>
        <w:rPr>
          <w:rFonts w:hint="eastAsia" w:ascii="仿宋_GB2312" w:eastAsia="仿宋_GB2312" w:cs="仿宋_GB2312"/>
          <w:kern w:val="0"/>
          <w:sz w:val="32"/>
          <w:szCs w:val="32"/>
        </w:rPr>
        <w:t>资金支出使用全过程</w:t>
      </w:r>
      <w:r>
        <w:rPr>
          <w:rFonts w:hint="eastAsia" w:ascii="仿宋_GB2312" w:eastAsia="仿宋_GB2312" w:cs="仿宋_GB2312"/>
          <w:kern w:val="0"/>
          <w:sz w:val="32"/>
          <w:szCs w:val="32"/>
          <w:lang w:eastAsia="zh-CN"/>
        </w:rPr>
        <w:t>规范。</w:t>
      </w:r>
    </w:p>
    <w:p w14:paraId="55FAE3E9">
      <w:pPr>
        <w:pageBreakBefore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（三）评价选点</w:t>
      </w:r>
    </w:p>
    <w:p w14:paraId="7F1331DB">
      <w:pPr>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eastAsia="仿宋_GB2312" w:cs="仿宋_GB2312"/>
          <w:kern w:val="0"/>
          <w:sz w:val="32"/>
          <w:szCs w:val="32"/>
          <w:lang w:val="zh-CN" w:eastAsia="zh-CN"/>
        </w:rPr>
      </w:pPr>
      <w:r>
        <w:rPr>
          <w:rFonts w:hint="eastAsia" w:ascii="仿宋_GB2312" w:eastAsia="仿宋_GB2312" w:cs="仿宋_GB2312"/>
          <w:kern w:val="0"/>
          <w:sz w:val="32"/>
          <w:szCs w:val="32"/>
          <w:lang w:val="zh-CN" w:eastAsia="zh-CN"/>
        </w:rPr>
        <w:t>茂县供销合作社联合社</w:t>
      </w:r>
    </w:p>
    <w:p w14:paraId="65ADDAF7">
      <w:pPr>
        <w:pageBreakBefore w:val="0"/>
        <w:kinsoku/>
        <w:wordWrap/>
        <w:overflowPunct/>
        <w:topLinePunct w:val="0"/>
        <w:autoSpaceDE/>
        <w:autoSpaceDN/>
        <w:bidi w:val="0"/>
        <w:spacing w:line="576" w:lineRule="exact"/>
        <w:ind w:firstLine="640"/>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（四）评价方法</w:t>
      </w:r>
    </w:p>
    <w:p w14:paraId="07BD6CD7">
      <w:pPr>
        <w:pageBreakBefore w:val="0"/>
        <w:kinsoku/>
        <w:wordWrap/>
        <w:overflowPunct/>
        <w:topLinePunct w:val="0"/>
        <w:autoSpaceDE/>
        <w:autoSpaceDN/>
        <w:bidi w:val="0"/>
        <w:spacing w:line="576" w:lineRule="exact"/>
        <w:ind w:firstLine="640"/>
        <w:textAlignment w:val="auto"/>
        <w:rPr>
          <w:rFonts w:hint="eastAsia" w:ascii="仿宋_GB2312" w:eastAsia="仿宋_GB2312" w:cs="仿宋_GB2312"/>
          <w:kern w:val="0"/>
          <w:sz w:val="32"/>
          <w:szCs w:val="32"/>
          <w:lang w:val="zh-CN" w:eastAsia="zh-CN"/>
        </w:rPr>
      </w:pPr>
      <w:r>
        <w:rPr>
          <w:rFonts w:hint="eastAsia" w:ascii="仿宋_GB2312" w:eastAsia="仿宋_GB2312" w:cs="仿宋_GB2312"/>
          <w:kern w:val="0"/>
          <w:sz w:val="32"/>
          <w:szCs w:val="32"/>
          <w:lang w:val="zh-CN" w:eastAsia="zh-CN"/>
        </w:rPr>
        <w:t>采用单位自评法。</w:t>
      </w:r>
    </w:p>
    <w:p w14:paraId="16B4D534">
      <w:pPr>
        <w:pageBreakBefore w:val="0"/>
        <w:widowControl/>
        <w:tabs>
          <w:tab w:val="left" w:pos="2160"/>
        </w:tabs>
        <w:kinsoku/>
        <w:wordWrap/>
        <w:overflowPunct/>
        <w:topLinePunct w:val="0"/>
        <w:autoSpaceDE/>
        <w:autoSpaceDN/>
        <w:bidi w:val="0"/>
        <w:spacing w:line="576" w:lineRule="exact"/>
        <w:ind w:firstLine="640" w:firstLineChars="200"/>
        <w:jc w:val="left"/>
        <w:textAlignment w:val="auto"/>
        <w:rPr>
          <w:rFonts w:hint="eastAsia"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三、绩效分析</w:t>
      </w:r>
    </w:p>
    <w:p w14:paraId="2B8608DB">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（一）通用指标绩效分析</w:t>
      </w:r>
    </w:p>
    <w:p w14:paraId="60CA7D1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rPr>
        <w:t>1.项目决策。决策程序</w:t>
      </w:r>
      <w:r>
        <w:rPr>
          <w:rFonts w:hint="eastAsia" w:ascii="仿宋_GB2312" w:eastAsia="仿宋_GB2312" w:cs="仿宋_GB2312"/>
          <w:kern w:val="0"/>
          <w:sz w:val="32"/>
          <w:szCs w:val="32"/>
          <w:lang w:eastAsia="zh-CN"/>
        </w:rPr>
        <w:t>严密，</w:t>
      </w:r>
      <w:r>
        <w:rPr>
          <w:rFonts w:hint="eastAsia" w:ascii="仿宋_GB2312" w:eastAsia="仿宋_GB2312" w:cs="仿宋_GB2312"/>
          <w:kern w:val="0"/>
          <w:sz w:val="32"/>
          <w:szCs w:val="32"/>
        </w:rPr>
        <w:t>符合资金管理基本规范和决策程序要求</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规划论证符合中省要求、项目绩效目标设置科学合理</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资金投向与项目总体规划、相关行业事业发展相匹配。</w:t>
      </w:r>
    </w:p>
    <w:p w14:paraId="2392861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rPr>
        <w:t>2.项目管理。项目资金分配因素选取、权重设置、区域分布，项目管理、审批符合管理要求、绩效监管按中省要求全面完成绩效目标（含事前评估）、绩效评价。</w:t>
      </w:r>
    </w:p>
    <w:p w14:paraId="255A5D1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rPr>
        <w:t>3.项目实施。</w:t>
      </w:r>
      <w:r>
        <w:rPr>
          <w:rFonts w:hint="eastAsia" w:ascii="仿宋_GB2312" w:eastAsia="仿宋_GB2312" w:cs="仿宋_GB2312"/>
          <w:kern w:val="0"/>
          <w:sz w:val="32"/>
          <w:szCs w:val="32"/>
          <w:lang w:eastAsia="zh-CN"/>
        </w:rPr>
        <w:t>财政资金拨付率</w:t>
      </w:r>
      <w:r>
        <w:rPr>
          <w:rFonts w:hint="eastAsia" w:ascii="仿宋_GB2312" w:eastAsia="仿宋_GB2312" w:cs="仿宋_GB2312"/>
          <w:kern w:val="0"/>
          <w:sz w:val="32"/>
          <w:szCs w:val="32"/>
          <w:lang w:val="en-US" w:eastAsia="zh-CN"/>
        </w:rPr>
        <w:t>100%，使用率100%，无地方配套资金。</w:t>
      </w:r>
    </w:p>
    <w:p w14:paraId="44BBF54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rPr>
        <w:t>4.项目结果。完成预期目标，实施结果。与绩效目标相匹配</w:t>
      </w:r>
      <w:r>
        <w:rPr>
          <w:rFonts w:hint="eastAsia" w:ascii="仿宋_GB2312" w:eastAsia="仿宋_GB2312" w:cs="仿宋_GB2312"/>
          <w:kern w:val="0"/>
          <w:sz w:val="32"/>
          <w:szCs w:val="32"/>
          <w:lang w:eastAsia="zh-CN"/>
        </w:rPr>
        <w:t>。</w:t>
      </w:r>
    </w:p>
    <w:p w14:paraId="5EACC742">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（二）专用指标绩效分析</w:t>
      </w:r>
    </w:p>
    <w:p w14:paraId="7E44933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w:t>
      </w:r>
      <w:r>
        <w:rPr>
          <w:rFonts w:hint="eastAsia" w:ascii="仿宋_GB2312" w:eastAsia="仿宋_GB2312" w:cs="仿宋_GB2312"/>
          <w:kern w:val="0"/>
          <w:sz w:val="32"/>
          <w:szCs w:val="32"/>
          <w:lang w:val="zh-CN"/>
        </w:rPr>
        <w:t>民生保障。</w:t>
      </w:r>
      <w:r>
        <w:rPr>
          <w:rFonts w:hint="eastAsia" w:ascii="仿宋_GB2312" w:eastAsia="仿宋_GB2312" w:cs="仿宋_GB2312"/>
          <w:kern w:val="0"/>
          <w:sz w:val="32"/>
          <w:szCs w:val="32"/>
        </w:rPr>
        <w:t>资金分配均衡公平、支持对象符合管理要求，符合支持对象范围、资金实际补贴标准符合资金管理办法规定的补助标准，及时按标准兑现。</w:t>
      </w:r>
    </w:p>
    <w:p w14:paraId="6C137E1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cs="宋体"/>
          <w:kern w:val="0"/>
          <w:lang w:val="en-US" w:eastAsia="zh-CN"/>
        </w:rPr>
      </w:pPr>
      <w:r>
        <w:rPr>
          <w:rFonts w:hint="eastAsia" w:ascii="仿宋_GB2312" w:eastAsia="仿宋_GB2312" w:cs="仿宋_GB2312"/>
          <w:kern w:val="0"/>
          <w:sz w:val="32"/>
          <w:szCs w:val="32"/>
        </w:rPr>
        <w:t>2.</w:t>
      </w:r>
      <w:r>
        <w:rPr>
          <w:rFonts w:hint="eastAsia" w:ascii="仿宋_GB2312" w:eastAsia="仿宋_GB2312" w:cs="仿宋_GB2312"/>
          <w:kern w:val="0"/>
          <w:sz w:val="32"/>
          <w:szCs w:val="32"/>
          <w:lang w:val="zh-CN"/>
        </w:rPr>
        <w:t>行政运转。按规定用途、适用范围进行本地区专项资金分配。</w:t>
      </w:r>
    </w:p>
    <w:p w14:paraId="19503451">
      <w:pPr>
        <w:pageBreakBefore w:val="0"/>
        <w:widowControl/>
        <w:tabs>
          <w:tab w:val="left" w:pos="2160"/>
        </w:tabs>
        <w:kinsoku/>
        <w:wordWrap/>
        <w:overflowPunct/>
        <w:topLinePunct w:val="0"/>
        <w:autoSpaceDE/>
        <w:autoSpaceDN/>
        <w:bidi w:val="0"/>
        <w:spacing w:line="576" w:lineRule="exact"/>
        <w:ind w:firstLine="643" w:firstLineChars="200"/>
        <w:jc w:val="left"/>
        <w:textAlignment w:val="auto"/>
        <w:rPr>
          <w:rFonts w:hint="eastAsia" w:ascii="楷体_GB2312" w:hAnsi="宋体" w:eastAsia="楷体_GB2312" w:cs="宋体"/>
          <w:b/>
          <w:kern w:val="0"/>
          <w:position w:val="3"/>
          <w:sz w:val="32"/>
          <w:szCs w:val="32"/>
          <w:lang w:val="zh-CN" w:eastAsia="en-US" w:bidi="ar-SA"/>
        </w:rPr>
      </w:pPr>
      <w:r>
        <w:rPr>
          <w:rFonts w:hint="eastAsia" w:ascii="楷体_GB2312" w:hAnsi="宋体" w:eastAsia="楷体_GB2312" w:cs="宋体"/>
          <w:b/>
          <w:kern w:val="0"/>
          <w:position w:val="3"/>
          <w:sz w:val="32"/>
          <w:szCs w:val="32"/>
          <w:lang w:val="zh-CN" w:eastAsia="en-US" w:bidi="ar-SA"/>
        </w:rPr>
        <w:t>（三）个性指标绩效分析</w:t>
      </w:r>
    </w:p>
    <w:p w14:paraId="7A080878">
      <w:pPr>
        <w:pageBreakBefore w:val="0"/>
        <w:widowControl/>
        <w:tabs>
          <w:tab w:val="left" w:pos="2160"/>
        </w:tabs>
        <w:kinsoku/>
        <w:wordWrap/>
        <w:overflowPunct/>
        <w:topLinePunct w:val="0"/>
        <w:autoSpaceDE/>
        <w:autoSpaceDN/>
        <w:bidi w:val="0"/>
        <w:spacing w:line="576" w:lineRule="exact"/>
        <w:ind w:firstLine="640" w:firstLineChars="200"/>
        <w:jc w:val="left"/>
        <w:textAlignment w:val="auto"/>
        <w:rPr>
          <w:rFonts w:hint="eastAsia" w:ascii="仿宋_GB2312" w:hAnsi="Times New Roman" w:eastAsia="仿宋_GB2312" w:cs="仿宋_GB2312"/>
          <w:kern w:val="0"/>
          <w:position w:val="3"/>
          <w:sz w:val="32"/>
          <w:szCs w:val="32"/>
          <w:lang w:val="zh-CN" w:eastAsia="en-US" w:bidi="ar-SA"/>
        </w:rPr>
      </w:pPr>
      <w:r>
        <w:rPr>
          <w:rFonts w:hint="eastAsia" w:ascii="仿宋_GB2312" w:hAnsi="Times New Roman" w:eastAsia="仿宋_GB2312" w:cs="仿宋_GB2312"/>
          <w:kern w:val="0"/>
          <w:position w:val="3"/>
          <w:sz w:val="32"/>
          <w:szCs w:val="32"/>
          <w:lang w:val="zh-CN" w:eastAsia="en-US" w:bidi="ar-SA"/>
        </w:rPr>
        <w:t>根据项目设定指标如实完成。</w:t>
      </w:r>
    </w:p>
    <w:p w14:paraId="1AE27BED">
      <w:pPr>
        <w:pageBreakBefore w:val="0"/>
        <w:widowControl/>
        <w:tabs>
          <w:tab w:val="left" w:pos="2160"/>
        </w:tabs>
        <w:kinsoku/>
        <w:wordWrap/>
        <w:overflowPunct/>
        <w:topLinePunct w:val="0"/>
        <w:autoSpaceDE/>
        <w:autoSpaceDN/>
        <w:bidi w:val="0"/>
        <w:spacing w:line="576" w:lineRule="exact"/>
        <w:ind w:firstLine="640" w:firstLineChars="200"/>
        <w:jc w:val="left"/>
        <w:textAlignment w:val="auto"/>
        <w:rPr>
          <w:rFonts w:ascii="黑体" w:hAnsi="宋体" w:eastAsia="黑体" w:cs="宋体"/>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四、评</w:t>
      </w:r>
      <w:r>
        <w:rPr>
          <w:rFonts w:hint="eastAsia" w:ascii="黑体" w:hAnsi="宋体" w:eastAsia="黑体" w:cs="宋体"/>
          <w:kern w:val="0"/>
          <w:position w:val="3"/>
          <w:sz w:val="32"/>
          <w:szCs w:val="32"/>
          <w:lang w:val="en-US" w:eastAsia="zh-CN" w:bidi="ar-SA"/>
        </w:rPr>
        <w:t>价结论</w:t>
      </w:r>
    </w:p>
    <w:p w14:paraId="48EBB754">
      <w:pPr>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eastAsia="仿宋_GB2312" w:cs="Times New Roman"/>
          <w:kern w:val="2"/>
          <w:sz w:val="32"/>
          <w:szCs w:val="32"/>
          <w:u w:val="none"/>
        </w:rPr>
        <w:t>综合前述评估内容来看，该</w:t>
      </w:r>
      <w:r>
        <w:rPr>
          <w:rFonts w:hint="eastAsia" w:ascii="仿宋_GB2312" w:eastAsia="仿宋_GB2312" w:cs="Times New Roman"/>
          <w:color w:val="auto"/>
          <w:kern w:val="2"/>
          <w:sz w:val="32"/>
          <w:szCs w:val="32"/>
          <w:u w:val="none"/>
        </w:rPr>
        <w:t>项目</w:t>
      </w:r>
      <w:r>
        <w:rPr>
          <w:rFonts w:hint="eastAsia" w:ascii="仿宋_GB2312" w:eastAsia="仿宋_GB2312" w:cs="Times New Roman"/>
          <w:color w:val="auto"/>
          <w:kern w:val="2"/>
          <w:sz w:val="32"/>
          <w:szCs w:val="32"/>
          <w:u w:val="none"/>
          <w:lang w:val="en-US" w:eastAsia="zh-CN"/>
        </w:rPr>
        <w:t>依据</w:t>
      </w:r>
      <w:r>
        <w:rPr>
          <w:rFonts w:hint="eastAsia" w:ascii="仿宋_GB2312" w:eastAsia="仿宋_GB2312" w:cs="Times New Roman"/>
          <w:kern w:val="2"/>
          <w:sz w:val="32"/>
          <w:szCs w:val="32"/>
          <w:u w:val="none"/>
        </w:rPr>
        <w:t>充分，绩效目标明确，具有公共性，符合</w:t>
      </w:r>
      <w:r>
        <w:rPr>
          <w:rFonts w:hint="eastAsia" w:ascii="仿宋_GB2312" w:eastAsia="仿宋_GB2312" w:cs="Times New Roman"/>
          <w:kern w:val="2"/>
          <w:sz w:val="32"/>
          <w:szCs w:val="32"/>
          <w:u w:val="none"/>
          <w:lang w:val="en-US" w:eastAsia="zh-CN"/>
        </w:rPr>
        <w:t>对口支援资金</w:t>
      </w:r>
      <w:r>
        <w:rPr>
          <w:rFonts w:hint="eastAsia" w:ascii="仿宋_GB2312" w:eastAsia="仿宋_GB2312" w:cs="Times New Roman"/>
          <w:kern w:val="2"/>
          <w:sz w:val="32"/>
          <w:szCs w:val="32"/>
          <w:u w:val="none"/>
        </w:rPr>
        <w:t>支持方向。</w:t>
      </w:r>
      <w:r>
        <w:rPr>
          <w:rFonts w:hint="eastAsia" w:ascii="仿宋_GB2312" w:eastAsia="仿宋_GB2312" w:cs="Times New Roman"/>
          <w:kern w:val="2"/>
          <w:sz w:val="32"/>
          <w:szCs w:val="32"/>
          <w:u w:val="none"/>
          <w:lang w:val="en-US" w:eastAsia="zh-CN"/>
        </w:rPr>
        <w:t>项目预算20</w:t>
      </w:r>
      <w:r>
        <w:rPr>
          <w:rFonts w:hint="eastAsia" w:ascii="仿宋_GB2312" w:eastAsia="仿宋_GB2312" w:cs="Times New Roman"/>
          <w:kern w:val="2"/>
          <w:sz w:val="32"/>
          <w:szCs w:val="32"/>
          <w:u w:val="none"/>
        </w:rPr>
        <w:t>万</w:t>
      </w:r>
      <w:r>
        <w:rPr>
          <w:rFonts w:hint="eastAsia" w:ascii="仿宋_GB2312" w:eastAsia="仿宋_GB2312" w:cs="Times New Roman"/>
          <w:kern w:val="2"/>
          <w:sz w:val="32"/>
          <w:szCs w:val="32"/>
          <w:u w:val="none"/>
          <w:lang w:eastAsia="zh-CN"/>
        </w:rPr>
        <w:t>，</w:t>
      </w:r>
      <w:r>
        <w:rPr>
          <w:rFonts w:hint="eastAsia" w:ascii="仿宋_GB2312" w:eastAsia="仿宋_GB2312" w:cs="Times New Roman"/>
          <w:kern w:val="2"/>
          <w:sz w:val="32"/>
          <w:szCs w:val="32"/>
          <w:u w:val="none"/>
        </w:rPr>
        <w:t>该项目申请</w:t>
      </w:r>
      <w:r>
        <w:rPr>
          <w:rFonts w:hint="eastAsia" w:ascii="仿宋_GB2312" w:eastAsia="仿宋_GB2312" w:cs="Times New Roman"/>
          <w:kern w:val="2"/>
          <w:sz w:val="32"/>
          <w:szCs w:val="32"/>
          <w:u w:val="none"/>
          <w:lang w:val="en-US" w:eastAsia="zh-CN"/>
        </w:rPr>
        <w:t>总</w:t>
      </w:r>
      <w:r>
        <w:rPr>
          <w:rFonts w:hint="eastAsia" w:ascii="仿宋_GB2312" w:eastAsia="仿宋_GB2312" w:cs="Times New Roman"/>
          <w:kern w:val="2"/>
          <w:sz w:val="32"/>
          <w:szCs w:val="32"/>
          <w:u w:val="none"/>
        </w:rPr>
        <w:t>资金</w:t>
      </w:r>
      <w:r>
        <w:rPr>
          <w:rFonts w:hint="eastAsia" w:ascii="仿宋_GB2312" w:eastAsia="仿宋_GB2312" w:cs="Times New Roman"/>
          <w:kern w:val="2"/>
          <w:sz w:val="32"/>
          <w:szCs w:val="32"/>
          <w:u w:val="none"/>
          <w:lang w:val="en-US" w:eastAsia="zh-CN"/>
        </w:rPr>
        <w:t>在预算内</w:t>
      </w:r>
      <w:r>
        <w:rPr>
          <w:rFonts w:hint="eastAsia" w:ascii="仿宋_GB2312" w:eastAsia="仿宋_GB2312" w:cs="Times New Roman"/>
          <w:kern w:val="2"/>
          <w:sz w:val="32"/>
          <w:szCs w:val="32"/>
          <w:u w:val="none"/>
        </w:rPr>
        <w:t>。我单位将进一步加强运行监控，提升资金效益，提升预算绩效管理水平</w:t>
      </w:r>
      <w:r>
        <w:rPr>
          <w:rFonts w:hint="eastAsia" w:ascii="仿宋_GB2312" w:cs="Times New Roman"/>
          <w:kern w:val="2"/>
          <w:sz w:val="32"/>
          <w:szCs w:val="32"/>
          <w:u w:val="none"/>
          <w:lang w:eastAsia="zh-CN"/>
        </w:rPr>
        <w:t>。</w:t>
      </w:r>
      <w:r>
        <w:rPr>
          <w:rFonts w:hint="eastAsia" w:ascii="仿宋_GB2312" w:eastAsia="仿宋_GB2312" w:cs="仿宋_GB2312"/>
          <w:kern w:val="0"/>
          <w:position w:val="0"/>
          <w:sz w:val="32"/>
          <w:szCs w:val="32"/>
          <w:highlight w:val="none"/>
          <w:u w:val="none"/>
          <w:shd w:val="clear" w:color="auto" w:fill="FFFFFF"/>
          <w:lang w:val="zh-CN" w:eastAsia="zh-CN" w:bidi="ar-SA"/>
        </w:rPr>
        <w:t>综合自评得分</w:t>
      </w:r>
      <w:r>
        <w:rPr>
          <w:rFonts w:hint="eastAsia" w:ascii="仿宋_GB2312" w:cs="仿宋_GB2312"/>
          <w:kern w:val="0"/>
          <w:position w:val="0"/>
          <w:sz w:val="32"/>
          <w:szCs w:val="32"/>
          <w:highlight w:val="none"/>
          <w:u w:val="none"/>
          <w:shd w:val="clear" w:color="auto" w:fill="FFFFFF"/>
          <w:lang w:val="en-US" w:eastAsia="zh-CN" w:bidi="ar-SA"/>
        </w:rPr>
        <w:t>100</w:t>
      </w:r>
      <w:r>
        <w:rPr>
          <w:rFonts w:hint="eastAsia" w:ascii="仿宋_GB2312" w:eastAsia="仿宋_GB2312" w:cs="仿宋_GB2312"/>
          <w:kern w:val="0"/>
          <w:position w:val="0"/>
          <w:sz w:val="32"/>
          <w:szCs w:val="32"/>
          <w:highlight w:val="none"/>
          <w:u w:val="none"/>
          <w:shd w:val="clear" w:color="auto" w:fill="FFFFFF"/>
          <w:lang w:val="zh-CN" w:eastAsia="zh-CN" w:bidi="ar-SA"/>
        </w:rPr>
        <w:t>分。</w:t>
      </w:r>
    </w:p>
    <w:p w14:paraId="116D3CE8">
      <w:pPr>
        <w:pageBreakBefore w:val="0"/>
        <w:kinsoku/>
        <w:wordWrap/>
        <w:overflowPunct/>
        <w:topLinePunct w:val="0"/>
        <w:autoSpaceDE/>
        <w:autoSpaceDN/>
        <w:bidi w:val="0"/>
        <w:spacing w:line="576" w:lineRule="exact"/>
        <w:ind w:left="49" w:firstLine="640" w:firstLineChars="200"/>
        <w:textAlignment w:val="auto"/>
        <w:rPr>
          <w:rFonts w:hint="eastAsia" w:ascii="仿宋_GB2312" w:eastAsia="仿宋_GB2312" w:cs="Times New Roman"/>
          <w:kern w:val="2"/>
          <w:sz w:val="32"/>
          <w:szCs w:val="32"/>
          <w:u w:val="none"/>
          <w:lang w:val="zh-CN"/>
        </w:rPr>
      </w:pPr>
    </w:p>
    <w:p w14:paraId="4F25D5EF">
      <w:pPr>
        <w:pageBreakBefore w:val="0"/>
        <w:kinsoku/>
        <w:wordWrap/>
        <w:overflowPunct/>
        <w:topLinePunct w:val="0"/>
        <w:autoSpaceDE/>
        <w:autoSpaceDN/>
        <w:bidi w:val="0"/>
        <w:spacing w:line="576" w:lineRule="exact"/>
        <w:ind w:left="49" w:firstLine="640" w:firstLineChars="200"/>
        <w:textAlignment w:val="auto"/>
        <w:rPr>
          <w:rFonts w:hint="eastAsia" w:ascii="仿宋_GB2312" w:eastAsia="仿宋_GB2312" w:cs="Times New Roman"/>
          <w:kern w:val="2"/>
          <w:sz w:val="32"/>
          <w:szCs w:val="32"/>
          <w:u w:val="none"/>
        </w:rPr>
      </w:pPr>
      <w:r>
        <w:rPr>
          <w:rFonts w:hint="eastAsia" w:ascii="仿宋_GB2312" w:eastAsia="仿宋_GB2312" w:cs="Times New Roman"/>
          <w:kern w:val="2"/>
          <w:sz w:val="32"/>
          <w:szCs w:val="32"/>
          <w:u w:val="none"/>
        </w:rPr>
        <w:t>附表：1.项目资金分配涉及所有点位自评得分情况表</w:t>
      </w:r>
    </w:p>
    <w:p w14:paraId="656B48D8">
      <w:pPr>
        <w:pageBreakBefore w:val="0"/>
        <w:numPr>
          <w:ilvl w:val="0"/>
          <w:numId w:val="0"/>
        </w:numPr>
        <w:kinsoku/>
        <w:wordWrap/>
        <w:overflowPunct/>
        <w:topLinePunct w:val="0"/>
        <w:autoSpaceDE/>
        <w:autoSpaceDN/>
        <w:bidi w:val="0"/>
        <w:spacing w:line="576" w:lineRule="exact"/>
        <w:ind w:leftChars="500" w:firstLine="640" w:firstLineChars="200"/>
        <w:textAlignment w:val="auto"/>
        <w:rPr>
          <w:rFonts w:hint="eastAsia" w:ascii="仿宋_GB2312" w:eastAsia="仿宋_GB2312" w:cs="Times New Roman"/>
          <w:kern w:val="2"/>
          <w:sz w:val="32"/>
          <w:szCs w:val="32"/>
          <w:u w:val="none"/>
        </w:rPr>
      </w:pPr>
      <w:r>
        <w:rPr>
          <w:rFonts w:hint="eastAsia" w:ascii="仿宋_GB2312" w:eastAsia="仿宋_GB2312" w:cs="Times New Roman"/>
          <w:kern w:val="2"/>
          <w:sz w:val="32"/>
          <w:szCs w:val="32"/>
          <w:u w:val="none"/>
          <w:lang w:val="en-US" w:eastAsia="zh-CN"/>
        </w:rPr>
        <w:t>2.</w:t>
      </w:r>
      <w:r>
        <w:rPr>
          <w:rFonts w:hint="eastAsia" w:ascii="仿宋_GB2312" w:eastAsia="仿宋_GB2312" w:cs="Times New Roman"/>
          <w:kern w:val="2"/>
          <w:sz w:val="32"/>
          <w:szCs w:val="32"/>
          <w:u w:val="none"/>
        </w:rPr>
        <w:t>专项预算项目绩效目标完成情况自评表</w:t>
      </w:r>
    </w:p>
    <w:p w14:paraId="7C56C231">
      <w:pPr>
        <w:keepNext/>
        <w:keepLines/>
        <w:pageBreakBefore w:val="0"/>
        <w:widowControl w:val="0"/>
        <w:numPr>
          <w:ilvl w:val="0"/>
          <w:numId w:val="0"/>
        </w:numPr>
        <w:kinsoku/>
        <w:wordWrap/>
        <w:overflowPunct/>
        <w:topLinePunct w:val="0"/>
        <w:autoSpaceDE/>
        <w:autoSpaceDN/>
        <w:bidi w:val="0"/>
        <w:spacing w:line="576" w:lineRule="exact"/>
        <w:textAlignment w:val="auto"/>
        <w:outlineLvl w:val="4"/>
        <w:rPr>
          <w:rFonts w:hint="eastAsia" w:ascii="Arial" w:hAnsi="Arial" w:eastAsia="黑体" w:cs="Times New Roman"/>
          <w:b/>
          <w:kern w:val="2"/>
          <w:sz w:val="24"/>
          <w:szCs w:val="28"/>
          <w:lang w:val="en-US" w:eastAsia="zh-CN" w:bidi="ar-SA"/>
        </w:rPr>
      </w:pPr>
    </w:p>
    <w:p w14:paraId="23CBE8FE">
      <w:pPr>
        <w:pageBreakBefore w:val="0"/>
        <w:kinsoku/>
        <w:wordWrap/>
        <w:overflowPunct/>
        <w:topLinePunct w:val="0"/>
        <w:autoSpaceDE/>
        <w:autoSpaceDN/>
        <w:bidi w:val="0"/>
        <w:spacing w:line="576" w:lineRule="exact"/>
        <w:ind w:left="49" w:firstLine="4160" w:firstLineChars="1300"/>
        <w:textAlignment w:val="auto"/>
        <w:rPr>
          <w:rFonts w:hint="default" w:ascii="仿宋_GB2312" w:eastAsia="仿宋_GB2312" w:cs="Times New Roman"/>
          <w:kern w:val="2"/>
          <w:sz w:val="32"/>
          <w:szCs w:val="32"/>
          <w:u w:val="none"/>
          <w:lang w:val="en-US" w:eastAsia="zh-CN"/>
        </w:rPr>
      </w:pPr>
      <w:r>
        <w:rPr>
          <w:rFonts w:hint="eastAsia" w:ascii="仿宋_GB2312" w:eastAsia="仿宋_GB2312" w:cs="Times New Roman"/>
          <w:kern w:val="2"/>
          <w:sz w:val="32"/>
          <w:szCs w:val="32"/>
          <w:u w:val="none"/>
          <w:lang w:val="en-US" w:eastAsia="zh-CN"/>
        </w:rPr>
        <w:t>茂县供销合作社联合社</w:t>
      </w:r>
    </w:p>
    <w:p w14:paraId="0B536013">
      <w:pPr>
        <w:pageBreakBefore w:val="0"/>
        <w:kinsoku/>
        <w:wordWrap/>
        <w:overflowPunct/>
        <w:topLinePunct w:val="0"/>
        <w:autoSpaceDE/>
        <w:autoSpaceDN/>
        <w:bidi w:val="0"/>
        <w:spacing w:line="576" w:lineRule="exact"/>
        <w:ind w:firstLine="4486" w:firstLineChars="1402"/>
        <w:textAlignment w:val="auto"/>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2024年8月8日</w:t>
      </w:r>
    </w:p>
    <w:p w14:paraId="4451D292">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eastAsia="仿宋_GB2312" w:cs="仿宋_GB2312"/>
          <w:kern w:val="0"/>
          <w:sz w:val="32"/>
          <w:szCs w:val="32"/>
          <w:lang w:val="en-US" w:eastAsia="zh-CN"/>
        </w:rPr>
      </w:pPr>
    </w:p>
    <w:p w14:paraId="0B201146">
      <w:pPr>
        <w:keepNext/>
        <w:keepLines/>
        <w:widowControl w:val="0"/>
        <w:spacing w:before="280" w:after="156" w:line="377" w:lineRule="auto"/>
        <w:outlineLvl w:val="4"/>
        <w:rPr>
          <w:rFonts w:hint="default" w:ascii="仿宋_GB2312" w:hAnsi="Arial" w:eastAsia="仿宋_GB2312" w:cs="仿宋_GB2312"/>
          <w:b/>
          <w:kern w:val="2"/>
          <w:sz w:val="32"/>
          <w:szCs w:val="32"/>
          <w:lang w:val="en-US" w:eastAsia="zh-CN" w:bidi="ar-SA"/>
        </w:rPr>
      </w:pPr>
    </w:p>
    <w:p w14:paraId="3BA9C538">
      <w:pPr>
        <w:rPr>
          <w:rFonts w:hint="default" w:ascii="仿宋_GB2312" w:eastAsia="仿宋_GB2312" w:cs="仿宋_GB2312"/>
          <w:kern w:val="0"/>
          <w:sz w:val="32"/>
          <w:szCs w:val="32"/>
          <w:lang w:val="en-US" w:eastAsia="zh-CN"/>
        </w:rPr>
      </w:pPr>
    </w:p>
    <w:p w14:paraId="6E68E790">
      <w:pPr>
        <w:keepNext/>
        <w:keepLines/>
        <w:widowControl w:val="0"/>
        <w:spacing w:before="280" w:after="156" w:line="377" w:lineRule="auto"/>
        <w:outlineLvl w:val="4"/>
        <w:rPr>
          <w:rFonts w:hint="default" w:ascii="仿宋_GB2312" w:hAnsi="Arial" w:eastAsia="仿宋_GB2312" w:cs="仿宋_GB2312"/>
          <w:b/>
          <w:kern w:val="2"/>
          <w:sz w:val="32"/>
          <w:szCs w:val="32"/>
          <w:lang w:val="en-US" w:eastAsia="zh-CN" w:bidi="ar-SA"/>
        </w:rPr>
      </w:pPr>
    </w:p>
    <w:p w14:paraId="2EB93F01">
      <w:pPr>
        <w:rPr>
          <w:rFonts w:hint="default" w:ascii="仿宋_GB2312" w:eastAsia="仿宋_GB2312" w:cs="仿宋_GB2312"/>
          <w:kern w:val="0"/>
          <w:sz w:val="32"/>
          <w:szCs w:val="32"/>
          <w:lang w:val="en-US" w:eastAsia="zh-CN"/>
        </w:rPr>
      </w:pPr>
    </w:p>
    <w:p w14:paraId="58612730">
      <w:pPr>
        <w:keepNext/>
        <w:keepLines/>
        <w:widowControl w:val="0"/>
        <w:spacing w:before="280" w:after="156" w:line="377" w:lineRule="auto"/>
        <w:outlineLvl w:val="4"/>
        <w:rPr>
          <w:rFonts w:hint="default" w:ascii="仿宋_GB2312" w:hAnsi="Arial" w:eastAsia="仿宋_GB2312" w:cs="仿宋_GB2312"/>
          <w:b/>
          <w:kern w:val="2"/>
          <w:sz w:val="32"/>
          <w:szCs w:val="32"/>
          <w:lang w:val="en-US" w:eastAsia="zh-CN" w:bidi="ar-SA"/>
        </w:rPr>
      </w:pPr>
    </w:p>
    <w:p w14:paraId="0E72AFA8">
      <w:pPr>
        <w:rPr>
          <w:rFonts w:hint="default" w:ascii="仿宋_GB2312" w:eastAsia="仿宋_GB2312" w:cs="仿宋_GB2312"/>
          <w:kern w:val="0"/>
          <w:sz w:val="32"/>
          <w:szCs w:val="32"/>
          <w:lang w:val="en-US" w:eastAsia="zh-CN"/>
        </w:rPr>
      </w:pPr>
    </w:p>
    <w:p w14:paraId="40C78F2A">
      <w:pPr>
        <w:rPr>
          <w:rFonts w:ascii="黑体" w:hAnsi="黑体" w:eastAsia="黑体" w:cs="黑体"/>
          <w:kern w:val="0"/>
          <w:shd w:val="clear" w:color="auto" w:fill="FFFFFF"/>
          <w:lang w:val="zh-CN"/>
        </w:rPr>
      </w:pPr>
      <w:r>
        <w:rPr>
          <w:rFonts w:hint="eastAsia" w:ascii="黑体" w:hAnsi="黑体" w:eastAsia="黑体" w:cs="黑体"/>
          <w:kern w:val="0"/>
          <w:shd w:val="clear" w:color="auto" w:fill="FFFFFF"/>
          <w:lang w:val="zh-CN"/>
        </w:rPr>
        <w:t>附表</w:t>
      </w:r>
      <w:r>
        <w:rPr>
          <w:rFonts w:hint="eastAsia" w:ascii="黑体" w:hAnsi="黑体" w:eastAsia="黑体" w:cs="黑体"/>
          <w:kern w:val="0"/>
          <w:shd w:val="clear" w:color="auto" w:fill="FFFFFF"/>
        </w:rPr>
        <w:t>1</w:t>
      </w:r>
    </w:p>
    <w:p w14:paraId="19393CE2">
      <w:pPr>
        <w:spacing w:line="578" w:lineRule="exact"/>
        <w:jc w:val="center"/>
        <w:rPr>
          <w:rFonts w:ascii="方正小标宋_GBK" w:hAnsi="方正小标宋_GBK" w:eastAsia="方正小标宋_GBK" w:cs="方正小标宋_GBK"/>
          <w:kern w:val="0"/>
          <w:sz w:val="40"/>
          <w:szCs w:val="40"/>
        </w:rPr>
      </w:pPr>
      <w:r>
        <w:rPr>
          <w:rFonts w:hint="eastAsia" w:ascii="方正小标宋_GBK" w:hAnsi="方正小标宋_GBK" w:eastAsia="方正小标宋_GBK" w:cs="方正小标宋_GBK"/>
          <w:kern w:val="0"/>
          <w:sz w:val="40"/>
          <w:szCs w:val="40"/>
        </w:rPr>
        <w:t>项目资金分配涉及所有点位自评得分情况表</w:t>
      </w:r>
    </w:p>
    <w:tbl>
      <w:tblPr>
        <w:tblStyle w:val="24"/>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14:paraId="35DD7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73031774">
            <w:pPr>
              <w:spacing w:line="300" w:lineRule="exact"/>
              <w:jc w:val="center"/>
              <w:rPr>
                <w:rFonts w:ascii="黑体" w:hAnsi="黑体" w:eastAsia="黑体" w:cs="黑体"/>
                <w:kern w:val="0"/>
                <w:sz w:val="24"/>
                <w:szCs w:val="24"/>
              </w:rPr>
            </w:pPr>
            <w:r>
              <w:rPr>
                <w:rFonts w:hint="eastAsia" w:ascii="黑体" w:hAnsi="黑体" w:eastAsia="黑体" w:cs="黑体"/>
                <w:kern w:val="0"/>
                <w:sz w:val="24"/>
                <w:szCs w:val="24"/>
              </w:rPr>
              <w:t>序号</w:t>
            </w:r>
          </w:p>
        </w:tc>
        <w:tc>
          <w:tcPr>
            <w:tcW w:w="3843" w:type="dxa"/>
          </w:tcPr>
          <w:p w14:paraId="26E9C9C8">
            <w:pPr>
              <w:spacing w:line="300" w:lineRule="exact"/>
              <w:jc w:val="center"/>
              <w:rPr>
                <w:rFonts w:ascii="黑体" w:hAnsi="黑体" w:eastAsia="黑体" w:cs="黑体"/>
                <w:kern w:val="0"/>
                <w:sz w:val="24"/>
                <w:szCs w:val="24"/>
                <w:lang w:val="en"/>
              </w:rPr>
            </w:pPr>
            <w:r>
              <w:rPr>
                <w:rFonts w:hint="eastAsia" w:ascii="黑体" w:hAnsi="黑体" w:eastAsia="黑体" w:cs="黑体"/>
                <w:kern w:val="0"/>
                <w:sz w:val="24"/>
                <w:szCs w:val="24"/>
              </w:rPr>
              <w:t>项目资金末端分配点位</w:t>
            </w:r>
          </w:p>
        </w:tc>
        <w:tc>
          <w:tcPr>
            <w:tcW w:w="2861" w:type="dxa"/>
          </w:tcPr>
          <w:p w14:paraId="38A8436F">
            <w:pPr>
              <w:spacing w:line="300" w:lineRule="exact"/>
              <w:jc w:val="center"/>
              <w:rPr>
                <w:rFonts w:ascii="黑体" w:hAnsi="黑体" w:eastAsia="黑体" w:cs="黑体"/>
                <w:kern w:val="0"/>
                <w:sz w:val="24"/>
                <w:szCs w:val="24"/>
              </w:rPr>
            </w:pPr>
            <w:r>
              <w:rPr>
                <w:rFonts w:hint="eastAsia" w:ascii="黑体" w:hAnsi="黑体" w:eastAsia="黑体" w:cs="黑体"/>
                <w:kern w:val="0"/>
                <w:sz w:val="24"/>
                <w:szCs w:val="24"/>
                <w:lang w:val="en"/>
              </w:rPr>
              <w:t>自评得分（百分制）</w:t>
            </w:r>
          </w:p>
        </w:tc>
        <w:tc>
          <w:tcPr>
            <w:tcW w:w="993" w:type="dxa"/>
          </w:tcPr>
          <w:p w14:paraId="16459641">
            <w:pPr>
              <w:spacing w:line="300" w:lineRule="exact"/>
              <w:jc w:val="center"/>
              <w:rPr>
                <w:rFonts w:ascii="黑体" w:hAnsi="黑体" w:eastAsia="黑体" w:cs="黑体"/>
                <w:kern w:val="0"/>
                <w:sz w:val="24"/>
                <w:szCs w:val="24"/>
              </w:rPr>
            </w:pPr>
            <w:r>
              <w:rPr>
                <w:rFonts w:hint="eastAsia" w:ascii="黑体" w:hAnsi="黑体" w:eastAsia="黑体" w:cs="黑体"/>
                <w:kern w:val="0"/>
                <w:sz w:val="24"/>
                <w:szCs w:val="24"/>
              </w:rPr>
              <w:t>备注</w:t>
            </w:r>
          </w:p>
        </w:tc>
      </w:tr>
      <w:tr w14:paraId="17A2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exact"/>
          <w:jc w:val="center"/>
        </w:trPr>
        <w:tc>
          <w:tcPr>
            <w:tcW w:w="1123" w:type="dxa"/>
          </w:tcPr>
          <w:p w14:paraId="31C35320">
            <w:pPr>
              <w:spacing w:line="300" w:lineRule="exact"/>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843" w:type="dxa"/>
          </w:tcPr>
          <w:p w14:paraId="7A866E3B">
            <w:pPr>
              <w:spacing w:line="300" w:lineRule="exact"/>
              <w:rPr>
                <w:rFonts w:hint="default" w:ascii="宋体" w:hAnsi="宋体" w:eastAsia="仿宋_GB2312" w:cs="宋体"/>
                <w:kern w:val="0"/>
                <w:sz w:val="24"/>
                <w:szCs w:val="24"/>
                <w:lang w:val="en-US" w:eastAsia="zh-CN"/>
              </w:rPr>
            </w:pPr>
            <w:r>
              <w:rPr>
                <w:rFonts w:hint="eastAsia" w:ascii="仿宋_GB2312" w:eastAsia="仿宋_GB2312" w:cs="Times New Roman"/>
                <w:kern w:val="2"/>
                <w:szCs w:val="21"/>
                <w:u w:val="none"/>
              </w:rPr>
              <w:t>茂县</w:t>
            </w:r>
            <w:r>
              <w:rPr>
                <w:rFonts w:hint="eastAsia" w:ascii="仿宋_GB2312" w:eastAsia="仿宋_GB2312" w:cs="Times New Roman"/>
                <w:kern w:val="2"/>
                <w:szCs w:val="21"/>
                <w:u w:val="none"/>
                <w:lang w:val="en-US" w:eastAsia="zh-CN"/>
              </w:rPr>
              <w:t>供销合作社联合社交流交往交融项目</w:t>
            </w:r>
          </w:p>
        </w:tc>
        <w:tc>
          <w:tcPr>
            <w:tcW w:w="2861" w:type="dxa"/>
          </w:tcPr>
          <w:p w14:paraId="4BB15598">
            <w:pPr>
              <w:spacing w:line="300" w:lineRule="exact"/>
              <w:jc w:val="center"/>
              <w:rPr>
                <w:rFonts w:hint="default" w:ascii="宋体" w:hAnsi="宋体" w:eastAsia="仿宋_GB2312" w:cs="宋体"/>
                <w:kern w:val="0"/>
                <w:sz w:val="24"/>
                <w:szCs w:val="24"/>
                <w:lang w:val="en-US" w:eastAsia="zh-CN"/>
              </w:rPr>
            </w:pPr>
            <w:r>
              <w:rPr>
                <w:rFonts w:hint="eastAsia" w:ascii="黑体" w:hAnsi="黑体" w:eastAsia="黑体" w:cs="黑体"/>
                <w:kern w:val="0"/>
                <w:sz w:val="24"/>
                <w:szCs w:val="24"/>
                <w:lang w:val="en-US" w:eastAsia="zh-CN"/>
              </w:rPr>
              <w:t>100</w:t>
            </w:r>
          </w:p>
        </w:tc>
        <w:tc>
          <w:tcPr>
            <w:tcW w:w="993" w:type="dxa"/>
          </w:tcPr>
          <w:p w14:paraId="71DE58B4">
            <w:pPr>
              <w:spacing w:line="300" w:lineRule="exact"/>
              <w:rPr>
                <w:rFonts w:ascii="宋体" w:hAnsi="宋体" w:cs="宋体"/>
                <w:kern w:val="0"/>
                <w:sz w:val="24"/>
                <w:szCs w:val="24"/>
              </w:rPr>
            </w:pPr>
          </w:p>
        </w:tc>
      </w:tr>
      <w:tr w14:paraId="79320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60EE2242">
            <w:pPr>
              <w:spacing w:line="300" w:lineRule="exact"/>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43" w:type="dxa"/>
          </w:tcPr>
          <w:p w14:paraId="30623631">
            <w:pPr>
              <w:spacing w:line="300" w:lineRule="exact"/>
              <w:rPr>
                <w:rFonts w:ascii="宋体" w:hAnsi="宋体" w:cs="宋体"/>
                <w:kern w:val="0"/>
                <w:sz w:val="24"/>
                <w:szCs w:val="24"/>
                <w:lang w:val="en"/>
              </w:rPr>
            </w:pPr>
          </w:p>
        </w:tc>
        <w:tc>
          <w:tcPr>
            <w:tcW w:w="2861" w:type="dxa"/>
          </w:tcPr>
          <w:p w14:paraId="71331C2C">
            <w:pPr>
              <w:spacing w:line="300" w:lineRule="exact"/>
              <w:rPr>
                <w:rFonts w:ascii="宋体" w:hAnsi="宋体" w:cs="宋体"/>
                <w:kern w:val="0"/>
                <w:sz w:val="24"/>
                <w:szCs w:val="24"/>
                <w:lang w:val="en"/>
              </w:rPr>
            </w:pPr>
          </w:p>
        </w:tc>
        <w:tc>
          <w:tcPr>
            <w:tcW w:w="993" w:type="dxa"/>
          </w:tcPr>
          <w:p w14:paraId="78C52234">
            <w:pPr>
              <w:spacing w:line="300" w:lineRule="exact"/>
              <w:rPr>
                <w:rFonts w:ascii="宋体" w:hAnsi="宋体" w:cs="宋体"/>
                <w:kern w:val="0"/>
                <w:sz w:val="24"/>
                <w:szCs w:val="24"/>
              </w:rPr>
            </w:pPr>
          </w:p>
        </w:tc>
      </w:tr>
      <w:tr w14:paraId="52F7C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534AB9FE">
            <w:pPr>
              <w:spacing w:line="300" w:lineRule="exact"/>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3843" w:type="dxa"/>
          </w:tcPr>
          <w:p w14:paraId="0D0D77F3">
            <w:pPr>
              <w:spacing w:line="300" w:lineRule="exact"/>
              <w:rPr>
                <w:rFonts w:ascii="宋体" w:hAnsi="宋体" w:cs="宋体"/>
                <w:kern w:val="0"/>
                <w:sz w:val="24"/>
                <w:szCs w:val="24"/>
                <w:lang w:val="en"/>
              </w:rPr>
            </w:pPr>
          </w:p>
        </w:tc>
        <w:tc>
          <w:tcPr>
            <w:tcW w:w="2861" w:type="dxa"/>
          </w:tcPr>
          <w:p w14:paraId="0A69A00F">
            <w:pPr>
              <w:spacing w:line="300" w:lineRule="exact"/>
              <w:rPr>
                <w:rFonts w:ascii="宋体" w:hAnsi="宋体" w:cs="宋体"/>
                <w:kern w:val="0"/>
                <w:sz w:val="24"/>
                <w:szCs w:val="24"/>
                <w:lang w:val="en"/>
              </w:rPr>
            </w:pPr>
          </w:p>
        </w:tc>
        <w:tc>
          <w:tcPr>
            <w:tcW w:w="993" w:type="dxa"/>
          </w:tcPr>
          <w:p w14:paraId="5218B5D1">
            <w:pPr>
              <w:spacing w:line="300" w:lineRule="exact"/>
              <w:rPr>
                <w:rFonts w:ascii="宋体" w:hAnsi="宋体" w:cs="宋体"/>
                <w:kern w:val="0"/>
                <w:sz w:val="24"/>
                <w:szCs w:val="24"/>
              </w:rPr>
            </w:pPr>
          </w:p>
        </w:tc>
      </w:tr>
      <w:tr w14:paraId="6DB16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5DF8EAEE">
            <w:pPr>
              <w:spacing w:line="300" w:lineRule="exact"/>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3843" w:type="dxa"/>
          </w:tcPr>
          <w:p w14:paraId="775C62A7">
            <w:pPr>
              <w:spacing w:line="300" w:lineRule="exact"/>
              <w:rPr>
                <w:rFonts w:ascii="宋体" w:hAnsi="宋体" w:cs="宋体"/>
                <w:kern w:val="0"/>
                <w:sz w:val="24"/>
                <w:szCs w:val="24"/>
                <w:lang w:val="en"/>
              </w:rPr>
            </w:pPr>
          </w:p>
        </w:tc>
        <w:tc>
          <w:tcPr>
            <w:tcW w:w="2861" w:type="dxa"/>
          </w:tcPr>
          <w:p w14:paraId="063CD2D8">
            <w:pPr>
              <w:spacing w:line="300" w:lineRule="exact"/>
              <w:rPr>
                <w:rFonts w:ascii="宋体" w:hAnsi="宋体" w:cs="宋体"/>
                <w:kern w:val="0"/>
                <w:sz w:val="24"/>
                <w:szCs w:val="24"/>
                <w:lang w:val="en"/>
              </w:rPr>
            </w:pPr>
          </w:p>
        </w:tc>
        <w:tc>
          <w:tcPr>
            <w:tcW w:w="993" w:type="dxa"/>
          </w:tcPr>
          <w:p w14:paraId="35AEFAF3">
            <w:pPr>
              <w:spacing w:line="300" w:lineRule="exact"/>
              <w:rPr>
                <w:rFonts w:ascii="宋体" w:hAnsi="宋体" w:cs="宋体"/>
                <w:kern w:val="0"/>
                <w:sz w:val="24"/>
                <w:szCs w:val="24"/>
              </w:rPr>
            </w:pPr>
          </w:p>
        </w:tc>
      </w:tr>
      <w:tr w14:paraId="4B0E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51723041">
            <w:pPr>
              <w:spacing w:line="300" w:lineRule="exact"/>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3843" w:type="dxa"/>
          </w:tcPr>
          <w:p w14:paraId="11CEB28C">
            <w:pPr>
              <w:spacing w:line="300" w:lineRule="exact"/>
              <w:rPr>
                <w:rFonts w:ascii="宋体" w:hAnsi="宋体" w:cs="宋体"/>
                <w:kern w:val="0"/>
                <w:sz w:val="24"/>
                <w:szCs w:val="24"/>
                <w:lang w:val="en"/>
              </w:rPr>
            </w:pPr>
          </w:p>
        </w:tc>
        <w:tc>
          <w:tcPr>
            <w:tcW w:w="2861" w:type="dxa"/>
          </w:tcPr>
          <w:p w14:paraId="45607ED7">
            <w:pPr>
              <w:spacing w:line="300" w:lineRule="exact"/>
              <w:rPr>
                <w:rFonts w:ascii="宋体" w:hAnsi="宋体" w:cs="宋体"/>
                <w:kern w:val="0"/>
                <w:sz w:val="24"/>
                <w:szCs w:val="24"/>
                <w:lang w:val="en"/>
              </w:rPr>
            </w:pPr>
          </w:p>
        </w:tc>
        <w:tc>
          <w:tcPr>
            <w:tcW w:w="993" w:type="dxa"/>
          </w:tcPr>
          <w:p w14:paraId="7A2FC8AD">
            <w:pPr>
              <w:spacing w:line="300" w:lineRule="exact"/>
              <w:rPr>
                <w:rFonts w:ascii="宋体" w:hAnsi="宋体" w:cs="宋体"/>
                <w:kern w:val="0"/>
                <w:sz w:val="24"/>
                <w:szCs w:val="24"/>
              </w:rPr>
            </w:pPr>
          </w:p>
        </w:tc>
      </w:tr>
      <w:tr w14:paraId="49508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5CBCD54B">
            <w:pPr>
              <w:spacing w:line="300" w:lineRule="exact"/>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3843" w:type="dxa"/>
          </w:tcPr>
          <w:p w14:paraId="44B17483">
            <w:pPr>
              <w:spacing w:line="300" w:lineRule="exact"/>
              <w:rPr>
                <w:rFonts w:ascii="宋体" w:hAnsi="宋体" w:cs="宋体"/>
                <w:kern w:val="0"/>
                <w:sz w:val="24"/>
                <w:szCs w:val="24"/>
                <w:lang w:val="en"/>
              </w:rPr>
            </w:pPr>
          </w:p>
        </w:tc>
        <w:tc>
          <w:tcPr>
            <w:tcW w:w="2861" w:type="dxa"/>
          </w:tcPr>
          <w:p w14:paraId="46529846">
            <w:pPr>
              <w:spacing w:line="300" w:lineRule="exact"/>
              <w:rPr>
                <w:rFonts w:ascii="宋体" w:hAnsi="宋体" w:cs="宋体"/>
                <w:kern w:val="0"/>
                <w:sz w:val="24"/>
                <w:szCs w:val="24"/>
                <w:lang w:val="en"/>
              </w:rPr>
            </w:pPr>
          </w:p>
        </w:tc>
        <w:tc>
          <w:tcPr>
            <w:tcW w:w="993" w:type="dxa"/>
          </w:tcPr>
          <w:p w14:paraId="00C556FC">
            <w:pPr>
              <w:spacing w:line="300" w:lineRule="exact"/>
              <w:rPr>
                <w:rFonts w:ascii="宋体" w:hAnsi="宋体" w:cs="宋体"/>
                <w:kern w:val="0"/>
                <w:sz w:val="24"/>
                <w:szCs w:val="24"/>
              </w:rPr>
            </w:pPr>
          </w:p>
        </w:tc>
      </w:tr>
      <w:tr w14:paraId="7AC0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2F1A9AF1">
            <w:pPr>
              <w:spacing w:line="300" w:lineRule="exact"/>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3843" w:type="dxa"/>
          </w:tcPr>
          <w:p w14:paraId="593944D5">
            <w:pPr>
              <w:spacing w:line="300" w:lineRule="exact"/>
              <w:rPr>
                <w:rFonts w:ascii="宋体" w:hAnsi="宋体" w:cs="宋体"/>
                <w:kern w:val="0"/>
                <w:sz w:val="24"/>
                <w:szCs w:val="24"/>
                <w:lang w:val="en"/>
              </w:rPr>
            </w:pPr>
          </w:p>
        </w:tc>
        <w:tc>
          <w:tcPr>
            <w:tcW w:w="2861" w:type="dxa"/>
          </w:tcPr>
          <w:p w14:paraId="1356B5AF">
            <w:pPr>
              <w:spacing w:line="300" w:lineRule="exact"/>
              <w:rPr>
                <w:rFonts w:ascii="宋体" w:hAnsi="宋体" w:cs="宋体"/>
                <w:kern w:val="0"/>
                <w:sz w:val="24"/>
                <w:szCs w:val="24"/>
                <w:lang w:val="en"/>
              </w:rPr>
            </w:pPr>
          </w:p>
        </w:tc>
        <w:tc>
          <w:tcPr>
            <w:tcW w:w="993" w:type="dxa"/>
          </w:tcPr>
          <w:p w14:paraId="3394DEDA">
            <w:pPr>
              <w:spacing w:line="300" w:lineRule="exact"/>
              <w:rPr>
                <w:rFonts w:ascii="宋体" w:hAnsi="宋体" w:cs="宋体"/>
                <w:kern w:val="0"/>
                <w:sz w:val="24"/>
                <w:szCs w:val="24"/>
              </w:rPr>
            </w:pPr>
          </w:p>
        </w:tc>
      </w:tr>
      <w:tr w14:paraId="67A2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519BA600">
            <w:pPr>
              <w:spacing w:line="300" w:lineRule="exact"/>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3843" w:type="dxa"/>
          </w:tcPr>
          <w:p w14:paraId="3618CE79">
            <w:pPr>
              <w:spacing w:line="300" w:lineRule="exact"/>
              <w:rPr>
                <w:rFonts w:ascii="宋体" w:hAnsi="宋体" w:cs="宋体"/>
                <w:kern w:val="0"/>
                <w:sz w:val="24"/>
                <w:szCs w:val="24"/>
                <w:lang w:val="en"/>
              </w:rPr>
            </w:pPr>
          </w:p>
        </w:tc>
        <w:tc>
          <w:tcPr>
            <w:tcW w:w="2861" w:type="dxa"/>
          </w:tcPr>
          <w:p w14:paraId="6C022028">
            <w:pPr>
              <w:spacing w:line="300" w:lineRule="exact"/>
              <w:rPr>
                <w:rFonts w:ascii="宋体" w:hAnsi="宋体" w:cs="宋体"/>
                <w:kern w:val="0"/>
                <w:sz w:val="24"/>
                <w:szCs w:val="24"/>
                <w:lang w:val="en"/>
              </w:rPr>
            </w:pPr>
          </w:p>
        </w:tc>
        <w:tc>
          <w:tcPr>
            <w:tcW w:w="993" w:type="dxa"/>
          </w:tcPr>
          <w:p w14:paraId="3EDF6DA4">
            <w:pPr>
              <w:spacing w:line="300" w:lineRule="exact"/>
              <w:rPr>
                <w:rFonts w:ascii="宋体" w:hAnsi="宋体" w:cs="宋体"/>
                <w:kern w:val="0"/>
                <w:sz w:val="24"/>
                <w:szCs w:val="24"/>
              </w:rPr>
            </w:pPr>
          </w:p>
        </w:tc>
      </w:tr>
      <w:tr w14:paraId="2CF4C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3F1CC0C1">
            <w:pPr>
              <w:spacing w:line="300" w:lineRule="exact"/>
              <w:jc w:val="center"/>
              <w:rPr>
                <w:rFonts w:ascii="宋体" w:hAnsi="宋体" w:eastAsia="宋体" w:cs="宋体"/>
                <w:kern w:val="0"/>
                <w:sz w:val="24"/>
                <w:szCs w:val="24"/>
              </w:rPr>
            </w:pPr>
            <w:r>
              <w:rPr>
                <w:rFonts w:hint="eastAsia" w:ascii="宋体" w:hAnsi="宋体" w:eastAsia="宋体" w:cs="宋体"/>
                <w:kern w:val="0"/>
                <w:sz w:val="24"/>
                <w:szCs w:val="24"/>
              </w:rPr>
              <w:t>……</w:t>
            </w:r>
          </w:p>
        </w:tc>
        <w:tc>
          <w:tcPr>
            <w:tcW w:w="3843" w:type="dxa"/>
          </w:tcPr>
          <w:p w14:paraId="6AE0FB93">
            <w:pPr>
              <w:spacing w:line="300" w:lineRule="exact"/>
              <w:rPr>
                <w:rFonts w:ascii="宋体" w:hAnsi="宋体" w:cs="宋体"/>
                <w:kern w:val="0"/>
                <w:sz w:val="24"/>
                <w:szCs w:val="24"/>
                <w:lang w:val="en"/>
              </w:rPr>
            </w:pPr>
          </w:p>
        </w:tc>
        <w:tc>
          <w:tcPr>
            <w:tcW w:w="2861" w:type="dxa"/>
          </w:tcPr>
          <w:p w14:paraId="2988731B">
            <w:pPr>
              <w:spacing w:line="300" w:lineRule="exact"/>
              <w:rPr>
                <w:rFonts w:ascii="宋体" w:hAnsi="宋体" w:cs="宋体"/>
                <w:kern w:val="0"/>
                <w:sz w:val="24"/>
                <w:szCs w:val="24"/>
                <w:lang w:val="en"/>
              </w:rPr>
            </w:pPr>
          </w:p>
        </w:tc>
        <w:tc>
          <w:tcPr>
            <w:tcW w:w="993" w:type="dxa"/>
          </w:tcPr>
          <w:p w14:paraId="26837909">
            <w:pPr>
              <w:spacing w:line="300" w:lineRule="exact"/>
              <w:rPr>
                <w:rFonts w:ascii="宋体" w:hAnsi="宋体" w:cs="宋体"/>
                <w:kern w:val="0"/>
                <w:sz w:val="24"/>
                <w:szCs w:val="24"/>
              </w:rPr>
            </w:pPr>
          </w:p>
        </w:tc>
      </w:tr>
    </w:tbl>
    <w:p w14:paraId="6ACB779A">
      <w:pPr>
        <w:spacing w:line="400" w:lineRule="exact"/>
        <w:jc w:val="left"/>
        <w:rPr>
          <w:rFonts w:ascii="宋体" w:hAnsi="宋体" w:eastAsia="宋体" w:cs="宋体"/>
          <w:kern w:val="0"/>
          <w:sz w:val="21"/>
          <w:szCs w:val="21"/>
        </w:rPr>
      </w:pPr>
      <w:r>
        <w:rPr>
          <w:rFonts w:hint="eastAsia" w:ascii="宋体" w:hAnsi="宋体" w:eastAsia="宋体" w:cs="宋体"/>
          <w:kern w:val="0"/>
          <w:sz w:val="21"/>
          <w:szCs w:val="21"/>
        </w:rPr>
        <w:t>备注：1.项目资金末端分配点位包括本部门、部门下属单位及一次性单位等。</w:t>
      </w:r>
    </w:p>
    <w:p w14:paraId="54E55E3F">
      <w:pPr>
        <w:spacing w:line="400" w:lineRule="exact"/>
        <w:ind w:firstLine="630" w:firstLineChars="300"/>
        <w:jc w:val="left"/>
        <w:rPr>
          <w:rFonts w:ascii="黑体" w:hAnsi="黑体" w:eastAsia="黑体" w:cs="黑体"/>
          <w:kern w:val="0"/>
          <w:sz w:val="24"/>
          <w:szCs w:val="24"/>
        </w:rPr>
      </w:pPr>
      <w:r>
        <w:rPr>
          <w:rFonts w:hint="eastAsia" w:ascii="宋体" w:hAnsi="宋体" w:eastAsia="宋体" w:cs="宋体"/>
          <w:kern w:val="0"/>
          <w:sz w:val="21"/>
          <w:szCs w:val="21"/>
        </w:rPr>
        <w:t>2.自评得分（百分制）从高到低划分为优、良、中、差四个档次，各个档次数量占比分别为20%、20%、55%、5%，且不同档次间得分分值应体现差异化，同档次得分分值相同的比例不超过该档次总数量的10%。</w:t>
      </w:r>
    </w:p>
    <w:p w14:paraId="4D0D7A3A">
      <w:pPr>
        <w:rPr>
          <w:rFonts w:hint="eastAsia" w:eastAsia="仿宋_GB2312"/>
          <w:sz w:val="32"/>
          <w:szCs w:val="24"/>
        </w:rPr>
      </w:pPr>
      <w:r>
        <w:rPr>
          <w:rFonts w:hint="eastAsia" w:eastAsia="仿宋_GB2312"/>
          <w:sz w:val="32"/>
          <w:szCs w:val="24"/>
        </w:rPr>
        <w:br w:type="page"/>
      </w:r>
    </w:p>
    <w:tbl>
      <w:tblPr>
        <w:tblStyle w:val="23"/>
        <w:tblW w:w="83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13"/>
        <w:gridCol w:w="924"/>
        <w:gridCol w:w="1126"/>
        <w:gridCol w:w="396"/>
        <w:gridCol w:w="807"/>
        <w:gridCol w:w="396"/>
        <w:gridCol w:w="846"/>
        <w:gridCol w:w="486"/>
        <w:gridCol w:w="486"/>
        <w:gridCol w:w="1304"/>
      </w:tblGrid>
      <w:tr w14:paraId="25BE1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trPr>
        <w:tc>
          <w:tcPr>
            <w:tcW w:w="83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89CA78E">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547F1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6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DC24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75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011E3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51322323T000009632101-茂县供销合作社联合社交流交往交融项目</w:t>
            </w:r>
          </w:p>
        </w:tc>
      </w:tr>
      <w:tr w14:paraId="760CC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16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E572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6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3340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茂县供销合作社联合社本级</w:t>
            </w:r>
          </w:p>
        </w:tc>
        <w:tc>
          <w:tcPr>
            <w:tcW w:w="750" w:type="dxa"/>
            <w:tcBorders>
              <w:top w:val="nil"/>
              <w:left w:val="nil"/>
              <w:bottom w:val="nil"/>
              <w:right w:val="nil"/>
            </w:tcBorders>
            <w:shd w:val="clear" w:color="auto" w:fill="auto"/>
            <w:vAlign w:val="center"/>
          </w:tcPr>
          <w:p w14:paraId="784CF3FA">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2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ECF7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w:t>
            </w:r>
          </w:p>
        </w:tc>
      </w:tr>
      <w:tr w14:paraId="42AA1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079E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275D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6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A5C9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9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F8721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611D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28C03">
            <w:pPr>
              <w:rPr>
                <w:rFonts w:hint="eastAsia" w:ascii="宋体" w:hAnsi="宋体" w:eastAsia="宋体" w:cs="宋体"/>
                <w:i w:val="0"/>
                <w:iCs w:val="0"/>
                <w:color w:val="000000"/>
                <w:sz w:val="18"/>
                <w:szCs w:val="18"/>
                <w:u w:val="none"/>
              </w:rPr>
            </w:pPr>
          </w:p>
        </w:tc>
        <w:tc>
          <w:tcPr>
            <w:tcW w:w="1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DEC9D">
            <w:pPr>
              <w:rPr>
                <w:rFonts w:hint="eastAsia" w:ascii="宋体" w:hAnsi="宋体" w:eastAsia="宋体" w:cs="宋体"/>
                <w:i w:val="0"/>
                <w:iCs w:val="0"/>
                <w:color w:val="000000"/>
                <w:sz w:val="18"/>
                <w:szCs w:val="18"/>
                <w:u w:val="none"/>
              </w:rPr>
            </w:pPr>
          </w:p>
        </w:tc>
        <w:tc>
          <w:tcPr>
            <w:tcW w:w="376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79DF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完成三期技术培训、赴平湖考察学习、推动农产品销售。</w:t>
            </w:r>
          </w:p>
        </w:tc>
        <w:tc>
          <w:tcPr>
            <w:tcW w:w="29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C17FA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遵照年度目标任务，严重按照计划执行，完成了年度目标。</w:t>
            </w:r>
          </w:p>
        </w:tc>
      </w:tr>
      <w:tr w14:paraId="7172A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3"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92E0D">
            <w:pP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D40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75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1E3AE07">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1.通过实地考察、农产品推广品鉴等方式，与平湖市结对交流。</w:t>
            </w:r>
          </w:p>
          <w:p w14:paraId="3DE96F83">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2.我社组织农产品推广销售及运输等农产品流通委托我社社有企业茂县岷源土特产批发有限公司开展。</w:t>
            </w:r>
          </w:p>
          <w:p w14:paraId="563C00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3.主动对接，积极邀约平湖市各机关单位和各相关企业来我单位检查指导工作，到我县优秀企业参观考察。</w:t>
            </w:r>
          </w:p>
        </w:tc>
      </w:tr>
      <w:tr w14:paraId="386F3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6DBF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C4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2F6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EFF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E1EB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C34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507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83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CA0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0BEF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CB28D">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8C1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95C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318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19.94</w:t>
            </w: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FC62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19.94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596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92F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671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3BC9C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1C1D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87C1F">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AD5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E17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82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19.94</w:t>
            </w: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C90D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19.94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959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2B8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B1D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884CD">
            <w:pPr>
              <w:rPr>
                <w:rFonts w:hint="eastAsia" w:ascii="黑体" w:hAnsi="黑体" w:eastAsia="黑体" w:cs="黑体"/>
                <w:i/>
                <w:iCs/>
                <w:color w:val="000000"/>
                <w:sz w:val="18"/>
                <w:szCs w:val="18"/>
                <w:u w:val="none"/>
              </w:rPr>
            </w:pPr>
          </w:p>
        </w:tc>
      </w:tr>
      <w:tr w14:paraId="34F32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419BD">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720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4E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191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97FB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DF4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AEF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88B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E9E7F">
            <w:pPr>
              <w:rPr>
                <w:rFonts w:hint="eastAsia" w:ascii="黑体" w:hAnsi="黑体" w:eastAsia="黑体" w:cs="黑体"/>
                <w:i/>
                <w:iCs/>
                <w:color w:val="000000"/>
                <w:sz w:val="18"/>
                <w:szCs w:val="18"/>
                <w:u w:val="none"/>
              </w:rPr>
            </w:pPr>
          </w:p>
        </w:tc>
      </w:tr>
      <w:tr w14:paraId="13975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F4238">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C14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A0B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08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5BB6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4CD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56B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A46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E2A0A">
            <w:pPr>
              <w:rPr>
                <w:rFonts w:hint="eastAsia" w:ascii="黑体" w:hAnsi="黑体" w:eastAsia="黑体" w:cs="黑体"/>
                <w:i/>
                <w:iCs/>
                <w:color w:val="000000"/>
                <w:sz w:val="18"/>
                <w:szCs w:val="18"/>
                <w:u w:val="none"/>
              </w:rPr>
            </w:pPr>
          </w:p>
        </w:tc>
      </w:tr>
      <w:tr w14:paraId="1178F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2"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A58D2">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731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3C42D">
            <w:pPr>
              <w:jc w:val="center"/>
              <w:rPr>
                <w:rFonts w:hint="eastAsia" w:ascii="微软雅黑" w:hAnsi="微软雅黑" w:eastAsia="微软雅黑" w:cs="微软雅黑"/>
                <w:i/>
                <w:iCs/>
                <w:color w:val="000000"/>
                <w:sz w:val="16"/>
                <w:szCs w:val="16"/>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00C92">
            <w:pPr>
              <w:jc w:val="center"/>
              <w:rPr>
                <w:rFonts w:hint="eastAsia" w:ascii="微软雅黑" w:hAnsi="微软雅黑" w:eastAsia="微软雅黑" w:cs="微软雅黑"/>
                <w:i/>
                <w:iCs/>
                <w:color w:val="000000"/>
                <w:sz w:val="16"/>
                <w:szCs w:val="16"/>
                <w:u w:val="none"/>
              </w:rPr>
            </w:pP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EF0C40">
            <w:pPr>
              <w:jc w:val="center"/>
              <w:rPr>
                <w:rFonts w:hint="eastAsia" w:ascii="微软雅黑" w:hAnsi="微软雅黑" w:eastAsia="微软雅黑" w:cs="微软雅黑"/>
                <w:i/>
                <w:iCs/>
                <w:color w:val="000000"/>
                <w:sz w:val="16"/>
                <w:szCs w:val="16"/>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E79BC">
            <w:pPr>
              <w:jc w:val="center"/>
              <w:rPr>
                <w:rFonts w:hint="eastAsia" w:ascii="微软雅黑" w:hAnsi="微软雅黑" w:eastAsia="微软雅黑" w:cs="微软雅黑"/>
                <w:i/>
                <w:iCs/>
                <w:color w:val="000000"/>
                <w:sz w:val="16"/>
                <w:szCs w:val="16"/>
                <w:u w:val="none"/>
              </w:rPr>
            </w:pP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C31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FAF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8CD64">
            <w:pPr>
              <w:rPr>
                <w:rFonts w:hint="eastAsia" w:ascii="黑体" w:hAnsi="黑体" w:eastAsia="黑体" w:cs="黑体"/>
                <w:i/>
                <w:iCs/>
                <w:color w:val="000000"/>
                <w:sz w:val="18"/>
                <w:szCs w:val="18"/>
                <w:u w:val="none"/>
              </w:rPr>
            </w:pPr>
          </w:p>
        </w:tc>
      </w:tr>
      <w:tr w14:paraId="6AB95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6" w:hRule="atLeast"/>
        </w:trPr>
        <w:tc>
          <w:tcPr>
            <w:tcW w:w="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21F0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CCE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8DE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526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DD0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DF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6A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FEF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7F4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425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F9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AFB8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45DF5">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F12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622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62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三期培训人数</w:t>
            </w:r>
          </w:p>
        </w:tc>
        <w:tc>
          <w:tcPr>
            <w:tcW w:w="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15E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F62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C06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期</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BA2C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47E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BFD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33B44">
            <w:pPr>
              <w:jc w:val="center"/>
              <w:rPr>
                <w:rFonts w:hint="eastAsia" w:ascii="微软雅黑" w:hAnsi="微软雅黑" w:eastAsia="微软雅黑" w:cs="微软雅黑"/>
                <w:i/>
                <w:iCs/>
                <w:color w:val="000000"/>
                <w:sz w:val="16"/>
                <w:szCs w:val="16"/>
                <w:u w:val="none"/>
              </w:rPr>
            </w:pPr>
          </w:p>
        </w:tc>
      </w:tr>
      <w:tr w14:paraId="7D6E7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085D9">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C11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440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3DE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赴平湖市考察学习</w:t>
            </w:r>
          </w:p>
        </w:tc>
        <w:tc>
          <w:tcPr>
            <w:tcW w:w="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360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A0D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9D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3E46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8</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5FF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0EC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02911">
            <w:pPr>
              <w:jc w:val="center"/>
              <w:rPr>
                <w:rFonts w:hint="eastAsia" w:ascii="微软雅黑" w:hAnsi="微软雅黑" w:eastAsia="微软雅黑" w:cs="微软雅黑"/>
                <w:i/>
                <w:iCs/>
                <w:color w:val="000000"/>
                <w:sz w:val="16"/>
                <w:szCs w:val="16"/>
                <w:u w:val="none"/>
              </w:rPr>
            </w:pPr>
          </w:p>
        </w:tc>
      </w:tr>
      <w:tr w14:paraId="30006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3B44C">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A62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F89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B95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农户、受益群众对该项目的满意度</w:t>
            </w:r>
          </w:p>
        </w:tc>
        <w:tc>
          <w:tcPr>
            <w:tcW w:w="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127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C71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CBC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BC28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164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BA9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1F16F">
            <w:pPr>
              <w:jc w:val="center"/>
              <w:rPr>
                <w:rFonts w:hint="eastAsia" w:ascii="微软雅黑" w:hAnsi="微软雅黑" w:eastAsia="微软雅黑" w:cs="微软雅黑"/>
                <w:i/>
                <w:iCs/>
                <w:color w:val="000000"/>
                <w:sz w:val="16"/>
                <w:szCs w:val="16"/>
                <w:u w:val="none"/>
              </w:rPr>
            </w:pPr>
          </w:p>
        </w:tc>
      </w:tr>
      <w:tr w14:paraId="0CCE4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611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C1DE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D47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1AB5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B72D7">
            <w:pPr>
              <w:rPr>
                <w:rFonts w:hint="eastAsia" w:ascii="宋体" w:hAnsi="宋体" w:eastAsia="宋体" w:cs="宋体"/>
                <w:i w:val="0"/>
                <w:iCs w:val="0"/>
                <w:color w:val="000000"/>
                <w:sz w:val="18"/>
                <w:szCs w:val="18"/>
                <w:u w:val="none"/>
              </w:rPr>
            </w:pPr>
          </w:p>
        </w:tc>
      </w:tr>
      <w:tr w14:paraId="484B4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FF9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84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ADBBC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按照年度预算金额，结合我社实际情况，为控制财政预算金额，实现年度财政支出严格按照预算金额支出，自评得分100分。</w:t>
            </w:r>
          </w:p>
        </w:tc>
      </w:tr>
      <w:tr w14:paraId="2F3AF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88F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84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5677A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9B40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665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84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44100D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929C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413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82D78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项目负责人：何福涛</w:t>
            </w:r>
          </w:p>
        </w:tc>
        <w:tc>
          <w:tcPr>
            <w:tcW w:w="422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AD49B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财务负责人：李婷</w:t>
            </w:r>
          </w:p>
        </w:tc>
      </w:tr>
      <w:tr w14:paraId="09465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11" w:type="dxa"/>
            <w:tcBorders>
              <w:top w:val="nil"/>
              <w:left w:val="nil"/>
              <w:bottom w:val="nil"/>
              <w:right w:val="nil"/>
            </w:tcBorders>
            <w:shd w:val="clear" w:color="auto" w:fill="auto"/>
            <w:vAlign w:val="center"/>
          </w:tcPr>
          <w:p w14:paraId="1ECD1A43">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294B77FE">
            <w:pPr>
              <w:rPr>
                <w:rFonts w:hint="eastAsia" w:ascii="宋体" w:hAnsi="宋体" w:eastAsia="宋体" w:cs="宋体"/>
                <w:i w:val="0"/>
                <w:iCs w:val="0"/>
                <w:color w:val="000000"/>
                <w:sz w:val="18"/>
                <w:szCs w:val="18"/>
                <w:u w:val="none"/>
              </w:rPr>
            </w:pPr>
          </w:p>
        </w:tc>
        <w:tc>
          <w:tcPr>
            <w:tcW w:w="970" w:type="dxa"/>
            <w:tcBorders>
              <w:top w:val="nil"/>
              <w:left w:val="nil"/>
              <w:bottom w:val="nil"/>
              <w:right w:val="nil"/>
            </w:tcBorders>
            <w:shd w:val="clear" w:color="auto" w:fill="auto"/>
            <w:vAlign w:val="center"/>
          </w:tcPr>
          <w:p w14:paraId="11C77143">
            <w:pPr>
              <w:rPr>
                <w:rFonts w:hint="eastAsia" w:ascii="宋体" w:hAnsi="宋体" w:eastAsia="宋体" w:cs="宋体"/>
                <w:i w:val="0"/>
                <w:iCs w:val="0"/>
                <w:color w:val="000000"/>
                <w:sz w:val="18"/>
                <w:szCs w:val="18"/>
                <w:u w:val="none"/>
              </w:rPr>
            </w:pPr>
          </w:p>
        </w:tc>
        <w:tc>
          <w:tcPr>
            <w:tcW w:w="1208" w:type="dxa"/>
            <w:tcBorders>
              <w:top w:val="nil"/>
              <w:left w:val="nil"/>
              <w:bottom w:val="nil"/>
              <w:right w:val="nil"/>
            </w:tcBorders>
            <w:shd w:val="clear" w:color="auto" w:fill="auto"/>
            <w:vAlign w:val="center"/>
          </w:tcPr>
          <w:p w14:paraId="49B9275C">
            <w:pPr>
              <w:rPr>
                <w:rFonts w:hint="eastAsia" w:ascii="宋体" w:hAnsi="宋体" w:eastAsia="宋体" w:cs="宋体"/>
                <w:i w:val="0"/>
                <w:iCs w:val="0"/>
                <w:color w:val="000000"/>
                <w:sz w:val="18"/>
                <w:szCs w:val="18"/>
                <w:u w:val="none"/>
              </w:rPr>
            </w:pPr>
          </w:p>
        </w:tc>
        <w:tc>
          <w:tcPr>
            <w:tcW w:w="351" w:type="dxa"/>
            <w:tcBorders>
              <w:top w:val="nil"/>
              <w:left w:val="nil"/>
              <w:bottom w:val="nil"/>
              <w:right w:val="nil"/>
            </w:tcBorders>
            <w:shd w:val="clear" w:color="auto" w:fill="auto"/>
            <w:vAlign w:val="center"/>
          </w:tcPr>
          <w:p w14:paraId="17EAC507">
            <w:pPr>
              <w:rPr>
                <w:rFonts w:hint="eastAsia" w:ascii="宋体" w:hAnsi="宋体" w:eastAsia="宋体" w:cs="宋体"/>
                <w:i w:val="0"/>
                <w:iCs w:val="0"/>
                <w:color w:val="000000"/>
                <w:sz w:val="18"/>
                <w:szCs w:val="18"/>
                <w:u w:val="none"/>
              </w:rPr>
            </w:pPr>
          </w:p>
        </w:tc>
        <w:tc>
          <w:tcPr>
            <w:tcW w:w="880" w:type="dxa"/>
            <w:tcBorders>
              <w:top w:val="nil"/>
              <w:left w:val="nil"/>
              <w:bottom w:val="nil"/>
              <w:right w:val="nil"/>
            </w:tcBorders>
            <w:shd w:val="clear" w:color="auto" w:fill="auto"/>
            <w:vAlign w:val="center"/>
          </w:tcPr>
          <w:p w14:paraId="7E3EAA71">
            <w:pPr>
              <w:rPr>
                <w:rFonts w:hint="eastAsia" w:ascii="宋体" w:hAnsi="宋体" w:eastAsia="宋体" w:cs="宋体"/>
                <w:i w:val="0"/>
                <w:iCs w:val="0"/>
                <w:color w:val="000000"/>
                <w:sz w:val="18"/>
                <w:szCs w:val="18"/>
                <w:u w:val="none"/>
              </w:rPr>
            </w:pPr>
          </w:p>
        </w:tc>
        <w:tc>
          <w:tcPr>
            <w:tcW w:w="353" w:type="dxa"/>
            <w:tcBorders>
              <w:top w:val="nil"/>
              <w:left w:val="nil"/>
              <w:bottom w:val="nil"/>
              <w:right w:val="nil"/>
            </w:tcBorders>
            <w:shd w:val="clear" w:color="auto" w:fill="auto"/>
            <w:vAlign w:val="center"/>
          </w:tcPr>
          <w:p w14:paraId="551DA437">
            <w:pPr>
              <w:rPr>
                <w:rFonts w:hint="eastAsia" w:ascii="宋体" w:hAnsi="宋体" w:eastAsia="宋体" w:cs="宋体"/>
                <w:i w:val="0"/>
                <w:iCs w:val="0"/>
                <w:color w:val="000000"/>
                <w:sz w:val="18"/>
                <w:szCs w:val="18"/>
                <w:u w:val="none"/>
              </w:rPr>
            </w:pPr>
          </w:p>
        </w:tc>
        <w:tc>
          <w:tcPr>
            <w:tcW w:w="750" w:type="dxa"/>
            <w:tcBorders>
              <w:top w:val="nil"/>
              <w:left w:val="nil"/>
              <w:bottom w:val="nil"/>
              <w:right w:val="nil"/>
            </w:tcBorders>
            <w:shd w:val="clear" w:color="auto" w:fill="auto"/>
            <w:vAlign w:val="center"/>
          </w:tcPr>
          <w:p w14:paraId="2A362316">
            <w:pPr>
              <w:rPr>
                <w:rFonts w:hint="eastAsia" w:ascii="宋体" w:hAnsi="宋体" w:eastAsia="宋体" w:cs="宋体"/>
                <w:i w:val="0"/>
                <w:iCs w:val="0"/>
                <w:color w:val="000000"/>
                <w:sz w:val="18"/>
                <w:szCs w:val="18"/>
                <w:u w:val="none"/>
              </w:rPr>
            </w:pPr>
          </w:p>
        </w:tc>
        <w:tc>
          <w:tcPr>
            <w:tcW w:w="431" w:type="dxa"/>
            <w:tcBorders>
              <w:top w:val="nil"/>
              <w:left w:val="nil"/>
              <w:bottom w:val="nil"/>
              <w:right w:val="nil"/>
            </w:tcBorders>
            <w:shd w:val="clear" w:color="auto" w:fill="auto"/>
            <w:vAlign w:val="center"/>
          </w:tcPr>
          <w:p w14:paraId="11EBF767">
            <w:pPr>
              <w:rPr>
                <w:rFonts w:hint="eastAsia" w:ascii="宋体" w:hAnsi="宋体" w:eastAsia="宋体" w:cs="宋体"/>
                <w:i w:val="0"/>
                <w:iCs w:val="0"/>
                <w:color w:val="000000"/>
                <w:sz w:val="18"/>
                <w:szCs w:val="18"/>
                <w:u w:val="none"/>
              </w:rPr>
            </w:pPr>
          </w:p>
        </w:tc>
        <w:tc>
          <w:tcPr>
            <w:tcW w:w="431" w:type="dxa"/>
            <w:tcBorders>
              <w:top w:val="nil"/>
              <w:left w:val="nil"/>
              <w:bottom w:val="nil"/>
              <w:right w:val="nil"/>
            </w:tcBorders>
            <w:shd w:val="clear" w:color="auto" w:fill="auto"/>
            <w:vAlign w:val="center"/>
          </w:tcPr>
          <w:p w14:paraId="2FE0145F">
            <w:pPr>
              <w:rPr>
                <w:rFonts w:hint="eastAsia" w:ascii="宋体" w:hAnsi="宋体" w:eastAsia="宋体" w:cs="宋体"/>
                <w:i w:val="0"/>
                <w:iCs w:val="0"/>
                <w:color w:val="000000"/>
                <w:sz w:val="18"/>
                <w:szCs w:val="18"/>
                <w:u w:val="none"/>
              </w:rPr>
            </w:pPr>
          </w:p>
        </w:tc>
        <w:tc>
          <w:tcPr>
            <w:tcW w:w="1384" w:type="dxa"/>
            <w:tcBorders>
              <w:top w:val="nil"/>
              <w:left w:val="nil"/>
              <w:bottom w:val="nil"/>
              <w:right w:val="nil"/>
            </w:tcBorders>
            <w:shd w:val="clear" w:color="auto" w:fill="auto"/>
            <w:vAlign w:val="center"/>
          </w:tcPr>
          <w:p w14:paraId="4DF52D66">
            <w:pPr>
              <w:rPr>
                <w:rFonts w:hint="eastAsia" w:ascii="宋体" w:hAnsi="宋体" w:eastAsia="宋体" w:cs="宋体"/>
                <w:i w:val="0"/>
                <w:iCs w:val="0"/>
                <w:color w:val="000000"/>
                <w:sz w:val="18"/>
                <w:szCs w:val="18"/>
                <w:u w:val="none"/>
              </w:rPr>
            </w:pPr>
          </w:p>
        </w:tc>
      </w:tr>
    </w:tbl>
    <w:p w14:paraId="0897E526">
      <w:pPr>
        <w:rPr>
          <w:rFonts w:eastAsia="仿宋_GB2312"/>
          <w:sz w:val="32"/>
          <w:szCs w:val="24"/>
        </w:rPr>
      </w:pPr>
    </w:p>
    <w:p w14:paraId="17BC6CCE">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70FCBC15">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42837443">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744E6B48">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7836383E">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647E5B75">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43AC1BEA">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19F0F32B">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5DC14033">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5EF9B8AD">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43941C57">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4846BE21">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5371188E">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2533507A">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4E94745D">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2FF1B651">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19AC33E1">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597D68AE">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602BFF00">
      <w:pPr>
        <w:spacing w:line="600" w:lineRule="exact"/>
        <w:jc w:val="left"/>
        <w:outlineLvl w:val="0"/>
        <w:rPr>
          <w:rFonts w:hint="eastAsia" w:ascii="方正小标宋简体" w:hAnsi="方正小标宋简体" w:eastAsia="方正小标宋简体" w:cs="方正小标宋简体"/>
          <w:color w:val="auto"/>
          <w:kern w:val="2"/>
          <w:sz w:val="44"/>
          <w:szCs w:val="44"/>
          <w:lang w:val="en-US" w:eastAsia="zh-CN" w:bidi="ar-SA"/>
        </w:rPr>
      </w:pPr>
      <w:r>
        <w:rPr>
          <w:rFonts w:hint="eastAsia" w:ascii="黑体" w:hAnsi="黑体" w:eastAsia="黑体" w:cs="黑体"/>
          <w:color w:val="000000"/>
          <w:sz w:val="32"/>
          <w:szCs w:val="32"/>
          <w:lang w:val="en-US" w:eastAsia="zh-CN"/>
        </w:rPr>
        <w:t>附件4</w:t>
      </w:r>
    </w:p>
    <w:p w14:paraId="705B6A4F">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茂县供销合作社联合社</w:t>
      </w:r>
    </w:p>
    <w:p w14:paraId="67DC8D8B">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2023年茂县数字农业服务平台扩建项目</w:t>
      </w:r>
    </w:p>
    <w:p w14:paraId="2797B309">
      <w:pPr>
        <w:widowControl w:val="0"/>
        <w:spacing w:line="578" w:lineRule="exact"/>
        <w:jc w:val="center"/>
        <w:rPr>
          <w:rFonts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绩效评价报告</w:t>
      </w:r>
    </w:p>
    <w:p w14:paraId="739C6520">
      <w:pPr>
        <w:widowControl w:val="0"/>
        <w:spacing w:line="578" w:lineRule="exact"/>
        <w:ind w:firstLine="640"/>
        <w:jc w:val="center"/>
        <w:rPr>
          <w:rFonts w:ascii="宋体" w:hAnsi="宋体" w:eastAsia="宋体" w:cs="Times New Roman"/>
          <w:color w:val="auto"/>
          <w:kern w:val="2"/>
          <w:sz w:val="32"/>
          <w:szCs w:val="32"/>
          <w:lang w:val="zh-CN" w:eastAsia="zh-CN" w:bidi="ar-SA"/>
        </w:rPr>
      </w:pPr>
    </w:p>
    <w:p w14:paraId="4C4934F6">
      <w:pPr>
        <w:adjustRightInd w:val="0"/>
        <w:snapToGrid w:val="0"/>
        <w:spacing w:line="578" w:lineRule="exact"/>
        <w:ind w:firstLine="640" w:firstLineChars="20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5357E918">
      <w:pPr>
        <w:spacing w:line="56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（一）设立背景及基本情况</w:t>
      </w:r>
    </w:p>
    <w:p w14:paraId="617E50B6">
      <w:pPr>
        <w:spacing w:line="560" w:lineRule="exact"/>
        <w:ind w:firstLine="640" w:firstLineChars="200"/>
        <w:rPr>
          <w:rFonts w:hint="eastAsia" w:ascii="仿宋_GB2312" w:eastAsia="仿宋_GB2312" w:cs="Times New Roman"/>
          <w:kern w:val="2"/>
          <w:sz w:val="32"/>
          <w:szCs w:val="32"/>
          <w:u w:val="none"/>
          <w:lang w:eastAsia="zh-CN"/>
        </w:rPr>
      </w:pPr>
      <w:r>
        <w:rPr>
          <w:rFonts w:hint="eastAsia" w:ascii="仿宋_GB2312" w:eastAsia="仿宋_GB2312" w:cs="Times New Roman"/>
          <w:kern w:val="2"/>
          <w:sz w:val="32"/>
          <w:szCs w:val="32"/>
          <w:u w:val="none"/>
          <w:lang w:val="en-US" w:eastAsia="zh-CN"/>
        </w:rPr>
        <w:t>根据《阿坝州发展和改革委员会关于转下达浙江省对口支援阿坝州2023年第二批项目实施计划的通知》，我社编制</w:t>
      </w:r>
      <w:r>
        <w:rPr>
          <w:rFonts w:hint="eastAsia" w:ascii="仿宋_GB2312" w:eastAsia="仿宋_GB2312" w:cs="Times New Roman"/>
          <w:kern w:val="2"/>
          <w:sz w:val="32"/>
          <w:szCs w:val="32"/>
          <w:u w:val="none"/>
          <w:lang w:eastAsia="zh-CN"/>
        </w:rPr>
        <w:t>茂县数字农业服务平台扩建实施方案，该项目采取政府采购的方式实施。</w:t>
      </w:r>
      <w:r>
        <w:rPr>
          <w:rFonts w:hint="eastAsia" w:ascii="仿宋_GB2312" w:eastAsia="仿宋_GB2312" w:cs="Times New Roman"/>
          <w:kern w:val="2"/>
          <w:sz w:val="32"/>
          <w:szCs w:val="32"/>
          <w:u w:val="none"/>
        </w:rPr>
        <w:t>茂县数字农业服务平台扩建项目</w:t>
      </w:r>
      <w:r>
        <w:rPr>
          <w:rFonts w:hint="eastAsia" w:ascii="仿宋_GB2312" w:eastAsia="仿宋_GB2312" w:cs="Times New Roman"/>
          <w:kern w:val="2"/>
          <w:sz w:val="32"/>
          <w:szCs w:val="32"/>
          <w:u w:val="none"/>
          <w:lang w:val="en-US" w:eastAsia="zh-CN"/>
        </w:rPr>
        <w:t>于2022年12月向县对口支援和省内对口帮扶工作领导小组提交项目审定的请示</w:t>
      </w:r>
      <w:r>
        <w:rPr>
          <w:rFonts w:hint="eastAsia" w:ascii="仿宋_GB2312" w:eastAsia="仿宋_GB2312" w:cs="Times New Roman"/>
          <w:kern w:val="2"/>
          <w:sz w:val="32"/>
          <w:szCs w:val="32"/>
          <w:u w:val="none"/>
          <w:lang w:eastAsia="zh-CN"/>
        </w:rPr>
        <w:t>，通过《茂县对口支援和省内对口帮扶工作领导小组第六次会议》，</w:t>
      </w:r>
      <w:r>
        <w:rPr>
          <w:rFonts w:hint="eastAsia" w:ascii="仿宋_GB2312" w:eastAsia="仿宋_GB2312" w:cs="Times New Roman"/>
          <w:kern w:val="2"/>
          <w:sz w:val="32"/>
          <w:szCs w:val="32"/>
          <w:u w:val="none"/>
          <w:lang w:val="en-US" w:eastAsia="zh-CN"/>
        </w:rPr>
        <w:t>确定按方案实施</w:t>
      </w:r>
      <w:r>
        <w:rPr>
          <w:rFonts w:hint="eastAsia" w:ascii="仿宋_GB2312" w:eastAsia="仿宋_GB2312" w:cs="Times New Roman"/>
          <w:kern w:val="2"/>
          <w:sz w:val="32"/>
          <w:szCs w:val="32"/>
          <w:u w:val="none"/>
          <w:lang w:eastAsia="zh-CN"/>
        </w:rPr>
        <w:t>。</w:t>
      </w:r>
    </w:p>
    <w:p w14:paraId="06445D6E">
      <w:pPr>
        <w:ind w:firstLine="645"/>
        <w:rPr>
          <w:rFonts w:ascii="楷体_GB2312" w:hAnsi="宋体" w:eastAsia="楷体_GB2312"/>
          <w:b/>
          <w:sz w:val="32"/>
          <w:szCs w:val="32"/>
        </w:rPr>
      </w:pPr>
      <w:r>
        <w:rPr>
          <w:rFonts w:hint="eastAsia" w:ascii="楷体_GB2312" w:hAnsi="宋体" w:eastAsia="楷体_GB2312"/>
          <w:b/>
          <w:sz w:val="32"/>
          <w:szCs w:val="32"/>
          <w:lang w:val="zh-CN"/>
        </w:rPr>
        <w:t>（二）</w:t>
      </w:r>
      <w:r>
        <w:rPr>
          <w:rFonts w:ascii="楷体_GB2312" w:hAnsi="宋体" w:eastAsia="楷体_GB2312"/>
          <w:b/>
          <w:sz w:val="32"/>
          <w:szCs w:val="32"/>
        </w:rPr>
        <w:t>实施目的及支持方向</w:t>
      </w:r>
    </w:p>
    <w:p w14:paraId="2B4C9BEE">
      <w:pPr>
        <w:ind w:firstLine="645"/>
        <w:rPr>
          <w:rFonts w:hint="eastAsia" w:ascii="仿宋_GB2312" w:hAnsi="Times New Roman" w:eastAsia="仿宋_GB2312" w:cs="仿宋_GB2312"/>
          <w:sz w:val="32"/>
          <w:szCs w:val="32"/>
          <w:lang w:val="zh-CN" w:eastAsia="zh-CN"/>
        </w:rPr>
      </w:pPr>
      <w:r>
        <w:rPr>
          <w:rFonts w:hint="eastAsia" w:ascii="仿宋_GB2312" w:eastAsia="仿宋_GB2312"/>
          <w:sz w:val="32"/>
          <w:szCs w:val="32"/>
        </w:rPr>
        <w:t>按照《数字乡村发展战略纲要》的有关要求，积极推进乡村数字化建设，以数字化手段为乡村振兴和现代农业发展赋能</w:t>
      </w:r>
      <w:r>
        <w:rPr>
          <w:rFonts w:hint="eastAsia" w:ascii="仿宋" w:eastAsia="仿宋" w:cs="仿宋"/>
          <w:sz w:val="32"/>
          <w:szCs w:val="32"/>
        </w:rPr>
        <w:t>。</w:t>
      </w:r>
      <w:r>
        <w:rPr>
          <w:rFonts w:hint="eastAsia" w:ascii="仿宋_GB2312" w:eastAsia="仿宋_GB2312" w:cs="Times New Roman"/>
          <w:kern w:val="2"/>
          <w:sz w:val="32"/>
          <w:szCs w:val="32"/>
          <w:u w:val="none"/>
        </w:rPr>
        <w:t>符合</w:t>
      </w:r>
      <w:r>
        <w:rPr>
          <w:rFonts w:hint="eastAsia" w:ascii="仿宋_GB2312" w:eastAsia="仿宋_GB2312" w:cs="Times New Roman"/>
          <w:kern w:val="2"/>
          <w:sz w:val="32"/>
          <w:szCs w:val="32"/>
          <w:u w:val="none"/>
          <w:lang w:val="en-US" w:eastAsia="zh-CN"/>
        </w:rPr>
        <w:t>对口支援资金</w:t>
      </w:r>
      <w:r>
        <w:rPr>
          <w:rFonts w:hint="eastAsia" w:ascii="仿宋_GB2312" w:eastAsia="仿宋_GB2312" w:cs="Times New Roman"/>
          <w:kern w:val="2"/>
          <w:sz w:val="32"/>
          <w:szCs w:val="32"/>
          <w:u w:val="none"/>
        </w:rPr>
        <w:t>支持方向。</w:t>
      </w:r>
    </w:p>
    <w:p w14:paraId="40DCF189">
      <w:pPr>
        <w:widowControl/>
        <w:adjustRightInd w:val="0"/>
        <w:snapToGrid w:val="0"/>
        <w:spacing w:line="578" w:lineRule="exact"/>
        <w:ind w:firstLine="643" w:firstLineChars="200"/>
        <w:contextualSpacing/>
        <w:jc w:val="left"/>
        <w:rPr>
          <w:rFonts w:ascii="楷体_GB2312" w:hAnsi="宋体" w:eastAsia="楷体_GB2312"/>
          <w:b/>
          <w:sz w:val="32"/>
          <w:szCs w:val="32"/>
        </w:rPr>
      </w:pPr>
      <w:r>
        <w:rPr>
          <w:rFonts w:hint="eastAsia" w:ascii="楷体_GB2312" w:hAnsi="宋体" w:eastAsia="楷体_GB2312"/>
          <w:b/>
          <w:sz w:val="32"/>
          <w:szCs w:val="32"/>
          <w:lang w:val="zh-CN"/>
        </w:rPr>
        <w:t>（三）</w:t>
      </w:r>
      <w:r>
        <w:rPr>
          <w:rFonts w:ascii="楷体_GB2312" w:hAnsi="宋体" w:eastAsia="楷体_GB2312"/>
          <w:b/>
          <w:sz w:val="32"/>
          <w:szCs w:val="32"/>
        </w:rPr>
        <w:t>预算安排及分配管理</w:t>
      </w:r>
    </w:p>
    <w:p w14:paraId="6BF8A178">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eastAsia="仿宋_GB2312" w:cs="Times New Roman"/>
          <w:kern w:val="2"/>
          <w:sz w:val="32"/>
          <w:szCs w:val="32"/>
          <w:u w:val="none"/>
        </w:rPr>
        <w:t>预算</w:t>
      </w:r>
      <w:r>
        <w:rPr>
          <w:rFonts w:hint="eastAsia" w:ascii="仿宋_GB2312" w:eastAsia="仿宋_GB2312" w:cs="Times New Roman"/>
          <w:kern w:val="2"/>
          <w:sz w:val="32"/>
          <w:szCs w:val="32"/>
          <w:u w:val="none"/>
          <w:lang w:val="en-US" w:eastAsia="zh-CN"/>
        </w:rPr>
        <w:t>安排资金150</w:t>
      </w:r>
      <w:r>
        <w:rPr>
          <w:rFonts w:hint="eastAsia" w:ascii="仿宋_GB2312" w:eastAsia="仿宋_GB2312" w:cs="Times New Roman"/>
          <w:kern w:val="2"/>
          <w:sz w:val="32"/>
          <w:szCs w:val="32"/>
          <w:u w:val="none"/>
        </w:rPr>
        <w:t>万元，</w:t>
      </w:r>
      <w:r>
        <w:rPr>
          <w:rFonts w:hint="eastAsia" w:ascii="仿宋_GB2312" w:eastAsia="仿宋_GB2312" w:cs="Times New Roman"/>
          <w:kern w:val="2"/>
          <w:sz w:val="32"/>
          <w:szCs w:val="32"/>
          <w:u w:val="none"/>
          <w:lang w:val="en-US" w:eastAsia="zh-CN"/>
        </w:rPr>
        <w:t>其中：</w:t>
      </w:r>
      <w:r>
        <w:rPr>
          <w:rFonts w:hint="eastAsia" w:ascii="仿宋_GB2312" w:eastAsia="仿宋_GB2312" w:cs="Times New Roman"/>
          <w:kern w:val="2"/>
          <w:sz w:val="32"/>
          <w:szCs w:val="32"/>
          <w:u w:val="none"/>
        </w:rPr>
        <w:t>基础设备设施</w:t>
      </w:r>
      <w:r>
        <w:rPr>
          <w:rFonts w:hint="eastAsia" w:ascii="仿宋_GB2312" w:eastAsia="仿宋_GB2312" w:cs="Times New Roman"/>
          <w:kern w:val="2"/>
          <w:sz w:val="32"/>
          <w:szCs w:val="32"/>
          <w:u w:val="none"/>
          <w:lang w:val="en-US" w:eastAsia="zh-CN"/>
        </w:rPr>
        <w:t>79.55</w:t>
      </w:r>
      <w:r>
        <w:rPr>
          <w:rFonts w:hint="eastAsia" w:ascii="仿宋_GB2312" w:eastAsia="仿宋_GB2312" w:cs="Times New Roman"/>
          <w:kern w:val="2"/>
          <w:sz w:val="32"/>
          <w:szCs w:val="32"/>
          <w:u w:val="none"/>
          <w:lang w:eastAsia="zh-CN"/>
        </w:rPr>
        <w:t>万元、茂县数字农业服务平台</w:t>
      </w:r>
      <w:r>
        <w:rPr>
          <w:rFonts w:hint="eastAsia" w:ascii="仿宋_GB2312" w:eastAsia="仿宋_GB2312" w:cs="Times New Roman"/>
          <w:kern w:val="2"/>
          <w:sz w:val="32"/>
          <w:szCs w:val="32"/>
          <w:u w:val="none"/>
          <w:lang w:val="en-US" w:eastAsia="zh-CN"/>
        </w:rPr>
        <w:t>61.85</w:t>
      </w:r>
      <w:r>
        <w:rPr>
          <w:rFonts w:hint="eastAsia" w:ascii="仿宋_GB2312" w:eastAsia="仿宋_GB2312" w:cs="Times New Roman"/>
          <w:kern w:val="2"/>
          <w:sz w:val="32"/>
          <w:szCs w:val="32"/>
          <w:u w:val="none"/>
          <w:lang w:eastAsia="zh-CN"/>
        </w:rPr>
        <w:t>万元、二类费用</w:t>
      </w:r>
      <w:r>
        <w:rPr>
          <w:rFonts w:hint="eastAsia" w:ascii="仿宋_GB2312" w:eastAsia="仿宋_GB2312" w:cs="Times New Roman"/>
          <w:kern w:val="2"/>
          <w:sz w:val="32"/>
          <w:szCs w:val="32"/>
          <w:u w:val="none"/>
          <w:lang w:val="en-US" w:eastAsia="zh-CN"/>
        </w:rPr>
        <w:t>8.6</w:t>
      </w:r>
      <w:r>
        <w:rPr>
          <w:rFonts w:hint="eastAsia" w:ascii="仿宋_GB2312" w:eastAsia="仿宋_GB2312" w:cs="Times New Roman"/>
          <w:kern w:val="2"/>
          <w:sz w:val="32"/>
          <w:szCs w:val="32"/>
          <w:u w:val="none"/>
          <w:lang w:eastAsia="zh-CN"/>
        </w:rPr>
        <w:t>万元。</w:t>
      </w:r>
    </w:p>
    <w:p w14:paraId="586F7FE4">
      <w:pPr>
        <w:adjustRightInd w:val="0"/>
        <w:snapToGrid w:val="0"/>
        <w:spacing w:line="578"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（四）项目绩效目标设置</w:t>
      </w:r>
    </w:p>
    <w:p w14:paraId="087E3485">
      <w:pPr>
        <w:adjustRightInd w:val="0"/>
        <w:snapToGrid w:val="0"/>
        <w:spacing w:line="578" w:lineRule="exact"/>
        <w:ind w:firstLine="640" w:firstLineChars="200"/>
        <w:rPr>
          <w:rFonts w:hint="default" w:ascii="仿宋_GB2312" w:hAnsi="仿宋_GB2312" w:eastAsia="仿宋_GB2312" w:cs="仿宋_GB2312"/>
          <w:kern w:val="0"/>
          <w:sz w:val="32"/>
          <w:szCs w:val="32"/>
          <w:shd w:val="clear" w:color="auto" w:fill="FFFFFF"/>
          <w:lang w:val="en-US"/>
        </w:rPr>
      </w:pPr>
      <w:r>
        <w:rPr>
          <w:rFonts w:hint="eastAsia" w:ascii="仿宋_GB2312" w:hAnsi="仿宋_GB2312" w:eastAsia="仿宋_GB2312" w:cs="仿宋_GB2312"/>
          <w:kern w:val="0"/>
          <w:sz w:val="32"/>
          <w:szCs w:val="32"/>
          <w:shd w:val="clear" w:color="auto" w:fill="FFFFFF"/>
          <w:lang w:val="zh-CN"/>
        </w:rPr>
        <w:t>茂县供销合作社联合社于</w:t>
      </w:r>
      <w:r>
        <w:rPr>
          <w:rFonts w:hint="eastAsia" w:ascii="仿宋_GB2312" w:hAnsi="仿宋_GB2312" w:eastAsia="仿宋_GB2312" w:cs="仿宋_GB2312"/>
          <w:kern w:val="2"/>
          <w:sz w:val="32"/>
          <w:szCs w:val="32"/>
          <w:u w:val="none"/>
          <w:lang w:val="en-US" w:eastAsia="zh-CN"/>
        </w:rPr>
        <w:t>2023年5月15日完成了事前绩效评估。绩效目标设置如下：</w:t>
      </w:r>
    </w:p>
    <w:p w14:paraId="32553DA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_GB2312" w:hAnsi="仿宋_GB2312" w:eastAsia="仿宋_GB2312" w:cs="仿宋_GB2312"/>
          <w:kern w:val="2"/>
          <w:sz w:val="32"/>
          <w:szCs w:val="32"/>
          <w:lang w:val="en-US" w:eastAsia="zh-CN"/>
        </w:rPr>
      </w:pPr>
    </w:p>
    <w:p w14:paraId="2F4E70C6">
      <w:pPr>
        <w:pStyle w:val="19"/>
        <w:rPr>
          <w:rFonts w:hint="eastAsia"/>
          <w:lang w:val="en-US" w:eastAsia="zh-CN"/>
        </w:rPr>
      </w:pPr>
    </w:p>
    <w:p w14:paraId="78D6CB0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茂县供销合作社联合社</w:t>
      </w:r>
    </w:p>
    <w:p w14:paraId="2EF7BB59">
      <w:pPr>
        <w:spacing w:line="560" w:lineRule="exact"/>
        <w:jc w:val="center"/>
        <w:rPr>
          <w:rFonts w:hint="eastAsia" w:ascii="仿宋_GB2312" w:eastAsia="仿宋_GB2312" w:cs="Times New Roman"/>
          <w:kern w:val="2"/>
          <w:sz w:val="32"/>
          <w:szCs w:val="32"/>
          <w:u w:val="none"/>
        </w:rPr>
      </w:pPr>
      <w:r>
        <w:rPr>
          <w:rFonts w:hint="eastAsia" w:ascii="仿宋_GB2312" w:eastAsia="仿宋_GB2312" w:cs="Times New Roman"/>
          <w:kern w:val="2"/>
          <w:sz w:val="32"/>
          <w:szCs w:val="32"/>
          <w:u w:val="none"/>
        </w:rPr>
        <w:t>茂县数字农业服务平台扩建项目绩效目标表</w:t>
      </w:r>
    </w:p>
    <w:tbl>
      <w:tblPr>
        <w:tblStyle w:val="23"/>
        <w:tblpPr w:leftFromText="180" w:rightFromText="180" w:vertAnchor="text" w:horzAnchor="page" w:tblpX="1905" w:tblpY="112"/>
        <w:tblW w:w="0" w:type="auto"/>
        <w:tblInd w:w="-4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5"/>
        <w:gridCol w:w="1305"/>
        <w:gridCol w:w="2730"/>
        <w:gridCol w:w="2700"/>
      </w:tblGrid>
      <w:tr w14:paraId="36E5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545" w:type="dxa"/>
            <w:tcBorders>
              <w:bottom w:val="single" w:color="auto" w:sz="4" w:space="0"/>
              <w:right w:val="single" w:color="auto" w:sz="4" w:space="0"/>
            </w:tcBorders>
            <w:noWrap w:val="0"/>
            <w:vAlign w:val="top"/>
          </w:tcPr>
          <w:p w14:paraId="4920253C">
            <w:pPr>
              <w:spacing w:line="560" w:lineRule="exact"/>
              <w:rPr>
                <w:rFonts w:hint="eastAsia" w:ascii="仿宋_GB2312" w:eastAsia="仿宋_GB2312" w:cs="Times New Roman"/>
                <w:kern w:val="2"/>
                <w:sz w:val="32"/>
                <w:szCs w:val="21"/>
                <w:u w:val="none"/>
              </w:rPr>
            </w:pPr>
            <w:r>
              <w:rPr>
                <w:rFonts w:hint="eastAsia" w:ascii="仿宋_GB2312" w:eastAsia="仿宋_GB2312" w:cs="Times New Roman"/>
                <w:kern w:val="2"/>
                <w:sz w:val="32"/>
                <w:szCs w:val="21"/>
                <w:u w:val="none"/>
              </w:rPr>
              <w:t>一级指标</w:t>
            </w:r>
          </w:p>
        </w:tc>
        <w:tc>
          <w:tcPr>
            <w:tcW w:w="1305" w:type="dxa"/>
            <w:tcBorders>
              <w:left w:val="single" w:color="auto" w:sz="4" w:space="0"/>
              <w:bottom w:val="single" w:color="auto" w:sz="4" w:space="0"/>
              <w:right w:val="single" w:color="auto" w:sz="4" w:space="0"/>
            </w:tcBorders>
            <w:noWrap w:val="0"/>
            <w:vAlign w:val="top"/>
          </w:tcPr>
          <w:p w14:paraId="55FCC7D1">
            <w:pPr>
              <w:spacing w:line="560" w:lineRule="exact"/>
              <w:rPr>
                <w:rFonts w:hint="eastAsia" w:ascii="仿宋_GB2312" w:eastAsia="仿宋_GB2312" w:cs="Times New Roman"/>
                <w:kern w:val="2"/>
                <w:sz w:val="32"/>
                <w:szCs w:val="21"/>
                <w:u w:val="none"/>
              </w:rPr>
            </w:pPr>
            <w:r>
              <w:rPr>
                <w:rFonts w:hint="eastAsia" w:ascii="仿宋_GB2312" w:eastAsia="仿宋_GB2312" w:cs="Times New Roman"/>
                <w:kern w:val="2"/>
                <w:sz w:val="32"/>
                <w:szCs w:val="21"/>
                <w:u w:val="none"/>
              </w:rPr>
              <w:t>二级指标</w:t>
            </w:r>
          </w:p>
        </w:tc>
        <w:tc>
          <w:tcPr>
            <w:tcW w:w="2730" w:type="dxa"/>
            <w:tcBorders>
              <w:left w:val="single" w:color="auto" w:sz="4" w:space="0"/>
              <w:bottom w:val="single" w:color="auto" w:sz="4" w:space="0"/>
              <w:right w:val="single" w:color="auto" w:sz="4" w:space="0"/>
            </w:tcBorders>
            <w:noWrap w:val="0"/>
            <w:vAlign w:val="top"/>
          </w:tcPr>
          <w:p w14:paraId="5580ECE4">
            <w:pPr>
              <w:spacing w:line="560" w:lineRule="exact"/>
              <w:jc w:val="center"/>
              <w:rPr>
                <w:rFonts w:hint="eastAsia" w:ascii="仿宋_GB2312" w:eastAsia="仿宋_GB2312" w:cs="Times New Roman"/>
                <w:kern w:val="2"/>
                <w:sz w:val="32"/>
                <w:szCs w:val="21"/>
                <w:u w:val="none"/>
              </w:rPr>
            </w:pPr>
            <w:r>
              <w:rPr>
                <w:rFonts w:hint="eastAsia" w:ascii="仿宋_GB2312" w:eastAsia="仿宋_GB2312" w:cs="Times New Roman"/>
                <w:kern w:val="2"/>
                <w:sz w:val="32"/>
                <w:szCs w:val="21"/>
                <w:u w:val="none"/>
              </w:rPr>
              <w:t>三级指标</w:t>
            </w:r>
          </w:p>
        </w:tc>
        <w:tc>
          <w:tcPr>
            <w:tcW w:w="2700" w:type="dxa"/>
            <w:tcBorders>
              <w:left w:val="single" w:color="auto" w:sz="4" w:space="0"/>
              <w:bottom w:val="single" w:color="auto" w:sz="4" w:space="0"/>
            </w:tcBorders>
            <w:noWrap w:val="0"/>
            <w:vAlign w:val="top"/>
          </w:tcPr>
          <w:p w14:paraId="2CA068C2">
            <w:pPr>
              <w:spacing w:line="560" w:lineRule="exact"/>
              <w:jc w:val="center"/>
              <w:rPr>
                <w:rFonts w:hint="eastAsia" w:ascii="仿宋_GB2312" w:eastAsia="仿宋_GB2312" w:cs="Times New Roman"/>
                <w:kern w:val="2"/>
                <w:sz w:val="32"/>
                <w:szCs w:val="21"/>
                <w:u w:val="none"/>
              </w:rPr>
            </w:pPr>
            <w:r>
              <w:rPr>
                <w:rFonts w:hint="eastAsia" w:ascii="仿宋_GB2312" w:eastAsia="仿宋_GB2312" w:cs="Times New Roman"/>
                <w:kern w:val="2"/>
                <w:sz w:val="32"/>
                <w:szCs w:val="21"/>
                <w:u w:val="none"/>
              </w:rPr>
              <w:t>指标值</w:t>
            </w:r>
          </w:p>
        </w:tc>
      </w:tr>
      <w:tr w14:paraId="7561E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vMerge w:val="restart"/>
            <w:tcBorders>
              <w:top w:val="single" w:color="auto" w:sz="4" w:space="0"/>
              <w:right w:val="single" w:color="auto" w:sz="4" w:space="0"/>
            </w:tcBorders>
            <w:noWrap w:val="0"/>
            <w:vAlign w:val="top"/>
          </w:tcPr>
          <w:p w14:paraId="4E41F7F4">
            <w:pPr>
              <w:spacing w:line="560" w:lineRule="exact"/>
              <w:rPr>
                <w:rFonts w:hint="eastAsia" w:ascii="宋体" w:hAnsi="宋体" w:eastAsia="宋体" w:cs="宋体"/>
                <w:i w:val="0"/>
                <w:iCs w:val="0"/>
                <w:color w:val="000000"/>
                <w:kern w:val="0"/>
                <w:sz w:val="24"/>
                <w:szCs w:val="24"/>
                <w:u w:val="none"/>
                <w:lang w:val="en-US" w:eastAsia="zh-CN" w:bidi="ar"/>
              </w:rPr>
            </w:pPr>
          </w:p>
          <w:p w14:paraId="34D2BB50">
            <w:pPr>
              <w:spacing w:line="560" w:lineRule="exact"/>
              <w:rPr>
                <w:rFonts w:hint="eastAsia" w:ascii="宋体" w:hAnsi="宋体" w:eastAsia="宋体" w:cs="宋体"/>
                <w:i w:val="0"/>
                <w:iCs w:val="0"/>
                <w:color w:val="000000"/>
                <w:kern w:val="0"/>
                <w:sz w:val="24"/>
                <w:szCs w:val="24"/>
                <w:u w:val="none"/>
                <w:lang w:val="en-US" w:eastAsia="zh-CN" w:bidi="ar"/>
              </w:rPr>
            </w:pPr>
          </w:p>
          <w:p w14:paraId="553C0BA7">
            <w:pPr>
              <w:spacing w:line="560" w:lineRule="exact"/>
              <w:rPr>
                <w:rFonts w:hint="eastAsia" w:ascii="宋体" w:hAnsi="宋体" w:eastAsia="宋体" w:cs="宋体"/>
                <w:i w:val="0"/>
                <w:iCs w:val="0"/>
                <w:color w:val="000000"/>
                <w:kern w:val="0"/>
                <w:sz w:val="24"/>
                <w:szCs w:val="24"/>
                <w:u w:val="none"/>
                <w:lang w:val="en-US" w:eastAsia="zh-CN" w:bidi="ar"/>
              </w:rPr>
            </w:pPr>
          </w:p>
          <w:p w14:paraId="44979BFC">
            <w:pPr>
              <w:spacing w:line="560" w:lineRule="exact"/>
              <w:rPr>
                <w:rFonts w:hint="eastAsia" w:ascii="宋体" w:hAnsi="宋体" w:eastAsia="宋体" w:cs="宋体"/>
                <w:i w:val="0"/>
                <w:iCs w:val="0"/>
                <w:color w:val="000000"/>
                <w:kern w:val="0"/>
                <w:sz w:val="24"/>
                <w:szCs w:val="24"/>
                <w:u w:val="none"/>
                <w:lang w:val="en-US" w:eastAsia="zh-CN" w:bidi="ar"/>
              </w:rPr>
            </w:pPr>
          </w:p>
          <w:p w14:paraId="47754423">
            <w:pPr>
              <w:spacing w:line="560" w:lineRule="exact"/>
              <w:rPr>
                <w:rFonts w:hint="eastAsia" w:ascii="宋体" w:hAnsi="宋体" w:eastAsia="宋体" w:cs="宋体"/>
                <w:i w:val="0"/>
                <w:iCs w:val="0"/>
                <w:color w:val="000000"/>
                <w:kern w:val="0"/>
                <w:sz w:val="24"/>
                <w:szCs w:val="24"/>
                <w:u w:val="none"/>
                <w:lang w:val="en-US" w:eastAsia="zh-CN" w:bidi="ar"/>
              </w:rPr>
            </w:pPr>
          </w:p>
          <w:p w14:paraId="67BA93DF">
            <w:pPr>
              <w:spacing w:line="560" w:lineRule="exact"/>
              <w:rPr>
                <w:rFonts w:hint="eastAsia" w:ascii="宋体" w:hAnsi="宋体" w:eastAsia="宋体" w:cs="宋体"/>
                <w:i w:val="0"/>
                <w:iCs w:val="0"/>
                <w:color w:val="000000"/>
                <w:kern w:val="0"/>
                <w:sz w:val="24"/>
                <w:szCs w:val="24"/>
                <w:u w:val="none"/>
                <w:lang w:val="en-US" w:eastAsia="zh-CN" w:bidi="ar"/>
              </w:rPr>
            </w:pPr>
          </w:p>
          <w:p w14:paraId="7CD9AF3F">
            <w:pPr>
              <w:spacing w:line="560" w:lineRule="exact"/>
              <w:rPr>
                <w:rFonts w:hint="eastAsia" w:ascii="宋体" w:hAnsi="宋体" w:eastAsia="宋体" w:cs="宋体"/>
                <w:i w:val="0"/>
                <w:iCs w:val="0"/>
                <w:color w:val="000000"/>
                <w:kern w:val="0"/>
                <w:sz w:val="24"/>
                <w:szCs w:val="24"/>
                <w:u w:val="none"/>
                <w:lang w:val="en-US" w:eastAsia="zh-CN" w:bidi="ar"/>
              </w:rPr>
            </w:pPr>
          </w:p>
          <w:p w14:paraId="516F5974">
            <w:pPr>
              <w:spacing w:line="560" w:lineRule="exact"/>
              <w:rPr>
                <w:rFonts w:hint="eastAsia" w:ascii="宋体" w:hAnsi="宋体" w:eastAsia="宋体" w:cs="宋体"/>
                <w:i w:val="0"/>
                <w:iCs w:val="0"/>
                <w:color w:val="000000"/>
                <w:kern w:val="0"/>
                <w:sz w:val="24"/>
                <w:szCs w:val="24"/>
                <w:u w:val="none"/>
                <w:lang w:val="en-US" w:eastAsia="zh-CN" w:bidi="ar"/>
              </w:rPr>
            </w:pPr>
          </w:p>
          <w:p w14:paraId="24B7F440">
            <w:pPr>
              <w:spacing w:line="560" w:lineRule="exact"/>
              <w:rPr>
                <w:rFonts w:hint="eastAsia" w:ascii="宋体" w:hAnsi="宋体" w:eastAsia="宋体" w:cs="宋体"/>
                <w:i w:val="0"/>
                <w:iCs w:val="0"/>
                <w:color w:val="000000"/>
                <w:kern w:val="0"/>
                <w:sz w:val="24"/>
                <w:szCs w:val="24"/>
                <w:u w:val="none"/>
                <w:lang w:val="en-US" w:eastAsia="zh-CN" w:bidi="ar"/>
              </w:rPr>
            </w:pPr>
          </w:p>
          <w:p w14:paraId="2AAFB488">
            <w:pPr>
              <w:spacing w:line="560" w:lineRule="exact"/>
              <w:rPr>
                <w:rFonts w:hint="eastAsia" w:ascii="宋体" w:hAnsi="宋体" w:eastAsia="宋体" w:cs="宋体"/>
                <w:i w:val="0"/>
                <w:iCs w:val="0"/>
                <w:color w:val="000000"/>
                <w:kern w:val="0"/>
                <w:sz w:val="24"/>
                <w:szCs w:val="24"/>
                <w:u w:val="none"/>
                <w:lang w:val="en-US" w:eastAsia="zh-CN" w:bidi="ar"/>
              </w:rPr>
            </w:pPr>
          </w:p>
          <w:p w14:paraId="26F11651">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产出指标</w:t>
            </w:r>
          </w:p>
        </w:tc>
        <w:tc>
          <w:tcPr>
            <w:tcW w:w="1305" w:type="dxa"/>
            <w:vMerge w:val="restart"/>
            <w:tcBorders>
              <w:top w:val="single" w:color="auto" w:sz="4" w:space="0"/>
              <w:left w:val="single" w:color="auto" w:sz="4" w:space="0"/>
              <w:right w:val="single" w:color="auto" w:sz="4" w:space="0"/>
            </w:tcBorders>
            <w:noWrap w:val="0"/>
            <w:vAlign w:val="top"/>
          </w:tcPr>
          <w:p w14:paraId="1308D294">
            <w:pPr>
              <w:spacing w:line="560" w:lineRule="exact"/>
              <w:rPr>
                <w:rFonts w:hint="eastAsia" w:ascii="宋体" w:hAnsi="宋体" w:eastAsia="宋体" w:cs="宋体"/>
                <w:i w:val="0"/>
                <w:iCs w:val="0"/>
                <w:color w:val="000000"/>
                <w:kern w:val="0"/>
                <w:sz w:val="24"/>
                <w:szCs w:val="24"/>
                <w:u w:val="none"/>
                <w:lang w:val="en-US" w:eastAsia="zh-CN" w:bidi="ar"/>
              </w:rPr>
            </w:pPr>
          </w:p>
          <w:p w14:paraId="12695603">
            <w:pPr>
              <w:spacing w:line="560" w:lineRule="exact"/>
              <w:rPr>
                <w:rFonts w:hint="eastAsia" w:ascii="宋体" w:hAnsi="宋体" w:eastAsia="宋体" w:cs="宋体"/>
                <w:i w:val="0"/>
                <w:iCs w:val="0"/>
                <w:color w:val="000000"/>
                <w:kern w:val="0"/>
                <w:sz w:val="24"/>
                <w:szCs w:val="24"/>
                <w:u w:val="none"/>
                <w:lang w:val="en-US" w:eastAsia="zh-CN" w:bidi="ar"/>
              </w:rPr>
            </w:pPr>
          </w:p>
          <w:p w14:paraId="3D68A98B">
            <w:pPr>
              <w:spacing w:line="560" w:lineRule="exact"/>
              <w:rPr>
                <w:rFonts w:hint="eastAsia" w:ascii="宋体" w:hAnsi="宋体" w:eastAsia="宋体" w:cs="宋体"/>
                <w:i w:val="0"/>
                <w:iCs w:val="0"/>
                <w:color w:val="000000"/>
                <w:kern w:val="0"/>
                <w:sz w:val="24"/>
                <w:szCs w:val="24"/>
                <w:u w:val="none"/>
                <w:lang w:val="en-US" w:eastAsia="zh-CN" w:bidi="ar"/>
              </w:rPr>
            </w:pPr>
          </w:p>
          <w:p w14:paraId="6AF5C18B">
            <w:pPr>
              <w:spacing w:line="560" w:lineRule="exact"/>
              <w:rPr>
                <w:rFonts w:hint="eastAsia" w:ascii="宋体" w:hAnsi="宋体" w:eastAsia="宋体" w:cs="宋体"/>
                <w:i w:val="0"/>
                <w:iCs w:val="0"/>
                <w:color w:val="000000"/>
                <w:kern w:val="0"/>
                <w:sz w:val="24"/>
                <w:szCs w:val="24"/>
                <w:u w:val="none"/>
                <w:lang w:val="en-US" w:eastAsia="zh-CN" w:bidi="ar"/>
              </w:rPr>
            </w:pPr>
          </w:p>
          <w:p w14:paraId="6131DC63">
            <w:pPr>
              <w:spacing w:line="560" w:lineRule="exact"/>
              <w:rPr>
                <w:rFonts w:hint="eastAsia" w:ascii="宋体" w:hAnsi="宋体" w:eastAsia="宋体" w:cs="宋体"/>
                <w:i w:val="0"/>
                <w:iCs w:val="0"/>
                <w:color w:val="000000"/>
                <w:kern w:val="0"/>
                <w:sz w:val="24"/>
                <w:szCs w:val="24"/>
                <w:u w:val="none"/>
                <w:lang w:val="en-US" w:eastAsia="zh-CN" w:bidi="ar"/>
              </w:rPr>
            </w:pPr>
          </w:p>
          <w:p w14:paraId="4EB8B99B">
            <w:pPr>
              <w:spacing w:line="560" w:lineRule="exact"/>
              <w:rPr>
                <w:rFonts w:hint="eastAsia" w:ascii="宋体" w:hAnsi="宋体" w:eastAsia="宋体" w:cs="宋体"/>
                <w:i w:val="0"/>
                <w:iCs w:val="0"/>
                <w:color w:val="000000"/>
                <w:kern w:val="0"/>
                <w:sz w:val="24"/>
                <w:szCs w:val="24"/>
                <w:u w:val="none"/>
                <w:lang w:val="en-US" w:eastAsia="zh-CN" w:bidi="ar"/>
              </w:rPr>
            </w:pPr>
          </w:p>
          <w:p w14:paraId="67A56B1C">
            <w:pPr>
              <w:spacing w:line="560" w:lineRule="exact"/>
              <w:rPr>
                <w:rFonts w:hint="eastAsia" w:ascii="宋体" w:hAnsi="宋体" w:eastAsia="宋体" w:cs="宋体"/>
                <w:i w:val="0"/>
                <w:iCs w:val="0"/>
                <w:color w:val="000000"/>
                <w:kern w:val="0"/>
                <w:sz w:val="24"/>
                <w:szCs w:val="24"/>
                <w:u w:val="none"/>
                <w:lang w:val="en-US" w:eastAsia="zh-CN" w:bidi="ar"/>
              </w:rPr>
            </w:pPr>
          </w:p>
          <w:p w14:paraId="01032C65">
            <w:pPr>
              <w:spacing w:line="560" w:lineRule="exact"/>
              <w:rPr>
                <w:rFonts w:hint="eastAsia" w:ascii="宋体" w:hAnsi="宋体" w:eastAsia="宋体" w:cs="宋体"/>
                <w:i w:val="0"/>
                <w:iCs w:val="0"/>
                <w:color w:val="000000"/>
                <w:kern w:val="0"/>
                <w:sz w:val="24"/>
                <w:szCs w:val="24"/>
                <w:u w:val="none"/>
                <w:lang w:val="en-US" w:eastAsia="zh-CN" w:bidi="ar"/>
              </w:rPr>
            </w:pPr>
          </w:p>
          <w:p w14:paraId="37D39F48">
            <w:pPr>
              <w:spacing w:line="560" w:lineRule="exact"/>
              <w:rPr>
                <w:rFonts w:hint="eastAsia" w:ascii="宋体" w:hAnsi="宋体" w:eastAsia="宋体" w:cs="宋体"/>
                <w:i w:val="0"/>
                <w:iCs w:val="0"/>
                <w:color w:val="000000"/>
                <w:kern w:val="0"/>
                <w:sz w:val="24"/>
                <w:szCs w:val="24"/>
                <w:u w:val="none"/>
                <w:lang w:val="en-US" w:eastAsia="zh-CN" w:bidi="ar"/>
              </w:rPr>
            </w:pPr>
          </w:p>
          <w:p w14:paraId="4F9D89CB">
            <w:pPr>
              <w:spacing w:line="560" w:lineRule="exact"/>
              <w:rPr>
                <w:rFonts w:hint="eastAsia" w:ascii="宋体" w:hAnsi="宋体" w:eastAsia="宋体" w:cs="宋体"/>
                <w:i w:val="0"/>
                <w:iCs w:val="0"/>
                <w:color w:val="000000"/>
                <w:kern w:val="0"/>
                <w:sz w:val="24"/>
                <w:szCs w:val="24"/>
                <w:u w:val="none"/>
                <w:lang w:val="en-US" w:eastAsia="zh-CN" w:bidi="ar"/>
              </w:rPr>
            </w:pPr>
          </w:p>
          <w:p w14:paraId="6BA3FF9D">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数量指标</w:t>
            </w:r>
          </w:p>
        </w:tc>
        <w:tc>
          <w:tcPr>
            <w:tcW w:w="2730" w:type="dxa"/>
            <w:tcBorders>
              <w:top w:val="single" w:color="auto" w:sz="4" w:space="0"/>
              <w:left w:val="single" w:color="auto" w:sz="4" w:space="0"/>
              <w:bottom w:val="single" w:color="auto" w:sz="4" w:space="0"/>
              <w:right w:val="single" w:color="auto" w:sz="4" w:space="0"/>
            </w:tcBorders>
            <w:noWrap w:val="0"/>
            <w:vAlign w:val="top"/>
          </w:tcPr>
          <w:p w14:paraId="35B2BAB5">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小型气象站</w:t>
            </w:r>
          </w:p>
        </w:tc>
        <w:tc>
          <w:tcPr>
            <w:tcW w:w="2700" w:type="dxa"/>
            <w:tcBorders>
              <w:top w:val="single" w:color="auto" w:sz="4" w:space="0"/>
              <w:left w:val="single" w:color="auto" w:sz="4" w:space="0"/>
              <w:bottom w:val="single" w:color="auto" w:sz="4" w:space="0"/>
            </w:tcBorders>
            <w:noWrap w:val="0"/>
            <w:vAlign w:val="top"/>
          </w:tcPr>
          <w:p w14:paraId="66D152D2">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14套</w:t>
            </w:r>
          </w:p>
        </w:tc>
      </w:tr>
      <w:tr w14:paraId="40EC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vMerge w:val="continue"/>
            <w:tcBorders>
              <w:right w:val="single" w:color="auto" w:sz="4" w:space="0"/>
            </w:tcBorders>
            <w:noWrap w:val="0"/>
            <w:vAlign w:val="top"/>
          </w:tcPr>
          <w:p w14:paraId="5F367A48">
            <w:pPr>
              <w:spacing w:line="560" w:lineRule="exact"/>
              <w:rPr>
                <w:rFonts w:hint="eastAsia" w:ascii="宋体" w:hAnsi="宋体" w:eastAsia="宋体" w:cs="宋体"/>
                <w:i w:val="0"/>
                <w:iCs w:val="0"/>
                <w:color w:val="000000"/>
                <w:kern w:val="0"/>
                <w:sz w:val="24"/>
                <w:szCs w:val="24"/>
                <w:u w:val="none"/>
                <w:lang w:val="en-US" w:eastAsia="zh-CN" w:bidi="ar"/>
              </w:rPr>
            </w:pPr>
          </w:p>
        </w:tc>
        <w:tc>
          <w:tcPr>
            <w:tcW w:w="1305" w:type="dxa"/>
            <w:vMerge w:val="continue"/>
            <w:tcBorders>
              <w:left w:val="single" w:color="auto" w:sz="4" w:space="0"/>
              <w:right w:val="single" w:color="auto" w:sz="4" w:space="0"/>
            </w:tcBorders>
            <w:noWrap w:val="0"/>
            <w:vAlign w:val="top"/>
          </w:tcPr>
          <w:p w14:paraId="13BF9A40">
            <w:pPr>
              <w:spacing w:line="560" w:lineRule="exact"/>
              <w:rPr>
                <w:rFonts w:hint="eastAsia" w:ascii="宋体" w:hAnsi="宋体" w:eastAsia="宋体" w:cs="宋体"/>
                <w:i w:val="0"/>
                <w:iCs w:val="0"/>
                <w:color w:val="000000"/>
                <w:kern w:val="0"/>
                <w:sz w:val="24"/>
                <w:szCs w:val="24"/>
                <w:u w:val="none"/>
                <w:lang w:val="en-US" w:eastAsia="zh-CN" w:bidi="ar"/>
              </w:rPr>
            </w:pPr>
          </w:p>
        </w:tc>
        <w:tc>
          <w:tcPr>
            <w:tcW w:w="2730" w:type="dxa"/>
            <w:tcBorders>
              <w:top w:val="single" w:color="auto" w:sz="4" w:space="0"/>
              <w:left w:val="single" w:color="auto" w:sz="4" w:space="0"/>
              <w:bottom w:val="single" w:color="auto" w:sz="4" w:space="0"/>
              <w:right w:val="single" w:color="auto" w:sz="4" w:space="0"/>
            </w:tcBorders>
            <w:noWrap w:val="0"/>
            <w:vAlign w:val="top"/>
          </w:tcPr>
          <w:p w14:paraId="4745D6BB">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土壤墒情监测站</w:t>
            </w:r>
          </w:p>
        </w:tc>
        <w:tc>
          <w:tcPr>
            <w:tcW w:w="2700" w:type="dxa"/>
            <w:tcBorders>
              <w:top w:val="single" w:color="auto" w:sz="4" w:space="0"/>
              <w:left w:val="single" w:color="auto" w:sz="4" w:space="0"/>
              <w:bottom w:val="single" w:color="auto" w:sz="4" w:space="0"/>
            </w:tcBorders>
            <w:noWrap w:val="0"/>
            <w:vAlign w:val="top"/>
          </w:tcPr>
          <w:p w14:paraId="0D509CD7">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14套</w:t>
            </w:r>
          </w:p>
        </w:tc>
      </w:tr>
      <w:tr w14:paraId="1D3B5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vMerge w:val="continue"/>
            <w:tcBorders>
              <w:right w:val="single" w:color="auto" w:sz="4" w:space="0"/>
            </w:tcBorders>
            <w:noWrap w:val="0"/>
            <w:vAlign w:val="top"/>
          </w:tcPr>
          <w:p w14:paraId="6F085B65">
            <w:pPr>
              <w:spacing w:line="560" w:lineRule="exact"/>
              <w:rPr>
                <w:rFonts w:hint="eastAsia" w:ascii="宋体" w:hAnsi="宋体" w:eastAsia="宋体" w:cs="宋体"/>
                <w:i w:val="0"/>
                <w:iCs w:val="0"/>
                <w:color w:val="000000"/>
                <w:kern w:val="0"/>
                <w:sz w:val="24"/>
                <w:szCs w:val="24"/>
                <w:u w:val="none"/>
                <w:lang w:val="en-US" w:eastAsia="zh-CN" w:bidi="ar"/>
              </w:rPr>
            </w:pPr>
          </w:p>
        </w:tc>
        <w:tc>
          <w:tcPr>
            <w:tcW w:w="1305" w:type="dxa"/>
            <w:vMerge w:val="continue"/>
            <w:tcBorders>
              <w:left w:val="single" w:color="auto" w:sz="4" w:space="0"/>
              <w:right w:val="single" w:color="auto" w:sz="4" w:space="0"/>
            </w:tcBorders>
            <w:noWrap w:val="0"/>
            <w:vAlign w:val="top"/>
          </w:tcPr>
          <w:p w14:paraId="2305D9C9">
            <w:pPr>
              <w:spacing w:line="560" w:lineRule="exact"/>
              <w:rPr>
                <w:rFonts w:hint="eastAsia" w:ascii="宋体" w:hAnsi="宋体" w:eastAsia="宋体" w:cs="宋体"/>
                <w:i w:val="0"/>
                <w:iCs w:val="0"/>
                <w:color w:val="000000"/>
                <w:kern w:val="0"/>
                <w:sz w:val="24"/>
                <w:szCs w:val="24"/>
                <w:u w:val="none"/>
                <w:lang w:val="en-US" w:eastAsia="zh-CN" w:bidi="ar"/>
              </w:rPr>
            </w:pPr>
          </w:p>
        </w:tc>
        <w:tc>
          <w:tcPr>
            <w:tcW w:w="2730" w:type="dxa"/>
            <w:tcBorders>
              <w:top w:val="single" w:color="auto" w:sz="4" w:space="0"/>
              <w:left w:val="single" w:color="auto" w:sz="4" w:space="0"/>
              <w:bottom w:val="single" w:color="auto" w:sz="4" w:space="0"/>
              <w:right w:val="single" w:color="auto" w:sz="4" w:space="0"/>
            </w:tcBorders>
            <w:noWrap w:val="0"/>
            <w:vAlign w:val="top"/>
          </w:tcPr>
          <w:p w14:paraId="655E3987">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远程昆虫性诱测报仪</w:t>
            </w:r>
          </w:p>
        </w:tc>
        <w:tc>
          <w:tcPr>
            <w:tcW w:w="2700" w:type="dxa"/>
            <w:tcBorders>
              <w:top w:val="single" w:color="auto" w:sz="4" w:space="0"/>
              <w:left w:val="single" w:color="auto" w:sz="4" w:space="0"/>
              <w:bottom w:val="single" w:color="auto" w:sz="4" w:space="0"/>
            </w:tcBorders>
            <w:noWrap w:val="0"/>
            <w:vAlign w:val="top"/>
          </w:tcPr>
          <w:p w14:paraId="3840A994">
            <w:pPr>
              <w:spacing w:line="560" w:lineRule="exact"/>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1套</w:t>
            </w:r>
          </w:p>
        </w:tc>
      </w:tr>
      <w:tr w14:paraId="462BF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vMerge w:val="continue"/>
            <w:tcBorders>
              <w:right w:val="single" w:color="auto" w:sz="4" w:space="0"/>
            </w:tcBorders>
            <w:noWrap w:val="0"/>
            <w:vAlign w:val="top"/>
          </w:tcPr>
          <w:p w14:paraId="433BA921">
            <w:pPr>
              <w:spacing w:line="560" w:lineRule="exact"/>
              <w:rPr>
                <w:rFonts w:hint="eastAsia" w:ascii="宋体" w:hAnsi="宋体" w:eastAsia="宋体" w:cs="宋体"/>
                <w:i w:val="0"/>
                <w:iCs w:val="0"/>
                <w:color w:val="000000"/>
                <w:kern w:val="0"/>
                <w:sz w:val="24"/>
                <w:szCs w:val="24"/>
                <w:u w:val="none"/>
                <w:lang w:val="en-US" w:eastAsia="zh-CN" w:bidi="ar"/>
              </w:rPr>
            </w:pPr>
          </w:p>
        </w:tc>
        <w:tc>
          <w:tcPr>
            <w:tcW w:w="1305" w:type="dxa"/>
            <w:vMerge w:val="continue"/>
            <w:tcBorders>
              <w:left w:val="single" w:color="auto" w:sz="4" w:space="0"/>
              <w:right w:val="single" w:color="auto" w:sz="4" w:space="0"/>
            </w:tcBorders>
            <w:noWrap w:val="0"/>
            <w:vAlign w:val="top"/>
          </w:tcPr>
          <w:p w14:paraId="50925C88">
            <w:pPr>
              <w:spacing w:line="560" w:lineRule="exact"/>
              <w:rPr>
                <w:rFonts w:hint="eastAsia" w:ascii="宋体" w:hAnsi="宋体" w:eastAsia="宋体" w:cs="宋体"/>
                <w:i w:val="0"/>
                <w:iCs w:val="0"/>
                <w:color w:val="000000"/>
                <w:kern w:val="0"/>
                <w:sz w:val="24"/>
                <w:szCs w:val="24"/>
                <w:u w:val="none"/>
                <w:lang w:val="en-US" w:eastAsia="zh-CN" w:bidi="ar"/>
              </w:rPr>
            </w:pPr>
          </w:p>
        </w:tc>
        <w:tc>
          <w:tcPr>
            <w:tcW w:w="2730" w:type="dxa"/>
            <w:tcBorders>
              <w:top w:val="single" w:color="auto" w:sz="4" w:space="0"/>
              <w:left w:val="single" w:color="auto" w:sz="4" w:space="0"/>
              <w:bottom w:val="single" w:color="auto" w:sz="4" w:space="0"/>
              <w:right w:val="single" w:color="auto" w:sz="4" w:space="0"/>
            </w:tcBorders>
            <w:noWrap w:val="0"/>
            <w:vAlign w:val="top"/>
          </w:tcPr>
          <w:p w14:paraId="2E3C2AA2">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太阳能熊猫风吸杀虫灯</w:t>
            </w:r>
          </w:p>
        </w:tc>
        <w:tc>
          <w:tcPr>
            <w:tcW w:w="2700" w:type="dxa"/>
            <w:tcBorders>
              <w:top w:val="single" w:color="auto" w:sz="4" w:space="0"/>
              <w:left w:val="single" w:color="auto" w:sz="4" w:space="0"/>
              <w:bottom w:val="single" w:color="auto" w:sz="4" w:space="0"/>
            </w:tcBorders>
            <w:noWrap w:val="0"/>
            <w:vAlign w:val="top"/>
          </w:tcPr>
          <w:p w14:paraId="3E57558D">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1套</w:t>
            </w:r>
          </w:p>
        </w:tc>
      </w:tr>
      <w:tr w14:paraId="4985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vMerge w:val="continue"/>
            <w:tcBorders>
              <w:right w:val="single" w:color="auto" w:sz="4" w:space="0"/>
            </w:tcBorders>
            <w:noWrap w:val="0"/>
            <w:vAlign w:val="top"/>
          </w:tcPr>
          <w:p w14:paraId="2AE0EC2A">
            <w:pPr>
              <w:spacing w:line="560" w:lineRule="exact"/>
              <w:rPr>
                <w:rFonts w:hint="eastAsia" w:ascii="宋体" w:hAnsi="宋体" w:eastAsia="宋体" w:cs="宋体"/>
                <w:i w:val="0"/>
                <w:iCs w:val="0"/>
                <w:color w:val="000000"/>
                <w:kern w:val="0"/>
                <w:sz w:val="24"/>
                <w:szCs w:val="24"/>
                <w:u w:val="none"/>
                <w:lang w:val="en-US" w:eastAsia="zh-CN" w:bidi="ar"/>
              </w:rPr>
            </w:pPr>
          </w:p>
        </w:tc>
        <w:tc>
          <w:tcPr>
            <w:tcW w:w="1305" w:type="dxa"/>
            <w:vMerge w:val="continue"/>
            <w:tcBorders>
              <w:left w:val="single" w:color="auto" w:sz="4" w:space="0"/>
              <w:right w:val="single" w:color="auto" w:sz="4" w:space="0"/>
            </w:tcBorders>
            <w:noWrap w:val="0"/>
            <w:vAlign w:val="top"/>
          </w:tcPr>
          <w:p w14:paraId="17DBDA8C">
            <w:pPr>
              <w:spacing w:line="560" w:lineRule="exact"/>
              <w:rPr>
                <w:rFonts w:hint="eastAsia" w:ascii="宋体" w:hAnsi="宋体" w:eastAsia="宋体" w:cs="宋体"/>
                <w:i w:val="0"/>
                <w:iCs w:val="0"/>
                <w:color w:val="000000"/>
                <w:kern w:val="0"/>
                <w:sz w:val="24"/>
                <w:szCs w:val="24"/>
                <w:u w:val="none"/>
                <w:lang w:val="en-US" w:eastAsia="zh-CN" w:bidi="ar"/>
              </w:rPr>
            </w:pPr>
          </w:p>
        </w:tc>
        <w:tc>
          <w:tcPr>
            <w:tcW w:w="2730" w:type="dxa"/>
            <w:tcBorders>
              <w:top w:val="single" w:color="auto" w:sz="4" w:space="0"/>
              <w:left w:val="single" w:color="auto" w:sz="4" w:space="0"/>
              <w:bottom w:val="single" w:color="auto" w:sz="4" w:space="0"/>
              <w:right w:val="single" w:color="auto" w:sz="4" w:space="0"/>
            </w:tcBorders>
            <w:noWrap w:val="0"/>
            <w:vAlign w:val="top"/>
          </w:tcPr>
          <w:p w14:paraId="3394237E">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区块链溯源模块</w:t>
            </w:r>
          </w:p>
        </w:tc>
        <w:tc>
          <w:tcPr>
            <w:tcW w:w="2700" w:type="dxa"/>
            <w:tcBorders>
              <w:top w:val="single" w:color="auto" w:sz="4" w:space="0"/>
              <w:left w:val="single" w:color="auto" w:sz="4" w:space="0"/>
              <w:bottom w:val="single" w:color="auto" w:sz="4" w:space="0"/>
            </w:tcBorders>
            <w:noWrap w:val="0"/>
            <w:vAlign w:val="top"/>
          </w:tcPr>
          <w:p w14:paraId="4C7A7F11">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1套</w:t>
            </w:r>
          </w:p>
        </w:tc>
      </w:tr>
      <w:tr w14:paraId="741C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vMerge w:val="continue"/>
            <w:tcBorders>
              <w:right w:val="single" w:color="auto" w:sz="4" w:space="0"/>
            </w:tcBorders>
            <w:noWrap w:val="0"/>
            <w:vAlign w:val="top"/>
          </w:tcPr>
          <w:p w14:paraId="140A2FE3">
            <w:pPr>
              <w:spacing w:line="560" w:lineRule="exact"/>
              <w:rPr>
                <w:rFonts w:hint="eastAsia" w:ascii="宋体" w:hAnsi="宋体" w:eastAsia="宋体" w:cs="宋体"/>
                <w:i w:val="0"/>
                <w:iCs w:val="0"/>
                <w:color w:val="000000"/>
                <w:kern w:val="0"/>
                <w:sz w:val="24"/>
                <w:szCs w:val="24"/>
                <w:u w:val="none"/>
                <w:lang w:val="en-US" w:eastAsia="zh-CN" w:bidi="ar"/>
              </w:rPr>
            </w:pPr>
          </w:p>
        </w:tc>
        <w:tc>
          <w:tcPr>
            <w:tcW w:w="1305" w:type="dxa"/>
            <w:vMerge w:val="continue"/>
            <w:tcBorders>
              <w:left w:val="single" w:color="auto" w:sz="4" w:space="0"/>
              <w:right w:val="single" w:color="auto" w:sz="4" w:space="0"/>
            </w:tcBorders>
            <w:noWrap w:val="0"/>
            <w:vAlign w:val="top"/>
          </w:tcPr>
          <w:p w14:paraId="72F80B26">
            <w:pPr>
              <w:spacing w:line="560" w:lineRule="exact"/>
              <w:rPr>
                <w:rFonts w:hint="eastAsia" w:ascii="宋体" w:hAnsi="宋体" w:eastAsia="宋体" w:cs="宋体"/>
                <w:i w:val="0"/>
                <w:iCs w:val="0"/>
                <w:color w:val="000000"/>
                <w:kern w:val="0"/>
                <w:sz w:val="24"/>
                <w:szCs w:val="24"/>
                <w:u w:val="none"/>
                <w:lang w:val="en-US" w:eastAsia="zh-CN" w:bidi="ar"/>
              </w:rPr>
            </w:pPr>
          </w:p>
        </w:tc>
        <w:tc>
          <w:tcPr>
            <w:tcW w:w="2730" w:type="dxa"/>
            <w:tcBorders>
              <w:top w:val="single" w:color="auto" w:sz="4" w:space="0"/>
              <w:left w:val="single" w:color="auto" w:sz="4" w:space="0"/>
              <w:bottom w:val="single" w:color="auto" w:sz="4" w:space="0"/>
              <w:right w:val="single" w:color="auto" w:sz="4" w:space="0"/>
            </w:tcBorders>
            <w:noWrap w:val="0"/>
            <w:vAlign w:val="top"/>
          </w:tcPr>
          <w:p w14:paraId="113E7FA5">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地块遥感数据模块</w:t>
            </w:r>
          </w:p>
        </w:tc>
        <w:tc>
          <w:tcPr>
            <w:tcW w:w="2700" w:type="dxa"/>
            <w:tcBorders>
              <w:top w:val="single" w:color="auto" w:sz="4" w:space="0"/>
              <w:left w:val="single" w:color="auto" w:sz="4" w:space="0"/>
              <w:bottom w:val="single" w:color="auto" w:sz="4" w:space="0"/>
            </w:tcBorders>
            <w:noWrap w:val="0"/>
            <w:vAlign w:val="top"/>
          </w:tcPr>
          <w:p w14:paraId="7DC73B5D">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1套</w:t>
            </w:r>
          </w:p>
        </w:tc>
      </w:tr>
      <w:tr w14:paraId="167B2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vMerge w:val="continue"/>
            <w:tcBorders>
              <w:right w:val="single" w:color="auto" w:sz="4" w:space="0"/>
            </w:tcBorders>
            <w:noWrap w:val="0"/>
            <w:vAlign w:val="top"/>
          </w:tcPr>
          <w:p w14:paraId="6FE2BF72">
            <w:pPr>
              <w:spacing w:line="560" w:lineRule="exact"/>
              <w:rPr>
                <w:rFonts w:hint="eastAsia" w:ascii="宋体" w:hAnsi="宋体" w:eastAsia="宋体" w:cs="宋体"/>
                <w:i w:val="0"/>
                <w:iCs w:val="0"/>
                <w:color w:val="000000"/>
                <w:kern w:val="0"/>
                <w:sz w:val="24"/>
                <w:szCs w:val="24"/>
                <w:u w:val="none"/>
                <w:lang w:val="en-US" w:eastAsia="zh-CN" w:bidi="ar"/>
              </w:rPr>
            </w:pPr>
          </w:p>
        </w:tc>
        <w:tc>
          <w:tcPr>
            <w:tcW w:w="1305" w:type="dxa"/>
            <w:vMerge w:val="continue"/>
            <w:tcBorders>
              <w:left w:val="single" w:color="auto" w:sz="4" w:space="0"/>
              <w:right w:val="single" w:color="auto" w:sz="4" w:space="0"/>
            </w:tcBorders>
            <w:noWrap w:val="0"/>
            <w:vAlign w:val="top"/>
          </w:tcPr>
          <w:p w14:paraId="57BE93E8">
            <w:pPr>
              <w:spacing w:line="560" w:lineRule="exact"/>
              <w:rPr>
                <w:rFonts w:hint="eastAsia" w:ascii="宋体" w:hAnsi="宋体" w:eastAsia="宋体" w:cs="宋体"/>
                <w:i w:val="0"/>
                <w:iCs w:val="0"/>
                <w:color w:val="000000"/>
                <w:kern w:val="0"/>
                <w:sz w:val="24"/>
                <w:szCs w:val="24"/>
                <w:u w:val="none"/>
                <w:lang w:val="en-US" w:eastAsia="zh-CN" w:bidi="ar"/>
              </w:rPr>
            </w:pPr>
          </w:p>
        </w:tc>
        <w:tc>
          <w:tcPr>
            <w:tcW w:w="2730" w:type="dxa"/>
            <w:tcBorders>
              <w:top w:val="single" w:color="auto" w:sz="4" w:space="0"/>
              <w:left w:val="single" w:color="auto" w:sz="4" w:space="0"/>
              <w:bottom w:val="single" w:color="auto" w:sz="4" w:space="0"/>
              <w:right w:val="single" w:color="auto" w:sz="4" w:space="0"/>
            </w:tcBorders>
            <w:noWrap w:val="0"/>
            <w:vAlign w:val="top"/>
          </w:tcPr>
          <w:p w14:paraId="42C63ED7">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农资服务模块</w:t>
            </w:r>
          </w:p>
        </w:tc>
        <w:tc>
          <w:tcPr>
            <w:tcW w:w="2700" w:type="dxa"/>
            <w:tcBorders>
              <w:top w:val="single" w:color="auto" w:sz="4" w:space="0"/>
              <w:left w:val="single" w:color="auto" w:sz="4" w:space="0"/>
              <w:bottom w:val="single" w:color="auto" w:sz="4" w:space="0"/>
            </w:tcBorders>
            <w:noWrap w:val="0"/>
            <w:vAlign w:val="top"/>
          </w:tcPr>
          <w:p w14:paraId="3007F946">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1套</w:t>
            </w:r>
          </w:p>
        </w:tc>
      </w:tr>
      <w:tr w14:paraId="77E11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vMerge w:val="continue"/>
            <w:tcBorders>
              <w:right w:val="single" w:color="auto" w:sz="4" w:space="0"/>
            </w:tcBorders>
            <w:noWrap w:val="0"/>
            <w:vAlign w:val="top"/>
          </w:tcPr>
          <w:p w14:paraId="1D573AFB">
            <w:pPr>
              <w:spacing w:line="560" w:lineRule="exact"/>
              <w:rPr>
                <w:rFonts w:hint="eastAsia" w:ascii="宋体" w:hAnsi="宋体" w:eastAsia="宋体" w:cs="宋体"/>
                <w:i w:val="0"/>
                <w:iCs w:val="0"/>
                <w:color w:val="000000"/>
                <w:kern w:val="0"/>
                <w:sz w:val="24"/>
                <w:szCs w:val="24"/>
                <w:u w:val="none"/>
                <w:lang w:val="en-US" w:eastAsia="zh-CN" w:bidi="ar"/>
              </w:rPr>
            </w:pPr>
          </w:p>
        </w:tc>
        <w:tc>
          <w:tcPr>
            <w:tcW w:w="1305" w:type="dxa"/>
            <w:vMerge w:val="continue"/>
            <w:tcBorders>
              <w:left w:val="single" w:color="auto" w:sz="4" w:space="0"/>
              <w:right w:val="single" w:color="auto" w:sz="4" w:space="0"/>
            </w:tcBorders>
            <w:noWrap w:val="0"/>
            <w:vAlign w:val="top"/>
          </w:tcPr>
          <w:p w14:paraId="574A57E5">
            <w:pPr>
              <w:spacing w:line="560" w:lineRule="exact"/>
              <w:rPr>
                <w:rFonts w:hint="eastAsia" w:ascii="宋体" w:hAnsi="宋体" w:eastAsia="宋体" w:cs="宋体"/>
                <w:i w:val="0"/>
                <w:iCs w:val="0"/>
                <w:color w:val="000000"/>
                <w:kern w:val="0"/>
                <w:sz w:val="24"/>
                <w:szCs w:val="24"/>
                <w:u w:val="none"/>
                <w:lang w:val="en-US" w:eastAsia="zh-CN" w:bidi="ar"/>
              </w:rPr>
            </w:pPr>
          </w:p>
        </w:tc>
        <w:tc>
          <w:tcPr>
            <w:tcW w:w="2730" w:type="dxa"/>
            <w:tcBorders>
              <w:top w:val="single" w:color="auto" w:sz="4" w:space="0"/>
              <w:left w:val="single" w:color="auto" w:sz="4" w:space="0"/>
              <w:bottom w:val="single" w:color="auto" w:sz="4" w:space="0"/>
              <w:right w:val="single" w:color="auto" w:sz="4" w:space="0"/>
            </w:tcBorders>
            <w:noWrap w:val="0"/>
            <w:vAlign w:val="top"/>
          </w:tcPr>
          <w:p w14:paraId="26E604DD">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农产品电商模块</w:t>
            </w:r>
          </w:p>
        </w:tc>
        <w:tc>
          <w:tcPr>
            <w:tcW w:w="2700" w:type="dxa"/>
            <w:tcBorders>
              <w:top w:val="single" w:color="auto" w:sz="4" w:space="0"/>
              <w:left w:val="single" w:color="auto" w:sz="4" w:space="0"/>
              <w:bottom w:val="single" w:color="auto" w:sz="4" w:space="0"/>
            </w:tcBorders>
            <w:noWrap w:val="0"/>
            <w:vAlign w:val="top"/>
          </w:tcPr>
          <w:p w14:paraId="3B817546">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1套</w:t>
            </w:r>
          </w:p>
        </w:tc>
      </w:tr>
      <w:tr w14:paraId="1FA02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vMerge w:val="continue"/>
            <w:tcBorders>
              <w:right w:val="single" w:color="auto" w:sz="4" w:space="0"/>
            </w:tcBorders>
            <w:noWrap w:val="0"/>
            <w:vAlign w:val="top"/>
          </w:tcPr>
          <w:p w14:paraId="5D1AE8B8">
            <w:pPr>
              <w:spacing w:line="560" w:lineRule="exact"/>
              <w:rPr>
                <w:rFonts w:hint="eastAsia" w:ascii="宋体" w:hAnsi="宋体" w:eastAsia="宋体" w:cs="宋体"/>
                <w:i w:val="0"/>
                <w:iCs w:val="0"/>
                <w:color w:val="000000"/>
                <w:kern w:val="0"/>
                <w:sz w:val="24"/>
                <w:szCs w:val="24"/>
                <w:u w:val="none"/>
                <w:lang w:val="en-US" w:eastAsia="zh-CN" w:bidi="ar"/>
              </w:rPr>
            </w:pPr>
          </w:p>
        </w:tc>
        <w:tc>
          <w:tcPr>
            <w:tcW w:w="1305" w:type="dxa"/>
            <w:vMerge w:val="continue"/>
            <w:tcBorders>
              <w:left w:val="single" w:color="auto" w:sz="4" w:space="0"/>
              <w:right w:val="single" w:color="auto" w:sz="4" w:space="0"/>
            </w:tcBorders>
            <w:noWrap w:val="0"/>
            <w:vAlign w:val="top"/>
          </w:tcPr>
          <w:p w14:paraId="13B5FF38">
            <w:pPr>
              <w:spacing w:line="560" w:lineRule="exact"/>
              <w:rPr>
                <w:rFonts w:hint="eastAsia" w:ascii="宋体" w:hAnsi="宋体" w:eastAsia="宋体" w:cs="宋体"/>
                <w:i w:val="0"/>
                <w:iCs w:val="0"/>
                <w:color w:val="000000"/>
                <w:kern w:val="0"/>
                <w:sz w:val="24"/>
                <w:szCs w:val="24"/>
                <w:u w:val="none"/>
                <w:lang w:val="en-US" w:eastAsia="zh-CN" w:bidi="ar"/>
              </w:rPr>
            </w:pPr>
          </w:p>
        </w:tc>
        <w:tc>
          <w:tcPr>
            <w:tcW w:w="2730" w:type="dxa"/>
            <w:tcBorders>
              <w:top w:val="single" w:color="auto" w:sz="4" w:space="0"/>
              <w:left w:val="single" w:color="auto" w:sz="4" w:space="0"/>
              <w:bottom w:val="single" w:color="auto" w:sz="4" w:space="0"/>
              <w:right w:val="single" w:color="auto" w:sz="4" w:space="0"/>
            </w:tcBorders>
            <w:noWrap w:val="0"/>
            <w:vAlign w:val="top"/>
          </w:tcPr>
          <w:p w14:paraId="6C111634">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移动APP终端模块</w:t>
            </w:r>
          </w:p>
        </w:tc>
        <w:tc>
          <w:tcPr>
            <w:tcW w:w="2700" w:type="dxa"/>
            <w:tcBorders>
              <w:top w:val="single" w:color="auto" w:sz="4" w:space="0"/>
              <w:left w:val="single" w:color="auto" w:sz="4" w:space="0"/>
              <w:bottom w:val="single" w:color="auto" w:sz="4" w:space="0"/>
            </w:tcBorders>
            <w:noWrap w:val="0"/>
            <w:vAlign w:val="top"/>
          </w:tcPr>
          <w:p w14:paraId="7270E7A1">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1套</w:t>
            </w:r>
          </w:p>
        </w:tc>
      </w:tr>
      <w:tr w14:paraId="22CFC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vMerge w:val="continue"/>
            <w:tcBorders>
              <w:right w:val="single" w:color="auto" w:sz="4" w:space="0"/>
            </w:tcBorders>
            <w:noWrap w:val="0"/>
            <w:vAlign w:val="top"/>
          </w:tcPr>
          <w:p w14:paraId="3B9E9165">
            <w:pPr>
              <w:spacing w:line="560" w:lineRule="exact"/>
              <w:rPr>
                <w:rFonts w:hint="eastAsia" w:ascii="宋体" w:hAnsi="宋体" w:eastAsia="宋体" w:cs="宋体"/>
                <w:i w:val="0"/>
                <w:iCs w:val="0"/>
                <w:color w:val="000000"/>
                <w:kern w:val="0"/>
                <w:sz w:val="24"/>
                <w:szCs w:val="24"/>
                <w:u w:val="none"/>
                <w:lang w:val="en-US" w:eastAsia="zh-CN" w:bidi="ar"/>
              </w:rPr>
            </w:pPr>
          </w:p>
        </w:tc>
        <w:tc>
          <w:tcPr>
            <w:tcW w:w="1305" w:type="dxa"/>
            <w:vMerge w:val="continue"/>
            <w:tcBorders>
              <w:left w:val="single" w:color="auto" w:sz="4" w:space="0"/>
              <w:right w:val="single" w:color="auto" w:sz="4" w:space="0"/>
            </w:tcBorders>
            <w:noWrap w:val="0"/>
            <w:vAlign w:val="top"/>
          </w:tcPr>
          <w:p w14:paraId="6DD7AF46">
            <w:pPr>
              <w:spacing w:line="560" w:lineRule="exact"/>
              <w:rPr>
                <w:rFonts w:hint="eastAsia" w:ascii="宋体" w:hAnsi="宋体" w:eastAsia="宋体" w:cs="宋体"/>
                <w:i w:val="0"/>
                <w:iCs w:val="0"/>
                <w:color w:val="000000"/>
                <w:kern w:val="0"/>
                <w:sz w:val="24"/>
                <w:szCs w:val="24"/>
                <w:u w:val="none"/>
                <w:lang w:val="en-US" w:eastAsia="zh-CN" w:bidi="ar"/>
              </w:rPr>
            </w:pPr>
          </w:p>
        </w:tc>
        <w:tc>
          <w:tcPr>
            <w:tcW w:w="2730" w:type="dxa"/>
            <w:tcBorders>
              <w:top w:val="single" w:color="auto" w:sz="4" w:space="0"/>
              <w:left w:val="single" w:color="auto" w:sz="4" w:space="0"/>
              <w:bottom w:val="single" w:color="auto" w:sz="4" w:space="0"/>
              <w:right w:val="single" w:color="auto" w:sz="4" w:space="0"/>
            </w:tcBorders>
            <w:noWrap w:val="0"/>
            <w:vAlign w:val="top"/>
          </w:tcPr>
          <w:p w14:paraId="14BCE03F">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农业大数据分析模块</w:t>
            </w:r>
          </w:p>
        </w:tc>
        <w:tc>
          <w:tcPr>
            <w:tcW w:w="2700" w:type="dxa"/>
            <w:tcBorders>
              <w:top w:val="single" w:color="auto" w:sz="4" w:space="0"/>
              <w:left w:val="single" w:color="auto" w:sz="4" w:space="0"/>
              <w:bottom w:val="single" w:color="auto" w:sz="4" w:space="0"/>
            </w:tcBorders>
            <w:noWrap w:val="0"/>
            <w:vAlign w:val="top"/>
          </w:tcPr>
          <w:p w14:paraId="06830FB6">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1套</w:t>
            </w:r>
          </w:p>
        </w:tc>
      </w:tr>
      <w:tr w14:paraId="58BEC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vMerge w:val="continue"/>
            <w:tcBorders>
              <w:right w:val="single" w:color="auto" w:sz="4" w:space="0"/>
            </w:tcBorders>
            <w:noWrap w:val="0"/>
            <w:vAlign w:val="top"/>
          </w:tcPr>
          <w:p w14:paraId="7FEA6758">
            <w:pPr>
              <w:spacing w:line="560" w:lineRule="exact"/>
              <w:rPr>
                <w:rFonts w:hint="eastAsia" w:ascii="宋体" w:hAnsi="宋体" w:eastAsia="宋体" w:cs="宋体"/>
                <w:i w:val="0"/>
                <w:iCs w:val="0"/>
                <w:color w:val="000000"/>
                <w:kern w:val="0"/>
                <w:sz w:val="24"/>
                <w:szCs w:val="24"/>
                <w:u w:val="none"/>
                <w:lang w:val="en-US" w:eastAsia="zh-CN" w:bidi="ar"/>
              </w:rPr>
            </w:pPr>
          </w:p>
        </w:tc>
        <w:tc>
          <w:tcPr>
            <w:tcW w:w="1305" w:type="dxa"/>
            <w:vMerge w:val="continue"/>
            <w:tcBorders>
              <w:left w:val="single" w:color="auto" w:sz="4" w:space="0"/>
              <w:right w:val="single" w:color="auto" w:sz="4" w:space="0"/>
            </w:tcBorders>
            <w:noWrap w:val="0"/>
            <w:vAlign w:val="top"/>
          </w:tcPr>
          <w:p w14:paraId="4CA8CD51">
            <w:pPr>
              <w:spacing w:line="560" w:lineRule="exact"/>
              <w:rPr>
                <w:rFonts w:hint="eastAsia" w:ascii="宋体" w:hAnsi="宋体" w:eastAsia="宋体" w:cs="宋体"/>
                <w:i w:val="0"/>
                <w:iCs w:val="0"/>
                <w:color w:val="000000"/>
                <w:kern w:val="0"/>
                <w:sz w:val="24"/>
                <w:szCs w:val="24"/>
                <w:u w:val="none"/>
                <w:lang w:val="en-US" w:eastAsia="zh-CN" w:bidi="ar"/>
              </w:rPr>
            </w:pPr>
          </w:p>
        </w:tc>
        <w:tc>
          <w:tcPr>
            <w:tcW w:w="2730" w:type="dxa"/>
            <w:tcBorders>
              <w:top w:val="single" w:color="auto" w:sz="4" w:space="0"/>
              <w:left w:val="single" w:color="auto" w:sz="4" w:space="0"/>
              <w:bottom w:val="single" w:color="auto" w:sz="4" w:space="0"/>
              <w:right w:val="single" w:color="auto" w:sz="4" w:space="0"/>
            </w:tcBorders>
            <w:noWrap w:val="0"/>
            <w:vAlign w:val="top"/>
          </w:tcPr>
          <w:p w14:paraId="09BBE24F">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云资源</w:t>
            </w:r>
          </w:p>
        </w:tc>
        <w:tc>
          <w:tcPr>
            <w:tcW w:w="2700" w:type="dxa"/>
            <w:tcBorders>
              <w:top w:val="single" w:color="auto" w:sz="4" w:space="0"/>
              <w:left w:val="single" w:color="auto" w:sz="4" w:space="0"/>
              <w:bottom w:val="single" w:color="auto" w:sz="4" w:space="0"/>
            </w:tcBorders>
            <w:noWrap w:val="0"/>
            <w:vAlign w:val="top"/>
          </w:tcPr>
          <w:p w14:paraId="5C404FE0">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1年</w:t>
            </w:r>
          </w:p>
        </w:tc>
      </w:tr>
      <w:tr w14:paraId="1641D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vMerge w:val="continue"/>
            <w:tcBorders>
              <w:right w:val="single" w:color="auto" w:sz="4" w:space="0"/>
            </w:tcBorders>
            <w:noWrap w:val="0"/>
            <w:vAlign w:val="top"/>
          </w:tcPr>
          <w:p w14:paraId="493C2D2A">
            <w:pPr>
              <w:spacing w:line="560" w:lineRule="exact"/>
              <w:rPr>
                <w:rFonts w:hint="eastAsia" w:ascii="宋体" w:hAnsi="宋体" w:eastAsia="宋体" w:cs="宋体"/>
                <w:i w:val="0"/>
                <w:iCs w:val="0"/>
                <w:color w:val="000000"/>
                <w:kern w:val="0"/>
                <w:sz w:val="24"/>
                <w:szCs w:val="24"/>
                <w:u w:val="none"/>
                <w:lang w:val="en-US" w:eastAsia="zh-CN" w:bidi="ar"/>
              </w:rPr>
            </w:pPr>
          </w:p>
        </w:tc>
        <w:tc>
          <w:tcPr>
            <w:tcW w:w="1305" w:type="dxa"/>
            <w:vMerge w:val="continue"/>
            <w:tcBorders>
              <w:left w:val="single" w:color="auto" w:sz="4" w:space="0"/>
              <w:right w:val="single" w:color="auto" w:sz="4" w:space="0"/>
            </w:tcBorders>
            <w:noWrap w:val="0"/>
            <w:vAlign w:val="top"/>
          </w:tcPr>
          <w:p w14:paraId="19AD4C87">
            <w:pPr>
              <w:spacing w:line="560" w:lineRule="exact"/>
              <w:rPr>
                <w:rFonts w:hint="eastAsia" w:ascii="宋体" w:hAnsi="宋体" w:eastAsia="宋体" w:cs="宋体"/>
                <w:i w:val="0"/>
                <w:iCs w:val="0"/>
                <w:color w:val="000000"/>
                <w:kern w:val="0"/>
                <w:sz w:val="24"/>
                <w:szCs w:val="24"/>
                <w:u w:val="none"/>
                <w:lang w:val="en-US" w:eastAsia="zh-CN" w:bidi="ar"/>
              </w:rPr>
            </w:pPr>
          </w:p>
        </w:tc>
        <w:tc>
          <w:tcPr>
            <w:tcW w:w="2730" w:type="dxa"/>
            <w:tcBorders>
              <w:top w:val="single" w:color="auto" w:sz="4" w:space="0"/>
              <w:left w:val="single" w:color="auto" w:sz="4" w:space="0"/>
              <w:bottom w:val="single" w:color="auto" w:sz="4" w:space="0"/>
              <w:right w:val="single" w:color="auto" w:sz="4" w:space="0"/>
            </w:tcBorders>
            <w:noWrap w:val="0"/>
            <w:vAlign w:val="top"/>
          </w:tcPr>
          <w:p w14:paraId="655B74FB">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平台运维</w:t>
            </w:r>
          </w:p>
        </w:tc>
        <w:tc>
          <w:tcPr>
            <w:tcW w:w="2700" w:type="dxa"/>
            <w:tcBorders>
              <w:top w:val="single" w:color="auto" w:sz="4" w:space="0"/>
              <w:left w:val="single" w:color="auto" w:sz="4" w:space="0"/>
              <w:bottom w:val="single" w:color="auto" w:sz="4" w:space="0"/>
            </w:tcBorders>
            <w:noWrap w:val="0"/>
            <w:vAlign w:val="top"/>
          </w:tcPr>
          <w:p w14:paraId="345A6C64">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1年</w:t>
            </w:r>
          </w:p>
        </w:tc>
      </w:tr>
      <w:tr w14:paraId="43B8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right w:val="single" w:color="auto" w:sz="4" w:space="0"/>
            </w:tcBorders>
            <w:noWrap w:val="0"/>
            <w:vAlign w:val="top"/>
          </w:tcPr>
          <w:p w14:paraId="27ED20A1">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效益指标</w:t>
            </w:r>
          </w:p>
        </w:tc>
        <w:tc>
          <w:tcPr>
            <w:tcW w:w="1305" w:type="dxa"/>
            <w:tcBorders>
              <w:left w:val="single" w:color="auto" w:sz="4" w:space="0"/>
              <w:right w:val="single" w:color="auto" w:sz="4" w:space="0"/>
            </w:tcBorders>
            <w:noWrap w:val="0"/>
            <w:vAlign w:val="top"/>
          </w:tcPr>
          <w:p w14:paraId="7F2F5C17">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可持续</w:t>
            </w:r>
          </w:p>
        </w:tc>
        <w:tc>
          <w:tcPr>
            <w:tcW w:w="2730" w:type="dxa"/>
            <w:tcBorders>
              <w:top w:val="single" w:color="auto" w:sz="4" w:space="0"/>
              <w:left w:val="single" w:color="auto" w:sz="4" w:space="0"/>
              <w:bottom w:val="single" w:color="auto" w:sz="4" w:space="0"/>
              <w:right w:val="single" w:color="auto" w:sz="4" w:space="0"/>
            </w:tcBorders>
            <w:noWrap w:val="0"/>
            <w:vAlign w:val="top"/>
          </w:tcPr>
          <w:p w14:paraId="2967AED1">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使用年限</w:t>
            </w:r>
          </w:p>
        </w:tc>
        <w:tc>
          <w:tcPr>
            <w:tcW w:w="2700" w:type="dxa"/>
            <w:tcBorders>
              <w:top w:val="single" w:color="auto" w:sz="4" w:space="0"/>
              <w:left w:val="single" w:color="auto" w:sz="4" w:space="0"/>
              <w:bottom w:val="single" w:color="auto" w:sz="4" w:space="0"/>
            </w:tcBorders>
            <w:noWrap w:val="0"/>
            <w:vAlign w:val="top"/>
          </w:tcPr>
          <w:p w14:paraId="03B642B6">
            <w:pPr>
              <w:spacing w:line="560" w:lineRule="exact"/>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r>
      <w:tr w14:paraId="6F66A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right w:val="single" w:color="auto" w:sz="4" w:space="0"/>
            </w:tcBorders>
            <w:noWrap w:val="0"/>
            <w:vAlign w:val="top"/>
          </w:tcPr>
          <w:p w14:paraId="587C12C4">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满意度指标</w:t>
            </w:r>
          </w:p>
        </w:tc>
        <w:tc>
          <w:tcPr>
            <w:tcW w:w="1305" w:type="dxa"/>
            <w:tcBorders>
              <w:left w:val="single" w:color="auto" w:sz="4" w:space="0"/>
              <w:right w:val="single" w:color="auto" w:sz="4" w:space="0"/>
            </w:tcBorders>
            <w:noWrap w:val="0"/>
            <w:vAlign w:val="top"/>
          </w:tcPr>
          <w:p w14:paraId="33AE8269">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服务对象 满意度指标</w:t>
            </w:r>
          </w:p>
        </w:tc>
        <w:tc>
          <w:tcPr>
            <w:tcW w:w="2730" w:type="dxa"/>
            <w:tcBorders>
              <w:top w:val="single" w:color="auto" w:sz="4" w:space="0"/>
              <w:left w:val="single" w:color="auto" w:sz="4" w:space="0"/>
              <w:right w:val="single" w:color="auto" w:sz="4" w:space="0"/>
            </w:tcBorders>
            <w:noWrap w:val="0"/>
            <w:vAlign w:val="top"/>
          </w:tcPr>
          <w:p w14:paraId="7E8D0D75">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农户、受益群众对该项目的满意度</w:t>
            </w:r>
          </w:p>
        </w:tc>
        <w:tc>
          <w:tcPr>
            <w:tcW w:w="2700" w:type="dxa"/>
            <w:tcBorders>
              <w:top w:val="single" w:color="auto" w:sz="4" w:space="0"/>
              <w:left w:val="single" w:color="auto" w:sz="4" w:space="0"/>
            </w:tcBorders>
            <w:noWrap w:val="0"/>
            <w:vAlign w:val="top"/>
          </w:tcPr>
          <w:p w14:paraId="0921F723">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≥95%</w:t>
            </w:r>
          </w:p>
        </w:tc>
      </w:tr>
    </w:tbl>
    <w:p w14:paraId="1BC990C2">
      <w:pPr>
        <w:adjustRightInd w:val="0"/>
        <w:snapToGrid w:val="0"/>
        <w:spacing w:line="578" w:lineRule="exact"/>
        <w:ind w:firstLine="640" w:firstLineChars="200"/>
        <w:rPr>
          <w:rFonts w:ascii="黑体" w:hAnsi="宋体" w:eastAsia="黑体"/>
          <w:sz w:val="32"/>
          <w:szCs w:val="32"/>
        </w:rPr>
      </w:pPr>
      <w:r>
        <w:rPr>
          <w:rFonts w:hint="eastAsia" w:ascii="黑体" w:hAnsi="宋体" w:eastAsia="黑体"/>
          <w:sz w:val="32"/>
          <w:szCs w:val="32"/>
        </w:rPr>
        <w:t>二、评价实施</w:t>
      </w:r>
    </w:p>
    <w:p w14:paraId="7D5EF709">
      <w:pPr>
        <w:spacing w:line="578" w:lineRule="exact"/>
        <w:ind w:firstLine="640"/>
        <w:rPr>
          <w:rFonts w:hint="eastAsia" w:ascii="楷体_GB2312" w:hAnsi="宋体" w:eastAsia="楷体_GB2312"/>
          <w:b/>
          <w:sz w:val="32"/>
          <w:szCs w:val="32"/>
          <w:lang w:val="zh-CN"/>
        </w:rPr>
      </w:pPr>
      <w:r>
        <w:rPr>
          <w:rFonts w:hint="eastAsia" w:ascii="楷体_GB2312" w:hAnsi="宋体" w:eastAsia="楷体_GB2312"/>
          <w:b/>
          <w:sz w:val="32"/>
          <w:szCs w:val="32"/>
          <w:lang w:val="zh-CN"/>
        </w:rPr>
        <w:t>（一）评价目的</w:t>
      </w:r>
    </w:p>
    <w:p w14:paraId="7CD34707">
      <w:pPr>
        <w:spacing w:line="578" w:lineRule="exact"/>
        <w:ind w:firstLine="640"/>
        <w:rPr>
          <w:rFonts w:eastAsia="仿宋_GB2312"/>
          <w:sz w:val="32"/>
          <w:szCs w:val="32"/>
        </w:rPr>
      </w:pPr>
      <w:r>
        <w:rPr>
          <w:rFonts w:hint="eastAsia" w:eastAsia="仿宋_GB2312"/>
          <w:sz w:val="32"/>
          <w:szCs w:val="32"/>
        </w:rPr>
        <w:t>为贯彻落实中央、省、州关于全面实施预算绩效管理有关文件精神，推进全面实施预算绩效管理工作深入开展的要求，对项目依据、绩效目标、资金管理、项目完成、项目效益等方面进行全面、客观、公正的评价，对资金支出行为过程及其效果进行综合评价和判断，评价资金使用的科学性、合理性和有效性，分析存在的问题，提出资金管理、项目管理相关建议，提高资金使用效益。</w:t>
      </w:r>
    </w:p>
    <w:p w14:paraId="53915899">
      <w:pPr>
        <w:adjustRightInd w:val="0"/>
        <w:snapToGrid w:val="0"/>
        <w:spacing w:line="578"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（二）预设问题及评价重点</w:t>
      </w:r>
    </w:p>
    <w:p w14:paraId="132D6410">
      <w:pPr>
        <w:adjustRightInd w:val="0"/>
        <w:snapToGrid w:val="0"/>
        <w:spacing w:line="578" w:lineRule="exact"/>
        <w:ind w:firstLine="640" w:firstLineChars="200"/>
        <w:rPr>
          <w:rFonts w:eastAsia="仿宋_GB2312"/>
          <w:sz w:val="32"/>
          <w:szCs w:val="32"/>
        </w:rPr>
      </w:pPr>
      <w:r>
        <w:rPr>
          <w:rFonts w:hint="eastAsia" w:ascii="仿宋_GB2312" w:hAnsi="仿宋_GB2312" w:eastAsia="仿宋_GB2312" w:cs="仿宋_GB2312"/>
          <w:kern w:val="2"/>
          <w:sz w:val="32"/>
          <w:szCs w:val="32"/>
          <w:lang w:val="en-US" w:eastAsia="zh-CN"/>
        </w:rPr>
        <w:t>2023年</w:t>
      </w:r>
      <w:r>
        <w:rPr>
          <w:rFonts w:hint="eastAsia" w:ascii="仿宋_GB2312" w:eastAsia="仿宋_GB2312" w:cs="Times New Roman"/>
          <w:kern w:val="2"/>
          <w:sz w:val="32"/>
          <w:szCs w:val="32"/>
          <w:u w:val="none"/>
        </w:rPr>
        <w:t>茂县数字农业服务平台扩建项目</w:t>
      </w:r>
      <w:r>
        <w:rPr>
          <w:rFonts w:hint="eastAsia" w:eastAsia="仿宋_GB2312"/>
          <w:sz w:val="32"/>
          <w:szCs w:val="32"/>
        </w:rPr>
        <w:t>资金支出使用全过程</w:t>
      </w:r>
      <w:r>
        <w:rPr>
          <w:rFonts w:hint="eastAsia" w:eastAsia="仿宋_GB2312"/>
          <w:sz w:val="32"/>
          <w:szCs w:val="32"/>
          <w:lang w:eastAsia="zh-CN"/>
        </w:rPr>
        <w:t>规范。</w:t>
      </w:r>
    </w:p>
    <w:p w14:paraId="14907A52">
      <w:pPr>
        <w:adjustRightInd w:val="0"/>
        <w:snapToGrid w:val="0"/>
        <w:spacing w:line="578"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（三）评价选点</w:t>
      </w:r>
    </w:p>
    <w:p w14:paraId="1348C41F">
      <w:pPr>
        <w:adjustRightInd w:val="0"/>
        <w:snapToGrid w:val="0"/>
        <w:spacing w:line="578" w:lineRule="exact"/>
        <w:ind w:firstLine="640" w:firstLineChars="200"/>
        <w:rPr>
          <w:rFonts w:eastAsia="仿宋_GB2312"/>
          <w:sz w:val="32"/>
          <w:szCs w:val="32"/>
          <w:lang w:val="zh-CN"/>
        </w:rPr>
      </w:pPr>
      <w:r>
        <w:rPr>
          <w:rFonts w:hint="eastAsia" w:eastAsia="仿宋_GB2312"/>
          <w:sz w:val="32"/>
          <w:szCs w:val="32"/>
          <w:lang w:val="zh-CN"/>
        </w:rPr>
        <w:t>茂县供销合作社联合社</w:t>
      </w:r>
    </w:p>
    <w:p w14:paraId="6F780FDA">
      <w:pPr>
        <w:spacing w:line="578" w:lineRule="exact"/>
        <w:ind w:firstLine="640"/>
        <w:rPr>
          <w:rFonts w:hint="eastAsia" w:ascii="楷体_GB2312" w:hAnsi="宋体" w:eastAsia="楷体_GB2312"/>
          <w:b/>
          <w:sz w:val="32"/>
          <w:szCs w:val="32"/>
          <w:lang w:val="zh-CN"/>
        </w:rPr>
      </w:pPr>
      <w:r>
        <w:rPr>
          <w:rFonts w:hint="eastAsia" w:ascii="楷体_GB2312" w:hAnsi="宋体" w:eastAsia="楷体_GB2312"/>
          <w:b/>
          <w:sz w:val="32"/>
          <w:szCs w:val="32"/>
          <w:lang w:val="zh-CN"/>
        </w:rPr>
        <w:t>（四）评价方法</w:t>
      </w:r>
    </w:p>
    <w:p w14:paraId="4CE43B56">
      <w:pPr>
        <w:spacing w:line="578" w:lineRule="exact"/>
        <w:ind w:firstLine="640"/>
        <w:rPr>
          <w:rFonts w:eastAsia="仿宋_GB2312"/>
          <w:sz w:val="32"/>
          <w:szCs w:val="32"/>
        </w:rPr>
      </w:pPr>
      <w:r>
        <w:rPr>
          <w:rFonts w:hint="eastAsia" w:ascii="Times New Roman" w:hAnsi="Times New Roman" w:eastAsia="仿宋_GB2312" w:cs="Times New Roman"/>
          <w:sz w:val="32"/>
          <w:szCs w:val="32"/>
          <w:lang w:eastAsia="zh-CN"/>
        </w:rPr>
        <w:t>采用</w:t>
      </w:r>
      <w:r>
        <w:rPr>
          <w:rFonts w:eastAsia="仿宋_GB2312"/>
          <w:sz w:val="32"/>
          <w:szCs w:val="32"/>
        </w:rPr>
        <w:t>单位自评法</w:t>
      </w:r>
      <w:r>
        <w:rPr>
          <w:rFonts w:hint="eastAsia" w:eastAsia="仿宋_GB2312"/>
          <w:sz w:val="32"/>
          <w:szCs w:val="32"/>
        </w:rPr>
        <w:t>。</w:t>
      </w:r>
    </w:p>
    <w:p w14:paraId="3EA81206">
      <w:pPr>
        <w:widowControl/>
        <w:tabs>
          <w:tab w:val="left" w:pos="2160"/>
        </w:tabs>
        <w:spacing w:line="600" w:lineRule="exact"/>
        <w:ind w:firstLine="640" w:firstLineChars="200"/>
        <w:jc w:val="left"/>
        <w:rPr>
          <w:rFonts w:hint="eastAsia"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三、绩效分析</w:t>
      </w:r>
    </w:p>
    <w:p w14:paraId="55E9F939">
      <w:pPr>
        <w:spacing w:line="578" w:lineRule="exact"/>
        <w:ind w:firstLine="640"/>
        <w:rPr>
          <w:rFonts w:ascii="楷体_GB2312" w:hAnsi="宋体" w:eastAsia="楷体_GB2312"/>
          <w:b/>
          <w:sz w:val="32"/>
          <w:szCs w:val="32"/>
        </w:rPr>
      </w:pPr>
      <w:r>
        <w:rPr>
          <w:rFonts w:hint="eastAsia" w:ascii="楷体_GB2312" w:hAnsi="宋体" w:eastAsia="楷体_GB2312"/>
          <w:b/>
          <w:sz w:val="32"/>
          <w:szCs w:val="32"/>
          <w:lang w:val="zh-CN"/>
        </w:rPr>
        <w:t>（一）</w:t>
      </w:r>
      <w:r>
        <w:rPr>
          <w:rFonts w:hint="eastAsia" w:ascii="楷体_GB2312" w:hAnsi="宋体" w:eastAsia="楷体_GB2312"/>
          <w:b/>
          <w:sz w:val="32"/>
          <w:szCs w:val="32"/>
        </w:rPr>
        <w:t>通用指标</w:t>
      </w:r>
      <w:r>
        <w:rPr>
          <w:rFonts w:eastAsia="楷体_GB2312"/>
          <w:b/>
          <w:bCs/>
          <w:color w:val="000000"/>
          <w:kern w:val="0"/>
          <w:sz w:val="32"/>
          <w:szCs w:val="32"/>
          <w:shd w:val="clear" w:color="auto" w:fill="FFFFFF"/>
          <w:lang w:val="zh-CN"/>
        </w:rPr>
        <w:t>绩效分析</w:t>
      </w:r>
    </w:p>
    <w:p w14:paraId="32E60B5C">
      <w:pPr>
        <w:spacing w:line="578" w:lineRule="exact"/>
        <w:ind w:firstLine="640"/>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sz w:val="32"/>
          <w:szCs w:val="32"/>
        </w:rPr>
        <w:t>1.</w:t>
      </w:r>
      <w:r>
        <w:rPr>
          <w:rFonts w:hint="eastAsia" w:ascii="Times New Roman" w:hAnsi="Times New Roman" w:eastAsia="仿宋_GB2312" w:cs="Times New Roman"/>
          <w:sz w:val="32"/>
          <w:szCs w:val="32"/>
          <w:lang w:eastAsia="zh-CN"/>
        </w:rPr>
        <w:t>项目决策。决策程序严密，符合资金管理基本规范和决策程序要求。规划论证符合中省要求、项目绩效目标设置科学合理。资金投向与项目总体规划、相关行业事业发展相匹配。</w:t>
      </w:r>
    </w:p>
    <w:p w14:paraId="5A7E4421">
      <w:pPr>
        <w:spacing w:line="578" w:lineRule="exact"/>
        <w:ind w:firstLine="640"/>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sz w:val="32"/>
          <w:szCs w:val="32"/>
        </w:rPr>
        <w:t>2.</w:t>
      </w:r>
      <w:r>
        <w:rPr>
          <w:rFonts w:hint="eastAsia" w:ascii="Times New Roman" w:hAnsi="Times New Roman" w:eastAsia="仿宋_GB2312" w:cs="Times New Roman"/>
          <w:sz w:val="32"/>
          <w:szCs w:val="32"/>
          <w:lang w:eastAsia="zh-CN"/>
        </w:rPr>
        <w:t>项目管理。项目资金分配因素选取、权重设置、区域分布，项目管理、审批符合管理要求、绩效监管按中省要求全面完成绩效目标（含事前评估）、绩效评价。</w:t>
      </w:r>
    </w:p>
    <w:p w14:paraId="2D221104">
      <w:pPr>
        <w:spacing w:line="578" w:lineRule="exact"/>
        <w:ind w:firstLine="640" w:firstLineChars="200"/>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sz w:val="32"/>
          <w:szCs w:val="32"/>
        </w:rPr>
        <w:t>3.</w:t>
      </w:r>
      <w:r>
        <w:rPr>
          <w:rFonts w:hint="eastAsia" w:ascii="Times New Roman" w:hAnsi="Times New Roman" w:eastAsia="仿宋_GB2312" w:cs="Times New Roman"/>
          <w:sz w:val="32"/>
          <w:szCs w:val="32"/>
          <w:lang w:eastAsia="zh-CN"/>
        </w:rPr>
        <w:t>项目实施。财政资金拨付率</w:t>
      </w:r>
      <w:r>
        <w:rPr>
          <w:rFonts w:hint="eastAsia" w:ascii="Times New Roman" w:hAnsi="Times New Roman" w:eastAsia="仿宋_GB2312" w:cs="Times New Roman"/>
          <w:sz w:val="32"/>
          <w:szCs w:val="32"/>
          <w:lang w:val="en-US" w:eastAsia="zh-CN"/>
        </w:rPr>
        <w:t>100%</w:t>
      </w:r>
      <w:r>
        <w:rPr>
          <w:rFonts w:hint="eastAsia" w:eastAsia="仿宋_GB2312"/>
          <w:sz w:val="32"/>
          <w:szCs w:val="32"/>
          <w:lang w:val="en-US" w:eastAsia="zh-CN"/>
        </w:rPr>
        <w:t>，</w:t>
      </w:r>
      <w:r>
        <w:rPr>
          <w:rFonts w:hint="eastAsia" w:ascii="Times New Roman" w:hAnsi="Times New Roman" w:eastAsia="仿宋_GB2312" w:cs="Times New Roman"/>
          <w:sz w:val="32"/>
          <w:szCs w:val="32"/>
          <w:lang w:val="en-US" w:eastAsia="zh-CN"/>
        </w:rPr>
        <w:t>使用率100%，无地方配套资金。</w:t>
      </w:r>
    </w:p>
    <w:p w14:paraId="772D4FED">
      <w:pPr>
        <w:spacing w:line="578" w:lineRule="exact"/>
        <w:ind w:firstLine="640" w:firstLineChars="200"/>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sz w:val="32"/>
          <w:szCs w:val="32"/>
        </w:rPr>
        <w:t>4.</w:t>
      </w:r>
      <w:r>
        <w:rPr>
          <w:rFonts w:hint="eastAsia" w:ascii="Times New Roman" w:hAnsi="Times New Roman" w:eastAsia="仿宋_GB2312" w:cs="Times New Roman"/>
          <w:sz w:val="32"/>
          <w:szCs w:val="32"/>
          <w:lang w:eastAsia="zh-CN"/>
        </w:rPr>
        <w:t>项目结果。完成预期目标，实施结果。与绩效目标相匹配。</w:t>
      </w:r>
    </w:p>
    <w:p w14:paraId="095E46A5">
      <w:pPr>
        <w:spacing w:line="578" w:lineRule="exact"/>
        <w:ind w:firstLine="643" w:firstLineChars="200"/>
        <w:rPr>
          <w:rFonts w:ascii="楷体_GB2312" w:hAnsi="楷体_GB2312" w:eastAsia="楷体_GB2312" w:cs="楷体_GB2312"/>
          <w:sz w:val="32"/>
          <w:szCs w:val="32"/>
          <w:lang w:val="zh-CN"/>
        </w:rPr>
      </w:pPr>
      <w:r>
        <w:rPr>
          <w:rFonts w:hint="eastAsia" w:ascii="楷体_GB2312" w:hAnsi="宋体" w:eastAsia="楷体_GB2312"/>
          <w:b/>
          <w:sz w:val="32"/>
          <w:szCs w:val="32"/>
          <w:lang w:val="zh-CN"/>
        </w:rPr>
        <w:t>（二）</w:t>
      </w:r>
      <w:r>
        <w:rPr>
          <w:rFonts w:hint="eastAsia" w:ascii="楷体_GB2312" w:hAnsi="宋体" w:eastAsia="楷体_GB2312"/>
          <w:b/>
          <w:sz w:val="32"/>
          <w:szCs w:val="32"/>
        </w:rPr>
        <w:t>专用指标</w:t>
      </w:r>
      <w:r>
        <w:rPr>
          <w:rFonts w:eastAsia="楷体_GB2312"/>
          <w:b/>
          <w:bCs/>
          <w:color w:val="000000"/>
          <w:kern w:val="0"/>
          <w:sz w:val="32"/>
          <w:szCs w:val="32"/>
          <w:shd w:val="clear" w:color="auto" w:fill="FFFFFF"/>
          <w:lang w:val="zh-CN"/>
        </w:rPr>
        <w:t>绩效分析</w:t>
      </w:r>
    </w:p>
    <w:p w14:paraId="301ED7B5">
      <w:pPr>
        <w:spacing w:line="578" w:lineRule="exact"/>
        <w:ind w:firstLine="640" w:firstLineChars="200"/>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sz w:val="32"/>
          <w:szCs w:val="32"/>
        </w:rPr>
        <w:t>1.</w:t>
      </w:r>
      <w:r>
        <w:rPr>
          <w:rFonts w:hint="eastAsia" w:ascii="Times New Roman" w:hAnsi="Times New Roman" w:eastAsia="仿宋_GB2312" w:cs="Times New Roman"/>
          <w:sz w:val="32"/>
          <w:szCs w:val="32"/>
          <w:lang w:eastAsia="zh-CN"/>
        </w:rPr>
        <w:t>产业发展。与省委省政府支持重点、产业支持政策符合、对相关企业（机构）成长性的促进作用。</w:t>
      </w:r>
    </w:p>
    <w:p w14:paraId="10E2F3C5">
      <w:pPr>
        <w:spacing w:line="578" w:lineRule="exact"/>
        <w:ind w:firstLine="640" w:firstLineChars="200"/>
        <w:rPr>
          <w:rFonts w:hint="default" w:eastAsia="仿宋_GB2312"/>
          <w:sz w:val="32"/>
          <w:szCs w:val="32"/>
          <w:lang w:val="en-US" w:eastAsia="zh-CN"/>
        </w:rPr>
      </w:pPr>
      <w:r>
        <w:rPr>
          <w:rFonts w:hint="eastAsia" w:ascii="楷体_GB2312" w:hAnsi="楷体_GB2312" w:eastAsia="楷体_GB2312" w:cs="楷体_GB2312"/>
          <w:sz w:val="32"/>
          <w:szCs w:val="32"/>
          <w:lang w:val="en-US" w:eastAsia="zh-CN"/>
        </w:rPr>
        <w:t>2.</w:t>
      </w:r>
      <w:r>
        <w:rPr>
          <w:rFonts w:hint="eastAsia" w:ascii="Times New Roman" w:hAnsi="Times New Roman" w:eastAsia="仿宋_GB2312" w:cs="Times New Roman"/>
          <w:sz w:val="32"/>
          <w:szCs w:val="32"/>
          <w:lang w:val="zh-CN" w:eastAsia="zh-CN"/>
        </w:rPr>
        <w:t>行政运转。按规定用途、适用范围进行本地区专项资金分配。</w:t>
      </w:r>
    </w:p>
    <w:p w14:paraId="3BDE6645">
      <w:pPr>
        <w:spacing w:line="578" w:lineRule="exact"/>
        <w:ind w:firstLine="640"/>
        <w:rPr>
          <w:rFonts w:eastAsia="楷体_GB2312"/>
          <w:b/>
          <w:bCs/>
          <w:color w:val="000000"/>
          <w:kern w:val="0"/>
          <w:sz w:val="32"/>
          <w:szCs w:val="32"/>
          <w:shd w:val="clear" w:color="auto" w:fill="FFFFFF"/>
          <w:lang w:val="zh-CN"/>
        </w:rPr>
      </w:pPr>
      <w:r>
        <w:rPr>
          <w:rFonts w:hint="eastAsia" w:ascii="楷体_GB2312" w:hAnsi="宋体" w:eastAsia="楷体_GB2312"/>
          <w:b/>
          <w:sz w:val="32"/>
          <w:szCs w:val="32"/>
          <w:lang w:val="zh-CN"/>
        </w:rPr>
        <w:t>（三）</w:t>
      </w:r>
      <w:r>
        <w:rPr>
          <w:rFonts w:hint="eastAsia" w:ascii="楷体_GB2312" w:hAnsi="宋体" w:eastAsia="楷体_GB2312"/>
          <w:b/>
          <w:sz w:val="32"/>
          <w:szCs w:val="32"/>
        </w:rPr>
        <w:t>个性指标</w:t>
      </w:r>
      <w:r>
        <w:rPr>
          <w:rFonts w:eastAsia="楷体_GB2312"/>
          <w:b/>
          <w:bCs/>
          <w:color w:val="000000"/>
          <w:kern w:val="0"/>
          <w:sz w:val="32"/>
          <w:szCs w:val="32"/>
          <w:shd w:val="clear" w:color="auto" w:fill="FFFFFF"/>
          <w:lang w:val="zh-CN"/>
        </w:rPr>
        <w:t>绩效分析</w:t>
      </w:r>
    </w:p>
    <w:p w14:paraId="5CB07A9A">
      <w:pPr>
        <w:spacing w:line="578" w:lineRule="exact"/>
        <w:ind w:firstLine="640"/>
        <w:rPr>
          <w:rFonts w:hint="default" w:eastAsia="仿宋_GB2312"/>
          <w:sz w:val="32"/>
          <w:szCs w:val="32"/>
          <w:lang w:val="en-US" w:eastAsia="zh-CN"/>
        </w:rPr>
      </w:pPr>
      <w:r>
        <w:rPr>
          <w:rFonts w:hint="eastAsia" w:eastAsia="仿宋_GB2312"/>
          <w:sz w:val="32"/>
          <w:szCs w:val="32"/>
          <w:lang w:val="zh-CN"/>
        </w:rPr>
        <w:t>根据项目设定指标如实完成。</w:t>
      </w:r>
    </w:p>
    <w:p w14:paraId="1918766F">
      <w:pPr>
        <w:widowControl/>
        <w:tabs>
          <w:tab w:val="left" w:pos="2160"/>
        </w:tabs>
        <w:spacing w:line="600" w:lineRule="exact"/>
        <w:ind w:firstLine="640" w:firstLineChars="200"/>
        <w:jc w:val="left"/>
        <w:rPr>
          <w:rFonts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四、评价结论</w:t>
      </w:r>
    </w:p>
    <w:p w14:paraId="342C9083">
      <w:pPr>
        <w:spacing w:line="560" w:lineRule="exact"/>
        <w:ind w:left="49" w:firstLine="640" w:firstLineChars="200"/>
        <w:rPr>
          <w:rFonts w:hint="eastAsia" w:ascii="仿宋_GB2312" w:hAnsi="仿宋_GB2312" w:eastAsia="仿宋_GB2312" w:cs="仿宋_GB2312"/>
          <w:kern w:val="2"/>
          <w:sz w:val="32"/>
          <w:szCs w:val="32"/>
        </w:rPr>
      </w:pPr>
      <w:r>
        <w:rPr>
          <w:rFonts w:hint="eastAsia" w:ascii="仿宋_GB2312" w:eastAsia="仿宋_GB2312" w:cs="Times New Roman"/>
          <w:kern w:val="2"/>
          <w:sz w:val="32"/>
          <w:szCs w:val="32"/>
          <w:u w:val="none"/>
        </w:rPr>
        <w:t>综合前述评估内容来看，该</w:t>
      </w:r>
      <w:r>
        <w:rPr>
          <w:rFonts w:hint="eastAsia" w:ascii="仿宋_GB2312" w:eastAsia="仿宋_GB2312" w:cs="Times New Roman"/>
          <w:color w:val="auto"/>
          <w:kern w:val="2"/>
          <w:sz w:val="32"/>
          <w:szCs w:val="32"/>
          <w:u w:val="none"/>
        </w:rPr>
        <w:t>项目</w:t>
      </w:r>
      <w:r>
        <w:rPr>
          <w:rFonts w:hint="eastAsia" w:ascii="仿宋_GB2312" w:eastAsia="仿宋_GB2312" w:cs="Times New Roman"/>
          <w:color w:val="auto"/>
          <w:kern w:val="2"/>
          <w:sz w:val="32"/>
          <w:szCs w:val="32"/>
          <w:u w:val="none"/>
          <w:lang w:val="en-US" w:eastAsia="zh-CN"/>
        </w:rPr>
        <w:t>依据</w:t>
      </w:r>
      <w:r>
        <w:rPr>
          <w:rFonts w:hint="eastAsia" w:ascii="仿宋_GB2312" w:eastAsia="仿宋_GB2312" w:cs="Times New Roman"/>
          <w:kern w:val="2"/>
          <w:sz w:val="32"/>
          <w:szCs w:val="32"/>
          <w:u w:val="none"/>
        </w:rPr>
        <w:t>充分，绩效目标明确，具备实施条件，具有公共性，符合</w:t>
      </w:r>
      <w:r>
        <w:rPr>
          <w:rFonts w:hint="eastAsia" w:ascii="仿宋_GB2312" w:eastAsia="仿宋_GB2312" w:cs="Times New Roman"/>
          <w:kern w:val="2"/>
          <w:sz w:val="32"/>
          <w:szCs w:val="32"/>
          <w:u w:val="none"/>
          <w:lang w:val="en-US" w:eastAsia="zh-CN"/>
        </w:rPr>
        <w:t>对口支援资金</w:t>
      </w:r>
      <w:r>
        <w:rPr>
          <w:rFonts w:hint="eastAsia" w:ascii="仿宋_GB2312" w:eastAsia="仿宋_GB2312" w:cs="Times New Roman"/>
          <w:kern w:val="2"/>
          <w:sz w:val="32"/>
          <w:szCs w:val="32"/>
          <w:u w:val="none"/>
        </w:rPr>
        <w:t>支持方向。</w:t>
      </w:r>
      <w:r>
        <w:rPr>
          <w:rFonts w:hint="eastAsia" w:ascii="仿宋_GB2312" w:eastAsia="仿宋_GB2312" w:cs="Times New Roman"/>
          <w:kern w:val="2"/>
          <w:sz w:val="32"/>
          <w:szCs w:val="32"/>
          <w:u w:val="none"/>
          <w:lang w:val="en-US" w:eastAsia="zh-CN"/>
        </w:rPr>
        <w:t>项目</w:t>
      </w:r>
      <w:r>
        <w:rPr>
          <w:rFonts w:hint="eastAsia" w:ascii="仿宋_GB2312" w:eastAsia="仿宋_GB2312" w:cs="Times New Roman"/>
          <w:kern w:val="2"/>
          <w:sz w:val="32"/>
          <w:szCs w:val="32"/>
          <w:u w:val="none"/>
        </w:rPr>
        <w:t>预算</w:t>
      </w:r>
      <w:r>
        <w:rPr>
          <w:rFonts w:hint="eastAsia" w:ascii="仿宋_GB2312" w:eastAsia="仿宋_GB2312" w:cs="Times New Roman"/>
          <w:kern w:val="2"/>
          <w:sz w:val="32"/>
          <w:szCs w:val="32"/>
          <w:u w:val="none"/>
          <w:lang w:val="en-US" w:eastAsia="zh-CN"/>
        </w:rPr>
        <w:t>150</w:t>
      </w:r>
      <w:r>
        <w:rPr>
          <w:rFonts w:hint="eastAsia" w:ascii="仿宋_GB2312" w:eastAsia="仿宋_GB2312" w:cs="Times New Roman"/>
          <w:kern w:val="2"/>
          <w:sz w:val="32"/>
          <w:szCs w:val="32"/>
          <w:u w:val="none"/>
        </w:rPr>
        <w:t>万</w:t>
      </w:r>
      <w:r>
        <w:rPr>
          <w:rFonts w:hint="eastAsia" w:ascii="仿宋_GB2312" w:eastAsia="仿宋_GB2312" w:cs="Times New Roman"/>
          <w:kern w:val="2"/>
          <w:sz w:val="32"/>
          <w:szCs w:val="32"/>
          <w:u w:val="none"/>
          <w:lang w:eastAsia="zh-CN"/>
        </w:rPr>
        <w:t>，</w:t>
      </w:r>
      <w:r>
        <w:rPr>
          <w:rFonts w:hint="eastAsia" w:ascii="仿宋_GB2312" w:eastAsia="仿宋_GB2312" w:cs="Times New Roman"/>
          <w:kern w:val="2"/>
          <w:sz w:val="32"/>
          <w:szCs w:val="32"/>
          <w:u w:val="none"/>
        </w:rPr>
        <w:t>该项目申请资金总</w:t>
      </w:r>
      <w:r>
        <w:rPr>
          <w:rFonts w:hint="eastAsia" w:ascii="仿宋_GB2312" w:eastAsia="仿宋_GB2312" w:cs="Times New Roman"/>
          <w:kern w:val="2"/>
          <w:sz w:val="32"/>
          <w:szCs w:val="32"/>
          <w:u w:val="none"/>
          <w:lang w:val="en-US" w:eastAsia="zh-CN"/>
        </w:rPr>
        <w:t>额为150</w:t>
      </w:r>
      <w:r>
        <w:rPr>
          <w:rFonts w:hint="eastAsia" w:ascii="仿宋_GB2312" w:eastAsia="仿宋_GB2312" w:cs="Times New Roman"/>
          <w:kern w:val="2"/>
          <w:sz w:val="32"/>
          <w:szCs w:val="32"/>
          <w:u w:val="none"/>
        </w:rPr>
        <w:t xml:space="preserve"> 万元。我单位将进一步加强运行监控，提升预算绩效管理水平</w:t>
      </w:r>
      <w:r>
        <w:rPr>
          <w:rFonts w:hint="eastAsia" w:ascii="仿宋_GB2312" w:eastAsia="仿宋_GB2312" w:cs="Times New Roman"/>
          <w:kern w:val="2"/>
          <w:sz w:val="32"/>
          <w:szCs w:val="32"/>
          <w:u w:val="none"/>
          <w:lang w:eastAsia="zh-CN"/>
        </w:rPr>
        <w:t>。</w:t>
      </w:r>
      <w:r>
        <w:rPr>
          <w:rFonts w:hint="eastAsia" w:ascii="仿宋_GB2312" w:eastAsia="仿宋_GB2312" w:cs="仿宋_GB2312"/>
          <w:kern w:val="0"/>
          <w:position w:val="0"/>
          <w:sz w:val="32"/>
          <w:szCs w:val="32"/>
          <w:highlight w:val="none"/>
          <w:u w:val="none"/>
          <w:shd w:val="clear" w:color="auto" w:fill="FFFFFF"/>
          <w:lang w:val="zh-CN" w:eastAsia="zh-CN" w:bidi="ar-SA"/>
        </w:rPr>
        <w:t>综合自评得分</w:t>
      </w:r>
      <w:r>
        <w:rPr>
          <w:rFonts w:hint="eastAsia" w:ascii="仿宋_GB2312" w:eastAsia="仿宋_GB2312" w:cs="仿宋_GB2312"/>
          <w:kern w:val="0"/>
          <w:position w:val="0"/>
          <w:sz w:val="32"/>
          <w:szCs w:val="32"/>
          <w:highlight w:val="none"/>
          <w:u w:val="none"/>
          <w:shd w:val="clear" w:color="auto" w:fill="FFFFFF"/>
          <w:lang w:val="en-US" w:eastAsia="zh-CN" w:bidi="ar-SA"/>
        </w:rPr>
        <w:t>100</w:t>
      </w:r>
      <w:r>
        <w:rPr>
          <w:rFonts w:hint="eastAsia" w:ascii="仿宋_GB2312" w:eastAsia="仿宋_GB2312" w:cs="仿宋_GB2312"/>
          <w:kern w:val="0"/>
          <w:position w:val="0"/>
          <w:sz w:val="32"/>
          <w:szCs w:val="32"/>
          <w:highlight w:val="none"/>
          <w:u w:val="none"/>
          <w:shd w:val="clear" w:color="auto" w:fill="FFFFFF"/>
          <w:lang w:val="zh-CN" w:eastAsia="zh-CN" w:bidi="ar-SA"/>
        </w:rPr>
        <w:t>分。</w:t>
      </w:r>
    </w:p>
    <w:p w14:paraId="61451F74">
      <w:pPr>
        <w:snapToGrid w:val="0"/>
        <w:spacing w:line="578" w:lineRule="exact"/>
        <w:ind w:firstLine="640" w:firstLineChars="200"/>
        <w:rPr>
          <w:rFonts w:eastAsia="仿宋_GB2312"/>
          <w:color w:val="000000"/>
          <w:kern w:val="0"/>
          <w:sz w:val="32"/>
          <w:szCs w:val="32"/>
          <w:shd w:val="clear" w:color="auto" w:fill="FFFFFF"/>
          <w:lang w:val="zh-CN"/>
        </w:rPr>
      </w:pPr>
    </w:p>
    <w:p w14:paraId="2E5DCE4B">
      <w:pPr>
        <w:snapToGrid w:val="0"/>
        <w:spacing w:line="578" w:lineRule="exact"/>
        <w:ind w:firstLine="640" w:firstLineChars="200"/>
        <w:rPr>
          <w:rFonts w:eastAsia="仿宋_GB2312"/>
          <w:color w:val="000000"/>
          <w:kern w:val="0"/>
          <w:sz w:val="32"/>
          <w:szCs w:val="32"/>
          <w:shd w:val="clear" w:color="auto" w:fill="FFFFFF"/>
        </w:rPr>
      </w:pPr>
      <w:r>
        <w:rPr>
          <w:rFonts w:hint="eastAsia" w:eastAsia="仿宋_GB2312"/>
          <w:color w:val="000000"/>
          <w:kern w:val="0"/>
          <w:sz w:val="32"/>
          <w:szCs w:val="32"/>
          <w:shd w:val="clear" w:color="auto" w:fill="FFFFFF"/>
        </w:rPr>
        <w:t>附表：1.项目资金分配涉及所有点位自评得分情况表</w:t>
      </w:r>
    </w:p>
    <w:p w14:paraId="63A053C0">
      <w:pPr>
        <w:snapToGrid w:val="0"/>
        <w:spacing w:line="578" w:lineRule="exact"/>
        <w:ind w:firstLine="1600" w:firstLineChars="500"/>
        <w:rPr>
          <w:rFonts w:eastAsia="仿宋_GB2312"/>
          <w:color w:val="000000"/>
          <w:kern w:val="0"/>
          <w:sz w:val="32"/>
          <w:szCs w:val="32"/>
          <w:shd w:val="clear" w:color="auto" w:fill="FFFFFF"/>
        </w:rPr>
      </w:pPr>
      <w:r>
        <w:rPr>
          <w:rFonts w:hint="eastAsia" w:eastAsia="仿宋_GB2312"/>
          <w:color w:val="000000"/>
          <w:kern w:val="0"/>
          <w:sz w:val="32"/>
          <w:szCs w:val="32"/>
          <w:shd w:val="clear" w:color="auto" w:fill="FFFFFF"/>
        </w:rPr>
        <w:t>2.专项预算项目绩效目标完成情况自评表</w:t>
      </w:r>
    </w:p>
    <w:p w14:paraId="50AF5D89">
      <w:pPr>
        <w:spacing w:line="560" w:lineRule="exact"/>
        <w:ind w:firstLine="4480" w:firstLineChars="1400"/>
        <w:rPr>
          <w:rFonts w:hint="eastAsia" w:ascii="仿宋_GB2312" w:eastAsia="仿宋_GB2312" w:cs="Times New Roman"/>
          <w:kern w:val="2"/>
          <w:sz w:val="32"/>
          <w:szCs w:val="32"/>
          <w:u w:val="none"/>
          <w:lang w:val="en-US" w:eastAsia="zh-CN"/>
        </w:rPr>
      </w:pPr>
    </w:p>
    <w:p w14:paraId="67988FB6">
      <w:pPr>
        <w:spacing w:line="560" w:lineRule="exact"/>
        <w:ind w:firstLine="4480" w:firstLineChars="1400"/>
        <w:rPr>
          <w:rFonts w:hint="default" w:ascii="仿宋_GB2312" w:eastAsia="仿宋_GB2312" w:cs="Times New Roman"/>
          <w:kern w:val="2"/>
          <w:sz w:val="32"/>
          <w:szCs w:val="32"/>
          <w:u w:val="none"/>
          <w:lang w:val="en-US" w:eastAsia="zh-CN"/>
        </w:rPr>
      </w:pPr>
      <w:r>
        <w:rPr>
          <w:rFonts w:hint="eastAsia" w:ascii="仿宋_GB2312" w:eastAsia="仿宋_GB2312" w:cs="Times New Roman"/>
          <w:kern w:val="2"/>
          <w:sz w:val="32"/>
          <w:szCs w:val="32"/>
          <w:u w:val="none"/>
          <w:lang w:val="en-US" w:eastAsia="zh-CN"/>
        </w:rPr>
        <w:t>茂县供销合作社联合社</w:t>
      </w:r>
    </w:p>
    <w:p w14:paraId="33AA8749">
      <w:pPr>
        <w:snapToGrid w:val="0"/>
        <w:spacing w:line="578" w:lineRule="exact"/>
        <w:ind w:firstLine="4800" w:firstLineChars="1500"/>
        <w:rPr>
          <w:rFonts w:eastAsia="仿宋_GB2312"/>
          <w:color w:val="000000"/>
          <w:kern w:val="0"/>
          <w:sz w:val="32"/>
          <w:szCs w:val="32"/>
          <w:shd w:val="clear" w:color="auto" w:fill="FFFFFF"/>
          <w:lang w:val="zh-CN"/>
        </w:rPr>
      </w:pPr>
      <w:r>
        <w:rPr>
          <w:rFonts w:hint="eastAsia" w:ascii="仿宋_GB2312" w:eastAsia="仿宋_GB2312" w:cs="仿宋_GB2312"/>
          <w:sz w:val="32"/>
          <w:szCs w:val="32"/>
          <w:lang w:val="en-US" w:eastAsia="zh-CN"/>
        </w:rPr>
        <w:t>2024年8月9日</w:t>
      </w:r>
    </w:p>
    <w:p w14:paraId="35A04463">
      <w:pPr>
        <w:snapToGrid w:val="0"/>
        <w:spacing w:line="578" w:lineRule="exact"/>
        <w:ind w:firstLine="640" w:firstLineChars="200"/>
        <w:rPr>
          <w:rFonts w:eastAsia="仿宋_GB2312"/>
          <w:color w:val="000000"/>
          <w:kern w:val="0"/>
          <w:sz w:val="32"/>
          <w:szCs w:val="32"/>
          <w:shd w:val="clear" w:color="auto" w:fill="FFFFFF"/>
          <w:lang w:val="zh-CN"/>
        </w:rPr>
      </w:pPr>
    </w:p>
    <w:p w14:paraId="41F0061F">
      <w:pPr>
        <w:snapToGrid w:val="0"/>
        <w:spacing w:line="578" w:lineRule="exact"/>
        <w:ind w:firstLine="640" w:firstLineChars="200"/>
        <w:rPr>
          <w:rFonts w:eastAsia="仿宋_GB2312"/>
          <w:color w:val="000000"/>
          <w:kern w:val="0"/>
          <w:sz w:val="32"/>
          <w:szCs w:val="32"/>
          <w:shd w:val="clear" w:color="auto" w:fill="FFFFFF"/>
          <w:lang w:val="zh-CN"/>
        </w:rPr>
      </w:pPr>
    </w:p>
    <w:p w14:paraId="03927962">
      <w:pPr>
        <w:widowControl/>
        <w:adjustRightInd w:val="0"/>
        <w:snapToGrid w:val="0"/>
        <w:spacing w:line="578" w:lineRule="exact"/>
        <w:contextualSpacing/>
        <w:jc w:val="left"/>
        <w:rPr>
          <w:rFonts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p w14:paraId="3B8DEDCB">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24"/>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14:paraId="76EC1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79FC49D1">
            <w:pPr>
              <w:spacing w:line="300" w:lineRule="exact"/>
              <w:jc w:val="center"/>
              <w:rPr>
                <w:rFonts w:ascii="黑体" w:hAnsi="黑体" w:eastAsia="黑体" w:cs="黑体"/>
                <w:sz w:val="24"/>
                <w:szCs w:val="24"/>
              </w:rPr>
            </w:pPr>
            <w:r>
              <w:rPr>
                <w:rFonts w:hint="eastAsia" w:ascii="黑体" w:hAnsi="黑体" w:eastAsia="黑体" w:cs="黑体"/>
                <w:sz w:val="24"/>
                <w:szCs w:val="24"/>
              </w:rPr>
              <w:t>序号</w:t>
            </w:r>
          </w:p>
        </w:tc>
        <w:tc>
          <w:tcPr>
            <w:tcW w:w="3843" w:type="dxa"/>
          </w:tcPr>
          <w:p w14:paraId="7D1B77D9">
            <w:pPr>
              <w:spacing w:line="300" w:lineRule="exact"/>
              <w:jc w:val="center"/>
              <w:rPr>
                <w:rFonts w:ascii="黑体" w:hAnsi="黑体" w:eastAsia="黑体" w:cs="黑体"/>
                <w:sz w:val="24"/>
                <w:szCs w:val="24"/>
                <w:lang w:val="en"/>
              </w:rPr>
            </w:pPr>
            <w:r>
              <w:rPr>
                <w:rFonts w:hint="eastAsia" w:ascii="黑体" w:hAnsi="黑体" w:eastAsia="黑体" w:cs="黑体"/>
                <w:sz w:val="24"/>
                <w:szCs w:val="24"/>
              </w:rPr>
              <w:t>项目资金末端分配点位</w:t>
            </w:r>
          </w:p>
        </w:tc>
        <w:tc>
          <w:tcPr>
            <w:tcW w:w="2861" w:type="dxa"/>
          </w:tcPr>
          <w:p w14:paraId="4F9697B0">
            <w:pPr>
              <w:spacing w:line="300" w:lineRule="exact"/>
              <w:jc w:val="center"/>
              <w:rPr>
                <w:rFonts w:ascii="黑体" w:hAnsi="黑体" w:eastAsia="黑体" w:cs="黑体"/>
                <w:sz w:val="24"/>
                <w:szCs w:val="24"/>
              </w:rPr>
            </w:pPr>
            <w:r>
              <w:rPr>
                <w:rFonts w:hint="eastAsia" w:ascii="黑体" w:hAnsi="黑体" w:eastAsia="黑体" w:cs="黑体"/>
                <w:sz w:val="24"/>
                <w:szCs w:val="24"/>
                <w:lang w:val="en"/>
              </w:rPr>
              <w:t>自评得分（百分制）</w:t>
            </w:r>
          </w:p>
        </w:tc>
        <w:tc>
          <w:tcPr>
            <w:tcW w:w="993" w:type="dxa"/>
          </w:tcPr>
          <w:p w14:paraId="266FA56B">
            <w:pPr>
              <w:spacing w:line="300" w:lineRule="exact"/>
              <w:jc w:val="center"/>
              <w:rPr>
                <w:rFonts w:ascii="黑体" w:hAnsi="黑体" w:eastAsia="黑体" w:cs="黑体"/>
                <w:sz w:val="24"/>
                <w:szCs w:val="24"/>
              </w:rPr>
            </w:pPr>
            <w:r>
              <w:rPr>
                <w:rFonts w:hint="eastAsia" w:ascii="黑体" w:hAnsi="黑体" w:eastAsia="黑体" w:cs="黑体"/>
                <w:sz w:val="24"/>
                <w:szCs w:val="24"/>
              </w:rPr>
              <w:t>备注</w:t>
            </w:r>
          </w:p>
        </w:tc>
      </w:tr>
      <w:tr w14:paraId="7E4A5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exact"/>
          <w:jc w:val="center"/>
        </w:trPr>
        <w:tc>
          <w:tcPr>
            <w:tcW w:w="1123" w:type="dxa"/>
          </w:tcPr>
          <w:p w14:paraId="19ABEDA0">
            <w:pPr>
              <w:spacing w:line="300" w:lineRule="exact"/>
              <w:jc w:val="center"/>
              <w:rPr>
                <w:rFonts w:ascii="宋体" w:hAnsi="宋体" w:eastAsia="宋体" w:cs="宋体"/>
                <w:sz w:val="24"/>
                <w:szCs w:val="24"/>
              </w:rPr>
            </w:pPr>
            <w:r>
              <w:rPr>
                <w:rFonts w:hint="eastAsia" w:ascii="宋体" w:hAnsi="宋体" w:eastAsia="宋体" w:cs="宋体"/>
                <w:sz w:val="24"/>
                <w:szCs w:val="24"/>
              </w:rPr>
              <w:t>1</w:t>
            </w:r>
          </w:p>
        </w:tc>
        <w:tc>
          <w:tcPr>
            <w:tcW w:w="3843" w:type="dxa"/>
          </w:tcPr>
          <w:p w14:paraId="47E5F098">
            <w:pPr>
              <w:spacing w:line="300" w:lineRule="exact"/>
              <w:rPr>
                <w:rFonts w:ascii="宋体" w:hAnsi="宋体" w:eastAsia="仿宋_GB2312" w:cs="宋体"/>
                <w:sz w:val="24"/>
                <w:szCs w:val="24"/>
                <w:lang w:val="en"/>
              </w:rPr>
            </w:pPr>
            <w:r>
              <w:rPr>
                <w:rFonts w:hint="eastAsia" w:ascii="仿宋_GB2312" w:eastAsia="仿宋_GB2312" w:cs="Times New Roman"/>
                <w:kern w:val="2"/>
                <w:sz w:val="32"/>
                <w:szCs w:val="21"/>
                <w:u w:val="none"/>
              </w:rPr>
              <w:t>茂县数字农业服务平台扩建</w:t>
            </w:r>
          </w:p>
        </w:tc>
        <w:tc>
          <w:tcPr>
            <w:tcW w:w="2861" w:type="dxa"/>
          </w:tcPr>
          <w:p w14:paraId="02D39861">
            <w:pPr>
              <w:spacing w:line="300" w:lineRule="exact"/>
              <w:jc w:val="center"/>
              <w:rPr>
                <w:rFonts w:hint="default" w:ascii="宋体" w:hAnsi="宋体" w:eastAsia="仿宋_GB2312" w:cs="宋体"/>
                <w:sz w:val="24"/>
                <w:szCs w:val="24"/>
                <w:lang w:val="en-US" w:eastAsia="zh-CN"/>
              </w:rPr>
            </w:pPr>
            <w:r>
              <w:rPr>
                <w:rFonts w:hint="eastAsia" w:ascii="黑体" w:hAnsi="黑体" w:eastAsia="黑体" w:cs="黑体"/>
                <w:sz w:val="24"/>
                <w:szCs w:val="24"/>
                <w:lang w:val="en-US" w:eastAsia="zh-CN"/>
              </w:rPr>
              <w:t>100</w:t>
            </w:r>
          </w:p>
        </w:tc>
        <w:tc>
          <w:tcPr>
            <w:tcW w:w="993" w:type="dxa"/>
          </w:tcPr>
          <w:p w14:paraId="556BDADB">
            <w:pPr>
              <w:spacing w:line="300" w:lineRule="exact"/>
              <w:rPr>
                <w:rFonts w:ascii="宋体" w:hAnsi="宋体" w:eastAsia="仿宋_GB2312" w:cs="宋体"/>
                <w:sz w:val="24"/>
                <w:szCs w:val="24"/>
              </w:rPr>
            </w:pPr>
          </w:p>
        </w:tc>
      </w:tr>
      <w:tr w14:paraId="2F3F6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41AB26A2">
            <w:pPr>
              <w:spacing w:line="300" w:lineRule="exact"/>
              <w:jc w:val="center"/>
              <w:rPr>
                <w:rFonts w:ascii="宋体" w:hAnsi="宋体" w:eastAsia="宋体" w:cs="宋体"/>
                <w:sz w:val="24"/>
                <w:szCs w:val="24"/>
              </w:rPr>
            </w:pPr>
            <w:r>
              <w:rPr>
                <w:rFonts w:hint="eastAsia" w:ascii="宋体" w:hAnsi="宋体" w:eastAsia="宋体" w:cs="宋体"/>
                <w:sz w:val="24"/>
                <w:szCs w:val="24"/>
              </w:rPr>
              <w:t>2</w:t>
            </w:r>
          </w:p>
        </w:tc>
        <w:tc>
          <w:tcPr>
            <w:tcW w:w="3843" w:type="dxa"/>
          </w:tcPr>
          <w:p w14:paraId="4BE450CB">
            <w:pPr>
              <w:spacing w:line="300" w:lineRule="exact"/>
              <w:rPr>
                <w:rFonts w:ascii="宋体" w:hAnsi="宋体" w:eastAsia="仿宋_GB2312" w:cs="宋体"/>
                <w:sz w:val="24"/>
                <w:szCs w:val="24"/>
                <w:lang w:val="en"/>
              </w:rPr>
            </w:pPr>
          </w:p>
        </w:tc>
        <w:tc>
          <w:tcPr>
            <w:tcW w:w="2861" w:type="dxa"/>
          </w:tcPr>
          <w:p w14:paraId="75031FFD">
            <w:pPr>
              <w:spacing w:line="300" w:lineRule="exact"/>
              <w:rPr>
                <w:rFonts w:ascii="宋体" w:hAnsi="宋体" w:eastAsia="仿宋_GB2312" w:cs="宋体"/>
                <w:sz w:val="24"/>
                <w:szCs w:val="24"/>
                <w:lang w:val="en"/>
              </w:rPr>
            </w:pPr>
          </w:p>
        </w:tc>
        <w:tc>
          <w:tcPr>
            <w:tcW w:w="993" w:type="dxa"/>
          </w:tcPr>
          <w:p w14:paraId="7BC46A4F">
            <w:pPr>
              <w:spacing w:line="300" w:lineRule="exact"/>
              <w:rPr>
                <w:rFonts w:ascii="宋体" w:hAnsi="宋体" w:eastAsia="仿宋_GB2312" w:cs="宋体"/>
                <w:sz w:val="24"/>
                <w:szCs w:val="24"/>
              </w:rPr>
            </w:pPr>
          </w:p>
        </w:tc>
      </w:tr>
      <w:tr w14:paraId="1D4CF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78FFE019">
            <w:pPr>
              <w:spacing w:line="300" w:lineRule="exact"/>
              <w:jc w:val="center"/>
              <w:rPr>
                <w:rFonts w:ascii="宋体" w:hAnsi="宋体" w:eastAsia="宋体" w:cs="宋体"/>
                <w:sz w:val="24"/>
                <w:szCs w:val="24"/>
              </w:rPr>
            </w:pPr>
            <w:r>
              <w:rPr>
                <w:rFonts w:hint="eastAsia" w:ascii="宋体" w:hAnsi="宋体" w:eastAsia="宋体" w:cs="宋体"/>
                <w:sz w:val="24"/>
                <w:szCs w:val="24"/>
              </w:rPr>
              <w:t>3</w:t>
            </w:r>
          </w:p>
        </w:tc>
        <w:tc>
          <w:tcPr>
            <w:tcW w:w="3843" w:type="dxa"/>
          </w:tcPr>
          <w:p w14:paraId="62CA9D0E">
            <w:pPr>
              <w:spacing w:line="300" w:lineRule="exact"/>
              <w:rPr>
                <w:rFonts w:ascii="宋体" w:hAnsi="宋体" w:eastAsia="仿宋_GB2312" w:cs="宋体"/>
                <w:sz w:val="24"/>
                <w:szCs w:val="24"/>
                <w:lang w:val="en"/>
              </w:rPr>
            </w:pPr>
          </w:p>
        </w:tc>
        <w:tc>
          <w:tcPr>
            <w:tcW w:w="2861" w:type="dxa"/>
          </w:tcPr>
          <w:p w14:paraId="23450907">
            <w:pPr>
              <w:spacing w:line="300" w:lineRule="exact"/>
              <w:rPr>
                <w:rFonts w:ascii="宋体" w:hAnsi="宋体" w:eastAsia="仿宋_GB2312" w:cs="宋体"/>
                <w:sz w:val="24"/>
                <w:szCs w:val="24"/>
                <w:lang w:val="en"/>
              </w:rPr>
            </w:pPr>
          </w:p>
        </w:tc>
        <w:tc>
          <w:tcPr>
            <w:tcW w:w="993" w:type="dxa"/>
          </w:tcPr>
          <w:p w14:paraId="742564D1">
            <w:pPr>
              <w:spacing w:line="300" w:lineRule="exact"/>
              <w:rPr>
                <w:rFonts w:ascii="宋体" w:hAnsi="宋体" w:eastAsia="仿宋_GB2312" w:cs="宋体"/>
                <w:sz w:val="24"/>
                <w:szCs w:val="24"/>
              </w:rPr>
            </w:pPr>
          </w:p>
        </w:tc>
      </w:tr>
      <w:tr w14:paraId="57BB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47DFBC24">
            <w:pPr>
              <w:spacing w:line="300" w:lineRule="exact"/>
              <w:jc w:val="center"/>
              <w:rPr>
                <w:rFonts w:ascii="宋体" w:hAnsi="宋体" w:eastAsia="宋体" w:cs="宋体"/>
                <w:sz w:val="24"/>
                <w:szCs w:val="24"/>
              </w:rPr>
            </w:pPr>
            <w:r>
              <w:rPr>
                <w:rFonts w:hint="eastAsia" w:ascii="宋体" w:hAnsi="宋体" w:eastAsia="宋体" w:cs="宋体"/>
                <w:sz w:val="24"/>
                <w:szCs w:val="24"/>
              </w:rPr>
              <w:t>4</w:t>
            </w:r>
          </w:p>
        </w:tc>
        <w:tc>
          <w:tcPr>
            <w:tcW w:w="3843" w:type="dxa"/>
          </w:tcPr>
          <w:p w14:paraId="6630700C">
            <w:pPr>
              <w:spacing w:line="300" w:lineRule="exact"/>
              <w:rPr>
                <w:rFonts w:ascii="宋体" w:hAnsi="宋体" w:eastAsia="仿宋_GB2312" w:cs="宋体"/>
                <w:sz w:val="24"/>
                <w:szCs w:val="24"/>
                <w:lang w:val="en"/>
              </w:rPr>
            </w:pPr>
          </w:p>
        </w:tc>
        <w:tc>
          <w:tcPr>
            <w:tcW w:w="2861" w:type="dxa"/>
          </w:tcPr>
          <w:p w14:paraId="07F24AF4">
            <w:pPr>
              <w:spacing w:line="300" w:lineRule="exact"/>
              <w:rPr>
                <w:rFonts w:ascii="宋体" w:hAnsi="宋体" w:eastAsia="仿宋_GB2312" w:cs="宋体"/>
                <w:sz w:val="24"/>
                <w:szCs w:val="24"/>
                <w:lang w:val="en"/>
              </w:rPr>
            </w:pPr>
          </w:p>
        </w:tc>
        <w:tc>
          <w:tcPr>
            <w:tcW w:w="993" w:type="dxa"/>
          </w:tcPr>
          <w:p w14:paraId="093E9BC6">
            <w:pPr>
              <w:spacing w:line="300" w:lineRule="exact"/>
              <w:rPr>
                <w:rFonts w:ascii="宋体" w:hAnsi="宋体" w:eastAsia="仿宋_GB2312" w:cs="宋体"/>
                <w:sz w:val="24"/>
                <w:szCs w:val="24"/>
              </w:rPr>
            </w:pPr>
          </w:p>
        </w:tc>
      </w:tr>
      <w:tr w14:paraId="3D063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11D2A147">
            <w:pPr>
              <w:spacing w:line="300" w:lineRule="exact"/>
              <w:jc w:val="center"/>
              <w:rPr>
                <w:rFonts w:ascii="宋体" w:hAnsi="宋体" w:eastAsia="宋体" w:cs="宋体"/>
                <w:sz w:val="24"/>
                <w:szCs w:val="24"/>
              </w:rPr>
            </w:pPr>
            <w:r>
              <w:rPr>
                <w:rFonts w:hint="eastAsia" w:ascii="宋体" w:hAnsi="宋体" w:eastAsia="宋体" w:cs="宋体"/>
                <w:sz w:val="24"/>
                <w:szCs w:val="24"/>
              </w:rPr>
              <w:t>5</w:t>
            </w:r>
          </w:p>
        </w:tc>
        <w:tc>
          <w:tcPr>
            <w:tcW w:w="3843" w:type="dxa"/>
          </w:tcPr>
          <w:p w14:paraId="67E6425E">
            <w:pPr>
              <w:spacing w:line="300" w:lineRule="exact"/>
              <w:rPr>
                <w:rFonts w:ascii="宋体" w:hAnsi="宋体" w:eastAsia="仿宋_GB2312" w:cs="宋体"/>
                <w:sz w:val="24"/>
                <w:szCs w:val="24"/>
                <w:lang w:val="en"/>
              </w:rPr>
            </w:pPr>
          </w:p>
        </w:tc>
        <w:tc>
          <w:tcPr>
            <w:tcW w:w="2861" w:type="dxa"/>
          </w:tcPr>
          <w:p w14:paraId="33DFBA16">
            <w:pPr>
              <w:spacing w:line="300" w:lineRule="exact"/>
              <w:rPr>
                <w:rFonts w:ascii="宋体" w:hAnsi="宋体" w:eastAsia="仿宋_GB2312" w:cs="宋体"/>
                <w:sz w:val="24"/>
                <w:szCs w:val="24"/>
                <w:lang w:val="en"/>
              </w:rPr>
            </w:pPr>
          </w:p>
        </w:tc>
        <w:tc>
          <w:tcPr>
            <w:tcW w:w="993" w:type="dxa"/>
          </w:tcPr>
          <w:p w14:paraId="5222A6D8">
            <w:pPr>
              <w:spacing w:line="300" w:lineRule="exact"/>
              <w:rPr>
                <w:rFonts w:ascii="宋体" w:hAnsi="宋体" w:eastAsia="仿宋_GB2312" w:cs="宋体"/>
                <w:sz w:val="24"/>
                <w:szCs w:val="24"/>
              </w:rPr>
            </w:pPr>
          </w:p>
        </w:tc>
      </w:tr>
      <w:tr w14:paraId="720FA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181B84BF">
            <w:pPr>
              <w:spacing w:line="300" w:lineRule="exact"/>
              <w:jc w:val="center"/>
              <w:rPr>
                <w:rFonts w:ascii="宋体" w:hAnsi="宋体" w:eastAsia="宋体" w:cs="宋体"/>
                <w:sz w:val="24"/>
                <w:szCs w:val="24"/>
              </w:rPr>
            </w:pPr>
            <w:r>
              <w:rPr>
                <w:rFonts w:hint="eastAsia" w:ascii="宋体" w:hAnsi="宋体" w:eastAsia="宋体" w:cs="宋体"/>
                <w:sz w:val="24"/>
                <w:szCs w:val="24"/>
              </w:rPr>
              <w:t>6</w:t>
            </w:r>
          </w:p>
        </w:tc>
        <w:tc>
          <w:tcPr>
            <w:tcW w:w="3843" w:type="dxa"/>
          </w:tcPr>
          <w:p w14:paraId="7A742015">
            <w:pPr>
              <w:spacing w:line="300" w:lineRule="exact"/>
              <w:rPr>
                <w:rFonts w:ascii="宋体" w:hAnsi="宋体" w:eastAsia="仿宋_GB2312" w:cs="宋体"/>
                <w:sz w:val="24"/>
                <w:szCs w:val="24"/>
                <w:lang w:val="en"/>
              </w:rPr>
            </w:pPr>
          </w:p>
        </w:tc>
        <w:tc>
          <w:tcPr>
            <w:tcW w:w="2861" w:type="dxa"/>
          </w:tcPr>
          <w:p w14:paraId="4FB63560">
            <w:pPr>
              <w:spacing w:line="300" w:lineRule="exact"/>
              <w:rPr>
                <w:rFonts w:ascii="宋体" w:hAnsi="宋体" w:eastAsia="仿宋_GB2312" w:cs="宋体"/>
                <w:sz w:val="24"/>
                <w:szCs w:val="24"/>
                <w:lang w:val="en"/>
              </w:rPr>
            </w:pPr>
          </w:p>
        </w:tc>
        <w:tc>
          <w:tcPr>
            <w:tcW w:w="993" w:type="dxa"/>
          </w:tcPr>
          <w:p w14:paraId="4D45FA74">
            <w:pPr>
              <w:spacing w:line="300" w:lineRule="exact"/>
              <w:rPr>
                <w:rFonts w:ascii="宋体" w:hAnsi="宋体" w:eastAsia="仿宋_GB2312" w:cs="宋体"/>
                <w:sz w:val="24"/>
                <w:szCs w:val="24"/>
              </w:rPr>
            </w:pPr>
          </w:p>
        </w:tc>
      </w:tr>
      <w:tr w14:paraId="7C4B9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4EA8E2DD">
            <w:pPr>
              <w:spacing w:line="300" w:lineRule="exact"/>
              <w:jc w:val="center"/>
              <w:rPr>
                <w:rFonts w:ascii="宋体" w:hAnsi="宋体" w:eastAsia="宋体" w:cs="宋体"/>
                <w:sz w:val="24"/>
                <w:szCs w:val="24"/>
              </w:rPr>
            </w:pPr>
            <w:r>
              <w:rPr>
                <w:rFonts w:hint="eastAsia" w:ascii="宋体" w:hAnsi="宋体" w:eastAsia="宋体" w:cs="宋体"/>
                <w:sz w:val="24"/>
                <w:szCs w:val="24"/>
              </w:rPr>
              <w:t>7</w:t>
            </w:r>
          </w:p>
        </w:tc>
        <w:tc>
          <w:tcPr>
            <w:tcW w:w="3843" w:type="dxa"/>
          </w:tcPr>
          <w:p w14:paraId="3651AF9E">
            <w:pPr>
              <w:spacing w:line="300" w:lineRule="exact"/>
              <w:rPr>
                <w:rFonts w:ascii="宋体" w:hAnsi="宋体" w:eastAsia="仿宋_GB2312" w:cs="宋体"/>
                <w:sz w:val="24"/>
                <w:szCs w:val="24"/>
                <w:lang w:val="en"/>
              </w:rPr>
            </w:pPr>
          </w:p>
        </w:tc>
        <w:tc>
          <w:tcPr>
            <w:tcW w:w="2861" w:type="dxa"/>
          </w:tcPr>
          <w:p w14:paraId="341BD958">
            <w:pPr>
              <w:spacing w:line="300" w:lineRule="exact"/>
              <w:rPr>
                <w:rFonts w:ascii="宋体" w:hAnsi="宋体" w:eastAsia="仿宋_GB2312" w:cs="宋体"/>
                <w:sz w:val="24"/>
                <w:szCs w:val="24"/>
                <w:lang w:val="en"/>
              </w:rPr>
            </w:pPr>
          </w:p>
        </w:tc>
        <w:tc>
          <w:tcPr>
            <w:tcW w:w="993" w:type="dxa"/>
          </w:tcPr>
          <w:p w14:paraId="614A862E">
            <w:pPr>
              <w:spacing w:line="300" w:lineRule="exact"/>
              <w:rPr>
                <w:rFonts w:ascii="宋体" w:hAnsi="宋体" w:eastAsia="仿宋_GB2312" w:cs="宋体"/>
                <w:sz w:val="24"/>
                <w:szCs w:val="24"/>
              </w:rPr>
            </w:pPr>
          </w:p>
        </w:tc>
      </w:tr>
      <w:tr w14:paraId="2A437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15C3E167">
            <w:pPr>
              <w:spacing w:line="300" w:lineRule="exact"/>
              <w:jc w:val="center"/>
              <w:rPr>
                <w:rFonts w:ascii="宋体" w:hAnsi="宋体" w:eastAsia="宋体" w:cs="宋体"/>
                <w:sz w:val="24"/>
                <w:szCs w:val="24"/>
              </w:rPr>
            </w:pPr>
            <w:r>
              <w:rPr>
                <w:rFonts w:hint="eastAsia" w:ascii="宋体" w:hAnsi="宋体" w:eastAsia="宋体" w:cs="宋体"/>
                <w:sz w:val="24"/>
                <w:szCs w:val="24"/>
              </w:rPr>
              <w:t>8</w:t>
            </w:r>
          </w:p>
        </w:tc>
        <w:tc>
          <w:tcPr>
            <w:tcW w:w="3843" w:type="dxa"/>
          </w:tcPr>
          <w:p w14:paraId="4D0A9488">
            <w:pPr>
              <w:spacing w:line="300" w:lineRule="exact"/>
              <w:rPr>
                <w:rFonts w:ascii="宋体" w:hAnsi="宋体" w:eastAsia="仿宋_GB2312" w:cs="宋体"/>
                <w:sz w:val="24"/>
                <w:szCs w:val="24"/>
                <w:lang w:val="en"/>
              </w:rPr>
            </w:pPr>
          </w:p>
        </w:tc>
        <w:tc>
          <w:tcPr>
            <w:tcW w:w="2861" w:type="dxa"/>
          </w:tcPr>
          <w:p w14:paraId="369E21FD">
            <w:pPr>
              <w:spacing w:line="300" w:lineRule="exact"/>
              <w:rPr>
                <w:rFonts w:ascii="宋体" w:hAnsi="宋体" w:eastAsia="仿宋_GB2312" w:cs="宋体"/>
                <w:sz w:val="24"/>
                <w:szCs w:val="24"/>
                <w:lang w:val="en"/>
              </w:rPr>
            </w:pPr>
          </w:p>
        </w:tc>
        <w:tc>
          <w:tcPr>
            <w:tcW w:w="993" w:type="dxa"/>
          </w:tcPr>
          <w:p w14:paraId="5EAB28E0">
            <w:pPr>
              <w:spacing w:line="300" w:lineRule="exact"/>
              <w:rPr>
                <w:rFonts w:ascii="宋体" w:hAnsi="宋体" w:eastAsia="仿宋_GB2312" w:cs="宋体"/>
                <w:sz w:val="24"/>
                <w:szCs w:val="24"/>
              </w:rPr>
            </w:pPr>
          </w:p>
        </w:tc>
      </w:tr>
      <w:tr w14:paraId="3799A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3270B248">
            <w:pPr>
              <w:spacing w:line="300" w:lineRule="exact"/>
              <w:jc w:val="center"/>
              <w:rPr>
                <w:rFonts w:ascii="宋体" w:hAnsi="宋体" w:eastAsia="宋体" w:cs="宋体"/>
                <w:sz w:val="24"/>
                <w:szCs w:val="24"/>
              </w:rPr>
            </w:pPr>
            <w:r>
              <w:rPr>
                <w:rFonts w:hint="eastAsia" w:ascii="宋体" w:hAnsi="宋体" w:eastAsia="宋体" w:cs="宋体"/>
                <w:sz w:val="24"/>
                <w:szCs w:val="24"/>
              </w:rPr>
              <w:t>……</w:t>
            </w:r>
          </w:p>
        </w:tc>
        <w:tc>
          <w:tcPr>
            <w:tcW w:w="3843" w:type="dxa"/>
          </w:tcPr>
          <w:p w14:paraId="6A2CD792">
            <w:pPr>
              <w:spacing w:line="300" w:lineRule="exact"/>
              <w:rPr>
                <w:rFonts w:ascii="宋体" w:hAnsi="宋体" w:eastAsia="仿宋_GB2312" w:cs="宋体"/>
                <w:sz w:val="24"/>
                <w:szCs w:val="24"/>
                <w:lang w:val="en"/>
              </w:rPr>
            </w:pPr>
          </w:p>
        </w:tc>
        <w:tc>
          <w:tcPr>
            <w:tcW w:w="2861" w:type="dxa"/>
          </w:tcPr>
          <w:p w14:paraId="78EB0D97">
            <w:pPr>
              <w:spacing w:line="300" w:lineRule="exact"/>
              <w:rPr>
                <w:rFonts w:ascii="宋体" w:hAnsi="宋体" w:eastAsia="仿宋_GB2312" w:cs="宋体"/>
                <w:sz w:val="24"/>
                <w:szCs w:val="24"/>
                <w:lang w:val="en"/>
              </w:rPr>
            </w:pPr>
          </w:p>
        </w:tc>
        <w:tc>
          <w:tcPr>
            <w:tcW w:w="993" w:type="dxa"/>
          </w:tcPr>
          <w:p w14:paraId="2CBF9BD1">
            <w:pPr>
              <w:spacing w:line="300" w:lineRule="exact"/>
              <w:rPr>
                <w:rFonts w:ascii="宋体" w:hAnsi="宋体" w:eastAsia="仿宋_GB2312" w:cs="宋体"/>
                <w:sz w:val="24"/>
                <w:szCs w:val="24"/>
              </w:rPr>
            </w:pPr>
          </w:p>
        </w:tc>
      </w:tr>
    </w:tbl>
    <w:p w14:paraId="6AFE5A03">
      <w:pPr>
        <w:spacing w:line="400" w:lineRule="exact"/>
        <w:jc w:val="left"/>
        <w:rPr>
          <w:rFonts w:ascii="宋体" w:hAnsi="宋体" w:eastAsia="宋体" w:cs="宋体"/>
          <w:sz w:val="21"/>
          <w:szCs w:val="21"/>
        </w:rPr>
      </w:pPr>
      <w:r>
        <w:rPr>
          <w:rFonts w:hint="eastAsia" w:ascii="宋体" w:hAnsi="宋体" w:eastAsia="宋体" w:cs="宋体"/>
          <w:sz w:val="21"/>
          <w:szCs w:val="21"/>
        </w:rPr>
        <w:t>备注：1.项目资金末端分配点位包括本部门、部门下属单位及一次性单位等。</w:t>
      </w:r>
    </w:p>
    <w:p w14:paraId="2EFB58DE">
      <w:pPr>
        <w:spacing w:line="400" w:lineRule="exact"/>
        <w:ind w:firstLine="630" w:firstLineChars="300"/>
        <w:jc w:val="left"/>
        <w:rPr>
          <w:rFonts w:ascii="宋体" w:hAnsi="宋体" w:eastAsia="宋体" w:cs="宋体"/>
          <w:sz w:val="21"/>
          <w:szCs w:val="21"/>
        </w:rPr>
      </w:pPr>
      <w:r>
        <w:rPr>
          <w:rFonts w:hint="eastAsia" w:ascii="宋体" w:hAnsi="宋体" w:eastAsia="宋体" w:cs="宋体"/>
          <w:sz w:val="21"/>
          <w:szCs w:val="21"/>
        </w:rPr>
        <w:t>2.自评得分（百分制）从高到低划分为优、良、中、差四个档次，各个档次数量占比分别为20%、20%、55%、5%，且不同档次间得分分值应体现差异化，同档次得分分值相同的比例不超过该档次总数量的10%。</w:t>
      </w:r>
    </w:p>
    <w:p w14:paraId="39925531">
      <w:pPr>
        <w:pStyle w:val="19"/>
        <w:ind w:left="0" w:leftChars="0" w:firstLine="0" w:firstLineChars="0"/>
        <w:rPr>
          <w:rFonts w:hint="eastAsia"/>
          <w:lang w:eastAsia="zh-CN"/>
        </w:rPr>
      </w:pPr>
    </w:p>
    <w:p w14:paraId="724A18CF">
      <w:pPr>
        <w:pStyle w:val="19"/>
        <w:ind w:left="0" w:leftChars="0" w:firstLine="0" w:firstLineChars="0"/>
        <w:rPr>
          <w:rFonts w:hint="eastAsia"/>
          <w:lang w:eastAsia="zh-CN"/>
        </w:rPr>
      </w:pPr>
    </w:p>
    <w:p w14:paraId="54DCF709">
      <w:pPr>
        <w:pStyle w:val="19"/>
        <w:ind w:left="0" w:leftChars="0" w:firstLine="0" w:firstLineChars="0"/>
        <w:rPr>
          <w:rFonts w:hint="eastAsia"/>
          <w:lang w:eastAsia="zh-CN"/>
        </w:rPr>
      </w:pPr>
    </w:p>
    <w:p w14:paraId="159418C2">
      <w:pPr>
        <w:pStyle w:val="19"/>
        <w:ind w:left="0" w:leftChars="0" w:firstLine="0" w:firstLineChars="0"/>
        <w:rPr>
          <w:rFonts w:hint="eastAsia"/>
          <w:lang w:eastAsia="zh-CN"/>
        </w:rPr>
      </w:pPr>
    </w:p>
    <w:p w14:paraId="7CEE5A67">
      <w:pPr>
        <w:pStyle w:val="19"/>
        <w:ind w:left="0" w:leftChars="0" w:firstLine="0" w:firstLineChars="0"/>
        <w:rPr>
          <w:rFonts w:hint="eastAsia"/>
          <w:lang w:eastAsia="zh-CN"/>
        </w:rPr>
      </w:pPr>
    </w:p>
    <w:p w14:paraId="5A5ED5CA">
      <w:pPr>
        <w:pStyle w:val="19"/>
        <w:ind w:left="0" w:leftChars="0" w:firstLine="0" w:firstLineChars="0"/>
        <w:rPr>
          <w:rFonts w:hint="eastAsia"/>
          <w:lang w:eastAsia="zh-CN"/>
        </w:rPr>
      </w:pPr>
    </w:p>
    <w:p w14:paraId="74961B0B">
      <w:pPr>
        <w:pStyle w:val="19"/>
        <w:ind w:left="0" w:leftChars="0" w:firstLine="0" w:firstLineChars="0"/>
        <w:rPr>
          <w:rFonts w:hint="eastAsia"/>
          <w:lang w:eastAsia="zh-CN"/>
        </w:rPr>
      </w:pPr>
    </w:p>
    <w:p w14:paraId="7FA432EB">
      <w:pPr>
        <w:pStyle w:val="19"/>
        <w:ind w:left="0" w:leftChars="0" w:firstLine="0" w:firstLineChars="0"/>
        <w:rPr>
          <w:rFonts w:hint="eastAsia"/>
          <w:lang w:eastAsia="zh-CN"/>
        </w:rPr>
      </w:pPr>
    </w:p>
    <w:p w14:paraId="583FD62A">
      <w:pPr>
        <w:pStyle w:val="19"/>
        <w:ind w:left="0" w:leftChars="0" w:firstLine="0" w:firstLineChars="0"/>
        <w:rPr>
          <w:rFonts w:hint="eastAsia"/>
          <w:lang w:eastAsia="zh-CN"/>
        </w:rPr>
      </w:pPr>
    </w:p>
    <w:p w14:paraId="58CDD6A6">
      <w:pPr>
        <w:pStyle w:val="19"/>
        <w:ind w:left="0" w:leftChars="0" w:firstLine="0" w:firstLineChars="0"/>
        <w:rPr>
          <w:rFonts w:hint="eastAsia"/>
          <w:lang w:eastAsia="zh-CN"/>
        </w:rPr>
      </w:pPr>
    </w:p>
    <w:p w14:paraId="06AE2A0B">
      <w:pPr>
        <w:pStyle w:val="19"/>
        <w:ind w:left="0" w:leftChars="0" w:firstLine="0" w:firstLineChars="0"/>
        <w:rPr>
          <w:rFonts w:hint="eastAsia"/>
          <w:lang w:eastAsia="zh-CN"/>
        </w:rPr>
      </w:pPr>
    </w:p>
    <w:p w14:paraId="4F5B895A">
      <w:pPr>
        <w:pStyle w:val="19"/>
        <w:ind w:left="0" w:leftChars="0" w:firstLine="0" w:firstLineChars="0"/>
        <w:rPr>
          <w:rFonts w:eastAsia="仿宋_GB2312"/>
          <w:sz w:val="32"/>
          <w:szCs w:val="24"/>
        </w:rPr>
      </w:pPr>
      <w:r>
        <w:rPr>
          <w:rFonts w:hint="eastAsia" w:eastAsia="仿宋_GB2312"/>
          <w:sz w:val="32"/>
          <w:szCs w:val="24"/>
        </w:rPr>
        <w:br w:type="page"/>
      </w:r>
    </w:p>
    <w:tbl>
      <w:tblPr>
        <w:tblStyle w:val="23"/>
        <w:tblW w:w="83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10"/>
        <w:gridCol w:w="956"/>
        <w:gridCol w:w="1153"/>
        <w:gridCol w:w="396"/>
        <w:gridCol w:w="802"/>
        <w:gridCol w:w="396"/>
        <w:gridCol w:w="846"/>
        <w:gridCol w:w="486"/>
        <w:gridCol w:w="396"/>
        <w:gridCol w:w="1303"/>
      </w:tblGrid>
      <w:tr w14:paraId="7FBBC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3" w:hRule="atLeast"/>
        </w:trPr>
        <w:tc>
          <w:tcPr>
            <w:tcW w:w="83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1E1F4E8">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23B86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1" w:hRule="atLeast"/>
        </w:trPr>
        <w:tc>
          <w:tcPr>
            <w:tcW w:w="16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563E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70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76E0B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51322323T000009556229-茂县数字农业服务平台扩建</w:t>
            </w:r>
          </w:p>
        </w:tc>
      </w:tr>
      <w:tr w14:paraId="20BE7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6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4D59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9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9EB8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茂县供销合作社联合社本级</w:t>
            </w:r>
          </w:p>
        </w:tc>
        <w:tc>
          <w:tcPr>
            <w:tcW w:w="643" w:type="dxa"/>
            <w:tcBorders>
              <w:top w:val="nil"/>
              <w:left w:val="nil"/>
              <w:bottom w:val="nil"/>
              <w:right w:val="nil"/>
            </w:tcBorders>
            <w:shd w:val="clear" w:color="auto" w:fill="auto"/>
            <w:vAlign w:val="center"/>
          </w:tcPr>
          <w:p w14:paraId="3EC71C65">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0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E646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w:t>
            </w:r>
          </w:p>
        </w:tc>
      </w:tr>
      <w:tr w14:paraId="67C1C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1" w:hRule="atLeast"/>
        </w:trPr>
        <w:tc>
          <w:tcPr>
            <w:tcW w:w="4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74F2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2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B0CF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9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78A0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7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F0121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C305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8"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66898">
            <w:pPr>
              <w:rPr>
                <w:rFonts w:hint="eastAsia" w:ascii="宋体" w:hAnsi="宋体" w:eastAsia="宋体" w:cs="宋体"/>
                <w:i w:val="0"/>
                <w:iCs w:val="0"/>
                <w:color w:val="000000"/>
                <w:sz w:val="18"/>
                <w:szCs w:val="18"/>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23697">
            <w:pPr>
              <w:rPr>
                <w:rFonts w:hint="eastAsia" w:ascii="宋体" w:hAnsi="宋体" w:eastAsia="宋体" w:cs="宋体"/>
                <w:i w:val="0"/>
                <w:iCs w:val="0"/>
                <w:color w:val="000000"/>
                <w:sz w:val="18"/>
                <w:szCs w:val="18"/>
                <w:u w:val="none"/>
              </w:rPr>
            </w:pPr>
          </w:p>
        </w:tc>
        <w:tc>
          <w:tcPr>
            <w:tcW w:w="39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6B2E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完成茂县数字农业的基本要求在（渭门、黑虎、叠溪、沟口、土门、富顺、沙坝、洼底）等符合安装条件的镇，每个镇选择1-2个合适的基地、种植大户、致富带头人的土地等进行项目实施。</w:t>
            </w:r>
          </w:p>
        </w:tc>
        <w:tc>
          <w:tcPr>
            <w:tcW w:w="27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4FD77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根据年度目标任务，共计建立了14个溯源基地，覆盖了茂县7个镇。</w:t>
            </w:r>
          </w:p>
        </w:tc>
      </w:tr>
      <w:tr w14:paraId="30872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03F66">
            <w:pP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866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70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71A91D2">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在茂县（渭门、黑虎、叠溪、沟口、土门、富顺、沙坝、洼底）等8个镇，每个镇选择两个合适的基地进行项目实施。</w:t>
            </w:r>
          </w:p>
          <w:p w14:paraId="1BB0E9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其中包括气象站、摄像头、无线手持终端、大屏升级、网络基建等。</w:t>
            </w:r>
          </w:p>
        </w:tc>
      </w:tr>
      <w:tr w14:paraId="289BF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ECE2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720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0A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4D3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9F45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DAF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7A7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0F4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2A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8CA0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75F14">
            <w:pPr>
              <w:jc w:val="cente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3B2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4B8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BE7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142.58</w:t>
            </w:r>
          </w:p>
        </w:tc>
        <w:tc>
          <w:tcPr>
            <w:tcW w:w="16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BE33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142.58</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C82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8D4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8C6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15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E65EB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181F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A07CC">
            <w:pPr>
              <w:jc w:val="cente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2B3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831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C2B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142.58</w:t>
            </w:r>
          </w:p>
        </w:tc>
        <w:tc>
          <w:tcPr>
            <w:tcW w:w="16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BB35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142.58</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DE2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B12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0A4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5504C">
            <w:pPr>
              <w:rPr>
                <w:rFonts w:hint="eastAsia" w:ascii="黑体" w:hAnsi="黑体" w:eastAsia="黑体" w:cs="黑体"/>
                <w:i/>
                <w:iCs/>
                <w:color w:val="000000"/>
                <w:sz w:val="18"/>
                <w:szCs w:val="18"/>
                <w:u w:val="none"/>
              </w:rPr>
            </w:pPr>
          </w:p>
        </w:tc>
      </w:tr>
      <w:tr w14:paraId="33744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D5529">
            <w:pPr>
              <w:jc w:val="cente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63F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F55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86E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0C9A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D76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5E9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7FE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1D44A">
            <w:pPr>
              <w:rPr>
                <w:rFonts w:hint="eastAsia" w:ascii="黑体" w:hAnsi="黑体" w:eastAsia="黑体" w:cs="黑体"/>
                <w:i/>
                <w:iCs/>
                <w:color w:val="000000"/>
                <w:sz w:val="18"/>
                <w:szCs w:val="18"/>
                <w:u w:val="none"/>
              </w:rPr>
            </w:pPr>
          </w:p>
        </w:tc>
      </w:tr>
      <w:tr w14:paraId="69EC1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2AC4F">
            <w:pPr>
              <w:jc w:val="cente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124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B58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BE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F7EA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378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86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377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138CD">
            <w:pPr>
              <w:rPr>
                <w:rFonts w:hint="eastAsia" w:ascii="黑体" w:hAnsi="黑体" w:eastAsia="黑体" w:cs="黑体"/>
                <w:i/>
                <w:iCs/>
                <w:color w:val="000000"/>
                <w:sz w:val="18"/>
                <w:szCs w:val="18"/>
                <w:u w:val="none"/>
              </w:rPr>
            </w:pPr>
          </w:p>
        </w:tc>
      </w:tr>
      <w:tr w14:paraId="1242D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F03CA">
            <w:pPr>
              <w:jc w:val="cente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5D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256BF">
            <w:pPr>
              <w:jc w:val="center"/>
              <w:rPr>
                <w:rFonts w:hint="eastAsia" w:ascii="微软雅黑" w:hAnsi="微软雅黑" w:eastAsia="微软雅黑" w:cs="微软雅黑"/>
                <w:i/>
                <w:iCs/>
                <w:color w:val="000000"/>
                <w:sz w:val="16"/>
                <w:szCs w:val="16"/>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C47D7">
            <w:pPr>
              <w:jc w:val="center"/>
              <w:rPr>
                <w:rFonts w:hint="eastAsia" w:ascii="微软雅黑" w:hAnsi="微软雅黑" w:eastAsia="微软雅黑" w:cs="微软雅黑"/>
                <w:i/>
                <w:iCs/>
                <w:color w:val="000000"/>
                <w:sz w:val="16"/>
                <w:szCs w:val="16"/>
                <w:u w:val="none"/>
              </w:rPr>
            </w:pPr>
          </w:p>
        </w:tc>
        <w:tc>
          <w:tcPr>
            <w:tcW w:w="16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B5754D">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1C2D5">
            <w:pPr>
              <w:jc w:val="center"/>
              <w:rPr>
                <w:rFonts w:hint="eastAsia" w:ascii="微软雅黑" w:hAnsi="微软雅黑" w:eastAsia="微软雅黑" w:cs="微软雅黑"/>
                <w:i/>
                <w:iCs/>
                <w:color w:val="000000"/>
                <w:sz w:val="16"/>
                <w:szCs w:val="16"/>
                <w:u w:val="none"/>
              </w:rPr>
            </w:pP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1E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023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73485">
            <w:pPr>
              <w:rPr>
                <w:rFonts w:hint="eastAsia" w:ascii="黑体" w:hAnsi="黑体" w:eastAsia="黑体" w:cs="黑体"/>
                <w:i/>
                <w:iCs/>
                <w:color w:val="000000"/>
                <w:sz w:val="18"/>
                <w:szCs w:val="18"/>
                <w:u w:val="none"/>
              </w:rPr>
            </w:pPr>
          </w:p>
        </w:tc>
      </w:tr>
      <w:tr w14:paraId="02149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1" w:hRule="atLeast"/>
        </w:trPr>
        <w:tc>
          <w:tcPr>
            <w:tcW w:w="4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458A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31A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A0A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B55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1F8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9C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71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361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365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DF6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384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132F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98E82">
            <w:pPr>
              <w:jc w:val="center"/>
              <w:rPr>
                <w:rFonts w:hint="eastAsia" w:ascii="宋体" w:hAnsi="宋体" w:eastAsia="宋体" w:cs="宋体"/>
                <w:i w:val="0"/>
                <w:iCs w:val="0"/>
                <w:color w:val="000000"/>
                <w:sz w:val="18"/>
                <w:szCs w:val="18"/>
                <w:u w:val="none"/>
              </w:rPr>
            </w:pPr>
          </w:p>
        </w:tc>
        <w:tc>
          <w:tcPr>
            <w:tcW w:w="12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3B1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6EE8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F37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平台运维</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A56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77B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569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BDB4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67E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6B0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0CC82">
            <w:pPr>
              <w:jc w:val="center"/>
              <w:rPr>
                <w:rFonts w:hint="eastAsia" w:ascii="微软雅黑" w:hAnsi="微软雅黑" w:eastAsia="微软雅黑" w:cs="微软雅黑"/>
                <w:i/>
                <w:iCs/>
                <w:color w:val="000000"/>
                <w:sz w:val="16"/>
                <w:szCs w:val="16"/>
                <w:u w:val="none"/>
              </w:rPr>
            </w:pPr>
          </w:p>
        </w:tc>
      </w:tr>
      <w:tr w14:paraId="227BF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114C0">
            <w:pPr>
              <w:jc w:val="center"/>
              <w:rPr>
                <w:rFonts w:hint="eastAsia" w:ascii="宋体" w:hAnsi="宋体" w:eastAsia="宋体" w:cs="宋体"/>
                <w:i w:val="0"/>
                <w:iCs w:val="0"/>
                <w:color w:val="000000"/>
                <w:sz w:val="18"/>
                <w:szCs w:val="18"/>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5716A">
            <w:pPr>
              <w:jc w:val="center"/>
              <w:rPr>
                <w:rFonts w:hint="eastAsia" w:ascii="宋体" w:hAnsi="宋体" w:eastAsia="宋体" w:cs="宋体"/>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48E93">
            <w:pPr>
              <w:jc w:val="center"/>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20A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农资服务模块</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E96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CEE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9B8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5625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8C8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C0A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30990">
            <w:pPr>
              <w:jc w:val="center"/>
              <w:rPr>
                <w:rFonts w:hint="eastAsia" w:ascii="微软雅黑" w:hAnsi="微软雅黑" w:eastAsia="微软雅黑" w:cs="微软雅黑"/>
                <w:i/>
                <w:iCs/>
                <w:color w:val="000000"/>
                <w:sz w:val="16"/>
                <w:szCs w:val="16"/>
                <w:u w:val="none"/>
              </w:rPr>
            </w:pPr>
          </w:p>
        </w:tc>
      </w:tr>
      <w:tr w14:paraId="41630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0D42A">
            <w:pPr>
              <w:jc w:val="center"/>
              <w:rPr>
                <w:rFonts w:hint="eastAsia" w:ascii="宋体" w:hAnsi="宋体" w:eastAsia="宋体" w:cs="宋体"/>
                <w:i w:val="0"/>
                <w:iCs w:val="0"/>
                <w:color w:val="000000"/>
                <w:sz w:val="18"/>
                <w:szCs w:val="18"/>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499AD">
            <w:pPr>
              <w:jc w:val="center"/>
              <w:rPr>
                <w:rFonts w:hint="eastAsia" w:ascii="宋体" w:hAnsi="宋体" w:eastAsia="宋体" w:cs="宋体"/>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4C4B7">
            <w:pPr>
              <w:jc w:val="center"/>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21A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地感遥感数据模块</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4E1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014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D6D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86A3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37D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A8C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5D849">
            <w:pPr>
              <w:jc w:val="center"/>
              <w:rPr>
                <w:rFonts w:hint="eastAsia" w:ascii="微软雅黑" w:hAnsi="微软雅黑" w:eastAsia="微软雅黑" w:cs="微软雅黑"/>
                <w:i/>
                <w:iCs/>
                <w:color w:val="000000"/>
                <w:sz w:val="16"/>
                <w:szCs w:val="16"/>
                <w:u w:val="none"/>
              </w:rPr>
            </w:pPr>
          </w:p>
        </w:tc>
      </w:tr>
      <w:tr w14:paraId="5FA37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CC5B0">
            <w:pPr>
              <w:jc w:val="center"/>
              <w:rPr>
                <w:rFonts w:hint="eastAsia" w:ascii="宋体" w:hAnsi="宋体" w:eastAsia="宋体" w:cs="宋体"/>
                <w:i w:val="0"/>
                <w:iCs w:val="0"/>
                <w:color w:val="000000"/>
                <w:sz w:val="18"/>
                <w:szCs w:val="18"/>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411A3">
            <w:pPr>
              <w:jc w:val="center"/>
              <w:rPr>
                <w:rFonts w:hint="eastAsia" w:ascii="宋体" w:hAnsi="宋体" w:eastAsia="宋体" w:cs="宋体"/>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84225">
            <w:pPr>
              <w:jc w:val="center"/>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1A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区块链溯源模块</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DE0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8D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F63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AB7D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2CA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0E4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09C68">
            <w:pPr>
              <w:jc w:val="center"/>
              <w:rPr>
                <w:rFonts w:hint="eastAsia" w:ascii="微软雅黑" w:hAnsi="微软雅黑" w:eastAsia="微软雅黑" w:cs="微软雅黑"/>
                <w:i/>
                <w:iCs/>
                <w:color w:val="000000"/>
                <w:sz w:val="16"/>
                <w:szCs w:val="16"/>
                <w:u w:val="none"/>
              </w:rPr>
            </w:pPr>
          </w:p>
        </w:tc>
      </w:tr>
      <w:tr w14:paraId="42EC3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01289">
            <w:pPr>
              <w:jc w:val="center"/>
              <w:rPr>
                <w:rFonts w:hint="eastAsia" w:ascii="宋体" w:hAnsi="宋体" w:eastAsia="宋体" w:cs="宋体"/>
                <w:i w:val="0"/>
                <w:iCs w:val="0"/>
                <w:color w:val="000000"/>
                <w:sz w:val="18"/>
                <w:szCs w:val="18"/>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D0C0C">
            <w:pPr>
              <w:jc w:val="center"/>
              <w:rPr>
                <w:rFonts w:hint="eastAsia" w:ascii="宋体" w:hAnsi="宋体" w:eastAsia="宋体" w:cs="宋体"/>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9EA05">
            <w:pPr>
              <w:jc w:val="center"/>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C9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太阳能熊猫风吸杀虫灯</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862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2C7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A9A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15C4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B09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7B8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B29F8">
            <w:pPr>
              <w:jc w:val="center"/>
              <w:rPr>
                <w:rFonts w:hint="eastAsia" w:ascii="微软雅黑" w:hAnsi="微软雅黑" w:eastAsia="微软雅黑" w:cs="微软雅黑"/>
                <w:i/>
                <w:iCs/>
                <w:color w:val="000000"/>
                <w:sz w:val="16"/>
                <w:szCs w:val="16"/>
                <w:u w:val="none"/>
              </w:rPr>
            </w:pPr>
          </w:p>
        </w:tc>
      </w:tr>
      <w:tr w14:paraId="7DE49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5F0A7">
            <w:pPr>
              <w:jc w:val="center"/>
              <w:rPr>
                <w:rFonts w:hint="eastAsia" w:ascii="宋体" w:hAnsi="宋体" w:eastAsia="宋体" w:cs="宋体"/>
                <w:i w:val="0"/>
                <w:iCs w:val="0"/>
                <w:color w:val="000000"/>
                <w:sz w:val="18"/>
                <w:szCs w:val="18"/>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2D4FA">
            <w:pPr>
              <w:jc w:val="center"/>
              <w:rPr>
                <w:rFonts w:hint="eastAsia" w:ascii="宋体" w:hAnsi="宋体" w:eastAsia="宋体" w:cs="宋体"/>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323DE">
            <w:pPr>
              <w:jc w:val="center"/>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A57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农产品电商模块</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208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0D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184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56A0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A27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EEA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19C88">
            <w:pPr>
              <w:jc w:val="center"/>
              <w:rPr>
                <w:rFonts w:hint="eastAsia" w:ascii="微软雅黑" w:hAnsi="微软雅黑" w:eastAsia="微软雅黑" w:cs="微软雅黑"/>
                <w:i/>
                <w:iCs/>
                <w:color w:val="000000"/>
                <w:sz w:val="16"/>
                <w:szCs w:val="16"/>
                <w:u w:val="none"/>
              </w:rPr>
            </w:pPr>
          </w:p>
        </w:tc>
      </w:tr>
      <w:tr w14:paraId="750C9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CE5E7">
            <w:pPr>
              <w:jc w:val="center"/>
              <w:rPr>
                <w:rFonts w:hint="eastAsia" w:ascii="宋体" w:hAnsi="宋体" w:eastAsia="宋体" w:cs="宋体"/>
                <w:i w:val="0"/>
                <w:iCs w:val="0"/>
                <w:color w:val="000000"/>
                <w:sz w:val="18"/>
                <w:szCs w:val="18"/>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7E8D0">
            <w:pPr>
              <w:jc w:val="center"/>
              <w:rPr>
                <w:rFonts w:hint="eastAsia" w:ascii="宋体" w:hAnsi="宋体" w:eastAsia="宋体" w:cs="宋体"/>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EBEBE">
            <w:pPr>
              <w:jc w:val="center"/>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363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移动app终端模块</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E53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134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4B2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9E0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9C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77F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7A87A">
            <w:pPr>
              <w:jc w:val="center"/>
              <w:rPr>
                <w:rFonts w:hint="eastAsia" w:ascii="微软雅黑" w:hAnsi="微软雅黑" w:eastAsia="微软雅黑" w:cs="微软雅黑"/>
                <w:i/>
                <w:iCs/>
                <w:color w:val="000000"/>
                <w:sz w:val="16"/>
                <w:szCs w:val="16"/>
                <w:u w:val="none"/>
              </w:rPr>
            </w:pPr>
          </w:p>
        </w:tc>
      </w:tr>
      <w:tr w14:paraId="7DB33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B38BE">
            <w:pPr>
              <w:jc w:val="center"/>
              <w:rPr>
                <w:rFonts w:hint="eastAsia" w:ascii="宋体" w:hAnsi="宋体" w:eastAsia="宋体" w:cs="宋体"/>
                <w:i w:val="0"/>
                <w:iCs w:val="0"/>
                <w:color w:val="000000"/>
                <w:sz w:val="18"/>
                <w:szCs w:val="18"/>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D21CD">
            <w:pPr>
              <w:jc w:val="center"/>
              <w:rPr>
                <w:rFonts w:hint="eastAsia" w:ascii="宋体" w:hAnsi="宋体" w:eastAsia="宋体" w:cs="宋体"/>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36598">
            <w:pPr>
              <w:jc w:val="center"/>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FFD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远程昆虫性诱测报仪</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850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797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58F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17AC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4C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1DB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59AC2">
            <w:pPr>
              <w:jc w:val="center"/>
              <w:rPr>
                <w:rFonts w:hint="eastAsia" w:ascii="微软雅黑" w:hAnsi="微软雅黑" w:eastAsia="微软雅黑" w:cs="微软雅黑"/>
                <w:i/>
                <w:iCs/>
                <w:color w:val="000000"/>
                <w:sz w:val="16"/>
                <w:szCs w:val="16"/>
                <w:u w:val="none"/>
              </w:rPr>
            </w:pPr>
          </w:p>
        </w:tc>
      </w:tr>
      <w:tr w14:paraId="392E3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78386">
            <w:pPr>
              <w:jc w:val="center"/>
              <w:rPr>
                <w:rFonts w:hint="eastAsia" w:ascii="宋体" w:hAnsi="宋体" w:eastAsia="宋体" w:cs="宋体"/>
                <w:i w:val="0"/>
                <w:iCs w:val="0"/>
                <w:color w:val="000000"/>
                <w:sz w:val="18"/>
                <w:szCs w:val="18"/>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EDF9D">
            <w:pPr>
              <w:jc w:val="center"/>
              <w:rPr>
                <w:rFonts w:hint="eastAsia" w:ascii="宋体" w:hAnsi="宋体" w:eastAsia="宋体" w:cs="宋体"/>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C2DCD">
            <w:pPr>
              <w:jc w:val="center"/>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CE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土壤墒情监测站</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85B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77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BC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8EDC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14</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173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965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76FE6">
            <w:pPr>
              <w:jc w:val="center"/>
              <w:rPr>
                <w:rFonts w:hint="eastAsia" w:ascii="微软雅黑" w:hAnsi="微软雅黑" w:eastAsia="微软雅黑" w:cs="微软雅黑"/>
                <w:i/>
                <w:iCs/>
                <w:color w:val="000000"/>
                <w:sz w:val="16"/>
                <w:szCs w:val="16"/>
                <w:u w:val="none"/>
              </w:rPr>
            </w:pPr>
          </w:p>
        </w:tc>
      </w:tr>
      <w:tr w14:paraId="69380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0DE03">
            <w:pPr>
              <w:jc w:val="center"/>
              <w:rPr>
                <w:rFonts w:hint="eastAsia" w:ascii="宋体" w:hAnsi="宋体" w:eastAsia="宋体" w:cs="宋体"/>
                <w:i w:val="0"/>
                <w:iCs w:val="0"/>
                <w:color w:val="000000"/>
                <w:sz w:val="18"/>
                <w:szCs w:val="18"/>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F600B">
            <w:pPr>
              <w:jc w:val="center"/>
              <w:rPr>
                <w:rFonts w:hint="eastAsia" w:ascii="宋体" w:hAnsi="宋体" w:eastAsia="宋体" w:cs="宋体"/>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560B7">
            <w:pPr>
              <w:jc w:val="center"/>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10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小型气象站</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0D3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1A8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07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29B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14</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1DB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44A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FEB0F">
            <w:pPr>
              <w:jc w:val="center"/>
              <w:rPr>
                <w:rFonts w:hint="eastAsia" w:ascii="微软雅黑" w:hAnsi="微软雅黑" w:eastAsia="微软雅黑" w:cs="微软雅黑"/>
                <w:i/>
                <w:iCs/>
                <w:color w:val="000000"/>
                <w:sz w:val="16"/>
                <w:szCs w:val="16"/>
                <w:u w:val="none"/>
              </w:rPr>
            </w:pPr>
          </w:p>
        </w:tc>
      </w:tr>
      <w:tr w14:paraId="0A2E0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8307B">
            <w:pPr>
              <w:jc w:val="center"/>
              <w:rPr>
                <w:rFonts w:hint="eastAsia" w:ascii="宋体" w:hAnsi="宋体" w:eastAsia="宋体" w:cs="宋体"/>
                <w:i w:val="0"/>
                <w:iCs w:val="0"/>
                <w:color w:val="000000"/>
                <w:sz w:val="18"/>
                <w:szCs w:val="18"/>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25140">
            <w:pPr>
              <w:jc w:val="center"/>
              <w:rPr>
                <w:rFonts w:hint="eastAsia" w:ascii="宋体" w:hAnsi="宋体" w:eastAsia="宋体" w:cs="宋体"/>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600B5">
            <w:pPr>
              <w:jc w:val="center"/>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01A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农业大数据分析模块</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A61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35C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F19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310D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C68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C31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076F1">
            <w:pPr>
              <w:jc w:val="center"/>
              <w:rPr>
                <w:rFonts w:hint="eastAsia" w:ascii="微软雅黑" w:hAnsi="微软雅黑" w:eastAsia="微软雅黑" w:cs="微软雅黑"/>
                <w:i/>
                <w:iCs/>
                <w:color w:val="000000"/>
                <w:sz w:val="16"/>
                <w:szCs w:val="16"/>
                <w:u w:val="none"/>
              </w:rPr>
            </w:pPr>
          </w:p>
        </w:tc>
      </w:tr>
      <w:tr w14:paraId="3ADFB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8D7C8">
            <w:pPr>
              <w:jc w:val="center"/>
              <w:rPr>
                <w:rFonts w:hint="eastAsia" w:ascii="宋体" w:hAnsi="宋体" w:eastAsia="宋体" w:cs="宋体"/>
                <w:i w:val="0"/>
                <w:iCs w:val="0"/>
                <w:color w:val="000000"/>
                <w:sz w:val="18"/>
                <w:szCs w:val="18"/>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85849">
            <w:pPr>
              <w:jc w:val="center"/>
              <w:rPr>
                <w:rFonts w:hint="eastAsia" w:ascii="宋体" w:hAnsi="宋体" w:eastAsia="宋体" w:cs="宋体"/>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DF904">
            <w:pPr>
              <w:jc w:val="center"/>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40B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云资源</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87C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A33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947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610F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949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526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3EA66">
            <w:pPr>
              <w:jc w:val="center"/>
              <w:rPr>
                <w:rFonts w:hint="eastAsia" w:ascii="微软雅黑" w:hAnsi="微软雅黑" w:eastAsia="微软雅黑" w:cs="微软雅黑"/>
                <w:i/>
                <w:iCs/>
                <w:color w:val="000000"/>
                <w:sz w:val="16"/>
                <w:szCs w:val="16"/>
                <w:u w:val="none"/>
              </w:rPr>
            </w:pPr>
          </w:p>
        </w:tc>
      </w:tr>
      <w:tr w14:paraId="3A481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E192B">
            <w:pPr>
              <w:jc w:val="cente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065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880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A8D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使用年限</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472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058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583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142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224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1AB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3122F">
            <w:pPr>
              <w:jc w:val="center"/>
              <w:rPr>
                <w:rFonts w:hint="eastAsia" w:ascii="微软雅黑" w:hAnsi="微软雅黑" w:eastAsia="微软雅黑" w:cs="微软雅黑"/>
                <w:i/>
                <w:iCs/>
                <w:color w:val="000000"/>
                <w:sz w:val="16"/>
                <w:szCs w:val="16"/>
                <w:u w:val="none"/>
              </w:rPr>
            </w:pPr>
          </w:p>
        </w:tc>
      </w:tr>
      <w:tr w14:paraId="3058B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B4E8F">
            <w:pPr>
              <w:jc w:val="cente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7FB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12E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C05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农户、收益群众对该项目的满意度</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35F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514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E03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0230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F1C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D04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4EF8D">
            <w:pPr>
              <w:jc w:val="center"/>
              <w:rPr>
                <w:rFonts w:hint="eastAsia" w:ascii="微软雅黑" w:hAnsi="微软雅黑" w:eastAsia="微软雅黑" w:cs="微软雅黑"/>
                <w:i/>
                <w:iCs/>
                <w:color w:val="000000"/>
                <w:sz w:val="16"/>
                <w:szCs w:val="16"/>
                <w:u w:val="none"/>
              </w:rPr>
            </w:pPr>
          </w:p>
        </w:tc>
      </w:tr>
      <w:tr w14:paraId="0101B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1" w:hRule="atLeast"/>
        </w:trPr>
        <w:tc>
          <w:tcPr>
            <w:tcW w:w="62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248C1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5D7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F34F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268EC">
            <w:pPr>
              <w:rPr>
                <w:rFonts w:hint="eastAsia" w:ascii="宋体" w:hAnsi="宋体" w:eastAsia="宋体" w:cs="宋体"/>
                <w:i w:val="0"/>
                <w:iCs w:val="0"/>
                <w:color w:val="000000"/>
                <w:sz w:val="18"/>
                <w:szCs w:val="18"/>
                <w:u w:val="none"/>
              </w:rPr>
            </w:pPr>
          </w:p>
        </w:tc>
      </w:tr>
      <w:tr w14:paraId="78231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EA6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91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6D102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综合前述评估内容来看，该项目依据充分，绩效目标明确，具备实施条件，具有公共性，符合对口援建资金支持方向。予以支持，预算控制在150万元以内，该项目申请资金总预算150 万元。我单位将进一步加强运行监控，节约财政资金并提升资金效益，提升预算绩效管理水平。综合自评得分99分。</w:t>
            </w:r>
          </w:p>
        </w:tc>
      </w:tr>
      <w:tr w14:paraId="707BC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0F2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91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C81568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2AF5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52D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91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2E8DC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2910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430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99A7C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项目负责人：何福涛</w:t>
            </w:r>
          </w:p>
        </w:tc>
        <w:tc>
          <w:tcPr>
            <w:tcW w:w="401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939783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财务负责人：李婷</w:t>
            </w:r>
          </w:p>
        </w:tc>
      </w:tr>
    </w:tbl>
    <w:p w14:paraId="12DFB07E">
      <w:pPr>
        <w:rPr>
          <w:lang w:val="zh-CN"/>
        </w:rPr>
      </w:pPr>
    </w:p>
    <w:p w14:paraId="22D3C31E">
      <w:pPr>
        <w:pStyle w:val="19"/>
        <w:rPr>
          <w:lang w:val="zh-CN"/>
        </w:rPr>
      </w:pPr>
    </w:p>
    <w:p w14:paraId="43EBCF55">
      <w:pPr>
        <w:rPr>
          <w:lang w:val="zh-CN"/>
        </w:rPr>
      </w:pPr>
    </w:p>
    <w:p w14:paraId="71961614">
      <w:pPr>
        <w:pStyle w:val="19"/>
        <w:rPr>
          <w:lang w:val="zh-CN"/>
        </w:rPr>
      </w:pPr>
    </w:p>
    <w:p w14:paraId="57DAFB07">
      <w:pPr>
        <w:rPr>
          <w:lang w:val="zh-CN"/>
        </w:rPr>
      </w:pPr>
    </w:p>
    <w:p w14:paraId="037ED6EC">
      <w:pPr>
        <w:pStyle w:val="19"/>
        <w:rPr>
          <w:lang w:val="zh-CN"/>
        </w:rPr>
      </w:pPr>
    </w:p>
    <w:p w14:paraId="65A8077C">
      <w:pPr>
        <w:rPr>
          <w:lang w:val="zh-CN"/>
        </w:rPr>
      </w:pPr>
    </w:p>
    <w:p w14:paraId="0E261F62">
      <w:pPr>
        <w:pStyle w:val="19"/>
        <w:rPr>
          <w:lang w:val="zh-CN"/>
        </w:rPr>
      </w:pPr>
    </w:p>
    <w:p w14:paraId="03CFB5EA">
      <w:pPr>
        <w:rPr>
          <w:lang w:val="zh-CN"/>
        </w:rPr>
      </w:pPr>
    </w:p>
    <w:p w14:paraId="31181626">
      <w:pPr>
        <w:pStyle w:val="19"/>
        <w:rPr>
          <w:lang w:val="zh-CN"/>
        </w:rPr>
      </w:pPr>
    </w:p>
    <w:p w14:paraId="7B29A74E">
      <w:pPr>
        <w:spacing w:line="600" w:lineRule="exact"/>
        <w:jc w:val="left"/>
        <w:outlineLvl w:val="0"/>
        <w:rPr>
          <w:rFonts w:hint="eastAsia" w:ascii="方正小标宋简体" w:hAnsi="方正小标宋简体" w:eastAsia="方正小标宋简体" w:cs="方正小标宋简体"/>
          <w:color w:val="auto"/>
          <w:kern w:val="2"/>
          <w:sz w:val="44"/>
          <w:szCs w:val="44"/>
          <w:lang w:val="en-US" w:eastAsia="zh-CN" w:bidi="ar-SA"/>
        </w:rPr>
      </w:pPr>
      <w:r>
        <w:rPr>
          <w:rFonts w:hint="eastAsia" w:ascii="黑体" w:hAnsi="黑体" w:eastAsia="黑体" w:cs="黑体"/>
          <w:color w:val="000000"/>
          <w:sz w:val="32"/>
          <w:szCs w:val="32"/>
          <w:lang w:val="en-US" w:eastAsia="zh-CN"/>
        </w:rPr>
        <w:t>附件5</w:t>
      </w:r>
    </w:p>
    <w:p w14:paraId="48D18D1F">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茂县供销合作社联合社</w:t>
      </w:r>
    </w:p>
    <w:p w14:paraId="3DE6B5A9">
      <w:pPr>
        <w:widowControl w:val="0"/>
        <w:spacing w:line="578" w:lineRule="exact"/>
        <w:jc w:val="center"/>
        <w:rPr>
          <w:rFonts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2023年农资储备和价格补贴专项经费项目绩效评价报告</w:t>
      </w:r>
    </w:p>
    <w:p w14:paraId="395EACDC">
      <w:pPr>
        <w:widowControl w:val="0"/>
        <w:spacing w:line="578" w:lineRule="exact"/>
        <w:ind w:firstLine="640"/>
        <w:jc w:val="center"/>
        <w:rPr>
          <w:rFonts w:ascii="宋体" w:hAnsi="宋体" w:eastAsia="宋体" w:cs="Times New Roman"/>
          <w:color w:val="auto"/>
          <w:kern w:val="2"/>
          <w:sz w:val="32"/>
          <w:szCs w:val="32"/>
          <w:lang w:val="zh-CN" w:eastAsia="zh-CN" w:bidi="ar-SA"/>
        </w:rPr>
      </w:pPr>
    </w:p>
    <w:p w14:paraId="3E92D192">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70376C9D">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（一）设立背景及基本情况</w:t>
      </w:r>
    </w:p>
    <w:p w14:paraId="6AD2251C">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b w:val="0"/>
          <w:kern w:val="0"/>
          <w:sz w:val="32"/>
          <w:szCs w:val="32"/>
          <w:shd w:val="clear" w:color="auto" w:fill="FFFFFF"/>
          <w:lang w:val="zh-CN" w:eastAsia="zh-CN" w:bidi="ar-SA"/>
        </w:rPr>
      </w:pPr>
      <w:r>
        <w:rPr>
          <w:rFonts w:hint="eastAsia" w:ascii="仿宋_GB2312" w:hAnsi="仿宋_GB2312" w:eastAsia="仿宋_GB2312" w:cs="仿宋_GB2312"/>
          <w:b w:val="0"/>
          <w:kern w:val="0"/>
          <w:sz w:val="32"/>
          <w:szCs w:val="32"/>
          <w:shd w:val="clear" w:color="auto" w:fill="FFFFFF"/>
          <w:lang w:val="zh-CN" w:eastAsia="zh-CN" w:bidi="ar-SA"/>
        </w:rPr>
        <w:t>根据《阿坝州财政局、阿坝州供销社关于下达2023年农资储备和价格补贴专项经费的通知》阿州财农〔2023〕28号文件精神，有效控制农资市场价格，切实保障我县农业生产需要，下达我社“2023年农资储备和价格补贴专项经费”共计36万元。</w:t>
      </w:r>
    </w:p>
    <w:p w14:paraId="28DEE131">
      <w:pPr>
        <w:keepNext w:val="0"/>
        <w:keepLines w:val="0"/>
        <w:pageBreakBefore w:val="0"/>
        <w:kinsoku/>
        <w:wordWrap/>
        <w:overflowPunct/>
        <w:topLinePunct w:val="0"/>
        <w:autoSpaceDE/>
        <w:autoSpaceDN/>
        <w:bidi w:val="0"/>
        <w:spacing w:line="576" w:lineRule="exact"/>
        <w:ind w:firstLine="645"/>
        <w:textAlignment w:val="auto"/>
        <w:rPr>
          <w:rFonts w:ascii="楷体_GB2312" w:hAnsi="宋体" w:eastAsia="楷体_GB2312"/>
          <w:b/>
          <w:sz w:val="32"/>
          <w:szCs w:val="32"/>
        </w:rPr>
      </w:pPr>
      <w:r>
        <w:rPr>
          <w:rFonts w:hint="eastAsia" w:ascii="楷体_GB2312" w:hAnsi="宋体" w:eastAsia="楷体_GB2312"/>
          <w:b/>
          <w:sz w:val="32"/>
          <w:szCs w:val="32"/>
          <w:lang w:val="zh-CN"/>
        </w:rPr>
        <w:t>（二）</w:t>
      </w:r>
      <w:r>
        <w:rPr>
          <w:rFonts w:ascii="楷体_GB2312" w:hAnsi="宋体" w:eastAsia="楷体_GB2312"/>
          <w:b/>
          <w:sz w:val="32"/>
          <w:szCs w:val="32"/>
        </w:rPr>
        <w:t>实施目的及支持方向</w:t>
      </w:r>
    </w:p>
    <w:p w14:paraId="4F10C6C5">
      <w:pPr>
        <w:keepNext w:val="0"/>
        <w:keepLines w:val="0"/>
        <w:pageBreakBefore w:val="0"/>
        <w:kinsoku/>
        <w:wordWrap/>
        <w:overflowPunct/>
        <w:topLinePunct w:val="0"/>
        <w:autoSpaceDE/>
        <w:autoSpaceDN/>
        <w:bidi w:val="0"/>
        <w:spacing w:line="576" w:lineRule="exact"/>
        <w:ind w:firstLine="645"/>
        <w:textAlignment w:val="auto"/>
        <w:rPr>
          <w:rFonts w:hint="eastAsia" w:ascii="仿宋_GB2312" w:hAnsi="Times New Roman" w:eastAsia="仿宋_GB2312" w:cs="仿宋_GB2312"/>
          <w:sz w:val="32"/>
          <w:szCs w:val="32"/>
          <w:lang w:val="zh-CN" w:eastAsia="zh-CN"/>
        </w:rPr>
      </w:pPr>
      <w:r>
        <w:rPr>
          <w:rFonts w:hint="eastAsia" w:ascii="仿宋_GB2312" w:hAnsi="Times New Roman" w:eastAsia="仿宋_GB2312" w:cs="仿宋_GB2312"/>
          <w:sz w:val="32"/>
          <w:szCs w:val="32"/>
          <w:lang w:val="zh-CN" w:eastAsia="zh-CN"/>
        </w:rPr>
        <w:t>为有效控制农资市场价格，切实保障全州农业生产需要，促进农民增产增收，引导广大农民群众使用配方肥和有机肥，降低土地面源污染，推动我州绿色、生态农业发展。</w:t>
      </w:r>
    </w:p>
    <w:p w14:paraId="0323CB8D">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ascii="楷体_GB2312" w:hAnsi="宋体" w:eastAsia="楷体_GB2312"/>
          <w:b/>
          <w:sz w:val="32"/>
          <w:szCs w:val="32"/>
        </w:rPr>
      </w:pPr>
      <w:r>
        <w:rPr>
          <w:rFonts w:hint="eastAsia" w:ascii="楷体_GB2312" w:hAnsi="宋体" w:eastAsia="楷体_GB2312"/>
          <w:b/>
          <w:sz w:val="32"/>
          <w:szCs w:val="32"/>
          <w:lang w:val="zh-CN"/>
        </w:rPr>
        <w:t>（三）</w:t>
      </w:r>
      <w:r>
        <w:rPr>
          <w:rFonts w:ascii="楷体_GB2312" w:hAnsi="宋体" w:eastAsia="楷体_GB2312"/>
          <w:b/>
          <w:sz w:val="32"/>
          <w:szCs w:val="32"/>
        </w:rPr>
        <w:t>预算安排及分配管理</w:t>
      </w:r>
    </w:p>
    <w:p w14:paraId="385C881A">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b w:val="0"/>
          <w:kern w:val="0"/>
          <w:sz w:val="32"/>
          <w:szCs w:val="32"/>
          <w:shd w:val="clear" w:color="auto" w:fill="FFFFFF"/>
          <w:lang w:val="en-US" w:eastAsia="zh-CN" w:bidi="ar-SA"/>
        </w:rPr>
        <w:t>预算安排资金：</w:t>
      </w:r>
      <w:r>
        <w:rPr>
          <w:rFonts w:hint="eastAsia" w:ascii="仿宋_GB2312" w:hAnsi="仿宋_GB2312" w:eastAsia="仿宋_GB2312" w:cs="仿宋_GB2312"/>
          <w:b w:val="0"/>
          <w:kern w:val="0"/>
          <w:sz w:val="32"/>
          <w:szCs w:val="32"/>
          <w:shd w:val="clear" w:color="auto" w:fill="FFFFFF"/>
          <w:lang w:val="zh-CN" w:eastAsia="zh-CN" w:bidi="ar-SA"/>
        </w:rPr>
        <w:t>36万元，</w:t>
      </w:r>
      <w:r>
        <w:rPr>
          <w:rFonts w:hint="eastAsia" w:ascii="仿宋_GB2312" w:hAnsi="仿宋_GB2312" w:eastAsia="仿宋_GB2312" w:cs="仿宋_GB2312"/>
          <w:b w:val="0"/>
          <w:kern w:val="0"/>
          <w:sz w:val="32"/>
          <w:szCs w:val="32"/>
          <w:shd w:val="clear" w:color="auto" w:fill="FFFFFF"/>
          <w:lang w:val="en-US" w:eastAsia="zh-CN" w:bidi="ar-SA"/>
        </w:rPr>
        <w:t>其中：</w:t>
      </w:r>
      <w:r>
        <w:rPr>
          <w:rFonts w:hint="eastAsia" w:ascii="仿宋_GB2312" w:hAnsi="仿宋_GB2312" w:eastAsia="仿宋_GB2312" w:cs="仿宋_GB2312"/>
          <w:b w:val="0"/>
          <w:kern w:val="0"/>
          <w:sz w:val="32"/>
          <w:szCs w:val="32"/>
          <w:shd w:val="clear" w:color="auto" w:fill="FFFFFF"/>
          <w:lang w:val="zh-CN" w:eastAsia="zh-CN" w:bidi="ar-SA"/>
        </w:rPr>
        <w:t>价格补贴资金28万</w:t>
      </w:r>
      <w:r>
        <w:rPr>
          <w:rFonts w:hint="eastAsia" w:ascii="仿宋_GB2312" w:hAnsi="仿宋_GB2312" w:eastAsia="仿宋_GB2312" w:cs="仿宋_GB2312"/>
          <w:b w:val="0"/>
          <w:kern w:val="0"/>
          <w:sz w:val="32"/>
          <w:szCs w:val="32"/>
          <w:shd w:val="clear" w:color="auto" w:fill="FFFFFF"/>
          <w:lang w:val="en-US" w:eastAsia="zh-CN" w:bidi="ar-SA"/>
        </w:rPr>
        <w:t>元</w:t>
      </w:r>
      <w:r>
        <w:rPr>
          <w:rFonts w:hint="eastAsia" w:ascii="仿宋_GB2312" w:hAnsi="仿宋_GB2312" w:eastAsia="仿宋_GB2312" w:cs="仿宋_GB2312"/>
          <w:b w:val="0"/>
          <w:kern w:val="0"/>
          <w:sz w:val="32"/>
          <w:szCs w:val="32"/>
          <w:shd w:val="clear" w:color="auto" w:fill="FFFFFF"/>
          <w:lang w:val="zh-CN" w:eastAsia="zh-CN" w:bidi="ar-SA"/>
        </w:rPr>
        <w:t>，储备补贴资金8万</w:t>
      </w:r>
      <w:r>
        <w:rPr>
          <w:rFonts w:hint="eastAsia" w:ascii="仿宋_GB2312" w:hAnsi="仿宋_GB2312" w:eastAsia="仿宋_GB2312" w:cs="仿宋_GB2312"/>
          <w:b w:val="0"/>
          <w:kern w:val="0"/>
          <w:sz w:val="32"/>
          <w:szCs w:val="32"/>
          <w:shd w:val="clear" w:color="auto" w:fill="FFFFFF"/>
          <w:lang w:val="en-US" w:eastAsia="zh-CN" w:bidi="ar-SA"/>
        </w:rPr>
        <w:t>元</w:t>
      </w:r>
      <w:r>
        <w:rPr>
          <w:rFonts w:hint="eastAsia" w:ascii="仿宋_GB2312" w:hAnsi="仿宋_GB2312" w:eastAsia="仿宋_GB2312" w:cs="仿宋_GB2312"/>
          <w:b w:val="0"/>
          <w:kern w:val="0"/>
          <w:sz w:val="32"/>
          <w:szCs w:val="32"/>
          <w:shd w:val="clear" w:color="auto" w:fill="FFFFFF"/>
          <w:lang w:val="zh-CN" w:eastAsia="zh-CN" w:bidi="ar-SA"/>
        </w:rPr>
        <w:t>。</w:t>
      </w:r>
    </w:p>
    <w:p w14:paraId="2484F6BD">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（四）项目绩效目标设置</w:t>
      </w:r>
    </w:p>
    <w:p w14:paraId="09A0D1A1">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lang w:val="en-US" w:eastAsia="zh-CN"/>
        </w:rPr>
      </w:pPr>
      <w:r>
        <w:rPr>
          <w:rFonts w:hint="eastAsia" w:ascii="仿宋_GB2312" w:hAnsi="仿宋_GB2312" w:eastAsia="仿宋_GB2312" w:cs="仿宋_GB2312"/>
          <w:kern w:val="0"/>
          <w:sz w:val="32"/>
          <w:szCs w:val="32"/>
          <w:shd w:val="clear" w:color="auto" w:fill="FFFFFF"/>
          <w:lang w:val="zh-CN"/>
        </w:rPr>
        <w:t>茂县供销合作社联合社于</w:t>
      </w:r>
      <w:r>
        <w:rPr>
          <w:rFonts w:hint="eastAsia" w:ascii="仿宋_GB2312" w:hAnsi="仿宋_GB2312" w:eastAsia="仿宋_GB2312" w:cs="仿宋_GB2312"/>
          <w:kern w:val="2"/>
          <w:sz w:val="32"/>
          <w:szCs w:val="32"/>
          <w:u w:val="none"/>
          <w:lang w:val="en-US" w:eastAsia="zh-CN"/>
        </w:rPr>
        <w:t>2023年6月27日完成了事前绩效评估。绩效目标设置如下：</w:t>
      </w:r>
    </w:p>
    <w:p w14:paraId="581E0CE9">
      <w:pPr>
        <w:keepNext w:val="0"/>
        <w:keepLines w:val="0"/>
        <w:pageBreakBefore w:val="0"/>
        <w:kinsoku/>
        <w:wordWrap/>
        <w:overflowPunct/>
        <w:topLinePunct w:val="0"/>
        <w:autoSpaceDE/>
        <w:autoSpaceDN/>
        <w:bidi w:val="0"/>
        <w:adjustRightInd w:val="0"/>
        <w:snapToGrid w:val="0"/>
        <w:spacing w:line="576" w:lineRule="exact"/>
        <w:ind w:firstLine="640" w:firstLineChars="200"/>
        <w:jc w:val="center"/>
        <w:textAlignment w:val="auto"/>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茂县供销合作社联合社</w:t>
      </w:r>
    </w:p>
    <w:p w14:paraId="144585B9">
      <w:pPr>
        <w:keepNext w:val="0"/>
        <w:keepLines w:val="0"/>
        <w:pageBreakBefore w:val="0"/>
        <w:kinsoku/>
        <w:wordWrap/>
        <w:overflowPunct/>
        <w:topLinePunct w:val="0"/>
        <w:autoSpaceDE/>
        <w:autoSpaceDN/>
        <w:bidi w:val="0"/>
        <w:adjustRightInd w:val="0"/>
        <w:snapToGrid w:val="0"/>
        <w:spacing w:line="576" w:lineRule="exact"/>
        <w:ind w:firstLine="600" w:firstLineChars="200"/>
        <w:jc w:val="center"/>
        <w:textAlignment w:val="auto"/>
        <w:rPr>
          <w:rFonts w:hint="eastAsia" w:ascii="仿宋_GB2312" w:hAnsi="仿宋_GB2312" w:eastAsia="仿宋_GB2312" w:cs="仿宋_GB2312"/>
          <w:kern w:val="0"/>
          <w:sz w:val="30"/>
          <w:szCs w:val="30"/>
          <w:shd w:val="clear" w:color="auto" w:fill="FFFFFF"/>
          <w:lang w:val="zh-CN"/>
        </w:rPr>
      </w:pPr>
      <w:r>
        <w:rPr>
          <w:rFonts w:hint="eastAsia" w:ascii="仿宋_GB2312" w:hAnsi="仿宋_GB2312" w:eastAsia="仿宋_GB2312" w:cs="仿宋_GB2312"/>
          <w:kern w:val="0"/>
          <w:sz w:val="30"/>
          <w:szCs w:val="30"/>
          <w:shd w:val="clear" w:color="auto" w:fill="FFFFFF"/>
          <w:lang w:val="en-US" w:eastAsia="zh-CN"/>
        </w:rPr>
        <w:t>2023年农资储备和价格补贴专项经费</w:t>
      </w:r>
      <w:r>
        <w:rPr>
          <w:rFonts w:hint="eastAsia" w:ascii="仿宋_GB2312" w:hAnsi="仿宋_GB2312" w:eastAsia="仿宋_GB2312" w:cs="仿宋_GB2312"/>
          <w:kern w:val="0"/>
          <w:sz w:val="30"/>
          <w:szCs w:val="30"/>
          <w:shd w:val="clear" w:color="auto" w:fill="FFFFFF"/>
          <w:lang w:val="zh-CN"/>
        </w:rPr>
        <w:t>绩效目标表</w:t>
      </w:r>
    </w:p>
    <w:tbl>
      <w:tblPr>
        <w:tblStyle w:val="23"/>
        <w:tblpPr w:leftFromText="180" w:rightFromText="180" w:vertAnchor="text" w:horzAnchor="page" w:tblpX="1905" w:tblpY="1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980"/>
        <w:gridCol w:w="3465"/>
        <w:gridCol w:w="1415"/>
      </w:tblGrid>
      <w:tr w14:paraId="79672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420" w:type="dxa"/>
            <w:tcBorders>
              <w:bottom w:val="single" w:color="auto" w:sz="4" w:space="0"/>
              <w:right w:val="single" w:color="auto" w:sz="4" w:space="0"/>
            </w:tcBorders>
            <w:noWrap w:val="0"/>
            <w:vAlign w:val="top"/>
          </w:tcPr>
          <w:p w14:paraId="09316661">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一级指标</w:t>
            </w:r>
          </w:p>
        </w:tc>
        <w:tc>
          <w:tcPr>
            <w:tcW w:w="1980" w:type="dxa"/>
            <w:tcBorders>
              <w:left w:val="single" w:color="auto" w:sz="4" w:space="0"/>
              <w:bottom w:val="single" w:color="auto" w:sz="4" w:space="0"/>
              <w:right w:val="single" w:color="auto" w:sz="4" w:space="0"/>
            </w:tcBorders>
            <w:noWrap w:val="0"/>
            <w:vAlign w:val="top"/>
          </w:tcPr>
          <w:p w14:paraId="4769D060">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二级指标</w:t>
            </w:r>
          </w:p>
        </w:tc>
        <w:tc>
          <w:tcPr>
            <w:tcW w:w="3465" w:type="dxa"/>
            <w:tcBorders>
              <w:left w:val="single" w:color="auto" w:sz="4" w:space="0"/>
              <w:bottom w:val="single" w:color="auto" w:sz="4" w:space="0"/>
              <w:right w:val="single" w:color="auto" w:sz="4" w:space="0"/>
            </w:tcBorders>
            <w:noWrap w:val="0"/>
            <w:vAlign w:val="top"/>
          </w:tcPr>
          <w:p w14:paraId="4184D993">
            <w:pPr>
              <w:keepNext w:val="0"/>
              <w:keepLines w:val="0"/>
              <w:pageBreakBefore w:val="0"/>
              <w:kinsoku/>
              <w:wordWrap/>
              <w:overflowPunct/>
              <w:topLinePunct w:val="0"/>
              <w:autoSpaceDE/>
              <w:autoSpaceDN/>
              <w:bidi w:val="0"/>
              <w:adjustRightInd w:val="0"/>
              <w:snapToGrid w:val="0"/>
              <w:spacing w:line="576" w:lineRule="exact"/>
              <w:ind w:firstLine="600" w:firstLineChars="200"/>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三级指标</w:t>
            </w:r>
          </w:p>
        </w:tc>
        <w:tc>
          <w:tcPr>
            <w:tcW w:w="1415" w:type="dxa"/>
            <w:tcBorders>
              <w:left w:val="single" w:color="auto" w:sz="4" w:space="0"/>
              <w:bottom w:val="single" w:color="auto" w:sz="4" w:space="0"/>
            </w:tcBorders>
            <w:noWrap w:val="0"/>
            <w:vAlign w:val="top"/>
          </w:tcPr>
          <w:p w14:paraId="61572AC7">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指标值</w:t>
            </w:r>
          </w:p>
        </w:tc>
      </w:tr>
      <w:tr w14:paraId="4236B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1420" w:type="dxa"/>
            <w:vMerge w:val="restart"/>
            <w:tcBorders>
              <w:top w:val="single" w:color="auto" w:sz="4" w:space="0"/>
              <w:right w:val="single" w:color="auto" w:sz="4" w:space="0"/>
            </w:tcBorders>
            <w:noWrap w:val="0"/>
            <w:vAlign w:val="top"/>
          </w:tcPr>
          <w:p w14:paraId="4DA9FFC1">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产出指标</w:t>
            </w:r>
          </w:p>
        </w:tc>
        <w:tc>
          <w:tcPr>
            <w:tcW w:w="1980" w:type="dxa"/>
            <w:vMerge w:val="restart"/>
            <w:tcBorders>
              <w:top w:val="single" w:color="auto" w:sz="4" w:space="0"/>
              <w:left w:val="single" w:color="auto" w:sz="4" w:space="0"/>
              <w:right w:val="single" w:color="auto" w:sz="4" w:space="0"/>
            </w:tcBorders>
            <w:noWrap w:val="0"/>
            <w:vAlign w:val="top"/>
          </w:tcPr>
          <w:p w14:paraId="250F889C">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数量指标</w:t>
            </w:r>
          </w:p>
        </w:tc>
        <w:tc>
          <w:tcPr>
            <w:tcW w:w="3465" w:type="dxa"/>
            <w:tcBorders>
              <w:top w:val="single" w:color="auto" w:sz="4" w:space="0"/>
              <w:left w:val="single" w:color="auto" w:sz="4" w:space="0"/>
              <w:right w:val="single" w:color="auto" w:sz="4" w:space="0"/>
            </w:tcBorders>
            <w:noWrap w:val="0"/>
            <w:vAlign w:val="top"/>
          </w:tcPr>
          <w:p w14:paraId="3B623E00">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全年农资销售增长率</w:t>
            </w:r>
          </w:p>
        </w:tc>
        <w:tc>
          <w:tcPr>
            <w:tcW w:w="1415" w:type="dxa"/>
            <w:tcBorders>
              <w:top w:val="single" w:color="auto" w:sz="4" w:space="0"/>
              <w:left w:val="single" w:color="auto" w:sz="4" w:space="0"/>
              <w:bottom w:val="single" w:color="auto" w:sz="4" w:space="0"/>
            </w:tcBorders>
            <w:noWrap w:val="0"/>
            <w:vAlign w:val="top"/>
          </w:tcPr>
          <w:p w14:paraId="74EA2CB2">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 xml:space="preserve">≥5%         </w:t>
            </w:r>
          </w:p>
        </w:tc>
      </w:tr>
      <w:tr w14:paraId="36B2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420" w:type="dxa"/>
            <w:vMerge w:val="continue"/>
            <w:tcBorders>
              <w:bottom w:val="single" w:color="auto" w:sz="4" w:space="0"/>
              <w:right w:val="single" w:color="auto" w:sz="4" w:space="0"/>
            </w:tcBorders>
            <w:noWrap w:val="0"/>
            <w:vAlign w:val="top"/>
          </w:tcPr>
          <w:p w14:paraId="04D625B3">
            <w:pPr>
              <w:keepNext w:val="0"/>
              <w:keepLines w:val="0"/>
              <w:pageBreakBefore w:val="0"/>
              <w:kinsoku/>
              <w:wordWrap/>
              <w:overflowPunct/>
              <w:topLinePunct w:val="0"/>
              <w:autoSpaceDE/>
              <w:autoSpaceDN/>
              <w:bidi w:val="0"/>
              <w:adjustRightInd w:val="0"/>
              <w:snapToGrid w:val="0"/>
              <w:spacing w:line="576" w:lineRule="exact"/>
              <w:ind w:firstLine="600" w:firstLineChars="200"/>
              <w:textAlignment w:val="auto"/>
              <w:rPr>
                <w:rFonts w:hint="eastAsia" w:ascii="仿宋_GB2312" w:hAnsi="仿宋_GB2312" w:eastAsia="仿宋_GB2312" w:cs="仿宋_GB2312"/>
                <w:kern w:val="0"/>
                <w:sz w:val="30"/>
                <w:szCs w:val="30"/>
                <w:shd w:val="clear" w:color="auto" w:fill="FFFFFF"/>
                <w:lang w:val="en-US" w:eastAsia="zh-CN"/>
              </w:rPr>
            </w:pPr>
          </w:p>
        </w:tc>
        <w:tc>
          <w:tcPr>
            <w:tcW w:w="1980" w:type="dxa"/>
            <w:vMerge w:val="continue"/>
            <w:tcBorders>
              <w:left w:val="single" w:color="auto" w:sz="4" w:space="0"/>
              <w:bottom w:val="single" w:color="auto" w:sz="4" w:space="0"/>
              <w:right w:val="single" w:color="auto" w:sz="4" w:space="0"/>
            </w:tcBorders>
            <w:noWrap w:val="0"/>
            <w:vAlign w:val="top"/>
          </w:tcPr>
          <w:p w14:paraId="591890E8">
            <w:pPr>
              <w:keepNext w:val="0"/>
              <w:keepLines w:val="0"/>
              <w:pageBreakBefore w:val="0"/>
              <w:kinsoku/>
              <w:wordWrap/>
              <w:overflowPunct/>
              <w:topLinePunct w:val="0"/>
              <w:autoSpaceDE/>
              <w:autoSpaceDN/>
              <w:bidi w:val="0"/>
              <w:adjustRightInd w:val="0"/>
              <w:snapToGrid w:val="0"/>
              <w:spacing w:line="576" w:lineRule="exact"/>
              <w:ind w:firstLine="600" w:firstLineChars="200"/>
              <w:textAlignment w:val="auto"/>
              <w:rPr>
                <w:rFonts w:hint="eastAsia" w:ascii="仿宋_GB2312" w:hAnsi="仿宋_GB2312" w:eastAsia="仿宋_GB2312" w:cs="仿宋_GB2312"/>
                <w:kern w:val="0"/>
                <w:sz w:val="30"/>
                <w:szCs w:val="30"/>
                <w:shd w:val="clear" w:color="auto" w:fill="FFFFFF"/>
                <w:lang w:val="en-US" w:eastAsia="zh-CN"/>
              </w:rPr>
            </w:pPr>
          </w:p>
        </w:tc>
        <w:tc>
          <w:tcPr>
            <w:tcW w:w="3465" w:type="dxa"/>
            <w:tcBorders>
              <w:left w:val="single" w:color="auto" w:sz="4" w:space="0"/>
              <w:bottom w:val="single" w:color="auto" w:sz="4" w:space="0"/>
              <w:right w:val="single" w:color="auto" w:sz="4" w:space="0"/>
            </w:tcBorders>
            <w:noWrap w:val="0"/>
            <w:vAlign w:val="top"/>
          </w:tcPr>
          <w:p w14:paraId="1C53DC69">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有机肥、复合肥销售增长率</w:t>
            </w:r>
          </w:p>
        </w:tc>
        <w:tc>
          <w:tcPr>
            <w:tcW w:w="1415" w:type="dxa"/>
            <w:tcBorders>
              <w:top w:val="single" w:color="auto" w:sz="4" w:space="0"/>
              <w:left w:val="single" w:color="auto" w:sz="4" w:space="0"/>
              <w:bottom w:val="single" w:color="auto" w:sz="4" w:space="0"/>
            </w:tcBorders>
            <w:noWrap w:val="0"/>
            <w:vAlign w:val="top"/>
          </w:tcPr>
          <w:p w14:paraId="5720E5F1">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≥10%</w:t>
            </w:r>
          </w:p>
        </w:tc>
      </w:tr>
      <w:tr w14:paraId="62D39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trPr>
        <w:tc>
          <w:tcPr>
            <w:tcW w:w="1420" w:type="dxa"/>
            <w:tcBorders>
              <w:top w:val="single" w:color="auto" w:sz="4" w:space="0"/>
              <w:bottom w:val="single" w:color="auto" w:sz="4" w:space="0"/>
              <w:right w:val="single" w:color="auto" w:sz="4" w:space="0"/>
            </w:tcBorders>
            <w:noWrap w:val="0"/>
            <w:vAlign w:val="top"/>
          </w:tcPr>
          <w:p w14:paraId="2108E180">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效益指标</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6EB4C26A">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社会效益指标</w:t>
            </w:r>
          </w:p>
        </w:tc>
        <w:tc>
          <w:tcPr>
            <w:tcW w:w="3465" w:type="dxa"/>
            <w:tcBorders>
              <w:top w:val="single" w:color="auto" w:sz="4" w:space="0"/>
              <w:left w:val="single" w:color="auto" w:sz="4" w:space="0"/>
              <w:bottom w:val="single" w:color="auto" w:sz="4" w:space="0"/>
              <w:right w:val="single" w:color="auto" w:sz="4" w:space="0"/>
            </w:tcBorders>
            <w:noWrap w:val="0"/>
            <w:vAlign w:val="top"/>
          </w:tcPr>
          <w:p w14:paraId="2AE3A839">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按满100元补贴5元的标准执行（未满100不享受补贴）</w:t>
            </w:r>
          </w:p>
        </w:tc>
        <w:tc>
          <w:tcPr>
            <w:tcW w:w="1415" w:type="dxa"/>
            <w:tcBorders>
              <w:top w:val="single" w:color="auto" w:sz="4" w:space="0"/>
              <w:left w:val="single" w:color="auto" w:sz="4" w:space="0"/>
              <w:bottom w:val="single" w:color="auto" w:sz="4" w:space="0"/>
            </w:tcBorders>
            <w:noWrap w:val="0"/>
            <w:vAlign w:val="top"/>
          </w:tcPr>
          <w:p w14:paraId="4B872BC2">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=5%</w:t>
            </w:r>
          </w:p>
        </w:tc>
      </w:tr>
      <w:tr w14:paraId="7DDF9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1420" w:type="dxa"/>
            <w:tcBorders>
              <w:top w:val="single" w:color="auto" w:sz="4" w:space="0"/>
              <w:right w:val="single" w:color="auto" w:sz="4" w:space="0"/>
            </w:tcBorders>
            <w:noWrap w:val="0"/>
            <w:vAlign w:val="top"/>
          </w:tcPr>
          <w:p w14:paraId="09F0D6C4">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满意度指标</w:t>
            </w:r>
          </w:p>
        </w:tc>
        <w:tc>
          <w:tcPr>
            <w:tcW w:w="1980" w:type="dxa"/>
            <w:tcBorders>
              <w:top w:val="single" w:color="auto" w:sz="4" w:space="0"/>
              <w:left w:val="single" w:color="auto" w:sz="4" w:space="0"/>
              <w:right w:val="single" w:color="auto" w:sz="4" w:space="0"/>
            </w:tcBorders>
            <w:noWrap w:val="0"/>
            <w:vAlign w:val="top"/>
          </w:tcPr>
          <w:p w14:paraId="7D235C51">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服务对象满意度指标</w:t>
            </w:r>
          </w:p>
        </w:tc>
        <w:tc>
          <w:tcPr>
            <w:tcW w:w="3465" w:type="dxa"/>
            <w:tcBorders>
              <w:top w:val="single" w:color="auto" w:sz="4" w:space="0"/>
              <w:left w:val="single" w:color="auto" w:sz="4" w:space="0"/>
              <w:right w:val="single" w:color="auto" w:sz="4" w:space="0"/>
            </w:tcBorders>
            <w:noWrap w:val="0"/>
            <w:vAlign w:val="top"/>
          </w:tcPr>
          <w:p w14:paraId="5BC92225">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农户、受益群众对该项目的满意度</w:t>
            </w:r>
          </w:p>
        </w:tc>
        <w:tc>
          <w:tcPr>
            <w:tcW w:w="1415" w:type="dxa"/>
            <w:tcBorders>
              <w:top w:val="single" w:color="auto" w:sz="4" w:space="0"/>
              <w:left w:val="single" w:color="auto" w:sz="4" w:space="0"/>
            </w:tcBorders>
            <w:noWrap w:val="0"/>
            <w:vAlign w:val="top"/>
          </w:tcPr>
          <w:p w14:paraId="1693C731">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≥90%</w:t>
            </w:r>
          </w:p>
        </w:tc>
      </w:tr>
    </w:tbl>
    <w:p w14:paraId="2B9111C4">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黑体" w:hAnsi="宋体" w:eastAsia="黑体"/>
          <w:sz w:val="32"/>
          <w:szCs w:val="32"/>
        </w:rPr>
      </w:pPr>
      <w:r>
        <w:rPr>
          <w:rFonts w:hint="eastAsia" w:ascii="黑体" w:hAnsi="宋体" w:eastAsia="黑体"/>
          <w:sz w:val="32"/>
          <w:szCs w:val="32"/>
        </w:rPr>
        <w:t>二、评价实施</w:t>
      </w:r>
    </w:p>
    <w:p w14:paraId="5A4EAD16">
      <w:pPr>
        <w:keepNext w:val="0"/>
        <w:keepLines w:val="0"/>
        <w:pageBreakBefore w:val="0"/>
        <w:kinsoku/>
        <w:wordWrap/>
        <w:overflowPunct/>
        <w:topLinePunct w:val="0"/>
        <w:autoSpaceDE/>
        <w:autoSpaceDN/>
        <w:bidi w:val="0"/>
        <w:spacing w:line="576" w:lineRule="exact"/>
        <w:ind w:firstLine="64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（一）评价目的</w:t>
      </w:r>
    </w:p>
    <w:p w14:paraId="457BDC57">
      <w:pPr>
        <w:keepNext w:val="0"/>
        <w:keepLines w:val="0"/>
        <w:pageBreakBefore w:val="0"/>
        <w:kinsoku/>
        <w:wordWrap/>
        <w:overflowPunct/>
        <w:topLinePunct w:val="0"/>
        <w:autoSpaceDE/>
        <w:autoSpaceDN/>
        <w:bidi w:val="0"/>
        <w:spacing w:line="576" w:lineRule="exact"/>
        <w:ind w:firstLine="640"/>
        <w:textAlignment w:val="auto"/>
        <w:rPr>
          <w:rFonts w:eastAsia="仿宋_GB2312"/>
          <w:sz w:val="32"/>
          <w:szCs w:val="32"/>
        </w:rPr>
      </w:pPr>
      <w:r>
        <w:rPr>
          <w:rFonts w:hint="eastAsia" w:eastAsia="仿宋_GB2312"/>
          <w:sz w:val="32"/>
          <w:szCs w:val="32"/>
        </w:rPr>
        <w:t>为贯彻落实中央、省、州关于全面实施预算绩效管理有关文件精神，推进全面实施预算绩效管理工作深入开展的要求，对项目依据、绩效目标、资金管理、项目完成、项目效益等方面进行全面、客观、公正的评价，对资金支出行为过程及其效果进行综合评价和判断，评价资金使用的科学性、合理性和有效性，分析存在的问题，提出资金管理、项目管理相关建议，提高资金使用效益。</w:t>
      </w:r>
    </w:p>
    <w:p w14:paraId="146437A9">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（二）预设问题及评价重点</w:t>
      </w:r>
    </w:p>
    <w:p w14:paraId="133095E5">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eastAsia="仿宋_GB2312"/>
          <w:sz w:val="32"/>
          <w:szCs w:val="32"/>
        </w:rPr>
      </w:pPr>
      <w:r>
        <w:rPr>
          <w:rFonts w:hint="eastAsia" w:ascii="仿宋_GB2312" w:hAnsi="仿宋_GB2312" w:eastAsia="仿宋_GB2312" w:cs="仿宋_GB2312"/>
          <w:kern w:val="2"/>
          <w:sz w:val="32"/>
          <w:szCs w:val="32"/>
          <w:lang w:val="en-US" w:eastAsia="zh-CN"/>
        </w:rPr>
        <w:t>2023年农资储备和价格补贴专项经费</w:t>
      </w:r>
      <w:r>
        <w:rPr>
          <w:rFonts w:hint="eastAsia" w:eastAsia="仿宋_GB2312"/>
          <w:sz w:val="32"/>
          <w:szCs w:val="32"/>
        </w:rPr>
        <w:t>资金支出使用全过程</w:t>
      </w:r>
      <w:r>
        <w:rPr>
          <w:rFonts w:hint="eastAsia" w:eastAsia="仿宋_GB2312"/>
          <w:sz w:val="32"/>
          <w:szCs w:val="32"/>
          <w:lang w:eastAsia="zh-CN"/>
        </w:rPr>
        <w:t>规范。</w:t>
      </w:r>
    </w:p>
    <w:p w14:paraId="63673DE6">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（三）评价选点</w:t>
      </w:r>
    </w:p>
    <w:p w14:paraId="56A30CAE">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eastAsia="仿宋_GB2312"/>
          <w:sz w:val="32"/>
          <w:szCs w:val="32"/>
          <w:lang w:val="zh-CN"/>
        </w:rPr>
      </w:pPr>
      <w:r>
        <w:rPr>
          <w:rFonts w:hint="eastAsia" w:eastAsia="仿宋_GB2312"/>
          <w:sz w:val="32"/>
          <w:szCs w:val="32"/>
          <w:lang w:val="zh-CN"/>
        </w:rPr>
        <w:t>茂县供销合作社联合社农业生产资料公司。</w:t>
      </w:r>
    </w:p>
    <w:p w14:paraId="3C4FE2C8">
      <w:pPr>
        <w:keepNext w:val="0"/>
        <w:keepLines w:val="0"/>
        <w:pageBreakBefore w:val="0"/>
        <w:kinsoku/>
        <w:wordWrap/>
        <w:overflowPunct/>
        <w:topLinePunct w:val="0"/>
        <w:autoSpaceDE/>
        <w:autoSpaceDN/>
        <w:bidi w:val="0"/>
        <w:spacing w:line="576" w:lineRule="exact"/>
        <w:ind w:firstLine="64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（四）评价方法</w:t>
      </w:r>
    </w:p>
    <w:p w14:paraId="63069CD7">
      <w:pPr>
        <w:keepNext w:val="0"/>
        <w:keepLines w:val="0"/>
        <w:pageBreakBefore w:val="0"/>
        <w:kinsoku/>
        <w:wordWrap/>
        <w:overflowPunct/>
        <w:topLinePunct w:val="0"/>
        <w:autoSpaceDE/>
        <w:autoSpaceDN/>
        <w:bidi w:val="0"/>
        <w:spacing w:line="576" w:lineRule="exact"/>
        <w:ind w:firstLine="640"/>
        <w:textAlignment w:val="auto"/>
        <w:rPr>
          <w:rFonts w:eastAsia="仿宋_GB2312"/>
          <w:sz w:val="32"/>
          <w:szCs w:val="32"/>
        </w:rPr>
      </w:pPr>
      <w:r>
        <w:rPr>
          <w:rFonts w:hint="eastAsia" w:ascii="Times New Roman" w:hAnsi="Times New Roman" w:eastAsia="仿宋_GB2312" w:cs="Times New Roman"/>
          <w:sz w:val="32"/>
          <w:szCs w:val="32"/>
          <w:lang w:eastAsia="zh-CN"/>
        </w:rPr>
        <w:t>采用</w:t>
      </w:r>
      <w:r>
        <w:rPr>
          <w:rFonts w:eastAsia="仿宋_GB2312"/>
          <w:sz w:val="32"/>
          <w:szCs w:val="32"/>
        </w:rPr>
        <w:t>单位自评法</w:t>
      </w:r>
      <w:r>
        <w:rPr>
          <w:rFonts w:hint="eastAsia" w:eastAsia="仿宋_GB2312"/>
          <w:sz w:val="32"/>
          <w:szCs w:val="32"/>
        </w:rPr>
        <w:t>。</w:t>
      </w:r>
    </w:p>
    <w:p w14:paraId="12ADE03B">
      <w:pPr>
        <w:keepNext w:val="0"/>
        <w:keepLines w:val="0"/>
        <w:pageBreakBefore w:val="0"/>
        <w:widowControl/>
        <w:tabs>
          <w:tab w:val="left" w:pos="2160"/>
        </w:tabs>
        <w:kinsoku/>
        <w:wordWrap/>
        <w:overflowPunct/>
        <w:topLinePunct w:val="0"/>
        <w:autoSpaceDE/>
        <w:autoSpaceDN/>
        <w:bidi w:val="0"/>
        <w:spacing w:line="576" w:lineRule="exact"/>
        <w:ind w:firstLine="640" w:firstLineChars="200"/>
        <w:jc w:val="left"/>
        <w:textAlignment w:val="auto"/>
        <w:rPr>
          <w:rFonts w:hint="eastAsia"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三、绩效分析</w:t>
      </w:r>
    </w:p>
    <w:p w14:paraId="387B5D98">
      <w:pPr>
        <w:keepNext w:val="0"/>
        <w:keepLines w:val="0"/>
        <w:pageBreakBefore w:val="0"/>
        <w:kinsoku/>
        <w:wordWrap/>
        <w:overflowPunct/>
        <w:topLinePunct w:val="0"/>
        <w:autoSpaceDE/>
        <w:autoSpaceDN/>
        <w:bidi w:val="0"/>
        <w:spacing w:line="576" w:lineRule="exact"/>
        <w:ind w:firstLine="640"/>
        <w:textAlignment w:val="auto"/>
        <w:rPr>
          <w:rFonts w:ascii="楷体_GB2312" w:hAnsi="宋体" w:eastAsia="楷体_GB2312"/>
          <w:b/>
          <w:sz w:val="32"/>
          <w:szCs w:val="32"/>
        </w:rPr>
      </w:pPr>
      <w:r>
        <w:rPr>
          <w:rFonts w:hint="eastAsia" w:ascii="楷体_GB2312" w:hAnsi="宋体" w:eastAsia="楷体_GB2312"/>
          <w:b/>
          <w:sz w:val="32"/>
          <w:szCs w:val="32"/>
          <w:lang w:val="zh-CN"/>
        </w:rPr>
        <w:t>（一）</w:t>
      </w:r>
      <w:r>
        <w:rPr>
          <w:rFonts w:hint="eastAsia" w:ascii="楷体_GB2312" w:hAnsi="宋体" w:eastAsia="楷体_GB2312"/>
          <w:b/>
          <w:sz w:val="32"/>
          <w:szCs w:val="32"/>
        </w:rPr>
        <w:t>通用指标</w:t>
      </w:r>
      <w:r>
        <w:rPr>
          <w:rFonts w:eastAsia="楷体_GB2312"/>
          <w:b/>
          <w:bCs/>
          <w:color w:val="000000"/>
          <w:kern w:val="0"/>
          <w:sz w:val="32"/>
          <w:szCs w:val="32"/>
          <w:shd w:val="clear" w:color="auto" w:fill="FFFFFF"/>
          <w:lang w:val="zh-CN"/>
        </w:rPr>
        <w:t>绩效分析</w:t>
      </w:r>
    </w:p>
    <w:p w14:paraId="488C96DA">
      <w:pPr>
        <w:keepNext w:val="0"/>
        <w:keepLines w:val="0"/>
        <w:pageBreakBefore w:val="0"/>
        <w:kinsoku/>
        <w:wordWrap/>
        <w:overflowPunct/>
        <w:topLinePunct w:val="0"/>
        <w:autoSpaceDE/>
        <w:autoSpaceDN/>
        <w:bidi w:val="0"/>
        <w:spacing w:line="576" w:lineRule="exact"/>
        <w:ind w:firstLine="640"/>
        <w:textAlignment w:val="auto"/>
        <w:rPr>
          <w:rFonts w:hint="default" w:eastAsia="仿宋_GB2312"/>
          <w:sz w:val="32"/>
          <w:szCs w:val="32"/>
          <w:lang w:val="en-US" w:eastAsia="zh-CN"/>
        </w:rPr>
      </w:pPr>
      <w:r>
        <w:rPr>
          <w:rFonts w:hint="eastAsia" w:ascii="楷体_GB2312" w:hAnsi="楷体_GB2312" w:eastAsia="楷体_GB2312" w:cs="楷体_GB2312"/>
          <w:sz w:val="32"/>
          <w:szCs w:val="32"/>
        </w:rPr>
        <w:t>1.</w:t>
      </w:r>
      <w:r>
        <w:rPr>
          <w:rFonts w:hint="eastAsia" w:eastAsia="仿宋_GB2312"/>
          <w:sz w:val="32"/>
          <w:szCs w:val="32"/>
        </w:rPr>
        <w:t>项目决策。决策程序</w:t>
      </w:r>
      <w:r>
        <w:rPr>
          <w:rFonts w:hint="eastAsia" w:eastAsia="仿宋_GB2312"/>
          <w:sz w:val="32"/>
          <w:szCs w:val="32"/>
          <w:lang w:eastAsia="zh-CN"/>
        </w:rPr>
        <w:t>严密，</w:t>
      </w:r>
      <w:r>
        <w:rPr>
          <w:rFonts w:hint="eastAsia" w:eastAsia="仿宋_GB2312"/>
          <w:sz w:val="32"/>
          <w:szCs w:val="32"/>
        </w:rPr>
        <w:t>符合资金管理基本规范和决策程序要求</w:t>
      </w:r>
      <w:r>
        <w:rPr>
          <w:rFonts w:hint="eastAsia" w:eastAsia="仿宋_GB2312"/>
          <w:sz w:val="32"/>
          <w:szCs w:val="32"/>
          <w:lang w:eastAsia="zh-CN"/>
        </w:rPr>
        <w:t>。</w:t>
      </w:r>
      <w:r>
        <w:rPr>
          <w:rFonts w:hint="eastAsia" w:eastAsia="仿宋_GB2312"/>
          <w:sz w:val="32"/>
          <w:szCs w:val="32"/>
        </w:rPr>
        <w:t>规划论证符合中省要求、项目绩效目标设置科学合理</w:t>
      </w:r>
      <w:r>
        <w:rPr>
          <w:rFonts w:hint="eastAsia" w:eastAsia="仿宋_GB2312"/>
          <w:sz w:val="32"/>
          <w:szCs w:val="32"/>
          <w:lang w:eastAsia="zh-CN"/>
        </w:rPr>
        <w:t>。</w:t>
      </w:r>
      <w:r>
        <w:rPr>
          <w:rFonts w:hint="eastAsia" w:eastAsia="仿宋_GB2312"/>
          <w:sz w:val="32"/>
          <w:szCs w:val="32"/>
        </w:rPr>
        <w:t>资金投向与项目总体规划、相关行业事业发展相匹配。</w:t>
      </w:r>
    </w:p>
    <w:p w14:paraId="2DFBF51F">
      <w:pPr>
        <w:keepNext w:val="0"/>
        <w:keepLines w:val="0"/>
        <w:pageBreakBefore w:val="0"/>
        <w:kinsoku/>
        <w:wordWrap/>
        <w:overflowPunct/>
        <w:topLinePunct w:val="0"/>
        <w:autoSpaceDE/>
        <w:autoSpaceDN/>
        <w:bidi w:val="0"/>
        <w:spacing w:line="576" w:lineRule="exact"/>
        <w:ind w:firstLine="640"/>
        <w:textAlignment w:val="auto"/>
        <w:rPr>
          <w:rFonts w:hint="default" w:eastAsia="仿宋_GB2312"/>
          <w:sz w:val="32"/>
          <w:szCs w:val="32"/>
          <w:lang w:val="en-US" w:eastAsia="zh-CN"/>
        </w:rPr>
      </w:pPr>
      <w:r>
        <w:rPr>
          <w:rFonts w:hint="eastAsia" w:ascii="楷体_GB2312" w:hAnsi="楷体_GB2312" w:eastAsia="楷体_GB2312" w:cs="楷体_GB2312"/>
          <w:sz w:val="32"/>
          <w:szCs w:val="32"/>
        </w:rPr>
        <w:t>2.</w:t>
      </w:r>
      <w:r>
        <w:rPr>
          <w:rFonts w:hint="eastAsia" w:eastAsia="仿宋_GB2312"/>
          <w:sz w:val="32"/>
          <w:szCs w:val="32"/>
        </w:rPr>
        <w:t>项目管理。项目资金分配因素选取、权重设置、区域分布，项目管理、审批符合管理要求、绩效监管按中省要求全面完成绩效目标（含事前评估）、绩效评价。</w:t>
      </w:r>
    </w:p>
    <w:p w14:paraId="21D55AD5">
      <w:pPr>
        <w:keepNext w:val="0"/>
        <w:keepLines w:val="0"/>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en-US" w:eastAsia="zh-CN"/>
        </w:rPr>
      </w:pPr>
      <w:r>
        <w:rPr>
          <w:rFonts w:hint="eastAsia" w:ascii="楷体_GB2312" w:hAnsi="楷体_GB2312" w:eastAsia="楷体_GB2312" w:cs="楷体_GB2312"/>
          <w:sz w:val="32"/>
          <w:szCs w:val="32"/>
        </w:rPr>
        <w:t>3.</w:t>
      </w:r>
      <w:r>
        <w:rPr>
          <w:rFonts w:hint="eastAsia" w:eastAsia="仿宋_GB2312"/>
          <w:sz w:val="32"/>
          <w:szCs w:val="32"/>
        </w:rPr>
        <w:t>项目实施。</w:t>
      </w:r>
      <w:r>
        <w:rPr>
          <w:rFonts w:hint="eastAsia" w:eastAsia="仿宋_GB2312"/>
          <w:sz w:val="32"/>
          <w:szCs w:val="32"/>
          <w:lang w:eastAsia="zh-CN"/>
        </w:rPr>
        <w:t>财政资金拨付率</w:t>
      </w:r>
      <w:r>
        <w:rPr>
          <w:rFonts w:hint="eastAsia" w:eastAsia="仿宋_GB2312"/>
          <w:sz w:val="32"/>
          <w:szCs w:val="32"/>
          <w:lang w:val="en-US" w:eastAsia="zh-CN"/>
        </w:rPr>
        <w:t>100%，使用率100%，无地方配套资金。</w:t>
      </w:r>
    </w:p>
    <w:p w14:paraId="3F5E9E6B">
      <w:pPr>
        <w:keepNext w:val="0"/>
        <w:keepLines w:val="0"/>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en-US" w:eastAsia="zh-CN"/>
        </w:rPr>
      </w:pPr>
      <w:r>
        <w:rPr>
          <w:rFonts w:hint="eastAsia" w:ascii="楷体_GB2312" w:hAnsi="楷体_GB2312" w:eastAsia="楷体_GB2312" w:cs="楷体_GB2312"/>
          <w:sz w:val="32"/>
          <w:szCs w:val="32"/>
        </w:rPr>
        <w:t>4.</w:t>
      </w:r>
      <w:r>
        <w:rPr>
          <w:rFonts w:hint="eastAsia" w:eastAsia="仿宋_GB2312"/>
          <w:sz w:val="32"/>
          <w:szCs w:val="32"/>
        </w:rPr>
        <w:t>项目结果。完成预期目标，实施结果。与绩效目标相匹配</w:t>
      </w:r>
      <w:r>
        <w:rPr>
          <w:rFonts w:hint="eastAsia" w:eastAsia="仿宋_GB2312"/>
          <w:sz w:val="32"/>
          <w:szCs w:val="32"/>
          <w:lang w:eastAsia="zh-CN"/>
        </w:rPr>
        <w:t>。</w:t>
      </w:r>
    </w:p>
    <w:p w14:paraId="43109770">
      <w:pPr>
        <w:keepNext w:val="0"/>
        <w:keepLines w:val="0"/>
        <w:pageBreakBefore w:val="0"/>
        <w:kinsoku/>
        <w:wordWrap/>
        <w:overflowPunct/>
        <w:topLinePunct w:val="0"/>
        <w:autoSpaceDE/>
        <w:autoSpaceDN/>
        <w:bidi w:val="0"/>
        <w:spacing w:line="576" w:lineRule="exact"/>
        <w:ind w:firstLine="643" w:firstLineChars="200"/>
        <w:textAlignment w:val="auto"/>
        <w:rPr>
          <w:rFonts w:ascii="楷体_GB2312" w:hAnsi="楷体_GB2312" w:eastAsia="楷体_GB2312" w:cs="楷体_GB2312"/>
          <w:sz w:val="32"/>
          <w:szCs w:val="32"/>
          <w:lang w:val="zh-CN"/>
        </w:rPr>
      </w:pPr>
      <w:r>
        <w:rPr>
          <w:rFonts w:hint="eastAsia" w:ascii="楷体_GB2312" w:hAnsi="宋体" w:eastAsia="楷体_GB2312"/>
          <w:b/>
          <w:sz w:val="32"/>
          <w:szCs w:val="32"/>
          <w:lang w:val="zh-CN"/>
        </w:rPr>
        <w:t>（二）</w:t>
      </w:r>
      <w:r>
        <w:rPr>
          <w:rFonts w:hint="eastAsia" w:ascii="楷体_GB2312" w:hAnsi="宋体" w:eastAsia="楷体_GB2312"/>
          <w:b/>
          <w:sz w:val="32"/>
          <w:szCs w:val="32"/>
        </w:rPr>
        <w:t>专用指标</w:t>
      </w:r>
      <w:r>
        <w:rPr>
          <w:rFonts w:eastAsia="楷体_GB2312"/>
          <w:b/>
          <w:bCs/>
          <w:color w:val="000000"/>
          <w:kern w:val="0"/>
          <w:sz w:val="32"/>
          <w:szCs w:val="32"/>
          <w:shd w:val="clear" w:color="auto" w:fill="FFFFFF"/>
          <w:lang w:val="zh-CN"/>
        </w:rPr>
        <w:t>绩效分析</w:t>
      </w:r>
    </w:p>
    <w:p w14:paraId="46DB7096">
      <w:pPr>
        <w:keepNext w:val="0"/>
        <w:keepLines w:val="0"/>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en-US" w:eastAsia="zh-CN"/>
        </w:rPr>
      </w:pPr>
      <w:r>
        <w:rPr>
          <w:rFonts w:hint="eastAsia" w:ascii="楷体_GB2312" w:hAnsi="楷体_GB2312" w:eastAsia="楷体_GB2312" w:cs="楷体_GB2312"/>
          <w:sz w:val="32"/>
          <w:szCs w:val="32"/>
        </w:rPr>
        <w:t>1.</w:t>
      </w:r>
      <w:r>
        <w:rPr>
          <w:rFonts w:hint="eastAsia" w:eastAsia="仿宋_GB2312"/>
          <w:sz w:val="32"/>
          <w:szCs w:val="32"/>
        </w:rPr>
        <w:t>产业发展。与省委省政府支持重点、产业支持政策符合、对相关企业（机构）成长性的促进作用。</w:t>
      </w:r>
    </w:p>
    <w:p w14:paraId="74D581D2">
      <w:pPr>
        <w:keepNext w:val="0"/>
        <w:keepLines w:val="0"/>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en-US" w:eastAsia="zh-CN"/>
        </w:rPr>
      </w:pPr>
      <w:r>
        <w:rPr>
          <w:rFonts w:hint="eastAsia" w:ascii="楷体_GB2312" w:hAnsi="楷体_GB2312" w:eastAsia="楷体_GB2312" w:cs="楷体_GB2312"/>
          <w:sz w:val="32"/>
          <w:szCs w:val="32"/>
        </w:rPr>
        <w:t>2.</w:t>
      </w:r>
      <w:r>
        <w:rPr>
          <w:rFonts w:hint="eastAsia" w:eastAsia="仿宋_GB2312"/>
          <w:sz w:val="32"/>
          <w:szCs w:val="32"/>
          <w:lang w:val="zh-CN"/>
        </w:rPr>
        <w:t>行政运转。按规定用途、适用范围进行本地区专项资金分配。</w:t>
      </w:r>
    </w:p>
    <w:p w14:paraId="42AA8BC7">
      <w:pPr>
        <w:keepNext w:val="0"/>
        <w:keepLines w:val="0"/>
        <w:pageBreakBefore w:val="0"/>
        <w:kinsoku/>
        <w:wordWrap/>
        <w:overflowPunct/>
        <w:topLinePunct w:val="0"/>
        <w:autoSpaceDE/>
        <w:autoSpaceDN/>
        <w:bidi w:val="0"/>
        <w:spacing w:line="576" w:lineRule="exact"/>
        <w:ind w:firstLine="640"/>
        <w:textAlignment w:val="auto"/>
        <w:rPr>
          <w:rFonts w:eastAsia="楷体_GB2312"/>
          <w:b/>
          <w:bCs/>
          <w:color w:val="000000"/>
          <w:kern w:val="0"/>
          <w:sz w:val="32"/>
          <w:szCs w:val="32"/>
          <w:shd w:val="clear" w:color="auto" w:fill="FFFFFF"/>
          <w:lang w:val="zh-CN"/>
        </w:rPr>
      </w:pPr>
      <w:r>
        <w:rPr>
          <w:rFonts w:hint="eastAsia" w:ascii="楷体_GB2312" w:hAnsi="宋体" w:eastAsia="楷体_GB2312"/>
          <w:b/>
          <w:sz w:val="32"/>
          <w:szCs w:val="32"/>
          <w:lang w:val="zh-CN"/>
        </w:rPr>
        <w:t>（三）</w:t>
      </w:r>
      <w:r>
        <w:rPr>
          <w:rFonts w:hint="eastAsia" w:ascii="楷体_GB2312" w:hAnsi="宋体" w:eastAsia="楷体_GB2312"/>
          <w:b/>
          <w:sz w:val="32"/>
          <w:szCs w:val="32"/>
        </w:rPr>
        <w:t>个性指标</w:t>
      </w:r>
      <w:r>
        <w:rPr>
          <w:rFonts w:eastAsia="楷体_GB2312"/>
          <w:b/>
          <w:bCs/>
          <w:color w:val="000000"/>
          <w:kern w:val="0"/>
          <w:sz w:val="32"/>
          <w:szCs w:val="32"/>
          <w:shd w:val="clear" w:color="auto" w:fill="FFFFFF"/>
          <w:lang w:val="zh-CN"/>
        </w:rPr>
        <w:t>绩效分析</w:t>
      </w:r>
    </w:p>
    <w:p w14:paraId="620F52B7">
      <w:pPr>
        <w:keepNext w:val="0"/>
        <w:keepLines w:val="0"/>
        <w:pageBreakBefore w:val="0"/>
        <w:kinsoku/>
        <w:wordWrap/>
        <w:overflowPunct/>
        <w:topLinePunct w:val="0"/>
        <w:autoSpaceDE/>
        <w:autoSpaceDN/>
        <w:bidi w:val="0"/>
        <w:spacing w:line="576" w:lineRule="exact"/>
        <w:ind w:firstLine="640"/>
        <w:textAlignment w:val="auto"/>
        <w:rPr>
          <w:rFonts w:hint="default" w:eastAsia="仿宋_GB2312"/>
          <w:sz w:val="32"/>
          <w:szCs w:val="32"/>
          <w:lang w:val="en-US" w:eastAsia="zh-CN"/>
        </w:rPr>
      </w:pPr>
      <w:r>
        <w:rPr>
          <w:rFonts w:hint="eastAsia" w:eastAsia="仿宋_GB2312"/>
          <w:sz w:val="32"/>
          <w:szCs w:val="32"/>
          <w:lang w:val="zh-CN"/>
        </w:rPr>
        <w:t>根据项目设定指标如实完成。</w:t>
      </w:r>
    </w:p>
    <w:p w14:paraId="24E9BBAA">
      <w:pPr>
        <w:keepNext w:val="0"/>
        <w:keepLines w:val="0"/>
        <w:pageBreakBefore w:val="0"/>
        <w:widowControl/>
        <w:tabs>
          <w:tab w:val="left" w:pos="2160"/>
        </w:tabs>
        <w:kinsoku/>
        <w:wordWrap/>
        <w:overflowPunct/>
        <w:topLinePunct w:val="0"/>
        <w:autoSpaceDE/>
        <w:autoSpaceDN/>
        <w:bidi w:val="0"/>
        <w:spacing w:line="576" w:lineRule="exact"/>
        <w:ind w:firstLine="640" w:firstLineChars="200"/>
        <w:jc w:val="left"/>
        <w:textAlignment w:val="auto"/>
        <w:rPr>
          <w:rFonts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四、评价结论</w:t>
      </w:r>
    </w:p>
    <w:p w14:paraId="1A027E3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kern w:val="0"/>
          <w:position w:val="0"/>
          <w:sz w:val="32"/>
          <w:szCs w:val="32"/>
          <w:highlight w:val="none"/>
          <w:u w:val="none"/>
          <w:shd w:val="clear" w:color="auto" w:fill="FFFFFF"/>
          <w:lang w:val="zh-CN" w:eastAsia="zh-CN" w:bidi="ar-SA"/>
        </w:rPr>
      </w:pPr>
      <w:r>
        <w:rPr>
          <w:rFonts w:hint="eastAsia" w:ascii="仿宋_GB2312" w:hAnsi="仿宋_GB2312" w:eastAsia="仿宋_GB2312" w:cs="仿宋_GB2312"/>
          <w:kern w:val="2"/>
          <w:sz w:val="32"/>
          <w:szCs w:val="32"/>
          <w:lang w:val="en-US" w:eastAsia="zh-CN"/>
        </w:rPr>
        <w:t>茂县供销合作社联合社2023年农资储备和价格补贴专项经费</w:t>
      </w:r>
      <w:r>
        <w:rPr>
          <w:rFonts w:hint="eastAsia" w:ascii="仿宋_GB2312" w:eastAsia="仿宋_GB2312" w:cs="仿宋_GB2312"/>
          <w:color w:val="auto"/>
          <w:kern w:val="0"/>
          <w:position w:val="0"/>
          <w:sz w:val="32"/>
          <w:szCs w:val="32"/>
          <w:highlight w:val="none"/>
          <w:u w:val="none"/>
          <w:shd w:val="clear" w:color="auto" w:fill="FFFFFF"/>
          <w:lang w:val="zh-CN" w:eastAsia="zh-CN" w:bidi="ar-SA"/>
        </w:rPr>
        <w:t>严格按照</w:t>
      </w:r>
      <w:r>
        <w:rPr>
          <w:rFonts w:hint="eastAsia" w:ascii="仿宋_GB2312" w:hAnsi="仿宋_GB2312" w:eastAsia="仿宋_GB2312" w:cs="仿宋_GB2312"/>
          <w:b w:val="0"/>
          <w:kern w:val="0"/>
          <w:sz w:val="32"/>
          <w:szCs w:val="32"/>
          <w:shd w:val="clear" w:color="auto" w:fill="FFFFFF"/>
          <w:lang w:val="zh-CN" w:eastAsia="zh-CN" w:bidi="ar-SA"/>
        </w:rPr>
        <w:t>《阿坝州财政局、阿坝州供销社关于下达2023年农资储备和价格补贴专项经费的通知》（阿州财农〔2023〕28号）</w:t>
      </w:r>
      <w:r>
        <w:rPr>
          <w:rFonts w:hint="eastAsia" w:ascii="仿宋_GB2312" w:eastAsia="仿宋_GB2312" w:cs="仿宋_GB2312"/>
          <w:color w:val="auto"/>
          <w:kern w:val="0"/>
          <w:position w:val="0"/>
          <w:sz w:val="32"/>
          <w:szCs w:val="32"/>
          <w:highlight w:val="none"/>
          <w:u w:val="none"/>
          <w:shd w:val="clear" w:color="auto" w:fill="FFFFFF"/>
          <w:lang w:val="zh-CN" w:eastAsia="zh-CN" w:bidi="ar-SA"/>
        </w:rPr>
        <w:t>要求实施，下达资金与规划一致，完成目标任务，完成绩效目标，资金使用合规。</w:t>
      </w:r>
      <w:r>
        <w:rPr>
          <w:rFonts w:hint="eastAsia" w:ascii="仿宋_GB2312" w:eastAsia="仿宋_GB2312" w:cs="仿宋_GB2312"/>
          <w:kern w:val="0"/>
          <w:position w:val="0"/>
          <w:sz w:val="32"/>
          <w:szCs w:val="32"/>
          <w:highlight w:val="none"/>
          <w:u w:val="none"/>
          <w:shd w:val="clear" w:color="auto" w:fill="FFFFFF"/>
          <w:lang w:val="zh-CN" w:eastAsia="zh-CN" w:bidi="ar-SA"/>
        </w:rPr>
        <w:t>综合自评得分</w:t>
      </w:r>
      <w:r>
        <w:rPr>
          <w:rFonts w:hint="eastAsia" w:ascii="仿宋_GB2312" w:eastAsia="仿宋_GB2312" w:cs="仿宋_GB2312"/>
          <w:kern w:val="0"/>
          <w:position w:val="0"/>
          <w:sz w:val="32"/>
          <w:szCs w:val="32"/>
          <w:highlight w:val="none"/>
          <w:u w:val="none"/>
          <w:shd w:val="clear" w:color="auto" w:fill="FFFFFF"/>
          <w:lang w:val="en-US" w:eastAsia="zh-CN" w:bidi="ar-SA"/>
        </w:rPr>
        <w:t>100</w:t>
      </w:r>
      <w:r>
        <w:rPr>
          <w:rFonts w:hint="eastAsia" w:ascii="仿宋_GB2312" w:eastAsia="仿宋_GB2312" w:cs="仿宋_GB2312"/>
          <w:kern w:val="0"/>
          <w:position w:val="0"/>
          <w:sz w:val="32"/>
          <w:szCs w:val="32"/>
          <w:highlight w:val="none"/>
          <w:u w:val="none"/>
          <w:shd w:val="clear" w:color="auto" w:fill="FFFFFF"/>
          <w:lang w:val="zh-CN" w:eastAsia="zh-CN" w:bidi="ar-SA"/>
        </w:rPr>
        <w:t>分。</w:t>
      </w:r>
    </w:p>
    <w:p w14:paraId="3F67FDD3">
      <w:pPr>
        <w:pStyle w:val="19"/>
        <w:keepNext w:val="0"/>
        <w:keepLines w:val="0"/>
        <w:pageBreakBefore w:val="0"/>
        <w:kinsoku/>
        <w:wordWrap/>
        <w:overflowPunct/>
        <w:topLinePunct w:val="0"/>
        <w:autoSpaceDE/>
        <w:autoSpaceDN/>
        <w:bidi w:val="0"/>
        <w:spacing w:line="576" w:lineRule="exact"/>
        <w:ind w:left="0" w:leftChars="0" w:firstLine="0" w:firstLineChars="0"/>
        <w:textAlignment w:val="auto"/>
        <w:rPr>
          <w:lang w:val="zh-CN"/>
        </w:rPr>
      </w:pPr>
    </w:p>
    <w:p w14:paraId="2F8AD290">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eastAsia="仿宋_GB2312"/>
          <w:color w:val="000000"/>
          <w:kern w:val="0"/>
          <w:sz w:val="32"/>
          <w:szCs w:val="32"/>
          <w:shd w:val="clear" w:color="auto" w:fill="FFFFFF"/>
        </w:rPr>
      </w:pPr>
      <w:r>
        <w:rPr>
          <w:rFonts w:hint="eastAsia" w:eastAsia="仿宋_GB2312"/>
          <w:color w:val="000000"/>
          <w:kern w:val="0"/>
          <w:sz w:val="32"/>
          <w:szCs w:val="32"/>
          <w:shd w:val="clear" w:color="auto" w:fill="FFFFFF"/>
        </w:rPr>
        <w:t>附表：1.项目资金分配涉及所有点位自评得分情况表</w:t>
      </w:r>
    </w:p>
    <w:p w14:paraId="3B91E5FD">
      <w:pPr>
        <w:keepNext w:val="0"/>
        <w:keepLines w:val="0"/>
        <w:pageBreakBefore w:val="0"/>
        <w:kinsoku/>
        <w:wordWrap/>
        <w:overflowPunct/>
        <w:topLinePunct w:val="0"/>
        <w:autoSpaceDE/>
        <w:autoSpaceDN/>
        <w:bidi w:val="0"/>
        <w:snapToGrid w:val="0"/>
        <w:spacing w:line="576" w:lineRule="exact"/>
        <w:ind w:firstLine="1600" w:firstLineChars="500"/>
        <w:textAlignment w:val="auto"/>
        <w:rPr>
          <w:rFonts w:hint="eastAsia" w:eastAsia="仿宋_GB2312"/>
          <w:color w:val="000000"/>
          <w:kern w:val="0"/>
          <w:sz w:val="32"/>
          <w:szCs w:val="32"/>
          <w:shd w:val="clear" w:color="auto" w:fill="FFFFFF"/>
        </w:rPr>
      </w:pPr>
      <w:r>
        <w:rPr>
          <w:rFonts w:hint="eastAsia" w:eastAsia="仿宋_GB2312"/>
          <w:color w:val="000000"/>
          <w:kern w:val="0"/>
          <w:sz w:val="32"/>
          <w:szCs w:val="32"/>
          <w:shd w:val="clear" w:color="auto" w:fill="FFFFFF"/>
        </w:rPr>
        <w:t>2.专项预算项目绩效目标完成情况自评表</w:t>
      </w:r>
    </w:p>
    <w:p w14:paraId="6FCDEE86">
      <w:pPr>
        <w:keepNext w:val="0"/>
        <w:keepLines w:val="0"/>
        <w:pageBreakBefore w:val="0"/>
        <w:kinsoku/>
        <w:wordWrap/>
        <w:overflowPunct/>
        <w:topLinePunct w:val="0"/>
        <w:autoSpaceDE/>
        <w:autoSpaceDN/>
        <w:bidi w:val="0"/>
        <w:snapToGrid w:val="0"/>
        <w:spacing w:line="576" w:lineRule="exact"/>
        <w:ind w:firstLine="1600" w:firstLineChars="500"/>
        <w:textAlignment w:val="auto"/>
        <w:rPr>
          <w:rFonts w:hint="eastAsia" w:eastAsia="仿宋_GB2312"/>
          <w:color w:val="000000"/>
          <w:kern w:val="0"/>
          <w:sz w:val="32"/>
          <w:szCs w:val="32"/>
          <w:shd w:val="clear" w:color="auto" w:fill="FFFFFF"/>
          <w:lang w:val="zh-CN"/>
        </w:rPr>
      </w:pPr>
    </w:p>
    <w:p w14:paraId="676557C8">
      <w:pPr>
        <w:keepNext w:val="0"/>
        <w:keepLines w:val="0"/>
        <w:pageBreakBefore w:val="0"/>
        <w:kinsoku/>
        <w:wordWrap/>
        <w:overflowPunct/>
        <w:topLinePunct w:val="0"/>
        <w:autoSpaceDE/>
        <w:autoSpaceDN/>
        <w:bidi w:val="0"/>
        <w:snapToGrid w:val="0"/>
        <w:spacing w:line="576" w:lineRule="exact"/>
        <w:ind w:firstLine="1600" w:firstLineChars="500"/>
        <w:textAlignment w:val="auto"/>
        <w:rPr>
          <w:rFonts w:hint="eastAsia" w:eastAsia="仿宋_GB2312"/>
          <w:color w:val="000000"/>
          <w:kern w:val="0"/>
          <w:sz w:val="32"/>
          <w:szCs w:val="32"/>
          <w:shd w:val="clear" w:color="auto" w:fill="FFFFFF"/>
          <w:lang w:val="zh-CN"/>
        </w:rPr>
      </w:pPr>
    </w:p>
    <w:p w14:paraId="077B8D91">
      <w:pPr>
        <w:keepNext w:val="0"/>
        <w:keepLines w:val="0"/>
        <w:pageBreakBefore w:val="0"/>
        <w:kinsoku/>
        <w:wordWrap/>
        <w:overflowPunct/>
        <w:topLinePunct w:val="0"/>
        <w:autoSpaceDE/>
        <w:autoSpaceDN/>
        <w:bidi w:val="0"/>
        <w:spacing w:line="576" w:lineRule="exact"/>
        <w:ind w:left="49" w:firstLine="4160" w:firstLineChars="1300"/>
        <w:textAlignment w:val="auto"/>
        <w:rPr>
          <w:rFonts w:hint="default" w:ascii="仿宋_GB2312" w:eastAsia="仿宋_GB2312" w:cs="Times New Roman"/>
          <w:kern w:val="2"/>
          <w:sz w:val="32"/>
          <w:szCs w:val="32"/>
          <w:u w:val="none"/>
          <w:lang w:val="en-US" w:eastAsia="zh-CN"/>
        </w:rPr>
      </w:pPr>
      <w:r>
        <w:rPr>
          <w:rFonts w:hint="eastAsia" w:ascii="仿宋_GB2312" w:eastAsia="仿宋_GB2312" w:cs="Times New Roman"/>
          <w:kern w:val="2"/>
          <w:sz w:val="32"/>
          <w:szCs w:val="32"/>
          <w:u w:val="none"/>
          <w:lang w:val="en-US" w:eastAsia="zh-CN"/>
        </w:rPr>
        <w:t>茂县供销合作社联合社</w:t>
      </w:r>
    </w:p>
    <w:p w14:paraId="2596298C">
      <w:pPr>
        <w:keepNext w:val="0"/>
        <w:keepLines w:val="0"/>
        <w:pageBreakBefore w:val="0"/>
        <w:widowControl/>
        <w:kinsoku/>
        <w:wordWrap/>
        <w:overflowPunct/>
        <w:topLinePunct w:val="0"/>
        <w:autoSpaceDE/>
        <w:autoSpaceDN/>
        <w:bidi w:val="0"/>
        <w:adjustRightInd w:val="0"/>
        <w:snapToGrid w:val="0"/>
        <w:spacing w:line="576" w:lineRule="exact"/>
        <w:ind w:firstLine="4800" w:firstLineChars="1500"/>
        <w:contextualSpacing/>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2024年8月8日</w:t>
      </w:r>
    </w:p>
    <w:p w14:paraId="565A7E58">
      <w:pPr>
        <w:keepNext w:val="0"/>
        <w:keepLines w:val="0"/>
        <w:pageBreakBefore w:val="0"/>
        <w:widowControl/>
        <w:kinsoku/>
        <w:wordWrap/>
        <w:overflowPunct/>
        <w:topLinePunct w:val="0"/>
        <w:autoSpaceDE/>
        <w:autoSpaceDN/>
        <w:bidi w:val="0"/>
        <w:adjustRightInd w:val="0"/>
        <w:snapToGrid w:val="0"/>
        <w:spacing w:line="576" w:lineRule="exact"/>
        <w:contextualSpacing/>
        <w:jc w:val="left"/>
        <w:textAlignment w:val="auto"/>
        <w:rPr>
          <w:rFonts w:hint="eastAsia" w:ascii="黑体" w:hAnsi="黑体" w:eastAsia="黑体" w:cs="黑体"/>
          <w:kern w:val="0"/>
          <w:sz w:val="32"/>
          <w:szCs w:val="32"/>
          <w:shd w:val="clear" w:color="auto" w:fill="FFFFFF"/>
          <w:lang w:val="zh-CN"/>
        </w:rPr>
      </w:pPr>
    </w:p>
    <w:p w14:paraId="1C0B56AF">
      <w:pPr>
        <w:keepNext w:val="0"/>
        <w:keepLines w:val="0"/>
        <w:pageBreakBefore w:val="0"/>
        <w:widowControl/>
        <w:kinsoku/>
        <w:wordWrap/>
        <w:overflowPunct/>
        <w:topLinePunct w:val="0"/>
        <w:autoSpaceDE/>
        <w:autoSpaceDN/>
        <w:bidi w:val="0"/>
        <w:adjustRightInd w:val="0"/>
        <w:snapToGrid w:val="0"/>
        <w:spacing w:line="576" w:lineRule="exact"/>
        <w:contextualSpacing/>
        <w:jc w:val="left"/>
        <w:textAlignment w:val="auto"/>
        <w:rPr>
          <w:rFonts w:hint="eastAsia" w:ascii="黑体" w:hAnsi="黑体" w:eastAsia="黑体" w:cs="黑体"/>
          <w:kern w:val="0"/>
          <w:sz w:val="32"/>
          <w:szCs w:val="32"/>
          <w:shd w:val="clear" w:color="auto" w:fill="FFFFFF"/>
          <w:lang w:val="zh-CN"/>
        </w:rPr>
      </w:pPr>
    </w:p>
    <w:p w14:paraId="72B78EDA">
      <w:pPr>
        <w:keepNext w:val="0"/>
        <w:keepLines w:val="0"/>
        <w:pageBreakBefore w:val="0"/>
        <w:widowControl/>
        <w:kinsoku/>
        <w:wordWrap/>
        <w:overflowPunct/>
        <w:topLinePunct w:val="0"/>
        <w:autoSpaceDE/>
        <w:autoSpaceDN/>
        <w:bidi w:val="0"/>
        <w:adjustRightInd w:val="0"/>
        <w:snapToGrid w:val="0"/>
        <w:spacing w:line="576" w:lineRule="exact"/>
        <w:contextualSpacing/>
        <w:jc w:val="left"/>
        <w:textAlignment w:val="auto"/>
        <w:rPr>
          <w:rFonts w:hint="eastAsia" w:ascii="黑体" w:hAnsi="黑体" w:eastAsia="黑体" w:cs="黑体"/>
          <w:kern w:val="0"/>
          <w:sz w:val="32"/>
          <w:szCs w:val="32"/>
          <w:shd w:val="clear" w:color="auto" w:fill="FFFFFF"/>
          <w:lang w:val="zh-CN"/>
        </w:rPr>
      </w:pPr>
    </w:p>
    <w:p w14:paraId="140E089F">
      <w:pPr>
        <w:widowControl/>
        <w:adjustRightInd w:val="0"/>
        <w:snapToGrid w:val="0"/>
        <w:spacing w:line="578" w:lineRule="exact"/>
        <w:contextualSpacing/>
        <w:jc w:val="left"/>
        <w:rPr>
          <w:rFonts w:hint="eastAsia" w:ascii="黑体" w:hAnsi="黑体" w:eastAsia="黑体" w:cs="黑体"/>
          <w:kern w:val="0"/>
          <w:sz w:val="32"/>
          <w:szCs w:val="32"/>
          <w:shd w:val="clear" w:color="auto" w:fill="FFFFFF"/>
          <w:lang w:val="zh-CN"/>
        </w:rPr>
      </w:pPr>
    </w:p>
    <w:p w14:paraId="6F561498">
      <w:pPr>
        <w:widowControl/>
        <w:adjustRightInd w:val="0"/>
        <w:snapToGrid w:val="0"/>
        <w:spacing w:line="578" w:lineRule="exact"/>
        <w:contextualSpacing/>
        <w:jc w:val="left"/>
        <w:rPr>
          <w:rFonts w:hint="eastAsia" w:ascii="黑体" w:hAnsi="黑体" w:eastAsia="黑体" w:cs="黑体"/>
          <w:kern w:val="0"/>
          <w:sz w:val="32"/>
          <w:szCs w:val="32"/>
          <w:shd w:val="clear" w:color="auto" w:fill="FFFFFF"/>
          <w:lang w:val="zh-CN"/>
        </w:rPr>
      </w:pPr>
    </w:p>
    <w:p w14:paraId="6251EC67">
      <w:pPr>
        <w:widowControl/>
        <w:adjustRightInd w:val="0"/>
        <w:snapToGrid w:val="0"/>
        <w:spacing w:line="578" w:lineRule="exact"/>
        <w:contextualSpacing/>
        <w:jc w:val="left"/>
        <w:rPr>
          <w:rFonts w:hint="eastAsia" w:ascii="黑体" w:hAnsi="黑体" w:eastAsia="黑体" w:cs="黑体"/>
          <w:kern w:val="0"/>
          <w:sz w:val="32"/>
          <w:szCs w:val="32"/>
          <w:shd w:val="clear" w:color="auto" w:fill="FFFFFF"/>
          <w:lang w:val="zh-CN"/>
        </w:rPr>
      </w:pPr>
    </w:p>
    <w:p w14:paraId="1B38D17F">
      <w:pPr>
        <w:widowControl/>
        <w:adjustRightInd w:val="0"/>
        <w:snapToGrid w:val="0"/>
        <w:spacing w:line="578" w:lineRule="exact"/>
        <w:contextualSpacing/>
        <w:jc w:val="left"/>
        <w:rPr>
          <w:rFonts w:hint="eastAsia" w:ascii="黑体" w:hAnsi="黑体" w:eastAsia="黑体" w:cs="黑体"/>
          <w:kern w:val="0"/>
          <w:sz w:val="32"/>
          <w:szCs w:val="32"/>
          <w:shd w:val="clear" w:color="auto" w:fill="FFFFFF"/>
          <w:lang w:val="zh-CN"/>
        </w:rPr>
      </w:pPr>
    </w:p>
    <w:p w14:paraId="3164C277">
      <w:pPr>
        <w:widowControl/>
        <w:adjustRightInd w:val="0"/>
        <w:snapToGrid w:val="0"/>
        <w:spacing w:line="578" w:lineRule="exact"/>
        <w:contextualSpacing/>
        <w:jc w:val="left"/>
        <w:rPr>
          <w:rFonts w:hint="eastAsia" w:ascii="黑体" w:hAnsi="黑体" w:eastAsia="黑体" w:cs="黑体"/>
          <w:kern w:val="0"/>
          <w:sz w:val="32"/>
          <w:szCs w:val="32"/>
          <w:shd w:val="clear" w:color="auto" w:fill="FFFFFF"/>
          <w:lang w:val="zh-CN"/>
        </w:rPr>
      </w:pPr>
    </w:p>
    <w:p w14:paraId="704B5511">
      <w:pPr>
        <w:widowControl/>
        <w:adjustRightInd w:val="0"/>
        <w:snapToGrid w:val="0"/>
        <w:spacing w:line="578" w:lineRule="exact"/>
        <w:contextualSpacing/>
        <w:jc w:val="left"/>
        <w:rPr>
          <w:rFonts w:hint="eastAsia" w:ascii="黑体" w:hAnsi="黑体" w:eastAsia="黑体" w:cs="黑体"/>
          <w:kern w:val="0"/>
          <w:sz w:val="32"/>
          <w:szCs w:val="32"/>
          <w:shd w:val="clear" w:color="auto" w:fill="FFFFFF"/>
          <w:lang w:val="zh-CN"/>
        </w:rPr>
      </w:pPr>
    </w:p>
    <w:p w14:paraId="31384850">
      <w:pPr>
        <w:widowControl/>
        <w:adjustRightInd w:val="0"/>
        <w:snapToGrid w:val="0"/>
        <w:spacing w:line="578" w:lineRule="exact"/>
        <w:contextualSpacing/>
        <w:jc w:val="left"/>
        <w:rPr>
          <w:rFonts w:hint="eastAsia" w:ascii="黑体" w:hAnsi="黑体" w:eastAsia="黑体" w:cs="黑体"/>
          <w:kern w:val="0"/>
          <w:sz w:val="32"/>
          <w:szCs w:val="32"/>
          <w:shd w:val="clear" w:color="auto" w:fill="FFFFFF"/>
          <w:lang w:val="zh-CN"/>
        </w:rPr>
      </w:pPr>
    </w:p>
    <w:p w14:paraId="2C958D0D">
      <w:pPr>
        <w:widowControl/>
        <w:adjustRightInd w:val="0"/>
        <w:snapToGrid w:val="0"/>
        <w:spacing w:line="578" w:lineRule="exact"/>
        <w:contextualSpacing/>
        <w:jc w:val="left"/>
        <w:rPr>
          <w:rFonts w:hint="eastAsia" w:ascii="黑体" w:hAnsi="黑体" w:eastAsia="黑体" w:cs="黑体"/>
          <w:kern w:val="0"/>
          <w:sz w:val="32"/>
          <w:szCs w:val="32"/>
          <w:shd w:val="clear" w:color="auto" w:fill="FFFFFF"/>
          <w:lang w:val="zh-CN"/>
        </w:rPr>
      </w:pPr>
    </w:p>
    <w:p w14:paraId="2F581E46">
      <w:pPr>
        <w:widowControl/>
        <w:adjustRightInd w:val="0"/>
        <w:snapToGrid w:val="0"/>
        <w:spacing w:line="578" w:lineRule="exact"/>
        <w:contextualSpacing/>
        <w:jc w:val="left"/>
        <w:rPr>
          <w:rFonts w:hint="eastAsia" w:ascii="黑体" w:hAnsi="黑体" w:eastAsia="黑体" w:cs="黑体"/>
          <w:kern w:val="0"/>
          <w:sz w:val="32"/>
          <w:szCs w:val="32"/>
          <w:shd w:val="clear" w:color="auto" w:fill="FFFFFF"/>
          <w:lang w:val="zh-CN"/>
        </w:rPr>
      </w:pPr>
    </w:p>
    <w:p w14:paraId="59AB4ECD">
      <w:pPr>
        <w:widowControl/>
        <w:adjustRightInd w:val="0"/>
        <w:snapToGrid w:val="0"/>
        <w:spacing w:line="578" w:lineRule="exact"/>
        <w:contextualSpacing/>
        <w:jc w:val="left"/>
        <w:rPr>
          <w:rFonts w:hint="eastAsia" w:ascii="黑体" w:hAnsi="黑体" w:eastAsia="黑体" w:cs="黑体"/>
          <w:kern w:val="0"/>
          <w:sz w:val="32"/>
          <w:szCs w:val="32"/>
          <w:shd w:val="clear" w:color="auto" w:fill="FFFFFF"/>
          <w:lang w:val="zh-CN"/>
        </w:rPr>
      </w:pPr>
    </w:p>
    <w:p w14:paraId="6E8200B0">
      <w:pPr>
        <w:widowControl/>
        <w:adjustRightInd w:val="0"/>
        <w:snapToGrid w:val="0"/>
        <w:spacing w:line="578" w:lineRule="exact"/>
        <w:contextualSpacing/>
        <w:jc w:val="left"/>
        <w:rPr>
          <w:rFonts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p w14:paraId="179BA871">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24"/>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14:paraId="78D95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3B0BB78A">
            <w:pPr>
              <w:spacing w:line="300" w:lineRule="exact"/>
              <w:jc w:val="center"/>
              <w:rPr>
                <w:rFonts w:ascii="黑体" w:hAnsi="黑体" w:eastAsia="黑体" w:cs="黑体"/>
                <w:sz w:val="24"/>
                <w:szCs w:val="24"/>
              </w:rPr>
            </w:pPr>
            <w:r>
              <w:rPr>
                <w:rFonts w:hint="eastAsia" w:ascii="黑体" w:hAnsi="黑体" w:eastAsia="黑体" w:cs="黑体"/>
                <w:sz w:val="24"/>
                <w:szCs w:val="24"/>
              </w:rPr>
              <w:t>序号</w:t>
            </w:r>
          </w:p>
        </w:tc>
        <w:tc>
          <w:tcPr>
            <w:tcW w:w="3843" w:type="dxa"/>
          </w:tcPr>
          <w:p w14:paraId="6988D824">
            <w:pPr>
              <w:spacing w:line="300" w:lineRule="exact"/>
              <w:jc w:val="center"/>
              <w:rPr>
                <w:rFonts w:ascii="黑体" w:hAnsi="黑体" w:eastAsia="黑体" w:cs="黑体"/>
                <w:sz w:val="24"/>
                <w:szCs w:val="24"/>
                <w:lang w:val="en"/>
              </w:rPr>
            </w:pPr>
            <w:r>
              <w:rPr>
                <w:rFonts w:hint="eastAsia" w:ascii="黑体" w:hAnsi="黑体" w:eastAsia="黑体" w:cs="黑体"/>
                <w:sz w:val="24"/>
                <w:szCs w:val="24"/>
              </w:rPr>
              <w:t>项目资金末端分配点位</w:t>
            </w:r>
          </w:p>
        </w:tc>
        <w:tc>
          <w:tcPr>
            <w:tcW w:w="2861" w:type="dxa"/>
          </w:tcPr>
          <w:p w14:paraId="19B77976">
            <w:pPr>
              <w:spacing w:line="300" w:lineRule="exact"/>
              <w:jc w:val="center"/>
              <w:rPr>
                <w:rFonts w:ascii="黑体" w:hAnsi="黑体" w:eastAsia="黑体" w:cs="黑体"/>
                <w:sz w:val="24"/>
                <w:szCs w:val="24"/>
              </w:rPr>
            </w:pPr>
            <w:r>
              <w:rPr>
                <w:rFonts w:hint="eastAsia" w:ascii="黑体" w:hAnsi="黑体" w:eastAsia="黑体" w:cs="黑体"/>
                <w:sz w:val="24"/>
                <w:szCs w:val="24"/>
                <w:lang w:val="en"/>
              </w:rPr>
              <w:t>自评得分（百分制）</w:t>
            </w:r>
          </w:p>
        </w:tc>
        <w:tc>
          <w:tcPr>
            <w:tcW w:w="993" w:type="dxa"/>
          </w:tcPr>
          <w:p w14:paraId="787CC48C">
            <w:pPr>
              <w:spacing w:line="300" w:lineRule="exact"/>
              <w:jc w:val="center"/>
              <w:rPr>
                <w:rFonts w:ascii="黑体" w:hAnsi="黑体" w:eastAsia="黑体" w:cs="黑体"/>
                <w:sz w:val="24"/>
                <w:szCs w:val="24"/>
              </w:rPr>
            </w:pPr>
            <w:r>
              <w:rPr>
                <w:rFonts w:hint="eastAsia" w:ascii="黑体" w:hAnsi="黑体" w:eastAsia="黑体" w:cs="黑体"/>
                <w:sz w:val="24"/>
                <w:szCs w:val="24"/>
              </w:rPr>
              <w:t>备注</w:t>
            </w:r>
          </w:p>
        </w:tc>
      </w:tr>
      <w:tr w14:paraId="28D2F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exact"/>
          <w:jc w:val="center"/>
        </w:trPr>
        <w:tc>
          <w:tcPr>
            <w:tcW w:w="1123" w:type="dxa"/>
          </w:tcPr>
          <w:p w14:paraId="65B04362">
            <w:pPr>
              <w:spacing w:line="300" w:lineRule="exact"/>
              <w:jc w:val="center"/>
              <w:rPr>
                <w:rFonts w:ascii="宋体" w:hAnsi="宋体" w:eastAsia="宋体" w:cs="宋体"/>
                <w:sz w:val="24"/>
                <w:szCs w:val="24"/>
              </w:rPr>
            </w:pPr>
            <w:r>
              <w:rPr>
                <w:rFonts w:hint="eastAsia" w:ascii="宋体" w:hAnsi="宋体" w:eastAsia="宋体" w:cs="宋体"/>
                <w:sz w:val="24"/>
                <w:szCs w:val="24"/>
              </w:rPr>
              <w:t>1</w:t>
            </w:r>
          </w:p>
        </w:tc>
        <w:tc>
          <w:tcPr>
            <w:tcW w:w="3843" w:type="dxa"/>
          </w:tcPr>
          <w:p w14:paraId="279E4FFD">
            <w:pPr>
              <w:spacing w:line="300" w:lineRule="exact"/>
              <w:rPr>
                <w:rFonts w:ascii="宋体" w:hAnsi="宋体" w:eastAsia="仿宋_GB2312" w:cs="宋体"/>
                <w:sz w:val="24"/>
                <w:szCs w:val="24"/>
                <w:lang w:val="en"/>
              </w:rPr>
            </w:pPr>
            <w:r>
              <w:rPr>
                <w:rFonts w:hint="eastAsia" w:ascii="黑体" w:hAnsi="黑体" w:eastAsia="黑体" w:cs="黑体"/>
                <w:sz w:val="24"/>
                <w:szCs w:val="24"/>
                <w:lang w:val="en-US" w:eastAsia="zh-CN"/>
              </w:rPr>
              <w:t>茂县供销合作社联合社2023年农资储备和价格补贴专项经费</w:t>
            </w:r>
          </w:p>
        </w:tc>
        <w:tc>
          <w:tcPr>
            <w:tcW w:w="2861" w:type="dxa"/>
          </w:tcPr>
          <w:p w14:paraId="6B8CAFB1">
            <w:pPr>
              <w:spacing w:line="300" w:lineRule="exact"/>
              <w:jc w:val="center"/>
              <w:rPr>
                <w:rFonts w:hint="default" w:ascii="宋体" w:hAnsi="宋体" w:eastAsia="仿宋_GB2312" w:cs="宋体"/>
                <w:sz w:val="24"/>
                <w:szCs w:val="24"/>
                <w:lang w:val="en-US" w:eastAsia="zh-CN"/>
              </w:rPr>
            </w:pPr>
            <w:r>
              <w:rPr>
                <w:rFonts w:hint="eastAsia" w:ascii="黑体" w:hAnsi="黑体" w:eastAsia="黑体" w:cs="黑体"/>
                <w:sz w:val="24"/>
                <w:szCs w:val="24"/>
                <w:lang w:val="en-US" w:eastAsia="zh-CN"/>
              </w:rPr>
              <w:t>100</w:t>
            </w:r>
          </w:p>
        </w:tc>
        <w:tc>
          <w:tcPr>
            <w:tcW w:w="993" w:type="dxa"/>
          </w:tcPr>
          <w:p w14:paraId="5E617ECE">
            <w:pPr>
              <w:spacing w:line="300" w:lineRule="exact"/>
              <w:rPr>
                <w:rFonts w:ascii="宋体" w:hAnsi="宋体" w:eastAsia="仿宋_GB2312" w:cs="宋体"/>
                <w:sz w:val="24"/>
                <w:szCs w:val="24"/>
              </w:rPr>
            </w:pPr>
          </w:p>
        </w:tc>
      </w:tr>
      <w:tr w14:paraId="0E35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50509896">
            <w:pPr>
              <w:spacing w:line="300" w:lineRule="exact"/>
              <w:jc w:val="center"/>
              <w:rPr>
                <w:rFonts w:ascii="宋体" w:hAnsi="宋体" w:eastAsia="宋体" w:cs="宋体"/>
                <w:sz w:val="24"/>
                <w:szCs w:val="24"/>
              </w:rPr>
            </w:pPr>
            <w:r>
              <w:rPr>
                <w:rFonts w:hint="eastAsia" w:ascii="宋体" w:hAnsi="宋体" w:eastAsia="宋体" w:cs="宋体"/>
                <w:sz w:val="24"/>
                <w:szCs w:val="24"/>
              </w:rPr>
              <w:t>2</w:t>
            </w:r>
          </w:p>
        </w:tc>
        <w:tc>
          <w:tcPr>
            <w:tcW w:w="3843" w:type="dxa"/>
          </w:tcPr>
          <w:p w14:paraId="760DAE9D">
            <w:pPr>
              <w:spacing w:line="300" w:lineRule="exact"/>
              <w:rPr>
                <w:rFonts w:ascii="宋体" w:hAnsi="宋体" w:eastAsia="仿宋_GB2312" w:cs="宋体"/>
                <w:sz w:val="24"/>
                <w:szCs w:val="24"/>
                <w:lang w:val="en"/>
              </w:rPr>
            </w:pPr>
          </w:p>
        </w:tc>
        <w:tc>
          <w:tcPr>
            <w:tcW w:w="2861" w:type="dxa"/>
          </w:tcPr>
          <w:p w14:paraId="66BFC502">
            <w:pPr>
              <w:spacing w:line="300" w:lineRule="exact"/>
              <w:rPr>
                <w:rFonts w:ascii="宋体" w:hAnsi="宋体" w:eastAsia="仿宋_GB2312" w:cs="宋体"/>
                <w:sz w:val="24"/>
                <w:szCs w:val="24"/>
                <w:lang w:val="en"/>
              </w:rPr>
            </w:pPr>
          </w:p>
        </w:tc>
        <w:tc>
          <w:tcPr>
            <w:tcW w:w="993" w:type="dxa"/>
          </w:tcPr>
          <w:p w14:paraId="3AA61F0D">
            <w:pPr>
              <w:spacing w:line="300" w:lineRule="exact"/>
              <w:rPr>
                <w:rFonts w:ascii="宋体" w:hAnsi="宋体" w:eastAsia="仿宋_GB2312" w:cs="宋体"/>
                <w:sz w:val="24"/>
                <w:szCs w:val="24"/>
              </w:rPr>
            </w:pPr>
          </w:p>
        </w:tc>
      </w:tr>
      <w:tr w14:paraId="0976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0E8F2C86">
            <w:pPr>
              <w:spacing w:line="300" w:lineRule="exact"/>
              <w:jc w:val="center"/>
              <w:rPr>
                <w:rFonts w:ascii="宋体" w:hAnsi="宋体" w:eastAsia="宋体" w:cs="宋体"/>
                <w:sz w:val="24"/>
                <w:szCs w:val="24"/>
              </w:rPr>
            </w:pPr>
            <w:r>
              <w:rPr>
                <w:rFonts w:hint="eastAsia" w:ascii="宋体" w:hAnsi="宋体" w:eastAsia="宋体" w:cs="宋体"/>
                <w:sz w:val="24"/>
                <w:szCs w:val="24"/>
              </w:rPr>
              <w:t>3</w:t>
            </w:r>
          </w:p>
        </w:tc>
        <w:tc>
          <w:tcPr>
            <w:tcW w:w="3843" w:type="dxa"/>
          </w:tcPr>
          <w:p w14:paraId="00203FB4">
            <w:pPr>
              <w:spacing w:line="300" w:lineRule="exact"/>
              <w:rPr>
                <w:rFonts w:ascii="宋体" w:hAnsi="宋体" w:eastAsia="仿宋_GB2312" w:cs="宋体"/>
                <w:sz w:val="24"/>
                <w:szCs w:val="24"/>
                <w:lang w:val="en"/>
              </w:rPr>
            </w:pPr>
          </w:p>
        </w:tc>
        <w:tc>
          <w:tcPr>
            <w:tcW w:w="2861" w:type="dxa"/>
          </w:tcPr>
          <w:p w14:paraId="39C4B4F0">
            <w:pPr>
              <w:spacing w:line="300" w:lineRule="exact"/>
              <w:rPr>
                <w:rFonts w:ascii="宋体" w:hAnsi="宋体" w:eastAsia="仿宋_GB2312" w:cs="宋体"/>
                <w:sz w:val="24"/>
                <w:szCs w:val="24"/>
                <w:lang w:val="en"/>
              </w:rPr>
            </w:pPr>
          </w:p>
        </w:tc>
        <w:tc>
          <w:tcPr>
            <w:tcW w:w="993" w:type="dxa"/>
          </w:tcPr>
          <w:p w14:paraId="58FFFE9B">
            <w:pPr>
              <w:spacing w:line="300" w:lineRule="exact"/>
              <w:rPr>
                <w:rFonts w:ascii="宋体" w:hAnsi="宋体" w:eastAsia="仿宋_GB2312" w:cs="宋体"/>
                <w:sz w:val="24"/>
                <w:szCs w:val="24"/>
              </w:rPr>
            </w:pPr>
          </w:p>
        </w:tc>
      </w:tr>
      <w:tr w14:paraId="3965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2C0B3E6D">
            <w:pPr>
              <w:spacing w:line="300" w:lineRule="exact"/>
              <w:jc w:val="center"/>
              <w:rPr>
                <w:rFonts w:ascii="宋体" w:hAnsi="宋体" w:eastAsia="宋体" w:cs="宋体"/>
                <w:sz w:val="24"/>
                <w:szCs w:val="24"/>
              </w:rPr>
            </w:pPr>
            <w:r>
              <w:rPr>
                <w:rFonts w:hint="eastAsia" w:ascii="宋体" w:hAnsi="宋体" w:eastAsia="宋体" w:cs="宋体"/>
                <w:sz w:val="24"/>
                <w:szCs w:val="24"/>
              </w:rPr>
              <w:t>4</w:t>
            </w:r>
          </w:p>
        </w:tc>
        <w:tc>
          <w:tcPr>
            <w:tcW w:w="3843" w:type="dxa"/>
          </w:tcPr>
          <w:p w14:paraId="2EBEC108">
            <w:pPr>
              <w:spacing w:line="300" w:lineRule="exact"/>
              <w:rPr>
                <w:rFonts w:ascii="宋体" w:hAnsi="宋体" w:eastAsia="仿宋_GB2312" w:cs="宋体"/>
                <w:sz w:val="24"/>
                <w:szCs w:val="24"/>
                <w:lang w:val="en"/>
              </w:rPr>
            </w:pPr>
          </w:p>
        </w:tc>
        <w:tc>
          <w:tcPr>
            <w:tcW w:w="2861" w:type="dxa"/>
          </w:tcPr>
          <w:p w14:paraId="45B164A1">
            <w:pPr>
              <w:spacing w:line="300" w:lineRule="exact"/>
              <w:rPr>
                <w:rFonts w:ascii="宋体" w:hAnsi="宋体" w:eastAsia="仿宋_GB2312" w:cs="宋体"/>
                <w:sz w:val="24"/>
                <w:szCs w:val="24"/>
                <w:lang w:val="en"/>
              </w:rPr>
            </w:pPr>
          </w:p>
        </w:tc>
        <w:tc>
          <w:tcPr>
            <w:tcW w:w="993" w:type="dxa"/>
          </w:tcPr>
          <w:p w14:paraId="45D996DF">
            <w:pPr>
              <w:spacing w:line="300" w:lineRule="exact"/>
              <w:rPr>
                <w:rFonts w:ascii="宋体" w:hAnsi="宋体" w:eastAsia="仿宋_GB2312" w:cs="宋体"/>
                <w:sz w:val="24"/>
                <w:szCs w:val="24"/>
              </w:rPr>
            </w:pPr>
          </w:p>
        </w:tc>
      </w:tr>
      <w:tr w14:paraId="2C892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78E55013">
            <w:pPr>
              <w:spacing w:line="300" w:lineRule="exact"/>
              <w:jc w:val="center"/>
              <w:rPr>
                <w:rFonts w:ascii="宋体" w:hAnsi="宋体" w:eastAsia="宋体" w:cs="宋体"/>
                <w:sz w:val="24"/>
                <w:szCs w:val="24"/>
              </w:rPr>
            </w:pPr>
            <w:r>
              <w:rPr>
                <w:rFonts w:hint="eastAsia" w:ascii="宋体" w:hAnsi="宋体" w:eastAsia="宋体" w:cs="宋体"/>
                <w:sz w:val="24"/>
                <w:szCs w:val="24"/>
              </w:rPr>
              <w:t>5</w:t>
            </w:r>
          </w:p>
        </w:tc>
        <w:tc>
          <w:tcPr>
            <w:tcW w:w="3843" w:type="dxa"/>
          </w:tcPr>
          <w:p w14:paraId="2E845DBE">
            <w:pPr>
              <w:spacing w:line="300" w:lineRule="exact"/>
              <w:rPr>
                <w:rFonts w:ascii="宋体" w:hAnsi="宋体" w:eastAsia="仿宋_GB2312" w:cs="宋体"/>
                <w:sz w:val="24"/>
                <w:szCs w:val="24"/>
                <w:lang w:val="en"/>
              </w:rPr>
            </w:pPr>
          </w:p>
        </w:tc>
        <w:tc>
          <w:tcPr>
            <w:tcW w:w="2861" w:type="dxa"/>
          </w:tcPr>
          <w:p w14:paraId="7248583E">
            <w:pPr>
              <w:spacing w:line="300" w:lineRule="exact"/>
              <w:rPr>
                <w:rFonts w:ascii="宋体" w:hAnsi="宋体" w:eastAsia="仿宋_GB2312" w:cs="宋体"/>
                <w:sz w:val="24"/>
                <w:szCs w:val="24"/>
                <w:lang w:val="en"/>
              </w:rPr>
            </w:pPr>
          </w:p>
        </w:tc>
        <w:tc>
          <w:tcPr>
            <w:tcW w:w="993" w:type="dxa"/>
          </w:tcPr>
          <w:p w14:paraId="77A72F8E">
            <w:pPr>
              <w:spacing w:line="300" w:lineRule="exact"/>
              <w:rPr>
                <w:rFonts w:ascii="宋体" w:hAnsi="宋体" w:eastAsia="仿宋_GB2312" w:cs="宋体"/>
                <w:sz w:val="24"/>
                <w:szCs w:val="24"/>
              </w:rPr>
            </w:pPr>
          </w:p>
        </w:tc>
      </w:tr>
      <w:tr w14:paraId="654D1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4655279E">
            <w:pPr>
              <w:spacing w:line="300" w:lineRule="exact"/>
              <w:jc w:val="center"/>
              <w:rPr>
                <w:rFonts w:ascii="宋体" w:hAnsi="宋体" w:eastAsia="宋体" w:cs="宋体"/>
                <w:sz w:val="24"/>
                <w:szCs w:val="24"/>
              </w:rPr>
            </w:pPr>
            <w:r>
              <w:rPr>
                <w:rFonts w:hint="eastAsia" w:ascii="宋体" w:hAnsi="宋体" w:eastAsia="宋体" w:cs="宋体"/>
                <w:sz w:val="24"/>
                <w:szCs w:val="24"/>
              </w:rPr>
              <w:t>6</w:t>
            </w:r>
          </w:p>
        </w:tc>
        <w:tc>
          <w:tcPr>
            <w:tcW w:w="3843" w:type="dxa"/>
          </w:tcPr>
          <w:p w14:paraId="40103147">
            <w:pPr>
              <w:spacing w:line="300" w:lineRule="exact"/>
              <w:rPr>
                <w:rFonts w:ascii="宋体" w:hAnsi="宋体" w:eastAsia="仿宋_GB2312" w:cs="宋体"/>
                <w:sz w:val="24"/>
                <w:szCs w:val="24"/>
                <w:lang w:val="en"/>
              </w:rPr>
            </w:pPr>
          </w:p>
        </w:tc>
        <w:tc>
          <w:tcPr>
            <w:tcW w:w="2861" w:type="dxa"/>
          </w:tcPr>
          <w:p w14:paraId="2D981003">
            <w:pPr>
              <w:spacing w:line="300" w:lineRule="exact"/>
              <w:rPr>
                <w:rFonts w:ascii="宋体" w:hAnsi="宋体" w:eastAsia="仿宋_GB2312" w:cs="宋体"/>
                <w:sz w:val="24"/>
                <w:szCs w:val="24"/>
                <w:lang w:val="en"/>
              </w:rPr>
            </w:pPr>
          </w:p>
        </w:tc>
        <w:tc>
          <w:tcPr>
            <w:tcW w:w="993" w:type="dxa"/>
          </w:tcPr>
          <w:p w14:paraId="6F950BFE">
            <w:pPr>
              <w:spacing w:line="300" w:lineRule="exact"/>
              <w:rPr>
                <w:rFonts w:ascii="宋体" w:hAnsi="宋体" w:eastAsia="仿宋_GB2312" w:cs="宋体"/>
                <w:sz w:val="24"/>
                <w:szCs w:val="24"/>
              </w:rPr>
            </w:pPr>
          </w:p>
        </w:tc>
      </w:tr>
      <w:tr w14:paraId="5AE8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5E5DC481">
            <w:pPr>
              <w:spacing w:line="300" w:lineRule="exact"/>
              <w:jc w:val="center"/>
              <w:rPr>
                <w:rFonts w:ascii="宋体" w:hAnsi="宋体" w:eastAsia="宋体" w:cs="宋体"/>
                <w:sz w:val="24"/>
                <w:szCs w:val="24"/>
              </w:rPr>
            </w:pPr>
            <w:r>
              <w:rPr>
                <w:rFonts w:hint="eastAsia" w:ascii="宋体" w:hAnsi="宋体" w:eastAsia="宋体" w:cs="宋体"/>
                <w:sz w:val="24"/>
                <w:szCs w:val="24"/>
              </w:rPr>
              <w:t>7</w:t>
            </w:r>
          </w:p>
        </w:tc>
        <w:tc>
          <w:tcPr>
            <w:tcW w:w="3843" w:type="dxa"/>
          </w:tcPr>
          <w:p w14:paraId="6AFE3439">
            <w:pPr>
              <w:spacing w:line="300" w:lineRule="exact"/>
              <w:rPr>
                <w:rFonts w:ascii="宋体" w:hAnsi="宋体" w:eastAsia="仿宋_GB2312" w:cs="宋体"/>
                <w:sz w:val="24"/>
                <w:szCs w:val="24"/>
                <w:lang w:val="en"/>
              </w:rPr>
            </w:pPr>
          </w:p>
        </w:tc>
        <w:tc>
          <w:tcPr>
            <w:tcW w:w="2861" w:type="dxa"/>
          </w:tcPr>
          <w:p w14:paraId="601B2790">
            <w:pPr>
              <w:spacing w:line="300" w:lineRule="exact"/>
              <w:rPr>
                <w:rFonts w:ascii="宋体" w:hAnsi="宋体" w:eastAsia="仿宋_GB2312" w:cs="宋体"/>
                <w:sz w:val="24"/>
                <w:szCs w:val="24"/>
                <w:lang w:val="en"/>
              </w:rPr>
            </w:pPr>
          </w:p>
        </w:tc>
        <w:tc>
          <w:tcPr>
            <w:tcW w:w="993" w:type="dxa"/>
          </w:tcPr>
          <w:p w14:paraId="09DF0BEF">
            <w:pPr>
              <w:spacing w:line="300" w:lineRule="exact"/>
              <w:rPr>
                <w:rFonts w:ascii="宋体" w:hAnsi="宋体" w:eastAsia="仿宋_GB2312" w:cs="宋体"/>
                <w:sz w:val="24"/>
                <w:szCs w:val="24"/>
              </w:rPr>
            </w:pPr>
          </w:p>
        </w:tc>
      </w:tr>
      <w:tr w14:paraId="2917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6836D28C">
            <w:pPr>
              <w:spacing w:line="300" w:lineRule="exact"/>
              <w:jc w:val="center"/>
              <w:rPr>
                <w:rFonts w:ascii="宋体" w:hAnsi="宋体" w:eastAsia="宋体" w:cs="宋体"/>
                <w:sz w:val="24"/>
                <w:szCs w:val="24"/>
              </w:rPr>
            </w:pPr>
            <w:r>
              <w:rPr>
                <w:rFonts w:hint="eastAsia" w:ascii="宋体" w:hAnsi="宋体" w:eastAsia="宋体" w:cs="宋体"/>
                <w:sz w:val="24"/>
                <w:szCs w:val="24"/>
              </w:rPr>
              <w:t>8</w:t>
            </w:r>
          </w:p>
        </w:tc>
        <w:tc>
          <w:tcPr>
            <w:tcW w:w="3843" w:type="dxa"/>
          </w:tcPr>
          <w:p w14:paraId="457E78E0">
            <w:pPr>
              <w:spacing w:line="300" w:lineRule="exact"/>
              <w:rPr>
                <w:rFonts w:ascii="宋体" w:hAnsi="宋体" w:eastAsia="仿宋_GB2312" w:cs="宋体"/>
                <w:sz w:val="24"/>
                <w:szCs w:val="24"/>
                <w:lang w:val="en"/>
              </w:rPr>
            </w:pPr>
          </w:p>
        </w:tc>
        <w:tc>
          <w:tcPr>
            <w:tcW w:w="2861" w:type="dxa"/>
          </w:tcPr>
          <w:p w14:paraId="7E809125">
            <w:pPr>
              <w:spacing w:line="300" w:lineRule="exact"/>
              <w:rPr>
                <w:rFonts w:ascii="宋体" w:hAnsi="宋体" w:eastAsia="仿宋_GB2312" w:cs="宋体"/>
                <w:sz w:val="24"/>
                <w:szCs w:val="24"/>
                <w:lang w:val="en"/>
              </w:rPr>
            </w:pPr>
          </w:p>
        </w:tc>
        <w:tc>
          <w:tcPr>
            <w:tcW w:w="993" w:type="dxa"/>
          </w:tcPr>
          <w:p w14:paraId="5F39FC1C">
            <w:pPr>
              <w:spacing w:line="300" w:lineRule="exact"/>
              <w:rPr>
                <w:rFonts w:ascii="宋体" w:hAnsi="宋体" w:eastAsia="仿宋_GB2312" w:cs="宋体"/>
                <w:sz w:val="24"/>
                <w:szCs w:val="24"/>
              </w:rPr>
            </w:pPr>
          </w:p>
        </w:tc>
      </w:tr>
      <w:tr w14:paraId="0F0A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6175BBC4">
            <w:pPr>
              <w:spacing w:line="300" w:lineRule="exact"/>
              <w:jc w:val="center"/>
              <w:rPr>
                <w:rFonts w:ascii="宋体" w:hAnsi="宋体" w:eastAsia="宋体" w:cs="宋体"/>
                <w:sz w:val="24"/>
                <w:szCs w:val="24"/>
              </w:rPr>
            </w:pPr>
            <w:r>
              <w:rPr>
                <w:rFonts w:hint="eastAsia" w:ascii="宋体" w:hAnsi="宋体" w:eastAsia="宋体" w:cs="宋体"/>
                <w:sz w:val="24"/>
                <w:szCs w:val="24"/>
              </w:rPr>
              <w:t>……</w:t>
            </w:r>
          </w:p>
        </w:tc>
        <w:tc>
          <w:tcPr>
            <w:tcW w:w="3843" w:type="dxa"/>
          </w:tcPr>
          <w:p w14:paraId="7CBBA23D">
            <w:pPr>
              <w:spacing w:line="300" w:lineRule="exact"/>
              <w:rPr>
                <w:rFonts w:ascii="宋体" w:hAnsi="宋体" w:eastAsia="仿宋_GB2312" w:cs="宋体"/>
                <w:sz w:val="24"/>
                <w:szCs w:val="24"/>
                <w:lang w:val="en"/>
              </w:rPr>
            </w:pPr>
          </w:p>
        </w:tc>
        <w:tc>
          <w:tcPr>
            <w:tcW w:w="2861" w:type="dxa"/>
          </w:tcPr>
          <w:p w14:paraId="60434631">
            <w:pPr>
              <w:spacing w:line="300" w:lineRule="exact"/>
              <w:rPr>
                <w:rFonts w:ascii="宋体" w:hAnsi="宋体" w:eastAsia="仿宋_GB2312" w:cs="宋体"/>
                <w:sz w:val="24"/>
                <w:szCs w:val="24"/>
                <w:lang w:val="en"/>
              </w:rPr>
            </w:pPr>
          </w:p>
        </w:tc>
        <w:tc>
          <w:tcPr>
            <w:tcW w:w="993" w:type="dxa"/>
          </w:tcPr>
          <w:p w14:paraId="1E8B7BB8">
            <w:pPr>
              <w:spacing w:line="300" w:lineRule="exact"/>
              <w:rPr>
                <w:rFonts w:ascii="宋体" w:hAnsi="宋体" w:eastAsia="仿宋_GB2312" w:cs="宋体"/>
                <w:sz w:val="24"/>
                <w:szCs w:val="24"/>
              </w:rPr>
            </w:pPr>
          </w:p>
        </w:tc>
      </w:tr>
    </w:tbl>
    <w:p w14:paraId="7FB352EE">
      <w:pPr>
        <w:spacing w:line="400" w:lineRule="exact"/>
        <w:jc w:val="left"/>
        <w:rPr>
          <w:rFonts w:ascii="宋体" w:hAnsi="宋体" w:eastAsia="宋体" w:cs="宋体"/>
          <w:sz w:val="21"/>
          <w:szCs w:val="21"/>
        </w:rPr>
      </w:pPr>
      <w:r>
        <w:rPr>
          <w:rFonts w:hint="eastAsia" w:ascii="宋体" w:hAnsi="宋体" w:eastAsia="宋体" w:cs="宋体"/>
          <w:sz w:val="21"/>
          <w:szCs w:val="21"/>
        </w:rPr>
        <w:t>备注：1.项目资金末端分配点位包括本部门、部门下属单位及一次性单位等。</w:t>
      </w:r>
    </w:p>
    <w:p w14:paraId="778D7808">
      <w:pPr>
        <w:spacing w:line="400" w:lineRule="exact"/>
        <w:ind w:firstLine="630" w:firstLineChars="300"/>
        <w:jc w:val="left"/>
        <w:rPr>
          <w:rFonts w:ascii="宋体" w:hAnsi="宋体" w:eastAsia="宋体" w:cs="宋体"/>
          <w:sz w:val="21"/>
          <w:szCs w:val="21"/>
        </w:rPr>
      </w:pPr>
      <w:r>
        <w:rPr>
          <w:rFonts w:hint="eastAsia" w:ascii="宋体" w:hAnsi="宋体" w:eastAsia="宋体" w:cs="宋体"/>
          <w:sz w:val="21"/>
          <w:szCs w:val="21"/>
        </w:rPr>
        <w:t>2.自评得分（百分制）从高到低划分为优、良、中、差四个档次，各个档次数量占比分别为20%、20%、55%、5%，且不同档次间得分分值应体现差异化，同档次得分分值相同的比例不超过该档次总数量的10%。</w:t>
      </w:r>
    </w:p>
    <w:p w14:paraId="2AD9588A">
      <w:pPr>
        <w:spacing w:line="600" w:lineRule="exact"/>
        <w:jc w:val="center"/>
        <w:outlineLvl w:val="0"/>
        <w:rPr>
          <w:rFonts w:ascii="黑体" w:hAnsi="黑体" w:eastAsia="黑体"/>
          <w:color w:val="000000"/>
          <w:sz w:val="44"/>
          <w:szCs w:val="44"/>
        </w:rPr>
      </w:pPr>
    </w:p>
    <w:p w14:paraId="473DEC17">
      <w:pPr>
        <w:pStyle w:val="19"/>
        <w:rPr>
          <w:rFonts w:ascii="黑体" w:hAnsi="黑体" w:eastAsia="黑体"/>
          <w:color w:val="000000"/>
          <w:sz w:val="44"/>
          <w:szCs w:val="44"/>
        </w:rPr>
      </w:pPr>
    </w:p>
    <w:p w14:paraId="37EF8A2B">
      <w:pPr>
        <w:rPr>
          <w:rFonts w:ascii="黑体" w:hAnsi="黑体" w:eastAsia="黑体"/>
          <w:color w:val="000000"/>
          <w:sz w:val="44"/>
          <w:szCs w:val="44"/>
        </w:rPr>
      </w:pPr>
    </w:p>
    <w:p w14:paraId="16B11472">
      <w:pPr>
        <w:pStyle w:val="19"/>
        <w:rPr>
          <w:rFonts w:ascii="黑体" w:hAnsi="黑体" w:eastAsia="黑体"/>
          <w:color w:val="000000"/>
          <w:sz w:val="44"/>
          <w:szCs w:val="44"/>
        </w:rPr>
      </w:pPr>
    </w:p>
    <w:p w14:paraId="6DF66898">
      <w:pPr>
        <w:rPr>
          <w:rFonts w:ascii="黑体" w:hAnsi="黑体" w:eastAsia="黑体"/>
          <w:color w:val="000000"/>
          <w:sz w:val="44"/>
          <w:szCs w:val="44"/>
        </w:rPr>
      </w:pPr>
    </w:p>
    <w:p w14:paraId="504A2D19">
      <w:pPr>
        <w:pStyle w:val="19"/>
        <w:rPr>
          <w:rFonts w:ascii="黑体" w:hAnsi="黑体" w:eastAsia="黑体"/>
          <w:color w:val="000000"/>
          <w:sz w:val="44"/>
          <w:szCs w:val="44"/>
        </w:rPr>
      </w:pPr>
    </w:p>
    <w:p w14:paraId="5BA63842">
      <w:pPr>
        <w:rPr>
          <w:rFonts w:ascii="黑体" w:hAnsi="黑体" w:eastAsia="黑体"/>
          <w:color w:val="000000"/>
          <w:sz w:val="44"/>
          <w:szCs w:val="44"/>
        </w:rPr>
      </w:pPr>
    </w:p>
    <w:p w14:paraId="2679F920">
      <w:pPr>
        <w:pStyle w:val="19"/>
        <w:rPr>
          <w:rFonts w:ascii="黑体" w:hAnsi="黑体" w:eastAsia="黑体"/>
          <w:color w:val="000000"/>
          <w:sz w:val="44"/>
          <w:szCs w:val="44"/>
        </w:rPr>
      </w:pPr>
    </w:p>
    <w:p w14:paraId="40AB4455">
      <w:pPr>
        <w:pStyle w:val="19"/>
        <w:ind w:left="0" w:leftChars="0" w:firstLine="0" w:firstLineChars="0"/>
        <w:rPr>
          <w:rFonts w:ascii="黑体" w:hAnsi="黑体" w:eastAsia="黑体"/>
          <w:color w:val="000000"/>
          <w:sz w:val="44"/>
          <w:szCs w:val="44"/>
        </w:rPr>
      </w:pPr>
    </w:p>
    <w:p w14:paraId="26851418">
      <w:pPr>
        <w:rPr>
          <w:rFonts w:ascii="黑体" w:hAnsi="黑体" w:eastAsia="黑体"/>
          <w:color w:val="000000"/>
          <w:sz w:val="44"/>
          <w:szCs w:val="44"/>
        </w:rPr>
      </w:pPr>
    </w:p>
    <w:p w14:paraId="7FAEA768">
      <w:pPr>
        <w:pStyle w:val="19"/>
      </w:pPr>
    </w:p>
    <w:p w14:paraId="5B02BD94">
      <w:pPr>
        <w:pStyle w:val="19"/>
        <w:ind w:left="0" w:leftChars="0" w:firstLine="0" w:firstLineChars="0"/>
        <w:rPr>
          <w:rFonts w:hint="eastAsia"/>
          <w:lang w:eastAsia="zh-CN"/>
        </w:rPr>
      </w:pPr>
    </w:p>
    <w:p w14:paraId="233065EC">
      <w:pPr>
        <w:pStyle w:val="19"/>
        <w:ind w:left="0" w:leftChars="0" w:firstLine="0" w:firstLineChars="0"/>
        <w:rPr>
          <w:rFonts w:hint="eastAsia"/>
          <w:lang w:eastAsia="zh-CN"/>
        </w:rPr>
      </w:pPr>
    </w:p>
    <w:p w14:paraId="61A1E972">
      <w:pPr>
        <w:pStyle w:val="19"/>
        <w:ind w:left="0" w:leftChars="0" w:firstLine="0" w:firstLineChars="0"/>
        <w:rPr>
          <w:rFonts w:hint="default" w:eastAsia="仿宋_GB2312"/>
          <w:lang w:val="en-US" w:eastAsia="zh-CN"/>
        </w:rPr>
      </w:pPr>
      <w:r>
        <w:rPr>
          <w:rFonts w:hint="eastAsia"/>
          <w:lang w:eastAsia="zh-CN"/>
        </w:rPr>
        <w:t>附表</w:t>
      </w:r>
      <w:r>
        <w:rPr>
          <w:rFonts w:hint="eastAsia"/>
          <w:lang w:val="en-US" w:eastAsia="zh-CN"/>
        </w:rPr>
        <w:t>2</w:t>
      </w:r>
    </w:p>
    <w:tbl>
      <w:tblPr>
        <w:tblStyle w:val="23"/>
        <w:tblW w:w="82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983"/>
        <w:gridCol w:w="907"/>
        <w:gridCol w:w="1095"/>
        <w:gridCol w:w="396"/>
        <w:gridCol w:w="778"/>
        <w:gridCol w:w="396"/>
        <w:gridCol w:w="846"/>
        <w:gridCol w:w="486"/>
        <w:gridCol w:w="486"/>
        <w:gridCol w:w="1271"/>
      </w:tblGrid>
      <w:tr w14:paraId="2245F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2" w:hRule="atLeast"/>
        </w:trPr>
        <w:tc>
          <w:tcPr>
            <w:tcW w:w="82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A881B32">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5D419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10CE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62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B9B3A9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51322323T000009698496-茂县供销合作社联合社2023年农资储备和价格补贴专项经费</w:t>
            </w:r>
          </w:p>
        </w:tc>
      </w:tr>
      <w:tr w14:paraId="6B516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1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124B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9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A210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茂县供销合作社联合社本级</w:t>
            </w:r>
          </w:p>
        </w:tc>
        <w:tc>
          <w:tcPr>
            <w:tcW w:w="635" w:type="dxa"/>
            <w:tcBorders>
              <w:top w:val="nil"/>
              <w:left w:val="nil"/>
              <w:bottom w:val="nil"/>
              <w:right w:val="nil"/>
            </w:tcBorders>
            <w:shd w:val="clear" w:color="auto" w:fill="auto"/>
            <w:vAlign w:val="center"/>
          </w:tcPr>
          <w:p w14:paraId="0DF8B3BD">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0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4345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w:t>
            </w:r>
          </w:p>
        </w:tc>
      </w:tr>
      <w:tr w14:paraId="0F3C9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3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041B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9DF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9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D470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70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7243D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ED0E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2" w:hRule="atLeast"/>
        </w:trPr>
        <w:tc>
          <w:tcPr>
            <w:tcW w:w="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A0C3E">
            <w:pPr>
              <w:rPr>
                <w:rFonts w:hint="eastAsia" w:ascii="宋体" w:hAnsi="宋体" w:eastAsia="宋体" w:cs="宋体"/>
                <w:i w:val="0"/>
                <w:iCs w:val="0"/>
                <w:color w:val="000000"/>
                <w:sz w:val="18"/>
                <w:szCs w:val="18"/>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49FAC">
            <w:pPr>
              <w:rPr>
                <w:rFonts w:hint="eastAsia" w:ascii="宋体" w:hAnsi="宋体" w:eastAsia="宋体" w:cs="宋体"/>
                <w:i w:val="0"/>
                <w:iCs w:val="0"/>
                <w:color w:val="000000"/>
                <w:sz w:val="18"/>
                <w:szCs w:val="18"/>
                <w:u w:val="none"/>
              </w:rPr>
            </w:pPr>
          </w:p>
        </w:tc>
        <w:tc>
          <w:tcPr>
            <w:tcW w:w="39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D669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有效控制农资市场价格，统一配送，保证农民用上放心化肥产品的同时，有效杜绝假冒伪劣产品进入当地市场。切实保障全州农业生产需要促进农民增收，引导广大农民群众使用配方肥和有机肥，降低土地面源污染，推动我县绿色，生态农业发展。</w:t>
            </w:r>
          </w:p>
        </w:tc>
        <w:tc>
          <w:tcPr>
            <w:tcW w:w="270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66BEA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严格按照年度目标任务执行，根据项目实施计划，完成年度目标任务。</w:t>
            </w:r>
          </w:p>
        </w:tc>
      </w:tr>
      <w:tr w14:paraId="34D58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B421E">
            <w:pPr>
              <w:rPr>
                <w:rFonts w:hint="eastAsia" w:ascii="宋体" w:hAnsi="宋体" w:eastAsia="宋体" w:cs="宋体"/>
                <w:i w:val="0"/>
                <w:iCs w:val="0"/>
                <w:color w:val="000000"/>
                <w:sz w:val="18"/>
                <w:szCs w:val="18"/>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D4A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62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514CB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2023年农资储备和价格补贴专项经费”共计36万元。其中价格补贴资金28万，储备补贴资金8万用于资金占用利息。</w:t>
            </w:r>
          </w:p>
        </w:tc>
      </w:tr>
      <w:tr w14:paraId="056BE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3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D03D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CAC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A46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3B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5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D8DD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7A6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08B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2DF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8A1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7052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EBC64">
            <w:pPr>
              <w:jc w:val="center"/>
              <w:rPr>
                <w:rFonts w:hint="eastAsia" w:ascii="宋体" w:hAnsi="宋体" w:eastAsia="宋体" w:cs="宋体"/>
                <w:i w:val="0"/>
                <w:iCs w:val="0"/>
                <w:color w:val="000000"/>
                <w:sz w:val="18"/>
                <w:szCs w:val="18"/>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73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BE9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36.00</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92A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36.00</w:t>
            </w:r>
          </w:p>
        </w:tc>
        <w:tc>
          <w:tcPr>
            <w:tcW w:w="15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B3A2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36.00</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CBC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73C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474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4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A2705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02A6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35A62">
            <w:pPr>
              <w:jc w:val="center"/>
              <w:rPr>
                <w:rFonts w:hint="eastAsia" w:ascii="宋体" w:hAnsi="宋体" w:eastAsia="宋体" w:cs="宋体"/>
                <w:i w:val="0"/>
                <w:iCs w:val="0"/>
                <w:color w:val="000000"/>
                <w:sz w:val="18"/>
                <w:szCs w:val="18"/>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066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0A3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36.00</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0DA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36.00</w:t>
            </w:r>
          </w:p>
        </w:tc>
        <w:tc>
          <w:tcPr>
            <w:tcW w:w="15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7BC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36.00</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FD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A32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F20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8D3D1">
            <w:pPr>
              <w:rPr>
                <w:rFonts w:hint="eastAsia" w:ascii="黑体" w:hAnsi="黑体" w:eastAsia="黑体" w:cs="黑体"/>
                <w:i/>
                <w:iCs/>
                <w:color w:val="000000"/>
                <w:sz w:val="18"/>
                <w:szCs w:val="18"/>
                <w:u w:val="none"/>
              </w:rPr>
            </w:pPr>
          </w:p>
        </w:tc>
      </w:tr>
      <w:tr w14:paraId="3835F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660ED">
            <w:pPr>
              <w:jc w:val="center"/>
              <w:rPr>
                <w:rFonts w:hint="eastAsia" w:ascii="宋体" w:hAnsi="宋体" w:eastAsia="宋体" w:cs="宋体"/>
                <w:i w:val="0"/>
                <w:iCs w:val="0"/>
                <w:color w:val="000000"/>
                <w:sz w:val="18"/>
                <w:szCs w:val="18"/>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69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B9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7B9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FE10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E10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A1B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054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480B5">
            <w:pPr>
              <w:rPr>
                <w:rFonts w:hint="eastAsia" w:ascii="黑体" w:hAnsi="黑体" w:eastAsia="黑体" w:cs="黑体"/>
                <w:i/>
                <w:iCs/>
                <w:color w:val="000000"/>
                <w:sz w:val="18"/>
                <w:szCs w:val="18"/>
                <w:u w:val="none"/>
              </w:rPr>
            </w:pPr>
          </w:p>
        </w:tc>
      </w:tr>
      <w:tr w14:paraId="32162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63B0A">
            <w:pPr>
              <w:jc w:val="center"/>
              <w:rPr>
                <w:rFonts w:hint="eastAsia" w:ascii="宋体" w:hAnsi="宋体" w:eastAsia="宋体" w:cs="宋体"/>
                <w:i w:val="0"/>
                <w:iCs w:val="0"/>
                <w:color w:val="000000"/>
                <w:sz w:val="18"/>
                <w:szCs w:val="18"/>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D82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9EE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979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7898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268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C5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D53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825D0">
            <w:pPr>
              <w:rPr>
                <w:rFonts w:hint="eastAsia" w:ascii="黑体" w:hAnsi="黑体" w:eastAsia="黑体" w:cs="黑体"/>
                <w:i/>
                <w:iCs/>
                <w:color w:val="000000"/>
                <w:sz w:val="18"/>
                <w:szCs w:val="18"/>
                <w:u w:val="none"/>
              </w:rPr>
            </w:pPr>
          </w:p>
        </w:tc>
      </w:tr>
      <w:tr w14:paraId="60013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EBF21">
            <w:pPr>
              <w:jc w:val="center"/>
              <w:rPr>
                <w:rFonts w:hint="eastAsia" w:ascii="宋体" w:hAnsi="宋体" w:eastAsia="宋体" w:cs="宋体"/>
                <w:i w:val="0"/>
                <w:iCs w:val="0"/>
                <w:color w:val="000000"/>
                <w:sz w:val="18"/>
                <w:szCs w:val="18"/>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178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20B11">
            <w:pPr>
              <w:jc w:val="center"/>
              <w:rPr>
                <w:rFonts w:hint="eastAsia" w:ascii="微软雅黑" w:hAnsi="微软雅黑" w:eastAsia="微软雅黑" w:cs="微软雅黑"/>
                <w:i/>
                <w:iCs/>
                <w:color w:val="000000"/>
                <w:sz w:val="16"/>
                <w:szCs w:val="16"/>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98B8E">
            <w:pPr>
              <w:jc w:val="center"/>
              <w:rPr>
                <w:rFonts w:hint="eastAsia" w:ascii="微软雅黑" w:hAnsi="微软雅黑" w:eastAsia="微软雅黑" w:cs="微软雅黑"/>
                <w:i/>
                <w:iCs/>
                <w:color w:val="000000"/>
                <w:sz w:val="16"/>
                <w:szCs w:val="16"/>
                <w:u w:val="none"/>
              </w:rPr>
            </w:pPr>
          </w:p>
        </w:tc>
        <w:tc>
          <w:tcPr>
            <w:tcW w:w="15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535FF2">
            <w:pPr>
              <w:jc w:val="center"/>
              <w:rPr>
                <w:rFonts w:hint="eastAsia" w:ascii="微软雅黑" w:hAnsi="微软雅黑" w:eastAsia="微软雅黑" w:cs="微软雅黑"/>
                <w:i/>
                <w:iCs/>
                <w:color w:val="000000"/>
                <w:sz w:val="16"/>
                <w:szCs w:val="16"/>
                <w:u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A3A10">
            <w:pPr>
              <w:jc w:val="center"/>
              <w:rPr>
                <w:rFonts w:hint="eastAsia" w:ascii="微软雅黑" w:hAnsi="微软雅黑" w:eastAsia="微软雅黑" w:cs="微软雅黑"/>
                <w:i/>
                <w:iCs/>
                <w:color w:val="000000"/>
                <w:sz w:val="16"/>
                <w:szCs w:val="16"/>
                <w:u w:val="none"/>
              </w:rPr>
            </w:pPr>
          </w:p>
        </w:tc>
        <w:tc>
          <w:tcPr>
            <w:tcW w:w="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415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703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A3B11">
            <w:pPr>
              <w:rPr>
                <w:rFonts w:hint="eastAsia" w:ascii="黑体" w:hAnsi="黑体" w:eastAsia="黑体" w:cs="黑体"/>
                <w:i/>
                <w:iCs/>
                <w:color w:val="000000"/>
                <w:sz w:val="18"/>
                <w:szCs w:val="18"/>
                <w:u w:val="none"/>
              </w:rPr>
            </w:pPr>
          </w:p>
        </w:tc>
      </w:tr>
      <w:tr w14:paraId="51A8A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2" w:hRule="atLeast"/>
        </w:trPr>
        <w:tc>
          <w:tcPr>
            <w:tcW w:w="3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42A7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78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338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7CB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BA4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10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767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643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8CD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5BC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14B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61E0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EFBB6">
            <w:pPr>
              <w:jc w:val="center"/>
              <w:rPr>
                <w:rFonts w:hint="eastAsia" w:ascii="宋体" w:hAnsi="宋体" w:eastAsia="宋体" w:cs="宋体"/>
                <w:i w:val="0"/>
                <w:iCs w:val="0"/>
                <w:color w:val="000000"/>
                <w:sz w:val="18"/>
                <w:szCs w:val="18"/>
                <w:u w:val="none"/>
              </w:rPr>
            </w:pP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33F7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EB5E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E07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有机肥、复合肥销售增长率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CB7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355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535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5A03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0F4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2A6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CC144">
            <w:pPr>
              <w:jc w:val="center"/>
              <w:rPr>
                <w:rFonts w:hint="eastAsia" w:ascii="微软雅黑" w:hAnsi="微软雅黑" w:eastAsia="微软雅黑" w:cs="微软雅黑"/>
                <w:i/>
                <w:iCs/>
                <w:color w:val="000000"/>
                <w:sz w:val="16"/>
                <w:szCs w:val="16"/>
                <w:u w:val="none"/>
              </w:rPr>
            </w:pPr>
          </w:p>
        </w:tc>
      </w:tr>
      <w:tr w14:paraId="125AA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90CBA">
            <w:pPr>
              <w:jc w:val="center"/>
              <w:rPr>
                <w:rFonts w:hint="eastAsia" w:ascii="宋体" w:hAnsi="宋体" w:eastAsia="宋体" w:cs="宋体"/>
                <w:i w:val="0"/>
                <w:iCs w:val="0"/>
                <w:color w:val="000000"/>
                <w:sz w:val="18"/>
                <w:szCs w:val="18"/>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A7241">
            <w:pPr>
              <w:jc w:val="center"/>
              <w:rPr>
                <w:rFonts w:hint="eastAsia" w:ascii="宋体" w:hAnsi="宋体" w:eastAsia="宋体" w:cs="宋体"/>
                <w:i w:val="0"/>
                <w:iCs w:val="0"/>
                <w:color w:val="000000"/>
                <w:sz w:val="18"/>
                <w:szCs w:val="18"/>
                <w:u w:val="none"/>
              </w:rPr>
            </w:pPr>
          </w:p>
        </w:tc>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A07E3">
            <w:pPr>
              <w:jc w:val="center"/>
              <w:rPr>
                <w:rFonts w:hint="eastAsia" w:ascii="宋体" w:hAnsi="宋体" w:eastAsia="宋体" w:cs="宋体"/>
                <w:i w:val="0"/>
                <w:iCs w:val="0"/>
                <w:color w:val="000000"/>
                <w:sz w:val="18"/>
                <w:szCs w:val="18"/>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29A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全年农资销售增长率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8FB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4E3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0BD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C4C1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9C1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B41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ECC8A">
            <w:pPr>
              <w:jc w:val="center"/>
              <w:rPr>
                <w:rFonts w:hint="eastAsia" w:ascii="微软雅黑" w:hAnsi="微软雅黑" w:eastAsia="微软雅黑" w:cs="微软雅黑"/>
                <w:i/>
                <w:iCs/>
                <w:color w:val="000000"/>
                <w:sz w:val="16"/>
                <w:szCs w:val="16"/>
                <w:u w:val="none"/>
              </w:rPr>
            </w:pPr>
          </w:p>
        </w:tc>
      </w:tr>
      <w:tr w14:paraId="5BF47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trPr>
        <w:tc>
          <w:tcPr>
            <w:tcW w:w="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68CB2">
            <w:pPr>
              <w:jc w:val="center"/>
              <w:rPr>
                <w:rFonts w:hint="eastAsia" w:ascii="宋体" w:hAnsi="宋体" w:eastAsia="宋体" w:cs="宋体"/>
                <w:i w:val="0"/>
                <w:iCs w:val="0"/>
                <w:color w:val="000000"/>
                <w:sz w:val="18"/>
                <w:szCs w:val="18"/>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E94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4FB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267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按满100元补贴5元的标准执行（未满100不享受补贴）</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854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12D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7FF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EFE5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E25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296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99509">
            <w:pPr>
              <w:jc w:val="center"/>
              <w:rPr>
                <w:rFonts w:hint="eastAsia" w:ascii="微软雅黑" w:hAnsi="微软雅黑" w:eastAsia="微软雅黑" w:cs="微软雅黑"/>
                <w:i/>
                <w:iCs/>
                <w:color w:val="000000"/>
                <w:sz w:val="16"/>
                <w:szCs w:val="16"/>
                <w:u w:val="none"/>
              </w:rPr>
            </w:pPr>
          </w:p>
        </w:tc>
      </w:tr>
      <w:tr w14:paraId="056DD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D15CB">
            <w:pPr>
              <w:jc w:val="center"/>
              <w:rPr>
                <w:rFonts w:hint="eastAsia" w:ascii="宋体" w:hAnsi="宋体" w:eastAsia="宋体" w:cs="宋体"/>
                <w:i w:val="0"/>
                <w:iCs w:val="0"/>
                <w:color w:val="000000"/>
                <w:sz w:val="18"/>
                <w:szCs w:val="18"/>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592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798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C7C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农户、受益群众对该项目的满意度</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8FD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DD5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2F0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6503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F93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C73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15BCF">
            <w:pPr>
              <w:jc w:val="center"/>
              <w:rPr>
                <w:rFonts w:hint="eastAsia" w:ascii="微软雅黑" w:hAnsi="微软雅黑" w:eastAsia="微软雅黑" w:cs="微软雅黑"/>
                <w:i/>
                <w:iCs/>
                <w:color w:val="000000"/>
                <w:sz w:val="16"/>
                <w:szCs w:val="16"/>
                <w:u w:val="none"/>
              </w:rPr>
            </w:pPr>
          </w:p>
        </w:tc>
      </w:tr>
      <w:tr w14:paraId="1880E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615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5986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AF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8B39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16BE">
            <w:pPr>
              <w:rPr>
                <w:rFonts w:hint="eastAsia" w:ascii="宋体" w:hAnsi="宋体" w:eastAsia="宋体" w:cs="宋体"/>
                <w:i w:val="0"/>
                <w:iCs w:val="0"/>
                <w:color w:val="000000"/>
                <w:sz w:val="18"/>
                <w:szCs w:val="18"/>
                <w:u w:val="none"/>
              </w:rPr>
            </w:pPr>
          </w:p>
        </w:tc>
      </w:tr>
      <w:tr w14:paraId="5F6E5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C13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82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C6A40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茂县供销合作社联合社2023年农资储备和价格补贴专项经费严格按照《阿坝州财政局、阿坝州供销社关于下达2023年农资储备和价格补贴专项经费的通知》（阿州财农〔2023〕28号）要求实施，下达资金与规划一致，完成目标任务，完成绩效目标，资金使用合规。综合自评得分100分。</w:t>
            </w:r>
          </w:p>
        </w:tc>
      </w:tr>
      <w:tr w14:paraId="2483F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6C8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82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B08EC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2515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283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82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F62FE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5809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42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304F6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项目负责人：何福涛</w:t>
            </w:r>
          </w:p>
        </w:tc>
        <w:tc>
          <w:tcPr>
            <w:tcW w:w="39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FB5164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财务负责人：李婷</w:t>
            </w:r>
          </w:p>
        </w:tc>
      </w:tr>
    </w:tbl>
    <w:p w14:paraId="79A93272">
      <w:pPr>
        <w:spacing w:line="600" w:lineRule="exact"/>
        <w:jc w:val="center"/>
        <w:outlineLvl w:val="0"/>
        <w:rPr>
          <w:rFonts w:hint="eastAsia" w:ascii="方正小标宋简体" w:hAnsi="方正小标宋简体" w:eastAsia="方正小标宋简体" w:cs="方正小标宋简体"/>
          <w:color w:val="000000"/>
          <w:sz w:val="44"/>
          <w:szCs w:val="44"/>
        </w:rPr>
      </w:pPr>
    </w:p>
    <w:p w14:paraId="517022C4">
      <w:pPr>
        <w:spacing w:line="600" w:lineRule="exact"/>
        <w:jc w:val="center"/>
        <w:outlineLvl w:val="0"/>
        <w:rPr>
          <w:rFonts w:hint="eastAsia" w:ascii="方正小标宋简体" w:hAnsi="方正小标宋简体" w:eastAsia="方正小标宋简体" w:cs="方正小标宋简体"/>
          <w:color w:val="000000"/>
          <w:sz w:val="44"/>
          <w:szCs w:val="44"/>
        </w:rPr>
      </w:pPr>
    </w:p>
    <w:p w14:paraId="1706A35C">
      <w:pPr>
        <w:spacing w:line="600" w:lineRule="exact"/>
        <w:jc w:val="center"/>
        <w:outlineLvl w:val="0"/>
        <w:rPr>
          <w:rFonts w:hint="eastAsia" w:ascii="方正小标宋简体" w:hAnsi="方正小标宋简体" w:eastAsia="方正小标宋简体" w:cs="方正小标宋简体"/>
          <w:color w:val="000000"/>
          <w:sz w:val="44"/>
          <w:szCs w:val="44"/>
        </w:rPr>
      </w:pPr>
    </w:p>
    <w:p w14:paraId="0716A940">
      <w:pPr>
        <w:spacing w:line="600" w:lineRule="exact"/>
        <w:jc w:val="center"/>
        <w:outlineLvl w:val="0"/>
        <w:rPr>
          <w:rFonts w:hint="eastAsia" w:ascii="方正小标宋简体" w:hAnsi="方正小标宋简体" w:eastAsia="方正小标宋简体" w:cs="方正小标宋简体"/>
          <w:color w:val="000000"/>
          <w:sz w:val="44"/>
          <w:szCs w:val="44"/>
        </w:rPr>
      </w:pPr>
    </w:p>
    <w:p w14:paraId="453B2888">
      <w:pPr>
        <w:spacing w:line="600" w:lineRule="exact"/>
        <w:jc w:val="center"/>
        <w:outlineLvl w:val="0"/>
        <w:rPr>
          <w:rFonts w:hint="eastAsia" w:ascii="方正小标宋简体" w:hAnsi="方正小标宋简体" w:eastAsia="方正小标宋简体" w:cs="方正小标宋简体"/>
          <w:color w:val="000000"/>
          <w:sz w:val="44"/>
          <w:szCs w:val="44"/>
        </w:rPr>
      </w:pPr>
    </w:p>
    <w:p w14:paraId="41AD9653">
      <w:pPr>
        <w:spacing w:line="600" w:lineRule="exact"/>
        <w:jc w:val="center"/>
        <w:outlineLvl w:val="0"/>
        <w:rPr>
          <w:rFonts w:hint="eastAsia" w:ascii="方正小标宋简体" w:hAnsi="方正小标宋简体" w:eastAsia="方正小标宋简体" w:cs="方正小标宋简体"/>
          <w:color w:val="000000"/>
          <w:sz w:val="44"/>
          <w:szCs w:val="44"/>
        </w:rPr>
      </w:pPr>
    </w:p>
    <w:p w14:paraId="4E115E63">
      <w:pPr>
        <w:spacing w:line="600" w:lineRule="exact"/>
        <w:jc w:val="center"/>
        <w:outlineLvl w:val="0"/>
        <w:rPr>
          <w:rFonts w:hint="eastAsia" w:ascii="方正小标宋简体" w:hAnsi="方正小标宋简体" w:eastAsia="方正小标宋简体" w:cs="方正小标宋简体"/>
          <w:color w:val="000000"/>
          <w:sz w:val="44"/>
          <w:szCs w:val="44"/>
        </w:rPr>
      </w:pPr>
    </w:p>
    <w:p w14:paraId="356A7D7A">
      <w:pPr>
        <w:keepNext w:val="0"/>
        <w:keepLines w:val="0"/>
        <w:pageBreakBefore w:val="0"/>
        <w:widowControl w:val="0"/>
        <w:kinsoku/>
        <w:wordWrap/>
        <w:overflowPunct/>
        <w:topLinePunct w:val="0"/>
        <w:bidi w:val="0"/>
        <w:snapToGrid/>
        <w:spacing w:line="576" w:lineRule="exact"/>
        <w:jc w:val="center"/>
        <w:textAlignment w:val="auto"/>
        <w:outlineLvl w:val="0"/>
        <w:rPr>
          <w:rFonts w:hint="eastAsia" w:ascii="方正小标宋简体" w:hAnsi="方正小标宋简体" w:eastAsia="方正小标宋简体" w:cs="方正小标宋简体"/>
          <w:color w:val="000000"/>
          <w:sz w:val="44"/>
          <w:szCs w:val="44"/>
        </w:rPr>
      </w:pPr>
    </w:p>
    <w:p w14:paraId="172026CC">
      <w:pPr>
        <w:keepNext w:val="0"/>
        <w:keepLines w:val="0"/>
        <w:pageBreakBefore w:val="0"/>
        <w:widowControl w:val="0"/>
        <w:kinsoku/>
        <w:wordWrap/>
        <w:overflowPunct/>
        <w:topLinePunct w:val="0"/>
        <w:bidi w:val="0"/>
        <w:snapToGrid/>
        <w:spacing w:line="576" w:lineRule="exact"/>
        <w:jc w:val="center"/>
        <w:textAlignment w:val="auto"/>
        <w:outlineLvl w:val="0"/>
        <w:rPr>
          <w:rFonts w:hint="eastAsia" w:ascii="方正小标宋简体" w:hAnsi="方正小标宋简体" w:eastAsia="方正小标宋简体" w:cs="方正小标宋简体"/>
          <w:color w:val="000000"/>
          <w:sz w:val="44"/>
          <w:szCs w:val="44"/>
        </w:rPr>
      </w:pPr>
    </w:p>
    <w:p w14:paraId="46BEA3E3">
      <w:pPr>
        <w:keepNext w:val="0"/>
        <w:keepLines w:val="0"/>
        <w:pageBreakBefore w:val="0"/>
        <w:widowControl w:val="0"/>
        <w:kinsoku/>
        <w:wordWrap/>
        <w:overflowPunct/>
        <w:topLinePunct w:val="0"/>
        <w:bidi w:val="0"/>
        <w:snapToGrid/>
        <w:spacing w:line="576" w:lineRule="exact"/>
        <w:jc w:val="center"/>
        <w:textAlignment w:val="auto"/>
        <w:outlineLvl w:val="0"/>
        <w:rPr>
          <w:rFonts w:hint="eastAsia" w:ascii="方正小标宋简体" w:hAnsi="方正小标宋简体" w:eastAsia="方正小标宋简体" w:cs="方正小标宋简体"/>
          <w:color w:val="000000"/>
          <w:sz w:val="44"/>
          <w:szCs w:val="44"/>
        </w:rPr>
      </w:pPr>
    </w:p>
    <w:p w14:paraId="13876406">
      <w:pPr>
        <w:keepNext w:val="0"/>
        <w:keepLines w:val="0"/>
        <w:pageBreakBefore w:val="0"/>
        <w:widowControl w:val="0"/>
        <w:kinsoku/>
        <w:wordWrap/>
        <w:overflowPunct/>
        <w:topLinePunct w:val="0"/>
        <w:bidi w:val="0"/>
        <w:snapToGrid/>
        <w:spacing w:line="576" w:lineRule="exact"/>
        <w:jc w:val="center"/>
        <w:textAlignment w:val="auto"/>
        <w:outlineLvl w:val="0"/>
        <w:rPr>
          <w:rStyle w:val="28"/>
          <w:rFonts w:ascii="方正小标宋简体" w:hAnsi="方正小标宋简体" w:eastAsia="方正小标宋简体" w:cs="方正小标宋简体"/>
          <w:b w:val="0"/>
        </w:rPr>
      </w:pPr>
      <w:r>
        <w:rPr>
          <w:rFonts w:hint="eastAsia" w:ascii="方正小标宋简体" w:hAnsi="方正小标宋简体" w:eastAsia="方正小标宋简体" w:cs="方正小标宋简体"/>
          <w:color w:val="000000"/>
          <w:sz w:val="44"/>
          <w:szCs w:val="44"/>
        </w:rPr>
        <w:t>第</w:t>
      </w:r>
      <w:r>
        <w:rPr>
          <w:rStyle w:val="28"/>
          <w:rFonts w:hint="eastAsia" w:ascii="方正小标宋简体" w:hAnsi="方正小标宋简体" w:eastAsia="方正小标宋简体" w:cs="方正小标宋简体"/>
          <w:b w:val="0"/>
        </w:rPr>
        <w:t>五部分 附表</w:t>
      </w:r>
      <w:bookmarkEnd w:id="104"/>
      <w:bookmarkEnd w:id="105"/>
      <w:bookmarkEnd w:id="106"/>
      <w:bookmarkEnd w:id="107"/>
    </w:p>
    <w:p w14:paraId="4DCA4E9B">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Times New Roman" w:eastAsia="仿宋_GB2312" w:cs="Times New Roman"/>
          <w:color w:val="auto"/>
          <w:kern w:val="2"/>
          <w:sz w:val="32"/>
          <w:szCs w:val="32"/>
          <w:lang w:val="zh-CN"/>
        </w:rPr>
      </w:pPr>
      <w:bookmarkStart w:id="108" w:name="_Toc12986"/>
      <w:bookmarkStart w:id="109" w:name="_Toc26370"/>
    </w:p>
    <w:p w14:paraId="37A5DCDC">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r>
        <w:rPr>
          <w:rFonts w:hint="eastAsia" w:ascii="仿宋_GB2312" w:hAnsi="Times New Roman" w:eastAsia="仿宋_GB2312" w:cs="Times New Roman"/>
          <w:color w:val="auto"/>
          <w:kern w:val="2"/>
          <w:sz w:val="32"/>
          <w:szCs w:val="32"/>
          <w:lang w:val="zh-CN"/>
        </w:rPr>
        <w:t>一、收入支出决算总表</w:t>
      </w:r>
      <w:bookmarkEnd w:id="108"/>
      <w:bookmarkEnd w:id="109"/>
    </w:p>
    <w:p w14:paraId="12C15976">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0" w:name="_Toc13062"/>
      <w:bookmarkStart w:id="111" w:name="_Toc13591"/>
      <w:r>
        <w:rPr>
          <w:rFonts w:hint="eastAsia" w:ascii="仿宋_GB2312" w:hAnsi="Times New Roman" w:eastAsia="仿宋_GB2312" w:cs="Times New Roman"/>
          <w:color w:val="auto"/>
          <w:kern w:val="2"/>
          <w:sz w:val="32"/>
          <w:szCs w:val="32"/>
          <w:lang w:val="zh-CN"/>
        </w:rPr>
        <w:t>二、收入决算表</w:t>
      </w:r>
      <w:bookmarkEnd w:id="110"/>
      <w:bookmarkEnd w:id="111"/>
    </w:p>
    <w:p w14:paraId="45E18177">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2" w:name="_Toc29688"/>
      <w:bookmarkStart w:id="113" w:name="_Toc16600"/>
      <w:r>
        <w:rPr>
          <w:rFonts w:hint="eastAsia" w:ascii="仿宋_GB2312" w:hAnsi="Times New Roman" w:eastAsia="仿宋_GB2312" w:cs="Times New Roman"/>
          <w:color w:val="auto"/>
          <w:kern w:val="2"/>
          <w:sz w:val="32"/>
          <w:szCs w:val="32"/>
          <w:lang w:val="zh-CN"/>
        </w:rPr>
        <w:t>三、支出决算表</w:t>
      </w:r>
      <w:bookmarkEnd w:id="112"/>
      <w:bookmarkEnd w:id="113"/>
    </w:p>
    <w:p w14:paraId="63CF442B">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4" w:name="_Toc5964"/>
      <w:bookmarkStart w:id="115" w:name="_Toc26630"/>
      <w:r>
        <w:rPr>
          <w:rFonts w:hint="eastAsia" w:ascii="仿宋_GB2312" w:hAnsi="Times New Roman" w:eastAsia="仿宋_GB2312" w:cs="Times New Roman"/>
          <w:color w:val="auto"/>
          <w:kern w:val="2"/>
          <w:sz w:val="32"/>
          <w:szCs w:val="32"/>
          <w:lang w:val="zh-CN"/>
        </w:rPr>
        <w:t>四、财政拨款收入支出决算总表</w:t>
      </w:r>
      <w:bookmarkEnd w:id="114"/>
      <w:bookmarkEnd w:id="115"/>
    </w:p>
    <w:p w14:paraId="38DABB41">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6" w:name="_Toc14273"/>
      <w:bookmarkStart w:id="117" w:name="_Toc19934"/>
      <w:r>
        <w:rPr>
          <w:rFonts w:hint="eastAsia" w:ascii="仿宋_GB2312" w:hAnsi="Times New Roman" w:eastAsia="仿宋_GB2312" w:cs="Times New Roman"/>
          <w:color w:val="auto"/>
          <w:kern w:val="2"/>
          <w:sz w:val="32"/>
          <w:szCs w:val="32"/>
          <w:lang w:val="zh-CN"/>
        </w:rPr>
        <w:t>五、财政拨款支出决算明细表</w:t>
      </w:r>
      <w:bookmarkEnd w:id="116"/>
      <w:bookmarkEnd w:id="117"/>
    </w:p>
    <w:p w14:paraId="70F3CF49">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8" w:name="_Toc16449"/>
      <w:bookmarkStart w:id="119" w:name="_Toc6686"/>
      <w:r>
        <w:rPr>
          <w:rFonts w:hint="eastAsia" w:ascii="仿宋_GB2312" w:hAnsi="Times New Roman" w:eastAsia="仿宋_GB2312" w:cs="Times New Roman"/>
          <w:color w:val="auto"/>
          <w:kern w:val="2"/>
          <w:sz w:val="32"/>
          <w:szCs w:val="32"/>
          <w:lang w:val="zh-CN"/>
        </w:rPr>
        <w:t>六、一般公共预算财政拨款支出决算表</w:t>
      </w:r>
      <w:bookmarkEnd w:id="118"/>
      <w:bookmarkEnd w:id="119"/>
    </w:p>
    <w:p w14:paraId="06AFD961">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0" w:name="_Toc3478"/>
      <w:bookmarkStart w:id="121" w:name="_Toc19514"/>
      <w:r>
        <w:rPr>
          <w:rFonts w:hint="eastAsia" w:ascii="仿宋_GB2312" w:hAnsi="Times New Roman" w:eastAsia="仿宋_GB2312" w:cs="Times New Roman"/>
          <w:color w:val="auto"/>
          <w:kern w:val="2"/>
          <w:sz w:val="32"/>
          <w:szCs w:val="32"/>
          <w:lang w:val="zh-CN"/>
        </w:rPr>
        <w:t>七、一般公共预算财政拨款支出决算明细表</w:t>
      </w:r>
      <w:bookmarkEnd w:id="120"/>
      <w:bookmarkEnd w:id="121"/>
    </w:p>
    <w:p w14:paraId="2145E2F3">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2" w:name="_Toc17352"/>
      <w:bookmarkStart w:id="123" w:name="_Toc191"/>
      <w:r>
        <w:rPr>
          <w:rFonts w:hint="eastAsia" w:ascii="仿宋_GB2312" w:hAnsi="Times New Roman" w:eastAsia="仿宋_GB2312" w:cs="Times New Roman"/>
          <w:color w:val="auto"/>
          <w:kern w:val="2"/>
          <w:sz w:val="32"/>
          <w:szCs w:val="32"/>
          <w:lang w:val="zh-CN"/>
        </w:rPr>
        <w:t>八、一般公共预算财政拨款基本支出决算表</w:t>
      </w:r>
      <w:bookmarkEnd w:id="122"/>
      <w:bookmarkEnd w:id="123"/>
    </w:p>
    <w:p w14:paraId="519295FD">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4" w:name="_Toc3726"/>
      <w:bookmarkStart w:id="125" w:name="_Toc5204"/>
      <w:r>
        <w:rPr>
          <w:rFonts w:hint="eastAsia" w:ascii="仿宋_GB2312" w:hAnsi="Times New Roman" w:eastAsia="仿宋_GB2312" w:cs="Times New Roman"/>
          <w:color w:val="auto"/>
          <w:kern w:val="2"/>
          <w:sz w:val="32"/>
          <w:szCs w:val="32"/>
          <w:lang w:val="zh-CN"/>
        </w:rPr>
        <w:t>九、一般公共预算财政拨款项目支出决算表</w:t>
      </w:r>
      <w:bookmarkEnd w:id="124"/>
      <w:bookmarkEnd w:id="125"/>
    </w:p>
    <w:p w14:paraId="6C378133">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6" w:name="_Toc20056"/>
      <w:bookmarkStart w:id="127" w:name="_Toc20756"/>
      <w:r>
        <w:rPr>
          <w:rFonts w:hint="eastAsia" w:ascii="仿宋_GB2312" w:hAnsi="Times New Roman" w:eastAsia="仿宋_GB2312" w:cs="Times New Roman"/>
          <w:color w:val="auto"/>
          <w:kern w:val="2"/>
          <w:sz w:val="32"/>
          <w:szCs w:val="32"/>
          <w:lang w:val="zh-CN"/>
        </w:rPr>
        <w:t>十、政府性基金预算财政拨款收入支出决算表</w:t>
      </w:r>
      <w:bookmarkEnd w:id="126"/>
      <w:bookmarkEnd w:id="127"/>
    </w:p>
    <w:p w14:paraId="7F68B0C8">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8" w:name="_Toc13849"/>
      <w:bookmarkStart w:id="129" w:name="_Toc21387"/>
      <w:r>
        <w:rPr>
          <w:rFonts w:hint="eastAsia" w:ascii="仿宋_GB2312" w:hAnsi="Times New Roman" w:eastAsia="仿宋_GB2312" w:cs="Times New Roman"/>
          <w:color w:val="auto"/>
          <w:kern w:val="2"/>
          <w:sz w:val="32"/>
          <w:szCs w:val="32"/>
          <w:lang w:val="zh-CN"/>
        </w:rPr>
        <w:t>十一、国有资本经营预算财政拨款收入支出决算表</w:t>
      </w:r>
      <w:bookmarkEnd w:id="128"/>
      <w:bookmarkEnd w:id="129"/>
    </w:p>
    <w:p w14:paraId="1A78619D">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30" w:name="_Toc13099"/>
      <w:bookmarkStart w:id="131" w:name="_Toc1140"/>
      <w:r>
        <w:rPr>
          <w:rFonts w:hint="eastAsia" w:ascii="仿宋_GB2312" w:hAnsi="Times New Roman" w:eastAsia="仿宋_GB2312" w:cs="Times New Roman"/>
          <w:color w:val="auto"/>
          <w:kern w:val="2"/>
          <w:sz w:val="32"/>
          <w:szCs w:val="32"/>
          <w:lang w:val="zh-CN"/>
        </w:rPr>
        <w:t>十二、国有资本经营预算财政拨款支出决算表</w:t>
      </w:r>
      <w:bookmarkEnd w:id="130"/>
      <w:bookmarkEnd w:id="131"/>
    </w:p>
    <w:p w14:paraId="57555D58">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32" w:name="_Toc25065"/>
      <w:bookmarkStart w:id="133" w:name="_Toc24957"/>
      <w:r>
        <w:rPr>
          <w:rFonts w:hint="eastAsia" w:ascii="仿宋_GB2312" w:hAnsi="Times New Roman" w:eastAsia="仿宋_GB2312" w:cs="Times New Roman"/>
          <w:color w:val="auto"/>
          <w:kern w:val="2"/>
          <w:sz w:val="32"/>
          <w:szCs w:val="32"/>
          <w:lang w:val="zh-CN"/>
        </w:rPr>
        <w:t>十三、财政拨款“三公”经费支出决算表</w:t>
      </w:r>
      <w:bookmarkEnd w:id="132"/>
      <w:bookmarkEnd w:id="133"/>
    </w:p>
    <w:p w14:paraId="33E03117">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仿宋_GB2312"/>
    <w:panose1 w:val="00000000000000000000"/>
    <w:charset w:val="86"/>
    <w:family w:val="auto"/>
    <w:pitch w:val="default"/>
    <w:sig w:usb0="00000000" w:usb1="00000000" w:usb2="00000016" w:usb3="00000000" w:csb0="0004000F" w:csb1="00000000"/>
  </w:font>
  <w:font w:name="??">
    <w:altName w:val="Times New Roman"/>
    <w:panose1 w:val="00000000000000000000"/>
    <w:charset w:val="00"/>
    <w:family w:val="roman"/>
    <w:pitch w:val="default"/>
    <w:sig w:usb0="00000000" w:usb1="00000000" w:usb2="00000000" w:usb3="00000000" w:csb0="00000001"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9D74D">
    <w:pPr>
      <w:pStyle w:val="13"/>
      <w:jc w:val="center"/>
    </w:pPr>
    <w:r>
      <w:fldChar w:fldCharType="begin"/>
    </w:r>
    <w:r>
      <w:instrText xml:space="preserve">PAGE   \* MERGEFORMAT</w:instrText>
    </w:r>
    <w:r>
      <w:fldChar w:fldCharType="separate"/>
    </w:r>
    <w:r>
      <w:t>42</w:t>
    </w:r>
    <w:r>
      <w:fldChar w:fldCharType="end"/>
    </w:r>
  </w:p>
  <w:p w14:paraId="509B2076">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621D0">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6F8851"/>
    <w:multiLevelType w:val="singleLevel"/>
    <w:tmpl w:val="866F8851"/>
    <w:lvl w:ilvl="0" w:tentative="0">
      <w:start w:val="1"/>
      <w:numFmt w:val="chineseCounting"/>
      <w:suff w:val="nothing"/>
      <w:lvlText w:val="%1、"/>
      <w:lvlJc w:val="left"/>
      <w:rPr>
        <w:rFonts w:hint="eastAsia"/>
      </w:rPr>
    </w:lvl>
  </w:abstractNum>
  <w:abstractNum w:abstractNumId="1">
    <w:nsid w:val="D7B45A94"/>
    <w:multiLevelType w:val="singleLevel"/>
    <w:tmpl w:val="D7B45A94"/>
    <w:lvl w:ilvl="0" w:tentative="0">
      <w:start w:val="2"/>
      <w:numFmt w:val="decimal"/>
      <w:lvlText w:val="%1."/>
      <w:lvlJc w:val="left"/>
      <w:pPr>
        <w:tabs>
          <w:tab w:val="left" w:pos="312"/>
        </w:tabs>
      </w:pPr>
    </w:lvl>
  </w:abstractNum>
  <w:abstractNum w:abstractNumId="2">
    <w:nsid w:val="EAFFBD75"/>
    <w:multiLevelType w:val="singleLevel"/>
    <w:tmpl w:val="EAFFBD75"/>
    <w:lvl w:ilvl="0" w:tentative="0">
      <w:start w:val="4"/>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3ODVkZDQzMmMwZTY5MDM0NDIxMWYyNDdjYWI4MDEifQ=="/>
  </w:docVars>
  <w:rsids>
    <w:rsidRoot w:val="00F1361C"/>
    <w:rsid w:val="00021DB1"/>
    <w:rsid w:val="000222C6"/>
    <w:rsid w:val="0002549F"/>
    <w:rsid w:val="00027DEB"/>
    <w:rsid w:val="00044C87"/>
    <w:rsid w:val="000468DB"/>
    <w:rsid w:val="00053F64"/>
    <w:rsid w:val="00054949"/>
    <w:rsid w:val="0006487A"/>
    <w:rsid w:val="00065F8F"/>
    <w:rsid w:val="0006617C"/>
    <w:rsid w:val="00070545"/>
    <w:rsid w:val="00070A43"/>
    <w:rsid w:val="000768F2"/>
    <w:rsid w:val="0008563A"/>
    <w:rsid w:val="0009184B"/>
    <w:rsid w:val="00094236"/>
    <w:rsid w:val="0009593C"/>
    <w:rsid w:val="00097322"/>
    <w:rsid w:val="000A6A92"/>
    <w:rsid w:val="000B047F"/>
    <w:rsid w:val="000B5923"/>
    <w:rsid w:val="000B5A48"/>
    <w:rsid w:val="000B6FF3"/>
    <w:rsid w:val="000B7527"/>
    <w:rsid w:val="000C22C0"/>
    <w:rsid w:val="000C3467"/>
    <w:rsid w:val="000C3CA6"/>
    <w:rsid w:val="000D1267"/>
    <w:rsid w:val="000D1D50"/>
    <w:rsid w:val="000D5782"/>
    <w:rsid w:val="000E188B"/>
    <w:rsid w:val="000E6613"/>
    <w:rsid w:val="000E7119"/>
    <w:rsid w:val="000F20FF"/>
    <w:rsid w:val="001006D2"/>
    <w:rsid w:val="00114E9B"/>
    <w:rsid w:val="00115301"/>
    <w:rsid w:val="0012556E"/>
    <w:rsid w:val="0013189E"/>
    <w:rsid w:val="001319E1"/>
    <w:rsid w:val="00142216"/>
    <w:rsid w:val="00143AAE"/>
    <w:rsid w:val="00144D6A"/>
    <w:rsid w:val="0014729F"/>
    <w:rsid w:val="00157BAB"/>
    <w:rsid w:val="001654D1"/>
    <w:rsid w:val="00174518"/>
    <w:rsid w:val="0018106D"/>
    <w:rsid w:val="001877A7"/>
    <w:rsid w:val="00191536"/>
    <w:rsid w:val="001939B7"/>
    <w:rsid w:val="00195548"/>
    <w:rsid w:val="00196687"/>
    <w:rsid w:val="00196750"/>
    <w:rsid w:val="00197E9F"/>
    <w:rsid w:val="001C0962"/>
    <w:rsid w:val="001C2BFE"/>
    <w:rsid w:val="001D7531"/>
    <w:rsid w:val="001E737D"/>
    <w:rsid w:val="001F0592"/>
    <w:rsid w:val="001F7506"/>
    <w:rsid w:val="002006CD"/>
    <w:rsid w:val="00202B36"/>
    <w:rsid w:val="00204B7A"/>
    <w:rsid w:val="00204C46"/>
    <w:rsid w:val="00204CDE"/>
    <w:rsid w:val="0021101A"/>
    <w:rsid w:val="00217AE2"/>
    <w:rsid w:val="00220536"/>
    <w:rsid w:val="00222F69"/>
    <w:rsid w:val="00233F5B"/>
    <w:rsid w:val="00235629"/>
    <w:rsid w:val="00235CF9"/>
    <w:rsid w:val="0024785F"/>
    <w:rsid w:val="00256262"/>
    <w:rsid w:val="00260C38"/>
    <w:rsid w:val="002616C0"/>
    <w:rsid w:val="00265372"/>
    <w:rsid w:val="002662AA"/>
    <w:rsid w:val="0027224D"/>
    <w:rsid w:val="00280496"/>
    <w:rsid w:val="00294DC9"/>
    <w:rsid w:val="00295495"/>
    <w:rsid w:val="002A31DE"/>
    <w:rsid w:val="002B2613"/>
    <w:rsid w:val="002C6857"/>
    <w:rsid w:val="002D6D05"/>
    <w:rsid w:val="002F1818"/>
    <w:rsid w:val="002F567B"/>
    <w:rsid w:val="00306D06"/>
    <w:rsid w:val="00311FB8"/>
    <w:rsid w:val="00321685"/>
    <w:rsid w:val="003216A9"/>
    <w:rsid w:val="00335A74"/>
    <w:rsid w:val="00340765"/>
    <w:rsid w:val="003536E0"/>
    <w:rsid w:val="0036561B"/>
    <w:rsid w:val="0037013F"/>
    <w:rsid w:val="00380C92"/>
    <w:rsid w:val="00391FB4"/>
    <w:rsid w:val="00393C06"/>
    <w:rsid w:val="003A484F"/>
    <w:rsid w:val="003A4883"/>
    <w:rsid w:val="003B0BE0"/>
    <w:rsid w:val="003B0C1B"/>
    <w:rsid w:val="003B482C"/>
    <w:rsid w:val="003B688C"/>
    <w:rsid w:val="003C0291"/>
    <w:rsid w:val="003C39AE"/>
    <w:rsid w:val="003C7B60"/>
    <w:rsid w:val="003D0C0F"/>
    <w:rsid w:val="003D1310"/>
    <w:rsid w:val="003D1FB2"/>
    <w:rsid w:val="003D3783"/>
    <w:rsid w:val="003D66DA"/>
    <w:rsid w:val="003E1310"/>
    <w:rsid w:val="003E6189"/>
    <w:rsid w:val="003E6F55"/>
    <w:rsid w:val="003E6FE4"/>
    <w:rsid w:val="00406254"/>
    <w:rsid w:val="004223DE"/>
    <w:rsid w:val="0042503B"/>
    <w:rsid w:val="00432BDC"/>
    <w:rsid w:val="00434489"/>
    <w:rsid w:val="00437085"/>
    <w:rsid w:val="00443880"/>
    <w:rsid w:val="00445607"/>
    <w:rsid w:val="004464F4"/>
    <w:rsid w:val="0045405F"/>
    <w:rsid w:val="00466E72"/>
    <w:rsid w:val="00471401"/>
    <w:rsid w:val="00473F31"/>
    <w:rsid w:val="0048263A"/>
    <w:rsid w:val="00487E5D"/>
    <w:rsid w:val="00494545"/>
    <w:rsid w:val="0049684D"/>
    <w:rsid w:val="004A711F"/>
    <w:rsid w:val="004B199D"/>
    <w:rsid w:val="004B1A20"/>
    <w:rsid w:val="004B4690"/>
    <w:rsid w:val="004C2E2D"/>
    <w:rsid w:val="004D5479"/>
    <w:rsid w:val="004E0A2D"/>
    <w:rsid w:val="004E206B"/>
    <w:rsid w:val="004E49C5"/>
    <w:rsid w:val="004E6DF7"/>
    <w:rsid w:val="004F0FBD"/>
    <w:rsid w:val="00504E2E"/>
    <w:rsid w:val="00505A47"/>
    <w:rsid w:val="00512FDA"/>
    <w:rsid w:val="0051361B"/>
    <w:rsid w:val="00520DA0"/>
    <w:rsid w:val="005269A7"/>
    <w:rsid w:val="005269D7"/>
    <w:rsid w:val="005508BC"/>
    <w:rsid w:val="005664BB"/>
    <w:rsid w:val="00566FFA"/>
    <w:rsid w:val="0057481D"/>
    <w:rsid w:val="0058486E"/>
    <w:rsid w:val="00585B33"/>
    <w:rsid w:val="00587B68"/>
    <w:rsid w:val="0059014D"/>
    <w:rsid w:val="005A6340"/>
    <w:rsid w:val="005B5C64"/>
    <w:rsid w:val="005C5337"/>
    <w:rsid w:val="005C6BD0"/>
    <w:rsid w:val="005D1C8B"/>
    <w:rsid w:val="005D468D"/>
    <w:rsid w:val="005D5591"/>
    <w:rsid w:val="005D5CED"/>
    <w:rsid w:val="005F1A4C"/>
    <w:rsid w:val="005F34D0"/>
    <w:rsid w:val="006055E2"/>
    <w:rsid w:val="00605688"/>
    <w:rsid w:val="006070AF"/>
    <w:rsid w:val="00607E6C"/>
    <w:rsid w:val="006101B1"/>
    <w:rsid w:val="00614E44"/>
    <w:rsid w:val="006162E5"/>
    <w:rsid w:val="006178BA"/>
    <w:rsid w:val="0062270A"/>
    <w:rsid w:val="00622830"/>
    <w:rsid w:val="00623DA0"/>
    <w:rsid w:val="00627647"/>
    <w:rsid w:val="00627E95"/>
    <w:rsid w:val="006302ED"/>
    <w:rsid w:val="00630AEF"/>
    <w:rsid w:val="006325F8"/>
    <w:rsid w:val="00633463"/>
    <w:rsid w:val="00634C9A"/>
    <w:rsid w:val="00636199"/>
    <w:rsid w:val="006440E4"/>
    <w:rsid w:val="00645F81"/>
    <w:rsid w:val="0064742A"/>
    <w:rsid w:val="0066019E"/>
    <w:rsid w:val="0066343B"/>
    <w:rsid w:val="00664777"/>
    <w:rsid w:val="006748A4"/>
    <w:rsid w:val="00681A31"/>
    <w:rsid w:val="00683E73"/>
    <w:rsid w:val="00691398"/>
    <w:rsid w:val="00696595"/>
    <w:rsid w:val="006A3141"/>
    <w:rsid w:val="006A5E34"/>
    <w:rsid w:val="006B2422"/>
    <w:rsid w:val="006B2B9A"/>
    <w:rsid w:val="006C1937"/>
    <w:rsid w:val="006D157C"/>
    <w:rsid w:val="006E787E"/>
    <w:rsid w:val="006F020C"/>
    <w:rsid w:val="006F2EF2"/>
    <w:rsid w:val="00702B00"/>
    <w:rsid w:val="007127B7"/>
    <w:rsid w:val="0071798E"/>
    <w:rsid w:val="007232C4"/>
    <w:rsid w:val="00734A62"/>
    <w:rsid w:val="0074040A"/>
    <w:rsid w:val="007416B6"/>
    <w:rsid w:val="00746F48"/>
    <w:rsid w:val="0075404D"/>
    <w:rsid w:val="0076182A"/>
    <w:rsid w:val="00767B7E"/>
    <w:rsid w:val="007770C3"/>
    <w:rsid w:val="00784D24"/>
    <w:rsid w:val="00785FBA"/>
    <w:rsid w:val="00786E4A"/>
    <w:rsid w:val="007875EB"/>
    <w:rsid w:val="0079426B"/>
    <w:rsid w:val="007B2D0B"/>
    <w:rsid w:val="007D1682"/>
    <w:rsid w:val="007D312A"/>
    <w:rsid w:val="007D3F19"/>
    <w:rsid w:val="007E23B0"/>
    <w:rsid w:val="007E23E5"/>
    <w:rsid w:val="007F1991"/>
    <w:rsid w:val="007F2C2F"/>
    <w:rsid w:val="007F55FC"/>
    <w:rsid w:val="007F5665"/>
    <w:rsid w:val="00800112"/>
    <w:rsid w:val="00800D80"/>
    <w:rsid w:val="00813348"/>
    <w:rsid w:val="00822762"/>
    <w:rsid w:val="0082285F"/>
    <w:rsid w:val="008253BB"/>
    <w:rsid w:val="00834E0E"/>
    <w:rsid w:val="0083706E"/>
    <w:rsid w:val="008408F6"/>
    <w:rsid w:val="00840C7F"/>
    <w:rsid w:val="008423A5"/>
    <w:rsid w:val="00850625"/>
    <w:rsid w:val="00853718"/>
    <w:rsid w:val="00855221"/>
    <w:rsid w:val="00860645"/>
    <w:rsid w:val="00860647"/>
    <w:rsid w:val="00871F71"/>
    <w:rsid w:val="00872FD8"/>
    <w:rsid w:val="00885AF4"/>
    <w:rsid w:val="00885CA1"/>
    <w:rsid w:val="00892977"/>
    <w:rsid w:val="008939CD"/>
    <w:rsid w:val="008941F3"/>
    <w:rsid w:val="008A2AE7"/>
    <w:rsid w:val="008B17DE"/>
    <w:rsid w:val="008B768C"/>
    <w:rsid w:val="008C4DB1"/>
    <w:rsid w:val="008C4EAF"/>
    <w:rsid w:val="008C5176"/>
    <w:rsid w:val="008C7FD0"/>
    <w:rsid w:val="008D4D53"/>
    <w:rsid w:val="008E1DE7"/>
    <w:rsid w:val="008E707C"/>
    <w:rsid w:val="008F6523"/>
    <w:rsid w:val="008F6611"/>
    <w:rsid w:val="00900B08"/>
    <w:rsid w:val="00902155"/>
    <w:rsid w:val="00902FA3"/>
    <w:rsid w:val="00923564"/>
    <w:rsid w:val="0092392E"/>
    <w:rsid w:val="00927F58"/>
    <w:rsid w:val="009315F9"/>
    <w:rsid w:val="00933499"/>
    <w:rsid w:val="009334D8"/>
    <w:rsid w:val="00935C98"/>
    <w:rsid w:val="0093635C"/>
    <w:rsid w:val="00946945"/>
    <w:rsid w:val="00951248"/>
    <w:rsid w:val="0095152F"/>
    <w:rsid w:val="00954C49"/>
    <w:rsid w:val="00955E37"/>
    <w:rsid w:val="00960F5B"/>
    <w:rsid w:val="00962656"/>
    <w:rsid w:val="0097099F"/>
    <w:rsid w:val="00971997"/>
    <w:rsid w:val="00971FFC"/>
    <w:rsid w:val="0098607C"/>
    <w:rsid w:val="0098660A"/>
    <w:rsid w:val="00987007"/>
    <w:rsid w:val="009931C3"/>
    <w:rsid w:val="009A4458"/>
    <w:rsid w:val="009B2C43"/>
    <w:rsid w:val="009B4EAE"/>
    <w:rsid w:val="009B7573"/>
    <w:rsid w:val="009C22F4"/>
    <w:rsid w:val="009C2A4B"/>
    <w:rsid w:val="009C2E98"/>
    <w:rsid w:val="009D199C"/>
    <w:rsid w:val="009D3447"/>
    <w:rsid w:val="009D3AF1"/>
    <w:rsid w:val="009D4711"/>
    <w:rsid w:val="009D7E53"/>
    <w:rsid w:val="009F1185"/>
    <w:rsid w:val="009F18CD"/>
    <w:rsid w:val="009F2A13"/>
    <w:rsid w:val="009F7527"/>
    <w:rsid w:val="00A04EB0"/>
    <w:rsid w:val="00A130CC"/>
    <w:rsid w:val="00A13CC1"/>
    <w:rsid w:val="00A16847"/>
    <w:rsid w:val="00A20841"/>
    <w:rsid w:val="00A237D8"/>
    <w:rsid w:val="00A268C4"/>
    <w:rsid w:val="00A307CD"/>
    <w:rsid w:val="00A331C8"/>
    <w:rsid w:val="00A370FD"/>
    <w:rsid w:val="00A40A00"/>
    <w:rsid w:val="00A4142F"/>
    <w:rsid w:val="00A422EB"/>
    <w:rsid w:val="00A45BB7"/>
    <w:rsid w:val="00A56DF2"/>
    <w:rsid w:val="00A56E6E"/>
    <w:rsid w:val="00A6787D"/>
    <w:rsid w:val="00A67AB5"/>
    <w:rsid w:val="00A733B2"/>
    <w:rsid w:val="00A741C2"/>
    <w:rsid w:val="00A77616"/>
    <w:rsid w:val="00A91760"/>
    <w:rsid w:val="00A93B00"/>
    <w:rsid w:val="00A93C21"/>
    <w:rsid w:val="00AB262A"/>
    <w:rsid w:val="00AB3015"/>
    <w:rsid w:val="00AB64C9"/>
    <w:rsid w:val="00AB64F0"/>
    <w:rsid w:val="00AC098F"/>
    <w:rsid w:val="00AC3C6A"/>
    <w:rsid w:val="00AC7E5E"/>
    <w:rsid w:val="00AD5620"/>
    <w:rsid w:val="00AD656B"/>
    <w:rsid w:val="00AD7C1B"/>
    <w:rsid w:val="00AE0065"/>
    <w:rsid w:val="00AE16BA"/>
    <w:rsid w:val="00AE1EBE"/>
    <w:rsid w:val="00AF270C"/>
    <w:rsid w:val="00AF4E63"/>
    <w:rsid w:val="00B011E4"/>
    <w:rsid w:val="00B015C8"/>
    <w:rsid w:val="00B03C9D"/>
    <w:rsid w:val="00B060AE"/>
    <w:rsid w:val="00B07AA4"/>
    <w:rsid w:val="00B10517"/>
    <w:rsid w:val="00B11997"/>
    <w:rsid w:val="00B14E76"/>
    <w:rsid w:val="00B161B8"/>
    <w:rsid w:val="00B2048C"/>
    <w:rsid w:val="00B310B9"/>
    <w:rsid w:val="00B35F3F"/>
    <w:rsid w:val="00B36858"/>
    <w:rsid w:val="00B36CBB"/>
    <w:rsid w:val="00B425E0"/>
    <w:rsid w:val="00B440AA"/>
    <w:rsid w:val="00B44B70"/>
    <w:rsid w:val="00B46A0E"/>
    <w:rsid w:val="00B53C56"/>
    <w:rsid w:val="00B57DAF"/>
    <w:rsid w:val="00B63EA4"/>
    <w:rsid w:val="00B77EA6"/>
    <w:rsid w:val="00B81598"/>
    <w:rsid w:val="00B841F1"/>
    <w:rsid w:val="00B856CE"/>
    <w:rsid w:val="00B90E4E"/>
    <w:rsid w:val="00B93C78"/>
    <w:rsid w:val="00B94118"/>
    <w:rsid w:val="00B944D6"/>
    <w:rsid w:val="00B965DC"/>
    <w:rsid w:val="00BB4DF0"/>
    <w:rsid w:val="00BC1A18"/>
    <w:rsid w:val="00BC289F"/>
    <w:rsid w:val="00BC2D50"/>
    <w:rsid w:val="00BC5361"/>
    <w:rsid w:val="00BC5460"/>
    <w:rsid w:val="00BC6B50"/>
    <w:rsid w:val="00BD0E25"/>
    <w:rsid w:val="00BD3E3E"/>
    <w:rsid w:val="00BD418A"/>
    <w:rsid w:val="00BE7501"/>
    <w:rsid w:val="00BF2D94"/>
    <w:rsid w:val="00BF5BD6"/>
    <w:rsid w:val="00C03E31"/>
    <w:rsid w:val="00C273C1"/>
    <w:rsid w:val="00C27E95"/>
    <w:rsid w:val="00C331DE"/>
    <w:rsid w:val="00C33E72"/>
    <w:rsid w:val="00C354B2"/>
    <w:rsid w:val="00C35554"/>
    <w:rsid w:val="00C42709"/>
    <w:rsid w:val="00C533CC"/>
    <w:rsid w:val="00C5751C"/>
    <w:rsid w:val="00C61BFC"/>
    <w:rsid w:val="00C62B85"/>
    <w:rsid w:val="00C65438"/>
    <w:rsid w:val="00C71B53"/>
    <w:rsid w:val="00C7394F"/>
    <w:rsid w:val="00C87FD8"/>
    <w:rsid w:val="00C91381"/>
    <w:rsid w:val="00C91CBB"/>
    <w:rsid w:val="00CB4E70"/>
    <w:rsid w:val="00CB5399"/>
    <w:rsid w:val="00CC09B6"/>
    <w:rsid w:val="00CC666F"/>
    <w:rsid w:val="00CD1E3F"/>
    <w:rsid w:val="00CD4ED8"/>
    <w:rsid w:val="00CD64B4"/>
    <w:rsid w:val="00CE44F6"/>
    <w:rsid w:val="00CE49DA"/>
    <w:rsid w:val="00CE7B61"/>
    <w:rsid w:val="00D00095"/>
    <w:rsid w:val="00D013C8"/>
    <w:rsid w:val="00D114F0"/>
    <w:rsid w:val="00D20596"/>
    <w:rsid w:val="00D20620"/>
    <w:rsid w:val="00D2395F"/>
    <w:rsid w:val="00D254F7"/>
    <w:rsid w:val="00D26091"/>
    <w:rsid w:val="00D2685C"/>
    <w:rsid w:val="00D34E7C"/>
    <w:rsid w:val="00D35489"/>
    <w:rsid w:val="00D36AFE"/>
    <w:rsid w:val="00D51276"/>
    <w:rsid w:val="00D67A8B"/>
    <w:rsid w:val="00D7035F"/>
    <w:rsid w:val="00D81A47"/>
    <w:rsid w:val="00D84004"/>
    <w:rsid w:val="00D9195A"/>
    <w:rsid w:val="00DA634F"/>
    <w:rsid w:val="00DA65AC"/>
    <w:rsid w:val="00DB1913"/>
    <w:rsid w:val="00DB342F"/>
    <w:rsid w:val="00DC410D"/>
    <w:rsid w:val="00DC5A81"/>
    <w:rsid w:val="00DC68CA"/>
    <w:rsid w:val="00DC74B0"/>
    <w:rsid w:val="00DC7CBA"/>
    <w:rsid w:val="00DD35C5"/>
    <w:rsid w:val="00DD65F7"/>
    <w:rsid w:val="00DD73B7"/>
    <w:rsid w:val="00DE279C"/>
    <w:rsid w:val="00DF02CD"/>
    <w:rsid w:val="00DF28BC"/>
    <w:rsid w:val="00DF34B9"/>
    <w:rsid w:val="00DF750A"/>
    <w:rsid w:val="00E01053"/>
    <w:rsid w:val="00E07ACF"/>
    <w:rsid w:val="00E10730"/>
    <w:rsid w:val="00E31804"/>
    <w:rsid w:val="00E32CAD"/>
    <w:rsid w:val="00E331A1"/>
    <w:rsid w:val="00E33202"/>
    <w:rsid w:val="00E336A9"/>
    <w:rsid w:val="00E472B1"/>
    <w:rsid w:val="00E50624"/>
    <w:rsid w:val="00E568DF"/>
    <w:rsid w:val="00E64269"/>
    <w:rsid w:val="00E70975"/>
    <w:rsid w:val="00E82267"/>
    <w:rsid w:val="00E853CE"/>
    <w:rsid w:val="00E867B6"/>
    <w:rsid w:val="00E9002D"/>
    <w:rsid w:val="00EA010F"/>
    <w:rsid w:val="00EA3086"/>
    <w:rsid w:val="00EB64D9"/>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1480"/>
    <w:rsid w:val="00F36D8F"/>
    <w:rsid w:val="00F417B1"/>
    <w:rsid w:val="00F45853"/>
    <w:rsid w:val="00F514E6"/>
    <w:rsid w:val="00F528F3"/>
    <w:rsid w:val="00F53347"/>
    <w:rsid w:val="00F56B97"/>
    <w:rsid w:val="00F602DF"/>
    <w:rsid w:val="00F754A1"/>
    <w:rsid w:val="00F772E5"/>
    <w:rsid w:val="00F81FD9"/>
    <w:rsid w:val="00F841AA"/>
    <w:rsid w:val="00F84A94"/>
    <w:rsid w:val="00F87E96"/>
    <w:rsid w:val="00FA23E8"/>
    <w:rsid w:val="00FC2607"/>
    <w:rsid w:val="00FC286F"/>
    <w:rsid w:val="00FD3CC1"/>
    <w:rsid w:val="00FE4627"/>
    <w:rsid w:val="00FF0F79"/>
    <w:rsid w:val="00FF1E02"/>
    <w:rsid w:val="00FF30B4"/>
    <w:rsid w:val="01011432"/>
    <w:rsid w:val="01170C55"/>
    <w:rsid w:val="02241FDF"/>
    <w:rsid w:val="056D353A"/>
    <w:rsid w:val="08384ACC"/>
    <w:rsid w:val="088C61A1"/>
    <w:rsid w:val="0A2032A3"/>
    <w:rsid w:val="0B226B74"/>
    <w:rsid w:val="0BA80E28"/>
    <w:rsid w:val="10C055FF"/>
    <w:rsid w:val="118107EC"/>
    <w:rsid w:val="127D3A51"/>
    <w:rsid w:val="16BB723D"/>
    <w:rsid w:val="178070FD"/>
    <w:rsid w:val="18EA45A0"/>
    <w:rsid w:val="1A4E7CD9"/>
    <w:rsid w:val="1A515655"/>
    <w:rsid w:val="1B355F99"/>
    <w:rsid w:val="1D155CEE"/>
    <w:rsid w:val="21F568A6"/>
    <w:rsid w:val="223B434C"/>
    <w:rsid w:val="240371BF"/>
    <w:rsid w:val="24C36CD8"/>
    <w:rsid w:val="24D42622"/>
    <w:rsid w:val="29FD04D3"/>
    <w:rsid w:val="2B095BA0"/>
    <w:rsid w:val="2B634FBD"/>
    <w:rsid w:val="2E423D71"/>
    <w:rsid w:val="2F05640D"/>
    <w:rsid w:val="319F7F4E"/>
    <w:rsid w:val="368D0A96"/>
    <w:rsid w:val="37060F75"/>
    <w:rsid w:val="39E62997"/>
    <w:rsid w:val="3CCD349B"/>
    <w:rsid w:val="3DC70D32"/>
    <w:rsid w:val="3FAC0712"/>
    <w:rsid w:val="41984EBF"/>
    <w:rsid w:val="473D3E13"/>
    <w:rsid w:val="491A265E"/>
    <w:rsid w:val="4A0A26D2"/>
    <w:rsid w:val="4ACD5375"/>
    <w:rsid w:val="4BD55BDF"/>
    <w:rsid w:val="4E3C6BD2"/>
    <w:rsid w:val="4E8F13F8"/>
    <w:rsid w:val="4ECE2238"/>
    <w:rsid w:val="4FE2511A"/>
    <w:rsid w:val="53D24869"/>
    <w:rsid w:val="56715961"/>
    <w:rsid w:val="5B686F98"/>
    <w:rsid w:val="5BD14DFE"/>
    <w:rsid w:val="5BD43888"/>
    <w:rsid w:val="5D333022"/>
    <w:rsid w:val="5F77A4F4"/>
    <w:rsid w:val="60C71747"/>
    <w:rsid w:val="62EE14A0"/>
    <w:rsid w:val="6424383C"/>
    <w:rsid w:val="65087B23"/>
    <w:rsid w:val="67BB5E6B"/>
    <w:rsid w:val="68AB2E7A"/>
    <w:rsid w:val="6905258B"/>
    <w:rsid w:val="69DF102E"/>
    <w:rsid w:val="6B2036AC"/>
    <w:rsid w:val="6C4A05C8"/>
    <w:rsid w:val="6F05509A"/>
    <w:rsid w:val="6F504A21"/>
    <w:rsid w:val="6FA443D3"/>
    <w:rsid w:val="70871AD7"/>
    <w:rsid w:val="72734D90"/>
    <w:rsid w:val="74D477FC"/>
    <w:rsid w:val="75FB71EF"/>
    <w:rsid w:val="7D17F982"/>
    <w:rsid w:val="7F3E6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30"/>
    <w:qFormat/>
    <w:uiPriority w:val="9"/>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7"/>
    <w:qFormat/>
    <w:uiPriority w:val="0"/>
    <w:pPr>
      <w:spacing w:beforeLines="30"/>
    </w:pPr>
    <w:rPr>
      <w:rFonts w:ascii="仿宋_GB2312" w:eastAsia="仿宋_GB2312"/>
      <w:kern w:val="0"/>
      <w:sz w:val="24"/>
      <w:szCs w:val="20"/>
      <w:lang w:val="zh-CN"/>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2"/>
    <w:semiHidden/>
    <w:unhideWhenUsed/>
    <w:qFormat/>
    <w:uiPriority w:val="99"/>
    <w:rPr>
      <w:sz w:val="18"/>
      <w:szCs w:val="18"/>
    </w:rPr>
  </w:style>
  <w:style w:type="paragraph" w:styleId="13">
    <w:name w:val="footer"/>
    <w:basedOn w:val="1"/>
    <w:link w:val="36"/>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35"/>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footnote text"/>
    <w:basedOn w:val="1"/>
    <w:next w:val="8"/>
    <w:semiHidden/>
    <w:qFormat/>
    <w:uiPriority w:val="0"/>
    <w:pPr>
      <w:snapToGrid w:val="0"/>
      <w:jc w:val="left"/>
    </w:pPr>
    <w:rPr>
      <w:sz w:val="18"/>
      <w:szCs w:val="18"/>
    </w:rPr>
  </w:style>
  <w:style w:type="paragraph" w:styleId="18">
    <w:name w:val="toc 6"/>
    <w:basedOn w:val="1"/>
    <w:next w:val="1"/>
    <w:unhideWhenUsed/>
    <w:qFormat/>
    <w:uiPriority w:val="39"/>
    <w:pPr>
      <w:ind w:left="1050"/>
      <w:jc w:val="left"/>
    </w:pPr>
    <w:rPr>
      <w:rFonts w:asciiTheme="minorHAnsi" w:eastAsiaTheme="minorHAnsi"/>
      <w:sz w:val="18"/>
      <w:szCs w:val="18"/>
    </w:rPr>
  </w:style>
  <w:style w:type="paragraph" w:styleId="19">
    <w:name w:val="table of figures"/>
    <w:basedOn w:val="1"/>
    <w:next w:val="1"/>
    <w:unhideWhenUsed/>
    <w:qFormat/>
    <w:uiPriority w:val="0"/>
    <w:pPr>
      <w:ind w:left="200" w:leftChars="200" w:hanging="200" w:hangingChars="200"/>
    </w:pPr>
    <w:rPr>
      <w:rFonts w:eastAsia="仿宋_GB2312"/>
      <w:sz w:val="32"/>
    </w:rPr>
  </w:style>
  <w:style w:type="paragraph" w:styleId="20">
    <w:name w:val="toc 2"/>
    <w:basedOn w:val="1"/>
    <w:next w:val="1"/>
    <w:unhideWhenUsed/>
    <w:qFormat/>
    <w:uiPriority w:val="39"/>
    <w:pPr>
      <w:ind w:left="210"/>
      <w:jc w:val="left"/>
    </w:pPr>
    <w:rPr>
      <w:rFonts w:asciiTheme="minorHAnsi" w:eastAsiaTheme="minorHAnsi"/>
      <w:smallCaps/>
      <w:sz w:val="20"/>
      <w:szCs w:val="20"/>
    </w:rPr>
  </w:style>
  <w:style w:type="paragraph" w:styleId="21">
    <w:name w:val="toc 9"/>
    <w:basedOn w:val="1"/>
    <w:next w:val="1"/>
    <w:unhideWhenUsed/>
    <w:qFormat/>
    <w:uiPriority w:val="39"/>
    <w:pPr>
      <w:ind w:left="1680"/>
      <w:jc w:val="left"/>
    </w:pPr>
    <w:rPr>
      <w:rFonts w:asciiTheme="minorHAnsi" w:eastAsiaTheme="minorHAnsi"/>
      <w:sz w:val="18"/>
      <w:szCs w:val="18"/>
    </w:rPr>
  </w:style>
  <w:style w:type="paragraph" w:styleId="22">
    <w:name w:val="Normal (Web)"/>
    <w:basedOn w:val="1"/>
    <w:qFormat/>
    <w:uiPriority w:val="0"/>
    <w:pPr>
      <w:spacing w:before="100" w:beforeAutospacing="1" w:after="100" w:afterAutospacing="1"/>
      <w:jc w:val="left"/>
    </w:pPr>
    <w:rPr>
      <w:rFonts w:ascii="Calibri" w:hAnsi="Calibri"/>
      <w:kern w:val="0"/>
      <w:sz w:val="24"/>
    </w:rPr>
  </w:style>
  <w:style w:type="table" w:styleId="24">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uiPriority w:val="0"/>
    <w:rPr>
      <w:rFonts w:cs="Times New Roman"/>
      <w:b/>
    </w:rPr>
  </w:style>
  <w:style w:type="character" w:styleId="27">
    <w:name w:val="Hyperlink"/>
    <w:basedOn w:val="25"/>
    <w:unhideWhenUsed/>
    <w:qFormat/>
    <w:uiPriority w:val="99"/>
    <w:rPr>
      <w:rFonts w:cs="Times New Roman"/>
      <w:color w:val="0000FF"/>
      <w:u w:val="single"/>
    </w:rPr>
  </w:style>
  <w:style w:type="character" w:customStyle="1" w:styleId="28">
    <w:name w:val="标题 1 Char"/>
    <w:basedOn w:val="25"/>
    <w:link w:val="2"/>
    <w:qFormat/>
    <w:locked/>
    <w:uiPriority w:val="9"/>
    <w:rPr>
      <w:rFonts w:ascii="Times New Roman" w:hAnsi="Times New Roman" w:cs="Times New Roman"/>
      <w:b/>
      <w:bCs/>
      <w:kern w:val="44"/>
      <w:sz w:val="44"/>
      <w:szCs w:val="44"/>
    </w:rPr>
  </w:style>
  <w:style w:type="character" w:customStyle="1" w:styleId="29">
    <w:name w:val="标题 2 Char"/>
    <w:basedOn w:val="25"/>
    <w:link w:val="3"/>
    <w:qFormat/>
    <w:locked/>
    <w:uiPriority w:val="9"/>
    <w:rPr>
      <w:rFonts w:ascii="Cambria" w:hAnsi="Cambria" w:eastAsia="宋体" w:cs="Times New Roman"/>
      <w:b/>
      <w:bCs/>
      <w:kern w:val="2"/>
      <w:sz w:val="32"/>
      <w:szCs w:val="32"/>
    </w:rPr>
  </w:style>
  <w:style w:type="character" w:customStyle="1" w:styleId="30">
    <w:name w:val="标题 3 Char"/>
    <w:basedOn w:val="25"/>
    <w:link w:val="4"/>
    <w:qFormat/>
    <w:locked/>
    <w:uiPriority w:val="9"/>
    <w:rPr>
      <w:rFonts w:ascii="Times New Roman" w:hAnsi="Times New Roman" w:cs="Times New Roman"/>
      <w:b/>
      <w:bCs/>
      <w:kern w:val="2"/>
      <w:sz w:val="32"/>
      <w:szCs w:val="32"/>
    </w:rPr>
  </w:style>
  <w:style w:type="character" w:customStyle="1" w:styleId="31">
    <w:name w:val="Body Text Char"/>
    <w:basedOn w:val="25"/>
    <w:semiHidden/>
    <w:qFormat/>
    <w:uiPriority w:val="99"/>
    <w:rPr>
      <w:rFonts w:ascii="Times New Roman" w:hAnsi="Times New Roman" w:cs="Times New Roman"/>
      <w:sz w:val="24"/>
      <w:szCs w:val="24"/>
    </w:rPr>
  </w:style>
  <w:style w:type="character" w:customStyle="1" w:styleId="32">
    <w:name w:val="批注框文本 Char"/>
    <w:basedOn w:val="25"/>
    <w:link w:val="12"/>
    <w:semiHidden/>
    <w:qFormat/>
    <w:locked/>
    <w:uiPriority w:val="99"/>
    <w:rPr>
      <w:rFonts w:ascii="Times New Roman" w:hAnsi="Times New Roman" w:cs="Times New Roman"/>
      <w:kern w:val="2"/>
      <w:sz w:val="18"/>
      <w:szCs w:val="18"/>
    </w:rPr>
  </w:style>
  <w:style w:type="character" w:customStyle="1" w:styleId="33">
    <w:name w:val="Footer Char"/>
    <w:basedOn w:val="25"/>
    <w:semiHidden/>
    <w:qFormat/>
    <w:uiPriority w:val="99"/>
    <w:rPr>
      <w:rFonts w:ascii="Times New Roman" w:hAnsi="Times New Roman" w:cs="Times New Roman"/>
      <w:sz w:val="18"/>
      <w:szCs w:val="18"/>
    </w:rPr>
  </w:style>
  <w:style w:type="character" w:customStyle="1" w:styleId="34">
    <w:name w:val="Header Char"/>
    <w:basedOn w:val="25"/>
    <w:semiHidden/>
    <w:qFormat/>
    <w:uiPriority w:val="99"/>
    <w:rPr>
      <w:rFonts w:ascii="Times New Roman" w:hAnsi="Times New Roman" w:cs="Times New Roman"/>
      <w:sz w:val="18"/>
      <w:szCs w:val="18"/>
    </w:rPr>
  </w:style>
  <w:style w:type="character" w:customStyle="1" w:styleId="35">
    <w:name w:val="页眉 Char"/>
    <w:link w:val="14"/>
    <w:semiHidden/>
    <w:qFormat/>
    <w:locked/>
    <w:uiPriority w:val="99"/>
    <w:rPr>
      <w:sz w:val="18"/>
    </w:rPr>
  </w:style>
  <w:style w:type="character" w:customStyle="1" w:styleId="36">
    <w:name w:val="页脚 Char"/>
    <w:link w:val="13"/>
    <w:qFormat/>
    <w:locked/>
    <w:uiPriority w:val="99"/>
    <w:rPr>
      <w:sz w:val="18"/>
    </w:rPr>
  </w:style>
  <w:style w:type="character" w:customStyle="1" w:styleId="37">
    <w:name w:val="正文文本 Char"/>
    <w:link w:val="6"/>
    <w:qFormat/>
    <w:locked/>
    <w:uiPriority w:val="99"/>
    <w:rPr>
      <w:rFonts w:ascii="仿宋_GB2312" w:hAnsi="Times New Roman" w:eastAsia="仿宋_GB2312"/>
      <w:sz w:val="24"/>
    </w:rPr>
  </w:style>
  <w:style w:type="paragraph" w:customStyle="1" w:styleId="3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9">
    <w:name w:val="列表段落1"/>
    <w:basedOn w:val="1"/>
    <w:qFormat/>
    <w:uiPriority w:val="34"/>
    <w:pPr>
      <w:ind w:firstLine="420" w:firstLineChars="200"/>
    </w:pPr>
  </w:style>
  <w:style w:type="paragraph" w:customStyle="1" w:styleId="40">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2">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43">
    <w:name w:val="List Paragraph"/>
    <w:basedOn w:val="1"/>
    <w:qFormat/>
    <w:uiPriority w:val="34"/>
    <w:pPr>
      <w:ind w:firstLine="420" w:firstLineChars="200"/>
    </w:pPr>
  </w:style>
  <w:style w:type="paragraph" w:customStyle="1" w:styleId="44">
    <w:name w:val="四号正文"/>
    <w:qFormat/>
    <w:uiPriority w:val="0"/>
    <w:pPr>
      <w:widowControl w:val="0"/>
      <w:spacing w:line="360" w:lineRule="auto"/>
      <w:jc w:val="both"/>
    </w:pPr>
    <w:rPr>
      <w:rFonts w:ascii="??" w:hAnsi="??" w:eastAsia="宋体" w:cs="Times New Roman"/>
      <w:color w:val="000000"/>
      <w:sz w:val="28"/>
      <w:szCs w:val="21"/>
      <w:lang w:val="zh-CN" w:eastAsia="zh-CN" w:bidi="ar-SA"/>
    </w:rPr>
  </w:style>
  <w:style w:type="paragraph" w:customStyle="1" w:styleId="45">
    <w:name w:val="图表目录1"/>
    <w:basedOn w:val="1"/>
    <w:next w:val="1"/>
    <w:qFormat/>
    <w:uiPriority w:val="0"/>
    <w:pPr>
      <w:ind w:left="400" w:leftChars="200" w:hanging="200" w:hangingChars="200"/>
    </w:pPr>
    <w:rPr>
      <w:rFonts w:eastAsia="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E:\2023&#24180;&#36164;&#26009;\&#32852;&#31038;\&#25253;&#36130;&#25919;\&#33538;&#21439;&#20379;&#38144;&#31038;2022&#24180;&#20915;&#31639;&#20844;&#24320;\for%20&#26446;&#2315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E:\2023&#24180;&#36164;&#26009;\&#32852;&#31038;\&#25253;&#36130;&#25919;\&#33538;&#21439;&#20379;&#38144;&#31038;2022&#24180;&#20915;&#31639;&#20844;&#24320;\for%20&#26446;&#23159;.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E:\2023&#24180;&#36164;&#26009;\&#32852;&#31038;\&#25253;&#36130;&#25919;\&#33538;&#21439;&#20379;&#38144;&#31038;2022&#24180;&#20915;&#31639;&#20844;&#24320;\for%20&#26446;&#23159;.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E:\2023&#24180;&#36164;&#26009;\&#32852;&#31038;\&#25253;&#36130;&#25919;\&#33538;&#21439;&#20379;&#38144;&#31038;2022&#24180;&#20915;&#31639;&#20844;&#24320;\for%20&#26446;&#2315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023&#24180;&#36164;&#26009;\&#32852;&#31038;\&#25253;&#36130;&#25919;\&#33538;&#21439;&#20379;&#38144;&#31038;2022&#24180;&#20915;&#31639;&#20844;&#24320;\for%20&#26446;&#2315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UserData\My%20Documents\WeChat%20Files\wxid_5746557465412\FileStorage\File\2023-08\for%20&#26446;&#2315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800" b="0" i="0" baseline="0"/>
              <a:t>收、支决算总计变动情况图</a:t>
            </a:r>
            <a:endParaRPr lang="zh-CN" altLang="zh-CN"/>
          </a:p>
        </c:rich>
      </c:tx>
      <c:layout/>
      <c:overlay val="0"/>
      <c:spPr>
        <a:noFill/>
        <a:ln>
          <a:noFill/>
        </a:ln>
        <a:effectLst/>
      </c:spPr>
    </c:title>
    <c:autoTitleDeleted val="0"/>
    <c:plotArea>
      <c:layout/>
      <c:barChart>
        <c:barDir val="col"/>
        <c:grouping val="clustered"/>
        <c:varyColors val="0"/>
        <c:ser>
          <c:idx val="0"/>
          <c:order val="0"/>
          <c:tx>
            <c:strRef>
              <c:f>"收入"</c:f>
              <c:strCache>
                <c:ptCount val="1"/>
                <c:pt idx="0">
                  <c:v>收入</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李婷.xlsx]Sheet1'!$A$3:$A$4</c:f>
              <c:strCache>
                <c:ptCount val="2"/>
                <c:pt idx="0">
                  <c:v>2022年</c:v>
                </c:pt>
                <c:pt idx="1">
                  <c:v>2023年</c:v>
                </c:pt>
              </c:strCache>
            </c:strRef>
          </c:cat>
          <c:val>
            <c:numRef>
              <c:f>'[for 李婷.xlsx]Sheet1'!$B$3:$B$4</c:f>
              <c:numCache>
                <c:formatCode>General</c:formatCode>
                <c:ptCount val="2"/>
                <c:pt idx="0">
                  <c:v>525.75</c:v>
                </c:pt>
                <c:pt idx="1">
                  <c:v>403.99</c:v>
                </c:pt>
              </c:numCache>
            </c:numRef>
          </c:val>
        </c:ser>
        <c:ser>
          <c:idx val="1"/>
          <c:order val="1"/>
          <c:tx>
            <c:strRef>
              <c:f>"支出"</c:f>
              <c:strCache>
                <c:ptCount val="1"/>
                <c:pt idx="0">
                  <c:v>支出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李婷.xlsx]Sheet1'!$A$3:$A$4</c:f>
              <c:strCache>
                <c:ptCount val="2"/>
                <c:pt idx="0">
                  <c:v>2022年</c:v>
                </c:pt>
                <c:pt idx="1">
                  <c:v>2023年</c:v>
                </c:pt>
              </c:strCache>
            </c:strRef>
          </c:cat>
          <c:val>
            <c:numRef>
              <c:f>'[for 李婷.xlsx]Sheet1'!$C$3:$C$4</c:f>
              <c:numCache>
                <c:formatCode>General</c:formatCode>
                <c:ptCount val="2"/>
                <c:pt idx="0">
                  <c:v>525.75</c:v>
                </c:pt>
                <c:pt idx="1">
                  <c:v>403.99</c:v>
                </c:pt>
              </c:numCache>
            </c:numRef>
          </c:val>
        </c:ser>
        <c:dLbls>
          <c:showLegendKey val="0"/>
          <c:showVal val="1"/>
          <c:showCatName val="0"/>
          <c:showSerName val="0"/>
          <c:showPercent val="0"/>
          <c:showBubbleSize val="0"/>
        </c:dLbls>
        <c:gapWidth val="219"/>
        <c:overlap val="-27"/>
        <c:axId val="104288640"/>
        <c:axId val="104290176"/>
      </c:barChart>
      <c:catAx>
        <c:axId val="104288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4290176"/>
        <c:crosses val="autoZero"/>
        <c:auto val="1"/>
        <c:lblAlgn val="ctr"/>
        <c:lblOffset val="100"/>
        <c:noMultiLvlLbl val="0"/>
      </c:catAx>
      <c:valAx>
        <c:axId val="104290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4288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a:t>
            </a:r>
            <a:r>
              <a:rPr lang="en-US" altLang="zh-CN"/>
              <a:t>23</a:t>
            </a:r>
            <a:r>
              <a:t>年度收入</a:t>
            </a:r>
          </a:p>
        </c:rich>
      </c:tx>
      <c:layout/>
      <c:overlay val="0"/>
      <c:spPr>
        <a:noFill/>
        <a:ln>
          <a:noFill/>
        </a:ln>
        <a:effectLst/>
      </c:spPr>
    </c:title>
    <c:autoTitleDeleted val="0"/>
    <c:plotArea>
      <c:layout/>
      <c:pieChart>
        <c:varyColors val="1"/>
        <c:ser>
          <c:idx val="0"/>
          <c:order val="0"/>
          <c:tx>
            <c:strRef>
              <c:f>[工作簿1]Sheet1!$B$10</c:f>
              <c:strCache>
                <c:ptCount val="1"/>
                <c:pt idx="0">
                  <c:v>2019年度收入</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[工作簿1]Sheet1!$A$11:$A$17</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[工作簿1]Sheet1!$B$11:$B$17</c:f>
              <c:numCache>
                <c:formatCode>General</c:formatCode>
                <c:ptCount val="7"/>
                <c:pt idx="0">
                  <c:v>516.88</c:v>
                </c:pt>
                <c:pt idx="1">
                  <c:v>0</c:v>
                </c:pt>
                <c:pt idx="2">
                  <c:v>0</c:v>
                </c:pt>
                <c:pt idx="3">
                  <c:v>0</c:v>
                </c:pt>
                <c:pt idx="4">
                  <c:v>0</c:v>
                </c:pt>
                <c:pt idx="5">
                  <c:v>0</c:v>
                </c:pt>
                <c:pt idx="6">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62500000000003"/>
          <c:y val="0.13483796296296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支出决算结构图</a:t>
            </a:r>
            <a:endParaRPr lang="zh-CN" altLang="en-US"/>
          </a:p>
        </c:rich>
      </c:tx>
      <c:layout>
        <c:manualLayout>
          <c:xMode val="edge"/>
          <c:yMode val="edge"/>
          <c:x val="0.348013724666343"/>
          <c:y val="0.0428571428571429"/>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李婷.xlsx]Sheet1'!$A$19:$A$23</c:f>
              <c:strCache>
                <c:ptCount val="5"/>
                <c:pt idx="0">
                  <c:v>基本支出</c:v>
                </c:pt>
                <c:pt idx="1">
                  <c:v>上缴上级支出</c:v>
                </c:pt>
                <c:pt idx="2">
                  <c:v>经营支出</c:v>
                </c:pt>
                <c:pt idx="3">
                  <c:v>对附属单位补助支出</c:v>
                </c:pt>
                <c:pt idx="4">
                  <c:v>项目支出</c:v>
                </c:pt>
              </c:strCache>
            </c:strRef>
          </c:cat>
          <c:val>
            <c:numRef>
              <c:f>'[for 李婷.xlsx]Sheet1'!$B$19:$B$23</c:f>
              <c:numCache>
                <c:formatCode>General</c:formatCode>
                <c:ptCount val="5"/>
                <c:pt idx="0">
                  <c:v>197.94</c:v>
                </c:pt>
                <c:pt idx="1">
                  <c:v>0</c:v>
                </c:pt>
                <c:pt idx="2">
                  <c:v>0</c:v>
                </c:pt>
                <c:pt idx="3">
                  <c:v>0</c:v>
                </c:pt>
                <c:pt idx="4">
                  <c:v>206.05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800" b="0" i="0" baseline="0"/>
              <a:t>财政拨款</a:t>
            </a:r>
            <a:r>
              <a:rPr lang="zh-CN" altLang="zh-CN" sz="1800" b="0" i="0" baseline="0"/>
              <a:t>收、支决算总计变动情况图</a:t>
            </a:r>
            <a:endParaRPr lang="zh-CN" altLang="zh-CN"/>
          </a:p>
        </c:rich>
      </c:tx>
      <c:layout/>
      <c:overlay val="0"/>
      <c:spPr>
        <a:noFill/>
        <a:ln>
          <a:noFill/>
        </a:ln>
        <a:effectLst/>
      </c:spPr>
    </c:title>
    <c:autoTitleDeleted val="0"/>
    <c:plotArea>
      <c:layout/>
      <c:barChart>
        <c:barDir val="col"/>
        <c:grouping val="clustered"/>
        <c:varyColors val="0"/>
        <c:ser>
          <c:idx val="0"/>
          <c:order val="0"/>
          <c:tx>
            <c:strRef>
              <c:f>"收入"</c:f>
              <c:strCache>
                <c:ptCount val="1"/>
                <c:pt idx="0">
                  <c:v>收入</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李婷.xlsx]Sheet1'!$A$3:$A$4</c:f>
              <c:strCache>
                <c:ptCount val="2"/>
                <c:pt idx="0">
                  <c:v>2022年</c:v>
                </c:pt>
                <c:pt idx="1">
                  <c:v>2023年</c:v>
                </c:pt>
              </c:strCache>
            </c:strRef>
          </c:cat>
          <c:val>
            <c:numRef>
              <c:f>'[for 李婷.xlsx]Sheet1'!$B$3:$B$4</c:f>
              <c:numCache>
                <c:formatCode>General</c:formatCode>
                <c:ptCount val="2"/>
                <c:pt idx="0">
                  <c:v>525.75</c:v>
                </c:pt>
                <c:pt idx="1">
                  <c:v>403.99</c:v>
                </c:pt>
              </c:numCache>
            </c:numRef>
          </c:val>
        </c:ser>
        <c:ser>
          <c:idx val="1"/>
          <c:order val="1"/>
          <c:tx>
            <c:strRef>
              <c:f>"支出"</c:f>
              <c:strCache>
                <c:ptCount val="1"/>
                <c:pt idx="0">
                  <c:v>支出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李婷.xlsx]Sheet1'!$A$3:$A$4</c:f>
              <c:strCache>
                <c:ptCount val="2"/>
                <c:pt idx="0">
                  <c:v>2022年</c:v>
                </c:pt>
                <c:pt idx="1">
                  <c:v>2023年</c:v>
                </c:pt>
              </c:strCache>
            </c:strRef>
          </c:cat>
          <c:val>
            <c:numRef>
              <c:f>'[for 李婷.xlsx]Sheet1'!$C$3:$C$4</c:f>
              <c:numCache>
                <c:formatCode>General</c:formatCode>
                <c:ptCount val="2"/>
                <c:pt idx="0">
                  <c:v>525.75</c:v>
                </c:pt>
                <c:pt idx="1">
                  <c:v>403.99</c:v>
                </c:pt>
              </c:numCache>
            </c:numRef>
          </c:val>
        </c:ser>
        <c:dLbls>
          <c:showLegendKey val="0"/>
          <c:showVal val="1"/>
          <c:showCatName val="0"/>
          <c:showSerName val="0"/>
          <c:showPercent val="0"/>
          <c:showBubbleSize val="0"/>
        </c:dLbls>
        <c:gapWidth val="219"/>
        <c:overlap val="-27"/>
        <c:axId val="104288640"/>
        <c:axId val="104290176"/>
      </c:barChart>
      <c:catAx>
        <c:axId val="104288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4290176"/>
        <c:crosses val="autoZero"/>
        <c:auto val="1"/>
        <c:lblAlgn val="ctr"/>
        <c:lblOffset val="100"/>
        <c:noMultiLvlLbl val="0"/>
      </c:catAx>
      <c:valAx>
        <c:axId val="104290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4288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"一般公共预算财政拨款支出"</c:f>
              <c:strCache>
                <c:ptCount val="1"/>
                <c:pt idx="0">
                  <c:v>一般公共预算财政拨款支出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李婷.xlsx]Sheet1'!$A$55:$A$56</c:f>
              <c:strCache>
                <c:ptCount val="2"/>
                <c:pt idx="0">
                  <c:v>2022年</c:v>
                </c:pt>
                <c:pt idx="1">
                  <c:v>2023年</c:v>
                </c:pt>
              </c:strCache>
            </c:strRef>
          </c:cat>
          <c:val>
            <c:numRef>
              <c:f>'[for 李婷.xlsx]Sheet1'!$B$55:$B$56</c:f>
              <c:numCache>
                <c:formatCode>General</c:formatCode>
                <c:ptCount val="2"/>
                <c:pt idx="0">
                  <c:v>525.75</c:v>
                </c:pt>
                <c:pt idx="1">
                  <c:v>403.99</c:v>
                </c:pt>
              </c:numCache>
            </c:numRef>
          </c:val>
        </c:ser>
        <c:dLbls>
          <c:showLegendKey val="0"/>
          <c:showVal val="1"/>
          <c:showCatName val="0"/>
          <c:showSerName val="0"/>
          <c:showPercent val="0"/>
          <c:showBubbleSize val="0"/>
        </c:dLbls>
        <c:gapWidth val="219"/>
        <c:overlap val="-27"/>
        <c:axId val="41968384"/>
        <c:axId val="41969920"/>
      </c:barChart>
      <c:catAx>
        <c:axId val="4196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969920"/>
        <c:crosses val="autoZero"/>
        <c:auto val="1"/>
        <c:lblAlgn val="ctr"/>
        <c:lblOffset val="100"/>
        <c:noMultiLvlLbl val="0"/>
      </c:catAx>
      <c:valAx>
        <c:axId val="41969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968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'[for 李婷.xlsx]Sheet1'!$A$72:$A$76</c:f>
              <c:strCache>
                <c:ptCount val="5"/>
                <c:pt idx="0">
                  <c:v>社会保障和就业支出</c:v>
                </c:pt>
                <c:pt idx="1">
                  <c:v>卫生健康支出</c:v>
                </c:pt>
                <c:pt idx="2">
                  <c:v>农林水支出</c:v>
                </c:pt>
                <c:pt idx="3">
                  <c:v>商业服务业等支出</c:v>
                </c:pt>
                <c:pt idx="4">
                  <c:v>住房保障支出</c:v>
                </c:pt>
              </c:strCache>
            </c:strRef>
          </c:cat>
          <c:val>
            <c:numRef>
              <c:f>'[for 李婷.xlsx]Sheet1'!$B$72:$B$76</c:f>
              <c:numCache>
                <c:formatCode>0.00%</c:formatCode>
                <c:ptCount val="5"/>
                <c:pt idx="0">
                  <c:v>0.0420802495111265</c:v>
                </c:pt>
                <c:pt idx="1">
                  <c:v>0.036263273843412</c:v>
                </c:pt>
                <c:pt idx="2">
                  <c:v>0.510037377162801</c:v>
                </c:pt>
                <c:pt idx="3">
                  <c:v>0.377113294883537</c:v>
                </c:pt>
                <c:pt idx="4">
                  <c:v>0.0345058045991237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400" b="0" i="0" u="none" strike="noStrike" baseline="0"/>
              <a:t>“三公”经费财政拨款支出结构</a:t>
            </a:r>
            <a:endParaRPr lang="zh-CN" altLang="en-US"/>
          </a:p>
        </c:rich>
      </c:tx>
      <c:layout>
        <c:manualLayout>
          <c:xMode val="edge"/>
          <c:yMode val="edge"/>
          <c:x val="0.348013724666343"/>
          <c:y val="0.0428571428571429"/>
        </c:manualLayout>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Sheet1!$A$19:$A$21</c:f>
              <c:strCache>
                <c:ptCount val="3"/>
                <c:pt idx="0">
                  <c:v>公务接待费</c:v>
                </c:pt>
                <c:pt idx="1">
                  <c:v>因公出国</c:v>
                </c:pt>
                <c:pt idx="2">
                  <c:v>公务用车购置及运行维护费</c:v>
                </c:pt>
              </c:strCache>
            </c:strRef>
          </c:cat>
          <c:val>
            <c:numRef>
              <c:f>Sheet1!$B$19:$B$21</c:f>
              <c:numCache>
                <c:formatCode>0.00%</c:formatCode>
                <c:ptCount val="3"/>
                <c:pt idx="0">
                  <c:v>1</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B3096FD-59EE-4FD7-B65B-B1AAC58601E4}">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55</Pages>
  <Words>18615</Words>
  <Characters>20189</Characters>
  <Lines>136</Lines>
  <Paragraphs>38</Paragraphs>
  <TotalTime>5</TotalTime>
  <ScaleCrop>false</ScaleCrop>
  <LinksUpToDate>false</LinksUpToDate>
  <CharactersWithSpaces>20322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2023-09-07T03:49:00Z</dcterms:created>
  <dc:creator>曹颖</dc:creator>
  <cp:lastModifiedBy>初</cp:lastModifiedBy>
  <cp:lastPrinted>2024-09-10T03:05:00Z</cp:lastPrinted>
  <dcterms:modified xsi:type="dcterms:W3CDTF">2024-09-19T01:57:10Z</dcterms:modified>
  <dc:title>阿坝州部门决算说明</dc:title>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513E2E8EA28540FA8E834B4EE5BF24B3_13</vt:lpwstr>
  </property>
</Properties>
</file>