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pPr>
    </w:p>
    <w:p>
      <w:pPr>
        <w:spacing w:line="576" w:lineRule="exact"/>
      </w:pPr>
    </w:p>
    <w:p>
      <w:pPr>
        <w:spacing w:line="576" w:lineRule="exact"/>
      </w:pPr>
    </w:p>
    <w:p>
      <w:pPr>
        <w:spacing w:line="576" w:lineRule="exact"/>
        <w:ind w:firstLine="1100" w:firstLineChars="500"/>
      </w:pPr>
    </w:p>
    <w:p>
      <w:pPr>
        <w:spacing w:line="576" w:lineRule="exact"/>
        <w:ind w:firstLine="1100" w:firstLineChars="500"/>
      </w:pPr>
    </w:p>
    <w:p>
      <w:pPr>
        <w:spacing w:line="576" w:lineRule="exact"/>
      </w:pPr>
    </w:p>
    <w:p>
      <w:pPr>
        <w:spacing w:line="576" w:lineRule="exact"/>
        <w:ind w:firstLine="1760" w:firstLineChars="400"/>
        <w:rPr>
          <w:rFonts w:ascii="黑体" w:hAnsi="黑体" w:eastAsia="黑体"/>
          <w:sz w:val="44"/>
          <w:szCs w:val="44"/>
        </w:rPr>
      </w:pPr>
    </w:p>
    <w:p>
      <w:pPr>
        <w:widowControl w:val="0"/>
        <w:spacing w:line="576" w:lineRule="exact"/>
        <w:ind w:firstLine="0"/>
        <w:jc w:val="center"/>
        <w:rPr>
          <w:rFonts w:ascii="方正小标宋简体" w:hAnsi="方正小标宋简体" w:eastAsia="方正小标宋简体" w:cs="方正小标宋简体"/>
          <w:kern w:val="2"/>
          <w:sz w:val="44"/>
          <w:szCs w:val="44"/>
          <w:lang w:eastAsia="zh-CN" w:bidi="ar-SA"/>
        </w:rPr>
      </w:pPr>
    </w:p>
    <w:p>
      <w:pPr>
        <w:widowControl w:val="0"/>
        <w:spacing w:line="576" w:lineRule="exact"/>
        <w:ind w:firstLine="0"/>
        <w:jc w:val="center"/>
        <w:rPr>
          <w:rFonts w:ascii="方正小标宋简体" w:hAnsi="方正小标宋简体" w:eastAsia="方正小标宋简体" w:cs="方正小标宋简体"/>
          <w:kern w:val="2"/>
          <w:sz w:val="44"/>
          <w:szCs w:val="44"/>
          <w:lang w:eastAsia="zh-CN" w:bidi="ar-SA"/>
        </w:rPr>
      </w:pPr>
      <w:r>
        <w:rPr>
          <w:rFonts w:hint="eastAsia" w:ascii="方正小标宋简体" w:hAnsi="方正小标宋简体" w:eastAsia="方正小标宋简体" w:cs="方正小标宋简体"/>
          <w:kern w:val="2"/>
          <w:sz w:val="44"/>
          <w:szCs w:val="44"/>
          <w:lang w:eastAsia="zh-CN" w:bidi="ar-SA"/>
        </w:rPr>
        <w:t>茂县供销合作社联合社</w:t>
      </w:r>
    </w:p>
    <w:p>
      <w:pPr>
        <w:widowControl w:val="0"/>
        <w:spacing w:line="576" w:lineRule="exact"/>
        <w:ind w:firstLine="0"/>
        <w:jc w:val="center"/>
        <w:rPr>
          <w:rFonts w:hint="eastAsia" w:ascii="方正小标宋简体" w:hAnsi="方正小标宋简体" w:eastAsia="方正小标宋简体" w:cs="方正小标宋简体"/>
          <w:kern w:val="2"/>
          <w:sz w:val="44"/>
          <w:szCs w:val="44"/>
          <w:lang w:eastAsia="zh-CN" w:bidi="ar-SA"/>
        </w:rPr>
      </w:pPr>
      <w:r>
        <w:rPr>
          <w:rFonts w:ascii="方正小标宋简体" w:hAnsi="方正小标宋简体" w:eastAsia="方正小标宋简体" w:cs="方正小标宋简体"/>
          <w:kern w:val="2"/>
          <w:sz w:val="44"/>
          <w:szCs w:val="44"/>
          <w:lang w:eastAsia="zh-CN" w:bidi="ar-SA"/>
        </w:rPr>
        <w:t>2</w:t>
      </w:r>
      <w:r>
        <w:rPr>
          <w:rFonts w:hint="eastAsia" w:ascii="方正小标宋简体" w:hAnsi="方正小标宋简体" w:eastAsia="方正小标宋简体" w:cs="方正小标宋简体"/>
          <w:kern w:val="2"/>
          <w:sz w:val="44"/>
          <w:szCs w:val="44"/>
          <w:lang w:eastAsia="zh-CN" w:bidi="ar-SA"/>
        </w:rPr>
        <w:t>026年部门预算</w:t>
      </w:r>
    </w:p>
    <w:p>
      <w:pPr>
        <w:pStyle w:val="2"/>
        <w:ind w:firstLine="440"/>
        <w:rPr>
          <w:rFonts w:hint="eastAsia"/>
          <w:lang w:eastAsia="zh-CN" w:bidi="ar-SA"/>
        </w:rPr>
      </w:pPr>
    </w:p>
    <w:p>
      <w:pPr>
        <w:rPr>
          <w:rFonts w:hint="eastAsia"/>
          <w:lang w:eastAsia="zh-CN" w:bidi="ar-SA"/>
        </w:rPr>
      </w:pPr>
    </w:p>
    <w:p>
      <w:pPr>
        <w:widowControl w:val="0"/>
        <w:spacing w:line="576" w:lineRule="exact"/>
        <w:ind w:firstLine="0"/>
        <w:jc w:val="center"/>
        <w:rPr>
          <w:rFonts w:ascii="方正小标宋简体" w:hAnsi="方正小标宋简体" w:eastAsia="方正小标宋简体" w:cs="方正小标宋简体"/>
          <w:kern w:val="2"/>
          <w:sz w:val="32"/>
          <w:szCs w:val="32"/>
          <w:lang w:eastAsia="zh-CN" w:bidi="ar-SA"/>
        </w:rPr>
      </w:pPr>
      <w:r>
        <w:rPr>
          <w:rFonts w:hint="eastAsia" w:ascii="方正小标宋简体" w:hAnsi="方正小标宋简体" w:eastAsia="方正小标宋简体" w:cs="方正小标宋简体"/>
          <w:kern w:val="2"/>
          <w:sz w:val="32"/>
          <w:szCs w:val="32"/>
          <w:lang w:eastAsia="zh-CN" w:bidi="ar-SA"/>
        </w:rPr>
        <w:t>2026年4月3日</w:t>
      </w:r>
    </w:p>
    <w:p>
      <w:pPr>
        <w:spacing w:line="576" w:lineRule="exact"/>
        <w:ind w:firstLine="1760" w:firstLineChars="400"/>
        <w:rPr>
          <w:rFonts w:ascii="黑体" w:hAnsi="黑体" w:eastAsia="黑体"/>
          <w:sz w:val="44"/>
          <w:szCs w:val="44"/>
        </w:rPr>
      </w:pPr>
    </w:p>
    <w:p>
      <w:pPr>
        <w:spacing w:line="576" w:lineRule="exact"/>
        <w:ind w:firstLine="1760" w:firstLineChars="400"/>
        <w:rPr>
          <w:rFonts w:ascii="黑体" w:hAnsi="黑体" w:eastAsia="黑体"/>
          <w:sz w:val="44"/>
          <w:szCs w:val="44"/>
        </w:rPr>
      </w:pPr>
    </w:p>
    <w:p>
      <w:pPr>
        <w:spacing w:line="576" w:lineRule="exact"/>
        <w:ind w:firstLine="1760" w:firstLineChars="400"/>
        <w:rPr>
          <w:rFonts w:ascii="黑体" w:hAnsi="黑体" w:eastAsia="黑体"/>
          <w:sz w:val="44"/>
          <w:szCs w:val="44"/>
        </w:rPr>
      </w:pPr>
    </w:p>
    <w:p>
      <w:pPr>
        <w:spacing w:line="576" w:lineRule="exact"/>
        <w:ind w:firstLine="1760" w:firstLineChars="400"/>
        <w:rPr>
          <w:rFonts w:ascii="黑体" w:hAnsi="黑体" w:eastAsia="黑体"/>
          <w:sz w:val="44"/>
          <w:szCs w:val="44"/>
        </w:rPr>
      </w:pPr>
    </w:p>
    <w:p>
      <w:pPr>
        <w:spacing w:line="576" w:lineRule="exact"/>
        <w:ind w:firstLine="1760" w:firstLineChars="400"/>
        <w:rPr>
          <w:rFonts w:ascii="黑体" w:hAnsi="黑体" w:eastAsia="黑体"/>
          <w:sz w:val="44"/>
          <w:szCs w:val="44"/>
        </w:rPr>
      </w:pPr>
    </w:p>
    <w:p>
      <w:pPr>
        <w:spacing w:line="576" w:lineRule="exact"/>
        <w:ind w:firstLine="1760" w:firstLineChars="400"/>
        <w:rPr>
          <w:rFonts w:ascii="黑体" w:hAnsi="黑体" w:eastAsia="黑体"/>
          <w:sz w:val="44"/>
          <w:szCs w:val="44"/>
        </w:rPr>
      </w:pPr>
    </w:p>
    <w:p>
      <w:pPr>
        <w:spacing w:line="576" w:lineRule="exact"/>
        <w:ind w:firstLine="1760" w:firstLineChars="400"/>
        <w:rPr>
          <w:rFonts w:ascii="黑体" w:hAnsi="黑体" w:eastAsia="黑体"/>
          <w:sz w:val="44"/>
          <w:szCs w:val="44"/>
        </w:rPr>
      </w:pPr>
    </w:p>
    <w:p>
      <w:pPr>
        <w:spacing w:line="576" w:lineRule="exact"/>
        <w:ind w:firstLine="1760" w:firstLineChars="400"/>
        <w:rPr>
          <w:rFonts w:ascii="黑体" w:hAnsi="黑体" w:eastAsia="黑体"/>
          <w:sz w:val="44"/>
          <w:szCs w:val="44"/>
        </w:rPr>
      </w:pPr>
    </w:p>
    <w:p>
      <w:pPr>
        <w:spacing w:line="576" w:lineRule="exact"/>
        <w:ind w:firstLine="0"/>
        <w:rPr>
          <w:rFonts w:hint="eastAsia" w:ascii="黑体" w:hAnsi="黑体" w:eastAsia="黑体"/>
          <w:sz w:val="44"/>
          <w:szCs w:val="44"/>
          <w:lang w:eastAsia="zh-CN"/>
        </w:rPr>
      </w:pPr>
    </w:p>
    <w:p>
      <w:pPr>
        <w:widowControl w:val="0"/>
        <w:spacing w:line="576" w:lineRule="exact"/>
        <w:ind w:firstLine="0"/>
        <w:jc w:val="center"/>
        <w:rPr>
          <w:rFonts w:ascii="方正小标宋简体" w:hAnsi="方正小标宋简体" w:eastAsia="方正小标宋简体" w:cs="方正小标宋简体"/>
          <w:kern w:val="2"/>
          <w:sz w:val="44"/>
          <w:szCs w:val="44"/>
          <w:lang w:eastAsia="zh-CN" w:bidi="ar-SA"/>
        </w:rPr>
      </w:pPr>
      <w:r>
        <w:rPr>
          <w:rFonts w:hint="eastAsia" w:ascii="方正小标宋简体" w:hAnsi="方正小标宋简体" w:eastAsia="方正小标宋简体" w:cs="方正小标宋简体"/>
          <w:kern w:val="2"/>
          <w:sz w:val="44"/>
          <w:szCs w:val="44"/>
          <w:lang w:eastAsia="zh-CN" w:bidi="ar-SA"/>
        </w:rPr>
        <w:t>目录</w:t>
      </w:r>
    </w:p>
    <w:p>
      <w:pPr>
        <w:widowControl w:val="0"/>
        <w:spacing w:line="576" w:lineRule="exact"/>
        <w:ind w:firstLine="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一、基本职能及主要工作</w:t>
      </w:r>
    </w:p>
    <w:p>
      <w:pPr>
        <w:widowControl w:val="0"/>
        <w:spacing w:line="576" w:lineRule="exact"/>
        <w:ind w:firstLine="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（一）部门职能简介</w:t>
      </w:r>
    </w:p>
    <w:p>
      <w:pPr>
        <w:widowControl w:val="0"/>
        <w:spacing w:line="576" w:lineRule="exact"/>
        <w:ind w:firstLine="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（二）2026年重点工作</w:t>
      </w:r>
    </w:p>
    <w:p>
      <w:pPr>
        <w:widowControl w:val="0"/>
        <w:spacing w:line="576" w:lineRule="exact"/>
        <w:ind w:firstLine="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二、部门预算单位构成</w:t>
      </w:r>
    </w:p>
    <w:p>
      <w:pPr>
        <w:widowControl w:val="0"/>
        <w:spacing w:line="576" w:lineRule="exact"/>
        <w:ind w:firstLine="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三、收支预算情况说明</w:t>
      </w:r>
    </w:p>
    <w:p>
      <w:pPr>
        <w:widowControl w:val="0"/>
        <w:spacing w:line="576" w:lineRule="exact"/>
        <w:ind w:firstLine="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（一）收入预算情况</w:t>
      </w:r>
    </w:p>
    <w:p>
      <w:pPr>
        <w:widowControl w:val="0"/>
        <w:spacing w:line="576" w:lineRule="exact"/>
        <w:ind w:firstLine="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（二）支出预算情况</w:t>
      </w:r>
    </w:p>
    <w:p>
      <w:pPr>
        <w:widowControl w:val="0"/>
        <w:spacing w:line="576" w:lineRule="exact"/>
        <w:ind w:firstLine="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四、财政拨款收支预算情况说明</w:t>
      </w:r>
    </w:p>
    <w:p>
      <w:pPr>
        <w:widowControl w:val="0"/>
        <w:spacing w:line="576" w:lineRule="exact"/>
        <w:ind w:firstLine="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五、一般公共预算当年拨款情况说明</w:t>
      </w:r>
    </w:p>
    <w:p>
      <w:pPr>
        <w:widowControl w:val="0"/>
        <w:spacing w:line="576" w:lineRule="exact"/>
        <w:ind w:firstLine="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（一）一般公共预算当年拨款规模变化情况</w:t>
      </w:r>
    </w:p>
    <w:p>
      <w:pPr>
        <w:widowControl w:val="0"/>
        <w:spacing w:line="576" w:lineRule="exact"/>
        <w:ind w:firstLine="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（二）一般公共预算当年拨款结构情况</w:t>
      </w:r>
    </w:p>
    <w:p>
      <w:pPr>
        <w:widowControl w:val="0"/>
        <w:spacing w:line="576" w:lineRule="exact"/>
        <w:ind w:firstLine="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（三）一般公共预算当年拨款具体使用情况</w:t>
      </w:r>
    </w:p>
    <w:p>
      <w:pPr>
        <w:widowControl w:val="0"/>
        <w:spacing w:line="576" w:lineRule="exact"/>
        <w:ind w:firstLine="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六、一般公共预算基本支出情况说明</w:t>
      </w:r>
    </w:p>
    <w:p>
      <w:pPr>
        <w:widowControl w:val="0"/>
        <w:spacing w:line="576" w:lineRule="exact"/>
        <w:ind w:firstLine="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七、“三公”经费财政拨款预算安排情况说明</w:t>
      </w:r>
    </w:p>
    <w:p>
      <w:pPr>
        <w:widowControl w:val="0"/>
        <w:spacing w:line="576" w:lineRule="exact"/>
        <w:ind w:firstLine="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八、政府性基金预算支出情况说明</w:t>
      </w:r>
    </w:p>
    <w:p>
      <w:pPr>
        <w:widowControl w:val="0"/>
        <w:spacing w:line="576" w:lineRule="exact"/>
        <w:ind w:firstLine="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九、其他重要事项的情况说明</w:t>
      </w:r>
    </w:p>
    <w:p>
      <w:pPr>
        <w:widowControl w:val="0"/>
        <w:spacing w:line="576" w:lineRule="exact"/>
        <w:ind w:firstLine="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十、名词解释</w:t>
      </w:r>
    </w:p>
    <w:p>
      <w:pPr>
        <w:widowControl w:val="0"/>
        <w:spacing w:line="576" w:lineRule="exact"/>
        <w:ind w:firstLine="0"/>
        <w:jc w:val="both"/>
        <w:rPr>
          <w:rFonts w:ascii="仿宋_GB2312" w:hAnsi="仿宋_GB2312" w:eastAsia="仿宋_GB2312" w:cs="仿宋_GB2312"/>
          <w:kern w:val="2"/>
          <w:sz w:val="32"/>
          <w:szCs w:val="32"/>
          <w:lang w:eastAsia="zh-CN" w:bidi="ar-SA"/>
        </w:rPr>
      </w:pPr>
    </w:p>
    <w:p>
      <w:pPr>
        <w:pStyle w:val="8"/>
        <w:spacing w:line="576" w:lineRule="exact"/>
        <w:ind w:left="880" w:hanging="440"/>
        <w:rPr>
          <w:lang w:eastAsia="zh-CN" w:bidi="ar-SA"/>
        </w:rPr>
      </w:pPr>
    </w:p>
    <w:p>
      <w:pPr>
        <w:spacing w:line="576" w:lineRule="exact"/>
        <w:rPr>
          <w:lang w:eastAsia="zh-CN" w:bidi="ar-SA"/>
        </w:rPr>
      </w:pPr>
    </w:p>
    <w:p>
      <w:pPr>
        <w:pStyle w:val="8"/>
        <w:spacing w:line="576" w:lineRule="exact"/>
        <w:ind w:left="880" w:hanging="440"/>
        <w:rPr>
          <w:lang w:eastAsia="zh-CN" w:bidi="ar-SA"/>
        </w:rPr>
      </w:pPr>
    </w:p>
    <w:p>
      <w:pPr>
        <w:widowControl w:val="0"/>
        <w:spacing w:line="580" w:lineRule="exact"/>
        <w:ind w:firstLine="640" w:firstLineChars="200"/>
        <w:jc w:val="both"/>
        <w:rPr>
          <w:rFonts w:ascii="黑体" w:hAnsi="黑体" w:eastAsia="黑体" w:cs="黑体"/>
          <w:kern w:val="2"/>
          <w:sz w:val="32"/>
          <w:szCs w:val="32"/>
          <w:lang w:eastAsia="zh-CN" w:bidi="ar-SA"/>
        </w:rPr>
      </w:pPr>
      <w:r>
        <w:rPr>
          <w:rFonts w:hint="eastAsia" w:ascii="黑体" w:hAnsi="黑体" w:eastAsia="黑体" w:cs="黑体"/>
          <w:kern w:val="2"/>
          <w:sz w:val="32"/>
          <w:szCs w:val="32"/>
          <w:lang w:eastAsia="zh-CN" w:bidi="ar-SA"/>
        </w:rPr>
        <w:t>一、基本职能及主要工作</w:t>
      </w:r>
    </w:p>
    <w:p>
      <w:pPr>
        <w:widowControl w:val="0"/>
        <w:spacing w:line="580" w:lineRule="exact"/>
        <w:ind w:firstLine="642" w:firstLineChars="200"/>
        <w:jc w:val="both"/>
        <w:rPr>
          <w:rFonts w:ascii="楷体_GB2312" w:hAnsi="楷体_GB2312" w:eastAsia="楷体_GB2312" w:cs="楷体_GB2312"/>
          <w:b/>
          <w:bCs/>
          <w:kern w:val="2"/>
          <w:sz w:val="32"/>
          <w:szCs w:val="32"/>
          <w:lang w:eastAsia="zh-CN" w:bidi="ar-SA"/>
        </w:rPr>
      </w:pPr>
      <w:r>
        <w:rPr>
          <w:rFonts w:hint="default"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部门职能简介</w:t>
      </w:r>
    </w:p>
    <w:p>
      <w:pPr>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sz w:val="32"/>
          <w:szCs w:val="32"/>
        </w:rPr>
        <w:t>宣传贯彻中央“三农”工作方针政策和州委、州政府及县委、县政府有关决策部署，指导全县供销合作事业发展；负责研究和制定全县供销合作社发展规划并组织实施，指导服务全县供销合作社系统改革发展；履行社有资产运营指导和监督管理职责，发展社有企业，确保社有企业为农服务方向，落实社有资产保值增值和安全责任；根据授权对重要生产生活资料的经营、储备进行组织、协调和管理，指导全县供销合作社承担政府委托的公益性服务和其他任务；指导全县供销合作社开展农业生产经营服务、城乡消费品流通服务、再生资源回收利用服务和生产、供销、信用“三位一体”综合合作等业务活动；参与公益性农产品市场建设，参与国有控股的农产品批发市场的建设、运营和管护；领办创办农民专业合作社，发展基层供销合作社，更好履行为农服务职责；推进供销合作社法治建设，研究提出促进农村经济社会和行业发展的政策法规建议，维护全县供销合作社的合法权益；指导全县供销合作社开展教育培训工作；负责职责范围内的安全生产、公共机构节能减排、生态环境保护等工作；完成县委、县政府交办的其他任务。</w:t>
      </w:r>
    </w:p>
    <w:p>
      <w:pPr>
        <w:widowControl w:val="0"/>
        <w:spacing w:line="580" w:lineRule="exact"/>
        <w:ind w:firstLine="642" w:firstLineChars="200"/>
        <w:jc w:val="both"/>
        <w:rPr>
          <w:rFonts w:ascii="楷体_GB2312" w:hAnsi="楷体_GB2312" w:eastAsia="楷体_GB2312" w:cs="楷体_GB2312"/>
          <w:b/>
          <w:bCs/>
          <w:kern w:val="2"/>
          <w:sz w:val="32"/>
          <w:szCs w:val="32"/>
          <w:lang w:eastAsia="zh-CN" w:bidi="ar-SA"/>
        </w:rPr>
      </w:pPr>
      <w:r>
        <w:rPr>
          <w:rFonts w:hint="default" w:ascii="楷体_GB2312" w:hAnsi="楷体_GB2312" w:eastAsia="楷体_GB2312" w:cs="楷体_GB2312"/>
          <w:b/>
          <w:bCs/>
          <w:kern w:val="2"/>
          <w:sz w:val="32"/>
          <w:szCs w:val="32"/>
          <w:lang w:eastAsia="zh-CN" w:bidi="ar-SA"/>
        </w:rPr>
        <w:t>(二)</w:t>
      </w:r>
      <w:r>
        <w:rPr>
          <w:rFonts w:hint="eastAsia" w:ascii="楷体_GB2312" w:hAnsi="楷体_GB2312" w:eastAsia="楷体_GB2312" w:cs="楷体_GB2312"/>
          <w:b/>
          <w:bCs/>
          <w:kern w:val="2"/>
          <w:sz w:val="32"/>
          <w:szCs w:val="32"/>
          <w:lang w:eastAsia="zh-CN" w:bidi="ar-SA"/>
        </w:rPr>
        <w:t>2026年重点工作</w:t>
      </w:r>
      <w:bookmarkStart w:id="2" w:name="_GoBack"/>
      <w:bookmarkEnd w:id="2"/>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1.严格履行党组主体责任。做好深入贯彻中央八项规定精神学习教育“学查改”成果转化，扎实推进党建、党风廉政建设、意识形态、保密、法治建设、民族团结进步、档案管理等各项工作。</w:t>
      </w:r>
    </w:p>
    <w:p>
      <w:pPr>
        <w:spacing w:line="58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2.加快全面建设供销流通服务强县，在推动农业“接二连三”上主动作为。</w:t>
      </w:r>
    </w:p>
    <w:p>
      <w:pPr>
        <w:spacing w:line="58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3.加强对社有企业的指导。一方面优化传统业务，做好农资储备与供应，烟花爆竹销售和安全管理、租赁资产管理；另一方面履行好社有资产出资人职责，保障社有资产安全运营与保值增值，防范化解经营风险。</w:t>
      </w:r>
    </w:p>
    <w:p>
      <w:pPr>
        <w:spacing w:line="58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4.积极拓展社有企业业务。重点做好茂县花椒品牌建设、天府粮仓酒的业务推广、新产品开发、新媒体销售的探索，为社有企业的壮大和社有资产保值增值贡献自己的力量。</w:t>
      </w:r>
    </w:p>
    <w:p>
      <w:pPr>
        <w:spacing w:line="58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5、深化供销综合改革。优化基层社建设和深化社有企业改革，推动社有企业薪酬制度改革。优化调整茂县农村合作经济组织联合会，加强指导联系。</w:t>
      </w:r>
    </w:p>
    <w:p>
      <w:pPr>
        <w:spacing w:line="580" w:lineRule="exact"/>
        <w:ind w:firstLine="640" w:firstLineChars="200"/>
        <w:jc w:val="both"/>
        <w:rPr>
          <w:rFonts w:ascii="仿宋_GB2312" w:hAnsi="仿宋_GB2312" w:eastAsia="仿宋_GB2312" w:cs="仿宋_GB2312"/>
          <w:sz w:val="32"/>
          <w:szCs w:val="32"/>
          <w:highlight w:val="yellow"/>
        </w:rPr>
      </w:pPr>
      <w:r>
        <w:rPr>
          <w:rFonts w:hint="eastAsia" w:ascii="仿宋_GB2312" w:hAnsi="仿宋_GB2312" w:eastAsia="仿宋_GB2312" w:cs="仿宋_GB2312"/>
          <w:sz w:val="32"/>
          <w:szCs w:val="32"/>
        </w:rPr>
        <w:t>6.积极探索平湖“新仓经验”茂县新模式，发挥供销为农服务平台作用，稳步完善供销流通体系建设。</w:t>
      </w:r>
    </w:p>
    <w:p>
      <w:pPr>
        <w:widowControl w:val="0"/>
        <w:spacing w:line="580" w:lineRule="exact"/>
        <w:ind w:firstLine="640" w:firstLineChars="200"/>
        <w:jc w:val="both"/>
        <w:rPr>
          <w:rFonts w:ascii="黑体" w:hAnsi="黑体" w:eastAsia="黑体" w:cs="黑体"/>
          <w:kern w:val="2"/>
          <w:sz w:val="32"/>
          <w:szCs w:val="32"/>
          <w:lang w:eastAsia="zh-CN" w:bidi="ar-SA"/>
        </w:rPr>
      </w:pPr>
      <w:r>
        <w:rPr>
          <w:rFonts w:hint="eastAsia" w:ascii="黑体" w:hAnsi="黑体" w:eastAsia="黑体" w:cs="黑体"/>
          <w:kern w:val="2"/>
          <w:sz w:val="32"/>
          <w:szCs w:val="32"/>
          <w:lang w:eastAsia="zh-CN" w:bidi="ar-SA"/>
        </w:rPr>
        <w:t>二、部门预算单位构成</w:t>
      </w:r>
    </w:p>
    <w:p>
      <w:pPr>
        <w:widowControl w:val="0"/>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茂县供销合作社联合社属一级预算单位，下属二级预算单位0个，其中：参照公务员法管理的事业单位0个，其他事业单位0个。</w:t>
      </w:r>
    </w:p>
    <w:p>
      <w:pPr>
        <w:widowControl w:val="0"/>
        <w:spacing w:line="580" w:lineRule="exact"/>
        <w:ind w:firstLine="640" w:firstLineChars="200"/>
        <w:jc w:val="both"/>
        <w:rPr>
          <w:rFonts w:ascii="黑体" w:hAnsi="黑体" w:eastAsia="黑体" w:cs="黑体"/>
          <w:kern w:val="2"/>
          <w:sz w:val="32"/>
          <w:szCs w:val="32"/>
          <w:lang w:eastAsia="zh-CN" w:bidi="ar-SA"/>
        </w:rPr>
      </w:pPr>
      <w:r>
        <w:rPr>
          <w:rFonts w:hint="eastAsia" w:ascii="黑体" w:hAnsi="黑体" w:eastAsia="黑体" w:cs="黑体"/>
          <w:kern w:val="2"/>
          <w:sz w:val="32"/>
          <w:szCs w:val="32"/>
          <w:lang w:eastAsia="zh-CN" w:bidi="ar-SA"/>
        </w:rPr>
        <w:t>三、收支预算情况说明</w:t>
      </w:r>
    </w:p>
    <w:p>
      <w:pPr>
        <w:widowControl w:val="0"/>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茂县供销合作社联合社所有收入和支出均纳入部门预算管理。收入包括：一般公共预算拨款收入2231668.70元；支出包括：商业服务业支出1596963.90元，社会保障和就业支出311105.28元，卫生健康支出157615.52元，住房保障支出165984.00元，农林水支出0元。茂县供销合作社联合社2026年收支总预算2231668.70元,较2025年收支预算总数增加了709646.58元，</w:t>
      </w:r>
      <w:bookmarkStart w:id="0" w:name="OLE_LINK2"/>
      <w:bookmarkStart w:id="1" w:name="OLE_LINK1"/>
      <w:r>
        <w:rPr>
          <w:rFonts w:hint="eastAsia" w:ascii="仿宋_GB2312" w:hAnsi="仿宋_GB2312" w:eastAsia="仿宋_GB2312" w:cs="仿宋_GB2312"/>
          <w:kern w:val="2"/>
          <w:sz w:val="32"/>
          <w:szCs w:val="32"/>
          <w:lang w:eastAsia="zh-CN" w:bidi="ar-SA"/>
        </w:rPr>
        <w:t>主要原因是:人员增加，经费增加。</w:t>
      </w:r>
      <w:bookmarkEnd w:id="0"/>
      <w:bookmarkEnd w:id="1"/>
    </w:p>
    <w:p>
      <w:pPr>
        <w:widowControl w:val="0"/>
        <w:spacing w:line="580" w:lineRule="exact"/>
        <w:ind w:firstLine="642" w:firstLineChars="200"/>
        <w:jc w:val="both"/>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（一）收入预算情况</w:t>
      </w:r>
    </w:p>
    <w:p>
      <w:pPr>
        <w:widowControl w:val="0"/>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2026年收入预算2231668.70元；一般公共预算拨款收入2231668.70元，占100%。</w:t>
      </w:r>
    </w:p>
    <w:p>
      <w:pPr>
        <w:widowControl w:val="0"/>
        <w:spacing w:line="580" w:lineRule="exact"/>
        <w:ind w:firstLine="642" w:firstLineChars="200"/>
        <w:jc w:val="both"/>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（二）支出预算情况</w:t>
      </w:r>
    </w:p>
    <w:p>
      <w:pPr>
        <w:widowControl w:val="0"/>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2026年支出预算2231668.70元，其中：基本支出2231668.70元，占100%。</w:t>
      </w:r>
    </w:p>
    <w:p>
      <w:pPr>
        <w:widowControl w:val="0"/>
        <w:spacing w:line="580" w:lineRule="exact"/>
        <w:ind w:firstLine="640" w:firstLineChars="200"/>
        <w:jc w:val="both"/>
        <w:rPr>
          <w:rFonts w:ascii="黑体" w:hAnsi="黑体" w:eastAsia="黑体" w:cs="黑体"/>
          <w:kern w:val="2"/>
          <w:sz w:val="32"/>
          <w:szCs w:val="32"/>
          <w:lang w:eastAsia="zh-CN" w:bidi="ar-SA"/>
        </w:rPr>
      </w:pPr>
      <w:r>
        <w:rPr>
          <w:rFonts w:hint="eastAsia" w:ascii="黑体" w:hAnsi="黑体" w:eastAsia="黑体" w:cs="黑体"/>
          <w:kern w:val="2"/>
          <w:sz w:val="32"/>
          <w:szCs w:val="32"/>
          <w:lang w:eastAsia="zh-CN" w:bidi="ar-SA"/>
        </w:rPr>
        <w:t>四、财政拨款收支预算情况说明</w:t>
      </w:r>
    </w:p>
    <w:p>
      <w:pPr>
        <w:widowControl w:val="0"/>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2026年财政拨款收支总预算2231668.70元,较2025年收支预算总数增加了709646.58元，主要原因是:人员增加，经费增加。</w:t>
      </w:r>
    </w:p>
    <w:p>
      <w:pPr>
        <w:widowControl w:val="0"/>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收入包括：本年一般公共预算拨款收入2231668.70元。</w:t>
      </w:r>
    </w:p>
    <w:p>
      <w:pPr>
        <w:widowControl w:val="0"/>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支出包括：商业服务业支出1596963.90元，社会保障和就业支出311105.28元，卫生健康支出157615.52元，住房保障支出165984.00元，农林水支出0元。</w:t>
      </w:r>
    </w:p>
    <w:p>
      <w:pPr>
        <w:widowControl w:val="0"/>
        <w:spacing w:line="580" w:lineRule="exact"/>
        <w:ind w:firstLine="640" w:firstLineChars="200"/>
        <w:jc w:val="both"/>
        <w:rPr>
          <w:rFonts w:ascii="黑体" w:hAnsi="黑体" w:eastAsia="黑体" w:cs="黑体"/>
          <w:kern w:val="2"/>
          <w:sz w:val="32"/>
          <w:szCs w:val="32"/>
          <w:lang w:eastAsia="zh-CN" w:bidi="ar-SA"/>
        </w:rPr>
      </w:pPr>
      <w:r>
        <w:rPr>
          <w:rFonts w:hint="eastAsia" w:ascii="黑体" w:hAnsi="黑体" w:eastAsia="黑体" w:cs="黑体"/>
          <w:kern w:val="2"/>
          <w:sz w:val="32"/>
          <w:szCs w:val="32"/>
          <w:lang w:eastAsia="zh-CN" w:bidi="ar-SA"/>
        </w:rPr>
        <w:t>五、一般公共预算当年拨款情况说明</w:t>
      </w:r>
    </w:p>
    <w:p>
      <w:pPr>
        <w:widowControl w:val="0"/>
        <w:spacing w:line="580" w:lineRule="exact"/>
        <w:ind w:firstLine="642" w:firstLineChars="200"/>
        <w:jc w:val="both"/>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（一）一般公共预算当年拨款规模变化情况</w:t>
      </w:r>
    </w:p>
    <w:p>
      <w:pPr>
        <w:widowControl w:val="0"/>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2026年一般公共预算当年拨款2231668.70元,较2025年预算总数增加了709646.58元，主要原因是:人员增加，经费增加。</w:t>
      </w:r>
    </w:p>
    <w:p>
      <w:pPr>
        <w:widowControl w:val="0"/>
        <w:spacing w:line="580" w:lineRule="exact"/>
        <w:ind w:firstLine="642" w:firstLineChars="200"/>
        <w:jc w:val="both"/>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（二）一般公共预算当年拨款结构情况</w:t>
      </w:r>
    </w:p>
    <w:p>
      <w:pPr>
        <w:widowControl w:val="0"/>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商业服务业支出1596963.90元，占71.56%；社会保障和就业支出311105.28元，占13.94%；卫生健康支出157615.52元，占7.06%；住房保障支出165984.00元，占7.44%，农林水支出0元，占0%。</w:t>
      </w:r>
    </w:p>
    <w:p>
      <w:pPr>
        <w:widowControl w:val="0"/>
        <w:spacing w:line="580" w:lineRule="exact"/>
        <w:ind w:firstLine="642" w:firstLineChars="200"/>
        <w:jc w:val="both"/>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（三）一般公共预算当年拨款具体使用情况</w:t>
      </w:r>
    </w:p>
    <w:p>
      <w:pPr>
        <w:widowControl w:val="0"/>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1.社会保障和就业支出（208）行政事业单位养老支出（05）机关事业单位基本养老保险缴费支出（05）2026年预算数为207403.52元，主要用于：单位缴纳基本养老保险费。</w:t>
      </w:r>
    </w:p>
    <w:p>
      <w:pPr>
        <w:widowControl w:val="0"/>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2.社会保障和就业支出（208）行政事业单位养老支出（05）机关事业单位职业年金缴费支出（06）2026年预算数为103701.76元，主要用于：单位缴纳职业年金。</w:t>
      </w:r>
    </w:p>
    <w:p>
      <w:pPr>
        <w:widowControl w:val="0"/>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3.卫生健康支出（210）行政事业单位医疗（11）行政单位医疗（01）2026年预算数为157615.52元，主要用于：行政单位缴纳基本医疗保险、公务员医疗补助缴费、其他社会保障缴费。</w:t>
      </w:r>
    </w:p>
    <w:p>
      <w:pPr>
        <w:widowControl w:val="0"/>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4.住房保障支出（221）住房改革支出（02）住房公积金（01）2026年预算数为165984.00元，主要用于：单位为职工缴纳住房公积金。</w:t>
      </w:r>
    </w:p>
    <w:p>
      <w:pPr>
        <w:widowControl w:val="0"/>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5.商业服务业等支出（216）商业流通事务（02）行政运行（01）2026年预算数为1596963.90元，主要用于：单位日常经费及工资福利支出。</w:t>
      </w:r>
    </w:p>
    <w:p>
      <w:pPr>
        <w:widowControl w:val="0"/>
        <w:spacing w:line="580" w:lineRule="exact"/>
        <w:ind w:firstLine="640" w:firstLineChars="200"/>
        <w:jc w:val="both"/>
        <w:rPr>
          <w:rFonts w:ascii="黑体" w:hAnsi="黑体" w:eastAsia="黑体" w:cs="黑体"/>
          <w:kern w:val="2"/>
          <w:sz w:val="32"/>
          <w:szCs w:val="32"/>
          <w:lang w:eastAsia="zh-CN" w:bidi="ar-SA"/>
        </w:rPr>
      </w:pPr>
      <w:r>
        <w:rPr>
          <w:rFonts w:hint="eastAsia" w:ascii="黑体" w:hAnsi="黑体" w:eastAsia="黑体" w:cs="黑体"/>
          <w:kern w:val="2"/>
          <w:sz w:val="32"/>
          <w:szCs w:val="32"/>
          <w:lang w:eastAsia="zh-CN" w:bidi="ar-SA"/>
        </w:rPr>
        <w:t>六、一般公共预算基本支出情况说明</w:t>
      </w:r>
    </w:p>
    <w:p>
      <w:pPr>
        <w:widowControl w:val="0"/>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茂县供销合作社联合社2026年一般公共预算基本支出2231668.70元，其中：人员经费2094418.40元，主要包括：基本工资、津贴补贴、奖金、其他社会保障缴费、绩效工资、机关事业单位基本养老保险缴费、职业年金缴费、其他工资福利支出、离休费、奖励金、住房公积金、其他对个人和家庭的补助支出。公用经费137250.30元，主要包括：办公费、印刷费、手续费、水费、电费、邮电费、差旅费、公务接待费、公务用车运行维护费、维修（护）费、租赁费、会议费、培训费、劳务费、工会经费、福利费、其他交通费用、其他商品和服务支出。</w:t>
      </w:r>
    </w:p>
    <w:p>
      <w:pPr>
        <w:widowControl w:val="0"/>
        <w:spacing w:line="580" w:lineRule="exact"/>
        <w:ind w:firstLine="640" w:firstLineChars="200"/>
        <w:jc w:val="both"/>
        <w:rPr>
          <w:rFonts w:ascii="黑体" w:hAnsi="黑体" w:eastAsia="黑体" w:cs="黑体"/>
          <w:kern w:val="2"/>
          <w:sz w:val="32"/>
          <w:szCs w:val="32"/>
          <w:lang w:eastAsia="zh-CN" w:bidi="ar-SA"/>
        </w:rPr>
      </w:pPr>
      <w:r>
        <w:rPr>
          <w:rFonts w:hint="eastAsia" w:ascii="黑体" w:hAnsi="黑体" w:eastAsia="黑体" w:cs="黑体"/>
          <w:kern w:val="2"/>
          <w:sz w:val="32"/>
          <w:szCs w:val="32"/>
          <w:lang w:eastAsia="zh-CN" w:bidi="ar-SA"/>
        </w:rPr>
        <w:t>七、“三公”经费财政拨款预算安排情况说明</w:t>
      </w:r>
    </w:p>
    <w:p>
      <w:pPr>
        <w:widowControl w:val="0"/>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茂县供销合作社联合社2026年“三公”经费财政拨款预算数1260.00元，其中：因公出国（境）经费0元，公务接待费1260.00元，公务用车购置及运行维护费0元。</w:t>
      </w:r>
    </w:p>
    <w:p>
      <w:pPr>
        <w:widowControl w:val="0"/>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（一）2026年无因公出国（境）经费。</w:t>
      </w:r>
    </w:p>
    <w:p>
      <w:pPr>
        <w:widowControl w:val="0"/>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（二）2026年公务接待费1260.00元，较2025年持平。</w:t>
      </w:r>
    </w:p>
    <w:p>
      <w:pPr>
        <w:widowControl w:val="0"/>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（三）2026年公务用车购置及运行维护费0元。</w:t>
      </w:r>
    </w:p>
    <w:p>
      <w:pPr>
        <w:widowControl w:val="0"/>
        <w:spacing w:line="580" w:lineRule="exact"/>
        <w:ind w:firstLine="640" w:firstLineChars="200"/>
        <w:jc w:val="both"/>
        <w:rPr>
          <w:rFonts w:ascii="黑体" w:hAnsi="黑体" w:eastAsia="黑体" w:cs="黑体"/>
          <w:kern w:val="2"/>
          <w:sz w:val="32"/>
          <w:szCs w:val="32"/>
          <w:lang w:eastAsia="zh-CN" w:bidi="ar-SA"/>
        </w:rPr>
      </w:pPr>
      <w:r>
        <w:rPr>
          <w:rFonts w:hint="eastAsia" w:ascii="黑体" w:hAnsi="黑体" w:eastAsia="黑体" w:cs="黑体"/>
          <w:kern w:val="2"/>
          <w:sz w:val="32"/>
          <w:szCs w:val="32"/>
          <w:lang w:eastAsia="zh-CN" w:bidi="ar-SA"/>
        </w:rPr>
        <w:t>八、政府性基金预算支出情况说明</w:t>
      </w:r>
    </w:p>
    <w:p>
      <w:pPr>
        <w:widowControl w:val="0"/>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2026年无政府性基金预算拨款安排的支出。</w:t>
      </w:r>
    </w:p>
    <w:p>
      <w:pPr>
        <w:widowControl w:val="0"/>
        <w:spacing w:line="580" w:lineRule="exact"/>
        <w:ind w:firstLine="640" w:firstLineChars="200"/>
        <w:jc w:val="both"/>
        <w:rPr>
          <w:rFonts w:ascii="黑体" w:hAnsi="黑体" w:eastAsia="黑体" w:cs="黑体"/>
          <w:kern w:val="2"/>
          <w:sz w:val="32"/>
          <w:szCs w:val="32"/>
          <w:lang w:eastAsia="zh-CN" w:bidi="ar-SA"/>
        </w:rPr>
      </w:pPr>
      <w:r>
        <w:rPr>
          <w:rFonts w:hint="eastAsia" w:ascii="黑体" w:hAnsi="黑体" w:eastAsia="黑体" w:cs="黑体"/>
          <w:kern w:val="2"/>
          <w:sz w:val="32"/>
          <w:szCs w:val="32"/>
          <w:lang w:eastAsia="zh-CN" w:bidi="ar-SA"/>
        </w:rPr>
        <w:t>九、其他重要事项的情况说明</w:t>
      </w:r>
    </w:p>
    <w:p>
      <w:pPr>
        <w:widowControl w:val="0"/>
        <w:spacing w:line="580" w:lineRule="exact"/>
        <w:ind w:firstLine="642" w:firstLineChars="200"/>
        <w:jc w:val="both"/>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（一）机关运行经费</w:t>
      </w:r>
    </w:p>
    <w:p>
      <w:pPr>
        <w:widowControl w:val="0"/>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2026年机关运行经费财政拨款预算为137250.30元，较2025年增加了42135.68元，主要原因是：人员增加，公用经费增加。</w:t>
      </w:r>
    </w:p>
    <w:p>
      <w:pPr>
        <w:widowControl w:val="0"/>
        <w:spacing w:line="580" w:lineRule="exact"/>
        <w:ind w:firstLine="642" w:firstLineChars="200"/>
        <w:jc w:val="both"/>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（二）政府采购情况</w:t>
      </w:r>
    </w:p>
    <w:p>
      <w:pPr>
        <w:widowControl w:val="0"/>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2026年，未安排政府采购预算。</w:t>
      </w:r>
    </w:p>
    <w:p>
      <w:pPr>
        <w:widowControl w:val="0"/>
        <w:spacing w:line="580" w:lineRule="exact"/>
        <w:ind w:firstLine="642" w:firstLineChars="200"/>
        <w:jc w:val="both"/>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（三）国有资产占有使用情况</w:t>
      </w:r>
    </w:p>
    <w:p>
      <w:pPr>
        <w:widowControl w:val="0"/>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截至2025年12月31日，固定资产总额969363.89元，其中：其他固定资产969363.89元。</w:t>
      </w:r>
    </w:p>
    <w:p>
      <w:pPr>
        <w:widowControl w:val="0"/>
        <w:spacing w:line="580" w:lineRule="exact"/>
        <w:ind w:firstLine="642" w:firstLineChars="200"/>
        <w:jc w:val="both"/>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（四）绩效目标设置情况</w:t>
      </w:r>
    </w:p>
    <w:p>
      <w:pPr>
        <w:widowControl w:val="0"/>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2026年茂县供销合作社联合社项目支出均按要求实行绩效目标管理，涉及项目0个，一般公共预算当年拨款0元。</w:t>
      </w:r>
    </w:p>
    <w:p>
      <w:pPr>
        <w:widowControl w:val="0"/>
        <w:spacing w:line="580" w:lineRule="exact"/>
        <w:ind w:firstLine="640" w:firstLineChars="200"/>
        <w:jc w:val="both"/>
        <w:rPr>
          <w:rFonts w:ascii="黑体" w:hAnsi="黑体" w:eastAsia="黑体" w:cs="黑体"/>
          <w:kern w:val="2"/>
          <w:sz w:val="32"/>
          <w:szCs w:val="32"/>
          <w:lang w:eastAsia="zh-CN" w:bidi="ar-SA"/>
        </w:rPr>
      </w:pPr>
      <w:r>
        <w:rPr>
          <w:rFonts w:hint="eastAsia" w:ascii="黑体" w:hAnsi="黑体" w:eastAsia="黑体" w:cs="黑体"/>
          <w:kern w:val="2"/>
          <w:sz w:val="32"/>
          <w:szCs w:val="32"/>
          <w:lang w:eastAsia="zh-CN" w:bidi="ar-SA"/>
        </w:rPr>
        <w:t>十、名词解释</w:t>
      </w:r>
    </w:p>
    <w:p>
      <w:pPr>
        <w:widowControl w:val="0"/>
        <w:spacing w:line="580" w:lineRule="exact"/>
        <w:ind w:firstLine="642" w:firstLineChars="200"/>
        <w:jc w:val="both"/>
        <w:rPr>
          <w:rFonts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（一）财政拨款收入：</w:t>
      </w:r>
      <w:r>
        <w:rPr>
          <w:rFonts w:hint="eastAsia" w:ascii="仿宋_GB2312" w:hAnsi="仿宋_GB2312" w:eastAsia="仿宋_GB2312" w:cs="仿宋_GB2312"/>
          <w:kern w:val="2"/>
          <w:sz w:val="32"/>
          <w:szCs w:val="32"/>
          <w:lang w:eastAsia="zh-CN" w:bidi="ar-SA"/>
        </w:rPr>
        <w:t>指由财政拨款形成的部门收入。按现行管理制度，部门预算中反映的财政拨款仅包括一般公共预算拨款和政府性基金预算拨款。</w:t>
      </w:r>
    </w:p>
    <w:p>
      <w:pPr>
        <w:widowControl w:val="0"/>
        <w:spacing w:line="580" w:lineRule="exact"/>
        <w:ind w:firstLine="642" w:firstLineChars="200"/>
        <w:jc w:val="both"/>
        <w:rPr>
          <w:rFonts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（二）事业收入：</w:t>
      </w:r>
      <w:r>
        <w:rPr>
          <w:rFonts w:hint="eastAsia" w:ascii="仿宋_GB2312" w:hAnsi="仿宋_GB2312" w:eastAsia="仿宋_GB2312" w:cs="仿宋_GB2312"/>
          <w:kern w:val="2"/>
          <w:sz w:val="32"/>
          <w:szCs w:val="32"/>
          <w:lang w:eastAsia="zh-CN" w:bidi="ar-SA"/>
        </w:rPr>
        <w:t>指所属事业单位开展专业业务活动及辅助活动所取得的收入。</w:t>
      </w:r>
    </w:p>
    <w:p>
      <w:pPr>
        <w:widowControl w:val="0"/>
        <w:spacing w:line="580" w:lineRule="exact"/>
        <w:ind w:firstLine="642" w:firstLineChars="200"/>
        <w:jc w:val="both"/>
        <w:rPr>
          <w:rFonts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（三）事业单位经营收入：</w:t>
      </w:r>
      <w:r>
        <w:rPr>
          <w:rFonts w:hint="eastAsia" w:ascii="仿宋_GB2312" w:hAnsi="仿宋_GB2312" w:eastAsia="仿宋_GB2312" w:cs="仿宋_GB2312"/>
          <w:kern w:val="2"/>
          <w:sz w:val="32"/>
          <w:szCs w:val="32"/>
          <w:lang w:eastAsia="zh-CN" w:bidi="ar-SA"/>
        </w:rPr>
        <w:t>指所属事业单位在专业业务活动及其辅助活动之外开展非独立核算经营活动取得的收入。</w:t>
      </w:r>
    </w:p>
    <w:p>
      <w:pPr>
        <w:widowControl w:val="0"/>
        <w:spacing w:line="580" w:lineRule="exact"/>
        <w:ind w:firstLine="640" w:firstLineChars="200"/>
        <w:jc w:val="both"/>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w:t>
      </w:r>
      <w:r>
        <w:rPr>
          <w:rFonts w:hint="eastAsia" w:ascii="楷体_GB2312" w:hAnsi="楷体_GB2312" w:eastAsia="楷体_GB2312" w:cs="楷体_GB2312"/>
          <w:b/>
          <w:bCs/>
          <w:kern w:val="2"/>
          <w:sz w:val="32"/>
          <w:szCs w:val="32"/>
          <w:lang w:eastAsia="zh-CN" w:bidi="ar-SA"/>
        </w:rPr>
        <w:t>四）其他收入：</w:t>
      </w:r>
      <w:r>
        <w:rPr>
          <w:rFonts w:hint="eastAsia" w:ascii="仿宋_GB2312" w:hAnsi="仿宋_GB2312" w:eastAsia="仿宋_GB2312" w:cs="仿宋_GB2312"/>
          <w:kern w:val="2"/>
          <w:sz w:val="32"/>
          <w:szCs w:val="32"/>
          <w:lang w:eastAsia="zh-CN" w:bidi="ar-SA"/>
        </w:rPr>
        <w:t>指除上述“财政拨款收入”、“事业收入”、“事业单位经营收入”等以外的收入，主要是所属行政事业单位按规定动用的售房收入、存款利息收入等。</w:t>
      </w:r>
    </w:p>
    <w:p>
      <w:pPr>
        <w:widowControl w:val="0"/>
        <w:spacing w:line="580" w:lineRule="exact"/>
        <w:ind w:firstLine="642" w:firstLineChars="200"/>
        <w:jc w:val="both"/>
        <w:rPr>
          <w:rFonts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（五）用事业基金弥补收支差额：</w:t>
      </w:r>
      <w:r>
        <w:rPr>
          <w:rFonts w:hint="eastAsia" w:ascii="仿宋_GB2312" w:hAnsi="仿宋_GB2312" w:eastAsia="仿宋_GB2312" w:cs="仿宋_GB2312"/>
          <w:kern w:val="2"/>
          <w:sz w:val="32"/>
          <w:szCs w:val="32"/>
          <w:lang w:eastAsia="zh-CN" w:bidi="ar-SA"/>
        </w:rPr>
        <w:t>指所属事业单位在预计用当年的“财政拨款收入”、“事业收入”、“事业单位经营收入”、“其他收入”不足以安排当年支出的情况下，使用以前年度积累的事业基金弥补本年度收支缺口的资金。</w:t>
      </w:r>
    </w:p>
    <w:p>
      <w:pPr>
        <w:widowControl w:val="0"/>
        <w:spacing w:line="580" w:lineRule="exact"/>
        <w:ind w:firstLine="642" w:firstLineChars="200"/>
        <w:jc w:val="both"/>
        <w:rPr>
          <w:rFonts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（六）上年结转：</w:t>
      </w:r>
      <w:r>
        <w:rPr>
          <w:rFonts w:hint="eastAsia" w:ascii="仿宋_GB2312" w:hAnsi="仿宋_GB2312" w:eastAsia="仿宋_GB2312" w:cs="仿宋_GB2312"/>
          <w:kern w:val="2"/>
          <w:sz w:val="32"/>
          <w:szCs w:val="32"/>
          <w:lang w:eastAsia="zh-CN" w:bidi="ar-SA"/>
        </w:rPr>
        <w:t>指所属行政事业单位以前年度尚未完成、结转至本年按原规定用途继续使用的资金和以前年度已完成项目剩余资金经批准用于新用途使用的资金。</w:t>
      </w:r>
    </w:p>
    <w:p>
      <w:pPr>
        <w:widowControl w:val="0"/>
        <w:spacing w:line="580" w:lineRule="exact"/>
        <w:ind w:firstLine="642" w:firstLineChars="200"/>
        <w:jc w:val="both"/>
        <w:rPr>
          <w:rFonts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（七）基本支出：</w:t>
      </w:r>
      <w:r>
        <w:rPr>
          <w:rFonts w:hint="eastAsia" w:ascii="仿宋_GB2312" w:hAnsi="仿宋_GB2312" w:eastAsia="仿宋_GB2312" w:cs="仿宋_GB2312"/>
          <w:kern w:val="2"/>
          <w:sz w:val="32"/>
          <w:szCs w:val="32"/>
          <w:lang w:eastAsia="zh-CN" w:bidi="ar-SA"/>
        </w:rPr>
        <w:t>指为保证机构正常运转，完成日常工作任务而发生的人员支出和公用支出。</w:t>
      </w:r>
    </w:p>
    <w:p>
      <w:pPr>
        <w:widowControl w:val="0"/>
        <w:spacing w:line="580" w:lineRule="exact"/>
        <w:ind w:firstLine="642" w:firstLineChars="200"/>
        <w:jc w:val="both"/>
        <w:rPr>
          <w:rFonts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（八）项目支出：</w:t>
      </w:r>
      <w:r>
        <w:rPr>
          <w:rFonts w:hint="eastAsia" w:ascii="仿宋_GB2312" w:hAnsi="仿宋_GB2312" w:eastAsia="仿宋_GB2312" w:cs="仿宋_GB2312"/>
          <w:kern w:val="2"/>
          <w:sz w:val="32"/>
          <w:szCs w:val="32"/>
          <w:lang w:eastAsia="zh-CN" w:bidi="ar-SA"/>
        </w:rPr>
        <w:t>指在基本支出之外为完成特定行政任务和事业发展目标所发生的支出。</w:t>
      </w:r>
    </w:p>
    <w:p>
      <w:pPr>
        <w:widowControl w:val="0"/>
        <w:spacing w:line="580" w:lineRule="exact"/>
        <w:ind w:firstLine="642" w:firstLineChars="200"/>
        <w:jc w:val="both"/>
        <w:rPr>
          <w:rFonts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（九）“三公”经费：</w:t>
      </w:r>
      <w:r>
        <w:rPr>
          <w:rFonts w:hint="eastAsia" w:ascii="仿宋_GB2312" w:hAnsi="仿宋_GB2312" w:eastAsia="仿宋_GB2312" w:cs="仿宋_GB2312"/>
          <w:kern w:val="2"/>
          <w:sz w:val="32"/>
          <w:szCs w:val="32"/>
          <w:lang w:eastAsia="zh-CN" w:bidi="ar-SA"/>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Style w:val="4"/>
        <w:spacing w:line="580" w:lineRule="exact"/>
        <w:ind w:left="440" w:firstLine="640"/>
        <w:rPr>
          <w:rFonts w:ascii="仿宋_GB2312" w:hAnsi="仿宋_GB2312" w:eastAsia="仿宋_GB2312" w:cs="仿宋_GB2312"/>
          <w:kern w:val="2"/>
          <w:sz w:val="32"/>
          <w:szCs w:val="32"/>
          <w:lang w:eastAsia="zh-CN" w:bidi="ar-SA"/>
        </w:rPr>
      </w:pPr>
    </w:p>
    <w:p>
      <w:pPr>
        <w:spacing w:line="580" w:lineRule="exact"/>
        <w:rPr>
          <w:rFonts w:ascii="仿宋_GB2312" w:hAnsi="仿宋_GB2312" w:eastAsia="仿宋_GB2312" w:cs="仿宋_GB2312"/>
          <w:kern w:val="2"/>
          <w:sz w:val="32"/>
          <w:szCs w:val="32"/>
          <w:lang w:eastAsia="zh-CN" w:bidi="ar-SA"/>
        </w:rPr>
      </w:pPr>
    </w:p>
    <w:p>
      <w:pPr>
        <w:pStyle w:val="4"/>
        <w:spacing w:line="580" w:lineRule="exact"/>
        <w:ind w:left="440" w:firstLine="640"/>
        <w:rPr>
          <w:rFonts w:ascii="仿宋_GB2312" w:hAnsi="仿宋_GB2312" w:eastAsia="仿宋_GB2312" w:cs="仿宋_GB2312"/>
          <w:kern w:val="2"/>
          <w:sz w:val="32"/>
          <w:szCs w:val="32"/>
          <w:lang w:eastAsia="zh-CN" w:bidi="ar-SA"/>
        </w:rPr>
      </w:pPr>
    </w:p>
    <w:p>
      <w:pPr>
        <w:pStyle w:val="4"/>
        <w:spacing w:line="580" w:lineRule="exact"/>
        <w:ind w:left="0" w:leftChars="0" w:firstLine="0" w:firstLineChars="0"/>
        <w:rPr>
          <w:lang w:eastAsia="zh-CN"/>
        </w:rPr>
      </w:pPr>
    </w:p>
    <w:p>
      <w:pPr>
        <w:pStyle w:val="4"/>
        <w:spacing w:line="580" w:lineRule="exact"/>
        <w:ind w:left="440" w:firstLine="640"/>
        <w:rPr>
          <w:rFonts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 xml:space="preserve">                          茂县供销合作社联合社</w:t>
      </w:r>
    </w:p>
    <w:p>
      <w:pPr>
        <w:spacing w:line="580" w:lineRule="exact"/>
        <w:rPr>
          <w:lang w:eastAsia="zh-CN"/>
        </w:rPr>
      </w:pPr>
      <w:r>
        <w:rPr>
          <w:rFonts w:hint="eastAsia" w:ascii="仿宋_GB2312" w:hAnsi="仿宋_GB2312" w:eastAsia="仿宋_GB2312" w:cs="仿宋_GB2312"/>
          <w:kern w:val="2"/>
          <w:sz w:val="32"/>
          <w:szCs w:val="32"/>
          <w:lang w:eastAsia="zh-CN" w:bidi="ar-SA"/>
        </w:rPr>
        <w:t xml:space="preserve">                                2026年4月3日</w:t>
      </w:r>
    </w:p>
    <w:p>
      <w:pPr>
        <w:spacing w:line="580" w:lineRule="exact"/>
        <w:ind w:firstLine="0"/>
        <w:jc w:val="both"/>
        <w:rPr>
          <w:lang w:eastAsia="zh-CN"/>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Nimbus Roman No9 L"/>
    <w:panose1 w:val="020B0604020202020204"/>
    <w:charset w:val="00"/>
    <w:family w:val="swiss"/>
    <w:pitch w:val="default"/>
    <w:sig w:usb0="00000000" w:usb1="00000000" w:usb2="00000009" w:usb3="00000000" w:csb0="0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sdtPr>
    <w:sdtContent>
      <w:p>
        <w:pPr>
          <w:pStyle w:val="6"/>
          <w:jc w:val="center"/>
        </w:pPr>
        <w:r>
          <w:fldChar w:fldCharType="begin"/>
        </w:r>
        <w:r>
          <w:instrText xml:space="preserve"> PAGE   \* MERGEFORMAT </w:instrText>
        </w:r>
        <w:r>
          <w:fldChar w:fldCharType="separate"/>
        </w:r>
        <w:r>
          <w:rPr>
            <w:lang w:val="zh-CN"/>
          </w:rPr>
          <w:t>10</w:t>
        </w:r>
        <w:r>
          <w:rPr>
            <w:lang w:val="zh-CN"/>
          </w:rP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2M3ODVkZDQzMmMwZTY5MDM0NDIxMWYyNDdjYWI4MDEifQ=="/>
  </w:docVars>
  <w:rsids>
    <w:rsidRoot w:val="7ECA74F3"/>
    <w:rsid w:val="00030CDD"/>
    <w:rsid w:val="0005098D"/>
    <w:rsid w:val="000614F1"/>
    <w:rsid w:val="000A21C8"/>
    <w:rsid w:val="000A4ECA"/>
    <w:rsid w:val="000B33C5"/>
    <w:rsid w:val="000C6D5C"/>
    <w:rsid w:val="000D301C"/>
    <w:rsid w:val="000D50D6"/>
    <w:rsid w:val="000E6308"/>
    <w:rsid w:val="00123FD0"/>
    <w:rsid w:val="00127C2B"/>
    <w:rsid w:val="00145198"/>
    <w:rsid w:val="00173A3A"/>
    <w:rsid w:val="001779C8"/>
    <w:rsid w:val="0018075B"/>
    <w:rsid w:val="00182F98"/>
    <w:rsid w:val="00184725"/>
    <w:rsid w:val="00186E1A"/>
    <w:rsid w:val="001A3735"/>
    <w:rsid w:val="001A7A95"/>
    <w:rsid w:val="001B7130"/>
    <w:rsid w:val="00225052"/>
    <w:rsid w:val="00227962"/>
    <w:rsid w:val="00227B77"/>
    <w:rsid w:val="00240F83"/>
    <w:rsid w:val="002541D4"/>
    <w:rsid w:val="00262727"/>
    <w:rsid w:val="00284ED3"/>
    <w:rsid w:val="002C319A"/>
    <w:rsid w:val="002F0499"/>
    <w:rsid w:val="002F7408"/>
    <w:rsid w:val="003115F8"/>
    <w:rsid w:val="00316688"/>
    <w:rsid w:val="00326341"/>
    <w:rsid w:val="003271F5"/>
    <w:rsid w:val="003537EA"/>
    <w:rsid w:val="00360941"/>
    <w:rsid w:val="00382B7A"/>
    <w:rsid w:val="0038433F"/>
    <w:rsid w:val="003F181D"/>
    <w:rsid w:val="0043752F"/>
    <w:rsid w:val="004555F0"/>
    <w:rsid w:val="004624A5"/>
    <w:rsid w:val="004853BA"/>
    <w:rsid w:val="00486EE4"/>
    <w:rsid w:val="004C65D0"/>
    <w:rsid w:val="004D066F"/>
    <w:rsid w:val="004E0357"/>
    <w:rsid w:val="00513150"/>
    <w:rsid w:val="00516B1D"/>
    <w:rsid w:val="00532C6E"/>
    <w:rsid w:val="00535E0A"/>
    <w:rsid w:val="0053740E"/>
    <w:rsid w:val="00540985"/>
    <w:rsid w:val="00563DC0"/>
    <w:rsid w:val="005A2720"/>
    <w:rsid w:val="005C334E"/>
    <w:rsid w:val="005D1ACE"/>
    <w:rsid w:val="005E1FC6"/>
    <w:rsid w:val="005E7711"/>
    <w:rsid w:val="005F43BB"/>
    <w:rsid w:val="005F4BA9"/>
    <w:rsid w:val="00610894"/>
    <w:rsid w:val="006262F2"/>
    <w:rsid w:val="00633765"/>
    <w:rsid w:val="00657114"/>
    <w:rsid w:val="006752BC"/>
    <w:rsid w:val="00677BD8"/>
    <w:rsid w:val="006919DA"/>
    <w:rsid w:val="00696576"/>
    <w:rsid w:val="006B2750"/>
    <w:rsid w:val="006C0D8A"/>
    <w:rsid w:val="006F3B5D"/>
    <w:rsid w:val="00705A03"/>
    <w:rsid w:val="00716A52"/>
    <w:rsid w:val="0074461B"/>
    <w:rsid w:val="00751B62"/>
    <w:rsid w:val="00757787"/>
    <w:rsid w:val="00760C62"/>
    <w:rsid w:val="00783B7A"/>
    <w:rsid w:val="00790255"/>
    <w:rsid w:val="007959FB"/>
    <w:rsid w:val="00795C76"/>
    <w:rsid w:val="007B41F3"/>
    <w:rsid w:val="007C07C5"/>
    <w:rsid w:val="007C2369"/>
    <w:rsid w:val="007F131A"/>
    <w:rsid w:val="007F295F"/>
    <w:rsid w:val="008048BC"/>
    <w:rsid w:val="008144B8"/>
    <w:rsid w:val="008202CD"/>
    <w:rsid w:val="008221D3"/>
    <w:rsid w:val="00826195"/>
    <w:rsid w:val="00843529"/>
    <w:rsid w:val="0085536F"/>
    <w:rsid w:val="008B2711"/>
    <w:rsid w:val="008C71A7"/>
    <w:rsid w:val="008D1FDA"/>
    <w:rsid w:val="008D2C10"/>
    <w:rsid w:val="008D61B8"/>
    <w:rsid w:val="008E6AA6"/>
    <w:rsid w:val="008F1AEB"/>
    <w:rsid w:val="008F6102"/>
    <w:rsid w:val="009010B9"/>
    <w:rsid w:val="009047EF"/>
    <w:rsid w:val="00922DE7"/>
    <w:rsid w:val="00927C5E"/>
    <w:rsid w:val="0097466F"/>
    <w:rsid w:val="00981538"/>
    <w:rsid w:val="00990A26"/>
    <w:rsid w:val="00992E2D"/>
    <w:rsid w:val="00996984"/>
    <w:rsid w:val="009F6C59"/>
    <w:rsid w:val="00A062A9"/>
    <w:rsid w:val="00A12D72"/>
    <w:rsid w:val="00A14F53"/>
    <w:rsid w:val="00A33390"/>
    <w:rsid w:val="00A465EF"/>
    <w:rsid w:val="00A53F54"/>
    <w:rsid w:val="00A543F7"/>
    <w:rsid w:val="00A57F33"/>
    <w:rsid w:val="00A66065"/>
    <w:rsid w:val="00A71277"/>
    <w:rsid w:val="00AA4C94"/>
    <w:rsid w:val="00B00764"/>
    <w:rsid w:val="00B20784"/>
    <w:rsid w:val="00B502CD"/>
    <w:rsid w:val="00B75BD0"/>
    <w:rsid w:val="00B906A9"/>
    <w:rsid w:val="00B95CDD"/>
    <w:rsid w:val="00BD4A85"/>
    <w:rsid w:val="00C25871"/>
    <w:rsid w:val="00C3592D"/>
    <w:rsid w:val="00C42DDF"/>
    <w:rsid w:val="00C447B5"/>
    <w:rsid w:val="00C53B2B"/>
    <w:rsid w:val="00C646E6"/>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70D78"/>
    <w:rsid w:val="00E7248E"/>
    <w:rsid w:val="00EB65E3"/>
    <w:rsid w:val="00EF6703"/>
    <w:rsid w:val="00F07B48"/>
    <w:rsid w:val="00F13630"/>
    <w:rsid w:val="00F322EA"/>
    <w:rsid w:val="00F43364"/>
    <w:rsid w:val="00FC09DC"/>
    <w:rsid w:val="00FC1C09"/>
    <w:rsid w:val="0B1F0196"/>
    <w:rsid w:val="11797D31"/>
    <w:rsid w:val="12B22DCD"/>
    <w:rsid w:val="140579C8"/>
    <w:rsid w:val="184B597F"/>
    <w:rsid w:val="18D731CF"/>
    <w:rsid w:val="19CD0070"/>
    <w:rsid w:val="1D880AB9"/>
    <w:rsid w:val="1D914D36"/>
    <w:rsid w:val="1FD23440"/>
    <w:rsid w:val="215C0620"/>
    <w:rsid w:val="223E3DE5"/>
    <w:rsid w:val="265B3164"/>
    <w:rsid w:val="309E7CC4"/>
    <w:rsid w:val="32647EA4"/>
    <w:rsid w:val="334D4668"/>
    <w:rsid w:val="34676F58"/>
    <w:rsid w:val="38EB4E53"/>
    <w:rsid w:val="3EAE0AA8"/>
    <w:rsid w:val="442329DB"/>
    <w:rsid w:val="4528655A"/>
    <w:rsid w:val="474C2E90"/>
    <w:rsid w:val="4AC705C3"/>
    <w:rsid w:val="4BF929FE"/>
    <w:rsid w:val="4C4B0D80"/>
    <w:rsid w:val="4C6D34EC"/>
    <w:rsid w:val="4CCE5D3B"/>
    <w:rsid w:val="4F074C01"/>
    <w:rsid w:val="4FB52641"/>
    <w:rsid w:val="528F4BF3"/>
    <w:rsid w:val="54AE6758"/>
    <w:rsid w:val="58340327"/>
    <w:rsid w:val="5AFD5A68"/>
    <w:rsid w:val="5DEEA7AA"/>
    <w:rsid w:val="5E933938"/>
    <w:rsid w:val="5FB5754C"/>
    <w:rsid w:val="627C7BC3"/>
    <w:rsid w:val="67470A61"/>
    <w:rsid w:val="71131788"/>
    <w:rsid w:val="71222982"/>
    <w:rsid w:val="7A2B21A9"/>
    <w:rsid w:val="7B852659"/>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en-US" w:bidi="en-US"/>
    </w:rPr>
  </w:style>
  <w:style w:type="paragraph" w:styleId="2">
    <w:name w:val="heading 2"/>
    <w:basedOn w:val="1"/>
    <w:next w:val="1"/>
    <w:qFormat/>
    <w:uiPriority w:val="0"/>
    <w:pPr>
      <w:spacing w:line="576" w:lineRule="exact"/>
      <w:ind w:firstLine="200" w:firstLineChars="200"/>
      <w:outlineLvl w:val="1"/>
    </w:pPr>
    <w:rPr>
      <w:rFonts w:eastAsia="楷体_GB2312" w:cs="宋体"/>
      <w:b/>
      <w:bCs/>
      <w:szCs w:val="36"/>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qFormat/>
    <w:uiPriority w:val="0"/>
    <w:pPr>
      <w:spacing w:after="120"/>
      <w:ind w:left="420" w:leftChars="200"/>
    </w:pPr>
  </w:style>
  <w:style w:type="paragraph" w:styleId="4">
    <w:name w:val="Body Text First Indent 2"/>
    <w:basedOn w:val="3"/>
    <w:next w:val="1"/>
    <w:qFormat/>
    <w:uiPriority w:val="0"/>
    <w:pPr>
      <w:ind w:firstLine="420" w:firstLineChars="200"/>
    </w:pPr>
  </w:style>
  <w:style w:type="paragraph" w:styleId="5">
    <w:name w:val="Balloon Text"/>
    <w:basedOn w:val="1"/>
    <w:link w:val="18"/>
    <w:qFormat/>
    <w:uiPriority w:val="0"/>
    <w:rPr>
      <w:sz w:val="18"/>
      <w:szCs w:val="18"/>
    </w:rPr>
  </w:style>
  <w:style w:type="paragraph" w:styleId="6">
    <w:name w:val="footer"/>
    <w:basedOn w:val="1"/>
    <w:link w:val="17"/>
    <w:qFormat/>
    <w:uiPriority w:val="99"/>
    <w:pPr>
      <w:tabs>
        <w:tab w:val="center" w:pos="4153"/>
        <w:tab w:val="right" w:pos="8306"/>
      </w:tabs>
      <w:snapToGrid w:val="0"/>
    </w:pPr>
    <w:rPr>
      <w:sz w:val="18"/>
      <w:szCs w:val="18"/>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8">
    <w:name w:val="table of figures"/>
    <w:basedOn w:val="1"/>
    <w:next w:val="1"/>
    <w:unhideWhenUsed/>
    <w:qFormat/>
    <w:uiPriority w:val="99"/>
    <w:pPr>
      <w:ind w:left="200" w:leftChars="200" w:hanging="200" w:hangingChars="200"/>
    </w:pPr>
  </w:style>
  <w:style w:type="paragraph" w:styleId="9">
    <w:name w:val="Normal (Web)"/>
    <w:basedOn w:val="1"/>
    <w:qFormat/>
    <w:uiPriority w:val="0"/>
    <w:pPr>
      <w:spacing w:beforeAutospacing="1" w:afterAutospacing="1"/>
    </w:pPr>
    <w:rPr>
      <w:rFonts w:cs="Times New Roman"/>
      <w:sz w:val="24"/>
      <w:lang w:eastAsia="zh-CN" w:bidi="ar-SA"/>
    </w:rPr>
  </w:style>
  <w:style w:type="character" w:styleId="12">
    <w:name w:val="Strong"/>
    <w:basedOn w:val="11"/>
    <w:qFormat/>
    <w:uiPriority w:val="22"/>
    <w:rPr>
      <w:b/>
    </w:rPr>
  </w:style>
  <w:style w:type="character" w:styleId="13">
    <w:name w:val="FollowedHyperlink"/>
    <w:basedOn w:val="11"/>
    <w:qFormat/>
    <w:uiPriority w:val="0"/>
    <w:rPr>
      <w:color w:val="323232"/>
      <w:u w:val="none"/>
    </w:rPr>
  </w:style>
  <w:style w:type="character" w:styleId="14">
    <w:name w:val="Hyperlink"/>
    <w:basedOn w:val="11"/>
    <w:qFormat/>
    <w:uiPriority w:val="0"/>
    <w:rPr>
      <w:color w:val="323232"/>
      <w:u w:val="none"/>
    </w:rPr>
  </w:style>
  <w:style w:type="character" w:customStyle="1" w:styleId="15">
    <w:name w:val="bsharetext"/>
    <w:basedOn w:val="11"/>
    <w:qFormat/>
    <w:uiPriority w:val="0"/>
  </w:style>
  <w:style w:type="character" w:customStyle="1" w:styleId="16">
    <w:name w:val="页眉 Char"/>
    <w:basedOn w:val="11"/>
    <w:link w:val="7"/>
    <w:qFormat/>
    <w:uiPriority w:val="0"/>
    <w:rPr>
      <w:rFonts w:ascii="Calibri" w:hAnsi="Calibri" w:cs="Arial"/>
      <w:sz w:val="18"/>
      <w:szCs w:val="18"/>
      <w:lang w:eastAsia="en-US" w:bidi="en-US"/>
    </w:rPr>
  </w:style>
  <w:style w:type="character" w:customStyle="1" w:styleId="17">
    <w:name w:val="页脚 Char"/>
    <w:basedOn w:val="11"/>
    <w:link w:val="6"/>
    <w:qFormat/>
    <w:uiPriority w:val="99"/>
    <w:rPr>
      <w:rFonts w:ascii="Calibri" w:hAnsi="Calibri" w:cs="Arial"/>
      <w:sz w:val="18"/>
      <w:szCs w:val="18"/>
      <w:lang w:eastAsia="en-US" w:bidi="en-US"/>
    </w:rPr>
  </w:style>
  <w:style w:type="character" w:customStyle="1" w:styleId="18">
    <w:name w:val="批注框文本 Char"/>
    <w:basedOn w:val="11"/>
    <w:link w:val="5"/>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10</Pages>
  <Words>3372</Words>
  <Characters>637</Characters>
  <Lines>5</Lines>
  <Paragraphs>8</Paragraphs>
  <TotalTime>28</TotalTime>
  <ScaleCrop>false</ScaleCrop>
  <LinksUpToDate>false</LinksUpToDate>
  <CharactersWithSpaces>4001</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2023-03-07T14:46:00Z</dcterms:created>
  <dc:creator>Administrator</dc:creator>
  <cp:lastModifiedBy>user</cp:lastModifiedBy>
  <cp:lastPrinted>2025-03-18T16:24:00Z</cp:lastPrinted>
  <dcterms:modified xsi:type="dcterms:W3CDTF">2026-04-01T10:07:01Z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2C8CD892649E4E8F95DB96E929C2DE32_13</vt:lpwstr>
  </property>
  <property fmtid="{D5CDD505-2E9C-101B-9397-08002B2CF9AE}" pid="4" name="KSOTemplateDocerSaveRecord">
    <vt:lpwstr>eyJoZGlkIjoiMTNlNzFlY2ZmYTkwNTI0YTM3YTZiYjMxZTE1NTYzYzAiLCJ1c2VySWQiOiI3Nzk4ODAwMzUifQ==</vt:lpwstr>
  </property>
</Properties>
</file>