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96475"/>
      <w:bookmarkStart w:id="2" w:name="_Toc15378441"/>
      <w:bookmarkStart w:id="3" w:name="_Toc15377425"/>
      <w:bookmarkStart w:id="4" w:name="_Toc15377193"/>
      <w:bookmarkStart w:id="5" w:name="_Toc15396597"/>
      <w:r>
        <w:rPr>
          <w:rFonts w:hint="eastAsia" w:ascii="方正小标宋简体" w:hAnsi="黑体" w:eastAsia="方正小标宋简体"/>
          <w:color w:val="000000"/>
          <w:sz w:val="44"/>
          <w:szCs w:val="44"/>
        </w:rPr>
        <w:t>2018</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426"/>
      <w:bookmarkStart w:id="7" w:name="_Toc15378442"/>
      <w:bookmarkStart w:id="8" w:name="_Toc15396598"/>
      <w:bookmarkStart w:id="9" w:name="_Toc15396476"/>
      <w:bookmarkStart w:id="10" w:name="_Toc15377194"/>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茂县城市管理局</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44"/>
          <w:szCs w:val="44"/>
        </w:rPr>
        <w:br w:type="page"/>
      </w:r>
      <w:r>
        <w:rPr>
          <w:rFonts w:hint="eastAsia" w:ascii="方正小标宋简体" w:hAnsi="黑体" w:eastAsia="方正小标宋简体"/>
          <w:color w:val="000000"/>
          <w:sz w:val="44"/>
          <w:szCs w:val="44"/>
        </w:rPr>
        <w:t>目录</w:t>
      </w:r>
    </w:p>
    <w:p>
      <w:pPr>
        <w:widowControl/>
        <w:jc w:val="left"/>
        <w:rPr>
          <w:rFonts w:ascii="仿宋" w:hAnsi="仿宋" w:eastAsia="仿宋"/>
          <w:color w:val="000000"/>
          <w:sz w:val="24"/>
        </w:rPr>
      </w:pPr>
    </w:p>
    <w:p>
      <w:pPr>
        <w:widowControl/>
        <w:jc w:val="left"/>
        <w:rPr>
          <w:rFonts w:ascii="黑体" w:hAnsi="黑体" w:eastAsia="黑体"/>
          <w:bCs/>
          <w:kern w:val="44"/>
          <w:sz w:val="44"/>
          <w:szCs w:val="44"/>
        </w:rPr>
      </w:pPr>
      <w:bookmarkStart w:id="12" w:name="_Toc15377196"/>
      <w:bookmarkStart w:id="13" w:name="_Toc15396599"/>
    </w:p>
    <w:p>
      <w:pPr>
        <w:pStyle w:val="10"/>
        <w:keepNext w:val="0"/>
        <w:keepLines w:val="0"/>
        <w:pageBreakBefore w:val="0"/>
        <w:widowControl w:val="0"/>
        <w:kinsoku/>
        <w:wordWrap/>
        <w:overflowPunct/>
        <w:topLinePunct w:val="0"/>
        <w:autoSpaceDE/>
        <w:autoSpaceDN/>
        <w:bidi w:val="0"/>
        <w:adjustRightInd w:val="0"/>
        <w:snapToGrid w:val="0"/>
        <w:spacing w:line="576" w:lineRule="exact"/>
        <w:ind w:firstLine="560" w:firstLineChars="200"/>
        <w:jc w:val="left"/>
        <w:textAlignment w:val="auto"/>
        <w:rPr>
          <w:rFonts w:ascii="仿宋_GB2312" w:hAnsi="仿宋_GB2312" w:eastAsia="仿宋_GB2312" w:cs="仿宋_GB2312"/>
          <w:color w:val="auto"/>
          <w:sz w:val="32"/>
          <w:szCs w:val="32"/>
          <w:u w:val="none"/>
        </w:rPr>
      </w:pPr>
      <w:r>
        <w:rPr>
          <w:color w:val="auto"/>
          <w:u w:val="none"/>
        </w:rPr>
        <w:fldChar w:fldCharType="begin"/>
      </w:r>
      <w:r>
        <w:rPr>
          <w:color w:val="auto"/>
          <w:u w:val="none"/>
        </w:rPr>
        <w:instrText xml:space="preserve"> HYPERLINK \l "_Toc15396599" </w:instrText>
      </w:r>
      <w:r>
        <w:rPr>
          <w:color w:val="auto"/>
          <w:u w:val="none"/>
        </w:rPr>
        <w:fldChar w:fldCharType="separate"/>
      </w:r>
      <w:r>
        <w:rPr>
          <w:rStyle w:val="16"/>
          <w:rFonts w:hint="eastAsia" w:ascii="仿宋_GB2312" w:hAnsi="仿宋_GB2312" w:eastAsia="仿宋_GB2312" w:cs="仿宋_GB2312"/>
          <w:color w:val="auto"/>
          <w:sz w:val="32"/>
          <w:szCs w:val="32"/>
          <w:u w:val="none"/>
        </w:rPr>
        <w:t>第一部分部门概况</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fldChar w:fldCharType="end"/>
      </w:r>
    </w:p>
    <w:p>
      <w:pPr>
        <w:pStyle w:val="11"/>
        <w:adjustRightInd w:val="0"/>
        <w:snapToGrid w:val="0"/>
        <w:spacing w:line="576" w:lineRule="exact"/>
        <w:jc w:val="left"/>
        <w:rPr>
          <w:rFonts w:ascii="仿宋_GB2312" w:hAnsi="仿宋_GB2312" w:eastAsia="仿宋_GB2312" w:cs="仿宋_GB2312"/>
          <w:color w:val="auto"/>
          <w:sz w:val="32"/>
          <w:szCs w:val="32"/>
          <w:u w:val="none"/>
        </w:rPr>
      </w:pPr>
      <w:r>
        <w:rPr>
          <w:color w:val="auto"/>
          <w:u w:val="none"/>
        </w:rPr>
        <w:fldChar w:fldCharType="begin"/>
      </w:r>
      <w:r>
        <w:rPr>
          <w:color w:val="auto"/>
          <w:u w:val="none"/>
        </w:rPr>
        <w:instrText xml:space="preserve"> HYPERLINK \l "_Toc15396600" </w:instrText>
      </w:r>
      <w:r>
        <w:rPr>
          <w:color w:val="auto"/>
          <w:u w:val="none"/>
        </w:rPr>
        <w:fldChar w:fldCharType="separate"/>
      </w:r>
      <w:r>
        <w:rPr>
          <w:rStyle w:val="16"/>
          <w:rFonts w:hint="eastAsia" w:ascii="仿宋_GB2312" w:hAnsi="仿宋_GB2312" w:eastAsia="仿宋_GB2312" w:cs="仿宋_GB2312"/>
          <w:color w:val="auto"/>
          <w:sz w:val="32"/>
          <w:szCs w:val="32"/>
          <w:u w:val="none"/>
        </w:rPr>
        <w:t>一、基本职能及主要工作</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fldChar w:fldCharType="end"/>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"_Toc15396601" </w:instrText>
      </w:r>
      <w:r>
        <w:rPr>
          <w:color w:val="auto"/>
          <w:u w:val="none"/>
        </w:rPr>
        <w:fldChar w:fldCharType="separate"/>
      </w:r>
      <w:r>
        <w:rPr>
          <w:rStyle w:val="16"/>
          <w:rFonts w:hint="eastAsia" w:ascii="仿宋_GB2312" w:hAnsi="仿宋_GB2312" w:eastAsia="仿宋_GB2312" w:cs="仿宋_GB2312"/>
          <w:color w:val="auto"/>
          <w:sz w:val="32"/>
          <w:szCs w:val="32"/>
          <w:u w:val="none"/>
        </w:rPr>
        <w:t>二、机构设置</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1</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"_Toc15396602" </w:instrText>
      </w:r>
      <w:r>
        <w:rPr>
          <w:color w:val="auto"/>
          <w:u w:val="none"/>
        </w:rPr>
        <w:fldChar w:fldCharType="separate"/>
      </w:r>
      <w:r>
        <w:rPr>
          <w:rStyle w:val="16"/>
          <w:rFonts w:hint="eastAsia" w:ascii="仿宋_GB2312" w:hAnsi="仿宋_GB2312" w:eastAsia="仿宋_GB2312" w:cs="仿宋_GB2312"/>
          <w:color w:val="auto"/>
          <w:sz w:val="32"/>
          <w:szCs w:val="32"/>
          <w:u w:val="none"/>
        </w:rPr>
        <w:t>第二部分 2018年度部门决算情况说明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2</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"_Toc15396603" </w:instrText>
      </w:r>
      <w:r>
        <w:rPr>
          <w:color w:val="auto"/>
          <w:u w:val="none"/>
        </w:rPr>
        <w:fldChar w:fldCharType="separate"/>
      </w:r>
      <w:r>
        <w:rPr>
          <w:rStyle w:val="16"/>
          <w:rFonts w:hint="eastAsia" w:ascii="仿宋_GB2312" w:hAnsi="仿宋_GB2312" w:eastAsia="仿宋_GB2312" w:cs="仿宋_GB2312"/>
          <w:bCs/>
          <w:color w:val="auto"/>
          <w:sz w:val="32"/>
          <w:szCs w:val="32"/>
          <w:u w:val="none"/>
        </w:rPr>
        <w:t>一、</w:t>
      </w:r>
      <w:r>
        <w:rPr>
          <w:rStyle w:val="16"/>
          <w:rFonts w:hint="eastAsia" w:ascii="仿宋_GB2312" w:hAnsi="仿宋_GB2312" w:eastAsia="仿宋_GB2312" w:cs="仿宋_GB2312"/>
          <w:color w:val="auto"/>
          <w:sz w:val="32"/>
          <w:szCs w:val="32"/>
          <w:u w:val="none"/>
        </w:rPr>
        <w:t>收</w:t>
      </w:r>
      <w:r>
        <w:rPr>
          <w:rStyle w:val="16"/>
          <w:rFonts w:hint="eastAsia" w:ascii="仿宋_GB2312" w:hAnsi="仿宋_GB2312" w:eastAsia="仿宋_GB2312" w:cs="仿宋_GB2312"/>
          <w:bCs/>
          <w:color w:val="auto"/>
          <w:sz w:val="32"/>
          <w:szCs w:val="32"/>
          <w:u w:val="none"/>
        </w:rPr>
        <w:t>入支出决算总体情况说明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2</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"_Toc15396604" </w:instrText>
      </w:r>
      <w:r>
        <w:rPr>
          <w:color w:val="auto"/>
          <w:u w:val="none"/>
        </w:rPr>
        <w:fldChar w:fldCharType="separate"/>
      </w:r>
      <w:r>
        <w:rPr>
          <w:rStyle w:val="16"/>
          <w:rFonts w:hint="eastAsia" w:ascii="仿宋_GB2312" w:hAnsi="仿宋_GB2312" w:eastAsia="仿宋_GB2312" w:cs="仿宋_GB2312"/>
          <w:bCs/>
          <w:color w:val="auto"/>
          <w:sz w:val="32"/>
          <w:szCs w:val="32"/>
          <w:u w:val="none"/>
        </w:rPr>
        <w:t>二、</w:t>
      </w:r>
      <w:r>
        <w:rPr>
          <w:rStyle w:val="16"/>
          <w:rFonts w:hint="eastAsia" w:ascii="仿宋_GB2312" w:hAnsi="仿宋_GB2312" w:eastAsia="仿宋_GB2312" w:cs="仿宋_GB2312"/>
          <w:color w:val="auto"/>
          <w:sz w:val="32"/>
          <w:szCs w:val="32"/>
          <w:u w:val="none"/>
        </w:rPr>
        <w:t>收</w:t>
      </w:r>
      <w:r>
        <w:rPr>
          <w:rStyle w:val="16"/>
          <w:rFonts w:hint="eastAsia" w:ascii="仿宋_GB2312" w:hAnsi="仿宋_GB2312" w:eastAsia="仿宋_GB2312" w:cs="仿宋_GB2312"/>
          <w:bCs/>
          <w:color w:val="auto"/>
          <w:sz w:val="32"/>
          <w:szCs w:val="32"/>
          <w:u w:val="none"/>
        </w:rPr>
        <w:t>入决算情况说明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2</w:t>
      </w:r>
    </w:p>
    <w:p>
      <w:pPr>
        <w:pStyle w:val="11"/>
        <w:adjustRightInd w:val="0"/>
        <w:snapToGrid w:val="0"/>
        <w:spacing w:line="576" w:lineRule="exact"/>
        <w:jc w:val="left"/>
        <w:rPr>
          <w:rFonts w:ascii="仿宋_GB2312" w:hAnsi="仿宋_GB2312" w:eastAsia="仿宋_GB2312" w:cs="仿宋_GB2312"/>
          <w:color w:val="auto"/>
          <w:sz w:val="32"/>
          <w:szCs w:val="32"/>
          <w:u w:val="none"/>
        </w:rPr>
      </w:pPr>
      <w:r>
        <w:rPr>
          <w:color w:val="auto"/>
          <w:u w:val="none"/>
        </w:rPr>
        <w:fldChar w:fldCharType="begin"/>
      </w:r>
      <w:r>
        <w:rPr>
          <w:color w:val="auto"/>
          <w:u w:val="none"/>
        </w:rPr>
        <w:instrText xml:space="preserve"> HYPERLINK \l "_Toc15396605" </w:instrText>
      </w:r>
      <w:r>
        <w:rPr>
          <w:color w:val="auto"/>
          <w:u w:val="none"/>
        </w:rPr>
        <w:fldChar w:fldCharType="separate"/>
      </w:r>
      <w:r>
        <w:rPr>
          <w:rStyle w:val="16"/>
          <w:rFonts w:hint="eastAsia" w:ascii="仿宋_GB2312" w:hAnsi="仿宋_GB2312" w:eastAsia="仿宋_GB2312" w:cs="仿宋_GB2312"/>
          <w:bCs/>
          <w:color w:val="auto"/>
          <w:sz w:val="32"/>
          <w:szCs w:val="32"/>
          <w:u w:val="none"/>
        </w:rPr>
        <w:t>三、</w:t>
      </w:r>
      <w:r>
        <w:rPr>
          <w:rStyle w:val="16"/>
          <w:rFonts w:hint="eastAsia" w:ascii="仿宋_GB2312" w:hAnsi="仿宋_GB2312" w:eastAsia="仿宋_GB2312" w:cs="仿宋_GB2312"/>
          <w:color w:val="auto"/>
          <w:sz w:val="32"/>
          <w:szCs w:val="32"/>
          <w:u w:val="none"/>
        </w:rPr>
        <w:t>支</w:t>
      </w:r>
      <w:r>
        <w:rPr>
          <w:rStyle w:val="16"/>
          <w:rFonts w:hint="eastAsia" w:ascii="仿宋_GB2312" w:hAnsi="仿宋_GB2312" w:eastAsia="仿宋_GB2312" w:cs="仿宋_GB2312"/>
          <w:bCs/>
          <w:color w:val="auto"/>
          <w:sz w:val="32"/>
          <w:szCs w:val="32"/>
          <w:u w:val="none"/>
        </w:rPr>
        <w:t>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13</w:t>
      </w:r>
      <w:r>
        <w:rPr>
          <w:rFonts w:hint="eastAsia" w:ascii="仿宋_GB2312" w:hAnsi="仿宋_GB2312" w:eastAsia="仿宋_GB2312" w:cs="仿宋_GB2312"/>
          <w:color w:val="auto"/>
          <w:sz w:val="32"/>
          <w:szCs w:val="32"/>
          <w:u w:val="none"/>
        </w:rPr>
        <w:fldChar w:fldCharType="end"/>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"_Toc15396606" </w:instrText>
      </w:r>
      <w:r>
        <w:rPr>
          <w:color w:val="auto"/>
          <w:u w:val="none"/>
        </w:rPr>
        <w:fldChar w:fldCharType="separate"/>
      </w:r>
      <w:r>
        <w:rPr>
          <w:rStyle w:val="16"/>
          <w:rFonts w:hint="eastAsia" w:ascii="仿宋_GB2312" w:hAnsi="仿宋_GB2312" w:eastAsia="仿宋_GB2312" w:cs="仿宋_GB2312"/>
          <w:color w:val="auto"/>
          <w:sz w:val="32"/>
          <w:szCs w:val="32"/>
          <w:u w:val="none"/>
        </w:rPr>
        <w:t>四、财</w:t>
      </w:r>
      <w:r>
        <w:rPr>
          <w:rStyle w:val="16"/>
          <w:rFonts w:hint="eastAsia" w:ascii="仿宋_GB2312" w:hAnsi="仿宋_GB2312" w:eastAsia="仿宋_GB2312" w:cs="仿宋_GB2312"/>
          <w:bCs/>
          <w:color w:val="auto"/>
          <w:sz w:val="32"/>
          <w:szCs w:val="32"/>
          <w:u w:val="none"/>
        </w:rPr>
        <w:t>政拨款收入支出决算总体情况说明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3</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"_Toc15396607" </w:instrText>
      </w:r>
      <w:r>
        <w:rPr>
          <w:color w:val="auto"/>
          <w:u w:val="none"/>
        </w:rPr>
        <w:fldChar w:fldCharType="separate"/>
      </w:r>
      <w:r>
        <w:rPr>
          <w:rStyle w:val="16"/>
          <w:rFonts w:hint="eastAsia" w:ascii="仿宋_GB2312" w:hAnsi="仿宋_GB2312" w:eastAsia="仿宋_GB2312" w:cs="仿宋_GB2312"/>
          <w:color w:val="auto"/>
          <w:sz w:val="32"/>
          <w:szCs w:val="32"/>
          <w:u w:val="none"/>
        </w:rPr>
        <w:t>五、一</w:t>
      </w:r>
      <w:r>
        <w:rPr>
          <w:rStyle w:val="16"/>
          <w:rFonts w:hint="eastAsia" w:ascii="仿宋_GB2312" w:hAnsi="仿宋_GB2312" w:eastAsia="仿宋_GB2312" w:cs="仿宋_GB2312"/>
          <w:bCs/>
          <w:color w:val="auto"/>
          <w:sz w:val="32"/>
          <w:szCs w:val="32"/>
          <w:u w:val="none"/>
        </w:rPr>
        <w:t>般公共预算财政拨款支出决算情况说明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4</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"_Toc15396608" </w:instrText>
      </w:r>
      <w:r>
        <w:rPr>
          <w:color w:val="auto"/>
          <w:u w:val="none"/>
        </w:rPr>
        <w:fldChar w:fldCharType="separate"/>
      </w:r>
      <w:r>
        <w:rPr>
          <w:rStyle w:val="16"/>
          <w:rFonts w:hint="eastAsia" w:ascii="仿宋_GB2312" w:hAnsi="仿宋_GB2312" w:eastAsia="仿宋_GB2312" w:cs="仿宋_GB2312"/>
          <w:color w:val="auto"/>
          <w:sz w:val="32"/>
          <w:szCs w:val="32"/>
          <w:u w:val="none"/>
        </w:rPr>
        <w:t>六、一</w:t>
      </w:r>
      <w:r>
        <w:rPr>
          <w:rStyle w:val="16"/>
          <w:rFonts w:hint="eastAsia" w:ascii="仿宋_GB2312" w:hAnsi="仿宋_GB2312" w:eastAsia="仿宋_GB2312" w:cs="仿宋_GB2312"/>
          <w:bCs/>
          <w:color w:val="auto"/>
          <w:sz w:val="32"/>
          <w:szCs w:val="32"/>
          <w:u w:val="none"/>
        </w:rPr>
        <w:t>般公共预算财政拨款基本支出决算情况说明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7</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"_Toc15396609" </w:instrText>
      </w:r>
      <w:r>
        <w:rPr>
          <w:color w:val="auto"/>
          <w:u w:val="none"/>
        </w:rPr>
        <w:fldChar w:fldCharType="separate"/>
      </w:r>
      <w:r>
        <w:rPr>
          <w:rStyle w:val="16"/>
          <w:rFonts w:hint="eastAsia" w:ascii="仿宋_GB2312" w:hAnsi="仿宋_GB2312" w:eastAsia="仿宋_GB2312" w:cs="仿宋_GB2312"/>
          <w:color w:val="auto"/>
          <w:sz w:val="32"/>
          <w:szCs w:val="32"/>
          <w:u w:val="none"/>
        </w:rPr>
        <w:t>七、“</w:t>
      </w:r>
      <w:r>
        <w:rPr>
          <w:rStyle w:val="16"/>
          <w:rFonts w:hint="eastAsia" w:ascii="仿宋_GB2312" w:hAnsi="仿宋_GB2312" w:eastAsia="仿宋_GB2312" w:cs="仿宋_GB2312"/>
          <w:bCs/>
          <w:color w:val="auto"/>
          <w:sz w:val="32"/>
          <w:szCs w:val="32"/>
          <w:u w:val="none"/>
        </w:rPr>
        <w:t>三公”经费财政拨款支出决算情况说明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7</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"_Toc15396610" </w:instrText>
      </w:r>
      <w:r>
        <w:rPr>
          <w:color w:val="auto"/>
          <w:u w:val="none"/>
        </w:rPr>
        <w:fldChar w:fldCharType="separate"/>
      </w:r>
      <w:r>
        <w:rPr>
          <w:rStyle w:val="16"/>
          <w:rFonts w:hint="eastAsia" w:ascii="仿宋_GB2312" w:hAnsi="仿宋_GB2312" w:eastAsia="仿宋_GB2312" w:cs="仿宋_GB2312"/>
          <w:color w:val="auto"/>
          <w:sz w:val="32"/>
          <w:szCs w:val="32"/>
          <w:u w:val="none"/>
        </w:rPr>
        <w:t>八、</w:t>
      </w:r>
      <w:r>
        <w:rPr>
          <w:rStyle w:val="16"/>
          <w:rFonts w:hint="eastAsia" w:ascii="仿宋_GB2312" w:hAnsi="仿宋_GB2312" w:eastAsia="仿宋_GB2312" w:cs="仿宋_GB2312"/>
          <w:bCs/>
          <w:color w:val="auto"/>
          <w:sz w:val="32"/>
          <w:szCs w:val="32"/>
          <w:u w:val="none"/>
        </w:rPr>
        <w:t>政府性基金预算支出决算情况说明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9</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"_Toc15396611" </w:instrText>
      </w:r>
      <w:r>
        <w:rPr>
          <w:color w:val="auto"/>
          <w:u w:val="none"/>
        </w:rPr>
        <w:fldChar w:fldCharType="separate"/>
      </w:r>
      <w:r>
        <w:rPr>
          <w:rStyle w:val="16"/>
          <w:rFonts w:hint="eastAsia" w:ascii="仿宋_GB2312" w:hAnsi="仿宋_GB2312" w:eastAsia="仿宋_GB2312" w:cs="仿宋_GB2312"/>
          <w:bCs/>
          <w:color w:val="auto"/>
          <w:sz w:val="32"/>
          <w:szCs w:val="32"/>
          <w:u w:val="none"/>
        </w:rPr>
        <w:t>九、</w:t>
      </w:r>
      <w:r>
        <w:rPr>
          <w:rStyle w:val="16"/>
          <w:rFonts w:hint="eastAsia" w:ascii="仿宋_GB2312" w:hAnsi="仿宋_GB2312" w:eastAsia="仿宋_GB2312" w:cs="仿宋_GB2312"/>
          <w:color w:val="auto"/>
          <w:sz w:val="32"/>
          <w:szCs w:val="32"/>
          <w:u w:val="none"/>
        </w:rPr>
        <w:t>国</w:t>
      </w:r>
      <w:r>
        <w:rPr>
          <w:rStyle w:val="16"/>
          <w:rFonts w:hint="eastAsia" w:ascii="仿宋_GB2312" w:hAnsi="仿宋_GB2312" w:eastAsia="仿宋_GB2312" w:cs="仿宋_GB2312"/>
          <w:bCs/>
          <w:color w:val="auto"/>
          <w:sz w:val="32"/>
          <w:szCs w:val="32"/>
          <w:u w:val="none"/>
        </w:rPr>
        <w:t>有资本经营预算支出决算情况说明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9</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"_Toc15396611" </w:instrText>
      </w:r>
      <w:r>
        <w:rPr>
          <w:color w:val="auto"/>
          <w:u w:val="none"/>
        </w:rPr>
        <w:fldChar w:fldCharType="separate"/>
      </w:r>
      <w:r>
        <w:rPr>
          <w:rStyle w:val="16"/>
          <w:rFonts w:hint="eastAsia" w:ascii="仿宋_GB2312" w:hAnsi="仿宋_GB2312" w:eastAsia="仿宋_GB2312" w:cs="仿宋_GB2312"/>
          <w:bCs/>
          <w:color w:val="auto"/>
          <w:sz w:val="32"/>
          <w:szCs w:val="32"/>
          <w:u w:val="none"/>
        </w:rPr>
        <w:t>十、预算绩效情况说明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9</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"_Toc15396612" </w:instrText>
      </w:r>
      <w:r>
        <w:rPr>
          <w:color w:val="auto"/>
          <w:u w:val="none"/>
        </w:rPr>
        <w:fldChar w:fldCharType="separate"/>
      </w:r>
      <w:r>
        <w:rPr>
          <w:rStyle w:val="16"/>
          <w:rFonts w:hint="eastAsia" w:ascii="仿宋_GB2312" w:hAnsi="仿宋_GB2312" w:eastAsia="仿宋_GB2312" w:cs="仿宋_GB2312"/>
          <w:color w:val="auto"/>
          <w:sz w:val="32"/>
          <w:szCs w:val="32"/>
          <w:u w:val="none"/>
        </w:rPr>
        <w:t>十</w:t>
      </w:r>
      <w:r>
        <w:rPr>
          <w:rStyle w:val="16"/>
          <w:rFonts w:hint="eastAsia" w:ascii="仿宋_GB2312" w:hAnsi="仿宋_GB2312" w:eastAsia="仿宋_GB2312" w:cs="仿宋_GB2312"/>
          <w:bCs/>
          <w:color w:val="auto"/>
          <w:sz w:val="32"/>
          <w:szCs w:val="32"/>
          <w:u w:val="none"/>
        </w:rPr>
        <w:t>一、其他重要事项的情况说明</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5</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"_Toc15396613" </w:instrText>
      </w:r>
      <w:r>
        <w:rPr>
          <w:color w:val="auto"/>
          <w:u w:val="none"/>
        </w:rPr>
        <w:fldChar w:fldCharType="separate"/>
      </w:r>
      <w:r>
        <w:rPr>
          <w:rStyle w:val="16"/>
          <w:rFonts w:hint="eastAsia" w:ascii="仿宋_GB2312" w:hAnsi="仿宋_GB2312" w:eastAsia="仿宋_GB2312" w:cs="仿宋_GB2312"/>
          <w:bCs/>
          <w:color w:val="auto"/>
          <w:kern w:val="44"/>
          <w:sz w:val="32"/>
          <w:szCs w:val="32"/>
          <w:u w:val="none"/>
        </w:rPr>
        <w:t>第三部分</w:t>
      </w:r>
      <w:r>
        <w:rPr>
          <w:rStyle w:val="16"/>
          <w:rFonts w:hint="eastAsia" w:ascii="仿宋_GB2312" w:hAnsi="仿宋_GB2312" w:eastAsia="仿宋_GB2312" w:cs="仿宋_GB2312"/>
          <w:color w:val="auto"/>
          <w:sz w:val="32"/>
          <w:szCs w:val="32"/>
          <w:u w:val="none"/>
        </w:rPr>
        <w:t xml:space="preserve"> 名</w:t>
      </w:r>
      <w:r>
        <w:rPr>
          <w:rStyle w:val="16"/>
          <w:rFonts w:hint="eastAsia" w:ascii="仿宋_GB2312" w:hAnsi="仿宋_GB2312" w:eastAsia="仿宋_GB2312" w:cs="仿宋_GB2312"/>
          <w:bCs/>
          <w:color w:val="auto"/>
          <w:kern w:val="44"/>
          <w:sz w:val="32"/>
          <w:szCs w:val="32"/>
          <w:u w:val="none"/>
        </w:rPr>
        <w:t>词解释</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 xml:space="preserve">6 </w:t>
      </w:r>
    </w:p>
    <w:p>
      <w:pPr>
        <w:pStyle w:val="11"/>
        <w:adjustRightInd w:val="0"/>
        <w:snapToGrid w:val="0"/>
        <w:spacing w:line="576" w:lineRule="exact"/>
        <w:jc w:val="left"/>
        <w:rPr>
          <w:rFonts w:hint="default"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"_Toc15396614" </w:instrText>
      </w:r>
      <w:r>
        <w:rPr>
          <w:color w:val="auto"/>
          <w:u w:val="none"/>
        </w:rPr>
        <w:fldChar w:fldCharType="separate"/>
      </w:r>
      <w:r>
        <w:rPr>
          <w:rStyle w:val="16"/>
          <w:rFonts w:hint="eastAsia" w:ascii="仿宋_GB2312" w:hAnsi="仿宋_GB2312" w:eastAsia="仿宋_GB2312" w:cs="仿宋_GB2312"/>
          <w:bCs/>
          <w:color w:val="auto"/>
          <w:kern w:val="44"/>
          <w:sz w:val="32"/>
          <w:szCs w:val="32"/>
          <w:u w:val="none"/>
        </w:rPr>
        <w:t>附件</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30</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"_Toc15396618" </w:instrText>
      </w:r>
      <w:r>
        <w:rPr>
          <w:color w:val="auto"/>
          <w:u w:val="none"/>
        </w:rPr>
        <w:fldChar w:fldCharType="separate"/>
      </w:r>
      <w:r>
        <w:rPr>
          <w:rStyle w:val="16"/>
          <w:rFonts w:hint="eastAsia" w:ascii="仿宋_GB2312" w:hAnsi="仿宋_GB2312" w:eastAsia="仿宋_GB2312" w:cs="仿宋_GB2312"/>
          <w:color w:val="auto"/>
          <w:sz w:val="32"/>
          <w:szCs w:val="32"/>
          <w:u w:val="none"/>
        </w:rPr>
        <w:t>第</w:t>
      </w:r>
      <w:r>
        <w:rPr>
          <w:rStyle w:val="16"/>
          <w:rFonts w:hint="eastAsia" w:ascii="仿宋_GB2312" w:hAnsi="仿宋_GB2312" w:eastAsia="仿宋_GB2312" w:cs="仿宋_GB2312"/>
          <w:bCs/>
          <w:color w:val="auto"/>
          <w:kern w:val="44"/>
          <w:sz w:val="32"/>
          <w:szCs w:val="32"/>
          <w:u w:val="none"/>
        </w:rPr>
        <w:t>四部分附表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0</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color w:val="auto"/>
          <w:u w:val="none"/>
        </w:rPr>
        <w:fldChar w:fldCharType="begin"/>
      </w:r>
      <w:r>
        <w:rPr>
          <w:color w:val="auto"/>
          <w:u w:val="none"/>
        </w:rPr>
        <w:instrText xml:space="preserve"> HYPERLINK \l "_Toc15396618" </w:instrText>
      </w:r>
      <w:r>
        <w:rPr>
          <w:color w:val="auto"/>
          <w:u w:val="none"/>
        </w:rPr>
        <w:fldChar w:fldCharType="separate"/>
      </w:r>
      <w:r>
        <w:rPr>
          <w:rStyle w:val="16"/>
          <w:rFonts w:hint="eastAsia" w:ascii="仿宋_GB2312" w:hAnsi="仿宋_GB2312" w:eastAsia="仿宋_GB2312" w:cs="仿宋_GB2312"/>
          <w:color w:val="auto"/>
          <w:sz w:val="32"/>
          <w:szCs w:val="32"/>
          <w:u w:val="none"/>
        </w:rPr>
        <w:t>第</w:t>
      </w:r>
      <w:r>
        <w:rPr>
          <w:rStyle w:val="16"/>
          <w:rFonts w:hint="eastAsia" w:ascii="仿宋_GB2312" w:hAnsi="仿宋_GB2312" w:eastAsia="仿宋_GB2312" w:cs="仿宋_GB2312"/>
          <w:bCs/>
          <w:color w:val="auto"/>
          <w:kern w:val="44"/>
          <w:sz w:val="32"/>
          <w:szCs w:val="32"/>
          <w:u w:val="none"/>
          <w:lang w:eastAsia="zh-CN"/>
        </w:rPr>
        <w:t>五</w:t>
      </w:r>
      <w:r>
        <w:rPr>
          <w:rStyle w:val="16"/>
          <w:rFonts w:hint="eastAsia" w:ascii="仿宋_GB2312" w:hAnsi="仿宋_GB2312" w:eastAsia="仿宋_GB2312" w:cs="仿宋_GB2312"/>
          <w:bCs/>
          <w:color w:val="auto"/>
          <w:kern w:val="44"/>
          <w:sz w:val="32"/>
          <w:szCs w:val="32"/>
          <w:u w:val="none"/>
        </w:rPr>
        <w:t>部分附表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1</w:t>
      </w:r>
    </w:p>
    <w:p>
      <w:pPr>
        <w:rPr>
          <w:rFonts w:hint="eastAsia"/>
          <w:color w:val="auto"/>
          <w:u w:val="none"/>
          <w:lang w:val="en-US" w:eastAsia="zh-CN"/>
        </w:rPr>
      </w:pP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一、</w:t>
      </w:r>
      <w:r>
        <w:rPr>
          <w:color w:val="auto"/>
          <w:u w:val="none"/>
        </w:rPr>
        <w:fldChar w:fldCharType="begin"/>
      </w:r>
      <w:r>
        <w:rPr>
          <w:color w:val="auto"/>
          <w:u w:val="none"/>
        </w:rPr>
        <w:instrText xml:space="preserve"> HYPERLINK \l "_Toc15396619" </w:instrText>
      </w:r>
      <w:r>
        <w:rPr>
          <w:color w:val="auto"/>
          <w:u w:val="none"/>
        </w:rPr>
        <w:fldChar w:fldCharType="separate"/>
      </w:r>
      <w:r>
        <w:rPr>
          <w:rStyle w:val="16"/>
          <w:rFonts w:hint="eastAsia" w:ascii="仿宋_GB2312" w:hAnsi="仿宋_GB2312" w:eastAsia="仿宋_GB2312" w:cs="仿宋_GB2312"/>
          <w:color w:val="auto"/>
          <w:sz w:val="32"/>
          <w:szCs w:val="32"/>
          <w:u w:val="none"/>
        </w:rPr>
        <w:t>收入支出决算总表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5</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二、</w:t>
      </w:r>
      <w:r>
        <w:rPr>
          <w:color w:val="auto"/>
          <w:u w:val="none"/>
        </w:rPr>
        <w:fldChar w:fldCharType="begin"/>
      </w:r>
      <w:r>
        <w:rPr>
          <w:color w:val="auto"/>
          <w:u w:val="none"/>
        </w:rPr>
        <w:instrText xml:space="preserve"> HYPERLINK \l "_Toc15396620" </w:instrText>
      </w:r>
      <w:r>
        <w:rPr>
          <w:color w:val="auto"/>
          <w:u w:val="none"/>
        </w:rPr>
        <w:fldChar w:fldCharType="separate"/>
      </w:r>
      <w:r>
        <w:rPr>
          <w:rStyle w:val="16"/>
          <w:rFonts w:hint="eastAsia" w:ascii="仿宋_GB2312" w:hAnsi="仿宋_GB2312" w:eastAsia="仿宋_GB2312" w:cs="仿宋_GB2312"/>
          <w:color w:val="auto"/>
          <w:sz w:val="32"/>
          <w:szCs w:val="32"/>
          <w:u w:val="none"/>
        </w:rPr>
        <w:t>收入总表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三、</w:t>
      </w:r>
      <w:r>
        <w:rPr>
          <w:color w:val="auto"/>
          <w:u w:val="none"/>
        </w:rPr>
        <w:fldChar w:fldCharType="begin"/>
      </w:r>
      <w:r>
        <w:rPr>
          <w:color w:val="auto"/>
          <w:u w:val="none"/>
        </w:rPr>
        <w:instrText xml:space="preserve"> HYPERLINK \l "_Toc15396621" </w:instrText>
      </w:r>
      <w:r>
        <w:rPr>
          <w:color w:val="auto"/>
          <w:u w:val="none"/>
        </w:rPr>
        <w:fldChar w:fldCharType="separate"/>
      </w:r>
      <w:r>
        <w:rPr>
          <w:rStyle w:val="16"/>
          <w:rFonts w:hint="eastAsia" w:ascii="仿宋_GB2312" w:hAnsi="仿宋_GB2312" w:eastAsia="仿宋_GB2312" w:cs="仿宋_GB2312"/>
          <w:color w:val="auto"/>
          <w:sz w:val="32"/>
          <w:szCs w:val="32"/>
          <w:u w:val="none"/>
        </w:rPr>
        <w:t>支出总表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四、</w:t>
      </w:r>
      <w:r>
        <w:rPr>
          <w:color w:val="auto"/>
          <w:u w:val="none"/>
        </w:rPr>
        <w:fldChar w:fldCharType="begin"/>
      </w:r>
      <w:r>
        <w:rPr>
          <w:color w:val="auto"/>
          <w:u w:val="none"/>
        </w:rPr>
        <w:instrText xml:space="preserve"> HYPERLINK \l "_Toc15396622" </w:instrText>
      </w:r>
      <w:r>
        <w:rPr>
          <w:color w:val="auto"/>
          <w:u w:val="none"/>
        </w:rPr>
        <w:fldChar w:fldCharType="separate"/>
      </w:r>
      <w:r>
        <w:rPr>
          <w:rStyle w:val="16"/>
          <w:rFonts w:hint="eastAsia" w:ascii="仿宋_GB2312" w:hAnsi="仿宋_GB2312" w:eastAsia="仿宋_GB2312" w:cs="仿宋_GB2312"/>
          <w:color w:val="auto"/>
          <w:sz w:val="32"/>
          <w:szCs w:val="32"/>
          <w:u w:val="none"/>
        </w:rPr>
        <w:t>财政拨款收入支出决算总表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五、</w:t>
      </w:r>
      <w:r>
        <w:rPr>
          <w:color w:val="auto"/>
          <w:u w:val="none"/>
        </w:rPr>
        <w:fldChar w:fldCharType="begin"/>
      </w:r>
      <w:r>
        <w:rPr>
          <w:color w:val="auto"/>
          <w:u w:val="none"/>
        </w:rPr>
        <w:instrText xml:space="preserve"> HYPERLINK \l "_Toc15396623" </w:instrText>
      </w:r>
      <w:r>
        <w:rPr>
          <w:color w:val="auto"/>
          <w:u w:val="none"/>
        </w:rPr>
        <w:fldChar w:fldCharType="separate"/>
      </w:r>
      <w:r>
        <w:rPr>
          <w:rFonts w:hint="eastAsia" w:ascii="仿宋_GB2312" w:hAnsi="仿宋_GB2312" w:eastAsia="仿宋_GB2312" w:cs="仿宋_GB2312"/>
          <w:color w:val="auto"/>
          <w:sz w:val="32"/>
          <w:szCs w:val="32"/>
          <w:u w:val="none"/>
        </w:rPr>
        <w:t>财政拨款支出决算明细表（政府经济分类科目）</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六、</w:t>
      </w:r>
      <w:r>
        <w:rPr>
          <w:color w:val="auto"/>
          <w:u w:val="none"/>
        </w:rPr>
        <w:fldChar w:fldCharType="begin"/>
      </w:r>
      <w:r>
        <w:rPr>
          <w:color w:val="auto"/>
          <w:u w:val="none"/>
        </w:rPr>
        <w:instrText xml:space="preserve"> HYPERLINK \l "_Toc15396624" </w:instrText>
      </w:r>
      <w:r>
        <w:rPr>
          <w:color w:val="auto"/>
          <w:u w:val="none"/>
        </w:rPr>
        <w:fldChar w:fldCharType="separate"/>
      </w:r>
      <w:r>
        <w:rPr>
          <w:rStyle w:val="16"/>
          <w:rFonts w:hint="eastAsia" w:ascii="仿宋_GB2312" w:hAnsi="仿宋_GB2312" w:eastAsia="仿宋_GB2312" w:cs="仿宋_GB2312"/>
          <w:color w:val="auto"/>
          <w:sz w:val="32"/>
          <w:szCs w:val="32"/>
          <w:u w:val="none"/>
        </w:rPr>
        <w:t>一般公共预算财政拨款支出决算表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七、</w:t>
      </w:r>
      <w:r>
        <w:rPr>
          <w:color w:val="auto"/>
          <w:u w:val="none"/>
        </w:rPr>
        <w:fldChar w:fldCharType="begin"/>
      </w:r>
      <w:r>
        <w:rPr>
          <w:color w:val="auto"/>
          <w:u w:val="none"/>
        </w:rPr>
        <w:instrText xml:space="preserve"> HYPERLINK \l "_Toc15396625" </w:instrText>
      </w:r>
      <w:r>
        <w:rPr>
          <w:color w:val="auto"/>
          <w:u w:val="none"/>
        </w:rPr>
        <w:fldChar w:fldCharType="separate"/>
      </w:r>
      <w:r>
        <w:rPr>
          <w:rStyle w:val="16"/>
          <w:rFonts w:hint="eastAsia" w:ascii="仿宋_GB2312" w:hAnsi="仿宋_GB2312" w:eastAsia="仿宋_GB2312" w:cs="仿宋_GB2312"/>
          <w:color w:val="auto"/>
          <w:sz w:val="32"/>
          <w:szCs w:val="32"/>
          <w:u w:val="none"/>
        </w:rPr>
        <w:t>一般公共预算财政拨款支出决算明细表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八、</w:t>
      </w:r>
      <w:r>
        <w:rPr>
          <w:color w:val="auto"/>
          <w:u w:val="none"/>
        </w:rPr>
        <w:fldChar w:fldCharType="begin"/>
      </w:r>
      <w:r>
        <w:rPr>
          <w:color w:val="auto"/>
          <w:u w:val="none"/>
        </w:rPr>
        <w:instrText xml:space="preserve"> HYPERLINK \l "_Toc15396626" </w:instrText>
      </w:r>
      <w:r>
        <w:rPr>
          <w:color w:val="auto"/>
          <w:u w:val="none"/>
        </w:rPr>
        <w:fldChar w:fldCharType="separate"/>
      </w:r>
      <w:r>
        <w:rPr>
          <w:rStyle w:val="16"/>
          <w:rFonts w:hint="eastAsia" w:ascii="仿宋_GB2312" w:hAnsi="仿宋_GB2312" w:eastAsia="仿宋_GB2312" w:cs="仿宋_GB2312"/>
          <w:color w:val="auto"/>
          <w:sz w:val="32"/>
          <w:szCs w:val="32"/>
          <w:u w:val="none"/>
        </w:rPr>
        <w:t>一般公共预算财政拨款基本支出决算表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九、</w:t>
      </w:r>
      <w:r>
        <w:rPr>
          <w:color w:val="auto"/>
          <w:u w:val="none"/>
        </w:rPr>
        <w:fldChar w:fldCharType="begin"/>
      </w:r>
      <w:r>
        <w:rPr>
          <w:color w:val="auto"/>
          <w:u w:val="none"/>
        </w:rPr>
        <w:instrText xml:space="preserve"> HYPERLINK \l "_Toc15396627" </w:instrText>
      </w:r>
      <w:r>
        <w:rPr>
          <w:color w:val="auto"/>
          <w:u w:val="none"/>
        </w:rPr>
        <w:fldChar w:fldCharType="separate"/>
      </w:r>
      <w:r>
        <w:rPr>
          <w:rStyle w:val="16"/>
          <w:rFonts w:hint="eastAsia" w:ascii="仿宋_GB2312" w:hAnsi="仿宋_GB2312" w:eastAsia="仿宋_GB2312" w:cs="仿宋_GB2312"/>
          <w:color w:val="auto"/>
          <w:sz w:val="32"/>
          <w:szCs w:val="32"/>
          <w:u w:val="none"/>
        </w:rPr>
        <w:t>一般公共预算财政拨款项目支出决算表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十、</w:t>
      </w:r>
      <w:r>
        <w:rPr>
          <w:color w:val="auto"/>
          <w:u w:val="none"/>
        </w:rPr>
        <w:fldChar w:fldCharType="begin"/>
      </w:r>
      <w:r>
        <w:rPr>
          <w:color w:val="auto"/>
          <w:u w:val="none"/>
        </w:rPr>
        <w:instrText xml:space="preserve"> HYPERLINK \l "_Toc15396628" </w:instrText>
      </w:r>
      <w:r>
        <w:rPr>
          <w:color w:val="auto"/>
          <w:u w:val="none"/>
        </w:rPr>
        <w:fldChar w:fldCharType="separate"/>
      </w:r>
      <w:r>
        <w:rPr>
          <w:rStyle w:val="16"/>
          <w:rFonts w:hint="eastAsia" w:ascii="仿宋_GB2312" w:hAnsi="仿宋_GB2312" w:eastAsia="仿宋_GB2312" w:cs="仿宋_GB2312"/>
          <w:color w:val="auto"/>
          <w:sz w:val="32"/>
          <w:szCs w:val="32"/>
          <w:u w:val="none"/>
        </w:rPr>
        <w:t>一般公共预算财政拨款“三公”经费支出决算表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十一、</w:t>
      </w:r>
      <w:r>
        <w:rPr>
          <w:color w:val="auto"/>
          <w:u w:val="none"/>
        </w:rPr>
        <w:fldChar w:fldCharType="begin"/>
      </w:r>
      <w:r>
        <w:rPr>
          <w:color w:val="auto"/>
          <w:u w:val="none"/>
        </w:rPr>
        <w:instrText xml:space="preserve"> HYPERLINK \l "_Toc15396629" </w:instrText>
      </w:r>
      <w:r>
        <w:rPr>
          <w:color w:val="auto"/>
          <w:u w:val="none"/>
        </w:rPr>
        <w:fldChar w:fldCharType="separate"/>
      </w:r>
      <w:r>
        <w:rPr>
          <w:rStyle w:val="16"/>
          <w:rFonts w:hint="eastAsia" w:ascii="仿宋_GB2312" w:hAnsi="仿宋_GB2312" w:eastAsia="仿宋_GB2312" w:cs="仿宋_GB2312"/>
          <w:color w:val="auto"/>
          <w:sz w:val="32"/>
          <w:szCs w:val="32"/>
          <w:u w:val="none"/>
        </w:rPr>
        <w:t>政府性基金预算财政拨款收入支出决算表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十二、</w:t>
      </w:r>
      <w:r>
        <w:rPr>
          <w:color w:val="auto"/>
          <w:u w:val="none"/>
        </w:rPr>
        <w:fldChar w:fldCharType="begin"/>
      </w:r>
      <w:r>
        <w:rPr>
          <w:color w:val="auto"/>
          <w:u w:val="none"/>
        </w:rPr>
        <w:instrText xml:space="preserve"> HYPERLINK \l "_Toc15396630" </w:instrText>
      </w:r>
      <w:r>
        <w:rPr>
          <w:color w:val="auto"/>
          <w:u w:val="none"/>
        </w:rPr>
        <w:fldChar w:fldCharType="separate"/>
      </w:r>
      <w:r>
        <w:rPr>
          <w:rStyle w:val="16"/>
          <w:rFonts w:hint="eastAsia" w:ascii="仿宋_GB2312" w:hAnsi="仿宋_GB2312" w:eastAsia="仿宋_GB2312" w:cs="仿宋_GB2312"/>
          <w:color w:val="auto"/>
          <w:sz w:val="32"/>
          <w:szCs w:val="32"/>
          <w:u w:val="none"/>
        </w:rPr>
        <w:t>政府性基金预算财政拨款“三公”经费支出决算表</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pStyle w:val="11"/>
        <w:adjustRightInd w:val="0"/>
        <w:snapToGrid w:val="0"/>
        <w:spacing w:line="576" w:lineRule="exact"/>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十三、</w:t>
      </w:r>
      <w:r>
        <w:rPr>
          <w:color w:val="auto"/>
          <w:u w:val="none"/>
        </w:rPr>
        <w:fldChar w:fldCharType="begin"/>
      </w:r>
      <w:r>
        <w:rPr>
          <w:color w:val="auto"/>
          <w:u w:val="none"/>
        </w:rPr>
        <w:instrText xml:space="preserve"> HYPERLINK \l "_Toc15396631" </w:instrText>
      </w:r>
      <w:r>
        <w:rPr>
          <w:color w:val="auto"/>
          <w:u w:val="none"/>
        </w:rPr>
        <w:fldChar w:fldCharType="separate"/>
      </w:r>
      <w:r>
        <w:rPr>
          <w:rStyle w:val="16"/>
          <w:rFonts w:hint="eastAsia" w:ascii="仿宋_GB2312" w:hAnsi="仿宋_GB2312" w:eastAsia="仿宋_GB2312" w:cs="仿宋_GB2312"/>
          <w:color w:val="auto"/>
          <w:sz w:val="32"/>
          <w:szCs w:val="32"/>
          <w:u w:val="none"/>
        </w:rPr>
        <w:t>国有资本经营预算支出决算表</w:t>
      </w:r>
      <w:r>
        <w:rPr>
          <w:rFonts w:hint="eastAsia" w:ascii="仿宋_GB2312" w:hAnsi="仿宋_GB2312" w:eastAsia="仿宋_GB2312" w:cs="仿宋_GB2312"/>
          <w:color w:val="auto"/>
          <w:sz w:val="32"/>
          <w:szCs w:val="32"/>
          <w:u w:val="none"/>
        </w:rPr>
        <w:tab/>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color w:val="auto"/>
          <w:sz w:val="32"/>
          <w:szCs w:val="32"/>
          <w:u w:val="none"/>
          <w:lang w:val="en-US" w:eastAsia="zh-CN"/>
        </w:rPr>
        <w:t>6</w:t>
      </w:r>
    </w:p>
    <w:p>
      <w:pPr>
        <w:widowControl/>
        <w:jc w:val="left"/>
        <w:rPr>
          <w:rFonts w:ascii="黑体" w:hAnsi="黑体" w:eastAsia="黑体"/>
          <w:bCs/>
          <w:color w:val="auto"/>
          <w:kern w:val="44"/>
          <w:sz w:val="44"/>
          <w:szCs w:val="44"/>
          <w:u w:val="none"/>
        </w:rPr>
      </w:pPr>
    </w:p>
    <w:p>
      <w:pPr>
        <w:widowControl/>
        <w:jc w:val="left"/>
        <w:rPr>
          <w:rFonts w:ascii="黑体" w:hAnsi="黑体" w:eastAsia="黑体"/>
          <w:bCs/>
          <w:color w:val="auto"/>
          <w:kern w:val="44"/>
          <w:sz w:val="44"/>
          <w:szCs w:val="44"/>
          <w:u w:val="none"/>
        </w:rPr>
      </w:pPr>
    </w:p>
    <w:p>
      <w:pPr>
        <w:widowControl/>
        <w:jc w:val="left"/>
        <w:rPr>
          <w:rFonts w:ascii="黑体" w:hAnsi="黑体" w:eastAsia="黑体"/>
          <w:bCs/>
          <w:color w:val="auto"/>
          <w:kern w:val="44"/>
          <w:sz w:val="44"/>
          <w:szCs w:val="44"/>
          <w:u w:val="none"/>
        </w:rPr>
      </w:pPr>
    </w:p>
    <w:p>
      <w:pPr>
        <w:widowControl/>
        <w:jc w:val="center"/>
        <w:rPr>
          <w:rFonts w:ascii="黑体" w:hAnsi="黑体" w:eastAsia="黑体"/>
          <w:color w:val="auto"/>
          <w:u w:val="none"/>
        </w:rPr>
      </w:pPr>
    </w:p>
    <w:p>
      <w:pPr>
        <w:widowControl/>
        <w:jc w:val="center"/>
        <w:rPr>
          <w:rFonts w:ascii="黑体" w:hAnsi="黑体" w:eastAsia="黑体"/>
          <w:color w:val="auto"/>
          <w:u w:val="none"/>
        </w:rPr>
      </w:pPr>
    </w:p>
    <w:p>
      <w:pPr>
        <w:widowControl/>
        <w:jc w:val="center"/>
        <w:rPr>
          <w:rFonts w:ascii="黑体" w:hAnsi="黑体" w:eastAsia="黑体"/>
          <w:color w:val="auto"/>
          <w:u w:val="none"/>
        </w:rPr>
      </w:pPr>
    </w:p>
    <w:p>
      <w:pPr>
        <w:widowControl/>
        <w:spacing w:line="576" w:lineRule="exact"/>
        <w:ind w:firstLine="420" w:firstLineChars="200"/>
        <w:jc w:val="center"/>
        <w:rPr>
          <w:rFonts w:ascii="黑体" w:hAnsi="黑体" w:eastAsia="黑体"/>
          <w:color w:val="auto"/>
          <w:u w:val="none"/>
        </w:rPr>
      </w:pPr>
    </w:p>
    <w:p>
      <w:pPr>
        <w:adjustRightInd w:val="0"/>
        <w:snapToGrid w:val="0"/>
        <w:spacing w:line="576" w:lineRule="exact"/>
        <w:ind w:firstLine="880" w:firstLineChars="200"/>
        <w:jc w:val="center"/>
        <w:outlineLvl w:val="0"/>
        <w:rPr>
          <w:rFonts w:hint="eastAsia" w:ascii="方正小标宋简体" w:hAnsi="黑体" w:eastAsia="方正小标宋简体"/>
          <w:color w:val="auto"/>
          <w:sz w:val="44"/>
          <w:szCs w:val="44"/>
          <w:u w:val="none"/>
        </w:rPr>
      </w:pPr>
    </w:p>
    <w:p>
      <w:pPr>
        <w:adjustRightInd w:val="0"/>
        <w:snapToGrid w:val="0"/>
        <w:spacing w:line="576" w:lineRule="exact"/>
        <w:ind w:firstLine="880" w:firstLineChars="200"/>
        <w:jc w:val="center"/>
        <w:outlineLvl w:val="0"/>
        <w:rPr>
          <w:rFonts w:hint="eastAsia" w:ascii="方正小标宋简体" w:hAnsi="黑体" w:eastAsia="方正小标宋简体"/>
          <w:color w:val="auto"/>
          <w:sz w:val="44"/>
          <w:szCs w:val="44"/>
          <w:u w:val="none"/>
        </w:rPr>
      </w:pPr>
    </w:p>
    <w:p>
      <w:pPr>
        <w:adjustRightInd w:val="0"/>
        <w:snapToGrid w:val="0"/>
        <w:spacing w:line="576" w:lineRule="exact"/>
        <w:ind w:firstLine="880" w:firstLineChars="200"/>
        <w:jc w:val="center"/>
        <w:outlineLvl w:val="0"/>
        <w:rPr>
          <w:rFonts w:hint="eastAsia" w:ascii="方正小标宋简体" w:hAnsi="黑体" w:eastAsia="方正小标宋简体"/>
          <w:sz w:val="44"/>
          <w:szCs w:val="44"/>
        </w:rPr>
      </w:pPr>
    </w:p>
    <w:p>
      <w:pPr>
        <w:adjustRightInd w:val="0"/>
        <w:snapToGrid w:val="0"/>
        <w:spacing w:line="576" w:lineRule="exact"/>
        <w:jc w:val="both"/>
        <w:outlineLvl w:val="0"/>
        <w:rPr>
          <w:rFonts w:hint="eastAsia" w:ascii="方正小标宋简体" w:hAnsi="黑体" w:eastAsia="方正小标宋简体"/>
          <w:sz w:val="44"/>
          <w:szCs w:val="44"/>
        </w:rPr>
      </w:pPr>
    </w:p>
    <w:p>
      <w:pPr>
        <w:adjustRightInd w:val="0"/>
        <w:snapToGrid w:val="0"/>
        <w:spacing w:line="576" w:lineRule="exact"/>
        <w:ind w:firstLine="880" w:firstLineChars="200"/>
        <w:jc w:val="center"/>
        <w:outlineLvl w:val="0"/>
        <w:rPr>
          <w:rFonts w:ascii="仿宋_GB2312" w:hAnsi="仿宋_GB2312" w:eastAsia="仿宋_GB2312" w:cs="仿宋_GB2312"/>
          <w:color w:val="000000"/>
          <w:sz w:val="32"/>
          <w:szCs w:val="32"/>
        </w:rPr>
      </w:pPr>
      <w:r>
        <w:rPr>
          <w:rFonts w:hint="eastAsia" w:ascii="方正小标宋简体" w:hAnsi="黑体" w:eastAsia="方正小标宋简体"/>
          <w:sz w:val="44"/>
          <w:szCs w:val="44"/>
        </w:rPr>
        <w:t xml:space="preserve">第一部分 </w:t>
      </w:r>
      <w:r>
        <w:rPr>
          <w:rStyle w:val="25"/>
          <w:rFonts w:hint="eastAsia" w:ascii="方正小标宋简体" w:hAnsi="黑体" w:eastAsia="方正小标宋简体"/>
          <w:b w:val="0"/>
          <w:bCs w:val="0"/>
        </w:rPr>
        <w:t>部门概况</w:t>
      </w:r>
      <w:bookmarkEnd w:id="12"/>
      <w:bookmarkEnd w:id="13"/>
      <w:bookmarkStart w:id="14" w:name="_Toc15396600"/>
      <w:bookmarkStart w:id="15" w:name="_Toc15377197"/>
    </w:p>
    <w:p>
      <w:pPr>
        <w:adjustRightInd w:val="0"/>
        <w:snapToGrid w:val="0"/>
        <w:spacing w:line="576" w:lineRule="exact"/>
        <w:ind w:firstLine="800" w:firstLineChars="250"/>
        <w:outlineLvl w:val="0"/>
        <w:rPr>
          <w:rFonts w:hint="eastAsia" w:ascii="黑体" w:hAnsi="黑体" w:eastAsia="黑体" w:cs="黑体"/>
          <w:b w:val="0"/>
          <w:bCs w:val="0"/>
          <w:sz w:val="32"/>
          <w:szCs w:val="32"/>
        </w:rPr>
      </w:pPr>
      <w:r>
        <w:rPr>
          <w:rFonts w:hint="eastAsia" w:ascii="黑体" w:hAnsi="黑体" w:eastAsia="黑体" w:cs="黑体"/>
          <w:b w:val="0"/>
          <w:bCs w:val="0"/>
          <w:color w:val="000000"/>
          <w:sz w:val="32"/>
          <w:szCs w:val="32"/>
        </w:rPr>
        <w:t>一、基</w:t>
      </w:r>
      <w:r>
        <w:rPr>
          <w:rStyle w:val="26"/>
          <w:rFonts w:hint="eastAsia" w:ascii="黑体" w:hAnsi="黑体" w:eastAsia="黑体" w:cs="黑体"/>
          <w:b w:val="0"/>
          <w:bCs w:val="0"/>
        </w:rPr>
        <w:t>本职能及主要工作</w:t>
      </w:r>
      <w:bookmarkEnd w:id="14"/>
      <w:bookmarkEnd w:id="15"/>
      <w:bookmarkStart w:id="16" w:name="_Toc15377198"/>
      <w:bookmarkStart w:id="17" w:name="_Toc15378445"/>
    </w:p>
    <w:p>
      <w:pPr>
        <w:snapToGrid w:val="0"/>
        <w:spacing w:line="576" w:lineRule="exact"/>
        <w:ind w:firstLine="643" w:firstLineChars="200"/>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（一）</w:t>
      </w:r>
      <w:r>
        <w:rPr>
          <w:rFonts w:hint="eastAsia" w:ascii="楷体" w:hAnsi="楷体" w:eastAsia="楷体" w:cs="楷体"/>
          <w:b/>
          <w:bCs w:val="0"/>
          <w:color w:val="000000"/>
          <w:sz w:val="32"/>
          <w:szCs w:val="32"/>
          <w:lang w:eastAsia="zh-CN"/>
        </w:rPr>
        <w:t>基本</w:t>
      </w:r>
      <w:r>
        <w:rPr>
          <w:rFonts w:hint="eastAsia" w:ascii="楷体" w:hAnsi="楷体" w:eastAsia="楷体" w:cs="楷体"/>
          <w:b/>
          <w:bCs w:val="0"/>
          <w:color w:val="000000"/>
          <w:sz w:val="32"/>
          <w:szCs w:val="32"/>
        </w:rPr>
        <w:t>职能</w:t>
      </w:r>
      <w:bookmarkEnd w:id="16"/>
      <w:bookmarkEnd w:id="17"/>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1.按照有关法律、法规、规章和政府的决定，做好城市管理工作。</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2.贯彻执行国家和地方关于城市市容市貌、园林绿化、环境卫生、市政设施（道路、照明、河道、排水）维护管理的法律、法规、规章及有关规范性文件。</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3.负责制定城市管理目标和计划。按照城市总体规划，研究制定全县城市管理、市政、环卫、城市绿化行业管理的发展战略。</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4.按照规定使用城市管理资金。根据市容、市政维护、环卫和绿化管理的部门资金预算，对资金使用实施监督控制。负责资金使用的核算，保证资金的正确使用。</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5.负责市容管理。统筹规划协调管理全县城市环境整治工作和“门前四包”工作。负责户外广告及临街各种广告栏、宣传栏、张贴栏、商标牌的位置和审批工作。管理临街建筑物、市政设施、建筑场地、城市交通运输工具等容貌。</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7.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8.负责全县城市路灯的管理。维护管理城市路灯，对市区户外灯饰管理工作进行统筹协调，监督检查。负责重要地段、场所和较大项目灯饰建设方案的审批和竣工验收。负责指导、检查、督促和实施“光亮工程”。</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9.负责城市河道管理工作。实行对城市河道和排水设施的容貌、卫生、环境的管理及城市河道、排水设施进行维护和疏淘。</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10.负责对城市绿化进行管理、维护。</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11.负责市政设施环境卫生。</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12.拟定城市管理规范性文件并组织论证和报批。组织参与行政复议和行政诉讼。</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13.负责组织城市管理法规的宣传，提高市民的文明素质和城市意识。负责办理社会各界、新闻媒体有关城市管理的批评建议意见。</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14.负责城管执法人员的培训、监督、教育和管理，要求依法执法、文明执法。</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15.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pPr>
        <w:snapToGrid w:val="0"/>
        <w:spacing w:line="576" w:lineRule="exact"/>
        <w:ind w:firstLine="640" w:firstLineChars="200"/>
        <w:rPr>
          <w:rFonts w:ascii="仿宋_GB2312" w:hAnsi="楷体" w:eastAsia="仿宋_GB2312"/>
          <w:sz w:val="32"/>
          <w:szCs w:val="32"/>
        </w:rPr>
      </w:pPr>
      <w:r>
        <w:rPr>
          <w:rFonts w:hint="eastAsia" w:ascii="仿宋_GB2312" w:hAnsi="楷体" w:eastAsia="仿宋_GB2312"/>
          <w:sz w:val="32"/>
          <w:szCs w:val="32"/>
        </w:rPr>
        <w:t>16.承办县政府交办的其他事项。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黑体" w:eastAsia="仿宋_GB2312"/>
          <w:b w:val="0"/>
          <w:bCs w:val="0"/>
        </w:rPr>
      </w:pPr>
      <w:bookmarkStart w:id="18" w:name="_Toc15377199"/>
      <w:bookmarkStart w:id="19" w:name="_Toc15378446"/>
      <w:r>
        <w:rPr>
          <w:rFonts w:hint="eastAsia" w:ascii="楷体" w:hAnsi="楷体" w:eastAsia="楷体"/>
          <w:b/>
          <w:bCs/>
          <w:color w:val="000000"/>
          <w:sz w:val="32"/>
          <w:szCs w:val="32"/>
        </w:rPr>
        <w:t>（二）2018年重点工作完成情况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黑体" w:eastAsia="仿宋_GB2312" w:cs="黑体"/>
          <w:b/>
          <w:sz w:val="32"/>
          <w:szCs w:val="32"/>
        </w:rPr>
      </w:pPr>
      <w:bookmarkStart w:id="20" w:name="_Toc15396601"/>
      <w:bookmarkStart w:id="21" w:name="_Toc15377200"/>
      <w:r>
        <w:rPr>
          <w:rFonts w:hint="eastAsia" w:ascii="仿宋_GB2312" w:hAnsi="黑体" w:eastAsia="仿宋_GB2312" w:cs="黑体"/>
          <w:b/>
          <w:sz w:val="32"/>
          <w:szCs w:val="32"/>
        </w:rPr>
        <w:t>1.开展市容专项治理行动，提升城市形象</w:t>
      </w:r>
    </w:p>
    <w:p>
      <w:pPr>
        <w:keepNext w:val="0"/>
        <w:keepLines w:val="0"/>
        <w:pageBreakBefore w:val="0"/>
        <w:widowControl w:val="0"/>
        <w:kinsoku/>
        <w:wordWrap/>
        <w:overflowPunct/>
        <w:topLinePunct w:val="0"/>
        <w:autoSpaceDE/>
        <w:autoSpaceDN/>
        <w:bidi w:val="0"/>
        <w:adjustRightInd/>
        <w:snapToGrid/>
        <w:spacing w:before="120" w:after="12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是开展农贸市场、内南街“坐商归店，行商归市”工作，在内南街开展“坐商归店、行商归市”工作，对农贸市场、内南街各商户逐一开展宣传动员工作，并邀请物管公司提前介入，做好租用光大物管岗亭和占用光大二期消防通道进行经营活动的2家商户的沟通协调工作。按照行权职责开展检查，引导商户坐商归店116户，依法疏导占道经营商贩17户，规范店招牌21个，清理垃圾1.5吨，有序规范了农贸市场、内南街经营活动秩序。</w:t>
      </w:r>
    </w:p>
    <w:p>
      <w:pPr>
        <w:keepNext w:val="0"/>
        <w:keepLines w:val="0"/>
        <w:pageBreakBefore w:val="0"/>
        <w:widowControl w:val="0"/>
        <w:kinsoku/>
        <w:wordWrap/>
        <w:overflowPunct/>
        <w:topLinePunct w:val="0"/>
        <w:autoSpaceDE/>
        <w:autoSpaceDN/>
        <w:bidi w:val="0"/>
        <w:adjustRightInd/>
        <w:snapToGrid/>
        <w:spacing w:before="120" w:after="12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是集中开展光大夜市整治工作集中开展光大、羌兴大道夜市整治工作。经过集中宣传动员，执法人员提前蹲守，严格管控经营时间和占道面积，将果蔬类商户引导至内南街至农贸市场路段，共计23户，取缔大型气垫儿童游乐设施1个，其余商户退至人行道或盲道线以外，确保人行通道畅通，同时要求夜市经营食品类商贩规范采取措施，避免油渍、油烟等污染。依法取缔违规占道摊点2处，依法清除违规搭建帐篷6顶。规范经营儿童游乐设施商户19户、食品类商户8户、服饰类商户17户、其他类3户。</w:t>
      </w:r>
    </w:p>
    <w:p>
      <w:pPr>
        <w:keepNext w:val="0"/>
        <w:keepLines w:val="0"/>
        <w:pageBreakBefore w:val="0"/>
        <w:widowControl w:val="0"/>
        <w:kinsoku/>
        <w:wordWrap/>
        <w:overflowPunct/>
        <w:topLinePunct w:val="0"/>
        <w:autoSpaceDE/>
        <w:autoSpaceDN/>
        <w:bidi w:val="0"/>
        <w:adjustRightInd/>
        <w:snapToGrid/>
        <w:spacing w:before="120" w:after="12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是规范治理滨河路、城南片区夜市摊点对城南片区和滨河路占道经营及夜市大排档进行了集中整治，营造良好市容环境。对滨河路及城南片区的阿坝州职业学院门口、城南电梯公寓、滨江小区、茂州花园、畅鑫苑、青坡门等11处夜市、烧烤摊点依法进行了规范和整治，依法规范出店经营商户240家，清理规范店招牌82个、烧烤架1个，依法清除违规占道搭建帐篷48顶，消除噪声污染源7处，清理卫生死角44处，清运垃圾9.5吨。排查出安全隐患3处，公共设施损坏4处，处理群众信访投诉2起，均已整改完毕，有效改善了城南片区和滨河路沿线市容市貌秩序。</w:t>
      </w:r>
    </w:p>
    <w:p>
      <w:pPr>
        <w:keepNext w:val="0"/>
        <w:keepLines w:val="0"/>
        <w:pageBreakBefore w:val="0"/>
        <w:widowControl w:val="0"/>
        <w:kinsoku/>
        <w:wordWrap/>
        <w:overflowPunct/>
        <w:topLinePunct w:val="0"/>
        <w:autoSpaceDE/>
        <w:autoSpaceDN/>
        <w:bidi w:val="0"/>
        <w:adjustRightInd/>
        <w:snapToGrid/>
        <w:spacing w:before="120" w:after="12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四是严厉整治砂石运输车辆“抛洒滴漏”行为针对我县境内三轮车、拖拉机、货车抛洒滴漏现象屡禁不止现象，及时安排部署调整执法人员，以大河坝砂石整治执法点为依托，联合交警、水务中心等单位加大对各砂场进入县城辖区各路口的查处力度，采取定点设卡和流动巡逻相结合的模式，以运输砂石、渣土、石子、建筑垃圾等运输车辆为重点，严查货车遗洒运物、超限超载运输等违法违规行为。同时，联合执法工作组在各施工工地路口发放宣传资料,开展抛洒滴漏整治行动宣传工作，积极营造良好的、安全有序的城市环境。共检查并整改砂石运输车辆728辆，有效遏制了我县县城境内道路运输车辆的严重超载抛洒滴漏现象。</w:t>
      </w:r>
    </w:p>
    <w:p>
      <w:pPr>
        <w:keepNext w:val="0"/>
        <w:keepLines w:val="0"/>
        <w:pageBreakBefore w:val="0"/>
        <w:widowControl w:val="0"/>
        <w:kinsoku/>
        <w:wordWrap/>
        <w:overflowPunct/>
        <w:topLinePunct w:val="0"/>
        <w:autoSpaceDE/>
        <w:autoSpaceDN/>
        <w:bidi w:val="0"/>
        <w:adjustRightInd/>
        <w:snapToGrid/>
        <w:spacing w:before="120" w:after="12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五是整治净化校园周边环境针对学校周边流动摊点、占道经营、散发小广告等环境问题，开展校园周边市容环境综合整治活动。坚持“依法规范、文明执法、疏堵结合”的工作原则，以凤仪镇学校、同心幼儿园为重点，采取集中整治与专人巡查相结合的方式，对周边流动摊贩、占道设摊的商贩进行了清理，引导各商户规范经营，杜绝占道经营、出店经营等违法违规行为，营造了良好的校园周边环境。累计清理流动摊点35处，规范经营70余次，切实有效提升了校园周边市容环境秩序，为广大师生营造了良好的市容环境。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b/>
          <w:sz w:val="32"/>
          <w:szCs w:val="32"/>
        </w:rPr>
      </w:pPr>
      <w:r>
        <w:rPr>
          <w:rFonts w:hint="eastAsia" w:ascii="仿宋_GB2312" w:hAnsi="宋体" w:eastAsia="仿宋_GB2312"/>
          <w:b/>
          <w:sz w:val="32"/>
          <w:szCs w:val="32"/>
        </w:rPr>
        <w:t>2.注重部门协作，凝聚城市治理合力</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b/>
          <w:sz w:val="32"/>
          <w:szCs w:val="32"/>
        </w:rPr>
        <w:t>一是</w:t>
      </w:r>
      <w:r>
        <w:rPr>
          <w:rFonts w:hint="eastAsia" w:ascii="仿宋_GB2312" w:hAnsi="宋体" w:eastAsia="仿宋_GB2312"/>
          <w:sz w:val="32"/>
          <w:szCs w:val="32"/>
        </w:rPr>
        <w:t>县城管局围绕安全示范街创建、放心舒心消费城市创建、法治示范机关（单位）创建等创建活动，结合各类专项执法工作，有效联合公安、消防、交警、工商、环保等相关职能部门，集中开展联合执法行动，实现职能整合，层层执法，形成优势互补，在更高标准上促进城市管理执法效能和管理合力的提升。</w:t>
      </w:r>
      <w:r>
        <w:rPr>
          <w:rFonts w:hint="eastAsia" w:ascii="仿宋_GB2312" w:hAnsi="宋体" w:eastAsia="仿宋_GB2312"/>
          <w:b/>
          <w:sz w:val="32"/>
          <w:szCs w:val="32"/>
        </w:rPr>
        <w:t>二是</w:t>
      </w:r>
      <w:r>
        <w:rPr>
          <w:rFonts w:hint="eastAsia" w:ascii="仿宋_GB2312" w:hAnsi="宋体" w:eastAsia="仿宋_GB2312"/>
          <w:sz w:val="32"/>
          <w:szCs w:val="32"/>
        </w:rPr>
        <w:t>通过构建公安、城管、工商、消防等多部门共同管理格局，全方位、立体化、无缝隙治理城市热点、难点问题，突出城市管理部门共同参与，强化了城市管理执法保障，特别是城市管理执法与公安保障作有机结合，加强了对城管执法人员和执法相对人双方的监督，较大程度上防止了执法现场可能发生的冲突，保障城市管理工作有效执行。</w:t>
      </w:r>
      <w:r>
        <w:rPr>
          <w:rFonts w:hint="eastAsia" w:ascii="仿宋_GB2312" w:hAnsi="宋体" w:eastAsia="仿宋_GB2312"/>
          <w:b/>
          <w:sz w:val="32"/>
          <w:szCs w:val="32"/>
        </w:rPr>
        <w:t>三是</w:t>
      </w:r>
      <w:r>
        <w:rPr>
          <w:rFonts w:hint="eastAsia" w:ascii="仿宋_GB2312" w:hAnsi="宋体" w:eastAsia="仿宋_GB2312"/>
          <w:sz w:val="32"/>
          <w:szCs w:val="32"/>
        </w:rPr>
        <w:t>在开展市容市貌集中整治行动，对城区乱搭乱建、乱堆乱放、占道违法经营等现象采取集中强制拆除、限期（立即）改正的同时，加强日常实时监管，定期开展行政检查，对涉及城市管理的违法行为，做到发现一起、查处一起，杜绝违法案件增量。</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黑体" w:eastAsia="仿宋_GB2312" w:cs="黑体"/>
          <w:b/>
          <w:sz w:val="32"/>
          <w:szCs w:val="32"/>
        </w:rPr>
      </w:pPr>
      <w:r>
        <w:rPr>
          <w:rFonts w:hint="eastAsia" w:ascii="仿宋_GB2312" w:hAnsi="黑体" w:eastAsia="仿宋_GB2312" w:cs="黑体"/>
          <w:b/>
          <w:bCs/>
          <w:sz w:val="32"/>
          <w:szCs w:val="32"/>
        </w:rPr>
        <w:t>3.</w:t>
      </w:r>
      <w:r>
        <w:rPr>
          <w:rFonts w:hint="eastAsia" w:ascii="仿宋_GB2312" w:hAnsi="黑体" w:eastAsia="仿宋_GB2312" w:cs="黑体"/>
          <w:b/>
          <w:sz w:val="32"/>
          <w:szCs w:val="32"/>
        </w:rPr>
        <w:t>深入开展城市环境综合整治活动，提高城市品味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b/>
          <w:sz w:val="32"/>
          <w:szCs w:val="32"/>
        </w:rPr>
        <w:t>一是</w:t>
      </w:r>
      <w:r>
        <w:rPr>
          <w:rFonts w:hint="eastAsia" w:ascii="仿宋_GB2312" w:hAnsi="宋体" w:eastAsia="仿宋_GB2312"/>
          <w:sz w:val="32"/>
          <w:szCs w:val="32"/>
        </w:rPr>
        <w:t>全面清除城区卫生死角，确保城市干净整洁，对城区环境卫生死角进行全面排查，并形成常态化管理，不留卫生死角，对城区主要街道的“牛皮癣”进行清除，组织专人对城市“牛皮癣”进行不间断清洗，美化、净化了城市容貌。</w:t>
      </w:r>
      <w:r>
        <w:rPr>
          <w:rFonts w:hint="eastAsia" w:ascii="仿宋_GB2312" w:hAnsi="宋体" w:eastAsia="仿宋_GB2312"/>
          <w:b/>
          <w:sz w:val="32"/>
          <w:szCs w:val="32"/>
        </w:rPr>
        <w:t>二是</w:t>
      </w:r>
      <w:r>
        <w:rPr>
          <w:rFonts w:hint="eastAsia" w:ascii="仿宋_GB2312" w:hAnsi="宋体" w:eastAsia="仿宋_GB2312"/>
          <w:sz w:val="32"/>
          <w:szCs w:val="32"/>
        </w:rPr>
        <w:t>全面清掏城市管网，确保汛期安全，对全县城区内供排水系统进行了全面的检查，对影响安全度汛的市政设施雨箅子、污水检查井、排污沟进行了全面清掏，今年共组织人员对全县污水管网，六条防洪沟清理，清掏雨箅子1501个，沉砂池43处。更换城区内损坏的污水井盖、盖板、雨箅子共计400余张，更换垃圾桶200余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仿宋_GB2312"/>
          <w:b/>
          <w:sz w:val="32"/>
          <w:szCs w:val="32"/>
        </w:rPr>
      </w:pPr>
      <w:r>
        <w:rPr>
          <w:rFonts w:hint="eastAsia" w:ascii="仿宋_GB2312" w:hAnsi="宋体" w:eastAsia="仿宋_GB2312" w:cs="黑体"/>
          <w:b/>
          <w:sz w:val="32"/>
          <w:szCs w:val="32"/>
        </w:rPr>
        <w:t>4.加强绿化管理工作，逐步改善人居环境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b/>
          <w:sz w:val="32"/>
          <w:szCs w:val="32"/>
        </w:rPr>
        <w:t>一是</w:t>
      </w:r>
      <w:r>
        <w:rPr>
          <w:rFonts w:hint="eastAsia" w:ascii="仿宋_GB2312" w:hAnsi="宋体" w:eastAsia="仿宋_GB2312"/>
          <w:sz w:val="32"/>
          <w:szCs w:val="32"/>
        </w:rPr>
        <w:t>抓好春季苗木补植工作，在城区补植了各类乔木710株、球状灌木206个、藤蔓植物7020株、栽植万年青苗24000株，移栽过密绿篱7878余平方米，在绿化带安装水总管总水口，切实解决绿化带浇水难问题。加强预防和治理病虫害，抽调专业技术人员，对城区不同树种及绿化进行了有针对性的施药半年共施药20余吨，病虫害防治6次。</w:t>
      </w:r>
      <w:r>
        <w:rPr>
          <w:rFonts w:hint="eastAsia" w:ascii="仿宋_GB2312" w:hAnsi="宋体" w:eastAsia="仿宋_GB2312"/>
          <w:b/>
          <w:sz w:val="32"/>
          <w:szCs w:val="32"/>
        </w:rPr>
        <w:t>二是</w:t>
      </w:r>
      <w:r>
        <w:rPr>
          <w:rFonts w:hint="eastAsia" w:ascii="仿宋_GB2312" w:hAnsi="宋体" w:eastAsia="仿宋_GB2312"/>
          <w:sz w:val="32"/>
          <w:szCs w:val="32"/>
        </w:rPr>
        <w:t>加强城区生态修复，治理岷江东岸祼露边坡2700余米并对该边坡进行覆土加固，防止滑坡、垮塌等地质灾害发生。</w:t>
      </w:r>
      <w:r>
        <w:rPr>
          <w:rFonts w:hint="eastAsia" w:ascii="仿宋_GB2312" w:hAnsi="宋体" w:eastAsia="仿宋_GB2312"/>
          <w:b/>
          <w:sz w:val="32"/>
          <w:szCs w:val="32"/>
        </w:rPr>
        <w:t>三是</w:t>
      </w:r>
      <w:r>
        <w:rPr>
          <w:rFonts w:hint="eastAsia" w:ascii="仿宋_GB2312" w:hAnsi="宋体" w:eastAsia="仿宋_GB2312"/>
          <w:sz w:val="32"/>
          <w:szCs w:val="32"/>
        </w:rPr>
        <w:t>提高绿化精细化管理水平，督促绿化养护公司对日常绿化养护工作的开展，今年发现安全隐患3处，制作安装安全警示标牌106个，更换、维修休闲椅84把、果皮箱89个。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黑体"/>
          <w:b/>
          <w:sz w:val="32"/>
          <w:szCs w:val="32"/>
        </w:rPr>
      </w:pPr>
      <w:r>
        <w:rPr>
          <w:rFonts w:hint="eastAsia" w:ascii="仿宋_GB2312" w:hAnsi="宋体" w:eastAsia="仿宋_GB2312" w:cs="黑体"/>
          <w:b/>
          <w:sz w:val="32"/>
          <w:szCs w:val="32"/>
        </w:rPr>
        <w:t>5.加强城市设施管理，美化城市面貌</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b/>
          <w:sz w:val="32"/>
          <w:szCs w:val="32"/>
        </w:rPr>
        <w:t>一是</w:t>
      </w:r>
      <w:r>
        <w:rPr>
          <w:rFonts w:hint="eastAsia" w:ascii="仿宋_GB2312" w:hAnsi="宋体" w:eastAsia="仿宋_GB2312"/>
          <w:sz w:val="32"/>
          <w:szCs w:val="32"/>
        </w:rPr>
        <w:t>加强安全隐患排查，确保交通和行人安全，对市政设施进行维修维护安排市政维修工作人员在城区范围内开展了市政基础设施（备）排查工作，对全县市政基础设施进行逐一检查，对损坏的市政设施进行维修，全力确保交通行人安全。2018年为确保做好市政维护工作，我局工作人员对县城内道路设施情况进行全面普查，对破损的路面、井座井盖、路沿石、人行道等设施损坏的数量进行详细的记录。全年维修人行道地板砖200平方米，维修道沿210米，修复混凝土路面500米；修补沥青路面坑槽195平方米；修复步行道112平方米；修复河提石栏320米；新增减速带40米；改造雨水管网138米；改造污水管网50米；改造厕所两座。</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仿宋_GB2312" w:hAnsi="宋体" w:eastAsia="仿宋_GB2312"/>
          <w:b/>
          <w:sz w:val="32"/>
          <w:szCs w:val="32"/>
        </w:rPr>
        <w:t>二是</w:t>
      </w:r>
      <w:r>
        <w:rPr>
          <w:rFonts w:hint="eastAsia" w:ascii="仿宋_GB2312" w:hAnsi="宋体" w:eastAsia="仿宋_GB2312"/>
          <w:sz w:val="32"/>
          <w:szCs w:val="32"/>
        </w:rPr>
        <w:t>加强路灯的管理维护，确保路灯亮灯率100%，今年我局着重抓好白天维护和夜间巡查工作，并将巡查区域按照网格划分落实到人，对巡查中发现的问题快速解决，及时排除所有故障，确保市民安全出行。</w:t>
      </w:r>
      <w:r>
        <w:rPr>
          <w:rFonts w:hint="eastAsia" w:ascii="仿宋_GB2312" w:eastAsia="仿宋_GB2312"/>
          <w:sz w:val="32"/>
          <w:szCs w:val="32"/>
        </w:rPr>
        <w:t>今年受理路灯故障60余次，累计完成抢、维修、140班次，维修路灯2100盏次，更换各类光源电器1800件套，维修电缆60处，更换电缆300余米，为城市建设、经济建设和方便群众工作生活做出了积极的贡献。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b/>
          <w:sz w:val="32"/>
          <w:szCs w:val="32"/>
        </w:rPr>
      </w:pPr>
      <w:r>
        <w:rPr>
          <w:rFonts w:hint="eastAsia" w:ascii="仿宋_GB2312" w:hAnsi="黑体" w:eastAsia="仿宋_GB2312" w:cs="黑体"/>
          <w:b/>
          <w:sz w:val="32"/>
          <w:szCs w:val="32"/>
        </w:rPr>
        <w:t>6.做好污水处理工作，确保污水处理厂排放达标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今年共处理污水95.91万吨，平均每日处理污水0.35万余吨。日常检修水泵、推进器等18台次；出水水质达到《城镇污水处理厂污染物排放标准》（GB18918-2002）1级A标标准。加强对各机组日常巡查与检修，对老旧细格栅进行拆除更换。定期对各机组进行巡查、检修，每天安排专人不定时对所有机组巡查一次，半个月对污水官网巡查一次，设备定期添加机油、黄油。对中控系统、鼓风机进行维修，切实加强在线各项指标监测和安全隐患排查，确保各项数据安全达标排放，确保全年无安全事故发生。</w:t>
      </w:r>
    </w:p>
    <w:p>
      <w:pPr>
        <w:keepNext w:val="0"/>
        <w:keepLines w:val="0"/>
        <w:pageBreakBefore w:val="0"/>
        <w:widowControl w:val="0"/>
        <w:tabs>
          <w:tab w:val="left" w:pos="312"/>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b/>
          <w:color w:val="000000"/>
          <w:sz w:val="32"/>
          <w:szCs w:val="32"/>
        </w:rPr>
      </w:pPr>
      <w:r>
        <w:rPr>
          <w:rFonts w:hint="eastAsia" w:ascii="仿宋_GB2312" w:hAnsi="黑体" w:eastAsia="仿宋_GB2312" w:cs="黑体"/>
          <w:sz w:val="32"/>
          <w:szCs w:val="32"/>
        </w:rPr>
        <w:t xml:space="preserve"> </w:t>
      </w:r>
      <w:r>
        <w:rPr>
          <w:rFonts w:hint="eastAsia" w:ascii="仿宋_GB2312" w:hAnsi="黑体" w:eastAsia="仿宋_GB2312" w:cs="黑体"/>
          <w:b/>
          <w:sz w:val="32"/>
          <w:szCs w:val="32"/>
        </w:rPr>
        <w:t>7.加强垃圾无害化处理，确保垃圾填埋场汛期安全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今年垃圾场职工进行24小时上班、值班制度，发现解决库区周边乱到垃圾、建渣6起,挡回垃圾35余车。全年垃圾场处理污水1731吨。使用药物3462毫升，应急抢修管网200多米，巡查渗漏液管网15次，巡查库区300多次，抢修道路2次，对库区和中转站安装监控，维修调节池防护栏。</w:t>
      </w:r>
    </w:p>
    <w:p>
      <w:pPr>
        <w:keepNext w:val="0"/>
        <w:keepLines w:val="0"/>
        <w:pageBreakBefore w:val="0"/>
        <w:widowControl w:val="0"/>
        <w:tabs>
          <w:tab w:val="left" w:pos="312"/>
        </w:tabs>
        <w:kinsoku/>
        <w:wordWrap/>
        <w:overflowPunct/>
        <w:topLinePunct w:val="0"/>
        <w:autoSpaceDE/>
        <w:autoSpaceDN/>
        <w:bidi w:val="0"/>
        <w:adjustRightInd/>
        <w:snapToGrid/>
        <w:spacing w:line="576" w:lineRule="exact"/>
        <w:ind w:firstLine="643" w:firstLineChars="200"/>
        <w:textAlignment w:val="auto"/>
        <w:rPr>
          <w:rFonts w:hint="eastAsia" w:ascii="仿宋_GB2312" w:hAnsi="黑体" w:eastAsia="仿宋_GB2312" w:cs="仿宋_GB2312"/>
          <w:b/>
          <w:bCs w:val="0"/>
          <w:kern w:val="0"/>
          <w:sz w:val="32"/>
          <w:szCs w:val="32"/>
        </w:rPr>
      </w:pPr>
      <w:r>
        <w:rPr>
          <w:rFonts w:hint="eastAsia" w:ascii="仿宋_GB2312" w:hAnsi="黑体" w:eastAsia="仿宋_GB2312" w:cs="黑体"/>
          <w:b/>
          <w:bCs w:val="0"/>
          <w:sz w:val="32"/>
          <w:szCs w:val="32"/>
        </w:rPr>
        <w:t>8.强化宣传引导，引领城市文明新风尚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通过在茂县政府网站、县电视台、微信、LED显示屏、城区公示栏发布通告和悬挂宣传横幅标语等多种方式，广泛宣传城市市容市貌执法工作;各片区执法人员走街串巷，向商铺、流动商贩、群众发放宣传单和手册，宣传城市管理的有关知识，引导广大市民、商户、流动摊贩知法、懂法、守法。在县城区发放宣传单3000余份，宣传册《致广大群众的一封告知书》5000余册。积极宣传城市管理法律法规知识，充分调动群众参与城市管理的积极性和主动性，营造社会关心支持城市环境综合整治工作的良好氛围。</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b/>
          <w:sz w:val="32"/>
          <w:szCs w:val="32"/>
        </w:rPr>
      </w:pPr>
      <w:r>
        <w:rPr>
          <w:rFonts w:hint="eastAsia" w:ascii="仿宋_GB2312" w:hAnsi="黑体" w:eastAsia="仿宋_GB2312" w:cs="黑体"/>
          <w:b/>
          <w:sz w:val="32"/>
          <w:szCs w:val="32"/>
        </w:rPr>
        <w:t>9.</w:t>
      </w:r>
      <w:r>
        <w:rPr>
          <w:rFonts w:hint="eastAsia" w:ascii="仿宋_GB2312" w:hAnsi="黑体" w:eastAsia="仿宋_GB2312" w:cs="黑体"/>
          <w:b/>
          <w:kern w:val="0"/>
          <w:sz w:val="32"/>
          <w:szCs w:val="32"/>
        </w:rPr>
        <w:t>严格管理，全面加强班子建设和队伍建设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为了进一步加强我局的党风廉政建设，从抓党支部建设入手，不断加强支部建设，着力推进了各项工作，发挥了党支部的战斗堡垒作用，从而提高党员干部素质，有力促进党风廉政建设责任制的落实，推动我局的整体工作开展。</w:t>
      </w:r>
      <w:r>
        <w:rPr>
          <w:rFonts w:hint="eastAsia" w:ascii="仿宋_GB2312" w:hAnsi="宋体" w:eastAsia="仿宋_GB2312"/>
          <w:b/>
          <w:sz w:val="32"/>
          <w:szCs w:val="32"/>
        </w:rPr>
        <w:t>一是</w:t>
      </w:r>
      <w:r>
        <w:rPr>
          <w:rFonts w:hint="eastAsia" w:ascii="仿宋_GB2312" w:hAnsi="宋体" w:eastAsia="仿宋_GB2312"/>
          <w:sz w:val="32"/>
          <w:szCs w:val="32"/>
        </w:rPr>
        <w:t>严格党的组织生活，坚持“三会一课”、民主生活会和组织生活会、谈心谈话等制度，推进党支部建设制度化、规范化。</w:t>
      </w:r>
      <w:r>
        <w:rPr>
          <w:rFonts w:hint="eastAsia" w:ascii="仿宋_GB2312" w:hAnsi="宋体" w:eastAsia="仿宋_GB2312"/>
          <w:b/>
          <w:sz w:val="32"/>
          <w:szCs w:val="32"/>
        </w:rPr>
        <w:t>二是</w:t>
      </w:r>
      <w:r>
        <w:rPr>
          <w:rFonts w:hint="eastAsia" w:ascii="仿宋_GB2312" w:hAnsi="宋体" w:eastAsia="仿宋_GB2312"/>
          <w:sz w:val="32"/>
          <w:szCs w:val="32"/>
        </w:rPr>
        <w:t>狠抓学习，制订具体的学习计划，对学习时间、学习方法、学习形式都进行了规定。坚持每周的学习制度，党支部和办公室组织进行集中学习。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黑体" w:eastAsia="仿宋_GB2312" w:cs="黑体"/>
          <w:b/>
          <w:bCs/>
          <w:sz w:val="32"/>
          <w:szCs w:val="32"/>
        </w:rPr>
      </w:pPr>
      <w:r>
        <w:rPr>
          <w:rFonts w:hint="eastAsia" w:ascii="仿宋_GB2312" w:hAnsi="黑体" w:eastAsia="仿宋_GB2312" w:cs="黑体"/>
          <w:b/>
          <w:sz w:val="32"/>
          <w:szCs w:val="32"/>
        </w:rPr>
        <w:t>10</w:t>
      </w:r>
      <w:r>
        <w:rPr>
          <w:rFonts w:hint="eastAsia" w:ascii="仿宋_GB2312" w:hAnsi="黑体" w:eastAsia="仿宋_GB2312" w:cs="黑体"/>
          <w:b/>
          <w:bCs/>
          <w:sz w:val="32"/>
          <w:szCs w:val="32"/>
        </w:rPr>
        <w:t>推进精准扶贫精准脱贫，确保如期实现脱贫攻坚目标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今年,我局认真按照县脱贫领导小组的相关要求，一方面帮助联系村理清了发展思路，制定出了切实可行的改善贫困人口生产和生活条件的计划和措施。另一方面多次开展走访贫困户，通过面对面交谈、心贴心交流，充分对贫困家庭的调查摸底后进行分类，按照致贫原因不同，分别对待，对症下药,给结对帮扶对象指明发展方向</w:t>
      </w:r>
    </w:p>
    <w:p>
      <w:pPr>
        <w:pStyle w:val="3"/>
        <w:spacing w:line="576" w:lineRule="exact"/>
        <w:ind w:firstLine="800" w:firstLineChars="250"/>
        <w:rPr>
          <w:rStyle w:val="26"/>
          <w:rFonts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3"/>
        <w:spacing w:line="576" w:lineRule="exact"/>
        <w:ind w:firstLine="640" w:firstLineChars="200"/>
        <w:rPr>
          <w:rFonts w:hint="eastAsia" w:ascii="仿宋_GB2312" w:hAnsi="楷体" w:eastAsia="仿宋_GB2312"/>
          <w:color w:val="000000"/>
        </w:rPr>
      </w:pPr>
      <w:r>
        <w:rPr>
          <w:rFonts w:hint="eastAsia" w:ascii="仿宋_GB2312" w:hAnsi="楷体" w:eastAsia="仿宋_GB2312"/>
          <w:b w:val="0"/>
          <w:color w:val="000000"/>
        </w:rPr>
        <w:t>茂县城市管理局属一级预算单位</w:t>
      </w:r>
      <w:r>
        <w:rPr>
          <w:rFonts w:hint="eastAsia" w:ascii="仿宋_GB2312" w:hAnsi="楷体" w:eastAsia="仿宋_GB2312"/>
          <w:color w:val="000000"/>
        </w:rPr>
        <w:t>。</w:t>
      </w:r>
    </w:p>
    <w:p>
      <w:pPr>
        <w:rPr>
          <w:rFonts w:hint="eastAsia" w:ascii="仿宋_GB2312" w:hAnsi="楷体" w:eastAsia="仿宋_GB2312"/>
          <w:color w:val="000000"/>
        </w:rPr>
      </w:pPr>
    </w:p>
    <w:p>
      <w:pPr>
        <w:numPr>
          <w:ilvl w:val="0"/>
          <w:numId w:val="1"/>
        </w:numPr>
        <w:adjustRightInd w:val="0"/>
        <w:snapToGrid w:val="0"/>
        <w:spacing w:line="576" w:lineRule="exact"/>
        <w:ind w:firstLine="200"/>
        <w:jc w:val="center"/>
        <w:outlineLvl w:val="0"/>
        <w:rPr>
          <w:rFonts w:ascii="方正小标宋简体" w:hAnsi="黑体" w:eastAsia="方正小标宋简体"/>
          <w:kern w:val="44"/>
          <w:sz w:val="44"/>
          <w:szCs w:val="44"/>
        </w:rPr>
      </w:pPr>
      <w:bookmarkStart w:id="22" w:name="_Toc15377204"/>
      <w:bookmarkStart w:id="23" w:name="_Toc15396602"/>
      <w:r>
        <w:rPr>
          <w:rStyle w:val="25"/>
          <w:rFonts w:hint="eastAsia" w:ascii="方正小标宋简体" w:hAnsi="黑体" w:eastAsia="方正小标宋简体"/>
          <w:b w:val="0"/>
          <w:bCs w:val="0"/>
        </w:rPr>
        <w:t>2018年度部门决算情况说明</w:t>
      </w:r>
      <w:bookmarkEnd w:id="22"/>
      <w:bookmarkEnd w:id="23"/>
    </w:p>
    <w:p>
      <w:pPr>
        <w:spacing w:line="576" w:lineRule="exact"/>
        <w:ind w:firstLine="640" w:firstLineChars="200"/>
        <w:outlineLvl w:val="1"/>
        <w:rPr>
          <w:rStyle w:val="26"/>
          <w:rFonts w:ascii="仿宋" w:hAnsi="仿宋" w:eastAsia="仿宋" w:cs="Times New Roman"/>
          <w:b w:val="0"/>
          <w:bCs w:val="0"/>
          <w:color w:val="000000"/>
        </w:rPr>
      </w:pPr>
      <w:bookmarkStart w:id="24" w:name="_Toc15377205"/>
      <w:bookmarkStart w:id="25" w:name="_Toc15396603"/>
      <w:r>
        <w:rPr>
          <w:rFonts w:hint="eastAsia" w:ascii="黑体" w:hAnsi="黑体" w:eastAsia="黑体"/>
          <w:color w:val="000000"/>
          <w:sz w:val="32"/>
          <w:szCs w:val="32"/>
        </w:rPr>
        <w:t>一、 收</w:t>
      </w:r>
      <w:r>
        <w:rPr>
          <w:rStyle w:val="26"/>
          <w:rFonts w:hint="eastAsia" w:ascii="黑体" w:hAnsi="黑体" w:eastAsia="黑体"/>
          <w:b w:val="0"/>
        </w:rPr>
        <w:t>入支出决算总体情况说明</w:t>
      </w:r>
      <w:bookmarkEnd w:id="24"/>
      <w:bookmarkEnd w:id="25"/>
    </w:p>
    <w:p>
      <w:pPr>
        <w:spacing w:line="576"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2018年度收</w:t>
      </w:r>
      <w:r>
        <w:rPr>
          <w:rFonts w:hint="eastAsia" w:ascii="仿宋_GB2312" w:hAnsi="仿宋" w:eastAsia="仿宋_GB2312"/>
          <w:color w:val="000000"/>
          <w:sz w:val="32"/>
          <w:szCs w:val="32"/>
          <w:lang w:eastAsia="zh-CN"/>
        </w:rPr>
        <w:t>入总计</w:t>
      </w:r>
      <w:r>
        <w:rPr>
          <w:rFonts w:hint="eastAsia" w:ascii="仿宋_GB2312" w:hAnsi="仿宋" w:eastAsia="仿宋_GB2312"/>
          <w:color w:val="000000"/>
          <w:sz w:val="32"/>
          <w:szCs w:val="32"/>
          <w:lang w:val="en-US" w:eastAsia="zh-CN"/>
        </w:rPr>
        <w:t>1176.51万元，</w:t>
      </w:r>
      <w:r>
        <w:rPr>
          <w:rFonts w:hint="eastAsia" w:ascii="仿宋_GB2312" w:hAnsi="仿宋" w:eastAsia="仿宋_GB2312"/>
          <w:color w:val="000000"/>
          <w:sz w:val="32"/>
          <w:szCs w:val="32"/>
        </w:rPr>
        <w:t>支总计1176.51万元。</w:t>
      </w:r>
      <w:r>
        <w:rPr>
          <w:rFonts w:hint="eastAsia" w:ascii="仿宋_GB2312" w:hAnsi="仿宋" w:eastAsia="仿宋_GB2312"/>
          <w:color w:val="000000"/>
          <w:sz w:val="32"/>
          <w:szCs w:val="32"/>
          <w:lang w:eastAsia="zh-CN"/>
        </w:rPr>
        <w:t>收入支出</w:t>
      </w:r>
      <w:r>
        <w:rPr>
          <w:rFonts w:hint="eastAsia" w:ascii="仿宋_GB2312" w:hAnsi="仿宋" w:eastAsia="仿宋_GB2312"/>
          <w:color w:val="000000"/>
          <w:sz w:val="32"/>
          <w:szCs w:val="32"/>
        </w:rPr>
        <w:t>与2017年相比，收入与上年比较减少306.39万元，下降26%。主要变动原因是我单位厉行节约减少支出。</w:t>
      </w:r>
    </w:p>
    <w:p>
      <w:pPr>
        <w:spacing w:line="576" w:lineRule="exact"/>
        <w:ind w:firstLine="640" w:firstLineChars="200"/>
        <w:outlineLvl w:val="1"/>
        <w:rPr>
          <w:rFonts w:ascii="仿宋_GB2312" w:hAnsi="仿宋" w:eastAsia="仿宋_GB2312"/>
          <w:color w:val="000000"/>
          <w:sz w:val="32"/>
          <w:szCs w:val="32"/>
        </w:rPr>
      </w:pPr>
    </w:p>
    <w:p>
      <w:r>
        <w:drawing>
          <wp:inline distT="0" distB="0" distL="0" distR="0">
            <wp:extent cx="5274310" cy="3076575"/>
            <wp:effectExtent l="19050" t="0" r="21590" b="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800" w:firstLineChars="250"/>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numPr>
          <w:ilvl w:val="0"/>
          <w:numId w:val="2"/>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2018年本年收入合计1132.37万元，其中：一般公共预算财政拨款收入971.24万元，占85.77%；政府性基金预算财政拨款收入161.12万元，占14.23%；国有资本经营预算财政拨款收入0万元，占0%；事业收入0万元，占0%；经营收入0万元，占0%；附属单位上缴收入0万元，占0%；其他收入0万元，占0%。</w:t>
      </w:r>
    </w:p>
    <w:p/>
    <w:p>
      <w:r>
        <w:drawing>
          <wp:inline distT="0" distB="0" distL="0" distR="0">
            <wp:extent cx="4800600" cy="2787015"/>
            <wp:effectExtent l="4445" t="4445" r="1460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4"/>
        <w:numPr>
          <w:ilvl w:val="0"/>
          <w:numId w:val="2"/>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76" w:lineRule="exact"/>
        <w:ind w:firstLine="1134"/>
        <w:textAlignment w:val="auto"/>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2018年本年支出合计1081.4万元，其中：基本支出676.24万元，占62.53%；项目支出405.16万元，占37.47%；上缴上级支出0万元，占0%；经营支出0万元，占0%；对附属单位补助支出0万元，占0%。</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（图3：支出决算结构图）（饼状图）</w:t>
      </w:r>
    </w:p>
    <w:p>
      <w:r>
        <w:drawing>
          <wp:inline distT="0" distB="0" distL="0" distR="0">
            <wp:extent cx="4629150" cy="2124075"/>
            <wp:effectExtent l="19050" t="0" r="1905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numPr>
          <w:ilvl w:val="0"/>
          <w:numId w:val="2"/>
        </w:numPr>
        <w:spacing w:line="576" w:lineRule="exact"/>
        <w:rPr>
          <w:rStyle w:val="26"/>
          <w:rFonts w:ascii="黑体" w:hAnsi="黑体" w:eastAsia="黑体"/>
          <w:b w:val="0"/>
          <w:bCs w:val="0"/>
        </w:rPr>
      </w:pPr>
      <w:bookmarkStart w:id="30" w:name="_Toc15396606"/>
      <w:bookmarkStart w:id="31" w:name="_Toc15377208"/>
      <w:r>
        <w:rPr>
          <w:rFonts w:hint="eastAsia" w:ascii="黑体" w:hAnsi="黑体" w:eastAsia="黑体"/>
          <w:b w:val="0"/>
          <w:bCs w:val="0"/>
          <w:color w:val="000000"/>
        </w:rPr>
        <w:t>财</w:t>
      </w:r>
      <w:r>
        <w:rPr>
          <w:rStyle w:val="26"/>
          <w:rFonts w:hint="eastAsia" w:ascii="黑体" w:hAnsi="黑体" w:eastAsia="黑体"/>
          <w:b w:val="0"/>
          <w:bCs/>
        </w:rPr>
        <w:t>政拨款收入支出决算总体情况说明</w:t>
      </w:r>
      <w:bookmarkEnd w:id="30"/>
      <w:bookmarkEnd w:id="31"/>
    </w:p>
    <w:p>
      <w:pPr>
        <w:spacing w:line="576"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2018年财政拨款收入</w:t>
      </w:r>
      <w:r>
        <w:rPr>
          <w:rFonts w:hint="eastAsia" w:ascii="仿宋_GB2312" w:hAnsi="仿宋" w:eastAsia="仿宋_GB2312"/>
          <w:color w:val="000000"/>
          <w:sz w:val="32"/>
          <w:szCs w:val="32"/>
          <w:lang w:eastAsia="zh-CN"/>
        </w:rPr>
        <w:t>总计</w:t>
      </w:r>
      <w:r>
        <w:rPr>
          <w:rFonts w:hint="eastAsia" w:ascii="仿宋_GB2312" w:hAnsi="仿宋" w:eastAsia="仿宋_GB2312"/>
          <w:color w:val="000000"/>
          <w:sz w:val="32"/>
          <w:szCs w:val="32"/>
          <w:lang w:val="en-US" w:eastAsia="zh-CN"/>
        </w:rPr>
        <w:t>1176.51</w:t>
      </w:r>
      <w:r>
        <w:rPr>
          <w:rFonts w:hint="eastAsia" w:ascii="仿宋_GB2312" w:hAnsi="仿宋" w:eastAsia="仿宋_GB2312"/>
          <w:color w:val="000000"/>
          <w:sz w:val="32"/>
          <w:szCs w:val="32"/>
        </w:rPr>
        <w:t>万元，与2017年</w:t>
      </w:r>
      <w:r>
        <w:rPr>
          <w:rFonts w:hint="eastAsia" w:ascii="仿宋_GB2312" w:hAnsi="仿宋" w:eastAsia="仿宋_GB2312"/>
          <w:color w:val="000000"/>
          <w:sz w:val="32"/>
          <w:szCs w:val="32"/>
          <w:lang w:eastAsia="zh-CN"/>
        </w:rPr>
        <w:t>收入</w:t>
      </w:r>
      <w:r>
        <w:rPr>
          <w:rFonts w:hint="eastAsia" w:ascii="仿宋_GB2312" w:hAnsi="仿宋" w:eastAsia="仿宋_GB2312"/>
          <w:color w:val="000000"/>
          <w:sz w:val="32"/>
          <w:szCs w:val="32"/>
        </w:rPr>
        <w:t>相比，财政拨款收入</w:t>
      </w:r>
      <w:r>
        <w:rPr>
          <w:rFonts w:hint="eastAsia" w:ascii="仿宋_GB2312" w:hAnsi="仿宋" w:eastAsia="仿宋_GB2312"/>
          <w:color w:val="000000"/>
          <w:sz w:val="32"/>
          <w:szCs w:val="32"/>
          <w:lang w:eastAsia="zh-CN"/>
        </w:rPr>
        <w:t>总计</w:t>
      </w:r>
      <w:r>
        <w:rPr>
          <w:rFonts w:hint="eastAsia" w:ascii="仿宋_GB2312" w:hAnsi="仿宋" w:eastAsia="仿宋_GB2312"/>
          <w:color w:val="000000"/>
          <w:sz w:val="32"/>
          <w:szCs w:val="32"/>
        </w:rPr>
        <w:t>比较减少</w:t>
      </w:r>
      <w:r>
        <w:rPr>
          <w:rFonts w:hint="eastAsia" w:ascii="仿宋_GB2312" w:hAnsi="仿宋" w:eastAsia="仿宋_GB2312"/>
          <w:color w:val="000000"/>
          <w:sz w:val="32"/>
          <w:szCs w:val="32"/>
          <w:lang w:val="en-US" w:eastAsia="zh-CN"/>
        </w:rPr>
        <w:t>306.4</w:t>
      </w:r>
      <w:r>
        <w:rPr>
          <w:rFonts w:hint="eastAsia" w:ascii="仿宋_GB2312" w:hAnsi="仿宋" w:eastAsia="仿宋_GB2312"/>
          <w:color w:val="000000"/>
          <w:sz w:val="32"/>
          <w:szCs w:val="32"/>
        </w:rPr>
        <w:t>万元，下降</w:t>
      </w:r>
      <w:r>
        <w:rPr>
          <w:rFonts w:hint="eastAsia" w:ascii="仿宋_GB2312" w:hAnsi="仿宋" w:eastAsia="仿宋_GB2312"/>
          <w:color w:val="000000"/>
          <w:sz w:val="32"/>
          <w:szCs w:val="32"/>
          <w:lang w:val="en-US" w:eastAsia="zh-CN"/>
        </w:rPr>
        <w:t>26</w:t>
      </w:r>
      <w:r>
        <w:rPr>
          <w:rFonts w:hint="eastAsia" w:ascii="仿宋_GB2312" w:hAnsi="仿宋" w:eastAsia="仿宋_GB2312"/>
          <w:color w:val="000000"/>
          <w:sz w:val="32"/>
          <w:szCs w:val="32"/>
        </w:rPr>
        <w:t>%。主要变动原因是单位厉行节约减少支出。</w:t>
      </w:r>
    </w:p>
    <w:p>
      <w:pPr>
        <w:spacing w:line="576"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2018年财政拨款</w:t>
      </w:r>
      <w:r>
        <w:rPr>
          <w:rFonts w:hint="eastAsia" w:ascii="仿宋_GB2312" w:hAnsi="仿宋" w:eastAsia="仿宋_GB2312"/>
          <w:color w:val="000000"/>
          <w:sz w:val="32"/>
          <w:szCs w:val="32"/>
          <w:lang w:eastAsia="zh-CN"/>
        </w:rPr>
        <w:t>支出总计</w:t>
      </w:r>
      <w:r>
        <w:rPr>
          <w:rFonts w:hint="eastAsia" w:ascii="仿宋_GB2312" w:hAnsi="仿宋" w:eastAsia="仿宋_GB2312"/>
          <w:color w:val="000000"/>
          <w:sz w:val="32"/>
          <w:szCs w:val="32"/>
          <w:lang w:val="en-US" w:eastAsia="zh-CN"/>
        </w:rPr>
        <w:t>1176.51</w:t>
      </w:r>
      <w:r>
        <w:rPr>
          <w:rFonts w:hint="eastAsia" w:ascii="仿宋_GB2312" w:hAnsi="仿宋" w:eastAsia="仿宋_GB2312"/>
          <w:color w:val="000000"/>
          <w:sz w:val="32"/>
          <w:szCs w:val="32"/>
        </w:rPr>
        <w:t>万元，与2017年</w:t>
      </w:r>
      <w:r>
        <w:rPr>
          <w:rFonts w:hint="eastAsia" w:ascii="仿宋_GB2312" w:hAnsi="仿宋" w:eastAsia="仿宋_GB2312"/>
          <w:color w:val="000000"/>
          <w:sz w:val="32"/>
          <w:szCs w:val="32"/>
          <w:lang w:eastAsia="zh-CN"/>
        </w:rPr>
        <w:t>支出</w:t>
      </w:r>
      <w:r>
        <w:rPr>
          <w:rFonts w:hint="eastAsia" w:ascii="仿宋_GB2312" w:hAnsi="仿宋" w:eastAsia="仿宋_GB2312"/>
          <w:color w:val="000000"/>
          <w:sz w:val="32"/>
          <w:szCs w:val="32"/>
        </w:rPr>
        <w:t>相比，财政拨款</w:t>
      </w:r>
      <w:r>
        <w:rPr>
          <w:rFonts w:hint="eastAsia" w:ascii="仿宋_GB2312" w:hAnsi="仿宋" w:eastAsia="仿宋_GB2312"/>
          <w:color w:val="000000"/>
          <w:sz w:val="32"/>
          <w:szCs w:val="32"/>
          <w:lang w:eastAsia="zh-CN"/>
        </w:rPr>
        <w:t>支出总计</w:t>
      </w:r>
      <w:r>
        <w:rPr>
          <w:rFonts w:hint="eastAsia" w:ascii="仿宋_GB2312" w:hAnsi="仿宋" w:eastAsia="仿宋_GB2312"/>
          <w:color w:val="000000"/>
          <w:sz w:val="32"/>
          <w:szCs w:val="32"/>
        </w:rPr>
        <w:t>比较减少</w:t>
      </w:r>
      <w:r>
        <w:rPr>
          <w:rFonts w:hint="eastAsia" w:ascii="仿宋_GB2312" w:hAnsi="仿宋" w:eastAsia="仿宋_GB2312"/>
          <w:color w:val="000000"/>
          <w:sz w:val="32"/>
          <w:szCs w:val="32"/>
          <w:lang w:val="en-US" w:eastAsia="zh-CN"/>
        </w:rPr>
        <w:t>306.4</w:t>
      </w:r>
      <w:r>
        <w:rPr>
          <w:rFonts w:hint="eastAsia" w:ascii="仿宋_GB2312" w:hAnsi="仿宋" w:eastAsia="仿宋_GB2312"/>
          <w:color w:val="000000"/>
          <w:sz w:val="32"/>
          <w:szCs w:val="32"/>
        </w:rPr>
        <w:t>万元，下降</w:t>
      </w:r>
      <w:r>
        <w:rPr>
          <w:rFonts w:hint="eastAsia" w:ascii="仿宋_GB2312" w:hAnsi="仿宋" w:eastAsia="仿宋_GB2312"/>
          <w:color w:val="000000"/>
          <w:sz w:val="32"/>
          <w:szCs w:val="32"/>
          <w:lang w:val="en-US" w:eastAsia="zh-CN"/>
        </w:rPr>
        <w:t>26</w:t>
      </w:r>
      <w:r>
        <w:rPr>
          <w:rFonts w:hint="eastAsia" w:ascii="仿宋_GB2312" w:hAnsi="仿宋" w:eastAsia="仿宋_GB2312"/>
          <w:color w:val="000000"/>
          <w:sz w:val="32"/>
          <w:szCs w:val="32"/>
        </w:rPr>
        <w:t>%。主要变动原因是单位厉行节约减少支出。</w:t>
      </w:r>
    </w:p>
    <w:p>
      <w:pPr>
        <w:spacing w:line="576" w:lineRule="exact"/>
        <w:ind w:firstLine="420" w:firstLineChars="200"/>
        <w:rPr>
          <w:rFonts w:ascii="仿宋_GB2312" w:hAnsi="仿宋" w:eastAsia="仿宋_GB2312"/>
          <w:b w:val="0"/>
          <w:color w:val="000000" w:themeColor="text1"/>
          <w14:textFill>
            <w14:solidFill>
              <w14:schemeClr w14:val="tx1"/>
            </w14:solidFill>
          </w14:textFill>
        </w:rPr>
      </w:pPr>
      <w:bookmarkStart w:id="74" w:name="_GoBack"/>
      <w:bookmarkEnd w:id="74"/>
      <w:r>
        <w:rPr>
          <w:rFonts w:hint="eastAsia" w:ascii="仿宋_GB2312" w:hAnsi="仿宋" w:eastAsia="仿宋_GB2312"/>
          <w:b w:val="0"/>
          <w:color w:val="000000" w:themeColor="text1"/>
          <w14:textFill>
            <w14:solidFill>
              <w14:schemeClr w14:val="tx1"/>
            </w14:solidFill>
          </w14:textFill>
        </w:rPr>
        <w:t>（图4：财政拨款收、支决算总计变动情况）（柱状图）</w:t>
      </w:r>
    </w:p>
    <w:p>
      <w:r>
        <w:drawing>
          <wp:inline distT="0" distB="0" distL="0" distR="0">
            <wp:extent cx="5400675" cy="2724150"/>
            <wp:effectExtent l="19050" t="0" r="9525" b="0"/>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
      <w:pPr>
        <w:ind w:firstLine="640" w:firstLineChars="200"/>
        <w:rPr>
          <w:b w:val="0"/>
          <w:bCs w:val="0"/>
        </w:rPr>
      </w:pPr>
      <w:bookmarkStart w:id="32" w:name="_Toc15377209"/>
      <w:bookmarkStart w:id="33" w:name="_Toc15396607"/>
      <w:r>
        <w:rPr>
          <w:rFonts w:hint="eastAsia" w:ascii="黑体" w:hAnsi="黑体" w:eastAsia="黑体"/>
          <w:b w:val="0"/>
          <w:bCs w:val="0"/>
          <w:color w:val="000000"/>
          <w:sz w:val="32"/>
          <w:szCs w:val="32"/>
        </w:rPr>
        <w:t>五、一</w:t>
      </w:r>
      <w:r>
        <w:rPr>
          <w:rStyle w:val="26"/>
          <w:rFonts w:hint="eastAsia" w:ascii="黑体" w:hAnsi="黑体" w:eastAsia="黑体"/>
          <w:b w:val="0"/>
          <w:bCs w:val="0"/>
        </w:rPr>
        <w:t>般公共预算财政拨款支出决算情况说明</w:t>
      </w:r>
      <w:bookmarkEnd w:id="32"/>
      <w:bookmarkEnd w:id="33"/>
      <w:bookmarkStart w:id="34" w:name="_Toc15377210"/>
    </w:p>
    <w:p>
      <w:pPr>
        <w:spacing w:line="600" w:lineRule="exact"/>
        <w:ind w:firstLine="643" w:firstLineChars="200"/>
        <w:outlineLvl w:val="1"/>
        <w:rPr>
          <w:rFonts w:hint="eastAsia" w:ascii="楷体" w:hAnsi="楷体" w:eastAsia="楷体" w:cs="楷体"/>
          <w:b/>
          <w:color w:val="000000"/>
          <w:sz w:val="32"/>
          <w:szCs w:val="32"/>
        </w:rPr>
      </w:pPr>
      <w:r>
        <w:rPr>
          <w:rFonts w:hint="eastAsia" w:ascii="楷体" w:hAnsi="楷体" w:eastAsia="楷体" w:cs="楷体"/>
          <w:b/>
          <w:color w:val="000000"/>
          <w:sz w:val="32"/>
          <w:szCs w:val="32"/>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w:t>
      </w:r>
      <w:r>
        <w:rPr>
          <w:rFonts w:hint="eastAsia" w:ascii="仿宋_GB2312" w:hAnsi="仿宋" w:eastAsia="仿宋_GB2312"/>
          <w:color w:val="000000"/>
          <w:sz w:val="32"/>
          <w:szCs w:val="32"/>
          <w:lang w:val="en-US" w:eastAsia="zh-CN"/>
        </w:rPr>
        <w:t>920.28</w:t>
      </w:r>
      <w:r>
        <w:rPr>
          <w:rFonts w:hint="eastAsia" w:ascii="仿宋_GB2312" w:hAnsi="仿宋" w:eastAsia="仿宋_GB2312"/>
          <w:color w:val="000000"/>
          <w:sz w:val="32"/>
          <w:szCs w:val="32"/>
        </w:rPr>
        <w:t>万元，占本年支出合计的100%。与2017年相比，一般公共预算财政拨款减少</w:t>
      </w:r>
      <w:r>
        <w:rPr>
          <w:rFonts w:hint="eastAsia" w:ascii="仿宋_GB2312" w:hAnsi="仿宋" w:eastAsia="仿宋_GB2312"/>
          <w:color w:val="000000"/>
          <w:sz w:val="32"/>
          <w:szCs w:val="32"/>
          <w:lang w:val="en-US" w:eastAsia="zh-CN"/>
        </w:rPr>
        <w:t>494.25</w:t>
      </w:r>
      <w:r>
        <w:rPr>
          <w:rFonts w:hint="eastAsia" w:ascii="仿宋_GB2312" w:hAnsi="仿宋" w:eastAsia="仿宋_GB2312"/>
          <w:color w:val="000000"/>
          <w:sz w:val="32"/>
          <w:szCs w:val="32"/>
        </w:rPr>
        <w:t>万元，下降</w:t>
      </w:r>
      <w:r>
        <w:rPr>
          <w:rFonts w:hint="eastAsia" w:ascii="仿宋_GB2312" w:hAnsi="仿宋" w:eastAsia="仿宋_GB2312"/>
          <w:color w:val="000000"/>
          <w:sz w:val="32"/>
          <w:szCs w:val="32"/>
          <w:lang w:val="en-US" w:eastAsia="zh-CN"/>
        </w:rPr>
        <w:t>53.7</w:t>
      </w:r>
      <w:r>
        <w:rPr>
          <w:rFonts w:hint="eastAsia" w:ascii="仿宋_GB2312" w:hAnsi="仿宋" w:eastAsia="仿宋_GB2312"/>
          <w:color w:val="000000"/>
          <w:sz w:val="32"/>
          <w:szCs w:val="32"/>
        </w:rPr>
        <w:t>%。主要变动原因是由于项目变动支出减少。</w:t>
      </w:r>
    </w:p>
    <w:p>
      <w:pPr>
        <w:rPr>
          <w:rFonts w:ascii="仿宋" w:hAnsi="仿宋" w:eastAsia="仿宋"/>
          <w:color w:val="000000" w:themeColor="text1"/>
          <w:sz w:val="32"/>
          <w:szCs w:val="32"/>
          <w14:textFill>
            <w14:solidFill>
              <w14:schemeClr w14:val="tx1"/>
            </w14:solidFill>
          </w14:textFill>
        </w:rPr>
      </w:pPr>
      <w:r>
        <w:drawing>
          <wp:inline distT="0" distB="0" distL="0" distR="0">
            <wp:extent cx="4660900" cy="2802255"/>
            <wp:effectExtent l="4445" t="4445" r="20955" b="1270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rPr>
          <w:rFonts w:ascii="仿宋_GB2312" w:eastAsia="仿宋_GB2312"/>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（图5：一般公共预算财政拨款支出决算变动情况）（柱状图）</w:t>
      </w:r>
      <w:bookmarkStart w:id="35" w:name="_Toc15377211"/>
    </w:p>
    <w:p>
      <w:pPr>
        <w:ind w:firstLine="321" w:firstLineChars="100"/>
        <w:rPr>
          <w:rFonts w:hint="eastAsia" w:ascii="楷体" w:hAnsi="楷体" w:eastAsia="楷体" w:cs="楷体"/>
          <w:sz w:val="32"/>
          <w:szCs w:val="32"/>
        </w:rPr>
      </w:pPr>
      <w:r>
        <w:rPr>
          <w:rFonts w:hint="eastAsia" w:ascii="楷体" w:hAnsi="楷体" w:eastAsia="楷体" w:cs="楷体"/>
          <w:b/>
          <w:color w:val="000000"/>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_GB2312" w:hAnsi="仿宋" w:eastAsia="仿宋_GB2312"/>
          <w:color w:val="000000"/>
          <w:sz w:val="32"/>
          <w:szCs w:val="32"/>
        </w:rPr>
        <w:t>2018年一般公共预算财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themeColor="text1"/>
          <w:sz w:val="32"/>
          <w:szCs w:val="32"/>
          <w:lang w:val="en-US" w:eastAsia="zh-CN"/>
          <w14:textFill>
            <w14:solidFill>
              <w14:schemeClr w14:val="tx1"/>
            </w14:solidFill>
          </w14:textFill>
        </w:rPr>
        <w:t>920.28</w:t>
      </w:r>
      <w:r>
        <w:rPr>
          <w:rFonts w:hint="eastAsia" w:ascii="仿宋_GB2312" w:hAnsi="仿宋" w:eastAsia="仿宋_GB2312"/>
          <w:color w:val="000000" w:themeColor="text1"/>
          <w:sz w:val="32"/>
          <w:szCs w:val="32"/>
          <w14:textFill>
            <w14:solidFill>
              <w14:schemeClr w14:val="tx1"/>
            </w14:solidFill>
          </w14:textFill>
        </w:rPr>
        <w:t>万元，主要用于以下方面:城乡社区支出（类）</w:t>
      </w:r>
      <w:r>
        <w:rPr>
          <w:rFonts w:hint="eastAsia" w:ascii="仿宋_GB2312" w:hAnsi="仿宋" w:eastAsia="仿宋_GB2312"/>
          <w:color w:val="000000" w:themeColor="text1"/>
          <w:sz w:val="32"/>
          <w:szCs w:val="32"/>
          <w:lang w:val="en-US" w:eastAsia="zh-CN"/>
          <w14:textFill>
            <w14:solidFill>
              <w14:schemeClr w14:val="tx1"/>
            </w14:solidFill>
          </w14:textFill>
        </w:rPr>
        <w:t>509.42</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55.35</w:t>
      </w:r>
      <w:r>
        <w:rPr>
          <w:rFonts w:hint="eastAsia" w:ascii="仿宋_GB2312" w:hAnsi="仿宋" w:eastAsia="仿宋_GB2312"/>
          <w:color w:val="000000" w:themeColor="text1"/>
          <w:sz w:val="32"/>
          <w:szCs w:val="32"/>
          <w14:textFill>
            <w14:solidFill>
              <w14:schemeClr w14:val="tx1"/>
            </w14:solidFill>
          </w14:textFill>
        </w:rPr>
        <w:t>%；节能环保支出（类）244.03万元，占</w:t>
      </w:r>
      <w:r>
        <w:rPr>
          <w:rFonts w:hint="eastAsia" w:ascii="仿宋_GB2312" w:hAnsi="仿宋" w:eastAsia="仿宋_GB2312"/>
          <w:color w:val="000000" w:themeColor="text1"/>
          <w:sz w:val="32"/>
          <w:szCs w:val="32"/>
          <w:lang w:val="en-US" w:eastAsia="zh-CN"/>
          <w14:textFill>
            <w14:solidFill>
              <w14:schemeClr w14:val="tx1"/>
            </w14:solidFill>
          </w14:textFill>
        </w:rPr>
        <w:t>26.52</w:t>
      </w:r>
      <w:r>
        <w:rPr>
          <w:rFonts w:hint="eastAsia" w:ascii="仿宋_GB2312" w:hAnsi="仿宋" w:eastAsia="仿宋_GB2312"/>
          <w:color w:val="000000" w:themeColor="text1"/>
          <w:sz w:val="32"/>
          <w:szCs w:val="32"/>
          <w14:textFill>
            <w14:solidFill>
              <w14:schemeClr w14:val="tx1"/>
            </w14:solidFill>
          </w14:textFill>
        </w:rPr>
        <w:t>%；社会保障和就业（类）支出</w:t>
      </w:r>
      <w:r>
        <w:rPr>
          <w:rFonts w:hint="eastAsia" w:ascii="仿宋_GB2312" w:hAnsi="仿宋" w:eastAsia="仿宋_GB2312"/>
          <w:color w:val="000000" w:themeColor="text1"/>
          <w:sz w:val="32"/>
          <w:szCs w:val="32"/>
          <w:lang w:val="en-US" w:eastAsia="zh-CN"/>
          <w14:textFill>
            <w14:solidFill>
              <w14:schemeClr w14:val="tx1"/>
            </w14:solidFill>
          </w14:textFill>
        </w:rPr>
        <w:t>77.77</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8.45</w:t>
      </w:r>
      <w:r>
        <w:rPr>
          <w:rFonts w:hint="eastAsia" w:ascii="仿宋_GB2312" w:hAnsi="仿宋" w:eastAsia="仿宋_GB2312"/>
          <w:color w:val="000000" w:themeColor="text1"/>
          <w:sz w:val="32"/>
          <w:szCs w:val="32"/>
          <w14:textFill>
            <w14:solidFill>
              <w14:schemeClr w14:val="tx1"/>
            </w14:solidFill>
          </w14:textFill>
        </w:rPr>
        <w:t>%；医疗卫生支出</w:t>
      </w:r>
      <w:r>
        <w:rPr>
          <w:rFonts w:hint="eastAsia" w:ascii="仿宋_GB2312" w:hAnsi="仿宋" w:eastAsia="仿宋_GB2312"/>
          <w:color w:val="000000" w:themeColor="text1"/>
          <w:sz w:val="32"/>
          <w:szCs w:val="32"/>
          <w:lang w:eastAsia="zh-CN"/>
          <w14:textFill>
            <w14:solidFill>
              <w14:schemeClr w14:val="tx1"/>
            </w14:solidFill>
          </w14:textFill>
        </w:rPr>
        <w:t>与计划生育支出</w:t>
      </w:r>
      <w:r>
        <w:rPr>
          <w:rFonts w:hint="eastAsia" w:ascii="仿宋_GB2312" w:hAnsi="仿宋" w:eastAsia="仿宋_GB2312"/>
          <w:color w:val="000000" w:themeColor="text1"/>
          <w:sz w:val="32"/>
          <w:szCs w:val="32"/>
          <w14:textFill>
            <w14:solidFill>
              <w14:schemeClr w14:val="tx1"/>
            </w14:solidFill>
          </w14:textFill>
        </w:rPr>
        <w:t>（类）38.48万元，占</w:t>
      </w:r>
      <w:r>
        <w:rPr>
          <w:rFonts w:hint="eastAsia" w:ascii="仿宋_GB2312" w:hAnsi="仿宋" w:eastAsia="仿宋_GB2312"/>
          <w:color w:val="000000" w:themeColor="text1"/>
          <w:sz w:val="32"/>
          <w:szCs w:val="32"/>
          <w:lang w:val="en-US" w:eastAsia="zh-CN"/>
          <w14:textFill>
            <w14:solidFill>
              <w14:schemeClr w14:val="tx1"/>
            </w14:solidFill>
          </w14:textFill>
        </w:rPr>
        <w:t>4.18</w:t>
      </w:r>
      <w:r>
        <w:rPr>
          <w:rFonts w:hint="eastAsia" w:ascii="仿宋_GB2312" w:hAnsi="仿宋" w:eastAsia="仿宋_GB2312"/>
          <w:color w:val="000000" w:themeColor="text1"/>
          <w:sz w:val="32"/>
          <w:szCs w:val="32"/>
          <w14:textFill>
            <w14:solidFill>
              <w14:schemeClr w14:val="tx1"/>
            </w14:solidFill>
          </w14:textFill>
        </w:rPr>
        <w:t>%；住房保障支出（类）</w:t>
      </w:r>
      <w:r>
        <w:rPr>
          <w:rFonts w:hint="eastAsia" w:ascii="仿宋_GB2312" w:hAnsi="仿宋" w:eastAsia="仿宋_GB2312"/>
          <w:color w:val="000000" w:themeColor="text1"/>
          <w:sz w:val="32"/>
          <w:szCs w:val="32"/>
          <w:lang w:val="en-US" w:eastAsia="zh-CN"/>
          <w14:textFill>
            <w14:solidFill>
              <w14:schemeClr w14:val="tx1"/>
            </w14:solidFill>
          </w14:textFill>
        </w:rPr>
        <w:t>50.58</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5.5</w:t>
      </w:r>
      <w:r>
        <w:rPr>
          <w:rFonts w:hint="eastAsia" w:ascii="仿宋_GB2312" w:hAnsi="仿宋" w:eastAsia="仿宋_GB2312"/>
          <w:color w:val="000000" w:themeColor="text1"/>
          <w:sz w:val="32"/>
          <w:szCs w:val="32"/>
          <w14:textFill>
            <w14:solidFill>
              <w14:schemeClr w14:val="tx1"/>
            </w14:solidFill>
          </w14:textFill>
        </w:rPr>
        <w:t>%。</w:t>
      </w:r>
    </w:p>
    <w:p>
      <w:r>
        <w:drawing>
          <wp:inline distT="0" distB="0" distL="0" distR="0">
            <wp:extent cx="5581650" cy="2832100"/>
            <wp:effectExtent l="4445" t="4445" r="14605" b="2095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576" w:lineRule="exact"/>
        <w:ind w:firstLine="643" w:firstLineChars="200"/>
        <w:outlineLvl w:val="1"/>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_GB2312" w:hAnsi="仿宋_GB2312" w:eastAsia="仿宋_GB2312" w:cs="仿宋_GB2312"/>
          <w:color w:val="FF0000"/>
          <w:sz w:val="32"/>
          <w:szCs w:val="32"/>
        </w:rPr>
      </w:pPr>
      <w:bookmarkStart w:id="37" w:name="_Toc15377444"/>
      <w:bookmarkStart w:id="38" w:name="_Toc15378460"/>
      <w:bookmarkStart w:id="39" w:name="_Toc15377213"/>
      <w:r>
        <w:rPr>
          <w:rFonts w:hint="eastAsia" w:ascii="仿宋_GB2312" w:hAnsi="仿宋_GB2312" w:eastAsia="仿宋_GB2312" w:cs="仿宋_GB2312"/>
          <w:b/>
          <w:color w:val="000000" w:themeColor="text1"/>
          <w:sz w:val="32"/>
          <w:szCs w:val="32"/>
          <w14:textFill>
            <w14:solidFill>
              <w14:schemeClr w14:val="tx1"/>
            </w14:solidFill>
          </w14:textFill>
        </w:rPr>
        <w:t>2018年般公共预算支出决算数为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920.28</w:t>
      </w:r>
      <w:r>
        <w:rPr>
          <w:rFonts w:hint="eastAsia" w:ascii="仿宋_GB2312" w:hAnsi="仿宋_GB2312" w:eastAsia="仿宋_GB2312" w:cs="仿宋_GB2312"/>
          <w:b/>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4"/>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4"/>
          <w:rFonts w:hint="eastAsia" w:ascii="仿宋_GB2312" w:hAnsi="仿宋_GB2312" w:eastAsia="仿宋_GB2312" w:cs="仿宋_GB2312"/>
          <w:bCs/>
          <w:color w:val="000000"/>
          <w:sz w:val="32"/>
          <w:szCs w:val="32"/>
        </w:rPr>
        <w:t>预算100%。其中：</w:t>
      </w:r>
      <w:bookmarkEnd w:id="37"/>
      <w:bookmarkEnd w:id="38"/>
      <w:bookmarkEnd w:id="39"/>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w:t>
      </w:r>
      <w:r>
        <w:rPr>
          <w:rStyle w:val="14"/>
          <w:rFonts w:hint="eastAsia" w:ascii="仿宋_GB2312" w:hAnsi="仿宋_GB2312" w:eastAsia="仿宋_GB2312" w:cs="仿宋_GB2312"/>
          <w:bCs/>
          <w:color w:val="000000"/>
          <w:sz w:val="32"/>
          <w:szCs w:val="32"/>
        </w:rPr>
        <w:t>城乡社区支出（类）城乡社区管理事务（款）行政运行（项）:</w:t>
      </w:r>
      <w:r>
        <w:rPr>
          <w:rStyle w:val="14"/>
          <w:rFonts w:hint="eastAsia" w:ascii="仿宋_GB2312" w:hAnsi="仿宋_GB2312" w:eastAsia="仿宋_GB2312" w:cs="仿宋_GB2312"/>
          <w:b w:val="0"/>
          <w:bCs/>
          <w:color w:val="000000"/>
          <w:sz w:val="32"/>
          <w:szCs w:val="32"/>
        </w:rPr>
        <w:t xml:space="preserve"> 支出决算为168.94万元，完成预算100%。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color w:val="000000"/>
          <w:sz w:val="32"/>
          <w:szCs w:val="32"/>
        </w:rPr>
      </w:pPr>
      <w:r>
        <w:rPr>
          <w:rStyle w:val="14"/>
          <w:rFonts w:hint="eastAsia" w:ascii="仿宋_GB2312" w:hAnsi="仿宋_GB2312" w:eastAsia="仿宋_GB2312" w:cs="仿宋_GB2312"/>
          <w:bCs/>
          <w:color w:val="000000"/>
          <w:sz w:val="32"/>
          <w:szCs w:val="32"/>
          <w:lang w:val="en-US" w:eastAsia="zh-CN"/>
        </w:rPr>
        <w:t>2.</w:t>
      </w:r>
      <w:r>
        <w:rPr>
          <w:rStyle w:val="14"/>
          <w:rFonts w:hint="eastAsia" w:ascii="仿宋_GB2312" w:hAnsi="仿宋_GB2312" w:eastAsia="仿宋_GB2312" w:cs="仿宋_GB2312"/>
          <w:bCs/>
          <w:color w:val="000000"/>
          <w:sz w:val="32"/>
          <w:szCs w:val="32"/>
        </w:rPr>
        <w:t>城乡社区支出（类）城乡社区管理事务（款）其他城乡社区管理事务支出（项）</w:t>
      </w:r>
      <w:r>
        <w:rPr>
          <w:rStyle w:val="14"/>
          <w:rFonts w:hint="eastAsia" w:ascii="仿宋_GB2312" w:hAnsi="仿宋_GB2312" w:eastAsia="仿宋_GB2312" w:cs="仿宋_GB2312"/>
          <w:b w:val="0"/>
          <w:bCs/>
          <w:color w:val="000000"/>
          <w:sz w:val="32"/>
          <w:szCs w:val="32"/>
        </w:rPr>
        <w:t>：支出决算为340.48万元，完成预算100%。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节能环保支出（类）自然生态保护（款）生态保护（项）:</w:t>
      </w:r>
      <w:r>
        <w:rPr>
          <w:rStyle w:val="14"/>
          <w:rFonts w:hint="eastAsia" w:ascii="仿宋_GB2312" w:hAnsi="仿宋_GB2312" w:eastAsia="仿宋_GB2312" w:cs="仿宋_GB2312"/>
          <w:b w:val="0"/>
          <w:bCs/>
          <w:color w:val="000000"/>
          <w:sz w:val="32"/>
          <w:szCs w:val="32"/>
        </w:rPr>
        <w:t xml:space="preserve"> 支出决算为244.03万元，完成预算100%。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社会保障和就业支出（类）行政事业单位离退休费（款）机关事业单位基本养老保险缴费支出（项）:</w:t>
      </w:r>
      <w:r>
        <w:rPr>
          <w:rStyle w:val="14"/>
          <w:rFonts w:hint="eastAsia" w:ascii="仿宋_GB2312" w:hAnsi="仿宋_GB2312" w:eastAsia="仿宋_GB2312" w:cs="仿宋_GB2312"/>
          <w:b w:val="0"/>
          <w:bCs/>
          <w:color w:val="000000"/>
          <w:sz w:val="32"/>
          <w:szCs w:val="32"/>
        </w:rPr>
        <w:t xml:space="preserve"> 支出决算为56.62万元，完成预算100%。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社会保障和就业支出（类）行政事业单位离退休费（款）机关事业单位职业年金缴费支出（项）:</w:t>
      </w:r>
      <w:r>
        <w:rPr>
          <w:rStyle w:val="14"/>
          <w:rFonts w:hint="eastAsia" w:ascii="仿宋_GB2312" w:hAnsi="仿宋_GB2312" w:eastAsia="仿宋_GB2312" w:cs="仿宋_GB2312"/>
          <w:b w:val="0"/>
          <w:bCs/>
          <w:color w:val="000000"/>
          <w:sz w:val="32"/>
          <w:szCs w:val="32"/>
        </w:rPr>
        <w:t xml:space="preserve"> 支出决算为21.15万元，完成预算100%。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color w:val="000000"/>
          <w:sz w:val="32"/>
          <w:szCs w:val="32"/>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医疗卫生与计划生育（类）行政事业单位医疗（款）行政单位医疗（项）:</w:t>
      </w:r>
      <w:r>
        <w:rPr>
          <w:rStyle w:val="14"/>
          <w:rFonts w:hint="eastAsia" w:ascii="仿宋_GB2312" w:hAnsi="仿宋_GB2312" w:eastAsia="仿宋_GB2312" w:cs="仿宋_GB2312"/>
          <w:b w:val="0"/>
          <w:bCs/>
          <w:color w:val="000000"/>
          <w:sz w:val="32"/>
          <w:szCs w:val="32"/>
        </w:rPr>
        <w:t>支出决算为13.35万元，完成预算100%。</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医疗卫生与计划生育（类）行政事业单位医疗（款）事业单位医疗（项）:</w:t>
      </w:r>
      <w:r>
        <w:rPr>
          <w:rStyle w:val="14"/>
          <w:rFonts w:hint="eastAsia" w:ascii="仿宋_GB2312" w:hAnsi="仿宋_GB2312" w:eastAsia="仿宋_GB2312" w:cs="仿宋_GB2312"/>
          <w:b w:val="0"/>
          <w:bCs/>
          <w:color w:val="000000"/>
          <w:sz w:val="32"/>
          <w:szCs w:val="32"/>
        </w:rPr>
        <w:t>支出决算为25.13万元，完成预算100%。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住房保障支出（类）住房改革支出（款）住房公积金（项）:</w:t>
      </w:r>
      <w:r>
        <w:rPr>
          <w:rStyle w:val="14"/>
          <w:rFonts w:hint="eastAsia" w:ascii="仿宋_GB2312" w:hAnsi="仿宋_GB2312" w:eastAsia="仿宋_GB2312" w:cs="仿宋_GB2312"/>
          <w:b w:val="0"/>
          <w:bCs/>
          <w:color w:val="000000"/>
          <w:sz w:val="32"/>
          <w:szCs w:val="32"/>
        </w:rPr>
        <w:t xml:space="preserve"> 支出决算为50.58万元，完成预算100%。</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hint="eastAsia" w:ascii="黑体" w:hAnsi="黑体" w:eastAsia="黑体" w:cs="黑体"/>
          <w:b/>
          <w:bCs/>
        </w:rPr>
      </w:pPr>
      <w:bookmarkStart w:id="40" w:name="_Toc15396608"/>
      <w:bookmarkStart w:id="41" w:name="_Toc15377214"/>
      <w:r>
        <w:rPr>
          <w:rFonts w:hint="eastAsia" w:ascii="黑体" w:hAnsi="黑体" w:eastAsia="黑体" w:cs="黑体"/>
          <w:b w:val="0"/>
          <w:bCs w:val="0"/>
          <w:color w:val="000000"/>
        </w:rPr>
        <w:t>六、</w:t>
      </w:r>
      <w:r>
        <w:rPr>
          <w:rFonts w:hint="eastAsia" w:ascii="黑体" w:hAnsi="黑体" w:eastAsia="黑体" w:cs="黑体"/>
          <w:color w:val="000000"/>
        </w:rPr>
        <w:t>一</w:t>
      </w:r>
      <w:r>
        <w:rPr>
          <w:rStyle w:val="26"/>
          <w:rFonts w:hint="eastAsia" w:ascii="黑体" w:hAnsi="黑体" w:eastAsia="黑体" w:cs="黑体"/>
          <w:b w:val="0"/>
          <w:bCs/>
        </w:rPr>
        <w:t>般公共预算财政拨款基本支出决算情况说明</w:t>
      </w:r>
      <w:bookmarkEnd w:id="40"/>
      <w:bookmarkEnd w:id="4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2018年一般公共预算财政拨款基本支出676.24万元，其中：</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人员经费632.1万元，主要包括：基本工资、津贴补贴、奖金、绩效工资、机关事业单位基本养老保险缴费、职业年金缴费、其他社会保障缴费、其他工资福利支出、生活补助、医疗费、奖励金、住房公积金。</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公用经费44.14万元，主要包括：办公费、手续费、电费、邮电费、差旅费、培训费、公务接待费、专用材料费、公务用车运行维护费、其他商品和服务支出。</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ascii="黑体" w:hAnsi="黑体" w:eastAsia="黑体"/>
          <w:b w:val="0"/>
          <w:bCs w:val="0"/>
        </w:rPr>
      </w:pPr>
      <w:bookmarkStart w:id="42" w:name="_Toc15377215"/>
      <w:bookmarkStart w:id="43" w:name="_Toc15396609"/>
      <w:r>
        <w:rPr>
          <w:rFonts w:hint="eastAsia" w:ascii="黑体" w:eastAsia="黑体"/>
          <w:b w:val="0"/>
          <w:bCs w:val="0"/>
          <w:color w:val="000000"/>
        </w:rPr>
        <w:t>七、</w:t>
      </w:r>
      <w:r>
        <w:rPr>
          <w:rStyle w:val="26"/>
          <w:rFonts w:hint="eastAsia" w:ascii="黑体" w:hAnsi="黑体" w:eastAsia="黑体"/>
          <w:b w:val="0"/>
          <w:bCs w:val="0"/>
        </w:rPr>
        <w:t>“三公”经费财政拨款支出决算情况说明</w:t>
      </w:r>
      <w:bookmarkEnd w:id="42"/>
      <w:bookmarkEnd w:id="43"/>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2018年“三公”经费财政拨款支出决算为4.3万元，完成预算100%。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2018年“三公”经费财政拨款支出决算中，因公出国（境）费支出决算0万元，占0%；公务用车购置及运行维护费支出决算3.99万元，占92.8%；公务接待费支出决算0.31万元，占7.2%。具体情况如下：</w:t>
      </w:r>
    </w:p>
    <w:p>
      <w:r>
        <w:drawing>
          <wp:inline distT="0" distB="0" distL="0" distR="0">
            <wp:extent cx="5343525" cy="2381250"/>
            <wp:effectExtent l="19050" t="0" r="9525" b="0"/>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576"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p>
    <w:p>
      <w:pPr>
        <w:spacing w:line="576"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3.99万元,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公务用车购置及运行维护费支出决算比2017年减少0.01万元，下降0.25%。主要原因是我局</w:t>
      </w:r>
      <w:r>
        <w:rPr>
          <w:rFonts w:hint="eastAsia" w:ascii="仿宋_GB2312" w:eastAsia="仿宋_GB2312"/>
          <w:sz w:val="32"/>
          <w:szCs w:val="32"/>
        </w:rPr>
        <w:t>积极贯彻落实中央八项规定 及省委省政府十项规定要求，加强公务用车使用管理，从严控制公务用车行为。</w:t>
      </w:r>
    </w:p>
    <w:p>
      <w:pPr>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0万元。截至2018年12月底，单位共有公务用车1辆，其中：轿车0辆、越野车1辆、载客汽车0辆。</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3.99万元。主要用于出差、下乡等所需的公务用车燃料费、维修费、过路过桥费、保险费等支出。</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0.31万元，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公务接待费支出决算比2017年增加0.18万元，增长58%。主要原因是今年实际接待人次增加。</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主要用于执行公务、开展业务活动开支的交通费、住宿费、用餐费等。国内公务接待10批次，48人次（不包括陪同人员），共计支出0.31万元，具体内容包括：阿坝县到我县开展城乡建设住房系统安全生产交叉检查工作时产生接待费时产生公务接待费0.1万元；关于全省城镇污水和城乡垃圾处理设施建设督导评估环保检查公务接待支出0.21万元。</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000000"/>
          <w:sz w:val="32"/>
          <w:szCs w:val="32"/>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rPr>
        <w:t>0</w:t>
      </w:r>
      <w:r>
        <w:rPr>
          <w:rFonts w:hint="eastAsia" w:ascii="仿宋_GB2312" w:eastAsia="仿宋_GB2312"/>
          <w:color w:val="000000"/>
          <w:sz w:val="32"/>
          <w:szCs w:val="32"/>
        </w:rPr>
        <w:t>万元。</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hint="eastAsia" w:ascii="黑体" w:hAnsi="黑体" w:eastAsia="黑体" w:cs="黑体"/>
          <w:b/>
          <w:bCs/>
          <w:color w:val="000000"/>
        </w:rPr>
      </w:pPr>
      <w:bookmarkStart w:id="46" w:name="_Toc15396610"/>
      <w:bookmarkStart w:id="47" w:name="_Toc15377218"/>
      <w:r>
        <w:rPr>
          <w:rFonts w:hint="eastAsia" w:ascii="黑体" w:hAnsi="黑体" w:eastAsia="黑体" w:cs="黑体"/>
          <w:b w:val="0"/>
          <w:bCs w:val="0"/>
          <w:color w:val="000000"/>
        </w:rPr>
        <w:t>八、</w:t>
      </w:r>
      <w:r>
        <w:rPr>
          <w:rStyle w:val="26"/>
          <w:rFonts w:hint="eastAsia" w:ascii="黑体" w:hAnsi="黑体" w:eastAsia="黑体" w:cs="黑体"/>
          <w:b w:val="0"/>
          <w:bCs/>
        </w:rPr>
        <w:t>政府性基金预算支出决算情况说明</w:t>
      </w:r>
      <w:bookmarkEnd w:id="46"/>
      <w:bookmarkEnd w:id="47"/>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茂县城市管理局2018年政府性基金预算拨款支出161.12万元。</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hint="eastAsia" w:ascii="黑体" w:hAnsi="黑体" w:eastAsia="黑体" w:cs="黑体"/>
          <w:b w:val="0"/>
          <w:bCs/>
        </w:rPr>
      </w:pPr>
      <w:bookmarkStart w:id="48" w:name="_Toc15396611"/>
      <w:bookmarkStart w:id="49" w:name="_Toc15377219"/>
      <w:r>
        <w:rPr>
          <w:rStyle w:val="26"/>
          <w:rFonts w:hint="eastAsia" w:ascii="黑体" w:hAnsi="黑体" w:eastAsia="黑体" w:cs="黑体"/>
          <w:b w:val="0"/>
          <w:bCs/>
        </w:rPr>
        <w:t>九、国有资本经营预算支出决算情况说明</w:t>
      </w:r>
      <w:bookmarkEnd w:id="48"/>
      <w:bookmarkEnd w:id="4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茂县城市管理局2018年无国有资本经营预算拨款支出。</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hint="eastAsia" w:ascii="黑体" w:hAnsi="黑体" w:eastAsia="黑体" w:cs="黑体"/>
          <w:b w:val="0"/>
          <w:bCs w:val="0"/>
        </w:rPr>
      </w:pPr>
      <w:r>
        <w:rPr>
          <w:rStyle w:val="26"/>
          <w:rFonts w:hint="eastAsia" w:ascii="黑体" w:hAnsi="黑体" w:eastAsia="黑体" w:cs="黑体"/>
          <w:b w:val="0"/>
          <w:bCs w:val="0"/>
        </w:rPr>
        <w:t>十、预算绩效情况说明</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 w:hAnsi="楷体" w:eastAsia="楷体" w:cs="楷体_GB2312"/>
          <w:b/>
          <w:bCs/>
          <w:sz w:val="32"/>
          <w:szCs w:val="32"/>
        </w:rPr>
      </w:pPr>
      <w:r>
        <w:rPr>
          <w:rFonts w:hint="eastAsia" w:ascii="楷体" w:hAnsi="楷体" w:eastAsia="楷体" w:cs="楷体_GB2312"/>
          <w:b/>
          <w:bCs/>
          <w:sz w:val="32"/>
          <w:szCs w:val="32"/>
        </w:rPr>
        <w:t>预算绩效管理工作开展情况</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根据预算绩效管理要求，预算执行过程中，选取2个项目开展绩效监控，年终执行完毕后，对2个项目开展了绩效目标完成情况梳理填报。</w:t>
      </w:r>
    </w:p>
    <w:p>
      <w:pPr>
        <w:adjustRightInd w:val="0"/>
        <w:snapToGrid w:val="0"/>
        <w:spacing w:line="53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eastAsia="仿宋_GB2312"/>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用更少的资金办更多的事。</w:t>
      </w:r>
    </w:p>
    <w:p>
      <w:pPr>
        <w:spacing w:line="576" w:lineRule="exact"/>
        <w:ind w:firstLine="643" w:firstLineChars="200"/>
        <w:outlineLvl w:val="1"/>
        <w:rPr>
          <w:rStyle w:val="26"/>
          <w:rFonts w:ascii="仿宋_GB2312" w:hAnsi="黑体" w:eastAsia="仿宋_GB2312"/>
          <w:b w:val="0"/>
          <w:bCs w:val="0"/>
        </w:rPr>
      </w:pPr>
      <w:r>
        <w:rPr>
          <w:rFonts w:hint="eastAsia" w:ascii="楷体" w:hAnsi="楷体" w:eastAsia="楷体" w:cs="楷体_GB2312"/>
          <w:b/>
          <w:bCs/>
          <w:sz w:val="32"/>
          <w:szCs w:val="32"/>
        </w:rPr>
        <w:t>项目绩效目标完成情况</w:t>
      </w:r>
    </w:p>
    <w:p>
      <w:pPr>
        <w:spacing w:line="576" w:lineRule="exact"/>
        <w:ind w:firstLine="640" w:firstLineChars="200"/>
        <w:outlineLvl w:val="1"/>
        <w:rPr>
          <w:rFonts w:ascii="仿宋_GB2312" w:hAnsi="黑体" w:eastAsia="仿宋_GB2312" w:cstheme="majorBidi"/>
          <w:sz w:val="32"/>
          <w:szCs w:val="32"/>
        </w:rPr>
      </w:pPr>
      <w:r>
        <w:rPr>
          <w:rFonts w:hint="eastAsia" w:ascii="仿宋_GB2312" w:hAnsi="仿宋_GB2312" w:eastAsia="仿宋_GB2312" w:cs="仿宋_GB2312"/>
          <w:sz w:val="32"/>
          <w:szCs w:val="32"/>
        </w:rPr>
        <w:t>本部门在2018年度部门决算中反映“2018年度国家重点生态功能区转移支付资金（2018年污水处理厂运行维护费）”“2018年度国家重点生态功能区转移支付资金（污水处理厂调节池建设项目）”，2个项目绩效目标实际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2018年度国家重点生态功能区转移支付资金（2018年污水处理厂运行维护费）项目绩效目标完成情况综述。项目全年预算数200万元，执行数为197.17万元，完成预算的98.59%。通过项目实施，为了确保污水全收集全处理，污水处理厂采取3班倒24小时值班制不间断处理。聘请邛崃中机建公司进行技术指导服务，聘请成都雅奕丰有限公司进行在线监测设备维护服务，聘请成都中测凯乐有限公司进行每月水质监测服务，有效确保了污水处理各项数据指标安全达标。茂县污水处理厂自运行以来，始终坚持以安全生产为基础，采用科学化的管理手段，积极做好生产工艺和生产设备的监控，严格执行设备维修保养制度，保证污水处理厂安全、持续、稳步运行。</w:t>
      </w:r>
    </w:p>
    <w:p>
      <w:pPr>
        <w:keepNext w:val="0"/>
        <w:keepLines w:val="0"/>
        <w:pageBreakBefore w:val="0"/>
        <w:widowControl w:val="0"/>
        <w:tabs>
          <w:tab w:val="left" w:pos="312"/>
        </w:tabs>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2018年度国家重点生态功能区转移支付资金（污水处理厂调节池建设项目）项目绩效目标完成情况综述。项目全年预算数95万元，执行数为2.72万元，完成预算的2.86%，污水处理厂调节池建设项目只支付了调节池建设项目设计费，通过项目实施</w:t>
      </w:r>
      <w:r>
        <w:rPr>
          <w:rFonts w:hint="eastAsia" w:ascii="仿宋_GB2312" w:hAnsi="宋体" w:eastAsia="仿宋_GB2312" w:cs="宋体"/>
          <w:color w:val="000000"/>
          <w:sz w:val="32"/>
          <w:szCs w:val="32"/>
        </w:rPr>
        <w:t>实现城市建设与环境建设的经济效益，城市效益及环境效益。</w:t>
      </w:r>
      <w:r>
        <w:rPr>
          <w:rFonts w:ascii="仿宋_GB2312" w:hAnsi="仿宋_GB2312" w:eastAsia="仿宋_GB2312" w:cs="仿宋_GB2312"/>
          <w:sz w:val="32"/>
          <w:szCs w:val="32"/>
        </w:rPr>
        <w:t xml:space="preserve"> </w:t>
      </w:r>
    </w:p>
    <w:p>
      <w:pPr>
        <w:keepNext w:val="0"/>
        <w:keepLines w:val="0"/>
        <w:pageBreakBefore w:val="0"/>
        <w:widowControl w:val="0"/>
        <w:tabs>
          <w:tab w:val="left" w:pos="312"/>
        </w:tabs>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tabs>
          <w:tab w:val="left" w:pos="312"/>
        </w:tabs>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tabs>
          <w:tab w:val="left" w:pos="312"/>
        </w:tabs>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tabs>
          <w:tab w:val="left" w:pos="312"/>
        </w:tabs>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441"/>
        <w:gridCol w:w="1316"/>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szCs w:val="21"/>
              </w:rPr>
              <w:t>2018年度国家重点生态功能区转移支付资金（2018年污水处理厂运行维护费）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茂县城市管理局</w:t>
            </w:r>
          </w:p>
        </w:tc>
      </w:tr>
      <w:tr>
        <w:tblPrEx>
          <w:tblCellMar>
            <w:top w:w="0" w:type="dxa"/>
            <w:left w:w="0" w:type="dxa"/>
            <w:bottom w:w="0" w:type="dxa"/>
            <w:right w:w="0" w:type="dxa"/>
          </w:tblCellMar>
        </w:tblPrEx>
        <w:trPr>
          <w:trHeight w:val="276"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预算执行情况(万元)</w:t>
            </w: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197.17万元</w:t>
            </w:r>
          </w:p>
        </w:tc>
      </w:tr>
      <w:tr>
        <w:tblPrEx>
          <w:tblCellMar>
            <w:top w:w="0" w:type="dxa"/>
            <w:left w:w="0" w:type="dxa"/>
            <w:bottom w:w="0" w:type="dxa"/>
            <w:right w:w="0" w:type="dxa"/>
          </w:tblCellMar>
        </w:tblPrEx>
        <w:trPr>
          <w:trHeight w:val="276"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1511"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276"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年度目标完成情况</w:t>
            </w: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实际完成目标</w:t>
            </w:r>
          </w:p>
        </w:tc>
      </w:tr>
      <w:tr>
        <w:tblPrEx>
          <w:tblCellMar>
            <w:top w:w="0" w:type="dxa"/>
            <w:left w:w="0" w:type="dxa"/>
            <w:bottom w:w="0" w:type="dxa"/>
            <w:right w:w="0" w:type="dxa"/>
          </w:tblCellMar>
        </w:tblPrEx>
        <w:trPr>
          <w:trHeight w:val="1159"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36" w:lineRule="exact"/>
              <w:ind w:firstLine="525" w:firstLineChars="250"/>
              <w:rPr>
                <w:rFonts w:ascii="仿宋_GB2312" w:hAnsi="仿宋_GB2312" w:eastAsia="仿宋_GB2312" w:cs="仿宋_GB2312"/>
                <w:szCs w:val="21"/>
              </w:rPr>
            </w:pPr>
            <w:r>
              <w:rPr>
                <w:rFonts w:hint="eastAsia" w:ascii="仿宋_GB2312" w:hAnsi="仿宋_GB2312" w:eastAsia="仿宋_GB2312" w:cs="仿宋_GB2312"/>
                <w:szCs w:val="21"/>
              </w:rPr>
              <w:t>为了确保污水全收集全处理，污水处理厂采取3班倒24小时值班制不间断处理。聘请邛崃中机建公司进行技术指导服务，聘请成都雅奕丰有限公司进行在线监测设备维护服务，聘请成都中测凯乐有限公司进行每月水质监测服务，有效确保了污水处理各项数据指标安全达标。茂县污水处理厂自运行以来，始终坚持以安全生产为基础，采用科学化的管理手段，积极做好生产工艺和生产设备的监控，严格执行设备维修保养制度，保证污水处理厂安全、持续、稳步运行</w:t>
            </w:r>
          </w:p>
          <w:p>
            <w:pPr>
              <w:widowControl/>
              <w:jc w:val="center"/>
              <w:textAlignment w:val="center"/>
              <w:rPr>
                <w:rFonts w:ascii="仿宋_GB2312" w:hAnsi="宋体" w:eastAsia="仿宋_GB2312"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0"/>
              <w:adjustRightInd w:val="0"/>
              <w:snapToGrid w:val="0"/>
              <w:spacing w:before="130" w:line="536" w:lineRule="exact"/>
              <w:jc w:val="left"/>
              <w:rPr>
                <w:rFonts w:ascii="仿宋_GB2312" w:hAnsi="仿宋_GB2312" w:eastAsia="仿宋_GB2312" w:cs="仿宋_GB2312"/>
                <w:szCs w:val="21"/>
              </w:rPr>
            </w:pPr>
            <w:r>
              <w:rPr>
                <w:rFonts w:hint="eastAsia" w:ascii="仿宋_GB2312" w:hAnsi="仿宋_GB2312" w:eastAsia="仿宋_GB2312" w:cs="仿宋_GB2312"/>
                <w:szCs w:val="21"/>
              </w:rPr>
              <w:t>茂县污水处理厂的运行有效减少了COD（化学需氧量）、NH3(氨氮)等主要污染物排放总量，改善了全县水域环境质量，促进了全县经济社会可持续发展。2018年我厂全年共处理污水：136.7276万吨，COD削减247.2吨，氨氮削减量：11.08吨；2018年共处理污水：130.92万吨，COD削减272.31吨，氨氮削减量：6.5吨；（我厂设计排放标准：《城镇污水处理厂污染物排放标准》（GB18918-2002)一级B标，实际执行《城镇污水处理厂污染物排放标准（GB18918-2002)一级A标</w:t>
            </w:r>
          </w:p>
          <w:p>
            <w:pPr>
              <w:widowControl/>
              <w:jc w:val="center"/>
              <w:textAlignment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1042"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绩效指标完成情况</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污水处理厂资金预算为295万元。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在2018年度实际支付了244.03万元</w:t>
            </w:r>
          </w:p>
        </w:tc>
      </w:tr>
      <w:tr>
        <w:tblPrEx>
          <w:tblCellMar>
            <w:top w:w="0" w:type="dxa"/>
            <w:left w:w="0" w:type="dxa"/>
            <w:bottom w:w="0" w:type="dxa"/>
            <w:right w:w="0" w:type="dxa"/>
          </w:tblCellMar>
        </w:tblPrEx>
        <w:trPr>
          <w:trHeight w:val="129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处理污水数据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szCs w:val="21"/>
              </w:rPr>
              <w:t>2018年我厂全年共处理污水：136.7276万吨，COD削减247.2吨，氨氮削减量：11.08吨；2018年共处理污水：130.92万吨，COD削减272.31吨，氨氮削减量：6.5吨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szCs w:val="21"/>
              </w:rPr>
              <w:t>2018年我厂全年共处理污水：136.7276万吨，COD削减247.2吨，氨氮削减量：11.08吨；2018年共处理污水：130.92万吨，COD削减272.31吨，氨氮削减量：6.5吨</w:t>
            </w:r>
          </w:p>
        </w:tc>
      </w:tr>
      <w:tr>
        <w:tblPrEx>
          <w:tblCellMar>
            <w:top w:w="0" w:type="dxa"/>
            <w:left w:w="0" w:type="dxa"/>
            <w:bottom w:w="0" w:type="dxa"/>
            <w:right w:w="0" w:type="dxa"/>
          </w:tblCellMar>
        </w:tblPrEx>
        <w:trPr>
          <w:trHeight w:val="1042"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当年12月底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2019年3月底</w:t>
            </w:r>
          </w:p>
        </w:tc>
      </w:tr>
      <w:tr>
        <w:tblPrEx>
          <w:tblCellMar>
            <w:top w:w="0" w:type="dxa"/>
            <w:left w:w="0" w:type="dxa"/>
            <w:bottom w:w="0" w:type="dxa"/>
            <w:right w:w="0" w:type="dxa"/>
          </w:tblCellMar>
        </w:tblPrEx>
        <w:trPr>
          <w:trHeight w:val="129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36" w:lineRule="exact"/>
              <w:ind w:firstLine="420" w:firstLineChars="200"/>
              <w:rPr>
                <w:rFonts w:ascii="仿宋_GB2312" w:hAnsi="仿宋_GB2312" w:eastAsia="仿宋_GB2312" w:cs="仿宋_GB2312"/>
                <w:szCs w:val="21"/>
                <w:lang w:val="zh-CN"/>
              </w:rPr>
            </w:pPr>
            <w:r>
              <w:rPr>
                <w:rFonts w:hint="eastAsia" w:ascii="仿宋_GB2312" w:hAnsi="仿宋_GB2312" w:eastAsia="仿宋_GB2312" w:cs="仿宋_GB2312"/>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hAnsi="宋体" w:eastAsia="仿宋_GB2312" w:cs="宋体"/>
                <w:color w:val="000000"/>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36" w:lineRule="exact"/>
              <w:ind w:firstLine="420" w:firstLineChars="200"/>
              <w:rPr>
                <w:rFonts w:ascii="仿宋_GB2312" w:hAnsi="仿宋_GB2312" w:eastAsia="仿宋_GB2312" w:cs="仿宋_GB2312"/>
                <w:szCs w:val="21"/>
                <w:lang w:val="zh-CN"/>
              </w:rPr>
            </w:pPr>
            <w:r>
              <w:rPr>
                <w:rFonts w:hint="eastAsia" w:ascii="仿宋_GB2312" w:hAnsi="仿宋_GB2312" w:eastAsia="仿宋_GB2312" w:cs="仿宋_GB2312"/>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1050"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实际满意度为90%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仿宋_GB2312" w:hAnsi="宋体" w:eastAsia="仿宋_GB2312" w:cs="宋体"/>
                <w:color w:val="000000"/>
                <w:szCs w:val="21"/>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
                <w:bCs/>
                <w:color w:val="000000"/>
                <w:kern w:val="0"/>
                <w:sz w:val="36"/>
                <w:szCs w:val="36"/>
              </w:rPr>
              <w:br w:type="textWrapping"/>
            </w:r>
            <w:r>
              <w:rPr>
                <w:rFonts w:hint="eastAsia" w:cs="宋体" w:asciiTheme="majorEastAsia" w:hAnsiTheme="majorEastAsia" w:eastAsiaTheme="majorEastAsia"/>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szCs w:val="21"/>
              </w:rPr>
              <w:t>2018年度国家重点生态功能区转移支付资金（污水处理厂调节池建设项目））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茂县城市管理局</w:t>
            </w:r>
          </w:p>
        </w:tc>
      </w:tr>
      <w:tr>
        <w:tblPrEx>
          <w:tblCellMar>
            <w:top w:w="0" w:type="dxa"/>
            <w:left w:w="0" w:type="dxa"/>
            <w:bottom w:w="0" w:type="dxa"/>
            <w:right w:w="0" w:type="dxa"/>
          </w:tblCellMar>
        </w:tblPrEx>
        <w:trPr>
          <w:trHeight w:val="276"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预算执行情况(万元)</w:t>
            </w: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95万元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2.7万元</w:t>
            </w:r>
          </w:p>
        </w:tc>
      </w:tr>
      <w:tr>
        <w:tblPrEx>
          <w:tblCellMar>
            <w:top w:w="0" w:type="dxa"/>
            <w:left w:w="0" w:type="dxa"/>
            <w:bottom w:w="0" w:type="dxa"/>
            <w:right w:w="0" w:type="dxa"/>
          </w:tblCellMar>
        </w:tblPrEx>
        <w:trPr>
          <w:trHeight w:val="276"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1511"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234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Cs w:val="21"/>
              </w:rPr>
            </w:pPr>
          </w:p>
        </w:tc>
      </w:tr>
      <w:tr>
        <w:tblPrEx>
          <w:tblCellMar>
            <w:top w:w="0" w:type="dxa"/>
            <w:left w:w="0" w:type="dxa"/>
            <w:bottom w:w="0" w:type="dxa"/>
            <w:right w:w="0" w:type="dxa"/>
          </w:tblCellMar>
        </w:tblPrEx>
        <w:trPr>
          <w:trHeight w:val="276"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年度目标完成情况</w:t>
            </w: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实际完成目标</w:t>
            </w:r>
          </w:p>
        </w:tc>
      </w:tr>
      <w:tr>
        <w:tblPrEx>
          <w:tblCellMar>
            <w:top w:w="0" w:type="dxa"/>
            <w:left w:w="0" w:type="dxa"/>
            <w:bottom w:w="0" w:type="dxa"/>
            <w:right w:w="0" w:type="dxa"/>
          </w:tblCellMar>
        </w:tblPrEx>
        <w:trPr>
          <w:trHeight w:val="2398"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36" w:lineRule="exact"/>
              <w:rPr>
                <w:rFonts w:ascii="仿宋_GB2312" w:hAnsi="宋体" w:eastAsia="仿宋_GB2312" w:cs="宋体"/>
                <w:color w:val="000000"/>
                <w:szCs w:val="21"/>
              </w:rPr>
            </w:pPr>
            <w:r>
              <w:rPr>
                <w:rFonts w:hint="eastAsia" w:ascii="仿宋_GB2312" w:hAnsi="宋体" w:eastAsia="仿宋_GB2312" w:cs="宋体"/>
                <w:color w:val="000000"/>
                <w:szCs w:val="21"/>
              </w:rPr>
              <w:t>新建污水处理厂调节池2000立方米、配套管网设施，提升泵及调节池安全防护设施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30"/>
              <w:adjustRightInd w:val="0"/>
              <w:snapToGrid w:val="0"/>
              <w:spacing w:before="130" w:line="536" w:lineRule="exact"/>
              <w:jc w:val="left"/>
              <w:rPr>
                <w:rFonts w:ascii="仿宋_GB2312" w:hAnsi="宋体" w:eastAsia="仿宋_GB2312" w:cs="宋体"/>
                <w:color w:val="000000"/>
                <w:szCs w:val="21"/>
              </w:rPr>
            </w:pPr>
            <w:r>
              <w:rPr>
                <w:rFonts w:hint="eastAsia" w:ascii="仿宋_GB2312" w:hAnsi="宋体" w:eastAsia="仿宋_GB2312" w:cs="宋体"/>
                <w:color w:val="000000"/>
                <w:szCs w:val="21"/>
              </w:rPr>
              <w:t>到2018年12月底，污水处理厂新建调节池项目只支付了建设项目的设计费</w:t>
            </w:r>
          </w:p>
        </w:tc>
      </w:tr>
      <w:tr>
        <w:tblPrEx>
          <w:tblCellMar>
            <w:top w:w="0" w:type="dxa"/>
            <w:left w:w="0" w:type="dxa"/>
            <w:bottom w:w="0" w:type="dxa"/>
            <w:right w:w="0" w:type="dxa"/>
          </w:tblCellMar>
        </w:tblPrEx>
        <w:trPr>
          <w:trHeight w:val="1042" w:hRule="atLeast"/>
        </w:trPr>
        <w:tc>
          <w:tcPr>
            <w:tcW w:w="44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绩效指标完成情况</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调节池建配套设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新建污水处理厂调节池2000立方米、配套管网设施，提升泵及调节池安全防护设施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截止目前只完成了前期勘察测绘等工作</w:t>
            </w:r>
          </w:p>
        </w:tc>
      </w:tr>
      <w:tr>
        <w:tblPrEx>
          <w:tblCellMar>
            <w:top w:w="0" w:type="dxa"/>
            <w:left w:w="0" w:type="dxa"/>
            <w:bottom w:w="0" w:type="dxa"/>
            <w:right w:w="0" w:type="dxa"/>
          </w:tblCellMar>
        </w:tblPrEx>
        <w:trPr>
          <w:trHeight w:val="129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年初预算为95万元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年底实际执行为2.7万元，</w:t>
            </w:r>
            <w:r>
              <w:rPr>
                <w:rFonts w:hint="eastAsia" w:ascii="仿宋_GB2312" w:hAnsi="仿宋_GB2312" w:eastAsia="仿宋_GB2312" w:cs="仿宋_GB2312"/>
                <w:szCs w:val="21"/>
              </w:rPr>
              <w:t>完成预算的2.86%</w:t>
            </w:r>
          </w:p>
        </w:tc>
      </w:tr>
      <w:tr>
        <w:tblPrEx>
          <w:tblCellMar>
            <w:top w:w="0" w:type="dxa"/>
            <w:left w:w="0" w:type="dxa"/>
            <w:bottom w:w="0" w:type="dxa"/>
            <w:right w:w="0" w:type="dxa"/>
          </w:tblCellMar>
        </w:tblPrEx>
        <w:trPr>
          <w:trHeight w:val="1042"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当年12月底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2019年12月</w:t>
            </w:r>
          </w:p>
        </w:tc>
      </w:tr>
      <w:tr>
        <w:tblPrEx>
          <w:tblCellMar>
            <w:top w:w="0" w:type="dxa"/>
            <w:left w:w="0" w:type="dxa"/>
            <w:bottom w:w="0" w:type="dxa"/>
            <w:right w:w="0" w:type="dxa"/>
          </w:tblCellMar>
        </w:tblPrEx>
        <w:trPr>
          <w:trHeight w:val="129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随着城市现代化建设迅速发展，生活污水排放量不断增加，使得现有污水处理调节池无法达到污水处理调节作用。过多得生活污水排放量超出现有的污水调节池调节功能，造成调节池不能满足使用，为解决上述问题，改善使用功能，实现城市建设与环境建设的经济效益，城市效益及环境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随着城市现代化建设迅速发展，生活污水排放量不断增加，使得现有污水处理调节池无法达到污水处理调节作用。过多得生活污水排放量超出现有的污水调节池调节功能，造成调节池不能满足使用，为解决上述问题，改善使用功能，实现城市建设与环境建设的经济效益，城市效益及环境效益</w:t>
            </w:r>
          </w:p>
        </w:tc>
      </w:tr>
      <w:tr>
        <w:tblPrEx>
          <w:tblCellMar>
            <w:top w:w="0" w:type="dxa"/>
            <w:left w:w="0" w:type="dxa"/>
            <w:bottom w:w="0" w:type="dxa"/>
            <w:right w:w="0" w:type="dxa"/>
          </w:tblCellMar>
        </w:tblPrEx>
        <w:trPr>
          <w:trHeight w:val="1050"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Cs w:val="21"/>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实际满意度为60%</w:t>
            </w:r>
          </w:p>
        </w:tc>
      </w:tr>
    </w:tbl>
    <w:p>
      <w:pPr>
        <w:spacing w:line="580" w:lineRule="exact"/>
        <w:rPr>
          <w:rFonts w:ascii="仿宋_GB2312" w:hAnsi="仿宋_GB2312" w:eastAsia="仿宋_GB2312" w:cs="仿宋_GB2312"/>
          <w:sz w:val="28"/>
          <w:szCs w:val="28"/>
        </w:rPr>
      </w:pPr>
    </w:p>
    <w:p>
      <w:pPr>
        <w:spacing w:line="576" w:lineRule="exact"/>
        <w:ind w:firstLine="643" w:firstLineChars="200"/>
        <w:outlineLvl w:val="1"/>
        <w:rPr>
          <w:rFonts w:hint="eastAsia" w:ascii="楷体" w:hAnsi="楷体" w:eastAsia="楷体" w:cs="楷体"/>
          <w:sz w:val="32"/>
          <w:szCs w:val="32"/>
        </w:rPr>
      </w:pPr>
      <w:r>
        <w:rPr>
          <w:rFonts w:hint="eastAsia" w:ascii="楷体" w:hAnsi="楷体" w:eastAsia="楷体" w:cs="楷体"/>
          <w:b/>
          <w:bCs/>
          <w:sz w:val="32"/>
          <w:szCs w:val="32"/>
        </w:rPr>
        <w:t>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本部门按要求对2018年部门整体支出绩效评价情况开展自评，《城管局2018年部门整体支出绩效评价报告》见附件。</w:t>
      </w:r>
    </w:p>
    <w:p>
      <w:pPr>
        <w:spacing w:line="576" w:lineRule="exact"/>
        <w:ind w:firstLine="200"/>
        <w:jc w:val="center"/>
        <w:rPr>
          <w:rFonts w:ascii="仿宋_GB2312" w:hAnsi="仿宋_GB2312" w:eastAsia="仿宋_GB2312" w:cs="仿宋_GB2312"/>
          <w:sz w:val="32"/>
          <w:szCs w:val="32"/>
        </w:rPr>
      </w:pPr>
    </w:p>
    <w:p>
      <w:pPr>
        <w:spacing w:line="576" w:lineRule="exact"/>
        <w:ind w:firstLine="200"/>
        <w:jc w:val="center"/>
        <w:rPr>
          <w:rFonts w:ascii="方正小标宋简体" w:hAnsi="方正小标宋简体" w:eastAsia="方正小标宋简体" w:cs="方正小标宋简体"/>
          <w:sz w:val="44"/>
          <w:szCs w:val="44"/>
        </w:rPr>
      </w:pPr>
    </w:p>
    <w:p>
      <w:pPr>
        <w:spacing w:line="576" w:lineRule="exact"/>
        <w:ind w:firstLine="200"/>
        <w:jc w:val="center"/>
        <w:rPr>
          <w:rFonts w:ascii="方正小标宋简体" w:hAnsi="方正小标宋简体" w:eastAsia="方正小标宋简体" w:cs="方正小标宋简体"/>
          <w:sz w:val="44"/>
          <w:szCs w:val="44"/>
        </w:rPr>
      </w:pPr>
    </w:p>
    <w:p>
      <w:pPr>
        <w:spacing w:line="576"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576" w:lineRule="exact"/>
        <w:ind w:firstLine="643"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8年，城管局机关运行经费支出44.14元，比</w:t>
      </w:r>
      <w:r>
        <w:rPr>
          <w:rFonts w:ascii="仿宋_GB2312" w:eastAsia="仿宋_GB2312"/>
          <w:color w:val="000000"/>
          <w:sz w:val="32"/>
          <w:szCs w:val="32"/>
        </w:rPr>
        <w:t>201</w:t>
      </w:r>
      <w:r>
        <w:rPr>
          <w:rFonts w:hint="eastAsia" w:ascii="仿宋_GB2312" w:eastAsia="仿宋_GB2312"/>
          <w:color w:val="000000"/>
          <w:sz w:val="32"/>
          <w:szCs w:val="32"/>
        </w:rPr>
        <w:t>7年增加9.6万元，增长21.75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主要原因是人员增加。</w:t>
      </w:r>
    </w:p>
    <w:p>
      <w:pPr>
        <w:spacing w:line="576" w:lineRule="exact"/>
        <w:ind w:firstLine="643" w:firstLineChars="200"/>
        <w:outlineLvl w:val="1"/>
        <w:rPr>
          <w:rFonts w:ascii="仿宋" w:hAnsi="仿宋" w:eastAsia="仿宋"/>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城管局政府采购支出总额230.5万元，其中：政府采购货物支出0万元、政府采购工程支出0万元、政府采购服务支出230.5万元。主要用于茂县全城城区环卫清扫保洁服务。授予中小企业合同金额230.5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spacing w:line="576" w:lineRule="exact"/>
        <w:ind w:firstLine="643" w:firstLineChars="200"/>
        <w:outlineLvl w:val="1"/>
        <w:rPr>
          <w:rFonts w:ascii="仿宋" w:hAnsi="仿宋" w:eastAsia="仿宋"/>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日，城管局共有车辆25辆，其中：领导干部用车0辆、一般公务用车1辆、一般执法执勤用车3辆、特种专业技术用车0辆、其他用车21辆，</w:t>
      </w:r>
      <w:r>
        <w:rPr>
          <w:rFonts w:hint="eastAsia" w:ascii="仿宋_GB2312" w:eastAsia="仿宋_GB2312"/>
          <w:color w:val="000000" w:themeColor="text1"/>
          <w:sz w:val="32"/>
          <w:szCs w:val="32"/>
          <w14:textFill>
            <w14:solidFill>
              <w14:schemeClr w14:val="tx1"/>
            </w14:solidFill>
          </w14:textFill>
        </w:rPr>
        <w:t>其他用车主要是用于城管局日常办公及清扫保洁、绿化养护等。单价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576" w:lineRule="exact"/>
        <w:ind w:firstLine="643" w:firstLineChars="200"/>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576" w:lineRule="exact"/>
        <w:ind w:firstLine="660"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val="0"/>
          <w:bCs/>
          <w:color w:val="000000"/>
          <w:sz w:val="44"/>
          <w:szCs w:val="44"/>
        </w:rPr>
        <w:t>名</w:t>
      </w:r>
      <w:r>
        <w:rPr>
          <w:rStyle w:val="25"/>
          <w:rFonts w:hint="eastAsia" w:ascii="黑体" w:hAnsi="黑体" w:eastAsia="黑体"/>
          <w:b w:val="0"/>
        </w:rPr>
        <w:t>词解释</w:t>
      </w:r>
      <w:bookmarkEnd w:id="55"/>
      <w:bookmarkEnd w:id="56"/>
    </w:p>
    <w:p>
      <w:pPr>
        <w:spacing w:line="576" w:lineRule="exact"/>
        <w:jc w:val="left"/>
        <w:rPr>
          <w:rFonts w:ascii="宋体"/>
          <w:b/>
          <w:color w:val="000000"/>
          <w:sz w:val="44"/>
          <w:szCs w:val="44"/>
        </w:rPr>
      </w:pP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14"/>
          <w:rFonts w:ascii="仿宋_GB2312" w:hAnsi="仿宋" w:eastAsia="仿宋_GB2312"/>
          <w:b w:val="0"/>
          <w:bCs/>
          <w:color w:val="000000"/>
          <w:sz w:val="32"/>
          <w:szCs w:val="32"/>
        </w:rPr>
      </w:pPr>
      <w:r>
        <w:rPr>
          <w:rStyle w:val="14"/>
          <w:rFonts w:hint="eastAsia" w:ascii="仿宋_GB2312" w:hAnsi="仿宋" w:eastAsia="仿宋_GB2312"/>
          <w:b w:val="0"/>
          <w:bCs/>
          <w:color w:val="000000"/>
          <w:sz w:val="32"/>
          <w:szCs w:val="32"/>
        </w:rPr>
        <w:t>9.城乡社区支出（类）城乡社区管理事务（款）行政运行（项）: 指行政单位（包括实行公务员管理的事业单位）的基本支出。</w:t>
      </w:r>
    </w:p>
    <w:p>
      <w:pPr>
        <w:spacing w:line="576" w:lineRule="exact"/>
        <w:ind w:firstLine="480" w:firstLineChars="150"/>
        <w:rPr>
          <w:rStyle w:val="14"/>
          <w:rFonts w:ascii="仿宋_GB2312" w:hAnsi="仿宋" w:eastAsia="仿宋_GB2312"/>
          <w:b w:val="0"/>
          <w:color w:val="000000"/>
          <w:sz w:val="32"/>
          <w:szCs w:val="32"/>
        </w:rPr>
      </w:pPr>
      <w:r>
        <w:rPr>
          <w:rStyle w:val="14"/>
          <w:rFonts w:hint="eastAsia" w:ascii="仿宋_GB2312" w:hAnsi="仿宋" w:eastAsia="仿宋_GB2312"/>
          <w:b w:val="0"/>
          <w:bCs/>
          <w:color w:val="000000"/>
          <w:sz w:val="32"/>
          <w:szCs w:val="32"/>
        </w:rPr>
        <w:t>10.城乡社区支出（类）城乡社区管理事务（款）其他城乡社区管理事务支出（项）：指除上述项目以外其他用于城乡社区管理食物方面的支出。</w:t>
      </w:r>
    </w:p>
    <w:p>
      <w:pPr>
        <w:spacing w:line="576" w:lineRule="exact"/>
        <w:ind w:firstLine="480" w:firstLineChars="150"/>
        <w:rPr>
          <w:rStyle w:val="14"/>
          <w:rFonts w:ascii="仿宋_GB2312" w:hAnsi="仿宋" w:eastAsia="仿宋_GB2312"/>
          <w:b w:val="0"/>
          <w:color w:val="000000"/>
          <w:sz w:val="32"/>
          <w:szCs w:val="32"/>
        </w:rPr>
      </w:pPr>
      <w:r>
        <w:rPr>
          <w:rStyle w:val="14"/>
          <w:rFonts w:hint="eastAsia" w:ascii="仿宋_GB2312" w:hAnsi="仿宋" w:eastAsia="仿宋_GB2312"/>
          <w:b w:val="0"/>
          <w:bCs/>
          <w:color w:val="000000"/>
          <w:sz w:val="32"/>
          <w:szCs w:val="32"/>
        </w:rPr>
        <w:t>11.城乡社区支出（类）国有土地使用权出让收入及对应专项债务收入安排的支出（款）其他国有土地使用权出让收入安排的支出（项）</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指</w:t>
      </w:r>
      <w:r>
        <w:rPr>
          <w:rStyle w:val="14"/>
          <w:rFonts w:hint="eastAsia" w:ascii="仿宋_GB2312" w:hAnsi="仿宋" w:eastAsia="仿宋_GB2312"/>
          <w:b w:val="0"/>
          <w:bCs/>
          <w:color w:val="000000"/>
          <w:sz w:val="32"/>
          <w:szCs w:val="32"/>
          <w:lang w:eastAsia="zh-CN"/>
        </w:rPr>
        <w:t>土地出让收入，用于其他方面的支出。不包括市县级政府当年按规定用土地出让收入向中央和省级政府缴纳的新增建设用地土地有偿使用费支出</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color w:val="000000"/>
          <w:sz w:val="32"/>
          <w:szCs w:val="32"/>
        </w:rPr>
      </w:pPr>
      <w:r>
        <w:rPr>
          <w:rStyle w:val="14"/>
          <w:rFonts w:hint="eastAsia" w:ascii="仿宋_GB2312" w:hAnsi="仿宋" w:eastAsia="仿宋_GB2312"/>
          <w:b w:val="0"/>
          <w:bCs/>
          <w:color w:val="000000"/>
          <w:sz w:val="32"/>
          <w:szCs w:val="32"/>
        </w:rPr>
        <w:t>12.城乡社区支出（类）国有土地收益基金及对应专项债务收入安排的支出（款）其他国有土地收益基金支出（项）：指</w:t>
      </w:r>
      <w:r>
        <w:rPr>
          <w:rStyle w:val="14"/>
          <w:rFonts w:hint="eastAsia" w:ascii="仿宋_GB2312" w:hAnsi="仿宋" w:eastAsia="仿宋_GB2312"/>
          <w:b w:val="0"/>
          <w:bCs/>
          <w:color w:val="000000"/>
          <w:sz w:val="32"/>
          <w:szCs w:val="32"/>
          <w:lang w:eastAsia="zh-CN"/>
        </w:rPr>
        <w:t>从国有土地收益基金安排用于其他支出</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color w:val="000000"/>
          <w:sz w:val="32"/>
          <w:szCs w:val="32"/>
        </w:rPr>
      </w:pPr>
      <w:r>
        <w:rPr>
          <w:rStyle w:val="14"/>
          <w:rFonts w:hint="eastAsia" w:ascii="仿宋_GB2312" w:hAnsi="仿宋" w:eastAsia="仿宋_GB2312"/>
          <w:b w:val="0"/>
          <w:bCs/>
          <w:color w:val="000000"/>
          <w:sz w:val="32"/>
          <w:szCs w:val="32"/>
        </w:rPr>
        <w:t>13.城乡社区支出（类）城市基础设施配套费及对应专项债务收入安排的支出（款）城市环境卫生支出（项）：指城乡社区道路清扫、垃圾清运与处理、公厕建设与维护，园林绿化等方面的支出。</w:t>
      </w:r>
    </w:p>
    <w:p>
      <w:pPr>
        <w:spacing w:line="576" w:lineRule="exact"/>
        <w:ind w:firstLine="640" w:firstLineChars="200"/>
        <w:rPr>
          <w:rFonts w:ascii="仿宋_GB2312" w:hAnsi="仿宋" w:eastAsia="仿宋_GB2312"/>
          <w:color w:val="000000"/>
          <w:sz w:val="32"/>
          <w:szCs w:val="32"/>
        </w:rPr>
      </w:pPr>
      <w:r>
        <w:rPr>
          <w:rStyle w:val="14"/>
          <w:rFonts w:hint="eastAsia" w:ascii="仿宋_GB2312" w:hAnsi="仿宋" w:eastAsia="仿宋_GB2312"/>
          <w:b w:val="0"/>
          <w:bCs/>
          <w:color w:val="000000"/>
          <w:sz w:val="32"/>
          <w:szCs w:val="32"/>
        </w:rPr>
        <w:t>14.节能环保支出（类）自然生态保护（款）生态保护（项）: 指用于生态功能保护区、生态示范区、生态省（市、县）管理及能力建设、日常管护、宣教、试点示范等支出，生态修复支出，资源开发生态监管等支出。</w:t>
      </w:r>
    </w:p>
    <w:p>
      <w:pPr>
        <w:spacing w:line="576" w:lineRule="exact"/>
        <w:ind w:firstLine="640" w:firstLineChars="200"/>
        <w:rPr>
          <w:rFonts w:ascii="仿宋_GB2312" w:hAnsi="仿宋" w:eastAsia="仿宋_GB2312"/>
          <w:color w:val="000000"/>
          <w:sz w:val="32"/>
          <w:szCs w:val="32"/>
        </w:rPr>
      </w:pPr>
      <w:r>
        <w:rPr>
          <w:rStyle w:val="14"/>
          <w:rFonts w:hint="eastAsia" w:ascii="仿宋_GB2312" w:hAnsi="仿宋" w:eastAsia="仿宋_GB2312"/>
          <w:b w:val="0"/>
          <w:bCs/>
          <w:color w:val="000000"/>
          <w:sz w:val="32"/>
          <w:szCs w:val="32"/>
        </w:rPr>
        <w:t>15.社会保障和就业支出（类）行政事业单位离退休费（款）机关事业单位基本养老保险缴费支出（项）: 指机关事业单位实施养老保险制度由单位缴纳的养老保险费支出。</w:t>
      </w:r>
    </w:p>
    <w:p>
      <w:pPr>
        <w:spacing w:line="576" w:lineRule="exact"/>
        <w:ind w:firstLine="640" w:firstLineChars="200"/>
        <w:rPr>
          <w:rFonts w:ascii="仿宋_GB2312" w:hAnsi="仿宋" w:eastAsia="仿宋_GB2312"/>
          <w:color w:val="000000"/>
          <w:sz w:val="32"/>
          <w:szCs w:val="32"/>
        </w:rPr>
      </w:pPr>
      <w:r>
        <w:rPr>
          <w:rStyle w:val="14"/>
          <w:rFonts w:hint="eastAsia" w:ascii="仿宋_GB2312" w:hAnsi="仿宋" w:eastAsia="仿宋_GB2312"/>
          <w:b w:val="0"/>
          <w:bCs/>
          <w:color w:val="000000"/>
          <w:sz w:val="32"/>
          <w:szCs w:val="32"/>
        </w:rPr>
        <w:t>16.社会保障和就业支出（类）行政事业单位离退休费（款）机关事业单位职业年金缴费支出（项）: 指机关事业单位实施养老保险制度由单位实际缴纳的职业年金支出。</w:t>
      </w:r>
    </w:p>
    <w:p>
      <w:pPr>
        <w:spacing w:line="576" w:lineRule="exact"/>
        <w:ind w:firstLine="640" w:firstLineChars="200"/>
        <w:rPr>
          <w:rStyle w:val="14"/>
          <w:rFonts w:ascii="仿宋_GB2312" w:hAnsi="仿宋" w:eastAsia="仿宋_GB2312"/>
          <w:b w:val="0"/>
          <w:color w:val="000000"/>
          <w:sz w:val="32"/>
          <w:szCs w:val="32"/>
        </w:rPr>
      </w:pPr>
      <w:r>
        <w:rPr>
          <w:rStyle w:val="14"/>
          <w:rFonts w:hint="eastAsia" w:ascii="仿宋_GB2312" w:hAnsi="仿宋" w:eastAsia="仿宋_GB2312"/>
          <w:b w:val="0"/>
          <w:bCs/>
          <w:color w:val="000000"/>
          <w:sz w:val="32"/>
          <w:szCs w:val="32"/>
        </w:rPr>
        <w:t>17.医疗卫生与计划生育（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pPr>
        <w:spacing w:line="576" w:lineRule="exact"/>
        <w:ind w:firstLine="640" w:firstLineChars="200"/>
        <w:rPr>
          <w:rStyle w:val="14"/>
          <w:rFonts w:ascii="仿宋_GB2312" w:hAnsi="仿宋" w:eastAsia="仿宋_GB2312"/>
          <w:b w:val="0"/>
          <w:bCs/>
          <w:color w:val="000000"/>
          <w:sz w:val="32"/>
          <w:szCs w:val="32"/>
        </w:rPr>
      </w:pPr>
      <w:r>
        <w:rPr>
          <w:rStyle w:val="14"/>
          <w:rFonts w:hint="eastAsia" w:ascii="仿宋_GB2312" w:hAnsi="仿宋" w:eastAsia="仿宋_GB2312"/>
          <w:b w:val="0"/>
          <w:bCs/>
          <w:color w:val="000000"/>
          <w:sz w:val="32"/>
          <w:szCs w:val="32"/>
        </w:rPr>
        <w:t>18.医疗卫生与计划生育（类）行政事业单位医疗（款）事业单位医疗（项）:指指财政部门安排的事业单位基本医疗保险缴费经费，未参加医疗保险的行政单位的公费医疗经费，按国家规定享受离休人员的医疗经费。</w:t>
      </w:r>
    </w:p>
    <w:p>
      <w:pPr>
        <w:spacing w:line="576" w:lineRule="exact"/>
        <w:ind w:firstLine="640" w:firstLineChars="200"/>
        <w:rPr>
          <w:rFonts w:ascii="仿宋_GB2312" w:hAnsi="仿宋" w:eastAsia="仿宋_GB2312"/>
          <w:color w:val="000000"/>
          <w:sz w:val="32"/>
          <w:szCs w:val="32"/>
        </w:rPr>
      </w:pPr>
      <w:r>
        <w:rPr>
          <w:rStyle w:val="14"/>
          <w:rFonts w:hint="eastAsia" w:ascii="仿宋_GB2312" w:hAnsi="仿宋" w:eastAsia="仿宋_GB2312"/>
          <w:b w:val="0"/>
          <w:bCs/>
          <w:color w:val="000000"/>
          <w:sz w:val="32"/>
          <w:szCs w:val="32"/>
        </w:rPr>
        <w:t>19.住房保障支出（类）住房改革支出（款）住房公积金（项）: 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pStyle w:val="23"/>
        <w:spacing w:line="576" w:lineRule="exact"/>
        <w:ind w:firstLine="640" w:firstLineChars="200"/>
        <w:rPr>
          <w:rFonts w:ascii="仿宋_GB2312" w:eastAsia="仿宋_GB2312"/>
          <w:sz w:val="32"/>
          <w:szCs w:val="32"/>
        </w:rPr>
      </w:pPr>
    </w:p>
    <w:p>
      <w:pPr>
        <w:numPr>
          <w:ilvl w:val="0"/>
          <w:numId w:val="0"/>
        </w:numPr>
        <w:spacing w:line="576" w:lineRule="exact"/>
        <w:jc w:val="center"/>
        <w:outlineLvl w:val="0"/>
        <w:rPr>
          <w:rStyle w:val="25"/>
          <w:rFonts w:hint="eastAsia" w:ascii="方正小标宋简体" w:hAnsi="方正小标宋简体" w:eastAsia="方正小标宋简体" w:cs="方正小标宋简体"/>
          <w:b w:val="0"/>
        </w:rPr>
      </w:pPr>
      <w:bookmarkStart w:id="57" w:name="_Toc15396614"/>
      <w:bookmarkStart w:id="58" w:name="_Toc15377226"/>
      <w:r>
        <w:rPr>
          <w:rStyle w:val="25"/>
          <w:rFonts w:hint="eastAsia" w:ascii="方正小标宋简体" w:hAnsi="方正小标宋简体" w:eastAsia="方正小标宋简体" w:cs="方正小标宋简体"/>
          <w:b w:val="0"/>
          <w:lang w:eastAsia="zh-CN"/>
        </w:rPr>
        <w:t>第四部分</w:t>
      </w:r>
      <w:r>
        <w:rPr>
          <w:rStyle w:val="25"/>
          <w:rFonts w:hint="eastAsia" w:ascii="方正小标宋简体" w:hAnsi="方正小标宋简体" w:eastAsia="方正小标宋简体" w:cs="方正小标宋简体"/>
          <w:b w:val="0"/>
        </w:rPr>
        <w:t>附件</w:t>
      </w:r>
      <w:bookmarkEnd w:id="57"/>
    </w:p>
    <w:p>
      <w:pPr>
        <w:spacing w:line="576" w:lineRule="exact"/>
        <w:ind w:firstLine="880" w:firstLineChars="200"/>
        <w:jc w:val="center"/>
        <w:outlineLvl w:val="0"/>
        <w:rPr>
          <w:rFonts w:ascii="方正小标宋简体" w:hAnsi="黑体" w:eastAsia="方正小标宋简体" w:cs="方正小标宋简体"/>
          <w:sz w:val="44"/>
          <w:szCs w:val="44"/>
        </w:rPr>
      </w:pPr>
      <w:bookmarkStart w:id="59" w:name="_Toc15396616"/>
      <w:r>
        <w:rPr>
          <w:rFonts w:hint="eastAsia" w:ascii="方正小标宋简体" w:hAnsi="黑体" w:eastAsia="方正小标宋简体" w:cs="方正小标宋简体"/>
          <w:sz w:val="44"/>
          <w:szCs w:val="44"/>
        </w:rPr>
        <w:t>城市管理局2018年部门整体支出绩效评价报告</w:t>
      </w:r>
      <w:bookmarkEnd w:id="59"/>
    </w:p>
    <w:p>
      <w:pPr>
        <w:pStyle w:val="3"/>
        <w:spacing w:line="576" w:lineRule="exact"/>
        <w:ind w:firstLine="640" w:firstLineChars="200"/>
        <w:rPr>
          <w:rFonts w:ascii="黑体" w:hAnsi="黑体" w:eastAsia="黑体"/>
          <w:b w:val="0"/>
          <w:bCs w:val="0"/>
          <w:color w:val="000000"/>
        </w:rPr>
      </w:pPr>
      <w:r>
        <w:rPr>
          <w:rFonts w:hint="eastAsia" w:ascii="黑体" w:hAnsi="黑体" w:eastAsia="黑体" w:cs="黑体"/>
          <w:b w:val="0"/>
          <w:bCs w:val="0"/>
        </w:rPr>
        <w:t>一、部门概况</w:t>
      </w:r>
    </w:p>
    <w:p>
      <w:pPr>
        <w:spacing w:line="576" w:lineRule="exact"/>
        <w:ind w:firstLine="643" w:firstLineChars="200"/>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1.机构组成</w:t>
      </w:r>
    </w:p>
    <w:p>
      <w:pPr>
        <w:widowControl/>
        <w:adjustRightInd w:val="0"/>
        <w:snapToGrid w:val="0"/>
        <w:spacing w:line="576" w:lineRule="exact"/>
        <w:ind w:firstLine="640" w:firstLineChars="200"/>
        <w:jc w:val="left"/>
        <w:rPr>
          <w:rFonts w:ascii="仿宋_GB2312" w:hAnsi="黑体" w:eastAsia="仿宋_GB2312" w:cs="宋体"/>
          <w:color w:val="000000"/>
          <w:kern w:val="0"/>
          <w:sz w:val="32"/>
          <w:szCs w:val="32"/>
          <w:shd w:val="clear" w:color="auto" w:fill="FFFFFF"/>
          <w:lang w:val="zh-CN"/>
        </w:rPr>
      </w:pPr>
      <w:r>
        <w:rPr>
          <w:rFonts w:hint="eastAsia" w:ascii="仿宋_GB2312" w:hAnsi="黑体" w:eastAsia="仿宋_GB2312" w:cs="宋体"/>
          <w:color w:val="000000"/>
          <w:kern w:val="0"/>
          <w:sz w:val="32"/>
          <w:szCs w:val="32"/>
          <w:shd w:val="clear" w:color="auto" w:fill="FFFFFF"/>
          <w:lang w:val="zh-CN"/>
        </w:rPr>
        <w:t>茂县城市管理局，于2007年12月经</w:t>
      </w:r>
      <w:r>
        <w:rPr>
          <w:rFonts w:hint="eastAsia" w:ascii="仿宋_GB2312" w:hAnsi="黑体" w:eastAsia="仿宋_GB2312"/>
          <w:sz w:val="32"/>
          <w:szCs w:val="32"/>
        </w:rPr>
        <w:t>茂县机构编制委员会批复正式成立</w:t>
      </w:r>
      <w:r>
        <w:rPr>
          <w:rFonts w:hint="eastAsia" w:ascii="仿宋_GB2312" w:hAnsi="黑体" w:eastAsia="仿宋_GB2312" w:cs="宋体"/>
          <w:color w:val="000000"/>
          <w:kern w:val="0"/>
          <w:sz w:val="32"/>
          <w:szCs w:val="32"/>
          <w:shd w:val="clear" w:color="auto" w:fill="FFFFFF"/>
          <w:lang w:val="zh-CN"/>
        </w:rPr>
        <w:t>，</w:t>
      </w:r>
      <w:r>
        <w:rPr>
          <w:rFonts w:hint="eastAsia" w:ascii="仿宋_GB2312" w:hAnsi="黑体" w:eastAsia="仿宋_GB2312"/>
          <w:sz w:val="32"/>
          <w:szCs w:val="32"/>
        </w:rPr>
        <w:t>机构性质为参照公务员管理的事业单位</w:t>
      </w:r>
      <w:r>
        <w:rPr>
          <w:rFonts w:hint="eastAsia" w:ascii="仿宋_GB2312" w:hAnsi="黑体" w:eastAsia="仿宋_GB2312" w:cs="宋体"/>
          <w:color w:val="000000"/>
          <w:kern w:val="0"/>
          <w:sz w:val="32"/>
          <w:szCs w:val="32"/>
          <w:shd w:val="clear" w:color="auto" w:fill="FFFFFF"/>
          <w:lang w:val="zh-CN"/>
        </w:rPr>
        <w:t>，单位内设城市管理局机关、城监执法大队、清洁卫生管理所构成。</w:t>
      </w:r>
    </w:p>
    <w:p>
      <w:pPr>
        <w:spacing w:line="576" w:lineRule="exact"/>
        <w:ind w:firstLine="643" w:firstLineChars="200"/>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2.机构职能</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1.按照有关法律、法规、规章和政府的决定，做好城市管理工作。</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2.贯彻执行国家和地方关于城市市容市貌、园林绿化、环境卫生、市政设施（道路、照明、河道、排水）维护管理的法律、法规、规章及有关规范性文件。</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3.负责制定城市管理目标和计划。按照城市总体规划，研究制定全县城市管理、市政、环卫、城市绿化行业管理的发展战略。</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4.按照规定使用城市管理资金。根据市容、市政维护、环卫和绿化管理的部门资金预算，对资金使用实施监督控制。负责资金使用的核算，保证资金的正确使用。</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市容管理。统筹规划协调管理全县城市环境整治工作和“门前四包”工作。负责户外广告及临街各种广告栏、宣传栏、张贴栏、商标牌的位置和审批工作。管理临街建筑物、市政设施、建筑场地、城市交通运输工具等容貌。</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城市路灯的管理。维护管理城市路灯，对市区户外灯饰管理工作进行统筹协调，监督检查。负责重要地段、场所和较大项目灯饰建设方案的审批和竣工验收。负责指导、检查、督促和实施“光亮工程”。</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9.负责城市河道管理工作。实行对城市河道和排水设施的容貌、卫生、环境的管理及城市河道、排水设施进行维护和疏淘。</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10.负责对城市绿化进行管理、维护。</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11.负责市政设施环境卫生。</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12.拟定城市管理规范性文件并组织论证和报批。组织参与行政复议和行政诉讼。</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13.负责组织城市管理法规的宣传，提高市民的文明素质和城市意识。负责办理社会各界、新闻媒体有关城市管理的批评建议意见。</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14.负责城管执法人员的培训、监督、教育和管理，要求依法执法、文明执法。</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16.承办县政府交办的其他事项。</w:t>
      </w:r>
    </w:p>
    <w:p>
      <w:pPr>
        <w:snapToGrid w:val="0"/>
        <w:spacing w:line="576"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rPr>
        <w:t>（三）人员概况</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我单位属独立编制机构和独立核算的事业单位。人员编制数46人，其中：事业编制22人，行政编制24人；2018年末实有在职职工50人，退休人员16人。</w:t>
      </w:r>
    </w:p>
    <w:p>
      <w:pPr>
        <w:pStyle w:val="3"/>
        <w:spacing w:line="576" w:lineRule="exact"/>
        <w:ind w:firstLine="640" w:firstLineChars="200"/>
        <w:rPr>
          <w:rStyle w:val="26"/>
          <w:rFonts w:ascii="黑体" w:hAnsi="黑体" w:eastAsia="黑体"/>
          <w:b w:val="0"/>
          <w:bCs w:val="0"/>
        </w:rPr>
      </w:pPr>
      <w:r>
        <w:rPr>
          <w:rFonts w:ascii="黑体" w:hAnsi="黑体" w:eastAsia="黑体" w:cs="黑体"/>
          <w:b w:val="0"/>
          <w:bCs w:val="0"/>
        </w:rPr>
        <w:t>二、部门财政资金收支情况</w:t>
      </w:r>
    </w:p>
    <w:p>
      <w:pPr>
        <w:pStyle w:val="3"/>
        <w:spacing w:line="576" w:lineRule="exact"/>
        <w:ind w:firstLine="643" w:firstLineChars="200"/>
        <w:rPr>
          <w:rFonts w:hint="eastAsia" w:ascii="楷体" w:hAnsi="楷体" w:eastAsia="楷体" w:cs="楷体"/>
          <w:color w:val="000000"/>
        </w:rPr>
      </w:pPr>
      <w:r>
        <w:rPr>
          <w:rFonts w:hint="eastAsia" w:ascii="楷体" w:hAnsi="楷体" w:eastAsia="楷体" w:cs="楷体"/>
        </w:rPr>
        <w:t>（一）部门财政资金收入情况</w:t>
      </w:r>
    </w:p>
    <w:p>
      <w:pPr>
        <w:spacing w:line="576" w:lineRule="exact"/>
        <w:ind w:firstLine="640" w:firstLineChars="200"/>
        <w:rPr>
          <w:rFonts w:ascii="仿宋_GB2312" w:eastAsia="仿宋_GB2312"/>
          <w:color w:val="0000FF"/>
          <w:sz w:val="32"/>
          <w:szCs w:val="32"/>
        </w:rPr>
      </w:pPr>
      <w:r>
        <w:rPr>
          <w:rFonts w:hint="eastAsia" w:ascii="仿宋_GB2312" w:eastAsia="仿宋_GB2312"/>
          <w:sz w:val="32"/>
          <w:szCs w:val="32"/>
        </w:rPr>
        <w:t>2018年部门经费财政总收入1176.51万元。其中：年初结转结余44.14万元；本年收入1132.37万元。</w:t>
      </w:r>
    </w:p>
    <w:p>
      <w:pPr>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spacing w:line="576" w:lineRule="exact"/>
        <w:ind w:firstLine="320" w:firstLineChars="100"/>
        <w:rPr>
          <w:rFonts w:ascii="仿宋" w:hAnsi="仿宋" w:eastAsia="仿宋"/>
          <w:color w:val="000000" w:themeColor="text1"/>
          <w:sz w:val="32"/>
          <w:szCs w:val="32"/>
          <w14:textFill>
            <w14:solidFill>
              <w14:schemeClr w14:val="tx1"/>
            </w14:solidFill>
          </w14:textFill>
        </w:rPr>
      </w:pPr>
      <w:r>
        <w:rPr>
          <w:rFonts w:hint="eastAsia" w:ascii="仿宋_GB2312" w:eastAsia="仿宋_GB2312"/>
          <w:sz w:val="32"/>
          <w:szCs w:val="32"/>
        </w:rPr>
        <w:t>2018年部门经费总支出1081.4万元，全部用于单位正常支出。</w:t>
      </w:r>
      <w:r>
        <w:rPr>
          <w:rFonts w:hint="eastAsia" w:ascii="仿宋_GB2312" w:hAnsi="仿宋" w:eastAsia="仿宋_GB2312"/>
          <w:color w:val="000000" w:themeColor="text1"/>
          <w:sz w:val="32"/>
          <w:szCs w:val="32"/>
          <w14:textFill>
            <w14:solidFill>
              <w14:schemeClr w14:val="tx1"/>
            </w14:solidFill>
          </w14:textFill>
        </w:rPr>
        <w:t>主要用于以下方面:城乡社区支出（类）670.55万元，占62%；节能环保支出（类）244.03万元，占22.57%；社会保障和就业（类）支出77.76万元，占7.2%；医疗卫生支出（类）38.48万元，占3.56%；住房保障支出（类）50.57万元，占4.67%。</w:t>
      </w:r>
    </w:p>
    <w:p>
      <w:pPr>
        <w:pStyle w:val="3"/>
        <w:spacing w:line="576" w:lineRule="exact"/>
        <w:ind w:firstLine="640" w:firstLineChars="200"/>
        <w:rPr>
          <w:rFonts w:hint="eastAsia" w:ascii="黑体" w:hAnsi="黑体" w:eastAsia="黑体" w:cs="黑体"/>
          <w:b w:val="0"/>
          <w:bCs w:val="0"/>
        </w:rPr>
      </w:pPr>
      <w:r>
        <w:rPr>
          <w:rFonts w:hint="eastAsia" w:ascii="黑体" w:hAnsi="黑体" w:eastAsia="黑体" w:cs="黑体"/>
          <w:b w:val="0"/>
          <w:bCs w:val="0"/>
        </w:rPr>
        <w:t>三、部门整体预算绩效管理情况</w:t>
      </w:r>
    </w:p>
    <w:p>
      <w:pPr>
        <w:pStyle w:val="3"/>
        <w:spacing w:line="576" w:lineRule="exact"/>
        <w:ind w:firstLine="643" w:firstLineChars="200"/>
        <w:rPr>
          <w:rFonts w:ascii="仿宋" w:hAnsi="仿宋" w:eastAsia="仿宋"/>
          <w:color w:val="000000"/>
        </w:rPr>
      </w:pPr>
      <w:r>
        <w:rPr>
          <w:rFonts w:ascii="楷体" w:hAnsi="楷体" w:eastAsia="楷体" w:cs="仿宋_GB2312"/>
        </w:rPr>
        <w:t>（一）部门预算管理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我局按照茂财发【2019】38号文件的规定和要求积极且严格的开展本单位本部门预算支出绩效的自评工作。着重检查关于部门经费的账务处理和财务管理情况，做到账账相符、账实相符，如实反映本单位部门经费的使用管理情况。</w:t>
      </w:r>
    </w:p>
    <w:p>
      <w:pPr>
        <w:spacing w:line="576" w:lineRule="exact"/>
        <w:ind w:firstLine="643" w:firstLineChars="200"/>
        <w:rPr>
          <w:rFonts w:ascii="楷体" w:hAnsi="楷体" w:eastAsia="楷体"/>
          <w:b/>
          <w:sz w:val="32"/>
          <w:szCs w:val="32"/>
        </w:rPr>
      </w:pPr>
      <w:r>
        <w:rPr>
          <w:rFonts w:hint="eastAsia" w:ascii="楷体" w:hAnsi="楷体" w:eastAsia="楷体" w:cs="仿宋_GB2312"/>
          <w:b/>
          <w:sz w:val="32"/>
          <w:szCs w:val="32"/>
        </w:rPr>
        <w:t>（二）专项预算管理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2018年，本部门无专项预算管理。</w:t>
      </w:r>
    </w:p>
    <w:p>
      <w:pPr>
        <w:pStyle w:val="3"/>
        <w:spacing w:line="576" w:lineRule="exact"/>
        <w:ind w:firstLine="643" w:firstLineChars="200"/>
        <w:rPr>
          <w:rFonts w:ascii="楷体" w:hAnsi="楷体" w:eastAsia="楷体" w:cs="仿宋_GB2312"/>
        </w:rPr>
      </w:pPr>
      <w:r>
        <w:rPr>
          <w:rFonts w:ascii="楷体" w:hAnsi="楷体" w:eastAsia="楷体" w:cs="仿宋_GB2312"/>
        </w:rPr>
        <w:t>（三）结果应用情况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保障重 点支出，调整支出结构。</w:t>
      </w:r>
    </w:p>
    <w:p>
      <w:pPr>
        <w:pStyle w:val="3"/>
        <w:pageBreakBefore w:val="0"/>
        <w:kinsoku/>
        <w:wordWrap/>
        <w:overflowPunct/>
        <w:topLinePunct w:val="0"/>
        <w:autoSpaceDE/>
        <w:autoSpaceDN/>
        <w:bidi w:val="0"/>
        <w:adjustRightInd/>
        <w:snapToGrid/>
        <w:spacing w:line="576" w:lineRule="exact"/>
        <w:ind w:firstLine="640" w:firstLineChars="200"/>
        <w:rPr>
          <w:rFonts w:ascii="黑体" w:hAnsi="黑体" w:eastAsia="黑体" w:cs="黑体"/>
          <w:b w:val="0"/>
          <w:bCs w:val="0"/>
        </w:rPr>
      </w:pPr>
      <w:r>
        <w:rPr>
          <w:rFonts w:ascii="黑体" w:hAnsi="黑体" w:eastAsia="黑体" w:cs="黑体"/>
          <w:b w:val="0"/>
          <w:bCs w:val="0"/>
        </w:rPr>
        <w:t>四、评价结论及建议</w:t>
      </w:r>
    </w:p>
    <w:p>
      <w:pPr>
        <w:pStyle w:val="3"/>
        <w:pageBreakBefore w:val="0"/>
        <w:kinsoku/>
        <w:wordWrap/>
        <w:overflowPunct/>
        <w:topLinePunct w:val="0"/>
        <w:autoSpaceDE/>
        <w:autoSpaceDN/>
        <w:bidi w:val="0"/>
        <w:adjustRightInd/>
        <w:snapToGrid/>
        <w:spacing w:line="576" w:lineRule="exact"/>
        <w:ind w:firstLine="643" w:firstLineChars="200"/>
        <w:rPr>
          <w:rStyle w:val="26"/>
          <w:rFonts w:ascii="楷体" w:hAnsi="楷体" w:eastAsia="楷体"/>
          <w:b w:val="0"/>
          <w:bCs w:val="0"/>
        </w:rPr>
      </w:pPr>
      <w:r>
        <w:rPr>
          <w:rFonts w:ascii="楷体" w:hAnsi="楷体" w:eastAsia="楷体" w:cs="仿宋_GB2312"/>
        </w:rPr>
        <w:t>（一）评价结论</w:t>
      </w:r>
    </w:p>
    <w:p>
      <w:pPr>
        <w:pageBreakBefore w:val="0"/>
        <w:kinsoku/>
        <w:wordWrap/>
        <w:overflowPunct/>
        <w:topLinePunct w:val="0"/>
        <w:autoSpaceDE/>
        <w:autoSpaceDN/>
        <w:bidi w:val="0"/>
        <w:adjustRightInd/>
        <w:snapToGrid/>
        <w:spacing w:line="576" w:lineRule="exact"/>
        <w:ind w:firstLine="640" w:firstLineChars="200"/>
        <w:rPr>
          <w:rFonts w:ascii="仿宋_GB2312" w:eastAsia="仿宋_GB2312"/>
          <w:sz w:val="32"/>
          <w:szCs w:val="32"/>
        </w:rPr>
      </w:pPr>
      <w:r>
        <w:rPr>
          <w:rFonts w:hint="eastAsia" w:ascii="仿宋_GB2312" w:eastAsia="仿宋_GB2312"/>
          <w:sz w:val="32"/>
          <w:szCs w:val="32"/>
        </w:rPr>
        <w:t>2018年度我局在预算编制方面严格按照县级部门预算编制通知的有关要求按时更新基础数据，按时完成预算编制工作并提交预算草案，同时预算编制内容准确，绩效目标完备，预控指标细化，部门整体支出绩效评价自查自评结果良好，全年基本支出保证了部门的正常运行和日常工作的正常开展，项目支出保障了重点工作的开展，达到预期绩效目标，根据201</w:t>
      </w:r>
      <w:r>
        <w:rPr>
          <w:rFonts w:hint="eastAsia" w:ascii="仿宋_GB2312" w:eastAsia="仿宋_GB2312"/>
          <w:sz w:val="32"/>
          <w:szCs w:val="32"/>
          <w:lang w:val="en-US" w:eastAsia="zh-CN"/>
        </w:rPr>
        <w:t>8</w:t>
      </w:r>
      <w:r>
        <w:rPr>
          <w:rFonts w:hint="eastAsia" w:ascii="仿宋_GB2312" w:eastAsia="仿宋_GB2312"/>
          <w:sz w:val="32"/>
          <w:szCs w:val="32"/>
        </w:rPr>
        <w:t>年县级部门整体支出绩效评价指标体系表自评得分 93分。</w:t>
      </w:r>
    </w:p>
    <w:p>
      <w:pPr>
        <w:pStyle w:val="3"/>
        <w:pageBreakBefore w:val="0"/>
        <w:kinsoku/>
        <w:wordWrap/>
        <w:overflowPunct/>
        <w:topLinePunct w:val="0"/>
        <w:autoSpaceDE/>
        <w:autoSpaceDN/>
        <w:bidi w:val="0"/>
        <w:adjustRightInd/>
        <w:snapToGrid/>
        <w:spacing w:line="576" w:lineRule="exact"/>
        <w:ind w:firstLine="643" w:firstLineChars="200"/>
        <w:rPr>
          <w:rFonts w:ascii="楷体" w:hAnsi="楷体" w:eastAsia="楷体" w:cs="仿宋_GB2312"/>
        </w:rPr>
      </w:pPr>
      <w:r>
        <w:rPr>
          <w:rFonts w:ascii="楷体" w:hAnsi="楷体" w:eastAsia="楷体" w:cs="仿宋_GB2312"/>
        </w:rPr>
        <w:t>（二）存在问题</w:t>
      </w:r>
    </w:p>
    <w:p>
      <w:pPr>
        <w:pageBreakBefore w:val="0"/>
        <w:kinsoku/>
        <w:wordWrap/>
        <w:overflowPunct/>
        <w:topLinePunct w:val="0"/>
        <w:autoSpaceDE/>
        <w:autoSpaceDN/>
        <w:bidi w:val="0"/>
        <w:adjustRightInd/>
        <w:snapToGrid/>
        <w:spacing w:line="576" w:lineRule="exact"/>
        <w:ind w:firstLine="640" w:firstLineChars="200"/>
        <w:rPr>
          <w:rFonts w:ascii="仿宋_GB2312" w:eastAsia="仿宋_GB2312"/>
          <w:sz w:val="32"/>
          <w:szCs w:val="32"/>
        </w:rPr>
      </w:pPr>
      <w:r>
        <w:rPr>
          <w:rFonts w:hint="eastAsia" w:ascii="仿宋_GB2312" w:eastAsia="仿宋_GB2312"/>
          <w:sz w:val="32"/>
          <w:szCs w:val="32"/>
        </w:rPr>
        <w:t>绩效目标设定有待更科学更合理。</w:t>
      </w:r>
    </w:p>
    <w:p>
      <w:pPr>
        <w:pStyle w:val="3"/>
        <w:pageBreakBefore w:val="0"/>
        <w:kinsoku/>
        <w:wordWrap/>
        <w:overflowPunct/>
        <w:topLinePunct w:val="0"/>
        <w:autoSpaceDE/>
        <w:autoSpaceDN/>
        <w:bidi w:val="0"/>
        <w:adjustRightInd/>
        <w:snapToGrid/>
        <w:spacing w:line="576" w:lineRule="exact"/>
        <w:ind w:firstLine="643" w:firstLineChars="200"/>
        <w:rPr>
          <w:rFonts w:ascii="楷体" w:hAnsi="楷体" w:eastAsia="楷体" w:cs="仿宋_GB2312"/>
        </w:rPr>
      </w:pPr>
      <w:r>
        <w:rPr>
          <w:rFonts w:ascii="楷体" w:hAnsi="楷体" w:eastAsia="楷体" w:cs="仿宋_GB2312"/>
        </w:rPr>
        <w:t>（三）改进建议</w:t>
      </w: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hint="eastAsia" w:ascii="仿宋_GB2312" w:eastAsia="仿宋_GB2312"/>
          <w:sz w:val="32"/>
          <w:szCs w:val="32"/>
        </w:rPr>
      </w:pPr>
      <w:r>
        <w:rPr>
          <w:rFonts w:hint="eastAsia" w:ascii="仿宋_GB2312" w:eastAsia="仿宋_GB2312"/>
          <w:sz w:val="32"/>
          <w:szCs w:val="32"/>
        </w:rPr>
        <w:t>针对存在的问题，我们将进一步科学设定绩效目标，加 强预算执行管理。一是改进部门收支预算编制，夯实预算基 础工作，提高预算编制质量；二是认真研究政策，加强项目 绩效目标审核，力求科学合理；三是认真研究重点项目的执 行，特别是涉及政府采购的项目，提早规划，提前实施，确 保项目顺利实施，提高财政资金的使用效益。</w:t>
      </w: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hint="eastAsia" w:ascii="仿宋_GB2312" w:eastAsia="仿宋_GB2312"/>
          <w:sz w:val="32"/>
          <w:szCs w:val="32"/>
        </w:rPr>
      </w:pP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hint="eastAsia" w:ascii="仿宋_GB2312" w:eastAsia="仿宋_GB2312"/>
          <w:sz w:val="32"/>
          <w:szCs w:val="32"/>
        </w:rPr>
      </w:pP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hint="eastAsia" w:ascii="仿宋_GB2312" w:eastAsia="仿宋_GB2312"/>
          <w:sz w:val="32"/>
          <w:szCs w:val="32"/>
        </w:rPr>
      </w:pP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hint="eastAsia" w:ascii="仿宋_GB2312" w:eastAsia="仿宋_GB2312"/>
          <w:sz w:val="32"/>
          <w:szCs w:val="32"/>
        </w:rPr>
      </w:pPr>
    </w:p>
    <w:p>
      <w:pPr>
        <w:pageBreakBefore w:val="0"/>
        <w:tabs>
          <w:tab w:val="left" w:pos="-180"/>
        </w:tabs>
        <w:kinsoku/>
        <w:wordWrap/>
        <w:overflowPunct/>
        <w:topLinePunct w:val="0"/>
        <w:autoSpaceDE/>
        <w:autoSpaceDN/>
        <w:bidi w:val="0"/>
        <w:adjustRightInd/>
        <w:snapToGrid/>
        <w:spacing w:line="576" w:lineRule="exact"/>
        <w:ind w:right="-334" w:rightChars="-159" w:firstLine="640" w:firstLineChars="200"/>
        <w:rPr>
          <w:rFonts w:ascii="仿宋_GB2312" w:eastAsia="仿宋_GB2312"/>
          <w:sz w:val="32"/>
          <w:szCs w:val="32"/>
        </w:rPr>
        <w:sectPr>
          <w:headerReference r:id="rId3" w:type="default"/>
          <w:footerReference r:id="rId4" w:type="default"/>
          <w:footerReference r:id="rId5" w:type="even"/>
          <w:pgSz w:w="11906" w:h="16838"/>
          <w:pgMar w:top="907" w:right="1361" w:bottom="851" w:left="1361" w:header="851" w:footer="992" w:gutter="0"/>
          <w:pgNumType w:start="1"/>
          <w:cols w:space="720" w:num="1"/>
          <w:docGrid w:type="lines" w:linePitch="435" w:charSpace="0"/>
        </w:sectPr>
      </w:pPr>
    </w:p>
    <w:tbl>
      <w:tblPr>
        <w:tblStyle w:val="12"/>
        <w:tblW w:w="8835" w:type="dxa"/>
        <w:tblInd w:w="0" w:type="dxa"/>
        <w:shd w:val="clear" w:color="auto" w:fill="auto"/>
        <w:tblLayout w:type="fixed"/>
        <w:tblCellMar>
          <w:top w:w="0" w:type="dxa"/>
          <w:left w:w="0" w:type="dxa"/>
          <w:bottom w:w="0" w:type="dxa"/>
          <w:right w:w="0" w:type="dxa"/>
        </w:tblCellMar>
      </w:tblPr>
      <w:tblGrid>
        <w:gridCol w:w="750"/>
        <w:gridCol w:w="1065"/>
        <w:gridCol w:w="825"/>
        <w:gridCol w:w="2520"/>
        <w:gridCol w:w="705"/>
        <w:gridCol w:w="735"/>
        <w:gridCol w:w="2235"/>
      </w:tblGrid>
      <w:tr>
        <w:tblPrEx>
          <w:shd w:val="clear" w:color="auto" w:fill="auto"/>
          <w:tblCellMar>
            <w:top w:w="0" w:type="dxa"/>
            <w:left w:w="0" w:type="dxa"/>
            <w:bottom w:w="0" w:type="dxa"/>
            <w:right w:w="0" w:type="dxa"/>
          </w:tblCellMar>
        </w:tblPrEx>
        <w:trPr>
          <w:trHeight w:val="1000" w:hRule="atLeast"/>
        </w:trPr>
        <w:tc>
          <w:tcPr>
            <w:tcW w:w="8835" w:type="dxa"/>
            <w:gridSpan w:val="7"/>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2" w:firstLineChars="20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201</w:t>
            </w:r>
            <w:r>
              <w:rPr>
                <w:rFonts w:hint="eastAsia" w:ascii="宋体" w:hAnsi="宋体" w:cs="宋体"/>
                <w:b/>
                <w:i w:val="0"/>
                <w:color w:val="000000"/>
                <w:kern w:val="0"/>
                <w:sz w:val="28"/>
                <w:szCs w:val="28"/>
                <w:u w:val="none"/>
                <w:lang w:val="en-US" w:eastAsia="zh-CN" w:bidi="ar"/>
              </w:rPr>
              <w:t>8</w:t>
            </w:r>
            <w:r>
              <w:rPr>
                <w:rFonts w:hint="eastAsia" w:ascii="宋体" w:hAnsi="宋体" w:eastAsia="宋体" w:cs="宋体"/>
                <w:b/>
                <w:i w:val="0"/>
                <w:color w:val="000000"/>
                <w:kern w:val="0"/>
                <w:sz w:val="28"/>
                <w:szCs w:val="28"/>
                <w:u w:val="none"/>
                <w:lang w:val="en-US" w:eastAsia="zh-CN" w:bidi="ar"/>
              </w:rPr>
              <w:t>年县级部门整体支出绩效评价指标体系</w:t>
            </w:r>
          </w:p>
        </w:tc>
      </w:tr>
      <w:tr>
        <w:tblPrEx>
          <w:tblCellMar>
            <w:top w:w="0" w:type="dxa"/>
            <w:left w:w="0" w:type="dxa"/>
            <w:bottom w:w="0" w:type="dxa"/>
            <w:right w:w="0" w:type="dxa"/>
          </w:tblCellMar>
        </w:tblPrEx>
        <w:trPr>
          <w:trHeight w:val="7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指标解释</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扣分</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扣分理由</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计分标准（备注）</w:t>
            </w:r>
          </w:p>
        </w:tc>
      </w:tr>
      <w:tr>
        <w:tblPrEx>
          <w:tblCellMar>
            <w:top w:w="0" w:type="dxa"/>
            <w:left w:w="0" w:type="dxa"/>
            <w:bottom w:w="0" w:type="dxa"/>
            <w:right w:w="0" w:type="dxa"/>
          </w:tblCellMar>
        </w:tblPrEx>
        <w:trPr>
          <w:trHeight w:val="1000" w:hRule="atLeast"/>
        </w:trPr>
        <w:tc>
          <w:tcPr>
            <w:tcW w:w="750"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预算编制（10分）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报送时效（2分）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基础信息更新（2分）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部门是否按照县级部门预算编制通知和有关要求，按时完成基础库、项目库报送工作</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超过规定5个工作日扣0.5分，10个工作日扣1分，以此类推，直至扣完</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编制质量（3分）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（预算资金总来源-中期评估调整取消资金-预算结余注销资金）÷预算资金总来源*指标分值</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其中：预算资金总来源是指县级年初预算与执行中追加预算（不含当年专款）总和</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部门预算审查（1分）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根据县人大财经委对预算草案审查结果进行考核</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对财经委审查后提出并确需修改的问题，每个问题扣0.02分，直至扣完</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绩效目标（5分）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部门整体绩效目标编制完整、合理</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部门整体绩效目标能完整、合理反映部门年度职责履行情况的得分，否则不得分</w:t>
            </w:r>
          </w:p>
        </w:tc>
      </w:tr>
      <w:tr>
        <w:tblPrEx>
          <w:tblCellMar>
            <w:top w:w="0" w:type="dxa"/>
            <w:left w:w="0" w:type="dxa"/>
            <w:bottom w:w="0" w:type="dxa"/>
            <w:right w:w="0" w:type="dxa"/>
          </w:tblCellMar>
        </w:tblPrEx>
        <w:trPr>
          <w:trHeight w:val="603" w:hRule="atLeast"/>
        </w:trPr>
        <w:tc>
          <w:tcPr>
            <w:tcW w:w="750"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重点项目绩效目标（3分）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项目绩效目标编制明确、量化</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项目支出绩效目标编制不明确和量化的发现一个扣0.5分，直至扣完</w:t>
            </w:r>
          </w:p>
        </w:tc>
      </w:tr>
      <w:tr>
        <w:tblPrEx>
          <w:tblCellMar>
            <w:top w:w="0" w:type="dxa"/>
            <w:left w:w="0" w:type="dxa"/>
            <w:bottom w:w="0" w:type="dxa"/>
            <w:right w:w="0" w:type="dxa"/>
          </w:tblCellMar>
        </w:tblPrEx>
        <w:trPr>
          <w:trHeight w:val="10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预算执行（20分）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执行进度（10分）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财力专项预算分配时限（4分）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按规定及时分配财力专项预算</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按《预算法》规定时限完成分配的考核得分，否则不得分</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部门预算执行进度（6分）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部门按要求严格预算执行管理</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部门预算实际列支数÷部门预算总额*指标分值</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预算调整（4分）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执行中期评估（4分）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部门中期评估调整取消资金÷(中期评估调整取消资金+预算结余注销资金）*指标分值</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当中期评估调整取消资金与结余注销资金之和为零时，得满分</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行政成本（6分）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三公经费（6分）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严格执行“三公经费”预算</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部门“三公”经费决算数一项超预算扣1分，两项超预算扣2分，以此类推，直至扣完</w:t>
            </w:r>
          </w:p>
        </w:tc>
      </w:tr>
      <w:tr>
        <w:tblPrEx>
          <w:tblCellMar>
            <w:top w:w="0" w:type="dxa"/>
            <w:left w:w="0" w:type="dxa"/>
            <w:bottom w:w="0" w:type="dxa"/>
            <w:right w:w="0" w:type="dxa"/>
          </w:tblCellMar>
        </w:tblPrEx>
        <w:trPr>
          <w:trHeight w:val="1000" w:hRule="atLeast"/>
        </w:trPr>
        <w:tc>
          <w:tcPr>
            <w:tcW w:w="75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综合管理（40分）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政府采购实施计划（4分）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政府采购实施计划编制（2）</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实施计划与政府采购预算的一致性</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（1-调整或细化资金/政府采购预算资金）*分值</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政府采购实施计划的执行（2）</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执行的实施计划与备案的实施计划的一致性</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（1-实施计划备案后的调整或细化资金/实施计划备案后的资金）*分值</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资产管理（6分）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资产管理信息系统建设情况（2分）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考核部门和单位将国有资产纳入资产信息系统管理情况</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未将资产变动情况及时录入系统</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行政事业单位资产清查开展情况（2分）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考核行政事业单位按要求及时、准确、全面开展资产清查工作情况</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行政事业单位资产报表上报情况（2分）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考核行政事业单位上报国有资产报表数据的真实性、准确性、全面性</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内控制度管理（4分）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内部控制度健全完整（4分）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考核部门内部控制制度的设置和执行情况</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信息公开（10分）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预算公开（4分）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除涉密信息外，各部门要在财政部门批复后二十日内向社会公开本部门预算（含所有财政资金安排的“三公”经费、机关运行经费的安排、使用情况等）</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按县财政通知要求公开预算，未按要求公开的，发现一处扣0.5分，直至扣完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决算公开（4分）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除涉密信息外，各部门要在财政部门批复二十日内向社会公开本部门决算（含所有财政资金安排的“三公”经费、机关运行经费的安排、使用情况等）</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未按要求公开的，发现一处问题0.5分，直至扣完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绩效信息公开（2分）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按要求公开部门整体支出绩效自评报告及其他按要求应公开的绩效信息</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未按要求公开的，发现一处问题0.5分，直至扣完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绩效评价（10分）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评价项目覆盖率（2分）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部门实施绩效评价项目数量占部门管理专项预算项目数量的比重，部门申报绩效目标项目数量的比重，用以反映和考核部门实施绩效评价项目资金覆盖情况</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评价覆盖率=实施绩效评价项目数量/部门管理专项预算项目数量×100%</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评价层次（2分）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部门（单位）是否对单位内部股室开展整体绩效评价</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未按股市开展整体绩效考评</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对单位内部实施评价的得分，否则不得分</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评价结果报告（2分）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部门是否按要求向财政部门报告自评报告等相关绩效信息</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未按要求报送的，发现一处扣0.5分，直至扣完。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整改完成率（4分）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部门是否按要求针对绩效评价发现问题制定整改措施，并整改落实到位</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完成率=应制定整改措施的项目数量/部门实际制定整改措施项目数量×100%。</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依法接受财政监督（6分）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是否按要求开展自查自纠（2分）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根据相关自查自纠报告、报表报送时效和质量进行考核</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重点检查发现违规违纪问题（2分）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根据检查组提供的工作底稿、检查报告等资料进行考核</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专项检查发现的违纪违规问题，每个问题扣0.5分，直至扣完</w:t>
            </w:r>
          </w:p>
        </w:tc>
      </w:tr>
      <w:tr>
        <w:tblPrEx>
          <w:tblCellMar>
            <w:top w:w="0" w:type="dxa"/>
            <w:left w:w="0" w:type="dxa"/>
            <w:bottom w:w="0" w:type="dxa"/>
            <w:right w:w="0" w:type="dxa"/>
          </w:tblCellMar>
        </w:tblPrEx>
        <w:trPr>
          <w:trHeight w:val="1000" w:hRule="atLeast"/>
        </w:trPr>
        <w:tc>
          <w:tcPr>
            <w:tcW w:w="7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存在问题整改是否到位（2分）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根据相关整改报告、凭证依据等相关证明材料进行考核</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未在规定时间内完成整改，并提供相关证明材料的，每个问题0.5分，直至扣完</w:t>
            </w:r>
          </w:p>
        </w:tc>
      </w:tr>
      <w:tr>
        <w:tblPrEx>
          <w:tblCellMar>
            <w:top w:w="0" w:type="dxa"/>
            <w:left w:w="0" w:type="dxa"/>
            <w:bottom w:w="0" w:type="dxa"/>
            <w:right w:w="0" w:type="dxa"/>
          </w:tblCellMar>
        </w:tblPrEx>
        <w:trPr>
          <w:trHeight w:val="10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整体效益（30分）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部门整体绩效（30分）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重点项目绩效评价结果（10分）</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部门实施重大项目的经济、社会效益</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已对重大项目进行绩效评价，但有个别不做的地方有待改进</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根据县财政组织实施项目绩效评价结果换算</w:t>
            </w:r>
          </w:p>
        </w:tc>
      </w:tr>
      <w:tr>
        <w:tblPrEx>
          <w:tblCellMar>
            <w:top w:w="0" w:type="dxa"/>
            <w:left w:w="0" w:type="dxa"/>
            <w:bottom w:w="0" w:type="dxa"/>
            <w:right w:w="0" w:type="dxa"/>
          </w:tblCellMar>
        </w:tblPrEx>
        <w:trPr>
          <w:trHeight w:val="10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部门职能完成情况特性指标（20分）</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根据部门职能职责、州级主管部门和县委县政府安排的各项专项工作任务及其他年度重点工作任务等，汇总梳理形成能够量化衡量且全面反映部门职能工作完成情况的若干指标。</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不够全面细致</w:t>
            </w:r>
          </w:p>
        </w:tc>
        <w:tc>
          <w:tcPr>
            <w:tcW w:w="22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部门和评价组根据部门实际设置</w:t>
            </w:r>
          </w:p>
        </w:tc>
      </w:tr>
      <w:tr>
        <w:tblPrEx>
          <w:tblCellMar>
            <w:top w:w="0" w:type="dxa"/>
            <w:left w:w="0" w:type="dxa"/>
            <w:bottom w:w="0" w:type="dxa"/>
            <w:right w:w="0" w:type="dxa"/>
          </w:tblCellMar>
        </w:tblPrEx>
        <w:trPr>
          <w:trHeight w:val="108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trPr>
        <w:tc>
          <w:tcPr>
            <w:tcW w:w="8835" w:type="dxa"/>
            <w:gridSpan w:val="7"/>
            <w:tcBorders>
              <w:top w:val="single" w:color="000000"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注：若某部门不存在某项评价内容或评价指标，则该评价内容或评价指标不计入该部门考核评价范围，即该部门评价总分＝不含该评价内容或指标的评价总分/（100-该评价内容或指标所占分值）*100。</w:t>
            </w:r>
          </w:p>
        </w:tc>
      </w:tr>
    </w:tbl>
    <w:p>
      <w:pPr>
        <w:spacing w:line="576" w:lineRule="exact"/>
        <w:ind w:firstLine="420" w:firstLineChars="200"/>
      </w:pPr>
    </w:p>
    <w:p>
      <w:pPr>
        <w:spacing w:line="576" w:lineRule="exact"/>
        <w:ind w:firstLine="640" w:firstLineChars="200"/>
        <w:rPr>
          <w:rFonts w:ascii="仿宋_GB2312" w:hAnsi="仿宋_GB2312" w:eastAsia="仿宋_GB2312" w:cs="仿宋_GB2312"/>
          <w:sz w:val="32"/>
          <w:szCs w:val="32"/>
        </w:rPr>
      </w:pPr>
    </w:p>
    <w:p>
      <w:pPr>
        <w:widowControl/>
        <w:spacing w:line="576"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76" w:lineRule="exact"/>
        <w:ind w:firstLine="1320" w:firstLineChars="300"/>
        <w:rPr>
          <w:rFonts w:hint="eastAsia" w:ascii="方正小标宋简体" w:hAnsi="方正小标宋简体" w:eastAsia="方正小标宋简体" w:cs="方正小标宋简体"/>
          <w:b/>
          <w:color w:val="000000"/>
          <w:sz w:val="44"/>
          <w:szCs w:val="44"/>
        </w:rPr>
      </w:pPr>
      <w:bookmarkStart w:id="60" w:name="_Toc15396618"/>
      <w:r>
        <w:rPr>
          <w:rFonts w:hint="eastAsia" w:ascii="方正小标宋简体" w:hAnsi="方正小标宋简体" w:eastAsia="方正小标宋简体" w:cs="方正小标宋简体"/>
          <w:color w:val="000000"/>
          <w:sz w:val="44"/>
          <w:szCs w:val="44"/>
        </w:rPr>
        <w:t>第</w:t>
      </w:r>
      <w:r>
        <w:rPr>
          <w:rStyle w:val="25"/>
          <w:rFonts w:hint="eastAsia" w:ascii="方正小标宋简体" w:hAnsi="方正小标宋简体" w:eastAsia="方正小标宋简体" w:cs="方正小标宋简体"/>
          <w:b w:val="0"/>
        </w:rPr>
        <w:t>五部分 附表</w:t>
      </w:r>
      <w:bookmarkEnd w:id="58"/>
      <w:bookmarkEnd w:id="60"/>
    </w:p>
    <w:p>
      <w:pPr>
        <w:pStyle w:val="3"/>
        <w:spacing w:line="576" w:lineRule="exact"/>
        <w:rPr>
          <w:rFonts w:hint="eastAsia" w:ascii="仿宋_GB2312" w:hAnsi="仿宋_GB2312" w:eastAsia="仿宋_GB2312" w:cs="仿宋_GB2312"/>
          <w:color w:val="000000"/>
        </w:rPr>
      </w:pPr>
      <w:bookmarkStart w:id="61" w:name="_Toc15396619"/>
      <w:r>
        <w:rPr>
          <w:rFonts w:hint="eastAsia" w:ascii="仿宋_GB2312" w:hAnsi="仿宋_GB2312" w:eastAsia="仿宋_GB2312" w:cs="仿宋_GB2312"/>
          <w:b w:val="0"/>
          <w:color w:val="000000"/>
        </w:rPr>
        <w:t>一、收</w:t>
      </w:r>
      <w:r>
        <w:rPr>
          <w:rStyle w:val="26"/>
          <w:rFonts w:hint="eastAsia" w:ascii="仿宋_GB2312" w:hAnsi="仿宋_GB2312" w:eastAsia="仿宋_GB2312" w:cs="仿宋_GB2312"/>
          <w:b w:val="0"/>
          <w:bCs w:val="0"/>
        </w:rPr>
        <w:t>入支出决算总表</w:t>
      </w:r>
      <w:bookmarkEnd w:id="61"/>
    </w:p>
    <w:p>
      <w:pPr>
        <w:pStyle w:val="3"/>
        <w:spacing w:line="576" w:lineRule="exact"/>
        <w:rPr>
          <w:rFonts w:hint="eastAsia" w:ascii="仿宋_GB2312" w:hAnsi="仿宋_GB2312" w:eastAsia="仿宋_GB2312" w:cs="仿宋_GB2312"/>
          <w:color w:val="000000"/>
        </w:rPr>
      </w:pPr>
      <w:bookmarkStart w:id="62" w:name="_Toc15396620"/>
      <w:r>
        <w:rPr>
          <w:rFonts w:hint="eastAsia" w:ascii="仿宋_GB2312" w:hAnsi="仿宋_GB2312" w:eastAsia="仿宋_GB2312" w:cs="仿宋_GB2312"/>
          <w:b w:val="0"/>
          <w:color w:val="000000"/>
        </w:rPr>
        <w:t>二、收</w:t>
      </w:r>
      <w:r>
        <w:rPr>
          <w:rStyle w:val="26"/>
          <w:rFonts w:hint="eastAsia" w:ascii="仿宋_GB2312" w:hAnsi="仿宋_GB2312" w:eastAsia="仿宋_GB2312" w:cs="仿宋_GB2312"/>
          <w:b w:val="0"/>
          <w:bCs w:val="0"/>
        </w:rPr>
        <w:t>入总表</w:t>
      </w:r>
      <w:bookmarkEnd w:id="62"/>
    </w:p>
    <w:p>
      <w:pPr>
        <w:pStyle w:val="3"/>
        <w:spacing w:line="576" w:lineRule="exact"/>
        <w:rPr>
          <w:rFonts w:hint="eastAsia" w:ascii="仿宋_GB2312" w:hAnsi="仿宋_GB2312" w:eastAsia="仿宋_GB2312" w:cs="仿宋_GB2312"/>
          <w:color w:val="000000"/>
        </w:rPr>
      </w:pPr>
      <w:bookmarkStart w:id="63" w:name="_Toc15396621"/>
      <w:r>
        <w:rPr>
          <w:rStyle w:val="26"/>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6"/>
          <w:rFonts w:hint="eastAsia" w:ascii="仿宋_GB2312" w:hAnsi="仿宋_GB2312" w:eastAsia="仿宋_GB2312" w:cs="仿宋_GB2312"/>
          <w:b w:val="0"/>
          <w:bCs w:val="0"/>
        </w:rPr>
        <w:t>出总表</w:t>
      </w:r>
      <w:bookmarkEnd w:id="63"/>
    </w:p>
    <w:p>
      <w:pPr>
        <w:pStyle w:val="3"/>
        <w:spacing w:line="576" w:lineRule="exact"/>
        <w:rPr>
          <w:rFonts w:hint="eastAsia" w:ascii="仿宋_GB2312" w:hAnsi="仿宋_GB2312" w:eastAsia="仿宋_GB2312" w:cs="仿宋_GB2312"/>
          <w:b w:val="0"/>
          <w:color w:val="000000"/>
        </w:rPr>
      </w:pPr>
      <w:bookmarkStart w:id="64" w:name="_Toc15396622"/>
      <w:r>
        <w:rPr>
          <w:rStyle w:val="26"/>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政拨款收入支出决算总表</w:t>
      </w:r>
      <w:bookmarkEnd w:id="64"/>
    </w:p>
    <w:p>
      <w:pPr>
        <w:pStyle w:val="3"/>
        <w:spacing w:line="576" w:lineRule="exact"/>
        <w:rPr>
          <w:rFonts w:hint="eastAsia" w:ascii="仿宋_GB2312" w:hAnsi="仿宋_GB2312" w:eastAsia="仿宋_GB2312" w:cs="仿宋_GB2312"/>
          <w:color w:val="000000"/>
        </w:rPr>
      </w:pPr>
      <w:bookmarkStart w:id="65" w:name="_Toc15396623"/>
      <w:r>
        <w:rPr>
          <w:rStyle w:val="26"/>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政拨款支出决算明细表（政府经济分类科目）</w:t>
      </w:r>
      <w:bookmarkEnd w:id="65"/>
    </w:p>
    <w:p>
      <w:pPr>
        <w:pStyle w:val="3"/>
        <w:spacing w:line="576" w:lineRule="exact"/>
        <w:rPr>
          <w:rFonts w:hint="eastAsia" w:ascii="仿宋_GB2312" w:hAnsi="仿宋_GB2312" w:eastAsia="仿宋_GB2312" w:cs="仿宋_GB2312"/>
          <w:color w:val="000000"/>
        </w:rPr>
      </w:pPr>
      <w:bookmarkStart w:id="66" w:name="_Toc15396624"/>
      <w:r>
        <w:rPr>
          <w:rStyle w:val="26"/>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般公共预算财政拨款支出决算表</w:t>
      </w:r>
      <w:bookmarkEnd w:id="66"/>
    </w:p>
    <w:p>
      <w:pPr>
        <w:pStyle w:val="3"/>
        <w:spacing w:line="576" w:lineRule="exact"/>
        <w:rPr>
          <w:rFonts w:hint="eastAsia" w:ascii="仿宋_GB2312" w:hAnsi="仿宋_GB2312" w:eastAsia="仿宋_GB2312" w:cs="仿宋_GB2312"/>
          <w:color w:val="000000"/>
        </w:rPr>
      </w:pPr>
      <w:bookmarkStart w:id="67" w:name="_Toc15396625"/>
      <w:r>
        <w:rPr>
          <w:rStyle w:val="26"/>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般公共预算财政拨款支出决算明细表</w:t>
      </w:r>
      <w:bookmarkEnd w:id="67"/>
    </w:p>
    <w:p>
      <w:pPr>
        <w:pStyle w:val="3"/>
        <w:spacing w:line="576" w:lineRule="exact"/>
        <w:rPr>
          <w:rFonts w:hint="eastAsia" w:ascii="仿宋_GB2312" w:hAnsi="仿宋_GB2312" w:eastAsia="仿宋_GB2312" w:cs="仿宋_GB2312"/>
          <w:color w:val="000000"/>
        </w:rPr>
      </w:pPr>
      <w:bookmarkStart w:id="68" w:name="_Toc15396626"/>
      <w:r>
        <w:rPr>
          <w:rStyle w:val="26"/>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般公共预算财政拨款基本支出决算表</w:t>
      </w:r>
      <w:bookmarkEnd w:id="68"/>
    </w:p>
    <w:p>
      <w:pPr>
        <w:pStyle w:val="3"/>
        <w:spacing w:line="576" w:lineRule="exact"/>
        <w:rPr>
          <w:rFonts w:hint="eastAsia" w:ascii="仿宋_GB2312" w:hAnsi="仿宋_GB2312" w:eastAsia="仿宋_GB2312" w:cs="仿宋_GB2312"/>
          <w:color w:val="000000"/>
        </w:rPr>
      </w:pPr>
      <w:bookmarkStart w:id="69" w:name="_Toc15396627"/>
      <w:r>
        <w:rPr>
          <w:rStyle w:val="26"/>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般公共预算财政拨款项目支出决算表</w:t>
      </w:r>
      <w:bookmarkEnd w:id="69"/>
    </w:p>
    <w:p>
      <w:pPr>
        <w:pStyle w:val="3"/>
        <w:spacing w:line="576" w:lineRule="exact"/>
        <w:rPr>
          <w:rFonts w:hint="eastAsia" w:ascii="仿宋_GB2312" w:hAnsi="仿宋_GB2312" w:eastAsia="仿宋_GB2312" w:cs="仿宋_GB2312"/>
          <w:color w:val="000000"/>
        </w:rPr>
      </w:pPr>
      <w:bookmarkStart w:id="70" w:name="_Toc15396628"/>
      <w:r>
        <w:rPr>
          <w:rStyle w:val="26"/>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般公共预算财政拨款“三公”经费支出决算表</w:t>
      </w:r>
      <w:bookmarkEnd w:id="70"/>
    </w:p>
    <w:p>
      <w:pPr>
        <w:pStyle w:val="3"/>
        <w:spacing w:line="576" w:lineRule="exact"/>
        <w:rPr>
          <w:rFonts w:hint="eastAsia" w:ascii="仿宋_GB2312" w:hAnsi="仿宋_GB2312" w:eastAsia="仿宋_GB2312" w:cs="仿宋_GB2312"/>
          <w:color w:val="000000"/>
        </w:rPr>
      </w:pPr>
      <w:bookmarkStart w:id="71" w:name="_Toc15396629"/>
      <w:r>
        <w:rPr>
          <w:rStyle w:val="26"/>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府性基金预算财政拨款收入支出决算表</w:t>
      </w:r>
      <w:bookmarkEnd w:id="71"/>
    </w:p>
    <w:p>
      <w:pPr>
        <w:pStyle w:val="3"/>
        <w:spacing w:line="576" w:lineRule="exact"/>
        <w:rPr>
          <w:rFonts w:hint="eastAsia" w:ascii="仿宋_GB2312" w:hAnsi="仿宋_GB2312" w:eastAsia="仿宋_GB2312" w:cs="仿宋_GB2312"/>
          <w:color w:val="000000"/>
        </w:rPr>
      </w:pPr>
      <w:bookmarkStart w:id="72" w:name="_Toc15396630"/>
      <w:r>
        <w:rPr>
          <w:rStyle w:val="26"/>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府性基金预算财政拨款“三公”经费支出决算表</w:t>
      </w:r>
      <w:bookmarkEnd w:id="72"/>
    </w:p>
    <w:p>
      <w:pPr>
        <w:pStyle w:val="3"/>
        <w:spacing w:line="576" w:lineRule="exact"/>
        <w:rPr>
          <w:rStyle w:val="26"/>
          <w:rFonts w:hint="eastAsia" w:ascii="仿宋_GB2312" w:hAnsi="仿宋_GB2312" w:eastAsia="仿宋_GB2312" w:cs="仿宋_GB2312"/>
          <w:b w:val="0"/>
          <w:bCs w:val="0"/>
        </w:rPr>
      </w:pPr>
      <w:bookmarkStart w:id="73" w:name="_Toc15396631"/>
      <w:r>
        <w:rPr>
          <w:rStyle w:val="26"/>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6"/>
          <w:rFonts w:hint="eastAsia" w:ascii="仿宋_GB2312" w:hAnsi="仿宋_GB2312" w:eastAsia="仿宋_GB2312" w:cs="仿宋_GB2312"/>
          <w:b w:val="0"/>
          <w:bCs w:val="0"/>
        </w:rPr>
        <w:t>有资本经营预算支出决算表</w:t>
      </w:r>
      <w:bookmarkEnd w:id="73"/>
    </w:p>
    <w:p>
      <w:pPr>
        <w:spacing w:line="576" w:lineRule="exact"/>
        <w:rPr>
          <w:rFonts w:eastAsia="仿宋"/>
          <w:b/>
          <w:bCs/>
        </w:rPr>
      </w:pPr>
    </w:p>
    <w:sectPr>
      <w:headerReference r:id="rId6" w:type="defaul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34</w:t>
    </w:r>
    <w:r>
      <w:fldChar w:fldCharType="end"/>
    </w:r>
  </w:p>
  <w:p>
    <w:pPr>
      <w:pStyle w:val="8"/>
      <w:ind w:right="360"/>
    </w:pPr>
    <w:r>
      <w:rPr>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9</w: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29D62546"/>
    <w:multiLevelType w:val="multilevel"/>
    <w:tmpl w:val="29D62546"/>
    <w:lvl w:ilvl="0" w:tentative="0">
      <w:start w:val="2"/>
      <w:numFmt w:val="japaneseCounting"/>
      <w:lvlText w:val="%1、"/>
      <w:lvlJc w:val="left"/>
      <w:pPr>
        <w:ind w:left="1582" w:hanging="720"/>
      </w:pPr>
      <w:rPr>
        <w:rFonts w:hint="default" w:cs="Times New Roman"/>
        <w:color w:val="000000"/>
      </w:rPr>
    </w:lvl>
    <w:lvl w:ilvl="1" w:tentative="0">
      <w:start w:val="1"/>
      <w:numFmt w:val="lowerLetter"/>
      <w:lvlText w:val="%2)"/>
      <w:lvlJc w:val="left"/>
      <w:pPr>
        <w:ind w:left="1702" w:hanging="420"/>
      </w:pPr>
    </w:lvl>
    <w:lvl w:ilvl="2" w:tentative="0">
      <w:start w:val="1"/>
      <w:numFmt w:val="lowerRoman"/>
      <w:lvlText w:val="%3."/>
      <w:lvlJc w:val="right"/>
      <w:pPr>
        <w:ind w:left="2122" w:hanging="420"/>
      </w:pPr>
    </w:lvl>
    <w:lvl w:ilvl="3" w:tentative="0">
      <w:start w:val="1"/>
      <w:numFmt w:val="decimal"/>
      <w:lvlText w:val="%4."/>
      <w:lvlJc w:val="left"/>
      <w:pPr>
        <w:ind w:left="2542" w:hanging="420"/>
      </w:pPr>
    </w:lvl>
    <w:lvl w:ilvl="4" w:tentative="0">
      <w:start w:val="1"/>
      <w:numFmt w:val="lowerLetter"/>
      <w:lvlText w:val="%5)"/>
      <w:lvlJc w:val="left"/>
      <w:pPr>
        <w:ind w:left="2962" w:hanging="420"/>
      </w:pPr>
    </w:lvl>
    <w:lvl w:ilvl="5" w:tentative="0">
      <w:start w:val="1"/>
      <w:numFmt w:val="lowerRoman"/>
      <w:lvlText w:val="%6."/>
      <w:lvlJc w:val="right"/>
      <w:pPr>
        <w:ind w:left="3382" w:hanging="420"/>
      </w:pPr>
    </w:lvl>
    <w:lvl w:ilvl="6" w:tentative="0">
      <w:start w:val="1"/>
      <w:numFmt w:val="decimal"/>
      <w:lvlText w:val="%7."/>
      <w:lvlJc w:val="left"/>
      <w:pPr>
        <w:ind w:left="3802" w:hanging="420"/>
      </w:pPr>
    </w:lvl>
    <w:lvl w:ilvl="7" w:tentative="0">
      <w:start w:val="1"/>
      <w:numFmt w:val="lowerLetter"/>
      <w:lvlText w:val="%8)"/>
      <w:lvlJc w:val="left"/>
      <w:pPr>
        <w:ind w:left="4222" w:hanging="420"/>
      </w:pPr>
    </w:lvl>
    <w:lvl w:ilvl="8" w:tentative="0">
      <w:start w:val="1"/>
      <w:numFmt w:val="lowerRoman"/>
      <w:lvlText w:val="%9."/>
      <w:lvlJc w:val="right"/>
      <w:pPr>
        <w:ind w:left="4642"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0071"/>
    <w:rsid w:val="00000A48"/>
    <w:rsid w:val="00003862"/>
    <w:rsid w:val="000059FF"/>
    <w:rsid w:val="00005C96"/>
    <w:rsid w:val="000102F4"/>
    <w:rsid w:val="0001152A"/>
    <w:rsid w:val="000222C6"/>
    <w:rsid w:val="0002549F"/>
    <w:rsid w:val="0003079A"/>
    <w:rsid w:val="00030C21"/>
    <w:rsid w:val="00031DED"/>
    <w:rsid w:val="00031FC2"/>
    <w:rsid w:val="00040224"/>
    <w:rsid w:val="00045E23"/>
    <w:rsid w:val="00051EC5"/>
    <w:rsid w:val="000567B4"/>
    <w:rsid w:val="00057ACF"/>
    <w:rsid w:val="000601BC"/>
    <w:rsid w:val="0006487A"/>
    <w:rsid w:val="00064E4C"/>
    <w:rsid w:val="00065F8F"/>
    <w:rsid w:val="00066BD9"/>
    <w:rsid w:val="000679EC"/>
    <w:rsid w:val="000702AE"/>
    <w:rsid w:val="000768F2"/>
    <w:rsid w:val="000771BC"/>
    <w:rsid w:val="00086C60"/>
    <w:rsid w:val="0009184B"/>
    <w:rsid w:val="00094353"/>
    <w:rsid w:val="00094CD5"/>
    <w:rsid w:val="0009593C"/>
    <w:rsid w:val="000A2008"/>
    <w:rsid w:val="000B047F"/>
    <w:rsid w:val="000B572F"/>
    <w:rsid w:val="000B5923"/>
    <w:rsid w:val="000B5A48"/>
    <w:rsid w:val="000B6FF3"/>
    <w:rsid w:val="000C11B4"/>
    <w:rsid w:val="000C28DF"/>
    <w:rsid w:val="000C3467"/>
    <w:rsid w:val="000C3CA6"/>
    <w:rsid w:val="000C492A"/>
    <w:rsid w:val="000D1267"/>
    <w:rsid w:val="000D1732"/>
    <w:rsid w:val="000D1D50"/>
    <w:rsid w:val="000D5782"/>
    <w:rsid w:val="000D6FF4"/>
    <w:rsid w:val="000E6613"/>
    <w:rsid w:val="000E7119"/>
    <w:rsid w:val="000F0921"/>
    <w:rsid w:val="000F38C5"/>
    <w:rsid w:val="000F41D6"/>
    <w:rsid w:val="000F78B5"/>
    <w:rsid w:val="00113A99"/>
    <w:rsid w:val="00114E9B"/>
    <w:rsid w:val="00117232"/>
    <w:rsid w:val="00121493"/>
    <w:rsid w:val="0012174B"/>
    <w:rsid w:val="00121D8E"/>
    <w:rsid w:val="0012201E"/>
    <w:rsid w:val="001234A7"/>
    <w:rsid w:val="001234C4"/>
    <w:rsid w:val="0013050E"/>
    <w:rsid w:val="00130874"/>
    <w:rsid w:val="001309DC"/>
    <w:rsid w:val="001371CC"/>
    <w:rsid w:val="001400A0"/>
    <w:rsid w:val="00141766"/>
    <w:rsid w:val="0014729F"/>
    <w:rsid w:val="00147305"/>
    <w:rsid w:val="00154A5B"/>
    <w:rsid w:val="00157BAB"/>
    <w:rsid w:val="001654D1"/>
    <w:rsid w:val="00170441"/>
    <w:rsid w:val="00173ECF"/>
    <w:rsid w:val="0018106D"/>
    <w:rsid w:val="001824B4"/>
    <w:rsid w:val="00183FE3"/>
    <w:rsid w:val="001877A7"/>
    <w:rsid w:val="00190822"/>
    <w:rsid w:val="00191536"/>
    <w:rsid w:val="00196687"/>
    <w:rsid w:val="001977A8"/>
    <w:rsid w:val="001A2DED"/>
    <w:rsid w:val="001C0962"/>
    <w:rsid w:val="001C0F12"/>
    <w:rsid w:val="001D7531"/>
    <w:rsid w:val="001E2828"/>
    <w:rsid w:val="001E2CF9"/>
    <w:rsid w:val="001E366D"/>
    <w:rsid w:val="001E737D"/>
    <w:rsid w:val="001F0592"/>
    <w:rsid w:val="001F3550"/>
    <w:rsid w:val="001F562D"/>
    <w:rsid w:val="001F7506"/>
    <w:rsid w:val="002006CD"/>
    <w:rsid w:val="00202B36"/>
    <w:rsid w:val="0020318D"/>
    <w:rsid w:val="0020333D"/>
    <w:rsid w:val="00204B7A"/>
    <w:rsid w:val="00206515"/>
    <w:rsid w:val="0021101A"/>
    <w:rsid w:val="00220536"/>
    <w:rsid w:val="00223AC7"/>
    <w:rsid w:val="00223C15"/>
    <w:rsid w:val="0022588D"/>
    <w:rsid w:val="00225E0B"/>
    <w:rsid w:val="00227861"/>
    <w:rsid w:val="0023387A"/>
    <w:rsid w:val="00233C76"/>
    <w:rsid w:val="002350F2"/>
    <w:rsid w:val="00235629"/>
    <w:rsid w:val="00247F11"/>
    <w:rsid w:val="00252106"/>
    <w:rsid w:val="0025407F"/>
    <w:rsid w:val="00260C38"/>
    <w:rsid w:val="002616C0"/>
    <w:rsid w:val="002662AA"/>
    <w:rsid w:val="00280496"/>
    <w:rsid w:val="00284670"/>
    <w:rsid w:val="00291438"/>
    <w:rsid w:val="00295495"/>
    <w:rsid w:val="00295FE4"/>
    <w:rsid w:val="00297DCC"/>
    <w:rsid w:val="002A3759"/>
    <w:rsid w:val="002A52B8"/>
    <w:rsid w:val="002A53A7"/>
    <w:rsid w:val="002A6983"/>
    <w:rsid w:val="002A72DA"/>
    <w:rsid w:val="002B2613"/>
    <w:rsid w:val="002B4705"/>
    <w:rsid w:val="002C20AE"/>
    <w:rsid w:val="002D40CF"/>
    <w:rsid w:val="002D4B02"/>
    <w:rsid w:val="002D5C00"/>
    <w:rsid w:val="002E10C0"/>
    <w:rsid w:val="002E3805"/>
    <w:rsid w:val="002E4ECF"/>
    <w:rsid w:val="002F1818"/>
    <w:rsid w:val="002F273D"/>
    <w:rsid w:val="002F3DF5"/>
    <w:rsid w:val="002F567B"/>
    <w:rsid w:val="002F5F2B"/>
    <w:rsid w:val="002F6247"/>
    <w:rsid w:val="002F684B"/>
    <w:rsid w:val="003010D3"/>
    <w:rsid w:val="00303C8C"/>
    <w:rsid w:val="00304600"/>
    <w:rsid w:val="00314377"/>
    <w:rsid w:val="003216A9"/>
    <w:rsid w:val="00321D66"/>
    <w:rsid w:val="003222BD"/>
    <w:rsid w:val="0032368B"/>
    <w:rsid w:val="00324199"/>
    <w:rsid w:val="00331DD1"/>
    <w:rsid w:val="00337BA7"/>
    <w:rsid w:val="0035386A"/>
    <w:rsid w:val="0037013F"/>
    <w:rsid w:val="00375DBF"/>
    <w:rsid w:val="00380C92"/>
    <w:rsid w:val="003925EB"/>
    <w:rsid w:val="003A0391"/>
    <w:rsid w:val="003A0F48"/>
    <w:rsid w:val="003A484F"/>
    <w:rsid w:val="003B0BE0"/>
    <w:rsid w:val="003B0C1B"/>
    <w:rsid w:val="003B0DEE"/>
    <w:rsid w:val="003B688C"/>
    <w:rsid w:val="003B7858"/>
    <w:rsid w:val="003C0291"/>
    <w:rsid w:val="003C0F78"/>
    <w:rsid w:val="003C10F7"/>
    <w:rsid w:val="003C1D27"/>
    <w:rsid w:val="003C39AE"/>
    <w:rsid w:val="003C7B60"/>
    <w:rsid w:val="003D0BA6"/>
    <w:rsid w:val="003D1EA3"/>
    <w:rsid w:val="003D1FB2"/>
    <w:rsid w:val="003D51BC"/>
    <w:rsid w:val="003D66DA"/>
    <w:rsid w:val="003D750B"/>
    <w:rsid w:val="003E1310"/>
    <w:rsid w:val="003E3ACB"/>
    <w:rsid w:val="003E5B9D"/>
    <w:rsid w:val="003E6F55"/>
    <w:rsid w:val="003E75B7"/>
    <w:rsid w:val="003F499C"/>
    <w:rsid w:val="00400135"/>
    <w:rsid w:val="00405E43"/>
    <w:rsid w:val="00406254"/>
    <w:rsid w:val="0041302F"/>
    <w:rsid w:val="004223DE"/>
    <w:rsid w:val="0042501C"/>
    <w:rsid w:val="00426233"/>
    <w:rsid w:val="00426684"/>
    <w:rsid w:val="00434489"/>
    <w:rsid w:val="00437085"/>
    <w:rsid w:val="004425C0"/>
    <w:rsid w:val="00443880"/>
    <w:rsid w:val="004440CE"/>
    <w:rsid w:val="004464F4"/>
    <w:rsid w:val="00453278"/>
    <w:rsid w:val="004610EE"/>
    <w:rsid w:val="004711BB"/>
    <w:rsid w:val="0047128B"/>
    <w:rsid w:val="00471401"/>
    <w:rsid w:val="00473F31"/>
    <w:rsid w:val="0047690F"/>
    <w:rsid w:val="0048263A"/>
    <w:rsid w:val="00485945"/>
    <w:rsid w:val="00486998"/>
    <w:rsid w:val="00486ED5"/>
    <w:rsid w:val="00487E5D"/>
    <w:rsid w:val="00491105"/>
    <w:rsid w:val="00491760"/>
    <w:rsid w:val="004A2727"/>
    <w:rsid w:val="004A5EF4"/>
    <w:rsid w:val="004A711F"/>
    <w:rsid w:val="004B199D"/>
    <w:rsid w:val="004B1EEC"/>
    <w:rsid w:val="004B4690"/>
    <w:rsid w:val="004C2B85"/>
    <w:rsid w:val="004C3373"/>
    <w:rsid w:val="004C5220"/>
    <w:rsid w:val="004C5941"/>
    <w:rsid w:val="004D2D86"/>
    <w:rsid w:val="004D4081"/>
    <w:rsid w:val="004D57C6"/>
    <w:rsid w:val="004E0A2D"/>
    <w:rsid w:val="004E206B"/>
    <w:rsid w:val="004E6DF7"/>
    <w:rsid w:val="004E7E8B"/>
    <w:rsid w:val="004F0FBD"/>
    <w:rsid w:val="004F6C72"/>
    <w:rsid w:val="00502EF3"/>
    <w:rsid w:val="00505A47"/>
    <w:rsid w:val="00512FDA"/>
    <w:rsid w:val="00520DA0"/>
    <w:rsid w:val="00527232"/>
    <w:rsid w:val="00531025"/>
    <w:rsid w:val="00537E37"/>
    <w:rsid w:val="005401FA"/>
    <w:rsid w:val="0054531A"/>
    <w:rsid w:val="00546599"/>
    <w:rsid w:val="00547812"/>
    <w:rsid w:val="00551002"/>
    <w:rsid w:val="00552ABA"/>
    <w:rsid w:val="0055498B"/>
    <w:rsid w:val="0056198E"/>
    <w:rsid w:val="005664BB"/>
    <w:rsid w:val="0057481D"/>
    <w:rsid w:val="005809C8"/>
    <w:rsid w:val="00584028"/>
    <w:rsid w:val="00584283"/>
    <w:rsid w:val="0058486E"/>
    <w:rsid w:val="0058573A"/>
    <w:rsid w:val="005941EB"/>
    <w:rsid w:val="005955BC"/>
    <w:rsid w:val="00596054"/>
    <w:rsid w:val="005A060E"/>
    <w:rsid w:val="005A5B5F"/>
    <w:rsid w:val="005B7096"/>
    <w:rsid w:val="005C2F1A"/>
    <w:rsid w:val="005C4BA3"/>
    <w:rsid w:val="005C6184"/>
    <w:rsid w:val="005C6D02"/>
    <w:rsid w:val="005D1C8B"/>
    <w:rsid w:val="005D1F3D"/>
    <w:rsid w:val="005D5CED"/>
    <w:rsid w:val="005E2C1E"/>
    <w:rsid w:val="005E3AF0"/>
    <w:rsid w:val="005E4858"/>
    <w:rsid w:val="005E489F"/>
    <w:rsid w:val="005E4BA2"/>
    <w:rsid w:val="005E7DA0"/>
    <w:rsid w:val="005F115C"/>
    <w:rsid w:val="005F1A4C"/>
    <w:rsid w:val="005F1B0F"/>
    <w:rsid w:val="005F37A3"/>
    <w:rsid w:val="00602B60"/>
    <w:rsid w:val="00603748"/>
    <w:rsid w:val="00605688"/>
    <w:rsid w:val="006070AF"/>
    <w:rsid w:val="00607E6C"/>
    <w:rsid w:val="006101B1"/>
    <w:rsid w:val="00611564"/>
    <w:rsid w:val="00614E44"/>
    <w:rsid w:val="006208CD"/>
    <w:rsid w:val="00622830"/>
    <w:rsid w:val="00624C52"/>
    <w:rsid w:val="006303B3"/>
    <w:rsid w:val="00630AEF"/>
    <w:rsid w:val="006325F8"/>
    <w:rsid w:val="006328A4"/>
    <w:rsid w:val="00634C9A"/>
    <w:rsid w:val="006440E4"/>
    <w:rsid w:val="00647B3F"/>
    <w:rsid w:val="00655AE5"/>
    <w:rsid w:val="0066173A"/>
    <w:rsid w:val="00661ED5"/>
    <w:rsid w:val="0066343B"/>
    <w:rsid w:val="00664777"/>
    <w:rsid w:val="006748A4"/>
    <w:rsid w:val="00680052"/>
    <w:rsid w:val="0068076C"/>
    <w:rsid w:val="00681396"/>
    <w:rsid w:val="006820C4"/>
    <w:rsid w:val="006837E5"/>
    <w:rsid w:val="00683E73"/>
    <w:rsid w:val="0069280A"/>
    <w:rsid w:val="00696FE7"/>
    <w:rsid w:val="006A23C8"/>
    <w:rsid w:val="006A3141"/>
    <w:rsid w:val="006A5E34"/>
    <w:rsid w:val="006B0FA2"/>
    <w:rsid w:val="006B2422"/>
    <w:rsid w:val="006B2B9A"/>
    <w:rsid w:val="006B7592"/>
    <w:rsid w:val="006C1937"/>
    <w:rsid w:val="006C2BA5"/>
    <w:rsid w:val="006D234F"/>
    <w:rsid w:val="006F020C"/>
    <w:rsid w:val="006F31F7"/>
    <w:rsid w:val="006F5216"/>
    <w:rsid w:val="006F685F"/>
    <w:rsid w:val="00703469"/>
    <w:rsid w:val="00704684"/>
    <w:rsid w:val="007127B7"/>
    <w:rsid w:val="00717FDF"/>
    <w:rsid w:val="007201D7"/>
    <w:rsid w:val="00723475"/>
    <w:rsid w:val="00724F62"/>
    <w:rsid w:val="00726F69"/>
    <w:rsid w:val="00727C5B"/>
    <w:rsid w:val="007323DB"/>
    <w:rsid w:val="00733AAF"/>
    <w:rsid w:val="00733D5B"/>
    <w:rsid w:val="00740835"/>
    <w:rsid w:val="007416B6"/>
    <w:rsid w:val="0074346B"/>
    <w:rsid w:val="00746F48"/>
    <w:rsid w:val="0075404D"/>
    <w:rsid w:val="0076182A"/>
    <w:rsid w:val="00762A78"/>
    <w:rsid w:val="00765E12"/>
    <w:rsid w:val="00767B7E"/>
    <w:rsid w:val="00771E2A"/>
    <w:rsid w:val="00774B97"/>
    <w:rsid w:val="007770C3"/>
    <w:rsid w:val="007835B9"/>
    <w:rsid w:val="00784CDD"/>
    <w:rsid w:val="00784D24"/>
    <w:rsid w:val="00785FBA"/>
    <w:rsid w:val="0078642A"/>
    <w:rsid w:val="00786E4A"/>
    <w:rsid w:val="007875EB"/>
    <w:rsid w:val="00792357"/>
    <w:rsid w:val="0079426B"/>
    <w:rsid w:val="007947B7"/>
    <w:rsid w:val="007A02E1"/>
    <w:rsid w:val="007A0C64"/>
    <w:rsid w:val="007B28B7"/>
    <w:rsid w:val="007B5A8D"/>
    <w:rsid w:val="007B64CC"/>
    <w:rsid w:val="007B794F"/>
    <w:rsid w:val="007C1E4C"/>
    <w:rsid w:val="007D312A"/>
    <w:rsid w:val="007D3F19"/>
    <w:rsid w:val="007E23B0"/>
    <w:rsid w:val="007E32A5"/>
    <w:rsid w:val="007E71AD"/>
    <w:rsid w:val="007F1991"/>
    <w:rsid w:val="007F2C2F"/>
    <w:rsid w:val="007F55FC"/>
    <w:rsid w:val="007F5665"/>
    <w:rsid w:val="00800112"/>
    <w:rsid w:val="00805D7F"/>
    <w:rsid w:val="00807DFB"/>
    <w:rsid w:val="00810131"/>
    <w:rsid w:val="00814CA6"/>
    <w:rsid w:val="008253BB"/>
    <w:rsid w:val="00833CCC"/>
    <w:rsid w:val="0083706E"/>
    <w:rsid w:val="00837495"/>
    <w:rsid w:val="008375B3"/>
    <w:rsid w:val="00841906"/>
    <w:rsid w:val="008423A5"/>
    <w:rsid w:val="00842F02"/>
    <w:rsid w:val="008447E7"/>
    <w:rsid w:val="00850625"/>
    <w:rsid w:val="00853658"/>
    <w:rsid w:val="00853718"/>
    <w:rsid w:val="00855221"/>
    <w:rsid w:val="00860645"/>
    <w:rsid w:val="008643CF"/>
    <w:rsid w:val="00864791"/>
    <w:rsid w:val="00871F71"/>
    <w:rsid w:val="00875A92"/>
    <w:rsid w:val="00882568"/>
    <w:rsid w:val="00883E6F"/>
    <w:rsid w:val="00885AF4"/>
    <w:rsid w:val="00885D7A"/>
    <w:rsid w:val="00886FCA"/>
    <w:rsid w:val="008878B0"/>
    <w:rsid w:val="008939CD"/>
    <w:rsid w:val="00897271"/>
    <w:rsid w:val="008A190F"/>
    <w:rsid w:val="008A1D99"/>
    <w:rsid w:val="008A483E"/>
    <w:rsid w:val="008A5BF4"/>
    <w:rsid w:val="008A7912"/>
    <w:rsid w:val="008B230F"/>
    <w:rsid w:val="008B28CF"/>
    <w:rsid w:val="008B5BFF"/>
    <w:rsid w:val="008B768C"/>
    <w:rsid w:val="008C4DB1"/>
    <w:rsid w:val="008C4EAF"/>
    <w:rsid w:val="008C5176"/>
    <w:rsid w:val="008C6B00"/>
    <w:rsid w:val="008C7FD0"/>
    <w:rsid w:val="008E1DE7"/>
    <w:rsid w:val="008E5513"/>
    <w:rsid w:val="008E6ED8"/>
    <w:rsid w:val="008E707C"/>
    <w:rsid w:val="008F2384"/>
    <w:rsid w:val="008F33A6"/>
    <w:rsid w:val="00900B08"/>
    <w:rsid w:val="00902155"/>
    <w:rsid w:val="00902C09"/>
    <w:rsid w:val="00902FA3"/>
    <w:rsid w:val="0090350A"/>
    <w:rsid w:val="009036D0"/>
    <w:rsid w:val="009040CF"/>
    <w:rsid w:val="00906155"/>
    <w:rsid w:val="0091029F"/>
    <w:rsid w:val="009111AD"/>
    <w:rsid w:val="00914776"/>
    <w:rsid w:val="00921174"/>
    <w:rsid w:val="00923564"/>
    <w:rsid w:val="0092392E"/>
    <w:rsid w:val="0092544F"/>
    <w:rsid w:val="009315F9"/>
    <w:rsid w:val="00932FA3"/>
    <w:rsid w:val="009429AE"/>
    <w:rsid w:val="00946945"/>
    <w:rsid w:val="00951248"/>
    <w:rsid w:val="0095152F"/>
    <w:rsid w:val="00954C49"/>
    <w:rsid w:val="009551A5"/>
    <w:rsid w:val="00957B9B"/>
    <w:rsid w:val="00957FAF"/>
    <w:rsid w:val="00961FDD"/>
    <w:rsid w:val="00963C47"/>
    <w:rsid w:val="0097099F"/>
    <w:rsid w:val="00971997"/>
    <w:rsid w:val="00971FFC"/>
    <w:rsid w:val="009725BC"/>
    <w:rsid w:val="009728B5"/>
    <w:rsid w:val="009761D7"/>
    <w:rsid w:val="00976911"/>
    <w:rsid w:val="00976D77"/>
    <w:rsid w:val="00981588"/>
    <w:rsid w:val="00981C4F"/>
    <w:rsid w:val="0098315B"/>
    <w:rsid w:val="00985D19"/>
    <w:rsid w:val="0098660A"/>
    <w:rsid w:val="00990828"/>
    <w:rsid w:val="009931C3"/>
    <w:rsid w:val="009A3014"/>
    <w:rsid w:val="009A50CC"/>
    <w:rsid w:val="009B2C43"/>
    <w:rsid w:val="009B4EAE"/>
    <w:rsid w:val="009B5412"/>
    <w:rsid w:val="009B6441"/>
    <w:rsid w:val="009B7573"/>
    <w:rsid w:val="009C22F4"/>
    <w:rsid w:val="009C2E98"/>
    <w:rsid w:val="009C437E"/>
    <w:rsid w:val="009C44E5"/>
    <w:rsid w:val="009C5960"/>
    <w:rsid w:val="009D1358"/>
    <w:rsid w:val="009D3447"/>
    <w:rsid w:val="009D4711"/>
    <w:rsid w:val="009D56EF"/>
    <w:rsid w:val="009D7E5A"/>
    <w:rsid w:val="009E2906"/>
    <w:rsid w:val="009F1185"/>
    <w:rsid w:val="009F18CD"/>
    <w:rsid w:val="009F2A13"/>
    <w:rsid w:val="009F2E65"/>
    <w:rsid w:val="009F6289"/>
    <w:rsid w:val="009F70A5"/>
    <w:rsid w:val="00A018A7"/>
    <w:rsid w:val="00A04EB0"/>
    <w:rsid w:val="00A13CC1"/>
    <w:rsid w:val="00A145E2"/>
    <w:rsid w:val="00A16847"/>
    <w:rsid w:val="00A16CF3"/>
    <w:rsid w:val="00A20D82"/>
    <w:rsid w:val="00A228BE"/>
    <w:rsid w:val="00A237D8"/>
    <w:rsid w:val="00A2400C"/>
    <w:rsid w:val="00A266D8"/>
    <w:rsid w:val="00A268C4"/>
    <w:rsid w:val="00A26DF7"/>
    <w:rsid w:val="00A307CD"/>
    <w:rsid w:val="00A36FA6"/>
    <w:rsid w:val="00A401BA"/>
    <w:rsid w:val="00A40A00"/>
    <w:rsid w:val="00A4142F"/>
    <w:rsid w:val="00A47C60"/>
    <w:rsid w:val="00A5076F"/>
    <w:rsid w:val="00A51094"/>
    <w:rsid w:val="00A56DF2"/>
    <w:rsid w:val="00A574C9"/>
    <w:rsid w:val="00A66AEB"/>
    <w:rsid w:val="00A67AB5"/>
    <w:rsid w:val="00A732DF"/>
    <w:rsid w:val="00A77915"/>
    <w:rsid w:val="00A8127F"/>
    <w:rsid w:val="00A875B8"/>
    <w:rsid w:val="00A87DE5"/>
    <w:rsid w:val="00A91760"/>
    <w:rsid w:val="00A93B00"/>
    <w:rsid w:val="00A93C21"/>
    <w:rsid w:val="00A94ED4"/>
    <w:rsid w:val="00A96F1F"/>
    <w:rsid w:val="00AA06DC"/>
    <w:rsid w:val="00AA1FE9"/>
    <w:rsid w:val="00AA3A50"/>
    <w:rsid w:val="00AC3C6A"/>
    <w:rsid w:val="00AC51F6"/>
    <w:rsid w:val="00AD5620"/>
    <w:rsid w:val="00AD7C1B"/>
    <w:rsid w:val="00AE16BA"/>
    <w:rsid w:val="00AE1EBE"/>
    <w:rsid w:val="00AE3763"/>
    <w:rsid w:val="00AF0CBD"/>
    <w:rsid w:val="00AF78E4"/>
    <w:rsid w:val="00B012A2"/>
    <w:rsid w:val="00B015E7"/>
    <w:rsid w:val="00B0279B"/>
    <w:rsid w:val="00B036D4"/>
    <w:rsid w:val="00B03C9D"/>
    <w:rsid w:val="00B060AE"/>
    <w:rsid w:val="00B10517"/>
    <w:rsid w:val="00B14E76"/>
    <w:rsid w:val="00B161B8"/>
    <w:rsid w:val="00B16317"/>
    <w:rsid w:val="00B2048C"/>
    <w:rsid w:val="00B310B9"/>
    <w:rsid w:val="00B3153D"/>
    <w:rsid w:val="00B35F3F"/>
    <w:rsid w:val="00B36362"/>
    <w:rsid w:val="00B36CBB"/>
    <w:rsid w:val="00B425E0"/>
    <w:rsid w:val="00B440AA"/>
    <w:rsid w:val="00B44B70"/>
    <w:rsid w:val="00B458E0"/>
    <w:rsid w:val="00B53C56"/>
    <w:rsid w:val="00B60B55"/>
    <w:rsid w:val="00B77EA6"/>
    <w:rsid w:val="00B81598"/>
    <w:rsid w:val="00B841F1"/>
    <w:rsid w:val="00B907D7"/>
    <w:rsid w:val="00B90ADD"/>
    <w:rsid w:val="00B93986"/>
    <w:rsid w:val="00B944D6"/>
    <w:rsid w:val="00BA2716"/>
    <w:rsid w:val="00BA373B"/>
    <w:rsid w:val="00BA5EE4"/>
    <w:rsid w:val="00BB1365"/>
    <w:rsid w:val="00BB4DF0"/>
    <w:rsid w:val="00BB534F"/>
    <w:rsid w:val="00BC1505"/>
    <w:rsid w:val="00BC289F"/>
    <w:rsid w:val="00BC5361"/>
    <w:rsid w:val="00BC5460"/>
    <w:rsid w:val="00BC6B50"/>
    <w:rsid w:val="00BD0DA4"/>
    <w:rsid w:val="00BD0E25"/>
    <w:rsid w:val="00BD4919"/>
    <w:rsid w:val="00BE00BC"/>
    <w:rsid w:val="00BF13F0"/>
    <w:rsid w:val="00BF37EA"/>
    <w:rsid w:val="00BF3B28"/>
    <w:rsid w:val="00BF5BD6"/>
    <w:rsid w:val="00C03E31"/>
    <w:rsid w:val="00C0417C"/>
    <w:rsid w:val="00C04804"/>
    <w:rsid w:val="00C1507B"/>
    <w:rsid w:val="00C23FE0"/>
    <w:rsid w:val="00C33E72"/>
    <w:rsid w:val="00C354B2"/>
    <w:rsid w:val="00C35554"/>
    <w:rsid w:val="00C41EB5"/>
    <w:rsid w:val="00C42709"/>
    <w:rsid w:val="00C47F2E"/>
    <w:rsid w:val="00C533CC"/>
    <w:rsid w:val="00C5751C"/>
    <w:rsid w:val="00C60626"/>
    <w:rsid w:val="00C61054"/>
    <w:rsid w:val="00C6111E"/>
    <w:rsid w:val="00C61BFC"/>
    <w:rsid w:val="00C62B85"/>
    <w:rsid w:val="00C63E98"/>
    <w:rsid w:val="00C64498"/>
    <w:rsid w:val="00C65438"/>
    <w:rsid w:val="00C91CBB"/>
    <w:rsid w:val="00C93FC5"/>
    <w:rsid w:val="00C95616"/>
    <w:rsid w:val="00CA08B0"/>
    <w:rsid w:val="00CB0C63"/>
    <w:rsid w:val="00CB157E"/>
    <w:rsid w:val="00CB4A09"/>
    <w:rsid w:val="00CC09B6"/>
    <w:rsid w:val="00CC666F"/>
    <w:rsid w:val="00CD1980"/>
    <w:rsid w:val="00CD1E3F"/>
    <w:rsid w:val="00CE44F6"/>
    <w:rsid w:val="00CE49DA"/>
    <w:rsid w:val="00CE4DBD"/>
    <w:rsid w:val="00CE642B"/>
    <w:rsid w:val="00CE7B61"/>
    <w:rsid w:val="00CF1E19"/>
    <w:rsid w:val="00CF4E15"/>
    <w:rsid w:val="00CF5318"/>
    <w:rsid w:val="00CF6B58"/>
    <w:rsid w:val="00D00095"/>
    <w:rsid w:val="00D001A9"/>
    <w:rsid w:val="00D03EA5"/>
    <w:rsid w:val="00D07F16"/>
    <w:rsid w:val="00D127D1"/>
    <w:rsid w:val="00D1327D"/>
    <w:rsid w:val="00D1327F"/>
    <w:rsid w:val="00D20620"/>
    <w:rsid w:val="00D2259D"/>
    <w:rsid w:val="00D26091"/>
    <w:rsid w:val="00D319F9"/>
    <w:rsid w:val="00D34E7C"/>
    <w:rsid w:val="00D35489"/>
    <w:rsid w:val="00D437DD"/>
    <w:rsid w:val="00D51276"/>
    <w:rsid w:val="00D62FE5"/>
    <w:rsid w:val="00D643B8"/>
    <w:rsid w:val="00D64635"/>
    <w:rsid w:val="00D7035F"/>
    <w:rsid w:val="00D704C2"/>
    <w:rsid w:val="00D72EE2"/>
    <w:rsid w:val="00D755D1"/>
    <w:rsid w:val="00D97B0D"/>
    <w:rsid w:val="00DA1A98"/>
    <w:rsid w:val="00DA65AC"/>
    <w:rsid w:val="00DB1913"/>
    <w:rsid w:val="00DB51CB"/>
    <w:rsid w:val="00DB621C"/>
    <w:rsid w:val="00DB711E"/>
    <w:rsid w:val="00DC2A35"/>
    <w:rsid w:val="00DC410D"/>
    <w:rsid w:val="00DC5ACA"/>
    <w:rsid w:val="00DC68CA"/>
    <w:rsid w:val="00DC7CBA"/>
    <w:rsid w:val="00DD6707"/>
    <w:rsid w:val="00DD73B7"/>
    <w:rsid w:val="00DE7D8C"/>
    <w:rsid w:val="00DF28BC"/>
    <w:rsid w:val="00DF34B9"/>
    <w:rsid w:val="00E01053"/>
    <w:rsid w:val="00E058F3"/>
    <w:rsid w:val="00E07ACF"/>
    <w:rsid w:val="00E07ED4"/>
    <w:rsid w:val="00E160CF"/>
    <w:rsid w:val="00E24F91"/>
    <w:rsid w:val="00E262F5"/>
    <w:rsid w:val="00E30643"/>
    <w:rsid w:val="00E331A1"/>
    <w:rsid w:val="00E33202"/>
    <w:rsid w:val="00E336A9"/>
    <w:rsid w:val="00E34438"/>
    <w:rsid w:val="00E40217"/>
    <w:rsid w:val="00E45689"/>
    <w:rsid w:val="00E50624"/>
    <w:rsid w:val="00E55371"/>
    <w:rsid w:val="00E568DF"/>
    <w:rsid w:val="00E61D1A"/>
    <w:rsid w:val="00E635E8"/>
    <w:rsid w:val="00E64269"/>
    <w:rsid w:val="00E82267"/>
    <w:rsid w:val="00E83723"/>
    <w:rsid w:val="00E851EA"/>
    <w:rsid w:val="00E87178"/>
    <w:rsid w:val="00E92C4A"/>
    <w:rsid w:val="00EA010F"/>
    <w:rsid w:val="00EA431F"/>
    <w:rsid w:val="00EA4E7A"/>
    <w:rsid w:val="00EA6FA6"/>
    <w:rsid w:val="00EA7245"/>
    <w:rsid w:val="00EA77D9"/>
    <w:rsid w:val="00EB6DDD"/>
    <w:rsid w:val="00EB7B7C"/>
    <w:rsid w:val="00EC14DF"/>
    <w:rsid w:val="00ED1B63"/>
    <w:rsid w:val="00ED3C1F"/>
    <w:rsid w:val="00ED4085"/>
    <w:rsid w:val="00ED420E"/>
    <w:rsid w:val="00ED724B"/>
    <w:rsid w:val="00EE2F57"/>
    <w:rsid w:val="00EE7013"/>
    <w:rsid w:val="00EE76B2"/>
    <w:rsid w:val="00EF4C34"/>
    <w:rsid w:val="00EF604B"/>
    <w:rsid w:val="00EF77C6"/>
    <w:rsid w:val="00F05438"/>
    <w:rsid w:val="00F05DC2"/>
    <w:rsid w:val="00F05E2B"/>
    <w:rsid w:val="00F1361C"/>
    <w:rsid w:val="00F160C7"/>
    <w:rsid w:val="00F33B67"/>
    <w:rsid w:val="00F36D8F"/>
    <w:rsid w:val="00F41331"/>
    <w:rsid w:val="00F417B1"/>
    <w:rsid w:val="00F4279F"/>
    <w:rsid w:val="00F46528"/>
    <w:rsid w:val="00F571B4"/>
    <w:rsid w:val="00F602DF"/>
    <w:rsid w:val="00F60C91"/>
    <w:rsid w:val="00F61A12"/>
    <w:rsid w:val="00F6412B"/>
    <w:rsid w:val="00F73803"/>
    <w:rsid w:val="00F81481"/>
    <w:rsid w:val="00F81FD9"/>
    <w:rsid w:val="00F83C4B"/>
    <w:rsid w:val="00F841AA"/>
    <w:rsid w:val="00F92278"/>
    <w:rsid w:val="00FA0669"/>
    <w:rsid w:val="00FA23E8"/>
    <w:rsid w:val="00FA785D"/>
    <w:rsid w:val="00FC0E39"/>
    <w:rsid w:val="00FC5568"/>
    <w:rsid w:val="00FD3CC1"/>
    <w:rsid w:val="00FE2A6C"/>
    <w:rsid w:val="00FF1E02"/>
    <w:rsid w:val="00FF30B4"/>
    <w:rsid w:val="04ED23F9"/>
    <w:rsid w:val="05F7579E"/>
    <w:rsid w:val="096F3998"/>
    <w:rsid w:val="0AB57073"/>
    <w:rsid w:val="0C1F06E3"/>
    <w:rsid w:val="0DA81A5A"/>
    <w:rsid w:val="0E5E64FD"/>
    <w:rsid w:val="0F805CC4"/>
    <w:rsid w:val="10C055FF"/>
    <w:rsid w:val="124032D8"/>
    <w:rsid w:val="152412F5"/>
    <w:rsid w:val="162B7124"/>
    <w:rsid w:val="16BB723D"/>
    <w:rsid w:val="190275A3"/>
    <w:rsid w:val="1A00407A"/>
    <w:rsid w:val="1A420FE6"/>
    <w:rsid w:val="1B206F2D"/>
    <w:rsid w:val="1E610C63"/>
    <w:rsid w:val="1EED4B21"/>
    <w:rsid w:val="20567085"/>
    <w:rsid w:val="211633AE"/>
    <w:rsid w:val="22546388"/>
    <w:rsid w:val="232050A1"/>
    <w:rsid w:val="23630EC8"/>
    <w:rsid w:val="23730654"/>
    <w:rsid w:val="23A01816"/>
    <w:rsid w:val="240371BF"/>
    <w:rsid w:val="26292E39"/>
    <w:rsid w:val="274F620C"/>
    <w:rsid w:val="29D23E1C"/>
    <w:rsid w:val="29FD04D3"/>
    <w:rsid w:val="2C7B19CA"/>
    <w:rsid w:val="2CC42A55"/>
    <w:rsid w:val="2CDF0168"/>
    <w:rsid w:val="3038342D"/>
    <w:rsid w:val="319F7F4E"/>
    <w:rsid w:val="34425A6E"/>
    <w:rsid w:val="350C6D5E"/>
    <w:rsid w:val="35921A6D"/>
    <w:rsid w:val="371E1C64"/>
    <w:rsid w:val="39BE3102"/>
    <w:rsid w:val="3A9750BA"/>
    <w:rsid w:val="3C7050AE"/>
    <w:rsid w:val="3CFC4E35"/>
    <w:rsid w:val="3DD153F8"/>
    <w:rsid w:val="3DED4B15"/>
    <w:rsid w:val="3E4563AD"/>
    <w:rsid w:val="40993DEB"/>
    <w:rsid w:val="41451F36"/>
    <w:rsid w:val="41AE7E79"/>
    <w:rsid w:val="42524866"/>
    <w:rsid w:val="43024D2F"/>
    <w:rsid w:val="4A796169"/>
    <w:rsid w:val="4DB14A99"/>
    <w:rsid w:val="4EF15C7B"/>
    <w:rsid w:val="4F697FD5"/>
    <w:rsid w:val="4F6E641D"/>
    <w:rsid w:val="53EA45BE"/>
    <w:rsid w:val="566B16CF"/>
    <w:rsid w:val="56A8572F"/>
    <w:rsid w:val="57680E28"/>
    <w:rsid w:val="598D51FB"/>
    <w:rsid w:val="5A9137B3"/>
    <w:rsid w:val="5AF53B47"/>
    <w:rsid w:val="5B073390"/>
    <w:rsid w:val="5BD83C7A"/>
    <w:rsid w:val="5D3C0A1B"/>
    <w:rsid w:val="5FB539B2"/>
    <w:rsid w:val="5FD63B8B"/>
    <w:rsid w:val="621448FB"/>
    <w:rsid w:val="63CB79A5"/>
    <w:rsid w:val="64A91750"/>
    <w:rsid w:val="67413AA2"/>
    <w:rsid w:val="68CC5998"/>
    <w:rsid w:val="69AB1E87"/>
    <w:rsid w:val="6A477791"/>
    <w:rsid w:val="6B3B33CF"/>
    <w:rsid w:val="6B503C49"/>
    <w:rsid w:val="6D6311C6"/>
    <w:rsid w:val="6E1345E0"/>
    <w:rsid w:val="6EFB0ABA"/>
    <w:rsid w:val="708C6CC9"/>
    <w:rsid w:val="72A36E49"/>
    <w:rsid w:val="73467B00"/>
    <w:rsid w:val="76432C7F"/>
    <w:rsid w:val="76926A24"/>
    <w:rsid w:val="77974CF6"/>
    <w:rsid w:val="7A660FB1"/>
    <w:rsid w:val="7D5818D9"/>
    <w:rsid w:val="7D953EA4"/>
    <w:rsid w:val="7DDF73B2"/>
    <w:rsid w:val="7E834E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收支总计</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1482.9</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1176.51</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2017年度</c:v>
                </c:pt>
                <c:pt idx="1">
                  <c:v>2018年度</c:v>
                </c:pt>
              </c:strCache>
            </c:strRef>
          </c:cat>
          <c:val>
            <c:numRef>
              <c:f>'Sheet1'!$B$2:$B$3</c:f>
              <c:numCache>
                <c:formatCode>General</c:formatCode>
                <c:ptCount val="2"/>
                <c:pt idx="0">
                  <c:v>1482.9</c:v>
                </c:pt>
                <c:pt idx="1">
                  <c:v>1176.51</c:v>
                </c:pt>
              </c:numCache>
            </c:numRef>
          </c:val>
        </c:ser>
        <c:dLbls>
          <c:showLegendKey val="0"/>
          <c:showVal val="1"/>
          <c:showCatName val="0"/>
          <c:showSerName val="0"/>
          <c:showPercent val="0"/>
          <c:showBubbleSize val="0"/>
        </c:dLbls>
        <c:gapWidth val="150"/>
        <c:overlap val="-25"/>
        <c:axId val="109287296"/>
        <c:axId val="161515392"/>
      </c:barChart>
      <c:catAx>
        <c:axId val="1092872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1515392"/>
        <c:crosses val="autoZero"/>
        <c:auto val="1"/>
        <c:lblAlgn val="ctr"/>
        <c:lblOffset val="100"/>
        <c:noMultiLvlLbl val="0"/>
      </c:catAx>
      <c:valAx>
        <c:axId val="161515392"/>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9287296"/>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收入</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8</a:t>
                    </a:r>
                    <a:r>
                      <a:rPr lang="en-US" altLang="zh-CN"/>
                      <a:t>5.77%</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971.24</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1</a:t>
                    </a:r>
                    <a:r>
                      <a:rPr lang="en-US" altLang="zh-CN"/>
                      <a:t>4.23%</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161.12</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971.24</c:v>
                </c:pt>
                <c:pt idx="1">
                  <c:v>161.13</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城管局2018年度支出</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6</a:t>
                    </a:r>
                    <a:r>
                      <a:rPr lang="en-US" altLang="zh-CN"/>
                      <a:t>2.53%</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676.24</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3</a:t>
                    </a:r>
                    <a:r>
                      <a:rPr lang="en-US" altLang="zh-CN"/>
                      <a:t>7.47%</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405.16</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8.2</c:v>
                </c:pt>
                <c:pt idx="1">
                  <c:v>3.2</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c:v>
                </c:pt>
              </c:strCache>
            </c:strRef>
          </c:tx>
          <c:invertIfNegative val="0"/>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a:t>1176.51</a:t>
                    </a:r>
                    <a:r>
                      <a:rPr lang="zh-CN" altLang="en-US"/>
                      <a:t>万元</a:t>
                    </a:r>
                    <a:endParaRPr lang="en-US"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2018年度收支对比表</c:v>
                </c:pt>
              </c:strCache>
            </c:strRef>
          </c:cat>
          <c:val>
            <c:numRef>
              <c:f>Sheet1!$B$2:$B$3</c:f>
              <c:numCache>
                <c:formatCode>General</c:formatCode>
                <c:ptCount val="2"/>
                <c:pt idx="0">
                  <c:v>1176.51</c:v>
                </c:pt>
              </c:numCache>
            </c:numRef>
          </c:val>
        </c:ser>
        <c:ser>
          <c:idx val="1"/>
          <c:order val="1"/>
          <c:tx>
            <c:strRef>
              <c:f>Sheet1!$C$1</c:f>
              <c:strCache>
                <c:ptCount val="1"/>
                <c:pt idx="0">
                  <c:v>财政拨款支出</c:v>
                </c:pt>
              </c:strCache>
            </c:strRef>
          </c:tx>
          <c:invertIfNegative val="0"/>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a:t>1176.51</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2018年度收支对比表</c:v>
                </c:pt>
              </c:strCache>
            </c:strRef>
          </c:cat>
          <c:val>
            <c:numRef>
              <c:f>Sheet1!$C$2:$C$3</c:f>
              <c:numCache>
                <c:formatCode>General</c:formatCode>
                <c:ptCount val="2"/>
                <c:pt idx="0">
                  <c:v>1176.51</c:v>
                </c:pt>
              </c:numCache>
            </c:numRef>
          </c:val>
        </c:ser>
        <c:dLbls>
          <c:showLegendKey val="0"/>
          <c:showVal val="1"/>
          <c:showCatName val="0"/>
          <c:showSerName val="0"/>
          <c:showPercent val="0"/>
          <c:showBubbleSize val="0"/>
        </c:dLbls>
        <c:gapWidth val="150"/>
        <c:overlap val="-25"/>
        <c:axId val="189950976"/>
        <c:axId val="189952768"/>
      </c:barChart>
      <c:catAx>
        <c:axId val="1899509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crossAx val="189952768"/>
        <c:crosses val="autoZero"/>
        <c:auto val="1"/>
        <c:lblAlgn val="ctr"/>
        <c:lblOffset val="100"/>
        <c:noMultiLvlLbl val="0"/>
      </c:catAx>
      <c:valAx>
        <c:axId val="189952768"/>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9950976"/>
        <c:crosses val="autoZero"/>
        <c:crossBetween val="between"/>
      </c:valAx>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invertIfNegative val="0"/>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sz="1100">
                        <a:latin typeface="黑体" panose="02010609060101010101" charset="-122"/>
                        <a:ea typeface="黑体" panose="02010609060101010101" charset="-122"/>
                      </a:rPr>
                      <a:t>1</a:t>
                    </a:r>
                    <a:r>
                      <a:rPr lang="en-US" altLang="en-US"/>
                      <a:t>414.53</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sz="1100">
                        <a:latin typeface="黑体" panose="02010609060101010101" charset="-122"/>
                        <a:ea typeface="黑体" panose="02010609060101010101" charset="-122"/>
                      </a:rPr>
                      <a:t>920.28</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2017年度</c:v>
                </c:pt>
                <c:pt idx="1">
                  <c:v>2018年度</c:v>
                </c:pt>
              </c:strCache>
            </c:strRef>
          </c:cat>
          <c:val>
            <c:numRef>
              <c:f>'Sheet1'!$B$2:$B$3</c:f>
              <c:numCache>
                <c:formatCode>General</c:formatCode>
                <c:ptCount val="2"/>
                <c:pt idx="0">
                  <c:v>1414.52</c:v>
                </c:pt>
                <c:pt idx="1">
                  <c:v>1081.4</c:v>
                </c:pt>
              </c:numCache>
            </c:numRef>
          </c:val>
        </c:ser>
        <c:dLbls>
          <c:showLegendKey val="0"/>
          <c:showVal val="1"/>
          <c:showCatName val="0"/>
          <c:showSerName val="0"/>
          <c:showPercent val="0"/>
          <c:showBubbleSize val="0"/>
        </c:dLbls>
        <c:gapWidth val="150"/>
        <c:overlap val="-25"/>
        <c:axId val="232272256"/>
        <c:axId val="232273792"/>
      </c:barChart>
      <c:catAx>
        <c:axId val="23227225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crossAx val="232273792"/>
        <c:crosses val="autoZero"/>
        <c:auto val="1"/>
        <c:lblAlgn val="ctr"/>
        <c:lblOffset val="100"/>
        <c:noMultiLvlLbl val="0"/>
      </c:catAx>
      <c:valAx>
        <c:axId val="23227379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2272256"/>
        <c:crosses val="autoZero"/>
        <c:crossBetween val="between"/>
      </c:valAx>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2018年一般公共预算财政拨款支出</c:v>
                </c:pt>
              </c:strCache>
            </c:strRef>
          </c:tx>
          <c:explosion val="1"/>
          <c:dPt>
            <c:idx val="0"/>
            <c:bubble3D val="0"/>
          </c:dPt>
          <c:dPt>
            <c:idx val="1"/>
            <c:bubble3D val="0"/>
            <c:explosion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城乡社区支出
</a:t>
                    </a:r>
                    <a:r>
                      <a:rPr lang="en-US" altLang="zh-CN"/>
                      <a:t>55.35%</a:t>
                    </a:r>
                    <a:endParaRPr lang="en-US" altLang="zh-CN"/>
                  </a:p>
                  <a:p>
                    <a:pPr>
                      <a:defRPr lang="zh-CN" sz="1000" b="0" i="0" u="none" strike="noStrike" kern="1200" baseline="0">
                        <a:solidFill>
                          <a:schemeClr val="tx1"/>
                        </a:solidFill>
                        <a:latin typeface="+mn-lt"/>
                        <a:ea typeface="+mn-ea"/>
                        <a:cs typeface="+mn-cs"/>
                      </a:defRPr>
                    </a:pPr>
                    <a:r>
                      <a:rPr lang="en-US" altLang="zh-CN"/>
                      <a:t>509.42</a:t>
                    </a:r>
                    <a:r>
                      <a:rPr lang="zh-CN" altLang="en-US"/>
                      <a:t>万元</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928723090441394"/>
                  <c:y val="-0.073505638569071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节能环保支出
</a:t>
                    </a:r>
                    <a:r>
                      <a:rPr lang="en-US" altLang="zh-CN"/>
                      <a:t>26.52%</a:t>
                    </a:r>
                    <a:endParaRPr lang="en-US" altLang="zh-CN"/>
                  </a:p>
                  <a:p>
                    <a:pPr>
                      <a:defRPr lang="zh-CN" sz="1000" b="0" i="0" u="none" strike="noStrike" kern="1200" baseline="0">
                        <a:solidFill>
                          <a:schemeClr val="tx1"/>
                        </a:solidFill>
                        <a:latin typeface="+mn-lt"/>
                        <a:ea typeface="+mn-ea"/>
                        <a:cs typeface="+mn-cs"/>
                      </a:defRPr>
                    </a:pPr>
                    <a:r>
                      <a:rPr lang="en-US" altLang="zh-CN"/>
                      <a:t>244.03</a:t>
                    </a:r>
                    <a:r>
                      <a:rPr lang="zh-CN" altLang="en-US"/>
                      <a:t>万元</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16984696349692"/>
                  <c:y val="0.14839635317022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社会保障和就业支出
</a:t>
                    </a:r>
                    <a:r>
                      <a:rPr lang="en-US" altLang="zh-CN"/>
                      <a:t>8.45%</a:t>
                    </a:r>
                    <a:endParaRPr lang="en-US" altLang="zh-CN"/>
                  </a:p>
                  <a:p>
                    <a:pPr>
                      <a:defRPr lang="zh-CN" sz="1000" b="0" i="0" u="none" strike="noStrike" kern="1200" baseline="0">
                        <a:solidFill>
                          <a:schemeClr val="tx1"/>
                        </a:solidFill>
                        <a:latin typeface="+mn-lt"/>
                        <a:ea typeface="+mn-ea"/>
                        <a:cs typeface="+mn-cs"/>
                      </a:defRPr>
                    </a:pPr>
                    <a:r>
                      <a:rPr lang="en-US" altLang="zh-CN"/>
                      <a:t>77.77</a:t>
                    </a:r>
                    <a:r>
                      <a:rPr lang="zh-CN" altLang="en-US"/>
                      <a:t>万元</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800549823188637"/>
                  <c:y val="0.0063988633614355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医疗卫生支出
</a:t>
                    </a:r>
                    <a:r>
                      <a:rPr lang="en-US" altLang="zh-CN"/>
                      <a:t>4.18%38.48</a:t>
                    </a:r>
                    <a:r>
                      <a:rPr lang="zh-CN" altLang="en-US"/>
                      <a:t>万元</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475317071380065"/>
                  <c:y val="-0.015665184709054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
</a:t>
                    </a:r>
                    <a:r>
                      <a:rPr lang="en-US" altLang="zh-CN"/>
                      <a:t>5.5% 50.58</a:t>
                    </a:r>
                    <a:r>
                      <a:rPr lang="zh-CN" altLang="en-US"/>
                      <a:t>万元</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城乡社区支出</c:v>
                </c:pt>
                <c:pt idx="1">
                  <c:v>节能环保支出</c:v>
                </c:pt>
                <c:pt idx="2">
                  <c:v>社会保障和就业支出</c:v>
                </c:pt>
                <c:pt idx="3">
                  <c:v>医疗卫生支出</c:v>
                </c:pt>
                <c:pt idx="4">
                  <c:v>住房保障支出</c:v>
                </c:pt>
              </c:strCache>
            </c:strRef>
          </c:cat>
          <c:val>
            <c:numRef>
              <c:f>'Sheet1'!$B$2:$B$6</c:f>
              <c:numCache>
                <c:formatCode>General</c:formatCode>
                <c:ptCount val="5"/>
                <c:pt idx="0">
                  <c:v>8.2</c:v>
                </c:pt>
                <c:pt idx="1">
                  <c:v>3.2</c:v>
                </c:pt>
                <c:pt idx="2">
                  <c:v>1.4</c:v>
                </c:pt>
                <c:pt idx="3">
                  <c:v>1</c:v>
                </c:pt>
                <c:pt idx="4">
                  <c:v>1.2</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三公经费对比表</c:v>
                </c:pt>
              </c:strCache>
            </c:strRef>
          </c:tx>
          <c:explosion val="0"/>
          <c:dPt>
            <c:idx val="0"/>
            <c:bubble3D val="0"/>
          </c:dPt>
          <c:dPt>
            <c:idx val="1"/>
            <c:bubble3D val="0"/>
          </c:dPt>
          <c:dPt>
            <c:idx val="2"/>
            <c:bubble3D val="0"/>
          </c:dPt>
          <c:dPt>
            <c:idx val="3"/>
            <c:bubble3D val="0"/>
          </c:dPt>
          <c:dLbls>
            <c:dLbl>
              <c:idx val="2"/>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endParaRPr lang="en-US" altLang="zh-CN" sz="1100">
                      <a:latin typeface="黑体" panose="02010609060101010101" charset="-122"/>
                      <a:ea typeface="黑体" panose="02010609060101010101" charset="-122"/>
                    </a:endParaRPr>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92.8%</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3.99</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7</a:t>
                    </a:r>
                    <a:r>
                      <a:rPr lang="en-US" altLang="zh-CN"/>
                      <a:t>.2%</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0.31</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2">
                  <c:v>公务用车运行维护费支出</c:v>
                </c:pt>
                <c:pt idx="3">
                  <c:v>公务接待费支出</c:v>
                </c:pt>
              </c:strCache>
            </c:strRef>
          </c:cat>
          <c:val>
            <c:numRef>
              <c:f>'Sheet1'!$B$2:$B$5</c:f>
              <c:numCache>
                <c:formatCode>General</c:formatCode>
                <c:ptCount val="4"/>
                <c:pt idx="2">
                  <c:v>3.99</c:v>
                </c:pt>
                <c:pt idx="3">
                  <c:v>0.310000000000001</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egendEntry>
        <c:idx val="0"/>
        <c:delete val="1"/>
      </c:legendEntry>
      <c:legendEntry>
        <c:idx val="1"/>
        <c:delete val="1"/>
      </c:legendEntry>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C06335-9FAE-46BA-A136-FE4AB20060A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40</Pages>
  <Words>3189</Words>
  <Characters>18182</Characters>
  <Lines>151</Lines>
  <Paragraphs>42</Paragraphs>
  <TotalTime>1</TotalTime>
  <ScaleCrop>false</ScaleCrop>
  <LinksUpToDate>false</LinksUpToDate>
  <CharactersWithSpaces>21329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2019-09-18T00:47:00Z</dcterms:created>
  <dc:creator>张彬茜</dc:creator>
  <cp:lastModifiedBy> z。</cp:lastModifiedBy>
  <cp:lastPrinted>2019-09-25T00:59:00Z</cp:lastPrinted>
  <dcterms:modified xsi:type="dcterms:W3CDTF">2021-06-07T09:11:45Z</dcterms:modified>
  <dc:title>四川省***</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A86AE8C854C14245A8E822DF6518FF8F</vt:lpwstr>
  </property>
</Properties>
</file>