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161" w:name="_GoBack"/>
      <w:bookmarkEnd w:id="161"/>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78441"/>
      <w:bookmarkStart w:id="3" w:name="_Toc15396475"/>
      <w:bookmarkStart w:id="4" w:name="_Toc15377193"/>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7426"/>
      <w:bookmarkStart w:id="8" w:name="_Toc15378442"/>
      <w:bookmarkStart w:id="9" w:name="_Toc15396476"/>
      <w:bookmarkStart w:id="10" w:name="_Toc15396598"/>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城市公用事业服务中心部门决算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27</w:t>
      </w:r>
      <w:r>
        <w:rPr>
          <w:rFonts w:hint="eastAsia" w:hAnsiTheme="minorHAnsi"/>
          <w:b w:val="0"/>
          <w:bCs w:val="0"/>
          <w:sz w:val="24"/>
          <w:szCs w:val="24"/>
        </w:rPr>
        <w:t>日</w:t>
      </w:r>
    </w:p>
    <w:p>
      <w:pPr>
        <w:pStyle w:val="14"/>
        <w:tabs>
          <w:tab w:val="right" w:leader="dot" w:pos="8296"/>
        </w:tabs>
        <w:rPr>
          <w:rFonts w:hint="eastAsia"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fldChar w:fldCharType="begin"/>
      </w:r>
      <w:r>
        <w:rPr>
          <w:rFonts w:ascii="仿宋" w:hAnsi="仿宋" w:eastAsia="仿宋"/>
          <w:b w:val="0"/>
          <w:bCs w:val="0"/>
          <w:caps w:val="0"/>
          <w:smallCaps/>
          <w:sz w:val="30"/>
          <w:szCs w:val="30"/>
        </w:rPr>
        <w:instrText xml:space="preserve"> TOC \o \u </w:instrText>
      </w:r>
      <w:r>
        <w:rPr>
          <w:rFonts w:ascii="仿宋" w:hAnsi="仿宋" w:eastAsia="仿宋"/>
          <w:b w:val="0"/>
          <w:bCs w:val="0"/>
          <w:caps w:val="0"/>
          <w:smallCaps/>
          <w:sz w:val="30"/>
          <w:szCs w:val="30"/>
        </w:rPr>
        <w:fldChar w:fldCharType="separate"/>
      </w:r>
      <w:r>
        <w:rPr>
          <w:rFonts w:ascii="仿宋" w:hAnsi="仿宋" w:eastAsia="仿宋"/>
          <w:b w:val="0"/>
          <w:bCs w:val="0"/>
          <w:caps w:val="0"/>
          <w:smallCaps/>
          <w:sz w:val="30"/>
          <w:szCs w:val="30"/>
        </w:rPr>
        <w:t>第一部分 部门概况</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5</w:t>
      </w:r>
    </w:p>
    <w:p>
      <w:pPr>
        <w:pStyle w:val="17"/>
        <w:tabs>
          <w:tab w:val="right" w:leader="dot" w:pos="8296"/>
        </w:tabs>
        <w:rPr>
          <w:rFonts w:hint="eastAsia" w:ascii="仿宋" w:hAnsi="仿宋" w:eastAsia="仿宋"/>
          <w:sz w:val="30"/>
          <w:szCs w:val="30"/>
          <w:lang w:val="en-US" w:eastAsia="zh-CN"/>
        </w:rPr>
      </w:pPr>
      <w:r>
        <w:rPr>
          <w:rFonts w:ascii="仿宋" w:hAnsi="仿宋" w:eastAsia="仿宋"/>
          <w:sz w:val="30"/>
          <w:szCs w:val="30"/>
        </w:rPr>
        <w:t>一、基本职能及主要工作</w:t>
      </w:r>
      <w:r>
        <w:rPr>
          <w:rFonts w:ascii="仿宋" w:hAnsi="仿宋" w:eastAsia="仿宋"/>
          <w:sz w:val="30"/>
          <w:szCs w:val="30"/>
        </w:rPr>
        <w:tab/>
      </w:r>
      <w:r>
        <w:rPr>
          <w:rFonts w:hint="eastAsia" w:ascii="仿宋" w:hAnsi="仿宋" w:eastAsia="仿宋"/>
          <w:sz w:val="30"/>
          <w:szCs w:val="30"/>
          <w:lang w:val="en-US" w:eastAsia="zh-CN"/>
        </w:rPr>
        <w:t>5</w:t>
      </w:r>
    </w:p>
    <w:p>
      <w:pPr>
        <w:pStyle w:val="9"/>
        <w:tabs>
          <w:tab w:val="right" w:leader="dot" w:pos="8296"/>
        </w:tabs>
        <w:rPr>
          <w:rFonts w:ascii="仿宋" w:hAnsi="仿宋" w:eastAsia="仿宋"/>
          <w:i w:val="0"/>
          <w:iCs w:val="0"/>
          <w:smallCaps/>
          <w:sz w:val="30"/>
          <w:szCs w:val="30"/>
        </w:rPr>
      </w:pPr>
      <w:r>
        <w:rPr>
          <w:rFonts w:ascii="仿宋" w:hAnsi="仿宋" w:eastAsia="仿宋"/>
          <w:i w:val="0"/>
          <w:iCs w:val="0"/>
          <w:smallCaps/>
          <w:sz w:val="30"/>
          <w:szCs w:val="30"/>
        </w:rPr>
        <w:t>（一）主要职能</w:t>
      </w:r>
      <w:r>
        <w:rPr>
          <w:rFonts w:ascii="仿宋" w:hAnsi="仿宋" w:eastAsia="仿宋"/>
          <w:i w:val="0"/>
          <w:iCs w:val="0"/>
          <w:smallCaps/>
          <w:sz w:val="30"/>
          <w:szCs w:val="30"/>
        </w:rPr>
        <w:tab/>
      </w:r>
      <w:r>
        <w:rPr>
          <w:rFonts w:ascii="仿宋" w:hAnsi="仿宋" w:eastAsia="仿宋"/>
          <w:i w:val="0"/>
          <w:iCs w:val="0"/>
          <w:smallCaps/>
          <w:sz w:val="30"/>
          <w:szCs w:val="30"/>
        </w:rPr>
        <w:fldChar w:fldCharType="begin"/>
      </w:r>
      <w:r>
        <w:rPr>
          <w:rFonts w:ascii="仿宋" w:hAnsi="仿宋" w:eastAsia="仿宋"/>
          <w:i w:val="0"/>
          <w:iCs w:val="0"/>
          <w:smallCaps/>
          <w:sz w:val="30"/>
          <w:szCs w:val="30"/>
        </w:rPr>
        <w:instrText xml:space="preserve"> PAGEREF _Toc79163853 \h </w:instrText>
      </w:r>
      <w:r>
        <w:rPr>
          <w:rFonts w:ascii="仿宋" w:hAnsi="仿宋" w:eastAsia="仿宋"/>
          <w:i w:val="0"/>
          <w:iCs w:val="0"/>
          <w:smallCaps/>
          <w:sz w:val="30"/>
          <w:szCs w:val="30"/>
        </w:rPr>
        <w:fldChar w:fldCharType="separate"/>
      </w:r>
      <w:r>
        <w:rPr>
          <w:rFonts w:ascii="仿宋" w:hAnsi="仿宋" w:eastAsia="仿宋"/>
          <w:i w:val="0"/>
          <w:iCs w:val="0"/>
          <w:smallCaps/>
          <w:sz w:val="30"/>
          <w:szCs w:val="30"/>
        </w:rPr>
        <w:t>4</w:t>
      </w:r>
      <w:r>
        <w:rPr>
          <w:rFonts w:ascii="仿宋" w:hAnsi="仿宋" w:eastAsia="仿宋"/>
          <w:i w:val="0"/>
          <w:iCs w:val="0"/>
          <w:smallCaps/>
          <w:sz w:val="30"/>
          <w:szCs w:val="30"/>
        </w:rPr>
        <w:fldChar w:fldCharType="end"/>
      </w:r>
    </w:p>
    <w:p>
      <w:pPr>
        <w:pStyle w:val="9"/>
        <w:tabs>
          <w:tab w:val="right" w:leader="dot" w:pos="8296"/>
        </w:tabs>
        <w:rPr>
          <w:rFonts w:hint="eastAsia" w:ascii="仿宋" w:hAnsi="仿宋" w:eastAsia="仿宋"/>
          <w:i w:val="0"/>
          <w:iCs w:val="0"/>
          <w:smallCaps/>
          <w:sz w:val="30"/>
          <w:szCs w:val="30"/>
          <w:lang w:val="en-US" w:eastAsia="zh-CN"/>
        </w:rPr>
      </w:pPr>
      <w:r>
        <w:rPr>
          <w:rFonts w:ascii="仿宋" w:hAnsi="仿宋" w:eastAsia="仿宋"/>
          <w:i w:val="0"/>
          <w:iCs w:val="0"/>
          <w:smallCaps/>
          <w:sz w:val="30"/>
          <w:szCs w:val="30"/>
        </w:rPr>
        <w:t>（二）2020年重点工作完成情况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二、机构设置</w:t>
      </w:r>
      <w:r>
        <w:rPr>
          <w:rFonts w:ascii="仿宋" w:hAnsi="仿宋" w:eastAsia="仿宋"/>
          <w:sz w:val="30"/>
          <w:szCs w:val="30"/>
        </w:rPr>
        <w:tab/>
      </w:r>
      <w:r>
        <w:rPr>
          <w:rFonts w:hint="eastAsia" w:ascii="仿宋" w:hAnsi="仿宋" w:eastAsia="仿宋"/>
          <w:sz w:val="30"/>
          <w:szCs w:val="30"/>
          <w:lang w:val="en-US" w:eastAsia="zh-CN"/>
        </w:rPr>
        <w:t>10</w:t>
      </w:r>
    </w:p>
    <w:p>
      <w:pPr>
        <w:pStyle w:val="14"/>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第二部分 2020年度部门决算情况说明</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11</w:t>
      </w:r>
    </w:p>
    <w:p>
      <w:pPr>
        <w:pStyle w:val="17"/>
        <w:tabs>
          <w:tab w:val="left" w:pos="840"/>
          <w:tab w:val="right" w:leader="dot" w:pos="8296"/>
        </w:tabs>
        <w:rPr>
          <w:rFonts w:hint="eastAsia" w:ascii="仿宋" w:hAnsi="仿宋" w:eastAsia="仿宋"/>
          <w:sz w:val="30"/>
          <w:szCs w:val="30"/>
          <w:lang w:val="en-US" w:eastAsia="zh-CN"/>
        </w:rPr>
      </w:pPr>
      <w:r>
        <w:rPr>
          <w:rFonts w:ascii="仿宋" w:hAnsi="仿宋" w:eastAsia="仿宋"/>
          <w:sz w:val="30"/>
          <w:szCs w:val="30"/>
        </w:rPr>
        <w:t>一、</w:t>
      </w:r>
      <w:r>
        <w:rPr>
          <w:rFonts w:ascii="仿宋" w:hAnsi="仿宋" w:eastAsia="仿宋"/>
          <w:sz w:val="30"/>
          <w:szCs w:val="30"/>
        </w:rPr>
        <w:tab/>
      </w:r>
      <w:r>
        <w:rPr>
          <w:rFonts w:ascii="仿宋" w:hAnsi="仿宋" w:eastAsia="仿宋"/>
          <w:sz w:val="30"/>
          <w:szCs w:val="30"/>
        </w:rPr>
        <w:t>收入支出决算总体情况说明</w:t>
      </w:r>
      <w:r>
        <w:rPr>
          <w:rFonts w:ascii="仿宋" w:hAnsi="仿宋" w:eastAsia="仿宋"/>
          <w:sz w:val="30"/>
          <w:szCs w:val="30"/>
        </w:rPr>
        <w:tab/>
      </w:r>
      <w:r>
        <w:rPr>
          <w:rFonts w:hint="eastAsia" w:ascii="仿宋" w:hAnsi="仿宋" w:eastAsia="仿宋"/>
          <w:sz w:val="30"/>
          <w:szCs w:val="30"/>
          <w:lang w:val="en-US" w:eastAsia="zh-CN"/>
        </w:rPr>
        <w:t>11</w:t>
      </w:r>
    </w:p>
    <w:p>
      <w:pPr>
        <w:pStyle w:val="17"/>
        <w:tabs>
          <w:tab w:val="left" w:pos="840"/>
          <w:tab w:val="right" w:leader="dot" w:pos="8296"/>
        </w:tabs>
        <w:rPr>
          <w:rFonts w:hint="eastAsia" w:ascii="仿宋" w:hAnsi="仿宋" w:eastAsia="仿宋"/>
          <w:sz w:val="30"/>
          <w:szCs w:val="30"/>
          <w:lang w:val="en-US" w:eastAsia="zh-CN"/>
        </w:rPr>
      </w:pPr>
      <w:r>
        <w:rPr>
          <w:rFonts w:ascii="仿宋" w:hAnsi="仿宋" w:eastAsia="仿宋"/>
          <w:sz w:val="30"/>
          <w:szCs w:val="30"/>
        </w:rPr>
        <w:t>二、</w:t>
      </w:r>
      <w:r>
        <w:rPr>
          <w:rFonts w:ascii="仿宋" w:hAnsi="仿宋" w:eastAsia="仿宋"/>
          <w:sz w:val="30"/>
          <w:szCs w:val="30"/>
        </w:rPr>
        <w:tab/>
      </w:r>
      <w:r>
        <w:rPr>
          <w:rFonts w:ascii="仿宋" w:hAnsi="仿宋" w:eastAsia="仿宋"/>
          <w:sz w:val="30"/>
          <w:szCs w:val="30"/>
        </w:rPr>
        <w:t>收入决算情况说明</w:t>
      </w:r>
      <w:r>
        <w:rPr>
          <w:rFonts w:ascii="仿宋" w:hAnsi="仿宋" w:eastAsia="仿宋"/>
          <w:sz w:val="30"/>
          <w:szCs w:val="30"/>
        </w:rPr>
        <w:tab/>
      </w:r>
      <w:r>
        <w:rPr>
          <w:rFonts w:hint="eastAsia" w:ascii="仿宋" w:hAnsi="仿宋" w:eastAsia="仿宋"/>
          <w:sz w:val="30"/>
          <w:szCs w:val="30"/>
          <w:lang w:val="en-US" w:eastAsia="zh-CN"/>
        </w:rPr>
        <w:t>11</w:t>
      </w:r>
    </w:p>
    <w:p>
      <w:pPr>
        <w:pStyle w:val="17"/>
        <w:tabs>
          <w:tab w:val="left" w:pos="840"/>
          <w:tab w:val="right" w:leader="dot" w:pos="8296"/>
        </w:tabs>
        <w:rPr>
          <w:rFonts w:hint="default" w:ascii="仿宋" w:hAnsi="仿宋" w:eastAsia="仿宋"/>
          <w:sz w:val="30"/>
          <w:szCs w:val="30"/>
          <w:lang w:val="en-US" w:eastAsia="zh-CN"/>
        </w:rPr>
      </w:pPr>
      <w:r>
        <w:rPr>
          <w:rFonts w:ascii="仿宋" w:hAnsi="仿宋" w:eastAsia="仿宋"/>
          <w:sz w:val="30"/>
          <w:szCs w:val="30"/>
        </w:rPr>
        <w:t>三、</w:t>
      </w:r>
      <w:r>
        <w:rPr>
          <w:rFonts w:ascii="仿宋" w:hAnsi="仿宋" w:eastAsia="仿宋"/>
          <w:sz w:val="30"/>
          <w:szCs w:val="30"/>
        </w:rPr>
        <w:tab/>
      </w:r>
      <w:r>
        <w:rPr>
          <w:rFonts w:ascii="仿宋" w:hAnsi="仿宋" w:eastAsia="仿宋"/>
          <w:sz w:val="30"/>
          <w:szCs w:val="30"/>
        </w:rPr>
        <w:t>支出决算情况说明</w:t>
      </w:r>
      <w:r>
        <w:rPr>
          <w:rFonts w:ascii="仿宋" w:hAnsi="仿宋" w:eastAsia="仿宋"/>
          <w:sz w:val="30"/>
          <w:szCs w:val="30"/>
        </w:rPr>
        <w:tab/>
      </w:r>
      <w:r>
        <w:rPr>
          <w:rFonts w:hint="eastAsia" w:ascii="仿宋" w:hAnsi="仿宋" w:eastAsia="仿宋"/>
          <w:sz w:val="30"/>
          <w:szCs w:val="30"/>
          <w:lang w:val="en-US" w:eastAsia="zh-CN"/>
        </w:rPr>
        <w:t>12</w:t>
      </w:r>
    </w:p>
    <w:p>
      <w:pPr>
        <w:pStyle w:val="17"/>
        <w:tabs>
          <w:tab w:val="right" w:leader="dot" w:pos="8296"/>
        </w:tabs>
        <w:rPr>
          <w:rFonts w:hint="eastAsia" w:ascii="仿宋" w:hAnsi="仿宋" w:eastAsia="仿宋"/>
          <w:sz w:val="30"/>
          <w:szCs w:val="30"/>
          <w:lang w:val="en-US" w:eastAsia="zh-CN"/>
        </w:rPr>
      </w:pPr>
      <w:r>
        <w:rPr>
          <w:rFonts w:ascii="仿宋" w:hAnsi="仿宋" w:eastAsia="仿宋"/>
          <w:sz w:val="30"/>
          <w:szCs w:val="30"/>
        </w:rPr>
        <w:t>四、财政拨款收入支出决算总体情况说明</w:t>
      </w:r>
      <w:r>
        <w:rPr>
          <w:rFonts w:ascii="仿宋" w:hAnsi="仿宋" w:eastAsia="仿宋"/>
          <w:sz w:val="30"/>
          <w:szCs w:val="30"/>
        </w:rPr>
        <w:tab/>
      </w:r>
      <w:r>
        <w:rPr>
          <w:rFonts w:hint="eastAsia" w:ascii="仿宋" w:hAnsi="仿宋" w:eastAsia="仿宋"/>
          <w:sz w:val="30"/>
          <w:szCs w:val="30"/>
          <w:lang w:val="en-US" w:eastAsia="zh-CN"/>
        </w:rPr>
        <w:t>13</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五、一般公共预算财政拨款支出决算情况说明</w:t>
      </w:r>
      <w:r>
        <w:rPr>
          <w:rFonts w:ascii="仿宋" w:hAnsi="仿宋" w:eastAsia="仿宋"/>
          <w:sz w:val="30"/>
          <w:szCs w:val="30"/>
        </w:rPr>
        <w:tab/>
      </w:r>
      <w:r>
        <w:rPr>
          <w:rFonts w:hint="eastAsia" w:ascii="仿宋" w:hAnsi="仿宋" w:eastAsia="仿宋"/>
          <w:sz w:val="30"/>
          <w:szCs w:val="30"/>
          <w:lang w:val="en-US" w:eastAsia="zh-CN"/>
        </w:rPr>
        <w:t>13</w:t>
      </w:r>
    </w:p>
    <w:p>
      <w:pPr>
        <w:pStyle w:val="9"/>
        <w:tabs>
          <w:tab w:val="right" w:leader="dot" w:pos="8296"/>
        </w:tabs>
        <w:rPr>
          <w:rFonts w:hint="eastAsia" w:ascii="仿宋" w:hAnsi="仿宋" w:eastAsia="仿宋"/>
          <w:i w:val="0"/>
          <w:iCs w:val="0"/>
          <w:smallCaps/>
          <w:sz w:val="30"/>
          <w:szCs w:val="30"/>
          <w:lang w:val="en-US" w:eastAsia="zh-CN"/>
        </w:rPr>
      </w:pPr>
      <w:r>
        <w:rPr>
          <w:rFonts w:ascii="仿宋" w:hAnsi="仿宋" w:eastAsia="仿宋"/>
          <w:i w:val="0"/>
          <w:iCs w:val="0"/>
          <w:smallCaps/>
          <w:sz w:val="30"/>
          <w:szCs w:val="30"/>
        </w:rPr>
        <w:t>（一）一般公共预算财政拨款支出决算总体情况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14</w:t>
      </w:r>
    </w:p>
    <w:p>
      <w:pPr>
        <w:pStyle w:val="9"/>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（二）一般公共预算财政拨款支出决算结构情况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14</w:t>
      </w:r>
    </w:p>
    <w:p>
      <w:pPr>
        <w:pStyle w:val="9"/>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（三）一般公共预算财政拨款支出决算具体情况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15</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六、一般公共预算财政拨款基本支出决算情况说明</w:t>
      </w:r>
      <w:r>
        <w:rPr>
          <w:rFonts w:ascii="仿宋" w:hAnsi="仿宋" w:eastAsia="仿宋"/>
          <w:sz w:val="30"/>
          <w:szCs w:val="30"/>
        </w:rPr>
        <w:tab/>
      </w:r>
      <w:r>
        <w:rPr>
          <w:rFonts w:hint="eastAsia" w:ascii="仿宋" w:hAnsi="仿宋" w:eastAsia="仿宋"/>
          <w:sz w:val="30"/>
          <w:szCs w:val="30"/>
          <w:lang w:val="en-US" w:eastAsia="zh-CN"/>
        </w:rPr>
        <w:t>16</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七、“三公”经费财政拨款支出决算情况说明</w:t>
      </w:r>
      <w:r>
        <w:rPr>
          <w:rFonts w:ascii="仿宋" w:hAnsi="仿宋" w:eastAsia="仿宋"/>
          <w:sz w:val="30"/>
          <w:szCs w:val="30"/>
        </w:rPr>
        <w:tab/>
      </w:r>
      <w:r>
        <w:rPr>
          <w:rFonts w:hint="eastAsia" w:ascii="仿宋" w:hAnsi="仿宋" w:eastAsia="仿宋"/>
          <w:sz w:val="30"/>
          <w:szCs w:val="30"/>
          <w:lang w:val="en-US" w:eastAsia="zh-CN"/>
        </w:rPr>
        <w:t>17</w:t>
      </w:r>
    </w:p>
    <w:p>
      <w:pPr>
        <w:pStyle w:val="9"/>
        <w:tabs>
          <w:tab w:val="right" w:leader="dot" w:pos="8296"/>
        </w:tabs>
        <w:rPr>
          <w:rFonts w:hint="eastAsia" w:ascii="仿宋" w:hAnsi="仿宋" w:eastAsia="仿宋"/>
          <w:i w:val="0"/>
          <w:iCs w:val="0"/>
          <w:smallCaps/>
          <w:sz w:val="30"/>
          <w:szCs w:val="30"/>
          <w:lang w:val="en-US" w:eastAsia="zh-CN"/>
        </w:rPr>
      </w:pPr>
      <w:r>
        <w:rPr>
          <w:rFonts w:ascii="仿宋" w:hAnsi="仿宋" w:eastAsia="仿宋"/>
          <w:i w:val="0"/>
          <w:iCs w:val="0"/>
          <w:smallCaps/>
          <w:sz w:val="30"/>
          <w:szCs w:val="30"/>
        </w:rPr>
        <w:t>（一）“三公”经费财政拨款支出决算总体情况说明</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17</w:t>
      </w:r>
    </w:p>
    <w:p>
      <w:pPr>
        <w:pStyle w:val="9"/>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（二）“三公”经费财政拨款支出决算具体情况说明</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17</w:t>
      </w:r>
    </w:p>
    <w:p>
      <w:pPr>
        <w:pStyle w:val="17"/>
        <w:tabs>
          <w:tab w:val="right" w:leader="dot" w:pos="8296"/>
        </w:tabs>
        <w:rPr>
          <w:rFonts w:hint="eastAsia" w:ascii="仿宋" w:hAnsi="仿宋" w:eastAsia="仿宋"/>
          <w:sz w:val="30"/>
          <w:szCs w:val="30"/>
          <w:lang w:val="en-US" w:eastAsia="zh-CN"/>
        </w:rPr>
      </w:pPr>
      <w:r>
        <w:rPr>
          <w:rFonts w:ascii="仿宋" w:hAnsi="仿宋" w:eastAsia="仿宋"/>
          <w:sz w:val="30"/>
          <w:szCs w:val="30"/>
        </w:rPr>
        <w:t>八、政府性基金预算支出决算情况说明</w:t>
      </w:r>
      <w:r>
        <w:rPr>
          <w:rFonts w:ascii="仿宋" w:hAnsi="仿宋" w:eastAsia="仿宋"/>
          <w:sz w:val="30"/>
          <w:szCs w:val="30"/>
        </w:rPr>
        <w:tab/>
      </w:r>
      <w:r>
        <w:rPr>
          <w:rFonts w:hint="eastAsia" w:ascii="仿宋" w:hAnsi="仿宋" w:eastAsia="仿宋"/>
          <w:sz w:val="30"/>
          <w:szCs w:val="30"/>
          <w:lang w:val="en-US" w:eastAsia="zh-CN"/>
        </w:rPr>
        <w:t>18</w:t>
      </w:r>
    </w:p>
    <w:p>
      <w:pPr>
        <w:pStyle w:val="17"/>
        <w:tabs>
          <w:tab w:val="right" w:leader="dot" w:pos="8296"/>
        </w:tabs>
        <w:rPr>
          <w:rFonts w:hint="eastAsia" w:ascii="仿宋" w:hAnsi="仿宋" w:eastAsia="仿宋"/>
          <w:sz w:val="30"/>
          <w:szCs w:val="30"/>
          <w:lang w:val="en-US" w:eastAsia="zh-CN"/>
        </w:rPr>
      </w:pPr>
      <w:r>
        <w:rPr>
          <w:rFonts w:ascii="仿宋" w:hAnsi="仿宋" w:eastAsia="仿宋"/>
          <w:sz w:val="30"/>
          <w:szCs w:val="30"/>
        </w:rPr>
        <w:t>九、 国有资本经营预算支出决算情况说明</w:t>
      </w:r>
      <w:r>
        <w:rPr>
          <w:rFonts w:ascii="仿宋" w:hAnsi="仿宋" w:eastAsia="仿宋"/>
          <w:sz w:val="30"/>
          <w:szCs w:val="30"/>
        </w:rPr>
        <w:tab/>
      </w:r>
      <w:r>
        <w:rPr>
          <w:rFonts w:hint="eastAsia" w:ascii="仿宋" w:hAnsi="仿宋" w:eastAsia="仿宋"/>
          <w:sz w:val="30"/>
          <w:szCs w:val="30"/>
          <w:lang w:val="en-US" w:eastAsia="zh-CN"/>
        </w:rPr>
        <w:t>18</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十、其他重要事项的情况说明</w:t>
      </w:r>
      <w:r>
        <w:rPr>
          <w:rFonts w:ascii="仿宋" w:hAnsi="仿宋" w:eastAsia="仿宋"/>
          <w:sz w:val="30"/>
          <w:szCs w:val="30"/>
        </w:rPr>
        <w:tab/>
      </w:r>
      <w:r>
        <w:rPr>
          <w:rFonts w:hint="eastAsia" w:ascii="仿宋" w:hAnsi="仿宋" w:eastAsia="仿宋"/>
          <w:sz w:val="30"/>
          <w:szCs w:val="30"/>
          <w:lang w:val="en-US" w:eastAsia="zh-CN"/>
        </w:rPr>
        <w:t>18</w:t>
      </w:r>
    </w:p>
    <w:p>
      <w:pPr>
        <w:pStyle w:val="9"/>
        <w:tabs>
          <w:tab w:val="right" w:leader="dot" w:pos="8296"/>
        </w:tabs>
        <w:rPr>
          <w:rFonts w:hint="eastAsia" w:ascii="仿宋" w:hAnsi="仿宋" w:eastAsia="仿宋"/>
          <w:i w:val="0"/>
          <w:iCs w:val="0"/>
          <w:smallCaps/>
          <w:sz w:val="30"/>
          <w:szCs w:val="30"/>
          <w:lang w:val="en-US" w:eastAsia="zh-CN"/>
        </w:rPr>
      </w:pPr>
      <w:r>
        <w:rPr>
          <w:rFonts w:ascii="仿宋" w:hAnsi="仿宋" w:eastAsia="仿宋"/>
          <w:i w:val="0"/>
          <w:iCs w:val="0"/>
          <w:smallCaps/>
          <w:sz w:val="30"/>
          <w:szCs w:val="30"/>
        </w:rPr>
        <w:t>（一）机关运行经费支出情况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18</w:t>
      </w:r>
    </w:p>
    <w:p>
      <w:pPr>
        <w:pStyle w:val="9"/>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（二）政府采购支出情况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19</w:t>
      </w:r>
    </w:p>
    <w:p>
      <w:pPr>
        <w:pStyle w:val="9"/>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（三）国有资产占有使用情况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19</w:t>
      </w:r>
    </w:p>
    <w:p>
      <w:pPr>
        <w:pStyle w:val="9"/>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（四）预算绩效管理情况。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19</w:t>
      </w:r>
    </w:p>
    <w:p>
      <w:pPr>
        <w:pStyle w:val="14"/>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第三部分 名词解释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34</w:t>
      </w:r>
    </w:p>
    <w:p>
      <w:pPr>
        <w:pStyle w:val="14"/>
        <w:tabs>
          <w:tab w:val="right" w:leader="dot" w:pos="8296"/>
        </w:tabs>
        <w:rPr>
          <w:rFonts w:hint="eastAsia"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第四部分 附件</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38</w:t>
      </w:r>
    </w:p>
    <w:p>
      <w:pPr>
        <w:pStyle w:val="14"/>
        <w:tabs>
          <w:tab w:val="right" w:leader="dot" w:pos="8296"/>
        </w:tabs>
        <w:rPr>
          <w:rFonts w:hint="eastAsia"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附件1</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38</w:t>
      </w:r>
    </w:p>
    <w:p>
      <w:pPr>
        <w:pStyle w:val="14"/>
        <w:tabs>
          <w:tab w:val="right" w:leader="dot" w:pos="8296"/>
        </w:tabs>
        <w:rPr>
          <w:rFonts w:hint="eastAsia" w:ascii="仿宋" w:hAnsi="仿宋" w:eastAsia="仿宋"/>
          <w:b w:val="0"/>
          <w:bCs w:val="0"/>
          <w:caps w:val="0"/>
          <w:smallCaps/>
          <w:sz w:val="30"/>
          <w:szCs w:val="30"/>
          <w:lang w:val="en-US" w:eastAsia="zh-CN"/>
        </w:rPr>
      </w:pPr>
      <w:r>
        <w:rPr>
          <w:rFonts w:hint="eastAsia" w:ascii="仿宋" w:hAnsi="仿宋" w:eastAsia="仿宋"/>
          <w:b w:val="0"/>
          <w:bCs w:val="0"/>
          <w:caps w:val="0"/>
          <w:smallCaps/>
          <w:sz w:val="30"/>
          <w:szCs w:val="30"/>
          <w:lang w:eastAsia="zh-CN"/>
        </w:rPr>
        <w:t>茂县城市公用事业服务中心</w:t>
      </w:r>
      <w:r>
        <w:rPr>
          <w:rFonts w:ascii="仿宋" w:hAnsi="仿宋" w:eastAsia="仿宋"/>
          <w:b w:val="0"/>
          <w:bCs w:val="0"/>
          <w:caps w:val="0"/>
          <w:smallCaps/>
          <w:sz w:val="30"/>
          <w:szCs w:val="30"/>
        </w:rPr>
        <w:t>2020年部门整体支出绩效评价报告</w:t>
      </w:r>
      <w:r>
        <w:rPr>
          <w:rFonts w:ascii="仿宋" w:hAnsi="仿宋" w:eastAsia="仿宋"/>
          <w:b w:val="0"/>
          <w:bCs w:val="0"/>
          <w:caps w:val="0"/>
          <w:smallCaps/>
          <w:sz w:val="30"/>
          <w:szCs w:val="30"/>
        </w:rPr>
        <w:tab/>
      </w:r>
      <w:r>
        <w:rPr>
          <w:rFonts w:ascii="仿宋" w:hAnsi="仿宋" w:eastAsia="仿宋"/>
          <w:b w:val="0"/>
          <w:bCs w:val="0"/>
          <w:caps w:val="0"/>
          <w:smallCaps/>
          <w:sz w:val="30"/>
          <w:szCs w:val="30"/>
        </w:rPr>
        <w:t>附件</w:t>
      </w:r>
      <w:r>
        <w:rPr>
          <w:rFonts w:hint="eastAsia" w:ascii="仿宋" w:hAnsi="仿宋" w:eastAsia="仿宋"/>
          <w:b w:val="0"/>
          <w:bCs w:val="0"/>
          <w:caps w:val="0"/>
          <w:smallCaps/>
          <w:sz w:val="30"/>
          <w:szCs w:val="30"/>
          <w:lang w:val="en-US" w:eastAsia="zh-CN"/>
        </w:rPr>
        <w:t>1 38</w:t>
      </w:r>
    </w:p>
    <w:p>
      <w:pPr>
        <w:pStyle w:val="14"/>
        <w:tabs>
          <w:tab w:val="right" w:leader="dot" w:pos="8296"/>
        </w:tabs>
        <w:rPr>
          <w:rFonts w:hint="eastAsia" w:ascii="仿宋" w:hAnsi="仿宋" w:eastAsia="仿宋"/>
          <w:b w:val="0"/>
          <w:bCs w:val="0"/>
          <w:caps w:val="0"/>
          <w:smallCaps/>
          <w:sz w:val="30"/>
          <w:szCs w:val="30"/>
          <w:lang w:val="en-US" w:eastAsia="zh-CN"/>
        </w:rPr>
      </w:pPr>
      <w:r>
        <w:rPr>
          <w:rFonts w:hint="eastAsia" w:ascii="仿宋" w:hAnsi="仿宋" w:eastAsia="仿宋"/>
          <w:b w:val="0"/>
          <w:bCs w:val="0"/>
          <w:caps w:val="0"/>
          <w:smallCaps/>
          <w:sz w:val="30"/>
          <w:szCs w:val="30"/>
          <w:lang w:eastAsia="zh-CN"/>
        </w:rPr>
        <w:t>茂县</w:t>
      </w:r>
      <w:r>
        <w:rPr>
          <w:rFonts w:ascii="仿宋" w:hAnsi="仿宋" w:eastAsia="仿宋"/>
          <w:b w:val="0"/>
          <w:bCs w:val="0"/>
          <w:caps w:val="0"/>
          <w:smallCaps/>
          <w:sz w:val="30"/>
          <w:szCs w:val="30"/>
        </w:rPr>
        <w:t>2020年</w:t>
      </w:r>
      <w:r>
        <w:rPr>
          <w:rFonts w:hint="eastAsia" w:ascii="仿宋" w:hAnsi="仿宋" w:eastAsia="仿宋"/>
          <w:b w:val="0"/>
          <w:bCs w:val="0"/>
          <w:caps w:val="0"/>
          <w:smallCaps/>
          <w:sz w:val="30"/>
          <w:szCs w:val="30"/>
          <w:lang w:eastAsia="zh-CN"/>
        </w:rPr>
        <w:t>污水处理服务项目</w:t>
      </w:r>
      <w:r>
        <w:rPr>
          <w:rFonts w:ascii="仿宋" w:hAnsi="仿宋" w:eastAsia="仿宋"/>
          <w:b w:val="0"/>
          <w:bCs w:val="0"/>
          <w:caps w:val="0"/>
          <w:smallCaps/>
          <w:sz w:val="30"/>
          <w:szCs w:val="30"/>
        </w:rPr>
        <w:t>绩效评价报告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eastAsia="zh-CN"/>
        </w:rPr>
        <w:t>附件</w:t>
      </w:r>
      <w:r>
        <w:rPr>
          <w:rFonts w:hint="eastAsia" w:ascii="仿宋" w:hAnsi="仿宋" w:eastAsia="仿宋"/>
          <w:b w:val="0"/>
          <w:bCs w:val="0"/>
          <w:caps w:val="0"/>
          <w:smallCaps/>
          <w:sz w:val="30"/>
          <w:szCs w:val="30"/>
          <w:lang w:val="en-US" w:eastAsia="zh-CN"/>
        </w:rPr>
        <w:t>38</w:t>
      </w:r>
    </w:p>
    <w:p>
      <w:pPr>
        <w:pStyle w:val="14"/>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第五部分 附表</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一、收入支出决算总表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二、收入决算表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三、支出决算表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四、财政拨款收入支出决算总表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五、财政拨款支出决算明细表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六、一般公共预算财政拨款支出决算表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七、一般公共预算财政拨款支出决算明细表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八、一般公共预算财政拨款基本支出决算表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九、一般公共预算财政拨款项目支出决算表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十、一般公共预算财政拨款“三公”经费支出决算表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十一、政府性基金预算财政拨款收入支出决算表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十二、政府性基金预算财政拨款“三公”经费支出决算表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十三、国有资本经营预算财政拨款支出决算表</w:t>
      </w:r>
      <w:r>
        <w:rPr>
          <w:rFonts w:ascii="仿宋" w:hAnsi="仿宋" w:eastAsia="仿宋"/>
          <w:sz w:val="30"/>
          <w:szCs w:val="30"/>
        </w:rPr>
        <w:tab/>
      </w:r>
      <w:r>
        <w:rPr>
          <w:rFonts w:hint="eastAsia" w:ascii="仿宋" w:hAnsi="仿宋" w:eastAsia="仿宋"/>
          <w:sz w:val="30"/>
          <w:szCs w:val="30"/>
          <w:lang w:val="en-US" w:eastAsia="zh-CN"/>
        </w:rPr>
        <w:t>17</w:t>
      </w:r>
    </w:p>
    <w:p>
      <w:pPr>
        <w:pStyle w:val="17"/>
        <w:tabs>
          <w:tab w:val="right" w:leader="dot" w:pos="8296"/>
        </w:tabs>
        <w:rPr>
          <w:rFonts w:hint="default" w:ascii="仿宋" w:hAnsi="仿宋" w:eastAsia="仿宋"/>
          <w:sz w:val="30"/>
          <w:szCs w:val="30"/>
          <w:lang w:val="en-US" w:eastAsia="zh-CN"/>
        </w:rPr>
      </w:pPr>
      <w:r>
        <w:rPr>
          <w:rFonts w:ascii="仿宋" w:hAnsi="仿宋" w:eastAsia="仿宋"/>
          <w:sz w:val="30"/>
          <w:szCs w:val="30"/>
        </w:rPr>
        <w:t>十四、国有资本经营预算财政拨款支出决算表</w:t>
      </w:r>
      <w:r>
        <w:rPr>
          <w:rFonts w:ascii="仿宋" w:hAnsi="仿宋" w:eastAsia="仿宋"/>
          <w:sz w:val="30"/>
          <w:szCs w:val="30"/>
        </w:rPr>
        <w:tab/>
      </w:r>
      <w:r>
        <w:rPr>
          <w:rFonts w:hint="eastAsia" w:ascii="仿宋" w:hAnsi="仿宋" w:eastAsia="仿宋"/>
          <w:sz w:val="30"/>
          <w:szCs w:val="30"/>
          <w:lang w:val="en-US" w:eastAsia="zh-CN"/>
        </w:rPr>
        <w:t>17</w:t>
      </w:r>
    </w:p>
    <w:p>
      <w:pPr>
        <w:rPr>
          <w:sz w:val="30"/>
          <w:szCs w:val="30"/>
        </w:rPr>
      </w:pPr>
      <w:r>
        <w:rPr>
          <w:rFonts w:ascii="仿宋" w:hAnsi="仿宋" w:eastAsia="仿宋"/>
          <w:smallCaps/>
          <w:sz w:val="30"/>
          <w:szCs w:val="3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pageBreakBefore w:val="0"/>
        <w:widowControl w:val="0"/>
        <w:kinsoku/>
        <w:wordWrap/>
        <w:overflowPunct/>
        <w:topLinePunct w:val="0"/>
        <w:autoSpaceDE/>
        <w:autoSpaceDN/>
        <w:bidi w:val="0"/>
        <w:spacing w:before="0" w:after="0" w:line="576" w:lineRule="atLeast"/>
        <w:ind w:left="0" w:leftChars="0"/>
        <w:jc w:val="center"/>
        <w:textAlignment w:val="auto"/>
        <w:rPr>
          <w:rFonts w:hint="eastAsia" w:ascii="方正小标宋简体" w:hAnsi="方正小标宋简体" w:eastAsia="方正小标宋简体" w:cs="方正小标宋简体"/>
          <w:color w:val="000000"/>
          <w:sz w:val="44"/>
          <w:szCs w:val="44"/>
        </w:rPr>
      </w:pPr>
      <w:bookmarkStart w:id="14" w:name="_Toc79163851"/>
      <w:bookmarkStart w:id="15" w:name="_Toc79163601"/>
      <w:r>
        <w:rPr>
          <w:rFonts w:hint="eastAsia" w:ascii="方正小标宋简体" w:hAnsi="方正小标宋简体" w:eastAsia="方正小标宋简体" w:cs="方正小标宋简体"/>
          <w:b w:val="0"/>
          <w:sz w:val="44"/>
          <w:szCs w:val="44"/>
        </w:rPr>
        <w:t xml:space="preserve">第一部分 </w:t>
      </w:r>
      <w:r>
        <w:rPr>
          <w:rStyle w:val="24"/>
          <w:rFonts w:hint="eastAsia" w:ascii="方正小标宋简体" w:hAnsi="方正小标宋简体" w:eastAsia="方正小标宋简体" w:cs="方正小标宋简体"/>
          <w:b w:val="0"/>
          <w:bCs w:val="0"/>
          <w:sz w:val="44"/>
          <w:szCs w:val="44"/>
        </w:rPr>
        <w:t>部门概况</w:t>
      </w:r>
      <w:bookmarkEnd w:id="12"/>
      <w:bookmarkEnd w:id="13"/>
      <w:bookmarkEnd w:id="14"/>
      <w:bookmarkEnd w:id="15"/>
    </w:p>
    <w:p>
      <w:pPr>
        <w:pStyle w:val="4"/>
        <w:pageBreakBefore w:val="0"/>
        <w:widowControl w:val="0"/>
        <w:numPr>
          <w:ilvl w:val="0"/>
          <w:numId w:val="1"/>
        </w:numPr>
        <w:kinsoku/>
        <w:wordWrap/>
        <w:overflowPunct/>
        <w:topLinePunct w:val="0"/>
        <w:autoSpaceDE/>
        <w:autoSpaceDN/>
        <w:bidi w:val="0"/>
        <w:spacing w:before="0" w:after="0" w:line="576" w:lineRule="atLeast"/>
        <w:ind w:left="0" w:leftChars="0"/>
        <w:textAlignment w:val="auto"/>
        <w:rPr>
          <w:rFonts w:hint="eastAsia" w:ascii="黑体" w:hAnsi="黑体" w:eastAsia="黑体" w:cs="黑体"/>
          <w:color w:val="000000"/>
        </w:rPr>
      </w:pPr>
      <w:bookmarkStart w:id="16" w:name="_Toc15377197"/>
      <w:bookmarkStart w:id="17" w:name="_Toc79163852"/>
      <w:bookmarkStart w:id="18" w:name="_Toc15396600"/>
      <w:bookmarkStart w:id="19" w:name="_Toc79163602"/>
      <w:r>
        <w:rPr>
          <w:rFonts w:hint="eastAsia" w:ascii="黑体" w:hAnsi="黑体" w:eastAsia="黑体" w:cs="黑体"/>
          <w:b w:val="0"/>
          <w:color w:val="000000"/>
        </w:rPr>
        <w:t>基</w:t>
      </w:r>
      <w:r>
        <w:rPr>
          <w:rStyle w:val="25"/>
          <w:rFonts w:hint="eastAsia" w:ascii="黑体" w:hAnsi="黑体" w:eastAsia="黑体" w:cs="黑体"/>
          <w:b w:val="0"/>
          <w:bCs w:val="0"/>
        </w:rPr>
        <w:t>本职能及主要工作</w:t>
      </w:r>
      <w:bookmarkEnd w:id="16"/>
      <w:bookmarkEnd w:id="17"/>
      <w:bookmarkEnd w:id="18"/>
      <w:bookmarkEnd w:id="19"/>
      <w:bookmarkStart w:id="20" w:name="_Toc79163853"/>
      <w:bookmarkStart w:id="21" w:name="_Toc79163603"/>
      <w:bookmarkStart w:id="22" w:name="_Toc15377198"/>
      <w:bookmarkStart w:id="23" w:name="_Toc15378445"/>
    </w:p>
    <w:p>
      <w:pPr>
        <w:pStyle w:val="4"/>
        <w:pageBreakBefore w:val="0"/>
        <w:widowControl w:val="0"/>
        <w:numPr>
          <w:ilvl w:val="0"/>
          <w:numId w:val="0"/>
        </w:numPr>
        <w:kinsoku/>
        <w:wordWrap/>
        <w:overflowPunct/>
        <w:topLinePunct w:val="0"/>
        <w:autoSpaceDE/>
        <w:autoSpaceDN/>
        <w:bidi w:val="0"/>
        <w:spacing w:before="0" w:after="0" w:line="576" w:lineRule="atLeast"/>
        <w:ind w:left="0" w:leftChars="0"/>
        <w:textAlignment w:val="auto"/>
        <w:rPr>
          <w:rFonts w:hint="eastAsia" w:ascii="楷体" w:hAnsi="楷体" w:eastAsia="楷体" w:cs="楷体"/>
          <w:b/>
          <w:bCs/>
          <w:color w:val="000000"/>
        </w:rPr>
      </w:pPr>
      <w:r>
        <w:rPr>
          <w:rFonts w:hint="eastAsia" w:ascii="楷体" w:hAnsi="楷体" w:eastAsia="楷体" w:cs="楷体"/>
          <w:b/>
          <w:bCs/>
          <w:color w:val="000000"/>
        </w:rPr>
        <w:t>（一）主要职能</w:t>
      </w:r>
      <w:bookmarkEnd w:id="20"/>
      <w:bookmarkEnd w:id="21"/>
    </w:p>
    <w:bookmarkEnd w:id="22"/>
    <w:bookmarkEnd w:id="23"/>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bookmarkStart w:id="24" w:name="_Toc15377199"/>
      <w:bookmarkStart w:id="25" w:name="_Toc79163854"/>
      <w:bookmarkStart w:id="26" w:name="_Toc79163604"/>
      <w:bookmarkStart w:id="27" w:name="_Toc15378446"/>
      <w:r>
        <w:rPr>
          <w:rFonts w:hint="eastAsia" w:ascii="仿宋_GB2312" w:hAnsi="仿宋_GB2312" w:eastAsia="仿宋_GB2312" w:cs="仿宋_GB2312"/>
          <w:sz w:val="32"/>
          <w:szCs w:val="32"/>
        </w:rPr>
        <w:t>依照国务院《城市市容和环境卫生管理条例》《城市道路管理条例，《城市绿化条例》，建设部《城市道路照明设施管理规定》《城建监察规定》及《四川省城市市容和环境卫生管理条例》《四川省城市园林绿化条例》等法规，对城市市容市貌、园林绿化、环境卫生、市政设施（道路、照明、河道、排水）维护实施全面管理。</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1.按照有关法律、法规、规章和政府的决定，做好城市管理工作。</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2.贯彻执行国家和地方关于城市市容市貌、园林绿化、环境卫生、市政设施（道路、照明、河道、排水）维护管理的法律、法规、规章及有关规范性文件。</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3.负责制定城市管理目标和计划。按照城市总体规划，研究制定全县城市管理、市政、环卫、城市绿化行业管理的发展战略。</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4.按照规定使用城市管理资金。根据市容、市政维护、环卫和绿化管理的部门资金预算，对资金使用实施监督控制。负责资金使用的核算，保证资金的正确使用。</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5.负责市容管理。统筹规划协调管理全县城市环境整治工作和“门前四包”工作。规范管理临街建筑物、市政设施、建筑场地、城市交通运输工具等。</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城市环境卫生管理。对市区环境卫生管理实行组织、协调、监督。审查环卫专项设施建设，参与城市新建、改建、扩建项目的环卫配套设施方案审核和方案实施的监督管理。监督环卫有偿服务收费和使用管理。负责逐步推行环卫服务社会化。负责监督检查城区工程施工场地的高空环境卫生和建筑垃圾的管理。</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7.负责城市道路的管理。编制年度维护计划并组织实施。负责城市道路管理、维护和维修。负责各类服务性、经营性占道亭棚、摊点和各类市场、停车场（站、台）等的规划</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全县城市路灯的管理。维护管理城市路灯，对市区户外灯饰管理工作进行统筹协调，监督检查。负责重要地段、场所和较大项目灯饰建设方案的审批和竣工验收。负责指导、检查、督促和实施“光亮工程”。</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9.负责城市河道管理工作。实行对城市河道和排水设施的容貌、卫生、环境的管理及城市河道、排水设施进行维护和疏淘。</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10.负责对城市绿化进行管理、维护。</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11.负责市政设施环境卫生。</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12.拟定城市管理规范性文件并组织论证和报批。</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13.负责组织城市管理法规的宣传，提高市民的文明素质和城市意识，规范城市管理。</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14</w:t>
      </w:r>
      <w:r>
        <w:rPr>
          <w:rFonts w:hint="eastAsia" w:ascii="仿宋_GB2312" w:hAnsi="仿宋_GB2312" w:eastAsia="仿宋_GB2312" w:cs="仿宋_GB2312"/>
          <w:sz w:val="32"/>
          <w:szCs w:val="32"/>
        </w:rPr>
        <w:t>.承办县政府交办的其他事项</w:t>
      </w:r>
      <w:bookmarkEnd w:id="24"/>
      <w:bookmarkEnd w:id="25"/>
      <w:bookmarkEnd w:id="26"/>
      <w:bookmarkEnd w:id="27"/>
    </w:p>
    <w:p>
      <w:pPr>
        <w:pStyle w:val="2"/>
        <w:pageBreakBefore w:val="0"/>
        <w:widowControl w:val="0"/>
        <w:kinsoku/>
        <w:wordWrap/>
        <w:overflowPunct/>
        <w:topLinePunct w:val="0"/>
        <w:autoSpaceDE/>
        <w:autoSpaceDN/>
        <w:bidi w:val="0"/>
        <w:adjustRightInd w:val="0"/>
        <w:snapToGrid w:val="0"/>
        <w:spacing w:beforeLines="0" w:line="576" w:lineRule="atLeast"/>
        <w:ind w:left="0" w:leftChars="0" w:firstLine="672" w:firstLineChars="210"/>
        <w:textAlignment w:val="auto"/>
        <w:outlineLvl w:val="2"/>
        <w:rPr>
          <w:rFonts w:ascii="黑体" w:hAnsi="黑体" w:eastAsia="黑体" w:cs="黑体"/>
          <w:bCs/>
          <w:color w:val="000000"/>
          <w:sz w:val="32"/>
          <w:szCs w:val="32"/>
          <w:lang w:val="en-US"/>
        </w:rPr>
      </w:pPr>
      <w:r>
        <w:rPr>
          <w:rFonts w:hint="eastAsia" w:ascii="黑体" w:hAnsi="黑体" w:eastAsia="黑体" w:cs="黑体"/>
          <w:bCs/>
          <w:color w:val="000000"/>
          <w:sz w:val="32"/>
          <w:szCs w:val="32"/>
        </w:rPr>
        <w:t>（二）</w:t>
      </w:r>
      <w:r>
        <w:rPr>
          <w:rFonts w:hint="eastAsia" w:ascii="黑体" w:hAnsi="黑体" w:eastAsia="黑体" w:cs="黑体"/>
          <w:bCs/>
          <w:color w:val="000000"/>
          <w:sz w:val="32"/>
          <w:szCs w:val="32"/>
          <w:lang w:val="en-US"/>
        </w:rPr>
        <w:t>2020重点工作完成情况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atLeast"/>
        <w:ind w:left="0" w:leftChars="0"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color w:val="000000"/>
          <w:sz w:val="32"/>
          <w:szCs w:val="32"/>
          <w:lang w:val="en-US" w:eastAsia="zh-CN"/>
        </w:rPr>
        <w:t>1.</w:t>
      </w:r>
      <w:r>
        <w:rPr>
          <w:rFonts w:hint="eastAsia" w:ascii="楷体" w:hAnsi="楷体" w:eastAsia="楷体" w:cs="楷体"/>
          <w:b/>
          <w:color w:val="000000"/>
          <w:sz w:val="32"/>
          <w:szCs w:val="32"/>
        </w:rPr>
        <w:t>疫情期间狠抓县城环境、卫生、秩序管理，打造宜居县城</w:t>
      </w:r>
      <w:r>
        <w:rPr>
          <w:rFonts w:hint="eastAsia" w:ascii="楷体" w:hAnsi="楷体" w:eastAsia="楷体" w:cs="楷体"/>
          <w:b/>
          <w:color w:val="000000"/>
          <w:sz w:val="32"/>
          <w:szCs w:val="32"/>
          <w:lang w:eastAsia="zh-CN"/>
        </w:rPr>
        <w:t>。</w:t>
      </w:r>
      <w:r>
        <w:rPr>
          <w:rFonts w:hint="eastAsia" w:ascii="仿宋_GB2312" w:hAnsi="仿宋_GB2312" w:eastAsia="仿宋_GB2312" w:cs="仿宋_GB2312"/>
          <w:color w:val="000000"/>
          <w:sz w:val="32"/>
          <w:szCs w:val="32"/>
        </w:rPr>
        <w:t>抓好主次干道、城乡结合部和重点地段环境综合整治工作。</w:t>
      </w:r>
      <w:r>
        <w:rPr>
          <w:rFonts w:hint="eastAsia" w:ascii="仿宋_GB2312" w:hAnsi="仿宋_GB2312" w:eastAsia="仿宋_GB2312" w:cs="仿宋_GB2312"/>
          <w:color w:val="000000"/>
          <w:spacing w:val="-32"/>
          <w:sz w:val="32"/>
          <w:szCs w:val="32"/>
        </w:rPr>
        <w:t>对城区</w:t>
      </w:r>
      <w:r>
        <w:rPr>
          <w:rFonts w:hint="eastAsia" w:ascii="仿宋_GB2312" w:hAnsi="仿宋_GB2312" w:eastAsia="仿宋_GB2312" w:cs="仿宋_GB2312"/>
          <w:color w:val="000000"/>
          <w:sz w:val="32"/>
          <w:szCs w:val="32"/>
        </w:rPr>
        <w:t>管理推行精细化目标管理责任制，制定了《茂县城市管理局关于做好新型冠状病毒感染肺炎疫情期间废弃口罩等特殊有害垃圾的收集、运输和处置工作方案》《茂县城市管理局关于新型冠状病毒肺炎疫情期间安全生产工作部署通知》下发到各管理公司，达到城市管理横向到沿，纵向到边，不留死角的目标。</w:t>
      </w:r>
    </w:p>
    <w:p>
      <w:pPr>
        <w:keepNext w:val="0"/>
        <w:keepLines w:val="0"/>
        <w:pageBreakBefore w:val="0"/>
        <w:widowControl w:val="0"/>
        <w:numPr>
          <w:ilvl w:val="0"/>
          <w:numId w:val="0"/>
        </w:numPr>
        <w:kinsoku/>
        <w:wordWrap/>
        <w:overflowPunct/>
        <w:topLinePunct w:val="0"/>
        <w:autoSpaceDE/>
        <w:autoSpaceDN/>
        <w:bidi w:val="0"/>
        <w:adjustRightInd/>
        <w:snapToGrid/>
        <w:spacing w:line="576" w:lineRule="atLeast"/>
        <w:ind w:left="0" w:leftChars="0" w:firstLine="642" w:firstLineChars="200"/>
        <w:textAlignment w:val="auto"/>
        <w:rPr>
          <w:rFonts w:hint="eastAsia" w:ascii="仿宋_GB2312" w:hAnsi="仿宋_GB2312" w:eastAsia="仿宋_GB2312" w:cs="仿宋_GB2312"/>
          <w:b w:val="0"/>
          <w:bCs/>
          <w:sz w:val="32"/>
          <w:szCs w:val="32"/>
        </w:rPr>
      </w:pPr>
      <w:r>
        <w:rPr>
          <w:rFonts w:hint="eastAsia" w:ascii="楷体_GB2312" w:hAnsi="宋体" w:eastAsia="楷体_GB2312" w:cs="宋体"/>
          <w:b/>
          <w:color w:val="000000"/>
          <w:sz w:val="32"/>
          <w:szCs w:val="32"/>
          <w:lang w:val="en-US" w:eastAsia="zh-CN"/>
        </w:rPr>
        <w:t>2.</w:t>
      </w:r>
      <w:r>
        <w:rPr>
          <w:rFonts w:hint="eastAsia" w:ascii="楷体_GB2312" w:hAnsi="宋体" w:eastAsia="楷体_GB2312" w:cs="宋体"/>
          <w:b/>
          <w:color w:val="000000"/>
          <w:sz w:val="32"/>
          <w:szCs w:val="32"/>
        </w:rPr>
        <w:t>加强市容市貌和街道秩序的网格化管理。</w:t>
      </w:r>
      <w:r>
        <w:rPr>
          <w:rFonts w:hint="eastAsia" w:ascii="仿宋_GB2312" w:hAnsi="仿宋_GB2312" w:eastAsia="仿宋_GB2312" w:cs="仿宋_GB2312"/>
          <w:b w:val="0"/>
          <w:bCs/>
          <w:color w:val="000000"/>
          <w:sz w:val="32"/>
          <w:szCs w:val="32"/>
        </w:rPr>
        <w:t>一是</w:t>
      </w:r>
      <w:r>
        <w:rPr>
          <w:rFonts w:hint="eastAsia" w:ascii="仿宋_GB2312" w:hAnsi="仿宋_GB2312" w:eastAsia="仿宋_GB2312" w:cs="仿宋_GB2312"/>
          <w:b w:val="0"/>
          <w:bCs/>
          <w:sz w:val="32"/>
          <w:szCs w:val="32"/>
        </w:rPr>
        <w:t>分区域、分路段采用“定岗、定人、定时、定责”管理模式，由粗放式向精细化转变。通过分片管理、徒步巡查，及时进行隐患排查，对城区重点路段、重点区域，安排人员进行早晚、双休日及节假日值班。制定《茂县城市管理局关于进一步提高城市市容市貌和环境卫生管理水平的方案》和县综合执法局、交警等部门协作、配合，疫情防控一级响应期间对一对流动摊贩进行了全面规范，发送宣传单《致广大市民的一封信》1000余份，劝离聚集在广场、公园、河道等公共区域的人员5000余人次。</w:t>
      </w:r>
      <w:r>
        <w:rPr>
          <w:rFonts w:hint="eastAsia" w:ascii="仿宋_GB2312" w:hAnsi="仿宋_GB2312" w:eastAsia="仿宋_GB2312" w:cs="仿宋_GB2312"/>
          <w:b w:val="0"/>
          <w:bCs/>
          <w:color w:val="000000"/>
          <w:sz w:val="32"/>
          <w:szCs w:val="32"/>
        </w:rPr>
        <w:t>二是</w:t>
      </w:r>
      <w:r>
        <w:rPr>
          <w:rFonts w:hint="eastAsia" w:ascii="仿宋_GB2312" w:hAnsi="仿宋_GB2312" w:eastAsia="仿宋_GB2312" w:cs="仿宋_GB2312"/>
          <w:b w:val="0"/>
          <w:bCs/>
          <w:sz w:val="32"/>
          <w:szCs w:val="32"/>
        </w:rPr>
        <w:t>抓好环卫工作。一年来完成了城区78万平方米的清扫保洁工作，清运垃圾万余吨，坚持垃圾日产日清，清运率达到100%。有效地对城区200多个垃圾桶、80余个拉臂钩箱，7座大公厕、37</w:t>
      </w:r>
      <w:r>
        <w:rPr>
          <w:rFonts w:hint="eastAsia" w:ascii="仿宋_GB2312" w:hAnsi="仿宋_GB2312" w:eastAsia="仿宋_GB2312" w:cs="仿宋_GB2312"/>
          <w:b w:val="0"/>
          <w:bCs/>
          <w:sz w:val="32"/>
          <w:szCs w:val="32"/>
          <w:lang w:eastAsia="zh-CN"/>
        </w:rPr>
        <w:t>个</w:t>
      </w:r>
      <w:r>
        <w:rPr>
          <w:rFonts w:hint="eastAsia" w:ascii="仿宋_GB2312" w:hAnsi="仿宋_GB2312" w:eastAsia="仿宋_GB2312" w:cs="仿宋_GB2312"/>
          <w:b w:val="0"/>
          <w:bCs/>
          <w:sz w:val="32"/>
          <w:szCs w:val="32"/>
        </w:rPr>
        <w:t>绿化带小公厕及公共休闲设施进行了清洗消毒。强化了城区市容环境管理，按照“细致扫、及时运、严格管”的要求，保障城区环境卫生干净整洁。</w:t>
      </w:r>
    </w:p>
    <w:p>
      <w:pPr>
        <w:keepNext w:val="0"/>
        <w:keepLines w:val="0"/>
        <w:pageBreakBefore w:val="0"/>
        <w:widowControl w:val="0"/>
        <w:numPr>
          <w:ilvl w:val="0"/>
          <w:numId w:val="0"/>
        </w:numPr>
        <w:kinsoku/>
        <w:wordWrap/>
        <w:overflowPunct/>
        <w:topLinePunct w:val="0"/>
        <w:autoSpaceDE/>
        <w:autoSpaceDN/>
        <w:bidi w:val="0"/>
        <w:adjustRightInd/>
        <w:snapToGrid/>
        <w:spacing w:line="576" w:lineRule="atLeast"/>
        <w:ind w:left="0" w:leftChars="0" w:firstLine="642" w:firstLineChars="200"/>
        <w:textAlignment w:val="auto"/>
        <w:rPr>
          <w:rFonts w:ascii="仿宋_GB2312" w:hAnsi="仿宋_GB2312" w:eastAsia="仿宋_GB2312" w:cs="仿宋_GB2312"/>
          <w:b w:val="0"/>
          <w:bCs/>
          <w:sz w:val="32"/>
          <w:szCs w:val="32"/>
        </w:rPr>
      </w:pPr>
      <w:r>
        <w:rPr>
          <w:rFonts w:hint="eastAsia" w:ascii="楷体_GB2312" w:hAnsi="宋体" w:eastAsia="楷体_GB2312" w:cs="宋体"/>
          <w:b/>
          <w:color w:val="000000"/>
          <w:sz w:val="32"/>
          <w:szCs w:val="32"/>
        </w:rPr>
        <w:t>3.加强重点工程项目的建设。</w:t>
      </w:r>
      <w:r>
        <w:rPr>
          <w:rFonts w:hint="eastAsia" w:ascii="仿宋_GB2312" w:hAnsi="仿宋_GB2312" w:eastAsia="仿宋_GB2312" w:cs="仿宋_GB2312"/>
          <w:b w:val="0"/>
          <w:bCs/>
          <w:sz w:val="32"/>
          <w:szCs w:val="32"/>
        </w:rPr>
        <w:t>一是新建污水处理调节池2000立方米及配套设施，建成后有效缓解污水囤积问题。阿坝州医疗废物收运系统项目建设，包括新建综合楼、检修间、停车棚及总图工程，并新增医疗废物收运车、化验设备、医疗废物物联网系统等相关设备。目前已经完成建设。三是申报茂县城市生活污水处理厂（二期）规模。本工程的建设，贯彻了可持续发展的战略，既发展经济又保护环境，和实现污水资源的利用，在具有一定经济效益的同时，更取得了具有良好的社会和环境的综合效益。</w:t>
      </w:r>
    </w:p>
    <w:p>
      <w:pPr>
        <w:keepNext w:val="0"/>
        <w:keepLines w:val="0"/>
        <w:pageBreakBefore w:val="0"/>
        <w:widowControl w:val="0"/>
        <w:kinsoku/>
        <w:wordWrap/>
        <w:overflowPunct/>
        <w:topLinePunct w:val="0"/>
        <w:autoSpaceDE/>
        <w:autoSpaceDN/>
        <w:bidi w:val="0"/>
        <w:adjustRightInd/>
        <w:snapToGrid/>
        <w:spacing w:line="576" w:lineRule="atLeast"/>
        <w:ind w:left="0" w:leftChars="0" w:firstLine="642" w:firstLineChars="200"/>
        <w:textAlignment w:val="auto"/>
        <w:rPr>
          <w:rFonts w:hint="eastAsia" w:ascii="仿宋_GB2312" w:hAnsi="仿宋_GB2312" w:eastAsia="仿宋_GB2312" w:cs="仿宋_GB2312"/>
          <w:sz w:val="32"/>
          <w:szCs w:val="32"/>
        </w:rPr>
      </w:pPr>
      <w:r>
        <w:rPr>
          <w:rFonts w:hint="eastAsia" w:ascii="楷体_GB2312" w:hAnsi="宋体" w:eastAsia="楷体_GB2312" w:cs="宋体"/>
          <w:b/>
          <w:color w:val="000000"/>
          <w:sz w:val="32"/>
          <w:szCs w:val="32"/>
          <w:lang w:val="en-US" w:eastAsia="zh-CN"/>
        </w:rPr>
        <w:t>4</w:t>
      </w:r>
      <w:r>
        <w:rPr>
          <w:rFonts w:hint="eastAsia" w:ascii="楷体_GB2312" w:hAnsi="宋体" w:eastAsia="楷体_GB2312" w:cs="宋体"/>
          <w:b/>
          <w:color w:val="000000"/>
          <w:sz w:val="32"/>
          <w:szCs w:val="32"/>
        </w:rPr>
        <w:t>.做好8.16洪灾灾后恢复工作。</w:t>
      </w:r>
      <w:bookmarkStart w:id="28" w:name="_Toc15377200"/>
      <w:bookmarkStart w:id="29" w:name="_Toc79163605"/>
      <w:bookmarkStart w:id="30" w:name="_Toc15396601"/>
      <w:bookmarkStart w:id="31" w:name="_Toc79163855"/>
      <w:r>
        <w:rPr>
          <w:rFonts w:hint="eastAsia" w:ascii="仿宋_GB2312" w:hAnsi="仿宋_GB2312" w:eastAsia="仿宋_GB2312" w:cs="仿宋_GB2312"/>
          <w:b w:val="0"/>
          <w:bCs/>
          <w:sz w:val="32"/>
          <w:szCs w:val="32"/>
        </w:rPr>
        <w:t>一是做好灾后损失统计和上报工作。实事求是反映城区洪灾受损情况。二是茂县生活垃圾填埋场“8·16”泥石流灾害治理项目。克服路基垮塌、滚石、塌方等恶劣的条件，在短短的两个月之内，恢复了填埋场的正常运行。三是“8·16”岷江城区河堤护栏修复项目。</w:t>
      </w:r>
    </w:p>
    <w:p>
      <w:pPr>
        <w:pageBreakBefore w:val="0"/>
        <w:widowControl w:val="0"/>
        <w:kinsoku/>
        <w:wordWrap/>
        <w:overflowPunct/>
        <w:topLinePunct w:val="0"/>
        <w:autoSpaceDE/>
        <w:autoSpaceDN/>
        <w:bidi w:val="0"/>
        <w:spacing w:line="576" w:lineRule="atLeast"/>
        <w:ind w:left="0" w:leftChars="0" w:firstLine="640" w:firstLineChars="200"/>
        <w:textAlignment w:val="auto"/>
        <w:rPr>
          <w:rStyle w:val="25"/>
          <w:rFonts w:hint="eastAsia" w:ascii="黑体" w:hAnsi="黑体" w:eastAsia="黑体" w:cs="黑体"/>
          <w:b w:val="0"/>
          <w:bCs w:val="0"/>
          <w:sz w:val="32"/>
          <w:szCs w:val="32"/>
        </w:rPr>
      </w:pPr>
      <w:r>
        <w:rPr>
          <w:rFonts w:hint="eastAsia" w:ascii="黑体" w:hAnsi="黑体" w:eastAsia="黑体" w:cs="黑体"/>
          <w:b w:val="0"/>
          <w:color w:val="000000"/>
          <w:sz w:val="32"/>
          <w:szCs w:val="32"/>
          <w:lang w:eastAsia="zh-CN"/>
        </w:rPr>
        <w:t>二、</w:t>
      </w:r>
      <w:r>
        <w:rPr>
          <w:rFonts w:hint="eastAsia" w:ascii="黑体" w:hAnsi="黑体" w:eastAsia="黑体" w:cs="黑体"/>
          <w:b w:val="0"/>
          <w:color w:val="000000"/>
          <w:sz w:val="32"/>
          <w:szCs w:val="32"/>
        </w:rPr>
        <w:t>机</w:t>
      </w:r>
      <w:r>
        <w:rPr>
          <w:rStyle w:val="25"/>
          <w:rFonts w:hint="eastAsia" w:ascii="黑体" w:hAnsi="黑体" w:eastAsia="黑体" w:cs="黑体"/>
          <w:b w:val="0"/>
          <w:bCs w:val="0"/>
          <w:sz w:val="32"/>
          <w:szCs w:val="32"/>
        </w:rPr>
        <w:t>构设置</w:t>
      </w:r>
      <w:bookmarkEnd w:id="28"/>
      <w:bookmarkEnd w:id="29"/>
      <w:bookmarkEnd w:id="30"/>
      <w:bookmarkEnd w:id="31"/>
    </w:p>
    <w:p>
      <w:pPr>
        <w:pageBreakBefore w:val="0"/>
        <w:widowControl w:val="0"/>
        <w:kinsoku/>
        <w:wordWrap/>
        <w:overflowPunct/>
        <w:topLinePunct w:val="0"/>
        <w:autoSpaceDE/>
        <w:autoSpaceDN/>
        <w:bidi w:val="0"/>
        <w:spacing w:line="576" w:lineRule="atLeast"/>
        <w:ind w:left="0" w:leftChars="0" w:firstLine="640" w:firstLineChars="200"/>
        <w:textAlignment w:val="auto"/>
        <w:rPr>
          <w:rFonts w:ascii="仿宋_GB2312" w:eastAsia="仿宋_GB2312"/>
          <w:b w:val="0"/>
          <w:bCs w:val="0"/>
          <w:sz w:val="32"/>
          <w:szCs w:val="32"/>
        </w:rPr>
      </w:pPr>
      <w:r>
        <w:rPr>
          <w:rFonts w:hint="eastAsia" w:ascii="仿宋_GB2312" w:eastAsia="仿宋_GB2312" w:cs="仿宋_GB2312"/>
          <w:b w:val="0"/>
          <w:bCs w:val="0"/>
          <w:sz w:val="32"/>
          <w:szCs w:val="32"/>
        </w:rPr>
        <w:t>城市公用事业服务中心属一级预算单位</w:t>
      </w:r>
      <w:r>
        <w:rPr>
          <w:rFonts w:hint="eastAsia" w:ascii="仿宋_GB2312" w:eastAsia="仿宋_GB2312"/>
          <w:b w:val="0"/>
          <w:bCs w:val="0"/>
          <w:sz w:val="32"/>
          <w:szCs w:val="32"/>
        </w:rPr>
        <w:t>，下属二级预算单位0个，其中参照公务员法管理的事业单位 0个，其他事业单位0 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center"/>
      </w:pPr>
      <w:bookmarkStart w:id="32" w:name="_Toc15377204"/>
      <w:bookmarkStart w:id="33" w:name="_Toc79163609"/>
      <w:bookmarkStart w:id="34" w:name="_Toc79163859"/>
      <w:bookmarkStart w:id="35" w:name="_Toc15396602"/>
      <w:r>
        <w:rPr>
          <w:rFonts w:hint="eastAsia" w:ascii="黑体" w:hAnsi="黑体" w:eastAsia="黑体"/>
          <w:b w:val="0"/>
          <w:color w:val="000000"/>
        </w:rPr>
        <w:t>第二部分</w:t>
      </w:r>
      <w:r>
        <w:rPr>
          <w:rFonts w:ascii="黑体" w:hAnsi="黑体" w:eastAsia="黑体"/>
          <w:color w:val="000000"/>
        </w:rPr>
        <w:t xml:space="preserve"> </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32"/>
      <w:bookmarkEnd w:id="33"/>
      <w:bookmarkEnd w:id="34"/>
      <w:bookmarkEnd w:id="35"/>
    </w:p>
    <w:p>
      <w:pPr>
        <w:pStyle w:val="35"/>
        <w:numPr>
          <w:ilvl w:val="0"/>
          <w:numId w:val="2"/>
        </w:numPr>
        <w:spacing w:line="600" w:lineRule="exact"/>
        <w:ind w:firstLineChars="0"/>
        <w:outlineLvl w:val="1"/>
        <w:rPr>
          <w:rStyle w:val="25"/>
          <w:rFonts w:ascii="黑体" w:hAnsi="黑体" w:eastAsia="黑体"/>
          <w:b w:val="0"/>
        </w:rPr>
      </w:pPr>
      <w:bookmarkStart w:id="36" w:name="_Toc79163860"/>
      <w:bookmarkStart w:id="37" w:name="_Toc79163610"/>
      <w:bookmarkStart w:id="38" w:name="_Toc15396603"/>
      <w:bookmarkStart w:id="39"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年度收、支总计8523.8万元。与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年相比，收、支总计各增加1749.68万元，增</w:t>
      </w:r>
      <w:r>
        <w:rPr>
          <w:rFonts w:hint="eastAsia" w:ascii="仿宋" w:hAnsi="仿宋" w:eastAsia="仿宋"/>
          <w:color w:val="000000"/>
          <w:sz w:val="32"/>
          <w:szCs w:val="32"/>
          <w:lang w:eastAsia="zh-CN"/>
        </w:rPr>
        <w:t>长</w:t>
      </w:r>
      <w:r>
        <w:rPr>
          <w:rFonts w:hint="eastAsia" w:ascii="仿宋" w:hAnsi="仿宋" w:eastAsia="仿宋"/>
          <w:color w:val="000000"/>
          <w:sz w:val="32"/>
          <w:szCs w:val="32"/>
          <w:lang w:val="en-US" w:eastAsia="zh-CN"/>
        </w:rPr>
        <w:t>25.83</w:t>
      </w:r>
      <w:r>
        <w:rPr>
          <w:rFonts w:ascii="仿宋" w:hAnsi="仿宋" w:eastAsia="仿宋"/>
          <w:color w:val="000000"/>
          <w:sz w:val="32"/>
          <w:szCs w:val="32"/>
        </w:rPr>
        <w:t>%</w:t>
      </w:r>
      <w:r>
        <w:rPr>
          <w:rFonts w:hint="eastAsia" w:ascii="仿宋" w:hAnsi="仿宋" w:eastAsia="仿宋"/>
          <w:color w:val="000000"/>
          <w:sz w:val="32"/>
          <w:szCs w:val="32"/>
        </w:rPr>
        <w:t>。主要变动原因是项目增加。</w:t>
      </w:r>
    </w:p>
    <w:p>
      <w:pPr>
        <w:pStyle w:val="7"/>
      </w:pPr>
      <w:r>
        <w:drawing>
          <wp:inline distT="0" distB="0" distL="0" distR="0">
            <wp:extent cx="5274310" cy="3076575"/>
            <wp:effectExtent l="5080" t="4445" r="16510" b="508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5"/>
        <w:numPr>
          <w:ilvl w:val="0"/>
          <w:numId w:val="2"/>
        </w:numPr>
        <w:spacing w:line="600" w:lineRule="exact"/>
        <w:ind w:firstLineChars="0"/>
        <w:outlineLvl w:val="1"/>
        <w:rPr>
          <w:rStyle w:val="25"/>
          <w:rFonts w:ascii="黑体" w:hAnsi="黑体" w:eastAsia="黑体"/>
          <w:b w:val="0"/>
        </w:rPr>
      </w:pPr>
      <w:bookmarkStart w:id="40" w:name="_Toc15377206"/>
      <w:bookmarkStart w:id="41" w:name="_Toc15396604"/>
      <w:bookmarkStart w:id="42" w:name="_Toc79163861"/>
      <w:bookmarkStart w:id="43" w:name="_Toc79163611"/>
      <w:r>
        <w:rPr>
          <w:rFonts w:hint="eastAsia" w:ascii="黑体" w:hAnsi="黑体" w:eastAsia="黑体"/>
          <w:color w:val="000000"/>
          <w:sz w:val="32"/>
          <w:szCs w:val="32"/>
        </w:rPr>
        <w:t>收</w:t>
      </w:r>
      <w:r>
        <w:rPr>
          <w:rStyle w:val="25"/>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年本年收入合计3866.1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万元，其中：一般公共预算财政拨款收入3331.1万元，占86.16</w:t>
      </w:r>
      <w:r>
        <w:rPr>
          <w:rFonts w:ascii="仿宋" w:hAnsi="仿宋" w:eastAsia="仿宋"/>
          <w:color w:val="000000"/>
          <w:sz w:val="32"/>
          <w:szCs w:val="32"/>
        </w:rPr>
        <w:t>%</w:t>
      </w:r>
      <w:r>
        <w:rPr>
          <w:rFonts w:hint="eastAsia" w:ascii="仿宋" w:hAnsi="仿宋" w:eastAsia="仿宋"/>
          <w:color w:val="000000"/>
          <w:sz w:val="32"/>
          <w:szCs w:val="32"/>
        </w:rPr>
        <w:t>；政府性基金预算财政拨款收入535.0</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万元，占13.84</w:t>
      </w:r>
      <w:r>
        <w:rPr>
          <w:rFonts w:ascii="仿宋" w:hAnsi="仿宋" w:eastAsia="仿宋"/>
          <w:color w:val="000000"/>
          <w:sz w:val="32"/>
          <w:szCs w:val="32"/>
        </w:rPr>
        <w:t>%</w:t>
      </w:r>
      <w:r>
        <w:rPr>
          <w:rFonts w:hint="eastAsia" w:ascii="仿宋" w:hAnsi="仿宋" w:eastAsia="仿宋"/>
          <w:color w:val="000000"/>
          <w:sz w:val="32"/>
          <w:szCs w:val="32"/>
        </w:rPr>
        <w:t>。</w:t>
      </w:r>
    </w:p>
    <w:p>
      <w:pPr>
        <w:pStyle w:val="7"/>
        <w:rPr>
          <w:rFonts w:ascii="仿宋_GB2312" w:eastAsia="仿宋_GB2312"/>
          <w:color w:val="FF0000"/>
          <w:sz w:val="32"/>
          <w:szCs w:val="32"/>
        </w:rPr>
      </w:pPr>
      <w:r>
        <w:drawing>
          <wp:inline distT="0" distB="0" distL="0" distR="0">
            <wp:extent cx="4800600" cy="2787015"/>
            <wp:effectExtent l="4445" t="4445" r="14605" b="889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5"/>
        <w:numPr>
          <w:ilvl w:val="0"/>
          <w:numId w:val="2"/>
        </w:numPr>
        <w:spacing w:line="600" w:lineRule="exact"/>
        <w:ind w:firstLineChars="0"/>
        <w:outlineLvl w:val="1"/>
        <w:rPr>
          <w:rStyle w:val="25"/>
          <w:rFonts w:ascii="黑体" w:hAnsi="黑体" w:eastAsia="黑体"/>
          <w:b w:val="0"/>
        </w:rPr>
      </w:pPr>
      <w:bookmarkStart w:id="44" w:name="_Toc79163612"/>
      <w:bookmarkStart w:id="45" w:name="_Toc15377207"/>
      <w:bookmarkStart w:id="46" w:name="_Toc15396605"/>
      <w:bookmarkStart w:id="47" w:name="_Toc79163862"/>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bookmarkEnd w:id="47"/>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ascii="仿宋_GB2312" w:eastAsia="仿宋_GB2312"/>
          <w:sz w:val="32"/>
          <w:szCs w:val="32"/>
        </w:rPr>
        <w:t>2020</w:t>
      </w:r>
      <w:r>
        <w:rPr>
          <w:rFonts w:hint="eastAsia" w:ascii="仿宋_GB2312" w:eastAsia="仿宋_GB2312"/>
          <w:sz w:val="32"/>
          <w:szCs w:val="32"/>
        </w:rPr>
        <w:t>年本年支出合计4657.62万元，其中：基本支出3626万元，占77.85</w:t>
      </w:r>
      <w:r>
        <w:rPr>
          <w:rFonts w:ascii="仿宋_GB2312" w:eastAsia="仿宋_GB2312"/>
          <w:sz w:val="32"/>
          <w:szCs w:val="32"/>
        </w:rPr>
        <w:t>%</w:t>
      </w:r>
      <w:r>
        <w:rPr>
          <w:rFonts w:hint="eastAsia" w:ascii="仿宋_GB2312" w:eastAsia="仿宋_GB2312"/>
          <w:sz w:val="32"/>
          <w:szCs w:val="32"/>
        </w:rPr>
        <w:t>；项目支出1031.62万元，占22.15</w:t>
      </w:r>
      <w:r>
        <w:rPr>
          <w:rFonts w:ascii="仿宋_GB2312" w:eastAsia="仿宋_GB2312"/>
          <w:sz w:val="32"/>
          <w:szCs w:val="32"/>
        </w:rPr>
        <w:t>%</w:t>
      </w:r>
      <w:r>
        <w:rPr>
          <w:rFonts w:hint="eastAsia" w:ascii="仿宋_GB2312" w:eastAsia="仿宋_GB2312"/>
          <w:sz w:val="32"/>
          <w:szCs w:val="32"/>
        </w:rPr>
        <w:t>。</w:t>
      </w:r>
    </w:p>
    <w:p>
      <w:pPr>
        <w:pStyle w:val="7"/>
        <w:rPr>
          <w:rFonts w:hint="eastAsia"/>
        </w:rPr>
      </w:pPr>
      <w:r>
        <w:drawing>
          <wp:inline distT="0" distB="0" distL="0" distR="0">
            <wp:extent cx="4629150" cy="2378075"/>
            <wp:effectExtent l="5080" t="5080" r="13970" b="17145"/>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5"/>
          <w:rFonts w:ascii="黑体" w:hAnsi="黑体" w:eastAsia="黑体"/>
          <w:b w:val="0"/>
        </w:rPr>
      </w:pPr>
      <w:bookmarkStart w:id="48" w:name="_Toc79163613"/>
      <w:bookmarkStart w:id="49" w:name="_Toc15377208"/>
      <w:bookmarkStart w:id="50" w:name="_Toc15396606"/>
      <w:bookmarkStart w:id="51" w:name="_Toc79163863"/>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年财政拨款收、支总计8523.8万元。与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年相比，财政拨款收、支总计各增加1749.68万元，增长</w:t>
      </w:r>
      <w:r>
        <w:rPr>
          <w:rFonts w:hint="eastAsia" w:ascii="仿宋" w:hAnsi="仿宋" w:eastAsia="仿宋"/>
          <w:color w:val="000000"/>
          <w:sz w:val="32"/>
          <w:szCs w:val="32"/>
          <w:lang w:val="en-US" w:eastAsia="zh-CN"/>
        </w:rPr>
        <w:t>25.83</w:t>
      </w:r>
      <w:r>
        <w:rPr>
          <w:rFonts w:ascii="仿宋" w:hAnsi="仿宋" w:eastAsia="仿宋"/>
          <w:color w:val="000000"/>
          <w:sz w:val="32"/>
          <w:szCs w:val="32"/>
        </w:rPr>
        <w:t>%</w:t>
      </w:r>
      <w:r>
        <w:rPr>
          <w:rFonts w:hint="eastAsia" w:ascii="仿宋" w:hAnsi="仿宋" w:eastAsia="仿宋"/>
          <w:color w:val="000000"/>
          <w:sz w:val="32"/>
          <w:szCs w:val="32"/>
        </w:rPr>
        <w:t>。主要变动原因是项目增加。</w:t>
      </w:r>
    </w:p>
    <w:p>
      <w:pPr>
        <w:pStyle w:val="7"/>
      </w:pPr>
      <w:r>
        <w:drawing>
          <wp:inline distT="0" distB="0" distL="0" distR="0">
            <wp:extent cx="5400675" cy="2724150"/>
            <wp:effectExtent l="4445" t="4445" r="5080" b="14605"/>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5"/>
          <w:rFonts w:ascii="黑体" w:hAnsi="黑体" w:eastAsia="黑体"/>
          <w:b w:val="0"/>
        </w:rPr>
      </w:pPr>
      <w:bookmarkStart w:id="52" w:name="_Toc79163864"/>
      <w:bookmarkStart w:id="53" w:name="_Toc15377209"/>
      <w:bookmarkStart w:id="54" w:name="_Toc15396607"/>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865"/>
      <w:bookmarkStart w:id="57" w:name="_Toc7916361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年一般公共预算财政拨款支出3626万元，占本年支出合计的77.85</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年相比，一般公共预算财政拨款增加2442.42万元，增长67.36</w:t>
      </w:r>
      <w:r>
        <w:rPr>
          <w:rFonts w:ascii="仿宋" w:hAnsi="仿宋" w:eastAsia="仿宋"/>
          <w:color w:val="000000"/>
          <w:sz w:val="32"/>
          <w:szCs w:val="32"/>
        </w:rPr>
        <w:t>%</w:t>
      </w:r>
      <w:r>
        <w:rPr>
          <w:rFonts w:hint="eastAsia" w:ascii="仿宋" w:hAnsi="仿宋" w:eastAsia="仿宋"/>
          <w:color w:val="000000"/>
          <w:sz w:val="32"/>
          <w:szCs w:val="32"/>
        </w:rPr>
        <w:t>。主要变动原因是项目增加。</w:t>
      </w:r>
    </w:p>
    <w:p>
      <w:pPr>
        <w:pStyle w:val="7"/>
      </w:pPr>
      <w:r>
        <w:drawing>
          <wp:inline distT="0" distB="0" distL="0" distR="0">
            <wp:extent cx="4660900" cy="2802255"/>
            <wp:effectExtent l="4445" t="4445" r="20955" b="1270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2" w:firstLineChars="200"/>
        <w:outlineLvl w:val="2"/>
        <w:rPr>
          <w:rFonts w:ascii="仿宋" w:hAnsi="仿宋" w:eastAsia="仿宋"/>
          <w:b/>
          <w:color w:val="000000"/>
          <w:sz w:val="32"/>
          <w:szCs w:val="32"/>
        </w:rPr>
      </w:pPr>
      <w:bookmarkStart w:id="59" w:name="_Toc79163866"/>
      <w:bookmarkStart w:id="60" w:name="_Toc79163616"/>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年一般公共预算财政拨款支出3626万元，主要用于以下方面</w:t>
      </w:r>
      <w:r>
        <w:rPr>
          <w:rFonts w:ascii="仿宋" w:hAnsi="仿宋" w:eastAsia="仿宋"/>
          <w:color w:val="000000"/>
          <w:sz w:val="32"/>
          <w:szCs w:val="32"/>
        </w:rPr>
        <w:t>:</w:t>
      </w:r>
      <w:r>
        <w:rPr>
          <w:rFonts w:hint="eastAsia" w:ascii="仿宋" w:hAnsi="仿宋" w:eastAsia="仿宋"/>
          <w:b/>
          <w:bCs/>
          <w:color w:val="000000"/>
          <w:sz w:val="32"/>
          <w:szCs w:val="32"/>
          <w:lang w:eastAsia="zh-CN"/>
        </w:rPr>
        <w:t>社会保障和就业支出</w:t>
      </w:r>
      <w:r>
        <w:rPr>
          <w:rFonts w:hint="eastAsia" w:ascii="仿宋" w:hAnsi="仿宋" w:eastAsia="仿宋"/>
          <w:b/>
          <w:color w:val="000000"/>
          <w:sz w:val="32"/>
          <w:szCs w:val="32"/>
        </w:rPr>
        <w:t>（类）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50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eastAsia="zh-CN"/>
        </w:rPr>
        <w:t>卫生健康支出</w:t>
      </w:r>
      <w:r>
        <w:rPr>
          <w:rFonts w:hint="eastAsia" w:ascii="仿宋" w:hAnsi="仿宋" w:eastAsia="仿宋"/>
          <w:b/>
          <w:color w:val="000000"/>
          <w:sz w:val="32"/>
          <w:szCs w:val="32"/>
        </w:rPr>
        <w:t>（类）</w:t>
      </w:r>
      <w:r>
        <w:rPr>
          <w:rFonts w:hint="eastAsia" w:ascii="仿宋" w:hAnsi="仿宋" w:eastAsia="仿宋"/>
          <w:color w:val="000000"/>
          <w:sz w:val="32"/>
          <w:szCs w:val="32"/>
          <w:lang w:val="en-US" w:eastAsia="zh-CN"/>
        </w:rPr>
        <w:t>27.29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0.75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eastAsia="zh-CN"/>
        </w:rPr>
        <w:t>节能环保支出</w:t>
      </w:r>
      <w:r>
        <w:rPr>
          <w:rFonts w:hint="eastAsia" w:ascii="仿宋" w:hAnsi="仿宋" w:eastAsia="仿宋"/>
          <w:b/>
          <w:color w:val="000000"/>
          <w:sz w:val="32"/>
          <w:szCs w:val="32"/>
        </w:rPr>
        <w:t>（类）</w:t>
      </w:r>
      <w:r>
        <w:rPr>
          <w:rFonts w:hint="eastAsia" w:ascii="仿宋" w:hAnsi="仿宋" w:eastAsia="仿宋"/>
          <w:color w:val="000000"/>
          <w:sz w:val="32"/>
          <w:szCs w:val="32"/>
        </w:rPr>
        <w:t>支出</w:t>
      </w:r>
      <w:r>
        <w:rPr>
          <w:rFonts w:hint="eastAsia" w:ascii="仿宋" w:hAnsi="仿宋" w:eastAsia="仿宋"/>
          <w:b w:val="0"/>
          <w:bCs/>
          <w:color w:val="000000"/>
          <w:sz w:val="32"/>
          <w:szCs w:val="32"/>
          <w:lang w:val="en-US" w:eastAsia="zh-CN"/>
        </w:rPr>
        <w:t>1066.99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29.43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城乡社区支出</w:t>
      </w:r>
      <w:r>
        <w:rPr>
          <w:rFonts w:hint="eastAsia" w:ascii="仿宋" w:hAnsi="仿宋" w:eastAsia="仿宋"/>
          <w:b/>
          <w:bCs/>
          <w:color w:val="000000"/>
          <w:sz w:val="32"/>
          <w:szCs w:val="32"/>
        </w:rPr>
        <w:t>（类）支出</w:t>
      </w:r>
      <w:r>
        <w:rPr>
          <w:rFonts w:hint="eastAsia" w:ascii="仿宋" w:hAnsi="仿宋" w:eastAsia="仿宋"/>
          <w:b w:val="0"/>
          <w:bCs w:val="0"/>
          <w:color w:val="000000"/>
          <w:sz w:val="32"/>
          <w:szCs w:val="32"/>
          <w:lang w:val="en-US" w:eastAsia="zh-CN"/>
        </w:rPr>
        <w:t>2444.24</w:t>
      </w:r>
      <w:r>
        <w:rPr>
          <w:rFonts w:hint="eastAsia" w:ascii="仿宋" w:hAnsi="仿宋" w:eastAsia="仿宋"/>
          <w:b w:val="0"/>
          <w:bCs w:val="0"/>
          <w:color w:val="000000"/>
          <w:sz w:val="32"/>
          <w:szCs w:val="32"/>
        </w:rPr>
        <w:t>万元</w:t>
      </w:r>
      <w:r>
        <w:rPr>
          <w:rFonts w:hint="eastAsia" w:ascii="仿宋" w:hAnsi="仿宋" w:eastAsia="仿宋"/>
          <w:b/>
          <w:bCs/>
          <w:color w:val="000000"/>
          <w:sz w:val="32"/>
          <w:szCs w:val="32"/>
        </w:rPr>
        <w:t>，</w:t>
      </w:r>
      <w:r>
        <w:rPr>
          <w:rFonts w:hint="eastAsia" w:ascii="仿宋" w:hAnsi="仿宋" w:eastAsia="仿宋"/>
          <w:b w:val="0"/>
          <w:bCs w:val="0"/>
          <w:color w:val="000000"/>
          <w:sz w:val="32"/>
          <w:szCs w:val="32"/>
        </w:rPr>
        <w:t>占</w:t>
      </w:r>
      <w:r>
        <w:rPr>
          <w:rFonts w:hint="eastAsia" w:ascii="仿宋" w:hAnsi="仿宋" w:eastAsia="仿宋"/>
          <w:b w:val="0"/>
          <w:bCs w:val="0"/>
          <w:color w:val="000000"/>
          <w:sz w:val="32"/>
          <w:szCs w:val="32"/>
          <w:lang w:val="en-US" w:eastAsia="zh-CN"/>
        </w:rPr>
        <w:t>67.4</w:t>
      </w:r>
      <w:r>
        <w:rPr>
          <w:rFonts w:ascii="仿宋" w:hAnsi="仿宋" w:eastAsia="仿宋"/>
          <w:b w:val="0"/>
          <w:bCs w:val="0"/>
          <w:color w:val="000000"/>
          <w:sz w:val="32"/>
          <w:szCs w:val="32"/>
        </w:rPr>
        <w:t>%</w:t>
      </w:r>
      <w:r>
        <w:rPr>
          <w:rFonts w:hint="eastAsia" w:ascii="仿宋" w:hAnsi="仿宋" w:eastAsia="仿宋"/>
          <w:b w:val="0"/>
          <w:bCs w:val="0"/>
          <w:color w:val="000000"/>
          <w:sz w:val="32"/>
          <w:szCs w:val="32"/>
        </w:rPr>
        <w:t>；</w:t>
      </w:r>
      <w:r>
        <w:rPr>
          <w:rFonts w:hint="eastAsia" w:ascii="仿宋" w:hAnsi="仿宋" w:eastAsia="仿宋"/>
          <w:b/>
          <w:color w:val="000000"/>
          <w:sz w:val="32"/>
          <w:szCs w:val="32"/>
          <w:lang w:eastAsia="zh-CN"/>
        </w:rPr>
        <w:t>农林水支出</w:t>
      </w:r>
      <w:r>
        <w:rPr>
          <w:rFonts w:hint="eastAsia" w:ascii="仿宋" w:hAnsi="仿宋" w:eastAsia="仿宋"/>
          <w:b/>
          <w:color w:val="000000"/>
          <w:sz w:val="32"/>
          <w:szCs w:val="32"/>
        </w:rPr>
        <w:t>（类）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0.84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住房保障支出</w:t>
      </w:r>
      <w:r>
        <w:rPr>
          <w:rFonts w:hint="eastAsia" w:ascii="仿宋" w:hAnsi="仿宋" w:eastAsia="仿宋"/>
          <w:color w:val="000000"/>
          <w:sz w:val="32"/>
          <w:szCs w:val="32"/>
          <w:lang w:val="en-US" w:eastAsia="zh-CN"/>
        </w:rPr>
        <w:t>36.64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1.01</w:t>
      </w:r>
      <w:r>
        <w:rPr>
          <w:rFonts w:ascii="仿宋" w:hAnsi="仿宋" w:eastAsia="仿宋"/>
          <w:color w:val="000000"/>
          <w:sz w:val="32"/>
          <w:szCs w:val="32"/>
        </w:rPr>
        <w:t>%</w:t>
      </w:r>
      <w:r>
        <w:rPr>
          <w:rFonts w:hint="eastAsia" w:ascii="仿宋" w:hAnsi="仿宋" w:eastAsia="仿宋"/>
          <w:color w:val="000000"/>
          <w:sz w:val="32"/>
          <w:szCs w:val="32"/>
          <w:lang w:eastAsia="zh-CN"/>
        </w:rPr>
        <w:t>。</w:t>
      </w:r>
    </w:p>
    <w:p>
      <w:pPr>
        <w:pStyle w:val="7"/>
      </w:pPr>
      <w:r>
        <w:drawing>
          <wp:inline distT="0" distB="0" distL="0" distR="0">
            <wp:extent cx="5581650" cy="3488690"/>
            <wp:effectExtent l="4445" t="4445" r="14605" b="12065"/>
            <wp:docPr id="6" name="图表 1" descr="7b0a202020202263686172745265734964223a20223837333737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spacing w:line="600" w:lineRule="exact"/>
        <w:ind w:firstLine="321" w:firstLineChars="100"/>
        <w:outlineLvl w:val="2"/>
        <w:rPr>
          <w:rFonts w:ascii="仿宋" w:hAnsi="仿宋" w:eastAsia="仿宋"/>
          <w:b/>
          <w:color w:val="000000"/>
          <w:sz w:val="32"/>
          <w:szCs w:val="32"/>
        </w:rPr>
      </w:pPr>
      <w:bookmarkStart w:id="62" w:name="_Toc15377212"/>
      <w:bookmarkStart w:id="63" w:name="_Toc79163617"/>
      <w:bookmarkStart w:id="64" w:name="_Toc7916386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8460"/>
      <w:bookmarkStart w:id="66" w:name="_Toc15377213"/>
      <w:bookmarkStart w:id="67"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 w:hAnsi="仿宋" w:eastAsia="仿宋"/>
          <w:b/>
          <w:bCs/>
          <w:color w:val="000000"/>
          <w:sz w:val="32"/>
          <w:szCs w:val="32"/>
        </w:rPr>
        <w:t>3626</w:t>
      </w:r>
      <w:r>
        <w:rPr>
          <w:rFonts w:hint="eastAsia" w:ascii="仿宋" w:hAnsi="仿宋" w:eastAsia="仿宋"/>
          <w:b/>
          <w:bCs/>
          <w:color w:val="000000"/>
          <w:sz w:val="32"/>
          <w:szCs w:val="32"/>
          <w:lang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textAlignment w:val="auto"/>
        <w:rPr>
          <w:rStyle w:val="21"/>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lang w:eastAsia="zh-CN"/>
        </w:rPr>
        <w:t>社会保障和就业支出</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eastAsia="zh-CN"/>
        </w:rPr>
        <w:t>行政事业单位养老支出</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eastAsia="zh-CN"/>
        </w:rPr>
        <w:t>机关事业单位基本养老保险缴费支出</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38.03</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textAlignment w:val="auto"/>
        <w:rPr>
          <w:rFonts w:hint="default" w:eastAsia="宋体"/>
          <w:lang w:val="en-US" w:eastAsia="zh-CN"/>
        </w:rPr>
      </w:pPr>
      <w:r>
        <w:rPr>
          <w:rFonts w:hint="eastAsia" w:ascii="仿宋" w:hAnsi="仿宋" w:eastAsia="仿宋"/>
          <w:b/>
          <w:bCs/>
          <w:color w:val="000000"/>
          <w:sz w:val="32"/>
          <w:szCs w:val="32"/>
          <w:lang w:val="en-US" w:eastAsia="zh-CN"/>
        </w:rPr>
        <w:t>2.</w:t>
      </w:r>
      <w:r>
        <w:rPr>
          <w:rFonts w:hint="eastAsia" w:ascii="仿宋" w:hAnsi="仿宋" w:eastAsia="仿宋"/>
          <w:b/>
          <w:bCs/>
          <w:color w:val="000000"/>
          <w:sz w:val="32"/>
          <w:szCs w:val="32"/>
          <w:lang w:eastAsia="zh-CN"/>
        </w:rPr>
        <w:t>社会保障和就业支出</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eastAsia="zh-CN"/>
        </w:rPr>
        <w:t>行政事业单位养老支出</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eastAsia="zh-CN"/>
        </w:rPr>
        <w:t>机关事业单位职业年金缴费支出</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11.97</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21"/>
          <w:rFonts w:hint="eastAsia" w:ascii="仿宋" w:hAnsi="仿宋" w:eastAsia="仿宋"/>
          <w:bCs/>
          <w:color w:val="000000"/>
          <w:sz w:val="32"/>
          <w:szCs w:val="32"/>
          <w:lang w:val="en-US" w:eastAsia="zh-CN"/>
        </w:rPr>
        <w:t>3.</w:t>
      </w:r>
      <w:r>
        <w:rPr>
          <w:rStyle w:val="21"/>
          <w:rFonts w:hint="eastAsia" w:ascii="仿宋" w:hAnsi="仿宋" w:eastAsia="仿宋"/>
          <w:bCs/>
          <w:color w:val="000000"/>
          <w:sz w:val="32"/>
          <w:szCs w:val="32"/>
          <w:lang w:eastAsia="zh-CN"/>
        </w:rPr>
        <w:t>卫生健康支出</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eastAsia="zh-CN"/>
        </w:rPr>
        <w:t>行政职业单位医疗</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eastAsia="zh-CN"/>
        </w:rPr>
        <w:t>事业单位医疗</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27.29</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21"/>
          <w:rFonts w:hint="eastAsia" w:ascii="仿宋" w:hAnsi="仿宋" w:eastAsia="仿宋"/>
          <w:bCs/>
          <w:color w:val="000000"/>
          <w:sz w:val="32"/>
          <w:szCs w:val="32"/>
          <w:lang w:val="en-US" w:eastAsia="zh-CN"/>
        </w:rPr>
        <w:t>4</w:t>
      </w:r>
      <w:r>
        <w:rPr>
          <w:rStyle w:val="21"/>
          <w:rFonts w:ascii="仿宋" w:hAnsi="仿宋" w:eastAsia="仿宋"/>
          <w:bCs/>
          <w:color w:val="000000"/>
          <w:sz w:val="32"/>
          <w:szCs w:val="32"/>
        </w:rPr>
        <w:t>.</w:t>
      </w:r>
      <w:r>
        <w:rPr>
          <w:rStyle w:val="21"/>
          <w:rFonts w:hint="eastAsia" w:ascii="仿宋" w:hAnsi="仿宋" w:eastAsia="仿宋"/>
          <w:bCs/>
          <w:color w:val="000000"/>
          <w:sz w:val="32"/>
          <w:szCs w:val="32"/>
          <w:lang w:eastAsia="zh-CN"/>
        </w:rPr>
        <w:t>节能环保支出</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eastAsia="zh-CN"/>
        </w:rPr>
        <w:t>自然生态保护</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eastAsia="zh-CN"/>
        </w:rPr>
        <w:t>生态保护</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1066.99</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2" w:firstLineChars="200"/>
        <w:rPr>
          <w:rStyle w:val="21"/>
          <w:rFonts w:hint="eastAsia" w:ascii="仿宋" w:hAnsi="仿宋" w:eastAsia="仿宋"/>
          <w:b w:val="0"/>
          <w:bCs/>
          <w:color w:val="000000"/>
          <w:sz w:val="32"/>
          <w:szCs w:val="32"/>
        </w:rPr>
      </w:pPr>
      <w:r>
        <w:rPr>
          <w:rStyle w:val="21"/>
          <w:rFonts w:hint="eastAsia" w:ascii="仿宋" w:hAnsi="仿宋" w:eastAsia="仿宋"/>
          <w:bCs/>
          <w:color w:val="000000"/>
          <w:sz w:val="32"/>
          <w:szCs w:val="32"/>
          <w:lang w:val="en-US" w:eastAsia="zh-CN"/>
        </w:rPr>
        <w:t>5</w:t>
      </w:r>
      <w:r>
        <w:rPr>
          <w:rStyle w:val="21"/>
          <w:rFonts w:ascii="仿宋" w:hAnsi="仿宋" w:eastAsia="仿宋"/>
          <w:bCs/>
          <w:color w:val="000000"/>
          <w:sz w:val="32"/>
          <w:szCs w:val="32"/>
        </w:rPr>
        <w:t>.</w:t>
      </w:r>
      <w:r>
        <w:rPr>
          <w:rStyle w:val="21"/>
          <w:rFonts w:hint="eastAsia" w:ascii="仿宋" w:hAnsi="仿宋" w:eastAsia="仿宋"/>
          <w:bCs/>
          <w:color w:val="000000"/>
          <w:sz w:val="32"/>
          <w:szCs w:val="32"/>
          <w:lang w:eastAsia="zh-CN"/>
        </w:rPr>
        <w:t>城乡社区支出</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eastAsia="zh-CN"/>
        </w:rPr>
        <w:t>城乡社区管理事务</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eastAsia="zh-CN"/>
        </w:rPr>
        <w:t>其他城乡社区管理事务支出</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2174.27</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2" w:firstLineChars="200"/>
        <w:rPr>
          <w:rFonts w:hint="default"/>
          <w:lang w:val="en-US" w:eastAsia="zh-CN"/>
        </w:rPr>
      </w:pPr>
      <w:r>
        <w:rPr>
          <w:rStyle w:val="21"/>
          <w:rFonts w:hint="eastAsia" w:ascii="仿宋" w:hAnsi="仿宋" w:eastAsia="仿宋"/>
          <w:b/>
          <w:bCs w:val="0"/>
          <w:color w:val="000000"/>
          <w:sz w:val="32"/>
          <w:szCs w:val="32"/>
          <w:lang w:val="en-US" w:eastAsia="zh-CN"/>
        </w:rPr>
        <w:t>6.</w:t>
      </w:r>
      <w:r>
        <w:rPr>
          <w:rStyle w:val="21"/>
          <w:rFonts w:hint="eastAsia" w:ascii="仿宋" w:hAnsi="仿宋" w:eastAsia="仿宋"/>
          <w:bCs/>
          <w:color w:val="000000"/>
          <w:sz w:val="32"/>
          <w:szCs w:val="32"/>
          <w:lang w:eastAsia="zh-CN"/>
        </w:rPr>
        <w:t>城乡社区支出</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eastAsia="zh-CN"/>
        </w:rPr>
        <w:t>城乡社区环境卫生</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eastAsia="zh-CN"/>
        </w:rPr>
        <w:t>城乡社区环境卫生</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269.97</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21"/>
          <w:rFonts w:hint="eastAsia" w:ascii="仿宋" w:hAnsi="仿宋" w:eastAsia="仿宋"/>
          <w:bCs/>
          <w:color w:val="000000"/>
          <w:sz w:val="32"/>
          <w:szCs w:val="32"/>
          <w:lang w:val="en-US" w:eastAsia="zh-CN"/>
        </w:rPr>
        <w:t>7</w:t>
      </w:r>
      <w:r>
        <w:rPr>
          <w:rStyle w:val="21"/>
          <w:rFonts w:ascii="仿宋" w:hAnsi="仿宋" w:eastAsia="仿宋"/>
          <w:bCs/>
          <w:color w:val="000000"/>
          <w:sz w:val="32"/>
          <w:szCs w:val="32"/>
        </w:rPr>
        <w:t>.</w:t>
      </w:r>
      <w:r>
        <w:rPr>
          <w:rStyle w:val="21"/>
          <w:rFonts w:hint="eastAsia" w:ascii="仿宋" w:hAnsi="仿宋" w:eastAsia="仿宋"/>
          <w:bCs/>
          <w:color w:val="000000"/>
          <w:sz w:val="32"/>
          <w:szCs w:val="32"/>
          <w:lang w:eastAsia="zh-CN"/>
        </w:rPr>
        <w:t>农林水支出</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eastAsia="zh-CN"/>
        </w:rPr>
        <w:t>扶贫</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eastAsia="zh-CN"/>
        </w:rPr>
        <w:t>其他扶贫支出</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0.84</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6.</w:t>
      </w:r>
      <w:r>
        <w:rPr>
          <w:rFonts w:hint="eastAsia" w:ascii="仿宋" w:hAnsi="仿宋" w:eastAsia="仿宋"/>
          <w:b/>
          <w:bCs/>
          <w:color w:val="000000"/>
          <w:sz w:val="32"/>
          <w:szCs w:val="32"/>
          <w:lang w:eastAsia="zh-CN"/>
        </w:rPr>
        <w:t>住房保障支出</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eastAsia="zh-CN"/>
        </w:rPr>
        <w:t>住房改革支出</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eastAsia="zh-CN"/>
        </w:rPr>
        <w:t>住房公积金</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36.64</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tabs>
          <w:tab w:val="right" w:pos="8306"/>
        </w:tabs>
        <w:spacing w:line="600" w:lineRule="exact"/>
        <w:ind w:firstLine="640"/>
        <w:outlineLvl w:val="1"/>
        <w:rPr>
          <w:rStyle w:val="25"/>
        </w:rPr>
      </w:pPr>
      <w:bookmarkStart w:id="68" w:name="_Toc15377214"/>
      <w:bookmarkStart w:id="69" w:name="_Toc15396608"/>
      <w:bookmarkStart w:id="70" w:name="_Toc79163868"/>
      <w:bookmarkStart w:id="71"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8"/>
      <w:bookmarkEnd w:id="69"/>
      <w:bookmarkEnd w:id="70"/>
      <w:bookmarkEnd w:id="7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467.59</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443.47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rPr>
          <w:rFonts w:ascii="仿宋" w:hAnsi="仿宋" w:eastAsia="仿宋"/>
          <w:b/>
          <w:color w:val="FF0000"/>
          <w:sz w:val="32"/>
          <w:szCs w:val="32"/>
        </w:rPr>
      </w:pP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24.11</w:t>
      </w:r>
      <w:r>
        <w:rPr>
          <w:rFonts w:hint="eastAsia" w:ascii="仿宋" w:hAnsi="仿宋" w:eastAsia="仿宋"/>
          <w:color w:val="000000"/>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72" w:name="_Toc15377215"/>
      <w:bookmarkStart w:id="73" w:name="_Toc79163619"/>
      <w:bookmarkStart w:id="74" w:name="_Toc15396609"/>
      <w:bookmarkStart w:id="75" w:name="_Toc7916386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hint="eastAsia" w:ascii="楷体" w:hAnsi="楷体" w:eastAsia="楷体" w:cs="楷体"/>
          <w:b/>
          <w:color w:val="000000"/>
          <w:sz w:val="32"/>
          <w:szCs w:val="32"/>
        </w:rPr>
      </w:pPr>
      <w:bookmarkStart w:id="76" w:name="_Toc79163870"/>
      <w:bookmarkStart w:id="77" w:name="_Toc79163620"/>
      <w:bookmarkStart w:id="78" w:name="_Toc15377216"/>
      <w:r>
        <w:rPr>
          <w:rFonts w:hint="eastAsia" w:ascii="楷体" w:hAnsi="楷体" w:eastAsia="楷体" w:cs="楷体"/>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hint="eastAsia" w:ascii="楷体" w:hAnsi="楷体" w:eastAsia="楷体" w:cs="楷体"/>
          <w:b/>
          <w:color w:val="000000"/>
          <w:sz w:val="32"/>
          <w:szCs w:val="32"/>
        </w:rPr>
      </w:pPr>
      <w:bookmarkStart w:id="79" w:name="_Toc79163871"/>
      <w:bookmarkStart w:id="80" w:name="_Toc79163621"/>
      <w:bookmarkStart w:id="81" w:name="_Toc15377217"/>
      <w:r>
        <w:rPr>
          <w:rFonts w:hint="eastAsia" w:ascii="楷体" w:hAnsi="楷体" w:eastAsia="楷体" w:cs="楷体"/>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pStyle w:val="7"/>
      </w:pPr>
      <w:r>
        <w:drawing>
          <wp:inline distT="0" distB="0" distL="0" distR="0">
            <wp:extent cx="5343525" cy="2381250"/>
            <wp:effectExtent l="4445" t="4445" r="5080" b="14605"/>
            <wp:docPr id="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rPr>
        <w:t>因公出国（境）经费支出</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rPr>
        <w:t>全年安排因公出国（境）团组</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次，出国（境）</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人</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2.公务用车购置及运行维护费支出</w:t>
      </w:r>
      <w:r>
        <w:rPr>
          <w:rFonts w:hint="eastAsia"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rPr>
        <w:t>万元,</w:t>
      </w:r>
      <w:r>
        <w:rPr>
          <w:rStyle w:val="21"/>
          <w:rFonts w:hint="eastAsia" w:ascii="仿宋_GB2312" w:hAnsi="仿宋_GB2312" w:eastAsia="仿宋_GB2312" w:cs="仿宋_GB2312"/>
          <w:b w:val="0"/>
          <w:bCs/>
          <w:color w:val="000000"/>
          <w:sz w:val="32"/>
          <w:szCs w:val="32"/>
        </w:rPr>
        <w:t>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其中：公务用车购置支</w:t>
      </w:r>
      <w:r>
        <w:rPr>
          <w:rFonts w:hint="eastAsia" w:ascii="仿宋_GB2312" w:hAnsi="仿宋_GB2312" w:eastAsia="仿宋_GB2312" w:cs="仿宋_GB2312"/>
          <w:b w:val="0"/>
          <w:bCs/>
          <w:color w:val="000000"/>
          <w:sz w:val="32"/>
          <w:szCs w:val="32"/>
          <w:lang w:eastAsia="zh-CN"/>
        </w:rPr>
        <w:t>出</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万元。全年按规定更新购置公务用车</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辆。</w:t>
      </w:r>
    </w:p>
    <w:p>
      <w:pPr>
        <w:keepNext w:val="0"/>
        <w:keepLines w:val="0"/>
        <w:pageBreakBefore w:val="0"/>
        <w:widowControl w:val="0"/>
        <w:kinsoku/>
        <w:wordWrap/>
        <w:overflowPunct/>
        <w:topLinePunct w:val="0"/>
        <w:bidi w:val="0"/>
        <w:spacing w:line="576" w:lineRule="exact"/>
        <w:ind w:firstLine="640"/>
        <w:textAlignment w:val="auto"/>
        <w:rPr>
          <w:rFonts w:ascii="仿宋_GB2312" w:eastAsia="仿宋_GB2312"/>
          <w:color w:val="000000"/>
          <w:sz w:val="32"/>
          <w:szCs w:val="32"/>
        </w:rPr>
      </w:pPr>
      <w:r>
        <w:rPr>
          <w:rFonts w:hint="eastAsia" w:ascii="仿宋_GB2312" w:hAnsi="仿宋_GB2312" w:eastAsia="仿宋_GB2312" w:cs="仿宋_GB2312"/>
          <w:b w:val="0"/>
          <w:bCs/>
          <w:color w:val="000000"/>
          <w:sz w:val="32"/>
          <w:szCs w:val="32"/>
        </w:rPr>
        <w:t>公务用车运行维护费支出</w:t>
      </w:r>
      <w:r>
        <w:rPr>
          <w:rFonts w:hint="eastAsia"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rPr>
        <w:t>万元。主要用于</w:t>
      </w:r>
      <w:r>
        <w:rPr>
          <w:rFonts w:hint="eastAsia" w:ascii="仿宋_GB2312" w:hAnsi="仿宋_GB2312" w:eastAsia="仿宋_GB2312" w:cs="仿宋_GB2312"/>
          <w:b w:val="0"/>
          <w:bCs/>
          <w:color w:val="000000"/>
          <w:sz w:val="32"/>
          <w:szCs w:val="32"/>
          <w:lang w:eastAsia="zh-CN"/>
        </w:rPr>
        <w:t>日常办公、下乡、出差</w:t>
      </w:r>
      <w:r>
        <w:rPr>
          <w:rFonts w:hint="eastAsia" w:ascii="仿宋_GB2312" w:hAnsi="仿宋_GB2312" w:eastAsia="仿宋_GB2312" w:cs="仿宋_GB2312"/>
          <w:b w:val="0"/>
          <w:bCs/>
          <w:color w:val="000000"/>
          <w:sz w:val="32"/>
          <w:szCs w:val="32"/>
        </w:rPr>
        <w:t>等所需的公务用车燃料费、维修费、过</w:t>
      </w:r>
      <w:r>
        <w:rPr>
          <w:rFonts w:hint="eastAsia" w:ascii="仿宋_GB2312" w:eastAsia="仿宋_GB2312"/>
          <w:color w:val="000000"/>
          <w:sz w:val="32"/>
          <w:szCs w:val="32"/>
        </w:rPr>
        <w:t>路过桥费、保险费等支出。</w:t>
      </w:r>
    </w:p>
    <w:p>
      <w:pPr>
        <w:keepNext w:val="0"/>
        <w:keepLines w:val="0"/>
        <w:pageBreakBefore w:val="0"/>
        <w:widowControl w:val="0"/>
        <w:kinsoku/>
        <w:wordWrap/>
        <w:overflowPunct/>
        <w:topLinePunct w:val="0"/>
        <w:bidi w:val="0"/>
        <w:spacing w:line="576"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w:t>
      </w:r>
    </w:p>
    <w:p>
      <w:pPr>
        <w:keepNext w:val="0"/>
        <w:keepLines w:val="0"/>
        <w:pageBreakBefore w:val="0"/>
        <w:widowControl w:val="0"/>
        <w:kinsoku/>
        <w:wordWrap/>
        <w:overflowPunct/>
        <w:topLinePunct w:val="0"/>
        <w:bidi w:val="0"/>
        <w:spacing w:line="576" w:lineRule="exact"/>
        <w:ind w:firstLine="64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国内公务接待支出</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w:t>
      </w:r>
    </w:p>
    <w:p>
      <w:pPr>
        <w:keepNext w:val="0"/>
        <w:keepLines w:val="0"/>
        <w:pageBreakBefore w:val="0"/>
        <w:widowControl w:val="0"/>
        <w:kinsoku/>
        <w:wordWrap/>
        <w:overflowPunct/>
        <w:topLinePunct w:val="0"/>
        <w:bidi w:val="0"/>
        <w:spacing w:line="576" w:lineRule="exact"/>
        <w:ind w:firstLine="640"/>
        <w:textAlignment w:val="auto"/>
        <w:outlineLvl w:val="1"/>
        <w:rPr>
          <w:rStyle w:val="25"/>
          <w:rFonts w:ascii="黑体" w:hAnsi="黑体" w:eastAsia="黑体"/>
        </w:rPr>
      </w:pPr>
      <w:bookmarkStart w:id="82" w:name="_Toc15396610"/>
      <w:bookmarkStart w:id="83" w:name="_Toc79163622"/>
      <w:bookmarkStart w:id="84" w:name="_Toc15377218"/>
      <w:bookmarkStart w:id="85" w:name="_Toc79163872"/>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2"/>
      <w:bookmarkEnd w:id="83"/>
      <w:bookmarkEnd w:id="84"/>
      <w:bookmarkEnd w:id="85"/>
    </w:p>
    <w:p>
      <w:pPr>
        <w:keepNext w:val="0"/>
        <w:keepLines w:val="0"/>
        <w:pageBreakBefore w:val="0"/>
        <w:widowControl w:val="0"/>
        <w:kinsoku/>
        <w:wordWrap/>
        <w:overflowPunct/>
        <w:topLinePunct w:val="0"/>
        <w:bidi w:val="0"/>
        <w:spacing w:line="576" w:lineRule="exact"/>
        <w:ind w:firstLine="640"/>
        <w:textAlignment w:val="auto"/>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1031.62</w:t>
      </w:r>
      <w:r>
        <w:rPr>
          <w:rFonts w:hint="eastAsia" w:ascii="仿宋_GB2312" w:eastAsia="仿宋_GB2312"/>
          <w:color w:val="000000"/>
          <w:sz w:val="32"/>
          <w:szCs w:val="32"/>
        </w:rPr>
        <w:t>万元。</w:t>
      </w:r>
    </w:p>
    <w:p>
      <w:pPr>
        <w:keepNext w:val="0"/>
        <w:keepLines w:val="0"/>
        <w:pageBreakBefore w:val="0"/>
        <w:widowControl w:val="0"/>
        <w:numPr>
          <w:ilvl w:val="0"/>
          <w:numId w:val="3"/>
        </w:numPr>
        <w:kinsoku/>
        <w:wordWrap/>
        <w:overflowPunct/>
        <w:topLinePunct w:val="0"/>
        <w:bidi w:val="0"/>
        <w:spacing w:line="576" w:lineRule="exact"/>
        <w:ind w:firstLine="640"/>
        <w:textAlignment w:val="auto"/>
        <w:outlineLvl w:val="1"/>
        <w:rPr>
          <w:rStyle w:val="25"/>
          <w:rFonts w:ascii="黑体" w:hAnsi="黑体" w:eastAsia="黑体"/>
          <w:b w:val="0"/>
        </w:rPr>
      </w:pPr>
      <w:bookmarkStart w:id="86" w:name="_Toc15396611"/>
      <w:bookmarkStart w:id="87" w:name="_Toc15377219"/>
      <w:bookmarkStart w:id="88" w:name="_Toc79163873"/>
      <w:bookmarkStart w:id="89" w:name="_Toc79163623"/>
      <w:r>
        <w:rPr>
          <w:rStyle w:val="25"/>
          <w:rFonts w:hint="eastAsia" w:ascii="黑体" w:hAnsi="黑体" w:eastAsia="黑体"/>
          <w:b w:val="0"/>
        </w:rPr>
        <w:t>国有资本经营预算支出决算情况说明</w:t>
      </w:r>
      <w:bookmarkEnd w:id="86"/>
      <w:bookmarkEnd w:id="87"/>
      <w:bookmarkEnd w:id="88"/>
      <w:bookmarkEnd w:id="89"/>
    </w:p>
    <w:p>
      <w:pPr>
        <w:keepNext w:val="0"/>
        <w:keepLines w:val="0"/>
        <w:pageBreakBefore w:val="0"/>
        <w:widowControl w:val="0"/>
        <w:kinsoku/>
        <w:wordWrap/>
        <w:overflowPunct/>
        <w:topLinePunct w:val="0"/>
        <w:bidi w:val="0"/>
        <w:spacing w:line="576" w:lineRule="exact"/>
        <w:ind w:firstLine="640"/>
        <w:textAlignment w:val="auto"/>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国有资本经营预算拨款支出。</w:t>
      </w:r>
    </w:p>
    <w:p>
      <w:pPr>
        <w:keepNext w:val="0"/>
        <w:keepLines w:val="0"/>
        <w:pageBreakBefore w:val="0"/>
        <w:widowControl w:val="0"/>
        <w:kinsoku/>
        <w:wordWrap/>
        <w:overflowPunct/>
        <w:topLinePunct w:val="0"/>
        <w:bidi w:val="0"/>
        <w:spacing w:line="576" w:lineRule="exact"/>
        <w:ind w:firstLine="800" w:firstLineChars="250"/>
        <w:textAlignment w:val="auto"/>
        <w:outlineLvl w:val="1"/>
        <w:rPr>
          <w:rStyle w:val="25"/>
          <w:rFonts w:ascii="黑体" w:hAnsi="黑体" w:eastAsia="黑体"/>
        </w:rPr>
      </w:pPr>
      <w:bookmarkStart w:id="90" w:name="_Toc15377221"/>
      <w:bookmarkStart w:id="91" w:name="_Toc15396612"/>
      <w:bookmarkStart w:id="92" w:name="_Toc79163874"/>
      <w:bookmarkStart w:id="93" w:name="_Toc79163624"/>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0"/>
      <w:bookmarkEnd w:id="91"/>
      <w:bookmarkEnd w:id="92"/>
      <w:bookmarkEnd w:id="93"/>
    </w:p>
    <w:p>
      <w:pPr>
        <w:keepNext w:val="0"/>
        <w:keepLines w:val="0"/>
        <w:pageBreakBefore w:val="0"/>
        <w:widowControl w:val="0"/>
        <w:kinsoku/>
        <w:wordWrap/>
        <w:overflowPunct/>
        <w:topLinePunct w:val="0"/>
        <w:bidi w:val="0"/>
        <w:spacing w:line="576" w:lineRule="exact"/>
        <w:ind w:firstLine="642" w:firstLineChars="200"/>
        <w:textAlignment w:val="auto"/>
        <w:outlineLvl w:val="2"/>
        <w:rPr>
          <w:rFonts w:hint="eastAsia" w:ascii="楷体" w:hAnsi="楷体" w:eastAsia="楷体" w:cs="楷体"/>
          <w:color w:val="000000"/>
          <w:sz w:val="32"/>
          <w:szCs w:val="32"/>
        </w:rPr>
      </w:pPr>
      <w:bookmarkStart w:id="94" w:name="_Toc79163875"/>
      <w:bookmarkStart w:id="95" w:name="_Toc15377222"/>
      <w:bookmarkStart w:id="96" w:name="_Toc79163625"/>
      <w:r>
        <w:rPr>
          <w:rFonts w:hint="eastAsia" w:ascii="楷体" w:hAnsi="楷体" w:eastAsia="楷体" w:cs="楷体"/>
          <w:b/>
          <w:color w:val="000000"/>
          <w:sz w:val="32"/>
          <w:szCs w:val="32"/>
        </w:rPr>
        <w:t>（一）机关运行经费支出情况</w:t>
      </w:r>
      <w:bookmarkEnd w:id="94"/>
      <w:bookmarkEnd w:id="95"/>
      <w:bookmarkEnd w:id="96"/>
    </w:p>
    <w:p>
      <w:pPr>
        <w:keepNext w:val="0"/>
        <w:keepLines w:val="0"/>
        <w:pageBreakBefore w:val="0"/>
        <w:widowControl w:val="0"/>
        <w:kinsoku/>
        <w:wordWrap/>
        <w:overflowPunct/>
        <w:topLinePunct w:val="0"/>
        <w:bidi w:val="0"/>
        <w:spacing w:line="576" w:lineRule="exact"/>
        <w:ind w:firstLine="640" w:firstLineChars="200"/>
        <w:textAlignment w:val="auto"/>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城市公用事业服务中心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24.11</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7.63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31.65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人员减少。</w:t>
      </w:r>
    </w:p>
    <w:p>
      <w:pPr>
        <w:keepNext w:val="0"/>
        <w:keepLines w:val="0"/>
        <w:pageBreakBefore w:val="0"/>
        <w:widowControl w:val="0"/>
        <w:kinsoku/>
        <w:wordWrap/>
        <w:overflowPunct/>
        <w:topLinePunct w:val="0"/>
        <w:autoSpaceDE w:val="0"/>
        <w:autoSpaceDN w:val="0"/>
        <w:bidi w:val="0"/>
        <w:adjustRightInd w:val="0"/>
        <w:spacing w:line="576" w:lineRule="exact"/>
        <w:ind w:firstLine="642" w:firstLineChars="200"/>
        <w:jc w:val="left"/>
        <w:textAlignment w:val="auto"/>
        <w:outlineLvl w:val="2"/>
        <w:rPr>
          <w:rFonts w:hint="eastAsia" w:ascii="楷体" w:hAnsi="楷体" w:eastAsia="楷体" w:cs="楷体"/>
          <w:b/>
          <w:color w:val="000000"/>
          <w:sz w:val="32"/>
          <w:szCs w:val="32"/>
        </w:rPr>
      </w:pPr>
      <w:bookmarkStart w:id="97" w:name="_Toc79163876"/>
      <w:bookmarkStart w:id="98" w:name="_Toc15377223"/>
      <w:bookmarkStart w:id="99" w:name="_Toc79163626"/>
      <w:r>
        <w:rPr>
          <w:rFonts w:hint="eastAsia" w:ascii="楷体" w:hAnsi="楷体" w:eastAsia="楷体" w:cs="楷体"/>
          <w:b/>
          <w:color w:val="000000"/>
          <w:sz w:val="32"/>
          <w:szCs w:val="32"/>
        </w:rPr>
        <w:t>（二）政府采购支出情况</w:t>
      </w:r>
      <w:bookmarkEnd w:id="97"/>
      <w:bookmarkEnd w:id="98"/>
      <w:bookmarkEnd w:id="99"/>
    </w:p>
    <w:p>
      <w:pPr>
        <w:keepNext w:val="0"/>
        <w:keepLines w:val="0"/>
        <w:pageBreakBefore w:val="0"/>
        <w:widowControl w:val="0"/>
        <w:kinsoku/>
        <w:wordWrap/>
        <w:overflowPunct/>
        <w:topLinePunct w:val="0"/>
        <w:bidi w:val="0"/>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城市公用事业服务中心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661.99</w:t>
      </w:r>
      <w:r>
        <w:rPr>
          <w:rFonts w:hint="eastAsia" w:ascii="仿宋_GB2312" w:eastAsia="仿宋_GB2312"/>
          <w:color w:val="000000"/>
          <w:sz w:val="32"/>
          <w:szCs w:val="32"/>
        </w:rPr>
        <w:t>万元，其中：政府采购服务支出</w:t>
      </w:r>
      <w:r>
        <w:rPr>
          <w:rFonts w:hint="eastAsia" w:ascii="仿宋_GB2312" w:eastAsia="仿宋_GB2312"/>
          <w:color w:val="000000"/>
          <w:sz w:val="32"/>
          <w:szCs w:val="32"/>
          <w:lang w:val="en-US" w:eastAsia="zh-CN"/>
        </w:rPr>
        <w:t>661.99</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城市绿化管护、城市清扫保洁工作</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val="0"/>
        <w:autoSpaceDN w:val="0"/>
        <w:bidi w:val="0"/>
        <w:adjustRightInd w:val="0"/>
        <w:spacing w:line="576" w:lineRule="exact"/>
        <w:ind w:firstLine="642" w:firstLineChars="200"/>
        <w:jc w:val="left"/>
        <w:textAlignment w:val="auto"/>
        <w:outlineLvl w:val="2"/>
        <w:rPr>
          <w:rFonts w:hint="eastAsia" w:ascii="楷体" w:hAnsi="楷体" w:eastAsia="楷体" w:cs="楷体"/>
          <w:b/>
          <w:color w:val="000000"/>
          <w:sz w:val="32"/>
          <w:szCs w:val="32"/>
        </w:rPr>
      </w:pPr>
      <w:bookmarkStart w:id="100" w:name="_Toc79163627"/>
      <w:bookmarkStart w:id="101" w:name="_Toc79163877"/>
      <w:bookmarkStart w:id="102" w:name="_Toc15377224"/>
      <w:r>
        <w:rPr>
          <w:rFonts w:hint="eastAsia" w:ascii="楷体" w:hAnsi="楷体" w:eastAsia="楷体" w:cs="楷体"/>
          <w:b/>
          <w:color w:val="000000"/>
          <w:sz w:val="32"/>
          <w:szCs w:val="32"/>
        </w:rPr>
        <w:t>（三）国有资产占有使用情况</w:t>
      </w:r>
      <w:bookmarkEnd w:id="100"/>
      <w:bookmarkEnd w:id="101"/>
      <w:bookmarkEnd w:id="102"/>
    </w:p>
    <w:p>
      <w:pPr>
        <w:keepNext w:val="0"/>
        <w:keepLines w:val="0"/>
        <w:pageBreakBefore w:val="0"/>
        <w:widowControl w:val="0"/>
        <w:kinsoku/>
        <w:wordWrap/>
        <w:overflowPunct/>
        <w:topLinePunct w:val="0"/>
        <w:autoSpaceDE w:val="0"/>
        <w:autoSpaceDN w:val="0"/>
        <w:bidi w:val="0"/>
        <w:adjustRightInd w:val="0"/>
        <w:spacing w:line="576"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城市公用事业服务中心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辆，其中：</w:t>
      </w:r>
      <w:r>
        <w:rPr>
          <w:rFonts w:hint="eastAsia" w:ascii="仿宋_GB2312" w:eastAsia="仿宋_GB2312"/>
          <w:color w:val="000000"/>
          <w:sz w:val="32"/>
          <w:szCs w:val="32"/>
          <w:lang w:eastAsia="zh-CN"/>
        </w:rPr>
        <w:t>应急保障用车</w:t>
      </w:r>
      <w:r>
        <w:rPr>
          <w:rFonts w:hint="eastAsia" w:ascii="仿宋_GB2312" w:eastAsia="仿宋_GB2312"/>
          <w:color w:val="000000"/>
          <w:sz w:val="32"/>
          <w:szCs w:val="32"/>
          <w:lang w:val="en-US" w:eastAsia="zh-CN"/>
        </w:rPr>
        <w:t>28辆</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val="0"/>
        <w:autoSpaceDN w:val="0"/>
        <w:bidi w:val="0"/>
        <w:adjustRightInd w:val="0"/>
        <w:spacing w:line="576" w:lineRule="exact"/>
        <w:ind w:firstLine="642" w:firstLineChars="200"/>
        <w:jc w:val="left"/>
        <w:textAlignment w:val="auto"/>
        <w:outlineLvl w:val="2"/>
        <w:rPr>
          <w:rFonts w:hint="eastAsia" w:ascii="楷体" w:hAnsi="楷体" w:eastAsia="楷体" w:cs="楷体"/>
          <w:b/>
          <w:color w:val="000000"/>
          <w:sz w:val="32"/>
          <w:szCs w:val="32"/>
        </w:rPr>
      </w:pPr>
      <w:bookmarkStart w:id="103" w:name="_Toc79163878"/>
      <w:bookmarkStart w:id="104" w:name="_Toc79163628"/>
      <w:r>
        <w:rPr>
          <w:rFonts w:hint="eastAsia" w:ascii="楷体" w:hAnsi="楷体" w:eastAsia="楷体" w:cs="楷体"/>
          <w:b/>
          <w:color w:val="000000"/>
          <w:sz w:val="32"/>
          <w:szCs w:val="32"/>
        </w:rPr>
        <w:t>（四）预算绩效管理情况</w:t>
      </w:r>
      <w:bookmarkEnd w:id="103"/>
      <w:bookmarkEnd w:id="10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个项目开展了绩效目标完成情况梳理填报。</w:t>
      </w:r>
    </w:p>
    <w:p>
      <w:pPr>
        <w:keepNext w:val="0"/>
        <w:keepLines w:val="0"/>
        <w:pageBreakBefore w:val="0"/>
        <w:widowControl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年部门整体支出开展绩效自评，从评价情况来看</w:t>
      </w:r>
      <w:r>
        <w:rPr>
          <w:rFonts w:hint="eastAsia" w:ascii="仿宋_GB2312" w:eastAsia="仿宋_GB2312"/>
          <w:sz w:val="32"/>
          <w:szCs w:val="32"/>
        </w:rPr>
        <w:t>部门整体资金的绩效目标达到了预期效果，成本控制达到了预期目标，使各部门正常运转，发挥好城市管理局的作用，搞好全城的绿化养护及栽植、全城的环境卫生清扫、市政设施维修维护等工作，为全县老百姓提供了一个舒适优美的环境，为我县下一步创建全域旅游城市打下了基础，今后要加大管理力度，提高工作效率，合理安排人员和资金</w:t>
      </w:r>
      <w:r>
        <w:rPr>
          <w:rFonts w:hint="eastAsia" w:ascii="仿宋_GB2312" w:eastAsia="仿宋_GB2312"/>
          <w:sz w:val="32"/>
          <w:szCs w:val="32"/>
          <w:lang w:eastAsia="zh-CN"/>
        </w:rPr>
        <w:t>。</w:t>
      </w:r>
    </w:p>
    <w:p>
      <w:pPr>
        <w:keepNext w:val="0"/>
        <w:keepLines w:val="0"/>
        <w:pageBreakBefore w:val="0"/>
        <w:widowControl w:val="0"/>
        <w:kinsoku/>
        <w:wordWrap/>
        <w:overflowPunct/>
        <w:topLinePunct w:val="0"/>
        <w:bidi w:val="0"/>
        <w:spacing w:line="576" w:lineRule="exact"/>
        <w:ind w:firstLine="642" w:firstLineChars="200"/>
        <w:textAlignment w:val="auto"/>
        <w:outlineLvl w:val="1"/>
        <w:rPr>
          <w:rStyle w:val="25"/>
          <w:rFonts w:ascii="仿宋_GB2312" w:hAnsi="黑体" w:eastAsia="仿宋_GB2312"/>
          <w:b w:val="0"/>
          <w:bCs w:val="0"/>
        </w:rPr>
      </w:pPr>
      <w:r>
        <w:rPr>
          <w:rFonts w:hint="eastAsia" w:ascii="楷体" w:hAnsi="楷体" w:eastAsia="楷体" w:cs="楷体_GB2312"/>
          <w:b/>
          <w:bCs/>
          <w:sz w:val="32"/>
          <w:szCs w:val="32"/>
          <w:lang w:eastAsia="zh-CN"/>
        </w:rPr>
        <w:t>（五）</w:t>
      </w:r>
      <w:r>
        <w:rPr>
          <w:rFonts w:hint="eastAsia" w:ascii="楷体" w:hAnsi="楷体" w:eastAsia="楷体" w:cs="楷体_GB2312"/>
          <w:b/>
          <w:bCs/>
          <w:sz w:val="32"/>
          <w:szCs w:val="32"/>
        </w:rPr>
        <w:t>项目绩效目标完成情况</w:t>
      </w:r>
    </w:p>
    <w:p>
      <w:pPr>
        <w:keepNext w:val="0"/>
        <w:keepLines w:val="0"/>
        <w:pageBreakBefore w:val="0"/>
        <w:widowControl w:val="0"/>
        <w:kinsoku/>
        <w:wordWrap/>
        <w:overflowPunct/>
        <w:topLinePunct w:val="0"/>
        <w:bidi w:val="0"/>
        <w:spacing w:line="576" w:lineRule="exact"/>
        <w:ind w:firstLine="640" w:firstLineChars="200"/>
        <w:textAlignment w:val="auto"/>
        <w:outlineLvl w:val="1"/>
        <w:rPr>
          <w:rFonts w:ascii="仿宋_GB2312" w:hAnsi="黑体" w:eastAsia="仿宋_GB2312" w:cstheme="majorBidi"/>
          <w:color w:val="auto"/>
          <w:sz w:val="32"/>
          <w:szCs w:val="32"/>
        </w:rPr>
      </w:pPr>
      <w:r>
        <w:rPr>
          <w:rFonts w:hint="eastAsia" w:ascii="仿宋_GB2312" w:hAnsi="仿宋_GB2312" w:eastAsia="仿宋_GB2312" w:cs="仿宋_GB2312"/>
          <w:color w:val="auto"/>
          <w:sz w:val="32"/>
          <w:szCs w:val="32"/>
        </w:rPr>
        <w:t>本部门在</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年度部门决算中反映“</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年度国家重点生态功能区转移支付资金（20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年污水处理厂运行维护费）”</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茂县城区绿化管护项目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“茂县城区环卫清扫保洁服务项目”“生活及餐厨垃圾处理费”“8.16岷江河堤修复项目”5</w:t>
      </w:r>
      <w:r>
        <w:rPr>
          <w:rFonts w:hint="eastAsia" w:ascii="仿宋_GB2312" w:hAnsi="仿宋_GB2312" w:eastAsia="仿宋_GB2312" w:cs="仿宋_GB2312"/>
          <w:color w:val="auto"/>
          <w:sz w:val="32"/>
          <w:szCs w:val="32"/>
        </w:rPr>
        <w:t>个项目绩效目标实际完成情况。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1.2020</w:t>
      </w:r>
      <w:r>
        <w:rPr>
          <w:rFonts w:hint="eastAsia" w:ascii="仿宋_GB2312" w:hAnsi="仿宋_GB2312" w:eastAsia="仿宋_GB2312" w:cs="仿宋_GB2312"/>
          <w:color w:val="auto"/>
          <w:sz w:val="32"/>
          <w:szCs w:val="32"/>
        </w:rPr>
        <w:t>年度国家重点生态功能区转移支付资金（</w:t>
      </w:r>
      <w:r>
        <w:rPr>
          <w:rFonts w:hint="eastAsia" w:ascii="仿宋_GB2312" w:hAnsi="仿宋_GB2312" w:eastAsia="仿宋_GB2312" w:cs="仿宋_GB2312"/>
          <w:sz w:val="32"/>
          <w:szCs w:val="32"/>
          <w:lang w:val="zh-CN"/>
        </w:rPr>
        <w:t>茂县</w:t>
      </w:r>
      <w:r>
        <w:rPr>
          <w:rFonts w:hint="eastAsia" w:ascii="仿宋_GB2312" w:hAnsi="仿宋_GB2312" w:eastAsia="仿宋_GB2312" w:cs="仿宋_GB2312"/>
          <w:sz w:val="32"/>
          <w:szCs w:val="32"/>
          <w:lang w:val="en-US" w:eastAsia="zh-CN"/>
        </w:rPr>
        <w:t>2020年污水处理服务项目</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 xml:space="preserve"> 400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资金</w:t>
      </w:r>
      <w:r>
        <w:rPr>
          <w:rFonts w:hint="eastAsia" w:ascii="仿宋_GB2312" w:hAnsi="仿宋_GB2312" w:eastAsia="仿宋_GB2312" w:cs="仿宋_GB2312"/>
          <w:color w:val="auto"/>
          <w:sz w:val="32"/>
          <w:szCs w:val="32"/>
        </w:rPr>
        <w:t>执行数为</w:t>
      </w:r>
      <w:r>
        <w:rPr>
          <w:rFonts w:hint="eastAsia" w:ascii="仿宋_GB2312" w:hAnsi="仿宋_GB2312" w:eastAsia="仿宋_GB2312" w:cs="仿宋_GB2312"/>
          <w:color w:val="auto"/>
          <w:sz w:val="32"/>
          <w:szCs w:val="32"/>
          <w:lang w:val="en-US" w:eastAsia="zh-CN"/>
        </w:rPr>
        <w:t>241.47</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60.37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，剩余的</w:t>
      </w:r>
      <w:r>
        <w:rPr>
          <w:rFonts w:hint="eastAsia" w:ascii="仿宋_GB2312" w:hAnsi="仿宋_GB2312" w:eastAsia="仿宋_GB2312" w:cs="仿宋_GB2312"/>
          <w:color w:val="auto"/>
          <w:sz w:val="32"/>
          <w:szCs w:val="32"/>
          <w:lang w:val="en-US" w:eastAsia="zh-CN"/>
        </w:rPr>
        <w:t>39.63%在第二年的第一季度支付</w:t>
      </w:r>
      <w:r>
        <w:rPr>
          <w:rFonts w:hint="eastAsia" w:ascii="仿宋_GB2312" w:hAnsi="仿宋_GB2312" w:eastAsia="仿宋_GB2312" w:cs="仿宋_GB2312"/>
          <w:color w:val="auto"/>
          <w:sz w:val="32"/>
          <w:szCs w:val="32"/>
        </w:rPr>
        <w:t>。通过项目实</w:t>
      </w:r>
      <w:r>
        <w:rPr>
          <w:rFonts w:hint="eastAsia" w:ascii="仿宋_GB2312" w:hAnsi="仿宋_GB2312" w:eastAsia="仿宋_GB2312" w:cs="仿宋_GB2312"/>
          <w:color w:val="auto"/>
          <w:sz w:val="32"/>
          <w:szCs w:val="32"/>
          <w:lang w:val="en-US" w:eastAsia="zh-CN"/>
        </w:rPr>
        <w:t>施，2020</w:t>
      </w:r>
      <w:r>
        <w:rPr>
          <w:rFonts w:hint="eastAsia" w:ascii="仿宋_GB2312" w:hAnsi="仿宋_GB2312" w:eastAsia="仿宋_GB2312" w:cs="仿宋_GB2312"/>
          <w:color w:val="auto"/>
          <w:sz w:val="32"/>
          <w:szCs w:val="32"/>
        </w:rPr>
        <w:t>年我厂全年共处理污水：</w:t>
      </w:r>
      <w:r>
        <w:rPr>
          <w:rFonts w:hint="eastAsia" w:ascii="仿宋_GB2312" w:hAnsi="仿宋_GB2312" w:eastAsia="仿宋_GB2312" w:cs="仿宋_GB2312"/>
          <w:color w:val="auto"/>
          <w:sz w:val="32"/>
          <w:szCs w:val="32"/>
          <w:lang w:val="en-US" w:eastAsia="zh-CN"/>
        </w:rPr>
        <w:t>117.44</w:t>
      </w:r>
      <w:r>
        <w:rPr>
          <w:rFonts w:hint="eastAsia" w:ascii="仿宋_GB2312" w:hAnsi="仿宋_GB2312" w:eastAsia="仿宋_GB2312" w:cs="仿宋_GB2312"/>
          <w:color w:val="auto"/>
          <w:sz w:val="32"/>
          <w:szCs w:val="32"/>
        </w:rPr>
        <w:t>万吨，COD削减</w:t>
      </w:r>
      <w:r>
        <w:rPr>
          <w:rFonts w:hint="eastAsia" w:ascii="仿宋_GB2312" w:hAnsi="仿宋_GB2312" w:eastAsia="仿宋_GB2312" w:cs="仿宋_GB2312"/>
          <w:color w:val="auto"/>
          <w:sz w:val="32"/>
          <w:szCs w:val="32"/>
          <w:lang w:val="en-US" w:eastAsia="zh-CN"/>
        </w:rPr>
        <w:t>206.69</w:t>
      </w:r>
      <w:r>
        <w:rPr>
          <w:rFonts w:hint="eastAsia" w:ascii="仿宋_GB2312" w:hAnsi="仿宋_GB2312" w:eastAsia="仿宋_GB2312" w:cs="仿宋_GB2312"/>
          <w:color w:val="auto"/>
          <w:sz w:val="32"/>
          <w:szCs w:val="32"/>
        </w:rPr>
        <w:t>吨，氨氮削减量：</w:t>
      </w:r>
      <w:r>
        <w:rPr>
          <w:rFonts w:hint="eastAsia" w:ascii="仿宋_GB2312" w:hAnsi="仿宋_GB2312" w:eastAsia="仿宋_GB2312" w:cs="仿宋_GB2312"/>
          <w:color w:val="auto"/>
          <w:sz w:val="32"/>
          <w:szCs w:val="32"/>
          <w:lang w:val="en-US" w:eastAsia="zh-CN"/>
        </w:rPr>
        <w:t>18.69</w:t>
      </w:r>
      <w:r>
        <w:rPr>
          <w:rFonts w:hint="eastAsia" w:ascii="仿宋_GB2312" w:hAnsi="仿宋_GB2312" w:eastAsia="仿宋_GB2312" w:cs="仿宋_GB2312"/>
          <w:color w:val="auto"/>
          <w:sz w:val="32"/>
          <w:szCs w:val="32"/>
        </w:rPr>
        <w:t>吨；我厂设计排放标准：《城镇污水处理厂污染物排放标准》（GB18918-2002)一级B标，实际执行《城镇污水处理厂污染物排放标准（GB18918-2002)一级A标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为了确保污水全收集全处理，污水处理厂采取3班倒24小时值班制不间断处理。聘请邛崃中机建公司进行技术指导服务，聘请成都雅奕丰有限公司进行在线监测设备维护服务，聘请成都中测凯乐有限公司进行每月水质监测服务，有效确保了污水处理各项数据指标安全达标。茂县污水处理厂自运行以来，始终坚持以安全生产为基础，采用科学化的管理手段，积极做好生产工艺和生产设备的监控，严格执行设备维修保养制度，保证污水处理厂安全、持续、稳步运行。</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茂县城区绿化管护</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274.52</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274.52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 100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通过项目实施完成了茂县城区所有园林绿化景观带养护，养护总面积</w:t>
      </w:r>
      <w:r>
        <w:rPr>
          <w:rFonts w:hint="eastAsia" w:ascii="仿宋_GB2312" w:hAnsi="仿宋_GB2312" w:eastAsia="仿宋_GB2312" w:cs="仿宋_GB2312"/>
          <w:color w:val="auto"/>
          <w:sz w:val="32"/>
          <w:szCs w:val="32"/>
          <w:lang w:val="en-US" w:eastAsia="zh-CN"/>
        </w:rPr>
        <w:t>1176.75亩以及5113株行道树，管护内容：去除枯死植株、树木扶正、病虫害防治和监测、浇灌排水、土壤施肥、中耕除草、植物（树木、绿篱、草坪等）修剪、游步道、休闲椅、果屑箱、厕所、栈道、休闲亭、水景观、健身器材等市政设施的保洁、绿化带保洁、垃圾收集，使全县城区绿化管护得到改善，并充分有效的提高了城区绿化效果，给全县市民提供一个优美的生活环境。</w:t>
      </w:r>
    </w:p>
    <w:p>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textAlignment w:val="auto"/>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“8•16”岷江城区河堤护栏修复项目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因2020年度我县突发暴雨，造成水位上涨严重，将原有护栏冲断，为切实保障过往人员生命安全，</w:t>
      </w:r>
      <w:r>
        <w:rPr>
          <w:rFonts w:hint="eastAsia" w:ascii="仿宋_GB2312" w:hAnsi="仿宋_GB2312" w:eastAsia="仿宋_GB2312" w:cs="仿宋_GB2312"/>
          <w:sz w:val="32"/>
          <w:szCs w:val="32"/>
        </w:rPr>
        <w:t>我中心负责实施“8•16”岷江城区河堤护栏修复项目落实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项目资金为特别抗疫国债资金130万元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项目主要依据《</w:t>
      </w:r>
      <w:r>
        <w:rPr>
          <w:rFonts w:hint="eastAsia" w:ascii="仿宋_GB2312" w:hAnsi="仿宋_GB2312" w:eastAsia="仿宋_GB2312" w:cs="仿宋_GB2312"/>
          <w:sz w:val="32"/>
          <w:szCs w:val="32"/>
          <w:lang w:val="en-US" w:eastAsia="zh-CN"/>
        </w:rPr>
        <w:t>茂县发展和改革局关于“8·16”岷江城区河提护栏修复项目实施方案的批复（茂发改行审【2020】129号）》及《四川省人民政府办公厅关于印发四川省抢险救灾工程项目管理办法的通知》（川办发〔2020〕37号）。</w:t>
      </w:r>
    </w:p>
    <w:p>
      <w:pPr>
        <w:keepNext w:val="0"/>
        <w:keepLines w:val="0"/>
        <w:pageBreakBefore w:val="0"/>
        <w:widowControl w:val="0"/>
        <w:numPr>
          <w:ilvl w:val="0"/>
          <w:numId w:val="0"/>
        </w:numPr>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茂县城区环卫清扫保洁服务</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334.92</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334.92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color w:val="auto"/>
          <w:sz w:val="32"/>
          <w:szCs w:val="32"/>
          <w:lang w:val="en-US" w:eastAsia="zh-CN"/>
        </w:rPr>
        <w:t>完成茂县城区1、茂县县城公共区域环卫清扫保洁，包含已建成的市政道路、人行道、公共广场、垃圾中转站、雨篦子、公共围栏、道路边沟、边坡、桥梁、涵洞、果皮箱、垃圾桶、垃圾转运箱等市政公共设施的环境卫生管理和清扫保洁，清扫区域面积约65万平方米。2、公厕管护，县城区8座公共厕所日常运行保洁管理和维修维护。全县城区环境卫生得到明显改善，并充分有效的提高了城区环境卫生，为全县市民提供了一个舒适整洁的生活环境。</w:t>
      </w:r>
    </w:p>
    <w:p>
      <w:pPr>
        <w:pStyle w:val="40"/>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5.生活及餐厨垃圾处理项目。</w:t>
      </w:r>
      <w:r>
        <w:rPr>
          <w:rFonts w:hint="eastAsia" w:ascii="仿宋_GB2312" w:hAnsi="仿宋_GB2312" w:eastAsia="仿宋_GB2312" w:cs="仿宋_GB2312"/>
          <w:color w:val="auto"/>
          <w:sz w:val="32"/>
          <w:szCs w:val="32"/>
        </w:rPr>
        <w:t>项目全年预算数</w:t>
      </w:r>
      <w:r>
        <w:rPr>
          <w:rFonts w:hint="eastAsia" w:ascii="仿宋_GB2312" w:hAnsi="仿宋_GB2312" w:eastAsia="仿宋_GB2312" w:cs="仿宋_GB2312"/>
          <w:color w:val="auto"/>
          <w:sz w:val="32"/>
          <w:szCs w:val="32"/>
          <w:lang w:val="en-US" w:eastAsia="zh-CN"/>
        </w:rPr>
        <w:t xml:space="preserve"> 641.52</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 xml:space="preserve"> 641.52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100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项目采用生物处理技术实现茂县城市生活垃圾的“无害化、资源化、减量化”</w:t>
      </w:r>
      <w:r>
        <w:rPr>
          <w:rFonts w:hint="eastAsia" w:ascii="仿宋_GB2312" w:hAnsi="仿宋_GB2312" w:eastAsia="仿宋_GB2312" w:cs="仿宋_GB2312"/>
          <w:sz w:val="32"/>
          <w:szCs w:val="32"/>
          <w:lang w:eastAsia="zh-CN"/>
        </w:rPr>
        <w:t>，全年生活垃圾及餐厨垃圾处理量</w:t>
      </w:r>
      <w:r>
        <w:rPr>
          <w:rFonts w:hint="eastAsia" w:ascii="仿宋_GB2312" w:hAnsi="仿宋_GB2312" w:eastAsia="仿宋_GB2312" w:cs="仿宋_GB2312"/>
          <w:sz w:val="32"/>
          <w:szCs w:val="32"/>
        </w:rPr>
        <w:t>41627.523吨。</w:t>
      </w:r>
    </w:p>
    <w:p>
      <w:pPr>
        <w:pStyle w:val="40"/>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生态良性循环方式将污染物转化成为有益的资源制成商品，回归大自然，造福人民，污染物不复存在。从根本上消除污染源，是保护环境的治本之策。开发研究成功，“3F生活垃圾资源化综合利用工艺技术及成套装备”，属于国家重点科技攻关成果。该成果对生活垃圾进行资源化综合利用，资源化减容量高达95%以上，最大化地发挥了生活垃圾的资源作用，做到了物尽其用、充分消纳。经济效益和社会效益并重</w:t>
      </w:r>
      <w:r>
        <w:rPr>
          <w:rFonts w:hint="eastAsia" w:ascii="仿宋_GB2312" w:hAnsi="仿宋_GB2312" w:eastAsia="仿宋_GB2312" w:cs="仿宋_GB2312"/>
          <w:sz w:val="32"/>
          <w:szCs w:val="32"/>
          <w:lang w:eastAsia="zh-CN"/>
        </w:rPr>
        <w:t>。</w:t>
      </w: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742"/>
        <w:gridCol w:w="283"/>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lang w:eastAsia="zh-CN"/>
              </w:rPr>
            </w:pPr>
            <w:r>
              <w:rPr>
                <w:rFonts w:hint="eastAsia" w:ascii="楷体" w:hAnsi="楷体" w:eastAsia="楷体" w:cs="楷体"/>
                <w:b/>
                <w:bCs/>
                <w:color w:val="000000"/>
                <w:kern w:val="0"/>
                <w:sz w:val="32"/>
                <w:szCs w:val="32"/>
              </w:rPr>
              <w:t>项目绩效目标完成情况表</w:t>
            </w:r>
          </w:p>
          <w:p>
            <w:pPr>
              <w:widowControl/>
              <w:jc w:val="center"/>
              <w:textAlignment w:val="center"/>
              <w:rPr>
                <w:rFonts w:ascii="宋体" w:hAnsi="宋体" w:cs="宋体"/>
                <w:color w:val="000000"/>
                <w:sz w:val="21"/>
                <w:szCs w:val="21"/>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2020</w:t>
            </w:r>
            <w:r>
              <w:rPr>
                <w:rFonts w:hint="eastAsia" w:ascii="仿宋_GB2312" w:hAnsi="仿宋_GB2312" w:eastAsia="仿宋_GB2312" w:cs="仿宋_GB2312"/>
                <w:color w:val="000000"/>
                <w:kern w:val="0"/>
                <w:sz w:val="32"/>
                <w:szCs w:val="32"/>
              </w:rPr>
              <w:t xml:space="preserve"> 年度)</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宋体"/>
                <w:szCs w:val="32"/>
                <w:lang w:val="en-US" w:eastAsia="zh-CN"/>
              </w:rPr>
            </w:pPr>
            <w:r>
              <w:rPr>
                <w:rFonts w:hint="eastAsia" w:ascii="仿宋_GB2312" w:hAnsi="仿宋_GB2312" w:eastAsia="仿宋_GB2312" w:cs="仿宋_GB2312"/>
                <w:sz w:val="21"/>
                <w:szCs w:val="21"/>
                <w:lang w:val="en-US" w:eastAsia="zh-CN"/>
              </w:rPr>
              <w:t>2020</w:t>
            </w:r>
            <w:r>
              <w:rPr>
                <w:rFonts w:hint="eastAsia" w:ascii="仿宋_GB2312" w:hAnsi="仿宋_GB2312" w:eastAsia="仿宋_GB2312" w:cs="仿宋_GB2312"/>
                <w:sz w:val="21"/>
                <w:szCs w:val="21"/>
              </w:rPr>
              <w:t>年度国家重点生态功能区转移支付资金（</w:t>
            </w:r>
            <w:r>
              <w:rPr>
                <w:rFonts w:hint="eastAsia" w:ascii="仿宋_GB2312" w:hAnsi="宋体"/>
                <w:szCs w:val="32"/>
                <w:lang w:val="zh-CN"/>
              </w:rPr>
              <w:t>茂县</w:t>
            </w:r>
            <w:r>
              <w:rPr>
                <w:rFonts w:hint="eastAsia" w:ascii="仿宋_GB2312" w:hAnsi="宋体"/>
                <w:szCs w:val="32"/>
                <w:lang w:val="en-US" w:eastAsia="zh-CN"/>
              </w:rPr>
              <w:t>2020年污水处理服务项目</w:t>
            </w:r>
          </w:p>
          <w:p>
            <w:pPr>
              <w:widowControl/>
              <w:jc w:val="center"/>
              <w:textAlignment w:val="center"/>
              <w:rPr>
                <w:rFonts w:ascii="宋体" w:hAnsi="宋体" w:cs="宋体"/>
                <w:color w:val="000000"/>
                <w:sz w:val="21"/>
                <w:szCs w:val="21"/>
              </w:rPr>
            </w:pPr>
            <w:r>
              <w:rPr>
                <w:rFonts w:hint="eastAsia" w:ascii="仿宋_GB2312" w:hAnsi="仿宋_GB2312" w:eastAsia="仿宋_GB2312" w:cs="仿宋_GB2312"/>
                <w:sz w:val="21"/>
                <w:szCs w:val="21"/>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仿宋_GB2312" w:hAnsi="宋体" w:eastAsia="仿宋_GB2312" w:cs="宋体"/>
                <w:color w:val="000000"/>
                <w:sz w:val="21"/>
                <w:szCs w:val="21"/>
                <w:lang w:eastAsia="zh-CN"/>
              </w:rPr>
              <w:t>城市公用事业服务中心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预算执行情况(万元)</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241.47</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1"/>
                <w:szCs w:val="21"/>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1"/>
                <w:szCs w:val="21"/>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1"/>
                <w:szCs w:val="21"/>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实际完成目标</w:t>
            </w:r>
          </w:p>
        </w:tc>
      </w:tr>
      <w:tr>
        <w:tblPrEx>
          <w:tblCellMar>
            <w:top w:w="0" w:type="dxa"/>
            <w:left w:w="0" w:type="dxa"/>
            <w:bottom w:w="0" w:type="dxa"/>
            <w:right w:w="0" w:type="dxa"/>
          </w:tblCellMar>
        </w:tblPrEx>
        <w:trPr>
          <w:trHeight w:val="9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1"/>
                <w:szCs w:val="21"/>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36" w:lineRule="exact"/>
              <w:ind w:firstLine="525" w:firstLineChars="25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茂</w:t>
            </w:r>
            <w:r>
              <w:rPr>
                <w:rFonts w:hint="eastAsia" w:ascii="仿宋_GB2312" w:hAnsi="仿宋_GB2312" w:eastAsia="仿宋_GB2312" w:cs="仿宋_GB2312"/>
                <w:sz w:val="21"/>
                <w:szCs w:val="21"/>
              </w:rPr>
              <w:t>县污水处理厂的运行有效减少了COD（化学需氧量）、NH3(氨氮)等主要污染物排放总量，改善了全县水域环境质量，促进了全县经济社会可持续发展。2</w:t>
            </w:r>
            <w:r>
              <w:rPr>
                <w:rFonts w:hint="eastAsia" w:ascii="仿宋_GB2312" w:hAnsi="仿宋_GB2312" w:eastAsia="仿宋_GB2312" w:cs="仿宋_GB2312"/>
                <w:sz w:val="21"/>
                <w:szCs w:val="21"/>
                <w:lang w:val="en-US" w:eastAsia="zh-CN"/>
              </w:rPr>
              <w:t>020</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eastAsia="zh-CN"/>
              </w:rPr>
              <w:t>污水处理厂</w:t>
            </w:r>
            <w:r>
              <w:rPr>
                <w:rFonts w:hint="eastAsia" w:ascii="仿宋_GB2312" w:hAnsi="仿宋_GB2312" w:eastAsia="仿宋_GB2312" w:cs="仿宋_GB2312"/>
                <w:sz w:val="21"/>
                <w:szCs w:val="21"/>
              </w:rPr>
              <w:t>全年共处理污水：</w:t>
            </w:r>
            <w:r>
              <w:rPr>
                <w:rFonts w:hint="eastAsia" w:ascii="仿宋_GB2312" w:hAnsi="仿宋_GB2312" w:eastAsia="仿宋_GB2312" w:cs="仿宋_GB2312"/>
                <w:sz w:val="21"/>
                <w:szCs w:val="21"/>
                <w:lang w:val="en-US" w:eastAsia="zh-CN"/>
              </w:rPr>
              <w:t>117.44</w:t>
            </w:r>
            <w:r>
              <w:rPr>
                <w:rFonts w:hint="eastAsia" w:ascii="仿宋_GB2312" w:hAnsi="仿宋_GB2312" w:eastAsia="仿宋_GB2312" w:cs="仿宋_GB2312"/>
                <w:sz w:val="21"/>
                <w:szCs w:val="21"/>
              </w:rPr>
              <w:t>万吨，COD削减</w:t>
            </w:r>
            <w:r>
              <w:rPr>
                <w:rFonts w:hint="eastAsia" w:ascii="仿宋_GB2312" w:hAnsi="仿宋_GB2312" w:eastAsia="仿宋_GB2312" w:cs="仿宋_GB2312"/>
                <w:sz w:val="21"/>
                <w:szCs w:val="21"/>
                <w:lang w:val="en-US" w:eastAsia="zh-CN"/>
              </w:rPr>
              <w:t>206.69</w:t>
            </w:r>
            <w:r>
              <w:rPr>
                <w:rFonts w:hint="eastAsia" w:ascii="仿宋_GB2312" w:hAnsi="仿宋_GB2312" w:eastAsia="仿宋_GB2312" w:cs="仿宋_GB2312"/>
                <w:sz w:val="21"/>
                <w:szCs w:val="21"/>
              </w:rPr>
              <w:t>吨，氨氮削减量：</w:t>
            </w:r>
            <w:r>
              <w:rPr>
                <w:rFonts w:hint="eastAsia" w:ascii="仿宋_GB2312" w:hAnsi="仿宋_GB2312" w:eastAsia="仿宋_GB2312" w:cs="仿宋_GB2312"/>
                <w:sz w:val="21"/>
                <w:szCs w:val="21"/>
                <w:lang w:val="en-US" w:eastAsia="zh-CN"/>
              </w:rPr>
              <w:t>18.69</w:t>
            </w:r>
            <w:r>
              <w:rPr>
                <w:rFonts w:hint="eastAsia" w:ascii="仿宋_GB2312" w:hAnsi="仿宋_GB2312" w:eastAsia="仿宋_GB2312" w:cs="仿宋_GB2312"/>
                <w:sz w:val="21"/>
                <w:szCs w:val="21"/>
              </w:rPr>
              <w:t>吨；</w:t>
            </w:r>
            <w:r>
              <w:rPr>
                <w:rFonts w:hint="eastAsia" w:ascii="仿宋_GB2312" w:hAnsi="仿宋_GB2312" w:eastAsia="仿宋_GB2312" w:cs="仿宋_GB2312"/>
                <w:sz w:val="21"/>
                <w:szCs w:val="21"/>
                <w:lang w:eastAsia="zh-CN"/>
              </w:rPr>
              <w:t>污水处理</w:t>
            </w:r>
            <w:r>
              <w:rPr>
                <w:rFonts w:hint="eastAsia" w:ascii="仿宋_GB2312" w:hAnsi="仿宋_GB2312" w:eastAsia="仿宋_GB2312" w:cs="仿宋_GB2312"/>
                <w:sz w:val="21"/>
                <w:szCs w:val="21"/>
              </w:rPr>
              <w:t>厂设计排放标准：《城镇污水处理厂污染物排放标准》（GB18918-2002)一级B标，实际执行《城镇污水处理厂污染物排放标准（GB18918-2002)一级A标</w:t>
            </w:r>
            <w:r>
              <w:rPr>
                <w:rFonts w:hint="eastAsia" w:ascii="仿宋_GB2312" w:hAnsi="仿宋_GB2312" w:eastAsia="仿宋_GB2312" w:cs="仿宋_GB2312"/>
                <w:sz w:val="21"/>
                <w:szCs w:val="21"/>
                <w:lang w:eastAsia="zh-CN"/>
              </w:rPr>
              <w:t>。</w:t>
            </w:r>
          </w:p>
          <w:p>
            <w:pPr>
              <w:widowControl/>
              <w:jc w:val="center"/>
              <w:textAlignment w:val="center"/>
              <w:rPr>
                <w:rFonts w:ascii="宋体" w:hAnsi="宋体" w:cs="宋体"/>
                <w:color w:val="000000"/>
                <w:sz w:val="21"/>
                <w:szCs w:val="21"/>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36" w:lineRule="exact"/>
              <w:ind w:firstLine="525" w:firstLineChars="25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茂</w:t>
            </w:r>
            <w:r>
              <w:rPr>
                <w:rFonts w:hint="eastAsia" w:ascii="仿宋_GB2312" w:hAnsi="仿宋_GB2312" w:eastAsia="仿宋_GB2312" w:cs="仿宋_GB2312"/>
                <w:sz w:val="21"/>
                <w:szCs w:val="21"/>
              </w:rPr>
              <w:t>县污水处理厂的运行有效减少了COD（化学需氧量）、NH3(氨氮)等主要污染物排放总量，改善了全县水域环境质量，促进了全县经济社会可持续发展。2</w:t>
            </w:r>
            <w:r>
              <w:rPr>
                <w:rFonts w:hint="eastAsia" w:ascii="仿宋_GB2312" w:hAnsi="仿宋_GB2312" w:eastAsia="仿宋_GB2312" w:cs="仿宋_GB2312"/>
                <w:sz w:val="21"/>
                <w:szCs w:val="21"/>
                <w:lang w:val="en-US" w:eastAsia="zh-CN"/>
              </w:rPr>
              <w:t>020</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eastAsia="zh-CN"/>
              </w:rPr>
              <w:t>污水处理厂</w:t>
            </w:r>
            <w:r>
              <w:rPr>
                <w:rFonts w:hint="eastAsia" w:ascii="仿宋_GB2312" w:hAnsi="仿宋_GB2312" w:eastAsia="仿宋_GB2312" w:cs="仿宋_GB2312"/>
                <w:sz w:val="21"/>
                <w:szCs w:val="21"/>
              </w:rPr>
              <w:t>全年共处理污水：</w:t>
            </w:r>
            <w:r>
              <w:rPr>
                <w:rFonts w:hint="eastAsia" w:ascii="仿宋_GB2312" w:hAnsi="仿宋_GB2312" w:eastAsia="仿宋_GB2312" w:cs="仿宋_GB2312"/>
                <w:sz w:val="21"/>
                <w:szCs w:val="21"/>
                <w:lang w:val="en-US" w:eastAsia="zh-CN"/>
              </w:rPr>
              <w:t>117.44</w:t>
            </w:r>
            <w:r>
              <w:rPr>
                <w:rFonts w:hint="eastAsia" w:ascii="仿宋_GB2312" w:hAnsi="仿宋_GB2312" w:eastAsia="仿宋_GB2312" w:cs="仿宋_GB2312"/>
                <w:sz w:val="21"/>
                <w:szCs w:val="21"/>
              </w:rPr>
              <w:t>万吨，COD削减</w:t>
            </w:r>
            <w:r>
              <w:rPr>
                <w:rFonts w:hint="eastAsia" w:ascii="仿宋_GB2312" w:hAnsi="仿宋_GB2312" w:eastAsia="仿宋_GB2312" w:cs="仿宋_GB2312"/>
                <w:sz w:val="21"/>
                <w:szCs w:val="21"/>
                <w:lang w:val="en-US" w:eastAsia="zh-CN"/>
              </w:rPr>
              <w:t>206.69</w:t>
            </w:r>
            <w:r>
              <w:rPr>
                <w:rFonts w:hint="eastAsia" w:ascii="仿宋_GB2312" w:hAnsi="仿宋_GB2312" w:eastAsia="仿宋_GB2312" w:cs="仿宋_GB2312"/>
                <w:sz w:val="21"/>
                <w:szCs w:val="21"/>
              </w:rPr>
              <w:t>吨，氨氮削减量：</w:t>
            </w:r>
            <w:r>
              <w:rPr>
                <w:rFonts w:hint="eastAsia" w:ascii="仿宋_GB2312" w:hAnsi="仿宋_GB2312" w:eastAsia="仿宋_GB2312" w:cs="仿宋_GB2312"/>
                <w:sz w:val="21"/>
                <w:szCs w:val="21"/>
                <w:lang w:val="en-US" w:eastAsia="zh-CN"/>
              </w:rPr>
              <w:t>18.69</w:t>
            </w:r>
            <w:r>
              <w:rPr>
                <w:rFonts w:hint="eastAsia" w:ascii="仿宋_GB2312" w:hAnsi="仿宋_GB2312" w:eastAsia="仿宋_GB2312" w:cs="仿宋_GB2312"/>
                <w:sz w:val="21"/>
                <w:szCs w:val="21"/>
              </w:rPr>
              <w:t>吨；</w:t>
            </w:r>
            <w:r>
              <w:rPr>
                <w:rFonts w:hint="eastAsia" w:ascii="仿宋_GB2312" w:hAnsi="仿宋_GB2312" w:eastAsia="仿宋_GB2312" w:cs="仿宋_GB2312"/>
                <w:sz w:val="21"/>
                <w:szCs w:val="21"/>
                <w:lang w:eastAsia="zh-CN"/>
              </w:rPr>
              <w:t>污水处理</w:t>
            </w:r>
            <w:r>
              <w:rPr>
                <w:rFonts w:hint="eastAsia" w:ascii="仿宋_GB2312" w:hAnsi="仿宋_GB2312" w:eastAsia="仿宋_GB2312" w:cs="仿宋_GB2312"/>
                <w:sz w:val="21"/>
                <w:szCs w:val="21"/>
              </w:rPr>
              <w:t>厂设计排放标准：《城镇污水处理厂污染物排放标准》（GB18918-2002)一级B标，实际执行《城镇污水处理厂污染物排放标准（GB18918-2002)一级A标</w:t>
            </w:r>
            <w:r>
              <w:rPr>
                <w:rFonts w:hint="eastAsia" w:ascii="仿宋_GB2312" w:hAnsi="仿宋_GB2312" w:eastAsia="仿宋_GB2312" w:cs="仿宋_GB2312"/>
                <w:sz w:val="21"/>
                <w:szCs w:val="21"/>
                <w:lang w:eastAsia="zh-CN"/>
              </w:rPr>
              <w:t>。</w:t>
            </w:r>
          </w:p>
          <w:p>
            <w:pPr>
              <w:widowControl/>
              <w:jc w:val="center"/>
              <w:textAlignment w:val="center"/>
              <w:rPr>
                <w:rFonts w:ascii="宋体" w:hAnsi="宋体" w:cs="宋体"/>
                <w:color w:val="000000"/>
                <w:sz w:val="21"/>
                <w:szCs w:val="21"/>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污水处理厂资金预算为</w:t>
            </w:r>
            <w:r>
              <w:rPr>
                <w:rFonts w:hint="eastAsia" w:ascii="仿宋_GB2312" w:hAnsi="宋体" w:eastAsia="仿宋_GB2312" w:cs="宋体"/>
                <w:color w:val="000000"/>
                <w:sz w:val="21"/>
                <w:szCs w:val="21"/>
                <w:lang w:val="en-US" w:eastAsia="zh-CN"/>
              </w:rPr>
              <w:t>400</w:t>
            </w:r>
            <w:r>
              <w:rPr>
                <w:rFonts w:hint="eastAsia" w:ascii="仿宋_GB2312" w:hAnsi="宋体" w:eastAsia="仿宋_GB2312" w:cs="宋体"/>
                <w:color w:val="000000"/>
                <w:sz w:val="21"/>
                <w:szCs w:val="21"/>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在</w:t>
            </w:r>
            <w:r>
              <w:rPr>
                <w:rFonts w:hint="eastAsia" w:ascii="仿宋_GB2312" w:hAnsi="宋体" w:eastAsia="仿宋_GB2312" w:cs="宋体"/>
                <w:color w:val="000000"/>
                <w:sz w:val="21"/>
                <w:szCs w:val="21"/>
                <w:lang w:val="en-US" w:eastAsia="zh-CN"/>
              </w:rPr>
              <w:t>2020</w:t>
            </w:r>
            <w:r>
              <w:rPr>
                <w:rFonts w:hint="eastAsia" w:ascii="仿宋_GB2312" w:hAnsi="宋体" w:eastAsia="仿宋_GB2312" w:cs="宋体"/>
                <w:color w:val="000000"/>
                <w:sz w:val="21"/>
                <w:szCs w:val="21"/>
              </w:rPr>
              <w:t>年度实际支付了</w:t>
            </w:r>
            <w:r>
              <w:rPr>
                <w:rFonts w:hint="eastAsia" w:ascii="仿宋_GB2312" w:hAnsi="宋体" w:eastAsia="仿宋_GB2312" w:cs="宋体"/>
                <w:color w:val="000000"/>
                <w:sz w:val="21"/>
                <w:szCs w:val="21"/>
                <w:lang w:val="en-US" w:eastAsia="zh-CN"/>
              </w:rPr>
              <w:t>241.47</w:t>
            </w:r>
            <w:r>
              <w:rPr>
                <w:rFonts w:hint="eastAsia" w:ascii="仿宋_GB2312" w:hAnsi="宋体" w:eastAsia="仿宋_GB2312" w:cs="宋体"/>
                <w:color w:val="000000"/>
                <w:sz w:val="21"/>
                <w:szCs w:val="21"/>
              </w:rPr>
              <w:t>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处理污水数据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仿宋_GB2312" w:eastAsia="仿宋_GB2312" w:cs="仿宋_GB2312"/>
                <w:sz w:val="21"/>
                <w:szCs w:val="21"/>
                <w:lang w:val="en-US" w:eastAsia="zh-CN"/>
              </w:rPr>
              <w:t>2020</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eastAsia="zh-CN"/>
              </w:rPr>
              <w:t>污水处理厂</w:t>
            </w:r>
            <w:r>
              <w:rPr>
                <w:rFonts w:hint="eastAsia" w:ascii="仿宋_GB2312" w:hAnsi="仿宋_GB2312" w:eastAsia="仿宋_GB2312" w:cs="仿宋_GB2312"/>
                <w:sz w:val="21"/>
                <w:szCs w:val="21"/>
              </w:rPr>
              <w:t>全年共处理污水：</w:t>
            </w:r>
            <w:r>
              <w:rPr>
                <w:rFonts w:hint="eastAsia" w:ascii="仿宋_GB2312" w:hAnsi="仿宋_GB2312" w:eastAsia="仿宋_GB2312" w:cs="仿宋_GB2312"/>
                <w:sz w:val="21"/>
                <w:szCs w:val="21"/>
                <w:lang w:val="en-US" w:eastAsia="zh-CN"/>
              </w:rPr>
              <w:t>117.44</w:t>
            </w:r>
            <w:r>
              <w:rPr>
                <w:rFonts w:hint="eastAsia" w:ascii="仿宋_GB2312" w:hAnsi="仿宋_GB2312" w:eastAsia="仿宋_GB2312" w:cs="仿宋_GB2312"/>
                <w:sz w:val="21"/>
                <w:szCs w:val="21"/>
              </w:rPr>
              <w:t>万吨，COD削减</w:t>
            </w:r>
            <w:r>
              <w:rPr>
                <w:rFonts w:hint="eastAsia" w:ascii="仿宋_GB2312" w:hAnsi="仿宋_GB2312" w:eastAsia="仿宋_GB2312" w:cs="仿宋_GB2312"/>
                <w:sz w:val="21"/>
                <w:szCs w:val="21"/>
                <w:lang w:val="en-US" w:eastAsia="zh-CN"/>
              </w:rPr>
              <w:t>206.69</w:t>
            </w:r>
            <w:r>
              <w:rPr>
                <w:rFonts w:hint="eastAsia" w:ascii="仿宋_GB2312" w:hAnsi="仿宋_GB2312" w:eastAsia="仿宋_GB2312" w:cs="仿宋_GB2312"/>
                <w:sz w:val="21"/>
                <w:szCs w:val="21"/>
              </w:rPr>
              <w:t>吨，氨氮削减量：</w:t>
            </w:r>
            <w:r>
              <w:rPr>
                <w:rFonts w:hint="eastAsia" w:ascii="仿宋_GB2312" w:hAnsi="仿宋_GB2312" w:eastAsia="仿宋_GB2312" w:cs="仿宋_GB2312"/>
                <w:sz w:val="21"/>
                <w:szCs w:val="21"/>
                <w:lang w:val="en-US" w:eastAsia="zh-CN"/>
              </w:rPr>
              <w:t>18.69</w:t>
            </w:r>
            <w:r>
              <w:rPr>
                <w:rFonts w:hint="eastAsia" w:ascii="仿宋_GB2312" w:hAnsi="仿宋_GB2312" w:eastAsia="仿宋_GB2312" w:cs="仿宋_GB2312"/>
                <w:sz w:val="21"/>
                <w:szCs w:val="21"/>
              </w:rPr>
              <w:t>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仿宋_GB2312" w:eastAsia="仿宋_GB2312" w:cs="仿宋_GB2312"/>
                <w:sz w:val="21"/>
                <w:szCs w:val="21"/>
                <w:lang w:val="en-US" w:eastAsia="zh-CN"/>
              </w:rPr>
              <w:t>2020</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eastAsia="zh-CN"/>
              </w:rPr>
              <w:t>污水处理</w:t>
            </w:r>
            <w:r>
              <w:rPr>
                <w:rFonts w:hint="eastAsia" w:ascii="仿宋_GB2312" w:hAnsi="仿宋_GB2312" w:eastAsia="仿宋_GB2312" w:cs="仿宋_GB2312"/>
                <w:sz w:val="21"/>
                <w:szCs w:val="21"/>
              </w:rPr>
              <w:t>厂全年共处理污水：</w:t>
            </w:r>
            <w:r>
              <w:rPr>
                <w:rFonts w:hint="eastAsia" w:ascii="仿宋_GB2312" w:hAnsi="仿宋_GB2312" w:eastAsia="仿宋_GB2312" w:cs="仿宋_GB2312"/>
                <w:sz w:val="21"/>
                <w:szCs w:val="21"/>
                <w:lang w:val="en-US" w:eastAsia="zh-CN"/>
              </w:rPr>
              <w:t>117.44</w:t>
            </w:r>
            <w:r>
              <w:rPr>
                <w:rFonts w:hint="eastAsia" w:ascii="仿宋_GB2312" w:hAnsi="仿宋_GB2312" w:eastAsia="仿宋_GB2312" w:cs="仿宋_GB2312"/>
                <w:sz w:val="21"/>
                <w:szCs w:val="21"/>
              </w:rPr>
              <w:t>万吨，COD削减</w:t>
            </w:r>
            <w:r>
              <w:rPr>
                <w:rFonts w:hint="eastAsia" w:ascii="仿宋_GB2312" w:hAnsi="仿宋_GB2312" w:eastAsia="仿宋_GB2312" w:cs="仿宋_GB2312"/>
                <w:sz w:val="21"/>
                <w:szCs w:val="21"/>
                <w:lang w:val="en-US" w:eastAsia="zh-CN"/>
              </w:rPr>
              <w:t>206.69</w:t>
            </w:r>
            <w:r>
              <w:rPr>
                <w:rFonts w:hint="eastAsia" w:ascii="仿宋_GB2312" w:hAnsi="仿宋_GB2312" w:eastAsia="仿宋_GB2312" w:cs="仿宋_GB2312"/>
                <w:sz w:val="21"/>
                <w:szCs w:val="21"/>
              </w:rPr>
              <w:t>吨，氨氮削减量：</w:t>
            </w:r>
            <w:r>
              <w:rPr>
                <w:rFonts w:hint="eastAsia" w:ascii="仿宋_GB2312" w:hAnsi="仿宋_GB2312" w:eastAsia="仿宋_GB2312" w:cs="仿宋_GB2312"/>
                <w:sz w:val="21"/>
                <w:szCs w:val="21"/>
                <w:lang w:val="en-US" w:eastAsia="zh-CN"/>
              </w:rPr>
              <w:t>18.69</w:t>
            </w:r>
            <w:r>
              <w:rPr>
                <w:rFonts w:hint="eastAsia" w:ascii="仿宋_GB2312" w:hAnsi="仿宋_GB2312" w:eastAsia="仿宋_GB2312" w:cs="仿宋_GB2312"/>
                <w:sz w:val="21"/>
                <w:szCs w:val="21"/>
              </w:rPr>
              <w:t>吨；</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当年12月底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lang w:val="en-US" w:eastAsia="zh-CN"/>
              </w:rPr>
              <w:t xml:space="preserve">当年12月底 </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36" w:lineRule="exact"/>
              <w:ind w:firstLine="420" w:firstLineChars="200"/>
              <w:rPr>
                <w:rFonts w:ascii="仿宋_GB2312" w:hAnsi="仿宋_GB2312" w:eastAsia="仿宋_GB2312" w:cs="仿宋_GB2312"/>
                <w:sz w:val="21"/>
                <w:szCs w:val="21"/>
                <w:lang w:val="zh-CN"/>
              </w:rPr>
            </w:pPr>
            <w:r>
              <w:rPr>
                <w:rFonts w:hint="eastAsia" w:ascii="仿宋_GB2312" w:hAnsi="仿宋_GB2312" w:eastAsia="仿宋_GB2312" w:cs="仿宋_GB2312"/>
                <w:sz w:val="21"/>
                <w:szCs w:val="21"/>
                <w:lang w:val="zh-CN"/>
              </w:rPr>
              <w:t>本工程围绕岷江水质和节能减排，改善茂县县城的排水现状，从原有的不完善的雨污合流制，改善成不完全分流制，对现状雨污合流的沟渠进行截流，将污水接入污水干管，并加大对城市雨污合流片区的改造，远期则达到雨、污完全分流制，同时配合国家和地方环保部门将这项工作做好、做实。使茂县污水处理厂的尾水能够全面达到排放标准，这样有利于控制茂县下游岷江水端的水质污染，彻底改善茂县的环境状况，为民创造良好的居住环境，促进社会稳定发展，为茂县的经济发展提供了更为良好的环境</w:t>
            </w:r>
          </w:p>
          <w:p>
            <w:pPr>
              <w:widowControl/>
              <w:jc w:val="center"/>
              <w:textAlignment w:val="center"/>
              <w:rPr>
                <w:rFonts w:ascii="仿宋_GB2312" w:hAnsi="宋体" w:eastAsia="仿宋_GB2312" w:cs="宋体"/>
                <w:color w:val="000000"/>
                <w:kern w:val="2"/>
                <w:sz w:val="21"/>
                <w:szCs w:val="21"/>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36" w:lineRule="exact"/>
              <w:ind w:firstLine="420" w:firstLineChars="200"/>
              <w:rPr>
                <w:rFonts w:ascii="仿宋_GB2312" w:hAnsi="仿宋_GB2312" w:eastAsia="仿宋_GB2312" w:cs="仿宋_GB2312"/>
                <w:sz w:val="21"/>
                <w:szCs w:val="21"/>
                <w:lang w:val="zh-CN"/>
              </w:rPr>
            </w:pPr>
            <w:r>
              <w:rPr>
                <w:rFonts w:hint="eastAsia" w:ascii="仿宋_GB2312" w:hAnsi="仿宋_GB2312" w:eastAsia="仿宋_GB2312" w:cs="仿宋_GB2312"/>
                <w:sz w:val="21"/>
                <w:szCs w:val="21"/>
                <w:lang w:val="zh-CN"/>
              </w:rPr>
              <w:t>本工程围绕岷江水质和节能减排，改善茂县县城的排水现状，从原有的不完善的雨污合流制，改善成不完全分流制，对现状雨污合流的沟渠进行截流，将污水接入污水干管，并加大对城市雨污合流片区的改造，远期则达到雨、污完全分流制，同时配合国家和地方环保部门将这项工作做好、做实。使茂县污水处理厂的尾水能够全面达到排放标准，这样有利于控制茂县下游岷江水端的水质污染，彻底改善茂县的环境状况，为民创造良好的居住环境，促进社会稳定发展，为茂县的经济发展提供了更为良好的环境</w:t>
            </w:r>
          </w:p>
          <w:p>
            <w:pPr>
              <w:widowControl/>
              <w:jc w:val="center"/>
              <w:textAlignment w:val="center"/>
              <w:rPr>
                <w:rFonts w:ascii="仿宋_GB2312" w:hAnsi="宋体" w:eastAsia="仿宋_GB2312" w:cs="宋体"/>
                <w:color w:val="000000"/>
                <w:kern w:val="2"/>
                <w:sz w:val="21"/>
                <w:szCs w:val="21"/>
                <w:lang w:val="en-US" w:eastAsia="zh-CN" w:bidi="ar-SA"/>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1"/>
                <w:szCs w:val="21"/>
                <w:lang w:val="en-US" w:eastAsia="zh-CN" w:bidi="ar-SA"/>
              </w:rPr>
            </w:pPr>
            <w:r>
              <w:rPr>
                <w:rFonts w:hint="eastAsia" w:ascii="宋体" w:hAnsi="宋体" w:cs="宋体"/>
                <w:color w:val="000000"/>
                <w:kern w:val="0"/>
                <w:sz w:val="21"/>
                <w:szCs w:val="21"/>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开展工作满意度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预期满意度为100%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实际满意度为9</w:t>
            </w:r>
            <w:r>
              <w:rPr>
                <w:rFonts w:hint="eastAsia" w:ascii="仿宋_GB2312" w:hAnsi="宋体" w:eastAsia="仿宋_GB2312" w:cs="宋体"/>
                <w:color w:val="000000"/>
                <w:sz w:val="21"/>
                <w:szCs w:val="21"/>
                <w:lang w:val="en-US" w:eastAsia="zh-CN"/>
              </w:rPr>
              <w:t>6</w:t>
            </w:r>
            <w:r>
              <w:rPr>
                <w:rFonts w:hint="eastAsia" w:ascii="仿宋_GB2312" w:hAnsi="宋体" w:eastAsia="仿宋_GB2312" w:cs="宋体"/>
                <w:color w:val="000000"/>
                <w:sz w:val="21"/>
                <w:szCs w:val="21"/>
              </w:rPr>
              <w:t>%</w:t>
            </w:r>
          </w:p>
        </w:tc>
      </w:tr>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hint="eastAsia" w:ascii="楷体" w:hAnsi="楷体" w:eastAsia="楷体" w:cs="楷体"/>
                <w:b/>
                <w:bCs/>
                <w:color w:val="000000"/>
                <w:kern w:val="0"/>
                <w:sz w:val="32"/>
                <w:szCs w:val="32"/>
                <w:lang w:eastAsia="zh-CN"/>
              </w:rPr>
            </w:pPr>
            <w:r>
              <w:rPr>
                <w:rFonts w:hint="eastAsia" w:ascii="楷体" w:hAnsi="楷体" w:eastAsia="楷体" w:cs="楷体"/>
                <w:b/>
                <w:bCs/>
                <w:color w:val="000000"/>
                <w:kern w:val="0"/>
                <w:sz w:val="32"/>
                <w:szCs w:val="32"/>
              </w:rPr>
              <w:t>项目绩效目标完成情况表</w:t>
            </w:r>
          </w:p>
          <w:p>
            <w:pPr>
              <w:widowControl/>
              <w:jc w:val="center"/>
              <w:textAlignment w:val="center"/>
              <w:rPr>
                <w:rFonts w:ascii="宋体" w:hAnsi="宋体" w:cs="宋体"/>
                <w:color w:val="000000"/>
                <w:sz w:val="21"/>
                <w:szCs w:val="21"/>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2020</w:t>
            </w:r>
            <w:r>
              <w:rPr>
                <w:rFonts w:hint="eastAsia" w:ascii="仿宋_GB2312" w:hAnsi="仿宋_GB2312" w:eastAsia="仿宋_GB2312" w:cs="仿宋_GB2312"/>
                <w:color w:val="000000"/>
                <w:kern w:val="0"/>
                <w:sz w:val="32"/>
                <w:szCs w:val="32"/>
              </w:rPr>
              <w:t xml:space="preserve"> 年度)</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仿宋_GB2312" w:hAnsi="仿宋_GB2312" w:eastAsia="仿宋_GB2312" w:cs="仿宋_GB2312"/>
                <w:color w:val="auto"/>
                <w:sz w:val="21"/>
                <w:szCs w:val="21"/>
                <w:lang w:eastAsia="zh-CN"/>
              </w:rPr>
              <w:t>茂县城区绿化管护</w:t>
            </w:r>
            <w:r>
              <w:rPr>
                <w:rFonts w:hint="eastAsia" w:ascii="仿宋_GB2312" w:hAnsi="仿宋_GB2312" w:eastAsia="仿宋_GB2312" w:cs="仿宋_GB2312"/>
                <w:color w:val="auto"/>
                <w:sz w:val="21"/>
                <w:szCs w:val="21"/>
              </w:rPr>
              <w:t>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仿宋_GB2312" w:hAnsi="宋体" w:eastAsia="仿宋_GB2312" w:cs="宋体"/>
                <w:color w:val="000000"/>
                <w:sz w:val="21"/>
                <w:szCs w:val="21"/>
                <w:lang w:eastAsia="zh-CN"/>
              </w:rPr>
              <w:t>城市公用事业服务中心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预算执行情况(万元)</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274.52万元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274.52万元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1"/>
                <w:szCs w:val="21"/>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1"/>
                <w:szCs w:val="21"/>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1"/>
                <w:szCs w:val="21"/>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1"/>
                <w:szCs w:val="21"/>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1"/>
                <w:szCs w:val="21"/>
                <w:lang w:val="en-US" w:eastAsia="zh-CN"/>
              </w:rPr>
            </w:pPr>
            <w:r>
              <w:rPr>
                <w:rFonts w:hint="eastAsia" w:ascii="宋体" w:hAnsi="宋体" w:eastAsia="宋体" w:cs="宋体"/>
                <w:color w:val="auto"/>
                <w:sz w:val="21"/>
                <w:szCs w:val="21"/>
                <w:lang w:eastAsia="zh-CN"/>
              </w:rPr>
              <w:t>养护总面积</w:t>
            </w:r>
            <w:r>
              <w:rPr>
                <w:rFonts w:hint="eastAsia" w:ascii="宋体" w:hAnsi="宋体" w:eastAsia="宋体" w:cs="宋体"/>
                <w:color w:val="auto"/>
                <w:sz w:val="21"/>
                <w:szCs w:val="21"/>
                <w:lang w:val="en-US" w:eastAsia="zh-CN"/>
              </w:rPr>
              <w:t>1176.75亩以及5113株行道树，管护内容：去除枯死植株、树木扶正、病虫害防治和监测、浇灌排水、土壤施肥、中耕除草、植物（树木、绿篱、草坪等）修剪、游步道、休闲椅、果屑箱、厕所、栈道、休闲亭、水景观、健身器材等市政设施的保洁、绿化带保洁、垃圾收集</w:t>
            </w:r>
            <w:r>
              <w:rPr>
                <w:rFonts w:hint="eastAsia" w:ascii="宋体" w:hAnsi="宋体" w:cs="宋体"/>
                <w:color w:val="auto"/>
                <w:sz w:val="21"/>
                <w:szCs w:val="21"/>
                <w:lang w:val="en-US"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1"/>
                <w:szCs w:val="21"/>
                <w:lang w:val="en-US" w:eastAsia="zh-CN"/>
              </w:rPr>
            </w:pPr>
            <w:r>
              <w:rPr>
                <w:rFonts w:hint="eastAsia" w:ascii="宋体" w:hAnsi="宋体" w:eastAsia="宋体" w:cs="宋体"/>
                <w:color w:val="auto"/>
                <w:sz w:val="21"/>
                <w:szCs w:val="21"/>
                <w:lang w:eastAsia="zh-CN"/>
              </w:rPr>
              <w:t>养护总面积</w:t>
            </w:r>
            <w:r>
              <w:rPr>
                <w:rFonts w:hint="eastAsia" w:ascii="宋体" w:hAnsi="宋体" w:eastAsia="宋体" w:cs="宋体"/>
                <w:color w:val="auto"/>
                <w:sz w:val="21"/>
                <w:szCs w:val="21"/>
                <w:lang w:val="en-US" w:eastAsia="zh-CN"/>
              </w:rPr>
              <w:t>1176.75亩以及5113株行道树，管护内容：去除枯死植株、树木扶正、病虫害防治和监测、浇灌排水、土壤施肥、中耕除草、植物（树木、绿篱、草坪等）修剪、游步道、休闲椅、果屑箱、厕所、栈道、休闲亭、水景观、健身器材等市政设施的保洁、绿化带保洁、垃圾收集</w:t>
            </w:r>
            <w:r>
              <w:rPr>
                <w:rFonts w:hint="eastAsia" w:ascii="宋体" w:hAnsi="宋体" w:cs="宋体"/>
                <w:color w:val="auto"/>
                <w:sz w:val="21"/>
                <w:szCs w:val="21"/>
                <w:lang w:val="en-US" w:eastAsia="zh-CN"/>
              </w:rPr>
              <w:t>。</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绩效指标完成情况</w:t>
            </w: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一级指标</w:t>
            </w:r>
          </w:p>
        </w:tc>
        <w:tc>
          <w:tcPr>
            <w:tcW w:w="2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项目完成指标</w:t>
            </w:r>
          </w:p>
        </w:tc>
        <w:tc>
          <w:tcPr>
            <w:tcW w:w="2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eastAsia="zh-CN"/>
              </w:rPr>
              <w:t>绿化管护项目资金预算</w:t>
            </w:r>
            <w:r>
              <w:rPr>
                <w:rFonts w:hint="eastAsia" w:ascii="宋体" w:hAnsi="宋体" w:cs="宋体"/>
                <w:color w:val="000000"/>
                <w:sz w:val="21"/>
                <w:szCs w:val="21"/>
                <w:lang w:val="en-US" w:eastAsia="zh-CN"/>
              </w:rPr>
              <w:t>274.52万元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eastAsia="zh-CN"/>
              </w:rPr>
              <w:t>在</w:t>
            </w:r>
            <w:r>
              <w:rPr>
                <w:rFonts w:hint="eastAsia" w:ascii="宋体" w:hAnsi="宋体" w:cs="宋体"/>
                <w:color w:val="000000"/>
                <w:sz w:val="21"/>
                <w:szCs w:val="21"/>
                <w:lang w:val="en-US" w:eastAsia="zh-CN"/>
              </w:rPr>
              <w:t>2019年度实际支付了274.52万元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项目完成指标</w:t>
            </w:r>
          </w:p>
        </w:tc>
        <w:tc>
          <w:tcPr>
            <w:tcW w:w="2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lang w:eastAsia="zh-CN"/>
              </w:rPr>
              <w:t>完成养护数据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eastAsia="宋体" w:cs="宋体"/>
                <w:color w:val="auto"/>
                <w:sz w:val="21"/>
                <w:szCs w:val="21"/>
                <w:lang w:eastAsia="zh-CN"/>
              </w:rPr>
              <w:t>养护总面积</w:t>
            </w:r>
            <w:r>
              <w:rPr>
                <w:rFonts w:hint="eastAsia" w:ascii="宋体" w:hAnsi="宋体" w:eastAsia="宋体" w:cs="宋体"/>
                <w:color w:val="auto"/>
                <w:sz w:val="21"/>
                <w:szCs w:val="21"/>
                <w:lang w:val="en-US" w:eastAsia="zh-CN"/>
              </w:rPr>
              <w:t>1176.75亩以及5113株行道树，管护内容：去除枯死植株、树木扶正、病虫害防治和监测、浇灌排水、土壤施肥、中耕除草、植物（树木、绿篱、草坪等）修剪、游步道、休闲椅、果屑箱、厕所、栈道、休闲亭、水景观、健身器材等市政设施的保洁、绿化带保洁、垃圾收集</w:t>
            </w:r>
            <w:r>
              <w:rPr>
                <w:rFonts w:hint="eastAsia" w:ascii="宋体" w:hAnsi="宋体" w:cs="宋体"/>
                <w:color w:val="auto"/>
                <w:sz w:val="21"/>
                <w:szCs w:val="21"/>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eastAsia="宋体" w:cs="宋体"/>
                <w:color w:val="auto"/>
                <w:sz w:val="21"/>
                <w:szCs w:val="21"/>
                <w:lang w:eastAsia="zh-CN"/>
              </w:rPr>
              <w:t>养护总面积</w:t>
            </w:r>
            <w:r>
              <w:rPr>
                <w:rFonts w:hint="eastAsia" w:ascii="宋体" w:hAnsi="宋体" w:eastAsia="宋体" w:cs="宋体"/>
                <w:color w:val="auto"/>
                <w:sz w:val="21"/>
                <w:szCs w:val="21"/>
                <w:lang w:val="en-US" w:eastAsia="zh-CN"/>
              </w:rPr>
              <w:t>1176.75亩以及5113株行道树，管护内容：去除枯死植株、树木扶正、病虫害防治和监测、浇灌排水、土壤施肥、中耕除草、植物（树木、绿篱、草坪等）修剪、游步道、休闲椅、果屑箱、厕所、栈道、休闲亭、水景观、健身器材等市政设施的保洁、绿化带保洁、垃圾收集</w:t>
            </w:r>
            <w:r>
              <w:rPr>
                <w:rFonts w:hint="eastAsia" w:ascii="宋体" w:hAnsi="宋体" w:cs="宋体"/>
                <w:color w:val="auto"/>
                <w:sz w:val="21"/>
                <w:szCs w:val="21"/>
                <w:lang w:val="en-US" w:eastAsia="zh-CN"/>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项目完成指标</w:t>
            </w:r>
          </w:p>
        </w:tc>
        <w:tc>
          <w:tcPr>
            <w:tcW w:w="2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2020年12月底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2020年12月底</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效益指标</w:t>
            </w:r>
          </w:p>
        </w:tc>
        <w:tc>
          <w:tcPr>
            <w:tcW w:w="2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cs="宋体"/>
                <w:color w:val="000000"/>
                <w:sz w:val="21"/>
                <w:szCs w:val="21"/>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000000"/>
                <w:sz w:val="21"/>
                <w:szCs w:val="21"/>
                <w:lang w:eastAsia="zh-CN"/>
              </w:rPr>
            </w:pPr>
            <w:r>
              <w:rPr>
                <w:rFonts w:hint="eastAsia" w:ascii="宋体" w:hAnsi="宋体" w:cs="宋体"/>
                <w:color w:val="000000"/>
                <w:sz w:val="21"/>
                <w:szCs w:val="21"/>
                <w:lang w:eastAsia="zh-CN"/>
              </w:rPr>
              <w:t>达到效益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仿宋_GB2312" w:hAnsi="仿宋_GB2312" w:eastAsia="仿宋_GB2312" w:cs="仿宋_GB2312"/>
                <w:sz w:val="21"/>
                <w:szCs w:val="21"/>
                <w:lang w:val="en-US" w:eastAsia="zh-CN"/>
              </w:rPr>
              <w:t>全县城区绿化管护得到改善，并充分有效的提高了城区绿化效果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仿宋_GB2312" w:hAnsi="仿宋_GB2312" w:eastAsia="仿宋_GB2312" w:cs="仿宋_GB2312"/>
                <w:sz w:val="21"/>
                <w:szCs w:val="21"/>
                <w:lang w:val="en-US" w:eastAsia="zh-CN"/>
              </w:rPr>
              <w:t>全县城区绿化管护得到改善，并充分有效的提高了城区绿化效果</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满意度指标</w:t>
            </w:r>
          </w:p>
        </w:tc>
        <w:tc>
          <w:tcPr>
            <w:tcW w:w="2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开展工作满意度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预期满意度为100%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宋体"/>
                <w:color w:val="000000"/>
                <w:kern w:val="2"/>
                <w:sz w:val="21"/>
                <w:szCs w:val="21"/>
                <w:lang w:val="en-US" w:eastAsia="zh-CN" w:bidi="ar-SA"/>
              </w:rPr>
            </w:pPr>
            <w:r>
              <w:rPr>
                <w:rFonts w:hint="eastAsia" w:ascii="仿宋_GB2312" w:hAnsi="宋体" w:eastAsia="仿宋_GB2312" w:cs="宋体"/>
                <w:color w:val="000000"/>
                <w:sz w:val="21"/>
                <w:szCs w:val="21"/>
              </w:rPr>
              <w:t>实际满意度为90%</w:t>
            </w:r>
          </w:p>
        </w:tc>
      </w:tr>
    </w:tbl>
    <w:p>
      <w:pPr>
        <w:spacing w:line="580" w:lineRule="exact"/>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lang w:eastAsia="zh-CN"/>
              </w:rPr>
            </w:pPr>
            <w:r>
              <w:rPr>
                <w:rFonts w:hint="eastAsia" w:ascii="楷体" w:hAnsi="楷体" w:eastAsia="楷体" w:cs="楷体"/>
                <w:b/>
                <w:bCs/>
                <w:color w:val="000000"/>
                <w:kern w:val="0"/>
                <w:sz w:val="32"/>
                <w:szCs w:val="32"/>
              </w:rPr>
              <w:t>项目绩效目标完成情况表</w:t>
            </w:r>
          </w:p>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2020</w:t>
            </w:r>
            <w:r>
              <w:rPr>
                <w:rFonts w:hint="eastAsia" w:ascii="仿宋_GB2312" w:hAnsi="仿宋_GB2312" w:eastAsia="仿宋_GB2312" w:cs="仿宋_GB2312"/>
                <w:color w:val="000000"/>
                <w:kern w:val="0"/>
                <w:sz w:val="32"/>
                <w:szCs w:val="32"/>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val="0"/>
                <w:sz w:val="21"/>
                <w:szCs w:val="21"/>
              </w:rPr>
              <w:t>“8•16”岷江城区河堤护栏修复项目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城市公用事业服务中心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123.54万元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258"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eastAsia="zh-CN"/>
              </w:rPr>
              <w:t>完成“</w:t>
            </w:r>
            <w:r>
              <w:rPr>
                <w:rFonts w:hint="eastAsia" w:ascii="仿宋_GB2312" w:hAnsi="仿宋_GB2312" w:eastAsia="仿宋_GB2312" w:cs="仿宋_GB2312"/>
                <w:color w:val="000000"/>
                <w:sz w:val="24"/>
                <w:szCs w:val="24"/>
                <w:lang w:val="en-US" w:eastAsia="zh-CN"/>
              </w:rPr>
              <w:t>8.16”岷江河堤护栏修复</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bl>
            <w:tblPr>
              <w:tblStyle w:val="19"/>
              <w:tblpPr w:leftFromText="180" w:rightFromText="180" w:vertAnchor="text" w:horzAnchor="page" w:tblpXSpec="center" w:tblpY="423"/>
              <w:tblOverlap w:val="never"/>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7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jc w:val="center"/>
              </w:trPr>
              <w:tc>
                <w:tcPr>
                  <w:tcW w:w="4786" w:type="dxa"/>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eastAsia="zh-CN"/>
                    </w:rPr>
                    <w:t>完成“</w:t>
                  </w:r>
                  <w:r>
                    <w:rPr>
                      <w:rFonts w:hint="eastAsia" w:ascii="仿宋_GB2312" w:hAnsi="仿宋_GB2312" w:eastAsia="仿宋_GB2312" w:cs="仿宋_GB2312"/>
                      <w:color w:val="000000"/>
                      <w:sz w:val="24"/>
                      <w:szCs w:val="24"/>
                      <w:lang w:val="en-US" w:eastAsia="zh-CN"/>
                    </w:rPr>
                    <w:t>8.16”岷江河堤护栏修复</w:t>
                  </w:r>
                </w:p>
              </w:tc>
            </w:tr>
          </w:tbl>
          <w:p>
            <w:pPr>
              <w:widowControl/>
              <w:jc w:val="center"/>
              <w:textAlignment w:val="center"/>
              <w:rPr>
                <w:rFonts w:hint="eastAsia" w:ascii="仿宋_GB2312" w:hAnsi="仿宋_GB2312" w:eastAsia="仿宋_GB2312" w:cs="仿宋_GB2312"/>
                <w:color w:val="000000"/>
                <w:sz w:val="24"/>
                <w:szCs w:val="24"/>
                <w:lang w:val="en-US" w:eastAsia="zh-CN"/>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spacing w:line="576" w:lineRule="exact"/>
              <w:ind w:firstLine="420" w:firstLineChars="200"/>
              <w:textAlignment w:val="auto"/>
              <w:outlineLvl w:val="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项目一类费用</w:t>
            </w:r>
            <w:r>
              <w:rPr>
                <w:rFonts w:hint="eastAsia" w:ascii="仿宋_GB2312" w:hAnsi="仿宋_GB2312" w:eastAsia="仿宋_GB2312" w:cs="仿宋_GB2312"/>
                <w:sz w:val="21"/>
                <w:szCs w:val="21"/>
              </w:rPr>
              <w:t>金额为1114983.11元，项目二类费用为</w:t>
            </w:r>
            <w:r>
              <w:rPr>
                <w:rFonts w:hint="eastAsia" w:ascii="仿宋_GB2312" w:hAnsi="仿宋_GB2312" w:eastAsia="仿宋_GB2312" w:cs="仿宋_GB2312"/>
                <w:sz w:val="21"/>
                <w:szCs w:val="21"/>
                <w:lang w:val="en-US" w:eastAsia="zh-CN"/>
              </w:rPr>
              <w:t>120429</w:t>
            </w:r>
            <w:r>
              <w:rPr>
                <w:rFonts w:hint="eastAsia" w:ascii="仿宋_GB2312" w:hAnsi="仿宋_GB2312" w:eastAsia="仿宋_GB2312" w:cs="仿宋_GB2312"/>
                <w:sz w:val="21"/>
                <w:szCs w:val="21"/>
              </w:rPr>
              <w:t>元，其中：预算费4800元，设计费62000元，监理费45000元，审计费8629元，项目累计发生费用</w:t>
            </w:r>
            <w:r>
              <w:rPr>
                <w:rFonts w:hint="eastAsia" w:ascii="仿宋_GB2312" w:hAnsi="仿宋_GB2312" w:eastAsia="仿宋_GB2312" w:cs="仿宋_GB2312"/>
                <w:sz w:val="21"/>
                <w:szCs w:val="21"/>
                <w:lang w:val="en-US" w:eastAsia="zh-CN"/>
              </w:rPr>
              <w:t>1235412.11</w:t>
            </w:r>
            <w:r>
              <w:rPr>
                <w:rFonts w:hint="eastAsia" w:ascii="仿宋_GB2312" w:hAnsi="仿宋_GB2312" w:eastAsia="仿宋_GB2312" w:cs="仿宋_GB2312"/>
                <w:sz w:val="21"/>
                <w:szCs w:val="21"/>
              </w:rPr>
              <w:t>元</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故结余资金</w:t>
            </w:r>
            <w:r>
              <w:rPr>
                <w:rFonts w:hint="eastAsia" w:ascii="仿宋_GB2312" w:hAnsi="仿宋_GB2312" w:eastAsia="仿宋_GB2312" w:cs="仿宋_GB2312"/>
                <w:sz w:val="21"/>
                <w:szCs w:val="21"/>
                <w:lang w:val="en-US" w:eastAsia="zh-CN"/>
              </w:rPr>
              <w:t>64587.89</w:t>
            </w:r>
            <w:r>
              <w:rPr>
                <w:rFonts w:hint="eastAsia" w:ascii="仿宋_GB2312" w:hAnsi="仿宋_GB2312" w:eastAsia="仿宋_GB2312" w:cs="仿宋_GB2312"/>
                <w:sz w:val="21"/>
                <w:szCs w:val="21"/>
              </w:rPr>
              <w:t>元，</w:t>
            </w:r>
            <w:r>
              <w:rPr>
                <w:rFonts w:hint="eastAsia" w:ascii="仿宋_GB2312" w:hAnsi="仿宋_GB2312" w:eastAsia="仿宋_GB2312" w:cs="仿宋_GB2312"/>
                <w:sz w:val="21"/>
                <w:szCs w:val="21"/>
                <w:lang w:val="en-US" w:eastAsia="zh-CN"/>
              </w:rPr>
              <w:t>结余资金已返回财政局</w:t>
            </w:r>
            <w:r>
              <w:rPr>
                <w:rFonts w:hint="eastAsia" w:ascii="仿宋_GB2312" w:hAnsi="仿宋_GB2312" w:eastAsia="仿宋_GB2312" w:cs="仿宋_GB2312"/>
                <w:sz w:val="21"/>
                <w:szCs w:val="21"/>
              </w:rPr>
              <w:t>。</w:t>
            </w:r>
          </w:p>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spacing w:line="576" w:lineRule="exact"/>
              <w:textAlignment w:val="auto"/>
              <w:outlineLvl w:val="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项目一类费用</w:t>
            </w:r>
            <w:r>
              <w:rPr>
                <w:rFonts w:hint="eastAsia" w:ascii="仿宋_GB2312" w:hAnsi="仿宋_GB2312" w:eastAsia="仿宋_GB2312" w:cs="仿宋_GB2312"/>
                <w:sz w:val="21"/>
                <w:szCs w:val="21"/>
              </w:rPr>
              <w:t>金额为1114983.11元，项目二类费用为</w:t>
            </w:r>
            <w:r>
              <w:rPr>
                <w:rFonts w:hint="eastAsia" w:ascii="仿宋_GB2312" w:hAnsi="仿宋_GB2312" w:eastAsia="仿宋_GB2312" w:cs="仿宋_GB2312"/>
                <w:sz w:val="21"/>
                <w:szCs w:val="21"/>
                <w:lang w:val="en-US" w:eastAsia="zh-CN"/>
              </w:rPr>
              <w:t>120429</w:t>
            </w:r>
            <w:r>
              <w:rPr>
                <w:rFonts w:hint="eastAsia" w:ascii="仿宋_GB2312" w:hAnsi="仿宋_GB2312" w:eastAsia="仿宋_GB2312" w:cs="仿宋_GB2312"/>
                <w:sz w:val="21"/>
                <w:szCs w:val="21"/>
              </w:rPr>
              <w:t>元，其中：预算费4800元，设计费62000元，监理费45000元，审计费8629元，项目累计发生费用</w:t>
            </w:r>
            <w:r>
              <w:rPr>
                <w:rFonts w:hint="eastAsia" w:ascii="仿宋_GB2312" w:hAnsi="仿宋_GB2312" w:eastAsia="仿宋_GB2312" w:cs="仿宋_GB2312"/>
                <w:sz w:val="21"/>
                <w:szCs w:val="21"/>
                <w:lang w:val="en-US" w:eastAsia="zh-CN"/>
              </w:rPr>
              <w:t>1235412.11</w:t>
            </w:r>
            <w:r>
              <w:rPr>
                <w:rFonts w:hint="eastAsia" w:ascii="仿宋_GB2312" w:hAnsi="仿宋_GB2312" w:eastAsia="仿宋_GB2312" w:cs="仿宋_GB2312"/>
                <w:sz w:val="21"/>
                <w:szCs w:val="21"/>
              </w:rPr>
              <w:t>元</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故结余资金</w:t>
            </w:r>
            <w:r>
              <w:rPr>
                <w:rFonts w:hint="eastAsia" w:ascii="仿宋_GB2312" w:hAnsi="仿宋_GB2312" w:eastAsia="仿宋_GB2312" w:cs="仿宋_GB2312"/>
                <w:sz w:val="21"/>
                <w:szCs w:val="21"/>
                <w:lang w:val="en-US" w:eastAsia="zh-CN"/>
              </w:rPr>
              <w:t>64587.89</w:t>
            </w:r>
            <w:r>
              <w:rPr>
                <w:rFonts w:hint="eastAsia" w:ascii="仿宋_GB2312" w:hAnsi="仿宋_GB2312" w:eastAsia="仿宋_GB2312" w:cs="仿宋_GB2312"/>
                <w:sz w:val="21"/>
                <w:szCs w:val="21"/>
              </w:rPr>
              <w:t>元，</w:t>
            </w:r>
            <w:r>
              <w:rPr>
                <w:rFonts w:hint="eastAsia" w:ascii="仿宋_GB2312" w:hAnsi="仿宋_GB2312" w:eastAsia="仿宋_GB2312" w:cs="仿宋_GB2312"/>
                <w:sz w:val="21"/>
                <w:szCs w:val="21"/>
                <w:lang w:val="en-US" w:eastAsia="zh-CN"/>
              </w:rPr>
              <w:t>结余资金已返回财政局</w:t>
            </w:r>
            <w:r>
              <w:rPr>
                <w:rFonts w:hint="eastAsia" w:ascii="仿宋_GB2312" w:hAnsi="仿宋_GB2312" w:eastAsia="仿宋_GB2312" w:cs="仿宋_GB2312"/>
                <w:sz w:val="21"/>
                <w:szCs w:val="21"/>
              </w:rPr>
              <w:t>。</w:t>
            </w:r>
          </w:p>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2020年10月25日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2020年10月25日</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达到效益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rPr>
              <w:t>修复河堤提升我县的市容市貌为全居市民提供安全的生活环境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rPr>
              <w:t>修复河堤提升我县的市容市貌为全居市民提供安全的生活环境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开展工作满意度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预期满意度为100%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实际满意度为9</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b/>
                <w:bCs/>
                <w:color w:val="000000"/>
                <w:kern w:val="0"/>
                <w:sz w:val="24"/>
                <w:szCs w:val="24"/>
              </w:rPr>
            </w:pPr>
          </w:p>
          <w:p>
            <w:pPr>
              <w:widowControl/>
              <w:jc w:val="both"/>
              <w:textAlignment w:val="center"/>
              <w:rPr>
                <w:rFonts w:hint="eastAsia" w:ascii="仿宋_GB2312" w:hAnsi="仿宋_GB2312" w:eastAsia="仿宋_GB2312" w:cs="仿宋_GB2312"/>
                <w:b/>
                <w:bCs/>
                <w:color w:val="000000"/>
                <w:kern w:val="0"/>
                <w:sz w:val="24"/>
                <w:szCs w:val="24"/>
              </w:rPr>
            </w:pPr>
          </w:p>
        </w:tc>
      </w:tr>
      <w:tr>
        <w:tblPrEx>
          <w:tblCellMar>
            <w:top w:w="0" w:type="dxa"/>
            <w:left w:w="0" w:type="dxa"/>
            <w:bottom w:w="0" w:type="dxa"/>
            <w:right w:w="0" w:type="dxa"/>
          </w:tblCellMar>
        </w:tblPrEx>
        <w:trPr>
          <w:trHeight w:val="1766"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lang w:eastAsia="zh-CN"/>
              </w:rPr>
            </w:pPr>
            <w:r>
              <w:rPr>
                <w:rFonts w:hint="eastAsia" w:ascii="楷体" w:hAnsi="楷体" w:eastAsia="楷体" w:cs="楷体"/>
                <w:b/>
                <w:bCs/>
                <w:color w:val="000000"/>
                <w:kern w:val="0"/>
                <w:sz w:val="32"/>
                <w:szCs w:val="32"/>
              </w:rPr>
              <w:t>项目绩效目标完成情况表</w:t>
            </w:r>
          </w:p>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2020</w:t>
            </w:r>
            <w:r>
              <w:rPr>
                <w:rFonts w:hint="eastAsia" w:ascii="仿宋_GB2312" w:hAnsi="仿宋_GB2312" w:eastAsia="仿宋_GB2312" w:cs="仿宋_GB2312"/>
                <w:color w:val="000000"/>
                <w:kern w:val="0"/>
                <w:sz w:val="32"/>
                <w:szCs w:val="32"/>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茂县城区环卫清扫保洁服务</w:t>
            </w:r>
            <w:r>
              <w:rPr>
                <w:rFonts w:hint="eastAsia" w:ascii="仿宋_GB2312" w:hAnsi="仿宋_GB2312" w:eastAsia="仿宋_GB2312" w:cs="仿宋_GB2312"/>
                <w:color w:val="auto"/>
                <w:sz w:val="24"/>
                <w:szCs w:val="24"/>
              </w:rPr>
              <w:t>项目</w:t>
            </w:r>
          </w:p>
        </w:tc>
      </w:tr>
      <w:tr>
        <w:tblPrEx>
          <w:tblCellMar>
            <w:top w:w="0" w:type="dxa"/>
            <w:left w:w="0" w:type="dxa"/>
            <w:bottom w:w="0" w:type="dxa"/>
            <w:right w:w="0" w:type="dxa"/>
          </w:tblCellMar>
        </w:tblPrEx>
        <w:trPr>
          <w:trHeight w:val="90"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城市公用事业服务中心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334.92万元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334.92万元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2145"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rPr>
              <w:t>完成茂县城区1、茂县县城公共区域环卫清扫保洁，包含已建成的市政道路、人行道、公共广场、垃圾中转站、雨鼻子、公共围栏、道路边沟、边坡、桥梁、涵洞、果皮箱、垃圾桶、垃圾转运箱等市政公共设施的环境卫生管理和清扫保洁，清扫区域面积约65万平方米。2、公厕管护，县城区8座公共厕所日常运行保洁管理和维修维护。</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bl>
            <w:tblPr>
              <w:tblStyle w:val="19"/>
              <w:tblpPr w:leftFromText="180" w:rightFromText="180" w:vertAnchor="text" w:horzAnchor="page" w:tblpXSpec="center" w:tblpY="423"/>
              <w:tblOverlap w:val="never"/>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7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jc w:val="center"/>
              </w:trPr>
              <w:tc>
                <w:tcPr>
                  <w:tcW w:w="4786" w:type="dxa"/>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sz w:val="24"/>
                      <w:szCs w:val="24"/>
                      <w:lang w:val="en-US" w:eastAsia="zh-CN"/>
                    </w:rPr>
                    <w:t>完成茂县城区1、茂县县城公共区域环卫清扫保洁，包含已建成的市政道路、人行道、公共广场、垃圾中转站、雨鼻子、公共围栏、道路边沟、边坡、桥梁、涵洞、果皮箱、垃圾桶、垃圾转运箱等市政公共设施的环境卫生管理和清扫保洁，清扫区域面积约65万平方米。2、公厕管护，县城区8座公共厕所日常运行保洁管理和维修维护。</w:t>
                  </w:r>
                </w:p>
              </w:tc>
            </w:tr>
          </w:tbl>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清扫保洁服务项目资金预算</w:t>
            </w:r>
            <w:r>
              <w:rPr>
                <w:rFonts w:hint="eastAsia" w:ascii="仿宋_GB2312" w:hAnsi="仿宋_GB2312" w:eastAsia="仿宋_GB2312" w:cs="仿宋_GB2312"/>
                <w:color w:val="000000"/>
                <w:sz w:val="24"/>
                <w:szCs w:val="24"/>
                <w:lang w:val="en-US" w:eastAsia="zh-CN"/>
              </w:rPr>
              <w:t>334.92万元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在</w:t>
            </w:r>
            <w:r>
              <w:rPr>
                <w:rFonts w:hint="eastAsia" w:ascii="仿宋_GB2312" w:hAnsi="仿宋_GB2312" w:eastAsia="仿宋_GB2312" w:cs="仿宋_GB2312"/>
                <w:color w:val="000000"/>
                <w:sz w:val="24"/>
                <w:szCs w:val="24"/>
                <w:lang w:val="en-US" w:eastAsia="zh-CN"/>
              </w:rPr>
              <w:t>2019年度实际支付了334.92万元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完成清扫保洁数据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完成茂县城区公共区域环卫保洁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完成茂县城区公共区域环卫保洁，清扫面积</w:t>
            </w:r>
            <w:r>
              <w:rPr>
                <w:rFonts w:hint="eastAsia" w:ascii="仿宋_GB2312" w:hAnsi="仿宋_GB2312" w:eastAsia="仿宋_GB2312" w:cs="仿宋_GB2312"/>
                <w:color w:val="000000"/>
                <w:sz w:val="24"/>
                <w:szCs w:val="24"/>
                <w:lang w:val="en-US" w:eastAsia="zh-CN"/>
              </w:rPr>
              <w:t>65万平方米，含8座城区公厕</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2020年12月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2020年12月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达到效益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rPr>
              <w:t>全县城区环境卫生得到明显改善，并充分有效的提高了城区环卫保洁。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rPr>
              <w:t>全县城区环境卫生得到明显改善，并充分有效的提高了城区环卫保洁。</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社会满意度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预期满意度为100%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实际满意度为9</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sz w:val="24"/>
                <w:szCs w:val="24"/>
              </w:rPr>
            </w:pPr>
          </w:p>
        </w:tc>
      </w:tr>
    </w:tbl>
    <w:p>
      <w:pPr>
        <w:spacing w:line="580" w:lineRule="exact"/>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r>
              <w:rPr>
                <w:rFonts w:hint="eastAsia" w:ascii="楷体" w:hAnsi="楷体" w:eastAsia="楷体" w:cs="楷体"/>
                <w:b/>
                <w:bCs/>
                <w:color w:val="000000"/>
                <w:kern w:val="0"/>
                <w:sz w:val="32"/>
                <w:szCs w:val="32"/>
              </w:rPr>
              <w:t>项目绩效目标完成情况表</w:t>
            </w:r>
          </w:p>
          <w:p>
            <w:pPr>
              <w:widowControl/>
              <w:jc w:val="center"/>
              <w:textAlignment w:val="center"/>
              <w:rPr>
                <w:rFonts w:ascii="宋体" w:cs="宋体"/>
                <w:color w:val="000000"/>
                <w:sz w:val="36"/>
                <w:szCs w:val="36"/>
              </w:rPr>
            </w:pPr>
            <w:r>
              <w:rPr>
                <w:rFonts w:hint="eastAsia" w:ascii="仿宋_GB2312" w:hAnsi="仿宋_GB2312" w:eastAsia="仿宋_GB2312" w:cs="仿宋_GB2312"/>
                <w:color w:val="000000"/>
                <w:kern w:val="0"/>
                <w:sz w:val="32"/>
                <w:szCs w:val="32"/>
              </w:rPr>
              <w:t>(2020年度)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1"/>
                <w:szCs w:val="21"/>
                <w:lang w:eastAsia="zh-CN"/>
              </w:rPr>
            </w:pPr>
            <w:r>
              <w:rPr>
                <w:rFonts w:hint="eastAsia" w:ascii="宋体" w:cs="宋体"/>
                <w:color w:val="000000"/>
                <w:sz w:val="21"/>
                <w:szCs w:val="21"/>
                <w:lang w:eastAsia="zh-CN"/>
              </w:rPr>
              <w:t>茂县生活垃圾及餐厨垃圾处理费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1"/>
                <w:szCs w:val="21"/>
                <w:lang w:eastAsia="zh-CN"/>
              </w:rPr>
            </w:pPr>
            <w:r>
              <w:rPr>
                <w:rFonts w:hint="eastAsia" w:ascii="宋体" w:cs="宋体"/>
                <w:color w:val="000000"/>
                <w:sz w:val="21"/>
                <w:szCs w:val="21"/>
                <w:lang w:eastAsia="zh-CN"/>
              </w:rPr>
              <w:t>城市公用事业服务中心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rPr>
                <w:rFonts w:hint="default"/>
                <w:lang w:val="en-US" w:eastAsia="zh-CN"/>
              </w:rPr>
            </w:pPr>
            <w:r>
              <w:rPr>
                <w:rFonts w:hint="eastAsia"/>
                <w:lang w:val="en-US" w:eastAsia="zh-CN"/>
              </w:rPr>
              <w:t>641.52万元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641.52万元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1"/>
                <w:szCs w:val="21"/>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0"/>
              <w:ind w:firstLine="54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生活及餐厨垃圾处理项目。</w:t>
            </w:r>
            <w:r>
              <w:rPr>
                <w:rFonts w:hint="eastAsia" w:ascii="仿宋_GB2312" w:hAnsi="仿宋_GB2312" w:eastAsia="仿宋_GB2312" w:cs="仿宋_GB2312"/>
                <w:color w:val="auto"/>
                <w:sz w:val="21"/>
                <w:szCs w:val="21"/>
              </w:rPr>
              <w:t>项目全年预算数</w:t>
            </w:r>
            <w:r>
              <w:rPr>
                <w:rFonts w:hint="eastAsia" w:ascii="仿宋_GB2312" w:hAnsi="仿宋_GB2312" w:eastAsia="仿宋_GB2312" w:cs="仿宋_GB2312"/>
                <w:color w:val="auto"/>
                <w:sz w:val="21"/>
                <w:szCs w:val="21"/>
                <w:lang w:val="en-US" w:eastAsia="zh-CN"/>
              </w:rPr>
              <w:t xml:space="preserve"> 641.52</w:t>
            </w:r>
            <w:r>
              <w:rPr>
                <w:rFonts w:hint="eastAsia" w:ascii="仿宋_GB2312" w:hAnsi="仿宋_GB2312" w:eastAsia="仿宋_GB2312" w:cs="仿宋_GB2312"/>
                <w:color w:val="auto"/>
                <w:sz w:val="21"/>
                <w:szCs w:val="21"/>
              </w:rPr>
              <w:t>万元，执行数为</w:t>
            </w:r>
            <w:r>
              <w:rPr>
                <w:rFonts w:hint="eastAsia" w:ascii="仿宋_GB2312" w:hAnsi="仿宋_GB2312" w:eastAsia="仿宋_GB2312" w:cs="仿宋_GB2312"/>
                <w:color w:val="auto"/>
                <w:sz w:val="21"/>
                <w:szCs w:val="21"/>
                <w:lang w:val="en-US" w:eastAsia="zh-CN"/>
              </w:rPr>
              <w:t xml:space="preserve"> 641.52</w:t>
            </w:r>
            <w:r>
              <w:rPr>
                <w:rFonts w:hint="eastAsia" w:ascii="仿宋_GB2312" w:hAnsi="仿宋_GB2312" w:eastAsia="仿宋_GB2312" w:cs="仿宋_GB2312"/>
                <w:color w:val="auto"/>
                <w:sz w:val="21"/>
                <w:szCs w:val="21"/>
              </w:rPr>
              <w:t>万元，完成预算的</w:t>
            </w:r>
            <w:r>
              <w:rPr>
                <w:rFonts w:hint="eastAsia" w:ascii="仿宋_GB2312" w:hAnsi="仿宋_GB2312" w:eastAsia="仿宋_GB2312" w:cs="仿宋_GB2312"/>
                <w:color w:val="auto"/>
                <w:sz w:val="21"/>
                <w:szCs w:val="21"/>
                <w:lang w:val="en-US" w:eastAsia="zh-CN"/>
              </w:rPr>
              <w:t xml:space="preserve"> 100 </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sz w:val="21"/>
                <w:szCs w:val="21"/>
              </w:rPr>
              <w:t>项目采用生物处理技术实现茂县城市生活垃圾的“无害化、资源化、减量化”</w:t>
            </w:r>
            <w:r>
              <w:rPr>
                <w:rFonts w:hint="eastAsia" w:ascii="仿宋_GB2312" w:hAnsi="仿宋_GB2312" w:eastAsia="仿宋_GB2312" w:cs="仿宋_GB2312"/>
                <w:sz w:val="21"/>
                <w:szCs w:val="21"/>
                <w:lang w:eastAsia="zh-CN"/>
              </w:rPr>
              <w:t>，全年生活垃圾及餐厨垃圾处理量</w:t>
            </w:r>
            <w:r>
              <w:rPr>
                <w:rFonts w:hint="eastAsia" w:ascii="仿宋_GB2312" w:hAnsi="仿宋_GB2312" w:eastAsia="仿宋_GB2312" w:cs="仿宋_GB2312"/>
                <w:sz w:val="21"/>
                <w:szCs w:val="21"/>
              </w:rPr>
              <w:t>41627.523吨。</w:t>
            </w:r>
          </w:p>
          <w:p>
            <w:pPr>
              <w:widowControl/>
              <w:jc w:val="center"/>
              <w:textAlignment w:val="center"/>
              <w:rPr>
                <w:rFonts w:ascii="宋体" w:cs="宋体"/>
                <w:color w:val="000000"/>
                <w:sz w:val="21"/>
                <w:szCs w:val="21"/>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0"/>
              <w:ind w:firstLine="54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生活及餐厨垃圾处理项目。</w:t>
            </w:r>
            <w:r>
              <w:rPr>
                <w:rFonts w:hint="eastAsia" w:ascii="仿宋_GB2312" w:hAnsi="仿宋_GB2312" w:eastAsia="仿宋_GB2312" w:cs="仿宋_GB2312"/>
                <w:color w:val="auto"/>
                <w:sz w:val="21"/>
                <w:szCs w:val="21"/>
              </w:rPr>
              <w:t>项目全年预算数</w:t>
            </w:r>
            <w:r>
              <w:rPr>
                <w:rFonts w:hint="eastAsia" w:ascii="仿宋_GB2312" w:hAnsi="仿宋_GB2312" w:eastAsia="仿宋_GB2312" w:cs="仿宋_GB2312"/>
                <w:color w:val="auto"/>
                <w:sz w:val="21"/>
                <w:szCs w:val="21"/>
                <w:lang w:val="en-US" w:eastAsia="zh-CN"/>
              </w:rPr>
              <w:t xml:space="preserve"> 641.52</w:t>
            </w:r>
            <w:r>
              <w:rPr>
                <w:rFonts w:hint="eastAsia" w:ascii="仿宋_GB2312" w:hAnsi="仿宋_GB2312" w:eastAsia="仿宋_GB2312" w:cs="仿宋_GB2312"/>
                <w:color w:val="auto"/>
                <w:sz w:val="21"/>
                <w:szCs w:val="21"/>
              </w:rPr>
              <w:t>万元，执行数为</w:t>
            </w:r>
            <w:r>
              <w:rPr>
                <w:rFonts w:hint="eastAsia" w:ascii="仿宋_GB2312" w:hAnsi="仿宋_GB2312" w:eastAsia="仿宋_GB2312" w:cs="仿宋_GB2312"/>
                <w:color w:val="auto"/>
                <w:sz w:val="21"/>
                <w:szCs w:val="21"/>
                <w:lang w:val="en-US" w:eastAsia="zh-CN"/>
              </w:rPr>
              <w:t xml:space="preserve"> 641.52</w:t>
            </w:r>
            <w:r>
              <w:rPr>
                <w:rFonts w:hint="eastAsia" w:ascii="仿宋_GB2312" w:hAnsi="仿宋_GB2312" w:eastAsia="仿宋_GB2312" w:cs="仿宋_GB2312"/>
                <w:color w:val="auto"/>
                <w:sz w:val="21"/>
                <w:szCs w:val="21"/>
              </w:rPr>
              <w:t>万元，完成预算的</w:t>
            </w:r>
            <w:r>
              <w:rPr>
                <w:rFonts w:hint="eastAsia" w:ascii="仿宋_GB2312" w:hAnsi="仿宋_GB2312" w:eastAsia="仿宋_GB2312" w:cs="仿宋_GB2312"/>
                <w:color w:val="auto"/>
                <w:sz w:val="21"/>
                <w:szCs w:val="21"/>
                <w:lang w:val="en-US" w:eastAsia="zh-CN"/>
              </w:rPr>
              <w:t xml:space="preserve"> 100 </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sz w:val="21"/>
                <w:szCs w:val="21"/>
              </w:rPr>
              <w:t>项目采用生物处理技术实现茂县城市生活垃圾的“无害化、资源化、减量化”</w:t>
            </w:r>
            <w:r>
              <w:rPr>
                <w:rFonts w:hint="eastAsia" w:ascii="仿宋_GB2312" w:hAnsi="仿宋_GB2312" w:eastAsia="仿宋_GB2312" w:cs="仿宋_GB2312"/>
                <w:sz w:val="21"/>
                <w:szCs w:val="21"/>
                <w:lang w:eastAsia="zh-CN"/>
              </w:rPr>
              <w:t>，全年生活垃圾及餐厨垃圾处理量</w:t>
            </w:r>
            <w:r>
              <w:rPr>
                <w:rFonts w:hint="eastAsia" w:ascii="仿宋_GB2312" w:hAnsi="仿宋_GB2312" w:eastAsia="仿宋_GB2312" w:cs="仿宋_GB2312"/>
                <w:sz w:val="21"/>
                <w:szCs w:val="21"/>
              </w:rPr>
              <w:t>41627.523吨。</w:t>
            </w:r>
          </w:p>
          <w:p>
            <w:pPr>
              <w:widowControl/>
              <w:jc w:val="center"/>
              <w:textAlignment w:val="center"/>
              <w:rPr>
                <w:rFonts w:ascii="宋体" w:cs="宋体"/>
                <w:color w:val="000000"/>
                <w:sz w:val="21"/>
                <w:szCs w:val="21"/>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仿宋_GB2312" w:cs="宋体"/>
                <w:color w:val="000000"/>
                <w:sz w:val="24"/>
                <w:lang w:eastAsia="zh-CN"/>
              </w:rPr>
            </w:pPr>
            <w:r>
              <w:rPr>
                <w:rFonts w:hint="eastAsia" w:ascii="仿宋_GB2312" w:hAnsi="仿宋_GB2312" w:eastAsia="仿宋_GB2312" w:cs="仿宋_GB2312"/>
                <w:color w:val="auto"/>
                <w:sz w:val="21"/>
                <w:szCs w:val="21"/>
              </w:rPr>
              <w:t>项目全年预算数</w:t>
            </w:r>
            <w:r>
              <w:rPr>
                <w:rFonts w:hint="eastAsia" w:ascii="仿宋_GB2312" w:hAnsi="仿宋_GB2312" w:eastAsia="仿宋_GB2312" w:cs="仿宋_GB2312"/>
                <w:color w:val="auto"/>
                <w:sz w:val="21"/>
                <w:szCs w:val="21"/>
                <w:lang w:val="en-US" w:eastAsia="zh-CN"/>
              </w:rPr>
              <w:t xml:space="preserve"> 641.52</w:t>
            </w:r>
            <w:r>
              <w:rPr>
                <w:rFonts w:hint="eastAsia" w:ascii="仿宋_GB2312" w:hAnsi="仿宋_GB2312" w:eastAsia="仿宋_GB2312" w:cs="仿宋_GB2312"/>
                <w:color w:val="auto"/>
                <w:sz w:val="21"/>
                <w:szCs w:val="21"/>
              </w:rPr>
              <w:t>万元</w:t>
            </w:r>
            <w:r>
              <w:rPr>
                <w:rFonts w:hint="eastAsia" w:ascii="仿宋_GB2312" w:hAnsi="仿宋_GB2312" w:eastAsia="仿宋_GB2312" w:cs="仿宋_GB2312"/>
                <w:color w:val="auto"/>
                <w:sz w:val="21"/>
                <w:szCs w:val="21"/>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auto"/>
                <w:sz w:val="21"/>
                <w:szCs w:val="21"/>
              </w:rPr>
              <w:t>项目全年</w:t>
            </w:r>
            <w:r>
              <w:rPr>
                <w:rFonts w:hint="eastAsia" w:ascii="仿宋_GB2312" w:hAnsi="仿宋_GB2312" w:eastAsia="仿宋_GB2312" w:cs="仿宋_GB2312"/>
                <w:color w:val="auto"/>
                <w:sz w:val="21"/>
                <w:szCs w:val="21"/>
                <w:lang w:eastAsia="zh-CN"/>
              </w:rPr>
              <w:t>执行</w:t>
            </w:r>
            <w:r>
              <w:rPr>
                <w:rFonts w:hint="eastAsia" w:ascii="仿宋_GB2312" w:hAnsi="仿宋_GB2312" w:eastAsia="仿宋_GB2312" w:cs="仿宋_GB2312"/>
                <w:color w:val="auto"/>
                <w:sz w:val="21"/>
                <w:szCs w:val="21"/>
              </w:rPr>
              <w:t>数</w:t>
            </w:r>
            <w:r>
              <w:rPr>
                <w:rFonts w:hint="eastAsia" w:ascii="仿宋_GB2312" w:hAnsi="仿宋_GB2312" w:eastAsia="仿宋_GB2312" w:cs="仿宋_GB2312"/>
                <w:color w:val="auto"/>
                <w:sz w:val="21"/>
                <w:szCs w:val="21"/>
                <w:lang w:val="en-US" w:eastAsia="zh-CN"/>
              </w:rPr>
              <w:t xml:space="preserve"> 641.52</w:t>
            </w:r>
            <w:r>
              <w:rPr>
                <w:rFonts w:hint="eastAsia" w:ascii="仿宋_GB2312" w:hAnsi="仿宋_GB2312" w:eastAsia="仿宋_GB2312" w:cs="仿宋_GB2312"/>
                <w:color w:val="auto"/>
                <w:sz w:val="21"/>
                <w:szCs w:val="21"/>
              </w:rPr>
              <w:t>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完成处理数据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0"/>
              <w:ind w:firstLine="54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全年生活垃圾及餐厨垃圾处理量</w:t>
            </w:r>
            <w:r>
              <w:rPr>
                <w:rFonts w:hint="eastAsia" w:ascii="仿宋_GB2312" w:hAnsi="仿宋_GB2312" w:eastAsia="仿宋_GB2312" w:cs="仿宋_GB2312"/>
                <w:sz w:val="21"/>
                <w:szCs w:val="21"/>
              </w:rPr>
              <w:t>41627.523吨。</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0"/>
              <w:ind w:firstLine="54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全年生活垃圾及餐厨垃圾处理量</w:t>
            </w:r>
            <w:r>
              <w:rPr>
                <w:rFonts w:hint="eastAsia" w:ascii="仿宋_GB2312" w:hAnsi="仿宋_GB2312" w:eastAsia="仿宋_GB2312" w:cs="仿宋_GB2312"/>
                <w:sz w:val="21"/>
                <w:szCs w:val="21"/>
              </w:rPr>
              <w:t>41627.523吨。</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2020年12月31日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2020年12月31日</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cs="宋体"/>
                <w:color w:val="000000"/>
                <w:sz w:val="24"/>
              </w:rPr>
            </w:pPr>
            <w:r>
              <w:rPr>
                <w:rFonts w:hint="eastAsia" w:ascii="仿宋_GB2312" w:hAnsi="仿宋_GB2312" w:eastAsia="仿宋_GB2312" w:cs="仿宋_GB2312"/>
                <w:color w:val="000000"/>
                <w:sz w:val="24"/>
                <w:szCs w:val="24"/>
                <w:lang w:eastAsia="zh-CN"/>
              </w:rPr>
              <w:t>达到效益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0"/>
              <w:ind w:firstLine="540" w:firstLineChars="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通过生态良性循环方式将污染物转化成为有益的资源制成商品，回归大自然，造福人民，污染物不复存在。从根本上消除污染源，是保护环境的治本之策。开发研究成功，“3F生活垃圾资源化综合利用工艺技术及成套装备”，属于国家重点科技攻关成果。该成果对生活垃圾进行资源化综合利用，资源化减容量高达95%以上，最大化地发挥了生活垃圾的资源作用，做到了物尽其用、充分消纳。经济效益和社会效益并重</w:t>
            </w:r>
            <w:r>
              <w:rPr>
                <w:rFonts w:hint="eastAsia" w:ascii="仿宋_GB2312" w:hAnsi="仿宋_GB2312" w:eastAsia="仿宋_GB2312" w:cs="仿宋_GB2312"/>
                <w:sz w:val="21"/>
                <w:szCs w:val="21"/>
                <w:lang w:eastAsia="zh-CN"/>
              </w:rPr>
              <w:t>。</w:t>
            </w:r>
          </w:p>
          <w:p>
            <w:pPr>
              <w:spacing w:line="580" w:lineRule="exact"/>
              <w:ind w:firstLine="420" w:firstLineChars="20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本次生活垃圾资源化综合利用项目，茂县垃圾王环保科技有限公司就采用 “3F垃圾综合利用技术”方案是运用生态良性循环原理对生活垃圾进行资源化综合利用。将为经过分类的混合生活垃圾运到生产线通过机械分类，采用生物质利用技术和高科技方法处理后进行五方面的利用：①制成高效全养分系列农作物及林木用肥料（不是低价值的堆肥），回归大自然；②塑料、橡胶直接打包销售或制成燃料油（闭合方式生产没有废气外排）；③砖石瓦渣制成彩色路面砖，草坪砖、护坡砖等；④金属、玻璃数量少暂交收购站集中利用；⑤生产废水全部利用无排放</w:t>
            </w:r>
            <w:r>
              <w:rPr>
                <w:rFonts w:hint="eastAsia" w:ascii="仿宋_GB2312" w:hAnsi="仿宋_GB2312" w:eastAsia="仿宋_GB2312" w:cs="仿宋_GB2312"/>
                <w:sz w:val="21"/>
                <w:szCs w:val="21"/>
                <w:lang w:eastAsia="zh-CN"/>
              </w:rPr>
              <w:t>。</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0"/>
              <w:ind w:firstLine="540" w:firstLineChars="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通过生态良性循环方式将污染物转化成为有益的资源制成商品，回归大自然，造福人民，污染物不复存在。从根本上消除污染源，是保护环境的治本之策。开发研究成功，“3F生活垃圾资源化综合利用工艺技术及成套装备”，属于国家重点科技攻关成果。该成果对生活垃圾进行资源化综合利用，资源化减容量高达95%以上，最大化地发挥了生活垃圾的资源作用，做到了物尽其用、充分消纳。经济效益和社会效益并重</w:t>
            </w:r>
            <w:r>
              <w:rPr>
                <w:rFonts w:hint="eastAsia" w:ascii="仿宋_GB2312" w:hAnsi="仿宋_GB2312" w:eastAsia="仿宋_GB2312" w:cs="仿宋_GB2312"/>
                <w:sz w:val="21"/>
                <w:szCs w:val="21"/>
                <w:lang w:eastAsia="zh-CN"/>
              </w:rPr>
              <w:t>。</w:t>
            </w:r>
          </w:p>
          <w:p>
            <w:pPr>
              <w:spacing w:line="580" w:lineRule="exact"/>
              <w:ind w:firstLine="420" w:firstLineChars="20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本次生活垃圾资源化综合利用项目，茂县垃圾王环保科技有限公司就采用 “3F垃圾综合利用技术”方案是运用生态良性循环原理对生活垃圾进行资源化综合利用。将为经过分类的混合生活垃圾运到生产线通过机械分类，采用生物质利用技术和高科技方法处理后进行五方面的利用：①制成高效全养分系列农作物及林木用肥料（不是低价值的堆肥），回归大自然；②塑料、橡胶直接打包销售或制成燃料油（闭合方式生产没有废气外排）；③砖石瓦渣制成彩色路面砖，草坪砖、护坡砖等；④金属、玻璃数量少暂交收购站集中利用；⑤生产废水全部利用无排放</w:t>
            </w:r>
            <w:r>
              <w:rPr>
                <w:rFonts w:hint="eastAsia" w:ascii="仿宋_GB2312" w:hAnsi="仿宋_GB2312" w:eastAsia="仿宋_GB2312" w:cs="仿宋_GB2312"/>
                <w:sz w:val="21"/>
                <w:szCs w:val="21"/>
                <w:lang w:eastAsia="zh-CN"/>
              </w:rPr>
              <w:t>。</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lang w:eastAsia="zh-CN"/>
              </w:rPr>
              <w:t>社会满意度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90%</w:t>
            </w:r>
          </w:p>
        </w:tc>
      </w:tr>
    </w:tbl>
    <w:p>
      <w:pPr>
        <w:spacing w:line="580" w:lineRule="exact"/>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widowControl/>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b w:val="0"/>
          <w:bCs/>
          <w:sz w:val="32"/>
          <w:szCs w:val="32"/>
          <w:shd w:val="clear" w:color="auto" w:fill="FFFFFF"/>
          <w:lang w:eastAsia="zh-CN"/>
        </w:rPr>
        <w:t>城市公用事业服务中心</w:t>
      </w:r>
      <w:r>
        <w:rPr>
          <w:rFonts w:hint="eastAsia" w:ascii="仿宋_GB2312" w:hAnsi="仿宋_GB2312" w:eastAsia="仿宋_GB2312" w:cs="仿宋_GB2312"/>
          <w:bCs/>
          <w:sz w:val="32"/>
          <w:szCs w:val="32"/>
          <w:shd w:val="clear" w:color="auto" w:fill="FFFFFF"/>
        </w:rPr>
        <w:t>关于202</w:t>
      </w:r>
      <w:r>
        <w:rPr>
          <w:rFonts w:hint="eastAsia" w:ascii="仿宋_GB2312" w:hAnsi="仿宋_GB2312" w:eastAsia="仿宋_GB2312" w:cs="仿宋_GB2312"/>
          <w:bCs/>
          <w:sz w:val="32"/>
          <w:szCs w:val="32"/>
          <w:shd w:val="clear" w:color="auto" w:fill="FFFFFF"/>
          <w:lang w:val="en-US" w:eastAsia="zh-CN"/>
        </w:rPr>
        <w:t>0</w:t>
      </w:r>
      <w:r>
        <w:rPr>
          <w:rFonts w:hint="eastAsia" w:ascii="仿宋_GB2312" w:hAnsi="仿宋_GB2312" w:eastAsia="仿宋_GB2312" w:cs="仿宋_GB2312"/>
          <w:bCs/>
          <w:sz w:val="32"/>
          <w:szCs w:val="32"/>
          <w:shd w:val="clear" w:color="auto" w:fill="FFFFFF"/>
        </w:rPr>
        <w:t>年整体支出绩效报告</w:t>
      </w:r>
      <w:r>
        <w:rPr>
          <w:rFonts w:hint="eastAsia" w:ascii="仿宋_GB2312" w:hAnsi="仿宋_GB2312" w:eastAsia="仿宋_GB2312" w:cs="仿宋_GB2312"/>
          <w:sz w:val="32"/>
          <w:szCs w:val="32"/>
        </w:rPr>
        <w:t>》见附件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spacing w:line="580" w:lineRule="exact"/>
        <w:jc w:val="left"/>
        <w:rPr>
          <w:rFonts w:ascii="仿宋_GB2312" w:hAns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4"/>
          <w:rFonts w:hint="eastAsia" w:ascii="方正小标宋简体" w:hAnsi="方正小标宋简体" w:eastAsia="方正小标宋简体" w:cs="方正小标宋简体"/>
          <w:b w:val="0"/>
        </w:rPr>
      </w:pPr>
      <w:bookmarkStart w:id="105" w:name="_Toc79163879"/>
      <w:bookmarkStart w:id="106" w:name="_Toc15396613"/>
      <w:bookmarkStart w:id="107" w:name="_Toc79163629"/>
      <w:bookmarkStart w:id="108" w:name="_Toc15377225"/>
      <w:r>
        <w:rPr>
          <w:rFonts w:hint="eastAsia" w:ascii="方正小标宋简体" w:hAnsi="方正小标宋简体" w:eastAsia="方正小标宋简体" w:cs="方正小标宋简体"/>
          <w:color w:val="000000"/>
          <w:sz w:val="44"/>
          <w:szCs w:val="44"/>
        </w:rPr>
        <w:t>名</w:t>
      </w:r>
      <w:r>
        <w:rPr>
          <w:rStyle w:val="24"/>
          <w:rFonts w:hint="eastAsia" w:ascii="方正小标宋简体" w:hAnsi="方正小标宋简体" w:eastAsia="方正小标宋简体" w:cs="方正小标宋简体"/>
          <w:b w:val="0"/>
        </w:rPr>
        <w:t>词解释</w:t>
      </w:r>
      <w:bookmarkEnd w:id="105"/>
      <w:bookmarkEnd w:id="106"/>
      <w:bookmarkEnd w:id="107"/>
      <w:bookmarkEnd w:id="108"/>
    </w:p>
    <w:p>
      <w:pPr>
        <w:spacing w:line="600" w:lineRule="exact"/>
        <w:jc w:val="left"/>
        <w:rPr>
          <w:rFonts w:ascii="宋体"/>
          <w:b/>
          <w:color w:val="000000"/>
          <w:sz w:val="44"/>
          <w:szCs w:val="44"/>
        </w:rPr>
      </w:pPr>
    </w:p>
    <w:p>
      <w:pPr>
        <w:pStyle w:val="34"/>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4"/>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4"/>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4"/>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4"/>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4"/>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4"/>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4"/>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21"/>
          <w:rFonts w:ascii="仿宋_GB2312" w:hAnsi="仿宋" w:eastAsia="仿宋_GB2312"/>
          <w:b w:val="0"/>
          <w:bCs/>
          <w:color w:val="000000"/>
          <w:sz w:val="32"/>
          <w:szCs w:val="32"/>
        </w:rPr>
      </w:pPr>
      <w:r>
        <w:rPr>
          <w:rStyle w:val="21"/>
          <w:rFonts w:hint="eastAsia" w:ascii="仿宋_GB2312" w:hAnsi="仿宋" w:eastAsia="仿宋_GB2312"/>
          <w:b w:val="0"/>
          <w:bCs/>
          <w:color w:val="000000"/>
          <w:sz w:val="32"/>
          <w:szCs w:val="32"/>
        </w:rPr>
        <w:t>9.城乡社区支出（类）城乡社区管理事务（款）行政运行（项）: 指行政单位（包括实行公务员管理的事业单位）的基本支出。</w:t>
      </w:r>
    </w:p>
    <w:p>
      <w:pPr>
        <w:keepNext w:val="0"/>
        <w:keepLines w:val="0"/>
        <w:pageBreakBefore w:val="0"/>
        <w:widowControl w:val="0"/>
        <w:kinsoku/>
        <w:wordWrap/>
        <w:overflowPunct/>
        <w:topLinePunct w:val="0"/>
        <w:bidi w:val="0"/>
        <w:snapToGrid/>
        <w:spacing w:line="576" w:lineRule="exact"/>
        <w:ind w:firstLine="480" w:firstLineChars="150"/>
        <w:textAlignment w:val="auto"/>
        <w:rPr>
          <w:rStyle w:val="21"/>
          <w:rFonts w:ascii="仿宋_GB2312" w:hAnsi="仿宋" w:eastAsia="仿宋_GB2312"/>
          <w:b w:val="0"/>
          <w:color w:val="000000"/>
          <w:sz w:val="32"/>
          <w:szCs w:val="32"/>
        </w:rPr>
      </w:pPr>
      <w:r>
        <w:rPr>
          <w:rStyle w:val="21"/>
          <w:rFonts w:hint="eastAsia" w:ascii="仿宋_GB2312" w:hAnsi="仿宋" w:eastAsia="仿宋_GB2312"/>
          <w:b w:val="0"/>
          <w:bCs/>
          <w:color w:val="000000"/>
          <w:sz w:val="32"/>
          <w:szCs w:val="32"/>
        </w:rPr>
        <w:t>10.城乡社区支出（类）城乡社区管理事务（款）其他城乡社区管理事务支出（项）：指除上述项目以外其他用于城乡社区管理食物方面的支出。</w:t>
      </w:r>
    </w:p>
    <w:p>
      <w:pPr>
        <w:keepNext w:val="0"/>
        <w:keepLines w:val="0"/>
        <w:pageBreakBefore w:val="0"/>
        <w:widowControl w:val="0"/>
        <w:kinsoku/>
        <w:wordWrap/>
        <w:overflowPunct/>
        <w:topLinePunct w:val="0"/>
        <w:bidi w:val="0"/>
        <w:snapToGrid/>
        <w:spacing w:line="576" w:lineRule="exact"/>
        <w:ind w:firstLine="480" w:firstLineChars="150"/>
        <w:textAlignment w:val="auto"/>
        <w:rPr>
          <w:rStyle w:val="21"/>
          <w:rFonts w:ascii="仿宋_GB2312" w:hAnsi="仿宋" w:eastAsia="仿宋_GB2312"/>
          <w:b w:val="0"/>
          <w:color w:val="000000"/>
          <w:sz w:val="32"/>
          <w:szCs w:val="32"/>
        </w:rPr>
      </w:pPr>
      <w:r>
        <w:rPr>
          <w:rStyle w:val="21"/>
          <w:rFonts w:hint="eastAsia" w:ascii="仿宋_GB2312" w:hAnsi="仿宋" w:eastAsia="仿宋_GB2312"/>
          <w:b w:val="0"/>
          <w:bCs/>
          <w:color w:val="000000"/>
          <w:sz w:val="32"/>
          <w:szCs w:val="32"/>
        </w:rPr>
        <w:t>11.城乡社区支出（类）国有土地使用权出让收入及对应专项债务收入安排的支出（款）其他国有土地使用权出让收入安排的支出（项）</w:t>
      </w:r>
      <w:r>
        <w:rPr>
          <w:rStyle w:val="21"/>
          <w:rFonts w:hint="eastAsia" w:ascii="仿宋_GB2312" w:hAnsi="仿宋" w:eastAsia="仿宋_GB2312"/>
          <w:b w:val="0"/>
          <w:bCs/>
          <w:color w:val="000000"/>
          <w:sz w:val="32"/>
          <w:szCs w:val="32"/>
          <w:lang w:val="en-US" w:eastAsia="zh-CN"/>
        </w:rPr>
        <w:t>:</w:t>
      </w:r>
      <w:r>
        <w:rPr>
          <w:rStyle w:val="21"/>
          <w:rFonts w:hint="eastAsia" w:ascii="仿宋_GB2312" w:hAnsi="仿宋" w:eastAsia="仿宋_GB2312"/>
          <w:b w:val="0"/>
          <w:bCs/>
          <w:color w:val="000000"/>
          <w:sz w:val="32"/>
          <w:szCs w:val="32"/>
        </w:rPr>
        <w:t>指</w:t>
      </w:r>
      <w:r>
        <w:rPr>
          <w:rStyle w:val="21"/>
          <w:rFonts w:hint="eastAsia" w:ascii="仿宋_GB2312" w:hAnsi="仿宋" w:eastAsia="仿宋_GB2312"/>
          <w:b w:val="0"/>
          <w:bCs/>
          <w:color w:val="000000"/>
          <w:sz w:val="32"/>
          <w:szCs w:val="32"/>
          <w:lang w:eastAsia="zh-CN"/>
        </w:rPr>
        <w:t>土地出让收入，用于其他方面的支出。不包括市县级政府当年按规定用土地出让收入向中央和省级政府缴纳的新增建设用地土地有偿使用费支出</w:t>
      </w:r>
      <w:r>
        <w:rPr>
          <w:rStyle w:val="21"/>
          <w:rFonts w:hint="eastAsia" w:ascii="仿宋_GB2312" w:hAnsi="仿宋" w:eastAsia="仿宋_GB2312"/>
          <w:b w:val="0"/>
          <w:bCs/>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21"/>
          <w:rFonts w:ascii="仿宋_GB2312" w:hAnsi="仿宋" w:eastAsia="仿宋_GB2312"/>
          <w:b w:val="0"/>
          <w:color w:val="000000"/>
          <w:sz w:val="32"/>
          <w:szCs w:val="32"/>
        </w:rPr>
      </w:pPr>
      <w:r>
        <w:rPr>
          <w:rStyle w:val="21"/>
          <w:rFonts w:hint="eastAsia" w:ascii="仿宋_GB2312" w:hAnsi="仿宋" w:eastAsia="仿宋_GB2312"/>
          <w:b w:val="0"/>
          <w:bCs/>
          <w:color w:val="000000"/>
          <w:sz w:val="32"/>
          <w:szCs w:val="32"/>
        </w:rPr>
        <w:t>12.城乡社区支出（类）国有土地收益基金及对应专项债务收入安排的支出（款）其他国有土地收益基金支出（项）：指</w:t>
      </w:r>
      <w:r>
        <w:rPr>
          <w:rStyle w:val="21"/>
          <w:rFonts w:hint="eastAsia" w:ascii="仿宋_GB2312" w:hAnsi="仿宋" w:eastAsia="仿宋_GB2312"/>
          <w:b w:val="0"/>
          <w:bCs/>
          <w:color w:val="000000"/>
          <w:sz w:val="32"/>
          <w:szCs w:val="32"/>
          <w:lang w:eastAsia="zh-CN"/>
        </w:rPr>
        <w:t>从国有土地收益基金安排用于其他支出</w:t>
      </w:r>
      <w:r>
        <w:rPr>
          <w:rStyle w:val="21"/>
          <w:rFonts w:hint="eastAsia" w:ascii="仿宋_GB2312" w:hAnsi="仿宋" w:eastAsia="仿宋_GB2312"/>
          <w:b w:val="0"/>
          <w:bCs/>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21"/>
          <w:rFonts w:ascii="仿宋_GB2312" w:hAnsi="仿宋" w:eastAsia="仿宋_GB2312"/>
          <w:b w:val="0"/>
          <w:color w:val="000000"/>
          <w:sz w:val="32"/>
          <w:szCs w:val="32"/>
        </w:rPr>
      </w:pPr>
      <w:r>
        <w:rPr>
          <w:rStyle w:val="21"/>
          <w:rFonts w:hint="eastAsia" w:ascii="仿宋_GB2312" w:hAnsi="仿宋" w:eastAsia="仿宋_GB2312"/>
          <w:b w:val="0"/>
          <w:bCs/>
          <w:color w:val="000000"/>
          <w:sz w:val="32"/>
          <w:szCs w:val="32"/>
        </w:rPr>
        <w:t>13.城乡社区支出（类）城市基础设施配套费及对应专项债务收入安排的支出（款）城市环境卫生支出（项）：指城乡社区道路清扫、垃圾清运与处理、公厕建设与维护，园林绿化等方面的支出。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 w:eastAsia="仿宋_GB2312"/>
          <w:color w:val="000000"/>
          <w:sz w:val="32"/>
          <w:szCs w:val="32"/>
        </w:rPr>
      </w:pPr>
      <w:r>
        <w:rPr>
          <w:rStyle w:val="21"/>
          <w:rFonts w:hint="eastAsia" w:ascii="仿宋_GB2312" w:hAnsi="仿宋" w:eastAsia="仿宋_GB2312"/>
          <w:b w:val="0"/>
          <w:bCs/>
          <w:color w:val="000000"/>
          <w:sz w:val="32"/>
          <w:szCs w:val="32"/>
        </w:rPr>
        <w:t>14.节能环保支出（类）自然生态保护（款）生态保护（项）: 指用于生态功能保护区、生态示范区、生态省（市、县）管理及能力建设、日常管护、宣教、试点示范等支出，生态修复支出，资源开发生态监管等支出。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 w:eastAsia="仿宋_GB2312"/>
          <w:color w:val="000000"/>
          <w:sz w:val="32"/>
          <w:szCs w:val="32"/>
        </w:rPr>
      </w:pPr>
      <w:r>
        <w:rPr>
          <w:rStyle w:val="21"/>
          <w:rFonts w:hint="eastAsia" w:ascii="仿宋_GB2312" w:hAnsi="仿宋" w:eastAsia="仿宋_GB2312"/>
          <w:b w:val="0"/>
          <w:bCs/>
          <w:color w:val="000000"/>
          <w:sz w:val="32"/>
          <w:szCs w:val="32"/>
        </w:rPr>
        <w:t>15.社会保障和就业支出（类）行政事业单位离退休费（款）机关事业单位基本养老保险缴费支出（项）: 指机关事业单位实施养老保险制度由单位缴纳的养老保险费支出。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 w:eastAsia="仿宋_GB2312"/>
          <w:color w:val="000000"/>
          <w:sz w:val="32"/>
          <w:szCs w:val="32"/>
        </w:rPr>
      </w:pPr>
      <w:r>
        <w:rPr>
          <w:rStyle w:val="21"/>
          <w:rFonts w:hint="eastAsia" w:ascii="仿宋_GB2312" w:hAnsi="仿宋" w:eastAsia="仿宋_GB2312"/>
          <w:b w:val="0"/>
          <w:bCs/>
          <w:color w:val="000000"/>
          <w:sz w:val="32"/>
          <w:szCs w:val="32"/>
        </w:rPr>
        <w:t>16.社会保障和就业支出（类）行政事业单位离退休费（款）机关事业单位职业年金缴费支出（项）: 指机关事业单位实施养老保险制度由单位实际缴纳的职业年金支出。</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21"/>
          <w:rFonts w:ascii="仿宋_GB2312" w:hAnsi="仿宋" w:eastAsia="仿宋_GB2312"/>
          <w:b w:val="0"/>
          <w:color w:val="000000"/>
          <w:sz w:val="32"/>
          <w:szCs w:val="32"/>
        </w:rPr>
      </w:pPr>
      <w:r>
        <w:rPr>
          <w:rStyle w:val="21"/>
          <w:rFonts w:hint="eastAsia" w:ascii="仿宋_GB2312" w:hAnsi="仿宋" w:eastAsia="仿宋_GB2312"/>
          <w:b w:val="0"/>
          <w:bCs/>
          <w:color w:val="000000"/>
          <w:sz w:val="32"/>
          <w:szCs w:val="32"/>
        </w:rPr>
        <w:t>17.医疗卫生与计划生育（类）行政事业单位医疗（款）行政单位医疗（项）:指财政部门安排的行政单位（包括实行公务员管理的事业单位，下同）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21"/>
          <w:rFonts w:ascii="仿宋_GB2312" w:hAnsi="仿宋" w:eastAsia="仿宋_GB2312"/>
          <w:b w:val="0"/>
          <w:bCs/>
          <w:color w:val="000000"/>
          <w:sz w:val="32"/>
          <w:szCs w:val="32"/>
        </w:rPr>
      </w:pPr>
      <w:r>
        <w:rPr>
          <w:rStyle w:val="21"/>
          <w:rFonts w:hint="eastAsia" w:ascii="仿宋_GB2312" w:hAnsi="仿宋" w:eastAsia="仿宋_GB2312"/>
          <w:b w:val="0"/>
          <w:bCs/>
          <w:color w:val="000000"/>
          <w:sz w:val="32"/>
          <w:szCs w:val="32"/>
        </w:rPr>
        <w:t>18.医疗卫生与计划生育（类）行政事业单位医疗（款）事业单位医疗（项）:指指财政部门安排的事业单位基本医疗保险缴费经费，未参加医疗保险的行政单位的公费医疗经费，按国家规定享受离休人员的医疗经费。</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 w:eastAsia="仿宋_GB2312"/>
          <w:color w:val="000000"/>
          <w:sz w:val="32"/>
          <w:szCs w:val="32"/>
        </w:rPr>
      </w:pPr>
      <w:r>
        <w:rPr>
          <w:rStyle w:val="21"/>
          <w:rFonts w:hint="eastAsia" w:ascii="仿宋_GB2312" w:hAnsi="仿宋" w:eastAsia="仿宋_GB2312"/>
          <w:b w:val="0"/>
          <w:bCs/>
          <w:color w:val="000000"/>
          <w:sz w:val="32"/>
          <w:szCs w:val="32"/>
        </w:rPr>
        <w:t>19.住房保障支出（类）住房改革支出（款）住房公积金（项）: 指行政事业单位按人力资源和社会保障部、财政部规定的基本工资和津贴补贴以及规定比例为职工缴纳的住房公积金。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20.基本支出：指为保障机构正常运转、完成日常工作任务而发生的人员支出和公用支出。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4"/>
        <w:spacing w:line="576" w:lineRule="exact"/>
        <w:ind w:firstLine="640" w:firstLineChars="200"/>
        <w:rPr>
          <w:rFonts w:ascii="仿宋_GB2312" w:eastAsia="仿宋_GB2312"/>
          <w:sz w:val="32"/>
          <w:szCs w:val="32"/>
        </w:rPr>
      </w:pPr>
      <w:r>
        <w:rPr>
          <w:rFonts w:hint="eastAsia" w:ascii="仿宋_GB2312" w:eastAsia="仿宋_GB2312"/>
          <w:sz w:val="32"/>
          <w:szCs w:val="32"/>
        </w:rPr>
        <w:t>23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宋体"/>
          <w:b/>
          <w:color w:val="000000"/>
          <w:sz w:val="44"/>
          <w:szCs w:val="44"/>
        </w:rPr>
      </w:pPr>
      <w:bookmarkStart w:id="109" w:name="_Toc15377226"/>
      <w:r>
        <w:rPr>
          <w:rFonts w:ascii="宋体"/>
          <w:b/>
          <w:color w:val="000000"/>
          <w:sz w:val="44"/>
          <w:szCs w:val="44"/>
        </w:rPr>
        <w:br w:type="page"/>
      </w:r>
      <w:bookmarkStart w:id="110" w:name="_Toc79163630"/>
      <w:bookmarkStart w:id="111" w:name="_Toc15396614"/>
      <w:bookmarkStart w:id="112" w:name="_Toc79163880"/>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10"/>
      <w:bookmarkEnd w:id="111"/>
      <w:bookmarkEnd w:id="112"/>
    </w:p>
    <w:p>
      <w:pPr>
        <w:spacing w:line="600" w:lineRule="exact"/>
        <w:jc w:val="left"/>
        <w:outlineLvl w:val="0"/>
        <w:rPr>
          <w:rFonts w:ascii="黑体" w:hAnsi="黑体" w:eastAsia="黑体" w:cs="黑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pStyle w:val="2"/>
        <w:rPr>
          <w:rFonts w:ascii="黑体" w:hAnsi="黑体" w:eastAsia="黑体" w:cs="黑体"/>
          <w:sz w:val="32"/>
          <w:szCs w:val="32"/>
        </w:rPr>
      </w:pPr>
    </w:p>
    <w:p>
      <w:pPr>
        <w:keepNext w:val="0"/>
        <w:keepLines w:val="0"/>
        <w:pageBreakBefore w:val="0"/>
        <w:widowControl/>
        <w:kinsoku/>
        <w:wordWrap/>
        <w:overflowPunct/>
        <w:topLinePunct w:val="0"/>
        <w:bidi w:val="0"/>
        <w:spacing w:line="576" w:lineRule="exact"/>
        <w:ind w:firstLine="1760" w:firstLineChars="400"/>
        <w:jc w:val="both"/>
        <w:textAlignment w:val="auto"/>
        <w:rPr>
          <w:rFonts w:hint="eastAsia" w:ascii="方正小标宋简体" w:hAnsi="方正小标宋简体" w:eastAsia="方正小标宋简体" w:cs="方正小标宋简体"/>
          <w:b w:val="0"/>
          <w:bCs/>
          <w:sz w:val="44"/>
          <w:szCs w:val="44"/>
          <w:shd w:val="clear" w:color="auto" w:fill="FFFFFF"/>
          <w:lang w:eastAsia="zh-CN"/>
        </w:rPr>
      </w:pPr>
      <w:r>
        <w:rPr>
          <w:rFonts w:hint="eastAsia" w:ascii="方正小标宋简体" w:hAnsi="方正小标宋简体" w:eastAsia="方正小标宋简体" w:cs="方正小标宋简体"/>
          <w:b w:val="0"/>
          <w:bCs/>
          <w:sz w:val="44"/>
          <w:szCs w:val="44"/>
          <w:shd w:val="clear" w:color="auto" w:fill="FFFFFF"/>
          <w:lang w:eastAsia="zh-CN"/>
        </w:rPr>
        <w:t>城市公用事业服务中心</w:t>
      </w:r>
    </w:p>
    <w:p>
      <w:pPr>
        <w:keepNext w:val="0"/>
        <w:keepLines w:val="0"/>
        <w:pageBreakBefore w:val="0"/>
        <w:widowControl/>
        <w:kinsoku/>
        <w:wordWrap/>
        <w:overflowPunct/>
        <w:topLinePunct w:val="0"/>
        <w:bidi w:val="0"/>
        <w:spacing w:line="576" w:lineRule="exact"/>
        <w:jc w:val="center"/>
        <w:textAlignment w:val="auto"/>
        <w:rPr>
          <w:rFonts w:hint="eastAsia"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关于202</w:t>
      </w:r>
      <w:r>
        <w:rPr>
          <w:rFonts w:hint="eastAsia" w:ascii="方正小标宋简体" w:hAnsi="方正小标宋简体" w:eastAsia="方正小标宋简体" w:cs="方正小标宋简体"/>
          <w:bCs/>
          <w:sz w:val="44"/>
          <w:szCs w:val="44"/>
          <w:shd w:val="clear" w:color="auto" w:fill="FFFFFF"/>
          <w:lang w:val="en-US" w:eastAsia="zh-CN"/>
        </w:rPr>
        <w:t>0</w:t>
      </w:r>
      <w:r>
        <w:rPr>
          <w:rFonts w:hint="eastAsia" w:ascii="方正小标宋简体" w:hAnsi="方正小标宋简体" w:eastAsia="方正小标宋简体" w:cs="方正小标宋简体"/>
          <w:bCs/>
          <w:sz w:val="44"/>
          <w:szCs w:val="44"/>
          <w:shd w:val="clear" w:color="auto" w:fill="FFFFFF"/>
        </w:rPr>
        <w:t>年整体支出绩效报告</w:t>
      </w:r>
    </w:p>
    <w:p>
      <w:pPr>
        <w:keepNext w:val="0"/>
        <w:keepLines w:val="0"/>
        <w:pageBreakBefore w:val="0"/>
        <w:widowControl/>
        <w:kinsoku/>
        <w:wordWrap/>
        <w:overflowPunct/>
        <w:topLinePunct w:val="0"/>
        <w:bidi w:val="0"/>
        <w:adjustRightInd w:val="0"/>
        <w:snapToGrid w:val="0"/>
        <w:spacing w:line="576" w:lineRule="exact"/>
        <w:ind w:firstLine="720"/>
        <w:jc w:val="left"/>
        <w:textAlignment w:val="auto"/>
        <w:rPr>
          <w:rFonts w:hint="eastAsia" w:ascii="黑体" w:hAnsi="宋体" w:eastAsia="黑体" w:cs="宋体"/>
          <w:color w:val="000000"/>
          <w:kern w:val="0"/>
          <w:sz w:val="44"/>
          <w:szCs w:val="44"/>
          <w:shd w:val="clear" w:color="auto" w:fill="FFFFFF"/>
        </w:rPr>
      </w:pPr>
    </w:p>
    <w:p>
      <w:pPr>
        <w:keepNext w:val="0"/>
        <w:keepLines w:val="0"/>
        <w:pageBreakBefore w:val="0"/>
        <w:widowControl/>
        <w:kinsoku/>
        <w:wordWrap/>
        <w:overflowPunct/>
        <w:topLinePunct w:val="0"/>
        <w:bidi w:val="0"/>
        <w:adjustRightInd w:val="0"/>
        <w:snapToGrid w:val="0"/>
        <w:spacing w:line="576" w:lineRule="exact"/>
        <w:jc w:val="left"/>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rPr>
        <w:t>一、</w:t>
      </w:r>
      <w:r>
        <w:rPr>
          <w:rFonts w:hint="eastAsia" w:ascii="仿宋_GB2312" w:hAnsi="仿宋_GB2312" w:eastAsia="仿宋_GB2312" w:cs="仿宋_GB2312"/>
          <w:b/>
          <w:color w:val="000000"/>
          <w:kern w:val="0"/>
          <w:sz w:val="32"/>
          <w:szCs w:val="32"/>
          <w:shd w:val="clear" w:color="auto" w:fill="FFFFFF"/>
          <w:lang w:val="zh-CN"/>
        </w:rPr>
        <w:t>部门概况</w:t>
      </w:r>
    </w:p>
    <w:p>
      <w:pPr>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1.机构组成</w:t>
      </w:r>
    </w:p>
    <w:p>
      <w:pPr>
        <w:keepNext w:val="0"/>
        <w:keepLines w:val="0"/>
        <w:pageBreakBefore w:val="0"/>
        <w:widowControl/>
        <w:kinsoku/>
        <w:wordWrap/>
        <w:overflowPunct/>
        <w:topLinePunct w:val="0"/>
        <w:bidi w:val="0"/>
        <w:adjustRightInd w:val="0"/>
        <w:snapToGrid w:val="0"/>
        <w:spacing w:line="576" w:lineRule="exact"/>
        <w:ind w:firstLine="480" w:firstLineChars="15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茂县城市公用事业服务中心，于2007年12月经</w:t>
      </w:r>
      <w:r>
        <w:rPr>
          <w:rFonts w:hint="eastAsia" w:ascii="仿宋_GB2312" w:hAnsi="仿宋_GB2312" w:eastAsia="仿宋_GB2312" w:cs="仿宋_GB2312"/>
          <w:sz w:val="32"/>
          <w:szCs w:val="32"/>
        </w:rPr>
        <w:t>茂县机构编制委员会批复正式成立</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sz w:val="32"/>
          <w:szCs w:val="32"/>
        </w:rPr>
        <w:t>机构性质为参照公务员管理的事业单位</w:t>
      </w:r>
      <w:r>
        <w:rPr>
          <w:rFonts w:hint="eastAsia" w:ascii="仿宋_GB2312" w:hAnsi="仿宋_GB2312" w:eastAsia="仿宋_GB2312" w:cs="仿宋_GB2312"/>
          <w:color w:val="000000"/>
          <w:kern w:val="0"/>
          <w:sz w:val="32"/>
          <w:szCs w:val="32"/>
          <w:shd w:val="clear" w:color="auto" w:fill="FFFFFF"/>
          <w:lang w:val="zh-CN"/>
        </w:rPr>
        <w:t>，单位内设城市公用事业服务中心机关</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shd w:val="clear" w:color="auto" w:fill="FFFFFF"/>
          <w:lang w:val="zh-CN"/>
        </w:rPr>
        <w:t>清洁卫生管理所构成。</w:t>
      </w:r>
    </w:p>
    <w:p>
      <w:pPr>
        <w:keepNext w:val="0"/>
        <w:keepLines w:val="0"/>
        <w:pageBreakBefore w:val="0"/>
        <w:kinsoku/>
        <w:wordWrap/>
        <w:overflowPunct/>
        <w:topLinePunct w:val="0"/>
        <w:bidi w:val="0"/>
        <w:spacing w:line="576" w:lineRule="exact"/>
        <w:ind w:firstLine="157" w:firstLineChars="49"/>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2.机构职能</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照国务院《城市市容和环境卫生管理条例》《城市道路管理条例，《城市绿化条例》，建设部《城市道路照明设施管理规定》《城建监察规定》及《四川省城市市容和环境卫生管理条例》《四川省城市园林绿化条例》等法规，对城市市容市貌、园林绿化、环境卫生、市政设施（道路、照明、河道、排水）维护实施全面管理。</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1.按照有关法律、法规、规章和政府的决定，做好城市管理工作。</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2.贯彻执行国家和地方关于城市市容市貌、园林绿化、环境卫生、市政设施（道路、照明、河道、排水）维护管理的法律、法规、规章及有关规范性文件。</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3.负责制定城市管理目标和计划。按照城市总体规划，研究制定全县城市管理、市政、环卫、城市绿化行业管理的发展战略。</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4.按照规定使用城市管理资金。根据市容、市政维护、环卫和绿化管理的部门资金预算，对资金使用实施监督控制。负责资金使用的核算，保证资金的正确使用。</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负责市容管理。统筹规划协调管理全县城市环境整治工作和“门前四包”工作。负责户外广告及临街各种广告栏、宣传栏、张贴栏、商标牌的位置和审批工作。规范管理临街建筑物、市政设施、建筑场地、城市交通运输工具等。</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负责城市环境卫生管理。对市区环境卫生管理实行组织、协调、监督。审查环卫专项设施建设，参与城市新建、改建、扩建项目的环卫配套设施方案审核和方案实施的监督管理。监督环卫有偿服务收费和使用管理。负责逐步推行环卫服务社会化。负责监督检查城区工程施工场地的高空环境卫生和建筑垃圾的管理。</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负责城市道路的管理。编制年度维护计划并组织实施。负责城市道路管理、维护和维修。负责各类服务性、经营性占道亭棚、摊点和各类市场、停车场（站、台）等的规划、定位审查、审批工作。负责开挖道路和施工堆码占道的审批。</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负责全县城市路灯的管理。维护管理城市路灯，对市区户外灯饰管理工作进行统筹协调，监督检查。负责重要地段、场所和较大项目灯饰建设方案的审批和竣工验收。负责指导、检查、督促和实施“光亮工程”。</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9.负责城市河道管理工作。实行对城市河道和排水设施的容貌、卫生、环境的管理及城市河道、排水设施进行维护和疏淘。</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10.负责对城市绿化进行管理、维护。</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11.负责市政设施环境卫生。</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12.拟定城市管理规范性文件并组织论证和报批。</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13.负责组织城市管理法规的宣传，提高市民的文明素质和城市意识，规范城市管理。</w:t>
      </w:r>
    </w:p>
    <w:p>
      <w:pPr>
        <w:keepNext w:val="0"/>
        <w:keepLines w:val="0"/>
        <w:pageBreakBefore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.承办县政府交办的其他事项。</w:t>
      </w:r>
    </w:p>
    <w:p>
      <w:pPr>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3.人员概况</w:t>
      </w:r>
    </w:p>
    <w:p>
      <w:pPr>
        <w:keepNext w:val="0"/>
        <w:keepLines w:val="0"/>
        <w:pageBreakBefore w:val="0"/>
        <w:kinsoku/>
        <w:wordWrap/>
        <w:overflowPunct/>
        <w:topLinePunct w:val="0"/>
        <w:bidi w:val="0"/>
        <w:spacing w:line="576" w:lineRule="exact"/>
        <w:ind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我单位属独立编制机构和独立核算的事业单位。人员编制数</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人，其中：事业编制</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人；20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年末实有在职职工</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人，退休人员1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w:t>
      </w:r>
    </w:p>
    <w:p>
      <w:pPr>
        <w:keepNext w:val="0"/>
        <w:keepLines w:val="0"/>
        <w:pageBreakBefore w:val="0"/>
        <w:widowControl/>
        <w:tabs>
          <w:tab w:val="left" w:pos="8460"/>
        </w:tabs>
        <w:kinsoku/>
        <w:wordWrap/>
        <w:overflowPunct/>
        <w:topLinePunct w:val="0"/>
        <w:bidi w:val="0"/>
        <w:adjustRightInd w:val="0"/>
        <w:snapToGrid w:val="0"/>
        <w:spacing w:line="576" w:lineRule="exact"/>
        <w:ind w:firstLine="642" w:firstLineChars="200"/>
        <w:jc w:val="left"/>
        <w:textAlignment w:val="auto"/>
        <w:rPr>
          <w:rFonts w:hint="eastAsia" w:ascii="仿宋_GB2312" w:hAnsi="仿宋_GB2312" w:eastAsia="仿宋_GB2312" w:cs="仿宋_GB2312"/>
          <w:b/>
          <w:bCs w:val="0"/>
          <w:color w:val="000000"/>
          <w:kern w:val="0"/>
          <w:sz w:val="32"/>
          <w:szCs w:val="32"/>
          <w:shd w:val="clear" w:color="auto" w:fill="FFFFFF"/>
        </w:rPr>
      </w:pPr>
      <w:r>
        <w:rPr>
          <w:rFonts w:hint="eastAsia" w:ascii="仿宋_GB2312" w:hAnsi="仿宋_GB2312" w:eastAsia="仿宋_GB2312" w:cs="仿宋_GB2312"/>
          <w:b/>
          <w:bCs w:val="0"/>
          <w:color w:val="000000"/>
          <w:kern w:val="0"/>
          <w:sz w:val="32"/>
          <w:szCs w:val="32"/>
          <w:shd w:val="clear" w:color="auto" w:fill="FFFFFF"/>
        </w:rPr>
        <w:t>二、财政资金收支情况</w:t>
      </w:r>
    </w:p>
    <w:p>
      <w:pPr>
        <w:keepNext w:val="0"/>
        <w:keepLines w:val="0"/>
        <w:pageBreakBefore w:val="0"/>
        <w:kinsoku/>
        <w:wordWrap/>
        <w:overflowPunct/>
        <w:topLinePunct w:val="0"/>
        <w:bidi w:val="0"/>
        <w:spacing w:line="576" w:lineRule="exact"/>
        <w:ind w:firstLine="642" w:firstLineChars="200"/>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1. 财政资金收入情况</w:t>
      </w:r>
    </w:p>
    <w:p>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lang w:eastAsia="zh-CN"/>
        </w:rPr>
        <w:t>城市公用事业服务中心</w:t>
      </w:r>
      <w:r>
        <w:rPr>
          <w:rFonts w:hint="eastAsia" w:ascii="仿宋_GB2312" w:hAnsi="仿宋_GB2312" w:eastAsia="仿宋_GB2312" w:cs="仿宋_GB2312"/>
          <w:color w:val="000000"/>
          <w:sz w:val="32"/>
          <w:szCs w:val="32"/>
        </w:rPr>
        <w:t>财政收入</w:t>
      </w:r>
      <w:r>
        <w:rPr>
          <w:rFonts w:hint="eastAsia" w:ascii="仿宋_GB2312" w:hAnsi="仿宋_GB2312" w:eastAsia="仿宋_GB2312" w:cs="仿宋_GB2312"/>
          <w:color w:val="000000"/>
          <w:sz w:val="32"/>
          <w:szCs w:val="32"/>
          <w:lang w:val="en-US" w:eastAsia="zh-CN"/>
        </w:rPr>
        <w:t>5241.94万</w:t>
      </w:r>
      <w:r>
        <w:rPr>
          <w:rFonts w:hint="eastAsia" w:ascii="仿宋_GB2312" w:hAnsi="仿宋_GB2312" w:eastAsia="仿宋_GB2312" w:cs="仿宋_GB2312"/>
          <w:color w:val="000000"/>
          <w:sz w:val="32"/>
          <w:szCs w:val="32"/>
        </w:rPr>
        <w:t>元，其中包括财返：</w:t>
      </w:r>
      <w:r>
        <w:rPr>
          <w:rFonts w:hint="eastAsia" w:ascii="仿宋_GB2312" w:hAnsi="仿宋_GB2312" w:eastAsia="仿宋_GB2312" w:cs="仿宋_GB2312"/>
          <w:color w:val="000000"/>
          <w:sz w:val="32"/>
          <w:szCs w:val="32"/>
          <w:lang w:val="en-US" w:eastAsia="zh-CN"/>
        </w:rPr>
        <w:t>1375.76万</w:t>
      </w:r>
      <w:r>
        <w:rPr>
          <w:rFonts w:hint="eastAsia" w:ascii="仿宋_GB2312" w:hAnsi="仿宋_GB2312" w:eastAsia="仿宋_GB2312" w:cs="仿宋_GB2312"/>
          <w:color w:val="000000"/>
          <w:sz w:val="32"/>
          <w:szCs w:val="32"/>
        </w:rPr>
        <w:t>元，支出</w:t>
      </w:r>
      <w:r>
        <w:rPr>
          <w:rFonts w:hint="eastAsia" w:ascii="仿宋_GB2312" w:hAnsi="仿宋_GB2312" w:eastAsia="仿宋_GB2312" w:cs="仿宋_GB2312"/>
          <w:color w:val="000000"/>
          <w:sz w:val="32"/>
          <w:szCs w:val="32"/>
          <w:lang w:val="en-US" w:eastAsia="zh-CN"/>
        </w:rPr>
        <w:t>4657.62万</w:t>
      </w:r>
      <w:r>
        <w:rPr>
          <w:rFonts w:hint="eastAsia" w:ascii="仿宋_GB2312" w:hAnsi="仿宋_GB2312" w:eastAsia="仿宋_GB2312" w:cs="仿宋_GB2312"/>
          <w:color w:val="000000"/>
          <w:sz w:val="32"/>
          <w:szCs w:val="32"/>
        </w:rPr>
        <w:t>元。</w:t>
      </w:r>
    </w:p>
    <w:p>
      <w:pPr>
        <w:keepNext w:val="0"/>
        <w:keepLines w:val="0"/>
        <w:pageBreakBefore w:val="0"/>
        <w:kinsoku/>
        <w:wordWrap/>
        <w:overflowPunct/>
        <w:topLinePunct w:val="0"/>
        <w:bidi w:val="0"/>
        <w:spacing w:line="576" w:lineRule="exact"/>
        <w:ind w:firstLine="642" w:firstLineChars="200"/>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2. 财政资金支出情况</w:t>
      </w:r>
    </w:p>
    <w:p>
      <w:pPr>
        <w:keepNext w:val="0"/>
        <w:keepLines w:val="0"/>
        <w:pageBreakBefore w:val="0"/>
        <w:tabs>
          <w:tab w:val="left" w:pos="-180"/>
        </w:tabs>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2020年</w:t>
      </w:r>
      <w:r>
        <w:rPr>
          <w:rFonts w:hint="eastAsia" w:ascii="仿宋_GB2312" w:hAnsi="仿宋_GB2312" w:eastAsia="仿宋_GB2312" w:cs="仿宋_GB2312"/>
          <w:color w:val="000000"/>
          <w:sz w:val="32"/>
          <w:szCs w:val="32"/>
          <w:lang w:eastAsia="zh-CN"/>
        </w:rPr>
        <w:t>城市公用事业服务中心</w:t>
      </w:r>
      <w:r>
        <w:rPr>
          <w:rFonts w:hint="eastAsia" w:ascii="仿宋_GB2312" w:hAnsi="仿宋_GB2312" w:eastAsia="仿宋_GB2312" w:cs="仿宋_GB2312"/>
          <w:color w:val="000000"/>
          <w:sz w:val="32"/>
          <w:szCs w:val="32"/>
        </w:rPr>
        <w:t>经费总支出</w:t>
      </w:r>
      <w:r>
        <w:rPr>
          <w:rFonts w:hint="eastAsia" w:ascii="仿宋_GB2312" w:hAnsi="仿宋_GB2312" w:eastAsia="仿宋_GB2312" w:cs="仿宋_GB2312"/>
          <w:color w:val="000000"/>
          <w:sz w:val="32"/>
          <w:szCs w:val="32"/>
          <w:lang w:val="en-US" w:eastAsia="zh-CN"/>
        </w:rPr>
        <w:t>4657.62万</w:t>
      </w:r>
      <w:r>
        <w:rPr>
          <w:rFonts w:hint="eastAsia" w:ascii="仿宋_GB2312" w:hAnsi="仿宋_GB2312" w:eastAsia="仿宋_GB2312" w:cs="仿宋_GB2312"/>
          <w:color w:val="000000"/>
          <w:sz w:val="32"/>
          <w:szCs w:val="32"/>
        </w:rPr>
        <w:t>元，全部用于单位正常经费支出。基本支出</w:t>
      </w:r>
      <w:r>
        <w:rPr>
          <w:rFonts w:hint="eastAsia" w:ascii="仿宋_GB2312" w:hAnsi="仿宋_GB2312" w:eastAsia="仿宋_GB2312" w:cs="仿宋_GB2312"/>
          <w:color w:val="000000"/>
          <w:sz w:val="32"/>
          <w:szCs w:val="32"/>
          <w:lang w:val="en-US" w:eastAsia="zh-CN"/>
        </w:rPr>
        <w:t>467.59万</w:t>
      </w:r>
      <w:r>
        <w:rPr>
          <w:rFonts w:hint="eastAsia" w:ascii="仿宋_GB2312" w:hAnsi="仿宋_GB2312" w:eastAsia="仿宋_GB2312" w:cs="仿宋_GB2312"/>
          <w:color w:val="000000"/>
          <w:sz w:val="32"/>
          <w:szCs w:val="32"/>
        </w:rPr>
        <w:t>元其中：人员经费：</w:t>
      </w:r>
      <w:r>
        <w:rPr>
          <w:rFonts w:hint="eastAsia" w:ascii="仿宋_GB2312" w:hAnsi="仿宋_GB2312" w:eastAsia="仿宋_GB2312" w:cs="仿宋_GB2312"/>
          <w:color w:val="000000"/>
          <w:sz w:val="32"/>
          <w:szCs w:val="32"/>
          <w:lang w:val="en-US" w:eastAsia="zh-CN"/>
        </w:rPr>
        <w:t>443.47万元</w:t>
      </w: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szCs w:val="32"/>
          <w:lang w:val="en-US" w:eastAsia="zh-CN"/>
        </w:rPr>
        <w:t>24.11万元</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4190.03万</w:t>
      </w:r>
      <w:r>
        <w:rPr>
          <w:rFonts w:hint="eastAsia" w:ascii="仿宋_GB2312" w:hAnsi="仿宋_GB2312" w:eastAsia="仿宋_GB2312" w:cs="仿宋_GB2312"/>
          <w:color w:val="000000"/>
          <w:sz w:val="32"/>
          <w:szCs w:val="32"/>
        </w:rPr>
        <w:t>元。</w:t>
      </w:r>
    </w:p>
    <w:p>
      <w:pPr>
        <w:keepNext w:val="0"/>
        <w:keepLines w:val="0"/>
        <w:pageBreakBefore w:val="0"/>
        <w:kinsoku/>
        <w:wordWrap/>
        <w:overflowPunct/>
        <w:topLinePunct w:val="0"/>
        <w:bidi w:val="0"/>
        <w:spacing w:line="576" w:lineRule="exact"/>
        <w:ind w:firstLine="642" w:firstLineChars="200"/>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3.部门财政资金收支结转情况</w:t>
      </w:r>
    </w:p>
    <w:p>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color w:val="000000"/>
          <w:sz w:val="32"/>
          <w:szCs w:val="32"/>
        </w:rPr>
        <w:t>2020年年初结余结转资金为</w:t>
      </w:r>
      <w:r>
        <w:rPr>
          <w:rFonts w:hint="eastAsia" w:ascii="仿宋_GB2312" w:hAnsi="仿宋_GB2312" w:eastAsia="仿宋_GB2312" w:cs="仿宋_GB2312"/>
          <w:color w:val="000000"/>
          <w:sz w:val="32"/>
          <w:szCs w:val="32"/>
          <w:lang w:val="en-US" w:eastAsia="zh-CN"/>
        </w:rPr>
        <w:t>1375.76万元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年末结转</w:t>
      </w:r>
      <w:r>
        <w:rPr>
          <w:rFonts w:hint="eastAsia" w:ascii="仿宋_GB2312" w:hAnsi="仿宋_GB2312" w:eastAsia="仿宋_GB2312" w:cs="仿宋_GB2312"/>
          <w:color w:val="000000"/>
          <w:sz w:val="32"/>
          <w:szCs w:val="32"/>
        </w:rPr>
        <w:t>结余</w:t>
      </w:r>
      <w:r>
        <w:rPr>
          <w:rFonts w:hint="eastAsia" w:ascii="仿宋_GB2312" w:hAnsi="仿宋_GB2312" w:eastAsia="仿宋_GB2312" w:cs="仿宋_GB2312"/>
          <w:color w:val="000000"/>
          <w:sz w:val="32"/>
          <w:szCs w:val="32"/>
          <w:lang w:val="en-US" w:eastAsia="zh-CN"/>
        </w:rPr>
        <w:t>584.31万</w:t>
      </w:r>
      <w:r>
        <w:rPr>
          <w:rFonts w:hint="eastAsia" w:ascii="仿宋_GB2312" w:hAnsi="仿宋_GB2312" w:eastAsia="仿宋_GB2312" w:cs="仿宋_GB2312"/>
          <w:color w:val="000000"/>
          <w:sz w:val="32"/>
          <w:szCs w:val="32"/>
        </w:rPr>
        <w:t>元。</w:t>
      </w:r>
    </w:p>
    <w:p>
      <w:pPr>
        <w:keepNext w:val="0"/>
        <w:keepLines w:val="0"/>
        <w:pageBreakBefore w:val="0"/>
        <w:widowControl/>
        <w:kinsoku/>
        <w:wordWrap/>
        <w:overflowPunct/>
        <w:topLinePunct w:val="0"/>
        <w:bidi w:val="0"/>
        <w:adjustRightInd w:val="0"/>
        <w:snapToGrid w:val="0"/>
        <w:spacing w:line="576" w:lineRule="exact"/>
        <w:ind w:firstLine="642" w:firstLineChars="200"/>
        <w:jc w:val="left"/>
        <w:textAlignment w:val="auto"/>
        <w:rPr>
          <w:rFonts w:hint="eastAsia" w:ascii="仿宋_GB2312" w:hAnsi="仿宋_GB2312" w:eastAsia="仿宋_GB2312" w:cs="仿宋_GB2312"/>
          <w:b/>
          <w:bCs w:val="0"/>
          <w:color w:val="000000"/>
          <w:kern w:val="0"/>
          <w:sz w:val="32"/>
          <w:szCs w:val="32"/>
          <w:shd w:val="clear" w:color="auto" w:fill="FFFFFF"/>
        </w:rPr>
      </w:pPr>
      <w:r>
        <w:rPr>
          <w:rFonts w:hint="eastAsia" w:ascii="仿宋_GB2312" w:hAnsi="仿宋_GB2312" w:eastAsia="仿宋_GB2312" w:cs="仿宋_GB2312"/>
          <w:b/>
          <w:bCs w:val="0"/>
          <w:color w:val="000000"/>
          <w:kern w:val="0"/>
          <w:sz w:val="32"/>
          <w:szCs w:val="32"/>
          <w:shd w:val="clear" w:color="auto" w:fill="FFFFFF"/>
        </w:rPr>
        <w:t>三、整体预算绩效管理情况</w:t>
      </w:r>
    </w:p>
    <w:p>
      <w:pPr>
        <w:keepNext w:val="0"/>
        <w:keepLines w:val="0"/>
        <w:pageBreakBefore w:val="0"/>
        <w:kinsoku/>
        <w:wordWrap/>
        <w:overflowPunct/>
        <w:topLinePunct w:val="0"/>
        <w:bidi w:val="0"/>
        <w:spacing w:line="576" w:lineRule="exact"/>
        <w:ind w:firstLine="642" w:firstLineChars="200"/>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（一）部门预算管理情况</w:t>
      </w:r>
    </w:p>
    <w:p>
      <w:pPr>
        <w:keepNext w:val="0"/>
        <w:keepLines w:val="0"/>
        <w:pageBreakBefore w:val="0"/>
        <w:widowControl/>
        <w:kinsoku/>
        <w:wordWrap/>
        <w:overflowPunct/>
        <w:topLinePunct w:val="0"/>
        <w:bidi w:val="0"/>
        <w:adjustRightInd w:val="0"/>
        <w:snapToGrid w:val="0"/>
        <w:spacing w:line="576" w:lineRule="exact"/>
        <w:ind w:firstLine="642" w:firstLineChars="200"/>
        <w:jc w:val="left"/>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1.预算编制情况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（1）人员情况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2020年预算时，在职职工</w:t>
      </w:r>
      <w:r>
        <w:rPr>
          <w:rFonts w:hint="eastAsia" w:ascii="仿宋_GB2312" w:hAnsi="仿宋_GB2312" w:eastAsia="仿宋_GB2312" w:cs="仿宋_GB2312"/>
          <w:color w:val="000000"/>
          <w:kern w:val="0"/>
          <w:sz w:val="32"/>
          <w:szCs w:val="32"/>
          <w:shd w:val="clear" w:color="auto" w:fill="FFFFFF"/>
          <w:lang w:val="en-US" w:eastAsia="zh-CN"/>
        </w:rPr>
        <w:t>31</w:t>
      </w:r>
      <w:r>
        <w:rPr>
          <w:rFonts w:hint="eastAsia" w:ascii="仿宋_GB2312" w:hAnsi="仿宋_GB2312" w:eastAsia="仿宋_GB2312" w:cs="仿宋_GB2312"/>
          <w:color w:val="000000"/>
          <w:kern w:val="0"/>
          <w:sz w:val="32"/>
          <w:szCs w:val="32"/>
          <w:shd w:val="clear" w:color="auto" w:fill="FFFFFF"/>
          <w:lang w:val="zh-CN"/>
        </w:rPr>
        <w:t>人，其中事业人员：</w:t>
      </w:r>
      <w:r>
        <w:rPr>
          <w:rFonts w:hint="eastAsia" w:ascii="仿宋_GB2312" w:hAnsi="仿宋_GB2312" w:eastAsia="仿宋_GB2312" w:cs="仿宋_GB2312"/>
          <w:color w:val="000000"/>
          <w:kern w:val="0"/>
          <w:sz w:val="32"/>
          <w:szCs w:val="32"/>
          <w:shd w:val="clear" w:color="auto" w:fill="FFFFFF"/>
          <w:lang w:val="en-US" w:eastAsia="zh-CN"/>
        </w:rPr>
        <w:t>31</w:t>
      </w:r>
      <w:r>
        <w:rPr>
          <w:rFonts w:hint="eastAsia" w:ascii="仿宋_GB2312" w:hAnsi="仿宋_GB2312" w:eastAsia="仿宋_GB2312" w:cs="仿宋_GB2312"/>
          <w:color w:val="000000"/>
          <w:kern w:val="0"/>
          <w:sz w:val="32"/>
          <w:szCs w:val="32"/>
          <w:shd w:val="clear" w:color="auto" w:fill="FFFFFF"/>
          <w:lang w:val="zh-CN"/>
        </w:rPr>
        <w:t>人。</w:t>
      </w:r>
    </w:p>
    <w:p>
      <w:pPr>
        <w:keepNext w:val="0"/>
        <w:keepLines w:val="0"/>
        <w:pageBreakBefore w:val="0"/>
        <w:widowControl w:val="0"/>
        <w:tabs>
          <w:tab w:val="left" w:pos="-180"/>
        </w:tabs>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en-US" w:eastAsia="zh-CN"/>
        </w:rPr>
        <w:t>（2）</w:t>
      </w:r>
      <w:r>
        <w:rPr>
          <w:rFonts w:hint="eastAsia" w:ascii="仿宋_GB2312" w:hAnsi="仿宋_GB2312" w:eastAsia="仿宋_GB2312" w:cs="仿宋_GB2312"/>
          <w:b w:val="0"/>
          <w:bCs w:val="0"/>
          <w:color w:val="000000"/>
          <w:kern w:val="0"/>
          <w:sz w:val="32"/>
          <w:szCs w:val="32"/>
          <w:shd w:val="clear" w:color="auto" w:fill="FFFFFF"/>
          <w:lang w:val="zh-CN"/>
        </w:rPr>
        <w:t>收入情况</w:t>
      </w:r>
    </w:p>
    <w:p>
      <w:pPr>
        <w:keepNext w:val="0"/>
        <w:keepLines w:val="0"/>
        <w:pageBreakBefore w:val="0"/>
        <w:widowControl w:val="0"/>
        <w:tabs>
          <w:tab w:val="left" w:pos="-180"/>
        </w:tabs>
        <w:kinsoku/>
        <w:wordWrap/>
        <w:overflowPunct/>
        <w:topLinePunct w:val="0"/>
        <w:autoSpaceDE/>
        <w:autoSpaceDN/>
        <w:bidi w:val="0"/>
        <w:adjustRightInd/>
        <w:snapToGrid/>
        <w:spacing w:line="576" w:lineRule="exact"/>
        <w:ind w:left="420" w:leftChars="20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lang w:val="zh-CN"/>
        </w:rPr>
        <w:t>2021年部门预算收入为</w:t>
      </w:r>
      <w:r>
        <w:rPr>
          <w:rFonts w:hint="eastAsia" w:ascii="仿宋_GB2312" w:hAnsi="仿宋_GB2312" w:eastAsia="仿宋_GB2312" w:cs="仿宋_GB2312"/>
          <w:color w:val="000000"/>
          <w:sz w:val="32"/>
          <w:szCs w:val="32"/>
          <w:lang w:val="en-US" w:eastAsia="zh-CN"/>
        </w:rPr>
        <w:t>5241.94万</w:t>
      </w:r>
      <w:r>
        <w:rPr>
          <w:rFonts w:hint="eastAsia" w:ascii="仿宋_GB2312" w:hAnsi="仿宋_GB2312" w:eastAsia="仿宋_GB2312" w:cs="仿宋_GB2312"/>
          <w:color w:val="000000"/>
          <w:kern w:val="0"/>
          <w:sz w:val="32"/>
          <w:szCs w:val="32"/>
          <w:shd w:val="clear" w:color="auto" w:fill="FFFFFF"/>
          <w:lang w:val="zh-CN"/>
        </w:rPr>
        <w:t>元。当年财政拨款收入</w:t>
      </w:r>
      <w:r>
        <w:rPr>
          <w:rFonts w:hint="eastAsia" w:ascii="仿宋_GB2312" w:hAnsi="仿宋_GB2312" w:eastAsia="仿宋_GB2312" w:cs="仿宋_GB2312"/>
          <w:color w:val="000000"/>
          <w:kern w:val="0"/>
          <w:sz w:val="32"/>
          <w:szCs w:val="32"/>
          <w:shd w:val="clear" w:color="auto" w:fill="FFFFFF"/>
          <w:lang w:val="en-US" w:eastAsia="zh-CN"/>
        </w:rPr>
        <w:t>3866.18万</w:t>
      </w:r>
      <w:r>
        <w:rPr>
          <w:rFonts w:hint="eastAsia" w:ascii="仿宋_GB2312" w:hAnsi="仿宋_GB2312" w:eastAsia="仿宋_GB2312" w:cs="仿宋_GB2312"/>
          <w:color w:val="000000"/>
          <w:kern w:val="0"/>
          <w:sz w:val="32"/>
          <w:szCs w:val="32"/>
          <w:shd w:val="clear" w:color="auto" w:fill="FFFFFF"/>
        </w:rPr>
        <w:t>元</w:t>
      </w:r>
      <w:r>
        <w:rPr>
          <w:rFonts w:hint="eastAsia" w:ascii="仿宋_GB2312" w:hAnsi="仿宋_GB2312" w:eastAsia="仿宋_GB2312" w:cs="仿宋_GB2312"/>
          <w:color w:val="000000"/>
          <w:kern w:val="0"/>
          <w:sz w:val="32"/>
          <w:szCs w:val="32"/>
          <w:shd w:val="clear" w:color="auto" w:fill="FFFFFF"/>
          <w:lang w:eastAsia="zh-CN"/>
        </w:rPr>
        <w:t>，上年结转结余</w:t>
      </w:r>
      <w:r>
        <w:rPr>
          <w:rFonts w:hint="eastAsia" w:ascii="仿宋_GB2312" w:hAnsi="仿宋_GB2312" w:eastAsia="仿宋_GB2312" w:cs="仿宋_GB2312"/>
          <w:color w:val="000000"/>
          <w:sz w:val="32"/>
          <w:szCs w:val="32"/>
          <w:lang w:val="en-US" w:eastAsia="zh-CN"/>
        </w:rPr>
        <w:t>1375.75万</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sz w:val="32"/>
          <w:szCs w:val="32"/>
        </w:rPr>
        <w:t>其中：人员经费：</w:t>
      </w:r>
      <w:r>
        <w:rPr>
          <w:rFonts w:hint="eastAsia" w:ascii="仿宋_GB2312" w:hAnsi="仿宋_GB2312" w:eastAsia="仿宋_GB2312" w:cs="仿宋_GB2312"/>
          <w:color w:val="000000"/>
          <w:sz w:val="32"/>
          <w:szCs w:val="32"/>
          <w:lang w:val="en-US" w:eastAsia="zh-CN"/>
        </w:rPr>
        <w:t>443.47万元</w:t>
      </w: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szCs w:val="32"/>
          <w:lang w:val="en-US" w:eastAsia="zh-CN"/>
        </w:rPr>
        <w:t>24.11万元</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4190.03万</w:t>
      </w:r>
      <w:r>
        <w:rPr>
          <w:rFonts w:hint="eastAsia" w:ascii="仿宋_GB2312" w:hAnsi="仿宋_GB2312" w:eastAsia="仿宋_GB2312" w:cs="仿宋_GB2312"/>
          <w:color w:val="000000"/>
          <w:sz w:val="32"/>
          <w:szCs w:val="32"/>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（3）支出情况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sectPr>
          <w:headerReference r:id="rId3" w:type="default"/>
          <w:footerReference r:id="rId4" w:type="default"/>
          <w:pgSz w:w="11906" w:h="16838"/>
          <w:pgMar w:top="2098" w:right="1474" w:bottom="2041" w:left="1588" w:header="851" w:footer="992" w:gutter="0"/>
          <w:pgNumType w:start="1"/>
          <w:cols w:space="720" w:num="1"/>
          <w:docGrid w:type="lines" w:linePitch="435" w:charSpace="0"/>
        </w:sectPr>
      </w:pPr>
      <w:r>
        <w:rPr>
          <w:rFonts w:hint="eastAsia" w:ascii="仿宋_GB2312" w:hAnsi="仿宋_GB2312" w:eastAsia="仿宋_GB2312" w:cs="仿宋_GB2312"/>
          <w:color w:val="000000"/>
          <w:sz w:val="32"/>
          <w:szCs w:val="32"/>
        </w:rPr>
        <w:t>2021年部门预算支出为</w:t>
      </w:r>
      <w:r>
        <w:rPr>
          <w:rFonts w:hint="eastAsia" w:ascii="仿宋_GB2312" w:hAnsi="仿宋_GB2312" w:eastAsia="仿宋_GB2312" w:cs="仿宋_GB2312"/>
          <w:color w:val="000000"/>
          <w:kern w:val="0"/>
          <w:sz w:val="32"/>
          <w:szCs w:val="32"/>
          <w:shd w:val="clear" w:color="auto" w:fill="FFFFFF"/>
          <w:lang w:val="en-US" w:eastAsia="zh-CN"/>
        </w:rPr>
        <w:t>5241.94万</w:t>
      </w:r>
      <w:r>
        <w:rPr>
          <w:rFonts w:hint="eastAsia" w:ascii="仿宋_GB2312" w:hAnsi="仿宋_GB2312" w:eastAsia="仿宋_GB2312" w:cs="仿宋_GB2312"/>
          <w:color w:val="000000"/>
          <w:sz w:val="32"/>
          <w:szCs w:val="32"/>
        </w:rPr>
        <w:t>元。相应安排支出</w:t>
      </w:r>
      <w:r>
        <w:rPr>
          <w:rFonts w:hint="eastAsia" w:ascii="仿宋_GB2312" w:hAnsi="仿宋_GB2312" w:eastAsia="仿宋_GB2312" w:cs="仿宋_GB2312"/>
          <w:color w:val="000000"/>
          <w:kern w:val="0"/>
          <w:sz w:val="32"/>
          <w:szCs w:val="32"/>
          <w:shd w:val="clear" w:color="auto" w:fill="FFFFFF"/>
          <w:lang w:val="en-US" w:eastAsia="zh-CN"/>
        </w:rPr>
        <w:t>5241.94万</w:t>
      </w:r>
      <w:r>
        <w:rPr>
          <w:rFonts w:hint="eastAsia" w:ascii="仿宋_GB2312" w:hAnsi="仿宋_GB2312" w:eastAsia="仿宋_GB2312" w:cs="仿宋_GB2312"/>
          <w:color w:val="000000"/>
          <w:sz w:val="32"/>
          <w:szCs w:val="32"/>
        </w:rPr>
        <w:t>元。</w:t>
      </w:r>
    </w:p>
    <w:p>
      <w:pPr>
        <w:keepNext w:val="0"/>
        <w:keepLines w:val="0"/>
        <w:pageBreakBefore w:val="0"/>
        <w:widowControl/>
        <w:kinsoku/>
        <w:wordWrap/>
        <w:overflowPunct/>
        <w:topLinePunct w:val="0"/>
        <w:bidi w:val="0"/>
        <w:adjustRightInd w:val="0"/>
        <w:snapToGrid w:val="0"/>
        <w:spacing w:line="576" w:lineRule="exact"/>
        <w:ind w:firstLine="642"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2.决算编制情况</w:t>
      </w:r>
    </w:p>
    <w:p>
      <w:pPr>
        <w:keepNext w:val="0"/>
        <w:keepLines w:val="0"/>
        <w:pageBreakBefore w:val="0"/>
        <w:widowControl/>
        <w:kinsoku/>
        <w:wordWrap/>
        <w:overflowPunct/>
        <w:topLinePunct w:val="0"/>
        <w:bidi w:val="0"/>
        <w:adjustRightInd w:val="0"/>
        <w:snapToGrid w:val="0"/>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（1）收入情况</w:t>
      </w:r>
    </w:p>
    <w:p>
      <w:pPr>
        <w:keepNext w:val="0"/>
        <w:keepLines w:val="0"/>
        <w:pageBreakBefore w:val="0"/>
        <w:widowControl/>
        <w:kinsoku/>
        <w:wordWrap/>
        <w:overflowPunct/>
        <w:topLinePunct w:val="0"/>
        <w:bidi w:val="0"/>
        <w:adjustRightInd w:val="0"/>
        <w:snapToGrid w:val="0"/>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2020年我</w:t>
      </w:r>
      <w:r>
        <w:rPr>
          <w:rFonts w:hint="eastAsia" w:ascii="仿宋_GB2312" w:hAnsi="仿宋_GB2312" w:eastAsia="仿宋_GB2312" w:cs="仿宋_GB2312"/>
          <w:color w:val="000000"/>
          <w:sz w:val="32"/>
          <w:szCs w:val="32"/>
          <w:lang w:eastAsia="zh-CN"/>
        </w:rPr>
        <w:t>中心</w:t>
      </w:r>
      <w:r>
        <w:rPr>
          <w:rFonts w:hint="eastAsia" w:ascii="仿宋_GB2312" w:hAnsi="仿宋_GB2312" w:eastAsia="仿宋_GB2312" w:cs="仿宋_GB2312"/>
          <w:color w:val="000000"/>
          <w:sz w:val="32"/>
          <w:szCs w:val="32"/>
        </w:rPr>
        <w:t>总收入为</w:t>
      </w:r>
      <w:r>
        <w:rPr>
          <w:rFonts w:hint="eastAsia" w:ascii="仿宋_GB2312" w:hAnsi="仿宋_GB2312" w:eastAsia="仿宋_GB2312" w:cs="仿宋_GB2312"/>
          <w:color w:val="000000"/>
          <w:sz w:val="32"/>
          <w:szCs w:val="32"/>
          <w:lang w:val="en-US" w:eastAsia="zh-CN"/>
        </w:rPr>
        <w:t>5241.94万</w:t>
      </w:r>
      <w:r>
        <w:rPr>
          <w:rFonts w:hint="eastAsia" w:ascii="仿宋_GB2312" w:hAnsi="仿宋_GB2312" w:eastAsia="仿宋_GB2312" w:cs="仿宋_GB2312"/>
          <w:color w:val="000000"/>
          <w:sz w:val="32"/>
          <w:szCs w:val="32"/>
        </w:rPr>
        <w:t>元，当年财政拨款收入</w:t>
      </w:r>
      <w:r>
        <w:rPr>
          <w:rFonts w:hint="eastAsia" w:ascii="仿宋_GB2312" w:hAnsi="仿宋_GB2312" w:eastAsia="仿宋_GB2312" w:cs="仿宋_GB2312"/>
          <w:color w:val="000000"/>
          <w:sz w:val="32"/>
          <w:szCs w:val="32"/>
          <w:lang w:val="en-US" w:eastAsia="zh-CN"/>
        </w:rPr>
        <w:t>3866.18万</w:t>
      </w:r>
      <w:r>
        <w:rPr>
          <w:rFonts w:hint="eastAsia" w:ascii="仿宋_GB2312" w:hAnsi="仿宋_GB2312" w:eastAsia="仿宋_GB2312" w:cs="仿宋_GB2312"/>
          <w:color w:val="000000"/>
          <w:sz w:val="32"/>
          <w:szCs w:val="32"/>
        </w:rPr>
        <w:t>元，上年结转</w:t>
      </w:r>
      <w:r>
        <w:rPr>
          <w:rFonts w:hint="eastAsia" w:ascii="仿宋_GB2312" w:hAnsi="仿宋_GB2312" w:eastAsia="仿宋_GB2312" w:cs="仿宋_GB2312"/>
          <w:sz w:val="32"/>
          <w:szCs w:val="32"/>
          <w:lang w:val="en-US" w:eastAsia="zh-CN"/>
        </w:rPr>
        <w:t>1375.76万元</w:t>
      </w:r>
      <w:r>
        <w:rPr>
          <w:rFonts w:hint="eastAsia" w:ascii="仿宋_GB2312" w:hAnsi="仿宋_GB2312" w:eastAsia="仿宋_GB2312" w:cs="仿宋_GB2312"/>
          <w:color w:val="000000"/>
          <w:sz w:val="32"/>
          <w:szCs w:val="32"/>
        </w:rPr>
        <w:t>。</w:t>
      </w:r>
    </w:p>
    <w:p>
      <w:pPr>
        <w:keepNext w:val="0"/>
        <w:keepLines w:val="0"/>
        <w:pageBreakBefore w:val="0"/>
        <w:widowControl/>
        <w:kinsoku/>
        <w:wordWrap/>
        <w:overflowPunct/>
        <w:topLinePunct w:val="0"/>
        <w:bidi w:val="0"/>
        <w:adjustRightInd w:val="0"/>
        <w:snapToGrid w:val="0"/>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（2）年初结转和结余情况</w:t>
      </w:r>
    </w:p>
    <w:p>
      <w:pPr>
        <w:keepNext w:val="0"/>
        <w:keepLines w:val="0"/>
        <w:pageBreakBefore w:val="0"/>
        <w:widowControl/>
        <w:kinsoku/>
        <w:wordWrap/>
        <w:overflowPunct/>
        <w:topLinePunct w:val="0"/>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2020年年初结余结转资金为</w:t>
      </w:r>
      <w:r>
        <w:rPr>
          <w:rFonts w:hint="eastAsia" w:ascii="仿宋_GB2312" w:hAnsi="仿宋_GB2312" w:eastAsia="仿宋_GB2312" w:cs="仿宋_GB2312"/>
          <w:color w:val="000000"/>
          <w:sz w:val="32"/>
          <w:szCs w:val="32"/>
          <w:lang w:val="en-US" w:eastAsia="zh-CN"/>
        </w:rPr>
        <w:t>1375.76万</w:t>
      </w:r>
      <w:r>
        <w:rPr>
          <w:rFonts w:hint="eastAsia" w:ascii="仿宋_GB2312" w:hAnsi="仿宋_GB2312" w:eastAsia="仿宋_GB2312" w:cs="仿宋_GB2312"/>
          <w:color w:val="000000"/>
          <w:sz w:val="32"/>
          <w:szCs w:val="32"/>
        </w:rPr>
        <w:t>元。</w:t>
      </w:r>
    </w:p>
    <w:p>
      <w:pPr>
        <w:keepNext w:val="0"/>
        <w:keepLines w:val="0"/>
        <w:pageBreakBefore w:val="0"/>
        <w:tabs>
          <w:tab w:val="left" w:pos="-180"/>
        </w:tabs>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（3）2020年年末结转结余</w:t>
      </w:r>
      <w:r>
        <w:rPr>
          <w:rFonts w:hint="eastAsia" w:ascii="仿宋_GB2312" w:hAnsi="仿宋_GB2312" w:eastAsia="仿宋_GB2312" w:cs="仿宋_GB2312"/>
          <w:color w:val="000000"/>
          <w:sz w:val="32"/>
          <w:szCs w:val="32"/>
          <w:lang w:val="en-US" w:eastAsia="zh-CN"/>
        </w:rPr>
        <w:t>584.31万</w:t>
      </w:r>
      <w:r>
        <w:rPr>
          <w:rFonts w:hint="eastAsia" w:ascii="仿宋_GB2312" w:hAnsi="仿宋_GB2312" w:eastAsia="仿宋_GB2312" w:cs="仿宋_GB2312"/>
          <w:color w:val="000000"/>
          <w:sz w:val="32"/>
          <w:szCs w:val="32"/>
        </w:rPr>
        <w:t>元</w:t>
      </w:r>
    </w:p>
    <w:p>
      <w:pPr>
        <w:keepNext w:val="0"/>
        <w:keepLines w:val="0"/>
        <w:pageBreakBefore w:val="0"/>
        <w:widowControl/>
        <w:kinsoku/>
        <w:wordWrap/>
        <w:overflowPunct/>
        <w:topLinePunct w:val="0"/>
        <w:bidi w:val="0"/>
        <w:adjustRightInd w:val="0"/>
        <w:snapToGrid w:val="0"/>
        <w:spacing w:line="576" w:lineRule="exact"/>
        <w:ind w:firstLine="642" w:firstLineChars="200"/>
        <w:jc w:val="left"/>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3.执行管理情况</w:t>
      </w:r>
    </w:p>
    <w:p>
      <w:pPr>
        <w:keepNext w:val="0"/>
        <w:keepLines w:val="0"/>
        <w:pageBreakBefore w:val="0"/>
        <w:widowControl/>
        <w:kinsoku/>
        <w:wordWrap/>
        <w:overflowPunct/>
        <w:topLinePunct w:val="0"/>
        <w:bidi w:val="0"/>
        <w:adjustRightInd w:val="0"/>
        <w:snapToGrid w:val="0"/>
        <w:spacing w:line="576" w:lineRule="exact"/>
        <w:ind w:firstLine="72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6月执行进度为60%，9月进度80%，全年进度为100%，三公经费按照预算执行“三公”经费预算安排未出现超预算情况，我局严格按照中央八项规定、本着厉行节约的要求严格审核和控制本单位“三公经费”使用情况，</w:t>
      </w:r>
      <w:r>
        <w:rPr>
          <w:rFonts w:hint="eastAsia" w:ascii="仿宋_GB2312" w:hAnsi="仿宋_GB2312" w:eastAsia="仿宋_GB2312" w:cs="仿宋_GB2312"/>
          <w:kern w:val="0"/>
          <w:sz w:val="32"/>
          <w:szCs w:val="32"/>
          <w:shd w:val="clear" w:color="auto" w:fill="FFFFFF"/>
          <w:lang w:val="zh-CN"/>
        </w:rPr>
        <w:t xml:space="preserve"> 无违规等情况。“三公”经费财政拨款支出</w:t>
      </w:r>
      <w:r>
        <w:rPr>
          <w:rFonts w:hint="eastAsia" w:ascii="仿宋_GB2312" w:hAnsi="仿宋_GB2312" w:eastAsia="仿宋_GB2312" w:cs="仿宋_GB2312"/>
          <w:kern w:val="0"/>
          <w:sz w:val="32"/>
          <w:szCs w:val="32"/>
          <w:shd w:val="clear" w:color="auto" w:fill="FFFFFF"/>
          <w:lang w:val="en-US" w:eastAsia="zh-CN"/>
        </w:rPr>
        <w:t>4.5</w:t>
      </w:r>
      <w:r>
        <w:rPr>
          <w:rFonts w:hint="eastAsia" w:ascii="仿宋_GB2312" w:hAnsi="仿宋_GB2312" w:eastAsia="仿宋_GB2312" w:cs="仿宋_GB2312"/>
          <w:kern w:val="0"/>
          <w:sz w:val="32"/>
          <w:szCs w:val="32"/>
          <w:shd w:val="clear" w:color="auto" w:fill="FFFFFF"/>
          <w:lang w:val="zh-CN"/>
        </w:rPr>
        <w:t>万元，其中：因公出国（境）费支出决算为0万元；公务用车购置及运行维护费支出为4万元，公务接待费支出决算为</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lang w:val="zh-CN"/>
        </w:rPr>
        <w:t>万元。</w:t>
      </w:r>
    </w:p>
    <w:p>
      <w:pPr>
        <w:keepNext w:val="0"/>
        <w:keepLines w:val="0"/>
        <w:pageBreakBefore w:val="0"/>
        <w:widowControl/>
        <w:kinsoku/>
        <w:wordWrap/>
        <w:overflowPunct/>
        <w:topLinePunct w:val="0"/>
        <w:bidi w:val="0"/>
        <w:adjustRightInd w:val="0"/>
        <w:snapToGrid w:val="0"/>
        <w:spacing w:line="576" w:lineRule="exact"/>
        <w:ind w:firstLine="642" w:firstLineChars="200"/>
        <w:jc w:val="left"/>
        <w:textAlignment w:val="auto"/>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（二）结果应用情况</w:t>
      </w:r>
    </w:p>
    <w:p>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中心</w:t>
      </w:r>
      <w:r>
        <w:rPr>
          <w:rFonts w:hint="eastAsia" w:ascii="仿宋_GB2312" w:hAnsi="仿宋_GB2312" w:eastAsia="仿宋_GB2312" w:cs="仿宋_GB2312"/>
          <w:color w:val="000000"/>
          <w:sz w:val="32"/>
          <w:szCs w:val="32"/>
        </w:rPr>
        <w:t>依照上级下发的相关要求，严格加强本单位的工作目标管理考核，按照“总量控制、分类管理、标准透明、适当调节、统一审核”的原则，促进各项工作管理的合理化、科学化，推进单位全面、均衡、优质发展，切实保障单位经费支出的规范化、透明化，进一步加强绩效自评，内控制度的执行绩效自评及预决算及时公开依法接受监督切实体现财务公开透明。</w:t>
      </w:r>
    </w:p>
    <w:p>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bCs/>
          <w:color w:val="000000"/>
          <w:kern w:val="0"/>
          <w:sz w:val="32"/>
          <w:szCs w:val="32"/>
          <w:shd w:val="clear" w:color="auto" w:fill="FFFFFF"/>
          <w:lang w:val="zh-CN"/>
        </w:rPr>
      </w:pPr>
      <w:r>
        <w:rPr>
          <w:rFonts w:hint="eastAsia" w:ascii="仿宋_GB2312" w:hAnsi="仿宋_GB2312" w:eastAsia="仿宋_GB2312" w:cs="仿宋_GB2312"/>
          <w:bCs/>
          <w:color w:val="000000"/>
          <w:kern w:val="0"/>
          <w:sz w:val="32"/>
          <w:szCs w:val="32"/>
          <w:shd w:val="clear" w:color="auto" w:fill="FFFFFF"/>
          <w:lang w:val="zh-CN"/>
        </w:rPr>
        <w:t>四、评级结论及建议</w:t>
      </w:r>
    </w:p>
    <w:p>
      <w:pPr>
        <w:keepNext w:val="0"/>
        <w:keepLines w:val="0"/>
        <w:pageBreakBefore w:val="0"/>
        <w:kinsoku/>
        <w:wordWrap/>
        <w:overflowPunct/>
        <w:topLinePunct w:val="0"/>
        <w:bidi w:val="0"/>
        <w:spacing w:line="576" w:lineRule="exact"/>
        <w:ind w:firstLine="642"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（一）评价结论</w:t>
      </w:r>
    </w:p>
    <w:p>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根据2020年部门支出绩效评价指标体系打分情况看，茂县</w:t>
      </w:r>
      <w:r>
        <w:rPr>
          <w:rFonts w:hint="eastAsia" w:ascii="仿宋_GB2312" w:hAnsi="仿宋_GB2312" w:eastAsia="仿宋_GB2312" w:cs="仿宋_GB2312"/>
          <w:color w:val="000000"/>
          <w:sz w:val="32"/>
          <w:szCs w:val="32"/>
          <w:lang w:eastAsia="zh-CN"/>
        </w:rPr>
        <w:t>城市公用事业服务中心为良</w:t>
      </w:r>
      <w:r>
        <w:rPr>
          <w:rFonts w:hint="eastAsia" w:ascii="仿宋_GB2312" w:hAnsi="仿宋_GB2312" w:eastAsia="仿宋_GB2312" w:cs="仿宋_GB2312"/>
          <w:color w:val="000000"/>
          <w:sz w:val="32"/>
          <w:szCs w:val="32"/>
        </w:rPr>
        <w:t>，考评中</w:t>
      </w:r>
      <w:r>
        <w:rPr>
          <w:rFonts w:hint="eastAsia" w:ascii="仿宋_GB2312" w:hAnsi="仿宋_GB2312" w:eastAsia="仿宋_GB2312" w:cs="仿宋_GB2312"/>
          <w:color w:val="000000"/>
          <w:sz w:val="32"/>
          <w:szCs w:val="32"/>
          <w:lang w:eastAsia="zh-CN"/>
        </w:rPr>
        <w:t>未</w:t>
      </w:r>
      <w:r>
        <w:rPr>
          <w:rFonts w:hint="eastAsia" w:ascii="仿宋_GB2312" w:hAnsi="仿宋_GB2312" w:eastAsia="仿宋_GB2312" w:cs="仿宋_GB2312"/>
          <w:color w:val="000000"/>
          <w:sz w:val="32"/>
          <w:szCs w:val="32"/>
        </w:rPr>
        <w:t>发现单位在预算编制、支出执行、决算编制等活动中存在重大违规违纪、不合理、不恰当的情况。我</w:t>
      </w:r>
      <w:r>
        <w:rPr>
          <w:rFonts w:hint="eastAsia" w:ascii="仿宋_GB2312" w:hAnsi="仿宋_GB2312" w:eastAsia="仿宋_GB2312" w:cs="仿宋_GB2312"/>
          <w:color w:val="000000"/>
          <w:sz w:val="32"/>
          <w:szCs w:val="32"/>
          <w:lang w:eastAsia="zh-CN"/>
        </w:rPr>
        <w:t>中心</w:t>
      </w:r>
      <w:r>
        <w:rPr>
          <w:rFonts w:hint="eastAsia" w:ascii="仿宋_GB2312" w:hAnsi="仿宋_GB2312" w:eastAsia="仿宋_GB2312" w:cs="仿宋_GB2312"/>
          <w:color w:val="000000"/>
          <w:sz w:val="32"/>
          <w:szCs w:val="32"/>
        </w:rPr>
        <w:t>在预算编制方面严格按照县级部门预算编制通知的有关要求按时更新基础数据，按时完成预算编制工作并提交预算草案。</w:t>
      </w:r>
    </w:p>
    <w:p>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同时预算编制内容准确，绩效目标完备，预控指标细化，在支出绩效方面严格按照本单位经费实际支出填报部门经费决算，认真核对审查按时上报。按照规定向社会公开透明本年度单位部门经费及三公经费的使用情况。</w:t>
      </w:r>
    </w:p>
    <w:p>
      <w:pPr>
        <w:keepNext w:val="0"/>
        <w:keepLines w:val="0"/>
        <w:pageBreakBefore w:val="0"/>
        <w:kinsoku/>
        <w:wordWrap/>
        <w:overflowPunct/>
        <w:topLinePunct w:val="0"/>
        <w:bidi w:val="0"/>
        <w:spacing w:line="576" w:lineRule="exact"/>
        <w:ind w:firstLine="642"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（二）存在问题</w:t>
      </w:r>
    </w:p>
    <w:p>
      <w:pPr>
        <w:pStyle w:val="39"/>
        <w:keepNext w:val="0"/>
        <w:keepLines w:val="0"/>
        <w:pageBreakBefore w:val="0"/>
        <w:kinsoku/>
        <w:wordWrap/>
        <w:overflowPunct/>
        <w:topLinePunct w:val="0"/>
        <w:bidi w:val="0"/>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财务核算和档案管理进一步规范。</w:t>
      </w:r>
    </w:p>
    <w:p>
      <w:pPr>
        <w:keepNext w:val="0"/>
        <w:keepLines w:val="0"/>
        <w:pageBreakBefore w:val="0"/>
        <w:kinsoku/>
        <w:wordWrap/>
        <w:overflowPunct/>
        <w:topLinePunct w:val="0"/>
        <w:bidi w:val="0"/>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（三）改进建议</w:t>
      </w:r>
    </w:p>
    <w:p>
      <w:pPr>
        <w:keepNext w:val="0"/>
        <w:keepLines w:val="0"/>
        <w:pageBreakBefore w:val="0"/>
        <w:widowControl/>
        <w:kinsoku/>
        <w:wordWrap/>
        <w:overflowPunct/>
        <w:topLinePunct w:val="0"/>
        <w:bidi w:val="0"/>
        <w:adjustRightInd w:val="0"/>
        <w:snapToGrid w:val="0"/>
        <w:spacing w:line="576" w:lineRule="exact"/>
        <w:ind w:firstLine="72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加强财务管理和内部控制监督制度。严禁超预算和无预算安排支出，严格开支范围和标准，严格支出报销审核。</w:t>
      </w:r>
    </w:p>
    <w:p>
      <w:pPr>
        <w:pStyle w:val="2"/>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2"/>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2"/>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2"/>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2"/>
        <w:rPr>
          <w:rFonts w:hint="eastAsia" w:ascii="黑体" w:hAnsi="黑体" w:eastAsia="黑体" w:cs="黑体"/>
          <w:sz w:val="32"/>
          <w:szCs w:val="32"/>
        </w:rPr>
      </w:pPr>
      <w:bookmarkStart w:id="115" w:name="_Toc79163633"/>
      <w:bookmarkStart w:id="116" w:name="_Toc79163883"/>
    </w:p>
    <w:p>
      <w:pPr>
        <w:pStyle w:val="2"/>
        <w:rPr>
          <w:rFonts w:hint="eastAsia" w:ascii="黑体" w:hAnsi="黑体" w:eastAsia="黑体" w:cs="黑体"/>
          <w:sz w:val="32"/>
          <w:szCs w:val="32"/>
        </w:rPr>
      </w:pPr>
    </w:p>
    <w:p>
      <w:pPr>
        <w:pStyle w:val="2"/>
        <w:rPr>
          <w:rFonts w:hint="eastAsia" w:ascii="黑体" w:hAnsi="黑体" w:eastAsia="黑体" w:cs="黑体"/>
          <w:sz w:val="32"/>
          <w:szCs w:val="32"/>
        </w:rPr>
      </w:pPr>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城市公用事业服务中心</w:t>
      </w: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项目支出绩效自评报告</w:t>
      </w:r>
    </w:p>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hAnsi="仿宋_GB2312" w:eastAsia="仿宋_GB2312" w:cs="仿宋_GB2312"/>
          <w:b/>
          <w:bCs w:val="0"/>
          <w:color w:val="auto"/>
          <w:kern w:val="2"/>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sz w:val="32"/>
          <w:szCs w:val="32"/>
          <w:lang w:val="zh-CN"/>
        </w:rPr>
        <w:t>茂县</w:t>
      </w:r>
      <w:r>
        <w:rPr>
          <w:rFonts w:hint="eastAsia" w:ascii="仿宋_GB2312" w:hAnsi="仿宋_GB2312" w:eastAsia="仿宋_GB2312" w:cs="仿宋_GB2312"/>
          <w:sz w:val="32"/>
          <w:szCs w:val="32"/>
          <w:lang w:val="en-US" w:eastAsia="zh-CN"/>
        </w:rPr>
        <w:t>2020年污水处理服务项目）</w:t>
      </w:r>
    </w:p>
    <w:p>
      <w:pPr>
        <w:keepNext w:val="0"/>
        <w:keepLines w:val="0"/>
        <w:pageBreakBefore w:val="0"/>
        <w:widowControl w:val="0"/>
        <w:numPr>
          <w:ilvl w:val="0"/>
          <w:numId w:val="5"/>
        </w:numPr>
        <w:kinsoku/>
        <w:wordWrap/>
        <w:overflowPunct/>
        <w:topLinePunct w:val="0"/>
        <w:autoSpaceDE/>
        <w:autoSpaceDN/>
        <w:bidi w:val="0"/>
        <w:adjustRightInd w:val="0"/>
        <w:snapToGrid w:val="0"/>
        <w:spacing w:line="576" w:lineRule="exact"/>
        <w:ind w:left="-13" w:leftChars="0" w:firstLine="643" w:firstLineChars="0"/>
        <w:textAlignment w:val="auto"/>
        <w:rPr>
          <w:rFonts w:hint="eastAsia" w:ascii="黑体" w:hAnsi="宋体" w:eastAsia="黑体"/>
          <w:b/>
          <w:bCs w:val="0"/>
          <w:sz w:val="32"/>
          <w:szCs w:val="32"/>
          <w:lang w:val="zh-CN"/>
        </w:rPr>
      </w:pPr>
      <w:r>
        <w:rPr>
          <w:rFonts w:hint="eastAsia" w:ascii="黑体" w:hAnsi="宋体" w:eastAsia="黑体"/>
          <w:b/>
          <w:bCs w:val="0"/>
          <w:sz w:val="32"/>
          <w:szCs w:val="32"/>
          <w:lang w:val="zh-CN"/>
        </w:rPr>
        <w:t>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321" w:firstLineChars="1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项目名称</w:t>
      </w:r>
    </w:p>
    <w:p>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茂县</w:t>
      </w:r>
      <w:r>
        <w:rPr>
          <w:rFonts w:hint="eastAsia" w:ascii="仿宋_GB2312" w:hAnsi="仿宋_GB2312" w:eastAsia="仿宋_GB2312" w:cs="仿宋_GB2312"/>
          <w:sz w:val="32"/>
          <w:szCs w:val="32"/>
          <w:lang w:val="en-US" w:eastAsia="zh-CN"/>
        </w:rPr>
        <w:t>2020年污水处理服务项目</w:t>
      </w:r>
    </w:p>
    <w:p>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项目性质</w:t>
      </w:r>
    </w:p>
    <w:p>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运营管理</w:t>
      </w:r>
    </w:p>
    <w:p>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项目主管单位</w:t>
      </w:r>
    </w:p>
    <w:p>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城市公用事业服务中心</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项目地点</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茂县凤仪镇水西村大河坝茂县污水处理厂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321" w:firstLineChars="100"/>
        <w:textAlignment w:val="auto"/>
        <w:rPr>
          <w:lang w:val="zh-CN"/>
        </w:rPr>
      </w:pPr>
      <w:r>
        <w:rPr>
          <w:rFonts w:hint="eastAsia" w:ascii="楷体_GB2312" w:hAnsi="宋体" w:eastAsia="楷体_GB2312"/>
          <w:b/>
          <w:sz w:val="32"/>
          <w:szCs w:val="32"/>
          <w:lang w:val="zh-CN"/>
        </w:rPr>
        <w:t>（二）项目绩效目标</w:t>
      </w:r>
    </w:p>
    <w:p>
      <w:pPr>
        <w:pStyle w:val="2"/>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hAnsi="仿宋_GB2312" w:cs="仿宋_GB2312"/>
          <w:b w:val="0"/>
          <w:bCs/>
          <w:sz w:val="32"/>
          <w:szCs w:val="32"/>
          <w:u w:val="none"/>
          <w:lang w:val="en-US" w:eastAsia="zh-CN"/>
        </w:rPr>
      </w:pPr>
      <w:r>
        <w:rPr>
          <w:rFonts w:hint="eastAsia" w:ascii="仿宋_GB2312" w:hAnsi="仿宋_GB2312" w:eastAsia="仿宋_GB2312" w:cs="仿宋_GB2312"/>
          <w:b w:val="0"/>
          <w:bCs/>
          <w:sz w:val="32"/>
          <w:szCs w:val="32"/>
          <w:u w:val="none"/>
          <w:lang w:val="zh-CN"/>
        </w:rPr>
        <w:t>本项目计划</w:t>
      </w:r>
      <w:r>
        <w:rPr>
          <w:rFonts w:hint="eastAsia" w:hAnsi="仿宋_GB2312" w:cs="仿宋_GB2312"/>
          <w:b w:val="0"/>
          <w:bCs/>
          <w:sz w:val="32"/>
          <w:szCs w:val="32"/>
          <w:u w:val="none"/>
          <w:lang w:val="zh-CN"/>
        </w:rPr>
        <w:t>配备污水处理厂运行管理人员，购置试验药剂，污泥处置，对污水厂设备进行维护保养，结合第三方服务费用（在线仪表第三方运维服务，第三方水质、大气、噪声检测、废液运输处置费、劳务外包服务费），以保证污水处理厂正常运行，达到日处理</w:t>
      </w:r>
      <w:r>
        <w:rPr>
          <w:rFonts w:hint="eastAsia" w:hAnsi="仿宋_GB2312" w:cs="仿宋_GB2312"/>
          <w:b w:val="0"/>
          <w:bCs/>
          <w:sz w:val="32"/>
          <w:szCs w:val="32"/>
          <w:u w:val="none"/>
          <w:lang w:val="en-US" w:eastAsia="zh-CN"/>
        </w:rPr>
        <w:t>4000吨能力，并达标排放。</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576" w:lineRule="exact"/>
        <w:ind w:left="-13" w:leftChars="0" w:firstLine="643" w:firstLineChars="0"/>
        <w:textAlignment w:val="auto"/>
        <w:rPr>
          <w:rFonts w:hint="eastAsia" w:ascii="黑体" w:hAnsi="宋体" w:eastAsia="黑体"/>
          <w:b/>
          <w:bCs/>
          <w:sz w:val="32"/>
          <w:szCs w:val="32"/>
          <w:lang w:eastAsia="zh-CN"/>
        </w:rPr>
      </w:pPr>
      <w:r>
        <w:rPr>
          <w:rFonts w:hint="eastAsia" w:ascii="黑体" w:hAnsi="宋体" w:eastAsia="黑体"/>
          <w:b/>
          <w:bCs/>
          <w:sz w:val="32"/>
          <w:szCs w:val="32"/>
        </w:rPr>
        <w:t>项目资金申报及使用情况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黑体" w:hAnsi="宋体" w:eastAsia="黑体"/>
          <w:b/>
          <w:bCs/>
          <w:sz w:val="32"/>
          <w:szCs w:val="32"/>
          <w:lang w:eastAsia="zh-CN"/>
        </w:rPr>
      </w:pPr>
      <w:r>
        <w:rPr>
          <w:rFonts w:hint="eastAsia" w:ascii="黑体" w:hAnsi="宋体" w:eastAsia="黑体"/>
          <w:b/>
          <w:bCs/>
          <w:sz w:val="32"/>
          <w:szCs w:val="32"/>
          <w:lang w:eastAsia="zh-CN"/>
        </w:rPr>
        <w:t>（一）</w:t>
      </w:r>
      <w:r>
        <w:rPr>
          <w:rFonts w:hint="eastAsia" w:ascii="楷体_GB2312" w:hAnsi="宋体" w:eastAsia="楷体_GB2312"/>
          <w:b/>
          <w:sz w:val="32"/>
          <w:szCs w:val="32"/>
          <w:lang w:val="zh-CN"/>
        </w:rPr>
        <w:t>资金计划、到位及使用情况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资金计划。财政拨付</w:t>
      </w:r>
      <w:r>
        <w:rPr>
          <w:rFonts w:hint="eastAsia" w:ascii="仿宋_GB2312" w:hAnsi="仿宋_GB2312" w:eastAsia="仿宋_GB2312" w:cs="仿宋_GB2312"/>
          <w:sz w:val="32"/>
          <w:szCs w:val="32"/>
          <w:lang w:val="en-US" w:eastAsia="zh-CN"/>
        </w:rPr>
        <w:t>400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资金到位。财政拨付资金合计</w:t>
      </w:r>
      <w:r>
        <w:rPr>
          <w:rFonts w:hint="eastAsia" w:ascii="仿宋_GB2312" w:hAnsi="仿宋_GB2312" w:eastAsia="仿宋_GB2312" w:cs="仿宋_GB2312"/>
          <w:sz w:val="32"/>
          <w:szCs w:val="32"/>
          <w:lang w:val="en-US" w:eastAsia="zh-CN"/>
        </w:rPr>
        <w:t>400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资金使用情况。</w:t>
      </w:r>
      <w:r>
        <w:rPr>
          <w:rFonts w:hint="eastAsia" w:ascii="仿宋_GB2312" w:hAnsi="仿宋_GB2312" w:eastAsia="仿宋_GB2312" w:cs="仿宋_GB2312"/>
          <w:sz w:val="32"/>
          <w:szCs w:val="32"/>
          <w:lang w:eastAsia="zh-CN"/>
        </w:rPr>
        <w:t>本项目总投资约为</w:t>
      </w:r>
      <w:r>
        <w:rPr>
          <w:rFonts w:hint="eastAsia" w:ascii="仿宋_GB2312" w:hAnsi="仿宋_GB2312" w:eastAsia="仿宋_GB2312" w:cs="仿宋_GB2312"/>
          <w:sz w:val="32"/>
          <w:szCs w:val="32"/>
          <w:lang w:val="en-US" w:eastAsia="zh-CN"/>
        </w:rPr>
        <w:t>400万元。其中人工费149.48万元，生产运行费43.63万元，污水厂检测费2.75万元，第三方服务费30.86万元，办公费14.54万元，安全费18.37万元，资产建造、维护费用91.74万元，固定资产购置43.4万元，保险费用2.4万元，项目评估费3万元，截止2020年12月31日支付资金241.47万元。</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财务管理制度健全，严格执行财务管理制度，按时账务处理按季度报账，会计核算严格按照财经制度，做到专款专用。</w:t>
      </w:r>
    </w:p>
    <w:p>
      <w:pPr>
        <w:keepNext w:val="0"/>
        <w:keepLines w:val="0"/>
        <w:pageBreakBefore w:val="0"/>
        <w:widowControl w:val="0"/>
        <w:kinsoku/>
        <w:wordWrap/>
        <w:overflowPunct/>
        <w:topLinePunct w:val="0"/>
        <w:autoSpaceDE/>
        <w:autoSpaceDN/>
        <w:bidi w:val="0"/>
        <w:adjustRightInd w:val="0"/>
        <w:snapToGrid w:val="0"/>
        <w:spacing w:line="576" w:lineRule="exact"/>
        <w:ind w:firstLine="963" w:firstLineChars="300"/>
        <w:textAlignment w:val="auto"/>
        <w:rPr>
          <w:rFonts w:hint="eastAsia" w:ascii="黑体" w:hAnsi="黑体" w:eastAsia="黑体" w:cs="黑体"/>
          <w:b/>
          <w:bCs/>
          <w:sz w:val="32"/>
          <w:szCs w:val="32"/>
        </w:rPr>
      </w:pPr>
      <w:r>
        <w:rPr>
          <w:rFonts w:hint="eastAsia" w:ascii="黑体" w:hAnsi="黑体" w:eastAsia="黑体" w:cs="黑体"/>
          <w:b/>
          <w:bCs/>
          <w:sz w:val="32"/>
          <w:szCs w:val="32"/>
        </w:rPr>
        <w:t>三、项目实施及管理情况</w:t>
      </w:r>
    </w:p>
    <w:p>
      <w:pPr>
        <w:keepNext w:val="0"/>
        <w:keepLines w:val="0"/>
        <w:pageBreakBefore w:val="0"/>
        <w:widowControl w:val="0"/>
        <w:numPr>
          <w:ilvl w:val="0"/>
          <w:numId w:val="0"/>
        </w:numPr>
        <w:kinsoku/>
        <w:wordWrap/>
        <w:overflowPunct/>
        <w:topLinePunct w:val="0"/>
        <w:autoSpaceDE/>
        <w:autoSpaceDN/>
        <w:bidi w:val="0"/>
        <w:spacing w:line="576" w:lineRule="exact"/>
        <w:ind w:leftChars="20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为了使该项目能够顺利实施，我局对此项目实施进行了分工，由分管领导和相关股室负责人牵头</w:t>
      </w:r>
      <w:r>
        <w:rPr>
          <w:rFonts w:hint="eastAsia" w:ascii="仿宋_GB2312" w:hAnsi="仿宋_GB2312" w:eastAsia="仿宋_GB2312" w:cs="仿宋_GB2312"/>
          <w:sz w:val="32"/>
          <w:szCs w:val="32"/>
          <w:lang w:eastAsia="zh-CN"/>
        </w:rPr>
        <w:t>并负责此项目的监管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具体实施由阿坝州茂县兴蓉环境有限责任公司按照项目可行性研究报告实施。</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b/>
          <w:bCs/>
          <w:sz w:val="32"/>
          <w:szCs w:val="32"/>
          <w:lang w:val="zh-CN"/>
        </w:rPr>
      </w:pPr>
      <w:r>
        <w:rPr>
          <w:rFonts w:hint="eastAsia" w:ascii="黑体" w:hAnsi="宋体" w:eastAsia="黑体"/>
          <w:b/>
          <w:bCs/>
          <w:sz w:val="32"/>
          <w:szCs w:val="32"/>
        </w:rPr>
        <w:t>四、项目绩效情况</w:t>
      </w:r>
      <w:r>
        <w:rPr>
          <w:rFonts w:ascii="仿宋_GB2312" w:hAnsi="宋体" w:eastAsia="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年度国家重点生态功能区转移支付资金（</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年污水处理厂运行维护费）项目绩效目标完成情况综述。项目全年预算数</w:t>
      </w:r>
      <w:r>
        <w:rPr>
          <w:rFonts w:hint="eastAsia" w:ascii="仿宋_GB2312" w:hAnsi="仿宋_GB2312" w:eastAsia="仿宋_GB2312" w:cs="仿宋_GB2312"/>
          <w:color w:val="auto"/>
          <w:sz w:val="32"/>
          <w:szCs w:val="32"/>
          <w:lang w:val="en-US" w:eastAsia="zh-CN"/>
        </w:rPr>
        <w:t xml:space="preserve"> 400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资金</w:t>
      </w:r>
      <w:r>
        <w:rPr>
          <w:rFonts w:hint="eastAsia" w:ascii="仿宋_GB2312" w:hAnsi="仿宋_GB2312" w:eastAsia="仿宋_GB2312" w:cs="仿宋_GB2312"/>
          <w:color w:val="auto"/>
          <w:sz w:val="32"/>
          <w:szCs w:val="32"/>
        </w:rPr>
        <w:t>执行数为</w:t>
      </w:r>
      <w:r>
        <w:rPr>
          <w:rFonts w:hint="eastAsia" w:ascii="仿宋_GB2312" w:hAnsi="仿宋_GB2312" w:eastAsia="仿宋_GB2312" w:cs="仿宋_GB2312"/>
          <w:color w:val="auto"/>
          <w:sz w:val="32"/>
          <w:szCs w:val="32"/>
          <w:lang w:val="en-US" w:eastAsia="zh-CN"/>
        </w:rPr>
        <w:t xml:space="preserve"> 241.47</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60.37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，剩余的</w:t>
      </w:r>
      <w:r>
        <w:rPr>
          <w:rFonts w:hint="eastAsia" w:ascii="仿宋_GB2312" w:hAnsi="仿宋_GB2312" w:eastAsia="仿宋_GB2312" w:cs="仿宋_GB2312"/>
          <w:color w:val="auto"/>
          <w:sz w:val="32"/>
          <w:szCs w:val="32"/>
          <w:lang w:val="en-US" w:eastAsia="zh-CN"/>
        </w:rPr>
        <w:t>39.63%在第二年的第一季度支付</w:t>
      </w:r>
      <w:r>
        <w:rPr>
          <w:rFonts w:hint="eastAsia" w:ascii="仿宋_GB2312" w:hAnsi="仿宋_GB2312" w:eastAsia="仿宋_GB2312" w:cs="仿宋_GB2312"/>
          <w:color w:val="auto"/>
          <w:sz w:val="32"/>
          <w:szCs w:val="32"/>
        </w:rPr>
        <w:t>。通过项目实</w:t>
      </w:r>
      <w:r>
        <w:rPr>
          <w:rFonts w:hint="eastAsia" w:ascii="仿宋_GB2312" w:hAnsi="仿宋_GB2312" w:eastAsia="仿宋_GB2312" w:cs="仿宋_GB2312"/>
          <w:color w:val="auto"/>
          <w:sz w:val="32"/>
          <w:szCs w:val="32"/>
          <w:lang w:val="en-US" w:eastAsia="zh-CN"/>
        </w:rPr>
        <w:t>施，2020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污水处理厂</w:t>
      </w:r>
      <w:r>
        <w:rPr>
          <w:rFonts w:hint="eastAsia" w:ascii="仿宋_GB2312" w:hAnsi="仿宋_GB2312" w:eastAsia="仿宋_GB2312" w:cs="仿宋_GB2312"/>
          <w:color w:val="auto"/>
          <w:sz w:val="32"/>
          <w:szCs w:val="32"/>
        </w:rPr>
        <w:t>厂全年共处理污水：</w:t>
      </w:r>
      <w:r>
        <w:rPr>
          <w:rFonts w:hint="eastAsia" w:ascii="仿宋_GB2312" w:hAnsi="仿宋_GB2312" w:eastAsia="仿宋_GB2312" w:cs="仿宋_GB2312"/>
          <w:color w:val="auto"/>
          <w:sz w:val="32"/>
          <w:szCs w:val="32"/>
          <w:lang w:val="en-US" w:eastAsia="zh-CN"/>
        </w:rPr>
        <w:t>117.44</w:t>
      </w:r>
      <w:r>
        <w:rPr>
          <w:rFonts w:hint="eastAsia" w:ascii="仿宋_GB2312" w:hAnsi="仿宋_GB2312" w:eastAsia="仿宋_GB2312" w:cs="仿宋_GB2312"/>
          <w:color w:val="auto"/>
          <w:sz w:val="32"/>
          <w:szCs w:val="32"/>
        </w:rPr>
        <w:t>万吨，COD削减</w:t>
      </w:r>
      <w:r>
        <w:rPr>
          <w:rFonts w:hint="eastAsia" w:ascii="仿宋_GB2312" w:hAnsi="仿宋_GB2312" w:eastAsia="仿宋_GB2312" w:cs="仿宋_GB2312"/>
          <w:color w:val="auto"/>
          <w:sz w:val="32"/>
          <w:szCs w:val="32"/>
          <w:lang w:val="en-US" w:eastAsia="zh-CN"/>
        </w:rPr>
        <w:t>206.69</w:t>
      </w:r>
      <w:r>
        <w:rPr>
          <w:rFonts w:hint="eastAsia" w:ascii="仿宋_GB2312" w:hAnsi="仿宋_GB2312" w:eastAsia="仿宋_GB2312" w:cs="仿宋_GB2312"/>
          <w:color w:val="auto"/>
          <w:sz w:val="32"/>
          <w:szCs w:val="32"/>
        </w:rPr>
        <w:t>吨，氨氮削减量：</w:t>
      </w:r>
      <w:r>
        <w:rPr>
          <w:rFonts w:hint="eastAsia" w:ascii="仿宋_GB2312" w:hAnsi="仿宋_GB2312" w:eastAsia="仿宋_GB2312" w:cs="仿宋_GB2312"/>
          <w:color w:val="auto"/>
          <w:sz w:val="32"/>
          <w:szCs w:val="32"/>
          <w:lang w:val="en-US" w:eastAsia="zh-CN"/>
        </w:rPr>
        <w:t>18.69</w:t>
      </w:r>
      <w:r>
        <w:rPr>
          <w:rFonts w:hint="eastAsia" w:ascii="仿宋_GB2312" w:hAnsi="仿宋_GB2312" w:eastAsia="仿宋_GB2312" w:cs="仿宋_GB2312"/>
          <w:color w:val="auto"/>
          <w:sz w:val="32"/>
          <w:szCs w:val="32"/>
        </w:rPr>
        <w:t>吨；</w:t>
      </w:r>
      <w:r>
        <w:rPr>
          <w:rFonts w:hint="eastAsia" w:ascii="仿宋_GB2312" w:hAnsi="仿宋_GB2312" w:eastAsia="仿宋_GB2312" w:cs="仿宋_GB2312"/>
          <w:color w:val="auto"/>
          <w:sz w:val="32"/>
          <w:szCs w:val="32"/>
          <w:lang w:eastAsia="zh-CN"/>
        </w:rPr>
        <w:t>污水处理</w:t>
      </w:r>
      <w:r>
        <w:rPr>
          <w:rFonts w:hint="eastAsia" w:ascii="仿宋_GB2312" w:hAnsi="仿宋_GB2312" w:eastAsia="仿宋_GB2312" w:cs="仿宋_GB2312"/>
          <w:color w:val="auto"/>
          <w:sz w:val="32"/>
          <w:szCs w:val="32"/>
        </w:rPr>
        <w:t>厂设计排放标准：《城镇污水处理厂污染物排放标准》（GB18918-2002)一级B标，实际执行《城镇污水处理厂污染物排放标准（GB18918-2002)一级A标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为了确保污水全收集全处理，污水处理厂采取3班倒24小时值班制不间断处理。聘请邛崃中机建公司进行技术指导服务，聘请成都雅奕丰有限公司进行在线监测设备维护服务，聘请成都中测凯乐有限公司进行每月水质监测服务，有效确保了污水处理各项数据指标安全达标。茂县污水处理厂自运行以来，始终坚持以安全生产为基础，采用科学化的管理手段，积极做好生产工艺和生产设备的监控，严格执行设备维修保养制度，保证污水处理厂安全、持续、稳步运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Style w:val="2"/>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sz w:val="32"/>
          <w:szCs w:val="32"/>
          <w:lang w:val="zh-CN"/>
        </w:rPr>
        <w:t>作为城市基础设施工程运营，其必然要产生一定的间接经济效益，主要表现在：由于城市污水处理量</w:t>
      </w:r>
      <w:r>
        <w:rPr>
          <w:rFonts w:hint="eastAsia"/>
          <w:sz w:val="32"/>
          <w:szCs w:val="32"/>
          <w:lang w:val="en-US" w:eastAsia="zh-CN"/>
        </w:rPr>
        <w:t xml:space="preserve"> 增加而提高了城市基础及生活环境质量以及由于生产生活环境质量的提高而获得的外来投资增加，城市公共卫生突发性防治费减少。此外项目的实施还相应的产生一系列其他社会效益：1.提高人民健康水平和延长人的寿命；2.提高城乡卫生和安全水平，同时，项目的实施也有利于加强茂县环境监管的技术与生态环境研究水平的提升，有利于加强茂县生态环境建设和经济社会的发展，有利于推动全县环保工作上新的台阶。</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spacing w:line="576" w:lineRule="exact"/>
        <w:jc w:val="left"/>
        <w:textAlignment w:val="auto"/>
        <w:outlineLvl w:val="0"/>
        <w:rPr>
          <w:rFonts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val="0"/>
        <w:snapToGrid w:val="0"/>
        <w:spacing w:line="576" w:lineRule="exact"/>
        <w:ind w:firstLine="1944" w:firstLineChars="442"/>
        <w:jc w:val="both"/>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城市公用事业服务中心</w:t>
      </w:r>
    </w:p>
    <w:p>
      <w:pPr>
        <w:pStyle w:val="2"/>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项目支出绩效评价报告</w:t>
      </w:r>
    </w:p>
    <w:p>
      <w:pPr>
        <w:pStyle w:val="2"/>
        <w:keepNext w:val="0"/>
        <w:keepLines w:val="0"/>
        <w:pageBreakBefore w:val="0"/>
        <w:widowControl w:val="0"/>
        <w:kinsoku/>
        <w:wordWrap/>
        <w:overflowPunct/>
        <w:topLinePunct w:val="0"/>
        <w:autoSpaceDE/>
        <w:autoSpaceDN/>
        <w:bidi w:val="0"/>
        <w:spacing w:line="576" w:lineRule="exact"/>
        <w:jc w:val="center"/>
        <w:textAlignment w:val="auto"/>
        <w:rPr>
          <w:rFonts w:hint="eastAsia" w:ascii="仿宋_GB2312" w:hAnsi="仿宋_GB2312" w:eastAsia="仿宋_GB2312" w:cs="仿宋_GB2312"/>
          <w:sz w:val="32"/>
          <w:szCs w:val="32"/>
          <w:lang w:eastAsia="zh-CN"/>
        </w:rPr>
      </w:pPr>
      <w:r>
        <w:rPr>
          <w:rFonts w:hint="eastAsia" w:hAnsi="仿宋_GB2312" w:cs="仿宋_GB2312"/>
          <w:sz w:val="32"/>
          <w:szCs w:val="32"/>
          <w:lang w:eastAsia="zh-CN"/>
        </w:rPr>
        <w:t>（茂县城区绿化管护）</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项目名称</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茂县城区绿化管护项目</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项目主管单位</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茂县城市公用事业服务中心</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适用范围</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茂县城区范围。</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茂县城区绿化管护</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 xml:space="preserve">274.52 </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 xml:space="preserve"> 274.52</w:t>
      </w:r>
      <w:r>
        <w:rPr>
          <w:rFonts w:hint="eastAsia" w:ascii="仿宋_GB2312" w:hAnsi="仿宋_GB2312" w:eastAsia="仿宋_GB2312" w:cs="仿宋_GB2312"/>
          <w:color w:val="auto"/>
          <w:sz w:val="32"/>
          <w:szCs w:val="32"/>
        </w:rPr>
        <w:t>万元，完成预算</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 xml:space="preserve">100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通过项目实施完成了茂县城区所有园林绿化景观带养护，养护总面积</w:t>
      </w:r>
      <w:r>
        <w:rPr>
          <w:rFonts w:hint="eastAsia" w:ascii="仿宋_GB2312" w:hAnsi="仿宋_GB2312" w:eastAsia="仿宋_GB2312" w:cs="仿宋_GB2312"/>
          <w:color w:val="auto"/>
          <w:sz w:val="32"/>
          <w:szCs w:val="32"/>
          <w:lang w:val="en-US" w:eastAsia="zh-CN"/>
        </w:rPr>
        <w:t>1176.75亩以及5113株行道树，管护内容：去除枯死植株、树木扶正、病虫害防治和监测、浇灌排水、土壤施肥、中耕除草、植物（树木、绿篱、草坪等）修剪、游步道、休闲椅、果屑箱、厕所、栈道、休闲亭、水景观、健身器材等市政设施的保洁、绿化带保洁、垃圾收集，使全县城区绿化管护得到改善，并充分有效的提高了城区绿化效果，给全县市民提供一个优美的生活环境</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rPr>
      </w:pPr>
      <w:r>
        <w:rPr>
          <w:rFonts w:hint="eastAsia" w:ascii="黑体" w:hAnsi="宋体" w:eastAsia="黑体"/>
          <w:sz w:val="32"/>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楷体_GB2312" w:hAnsi="宋体" w:eastAsia="楷体_GB2312"/>
          <w:b/>
          <w:sz w:val="32"/>
          <w:szCs w:val="32"/>
          <w:lang w:val="zh-CN"/>
        </w:rPr>
        <w:t>（一）资金计划、到位及使用情况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资金计划。财政拨付</w:t>
      </w:r>
      <w:r>
        <w:rPr>
          <w:rFonts w:hint="eastAsia" w:ascii="仿宋_GB2312" w:hAnsi="仿宋_GB2312" w:eastAsia="仿宋_GB2312" w:cs="仿宋_GB2312"/>
          <w:sz w:val="32"/>
          <w:szCs w:val="32"/>
          <w:lang w:val="en-US" w:eastAsia="zh-CN"/>
        </w:rPr>
        <w:t>274.52</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资金到位。财政拨付资金合计</w:t>
      </w:r>
      <w:r>
        <w:rPr>
          <w:rFonts w:hint="eastAsia" w:ascii="仿宋_GB2312" w:hAnsi="仿宋_GB2312" w:eastAsia="仿宋_GB2312" w:cs="仿宋_GB2312"/>
          <w:sz w:val="32"/>
          <w:szCs w:val="32"/>
          <w:lang w:val="en-US" w:eastAsia="zh-CN"/>
        </w:rPr>
        <w:t>274.52万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用于茂县城区</w:t>
      </w:r>
      <w:r>
        <w:rPr>
          <w:rFonts w:hint="eastAsia" w:ascii="仿宋_GB2312" w:hAnsi="仿宋_GB2312" w:eastAsia="仿宋_GB2312" w:cs="仿宋_GB2312"/>
          <w:color w:val="auto"/>
          <w:sz w:val="32"/>
          <w:szCs w:val="32"/>
          <w:lang w:val="en-US" w:eastAsia="zh-CN"/>
        </w:rPr>
        <w:t>去除枯死植株、树木扶正、病虫害防治和监测、浇灌排水、土壤施肥、中耕除草、植物（树木、绿篱、草坪等）修剪、游步道、休闲椅、果屑箱、厕所、栈道、休闲亭、水景观、健身器材等市政设施的保洁、绿化带保洁、垃圾收集，</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资金使用情况。</w:t>
      </w:r>
      <w:r>
        <w:rPr>
          <w:rFonts w:hint="eastAsia" w:ascii="仿宋_GB2312" w:hAnsi="仿宋_GB2312" w:eastAsia="仿宋_GB2312" w:cs="仿宋_GB2312"/>
          <w:color w:val="auto"/>
          <w:sz w:val="32"/>
          <w:szCs w:val="32"/>
          <w:lang w:eastAsia="zh-CN"/>
        </w:rPr>
        <w:t>茂县城区绿化管护</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 xml:space="preserve">274.52 </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 xml:space="preserve"> 274.52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100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通过项目实施完成了茂县城区所有园林绿化景观带养护，养护总面积</w:t>
      </w:r>
      <w:r>
        <w:rPr>
          <w:rFonts w:hint="eastAsia" w:ascii="仿宋_GB2312" w:hAnsi="仿宋_GB2312" w:eastAsia="仿宋_GB2312" w:cs="仿宋_GB2312"/>
          <w:color w:val="auto"/>
          <w:sz w:val="32"/>
          <w:szCs w:val="32"/>
          <w:lang w:val="en-US" w:eastAsia="zh-CN"/>
        </w:rPr>
        <w:t>1176.75亩以及5113株行道树，管护内容：去除枯死植株、树木扶正、病虫害防治和监测、浇灌排水、土壤施肥、中耕除草、植物（树木、绿篱、草坪等）修剪、游步道、休闲椅、果屑箱、厕所、栈道、休闲亭、水景观、健身器材等市政设施的保洁、绿化带保洁、垃圾收集，使全县城区绿化管护得到改善，并充分有效的提高了城区绿化效果，给全县市民提供一个优美的生活环境。</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黑体" w:hAnsi="黑体" w:eastAsia="黑体" w:cs="黑体"/>
          <w:b w:val="0"/>
          <w:bCs/>
          <w:sz w:val="32"/>
          <w:szCs w:val="32"/>
          <w:lang w:val="zh-CN"/>
        </w:rPr>
      </w:pPr>
      <w:r>
        <w:rPr>
          <w:rFonts w:hint="eastAsia" w:ascii="黑体" w:hAnsi="黑体" w:eastAsia="黑体" w:cs="黑体"/>
          <w:b w:val="0"/>
          <w:bCs/>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财务管理制度健全，严格执行财务管理制度，按时账务处理按年度报账，会计核算严格按照财经制度，做到专款专用。</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黑体" w:hAnsi="黑体" w:eastAsia="黑体" w:cs="黑体"/>
          <w:sz w:val="32"/>
          <w:szCs w:val="32"/>
        </w:rPr>
      </w:pPr>
      <w:r>
        <w:rPr>
          <w:rFonts w:hint="eastAsia" w:ascii="黑体" w:hAnsi="黑体" w:eastAsia="黑体" w:cs="黑体"/>
          <w:sz w:val="32"/>
          <w:szCs w:val="32"/>
        </w:rPr>
        <w:t>三、项目实施及管理情况</w:t>
      </w:r>
    </w:p>
    <w:p>
      <w:pPr>
        <w:keepNext w:val="0"/>
        <w:keepLines w:val="0"/>
        <w:pageBreakBefore w:val="0"/>
        <w:widowControl w:val="0"/>
        <w:numPr>
          <w:ilvl w:val="0"/>
          <w:numId w:val="0"/>
        </w:numPr>
        <w:kinsoku/>
        <w:wordWrap/>
        <w:overflowPunct/>
        <w:topLinePunct w:val="0"/>
        <w:autoSpaceDE/>
        <w:autoSpaceDN/>
        <w:bidi w:val="0"/>
        <w:spacing w:line="576" w:lineRule="exact"/>
        <w:ind w:leftChars="20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为了使该项目能够顺利实施，我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对此项目实施进行了分工，由分管领导和相关股室负责人牵头，</w:t>
      </w:r>
      <w:r>
        <w:rPr>
          <w:rFonts w:hint="eastAsia" w:ascii="仿宋_GB2312" w:hAnsi="仿宋_GB2312" w:eastAsia="仿宋_GB2312" w:cs="仿宋_GB2312"/>
          <w:sz w:val="32"/>
          <w:szCs w:val="32"/>
          <w:lang w:eastAsia="zh-CN"/>
        </w:rPr>
        <w:t>具体实施由四川洪建达建设工程有限公司按照合同要求实施此项目。</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茂县城区绿化管护</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 xml:space="preserve">274.52 </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 xml:space="preserve"> 274.52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100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通过项目实施完成了茂县城区所有园林绿化景观带养护，养护总面积</w:t>
      </w:r>
      <w:r>
        <w:rPr>
          <w:rFonts w:hint="eastAsia" w:ascii="仿宋_GB2312" w:hAnsi="仿宋_GB2312" w:eastAsia="仿宋_GB2312" w:cs="仿宋_GB2312"/>
          <w:color w:val="auto"/>
          <w:sz w:val="32"/>
          <w:szCs w:val="32"/>
          <w:lang w:val="en-US" w:eastAsia="zh-CN"/>
        </w:rPr>
        <w:t>1176.75亩以及5113株行道树，管护内容：去除枯死植株、树木扶正、病虫害防治和监测、浇灌排水、土壤施肥、中耕除草、植物（树木、绿篱、草坪等）修剪、游步道、休闲椅、果屑箱、厕所、栈道、休闲亭、水景观、健身器材等市政设施的保洁、绿化带保洁、垃圾收集，使全县城区绿化管护得到改善，并充分有效的提高了城区绿化效果，给全县市民提供一个优美的生活环境</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hAnsi="宋体" w:eastAsia="仿宋_GB2312"/>
          <w:sz w:val="32"/>
          <w:szCs w:val="32"/>
          <w:lang w:val="zh-CN"/>
        </w:rPr>
      </w:pPr>
      <w:r>
        <w:rPr>
          <w:rFonts w:hint="eastAsia" w:ascii="仿宋_GB2312" w:hAnsi="仿宋_GB2312" w:eastAsia="仿宋_GB2312" w:cs="仿宋_GB2312"/>
          <w:color w:val="auto"/>
          <w:sz w:val="32"/>
          <w:szCs w:val="32"/>
          <w:lang w:val="en-US" w:eastAsia="zh-CN"/>
        </w:rPr>
        <w:t>全县城区环境卫生得到明显改善，并充分有效的提高了城区绿化及绿化环境卫生，为全县市民提供了一个舒适整洁的绿色生活空间。</w:t>
      </w: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b w:val="0"/>
          <w:bCs/>
          <w:sz w:val="44"/>
          <w:szCs w:val="44"/>
          <w:lang w:eastAsia="zh-CN"/>
        </w:rPr>
      </w:pP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宋体" w:hAnsi="宋体"/>
          <w:b/>
          <w:sz w:val="44"/>
          <w:szCs w:val="44"/>
          <w:lang w:eastAsia="zh-CN"/>
        </w:rPr>
      </w:pP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宋体" w:hAnsi="宋体"/>
          <w:b/>
          <w:sz w:val="44"/>
          <w:szCs w:val="44"/>
          <w:lang w:eastAsia="zh-CN"/>
        </w:rPr>
      </w:pPr>
    </w:p>
    <w:p>
      <w:pPr>
        <w:keepNext w:val="0"/>
        <w:keepLines w:val="0"/>
        <w:pageBreakBefore w:val="0"/>
        <w:widowControl w:val="0"/>
        <w:kinsoku/>
        <w:wordWrap/>
        <w:overflowPunct/>
        <w:topLinePunct w:val="0"/>
        <w:autoSpaceDE/>
        <w:autoSpaceDN/>
        <w:bidi w:val="0"/>
        <w:spacing w:line="576" w:lineRule="exact"/>
        <w:jc w:val="both"/>
        <w:textAlignment w:val="auto"/>
        <w:outlineLvl w:val="0"/>
        <w:rPr>
          <w:rFonts w:ascii="黑体" w:hAnsi="黑体" w:eastAsia="黑体" w:cs="黑体"/>
          <w:sz w:val="32"/>
          <w:szCs w:val="32"/>
        </w:rPr>
      </w:pP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城市公用事业服务中心</w:t>
      </w:r>
    </w:p>
    <w:p>
      <w:pPr>
        <w:keepNext w:val="0"/>
        <w:keepLines w:val="0"/>
        <w:pageBreakBefore w:val="0"/>
        <w:widowControl w:val="0"/>
        <w:kinsoku/>
        <w:wordWrap/>
        <w:overflowPunct/>
        <w:topLinePunct w:val="0"/>
        <w:autoSpaceDE/>
        <w:autoSpaceDN/>
        <w:bidi w:val="0"/>
        <w:adjustRightInd w:val="0"/>
        <w:snapToGrid w:val="0"/>
        <w:spacing w:line="576" w:lineRule="exact"/>
        <w:ind w:firstLine="1760" w:firstLineChars="400"/>
        <w:jc w:val="both"/>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项目支出绩效自评报告</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“8•16”岷江城区河堤护栏修复项目</w:t>
      </w:r>
      <w:r>
        <w:rPr>
          <w:rFonts w:hint="eastAsia" w:ascii="仿宋_GB2312" w:hAnsi="仿宋_GB2312" w:eastAsia="仿宋_GB2312" w:cs="仿宋_GB2312"/>
          <w:b w:val="0"/>
          <w:bCs w:val="0"/>
          <w:sz w:val="32"/>
          <w:szCs w:val="32"/>
          <w:lang w:val="zh-CN"/>
        </w:rPr>
        <w:t>）</w:t>
      </w:r>
    </w:p>
    <w:p>
      <w:pPr>
        <w:keepNext w:val="0"/>
        <w:keepLines w:val="0"/>
        <w:pageBreakBefore w:val="0"/>
        <w:widowControl w:val="0"/>
        <w:numPr>
          <w:ilvl w:val="0"/>
          <w:numId w:val="6"/>
        </w:numPr>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sz w:val="32"/>
          <w:szCs w:val="32"/>
          <w:lang w:val="zh-CN"/>
        </w:rPr>
      </w:pPr>
      <w:r>
        <w:rPr>
          <w:rFonts w:hint="eastAsia" w:ascii="黑体" w:hAnsi="宋体" w:eastAsia="黑体"/>
          <w:sz w:val="32"/>
          <w:szCs w:val="32"/>
          <w:lang w:val="zh-CN"/>
        </w:rPr>
        <w:t>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因</w:t>
      </w:r>
      <w:r>
        <w:rPr>
          <w:rFonts w:hint="eastAsia" w:ascii="仿宋_GB2312" w:hAnsi="仿宋_GB2312" w:eastAsia="仿宋_GB2312" w:cs="仿宋_GB2312"/>
          <w:sz w:val="32"/>
          <w:szCs w:val="32"/>
          <w:lang w:val="en-US" w:eastAsia="zh-CN"/>
        </w:rPr>
        <w:t>2020年度我县突发暴雨，造成水位上涨严重，将原有护栏冲断，为切实保障过往人员生命安全，</w:t>
      </w:r>
      <w:r>
        <w:rPr>
          <w:rFonts w:hint="eastAsia" w:ascii="仿宋_GB2312" w:hAnsi="仿宋_GB2312" w:eastAsia="仿宋_GB2312" w:cs="仿宋_GB2312"/>
          <w:sz w:val="32"/>
          <w:szCs w:val="32"/>
        </w:rPr>
        <w:t>我中心负责实施“8•16”岷江城区河堤护栏修复项目落实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资金为特别抗疫国债资金130万元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项目主要依据《</w:t>
      </w:r>
      <w:r>
        <w:rPr>
          <w:rFonts w:hint="eastAsia" w:ascii="仿宋_GB2312" w:hAnsi="仿宋_GB2312" w:eastAsia="仿宋_GB2312" w:cs="仿宋_GB2312"/>
          <w:sz w:val="32"/>
          <w:szCs w:val="32"/>
          <w:lang w:val="en-US" w:eastAsia="zh-CN"/>
        </w:rPr>
        <w:t>茂县发展和改革局关于“8·16”岷江城区河提护栏修复项目实施方案的批复（茂发改行审【2020】129号）》及《四川省人民政府办公厅关于印发四川省抢险救灾工程项目管理办法的通知》（川办发〔2020〕37号）。</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hAnsi="宋体" w:eastAsia="黑体"/>
          <w:sz w:val="32"/>
          <w:szCs w:val="32"/>
        </w:rPr>
      </w:pPr>
      <w:r>
        <w:rPr>
          <w:rFonts w:hint="eastAsia" w:ascii="黑体" w:hAnsi="宋体" w:eastAsia="黑体"/>
          <w:sz w:val="32"/>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楷体_GB2312" w:hAnsi="宋体" w:eastAsia="楷体_GB2312"/>
          <w:b/>
          <w:sz w:val="32"/>
          <w:szCs w:val="32"/>
          <w:lang w:val="zh-CN"/>
        </w:rPr>
        <w:t>（一）资金计划、到位及使用情况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项目一类费用</w:t>
      </w:r>
      <w:r>
        <w:rPr>
          <w:rFonts w:hint="eastAsia" w:ascii="仿宋_GB2312" w:hAnsi="仿宋_GB2312" w:eastAsia="仿宋_GB2312" w:cs="仿宋_GB2312"/>
          <w:sz w:val="32"/>
          <w:szCs w:val="32"/>
        </w:rPr>
        <w:t>金额为</w:t>
      </w:r>
      <w:r>
        <w:rPr>
          <w:rFonts w:hint="eastAsia" w:ascii="仿宋_GB2312" w:hAnsi="仿宋_GB2312" w:eastAsia="仿宋_GB2312" w:cs="仿宋_GB2312"/>
          <w:sz w:val="32"/>
          <w:szCs w:val="32"/>
          <w:lang w:val="en-US" w:eastAsia="zh-CN"/>
        </w:rPr>
        <w:t>111.5万</w:t>
      </w:r>
      <w:r>
        <w:rPr>
          <w:rFonts w:hint="eastAsia" w:ascii="仿宋_GB2312" w:hAnsi="仿宋_GB2312" w:eastAsia="仿宋_GB2312" w:cs="仿宋_GB2312"/>
          <w:sz w:val="32"/>
          <w:szCs w:val="32"/>
        </w:rPr>
        <w:t>元，项目二类费用为</w:t>
      </w:r>
      <w:r>
        <w:rPr>
          <w:rFonts w:hint="eastAsia" w:ascii="仿宋_GB2312" w:hAnsi="仿宋_GB2312" w:eastAsia="仿宋_GB2312" w:cs="仿宋_GB2312"/>
          <w:sz w:val="32"/>
          <w:szCs w:val="32"/>
          <w:lang w:val="en-US" w:eastAsia="zh-CN"/>
        </w:rPr>
        <w:t>12.04万</w:t>
      </w:r>
      <w:r>
        <w:rPr>
          <w:rFonts w:hint="eastAsia" w:ascii="仿宋_GB2312" w:hAnsi="仿宋_GB2312" w:eastAsia="仿宋_GB2312" w:cs="仿宋_GB2312"/>
          <w:sz w:val="32"/>
          <w:szCs w:val="32"/>
        </w:rPr>
        <w:t>元，其中：预算费</w:t>
      </w:r>
      <w:r>
        <w:rPr>
          <w:rFonts w:hint="eastAsia" w:ascii="仿宋_GB2312" w:hAnsi="仿宋_GB2312" w:eastAsia="仿宋_GB2312" w:cs="仿宋_GB2312"/>
          <w:sz w:val="32"/>
          <w:szCs w:val="32"/>
          <w:lang w:val="en-US" w:eastAsia="zh-CN"/>
        </w:rPr>
        <w:t>0.48万</w:t>
      </w:r>
      <w:r>
        <w:rPr>
          <w:rFonts w:hint="eastAsia" w:ascii="仿宋_GB2312" w:hAnsi="仿宋_GB2312" w:eastAsia="仿宋_GB2312" w:cs="仿宋_GB2312"/>
          <w:sz w:val="32"/>
          <w:szCs w:val="32"/>
        </w:rPr>
        <w:t>元，设计费</w:t>
      </w:r>
      <w:r>
        <w:rPr>
          <w:rFonts w:hint="eastAsia" w:ascii="仿宋_GB2312" w:hAnsi="仿宋_GB2312" w:eastAsia="仿宋_GB2312" w:cs="仿宋_GB2312"/>
          <w:sz w:val="32"/>
          <w:szCs w:val="32"/>
          <w:lang w:val="en-US" w:eastAsia="zh-CN"/>
        </w:rPr>
        <w:t>6.2万</w:t>
      </w:r>
      <w:r>
        <w:rPr>
          <w:rFonts w:hint="eastAsia" w:ascii="仿宋_GB2312" w:hAnsi="仿宋_GB2312" w:eastAsia="仿宋_GB2312" w:cs="仿宋_GB2312"/>
          <w:sz w:val="32"/>
          <w:szCs w:val="32"/>
        </w:rPr>
        <w:t>元，监理费</w:t>
      </w:r>
      <w:r>
        <w:rPr>
          <w:rFonts w:hint="eastAsia" w:ascii="仿宋_GB2312" w:hAnsi="仿宋_GB2312" w:eastAsia="仿宋_GB2312" w:cs="仿宋_GB2312"/>
          <w:sz w:val="32"/>
          <w:szCs w:val="32"/>
          <w:lang w:val="en-US" w:eastAsia="zh-CN"/>
        </w:rPr>
        <w:t>4.5万</w:t>
      </w:r>
      <w:r>
        <w:rPr>
          <w:rFonts w:hint="eastAsia" w:ascii="仿宋_GB2312" w:hAnsi="仿宋_GB2312" w:eastAsia="仿宋_GB2312" w:cs="仿宋_GB2312"/>
          <w:sz w:val="32"/>
          <w:szCs w:val="32"/>
        </w:rPr>
        <w:t>元，审计费</w:t>
      </w:r>
      <w:r>
        <w:rPr>
          <w:rFonts w:hint="eastAsia" w:ascii="仿宋_GB2312" w:hAnsi="仿宋_GB2312" w:eastAsia="仿宋_GB2312" w:cs="仿宋_GB2312"/>
          <w:sz w:val="32"/>
          <w:szCs w:val="32"/>
          <w:lang w:val="en-US" w:eastAsia="zh-CN"/>
        </w:rPr>
        <w:t>0.86万</w:t>
      </w:r>
      <w:r>
        <w:rPr>
          <w:rFonts w:hint="eastAsia" w:ascii="仿宋_GB2312" w:hAnsi="仿宋_GB2312" w:eastAsia="仿宋_GB2312" w:cs="仿宋_GB2312"/>
          <w:sz w:val="32"/>
          <w:szCs w:val="32"/>
        </w:rPr>
        <w:t>元，项目累计发生费用</w:t>
      </w:r>
      <w:r>
        <w:rPr>
          <w:rFonts w:hint="eastAsia" w:ascii="仿宋_GB2312" w:hAnsi="仿宋_GB2312" w:eastAsia="仿宋_GB2312" w:cs="仿宋_GB2312"/>
          <w:sz w:val="32"/>
          <w:szCs w:val="32"/>
          <w:lang w:val="en-US" w:eastAsia="zh-CN"/>
        </w:rPr>
        <w:t>123.5万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故结余资金</w:t>
      </w:r>
      <w:r>
        <w:rPr>
          <w:rFonts w:hint="eastAsia" w:ascii="仿宋_GB2312" w:hAnsi="仿宋_GB2312" w:eastAsia="仿宋_GB2312" w:cs="仿宋_GB2312"/>
          <w:sz w:val="32"/>
          <w:szCs w:val="32"/>
          <w:lang w:val="en-US" w:eastAsia="zh-CN"/>
        </w:rPr>
        <w:t>6.5万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结余资金已返回财政局</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黑体" w:hAnsi="黑体" w:eastAsia="黑体" w:cs="黑体"/>
          <w:b w:val="0"/>
          <w:bCs/>
          <w:sz w:val="32"/>
          <w:szCs w:val="32"/>
          <w:lang w:val="zh-CN"/>
        </w:rPr>
      </w:pPr>
      <w:r>
        <w:rPr>
          <w:rFonts w:hint="eastAsia" w:ascii="黑体" w:hAnsi="黑体" w:eastAsia="黑体" w:cs="黑体"/>
          <w:b w:val="0"/>
          <w:bCs/>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仿宋_GB2312" w:hAnsi="宋体" w:eastAsia="仿宋_GB2312"/>
          <w:sz w:val="32"/>
          <w:szCs w:val="32"/>
          <w:lang w:val="zh-CN"/>
        </w:rPr>
        <w:t>总体评价项目实施单位财务管理制度健全，严格执行财务管理制度，账务处理及时，会计核算严格按照财经制度，做到专款专用。</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黑体" w:hAnsi="黑体" w:eastAsia="黑体" w:cs="黑体"/>
          <w:sz w:val="32"/>
          <w:szCs w:val="32"/>
        </w:rPr>
      </w:pPr>
      <w:r>
        <w:rPr>
          <w:rFonts w:hint="eastAsia" w:ascii="黑体" w:hAnsi="黑体" w:eastAsia="黑体" w:cs="黑体"/>
          <w:sz w:val="32"/>
          <w:szCs w:val="32"/>
        </w:rPr>
        <w:t>三、项目实施及管理情况</w:t>
      </w:r>
    </w:p>
    <w:p>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项目所有开支均按照制度执行，资金使用专人管理，专款专用，严格把关，整个项目的运行完全按照我单位内部管理制度，县委、县政府及财政有关规定执行，项目资金使用与具体项目实施内容相符，绩效总目标和阶段性目标都已按照计划完成，未逾期</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该项目均已完成当年计划，完成了年度绩效目标。日常管理工作均按照单位相关制度执行，建立了工作有计划，实施有方案，日常有监督的管理机制，工作取得了较好的成效，效能得到了提高，获得了社会公众的好评100%。</w:t>
      </w:r>
    </w:p>
    <w:p>
      <w:pPr>
        <w:keepNext w:val="0"/>
        <w:keepLines w:val="0"/>
        <w:pageBreakBefore w:val="0"/>
        <w:widowControl w:val="0"/>
        <w:kinsoku/>
        <w:wordWrap/>
        <w:overflowPunct/>
        <w:topLinePunct w:val="0"/>
        <w:autoSpaceDE/>
        <w:autoSpaceDN/>
        <w:bidi w:val="0"/>
        <w:spacing w:line="576" w:lineRule="exact"/>
        <w:textAlignment w:val="auto"/>
      </w:pPr>
    </w:p>
    <w:p>
      <w:pPr>
        <w:keepNext w:val="0"/>
        <w:keepLines w:val="0"/>
        <w:pageBreakBefore w:val="0"/>
        <w:widowControl w:val="0"/>
        <w:kinsoku/>
        <w:wordWrap/>
        <w:overflowPunct/>
        <w:topLinePunct w:val="0"/>
        <w:autoSpaceDE/>
        <w:autoSpaceDN/>
        <w:bidi w:val="0"/>
        <w:spacing w:line="576" w:lineRule="exact"/>
        <w:jc w:val="left"/>
        <w:textAlignment w:val="auto"/>
        <w:outlineLvl w:val="0"/>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spacing w:line="576" w:lineRule="exact"/>
        <w:textAlignment w:val="auto"/>
      </w:pPr>
    </w:p>
    <w:p>
      <w:pPr>
        <w:pStyle w:val="2"/>
        <w:keepNext w:val="0"/>
        <w:keepLines w:val="0"/>
        <w:pageBreakBefore w:val="0"/>
        <w:widowControl w:val="0"/>
        <w:kinsoku/>
        <w:wordWrap/>
        <w:overflowPunct/>
        <w:topLinePunct w:val="0"/>
        <w:autoSpaceDE/>
        <w:autoSpaceDN/>
        <w:bidi w:val="0"/>
        <w:spacing w:line="576" w:lineRule="exact"/>
        <w:textAlignment w:val="auto"/>
        <w:rPr>
          <w:lang w:val="zh-CN"/>
        </w:rPr>
      </w:pPr>
    </w:p>
    <w:p>
      <w:pPr>
        <w:spacing w:line="600" w:lineRule="exact"/>
        <w:jc w:val="left"/>
        <w:outlineLvl w:val="0"/>
        <w:rPr>
          <w:rFonts w:hint="eastAsia" w:ascii="黑体" w:hAnsi="黑体" w:eastAsia="黑体" w:cs="黑体"/>
          <w:sz w:val="32"/>
          <w:szCs w:val="32"/>
        </w:rPr>
      </w:pPr>
    </w:p>
    <w:p>
      <w:pPr>
        <w:widowControl/>
        <w:jc w:val="left"/>
        <w:rPr>
          <w:rStyle w:val="24"/>
          <w:rFonts w:ascii="黑体" w:hAnsi="黑体" w:eastAsia="黑体"/>
          <w:b w:val="0"/>
        </w:rPr>
      </w:pPr>
      <w:r>
        <w:rPr>
          <w:rStyle w:val="24"/>
          <w:rFonts w:ascii="黑体" w:hAnsi="黑体" w:eastAsia="黑体"/>
          <w:b w:val="0"/>
        </w:rPr>
        <w:br w:type="page"/>
      </w:r>
    </w:p>
    <w:p>
      <w:pPr>
        <w:pStyle w:val="41"/>
        <w:spacing w:line="560" w:lineRule="exact"/>
        <w:jc w:val="center"/>
        <w:rPr>
          <w:rFonts w:hint="eastAsia" w:ascii="宋体" w:hAnsi="宋体"/>
          <w:b/>
          <w:sz w:val="44"/>
          <w:szCs w:val="44"/>
          <w:lang w:eastAsia="zh-CN"/>
        </w:rPr>
      </w:pP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宋体" w:hAnsi="宋体"/>
          <w:b/>
          <w:sz w:val="44"/>
          <w:szCs w:val="44"/>
          <w:lang w:eastAsia="zh-CN"/>
        </w:rPr>
      </w:pPr>
      <w:r>
        <w:rPr>
          <w:rFonts w:hint="eastAsia" w:ascii="宋体" w:hAnsi="宋体"/>
          <w:b/>
          <w:sz w:val="44"/>
          <w:szCs w:val="44"/>
          <w:lang w:eastAsia="zh-CN"/>
        </w:rPr>
        <w:t>城市公用事业服务中心</w:t>
      </w: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宋体" w:hAnsi="宋体"/>
          <w:b/>
          <w:sz w:val="44"/>
          <w:szCs w:val="44"/>
        </w:rPr>
      </w:pPr>
      <w:r>
        <w:rPr>
          <w:rFonts w:hint="eastAsia" w:ascii="宋体" w:hAnsi="宋体"/>
          <w:b/>
          <w:sz w:val="44"/>
          <w:szCs w:val="44"/>
        </w:rPr>
        <w:t>项目支出绩效自评报告</w:t>
      </w: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eastAsia="zh-CN"/>
        </w:rPr>
        <w:t>（环卫清扫保洁服务）</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项目名称</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rPr>
        <w:t>年环卫保洁费服务项目</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项目主管单位</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茂县城市公用事业服务中心</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适用范围</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茂县城区范围的环卫保洁。</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茂县城区环卫清扫保洁服务</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 xml:space="preserve"> 334.92 </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334.92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color w:val="auto"/>
          <w:sz w:val="32"/>
          <w:szCs w:val="32"/>
          <w:lang w:val="en-US" w:eastAsia="zh-CN"/>
        </w:rPr>
        <w:t>完成茂县城区1、茂县县城公共区域环卫清扫保洁，包含已建成的市政道路、人行道、公共广场、垃圾中转站、雨篦子、公共围栏、道路边沟、边坡、桥梁、涵洞、果皮箱、垃圾桶、垃圾转运箱等市政公共设施的环境卫生管理和清扫保洁，清扫区域面积约65万平方米。2、公厕管护，县城区8座公共厕所日常运行保洁管理和维修维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sz w:val="32"/>
          <w:szCs w:val="32"/>
        </w:rPr>
      </w:pPr>
      <w:r>
        <w:rPr>
          <w:rFonts w:hint="eastAsia" w:ascii="黑体" w:hAnsi="宋体" w:eastAsia="黑体"/>
          <w:sz w:val="32"/>
          <w:szCs w:val="32"/>
          <w:lang w:eastAsia="zh-CN"/>
        </w:rPr>
        <w:t>二、</w:t>
      </w:r>
      <w:r>
        <w:rPr>
          <w:rFonts w:hint="eastAsia" w:ascii="黑体" w:hAnsi="宋体" w:eastAsia="黑体"/>
          <w:sz w:val="32"/>
          <w:szCs w:val="32"/>
        </w:rPr>
        <w:t>项目资金申报及使用情况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ascii="仿宋_GB2312" w:hAnsi="宋体" w:eastAsia="仿宋_GB2312"/>
          <w:sz w:val="32"/>
          <w:szCs w:val="32"/>
          <w:lang w:val="zh-CN"/>
        </w:rPr>
      </w:pPr>
      <w:r>
        <w:rPr>
          <w:rFonts w:hint="eastAsia" w:ascii="楷体_GB2312" w:hAnsi="宋体" w:eastAsia="楷体_GB2312"/>
          <w:b/>
          <w:sz w:val="32"/>
          <w:szCs w:val="32"/>
          <w:lang w:val="zh-CN"/>
        </w:rPr>
        <w:t>（一）资金计划、到位及使用情况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资金计划。财政拨付</w:t>
      </w:r>
      <w:r>
        <w:rPr>
          <w:rFonts w:hint="eastAsia" w:ascii="仿宋_GB2312" w:hAnsi="仿宋_GB2312" w:eastAsia="仿宋_GB2312" w:cs="仿宋_GB2312"/>
          <w:sz w:val="32"/>
          <w:szCs w:val="32"/>
          <w:lang w:val="en-US" w:eastAsia="zh-CN"/>
        </w:rPr>
        <w:t>334.92</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2、资金到位。财政拨付资金合计</w:t>
      </w:r>
      <w:r>
        <w:rPr>
          <w:rFonts w:hint="eastAsia" w:ascii="仿宋_GB2312" w:hAnsi="仿宋_GB2312" w:eastAsia="仿宋_GB2312" w:cs="仿宋_GB2312"/>
          <w:sz w:val="32"/>
          <w:szCs w:val="32"/>
          <w:lang w:val="en-US" w:eastAsia="zh-CN"/>
        </w:rPr>
        <w:t>334.92</w:t>
      </w:r>
      <w:r>
        <w:rPr>
          <w:rFonts w:hint="eastAsia" w:ascii="仿宋_GB2312" w:hAnsi="仿宋_GB2312" w:eastAsia="仿宋_GB2312" w:cs="仿宋_GB2312"/>
          <w:sz w:val="32"/>
          <w:szCs w:val="32"/>
        </w:rPr>
        <w:t>万元，用于县城、城区建成的道路、人行道、树池、公厕、中转站等市政公共设施和可视范围内的环境卫生管理，以及环卫清扫，果屑箱、垃圾桶、垃圾转运车厢的购置。</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3、资金使用情况。</w:t>
      </w:r>
      <w:r>
        <w:rPr>
          <w:rFonts w:hint="eastAsia" w:ascii="仿宋_GB2312" w:hAnsi="仿宋_GB2312" w:eastAsia="仿宋_GB2312" w:cs="仿宋_GB2312"/>
          <w:color w:val="auto"/>
          <w:sz w:val="32"/>
          <w:szCs w:val="32"/>
          <w:lang w:eastAsia="zh-CN"/>
        </w:rPr>
        <w:t>茂县城区环卫清扫保洁服务</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 xml:space="preserve"> 334.92 </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334.92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color w:val="auto"/>
          <w:sz w:val="32"/>
          <w:szCs w:val="32"/>
          <w:lang w:val="en-US" w:eastAsia="zh-CN"/>
        </w:rPr>
        <w:t>完成茂县城区1、茂县县城公共区域环卫清扫保洁，包含已建成的市政道路、人行道、公共广场、垃圾中转站、雨篦子、公共围栏、道路边沟、边坡、桥梁、涵洞、果皮箱、垃圾桶、垃圾转运箱等市政公共设施的环境卫生管理和清扫保洁，清扫区域面积约65万平方米。2、公厕管护，县城区8座公共厕所日常运行保洁管理和维修维护。全县城区环境卫生得到明显改善，并充分有效的提高了城区环境卫生，为全县市民提供了一个舒适整洁的生活环境。</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仿宋_GB2312" w:hAnsi="宋体" w:eastAsia="仿宋_GB2312"/>
          <w:sz w:val="32"/>
          <w:szCs w:val="32"/>
          <w:lang w:val="zh-CN"/>
        </w:rPr>
        <w:t>总体评价项目实施单位财务管理制度健全，严格执行财务管理制度，账务处理及时，会计核算严格按照财经制度，做到专款专用。</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黑体" w:hAnsi="黑体" w:eastAsia="黑体" w:cs="黑体"/>
          <w:sz w:val="32"/>
          <w:szCs w:val="32"/>
        </w:rPr>
      </w:pPr>
      <w:r>
        <w:rPr>
          <w:rFonts w:hint="eastAsia" w:ascii="黑体" w:hAnsi="黑体" w:eastAsia="黑体" w:cs="黑体"/>
          <w:sz w:val="32"/>
          <w:szCs w:val="32"/>
        </w:rPr>
        <w:t>三、项目实施及管理情况</w:t>
      </w:r>
    </w:p>
    <w:p>
      <w:pPr>
        <w:keepNext w:val="0"/>
        <w:keepLines w:val="0"/>
        <w:pageBreakBefore w:val="0"/>
        <w:widowControl w:val="0"/>
        <w:numPr>
          <w:ilvl w:val="0"/>
          <w:numId w:val="7"/>
        </w:numPr>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组织架构。为了使该项目能够顺利实施，我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对此项目实施进行了分工，由分管领导和相关股室负责人牵头，项目实施由环卫清扫公司具体实施。</w:t>
      </w:r>
    </w:p>
    <w:p>
      <w:pPr>
        <w:keepNext w:val="0"/>
        <w:keepLines w:val="0"/>
        <w:pageBreakBefore w:val="0"/>
        <w:widowControl w:val="0"/>
        <w:numPr>
          <w:ilvl w:val="0"/>
          <w:numId w:val="7"/>
        </w:numPr>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实施流程。由我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制定实施方案、考核细则，环卫清扫公司具体落实。</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茂县城区环卫清扫保洁服务</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 xml:space="preserve">334.92 </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334.92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hAnsi="宋体" w:eastAsia="仿宋_GB2312"/>
          <w:sz w:val="32"/>
          <w:szCs w:val="32"/>
          <w:lang w:val="zh-CN"/>
        </w:rPr>
      </w:pPr>
      <w:r>
        <w:rPr>
          <w:rFonts w:hint="eastAsia" w:ascii="仿宋_GB2312" w:hAnsi="仿宋_GB2312" w:eastAsia="仿宋_GB2312" w:cs="仿宋_GB2312"/>
          <w:color w:val="auto"/>
          <w:sz w:val="32"/>
          <w:szCs w:val="32"/>
          <w:lang w:val="en-US" w:eastAsia="zh-CN"/>
        </w:rPr>
        <w:t>全县城区环境卫生得到明显改善，并充分有效的提高了城区环境卫生，为全县市民提供了一个舒适整洁的生活环境。</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hAnsi="宋体" w:eastAsia="黑体"/>
          <w:sz w:val="32"/>
          <w:szCs w:val="32"/>
        </w:rPr>
      </w:pPr>
      <w:r>
        <w:rPr>
          <w:rFonts w:hint="eastAsia" w:ascii="黑体" w:hAnsi="宋体" w:eastAsia="黑体"/>
          <w:sz w:val="32"/>
          <w:szCs w:val="32"/>
        </w:rPr>
        <w:t>五、评价结论及建议</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hAnsi="宋体" w:eastAsia="仿宋_GB2312"/>
          <w:sz w:val="32"/>
          <w:szCs w:val="32"/>
          <w:bdr w:val="single" w:color="auto" w:sz="4" w:space="0"/>
          <w:lang w:val="zh-CN"/>
        </w:rPr>
      </w:pPr>
      <w:r>
        <w:rPr>
          <w:rFonts w:hint="eastAsia" w:ascii="仿宋_GB2312" w:hAnsi="仿宋_GB2312" w:eastAsia="仿宋_GB2312" w:cs="仿宋_GB2312"/>
          <w:sz w:val="32"/>
          <w:szCs w:val="32"/>
        </w:rPr>
        <w:t>在项目实施过程中，我局严格按照资金性质及用途来使用。实现了清扫保洁全覆盖，真正做到卫生无死角，在未来我局会加大环卫作业精细化、规范化。</w:t>
      </w:r>
    </w:p>
    <w:p>
      <w:pPr>
        <w:keepNext w:val="0"/>
        <w:keepLines w:val="0"/>
        <w:pageBreakBefore w:val="0"/>
        <w:widowControl w:val="0"/>
        <w:kinsoku/>
        <w:wordWrap/>
        <w:overflowPunct/>
        <w:topLinePunct w:val="0"/>
        <w:autoSpaceDE/>
        <w:autoSpaceDN/>
        <w:bidi w:val="0"/>
        <w:adjustRightInd w:val="0"/>
        <w:snapToGrid w:val="0"/>
        <w:spacing w:line="576" w:lineRule="exact"/>
        <w:ind w:firstLine="1944" w:firstLineChars="442"/>
        <w:jc w:val="both"/>
        <w:textAlignment w:val="auto"/>
        <w:rPr>
          <w:rFonts w:hint="eastAsia" w:ascii="方正小标宋简体" w:hAnsi="方正小标宋简体" w:eastAsia="方正小标宋简体" w:cs="方正小标宋简体"/>
          <w:i/>
          <w:iCs/>
          <w:sz w:val="44"/>
          <w:szCs w:val="44"/>
          <w:lang w:eastAsia="zh-CN"/>
        </w:rPr>
      </w:pPr>
    </w:p>
    <w:p>
      <w:pPr>
        <w:pStyle w:val="2"/>
        <w:keepNext w:val="0"/>
        <w:keepLines w:val="0"/>
        <w:pageBreakBefore w:val="0"/>
        <w:widowControl w:val="0"/>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i/>
          <w:iCs/>
          <w:sz w:val="44"/>
          <w:szCs w:val="44"/>
          <w:lang w:eastAsia="zh-CN"/>
        </w:rPr>
      </w:pPr>
    </w:p>
    <w:p>
      <w:pPr>
        <w:pStyle w:val="2"/>
        <w:keepNext w:val="0"/>
        <w:keepLines w:val="0"/>
        <w:pageBreakBefore w:val="0"/>
        <w:widowControl w:val="0"/>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i/>
          <w:iCs/>
          <w:sz w:val="44"/>
          <w:szCs w:val="44"/>
          <w:lang w:eastAsia="zh-CN"/>
        </w:rPr>
      </w:pPr>
    </w:p>
    <w:p>
      <w:pPr>
        <w:pStyle w:val="2"/>
        <w:rPr>
          <w:rFonts w:hint="eastAsia" w:ascii="方正小标宋简体" w:hAnsi="方正小标宋简体" w:eastAsia="方正小标宋简体" w:cs="方正小标宋简体"/>
          <w:i/>
          <w:iCs/>
          <w:sz w:val="44"/>
          <w:szCs w:val="44"/>
          <w:lang w:eastAsia="zh-CN"/>
        </w:rPr>
      </w:pP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b w:val="0"/>
          <w:bCs/>
          <w:sz w:val="44"/>
          <w:szCs w:val="44"/>
          <w:lang w:eastAsia="zh-CN"/>
        </w:rPr>
      </w:pP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b w:val="0"/>
          <w:bCs/>
          <w:sz w:val="44"/>
          <w:szCs w:val="44"/>
          <w:lang w:eastAsia="zh-CN"/>
        </w:rPr>
      </w:pP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b w:val="0"/>
          <w:bCs/>
          <w:sz w:val="44"/>
          <w:szCs w:val="44"/>
          <w:lang w:eastAsia="zh-CN"/>
        </w:rPr>
      </w:pP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b w:val="0"/>
          <w:bCs/>
          <w:sz w:val="44"/>
          <w:szCs w:val="44"/>
          <w:lang w:eastAsia="zh-CN"/>
        </w:rPr>
      </w:pP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城市公用事业服务中心</w:t>
      </w:r>
    </w:p>
    <w:p>
      <w:pPr>
        <w:pStyle w:val="41"/>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项目支出绩效自评报告</w:t>
      </w:r>
    </w:p>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sz w:val="32"/>
          <w:szCs w:val="32"/>
          <w:lang w:val="zh-CN"/>
        </w:rPr>
        <w:t>茂县</w:t>
      </w:r>
      <w:r>
        <w:rPr>
          <w:rFonts w:hint="eastAsia" w:ascii="仿宋_GB2312" w:hAnsi="仿宋_GB2312" w:eastAsia="仿宋_GB2312" w:cs="仿宋_GB2312"/>
          <w:sz w:val="32"/>
          <w:szCs w:val="32"/>
          <w:lang w:val="en-US" w:eastAsia="zh-CN"/>
        </w:rPr>
        <w:t>2020年度生活及餐厨垃圾处理费项目）</w:t>
      </w:r>
    </w:p>
    <w:p>
      <w:pPr>
        <w:pStyle w:val="2"/>
        <w:rPr>
          <w:rFonts w:hint="eastAsia"/>
        </w:rPr>
      </w:pPr>
    </w:p>
    <w:p>
      <w:pPr>
        <w:keepNext w:val="0"/>
        <w:keepLines w:val="0"/>
        <w:pageBreakBefore w:val="0"/>
        <w:widowControl w:val="0"/>
        <w:numPr>
          <w:ilvl w:val="0"/>
          <w:numId w:val="5"/>
        </w:numPr>
        <w:kinsoku/>
        <w:wordWrap/>
        <w:overflowPunct/>
        <w:topLinePunct w:val="0"/>
        <w:autoSpaceDE/>
        <w:autoSpaceDN/>
        <w:bidi w:val="0"/>
        <w:adjustRightInd w:val="0"/>
        <w:snapToGrid w:val="0"/>
        <w:spacing w:line="576" w:lineRule="exact"/>
        <w:ind w:left="-13" w:leftChars="0" w:firstLine="643" w:firstLineChars="0"/>
        <w:textAlignment w:val="auto"/>
        <w:rPr>
          <w:rFonts w:hint="eastAsia" w:ascii="黑体" w:hAnsi="宋体" w:eastAsia="黑体"/>
          <w:b/>
          <w:bCs w:val="0"/>
          <w:sz w:val="32"/>
          <w:szCs w:val="32"/>
          <w:lang w:val="zh-CN"/>
        </w:rPr>
      </w:pPr>
      <w:r>
        <w:rPr>
          <w:rFonts w:hint="eastAsia" w:ascii="黑体" w:hAnsi="宋体" w:eastAsia="黑体"/>
          <w:b/>
          <w:bCs w:val="0"/>
          <w:sz w:val="32"/>
          <w:szCs w:val="32"/>
          <w:lang w:val="zh-CN"/>
        </w:rPr>
        <w:t>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321" w:firstLineChars="1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项目名称</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b/>
          <w:bCs w:val="0"/>
          <w:color w:val="auto"/>
          <w:kern w:val="2"/>
          <w:sz w:val="32"/>
          <w:szCs w:val="32"/>
        </w:rPr>
      </w:pPr>
      <w:r>
        <w:rPr>
          <w:rFonts w:hint="eastAsia" w:ascii="仿宋_GB2312" w:hAnsi="仿宋_GB2312" w:eastAsia="仿宋_GB2312" w:cs="仿宋_GB2312"/>
          <w:sz w:val="32"/>
          <w:szCs w:val="32"/>
          <w:lang w:val="zh-CN"/>
        </w:rPr>
        <w:t>茂县</w:t>
      </w:r>
      <w:r>
        <w:rPr>
          <w:rFonts w:hint="eastAsia" w:ascii="仿宋_GB2312" w:hAnsi="仿宋_GB2312" w:eastAsia="仿宋_GB2312" w:cs="仿宋_GB2312"/>
          <w:sz w:val="32"/>
          <w:szCs w:val="32"/>
          <w:lang w:val="en-US" w:eastAsia="zh-CN"/>
        </w:rPr>
        <w:t>2020年度生活及餐厨垃圾处理费项目</w:t>
      </w:r>
    </w:p>
    <w:p>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项目性质</w:t>
      </w:r>
    </w:p>
    <w:p>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垃圾处理服务</w:t>
      </w:r>
    </w:p>
    <w:p>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项目主管单位</w:t>
      </w:r>
    </w:p>
    <w:p>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城市公用事业服务中心</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项目地点</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茂县凤仪镇水西村大河坝垃圾处理厂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321" w:firstLineChars="100"/>
        <w:textAlignment w:val="auto"/>
        <w:rPr>
          <w:lang w:val="zh-CN"/>
        </w:rPr>
      </w:pPr>
      <w:r>
        <w:rPr>
          <w:rFonts w:hint="eastAsia" w:ascii="楷体_GB2312" w:hAnsi="宋体" w:eastAsia="楷体_GB2312"/>
          <w:b/>
          <w:sz w:val="32"/>
          <w:szCs w:val="32"/>
          <w:lang w:val="zh-CN"/>
        </w:rPr>
        <w:t>（二）项目绩效目标</w:t>
      </w:r>
    </w:p>
    <w:p>
      <w:pPr>
        <w:pStyle w:val="40"/>
        <w:keepNext w:val="0"/>
        <w:keepLines w:val="0"/>
        <w:pageBreakBefore w:val="0"/>
        <w:widowControl w:val="0"/>
        <w:kinsoku/>
        <w:wordWrap/>
        <w:overflowPunct/>
        <w:topLinePunct w:val="0"/>
        <w:autoSpaceDE/>
        <w:autoSpaceDN/>
        <w:bidi w:val="0"/>
        <w:spacing w:line="576" w:lineRule="exact"/>
        <w:ind w:firstLine="5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生活及餐厨垃圾处理项目。</w:t>
      </w:r>
      <w:r>
        <w:rPr>
          <w:rFonts w:hint="eastAsia" w:ascii="仿宋_GB2312" w:hAnsi="仿宋_GB2312" w:eastAsia="仿宋_GB2312" w:cs="仿宋_GB2312"/>
          <w:color w:val="auto"/>
          <w:sz w:val="32"/>
          <w:szCs w:val="32"/>
        </w:rPr>
        <w:t>项目全年预算</w:t>
      </w:r>
      <w:r>
        <w:rPr>
          <w:rFonts w:hint="eastAsia" w:ascii="仿宋_GB2312" w:hAnsi="仿宋_GB2312" w:eastAsia="仿宋_GB2312" w:cs="仿宋_GB2312"/>
          <w:color w:val="auto"/>
          <w:sz w:val="32"/>
          <w:szCs w:val="32"/>
          <w:lang w:eastAsia="zh-CN"/>
        </w:rPr>
        <w:t>数</w:t>
      </w:r>
      <w:r>
        <w:rPr>
          <w:rFonts w:hint="eastAsia" w:ascii="仿宋_GB2312" w:hAnsi="仿宋_GB2312" w:eastAsia="仿宋_GB2312" w:cs="仿宋_GB2312"/>
          <w:color w:val="auto"/>
          <w:sz w:val="32"/>
          <w:szCs w:val="32"/>
          <w:lang w:val="en-US" w:eastAsia="zh-CN"/>
        </w:rPr>
        <w:t>641.52</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641.52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100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项目采用生物处理技术实现茂县城市生活垃圾的“无害化、资源化、减量化”</w:t>
      </w:r>
      <w:r>
        <w:rPr>
          <w:rFonts w:hint="eastAsia" w:ascii="仿宋_GB2312" w:hAnsi="仿宋_GB2312" w:eastAsia="仿宋_GB2312" w:cs="仿宋_GB2312"/>
          <w:sz w:val="32"/>
          <w:szCs w:val="32"/>
          <w:lang w:eastAsia="zh-CN"/>
        </w:rPr>
        <w:t>，全年生活垃圾及餐厨垃圾处理量</w:t>
      </w:r>
      <w:r>
        <w:rPr>
          <w:rFonts w:hint="eastAsia" w:ascii="仿宋_GB2312" w:hAnsi="仿宋_GB2312" w:eastAsia="仿宋_GB2312" w:cs="仿宋_GB2312"/>
          <w:sz w:val="32"/>
          <w:szCs w:val="32"/>
        </w:rPr>
        <w:t>41627.523吨。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黑体" w:hAnsi="宋体" w:eastAsia="黑体"/>
          <w:b/>
          <w:bCs/>
          <w:sz w:val="32"/>
          <w:szCs w:val="32"/>
        </w:rPr>
      </w:pPr>
      <w:r>
        <w:rPr>
          <w:rFonts w:hint="eastAsia" w:ascii="黑体" w:hAnsi="宋体" w:eastAsia="黑体"/>
          <w:b/>
          <w:bCs/>
          <w:sz w:val="32"/>
          <w:szCs w:val="32"/>
          <w:lang w:eastAsia="zh-CN"/>
        </w:rPr>
        <w:t>二、</w:t>
      </w:r>
      <w:r>
        <w:rPr>
          <w:rFonts w:hint="eastAsia" w:ascii="黑体" w:hAnsi="宋体" w:eastAsia="黑体"/>
          <w:b/>
          <w:bCs/>
          <w:sz w:val="32"/>
          <w:szCs w:val="32"/>
        </w:rPr>
        <w:t>项目资金申报及使用情况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黑体" w:hAnsi="宋体" w:eastAsia="黑体"/>
          <w:b/>
          <w:bCs/>
          <w:sz w:val="32"/>
          <w:szCs w:val="32"/>
        </w:rPr>
      </w:pPr>
      <w:r>
        <w:rPr>
          <w:rFonts w:hint="eastAsia" w:ascii="楷体_GB2312" w:hAnsi="宋体" w:eastAsia="楷体_GB2312"/>
          <w:b/>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资金计划。财政拨付</w:t>
      </w:r>
      <w:r>
        <w:rPr>
          <w:rFonts w:hint="eastAsia" w:ascii="仿宋_GB2312" w:hAnsi="仿宋_GB2312" w:cs="仿宋_GB2312"/>
          <w:sz w:val="32"/>
          <w:szCs w:val="32"/>
          <w:lang w:val="en-US" w:eastAsia="zh-CN"/>
        </w:rPr>
        <w:t>641.52</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2、资金到位。财政拨付资金合计</w:t>
      </w:r>
      <w:r>
        <w:rPr>
          <w:rFonts w:hint="eastAsia" w:ascii="仿宋_GB2312" w:hAnsi="仿宋_GB2312" w:cs="仿宋_GB2312"/>
          <w:sz w:val="32"/>
          <w:szCs w:val="32"/>
          <w:lang w:val="en-US" w:eastAsia="zh-CN"/>
        </w:rPr>
        <w:t>641.52</w:t>
      </w:r>
      <w:r>
        <w:rPr>
          <w:rFonts w:hint="eastAsia" w:ascii="仿宋_GB2312" w:hAnsi="仿宋_GB2312" w:eastAsia="仿宋_GB2312" w:cs="仿宋_GB2312"/>
          <w:sz w:val="32"/>
          <w:szCs w:val="32"/>
        </w:rPr>
        <w:t>万元</w:t>
      </w:r>
      <w:r>
        <w:rPr>
          <w:rFonts w:hint="eastAsia" w:ascii="仿宋_GB2312" w:hAnsi="仿宋_GB2312" w:cs="仿宋_GB2312"/>
          <w:sz w:val="32"/>
          <w:szCs w:val="32"/>
          <w:lang w:eastAsia="zh-CN"/>
        </w:rPr>
        <w:t>。</w:t>
      </w:r>
    </w:p>
    <w:p>
      <w:pPr>
        <w:pStyle w:val="40"/>
        <w:keepNext w:val="0"/>
        <w:keepLines w:val="0"/>
        <w:pageBreakBefore w:val="0"/>
        <w:widowControl w:val="0"/>
        <w:kinsoku/>
        <w:wordWrap/>
        <w:overflowPunct/>
        <w:topLinePunct w:val="0"/>
        <w:autoSpaceDE/>
        <w:autoSpaceDN/>
        <w:bidi w:val="0"/>
        <w:spacing w:line="576" w:lineRule="exact"/>
        <w:ind w:firstLine="54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3、资金使用情况。</w:t>
      </w:r>
      <w:r>
        <w:rPr>
          <w:rFonts w:hint="eastAsia" w:ascii="仿宋_GB2312" w:hAnsi="仿宋_GB2312" w:eastAsia="仿宋_GB2312" w:cs="仿宋_GB2312"/>
          <w:sz w:val="32"/>
          <w:szCs w:val="32"/>
          <w:lang w:eastAsia="zh-CN"/>
        </w:rPr>
        <w:t>本项目总投资约为</w:t>
      </w:r>
      <w:r>
        <w:rPr>
          <w:rFonts w:hint="eastAsia" w:ascii="仿宋_GB2312" w:hAnsi="仿宋_GB2312" w:eastAsia="仿宋_GB2312" w:cs="仿宋_GB2312"/>
          <w:sz w:val="32"/>
          <w:szCs w:val="32"/>
          <w:lang w:val="en-US" w:eastAsia="zh-CN"/>
        </w:rPr>
        <w:t>400万元。</w:t>
      </w:r>
      <w:r>
        <w:rPr>
          <w:rFonts w:hint="eastAsia" w:ascii="仿宋_GB2312" w:hAnsi="仿宋_GB2312" w:eastAsia="仿宋_GB2312" w:cs="仿宋_GB2312"/>
          <w:color w:val="auto"/>
          <w:sz w:val="32"/>
          <w:szCs w:val="32"/>
        </w:rPr>
        <w:t>项目全年预算数</w:t>
      </w:r>
      <w:r>
        <w:rPr>
          <w:rFonts w:hint="eastAsia" w:ascii="仿宋_GB2312" w:hAnsi="仿宋_GB2312" w:eastAsia="仿宋_GB2312" w:cs="仿宋_GB2312"/>
          <w:color w:val="auto"/>
          <w:sz w:val="32"/>
          <w:szCs w:val="32"/>
          <w:lang w:val="en-US" w:eastAsia="zh-CN"/>
        </w:rPr>
        <w:t>641.52</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641.52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 100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项目采用生物处理技术实现茂县城市生活垃圾的“无害化、资源化、减量化”</w:t>
      </w:r>
      <w:r>
        <w:rPr>
          <w:rFonts w:hint="eastAsia" w:ascii="仿宋_GB2312" w:hAnsi="仿宋_GB2312" w:eastAsia="仿宋_GB2312" w:cs="仿宋_GB2312"/>
          <w:sz w:val="32"/>
          <w:szCs w:val="32"/>
          <w:lang w:eastAsia="zh-CN"/>
        </w:rPr>
        <w:t>，全年生活垃圾及餐厨垃圾处理量</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.17万</w:t>
      </w:r>
      <w:r>
        <w:rPr>
          <w:rFonts w:hint="eastAsia" w:ascii="仿宋_GB2312" w:hAnsi="仿宋_GB2312" w:eastAsia="仿宋_GB2312" w:cs="仿宋_GB2312"/>
          <w:sz w:val="32"/>
          <w:szCs w:val="32"/>
        </w:rPr>
        <w:t>吨。</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财务管理制度健全，严格执行财务管理制度，按时账务处理按月报账，会计核算严格按照财经制度，做到专款专用。</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黑体" w:hAnsi="黑体" w:eastAsia="黑体" w:cs="黑体"/>
          <w:b/>
          <w:bCs/>
          <w:sz w:val="32"/>
          <w:szCs w:val="32"/>
        </w:rPr>
      </w:pPr>
      <w:r>
        <w:rPr>
          <w:rFonts w:hint="eastAsia" w:ascii="黑体" w:hAnsi="黑体" w:eastAsia="黑体" w:cs="黑体"/>
          <w:b/>
          <w:bCs/>
          <w:sz w:val="32"/>
          <w:szCs w:val="32"/>
        </w:rPr>
        <w:t>三、项目实施及管理情况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为了使该项目能够顺利实施，我局对此项目实施进行了分工，由分管领导和相关股室负责人牵头</w:t>
      </w:r>
      <w:r>
        <w:rPr>
          <w:rFonts w:hint="eastAsia" w:ascii="仿宋_GB2312" w:hAnsi="仿宋_GB2312" w:eastAsia="仿宋_GB2312" w:cs="仿宋_GB2312"/>
          <w:sz w:val="32"/>
          <w:szCs w:val="32"/>
          <w:lang w:eastAsia="zh-CN"/>
        </w:rPr>
        <w:t>并负责此项目的监管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具体实施由茂县垃圾王环保科技有限公司按照项目项目实施。</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b/>
          <w:bCs/>
          <w:sz w:val="32"/>
          <w:szCs w:val="32"/>
          <w:lang w:val="zh-CN"/>
        </w:rPr>
      </w:pPr>
      <w:r>
        <w:rPr>
          <w:rFonts w:hint="eastAsia" w:ascii="黑体" w:hAnsi="宋体" w:eastAsia="黑体"/>
          <w:b/>
          <w:bCs/>
          <w:sz w:val="32"/>
          <w:szCs w:val="32"/>
        </w:rPr>
        <w:t>四、项目绩效情况</w:t>
      </w:r>
      <w:r>
        <w:rPr>
          <w:rFonts w:ascii="仿宋_GB2312" w:hAnsi="宋体" w:eastAsia="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生活及餐厨垃圾处理项目。</w:t>
      </w:r>
      <w:r>
        <w:rPr>
          <w:rFonts w:hint="eastAsia" w:ascii="仿宋_GB2312" w:hAnsi="仿宋_GB2312" w:eastAsia="仿宋_GB2312" w:cs="仿宋_GB2312"/>
          <w:color w:val="auto"/>
          <w:sz w:val="32"/>
          <w:szCs w:val="32"/>
        </w:rPr>
        <w:t>项目全年预算数</w:t>
      </w:r>
      <w:r>
        <w:rPr>
          <w:rFonts w:hint="eastAsia" w:ascii="仿宋_GB2312" w:hAnsi="仿宋_GB2312" w:eastAsia="仿宋_GB2312" w:cs="仿宋_GB2312"/>
          <w:color w:val="auto"/>
          <w:sz w:val="32"/>
          <w:szCs w:val="32"/>
          <w:lang w:val="en-US" w:eastAsia="zh-CN"/>
        </w:rPr>
        <w:t xml:space="preserve"> 641.52</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 xml:space="preserve"> 641.52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 100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项目采用生物处理技术实现茂县城市生活垃圾的“无害化、资源化、减量化”</w:t>
      </w:r>
      <w:r>
        <w:rPr>
          <w:rFonts w:hint="eastAsia" w:ascii="仿宋_GB2312" w:hAnsi="仿宋_GB2312" w:eastAsia="仿宋_GB2312" w:cs="仿宋_GB2312"/>
          <w:sz w:val="32"/>
          <w:szCs w:val="32"/>
          <w:lang w:eastAsia="zh-CN"/>
        </w:rPr>
        <w:t>，全年生活垃圾及餐厨垃圾处理量</w:t>
      </w:r>
      <w:r>
        <w:rPr>
          <w:rFonts w:hint="eastAsia" w:ascii="仿宋_GB2312" w:hAnsi="仿宋_GB2312" w:eastAsia="仿宋_GB2312" w:cs="仿宋_GB2312"/>
          <w:sz w:val="32"/>
          <w:szCs w:val="32"/>
          <w:lang w:val="en-US" w:eastAsia="zh-CN"/>
        </w:rPr>
        <w:t>4.17万</w:t>
      </w:r>
      <w:r>
        <w:rPr>
          <w:rFonts w:hint="eastAsia" w:ascii="仿宋_GB2312" w:hAnsi="仿宋_GB2312" w:eastAsia="仿宋_GB2312" w:cs="仿宋_GB2312"/>
          <w:sz w:val="32"/>
          <w:szCs w:val="32"/>
        </w:rPr>
        <w:t>吨。</w:t>
      </w:r>
    </w:p>
    <w:p>
      <w:pPr>
        <w:pStyle w:val="40"/>
        <w:keepNext w:val="0"/>
        <w:keepLines w:val="0"/>
        <w:pageBreakBefore w:val="0"/>
        <w:widowControl w:val="0"/>
        <w:kinsoku/>
        <w:wordWrap/>
        <w:overflowPunct/>
        <w:topLinePunct w:val="0"/>
        <w:autoSpaceDE/>
        <w:autoSpaceDN/>
        <w:bidi w:val="0"/>
        <w:spacing w:line="576" w:lineRule="exact"/>
        <w:ind w:firstLine="54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生态良性循环方式将污染物转化成为有益的资源制成商品，回归大自然，造福人民，污染物不复存在。从根本上消除污染源，是保护环境的治本之策。开发研究成功，“3F生活垃圾资源化综合利用工艺技术及成套装备”，属于国家重点科技攻关成果。该成果对生活垃圾进行资源化综合利用，资源化减容量高达95%以上，最大化地发挥了生活垃圾的资源作用，做到了物尽其用、充分消纳。经济效益和社会效益并重</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sz w:val="32"/>
          <w:szCs w:val="32"/>
        </w:rPr>
        <w:t>本次生活垃圾资源化综合利用项目，茂县垃圾王环保科技有限公司就采用 “3F垃圾综合利用技术”方案是运用生态良性循环原理对生活垃圾进行资源化综合利用。将为经过分类的混合生活垃圾运到生产线通过机械分类，采用生物质利用技术和高科技方法处理后进行五方面的利用：①制成高效全养分系列农作物及林木用肥料（不是低价值的堆肥），回归大自然；②塑料、橡胶直接打包销售或制成燃料油（闭合方式生产没有废气外排）；③砖石瓦渣制成彩色路面砖，草坪砖、护坡砖等；④金属、玻璃数量少暂交收购站集中利用；⑤生产废水全部利用无排放</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sz w:val="32"/>
          <w:szCs w:val="32"/>
        </w:rPr>
        <w:t>本次生活垃圾资源化综合利用项目，茂县垃圾王环保科技有限公司就采用 “3F垃圾综合利用技术”方案是运用生态良性循环原理对生活垃圾进行资源化综合利用。将为经过分类的混合生活垃圾运到生产线通过机械分类，采用生物质利用技术和高科技方法处理后进行五方面的利用：①制成高效全养分系列农作物及林木用肥料（不是低价值的堆肥），回归大自然；②塑料、橡胶直接打包销售或制成燃料油（闭合方式生产没有废气外排）；③砖石瓦渣制成彩色路面砖，草坪砖、护坡砖等；④金属、玻璃数量少暂交收购站集中利用；⑤生产废水全部利用无排放</w:t>
      </w:r>
      <w:r>
        <w:rPr>
          <w:rFonts w:hint="eastAsia" w:ascii="仿宋_GB2312" w:hAnsi="仿宋_GB2312" w:eastAsia="仿宋_GB2312" w:cs="仿宋_GB2312"/>
          <w:sz w:val="32"/>
          <w:szCs w:val="32"/>
          <w:lang w:eastAsia="zh-CN"/>
        </w:rPr>
        <w:t>。</w:t>
      </w:r>
    </w:p>
    <w:bookmarkEnd w:id="115"/>
    <w:bookmarkEnd w:id="116"/>
    <w:p>
      <w:pPr>
        <w:keepNext w:val="0"/>
        <w:keepLines w:val="0"/>
        <w:pageBreakBefore w:val="0"/>
        <w:widowControl w:val="0"/>
        <w:kinsoku/>
        <w:wordWrap/>
        <w:overflowPunct/>
        <w:topLinePunct w:val="0"/>
        <w:autoSpaceDE/>
        <w:autoSpaceDN/>
        <w:bidi w:val="0"/>
        <w:spacing w:line="576" w:lineRule="exact"/>
        <w:ind w:firstLine="1320" w:firstLineChars="300"/>
        <w:jc w:val="both"/>
        <w:textAlignment w:val="auto"/>
        <w:outlineLvl w:val="0"/>
        <w:rPr>
          <w:rFonts w:hint="eastAsia" w:ascii="黑体" w:hAnsi="黑体" w:eastAsia="黑体"/>
          <w:color w:val="000000"/>
          <w:sz w:val="44"/>
          <w:szCs w:val="44"/>
        </w:rPr>
      </w:pPr>
      <w:bookmarkStart w:id="117" w:name="_Toc79163635"/>
      <w:bookmarkStart w:id="118" w:name="_Toc15396618"/>
      <w:bookmarkStart w:id="119" w:name="_Toc79163885"/>
    </w:p>
    <w:p>
      <w:pPr>
        <w:keepNext w:val="0"/>
        <w:keepLines w:val="0"/>
        <w:pageBreakBefore w:val="0"/>
        <w:widowControl w:val="0"/>
        <w:kinsoku/>
        <w:wordWrap/>
        <w:overflowPunct/>
        <w:topLinePunct w:val="0"/>
        <w:autoSpaceDE/>
        <w:autoSpaceDN/>
        <w:bidi w:val="0"/>
        <w:spacing w:line="576" w:lineRule="exact"/>
        <w:jc w:val="both"/>
        <w:textAlignment w:val="auto"/>
        <w:outlineLvl w:val="0"/>
        <w:rPr>
          <w:rFonts w:hint="eastAsia"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09"/>
      <w:bookmarkEnd w:id="117"/>
      <w:bookmarkEnd w:id="118"/>
      <w:bookmarkEnd w:id="119"/>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20" w:name="_Toc15396619"/>
      <w:bookmarkStart w:id="121" w:name="_Toc79163636"/>
      <w:bookmarkStart w:id="122" w:name="_Toc79163886"/>
      <w:r>
        <w:rPr>
          <w:rFonts w:hint="eastAsia" w:ascii="仿宋_GB2312" w:hAnsi="仿宋_GB2312" w:eastAsia="仿宋_GB2312" w:cs="仿宋_GB2312"/>
          <w:b w:val="0"/>
          <w:color w:val="000000"/>
          <w:sz w:val="30"/>
          <w:szCs w:val="30"/>
        </w:rPr>
        <w:t>一、收</w:t>
      </w:r>
      <w:r>
        <w:rPr>
          <w:rStyle w:val="25"/>
          <w:rFonts w:hint="eastAsia" w:ascii="仿宋_GB2312" w:hAnsi="仿宋_GB2312" w:eastAsia="仿宋_GB2312" w:cs="仿宋_GB2312"/>
          <w:b w:val="0"/>
          <w:bCs w:val="0"/>
          <w:sz w:val="30"/>
          <w:szCs w:val="30"/>
        </w:rPr>
        <w:t>入支出决算总表</w:t>
      </w:r>
      <w:bookmarkEnd w:id="120"/>
      <w:bookmarkEnd w:id="121"/>
      <w:bookmarkEnd w:id="122"/>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23" w:name="_Toc79163887"/>
      <w:bookmarkStart w:id="124" w:name="_Toc79163637"/>
      <w:bookmarkStart w:id="125" w:name="_Toc15396620"/>
      <w:r>
        <w:rPr>
          <w:rFonts w:hint="eastAsia" w:ascii="仿宋_GB2312" w:hAnsi="仿宋_GB2312" w:eastAsia="仿宋_GB2312" w:cs="仿宋_GB2312"/>
          <w:b w:val="0"/>
          <w:color w:val="000000"/>
          <w:sz w:val="30"/>
          <w:szCs w:val="30"/>
        </w:rPr>
        <w:t>二、收</w:t>
      </w:r>
      <w:r>
        <w:rPr>
          <w:rStyle w:val="25"/>
          <w:rFonts w:hint="eastAsia" w:ascii="仿宋_GB2312" w:hAnsi="仿宋_GB2312" w:eastAsia="仿宋_GB2312" w:cs="仿宋_GB2312"/>
          <w:b w:val="0"/>
          <w:bCs w:val="0"/>
          <w:sz w:val="30"/>
          <w:szCs w:val="30"/>
        </w:rPr>
        <w:t>入决算表</w:t>
      </w:r>
      <w:bookmarkEnd w:id="123"/>
      <w:bookmarkEnd w:id="124"/>
      <w:bookmarkEnd w:id="125"/>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26" w:name="_Toc79163638"/>
      <w:bookmarkStart w:id="127" w:name="_Toc15396621"/>
      <w:bookmarkStart w:id="128" w:name="_Toc79163888"/>
      <w:r>
        <w:rPr>
          <w:rStyle w:val="25"/>
          <w:rFonts w:hint="eastAsia" w:ascii="仿宋_GB2312" w:hAnsi="仿宋_GB2312" w:eastAsia="仿宋_GB2312" w:cs="仿宋_GB2312"/>
          <w:b w:val="0"/>
          <w:bCs w:val="0"/>
          <w:sz w:val="30"/>
          <w:szCs w:val="30"/>
        </w:rPr>
        <w:t>三、</w:t>
      </w:r>
      <w:r>
        <w:rPr>
          <w:rFonts w:hint="eastAsia" w:ascii="仿宋_GB2312" w:hAnsi="仿宋_GB2312" w:eastAsia="仿宋_GB2312" w:cs="仿宋_GB2312"/>
          <w:b w:val="0"/>
          <w:color w:val="000000"/>
          <w:sz w:val="30"/>
          <w:szCs w:val="30"/>
        </w:rPr>
        <w:t>支</w:t>
      </w:r>
      <w:r>
        <w:rPr>
          <w:rStyle w:val="25"/>
          <w:rFonts w:hint="eastAsia" w:ascii="仿宋_GB2312" w:hAnsi="仿宋_GB2312" w:eastAsia="仿宋_GB2312" w:cs="仿宋_GB2312"/>
          <w:b w:val="0"/>
          <w:bCs w:val="0"/>
          <w:sz w:val="30"/>
          <w:szCs w:val="30"/>
        </w:rPr>
        <w:t>出决算表</w:t>
      </w:r>
      <w:bookmarkEnd w:id="126"/>
      <w:bookmarkEnd w:id="127"/>
      <w:bookmarkEnd w:id="128"/>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color w:val="000000"/>
          <w:sz w:val="30"/>
          <w:szCs w:val="30"/>
        </w:rPr>
      </w:pPr>
      <w:bookmarkStart w:id="129" w:name="_Toc79163889"/>
      <w:bookmarkStart w:id="130" w:name="_Toc15396622"/>
      <w:bookmarkStart w:id="131" w:name="_Toc79163639"/>
      <w:r>
        <w:rPr>
          <w:rStyle w:val="25"/>
          <w:rFonts w:hint="eastAsia" w:ascii="仿宋_GB2312" w:hAnsi="仿宋_GB2312" w:eastAsia="仿宋_GB2312" w:cs="仿宋_GB2312"/>
          <w:b w:val="0"/>
          <w:bCs w:val="0"/>
          <w:sz w:val="30"/>
          <w:szCs w:val="30"/>
        </w:rPr>
        <w:t>四、</w:t>
      </w:r>
      <w:r>
        <w:rPr>
          <w:rFonts w:hint="eastAsia" w:ascii="仿宋_GB2312" w:hAnsi="仿宋_GB2312" w:eastAsia="仿宋_GB2312" w:cs="仿宋_GB2312"/>
          <w:b w:val="0"/>
          <w:color w:val="000000"/>
          <w:sz w:val="30"/>
          <w:szCs w:val="30"/>
        </w:rPr>
        <w:t>财</w:t>
      </w:r>
      <w:r>
        <w:rPr>
          <w:rStyle w:val="25"/>
          <w:rFonts w:hint="eastAsia" w:ascii="仿宋_GB2312" w:hAnsi="仿宋_GB2312" w:eastAsia="仿宋_GB2312" w:cs="仿宋_GB2312"/>
          <w:b w:val="0"/>
          <w:bCs w:val="0"/>
          <w:sz w:val="30"/>
          <w:szCs w:val="30"/>
        </w:rPr>
        <w:t>政拨款收入支出决算总表</w:t>
      </w:r>
      <w:bookmarkEnd w:id="129"/>
      <w:bookmarkEnd w:id="130"/>
      <w:bookmarkEnd w:id="131"/>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Style w:val="25"/>
          <w:rFonts w:hint="eastAsia" w:ascii="仿宋_GB2312" w:hAnsi="仿宋_GB2312" w:eastAsia="仿宋_GB2312" w:cs="仿宋_GB2312"/>
          <w:b w:val="0"/>
          <w:bCs w:val="0"/>
          <w:sz w:val="30"/>
          <w:szCs w:val="30"/>
        </w:rPr>
      </w:pPr>
      <w:bookmarkStart w:id="132" w:name="_Toc15396623"/>
      <w:bookmarkStart w:id="133" w:name="_Toc79163640"/>
      <w:bookmarkStart w:id="134" w:name="_Toc79163890"/>
      <w:r>
        <w:rPr>
          <w:rStyle w:val="25"/>
          <w:rFonts w:hint="eastAsia" w:ascii="仿宋_GB2312" w:hAnsi="仿宋_GB2312" w:eastAsia="仿宋_GB2312" w:cs="仿宋_GB2312"/>
          <w:b w:val="0"/>
          <w:bCs w:val="0"/>
          <w:sz w:val="30"/>
          <w:szCs w:val="30"/>
        </w:rPr>
        <w:t>五、</w:t>
      </w:r>
      <w:r>
        <w:rPr>
          <w:rFonts w:hint="eastAsia" w:ascii="仿宋_GB2312" w:hAnsi="仿宋_GB2312" w:eastAsia="仿宋_GB2312" w:cs="仿宋_GB2312"/>
          <w:b w:val="0"/>
          <w:color w:val="000000"/>
          <w:sz w:val="30"/>
          <w:szCs w:val="30"/>
        </w:rPr>
        <w:t>财</w:t>
      </w:r>
      <w:r>
        <w:rPr>
          <w:rStyle w:val="25"/>
          <w:rFonts w:hint="eastAsia" w:ascii="仿宋_GB2312" w:hAnsi="仿宋_GB2312" w:eastAsia="仿宋_GB2312" w:cs="仿宋_GB2312"/>
          <w:b w:val="0"/>
          <w:bCs w:val="0"/>
          <w:sz w:val="30"/>
          <w:szCs w:val="30"/>
        </w:rPr>
        <w:t>政拨款支出决算明细表</w:t>
      </w:r>
      <w:bookmarkEnd w:id="132"/>
      <w:bookmarkEnd w:id="133"/>
      <w:bookmarkEnd w:id="134"/>
      <w:bookmarkStart w:id="135" w:name="_Toc15396624"/>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36" w:name="_Toc79163641"/>
      <w:bookmarkStart w:id="137" w:name="_Toc79163891"/>
      <w:r>
        <w:rPr>
          <w:rStyle w:val="25"/>
          <w:rFonts w:hint="eastAsia" w:ascii="仿宋_GB2312" w:hAnsi="仿宋_GB2312" w:eastAsia="仿宋_GB2312" w:cs="仿宋_GB2312"/>
          <w:b w:val="0"/>
          <w:bCs w:val="0"/>
          <w:sz w:val="30"/>
          <w:szCs w:val="30"/>
        </w:rPr>
        <w:t>六、</w:t>
      </w:r>
      <w:r>
        <w:rPr>
          <w:rFonts w:hint="eastAsia" w:ascii="仿宋_GB2312" w:hAnsi="仿宋_GB2312" w:eastAsia="仿宋_GB2312" w:cs="仿宋_GB2312"/>
          <w:b w:val="0"/>
          <w:color w:val="000000"/>
          <w:sz w:val="30"/>
          <w:szCs w:val="30"/>
        </w:rPr>
        <w:t>一</w:t>
      </w:r>
      <w:r>
        <w:rPr>
          <w:rStyle w:val="25"/>
          <w:rFonts w:hint="eastAsia" w:ascii="仿宋_GB2312" w:hAnsi="仿宋_GB2312" w:eastAsia="仿宋_GB2312" w:cs="仿宋_GB2312"/>
          <w:b w:val="0"/>
          <w:bCs w:val="0"/>
          <w:sz w:val="30"/>
          <w:szCs w:val="30"/>
        </w:rPr>
        <w:t>般公共预算财政拨款支出决算表</w:t>
      </w:r>
      <w:bookmarkEnd w:id="135"/>
      <w:bookmarkEnd w:id="136"/>
      <w:bookmarkEnd w:id="137"/>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38" w:name="_Toc15396625"/>
      <w:bookmarkStart w:id="139" w:name="_Toc79163892"/>
      <w:bookmarkStart w:id="140" w:name="_Toc79163642"/>
      <w:r>
        <w:rPr>
          <w:rStyle w:val="25"/>
          <w:rFonts w:hint="eastAsia" w:ascii="仿宋_GB2312" w:hAnsi="仿宋_GB2312" w:eastAsia="仿宋_GB2312" w:cs="仿宋_GB2312"/>
          <w:b w:val="0"/>
          <w:bCs w:val="0"/>
          <w:sz w:val="30"/>
          <w:szCs w:val="30"/>
        </w:rPr>
        <w:t>七、</w:t>
      </w:r>
      <w:r>
        <w:rPr>
          <w:rFonts w:hint="eastAsia" w:ascii="仿宋_GB2312" w:hAnsi="仿宋_GB2312" w:eastAsia="仿宋_GB2312" w:cs="仿宋_GB2312"/>
          <w:b w:val="0"/>
          <w:color w:val="000000"/>
          <w:sz w:val="30"/>
          <w:szCs w:val="30"/>
        </w:rPr>
        <w:t>一</w:t>
      </w:r>
      <w:r>
        <w:rPr>
          <w:rStyle w:val="25"/>
          <w:rFonts w:hint="eastAsia" w:ascii="仿宋_GB2312" w:hAnsi="仿宋_GB2312" w:eastAsia="仿宋_GB2312" w:cs="仿宋_GB2312"/>
          <w:b w:val="0"/>
          <w:bCs w:val="0"/>
          <w:sz w:val="30"/>
          <w:szCs w:val="30"/>
        </w:rPr>
        <w:t>般公共预算财政拨款支出决算明细表</w:t>
      </w:r>
      <w:bookmarkEnd w:id="138"/>
      <w:bookmarkEnd w:id="139"/>
      <w:bookmarkEnd w:id="140"/>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41" w:name="_Toc79163893"/>
      <w:bookmarkStart w:id="142" w:name="_Toc15396626"/>
      <w:bookmarkStart w:id="143" w:name="_Toc79163643"/>
      <w:r>
        <w:rPr>
          <w:rStyle w:val="25"/>
          <w:rFonts w:hint="eastAsia" w:ascii="仿宋_GB2312" w:hAnsi="仿宋_GB2312" w:eastAsia="仿宋_GB2312" w:cs="仿宋_GB2312"/>
          <w:b w:val="0"/>
          <w:bCs w:val="0"/>
          <w:sz w:val="30"/>
          <w:szCs w:val="30"/>
        </w:rPr>
        <w:t>八、</w:t>
      </w:r>
      <w:r>
        <w:rPr>
          <w:rFonts w:hint="eastAsia" w:ascii="仿宋_GB2312" w:hAnsi="仿宋_GB2312" w:eastAsia="仿宋_GB2312" w:cs="仿宋_GB2312"/>
          <w:b w:val="0"/>
          <w:color w:val="000000"/>
          <w:sz w:val="30"/>
          <w:szCs w:val="30"/>
        </w:rPr>
        <w:t>一</w:t>
      </w:r>
      <w:r>
        <w:rPr>
          <w:rStyle w:val="25"/>
          <w:rFonts w:hint="eastAsia" w:ascii="仿宋_GB2312" w:hAnsi="仿宋_GB2312" w:eastAsia="仿宋_GB2312" w:cs="仿宋_GB2312"/>
          <w:b w:val="0"/>
          <w:bCs w:val="0"/>
          <w:sz w:val="30"/>
          <w:szCs w:val="30"/>
        </w:rPr>
        <w:t>般公共预算财政拨款基本支出决算表</w:t>
      </w:r>
      <w:bookmarkEnd w:id="141"/>
      <w:bookmarkEnd w:id="142"/>
      <w:bookmarkEnd w:id="143"/>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44" w:name="_Toc79163894"/>
      <w:bookmarkStart w:id="145" w:name="_Toc79163644"/>
      <w:bookmarkStart w:id="146" w:name="_Toc15396627"/>
      <w:r>
        <w:rPr>
          <w:rStyle w:val="25"/>
          <w:rFonts w:hint="eastAsia" w:ascii="仿宋_GB2312" w:hAnsi="仿宋_GB2312" w:eastAsia="仿宋_GB2312" w:cs="仿宋_GB2312"/>
          <w:b w:val="0"/>
          <w:bCs w:val="0"/>
          <w:sz w:val="30"/>
          <w:szCs w:val="30"/>
        </w:rPr>
        <w:t>九、</w:t>
      </w:r>
      <w:r>
        <w:rPr>
          <w:rFonts w:hint="eastAsia" w:ascii="仿宋_GB2312" w:hAnsi="仿宋_GB2312" w:eastAsia="仿宋_GB2312" w:cs="仿宋_GB2312"/>
          <w:b w:val="0"/>
          <w:color w:val="000000"/>
          <w:sz w:val="30"/>
          <w:szCs w:val="30"/>
        </w:rPr>
        <w:t>一</w:t>
      </w:r>
      <w:r>
        <w:rPr>
          <w:rStyle w:val="25"/>
          <w:rFonts w:hint="eastAsia" w:ascii="仿宋_GB2312" w:hAnsi="仿宋_GB2312" w:eastAsia="仿宋_GB2312" w:cs="仿宋_GB2312"/>
          <w:b w:val="0"/>
          <w:bCs w:val="0"/>
          <w:sz w:val="30"/>
          <w:szCs w:val="30"/>
        </w:rPr>
        <w:t>般公共预算财政拨款项目支出决算表</w:t>
      </w:r>
      <w:bookmarkEnd w:id="144"/>
      <w:bookmarkEnd w:id="145"/>
      <w:bookmarkEnd w:id="146"/>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47" w:name="_Toc15396628"/>
      <w:bookmarkStart w:id="148" w:name="_Toc79163895"/>
      <w:bookmarkStart w:id="149" w:name="_Toc79163645"/>
      <w:r>
        <w:rPr>
          <w:rStyle w:val="25"/>
          <w:rFonts w:hint="eastAsia" w:ascii="仿宋_GB2312" w:hAnsi="仿宋_GB2312" w:eastAsia="仿宋_GB2312" w:cs="仿宋_GB2312"/>
          <w:b w:val="0"/>
          <w:bCs w:val="0"/>
          <w:sz w:val="30"/>
          <w:szCs w:val="30"/>
        </w:rPr>
        <w:t>十、</w:t>
      </w:r>
      <w:r>
        <w:rPr>
          <w:rFonts w:hint="eastAsia" w:ascii="仿宋_GB2312" w:hAnsi="仿宋_GB2312" w:eastAsia="仿宋_GB2312" w:cs="仿宋_GB2312"/>
          <w:b w:val="0"/>
          <w:color w:val="000000"/>
          <w:sz w:val="30"/>
          <w:szCs w:val="30"/>
        </w:rPr>
        <w:t>一</w:t>
      </w:r>
      <w:r>
        <w:rPr>
          <w:rStyle w:val="25"/>
          <w:rFonts w:hint="eastAsia" w:ascii="仿宋_GB2312" w:hAnsi="仿宋_GB2312" w:eastAsia="仿宋_GB2312" w:cs="仿宋_GB2312"/>
          <w:b w:val="0"/>
          <w:bCs w:val="0"/>
          <w:sz w:val="30"/>
          <w:szCs w:val="30"/>
        </w:rPr>
        <w:t>般公共预算财政拨款“三公”经费支出决算表</w:t>
      </w:r>
      <w:bookmarkEnd w:id="147"/>
      <w:bookmarkEnd w:id="148"/>
      <w:bookmarkEnd w:id="149"/>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50" w:name="_Toc79163896"/>
      <w:bookmarkStart w:id="151" w:name="_Toc15396629"/>
      <w:bookmarkStart w:id="152" w:name="_Toc79163646"/>
      <w:r>
        <w:rPr>
          <w:rStyle w:val="25"/>
          <w:rFonts w:hint="eastAsia" w:ascii="仿宋_GB2312" w:hAnsi="仿宋_GB2312" w:eastAsia="仿宋_GB2312" w:cs="仿宋_GB2312"/>
          <w:b w:val="0"/>
          <w:bCs w:val="0"/>
          <w:sz w:val="30"/>
          <w:szCs w:val="30"/>
        </w:rPr>
        <w:t>十一、</w:t>
      </w:r>
      <w:r>
        <w:rPr>
          <w:rFonts w:hint="eastAsia" w:ascii="仿宋_GB2312" w:hAnsi="仿宋_GB2312" w:eastAsia="仿宋_GB2312" w:cs="仿宋_GB2312"/>
          <w:b w:val="0"/>
          <w:color w:val="000000"/>
          <w:sz w:val="30"/>
          <w:szCs w:val="30"/>
        </w:rPr>
        <w:t>政</w:t>
      </w:r>
      <w:r>
        <w:rPr>
          <w:rStyle w:val="25"/>
          <w:rFonts w:hint="eastAsia" w:ascii="仿宋_GB2312" w:hAnsi="仿宋_GB2312" w:eastAsia="仿宋_GB2312" w:cs="仿宋_GB2312"/>
          <w:b w:val="0"/>
          <w:bCs w:val="0"/>
          <w:sz w:val="30"/>
          <w:szCs w:val="30"/>
        </w:rPr>
        <w:t>府性基金预算财政拨款收入支出决算表</w:t>
      </w:r>
      <w:bookmarkEnd w:id="150"/>
      <w:bookmarkEnd w:id="151"/>
      <w:bookmarkEnd w:id="152"/>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53" w:name="_Toc79163897"/>
      <w:bookmarkStart w:id="154" w:name="_Toc79163647"/>
      <w:bookmarkStart w:id="155" w:name="_Toc15396630"/>
      <w:r>
        <w:rPr>
          <w:rStyle w:val="25"/>
          <w:rFonts w:hint="eastAsia" w:ascii="仿宋_GB2312" w:hAnsi="仿宋_GB2312" w:eastAsia="仿宋_GB2312" w:cs="仿宋_GB2312"/>
          <w:b w:val="0"/>
          <w:bCs w:val="0"/>
          <w:sz w:val="30"/>
          <w:szCs w:val="30"/>
        </w:rPr>
        <w:t>十二、</w:t>
      </w:r>
      <w:r>
        <w:rPr>
          <w:rFonts w:hint="eastAsia" w:ascii="仿宋_GB2312" w:hAnsi="仿宋_GB2312" w:eastAsia="仿宋_GB2312" w:cs="仿宋_GB2312"/>
          <w:b w:val="0"/>
          <w:color w:val="000000"/>
          <w:sz w:val="30"/>
          <w:szCs w:val="30"/>
        </w:rPr>
        <w:t>政</w:t>
      </w:r>
      <w:r>
        <w:rPr>
          <w:rStyle w:val="25"/>
          <w:rFonts w:hint="eastAsia" w:ascii="仿宋_GB2312" w:hAnsi="仿宋_GB2312" w:eastAsia="仿宋_GB2312" w:cs="仿宋_GB2312"/>
          <w:b w:val="0"/>
          <w:bCs w:val="0"/>
          <w:sz w:val="30"/>
          <w:szCs w:val="30"/>
        </w:rPr>
        <w:t>府性基金预算财政拨款“三公”经费支出决算表</w:t>
      </w:r>
      <w:bookmarkEnd w:id="153"/>
      <w:bookmarkEnd w:id="154"/>
      <w:bookmarkEnd w:id="155"/>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Style w:val="25"/>
          <w:rFonts w:hint="eastAsia" w:ascii="仿宋_GB2312" w:hAnsi="仿宋_GB2312" w:eastAsia="仿宋_GB2312" w:cs="仿宋_GB2312"/>
          <w:b w:val="0"/>
          <w:bCs w:val="0"/>
          <w:sz w:val="30"/>
          <w:szCs w:val="30"/>
        </w:rPr>
      </w:pPr>
      <w:bookmarkStart w:id="156" w:name="_Toc79163898"/>
      <w:bookmarkStart w:id="157" w:name="_Toc79163648"/>
      <w:bookmarkStart w:id="158" w:name="_Toc15396631"/>
      <w:r>
        <w:rPr>
          <w:rStyle w:val="25"/>
          <w:rFonts w:hint="eastAsia" w:ascii="仿宋_GB2312" w:hAnsi="仿宋_GB2312" w:eastAsia="仿宋_GB2312" w:cs="仿宋_GB2312"/>
          <w:b w:val="0"/>
          <w:bCs w:val="0"/>
          <w:sz w:val="30"/>
          <w:szCs w:val="30"/>
        </w:rPr>
        <w:t>十三、</w:t>
      </w:r>
      <w:r>
        <w:rPr>
          <w:rFonts w:hint="eastAsia" w:ascii="仿宋_GB2312" w:hAnsi="仿宋_GB2312" w:eastAsia="仿宋_GB2312" w:cs="仿宋_GB2312"/>
          <w:b w:val="0"/>
          <w:color w:val="000000"/>
          <w:sz w:val="30"/>
          <w:szCs w:val="30"/>
        </w:rPr>
        <w:t>国</w:t>
      </w:r>
      <w:r>
        <w:rPr>
          <w:rStyle w:val="25"/>
          <w:rFonts w:hint="eastAsia" w:ascii="仿宋_GB2312" w:hAnsi="仿宋_GB2312" w:eastAsia="仿宋_GB2312" w:cs="仿宋_GB2312"/>
          <w:b w:val="0"/>
          <w:bCs w:val="0"/>
          <w:sz w:val="30"/>
          <w:szCs w:val="30"/>
        </w:rPr>
        <w:t>有资本经营预算财政拨款支出决算表</w:t>
      </w:r>
      <w:bookmarkEnd w:id="156"/>
      <w:bookmarkEnd w:id="157"/>
      <w:bookmarkEnd w:id="158"/>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Style w:val="25"/>
          <w:rFonts w:hint="eastAsia" w:ascii="仿宋_GB2312" w:hAnsi="仿宋_GB2312" w:eastAsia="仿宋_GB2312" w:cs="仿宋_GB2312"/>
          <w:b w:val="0"/>
          <w:bCs w:val="0"/>
          <w:sz w:val="30"/>
          <w:szCs w:val="30"/>
        </w:rPr>
      </w:pPr>
      <w:bookmarkStart w:id="159" w:name="_Toc79163899"/>
      <w:bookmarkStart w:id="160" w:name="_Toc79163649"/>
      <w:r>
        <w:rPr>
          <w:rStyle w:val="25"/>
          <w:rFonts w:hint="eastAsia" w:ascii="仿宋_GB2312" w:hAnsi="仿宋_GB2312" w:eastAsia="仿宋_GB2312" w:cs="仿宋_GB2312"/>
          <w:b w:val="0"/>
          <w:bCs w:val="0"/>
          <w:sz w:val="30"/>
          <w:szCs w:val="30"/>
        </w:rPr>
        <w:t>十四、国有资本经营预算财政拨款支出决算表</w:t>
      </w:r>
      <w:bookmarkEnd w:id="159"/>
      <w:bookmarkEnd w:id="160"/>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MT Extra">
    <w:panose1 w:val="02000609000000000000"/>
    <w:charset w:val="02"/>
    <w:family w:val="roman"/>
    <w:pitch w:val="default"/>
    <w:sig w:usb0="00000001" w:usb1="00000000" w:usb2="00000000" w:usb3="00000000" w:csb0="0000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SimSun">
    <w:panose1 w:val="02010600030101010101"/>
    <w:charset w:val="86"/>
    <w:family w:val="auto"/>
    <w:pitch w:val="default"/>
    <w:sig w:usb0="00000003" w:usb1="288F0000" w:usb2="0000000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2</w:t>
    </w:r>
    <w:r>
      <w:fldChar w:fldCharType="end"/>
    </w:r>
  </w:p>
  <w:p>
    <w:pPr>
      <w:pStyle w:val="12"/>
      <w:ind w:right="360"/>
      <w:rPr>
        <w:rFonts w:hint="eastAsia"/>
      </w:rPr>
    </w:pPr>
    <w:r>
      <w:rPr>
        <w:kern w:val="0"/>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t>11</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03BD3BD5"/>
    <w:multiLevelType w:val="singleLevel"/>
    <w:tmpl w:val="03BD3BD5"/>
    <w:lvl w:ilvl="0" w:tentative="0">
      <w:start w:val="1"/>
      <w:numFmt w:val="chineseCounting"/>
      <w:suff w:val="nothing"/>
      <w:lvlText w:val="%1、"/>
      <w:lvlJc w:val="left"/>
      <w:rPr>
        <w:rFonts w:hint="eastAsia"/>
      </w:rPr>
    </w:lvl>
  </w:abstractNum>
  <w:abstractNum w:abstractNumId="3">
    <w:nsid w:val="0FD7E89B"/>
    <w:multiLevelType w:val="singleLevel"/>
    <w:tmpl w:val="0FD7E89B"/>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57596166"/>
    <w:multiLevelType w:val="singleLevel"/>
    <w:tmpl w:val="57596166"/>
    <w:lvl w:ilvl="0" w:tentative="0">
      <w:start w:val="1"/>
      <w:numFmt w:val="chineseCounting"/>
      <w:suff w:val="nothing"/>
      <w:lvlText w:val="%1、"/>
      <w:lvlJc w:val="left"/>
      <w:pPr>
        <w:ind w:left="-13"/>
      </w:pPr>
      <w:rPr>
        <w:rFonts w:hint="eastAsia"/>
      </w:rPr>
    </w:lvl>
  </w:abstractNum>
  <w:abstractNum w:abstractNumId="6">
    <w:nsid w:val="70CB5D6B"/>
    <w:multiLevelType w:val="multilevel"/>
    <w:tmpl w:val="70CB5D6B"/>
    <w:lvl w:ilvl="0" w:tentative="0">
      <w:start w:val="1"/>
      <w:numFmt w:val="decimal"/>
      <w:lvlText w:val="%1."/>
      <w:lvlJc w:val="left"/>
      <w:pPr>
        <w:tabs>
          <w:tab w:val="left" w:pos="960"/>
        </w:tabs>
        <w:ind w:left="960" w:hanging="420"/>
      </w:pPr>
      <w:rPr>
        <w:rFonts w:hint="default"/>
      </w:rPr>
    </w:lvl>
    <w:lvl w:ilvl="1" w:tentative="0">
      <w:start w:val="1"/>
      <w:numFmt w:val="japaneseCounting"/>
      <w:lvlText w:val="（%2）"/>
      <w:lvlJc w:val="left"/>
      <w:pPr>
        <w:tabs>
          <w:tab w:val="left" w:pos="2520"/>
        </w:tabs>
        <w:ind w:left="2520" w:hanging="1080"/>
      </w:pPr>
      <w:rPr>
        <w:rFonts w:hint="default" w:ascii="仿宋_GB2312" w:eastAsia="仿宋_GB2312"/>
        <w:b/>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3"/>
  </w:num>
  <w:num w:numId="2">
    <w:abstractNumId w:val="4"/>
  </w:num>
  <w:num w:numId="3">
    <w:abstractNumId w:val="0"/>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72F9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65B77"/>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3016"/>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AF013D"/>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5A6F"/>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47355"/>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062176"/>
    <w:rsid w:val="01B87DA5"/>
    <w:rsid w:val="01D64B00"/>
    <w:rsid w:val="032B0D89"/>
    <w:rsid w:val="03702D00"/>
    <w:rsid w:val="03D54590"/>
    <w:rsid w:val="045571F8"/>
    <w:rsid w:val="046A3E34"/>
    <w:rsid w:val="048B0814"/>
    <w:rsid w:val="04DD2FE3"/>
    <w:rsid w:val="04E52EFE"/>
    <w:rsid w:val="0572380E"/>
    <w:rsid w:val="05CC4C58"/>
    <w:rsid w:val="05F0745D"/>
    <w:rsid w:val="06D40EA1"/>
    <w:rsid w:val="07CD4D53"/>
    <w:rsid w:val="08794B6B"/>
    <w:rsid w:val="08873393"/>
    <w:rsid w:val="09415082"/>
    <w:rsid w:val="09F52C0F"/>
    <w:rsid w:val="0A2032A3"/>
    <w:rsid w:val="0A362C4D"/>
    <w:rsid w:val="0A3A525C"/>
    <w:rsid w:val="0A9A7F21"/>
    <w:rsid w:val="0AA12296"/>
    <w:rsid w:val="0AAA022D"/>
    <w:rsid w:val="0ACE617A"/>
    <w:rsid w:val="0B277173"/>
    <w:rsid w:val="0BB27B4C"/>
    <w:rsid w:val="0C684B23"/>
    <w:rsid w:val="0C6A03FA"/>
    <w:rsid w:val="0C6C4ACC"/>
    <w:rsid w:val="0D4C0848"/>
    <w:rsid w:val="0D8876DF"/>
    <w:rsid w:val="0DF53655"/>
    <w:rsid w:val="0EAE62E3"/>
    <w:rsid w:val="0EC03D2B"/>
    <w:rsid w:val="0F182C28"/>
    <w:rsid w:val="0F8A11EE"/>
    <w:rsid w:val="0FD3741A"/>
    <w:rsid w:val="0FDF08D3"/>
    <w:rsid w:val="101B4EB5"/>
    <w:rsid w:val="10753F6F"/>
    <w:rsid w:val="10C055FF"/>
    <w:rsid w:val="113D3B0D"/>
    <w:rsid w:val="118107EC"/>
    <w:rsid w:val="122B392C"/>
    <w:rsid w:val="12774225"/>
    <w:rsid w:val="128300BD"/>
    <w:rsid w:val="13DD431A"/>
    <w:rsid w:val="14283E72"/>
    <w:rsid w:val="144F104D"/>
    <w:rsid w:val="14563B76"/>
    <w:rsid w:val="155902D2"/>
    <w:rsid w:val="156456A0"/>
    <w:rsid w:val="15826BC9"/>
    <w:rsid w:val="15D007FC"/>
    <w:rsid w:val="1674415F"/>
    <w:rsid w:val="16927B57"/>
    <w:rsid w:val="16BB723D"/>
    <w:rsid w:val="16C077F2"/>
    <w:rsid w:val="171B0C29"/>
    <w:rsid w:val="17E41673"/>
    <w:rsid w:val="19054722"/>
    <w:rsid w:val="1A2C668C"/>
    <w:rsid w:val="1AE25D73"/>
    <w:rsid w:val="1B183EB4"/>
    <w:rsid w:val="1B260D19"/>
    <w:rsid w:val="1B390273"/>
    <w:rsid w:val="1B996222"/>
    <w:rsid w:val="1BB86BF2"/>
    <w:rsid w:val="1BCC56D5"/>
    <w:rsid w:val="1C0A36E0"/>
    <w:rsid w:val="1C686EF5"/>
    <w:rsid w:val="1D0A72D0"/>
    <w:rsid w:val="1D155CEE"/>
    <w:rsid w:val="1D9226EC"/>
    <w:rsid w:val="1DA85CE9"/>
    <w:rsid w:val="1E7802F4"/>
    <w:rsid w:val="1E93168A"/>
    <w:rsid w:val="1EBC51FD"/>
    <w:rsid w:val="1EC5695F"/>
    <w:rsid w:val="1ED969E9"/>
    <w:rsid w:val="1EF95933"/>
    <w:rsid w:val="1F2A56BA"/>
    <w:rsid w:val="1F3B0A27"/>
    <w:rsid w:val="1F674A94"/>
    <w:rsid w:val="1FDC3AD5"/>
    <w:rsid w:val="20A66671"/>
    <w:rsid w:val="20CF47A2"/>
    <w:rsid w:val="21B029DE"/>
    <w:rsid w:val="21E01C4A"/>
    <w:rsid w:val="21EF0123"/>
    <w:rsid w:val="22141B98"/>
    <w:rsid w:val="22844FFF"/>
    <w:rsid w:val="228C5E94"/>
    <w:rsid w:val="22C97CFD"/>
    <w:rsid w:val="230A4AAF"/>
    <w:rsid w:val="232F03D7"/>
    <w:rsid w:val="2343440B"/>
    <w:rsid w:val="240371BF"/>
    <w:rsid w:val="24A63B5D"/>
    <w:rsid w:val="24EA5886"/>
    <w:rsid w:val="25AA48AC"/>
    <w:rsid w:val="26097655"/>
    <w:rsid w:val="26916B90"/>
    <w:rsid w:val="26F80199"/>
    <w:rsid w:val="270D774C"/>
    <w:rsid w:val="277D78C6"/>
    <w:rsid w:val="27D66A02"/>
    <w:rsid w:val="27DF57D7"/>
    <w:rsid w:val="281F58E4"/>
    <w:rsid w:val="284453A6"/>
    <w:rsid w:val="291F615D"/>
    <w:rsid w:val="2929589F"/>
    <w:rsid w:val="297D5DE1"/>
    <w:rsid w:val="29A13A64"/>
    <w:rsid w:val="29AF58A2"/>
    <w:rsid w:val="29C76836"/>
    <w:rsid w:val="29FD04D3"/>
    <w:rsid w:val="2A003AD7"/>
    <w:rsid w:val="2A265E14"/>
    <w:rsid w:val="2AA855C6"/>
    <w:rsid w:val="2B506B94"/>
    <w:rsid w:val="2BB44FB5"/>
    <w:rsid w:val="2BDE00F8"/>
    <w:rsid w:val="2CC53DF5"/>
    <w:rsid w:val="2CD3636E"/>
    <w:rsid w:val="2D6A1EFD"/>
    <w:rsid w:val="2E287C4A"/>
    <w:rsid w:val="2E454C9C"/>
    <w:rsid w:val="2E495000"/>
    <w:rsid w:val="2E7B4562"/>
    <w:rsid w:val="2F6D56FB"/>
    <w:rsid w:val="2FD0522B"/>
    <w:rsid w:val="30475954"/>
    <w:rsid w:val="306758C3"/>
    <w:rsid w:val="308C1D11"/>
    <w:rsid w:val="3101079F"/>
    <w:rsid w:val="310E627F"/>
    <w:rsid w:val="319F7F4E"/>
    <w:rsid w:val="31AF57B5"/>
    <w:rsid w:val="328114EA"/>
    <w:rsid w:val="33975B15"/>
    <w:rsid w:val="33F526D8"/>
    <w:rsid w:val="33F645A6"/>
    <w:rsid w:val="33FC0160"/>
    <w:rsid w:val="342E23CA"/>
    <w:rsid w:val="34414393"/>
    <w:rsid w:val="34B70E34"/>
    <w:rsid w:val="357B3928"/>
    <w:rsid w:val="357E4D69"/>
    <w:rsid w:val="35CF050A"/>
    <w:rsid w:val="360011F8"/>
    <w:rsid w:val="361964D8"/>
    <w:rsid w:val="36E22946"/>
    <w:rsid w:val="37412D42"/>
    <w:rsid w:val="37666B88"/>
    <w:rsid w:val="37B23AD3"/>
    <w:rsid w:val="384D68C3"/>
    <w:rsid w:val="38B84FB2"/>
    <w:rsid w:val="38BA3730"/>
    <w:rsid w:val="39664C9F"/>
    <w:rsid w:val="39937A74"/>
    <w:rsid w:val="39D03CDE"/>
    <w:rsid w:val="39FA6DD7"/>
    <w:rsid w:val="3AA363D5"/>
    <w:rsid w:val="3AD70BFD"/>
    <w:rsid w:val="3AE53847"/>
    <w:rsid w:val="3B7A31A7"/>
    <w:rsid w:val="3BF60F39"/>
    <w:rsid w:val="3CDB4084"/>
    <w:rsid w:val="3CEA2AFB"/>
    <w:rsid w:val="3CF25BB5"/>
    <w:rsid w:val="3E5B3806"/>
    <w:rsid w:val="3E6B784E"/>
    <w:rsid w:val="3E816AE6"/>
    <w:rsid w:val="3EDE1401"/>
    <w:rsid w:val="3EFD1554"/>
    <w:rsid w:val="3F32188C"/>
    <w:rsid w:val="3FA61290"/>
    <w:rsid w:val="402D7612"/>
    <w:rsid w:val="40940443"/>
    <w:rsid w:val="41445CD9"/>
    <w:rsid w:val="41D2449A"/>
    <w:rsid w:val="41DC56DB"/>
    <w:rsid w:val="41F715EA"/>
    <w:rsid w:val="426758A0"/>
    <w:rsid w:val="430F5B58"/>
    <w:rsid w:val="43223D26"/>
    <w:rsid w:val="439C35D9"/>
    <w:rsid w:val="43C65B51"/>
    <w:rsid w:val="442F4E77"/>
    <w:rsid w:val="44441529"/>
    <w:rsid w:val="44A91ADC"/>
    <w:rsid w:val="45764EBE"/>
    <w:rsid w:val="468C50B3"/>
    <w:rsid w:val="477C47F1"/>
    <w:rsid w:val="47BC5D08"/>
    <w:rsid w:val="47FB5C1A"/>
    <w:rsid w:val="482D75F0"/>
    <w:rsid w:val="48FA1D53"/>
    <w:rsid w:val="49085FE0"/>
    <w:rsid w:val="492834D7"/>
    <w:rsid w:val="494077FE"/>
    <w:rsid w:val="49673ED8"/>
    <w:rsid w:val="49D70C54"/>
    <w:rsid w:val="4A12601F"/>
    <w:rsid w:val="4A5E5250"/>
    <w:rsid w:val="4AAC55AF"/>
    <w:rsid w:val="4AEB425C"/>
    <w:rsid w:val="4AEC71AB"/>
    <w:rsid w:val="4B251476"/>
    <w:rsid w:val="4B344351"/>
    <w:rsid w:val="4B7F7835"/>
    <w:rsid w:val="4B822F9F"/>
    <w:rsid w:val="4BA2740A"/>
    <w:rsid w:val="4BAE1FBD"/>
    <w:rsid w:val="4BD72205"/>
    <w:rsid w:val="4C1B0778"/>
    <w:rsid w:val="4C8A61C4"/>
    <w:rsid w:val="4CC5571F"/>
    <w:rsid w:val="4CDF3582"/>
    <w:rsid w:val="4CDF7E0E"/>
    <w:rsid w:val="4D272396"/>
    <w:rsid w:val="4DEB7CD2"/>
    <w:rsid w:val="4E6B7252"/>
    <w:rsid w:val="4E7B5CC8"/>
    <w:rsid w:val="4ECE2238"/>
    <w:rsid w:val="4F4E140D"/>
    <w:rsid w:val="4F671B74"/>
    <w:rsid w:val="513729AF"/>
    <w:rsid w:val="519D160F"/>
    <w:rsid w:val="51F73067"/>
    <w:rsid w:val="51FA0024"/>
    <w:rsid w:val="523B711E"/>
    <w:rsid w:val="524A6EB1"/>
    <w:rsid w:val="52AB1B0D"/>
    <w:rsid w:val="52D73635"/>
    <w:rsid w:val="52F860AE"/>
    <w:rsid w:val="52F90857"/>
    <w:rsid w:val="52FA7610"/>
    <w:rsid w:val="53242C6C"/>
    <w:rsid w:val="5376683B"/>
    <w:rsid w:val="53C23E16"/>
    <w:rsid w:val="54233D94"/>
    <w:rsid w:val="54292F36"/>
    <w:rsid w:val="54FA2494"/>
    <w:rsid w:val="554C39E5"/>
    <w:rsid w:val="5564135E"/>
    <w:rsid w:val="556B2F8E"/>
    <w:rsid w:val="557606E0"/>
    <w:rsid w:val="562F6711"/>
    <w:rsid w:val="5690201F"/>
    <w:rsid w:val="57445AEF"/>
    <w:rsid w:val="57752DC1"/>
    <w:rsid w:val="58DA50A0"/>
    <w:rsid w:val="58DC36F8"/>
    <w:rsid w:val="59EF64CD"/>
    <w:rsid w:val="5A1E6E93"/>
    <w:rsid w:val="5A8B2F48"/>
    <w:rsid w:val="5B310175"/>
    <w:rsid w:val="5BA34101"/>
    <w:rsid w:val="5BE3414B"/>
    <w:rsid w:val="5D0A33AD"/>
    <w:rsid w:val="5D4C76C9"/>
    <w:rsid w:val="5D8F02A4"/>
    <w:rsid w:val="5DC30EBC"/>
    <w:rsid w:val="5DE00488"/>
    <w:rsid w:val="5E0425CF"/>
    <w:rsid w:val="5F943230"/>
    <w:rsid w:val="604A4698"/>
    <w:rsid w:val="607816A1"/>
    <w:rsid w:val="60E53ED4"/>
    <w:rsid w:val="60F828D1"/>
    <w:rsid w:val="61353D27"/>
    <w:rsid w:val="613F1858"/>
    <w:rsid w:val="61497F9A"/>
    <w:rsid w:val="61546C15"/>
    <w:rsid w:val="61C3651B"/>
    <w:rsid w:val="61E27495"/>
    <w:rsid w:val="61F327DA"/>
    <w:rsid w:val="62C218CD"/>
    <w:rsid w:val="63C84EE9"/>
    <w:rsid w:val="63E15D6F"/>
    <w:rsid w:val="63F60735"/>
    <w:rsid w:val="64111DD8"/>
    <w:rsid w:val="64B028FE"/>
    <w:rsid w:val="65160C57"/>
    <w:rsid w:val="66210589"/>
    <w:rsid w:val="66474A3C"/>
    <w:rsid w:val="6780047C"/>
    <w:rsid w:val="67B90FF4"/>
    <w:rsid w:val="67ED274B"/>
    <w:rsid w:val="68A417ED"/>
    <w:rsid w:val="68C05CEF"/>
    <w:rsid w:val="68C86CE5"/>
    <w:rsid w:val="68D35CEC"/>
    <w:rsid w:val="68E532D4"/>
    <w:rsid w:val="691975A9"/>
    <w:rsid w:val="69363C3C"/>
    <w:rsid w:val="6A2C1FF3"/>
    <w:rsid w:val="6A5E3532"/>
    <w:rsid w:val="6B2D2F1C"/>
    <w:rsid w:val="6B4D53BE"/>
    <w:rsid w:val="6B5E46AB"/>
    <w:rsid w:val="6B9B6506"/>
    <w:rsid w:val="6BF255C9"/>
    <w:rsid w:val="6C04556A"/>
    <w:rsid w:val="6C24696F"/>
    <w:rsid w:val="6C4A05C8"/>
    <w:rsid w:val="6C9E4561"/>
    <w:rsid w:val="6CFE688F"/>
    <w:rsid w:val="6D1265FB"/>
    <w:rsid w:val="6D4509AF"/>
    <w:rsid w:val="6D76512F"/>
    <w:rsid w:val="6D8C17FC"/>
    <w:rsid w:val="6DD65D8F"/>
    <w:rsid w:val="6E2D1FF0"/>
    <w:rsid w:val="6E60011B"/>
    <w:rsid w:val="6E700921"/>
    <w:rsid w:val="6F8F3F7C"/>
    <w:rsid w:val="6F9759F8"/>
    <w:rsid w:val="6FC81CC5"/>
    <w:rsid w:val="70690AC8"/>
    <w:rsid w:val="70A73E47"/>
    <w:rsid w:val="71C81EB1"/>
    <w:rsid w:val="724A112E"/>
    <w:rsid w:val="72734D90"/>
    <w:rsid w:val="72DC513D"/>
    <w:rsid w:val="72FD3367"/>
    <w:rsid w:val="731423B1"/>
    <w:rsid w:val="735355B6"/>
    <w:rsid w:val="73EC3879"/>
    <w:rsid w:val="754913B5"/>
    <w:rsid w:val="754B5C63"/>
    <w:rsid w:val="75646524"/>
    <w:rsid w:val="76F400BC"/>
    <w:rsid w:val="76FB1CA3"/>
    <w:rsid w:val="77454BCA"/>
    <w:rsid w:val="77A565D6"/>
    <w:rsid w:val="78AC2D8A"/>
    <w:rsid w:val="78E94FFD"/>
    <w:rsid w:val="79BD72B5"/>
    <w:rsid w:val="7AB33E2B"/>
    <w:rsid w:val="7ADF539F"/>
    <w:rsid w:val="7AE95B31"/>
    <w:rsid w:val="7B7E54F5"/>
    <w:rsid w:val="7BBD2D1B"/>
    <w:rsid w:val="7BDD7546"/>
    <w:rsid w:val="7C2B1ECC"/>
    <w:rsid w:val="7C713A06"/>
    <w:rsid w:val="7C987190"/>
    <w:rsid w:val="7CAC555A"/>
    <w:rsid w:val="7CBE48C8"/>
    <w:rsid w:val="7CEB4D4A"/>
    <w:rsid w:val="7E71437C"/>
    <w:rsid w:val="7EA45468"/>
    <w:rsid w:val="7ED97088"/>
    <w:rsid w:val="7EF8510A"/>
    <w:rsid w:val="7F3A546D"/>
    <w:rsid w:val="7F81263F"/>
    <w:rsid w:val="7F9948CA"/>
    <w:rsid w:val="7FAA0FE4"/>
    <w:rsid w:val="7FD20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3"/>
    <w:qFormat/>
    <w:uiPriority w:val="99"/>
    <w:pPr>
      <w:spacing w:beforeLines="30"/>
    </w:pPr>
    <w:rPr>
      <w:rFonts w:ascii="仿宋_GB2312" w:eastAsia="仿宋_GB2312"/>
      <w:kern w:val="0"/>
      <w:sz w:val="24"/>
      <w:szCs w:val="20"/>
      <w:lang w:val="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toa heading"/>
    <w:basedOn w:val="1"/>
    <w:next w:val="1"/>
    <w:qFormat/>
    <w:uiPriority w:val="0"/>
    <w:rPr>
      <w:rFonts w:ascii="Arial" w:hAnsi="Arial"/>
      <w:sz w:val="24"/>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8"/>
    <w:semiHidden/>
    <w:unhideWhenUsed/>
    <w:qFormat/>
    <w:uiPriority w:val="99"/>
    <w:rPr>
      <w:sz w:val="18"/>
      <w:szCs w:val="18"/>
    </w:rPr>
  </w:style>
  <w:style w:type="paragraph" w:styleId="12">
    <w:name w:val="footer"/>
    <w:basedOn w:val="1"/>
    <w:link w:val="32"/>
    <w:qFormat/>
    <w:uiPriority w:val="99"/>
    <w:pPr>
      <w:tabs>
        <w:tab w:val="center" w:pos="4153"/>
        <w:tab w:val="right" w:pos="8306"/>
      </w:tabs>
      <w:snapToGrid w:val="0"/>
      <w:jc w:val="left"/>
    </w:pPr>
    <w:rPr>
      <w:rFonts w:ascii="Calibri" w:hAnsi="Calibri"/>
      <w:kern w:val="0"/>
      <w:sz w:val="18"/>
      <w:szCs w:val="20"/>
      <w:lang w:val="zh-CN"/>
    </w:rPr>
  </w:style>
  <w:style w:type="paragraph" w:styleId="13">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99"/>
    <w:rPr>
      <w:rFonts w:cs="Times New Roman"/>
      <w:b/>
    </w:rPr>
  </w:style>
  <w:style w:type="character" w:styleId="22">
    <w:name w:val="page number"/>
    <w:basedOn w:val="20"/>
    <w:qFormat/>
    <w:uiPriority w:val="0"/>
  </w:style>
  <w:style w:type="character" w:styleId="23">
    <w:name w:val="Hyperlink"/>
    <w:basedOn w:val="20"/>
    <w:unhideWhenUsed/>
    <w:qFormat/>
    <w:uiPriority w:val="99"/>
    <w:rPr>
      <w:rFonts w:cs="Times New Roman"/>
      <w:color w:val="0000FF"/>
      <w:u w:val="single"/>
    </w:rPr>
  </w:style>
  <w:style w:type="character" w:customStyle="1" w:styleId="24">
    <w:name w:val="标题 1 Char"/>
    <w:basedOn w:val="20"/>
    <w:link w:val="3"/>
    <w:qFormat/>
    <w:locked/>
    <w:uiPriority w:val="9"/>
    <w:rPr>
      <w:rFonts w:ascii="Times New Roman" w:hAnsi="Times New Roman" w:cs="Times New Roman"/>
      <w:b/>
      <w:bCs/>
      <w:kern w:val="44"/>
      <w:sz w:val="44"/>
      <w:szCs w:val="44"/>
    </w:rPr>
  </w:style>
  <w:style w:type="character" w:customStyle="1" w:styleId="25">
    <w:name w:val="标题 2 Char"/>
    <w:basedOn w:val="20"/>
    <w:link w:val="4"/>
    <w:qFormat/>
    <w:locked/>
    <w:uiPriority w:val="9"/>
    <w:rPr>
      <w:rFonts w:ascii="Cambria" w:hAnsi="Cambria" w:eastAsia="宋体" w:cs="Times New Roman"/>
      <w:b/>
      <w:bCs/>
      <w:kern w:val="2"/>
      <w:sz w:val="32"/>
      <w:szCs w:val="32"/>
    </w:rPr>
  </w:style>
  <w:style w:type="character" w:customStyle="1" w:styleId="26">
    <w:name w:val="标题 3 Char"/>
    <w:basedOn w:val="20"/>
    <w:link w:val="5"/>
    <w:qFormat/>
    <w:locked/>
    <w:uiPriority w:val="9"/>
    <w:rPr>
      <w:rFonts w:ascii="Times New Roman" w:hAnsi="Times New Roman" w:cs="Times New Roman"/>
      <w:b/>
      <w:bCs/>
      <w:kern w:val="2"/>
      <w:sz w:val="32"/>
      <w:szCs w:val="32"/>
    </w:rPr>
  </w:style>
  <w:style w:type="character" w:customStyle="1" w:styleId="27">
    <w:name w:val="Body Text Char"/>
    <w:basedOn w:val="20"/>
    <w:semiHidden/>
    <w:qFormat/>
    <w:uiPriority w:val="99"/>
    <w:rPr>
      <w:rFonts w:ascii="Times New Roman" w:hAnsi="Times New Roman" w:cs="Times New Roman"/>
      <w:sz w:val="24"/>
      <w:szCs w:val="24"/>
    </w:rPr>
  </w:style>
  <w:style w:type="character" w:customStyle="1" w:styleId="28">
    <w:name w:val="批注框文本 Char"/>
    <w:basedOn w:val="20"/>
    <w:link w:val="11"/>
    <w:semiHidden/>
    <w:qFormat/>
    <w:locked/>
    <w:uiPriority w:val="99"/>
    <w:rPr>
      <w:rFonts w:ascii="Times New Roman" w:hAnsi="Times New Roman" w:cs="Times New Roman"/>
      <w:kern w:val="2"/>
      <w:sz w:val="18"/>
      <w:szCs w:val="18"/>
    </w:rPr>
  </w:style>
  <w:style w:type="character" w:customStyle="1" w:styleId="29">
    <w:name w:val="Footer Char"/>
    <w:basedOn w:val="20"/>
    <w:semiHidden/>
    <w:qFormat/>
    <w:uiPriority w:val="99"/>
    <w:rPr>
      <w:rFonts w:ascii="Times New Roman" w:hAnsi="Times New Roman" w:cs="Times New Roman"/>
      <w:sz w:val="18"/>
      <w:szCs w:val="18"/>
    </w:rPr>
  </w:style>
  <w:style w:type="character" w:customStyle="1" w:styleId="30">
    <w:name w:val="Header Char"/>
    <w:basedOn w:val="20"/>
    <w:semiHidden/>
    <w:qFormat/>
    <w:uiPriority w:val="99"/>
    <w:rPr>
      <w:rFonts w:ascii="Times New Roman" w:hAnsi="Times New Roman" w:cs="Times New Roman"/>
      <w:sz w:val="18"/>
      <w:szCs w:val="18"/>
    </w:rPr>
  </w:style>
  <w:style w:type="character" w:customStyle="1" w:styleId="31">
    <w:name w:val="页眉 Char"/>
    <w:link w:val="13"/>
    <w:semiHidden/>
    <w:qFormat/>
    <w:locked/>
    <w:uiPriority w:val="99"/>
    <w:rPr>
      <w:sz w:val="18"/>
    </w:rPr>
  </w:style>
  <w:style w:type="character" w:customStyle="1" w:styleId="32">
    <w:name w:val="页脚 Char"/>
    <w:link w:val="12"/>
    <w:qFormat/>
    <w:locked/>
    <w:uiPriority w:val="99"/>
    <w:rPr>
      <w:sz w:val="18"/>
    </w:rPr>
  </w:style>
  <w:style w:type="character" w:customStyle="1" w:styleId="33">
    <w:name w:val="正文文本 Char"/>
    <w:link w:val="2"/>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customStyle="1" w:styleId="39">
    <w:name w:val="[Normal]"/>
    <w:qFormat/>
    <w:uiPriority w:val="0"/>
    <w:pPr>
      <w:widowControl w:val="0"/>
      <w:autoSpaceDE w:val="0"/>
      <w:autoSpaceDN w:val="0"/>
      <w:adjustRightInd w:val="0"/>
    </w:pPr>
    <w:rPr>
      <w:rFonts w:ascii="宋体" w:hAnsi="MT Extra" w:eastAsia="宋体" w:cs="宋体"/>
      <w:sz w:val="24"/>
      <w:szCs w:val="24"/>
      <w:lang w:val="en-US" w:eastAsia="zh-CN" w:bidi="ar-SA"/>
    </w:rPr>
  </w:style>
  <w:style w:type="paragraph" w:styleId="40">
    <w:name w:val="List Paragraph"/>
    <w:basedOn w:val="1"/>
    <w:qFormat/>
    <w:uiPriority w:val="99"/>
    <w:pPr>
      <w:ind w:firstLine="420" w:firstLineChars="200"/>
    </w:pPr>
    <w:rPr>
      <w:rFonts w:ascii="Calibri" w:hAnsi="Calibri"/>
      <w:szCs w:val="22"/>
    </w:rPr>
  </w:style>
  <w:style w:type="paragraph" w:customStyle="1" w:styleId="41">
    <w:name w:val="四号正文"/>
    <w:basedOn w:val="1"/>
    <w:qFormat/>
    <w:uiPriority w:val="0"/>
    <w:pPr>
      <w:spacing w:line="360" w:lineRule="auto"/>
    </w:pPr>
    <w:rPr>
      <w:rFonts w:ascii="??" w:hAnsi="??" w:eastAsia="宋体"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2.xml"/><Relationship Id="rId1" Type="http://schemas.openxmlformats.org/officeDocument/2006/relationships/oleObject" Target=""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收支总计</c:v>
                </c:pt>
              </c:strCache>
            </c:strRef>
          </c:tx>
          <c:invertIfNegative val="0"/>
          <c:dLbls>
            <c:dLbl>
              <c:idx val="0"/>
              <c:layout>
                <c:manualLayout>
                  <c:x val="0"/>
                  <c:y val="-0.0033023735810113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6774.12</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8523.8</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2019年度</c:v>
                </c:pt>
                <c:pt idx="1">
                  <c:v>2020年度</c:v>
                </c:pt>
              </c:strCache>
            </c:strRef>
          </c:cat>
          <c:val>
            <c:numRef>
              <c:f>Sheet1!$B$2:$B$3</c:f>
              <c:numCache>
                <c:formatCode>General</c:formatCode>
                <c:ptCount val="2"/>
                <c:pt idx="0">
                  <c:v>6774.12</c:v>
                </c:pt>
                <c:pt idx="1">
                  <c:v>8523.8</c:v>
                </c:pt>
              </c:numCache>
            </c:numRef>
          </c:val>
        </c:ser>
        <c:dLbls>
          <c:showLegendKey val="0"/>
          <c:showVal val="1"/>
          <c:showCatName val="0"/>
          <c:showSerName val="0"/>
          <c:showPercent val="0"/>
          <c:showBubbleSize val="0"/>
        </c:dLbls>
        <c:gapWidth val="150"/>
        <c:overlap val="-25"/>
        <c:axId val="109287296"/>
        <c:axId val="161515392"/>
      </c:barChart>
      <c:catAx>
        <c:axId val="10928729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1515392"/>
        <c:crosses val="autoZero"/>
        <c:auto val="1"/>
        <c:lblAlgn val="ctr"/>
        <c:lblOffset val="100"/>
        <c:noMultiLvlLbl val="0"/>
      </c:catAx>
      <c:valAx>
        <c:axId val="161515392"/>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9287296"/>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收入</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sz="1100">
                        <a:latin typeface="黑体" panose="02010609060101010101" charset="-122"/>
                        <a:ea typeface="黑体" panose="02010609060101010101" charset="-122"/>
                      </a:rPr>
                      <a:t>86.16</a:t>
                    </a:r>
                    <a:r>
                      <a:rPr lang="en-US" altLang="zh-CN"/>
                      <a:t>%</a:t>
                    </a:r>
                    <a:endParaRPr lang="en-US" altLang="zh-CN"/>
                  </a:p>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a:t>3866.18</a:t>
                    </a:r>
                    <a:r>
                      <a:rPr lang="zh-CN"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sz="1100">
                        <a:latin typeface="黑体" panose="02010609060101010101" charset="-122"/>
                        <a:ea typeface="黑体" panose="02010609060101010101" charset="-122"/>
                      </a:rPr>
                      <a:t>13.84</a:t>
                    </a:r>
                    <a:r>
                      <a:rPr lang="en-US" altLang="zh-CN"/>
                      <a:t>%</a:t>
                    </a:r>
                    <a:endParaRPr lang="en-US" altLang="zh-CN"/>
                  </a:p>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a:t>535.08</a:t>
                    </a:r>
                    <a:r>
                      <a:rPr lang="zh-CN"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535.07</c:v>
                </c:pt>
                <c:pt idx="1">
                  <c:v>161.13</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t"/>
      <c:layout>
        <c:manualLayout>
          <c:xMode val="edge"/>
          <c:yMode val="edge"/>
          <c:x val="0.0604497354497354"/>
          <c:y val="0.0195944406470722"/>
        </c:manualLayout>
      </c:layout>
      <c:overlay val="0"/>
      <c:txPr>
        <a:bodyPr rot="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城管局2018年度支出</c:v>
                </c:pt>
              </c:strCache>
            </c:strRef>
          </c:tx>
          <c:explosion val="0"/>
          <c:dPt>
            <c:idx val="0"/>
            <c:bubble3D val="0"/>
          </c:dPt>
          <c:dPt>
            <c:idx val="1"/>
            <c:bubble3D val="0"/>
          </c:dPt>
          <c:dLbls>
            <c:dLbl>
              <c:idx val="0"/>
              <c:layout>
                <c:manualLayout>
                  <c:x val="0"/>
                  <c:y val="-0.00427236315086782"/>
                </c:manualLayout>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sz="1100">
                        <a:latin typeface="黑体" panose="02010609060101010101" charset="-122"/>
                        <a:ea typeface="黑体" panose="02010609060101010101" charset="-122"/>
                      </a:rPr>
                      <a:t>77.85</a:t>
                    </a:r>
                    <a:r>
                      <a:rPr lang="en-US" altLang="zh-CN"/>
                      <a:t>%</a:t>
                    </a:r>
                    <a:endParaRPr lang="en-US" altLang="zh-CN"/>
                  </a:p>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a:t>3626</a:t>
                    </a:r>
                    <a:r>
                      <a:rPr lang="zh-CN"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0753057064510633"/>
                  <c:y val="0.160213618157543"/>
                </c:manualLayout>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sz="1100">
                        <a:latin typeface="黑体" panose="02010609060101010101" charset="-122"/>
                        <a:ea typeface="黑体" panose="02010609060101010101" charset="-122"/>
                      </a:rPr>
                      <a:t>22.15</a:t>
                    </a:r>
                    <a:r>
                      <a:rPr lang="en-US" altLang="zh-CN"/>
                      <a:t>%</a:t>
                    </a:r>
                    <a:endParaRPr lang="en-US" altLang="zh-CN"/>
                  </a:p>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zh-CN"/>
                      <a:t>1031.62</a:t>
                    </a:r>
                    <a:r>
                      <a:rPr lang="zh-CN"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manualLayout>
                      <c:w val="0.182441700960219"/>
                      <c:h val="0.283578104138852"/>
                    </c:manualLayout>
                  </c15:layout>
                </c:ext>
              </c:extLst>
            </c:dLbl>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3626</c:v>
                </c:pt>
                <c:pt idx="1">
                  <c:v>1031.62</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t"/>
      <c:layout/>
      <c:overlay val="0"/>
      <c:txPr>
        <a:bodyPr rot="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财政拨款收入</c:v>
                </c:pt>
              </c:strCache>
            </c:strRef>
          </c:tx>
          <c:invertIfNegative val="0"/>
          <c:dLbls>
            <c:dLbl>
              <c:idx val="0"/>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en-US"/>
                      <a:t>3866.18</a:t>
                    </a:r>
                    <a:r>
                      <a:rPr lang="zh-CN" altLang="en-US"/>
                      <a:t>万元</a:t>
                    </a:r>
                    <a:endParaRPr lang="en-US" alt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2020年度收支对比表</c:v>
                </c:pt>
              </c:strCache>
            </c:strRef>
          </c:cat>
          <c:val>
            <c:numRef>
              <c:f>Sheet1!$B$2:$B$3</c:f>
              <c:numCache>
                <c:formatCode>General</c:formatCode>
                <c:ptCount val="2"/>
                <c:pt idx="0">
                  <c:v>3866.18</c:v>
                </c:pt>
              </c:numCache>
            </c:numRef>
          </c:val>
        </c:ser>
        <c:ser>
          <c:idx val="1"/>
          <c:order val="1"/>
          <c:tx>
            <c:strRef>
              <c:f>Sheet1!$C$1</c:f>
              <c:strCache>
                <c:ptCount val="1"/>
                <c:pt idx="0">
                  <c:v>财政拨款支出</c:v>
                </c:pt>
              </c:strCache>
            </c:strRef>
          </c:tx>
          <c:invertIfNegative val="0"/>
          <c:dLbls>
            <c:dLbl>
              <c:idx val="0"/>
              <c:layout>
                <c:manualLayout>
                  <c:x val="0"/>
                  <c:y val="-0.00372960372960373"/>
                </c:manualLayout>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en-US"/>
                      <a:t>4657.62</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2020年度收支对比表</c:v>
                </c:pt>
              </c:strCache>
            </c:strRef>
          </c:cat>
          <c:val>
            <c:numRef>
              <c:f>Sheet1!$C$2:$C$3</c:f>
              <c:numCache>
                <c:formatCode>General</c:formatCode>
                <c:ptCount val="2"/>
                <c:pt idx="0">
                  <c:v>4657.62</c:v>
                </c:pt>
              </c:numCache>
            </c:numRef>
          </c:val>
        </c:ser>
        <c:dLbls>
          <c:showLegendKey val="0"/>
          <c:showVal val="1"/>
          <c:showCatName val="0"/>
          <c:showSerName val="0"/>
          <c:showPercent val="0"/>
          <c:showBubbleSize val="0"/>
        </c:dLbls>
        <c:gapWidth val="150"/>
        <c:overlap val="-25"/>
        <c:axId val="189950976"/>
        <c:axId val="189952768"/>
      </c:barChart>
      <c:catAx>
        <c:axId val="1899509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crossAx val="189952768"/>
        <c:crosses val="autoZero"/>
        <c:auto val="1"/>
        <c:lblAlgn val="ctr"/>
        <c:lblOffset val="100"/>
        <c:noMultiLvlLbl val="0"/>
      </c:catAx>
      <c:valAx>
        <c:axId val="189952768"/>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9950976"/>
        <c:crosses val="autoZero"/>
        <c:crossBetween val="between"/>
      </c:valAx>
    </c:plotArea>
    <c:legend>
      <c:legendPos val="t"/>
      <c:layout>
        <c:manualLayout>
          <c:xMode val="edge"/>
          <c:yMode val="edge"/>
          <c:x val="0.300940623162845"/>
          <c:y val="0.027972027972028"/>
        </c:manualLayout>
      </c:layout>
      <c:overlay val="0"/>
      <c:txPr>
        <a:bodyPr rot="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支出</c:v>
                </c:pt>
              </c:strCache>
            </c:strRef>
          </c:tx>
          <c:invertIfNegative val="0"/>
          <c:dLbls>
            <c:dLbl>
              <c:idx val="0"/>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en-US" sz="1100">
                        <a:latin typeface="黑体" panose="02010609060101010101" charset="-122"/>
                        <a:ea typeface="黑体" panose="02010609060101010101" charset="-122"/>
                      </a:rPr>
                      <a:t>3626</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r>
                      <a:rPr lang="en-US" altLang="en-US" sz="1100">
                        <a:latin typeface="黑体" panose="02010609060101010101" charset="-122"/>
                        <a:ea typeface="黑体" panose="02010609060101010101" charset="-122"/>
                      </a:rPr>
                      <a:t>1183.58</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2020年度</c:v>
                </c:pt>
                <c:pt idx="1">
                  <c:v>2019年度</c:v>
                </c:pt>
              </c:strCache>
            </c:strRef>
          </c:cat>
          <c:val>
            <c:numRef>
              <c:f>Sheet1!$B$2:$B$3</c:f>
              <c:numCache>
                <c:formatCode>General</c:formatCode>
                <c:ptCount val="2"/>
                <c:pt idx="0">
                  <c:v>3626</c:v>
                </c:pt>
                <c:pt idx="1">
                  <c:v>1183.58</c:v>
                </c:pt>
              </c:numCache>
            </c:numRef>
          </c:val>
        </c:ser>
        <c:dLbls>
          <c:showLegendKey val="0"/>
          <c:showVal val="1"/>
          <c:showCatName val="0"/>
          <c:showSerName val="0"/>
          <c:showPercent val="0"/>
          <c:showBubbleSize val="0"/>
        </c:dLbls>
        <c:gapWidth val="150"/>
        <c:overlap val="-25"/>
        <c:axId val="232272256"/>
        <c:axId val="232273792"/>
      </c:barChart>
      <c:catAx>
        <c:axId val="23227225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crossAx val="232273792"/>
        <c:crosses val="autoZero"/>
        <c:auto val="1"/>
        <c:lblAlgn val="ctr"/>
        <c:lblOffset val="100"/>
        <c:noMultiLvlLbl val="0"/>
      </c:catAx>
      <c:valAx>
        <c:axId val="232273792"/>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2272256"/>
        <c:crosses val="autoZero"/>
        <c:crossBetween val="between"/>
      </c:valAx>
    </c:plotArea>
    <c:legend>
      <c:legendPos val="t"/>
      <c:layout/>
      <c:overlay val="0"/>
      <c:txPr>
        <a:bodyPr rot="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1" i="0" u="none" strike="noStrike" kern="1200" spc="0" normalizeH="0" baseline="0">
                <a:solidFill>
                  <a:schemeClr val="dk1">
                    <a:lumMod val="50000"/>
                    <a:lumOff val="50000"/>
                  </a:schemeClr>
                </a:solidFill>
                <a:latin typeface="+mj-lt"/>
                <a:ea typeface="+mj-ea"/>
                <a:cs typeface="+mj-cs"/>
              </a:defRPr>
            </a:pPr>
            <a:r>
              <a:t>2020年一般公共预算财政拨款支出</a:t>
            </a:r>
          </a:p>
        </c:rich>
      </c:tx>
      <c:layout/>
      <c:overlay val="0"/>
      <c:spPr>
        <a:noFill/>
        <a:ln>
          <a:noFill/>
        </a:ln>
        <a:effectLst/>
      </c:spPr>
    </c:title>
    <c:autoTitleDeleted val="0"/>
    <c:plotArea>
      <c:layout/>
      <c:pieChart>
        <c:varyColors val="1"/>
        <c:ser>
          <c:idx val="0"/>
          <c:order val="0"/>
          <c:tx>
            <c:strRef>
              <c:f>Sheet1!$B$1</c:f>
              <c:strCache>
                <c:ptCount val="1"/>
                <c:pt idx="0">
                  <c:v>2018年一般公共预算财政拨款支出</c:v>
                </c:pt>
              </c:strCache>
            </c:strRef>
          </c:tx>
          <c:spPr/>
          <c:explosion val="0"/>
          <c:dPt>
            <c:idx val="0"/>
            <c:bubble3D val="0"/>
            <c:spPr>
              <a:gradFill>
                <a:gsLst>
                  <a:gs pos="100000">
                    <a:schemeClr val="accent3">
                      <a:tint val="53333"/>
                      <a:lumMod val="60000"/>
                      <a:lumOff val="40000"/>
                    </a:schemeClr>
                  </a:gs>
                  <a:gs pos="0">
                    <a:schemeClr val="accent3">
                      <a:tint val="53333"/>
                    </a:schemeClr>
                  </a:gs>
                </a:gsLst>
                <a:lin ang="5400000" scaled="0"/>
              </a:gradFill>
              <a:ln w="19050">
                <a:solidFill>
                  <a:schemeClr val="lt1"/>
                </a:solidFill>
              </a:ln>
              <a:effectLst/>
            </c:spPr>
          </c:dPt>
          <c:dPt>
            <c:idx val="1"/>
            <c:bubble3D val="0"/>
            <c:spPr>
              <a:gradFill>
                <a:gsLst>
                  <a:gs pos="100000">
                    <a:schemeClr val="accent3">
                      <a:tint val="76667"/>
                      <a:lumMod val="60000"/>
                      <a:lumOff val="40000"/>
                    </a:schemeClr>
                  </a:gs>
                  <a:gs pos="0">
                    <a:schemeClr val="accent3">
                      <a:tint val="76667"/>
                    </a:schemeClr>
                  </a:gs>
                </a:gsLst>
                <a:lin ang="5400000" scaled="0"/>
              </a:gradFill>
              <a:ln w="19050">
                <a:solidFill>
                  <a:schemeClr val="lt1"/>
                </a:solidFill>
              </a:ln>
              <a:effectLst/>
            </c:spPr>
          </c:dPt>
          <c:dPt>
            <c:idx val="2"/>
            <c:bubble3D val="0"/>
            <c:spPr>
              <a:gradFill>
                <a:gsLst>
                  <a:gs pos="100000">
                    <a:schemeClr val="accent3">
                      <a:shade val="86000"/>
                      <a:lumMod val="60000"/>
                      <a:lumOff val="40000"/>
                    </a:schemeClr>
                  </a:gs>
                  <a:gs pos="0">
                    <a:schemeClr val="accent3">
                      <a:shade val="86000"/>
                    </a:schemeClr>
                  </a:gs>
                </a:gsLst>
                <a:lin ang="5400000" scaled="0"/>
              </a:gradFill>
              <a:ln w="19050">
                <a:solidFill>
                  <a:schemeClr val="lt1"/>
                </a:solidFill>
              </a:ln>
              <a:effectLst/>
            </c:spPr>
          </c:dPt>
          <c:dPt>
            <c:idx val="3"/>
            <c:bubble3D val="0"/>
            <c:spPr>
              <a:gradFill>
                <a:gsLst>
                  <a:gs pos="100000">
                    <a:schemeClr val="accent3">
                      <a:shade val="76667"/>
                      <a:lumMod val="60000"/>
                      <a:lumOff val="40000"/>
                    </a:schemeClr>
                  </a:gs>
                  <a:gs pos="0">
                    <a:schemeClr val="accent3">
                      <a:shade val="76667"/>
                    </a:schemeClr>
                  </a:gs>
                </a:gsLst>
                <a:lin ang="5400000" scaled="0"/>
              </a:gradFill>
              <a:ln w="19050">
                <a:solidFill>
                  <a:schemeClr val="lt1"/>
                </a:solidFill>
              </a:ln>
              <a:effectLst/>
            </c:spPr>
          </c:dPt>
          <c:dPt>
            <c:idx val="4"/>
            <c:bubble3D val="0"/>
            <c:spPr>
              <a:gradFill>
                <a:gsLst>
                  <a:gs pos="100000">
                    <a:schemeClr val="accent3">
                      <a:shade val="70000"/>
                      <a:lumMod val="60000"/>
                      <a:lumOff val="40000"/>
                    </a:schemeClr>
                  </a:gs>
                  <a:gs pos="0">
                    <a:schemeClr val="accent3">
                      <a:shade val="70000"/>
                    </a:schemeClr>
                  </a:gs>
                </a:gsLst>
                <a:lin ang="5400000" scaled="0"/>
              </a:gradFill>
              <a:ln w="19050">
                <a:solidFill>
                  <a:schemeClr val="lt1"/>
                </a:solidFill>
              </a:ln>
              <a:effectLst/>
            </c:spPr>
          </c:dPt>
          <c:dPt>
            <c:idx val="5"/>
            <c:bubble3D val="0"/>
            <c:spPr>
              <a:gradFill>
                <a:gsLst>
                  <a:gs pos="100000">
                    <a:schemeClr val="accent3">
                      <a:shade val="50000"/>
                      <a:lumMod val="60000"/>
                      <a:lumOff val="40000"/>
                    </a:schemeClr>
                  </a:gs>
                  <a:gs pos="0">
                    <a:schemeClr val="accent3">
                      <a:shade val="50000"/>
                    </a:schemeClr>
                  </a:gs>
                </a:gsLst>
                <a:lin ang="5400000" scaled="0"/>
              </a:gradFill>
              <a:ln w="19050">
                <a:solidFill>
                  <a:schemeClr val="lt1"/>
                </a:solidFill>
              </a:ln>
              <a:effectLst/>
            </c:spPr>
          </c:dPt>
          <c:dLbls>
            <c:delete val="1"/>
          </c:dLbls>
          <c:cat>
            <c:strRef>
              <c:f>Sheet1!$A$2:$A$7</c:f>
              <c:strCache>
                <c:ptCount val="6"/>
                <c:pt idx="0">
                  <c:v>城乡社区支出</c:v>
                </c:pt>
                <c:pt idx="1">
                  <c:v>节能环保支出</c:v>
                </c:pt>
                <c:pt idx="2">
                  <c:v>社会保障和就业支出</c:v>
                </c:pt>
                <c:pt idx="3">
                  <c:v>卫生健康支出</c:v>
                </c:pt>
                <c:pt idx="4">
                  <c:v>农林水支出</c:v>
                </c:pt>
                <c:pt idx="5">
                  <c:v>住房保障支出</c:v>
                </c:pt>
              </c:strCache>
            </c:strRef>
          </c:cat>
          <c:val>
            <c:numRef>
              <c:f>Sheet1!$B$2:$B$7</c:f>
              <c:numCache>
                <c:formatCode>General</c:formatCode>
                <c:ptCount val="6"/>
                <c:pt idx="0">
                  <c:v>2444.24</c:v>
                </c:pt>
                <c:pt idx="1">
                  <c:v>1066.99</c:v>
                </c:pt>
                <c:pt idx="2">
                  <c:v>50</c:v>
                </c:pt>
                <c:pt idx="3">
                  <c:v>27.29</c:v>
                </c:pt>
                <c:pt idx="4">
                  <c:v>36.64</c:v>
                </c:pt>
                <c:pt idx="5">
                  <c:v>1.2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forceAA="0"/>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三公经费对比表</c:v>
                </c:pt>
              </c:strCache>
            </c:strRef>
          </c:tx>
          <c:explosion val="0"/>
          <c:dPt>
            <c:idx val="0"/>
            <c:bubble3D val="0"/>
          </c:dPt>
          <c:dPt>
            <c:idx val="1"/>
            <c:bubble3D val="0"/>
          </c:dPt>
          <c:dPt>
            <c:idx val="2"/>
            <c:bubble3D val="0"/>
          </c:dPt>
          <c:dPt>
            <c:idx val="3"/>
            <c:bubble3D val="0"/>
          </c:dPt>
          <c:dLbls>
            <c:delete val="1"/>
          </c:dLbls>
          <c:cat>
            <c:strRef>
              <c:f>Sheet1!$A$2:$A$5</c:f>
              <c:strCache>
                <c:ptCount val="4"/>
                <c:pt idx="2">
                  <c:v>公务用车运行维护费支出</c:v>
                </c:pt>
                <c:pt idx="3">
                  <c:v>公务接待费支出</c:v>
                </c:pt>
              </c:strCache>
            </c:strRef>
          </c:cat>
          <c:val>
            <c:numRef>
              <c:f>Sheet1!$B$2:$B$5</c:f>
              <c:numCache>
                <c:formatCode>General</c:formatCode>
                <c:ptCount val="4"/>
                <c:pt idx="2">
                  <c:v>4</c:v>
                </c:pt>
                <c:pt idx="3">
                  <c:v>0</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t"/>
      <c:legendEntry>
        <c:idx val="0"/>
        <c:delete val="1"/>
      </c:legendEntry>
      <c:legendEntry>
        <c:idx val="1"/>
        <c:delete val="1"/>
      </c:legendEntry>
      <c:layout/>
      <c:overlay val="0"/>
      <c:txPr>
        <a:bodyPr rot="0" spcFirstLastPara="0" vertOverflow="ellipsis" vert="horz" wrap="square" anchor="ctr" anchorCtr="1"/>
        <a:lstStyle/>
        <a:p>
          <a:pPr>
            <a:defRPr lang="zh-CN" sz="1100" b="0" i="0" u="none" strike="noStrike" kern="1200" baseline="0">
              <a:solidFill>
                <a:schemeClr val="tx1"/>
              </a:solidFill>
              <a:latin typeface="黑体" panose="02010609060101010101" charset="-122"/>
              <a:ea typeface="黑体" panose="02010609060101010101" charset="-122"/>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Reversed" id="23">
  <a:schemeClr val="accent3"/>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基本">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Company>四川省财政厅</Company>
  <Pages>55</Pages>
  <Words>20899</Words>
  <Characters>22677</Characters>
  <Lines>90</Lines>
  <Paragraphs>25</Paragraphs>
  <TotalTime>97</TotalTime>
  <ScaleCrop>false</ScaleCrop>
  <LinksUpToDate>false</LinksUpToDate>
  <CharactersWithSpaces>22834</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2023-07-13T19:13:34Z</dcterms:modified>
  <dc:title>阿坝州部门决算说明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6311CF0367FC4158B0138D568E05FD40</vt:lpwstr>
  </property>
</Properties>
</file>