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78441"/>
      <w:bookmarkStart w:id="3" w:name="_Toc15396475"/>
      <w:bookmarkStart w:id="4" w:name="_Toc15377425"/>
      <w:bookmarkStart w:id="5" w:name="_Toc15396597"/>
      <w:r>
        <w:rPr>
          <w:rFonts w:hint="eastAsia" w:ascii="黑体" w:hAnsi="黑体" w:eastAsia="黑体"/>
          <w:sz w:val="72"/>
          <w:szCs w:val="72"/>
          <w:lang w:val="en-US" w:eastAsia="zh-CN"/>
        </w:rPr>
        <w:t>2021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194"/>
      <w:bookmarkStart w:id="9" w:name="_Toc15396476"/>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城市公用事业服务中心部门决算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27</w:t>
      </w:r>
      <w:r>
        <w:rPr>
          <w:rFonts w:hint="eastAsia" w:hAnsiTheme="minorHAnsi"/>
          <w:b w:val="0"/>
          <w:bCs w:val="0"/>
          <w:sz w:val="24"/>
          <w:szCs w:val="24"/>
        </w:rPr>
        <w:t>日</w:t>
      </w:r>
    </w:p>
    <w:p>
      <w:pPr>
        <w:pStyle w:val="15"/>
        <w:tabs>
          <w:tab w:val="right" w:leader="dot" w:pos="8296"/>
        </w:tabs>
        <w:rPr>
          <w:rFonts w:hint="eastAsia"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fldChar w:fldCharType="begin"/>
      </w:r>
      <w:r>
        <w:rPr>
          <w:rFonts w:ascii="仿宋" w:hAnsi="仿宋" w:eastAsia="仿宋"/>
          <w:b w:val="0"/>
          <w:bCs w:val="0"/>
          <w:caps w:val="0"/>
          <w:smallCaps/>
          <w:sz w:val="30"/>
          <w:szCs w:val="30"/>
        </w:rPr>
        <w:instrText xml:space="preserve"> TOC \o \u </w:instrText>
      </w:r>
      <w:r>
        <w:rPr>
          <w:rFonts w:ascii="仿宋" w:hAnsi="仿宋" w:eastAsia="仿宋"/>
          <w:b w:val="0"/>
          <w:bCs w:val="0"/>
          <w:caps w:val="0"/>
          <w:smallCaps/>
          <w:sz w:val="30"/>
          <w:szCs w:val="30"/>
        </w:rPr>
        <w:fldChar w:fldCharType="separate"/>
      </w:r>
      <w:r>
        <w:rPr>
          <w:rFonts w:ascii="仿宋" w:hAnsi="仿宋" w:eastAsia="仿宋"/>
          <w:b w:val="0"/>
          <w:bCs w:val="0"/>
          <w:caps w:val="0"/>
          <w:smallCaps/>
          <w:sz w:val="30"/>
          <w:szCs w:val="30"/>
        </w:rPr>
        <w:t>第一部分 部门概况</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5</w:t>
      </w:r>
    </w:p>
    <w:p>
      <w:pPr>
        <w:pStyle w:val="19"/>
        <w:tabs>
          <w:tab w:val="right" w:leader="dot" w:pos="8296"/>
        </w:tabs>
        <w:rPr>
          <w:rFonts w:hint="eastAsia" w:ascii="仿宋" w:hAnsi="仿宋" w:eastAsia="仿宋"/>
          <w:sz w:val="30"/>
          <w:szCs w:val="30"/>
          <w:lang w:val="en-US" w:eastAsia="zh-CN"/>
        </w:rPr>
      </w:pPr>
      <w:r>
        <w:rPr>
          <w:rFonts w:ascii="仿宋" w:hAnsi="仿宋" w:eastAsia="仿宋"/>
          <w:sz w:val="30"/>
          <w:szCs w:val="30"/>
        </w:rPr>
        <w:t>一、基本职能及主要工作</w:t>
      </w:r>
      <w:r>
        <w:rPr>
          <w:rFonts w:ascii="仿宋" w:hAnsi="仿宋" w:eastAsia="仿宋"/>
          <w:sz w:val="30"/>
          <w:szCs w:val="30"/>
        </w:rPr>
        <w:tab/>
      </w:r>
      <w:r>
        <w:rPr>
          <w:rFonts w:hint="eastAsia" w:ascii="仿宋" w:hAnsi="仿宋" w:eastAsia="仿宋"/>
          <w:sz w:val="30"/>
          <w:szCs w:val="30"/>
          <w:lang w:val="en-US" w:eastAsia="zh-CN"/>
        </w:rPr>
        <w:t>5</w:t>
      </w:r>
    </w:p>
    <w:p>
      <w:pPr>
        <w:pStyle w:val="10"/>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（一）主要职能</w:t>
      </w:r>
      <w:r>
        <w:rPr>
          <w:rFonts w:ascii="仿宋" w:hAnsi="仿宋" w:eastAsia="仿宋"/>
          <w:i w:val="0"/>
          <w:iCs w:val="0"/>
          <w:smallCaps/>
          <w:sz w:val="30"/>
          <w:szCs w:val="30"/>
        </w:rPr>
        <w:tab/>
      </w:r>
      <w:r>
        <w:rPr>
          <w:rFonts w:ascii="仿宋" w:hAnsi="仿宋" w:eastAsia="仿宋"/>
          <w:i w:val="0"/>
          <w:iCs w:val="0"/>
          <w:smallCaps/>
          <w:sz w:val="30"/>
          <w:szCs w:val="30"/>
        </w:rPr>
        <w:fldChar w:fldCharType="begin"/>
      </w:r>
      <w:r>
        <w:rPr>
          <w:rFonts w:ascii="仿宋" w:hAnsi="仿宋" w:eastAsia="仿宋"/>
          <w:i w:val="0"/>
          <w:iCs w:val="0"/>
          <w:smallCaps/>
          <w:sz w:val="30"/>
          <w:szCs w:val="30"/>
        </w:rPr>
        <w:instrText xml:space="preserve"> PAGEREF _Toc79163853 \h </w:instrText>
      </w:r>
      <w:r>
        <w:rPr>
          <w:rFonts w:ascii="仿宋" w:hAnsi="仿宋" w:eastAsia="仿宋"/>
          <w:i w:val="0"/>
          <w:iCs w:val="0"/>
          <w:smallCaps/>
          <w:sz w:val="30"/>
          <w:szCs w:val="30"/>
        </w:rPr>
        <w:fldChar w:fldCharType="separate"/>
      </w:r>
      <w:r>
        <w:rPr>
          <w:rFonts w:ascii="仿宋" w:hAnsi="仿宋" w:eastAsia="仿宋"/>
          <w:i w:val="0"/>
          <w:iCs w:val="0"/>
          <w:smallCaps/>
          <w:sz w:val="30"/>
          <w:szCs w:val="30"/>
        </w:rPr>
        <w:t>5</w:t>
      </w:r>
      <w:r>
        <w:rPr>
          <w:rFonts w:ascii="仿宋" w:hAnsi="仿宋" w:eastAsia="仿宋"/>
          <w:i w:val="0"/>
          <w:iCs w:val="0"/>
          <w:smallCaps/>
          <w:sz w:val="30"/>
          <w:szCs w:val="30"/>
        </w:rPr>
        <w:fldChar w:fldCharType="end"/>
      </w:r>
    </w:p>
    <w:p>
      <w:pPr>
        <w:pStyle w:val="10"/>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（二）202</w:t>
      </w:r>
      <w:r>
        <w:rPr>
          <w:rFonts w:hint="eastAsia" w:ascii="仿宋" w:hAnsi="仿宋" w:eastAsia="仿宋"/>
          <w:i w:val="0"/>
          <w:iCs w:val="0"/>
          <w:smallCaps/>
          <w:sz w:val="30"/>
          <w:szCs w:val="30"/>
          <w:lang w:val="en-US" w:eastAsia="zh-CN"/>
        </w:rPr>
        <w:t>1</w:t>
      </w:r>
      <w:r>
        <w:rPr>
          <w:rFonts w:ascii="仿宋" w:hAnsi="仿宋" w:eastAsia="仿宋"/>
          <w:i w:val="0"/>
          <w:iCs w:val="0"/>
          <w:smallCaps/>
          <w:sz w:val="30"/>
          <w:szCs w:val="30"/>
        </w:rPr>
        <w:t>年重点工作完成情况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6</w:t>
      </w:r>
    </w:p>
    <w:p>
      <w:pPr>
        <w:pStyle w:val="19"/>
        <w:tabs>
          <w:tab w:val="right" w:leader="dot" w:pos="8296"/>
        </w:tabs>
        <w:rPr>
          <w:rFonts w:hint="eastAsia" w:ascii="仿宋" w:hAnsi="仿宋" w:eastAsia="仿宋"/>
          <w:sz w:val="30"/>
          <w:szCs w:val="30"/>
          <w:lang w:val="en-US" w:eastAsia="zh-CN"/>
        </w:rPr>
      </w:pPr>
      <w:r>
        <w:rPr>
          <w:rFonts w:ascii="仿宋" w:hAnsi="仿宋" w:eastAsia="仿宋"/>
          <w:sz w:val="30"/>
          <w:szCs w:val="30"/>
        </w:rPr>
        <w:t>二、机构设置</w:t>
      </w:r>
      <w:r>
        <w:rPr>
          <w:rFonts w:ascii="仿宋" w:hAnsi="仿宋" w:eastAsia="仿宋"/>
          <w:sz w:val="30"/>
          <w:szCs w:val="30"/>
        </w:rPr>
        <w:tab/>
      </w:r>
      <w:r>
        <w:rPr>
          <w:rFonts w:hint="eastAsia" w:ascii="仿宋" w:hAnsi="仿宋" w:eastAsia="仿宋"/>
          <w:sz w:val="30"/>
          <w:szCs w:val="30"/>
          <w:lang w:val="en-US" w:eastAsia="zh-CN"/>
        </w:rPr>
        <w:t>7</w:t>
      </w:r>
    </w:p>
    <w:p>
      <w:pPr>
        <w:pStyle w:val="15"/>
        <w:tabs>
          <w:tab w:val="right" w:leader="dot" w:pos="8296"/>
        </w:tabs>
        <w:rPr>
          <w:rFonts w:hint="eastAsia"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第二部分 202</w:t>
      </w:r>
      <w:r>
        <w:rPr>
          <w:rFonts w:hint="eastAsia" w:ascii="仿宋" w:hAnsi="仿宋" w:eastAsia="仿宋"/>
          <w:b w:val="0"/>
          <w:bCs w:val="0"/>
          <w:caps w:val="0"/>
          <w:smallCaps/>
          <w:sz w:val="30"/>
          <w:szCs w:val="30"/>
          <w:lang w:val="en-US" w:eastAsia="zh-CN"/>
        </w:rPr>
        <w:t>1</w:t>
      </w:r>
      <w:r>
        <w:rPr>
          <w:rFonts w:ascii="仿宋" w:hAnsi="仿宋" w:eastAsia="仿宋"/>
          <w:b w:val="0"/>
          <w:bCs w:val="0"/>
          <w:caps w:val="0"/>
          <w:smallCaps/>
          <w:sz w:val="30"/>
          <w:szCs w:val="30"/>
        </w:rPr>
        <w:t>年度部门决算情况说明</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8</w:t>
      </w:r>
    </w:p>
    <w:p>
      <w:pPr>
        <w:pStyle w:val="19"/>
        <w:tabs>
          <w:tab w:val="left" w:pos="840"/>
          <w:tab w:val="right" w:leader="dot" w:pos="8296"/>
        </w:tabs>
        <w:rPr>
          <w:rFonts w:hint="eastAsia" w:ascii="仿宋" w:hAnsi="仿宋" w:eastAsia="仿宋"/>
          <w:sz w:val="30"/>
          <w:szCs w:val="30"/>
          <w:lang w:val="en-US" w:eastAsia="zh-CN"/>
        </w:rPr>
      </w:pPr>
      <w:r>
        <w:rPr>
          <w:rFonts w:ascii="仿宋" w:hAnsi="仿宋" w:eastAsia="仿宋"/>
          <w:sz w:val="30"/>
          <w:szCs w:val="30"/>
        </w:rPr>
        <w:t>一、</w:t>
      </w:r>
      <w:r>
        <w:rPr>
          <w:rFonts w:ascii="仿宋" w:hAnsi="仿宋" w:eastAsia="仿宋"/>
          <w:sz w:val="30"/>
          <w:szCs w:val="30"/>
        </w:rPr>
        <w:tab/>
      </w:r>
      <w:r>
        <w:rPr>
          <w:rFonts w:ascii="仿宋" w:hAnsi="仿宋" w:eastAsia="仿宋"/>
          <w:sz w:val="30"/>
          <w:szCs w:val="30"/>
        </w:rPr>
        <w:t>收入支出决算总体情况说明</w:t>
      </w:r>
      <w:r>
        <w:rPr>
          <w:rFonts w:ascii="仿宋" w:hAnsi="仿宋" w:eastAsia="仿宋"/>
          <w:sz w:val="30"/>
          <w:szCs w:val="30"/>
        </w:rPr>
        <w:tab/>
      </w:r>
      <w:r>
        <w:rPr>
          <w:rFonts w:hint="eastAsia" w:ascii="仿宋" w:hAnsi="仿宋" w:eastAsia="仿宋"/>
          <w:sz w:val="30"/>
          <w:szCs w:val="30"/>
          <w:lang w:val="en-US" w:eastAsia="zh-CN"/>
        </w:rPr>
        <w:t>8</w:t>
      </w:r>
    </w:p>
    <w:p>
      <w:pPr>
        <w:pStyle w:val="19"/>
        <w:tabs>
          <w:tab w:val="left" w:pos="840"/>
          <w:tab w:val="right" w:leader="dot" w:pos="8296"/>
        </w:tabs>
        <w:rPr>
          <w:rFonts w:hint="eastAsia" w:ascii="仿宋" w:hAnsi="仿宋" w:eastAsia="仿宋"/>
          <w:sz w:val="30"/>
          <w:szCs w:val="30"/>
          <w:lang w:val="en-US" w:eastAsia="zh-CN"/>
        </w:rPr>
      </w:pPr>
      <w:r>
        <w:rPr>
          <w:rFonts w:ascii="仿宋" w:hAnsi="仿宋" w:eastAsia="仿宋"/>
          <w:sz w:val="30"/>
          <w:szCs w:val="30"/>
        </w:rPr>
        <w:t>二、</w:t>
      </w:r>
      <w:r>
        <w:rPr>
          <w:rFonts w:ascii="仿宋" w:hAnsi="仿宋" w:eastAsia="仿宋"/>
          <w:sz w:val="30"/>
          <w:szCs w:val="30"/>
        </w:rPr>
        <w:tab/>
      </w:r>
      <w:r>
        <w:rPr>
          <w:rFonts w:ascii="仿宋" w:hAnsi="仿宋" w:eastAsia="仿宋"/>
          <w:sz w:val="30"/>
          <w:szCs w:val="30"/>
        </w:rPr>
        <w:t>收入决算情况说明</w:t>
      </w:r>
      <w:r>
        <w:rPr>
          <w:rFonts w:ascii="仿宋" w:hAnsi="仿宋" w:eastAsia="仿宋"/>
          <w:sz w:val="30"/>
          <w:szCs w:val="30"/>
        </w:rPr>
        <w:tab/>
      </w:r>
      <w:r>
        <w:rPr>
          <w:rFonts w:hint="eastAsia" w:ascii="仿宋" w:hAnsi="仿宋" w:eastAsia="仿宋"/>
          <w:sz w:val="30"/>
          <w:szCs w:val="30"/>
          <w:lang w:val="en-US" w:eastAsia="zh-CN"/>
        </w:rPr>
        <w:t>8</w:t>
      </w:r>
    </w:p>
    <w:p>
      <w:pPr>
        <w:pStyle w:val="19"/>
        <w:tabs>
          <w:tab w:val="left" w:pos="840"/>
          <w:tab w:val="right" w:leader="dot" w:pos="8296"/>
        </w:tabs>
        <w:rPr>
          <w:rFonts w:hint="eastAsia" w:ascii="仿宋" w:hAnsi="仿宋" w:eastAsia="仿宋"/>
          <w:sz w:val="30"/>
          <w:szCs w:val="30"/>
          <w:lang w:val="en-US" w:eastAsia="zh-CN"/>
        </w:rPr>
      </w:pPr>
      <w:r>
        <w:rPr>
          <w:rFonts w:ascii="仿宋" w:hAnsi="仿宋" w:eastAsia="仿宋"/>
          <w:sz w:val="30"/>
          <w:szCs w:val="30"/>
        </w:rPr>
        <w:t>三、</w:t>
      </w:r>
      <w:r>
        <w:rPr>
          <w:rFonts w:ascii="仿宋" w:hAnsi="仿宋" w:eastAsia="仿宋"/>
          <w:sz w:val="30"/>
          <w:szCs w:val="30"/>
        </w:rPr>
        <w:tab/>
      </w:r>
      <w:r>
        <w:rPr>
          <w:rFonts w:ascii="仿宋" w:hAnsi="仿宋" w:eastAsia="仿宋"/>
          <w:sz w:val="30"/>
          <w:szCs w:val="30"/>
        </w:rPr>
        <w:t>支出决算情况说明</w:t>
      </w:r>
      <w:r>
        <w:rPr>
          <w:rFonts w:ascii="仿宋" w:hAnsi="仿宋" w:eastAsia="仿宋"/>
          <w:sz w:val="30"/>
          <w:szCs w:val="30"/>
        </w:rPr>
        <w:tab/>
      </w:r>
      <w:r>
        <w:rPr>
          <w:rFonts w:hint="eastAsia" w:ascii="仿宋" w:hAnsi="仿宋" w:eastAsia="仿宋"/>
          <w:sz w:val="30"/>
          <w:szCs w:val="30"/>
          <w:lang w:val="en-US" w:eastAsia="zh-CN"/>
        </w:rPr>
        <w:t>9</w:t>
      </w:r>
    </w:p>
    <w:p>
      <w:pPr>
        <w:pStyle w:val="19"/>
        <w:tabs>
          <w:tab w:val="right" w:leader="dot" w:pos="8296"/>
        </w:tabs>
        <w:rPr>
          <w:rFonts w:hint="eastAsia" w:ascii="仿宋" w:hAnsi="仿宋" w:eastAsia="仿宋"/>
          <w:sz w:val="30"/>
          <w:szCs w:val="30"/>
          <w:lang w:val="en-US" w:eastAsia="zh-CN"/>
        </w:rPr>
      </w:pPr>
      <w:r>
        <w:rPr>
          <w:rFonts w:ascii="仿宋" w:hAnsi="仿宋" w:eastAsia="仿宋"/>
          <w:sz w:val="30"/>
          <w:szCs w:val="30"/>
        </w:rPr>
        <w:t>四、财政拨款收入支出决算总体情况说明</w:t>
      </w:r>
      <w:r>
        <w:rPr>
          <w:rFonts w:ascii="仿宋" w:hAnsi="仿宋" w:eastAsia="仿宋"/>
          <w:sz w:val="30"/>
          <w:szCs w:val="30"/>
        </w:rPr>
        <w:tab/>
      </w:r>
      <w:r>
        <w:rPr>
          <w:rFonts w:hint="eastAsia" w:ascii="仿宋" w:hAnsi="仿宋" w:eastAsia="仿宋"/>
          <w:sz w:val="30"/>
          <w:szCs w:val="30"/>
          <w:lang w:val="en-US" w:eastAsia="zh-CN"/>
        </w:rPr>
        <w:t>9</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五、一般公共预算财政拨款支出决算情况说明</w:t>
      </w:r>
      <w:r>
        <w:rPr>
          <w:rFonts w:ascii="仿宋" w:hAnsi="仿宋" w:eastAsia="仿宋"/>
          <w:sz w:val="30"/>
          <w:szCs w:val="30"/>
        </w:rPr>
        <w:tab/>
      </w:r>
      <w:r>
        <w:rPr>
          <w:rFonts w:hint="eastAsia" w:ascii="仿宋" w:hAnsi="仿宋" w:eastAsia="仿宋"/>
          <w:sz w:val="30"/>
          <w:szCs w:val="30"/>
          <w:lang w:val="en-US" w:eastAsia="zh-CN"/>
        </w:rPr>
        <w:t>10</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（一）一般公共预算财政拨款支出决算总体情况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10</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（二）一般公共预算财政拨款支出决算结构情况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12</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（三）一般公共预算财政拨款支出决算具体情况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12</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六、一般公共预算财政拨款基本支出决算情况说明</w:t>
      </w:r>
      <w:r>
        <w:rPr>
          <w:rFonts w:ascii="仿宋" w:hAnsi="仿宋" w:eastAsia="仿宋"/>
          <w:sz w:val="30"/>
          <w:szCs w:val="30"/>
        </w:rPr>
        <w:tab/>
      </w:r>
      <w:r>
        <w:rPr>
          <w:rFonts w:hint="eastAsia" w:ascii="仿宋" w:hAnsi="仿宋" w:eastAsia="仿宋"/>
          <w:sz w:val="30"/>
          <w:szCs w:val="30"/>
          <w:lang w:val="en-US" w:eastAsia="zh-CN"/>
        </w:rPr>
        <w:t>13</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七、“三公”经费财政拨款支出决算情况说明</w:t>
      </w:r>
      <w:r>
        <w:rPr>
          <w:rFonts w:ascii="仿宋" w:hAnsi="仿宋" w:eastAsia="仿宋"/>
          <w:sz w:val="30"/>
          <w:szCs w:val="30"/>
        </w:rPr>
        <w:tab/>
      </w:r>
      <w:r>
        <w:rPr>
          <w:rFonts w:hint="eastAsia" w:ascii="仿宋" w:hAnsi="仿宋" w:eastAsia="仿宋"/>
          <w:sz w:val="30"/>
          <w:szCs w:val="30"/>
          <w:lang w:val="en-US" w:eastAsia="zh-CN"/>
        </w:rPr>
        <w:t>14</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（一）“三公”经费财政拨款支出决算总体情况说明</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14</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（二）“三公”经费财政拨款支出决算具体情况说明</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14</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八、政府性基金预算支出决算情况说明</w:t>
      </w:r>
      <w:r>
        <w:rPr>
          <w:rFonts w:ascii="仿宋" w:hAnsi="仿宋" w:eastAsia="仿宋"/>
          <w:sz w:val="30"/>
          <w:szCs w:val="30"/>
        </w:rPr>
        <w:tab/>
      </w:r>
      <w:r>
        <w:rPr>
          <w:rFonts w:hint="eastAsia" w:ascii="仿宋" w:hAnsi="仿宋" w:eastAsia="仿宋"/>
          <w:sz w:val="30"/>
          <w:szCs w:val="30"/>
          <w:lang w:val="en-US" w:eastAsia="zh-CN"/>
        </w:rPr>
        <w:t>16</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九、 国有资本经营预算支出决算情况说明</w:t>
      </w:r>
      <w:r>
        <w:rPr>
          <w:rFonts w:ascii="仿宋" w:hAnsi="仿宋" w:eastAsia="仿宋"/>
          <w:sz w:val="30"/>
          <w:szCs w:val="30"/>
        </w:rPr>
        <w:tab/>
      </w:r>
      <w:r>
        <w:rPr>
          <w:rFonts w:hint="eastAsia" w:ascii="仿宋" w:hAnsi="仿宋" w:eastAsia="仿宋"/>
          <w:sz w:val="30"/>
          <w:szCs w:val="30"/>
          <w:lang w:val="en-US" w:eastAsia="zh-CN"/>
        </w:rPr>
        <w:t>16</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十、其他重要事项的情况说明</w:t>
      </w:r>
      <w:r>
        <w:rPr>
          <w:rFonts w:ascii="仿宋" w:hAnsi="仿宋" w:eastAsia="仿宋"/>
          <w:sz w:val="30"/>
          <w:szCs w:val="30"/>
        </w:rPr>
        <w:tab/>
      </w:r>
      <w:r>
        <w:rPr>
          <w:rFonts w:hint="eastAsia" w:ascii="仿宋" w:hAnsi="仿宋" w:eastAsia="仿宋"/>
          <w:sz w:val="30"/>
          <w:szCs w:val="30"/>
          <w:lang w:val="en-US" w:eastAsia="zh-CN"/>
        </w:rPr>
        <w:t>16</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（一）机关运行经费支出情况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16</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（二）政府采购支出情况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16</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（三）国有资产占有使用情况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16</w:t>
      </w:r>
    </w:p>
    <w:p>
      <w:pPr>
        <w:pStyle w:val="10"/>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（四）预算绩效管理情况。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16</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第三部分 名词解释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28</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第四部分 附件</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32</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附件1</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32</w:t>
      </w:r>
    </w:p>
    <w:p>
      <w:pPr>
        <w:pStyle w:val="15"/>
        <w:tabs>
          <w:tab w:val="right" w:leader="dot" w:pos="8296"/>
        </w:tabs>
        <w:rPr>
          <w:rFonts w:hint="eastAsia"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lang w:eastAsia="zh-CN"/>
        </w:rPr>
        <w:t>茂县城市公用事业服务中心</w:t>
      </w:r>
      <w:r>
        <w:rPr>
          <w:rFonts w:ascii="仿宋" w:hAnsi="仿宋" w:eastAsia="仿宋"/>
          <w:b w:val="0"/>
          <w:bCs w:val="0"/>
          <w:caps w:val="0"/>
          <w:smallCaps/>
          <w:sz w:val="30"/>
          <w:szCs w:val="30"/>
        </w:rPr>
        <w:t>202</w:t>
      </w:r>
      <w:r>
        <w:rPr>
          <w:rFonts w:hint="eastAsia" w:ascii="仿宋" w:hAnsi="仿宋" w:eastAsia="仿宋"/>
          <w:b w:val="0"/>
          <w:bCs w:val="0"/>
          <w:caps w:val="0"/>
          <w:smallCaps/>
          <w:sz w:val="30"/>
          <w:szCs w:val="30"/>
          <w:lang w:val="en-US" w:eastAsia="zh-CN"/>
        </w:rPr>
        <w:t>1</w:t>
      </w:r>
      <w:r>
        <w:rPr>
          <w:rFonts w:ascii="仿宋" w:hAnsi="仿宋" w:eastAsia="仿宋"/>
          <w:b w:val="0"/>
          <w:bCs w:val="0"/>
          <w:caps w:val="0"/>
          <w:smallCaps/>
          <w:sz w:val="30"/>
          <w:szCs w:val="30"/>
        </w:rPr>
        <w:t>年部门整体支出绩效评价报告</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第五部分 附表</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37</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一、收入支出决算总表</w:t>
      </w:r>
      <w:r>
        <w:rPr>
          <w:rFonts w:ascii="仿宋" w:hAnsi="仿宋" w:eastAsia="仿宋"/>
          <w:sz w:val="30"/>
          <w:szCs w:val="30"/>
        </w:rPr>
        <w:tab/>
      </w:r>
      <w:r>
        <w:rPr>
          <w:rFonts w:hint="eastAsia" w:ascii="仿宋" w:hAnsi="仿宋" w:eastAsia="仿宋"/>
          <w:sz w:val="30"/>
          <w:szCs w:val="30"/>
          <w:lang w:val="en-US" w:eastAsia="zh-CN"/>
        </w:rPr>
        <w:t>38</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二、收入决算表</w:t>
      </w:r>
      <w:r>
        <w:rPr>
          <w:rFonts w:ascii="仿宋" w:hAnsi="仿宋" w:eastAsia="仿宋"/>
          <w:sz w:val="30"/>
          <w:szCs w:val="30"/>
        </w:rPr>
        <w:tab/>
      </w:r>
      <w:r>
        <w:rPr>
          <w:rFonts w:hint="eastAsia" w:ascii="仿宋" w:hAnsi="仿宋" w:eastAsia="仿宋"/>
          <w:sz w:val="30"/>
          <w:szCs w:val="30"/>
          <w:lang w:val="en-US" w:eastAsia="zh-CN"/>
        </w:rPr>
        <w:t>39</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三、支出决算表</w:t>
      </w:r>
      <w:r>
        <w:rPr>
          <w:rFonts w:ascii="仿宋" w:hAnsi="仿宋" w:eastAsia="仿宋"/>
          <w:sz w:val="30"/>
          <w:szCs w:val="30"/>
        </w:rPr>
        <w:tab/>
      </w:r>
      <w:r>
        <w:rPr>
          <w:rFonts w:hint="eastAsia" w:ascii="仿宋" w:hAnsi="仿宋" w:eastAsia="仿宋"/>
          <w:sz w:val="30"/>
          <w:szCs w:val="30"/>
          <w:lang w:val="en-US" w:eastAsia="zh-CN"/>
        </w:rPr>
        <w:t>40</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四、财政拨款收入支出决算总表</w:t>
      </w:r>
      <w:r>
        <w:rPr>
          <w:rFonts w:ascii="仿宋" w:hAnsi="仿宋" w:eastAsia="仿宋"/>
          <w:sz w:val="30"/>
          <w:szCs w:val="30"/>
        </w:rPr>
        <w:tab/>
      </w:r>
      <w:r>
        <w:rPr>
          <w:rFonts w:hint="eastAsia" w:ascii="仿宋" w:hAnsi="仿宋" w:eastAsia="仿宋"/>
          <w:sz w:val="30"/>
          <w:szCs w:val="30"/>
          <w:lang w:val="en-US" w:eastAsia="zh-CN"/>
        </w:rPr>
        <w:t>41</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五、财政拨款支出决算明细表</w:t>
      </w:r>
      <w:r>
        <w:rPr>
          <w:rFonts w:ascii="仿宋" w:hAnsi="仿宋" w:eastAsia="仿宋"/>
          <w:sz w:val="30"/>
          <w:szCs w:val="30"/>
        </w:rPr>
        <w:tab/>
      </w:r>
      <w:r>
        <w:rPr>
          <w:rFonts w:hint="eastAsia" w:ascii="仿宋" w:hAnsi="仿宋" w:eastAsia="仿宋"/>
          <w:sz w:val="30"/>
          <w:szCs w:val="30"/>
          <w:lang w:val="en-US" w:eastAsia="zh-CN"/>
        </w:rPr>
        <w:t>42</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六、一般公共预算财政拨款支出决算表</w:t>
      </w:r>
      <w:r>
        <w:rPr>
          <w:rFonts w:ascii="仿宋" w:hAnsi="仿宋" w:eastAsia="仿宋"/>
          <w:sz w:val="30"/>
          <w:szCs w:val="30"/>
        </w:rPr>
        <w:tab/>
      </w:r>
      <w:r>
        <w:rPr>
          <w:rFonts w:hint="eastAsia" w:ascii="仿宋" w:hAnsi="仿宋" w:eastAsia="仿宋"/>
          <w:sz w:val="30"/>
          <w:szCs w:val="30"/>
          <w:lang w:val="en-US" w:eastAsia="zh-CN"/>
        </w:rPr>
        <w:t>43</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七、一般公共预算财政拨款支出决算明细表</w:t>
      </w:r>
      <w:r>
        <w:rPr>
          <w:rFonts w:ascii="仿宋" w:hAnsi="仿宋" w:eastAsia="仿宋"/>
          <w:sz w:val="30"/>
          <w:szCs w:val="30"/>
        </w:rPr>
        <w:tab/>
      </w:r>
      <w:r>
        <w:rPr>
          <w:rFonts w:hint="eastAsia" w:ascii="仿宋" w:hAnsi="仿宋" w:eastAsia="仿宋"/>
          <w:sz w:val="30"/>
          <w:szCs w:val="30"/>
          <w:lang w:val="en-US" w:eastAsia="zh-CN"/>
        </w:rPr>
        <w:t>44</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八、一般公共预算财政拨款基本支出决算表</w:t>
      </w:r>
      <w:r>
        <w:rPr>
          <w:rFonts w:ascii="仿宋" w:hAnsi="仿宋" w:eastAsia="仿宋"/>
          <w:sz w:val="30"/>
          <w:szCs w:val="30"/>
        </w:rPr>
        <w:tab/>
      </w:r>
      <w:r>
        <w:rPr>
          <w:rFonts w:hint="eastAsia" w:ascii="仿宋" w:hAnsi="仿宋" w:eastAsia="仿宋"/>
          <w:sz w:val="30"/>
          <w:szCs w:val="30"/>
          <w:lang w:val="en-US" w:eastAsia="zh-CN"/>
        </w:rPr>
        <w:t>45</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九、一般公共预算财政拨款项目支出决算表</w:t>
      </w:r>
      <w:r>
        <w:rPr>
          <w:rFonts w:ascii="仿宋" w:hAnsi="仿宋" w:eastAsia="仿宋"/>
          <w:sz w:val="30"/>
          <w:szCs w:val="30"/>
        </w:rPr>
        <w:tab/>
      </w:r>
      <w:r>
        <w:rPr>
          <w:rFonts w:hint="eastAsia" w:ascii="仿宋" w:hAnsi="仿宋" w:eastAsia="仿宋"/>
          <w:sz w:val="30"/>
          <w:szCs w:val="30"/>
          <w:lang w:val="en-US" w:eastAsia="zh-CN"/>
        </w:rPr>
        <w:t>46</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十、一般公共预算财政拨款“三公”经费支出决算表</w:t>
      </w:r>
      <w:r>
        <w:rPr>
          <w:rFonts w:ascii="仿宋" w:hAnsi="仿宋" w:eastAsia="仿宋"/>
          <w:sz w:val="30"/>
          <w:szCs w:val="30"/>
        </w:rPr>
        <w:tab/>
      </w:r>
      <w:r>
        <w:rPr>
          <w:rFonts w:hint="eastAsia" w:ascii="仿宋" w:hAnsi="仿宋" w:eastAsia="仿宋"/>
          <w:sz w:val="30"/>
          <w:szCs w:val="30"/>
          <w:lang w:val="en-US" w:eastAsia="zh-CN"/>
        </w:rPr>
        <w:t>47</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十一、政府性基金预算财政拨款收入支出决算表</w:t>
      </w:r>
      <w:r>
        <w:rPr>
          <w:rFonts w:ascii="仿宋" w:hAnsi="仿宋" w:eastAsia="仿宋"/>
          <w:sz w:val="30"/>
          <w:szCs w:val="30"/>
        </w:rPr>
        <w:tab/>
      </w:r>
      <w:r>
        <w:rPr>
          <w:rFonts w:hint="eastAsia" w:ascii="仿宋" w:hAnsi="仿宋" w:eastAsia="仿宋"/>
          <w:sz w:val="30"/>
          <w:szCs w:val="30"/>
          <w:lang w:val="en-US" w:eastAsia="zh-CN"/>
        </w:rPr>
        <w:t>48</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十二、政府性基金预算财政拨款“三公”经费支出决算表</w:t>
      </w:r>
      <w:r>
        <w:rPr>
          <w:rFonts w:ascii="仿宋" w:hAnsi="仿宋" w:eastAsia="仿宋"/>
          <w:sz w:val="30"/>
          <w:szCs w:val="30"/>
        </w:rPr>
        <w:tab/>
      </w:r>
      <w:r>
        <w:rPr>
          <w:rFonts w:hint="eastAsia" w:ascii="仿宋" w:hAnsi="仿宋" w:eastAsia="仿宋"/>
          <w:sz w:val="30"/>
          <w:szCs w:val="30"/>
          <w:lang w:val="en-US" w:eastAsia="zh-CN"/>
        </w:rPr>
        <w:t>49</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十三、国有资本经营预算财政拨款支出决算表</w:t>
      </w:r>
      <w:r>
        <w:rPr>
          <w:rFonts w:ascii="仿宋" w:hAnsi="仿宋" w:eastAsia="仿宋"/>
          <w:sz w:val="30"/>
          <w:szCs w:val="30"/>
        </w:rPr>
        <w:tab/>
      </w:r>
      <w:r>
        <w:rPr>
          <w:rFonts w:hint="eastAsia" w:ascii="仿宋" w:hAnsi="仿宋" w:eastAsia="仿宋"/>
          <w:sz w:val="30"/>
          <w:szCs w:val="30"/>
          <w:lang w:val="en-US" w:eastAsia="zh-CN"/>
        </w:rPr>
        <w:t>50</w:t>
      </w:r>
    </w:p>
    <w:p>
      <w:pPr>
        <w:pStyle w:val="19"/>
        <w:tabs>
          <w:tab w:val="right" w:leader="dot" w:pos="8296"/>
        </w:tabs>
        <w:rPr>
          <w:rFonts w:hint="default" w:ascii="仿宋" w:hAnsi="仿宋" w:eastAsia="仿宋"/>
          <w:sz w:val="30"/>
          <w:szCs w:val="30"/>
          <w:lang w:val="en-US" w:eastAsia="zh-CN"/>
        </w:rPr>
      </w:pPr>
      <w:r>
        <w:rPr>
          <w:rFonts w:ascii="仿宋" w:hAnsi="仿宋" w:eastAsia="仿宋"/>
          <w:sz w:val="30"/>
          <w:szCs w:val="30"/>
        </w:rPr>
        <w:t>十四、国有资本经营预算财政拨款支出决算表</w:t>
      </w:r>
      <w:r>
        <w:rPr>
          <w:rFonts w:ascii="仿宋" w:hAnsi="仿宋" w:eastAsia="仿宋"/>
          <w:sz w:val="30"/>
          <w:szCs w:val="30"/>
        </w:rPr>
        <w:tab/>
      </w:r>
      <w:r>
        <w:rPr>
          <w:rFonts w:hint="eastAsia" w:ascii="仿宋" w:hAnsi="仿宋" w:eastAsia="仿宋"/>
          <w:sz w:val="30"/>
          <w:szCs w:val="30"/>
          <w:lang w:val="en-US" w:eastAsia="zh-CN"/>
        </w:rPr>
        <w:t>51</w:t>
      </w:r>
    </w:p>
    <w:p>
      <w:pPr>
        <w:rPr>
          <w:sz w:val="30"/>
          <w:szCs w:val="30"/>
        </w:rPr>
      </w:pPr>
      <w:r>
        <w:rPr>
          <w:rFonts w:ascii="仿宋" w:hAnsi="仿宋" w:eastAsia="仿宋"/>
          <w:smallCaps/>
          <w:sz w:val="30"/>
          <w:szCs w:val="3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pageBreakBefore w:val="0"/>
        <w:widowControl w:val="0"/>
        <w:kinsoku/>
        <w:wordWrap/>
        <w:overflowPunct/>
        <w:topLinePunct w:val="0"/>
        <w:autoSpaceDE/>
        <w:autoSpaceDN/>
        <w:bidi w:val="0"/>
        <w:spacing w:before="0" w:after="0" w:line="576" w:lineRule="atLeast"/>
        <w:ind w:left="0" w:leftChars="0"/>
        <w:jc w:val="center"/>
        <w:textAlignment w:val="auto"/>
        <w:rPr>
          <w:rFonts w:hint="eastAsia" w:ascii="方正小标宋简体" w:hAnsi="方正小标宋简体" w:eastAsia="方正小标宋简体" w:cs="方正小标宋简体"/>
          <w:color w:val="000000"/>
          <w:sz w:val="44"/>
          <w:szCs w:val="44"/>
        </w:rPr>
      </w:pPr>
      <w:bookmarkStart w:id="14" w:name="_Toc79163851"/>
      <w:bookmarkStart w:id="15" w:name="_Toc79163601"/>
      <w:r>
        <w:rPr>
          <w:rFonts w:hint="eastAsia" w:ascii="方正小标宋简体" w:hAnsi="方正小标宋简体" w:eastAsia="方正小标宋简体" w:cs="方正小标宋简体"/>
          <w:b w:val="0"/>
          <w:sz w:val="44"/>
          <w:szCs w:val="44"/>
        </w:rPr>
        <w:t xml:space="preserve">第一部分 </w:t>
      </w:r>
      <w:r>
        <w:rPr>
          <w:rStyle w:val="26"/>
          <w:rFonts w:hint="eastAsia" w:ascii="方正小标宋简体" w:hAnsi="方正小标宋简体" w:eastAsia="方正小标宋简体" w:cs="方正小标宋简体"/>
          <w:b w:val="0"/>
          <w:bCs w:val="0"/>
          <w:sz w:val="44"/>
          <w:szCs w:val="44"/>
        </w:rPr>
        <w:t>部门概况</w:t>
      </w:r>
      <w:bookmarkEnd w:id="12"/>
      <w:bookmarkEnd w:id="13"/>
      <w:bookmarkEnd w:id="14"/>
      <w:bookmarkEnd w:id="15"/>
    </w:p>
    <w:p>
      <w:pPr>
        <w:pStyle w:val="4"/>
        <w:pageBreakBefore w:val="0"/>
        <w:widowControl w:val="0"/>
        <w:numPr>
          <w:ilvl w:val="0"/>
          <w:numId w:val="1"/>
        </w:numPr>
        <w:kinsoku/>
        <w:wordWrap/>
        <w:overflowPunct/>
        <w:topLinePunct w:val="0"/>
        <w:autoSpaceDE/>
        <w:autoSpaceDN/>
        <w:bidi w:val="0"/>
        <w:spacing w:before="0" w:after="0" w:line="576" w:lineRule="atLeast"/>
        <w:ind w:left="0" w:leftChars="0"/>
        <w:textAlignment w:val="auto"/>
        <w:rPr>
          <w:rFonts w:hint="eastAsia" w:ascii="黑体" w:hAnsi="黑体" w:eastAsia="黑体" w:cs="黑体"/>
          <w:color w:val="000000"/>
        </w:rPr>
      </w:pPr>
      <w:bookmarkStart w:id="16" w:name="_Toc79163852"/>
      <w:bookmarkStart w:id="17" w:name="_Toc15377197"/>
      <w:bookmarkStart w:id="18" w:name="_Toc79163602"/>
      <w:bookmarkStart w:id="19" w:name="_Toc15396600"/>
      <w:r>
        <w:rPr>
          <w:rFonts w:hint="eastAsia" w:ascii="黑体" w:hAnsi="黑体" w:eastAsia="黑体" w:cs="黑体"/>
          <w:b w:val="0"/>
          <w:color w:val="000000"/>
        </w:rPr>
        <w:t>基</w:t>
      </w:r>
      <w:r>
        <w:rPr>
          <w:rStyle w:val="27"/>
          <w:rFonts w:hint="eastAsia" w:ascii="黑体" w:hAnsi="黑体" w:eastAsia="黑体" w:cs="黑体"/>
          <w:b w:val="0"/>
          <w:bCs w:val="0"/>
        </w:rPr>
        <w:t>本职能及主要工作</w:t>
      </w:r>
      <w:bookmarkEnd w:id="16"/>
      <w:bookmarkEnd w:id="17"/>
      <w:bookmarkEnd w:id="18"/>
      <w:bookmarkEnd w:id="19"/>
      <w:bookmarkStart w:id="20" w:name="_Toc79163603"/>
      <w:bookmarkStart w:id="21" w:name="_Toc79163853"/>
      <w:bookmarkStart w:id="22" w:name="_Toc15377198"/>
      <w:bookmarkStart w:id="23" w:name="_Toc15378445"/>
    </w:p>
    <w:p>
      <w:pPr>
        <w:pStyle w:val="4"/>
        <w:pageBreakBefore w:val="0"/>
        <w:widowControl w:val="0"/>
        <w:numPr>
          <w:ilvl w:val="0"/>
          <w:numId w:val="0"/>
        </w:numPr>
        <w:kinsoku/>
        <w:wordWrap/>
        <w:overflowPunct/>
        <w:topLinePunct w:val="0"/>
        <w:autoSpaceDE/>
        <w:autoSpaceDN/>
        <w:bidi w:val="0"/>
        <w:spacing w:before="0" w:after="0" w:line="576" w:lineRule="atLeast"/>
        <w:ind w:left="0" w:leftChars="0"/>
        <w:textAlignment w:val="auto"/>
        <w:rPr>
          <w:rFonts w:hint="eastAsia" w:ascii="楷体" w:hAnsi="楷体" w:eastAsia="楷体" w:cs="楷体"/>
          <w:b/>
          <w:bCs/>
          <w:color w:val="000000"/>
        </w:rPr>
      </w:pPr>
      <w:r>
        <w:rPr>
          <w:rFonts w:hint="eastAsia" w:ascii="楷体" w:hAnsi="楷体" w:eastAsia="楷体" w:cs="楷体"/>
          <w:b/>
          <w:bCs/>
          <w:color w:val="000000"/>
        </w:rPr>
        <w:t>（一）主要职能</w:t>
      </w:r>
      <w:bookmarkEnd w:id="20"/>
      <w:bookmarkEnd w:id="21"/>
    </w:p>
    <w:bookmarkEnd w:id="22"/>
    <w:bookmarkEnd w:id="23"/>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bookmarkStart w:id="24" w:name="_Toc79163854"/>
      <w:bookmarkStart w:id="25" w:name="_Toc79163604"/>
      <w:bookmarkStart w:id="26" w:name="_Toc15378446"/>
      <w:bookmarkStart w:id="27" w:name="_Toc15377199"/>
      <w:r>
        <w:rPr>
          <w:rFonts w:hint="eastAsia" w:ascii="仿宋_GB2312" w:hAnsi="仿宋_GB2312" w:eastAsia="仿宋_GB2312" w:cs="仿宋_GB2312"/>
          <w:sz w:val="32"/>
          <w:szCs w:val="32"/>
        </w:rPr>
        <w:t>依照国务院《城市市容和环境卫生管理条例》《城市道路管理条例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《城市绿化条例》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城市道路照明设施管理规定》</w:t>
      </w:r>
      <w:bookmarkStart w:id="159" w:name="_GoBack"/>
      <w:bookmarkEnd w:id="159"/>
      <w:r>
        <w:rPr>
          <w:rFonts w:hint="eastAsia" w:ascii="仿宋_GB2312" w:hAnsi="仿宋_GB2312" w:eastAsia="仿宋_GB2312" w:cs="仿宋_GB2312"/>
          <w:sz w:val="32"/>
          <w:szCs w:val="32"/>
        </w:rPr>
        <w:t>《四川省城市市容和环境卫生管理条例》《四川省城市园林绿化条例》等法规，对城市市容市貌、园林绿化、环境卫生、市政设施（道路、照明、河道、排水）维护实施全面管理。</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1.按照有关法律、法规、规章和政府的决定，做好城市</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工作。</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2.贯彻执行国家和地方关于城市市容市貌、园林绿化、环境卫生、市政设施维护管理的法律、法规、规章及有关规范性文件。</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3.负责制定城市</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目标和计划。按照城市总体规划，研究制定全县城市</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、市政、环卫、城市绿化行业管理的发展战略。</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4.按照规定使用城市</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资金。根据市容、市政维护、环卫和绿化管理的部门资金预算，对资金使用实施监督控制。负责资金使用的核算，保证资金的正确使用。</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5.负责市容管理。统筹规划协调管理全县城市环境整治工作。规范管理临街建筑物、市政设施、建筑场地、城市交通运输工具等。</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6.负责城市环境卫生</w:t>
      </w:r>
      <w:r>
        <w:rPr>
          <w:rFonts w:hint="eastAsia" w:ascii="仿宋_GB2312" w:hAnsi="仿宋_GB2312" w:eastAsia="仿宋_GB2312" w:cs="仿宋_GB2312"/>
          <w:color w:val="auto"/>
          <w:sz w:val="32"/>
          <w:szCs w:val="32"/>
          <w:lang w:eastAsia="zh-CN"/>
        </w:rPr>
        <w:t>管理</w:t>
      </w:r>
      <w:r>
        <w:rPr>
          <w:rFonts w:hint="eastAsia" w:ascii="仿宋_GB2312" w:hAnsi="仿宋_GB2312" w:eastAsia="仿宋_GB2312" w:cs="仿宋_GB2312"/>
          <w:color w:val="auto"/>
          <w:sz w:val="32"/>
          <w:szCs w:val="32"/>
        </w:rPr>
        <w:t>。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7.负责城市道路的管理。编制年度维护计划并组织实施。负责城市道路管理、维护和维修。负责各类服务性、经营性占道亭棚、摊点和各类市场等的规划</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8.负责全县城市路灯的管理。维护</w:t>
      </w:r>
      <w:r>
        <w:rPr>
          <w:rFonts w:hint="eastAsia" w:ascii="仿宋_GB2312" w:hAnsi="仿宋_GB2312" w:eastAsia="仿宋_GB2312" w:cs="仿宋_GB2312"/>
          <w:color w:val="auto"/>
          <w:sz w:val="32"/>
          <w:szCs w:val="32"/>
          <w:lang w:eastAsia="zh-CN"/>
        </w:rPr>
        <w:t>管理</w:t>
      </w:r>
      <w:r>
        <w:rPr>
          <w:rFonts w:hint="eastAsia" w:ascii="仿宋_GB2312" w:hAnsi="仿宋_GB2312" w:eastAsia="仿宋_GB2312" w:cs="仿宋_GB2312"/>
          <w:color w:val="auto"/>
          <w:sz w:val="32"/>
          <w:szCs w:val="32"/>
        </w:rPr>
        <w:t>城市路灯，对市区户外灯饰管理工作进行统筹协调，监督检查。负责重要地段、场所和较大项目灯饰建设方案的审批和竣工验收。负责指导、检查、督促和实施“光亮工程”。</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9.负责城市河道管理工作。实行对城市河道和排水设施的容貌、卫生、环境的管理及城市河道、排水设施进行维护和疏淘。</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10.负责对城市绿化进行管理、维护。</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11.负责市政设施环境卫生。</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12.拟定城市</w:t>
      </w:r>
      <w:r>
        <w:rPr>
          <w:rFonts w:hint="eastAsia" w:ascii="仿宋_GB2312" w:hAnsi="仿宋_GB2312" w:eastAsia="仿宋_GB2312" w:cs="仿宋_GB2312"/>
          <w:color w:val="auto"/>
          <w:sz w:val="32"/>
          <w:szCs w:val="32"/>
          <w:lang w:eastAsia="zh-CN"/>
        </w:rPr>
        <w:t>服务</w:t>
      </w:r>
      <w:r>
        <w:rPr>
          <w:rFonts w:hint="eastAsia" w:ascii="仿宋_GB2312" w:hAnsi="仿宋_GB2312" w:eastAsia="仿宋_GB2312" w:cs="仿宋_GB2312"/>
          <w:color w:val="auto"/>
          <w:sz w:val="32"/>
          <w:szCs w:val="32"/>
        </w:rPr>
        <w:t>规范性文件并组织论证和报批。</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13.负责组织城市</w:t>
      </w:r>
      <w:r>
        <w:rPr>
          <w:rFonts w:hint="eastAsia" w:ascii="仿宋_GB2312" w:hAnsi="仿宋_GB2312" w:eastAsia="仿宋_GB2312" w:cs="仿宋_GB2312"/>
          <w:color w:val="auto"/>
          <w:sz w:val="32"/>
          <w:szCs w:val="32"/>
          <w:lang w:eastAsia="zh-CN"/>
        </w:rPr>
        <w:t>服务</w:t>
      </w:r>
      <w:r>
        <w:rPr>
          <w:rFonts w:hint="eastAsia" w:ascii="仿宋_GB2312" w:hAnsi="仿宋_GB2312" w:eastAsia="仿宋_GB2312" w:cs="仿宋_GB2312"/>
          <w:color w:val="auto"/>
          <w:sz w:val="32"/>
          <w:szCs w:val="32"/>
        </w:rPr>
        <w:t>法规的宣传，提高市民的文明素质和城市意识，规范城市</w:t>
      </w:r>
      <w:r>
        <w:rPr>
          <w:rFonts w:hint="eastAsia" w:ascii="仿宋_GB2312" w:hAnsi="仿宋_GB2312" w:eastAsia="仿宋_GB2312" w:cs="仿宋_GB2312"/>
          <w:color w:val="auto"/>
          <w:sz w:val="32"/>
          <w:szCs w:val="32"/>
          <w:lang w:eastAsia="zh-CN"/>
        </w:rPr>
        <w:t>服务</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rPr>
        <w:t>14</w:t>
      </w:r>
      <w:r>
        <w:rPr>
          <w:rFonts w:hint="eastAsia" w:ascii="仿宋_GB2312" w:hAnsi="仿宋_GB2312" w:eastAsia="仿宋_GB2312" w:cs="仿宋_GB2312"/>
          <w:color w:val="auto"/>
          <w:sz w:val="32"/>
          <w:szCs w:val="32"/>
        </w:rPr>
        <w:t>.承办县政府交办的其他事项</w:t>
      </w:r>
      <w:bookmarkEnd w:id="24"/>
      <w:bookmarkEnd w:id="25"/>
      <w:bookmarkEnd w:id="26"/>
      <w:bookmarkEnd w:id="27"/>
      <w:r>
        <w:rPr>
          <w:rFonts w:hint="eastAsia" w:ascii="仿宋_GB2312" w:hAnsi="仿宋_GB2312" w:eastAsia="仿宋_GB2312" w:cs="仿宋_GB2312"/>
          <w:color w:val="auto"/>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atLeast"/>
        <w:ind w:left="0" w:leftChars="0" w:firstLine="674" w:firstLineChars="210"/>
        <w:textAlignment w:val="auto"/>
        <w:outlineLvl w:val="2"/>
        <w:rPr>
          <w:rFonts w:hint="eastAsia" w:ascii="楷体" w:hAnsi="楷体" w:eastAsia="楷体" w:cs="楷体"/>
          <w:b/>
          <w:bCs w:val="0"/>
          <w:color w:val="auto"/>
          <w:sz w:val="32"/>
          <w:szCs w:val="32"/>
          <w:lang w:val="en-US"/>
        </w:rPr>
      </w:pPr>
      <w:r>
        <w:rPr>
          <w:rFonts w:hint="eastAsia" w:ascii="楷体" w:hAnsi="楷体" w:eastAsia="楷体" w:cs="楷体"/>
          <w:b/>
          <w:bCs w:val="0"/>
          <w:color w:val="auto"/>
          <w:sz w:val="32"/>
          <w:szCs w:val="32"/>
        </w:rPr>
        <w:t>（二）</w:t>
      </w:r>
      <w:r>
        <w:rPr>
          <w:rFonts w:hint="eastAsia" w:ascii="楷体" w:hAnsi="楷体" w:eastAsia="楷体" w:cs="楷体"/>
          <w:b/>
          <w:bCs w:val="0"/>
          <w:color w:val="auto"/>
          <w:sz w:val="32"/>
          <w:szCs w:val="32"/>
          <w:lang w:val="en-US"/>
        </w:rPr>
        <w:t>202</w:t>
      </w:r>
      <w:r>
        <w:rPr>
          <w:rFonts w:hint="eastAsia" w:ascii="楷体" w:hAnsi="楷体" w:eastAsia="楷体" w:cs="楷体"/>
          <w:b/>
          <w:bCs w:val="0"/>
          <w:color w:val="auto"/>
          <w:sz w:val="32"/>
          <w:szCs w:val="32"/>
          <w:lang w:val="en-US" w:eastAsia="zh-CN"/>
        </w:rPr>
        <w:t>1</w:t>
      </w:r>
      <w:r>
        <w:rPr>
          <w:rFonts w:hint="eastAsia" w:ascii="楷体" w:hAnsi="楷体" w:eastAsia="楷体" w:cs="楷体"/>
          <w:b/>
          <w:bCs w:val="0"/>
          <w:color w:val="auto"/>
          <w:sz w:val="32"/>
          <w:szCs w:val="32"/>
          <w:lang w:val="en-US"/>
        </w:rPr>
        <w:t>重点工作完成情况</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320" w:firstLineChars="100"/>
        <w:jc w:val="both"/>
        <w:textAlignment w:val="auto"/>
        <w:rPr>
          <w:rFonts w:hint="eastAsia" w:ascii="仿宋_GB2312" w:hAnsi="仿宋_GB2312" w:eastAsia="仿宋_GB2312" w:cs="仿宋_GB2312"/>
          <w:b w:val="0"/>
          <w:bCs/>
          <w:color w:val="auto"/>
          <w:sz w:val="32"/>
          <w:szCs w:val="32"/>
        </w:rPr>
      </w:pPr>
      <w:bookmarkStart w:id="28" w:name="_Toc15377200"/>
      <w:bookmarkStart w:id="29" w:name="_Toc79163605"/>
      <w:bookmarkStart w:id="30" w:name="_Toc79163855"/>
      <w:bookmarkStart w:id="31" w:name="_Toc15396601"/>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rPr>
        <w:t>加强疫情常态化防控。</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eastAsia="zh-CN"/>
        </w:rPr>
        <w:t>狠抓安全生产工作。</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eastAsia="zh-CN"/>
        </w:rPr>
        <w:t>加大城区环境治理力度。</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4.加强市政设施建设。</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640"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rPr>
        <w:t>加强特许经营公司管理。</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rPr>
        <w:t>严格管理，全面加强班子建设和队伍建</w:t>
      </w:r>
      <w:r>
        <w:rPr>
          <w:rFonts w:hint="eastAsia" w:ascii="仿宋_GB2312" w:hAnsi="仿宋_GB2312" w:eastAsia="仿宋_GB2312" w:cs="仿宋_GB2312"/>
          <w:b w:val="0"/>
          <w:bCs/>
          <w:color w:val="auto"/>
          <w:sz w:val="32"/>
          <w:szCs w:val="32"/>
          <w:lang w:eastAsia="zh-CN"/>
        </w:rPr>
        <w:t>设。</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640" w:firstLineChars="200"/>
        <w:jc w:val="both"/>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rPr>
        <w:t>积极落实举措，扎实开展“两联一进”群众工作。</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8.推进城市亮化工作。   </w:t>
      </w:r>
    </w:p>
    <w:p>
      <w:pPr>
        <w:keepNext w:val="0"/>
        <w:keepLines w:val="0"/>
        <w:pageBreakBefore w:val="0"/>
        <w:widowControl w:val="0"/>
        <w:kinsoku/>
        <w:wordWrap/>
        <w:overflowPunct w:val="0"/>
        <w:topLinePunct w:val="0"/>
        <w:autoSpaceDE/>
        <w:autoSpaceDN/>
        <w:bidi w:val="0"/>
        <w:adjustRightInd w:val="0"/>
        <w:snapToGrid/>
        <w:spacing w:after="0"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bidi="ar-SA"/>
        </w:rPr>
      </w:pPr>
      <w:r>
        <w:rPr>
          <w:rFonts w:hint="eastAsia" w:ascii="仿宋_GB2312" w:hAnsi="仿宋_GB2312" w:eastAsia="仿宋_GB2312" w:cs="仿宋_GB2312"/>
          <w:b w:val="0"/>
          <w:bCs/>
          <w:color w:val="auto"/>
          <w:sz w:val="32"/>
          <w:szCs w:val="32"/>
          <w:lang w:val="en-US" w:eastAsia="zh-CN" w:bidi="ar-SA"/>
        </w:rPr>
        <w:t>9.加强绿化管理工作，有效改善人居环境。</w:t>
      </w:r>
    </w:p>
    <w:p>
      <w:pPr>
        <w:pageBreakBefore w:val="0"/>
        <w:widowControl w:val="0"/>
        <w:kinsoku/>
        <w:wordWrap/>
        <w:overflowPunct/>
        <w:topLinePunct w:val="0"/>
        <w:autoSpaceDE/>
        <w:autoSpaceDN/>
        <w:bidi w:val="0"/>
        <w:spacing w:line="576" w:lineRule="atLeast"/>
        <w:ind w:left="0" w:leftChars="0" w:firstLine="640" w:firstLineChars="200"/>
        <w:textAlignment w:val="auto"/>
        <w:rPr>
          <w:rStyle w:val="27"/>
          <w:rFonts w:hint="eastAsia" w:ascii="黑体" w:hAnsi="黑体" w:eastAsia="黑体" w:cs="黑体"/>
          <w:b w:val="0"/>
          <w:bCs w:val="0"/>
          <w:color w:val="auto"/>
          <w:sz w:val="32"/>
          <w:szCs w:val="32"/>
        </w:rPr>
      </w:pPr>
      <w:r>
        <w:rPr>
          <w:rFonts w:hint="eastAsia" w:ascii="黑体" w:hAnsi="黑体" w:eastAsia="黑体" w:cs="黑体"/>
          <w:b w:val="0"/>
          <w:color w:val="auto"/>
          <w:sz w:val="32"/>
          <w:szCs w:val="32"/>
          <w:lang w:eastAsia="zh-CN"/>
        </w:rPr>
        <w:t>二、</w:t>
      </w:r>
      <w:r>
        <w:rPr>
          <w:rFonts w:hint="eastAsia" w:ascii="黑体" w:hAnsi="黑体" w:eastAsia="黑体" w:cs="黑体"/>
          <w:b w:val="0"/>
          <w:color w:val="auto"/>
          <w:sz w:val="32"/>
          <w:szCs w:val="32"/>
        </w:rPr>
        <w:t>机</w:t>
      </w:r>
      <w:r>
        <w:rPr>
          <w:rStyle w:val="27"/>
          <w:rFonts w:hint="eastAsia" w:ascii="黑体" w:hAnsi="黑体" w:eastAsia="黑体" w:cs="黑体"/>
          <w:b w:val="0"/>
          <w:bCs w:val="0"/>
          <w:color w:val="auto"/>
          <w:sz w:val="32"/>
          <w:szCs w:val="32"/>
        </w:rPr>
        <w:t>构设置</w:t>
      </w:r>
      <w:bookmarkEnd w:id="28"/>
      <w:bookmarkEnd w:id="29"/>
      <w:bookmarkEnd w:id="30"/>
      <w:bookmarkEnd w:id="31"/>
    </w:p>
    <w:p>
      <w:pPr>
        <w:pageBreakBefore w:val="0"/>
        <w:widowControl w:val="0"/>
        <w:kinsoku/>
        <w:wordWrap/>
        <w:overflowPunct/>
        <w:topLinePunct w:val="0"/>
        <w:autoSpaceDE/>
        <w:autoSpaceDN/>
        <w:bidi w:val="0"/>
        <w:spacing w:line="576" w:lineRule="atLeast"/>
        <w:ind w:left="0" w:leftChars="0" w:firstLine="640" w:firstLineChars="200"/>
        <w:textAlignment w:val="auto"/>
        <w:rPr>
          <w:rFonts w:ascii="仿宋_GB2312" w:eastAsia="仿宋_GB2312"/>
          <w:b w:val="0"/>
          <w:bCs w:val="0"/>
          <w:color w:val="auto"/>
          <w:sz w:val="32"/>
          <w:szCs w:val="32"/>
        </w:rPr>
      </w:pPr>
      <w:r>
        <w:rPr>
          <w:rFonts w:hint="eastAsia" w:ascii="仿宋_GB2312" w:eastAsia="仿宋_GB2312" w:cs="仿宋_GB2312"/>
          <w:b w:val="0"/>
          <w:bCs w:val="0"/>
          <w:color w:val="auto"/>
          <w:sz w:val="32"/>
          <w:szCs w:val="32"/>
        </w:rPr>
        <w:t>城市公用事业服务中心属</w:t>
      </w:r>
      <w:r>
        <w:rPr>
          <w:rFonts w:hint="eastAsia" w:ascii="仿宋_GB2312" w:eastAsia="仿宋_GB2312" w:cs="仿宋_GB2312"/>
          <w:b w:val="0"/>
          <w:bCs w:val="0"/>
          <w:color w:val="auto"/>
          <w:sz w:val="32"/>
          <w:szCs w:val="32"/>
          <w:lang w:eastAsia="zh-CN"/>
        </w:rPr>
        <w:t>正科级公益一类事业单位</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rPr>
        <w:t>下属二级单位0个，其中参照公务员法管理的事业单位 0个，其他事业单位0 个。</w:t>
      </w:r>
    </w:p>
    <w:p>
      <w:pPr>
        <w:widowControl/>
        <w:jc w:val="left"/>
        <w:rPr>
          <w:rFonts w:ascii="仿宋" w:hAnsi="仿宋" w:eastAsia="仿宋"/>
          <w:color w:val="auto"/>
          <w:kern w:val="0"/>
          <w:sz w:val="32"/>
          <w:szCs w:val="32"/>
        </w:rPr>
      </w:pPr>
      <w:r>
        <w:rPr>
          <w:rFonts w:ascii="仿宋" w:hAnsi="仿宋" w:eastAsia="仿宋"/>
          <w:color w:val="auto"/>
          <w:sz w:val="32"/>
          <w:szCs w:val="32"/>
        </w:rPr>
        <w:br w:type="page"/>
      </w:r>
    </w:p>
    <w:p>
      <w:pPr>
        <w:pStyle w:val="3"/>
        <w:ind w:right="440"/>
        <w:jc w:val="center"/>
        <w:rPr>
          <w:color w:val="auto"/>
        </w:rPr>
      </w:pPr>
      <w:bookmarkStart w:id="32" w:name="_Toc15377204"/>
      <w:bookmarkStart w:id="33" w:name="_Toc79163609"/>
      <w:bookmarkStart w:id="34" w:name="_Toc79163859"/>
      <w:bookmarkStart w:id="35" w:name="_Toc15396602"/>
      <w:r>
        <w:rPr>
          <w:rFonts w:hint="eastAsia" w:ascii="黑体" w:hAnsi="黑体" w:eastAsia="黑体"/>
          <w:b w:val="0"/>
          <w:color w:val="auto"/>
        </w:rPr>
        <w:t>第二部分</w:t>
      </w:r>
      <w:r>
        <w:rPr>
          <w:rFonts w:ascii="黑体" w:hAnsi="黑体" w:eastAsia="黑体"/>
          <w:color w:val="auto"/>
        </w:rPr>
        <w:t xml:space="preserve"> </w:t>
      </w:r>
      <w:r>
        <w:rPr>
          <w:rStyle w:val="26"/>
          <w:rFonts w:ascii="黑体" w:hAnsi="黑体" w:eastAsia="黑体"/>
          <w:b w:val="0"/>
          <w:bCs w:val="0"/>
          <w:color w:val="auto"/>
        </w:rPr>
        <w:t>202</w:t>
      </w:r>
      <w:r>
        <w:rPr>
          <w:rStyle w:val="26"/>
          <w:rFonts w:hint="eastAsia" w:ascii="黑体" w:hAnsi="黑体" w:eastAsia="黑体"/>
          <w:b w:val="0"/>
          <w:bCs w:val="0"/>
          <w:color w:val="auto"/>
          <w:lang w:val="en-US" w:eastAsia="zh-CN"/>
        </w:rPr>
        <w:t>1</w:t>
      </w:r>
      <w:r>
        <w:rPr>
          <w:rStyle w:val="26"/>
          <w:rFonts w:hint="eastAsia" w:ascii="黑体" w:hAnsi="黑体" w:eastAsia="黑体"/>
          <w:b w:val="0"/>
          <w:bCs w:val="0"/>
          <w:color w:val="auto"/>
        </w:rPr>
        <w:t>年度部门决算情况说明</w:t>
      </w:r>
      <w:bookmarkEnd w:id="32"/>
      <w:bookmarkEnd w:id="33"/>
      <w:bookmarkEnd w:id="34"/>
      <w:bookmarkEnd w:id="35"/>
    </w:p>
    <w:p>
      <w:pPr>
        <w:pStyle w:val="36"/>
        <w:numPr>
          <w:ilvl w:val="0"/>
          <w:numId w:val="2"/>
        </w:numPr>
        <w:spacing w:line="600" w:lineRule="exact"/>
        <w:ind w:firstLineChars="0"/>
        <w:outlineLvl w:val="1"/>
        <w:rPr>
          <w:rStyle w:val="27"/>
          <w:rFonts w:ascii="黑体" w:hAnsi="黑体" w:eastAsia="黑体"/>
          <w:b w:val="0"/>
          <w:color w:val="auto"/>
          <w:highlight w:val="none"/>
        </w:rPr>
      </w:pPr>
      <w:bookmarkStart w:id="36" w:name="_Toc15396603"/>
      <w:bookmarkStart w:id="37" w:name="_Toc79163860"/>
      <w:bookmarkStart w:id="38" w:name="_Toc79163610"/>
      <w:bookmarkStart w:id="39" w:name="_Toc15377205"/>
      <w:r>
        <w:rPr>
          <w:rFonts w:hint="eastAsia" w:ascii="黑体" w:hAnsi="黑体" w:eastAsia="黑体"/>
          <w:color w:val="auto"/>
          <w:sz w:val="32"/>
          <w:szCs w:val="32"/>
          <w:highlight w:val="none"/>
        </w:rPr>
        <w:t>收</w:t>
      </w:r>
      <w:r>
        <w:rPr>
          <w:rStyle w:val="27"/>
          <w:rFonts w:hint="eastAsia" w:ascii="黑体" w:hAnsi="黑体" w:eastAsia="黑体"/>
          <w:b w:val="0"/>
          <w:color w:val="auto"/>
          <w:highlight w:val="none"/>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auto"/>
          <w:sz w:val="32"/>
          <w:szCs w:val="32"/>
          <w:highlight w:val="none"/>
        </w:rPr>
      </w:pPr>
      <w:r>
        <w:rPr>
          <w:rFonts w:ascii="仿宋" w:hAnsi="仿宋" w:eastAsia="仿宋"/>
          <w:color w:val="auto"/>
          <w:sz w:val="32"/>
          <w:szCs w:val="32"/>
          <w:highlight w:val="none"/>
        </w:rPr>
        <w:t>202</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年度收、支总计</w:t>
      </w:r>
      <w:r>
        <w:rPr>
          <w:rFonts w:hint="eastAsia" w:ascii="仿宋" w:hAnsi="仿宋" w:eastAsia="仿宋"/>
          <w:color w:val="auto"/>
          <w:sz w:val="32"/>
          <w:szCs w:val="32"/>
          <w:highlight w:val="none"/>
          <w:lang w:val="en-US" w:eastAsia="zh-CN"/>
        </w:rPr>
        <w:t>9658.72</w:t>
      </w:r>
      <w:r>
        <w:rPr>
          <w:rFonts w:hint="eastAsia" w:ascii="仿宋" w:hAnsi="仿宋" w:eastAsia="仿宋"/>
          <w:color w:val="auto"/>
          <w:sz w:val="32"/>
          <w:szCs w:val="32"/>
          <w:highlight w:val="none"/>
        </w:rPr>
        <w:t>万元。与</w:t>
      </w:r>
      <w:r>
        <w:rPr>
          <w:rFonts w:hint="eastAsia" w:ascii="仿宋" w:hAnsi="仿宋" w:eastAsia="仿宋"/>
          <w:color w:val="auto"/>
          <w:sz w:val="32"/>
          <w:szCs w:val="32"/>
          <w:highlight w:val="none"/>
          <w:lang w:val="en-US" w:eastAsia="zh-CN"/>
        </w:rPr>
        <w:t>2020</w:t>
      </w:r>
      <w:r>
        <w:rPr>
          <w:rFonts w:hint="eastAsia" w:ascii="仿宋" w:hAnsi="仿宋" w:eastAsia="仿宋"/>
          <w:color w:val="auto"/>
          <w:sz w:val="32"/>
          <w:szCs w:val="32"/>
          <w:highlight w:val="none"/>
        </w:rPr>
        <w:t>年相比，收、支总计各增加</w:t>
      </w:r>
      <w:r>
        <w:rPr>
          <w:rFonts w:hint="eastAsia" w:ascii="仿宋" w:hAnsi="仿宋" w:eastAsia="仿宋"/>
          <w:color w:val="auto"/>
          <w:sz w:val="32"/>
          <w:szCs w:val="32"/>
          <w:highlight w:val="none"/>
          <w:lang w:val="en-US" w:eastAsia="zh-CN"/>
        </w:rPr>
        <w:t>1134.92</w:t>
      </w:r>
      <w:r>
        <w:rPr>
          <w:rFonts w:hint="eastAsia" w:ascii="仿宋" w:hAnsi="仿宋" w:eastAsia="仿宋"/>
          <w:color w:val="auto"/>
          <w:sz w:val="32"/>
          <w:szCs w:val="32"/>
          <w:highlight w:val="none"/>
        </w:rPr>
        <w:t>万元，增</w:t>
      </w:r>
      <w:r>
        <w:rPr>
          <w:rFonts w:hint="eastAsia" w:ascii="仿宋" w:hAnsi="仿宋" w:eastAsia="仿宋"/>
          <w:color w:val="auto"/>
          <w:sz w:val="32"/>
          <w:szCs w:val="32"/>
          <w:highlight w:val="none"/>
          <w:lang w:eastAsia="zh-CN"/>
        </w:rPr>
        <w:t>长</w:t>
      </w:r>
      <w:r>
        <w:rPr>
          <w:rFonts w:hint="eastAsia" w:ascii="仿宋" w:hAnsi="仿宋" w:eastAsia="仿宋"/>
          <w:color w:val="auto"/>
          <w:sz w:val="32"/>
          <w:szCs w:val="32"/>
          <w:highlight w:val="none"/>
          <w:lang w:val="en-US" w:eastAsia="zh-CN"/>
        </w:rPr>
        <w:t>13.31</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。主要变动原因是项目增加。</w:t>
      </w:r>
    </w:p>
    <w:p>
      <w:pPr>
        <w:pStyle w:val="18"/>
        <w:rPr>
          <w:rFonts w:hint="default" w:eastAsia="仿宋"/>
          <w:lang w:val="en-US" w:eastAsia="zh-CN"/>
        </w:rPr>
      </w:pPr>
      <w:r>
        <w:rPr>
          <w:rFonts w:hint="eastAsia" w:ascii="仿宋" w:hAnsi="仿宋" w:eastAsia="仿宋"/>
          <w:color w:val="auto"/>
          <w:sz w:val="32"/>
          <w:szCs w:val="32"/>
          <w:highlight w:val="none"/>
          <w:lang w:val="en-US" w:eastAsia="zh-CN"/>
        </w:rPr>
        <w:t xml:space="preserve">  </w:t>
      </w:r>
    </w:p>
    <w:p>
      <w:pPr>
        <w:pStyle w:val="7"/>
        <w:rPr>
          <w:rFonts w:hint="default" w:eastAsia="宋体"/>
          <w:color w:val="auto"/>
          <w:lang w:val="en-US" w:eastAsia="zh-CN"/>
        </w:rPr>
      </w:pPr>
      <w:r>
        <w:rPr>
          <w:rFonts w:hint="eastAsia"/>
          <w:color w:val="auto"/>
          <w:lang w:val="en-US" w:eastAsia="zh-CN"/>
        </w:rPr>
        <w:t xml:space="preserve">        </w:t>
      </w:r>
      <w:r>
        <w:rPr>
          <w:rFonts w:hint="eastAsia" w:eastAsia="宋体"/>
          <w:lang w:eastAsia="zh-CN"/>
        </w:rPr>
        <w:object>
          <v:shape id="_x0000_i1025" o:spt="75" type="#_x0000_t75" style="height:199.7pt;width:304.25pt;" o:ole="t" filled="f" o:preferrelative="t" stroked="f" coordsize="21600,21600" o:gfxdata="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">
            <v:path/>
            <v:fill on="f" focussize="0,0"/>
            <v:stroke on="f"/>
            <v:imagedata r:id="rId7" o:title=""/>
            <o:lock v:ext="edit" aspectratio="f"/>
            <w10:wrap type="none"/>
            <w10:anchorlock/>
          </v:shape>
          <o:OLEObject Type="Embed" ProgID="excel.sheet.8" ShapeID="_x0000_i1025" DrawAspect="Content" ObjectID="_1468075725" r:id="rId6">
            <o:LockedField>false</o:LockedField>
          </o:OLEObject>
        </w:object>
      </w:r>
    </w:p>
    <w:p>
      <w:pPr>
        <w:spacing w:line="600" w:lineRule="exact"/>
        <w:ind w:firstLine="1280" w:firstLineChars="400"/>
        <w:rPr>
          <w:rFonts w:ascii="仿宋_GB2312" w:eastAsia="仿宋_GB2312"/>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w:t>
      </w:r>
    </w:p>
    <w:p>
      <w:pPr>
        <w:pStyle w:val="36"/>
        <w:numPr>
          <w:ilvl w:val="0"/>
          <w:numId w:val="2"/>
        </w:numPr>
        <w:spacing w:line="600" w:lineRule="exact"/>
        <w:ind w:firstLineChars="0"/>
        <w:outlineLvl w:val="1"/>
        <w:rPr>
          <w:rStyle w:val="27"/>
          <w:rFonts w:ascii="黑体" w:hAnsi="黑体" w:eastAsia="黑体"/>
          <w:b w:val="0"/>
          <w:color w:val="auto"/>
          <w:highlight w:val="none"/>
        </w:rPr>
      </w:pPr>
      <w:bookmarkStart w:id="40" w:name="_Toc15377206"/>
      <w:bookmarkStart w:id="41" w:name="_Toc15396604"/>
      <w:bookmarkStart w:id="42" w:name="_Toc79163861"/>
      <w:bookmarkStart w:id="43" w:name="_Toc79163611"/>
      <w:r>
        <w:rPr>
          <w:rFonts w:hint="eastAsia" w:ascii="黑体" w:hAnsi="黑体" w:eastAsia="黑体"/>
          <w:color w:val="auto"/>
          <w:sz w:val="32"/>
          <w:szCs w:val="32"/>
          <w:highlight w:val="none"/>
        </w:rPr>
        <w:t>收</w:t>
      </w:r>
      <w:r>
        <w:rPr>
          <w:rStyle w:val="27"/>
          <w:rFonts w:hint="eastAsia" w:ascii="黑体" w:hAnsi="黑体" w:eastAsia="黑体"/>
          <w:b w:val="0"/>
          <w:color w:val="auto"/>
          <w:highlight w:val="none"/>
        </w:rPr>
        <w:t>入决算情况说明</w:t>
      </w:r>
      <w:bookmarkEnd w:id="40"/>
      <w:bookmarkEnd w:id="41"/>
      <w:bookmarkEnd w:id="42"/>
      <w:bookmarkEnd w:id="43"/>
    </w:p>
    <w:p>
      <w:pPr>
        <w:spacing w:line="600" w:lineRule="exact"/>
        <w:ind w:firstLine="640" w:firstLineChars="200"/>
        <w:rPr>
          <w:rFonts w:hint="eastAsia" w:ascii="仿宋" w:hAnsi="仿宋" w:eastAsia="仿宋"/>
          <w:color w:val="auto"/>
          <w:sz w:val="32"/>
          <w:szCs w:val="32"/>
          <w:highlight w:val="none"/>
        </w:rPr>
      </w:pPr>
      <w:r>
        <w:rPr>
          <w:rFonts w:ascii="仿宋" w:hAnsi="仿宋" w:eastAsia="仿宋"/>
          <w:color w:val="auto"/>
          <w:sz w:val="32"/>
          <w:szCs w:val="32"/>
          <w:highlight w:val="none"/>
        </w:rPr>
        <w:t>202</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4544.04</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3355.01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73.83</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1189.03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26.17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pStyle w:val="7"/>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r>
        <w:rPr>
          <w:rFonts w:hint="eastAsia" w:eastAsia="宋体"/>
          <w:lang w:eastAsia="zh-CN"/>
        </w:rPr>
        <w:drawing>
          <wp:inline distT="0" distB="0" distL="114300" distR="114300">
            <wp:extent cx="5337810" cy="3549650"/>
            <wp:effectExtent l="4445" t="4445" r="10795" b="8255"/>
            <wp:docPr id="1" name="图表 1"/>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920" w:firstLineChars="600"/>
        <w:rPr>
          <w:rFonts w:ascii="仿宋_GB2312" w:eastAsia="仿宋_GB2312"/>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2</w:t>
      </w:r>
      <w:r>
        <w:rPr>
          <w:rFonts w:hint="eastAsia" w:ascii="仿宋" w:hAnsi="仿宋" w:eastAsia="仿宋"/>
          <w:color w:val="auto"/>
          <w:sz w:val="32"/>
          <w:szCs w:val="32"/>
        </w:rPr>
        <w:t>：收入决算结构图）</w:t>
      </w:r>
    </w:p>
    <w:p>
      <w:pPr>
        <w:pStyle w:val="36"/>
        <w:numPr>
          <w:ilvl w:val="0"/>
          <w:numId w:val="2"/>
        </w:numPr>
        <w:spacing w:line="600" w:lineRule="exact"/>
        <w:ind w:firstLineChars="0"/>
        <w:outlineLvl w:val="1"/>
        <w:rPr>
          <w:rStyle w:val="27"/>
          <w:rFonts w:ascii="黑体" w:hAnsi="黑体" w:eastAsia="黑体"/>
          <w:b w:val="0"/>
          <w:color w:val="auto"/>
        </w:rPr>
      </w:pPr>
      <w:bookmarkStart w:id="44" w:name="_Toc79163862"/>
      <w:bookmarkStart w:id="45" w:name="_Toc15377207"/>
      <w:bookmarkStart w:id="46" w:name="_Toc79163612"/>
      <w:bookmarkStart w:id="47" w:name="_Toc15396605"/>
      <w:r>
        <w:rPr>
          <w:rFonts w:hint="eastAsia" w:ascii="黑体" w:hAnsi="黑体" w:eastAsia="黑体"/>
          <w:color w:val="auto"/>
          <w:sz w:val="32"/>
          <w:szCs w:val="32"/>
        </w:rPr>
        <w:t>支</w:t>
      </w:r>
      <w:r>
        <w:rPr>
          <w:rStyle w:val="27"/>
          <w:rFonts w:hint="eastAsia" w:ascii="黑体" w:hAnsi="黑体" w:eastAsia="黑体"/>
          <w:b w:val="0"/>
          <w:color w:val="auto"/>
        </w:rPr>
        <w:t>出决算情况说明</w:t>
      </w:r>
      <w:bookmarkEnd w:id="44"/>
      <w:bookmarkEnd w:id="45"/>
      <w:bookmarkEnd w:id="46"/>
      <w:bookmarkEnd w:id="47"/>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年本年支出合计</w:t>
      </w:r>
      <w:r>
        <w:rPr>
          <w:rFonts w:hint="eastAsia" w:ascii="仿宋_GB2312" w:eastAsia="仿宋_GB2312"/>
          <w:color w:val="auto"/>
          <w:sz w:val="32"/>
          <w:szCs w:val="32"/>
          <w:lang w:val="en-US" w:eastAsia="zh-CN"/>
        </w:rPr>
        <w:t>5114.68</w:t>
      </w:r>
      <w:r>
        <w:rPr>
          <w:rFonts w:hint="eastAsia" w:ascii="仿宋_GB2312" w:eastAsia="仿宋_GB2312"/>
          <w:color w:val="auto"/>
          <w:sz w:val="32"/>
          <w:szCs w:val="32"/>
        </w:rPr>
        <w:t>万元，其中：基本支出</w:t>
      </w:r>
      <w:r>
        <w:rPr>
          <w:rFonts w:hint="eastAsia" w:ascii="仿宋_GB2312" w:eastAsia="仿宋_GB2312"/>
          <w:color w:val="auto"/>
          <w:sz w:val="32"/>
          <w:szCs w:val="32"/>
          <w:lang w:val="en-US" w:eastAsia="zh-CN"/>
        </w:rPr>
        <w:t>579.43</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13.33</w:t>
      </w:r>
      <w:r>
        <w:rPr>
          <w:rFonts w:ascii="仿宋_GB2312" w:eastAsia="仿宋_GB2312"/>
          <w:color w:val="auto"/>
          <w:sz w:val="32"/>
          <w:szCs w:val="32"/>
        </w:rPr>
        <w:t>%</w:t>
      </w:r>
      <w:r>
        <w:rPr>
          <w:rFonts w:hint="eastAsia" w:ascii="仿宋_GB2312" w:eastAsia="仿宋_GB2312"/>
          <w:color w:val="auto"/>
          <w:sz w:val="32"/>
          <w:szCs w:val="32"/>
        </w:rPr>
        <w:t>；项目支出</w:t>
      </w:r>
      <w:r>
        <w:rPr>
          <w:rFonts w:hint="eastAsia" w:ascii="仿宋_GB2312" w:eastAsia="仿宋_GB2312"/>
          <w:color w:val="auto"/>
          <w:sz w:val="32"/>
          <w:szCs w:val="32"/>
          <w:lang w:val="en-US" w:eastAsia="zh-CN"/>
        </w:rPr>
        <w:t>4535.25</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88.67</w:t>
      </w:r>
      <w:r>
        <w:rPr>
          <w:rFonts w:ascii="仿宋_GB2312" w:eastAsia="仿宋_GB2312"/>
          <w:color w:val="auto"/>
          <w:sz w:val="32"/>
          <w:szCs w:val="32"/>
        </w:rPr>
        <w:t>%</w:t>
      </w:r>
      <w:r>
        <w:rPr>
          <w:rFonts w:hint="eastAsia" w:ascii="仿宋_GB2312" w:eastAsia="仿宋_GB2312"/>
          <w:color w:val="auto"/>
          <w:sz w:val="32"/>
          <w:szCs w:val="32"/>
        </w:rPr>
        <w:t>。</w:t>
      </w:r>
    </w:p>
    <w:p>
      <w:pPr>
        <w:pStyle w:val="7"/>
        <w:rPr>
          <w:rFonts w:hint="eastAsia"/>
          <w:color w:val="auto"/>
        </w:rPr>
      </w:pPr>
      <w:r>
        <w:rPr>
          <w:color w:val="auto"/>
        </w:rPr>
        <w:drawing>
          <wp:inline distT="0" distB="0" distL="0" distR="0">
            <wp:extent cx="4629150" cy="2378075"/>
            <wp:effectExtent l="5080" t="5080" r="13970" b="17145"/>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1280" w:firstLineChars="40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3</w:t>
      </w:r>
      <w:r>
        <w:rPr>
          <w:rFonts w:hint="eastAsia" w:ascii="仿宋" w:hAnsi="仿宋" w:eastAsia="仿宋"/>
          <w:color w:val="auto"/>
          <w:sz w:val="32"/>
          <w:szCs w:val="32"/>
        </w:rPr>
        <w:t>：支出决算结构图）</w:t>
      </w:r>
    </w:p>
    <w:p>
      <w:pPr>
        <w:spacing w:line="600" w:lineRule="exact"/>
        <w:ind w:firstLine="640" w:firstLineChars="200"/>
        <w:outlineLvl w:val="1"/>
        <w:rPr>
          <w:rStyle w:val="27"/>
          <w:rFonts w:ascii="黑体" w:hAnsi="黑体" w:eastAsia="黑体"/>
          <w:b w:val="0"/>
          <w:color w:val="auto"/>
        </w:rPr>
      </w:pPr>
      <w:bookmarkStart w:id="48" w:name="_Toc79163613"/>
      <w:bookmarkStart w:id="49" w:name="_Toc15396606"/>
      <w:bookmarkStart w:id="50" w:name="_Toc15377208"/>
      <w:bookmarkStart w:id="51" w:name="_Toc79163863"/>
      <w:r>
        <w:rPr>
          <w:rFonts w:hint="eastAsia" w:ascii="黑体" w:hAnsi="黑体" w:eastAsia="黑体"/>
          <w:color w:val="auto"/>
          <w:sz w:val="32"/>
          <w:szCs w:val="32"/>
        </w:rPr>
        <w:t>四、财</w:t>
      </w:r>
      <w:r>
        <w:rPr>
          <w:rStyle w:val="27"/>
          <w:rFonts w:hint="eastAsia" w:ascii="黑体" w:hAnsi="黑体" w:eastAsia="黑体"/>
          <w:b w:val="0"/>
          <w:color w:val="auto"/>
        </w:rPr>
        <w:t>政拨款收入支出决算总体情况说明</w:t>
      </w:r>
      <w:bookmarkEnd w:id="48"/>
      <w:bookmarkEnd w:id="49"/>
      <w:bookmarkEnd w:id="50"/>
      <w:bookmarkEnd w:id="51"/>
    </w:p>
    <w:p>
      <w:pPr>
        <w:spacing w:line="600" w:lineRule="exact"/>
        <w:ind w:firstLine="640" w:firstLineChars="200"/>
        <w:rPr>
          <w:rFonts w:hint="eastAsia"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年财政拨款收、支总计</w:t>
      </w:r>
      <w:r>
        <w:rPr>
          <w:rFonts w:hint="eastAsia" w:ascii="仿宋" w:hAnsi="仿宋" w:eastAsia="仿宋"/>
          <w:color w:val="auto"/>
          <w:sz w:val="32"/>
          <w:szCs w:val="32"/>
          <w:lang w:val="en-US" w:eastAsia="zh-CN"/>
        </w:rPr>
        <w:t>9658.72</w:t>
      </w:r>
      <w:r>
        <w:rPr>
          <w:rFonts w:hint="eastAsia" w:ascii="仿宋" w:hAnsi="仿宋" w:eastAsia="仿宋"/>
          <w:color w:val="auto"/>
          <w:sz w:val="32"/>
          <w:szCs w:val="32"/>
        </w:rPr>
        <w:t>万元。与</w:t>
      </w: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年相比，财政拨款收、支总计各增加</w:t>
      </w:r>
      <w:r>
        <w:rPr>
          <w:rFonts w:hint="eastAsia" w:ascii="仿宋" w:hAnsi="仿宋" w:eastAsia="仿宋"/>
          <w:color w:val="auto"/>
          <w:sz w:val="32"/>
          <w:szCs w:val="32"/>
          <w:lang w:val="en-US" w:eastAsia="zh-CN"/>
        </w:rPr>
        <w:t>1134.92</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13.31</w:t>
      </w:r>
      <w:r>
        <w:rPr>
          <w:rFonts w:ascii="仿宋" w:hAnsi="仿宋" w:eastAsia="仿宋"/>
          <w:color w:val="auto"/>
          <w:sz w:val="32"/>
          <w:szCs w:val="32"/>
        </w:rPr>
        <w:t>%</w:t>
      </w:r>
      <w:r>
        <w:rPr>
          <w:rFonts w:hint="eastAsia" w:ascii="仿宋" w:hAnsi="仿宋" w:eastAsia="仿宋"/>
          <w:color w:val="auto"/>
          <w:sz w:val="32"/>
          <w:szCs w:val="32"/>
        </w:rPr>
        <w:t>。主要变动原因是项目增加。</w:t>
      </w:r>
    </w:p>
    <w:p>
      <w:pPr>
        <w:pStyle w:val="7"/>
        <w:rPr>
          <w:color w:val="auto"/>
        </w:rPr>
      </w:pPr>
      <w:r>
        <w:rPr>
          <w:color w:val="auto"/>
        </w:rPr>
        <w:drawing>
          <wp:inline distT="0" distB="0" distL="0" distR="0">
            <wp:extent cx="5400675" cy="2724150"/>
            <wp:effectExtent l="4445" t="4445" r="5080" b="14605"/>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4</w:t>
      </w:r>
      <w:r>
        <w:rPr>
          <w:rFonts w:hint="eastAsia" w:ascii="仿宋" w:hAnsi="仿宋" w:eastAsia="仿宋"/>
          <w:color w:val="auto"/>
          <w:sz w:val="32"/>
          <w:szCs w:val="32"/>
        </w:rPr>
        <w:t>：财政拨款收、支决算总计变动情况）</w:t>
      </w:r>
    </w:p>
    <w:p>
      <w:pPr>
        <w:spacing w:line="600" w:lineRule="exact"/>
        <w:ind w:firstLine="640" w:firstLineChars="200"/>
        <w:outlineLvl w:val="1"/>
        <w:rPr>
          <w:rStyle w:val="27"/>
          <w:rFonts w:ascii="黑体" w:hAnsi="黑体" w:eastAsia="黑体"/>
          <w:b w:val="0"/>
          <w:color w:val="auto"/>
        </w:rPr>
      </w:pPr>
      <w:bookmarkStart w:id="52" w:name="_Toc79163614"/>
      <w:bookmarkStart w:id="53" w:name="_Toc79163864"/>
      <w:bookmarkStart w:id="54" w:name="_Toc15396607"/>
      <w:bookmarkStart w:id="55" w:name="_Toc15377209"/>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7"/>
          <w:rFonts w:hint="eastAsia" w:ascii="黑体" w:hAnsi="黑体" w:eastAsia="黑体"/>
          <w:b w:val="0"/>
          <w:color w:val="auto"/>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auto"/>
          <w:sz w:val="32"/>
          <w:szCs w:val="32"/>
        </w:rPr>
      </w:pPr>
      <w:bookmarkStart w:id="56" w:name="_Toc79163865"/>
      <w:bookmarkStart w:id="57" w:name="_Toc15377210"/>
      <w:bookmarkStart w:id="58" w:name="_Toc79163615"/>
      <w:r>
        <w:rPr>
          <w:rFonts w:hint="eastAsia" w:ascii="仿宋" w:hAnsi="仿宋" w:eastAsia="仿宋"/>
          <w:b/>
          <w:color w:val="auto"/>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3925.65</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76.75</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年相比，一般公共预算财政拨款增加</w:t>
      </w:r>
      <w:r>
        <w:rPr>
          <w:rFonts w:hint="eastAsia" w:ascii="仿宋" w:hAnsi="仿宋" w:eastAsia="仿宋"/>
          <w:color w:val="auto"/>
          <w:sz w:val="32"/>
          <w:szCs w:val="32"/>
          <w:lang w:val="en-US" w:eastAsia="zh-CN"/>
        </w:rPr>
        <w:t>299.65</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8.26</w:t>
      </w:r>
      <w:r>
        <w:rPr>
          <w:rFonts w:ascii="仿宋" w:hAnsi="仿宋" w:eastAsia="仿宋"/>
          <w:color w:val="auto"/>
          <w:sz w:val="32"/>
          <w:szCs w:val="32"/>
        </w:rPr>
        <w:t>%</w:t>
      </w:r>
      <w:r>
        <w:rPr>
          <w:rFonts w:hint="eastAsia" w:ascii="仿宋" w:hAnsi="仿宋" w:eastAsia="仿宋"/>
          <w:color w:val="auto"/>
          <w:sz w:val="32"/>
          <w:szCs w:val="32"/>
        </w:rPr>
        <w:t>。主要变动原因是项目增加。</w:t>
      </w:r>
    </w:p>
    <w:p>
      <w:pPr>
        <w:pStyle w:val="7"/>
        <w:rPr>
          <w:color w:val="auto"/>
        </w:rPr>
      </w:pPr>
      <w:r>
        <w:rPr>
          <w:color w:val="auto"/>
        </w:rPr>
        <w:drawing>
          <wp:inline distT="0" distB="0" distL="0" distR="0">
            <wp:extent cx="4660900" cy="2802255"/>
            <wp:effectExtent l="4445" t="4445" r="20955" b="1270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5</w:t>
      </w:r>
      <w:r>
        <w:rPr>
          <w:rFonts w:hint="eastAsia" w:ascii="仿宋" w:hAnsi="仿宋" w:eastAsia="仿宋"/>
          <w:color w:val="auto"/>
          <w:sz w:val="32"/>
          <w:szCs w:val="32"/>
        </w:rPr>
        <w:t>：一般公共预算财政拨款支出决算变动情况）</w:t>
      </w:r>
    </w:p>
    <w:p>
      <w:pPr>
        <w:spacing w:line="600" w:lineRule="exact"/>
        <w:ind w:firstLine="642" w:firstLineChars="200"/>
        <w:outlineLvl w:val="2"/>
        <w:rPr>
          <w:rFonts w:ascii="仿宋" w:hAnsi="仿宋" w:eastAsia="仿宋"/>
          <w:b/>
          <w:color w:val="auto"/>
          <w:sz w:val="32"/>
          <w:szCs w:val="32"/>
        </w:rPr>
      </w:pPr>
      <w:bookmarkStart w:id="59" w:name="_Toc15377211"/>
      <w:bookmarkStart w:id="60" w:name="_Toc79163866"/>
      <w:bookmarkStart w:id="61" w:name="_Toc79163616"/>
      <w:r>
        <w:rPr>
          <w:rFonts w:hint="eastAsia" w:ascii="仿宋" w:hAnsi="仿宋" w:eastAsia="仿宋"/>
          <w:b/>
          <w:color w:val="auto"/>
          <w:sz w:val="32"/>
          <w:szCs w:val="32"/>
        </w:rPr>
        <w:t>（二）一般公共预算财政拨款支出决算结构情况</w:t>
      </w:r>
      <w:bookmarkEnd w:id="59"/>
      <w:bookmarkEnd w:id="60"/>
      <w:bookmarkEnd w:id="61"/>
    </w:p>
    <w:p>
      <w:pPr>
        <w:spacing w:line="600" w:lineRule="exact"/>
        <w:ind w:firstLine="640" w:firstLineChars="200"/>
        <w:rPr>
          <w:rFonts w:hint="eastAsia"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21</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3925.65</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bCs/>
          <w:color w:val="auto"/>
          <w:sz w:val="32"/>
          <w:szCs w:val="32"/>
          <w:lang w:eastAsia="zh-CN"/>
        </w:rPr>
        <w:t>社会保障和就业支出</w:t>
      </w:r>
      <w:r>
        <w:rPr>
          <w:rFonts w:hint="eastAsia" w:ascii="仿宋" w:hAnsi="仿宋" w:eastAsia="仿宋"/>
          <w:b/>
          <w:color w:val="auto"/>
          <w:sz w:val="32"/>
          <w:szCs w:val="32"/>
        </w:rPr>
        <w:t>（类）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50.19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1.28</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eastAsia="zh-CN"/>
        </w:rPr>
        <w:t>卫生健康支出</w:t>
      </w:r>
      <w:r>
        <w:rPr>
          <w:rFonts w:hint="eastAsia" w:ascii="仿宋" w:hAnsi="仿宋" w:eastAsia="仿宋"/>
          <w:b/>
          <w:color w:val="auto"/>
          <w:sz w:val="32"/>
          <w:szCs w:val="32"/>
        </w:rPr>
        <w:t>（类）</w:t>
      </w:r>
      <w:r>
        <w:rPr>
          <w:rFonts w:hint="eastAsia" w:ascii="仿宋" w:hAnsi="仿宋" w:eastAsia="仿宋"/>
          <w:color w:val="auto"/>
          <w:sz w:val="32"/>
          <w:szCs w:val="32"/>
          <w:lang w:val="en-US" w:eastAsia="zh-CN"/>
        </w:rPr>
        <w:t>24.95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0.64</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eastAsia="zh-CN"/>
        </w:rPr>
        <w:t>节能环保支出</w:t>
      </w:r>
      <w:r>
        <w:rPr>
          <w:rFonts w:hint="eastAsia" w:ascii="仿宋" w:hAnsi="仿宋" w:eastAsia="仿宋"/>
          <w:b/>
          <w:color w:val="auto"/>
          <w:sz w:val="32"/>
          <w:szCs w:val="32"/>
        </w:rPr>
        <w:t>（类）</w:t>
      </w:r>
      <w:r>
        <w:rPr>
          <w:rFonts w:hint="eastAsia" w:ascii="仿宋" w:hAnsi="仿宋" w:eastAsia="仿宋"/>
          <w:color w:val="auto"/>
          <w:sz w:val="32"/>
          <w:szCs w:val="32"/>
        </w:rPr>
        <w:t>支出</w:t>
      </w:r>
      <w:r>
        <w:rPr>
          <w:rFonts w:hint="eastAsia" w:ascii="仿宋" w:hAnsi="仿宋" w:eastAsia="仿宋"/>
          <w:b w:val="0"/>
          <w:bCs/>
          <w:color w:val="auto"/>
          <w:sz w:val="32"/>
          <w:szCs w:val="32"/>
          <w:lang w:val="en-US" w:eastAsia="zh-CN"/>
        </w:rPr>
        <w:t>2769.2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70.54</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lang w:eastAsia="zh-CN"/>
        </w:rPr>
        <w:t>城乡社区支出</w:t>
      </w:r>
      <w:r>
        <w:rPr>
          <w:rFonts w:hint="eastAsia" w:ascii="仿宋" w:hAnsi="仿宋" w:eastAsia="仿宋"/>
          <w:b/>
          <w:bCs/>
          <w:color w:val="auto"/>
          <w:sz w:val="32"/>
          <w:szCs w:val="32"/>
        </w:rPr>
        <w:t>（类）支出</w:t>
      </w:r>
      <w:r>
        <w:rPr>
          <w:rFonts w:hint="eastAsia" w:ascii="仿宋" w:hAnsi="仿宋" w:eastAsia="仿宋"/>
          <w:b w:val="0"/>
          <w:bCs w:val="0"/>
          <w:color w:val="auto"/>
          <w:sz w:val="32"/>
          <w:szCs w:val="32"/>
          <w:lang w:val="en-US" w:eastAsia="zh-CN"/>
        </w:rPr>
        <w:t>1044.74</w:t>
      </w:r>
      <w:r>
        <w:rPr>
          <w:rFonts w:hint="eastAsia" w:ascii="仿宋" w:hAnsi="仿宋" w:eastAsia="仿宋"/>
          <w:b w:val="0"/>
          <w:bCs w:val="0"/>
          <w:color w:val="auto"/>
          <w:sz w:val="32"/>
          <w:szCs w:val="32"/>
        </w:rPr>
        <w:t>万元</w:t>
      </w:r>
      <w:r>
        <w:rPr>
          <w:rFonts w:hint="eastAsia" w:ascii="仿宋" w:hAnsi="仿宋" w:eastAsia="仿宋"/>
          <w:b/>
          <w:bCs/>
          <w:color w:val="auto"/>
          <w:sz w:val="32"/>
          <w:szCs w:val="32"/>
        </w:rPr>
        <w:t>，</w:t>
      </w:r>
      <w:r>
        <w:rPr>
          <w:rFonts w:hint="eastAsia" w:ascii="仿宋" w:hAnsi="仿宋" w:eastAsia="仿宋"/>
          <w:b w:val="0"/>
          <w:bCs w:val="0"/>
          <w:color w:val="auto"/>
          <w:sz w:val="32"/>
          <w:szCs w:val="32"/>
        </w:rPr>
        <w:t>占</w:t>
      </w:r>
      <w:r>
        <w:rPr>
          <w:rFonts w:hint="eastAsia" w:ascii="仿宋" w:hAnsi="仿宋" w:eastAsia="仿宋"/>
          <w:b w:val="0"/>
          <w:bCs w:val="0"/>
          <w:color w:val="auto"/>
          <w:sz w:val="32"/>
          <w:szCs w:val="32"/>
          <w:lang w:val="en-US" w:eastAsia="zh-CN"/>
        </w:rPr>
        <w:t>26.61</w:t>
      </w:r>
      <w:r>
        <w:rPr>
          <w:rFonts w:ascii="仿宋" w:hAnsi="仿宋" w:eastAsia="仿宋"/>
          <w:b w:val="0"/>
          <w:bCs w:val="0"/>
          <w:color w:val="auto"/>
          <w:sz w:val="32"/>
          <w:szCs w:val="32"/>
        </w:rPr>
        <w:t>%</w:t>
      </w:r>
      <w:r>
        <w:rPr>
          <w:rFonts w:hint="eastAsia" w:ascii="仿宋" w:hAnsi="仿宋" w:eastAsia="仿宋"/>
          <w:b w:val="0"/>
          <w:bCs w:val="0"/>
          <w:color w:val="auto"/>
          <w:sz w:val="32"/>
          <w:szCs w:val="32"/>
        </w:rPr>
        <w:t>；</w:t>
      </w:r>
      <w:r>
        <w:rPr>
          <w:rFonts w:hint="eastAsia" w:ascii="仿宋" w:hAnsi="仿宋" w:eastAsia="仿宋"/>
          <w:b/>
          <w:color w:val="auto"/>
          <w:sz w:val="32"/>
          <w:szCs w:val="32"/>
          <w:lang w:eastAsia="zh-CN"/>
        </w:rPr>
        <w:t>农林水支出</w:t>
      </w:r>
      <w:r>
        <w:rPr>
          <w:rFonts w:hint="eastAsia" w:ascii="仿宋" w:hAnsi="仿宋" w:eastAsia="仿宋"/>
          <w:b/>
          <w:color w:val="auto"/>
          <w:sz w:val="32"/>
          <w:szCs w:val="32"/>
        </w:rPr>
        <w:t>（类）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0.84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0.02</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lang w:eastAsia="zh-CN"/>
        </w:rPr>
        <w:t>住房保障支出</w:t>
      </w:r>
      <w:r>
        <w:rPr>
          <w:rFonts w:hint="eastAsia" w:ascii="仿宋" w:hAnsi="仿宋" w:eastAsia="仿宋"/>
          <w:color w:val="auto"/>
          <w:sz w:val="32"/>
          <w:szCs w:val="32"/>
          <w:lang w:val="en-US" w:eastAsia="zh-CN"/>
        </w:rPr>
        <w:t>35.73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0.91</w:t>
      </w:r>
      <w:r>
        <w:rPr>
          <w:rFonts w:ascii="仿宋" w:hAnsi="仿宋" w:eastAsia="仿宋"/>
          <w:color w:val="auto"/>
          <w:sz w:val="32"/>
          <w:szCs w:val="32"/>
        </w:rPr>
        <w:t>%</w:t>
      </w:r>
      <w:r>
        <w:rPr>
          <w:rFonts w:hint="eastAsia" w:ascii="仿宋" w:hAnsi="仿宋" w:eastAsia="仿宋"/>
          <w:color w:val="auto"/>
          <w:sz w:val="32"/>
          <w:szCs w:val="32"/>
          <w:lang w:eastAsia="zh-CN"/>
        </w:rPr>
        <w:t>。</w:t>
      </w:r>
    </w:p>
    <w:p>
      <w:pPr>
        <w:pStyle w:val="7"/>
        <w:rPr>
          <w:color w:val="auto"/>
        </w:rPr>
      </w:pPr>
      <w:r>
        <w:rPr>
          <w:color w:val="auto"/>
        </w:rPr>
        <w:drawing>
          <wp:inline distT="0" distB="0" distL="0" distR="0">
            <wp:extent cx="5071745" cy="2399665"/>
            <wp:effectExtent l="5080" t="4445" r="9525" b="15240"/>
            <wp:docPr id="6" name="图表 1" descr="7b0a202020202263686172745265734964223a20223837333737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（图6：一般公共预算财政拨款支出决算结构）</w:t>
      </w:r>
    </w:p>
    <w:p>
      <w:pPr>
        <w:spacing w:line="600" w:lineRule="exact"/>
        <w:ind w:firstLine="321" w:firstLineChars="100"/>
        <w:outlineLvl w:val="2"/>
        <w:rPr>
          <w:rFonts w:ascii="仿宋" w:hAnsi="仿宋" w:eastAsia="仿宋"/>
          <w:b/>
          <w:color w:val="auto"/>
          <w:sz w:val="32"/>
          <w:szCs w:val="32"/>
        </w:rPr>
      </w:pPr>
      <w:bookmarkStart w:id="62" w:name="_Toc79163617"/>
      <w:bookmarkStart w:id="63" w:name="_Toc15377212"/>
      <w:bookmarkStart w:id="64" w:name="_Toc79163867"/>
      <w:r>
        <w:rPr>
          <w:rFonts w:hint="eastAsia" w:ascii="仿宋" w:hAnsi="仿宋" w:eastAsia="仿宋"/>
          <w:b/>
          <w:color w:val="auto"/>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color w:val="auto"/>
          <w:sz w:val="32"/>
          <w:szCs w:val="32"/>
        </w:rPr>
      </w:pPr>
      <w:bookmarkStart w:id="65" w:name="_Toc15377213"/>
      <w:bookmarkStart w:id="66" w:name="_Toc15378460"/>
      <w:bookmarkStart w:id="67" w:name="_Toc15377444"/>
      <w:r>
        <w:rPr>
          <w:rFonts w:ascii="仿宋_GB2312" w:eastAsia="仿宋_GB2312"/>
          <w:b/>
          <w:bCs/>
          <w:color w:val="auto"/>
          <w:sz w:val="32"/>
          <w:szCs w:val="32"/>
        </w:rPr>
        <w:t>202</w:t>
      </w:r>
      <w:r>
        <w:rPr>
          <w:rFonts w:hint="eastAsia" w:ascii="仿宋_GB2312" w:eastAsia="仿宋_GB2312"/>
          <w:b/>
          <w:bCs/>
          <w:color w:val="auto"/>
          <w:sz w:val="32"/>
          <w:szCs w:val="32"/>
          <w:lang w:val="en-US" w:eastAsia="zh-CN"/>
        </w:rPr>
        <w:t>1</w:t>
      </w:r>
      <w:r>
        <w:rPr>
          <w:rFonts w:hint="eastAsia" w:ascii="仿宋_GB2312" w:eastAsia="仿宋_GB2312"/>
          <w:b/>
          <w:bCs/>
          <w:color w:val="auto"/>
          <w:sz w:val="32"/>
          <w:szCs w:val="32"/>
        </w:rPr>
        <w:t>年一般公共预算支出决算数为</w:t>
      </w:r>
      <w:r>
        <w:rPr>
          <w:rFonts w:hint="eastAsia" w:ascii="仿宋" w:hAnsi="仿宋" w:eastAsia="仿宋"/>
          <w:b/>
          <w:bCs/>
          <w:color w:val="auto"/>
          <w:sz w:val="32"/>
          <w:szCs w:val="32"/>
          <w:lang w:val="en-US" w:eastAsia="zh-CN"/>
        </w:rPr>
        <w:t>3925.65</w:t>
      </w:r>
      <w:r>
        <w:rPr>
          <w:rFonts w:hint="eastAsia" w:ascii="仿宋" w:hAnsi="仿宋" w:eastAsia="仿宋"/>
          <w:b/>
          <w:bCs/>
          <w:color w:val="auto"/>
          <w:sz w:val="32"/>
          <w:szCs w:val="32"/>
          <w:lang w:eastAsia="zh-CN"/>
        </w:rPr>
        <w:t>万元</w:t>
      </w:r>
      <w:r>
        <w:rPr>
          <w:rFonts w:hint="eastAsia" w:ascii="仿宋_GB2312" w:eastAsia="仿宋_GB2312"/>
          <w:b/>
          <w:bCs/>
          <w:color w:val="auto"/>
          <w:sz w:val="32"/>
          <w:szCs w:val="32"/>
        </w:rPr>
        <w:t>，完成预算</w:t>
      </w:r>
      <w:r>
        <w:rPr>
          <w:rFonts w:hint="eastAsia" w:ascii="仿宋_GB2312" w:eastAsia="仿宋_GB2312"/>
          <w:b/>
          <w:bCs/>
          <w:color w:val="auto"/>
          <w:sz w:val="32"/>
          <w:szCs w:val="32"/>
          <w:lang w:val="en-US" w:eastAsia="zh-CN"/>
        </w:rPr>
        <w:t>100</w:t>
      </w:r>
      <w:r>
        <w:rPr>
          <w:rFonts w:ascii="仿宋_GB2312" w:eastAsia="仿宋_GB2312"/>
          <w:b/>
          <w:bCs/>
          <w:color w:val="auto"/>
          <w:sz w:val="32"/>
          <w:szCs w:val="32"/>
        </w:rPr>
        <w:t>%</w:t>
      </w:r>
      <w:r>
        <w:rPr>
          <w:rFonts w:hint="eastAsia" w:ascii="仿宋_GB2312" w:eastAsia="仿宋_GB2312"/>
          <w:b/>
          <w:bCs/>
          <w:color w:val="auto"/>
          <w:sz w:val="32"/>
          <w:szCs w:val="32"/>
        </w:rPr>
        <w:t>。其中：</w:t>
      </w:r>
      <w:bookmarkEnd w:id="65"/>
      <w:bookmarkEnd w:id="66"/>
      <w:bookmarkEnd w:id="67"/>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textAlignment w:val="auto"/>
        <w:rPr>
          <w:rStyle w:val="23"/>
          <w:rFonts w:hint="eastAsia" w:ascii="仿宋" w:hAnsi="仿宋" w:eastAsia="仿宋"/>
          <w:b w:val="0"/>
          <w:bCs/>
          <w:color w:val="auto"/>
          <w:sz w:val="32"/>
          <w:szCs w:val="32"/>
        </w:rPr>
      </w:pPr>
      <w:r>
        <w:rPr>
          <w:rFonts w:hint="eastAsia" w:ascii="仿宋" w:hAnsi="仿宋" w:eastAsia="仿宋"/>
          <w:b/>
          <w:bCs/>
          <w:color w:val="auto"/>
          <w:sz w:val="32"/>
          <w:szCs w:val="32"/>
          <w:lang w:val="en-US" w:eastAsia="zh-CN"/>
        </w:rPr>
        <w:t>1.</w:t>
      </w:r>
      <w:r>
        <w:rPr>
          <w:rFonts w:hint="eastAsia" w:ascii="仿宋" w:hAnsi="仿宋" w:eastAsia="仿宋"/>
          <w:b/>
          <w:bCs/>
          <w:color w:val="auto"/>
          <w:sz w:val="32"/>
          <w:szCs w:val="32"/>
          <w:lang w:eastAsia="zh-CN"/>
        </w:rPr>
        <w:t>社会保障和就业支出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行政事业单位养老支出</w:t>
      </w:r>
      <w:r>
        <w:rPr>
          <w:rStyle w:val="23"/>
          <w:rFonts w:hint="eastAsia" w:ascii="仿宋" w:hAnsi="仿宋" w:eastAsia="仿宋"/>
          <w:bCs/>
          <w:color w:val="auto"/>
          <w:sz w:val="32"/>
          <w:szCs w:val="32"/>
        </w:rPr>
        <w:t>（款）</w:t>
      </w:r>
      <w:r>
        <w:rPr>
          <w:rStyle w:val="23"/>
          <w:rFonts w:hint="eastAsia" w:ascii="仿宋" w:hAnsi="仿宋" w:eastAsia="仿宋"/>
          <w:bCs/>
          <w:color w:val="auto"/>
          <w:sz w:val="32"/>
          <w:szCs w:val="32"/>
          <w:lang w:eastAsia="zh-CN"/>
        </w:rPr>
        <w:t>机关事业单位基本养老保险缴费支出</w:t>
      </w:r>
      <w:r>
        <w:rPr>
          <w:rStyle w:val="23"/>
          <w:rFonts w:hint="eastAsia" w:ascii="仿宋" w:hAnsi="仿宋" w:eastAsia="仿宋"/>
          <w:bCs/>
          <w:color w:val="auto"/>
          <w:sz w:val="32"/>
          <w:szCs w:val="32"/>
        </w:rPr>
        <w:t>（项）</w:t>
      </w:r>
      <w:r>
        <w:rPr>
          <w:rStyle w:val="23"/>
          <w:rFonts w:ascii="仿宋" w:hAnsi="仿宋" w:eastAsia="仿宋"/>
          <w:bCs/>
          <w:color w:val="auto"/>
          <w:sz w:val="32"/>
          <w:szCs w:val="32"/>
        </w:rPr>
        <w:t>:</w:t>
      </w:r>
      <w:r>
        <w:rPr>
          <w:rStyle w:val="23"/>
          <w:rFonts w:ascii="仿宋" w:hAnsi="仿宋" w:eastAsia="仿宋"/>
          <w:b w:val="0"/>
          <w:bCs/>
          <w:color w:val="auto"/>
          <w:sz w:val="32"/>
          <w:szCs w:val="32"/>
        </w:rPr>
        <w:t xml:space="preserve"> </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38.14</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textAlignment w:val="auto"/>
        <w:rPr>
          <w:rFonts w:hint="default" w:eastAsia="宋体"/>
          <w:color w:val="auto"/>
          <w:lang w:val="en-US" w:eastAsia="zh-CN"/>
        </w:rPr>
      </w:pPr>
      <w:r>
        <w:rPr>
          <w:rFonts w:hint="eastAsia" w:ascii="仿宋" w:hAnsi="仿宋" w:eastAsia="仿宋"/>
          <w:b/>
          <w:bCs/>
          <w:color w:val="auto"/>
          <w:sz w:val="32"/>
          <w:szCs w:val="32"/>
          <w:lang w:val="en-US" w:eastAsia="zh-CN"/>
        </w:rPr>
        <w:t>2.</w:t>
      </w:r>
      <w:r>
        <w:rPr>
          <w:rFonts w:hint="eastAsia" w:ascii="仿宋" w:hAnsi="仿宋" w:eastAsia="仿宋"/>
          <w:b/>
          <w:bCs/>
          <w:color w:val="auto"/>
          <w:sz w:val="32"/>
          <w:szCs w:val="32"/>
          <w:lang w:eastAsia="zh-CN"/>
        </w:rPr>
        <w:t>社会保障和就业支出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行政事业单位养老支出</w:t>
      </w:r>
      <w:r>
        <w:rPr>
          <w:rStyle w:val="23"/>
          <w:rFonts w:hint="eastAsia" w:ascii="仿宋" w:hAnsi="仿宋" w:eastAsia="仿宋"/>
          <w:bCs/>
          <w:color w:val="auto"/>
          <w:sz w:val="32"/>
          <w:szCs w:val="32"/>
        </w:rPr>
        <w:t>（款）</w:t>
      </w:r>
      <w:r>
        <w:rPr>
          <w:rStyle w:val="23"/>
          <w:rFonts w:hint="eastAsia" w:ascii="仿宋" w:hAnsi="仿宋" w:eastAsia="仿宋"/>
          <w:bCs/>
          <w:color w:val="auto"/>
          <w:sz w:val="32"/>
          <w:szCs w:val="32"/>
          <w:lang w:eastAsia="zh-CN"/>
        </w:rPr>
        <w:t>机关事业单位职业年金缴费支出</w:t>
      </w:r>
      <w:r>
        <w:rPr>
          <w:rStyle w:val="23"/>
          <w:rFonts w:hint="eastAsia" w:ascii="仿宋" w:hAnsi="仿宋" w:eastAsia="仿宋"/>
          <w:bCs/>
          <w:color w:val="auto"/>
          <w:sz w:val="32"/>
          <w:szCs w:val="32"/>
        </w:rPr>
        <w:t>（项）</w:t>
      </w:r>
      <w:r>
        <w:rPr>
          <w:rStyle w:val="23"/>
          <w:rFonts w:ascii="仿宋" w:hAnsi="仿宋" w:eastAsia="仿宋"/>
          <w:bCs/>
          <w:color w:val="auto"/>
          <w:sz w:val="32"/>
          <w:szCs w:val="32"/>
        </w:rPr>
        <w:t>:</w:t>
      </w:r>
      <w:r>
        <w:rPr>
          <w:rStyle w:val="23"/>
          <w:rFonts w:ascii="仿宋" w:hAnsi="仿宋" w:eastAsia="仿宋"/>
          <w:b w:val="0"/>
          <w:bCs/>
          <w:color w:val="auto"/>
          <w:sz w:val="32"/>
          <w:szCs w:val="32"/>
        </w:rPr>
        <w:t xml:space="preserve"> </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12.05</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p>
    <w:p>
      <w:pPr>
        <w:spacing w:line="600" w:lineRule="exact"/>
        <w:ind w:firstLine="642" w:firstLineChars="200"/>
        <w:rPr>
          <w:rFonts w:ascii="仿宋" w:hAnsi="仿宋" w:eastAsia="仿宋"/>
          <w:b/>
          <w:color w:val="auto"/>
          <w:sz w:val="32"/>
          <w:szCs w:val="32"/>
        </w:rPr>
      </w:pPr>
      <w:r>
        <w:rPr>
          <w:rStyle w:val="23"/>
          <w:rFonts w:hint="eastAsia" w:ascii="仿宋" w:hAnsi="仿宋" w:eastAsia="仿宋"/>
          <w:bCs/>
          <w:color w:val="auto"/>
          <w:sz w:val="32"/>
          <w:szCs w:val="32"/>
          <w:lang w:val="en-US" w:eastAsia="zh-CN"/>
        </w:rPr>
        <w:t>3.</w:t>
      </w:r>
      <w:r>
        <w:rPr>
          <w:rStyle w:val="23"/>
          <w:rFonts w:hint="eastAsia" w:ascii="仿宋" w:hAnsi="仿宋" w:eastAsia="仿宋"/>
          <w:bCs/>
          <w:color w:val="auto"/>
          <w:sz w:val="32"/>
          <w:szCs w:val="32"/>
          <w:lang w:eastAsia="zh-CN"/>
        </w:rPr>
        <w:t>卫生健康支出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行政职业单位医疗</w:t>
      </w:r>
      <w:r>
        <w:rPr>
          <w:rStyle w:val="23"/>
          <w:rFonts w:hint="eastAsia" w:ascii="仿宋" w:hAnsi="仿宋" w:eastAsia="仿宋"/>
          <w:bCs/>
          <w:color w:val="auto"/>
          <w:sz w:val="32"/>
          <w:szCs w:val="32"/>
        </w:rPr>
        <w:t>（款）</w:t>
      </w:r>
      <w:r>
        <w:rPr>
          <w:rStyle w:val="23"/>
          <w:rFonts w:hint="eastAsia" w:ascii="仿宋" w:hAnsi="仿宋" w:eastAsia="仿宋"/>
          <w:bCs/>
          <w:color w:val="auto"/>
          <w:sz w:val="32"/>
          <w:szCs w:val="32"/>
          <w:lang w:eastAsia="zh-CN"/>
        </w:rPr>
        <w:t>事业单位医疗</w:t>
      </w:r>
      <w:r>
        <w:rPr>
          <w:rStyle w:val="23"/>
          <w:rFonts w:hint="eastAsia" w:ascii="仿宋" w:hAnsi="仿宋" w:eastAsia="仿宋"/>
          <w:bCs/>
          <w:color w:val="auto"/>
          <w:sz w:val="32"/>
          <w:szCs w:val="32"/>
        </w:rPr>
        <w:t>（项）</w:t>
      </w:r>
      <w:r>
        <w:rPr>
          <w:rStyle w:val="23"/>
          <w:rFonts w:ascii="仿宋" w:hAnsi="仿宋" w:eastAsia="仿宋"/>
          <w:bCs/>
          <w:color w:val="auto"/>
          <w:sz w:val="32"/>
          <w:szCs w:val="32"/>
        </w:rPr>
        <w:t>:</w:t>
      </w:r>
      <w:r>
        <w:rPr>
          <w:rStyle w:val="23"/>
          <w:rFonts w:ascii="仿宋" w:hAnsi="仿宋" w:eastAsia="仿宋"/>
          <w:b w:val="0"/>
          <w:bCs/>
          <w:color w:val="auto"/>
          <w:sz w:val="32"/>
          <w:szCs w:val="32"/>
        </w:rPr>
        <w:t xml:space="preserve"> </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24.95</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p>
    <w:p>
      <w:pPr>
        <w:spacing w:line="600" w:lineRule="exact"/>
        <w:ind w:firstLine="642" w:firstLineChars="200"/>
        <w:rPr>
          <w:rFonts w:ascii="仿宋" w:hAnsi="仿宋" w:eastAsia="仿宋"/>
          <w:b/>
          <w:color w:val="auto"/>
          <w:sz w:val="32"/>
          <w:szCs w:val="32"/>
        </w:rPr>
      </w:pPr>
      <w:r>
        <w:rPr>
          <w:rStyle w:val="23"/>
          <w:rFonts w:hint="eastAsia" w:ascii="仿宋" w:hAnsi="仿宋" w:eastAsia="仿宋"/>
          <w:bCs/>
          <w:color w:val="auto"/>
          <w:sz w:val="32"/>
          <w:szCs w:val="32"/>
          <w:lang w:val="en-US" w:eastAsia="zh-CN"/>
        </w:rPr>
        <w:t>4</w:t>
      </w:r>
      <w:r>
        <w:rPr>
          <w:rStyle w:val="23"/>
          <w:rFonts w:ascii="仿宋" w:hAnsi="仿宋" w:eastAsia="仿宋"/>
          <w:bCs/>
          <w:color w:val="auto"/>
          <w:sz w:val="32"/>
          <w:szCs w:val="32"/>
        </w:rPr>
        <w:t>.</w:t>
      </w:r>
      <w:r>
        <w:rPr>
          <w:rStyle w:val="23"/>
          <w:rFonts w:hint="eastAsia" w:ascii="仿宋" w:hAnsi="仿宋" w:eastAsia="仿宋"/>
          <w:bCs/>
          <w:color w:val="auto"/>
          <w:sz w:val="32"/>
          <w:szCs w:val="32"/>
          <w:lang w:eastAsia="zh-CN"/>
        </w:rPr>
        <w:t>节能环保支出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自然生态保护</w:t>
      </w:r>
      <w:r>
        <w:rPr>
          <w:rStyle w:val="23"/>
          <w:rFonts w:hint="eastAsia" w:ascii="仿宋" w:hAnsi="仿宋" w:eastAsia="仿宋"/>
          <w:bCs/>
          <w:color w:val="auto"/>
          <w:sz w:val="32"/>
          <w:szCs w:val="32"/>
        </w:rPr>
        <w:t>（款）</w:t>
      </w:r>
      <w:r>
        <w:rPr>
          <w:rStyle w:val="23"/>
          <w:rFonts w:hint="eastAsia" w:ascii="仿宋" w:hAnsi="仿宋" w:eastAsia="仿宋"/>
          <w:bCs/>
          <w:color w:val="auto"/>
          <w:sz w:val="32"/>
          <w:szCs w:val="32"/>
          <w:lang w:eastAsia="zh-CN"/>
        </w:rPr>
        <w:t>生态保护</w:t>
      </w:r>
      <w:r>
        <w:rPr>
          <w:rStyle w:val="23"/>
          <w:rFonts w:hint="eastAsia" w:ascii="仿宋" w:hAnsi="仿宋" w:eastAsia="仿宋"/>
          <w:bCs/>
          <w:color w:val="auto"/>
          <w:sz w:val="32"/>
          <w:szCs w:val="32"/>
        </w:rPr>
        <w:t>（项）</w:t>
      </w:r>
      <w:r>
        <w:rPr>
          <w:rStyle w:val="23"/>
          <w:rFonts w:ascii="仿宋" w:hAnsi="仿宋" w:eastAsia="仿宋"/>
          <w:bCs/>
          <w:color w:val="auto"/>
          <w:sz w:val="32"/>
          <w:szCs w:val="32"/>
        </w:rPr>
        <w:t>:</w:t>
      </w:r>
      <w:r>
        <w:rPr>
          <w:rStyle w:val="23"/>
          <w:rFonts w:ascii="仿宋" w:hAnsi="仿宋" w:eastAsia="仿宋"/>
          <w:b w:val="0"/>
          <w:bCs/>
          <w:color w:val="auto"/>
          <w:sz w:val="32"/>
          <w:szCs w:val="32"/>
        </w:rPr>
        <w:t xml:space="preserve"> </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2769.2</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p>
    <w:p>
      <w:pPr>
        <w:spacing w:line="600" w:lineRule="exact"/>
        <w:ind w:firstLine="642" w:firstLineChars="200"/>
        <w:rPr>
          <w:rFonts w:hint="default"/>
          <w:color w:val="auto"/>
          <w:lang w:val="en-US" w:eastAsia="zh-CN"/>
        </w:rPr>
      </w:pPr>
      <w:r>
        <w:rPr>
          <w:rStyle w:val="23"/>
          <w:rFonts w:hint="eastAsia" w:ascii="仿宋" w:hAnsi="仿宋" w:eastAsia="仿宋"/>
          <w:bCs/>
          <w:color w:val="auto"/>
          <w:sz w:val="32"/>
          <w:szCs w:val="32"/>
          <w:lang w:val="en-US" w:eastAsia="zh-CN"/>
        </w:rPr>
        <w:t>5</w:t>
      </w:r>
      <w:r>
        <w:rPr>
          <w:rStyle w:val="23"/>
          <w:rFonts w:ascii="仿宋" w:hAnsi="仿宋" w:eastAsia="仿宋"/>
          <w:bCs/>
          <w:color w:val="auto"/>
          <w:sz w:val="32"/>
          <w:szCs w:val="32"/>
        </w:rPr>
        <w:t>.</w:t>
      </w:r>
      <w:r>
        <w:rPr>
          <w:rStyle w:val="23"/>
          <w:rFonts w:hint="eastAsia" w:ascii="仿宋" w:hAnsi="仿宋" w:eastAsia="仿宋"/>
          <w:bCs/>
          <w:color w:val="auto"/>
          <w:sz w:val="32"/>
          <w:szCs w:val="32"/>
          <w:lang w:eastAsia="zh-CN"/>
        </w:rPr>
        <w:t>城乡社区支出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城乡社区管理事务</w:t>
      </w:r>
      <w:r>
        <w:rPr>
          <w:rStyle w:val="23"/>
          <w:rFonts w:hint="eastAsia" w:ascii="仿宋" w:hAnsi="仿宋" w:eastAsia="仿宋"/>
          <w:bCs/>
          <w:color w:val="auto"/>
          <w:sz w:val="32"/>
          <w:szCs w:val="32"/>
        </w:rPr>
        <w:t>（款）</w:t>
      </w:r>
      <w:r>
        <w:rPr>
          <w:rStyle w:val="23"/>
          <w:rFonts w:hint="eastAsia" w:ascii="仿宋" w:hAnsi="仿宋" w:eastAsia="仿宋"/>
          <w:bCs/>
          <w:color w:val="auto"/>
          <w:sz w:val="32"/>
          <w:szCs w:val="32"/>
          <w:lang w:eastAsia="zh-CN"/>
        </w:rPr>
        <w:t>其他城乡社区管理事务支出</w:t>
      </w:r>
      <w:r>
        <w:rPr>
          <w:rStyle w:val="23"/>
          <w:rFonts w:hint="eastAsia" w:ascii="仿宋" w:hAnsi="仿宋" w:eastAsia="仿宋"/>
          <w:bCs/>
          <w:color w:val="auto"/>
          <w:sz w:val="32"/>
          <w:szCs w:val="32"/>
        </w:rPr>
        <w:t>（项）</w:t>
      </w:r>
      <w:r>
        <w:rPr>
          <w:rStyle w:val="23"/>
          <w:rFonts w:ascii="仿宋" w:hAnsi="仿宋" w:eastAsia="仿宋"/>
          <w:bCs/>
          <w:color w:val="auto"/>
          <w:sz w:val="32"/>
          <w:szCs w:val="32"/>
        </w:rPr>
        <w:t>:</w:t>
      </w:r>
      <w:r>
        <w:rPr>
          <w:rStyle w:val="23"/>
          <w:rFonts w:ascii="仿宋" w:hAnsi="仿宋" w:eastAsia="仿宋"/>
          <w:b w:val="0"/>
          <w:bCs/>
          <w:color w:val="auto"/>
          <w:sz w:val="32"/>
          <w:szCs w:val="32"/>
        </w:rPr>
        <w:t xml:space="preserve"> </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1044.74万元，</w:t>
      </w:r>
      <w:r>
        <w:rPr>
          <w:rStyle w:val="23"/>
          <w:rFonts w:hint="eastAsia" w:ascii="仿宋" w:hAnsi="仿宋" w:eastAsia="仿宋"/>
          <w:b w:val="0"/>
          <w:bCs/>
          <w:color w:val="auto"/>
          <w:sz w:val="32"/>
          <w:szCs w:val="32"/>
        </w:rPr>
        <w:t>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val="en-US" w:eastAsia="zh-CN"/>
        </w:rPr>
        <w:t>；</w:t>
      </w:r>
      <w:r>
        <w:rPr>
          <w:rStyle w:val="23"/>
          <w:rFonts w:hint="eastAsia" w:ascii="仿宋" w:hAnsi="仿宋" w:eastAsia="仿宋"/>
          <w:bCs/>
          <w:color w:val="auto"/>
          <w:sz w:val="32"/>
          <w:szCs w:val="32"/>
          <w:lang w:eastAsia="zh-CN"/>
        </w:rPr>
        <w:t>城乡社区支出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国有土地使用权出让收入安排的支出</w:t>
      </w:r>
      <w:r>
        <w:rPr>
          <w:rStyle w:val="23"/>
          <w:rFonts w:hint="eastAsia" w:ascii="仿宋" w:hAnsi="仿宋" w:eastAsia="仿宋"/>
          <w:bCs/>
          <w:color w:val="auto"/>
          <w:sz w:val="32"/>
          <w:szCs w:val="32"/>
        </w:rPr>
        <w:t>（款）其他国有土地使用权出让收入安排的支出</w:t>
      </w:r>
      <w:r>
        <w:rPr>
          <w:rStyle w:val="23"/>
          <w:rFonts w:hint="eastAsia" w:ascii="仿宋" w:hAnsi="仿宋" w:eastAsia="仿宋"/>
          <w:bCs/>
          <w:color w:val="auto"/>
          <w:sz w:val="32"/>
          <w:szCs w:val="32"/>
          <w:lang w:eastAsia="zh-CN"/>
        </w:rPr>
        <w:t>（项）：</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1096.58</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lang w:eastAsia="zh-CN"/>
        </w:rPr>
        <w:t>；</w:t>
      </w:r>
      <w:r>
        <w:rPr>
          <w:rStyle w:val="23"/>
          <w:rFonts w:hint="eastAsia" w:ascii="仿宋" w:hAnsi="仿宋" w:eastAsia="仿宋"/>
          <w:bCs/>
          <w:color w:val="auto"/>
          <w:sz w:val="32"/>
          <w:szCs w:val="32"/>
          <w:lang w:eastAsia="zh-CN"/>
        </w:rPr>
        <w:t>城乡社区支出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城市基础设施配套费安排的支出</w:t>
      </w:r>
      <w:r>
        <w:rPr>
          <w:rStyle w:val="23"/>
          <w:rFonts w:hint="eastAsia" w:ascii="仿宋" w:hAnsi="仿宋" w:eastAsia="仿宋"/>
          <w:bCs/>
          <w:color w:val="auto"/>
          <w:sz w:val="32"/>
          <w:szCs w:val="32"/>
        </w:rPr>
        <w:t>（款） 城市公共设施</w:t>
      </w:r>
      <w:r>
        <w:rPr>
          <w:rStyle w:val="23"/>
          <w:rFonts w:hint="eastAsia" w:ascii="仿宋" w:hAnsi="仿宋" w:eastAsia="仿宋"/>
          <w:bCs/>
          <w:color w:val="auto"/>
          <w:sz w:val="32"/>
          <w:szCs w:val="32"/>
          <w:lang w:eastAsia="zh-CN"/>
        </w:rPr>
        <w:t>（项）：</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92.45</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p>
    <w:p>
      <w:pPr>
        <w:spacing w:line="600" w:lineRule="exact"/>
        <w:ind w:firstLine="642" w:firstLineChars="200"/>
        <w:rPr>
          <w:rFonts w:ascii="仿宋" w:hAnsi="仿宋" w:eastAsia="仿宋"/>
          <w:b/>
          <w:color w:val="auto"/>
          <w:sz w:val="32"/>
          <w:szCs w:val="32"/>
        </w:rPr>
      </w:pPr>
      <w:r>
        <w:rPr>
          <w:rStyle w:val="23"/>
          <w:rFonts w:hint="eastAsia" w:ascii="仿宋" w:hAnsi="仿宋" w:eastAsia="仿宋"/>
          <w:bCs/>
          <w:color w:val="auto"/>
          <w:sz w:val="32"/>
          <w:szCs w:val="32"/>
          <w:lang w:val="en-US" w:eastAsia="zh-CN"/>
        </w:rPr>
        <w:t>7</w:t>
      </w:r>
      <w:r>
        <w:rPr>
          <w:rStyle w:val="23"/>
          <w:rFonts w:ascii="仿宋" w:hAnsi="仿宋" w:eastAsia="仿宋"/>
          <w:bCs/>
          <w:color w:val="auto"/>
          <w:sz w:val="32"/>
          <w:szCs w:val="32"/>
        </w:rPr>
        <w:t>.</w:t>
      </w:r>
      <w:r>
        <w:rPr>
          <w:rStyle w:val="23"/>
          <w:rFonts w:hint="eastAsia" w:ascii="仿宋" w:hAnsi="仿宋" w:eastAsia="仿宋"/>
          <w:bCs/>
          <w:color w:val="auto"/>
          <w:sz w:val="32"/>
          <w:szCs w:val="32"/>
          <w:lang w:eastAsia="zh-CN"/>
        </w:rPr>
        <w:t>农林水支出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扶贫</w:t>
      </w:r>
      <w:r>
        <w:rPr>
          <w:rStyle w:val="23"/>
          <w:rFonts w:hint="eastAsia" w:ascii="仿宋" w:hAnsi="仿宋" w:eastAsia="仿宋"/>
          <w:bCs/>
          <w:color w:val="auto"/>
          <w:sz w:val="32"/>
          <w:szCs w:val="32"/>
        </w:rPr>
        <w:t>（款）</w:t>
      </w:r>
      <w:r>
        <w:rPr>
          <w:rStyle w:val="23"/>
          <w:rFonts w:hint="eastAsia" w:ascii="仿宋" w:hAnsi="仿宋" w:eastAsia="仿宋"/>
          <w:bCs/>
          <w:color w:val="auto"/>
          <w:sz w:val="32"/>
          <w:szCs w:val="32"/>
          <w:lang w:eastAsia="zh-CN"/>
        </w:rPr>
        <w:t>其他扶贫支出</w:t>
      </w:r>
      <w:r>
        <w:rPr>
          <w:rStyle w:val="23"/>
          <w:rFonts w:hint="eastAsia" w:ascii="仿宋" w:hAnsi="仿宋" w:eastAsia="仿宋"/>
          <w:bCs/>
          <w:color w:val="auto"/>
          <w:sz w:val="32"/>
          <w:szCs w:val="32"/>
        </w:rPr>
        <w:t>（项）</w:t>
      </w:r>
      <w:r>
        <w:rPr>
          <w:rStyle w:val="23"/>
          <w:rFonts w:ascii="仿宋" w:hAnsi="仿宋" w:eastAsia="仿宋"/>
          <w:bCs/>
          <w:color w:val="auto"/>
          <w:sz w:val="32"/>
          <w:szCs w:val="32"/>
        </w:rPr>
        <w:t>:</w:t>
      </w:r>
      <w:r>
        <w:rPr>
          <w:rStyle w:val="23"/>
          <w:rFonts w:ascii="仿宋" w:hAnsi="仿宋" w:eastAsia="仿宋"/>
          <w:b w:val="0"/>
          <w:bCs/>
          <w:color w:val="auto"/>
          <w:sz w:val="32"/>
          <w:szCs w:val="32"/>
        </w:rPr>
        <w:t xml:space="preserve"> </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0.84</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hint="eastAsia" w:ascii="仿宋" w:hAnsi="仿宋" w:eastAsia="仿宋"/>
          <w:b w:val="0"/>
          <w:bCs/>
          <w:color w:val="auto"/>
          <w:sz w:val="32"/>
          <w:szCs w:val="32"/>
        </w:rPr>
        <w:t>。</w:t>
      </w:r>
    </w:p>
    <w:p>
      <w:pPr>
        <w:spacing w:line="600" w:lineRule="exact"/>
        <w:ind w:firstLine="642" w:firstLineChars="200"/>
        <w:rPr>
          <w:rFonts w:ascii="仿宋" w:hAnsi="仿宋" w:eastAsia="仿宋"/>
          <w:b/>
          <w:color w:val="auto"/>
          <w:sz w:val="32"/>
          <w:szCs w:val="32"/>
        </w:rPr>
      </w:pPr>
      <w:r>
        <w:rPr>
          <w:rStyle w:val="23"/>
          <w:rFonts w:ascii="仿宋" w:hAnsi="仿宋" w:eastAsia="仿宋"/>
          <w:bCs/>
          <w:color w:val="auto"/>
          <w:sz w:val="32"/>
          <w:szCs w:val="32"/>
        </w:rPr>
        <w:t>6.</w:t>
      </w:r>
      <w:r>
        <w:rPr>
          <w:rFonts w:hint="eastAsia" w:ascii="仿宋" w:hAnsi="仿宋" w:eastAsia="仿宋"/>
          <w:b/>
          <w:bCs/>
          <w:color w:val="auto"/>
          <w:sz w:val="32"/>
          <w:szCs w:val="32"/>
          <w:lang w:eastAsia="zh-CN"/>
        </w:rPr>
        <w:t>住房保障支出</w:t>
      </w:r>
      <w:r>
        <w:rPr>
          <w:rStyle w:val="23"/>
          <w:rFonts w:hint="eastAsia" w:ascii="仿宋" w:hAnsi="仿宋" w:eastAsia="仿宋"/>
          <w:bCs/>
          <w:color w:val="auto"/>
          <w:sz w:val="32"/>
          <w:szCs w:val="32"/>
        </w:rPr>
        <w:t>（类）</w:t>
      </w:r>
      <w:r>
        <w:rPr>
          <w:rStyle w:val="23"/>
          <w:rFonts w:hint="eastAsia" w:ascii="仿宋" w:hAnsi="仿宋" w:eastAsia="仿宋"/>
          <w:bCs/>
          <w:color w:val="auto"/>
          <w:sz w:val="32"/>
          <w:szCs w:val="32"/>
          <w:lang w:eastAsia="zh-CN"/>
        </w:rPr>
        <w:t>住房改革支出</w:t>
      </w:r>
      <w:r>
        <w:rPr>
          <w:rStyle w:val="23"/>
          <w:rFonts w:hint="eastAsia" w:ascii="仿宋" w:hAnsi="仿宋" w:eastAsia="仿宋"/>
          <w:bCs/>
          <w:color w:val="auto"/>
          <w:sz w:val="32"/>
          <w:szCs w:val="32"/>
        </w:rPr>
        <w:t>（款）</w:t>
      </w:r>
      <w:r>
        <w:rPr>
          <w:rStyle w:val="23"/>
          <w:rFonts w:hint="eastAsia" w:ascii="仿宋" w:hAnsi="仿宋" w:eastAsia="仿宋"/>
          <w:bCs/>
          <w:color w:val="auto"/>
          <w:sz w:val="32"/>
          <w:szCs w:val="32"/>
          <w:lang w:eastAsia="zh-CN"/>
        </w:rPr>
        <w:t>住房公积金</w:t>
      </w:r>
      <w:r>
        <w:rPr>
          <w:rStyle w:val="23"/>
          <w:rFonts w:hint="eastAsia" w:ascii="仿宋" w:hAnsi="仿宋" w:eastAsia="仿宋"/>
          <w:bCs/>
          <w:color w:val="auto"/>
          <w:sz w:val="32"/>
          <w:szCs w:val="32"/>
        </w:rPr>
        <w:t>（项）</w:t>
      </w:r>
      <w:r>
        <w:rPr>
          <w:rStyle w:val="23"/>
          <w:rFonts w:ascii="仿宋" w:hAnsi="仿宋" w:eastAsia="仿宋"/>
          <w:bCs/>
          <w:color w:val="auto"/>
          <w:sz w:val="32"/>
          <w:szCs w:val="32"/>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35.73</w:t>
      </w:r>
      <w:r>
        <w:rPr>
          <w:rStyle w:val="23"/>
          <w:rFonts w:hint="eastAsia" w:ascii="仿宋" w:hAnsi="仿宋" w:eastAsia="仿宋"/>
          <w:b w:val="0"/>
          <w:bCs/>
          <w:color w:val="auto"/>
          <w:sz w:val="32"/>
          <w:szCs w:val="32"/>
        </w:rPr>
        <w:t>万元，完成预算</w:t>
      </w:r>
      <w:r>
        <w:rPr>
          <w:rStyle w:val="23"/>
          <w:rFonts w:hint="eastAsia" w:ascii="仿宋" w:hAnsi="仿宋" w:eastAsia="仿宋"/>
          <w:b w:val="0"/>
          <w:bCs/>
          <w:color w:val="auto"/>
          <w:sz w:val="32"/>
          <w:szCs w:val="32"/>
          <w:lang w:val="en-US" w:eastAsia="zh-CN"/>
        </w:rPr>
        <w:t>100</w:t>
      </w:r>
      <w:r>
        <w:rPr>
          <w:rStyle w:val="23"/>
          <w:rFonts w:ascii="仿宋" w:hAnsi="仿宋" w:eastAsia="仿宋"/>
          <w:b w:val="0"/>
          <w:bCs/>
          <w:color w:val="auto"/>
          <w:sz w:val="32"/>
          <w:szCs w:val="32"/>
        </w:rPr>
        <w:t>%</w:t>
      </w:r>
      <w:r>
        <w:rPr>
          <w:rStyle w:val="23"/>
          <w:rFonts w:hint="eastAsia" w:ascii="仿宋" w:hAnsi="仿宋" w:eastAsia="仿宋"/>
          <w:b w:val="0"/>
          <w:bCs/>
          <w:color w:val="auto"/>
          <w:sz w:val="32"/>
          <w:szCs w:val="32"/>
        </w:rPr>
        <w:t>。</w:t>
      </w:r>
    </w:p>
    <w:p>
      <w:pPr>
        <w:tabs>
          <w:tab w:val="right" w:pos="8306"/>
        </w:tabs>
        <w:spacing w:line="600" w:lineRule="exact"/>
        <w:ind w:firstLine="640"/>
        <w:outlineLvl w:val="1"/>
        <w:rPr>
          <w:rStyle w:val="27"/>
          <w:color w:val="auto"/>
        </w:rPr>
      </w:pPr>
      <w:bookmarkStart w:id="68" w:name="_Toc15396608"/>
      <w:bookmarkStart w:id="69" w:name="_Toc15377214"/>
      <w:bookmarkStart w:id="70" w:name="_Toc79163618"/>
      <w:bookmarkStart w:id="71" w:name="_Toc79163868"/>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7"/>
          <w:rFonts w:hint="eastAsia" w:ascii="黑体" w:hAnsi="黑体" w:eastAsia="黑体"/>
          <w:b w:val="0"/>
          <w:color w:val="auto"/>
        </w:rPr>
        <w:t>般公共预算财政拨款基本支出决算情况说明</w:t>
      </w:r>
      <w:bookmarkEnd w:id="68"/>
      <w:bookmarkEnd w:id="69"/>
      <w:bookmarkEnd w:id="70"/>
      <w:bookmarkEnd w:id="71"/>
      <w:r>
        <w:rPr>
          <w:rStyle w:val="27"/>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579.43</w:t>
      </w:r>
      <w:r>
        <w:rPr>
          <w:rFonts w:hint="eastAsia" w:ascii="仿宋" w:hAnsi="仿宋" w:eastAsia="仿宋"/>
          <w:color w:val="auto"/>
          <w:sz w:val="32"/>
          <w:szCs w:val="32"/>
        </w:rPr>
        <w:t>万元，其中：</w:t>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554.83</w:t>
      </w:r>
      <w:r>
        <w:rPr>
          <w:rFonts w:hint="eastAsia" w:ascii="仿宋" w:hAnsi="仿宋" w:eastAsia="仿宋"/>
          <w:color w:val="auto"/>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rPr>
          <w:rFonts w:ascii="仿宋" w:hAnsi="仿宋" w:eastAsia="仿宋"/>
          <w:b/>
          <w:color w:val="auto"/>
          <w:sz w:val="32"/>
          <w:szCs w:val="32"/>
        </w:rPr>
      </w:pPr>
      <w:r>
        <w:rPr>
          <w:rFonts w:hint="eastAsia" w:ascii="仿宋" w:hAnsi="仿宋" w:eastAsia="仿宋"/>
          <w:color w:val="auto"/>
          <w:sz w:val="32"/>
          <w:szCs w:val="32"/>
        </w:rPr>
        <w:t>　日常公用经费</w:t>
      </w:r>
      <w:r>
        <w:rPr>
          <w:rFonts w:hint="eastAsia" w:ascii="仿宋" w:hAnsi="仿宋" w:eastAsia="仿宋"/>
          <w:color w:val="auto"/>
          <w:sz w:val="32"/>
          <w:szCs w:val="32"/>
          <w:lang w:val="en-US" w:eastAsia="zh-CN"/>
        </w:rPr>
        <w:t>24.6</w:t>
      </w:r>
      <w:r>
        <w:rPr>
          <w:rFonts w:hint="eastAsia" w:ascii="仿宋" w:hAnsi="仿宋" w:eastAsia="仿宋"/>
          <w:color w:val="auto"/>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color w:val="auto"/>
        </w:rPr>
      </w:pPr>
      <w:bookmarkStart w:id="72" w:name="_Toc79163619"/>
      <w:bookmarkStart w:id="73" w:name="_Toc15396609"/>
      <w:bookmarkStart w:id="74" w:name="_Toc79163869"/>
      <w:bookmarkStart w:id="75" w:name="_Toc15377215"/>
      <w:r>
        <w:rPr>
          <w:rFonts w:hint="eastAsia" w:ascii="黑体" w:eastAsia="黑体"/>
          <w:color w:val="auto"/>
          <w:sz w:val="32"/>
          <w:szCs w:val="32"/>
        </w:rPr>
        <w:t>七、</w:t>
      </w:r>
      <w:r>
        <w:rPr>
          <w:rStyle w:val="27"/>
          <w:rFonts w:hint="eastAsia" w:ascii="黑体" w:hAnsi="黑体" w:eastAsia="黑体"/>
          <w:color w:val="auto"/>
        </w:rPr>
        <w:t>“</w:t>
      </w:r>
      <w:r>
        <w:rPr>
          <w:rStyle w:val="27"/>
          <w:rFonts w:hint="eastAsia" w:ascii="黑体" w:hAnsi="黑体" w:eastAsia="黑体"/>
          <w:b w:val="0"/>
          <w:color w:val="auto"/>
        </w:rPr>
        <w:t>三公”经费财政拨款支出决算情况说明</w:t>
      </w:r>
      <w:bookmarkEnd w:id="72"/>
      <w:bookmarkEnd w:id="73"/>
      <w:bookmarkEnd w:id="74"/>
      <w:bookmarkEnd w:id="75"/>
    </w:p>
    <w:p>
      <w:pPr>
        <w:spacing w:line="600" w:lineRule="exact"/>
        <w:ind w:firstLine="640"/>
        <w:outlineLvl w:val="2"/>
        <w:rPr>
          <w:rFonts w:hint="eastAsia" w:ascii="楷体" w:hAnsi="楷体" w:eastAsia="楷体" w:cs="楷体"/>
          <w:b/>
          <w:color w:val="auto"/>
          <w:sz w:val="32"/>
          <w:szCs w:val="32"/>
        </w:rPr>
      </w:pPr>
      <w:bookmarkStart w:id="76" w:name="_Toc79163620"/>
      <w:bookmarkStart w:id="77" w:name="_Toc79163870"/>
      <w:bookmarkStart w:id="78" w:name="_Toc15377216"/>
      <w:r>
        <w:rPr>
          <w:rFonts w:hint="eastAsia" w:ascii="楷体" w:hAnsi="楷体" w:eastAsia="楷体" w:cs="楷体"/>
          <w:b/>
          <w:color w:val="auto"/>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年“三公”经费财政拨款支出决算为</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outlineLvl w:val="2"/>
        <w:rPr>
          <w:rFonts w:hint="eastAsia" w:ascii="楷体" w:hAnsi="楷体" w:eastAsia="楷体" w:cs="楷体"/>
          <w:b/>
          <w:color w:val="auto"/>
          <w:sz w:val="32"/>
          <w:szCs w:val="32"/>
        </w:rPr>
      </w:pPr>
      <w:bookmarkStart w:id="79" w:name="_Toc79163621"/>
      <w:bookmarkStart w:id="80" w:name="_Toc15377217"/>
      <w:bookmarkStart w:id="81" w:name="_Toc79163871"/>
      <w:r>
        <w:rPr>
          <w:rFonts w:hint="eastAsia" w:ascii="楷体" w:hAnsi="楷体" w:eastAsia="楷体" w:cs="楷体"/>
          <w:b/>
          <w:color w:val="auto"/>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万元；公务用车购置及运行维护费支出决算</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万元。具体情况如下：</w:t>
      </w:r>
    </w:p>
    <w:p>
      <w:pPr>
        <w:pStyle w:val="7"/>
        <w:rPr>
          <w:color w:val="auto"/>
        </w:rPr>
      </w:pPr>
      <w:r>
        <w:rPr>
          <w:color w:val="auto"/>
        </w:rPr>
        <w:drawing>
          <wp:inline distT="0" distB="0" distL="0" distR="0">
            <wp:extent cx="5343525" cy="2381250"/>
            <wp:effectExtent l="4445" t="4445" r="5080" b="14605"/>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7</w:t>
      </w:r>
      <w:r>
        <w:rPr>
          <w:rFonts w:hint="eastAsia" w:ascii="仿宋" w:hAnsi="仿宋" w:eastAsia="仿宋"/>
          <w:color w:val="auto"/>
          <w:sz w:val="32"/>
          <w:szCs w:val="32"/>
        </w:rPr>
        <w:t>：“三公”经费财政拨款支出结构）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rPr>
        <w:t>因公出国（境）经费支出</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万元</w:t>
      </w:r>
      <w:r>
        <w:rPr>
          <w:rStyle w:val="23"/>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rPr>
        <w:t>全年安排因公出国（境）团组</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次，出国（境）</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人</w:t>
      </w:r>
      <w:r>
        <w:rPr>
          <w:rFonts w:hint="eastAsia" w:ascii="仿宋_GB2312" w:hAnsi="仿宋_GB2312" w:eastAsia="仿宋_GB2312" w:cs="仿宋_GB2312"/>
          <w:b w:val="0"/>
          <w:bCs/>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2.公务用车购置及运行维护费支出</w:t>
      </w: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rPr>
        <w:t>万元,</w:t>
      </w:r>
      <w:r>
        <w:rPr>
          <w:rStyle w:val="23"/>
          <w:rFonts w:hint="eastAsia" w:ascii="仿宋_GB2312" w:hAnsi="仿宋_GB2312" w:eastAsia="仿宋_GB2312" w:cs="仿宋_GB2312"/>
          <w:b w:val="0"/>
          <w:bCs/>
          <w:color w:val="auto"/>
          <w:sz w:val="32"/>
          <w:szCs w:val="32"/>
        </w:rPr>
        <w:t>完成预算</w:t>
      </w:r>
      <w:r>
        <w:rPr>
          <w:rStyle w:val="23"/>
          <w:rFonts w:hint="eastAsia" w:ascii="仿宋_GB2312" w:hAnsi="仿宋_GB2312" w:eastAsia="仿宋_GB2312" w:cs="仿宋_GB2312"/>
          <w:b w:val="0"/>
          <w:bCs/>
          <w:color w:val="auto"/>
          <w:sz w:val="32"/>
          <w:szCs w:val="32"/>
          <w:lang w:val="en-US" w:eastAsia="zh-CN"/>
        </w:rPr>
        <w:t>100</w:t>
      </w:r>
      <w:r>
        <w:rPr>
          <w:rStyle w:val="23"/>
          <w:rFonts w:hint="eastAsia" w:ascii="仿宋_GB2312" w:hAnsi="仿宋_GB2312" w:eastAsia="仿宋_GB2312" w:cs="仿宋_GB2312"/>
          <w:b w:val="0"/>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其中：公务用车购置支</w:t>
      </w:r>
      <w:r>
        <w:rPr>
          <w:rFonts w:hint="eastAsia" w:ascii="仿宋_GB2312" w:hAnsi="仿宋_GB2312" w:eastAsia="仿宋_GB2312" w:cs="仿宋_GB2312"/>
          <w:b w:val="0"/>
          <w:bCs/>
          <w:color w:val="auto"/>
          <w:sz w:val="32"/>
          <w:szCs w:val="32"/>
          <w:lang w:eastAsia="zh-CN"/>
        </w:rPr>
        <w:t>出</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万元。全年按规定更新购置公务用车</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辆。</w:t>
      </w:r>
    </w:p>
    <w:p>
      <w:pPr>
        <w:keepNext w:val="0"/>
        <w:keepLines w:val="0"/>
        <w:pageBreakBefore w:val="0"/>
        <w:widowControl w:val="0"/>
        <w:kinsoku/>
        <w:wordWrap/>
        <w:overflowPunct/>
        <w:topLinePunct w:val="0"/>
        <w:bidi w:val="0"/>
        <w:spacing w:line="576" w:lineRule="exact"/>
        <w:ind w:firstLine="640"/>
        <w:textAlignment w:val="auto"/>
        <w:rPr>
          <w:rFonts w:ascii="仿宋_GB2312" w:eastAsia="仿宋_GB2312"/>
          <w:color w:val="auto"/>
          <w:sz w:val="32"/>
          <w:szCs w:val="32"/>
        </w:rPr>
      </w:pPr>
      <w:r>
        <w:rPr>
          <w:rFonts w:hint="eastAsia" w:ascii="仿宋_GB2312" w:hAnsi="仿宋_GB2312" w:eastAsia="仿宋_GB2312" w:cs="仿宋_GB2312"/>
          <w:b w:val="0"/>
          <w:bCs/>
          <w:color w:val="auto"/>
          <w:sz w:val="32"/>
          <w:szCs w:val="32"/>
        </w:rPr>
        <w:t>公务用车运行维护费支出</w:t>
      </w: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rPr>
        <w:t>万元。主要用于</w:t>
      </w:r>
      <w:r>
        <w:rPr>
          <w:rFonts w:hint="eastAsia" w:ascii="仿宋_GB2312" w:hAnsi="仿宋_GB2312" w:eastAsia="仿宋_GB2312" w:cs="仿宋_GB2312"/>
          <w:b w:val="0"/>
          <w:bCs/>
          <w:color w:val="auto"/>
          <w:sz w:val="32"/>
          <w:szCs w:val="32"/>
          <w:lang w:eastAsia="zh-CN"/>
        </w:rPr>
        <w:t>日常办公、下乡、出差</w:t>
      </w:r>
      <w:r>
        <w:rPr>
          <w:rFonts w:hint="eastAsia" w:ascii="仿宋_GB2312" w:hAnsi="仿宋_GB2312" w:eastAsia="仿宋_GB2312" w:cs="仿宋_GB2312"/>
          <w:b w:val="0"/>
          <w:bCs/>
          <w:color w:val="auto"/>
          <w:sz w:val="32"/>
          <w:szCs w:val="32"/>
        </w:rPr>
        <w:t>等所需的公务用车燃料费、维修费、过</w:t>
      </w:r>
      <w:r>
        <w:rPr>
          <w:rFonts w:hint="eastAsia" w:ascii="仿宋_GB2312" w:eastAsia="仿宋_GB2312"/>
          <w:color w:val="auto"/>
          <w:sz w:val="32"/>
          <w:szCs w:val="32"/>
        </w:rPr>
        <w:t>路过桥费、保险费等支出。</w:t>
      </w:r>
    </w:p>
    <w:p>
      <w:pPr>
        <w:keepNext w:val="0"/>
        <w:keepLines w:val="0"/>
        <w:pageBreakBefore w:val="0"/>
        <w:widowControl w:val="0"/>
        <w:kinsoku/>
        <w:wordWrap/>
        <w:overflowPunct/>
        <w:topLinePunct w:val="0"/>
        <w:bidi w:val="0"/>
        <w:spacing w:line="576" w:lineRule="exact"/>
        <w:ind w:firstLine="640"/>
        <w:textAlignment w:val="auto"/>
        <w:rPr>
          <w:rFonts w:hint="eastAsia" w:ascii="仿宋_GB2312" w:hAnsi="仿宋_GB2312" w:eastAsia="仿宋_GB2312" w:cs="仿宋_GB2312"/>
          <w:b w:val="0"/>
          <w:bCs/>
          <w:color w:val="auto"/>
          <w:sz w:val="32"/>
          <w:szCs w:val="32"/>
        </w:rPr>
      </w:pPr>
      <w:r>
        <w:rPr>
          <w:rFonts w:ascii="仿宋_GB2312" w:eastAsia="仿宋_GB2312"/>
          <w:b/>
          <w:color w:val="auto"/>
          <w:sz w:val="32"/>
          <w:szCs w:val="32"/>
        </w:rPr>
        <w:t>3.</w:t>
      </w:r>
      <w:r>
        <w:rPr>
          <w:rFonts w:hint="eastAsia" w:ascii="仿宋_GB2312" w:hAnsi="仿宋_GB2312" w:eastAsia="仿宋_GB2312" w:cs="仿宋_GB2312"/>
          <w:b w:val="0"/>
          <w:bCs/>
          <w:color w:val="auto"/>
          <w:sz w:val="32"/>
          <w:szCs w:val="32"/>
        </w:rPr>
        <w:t>公务接待费支出</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万元</w:t>
      </w:r>
      <w:r>
        <w:rPr>
          <w:rStyle w:val="23"/>
          <w:rFonts w:hint="eastAsia" w:ascii="仿宋_GB2312" w:hAnsi="仿宋_GB2312" w:eastAsia="仿宋_GB2312" w:cs="仿宋_GB2312"/>
          <w:b w:val="0"/>
          <w:bCs/>
          <w:color w:val="auto"/>
          <w:sz w:val="32"/>
          <w:szCs w:val="32"/>
        </w:rPr>
        <w:t>。</w:t>
      </w:r>
    </w:p>
    <w:p>
      <w:pPr>
        <w:keepNext w:val="0"/>
        <w:keepLines w:val="0"/>
        <w:pageBreakBefore w:val="0"/>
        <w:widowControl w:val="0"/>
        <w:kinsoku/>
        <w:wordWrap/>
        <w:overflowPunct/>
        <w:topLinePunct w:val="0"/>
        <w:bidi w:val="0"/>
        <w:spacing w:line="576" w:lineRule="exact"/>
        <w:ind w:firstLine="64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国内公务接待支出</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万元。</w:t>
      </w:r>
    </w:p>
    <w:p>
      <w:pPr>
        <w:keepNext w:val="0"/>
        <w:keepLines w:val="0"/>
        <w:pageBreakBefore w:val="0"/>
        <w:widowControl w:val="0"/>
        <w:kinsoku/>
        <w:wordWrap/>
        <w:overflowPunct/>
        <w:topLinePunct w:val="0"/>
        <w:bidi w:val="0"/>
        <w:spacing w:line="576" w:lineRule="exact"/>
        <w:ind w:firstLine="640"/>
        <w:textAlignment w:val="auto"/>
        <w:outlineLvl w:val="1"/>
        <w:rPr>
          <w:rStyle w:val="27"/>
          <w:rFonts w:ascii="黑体" w:hAnsi="黑体" w:eastAsia="黑体"/>
          <w:color w:val="auto"/>
        </w:rPr>
      </w:pPr>
      <w:bookmarkStart w:id="82" w:name="_Toc79163872"/>
      <w:bookmarkStart w:id="83" w:name="_Toc15396610"/>
      <w:bookmarkStart w:id="84" w:name="_Toc15377218"/>
      <w:bookmarkStart w:id="85" w:name="_Toc79163622"/>
      <w:r>
        <w:rPr>
          <w:rFonts w:hint="eastAsia" w:ascii="黑体" w:eastAsia="黑体"/>
          <w:color w:val="auto"/>
          <w:sz w:val="32"/>
          <w:szCs w:val="32"/>
        </w:rPr>
        <w:t>八、</w:t>
      </w:r>
      <w:r>
        <w:rPr>
          <w:rStyle w:val="27"/>
          <w:rFonts w:hint="eastAsia" w:ascii="黑体" w:hAnsi="黑体" w:eastAsia="黑体"/>
          <w:b w:val="0"/>
          <w:color w:val="auto"/>
        </w:rPr>
        <w:t>政府性基金预算支出决算情况说明</w:t>
      </w:r>
      <w:bookmarkEnd w:id="82"/>
      <w:bookmarkEnd w:id="83"/>
      <w:bookmarkEnd w:id="84"/>
      <w:bookmarkEnd w:id="85"/>
    </w:p>
    <w:p>
      <w:pPr>
        <w:keepNext w:val="0"/>
        <w:keepLines w:val="0"/>
        <w:pageBreakBefore w:val="0"/>
        <w:widowControl w:val="0"/>
        <w:kinsoku/>
        <w:wordWrap/>
        <w:overflowPunct/>
        <w:topLinePunct w:val="0"/>
        <w:bidi w:val="0"/>
        <w:spacing w:line="576" w:lineRule="exact"/>
        <w:ind w:firstLine="640"/>
        <w:textAlignment w:val="auto"/>
        <w:rPr>
          <w:rFonts w:ascii="仿宋_GB2312" w:eastAsia="仿宋_GB2312"/>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年政府性基金预算拨款支出</w:t>
      </w:r>
      <w:r>
        <w:rPr>
          <w:rFonts w:hint="eastAsia" w:ascii="仿宋_GB2312" w:eastAsia="仿宋_GB2312"/>
          <w:color w:val="auto"/>
          <w:sz w:val="32"/>
          <w:szCs w:val="32"/>
          <w:lang w:val="en-US" w:eastAsia="zh-CN"/>
        </w:rPr>
        <w:t>1189.03</w:t>
      </w:r>
      <w:r>
        <w:rPr>
          <w:rFonts w:hint="eastAsia" w:ascii="仿宋_GB2312" w:eastAsia="仿宋_GB2312"/>
          <w:color w:val="auto"/>
          <w:sz w:val="32"/>
          <w:szCs w:val="32"/>
        </w:rPr>
        <w:t>万元。</w:t>
      </w:r>
    </w:p>
    <w:p>
      <w:pPr>
        <w:keepNext w:val="0"/>
        <w:keepLines w:val="0"/>
        <w:pageBreakBefore w:val="0"/>
        <w:widowControl w:val="0"/>
        <w:numPr>
          <w:ilvl w:val="0"/>
          <w:numId w:val="3"/>
        </w:numPr>
        <w:kinsoku/>
        <w:wordWrap/>
        <w:overflowPunct/>
        <w:topLinePunct w:val="0"/>
        <w:bidi w:val="0"/>
        <w:spacing w:line="576" w:lineRule="exact"/>
        <w:ind w:firstLine="640"/>
        <w:textAlignment w:val="auto"/>
        <w:outlineLvl w:val="1"/>
        <w:rPr>
          <w:rStyle w:val="27"/>
          <w:rFonts w:ascii="黑体" w:hAnsi="黑体" w:eastAsia="黑体"/>
          <w:b w:val="0"/>
          <w:color w:val="auto"/>
        </w:rPr>
      </w:pPr>
      <w:bookmarkStart w:id="86" w:name="_Toc15377219"/>
      <w:bookmarkStart w:id="87" w:name="_Toc15396611"/>
      <w:bookmarkStart w:id="88" w:name="_Toc79163873"/>
      <w:bookmarkStart w:id="89" w:name="_Toc79163623"/>
      <w:r>
        <w:rPr>
          <w:rStyle w:val="27"/>
          <w:rFonts w:hint="eastAsia" w:ascii="黑体" w:hAnsi="黑体" w:eastAsia="黑体"/>
          <w:b w:val="0"/>
          <w:color w:val="auto"/>
        </w:rPr>
        <w:t>国有资本经营预算支出决算情况说明</w:t>
      </w:r>
      <w:bookmarkEnd w:id="86"/>
      <w:bookmarkEnd w:id="87"/>
      <w:bookmarkEnd w:id="88"/>
      <w:bookmarkEnd w:id="89"/>
    </w:p>
    <w:p>
      <w:pPr>
        <w:keepNext w:val="0"/>
        <w:keepLines w:val="0"/>
        <w:pageBreakBefore w:val="0"/>
        <w:widowControl w:val="0"/>
        <w:kinsoku/>
        <w:wordWrap/>
        <w:overflowPunct/>
        <w:topLinePunct w:val="0"/>
        <w:bidi w:val="0"/>
        <w:spacing w:line="576" w:lineRule="exact"/>
        <w:ind w:firstLine="640"/>
        <w:textAlignment w:val="auto"/>
        <w:rPr>
          <w:rFonts w:ascii="方正小标宋简体" w:hAnsi="方正小标宋简体" w:eastAsia="方正小标宋简体" w:cs="方正小标宋简体"/>
          <w:color w:val="auto"/>
          <w:sz w:val="44"/>
          <w:szCs w:val="44"/>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eastAsia="zh-CN"/>
        </w:rPr>
        <w:t>无</w:t>
      </w:r>
      <w:r>
        <w:rPr>
          <w:rFonts w:hint="eastAsia" w:ascii="仿宋_GB2312" w:eastAsia="仿宋_GB2312"/>
          <w:color w:val="auto"/>
          <w:sz w:val="32"/>
          <w:szCs w:val="32"/>
        </w:rPr>
        <w:t>国有资本经营预算拨款支出。</w:t>
      </w:r>
    </w:p>
    <w:p>
      <w:pPr>
        <w:keepNext w:val="0"/>
        <w:keepLines w:val="0"/>
        <w:pageBreakBefore w:val="0"/>
        <w:widowControl w:val="0"/>
        <w:kinsoku/>
        <w:wordWrap/>
        <w:overflowPunct/>
        <w:topLinePunct w:val="0"/>
        <w:bidi w:val="0"/>
        <w:spacing w:line="576" w:lineRule="exact"/>
        <w:ind w:firstLine="800" w:firstLineChars="250"/>
        <w:textAlignment w:val="auto"/>
        <w:outlineLvl w:val="1"/>
        <w:rPr>
          <w:rStyle w:val="27"/>
          <w:rFonts w:ascii="黑体" w:hAnsi="黑体" w:eastAsia="黑体"/>
          <w:color w:val="auto"/>
        </w:rPr>
      </w:pPr>
      <w:bookmarkStart w:id="90" w:name="_Toc79163624"/>
      <w:bookmarkStart w:id="91" w:name="_Toc15377221"/>
      <w:bookmarkStart w:id="92" w:name="_Toc79163874"/>
      <w:bookmarkStart w:id="93" w:name="_Toc15396612"/>
      <w:r>
        <w:rPr>
          <w:rFonts w:hint="eastAsia" w:ascii="黑体" w:hAnsi="黑体" w:eastAsia="黑体"/>
          <w:color w:val="auto"/>
          <w:sz w:val="32"/>
          <w:szCs w:val="32"/>
        </w:rPr>
        <w:t>十</w:t>
      </w:r>
      <w:r>
        <w:rPr>
          <w:rStyle w:val="27"/>
          <w:rFonts w:hint="eastAsia" w:ascii="黑体" w:hAnsi="黑体" w:eastAsia="黑体"/>
          <w:color w:val="auto"/>
        </w:rPr>
        <w:t>、</w:t>
      </w:r>
      <w:r>
        <w:rPr>
          <w:rStyle w:val="27"/>
          <w:rFonts w:hint="eastAsia" w:ascii="黑体" w:hAnsi="黑体" w:eastAsia="黑体"/>
          <w:b w:val="0"/>
          <w:color w:val="auto"/>
        </w:rPr>
        <w:t>其他重要事项的情况说明</w:t>
      </w:r>
      <w:bookmarkEnd w:id="90"/>
      <w:bookmarkEnd w:id="91"/>
      <w:bookmarkEnd w:id="92"/>
      <w:bookmarkEnd w:id="93"/>
    </w:p>
    <w:p>
      <w:pPr>
        <w:keepNext w:val="0"/>
        <w:keepLines w:val="0"/>
        <w:pageBreakBefore w:val="0"/>
        <w:widowControl w:val="0"/>
        <w:kinsoku/>
        <w:wordWrap/>
        <w:overflowPunct/>
        <w:topLinePunct w:val="0"/>
        <w:bidi w:val="0"/>
        <w:spacing w:line="576" w:lineRule="exact"/>
        <w:ind w:firstLine="642" w:firstLineChars="200"/>
        <w:textAlignment w:val="auto"/>
        <w:outlineLvl w:val="2"/>
        <w:rPr>
          <w:rFonts w:hint="eastAsia" w:ascii="楷体" w:hAnsi="楷体" w:eastAsia="楷体" w:cs="楷体"/>
          <w:color w:val="auto"/>
          <w:sz w:val="32"/>
          <w:szCs w:val="32"/>
        </w:rPr>
      </w:pPr>
      <w:bookmarkStart w:id="94" w:name="_Toc79163625"/>
      <w:bookmarkStart w:id="95" w:name="_Toc15377222"/>
      <w:bookmarkStart w:id="96" w:name="_Toc79163875"/>
      <w:r>
        <w:rPr>
          <w:rFonts w:hint="eastAsia" w:ascii="楷体" w:hAnsi="楷体" w:eastAsia="楷体" w:cs="楷体"/>
          <w:b/>
          <w:color w:val="auto"/>
          <w:sz w:val="32"/>
          <w:szCs w:val="32"/>
        </w:rPr>
        <w:t>（一）机关运行经费支出情况</w:t>
      </w:r>
      <w:bookmarkEnd w:id="94"/>
      <w:bookmarkEnd w:id="95"/>
      <w:bookmarkEnd w:id="96"/>
    </w:p>
    <w:p>
      <w:pPr>
        <w:keepNext w:val="0"/>
        <w:keepLines w:val="0"/>
        <w:pageBreakBefore w:val="0"/>
        <w:widowControl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eastAsia="zh-CN"/>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eastAsia="zh-CN"/>
        </w:rPr>
        <w:t>城市公用事业服务中心</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24.6</w:t>
      </w:r>
      <w:r>
        <w:rPr>
          <w:rFonts w:hint="eastAsia" w:ascii="仿宋_GB2312" w:eastAsia="仿宋_GB2312"/>
          <w:color w:val="auto"/>
          <w:sz w:val="32"/>
          <w:szCs w:val="32"/>
        </w:rPr>
        <w:t>万元，</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0.49</w:t>
      </w:r>
      <w:r>
        <w:rPr>
          <w:rFonts w:hint="eastAsia" w:ascii="仿宋_GB2312" w:eastAsia="仿宋_GB2312"/>
          <w:color w:val="auto"/>
          <w:sz w:val="32"/>
          <w:szCs w:val="32"/>
        </w:rPr>
        <w:t>万元，</w:t>
      </w:r>
      <w:r>
        <w:rPr>
          <w:rFonts w:hint="eastAsia" w:ascii="仿宋_GB2312" w:eastAsia="仿宋_GB2312"/>
          <w:color w:val="auto"/>
          <w:sz w:val="32"/>
          <w:szCs w:val="32"/>
          <w:lang w:eastAsia="zh-CN"/>
        </w:rPr>
        <w:t>增长</w:t>
      </w: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人员增加。</w:t>
      </w:r>
    </w:p>
    <w:p>
      <w:pPr>
        <w:keepNext w:val="0"/>
        <w:keepLines w:val="0"/>
        <w:pageBreakBefore w:val="0"/>
        <w:widowControl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auto"/>
          <w:sz w:val="32"/>
          <w:szCs w:val="32"/>
        </w:rPr>
      </w:pPr>
      <w:bookmarkStart w:id="97" w:name="_Toc79163626"/>
      <w:bookmarkStart w:id="98" w:name="_Toc79163876"/>
      <w:bookmarkStart w:id="99" w:name="_Toc15377223"/>
      <w:r>
        <w:rPr>
          <w:rFonts w:hint="eastAsia" w:ascii="楷体" w:hAnsi="楷体" w:eastAsia="楷体" w:cs="楷体"/>
          <w:b/>
          <w:color w:val="auto"/>
          <w:sz w:val="32"/>
          <w:szCs w:val="32"/>
        </w:rPr>
        <w:t>（二）政府采购支出情况</w:t>
      </w:r>
      <w:bookmarkEnd w:id="97"/>
      <w:bookmarkEnd w:id="98"/>
      <w:bookmarkEnd w:id="99"/>
    </w:p>
    <w:p>
      <w:pPr>
        <w:keepNext w:val="0"/>
        <w:keepLines w:val="0"/>
        <w:pageBreakBefore w:val="0"/>
        <w:widowControl w:val="0"/>
        <w:kinsoku/>
        <w:wordWrap/>
        <w:overflowPunct/>
        <w:topLinePunct w:val="0"/>
        <w:bidi w:val="0"/>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eastAsia="zh-CN"/>
        </w:rPr>
        <w:t>城市公用事业服务中心</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573.5</w:t>
      </w:r>
      <w:r>
        <w:rPr>
          <w:rFonts w:hint="eastAsia" w:ascii="仿宋_GB2312" w:eastAsia="仿宋_GB2312"/>
          <w:color w:val="auto"/>
          <w:sz w:val="32"/>
          <w:szCs w:val="32"/>
        </w:rPr>
        <w:t>万元，其中：政府采购服务支出</w:t>
      </w:r>
      <w:r>
        <w:rPr>
          <w:rFonts w:hint="eastAsia" w:ascii="仿宋_GB2312" w:eastAsia="仿宋_GB2312"/>
          <w:color w:val="auto"/>
          <w:sz w:val="32"/>
          <w:szCs w:val="32"/>
          <w:lang w:val="en-US" w:eastAsia="zh-CN"/>
        </w:rPr>
        <w:t>573.5</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城市绿化管护、城市清扫保洁工作</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auto"/>
          <w:sz w:val="32"/>
          <w:szCs w:val="32"/>
        </w:rPr>
      </w:pPr>
      <w:bookmarkStart w:id="100" w:name="_Toc79163627"/>
      <w:bookmarkStart w:id="101" w:name="_Toc79163877"/>
      <w:bookmarkStart w:id="102" w:name="_Toc15377224"/>
      <w:r>
        <w:rPr>
          <w:rFonts w:hint="eastAsia" w:ascii="楷体" w:hAnsi="楷体" w:eastAsia="楷体" w:cs="楷体"/>
          <w:b/>
          <w:color w:val="auto"/>
          <w:sz w:val="32"/>
          <w:szCs w:val="32"/>
        </w:rPr>
        <w:t>（三）国有资产占有使用情况</w:t>
      </w:r>
      <w:bookmarkEnd w:id="100"/>
      <w:bookmarkEnd w:id="101"/>
      <w:bookmarkEnd w:id="102"/>
    </w:p>
    <w:p>
      <w:pPr>
        <w:keepNext w:val="0"/>
        <w:keepLines w:val="0"/>
        <w:pageBreakBefore w:val="0"/>
        <w:widowControl w:val="0"/>
        <w:kinsoku/>
        <w:wordWrap/>
        <w:overflowPunct/>
        <w:topLinePunct w:val="0"/>
        <w:autoSpaceDE w:val="0"/>
        <w:autoSpaceDN w:val="0"/>
        <w:bidi w:val="0"/>
        <w:adjustRightInd w:val="0"/>
        <w:spacing w:line="576" w:lineRule="exact"/>
        <w:ind w:firstLine="640" w:firstLineChars="200"/>
        <w:jc w:val="left"/>
        <w:textAlignment w:val="auto"/>
        <w:rPr>
          <w:rFonts w:ascii="仿宋" w:hAnsi="仿宋" w:eastAsia="仿宋"/>
          <w:b/>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城市公用事业服务中心</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28</w:t>
      </w:r>
      <w:r>
        <w:rPr>
          <w:rFonts w:hint="eastAsia" w:ascii="仿宋_GB2312" w:eastAsia="仿宋_GB2312"/>
          <w:color w:val="auto"/>
          <w:sz w:val="32"/>
          <w:szCs w:val="32"/>
        </w:rPr>
        <w:t>辆，其中：</w:t>
      </w:r>
      <w:r>
        <w:rPr>
          <w:rFonts w:hint="eastAsia" w:ascii="仿宋_GB2312" w:eastAsia="仿宋_GB2312"/>
          <w:color w:val="auto"/>
          <w:sz w:val="32"/>
          <w:szCs w:val="32"/>
          <w:lang w:eastAsia="zh-CN"/>
        </w:rPr>
        <w:t>应急保障用车</w:t>
      </w:r>
      <w:r>
        <w:rPr>
          <w:rFonts w:hint="eastAsia" w:ascii="仿宋_GB2312" w:eastAsia="仿宋_GB2312"/>
          <w:color w:val="auto"/>
          <w:sz w:val="32"/>
          <w:szCs w:val="32"/>
          <w:lang w:val="en-US" w:eastAsia="zh-CN"/>
        </w:rPr>
        <w:t>28辆</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auto"/>
          <w:sz w:val="32"/>
          <w:szCs w:val="32"/>
        </w:rPr>
      </w:pPr>
      <w:bookmarkStart w:id="103" w:name="_Toc79163878"/>
      <w:bookmarkStart w:id="104" w:name="_Toc79163628"/>
      <w:r>
        <w:rPr>
          <w:rFonts w:hint="eastAsia" w:ascii="楷体" w:hAnsi="楷体" w:eastAsia="楷体" w:cs="楷体"/>
          <w:b/>
          <w:color w:val="auto"/>
          <w:sz w:val="32"/>
          <w:szCs w:val="32"/>
        </w:rPr>
        <w:t>（四）预算绩效管理情况</w:t>
      </w:r>
      <w:bookmarkEnd w:id="103"/>
      <w:bookmarkEnd w:id="10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根据预算绩效管理要求，预算执行过程中，选取</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个项目开展了绩效目标完成情况梳理填报。</w:t>
      </w:r>
    </w:p>
    <w:p>
      <w:pPr>
        <w:keepNext w:val="0"/>
        <w:keepLines w:val="0"/>
        <w:pageBreakBefore w:val="0"/>
        <w:widowControl w:val="0"/>
        <w:kinsoku/>
        <w:wordWrap/>
        <w:overflowPunct/>
        <w:topLinePunct w:val="0"/>
        <w:bidi w:val="0"/>
        <w:adjustRightInd w:val="0"/>
        <w:snapToGrid w:val="0"/>
        <w:spacing w:line="576"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rPr>
        <w:t>本部门按要求对</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年部门整体支出开展绩效自评，从评价情况来看</w:t>
      </w:r>
      <w:r>
        <w:rPr>
          <w:rFonts w:hint="eastAsia" w:ascii="仿宋_GB2312" w:eastAsia="仿宋_GB2312"/>
          <w:color w:val="auto"/>
          <w:sz w:val="32"/>
          <w:szCs w:val="32"/>
        </w:rPr>
        <w:t>部门整体资金的绩效目标达到了预期效果，成本控制达到了预期目标，使各部门正常运转，发挥好城市管理局的作用，搞好全城的绿化养护及栽植、全城的环境卫生清扫、市政设施维修维护等工作，为全县老百姓提供了一个舒适优美的环境，为我县下一步创建全域旅游城市打下了基础，今后要加大管理力度，提高工作效率，合理安排人员和资金</w:t>
      </w:r>
      <w:r>
        <w:rPr>
          <w:rFonts w:hint="eastAsia" w:ascii="仿宋_GB2312" w:eastAsia="仿宋_GB2312"/>
          <w:color w:val="auto"/>
          <w:sz w:val="32"/>
          <w:szCs w:val="32"/>
          <w:lang w:eastAsia="zh-CN"/>
        </w:rPr>
        <w:t>。</w:t>
      </w:r>
    </w:p>
    <w:p>
      <w:pPr>
        <w:keepNext w:val="0"/>
        <w:keepLines w:val="0"/>
        <w:pageBreakBefore w:val="0"/>
        <w:widowControl w:val="0"/>
        <w:kinsoku/>
        <w:wordWrap/>
        <w:overflowPunct/>
        <w:topLinePunct w:val="0"/>
        <w:bidi w:val="0"/>
        <w:spacing w:line="576" w:lineRule="exact"/>
        <w:ind w:firstLine="642" w:firstLineChars="200"/>
        <w:textAlignment w:val="auto"/>
        <w:outlineLvl w:val="1"/>
        <w:rPr>
          <w:rStyle w:val="27"/>
          <w:rFonts w:ascii="仿宋_GB2312" w:hAnsi="黑体" w:eastAsia="仿宋_GB2312"/>
          <w:b w:val="0"/>
          <w:bCs w:val="0"/>
          <w:color w:val="auto"/>
        </w:rPr>
      </w:pPr>
      <w:r>
        <w:rPr>
          <w:rFonts w:hint="eastAsia" w:ascii="楷体" w:hAnsi="楷体" w:eastAsia="楷体" w:cs="楷体_GB2312"/>
          <w:b/>
          <w:bCs/>
          <w:color w:val="auto"/>
          <w:sz w:val="32"/>
          <w:szCs w:val="32"/>
          <w:lang w:eastAsia="zh-CN"/>
        </w:rPr>
        <w:t>（五）</w:t>
      </w:r>
      <w:r>
        <w:rPr>
          <w:rFonts w:hint="eastAsia" w:ascii="楷体" w:hAnsi="楷体" w:eastAsia="楷体" w:cs="楷体_GB2312"/>
          <w:b/>
          <w:bCs/>
          <w:color w:val="auto"/>
          <w:sz w:val="32"/>
          <w:szCs w:val="32"/>
        </w:rPr>
        <w:t>项目绩效目标完成情况</w:t>
      </w:r>
    </w:p>
    <w:p>
      <w:pPr>
        <w:keepNext w:val="0"/>
        <w:keepLines w:val="0"/>
        <w:pageBreakBefore w:val="0"/>
        <w:widowControl w:val="0"/>
        <w:kinsoku/>
        <w:wordWrap/>
        <w:overflowPunct/>
        <w:topLinePunct w:val="0"/>
        <w:bidi w:val="0"/>
        <w:spacing w:line="576" w:lineRule="exact"/>
        <w:ind w:firstLine="640" w:firstLineChars="200"/>
        <w:textAlignment w:val="auto"/>
        <w:outlineLvl w:val="1"/>
        <w:rPr>
          <w:rFonts w:ascii="仿宋_GB2312" w:hAnsi="黑体" w:eastAsia="仿宋_GB2312" w:cstheme="majorBidi"/>
          <w:color w:val="auto"/>
          <w:sz w:val="32"/>
          <w:szCs w:val="32"/>
        </w:rPr>
      </w:pPr>
      <w:r>
        <w:rPr>
          <w:rFonts w:hint="eastAsia" w:ascii="仿宋_GB2312" w:hAnsi="仿宋_GB2312" w:eastAsia="仿宋_GB2312" w:cs="仿宋_GB2312"/>
          <w:color w:val="auto"/>
          <w:sz w:val="32"/>
          <w:szCs w:val="32"/>
        </w:rPr>
        <w:t>本部门在</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sz w:val="32"/>
          <w:szCs w:val="32"/>
        </w:rPr>
        <w:t>凤凰景观灯采购项目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畅馨苑、晋茂新园、茂州花园栈道维修建设项目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“茂县城区环卫清扫保洁服务项目”“城北幼儿园雨水管网建设项目”“甘青防洪沟污水管网改造项目”5</w:t>
      </w:r>
      <w:r>
        <w:rPr>
          <w:rFonts w:hint="eastAsia" w:ascii="仿宋_GB2312" w:hAnsi="仿宋_GB2312" w:eastAsia="仿宋_GB2312" w:cs="仿宋_GB2312"/>
          <w:color w:val="auto"/>
          <w:sz w:val="32"/>
          <w:szCs w:val="32"/>
        </w:rPr>
        <w:t>个项目绩效目标实际完成情况。</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sz w:val="32"/>
          <w:szCs w:val="32"/>
        </w:rPr>
        <w:t>茂县城市公用事业服务中心凤凰景观灯采购项目</w:t>
      </w:r>
      <w:r>
        <w:rPr>
          <w:rFonts w:hint="eastAsia" w:ascii="仿宋_GB2312" w:hAnsi="仿宋_GB2312" w:eastAsia="仿宋_GB2312" w:cs="仿宋_GB2312"/>
          <w:sz w:val="32"/>
          <w:szCs w:val="32"/>
          <w:lang w:eastAsia="zh-CN"/>
        </w:rPr>
        <w:t>绩效目标完成情况综述。项目</w:t>
      </w:r>
      <w:r>
        <w:rPr>
          <w:rFonts w:hint="eastAsia" w:ascii="仿宋_GB2312" w:hAnsi="仿宋_GB2312" w:eastAsia="仿宋_GB2312" w:cs="仿宋_GB2312"/>
          <w:sz w:val="32"/>
          <w:szCs w:val="32"/>
          <w:lang w:val="zh-CN"/>
        </w:rPr>
        <w:t>预算</w:t>
      </w:r>
      <w:r>
        <w:rPr>
          <w:rFonts w:hint="eastAsia" w:ascii="仿宋_GB2312" w:hAnsi="仿宋_GB2312" w:eastAsia="仿宋_GB2312" w:cs="仿宋_GB2312"/>
          <w:sz w:val="32"/>
          <w:szCs w:val="32"/>
          <w:lang w:val="en-US" w:eastAsia="zh-CN"/>
        </w:rPr>
        <w:t>47.77</w:t>
      </w:r>
      <w:r>
        <w:rPr>
          <w:rFonts w:hint="eastAsia" w:ascii="仿宋_GB2312" w:hAnsi="仿宋_GB2312" w:eastAsia="仿宋_GB2312" w:cs="仿宋_GB2312"/>
          <w:sz w:val="32"/>
          <w:szCs w:val="32"/>
          <w:lang w:val="zh-CN"/>
        </w:rPr>
        <w:t>万元。项目实执行数47.77万元，完成预算的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。通过项目实施，保障照明设施达正常日运行，保障夜间交通安全、方便市民出行。</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畅馨苑、晋茂新园、茂州花园栈道维修建设</w:t>
      </w:r>
      <w:r>
        <w:rPr>
          <w:rFonts w:hint="eastAsia" w:ascii="仿宋_GB2312" w:hAnsi="仿宋_GB2312" w:eastAsia="仿宋_GB2312" w:cs="仿宋_GB2312"/>
          <w:color w:val="auto"/>
          <w:sz w:val="32"/>
          <w:szCs w:val="32"/>
        </w:rPr>
        <w:t>项目绩效目标完成情况综述。项目预算数</w:t>
      </w:r>
      <w:r>
        <w:rPr>
          <w:rFonts w:hint="eastAsia" w:ascii="仿宋_GB2312" w:hAnsi="仿宋_GB2312" w:eastAsia="仿宋_GB2312" w:cs="仿宋_GB2312"/>
          <w:color w:val="auto"/>
          <w:sz w:val="32"/>
          <w:szCs w:val="32"/>
          <w:lang w:val="en-US" w:eastAsia="zh-CN"/>
        </w:rPr>
        <w:t>15.76</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15.76</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 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通过项目实施完成了畅馨苑、晋茂新园、茂州花园栈道维修工作，切实保障了群众出行安全，及时消除安全隐患。</w:t>
      </w:r>
    </w:p>
    <w:p>
      <w:pPr>
        <w:keepNext w:val="0"/>
        <w:keepLines w:val="0"/>
        <w:pageBreakBefore w:val="0"/>
        <w:widowControl w:val="0"/>
        <w:numPr>
          <w:ilvl w:val="0"/>
          <w:numId w:val="0"/>
        </w:numPr>
        <w:kinsoku/>
        <w:wordWrap/>
        <w:overflowPunct/>
        <w:topLinePunct w:val="0"/>
        <w:bidi w:val="0"/>
        <w:spacing w:line="480" w:lineRule="auto"/>
        <w:ind w:firstLine="640" w:firstLineChars="200"/>
        <w:textAlignment w:val="auto"/>
        <w:rPr>
          <w:rFonts w:hint="eastAsia" w:ascii="仿宋_GB2312" w:hAnsi="仿宋_GB2312" w:eastAsia="仿宋_GB2312" w:cs="仿宋_GB2312"/>
          <w:color w:val="C00000"/>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茂县城区环卫清扫保洁服务</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322.59</w:t>
      </w:r>
      <w:r>
        <w:rPr>
          <w:rFonts w:hint="eastAsia" w:ascii="仿宋_GB2312" w:hAnsi="仿宋_GB2312" w:eastAsia="仿宋_GB2312" w:cs="仿宋_GB2312"/>
          <w:color w:val="auto"/>
          <w:sz w:val="32"/>
          <w:szCs w:val="32"/>
        </w:rPr>
        <w:t>万元，执行数</w:t>
      </w:r>
      <w:r>
        <w:rPr>
          <w:rFonts w:hint="eastAsia" w:ascii="仿宋_GB2312" w:hAnsi="仿宋_GB2312" w:eastAsia="仿宋_GB2312" w:cs="仿宋_GB2312"/>
          <w:color w:val="auto"/>
          <w:sz w:val="32"/>
          <w:szCs w:val="32"/>
          <w:lang w:val="en-US" w:eastAsia="zh-CN"/>
        </w:rPr>
        <w:t>322.59</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color w:val="auto"/>
          <w:sz w:val="32"/>
          <w:szCs w:val="32"/>
          <w:lang w:val="en-US" w:eastAsia="zh-CN"/>
        </w:rPr>
        <w:t>全县城区环境卫生得到明显改善，并充分有效的提高了城区环境卫生，为全县市民提供了一个舒适整洁的生活环境。</w:t>
      </w: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4.城北幼儿园雨水管网建设项目。</w:t>
      </w:r>
      <w:r>
        <w:rPr>
          <w:rFonts w:hint="eastAsia" w:ascii="仿宋_GB2312" w:hAnsi="仿宋_GB2312" w:eastAsia="仿宋_GB2312" w:cs="仿宋_GB2312"/>
          <w:color w:val="auto"/>
          <w:sz w:val="32"/>
          <w:szCs w:val="32"/>
        </w:rPr>
        <w:t>项目预算数</w:t>
      </w:r>
      <w:r>
        <w:rPr>
          <w:rFonts w:hint="eastAsia" w:ascii="仿宋_GB2312" w:hAnsi="仿宋_GB2312" w:eastAsia="仿宋_GB2312" w:cs="仿宋_GB2312"/>
          <w:color w:val="auto"/>
          <w:sz w:val="32"/>
          <w:szCs w:val="32"/>
          <w:lang w:val="en-US" w:eastAsia="zh-CN"/>
        </w:rPr>
        <w:t>13.55</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13.55</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保障雨水能正常排水</w:t>
      </w:r>
      <w:r>
        <w:rPr>
          <w:rFonts w:hint="eastAsia" w:ascii="仿宋_GB2312" w:hAnsi="仿宋_GB2312" w:eastAsia="仿宋_GB2312" w:cs="仿宋_GB2312"/>
          <w:color w:val="auto"/>
          <w:sz w:val="32"/>
          <w:szCs w:val="32"/>
        </w:rPr>
        <w:t>。</w:t>
      </w: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5.甘青防洪沟污水管网改造项目。</w:t>
      </w:r>
      <w:r>
        <w:rPr>
          <w:rFonts w:hint="eastAsia" w:ascii="仿宋_GB2312" w:hAnsi="仿宋_GB2312" w:eastAsia="仿宋_GB2312" w:cs="仿宋_GB2312"/>
          <w:color w:val="auto"/>
          <w:sz w:val="32"/>
          <w:szCs w:val="32"/>
        </w:rPr>
        <w:t>项目预算数</w:t>
      </w:r>
      <w:r>
        <w:rPr>
          <w:rFonts w:hint="eastAsia" w:ascii="仿宋_GB2312" w:hAnsi="仿宋_GB2312" w:eastAsia="仿宋_GB2312" w:cs="仿宋_GB2312"/>
          <w:color w:val="auto"/>
          <w:sz w:val="32"/>
          <w:szCs w:val="32"/>
          <w:lang w:val="en-US" w:eastAsia="zh-CN"/>
        </w:rPr>
        <w:t>7.86</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7.86</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 xml:space="preserve">100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为及时消除安全隐患，避免污水外溢，保障雨水能正常排水</w:t>
      </w:r>
      <w:r>
        <w:rPr>
          <w:rFonts w:hint="eastAsia" w:ascii="仿宋_GB2312" w:hAnsi="仿宋_GB2312" w:eastAsia="仿宋_GB2312" w:cs="仿宋_GB2312"/>
          <w:color w:val="auto"/>
          <w:sz w:val="32"/>
          <w:szCs w:val="32"/>
        </w:rPr>
        <w:t>。</w:t>
      </w: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p>
    <w:p>
      <w:pPr>
        <w:pStyle w:val="41"/>
        <w:keepNext w:val="0"/>
        <w:keepLines w:val="0"/>
        <w:pageBreakBefore w:val="0"/>
        <w:widowControl w:val="0"/>
        <w:kinsoku/>
        <w:wordWrap/>
        <w:overflowPunct/>
        <w:topLinePunct w:val="0"/>
        <w:bidi w:val="0"/>
        <w:spacing w:line="576" w:lineRule="exact"/>
        <w:ind w:firstLine="540" w:firstLineChars="0"/>
        <w:textAlignment w:val="auto"/>
        <w:rPr>
          <w:rFonts w:hint="default" w:ascii="仿宋_GB2312" w:hAnsi="仿宋_GB2312" w:eastAsia="仿宋_GB2312" w:cs="仿宋_GB2312"/>
          <w:color w:val="auto"/>
          <w:sz w:val="32"/>
          <w:szCs w:val="32"/>
          <w:lang w:val="en-US" w:eastAsia="zh-CN"/>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楷体" w:hAnsi="楷体" w:eastAsia="楷体" w:cs="楷体"/>
                <w:b/>
                <w:bCs/>
                <w:color w:val="auto"/>
                <w:kern w:val="0"/>
                <w:sz w:val="32"/>
                <w:szCs w:val="32"/>
              </w:rPr>
            </w:pPr>
          </w:p>
          <w:p>
            <w:pPr>
              <w:widowControl/>
              <w:jc w:val="center"/>
              <w:textAlignment w:val="center"/>
              <w:rPr>
                <w:rFonts w:hint="eastAsia" w:ascii="楷体" w:hAnsi="楷体" w:eastAsia="楷体" w:cs="楷体"/>
                <w:b/>
                <w:bCs/>
                <w:color w:val="auto"/>
                <w:kern w:val="0"/>
                <w:sz w:val="32"/>
                <w:szCs w:val="32"/>
                <w:lang w:eastAsia="zh-CN"/>
              </w:rPr>
            </w:pPr>
            <w:r>
              <w:rPr>
                <w:rFonts w:hint="eastAsia" w:ascii="楷体" w:hAnsi="楷体" w:eastAsia="楷体" w:cs="楷体"/>
                <w:b/>
                <w:bCs/>
                <w:color w:val="auto"/>
                <w:kern w:val="0"/>
                <w:sz w:val="32"/>
                <w:szCs w:val="32"/>
              </w:rPr>
              <w:t>项目绩效目标完成情况表</w:t>
            </w:r>
          </w:p>
          <w:p>
            <w:pPr>
              <w:widowControl/>
              <w:jc w:val="center"/>
              <w:textAlignment w:val="center"/>
              <w:rPr>
                <w:rFonts w:ascii="宋体" w:hAnsi="宋体" w:cs="宋体"/>
                <w:color w:val="auto"/>
                <w:sz w:val="21"/>
                <w:szCs w:val="21"/>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2021</w:t>
            </w:r>
            <w:r>
              <w:rPr>
                <w:rFonts w:hint="eastAsia" w:ascii="仿宋_GB2312" w:hAnsi="仿宋_GB2312" w:eastAsia="仿宋_GB2312" w:cs="仿宋_GB2312"/>
                <w:color w:val="auto"/>
                <w:kern w:val="0"/>
                <w:sz w:val="32"/>
                <w:szCs w:val="32"/>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凤凰景观灯采购项目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47.77万元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47.77万元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11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9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茂县城市公用事业服务中心凤凰景观灯采购项目</w:t>
            </w:r>
            <w:r>
              <w:rPr>
                <w:rFonts w:hint="eastAsia" w:ascii="仿宋_GB2312" w:hAnsi="仿宋_GB2312" w:eastAsia="仿宋_GB2312" w:cs="仿宋_GB2312"/>
                <w:sz w:val="24"/>
                <w:szCs w:val="24"/>
                <w:lang w:eastAsia="zh-CN"/>
              </w:rPr>
              <w:t>绩效目标完成情况综述。项目</w:t>
            </w:r>
            <w:r>
              <w:rPr>
                <w:rFonts w:hint="eastAsia" w:ascii="仿宋_GB2312" w:hAnsi="仿宋_GB2312" w:eastAsia="仿宋_GB2312" w:cs="仿宋_GB2312"/>
                <w:sz w:val="24"/>
                <w:szCs w:val="24"/>
                <w:lang w:val="zh-CN"/>
              </w:rPr>
              <w:t>预算</w:t>
            </w:r>
            <w:r>
              <w:rPr>
                <w:rFonts w:hint="eastAsia" w:ascii="仿宋_GB2312" w:hAnsi="仿宋_GB2312" w:eastAsia="仿宋_GB2312" w:cs="仿宋_GB2312"/>
                <w:sz w:val="24"/>
                <w:szCs w:val="24"/>
                <w:lang w:val="en-US" w:eastAsia="zh-CN"/>
              </w:rPr>
              <w:t>47.77</w:t>
            </w:r>
            <w:r>
              <w:rPr>
                <w:rFonts w:hint="eastAsia" w:ascii="仿宋_GB2312" w:hAnsi="仿宋_GB2312" w:eastAsia="仿宋_GB2312" w:cs="仿宋_GB2312"/>
                <w:sz w:val="24"/>
                <w:szCs w:val="24"/>
                <w:lang w:val="zh-CN"/>
              </w:rPr>
              <w:t>万元。项目实执行数47.77万元，完成预算的</w:t>
            </w:r>
            <w:r>
              <w:rPr>
                <w:rFonts w:hint="eastAsia" w:ascii="仿宋_GB2312" w:hAnsi="仿宋_GB2312" w:eastAsia="仿宋_GB2312" w:cs="仿宋_GB2312"/>
                <w:sz w:val="24"/>
                <w:szCs w:val="24"/>
                <w:lang w:val="en-US" w:eastAsia="zh-CN"/>
              </w:rPr>
              <w:t>100%</w:t>
            </w:r>
            <w:r>
              <w:rPr>
                <w:rFonts w:hint="eastAsia" w:ascii="仿宋_GB2312" w:hAnsi="仿宋_GB2312" w:eastAsia="仿宋_GB2312" w:cs="仿宋_GB2312"/>
                <w:sz w:val="24"/>
                <w:szCs w:val="24"/>
                <w:lang w:val="zh-CN"/>
              </w:rPr>
              <w:t>。通过项目实施，保障照明设施达正常日运行，保障夜间交通安全、方便市民出行。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茂县城市公用事业服务中心凤凰景观灯采购项目</w:t>
            </w:r>
            <w:r>
              <w:rPr>
                <w:rFonts w:hint="eastAsia" w:ascii="仿宋_GB2312" w:hAnsi="仿宋_GB2312" w:eastAsia="仿宋_GB2312" w:cs="仿宋_GB2312"/>
                <w:sz w:val="24"/>
                <w:szCs w:val="24"/>
                <w:lang w:eastAsia="zh-CN"/>
              </w:rPr>
              <w:t>绩效目标完成情况综述。项目</w:t>
            </w:r>
            <w:r>
              <w:rPr>
                <w:rFonts w:hint="eastAsia" w:ascii="仿宋_GB2312" w:hAnsi="仿宋_GB2312" w:eastAsia="仿宋_GB2312" w:cs="仿宋_GB2312"/>
                <w:sz w:val="24"/>
                <w:szCs w:val="24"/>
                <w:lang w:val="zh-CN"/>
              </w:rPr>
              <w:t>预算</w:t>
            </w:r>
            <w:r>
              <w:rPr>
                <w:rFonts w:hint="eastAsia" w:ascii="仿宋_GB2312" w:hAnsi="仿宋_GB2312" w:eastAsia="仿宋_GB2312" w:cs="仿宋_GB2312"/>
                <w:sz w:val="24"/>
                <w:szCs w:val="24"/>
                <w:lang w:val="en-US" w:eastAsia="zh-CN"/>
              </w:rPr>
              <w:t>47.77</w:t>
            </w:r>
            <w:r>
              <w:rPr>
                <w:rFonts w:hint="eastAsia" w:ascii="仿宋_GB2312" w:hAnsi="仿宋_GB2312" w:eastAsia="仿宋_GB2312" w:cs="仿宋_GB2312"/>
                <w:sz w:val="24"/>
                <w:szCs w:val="24"/>
                <w:lang w:val="zh-CN"/>
              </w:rPr>
              <w:t>万元。项目实执行数47.77万元，完成预算的</w:t>
            </w:r>
            <w:r>
              <w:rPr>
                <w:rFonts w:hint="eastAsia" w:ascii="仿宋_GB2312" w:hAnsi="仿宋_GB2312" w:eastAsia="仿宋_GB2312" w:cs="仿宋_GB2312"/>
                <w:sz w:val="24"/>
                <w:szCs w:val="24"/>
                <w:lang w:val="en-US" w:eastAsia="zh-CN"/>
              </w:rPr>
              <w:t>100%</w:t>
            </w:r>
            <w:r>
              <w:rPr>
                <w:rFonts w:hint="eastAsia" w:ascii="仿宋_GB2312" w:hAnsi="仿宋_GB2312" w:eastAsia="仿宋_GB2312" w:cs="仿宋_GB2312"/>
                <w:sz w:val="24"/>
                <w:szCs w:val="24"/>
                <w:lang w:val="zh-CN"/>
              </w:rPr>
              <w:t>。通过项目实施，保障照明设施达正常日运行，保障夜间交通安全、方便市民出行。</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项目预算数</w:t>
            </w:r>
            <w:r>
              <w:rPr>
                <w:rFonts w:hint="eastAsia" w:ascii="仿宋_GB2312" w:hAnsi="仿宋_GB2312" w:eastAsia="仿宋_GB2312" w:cs="仿宋_GB2312"/>
                <w:color w:val="000000"/>
                <w:sz w:val="24"/>
                <w:szCs w:val="24"/>
                <w:lang w:val="en-US" w:eastAsia="zh-CN"/>
              </w:rPr>
              <w:t>47.77万元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在</w:t>
            </w:r>
            <w:r>
              <w:rPr>
                <w:rFonts w:hint="eastAsia" w:ascii="仿宋_GB2312" w:hAnsi="仿宋_GB2312" w:eastAsia="仿宋_GB2312" w:cs="仿宋_GB2312"/>
                <w:color w:val="000000"/>
                <w:sz w:val="24"/>
                <w:szCs w:val="24"/>
                <w:lang w:val="en-US" w:eastAsia="zh-CN"/>
              </w:rPr>
              <w:t>2021</w:t>
            </w:r>
            <w:r>
              <w:rPr>
                <w:rFonts w:hint="eastAsia" w:ascii="仿宋_GB2312" w:hAnsi="仿宋_GB2312" w:eastAsia="仿宋_GB2312" w:cs="仿宋_GB2312"/>
                <w:color w:val="000000"/>
                <w:sz w:val="24"/>
                <w:szCs w:val="24"/>
              </w:rPr>
              <w:t>年度实际支付</w:t>
            </w:r>
            <w:r>
              <w:rPr>
                <w:rFonts w:hint="eastAsia" w:ascii="仿宋_GB2312" w:hAnsi="仿宋_GB2312" w:eastAsia="仿宋_GB2312" w:cs="仿宋_GB2312"/>
                <w:color w:val="000000"/>
                <w:sz w:val="24"/>
                <w:szCs w:val="24"/>
                <w:lang w:val="en-US" w:eastAsia="zh-CN"/>
              </w:rPr>
              <w:t>47.77</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凤凰灯安装数量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zh-CN"/>
              </w:rPr>
              <w:t>项目实施数量为12盏</w:t>
            </w:r>
            <w:r>
              <w:rPr>
                <w:rFonts w:hint="eastAsia" w:ascii="仿宋_GB2312" w:hAnsi="仿宋_GB2312" w:eastAsia="仿宋_GB2312" w:cs="仿宋_GB2312"/>
                <w:sz w:val="24"/>
                <w:szCs w:val="24"/>
              </w:rPr>
              <w:t>凤凰景观灯，采购中标47.7万元</w:t>
            </w:r>
            <w:r>
              <w:rPr>
                <w:rFonts w:hint="eastAsia" w:ascii="仿宋_GB2312" w:hAnsi="仿宋_GB2312" w:eastAsia="仿宋_GB2312" w:cs="仿宋_GB2312"/>
                <w:sz w:val="24"/>
                <w:szCs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zh-CN"/>
              </w:rPr>
              <w:t>项目实施数量为12盏</w:t>
            </w:r>
            <w:r>
              <w:rPr>
                <w:rFonts w:hint="eastAsia" w:ascii="仿宋_GB2312" w:hAnsi="仿宋_GB2312" w:eastAsia="仿宋_GB2312" w:cs="仿宋_GB2312"/>
                <w:sz w:val="24"/>
                <w:szCs w:val="24"/>
              </w:rPr>
              <w:t>凤凰景观灯，采购中标47.7万元</w:t>
            </w:r>
            <w:r>
              <w:rPr>
                <w:rFonts w:hint="eastAsia" w:ascii="仿宋_GB2312" w:hAnsi="仿宋_GB2312" w:eastAsia="仿宋_GB2312" w:cs="仿宋_GB2312"/>
                <w:sz w:val="24"/>
                <w:szCs w:val="24"/>
                <w:lang w:eastAsia="zh-CN"/>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当年12月底</w:t>
            </w:r>
            <w:r>
              <w:rPr>
                <w:rFonts w:hint="eastAsia" w:ascii="仿宋_GB2312" w:hAnsi="仿宋_GB2312" w:eastAsia="仿宋_GB2312" w:cs="仿宋_GB2312"/>
                <w:color w:val="000000"/>
                <w:sz w:val="24"/>
                <w:szCs w:val="24"/>
                <w:lang w:eastAsia="zh-CN"/>
              </w:rPr>
              <w:t>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当年12月底前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通过项目的实施确保了茂汶大桥路灯设施正常运行，为市民夜间出行提供了保障，为维护城市治安提供了基础，同时美化了城市夜景</w:t>
            </w:r>
            <w:r>
              <w:rPr>
                <w:rFonts w:hint="eastAsia" w:ascii="仿宋_GB2312" w:hAnsi="仿宋_GB2312" w:eastAsia="仿宋_GB2312" w:cs="仿宋_GB2312"/>
                <w:sz w:val="24"/>
                <w:szCs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通过项目的实施确保了茂汶大桥路灯设施正常运行，为市民夜间出行提供了保障，为维护城市治安提供了基础，同时美化了城市夜景</w:t>
            </w:r>
            <w:r>
              <w:rPr>
                <w:rFonts w:hint="eastAsia" w:ascii="仿宋_GB2312" w:hAnsi="仿宋_GB2312" w:eastAsia="仿宋_GB2312" w:cs="仿宋_GB2312"/>
                <w:sz w:val="24"/>
                <w:szCs w:val="24"/>
                <w:lang w:eastAsia="zh-CN"/>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开展工作满意度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实际满意度为9</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b/>
                <w:bCs/>
                <w:color w:val="000000"/>
                <w:kern w:val="0"/>
                <w:sz w:val="24"/>
                <w:szCs w:val="24"/>
              </w:rPr>
            </w:pPr>
          </w:p>
          <w:p>
            <w:pPr>
              <w:widowControl/>
              <w:jc w:val="both"/>
              <w:textAlignment w:val="center"/>
              <w:rPr>
                <w:rFonts w:hint="eastAsia" w:ascii="仿宋_GB2312" w:hAnsi="仿宋_GB2312" w:eastAsia="仿宋_GB2312" w:cs="仿宋_GB2312"/>
                <w:b/>
                <w:bCs/>
                <w:color w:val="000000"/>
                <w:kern w:val="0"/>
                <w:sz w:val="24"/>
                <w:szCs w:val="24"/>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pStyle w:val="2"/>
              <w:rPr>
                <w:rFonts w:hint="eastAsia" w:ascii="楷体" w:hAnsi="楷体" w:eastAsia="楷体" w:cs="楷体"/>
                <w:b/>
                <w:bCs/>
                <w:color w:val="auto"/>
                <w:kern w:val="0"/>
                <w:sz w:val="32"/>
                <w:szCs w:val="32"/>
              </w:rPr>
            </w:pPr>
          </w:p>
          <w:p>
            <w:pPr>
              <w:widowControl/>
              <w:jc w:val="center"/>
              <w:textAlignment w:val="center"/>
              <w:rPr>
                <w:rFonts w:hint="eastAsia" w:ascii="楷体" w:hAnsi="楷体" w:eastAsia="楷体" w:cs="楷体"/>
                <w:b/>
                <w:bCs/>
                <w:color w:val="auto"/>
                <w:kern w:val="0"/>
                <w:sz w:val="32"/>
                <w:szCs w:val="32"/>
                <w:lang w:eastAsia="zh-CN"/>
              </w:rPr>
            </w:pPr>
            <w:r>
              <w:rPr>
                <w:rFonts w:hint="eastAsia" w:ascii="楷体" w:hAnsi="楷体" w:eastAsia="楷体" w:cs="楷体"/>
                <w:b/>
                <w:bCs/>
                <w:color w:val="auto"/>
                <w:kern w:val="0"/>
                <w:sz w:val="32"/>
                <w:szCs w:val="32"/>
              </w:rPr>
              <w:t>项目绩效目标完成情况表</w:t>
            </w:r>
          </w:p>
          <w:p>
            <w:pPr>
              <w:widowControl/>
              <w:jc w:val="center"/>
              <w:textAlignment w:val="center"/>
              <w:rPr>
                <w:rFonts w:ascii="宋体" w:hAnsi="宋体" w:cs="宋体"/>
                <w:color w:val="auto"/>
                <w:sz w:val="21"/>
                <w:szCs w:val="21"/>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2021</w:t>
            </w:r>
            <w:r>
              <w:rPr>
                <w:rFonts w:hint="eastAsia" w:ascii="仿宋_GB2312" w:hAnsi="仿宋_GB2312" w:eastAsia="仿宋_GB2312" w:cs="仿宋_GB2312"/>
                <w:color w:val="auto"/>
                <w:kern w:val="0"/>
                <w:sz w:val="32"/>
                <w:szCs w:val="32"/>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auto"/>
                <w:sz w:val="24"/>
                <w:szCs w:val="24"/>
                <w:lang w:eastAsia="zh-CN"/>
              </w:rPr>
              <w:t>畅馨苑、晋茂新园、茂州花园栈道维修建设</w:t>
            </w:r>
            <w:r>
              <w:rPr>
                <w:rFonts w:hint="eastAsia" w:ascii="仿宋_GB2312" w:hAnsi="仿宋_GB2312" w:eastAsia="仿宋_GB2312" w:cs="仿宋_GB2312"/>
                <w:color w:val="auto"/>
                <w:sz w:val="24"/>
                <w:szCs w:val="24"/>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15.76万元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15.76万元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11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9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畅馨苑、晋茂新园、茂州花园栈道维修建设</w:t>
            </w:r>
            <w:r>
              <w:rPr>
                <w:rFonts w:hint="eastAsia" w:ascii="仿宋_GB2312" w:hAnsi="仿宋_GB2312" w:eastAsia="仿宋_GB2312" w:cs="仿宋_GB2312"/>
                <w:color w:val="auto"/>
                <w:sz w:val="24"/>
                <w:szCs w:val="24"/>
              </w:rPr>
              <w:t>项目绩效目标完成情况综述。项目预算数</w:t>
            </w:r>
            <w:r>
              <w:rPr>
                <w:rFonts w:hint="eastAsia" w:ascii="仿宋_GB2312" w:hAnsi="仿宋_GB2312" w:eastAsia="仿宋_GB2312" w:cs="仿宋_GB2312"/>
                <w:color w:val="auto"/>
                <w:sz w:val="24"/>
                <w:szCs w:val="24"/>
                <w:lang w:val="en-US" w:eastAsia="zh-CN"/>
              </w:rPr>
              <w:t>15.76</w:t>
            </w:r>
            <w:r>
              <w:rPr>
                <w:rFonts w:hint="eastAsia" w:ascii="仿宋_GB2312" w:hAnsi="仿宋_GB2312" w:eastAsia="仿宋_GB2312" w:cs="仿宋_GB2312"/>
                <w:color w:val="auto"/>
                <w:sz w:val="24"/>
                <w:szCs w:val="24"/>
              </w:rPr>
              <w:t>万元，执行数为</w:t>
            </w:r>
            <w:r>
              <w:rPr>
                <w:rFonts w:hint="eastAsia" w:ascii="仿宋_GB2312" w:hAnsi="仿宋_GB2312" w:eastAsia="仿宋_GB2312" w:cs="仿宋_GB2312"/>
                <w:color w:val="auto"/>
                <w:sz w:val="24"/>
                <w:szCs w:val="24"/>
                <w:lang w:val="en-US" w:eastAsia="zh-CN"/>
              </w:rPr>
              <w:t>15.76</w:t>
            </w:r>
            <w:r>
              <w:rPr>
                <w:rFonts w:hint="eastAsia" w:ascii="仿宋_GB2312" w:hAnsi="仿宋_GB2312" w:eastAsia="仿宋_GB2312" w:cs="仿宋_GB2312"/>
                <w:color w:val="auto"/>
                <w:sz w:val="24"/>
                <w:szCs w:val="24"/>
              </w:rPr>
              <w:t>万元，完成预算的</w:t>
            </w:r>
            <w:r>
              <w:rPr>
                <w:rFonts w:hint="eastAsia" w:ascii="仿宋_GB2312" w:hAnsi="仿宋_GB2312" w:eastAsia="仿宋_GB2312" w:cs="仿宋_GB2312"/>
                <w:color w:val="auto"/>
                <w:sz w:val="24"/>
                <w:szCs w:val="24"/>
                <w:lang w:val="en-US" w:eastAsia="zh-CN"/>
              </w:rPr>
              <w:t xml:space="preserve"> 100 </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通过项目实施完成了畅馨苑、晋茂新园、茂州花园栈道维修工作，切实保障了群众出行安全，及时消除安全隐患。</w:t>
            </w:r>
          </w:p>
          <w:p>
            <w:pPr>
              <w:widowControl/>
              <w:jc w:val="center"/>
              <w:textAlignment w:val="center"/>
              <w:rPr>
                <w:rFonts w:hint="eastAsia" w:ascii="仿宋_GB2312" w:hAnsi="仿宋_GB2312" w:eastAsia="仿宋_GB2312" w:cs="仿宋_GB2312"/>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畅馨苑、晋茂新园、茂州花园栈道维修建设</w:t>
            </w:r>
            <w:r>
              <w:rPr>
                <w:rFonts w:hint="eastAsia" w:ascii="仿宋_GB2312" w:hAnsi="仿宋_GB2312" w:eastAsia="仿宋_GB2312" w:cs="仿宋_GB2312"/>
                <w:color w:val="auto"/>
                <w:sz w:val="24"/>
                <w:szCs w:val="24"/>
              </w:rPr>
              <w:t>项目绩效目标完成情况综述。项目预算数</w:t>
            </w:r>
            <w:r>
              <w:rPr>
                <w:rFonts w:hint="eastAsia" w:ascii="仿宋_GB2312" w:hAnsi="仿宋_GB2312" w:eastAsia="仿宋_GB2312" w:cs="仿宋_GB2312"/>
                <w:color w:val="auto"/>
                <w:sz w:val="24"/>
                <w:szCs w:val="24"/>
                <w:lang w:val="en-US" w:eastAsia="zh-CN"/>
              </w:rPr>
              <w:t>15.76</w:t>
            </w:r>
            <w:r>
              <w:rPr>
                <w:rFonts w:hint="eastAsia" w:ascii="仿宋_GB2312" w:hAnsi="仿宋_GB2312" w:eastAsia="仿宋_GB2312" w:cs="仿宋_GB2312"/>
                <w:color w:val="auto"/>
                <w:sz w:val="24"/>
                <w:szCs w:val="24"/>
              </w:rPr>
              <w:t>万元，执行数为</w:t>
            </w:r>
            <w:r>
              <w:rPr>
                <w:rFonts w:hint="eastAsia" w:ascii="仿宋_GB2312" w:hAnsi="仿宋_GB2312" w:eastAsia="仿宋_GB2312" w:cs="仿宋_GB2312"/>
                <w:color w:val="auto"/>
                <w:sz w:val="24"/>
                <w:szCs w:val="24"/>
                <w:lang w:val="en-US" w:eastAsia="zh-CN"/>
              </w:rPr>
              <w:t>15.76</w:t>
            </w:r>
            <w:r>
              <w:rPr>
                <w:rFonts w:hint="eastAsia" w:ascii="仿宋_GB2312" w:hAnsi="仿宋_GB2312" w:eastAsia="仿宋_GB2312" w:cs="仿宋_GB2312"/>
                <w:color w:val="auto"/>
                <w:sz w:val="24"/>
                <w:szCs w:val="24"/>
              </w:rPr>
              <w:t>万元，完成预算的</w:t>
            </w:r>
            <w:r>
              <w:rPr>
                <w:rFonts w:hint="eastAsia" w:ascii="仿宋_GB2312" w:hAnsi="仿宋_GB2312" w:eastAsia="仿宋_GB2312" w:cs="仿宋_GB2312"/>
                <w:color w:val="auto"/>
                <w:sz w:val="24"/>
                <w:szCs w:val="24"/>
                <w:lang w:val="en-US" w:eastAsia="zh-CN"/>
              </w:rPr>
              <w:t xml:space="preserve"> 100 </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通过项目实施完成了畅馨苑、晋茂新园、茂州花园栈道维修工作，切实保障了群众出行安全，及时消除安全隐患。</w:t>
            </w:r>
          </w:p>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项目预算数</w:t>
            </w:r>
            <w:r>
              <w:rPr>
                <w:rFonts w:hint="eastAsia" w:ascii="仿宋_GB2312" w:hAnsi="仿宋_GB2312" w:eastAsia="仿宋_GB2312" w:cs="仿宋_GB2312"/>
                <w:color w:val="000000"/>
                <w:sz w:val="24"/>
                <w:szCs w:val="24"/>
                <w:lang w:val="en-US" w:eastAsia="zh-CN"/>
              </w:rPr>
              <w:t>15.76万元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在</w:t>
            </w:r>
            <w:r>
              <w:rPr>
                <w:rFonts w:hint="eastAsia" w:ascii="仿宋_GB2312" w:hAnsi="仿宋_GB2312" w:eastAsia="仿宋_GB2312" w:cs="仿宋_GB2312"/>
                <w:color w:val="000000"/>
                <w:sz w:val="24"/>
                <w:szCs w:val="24"/>
                <w:lang w:val="en-US" w:eastAsia="zh-CN"/>
              </w:rPr>
              <w:t>2021</w:t>
            </w:r>
            <w:r>
              <w:rPr>
                <w:rFonts w:hint="eastAsia" w:ascii="仿宋_GB2312" w:hAnsi="仿宋_GB2312" w:eastAsia="仿宋_GB2312" w:cs="仿宋_GB2312"/>
                <w:color w:val="000000"/>
                <w:sz w:val="24"/>
                <w:szCs w:val="24"/>
              </w:rPr>
              <w:t>年度实际支付</w:t>
            </w:r>
            <w:r>
              <w:rPr>
                <w:rFonts w:hint="eastAsia" w:ascii="仿宋_GB2312" w:hAnsi="仿宋_GB2312" w:eastAsia="仿宋_GB2312" w:cs="仿宋_GB2312"/>
                <w:color w:val="000000"/>
                <w:sz w:val="24"/>
                <w:szCs w:val="24"/>
                <w:lang w:val="en-US" w:eastAsia="zh-CN"/>
              </w:rPr>
              <w:t>15.76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2021</w:t>
            </w:r>
            <w:r>
              <w:rPr>
                <w:rFonts w:hint="eastAsia" w:ascii="仿宋_GB2312" w:hAnsi="仿宋_GB2312" w:eastAsia="仿宋_GB2312" w:cs="仿宋_GB2312"/>
                <w:color w:val="000000"/>
                <w:sz w:val="24"/>
                <w:szCs w:val="24"/>
              </w:rPr>
              <w:t>年12月底</w:t>
            </w:r>
            <w:r>
              <w:rPr>
                <w:rFonts w:hint="eastAsia" w:ascii="仿宋_GB2312" w:hAnsi="仿宋_GB2312" w:eastAsia="仿宋_GB2312" w:cs="仿宋_GB2312"/>
                <w:color w:val="000000"/>
                <w:sz w:val="24"/>
                <w:szCs w:val="24"/>
                <w:lang w:eastAsia="zh-CN"/>
              </w:rPr>
              <w:t>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2021年12月底前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通过项目实施完成了畅馨苑、晋茂新园、茂州花园栈道维修工作，切实保障了群众出行安全，及时消除安全隐患。</w:t>
            </w:r>
          </w:p>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通过项目实施完成了畅馨苑、晋茂新园、茂州花园栈道维修工作，切实保障了群众出行安全，及时消除安全隐患。</w:t>
            </w:r>
          </w:p>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开展工作满意度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实际满意度为9</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rPr>
            </w:pPr>
          </w:p>
          <w:p>
            <w:pPr>
              <w:widowControl/>
              <w:jc w:val="both"/>
              <w:textAlignment w:val="center"/>
              <w:rPr>
                <w:rFonts w:hint="eastAsia"/>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p>
            <w:pPr>
              <w:pStyle w:val="2"/>
              <w:rPr>
                <w:rFonts w:hint="eastAsia" w:ascii="仿宋_GB2312" w:hAnsi="仿宋_GB2312" w:eastAsia="仿宋_GB2312" w:cs="仿宋_GB2312"/>
                <w:b/>
                <w:bCs/>
                <w:color w:val="000000"/>
                <w:kern w:val="0"/>
                <w:sz w:val="24"/>
                <w:szCs w:val="24"/>
              </w:rPr>
            </w:pPr>
          </w:p>
        </w:tc>
      </w:tr>
      <w:tr>
        <w:tblPrEx>
          <w:tblCellMar>
            <w:top w:w="0" w:type="dxa"/>
            <w:left w:w="0" w:type="dxa"/>
            <w:bottom w:w="0" w:type="dxa"/>
            <w:right w:w="0" w:type="dxa"/>
          </w:tblCellMar>
        </w:tblPrEx>
        <w:trPr>
          <w:trHeight w:val="1766"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lang w:eastAsia="zh-CN"/>
              </w:rPr>
            </w:pPr>
            <w:r>
              <w:rPr>
                <w:rFonts w:hint="eastAsia" w:ascii="楷体" w:hAnsi="楷体" w:eastAsia="楷体" w:cs="楷体"/>
                <w:b/>
                <w:bCs/>
                <w:color w:val="000000"/>
                <w:kern w:val="0"/>
                <w:sz w:val="32"/>
                <w:szCs w:val="32"/>
              </w:rPr>
              <w:t>项目绩效目标完成情况表</w:t>
            </w:r>
          </w:p>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茂县城区环卫清扫保洁服务</w:t>
            </w:r>
            <w:r>
              <w:rPr>
                <w:rFonts w:hint="eastAsia" w:ascii="仿宋_GB2312" w:hAnsi="仿宋_GB2312" w:eastAsia="仿宋_GB2312" w:cs="仿宋_GB2312"/>
                <w:color w:val="auto"/>
                <w:sz w:val="24"/>
                <w:szCs w:val="24"/>
              </w:rPr>
              <w:t>项目</w:t>
            </w:r>
          </w:p>
        </w:tc>
      </w:tr>
      <w:tr>
        <w:tblPrEx>
          <w:tblCellMar>
            <w:top w:w="0" w:type="dxa"/>
            <w:left w:w="0" w:type="dxa"/>
            <w:bottom w:w="0" w:type="dxa"/>
            <w:right w:w="0" w:type="dxa"/>
          </w:tblCellMar>
        </w:tblPrEx>
        <w:trPr>
          <w:trHeight w:val="90"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322.59万元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322.59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214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完成茂县城区1、茂县县城公共区域环卫清扫保洁，包含已建成的市政道路、人行道、公共广场、垃圾中转站、雨鼻子、公共围栏、道路边沟、边坡、桥梁、涵洞、果皮箱、垃圾桶、垃圾转运箱等市政公共设施的环境卫生管理和清扫保洁。2、公厕管护、公共厕所日常运行保洁管理和维修维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bl>
            <w:tblPr>
              <w:tblStyle w:val="21"/>
              <w:tblpPr w:leftFromText="180" w:rightFromText="180" w:vertAnchor="text" w:horzAnchor="page" w:tblpXSpec="center" w:tblpY="423"/>
              <w:tblOverlap w:val="never"/>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jc w:val="center"/>
              </w:trPr>
              <w:tc>
                <w:tcPr>
                  <w:tcW w:w="4786" w:type="dxa"/>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z w:val="24"/>
                      <w:szCs w:val="24"/>
                      <w:lang w:val="en-US" w:eastAsia="zh-CN"/>
                    </w:rPr>
                    <w:t>完成茂县城区1、茂县县城公共区域环卫清扫保洁，包含已建成的市政道路、人行道、公共广场、垃圾中转站、雨鼻子、公共围栏、道路边沟、边坡、桥梁、涵洞、果皮箱、垃圾桶、垃圾转运箱等市政公共设施的环境卫生管理和清扫保洁。2、公厕管、公共厕所日常运行保洁管理和维修维护。</w:t>
                  </w:r>
                </w:p>
              </w:tc>
            </w:tr>
          </w:tbl>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项目资金预算</w:t>
            </w:r>
            <w:r>
              <w:rPr>
                <w:rFonts w:hint="eastAsia" w:ascii="仿宋_GB2312" w:hAnsi="仿宋_GB2312" w:eastAsia="仿宋_GB2312" w:cs="仿宋_GB2312"/>
                <w:color w:val="000000"/>
                <w:sz w:val="24"/>
                <w:szCs w:val="24"/>
                <w:lang w:val="en-US" w:eastAsia="zh-CN"/>
              </w:rPr>
              <w:t>322.59万元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实际支付了322.59万元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完成清扫保洁数据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完成茂县城区公共区域环卫保洁城区公共厕所清扫。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完成茂县城区公共区域环卫保洁及城区公共厕所清扫。</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2021年12月底</w:t>
            </w:r>
            <w:r>
              <w:rPr>
                <w:rFonts w:hint="eastAsia" w:ascii="仿宋_GB2312" w:hAnsi="仿宋_GB2312" w:eastAsia="仿宋_GB2312" w:cs="仿宋_GB2312"/>
                <w:color w:val="000000"/>
                <w:sz w:val="24"/>
                <w:szCs w:val="24"/>
                <w:lang w:eastAsia="zh-CN"/>
              </w:rPr>
              <w:t>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2021年12月底</w:t>
            </w:r>
            <w:r>
              <w:rPr>
                <w:rFonts w:hint="eastAsia" w:ascii="仿宋_GB2312" w:hAnsi="仿宋_GB2312" w:eastAsia="仿宋_GB2312" w:cs="仿宋_GB2312"/>
                <w:color w:val="000000"/>
                <w:sz w:val="24"/>
                <w:szCs w:val="24"/>
                <w:lang w:eastAsia="zh-CN"/>
              </w:rPr>
              <w:t>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达到效益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全县城区环境卫生得到明显改善，并充分有效的提高了城区环卫保洁。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全县城区环境卫生得到明显改善，并充分有效的提高了城区环卫保洁。</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社会满意度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预期满意度为100%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实际满意度为</w:t>
            </w:r>
            <w:r>
              <w:rPr>
                <w:rFonts w:hint="eastAsia" w:ascii="仿宋_GB2312" w:hAnsi="仿宋_GB2312" w:eastAsia="仿宋_GB2312" w:cs="仿宋_GB2312"/>
                <w:color w:val="000000"/>
                <w:sz w:val="24"/>
                <w:szCs w:val="24"/>
                <w:lang w:val="en-US" w:eastAsia="zh-CN"/>
              </w:rPr>
              <w:t>97</w:t>
            </w:r>
            <w:r>
              <w:rPr>
                <w:rFonts w:hint="eastAsia" w:ascii="仿宋_GB2312" w:hAnsi="仿宋_GB2312" w:eastAsia="仿宋_GB2312" w:cs="仿宋_GB2312"/>
                <w:color w:val="000000"/>
                <w:sz w:val="24"/>
                <w:szCs w:val="24"/>
              </w:rPr>
              <w:t>%</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sz w:val="24"/>
                <w:szCs w:val="24"/>
                <w14:textFill>
                  <w14:gradFill>
                    <w14:gsLst>
                      <w14:gs w14:pos="0">
                        <w14:srgbClr w14:val="FE4444"/>
                      </w14:gs>
                      <w14:gs w14:pos="100000">
                        <w14:srgbClr w14:val="832B2B"/>
                      </w14:gs>
                    </w14:gsLst>
                    <w14:lin w14:scaled="false"/>
                  </w14:gradFill>
                </w14:textFill>
              </w:rPr>
            </w:pPr>
          </w:p>
        </w:tc>
      </w:tr>
    </w:tbl>
    <w:p>
      <w:pPr>
        <w:spacing w:line="580" w:lineRule="exact"/>
        <w:rPr>
          <w:rFonts w:hint="eastAsia" w:ascii="仿宋_GB2312" w:hAnsi="仿宋_GB2312" w:eastAsia="仿宋_GB2312" w:cs="仿宋_GB2312"/>
          <w:sz w:val="24"/>
          <w:szCs w:val="24"/>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458"/>
        <w:gridCol w:w="2328"/>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pStyle w:val="2"/>
              <w:rPr>
                <w:rFonts w:hint="eastAsia" w:ascii="楷体" w:hAnsi="楷体" w:eastAsia="楷体" w:cs="楷体"/>
                <w:b/>
                <w:bCs/>
                <w:color w:val="000000"/>
                <w:kern w:val="0"/>
                <w:sz w:val="32"/>
                <w:szCs w:val="32"/>
              </w:rPr>
            </w:pPr>
          </w:p>
          <w:p>
            <w:pPr>
              <w:widowControl/>
              <w:jc w:val="center"/>
              <w:textAlignment w:val="center"/>
              <w:rPr>
                <w:rFonts w:hint="eastAsia" w:ascii="楷体" w:hAnsi="楷体" w:eastAsia="楷体" w:cs="楷体"/>
                <w:b/>
                <w:bCs/>
                <w:color w:val="000000"/>
                <w:kern w:val="0"/>
                <w:sz w:val="32"/>
                <w:szCs w:val="32"/>
              </w:rPr>
            </w:pPr>
            <w:r>
              <w:rPr>
                <w:rFonts w:hint="eastAsia" w:ascii="楷体" w:hAnsi="楷体" w:eastAsia="楷体" w:cs="楷体"/>
                <w:b/>
                <w:bCs/>
                <w:color w:val="000000"/>
                <w:kern w:val="0"/>
                <w:sz w:val="32"/>
                <w:szCs w:val="32"/>
              </w:rPr>
              <w:t>项目绩效目标完成情况表</w:t>
            </w:r>
          </w:p>
          <w:p>
            <w:pPr>
              <w:widowControl/>
              <w:jc w:val="center"/>
              <w:textAlignment w:val="center"/>
              <w:rPr>
                <w:rFonts w:ascii="宋体" w:cs="宋体"/>
                <w:color w:val="000000"/>
                <w:sz w:val="36"/>
                <w:szCs w:val="36"/>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1"/>
              <w:keepNext w:val="0"/>
              <w:keepLines w:val="0"/>
              <w:pageBreakBefore w:val="0"/>
              <w:widowControl w:val="0"/>
              <w:kinsoku/>
              <w:wordWrap/>
              <w:overflowPunct/>
              <w:topLinePunct w:val="0"/>
              <w:bidi w:val="0"/>
              <w:spacing w:line="576" w:lineRule="exact"/>
              <w:ind w:firstLine="540" w:firstLineChars="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城北幼儿园雨水管网建设项目</w:t>
            </w:r>
          </w:p>
          <w:p>
            <w:pPr>
              <w:widowControl/>
              <w:jc w:val="center"/>
              <w:textAlignment w:val="center"/>
              <w:rPr>
                <w:rFonts w:hint="eastAsia" w:ascii="仿宋_GB2312" w:hAnsi="仿宋_GB2312" w:eastAsia="仿宋_GB2312" w:cs="仿宋_GB2312"/>
                <w:color w:val="000000"/>
                <w:sz w:val="24"/>
                <w:szCs w:val="24"/>
                <w:lang w:eastAsia="zh-CN"/>
              </w:rPr>
            </w:pP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8"/>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13.55万元</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执行数:</w:t>
            </w: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13.55万元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329"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城北幼儿园雨水管网建设项目。</w:t>
            </w:r>
            <w:r>
              <w:rPr>
                <w:rFonts w:hint="eastAsia" w:ascii="仿宋_GB2312" w:hAnsi="仿宋_GB2312" w:eastAsia="仿宋_GB2312" w:cs="仿宋_GB2312"/>
                <w:color w:val="auto"/>
                <w:sz w:val="24"/>
                <w:szCs w:val="24"/>
              </w:rPr>
              <w:t>项目预算数</w:t>
            </w:r>
            <w:r>
              <w:rPr>
                <w:rFonts w:hint="eastAsia" w:ascii="仿宋_GB2312" w:hAnsi="仿宋_GB2312" w:eastAsia="仿宋_GB2312" w:cs="仿宋_GB2312"/>
                <w:color w:val="auto"/>
                <w:sz w:val="24"/>
                <w:szCs w:val="24"/>
                <w:lang w:val="en-US" w:eastAsia="zh-CN"/>
              </w:rPr>
              <w:t>13.55</w:t>
            </w:r>
            <w:r>
              <w:rPr>
                <w:rFonts w:hint="eastAsia" w:ascii="仿宋_GB2312" w:hAnsi="仿宋_GB2312" w:eastAsia="仿宋_GB2312" w:cs="仿宋_GB2312"/>
                <w:color w:val="auto"/>
                <w:sz w:val="24"/>
                <w:szCs w:val="24"/>
              </w:rPr>
              <w:t>万元，执行数为</w:t>
            </w:r>
            <w:r>
              <w:rPr>
                <w:rFonts w:hint="eastAsia" w:ascii="仿宋_GB2312" w:hAnsi="仿宋_GB2312" w:eastAsia="仿宋_GB2312" w:cs="仿宋_GB2312"/>
                <w:color w:val="auto"/>
                <w:sz w:val="24"/>
                <w:szCs w:val="24"/>
                <w:lang w:val="en-US" w:eastAsia="zh-CN"/>
              </w:rPr>
              <w:t>13.55</w:t>
            </w:r>
            <w:r>
              <w:rPr>
                <w:rFonts w:hint="eastAsia" w:ascii="仿宋_GB2312" w:hAnsi="仿宋_GB2312" w:eastAsia="仿宋_GB2312" w:cs="仿宋_GB2312"/>
                <w:color w:val="auto"/>
                <w:sz w:val="24"/>
                <w:szCs w:val="24"/>
              </w:rPr>
              <w:t>万元，完成预算的</w:t>
            </w:r>
            <w:r>
              <w:rPr>
                <w:rFonts w:hint="eastAsia" w:ascii="仿宋_GB2312" w:hAnsi="仿宋_GB2312" w:eastAsia="仿宋_GB2312" w:cs="仿宋_GB2312"/>
                <w:color w:val="auto"/>
                <w:sz w:val="24"/>
                <w:szCs w:val="24"/>
                <w:lang w:val="en-US" w:eastAsia="zh-CN"/>
              </w:rPr>
              <w:t xml:space="preserve">100 </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，保障雨水能正常排水</w:t>
            </w:r>
            <w:r>
              <w:rPr>
                <w:rFonts w:hint="eastAsia" w:ascii="仿宋_GB2312" w:hAnsi="仿宋_GB2312" w:eastAsia="仿宋_GB2312" w:cs="仿宋_GB2312"/>
                <w:color w:val="auto"/>
                <w:sz w:val="24"/>
                <w:szCs w:val="24"/>
              </w:rPr>
              <w:t>。</w:t>
            </w:r>
          </w:p>
          <w:p>
            <w:pPr>
              <w:widowControl/>
              <w:jc w:val="center"/>
              <w:textAlignment w:val="center"/>
              <w:rPr>
                <w:rFonts w:hint="eastAsia" w:ascii="仿宋_GB2312" w:hAnsi="仿宋_GB2312" w:eastAsia="仿宋_GB2312" w:cs="仿宋_GB2312"/>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城北幼儿园雨水管网建设项目。</w:t>
            </w:r>
            <w:r>
              <w:rPr>
                <w:rFonts w:hint="eastAsia" w:ascii="仿宋_GB2312" w:hAnsi="仿宋_GB2312" w:eastAsia="仿宋_GB2312" w:cs="仿宋_GB2312"/>
                <w:color w:val="auto"/>
                <w:sz w:val="24"/>
                <w:szCs w:val="24"/>
              </w:rPr>
              <w:t>项目预算数</w:t>
            </w:r>
            <w:r>
              <w:rPr>
                <w:rFonts w:hint="eastAsia" w:ascii="仿宋_GB2312" w:hAnsi="仿宋_GB2312" w:eastAsia="仿宋_GB2312" w:cs="仿宋_GB2312"/>
                <w:color w:val="auto"/>
                <w:sz w:val="24"/>
                <w:szCs w:val="24"/>
                <w:lang w:val="en-US" w:eastAsia="zh-CN"/>
              </w:rPr>
              <w:t>13.55</w:t>
            </w:r>
            <w:r>
              <w:rPr>
                <w:rFonts w:hint="eastAsia" w:ascii="仿宋_GB2312" w:hAnsi="仿宋_GB2312" w:eastAsia="仿宋_GB2312" w:cs="仿宋_GB2312"/>
                <w:color w:val="auto"/>
                <w:sz w:val="24"/>
                <w:szCs w:val="24"/>
              </w:rPr>
              <w:t>万元，执行数为</w:t>
            </w:r>
            <w:r>
              <w:rPr>
                <w:rFonts w:hint="eastAsia" w:ascii="仿宋_GB2312" w:hAnsi="仿宋_GB2312" w:eastAsia="仿宋_GB2312" w:cs="仿宋_GB2312"/>
                <w:color w:val="auto"/>
                <w:sz w:val="24"/>
                <w:szCs w:val="24"/>
                <w:lang w:val="en-US" w:eastAsia="zh-CN"/>
              </w:rPr>
              <w:t>13.55</w:t>
            </w:r>
            <w:r>
              <w:rPr>
                <w:rFonts w:hint="eastAsia" w:ascii="仿宋_GB2312" w:hAnsi="仿宋_GB2312" w:eastAsia="仿宋_GB2312" w:cs="仿宋_GB2312"/>
                <w:color w:val="auto"/>
                <w:sz w:val="24"/>
                <w:szCs w:val="24"/>
              </w:rPr>
              <w:t>万元，完成预算的</w:t>
            </w:r>
            <w:r>
              <w:rPr>
                <w:rFonts w:hint="eastAsia" w:ascii="仿宋_GB2312" w:hAnsi="仿宋_GB2312" w:eastAsia="仿宋_GB2312" w:cs="仿宋_GB2312"/>
                <w:color w:val="auto"/>
                <w:sz w:val="24"/>
                <w:szCs w:val="24"/>
                <w:lang w:val="en-US" w:eastAsia="zh-CN"/>
              </w:rPr>
              <w:t xml:space="preserve">100 </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，保障雨水能正常排水</w:t>
            </w:r>
            <w:r>
              <w:rPr>
                <w:rFonts w:hint="eastAsia" w:ascii="仿宋_GB2312" w:hAnsi="仿宋_GB2312" w:eastAsia="仿宋_GB2312" w:cs="仿宋_GB2312"/>
                <w:color w:val="auto"/>
                <w:sz w:val="24"/>
                <w:szCs w:val="24"/>
              </w:rPr>
              <w:t>。</w:t>
            </w:r>
          </w:p>
          <w:p>
            <w:pPr>
              <w:pStyle w:val="41"/>
              <w:ind w:firstLine="540" w:firstLineChars="0"/>
              <w:rPr>
                <w:rFonts w:hint="eastAsia" w:ascii="仿宋_GB2312" w:hAnsi="仿宋_GB2312" w:eastAsia="仿宋_GB2312" w:cs="仿宋_GB2312"/>
                <w:sz w:val="24"/>
                <w:szCs w:val="24"/>
              </w:rPr>
            </w:pPr>
          </w:p>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预期指标值(包含数字及文字描述)</w:t>
            </w: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成本测算</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auto"/>
                <w:sz w:val="24"/>
                <w:szCs w:val="24"/>
              </w:rPr>
              <w:t>项目预算数</w:t>
            </w:r>
            <w:r>
              <w:rPr>
                <w:rFonts w:hint="eastAsia" w:ascii="仿宋_GB2312" w:hAnsi="仿宋_GB2312" w:eastAsia="仿宋_GB2312" w:cs="仿宋_GB2312"/>
                <w:color w:val="auto"/>
                <w:sz w:val="24"/>
                <w:szCs w:val="24"/>
                <w:lang w:val="en-US" w:eastAsia="zh-CN"/>
              </w:rPr>
              <w:t xml:space="preserve"> 13.552</w:t>
            </w:r>
            <w:r>
              <w:rPr>
                <w:rFonts w:hint="eastAsia" w:ascii="仿宋_GB2312" w:hAnsi="仿宋_GB2312" w:eastAsia="仿宋_GB2312" w:cs="仿宋_GB2312"/>
                <w:color w:val="auto"/>
                <w:sz w:val="24"/>
                <w:szCs w:val="24"/>
              </w:rPr>
              <w:t>万元</w:t>
            </w:r>
            <w:r>
              <w:rPr>
                <w:rFonts w:hint="eastAsia" w:ascii="仿宋_GB2312" w:hAnsi="仿宋_GB2312" w:eastAsia="仿宋_GB2312" w:cs="仿宋_GB2312"/>
                <w:color w:val="auto"/>
                <w:sz w:val="24"/>
                <w:szCs w:val="24"/>
                <w:lang w:eastAsia="zh-CN"/>
              </w:rPr>
              <w:t>。</w:t>
            </w: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auto"/>
                <w:sz w:val="24"/>
                <w:szCs w:val="24"/>
              </w:rPr>
              <w:t>项目</w:t>
            </w:r>
            <w:r>
              <w:rPr>
                <w:rFonts w:hint="eastAsia" w:ascii="仿宋_GB2312" w:hAnsi="仿宋_GB2312" w:eastAsia="仿宋_GB2312" w:cs="仿宋_GB2312"/>
                <w:color w:val="auto"/>
                <w:sz w:val="24"/>
                <w:szCs w:val="24"/>
                <w:lang w:eastAsia="zh-CN"/>
              </w:rPr>
              <w:t>执行</w:t>
            </w:r>
            <w:r>
              <w:rPr>
                <w:rFonts w:hint="eastAsia" w:ascii="仿宋_GB2312" w:hAnsi="仿宋_GB2312" w:eastAsia="仿宋_GB2312" w:cs="仿宋_GB2312"/>
                <w:color w:val="auto"/>
                <w:sz w:val="24"/>
                <w:szCs w:val="24"/>
              </w:rPr>
              <w:t>数</w:t>
            </w:r>
            <w:r>
              <w:rPr>
                <w:rFonts w:hint="eastAsia" w:ascii="仿宋_GB2312" w:hAnsi="仿宋_GB2312" w:eastAsia="仿宋_GB2312" w:cs="仿宋_GB2312"/>
                <w:color w:val="auto"/>
                <w:sz w:val="24"/>
                <w:szCs w:val="24"/>
                <w:lang w:val="en-US" w:eastAsia="zh-CN"/>
              </w:rPr>
              <w:t>13.55</w:t>
            </w:r>
            <w:r>
              <w:rPr>
                <w:rFonts w:hint="eastAsia" w:ascii="仿宋_GB2312" w:hAnsi="仿宋_GB2312" w:eastAsia="仿宋_GB2312" w:cs="仿宋_GB2312"/>
                <w:color w:val="auto"/>
                <w:sz w:val="24"/>
                <w:szCs w:val="24"/>
              </w:rPr>
              <w:t>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完成时间</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2021年12月底</w:t>
            </w:r>
            <w:r>
              <w:rPr>
                <w:rFonts w:hint="eastAsia" w:ascii="仿宋_GB2312" w:hAnsi="仿宋_GB2312" w:eastAsia="仿宋_GB2312" w:cs="仿宋_GB2312"/>
                <w:color w:val="000000"/>
                <w:sz w:val="24"/>
                <w:szCs w:val="24"/>
                <w:lang w:eastAsia="zh-CN"/>
              </w:rPr>
              <w:t>前</w:t>
            </w: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2021年12月底</w:t>
            </w:r>
            <w:r>
              <w:rPr>
                <w:rFonts w:hint="eastAsia" w:ascii="仿宋_GB2312" w:hAnsi="仿宋_GB2312" w:eastAsia="仿宋_GB2312" w:cs="仿宋_GB2312"/>
                <w:color w:val="000000"/>
                <w:sz w:val="24"/>
                <w:szCs w:val="24"/>
                <w:lang w:eastAsia="zh-CN"/>
              </w:rPr>
              <w:t>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达到效益</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1"/>
              <w:keepNext w:val="0"/>
              <w:keepLines w:val="0"/>
              <w:pageBreakBefore w:val="0"/>
              <w:widowControl w:val="0"/>
              <w:kinsoku/>
              <w:wordWrap/>
              <w:overflowPunct/>
              <w:topLinePunct w:val="0"/>
              <w:bidi w:val="0"/>
              <w:spacing w:line="576" w:lineRule="exact"/>
              <w:ind w:left="0" w:leftChars="0" w:firstLine="0" w:firstLineChars="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保障雨水能正常排水</w:t>
            </w:r>
            <w:r>
              <w:rPr>
                <w:rFonts w:hint="eastAsia" w:ascii="仿宋_GB2312" w:hAnsi="仿宋_GB2312" w:eastAsia="仿宋_GB2312" w:cs="仿宋_GB2312"/>
                <w:color w:val="auto"/>
                <w:sz w:val="24"/>
                <w:szCs w:val="24"/>
              </w:rPr>
              <w:t>。</w:t>
            </w:r>
          </w:p>
          <w:p>
            <w:pPr>
              <w:widowControl/>
              <w:jc w:val="center"/>
              <w:textAlignment w:val="center"/>
              <w:rPr>
                <w:rFonts w:hint="eastAsia" w:ascii="仿宋_GB2312" w:hAnsi="仿宋_GB2312" w:eastAsia="仿宋_GB2312" w:cs="仿宋_GB2312"/>
                <w:color w:val="000000"/>
                <w:sz w:val="24"/>
                <w:szCs w:val="24"/>
              </w:rPr>
            </w:pP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1"/>
              <w:keepNext w:val="0"/>
              <w:keepLines w:val="0"/>
              <w:pageBreakBefore w:val="0"/>
              <w:widowControl w:val="0"/>
              <w:kinsoku/>
              <w:wordWrap/>
              <w:overflowPunct/>
              <w:topLinePunct w:val="0"/>
              <w:bidi w:val="0"/>
              <w:spacing w:line="576" w:lineRule="exact"/>
              <w:ind w:firstLine="540" w:firstLineChars="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保障雨水能正常排水</w:t>
            </w:r>
            <w:r>
              <w:rPr>
                <w:rFonts w:hint="eastAsia" w:ascii="仿宋_GB2312" w:hAnsi="仿宋_GB2312" w:eastAsia="仿宋_GB2312" w:cs="仿宋_GB2312"/>
                <w:color w:val="auto"/>
                <w:sz w:val="24"/>
                <w:szCs w:val="24"/>
              </w:rPr>
              <w:t>。</w:t>
            </w:r>
          </w:p>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社会满意度</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3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97%</w:t>
            </w:r>
          </w:p>
        </w:tc>
      </w:tr>
    </w:tbl>
    <w:p>
      <w:pPr>
        <w:spacing w:line="580" w:lineRule="exact"/>
        <w:rPr>
          <w:rFonts w:hint="eastAsia" w:ascii="仿宋_GB2312" w:hAnsi="仿宋_GB2312" w:eastAsia="仿宋_GB2312" w:cs="仿宋_GB2312"/>
          <w:sz w:val="21"/>
          <w:szCs w:val="21"/>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p>
          <w:p>
            <w:pPr>
              <w:widowControl/>
              <w:jc w:val="center"/>
              <w:textAlignment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项目绩效目标完成情况表</w:t>
            </w:r>
          </w:p>
          <w:p>
            <w:pPr>
              <w:widowControl/>
              <w:jc w:val="center"/>
              <w:textAlignment w:val="center"/>
              <w:rPr>
                <w:rFonts w:hint="eastAsia" w:ascii="仿宋_GB2312" w:hAnsi="仿宋_GB2312" w:eastAsia="仿宋_GB2312" w:cs="仿宋_GB2312"/>
                <w:color w:val="000000"/>
                <w:sz w:val="36"/>
                <w:szCs w:val="36"/>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auto"/>
                <w:sz w:val="24"/>
                <w:szCs w:val="24"/>
                <w:lang w:val="en-US" w:eastAsia="zh-CN"/>
              </w:rPr>
              <w:t>甘青防洪沟污水管网改造项目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城市公用事业服务中心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8"/>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7.86万元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7.86万元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329"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auto"/>
                <w:sz w:val="24"/>
                <w:szCs w:val="24"/>
                <w:lang w:val="en-US" w:eastAsia="zh-CN"/>
              </w:rPr>
              <w:t>甘青防洪沟污水管网改造项目。</w:t>
            </w:r>
            <w:r>
              <w:rPr>
                <w:rFonts w:hint="eastAsia" w:ascii="仿宋_GB2312" w:hAnsi="仿宋_GB2312" w:eastAsia="仿宋_GB2312" w:cs="仿宋_GB2312"/>
                <w:color w:val="auto"/>
                <w:sz w:val="24"/>
                <w:szCs w:val="24"/>
              </w:rPr>
              <w:t>项目预算数</w:t>
            </w:r>
            <w:r>
              <w:rPr>
                <w:rFonts w:hint="eastAsia" w:ascii="仿宋_GB2312" w:hAnsi="仿宋_GB2312" w:eastAsia="仿宋_GB2312" w:cs="仿宋_GB2312"/>
                <w:color w:val="auto"/>
                <w:sz w:val="24"/>
                <w:szCs w:val="24"/>
                <w:lang w:val="en-US" w:eastAsia="zh-CN"/>
              </w:rPr>
              <w:t>7.86</w:t>
            </w:r>
            <w:r>
              <w:rPr>
                <w:rFonts w:hint="eastAsia" w:ascii="仿宋_GB2312" w:hAnsi="仿宋_GB2312" w:eastAsia="仿宋_GB2312" w:cs="仿宋_GB2312"/>
                <w:color w:val="auto"/>
                <w:sz w:val="24"/>
                <w:szCs w:val="24"/>
              </w:rPr>
              <w:t>万元，执行数为</w:t>
            </w:r>
            <w:r>
              <w:rPr>
                <w:rFonts w:hint="eastAsia" w:ascii="仿宋_GB2312" w:hAnsi="仿宋_GB2312" w:eastAsia="仿宋_GB2312" w:cs="仿宋_GB2312"/>
                <w:color w:val="auto"/>
                <w:sz w:val="24"/>
                <w:szCs w:val="24"/>
                <w:lang w:val="en-US" w:eastAsia="zh-CN"/>
              </w:rPr>
              <w:t>7.86</w:t>
            </w:r>
            <w:r>
              <w:rPr>
                <w:rFonts w:hint="eastAsia" w:ascii="仿宋_GB2312" w:hAnsi="仿宋_GB2312" w:eastAsia="仿宋_GB2312" w:cs="仿宋_GB2312"/>
                <w:color w:val="auto"/>
                <w:sz w:val="24"/>
                <w:szCs w:val="24"/>
              </w:rPr>
              <w:t>万元，完成预算的</w:t>
            </w:r>
            <w:r>
              <w:rPr>
                <w:rFonts w:hint="eastAsia" w:ascii="仿宋_GB2312" w:hAnsi="仿宋_GB2312" w:eastAsia="仿宋_GB2312" w:cs="仿宋_GB2312"/>
                <w:color w:val="auto"/>
                <w:sz w:val="24"/>
                <w:szCs w:val="24"/>
                <w:lang w:val="en-US" w:eastAsia="zh-CN"/>
              </w:rPr>
              <w:t xml:space="preserve">100 </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为及时消除安全隐患，避免污水外溢，保障雨水能正常排水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41"/>
              <w:ind w:firstLine="540" w:firstLineChars="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甘青防洪沟污水管网改造项目。</w:t>
            </w:r>
            <w:r>
              <w:rPr>
                <w:rFonts w:hint="eastAsia" w:ascii="仿宋_GB2312" w:hAnsi="仿宋_GB2312" w:eastAsia="仿宋_GB2312" w:cs="仿宋_GB2312"/>
                <w:color w:val="auto"/>
                <w:sz w:val="24"/>
                <w:szCs w:val="24"/>
              </w:rPr>
              <w:t>项目预算数</w:t>
            </w:r>
            <w:r>
              <w:rPr>
                <w:rFonts w:hint="eastAsia" w:ascii="仿宋_GB2312" w:hAnsi="仿宋_GB2312" w:eastAsia="仿宋_GB2312" w:cs="仿宋_GB2312"/>
                <w:color w:val="auto"/>
                <w:sz w:val="24"/>
                <w:szCs w:val="24"/>
                <w:lang w:val="en-US" w:eastAsia="zh-CN"/>
              </w:rPr>
              <w:t>7.86</w:t>
            </w:r>
            <w:r>
              <w:rPr>
                <w:rFonts w:hint="eastAsia" w:ascii="仿宋_GB2312" w:hAnsi="仿宋_GB2312" w:eastAsia="仿宋_GB2312" w:cs="仿宋_GB2312"/>
                <w:color w:val="auto"/>
                <w:sz w:val="24"/>
                <w:szCs w:val="24"/>
              </w:rPr>
              <w:t>万元，执行数为</w:t>
            </w:r>
            <w:r>
              <w:rPr>
                <w:rFonts w:hint="eastAsia" w:ascii="仿宋_GB2312" w:hAnsi="仿宋_GB2312" w:eastAsia="仿宋_GB2312" w:cs="仿宋_GB2312"/>
                <w:color w:val="auto"/>
                <w:sz w:val="24"/>
                <w:szCs w:val="24"/>
                <w:lang w:val="en-US" w:eastAsia="zh-CN"/>
              </w:rPr>
              <w:t>7.86</w:t>
            </w:r>
            <w:r>
              <w:rPr>
                <w:rFonts w:hint="eastAsia" w:ascii="仿宋_GB2312" w:hAnsi="仿宋_GB2312" w:eastAsia="仿宋_GB2312" w:cs="仿宋_GB2312"/>
                <w:color w:val="auto"/>
                <w:sz w:val="24"/>
                <w:szCs w:val="24"/>
              </w:rPr>
              <w:t>万元，完成预算的</w:t>
            </w:r>
            <w:r>
              <w:rPr>
                <w:rFonts w:hint="eastAsia" w:ascii="仿宋_GB2312" w:hAnsi="仿宋_GB2312" w:eastAsia="仿宋_GB2312" w:cs="仿宋_GB2312"/>
                <w:color w:val="auto"/>
                <w:sz w:val="24"/>
                <w:szCs w:val="24"/>
                <w:lang w:val="en-US" w:eastAsia="zh-CN"/>
              </w:rPr>
              <w:t xml:space="preserve">100 </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为及时消除安全隐患，避免污水外溢，保障雨水能正常排水</w:t>
            </w:r>
          </w:p>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auto"/>
                <w:sz w:val="24"/>
                <w:szCs w:val="24"/>
              </w:rPr>
              <w:t>项目预算数</w:t>
            </w:r>
            <w:r>
              <w:rPr>
                <w:rFonts w:hint="eastAsia" w:ascii="仿宋_GB2312" w:hAnsi="仿宋_GB2312" w:eastAsia="仿宋_GB2312" w:cs="仿宋_GB2312"/>
                <w:color w:val="auto"/>
                <w:sz w:val="24"/>
                <w:szCs w:val="24"/>
                <w:lang w:val="en-US" w:eastAsia="zh-CN"/>
              </w:rPr>
              <w:t xml:space="preserve"> 7.86</w:t>
            </w:r>
            <w:r>
              <w:rPr>
                <w:rFonts w:hint="eastAsia" w:ascii="仿宋_GB2312" w:hAnsi="仿宋_GB2312" w:eastAsia="仿宋_GB2312" w:cs="仿宋_GB2312"/>
                <w:color w:val="auto"/>
                <w:sz w:val="24"/>
                <w:szCs w:val="24"/>
              </w:rPr>
              <w:t>万元</w:t>
            </w:r>
            <w:r>
              <w:rPr>
                <w:rFonts w:hint="eastAsia" w:ascii="仿宋_GB2312" w:hAnsi="仿宋_GB2312" w:eastAsia="仿宋_GB2312" w:cs="仿宋_GB2312"/>
                <w:color w:val="auto"/>
                <w:sz w:val="24"/>
                <w:szCs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auto"/>
                <w:sz w:val="24"/>
                <w:szCs w:val="24"/>
              </w:rPr>
              <w:t>项目</w:t>
            </w:r>
            <w:r>
              <w:rPr>
                <w:rFonts w:hint="eastAsia" w:ascii="仿宋_GB2312" w:hAnsi="仿宋_GB2312" w:eastAsia="仿宋_GB2312" w:cs="仿宋_GB2312"/>
                <w:color w:val="auto"/>
                <w:sz w:val="24"/>
                <w:szCs w:val="24"/>
                <w:lang w:eastAsia="zh-CN"/>
              </w:rPr>
              <w:t>执行</w:t>
            </w:r>
            <w:r>
              <w:rPr>
                <w:rFonts w:hint="eastAsia" w:ascii="仿宋_GB2312" w:hAnsi="仿宋_GB2312" w:eastAsia="仿宋_GB2312" w:cs="仿宋_GB2312"/>
                <w:color w:val="auto"/>
                <w:sz w:val="24"/>
                <w:szCs w:val="24"/>
              </w:rPr>
              <w:t>数</w:t>
            </w:r>
            <w:r>
              <w:rPr>
                <w:rFonts w:hint="eastAsia" w:ascii="仿宋_GB2312" w:hAnsi="仿宋_GB2312" w:eastAsia="仿宋_GB2312" w:cs="仿宋_GB2312"/>
                <w:color w:val="auto"/>
                <w:sz w:val="24"/>
                <w:szCs w:val="24"/>
                <w:lang w:val="en-US" w:eastAsia="zh-CN"/>
              </w:rPr>
              <w:t>7.86</w:t>
            </w:r>
            <w:r>
              <w:rPr>
                <w:rFonts w:hint="eastAsia" w:ascii="仿宋_GB2312" w:hAnsi="仿宋_GB2312" w:eastAsia="仿宋_GB2312" w:cs="仿宋_GB2312"/>
                <w:color w:val="auto"/>
                <w:sz w:val="24"/>
                <w:szCs w:val="24"/>
              </w:rPr>
              <w:t>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2021年12月底</w:t>
            </w:r>
            <w:r>
              <w:rPr>
                <w:rFonts w:hint="eastAsia" w:ascii="仿宋_GB2312" w:hAnsi="仿宋_GB2312" w:eastAsia="仿宋_GB2312" w:cs="仿宋_GB2312"/>
                <w:color w:val="000000"/>
                <w:sz w:val="24"/>
                <w:szCs w:val="24"/>
                <w:lang w:eastAsia="zh-CN"/>
              </w:rPr>
              <w:t>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2021年12月底</w:t>
            </w:r>
            <w:r>
              <w:rPr>
                <w:rFonts w:hint="eastAsia" w:ascii="仿宋_GB2312" w:hAnsi="仿宋_GB2312" w:eastAsia="仿宋_GB2312" w:cs="仿宋_GB2312"/>
                <w:color w:val="000000"/>
                <w:sz w:val="24"/>
                <w:szCs w:val="24"/>
                <w:lang w:eastAsia="zh-CN"/>
              </w:rPr>
              <w:t>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达到效益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80" w:lineRule="exact"/>
              <w:ind w:firstLine="480" w:firstLineChars="200"/>
              <w:rPr>
                <w:rFonts w:hint="eastAsia" w:ascii="仿宋_GB2312" w:hAnsi="仿宋_GB2312" w:eastAsia="仿宋_GB2312" w:cs="仿宋_GB2312"/>
                <w:sz w:val="24"/>
                <w:szCs w:val="24"/>
                <w:lang w:eastAsia="zh-CN"/>
              </w:rPr>
            </w:pPr>
          </w:p>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auto"/>
                <w:sz w:val="24"/>
                <w:szCs w:val="24"/>
                <w:lang w:eastAsia="zh-CN"/>
              </w:rPr>
              <w:t>为及时消除安全隐患，避免污水外溢，保障雨水能正常排水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auto"/>
                <w:sz w:val="24"/>
                <w:szCs w:val="24"/>
                <w:lang w:eastAsia="zh-CN"/>
              </w:rPr>
              <w:t>为及时消除安全隐患，避免污水外溢，保障雨水能正常排水</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社会满意度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97%</w:t>
            </w:r>
          </w:p>
        </w:tc>
      </w:tr>
    </w:tbl>
    <w:p>
      <w:pPr>
        <w:spacing w:line="580" w:lineRule="exact"/>
        <w:rPr>
          <w:rFonts w:hint="eastAsia" w:ascii="仿宋_GB2312" w:hAnsi="仿宋_GB2312" w:eastAsia="仿宋_GB2312" w:cs="仿宋_GB2312"/>
          <w:sz w:val="24"/>
          <w:szCs w:val="24"/>
        </w:rPr>
      </w:pPr>
    </w:p>
    <w:p>
      <w:pPr>
        <w:spacing w:line="580" w:lineRule="exact"/>
        <w:rPr>
          <w:rFonts w:hint="eastAsia" w:ascii="楷体" w:hAnsi="楷体" w:eastAsia="楷体" w:cs="楷体"/>
          <w:sz w:val="44"/>
          <w:szCs w:val="44"/>
        </w:rPr>
      </w:pPr>
      <w:r>
        <w:rPr>
          <w:rFonts w:hint="eastAsia" w:ascii="楷体" w:hAnsi="楷体" w:eastAsia="楷体" w:cs="楷体"/>
          <w:sz w:val="44"/>
          <w:szCs w:val="44"/>
        </w:rPr>
        <w:t>2.部门绩效评价结果</w:t>
      </w:r>
    </w:p>
    <w:p>
      <w:pPr>
        <w:widowControl/>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b w:val="0"/>
          <w:bCs/>
          <w:sz w:val="32"/>
          <w:szCs w:val="32"/>
          <w:shd w:val="clear" w:color="auto" w:fill="FFFFFF"/>
          <w:lang w:eastAsia="zh-CN"/>
        </w:rPr>
        <w:t>城市公用事业服务中心</w:t>
      </w:r>
      <w:r>
        <w:rPr>
          <w:rFonts w:hint="eastAsia" w:ascii="仿宋_GB2312" w:hAnsi="仿宋_GB2312" w:eastAsia="仿宋_GB2312" w:cs="仿宋_GB2312"/>
          <w:bCs/>
          <w:sz w:val="32"/>
          <w:szCs w:val="32"/>
          <w:shd w:val="clear" w:color="auto" w:fill="FFFFFF"/>
        </w:rPr>
        <w:t>关于202</w:t>
      </w:r>
      <w:r>
        <w:rPr>
          <w:rFonts w:hint="eastAsia" w:ascii="仿宋_GB2312" w:hAnsi="仿宋_GB2312" w:eastAsia="仿宋_GB2312" w:cs="仿宋_GB2312"/>
          <w:bCs/>
          <w:sz w:val="32"/>
          <w:szCs w:val="32"/>
          <w:shd w:val="clear" w:color="auto" w:fill="FFFFFF"/>
          <w:lang w:val="en-US" w:eastAsia="zh-CN"/>
        </w:rPr>
        <w:t>1</w:t>
      </w:r>
      <w:r>
        <w:rPr>
          <w:rFonts w:hint="eastAsia" w:ascii="仿宋_GB2312" w:hAnsi="仿宋_GB2312" w:eastAsia="仿宋_GB2312" w:cs="仿宋_GB2312"/>
          <w:bCs/>
          <w:sz w:val="32"/>
          <w:szCs w:val="32"/>
          <w:shd w:val="clear" w:color="auto" w:fill="FFFFFF"/>
        </w:rPr>
        <w:t>年整体支出绩效报告</w:t>
      </w:r>
      <w:r>
        <w:rPr>
          <w:rFonts w:hint="eastAsia" w:ascii="仿宋_GB2312" w:hAnsi="仿宋_GB2312" w:eastAsia="仿宋_GB2312" w:cs="仿宋_GB2312"/>
          <w:sz w:val="32"/>
          <w:szCs w:val="32"/>
        </w:rPr>
        <w:t>》见附件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spacing w:line="580" w:lineRule="exact"/>
        <w:jc w:val="left"/>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6"/>
          <w:rFonts w:hint="eastAsia" w:ascii="方正小标宋简体" w:hAnsi="方正小标宋简体" w:eastAsia="方正小标宋简体" w:cs="方正小标宋简体"/>
          <w:b w:val="0"/>
        </w:rPr>
      </w:pPr>
      <w:bookmarkStart w:id="105" w:name="_Toc15377225"/>
      <w:bookmarkStart w:id="106" w:name="_Toc15396613"/>
      <w:bookmarkStart w:id="107" w:name="_Toc79163879"/>
      <w:bookmarkStart w:id="108" w:name="_Toc79163629"/>
      <w:r>
        <w:rPr>
          <w:rFonts w:hint="eastAsia" w:ascii="方正小标宋简体" w:hAnsi="方正小标宋简体" w:eastAsia="方正小标宋简体" w:cs="方正小标宋简体"/>
          <w:color w:val="000000"/>
          <w:sz w:val="44"/>
          <w:szCs w:val="44"/>
        </w:rPr>
        <w:t>名</w:t>
      </w:r>
      <w:r>
        <w:rPr>
          <w:rStyle w:val="26"/>
          <w:rFonts w:hint="eastAsia" w:ascii="方正小标宋简体" w:hAnsi="方正小标宋简体" w:eastAsia="方正小标宋简体" w:cs="方正小标宋简体"/>
          <w:b w:val="0"/>
        </w:rPr>
        <w:t>词解释</w:t>
      </w:r>
      <w:bookmarkEnd w:id="105"/>
      <w:bookmarkEnd w:id="106"/>
      <w:bookmarkEnd w:id="107"/>
      <w:bookmarkEnd w:id="108"/>
    </w:p>
    <w:p>
      <w:pPr>
        <w:spacing w:line="600" w:lineRule="exact"/>
        <w:jc w:val="left"/>
        <w:rPr>
          <w:rFonts w:ascii="宋体"/>
          <w:b/>
          <w:color w:val="000000"/>
          <w:sz w:val="44"/>
          <w:szCs w:val="44"/>
        </w:rPr>
      </w:pP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3"/>
          <w:rFonts w:ascii="仿宋_GB2312" w:hAnsi="仿宋" w:eastAsia="仿宋_GB2312"/>
          <w:b w:val="0"/>
          <w:bCs/>
          <w:color w:val="000000"/>
          <w:sz w:val="32"/>
          <w:szCs w:val="32"/>
        </w:rPr>
      </w:pPr>
      <w:r>
        <w:rPr>
          <w:rStyle w:val="23"/>
          <w:rFonts w:hint="eastAsia" w:ascii="仿宋_GB2312" w:hAnsi="仿宋" w:eastAsia="仿宋_GB2312"/>
          <w:b w:val="0"/>
          <w:bCs/>
          <w:color w:val="000000"/>
          <w:sz w:val="32"/>
          <w:szCs w:val="32"/>
        </w:rPr>
        <w:t>9.城乡社区支出（类）城乡社区管理事务（款）行政运行（项）: 指行政单位（包括实行公务员管理的事业单位）的基本支出。</w:t>
      </w:r>
    </w:p>
    <w:p>
      <w:pPr>
        <w:keepNext w:val="0"/>
        <w:keepLines w:val="0"/>
        <w:pageBreakBefore w:val="0"/>
        <w:widowControl w:val="0"/>
        <w:kinsoku/>
        <w:wordWrap/>
        <w:overflowPunct/>
        <w:topLinePunct w:val="0"/>
        <w:bidi w:val="0"/>
        <w:snapToGrid/>
        <w:spacing w:line="576" w:lineRule="exact"/>
        <w:ind w:firstLine="480" w:firstLineChars="150"/>
        <w:textAlignment w:val="auto"/>
        <w:rPr>
          <w:rStyle w:val="23"/>
          <w:rFonts w:ascii="仿宋_GB2312" w:hAnsi="仿宋" w:eastAsia="仿宋_GB2312"/>
          <w:b w:val="0"/>
          <w:color w:val="000000"/>
          <w:sz w:val="32"/>
          <w:szCs w:val="32"/>
        </w:rPr>
      </w:pPr>
      <w:r>
        <w:rPr>
          <w:rStyle w:val="23"/>
          <w:rFonts w:hint="eastAsia" w:ascii="仿宋_GB2312" w:hAnsi="仿宋" w:eastAsia="仿宋_GB2312"/>
          <w:b w:val="0"/>
          <w:bCs/>
          <w:color w:val="000000"/>
          <w:sz w:val="32"/>
          <w:szCs w:val="32"/>
        </w:rPr>
        <w:t>10.城乡社区支出（类）城乡社区管理事务（款）其他城乡社区管理事务支出（项）：指除上述项目以外其他用于城乡社区管理食物方面的支出。</w:t>
      </w:r>
    </w:p>
    <w:p>
      <w:pPr>
        <w:keepNext w:val="0"/>
        <w:keepLines w:val="0"/>
        <w:pageBreakBefore w:val="0"/>
        <w:widowControl w:val="0"/>
        <w:kinsoku/>
        <w:wordWrap/>
        <w:overflowPunct/>
        <w:topLinePunct w:val="0"/>
        <w:bidi w:val="0"/>
        <w:snapToGrid/>
        <w:spacing w:line="576" w:lineRule="exact"/>
        <w:ind w:firstLine="480" w:firstLineChars="150"/>
        <w:textAlignment w:val="auto"/>
        <w:rPr>
          <w:rStyle w:val="23"/>
          <w:rFonts w:ascii="仿宋_GB2312" w:hAnsi="仿宋" w:eastAsia="仿宋_GB2312"/>
          <w:b w:val="0"/>
          <w:color w:val="000000"/>
          <w:sz w:val="32"/>
          <w:szCs w:val="32"/>
        </w:rPr>
      </w:pPr>
      <w:r>
        <w:rPr>
          <w:rStyle w:val="23"/>
          <w:rFonts w:hint="eastAsia" w:ascii="仿宋_GB2312" w:hAnsi="仿宋" w:eastAsia="仿宋_GB2312"/>
          <w:b w:val="0"/>
          <w:bCs/>
          <w:color w:val="000000"/>
          <w:sz w:val="32"/>
          <w:szCs w:val="32"/>
        </w:rPr>
        <w:t>11.城乡社区支出（类）国有土地使用权出让收入及对应专项债务收入安排的支出（款）其他国有土地使用权出让收入安排的支出（项）</w:t>
      </w:r>
      <w:r>
        <w:rPr>
          <w:rStyle w:val="23"/>
          <w:rFonts w:hint="eastAsia" w:ascii="仿宋_GB2312" w:hAnsi="仿宋" w:eastAsia="仿宋_GB2312"/>
          <w:b w:val="0"/>
          <w:bCs/>
          <w:color w:val="000000"/>
          <w:sz w:val="32"/>
          <w:szCs w:val="32"/>
          <w:lang w:val="en-US" w:eastAsia="zh-CN"/>
        </w:rPr>
        <w:t>:</w:t>
      </w:r>
      <w:r>
        <w:rPr>
          <w:rStyle w:val="23"/>
          <w:rFonts w:hint="eastAsia" w:ascii="仿宋_GB2312" w:hAnsi="仿宋" w:eastAsia="仿宋_GB2312"/>
          <w:b w:val="0"/>
          <w:bCs/>
          <w:color w:val="000000"/>
          <w:sz w:val="32"/>
          <w:szCs w:val="32"/>
        </w:rPr>
        <w:t>指</w:t>
      </w:r>
      <w:r>
        <w:rPr>
          <w:rStyle w:val="23"/>
          <w:rFonts w:hint="eastAsia" w:ascii="仿宋_GB2312" w:hAnsi="仿宋" w:eastAsia="仿宋_GB2312"/>
          <w:b w:val="0"/>
          <w:bCs/>
          <w:color w:val="000000"/>
          <w:sz w:val="32"/>
          <w:szCs w:val="32"/>
          <w:lang w:eastAsia="zh-CN"/>
        </w:rPr>
        <w:t>土地出让收入，用于其他方面的支出。不包括市县级政府当年按规定用土地出让收入向中央和省级政府缴纳的新增建设用地土地有偿使用费支出</w:t>
      </w:r>
      <w:r>
        <w:rPr>
          <w:rStyle w:val="23"/>
          <w:rFonts w:hint="eastAsia" w:ascii="仿宋_GB2312" w:hAnsi="仿宋" w:eastAsia="仿宋_GB2312"/>
          <w:b w:val="0"/>
          <w:bCs/>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3"/>
          <w:rFonts w:ascii="仿宋_GB2312" w:hAnsi="仿宋" w:eastAsia="仿宋_GB2312"/>
          <w:b w:val="0"/>
          <w:color w:val="000000"/>
          <w:sz w:val="32"/>
          <w:szCs w:val="32"/>
        </w:rPr>
      </w:pPr>
      <w:r>
        <w:rPr>
          <w:rStyle w:val="23"/>
          <w:rFonts w:hint="eastAsia" w:ascii="仿宋_GB2312" w:hAnsi="仿宋" w:eastAsia="仿宋_GB2312"/>
          <w:b w:val="0"/>
          <w:bCs/>
          <w:color w:val="000000"/>
          <w:sz w:val="32"/>
          <w:szCs w:val="32"/>
        </w:rPr>
        <w:t>12.城乡社区支出（类）国有土地收益基金及对应专项债务收入安排的支出（款）其他国有土地收益基金支出（项）：指</w:t>
      </w:r>
      <w:r>
        <w:rPr>
          <w:rStyle w:val="23"/>
          <w:rFonts w:hint="eastAsia" w:ascii="仿宋_GB2312" w:hAnsi="仿宋" w:eastAsia="仿宋_GB2312"/>
          <w:b w:val="0"/>
          <w:bCs/>
          <w:color w:val="000000"/>
          <w:sz w:val="32"/>
          <w:szCs w:val="32"/>
          <w:lang w:eastAsia="zh-CN"/>
        </w:rPr>
        <w:t>从国有土地收益基金安排用于其他支出</w:t>
      </w:r>
      <w:r>
        <w:rPr>
          <w:rStyle w:val="23"/>
          <w:rFonts w:hint="eastAsia" w:ascii="仿宋_GB2312" w:hAnsi="仿宋" w:eastAsia="仿宋_GB2312"/>
          <w:b w:val="0"/>
          <w:bCs/>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3"/>
          <w:rFonts w:ascii="仿宋_GB2312" w:hAnsi="仿宋" w:eastAsia="仿宋_GB2312"/>
          <w:b w:val="0"/>
          <w:color w:val="000000"/>
          <w:sz w:val="32"/>
          <w:szCs w:val="32"/>
        </w:rPr>
      </w:pPr>
      <w:r>
        <w:rPr>
          <w:rStyle w:val="23"/>
          <w:rFonts w:hint="eastAsia" w:ascii="仿宋_GB2312" w:hAnsi="仿宋" w:eastAsia="仿宋_GB2312"/>
          <w:b w:val="0"/>
          <w:bCs/>
          <w:color w:val="000000"/>
          <w:sz w:val="32"/>
          <w:szCs w:val="32"/>
        </w:rPr>
        <w:t>13.城乡社区支出（类）城市基础设施配套费及对应专项债务收入安排的支出（款）城市环境卫生支出（项）：指城乡社区道路清扫、垃圾清运与处理、公厕建设与维护，园林绿化等方面的支出。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 w:eastAsia="仿宋_GB2312"/>
          <w:color w:val="000000"/>
          <w:sz w:val="32"/>
          <w:szCs w:val="32"/>
        </w:rPr>
      </w:pPr>
      <w:r>
        <w:rPr>
          <w:rStyle w:val="23"/>
          <w:rFonts w:hint="eastAsia" w:ascii="仿宋_GB2312" w:hAnsi="仿宋" w:eastAsia="仿宋_GB2312"/>
          <w:b w:val="0"/>
          <w:bCs/>
          <w:color w:val="000000"/>
          <w:sz w:val="32"/>
          <w:szCs w:val="32"/>
        </w:rPr>
        <w:t>14.节能环保支出（类）自然生态保护（款）生态保护（项）: 指用于生态功能保护区、生态示范区、生态省（市、县）管理及能力建设、日常管护、宣教、试点示范等支出，生态修复支出，资源开发生态监管等支出。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 w:eastAsia="仿宋_GB2312"/>
          <w:color w:val="000000"/>
          <w:sz w:val="32"/>
          <w:szCs w:val="32"/>
        </w:rPr>
      </w:pPr>
      <w:r>
        <w:rPr>
          <w:rStyle w:val="23"/>
          <w:rFonts w:hint="eastAsia" w:ascii="仿宋_GB2312" w:hAnsi="仿宋" w:eastAsia="仿宋_GB2312"/>
          <w:b w:val="0"/>
          <w:bCs/>
          <w:color w:val="000000"/>
          <w:sz w:val="32"/>
          <w:szCs w:val="32"/>
        </w:rPr>
        <w:t>15.社会保障和就业支出（类）行政事业单位离退休费（款）机关事业单位基本养老保险缴费支出（项）: 指机关事业单位实施养老保险制度由单位缴纳的养老保险费支出。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 w:eastAsia="仿宋_GB2312"/>
          <w:color w:val="000000"/>
          <w:sz w:val="32"/>
          <w:szCs w:val="32"/>
        </w:rPr>
      </w:pPr>
      <w:r>
        <w:rPr>
          <w:rStyle w:val="23"/>
          <w:rFonts w:hint="eastAsia" w:ascii="仿宋_GB2312" w:hAnsi="仿宋" w:eastAsia="仿宋_GB2312"/>
          <w:b w:val="0"/>
          <w:bCs/>
          <w:color w:val="000000"/>
          <w:sz w:val="32"/>
          <w:szCs w:val="32"/>
        </w:rPr>
        <w:t>16.社会保障和就业支出（类）行政事业单位离退休费（款）机关事业单位职业年金缴费支出（项）: 指机关事业单位实施养老保险制度由单位实际缴纳的职业年金支出。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3"/>
          <w:rFonts w:ascii="仿宋_GB2312" w:hAnsi="仿宋" w:eastAsia="仿宋_GB2312"/>
          <w:b w:val="0"/>
          <w:color w:val="000000"/>
          <w:sz w:val="32"/>
          <w:szCs w:val="32"/>
        </w:rPr>
      </w:pPr>
      <w:r>
        <w:rPr>
          <w:rStyle w:val="23"/>
          <w:rFonts w:hint="eastAsia" w:ascii="仿宋_GB2312" w:hAnsi="仿宋" w:eastAsia="仿宋_GB2312"/>
          <w:b w:val="0"/>
          <w:bCs/>
          <w:color w:val="000000"/>
          <w:sz w:val="32"/>
          <w:szCs w:val="32"/>
        </w:rPr>
        <w:t>17.医疗卫生与计划生育（类）行政事业单位医疗（款）行政单位医疗（项）:指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bidi w:val="0"/>
        <w:snapToGrid/>
        <w:spacing w:line="576" w:lineRule="exact"/>
        <w:ind w:firstLine="640" w:firstLineChars="200"/>
        <w:textAlignment w:val="auto"/>
        <w:rPr>
          <w:rStyle w:val="23"/>
          <w:rFonts w:ascii="仿宋_GB2312" w:hAnsi="仿宋" w:eastAsia="仿宋_GB2312"/>
          <w:b w:val="0"/>
          <w:bCs/>
          <w:color w:val="000000"/>
          <w:sz w:val="32"/>
          <w:szCs w:val="32"/>
        </w:rPr>
      </w:pPr>
      <w:r>
        <w:rPr>
          <w:rStyle w:val="23"/>
          <w:rFonts w:hint="eastAsia" w:ascii="仿宋_GB2312" w:hAnsi="仿宋" w:eastAsia="仿宋_GB2312"/>
          <w:b w:val="0"/>
          <w:bCs/>
          <w:color w:val="000000"/>
          <w:sz w:val="32"/>
          <w:szCs w:val="32"/>
        </w:rPr>
        <w:t>18.医疗卫生与计划生育（类）行政事业单位医疗（款）事业单位医疗（项）:指指财政部门安排的事业单位基本医疗保险缴费经费，未参加医疗保险的行政单位的公费医疗经费，按国家规定享受离休人员的医疗经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 w:eastAsia="仿宋_GB2312"/>
          <w:color w:val="000000"/>
          <w:sz w:val="32"/>
          <w:szCs w:val="32"/>
        </w:rPr>
      </w:pPr>
      <w:r>
        <w:rPr>
          <w:rStyle w:val="23"/>
          <w:rFonts w:hint="eastAsia" w:ascii="仿宋_GB2312" w:hAnsi="仿宋" w:eastAsia="仿宋_GB2312"/>
          <w:b w:val="0"/>
          <w:bCs/>
          <w:color w:val="000000"/>
          <w:sz w:val="32"/>
          <w:szCs w:val="32"/>
        </w:rPr>
        <w:t>19.住房保障支出（类）住房改革支出（款）住房公积金（项）: 指行政事业单位按人力资源和社会保障部、财政部规定的基本工资和津贴补贴以及规定比例为职工缴纳的住房公积金。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20.基本支出：指为保障机构正常运转、完成日常工作任务而发生的人员支出和公用支出。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
        <w:spacing w:line="576" w:lineRule="exact"/>
        <w:ind w:firstLine="640" w:firstLineChars="200"/>
        <w:rPr>
          <w:rFonts w:ascii="仿宋_GB2312" w:eastAsia="仿宋_GB2312"/>
          <w:sz w:val="32"/>
          <w:szCs w:val="32"/>
        </w:rPr>
      </w:pPr>
      <w:r>
        <w:rPr>
          <w:rFonts w:hint="eastAsia" w:ascii="仿宋_GB2312" w:eastAsia="仿宋_GB2312"/>
          <w:sz w:val="32"/>
          <w:szCs w:val="32"/>
        </w:rPr>
        <w:t>23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宋体"/>
          <w:b/>
          <w:color w:val="000000"/>
          <w:sz w:val="44"/>
          <w:szCs w:val="44"/>
        </w:rPr>
      </w:pPr>
      <w:bookmarkStart w:id="109" w:name="_Toc15377226"/>
      <w:r>
        <w:rPr>
          <w:rFonts w:ascii="宋体"/>
          <w:b/>
          <w:color w:val="000000"/>
          <w:sz w:val="44"/>
          <w:szCs w:val="44"/>
        </w:rPr>
        <w:br w:type="page"/>
      </w:r>
      <w:bookmarkStart w:id="110" w:name="_Toc79163630"/>
      <w:bookmarkStart w:id="111" w:name="_Toc15396614"/>
      <w:bookmarkStart w:id="112" w:name="_Toc79163880"/>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10"/>
      <w:bookmarkEnd w:id="111"/>
      <w:bookmarkEnd w:id="112"/>
    </w:p>
    <w:p>
      <w:pPr>
        <w:spacing w:line="600" w:lineRule="exact"/>
        <w:jc w:val="left"/>
        <w:outlineLvl w:val="0"/>
        <w:rPr>
          <w:rFonts w:ascii="黑体" w:hAnsi="黑体" w:eastAsia="黑体" w:cs="黑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pStyle w:val="8"/>
        <w:jc w:val="center"/>
        <w:rPr>
          <w:rFonts w:ascii="黑体" w:hAnsi="黑体" w:eastAsia="黑体" w:cs="黑体"/>
          <w:sz w:val="44"/>
          <w:szCs w:val="44"/>
        </w:rPr>
      </w:pPr>
    </w:p>
    <w:p>
      <w:pPr>
        <w:keepNext w:val="0"/>
        <w:keepLines w:val="0"/>
        <w:pageBreakBefore w:val="0"/>
        <w:widowControl/>
        <w:kinsoku/>
        <w:wordWrap/>
        <w:overflowPunct/>
        <w:topLinePunct w:val="0"/>
        <w:bidi w:val="0"/>
        <w:spacing w:line="576" w:lineRule="exact"/>
        <w:ind w:firstLine="2200" w:firstLineChars="500"/>
        <w:jc w:val="both"/>
        <w:textAlignment w:val="auto"/>
        <w:rPr>
          <w:rFonts w:hint="eastAsia" w:ascii="方正小标宋简体" w:hAnsi="方正小标宋简体" w:eastAsia="方正小标宋简体" w:cs="方正小标宋简体"/>
          <w:b w:val="0"/>
          <w:bCs/>
          <w:sz w:val="44"/>
          <w:szCs w:val="44"/>
          <w:shd w:val="clear" w:color="auto" w:fill="FFFFFF"/>
          <w:lang w:eastAsia="zh-CN"/>
        </w:rPr>
      </w:pPr>
      <w:r>
        <w:rPr>
          <w:rFonts w:hint="eastAsia" w:ascii="方正小标宋简体" w:hAnsi="方正小标宋简体" w:eastAsia="方正小标宋简体" w:cs="方正小标宋简体"/>
          <w:b w:val="0"/>
          <w:bCs/>
          <w:sz w:val="44"/>
          <w:szCs w:val="44"/>
          <w:shd w:val="clear" w:color="auto" w:fill="FFFFFF"/>
          <w:lang w:eastAsia="zh-CN"/>
        </w:rPr>
        <w:t>城市公用事业服务中心</w:t>
      </w:r>
    </w:p>
    <w:p>
      <w:pPr>
        <w:keepNext w:val="0"/>
        <w:keepLines w:val="0"/>
        <w:pageBreakBefore w:val="0"/>
        <w:widowControl/>
        <w:kinsoku/>
        <w:wordWrap/>
        <w:overflowPunct/>
        <w:topLinePunct w:val="0"/>
        <w:bidi w:val="0"/>
        <w:spacing w:line="576" w:lineRule="exact"/>
        <w:jc w:val="center"/>
        <w:textAlignment w:val="auto"/>
        <w:rPr>
          <w:rFonts w:hint="eastAsia"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关于202</w:t>
      </w:r>
      <w:r>
        <w:rPr>
          <w:rFonts w:hint="eastAsia" w:ascii="方正小标宋简体" w:hAnsi="方正小标宋简体" w:eastAsia="方正小标宋简体" w:cs="方正小标宋简体"/>
          <w:bCs/>
          <w:sz w:val="44"/>
          <w:szCs w:val="44"/>
          <w:shd w:val="clear" w:color="auto" w:fill="FFFFFF"/>
          <w:lang w:val="en-US" w:eastAsia="zh-CN"/>
        </w:rPr>
        <w:t>1</w:t>
      </w:r>
      <w:r>
        <w:rPr>
          <w:rFonts w:hint="eastAsia" w:ascii="方正小标宋简体" w:hAnsi="方正小标宋简体" w:eastAsia="方正小标宋简体" w:cs="方正小标宋简体"/>
          <w:bCs/>
          <w:sz w:val="44"/>
          <w:szCs w:val="44"/>
          <w:shd w:val="clear" w:color="auto" w:fill="FFFFFF"/>
        </w:rPr>
        <w:t>年整体支出绩效报告</w:t>
      </w:r>
    </w:p>
    <w:p>
      <w:pPr>
        <w:keepNext w:val="0"/>
        <w:keepLines w:val="0"/>
        <w:pageBreakBefore w:val="0"/>
        <w:widowControl/>
        <w:kinsoku/>
        <w:wordWrap/>
        <w:overflowPunct/>
        <w:topLinePunct w:val="0"/>
        <w:bidi w:val="0"/>
        <w:adjustRightInd w:val="0"/>
        <w:snapToGrid w:val="0"/>
        <w:spacing w:line="576" w:lineRule="exact"/>
        <w:ind w:firstLine="720"/>
        <w:jc w:val="center"/>
        <w:textAlignment w:val="auto"/>
        <w:rPr>
          <w:rFonts w:hint="eastAsia" w:ascii="黑体" w:hAnsi="宋体" w:eastAsia="黑体" w:cs="宋体"/>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黑体" w:hAnsi="黑体" w:eastAsia="黑体" w:cs="黑体"/>
          <w:b/>
          <w:color w:val="000000"/>
          <w:kern w:val="0"/>
          <w:sz w:val="32"/>
          <w:szCs w:val="32"/>
          <w:shd w:val="clear" w:color="auto" w:fill="FFFFFF"/>
          <w:lang w:val="zh-CN"/>
        </w:rPr>
      </w:pPr>
      <w:r>
        <w:rPr>
          <w:rFonts w:hint="eastAsia" w:ascii="黑体" w:hAnsi="黑体" w:eastAsia="黑体" w:cs="黑体"/>
          <w:b/>
          <w:color w:val="000000"/>
          <w:kern w:val="0"/>
          <w:sz w:val="32"/>
          <w:szCs w:val="32"/>
          <w:shd w:val="clear" w:color="auto" w:fill="FFFFFF"/>
        </w:rPr>
        <w:t>一、</w:t>
      </w:r>
      <w:r>
        <w:rPr>
          <w:rFonts w:hint="eastAsia" w:ascii="黑体" w:hAnsi="黑体" w:eastAsia="黑体" w:cs="黑体"/>
          <w:b/>
          <w:color w:val="000000"/>
          <w:kern w:val="0"/>
          <w:sz w:val="32"/>
          <w:szCs w:val="32"/>
          <w:shd w:val="clear" w:color="auto" w:fill="FFFFFF"/>
          <w:lang w:val="zh-CN"/>
        </w:rPr>
        <w:t>部门概况</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en-US" w:eastAsia="zh-CN"/>
        </w:rPr>
        <w:t>(一）</w:t>
      </w:r>
      <w:r>
        <w:rPr>
          <w:rFonts w:hint="eastAsia" w:ascii="楷体" w:hAnsi="楷体" w:eastAsia="楷体" w:cs="楷体"/>
          <w:b/>
          <w:color w:val="000000"/>
          <w:kern w:val="0"/>
          <w:sz w:val="32"/>
          <w:szCs w:val="32"/>
          <w:shd w:val="clear" w:color="auto" w:fill="FFFFFF"/>
          <w:lang w:val="zh-CN"/>
        </w:rPr>
        <w:t>机构组成</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val="0"/>
          <w:bCs w:val="0"/>
          <w:sz w:val="32"/>
          <w:szCs w:val="32"/>
        </w:rPr>
        <w:t>城市公用事业服务中心属</w:t>
      </w:r>
      <w:r>
        <w:rPr>
          <w:rFonts w:hint="eastAsia" w:ascii="仿宋_GB2312" w:hAnsi="仿宋_GB2312" w:eastAsia="仿宋_GB2312" w:cs="仿宋_GB2312"/>
          <w:b w:val="0"/>
          <w:bCs w:val="0"/>
          <w:sz w:val="32"/>
          <w:szCs w:val="32"/>
          <w:lang w:eastAsia="zh-CN"/>
        </w:rPr>
        <w:t>正科级公益一类事业单位。</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（二</w:t>
      </w:r>
      <w:r>
        <w:rPr>
          <w:rFonts w:hint="eastAsia" w:ascii="楷体" w:hAnsi="楷体" w:eastAsia="楷体" w:cs="楷体"/>
          <w:b/>
          <w:color w:val="000000"/>
          <w:kern w:val="0"/>
          <w:sz w:val="32"/>
          <w:szCs w:val="32"/>
          <w:shd w:val="clear" w:color="auto" w:fill="FFFFFF"/>
          <w:lang w:val="en-US" w:eastAsia="zh-CN"/>
        </w:rPr>
        <w:t>)</w:t>
      </w:r>
      <w:r>
        <w:rPr>
          <w:rFonts w:hint="eastAsia" w:ascii="楷体" w:hAnsi="楷体" w:eastAsia="楷体" w:cs="楷体"/>
          <w:b/>
          <w:color w:val="000000"/>
          <w:kern w:val="0"/>
          <w:sz w:val="32"/>
          <w:szCs w:val="32"/>
          <w:shd w:val="clear" w:color="auto" w:fill="FFFFFF"/>
          <w:lang w:val="zh-CN"/>
        </w:rPr>
        <w:t>机构职能</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国务院《城市市容和环境卫生管理条例》《城市道路管理条例，《城市绿化条例》，建设部《城市道路照明设施管理规定》及《四川省城市市容和环境卫生管理条例》《四川省城市园林绿化条例》等法规，对城市市容市貌、园林绿化、环境卫生、市政设施（道路、照明、河道、排水）维护实施全面管理。</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1.按照有关法律、法规、规章和政府的决定，做好城市管理工作。</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2.贯彻执行国家和地方关于城市市容市貌、园林绿化、环境卫生、市政设施（道路、照明、河道、排水）维护管理的法律、法规、规章及有关规范性文件。</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3.负责制定城市管理目标和计划。按照城市总体规划，研究制定全县城市管理、市政、环卫、城市绿化行业管理的发展战略。</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4.按照规定使用城市管理资金。根据市容、市政维护、环卫和绿化管理的部门资金预算，对资金使用实施监督控制。负责资金使用的核算，保证资金的正确使用。</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5.负责市容管理。统筹规划协调管理全县城市环境整治工作和“门前四包”工作。规范管理临街建筑物、市政设施、建筑场地、城市交通运输工具等。</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7.负责城市道路的管理。编制年度维护计划并组织实施。负责城市道路管理、维护和维修。负责各类服务性、经营性占道亭棚、摊点和各类市场、停车场（站、台）等的规划</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全县城市路灯的管理。维护管理城市路灯，对市区户外灯饰管理工作进行统筹协调，监督检查。负责重要地段、场所和较大项目灯饰建设方案的审批和竣工验收。负责指导、检查、督促和实施“光亮工程”。</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9.负责城市河道管理工作。实行对城市河道和排水设施的容貌、卫生、环境的管理及城市河道、排水设施进行维护和疏淘。</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10.负责对城市绿化进行管理、维护。</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11.负责市政设施环境卫生。</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12.拟定城市管理规范性文件并组织论证和报批。</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13.负责组织城市管理法规的宣传，提高市民的文明素质和城市意识，规范城市管理。</w:t>
      </w:r>
    </w:p>
    <w:p>
      <w:pPr>
        <w:keepNext w:val="0"/>
        <w:keepLines w:val="0"/>
        <w:pageBreakBefore w:val="0"/>
        <w:widowControl w:val="0"/>
        <w:kinsoku/>
        <w:wordWrap/>
        <w:overflowPunct/>
        <w:topLinePunct w:val="0"/>
        <w:autoSpaceDE/>
        <w:autoSpaceDN/>
        <w:bidi w:val="0"/>
        <w:adjustRightInd w:val="0"/>
        <w:snapToGrid w:val="0"/>
        <w:spacing w:line="576" w:lineRule="atLeas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14</w:t>
      </w:r>
      <w:r>
        <w:rPr>
          <w:rFonts w:hint="eastAsia" w:ascii="仿宋_GB2312" w:hAnsi="仿宋_GB2312" w:eastAsia="仿宋_GB2312" w:cs="仿宋_GB2312"/>
          <w:sz w:val="32"/>
          <w:szCs w:val="32"/>
        </w:rPr>
        <w:t>.承办县政府交办的其他事项</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城市公用事业服务中心属</w:t>
      </w:r>
      <w:r>
        <w:rPr>
          <w:rFonts w:hint="eastAsia" w:ascii="仿宋_GB2312" w:hAnsi="仿宋_GB2312" w:eastAsia="仿宋_GB2312" w:cs="仿宋_GB2312"/>
          <w:b w:val="0"/>
          <w:bCs w:val="0"/>
          <w:sz w:val="32"/>
          <w:szCs w:val="32"/>
          <w:lang w:eastAsia="zh-CN"/>
        </w:rPr>
        <w:t>正科级公益一类事业单位。</w:t>
      </w:r>
      <w:r>
        <w:rPr>
          <w:rFonts w:hint="eastAsia" w:ascii="仿宋_GB2312" w:hAnsi="仿宋_GB2312" w:eastAsia="仿宋_GB2312" w:cs="仿宋_GB2312"/>
          <w:sz w:val="32"/>
          <w:szCs w:val="32"/>
        </w:rPr>
        <w:t>人员编制数</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人，其中：事业编制</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人；20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年末实有在职职工</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人，退休人员1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p>
    <w:p>
      <w:pPr>
        <w:keepNext w:val="0"/>
        <w:keepLines w:val="0"/>
        <w:pageBreakBefore w:val="0"/>
        <w:widowControl/>
        <w:tabs>
          <w:tab w:val="left" w:pos="8460"/>
        </w:tabs>
        <w:kinsoku/>
        <w:wordWrap/>
        <w:overflowPunct/>
        <w:topLinePunct w:val="0"/>
        <w:bidi w:val="0"/>
        <w:adjustRightInd w:val="0"/>
        <w:snapToGrid w:val="0"/>
        <w:spacing w:line="576" w:lineRule="exact"/>
        <w:ind w:firstLine="640" w:firstLineChars="200"/>
        <w:jc w:val="left"/>
        <w:textAlignment w:val="auto"/>
        <w:rPr>
          <w:rFonts w:hint="eastAsia" w:ascii="黑体" w:hAnsi="黑体" w:eastAsia="黑体" w:cs="黑体"/>
          <w:b w:val="0"/>
          <w:bCs/>
          <w:color w:val="000000"/>
          <w:kern w:val="0"/>
          <w:sz w:val="32"/>
          <w:szCs w:val="32"/>
          <w:shd w:val="clear" w:color="auto" w:fill="FFFFFF"/>
        </w:rPr>
      </w:pPr>
      <w:r>
        <w:rPr>
          <w:rFonts w:hint="eastAsia" w:ascii="黑体" w:hAnsi="黑体" w:eastAsia="黑体" w:cs="黑体"/>
          <w:b w:val="0"/>
          <w:bCs/>
          <w:color w:val="000000"/>
          <w:kern w:val="0"/>
          <w:sz w:val="32"/>
          <w:szCs w:val="32"/>
          <w:shd w:val="clear" w:color="auto" w:fill="FFFFFF"/>
        </w:rPr>
        <w:t>二、</w:t>
      </w:r>
      <w:r>
        <w:rPr>
          <w:rFonts w:hint="eastAsia" w:ascii="黑体" w:hAnsi="黑体" w:eastAsia="黑体" w:cs="黑体"/>
          <w:b w:val="0"/>
          <w:bCs/>
          <w:color w:val="000000"/>
          <w:kern w:val="0"/>
          <w:sz w:val="32"/>
          <w:szCs w:val="32"/>
          <w:shd w:val="clear" w:color="auto" w:fill="FFFFFF"/>
          <w:lang w:eastAsia="zh-CN"/>
        </w:rPr>
        <w:t>部门</w:t>
      </w:r>
      <w:r>
        <w:rPr>
          <w:rFonts w:hint="eastAsia" w:ascii="黑体" w:hAnsi="黑体" w:eastAsia="黑体" w:cs="黑体"/>
          <w:b w:val="0"/>
          <w:bCs/>
          <w:color w:val="000000"/>
          <w:kern w:val="0"/>
          <w:sz w:val="32"/>
          <w:szCs w:val="32"/>
          <w:shd w:val="clear" w:color="auto" w:fill="FFFFFF"/>
        </w:rPr>
        <w:t>财政资金收支情况</w:t>
      </w:r>
    </w:p>
    <w:p>
      <w:pPr>
        <w:keepNext w:val="0"/>
        <w:keepLines w:val="0"/>
        <w:pageBreakBefore w:val="0"/>
        <w:kinsoku/>
        <w:wordWrap/>
        <w:overflowPunct/>
        <w:topLinePunct w:val="0"/>
        <w:bidi w:val="0"/>
        <w:spacing w:line="576" w:lineRule="exact"/>
        <w:ind w:firstLine="640" w:firstLineChars="200"/>
        <w:textAlignment w:val="auto"/>
        <w:rPr>
          <w:rFonts w:hint="eastAsia" w:ascii="楷体" w:hAnsi="楷体" w:eastAsia="楷体" w:cs="楷体"/>
          <w:b w:val="0"/>
          <w:bCs/>
          <w:color w:val="auto"/>
          <w:kern w:val="0"/>
          <w:sz w:val="32"/>
          <w:szCs w:val="32"/>
          <w:shd w:val="clear" w:color="auto" w:fill="FFFFFF"/>
          <w:lang w:val="zh-CN"/>
        </w:rPr>
      </w:pPr>
      <w:r>
        <w:rPr>
          <w:rFonts w:hint="eastAsia" w:ascii="楷体" w:hAnsi="楷体" w:eastAsia="楷体" w:cs="楷体"/>
          <w:b w:val="0"/>
          <w:bCs/>
          <w:color w:val="auto"/>
          <w:kern w:val="0"/>
          <w:sz w:val="32"/>
          <w:szCs w:val="32"/>
          <w:shd w:val="clear" w:color="auto" w:fill="FFFFFF"/>
          <w:lang w:val="zh-CN"/>
        </w:rPr>
        <w:t>（一）部门财政资金收入情况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城市公用事业服务中心2021年一般公共预算财政拨款</w:t>
      </w:r>
      <w:r>
        <w:rPr>
          <w:rFonts w:hint="eastAsia" w:ascii="仿宋_GB2312" w:hAnsi="仿宋_GB2312" w:eastAsia="仿宋_GB2312" w:cs="仿宋_GB2312"/>
          <w:color w:val="auto"/>
          <w:sz w:val="32"/>
          <w:szCs w:val="32"/>
          <w:lang w:val="en-US" w:eastAsia="zh-CN"/>
        </w:rPr>
        <w:t>本年收入3355.01万元；</w:t>
      </w:r>
      <w:r>
        <w:rPr>
          <w:rFonts w:hint="eastAsia" w:ascii="仿宋_GB2312" w:hAnsi="仿宋_GB2312" w:eastAsia="仿宋_GB2312" w:cs="仿宋_GB2312"/>
          <w:color w:val="auto"/>
          <w:sz w:val="32"/>
          <w:szCs w:val="32"/>
        </w:rPr>
        <w:t>政府基金预算财政拨款收入</w:t>
      </w:r>
      <w:r>
        <w:rPr>
          <w:rFonts w:hint="eastAsia" w:ascii="仿宋_GB2312" w:hAnsi="仿宋_GB2312" w:eastAsia="仿宋_GB2312" w:cs="仿宋_GB2312"/>
          <w:color w:val="auto"/>
          <w:sz w:val="32"/>
          <w:szCs w:val="32"/>
          <w:lang w:val="en-US" w:eastAsia="zh-CN"/>
        </w:rPr>
        <w:t>1189.03万</w:t>
      </w:r>
      <w:r>
        <w:rPr>
          <w:rFonts w:hint="eastAsia" w:ascii="仿宋_GB2312" w:hAnsi="仿宋_GB2312" w:eastAsia="仿宋_GB2312" w:cs="仿宋_GB2312"/>
          <w:color w:val="auto"/>
          <w:sz w:val="32"/>
          <w:szCs w:val="32"/>
        </w:rPr>
        <w:t>元。</w:t>
      </w:r>
    </w:p>
    <w:p>
      <w:pPr>
        <w:keepNext w:val="0"/>
        <w:keepLines w:val="0"/>
        <w:pageBreakBefore w:val="0"/>
        <w:kinsoku/>
        <w:wordWrap/>
        <w:overflowPunct/>
        <w:topLinePunct w:val="0"/>
        <w:bidi w:val="0"/>
        <w:spacing w:line="576" w:lineRule="exact"/>
        <w:ind w:firstLine="640" w:firstLineChars="200"/>
        <w:textAlignment w:val="auto"/>
        <w:rPr>
          <w:rFonts w:hint="eastAsia" w:ascii="楷体" w:hAnsi="楷体" w:eastAsia="楷体" w:cs="楷体"/>
          <w:b w:val="0"/>
          <w:bCs/>
          <w:color w:val="000000"/>
          <w:kern w:val="0"/>
          <w:sz w:val="32"/>
          <w:szCs w:val="32"/>
          <w:shd w:val="clear" w:color="auto" w:fill="FFFFFF"/>
          <w:lang w:val="zh-CN"/>
        </w:rPr>
      </w:pPr>
      <w:r>
        <w:rPr>
          <w:rFonts w:hint="eastAsia" w:ascii="楷体" w:hAnsi="楷体" w:eastAsia="楷体" w:cs="楷体"/>
          <w:b w:val="0"/>
          <w:bCs/>
          <w:color w:val="000000"/>
          <w:kern w:val="0"/>
          <w:sz w:val="32"/>
          <w:szCs w:val="32"/>
          <w:shd w:val="clear" w:color="auto" w:fill="FFFFFF"/>
          <w:lang w:val="zh-CN"/>
        </w:rPr>
        <w:t>（二）部门财政资金支出情况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城市公用事业服务中心2021年一般公共预算财政拨款</w:t>
      </w:r>
      <w:r>
        <w:rPr>
          <w:rFonts w:hint="eastAsia" w:ascii="仿宋_GB2312" w:hAnsi="仿宋_GB2312" w:eastAsia="仿宋_GB2312" w:cs="仿宋_GB2312"/>
          <w:color w:val="auto"/>
          <w:sz w:val="32"/>
          <w:szCs w:val="32"/>
          <w:lang w:val="en-US" w:eastAsia="zh-CN"/>
        </w:rPr>
        <w:t>本年支出3925.65万元；</w:t>
      </w:r>
      <w:r>
        <w:rPr>
          <w:rFonts w:hint="eastAsia" w:ascii="仿宋_GB2312" w:hAnsi="仿宋_GB2312" w:eastAsia="仿宋_GB2312" w:cs="仿宋_GB2312"/>
          <w:color w:val="auto"/>
          <w:sz w:val="32"/>
          <w:szCs w:val="32"/>
        </w:rPr>
        <w:t>政府基金预算财政拨款</w:t>
      </w:r>
      <w:r>
        <w:rPr>
          <w:rFonts w:hint="eastAsia" w:ascii="仿宋_GB2312" w:hAnsi="仿宋_GB2312" w:eastAsia="仿宋_GB2312" w:cs="仿宋_GB2312"/>
          <w:color w:val="auto"/>
          <w:sz w:val="32"/>
          <w:szCs w:val="32"/>
          <w:lang w:eastAsia="zh-CN"/>
        </w:rPr>
        <w:t>支出</w:t>
      </w:r>
      <w:r>
        <w:rPr>
          <w:rFonts w:hint="eastAsia" w:ascii="仿宋_GB2312" w:hAnsi="仿宋_GB2312" w:eastAsia="仿宋_GB2312" w:cs="仿宋_GB2312"/>
          <w:color w:val="auto"/>
          <w:sz w:val="32"/>
          <w:szCs w:val="32"/>
          <w:lang w:val="en-US" w:eastAsia="zh-CN"/>
        </w:rPr>
        <w:t>1189.03万</w:t>
      </w:r>
      <w:r>
        <w:rPr>
          <w:rFonts w:hint="eastAsia" w:ascii="仿宋_GB2312" w:hAnsi="仿宋_GB2312" w:eastAsia="仿宋_GB2312" w:cs="仿宋_GB2312"/>
          <w:color w:val="auto"/>
          <w:sz w:val="32"/>
          <w:szCs w:val="32"/>
        </w:rPr>
        <w:t>元。</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黑体" w:hAnsi="黑体" w:eastAsia="黑体" w:cs="黑体"/>
          <w:b w:val="0"/>
          <w:bCs/>
          <w:color w:val="000000"/>
          <w:kern w:val="0"/>
          <w:sz w:val="32"/>
          <w:szCs w:val="32"/>
          <w:shd w:val="clear" w:color="auto" w:fill="FFFFFF"/>
          <w:lang w:val="zh-CN"/>
        </w:rPr>
      </w:pPr>
      <w:r>
        <w:rPr>
          <w:rFonts w:hint="eastAsia" w:ascii="黑体" w:hAnsi="黑体" w:eastAsia="黑体" w:cs="黑体"/>
          <w:b w:val="0"/>
          <w:bCs/>
          <w:color w:val="000000"/>
          <w:kern w:val="0"/>
          <w:sz w:val="32"/>
          <w:szCs w:val="32"/>
          <w:shd w:val="clear" w:color="auto" w:fill="FFFFFF"/>
          <w:lang w:val="zh-CN"/>
        </w:rPr>
        <w:t>三、部门整体预算绩效管理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楷体" w:hAnsi="楷体" w:eastAsia="楷体" w:cs="楷体"/>
          <w:b w:val="0"/>
          <w:bCs/>
          <w:color w:val="000000"/>
          <w:kern w:val="0"/>
          <w:sz w:val="32"/>
          <w:szCs w:val="32"/>
          <w:shd w:val="clear" w:color="auto" w:fill="FFFFFF"/>
          <w:lang w:val="zh-CN"/>
        </w:rPr>
      </w:pPr>
      <w:r>
        <w:rPr>
          <w:rFonts w:hint="eastAsia" w:ascii="楷体" w:hAnsi="楷体" w:eastAsia="楷体" w:cs="楷体"/>
          <w:b w:val="0"/>
          <w:bCs/>
          <w:color w:val="000000"/>
          <w:kern w:val="0"/>
          <w:sz w:val="32"/>
          <w:szCs w:val="32"/>
          <w:shd w:val="clear" w:color="auto" w:fill="FFFFFF"/>
          <w:lang w:val="zh-CN"/>
        </w:rPr>
        <w:t>（一）部门预算管理</w:t>
      </w:r>
    </w:p>
    <w:p>
      <w:pPr>
        <w:pStyle w:val="1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lang w:val="zh-CN"/>
        </w:rPr>
        <w:t>我中心按照县级部门预算编制通知和有关要求按时完成</w:t>
      </w:r>
      <w:r>
        <w:rPr>
          <w:rFonts w:hint="eastAsia" w:ascii="仿宋_GB2312" w:hAnsi="仿宋_GB2312" w:eastAsia="仿宋_GB2312" w:cs="仿宋_GB2312"/>
          <w:bCs/>
          <w:color w:val="000000"/>
          <w:kern w:val="0"/>
          <w:sz w:val="32"/>
          <w:szCs w:val="32"/>
          <w:shd w:val="clear" w:color="auto" w:fill="FFFFFF"/>
        </w:rPr>
        <w:t>2021年预算编制工作，根据我中心的职能职责，结合中长期规划和年度工作计划，明确了年度主要工作任务及年度内履职所要达到的效果，在预算编制中进一步夯实预算编制基础，及时更新相关基础数据，严格控制“三公”经费、会议费和培训费预算、预算编制做到了及时、完整、准确、合理。高度重视 预算执行管理情况。一是强化预算刚性约束、严格按照批复的部门支出预算执行，没有随意改变专项资金规定用途和自行扩大支出范围和提高支出标准的行为；二是严格控制“三公经费”、会议费和培训费支出、认真落实厉行节约相关规定；三是狠抓预算执行进度管理。</w:t>
      </w:r>
    </w:p>
    <w:p>
      <w:pPr>
        <w:keepNext w:val="0"/>
        <w:keepLines w:val="0"/>
        <w:pageBreakBefore w:val="0"/>
        <w:numPr>
          <w:ilvl w:val="0"/>
          <w:numId w:val="5"/>
        </w:numPr>
        <w:kinsoku/>
        <w:wordWrap/>
        <w:overflowPunct/>
        <w:topLinePunct w:val="0"/>
        <w:autoSpaceDE/>
        <w:autoSpaceDN/>
        <w:bidi w:val="0"/>
        <w:spacing w:line="576" w:lineRule="exact"/>
        <w:ind w:firstLine="640" w:firstLineChars="200"/>
        <w:textAlignment w:val="auto"/>
        <w:rPr>
          <w:rFonts w:hint="eastAsia" w:ascii="楷体" w:hAnsi="楷体" w:eastAsia="楷体" w:cs="楷体"/>
          <w:b w:val="0"/>
          <w:bCs/>
          <w:color w:val="000000"/>
          <w:kern w:val="0"/>
          <w:sz w:val="32"/>
          <w:szCs w:val="32"/>
          <w:shd w:val="clear" w:color="auto" w:fill="FFFFFF"/>
        </w:rPr>
      </w:pPr>
      <w:r>
        <w:rPr>
          <w:rFonts w:hint="eastAsia" w:ascii="楷体" w:hAnsi="楷体" w:eastAsia="楷体" w:cs="楷体"/>
          <w:b w:val="0"/>
          <w:bCs/>
          <w:color w:val="000000"/>
          <w:kern w:val="0"/>
          <w:sz w:val="32"/>
          <w:szCs w:val="32"/>
          <w:shd w:val="clear" w:color="auto" w:fill="FFFFFF"/>
        </w:rPr>
        <w:t>结果应用情况</w:t>
      </w:r>
    </w:p>
    <w:p>
      <w:pPr>
        <w:pStyle w:val="1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对部门预算绩效管理工作开展情况认真进行了自查自评。绩效评价自查开展覆盖重点指出，将评价结果作为预算按派的重要依据，参照预算执行情况，保障重点指出，调整支出结构优化财政资金配置，不断强化绩效理念，推动我部门整体绩效管理水平更上一个台阶</w:t>
      </w:r>
    </w:p>
    <w:p>
      <w:pPr>
        <w:keepNext w:val="0"/>
        <w:keepLines w:val="0"/>
        <w:pageBreakBefore w:val="0"/>
        <w:kinsoku/>
        <w:wordWrap/>
        <w:overflowPunct/>
        <w:topLinePunct w:val="0"/>
        <w:autoSpaceDE/>
        <w:autoSpaceDN/>
        <w:bidi w:val="0"/>
        <w:spacing w:line="576" w:lineRule="exact"/>
        <w:ind w:firstLine="800" w:firstLineChars="250"/>
        <w:textAlignment w:val="auto"/>
        <w:rPr>
          <w:rFonts w:hint="eastAsia" w:ascii="黑体" w:hAnsi="黑体" w:eastAsia="黑体" w:cs="黑体"/>
          <w:bCs/>
          <w:color w:val="000000"/>
          <w:kern w:val="0"/>
          <w:sz w:val="32"/>
          <w:szCs w:val="32"/>
          <w:shd w:val="clear" w:color="auto" w:fill="FFFFFF"/>
          <w:lang w:val="zh-CN"/>
        </w:rPr>
      </w:pPr>
      <w:r>
        <w:rPr>
          <w:rFonts w:hint="eastAsia" w:ascii="黑体" w:hAnsi="黑体" w:eastAsia="黑体" w:cs="黑体"/>
          <w:bCs/>
          <w:color w:val="000000"/>
          <w:kern w:val="0"/>
          <w:sz w:val="32"/>
          <w:szCs w:val="32"/>
          <w:shd w:val="clear" w:color="auto" w:fill="FFFFFF"/>
          <w:lang w:val="zh-CN"/>
        </w:rPr>
        <w:t>四、评级结论及建议</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楷体" w:hAnsi="楷体" w:eastAsia="楷体" w:cs="楷体"/>
          <w:b w:val="0"/>
          <w:bCs/>
          <w:color w:val="000000"/>
          <w:sz w:val="32"/>
          <w:szCs w:val="32"/>
        </w:rPr>
      </w:pPr>
      <w:r>
        <w:rPr>
          <w:rFonts w:hint="eastAsia" w:ascii="楷体" w:hAnsi="楷体" w:eastAsia="楷体" w:cs="楷体"/>
          <w:b w:val="0"/>
          <w:bCs/>
          <w:color w:val="000000"/>
          <w:sz w:val="32"/>
          <w:szCs w:val="32"/>
        </w:rPr>
        <w:t>（一）评价结论</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2021年部门支出绩效评价自查自评结构良</w:t>
      </w:r>
      <w:r>
        <w:rPr>
          <w:rFonts w:hint="eastAsia" w:ascii="仿宋_GB2312" w:hAnsi="仿宋_GB2312" w:eastAsia="仿宋_GB2312" w:cs="仿宋_GB2312"/>
          <w:sz w:val="32"/>
          <w:szCs w:val="32"/>
          <w:lang w:eastAsia="zh-CN"/>
        </w:rPr>
        <w:t>好</w:t>
      </w:r>
      <w:r>
        <w:rPr>
          <w:rFonts w:hint="eastAsia" w:ascii="仿宋_GB2312" w:hAnsi="仿宋_GB2312" w:eastAsia="仿宋_GB2312" w:cs="仿宋_GB2312"/>
          <w:sz w:val="32"/>
          <w:szCs w:val="32"/>
        </w:rPr>
        <w:t>，考评中未发现单位在预算编制、支出执行、决算编制等活动中存在重大违规违纪、不合理、不恰当的情况。全年基本支出保证了部门正常运行和日常工作的正常开展，项目支出保障了重点工作的开展，达到预期绩效目标。按照2022年部门支出绩效评价指标体系结合年初预算设定的绩效目标完成情况进行自评打分，自评情况进行了汇总，最后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自评得分86分。</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同时预算编制内容准确，绩效目标完备，预控指标</w:t>
      </w:r>
      <w:r>
        <w:rPr>
          <w:rFonts w:hint="eastAsia" w:ascii="仿宋_GB2312" w:hAnsi="仿宋_GB2312" w:eastAsia="仿宋_GB2312" w:cs="仿宋_GB2312"/>
          <w:color w:val="000000"/>
          <w:sz w:val="32"/>
          <w:szCs w:val="32"/>
        </w:rPr>
        <w:t>细化，在支出绩效方面严格按照本单位经费实际支出填报部门经费决算，认真核对审查按时上报。按照规定向社会公开透明本年度单位部门经费及三公经费的使用情况。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楷体" w:hAnsi="楷体" w:eastAsia="楷体" w:cs="楷体"/>
          <w:b w:val="0"/>
          <w:bCs/>
          <w:color w:val="000000"/>
          <w:sz w:val="32"/>
          <w:szCs w:val="32"/>
        </w:rPr>
      </w:pPr>
      <w:r>
        <w:rPr>
          <w:rFonts w:hint="eastAsia" w:ascii="楷体" w:hAnsi="楷体" w:eastAsia="楷体" w:cs="楷体"/>
          <w:b w:val="0"/>
          <w:bCs/>
          <w:color w:val="000000"/>
          <w:sz w:val="32"/>
          <w:szCs w:val="32"/>
        </w:rPr>
        <w:t>（二）存在问题</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预算编制的精度需加强，实时做好预算调剂，绩效目标设定需更科学合理。</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楷体" w:hAnsi="楷体" w:eastAsia="楷体" w:cs="楷体"/>
          <w:b w:val="0"/>
          <w:bCs/>
          <w:color w:val="000000"/>
          <w:sz w:val="32"/>
          <w:szCs w:val="32"/>
        </w:rPr>
      </w:pPr>
      <w:r>
        <w:rPr>
          <w:rFonts w:hint="eastAsia" w:ascii="楷体" w:hAnsi="楷体" w:eastAsia="楷体" w:cs="楷体"/>
          <w:b w:val="0"/>
          <w:bCs/>
          <w:color w:val="000000"/>
          <w:sz w:val="32"/>
          <w:szCs w:val="32"/>
        </w:rPr>
        <w:t>（三）改进建议</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 xml:space="preserve">我中心将严格按照财政工作安排任务，加强财务管理和内部控制监督制度。严禁超预算和无预算安排支出，严格开支范围和标准，严格支出报销审核，不报销任何超范围、超标准的费用，建立科学、完整的财政绩效评价指标体系，并将绩效理念真正贯彻落实到平时工作中。 </w:t>
      </w:r>
      <w:r>
        <w:rPr>
          <w:rFonts w:hint="eastAsia" w:ascii="仿宋_GB2312" w:hAnsi="仿宋_GB2312" w:eastAsia="仿宋_GB2312" w:cs="仿宋_GB2312"/>
          <w:color w:val="000000"/>
          <w:sz w:val="32"/>
          <w:szCs w:val="32"/>
          <w:shd w:val="clear" w:color="auto" w:fill="FFFFFF"/>
        </w:rPr>
        <w:t xml:space="preserve">      </w:t>
      </w: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pStyle w:val="8"/>
        <w:keepNext w:val="0"/>
        <w:keepLines w:val="0"/>
        <w:pageBreakBefore w:val="0"/>
        <w:kinsoku/>
        <w:wordWrap/>
        <w:overflowPunct/>
        <w:topLinePunct w:val="0"/>
        <w:bidi w:val="0"/>
        <w:spacing w:line="576" w:lineRule="exact"/>
        <w:textAlignment w:val="auto"/>
        <w:rPr>
          <w:rFonts w:hint="eastAsia" w:ascii="仿宋_GB2312" w:hAnsi="仿宋_GB2312" w:eastAsia="仿宋_GB2312" w:cs="仿宋_GB2312"/>
          <w:color w:val="000000"/>
          <w:kern w:val="0"/>
          <w:sz w:val="32"/>
          <w:szCs w:val="32"/>
          <w:shd w:val="clear" w:color="auto" w:fill="FFFFFF"/>
          <w:lang w:val="zh-CN"/>
        </w:rPr>
      </w:pPr>
    </w:p>
    <w:p>
      <w:pPr>
        <w:keepNext w:val="0"/>
        <w:keepLines w:val="0"/>
        <w:pageBreakBefore w:val="0"/>
        <w:widowControl w:val="0"/>
        <w:kinsoku/>
        <w:wordWrap/>
        <w:overflowPunct/>
        <w:topLinePunct w:val="0"/>
        <w:autoSpaceDE/>
        <w:autoSpaceDN/>
        <w:bidi w:val="0"/>
        <w:spacing w:line="576" w:lineRule="exact"/>
        <w:jc w:val="both"/>
        <w:textAlignment w:val="auto"/>
        <w:outlineLvl w:val="0"/>
        <w:rPr>
          <w:rFonts w:hint="eastAsia" w:ascii="黑体" w:hAnsi="黑体" w:eastAsia="黑体"/>
          <w:color w:val="000000"/>
          <w:sz w:val="44"/>
          <w:szCs w:val="44"/>
        </w:rPr>
      </w:pPr>
      <w:bookmarkStart w:id="115" w:name="_Toc79163885"/>
      <w:bookmarkStart w:id="116" w:name="_Toc79163635"/>
      <w:bookmarkStart w:id="117" w:name="_Toc15396618"/>
    </w:p>
    <w:p>
      <w:pPr>
        <w:keepNext w:val="0"/>
        <w:keepLines w:val="0"/>
        <w:pageBreakBefore w:val="0"/>
        <w:widowControl w:val="0"/>
        <w:kinsoku/>
        <w:wordWrap/>
        <w:overflowPunct/>
        <w:topLinePunct w:val="0"/>
        <w:autoSpaceDE/>
        <w:autoSpaceDN/>
        <w:bidi w:val="0"/>
        <w:spacing w:line="576" w:lineRule="exact"/>
        <w:jc w:val="both"/>
        <w:textAlignment w:val="auto"/>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09"/>
      <w:bookmarkEnd w:id="115"/>
      <w:bookmarkEnd w:id="116"/>
      <w:bookmarkEnd w:id="117"/>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18" w:name="_Toc79163636"/>
      <w:bookmarkStart w:id="119" w:name="_Toc15396619"/>
      <w:bookmarkStart w:id="120" w:name="_Toc79163886"/>
      <w:r>
        <w:rPr>
          <w:rFonts w:hint="eastAsia" w:ascii="仿宋_GB2312" w:hAnsi="仿宋_GB2312" w:eastAsia="仿宋_GB2312" w:cs="仿宋_GB2312"/>
          <w:b w:val="0"/>
          <w:color w:val="000000"/>
          <w:sz w:val="30"/>
          <w:szCs w:val="30"/>
        </w:rPr>
        <w:t>一、收</w:t>
      </w:r>
      <w:r>
        <w:rPr>
          <w:rStyle w:val="27"/>
          <w:rFonts w:hint="eastAsia" w:ascii="仿宋_GB2312" w:hAnsi="仿宋_GB2312" w:eastAsia="仿宋_GB2312" w:cs="仿宋_GB2312"/>
          <w:b w:val="0"/>
          <w:bCs w:val="0"/>
          <w:sz w:val="30"/>
          <w:szCs w:val="30"/>
        </w:rPr>
        <w:t>入支出决算总表</w:t>
      </w:r>
      <w:bookmarkEnd w:id="118"/>
      <w:bookmarkEnd w:id="119"/>
      <w:bookmarkEnd w:id="120"/>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21" w:name="_Toc15396620"/>
      <w:bookmarkStart w:id="122" w:name="_Toc79163637"/>
      <w:bookmarkStart w:id="123" w:name="_Toc79163887"/>
      <w:r>
        <w:rPr>
          <w:rFonts w:hint="eastAsia" w:ascii="仿宋_GB2312" w:hAnsi="仿宋_GB2312" w:eastAsia="仿宋_GB2312" w:cs="仿宋_GB2312"/>
          <w:b w:val="0"/>
          <w:color w:val="000000"/>
          <w:sz w:val="30"/>
          <w:szCs w:val="30"/>
        </w:rPr>
        <w:t>二、收</w:t>
      </w:r>
      <w:r>
        <w:rPr>
          <w:rStyle w:val="27"/>
          <w:rFonts w:hint="eastAsia" w:ascii="仿宋_GB2312" w:hAnsi="仿宋_GB2312" w:eastAsia="仿宋_GB2312" w:cs="仿宋_GB2312"/>
          <w:b w:val="0"/>
          <w:bCs w:val="0"/>
          <w:sz w:val="30"/>
          <w:szCs w:val="30"/>
        </w:rPr>
        <w:t>入决算表</w:t>
      </w:r>
      <w:bookmarkEnd w:id="121"/>
      <w:bookmarkEnd w:id="122"/>
      <w:bookmarkEnd w:id="123"/>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24" w:name="_Toc79163638"/>
      <w:bookmarkStart w:id="125" w:name="_Toc15396621"/>
      <w:bookmarkStart w:id="126" w:name="_Toc79163888"/>
      <w:r>
        <w:rPr>
          <w:rStyle w:val="27"/>
          <w:rFonts w:hint="eastAsia" w:ascii="仿宋_GB2312" w:hAnsi="仿宋_GB2312" w:eastAsia="仿宋_GB2312" w:cs="仿宋_GB2312"/>
          <w:b w:val="0"/>
          <w:bCs w:val="0"/>
          <w:sz w:val="30"/>
          <w:szCs w:val="30"/>
        </w:rPr>
        <w:t>三、</w:t>
      </w:r>
      <w:r>
        <w:rPr>
          <w:rFonts w:hint="eastAsia" w:ascii="仿宋_GB2312" w:hAnsi="仿宋_GB2312" w:eastAsia="仿宋_GB2312" w:cs="仿宋_GB2312"/>
          <w:b w:val="0"/>
          <w:color w:val="000000"/>
          <w:sz w:val="30"/>
          <w:szCs w:val="30"/>
        </w:rPr>
        <w:t>支</w:t>
      </w:r>
      <w:r>
        <w:rPr>
          <w:rStyle w:val="27"/>
          <w:rFonts w:hint="eastAsia" w:ascii="仿宋_GB2312" w:hAnsi="仿宋_GB2312" w:eastAsia="仿宋_GB2312" w:cs="仿宋_GB2312"/>
          <w:b w:val="0"/>
          <w:bCs w:val="0"/>
          <w:sz w:val="30"/>
          <w:szCs w:val="30"/>
        </w:rPr>
        <w:t>出决算表</w:t>
      </w:r>
      <w:bookmarkEnd w:id="124"/>
      <w:bookmarkEnd w:id="125"/>
      <w:bookmarkEnd w:id="126"/>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color w:val="000000"/>
          <w:sz w:val="30"/>
          <w:szCs w:val="30"/>
        </w:rPr>
      </w:pPr>
      <w:bookmarkStart w:id="127" w:name="_Toc79163889"/>
      <w:bookmarkStart w:id="128" w:name="_Toc79163639"/>
      <w:bookmarkStart w:id="129" w:name="_Toc15396622"/>
      <w:r>
        <w:rPr>
          <w:rStyle w:val="27"/>
          <w:rFonts w:hint="eastAsia" w:ascii="仿宋_GB2312" w:hAnsi="仿宋_GB2312" w:eastAsia="仿宋_GB2312" w:cs="仿宋_GB2312"/>
          <w:b w:val="0"/>
          <w:bCs w:val="0"/>
          <w:sz w:val="30"/>
          <w:szCs w:val="30"/>
        </w:rPr>
        <w:t>四、</w:t>
      </w:r>
      <w:r>
        <w:rPr>
          <w:rFonts w:hint="eastAsia" w:ascii="仿宋_GB2312" w:hAnsi="仿宋_GB2312" w:eastAsia="仿宋_GB2312" w:cs="仿宋_GB2312"/>
          <w:b w:val="0"/>
          <w:color w:val="000000"/>
          <w:sz w:val="30"/>
          <w:szCs w:val="30"/>
        </w:rPr>
        <w:t>财</w:t>
      </w:r>
      <w:r>
        <w:rPr>
          <w:rStyle w:val="27"/>
          <w:rFonts w:hint="eastAsia" w:ascii="仿宋_GB2312" w:hAnsi="仿宋_GB2312" w:eastAsia="仿宋_GB2312" w:cs="仿宋_GB2312"/>
          <w:b w:val="0"/>
          <w:bCs w:val="0"/>
          <w:sz w:val="30"/>
          <w:szCs w:val="30"/>
        </w:rPr>
        <w:t>政拨款收入支出决算总表</w:t>
      </w:r>
      <w:bookmarkEnd w:id="127"/>
      <w:bookmarkEnd w:id="128"/>
      <w:bookmarkEnd w:id="129"/>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Style w:val="27"/>
          <w:rFonts w:hint="eastAsia" w:ascii="仿宋_GB2312" w:hAnsi="仿宋_GB2312" w:eastAsia="仿宋_GB2312" w:cs="仿宋_GB2312"/>
          <w:b w:val="0"/>
          <w:bCs w:val="0"/>
          <w:sz w:val="30"/>
          <w:szCs w:val="30"/>
        </w:rPr>
      </w:pPr>
      <w:bookmarkStart w:id="130" w:name="_Toc15396623"/>
      <w:bookmarkStart w:id="131" w:name="_Toc79163890"/>
      <w:bookmarkStart w:id="132" w:name="_Toc79163640"/>
      <w:r>
        <w:rPr>
          <w:rStyle w:val="27"/>
          <w:rFonts w:hint="eastAsia" w:ascii="仿宋_GB2312" w:hAnsi="仿宋_GB2312" w:eastAsia="仿宋_GB2312" w:cs="仿宋_GB2312"/>
          <w:b w:val="0"/>
          <w:bCs w:val="0"/>
          <w:sz w:val="30"/>
          <w:szCs w:val="30"/>
        </w:rPr>
        <w:t>五、</w:t>
      </w:r>
      <w:r>
        <w:rPr>
          <w:rFonts w:hint="eastAsia" w:ascii="仿宋_GB2312" w:hAnsi="仿宋_GB2312" w:eastAsia="仿宋_GB2312" w:cs="仿宋_GB2312"/>
          <w:b w:val="0"/>
          <w:color w:val="000000"/>
          <w:sz w:val="30"/>
          <w:szCs w:val="30"/>
        </w:rPr>
        <w:t>财</w:t>
      </w:r>
      <w:r>
        <w:rPr>
          <w:rStyle w:val="27"/>
          <w:rFonts w:hint="eastAsia" w:ascii="仿宋_GB2312" w:hAnsi="仿宋_GB2312" w:eastAsia="仿宋_GB2312" w:cs="仿宋_GB2312"/>
          <w:b w:val="0"/>
          <w:bCs w:val="0"/>
          <w:sz w:val="30"/>
          <w:szCs w:val="30"/>
        </w:rPr>
        <w:t>政拨款支出决算明细表</w:t>
      </w:r>
      <w:bookmarkEnd w:id="130"/>
      <w:bookmarkEnd w:id="131"/>
      <w:bookmarkEnd w:id="132"/>
      <w:bookmarkStart w:id="133" w:name="_Toc15396624"/>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34" w:name="_Toc79163641"/>
      <w:bookmarkStart w:id="135" w:name="_Toc79163891"/>
      <w:r>
        <w:rPr>
          <w:rStyle w:val="27"/>
          <w:rFonts w:hint="eastAsia" w:ascii="仿宋_GB2312" w:hAnsi="仿宋_GB2312" w:eastAsia="仿宋_GB2312" w:cs="仿宋_GB2312"/>
          <w:b w:val="0"/>
          <w:bCs w:val="0"/>
          <w:sz w:val="30"/>
          <w:szCs w:val="30"/>
        </w:rPr>
        <w:t>六、</w:t>
      </w:r>
      <w:r>
        <w:rPr>
          <w:rFonts w:hint="eastAsia" w:ascii="仿宋_GB2312" w:hAnsi="仿宋_GB2312" w:eastAsia="仿宋_GB2312" w:cs="仿宋_GB2312"/>
          <w:b w:val="0"/>
          <w:color w:val="000000"/>
          <w:sz w:val="30"/>
          <w:szCs w:val="30"/>
        </w:rPr>
        <w:t>一</w:t>
      </w:r>
      <w:r>
        <w:rPr>
          <w:rStyle w:val="27"/>
          <w:rFonts w:hint="eastAsia" w:ascii="仿宋_GB2312" w:hAnsi="仿宋_GB2312" w:eastAsia="仿宋_GB2312" w:cs="仿宋_GB2312"/>
          <w:b w:val="0"/>
          <w:bCs w:val="0"/>
          <w:sz w:val="30"/>
          <w:szCs w:val="30"/>
        </w:rPr>
        <w:t>般公共预算财政拨款支出决算表</w:t>
      </w:r>
      <w:bookmarkEnd w:id="133"/>
      <w:bookmarkEnd w:id="134"/>
      <w:bookmarkEnd w:id="135"/>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36" w:name="_Toc15396625"/>
      <w:bookmarkStart w:id="137" w:name="_Toc79163642"/>
      <w:bookmarkStart w:id="138" w:name="_Toc79163892"/>
      <w:r>
        <w:rPr>
          <w:rStyle w:val="27"/>
          <w:rFonts w:hint="eastAsia" w:ascii="仿宋_GB2312" w:hAnsi="仿宋_GB2312" w:eastAsia="仿宋_GB2312" w:cs="仿宋_GB2312"/>
          <w:b w:val="0"/>
          <w:bCs w:val="0"/>
          <w:sz w:val="30"/>
          <w:szCs w:val="30"/>
        </w:rPr>
        <w:t>七、</w:t>
      </w:r>
      <w:r>
        <w:rPr>
          <w:rFonts w:hint="eastAsia" w:ascii="仿宋_GB2312" w:hAnsi="仿宋_GB2312" w:eastAsia="仿宋_GB2312" w:cs="仿宋_GB2312"/>
          <w:b w:val="0"/>
          <w:color w:val="000000"/>
          <w:sz w:val="30"/>
          <w:szCs w:val="30"/>
        </w:rPr>
        <w:t>一</w:t>
      </w:r>
      <w:r>
        <w:rPr>
          <w:rStyle w:val="27"/>
          <w:rFonts w:hint="eastAsia" w:ascii="仿宋_GB2312" w:hAnsi="仿宋_GB2312" w:eastAsia="仿宋_GB2312" w:cs="仿宋_GB2312"/>
          <w:b w:val="0"/>
          <w:bCs w:val="0"/>
          <w:sz w:val="30"/>
          <w:szCs w:val="30"/>
        </w:rPr>
        <w:t>般公共预算财政拨款支出决算明细表</w:t>
      </w:r>
      <w:bookmarkEnd w:id="136"/>
      <w:bookmarkEnd w:id="137"/>
      <w:bookmarkEnd w:id="138"/>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39" w:name="_Toc79163893"/>
      <w:bookmarkStart w:id="140" w:name="_Toc79163643"/>
      <w:bookmarkStart w:id="141" w:name="_Toc15396626"/>
      <w:r>
        <w:rPr>
          <w:rStyle w:val="27"/>
          <w:rFonts w:hint="eastAsia" w:ascii="仿宋_GB2312" w:hAnsi="仿宋_GB2312" w:eastAsia="仿宋_GB2312" w:cs="仿宋_GB2312"/>
          <w:b w:val="0"/>
          <w:bCs w:val="0"/>
          <w:sz w:val="30"/>
          <w:szCs w:val="30"/>
        </w:rPr>
        <w:t>八、</w:t>
      </w:r>
      <w:r>
        <w:rPr>
          <w:rFonts w:hint="eastAsia" w:ascii="仿宋_GB2312" w:hAnsi="仿宋_GB2312" w:eastAsia="仿宋_GB2312" w:cs="仿宋_GB2312"/>
          <w:b w:val="0"/>
          <w:color w:val="000000"/>
          <w:sz w:val="30"/>
          <w:szCs w:val="30"/>
        </w:rPr>
        <w:t>一</w:t>
      </w:r>
      <w:r>
        <w:rPr>
          <w:rStyle w:val="27"/>
          <w:rFonts w:hint="eastAsia" w:ascii="仿宋_GB2312" w:hAnsi="仿宋_GB2312" w:eastAsia="仿宋_GB2312" w:cs="仿宋_GB2312"/>
          <w:b w:val="0"/>
          <w:bCs w:val="0"/>
          <w:sz w:val="30"/>
          <w:szCs w:val="30"/>
        </w:rPr>
        <w:t>般公共预算财政拨款基本支出决算表</w:t>
      </w:r>
      <w:bookmarkEnd w:id="139"/>
      <w:bookmarkEnd w:id="140"/>
      <w:bookmarkEnd w:id="141"/>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42" w:name="_Toc15396627"/>
      <w:bookmarkStart w:id="143" w:name="_Toc79163644"/>
      <w:bookmarkStart w:id="144" w:name="_Toc79163894"/>
      <w:r>
        <w:rPr>
          <w:rStyle w:val="27"/>
          <w:rFonts w:hint="eastAsia" w:ascii="仿宋_GB2312" w:hAnsi="仿宋_GB2312" w:eastAsia="仿宋_GB2312" w:cs="仿宋_GB2312"/>
          <w:b w:val="0"/>
          <w:bCs w:val="0"/>
          <w:sz w:val="30"/>
          <w:szCs w:val="30"/>
        </w:rPr>
        <w:t>九、</w:t>
      </w:r>
      <w:r>
        <w:rPr>
          <w:rFonts w:hint="eastAsia" w:ascii="仿宋_GB2312" w:hAnsi="仿宋_GB2312" w:eastAsia="仿宋_GB2312" w:cs="仿宋_GB2312"/>
          <w:b w:val="0"/>
          <w:color w:val="000000"/>
          <w:sz w:val="30"/>
          <w:szCs w:val="30"/>
        </w:rPr>
        <w:t>一</w:t>
      </w:r>
      <w:r>
        <w:rPr>
          <w:rStyle w:val="27"/>
          <w:rFonts w:hint="eastAsia" w:ascii="仿宋_GB2312" w:hAnsi="仿宋_GB2312" w:eastAsia="仿宋_GB2312" w:cs="仿宋_GB2312"/>
          <w:b w:val="0"/>
          <w:bCs w:val="0"/>
          <w:sz w:val="30"/>
          <w:szCs w:val="30"/>
        </w:rPr>
        <w:t>般公共预算财政拨款项目支出决算表</w:t>
      </w:r>
      <w:bookmarkEnd w:id="142"/>
      <w:bookmarkEnd w:id="143"/>
      <w:bookmarkEnd w:id="144"/>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45" w:name="_Toc79163895"/>
      <w:bookmarkStart w:id="146" w:name="_Toc15396628"/>
      <w:bookmarkStart w:id="147" w:name="_Toc79163645"/>
      <w:r>
        <w:rPr>
          <w:rStyle w:val="27"/>
          <w:rFonts w:hint="eastAsia" w:ascii="仿宋_GB2312" w:hAnsi="仿宋_GB2312" w:eastAsia="仿宋_GB2312" w:cs="仿宋_GB2312"/>
          <w:b w:val="0"/>
          <w:bCs w:val="0"/>
          <w:sz w:val="30"/>
          <w:szCs w:val="30"/>
        </w:rPr>
        <w:t>十、</w:t>
      </w:r>
      <w:r>
        <w:rPr>
          <w:rFonts w:hint="eastAsia" w:ascii="仿宋_GB2312" w:hAnsi="仿宋_GB2312" w:eastAsia="仿宋_GB2312" w:cs="仿宋_GB2312"/>
          <w:b w:val="0"/>
          <w:color w:val="000000"/>
          <w:sz w:val="30"/>
          <w:szCs w:val="30"/>
        </w:rPr>
        <w:t>一</w:t>
      </w:r>
      <w:r>
        <w:rPr>
          <w:rStyle w:val="27"/>
          <w:rFonts w:hint="eastAsia" w:ascii="仿宋_GB2312" w:hAnsi="仿宋_GB2312" w:eastAsia="仿宋_GB2312" w:cs="仿宋_GB2312"/>
          <w:b w:val="0"/>
          <w:bCs w:val="0"/>
          <w:sz w:val="30"/>
          <w:szCs w:val="30"/>
        </w:rPr>
        <w:t>般公共预算财政拨款“三公”经费支出决算表</w:t>
      </w:r>
      <w:bookmarkEnd w:id="145"/>
      <w:bookmarkEnd w:id="146"/>
      <w:bookmarkEnd w:id="147"/>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48" w:name="_Toc79163896"/>
      <w:bookmarkStart w:id="149" w:name="_Toc79163646"/>
      <w:bookmarkStart w:id="150" w:name="_Toc15396629"/>
      <w:r>
        <w:rPr>
          <w:rStyle w:val="27"/>
          <w:rFonts w:hint="eastAsia" w:ascii="仿宋_GB2312" w:hAnsi="仿宋_GB2312" w:eastAsia="仿宋_GB2312" w:cs="仿宋_GB2312"/>
          <w:b w:val="0"/>
          <w:bCs w:val="0"/>
          <w:sz w:val="30"/>
          <w:szCs w:val="30"/>
        </w:rPr>
        <w:t>十一、</w:t>
      </w:r>
      <w:r>
        <w:rPr>
          <w:rFonts w:hint="eastAsia" w:ascii="仿宋_GB2312" w:hAnsi="仿宋_GB2312" w:eastAsia="仿宋_GB2312" w:cs="仿宋_GB2312"/>
          <w:b w:val="0"/>
          <w:color w:val="000000"/>
          <w:sz w:val="30"/>
          <w:szCs w:val="30"/>
        </w:rPr>
        <w:t>政</w:t>
      </w:r>
      <w:r>
        <w:rPr>
          <w:rStyle w:val="27"/>
          <w:rFonts w:hint="eastAsia" w:ascii="仿宋_GB2312" w:hAnsi="仿宋_GB2312" w:eastAsia="仿宋_GB2312" w:cs="仿宋_GB2312"/>
          <w:b w:val="0"/>
          <w:bCs w:val="0"/>
          <w:sz w:val="30"/>
          <w:szCs w:val="30"/>
        </w:rPr>
        <w:t>府性基金预算财政拨款收入支出决算表</w:t>
      </w:r>
      <w:bookmarkEnd w:id="148"/>
      <w:bookmarkEnd w:id="149"/>
      <w:bookmarkEnd w:id="150"/>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0"/>
          <w:szCs w:val="30"/>
        </w:rPr>
      </w:pPr>
      <w:bookmarkStart w:id="151" w:name="_Toc79163897"/>
      <w:bookmarkStart w:id="152" w:name="_Toc79163647"/>
      <w:bookmarkStart w:id="153" w:name="_Toc15396630"/>
      <w:r>
        <w:rPr>
          <w:rStyle w:val="27"/>
          <w:rFonts w:hint="eastAsia" w:ascii="仿宋_GB2312" w:hAnsi="仿宋_GB2312" w:eastAsia="仿宋_GB2312" w:cs="仿宋_GB2312"/>
          <w:b w:val="0"/>
          <w:bCs w:val="0"/>
          <w:sz w:val="30"/>
          <w:szCs w:val="30"/>
        </w:rPr>
        <w:t>十二、</w:t>
      </w:r>
      <w:r>
        <w:rPr>
          <w:rFonts w:hint="eastAsia" w:ascii="仿宋_GB2312" w:hAnsi="仿宋_GB2312" w:eastAsia="仿宋_GB2312" w:cs="仿宋_GB2312"/>
          <w:b w:val="0"/>
          <w:color w:val="000000"/>
          <w:sz w:val="30"/>
          <w:szCs w:val="30"/>
        </w:rPr>
        <w:t>政</w:t>
      </w:r>
      <w:r>
        <w:rPr>
          <w:rStyle w:val="27"/>
          <w:rFonts w:hint="eastAsia" w:ascii="仿宋_GB2312" w:hAnsi="仿宋_GB2312" w:eastAsia="仿宋_GB2312" w:cs="仿宋_GB2312"/>
          <w:b w:val="0"/>
          <w:bCs w:val="0"/>
          <w:sz w:val="30"/>
          <w:szCs w:val="30"/>
        </w:rPr>
        <w:t>府性基金预算财政拨款“三公”经费支出决算表</w:t>
      </w:r>
      <w:bookmarkEnd w:id="151"/>
      <w:bookmarkEnd w:id="152"/>
      <w:bookmarkEnd w:id="153"/>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Style w:val="27"/>
          <w:rFonts w:hint="eastAsia" w:ascii="仿宋_GB2312" w:hAnsi="仿宋_GB2312" w:eastAsia="仿宋_GB2312" w:cs="仿宋_GB2312"/>
          <w:b w:val="0"/>
          <w:bCs w:val="0"/>
          <w:sz w:val="30"/>
          <w:szCs w:val="30"/>
        </w:rPr>
      </w:pPr>
      <w:bookmarkStart w:id="154" w:name="_Toc79163898"/>
      <w:bookmarkStart w:id="155" w:name="_Toc79163648"/>
      <w:bookmarkStart w:id="156" w:name="_Toc15396631"/>
      <w:r>
        <w:rPr>
          <w:rStyle w:val="27"/>
          <w:rFonts w:hint="eastAsia" w:ascii="仿宋_GB2312" w:hAnsi="仿宋_GB2312" w:eastAsia="仿宋_GB2312" w:cs="仿宋_GB2312"/>
          <w:b w:val="0"/>
          <w:bCs w:val="0"/>
          <w:sz w:val="30"/>
          <w:szCs w:val="30"/>
        </w:rPr>
        <w:t>十三、</w:t>
      </w:r>
      <w:r>
        <w:rPr>
          <w:rFonts w:hint="eastAsia" w:ascii="仿宋_GB2312" w:hAnsi="仿宋_GB2312" w:eastAsia="仿宋_GB2312" w:cs="仿宋_GB2312"/>
          <w:b w:val="0"/>
          <w:color w:val="000000"/>
          <w:sz w:val="30"/>
          <w:szCs w:val="30"/>
        </w:rPr>
        <w:t>国</w:t>
      </w:r>
      <w:r>
        <w:rPr>
          <w:rStyle w:val="27"/>
          <w:rFonts w:hint="eastAsia" w:ascii="仿宋_GB2312" w:hAnsi="仿宋_GB2312" w:eastAsia="仿宋_GB2312" w:cs="仿宋_GB2312"/>
          <w:b w:val="0"/>
          <w:bCs w:val="0"/>
          <w:sz w:val="30"/>
          <w:szCs w:val="30"/>
        </w:rPr>
        <w:t>有资本经营预算财政拨款支出决算表</w:t>
      </w:r>
      <w:bookmarkEnd w:id="154"/>
      <w:bookmarkEnd w:id="155"/>
      <w:bookmarkEnd w:id="156"/>
    </w:p>
    <w:p>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Style w:val="27"/>
          <w:rFonts w:hint="eastAsia" w:ascii="仿宋_GB2312" w:hAnsi="仿宋_GB2312" w:eastAsia="仿宋_GB2312" w:cs="仿宋_GB2312"/>
          <w:b w:val="0"/>
          <w:bCs w:val="0"/>
          <w:sz w:val="30"/>
          <w:szCs w:val="30"/>
        </w:rPr>
      </w:pPr>
      <w:bookmarkStart w:id="157" w:name="_Toc79163649"/>
      <w:bookmarkStart w:id="158" w:name="_Toc79163899"/>
      <w:r>
        <w:rPr>
          <w:rStyle w:val="27"/>
          <w:rFonts w:hint="eastAsia" w:ascii="仿宋_GB2312" w:hAnsi="仿宋_GB2312" w:eastAsia="仿宋_GB2312" w:cs="仿宋_GB2312"/>
          <w:b w:val="0"/>
          <w:bCs w:val="0"/>
          <w:sz w:val="30"/>
          <w:szCs w:val="30"/>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
    <w:altName w:val="方正仿宋_GBK"/>
    <w:panose1 w:val="02010609060101010101"/>
    <w:charset w:val="86"/>
    <w:family w:val="modern"/>
    <w:pitch w:val="default"/>
    <w:sig w:usb0="00000000" w:usb1="00000000" w:usb2="00000016" w:usb3="00000000" w:csb0="00040001"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altName w:val="仿宋_GB2312"/>
    <w:panose1 w:val="00000000000000000000"/>
    <w:charset w:val="86"/>
    <w:family w:val="auto"/>
    <w:pitch w:val="default"/>
    <w:sig w:usb0="00000000" w:usb1="00000000" w:usb2="00000016" w:usb3="00000000" w:csb0="0004000F" w:csb1="00000000"/>
  </w:font>
  <w:font w:name="MT Extra">
    <w:panose1 w:val="02000609000000000000"/>
    <w:charset w:val="02"/>
    <w:family w:val="roman"/>
    <w:pitch w:val="default"/>
    <w:sig w:usb0="00000001" w:usb1="00000000" w:usb2="00000000" w:usb3="00000000" w:csb0="00000001" w:csb1="00000000"/>
  </w:font>
  <w:font w:name="??">
    <w:altName w:val="AR PL UKai CN"/>
    <w:panose1 w:val="00000000000000000000"/>
    <w:charset w:val="00"/>
    <w:family w:val="roman"/>
    <w:pitch w:val="default"/>
    <w:sig w:usb0="00000000" w:usb1="00000000" w:usb2="00000000" w:usb3="00000000" w:csb0="00040001"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AR PL UKai CN">
    <w:panose1 w:val="02000503000000000000"/>
    <w:charset w:val="86"/>
    <w:family w:val="auto"/>
    <w:pitch w:val="default"/>
    <w:sig w:usb0="A00002FF" w:usb1="3ACFFDFF" w:usb2="00000036" w:usb3="00000000" w:csb0="2016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11</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0CAA06B"/>
    <w:multiLevelType w:val="singleLevel"/>
    <w:tmpl w:val="E0CAA06B"/>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0FD7E89B"/>
    <w:multiLevelType w:val="singleLevel"/>
    <w:tmpl w:val="0FD7E89B"/>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hNGViYWZhMjdiMzY2MzI1Nzc1Y2E2N2JjMGI3YW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72F9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65B77"/>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3016"/>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F013D"/>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5A6F"/>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2D5A"/>
    <w:rsid w:val="00E331A1"/>
    <w:rsid w:val="00E33202"/>
    <w:rsid w:val="00E336A9"/>
    <w:rsid w:val="00E472B1"/>
    <w:rsid w:val="00E47355"/>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062176"/>
    <w:rsid w:val="01B87DA5"/>
    <w:rsid w:val="01D64B00"/>
    <w:rsid w:val="032B0D89"/>
    <w:rsid w:val="03702D00"/>
    <w:rsid w:val="03D54590"/>
    <w:rsid w:val="045571F8"/>
    <w:rsid w:val="046A3E34"/>
    <w:rsid w:val="048B0814"/>
    <w:rsid w:val="04DD2FE3"/>
    <w:rsid w:val="04E52EFE"/>
    <w:rsid w:val="052D422C"/>
    <w:rsid w:val="054F0C3D"/>
    <w:rsid w:val="0572380E"/>
    <w:rsid w:val="057905AA"/>
    <w:rsid w:val="05CC4C58"/>
    <w:rsid w:val="05F0745D"/>
    <w:rsid w:val="061A6F98"/>
    <w:rsid w:val="06345BBB"/>
    <w:rsid w:val="06D40EA1"/>
    <w:rsid w:val="07232218"/>
    <w:rsid w:val="07630750"/>
    <w:rsid w:val="07C22B6F"/>
    <w:rsid w:val="07CD4D53"/>
    <w:rsid w:val="08794B6B"/>
    <w:rsid w:val="08873393"/>
    <w:rsid w:val="08E72291"/>
    <w:rsid w:val="08FC4B9E"/>
    <w:rsid w:val="09075721"/>
    <w:rsid w:val="09415082"/>
    <w:rsid w:val="09E13D9B"/>
    <w:rsid w:val="09F52C0F"/>
    <w:rsid w:val="0A0106F5"/>
    <w:rsid w:val="0A2032A3"/>
    <w:rsid w:val="0A362C4D"/>
    <w:rsid w:val="0A3A525C"/>
    <w:rsid w:val="0A9A7F21"/>
    <w:rsid w:val="0AA12296"/>
    <w:rsid w:val="0AAA022D"/>
    <w:rsid w:val="0ACE617A"/>
    <w:rsid w:val="0AEB73DB"/>
    <w:rsid w:val="0B277173"/>
    <w:rsid w:val="0BB27B4C"/>
    <w:rsid w:val="0C0F6191"/>
    <w:rsid w:val="0C655404"/>
    <w:rsid w:val="0C684B23"/>
    <w:rsid w:val="0C6A03FA"/>
    <w:rsid w:val="0C6C4ACC"/>
    <w:rsid w:val="0D4C0848"/>
    <w:rsid w:val="0D8205C7"/>
    <w:rsid w:val="0D8876DF"/>
    <w:rsid w:val="0DDB6F15"/>
    <w:rsid w:val="0DF53655"/>
    <w:rsid w:val="0EAE62E3"/>
    <w:rsid w:val="0EC03D2B"/>
    <w:rsid w:val="0F182C28"/>
    <w:rsid w:val="0F8A11EE"/>
    <w:rsid w:val="0FD3741A"/>
    <w:rsid w:val="0FDF08D3"/>
    <w:rsid w:val="0FEE4FA9"/>
    <w:rsid w:val="101B4EB5"/>
    <w:rsid w:val="10753F6F"/>
    <w:rsid w:val="10C055FF"/>
    <w:rsid w:val="111317FD"/>
    <w:rsid w:val="113D3B0D"/>
    <w:rsid w:val="11545714"/>
    <w:rsid w:val="118107EC"/>
    <w:rsid w:val="120029B8"/>
    <w:rsid w:val="122B392C"/>
    <w:rsid w:val="125735A8"/>
    <w:rsid w:val="125F40E0"/>
    <w:rsid w:val="12774225"/>
    <w:rsid w:val="128024C2"/>
    <w:rsid w:val="128300BD"/>
    <w:rsid w:val="13826B0B"/>
    <w:rsid w:val="13D33102"/>
    <w:rsid w:val="13DD431A"/>
    <w:rsid w:val="14283E72"/>
    <w:rsid w:val="14333BA0"/>
    <w:rsid w:val="144F104D"/>
    <w:rsid w:val="14563B76"/>
    <w:rsid w:val="155902D2"/>
    <w:rsid w:val="156456A0"/>
    <w:rsid w:val="15794FB1"/>
    <w:rsid w:val="15826BC9"/>
    <w:rsid w:val="15D007FC"/>
    <w:rsid w:val="16257997"/>
    <w:rsid w:val="163E58E3"/>
    <w:rsid w:val="16456FDE"/>
    <w:rsid w:val="1674415F"/>
    <w:rsid w:val="16927B57"/>
    <w:rsid w:val="16B25D16"/>
    <w:rsid w:val="16BB723D"/>
    <w:rsid w:val="16C077F2"/>
    <w:rsid w:val="16CC5760"/>
    <w:rsid w:val="16FC0965"/>
    <w:rsid w:val="17194630"/>
    <w:rsid w:val="171B0C29"/>
    <w:rsid w:val="17E41673"/>
    <w:rsid w:val="19054722"/>
    <w:rsid w:val="196A733A"/>
    <w:rsid w:val="19C07C84"/>
    <w:rsid w:val="19C92FDD"/>
    <w:rsid w:val="1A2B2303"/>
    <w:rsid w:val="1A2C668C"/>
    <w:rsid w:val="1A587EBD"/>
    <w:rsid w:val="1A5E6D3A"/>
    <w:rsid w:val="1AD77FD8"/>
    <w:rsid w:val="1ADF7F33"/>
    <w:rsid w:val="1AE25D73"/>
    <w:rsid w:val="1B032591"/>
    <w:rsid w:val="1B183EB4"/>
    <w:rsid w:val="1B260D19"/>
    <w:rsid w:val="1B3202FC"/>
    <w:rsid w:val="1B390273"/>
    <w:rsid w:val="1B996222"/>
    <w:rsid w:val="1BB86BF2"/>
    <w:rsid w:val="1BCC56D5"/>
    <w:rsid w:val="1C0A36E0"/>
    <w:rsid w:val="1C686EF5"/>
    <w:rsid w:val="1CD557F5"/>
    <w:rsid w:val="1D0A72D0"/>
    <w:rsid w:val="1D155CEE"/>
    <w:rsid w:val="1D74500E"/>
    <w:rsid w:val="1D9226EC"/>
    <w:rsid w:val="1DA85CE9"/>
    <w:rsid w:val="1E5310C7"/>
    <w:rsid w:val="1E7802F4"/>
    <w:rsid w:val="1E93168A"/>
    <w:rsid w:val="1EBC51FD"/>
    <w:rsid w:val="1EC5695F"/>
    <w:rsid w:val="1ED969E9"/>
    <w:rsid w:val="1EF95933"/>
    <w:rsid w:val="1F2A56BA"/>
    <w:rsid w:val="1F3B0A27"/>
    <w:rsid w:val="1F674A94"/>
    <w:rsid w:val="1FDC3AD5"/>
    <w:rsid w:val="201932B3"/>
    <w:rsid w:val="20A66671"/>
    <w:rsid w:val="20CF47A2"/>
    <w:rsid w:val="212C3E51"/>
    <w:rsid w:val="21401046"/>
    <w:rsid w:val="21B029DE"/>
    <w:rsid w:val="21E01C4A"/>
    <w:rsid w:val="21EF0123"/>
    <w:rsid w:val="21F66977"/>
    <w:rsid w:val="22141B98"/>
    <w:rsid w:val="22844FFF"/>
    <w:rsid w:val="228C5E94"/>
    <w:rsid w:val="22C97CFD"/>
    <w:rsid w:val="22E70030"/>
    <w:rsid w:val="22E76282"/>
    <w:rsid w:val="230A4AAF"/>
    <w:rsid w:val="232F03D7"/>
    <w:rsid w:val="2343440B"/>
    <w:rsid w:val="23DC1B5F"/>
    <w:rsid w:val="240371BF"/>
    <w:rsid w:val="24A63B5D"/>
    <w:rsid w:val="24EA5886"/>
    <w:rsid w:val="252D4D9F"/>
    <w:rsid w:val="25906937"/>
    <w:rsid w:val="25A22934"/>
    <w:rsid w:val="25AA48AC"/>
    <w:rsid w:val="25DC4098"/>
    <w:rsid w:val="26097655"/>
    <w:rsid w:val="26916B90"/>
    <w:rsid w:val="26F80199"/>
    <w:rsid w:val="270D774C"/>
    <w:rsid w:val="277D78C6"/>
    <w:rsid w:val="27D66A02"/>
    <w:rsid w:val="27DF57D7"/>
    <w:rsid w:val="281F58E4"/>
    <w:rsid w:val="284453A6"/>
    <w:rsid w:val="28877F7B"/>
    <w:rsid w:val="291F615D"/>
    <w:rsid w:val="2929589F"/>
    <w:rsid w:val="297D5DE1"/>
    <w:rsid w:val="29A13A64"/>
    <w:rsid w:val="29AF58A2"/>
    <w:rsid w:val="29C76836"/>
    <w:rsid w:val="29CA61FC"/>
    <w:rsid w:val="29CC6D34"/>
    <w:rsid w:val="29EE17E2"/>
    <w:rsid w:val="29FD04D3"/>
    <w:rsid w:val="2A003AD7"/>
    <w:rsid w:val="2A1A0CEB"/>
    <w:rsid w:val="2A265E14"/>
    <w:rsid w:val="2A5E151F"/>
    <w:rsid w:val="2AA855C6"/>
    <w:rsid w:val="2B147E30"/>
    <w:rsid w:val="2B506B94"/>
    <w:rsid w:val="2BB44FB5"/>
    <w:rsid w:val="2BDE00F8"/>
    <w:rsid w:val="2C3C763E"/>
    <w:rsid w:val="2CC53DF5"/>
    <w:rsid w:val="2CD3636E"/>
    <w:rsid w:val="2CE550C6"/>
    <w:rsid w:val="2D6A1EFD"/>
    <w:rsid w:val="2DAF2092"/>
    <w:rsid w:val="2E287C4A"/>
    <w:rsid w:val="2E454C9C"/>
    <w:rsid w:val="2E495000"/>
    <w:rsid w:val="2E7B4562"/>
    <w:rsid w:val="2F6D56FB"/>
    <w:rsid w:val="2FA86D99"/>
    <w:rsid w:val="2FBE6EA1"/>
    <w:rsid w:val="30475954"/>
    <w:rsid w:val="304828E0"/>
    <w:rsid w:val="306758C3"/>
    <w:rsid w:val="307F0807"/>
    <w:rsid w:val="308C1D11"/>
    <w:rsid w:val="3101079F"/>
    <w:rsid w:val="310E627F"/>
    <w:rsid w:val="31314F2B"/>
    <w:rsid w:val="319F7F4E"/>
    <w:rsid w:val="31AF57B5"/>
    <w:rsid w:val="31F331CF"/>
    <w:rsid w:val="328114EA"/>
    <w:rsid w:val="335B1D88"/>
    <w:rsid w:val="33975B15"/>
    <w:rsid w:val="33F526D8"/>
    <w:rsid w:val="33F645A6"/>
    <w:rsid w:val="33FC0160"/>
    <w:rsid w:val="342E23CA"/>
    <w:rsid w:val="34414393"/>
    <w:rsid w:val="34847DD4"/>
    <w:rsid w:val="34B70E34"/>
    <w:rsid w:val="34E02F73"/>
    <w:rsid w:val="35357321"/>
    <w:rsid w:val="357B3928"/>
    <w:rsid w:val="357E4D69"/>
    <w:rsid w:val="35850DE7"/>
    <w:rsid w:val="35CF050A"/>
    <w:rsid w:val="35D6383A"/>
    <w:rsid w:val="35F5260C"/>
    <w:rsid w:val="360011F8"/>
    <w:rsid w:val="361964D8"/>
    <w:rsid w:val="36E22946"/>
    <w:rsid w:val="37412D42"/>
    <w:rsid w:val="37483A77"/>
    <w:rsid w:val="37666B88"/>
    <w:rsid w:val="37A439B1"/>
    <w:rsid w:val="37B23AD3"/>
    <w:rsid w:val="384D68C3"/>
    <w:rsid w:val="385C59F3"/>
    <w:rsid w:val="38B84FB2"/>
    <w:rsid w:val="38BA3730"/>
    <w:rsid w:val="3924765A"/>
    <w:rsid w:val="39664C9F"/>
    <w:rsid w:val="39937A74"/>
    <w:rsid w:val="39A13EE2"/>
    <w:rsid w:val="39D03CDE"/>
    <w:rsid w:val="39FA6DD7"/>
    <w:rsid w:val="3A3B5D36"/>
    <w:rsid w:val="3AA363D5"/>
    <w:rsid w:val="3AD70BFD"/>
    <w:rsid w:val="3AE53847"/>
    <w:rsid w:val="3AEB2651"/>
    <w:rsid w:val="3B7A31A7"/>
    <w:rsid w:val="3BF60F39"/>
    <w:rsid w:val="3C626817"/>
    <w:rsid w:val="3CDB4084"/>
    <w:rsid w:val="3CEA2AFB"/>
    <w:rsid w:val="3CF25BB5"/>
    <w:rsid w:val="3D365577"/>
    <w:rsid w:val="3D621A4F"/>
    <w:rsid w:val="3D786DF7"/>
    <w:rsid w:val="3E5B3806"/>
    <w:rsid w:val="3E6B784E"/>
    <w:rsid w:val="3E816AE6"/>
    <w:rsid w:val="3EDE1401"/>
    <w:rsid w:val="3EFD1554"/>
    <w:rsid w:val="3F32188C"/>
    <w:rsid w:val="3F3D4608"/>
    <w:rsid w:val="3F8E5FAB"/>
    <w:rsid w:val="3FA61290"/>
    <w:rsid w:val="3FCC0881"/>
    <w:rsid w:val="40180BC2"/>
    <w:rsid w:val="402D7612"/>
    <w:rsid w:val="403F27BB"/>
    <w:rsid w:val="40940443"/>
    <w:rsid w:val="40FC5C65"/>
    <w:rsid w:val="411774B0"/>
    <w:rsid w:val="41445CD9"/>
    <w:rsid w:val="419E64E5"/>
    <w:rsid w:val="41BB6E00"/>
    <w:rsid w:val="41D2449A"/>
    <w:rsid w:val="41DC56DB"/>
    <w:rsid w:val="41F26A05"/>
    <w:rsid w:val="41F715EA"/>
    <w:rsid w:val="425A7C3C"/>
    <w:rsid w:val="426758A0"/>
    <w:rsid w:val="42906E96"/>
    <w:rsid w:val="430F5B58"/>
    <w:rsid w:val="43223D26"/>
    <w:rsid w:val="436A4639"/>
    <w:rsid w:val="438C0A54"/>
    <w:rsid w:val="439C35D9"/>
    <w:rsid w:val="43C65B51"/>
    <w:rsid w:val="43E63B53"/>
    <w:rsid w:val="43EA1204"/>
    <w:rsid w:val="442D7B2C"/>
    <w:rsid w:val="442F4E77"/>
    <w:rsid w:val="44441529"/>
    <w:rsid w:val="447142AC"/>
    <w:rsid w:val="4476700E"/>
    <w:rsid w:val="44A91ADC"/>
    <w:rsid w:val="44CB3B1B"/>
    <w:rsid w:val="45114E6C"/>
    <w:rsid w:val="45411E66"/>
    <w:rsid w:val="45764EBE"/>
    <w:rsid w:val="457B5A1C"/>
    <w:rsid w:val="45F26E9C"/>
    <w:rsid w:val="46793B3B"/>
    <w:rsid w:val="468C50B3"/>
    <w:rsid w:val="472A1008"/>
    <w:rsid w:val="472E06C3"/>
    <w:rsid w:val="474D22A8"/>
    <w:rsid w:val="477C47F1"/>
    <w:rsid w:val="47981F8D"/>
    <w:rsid w:val="47BC5D08"/>
    <w:rsid w:val="47FB5C1A"/>
    <w:rsid w:val="482D75F0"/>
    <w:rsid w:val="48FA1D53"/>
    <w:rsid w:val="49085FE0"/>
    <w:rsid w:val="49186017"/>
    <w:rsid w:val="492834D7"/>
    <w:rsid w:val="494077FE"/>
    <w:rsid w:val="49673ED8"/>
    <w:rsid w:val="49D70C54"/>
    <w:rsid w:val="4A12601F"/>
    <w:rsid w:val="4A5E5250"/>
    <w:rsid w:val="4AAC55AF"/>
    <w:rsid w:val="4AEB425C"/>
    <w:rsid w:val="4AEC71AB"/>
    <w:rsid w:val="4B251476"/>
    <w:rsid w:val="4B344351"/>
    <w:rsid w:val="4B3C3949"/>
    <w:rsid w:val="4B6E21CE"/>
    <w:rsid w:val="4B7F7835"/>
    <w:rsid w:val="4B822F9F"/>
    <w:rsid w:val="4BA2740A"/>
    <w:rsid w:val="4BAE1FBD"/>
    <w:rsid w:val="4BD72205"/>
    <w:rsid w:val="4BD95797"/>
    <w:rsid w:val="4C1B0778"/>
    <w:rsid w:val="4C6A56AA"/>
    <w:rsid w:val="4C8A61C4"/>
    <w:rsid w:val="4C932A1E"/>
    <w:rsid w:val="4CC5571F"/>
    <w:rsid w:val="4CDF3582"/>
    <w:rsid w:val="4CDF7E0E"/>
    <w:rsid w:val="4CF30EF4"/>
    <w:rsid w:val="4D170D90"/>
    <w:rsid w:val="4D272396"/>
    <w:rsid w:val="4D9B7527"/>
    <w:rsid w:val="4DEB7CD2"/>
    <w:rsid w:val="4DFB6352"/>
    <w:rsid w:val="4E600B13"/>
    <w:rsid w:val="4E6B7252"/>
    <w:rsid w:val="4E7A2711"/>
    <w:rsid w:val="4E7B5CC8"/>
    <w:rsid w:val="4E953DE0"/>
    <w:rsid w:val="4ECE2238"/>
    <w:rsid w:val="4F4E140D"/>
    <w:rsid w:val="4F671B74"/>
    <w:rsid w:val="4F76246D"/>
    <w:rsid w:val="4FEF697B"/>
    <w:rsid w:val="50263AB7"/>
    <w:rsid w:val="513729AF"/>
    <w:rsid w:val="519D160F"/>
    <w:rsid w:val="51BB3346"/>
    <w:rsid w:val="51F73067"/>
    <w:rsid w:val="51FA0024"/>
    <w:rsid w:val="523B711E"/>
    <w:rsid w:val="524A6EB1"/>
    <w:rsid w:val="52AB1B0D"/>
    <w:rsid w:val="52D73635"/>
    <w:rsid w:val="52F860AE"/>
    <w:rsid w:val="52F90857"/>
    <w:rsid w:val="52FA7610"/>
    <w:rsid w:val="530A54F1"/>
    <w:rsid w:val="53242C6C"/>
    <w:rsid w:val="53334FE8"/>
    <w:rsid w:val="5376683B"/>
    <w:rsid w:val="538E05FD"/>
    <w:rsid w:val="53C23E16"/>
    <w:rsid w:val="54233D94"/>
    <w:rsid w:val="542802CE"/>
    <w:rsid w:val="54292F36"/>
    <w:rsid w:val="545D249C"/>
    <w:rsid w:val="54BA4CF5"/>
    <w:rsid w:val="54FA2494"/>
    <w:rsid w:val="554C39E5"/>
    <w:rsid w:val="5564135E"/>
    <w:rsid w:val="556B2F8E"/>
    <w:rsid w:val="557606E0"/>
    <w:rsid w:val="55FA527D"/>
    <w:rsid w:val="562F6711"/>
    <w:rsid w:val="56551179"/>
    <w:rsid w:val="5690201F"/>
    <w:rsid w:val="56933A4F"/>
    <w:rsid w:val="57160DC8"/>
    <w:rsid w:val="57445AEF"/>
    <w:rsid w:val="57752DC1"/>
    <w:rsid w:val="57E62D59"/>
    <w:rsid w:val="581415F7"/>
    <w:rsid w:val="584848CB"/>
    <w:rsid w:val="58DA50A0"/>
    <w:rsid w:val="58DC36F8"/>
    <w:rsid w:val="58FC3B2E"/>
    <w:rsid w:val="59026680"/>
    <w:rsid w:val="59EF64CD"/>
    <w:rsid w:val="59F55A72"/>
    <w:rsid w:val="5A1E6E93"/>
    <w:rsid w:val="5A8B2F48"/>
    <w:rsid w:val="5B275BBD"/>
    <w:rsid w:val="5B310175"/>
    <w:rsid w:val="5BA34101"/>
    <w:rsid w:val="5BE3414B"/>
    <w:rsid w:val="5D0A33AD"/>
    <w:rsid w:val="5D4C76C9"/>
    <w:rsid w:val="5D8F02A4"/>
    <w:rsid w:val="5DC30EBC"/>
    <w:rsid w:val="5DE00488"/>
    <w:rsid w:val="5E0425CF"/>
    <w:rsid w:val="5E533188"/>
    <w:rsid w:val="5E7D96F4"/>
    <w:rsid w:val="5EC944B2"/>
    <w:rsid w:val="5F943230"/>
    <w:rsid w:val="601A18EE"/>
    <w:rsid w:val="601F3DA2"/>
    <w:rsid w:val="60205455"/>
    <w:rsid w:val="604A4698"/>
    <w:rsid w:val="607816A1"/>
    <w:rsid w:val="60E53ED4"/>
    <w:rsid w:val="60F828D1"/>
    <w:rsid w:val="61353D27"/>
    <w:rsid w:val="613F1858"/>
    <w:rsid w:val="61461DEA"/>
    <w:rsid w:val="61497F9A"/>
    <w:rsid w:val="61546C15"/>
    <w:rsid w:val="61671D60"/>
    <w:rsid w:val="618C05C4"/>
    <w:rsid w:val="61C3651B"/>
    <w:rsid w:val="61C70485"/>
    <w:rsid w:val="61E27495"/>
    <w:rsid w:val="61E37639"/>
    <w:rsid w:val="61F327DA"/>
    <w:rsid w:val="62C218CD"/>
    <w:rsid w:val="62C27B96"/>
    <w:rsid w:val="635661F6"/>
    <w:rsid w:val="63C84EE9"/>
    <w:rsid w:val="63E15D6F"/>
    <w:rsid w:val="63F60735"/>
    <w:rsid w:val="64111DD8"/>
    <w:rsid w:val="644E796E"/>
    <w:rsid w:val="645B2545"/>
    <w:rsid w:val="64B028FE"/>
    <w:rsid w:val="64C4402E"/>
    <w:rsid w:val="65160C57"/>
    <w:rsid w:val="66210589"/>
    <w:rsid w:val="66474A3C"/>
    <w:rsid w:val="66BD46A9"/>
    <w:rsid w:val="66F81D1F"/>
    <w:rsid w:val="67283D40"/>
    <w:rsid w:val="6764746E"/>
    <w:rsid w:val="6780047C"/>
    <w:rsid w:val="67801DCE"/>
    <w:rsid w:val="67B90FF4"/>
    <w:rsid w:val="67ED274B"/>
    <w:rsid w:val="686D31A3"/>
    <w:rsid w:val="68705D4F"/>
    <w:rsid w:val="68A417ED"/>
    <w:rsid w:val="68C05CEF"/>
    <w:rsid w:val="68C86CE5"/>
    <w:rsid w:val="68D35CEC"/>
    <w:rsid w:val="68E532D4"/>
    <w:rsid w:val="691975A9"/>
    <w:rsid w:val="69363C3C"/>
    <w:rsid w:val="69715746"/>
    <w:rsid w:val="69CD6F12"/>
    <w:rsid w:val="6A2C1FF3"/>
    <w:rsid w:val="6A5E3532"/>
    <w:rsid w:val="6A6F1098"/>
    <w:rsid w:val="6AA45284"/>
    <w:rsid w:val="6ABF114C"/>
    <w:rsid w:val="6B0D4414"/>
    <w:rsid w:val="6B2D2F1C"/>
    <w:rsid w:val="6B4D53BE"/>
    <w:rsid w:val="6B5E46AB"/>
    <w:rsid w:val="6B9B6506"/>
    <w:rsid w:val="6BF255C9"/>
    <w:rsid w:val="6C04556A"/>
    <w:rsid w:val="6C24696F"/>
    <w:rsid w:val="6C4A05C8"/>
    <w:rsid w:val="6C9E4561"/>
    <w:rsid w:val="6CAF5724"/>
    <w:rsid w:val="6CB26586"/>
    <w:rsid w:val="6CBC77FD"/>
    <w:rsid w:val="6CFE688F"/>
    <w:rsid w:val="6D1265FB"/>
    <w:rsid w:val="6D4509AF"/>
    <w:rsid w:val="6D76512F"/>
    <w:rsid w:val="6D8C17FC"/>
    <w:rsid w:val="6DD65D8F"/>
    <w:rsid w:val="6DE210EC"/>
    <w:rsid w:val="6E2D1FF0"/>
    <w:rsid w:val="6E60011B"/>
    <w:rsid w:val="6E700921"/>
    <w:rsid w:val="6E731B04"/>
    <w:rsid w:val="6ED8604B"/>
    <w:rsid w:val="6F573414"/>
    <w:rsid w:val="6F8F3F7C"/>
    <w:rsid w:val="6F9759F8"/>
    <w:rsid w:val="6FC63B24"/>
    <w:rsid w:val="6FC81CC5"/>
    <w:rsid w:val="70690AC8"/>
    <w:rsid w:val="70A73E47"/>
    <w:rsid w:val="70CD3DB9"/>
    <w:rsid w:val="71083908"/>
    <w:rsid w:val="713E2ADE"/>
    <w:rsid w:val="7177214E"/>
    <w:rsid w:val="719705AC"/>
    <w:rsid w:val="71C81EB1"/>
    <w:rsid w:val="71F413EE"/>
    <w:rsid w:val="724A112E"/>
    <w:rsid w:val="72734D90"/>
    <w:rsid w:val="72DC513D"/>
    <w:rsid w:val="72FD3367"/>
    <w:rsid w:val="73043F1E"/>
    <w:rsid w:val="731423B1"/>
    <w:rsid w:val="735355B6"/>
    <w:rsid w:val="73540024"/>
    <w:rsid w:val="73EC3879"/>
    <w:rsid w:val="74FE2E5B"/>
    <w:rsid w:val="754913B5"/>
    <w:rsid w:val="754B5C63"/>
    <w:rsid w:val="75646524"/>
    <w:rsid w:val="758031D3"/>
    <w:rsid w:val="75DD3527"/>
    <w:rsid w:val="75EE27EC"/>
    <w:rsid w:val="763C3364"/>
    <w:rsid w:val="76431C36"/>
    <w:rsid w:val="76BA1C29"/>
    <w:rsid w:val="76F400BC"/>
    <w:rsid w:val="76FB1CA3"/>
    <w:rsid w:val="77454BCA"/>
    <w:rsid w:val="775D1CD2"/>
    <w:rsid w:val="779F004E"/>
    <w:rsid w:val="77A17932"/>
    <w:rsid w:val="77A565D6"/>
    <w:rsid w:val="78521982"/>
    <w:rsid w:val="789945CE"/>
    <w:rsid w:val="78AC2D8A"/>
    <w:rsid w:val="78D06B47"/>
    <w:rsid w:val="78DD0E2E"/>
    <w:rsid w:val="78E94FFD"/>
    <w:rsid w:val="7963036C"/>
    <w:rsid w:val="79BD72B5"/>
    <w:rsid w:val="7AAB4C29"/>
    <w:rsid w:val="7AB33E2B"/>
    <w:rsid w:val="7ADF539F"/>
    <w:rsid w:val="7AE95B31"/>
    <w:rsid w:val="7B4A0E23"/>
    <w:rsid w:val="7B7E54F5"/>
    <w:rsid w:val="7BBD2D1B"/>
    <w:rsid w:val="7BDD7546"/>
    <w:rsid w:val="7C2B1ECC"/>
    <w:rsid w:val="7C713A06"/>
    <w:rsid w:val="7C987190"/>
    <w:rsid w:val="7CAC555A"/>
    <w:rsid w:val="7CBE48C8"/>
    <w:rsid w:val="7CEB4D4A"/>
    <w:rsid w:val="7D13415D"/>
    <w:rsid w:val="7E5637D7"/>
    <w:rsid w:val="7E71437C"/>
    <w:rsid w:val="7EA45468"/>
    <w:rsid w:val="7ED97088"/>
    <w:rsid w:val="7EE34AAB"/>
    <w:rsid w:val="7EF8510A"/>
    <w:rsid w:val="7F3A546D"/>
    <w:rsid w:val="7F477001"/>
    <w:rsid w:val="7F81263F"/>
    <w:rsid w:val="7F9948CA"/>
    <w:rsid w:val="7FAA0FE4"/>
    <w:rsid w:val="7FD20BEB"/>
    <w:rsid w:val="AFF27EC3"/>
    <w:rsid w:val="E9CDA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toa heading"/>
    <w:basedOn w:val="1"/>
    <w:next w:val="1"/>
    <w:qFormat/>
    <w:uiPriority w:val="0"/>
    <w:rPr>
      <w:rFonts w:ascii="Arial" w:hAnsi="Arial"/>
      <w:sz w:val="24"/>
    </w:rPr>
  </w:style>
  <w:style w:type="paragraph" w:styleId="8">
    <w:name w:val="Body Text"/>
    <w:basedOn w:val="1"/>
    <w:link w:val="35"/>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0"/>
    <w:semiHidden/>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99"/>
    <w:pPr>
      <w:ind w:left="200" w:leftChars="200" w:hanging="200" w:hangingChars="200"/>
    </w:p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page number"/>
    <w:basedOn w:val="22"/>
    <w:qFormat/>
    <w:uiPriority w:val="0"/>
  </w:style>
  <w:style w:type="character" w:styleId="25">
    <w:name w:val="Hyperlink"/>
    <w:basedOn w:val="22"/>
    <w:unhideWhenUsed/>
    <w:qFormat/>
    <w:uiPriority w:val="99"/>
    <w:rPr>
      <w:rFonts w:cs="Times New Roman"/>
      <w:color w:val="0000FF"/>
      <w:u w:val="single"/>
    </w:rPr>
  </w:style>
  <w:style w:type="character" w:customStyle="1" w:styleId="26">
    <w:name w:val="标题 1 Char"/>
    <w:basedOn w:val="22"/>
    <w:link w:val="3"/>
    <w:qFormat/>
    <w:locked/>
    <w:uiPriority w:val="9"/>
    <w:rPr>
      <w:rFonts w:ascii="Times New Roman" w:hAnsi="Times New Roman" w:cs="Times New Roman"/>
      <w:b/>
      <w:bCs/>
      <w:kern w:val="44"/>
      <w:sz w:val="44"/>
      <w:szCs w:val="44"/>
    </w:rPr>
  </w:style>
  <w:style w:type="character" w:customStyle="1" w:styleId="27">
    <w:name w:val="标题 2 Char"/>
    <w:basedOn w:val="22"/>
    <w:link w:val="4"/>
    <w:qFormat/>
    <w:locked/>
    <w:uiPriority w:val="9"/>
    <w:rPr>
      <w:rFonts w:ascii="Cambria" w:hAnsi="Cambria" w:eastAsia="宋体" w:cs="Times New Roman"/>
      <w:b/>
      <w:bCs/>
      <w:kern w:val="2"/>
      <w:sz w:val="32"/>
      <w:szCs w:val="32"/>
    </w:rPr>
  </w:style>
  <w:style w:type="character" w:customStyle="1" w:styleId="28">
    <w:name w:val="标题 3 Char"/>
    <w:basedOn w:val="22"/>
    <w:link w:val="5"/>
    <w:qFormat/>
    <w:locked/>
    <w:uiPriority w:val="9"/>
    <w:rPr>
      <w:rFonts w:ascii="Times New Roman" w:hAnsi="Times New Roman" w:cs="Times New Roman"/>
      <w:b/>
      <w:bCs/>
      <w:kern w:val="2"/>
      <w:sz w:val="32"/>
      <w:szCs w:val="32"/>
    </w:rPr>
  </w:style>
  <w:style w:type="character" w:customStyle="1" w:styleId="29">
    <w:name w:val="Body Text Char"/>
    <w:basedOn w:val="22"/>
    <w:semiHidden/>
    <w:qFormat/>
    <w:uiPriority w:val="99"/>
    <w:rPr>
      <w:rFonts w:ascii="Times New Roman" w:hAnsi="Times New Roman" w:cs="Times New Roman"/>
      <w:sz w:val="24"/>
      <w:szCs w:val="24"/>
    </w:rPr>
  </w:style>
  <w:style w:type="character" w:customStyle="1" w:styleId="30">
    <w:name w:val="批注框文本 Char"/>
    <w:basedOn w:val="22"/>
    <w:link w:val="12"/>
    <w:semiHidden/>
    <w:qFormat/>
    <w:locked/>
    <w:uiPriority w:val="99"/>
    <w:rPr>
      <w:rFonts w:ascii="Times New Roman" w:hAnsi="Times New Roman" w:cs="Times New Roman"/>
      <w:kern w:val="2"/>
      <w:sz w:val="18"/>
      <w:szCs w:val="18"/>
    </w:rPr>
  </w:style>
  <w:style w:type="character" w:customStyle="1" w:styleId="31">
    <w:name w:val="Footer Char"/>
    <w:basedOn w:val="22"/>
    <w:semiHidden/>
    <w:qFormat/>
    <w:uiPriority w:val="99"/>
    <w:rPr>
      <w:rFonts w:ascii="Times New Roman" w:hAnsi="Times New Roman" w:cs="Times New Roman"/>
      <w:sz w:val="18"/>
      <w:szCs w:val="18"/>
    </w:rPr>
  </w:style>
  <w:style w:type="character" w:customStyle="1" w:styleId="32">
    <w:name w:val="Header Char"/>
    <w:basedOn w:val="22"/>
    <w:semiHidden/>
    <w:qFormat/>
    <w:uiPriority w:val="99"/>
    <w:rPr>
      <w:rFonts w:ascii="Times New Roman" w:hAnsi="Times New Roman" w:cs="Times New Roman"/>
      <w:sz w:val="18"/>
      <w:szCs w:val="18"/>
    </w:rPr>
  </w:style>
  <w:style w:type="character" w:customStyle="1" w:styleId="33">
    <w:name w:val="页眉 Char"/>
    <w:link w:val="14"/>
    <w:semiHidden/>
    <w:qFormat/>
    <w:locked/>
    <w:uiPriority w:val="99"/>
    <w:rPr>
      <w:sz w:val="18"/>
    </w:rPr>
  </w:style>
  <w:style w:type="character" w:customStyle="1" w:styleId="34">
    <w:name w:val="页脚 Char"/>
    <w:link w:val="13"/>
    <w:qFormat/>
    <w:locked/>
    <w:uiPriority w:val="99"/>
    <w:rPr>
      <w:sz w:val="18"/>
    </w:rPr>
  </w:style>
  <w:style w:type="character" w:customStyle="1" w:styleId="35">
    <w:name w:val="正文文本 Char"/>
    <w:link w:val="8"/>
    <w:qFormat/>
    <w:locked/>
    <w:uiPriority w:val="99"/>
    <w:rPr>
      <w:rFonts w:ascii="仿宋_GB2312" w:hAnsi="Times New Roman" w:eastAsia="仿宋_GB2312"/>
      <w:sz w:val="24"/>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Normal]"/>
    <w:qFormat/>
    <w:uiPriority w:val="0"/>
    <w:pPr>
      <w:widowControl w:val="0"/>
      <w:autoSpaceDE w:val="0"/>
      <w:autoSpaceDN w:val="0"/>
      <w:adjustRightInd w:val="0"/>
    </w:pPr>
    <w:rPr>
      <w:rFonts w:ascii="宋体" w:hAnsi="MT Extra" w:eastAsia="宋体" w:cs="宋体"/>
      <w:sz w:val="24"/>
      <w:szCs w:val="24"/>
      <w:lang w:val="en-US" w:eastAsia="zh-CN" w:bidi="ar-SA"/>
    </w:rPr>
  </w:style>
  <w:style w:type="paragraph" w:styleId="41">
    <w:name w:val="List Paragraph"/>
    <w:basedOn w:val="1"/>
    <w:qFormat/>
    <w:uiPriority w:val="99"/>
    <w:pPr>
      <w:ind w:firstLine="420" w:firstLineChars="200"/>
    </w:pPr>
    <w:rPr>
      <w:rFonts w:ascii="Calibri" w:hAnsi="Calibri"/>
      <w:szCs w:val="22"/>
    </w:rPr>
  </w:style>
  <w:style w:type="paragraph" w:customStyle="1" w:styleId="42">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1.xml"/><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282816824338709"/>
          <c:y val="0.51281128723695"/>
          <c:w val="0.294125"/>
          <c:h val="0.392166666666667"/>
        </c:manualLayout>
      </c:layout>
      <c:pieChart>
        <c:varyColors val="true"/>
        <c:ser>
          <c:idx val="0"/>
          <c:order val="0"/>
          <c:tx>
            <c:strRef>
              <c:f>Sheet1!$B$1</c:f>
              <c:strCache>
                <c:ptCount val="1"/>
                <c:pt idx="0">
                  <c:v>2021年收入决算结构图</c:v>
                </c:pt>
              </c:strCache>
            </c:strRef>
          </c:tx>
          <c:spPr/>
          <c:explosion val="0"/>
          <c:dPt>
            <c:idx val="0"/>
            <c:bubble3D val="false"/>
            <c:spPr>
              <a:pattFill prst="ltUpDiag">
                <a:fgClr>
                  <a:srgbClr val="5B9BD5"/>
                </a:fgClr>
                <a:bgClr>
                  <a:srgbClr val="DEEBF7">
                    <a:lumMod val="20000"/>
                    <a:lumOff val="80000"/>
                  </a:srgbClr>
                </a:bgClr>
              </a:pattFill>
              <a:ln w="19050">
                <a:solidFill>
                  <a:srgbClr val="FFFFFF"/>
                </a:solidFill>
              </a:ln>
              <a:effectLst>
                <a:innerShdw blurRad="114300">
                  <a:srgbClr val="5B9BD5"/>
                </a:innerShdw>
              </a:effectLst>
            </c:spPr>
          </c:dPt>
          <c:dPt>
            <c:idx val="1"/>
            <c:bubble3D val="false"/>
            <c:spPr>
              <a:pattFill prst="ltUpDiag">
                <a:fgClr>
                  <a:srgbClr val="ED7D31"/>
                </a:fgClr>
                <a:bgClr>
                  <a:srgbClr val="FBE5D6">
                    <a:lumMod val="20000"/>
                    <a:lumOff val="80000"/>
                  </a:srgbClr>
                </a:bgClr>
              </a:pattFill>
              <a:ln w="19050">
                <a:solidFill>
                  <a:srgbClr val="FFFFFF"/>
                </a:solidFill>
              </a:ln>
              <a:effectLst>
                <a:innerShdw blurRad="114300">
                  <a:srgbClr val="ED7D31"/>
                </a:innerShdw>
              </a:effectLst>
            </c:spPr>
          </c:dPt>
          <c:dLbls>
            <c:dLbl>
              <c:idx val="0"/>
              <c:layout>
                <c:manualLayout>
                  <c:x val="-0.0712323169039276"/>
                  <c:y val="-0.122434773988688"/>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3355.01</a:t>
                    </a:r>
                    <a:r>
                      <a:rPr altLang="en-US"/>
                      <a:t>万元</a:t>
                    </a:r>
                    <a:endParaRPr altLang="en-US"/>
                  </a:p>
                  <a:p>
                    <a:pPr defTabSz="914400">
                      <a:defRPr lang="zh-CN" sz="900" b="0" i="0" u="none" strike="noStrike" kern="1200" baseline="0">
                        <a:solidFill>
                          <a:srgbClr val="404040">
                            <a:lumMod val="75000"/>
                            <a:lumOff val="25000"/>
                          </a:srgbClr>
                        </a:solidFill>
                        <a:latin typeface="+mn-lt"/>
                        <a:ea typeface="+mn-ea"/>
                        <a:cs typeface="+mn-cs"/>
                      </a:defRPr>
                    </a:pPr>
                    <a:r>
                      <a:rPr lang="en-US" altLang="zh-CN"/>
                      <a:t>73.83</a:t>
                    </a:r>
                    <a:r>
                      <a:t>%</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1"/>
              <c:layout>
                <c:manualLayout>
                  <c:x val="0.0712323123149289"/>
                  <c:y val="0.112470653423015"/>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1189.03</a:t>
                    </a:r>
                    <a:r>
                      <a:rPr altLang="en-US"/>
                      <a:t>万元</a:t>
                    </a:r>
                    <a:r>
                      <a:t>26</a:t>
                    </a:r>
                    <a:r>
                      <a:rPr lang="en-US" altLang="zh-CN"/>
                      <a:t>.17</a:t>
                    </a:r>
                    <a:r>
                      <a:t>%</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manualLayout>
                      <c:w val="0.234969663541092"/>
                      <c:h val="0.202072538860104"/>
                    </c:manualLayout>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rgbClr val="A6A6A6">
                          <a:lumMod val="35000"/>
                          <a:lumOff val="65000"/>
                        </a:srgbClr>
                      </a:solidFill>
                    </a:ln>
                    <a:effectLst/>
                  </c:spPr>
                </c15:leaderLines>
              </c:ext>
            </c:extLst>
          </c:dLbls>
          <c:cat>
            <c:strRef>
              <c:f>Sheet1!$A$2:$A$3</c:f>
              <c:strCache>
                <c:ptCount val="2"/>
                <c:pt idx="0">
                  <c:v>一般公共预算财政拨款收入</c:v>
                </c:pt>
                <c:pt idx="1">
                  <c:v>政府基金预算财政拨款收入</c:v>
                </c:pt>
              </c:strCache>
            </c:strRef>
          </c:cat>
          <c:val>
            <c:numRef>
              <c:f>Sheet1!$B$2:$B$3</c:f>
              <c:numCache>
                <c:formatCode>General</c:formatCode>
                <c:ptCount val="2"/>
                <c:pt idx="0">
                  <c:v>3355.01</c:v>
                </c:pt>
                <c:pt idx="1">
                  <c:v>1189.03</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城管局2018年度支出</c:v>
                </c:pt>
              </c:strCache>
            </c:strRef>
          </c:tx>
          <c:spPr/>
          <c:explosion val="0"/>
          <c:dPt>
            <c:idx val="0"/>
            <c:bubble3D val="false"/>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false"/>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Lbls>
            <c:dLbl>
              <c:idx val="0"/>
              <c:layout>
                <c:manualLayout>
                  <c:x val="0.0709190672153635"/>
                  <c:y val="-0.225634178905207"/>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altLang="en-US"/>
                      <a:t>项目支出</a:t>
                    </a:r>
                    <a:endParaRPr lang="en-US" altLang="zh-CN"/>
                  </a:p>
                  <a:p>
                    <a:pPr>
                      <a:defRPr lang="zh-CN" sz="900" b="0" i="0" u="none" strike="noStrike" kern="1200" baseline="0">
                        <a:solidFill>
                          <a:schemeClr val="tx1">
                            <a:lumMod val="75000"/>
                            <a:lumOff val="25000"/>
                          </a:schemeClr>
                        </a:solidFill>
                        <a:latin typeface="+mn-lt"/>
                        <a:ea typeface="+mn-ea"/>
                        <a:cs typeface="+mn-cs"/>
                      </a:defRPr>
                    </a:pPr>
                    <a:r>
                      <a:rPr lang="en-US" altLang="zh-CN"/>
                      <a:t>88.67</a:t>
                    </a:r>
                    <a:r>
                      <a:t>%</a:t>
                    </a:r>
                  </a:p>
                  <a:p>
                    <a:pPr>
                      <a:defRPr lang="zh-CN" sz="900" b="0" i="0" u="none" strike="noStrike" kern="1200" baseline="0">
                        <a:solidFill>
                          <a:schemeClr val="tx1">
                            <a:lumMod val="75000"/>
                            <a:lumOff val="25000"/>
                          </a:schemeClr>
                        </a:solidFill>
                        <a:latin typeface="+mn-lt"/>
                        <a:ea typeface="+mn-ea"/>
                        <a:cs typeface="+mn-cs"/>
                      </a:defRPr>
                    </a:pPr>
                    <a:r>
                      <a:rPr lang="en-US" altLang="zh-CN"/>
                      <a:t>4535.25</a:t>
                    </a:r>
                    <a:r>
                      <a:t>万元</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1"/>
              <c:layout>
                <c:manualLayout>
                  <c:x val="0.00753057064510633"/>
                  <c:y val="0.160213618157543"/>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altLang="en-US"/>
                      <a:t>基本支出</a:t>
                    </a:r>
                    <a:endParaRPr lang="en-US" altLang="zh-CN"/>
                  </a:p>
                  <a:p>
                    <a:pPr>
                      <a:defRPr lang="zh-CN" sz="900" b="0" i="0" u="none" strike="noStrike" kern="1200" baseline="0">
                        <a:solidFill>
                          <a:schemeClr val="tx1">
                            <a:lumMod val="75000"/>
                            <a:lumOff val="25000"/>
                          </a:schemeClr>
                        </a:solidFill>
                        <a:latin typeface="+mn-lt"/>
                        <a:ea typeface="+mn-ea"/>
                        <a:cs typeface="+mn-cs"/>
                      </a:defRPr>
                    </a:pPr>
                    <a:r>
                      <a:rPr lang="en-US" altLang="zh-CN"/>
                      <a:t>13.33</a:t>
                    </a:r>
                    <a:r>
                      <a:t>%</a:t>
                    </a:r>
                  </a:p>
                  <a:p>
                    <a:pPr>
                      <a:defRPr lang="zh-CN" sz="900" b="0" i="0" u="none" strike="noStrike" kern="1200" baseline="0">
                        <a:solidFill>
                          <a:schemeClr val="tx1">
                            <a:lumMod val="75000"/>
                            <a:lumOff val="25000"/>
                          </a:schemeClr>
                        </a:solidFill>
                        <a:latin typeface="+mn-lt"/>
                        <a:ea typeface="+mn-ea"/>
                        <a:cs typeface="+mn-cs"/>
                      </a:defRPr>
                    </a:pPr>
                    <a:r>
                      <a:rPr lang="en-US" altLang="zh-CN"/>
                      <a:t>579.43</a:t>
                    </a:r>
                    <a:r>
                      <a:t>万元</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3626</c:v>
                </c:pt>
                <c:pt idx="1">
                  <c:v>1031.62</c:v>
                </c:pt>
              </c:numCache>
            </c:numRef>
          </c:val>
        </c:ser>
        <c:dLbls>
          <c:showLegendKey val="false"/>
          <c:showVal val="false"/>
          <c:showCatName val="false"/>
          <c:showSerName val="false"/>
          <c:showPercent val="true"/>
          <c:showBubbleSize val="false"/>
          <c:showLeaderLines val="true"/>
        </c:dLbls>
        <c:firstSliceAng val="15"/>
      </c:pieChart>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财政拨款收入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false"/>
          <c:dLbls>
            <c:dLbl>
              <c:idx val="0"/>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4544.04</a:t>
                    </a:r>
                    <a:r>
                      <a:rPr altLang="en-US"/>
                      <a:t>万元</a:t>
                    </a:r>
                    <a:endParaRPr altLang="en-US"/>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a:solidFill>
                        <a:schemeClr val="tx1">
                          <a:lumMod val="35000"/>
                          <a:lumOff val="65000"/>
                        </a:schemeClr>
                      </a:solidFill>
                    </a:ln>
                    <a:effectLst/>
                  </c:spPr>
                </c15:leaderLines>
              </c:ext>
            </c:extLst>
          </c:dLbls>
          <c:cat>
            <c:strRef>
              <c:f>Sheet1!$A$2:$A$3</c:f>
              <c:strCache>
                <c:ptCount val="2"/>
                <c:pt idx="0">
                  <c:v>2020年度收支对比表</c:v>
                </c:pt>
              </c:strCache>
            </c:strRef>
          </c:cat>
          <c:val>
            <c:numRef>
              <c:f>Sheet1!$B$2:$B$3</c:f>
              <c:numCache>
                <c:formatCode>General</c:formatCode>
                <c:ptCount val="2"/>
                <c:pt idx="0">
                  <c:v>3866.18</c:v>
                </c:pt>
              </c:numCache>
            </c:numRef>
          </c:val>
        </c:ser>
        <c:ser>
          <c:idx val="1"/>
          <c:order val="1"/>
          <c:tx>
            <c:strRef>
              <c:f>Sheet1!$C$1</c:f>
              <c:strCache>
                <c:ptCount val="1"/>
                <c:pt idx="0">
                  <c:v>财政拨款支出</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false"/>
          <c:dLbls>
            <c:dLbl>
              <c:idx val="0"/>
              <c:layout>
                <c:manualLayout>
                  <c:x val="0"/>
                  <c:y val="-0.00372960372960373"/>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5114.68</a:t>
                    </a:r>
                    <a:r>
                      <a:t>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a:solidFill>
                        <a:schemeClr val="tx1">
                          <a:lumMod val="35000"/>
                          <a:lumOff val="65000"/>
                        </a:schemeClr>
                      </a:solidFill>
                    </a:ln>
                    <a:effectLst/>
                  </c:spPr>
                </c15:leaderLines>
              </c:ext>
            </c:extLst>
          </c:dLbls>
          <c:cat>
            <c:strRef>
              <c:f>Sheet1!$A$2:$A$3</c:f>
              <c:strCache>
                <c:ptCount val="2"/>
                <c:pt idx="0">
                  <c:v>2020年度收支对比表</c:v>
                </c:pt>
              </c:strCache>
            </c:strRef>
          </c:cat>
          <c:val>
            <c:numRef>
              <c:f>Sheet1!$C$2:$C$3</c:f>
              <c:numCache>
                <c:formatCode>General</c:formatCode>
                <c:ptCount val="2"/>
                <c:pt idx="0">
                  <c:v>4657.62</c:v>
                </c:pt>
              </c:numCache>
            </c:numRef>
          </c:val>
        </c:ser>
        <c:dLbls>
          <c:showLegendKey val="false"/>
          <c:showVal val="true"/>
          <c:showCatName val="false"/>
          <c:showSerName val="false"/>
          <c:showPercent val="false"/>
          <c:showBubbleSize val="false"/>
        </c:dLbls>
        <c:gapWidth val="164"/>
        <c:overlap val="-22"/>
        <c:axId val="189950976"/>
        <c:axId val="189952768"/>
      </c:barChart>
      <c:catAx>
        <c:axId val="189950976"/>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89952768"/>
        <c:crosses val="autoZero"/>
        <c:auto val="true"/>
        <c:lblAlgn val="ctr"/>
        <c:lblOffset val="100"/>
        <c:noMultiLvlLbl val="false"/>
      </c:catAx>
      <c:valAx>
        <c:axId val="189952768"/>
        <c:scaling>
          <c:orientation val="minMax"/>
        </c:scaling>
        <c:delete val="false"/>
        <c:axPos val="l"/>
        <c:numFmt formatCode="General" sourceLinked="true"/>
        <c:majorTickMark val="out"/>
        <c:minorTickMark val="none"/>
        <c:tickLblPos val="none"/>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89950976"/>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支出</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false"/>
          <c:dLbls>
            <c:dLbl>
              <c:idx val="0"/>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2021</a:t>
                    </a:r>
                    <a:r>
                      <a:rPr altLang="en-US"/>
                      <a:t>年支出</a:t>
                    </a:r>
                    <a:endParaRPr altLang="en-US"/>
                  </a:p>
                  <a:p>
                    <a:pPr>
                      <a:defRPr lang="zh-CN" sz="900" b="0" i="0" u="none" strike="noStrike" kern="1200" baseline="0">
                        <a:solidFill>
                          <a:schemeClr val="tx1">
                            <a:lumMod val="75000"/>
                            <a:lumOff val="25000"/>
                          </a:schemeClr>
                        </a:solidFill>
                        <a:latin typeface="+mn-lt"/>
                        <a:ea typeface="+mn-ea"/>
                        <a:cs typeface="+mn-cs"/>
                      </a:defRPr>
                    </a:pPr>
                    <a:r>
                      <a:rPr lang="en-US" altLang="zh-CN"/>
                      <a:t>5114.68</a:t>
                    </a:r>
                    <a:r>
                      <a:rPr altLang="en-US"/>
                      <a:t>万元</a:t>
                    </a:r>
                    <a:endParaRPr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2020</a:t>
                    </a:r>
                    <a:r>
                      <a:rPr altLang="en-US"/>
                      <a:t>年支出</a:t>
                    </a:r>
                    <a:endParaRPr altLang="en-US"/>
                  </a:p>
                  <a:p>
                    <a:pPr>
                      <a:defRPr lang="zh-CN" sz="900" b="0" i="0" u="none" strike="noStrike" kern="1200" baseline="0">
                        <a:solidFill>
                          <a:schemeClr val="tx1">
                            <a:lumMod val="75000"/>
                            <a:lumOff val="25000"/>
                          </a:schemeClr>
                        </a:solidFill>
                        <a:latin typeface="+mn-lt"/>
                        <a:ea typeface="+mn-ea"/>
                        <a:cs typeface="+mn-cs"/>
                      </a:defRPr>
                    </a:pPr>
                    <a:r>
                      <a:rPr lang="en-US" altLang="zh-CN"/>
                      <a:t>4161.08</a:t>
                    </a:r>
                    <a:r>
                      <a:t>万元</a:t>
                    </a:r>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a:solidFill>
                        <a:schemeClr val="tx1">
                          <a:lumMod val="35000"/>
                          <a:lumOff val="65000"/>
                        </a:schemeClr>
                      </a:solidFill>
                    </a:ln>
                    <a:effectLst/>
                  </c:spPr>
                </c15:leaderLines>
              </c:ext>
            </c:extLst>
          </c:dLbls>
          <c:cat>
            <c:strRef>
              <c:f>Sheet1!$A$2:$A$3</c:f>
              <c:strCache>
                <c:ptCount val="2"/>
                <c:pt idx="0">
                  <c:v>2020年度</c:v>
                </c:pt>
                <c:pt idx="1">
                  <c:v>2019年度</c:v>
                </c:pt>
              </c:strCache>
            </c:strRef>
          </c:cat>
          <c:val>
            <c:numRef>
              <c:f>Sheet1!$B$2:$B$3</c:f>
              <c:numCache>
                <c:formatCode>General</c:formatCode>
                <c:ptCount val="2"/>
                <c:pt idx="0">
                  <c:v>3626</c:v>
                </c:pt>
                <c:pt idx="1">
                  <c:v>1183.58</c:v>
                </c:pt>
              </c:numCache>
            </c:numRef>
          </c:val>
        </c:ser>
        <c:dLbls>
          <c:showLegendKey val="false"/>
          <c:showVal val="true"/>
          <c:showCatName val="false"/>
          <c:showSerName val="false"/>
          <c:showPercent val="false"/>
          <c:showBubbleSize val="false"/>
        </c:dLbls>
        <c:gapWidth val="164"/>
        <c:overlap val="-22"/>
        <c:axId val="232272256"/>
        <c:axId val="232273792"/>
      </c:barChart>
      <c:catAx>
        <c:axId val="232272256"/>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2273792"/>
        <c:crosses val="autoZero"/>
        <c:auto val="true"/>
        <c:lblAlgn val="ctr"/>
        <c:lblOffset val="100"/>
        <c:noMultiLvlLbl val="false"/>
      </c:catAx>
      <c:valAx>
        <c:axId val="232273792"/>
        <c:scaling>
          <c:orientation val="minMax"/>
        </c:scaling>
        <c:delete val="false"/>
        <c:axPos val="l"/>
        <c:numFmt formatCode="General" sourceLinked="true"/>
        <c:majorTickMark val="out"/>
        <c:minorTickMark val="none"/>
        <c:tickLblPos val="none"/>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2272256"/>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defTabSz="914400">
              <a:defRPr lang="zh-CN" sz="1400" b="1" i="0" u="none" strike="noStrike" kern="1200" spc="0" normalizeH="0" baseline="0">
                <a:solidFill>
                  <a:schemeClr val="dk1">
                    <a:lumMod val="50000"/>
                    <a:lumOff val="50000"/>
                  </a:schemeClr>
                </a:solidFill>
                <a:latin typeface="+mj-lt"/>
                <a:ea typeface="+mj-ea"/>
                <a:cs typeface="+mj-cs"/>
              </a:defRPr>
            </a:pPr>
            <a:r>
              <a:t>202</a:t>
            </a:r>
            <a:r>
              <a:rPr lang="en-US" altLang="zh-CN"/>
              <a:t>1</a:t>
            </a:r>
            <a:r>
              <a:t>年一般公共预算财政拨款支出</a:t>
            </a:r>
          </a:p>
        </c:rich>
      </c:tx>
      <c:layout/>
      <c:overlay val="false"/>
      <c:spPr>
        <a:noFill/>
        <a:ln>
          <a:noFill/>
        </a:ln>
        <a:effectLst/>
      </c:spPr>
    </c:title>
    <c:autoTitleDeleted val="false"/>
    <c:plotArea>
      <c:layout/>
      <c:pieChart>
        <c:varyColors val="true"/>
        <c:ser>
          <c:idx val="0"/>
          <c:order val="0"/>
          <c:tx>
            <c:strRef>
              <c:f>Sheet1!$B$1</c:f>
              <c:strCache>
                <c:ptCount val="1"/>
                <c:pt idx="0">
                  <c:v>2018年一般公共预算财政拨款支出</c:v>
                </c:pt>
              </c:strCache>
            </c:strRef>
          </c:tx>
          <c:spPr/>
          <c:explosion val="0"/>
          <c:dPt>
            <c:idx val="0"/>
            <c:bubble3D val="false"/>
            <c:spPr>
              <a:gradFill>
                <a:gsLst>
                  <a:gs pos="100000">
                    <a:schemeClr val="accent3">
                      <a:tint val="53333"/>
                      <a:lumMod val="60000"/>
                      <a:lumOff val="40000"/>
                    </a:schemeClr>
                  </a:gs>
                  <a:gs pos="0">
                    <a:schemeClr val="accent3">
                      <a:tint val="53333"/>
                    </a:schemeClr>
                  </a:gs>
                </a:gsLst>
                <a:lin ang="5400000" scaled="false"/>
              </a:gradFill>
              <a:ln w="19050">
                <a:solidFill>
                  <a:schemeClr val="lt1"/>
                </a:solidFill>
              </a:ln>
              <a:effectLst/>
            </c:spPr>
          </c:dPt>
          <c:dPt>
            <c:idx val="1"/>
            <c:bubble3D val="false"/>
            <c:spPr>
              <a:gradFill>
                <a:gsLst>
                  <a:gs pos="100000">
                    <a:schemeClr val="accent3">
                      <a:tint val="76667"/>
                      <a:lumMod val="60000"/>
                      <a:lumOff val="40000"/>
                    </a:schemeClr>
                  </a:gs>
                  <a:gs pos="0">
                    <a:schemeClr val="accent3">
                      <a:tint val="76667"/>
                    </a:schemeClr>
                  </a:gs>
                </a:gsLst>
                <a:lin ang="5400000" scaled="false"/>
              </a:gradFill>
              <a:ln w="19050">
                <a:solidFill>
                  <a:schemeClr val="lt1"/>
                </a:solidFill>
              </a:ln>
              <a:effectLst/>
            </c:spPr>
          </c:dPt>
          <c:dPt>
            <c:idx val="2"/>
            <c:bubble3D val="false"/>
            <c:spPr>
              <a:gradFill>
                <a:gsLst>
                  <a:gs pos="100000">
                    <a:schemeClr val="accent3">
                      <a:shade val="86000"/>
                      <a:lumMod val="60000"/>
                      <a:lumOff val="40000"/>
                    </a:schemeClr>
                  </a:gs>
                  <a:gs pos="0">
                    <a:schemeClr val="accent3">
                      <a:shade val="86000"/>
                    </a:schemeClr>
                  </a:gs>
                </a:gsLst>
                <a:lin ang="5400000" scaled="false"/>
              </a:gradFill>
              <a:ln w="19050">
                <a:solidFill>
                  <a:schemeClr val="lt1"/>
                </a:solidFill>
              </a:ln>
              <a:effectLst/>
            </c:spPr>
          </c:dPt>
          <c:dPt>
            <c:idx val="3"/>
            <c:bubble3D val="false"/>
            <c:spPr>
              <a:gradFill>
                <a:gsLst>
                  <a:gs pos="100000">
                    <a:schemeClr val="accent3">
                      <a:shade val="76667"/>
                      <a:lumMod val="60000"/>
                      <a:lumOff val="40000"/>
                    </a:schemeClr>
                  </a:gs>
                  <a:gs pos="0">
                    <a:schemeClr val="accent3">
                      <a:shade val="76667"/>
                    </a:schemeClr>
                  </a:gs>
                </a:gsLst>
                <a:lin ang="5400000" scaled="false"/>
              </a:gradFill>
              <a:ln w="19050">
                <a:solidFill>
                  <a:schemeClr val="lt1"/>
                </a:solidFill>
              </a:ln>
              <a:effectLst/>
            </c:spPr>
          </c:dPt>
          <c:dPt>
            <c:idx val="4"/>
            <c:bubble3D val="false"/>
            <c:spPr>
              <a:gradFill>
                <a:gsLst>
                  <a:gs pos="100000">
                    <a:schemeClr val="accent3">
                      <a:shade val="70000"/>
                      <a:lumMod val="60000"/>
                      <a:lumOff val="40000"/>
                    </a:schemeClr>
                  </a:gs>
                  <a:gs pos="0">
                    <a:schemeClr val="accent3">
                      <a:shade val="70000"/>
                    </a:schemeClr>
                  </a:gs>
                </a:gsLst>
                <a:lin ang="5400000" scaled="false"/>
              </a:gradFill>
              <a:ln w="19050">
                <a:solidFill>
                  <a:schemeClr val="lt1"/>
                </a:solidFill>
              </a:ln>
              <a:effectLst/>
            </c:spPr>
          </c:dPt>
          <c:dPt>
            <c:idx val="5"/>
            <c:bubble3D val="false"/>
            <c:spPr>
              <a:gradFill>
                <a:gsLst>
                  <a:gs pos="100000">
                    <a:schemeClr val="accent3">
                      <a:shade val="50000"/>
                      <a:lumMod val="60000"/>
                      <a:lumOff val="40000"/>
                    </a:schemeClr>
                  </a:gs>
                  <a:gs pos="0">
                    <a:schemeClr val="accent3">
                      <a:shade val="50000"/>
                    </a:schemeClr>
                  </a:gs>
                </a:gsLst>
                <a:lin ang="5400000" scaled="false"/>
              </a:gradFill>
              <a:ln w="19050">
                <a:solidFill>
                  <a:schemeClr val="lt1"/>
                </a:solidFill>
              </a:ln>
              <a:effectLst/>
            </c:spPr>
          </c:dPt>
          <c:dLbls>
            <c:delete val="true"/>
          </c:dLbls>
          <c:cat>
            <c:strRef>
              <c:f>Sheet1!$A$2:$A$7</c:f>
              <c:strCache>
                <c:ptCount val="6"/>
                <c:pt idx="0">
                  <c:v>城乡社区支出</c:v>
                </c:pt>
                <c:pt idx="1">
                  <c:v>节能环保支出</c:v>
                </c:pt>
                <c:pt idx="2">
                  <c:v>社会保障和就业支出</c:v>
                </c:pt>
                <c:pt idx="3">
                  <c:v>卫生健康支出</c:v>
                </c:pt>
                <c:pt idx="4">
                  <c:v>农林水支出</c:v>
                </c:pt>
                <c:pt idx="5">
                  <c:v>住房保障支出</c:v>
                </c:pt>
              </c:strCache>
            </c:strRef>
          </c:cat>
          <c:val>
            <c:numRef>
              <c:f>Sheet1!$B$2:$B$7</c:f>
              <c:numCache>
                <c:formatCode>General</c:formatCode>
                <c:ptCount val="6"/>
                <c:pt idx="0">
                  <c:v>2444.24</c:v>
                </c:pt>
                <c:pt idx="1">
                  <c:v>1066.99</c:v>
                </c:pt>
                <c:pt idx="2">
                  <c:v>50</c:v>
                </c:pt>
                <c:pt idx="3">
                  <c:v>27.29</c:v>
                </c:pt>
                <c:pt idx="4">
                  <c:v>36.64</c:v>
                </c:pt>
                <c:pt idx="5">
                  <c:v>1.2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alpha val="50000"/>
          </a:schemeClr>
        </a:solidFill>
        <a:ln>
          <a:noFill/>
        </a:ln>
        <a:effectLst/>
      </c:spPr>
      <c:txPr>
        <a:bodyPr rot="0" spcFirstLastPara="0" vertOverflow="ellipsis" vert="horz" wrap="square" anchor="ctr" anchorCtr="true" forceAA="fals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cap="all" spc="150" baseline="0">
              <a:solidFill>
                <a:schemeClr val="tx1">
                  <a:lumMod val="50000"/>
                  <a:lumOff val="50000"/>
                </a:schemeClr>
              </a:solidFill>
              <a:latin typeface="+mn-lt"/>
              <a:ea typeface="+mn-ea"/>
              <a:cs typeface="+mn-cs"/>
            </a:defRPr>
          </a:pPr>
        </a:p>
      </c:txPr>
    </c:title>
    <c:autoTitleDeleted val="false"/>
    <c:plotArea>
      <c:layout/>
      <c:pieChart>
        <c:varyColors val="true"/>
        <c:ser>
          <c:idx val="0"/>
          <c:order val="0"/>
          <c:tx>
            <c:strRef>
              <c:f>Sheet1!$B$1</c:f>
              <c:strCache>
                <c:ptCount val="1"/>
                <c:pt idx="0">
                  <c:v>三公经费对比表</c:v>
                </c:pt>
              </c:strCache>
            </c:strRef>
          </c:tx>
          <c:spPr/>
          <c:explosion val="0"/>
          <c:dPt>
            <c:idx val="0"/>
            <c:bubble3D val="false"/>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false"/>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false"/>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false"/>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Lbls>
            <c:delete val="true"/>
          </c:dLbls>
          <c:cat>
            <c:strRef>
              <c:f>Sheet1!$A$2:$A$5</c:f>
              <c:strCache>
                <c:ptCount val="4"/>
                <c:pt idx="2">
                  <c:v>公务用车运行维护费支出</c:v>
                </c:pt>
                <c:pt idx="3">
                  <c:v>公务接待费支出</c:v>
                </c:pt>
              </c:strCache>
            </c:strRef>
          </c:cat>
          <c:val>
            <c:numRef>
              <c:f>Sheet1!$B$2:$B$5</c:f>
              <c:numCache>
                <c:formatCode>General</c:formatCode>
                <c:ptCount val="4"/>
                <c:pt idx="2">
                  <c:v>4</c:v>
                </c:pt>
                <c:pt idx="3">
                  <c:v>0</c:v>
                </c:pt>
              </c:numCache>
            </c:numRef>
          </c:val>
        </c:ser>
        <c:dLbls>
          <c:showLegendKey val="false"/>
          <c:showVal val="false"/>
          <c:showCatName val="false"/>
          <c:showSerName val="false"/>
          <c:showPercent val="true"/>
          <c:showBubbleSize val="false"/>
          <c:showLeaderLines val="true"/>
        </c:dLbls>
        <c:firstSliceAng val="15"/>
      </c:pieChart>
      <c:spPr>
        <a:noFill/>
        <a:ln>
          <a:noFill/>
        </a:ln>
        <a:effectLst/>
      </c:spPr>
    </c:plotArea>
    <c:legend>
      <c:legendPos val="t"/>
      <c:legendEntry>
        <c:idx val="0"/>
        <c:delete val="true"/>
      </c:legendEntry>
      <c:legendEntry>
        <c:idx val="1"/>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5.xml><?xml version="1.0" encoding="utf-8"?>
<cs:colorStyle xmlns:cs="http://schemas.microsoft.com/office/drawing/2012/chartStyle" xmlns:a="http://schemas.openxmlformats.org/drawingml/2006/main" meth="withinLinearReversed" id="23">
  <a:schemeClr val="accent3"/>
</cs:colorStyle>
</file>

<file path=word/charts/colors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rgbClr val="595959">
        <a:lumMod val="65000"/>
        <a:lumOff val="35000"/>
      </a:srgbClr>
    </cs:fontRef>
    <cs:defRPr sz="900" b="1" kern="1200"/>
  </cs:axisTitle>
  <cs:categoryAxis>
    <cs:lnRef idx="0"/>
    <cs:fillRef idx="0"/>
    <cs:effectRef idx="0"/>
    <cs:fontRef idx="minor">
      <a:srgbClr val="595959">
        <a:lumMod val="65000"/>
        <a:lumOff val="35000"/>
      </a:srgbClr>
    </cs:fontRef>
    <cs:spPr>
      <a:ln w="19050"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rgbClr val="000000"/>
    </cs:fontRef>
    <cs:spPr>
      <a:pattFill prst="ltUpDiag">
        <a:fgClr>
          <a:srgbClr val="FFFFFF"/>
        </a:fgClr>
        <a:bgClr>
          <a:srgbClr val="FFFFFF">
            <a:lumMod val="20000"/>
            <a:lumOff val="80000"/>
          </a:srgbClr>
        </a:bgClr>
      </a:pattFill>
      <a:ln w="19050">
        <a:solidFill>
          <a:srgbClr val="FFFFFF"/>
        </a:solidFill>
      </a:ln>
      <a:effectLst>
        <a:innerShdw blurRad="114300">
          <a:srgbClr val="FFFFFF"/>
        </a:innerShdw>
      </a:effectLst>
    </cs:spPr>
  </cs:dataPoint>
  <cs:dataPoint3D>
    <cs:lnRef idx="0"/>
    <cs:fillRef idx="0">
      <cs:styleClr val="auto"/>
    </cs:fillRef>
    <cs:effectRef idx="0"/>
    <cs:fontRef idx="minor">
      <a:srgbClr val="000000"/>
    </cs:fontRef>
    <cs:spPr>
      <a:pattFill prst="ltUpDiag">
        <a:fgClr>
          <a:srgbClr val="FFFFFF"/>
        </a:fgClr>
        <a:bgClr>
          <a:srgbClr val="FFFFFF">
            <a:lumMod val="20000"/>
            <a:lumOff val="80000"/>
          </a:srgbClr>
        </a:bgClr>
      </a:pattFill>
      <a:ln w="19050">
        <a:solidFill>
          <a:srgbClr val="FFFFFF"/>
        </a:solidFill>
      </a:ln>
      <a:effectLst>
        <a:innerShdw blurRad="114300">
          <a:srgbClr val="FFFFFF"/>
        </a:innerShdw>
      </a:effectLst>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a:ln w="9525">
        <a:solidFill>
          <a:srgbClr val="FFFFFF"/>
        </a:solidFill>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ln w="9525">
        <a:solidFill>
          <a:srgbClr val="D9D9D9">
            <a:lumMod val="15000"/>
            <a:lumOff val="85000"/>
          </a:srgbClr>
        </a:solidFill>
      </a:ln>
    </cs:spPr>
    <cs:defRPr sz="900" kern="1200"/>
  </cs:dataTable>
  <cs:downBar>
    <cs:lnRef idx="0"/>
    <cs:fillRef idx="0"/>
    <cs:effectRef idx="0"/>
    <cs:fontRef idx="minor">
      <a:srgbClr val="000000"/>
    </cs:fontRef>
    <cs:spPr>
      <a:solidFill>
        <a:srgbClr val="404040">
          <a:lumMod val="75000"/>
          <a:lumOff val="25000"/>
        </a:srgbClr>
      </a:solidFill>
      <a:ln w="9525">
        <a:solidFill>
          <a:srgbClr val="808080">
            <a:lumMod val="50000"/>
            <a:lumOff val="50000"/>
          </a:srgbClr>
        </a:solidFill>
      </a:ln>
    </cs:spPr>
  </cs:downBar>
  <cs:dropLine>
    <cs:lnRef idx="0"/>
    <cs:fillRef idx="0"/>
    <cs:effectRef idx="0"/>
    <cs:fontRef idx="minor">
      <a:srgbClr val="000000"/>
    </cs:fontRef>
    <cs:spPr>
      <a:ln w="9525">
        <a:solidFill>
          <a:srgbClr val="A6A6A6">
            <a:lumMod val="35000"/>
            <a:lumOff val="65000"/>
          </a:srgbClr>
        </a:solidFill>
        <a:round/>
      </a:ln>
    </cs:spPr>
  </cs:dropLine>
  <cs:errorBar>
    <cs:lnRef idx="0"/>
    <cs:fillRef idx="0"/>
    <cs:effectRef idx="0"/>
    <cs:fontRef idx="minor">
      <a:srgbClr val="000000"/>
    </cs:fontRef>
    <cs:spPr>
      <a:ln w="9525">
        <a:solidFill>
          <a:srgbClr val="808080">
            <a:lumMod val="50000"/>
            <a:lumOff val="50000"/>
          </a:srgbClr>
        </a:solidFill>
        <a:round/>
      </a:ln>
    </cs:spPr>
  </cs:errorBar>
  <cs:floor>
    <cs:lnRef idx="0"/>
    <cs:fillRef idx="0"/>
    <cs:effectRef idx="0"/>
    <cs:fontRef idx="minor">
      <a:srgbClr val="000000"/>
    </cs:fontRef>
  </cs:floor>
  <cs:gridlineMajor>
    <cs:lnRef idx="0"/>
    <cs:fillRef idx="0"/>
    <cs:effectRef idx="0"/>
    <cs:fontRef idx="minor">
      <a:srgbClr val="000000"/>
    </cs:fontRef>
    <cs:spPr>
      <a:ln>
        <a:solidFill>
          <a:srgbClr val="D9D9D9">
            <a:lumMod val="15000"/>
            <a:lumOff val="85000"/>
          </a:srgbClr>
        </a:solidFill>
      </a:ln>
    </cs:spPr>
  </cs:gridlineMajor>
  <cs:gridlineMinor>
    <cs:lnRef idx="0"/>
    <cs:fillRef idx="0"/>
    <cs:effectRef idx="0"/>
    <cs:fontRef idx="minor">
      <a:srgbClr val="000000"/>
    </cs:fontRef>
    <cs:spPr>
      <a:ln>
        <a:solidFill>
          <a:srgbClr val="F2F2F2">
            <a:lumMod val="5000"/>
            <a:lumOff val="95000"/>
          </a:srgbClr>
        </a:solidFill>
      </a:ln>
    </cs:spPr>
  </cs:gridlineMinor>
  <cs:hiLoLine>
    <cs:lnRef idx="0"/>
    <cs:fillRef idx="0"/>
    <cs:effectRef idx="0"/>
    <cs:fontRef idx="minor">
      <a:srgbClr val="000000"/>
    </cs:fontRef>
    <cs:spPr>
      <a:ln w="9525">
        <a:solidFill>
          <a:srgbClr val="A6A6A6">
            <a:lumMod val="35000"/>
            <a:lumOff val="65000"/>
          </a:srgbClr>
        </a:solidFill>
        <a:round/>
      </a:ln>
    </cs:spPr>
  </cs:hiLoLine>
  <cs:leaderLine>
    <cs:lnRef idx="0"/>
    <cs:fillRef idx="0"/>
    <cs:effectRef idx="0"/>
    <cs:fontRef idx="minor">
      <a:srgbClr val="000000"/>
    </cs:fontRef>
    <cs:spPr>
      <a:ln w="9525">
        <a:solidFill>
          <a:srgbClr val="A6A6A6">
            <a:lumMod val="35000"/>
            <a:lumOff val="65000"/>
          </a:srgbClr>
        </a:solidFill>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a:solidFill>
          <a:srgbClr val="A6A6A6">
            <a:lumMod val="35000"/>
            <a:lumOff val="65000"/>
          </a:srgbClr>
        </a:solidFill>
        <a:round/>
      </a:ln>
    </cs:spPr>
  </cs:seriesLine>
  <cs:title>
    <cs:lnRef idx="0"/>
    <cs:fillRef idx="0"/>
    <cs:effectRef idx="0"/>
    <cs:fontRef idx="minor">
      <a:srgbClr val="808080">
        <a:lumMod val="50000"/>
        <a:lumOff val="50000"/>
      </a:srgbClr>
    </cs:fontRef>
    <cs:defRPr sz="1800" b="1" kern="1200" cap="all" spc="150" baseline="0"/>
  </cs:title>
  <cs:trendline>
    <cs:lnRef idx="0">
      <cs:styleClr val="auto"/>
    </cs:lnRef>
    <cs:fillRef idx="0"/>
    <cs:effectRef idx="0"/>
    <cs:fontRef idx="minor">
      <a:srgbClr val="000000"/>
    </cs:fontRef>
    <cs:spPr>
      <a:ln w="19050" cap="rnd">
        <a:solidFill>
          <a:srgbClr val="FFFFFF"/>
        </a:solidFill>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808080">
            <a:lumMod val="50000"/>
            <a:lumOff val="50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false"/>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false"/>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word/theme/themeOverride1.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37</Pages>
  <Words>11543</Words>
  <Characters>12396</Characters>
  <Lines>90</Lines>
  <Paragraphs>25</Paragraphs>
  <TotalTime>5</TotalTime>
  <ScaleCrop>false</ScaleCrop>
  <LinksUpToDate>false</LinksUpToDate>
  <CharactersWithSpaces>12513</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军魂不变</cp:lastModifiedBy>
  <cp:lastPrinted>2022-09-26T16:59:00Z</cp:lastPrinted>
  <dcterms:modified xsi:type="dcterms:W3CDTF">2022-09-27T10:54:06Z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C15C5C17816148129C1E2513DDE0CD1F</vt:lpwstr>
  </property>
</Properties>
</file>