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76" w:lineRule="exact"/>
        <w:jc w:val="center"/>
        <w:outlineLvl w:val="0"/>
        <w:rPr>
          <w:rFonts w:ascii="方正小标宋简体" w:hAnsi="方正小标宋简体" w:eastAsia="方正小标宋简体" w:cs="方正小标宋简体"/>
          <w:color w:val="000000"/>
          <w:sz w:val="44"/>
          <w:szCs w:val="44"/>
        </w:rPr>
      </w:pPr>
      <w:bookmarkStart w:id="0" w:name="_Toc15377425"/>
      <w:bookmarkStart w:id="1" w:name="_Toc15396475"/>
      <w:bookmarkStart w:id="2" w:name="_Toc15378441"/>
      <w:bookmarkStart w:id="3" w:name="_Toc15377193"/>
      <w:bookmarkStart w:id="4" w:name="_Toc15396597"/>
      <w:bookmarkStart w:id="5" w:name="_Toc15306267"/>
    </w:p>
    <w:p>
      <w:pPr>
        <w:adjustRightInd w:val="0"/>
        <w:snapToGrid w:val="0"/>
        <w:spacing w:line="576" w:lineRule="exact"/>
        <w:jc w:val="center"/>
        <w:outlineLvl w:val="0"/>
        <w:rPr>
          <w:rFonts w:ascii="方正小标宋简体" w:hAnsi="方正小标宋简体" w:eastAsia="方正小标宋简体" w:cs="方正小标宋简体"/>
          <w:color w:val="000000"/>
          <w:sz w:val="44"/>
          <w:szCs w:val="44"/>
        </w:rPr>
      </w:pPr>
    </w:p>
    <w:p>
      <w:pPr>
        <w:adjustRightInd w:val="0"/>
        <w:snapToGrid w:val="0"/>
        <w:spacing w:line="576" w:lineRule="exact"/>
        <w:jc w:val="center"/>
        <w:outlineLvl w:val="0"/>
        <w:rPr>
          <w:rFonts w:ascii="方正小标宋简体" w:hAnsi="方正小标宋简体" w:eastAsia="方正小标宋简体" w:cs="方正小标宋简体"/>
          <w:color w:val="000000"/>
          <w:sz w:val="44"/>
          <w:szCs w:val="44"/>
        </w:rPr>
      </w:pPr>
    </w:p>
    <w:p>
      <w:pPr>
        <w:adjustRightInd w:val="0"/>
        <w:snapToGrid w:val="0"/>
        <w:spacing w:line="576" w:lineRule="exact"/>
        <w:jc w:val="center"/>
        <w:outlineLvl w:val="0"/>
        <w:rPr>
          <w:rFonts w:ascii="方正小标宋简体" w:hAnsi="方正小标宋简体" w:eastAsia="方正小标宋简体" w:cs="方正小标宋简体"/>
          <w:color w:val="000000"/>
          <w:sz w:val="44"/>
          <w:szCs w:val="44"/>
        </w:rPr>
      </w:pPr>
    </w:p>
    <w:p>
      <w:pPr>
        <w:adjustRightInd w:val="0"/>
        <w:snapToGrid w:val="0"/>
        <w:spacing w:line="576" w:lineRule="exact"/>
        <w:jc w:val="center"/>
        <w:outlineLvl w:val="0"/>
        <w:rPr>
          <w:rFonts w:ascii="方正小标宋简体" w:hAnsi="方正小标宋简体" w:eastAsia="方正小标宋简体" w:cs="方正小标宋简体"/>
          <w:color w:val="000000"/>
          <w:sz w:val="44"/>
          <w:szCs w:val="44"/>
        </w:rPr>
      </w:pPr>
    </w:p>
    <w:p>
      <w:pPr>
        <w:adjustRightInd w:val="0"/>
        <w:snapToGrid w:val="0"/>
        <w:spacing w:line="576" w:lineRule="exact"/>
        <w:jc w:val="center"/>
        <w:outlineLvl w:val="0"/>
        <w:rPr>
          <w:rFonts w:ascii="方正小标宋简体" w:hAnsi="方正小标宋简体" w:eastAsia="方正小标宋简体" w:cs="方正小标宋简体"/>
          <w:color w:val="000000"/>
          <w:sz w:val="44"/>
          <w:szCs w:val="44"/>
        </w:rPr>
      </w:pPr>
    </w:p>
    <w:p>
      <w:pPr>
        <w:adjustRightInd w:val="0"/>
        <w:snapToGrid w:val="0"/>
        <w:spacing w:line="576" w:lineRule="exact"/>
        <w:jc w:val="center"/>
        <w:outlineLvl w:val="0"/>
        <w:rPr>
          <w:rFonts w:ascii="方正小标宋简体" w:hAnsi="方正小标宋简体" w:eastAsia="方正小标宋简体" w:cs="方正小标宋简体"/>
          <w:color w:val="000000"/>
          <w:sz w:val="44"/>
          <w:szCs w:val="44"/>
        </w:rPr>
      </w:pPr>
    </w:p>
    <w:p>
      <w:pPr>
        <w:adjustRightInd w:val="0"/>
        <w:snapToGrid w:val="0"/>
        <w:spacing w:line="576" w:lineRule="exact"/>
        <w:jc w:val="center"/>
        <w:outlineLvl w:val="0"/>
        <w:rPr>
          <w:rFonts w:ascii="方正小标宋简体" w:hAnsi="方正小标宋简体" w:eastAsia="方正小标宋简体" w:cs="方正小标宋简体"/>
          <w:color w:val="000000"/>
          <w:sz w:val="44"/>
          <w:szCs w:val="44"/>
        </w:rPr>
      </w:pPr>
    </w:p>
    <w:p>
      <w:pPr>
        <w:adjustRightInd w:val="0"/>
        <w:snapToGrid w:val="0"/>
        <w:spacing w:line="576" w:lineRule="exact"/>
        <w:jc w:val="center"/>
        <w:outlineLvl w:val="0"/>
        <w:rPr>
          <w:rFonts w:ascii="方正小标宋简体" w:hAnsi="方正小标宋简体" w:eastAsia="方正小标宋简体" w:cs="方正小标宋简体"/>
          <w:color w:val="000000"/>
          <w:sz w:val="44"/>
          <w:szCs w:val="44"/>
        </w:rPr>
      </w:pPr>
      <w:r>
        <w:rPr>
          <w:rFonts w:ascii="方正小标宋简体" w:hAnsi="方正小标宋简体" w:eastAsia="方正小标宋简体" w:cs="方正小标宋简体"/>
          <w:color w:val="000000"/>
          <w:sz w:val="44"/>
          <w:szCs w:val="44"/>
        </w:rPr>
        <w:t>2018</w:t>
      </w:r>
      <w:r>
        <w:rPr>
          <w:rFonts w:hint="eastAsia" w:ascii="方正小标宋简体" w:hAnsi="方正小标宋简体" w:eastAsia="方正小标宋简体" w:cs="方正小标宋简体"/>
          <w:color w:val="000000"/>
          <w:sz w:val="44"/>
          <w:szCs w:val="44"/>
        </w:rPr>
        <w:t>年度</w:t>
      </w:r>
      <w:bookmarkEnd w:id="0"/>
      <w:bookmarkEnd w:id="1"/>
      <w:bookmarkEnd w:id="2"/>
      <w:bookmarkEnd w:id="3"/>
      <w:bookmarkEnd w:id="4"/>
    </w:p>
    <w:p>
      <w:pPr>
        <w:adjustRightInd w:val="0"/>
        <w:snapToGrid w:val="0"/>
        <w:spacing w:line="576" w:lineRule="exact"/>
        <w:jc w:val="center"/>
        <w:outlineLvl w:val="0"/>
        <w:rPr>
          <w:rFonts w:ascii="方正小标宋简体" w:hAnsi="方正小标宋简体" w:eastAsia="方正小标宋简体" w:cs="方正小标宋简体"/>
          <w:color w:val="000000"/>
          <w:sz w:val="44"/>
          <w:szCs w:val="44"/>
        </w:rPr>
      </w:pPr>
      <w:bookmarkStart w:id="6" w:name="_Toc15396598"/>
      <w:bookmarkStart w:id="7" w:name="_Toc15377194"/>
      <w:bookmarkStart w:id="8" w:name="_Toc15396476"/>
      <w:bookmarkStart w:id="9" w:name="_Toc15377426"/>
      <w:bookmarkStart w:id="10" w:name="_Toc15378442"/>
      <w:r>
        <w:rPr>
          <w:rFonts w:hint="eastAsia" w:ascii="方正小标宋简体" w:hAnsi="方正小标宋简体" w:eastAsia="方正小标宋简体" w:cs="方正小标宋简体"/>
          <w:color w:val="000000"/>
          <w:sz w:val="44"/>
          <w:szCs w:val="44"/>
        </w:rPr>
        <w:t>四川省</w:t>
      </w:r>
      <w:bookmarkEnd w:id="5"/>
      <w:bookmarkStart w:id="11" w:name="_Toc15306268"/>
      <w:r>
        <w:rPr>
          <w:rFonts w:hint="eastAsia" w:ascii="方正小标宋简体" w:hAnsi="方正小标宋简体" w:eastAsia="方正小标宋简体" w:cs="方正小标宋简体"/>
          <w:color w:val="000000"/>
          <w:sz w:val="44"/>
          <w:szCs w:val="44"/>
        </w:rPr>
        <w:t>茂县工业园区管理委员会部门决算</w:t>
      </w:r>
      <w:bookmarkEnd w:id="6"/>
      <w:bookmarkEnd w:id="7"/>
      <w:bookmarkEnd w:id="8"/>
      <w:bookmarkEnd w:id="9"/>
      <w:bookmarkEnd w:id="10"/>
      <w:bookmarkEnd w:id="11"/>
    </w:p>
    <w:p>
      <w:pPr>
        <w:adjustRightInd w:val="0"/>
        <w:snapToGrid w:val="0"/>
        <w:spacing w:line="576" w:lineRule="exact"/>
        <w:jc w:val="center"/>
        <w:outlineLvl w:val="0"/>
        <w:rPr>
          <w:rFonts w:ascii="方正小标宋简体" w:hAnsi="宋体" w:eastAsia="方正小标宋简体"/>
          <w:color w:val="000000"/>
          <w:sz w:val="44"/>
          <w:szCs w:val="44"/>
        </w:rPr>
      </w:pPr>
    </w:p>
    <w:p>
      <w:pPr>
        <w:adjustRightInd w:val="0"/>
        <w:snapToGrid w:val="0"/>
        <w:spacing w:line="576" w:lineRule="exact"/>
        <w:jc w:val="center"/>
        <w:outlineLvl w:val="0"/>
        <w:rPr>
          <w:rFonts w:ascii="方正小标宋简体" w:hAnsi="宋体" w:eastAsia="方正小标宋简体"/>
          <w:color w:val="000000"/>
          <w:sz w:val="52"/>
          <w:szCs w:val="52"/>
        </w:rPr>
      </w:pPr>
    </w:p>
    <w:p>
      <w:pPr>
        <w:adjustRightInd w:val="0"/>
        <w:snapToGrid w:val="0"/>
        <w:spacing w:line="576" w:lineRule="exact"/>
        <w:jc w:val="center"/>
        <w:outlineLvl w:val="0"/>
        <w:rPr>
          <w:rFonts w:ascii="方正小标宋简体" w:hAnsi="宋体" w:eastAsia="方正小标宋简体"/>
          <w:color w:val="000000"/>
          <w:sz w:val="52"/>
          <w:szCs w:val="52"/>
        </w:rPr>
      </w:pPr>
    </w:p>
    <w:p>
      <w:pPr>
        <w:adjustRightInd w:val="0"/>
        <w:snapToGrid w:val="0"/>
        <w:spacing w:line="576" w:lineRule="exact"/>
        <w:jc w:val="center"/>
        <w:outlineLvl w:val="0"/>
        <w:rPr>
          <w:rFonts w:ascii="方正小标宋简体" w:hAnsi="宋体" w:eastAsia="方正小标宋简体"/>
          <w:color w:val="000000"/>
          <w:sz w:val="52"/>
          <w:szCs w:val="52"/>
        </w:rPr>
      </w:pPr>
    </w:p>
    <w:p>
      <w:pPr>
        <w:adjustRightInd w:val="0"/>
        <w:snapToGrid w:val="0"/>
        <w:spacing w:line="576" w:lineRule="exact"/>
        <w:jc w:val="center"/>
        <w:outlineLvl w:val="0"/>
        <w:rPr>
          <w:rFonts w:ascii="方正小标宋简体" w:hAnsi="宋体" w:eastAsia="方正小标宋简体"/>
          <w:color w:val="000000"/>
          <w:sz w:val="52"/>
          <w:szCs w:val="52"/>
        </w:rPr>
      </w:pPr>
    </w:p>
    <w:p>
      <w:pPr>
        <w:adjustRightInd w:val="0"/>
        <w:snapToGrid w:val="0"/>
        <w:spacing w:line="576" w:lineRule="exact"/>
        <w:jc w:val="center"/>
        <w:outlineLvl w:val="0"/>
        <w:rPr>
          <w:rFonts w:ascii="方正小标宋简体" w:hAnsi="宋体" w:eastAsia="方正小标宋简体"/>
          <w:color w:val="000000"/>
          <w:sz w:val="52"/>
          <w:szCs w:val="52"/>
        </w:rPr>
      </w:pPr>
    </w:p>
    <w:p>
      <w:pPr>
        <w:adjustRightInd w:val="0"/>
        <w:snapToGrid w:val="0"/>
        <w:spacing w:line="576" w:lineRule="exact"/>
        <w:jc w:val="center"/>
        <w:outlineLvl w:val="0"/>
        <w:rPr>
          <w:rFonts w:ascii="方正小标宋简体" w:hAnsi="宋体" w:eastAsia="方正小标宋简体"/>
          <w:color w:val="000000"/>
          <w:sz w:val="52"/>
          <w:szCs w:val="52"/>
        </w:rPr>
      </w:pPr>
    </w:p>
    <w:p>
      <w:pPr>
        <w:adjustRightInd w:val="0"/>
        <w:snapToGrid w:val="0"/>
        <w:spacing w:line="576" w:lineRule="exact"/>
        <w:jc w:val="center"/>
        <w:outlineLvl w:val="0"/>
        <w:rPr>
          <w:rFonts w:ascii="方正小标宋简体" w:hAnsi="宋体" w:eastAsia="方正小标宋简体"/>
          <w:color w:val="000000"/>
          <w:sz w:val="52"/>
          <w:szCs w:val="52"/>
        </w:rPr>
      </w:pPr>
    </w:p>
    <w:p>
      <w:pPr>
        <w:adjustRightInd w:val="0"/>
        <w:snapToGrid w:val="0"/>
        <w:spacing w:line="576" w:lineRule="exact"/>
        <w:jc w:val="center"/>
        <w:outlineLvl w:val="0"/>
        <w:rPr>
          <w:rFonts w:ascii="方正小标宋简体" w:hAnsi="宋体" w:eastAsia="方正小标宋简体"/>
          <w:color w:val="000000"/>
          <w:sz w:val="52"/>
          <w:szCs w:val="52"/>
        </w:rPr>
      </w:pPr>
    </w:p>
    <w:p>
      <w:pPr>
        <w:adjustRightInd w:val="0"/>
        <w:snapToGrid w:val="0"/>
        <w:spacing w:line="576" w:lineRule="exact"/>
        <w:jc w:val="center"/>
        <w:outlineLvl w:val="0"/>
        <w:rPr>
          <w:rFonts w:ascii="方正小标宋简体" w:hAnsi="宋体" w:eastAsia="方正小标宋简体"/>
          <w:color w:val="000000"/>
          <w:sz w:val="52"/>
          <w:szCs w:val="52"/>
        </w:rPr>
      </w:pPr>
    </w:p>
    <w:p>
      <w:pPr>
        <w:adjustRightInd w:val="0"/>
        <w:snapToGrid w:val="0"/>
        <w:spacing w:line="576" w:lineRule="exact"/>
        <w:jc w:val="center"/>
        <w:outlineLvl w:val="0"/>
        <w:rPr>
          <w:rFonts w:ascii="方正小标宋简体" w:hAnsi="宋体" w:eastAsia="方正小标宋简体"/>
          <w:color w:val="000000"/>
          <w:sz w:val="52"/>
          <w:szCs w:val="52"/>
        </w:rPr>
      </w:pPr>
    </w:p>
    <w:p>
      <w:pPr>
        <w:adjustRightInd w:val="0"/>
        <w:snapToGrid w:val="0"/>
        <w:spacing w:line="576" w:lineRule="exact"/>
        <w:jc w:val="center"/>
        <w:outlineLvl w:val="0"/>
        <w:rPr>
          <w:rFonts w:ascii="方正小标宋简体" w:hAnsi="宋体" w:eastAsia="方正小标宋简体"/>
          <w:color w:val="000000"/>
          <w:sz w:val="52"/>
          <w:szCs w:val="52"/>
        </w:rPr>
      </w:pPr>
    </w:p>
    <w:p>
      <w:pPr>
        <w:adjustRightInd w:val="0"/>
        <w:snapToGrid w:val="0"/>
        <w:spacing w:line="576" w:lineRule="exact"/>
        <w:jc w:val="center"/>
        <w:outlineLvl w:val="0"/>
        <w:rPr>
          <w:rFonts w:ascii="方正小标宋简体" w:hAnsi="宋体" w:eastAsia="方正小标宋简体"/>
          <w:color w:val="000000"/>
          <w:sz w:val="52"/>
          <w:szCs w:val="52"/>
        </w:rPr>
      </w:pPr>
    </w:p>
    <w:p>
      <w:pPr>
        <w:adjustRightInd w:val="0"/>
        <w:snapToGrid w:val="0"/>
        <w:spacing w:line="576" w:lineRule="exact"/>
        <w:outlineLvl w:val="0"/>
        <w:rPr>
          <w:rFonts w:ascii="方正小标宋简体" w:hAnsi="宋体" w:eastAsia="方正小标宋简体"/>
          <w:color w:val="000000"/>
          <w:sz w:val="52"/>
          <w:szCs w:val="52"/>
        </w:rPr>
      </w:pPr>
    </w:p>
    <w:p>
      <w:pPr>
        <w:adjustRightInd w:val="0"/>
        <w:snapToGrid w:val="0"/>
        <w:spacing w:line="576" w:lineRule="exact"/>
        <w:jc w:val="center"/>
        <w:outlineLvl w:val="0"/>
        <w:rPr>
          <w:rFonts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目录</w:t>
      </w:r>
    </w:p>
    <w:p>
      <w:pPr>
        <w:widowControl/>
        <w:spacing w:line="576" w:lineRule="exact"/>
        <w:jc w:val="center"/>
        <w:rPr>
          <w:rFonts w:ascii="仿宋" w:hAnsi="仿宋" w:eastAsia="仿宋" w:cs="仿宋"/>
          <w:sz w:val="32"/>
          <w:szCs w:val="32"/>
        </w:rPr>
      </w:pPr>
      <w:r>
        <w:rPr>
          <w:rFonts w:ascii="黑体" w:hAnsi="黑体" w:eastAsia="黑体"/>
          <w:color w:val="000000"/>
          <w:sz w:val="48"/>
          <w:szCs w:val="48"/>
        </w:rPr>
        <w:fldChar w:fldCharType="begin"/>
      </w:r>
      <w:r>
        <w:rPr>
          <w:rFonts w:ascii="黑体" w:hAnsi="黑体" w:eastAsia="黑体"/>
          <w:color w:val="000000"/>
          <w:sz w:val="48"/>
          <w:szCs w:val="48"/>
        </w:rPr>
        <w:instrText xml:space="preserve"> TOC \o "1-2" \h \z \u </w:instrText>
      </w:r>
      <w:r>
        <w:rPr>
          <w:rFonts w:ascii="黑体" w:hAnsi="黑体" w:eastAsia="黑体"/>
          <w:color w:val="000000"/>
          <w:sz w:val="48"/>
          <w:szCs w:val="48"/>
        </w:rPr>
        <w:fldChar w:fldCharType="separate"/>
      </w:r>
    </w:p>
    <w:p>
      <w:pPr>
        <w:pStyle w:val="10"/>
        <w:spacing w:line="576" w:lineRule="exact"/>
        <w:rPr>
          <w:rFonts w:cs="仿宋"/>
          <w:sz w:val="32"/>
          <w:szCs w:val="32"/>
        </w:rPr>
      </w:pPr>
      <w:r>
        <w:fldChar w:fldCharType="begin"/>
      </w:r>
      <w:r>
        <w:instrText xml:space="preserve"> HYPERLINK \l "_Toc15396599" </w:instrText>
      </w:r>
      <w:r>
        <w:fldChar w:fldCharType="separate"/>
      </w:r>
      <w:r>
        <w:rPr>
          <w:rStyle w:val="15"/>
          <w:rFonts w:hint="eastAsia" w:cs="仿宋"/>
          <w:sz w:val="32"/>
          <w:szCs w:val="32"/>
        </w:rPr>
        <w:t>第一部分</w:t>
      </w:r>
      <w:r>
        <w:rPr>
          <w:rStyle w:val="15"/>
          <w:rFonts w:cs="仿宋"/>
          <w:sz w:val="32"/>
          <w:szCs w:val="32"/>
        </w:rPr>
        <w:t xml:space="preserve"> </w:t>
      </w:r>
      <w:r>
        <w:rPr>
          <w:rStyle w:val="15"/>
          <w:rFonts w:hint="eastAsia" w:cs="仿宋"/>
          <w:sz w:val="32"/>
          <w:szCs w:val="32"/>
        </w:rPr>
        <w:t>部门概况</w:t>
      </w:r>
      <w:r>
        <w:rPr>
          <w:rFonts w:cs="仿宋"/>
          <w:sz w:val="32"/>
          <w:szCs w:val="32"/>
        </w:rPr>
        <w:tab/>
      </w:r>
      <w:r>
        <w:rPr>
          <w:rFonts w:cs="仿宋"/>
          <w:sz w:val="32"/>
          <w:szCs w:val="32"/>
        </w:rPr>
        <w:t>4</w:t>
      </w:r>
      <w:r>
        <w:rPr>
          <w:rFonts w:cs="仿宋"/>
          <w:sz w:val="32"/>
          <w:szCs w:val="32"/>
        </w:rPr>
        <w:fldChar w:fldCharType="end"/>
      </w:r>
    </w:p>
    <w:p>
      <w:pPr>
        <w:pStyle w:val="11"/>
        <w:spacing w:line="576" w:lineRule="exact"/>
        <w:ind w:left="31680"/>
        <w:rPr>
          <w:rFonts w:ascii="仿宋" w:hAnsi="仿宋" w:eastAsia="仿宋" w:cs="仿宋"/>
          <w:sz w:val="32"/>
          <w:szCs w:val="32"/>
        </w:rPr>
      </w:pPr>
      <w:r>
        <w:fldChar w:fldCharType="begin"/>
      </w:r>
      <w:r>
        <w:instrText xml:space="preserve"> HYPERLINK \l "_Toc15396600" </w:instrText>
      </w:r>
      <w:r>
        <w:fldChar w:fldCharType="separate"/>
      </w:r>
      <w:r>
        <w:rPr>
          <w:rStyle w:val="15"/>
          <w:rFonts w:hint="eastAsia" w:ascii="仿宋" w:hAnsi="仿宋" w:eastAsia="仿宋" w:cs="仿宋"/>
          <w:sz w:val="32"/>
          <w:szCs w:val="32"/>
        </w:rPr>
        <w:t>一、基本职能及主要工作</w:t>
      </w:r>
      <w:r>
        <w:rPr>
          <w:rFonts w:ascii="仿宋" w:hAnsi="仿宋" w:eastAsia="仿宋" w:cs="仿宋"/>
          <w:sz w:val="32"/>
          <w:szCs w:val="32"/>
        </w:rPr>
        <w:tab/>
      </w:r>
      <w:r>
        <w:rPr>
          <w:rFonts w:ascii="仿宋" w:hAnsi="仿宋" w:eastAsia="仿宋" w:cs="仿宋"/>
          <w:sz w:val="32"/>
          <w:szCs w:val="32"/>
        </w:rPr>
        <w:t>4</w:t>
      </w:r>
      <w:r>
        <w:rPr>
          <w:rFonts w:ascii="仿宋" w:hAnsi="仿宋" w:eastAsia="仿宋" w:cs="仿宋"/>
          <w:sz w:val="32"/>
          <w:szCs w:val="32"/>
        </w:rPr>
        <w:fldChar w:fldCharType="end"/>
      </w:r>
    </w:p>
    <w:p>
      <w:pPr>
        <w:pStyle w:val="11"/>
        <w:spacing w:line="576" w:lineRule="exact"/>
        <w:ind w:left="31680"/>
        <w:rPr>
          <w:rFonts w:ascii="仿宋" w:hAnsi="仿宋" w:eastAsia="仿宋" w:cs="仿宋"/>
          <w:sz w:val="32"/>
          <w:szCs w:val="32"/>
        </w:rPr>
      </w:pPr>
      <w:r>
        <w:fldChar w:fldCharType="begin"/>
      </w:r>
      <w:r>
        <w:instrText xml:space="preserve"> HYPERLINK \l "_Toc15396601" </w:instrText>
      </w:r>
      <w:r>
        <w:fldChar w:fldCharType="separate"/>
      </w:r>
      <w:r>
        <w:rPr>
          <w:rStyle w:val="15"/>
          <w:rFonts w:hint="eastAsia" w:ascii="仿宋" w:hAnsi="仿宋" w:eastAsia="仿宋" w:cs="仿宋"/>
          <w:sz w:val="32"/>
          <w:szCs w:val="32"/>
        </w:rPr>
        <w:t>二、机构设置</w:t>
      </w:r>
      <w:r>
        <w:rPr>
          <w:rFonts w:ascii="仿宋" w:hAnsi="仿宋" w:eastAsia="仿宋" w:cs="仿宋"/>
          <w:sz w:val="32"/>
          <w:szCs w:val="32"/>
        </w:rPr>
        <w:tab/>
      </w:r>
      <w:r>
        <w:rPr>
          <w:rFonts w:hint="eastAsia" w:ascii="仿宋" w:hAnsi="仿宋" w:eastAsia="仿宋" w:cs="仿宋"/>
          <w:sz w:val="32"/>
          <w:szCs w:val="32"/>
          <w:lang w:val="en-US" w:eastAsia="zh-CN"/>
        </w:rPr>
        <w:t>5</w:t>
      </w:r>
      <w:r>
        <w:rPr>
          <w:rFonts w:ascii="仿宋" w:hAnsi="仿宋" w:eastAsia="仿宋" w:cs="仿宋"/>
          <w:sz w:val="32"/>
          <w:szCs w:val="32"/>
        </w:rPr>
        <w:fldChar w:fldCharType="end"/>
      </w:r>
    </w:p>
    <w:p>
      <w:pPr>
        <w:pStyle w:val="10"/>
        <w:spacing w:line="576" w:lineRule="exact"/>
        <w:rPr>
          <w:rFonts w:cs="仿宋"/>
          <w:sz w:val="32"/>
          <w:szCs w:val="32"/>
        </w:rPr>
      </w:pPr>
      <w:r>
        <w:fldChar w:fldCharType="begin"/>
      </w:r>
      <w:r>
        <w:instrText xml:space="preserve"> HYPERLINK \l "_Toc15396602" </w:instrText>
      </w:r>
      <w:r>
        <w:fldChar w:fldCharType="separate"/>
      </w:r>
      <w:r>
        <w:rPr>
          <w:rStyle w:val="15"/>
          <w:rFonts w:hint="eastAsia" w:cs="仿宋"/>
          <w:sz w:val="32"/>
          <w:szCs w:val="32"/>
        </w:rPr>
        <w:t>第二部分</w:t>
      </w:r>
      <w:r>
        <w:rPr>
          <w:rStyle w:val="15"/>
          <w:rFonts w:cs="仿宋"/>
          <w:sz w:val="32"/>
          <w:szCs w:val="32"/>
        </w:rPr>
        <w:t xml:space="preserve"> 2018</w:t>
      </w:r>
      <w:r>
        <w:rPr>
          <w:rStyle w:val="15"/>
          <w:rFonts w:hint="eastAsia" w:cs="仿宋"/>
          <w:sz w:val="32"/>
          <w:szCs w:val="32"/>
        </w:rPr>
        <w:t>年度部门决算情况说明</w:t>
      </w:r>
      <w:r>
        <w:rPr>
          <w:rFonts w:cs="仿宋"/>
          <w:sz w:val="32"/>
          <w:szCs w:val="32"/>
        </w:rPr>
        <w:tab/>
      </w:r>
      <w:r>
        <w:rPr>
          <w:rFonts w:hint="eastAsia" w:cs="仿宋"/>
          <w:sz w:val="32"/>
          <w:szCs w:val="32"/>
          <w:lang w:val="en-US" w:eastAsia="zh-CN"/>
        </w:rPr>
        <w:t>6</w:t>
      </w:r>
      <w:r>
        <w:rPr>
          <w:rFonts w:cs="仿宋"/>
          <w:sz w:val="32"/>
          <w:szCs w:val="32"/>
        </w:rPr>
        <w:fldChar w:fldCharType="end"/>
      </w:r>
    </w:p>
    <w:p>
      <w:pPr>
        <w:pStyle w:val="11"/>
        <w:spacing w:line="576" w:lineRule="exact"/>
        <w:ind w:left="31680"/>
        <w:rPr>
          <w:rFonts w:ascii="仿宋" w:hAnsi="仿宋" w:eastAsia="仿宋" w:cs="仿宋"/>
          <w:sz w:val="32"/>
          <w:szCs w:val="32"/>
        </w:rPr>
      </w:pPr>
      <w:r>
        <w:fldChar w:fldCharType="begin"/>
      </w:r>
      <w:r>
        <w:instrText xml:space="preserve"> HYPERLINK \l "_Toc15396603" </w:instrText>
      </w:r>
      <w:r>
        <w:fldChar w:fldCharType="separate"/>
      </w:r>
      <w:r>
        <w:rPr>
          <w:rStyle w:val="15"/>
          <w:rFonts w:hint="eastAsia" w:ascii="仿宋" w:hAnsi="仿宋" w:eastAsia="仿宋" w:cs="仿宋"/>
          <w:bCs/>
          <w:sz w:val="32"/>
          <w:szCs w:val="32"/>
        </w:rPr>
        <w:t>一、</w:t>
      </w:r>
      <w:r>
        <w:rPr>
          <w:rStyle w:val="15"/>
          <w:rFonts w:hint="eastAsia" w:ascii="仿宋" w:hAnsi="仿宋" w:eastAsia="仿宋" w:cs="仿宋"/>
          <w:sz w:val="32"/>
          <w:szCs w:val="32"/>
        </w:rPr>
        <w:t>收</w:t>
      </w:r>
      <w:r>
        <w:rPr>
          <w:rStyle w:val="15"/>
          <w:rFonts w:hint="eastAsia" w:ascii="仿宋" w:hAnsi="仿宋" w:eastAsia="仿宋" w:cs="仿宋"/>
          <w:bCs/>
          <w:sz w:val="32"/>
          <w:szCs w:val="32"/>
        </w:rPr>
        <w:t>入支出决算总体情况说明</w:t>
      </w:r>
      <w:r>
        <w:rPr>
          <w:rFonts w:ascii="仿宋" w:hAnsi="仿宋" w:eastAsia="仿宋" w:cs="仿宋"/>
          <w:sz w:val="32"/>
          <w:szCs w:val="32"/>
        </w:rPr>
        <w:tab/>
      </w:r>
      <w:r>
        <w:rPr>
          <w:rFonts w:hint="eastAsia" w:ascii="仿宋" w:hAnsi="仿宋" w:eastAsia="仿宋" w:cs="仿宋"/>
          <w:sz w:val="32"/>
          <w:szCs w:val="32"/>
          <w:lang w:val="en-US" w:eastAsia="zh-CN"/>
        </w:rPr>
        <w:t>6</w:t>
      </w:r>
      <w:r>
        <w:rPr>
          <w:rFonts w:ascii="仿宋" w:hAnsi="仿宋" w:eastAsia="仿宋" w:cs="仿宋"/>
          <w:sz w:val="32"/>
          <w:szCs w:val="32"/>
        </w:rPr>
        <w:fldChar w:fldCharType="end"/>
      </w:r>
    </w:p>
    <w:p>
      <w:pPr>
        <w:pStyle w:val="11"/>
        <w:spacing w:line="576" w:lineRule="exact"/>
        <w:ind w:left="31680"/>
        <w:rPr>
          <w:rFonts w:ascii="仿宋" w:hAnsi="仿宋" w:eastAsia="仿宋" w:cs="仿宋"/>
          <w:sz w:val="32"/>
          <w:szCs w:val="32"/>
        </w:rPr>
      </w:pPr>
      <w:r>
        <w:fldChar w:fldCharType="begin"/>
      </w:r>
      <w:r>
        <w:instrText xml:space="preserve"> HYPERLINK \l "_Toc15396604" </w:instrText>
      </w:r>
      <w:r>
        <w:fldChar w:fldCharType="separate"/>
      </w:r>
      <w:r>
        <w:rPr>
          <w:rStyle w:val="15"/>
          <w:rFonts w:hint="eastAsia" w:ascii="仿宋" w:hAnsi="仿宋" w:eastAsia="仿宋" w:cs="仿宋"/>
          <w:bCs/>
          <w:sz w:val="32"/>
          <w:szCs w:val="32"/>
        </w:rPr>
        <w:t>二、</w:t>
      </w:r>
      <w:r>
        <w:rPr>
          <w:rStyle w:val="15"/>
          <w:rFonts w:hint="eastAsia" w:ascii="仿宋" w:hAnsi="仿宋" w:eastAsia="仿宋" w:cs="仿宋"/>
          <w:sz w:val="32"/>
          <w:szCs w:val="32"/>
        </w:rPr>
        <w:t>收</w:t>
      </w:r>
      <w:r>
        <w:rPr>
          <w:rStyle w:val="15"/>
          <w:rFonts w:hint="eastAsia" w:ascii="仿宋" w:hAnsi="仿宋" w:eastAsia="仿宋" w:cs="仿宋"/>
          <w:bCs/>
          <w:sz w:val="32"/>
          <w:szCs w:val="32"/>
        </w:rPr>
        <w:t>入决算情况说明</w:t>
      </w:r>
      <w:r>
        <w:rPr>
          <w:rFonts w:ascii="仿宋" w:hAnsi="仿宋" w:eastAsia="仿宋" w:cs="仿宋"/>
          <w:sz w:val="32"/>
          <w:szCs w:val="32"/>
        </w:rPr>
        <w:tab/>
      </w:r>
      <w:r>
        <w:rPr>
          <w:rFonts w:hint="eastAsia" w:ascii="仿宋" w:hAnsi="仿宋" w:eastAsia="仿宋" w:cs="仿宋"/>
          <w:sz w:val="32"/>
          <w:szCs w:val="32"/>
          <w:lang w:val="en-US" w:eastAsia="zh-CN"/>
        </w:rPr>
        <w:t>6</w:t>
      </w:r>
      <w:r>
        <w:rPr>
          <w:rFonts w:ascii="仿宋" w:hAnsi="仿宋" w:eastAsia="仿宋" w:cs="仿宋"/>
          <w:sz w:val="32"/>
          <w:szCs w:val="32"/>
        </w:rPr>
        <w:fldChar w:fldCharType="end"/>
      </w:r>
    </w:p>
    <w:p>
      <w:pPr>
        <w:pStyle w:val="11"/>
        <w:spacing w:line="576" w:lineRule="exact"/>
        <w:ind w:left="31680"/>
        <w:rPr>
          <w:rFonts w:ascii="仿宋" w:hAnsi="仿宋" w:eastAsia="仿宋" w:cs="仿宋"/>
          <w:sz w:val="32"/>
          <w:szCs w:val="32"/>
        </w:rPr>
      </w:pPr>
      <w:r>
        <w:fldChar w:fldCharType="begin"/>
      </w:r>
      <w:r>
        <w:instrText xml:space="preserve"> HYPERLINK \l "_Toc15396605" </w:instrText>
      </w:r>
      <w:r>
        <w:fldChar w:fldCharType="separate"/>
      </w:r>
      <w:r>
        <w:rPr>
          <w:rStyle w:val="15"/>
          <w:rFonts w:hint="eastAsia" w:ascii="仿宋" w:hAnsi="仿宋" w:eastAsia="仿宋" w:cs="仿宋"/>
          <w:bCs/>
          <w:sz w:val="32"/>
          <w:szCs w:val="32"/>
        </w:rPr>
        <w:t>三、</w:t>
      </w:r>
      <w:r>
        <w:rPr>
          <w:rStyle w:val="15"/>
          <w:rFonts w:hint="eastAsia" w:ascii="仿宋" w:hAnsi="仿宋" w:eastAsia="仿宋" w:cs="仿宋"/>
          <w:sz w:val="32"/>
          <w:szCs w:val="32"/>
        </w:rPr>
        <w:t>支</w:t>
      </w:r>
      <w:r>
        <w:rPr>
          <w:rStyle w:val="15"/>
          <w:rFonts w:hint="eastAsia" w:ascii="仿宋" w:hAnsi="仿宋" w:eastAsia="仿宋" w:cs="仿宋"/>
          <w:bCs/>
          <w:sz w:val="32"/>
          <w:szCs w:val="32"/>
        </w:rPr>
        <w:t>出决算情况说明</w:t>
      </w:r>
      <w:r>
        <w:rPr>
          <w:rFonts w:ascii="仿宋" w:hAnsi="仿宋" w:eastAsia="仿宋" w:cs="仿宋"/>
          <w:sz w:val="32"/>
          <w:szCs w:val="32"/>
        </w:rPr>
        <w:tab/>
      </w:r>
      <w:r>
        <w:rPr>
          <w:rFonts w:hint="eastAsia" w:ascii="仿宋" w:hAnsi="仿宋" w:eastAsia="仿宋" w:cs="仿宋"/>
          <w:sz w:val="32"/>
          <w:szCs w:val="32"/>
          <w:lang w:val="en-US" w:eastAsia="zh-CN"/>
        </w:rPr>
        <w:t>7</w:t>
      </w:r>
      <w:r>
        <w:rPr>
          <w:rFonts w:ascii="仿宋" w:hAnsi="仿宋" w:eastAsia="仿宋" w:cs="仿宋"/>
          <w:sz w:val="32"/>
          <w:szCs w:val="32"/>
        </w:rPr>
        <w:fldChar w:fldCharType="end"/>
      </w:r>
    </w:p>
    <w:p>
      <w:pPr>
        <w:pStyle w:val="11"/>
        <w:spacing w:line="576" w:lineRule="exact"/>
        <w:ind w:left="31680"/>
        <w:rPr>
          <w:rFonts w:ascii="仿宋" w:hAnsi="仿宋" w:eastAsia="仿宋" w:cs="仿宋"/>
          <w:sz w:val="32"/>
          <w:szCs w:val="32"/>
        </w:rPr>
      </w:pPr>
      <w:r>
        <w:fldChar w:fldCharType="begin"/>
      </w:r>
      <w:r>
        <w:instrText xml:space="preserve"> HYPERLINK \l "_Toc15396606" </w:instrText>
      </w:r>
      <w:r>
        <w:fldChar w:fldCharType="separate"/>
      </w:r>
      <w:r>
        <w:rPr>
          <w:rStyle w:val="15"/>
          <w:rFonts w:hint="eastAsia" w:ascii="仿宋" w:hAnsi="仿宋" w:eastAsia="仿宋" w:cs="仿宋"/>
          <w:sz w:val="32"/>
          <w:szCs w:val="32"/>
        </w:rPr>
        <w:t>四、财</w:t>
      </w:r>
      <w:r>
        <w:rPr>
          <w:rStyle w:val="15"/>
          <w:rFonts w:hint="eastAsia" w:ascii="仿宋" w:hAnsi="仿宋" w:eastAsia="仿宋" w:cs="仿宋"/>
          <w:bCs/>
          <w:sz w:val="32"/>
          <w:szCs w:val="32"/>
        </w:rPr>
        <w:t>政拨款收入支出决算总体情况说明</w:t>
      </w:r>
      <w:r>
        <w:rPr>
          <w:rFonts w:ascii="仿宋" w:hAnsi="仿宋" w:eastAsia="仿宋" w:cs="仿宋"/>
          <w:sz w:val="32"/>
          <w:szCs w:val="32"/>
        </w:rPr>
        <w:tab/>
      </w:r>
      <w:r>
        <w:rPr>
          <w:rFonts w:hint="eastAsia" w:ascii="仿宋" w:hAnsi="仿宋" w:eastAsia="仿宋" w:cs="仿宋"/>
          <w:sz w:val="32"/>
          <w:szCs w:val="32"/>
          <w:lang w:val="en-US" w:eastAsia="zh-CN"/>
        </w:rPr>
        <w:t>7</w:t>
      </w:r>
      <w:r>
        <w:rPr>
          <w:rFonts w:ascii="仿宋" w:hAnsi="仿宋" w:eastAsia="仿宋" w:cs="仿宋"/>
          <w:sz w:val="32"/>
          <w:szCs w:val="32"/>
        </w:rPr>
        <w:fldChar w:fldCharType="end"/>
      </w:r>
    </w:p>
    <w:p>
      <w:pPr>
        <w:pStyle w:val="11"/>
        <w:spacing w:line="576" w:lineRule="exact"/>
        <w:ind w:left="31680"/>
        <w:rPr>
          <w:rFonts w:ascii="仿宋" w:hAnsi="仿宋" w:eastAsia="仿宋" w:cs="仿宋"/>
          <w:sz w:val="32"/>
          <w:szCs w:val="32"/>
        </w:rPr>
      </w:pPr>
      <w:r>
        <w:fldChar w:fldCharType="begin"/>
      </w:r>
      <w:r>
        <w:instrText xml:space="preserve"> HYPERLINK \l "_Toc15396607" </w:instrText>
      </w:r>
      <w:r>
        <w:fldChar w:fldCharType="separate"/>
      </w:r>
      <w:r>
        <w:rPr>
          <w:rStyle w:val="15"/>
          <w:rFonts w:hint="eastAsia" w:ascii="仿宋" w:hAnsi="仿宋" w:eastAsia="仿宋" w:cs="仿宋"/>
          <w:sz w:val="32"/>
          <w:szCs w:val="32"/>
        </w:rPr>
        <w:t>五、一</w:t>
      </w:r>
      <w:r>
        <w:rPr>
          <w:rStyle w:val="15"/>
          <w:rFonts w:hint="eastAsia" w:ascii="仿宋" w:hAnsi="仿宋" w:eastAsia="仿宋" w:cs="仿宋"/>
          <w:bCs/>
          <w:sz w:val="32"/>
          <w:szCs w:val="32"/>
        </w:rPr>
        <w:t>般公共预算财政拨款支出决算情况说明</w:t>
      </w:r>
      <w:r>
        <w:rPr>
          <w:rFonts w:ascii="仿宋" w:hAnsi="仿宋" w:eastAsia="仿宋" w:cs="仿宋"/>
          <w:sz w:val="32"/>
          <w:szCs w:val="32"/>
        </w:rPr>
        <w:tab/>
      </w:r>
      <w:r>
        <w:rPr>
          <w:rFonts w:hint="eastAsia" w:ascii="仿宋" w:hAnsi="仿宋" w:eastAsia="仿宋" w:cs="仿宋"/>
          <w:sz w:val="32"/>
          <w:szCs w:val="32"/>
          <w:lang w:val="en-US" w:eastAsia="zh-CN"/>
        </w:rPr>
        <w:t>8</w:t>
      </w:r>
      <w:r>
        <w:rPr>
          <w:rFonts w:ascii="仿宋" w:hAnsi="仿宋" w:eastAsia="仿宋" w:cs="仿宋"/>
          <w:sz w:val="32"/>
          <w:szCs w:val="32"/>
        </w:rPr>
        <w:fldChar w:fldCharType="end"/>
      </w:r>
    </w:p>
    <w:p>
      <w:pPr>
        <w:pStyle w:val="11"/>
        <w:spacing w:line="576" w:lineRule="exact"/>
        <w:ind w:left="31680"/>
        <w:rPr>
          <w:rFonts w:hint="eastAsia" w:ascii="仿宋" w:hAnsi="仿宋" w:eastAsia="仿宋" w:cs="仿宋"/>
          <w:sz w:val="32"/>
          <w:szCs w:val="32"/>
          <w:lang w:val="en-US" w:eastAsia="zh-CN"/>
        </w:rPr>
      </w:pPr>
      <w:r>
        <w:fldChar w:fldCharType="begin"/>
      </w:r>
      <w:r>
        <w:instrText xml:space="preserve"> HYPERLINK \l "_Toc15396608" </w:instrText>
      </w:r>
      <w:r>
        <w:fldChar w:fldCharType="separate"/>
      </w:r>
      <w:r>
        <w:rPr>
          <w:rStyle w:val="15"/>
          <w:rFonts w:hint="eastAsia" w:ascii="仿宋" w:hAnsi="仿宋" w:eastAsia="仿宋" w:cs="仿宋"/>
          <w:sz w:val="32"/>
          <w:szCs w:val="32"/>
        </w:rPr>
        <w:t>六、一</w:t>
      </w:r>
      <w:r>
        <w:rPr>
          <w:rStyle w:val="15"/>
          <w:rFonts w:hint="eastAsia" w:ascii="仿宋" w:hAnsi="仿宋" w:eastAsia="仿宋" w:cs="仿宋"/>
          <w:bCs/>
          <w:sz w:val="32"/>
          <w:szCs w:val="32"/>
        </w:rPr>
        <w:t>般公共预算财政拨款基本支出决算情况说明</w:t>
      </w:r>
      <w:r>
        <w:rPr>
          <w:rFonts w:ascii="仿宋" w:hAnsi="仿宋" w:eastAsia="仿宋" w:cs="仿宋"/>
          <w:sz w:val="32"/>
          <w:szCs w:val="32"/>
        </w:rPr>
        <w:tab/>
      </w:r>
      <w:r>
        <w:rPr>
          <w:rFonts w:hint="eastAsia" w:ascii="仿宋" w:hAnsi="仿宋" w:eastAsia="仿宋" w:cs="仿宋"/>
          <w:sz w:val="32"/>
          <w:szCs w:val="32"/>
          <w:lang w:val="en-US" w:eastAsia="zh-CN"/>
        </w:rPr>
        <w:t>1</w:t>
      </w:r>
      <w:r>
        <w:rPr>
          <w:rFonts w:ascii="仿宋" w:hAnsi="仿宋" w:eastAsia="仿宋" w:cs="仿宋"/>
          <w:sz w:val="32"/>
          <w:szCs w:val="32"/>
        </w:rPr>
        <w:fldChar w:fldCharType="end"/>
      </w:r>
      <w:r>
        <w:rPr>
          <w:rFonts w:hint="eastAsia" w:ascii="仿宋" w:hAnsi="仿宋" w:eastAsia="仿宋" w:cs="仿宋"/>
          <w:sz w:val="32"/>
          <w:szCs w:val="32"/>
          <w:lang w:val="en-US" w:eastAsia="zh-CN"/>
        </w:rPr>
        <w:t>1</w:t>
      </w:r>
    </w:p>
    <w:p>
      <w:pPr>
        <w:pStyle w:val="11"/>
        <w:spacing w:line="576" w:lineRule="exact"/>
        <w:ind w:left="31680"/>
        <w:rPr>
          <w:rFonts w:hint="eastAsia" w:ascii="仿宋" w:hAnsi="仿宋" w:eastAsia="仿宋" w:cs="仿宋"/>
          <w:sz w:val="32"/>
          <w:szCs w:val="32"/>
          <w:lang w:val="en-US" w:eastAsia="zh-CN"/>
        </w:rPr>
      </w:pPr>
      <w:r>
        <w:fldChar w:fldCharType="begin"/>
      </w:r>
      <w:r>
        <w:instrText xml:space="preserve"> HYPERLINK \l "_Toc15396609" </w:instrText>
      </w:r>
      <w:r>
        <w:fldChar w:fldCharType="separate"/>
      </w:r>
      <w:r>
        <w:rPr>
          <w:rStyle w:val="15"/>
          <w:rFonts w:hint="eastAsia" w:ascii="仿宋" w:hAnsi="仿宋" w:eastAsia="仿宋" w:cs="仿宋"/>
          <w:sz w:val="32"/>
          <w:szCs w:val="32"/>
        </w:rPr>
        <w:t>七、“</w:t>
      </w:r>
      <w:r>
        <w:rPr>
          <w:rStyle w:val="15"/>
          <w:rFonts w:hint="eastAsia" w:ascii="仿宋" w:hAnsi="仿宋" w:eastAsia="仿宋" w:cs="仿宋"/>
          <w:bCs/>
          <w:sz w:val="32"/>
          <w:szCs w:val="32"/>
        </w:rPr>
        <w:t>三公”经费财政拨款支出决算情况说明</w:t>
      </w:r>
      <w:r>
        <w:rPr>
          <w:rFonts w:ascii="仿宋" w:hAnsi="仿宋" w:eastAsia="仿宋" w:cs="仿宋"/>
          <w:sz w:val="32"/>
          <w:szCs w:val="32"/>
        </w:rPr>
        <w:tab/>
      </w:r>
      <w:r>
        <w:rPr>
          <w:rFonts w:hint="eastAsia" w:ascii="仿宋" w:hAnsi="仿宋" w:eastAsia="仿宋" w:cs="仿宋"/>
          <w:sz w:val="32"/>
          <w:szCs w:val="32"/>
          <w:lang w:val="en-US" w:eastAsia="zh-CN"/>
        </w:rPr>
        <w:t>1</w:t>
      </w:r>
      <w:r>
        <w:rPr>
          <w:rFonts w:ascii="仿宋" w:hAnsi="仿宋" w:eastAsia="仿宋" w:cs="仿宋"/>
          <w:sz w:val="32"/>
          <w:szCs w:val="32"/>
        </w:rPr>
        <w:fldChar w:fldCharType="end"/>
      </w:r>
      <w:r>
        <w:rPr>
          <w:rFonts w:hint="eastAsia" w:ascii="仿宋" w:hAnsi="仿宋" w:eastAsia="仿宋" w:cs="仿宋"/>
          <w:sz w:val="32"/>
          <w:szCs w:val="32"/>
          <w:lang w:val="en-US" w:eastAsia="zh-CN"/>
        </w:rPr>
        <w:t>1</w:t>
      </w:r>
    </w:p>
    <w:p>
      <w:pPr>
        <w:pStyle w:val="11"/>
        <w:spacing w:line="576" w:lineRule="exact"/>
        <w:ind w:left="31680"/>
        <w:rPr>
          <w:rFonts w:hint="eastAsia" w:ascii="仿宋" w:hAnsi="仿宋" w:eastAsia="仿宋" w:cs="仿宋"/>
          <w:sz w:val="32"/>
          <w:szCs w:val="32"/>
          <w:lang w:val="en-US" w:eastAsia="zh-CN"/>
        </w:rPr>
      </w:pPr>
      <w:r>
        <w:fldChar w:fldCharType="begin"/>
      </w:r>
      <w:r>
        <w:instrText xml:space="preserve"> HYPERLINK \l "_Toc15396610" </w:instrText>
      </w:r>
      <w:r>
        <w:fldChar w:fldCharType="separate"/>
      </w:r>
      <w:r>
        <w:rPr>
          <w:rStyle w:val="15"/>
          <w:rFonts w:hint="eastAsia" w:ascii="仿宋" w:hAnsi="仿宋" w:eastAsia="仿宋" w:cs="仿宋"/>
          <w:sz w:val="32"/>
          <w:szCs w:val="32"/>
        </w:rPr>
        <w:t>八、</w:t>
      </w:r>
      <w:r>
        <w:rPr>
          <w:rStyle w:val="15"/>
          <w:rFonts w:hint="eastAsia" w:ascii="仿宋" w:hAnsi="仿宋" w:eastAsia="仿宋" w:cs="仿宋"/>
          <w:bCs/>
          <w:sz w:val="32"/>
          <w:szCs w:val="32"/>
        </w:rPr>
        <w:t>政府性基金预算支出决算情况说明</w:t>
      </w:r>
      <w:r>
        <w:rPr>
          <w:rFonts w:ascii="仿宋" w:hAnsi="仿宋" w:eastAsia="仿宋" w:cs="仿宋"/>
          <w:sz w:val="32"/>
          <w:szCs w:val="32"/>
        </w:rPr>
        <w:tab/>
      </w:r>
      <w:r>
        <w:rPr>
          <w:rFonts w:hint="eastAsia" w:ascii="仿宋" w:hAnsi="仿宋" w:eastAsia="仿宋" w:cs="仿宋"/>
          <w:sz w:val="32"/>
          <w:szCs w:val="32"/>
          <w:lang w:val="en-US" w:eastAsia="zh-CN"/>
        </w:rPr>
        <w:t>1</w:t>
      </w:r>
      <w:r>
        <w:rPr>
          <w:rFonts w:ascii="仿宋" w:hAnsi="仿宋" w:eastAsia="仿宋" w:cs="仿宋"/>
          <w:sz w:val="32"/>
          <w:szCs w:val="32"/>
        </w:rPr>
        <w:fldChar w:fldCharType="end"/>
      </w:r>
      <w:r>
        <w:rPr>
          <w:rFonts w:hint="eastAsia" w:ascii="仿宋" w:hAnsi="仿宋" w:eastAsia="仿宋" w:cs="仿宋"/>
          <w:sz w:val="32"/>
          <w:szCs w:val="32"/>
          <w:lang w:val="en-US" w:eastAsia="zh-CN"/>
        </w:rPr>
        <w:t>2</w:t>
      </w:r>
    </w:p>
    <w:p>
      <w:pPr>
        <w:pStyle w:val="11"/>
        <w:spacing w:line="576" w:lineRule="exact"/>
        <w:ind w:left="31680"/>
        <w:rPr>
          <w:rFonts w:hint="eastAsia" w:eastAsia="仿宋"/>
          <w:lang w:val="en-US" w:eastAsia="zh-CN"/>
        </w:rPr>
      </w:pPr>
      <w:r>
        <w:fldChar w:fldCharType="begin"/>
      </w:r>
      <w:r>
        <w:instrText xml:space="preserve"> HYPERLINK \l "_Toc15396611" </w:instrText>
      </w:r>
      <w:r>
        <w:fldChar w:fldCharType="separate"/>
      </w:r>
      <w:r>
        <w:rPr>
          <w:rStyle w:val="15"/>
          <w:rFonts w:hint="eastAsia" w:ascii="仿宋" w:hAnsi="仿宋" w:eastAsia="仿宋" w:cs="仿宋"/>
          <w:bCs/>
          <w:sz w:val="32"/>
          <w:szCs w:val="32"/>
        </w:rPr>
        <w:t>九、</w:t>
      </w:r>
      <w:r>
        <w:rPr>
          <w:rStyle w:val="15"/>
          <w:rFonts w:ascii="仿宋" w:hAnsi="仿宋" w:eastAsia="仿宋" w:cs="仿宋"/>
          <w:sz w:val="32"/>
          <w:szCs w:val="32"/>
        </w:rPr>
        <w:t xml:space="preserve"> </w:t>
      </w:r>
      <w:r>
        <w:rPr>
          <w:rStyle w:val="15"/>
          <w:rFonts w:hint="eastAsia" w:ascii="仿宋" w:hAnsi="仿宋" w:eastAsia="仿宋" w:cs="仿宋"/>
          <w:sz w:val="32"/>
          <w:szCs w:val="32"/>
        </w:rPr>
        <w:t>国</w:t>
      </w:r>
      <w:r>
        <w:rPr>
          <w:rStyle w:val="15"/>
          <w:rFonts w:hint="eastAsia" w:ascii="仿宋" w:hAnsi="仿宋" w:eastAsia="仿宋" w:cs="仿宋"/>
          <w:bCs/>
          <w:sz w:val="32"/>
          <w:szCs w:val="32"/>
        </w:rPr>
        <w:t>有资本经营预算支出决算情况说明</w:t>
      </w:r>
      <w:r>
        <w:rPr>
          <w:rFonts w:ascii="仿宋" w:hAnsi="仿宋" w:eastAsia="仿宋" w:cs="仿宋"/>
          <w:sz w:val="32"/>
          <w:szCs w:val="32"/>
        </w:rPr>
        <w:tab/>
      </w:r>
      <w:r>
        <w:rPr>
          <w:rFonts w:hint="eastAsia" w:ascii="仿宋" w:hAnsi="仿宋" w:eastAsia="仿宋" w:cs="仿宋"/>
          <w:sz w:val="32"/>
          <w:szCs w:val="32"/>
          <w:lang w:val="en-US" w:eastAsia="zh-CN"/>
        </w:rPr>
        <w:t>1</w:t>
      </w:r>
      <w:r>
        <w:rPr>
          <w:rFonts w:ascii="仿宋" w:hAnsi="仿宋" w:eastAsia="仿宋" w:cs="仿宋"/>
          <w:sz w:val="32"/>
          <w:szCs w:val="32"/>
        </w:rPr>
        <w:fldChar w:fldCharType="end"/>
      </w:r>
      <w:r>
        <w:rPr>
          <w:rFonts w:hint="eastAsia" w:ascii="仿宋" w:hAnsi="仿宋" w:eastAsia="仿宋" w:cs="仿宋"/>
          <w:sz w:val="32"/>
          <w:szCs w:val="32"/>
          <w:lang w:val="en-US" w:eastAsia="zh-CN"/>
        </w:rPr>
        <w:t>3</w:t>
      </w:r>
    </w:p>
    <w:p>
      <w:pPr>
        <w:pStyle w:val="11"/>
        <w:spacing w:line="576" w:lineRule="exact"/>
        <w:ind w:left="31680"/>
        <w:rPr>
          <w:rFonts w:hint="eastAsia" w:eastAsia="仿宋"/>
          <w:lang w:val="en-US" w:eastAsia="zh-CN"/>
        </w:rPr>
      </w:pPr>
      <w:r>
        <w:fldChar w:fldCharType="begin"/>
      </w:r>
      <w:r>
        <w:instrText xml:space="preserve"> HYPERLINK \l "_Toc15396611" </w:instrText>
      </w:r>
      <w:r>
        <w:fldChar w:fldCharType="separate"/>
      </w:r>
      <w:r>
        <w:rPr>
          <w:rStyle w:val="15"/>
          <w:rFonts w:hint="eastAsia" w:ascii="仿宋" w:hAnsi="仿宋" w:eastAsia="仿宋" w:cs="仿宋"/>
          <w:bCs/>
          <w:sz w:val="32"/>
          <w:szCs w:val="32"/>
        </w:rPr>
        <w:t>十、</w:t>
      </w:r>
      <w:r>
        <w:rPr>
          <w:rStyle w:val="15"/>
          <w:rFonts w:ascii="仿宋" w:hAnsi="仿宋" w:eastAsia="仿宋" w:cs="仿宋"/>
          <w:sz w:val="32"/>
          <w:szCs w:val="32"/>
        </w:rPr>
        <w:t xml:space="preserve"> </w:t>
      </w:r>
      <w:r>
        <w:rPr>
          <w:rStyle w:val="15"/>
          <w:rFonts w:hint="eastAsia" w:ascii="仿宋" w:hAnsi="仿宋" w:eastAsia="仿宋" w:cs="仿宋"/>
          <w:sz w:val="32"/>
          <w:szCs w:val="32"/>
        </w:rPr>
        <w:t>预算绩效</w:t>
      </w:r>
      <w:r>
        <w:rPr>
          <w:rStyle w:val="15"/>
          <w:rFonts w:hint="eastAsia" w:ascii="仿宋" w:hAnsi="仿宋" w:eastAsia="仿宋" w:cs="仿宋"/>
          <w:bCs/>
          <w:sz w:val="32"/>
          <w:szCs w:val="32"/>
        </w:rPr>
        <w:t>情况说明</w:t>
      </w:r>
      <w:r>
        <w:rPr>
          <w:rFonts w:ascii="仿宋" w:hAnsi="仿宋" w:eastAsia="仿宋" w:cs="仿宋"/>
          <w:sz w:val="32"/>
          <w:szCs w:val="32"/>
        </w:rPr>
        <w:tab/>
      </w:r>
      <w:r>
        <w:rPr>
          <w:rFonts w:hint="eastAsia" w:ascii="仿宋" w:hAnsi="仿宋" w:eastAsia="仿宋" w:cs="仿宋"/>
          <w:sz w:val="32"/>
          <w:szCs w:val="32"/>
          <w:lang w:val="en-US" w:eastAsia="zh-CN"/>
        </w:rPr>
        <w:t>1</w:t>
      </w:r>
      <w:r>
        <w:rPr>
          <w:rFonts w:ascii="仿宋" w:hAnsi="仿宋" w:eastAsia="仿宋" w:cs="仿宋"/>
          <w:sz w:val="32"/>
          <w:szCs w:val="32"/>
        </w:rPr>
        <w:fldChar w:fldCharType="end"/>
      </w:r>
      <w:r>
        <w:rPr>
          <w:rFonts w:hint="eastAsia" w:ascii="仿宋" w:hAnsi="仿宋" w:eastAsia="仿宋" w:cs="仿宋"/>
          <w:sz w:val="32"/>
          <w:szCs w:val="32"/>
          <w:lang w:val="en-US" w:eastAsia="zh-CN"/>
        </w:rPr>
        <w:t>3</w:t>
      </w:r>
    </w:p>
    <w:p>
      <w:pPr>
        <w:pStyle w:val="11"/>
        <w:spacing w:line="576" w:lineRule="exact"/>
        <w:ind w:left="31680"/>
        <w:rPr>
          <w:rFonts w:hint="eastAsia" w:ascii="仿宋" w:hAnsi="仿宋" w:eastAsia="仿宋" w:cs="仿宋"/>
          <w:sz w:val="32"/>
          <w:szCs w:val="32"/>
          <w:lang w:val="en-US" w:eastAsia="zh-CN"/>
        </w:rPr>
      </w:pPr>
      <w:r>
        <w:fldChar w:fldCharType="begin"/>
      </w:r>
      <w:r>
        <w:instrText xml:space="preserve"> HYPERLINK \l "_Toc15396612" </w:instrText>
      </w:r>
      <w:r>
        <w:fldChar w:fldCharType="separate"/>
      </w:r>
      <w:r>
        <w:rPr>
          <w:rStyle w:val="15"/>
          <w:rFonts w:hint="eastAsia" w:ascii="仿宋" w:hAnsi="仿宋" w:eastAsia="仿宋" w:cs="仿宋"/>
          <w:sz w:val="32"/>
          <w:szCs w:val="32"/>
        </w:rPr>
        <w:t>十</w:t>
      </w:r>
      <w:r>
        <w:rPr>
          <w:rStyle w:val="15"/>
          <w:rFonts w:hint="eastAsia" w:ascii="仿宋" w:hAnsi="仿宋" w:eastAsia="仿宋" w:cs="仿宋"/>
          <w:bCs/>
          <w:sz w:val="32"/>
          <w:szCs w:val="32"/>
        </w:rPr>
        <w:t>一、其他重要事项的情况说明</w:t>
      </w:r>
      <w:r>
        <w:rPr>
          <w:rFonts w:ascii="仿宋" w:hAnsi="仿宋" w:eastAsia="仿宋" w:cs="仿宋"/>
          <w:sz w:val="32"/>
          <w:szCs w:val="32"/>
        </w:rPr>
        <w:tab/>
      </w:r>
      <w:r>
        <w:rPr>
          <w:rFonts w:hint="eastAsia" w:ascii="仿宋" w:hAnsi="仿宋" w:eastAsia="仿宋" w:cs="仿宋"/>
          <w:sz w:val="32"/>
          <w:szCs w:val="32"/>
          <w:lang w:val="en-US" w:eastAsia="zh-CN"/>
        </w:rPr>
        <w:t>1</w:t>
      </w:r>
      <w:r>
        <w:rPr>
          <w:rFonts w:ascii="仿宋" w:hAnsi="仿宋" w:eastAsia="仿宋" w:cs="仿宋"/>
          <w:sz w:val="32"/>
          <w:szCs w:val="32"/>
        </w:rPr>
        <w:fldChar w:fldCharType="end"/>
      </w:r>
      <w:r>
        <w:rPr>
          <w:rFonts w:hint="eastAsia" w:ascii="仿宋" w:hAnsi="仿宋" w:eastAsia="仿宋" w:cs="仿宋"/>
          <w:sz w:val="32"/>
          <w:szCs w:val="32"/>
          <w:lang w:val="en-US" w:eastAsia="zh-CN"/>
        </w:rPr>
        <w:t>3</w:t>
      </w:r>
    </w:p>
    <w:p>
      <w:pPr>
        <w:pStyle w:val="10"/>
        <w:spacing w:line="576" w:lineRule="exact"/>
        <w:rPr>
          <w:rFonts w:hint="eastAsia" w:eastAsia="仿宋" w:cs="仿宋"/>
          <w:sz w:val="32"/>
          <w:szCs w:val="32"/>
          <w:lang w:val="en-US" w:eastAsia="zh-CN"/>
        </w:rPr>
      </w:pPr>
      <w:r>
        <w:fldChar w:fldCharType="begin"/>
      </w:r>
      <w:r>
        <w:instrText xml:space="preserve"> HYPERLINK \l "_Toc15396613" </w:instrText>
      </w:r>
      <w:r>
        <w:fldChar w:fldCharType="separate"/>
      </w:r>
      <w:r>
        <w:rPr>
          <w:rStyle w:val="15"/>
          <w:rFonts w:hint="eastAsia" w:cs="仿宋"/>
          <w:bCs/>
          <w:kern w:val="44"/>
          <w:sz w:val="32"/>
          <w:szCs w:val="32"/>
        </w:rPr>
        <w:t>第三部分</w:t>
      </w:r>
      <w:r>
        <w:rPr>
          <w:rStyle w:val="15"/>
          <w:rFonts w:cs="仿宋"/>
          <w:sz w:val="32"/>
          <w:szCs w:val="32"/>
        </w:rPr>
        <w:t xml:space="preserve"> </w:t>
      </w:r>
      <w:r>
        <w:rPr>
          <w:rStyle w:val="15"/>
          <w:rFonts w:hint="eastAsia" w:cs="仿宋"/>
          <w:sz w:val="32"/>
          <w:szCs w:val="32"/>
        </w:rPr>
        <w:t>名</w:t>
      </w:r>
      <w:r>
        <w:rPr>
          <w:rStyle w:val="15"/>
          <w:rFonts w:hint="eastAsia" w:cs="仿宋"/>
          <w:bCs/>
          <w:kern w:val="44"/>
          <w:sz w:val="32"/>
          <w:szCs w:val="32"/>
        </w:rPr>
        <w:t>词解释</w:t>
      </w:r>
      <w:r>
        <w:rPr>
          <w:rFonts w:cs="仿宋"/>
          <w:sz w:val="32"/>
          <w:szCs w:val="32"/>
        </w:rPr>
        <w:tab/>
      </w:r>
      <w:r>
        <w:rPr>
          <w:rFonts w:hint="eastAsia" w:cs="仿宋"/>
          <w:sz w:val="32"/>
          <w:szCs w:val="32"/>
          <w:lang w:val="en-US" w:eastAsia="zh-CN"/>
        </w:rPr>
        <w:t>1</w:t>
      </w:r>
      <w:r>
        <w:rPr>
          <w:rFonts w:cs="仿宋"/>
          <w:sz w:val="32"/>
          <w:szCs w:val="32"/>
        </w:rPr>
        <w:fldChar w:fldCharType="end"/>
      </w:r>
      <w:r>
        <w:rPr>
          <w:rFonts w:hint="eastAsia" w:cs="仿宋"/>
          <w:sz w:val="32"/>
          <w:szCs w:val="32"/>
          <w:lang w:val="en-US" w:eastAsia="zh-CN"/>
        </w:rPr>
        <w:t>5</w:t>
      </w:r>
    </w:p>
    <w:p>
      <w:pPr>
        <w:pStyle w:val="10"/>
        <w:spacing w:line="576" w:lineRule="exact"/>
        <w:rPr>
          <w:rFonts w:hint="eastAsia" w:eastAsia="仿宋" w:cs="仿宋"/>
          <w:sz w:val="32"/>
          <w:szCs w:val="32"/>
          <w:lang w:val="en-US" w:eastAsia="zh-CN"/>
        </w:rPr>
      </w:pPr>
      <w:r>
        <w:fldChar w:fldCharType="begin"/>
      </w:r>
      <w:r>
        <w:instrText xml:space="preserve"> HYPERLINK \l "_Toc15396614" </w:instrText>
      </w:r>
      <w:r>
        <w:fldChar w:fldCharType="separate"/>
      </w:r>
      <w:r>
        <w:rPr>
          <w:rStyle w:val="15"/>
          <w:rFonts w:hint="eastAsia" w:cs="仿宋"/>
          <w:sz w:val="32"/>
          <w:szCs w:val="32"/>
        </w:rPr>
        <w:t>第</w:t>
      </w:r>
      <w:r>
        <w:rPr>
          <w:rStyle w:val="15"/>
          <w:rFonts w:hint="eastAsia" w:cs="仿宋"/>
          <w:bCs/>
          <w:kern w:val="44"/>
          <w:sz w:val="32"/>
          <w:szCs w:val="32"/>
        </w:rPr>
        <w:t>四部分</w:t>
      </w:r>
      <w:r>
        <w:rPr>
          <w:rStyle w:val="15"/>
          <w:rFonts w:cs="仿宋"/>
          <w:bCs/>
          <w:kern w:val="44"/>
          <w:sz w:val="32"/>
          <w:szCs w:val="32"/>
        </w:rPr>
        <w:t xml:space="preserve"> </w:t>
      </w:r>
      <w:r>
        <w:rPr>
          <w:rStyle w:val="15"/>
          <w:rFonts w:hint="eastAsia" w:cs="仿宋"/>
          <w:bCs/>
          <w:kern w:val="44"/>
          <w:sz w:val="32"/>
          <w:szCs w:val="32"/>
        </w:rPr>
        <w:t>附件</w:t>
      </w:r>
      <w:r>
        <w:rPr>
          <w:rFonts w:cs="仿宋"/>
          <w:sz w:val="32"/>
          <w:szCs w:val="32"/>
        </w:rPr>
        <w:tab/>
      </w:r>
      <w:r>
        <w:rPr>
          <w:rFonts w:hint="eastAsia" w:cs="仿宋"/>
          <w:sz w:val="32"/>
          <w:szCs w:val="32"/>
          <w:lang w:val="en-US" w:eastAsia="zh-CN"/>
        </w:rPr>
        <w:t>1</w:t>
      </w:r>
      <w:r>
        <w:rPr>
          <w:rFonts w:cs="仿宋"/>
          <w:sz w:val="32"/>
          <w:szCs w:val="32"/>
        </w:rPr>
        <w:fldChar w:fldCharType="end"/>
      </w:r>
      <w:r>
        <w:rPr>
          <w:rFonts w:hint="eastAsia" w:cs="仿宋"/>
          <w:sz w:val="32"/>
          <w:szCs w:val="32"/>
          <w:lang w:val="en-US" w:eastAsia="zh-CN"/>
        </w:rPr>
        <w:t>8</w:t>
      </w:r>
    </w:p>
    <w:p>
      <w:pPr>
        <w:pStyle w:val="10"/>
        <w:spacing w:line="576" w:lineRule="exact"/>
        <w:rPr>
          <w:rFonts w:hint="eastAsia" w:eastAsia="仿宋" w:cs="仿宋"/>
          <w:sz w:val="32"/>
          <w:szCs w:val="32"/>
          <w:lang w:val="en-US" w:eastAsia="zh-CN"/>
        </w:rPr>
      </w:pPr>
      <w:r>
        <w:fldChar w:fldCharType="begin"/>
      </w:r>
      <w:r>
        <w:instrText xml:space="preserve"> HYPERLINK \l "_Toc15396618" </w:instrText>
      </w:r>
      <w:r>
        <w:fldChar w:fldCharType="separate"/>
      </w:r>
      <w:r>
        <w:rPr>
          <w:rStyle w:val="15"/>
          <w:rFonts w:hint="eastAsia" w:cs="仿宋"/>
          <w:sz w:val="32"/>
          <w:szCs w:val="32"/>
        </w:rPr>
        <w:t>第</w:t>
      </w:r>
      <w:r>
        <w:rPr>
          <w:rStyle w:val="15"/>
          <w:rFonts w:hint="eastAsia" w:cs="仿宋"/>
          <w:bCs/>
          <w:kern w:val="44"/>
          <w:sz w:val="32"/>
          <w:szCs w:val="32"/>
        </w:rPr>
        <w:t>五部分</w:t>
      </w:r>
      <w:r>
        <w:rPr>
          <w:rStyle w:val="15"/>
          <w:rFonts w:cs="仿宋"/>
          <w:bCs/>
          <w:kern w:val="44"/>
          <w:sz w:val="32"/>
          <w:szCs w:val="32"/>
        </w:rPr>
        <w:t xml:space="preserve"> </w:t>
      </w:r>
      <w:r>
        <w:rPr>
          <w:rStyle w:val="15"/>
          <w:rFonts w:hint="eastAsia" w:cs="仿宋"/>
          <w:bCs/>
          <w:kern w:val="44"/>
          <w:sz w:val="32"/>
          <w:szCs w:val="32"/>
        </w:rPr>
        <w:t>附表</w:t>
      </w:r>
      <w:r>
        <w:rPr>
          <w:rFonts w:cs="仿宋"/>
          <w:sz w:val="32"/>
          <w:szCs w:val="32"/>
        </w:rPr>
        <w:tab/>
      </w:r>
      <w:r>
        <w:rPr>
          <w:rFonts w:hint="eastAsia" w:cs="仿宋"/>
          <w:sz w:val="32"/>
          <w:szCs w:val="32"/>
          <w:lang w:val="en-US" w:eastAsia="zh-CN"/>
        </w:rPr>
        <w:t>2</w:t>
      </w:r>
      <w:r>
        <w:rPr>
          <w:rFonts w:cs="仿宋"/>
          <w:sz w:val="32"/>
          <w:szCs w:val="32"/>
        </w:rPr>
        <w:fldChar w:fldCharType="end"/>
      </w:r>
      <w:r>
        <w:rPr>
          <w:rFonts w:hint="eastAsia" w:cs="仿宋"/>
          <w:sz w:val="32"/>
          <w:szCs w:val="32"/>
          <w:lang w:val="en-US" w:eastAsia="zh-CN"/>
        </w:rPr>
        <w:t>7</w:t>
      </w:r>
    </w:p>
    <w:p>
      <w:pPr>
        <w:pStyle w:val="11"/>
        <w:spacing w:line="576" w:lineRule="exact"/>
        <w:ind w:left="31680"/>
        <w:rPr>
          <w:rFonts w:hint="eastAsia" w:ascii="仿宋" w:hAnsi="仿宋" w:eastAsia="仿宋" w:cs="仿宋"/>
          <w:sz w:val="32"/>
          <w:szCs w:val="32"/>
          <w:lang w:val="en-US" w:eastAsia="zh-CN"/>
        </w:rPr>
      </w:pPr>
      <w:r>
        <w:rPr>
          <w:rFonts w:hint="eastAsia" w:ascii="仿宋" w:hAnsi="仿宋" w:eastAsia="仿宋" w:cs="仿宋"/>
          <w:sz w:val="32"/>
          <w:szCs w:val="32"/>
        </w:rPr>
        <w:t>一、</w:t>
      </w:r>
      <w:r>
        <w:fldChar w:fldCharType="begin"/>
      </w:r>
      <w:r>
        <w:instrText xml:space="preserve"> HYPERLINK \l "_Toc15396619" </w:instrText>
      </w:r>
      <w:r>
        <w:fldChar w:fldCharType="separate"/>
      </w:r>
      <w:r>
        <w:rPr>
          <w:rStyle w:val="15"/>
          <w:rFonts w:hint="eastAsia" w:ascii="仿宋" w:hAnsi="仿宋" w:eastAsia="仿宋" w:cs="仿宋"/>
          <w:sz w:val="32"/>
          <w:szCs w:val="32"/>
        </w:rPr>
        <w:t>收入支出决算总表</w:t>
      </w:r>
      <w:r>
        <w:rPr>
          <w:rFonts w:ascii="仿宋" w:hAnsi="仿宋" w:eastAsia="仿宋" w:cs="仿宋"/>
          <w:sz w:val="32"/>
          <w:szCs w:val="32"/>
        </w:rPr>
        <w:tab/>
      </w:r>
      <w:r>
        <w:rPr>
          <w:rFonts w:hint="eastAsia" w:ascii="仿宋" w:hAnsi="仿宋" w:eastAsia="仿宋" w:cs="仿宋"/>
          <w:sz w:val="32"/>
          <w:szCs w:val="32"/>
          <w:lang w:val="en-US" w:eastAsia="zh-CN"/>
        </w:rPr>
        <w:t>2</w:t>
      </w:r>
      <w:r>
        <w:rPr>
          <w:rFonts w:ascii="仿宋" w:hAnsi="仿宋" w:eastAsia="仿宋" w:cs="仿宋"/>
          <w:sz w:val="32"/>
          <w:szCs w:val="32"/>
        </w:rPr>
        <w:fldChar w:fldCharType="end"/>
      </w:r>
      <w:r>
        <w:rPr>
          <w:rFonts w:hint="eastAsia" w:ascii="仿宋" w:hAnsi="仿宋" w:eastAsia="仿宋" w:cs="仿宋"/>
          <w:sz w:val="32"/>
          <w:szCs w:val="32"/>
          <w:lang w:val="en-US" w:eastAsia="zh-CN"/>
        </w:rPr>
        <w:t>7</w:t>
      </w:r>
    </w:p>
    <w:p>
      <w:pPr>
        <w:pStyle w:val="11"/>
        <w:spacing w:line="576" w:lineRule="exact"/>
        <w:ind w:left="31680"/>
        <w:rPr>
          <w:rFonts w:hint="eastAsia" w:ascii="仿宋" w:hAnsi="仿宋" w:eastAsia="仿宋" w:cs="仿宋"/>
          <w:sz w:val="32"/>
          <w:szCs w:val="32"/>
          <w:lang w:val="en-US" w:eastAsia="zh-CN"/>
        </w:rPr>
      </w:pPr>
      <w:r>
        <w:rPr>
          <w:rFonts w:hint="eastAsia" w:ascii="仿宋" w:hAnsi="仿宋" w:eastAsia="仿宋" w:cs="仿宋"/>
          <w:sz w:val="32"/>
          <w:szCs w:val="32"/>
        </w:rPr>
        <w:t>二、</w:t>
      </w:r>
      <w:r>
        <w:fldChar w:fldCharType="begin"/>
      </w:r>
      <w:r>
        <w:instrText xml:space="preserve"> HYPERLINK \l "_Toc15396620" </w:instrText>
      </w:r>
      <w:r>
        <w:fldChar w:fldCharType="separate"/>
      </w:r>
      <w:r>
        <w:rPr>
          <w:rStyle w:val="15"/>
          <w:rFonts w:hint="eastAsia" w:ascii="仿宋" w:hAnsi="仿宋" w:eastAsia="仿宋" w:cs="仿宋"/>
          <w:sz w:val="32"/>
          <w:szCs w:val="32"/>
        </w:rPr>
        <w:t>收入总表</w:t>
      </w:r>
      <w:r>
        <w:rPr>
          <w:rFonts w:ascii="仿宋" w:hAnsi="仿宋" w:eastAsia="仿宋" w:cs="仿宋"/>
          <w:sz w:val="32"/>
          <w:szCs w:val="32"/>
        </w:rPr>
        <w:tab/>
      </w:r>
      <w:r>
        <w:rPr>
          <w:rFonts w:hint="eastAsia" w:ascii="仿宋" w:hAnsi="仿宋" w:eastAsia="仿宋" w:cs="仿宋"/>
          <w:sz w:val="32"/>
          <w:szCs w:val="32"/>
          <w:lang w:val="en-US" w:eastAsia="zh-CN"/>
        </w:rPr>
        <w:t>2</w:t>
      </w:r>
      <w:r>
        <w:rPr>
          <w:rFonts w:ascii="仿宋" w:hAnsi="仿宋" w:eastAsia="仿宋" w:cs="仿宋"/>
          <w:sz w:val="32"/>
          <w:szCs w:val="32"/>
        </w:rPr>
        <w:fldChar w:fldCharType="end"/>
      </w:r>
      <w:r>
        <w:rPr>
          <w:rFonts w:hint="eastAsia" w:ascii="仿宋" w:hAnsi="仿宋" w:eastAsia="仿宋" w:cs="仿宋"/>
          <w:sz w:val="32"/>
          <w:szCs w:val="32"/>
          <w:lang w:val="en-US" w:eastAsia="zh-CN"/>
        </w:rPr>
        <w:t>7</w:t>
      </w:r>
    </w:p>
    <w:p>
      <w:pPr>
        <w:pStyle w:val="11"/>
        <w:spacing w:line="576" w:lineRule="exact"/>
        <w:ind w:left="31680"/>
        <w:rPr>
          <w:rFonts w:hint="eastAsia" w:ascii="仿宋" w:hAnsi="仿宋" w:eastAsia="仿宋" w:cs="仿宋"/>
          <w:sz w:val="32"/>
          <w:szCs w:val="32"/>
          <w:lang w:val="en-US" w:eastAsia="zh-CN"/>
        </w:rPr>
      </w:pPr>
      <w:r>
        <w:rPr>
          <w:rFonts w:hint="eastAsia" w:ascii="仿宋" w:hAnsi="仿宋" w:eastAsia="仿宋" w:cs="仿宋"/>
          <w:sz w:val="32"/>
          <w:szCs w:val="32"/>
        </w:rPr>
        <w:t>三、</w:t>
      </w:r>
      <w:r>
        <w:fldChar w:fldCharType="begin"/>
      </w:r>
      <w:r>
        <w:instrText xml:space="preserve"> HYPERLINK \l "_Toc15396621" </w:instrText>
      </w:r>
      <w:r>
        <w:fldChar w:fldCharType="separate"/>
      </w:r>
      <w:r>
        <w:rPr>
          <w:rStyle w:val="15"/>
          <w:rFonts w:hint="eastAsia" w:ascii="仿宋" w:hAnsi="仿宋" w:eastAsia="仿宋" w:cs="仿宋"/>
          <w:sz w:val="32"/>
          <w:szCs w:val="32"/>
        </w:rPr>
        <w:t>支出总表</w:t>
      </w:r>
      <w:r>
        <w:rPr>
          <w:rFonts w:ascii="仿宋" w:hAnsi="仿宋" w:eastAsia="仿宋" w:cs="仿宋"/>
          <w:sz w:val="32"/>
          <w:szCs w:val="32"/>
        </w:rPr>
        <w:tab/>
      </w:r>
      <w:r>
        <w:rPr>
          <w:rFonts w:hint="eastAsia" w:ascii="仿宋" w:hAnsi="仿宋" w:eastAsia="仿宋" w:cs="仿宋"/>
          <w:sz w:val="32"/>
          <w:szCs w:val="32"/>
          <w:lang w:val="en-US" w:eastAsia="zh-CN"/>
        </w:rPr>
        <w:t>2</w:t>
      </w:r>
      <w:r>
        <w:rPr>
          <w:rFonts w:ascii="仿宋" w:hAnsi="仿宋" w:eastAsia="仿宋" w:cs="仿宋"/>
          <w:sz w:val="32"/>
          <w:szCs w:val="32"/>
        </w:rPr>
        <w:fldChar w:fldCharType="end"/>
      </w:r>
      <w:r>
        <w:rPr>
          <w:rFonts w:hint="eastAsia" w:ascii="仿宋" w:hAnsi="仿宋" w:eastAsia="仿宋" w:cs="仿宋"/>
          <w:sz w:val="32"/>
          <w:szCs w:val="32"/>
          <w:lang w:val="en-US" w:eastAsia="zh-CN"/>
        </w:rPr>
        <w:t>7</w:t>
      </w:r>
    </w:p>
    <w:p>
      <w:pPr>
        <w:pStyle w:val="11"/>
        <w:spacing w:line="576" w:lineRule="exact"/>
        <w:ind w:left="31680"/>
        <w:rPr>
          <w:rFonts w:hint="eastAsia" w:ascii="仿宋" w:hAnsi="仿宋" w:eastAsia="仿宋" w:cs="仿宋"/>
          <w:sz w:val="32"/>
          <w:szCs w:val="32"/>
          <w:lang w:val="en-US" w:eastAsia="zh-CN"/>
        </w:rPr>
      </w:pPr>
      <w:r>
        <w:rPr>
          <w:rFonts w:hint="eastAsia" w:ascii="仿宋" w:hAnsi="仿宋" w:eastAsia="仿宋" w:cs="仿宋"/>
          <w:sz w:val="32"/>
          <w:szCs w:val="32"/>
        </w:rPr>
        <w:t>四、</w:t>
      </w:r>
      <w:r>
        <w:fldChar w:fldCharType="begin"/>
      </w:r>
      <w:r>
        <w:instrText xml:space="preserve"> HYPERLINK \l "_Toc15396622" </w:instrText>
      </w:r>
      <w:r>
        <w:fldChar w:fldCharType="separate"/>
      </w:r>
      <w:r>
        <w:rPr>
          <w:rStyle w:val="15"/>
          <w:rFonts w:hint="eastAsia" w:ascii="仿宋" w:hAnsi="仿宋" w:eastAsia="仿宋" w:cs="仿宋"/>
          <w:sz w:val="32"/>
          <w:szCs w:val="32"/>
        </w:rPr>
        <w:t>财政拨款收入支出决算总表</w:t>
      </w:r>
      <w:r>
        <w:rPr>
          <w:rFonts w:ascii="仿宋" w:hAnsi="仿宋" w:eastAsia="仿宋" w:cs="仿宋"/>
          <w:sz w:val="32"/>
          <w:szCs w:val="32"/>
        </w:rPr>
        <w:tab/>
      </w:r>
      <w:r>
        <w:rPr>
          <w:rFonts w:hint="eastAsia" w:ascii="仿宋" w:hAnsi="仿宋" w:eastAsia="仿宋" w:cs="仿宋"/>
          <w:sz w:val="32"/>
          <w:szCs w:val="32"/>
          <w:lang w:val="en-US" w:eastAsia="zh-CN"/>
        </w:rPr>
        <w:t>2</w:t>
      </w:r>
      <w:r>
        <w:rPr>
          <w:rFonts w:ascii="仿宋" w:hAnsi="仿宋" w:eastAsia="仿宋" w:cs="仿宋"/>
          <w:sz w:val="32"/>
          <w:szCs w:val="32"/>
        </w:rPr>
        <w:fldChar w:fldCharType="end"/>
      </w:r>
      <w:r>
        <w:rPr>
          <w:rFonts w:hint="eastAsia" w:ascii="仿宋" w:hAnsi="仿宋" w:eastAsia="仿宋" w:cs="仿宋"/>
          <w:sz w:val="32"/>
          <w:szCs w:val="32"/>
          <w:lang w:val="en-US" w:eastAsia="zh-CN"/>
        </w:rPr>
        <w:t>7</w:t>
      </w:r>
    </w:p>
    <w:p>
      <w:pPr>
        <w:pStyle w:val="11"/>
        <w:spacing w:line="576" w:lineRule="exact"/>
        <w:ind w:left="31680"/>
        <w:rPr>
          <w:rFonts w:hint="eastAsia" w:ascii="仿宋" w:hAnsi="仿宋" w:eastAsia="仿宋" w:cs="仿宋"/>
          <w:sz w:val="32"/>
          <w:szCs w:val="32"/>
          <w:lang w:val="en-US" w:eastAsia="zh-CN"/>
        </w:rPr>
      </w:pPr>
      <w:r>
        <w:rPr>
          <w:rFonts w:hint="eastAsia" w:ascii="仿宋" w:hAnsi="仿宋" w:eastAsia="仿宋" w:cs="仿宋"/>
          <w:sz w:val="32"/>
          <w:szCs w:val="32"/>
        </w:rPr>
        <w:t>五、</w:t>
      </w:r>
      <w:r>
        <w:fldChar w:fldCharType="begin"/>
      </w:r>
      <w:r>
        <w:instrText xml:space="preserve"> HYPERLINK \l "_Toc15396623" </w:instrText>
      </w:r>
      <w:r>
        <w:fldChar w:fldCharType="separate"/>
      </w:r>
      <w:r>
        <w:rPr>
          <w:rFonts w:hint="eastAsia" w:ascii="仿宋" w:hAnsi="仿宋" w:eastAsia="仿宋" w:cs="仿宋"/>
          <w:sz w:val="32"/>
          <w:szCs w:val="32"/>
        </w:rPr>
        <w:t>财政拨款支出决算明细表（政府经济分类科目）</w:t>
      </w:r>
      <w:r>
        <w:rPr>
          <w:rFonts w:ascii="仿宋" w:hAnsi="仿宋" w:eastAsia="仿宋" w:cs="仿宋"/>
          <w:sz w:val="32"/>
          <w:szCs w:val="32"/>
        </w:rPr>
        <w:tab/>
      </w:r>
      <w:r>
        <w:rPr>
          <w:rFonts w:hint="eastAsia" w:ascii="仿宋" w:hAnsi="仿宋" w:eastAsia="仿宋" w:cs="仿宋"/>
          <w:sz w:val="32"/>
          <w:szCs w:val="32"/>
          <w:lang w:val="en-US" w:eastAsia="zh-CN"/>
        </w:rPr>
        <w:t>2</w:t>
      </w:r>
      <w:r>
        <w:rPr>
          <w:rFonts w:ascii="仿宋" w:hAnsi="仿宋" w:eastAsia="仿宋" w:cs="仿宋"/>
          <w:sz w:val="32"/>
          <w:szCs w:val="32"/>
        </w:rPr>
        <w:fldChar w:fldCharType="end"/>
      </w:r>
      <w:r>
        <w:rPr>
          <w:rFonts w:hint="eastAsia" w:ascii="仿宋" w:hAnsi="仿宋" w:eastAsia="仿宋" w:cs="仿宋"/>
          <w:sz w:val="32"/>
          <w:szCs w:val="32"/>
          <w:lang w:val="en-US" w:eastAsia="zh-CN"/>
        </w:rPr>
        <w:t>7</w:t>
      </w:r>
    </w:p>
    <w:p>
      <w:pPr>
        <w:pStyle w:val="11"/>
        <w:spacing w:line="576" w:lineRule="exact"/>
        <w:ind w:left="31680"/>
        <w:rPr>
          <w:rFonts w:hint="eastAsia" w:ascii="仿宋" w:hAnsi="仿宋" w:eastAsia="仿宋" w:cs="仿宋"/>
          <w:sz w:val="32"/>
          <w:szCs w:val="32"/>
          <w:lang w:val="en-US" w:eastAsia="zh-CN"/>
        </w:rPr>
      </w:pPr>
      <w:r>
        <w:rPr>
          <w:rFonts w:hint="eastAsia" w:ascii="仿宋" w:hAnsi="仿宋" w:eastAsia="仿宋" w:cs="仿宋"/>
          <w:sz w:val="32"/>
          <w:szCs w:val="32"/>
        </w:rPr>
        <w:t>六、</w:t>
      </w:r>
      <w:r>
        <w:fldChar w:fldCharType="begin"/>
      </w:r>
      <w:r>
        <w:instrText xml:space="preserve"> HYPERLINK \l "_Toc15396624" </w:instrText>
      </w:r>
      <w:r>
        <w:fldChar w:fldCharType="separate"/>
      </w:r>
      <w:r>
        <w:rPr>
          <w:rStyle w:val="15"/>
          <w:rFonts w:hint="eastAsia" w:ascii="仿宋" w:hAnsi="仿宋" w:eastAsia="仿宋" w:cs="仿宋"/>
          <w:sz w:val="32"/>
          <w:szCs w:val="32"/>
        </w:rPr>
        <w:t>一般公共预算财政拨款支出决算表</w:t>
      </w:r>
      <w:r>
        <w:rPr>
          <w:rFonts w:ascii="仿宋" w:hAnsi="仿宋" w:eastAsia="仿宋" w:cs="仿宋"/>
          <w:sz w:val="32"/>
          <w:szCs w:val="32"/>
        </w:rPr>
        <w:tab/>
      </w:r>
      <w:r>
        <w:rPr>
          <w:rFonts w:hint="eastAsia" w:ascii="仿宋" w:hAnsi="仿宋" w:eastAsia="仿宋" w:cs="仿宋"/>
          <w:sz w:val="32"/>
          <w:szCs w:val="32"/>
          <w:lang w:val="en-US" w:eastAsia="zh-CN"/>
        </w:rPr>
        <w:t>2</w:t>
      </w:r>
      <w:r>
        <w:rPr>
          <w:rFonts w:ascii="仿宋" w:hAnsi="仿宋" w:eastAsia="仿宋" w:cs="仿宋"/>
          <w:sz w:val="32"/>
          <w:szCs w:val="32"/>
        </w:rPr>
        <w:fldChar w:fldCharType="end"/>
      </w:r>
      <w:r>
        <w:rPr>
          <w:rFonts w:hint="eastAsia" w:ascii="仿宋" w:hAnsi="仿宋" w:eastAsia="仿宋" w:cs="仿宋"/>
          <w:sz w:val="32"/>
          <w:szCs w:val="32"/>
          <w:lang w:val="en-US" w:eastAsia="zh-CN"/>
        </w:rPr>
        <w:t>7</w:t>
      </w:r>
    </w:p>
    <w:p>
      <w:pPr>
        <w:pStyle w:val="11"/>
        <w:spacing w:line="576" w:lineRule="exact"/>
        <w:ind w:left="31680"/>
        <w:rPr>
          <w:rFonts w:hint="eastAsia" w:ascii="仿宋" w:hAnsi="仿宋" w:eastAsia="仿宋" w:cs="仿宋"/>
          <w:sz w:val="32"/>
          <w:szCs w:val="32"/>
          <w:lang w:val="en-US" w:eastAsia="zh-CN"/>
        </w:rPr>
      </w:pPr>
      <w:r>
        <w:rPr>
          <w:rFonts w:hint="eastAsia" w:ascii="仿宋" w:hAnsi="仿宋" w:eastAsia="仿宋" w:cs="仿宋"/>
          <w:sz w:val="32"/>
          <w:szCs w:val="32"/>
        </w:rPr>
        <w:t>七、</w:t>
      </w:r>
      <w:r>
        <w:fldChar w:fldCharType="begin"/>
      </w:r>
      <w:r>
        <w:instrText xml:space="preserve"> HYPERLINK \l "_Toc15396625" </w:instrText>
      </w:r>
      <w:r>
        <w:fldChar w:fldCharType="separate"/>
      </w:r>
      <w:r>
        <w:rPr>
          <w:rStyle w:val="15"/>
          <w:rFonts w:hint="eastAsia" w:ascii="仿宋" w:hAnsi="仿宋" w:eastAsia="仿宋" w:cs="仿宋"/>
          <w:sz w:val="32"/>
          <w:szCs w:val="32"/>
        </w:rPr>
        <w:t>一般公共预算财政拨款支出决算明细表</w:t>
      </w:r>
      <w:r>
        <w:rPr>
          <w:rFonts w:ascii="仿宋" w:hAnsi="仿宋" w:eastAsia="仿宋" w:cs="仿宋"/>
          <w:sz w:val="32"/>
          <w:szCs w:val="32"/>
        </w:rPr>
        <w:tab/>
      </w:r>
      <w:r>
        <w:rPr>
          <w:rFonts w:hint="eastAsia" w:ascii="仿宋" w:hAnsi="仿宋" w:eastAsia="仿宋" w:cs="仿宋"/>
          <w:sz w:val="32"/>
          <w:szCs w:val="32"/>
          <w:lang w:val="en-US" w:eastAsia="zh-CN"/>
        </w:rPr>
        <w:t>2</w:t>
      </w:r>
      <w:r>
        <w:rPr>
          <w:rFonts w:ascii="仿宋" w:hAnsi="仿宋" w:eastAsia="仿宋" w:cs="仿宋"/>
          <w:sz w:val="32"/>
          <w:szCs w:val="32"/>
        </w:rPr>
        <w:fldChar w:fldCharType="end"/>
      </w:r>
      <w:r>
        <w:rPr>
          <w:rFonts w:hint="eastAsia" w:ascii="仿宋" w:hAnsi="仿宋" w:eastAsia="仿宋" w:cs="仿宋"/>
          <w:sz w:val="32"/>
          <w:szCs w:val="32"/>
          <w:lang w:val="en-US" w:eastAsia="zh-CN"/>
        </w:rPr>
        <w:t>7</w:t>
      </w:r>
    </w:p>
    <w:p>
      <w:pPr>
        <w:pStyle w:val="11"/>
        <w:spacing w:line="576" w:lineRule="exact"/>
        <w:ind w:left="31680"/>
        <w:rPr>
          <w:rFonts w:hint="eastAsia" w:ascii="仿宋" w:hAnsi="仿宋" w:eastAsia="仿宋" w:cs="仿宋"/>
          <w:sz w:val="32"/>
          <w:szCs w:val="32"/>
          <w:lang w:val="en-US" w:eastAsia="zh-CN"/>
        </w:rPr>
      </w:pPr>
      <w:r>
        <w:rPr>
          <w:rFonts w:hint="eastAsia" w:ascii="仿宋" w:hAnsi="仿宋" w:eastAsia="仿宋" w:cs="仿宋"/>
          <w:sz w:val="32"/>
          <w:szCs w:val="32"/>
        </w:rPr>
        <w:t>八、</w:t>
      </w:r>
      <w:r>
        <w:fldChar w:fldCharType="begin"/>
      </w:r>
      <w:r>
        <w:instrText xml:space="preserve"> HYPERLINK \l "_Toc15396626" </w:instrText>
      </w:r>
      <w:r>
        <w:fldChar w:fldCharType="separate"/>
      </w:r>
      <w:r>
        <w:rPr>
          <w:rStyle w:val="15"/>
          <w:rFonts w:hint="eastAsia" w:ascii="仿宋" w:hAnsi="仿宋" w:eastAsia="仿宋" w:cs="仿宋"/>
          <w:sz w:val="32"/>
          <w:szCs w:val="32"/>
        </w:rPr>
        <w:t>一般公共预算财政拨款基本支出决算表</w:t>
      </w:r>
      <w:r>
        <w:rPr>
          <w:rFonts w:ascii="仿宋" w:hAnsi="仿宋" w:eastAsia="仿宋" w:cs="仿宋"/>
          <w:sz w:val="32"/>
          <w:szCs w:val="32"/>
        </w:rPr>
        <w:tab/>
      </w:r>
      <w:r>
        <w:rPr>
          <w:rFonts w:hint="eastAsia" w:ascii="仿宋" w:hAnsi="仿宋" w:eastAsia="仿宋" w:cs="仿宋"/>
          <w:sz w:val="32"/>
          <w:szCs w:val="32"/>
          <w:lang w:val="en-US" w:eastAsia="zh-CN"/>
        </w:rPr>
        <w:t>2</w:t>
      </w:r>
      <w:r>
        <w:rPr>
          <w:rFonts w:ascii="仿宋" w:hAnsi="仿宋" w:eastAsia="仿宋" w:cs="仿宋"/>
          <w:sz w:val="32"/>
          <w:szCs w:val="32"/>
        </w:rPr>
        <w:fldChar w:fldCharType="end"/>
      </w:r>
      <w:r>
        <w:rPr>
          <w:rFonts w:hint="eastAsia" w:ascii="仿宋" w:hAnsi="仿宋" w:eastAsia="仿宋" w:cs="仿宋"/>
          <w:sz w:val="32"/>
          <w:szCs w:val="32"/>
          <w:lang w:val="en-US" w:eastAsia="zh-CN"/>
        </w:rPr>
        <w:t>7</w:t>
      </w:r>
    </w:p>
    <w:p>
      <w:pPr>
        <w:pStyle w:val="11"/>
        <w:spacing w:line="576" w:lineRule="exact"/>
        <w:ind w:left="31680"/>
        <w:rPr>
          <w:rFonts w:hint="eastAsia" w:ascii="仿宋" w:hAnsi="仿宋" w:eastAsia="仿宋" w:cs="仿宋"/>
          <w:sz w:val="32"/>
          <w:szCs w:val="32"/>
          <w:lang w:val="en-US" w:eastAsia="zh-CN"/>
        </w:rPr>
      </w:pPr>
      <w:r>
        <w:rPr>
          <w:rFonts w:hint="eastAsia" w:ascii="仿宋" w:hAnsi="仿宋" w:eastAsia="仿宋" w:cs="仿宋"/>
          <w:sz w:val="32"/>
          <w:szCs w:val="32"/>
        </w:rPr>
        <w:t>九、</w:t>
      </w:r>
      <w:r>
        <w:fldChar w:fldCharType="begin"/>
      </w:r>
      <w:r>
        <w:instrText xml:space="preserve"> HYPERLINK \l "_Toc15396627" </w:instrText>
      </w:r>
      <w:r>
        <w:fldChar w:fldCharType="separate"/>
      </w:r>
      <w:r>
        <w:rPr>
          <w:rStyle w:val="15"/>
          <w:rFonts w:hint="eastAsia" w:ascii="仿宋" w:hAnsi="仿宋" w:eastAsia="仿宋" w:cs="仿宋"/>
          <w:sz w:val="32"/>
          <w:szCs w:val="32"/>
        </w:rPr>
        <w:t>一般公共预算财政拨款项目支出决算表</w:t>
      </w:r>
      <w:r>
        <w:rPr>
          <w:rFonts w:ascii="仿宋" w:hAnsi="仿宋" w:eastAsia="仿宋" w:cs="仿宋"/>
          <w:sz w:val="32"/>
          <w:szCs w:val="32"/>
        </w:rPr>
        <w:tab/>
      </w:r>
      <w:r>
        <w:rPr>
          <w:rFonts w:hint="eastAsia" w:ascii="仿宋" w:hAnsi="仿宋" w:eastAsia="仿宋" w:cs="仿宋"/>
          <w:sz w:val="32"/>
          <w:szCs w:val="32"/>
          <w:lang w:val="en-US" w:eastAsia="zh-CN"/>
        </w:rPr>
        <w:t>2</w:t>
      </w:r>
      <w:r>
        <w:rPr>
          <w:rFonts w:ascii="仿宋" w:hAnsi="仿宋" w:eastAsia="仿宋" w:cs="仿宋"/>
          <w:sz w:val="32"/>
          <w:szCs w:val="32"/>
        </w:rPr>
        <w:fldChar w:fldCharType="end"/>
      </w:r>
      <w:r>
        <w:rPr>
          <w:rFonts w:hint="eastAsia" w:ascii="仿宋" w:hAnsi="仿宋" w:eastAsia="仿宋" w:cs="仿宋"/>
          <w:sz w:val="32"/>
          <w:szCs w:val="32"/>
          <w:lang w:val="en-US" w:eastAsia="zh-CN"/>
        </w:rPr>
        <w:t>7</w:t>
      </w:r>
    </w:p>
    <w:p>
      <w:pPr>
        <w:pStyle w:val="11"/>
        <w:spacing w:line="576" w:lineRule="exact"/>
        <w:ind w:left="31680"/>
        <w:rPr>
          <w:rFonts w:hint="eastAsia" w:ascii="仿宋" w:hAnsi="仿宋" w:eastAsia="仿宋" w:cs="仿宋"/>
          <w:sz w:val="32"/>
          <w:szCs w:val="32"/>
          <w:lang w:val="en-US" w:eastAsia="zh-CN"/>
        </w:rPr>
      </w:pPr>
      <w:r>
        <w:rPr>
          <w:rFonts w:hint="eastAsia" w:ascii="仿宋" w:hAnsi="仿宋" w:eastAsia="仿宋" w:cs="仿宋"/>
          <w:sz w:val="32"/>
          <w:szCs w:val="32"/>
        </w:rPr>
        <w:t>十、</w:t>
      </w:r>
      <w:r>
        <w:fldChar w:fldCharType="begin"/>
      </w:r>
      <w:r>
        <w:instrText xml:space="preserve"> HYPERLINK \l "_Toc15396628" </w:instrText>
      </w:r>
      <w:r>
        <w:fldChar w:fldCharType="separate"/>
      </w:r>
      <w:r>
        <w:rPr>
          <w:rStyle w:val="15"/>
          <w:rFonts w:hint="eastAsia" w:ascii="仿宋" w:hAnsi="仿宋" w:eastAsia="仿宋" w:cs="仿宋"/>
          <w:sz w:val="32"/>
          <w:szCs w:val="32"/>
        </w:rPr>
        <w:t>一般公共预算财政拨款“三公”经费支出决算表</w:t>
      </w:r>
      <w:r>
        <w:rPr>
          <w:rFonts w:ascii="仿宋" w:hAnsi="仿宋" w:eastAsia="仿宋" w:cs="仿宋"/>
          <w:sz w:val="32"/>
          <w:szCs w:val="32"/>
        </w:rPr>
        <w:tab/>
      </w:r>
      <w:r>
        <w:rPr>
          <w:rFonts w:hint="eastAsia" w:ascii="仿宋" w:hAnsi="仿宋" w:eastAsia="仿宋" w:cs="仿宋"/>
          <w:sz w:val="32"/>
          <w:szCs w:val="32"/>
          <w:lang w:val="en-US" w:eastAsia="zh-CN"/>
        </w:rPr>
        <w:t>2</w:t>
      </w:r>
      <w:r>
        <w:rPr>
          <w:rFonts w:ascii="仿宋" w:hAnsi="仿宋" w:eastAsia="仿宋" w:cs="仿宋"/>
          <w:sz w:val="32"/>
          <w:szCs w:val="32"/>
        </w:rPr>
        <w:fldChar w:fldCharType="end"/>
      </w:r>
      <w:r>
        <w:rPr>
          <w:rFonts w:hint="eastAsia" w:ascii="仿宋" w:hAnsi="仿宋" w:eastAsia="仿宋" w:cs="仿宋"/>
          <w:sz w:val="32"/>
          <w:szCs w:val="32"/>
          <w:lang w:val="en-US" w:eastAsia="zh-CN"/>
        </w:rPr>
        <w:t>7</w:t>
      </w:r>
    </w:p>
    <w:p>
      <w:pPr>
        <w:pStyle w:val="11"/>
        <w:spacing w:line="576" w:lineRule="exact"/>
        <w:ind w:left="31680"/>
        <w:rPr>
          <w:rFonts w:hint="eastAsia" w:ascii="仿宋" w:hAnsi="仿宋" w:eastAsia="仿宋" w:cs="仿宋"/>
          <w:sz w:val="32"/>
          <w:szCs w:val="32"/>
          <w:lang w:val="en-US" w:eastAsia="zh-CN"/>
        </w:rPr>
      </w:pPr>
      <w:r>
        <w:rPr>
          <w:rFonts w:hint="eastAsia" w:ascii="仿宋" w:hAnsi="仿宋" w:eastAsia="仿宋" w:cs="仿宋"/>
          <w:sz w:val="32"/>
          <w:szCs w:val="32"/>
        </w:rPr>
        <w:t>十一、</w:t>
      </w:r>
      <w:r>
        <w:fldChar w:fldCharType="begin"/>
      </w:r>
      <w:r>
        <w:instrText xml:space="preserve"> HYPERLINK \l "_Toc15396629" </w:instrText>
      </w:r>
      <w:r>
        <w:fldChar w:fldCharType="separate"/>
      </w:r>
      <w:r>
        <w:rPr>
          <w:rStyle w:val="15"/>
          <w:rFonts w:hint="eastAsia" w:ascii="仿宋" w:hAnsi="仿宋" w:eastAsia="仿宋" w:cs="仿宋"/>
          <w:sz w:val="32"/>
          <w:szCs w:val="32"/>
        </w:rPr>
        <w:t>政府性基金预算财政拨款收入支出决算表</w:t>
      </w:r>
      <w:r>
        <w:rPr>
          <w:rFonts w:ascii="仿宋" w:hAnsi="仿宋" w:eastAsia="仿宋" w:cs="仿宋"/>
          <w:sz w:val="32"/>
          <w:szCs w:val="32"/>
        </w:rPr>
        <w:tab/>
      </w:r>
      <w:r>
        <w:rPr>
          <w:rFonts w:hint="eastAsia" w:ascii="仿宋" w:hAnsi="仿宋" w:eastAsia="仿宋" w:cs="仿宋"/>
          <w:sz w:val="32"/>
          <w:szCs w:val="32"/>
          <w:lang w:val="en-US" w:eastAsia="zh-CN"/>
        </w:rPr>
        <w:t>2</w:t>
      </w:r>
      <w:r>
        <w:rPr>
          <w:rFonts w:ascii="仿宋" w:hAnsi="仿宋" w:eastAsia="仿宋" w:cs="仿宋"/>
          <w:sz w:val="32"/>
          <w:szCs w:val="32"/>
        </w:rPr>
        <w:fldChar w:fldCharType="end"/>
      </w:r>
      <w:r>
        <w:rPr>
          <w:rFonts w:hint="eastAsia" w:ascii="仿宋" w:hAnsi="仿宋" w:eastAsia="仿宋" w:cs="仿宋"/>
          <w:sz w:val="32"/>
          <w:szCs w:val="32"/>
          <w:lang w:val="en-US" w:eastAsia="zh-CN"/>
        </w:rPr>
        <w:t>7</w:t>
      </w:r>
    </w:p>
    <w:p>
      <w:pPr>
        <w:pStyle w:val="11"/>
        <w:spacing w:line="576" w:lineRule="exact"/>
        <w:ind w:left="31680"/>
        <w:rPr>
          <w:rFonts w:hint="eastAsia" w:ascii="仿宋" w:hAnsi="仿宋" w:eastAsia="仿宋" w:cs="仿宋"/>
          <w:sz w:val="32"/>
          <w:szCs w:val="32"/>
          <w:lang w:val="en-US" w:eastAsia="zh-CN"/>
        </w:rPr>
      </w:pPr>
      <w:r>
        <w:rPr>
          <w:rFonts w:hint="eastAsia" w:ascii="仿宋" w:hAnsi="仿宋" w:eastAsia="仿宋" w:cs="仿宋"/>
          <w:sz w:val="32"/>
          <w:szCs w:val="32"/>
        </w:rPr>
        <w:t>十二、</w:t>
      </w:r>
      <w:r>
        <w:fldChar w:fldCharType="begin"/>
      </w:r>
      <w:r>
        <w:instrText xml:space="preserve"> HYPERLINK \l "_Toc15396630" </w:instrText>
      </w:r>
      <w:r>
        <w:fldChar w:fldCharType="separate"/>
      </w:r>
      <w:r>
        <w:rPr>
          <w:rStyle w:val="15"/>
          <w:rFonts w:hint="eastAsia" w:ascii="仿宋" w:hAnsi="仿宋" w:eastAsia="仿宋" w:cs="仿宋"/>
          <w:sz w:val="32"/>
          <w:szCs w:val="32"/>
        </w:rPr>
        <w:t>政府性基金预算财政拨款“三公”经费支出决算表</w:t>
      </w:r>
      <w:r>
        <w:rPr>
          <w:rFonts w:ascii="仿宋" w:hAnsi="仿宋" w:eastAsia="仿宋" w:cs="仿宋"/>
          <w:sz w:val="32"/>
          <w:szCs w:val="32"/>
        </w:rPr>
        <w:tab/>
      </w:r>
      <w:r>
        <w:rPr>
          <w:rFonts w:hint="eastAsia" w:ascii="仿宋" w:hAnsi="仿宋" w:eastAsia="仿宋" w:cs="仿宋"/>
          <w:sz w:val="32"/>
          <w:szCs w:val="32"/>
          <w:lang w:val="en-US" w:eastAsia="zh-CN"/>
        </w:rPr>
        <w:t>2</w:t>
      </w:r>
      <w:r>
        <w:rPr>
          <w:rFonts w:ascii="仿宋" w:hAnsi="仿宋" w:eastAsia="仿宋" w:cs="仿宋"/>
          <w:sz w:val="32"/>
          <w:szCs w:val="32"/>
        </w:rPr>
        <w:fldChar w:fldCharType="end"/>
      </w:r>
      <w:r>
        <w:rPr>
          <w:rFonts w:hint="eastAsia" w:ascii="仿宋" w:hAnsi="仿宋" w:eastAsia="仿宋" w:cs="仿宋"/>
          <w:sz w:val="32"/>
          <w:szCs w:val="32"/>
          <w:lang w:val="en-US" w:eastAsia="zh-CN"/>
        </w:rPr>
        <w:t>7</w:t>
      </w:r>
    </w:p>
    <w:p>
      <w:pPr>
        <w:pStyle w:val="11"/>
        <w:spacing w:line="576" w:lineRule="exact"/>
        <w:ind w:left="31680"/>
        <w:rPr>
          <w:rFonts w:hint="eastAsia" w:ascii="仿宋" w:hAnsi="仿宋" w:eastAsia="仿宋" w:cs="仿宋"/>
          <w:sz w:val="32"/>
          <w:szCs w:val="32"/>
          <w:lang w:val="en-US" w:eastAsia="zh-CN"/>
        </w:rPr>
      </w:pPr>
      <w:r>
        <w:rPr>
          <w:rFonts w:hint="eastAsia" w:ascii="仿宋" w:hAnsi="仿宋" w:eastAsia="仿宋" w:cs="仿宋"/>
          <w:sz w:val="32"/>
          <w:szCs w:val="32"/>
        </w:rPr>
        <w:t>十三、</w:t>
      </w:r>
      <w:r>
        <w:fldChar w:fldCharType="begin"/>
      </w:r>
      <w:r>
        <w:instrText xml:space="preserve"> HYPERLINK \l "_Toc15396631" </w:instrText>
      </w:r>
      <w:r>
        <w:fldChar w:fldCharType="separate"/>
      </w:r>
      <w:r>
        <w:rPr>
          <w:rStyle w:val="15"/>
          <w:rFonts w:hint="eastAsia" w:ascii="仿宋" w:hAnsi="仿宋" w:eastAsia="仿宋" w:cs="仿宋"/>
          <w:sz w:val="32"/>
          <w:szCs w:val="32"/>
        </w:rPr>
        <w:t>国有资本经营预算支出决算表</w:t>
      </w:r>
      <w:r>
        <w:rPr>
          <w:rFonts w:ascii="仿宋" w:hAnsi="仿宋" w:eastAsia="仿宋" w:cs="仿宋"/>
          <w:sz w:val="32"/>
          <w:szCs w:val="32"/>
        </w:rPr>
        <w:tab/>
      </w:r>
      <w:r>
        <w:rPr>
          <w:rFonts w:hint="eastAsia" w:ascii="仿宋" w:hAnsi="仿宋" w:eastAsia="仿宋" w:cs="仿宋"/>
          <w:sz w:val="32"/>
          <w:szCs w:val="32"/>
          <w:lang w:val="en-US" w:eastAsia="zh-CN"/>
        </w:rPr>
        <w:t>2</w:t>
      </w:r>
      <w:r>
        <w:rPr>
          <w:rFonts w:ascii="仿宋" w:hAnsi="仿宋" w:eastAsia="仿宋" w:cs="仿宋"/>
          <w:sz w:val="32"/>
          <w:szCs w:val="32"/>
        </w:rPr>
        <w:fldChar w:fldCharType="end"/>
      </w:r>
      <w:r>
        <w:rPr>
          <w:rFonts w:hint="eastAsia" w:ascii="仿宋" w:hAnsi="仿宋" w:eastAsia="仿宋" w:cs="仿宋"/>
          <w:sz w:val="32"/>
          <w:szCs w:val="32"/>
          <w:lang w:val="en-US" w:eastAsia="zh-CN"/>
        </w:rPr>
        <w:t>7</w:t>
      </w:r>
    </w:p>
    <w:p>
      <w:pPr>
        <w:widowControl/>
        <w:spacing w:line="576" w:lineRule="exact"/>
        <w:jc w:val="left"/>
        <w:rPr>
          <w:rFonts w:ascii="仿宋" w:hAnsi="仿宋" w:eastAsia="仿宋"/>
          <w:color w:val="000000"/>
          <w:sz w:val="24"/>
        </w:rPr>
      </w:pPr>
      <w:r>
        <w:rPr>
          <w:rFonts w:ascii="黑体" w:hAnsi="黑体" w:eastAsia="黑体"/>
          <w:color w:val="000000"/>
          <w:sz w:val="48"/>
          <w:szCs w:val="48"/>
        </w:rPr>
        <w:fldChar w:fldCharType="end"/>
      </w:r>
    </w:p>
    <w:p>
      <w:pPr>
        <w:widowControl/>
        <w:jc w:val="left"/>
        <w:rPr>
          <w:rFonts w:ascii="仿宋" w:hAnsi="仿宋" w:eastAsia="仿宋"/>
          <w:color w:val="000000"/>
          <w:sz w:val="24"/>
        </w:rPr>
      </w:pPr>
    </w:p>
    <w:p>
      <w:pPr>
        <w:widowControl/>
        <w:jc w:val="left"/>
        <w:rPr>
          <w:rFonts w:ascii="仿宋" w:hAnsi="仿宋" w:eastAsia="仿宋"/>
          <w:color w:val="000000"/>
          <w:sz w:val="24"/>
        </w:rPr>
      </w:pPr>
    </w:p>
    <w:p>
      <w:pPr>
        <w:adjustRightInd w:val="0"/>
        <w:snapToGrid w:val="0"/>
        <w:spacing w:line="576" w:lineRule="exact"/>
        <w:jc w:val="center"/>
        <w:outlineLvl w:val="0"/>
        <w:rPr>
          <w:rFonts w:ascii="方正小标宋简体" w:hAnsi="方正小标宋简体" w:eastAsia="方正小标宋简体" w:cs="方正小标宋简体"/>
          <w:sz w:val="44"/>
          <w:szCs w:val="44"/>
        </w:rPr>
      </w:pPr>
      <w:bookmarkStart w:id="12" w:name="_Toc15377196"/>
      <w:bookmarkStart w:id="13" w:name="_Toc15396599"/>
    </w:p>
    <w:p>
      <w:pPr>
        <w:adjustRightInd w:val="0"/>
        <w:snapToGrid w:val="0"/>
        <w:spacing w:line="576" w:lineRule="exact"/>
        <w:jc w:val="center"/>
        <w:outlineLvl w:val="0"/>
        <w:rPr>
          <w:rFonts w:ascii="方正小标宋简体" w:hAnsi="方正小标宋简体" w:eastAsia="方正小标宋简体" w:cs="方正小标宋简体"/>
          <w:sz w:val="44"/>
          <w:szCs w:val="44"/>
        </w:rPr>
      </w:pPr>
    </w:p>
    <w:p>
      <w:pPr>
        <w:adjustRightInd w:val="0"/>
        <w:snapToGrid w:val="0"/>
        <w:spacing w:line="576" w:lineRule="exact"/>
        <w:jc w:val="center"/>
        <w:outlineLvl w:val="0"/>
        <w:rPr>
          <w:rFonts w:ascii="方正小标宋简体" w:hAnsi="方正小标宋简体" w:eastAsia="方正小标宋简体" w:cs="方正小标宋简体"/>
          <w:sz w:val="44"/>
          <w:szCs w:val="44"/>
        </w:rPr>
      </w:pPr>
    </w:p>
    <w:p>
      <w:pPr>
        <w:adjustRightInd w:val="0"/>
        <w:snapToGrid w:val="0"/>
        <w:spacing w:line="576" w:lineRule="exact"/>
        <w:jc w:val="center"/>
        <w:outlineLvl w:val="0"/>
        <w:rPr>
          <w:rFonts w:ascii="方正小标宋简体" w:hAnsi="方正小标宋简体" w:eastAsia="方正小标宋简体" w:cs="方正小标宋简体"/>
          <w:sz w:val="44"/>
          <w:szCs w:val="44"/>
        </w:rPr>
      </w:pPr>
    </w:p>
    <w:p>
      <w:pPr>
        <w:adjustRightInd w:val="0"/>
        <w:snapToGrid w:val="0"/>
        <w:spacing w:line="576" w:lineRule="exact"/>
        <w:jc w:val="center"/>
        <w:outlineLvl w:val="0"/>
        <w:rPr>
          <w:rFonts w:ascii="方正小标宋简体" w:hAnsi="方正小标宋简体" w:eastAsia="方正小标宋简体" w:cs="方正小标宋简体"/>
          <w:sz w:val="44"/>
          <w:szCs w:val="44"/>
        </w:rPr>
      </w:pPr>
    </w:p>
    <w:p>
      <w:pPr>
        <w:adjustRightInd w:val="0"/>
        <w:snapToGrid w:val="0"/>
        <w:spacing w:line="576" w:lineRule="exact"/>
        <w:jc w:val="center"/>
        <w:outlineLvl w:val="0"/>
        <w:rPr>
          <w:rFonts w:ascii="方正小标宋简体" w:hAnsi="方正小标宋简体" w:eastAsia="方正小标宋简体" w:cs="方正小标宋简体"/>
          <w:sz w:val="44"/>
          <w:szCs w:val="44"/>
        </w:rPr>
      </w:pPr>
    </w:p>
    <w:p>
      <w:pPr>
        <w:adjustRightInd w:val="0"/>
        <w:snapToGrid w:val="0"/>
        <w:spacing w:line="576" w:lineRule="exact"/>
        <w:jc w:val="center"/>
        <w:outlineLvl w:val="0"/>
        <w:rPr>
          <w:rFonts w:ascii="方正小标宋简体" w:hAnsi="方正小标宋简体" w:eastAsia="方正小标宋简体" w:cs="方正小标宋简体"/>
          <w:sz w:val="44"/>
          <w:szCs w:val="44"/>
        </w:rPr>
      </w:pPr>
    </w:p>
    <w:p>
      <w:pPr>
        <w:adjustRightInd w:val="0"/>
        <w:snapToGrid w:val="0"/>
        <w:spacing w:line="576" w:lineRule="exact"/>
        <w:jc w:val="center"/>
        <w:outlineLvl w:val="0"/>
        <w:rPr>
          <w:rFonts w:ascii="方正小标宋简体" w:hAnsi="方正小标宋简体" w:eastAsia="方正小标宋简体" w:cs="方正小标宋简体"/>
          <w:sz w:val="44"/>
          <w:szCs w:val="44"/>
        </w:rPr>
      </w:pPr>
    </w:p>
    <w:p>
      <w:pPr>
        <w:adjustRightInd w:val="0"/>
        <w:snapToGrid w:val="0"/>
        <w:spacing w:line="576" w:lineRule="exact"/>
        <w:jc w:val="center"/>
        <w:outlineLvl w:val="0"/>
        <w:rPr>
          <w:rFonts w:ascii="方正小标宋简体" w:hAnsi="方正小标宋简体" w:eastAsia="方正小标宋简体" w:cs="方正小标宋简体"/>
          <w:sz w:val="44"/>
          <w:szCs w:val="44"/>
        </w:rPr>
      </w:pPr>
    </w:p>
    <w:p>
      <w:pPr>
        <w:adjustRightInd w:val="0"/>
        <w:snapToGrid w:val="0"/>
        <w:spacing w:line="576" w:lineRule="exact"/>
        <w:jc w:val="center"/>
        <w:outlineLvl w:val="0"/>
        <w:rPr>
          <w:rFonts w:ascii="方正小标宋简体" w:hAnsi="方正小标宋简体" w:eastAsia="方正小标宋简体" w:cs="方正小标宋简体"/>
          <w:sz w:val="44"/>
          <w:szCs w:val="44"/>
        </w:rPr>
      </w:pPr>
    </w:p>
    <w:p>
      <w:pPr>
        <w:adjustRightInd w:val="0"/>
        <w:snapToGrid w:val="0"/>
        <w:spacing w:line="576" w:lineRule="exact"/>
        <w:jc w:val="center"/>
        <w:outlineLvl w:val="0"/>
        <w:rPr>
          <w:rFonts w:ascii="方正小标宋简体" w:hAnsi="方正小标宋简体" w:eastAsia="方正小标宋简体" w:cs="方正小标宋简体"/>
          <w:sz w:val="44"/>
          <w:szCs w:val="44"/>
        </w:rPr>
      </w:pPr>
    </w:p>
    <w:p>
      <w:pPr>
        <w:adjustRightInd w:val="0"/>
        <w:snapToGrid w:val="0"/>
        <w:spacing w:line="576" w:lineRule="exact"/>
        <w:jc w:val="center"/>
        <w:outlineLvl w:val="0"/>
        <w:rPr>
          <w:rFonts w:ascii="仿宋_GB2312" w:hAnsi="仿宋_GB2312" w:eastAsia="仿宋_GB2312" w:cs="仿宋_GB2312"/>
          <w:color w:val="000000"/>
          <w:sz w:val="32"/>
          <w:szCs w:val="32"/>
        </w:rPr>
      </w:pPr>
      <w:r>
        <w:rPr>
          <w:rFonts w:hint="eastAsia" w:ascii="方正小标宋简体" w:hAnsi="方正小标宋简体" w:eastAsia="方正小标宋简体" w:cs="方正小标宋简体"/>
          <w:sz w:val="44"/>
          <w:szCs w:val="44"/>
        </w:rPr>
        <w:t>第一部分</w:t>
      </w:r>
      <w:r>
        <w:rPr>
          <w:rFonts w:ascii="方正小标宋简体" w:hAnsi="方正小标宋简体" w:eastAsia="方正小标宋简体" w:cs="方正小标宋简体"/>
          <w:sz w:val="44"/>
          <w:szCs w:val="44"/>
        </w:rPr>
        <w:t xml:space="preserve"> </w:t>
      </w:r>
      <w:r>
        <w:rPr>
          <w:rStyle w:val="16"/>
          <w:rFonts w:hint="eastAsia" w:ascii="方正小标宋简体" w:hAnsi="方正小标宋简体" w:eastAsia="方正小标宋简体" w:cs="方正小标宋简体"/>
          <w:b w:val="0"/>
          <w:bCs w:val="0"/>
        </w:rPr>
        <w:t>部门概况</w:t>
      </w:r>
      <w:bookmarkEnd w:id="12"/>
      <w:bookmarkEnd w:id="13"/>
      <w:bookmarkStart w:id="14" w:name="_Toc15377197"/>
      <w:bookmarkStart w:id="15" w:name="_Toc15396600"/>
    </w:p>
    <w:p>
      <w:pPr>
        <w:adjustRightInd w:val="0"/>
        <w:snapToGrid w:val="0"/>
        <w:spacing w:line="576" w:lineRule="exact"/>
        <w:ind w:firstLine="640" w:firstLineChars="200"/>
        <w:outlineLvl w:val="0"/>
        <w:rPr>
          <w:rFonts w:ascii="黑体" w:hAnsi="黑体" w:eastAsia="黑体" w:cs="黑体"/>
          <w:color w:val="000000"/>
          <w:sz w:val="32"/>
          <w:szCs w:val="32"/>
        </w:rPr>
      </w:pPr>
    </w:p>
    <w:p>
      <w:pPr>
        <w:adjustRightInd w:val="0"/>
        <w:snapToGrid w:val="0"/>
        <w:spacing w:line="576" w:lineRule="exact"/>
        <w:ind w:firstLine="640" w:firstLineChars="200"/>
        <w:outlineLvl w:val="0"/>
        <w:rPr>
          <w:rFonts w:ascii="黑体" w:hAnsi="黑体" w:eastAsia="黑体"/>
          <w:color w:val="000000"/>
          <w:sz w:val="48"/>
          <w:szCs w:val="48"/>
        </w:rPr>
      </w:pPr>
      <w:r>
        <w:rPr>
          <w:rFonts w:hint="eastAsia" w:ascii="黑体" w:hAnsi="黑体" w:eastAsia="黑体" w:cs="黑体"/>
          <w:color w:val="000000"/>
          <w:sz w:val="32"/>
          <w:szCs w:val="32"/>
        </w:rPr>
        <w:t>一、基</w:t>
      </w:r>
      <w:r>
        <w:rPr>
          <w:rStyle w:val="17"/>
          <w:rFonts w:hint="eastAsia" w:ascii="黑体" w:hAnsi="黑体" w:eastAsia="黑体" w:cs="黑体"/>
          <w:b w:val="0"/>
          <w:bCs w:val="0"/>
        </w:rPr>
        <w:t>本职能及主要工作</w:t>
      </w:r>
      <w:bookmarkEnd w:id="14"/>
      <w:bookmarkEnd w:id="15"/>
      <w:bookmarkStart w:id="16" w:name="_Toc15378445"/>
      <w:bookmarkStart w:id="17" w:name="_Toc15377198"/>
    </w:p>
    <w:p>
      <w:pPr>
        <w:spacing w:line="576" w:lineRule="exact"/>
        <w:ind w:firstLine="640" w:firstLineChars="200"/>
        <w:outlineLvl w:val="1"/>
        <w:rPr>
          <w:rFonts w:ascii="仿宋" w:hAnsi="仿宋" w:eastAsia="仿宋"/>
          <w:bCs/>
          <w:color w:val="000000"/>
          <w:sz w:val="32"/>
          <w:szCs w:val="32"/>
        </w:rPr>
      </w:pPr>
      <w:r>
        <w:rPr>
          <w:rFonts w:hint="eastAsia" w:ascii="楷体_GB2312" w:hAnsi="仿宋" w:eastAsia="楷体_GB2312"/>
          <w:bCs/>
          <w:color w:val="000000"/>
          <w:sz w:val="32"/>
          <w:szCs w:val="32"/>
        </w:rPr>
        <w:t>（一）基本职能</w:t>
      </w:r>
      <w:bookmarkEnd w:id="16"/>
      <w:bookmarkEnd w:id="17"/>
    </w:p>
    <w:p>
      <w:pPr>
        <w:widowControl/>
        <w:spacing w:line="576"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根据全县的总体规划，负责制定工业园区发展的中长期规划；负责招商引资的协调服务；积极组织项目投资洽谈活动。</w:t>
      </w:r>
    </w:p>
    <w:p>
      <w:pPr>
        <w:spacing w:line="576" w:lineRule="exact"/>
        <w:ind w:firstLine="640" w:firstLineChars="200"/>
        <w:rPr>
          <w:rStyle w:val="17"/>
          <w:rFonts w:ascii="黑体" w:hAnsi="黑体" w:eastAsia="黑体"/>
          <w:b w:val="0"/>
          <w:bCs w:val="0"/>
        </w:rPr>
      </w:pPr>
      <w:bookmarkStart w:id="18" w:name="_Toc15377199"/>
      <w:bookmarkStart w:id="19" w:name="_Toc15378446"/>
      <w:r>
        <w:rPr>
          <w:rFonts w:hint="eastAsia" w:ascii="楷体_GB2312" w:hAnsi="仿宋" w:eastAsia="楷体_GB2312"/>
          <w:bCs/>
          <w:color w:val="000000"/>
          <w:sz w:val="32"/>
          <w:szCs w:val="32"/>
        </w:rPr>
        <w:t>（二）</w:t>
      </w:r>
      <w:r>
        <w:rPr>
          <w:rFonts w:ascii="楷体_GB2312" w:hAnsi="仿宋" w:eastAsia="楷体_GB2312"/>
          <w:bCs/>
          <w:color w:val="000000"/>
          <w:sz w:val="32"/>
          <w:szCs w:val="32"/>
        </w:rPr>
        <w:t>2018</w:t>
      </w:r>
      <w:r>
        <w:rPr>
          <w:rFonts w:hint="eastAsia" w:ascii="楷体_GB2312" w:hAnsi="仿宋" w:eastAsia="楷体_GB2312"/>
          <w:bCs/>
          <w:color w:val="000000"/>
          <w:sz w:val="32"/>
          <w:szCs w:val="32"/>
        </w:rPr>
        <w:t>年重点工作完成情况</w:t>
      </w:r>
      <w:bookmarkEnd w:id="18"/>
      <w:bookmarkEnd w:id="19"/>
    </w:p>
    <w:p>
      <w:pPr>
        <w:spacing w:line="576" w:lineRule="exact"/>
        <w:ind w:firstLine="640" w:firstLineChars="200"/>
        <w:rPr>
          <w:rFonts w:ascii="仿宋_GB2312" w:eastAsia="仿宋_GB2312"/>
          <w:sz w:val="32"/>
          <w:szCs w:val="32"/>
        </w:rPr>
      </w:pPr>
      <w:bookmarkStart w:id="20" w:name="_Toc15377200"/>
      <w:bookmarkStart w:id="21" w:name="_Toc15396601"/>
      <w:r>
        <w:rPr>
          <w:rFonts w:ascii="仿宋_GB2312" w:hAnsi="华文楷体" w:eastAsia="仿宋_GB2312"/>
          <w:sz w:val="32"/>
          <w:szCs w:val="32"/>
        </w:rPr>
        <w:t>1.</w:t>
      </w:r>
      <w:r>
        <w:t xml:space="preserve"> </w:t>
      </w:r>
      <w:r>
        <w:rPr>
          <w:rFonts w:hint="eastAsia" w:ascii="仿宋_GB2312" w:eastAsia="仿宋_GB2312"/>
          <w:sz w:val="32"/>
          <w:szCs w:val="32"/>
        </w:rPr>
        <w:t>经济指标完成情况。</w:t>
      </w:r>
      <w:r>
        <w:rPr>
          <w:rFonts w:ascii="仿宋_GB2312" w:eastAsia="仿宋_GB2312"/>
          <w:sz w:val="32"/>
          <w:szCs w:val="32"/>
        </w:rPr>
        <w:t>1—12</w:t>
      </w:r>
      <w:r>
        <w:rPr>
          <w:rFonts w:hint="eastAsia" w:ascii="仿宋_GB2312" w:eastAsia="仿宋_GB2312"/>
          <w:sz w:val="32"/>
          <w:szCs w:val="32"/>
        </w:rPr>
        <w:t>月，在规上企业的有力拉动下，园区规模以上工业完成总产值</w:t>
      </w:r>
      <w:r>
        <w:rPr>
          <w:rFonts w:ascii="仿宋_GB2312" w:eastAsia="仿宋_GB2312"/>
          <w:sz w:val="32"/>
          <w:szCs w:val="32"/>
        </w:rPr>
        <w:t>26.88</w:t>
      </w:r>
      <w:r>
        <w:rPr>
          <w:rFonts w:hint="eastAsia" w:ascii="仿宋_GB2312" w:eastAsia="仿宋_GB2312"/>
          <w:sz w:val="32"/>
          <w:szCs w:val="32"/>
        </w:rPr>
        <w:t>亿元，完成工业增加值</w:t>
      </w:r>
      <w:r>
        <w:rPr>
          <w:rFonts w:ascii="仿宋_GB2312" w:eastAsia="仿宋_GB2312"/>
          <w:sz w:val="32"/>
          <w:szCs w:val="32"/>
        </w:rPr>
        <w:t>3.04</w:t>
      </w:r>
      <w:r>
        <w:rPr>
          <w:rFonts w:hint="eastAsia" w:ascii="仿宋_GB2312" w:eastAsia="仿宋_GB2312"/>
          <w:sz w:val="32"/>
          <w:szCs w:val="32"/>
        </w:rPr>
        <w:t>亿元。</w:t>
      </w:r>
    </w:p>
    <w:p>
      <w:pPr>
        <w:spacing w:line="576" w:lineRule="exact"/>
        <w:ind w:firstLine="640" w:firstLineChars="200"/>
        <w:rPr>
          <w:rFonts w:ascii="仿宋_GB2312" w:eastAsia="仿宋_GB2312"/>
          <w:sz w:val="32"/>
          <w:szCs w:val="32"/>
        </w:rPr>
      </w:pPr>
      <w:r>
        <w:rPr>
          <w:rFonts w:ascii="仿宋_GB2312" w:hAnsi="华文楷体" w:eastAsia="仿宋_GB2312"/>
          <w:sz w:val="32"/>
          <w:szCs w:val="32"/>
        </w:rPr>
        <w:t>2.</w:t>
      </w:r>
      <w:r>
        <w:t xml:space="preserve"> </w:t>
      </w:r>
      <w:r>
        <w:rPr>
          <w:rFonts w:hint="eastAsia" w:ascii="仿宋_GB2312" w:eastAsia="仿宋_GB2312"/>
          <w:sz w:val="32"/>
          <w:szCs w:val="32"/>
        </w:rPr>
        <w:t>园区基础设施不断完善，保障能力不断提高。恢复污水处理厂的改造工作，通过半年多的试运行，目前槽木集中区生活污水处理厂运行正常，每天处理污水约</w:t>
      </w:r>
      <w:r>
        <w:rPr>
          <w:rFonts w:ascii="仿宋_GB2312" w:eastAsia="仿宋_GB2312"/>
          <w:sz w:val="32"/>
          <w:szCs w:val="32"/>
        </w:rPr>
        <w:t>300</w:t>
      </w:r>
      <w:r>
        <w:rPr>
          <w:rFonts w:hint="eastAsia" w:ascii="仿宋_GB2312" w:eastAsia="仿宋_GB2312"/>
          <w:sz w:val="32"/>
          <w:szCs w:val="32"/>
        </w:rPr>
        <w:t>吨；团结集中区给水厂蓄水池于今年</w:t>
      </w:r>
      <w:r>
        <w:rPr>
          <w:rFonts w:ascii="仿宋_GB2312" w:eastAsia="仿宋_GB2312"/>
          <w:sz w:val="32"/>
          <w:szCs w:val="32"/>
        </w:rPr>
        <w:t>4</w:t>
      </w:r>
      <w:r>
        <w:rPr>
          <w:rFonts w:hint="eastAsia" w:ascii="仿宋_GB2312" w:eastAsia="仿宋_GB2312"/>
          <w:sz w:val="32"/>
          <w:szCs w:val="32"/>
        </w:rPr>
        <w:t>月份动工，</w:t>
      </w:r>
      <w:r>
        <w:rPr>
          <w:rFonts w:ascii="仿宋_GB2312" w:eastAsia="仿宋_GB2312"/>
          <w:sz w:val="32"/>
          <w:szCs w:val="32"/>
        </w:rPr>
        <w:t>5</w:t>
      </w:r>
      <w:r>
        <w:rPr>
          <w:rFonts w:hint="eastAsia" w:ascii="仿宋_GB2312" w:eastAsia="仿宋_GB2312"/>
          <w:sz w:val="32"/>
          <w:szCs w:val="32"/>
        </w:rPr>
        <w:t>月份完工，建成蓄水池</w:t>
      </w:r>
      <w:r>
        <w:rPr>
          <w:rFonts w:ascii="仿宋_GB2312" w:eastAsia="仿宋_GB2312"/>
          <w:sz w:val="32"/>
          <w:szCs w:val="32"/>
        </w:rPr>
        <w:t>50</w:t>
      </w:r>
      <w:r>
        <w:rPr>
          <w:rFonts w:hint="eastAsia" w:ascii="仿宋_GB2312" w:eastAsia="仿宋_GB2312"/>
          <w:sz w:val="32"/>
          <w:szCs w:val="32"/>
        </w:rPr>
        <w:t>立方米，能满足当前蓄水需求；槽木集中区取水口的维修加固工作已完成，保证对企业正常生产供水；对槽木大桥桥头因路基沉降、开裂情况进行修复，现修复工程已全面完工。保证园区道路的畅通和企业车辆的正常运输。</w:t>
      </w:r>
    </w:p>
    <w:p>
      <w:pPr>
        <w:spacing w:line="540" w:lineRule="exact"/>
        <w:ind w:firstLine="640" w:firstLineChars="200"/>
        <w:rPr>
          <w:rFonts w:ascii="华文楷体" w:hAnsi="华文楷体" w:eastAsia="华文楷体"/>
          <w:b/>
          <w:sz w:val="32"/>
          <w:szCs w:val="32"/>
        </w:rPr>
      </w:pPr>
      <w:r>
        <w:rPr>
          <w:rFonts w:ascii="仿宋_GB2312" w:eastAsia="仿宋_GB2312"/>
          <w:sz w:val="32"/>
          <w:szCs w:val="32"/>
        </w:rPr>
        <w:t>3.</w:t>
      </w:r>
      <w:r>
        <w:rPr>
          <w:rFonts w:ascii="华文楷体" w:hAnsi="华文楷体" w:eastAsia="华文楷体"/>
          <w:b/>
          <w:sz w:val="32"/>
          <w:szCs w:val="32"/>
        </w:rPr>
        <w:t xml:space="preserve"> </w:t>
      </w:r>
      <w:r>
        <w:rPr>
          <w:rFonts w:hint="eastAsia" w:ascii="仿宋_GB2312" w:hAnsi="华文楷体" w:eastAsia="仿宋_GB2312"/>
          <w:sz w:val="32"/>
          <w:szCs w:val="32"/>
        </w:rPr>
        <w:t>狠抓协调服务，强化入园企业管理工作</w:t>
      </w:r>
      <w:r>
        <w:rPr>
          <w:rFonts w:hint="eastAsia" w:ascii="华文楷体" w:hAnsi="华文楷体" w:eastAsia="华文楷体"/>
          <w:sz w:val="32"/>
          <w:szCs w:val="32"/>
        </w:rPr>
        <w:t>。</w:t>
      </w:r>
      <w:r>
        <w:rPr>
          <w:rFonts w:hint="eastAsia" w:ascii="仿宋_GB2312" w:eastAsia="仿宋_GB2312"/>
          <w:sz w:val="32"/>
          <w:szCs w:val="32"/>
        </w:rPr>
        <w:t>一是督促入园企业建立健全管理制度，规范企业管理办法强化内部管理。二是会同环保、安监、消防、工质食药监等有关部门，对建成投入运行的入园企业依法进行全面管理。三是加强园区企业周边基础设施及地质灾害隐患巡查，为园区企业安全生产提供基础保障。四是及时传达县级各部门的防灾减灾通知，对企业各种预案的制定及演练情况进行督促，着力做好园区防震减灾、防灾减灾工作。五是定期对企业开展日常督促巡查工作，及时发现企业存在的问题和困难并及时处理。六是搭建园区企业信息交流平台，签订《目标责任书》，将企业的安全生产、环境保护、循环经济建设、劳动用工、精神文明建设、社会治安综合治理等纳入管理范围，通过日常巡查、指导、整改，企业在“安全园区，循环园区，环保园区、绿色园区、和谐园区”建设迈出坚实步伐。</w:t>
      </w:r>
    </w:p>
    <w:p>
      <w:pPr>
        <w:spacing w:line="576" w:lineRule="exact"/>
        <w:ind w:firstLine="640" w:firstLineChars="200"/>
        <w:rPr>
          <w:rStyle w:val="17"/>
          <w:rFonts w:ascii="仿宋_GB2312" w:hAnsi="Times New Roman" w:eastAsia="仿宋_GB2312"/>
          <w:b w:val="0"/>
          <w:bCs w:val="0"/>
        </w:rPr>
      </w:pPr>
      <w:r>
        <w:rPr>
          <w:rFonts w:hint="eastAsia" w:ascii="黑体" w:eastAsia="黑体"/>
          <w:bCs/>
          <w:color w:val="000000"/>
          <w:sz w:val="32"/>
          <w:szCs w:val="32"/>
        </w:rPr>
        <w:t>二、</w:t>
      </w:r>
      <w:r>
        <w:rPr>
          <w:rFonts w:hint="eastAsia" w:ascii="黑体" w:hAnsi="黑体" w:eastAsia="黑体"/>
          <w:bCs/>
          <w:color w:val="000000"/>
          <w:sz w:val="32"/>
          <w:szCs w:val="32"/>
        </w:rPr>
        <w:t>机</w:t>
      </w:r>
      <w:r>
        <w:rPr>
          <w:rStyle w:val="17"/>
          <w:rFonts w:hint="eastAsia" w:ascii="黑体" w:hAnsi="黑体" w:eastAsia="黑体"/>
          <w:b w:val="0"/>
        </w:rPr>
        <w:t>构设置</w:t>
      </w:r>
      <w:bookmarkEnd w:id="20"/>
      <w:bookmarkEnd w:id="21"/>
    </w:p>
    <w:p>
      <w:pPr>
        <w:spacing w:line="576" w:lineRule="exact"/>
        <w:ind w:firstLine="640" w:firstLineChars="200"/>
        <w:rPr>
          <w:rFonts w:ascii="仿宋_GB2312" w:hAnsi="仿宋" w:eastAsia="仿宋_GB2312"/>
          <w:sz w:val="32"/>
          <w:szCs w:val="32"/>
        </w:rPr>
      </w:pPr>
      <w:r>
        <w:rPr>
          <w:rFonts w:hint="eastAsia" w:ascii="仿宋_GB2312" w:hAnsi="仿宋" w:eastAsia="仿宋_GB2312"/>
          <w:sz w:val="32"/>
          <w:szCs w:val="32"/>
        </w:rPr>
        <w:t>茂县工业园区管理委员会属于正科级一级预算事业单位，内设</w:t>
      </w:r>
      <w:r>
        <w:rPr>
          <w:rFonts w:ascii="仿宋_GB2312" w:hAnsi="仿宋" w:eastAsia="仿宋_GB2312"/>
          <w:sz w:val="32"/>
          <w:szCs w:val="32"/>
        </w:rPr>
        <w:t>5</w:t>
      </w:r>
      <w:r>
        <w:rPr>
          <w:rFonts w:hint="eastAsia" w:ascii="仿宋_GB2312" w:hAnsi="仿宋" w:eastAsia="仿宋_GB2312"/>
          <w:sz w:val="32"/>
          <w:szCs w:val="32"/>
        </w:rPr>
        <w:t>个职能股室：办公室、企业管理股、基础设施管理股、项目招商股、规划建设股。下属二级单位</w:t>
      </w:r>
      <w:r>
        <w:rPr>
          <w:rFonts w:ascii="仿宋_GB2312" w:hAnsi="仿宋" w:eastAsia="仿宋_GB2312"/>
          <w:sz w:val="32"/>
          <w:szCs w:val="32"/>
        </w:rPr>
        <w:t>0</w:t>
      </w:r>
      <w:r>
        <w:rPr>
          <w:rFonts w:hint="eastAsia" w:ascii="仿宋_GB2312" w:hAnsi="仿宋" w:eastAsia="仿宋_GB2312"/>
          <w:sz w:val="32"/>
          <w:szCs w:val="32"/>
        </w:rPr>
        <w:t>个，其中行政单位</w:t>
      </w:r>
      <w:r>
        <w:rPr>
          <w:rFonts w:ascii="仿宋_GB2312" w:hAnsi="仿宋" w:eastAsia="仿宋_GB2312"/>
          <w:sz w:val="32"/>
          <w:szCs w:val="32"/>
        </w:rPr>
        <w:t>0</w:t>
      </w:r>
      <w:r>
        <w:rPr>
          <w:rFonts w:hint="eastAsia" w:ascii="仿宋_GB2312" w:hAnsi="仿宋" w:eastAsia="仿宋_GB2312"/>
          <w:sz w:val="32"/>
          <w:szCs w:val="32"/>
        </w:rPr>
        <w:t>个，参照公务员法管理的事业单位</w:t>
      </w:r>
      <w:r>
        <w:rPr>
          <w:rFonts w:ascii="仿宋_GB2312" w:hAnsi="仿宋" w:eastAsia="仿宋_GB2312"/>
          <w:bCs/>
          <w:sz w:val="32"/>
          <w:szCs w:val="32"/>
        </w:rPr>
        <w:t>0</w:t>
      </w:r>
      <w:r>
        <w:rPr>
          <w:rFonts w:hint="eastAsia" w:ascii="仿宋_GB2312" w:hAnsi="仿宋" w:eastAsia="仿宋_GB2312"/>
          <w:sz w:val="32"/>
          <w:szCs w:val="32"/>
        </w:rPr>
        <w:t>个，其他事业单位</w:t>
      </w:r>
      <w:r>
        <w:rPr>
          <w:rFonts w:ascii="仿宋_GB2312" w:hAnsi="仿宋" w:eastAsia="仿宋_GB2312"/>
          <w:sz w:val="32"/>
          <w:szCs w:val="32"/>
        </w:rPr>
        <w:t>0</w:t>
      </w:r>
      <w:r>
        <w:rPr>
          <w:rFonts w:hint="eastAsia" w:ascii="仿宋_GB2312" w:hAnsi="仿宋" w:eastAsia="仿宋_GB2312"/>
          <w:sz w:val="32"/>
          <w:szCs w:val="32"/>
        </w:rPr>
        <w:t>个。</w:t>
      </w:r>
    </w:p>
    <w:p>
      <w:pPr>
        <w:pStyle w:val="5"/>
        <w:adjustRightInd w:val="0"/>
        <w:snapToGrid w:val="0"/>
        <w:spacing w:before="93" w:line="576" w:lineRule="exact"/>
        <w:ind w:firstLine="640" w:firstLineChars="200"/>
        <w:rPr>
          <w:rFonts w:hAnsi="仿宋"/>
          <w:color w:val="000000"/>
          <w:sz w:val="32"/>
          <w:szCs w:val="32"/>
        </w:rPr>
      </w:pPr>
      <w:r>
        <w:rPr>
          <w:rFonts w:hint="eastAsia" w:hAnsi="仿宋"/>
          <w:color w:val="000000"/>
          <w:sz w:val="32"/>
          <w:szCs w:val="32"/>
        </w:rPr>
        <w:t>纳入茂县工业园区管理委员会</w:t>
      </w:r>
      <w:r>
        <w:rPr>
          <w:rFonts w:hAnsi="仿宋"/>
          <w:color w:val="000000"/>
          <w:sz w:val="32"/>
          <w:szCs w:val="32"/>
        </w:rPr>
        <w:t>2018</w:t>
      </w:r>
      <w:r>
        <w:rPr>
          <w:rFonts w:hint="eastAsia" w:hAnsi="仿宋"/>
          <w:color w:val="000000"/>
          <w:sz w:val="32"/>
          <w:szCs w:val="32"/>
        </w:rPr>
        <w:t>年度部门决算编制范围的二级预算单位</w:t>
      </w:r>
      <w:r>
        <w:rPr>
          <w:rFonts w:hAnsi="仿宋"/>
          <w:color w:val="000000"/>
          <w:sz w:val="32"/>
          <w:szCs w:val="32"/>
        </w:rPr>
        <w:t>0</w:t>
      </w:r>
      <w:r>
        <w:rPr>
          <w:rFonts w:hint="eastAsia" w:hAnsi="仿宋"/>
          <w:color w:val="000000"/>
          <w:sz w:val="32"/>
          <w:szCs w:val="32"/>
        </w:rPr>
        <w:t>个。</w:t>
      </w:r>
    </w:p>
    <w:p>
      <w:pPr>
        <w:widowControl/>
        <w:spacing w:line="576" w:lineRule="exact"/>
        <w:rPr>
          <w:rFonts w:ascii="仿宋" w:hAnsi="仿宋" w:eastAsia="仿宋"/>
          <w:color w:val="000000"/>
          <w:kern w:val="0"/>
          <w:sz w:val="32"/>
          <w:szCs w:val="32"/>
        </w:rPr>
      </w:pPr>
      <w:bookmarkStart w:id="22" w:name="_Toc15377204"/>
      <w:bookmarkStart w:id="23" w:name="_Toc15396602"/>
    </w:p>
    <w:p>
      <w:pPr>
        <w:widowControl/>
        <w:spacing w:line="576" w:lineRule="exact"/>
        <w:jc w:val="center"/>
        <w:rPr>
          <w:rFonts w:ascii="方正小标宋简体" w:hAnsi="方正小标宋简体" w:eastAsia="方正小标宋简体" w:cs="方正小标宋简体"/>
          <w:color w:val="000000"/>
          <w:sz w:val="44"/>
          <w:szCs w:val="44"/>
        </w:rPr>
      </w:pPr>
    </w:p>
    <w:p>
      <w:pPr>
        <w:widowControl/>
        <w:spacing w:line="576" w:lineRule="exact"/>
        <w:jc w:val="center"/>
        <w:rPr>
          <w:rFonts w:ascii="方正小标宋简体" w:hAnsi="方正小标宋简体" w:eastAsia="方正小标宋简体" w:cs="方正小标宋简体"/>
          <w:color w:val="000000"/>
          <w:sz w:val="44"/>
          <w:szCs w:val="44"/>
        </w:rPr>
      </w:pPr>
    </w:p>
    <w:p>
      <w:pPr>
        <w:widowControl/>
        <w:spacing w:line="576" w:lineRule="exact"/>
        <w:jc w:val="center"/>
        <w:rPr>
          <w:rFonts w:ascii="方正小标宋简体" w:hAnsi="方正小标宋简体" w:eastAsia="方正小标宋简体" w:cs="方正小标宋简体"/>
          <w:color w:val="000000"/>
          <w:sz w:val="44"/>
          <w:szCs w:val="44"/>
        </w:rPr>
      </w:pPr>
    </w:p>
    <w:p>
      <w:pPr>
        <w:widowControl/>
        <w:spacing w:line="576" w:lineRule="exact"/>
        <w:jc w:val="center"/>
        <w:rPr>
          <w:rFonts w:ascii="方正小标宋简体" w:hAnsi="方正小标宋简体" w:eastAsia="方正小标宋简体" w:cs="方正小标宋简体"/>
          <w:color w:val="000000"/>
          <w:sz w:val="44"/>
          <w:szCs w:val="44"/>
        </w:rPr>
      </w:pPr>
    </w:p>
    <w:p>
      <w:pPr>
        <w:widowControl/>
        <w:spacing w:line="576" w:lineRule="exact"/>
        <w:jc w:val="center"/>
        <w:rPr>
          <w:rFonts w:ascii="方正小标宋简体" w:hAnsi="方正小标宋简体" w:eastAsia="方正小标宋简体" w:cs="方正小标宋简体"/>
          <w:color w:val="000000"/>
          <w:sz w:val="44"/>
          <w:szCs w:val="44"/>
        </w:rPr>
      </w:pPr>
    </w:p>
    <w:p>
      <w:pPr>
        <w:widowControl/>
        <w:spacing w:line="576" w:lineRule="exact"/>
        <w:ind w:firstLine="880" w:firstLineChars="200"/>
        <w:rPr>
          <w:rFonts w:hint="eastAsia" w:ascii="方正小标宋简体" w:hAnsi="方正小标宋简体" w:eastAsia="方正小标宋简体" w:cs="方正小标宋简体"/>
          <w:color w:val="000000"/>
          <w:sz w:val="44"/>
          <w:szCs w:val="44"/>
        </w:rPr>
      </w:pPr>
    </w:p>
    <w:p>
      <w:pPr>
        <w:widowControl/>
        <w:spacing w:line="576" w:lineRule="exact"/>
        <w:ind w:firstLine="880" w:firstLineChars="200"/>
        <w:rPr>
          <w:rStyle w:val="16"/>
          <w:rFonts w:ascii="方正小标宋简体" w:hAnsi="方正小标宋简体" w:eastAsia="方正小标宋简体" w:cs="方正小标宋简体"/>
          <w:b w:val="0"/>
          <w:bCs w:val="0"/>
        </w:rPr>
      </w:pPr>
      <w:r>
        <w:rPr>
          <w:rFonts w:hint="eastAsia" w:ascii="方正小标宋简体" w:hAnsi="方正小标宋简体" w:eastAsia="方正小标宋简体" w:cs="方正小标宋简体"/>
          <w:color w:val="000000"/>
          <w:sz w:val="44"/>
          <w:szCs w:val="44"/>
        </w:rPr>
        <w:t>第二部分</w:t>
      </w:r>
      <w:r>
        <w:rPr>
          <w:rStyle w:val="16"/>
          <w:rFonts w:ascii="方正小标宋简体" w:hAnsi="方正小标宋简体" w:eastAsia="方正小标宋简体" w:cs="方正小标宋简体"/>
          <w:b w:val="0"/>
          <w:bCs w:val="0"/>
        </w:rPr>
        <w:t>2018</w:t>
      </w:r>
      <w:r>
        <w:rPr>
          <w:rStyle w:val="16"/>
          <w:rFonts w:hint="eastAsia" w:ascii="方正小标宋简体" w:hAnsi="方正小标宋简体" w:eastAsia="方正小标宋简体" w:cs="方正小标宋简体"/>
          <w:b w:val="0"/>
          <w:bCs w:val="0"/>
        </w:rPr>
        <w:t>年度部门决算情</w:t>
      </w:r>
      <w:bookmarkEnd w:id="22"/>
      <w:bookmarkEnd w:id="23"/>
      <w:r>
        <w:rPr>
          <w:rStyle w:val="16"/>
          <w:rFonts w:hint="eastAsia" w:ascii="方正小标宋简体" w:hAnsi="方正小标宋简体" w:eastAsia="方正小标宋简体" w:cs="方正小标宋简体"/>
          <w:b w:val="0"/>
          <w:bCs w:val="0"/>
        </w:rPr>
        <w:t>况</w:t>
      </w:r>
    </w:p>
    <w:p>
      <w:pPr>
        <w:spacing w:line="576" w:lineRule="exact"/>
        <w:ind w:left="640"/>
        <w:outlineLvl w:val="1"/>
        <w:rPr>
          <w:rFonts w:ascii="黑体" w:hAnsi="黑体" w:eastAsia="黑体"/>
          <w:bCs/>
          <w:sz w:val="32"/>
          <w:szCs w:val="32"/>
        </w:rPr>
      </w:pPr>
      <w:bookmarkStart w:id="24" w:name="_Toc15396603"/>
      <w:bookmarkStart w:id="25" w:name="_Toc15377205"/>
    </w:p>
    <w:p>
      <w:pPr>
        <w:pStyle w:val="27"/>
        <w:numPr>
          <w:ilvl w:val="0"/>
          <w:numId w:val="1"/>
        </w:numPr>
        <w:spacing w:line="576" w:lineRule="exact"/>
        <w:ind w:firstLineChars="0"/>
        <w:outlineLvl w:val="1"/>
        <w:rPr>
          <w:rStyle w:val="17"/>
          <w:rFonts w:ascii="黑体" w:hAnsi="黑体" w:eastAsia="黑体"/>
          <w:b w:val="0"/>
        </w:rPr>
      </w:pPr>
      <w:r>
        <w:rPr>
          <w:rFonts w:hint="eastAsia" w:ascii="黑体" w:hAnsi="黑体" w:eastAsia="黑体"/>
          <w:color w:val="000000"/>
          <w:sz w:val="32"/>
          <w:szCs w:val="32"/>
        </w:rPr>
        <w:t>收</w:t>
      </w:r>
      <w:r>
        <w:rPr>
          <w:rStyle w:val="17"/>
          <w:rFonts w:hint="eastAsia" w:ascii="黑体" w:hAnsi="黑体" w:eastAsia="黑体"/>
          <w:b w:val="0"/>
        </w:rPr>
        <w:t>入支出决算总体情况说明</w:t>
      </w:r>
      <w:bookmarkEnd w:id="24"/>
      <w:bookmarkEnd w:id="25"/>
    </w:p>
    <w:p>
      <w:pPr>
        <w:spacing w:line="576" w:lineRule="exact"/>
        <w:ind w:firstLine="640" w:firstLineChars="200"/>
        <w:rPr>
          <w:rFonts w:ascii="仿宋_GB2312" w:hAnsi="仿宋" w:eastAsia="仿宋_GB2312"/>
          <w:color w:val="000000"/>
          <w:sz w:val="32"/>
          <w:szCs w:val="32"/>
        </w:rPr>
      </w:pPr>
      <w:r>
        <w:rPr>
          <w:rFonts w:ascii="仿宋_GB2312" w:hAnsi="仿宋" w:eastAsia="仿宋_GB2312"/>
          <w:color w:val="000000"/>
          <w:sz w:val="32"/>
          <w:szCs w:val="32"/>
        </w:rPr>
        <w:t>2018</w:t>
      </w:r>
      <w:r>
        <w:rPr>
          <w:rFonts w:hint="eastAsia" w:ascii="仿宋_GB2312" w:hAnsi="仿宋" w:eastAsia="仿宋_GB2312"/>
          <w:color w:val="000000"/>
          <w:sz w:val="32"/>
          <w:szCs w:val="32"/>
        </w:rPr>
        <w:t>年度茂县工业园区管理委员会收、支总计</w:t>
      </w:r>
      <w:r>
        <w:rPr>
          <w:rFonts w:ascii="仿宋_GB2312" w:hAnsi="仿宋" w:eastAsia="仿宋_GB2312"/>
          <w:color w:val="000000"/>
          <w:sz w:val="32"/>
          <w:szCs w:val="32"/>
        </w:rPr>
        <w:t>138.66</w:t>
      </w:r>
      <w:r>
        <w:rPr>
          <w:rFonts w:hint="eastAsia" w:ascii="仿宋_GB2312" w:hAnsi="仿宋" w:eastAsia="仿宋_GB2312"/>
          <w:color w:val="000000"/>
          <w:sz w:val="32"/>
          <w:szCs w:val="32"/>
        </w:rPr>
        <w:t>万元。与</w:t>
      </w:r>
      <w:r>
        <w:rPr>
          <w:rFonts w:ascii="仿宋_GB2312" w:hAnsi="仿宋" w:eastAsia="仿宋_GB2312"/>
          <w:color w:val="000000"/>
          <w:sz w:val="32"/>
          <w:szCs w:val="32"/>
        </w:rPr>
        <w:t>2017</w:t>
      </w:r>
      <w:r>
        <w:rPr>
          <w:rFonts w:hint="eastAsia" w:ascii="仿宋_GB2312" w:hAnsi="仿宋" w:eastAsia="仿宋_GB2312"/>
          <w:color w:val="000000"/>
          <w:sz w:val="32"/>
          <w:szCs w:val="32"/>
        </w:rPr>
        <w:t>年相比，收、支总计减少</w:t>
      </w:r>
      <w:r>
        <w:rPr>
          <w:rFonts w:ascii="仿宋_GB2312" w:hAnsi="仿宋" w:eastAsia="仿宋_GB2312"/>
          <w:color w:val="000000"/>
          <w:sz w:val="32"/>
          <w:szCs w:val="32"/>
        </w:rPr>
        <w:t>927.1</w:t>
      </w:r>
      <w:r>
        <w:rPr>
          <w:rFonts w:hint="eastAsia" w:ascii="仿宋_GB2312" w:hAnsi="仿宋" w:eastAsia="仿宋_GB2312"/>
          <w:color w:val="000000"/>
          <w:sz w:val="32"/>
          <w:szCs w:val="32"/>
        </w:rPr>
        <w:t>万元。主要变动原因是</w:t>
      </w:r>
      <w:r>
        <w:rPr>
          <w:rFonts w:ascii="仿宋_GB2312" w:hAnsi="仿宋" w:eastAsia="仿宋_GB2312"/>
          <w:color w:val="000000"/>
          <w:sz w:val="32"/>
          <w:szCs w:val="32"/>
        </w:rPr>
        <w:t>2017</w:t>
      </w:r>
      <w:r>
        <w:rPr>
          <w:rFonts w:hint="eastAsia" w:ascii="仿宋_GB2312" w:hAnsi="仿宋" w:eastAsia="仿宋_GB2312"/>
          <w:color w:val="000000"/>
          <w:sz w:val="32"/>
          <w:szCs w:val="32"/>
        </w:rPr>
        <w:t>年支付中心集中区上关村征赔拆迁安置补偿费。</w:t>
      </w:r>
    </w:p>
    <w:p>
      <w:pPr>
        <w:spacing w:line="600" w:lineRule="exact"/>
        <w:ind w:firstLine="420" w:firstLineChars="200"/>
        <w:rPr>
          <w:rFonts w:ascii="仿宋" w:hAnsi="仿宋" w:eastAsia="仿宋"/>
          <w:color w:val="000000"/>
          <w:sz w:val="32"/>
          <w:szCs w:val="32"/>
        </w:rPr>
      </w:pPr>
      <w:r>
        <w:pict>
          <v:shape id="_x0000_s1026" o:spid="_x0000_s1026" o:spt="75" type="#_x0000_t75" style="position:absolute;left:0pt;margin-left:31.5pt;margin-top:22.2pt;height:236.15pt;width:411.85pt;mso-wrap-distance-bottom:0pt;mso-wrap-distance-left:9pt;mso-wrap-distance-right:9pt;mso-wrap-distance-top:0pt;z-index:-251661312;mso-width-relative:page;mso-height-relative:page;" o:ole="t" filled="f" o:preferrelative="t" stroked="f" coordsize="21600,21600">
            <v:path/>
            <v:fill on="f" focussize="0,0"/>
            <v:stroke on="f" joinstyle="miter"/>
            <v:imagedata r:id="rId7" o:title=""/>
            <o:lock v:ext="edit" aspectratio="t"/>
            <w10:wrap type="square"/>
          </v:shape>
          <o:OLEObject Type="Embed" ProgID="Excel.Chart.8" ShapeID="_x0000_s1026" DrawAspect="Content" ObjectID="_1468075725" r:id="rId6">
            <o:LockedField>false</o:LockedField>
          </o:OLEObject>
        </w:pict>
      </w: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（图</w:t>
      </w:r>
      <w:r>
        <w:rPr>
          <w:rFonts w:ascii="仿宋_GB2312" w:hAnsi="仿宋" w:eastAsia="仿宋_GB2312"/>
          <w:color w:val="000000"/>
          <w:sz w:val="32"/>
          <w:szCs w:val="32"/>
        </w:rPr>
        <w:t>1</w:t>
      </w:r>
      <w:r>
        <w:rPr>
          <w:rFonts w:hint="eastAsia" w:ascii="仿宋_GB2312" w:hAnsi="仿宋" w:eastAsia="仿宋_GB2312"/>
          <w:color w:val="000000"/>
          <w:sz w:val="32"/>
          <w:szCs w:val="32"/>
        </w:rPr>
        <w:t>：收、支决算总计变动情况图）（单位：万元）</w:t>
      </w:r>
    </w:p>
    <w:p>
      <w:pPr>
        <w:pStyle w:val="27"/>
        <w:numPr>
          <w:ilvl w:val="0"/>
          <w:numId w:val="1"/>
        </w:numPr>
        <w:spacing w:line="576" w:lineRule="exact"/>
        <w:ind w:firstLineChars="0"/>
        <w:outlineLvl w:val="1"/>
        <w:rPr>
          <w:rStyle w:val="17"/>
          <w:rFonts w:ascii="黑体" w:hAnsi="黑体" w:eastAsia="黑体"/>
          <w:b w:val="0"/>
        </w:rPr>
      </w:pPr>
      <w:bookmarkStart w:id="26" w:name="_Toc15396604"/>
      <w:bookmarkStart w:id="27" w:name="_Toc15377206"/>
      <w:r>
        <w:rPr>
          <w:rFonts w:hint="eastAsia" w:ascii="黑体" w:hAnsi="黑体" w:eastAsia="黑体"/>
          <w:color w:val="000000"/>
          <w:sz w:val="32"/>
          <w:szCs w:val="32"/>
        </w:rPr>
        <w:t>收</w:t>
      </w:r>
      <w:r>
        <w:rPr>
          <w:rStyle w:val="17"/>
          <w:rFonts w:hint="eastAsia" w:ascii="黑体" w:hAnsi="黑体" w:eastAsia="黑体"/>
          <w:b w:val="0"/>
        </w:rPr>
        <w:t>入决算情况说明</w:t>
      </w:r>
      <w:bookmarkEnd w:id="26"/>
      <w:bookmarkEnd w:id="27"/>
    </w:p>
    <w:p>
      <w:pPr>
        <w:spacing w:line="576" w:lineRule="exact"/>
        <w:ind w:firstLine="640" w:firstLineChars="200"/>
        <w:outlineLvl w:val="1"/>
        <w:rPr>
          <w:rFonts w:ascii="仿宋" w:hAnsi="仿宋" w:eastAsia="仿宋"/>
          <w:color w:val="000000"/>
          <w:sz w:val="32"/>
          <w:szCs w:val="32"/>
        </w:rPr>
      </w:pPr>
      <w:r>
        <w:rPr>
          <w:rFonts w:ascii="仿宋_GB2312" w:hAnsi="仿宋" w:eastAsia="仿宋_GB2312"/>
          <w:color w:val="000000"/>
          <w:sz w:val="32"/>
          <w:szCs w:val="32"/>
        </w:rPr>
        <w:t>2018</w:t>
      </w:r>
      <w:r>
        <w:rPr>
          <w:rFonts w:hint="eastAsia" w:ascii="仿宋_GB2312" w:hAnsi="仿宋" w:eastAsia="仿宋_GB2312"/>
          <w:color w:val="000000"/>
          <w:sz w:val="32"/>
          <w:szCs w:val="32"/>
        </w:rPr>
        <w:t>年本年收入合计</w:t>
      </w:r>
      <w:r>
        <w:rPr>
          <w:rFonts w:ascii="仿宋_GB2312" w:hAnsi="仿宋" w:eastAsia="仿宋_GB2312"/>
          <w:color w:val="000000"/>
          <w:sz w:val="32"/>
          <w:szCs w:val="32"/>
        </w:rPr>
        <w:t>138.66</w:t>
      </w:r>
      <w:r>
        <w:rPr>
          <w:rFonts w:hint="eastAsia" w:ascii="仿宋_GB2312" w:hAnsi="仿宋" w:eastAsia="仿宋_GB2312"/>
          <w:color w:val="000000"/>
          <w:sz w:val="32"/>
          <w:szCs w:val="32"/>
        </w:rPr>
        <w:t>万元，其中：一般公共预算财政拨款收入</w:t>
      </w:r>
      <w:r>
        <w:rPr>
          <w:rFonts w:ascii="仿宋_GB2312" w:hAnsi="仿宋" w:eastAsia="仿宋_GB2312"/>
          <w:color w:val="000000"/>
          <w:sz w:val="32"/>
          <w:szCs w:val="32"/>
        </w:rPr>
        <w:t>138.66</w:t>
      </w:r>
      <w:r>
        <w:rPr>
          <w:rFonts w:hint="eastAsia" w:ascii="仿宋_GB2312" w:hAnsi="仿宋" w:eastAsia="仿宋_GB2312"/>
          <w:color w:val="000000"/>
          <w:sz w:val="32"/>
          <w:szCs w:val="32"/>
        </w:rPr>
        <w:t>万元，占</w:t>
      </w:r>
      <w:r>
        <w:rPr>
          <w:rFonts w:ascii="仿宋_GB2312" w:hAnsi="仿宋" w:eastAsia="仿宋_GB2312"/>
          <w:color w:val="000000"/>
          <w:sz w:val="32"/>
          <w:szCs w:val="32"/>
        </w:rPr>
        <w:t>100%</w:t>
      </w:r>
      <w:r>
        <w:rPr>
          <w:rFonts w:hint="eastAsia" w:ascii="仿宋_GB2312" w:hAnsi="仿宋" w:eastAsia="仿宋_GB2312"/>
          <w:color w:val="000000"/>
          <w:sz w:val="32"/>
          <w:szCs w:val="32"/>
        </w:rPr>
        <w:t>；政府性基金预算财政拨款收入</w:t>
      </w:r>
      <w:r>
        <w:rPr>
          <w:rFonts w:ascii="仿宋_GB2312" w:hAnsi="仿宋" w:eastAsia="仿宋_GB2312"/>
          <w:color w:val="000000"/>
          <w:sz w:val="32"/>
          <w:szCs w:val="32"/>
        </w:rPr>
        <w:t>0</w:t>
      </w:r>
      <w:r>
        <w:rPr>
          <w:rFonts w:hint="eastAsia" w:ascii="仿宋_GB2312" w:hAnsi="仿宋" w:eastAsia="仿宋_GB2312"/>
          <w:color w:val="000000"/>
          <w:sz w:val="32"/>
          <w:szCs w:val="32"/>
        </w:rPr>
        <w:t>万元；国有资本经营</w:t>
      </w:r>
      <w:bookmarkStart w:id="74" w:name="_GoBack"/>
      <w:bookmarkEnd w:id="74"/>
      <w:r>
        <w:rPr>
          <w:rFonts w:hint="eastAsia" w:ascii="仿宋_GB2312" w:hAnsi="仿宋" w:eastAsia="仿宋_GB2312"/>
          <w:color w:val="000000"/>
          <w:sz w:val="32"/>
          <w:szCs w:val="32"/>
        </w:rPr>
        <w:t>预算财政拨款收入</w:t>
      </w:r>
      <w:r>
        <w:rPr>
          <w:rFonts w:ascii="仿宋_GB2312" w:hAnsi="仿宋" w:eastAsia="仿宋_GB2312"/>
          <w:color w:val="000000"/>
          <w:sz w:val="32"/>
          <w:szCs w:val="32"/>
        </w:rPr>
        <w:t>0</w:t>
      </w:r>
      <w:r>
        <w:rPr>
          <w:rFonts w:hint="eastAsia" w:ascii="仿宋_GB2312" w:hAnsi="仿宋" w:eastAsia="仿宋_GB2312"/>
          <w:color w:val="000000"/>
          <w:sz w:val="32"/>
          <w:szCs w:val="32"/>
        </w:rPr>
        <w:t>万元；事业收入</w:t>
      </w:r>
      <w:r>
        <w:rPr>
          <w:rFonts w:ascii="仿宋_GB2312" w:hAnsi="仿宋" w:eastAsia="仿宋_GB2312"/>
          <w:color w:val="000000"/>
          <w:sz w:val="32"/>
          <w:szCs w:val="32"/>
        </w:rPr>
        <w:t>0</w:t>
      </w:r>
      <w:r>
        <w:rPr>
          <w:rFonts w:hint="eastAsia" w:ascii="仿宋_GB2312" w:hAnsi="仿宋" w:eastAsia="仿宋_GB2312"/>
          <w:color w:val="000000"/>
          <w:sz w:val="32"/>
          <w:szCs w:val="32"/>
        </w:rPr>
        <w:t>万元；经营收入</w:t>
      </w:r>
      <w:r>
        <w:rPr>
          <w:rFonts w:ascii="仿宋_GB2312" w:hAnsi="仿宋" w:eastAsia="仿宋_GB2312"/>
          <w:color w:val="000000"/>
          <w:sz w:val="32"/>
          <w:szCs w:val="32"/>
        </w:rPr>
        <w:t>0</w:t>
      </w:r>
      <w:r>
        <w:rPr>
          <w:rFonts w:hint="eastAsia" w:ascii="仿宋_GB2312" w:hAnsi="仿宋" w:eastAsia="仿宋_GB2312"/>
          <w:color w:val="000000"/>
          <w:sz w:val="32"/>
          <w:szCs w:val="32"/>
        </w:rPr>
        <w:t>万元；附属单位上缴收入</w:t>
      </w:r>
      <w:r>
        <w:rPr>
          <w:rFonts w:ascii="仿宋_GB2312" w:hAnsi="仿宋" w:eastAsia="仿宋_GB2312"/>
          <w:color w:val="000000"/>
          <w:sz w:val="32"/>
          <w:szCs w:val="32"/>
        </w:rPr>
        <w:t>0</w:t>
      </w:r>
      <w:r>
        <w:rPr>
          <w:rFonts w:hint="eastAsia" w:ascii="仿宋_GB2312" w:hAnsi="仿宋" w:eastAsia="仿宋_GB2312"/>
          <w:color w:val="000000"/>
          <w:sz w:val="32"/>
          <w:szCs w:val="32"/>
        </w:rPr>
        <w:t>万；其他收入</w:t>
      </w:r>
      <w:r>
        <w:rPr>
          <w:rFonts w:ascii="仿宋_GB2312" w:hAnsi="仿宋" w:eastAsia="仿宋_GB2312"/>
          <w:color w:val="000000"/>
          <w:sz w:val="32"/>
          <w:szCs w:val="32"/>
        </w:rPr>
        <w:t>0</w:t>
      </w:r>
      <w:r>
        <w:rPr>
          <w:rFonts w:hint="eastAsia" w:ascii="仿宋_GB2312" w:hAnsi="仿宋" w:eastAsia="仿宋_GB2312"/>
          <w:color w:val="000000"/>
          <w:sz w:val="32"/>
          <w:szCs w:val="32"/>
        </w:rPr>
        <w:t>万元。</w:t>
      </w:r>
    </w:p>
    <w:p>
      <w:pPr>
        <w:spacing w:line="600" w:lineRule="exact"/>
        <w:ind w:firstLine="640" w:firstLineChars="200"/>
        <w:outlineLvl w:val="1"/>
        <w:rPr>
          <w:rFonts w:ascii="仿宋" w:hAnsi="仿宋" w:eastAsia="仿宋"/>
          <w:color w:val="000000"/>
          <w:sz w:val="32"/>
          <w:szCs w:val="32"/>
        </w:rPr>
      </w:pPr>
    </w:p>
    <w:p>
      <w:pPr>
        <w:spacing w:line="600" w:lineRule="exact"/>
        <w:ind w:firstLine="640" w:firstLineChars="200"/>
        <w:outlineLvl w:val="1"/>
        <w:rPr>
          <w:rFonts w:ascii="仿宋" w:hAnsi="仿宋" w:eastAsia="仿宋"/>
          <w:color w:val="000000"/>
          <w:sz w:val="32"/>
          <w:szCs w:val="32"/>
        </w:rPr>
      </w:pPr>
    </w:p>
    <w:p>
      <w:pPr>
        <w:spacing w:line="600" w:lineRule="exact"/>
        <w:ind w:firstLine="640" w:firstLineChars="200"/>
        <w:outlineLvl w:val="1"/>
        <w:rPr>
          <w:rFonts w:ascii="仿宋" w:hAnsi="仿宋" w:eastAsia="仿宋"/>
          <w:color w:val="000000"/>
          <w:sz w:val="32"/>
          <w:szCs w:val="32"/>
        </w:rPr>
      </w:pPr>
    </w:p>
    <w:p>
      <w:pPr>
        <w:spacing w:line="600" w:lineRule="exact"/>
        <w:ind w:firstLine="640" w:firstLineChars="200"/>
        <w:outlineLvl w:val="1"/>
        <w:rPr>
          <w:rFonts w:ascii="仿宋" w:hAnsi="仿宋" w:eastAsia="仿宋"/>
          <w:color w:val="000000"/>
          <w:sz w:val="32"/>
          <w:szCs w:val="32"/>
        </w:rPr>
      </w:pPr>
    </w:p>
    <w:p>
      <w:pPr>
        <w:spacing w:line="600" w:lineRule="exact"/>
        <w:ind w:firstLine="640" w:firstLineChars="200"/>
        <w:outlineLvl w:val="1"/>
        <w:rPr>
          <w:rFonts w:ascii="仿宋" w:hAnsi="仿宋" w:eastAsia="仿宋"/>
          <w:color w:val="000000"/>
          <w:sz w:val="32"/>
          <w:szCs w:val="32"/>
        </w:rPr>
      </w:pPr>
    </w:p>
    <w:p>
      <w:pPr>
        <w:spacing w:line="600" w:lineRule="exact"/>
        <w:ind w:firstLine="640" w:firstLineChars="200"/>
        <w:outlineLvl w:val="1"/>
        <w:rPr>
          <w:rFonts w:ascii="仿宋" w:hAnsi="仿宋" w:eastAsia="仿宋"/>
          <w:color w:val="000000"/>
          <w:sz w:val="32"/>
          <w:szCs w:val="32"/>
        </w:rPr>
      </w:pPr>
    </w:p>
    <w:p>
      <w:pPr>
        <w:spacing w:line="600" w:lineRule="exact"/>
        <w:ind w:firstLine="640" w:firstLineChars="200"/>
        <w:outlineLvl w:val="1"/>
        <w:rPr>
          <w:rFonts w:ascii="仿宋" w:hAnsi="仿宋" w:eastAsia="仿宋"/>
          <w:color w:val="000000"/>
          <w:sz w:val="32"/>
          <w:szCs w:val="32"/>
        </w:rPr>
      </w:pPr>
    </w:p>
    <w:p>
      <w:pPr>
        <w:spacing w:line="600" w:lineRule="exact"/>
        <w:ind w:firstLine="420" w:firstLineChars="200"/>
        <w:outlineLvl w:val="1"/>
        <w:rPr>
          <w:rFonts w:ascii="仿宋" w:hAnsi="仿宋" w:eastAsia="仿宋"/>
          <w:color w:val="000000"/>
          <w:sz w:val="32"/>
          <w:szCs w:val="32"/>
        </w:rPr>
      </w:pPr>
      <w:r>
        <w:pict>
          <v:shape id="_x0000_s1027" o:spid="_x0000_s1027" o:spt="75" type="#_x0000_t75" style="position:absolute;left:0pt;margin-left:32.8pt;margin-top:-205.25pt;height:229.45pt;width:398.4pt;mso-wrap-distance-bottom:0pt;mso-wrap-distance-left:9pt;mso-wrap-distance-right:9pt;mso-wrap-distance-top:0pt;z-index:251656192;mso-width-relative:page;mso-height-relative:page;" o:ole="t" filled="f" o:preferrelative="t" stroked="f" coordsize="21600,21600">
            <v:path/>
            <v:fill on="f" focussize="0,0"/>
            <v:stroke on="f" joinstyle="miter"/>
            <v:imagedata r:id="rId9" o:title=""/>
            <o:lock v:ext="edit" aspectratio="t"/>
            <w10:wrap type="square"/>
          </v:shape>
          <o:OLEObject Type="Embed" ProgID="Excel.Chart.8" ShapeID="_x0000_s1027" DrawAspect="Content" ObjectID="_1468075726" r:id="rId8">
            <o:LockedField>false</o:LockedField>
          </o:OLEObject>
        </w:pict>
      </w:r>
    </w:p>
    <w:p>
      <w:pPr>
        <w:spacing w:line="576" w:lineRule="exact"/>
        <w:ind w:firstLine="1760" w:firstLineChars="550"/>
        <w:rPr>
          <w:rFonts w:ascii="仿宋_GB2312" w:hAnsi="仿宋" w:eastAsia="仿宋_GB2312"/>
          <w:color w:val="000000"/>
          <w:sz w:val="32"/>
          <w:szCs w:val="32"/>
        </w:rPr>
      </w:pPr>
      <w:r>
        <w:rPr>
          <w:rFonts w:hint="eastAsia" w:ascii="仿宋_GB2312" w:hAnsi="仿宋" w:eastAsia="仿宋_GB2312"/>
          <w:color w:val="000000"/>
          <w:sz w:val="32"/>
          <w:szCs w:val="32"/>
        </w:rPr>
        <w:t>（图</w:t>
      </w:r>
      <w:r>
        <w:rPr>
          <w:rFonts w:ascii="仿宋_GB2312" w:hAnsi="仿宋" w:eastAsia="仿宋_GB2312"/>
          <w:color w:val="000000"/>
          <w:sz w:val="32"/>
          <w:szCs w:val="32"/>
        </w:rPr>
        <w:t>2</w:t>
      </w:r>
      <w:r>
        <w:rPr>
          <w:rFonts w:hint="eastAsia" w:ascii="仿宋_GB2312" w:hAnsi="仿宋" w:eastAsia="仿宋_GB2312"/>
          <w:color w:val="000000"/>
          <w:sz w:val="32"/>
          <w:szCs w:val="32"/>
        </w:rPr>
        <w:t>：收入决算结构图）</w:t>
      </w:r>
    </w:p>
    <w:p>
      <w:pPr>
        <w:pStyle w:val="27"/>
        <w:numPr>
          <w:ilvl w:val="0"/>
          <w:numId w:val="1"/>
        </w:numPr>
        <w:spacing w:line="576" w:lineRule="exact"/>
        <w:ind w:firstLineChars="0"/>
        <w:outlineLvl w:val="1"/>
        <w:rPr>
          <w:rStyle w:val="17"/>
          <w:rFonts w:ascii="黑体" w:hAnsi="黑体" w:eastAsia="黑体"/>
          <w:b w:val="0"/>
        </w:rPr>
      </w:pPr>
      <w:bookmarkStart w:id="28" w:name="_Toc15396605"/>
      <w:bookmarkStart w:id="29" w:name="_Toc15377207"/>
      <w:r>
        <w:rPr>
          <w:rFonts w:hint="eastAsia" w:ascii="黑体" w:hAnsi="黑体" w:eastAsia="黑体"/>
          <w:color w:val="000000"/>
          <w:sz w:val="32"/>
          <w:szCs w:val="32"/>
        </w:rPr>
        <w:t>支</w:t>
      </w:r>
      <w:r>
        <w:rPr>
          <w:rStyle w:val="17"/>
          <w:rFonts w:hint="eastAsia" w:ascii="黑体" w:hAnsi="黑体" w:eastAsia="黑体"/>
          <w:b w:val="0"/>
        </w:rPr>
        <w:t>出决算情况说明</w:t>
      </w:r>
      <w:bookmarkEnd w:id="28"/>
      <w:bookmarkEnd w:id="29"/>
    </w:p>
    <w:p>
      <w:pPr>
        <w:spacing w:line="576" w:lineRule="exact"/>
        <w:ind w:firstLine="640"/>
        <w:rPr>
          <w:rFonts w:ascii="仿宋_GB2312" w:hAnsi="仿宋" w:eastAsia="仿宋_GB2312"/>
          <w:color w:val="000000"/>
          <w:sz w:val="32"/>
          <w:szCs w:val="32"/>
        </w:rPr>
      </w:pPr>
      <w:r>
        <w:rPr>
          <w:rFonts w:ascii="仿宋_GB2312" w:hAnsi="仿宋" w:eastAsia="仿宋_GB2312"/>
          <w:color w:val="000000"/>
          <w:sz w:val="32"/>
          <w:szCs w:val="32"/>
        </w:rPr>
        <w:t>2018</w:t>
      </w:r>
      <w:r>
        <w:rPr>
          <w:rFonts w:hint="eastAsia" w:ascii="仿宋_GB2312" w:hAnsi="仿宋" w:eastAsia="仿宋_GB2312"/>
          <w:color w:val="000000"/>
          <w:sz w:val="32"/>
          <w:szCs w:val="32"/>
        </w:rPr>
        <w:t>年本年支出合计</w:t>
      </w:r>
      <w:r>
        <w:rPr>
          <w:rFonts w:ascii="仿宋_GB2312" w:hAnsi="仿宋" w:eastAsia="仿宋_GB2312"/>
          <w:color w:val="000000"/>
          <w:sz w:val="32"/>
          <w:szCs w:val="32"/>
        </w:rPr>
        <w:t>138.66</w:t>
      </w:r>
      <w:r>
        <w:rPr>
          <w:rFonts w:hint="eastAsia" w:ascii="仿宋_GB2312" w:hAnsi="仿宋" w:eastAsia="仿宋_GB2312"/>
          <w:color w:val="000000"/>
          <w:sz w:val="32"/>
          <w:szCs w:val="32"/>
        </w:rPr>
        <w:t>万元，其中：基本支出</w:t>
      </w:r>
      <w:r>
        <w:rPr>
          <w:rFonts w:ascii="仿宋_GB2312" w:hAnsi="仿宋" w:eastAsia="仿宋_GB2312"/>
          <w:color w:val="000000"/>
          <w:sz w:val="32"/>
          <w:szCs w:val="32"/>
        </w:rPr>
        <w:t>138.66</w:t>
      </w:r>
      <w:r>
        <w:rPr>
          <w:rFonts w:hint="eastAsia" w:ascii="仿宋_GB2312" w:hAnsi="仿宋" w:eastAsia="仿宋_GB2312"/>
          <w:color w:val="000000"/>
          <w:sz w:val="32"/>
          <w:szCs w:val="32"/>
        </w:rPr>
        <w:t>万元，占</w:t>
      </w:r>
      <w:r>
        <w:rPr>
          <w:rFonts w:ascii="仿宋_GB2312" w:hAnsi="仿宋" w:eastAsia="仿宋_GB2312"/>
          <w:color w:val="000000"/>
          <w:sz w:val="32"/>
          <w:szCs w:val="32"/>
        </w:rPr>
        <w:t>100%</w:t>
      </w:r>
      <w:r>
        <w:rPr>
          <w:rFonts w:hint="eastAsia" w:ascii="仿宋_GB2312" w:hAnsi="仿宋" w:eastAsia="仿宋_GB2312"/>
          <w:color w:val="000000"/>
          <w:sz w:val="32"/>
          <w:szCs w:val="32"/>
        </w:rPr>
        <w:t>；项目支出</w:t>
      </w:r>
      <w:r>
        <w:rPr>
          <w:rFonts w:ascii="仿宋_GB2312" w:hAnsi="仿宋" w:eastAsia="仿宋_GB2312"/>
          <w:color w:val="000000"/>
          <w:sz w:val="32"/>
          <w:szCs w:val="32"/>
        </w:rPr>
        <w:t>0</w:t>
      </w:r>
      <w:r>
        <w:rPr>
          <w:rFonts w:hint="eastAsia" w:ascii="仿宋_GB2312" w:hAnsi="仿宋" w:eastAsia="仿宋_GB2312"/>
          <w:color w:val="000000"/>
          <w:sz w:val="32"/>
          <w:szCs w:val="32"/>
        </w:rPr>
        <w:t>万元；上缴上级支出</w:t>
      </w:r>
      <w:r>
        <w:rPr>
          <w:rFonts w:ascii="仿宋_GB2312" w:hAnsi="仿宋" w:eastAsia="仿宋_GB2312"/>
          <w:color w:val="000000"/>
          <w:sz w:val="32"/>
          <w:szCs w:val="32"/>
        </w:rPr>
        <w:t>0</w:t>
      </w:r>
      <w:r>
        <w:rPr>
          <w:rFonts w:hint="eastAsia" w:ascii="仿宋_GB2312" w:hAnsi="仿宋" w:eastAsia="仿宋_GB2312"/>
          <w:color w:val="000000"/>
          <w:sz w:val="32"/>
          <w:szCs w:val="32"/>
        </w:rPr>
        <w:t>万元；经营支出</w:t>
      </w:r>
      <w:r>
        <w:rPr>
          <w:rFonts w:ascii="仿宋_GB2312" w:hAnsi="仿宋" w:eastAsia="仿宋_GB2312"/>
          <w:color w:val="000000"/>
          <w:sz w:val="32"/>
          <w:szCs w:val="32"/>
        </w:rPr>
        <w:t>0</w:t>
      </w:r>
      <w:r>
        <w:rPr>
          <w:rFonts w:hint="eastAsia" w:ascii="仿宋_GB2312" w:hAnsi="仿宋" w:eastAsia="仿宋_GB2312"/>
          <w:color w:val="000000"/>
          <w:sz w:val="32"/>
          <w:szCs w:val="32"/>
        </w:rPr>
        <w:t>万元；对附属单位补助支出</w:t>
      </w:r>
      <w:r>
        <w:rPr>
          <w:rFonts w:ascii="仿宋_GB2312" w:hAnsi="仿宋" w:eastAsia="仿宋_GB2312"/>
          <w:color w:val="000000"/>
          <w:sz w:val="32"/>
          <w:szCs w:val="32"/>
        </w:rPr>
        <w:t>0</w:t>
      </w:r>
      <w:r>
        <w:rPr>
          <w:rFonts w:hint="eastAsia" w:ascii="仿宋_GB2312" w:hAnsi="仿宋" w:eastAsia="仿宋_GB2312"/>
          <w:color w:val="000000"/>
          <w:sz w:val="32"/>
          <w:szCs w:val="32"/>
        </w:rPr>
        <w:t>万元。</w:t>
      </w: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r>
        <w:pict>
          <v:shape id="_x0000_s1028" o:spid="_x0000_s1028" o:spt="75" type="#_x0000_t75" style="position:absolute;left:0pt;margin-left:32.8pt;margin-top:-137pt;height:160.8pt;width:362.9pt;mso-wrap-distance-bottom:0.15pt;mso-wrap-distance-left:9pt;mso-wrap-distance-right:9pt;mso-wrap-distance-top:0pt;z-index:251657216;mso-width-relative:page;mso-height-relative:page;" o:ole="t" filled="f" o:preferrelative="t" stroked="f" coordsize="21600,21600">
            <v:path/>
            <v:fill on="f" focussize="0,0"/>
            <v:stroke on="f" joinstyle="miter"/>
            <v:imagedata r:id="rId11" o:title=""/>
            <o:lock v:ext="edit" aspectratio="t"/>
            <w10:wrap type="square"/>
          </v:shape>
          <o:OLEObject Type="Embed" ProgID="Excel.Chart.8" ShapeID="_x0000_s1028" DrawAspect="Content" ObjectID="_1468075727" r:id="rId10">
            <o:LockedField>false</o:LockedField>
          </o:OLEObject>
        </w:pict>
      </w:r>
      <w:r>
        <w:rPr>
          <w:rFonts w:hint="eastAsia" w:ascii="仿宋" w:hAnsi="仿宋" w:eastAsia="仿宋"/>
          <w:color w:val="000000"/>
          <w:sz w:val="32"/>
          <w:szCs w:val="32"/>
        </w:rPr>
        <w:t>（</w:t>
      </w:r>
      <w:r>
        <w:rPr>
          <w:rFonts w:ascii="仿宋" w:hAnsi="仿宋" w:eastAsia="仿宋"/>
          <w:color w:val="000000"/>
          <w:sz w:val="32"/>
          <w:szCs w:val="32"/>
        </w:rPr>
        <w:t xml:space="preserve">           </w:t>
      </w:r>
    </w:p>
    <w:p>
      <w:pPr>
        <w:spacing w:line="600" w:lineRule="exact"/>
        <w:ind w:firstLine="640" w:firstLineChars="200"/>
        <w:rPr>
          <w:rFonts w:ascii="仿宋_GB2312" w:hAnsi="仿宋" w:eastAsia="仿宋_GB2312"/>
          <w:color w:val="000000"/>
          <w:sz w:val="32"/>
          <w:szCs w:val="32"/>
        </w:rPr>
      </w:pPr>
      <w:r>
        <w:rPr>
          <w:rFonts w:hint="eastAsia" w:ascii="仿宋" w:hAnsi="仿宋" w:eastAsia="仿宋"/>
          <w:color w:val="000000"/>
          <w:sz w:val="32"/>
          <w:szCs w:val="32"/>
        </w:rPr>
        <w:t>（</w:t>
      </w:r>
      <w:r>
        <w:rPr>
          <w:rFonts w:hint="eastAsia" w:ascii="仿宋_GB2312" w:hAnsi="仿宋" w:eastAsia="仿宋_GB2312"/>
          <w:color w:val="000000"/>
          <w:sz w:val="32"/>
          <w:szCs w:val="32"/>
        </w:rPr>
        <w:t>图</w:t>
      </w:r>
      <w:r>
        <w:rPr>
          <w:rFonts w:ascii="仿宋_GB2312" w:hAnsi="仿宋" w:eastAsia="仿宋_GB2312"/>
          <w:color w:val="000000"/>
          <w:sz w:val="32"/>
          <w:szCs w:val="32"/>
        </w:rPr>
        <w:t>3</w:t>
      </w:r>
      <w:r>
        <w:rPr>
          <w:rFonts w:hint="eastAsia" w:ascii="仿宋_GB2312" w:hAnsi="仿宋" w:eastAsia="仿宋_GB2312"/>
          <w:color w:val="000000"/>
          <w:sz w:val="32"/>
          <w:szCs w:val="32"/>
        </w:rPr>
        <w:t>：支出决算结构图）</w:t>
      </w:r>
      <w:bookmarkStart w:id="30" w:name="_Toc15396606"/>
      <w:bookmarkStart w:id="31" w:name="_Toc15377208"/>
    </w:p>
    <w:p>
      <w:pPr>
        <w:spacing w:line="576" w:lineRule="exact"/>
        <w:ind w:firstLine="640"/>
        <w:rPr>
          <w:rStyle w:val="17"/>
          <w:rFonts w:ascii="仿宋" w:hAnsi="仿宋" w:eastAsia="仿宋"/>
          <w:b w:val="0"/>
          <w:bCs w:val="0"/>
          <w:color w:val="000000"/>
        </w:rPr>
      </w:pPr>
      <w:r>
        <w:rPr>
          <w:rFonts w:hint="eastAsia" w:ascii="黑体" w:hAnsi="黑体" w:eastAsia="黑体"/>
          <w:color w:val="000000"/>
          <w:sz w:val="32"/>
          <w:szCs w:val="32"/>
        </w:rPr>
        <w:t>四、财</w:t>
      </w:r>
      <w:r>
        <w:rPr>
          <w:rStyle w:val="17"/>
          <w:rFonts w:hint="eastAsia" w:ascii="黑体" w:hAnsi="黑体" w:eastAsia="黑体"/>
          <w:b w:val="0"/>
          <w:bCs w:val="0"/>
        </w:rPr>
        <w:t>政拨款收入支出决算总体情况说明</w:t>
      </w:r>
      <w:bookmarkEnd w:id="30"/>
      <w:bookmarkEnd w:id="31"/>
    </w:p>
    <w:p>
      <w:pPr>
        <w:spacing w:line="576" w:lineRule="exact"/>
        <w:ind w:firstLine="640" w:firstLineChars="200"/>
        <w:rPr>
          <w:rFonts w:ascii="仿宋_GB2312" w:hAnsi="仿宋" w:eastAsia="仿宋_GB2312"/>
          <w:color w:val="000000"/>
          <w:sz w:val="32"/>
          <w:szCs w:val="32"/>
        </w:rPr>
      </w:pPr>
      <w:r>
        <w:rPr>
          <w:rFonts w:ascii="仿宋_GB2312" w:hAnsi="仿宋" w:eastAsia="仿宋_GB2312"/>
          <w:color w:val="000000"/>
          <w:sz w:val="32"/>
          <w:szCs w:val="32"/>
        </w:rPr>
        <w:t>2018</w:t>
      </w:r>
      <w:r>
        <w:rPr>
          <w:rFonts w:hint="eastAsia" w:ascii="仿宋_GB2312" w:hAnsi="仿宋" w:eastAsia="仿宋_GB2312"/>
          <w:color w:val="000000"/>
          <w:sz w:val="32"/>
          <w:szCs w:val="32"/>
        </w:rPr>
        <w:t>年财政拨款收、支总计</w:t>
      </w:r>
      <w:r>
        <w:rPr>
          <w:rFonts w:ascii="仿宋_GB2312" w:hAnsi="仿宋" w:eastAsia="仿宋_GB2312"/>
          <w:color w:val="000000"/>
          <w:sz w:val="32"/>
          <w:szCs w:val="32"/>
        </w:rPr>
        <w:t>138.66</w:t>
      </w:r>
      <w:r>
        <w:rPr>
          <w:rFonts w:hint="eastAsia" w:ascii="仿宋_GB2312" w:hAnsi="仿宋" w:eastAsia="仿宋_GB2312"/>
          <w:color w:val="000000"/>
          <w:sz w:val="32"/>
          <w:szCs w:val="32"/>
        </w:rPr>
        <w:t>万元。与</w:t>
      </w:r>
      <w:r>
        <w:rPr>
          <w:rFonts w:ascii="仿宋_GB2312" w:hAnsi="仿宋" w:eastAsia="仿宋_GB2312"/>
          <w:color w:val="000000"/>
          <w:sz w:val="32"/>
          <w:szCs w:val="32"/>
        </w:rPr>
        <w:t>2017</w:t>
      </w:r>
      <w:r>
        <w:rPr>
          <w:rFonts w:hint="eastAsia" w:ascii="仿宋_GB2312" w:hAnsi="仿宋" w:eastAsia="仿宋_GB2312"/>
          <w:color w:val="000000"/>
          <w:sz w:val="32"/>
          <w:szCs w:val="32"/>
        </w:rPr>
        <w:t>年相比，收、支总计减少</w:t>
      </w:r>
      <w:r>
        <w:rPr>
          <w:rFonts w:ascii="仿宋_GB2312" w:hAnsi="仿宋" w:eastAsia="仿宋_GB2312"/>
          <w:color w:val="000000"/>
          <w:sz w:val="32"/>
          <w:szCs w:val="32"/>
        </w:rPr>
        <w:t>927.1</w:t>
      </w:r>
      <w:r>
        <w:rPr>
          <w:rFonts w:hint="eastAsia" w:ascii="仿宋_GB2312" w:hAnsi="仿宋" w:eastAsia="仿宋_GB2312"/>
          <w:color w:val="000000"/>
          <w:sz w:val="32"/>
          <w:szCs w:val="32"/>
        </w:rPr>
        <w:t>万元。主要变动原因是</w:t>
      </w:r>
      <w:r>
        <w:rPr>
          <w:rFonts w:ascii="仿宋_GB2312" w:hAnsi="仿宋" w:eastAsia="仿宋_GB2312"/>
          <w:color w:val="000000"/>
          <w:sz w:val="32"/>
          <w:szCs w:val="32"/>
        </w:rPr>
        <w:t>2017</w:t>
      </w:r>
      <w:r>
        <w:rPr>
          <w:rFonts w:hint="eastAsia" w:ascii="仿宋_GB2312" w:hAnsi="仿宋" w:eastAsia="仿宋_GB2312"/>
          <w:color w:val="000000"/>
          <w:sz w:val="32"/>
          <w:szCs w:val="32"/>
        </w:rPr>
        <w:t>年支付中心集中区上关村征赔拆迁安置补偿费。</w:t>
      </w:r>
    </w:p>
    <w:p>
      <w:pPr>
        <w:spacing w:line="576" w:lineRule="exact"/>
        <w:ind w:firstLine="420" w:firstLineChars="200"/>
        <w:rPr>
          <w:rFonts w:ascii="仿宋" w:hAnsi="仿宋" w:eastAsia="仿宋"/>
          <w:color w:val="000000"/>
          <w:sz w:val="32"/>
          <w:szCs w:val="32"/>
        </w:rPr>
      </w:pPr>
      <w:r>
        <w:pict>
          <v:shape id="_x0000_s1029" o:spid="_x0000_s1029" o:spt="75" type="#_x0000_t75" style="position:absolute;left:0pt;margin-left:28.3pt;margin-top:15.55pt;height:242.9pt;width:421.45pt;mso-wrap-distance-bottom:0pt;mso-wrap-distance-left:9pt;mso-wrap-distance-right:9pt;mso-wrap-distance-top:0pt;z-index:251660288;mso-width-relative:page;mso-height-relative:page;" o:ole="t" filled="f" o:preferrelative="t" stroked="f" coordsize="21600,21600">
            <v:path/>
            <v:fill on="f" focussize="0,0"/>
            <v:stroke on="f" joinstyle="miter"/>
            <v:imagedata r:id="rId13" o:title=""/>
            <o:lock v:ext="edit" aspectratio="t"/>
            <w10:wrap type="square"/>
          </v:shape>
          <o:OLEObject Type="Embed" ProgID="Excel.Chart.8" ShapeID="_x0000_s1029" DrawAspect="Content" ObjectID="_1468075728" r:id="rId12">
            <o:LockedField>false</o:LockedField>
          </o:OLEObject>
        </w:pict>
      </w: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480" w:firstLineChars="150"/>
        <w:rPr>
          <w:rFonts w:ascii="仿宋_GB2312" w:hAnsi="仿宋" w:eastAsia="仿宋_GB2312"/>
          <w:color w:val="000000"/>
          <w:sz w:val="32"/>
          <w:szCs w:val="32"/>
        </w:rPr>
      </w:pPr>
      <w:r>
        <w:rPr>
          <w:rFonts w:hint="eastAsia" w:ascii="仿宋_GB2312" w:hAnsi="仿宋" w:eastAsia="仿宋_GB2312"/>
          <w:color w:val="000000"/>
          <w:sz w:val="32"/>
          <w:szCs w:val="32"/>
        </w:rPr>
        <w:t>（图</w:t>
      </w:r>
      <w:r>
        <w:rPr>
          <w:rFonts w:ascii="仿宋_GB2312" w:hAnsi="仿宋" w:eastAsia="仿宋_GB2312"/>
          <w:color w:val="000000"/>
          <w:sz w:val="32"/>
          <w:szCs w:val="32"/>
        </w:rPr>
        <w:t>4</w:t>
      </w:r>
      <w:r>
        <w:rPr>
          <w:rFonts w:hint="eastAsia" w:ascii="仿宋_GB2312" w:hAnsi="仿宋" w:eastAsia="仿宋_GB2312"/>
          <w:color w:val="000000"/>
          <w:sz w:val="32"/>
          <w:szCs w:val="32"/>
        </w:rPr>
        <w:t>：财政拨款收、支决算总计变动情况）</w:t>
      </w:r>
      <w:bookmarkStart w:id="32" w:name="_Toc15377209"/>
      <w:bookmarkStart w:id="33" w:name="_Toc15396607"/>
    </w:p>
    <w:p>
      <w:pPr>
        <w:spacing w:line="576" w:lineRule="exact"/>
        <w:ind w:firstLine="640"/>
        <w:rPr>
          <w:rFonts w:ascii="仿宋" w:hAnsi="仿宋" w:eastAsia="仿宋"/>
          <w:b/>
          <w:color w:val="000000"/>
          <w:sz w:val="32"/>
          <w:szCs w:val="32"/>
        </w:rPr>
      </w:pPr>
      <w:r>
        <w:rPr>
          <w:rFonts w:hint="eastAsia" w:ascii="黑体" w:hAnsi="黑体" w:eastAsia="黑体"/>
          <w:color w:val="000000"/>
          <w:sz w:val="32"/>
          <w:szCs w:val="32"/>
        </w:rPr>
        <w:t>五、一</w:t>
      </w:r>
      <w:r>
        <w:rPr>
          <w:rStyle w:val="17"/>
          <w:rFonts w:hint="eastAsia" w:ascii="黑体" w:hAnsi="黑体" w:eastAsia="黑体"/>
          <w:b w:val="0"/>
          <w:bCs w:val="0"/>
        </w:rPr>
        <w:t>般公共预算财政拨款支出决算情况说明</w:t>
      </w:r>
      <w:bookmarkEnd w:id="32"/>
      <w:bookmarkEnd w:id="33"/>
      <w:bookmarkStart w:id="34" w:name="_Toc15377210"/>
    </w:p>
    <w:p>
      <w:pPr>
        <w:spacing w:line="576" w:lineRule="exact"/>
        <w:ind w:firstLine="480" w:firstLineChars="150"/>
        <w:outlineLvl w:val="1"/>
        <w:rPr>
          <w:rFonts w:ascii="仿宋" w:hAnsi="仿宋" w:eastAsia="仿宋"/>
          <w:b/>
          <w:color w:val="000000"/>
          <w:sz w:val="32"/>
          <w:szCs w:val="32"/>
        </w:rPr>
      </w:pPr>
      <w:r>
        <w:rPr>
          <w:rFonts w:hint="eastAsia" w:ascii="楷体_GB2312" w:hAnsi="仿宋" w:eastAsia="楷体_GB2312"/>
          <w:bCs/>
          <w:color w:val="000000"/>
          <w:sz w:val="32"/>
          <w:szCs w:val="32"/>
        </w:rPr>
        <w:t>（一）一般公共预算财政拨款支出决算总体情况</w:t>
      </w:r>
      <w:bookmarkEnd w:id="34"/>
    </w:p>
    <w:p>
      <w:pPr>
        <w:spacing w:line="576" w:lineRule="exact"/>
        <w:ind w:firstLine="640" w:firstLineChars="200"/>
        <w:rPr>
          <w:rFonts w:ascii="仿宋_GB2312" w:hAnsi="仿宋" w:eastAsia="仿宋_GB2312"/>
          <w:color w:val="000000"/>
          <w:sz w:val="32"/>
          <w:szCs w:val="32"/>
        </w:rPr>
      </w:pPr>
      <w:r>
        <w:rPr>
          <w:rFonts w:ascii="仿宋_GB2312" w:hAnsi="仿宋" w:eastAsia="仿宋_GB2312"/>
          <w:color w:val="000000"/>
          <w:sz w:val="32"/>
          <w:szCs w:val="32"/>
        </w:rPr>
        <w:t>2018</w:t>
      </w:r>
      <w:r>
        <w:rPr>
          <w:rFonts w:hint="eastAsia" w:ascii="仿宋_GB2312" w:hAnsi="仿宋" w:eastAsia="仿宋_GB2312"/>
          <w:color w:val="000000"/>
          <w:sz w:val="32"/>
          <w:szCs w:val="32"/>
        </w:rPr>
        <w:t>年一般公共预算财政拨款支出</w:t>
      </w:r>
      <w:r>
        <w:rPr>
          <w:rFonts w:ascii="仿宋_GB2312" w:hAnsi="仿宋" w:eastAsia="仿宋_GB2312"/>
          <w:color w:val="000000"/>
          <w:sz w:val="32"/>
          <w:szCs w:val="32"/>
        </w:rPr>
        <w:t>138.66</w:t>
      </w:r>
      <w:r>
        <w:rPr>
          <w:rFonts w:hint="eastAsia" w:ascii="仿宋_GB2312" w:hAnsi="仿宋" w:eastAsia="仿宋_GB2312"/>
          <w:color w:val="000000"/>
          <w:sz w:val="32"/>
          <w:szCs w:val="32"/>
        </w:rPr>
        <w:t>万元，占本年支出合计的</w:t>
      </w:r>
      <w:r>
        <w:rPr>
          <w:rFonts w:ascii="仿宋_GB2312" w:hAnsi="仿宋" w:eastAsia="仿宋_GB2312"/>
          <w:color w:val="000000"/>
          <w:sz w:val="32"/>
          <w:szCs w:val="32"/>
        </w:rPr>
        <w:t>100%</w:t>
      </w:r>
      <w:r>
        <w:rPr>
          <w:rFonts w:hint="eastAsia" w:ascii="仿宋_GB2312" w:hAnsi="仿宋" w:eastAsia="仿宋_GB2312"/>
          <w:color w:val="000000"/>
          <w:sz w:val="32"/>
          <w:szCs w:val="32"/>
        </w:rPr>
        <w:t>。与</w:t>
      </w:r>
      <w:r>
        <w:rPr>
          <w:rFonts w:ascii="仿宋_GB2312" w:hAnsi="仿宋" w:eastAsia="仿宋_GB2312"/>
          <w:color w:val="000000"/>
          <w:sz w:val="32"/>
          <w:szCs w:val="32"/>
        </w:rPr>
        <w:t>2017</w:t>
      </w:r>
      <w:r>
        <w:rPr>
          <w:rFonts w:hint="eastAsia" w:ascii="仿宋_GB2312" w:hAnsi="仿宋" w:eastAsia="仿宋_GB2312"/>
          <w:color w:val="000000"/>
          <w:sz w:val="32"/>
          <w:szCs w:val="32"/>
        </w:rPr>
        <w:t>年相比，一般公共预算财政拨款减少</w:t>
      </w:r>
      <w:r>
        <w:rPr>
          <w:rFonts w:ascii="仿宋_GB2312" w:hAnsi="仿宋" w:eastAsia="仿宋_GB2312"/>
          <w:color w:val="000000"/>
          <w:sz w:val="32"/>
          <w:szCs w:val="32"/>
        </w:rPr>
        <w:t>927.1</w:t>
      </w:r>
      <w:r>
        <w:rPr>
          <w:rFonts w:hint="eastAsia" w:ascii="仿宋_GB2312" w:hAnsi="仿宋" w:eastAsia="仿宋_GB2312"/>
          <w:color w:val="000000"/>
          <w:sz w:val="32"/>
          <w:szCs w:val="32"/>
        </w:rPr>
        <w:t>万元，减少</w:t>
      </w:r>
      <w:r>
        <w:rPr>
          <w:rFonts w:ascii="仿宋_GB2312" w:hAnsi="仿宋" w:eastAsia="仿宋_GB2312"/>
          <w:sz w:val="32"/>
          <w:szCs w:val="32"/>
        </w:rPr>
        <w:t>87</w:t>
      </w:r>
      <w:r>
        <w:rPr>
          <w:rFonts w:ascii="仿宋_GB2312" w:hAnsi="仿宋" w:eastAsia="仿宋_GB2312"/>
          <w:color w:val="000000"/>
          <w:sz w:val="32"/>
          <w:szCs w:val="32"/>
        </w:rPr>
        <w:t>%</w:t>
      </w:r>
      <w:r>
        <w:rPr>
          <w:rFonts w:hint="eastAsia" w:ascii="仿宋_GB2312" w:hAnsi="仿宋" w:eastAsia="仿宋_GB2312"/>
          <w:color w:val="000000"/>
          <w:sz w:val="32"/>
          <w:szCs w:val="32"/>
        </w:rPr>
        <w:t>。主要变动原因是是</w:t>
      </w:r>
      <w:r>
        <w:rPr>
          <w:rFonts w:ascii="仿宋_GB2312" w:hAnsi="仿宋" w:eastAsia="仿宋_GB2312"/>
          <w:color w:val="000000"/>
          <w:sz w:val="32"/>
          <w:szCs w:val="32"/>
        </w:rPr>
        <w:t>2017</w:t>
      </w:r>
      <w:r>
        <w:rPr>
          <w:rFonts w:hint="eastAsia" w:ascii="仿宋_GB2312" w:hAnsi="仿宋" w:eastAsia="仿宋_GB2312"/>
          <w:color w:val="000000"/>
          <w:sz w:val="32"/>
          <w:szCs w:val="32"/>
        </w:rPr>
        <w:t>年支付中心集中区上关村征赔拆迁安置补偿费。</w:t>
      </w:r>
    </w:p>
    <w:p>
      <w:pPr>
        <w:spacing w:line="600" w:lineRule="exact"/>
        <w:ind w:firstLine="420" w:firstLineChars="200"/>
        <w:rPr>
          <w:rFonts w:ascii="仿宋" w:hAnsi="仿宋" w:eastAsia="仿宋"/>
          <w:color w:val="000000"/>
          <w:sz w:val="32"/>
          <w:szCs w:val="32"/>
        </w:rPr>
      </w:pPr>
      <w:r>
        <w:pict>
          <v:shape id="_x0000_s1030" o:spid="_x0000_s1030" o:spt="75" type="#_x0000_t75" style="position:absolute;left:0pt;margin-left:32.8pt;margin-top:21.85pt;height:242.9pt;width:416.65pt;mso-wrap-distance-bottom:0pt;mso-wrap-distance-left:9pt;mso-wrap-distance-right:9pt;mso-wrap-distance-top:0pt;z-index:251658240;mso-width-relative:page;mso-height-relative:page;" o:ole="t" filled="f" o:preferrelative="t" stroked="f" coordsize="21600,21600">
            <v:path/>
            <v:fill on="f" focussize="0,0"/>
            <v:stroke on="f" joinstyle="miter"/>
            <v:imagedata r:id="rId15" o:title=""/>
            <o:lock v:ext="edit" aspectratio="t"/>
            <w10:wrap type="square"/>
          </v:shape>
          <o:OLEObject Type="Embed" ProgID="Excel.Chart.8" ShapeID="_x0000_s1030" DrawAspect="Content" ObjectID="_1468075729" r:id="rId14">
            <o:LockedField>false</o:LockedField>
          </o:OLEObject>
        </w:pict>
      </w: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960" w:firstLineChars="300"/>
        <w:rPr>
          <w:rFonts w:ascii="仿宋_GB2312" w:hAnsi="仿宋" w:eastAsia="仿宋_GB2312"/>
          <w:color w:val="000000"/>
          <w:sz w:val="32"/>
          <w:szCs w:val="32"/>
        </w:rPr>
      </w:pPr>
      <w:r>
        <w:rPr>
          <w:rFonts w:hint="eastAsia" w:ascii="仿宋_GB2312" w:hAnsi="仿宋" w:eastAsia="仿宋_GB2312"/>
          <w:color w:val="000000"/>
          <w:sz w:val="32"/>
          <w:szCs w:val="32"/>
        </w:rPr>
        <w:t>（图</w:t>
      </w:r>
      <w:r>
        <w:rPr>
          <w:rFonts w:ascii="仿宋_GB2312" w:hAnsi="仿宋" w:eastAsia="仿宋_GB2312"/>
          <w:color w:val="000000"/>
          <w:sz w:val="32"/>
          <w:szCs w:val="32"/>
        </w:rPr>
        <w:t>5</w:t>
      </w:r>
      <w:r>
        <w:rPr>
          <w:rFonts w:hint="eastAsia" w:ascii="仿宋_GB2312" w:hAnsi="仿宋" w:eastAsia="仿宋_GB2312"/>
          <w:color w:val="000000"/>
          <w:sz w:val="32"/>
          <w:szCs w:val="32"/>
        </w:rPr>
        <w:t>：一般公共预算财政拨款支出决算变动情况）</w:t>
      </w:r>
    </w:p>
    <w:p>
      <w:pPr>
        <w:spacing w:line="576" w:lineRule="exact"/>
        <w:ind w:firstLine="640" w:firstLineChars="200"/>
        <w:outlineLvl w:val="1"/>
        <w:rPr>
          <w:rFonts w:ascii="仿宋" w:hAnsi="仿宋" w:eastAsia="仿宋"/>
          <w:b/>
          <w:color w:val="000000"/>
          <w:sz w:val="32"/>
          <w:szCs w:val="32"/>
        </w:rPr>
      </w:pPr>
      <w:bookmarkStart w:id="35" w:name="_Toc15377211"/>
      <w:r>
        <w:rPr>
          <w:rFonts w:hint="eastAsia" w:ascii="楷体_GB2312" w:hAnsi="仿宋" w:eastAsia="楷体_GB2312"/>
          <w:bCs/>
          <w:color w:val="000000"/>
          <w:sz w:val="32"/>
          <w:szCs w:val="32"/>
        </w:rPr>
        <w:t>（二）一般公共预算财政拨款支出决算结构情况</w:t>
      </w:r>
      <w:bookmarkEnd w:id="35"/>
    </w:p>
    <w:p>
      <w:pPr>
        <w:spacing w:line="576" w:lineRule="exact"/>
        <w:ind w:firstLine="640"/>
        <w:rPr>
          <w:rFonts w:ascii="仿宋_GB2312" w:hAnsi="仿宋" w:eastAsia="仿宋_GB2312"/>
          <w:color w:val="000000"/>
          <w:sz w:val="32"/>
          <w:szCs w:val="32"/>
        </w:rPr>
      </w:pPr>
      <w:r>
        <w:rPr>
          <w:rFonts w:ascii="仿宋_GB2312" w:hAnsi="仿宋" w:eastAsia="仿宋_GB2312"/>
          <w:color w:val="000000"/>
          <w:sz w:val="32"/>
          <w:szCs w:val="32"/>
        </w:rPr>
        <w:t>2018</w:t>
      </w:r>
      <w:r>
        <w:rPr>
          <w:rFonts w:hint="eastAsia" w:ascii="仿宋_GB2312" w:hAnsi="仿宋" w:eastAsia="仿宋_GB2312"/>
          <w:color w:val="000000"/>
          <w:sz w:val="32"/>
          <w:szCs w:val="32"/>
        </w:rPr>
        <w:t>年一般公共预算财政拨款支出</w:t>
      </w:r>
      <w:r>
        <w:rPr>
          <w:rFonts w:ascii="仿宋_GB2312" w:hAnsi="仿宋" w:eastAsia="仿宋_GB2312"/>
          <w:color w:val="000000"/>
          <w:sz w:val="32"/>
          <w:szCs w:val="32"/>
        </w:rPr>
        <w:t>138.65</w:t>
      </w:r>
      <w:r>
        <w:rPr>
          <w:rFonts w:hint="eastAsia" w:ascii="仿宋_GB2312" w:hAnsi="仿宋" w:eastAsia="仿宋_GB2312"/>
          <w:color w:val="000000"/>
          <w:sz w:val="32"/>
          <w:szCs w:val="32"/>
        </w:rPr>
        <w:t>万元，主要用于以下方面</w:t>
      </w:r>
      <w:r>
        <w:rPr>
          <w:rFonts w:ascii="仿宋_GB2312" w:hAnsi="仿宋" w:eastAsia="仿宋_GB2312"/>
          <w:color w:val="000000"/>
          <w:sz w:val="32"/>
          <w:szCs w:val="32"/>
        </w:rPr>
        <w:t>:</w:t>
      </w:r>
      <w:r>
        <w:rPr>
          <w:rFonts w:hint="eastAsia" w:ascii="仿宋_GB2312" w:hAnsi="仿宋" w:eastAsia="仿宋_GB2312"/>
          <w:color w:val="000000"/>
          <w:sz w:val="32"/>
          <w:szCs w:val="32"/>
        </w:rPr>
        <w:t>一般公共服务支出（类）支出</w:t>
      </w:r>
      <w:r>
        <w:rPr>
          <w:rFonts w:ascii="仿宋_GB2312" w:hAnsi="仿宋" w:eastAsia="仿宋_GB2312"/>
          <w:color w:val="000000"/>
          <w:sz w:val="32"/>
          <w:szCs w:val="32"/>
        </w:rPr>
        <w:t>102.17</w:t>
      </w:r>
      <w:r>
        <w:rPr>
          <w:rFonts w:hint="eastAsia" w:ascii="仿宋_GB2312" w:hAnsi="仿宋" w:eastAsia="仿宋_GB2312"/>
          <w:color w:val="000000"/>
          <w:sz w:val="32"/>
          <w:szCs w:val="32"/>
        </w:rPr>
        <w:t>万元，占</w:t>
      </w:r>
      <w:r>
        <w:rPr>
          <w:rFonts w:ascii="仿宋_GB2312" w:hAnsi="仿宋" w:eastAsia="仿宋_GB2312"/>
          <w:color w:val="000000"/>
          <w:sz w:val="32"/>
          <w:szCs w:val="32"/>
        </w:rPr>
        <w:t>73.69%</w:t>
      </w:r>
      <w:r>
        <w:rPr>
          <w:rFonts w:hint="eastAsia" w:ascii="仿宋_GB2312" w:hAnsi="仿宋" w:eastAsia="仿宋_GB2312"/>
          <w:color w:val="000000"/>
          <w:sz w:val="32"/>
          <w:szCs w:val="32"/>
        </w:rPr>
        <w:t>；社会保障和就业（类）支出</w:t>
      </w:r>
      <w:r>
        <w:rPr>
          <w:rFonts w:ascii="仿宋_GB2312" w:hAnsi="仿宋" w:eastAsia="仿宋_GB2312"/>
          <w:color w:val="000000"/>
          <w:sz w:val="32"/>
          <w:szCs w:val="32"/>
        </w:rPr>
        <w:t>19.09</w:t>
      </w:r>
      <w:r>
        <w:rPr>
          <w:rFonts w:hint="eastAsia" w:ascii="仿宋_GB2312" w:hAnsi="仿宋" w:eastAsia="仿宋_GB2312"/>
          <w:color w:val="000000"/>
          <w:sz w:val="32"/>
          <w:szCs w:val="32"/>
        </w:rPr>
        <w:t>万元，占</w:t>
      </w:r>
      <w:r>
        <w:rPr>
          <w:rFonts w:ascii="仿宋_GB2312" w:hAnsi="仿宋" w:eastAsia="仿宋_GB2312"/>
          <w:color w:val="000000"/>
          <w:sz w:val="32"/>
          <w:szCs w:val="32"/>
        </w:rPr>
        <w:t>13.76%</w:t>
      </w:r>
      <w:r>
        <w:rPr>
          <w:rFonts w:hint="eastAsia" w:ascii="仿宋_GB2312" w:hAnsi="仿宋" w:eastAsia="仿宋_GB2312"/>
          <w:color w:val="000000"/>
          <w:sz w:val="32"/>
          <w:szCs w:val="32"/>
        </w:rPr>
        <w:t>；医疗卫生（类）支出</w:t>
      </w:r>
      <w:r>
        <w:rPr>
          <w:rFonts w:ascii="仿宋_GB2312" w:hAnsi="仿宋" w:eastAsia="仿宋_GB2312"/>
          <w:color w:val="000000"/>
          <w:sz w:val="32"/>
          <w:szCs w:val="32"/>
        </w:rPr>
        <w:t>7.18</w:t>
      </w:r>
      <w:r>
        <w:rPr>
          <w:rFonts w:hint="eastAsia" w:ascii="仿宋_GB2312" w:hAnsi="仿宋" w:eastAsia="仿宋_GB2312"/>
          <w:color w:val="000000"/>
          <w:sz w:val="32"/>
          <w:szCs w:val="32"/>
        </w:rPr>
        <w:t>万元，占</w:t>
      </w:r>
      <w:r>
        <w:rPr>
          <w:rFonts w:ascii="仿宋_GB2312" w:hAnsi="仿宋" w:eastAsia="仿宋_GB2312"/>
          <w:color w:val="000000"/>
          <w:sz w:val="32"/>
          <w:szCs w:val="32"/>
        </w:rPr>
        <w:t>5.18%</w:t>
      </w:r>
      <w:r>
        <w:rPr>
          <w:rFonts w:hint="eastAsia" w:ascii="仿宋_GB2312" w:hAnsi="仿宋" w:eastAsia="仿宋_GB2312"/>
          <w:color w:val="000000"/>
          <w:sz w:val="32"/>
          <w:szCs w:val="32"/>
        </w:rPr>
        <w:t>；住房保障（类）支出</w:t>
      </w:r>
      <w:r>
        <w:rPr>
          <w:rFonts w:ascii="仿宋_GB2312" w:hAnsi="仿宋" w:eastAsia="仿宋_GB2312"/>
          <w:color w:val="000000"/>
          <w:sz w:val="32"/>
          <w:szCs w:val="32"/>
        </w:rPr>
        <w:t>10.22</w:t>
      </w:r>
      <w:r>
        <w:rPr>
          <w:rFonts w:hint="eastAsia" w:ascii="仿宋_GB2312" w:hAnsi="仿宋" w:eastAsia="仿宋_GB2312"/>
          <w:color w:val="000000"/>
          <w:sz w:val="32"/>
          <w:szCs w:val="32"/>
        </w:rPr>
        <w:t>万元，占</w:t>
      </w:r>
      <w:r>
        <w:rPr>
          <w:rFonts w:ascii="仿宋_GB2312" w:hAnsi="仿宋" w:eastAsia="仿宋_GB2312"/>
          <w:color w:val="000000"/>
          <w:sz w:val="32"/>
          <w:szCs w:val="32"/>
        </w:rPr>
        <w:t>7.37%</w:t>
      </w:r>
      <w:r>
        <w:rPr>
          <w:rFonts w:hint="eastAsia" w:ascii="仿宋_GB2312" w:hAnsi="仿宋" w:eastAsia="仿宋_GB2312"/>
          <w:color w:val="000000"/>
          <w:sz w:val="32"/>
          <w:szCs w:val="32"/>
        </w:rPr>
        <w:t>。</w:t>
      </w: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r>
        <w:pict>
          <v:shape id="_x0000_s1031" o:spid="_x0000_s1031" o:spt="75" type="#_x0000_t75" style="position:absolute;left:0pt;margin-left:32.8pt;margin-top:-218.75pt;height:242.9pt;width:416.65pt;mso-wrap-distance-bottom:0pt;mso-wrap-distance-left:9pt;mso-wrap-distance-right:9pt;mso-wrap-distance-top:0pt;z-index:251658240;mso-width-relative:page;mso-height-relative:page;" o:ole="t" filled="f" o:preferrelative="t" stroked="f" coordsize="21600,21600">
            <v:path/>
            <v:fill on="f" focussize="0,0"/>
            <v:stroke on="f" joinstyle="miter"/>
            <v:imagedata r:id="rId17" o:title=""/>
            <o:lock v:ext="edit" aspectratio="t"/>
            <w10:wrap type="square"/>
          </v:shape>
          <o:OLEObject Type="Embed" ProgID="Excel.Chart.8" ShapeID="_x0000_s1031" DrawAspect="Content" ObjectID="_1468075730" r:id="rId16">
            <o:LockedField>false</o:LockedField>
          </o:OLEObject>
        </w:pict>
      </w:r>
    </w:p>
    <w:p>
      <w:pPr>
        <w:spacing w:line="60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w:t>
      </w:r>
    </w:p>
    <w:p>
      <w:pPr>
        <w:spacing w:line="600" w:lineRule="exact"/>
        <w:ind w:firstLine="640" w:firstLineChars="200"/>
        <w:rPr>
          <w:rFonts w:ascii="仿宋_GB2312" w:hAnsi="仿宋" w:eastAsia="仿宋_GB2312"/>
          <w:color w:val="000000"/>
          <w:sz w:val="32"/>
          <w:szCs w:val="32"/>
        </w:rPr>
      </w:pPr>
    </w:p>
    <w:p>
      <w:pPr>
        <w:spacing w:line="600" w:lineRule="exact"/>
        <w:ind w:firstLine="960" w:firstLineChars="300"/>
        <w:rPr>
          <w:rFonts w:ascii="仿宋_GB2312" w:hAnsi="仿宋" w:eastAsia="仿宋_GB2312"/>
          <w:color w:val="000000"/>
          <w:sz w:val="32"/>
          <w:szCs w:val="32"/>
        </w:rPr>
      </w:pPr>
      <w:r>
        <w:rPr>
          <w:rFonts w:hint="eastAsia" w:ascii="仿宋_GB2312" w:hAnsi="仿宋" w:eastAsia="仿宋_GB2312"/>
          <w:color w:val="000000"/>
          <w:sz w:val="32"/>
          <w:szCs w:val="32"/>
        </w:rPr>
        <w:t>（</w:t>
      </w:r>
      <w:r>
        <w:rPr>
          <w:rFonts w:ascii="仿宋_GB2312" w:hAnsi="仿宋" w:eastAsia="仿宋_GB2312"/>
          <w:color w:val="000000"/>
          <w:sz w:val="32"/>
          <w:szCs w:val="32"/>
        </w:rPr>
        <w:t xml:space="preserve">              </w:t>
      </w:r>
      <w:r>
        <w:rPr>
          <w:rFonts w:hint="eastAsia" w:ascii="仿宋_GB2312" w:hAnsi="仿宋" w:eastAsia="仿宋_GB2312"/>
          <w:color w:val="000000"/>
          <w:sz w:val="32"/>
          <w:szCs w:val="32"/>
        </w:rPr>
        <w:t>图</w:t>
      </w:r>
      <w:r>
        <w:rPr>
          <w:rFonts w:ascii="仿宋_GB2312" w:hAnsi="仿宋" w:eastAsia="仿宋_GB2312"/>
          <w:color w:val="000000"/>
          <w:sz w:val="32"/>
          <w:szCs w:val="32"/>
        </w:rPr>
        <w:t>6</w:t>
      </w:r>
      <w:r>
        <w:rPr>
          <w:rFonts w:hint="eastAsia" w:ascii="仿宋_GB2312" w:hAnsi="仿宋" w:eastAsia="仿宋_GB2312"/>
          <w:color w:val="000000"/>
          <w:sz w:val="32"/>
          <w:szCs w:val="32"/>
        </w:rPr>
        <w:t>：一般公共预算财政拨款支出决算结构）</w:t>
      </w:r>
    </w:p>
    <w:p>
      <w:pPr>
        <w:spacing w:line="576" w:lineRule="exact"/>
        <w:ind w:firstLine="640" w:firstLineChars="200"/>
        <w:outlineLvl w:val="1"/>
        <w:rPr>
          <w:rFonts w:ascii="仿宋" w:hAnsi="仿宋" w:eastAsia="仿宋"/>
          <w:b/>
          <w:color w:val="000000"/>
          <w:sz w:val="32"/>
          <w:szCs w:val="32"/>
        </w:rPr>
      </w:pPr>
      <w:bookmarkStart w:id="36" w:name="_Toc15377212"/>
      <w:r>
        <w:rPr>
          <w:rFonts w:hint="eastAsia" w:ascii="楷体_GB2312" w:hAnsi="仿宋" w:eastAsia="楷体_GB2312"/>
          <w:bCs/>
          <w:color w:val="000000"/>
          <w:sz w:val="32"/>
          <w:szCs w:val="32"/>
        </w:rPr>
        <w:t>（三）一般公共预算财政拨款支出决算具体情况</w:t>
      </w:r>
      <w:bookmarkEnd w:id="36"/>
    </w:p>
    <w:p>
      <w:pPr>
        <w:spacing w:line="576" w:lineRule="exact"/>
        <w:ind w:firstLine="640" w:firstLineChars="200"/>
        <w:outlineLvl w:val="2"/>
        <w:rPr>
          <w:rFonts w:ascii="仿宋_GB2312" w:hAnsi="仿宋" w:eastAsia="仿宋_GB2312"/>
          <w:color w:val="FF0000"/>
          <w:sz w:val="32"/>
          <w:szCs w:val="32"/>
        </w:rPr>
      </w:pPr>
      <w:bookmarkStart w:id="37" w:name="_Toc15378460"/>
      <w:bookmarkStart w:id="38" w:name="_Toc15377444"/>
      <w:bookmarkStart w:id="39" w:name="_Toc15377213"/>
      <w:r>
        <w:rPr>
          <w:rFonts w:ascii="仿宋_GB2312" w:hAnsi="仿宋" w:eastAsia="仿宋_GB2312"/>
          <w:bCs/>
          <w:color w:val="000000"/>
          <w:sz w:val="32"/>
          <w:szCs w:val="32"/>
        </w:rPr>
        <w:t>2018</w:t>
      </w:r>
      <w:r>
        <w:rPr>
          <w:rFonts w:hint="eastAsia" w:ascii="仿宋_GB2312" w:hAnsi="仿宋" w:eastAsia="仿宋_GB2312"/>
          <w:bCs/>
          <w:color w:val="000000"/>
          <w:sz w:val="32"/>
          <w:szCs w:val="32"/>
        </w:rPr>
        <w:t>年一般公共预算支出决算数为</w:t>
      </w:r>
      <w:r>
        <w:rPr>
          <w:rFonts w:ascii="仿宋_GB2312" w:hAnsi="仿宋" w:eastAsia="仿宋_GB2312"/>
          <w:bCs/>
          <w:color w:val="000000"/>
          <w:sz w:val="32"/>
          <w:szCs w:val="32"/>
        </w:rPr>
        <w:t>138.65</w:t>
      </w:r>
      <w:r>
        <w:rPr>
          <w:rFonts w:hint="eastAsia" w:ascii="仿宋_GB2312" w:hAnsi="仿宋" w:eastAsia="仿宋_GB2312"/>
          <w:bCs/>
          <w:color w:val="000000"/>
          <w:sz w:val="32"/>
          <w:szCs w:val="32"/>
        </w:rPr>
        <w:t>万元，</w:t>
      </w:r>
      <w:r>
        <w:rPr>
          <w:rStyle w:val="14"/>
          <w:rFonts w:hint="eastAsia" w:ascii="仿宋_GB2312" w:hAnsi="仿宋" w:eastAsia="仿宋_GB2312"/>
          <w:b w:val="0"/>
          <w:bCs/>
          <w:color w:val="000000"/>
          <w:sz w:val="32"/>
          <w:szCs w:val="32"/>
        </w:rPr>
        <w:t>完成预算</w:t>
      </w:r>
      <w:r>
        <w:rPr>
          <w:rStyle w:val="14"/>
          <w:rFonts w:ascii="仿宋_GB2312" w:hAnsi="仿宋" w:eastAsia="仿宋_GB2312"/>
          <w:b w:val="0"/>
          <w:bCs/>
          <w:color w:val="000000"/>
          <w:sz w:val="32"/>
          <w:szCs w:val="32"/>
        </w:rPr>
        <w:t>100%</w:t>
      </w:r>
      <w:r>
        <w:rPr>
          <w:rStyle w:val="14"/>
          <w:rFonts w:hint="eastAsia" w:ascii="仿宋_GB2312" w:hAnsi="仿宋" w:eastAsia="仿宋_GB2312"/>
          <w:b w:val="0"/>
          <w:bCs/>
          <w:color w:val="000000"/>
          <w:sz w:val="32"/>
          <w:szCs w:val="32"/>
        </w:rPr>
        <w:t>。其中：</w:t>
      </w:r>
      <w:bookmarkEnd w:id="37"/>
      <w:bookmarkEnd w:id="38"/>
      <w:bookmarkEnd w:id="39"/>
    </w:p>
    <w:p>
      <w:pPr>
        <w:spacing w:line="576" w:lineRule="exact"/>
        <w:ind w:firstLine="640" w:firstLineChars="200"/>
        <w:rPr>
          <w:rFonts w:ascii="仿宋_GB2312" w:hAnsi="仿宋" w:eastAsia="仿宋_GB2312"/>
          <w:b/>
          <w:color w:val="000000"/>
          <w:sz w:val="32"/>
          <w:szCs w:val="32"/>
        </w:rPr>
      </w:pPr>
      <w:r>
        <w:rPr>
          <w:rStyle w:val="14"/>
          <w:rFonts w:ascii="仿宋_GB2312" w:hAnsi="仿宋" w:eastAsia="仿宋_GB2312"/>
          <w:b w:val="0"/>
          <w:bCs/>
          <w:color w:val="000000"/>
          <w:sz w:val="32"/>
          <w:szCs w:val="32"/>
        </w:rPr>
        <w:t>1.</w:t>
      </w:r>
      <w:r>
        <w:rPr>
          <w:rStyle w:val="14"/>
          <w:rFonts w:hint="eastAsia" w:ascii="仿宋_GB2312" w:hAnsi="仿宋" w:eastAsia="仿宋_GB2312"/>
          <w:b w:val="0"/>
          <w:bCs/>
          <w:color w:val="000000"/>
          <w:sz w:val="32"/>
          <w:szCs w:val="32"/>
        </w:rPr>
        <w:t>一般公共服务支出（类）商贸事务（款）事业运行（项）</w:t>
      </w:r>
      <w:r>
        <w:rPr>
          <w:rStyle w:val="14"/>
          <w:rFonts w:ascii="仿宋_GB2312" w:hAnsi="仿宋" w:eastAsia="仿宋_GB2312"/>
          <w:bCs/>
          <w:color w:val="000000"/>
          <w:sz w:val="32"/>
          <w:szCs w:val="32"/>
        </w:rPr>
        <w:t>:</w:t>
      </w:r>
      <w:r>
        <w:rPr>
          <w:rStyle w:val="14"/>
          <w:rFonts w:ascii="仿宋_GB2312" w:hAnsi="仿宋" w:eastAsia="仿宋_GB2312"/>
          <w:b w:val="0"/>
          <w:bCs/>
          <w:color w:val="000000"/>
          <w:sz w:val="32"/>
          <w:szCs w:val="32"/>
        </w:rPr>
        <w:t xml:space="preserve"> </w:t>
      </w:r>
      <w:r>
        <w:rPr>
          <w:rStyle w:val="14"/>
          <w:rFonts w:hint="eastAsia" w:ascii="仿宋_GB2312" w:hAnsi="仿宋" w:eastAsia="仿宋_GB2312"/>
          <w:b w:val="0"/>
          <w:bCs/>
          <w:color w:val="000000"/>
          <w:sz w:val="32"/>
          <w:szCs w:val="32"/>
        </w:rPr>
        <w:t>支出决算为</w:t>
      </w:r>
      <w:r>
        <w:rPr>
          <w:rStyle w:val="14"/>
          <w:rFonts w:ascii="仿宋_GB2312" w:hAnsi="仿宋" w:eastAsia="仿宋_GB2312"/>
          <w:b w:val="0"/>
          <w:bCs/>
          <w:color w:val="000000"/>
          <w:sz w:val="32"/>
          <w:szCs w:val="32"/>
        </w:rPr>
        <w:t>102.17</w:t>
      </w:r>
      <w:r>
        <w:rPr>
          <w:rStyle w:val="14"/>
          <w:rFonts w:hint="eastAsia" w:ascii="仿宋_GB2312" w:hAnsi="仿宋" w:eastAsia="仿宋_GB2312"/>
          <w:b w:val="0"/>
          <w:bCs/>
          <w:color w:val="000000"/>
          <w:sz w:val="32"/>
          <w:szCs w:val="32"/>
        </w:rPr>
        <w:t>万元，完成预算</w:t>
      </w:r>
      <w:r>
        <w:rPr>
          <w:rStyle w:val="14"/>
          <w:rFonts w:ascii="仿宋_GB2312" w:hAnsi="仿宋" w:eastAsia="仿宋_GB2312"/>
          <w:b w:val="0"/>
          <w:bCs/>
          <w:color w:val="000000"/>
          <w:sz w:val="32"/>
          <w:szCs w:val="32"/>
        </w:rPr>
        <w:t>100%</w:t>
      </w:r>
      <w:r>
        <w:rPr>
          <w:rStyle w:val="14"/>
          <w:rFonts w:hint="eastAsia" w:ascii="仿宋_GB2312" w:hAnsi="仿宋" w:eastAsia="仿宋_GB2312"/>
          <w:b w:val="0"/>
          <w:bCs/>
          <w:color w:val="000000"/>
          <w:sz w:val="32"/>
          <w:szCs w:val="32"/>
        </w:rPr>
        <w:t>。</w:t>
      </w:r>
    </w:p>
    <w:p>
      <w:pPr>
        <w:spacing w:line="576" w:lineRule="exact"/>
        <w:ind w:firstLine="640" w:firstLineChars="200"/>
        <w:rPr>
          <w:rFonts w:ascii="仿宋_GB2312" w:hAnsi="仿宋" w:eastAsia="仿宋_GB2312"/>
          <w:b/>
          <w:color w:val="000000"/>
          <w:sz w:val="32"/>
          <w:szCs w:val="32"/>
        </w:rPr>
      </w:pPr>
      <w:r>
        <w:rPr>
          <w:rStyle w:val="14"/>
          <w:rFonts w:ascii="仿宋_GB2312" w:hAnsi="仿宋" w:eastAsia="仿宋_GB2312"/>
          <w:b w:val="0"/>
          <w:bCs/>
          <w:color w:val="000000"/>
          <w:sz w:val="32"/>
          <w:szCs w:val="32"/>
        </w:rPr>
        <w:t>2.</w:t>
      </w:r>
      <w:r>
        <w:rPr>
          <w:rStyle w:val="14"/>
          <w:rFonts w:hint="eastAsia" w:ascii="仿宋_GB2312" w:hAnsi="仿宋" w:eastAsia="仿宋_GB2312"/>
          <w:b w:val="0"/>
          <w:bCs/>
          <w:color w:val="000000"/>
          <w:sz w:val="32"/>
          <w:szCs w:val="32"/>
        </w:rPr>
        <w:t>住房保障支出（类）住房改革支出（款）住房公积金（项）</w:t>
      </w:r>
      <w:r>
        <w:rPr>
          <w:rStyle w:val="14"/>
          <w:rFonts w:ascii="仿宋_GB2312" w:hAnsi="仿宋" w:eastAsia="仿宋_GB2312"/>
          <w:b w:val="0"/>
          <w:bCs/>
          <w:color w:val="000000"/>
          <w:sz w:val="32"/>
          <w:szCs w:val="32"/>
        </w:rPr>
        <w:t xml:space="preserve">: </w:t>
      </w:r>
      <w:r>
        <w:rPr>
          <w:rStyle w:val="14"/>
          <w:rFonts w:hint="eastAsia" w:ascii="仿宋_GB2312" w:hAnsi="仿宋" w:eastAsia="仿宋_GB2312"/>
          <w:b w:val="0"/>
          <w:bCs/>
          <w:color w:val="000000"/>
          <w:sz w:val="32"/>
          <w:szCs w:val="32"/>
        </w:rPr>
        <w:t>支出决算为</w:t>
      </w:r>
      <w:r>
        <w:rPr>
          <w:rStyle w:val="14"/>
          <w:rFonts w:ascii="仿宋_GB2312" w:hAnsi="仿宋" w:eastAsia="仿宋_GB2312"/>
          <w:b w:val="0"/>
          <w:bCs/>
          <w:color w:val="000000"/>
          <w:sz w:val="32"/>
          <w:szCs w:val="32"/>
        </w:rPr>
        <w:t>10.22</w:t>
      </w:r>
      <w:r>
        <w:rPr>
          <w:rStyle w:val="14"/>
          <w:rFonts w:hint="eastAsia" w:ascii="仿宋_GB2312" w:hAnsi="仿宋" w:eastAsia="仿宋_GB2312"/>
          <w:b w:val="0"/>
          <w:bCs/>
          <w:color w:val="000000"/>
          <w:sz w:val="32"/>
          <w:szCs w:val="32"/>
        </w:rPr>
        <w:t>万元，完成预算</w:t>
      </w:r>
      <w:r>
        <w:rPr>
          <w:rStyle w:val="14"/>
          <w:rFonts w:ascii="仿宋_GB2312" w:hAnsi="仿宋" w:eastAsia="仿宋_GB2312"/>
          <w:b w:val="0"/>
          <w:bCs/>
          <w:color w:val="000000"/>
          <w:sz w:val="32"/>
          <w:szCs w:val="32"/>
        </w:rPr>
        <w:t>100%</w:t>
      </w:r>
      <w:r>
        <w:rPr>
          <w:rStyle w:val="14"/>
          <w:rFonts w:hint="eastAsia" w:ascii="仿宋_GB2312" w:hAnsi="仿宋" w:eastAsia="仿宋_GB2312"/>
          <w:b w:val="0"/>
          <w:bCs/>
          <w:color w:val="000000"/>
          <w:sz w:val="32"/>
          <w:szCs w:val="32"/>
        </w:rPr>
        <w:t>。</w:t>
      </w:r>
    </w:p>
    <w:p>
      <w:pPr>
        <w:spacing w:line="576" w:lineRule="exact"/>
        <w:ind w:firstLine="640" w:firstLineChars="200"/>
        <w:rPr>
          <w:rStyle w:val="14"/>
          <w:rFonts w:ascii="仿宋_GB2312" w:hAnsi="仿宋" w:eastAsia="仿宋_GB2312"/>
          <w:b w:val="0"/>
          <w:bCs/>
          <w:color w:val="000000"/>
          <w:sz w:val="32"/>
          <w:szCs w:val="32"/>
        </w:rPr>
      </w:pPr>
      <w:r>
        <w:rPr>
          <w:rStyle w:val="14"/>
          <w:rFonts w:ascii="仿宋_GB2312" w:hAnsi="仿宋" w:eastAsia="仿宋_GB2312"/>
          <w:b w:val="0"/>
          <w:bCs/>
          <w:color w:val="000000"/>
          <w:sz w:val="32"/>
          <w:szCs w:val="32"/>
        </w:rPr>
        <w:t>3.</w:t>
      </w:r>
      <w:r>
        <w:rPr>
          <w:rStyle w:val="14"/>
          <w:rFonts w:hint="eastAsia" w:ascii="仿宋_GB2312" w:hAnsi="仿宋" w:eastAsia="仿宋_GB2312"/>
          <w:b w:val="0"/>
          <w:bCs/>
          <w:color w:val="000000"/>
          <w:sz w:val="32"/>
          <w:szCs w:val="32"/>
        </w:rPr>
        <w:t>社会保障和就业支出（类）行政事业单位离退休（款）机关事业单位基本养老保险缴费支出（项）</w:t>
      </w:r>
      <w:r>
        <w:rPr>
          <w:rStyle w:val="14"/>
          <w:rFonts w:ascii="仿宋_GB2312" w:hAnsi="仿宋" w:eastAsia="仿宋_GB2312"/>
          <w:b w:val="0"/>
          <w:bCs/>
          <w:color w:val="000000"/>
          <w:sz w:val="32"/>
          <w:szCs w:val="32"/>
        </w:rPr>
        <w:t xml:space="preserve">: </w:t>
      </w:r>
      <w:r>
        <w:rPr>
          <w:rStyle w:val="14"/>
          <w:rFonts w:hint="eastAsia" w:ascii="仿宋_GB2312" w:hAnsi="仿宋" w:eastAsia="仿宋_GB2312"/>
          <w:b w:val="0"/>
          <w:bCs/>
          <w:color w:val="000000"/>
          <w:sz w:val="32"/>
          <w:szCs w:val="32"/>
        </w:rPr>
        <w:t>支出决算为</w:t>
      </w:r>
      <w:r>
        <w:rPr>
          <w:rStyle w:val="14"/>
          <w:rFonts w:ascii="仿宋_GB2312" w:hAnsi="仿宋" w:eastAsia="仿宋_GB2312"/>
          <w:b w:val="0"/>
          <w:bCs/>
          <w:color w:val="000000"/>
          <w:sz w:val="32"/>
          <w:szCs w:val="32"/>
        </w:rPr>
        <w:t>13.63</w:t>
      </w:r>
      <w:r>
        <w:rPr>
          <w:rStyle w:val="14"/>
          <w:rFonts w:hint="eastAsia" w:ascii="仿宋_GB2312" w:hAnsi="仿宋" w:eastAsia="仿宋_GB2312"/>
          <w:b w:val="0"/>
          <w:bCs/>
          <w:color w:val="000000"/>
          <w:sz w:val="32"/>
          <w:szCs w:val="32"/>
        </w:rPr>
        <w:t>万元，完成预算</w:t>
      </w:r>
      <w:r>
        <w:rPr>
          <w:rStyle w:val="14"/>
          <w:rFonts w:ascii="仿宋_GB2312" w:hAnsi="仿宋" w:eastAsia="仿宋_GB2312"/>
          <w:b w:val="0"/>
          <w:bCs/>
          <w:color w:val="000000"/>
          <w:sz w:val="32"/>
          <w:szCs w:val="32"/>
        </w:rPr>
        <w:t>100%</w:t>
      </w:r>
      <w:r>
        <w:rPr>
          <w:rStyle w:val="14"/>
          <w:rFonts w:hint="eastAsia" w:ascii="仿宋_GB2312" w:hAnsi="仿宋" w:eastAsia="仿宋_GB2312"/>
          <w:b w:val="0"/>
          <w:bCs/>
          <w:color w:val="000000"/>
          <w:sz w:val="32"/>
          <w:szCs w:val="32"/>
        </w:rPr>
        <w:t>。</w:t>
      </w:r>
    </w:p>
    <w:p>
      <w:pPr>
        <w:spacing w:line="576" w:lineRule="exact"/>
        <w:ind w:firstLine="640" w:firstLineChars="200"/>
        <w:rPr>
          <w:rStyle w:val="14"/>
          <w:rFonts w:ascii="仿宋_GB2312" w:hAnsi="仿宋" w:eastAsia="仿宋_GB2312"/>
          <w:b w:val="0"/>
          <w:bCs/>
          <w:color w:val="000000"/>
          <w:sz w:val="32"/>
          <w:szCs w:val="32"/>
        </w:rPr>
      </w:pPr>
      <w:r>
        <w:rPr>
          <w:rStyle w:val="14"/>
          <w:rFonts w:ascii="仿宋_GB2312" w:hAnsi="仿宋" w:eastAsia="仿宋_GB2312"/>
          <w:b w:val="0"/>
          <w:bCs/>
          <w:color w:val="000000"/>
          <w:sz w:val="32"/>
          <w:szCs w:val="32"/>
        </w:rPr>
        <w:t xml:space="preserve">4. </w:t>
      </w:r>
      <w:r>
        <w:rPr>
          <w:rStyle w:val="14"/>
          <w:rFonts w:hint="eastAsia" w:ascii="仿宋_GB2312" w:hAnsi="仿宋" w:eastAsia="仿宋_GB2312"/>
          <w:b w:val="0"/>
          <w:bCs/>
          <w:color w:val="000000"/>
          <w:sz w:val="32"/>
          <w:szCs w:val="32"/>
        </w:rPr>
        <w:t>社会保障和就业支出（类）行政事业单位离退休（款）机关事业单位职业年金缴费支出（项）</w:t>
      </w:r>
      <w:r>
        <w:rPr>
          <w:rStyle w:val="14"/>
          <w:rFonts w:ascii="仿宋_GB2312" w:hAnsi="仿宋" w:eastAsia="仿宋_GB2312"/>
          <w:b w:val="0"/>
          <w:bCs/>
          <w:color w:val="000000"/>
          <w:sz w:val="32"/>
          <w:szCs w:val="32"/>
        </w:rPr>
        <w:t xml:space="preserve">: </w:t>
      </w:r>
      <w:r>
        <w:rPr>
          <w:rStyle w:val="14"/>
          <w:rFonts w:hint="eastAsia" w:ascii="仿宋_GB2312" w:hAnsi="仿宋" w:eastAsia="仿宋_GB2312"/>
          <w:b w:val="0"/>
          <w:bCs/>
          <w:color w:val="000000"/>
          <w:sz w:val="32"/>
          <w:szCs w:val="32"/>
        </w:rPr>
        <w:t>支出决算为</w:t>
      </w:r>
      <w:r>
        <w:rPr>
          <w:rStyle w:val="14"/>
          <w:rFonts w:ascii="仿宋_GB2312" w:hAnsi="仿宋" w:eastAsia="仿宋_GB2312"/>
          <w:b w:val="0"/>
          <w:bCs/>
          <w:color w:val="000000"/>
          <w:sz w:val="32"/>
          <w:szCs w:val="32"/>
        </w:rPr>
        <w:t>5.46</w:t>
      </w:r>
      <w:r>
        <w:rPr>
          <w:rStyle w:val="14"/>
          <w:rFonts w:hint="eastAsia" w:ascii="仿宋_GB2312" w:hAnsi="仿宋" w:eastAsia="仿宋_GB2312"/>
          <w:b w:val="0"/>
          <w:bCs/>
          <w:color w:val="000000"/>
          <w:sz w:val="32"/>
          <w:szCs w:val="32"/>
        </w:rPr>
        <w:t>万元，完成预算</w:t>
      </w:r>
      <w:r>
        <w:rPr>
          <w:rStyle w:val="14"/>
          <w:rFonts w:ascii="仿宋_GB2312" w:hAnsi="仿宋" w:eastAsia="仿宋_GB2312"/>
          <w:b w:val="0"/>
          <w:bCs/>
          <w:color w:val="000000"/>
          <w:sz w:val="32"/>
          <w:szCs w:val="32"/>
        </w:rPr>
        <w:t>100%</w:t>
      </w:r>
      <w:r>
        <w:rPr>
          <w:rStyle w:val="14"/>
          <w:rFonts w:hint="eastAsia" w:ascii="仿宋_GB2312" w:hAnsi="仿宋" w:eastAsia="仿宋_GB2312"/>
          <w:b w:val="0"/>
          <w:bCs/>
          <w:color w:val="000000"/>
          <w:sz w:val="32"/>
          <w:szCs w:val="32"/>
        </w:rPr>
        <w:t>。</w:t>
      </w:r>
    </w:p>
    <w:p>
      <w:pPr>
        <w:spacing w:line="576" w:lineRule="exact"/>
        <w:ind w:firstLine="640" w:firstLineChars="200"/>
        <w:rPr>
          <w:rFonts w:ascii="仿宋_GB2312" w:hAnsi="仿宋" w:eastAsia="仿宋_GB2312"/>
          <w:b/>
          <w:color w:val="000000"/>
          <w:sz w:val="32"/>
          <w:szCs w:val="32"/>
        </w:rPr>
      </w:pPr>
      <w:r>
        <w:rPr>
          <w:rStyle w:val="14"/>
          <w:rFonts w:ascii="仿宋_GB2312" w:hAnsi="仿宋" w:eastAsia="仿宋_GB2312"/>
          <w:b w:val="0"/>
          <w:bCs/>
          <w:color w:val="000000"/>
          <w:sz w:val="32"/>
          <w:szCs w:val="32"/>
        </w:rPr>
        <w:t>5.</w:t>
      </w:r>
      <w:r>
        <w:rPr>
          <w:rStyle w:val="14"/>
          <w:rFonts w:hint="eastAsia" w:ascii="仿宋_GB2312" w:hAnsi="仿宋" w:eastAsia="仿宋_GB2312"/>
          <w:b w:val="0"/>
          <w:bCs/>
          <w:color w:val="000000"/>
          <w:sz w:val="32"/>
          <w:szCs w:val="32"/>
        </w:rPr>
        <w:t>医疗卫生与计划生育支出（类）行政事业单位医疗（款）事业单位医疗（项）</w:t>
      </w:r>
      <w:r>
        <w:rPr>
          <w:rStyle w:val="14"/>
          <w:rFonts w:ascii="仿宋_GB2312" w:hAnsi="仿宋" w:eastAsia="仿宋_GB2312"/>
          <w:b w:val="0"/>
          <w:bCs/>
          <w:color w:val="000000"/>
          <w:sz w:val="32"/>
          <w:szCs w:val="32"/>
        </w:rPr>
        <w:t>:</w:t>
      </w:r>
      <w:r>
        <w:rPr>
          <w:rStyle w:val="14"/>
          <w:rFonts w:hint="eastAsia" w:ascii="仿宋_GB2312" w:hAnsi="仿宋" w:eastAsia="仿宋_GB2312"/>
          <w:b w:val="0"/>
          <w:bCs/>
          <w:color w:val="000000"/>
          <w:sz w:val="32"/>
          <w:szCs w:val="32"/>
        </w:rPr>
        <w:t>支出决算为</w:t>
      </w:r>
      <w:r>
        <w:rPr>
          <w:rStyle w:val="14"/>
          <w:rFonts w:ascii="仿宋_GB2312" w:hAnsi="仿宋" w:eastAsia="仿宋_GB2312"/>
          <w:b w:val="0"/>
          <w:bCs/>
          <w:color w:val="000000"/>
          <w:sz w:val="32"/>
          <w:szCs w:val="32"/>
        </w:rPr>
        <w:t>7.18</w:t>
      </w:r>
      <w:r>
        <w:rPr>
          <w:rStyle w:val="14"/>
          <w:rFonts w:hint="eastAsia" w:ascii="仿宋_GB2312" w:hAnsi="仿宋" w:eastAsia="仿宋_GB2312"/>
          <w:b w:val="0"/>
          <w:bCs/>
          <w:color w:val="000000"/>
          <w:sz w:val="32"/>
          <w:szCs w:val="32"/>
        </w:rPr>
        <w:t>万元，完成预算</w:t>
      </w:r>
      <w:r>
        <w:rPr>
          <w:rStyle w:val="14"/>
          <w:rFonts w:ascii="仿宋_GB2312" w:hAnsi="仿宋" w:eastAsia="仿宋_GB2312"/>
          <w:b w:val="0"/>
          <w:bCs/>
          <w:color w:val="000000"/>
          <w:sz w:val="32"/>
          <w:szCs w:val="32"/>
        </w:rPr>
        <w:t>100%</w:t>
      </w:r>
      <w:r>
        <w:rPr>
          <w:rStyle w:val="14"/>
          <w:rFonts w:hint="eastAsia" w:ascii="仿宋_GB2312" w:hAnsi="仿宋" w:eastAsia="仿宋_GB2312"/>
          <w:b w:val="0"/>
          <w:bCs/>
          <w:color w:val="000000"/>
          <w:sz w:val="32"/>
          <w:szCs w:val="32"/>
        </w:rPr>
        <w:t>。</w:t>
      </w:r>
    </w:p>
    <w:p>
      <w:pPr>
        <w:spacing w:line="576" w:lineRule="exact"/>
        <w:ind w:firstLine="640" w:firstLineChars="200"/>
        <w:rPr>
          <w:rStyle w:val="17"/>
          <w:rFonts w:ascii="仿宋_GB2312" w:hAnsi="仿宋" w:eastAsia="仿宋_GB2312"/>
          <w:b w:val="0"/>
          <w:bCs w:val="0"/>
          <w:color w:val="000000"/>
        </w:rPr>
      </w:pPr>
      <w:bookmarkStart w:id="40" w:name="_Toc15377214"/>
      <w:bookmarkStart w:id="41" w:name="_Toc15396608"/>
      <w:r>
        <w:rPr>
          <w:rFonts w:hint="eastAsia" w:ascii="黑体" w:eastAsia="黑体"/>
          <w:color w:val="000000"/>
          <w:sz w:val="32"/>
          <w:szCs w:val="32"/>
        </w:rPr>
        <w:t>六、</w:t>
      </w:r>
      <w:r>
        <w:rPr>
          <w:rFonts w:hint="eastAsia" w:ascii="黑体" w:hAnsi="黑体" w:eastAsia="黑体"/>
          <w:color w:val="000000"/>
          <w:sz w:val="32"/>
          <w:szCs w:val="32"/>
        </w:rPr>
        <w:t>一</w:t>
      </w:r>
      <w:r>
        <w:rPr>
          <w:rStyle w:val="17"/>
          <w:rFonts w:hint="eastAsia" w:ascii="黑体" w:hAnsi="黑体" w:eastAsia="黑体"/>
          <w:b w:val="0"/>
          <w:bCs w:val="0"/>
        </w:rPr>
        <w:t>般公共预算财政拨款基本支出决算情况说明</w:t>
      </w:r>
      <w:bookmarkEnd w:id="40"/>
      <w:bookmarkEnd w:id="41"/>
    </w:p>
    <w:p>
      <w:pPr>
        <w:spacing w:line="576" w:lineRule="exact"/>
        <w:ind w:firstLine="645"/>
        <w:rPr>
          <w:rFonts w:ascii="仿宋_GB2312" w:hAnsi="仿宋" w:eastAsia="仿宋_GB2312"/>
          <w:color w:val="000000"/>
          <w:sz w:val="32"/>
          <w:szCs w:val="32"/>
        </w:rPr>
      </w:pPr>
      <w:r>
        <w:rPr>
          <w:rFonts w:ascii="仿宋_GB2312" w:hAnsi="仿宋" w:eastAsia="仿宋_GB2312"/>
          <w:color w:val="000000"/>
          <w:sz w:val="32"/>
          <w:szCs w:val="32"/>
        </w:rPr>
        <w:t>2018</w:t>
      </w:r>
      <w:r>
        <w:rPr>
          <w:rFonts w:hint="eastAsia" w:ascii="仿宋_GB2312" w:hAnsi="仿宋" w:eastAsia="仿宋_GB2312"/>
          <w:color w:val="000000"/>
          <w:sz w:val="32"/>
          <w:szCs w:val="32"/>
        </w:rPr>
        <w:t>年一般公共预算财政拨款基本支出</w:t>
      </w:r>
      <w:r>
        <w:rPr>
          <w:rFonts w:ascii="仿宋_GB2312" w:hAnsi="仿宋" w:eastAsia="仿宋_GB2312"/>
          <w:color w:val="000000"/>
          <w:sz w:val="32"/>
          <w:szCs w:val="32"/>
        </w:rPr>
        <w:t>138.65</w:t>
      </w:r>
      <w:r>
        <w:rPr>
          <w:rFonts w:hint="eastAsia" w:ascii="仿宋_GB2312" w:hAnsi="仿宋" w:eastAsia="仿宋_GB2312"/>
          <w:color w:val="000000"/>
          <w:sz w:val="32"/>
          <w:szCs w:val="32"/>
        </w:rPr>
        <w:t>万元，其中：</w:t>
      </w:r>
    </w:p>
    <w:p>
      <w:pPr>
        <w:spacing w:line="576" w:lineRule="exact"/>
        <w:ind w:firstLine="645"/>
        <w:rPr>
          <w:rFonts w:ascii="仿宋_GB2312" w:hAnsi="仿宋" w:eastAsia="仿宋_GB2312"/>
          <w:color w:val="000000"/>
          <w:sz w:val="32"/>
          <w:szCs w:val="32"/>
        </w:rPr>
      </w:pPr>
      <w:r>
        <w:rPr>
          <w:rFonts w:hint="eastAsia" w:ascii="仿宋_GB2312" w:hAnsi="仿宋" w:eastAsia="仿宋_GB2312"/>
          <w:color w:val="000000"/>
          <w:sz w:val="32"/>
          <w:szCs w:val="32"/>
        </w:rPr>
        <w:t>人员经费</w:t>
      </w:r>
      <w:r>
        <w:rPr>
          <w:rFonts w:ascii="仿宋_GB2312" w:hAnsi="仿宋" w:eastAsia="仿宋_GB2312"/>
          <w:color w:val="000000"/>
          <w:sz w:val="32"/>
          <w:szCs w:val="32"/>
        </w:rPr>
        <w:t>130.12</w:t>
      </w:r>
      <w:r>
        <w:rPr>
          <w:rFonts w:hint="eastAsia" w:ascii="仿宋_GB2312" w:hAnsi="仿宋" w:eastAsia="仿宋_GB2312"/>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等。</w:t>
      </w:r>
      <w:r>
        <w:rPr>
          <w:rFonts w:ascii="仿宋_GB2312" w:hAnsi="仿宋" w:eastAsia="仿宋_GB2312"/>
          <w:color w:val="000000"/>
          <w:sz w:val="32"/>
          <w:szCs w:val="32"/>
        </w:rPr>
        <w:br w:type="textWrapping"/>
      </w:r>
      <w:r>
        <w:rPr>
          <w:rFonts w:hint="eastAsia" w:ascii="仿宋_GB2312" w:hAnsi="仿宋" w:eastAsia="仿宋_GB2312"/>
          <w:color w:val="000000"/>
          <w:sz w:val="32"/>
          <w:szCs w:val="32"/>
        </w:rPr>
        <w:t>　　公用经费</w:t>
      </w:r>
      <w:r>
        <w:rPr>
          <w:rFonts w:ascii="仿宋_GB2312" w:hAnsi="仿宋" w:eastAsia="仿宋_GB2312"/>
          <w:color w:val="000000"/>
          <w:sz w:val="32"/>
          <w:szCs w:val="32"/>
        </w:rPr>
        <w:t>8.53</w:t>
      </w:r>
      <w:r>
        <w:rPr>
          <w:rFonts w:hint="eastAsia" w:ascii="仿宋_GB2312" w:hAnsi="仿宋" w:eastAsia="仿宋_GB2312"/>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576" w:lineRule="exact"/>
        <w:ind w:firstLine="640" w:firstLineChars="200"/>
        <w:rPr>
          <w:rStyle w:val="17"/>
          <w:rFonts w:ascii="仿宋" w:hAnsi="仿宋" w:eastAsia="仿宋"/>
          <w:b w:val="0"/>
          <w:bCs w:val="0"/>
          <w:color w:val="000000"/>
        </w:rPr>
      </w:pPr>
      <w:bookmarkStart w:id="42" w:name="_Toc15396609"/>
      <w:bookmarkStart w:id="43" w:name="_Toc15377215"/>
      <w:r>
        <w:rPr>
          <w:rFonts w:hint="eastAsia" w:ascii="黑体" w:eastAsia="黑体"/>
          <w:color w:val="000000"/>
          <w:sz w:val="32"/>
          <w:szCs w:val="32"/>
        </w:rPr>
        <w:t>七、</w:t>
      </w:r>
      <w:r>
        <w:rPr>
          <w:rStyle w:val="17"/>
          <w:rFonts w:hint="eastAsia" w:ascii="黑体" w:hAnsi="黑体" w:eastAsia="黑体"/>
          <w:b w:val="0"/>
          <w:bCs w:val="0"/>
        </w:rPr>
        <w:t>“三公”经费财政拨款支出决算情况说明</w:t>
      </w:r>
      <w:bookmarkEnd w:id="42"/>
      <w:bookmarkEnd w:id="43"/>
    </w:p>
    <w:p>
      <w:pPr>
        <w:spacing w:line="576" w:lineRule="exact"/>
        <w:ind w:firstLine="640" w:firstLineChars="200"/>
        <w:outlineLvl w:val="1"/>
        <w:rPr>
          <w:rFonts w:ascii="仿宋" w:hAnsi="仿宋" w:eastAsia="仿宋"/>
          <w:bCs/>
          <w:color w:val="000000"/>
          <w:sz w:val="32"/>
          <w:szCs w:val="32"/>
        </w:rPr>
      </w:pPr>
      <w:bookmarkStart w:id="44" w:name="_Toc15377216"/>
      <w:r>
        <w:rPr>
          <w:rFonts w:hint="eastAsia" w:ascii="楷体_GB2312" w:hAnsi="仿宋" w:eastAsia="楷体_GB2312"/>
          <w:bCs/>
          <w:color w:val="000000"/>
          <w:sz w:val="32"/>
          <w:szCs w:val="32"/>
        </w:rPr>
        <w:t>（一）“三公”经费财政拨款支出决算总体情况说明</w:t>
      </w:r>
      <w:bookmarkEnd w:id="44"/>
    </w:p>
    <w:p>
      <w:pPr>
        <w:spacing w:line="576" w:lineRule="exact"/>
        <w:ind w:firstLine="640" w:firstLineChars="200"/>
        <w:rPr>
          <w:rFonts w:ascii="仿宋_GB2312" w:hAnsi="仿宋" w:eastAsia="仿宋_GB2312"/>
          <w:color w:val="000000"/>
          <w:sz w:val="32"/>
          <w:szCs w:val="32"/>
        </w:rPr>
      </w:pPr>
      <w:r>
        <w:rPr>
          <w:rFonts w:ascii="仿宋_GB2312" w:hAnsi="仿宋" w:eastAsia="仿宋_GB2312"/>
          <w:color w:val="000000"/>
          <w:sz w:val="32"/>
          <w:szCs w:val="32"/>
        </w:rPr>
        <w:t>2018</w:t>
      </w:r>
      <w:r>
        <w:rPr>
          <w:rFonts w:hint="eastAsia" w:ascii="仿宋_GB2312" w:hAnsi="仿宋" w:eastAsia="仿宋_GB2312"/>
          <w:color w:val="000000"/>
          <w:sz w:val="32"/>
          <w:szCs w:val="32"/>
        </w:rPr>
        <w:t>年“三公”经费财政拨款支出决算为</w:t>
      </w:r>
      <w:r>
        <w:rPr>
          <w:rFonts w:ascii="仿宋_GB2312" w:hAnsi="仿宋" w:eastAsia="仿宋_GB2312"/>
          <w:color w:val="000000"/>
          <w:sz w:val="32"/>
          <w:szCs w:val="32"/>
        </w:rPr>
        <w:t>1.96</w:t>
      </w:r>
      <w:r>
        <w:rPr>
          <w:rFonts w:hint="eastAsia" w:ascii="仿宋_GB2312" w:hAnsi="仿宋" w:eastAsia="仿宋_GB2312"/>
          <w:color w:val="000000"/>
          <w:sz w:val="32"/>
          <w:szCs w:val="32"/>
        </w:rPr>
        <w:t>万元。</w:t>
      </w:r>
    </w:p>
    <w:p>
      <w:pPr>
        <w:spacing w:line="576" w:lineRule="exact"/>
        <w:ind w:firstLine="640" w:firstLineChars="200"/>
        <w:outlineLvl w:val="1"/>
        <w:rPr>
          <w:rFonts w:ascii="仿宋" w:hAnsi="仿宋" w:eastAsia="仿宋"/>
          <w:b/>
          <w:color w:val="000000"/>
          <w:sz w:val="32"/>
          <w:szCs w:val="32"/>
        </w:rPr>
      </w:pPr>
      <w:bookmarkStart w:id="45" w:name="_Toc15377217"/>
      <w:r>
        <w:rPr>
          <w:rFonts w:hint="eastAsia" w:ascii="楷体_GB2312" w:hAnsi="仿宋" w:eastAsia="楷体_GB2312"/>
          <w:bCs/>
          <w:color w:val="000000"/>
          <w:sz w:val="32"/>
          <w:szCs w:val="32"/>
        </w:rPr>
        <w:t>（二）“三公”经费财政拨款支出决算具体情况说明</w:t>
      </w:r>
      <w:bookmarkEnd w:id="45"/>
    </w:p>
    <w:p>
      <w:pPr>
        <w:spacing w:line="576" w:lineRule="exact"/>
        <w:ind w:firstLine="640" w:firstLineChars="200"/>
        <w:rPr>
          <w:rFonts w:ascii="仿宋_GB2312" w:hAnsi="仿宋" w:eastAsia="仿宋_GB2312"/>
          <w:color w:val="000000"/>
          <w:sz w:val="32"/>
          <w:szCs w:val="32"/>
        </w:rPr>
      </w:pPr>
      <w:r>
        <w:rPr>
          <w:rFonts w:ascii="仿宋_GB2312" w:hAnsi="仿宋" w:eastAsia="仿宋_GB2312"/>
          <w:color w:val="000000"/>
          <w:sz w:val="32"/>
          <w:szCs w:val="32"/>
        </w:rPr>
        <w:t>2018</w:t>
      </w:r>
      <w:r>
        <w:rPr>
          <w:rFonts w:hint="eastAsia" w:ascii="仿宋_GB2312" w:hAnsi="仿宋" w:eastAsia="仿宋_GB2312"/>
          <w:color w:val="000000"/>
          <w:sz w:val="32"/>
          <w:szCs w:val="32"/>
        </w:rPr>
        <w:t>年“三公”经费财政拨款支出决算中，因公出国（境）费支出决算</w:t>
      </w:r>
      <w:r>
        <w:rPr>
          <w:rFonts w:ascii="仿宋_GB2312" w:hAnsi="仿宋" w:eastAsia="仿宋_GB2312"/>
          <w:color w:val="000000"/>
          <w:sz w:val="32"/>
          <w:szCs w:val="32"/>
        </w:rPr>
        <w:t>0</w:t>
      </w:r>
      <w:r>
        <w:rPr>
          <w:rFonts w:hint="eastAsia" w:ascii="仿宋_GB2312" w:hAnsi="仿宋" w:eastAsia="仿宋_GB2312"/>
          <w:color w:val="000000"/>
          <w:sz w:val="32"/>
          <w:szCs w:val="32"/>
        </w:rPr>
        <w:t>万元；公务用车购置及运行维护费支出决算</w:t>
      </w:r>
      <w:r>
        <w:rPr>
          <w:rFonts w:ascii="仿宋_GB2312" w:hAnsi="仿宋" w:eastAsia="仿宋_GB2312"/>
          <w:color w:val="000000"/>
          <w:sz w:val="32"/>
          <w:szCs w:val="32"/>
        </w:rPr>
        <w:t>1.96</w:t>
      </w:r>
      <w:r>
        <w:rPr>
          <w:rFonts w:hint="eastAsia" w:ascii="仿宋_GB2312" w:hAnsi="仿宋" w:eastAsia="仿宋_GB2312"/>
          <w:color w:val="000000"/>
          <w:sz w:val="32"/>
          <w:szCs w:val="32"/>
        </w:rPr>
        <w:t>万元；公务接待费支出决算</w:t>
      </w:r>
      <w:r>
        <w:rPr>
          <w:rFonts w:ascii="仿宋_GB2312" w:hAnsi="仿宋" w:eastAsia="仿宋_GB2312"/>
          <w:color w:val="000000"/>
          <w:sz w:val="32"/>
          <w:szCs w:val="32"/>
        </w:rPr>
        <w:t>0</w:t>
      </w:r>
      <w:r>
        <w:rPr>
          <w:rFonts w:hint="eastAsia" w:ascii="仿宋_GB2312" w:hAnsi="仿宋" w:eastAsia="仿宋_GB2312"/>
          <w:color w:val="000000"/>
          <w:sz w:val="32"/>
          <w:szCs w:val="32"/>
        </w:rPr>
        <w:t>万元。具体情况如下：</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rPr>
        <w:t>因公出国（境）经费支出</w:t>
      </w:r>
      <w:r>
        <w:rPr>
          <w:rFonts w:ascii="仿宋_GB2312" w:eastAsia="仿宋_GB2312"/>
          <w:color w:val="000000"/>
          <w:sz w:val="32"/>
          <w:szCs w:val="32"/>
        </w:rPr>
        <w:t>0</w:t>
      </w:r>
      <w:r>
        <w:rPr>
          <w:rFonts w:hint="eastAsia" w:ascii="仿宋_GB2312" w:eastAsia="仿宋_GB2312"/>
          <w:color w:val="000000"/>
          <w:sz w:val="32"/>
          <w:szCs w:val="32"/>
        </w:rPr>
        <w:t>万元</w:t>
      </w:r>
      <w:r>
        <w:rPr>
          <w:rStyle w:val="14"/>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ascii="仿宋_GB2312" w:eastAsia="仿宋_GB2312"/>
          <w:color w:val="000000"/>
          <w:sz w:val="32"/>
          <w:szCs w:val="32"/>
        </w:rPr>
        <w:t>0</w:t>
      </w:r>
      <w:r>
        <w:rPr>
          <w:rFonts w:hint="eastAsia" w:ascii="仿宋_GB2312" w:eastAsia="仿宋_GB2312"/>
          <w:color w:val="000000"/>
          <w:sz w:val="32"/>
          <w:szCs w:val="32"/>
        </w:rPr>
        <w:t>次，出国（境）</w:t>
      </w:r>
      <w:r>
        <w:rPr>
          <w:rFonts w:ascii="仿宋_GB2312" w:eastAsia="仿宋_GB2312"/>
          <w:color w:val="000000"/>
          <w:sz w:val="32"/>
          <w:szCs w:val="32"/>
        </w:rPr>
        <w:t>0</w:t>
      </w:r>
      <w:r>
        <w:rPr>
          <w:rFonts w:hint="eastAsia" w:ascii="仿宋_GB2312" w:eastAsia="仿宋_GB2312"/>
          <w:color w:val="000000"/>
          <w:sz w:val="32"/>
          <w:szCs w:val="32"/>
        </w:rPr>
        <w:t>人。</w:t>
      </w:r>
    </w:p>
    <w:p>
      <w:pPr>
        <w:spacing w:line="576" w:lineRule="exact"/>
        <w:ind w:firstLine="640"/>
        <w:rPr>
          <w:rFonts w:ascii="仿宋_GB2312" w:eastAsia="仿宋_GB2312"/>
          <w:b/>
          <w:color w:val="000000"/>
          <w:sz w:val="32"/>
          <w:szCs w:val="32"/>
        </w:rPr>
      </w:pPr>
      <w:r>
        <w:rPr>
          <w:rFonts w:ascii="仿宋_GB2312" w:eastAsia="仿宋_GB2312"/>
          <w:color w:val="000000"/>
          <w:sz w:val="32"/>
          <w:szCs w:val="32"/>
        </w:rPr>
        <w:t>2.</w:t>
      </w:r>
      <w:r>
        <w:rPr>
          <w:rFonts w:hint="eastAsia" w:ascii="仿宋_GB2312" w:eastAsia="仿宋_GB2312"/>
          <w:color w:val="000000"/>
          <w:sz w:val="32"/>
          <w:szCs w:val="32"/>
        </w:rPr>
        <w:t>公务用车购置及运行维护费支出</w:t>
      </w:r>
      <w:r>
        <w:rPr>
          <w:rFonts w:ascii="仿宋_GB2312" w:eastAsia="仿宋_GB2312"/>
          <w:color w:val="000000"/>
          <w:sz w:val="32"/>
          <w:szCs w:val="32"/>
        </w:rPr>
        <w:t>1.96</w:t>
      </w:r>
      <w:r>
        <w:rPr>
          <w:rFonts w:hint="eastAsia" w:ascii="仿宋_GB2312" w:eastAsia="仿宋_GB2312"/>
          <w:color w:val="000000"/>
          <w:sz w:val="32"/>
          <w:szCs w:val="32"/>
        </w:rPr>
        <w:t>万元</w:t>
      </w:r>
      <w:r>
        <w:rPr>
          <w:rStyle w:val="14"/>
          <w:rFonts w:hint="eastAsia" w:ascii="仿宋" w:hAnsi="仿宋" w:eastAsia="仿宋"/>
          <w:b w:val="0"/>
          <w:bCs/>
          <w:color w:val="000000"/>
          <w:sz w:val="32"/>
          <w:szCs w:val="32"/>
        </w:rPr>
        <w:t>。</w:t>
      </w:r>
      <w:r>
        <w:rPr>
          <w:rFonts w:hint="eastAsia" w:ascii="仿宋_GB2312" w:eastAsia="仿宋_GB2312"/>
          <w:color w:val="000000"/>
          <w:sz w:val="32"/>
          <w:szCs w:val="32"/>
        </w:rPr>
        <w:t>其中：公务用车购置支出</w:t>
      </w:r>
      <w:r>
        <w:rPr>
          <w:rFonts w:ascii="仿宋_GB2312" w:eastAsia="仿宋_GB2312"/>
          <w:color w:val="000000"/>
          <w:sz w:val="32"/>
          <w:szCs w:val="32"/>
        </w:rPr>
        <w:t>0</w:t>
      </w:r>
      <w:r>
        <w:rPr>
          <w:rFonts w:hint="eastAsia" w:ascii="仿宋_GB2312" w:eastAsia="仿宋_GB2312"/>
          <w:color w:val="000000"/>
          <w:sz w:val="32"/>
          <w:szCs w:val="32"/>
        </w:rPr>
        <w:t>万元。全年按规定更新购置公务用车</w:t>
      </w:r>
      <w:r>
        <w:rPr>
          <w:rFonts w:ascii="仿宋_GB2312" w:eastAsia="仿宋_GB2312"/>
          <w:color w:val="000000"/>
          <w:sz w:val="32"/>
          <w:szCs w:val="32"/>
        </w:rPr>
        <w:t>0</w:t>
      </w:r>
      <w:r>
        <w:rPr>
          <w:rFonts w:hint="eastAsia" w:ascii="仿宋_GB2312" w:eastAsia="仿宋_GB2312"/>
          <w:color w:val="000000"/>
          <w:sz w:val="32"/>
          <w:szCs w:val="32"/>
        </w:rPr>
        <w:t>辆，其中：轿车</w:t>
      </w:r>
      <w:r>
        <w:rPr>
          <w:rFonts w:ascii="仿宋_GB2312" w:eastAsia="仿宋_GB2312"/>
          <w:color w:val="000000"/>
          <w:sz w:val="32"/>
          <w:szCs w:val="32"/>
        </w:rPr>
        <w:t>0</w:t>
      </w:r>
      <w:r>
        <w:rPr>
          <w:rFonts w:hint="eastAsia" w:ascii="仿宋_GB2312" w:eastAsia="仿宋_GB2312"/>
          <w:color w:val="000000"/>
          <w:sz w:val="32"/>
          <w:szCs w:val="32"/>
        </w:rPr>
        <w:t>辆、金额</w:t>
      </w:r>
      <w:r>
        <w:rPr>
          <w:rFonts w:ascii="仿宋_GB2312" w:eastAsia="仿宋_GB2312"/>
          <w:color w:val="000000"/>
          <w:sz w:val="32"/>
          <w:szCs w:val="32"/>
        </w:rPr>
        <w:t>0</w:t>
      </w:r>
      <w:r>
        <w:rPr>
          <w:rFonts w:hint="eastAsia" w:ascii="仿宋_GB2312" w:eastAsia="仿宋_GB2312"/>
          <w:color w:val="000000"/>
          <w:sz w:val="32"/>
          <w:szCs w:val="32"/>
        </w:rPr>
        <w:t>万元，越野车</w:t>
      </w:r>
      <w:r>
        <w:rPr>
          <w:rFonts w:ascii="仿宋_GB2312" w:eastAsia="仿宋_GB2312"/>
          <w:color w:val="000000"/>
          <w:sz w:val="32"/>
          <w:szCs w:val="32"/>
        </w:rPr>
        <w:t>0</w:t>
      </w:r>
      <w:r>
        <w:rPr>
          <w:rFonts w:hint="eastAsia" w:ascii="仿宋_GB2312" w:eastAsia="仿宋_GB2312"/>
          <w:color w:val="000000"/>
          <w:sz w:val="32"/>
          <w:szCs w:val="32"/>
        </w:rPr>
        <w:t>辆、金额</w:t>
      </w:r>
      <w:r>
        <w:rPr>
          <w:rFonts w:ascii="仿宋_GB2312" w:eastAsia="仿宋_GB2312"/>
          <w:color w:val="000000"/>
          <w:sz w:val="32"/>
          <w:szCs w:val="32"/>
        </w:rPr>
        <w:t>0</w:t>
      </w:r>
      <w:r>
        <w:rPr>
          <w:rFonts w:hint="eastAsia" w:ascii="仿宋_GB2312" w:eastAsia="仿宋_GB2312"/>
          <w:color w:val="000000"/>
          <w:sz w:val="32"/>
          <w:szCs w:val="32"/>
        </w:rPr>
        <w:t>万元，载客汽车</w:t>
      </w:r>
      <w:r>
        <w:rPr>
          <w:rFonts w:ascii="仿宋_GB2312" w:eastAsia="仿宋_GB2312"/>
          <w:color w:val="000000"/>
          <w:sz w:val="32"/>
          <w:szCs w:val="32"/>
        </w:rPr>
        <w:t>0</w:t>
      </w:r>
      <w:r>
        <w:rPr>
          <w:rFonts w:hint="eastAsia" w:ascii="仿宋_GB2312" w:eastAsia="仿宋_GB2312"/>
          <w:color w:val="000000"/>
          <w:sz w:val="32"/>
          <w:szCs w:val="32"/>
        </w:rPr>
        <w:t>辆、金额</w:t>
      </w:r>
      <w:r>
        <w:rPr>
          <w:rFonts w:ascii="仿宋_GB2312" w:eastAsia="仿宋_GB2312"/>
          <w:color w:val="000000"/>
          <w:sz w:val="32"/>
          <w:szCs w:val="32"/>
        </w:rPr>
        <w:t>0</w:t>
      </w:r>
      <w:r>
        <w:rPr>
          <w:rFonts w:hint="eastAsia" w:ascii="仿宋_GB2312" w:eastAsia="仿宋_GB2312"/>
          <w:color w:val="000000"/>
          <w:sz w:val="32"/>
          <w:szCs w:val="32"/>
        </w:rPr>
        <w:t>万元。截至</w:t>
      </w:r>
      <w:r>
        <w:rPr>
          <w:rFonts w:ascii="仿宋_GB2312" w:eastAsia="仿宋_GB2312"/>
          <w:color w:val="000000"/>
          <w:sz w:val="32"/>
          <w:szCs w:val="32"/>
        </w:rPr>
        <w:t>2018</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ascii="仿宋_GB2312" w:eastAsia="仿宋_GB2312"/>
          <w:color w:val="000000"/>
          <w:sz w:val="32"/>
          <w:szCs w:val="32"/>
        </w:rPr>
        <w:t>3</w:t>
      </w:r>
      <w:r>
        <w:rPr>
          <w:rFonts w:hint="eastAsia" w:ascii="仿宋_GB2312" w:eastAsia="仿宋_GB2312"/>
          <w:color w:val="000000"/>
          <w:sz w:val="32"/>
          <w:szCs w:val="32"/>
        </w:rPr>
        <w:t>辆，其中：轿车</w:t>
      </w:r>
      <w:r>
        <w:rPr>
          <w:rFonts w:ascii="仿宋_GB2312" w:eastAsia="仿宋_GB2312"/>
          <w:color w:val="000000"/>
          <w:sz w:val="32"/>
          <w:szCs w:val="32"/>
        </w:rPr>
        <w:t>0</w:t>
      </w:r>
      <w:r>
        <w:rPr>
          <w:rFonts w:hint="eastAsia" w:ascii="仿宋_GB2312" w:eastAsia="仿宋_GB2312"/>
          <w:color w:val="000000"/>
          <w:sz w:val="32"/>
          <w:szCs w:val="32"/>
        </w:rPr>
        <w:t>辆、越野车</w:t>
      </w:r>
      <w:r>
        <w:rPr>
          <w:rFonts w:ascii="仿宋_GB2312" w:eastAsia="仿宋_GB2312"/>
          <w:color w:val="000000"/>
          <w:sz w:val="32"/>
          <w:szCs w:val="32"/>
        </w:rPr>
        <w:t>3</w:t>
      </w:r>
      <w:r>
        <w:rPr>
          <w:rFonts w:hint="eastAsia" w:ascii="仿宋_GB2312" w:eastAsia="仿宋_GB2312"/>
          <w:color w:val="000000"/>
          <w:sz w:val="32"/>
          <w:szCs w:val="32"/>
        </w:rPr>
        <w:t>辆、载客汽车</w:t>
      </w:r>
      <w:r>
        <w:rPr>
          <w:rFonts w:ascii="仿宋_GB2312" w:eastAsia="仿宋_GB2312"/>
          <w:color w:val="000000"/>
          <w:sz w:val="32"/>
          <w:szCs w:val="32"/>
        </w:rPr>
        <w:t>0</w:t>
      </w:r>
      <w:r>
        <w:rPr>
          <w:rFonts w:hint="eastAsia" w:ascii="仿宋_GB2312" w:eastAsia="仿宋_GB2312"/>
          <w:color w:val="000000"/>
          <w:sz w:val="32"/>
          <w:szCs w:val="32"/>
        </w:rPr>
        <w:t>辆。</w:t>
      </w:r>
    </w:p>
    <w:p>
      <w:pPr>
        <w:spacing w:line="576" w:lineRule="exact"/>
        <w:ind w:firstLine="640"/>
        <w:rPr>
          <w:rFonts w:ascii="仿宋_GB2312" w:eastAsia="仿宋_GB2312"/>
          <w:color w:val="000000"/>
          <w:sz w:val="32"/>
          <w:szCs w:val="32"/>
        </w:rPr>
      </w:pPr>
      <w:r>
        <w:rPr>
          <w:rFonts w:hint="eastAsia" w:ascii="仿宋_GB2312" w:eastAsia="仿宋_GB2312"/>
          <w:color w:val="000000"/>
          <w:sz w:val="32"/>
          <w:szCs w:val="32"/>
        </w:rPr>
        <w:t>公务用车运行维护费支出</w:t>
      </w:r>
      <w:r>
        <w:rPr>
          <w:rFonts w:ascii="仿宋_GB2312" w:eastAsia="仿宋_GB2312"/>
          <w:color w:val="000000"/>
          <w:sz w:val="32"/>
          <w:szCs w:val="32"/>
        </w:rPr>
        <w:t>1.96</w:t>
      </w:r>
      <w:r>
        <w:rPr>
          <w:rFonts w:hint="eastAsia" w:ascii="仿宋_GB2312" w:eastAsia="仿宋_GB2312"/>
          <w:color w:val="000000"/>
          <w:sz w:val="32"/>
          <w:szCs w:val="32"/>
        </w:rPr>
        <w:t>万元。</w:t>
      </w:r>
    </w:p>
    <w:p>
      <w:pPr>
        <w:spacing w:line="576" w:lineRule="exact"/>
        <w:ind w:firstLine="640"/>
        <w:rPr>
          <w:rFonts w:ascii="仿宋_GB2312" w:eastAsia="仿宋_GB2312"/>
          <w:color w:val="000000"/>
          <w:sz w:val="32"/>
          <w:szCs w:val="32"/>
        </w:rPr>
      </w:pPr>
      <w:r>
        <w:rPr>
          <w:rFonts w:ascii="仿宋_GB2312" w:eastAsia="仿宋_GB2312"/>
          <w:color w:val="000000"/>
          <w:sz w:val="32"/>
          <w:szCs w:val="32"/>
        </w:rPr>
        <w:t>3.</w:t>
      </w:r>
      <w:r>
        <w:rPr>
          <w:rFonts w:hint="eastAsia" w:ascii="仿宋_GB2312" w:eastAsia="仿宋_GB2312"/>
          <w:color w:val="000000"/>
          <w:sz w:val="32"/>
          <w:szCs w:val="32"/>
        </w:rPr>
        <w:t>公务接待费支出</w:t>
      </w:r>
      <w:r>
        <w:rPr>
          <w:rFonts w:ascii="仿宋_GB2312" w:eastAsia="仿宋_GB2312"/>
          <w:color w:val="000000"/>
          <w:sz w:val="32"/>
          <w:szCs w:val="32"/>
        </w:rPr>
        <w:t>0</w:t>
      </w:r>
      <w:r>
        <w:rPr>
          <w:rFonts w:hint="eastAsia" w:ascii="仿宋_GB2312" w:eastAsia="仿宋_GB2312"/>
          <w:color w:val="000000"/>
          <w:sz w:val="32"/>
          <w:szCs w:val="32"/>
        </w:rPr>
        <w:t>万元</w:t>
      </w:r>
      <w:r>
        <w:rPr>
          <w:rStyle w:val="14"/>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2017</w:t>
      </w:r>
      <w:r>
        <w:rPr>
          <w:rFonts w:hint="eastAsia" w:ascii="仿宋_GB2312" w:eastAsia="仿宋_GB2312"/>
          <w:color w:val="000000"/>
          <w:sz w:val="32"/>
          <w:szCs w:val="32"/>
        </w:rPr>
        <w:t>年减少</w:t>
      </w:r>
      <w:r>
        <w:rPr>
          <w:rFonts w:ascii="仿宋_GB2312" w:eastAsia="仿宋_GB2312"/>
          <w:color w:val="000000"/>
          <w:sz w:val="32"/>
          <w:szCs w:val="32"/>
        </w:rPr>
        <w:t>0.07</w:t>
      </w:r>
      <w:r>
        <w:rPr>
          <w:rFonts w:hint="eastAsia" w:ascii="仿宋_GB2312" w:eastAsia="仿宋_GB2312"/>
          <w:color w:val="000000"/>
          <w:sz w:val="32"/>
          <w:szCs w:val="32"/>
        </w:rPr>
        <w:t>万元。主要原因是厉行节约。</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主要用于执行公务、开展业务活动开支的交通费、住宿费、用餐费等。国内公务接待</w:t>
      </w:r>
      <w:r>
        <w:rPr>
          <w:rFonts w:ascii="仿宋_GB2312" w:eastAsia="仿宋_GB2312"/>
          <w:color w:val="000000"/>
          <w:sz w:val="32"/>
          <w:szCs w:val="32"/>
        </w:rPr>
        <w:t>0</w:t>
      </w:r>
      <w:r>
        <w:rPr>
          <w:rFonts w:hint="eastAsia" w:ascii="仿宋_GB2312" w:eastAsia="仿宋_GB2312"/>
          <w:color w:val="000000"/>
          <w:sz w:val="32"/>
          <w:szCs w:val="32"/>
        </w:rPr>
        <w:t>批次，</w:t>
      </w:r>
      <w:r>
        <w:rPr>
          <w:rFonts w:ascii="仿宋_GB2312" w:eastAsia="仿宋_GB2312"/>
          <w:color w:val="000000"/>
          <w:sz w:val="32"/>
          <w:szCs w:val="32"/>
        </w:rPr>
        <w:t>0</w:t>
      </w:r>
      <w:r>
        <w:rPr>
          <w:rFonts w:hint="eastAsia" w:ascii="仿宋_GB2312" w:eastAsia="仿宋_GB2312"/>
          <w:color w:val="000000"/>
          <w:sz w:val="32"/>
          <w:szCs w:val="32"/>
        </w:rPr>
        <w:t>人次（不包括陪同人员），共计支出</w:t>
      </w:r>
      <w:r>
        <w:rPr>
          <w:rFonts w:ascii="仿宋_GB2312" w:eastAsia="仿宋_GB2312"/>
          <w:color w:val="000000"/>
          <w:sz w:val="32"/>
          <w:szCs w:val="32"/>
        </w:rPr>
        <w:t>0</w:t>
      </w:r>
      <w:r>
        <w:rPr>
          <w:rFonts w:hint="eastAsia" w:ascii="仿宋_GB2312" w:eastAsia="仿宋_GB2312"/>
          <w:color w:val="000000"/>
          <w:sz w:val="32"/>
          <w:szCs w:val="32"/>
        </w:rPr>
        <w:t>万元。</w:t>
      </w:r>
    </w:p>
    <w:p>
      <w:pPr>
        <w:spacing w:line="576" w:lineRule="exact"/>
        <w:ind w:firstLine="640" w:firstLineChars="200"/>
        <w:rPr>
          <w:rFonts w:ascii="仿宋_GB2312" w:eastAsia="仿宋_GB2312"/>
          <w:color w:val="000000"/>
          <w:sz w:val="32"/>
          <w:szCs w:val="32"/>
        </w:rPr>
      </w:pPr>
      <w:r>
        <w:rPr>
          <w:rFonts w:hint="eastAsia" w:ascii="仿宋_GB2312" w:hAnsi="仿宋" w:eastAsia="仿宋_GB2312"/>
          <w:color w:val="000000"/>
          <w:sz w:val="32"/>
          <w:szCs w:val="32"/>
        </w:rPr>
        <w:t>外事接待支出</w:t>
      </w:r>
      <w:r>
        <w:rPr>
          <w:rFonts w:ascii="仿宋" w:hAnsi="仿宋" w:eastAsia="仿宋"/>
          <w:color w:val="000000"/>
          <w:sz w:val="32"/>
          <w:szCs w:val="32"/>
        </w:rPr>
        <w:t>0</w:t>
      </w:r>
      <w:r>
        <w:rPr>
          <w:rFonts w:hint="eastAsia" w:ascii="仿宋_GB2312" w:eastAsia="仿宋_GB2312"/>
          <w:color w:val="000000"/>
          <w:sz w:val="32"/>
          <w:szCs w:val="32"/>
        </w:rPr>
        <w:t>万元，外事接待</w:t>
      </w:r>
      <w:r>
        <w:rPr>
          <w:rFonts w:ascii="仿宋_GB2312" w:eastAsia="仿宋_GB2312"/>
          <w:color w:val="000000"/>
          <w:sz w:val="32"/>
          <w:szCs w:val="32"/>
        </w:rPr>
        <w:t>0</w:t>
      </w:r>
      <w:r>
        <w:rPr>
          <w:rFonts w:hint="eastAsia" w:ascii="仿宋_GB2312" w:eastAsia="仿宋_GB2312"/>
          <w:color w:val="000000"/>
          <w:sz w:val="32"/>
          <w:szCs w:val="32"/>
        </w:rPr>
        <w:t>批次，</w:t>
      </w:r>
      <w:r>
        <w:rPr>
          <w:rFonts w:ascii="仿宋_GB2312" w:eastAsia="仿宋_GB2312"/>
          <w:color w:val="000000"/>
          <w:sz w:val="32"/>
          <w:szCs w:val="32"/>
        </w:rPr>
        <w:t>0</w:t>
      </w:r>
      <w:r>
        <w:rPr>
          <w:rFonts w:hint="eastAsia" w:ascii="仿宋_GB2312" w:eastAsia="仿宋_GB2312"/>
          <w:color w:val="000000"/>
          <w:sz w:val="32"/>
          <w:szCs w:val="32"/>
        </w:rPr>
        <w:t>人，共计支出</w:t>
      </w:r>
      <w:r>
        <w:rPr>
          <w:rFonts w:ascii="仿宋_GB2312" w:eastAsia="仿宋_GB2312"/>
          <w:color w:val="000000"/>
          <w:sz w:val="32"/>
          <w:szCs w:val="32"/>
        </w:rPr>
        <w:t>0</w:t>
      </w:r>
      <w:r>
        <w:rPr>
          <w:rFonts w:hint="eastAsia" w:ascii="仿宋_GB2312" w:eastAsia="仿宋_GB2312"/>
          <w:color w:val="000000"/>
          <w:sz w:val="32"/>
          <w:szCs w:val="32"/>
        </w:rPr>
        <w:t>万元。</w:t>
      </w:r>
    </w:p>
    <w:p>
      <w:pPr>
        <w:spacing w:line="576" w:lineRule="exact"/>
        <w:ind w:firstLine="640"/>
        <w:rPr>
          <w:rFonts w:ascii="仿宋_GB2312" w:eastAsia="仿宋_GB2312"/>
          <w:color w:val="000000"/>
          <w:sz w:val="32"/>
          <w:szCs w:val="32"/>
        </w:rPr>
      </w:pPr>
      <w:r>
        <w:rPr>
          <w:rFonts w:hint="eastAsia" w:ascii="仿宋_GB2312" w:hAnsi="仿宋" w:eastAsia="仿宋_GB2312"/>
          <w:color w:val="000000"/>
          <w:sz w:val="32"/>
          <w:szCs w:val="32"/>
        </w:rPr>
        <w:t>其他国内公务接待支出</w:t>
      </w:r>
      <w:r>
        <w:rPr>
          <w:rFonts w:ascii="仿宋" w:hAnsi="仿宋" w:eastAsia="仿宋"/>
          <w:color w:val="000000"/>
          <w:sz w:val="32"/>
          <w:szCs w:val="32"/>
        </w:rPr>
        <w:t>0</w:t>
      </w:r>
      <w:r>
        <w:rPr>
          <w:rFonts w:hint="eastAsia" w:ascii="仿宋_GB2312" w:eastAsia="仿宋_GB2312"/>
          <w:color w:val="000000"/>
          <w:sz w:val="32"/>
          <w:szCs w:val="32"/>
        </w:rPr>
        <w:t>万元。</w:t>
      </w:r>
      <w:bookmarkStart w:id="46" w:name="_Toc15396610"/>
      <w:bookmarkStart w:id="47" w:name="_Toc15377218"/>
    </w:p>
    <w:p>
      <w:pPr>
        <w:spacing w:line="576" w:lineRule="exact"/>
        <w:ind w:firstLine="640"/>
        <w:rPr>
          <w:rFonts w:ascii="黑体" w:eastAsia="黑体"/>
          <w:color w:val="000000"/>
          <w:sz w:val="32"/>
          <w:szCs w:val="32"/>
        </w:rPr>
      </w:pPr>
    </w:p>
    <w:p>
      <w:pPr>
        <w:spacing w:line="576" w:lineRule="exact"/>
        <w:ind w:firstLine="640"/>
        <w:rPr>
          <w:rFonts w:ascii="黑体" w:eastAsia="黑体"/>
          <w:color w:val="000000"/>
          <w:sz w:val="32"/>
          <w:szCs w:val="32"/>
        </w:rPr>
      </w:pPr>
    </w:p>
    <w:p>
      <w:pPr>
        <w:spacing w:line="576" w:lineRule="exact"/>
        <w:ind w:firstLine="640"/>
        <w:rPr>
          <w:rFonts w:ascii="黑体" w:eastAsia="黑体"/>
          <w:color w:val="000000"/>
          <w:sz w:val="32"/>
          <w:szCs w:val="32"/>
        </w:rPr>
      </w:pPr>
    </w:p>
    <w:p>
      <w:pPr>
        <w:spacing w:line="576" w:lineRule="exact"/>
        <w:ind w:firstLine="640"/>
        <w:rPr>
          <w:rFonts w:ascii="黑体" w:eastAsia="黑体"/>
          <w:color w:val="000000"/>
          <w:sz w:val="32"/>
          <w:szCs w:val="32"/>
        </w:rPr>
      </w:pPr>
    </w:p>
    <w:p>
      <w:pPr>
        <w:spacing w:line="576" w:lineRule="exact"/>
        <w:ind w:firstLine="640"/>
        <w:rPr>
          <w:rFonts w:ascii="黑体" w:eastAsia="黑体"/>
          <w:color w:val="000000"/>
          <w:sz w:val="32"/>
          <w:szCs w:val="32"/>
        </w:rPr>
      </w:pPr>
      <w:r>
        <w:pict>
          <v:shape id="_x0000_s1032" o:spid="_x0000_s1032" o:spt="75" type="#_x0000_t75" style="position:absolute;left:0pt;margin-left:32.8pt;margin-top:-102.2pt;height:124.8pt;width:385.45pt;mso-wrap-distance-bottom:0.15pt;mso-wrap-distance-left:9pt;mso-wrap-distance-right:9pt;mso-wrap-distance-top:0pt;z-index:251659264;mso-width-relative:page;mso-height-relative:page;" o:ole="t" filled="f" o:preferrelative="t" stroked="f" coordsize="21600,21600">
            <v:path/>
            <v:fill on="f" focussize="0,0"/>
            <v:stroke on="f" joinstyle="miter"/>
            <v:imagedata r:id="rId19" o:title=""/>
            <o:lock v:ext="edit" aspectratio="t"/>
            <w10:wrap type="square"/>
          </v:shape>
          <o:OLEObject Type="Embed" ProgID="Excel.Chart.8" ShapeID="_x0000_s1032" DrawAspect="Content" ObjectID="_1468075731" r:id="rId18">
            <o:LockedField>false</o:LockedField>
          </o:OLEObject>
        </w:pict>
      </w:r>
    </w:p>
    <w:p>
      <w:pPr>
        <w:spacing w:line="576" w:lineRule="exact"/>
        <w:ind w:firstLine="640"/>
        <w:rPr>
          <w:rFonts w:ascii="黑体" w:eastAsia="黑体"/>
          <w:color w:val="000000"/>
          <w:sz w:val="32"/>
          <w:szCs w:val="32"/>
        </w:rPr>
      </w:pPr>
    </w:p>
    <w:p>
      <w:pPr>
        <w:spacing w:line="576" w:lineRule="exact"/>
        <w:ind w:firstLine="640"/>
        <w:rPr>
          <w:rFonts w:ascii="黑体" w:eastAsia="黑体"/>
          <w:color w:val="000000"/>
          <w:sz w:val="32"/>
          <w:szCs w:val="32"/>
        </w:rPr>
      </w:pPr>
    </w:p>
    <w:p>
      <w:pPr>
        <w:spacing w:line="576" w:lineRule="exact"/>
        <w:ind w:firstLine="640"/>
        <w:rPr>
          <w:rFonts w:ascii="仿宋_GB2312" w:eastAsia="仿宋_GB2312"/>
          <w:color w:val="000000"/>
          <w:sz w:val="32"/>
          <w:szCs w:val="32"/>
        </w:rPr>
      </w:pPr>
      <w:r>
        <w:rPr>
          <w:rFonts w:hint="eastAsia" w:ascii="黑体" w:eastAsia="黑体"/>
          <w:color w:val="000000"/>
          <w:sz w:val="32"/>
          <w:szCs w:val="32"/>
        </w:rPr>
        <w:t>八、</w:t>
      </w:r>
      <w:r>
        <w:rPr>
          <w:rStyle w:val="17"/>
          <w:rFonts w:hint="eastAsia" w:ascii="黑体" w:hAnsi="黑体" w:eastAsia="黑体"/>
          <w:b w:val="0"/>
          <w:bCs w:val="0"/>
        </w:rPr>
        <w:t>政府性基金预算支出决算情况说明</w:t>
      </w:r>
      <w:bookmarkEnd w:id="46"/>
      <w:bookmarkEnd w:id="47"/>
    </w:p>
    <w:tbl>
      <w:tblPr>
        <w:tblStyle w:val="12"/>
        <w:tblpPr w:leftFromText="180" w:rightFromText="180" w:vertAnchor="text" w:horzAnchor="margin" w:tblpXSpec="center" w:tblpY="-2518"/>
        <w:tblOverlap w:val="never"/>
        <w:tblW w:w="9960" w:type="dxa"/>
        <w:tblInd w:w="0" w:type="dxa"/>
        <w:tblLayout w:type="fixed"/>
        <w:tblCellMar>
          <w:top w:w="0" w:type="dxa"/>
          <w:left w:w="0" w:type="dxa"/>
          <w:bottom w:w="0" w:type="dxa"/>
          <w:right w:w="0" w:type="dxa"/>
        </w:tblCellMar>
      </w:tblPr>
      <w:tblGrid>
        <w:gridCol w:w="9960"/>
      </w:tblGrid>
      <w:tr>
        <w:tblPrEx>
          <w:tblLayout w:type="fixed"/>
          <w:tblCellMar>
            <w:top w:w="0" w:type="dxa"/>
            <w:left w:w="0" w:type="dxa"/>
            <w:bottom w:w="0" w:type="dxa"/>
            <w:right w:w="0" w:type="dxa"/>
          </w:tblCellMar>
        </w:tblPrEx>
        <w:trPr>
          <w:trHeight w:val="1034" w:hRule="atLeast"/>
        </w:trPr>
        <w:tc>
          <w:tcPr>
            <w:tcW w:w="9960" w:type="dxa"/>
            <w:tcMar>
              <w:top w:w="15" w:type="dxa"/>
              <w:left w:w="15" w:type="dxa"/>
              <w:bottom w:w="0" w:type="dxa"/>
              <w:right w:w="15" w:type="dxa"/>
            </w:tcMar>
            <w:vAlign w:val="center"/>
          </w:tcPr>
          <w:p>
            <w:pPr>
              <w:widowControl/>
              <w:textAlignment w:val="center"/>
              <w:rPr>
                <w:rFonts w:ascii="宋体" w:cs="宋体"/>
                <w:color w:val="000000"/>
                <w:sz w:val="36"/>
                <w:szCs w:val="36"/>
              </w:rPr>
            </w:pPr>
          </w:p>
        </w:tc>
      </w:tr>
    </w:tbl>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茂县工业园区管理委员会</w:t>
      </w:r>
      <w:r>
        <w:rPr>
          <w:rFonts w:ascii="仿宋_GB2312" w:eastAsia="仿宋_GB2312"/>
          <w:color w:val="000000"/>
          <w:sz w:val="32"/>
          <w:szCs w:val="32"/>
        </w:rPr>
        <w:t>2018</w:t>
      </w:r>
      <w:r>
        <w:rPr>
          <w:rFonts w:hint="eastAsia" w:ascii="仿宋_GB2312" w:eastAsia="仿宋_GB2312"/>
          <w:color w:val="000000"/>
          <w:sz w:val="32"/>
          <w:szCs w:val="32"/>
        </w:rPr>
        <w:t>年政府性基金预算拨款支出</w:t>
      </w:r>
      <w:r>
        <w:rPr>
          <w:rFonts w:ascii="仿宋_GB2312" w:eastAsia="仿宋_GB2312"/>
          <w:color w:val="000000"/>
          <w:sz w:val="32"/>
          <w:szCs w:val="32"/>
        </w:rPr>
        <w:t>0</w:t>
      </w:r>
      <w:r>
        <w:rPr>
          <w:rFonts w:hint="eastAsia" w:ascii="仿宋_GB2312" w:eastAsia="仿宋_GB2312"/>
          <w:color w:val="000000"/>
          <w:sz w:val="32"/>
          <w:szCs w:val="32"/>
        </w:rPr>
        <w:t>万元。</w:t>
      </w:r>
      <w:bookmarkStart w:id="48" w:name="_Toc15377219"/>
      <w:bookmarkStart w:id="49" w:name="_Toc15396611"/>
    </w:p>
    <w:p>
      <w:pPr>
        <w:spacing w:line="576" w:lineRule="exact"/>
        <w:ind w:firstLine="640" w:firstLineChars="200"/>
        <w:rPr>
          <w:rStyle w:val="17"/>
          <w:rFonts w:ascii="仿宋_GB2312" w:hAnsi="Times New Roman" w:eastAsia="仿宋_GB2312"/>
          <w:b w:val="0"/>
          <w:bCs w:val="0"/>
          <w:color w:val="000000"/>
        </w:rPr>
      </w:pPr>
      <w:r>
        <w:rPr>
          <w:rStyle w:val="17"/>
          <w:rFonts w:hint="eastAsia" w:ascii="黑体" w:hAnsi="黑体" w:eastAsia="黑体"/>
          <w:b w:val="0"/>
        </w:rPr>
        <w:t>九、国有资本经营预算支出决算情况说明</w:t>
      </w:r>
      <w:bookmarkEnd w:id="48"/>
      <w:bookmarkEnd w:id="49"/>
    </w:p>
    <w:p>
      <w:pPr>
        <w:spacing w:line="576" w:lineRule="exact"/>
        <w:ind w:firstLine="640"/>
        <w:rPr>
          <w:rFonts w:ascii="仿宋_GB2312" w:eastAsia="仿宋_GB2312"/>
          <w:color w:val="000000"/>
          <w:sz w:val="32"/>
          <w:szCs w:val="32"/>
        </w:rPr>
      </w:pPr>
      <w:r>
        <w:rPr>
          <w:rFonts w:hint="eastAsia" w:ascii="仿宋_GB2312" w:eastAsia="仿宋_GB2312"/>
          <w:color w:val="000000"/>
          <w:sz w:val="32"/>
          <w:szCs w:val="32"/>
        </w:rPr>
        <w:t>茂县工业园区管理委员会</w:t>
      </w:r>
      <w:r>
        <w:rPr>
          <w:rFonts w:ascii="仿宋_GB2312" w:eastAsia="仿宋_GB2312"/>
          <w:color w:val="000000"/>
          <w:sz w:val="32"/>
          <w:szCs w:val="32"/>
        </w:rPr>
        <w:t>2018</w:t>
      </w:r>
      <w:r>
        <w:rPr>
          <w:rFonts w:hint="eastAsia" w:ascii="仿宋_GB2312" w:eastAsia="仿宋_GB2312"/>
          <w:color w:val="000000"/>
          <w:sz w:val="32"/>
          <w:szCs w:val="32"/>
        </w:rPr>
        <w:t>年国有资本经营预算拨款支出</w:t>
      </w:r>
      <w:r>
        <w:rPr>
          <w:rFonts w:ascii="仿宋_GB2312" w:eastAsia="仿宋_GB2312"/>
          <w:color w:val="000000"/>
          <w:sz w:val="32"/>
          <w:szCs w:val="32"/>
        </w:rPr>
        <w:t>0</w:t>
      </w:r>
      <w:r>
        <w:rPr>
          <w:rFonts w:hint="eastAsia" w:ascii="仿宋_GB2312" w:eastAsia="仿宋_GB2312"/>
          <w:color w:val="000000"/>
          <w:sz w:val="32"/>
          <w:szCs w:val="32"/>
        </w:rPr>
        <w:t>万元。</w:t>
      </w:r>
    </w:p>
    <w:p>
      <w:pPr>
        <w:spacing w:line="576" w:lineRule="exact"/>
        <w:ind w:firstLine="640"/>
        <w:rPr>
          <w:rStyle w:val="17"/>
          <w:rFonts w:ascii="黑体" w:hAnsi="黑体" w:eastAsia="黑体"/>
          <w:b w:val="0"/>
        </w:rPr>
      </w:pPr>
      <w:r>
        <w:rPr>
          <w:rStyle w:val="17"/>
          <w:rFonts w:hint="eastAsia" w:ascii="黑体" w:hAnsi="黑体" w:eastAsia="黑体"/>
          <w:b w:val="0"/>
        </w:rPr>
        <w:t>十、预算绩效情况说</w:t>
      </w:r>
    </w:p>
    <w:p>
      <w:pPr>
        <w:spacing w:line="576" w:lineRule="exact"/>
        <w:ind w:firstLine="640"/>
        <w:rPr>
          <w:rFonts w:ascii="黑体" w:hAnsi="黑体" w:eastAsia="黑体"/>
          <w:bCs/>
          <w:sz w:val="32"/>
          <w:szCs w:val="32"/>
        </w:rPr>
      </w:pPr>
      <w:r>
        <w:rPr>
          <w:rFonts w:hint="eastAsia" w:ascii="楷体_GB2312" w:hAnsi="仿宋" w:eastAsia="楷体_GB2312" w:cs="楷体_GB2312"/>
          <w:sz w:val="32"/>
          <w:szCs w:val="32"/>
        </w:rPr>
        <w:t>（一）预算绩效管理工作开展情况</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根据预算绩效管理要求，本部门无项目绩效目标。</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年部门整体支出开展绩效自评，从评价情况来看</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茂县工业园区管理委员会部门整体支出绩效评价自查自评结果良好，全年基本支出保证了部门的正常运行和日常工作的正常开展，绩效目标得到了较好的实现，绩效管理水平不断提高，绩效指标体系逐渐丰富和完善。</w:t>
      </w:r>
    </w:p>
    <w:p>
      <w:pPr>
        <w:spacing w:line="576" w:lineRule="exact"/>
        <w:ind w:firstLine="480" w:firstLineChars="150"/>
        <w:rPr>
          <w:rFonts w:ascii="仿宋_GB2312" w:hAnsi="仿宋_GB2312" w:eastAsia="仿宋_GB2312" w:cs="仿宋_GB2312"/>
          <w:sz w:val="32"/>
          <w:szCs w:val="32"/>
        </w:rPr>
      </w:pPr>
      <w:r>
        <w:rPr>
          <w:rFonts w:hint="eastAsia" w:ascii="楷体_GB2312" w:hAnsi="仿宋" w:eastAsia="楷体_GB2312" w:cs="楷体_GB2312"/>
          <w:sz w:val="32"/>
          <w:szCs w:val="32"/>
        </w:rPr>
        <w:t>（二）项目绩效目标完成情况</w:t>
      </w:r>
      <w:r>
        <w:rPr>
          <w:rFonts w:ascii="楷体_GB2312" w:hAnsi="楷体_GB2312" w:eastAsia="楷体_GB2312" w:cs="楷体_GB2312"/>
          <w:b/>
          <w:bCs/>
          <w:sz w:val="32"/>
          <w:szCs w:val="32"/>
        </w:rPr>
        <w:br w:type="textWrapping"/>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本部门在</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年度部门决算中不涉及项目绩效目标考评。</w:t>
      </w:r>
    </w:p>
    <w:p>
      <w:pPr>
        <w:spacing w:line="576" w:lineRule="exact"/>
        <w:ind w:firstLine="480" w:firstLineChars="150"/>
        <w:outlineLvl w:val="1"/>
        <w:rPr>
          <w:rFonts w:ascii="仿宋" w:hAnsi="仿宋" w:eastAsia="仿宋" w:cs="仿宋_GB2312"/>
          <w:sz w:val="32"/>
          <w:szCs w:val="32"/>
        </w:rPr>
      </w:pPr>
      <w:r>
        <w:rPr>
          <w:rFonts w:hint="eastAsia" w:ascii="楷体_GB2312" w:hAnsi="仿宋" w:eastAsia="楷体_GB2312" w:cs="楷体_GB2312"/>
          <w:sz w:val="32"/>
          <w:szCs w:val="32"/>
        </w:rPr>
        <w:t>（三）部门开展绩效评价结果</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年部门整体支出绩效评价情况开展自评，《茂县工业园区管理委员会</w:t>
      </w:r>
      <w:r>
        <w:rPr>
          <w:rFonts w:ascii="仿宋_GB2312" w:hAnsi="仿宋_GB2312" w:eastAsia="仿宋_GB2312" w:cs="仿宋_GB2312"/>
          <w:sz w:val="32"/>
          <w:szCs w:val="32"/>
        </w:rPr>
        <w:t>2018</w:t>
      </w:r>
      <w:r>
        <w:rPr>
          <w:rFonts w:hint="eastAsia" w:ascii="仿宋_GB2312" w:hAnsi="仿宋_GB2312" w:eastAsia="仿宋_GB2312" w:cs="仿宋_GB2312"/>
          <w:sz w:val="32"/>
          <w:szCs w:val="32"/>
        </w:rPr>
        <w:t>年部门整体支出绩效评价报告》见附件。</w:t>
      </w:r>
    </w:p>
    <w:p>
      <w:pPr>
        <w:spacing w:line="576" w:lineRule="exact"/>
        <w:ind w:firstLine="800" w:firstLineChars="250"/>
        <w:outlineLvl w:val="1"/>
        <w:rPr>
          <w:rStyle w:val="17"/>
          <w:rFonts w:ascii="黑体" w:hAnsi="黑体" w:eastAsia="黑体"/>
        </w:rPr>
      </w:pPr>
      <w:bookmarkStart w:id="50" w:name="_Toc15377221"/>
      <w:bookmarkStart w:id="51" w:name="_Toc15396612"/>
      <w:r>
        <w:rPr>
          <w:rFonts w:hint="eastAsia" w:ascii="黑体" w:hAnsi="黑体" w:eastAsia="黑体"/>
          <w:color w:val="000000"/>
          <w:sz w:val="32"/>
          <w:szCs w:val="32"/>
        </w:rPr>
        <w:t>十</w:t>
      </w:r>
      <w:r>
        <w:rPr>
          <w:rStyle w:val="17"/>
          <w:rFonts w:hint="eastAsia" w:ascii="黑体" w:hAnsi="黑体" w:eastAsia="黑体"/>
          <w:b w:val="0"/>
          <w:bCs w:val="0"/>
        </w:rPr>
        <w:t>一、其他重要事项的情况说明</w:t>
      </w:r>
      <w:bookmarkEnd w:id="50"/>
      <w:bookmarkEnd w:id="51"/>
    </w:p>
    <w:p>
      <w:pPr>
        <w:spacing w:line="576" w:lineRule="exact"/>
        <w:ind w:firstLine="640" w:firstLineChars="200"/>
        <w:outlineLvl w:val="2"/>
        <w:rPr>
          <w:rFonts w:ascii="楷体_GB2312" w:hAnsi="仿宋" w:eastAsia="楷体_GB2312"/>
          <w:bCs/>
          <w:color w:val="000000"/>
          <w:sz w:val="32"/>
          <w:szCs w:val="32"/>
        </w:rPr>
      </w:pPr>
      <w:bookmarkStart w:id="52" w:name="_Toc15377222"/>
      <w:r>
        <w:rPr>
          <w:rFonts w:hint="eastAsia" w:ascii="楷体_GB2312" w:hAnsi="仿宋" w:eastAsia="楷体_GB2312"/>
          <w:bCs/>
          <w:color w:val="000000"/>
          <w:sz w:val="32"/>
          <w:szCs w:val="32"/>
        </w:rPr>
        <w:t>（一）机关运行经费支出情况</w:t>
      </w:r>
      <w:bookmarkEnd w:id="52"/>
    </w:p>
    <w:p>
      <w:pPr>
        <w:spacing w:line="576" w:lineRule="exact"/>
        <w:ind w:firstLine="800" w:firstLineChars="250"/>
        <w:rPr>
          <w:rFonts w:ascii="仿宋_GB2312" w:eastAsia="仿宋_GB2312"/>
          <w:color w:val="000000"/>
          <w:sz w:val="32"/>
          <w:szCs w:val="32"/>
        </w:rPr>
      </w:pPr>
      <w:r>
        <w:rPr>
          <w:rFonts w:ascii="仿宋_GB2312" w:eastAsia="仿宋_GB2312"/>
          <w:color w:val="000000"/>
          <w:sz w:val="32"/>
          <w:szCs w:val="32"/>
        </w:rPr>
        <w:t>2018</w:t>
      </w:r>
      <w:r>
        <w:rPr>
          <w:rFonts w:hint="eastAsia" w:ascii="仿宋_GB2312" w:eastAsia="仿宋_GB2312"/>
          <w:color w:val="000000"/>
          <w:sz w:val="32"/>
          <w:szCs w:val="32"/>
        </w:rPr>
        <w:t>年，茂县工业园区管理委员会机关运行经费支出</w:t>
      </w:r>
      <w:r>
        <w:rPr>
          <w:rFonts w:ascii="仿宋_GB2312" w:eastAsia="仿宋_GB2312"/>
          <w:color w:val="000000"/>
          <w:sz w:val="32"/>
          <w:szCs w:val="32"/>
        </w:rPr>
        <w:t>8.53</w:t>
      </w:r>
      <w:r>
        <w:rPr>
          <w:rFonts w:hint="eastAsia" w:ascii="仿宋_GB2312" w:eastAsia="仿宋_GB2312"/>
          <w:color w:val="000000"/>
          <w:sz w:val="32"/>
          <w:szCs w:val="32"/>
        </w:rPr>
        <w:t>万元，比</w:t>
      </w:r>
      <w:r>
        <w:rPr>
          <w:rFonts w:ascii="仿宋_GB2312" w:eastAsia="仿宋_GB2312"/>
          <w:color w:val="000000"/>
          <w:sz w:val="32"/>
          <w:szCs w:val="32"/>
        </w:rPr>
        <w:t>2017</w:t>
      </w:r>
      <w:r>
        <w:rPr>
          <w:rFonts w:hint="eastAsia" w:ascii="仿宋_GB2312" w:eastAsia="仿宋_GB2312"/>
          <w:color w:val="000000"/>
          <w:sz w:val="32"/>
          <w:szCs w:val="32"/>
        </w:rPr>
        <w:t>年减少</w:t>
      </w:r>
      <w:r>
        <w:rPr>
          <w:rFonts w:ascii="仿宋_GB2312" w:eastAsia="仿宋_GB2312"/>
          <w:color w:val="000000"/>
          <w:sz w:val="32"/>
          <w:szCs w:val="32"/>
        </w:rPr>
        <w:t>1.27</w:t>
      </w:r>
      <w:r>
        <w:rPr>
          <w:rFonts w:hint="eastAsia" w:ascii="仿宋_GB2312" w:eastAsia="仿宋_GB2312"/>
          <w:color w:val="000000"/>
          <w:sz w:val="32"/>
          <w:szCs w:val="32"/>
        </w:rPr>
        <w:t>万元，下降</w:t>
      </w:r>
      <w:r>
        <w:rPr>
          <w:rFonts w:ascii="仿宋_GB2312" w:eastAsia="仿宋_GB2312"/>
          <w:color w:val="000000"/>
          <w:sz w:val="32"/>
          <w:szCs w:val="32"/>
        </w:rPr>
        <w:t>12.96%</w:t>
      </w:r>
      <w:r>
        <w:rPr>
          <w:rFonts w:hint="eastAsia" w:ascii="仿宋_GB2312" w:eastAsia="仿宋_GB2312"/>
          <w:color w:val="000000"/>
          <w:sz w:val="32"/>
          <w:szCs w:val="32"/>
        </w:rPr>
        <w:t>。主要原因是</w:t>
      </w:r>
      <w:r>
        <w:rPr>
          <w:rFonts w:ascii="仿宋_GB2312" w:eastAsia="仿宋_GB2312"/>
          <w:color w:val="000000"/>
          <w:sz w:val="32"/>
          <w:szCs w:val="32"/>
        </w:rPr>
        <w:t>2018</w:t>
      </w:r>
      <w:r>
        <w:rPr>
          <w:rFonts w:hint="eastAsia" w:ascii="仿宋_GB2312" w:eastAsia="仿宋_GB2312"/>
          <w:color w:val="000000"/>
          <w:sz w:val="32"/>
          <w:szCs w:val="32"/>
        </w:rPr>
        <w:t>年调走</w:t>
      </w:r>
      <w:r>
        <w:rPr>
          <w:rFonts w:ascii="仿宋_GB2312" w:eastAsia="仿宋_GB2312"/>
          <w:color w:val="000000"/>
          <w:sz w:val="32"/>
          <w:szCs w:val="32"/>
        </w:rPr>
        <w:t>1</w:t>
      </w:r>
      <w:r>
        <w:rPr>
          <w:rFonts w:hint="eastAsia" w:ascii="仿宋_GB2312" w:eastAsia="仿宋_GB2312"/>
          <w:color w:val="000000"/>
          <w:sz w:val="32"/>
          <w:szCs w:val="32"/>
        </w:rPr>
        <w:t>人。</w:t>
      </w:r>
    </w:p>
    <w:p>
      <w:pPr>
        <w:spacing w:line="576" w:lineRule="exact"/>
        <w:ind w:firstLine="640" w:firstLineChars="200"/>
        <w:outlineLvl w:val="1"/>
        <w:rPr>
          <w:rFonts w:ascii="仿宋" w:hAnsi="仿宋" w:eastAsia="仿宋"/>
          <w:b/>
          <w:color w:val="000000"/>
          <w:sz w:val="32"/>
          <w:szCs w:val="32"/>
        </w:rPr>
      </w:pPr>
      <w:bookmarkStart w:id="53" w:name="_Toc15377223"/>
      <w:r>
        <w:rPr>
          <w:rFonts w:hint="eastAsia" w:ascii="楷体_GB2312" w:hAnsi="仿宋" w:eastAsia="楷体_GB2312"/>
          <w:bCs/>
          <w:color w:val="000000"/>
          <w:sz w:val="32"/>
          <w:szCs w:val="32"/>
        </w:rPr>
        <w:t>（二）政府采购支出情况</w:t>
      </w:r>
      <w:bookmarkEnd w:id="53"/>
    </w:p>
    <w:p>
      <w:pPr>
        <w:spacing w:line="576" w:lineRule="exact"/>
        <w:ind w:firstLine="800" w:firstLineChars="250"/>
        <w:rPr>
          <w:rFonts w:ascii="仿宋_GB2312" w:eastAsia="仿宋_GB2312"/>
          <w:color w:val="000000"/>
          <w:sz w:val="32"/>
          <w:szCs w:val="32"/>
        </w:rPr>
      </w:pPr>
      <w:r>
        <w:rPr>
          <w:rFonts w:ascii="仿宋_GB2312" w:eastAsia="仿宋_GB2312"/>
          <w:color w:val="000000"/>
          <w:sz w:val="32"/>
          <w:szCs w:val="32"/>
        </w:rPr>
        <w:t>2018</w:t>
      </w:r>
      <w:r>
        <w:rPr>
          <w:rFonts w:hint="eastAsia" w:ascii="仿宋_GB2312" w:eastAsia="仿宋_GB2312"/>
          <w:color w:val="000000"/>
          <w:sz w:val="32"/>
          <w:szCs w:val="32"/>
        </w:rPr>
        <w:t>年，茂县工业园区管理委员会政府采购支出总额</w:t>
      </w:r>
      <w:r>
        <w:rPr>
          <w:rFonts w:ascii="仿宋_GB2312" w:eastAsia="仿宋_GB2312"/>
          <w:color w:val="000000"/>
          <w:sz w:val="32"/>
          <w:szCs w:val="32"/>
        </w:rPr>
        <w:t>0</w:t>
      </w:r>
      <w:r>
        <w:rPr>
          <w:rFonts w:hint="eastAsia" w:ascii="仿宋_GB2312" w:eastAsia="仿宋_GB2312"/>
          <w:color w:val="000000"/>
          <w:sz w:val="32"/>
          <w:szCs w:val="32"/>
        </w:rPr>
        <w:t>万元，其中：政府采购货物支出</w:t>
      </w:r>
      <w:r>
        <w:rPr>
          <w:rFonts w:ascii="仿宋_GB2312" w:eastAsia="仿宋_GB2312"/>
          <w:color w:val="000000"/>
          <w:sz w:val="32"/>
          <w:szCs w:val="32"/>
        </w:rPr>
        <w:t>0</w:t>
      </w:r>
      <w:r>
        <w:rPr>
          <w:rFonts w:hint="eastAsia" w:ascii="仿宋_GB2312" w:eastAsia="仿宋_GB2312"/>
          <w:color w:val="000000"/>
          <w:sz w:val="32"/>
          <w:szCs w:val="32"/>
        </w:rPr>
        <w:t>万元、政府采购工程支出</w:t>
      </w:r>
      <w:r>
        <w:rPr>
          <w:rFonts w:ascii="仿宋_GB2312" w:eastAsia="仿宋_GB2312"/>
          <w:color w:val="000000"/>
          <w:sz w:val="32"/>
          <w:szCs w:val="32"/>
        </w:rPr>
        <w:t>0</w:t>
      </w:r>
      <w:r>
        <w:rPr>
          <w:rFonts w:hint="eastAsia" w:ascii="仿宋_GB2312" w:eastAsia="仿宋_GB2312"/>
          <w:color w:val="000000"/>
          <w:sz w:val="32"/>
          <w:szCs w:val="32"/>
        </w:rPr>
        <w:t>万元、政府采购服务支出</w:t>
      </w:r>
      <w:r>
        <w:rPr>
          <w:rFonts w:ascii="仿宋_GB2312" w:eastAsia="仿宋_GB2312"/>
          <w:color w:val="000000"/>
          <w:sz w:val="32"/>
          <w:szCs w:val="32"/>
        </w:rPr>
        <w:t>0</w:t>
      </w:r>
      <w:r>
        <w:rPr>
          <w:rFonts w:hint="eastAsia" w:ascii="仿宋_GB2312" w:eastAsia="仿宋_GB2312"/>
          <w:color w:val="000000"/>
          <w:sz w:val="32"/>
          <w:szCs w:val="32"/>
        </w:rPr>
        <w:t>万元。授予中小企业合同金额</w:t>
      </w:r>
      <w:r>
        <w:rPr>
          <w:rFonts w:ascii="仿宋_GB2312" w:eastAsia="仿宋_GB2312"/>
          <w:color w:val="000000"/>
          <w:sz w:val="32"/>
          <w:szCs w:val="32"/>
        </w:rPr>
        <w:t>0</w:t>
      </w:r>
      <w:r>
        <w:rPr>
          <w:rFonts w:hint="eastAsia" w:ascii="仿宋_GB2312" w:eastAsia="仿宋_GB2312"/>
          <w:color w:val="000000"/>
          <w:sz w:val="32"/>
          <w:szCs w:val="32"/>
        </w:rPr>
        <w:t>万元，其中：授予小微企业合同金额</w:t>
      </w:r>
      <w:r>
        <w:rPr>
          <w:rFonts w:ascii="仿宋_GB2312" w:eastAsia="仿宋_GB2312"/>
          <w:color w:val="000000"/>
          <w:sz w:val="32"/>
          <w:szCs w:val="32"/>
        </w:rPr>
        <w:t>0</w:t>
      </w:r>
      <w:r>
        <w:rPr>
          <w:rFonts w:hint="eastAsia" w:ascii="仿宋_GB2312" w:eastAsia="仿宋_GB2312"/>
          <w:color w:val="000000"/>
          <w:sz w:val="32"/>
          <w:szCs w:val="32"/>
        </w:rPr>
        <w:t>万元。</w:t>
      </w:r>
      <w:bookmarkStart w:id="54" w:name="_Toc15377224"/>
    </w:p>
    <w:p>
      <w:pPr>
        <w:spacing w:line="576" w:lineRule="exact"/>
        <w:ind w:firstLine="480" w:firstLineChars="150"/>
        <w:rPr>
          <w:rFonts w:ascii="仿宋_GB2312" w:eastAsia="仿宋_GB2312"/>
          <w:color w:val="000000"/>
          <w:sz w:val="32"/>
          <w:szCs w:val="32"/>
        </w:rPr>
      </w:pPr>
      <w:r>
        <w:rPr>
          <w:rFonts w:hint="eastAsia" w:ascii="楷体_GB2312" w:hAnsi="仿宋" w:eastAsia="楷体_GB2312"/>
          <w:bCs/>
          <w:color w:val="000000"/>
          <w:sz w:val="32"/>
          <w:szCs w:val="32"/>
        </w:rPr>
        <w:t>（三）国有资产占有使用情况</w:t>
      </w:r>
      <w:bookmarkEnd w:id="54"/>
    </w:p>
    <w:p>
      <w:pPr>
        <w:autoSpaceDE w:val="0"/>
        <w:autoSpaceDN w:val="0"/>
        <w:adjustRightInd w:val="0"/>
        <w:spacing w:line="576" w:lineRule="exact"/>
        <w:ind w:firstLine="640" w:firstLineChars="200"/>
        <w:jc w:val="left"/>
        <w:rPr>
          <w:rFonts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2018</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w:t>
      </w:r>
      <w:r>
        <w:rPr>
          <w:rFonts w:ascii="仿宋_GB2312" w:eastAsia="仿宋_GB2312"/>
          <w:color w:val="000000"/>
          <w:sz w:val="32"/>
          <w:szCs w:val="32"/>
        </w:rPr>
        <w:t>2</w:t>
      </w:r>
      <w:r>
        <w:rPr>
          <w:rFonts w:hint="eastAsia" w:ascii="仿宋_GB2312" w:eastAsia="仿宋_GB2312"/>
          <w:color w:val="000000"/>
          <w:sz w:val="32"/>
          <w:szCs w:val="32"/>
        </w:rPr>
        <w:t>辆，其中：部级领导干部用车</w:t>
      </w:r>
      <w:r>
        <w:rPr>
          <w:rFonts w:ascii="仿宋_GB2312" w:eastAsia="仿宋_GB2312"/>
          <w:color w:val="000000"/>
          <w:sz w:val="32"/>
          <w:szCs w:val="32"/>
        </w:rPr>
        <w:t>0</w:t>
      </w:r>
      <w:r>
        <w:rPr>
          <w:rFonts w:hint="eastAsia" w:ascii="仿宋_GB2312" w:eastAsia="仿宋_GB2312"/>
          <w:color w:val="000000"/>
          <w:sz w:val="32"/>
          <w:szCs w:val="32"/>
        </w:rPr>
        <w:t>辆、一般公务用车</w:t>
      </w:r>
      <w:r>
        <w:rPr>
          <w:rFonts w:ascii="仿宋_GB2312" w:eastAsia="仿宋_GB2312"/>
          <w:color w:val="000000"/>
          <w:sz w:val="32"/>
          <w:szCs w:val="32"/>
        </w:rPr>
        <w:t>2</w:t>
      </w:r>
      <w:r>
        <w:rPr>
          <w:rFonts w:hint="eastAsia" w:ascii="仿宋_GB2312" w:eastAsia="仿宋_GB2312"/>
          <w:color w:val="000000"/>
          <w:sz w:val="32"/>
          <w:szCs w:val="32"/>
        </w:rPr>
        <w:t>辆、一般执法执勤用车</w:t>
      </w:r>
      <w:r>
        <w:rPr>
          <w:rFonts w:ascii="仿宋_GB2312" w:eastAsia="仿宋_GB2312"/>
          <w:color w:val="000000"/>
          <w:sz w:val="32"/>
          <w:szCs w:val="32"/>
        </w:rPr>
        <w:t>0</w:t>
      </w:r>
      <w:r>
        <w:rPr>
          <w:rFonts w:hint="eastAsia" w:ascii="仿宋_GB2312" w:eastAsia="仿宋_GB2312"/>
          <w:color w:val="000000"/>
          <w:sz w:val="32"/>
          <w:szCs w:val="32"/>
        </w:rPr>
        <w:t>辆、特种专业技术用车</w:t>
      </w:r>
      <w:r>
        <w:rPr>
          <w:rFonts w:ascii="仿宋_GB2312" w:eastAsia="仿宋_GB2312"/>
          <w:color w:val="000000"/>
          <w:sz w:val="32"/>
          <w:szCs w:val="32"/>
        </w:rPr>
        <w:t>0</w:t>
      </w:r>
      <w:r>
        <w:rPr>
          <w:rFonts w:hint="eastAsia" w:ascii="仿宋_GB2312" w:eastAsia="仿宋_GB2312"/>
          <w:color w:val="000000"/>
          <w:sz w:val="32"/>
          <w:szCs w:val="32"/>
        </w:rPr>
        <w:t>辆、其他用车</w:t>
      </w:r>
      <w:r>
        <w:rPr>
          <w:rFonts w:ascii="仿宋_GB2312" w:eastAsia="仿宋_GB2312"/>
          <w:color w:val="000000"/>
          <w:sz w:val="32"/>
          <w:szCs w:val="32"/>
        </w:rPr>
        <w:t>0</w:t>
      </w:r>
      <w:r>
        <w:rPr>
          <w:rFonts w:hint="eastAsia" w:ascii="仿宋_GB2312" w:eastAsia="仿宋_GB2312"/>
          <w:color w:val="000000"/>
          <w:sz w:val="32"/>
          <w:szCs w:val="32"/>
        </w:rPr>
        <w:t>辆，单价</w:t>
      </w:r>
      <w:r>
        <w:rPr>
          <w:rFonts w:ascii="仿宋_GB2312" w:eastAsia="仿宋_GB2312"/>
          <w:color w:val="000000"/>
          <w:sz w:val="32"/>
          <w:szCs w:val="32"/>
        </w:rPr>
        <w:t>50</w:t>
      </w:r>
      <w:r>
        <w:rPr>
          <w:rFonts w:hint="eastAsia" w:ascii="仿宋_GB2312" w:eastAsia="仿宋_GB2312"/>
          <w:color w:val="000000"/>
          <w:sz w:val="32"/>
          <w:szCs w:val="32"/>
        </w:rPr>
        <w:t>万元以上通用设备</w:t>
      </w:r>
      <w:r>
        <w:rPr>
          <w:rFonts w:ascii="仿宋_GB2312" w:eastAsia="仿宋_GB2312"/>
          <w:color w:val="000000"/>
          <w:sz w:val="32"/>
          <w:szCs w:val="32"/>
        </w:rPr>
        <w:t>0</w:t>
      </w:r>
      <w:r>
        <w:rPr>
          <w:rFonts w:hint="eastAsia" w:ascii="仿宋_GB2312" w:eastAsia="仿宋_GB2312"/>
          <w:color w:val="000000"/>
          <w:sz w:val="32"/>
          <w:szCs w:val="32"/>
        </w:rPr>
        <w:t>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w:t>
      </w:r>
      <w:r>
        <w:rPr>
          <w:rFonts w:ascii="仿宋_GB2312" w:eastAsia="仿宋_GB2312"/>
          <w:color w:val="000000"/>
          <w:sz w:val="32"/>
          <w:szCs w:val="32"/>
        </w:rPr>
        <w:t>0</w:t>
      </w:r>
      <w:r>
        <w:rPr>
          <w:rFonts w:hint="eastAsia" w:ascii="仿宋_GB2312" w:eastAsia="仿宋_GB2312"/>
          <w:color w:val="000000"/>
          <w:sz w:val="32"/>
          <w:szCs w:val="32"/>
        </w:rPr>
        <w:t>台（套）。</w:t>
      </w:r>
    </w:p>
    <w:p>
      <w:pPr>
        <w:autoSpaceDE w:val="0"/>
        <w:autoSpaceDN w:val="0"/>
        <w:adjustRightInd w:val="0"/>
        <w:spacing w:line="576" w:lineRule="exact"/>
        <w:ind w:firstLine="643" w:firstLineChars="200"/>
        <w:jc w:val="left"/>
        <w:outlineLvl w:val="2"/>
        <w:rPr>
          <w:rFonts w:ascii="仿宋" w:hAnsi="仿宋" w:eastAsia="仿宋"/>
          <w:b/>
          <w:color w:val="000000"/>
          <w:sz w:val="32"/>
          <w:szCs w:val="32"/>
        </w:rPr>
      </w:pPr>
    </w:p>
    <w:p>
      <w:pPr>
        <w:autoSpaceDE w:val="0"/>
        <w:autoSpaceDN w:val="0"/>
        <w:adjustRightInd w:val="0"/>
        <w:spacing w:line="576" w:lineRule="exact"/>
        <w:ind w:firstLine="643" w:firstLineChars="200"/>
        <w:jc w:val="left"/>
        <w:outlineLvl w:val="2"/>
        <w:rPr>
          <w:rFonts w:ascii="仿宋" w:hAnsi="仿宋" w:eastAsia="仿宋"/>
          <w:b/>
          <w:color w:val="000000"/>
          <w:sz w:val="32"/>
          <w:szCs w:val="32"/>
        </w:rPr>
      </w:pPr>
    </w:p>
    <w:p>
      <w:pPr>
        <w:autoSpaceDE w:val="0"/>
        <w:autoSpaceDN w:val="0"/>
        <w:adjustRightInd w:val="0"/>
        <w:spacing w:line="576" w:lineRule="exact"/>
        <w:ind w:firstLine="643" w:firstLineChars="200"/>
        <w:jc w:val="left"/>
        <w:outlineLvl w:val="2"/>
        <w:rPr>
          <w:rFonts w:ascii="仿宋" w:hAnsi="仿宋" w:eastAsia="仿宋"/>
          <w:b/>
          <w:color w:val="000000"/>
          <w:sz w:val="32"/>
          <w:szCs w:val="32"/>
        </w:rPr>
      </w:pPr>
    </w:p>
    <w:p>
      <w:pPr>
        <w:autoSpaceDE w:val="0"/>
        <w:autoSpaceDN w:val="0"/>
        <w:adjustRightInd w:val="0"/>
        <w:spacing w:line="576" w:lineRule="exact"/>
        <w:ind w:firstLine="643" w:firstLineChars="200"/>
        <w:jc w:val="left"/>
        <w:outlineLvl w:val="2"/>
        <w:rPr>
          <w:rFonts w:ascii="仿宋" w:hAnsi="仿宋" w:eastAsia="仿宋"/>
          <w:b/>
          <w:color w:val="000000"/>
          <w:sz w:val="32"/>
          <w:szCs w:val="32"/>
        </w:rPr>
      </w:pPr>
    </w:p>
    <w:p>
      <w:pPr>
        <w:autoSpaceDE w:val="0"/>
        <w:autoSpaceDN w:val="0"/>
        <w:adjustRightInd w:val="0"/>
        <w:spacing w:line="576" w:lineRule="exact"/>
        <w:ind w:firstLine="643" w:firstLineChars="200"/>
        <w:jc w:val="left"/>
        <w:outlineLvl w:val="2"/>
        <w:rPr>
          <w:rFonts w:ascii="仿宋" w:hAnsi="仿宋" w:eastAsia="仿宋"/>
          <w:b/>
          <w:color w:val="000000"/>
          <w:sz w:val="32"/>
          <w:szCs w:val="32"/>
        </w:rPr>
      </w:pPr>
    </w:p>
    <w:p>
      <w:pPr>
        <w:autoSpaceDE w:val="0"/>
        <w:autoSpaceDN w:val="0"/>
        <w:adjustRightInd w:val="0"/>
        <w:spacing w:line="576" w:lineRule="exact"/>
        <w:ind w:firstLine="643" w:firstLineChars="200"/>
        <w:jc w:val="left"/>
        <w:outlineLvl w:val="2"/>
        <w:rPr>
          <w:rFonts w:ascii="仿宋" w:hAnsi="仿宋" w:eastAsia="仿宋"/>
          <w:b/>
          <w:color w:val="000000"/>
          <w:sz w:val="32"/>
          <w:szCs w:val="32"/>
        </w:rPr>
      </w:pPr>
    </w:p>
    <w:p>
      <w:pPr>
        <w:autoSpaceDE w:val="0"/>
        <w:autoSpaceDN w:val="0"/>
        <w:adjustRightInd w:val="0"/>
        <w:spacing w:line="576" w:lineRule="exact"/>
        <w:ind w:firstLine="643" w:firstLineChars="200"/>
        <w:jc w:val="left"/>
        <w:outlineLvl w:val="2"/>
        <w:rPr>
          <w:rFonts w:ascii="仿宋" w:hAnsi="仿宋" w:eastAsia="仿宋"/>
          <w:b/>
          <w:color w:val="000000"/>
          <w:sz w:val="32"/>
          <w:szCs w:val="32"/>
        </w:rPr>
      </w:pPr>
    </w:p>
    <w:p>
      <w:pPr>
        <w:autoSpaceDE w:val="0"/>
        <w:autoSpaceDN w:val="0"/>
        <w:adjustRightInd w:val="0"/>
        <w:spacing w:line="576" w:lineRule="exact"/>
        <w:ind w:firstLine="643" w:firstLineChars="200"/>
        <w:jc w:val="left"/>
        <w:outlineLvl w:val="2"/>
        <w:rPr>
          <w:rFonts w:ascii="仿宋" w:hAnsi="仿宋" w:eastAsia="仿宋"/>
          <w:b/>
          <w:color w:val="000000"/>
          <w:sz w:val="32"/>
          <w:szCs w:val="32"/>
        </w:rPr>
      </w:pPr>
    </w:p>
    <w:p>
      <w:pPr>
        <w:autoSpaceDE w:val="0"/>
        <w:autoSpaceDN w:val="0"/>
        <w:adjustRightInd w:val="0"/>
        <w:spacing w:line="576" w:lineRule="exact"/>
        <w:ind w:firstLine="643" w:firstLineChars="200"/>
        <w:jc w:val="left"/>
        <w:outlineLvl w:val="2"/>
        <w:rPr>
          <w:rFonts w:ascii="仿宋" w:hAnsi="仿宋" w:eastAsia="仿宋"/>
          <w:b/>
          <w:color w:val="000000"/>
          <w:sz w:val="32"/>
          <w:szCs w:val="32"/>
        </w:rPr>
      </w:pPr>
    </w:p>
    <w:p>
      <w:pPr>
        <w:autoSpaceDE w:val="0"/>
        <w:autoSpaceDN w:val="0"/>
        <w:adjustRightInd w:val="0"/>
        <w:spacing w:line="576" w:lineRule="exact"/>
        <w:ind w:firstLine="643" w:firstLineChars="200"/>
        <w:jc w:val="left"/>
        <w:outlineLvl w:val="2"/>
        <w:rPr>
          <w:rFonts w:ascii="仿宋" w:hAnsi="仿宋" w:eastAsia="仿宋"/>
          <w:b/>
          <w:color w:val="000000"/>
          <w:sz w:val="32"/>
          <w:szCs w:val="32"/>
        </w:rPr>
      </w:pPr>
    </w:p>
    <w:p>
      <w:pPr>
        <w:autoSpaceDE w:val="0"/>
        <w:autoSpaceDN w:val="0"/>
        <w:adjustRightInd w:val="0"/>
        <w:spacing w:line="576" w:lineRule="exact"/>
        <w:ind w:firstLine="643" w:firstLineChars="200"/>
        <w:jc w:val="left"/>
        <w:outlineLvl w:val="2"/>
        <w:rPr>
          <w:rFonts w:ascii="仿宋" w:hAnsi="仿宋" w:eastAsia="仿宋"/>
          <w:b/>
          <w:color w:val="000000"/>
          <w:sz w:val="32"/>
          <w:szCs w:val="32"/>
        </w:rPr>
      </w:pPr>
    </w:p>
    <w:p>
      <w:pPr>
        <w:autoSpaceDE w:val="0"/>
        <w:autoSpaceDN w:val="0"/>
        <w:adjustRightInd w:val="0"/>
        <w:spacing w:line="576" w:lineRule="exact"/>
        <w:ind w:firstLine="643" w:firstLineChars="200"/>
        <w:jc w:val="left"/>
        <w:outlineLvl w:val="2"/>
        <w:rPr>
          <w:rFonts w:ascii="仿宋" w:hAnsi="仿宋" w:eastAsia="仿宋"/>
          <w:b/>
          <w:color w:val="000000"/>
          <w:sz w:val="32"/>
          <w:szCs w:val="32"/>
        </w:rPr>
      </w:pPr>
    </w:p>
    <w:p>
      <w:pPr>
        <w:numPr>
          <w:ilvl w:val="0"/>
          <w:numId w:val="2"/>
        </w:numPr>
        <w:spacing w:line="600" w:lineRule="exact"/>
        <w:jc w:val="center"/>
        <w:outlineLvl w:val="0"/>
        <w:rPr>
          <w:rStyle w:val="16"/>
          <w:rFonts w:ascii="方正小标宋简体" w:hAnsi="方正小标宋简体" w:eastAsia="方正小标宋简体" w:cs="方正小标宋简体"/>
          <w:b w:val="0"/>
        </w:rPr>
      </w:pPr>
      <w:bookmarkStart w:id="55" w:name="_Toc15377225"/>
      <w:bookmarkStart w:id="56" w:name="_Toc15396613"/>
      <w:r>
        <w:rPr>
          <w:rFonts w:hint="eastAsia" w:ascii="方正小标宋简体" w:hAnsi="方正小标宋简体" w:eastAsia="方正小标宋简体" w:cs="方正小标宋简体"/>
          <w:bCs/>
          <w:color w:val="000000"/>
          <w:sz w:val="44"/>
          <w:szCs w:val="44"/>
        </w:rPr>
        <w:t>名</w:t>
      </w:r>
      <w:r>
        <w:rPr>
          <w:rStyle w:val="16"/>
          <w:rFonts w:hint="eastAsia" w:ascii="方正小标宋简体" w:hAnsi="方正小标宋简体" w:eastAsia="方正小标宋简体" w:cs="方正小标宋简体"/>
          <w:b w:val="0"/>
        </w:rPr>
        <w:t>词解释</w:t>
      </w:r>
      <w:bookmarkEnd w:id="55"/>
      <w:bookmarkEnd w:id="56"/>
    </w:p>
    <w:p>
      <w:pPr>
        <w:spacing w:line="600" w:lineRule="exact"/>
        <w:jc w:val="center"/>
        <w:outlineLvl w:val="0"/>
        <w:rPr>
          <w:rStyle w:val="16"/>
          <w:rFonts w:ascii="方正小标宋简体" w:hAnsi="方正小标宋简体" w:eastAsia="方正小标宋简体" w:cs="方正小标宋简体"/>
          <w:b w:val="0"/>
        </w:rPr>
      </w:pPr>
    </w:p>
    <w:p>
      <w:pPr>
        <w:pStyle w:val="26"/>
        <w:spacing w:line="576"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6"/>
        <w:spacing w:line="576"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6"/>
        <w:spacing w:line="576"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6"/>
        <w:spacing w:line="576"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p>
    <w:p>
      <w:pPr>
        <w:pStyle w:val="26"/>
        <w:spacing w:line="576"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pStyle w:val="26"/>
        <w:spacing w:line="576"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p>
    <w:p>
      <w:pPr>
        <w:pStyle w:val="26"/>
        <w:spacing w:line="576"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6"/>
        <w:spacing w:line="576"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9.</w:t>
      </w:r>
      <w:r>
        <w:rPr>
          <w:rFonts w:hint="eastAsia" w:ascii="仿宋_GB2312" w:eastAsia="仿宋_GB2312"/>
          <w:color w:val="000000"/>
          <w:sz w:val="32"/>
          <w:szCs w:val="32"/>
        </w:rPr>
        <w:t>一般公共服务支出（类）商贸事务（款）事业运行（项）</w:t>
      </w:r>
      <w:r>
        <w:rPr>
          <w:rFonts w:ascii="仿宋_GB2312" w:eastAsia="仿宋_GB2312"/>
          <w:color w:val="000000"/>
          <w:sz w:val="32"/>
          <w:szCs w:val="32"/>
        </w:rPr>
        <w:t>:</w:t>
      </w:r>
      <w:r>
        <w:rPr>
          <w:rFonts w:hint="eastAsia" w:ascii="仿宋_GB2312" w:eastAsia="仿宋_GB2312"/>
          <w:color w:val="000000"/>
          <w:sz w:val="32"/>
          <w:szCs w:val="32"/>
        </w:rPr>
        <w:t>指反映政府提供一般公共服务的支出。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10.</w:t>
      </w:r>
      <w:r>
        <w:rPr>
          <w:rFonts w:hint="eastAsia" w:ascii="仿宋_GB2312" w:eastAsia="仿宋_GB2312"/>
          <w:color w:val="000000"/>
          <w:sz w:val="32"/>
          <w:szCs w:val="32"/>
        </w:rPr>
        <w:t>社会保障和就业支出（类）行政事业单位医疗（款）机关事业单位基本养老保险支出（项）</w:t>
      </w:r>
      <w:r>
        <w:rPr>
          <w:rFonts w:ascii="仿宋_GB2312" w:eastAsia="仿宋_GB2312"/>
          <w:color w:val="000000"/>
          <w:sz w:val="32"/>
          <w:szCs w:val="32"/>
        </w:rPr>
        <w:t>:</w:t>
      </w:r>
      <w:r>
        <w:rPr>
          <w:rFonts w:hint="eastAsia" w:ascii="仿宋_GB2312" w:eastAsia="仿宋_GB2312"/>
          <w:color w:val="000000"/>
          <w:sz w:val="32"/>
          <w:szCs w:val="32"/>
        </w:rPr>
        <w:t>指反映政府在社会保障与就业方面的支出。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11.</w:t>
      </w:r>
      <w:r>
        <w:rPr>
          <w:rFonts w:hint="eastAsia" w:ascii="仿宋_GB2312" w:eastAsia="仿宋_GB2312"/>
          <w:color w:val="000000"/>
          <w:sz w:val="32"/>
          <w:szCs w:val="32"/>
        </w:rPr>
        <w:t>医疗卫生与计划生育支出（类）行政事业单位医疗（款）事业单位医疗（项）</w:t>
      </w:r>
      <w:r>
        <w:rPr>
          <w:rFonts w:ascii="仿宋_GB2312" w:eastAsia="仿宋_GB2312"/>
          <w:color w:val="000000"/>
          <w:sz w:val="32"/>
          <w:szCs w:val="32"/>
        </w:rPr>
        <w:t>:</w:t>
      </w:r>
      <w:r>
        <w:rPr>
          <w:rFonts w:hint="eastAsia" w:ascii="仿宋_GB2312" w:eastAsia="仿宋_GB2312"/>
          <w:color w:val="000000"/>
          <w:sz w:val="32"/>
          <w:szCs w:val="32"/>
        </w:rPr>
        <w:t>指反映政府卫生健康和计划生育方面的支出。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12.</w:t>
      </w:r>
      <w:r>
        <w:rPr>
          <w:rFonts w:hint="eastAsia" w:ascii="仿宋_GB2312" w:eastAsia="仿宋_GB2312"/>
          <w:color w:val="000000"/>
          <w:sz w:val="32"/>
          <w:szCs w:val="32"/>
        </w:rPr>
        <w:t>住房保障支出（类）住房改革支出（款）住房公积金（项）</w:t>
      </w:r>
      <w:r>
        <w:rPr>
          <w:rFonts w:ascii="仿宋_GB2312" w:eastAsia="仿宋_GB2312"/>
          <w:color w:val="000000"/>
          <w:sz w:val="32"/>
          <w:szCs w:val="32"/>
        </w:rPr>
        <w:t>:</w:t>
      </w:r>
      <w:r>
        <w:rPr>
          <w:rFonts w:hint="eastAsia" w:ascii="仿宋_GB2312" w:eastAsia="仿宋_GB2312"/>
          <w:color w:val="000000"/>
          <w:sz w:val="32"/>
          <w:szCs w:val="32"/>
        </w:rPr>
        <w:t>指反映政府用于住房方面的支出。</w:t>
      </w:r>
      <w:r>
        <w:rPr>
          <w:rFonts w:ascii="仿宋_GB2312" w:eastAsia="仿宋_GB2312"/>
          <w:color w:val="000000"/>
          <w:sz w:val="32"/>
          <w:szCs w:val="32"/>
        </w:rPr>
        <w:t xml:space="preserve">                                                                                                                                                                                                                                            </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13.</w:t>
      </w:r>
      <w:r>
        <w:rPr>
          <w:rFonts w:hint="eastAsia" w:ascii="仿宋_GB2312" w:eastAsia="仿宋_GB2312"/>
          <w:color w:val="000000"/>
          <w:sz w:val="32"/>
          <w:szCs w:val="32"/>
        </w:rPr>
        <w:t>基本支出：指为保障机构正常运转、完成日常工作任务而发生的人员支出和公用支出。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14.</w:t>
      </w:r>
      <w:r>
        <w:rPr>
          <w:rFonts w:hint="eastAsia" w:ascii="仿宋_GB2312" w:eastAsia="仿宋_GB2312"/>
          <w:color w:val="000000"/>
          <w:sz w:val="32"/>
          <w:szCs w:val="32"/>
        </w:rPr>
        <w:t>项目支出：指在基本支出之外为完成特定行政任务和事业发展目标所发生的支出。</w:t>
      </w:r>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15.</w:t>
      </w:r>
      <w:r>
        <w:rPr>
          <w:rFonts w:hint="eastAsia" w:ascii="仿宋_GB2312" w:eastAsia="仿宋_GB2312"/>
          <w:color w:val="000000"/>
          <w:sz w:val="32"/>
          <w:szCs w:val="32"/>
        </w:rPr>
        <w:t>经营支出：指事业单位在专业业务活动及其辅助活动之外开展非独立核算经营活动发生的支出。</w:t>
      </w:r>
    </w:p>
    <w:p>
      <w:pPr>
        <w:pStyle w:val="26"/>
        <w:spacing w:line="576" w:lineRule="exact"/>
        <w:ind w:firstLine="640" w:firstLineChars="200"/>
        <w:rPr>
          <w:rFonts w:ascii="仿宋_GB2312" w:eastAsia="仿宋_GB2312"/>
          <w:sz w:val="32"/>
          <w:szCs w:val="32"/>
        </w:rPr>
      </w:pPr>
      <w:r>
        <w:rPr>
          <w:rFonts w:ascii="仿宋_GB2312" w:eastAsia="仿宋_GB2312"/>
          <w:sz w:val="32"/>
          <w:szCs w:val="32"/>
        </w:rPr>
        <w:t>16.</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6"/>
        <w:spacing w:line="576" w:lineRule="exact"/>
        <w:ind w:firstLine="640" w:firstLineChars="200"/>
        <w:rPr>
          <w:rFonts w:ascii="仿宋_GB2312" w:eastAsia="仿宋_GB2312"/>
          <w:sz w:val="32"/>
          <w:szCs w:val="32"/>
        </w:rPr>
      </w:pPr>
      <w:r>
        <w:rPr>
          <w:rFonts w:ascii="仿宋_GB2312" w:eastAsia="仿宋_GB2312"/>
          <w:sz w:val="32"/>
          <w:szCs w:val="32"/>
        </w:rPr>
        <w:t>17.</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tabs>
          <w:tab w:val="left" w:pos="3966"/>
          <w:tab w:val="center" w:pos="5533"/>
        </w:tabs>
        <w:spacing w:line="576" w:lineRule="exact"/>
        <w:jc w:val="center"/>
        <w:outlineLvl w:val="0"/>
        <w:rPr>
          <w:rFonts w:ascii="方正小标宋简体" w:hAnsi="方正小标宋简体" w:eastAsia="方正小标宋简体" w:cs="方正小标宋简体"/>
          <w:bCs/>
          <w:color w:val="000000"/>
          <w:sz w:val="44"/>
          <w:szCs w:val="44"/>
        </w:rPr>
      </w:pPr>
      <w:bookmarkStart w:id="57" w:name="_Toc15396614"/>
      <w:bookmarkStart w:id="58" w:name="_Toc15377226"/>
    </w:p>
    <w:p>
      <w:pPr>
        <w:tabs>
          <w:tab w:val="left" w:pos="3966"/>
          <w:tab w:val="center" w:pos="5533"/>
        </w:tabs>
        <w:spacing w:line="576" w:lineRule="exact"/>
        <w:jc w:val="center"/>
        <w:outlineLvl w:val="0"/>
        <w:rPr>
          <w:rFonts w:ascii="方正小标宋简体" w:hAnsi="方正小标宋简体" w:eastAsia="方正小标宋简体" w:cs="方正小标宋简体"/>
          <w:bCs/>
          <w:color w:val="000000"/>
          <w:sz w:val="44"/>
          <w:szCs w:val="44"/>
        </w:rPr>
      </w:pPr>
    </w:p>
    <w:p>
      <w:pPr>
        <w:tabs>
          <w:tab w:val="left" w:pos="3966"/>
          <w:tab w:val="center" w:pos="5533"/>
        </w:tabs>
        <w:spacing w:line="576" w:lineRule="exact"/>
        <w:jc w:val="center"/>
        <w:outlineLvl w:val="0"/>
        <w:rPr>
          <w:rFonts w:ascii="方正小标宋简体" w:hAnsi="方正小标宋简体" w:eastAsia="方正小标宋简体" w:cs="方正小标宋简体"/>
          <w:bCs/>
          <w:color w:val="000000"/>
          <w:sz w:val="44"/>
          <w:szCs w:val="44"/>
        </w:rPr>
      </w:pPr>
    </w:p>
    <w:p>
      <w:pPr>
        <w:tabs>
          <w:tab w:val="left" w:pos="3966"/>
          <w:tab w:val="center" w:pos="5533"/>
        </w:tabs>
        <w:spacing w:line="576" w:lineRule="exact"/>
        <w:jc w:val="center"/>
        <w:outlineLvl w:val="0"/>
        <w:rPr>
          <w:rFonts w:ascii="方正小标宋简体" w:hAnsi="方正小标宋简体" w:eastAsia="方正小标宋简体" w:cs="方正小标宋简体"/>
          <w:bCs/>
          <w:color w:val="000000"/>
          <w:sz w:val="44"/>
          <w:szCs w:val="44"/>
        </w:rPr>
      </w:pPr>
    </w:p>
    <w:p>
      <w:pPr>
        <w:tabs>
          <w:tab w:val="left" w:pos="3966"/>
          <w:tab w:val="center" w:pos="5533"/>
        </w:tabs>
        <w:spacing w:line="576" w:lineRule="exact"/>
        <w:jc w:val="center"/>
        <w:outlineLvl w:val="0"/>
        <w:rPr>
          <w:rFonts w:ascii="方正小标宋简体" w:hAnsi="方正小标宋简体" w:eastAsia="方正小标宋简体" w:cs="方正小标宋简体"/>
          <w:bCs/>
          <w:color w:val="000000"/>
          <w:sz w:val="44"/>
          <w:szCs w:val="44"/>
        </w:rPr>
      </w:pPr>
    </w:p>
    <w:p>
      <w:pPr>
        <w:tabs>
          <w:tab w:val="left" w:pos="3966"/>
          <w:tab w:val="center" w:pos="5533"/>
        </w:tabs>
        <w:spacing w:line="576" w:lineRule="exact"/>
        <w:jc w:val="center"/>
        <w:outlineLvl w:val="0"/>
        <w:rPr>
          <w:rFonts w:ascii="方正小标宋简体" w:hAnsi="方正小标宋简体" w:eastAsia="方正小标宋简体" w:cs="方正小标宋简体"/>
          <w:bCs/>
          <w:color w:val="000000"/>
          <w:sz w:val="44"/>
          <w:szCs w:val="44"/>
        </w:rPr>
      </w:pPr>
    </w:p>
    <w:p>
      <w:pPr>
        <w:tabs>
          <w:tab w:val="left" w:pos="3966"/>
          <w:tab w:val="center" w:pos="5533"/>
        </w:tabs>
        <w:spacing w:line="576" w:lineRule="exact"/>
        <w:jc w:val="center"/>
        <w:outlineLvl w:val="0"/>
        <w:rPr>
          <w:rFonts w:ascii="方正小标宋简体" w:hAnsi="方正小标宋简体" w:eastAsia="方正小标宋简体" w:cs="方正小标宋简体"/>
          <w:bCs/>
          <w:color w:val="000000"/>
          <w:sz w:val="44"/>
          <w:szCs w:val="44"/>
        </w:rPr>
      </w:pPr>
    </w:p>
    <w:p>
      <w:pPr>
        <w:tabs>
          <w:tab w:val="left" w:pos="3966"/>
          <w:tab w:val="center" w:pos="5533"/>
        </w:tabs>
        <w:spacing w:line="576" w:lineRule="exact"/>
        <w:jc w:val="center"/>
        <w:outlineLvl w:val="0"/>
        <w:rPr>
          <w:rFonts w:ascii="方正小标宋简体" w:hAnsi="方正小标宋简体" w:eastAsia="方正小标宋简体" w:cs="方正小标宋简体"/>
          <w:bCs/>
          <w:color w:val="000000"/>
          <w:sz w:val="44"/>
          <w:szCs w:val="44"/>
        </w:rPr>
      </w:pPr>
    </w:p>
    <w:p>
      <w:pPr>
        <w:tabs>
          <w:tab w:val="left" w:pos="3966"/>
          <w:tab w:val="center" w:pos="5533"/>
        </w:tabs>
        <w:spacing w:line="576" w:lineRule="exact"/>
        <w:jc w:val="center"/>
        <w:outlineLvl w:val="0"/>
        <w:rPr>
          <w:rFonts w:ascii="方正小标宋简体" w:hAnsi="方正小标宋简体" w:eastAsia="方正小标宋简体" w:cs="方正小标宋简体"/>
          <w:bCs/>
          <w:color w:val="000000"/>
          <w:sz w:val="44"/>
          <w:szCs w:val="44"/>
        </w:rPr>
      </w:pPr>
    </w:p>
    <w:p>
      <w:pPr>
        <w:tabs>
          <w:tab w:val="left" w:pos="3966"/>
          <w:tab w:val="center" w:pos="5533"/>
        </w:tabs>
        <w:spacing w:line="576" w:lineRule="exact"/>
        <w:jc w:val="center"/>
        <w:outlineLvl w:val="0"/>
        <w:rPr>
          <w:rFonts w:ascii="方正小标宋简体" w:hAnsi="方正小标宋简体" w:eastAsia="方正小标宋简体" w:cs="方正小标宋简体"/>
          <w:bCs/>
          <w:color w:val="000000"/>
          <w:sz w:val="44"/>
          <w:szCs w:val="44"/>
        </w:rPr>
      </w:pPr>
    </w:p>
    <w:p>
      <w:pPr>
        <w:tabs>
          <w:tab w:val="left" w:pos="3966"/>
          <w:tab w:val="center" w:pos="5533"/>
        </w:tabs>
        <w:spacing w:line="576" w:lineRule="exact"/>
        <w:jc w:val="center"/>
        <w:outlineLvl w:val="0"/>
        <w:rPr>
          <w:rFonts w:ascii="方正小标宋简体" w:hAnsi="方正小标宋简体" w:eastAsia="方正小标宋简体" w:cs="方正小标宋简体"/>
          <w:bCs/>
          <w:color w:val="000000"/>
          <w:sz w:val="44"/>
          <w:szCs w:val="44"/>
        </w:rPr>
      </w:pPr>
    </w:p>
    <w:p>
      <w:pPr>
        <w:tabs>
          <w:tab w:val="left" w:pos="3966"/>
          <w:tab w:val="center" w:pos="5533"/>
        </w:tabs>
        <w:spacing w:line="576" w:lineRule="exact"/>
        <w:jc w:val="center"/>
        <w:outlineLvl w:val="0"/>
        <w:rPr>
          <w:rFonts w:ascii="方正小标宋简体" w:hAnsi="方正小标宋简体" w:eastAsia="方正小标宋简体" w:cs="方正小标宋简体"/>
          <w:bCs/>
          <w:color w:val="000000"/>
          <w:sz w:val="44"/>
          <w:szCs w:val="44"/>
        </w:rPr>
      </w:pPr>
    </w:p>
    <w:p>
      <w:pPr>
        <w:tabs>
          <w:tab w:val="left" w:pos="3966"/>
          <w:tab w:val="center" w:pos="5533"/>
        </w:tabs>
        <w:spacing w:line="576" w:lineRule="exact"/>
        <w:jc w:val="center"/>
        <w:outlineLvl w:val="0"/>
        <w:rPr>
          <w:rFonts w:ascii="方正小标宋简体" w:hAnsi="方正小标宋简体" w:eastAsia="方正小标宋简体" w:cs="方正小标宋简体"/>
          <w:bCs/>
          <w:color w:val="000000"/>
          <w:sz w:val="44"/>
          <w:szCs w:val="44"/>
        </w:rPr>
      </w:pPr>
    </w:p>
    <w:p>
      <w:pPr>
        <w:tabs>
          <w:tab w:val="left" w:pos="3966"/>
          <w:tab w:val="center" w:pos="5533"/>
        </w:tabs>
        <w:spacing w:line="576" w:lineRule="exact"/>
        <w:jc w:val="center"/>
        <w:outlineLvl w:val="0"/>
        <w:rPr>
          <w:rFonts w:ascii="方正小标宋简体" w:hAnsi="方正小标宋简体" w:eastAsia="方正小标宋简体" w:cs="方正小标宋简体"/>
          <w:bCs/>
          <w:color w:val="000000"/>
          <w:sz w:val="44"/>
          <w:szCs w:val="44"/>
        </w:rPr>
      </w:pPr>
    </w:p>
    <w:p>
      <w:pPr>
        <w:tabs>
          <w:tab w:val="left" w:pos="3966"/>
          <w:tab w:val="center" w:pos="5533"/>
        </w:tabs>
        <w:spacing w:line="576" w:lineRule="exact"/>
        <w:jc w:val="center"/>
        <w:outlineLvl w:val="0"/>
        <w:rPr>
          <w:rFonts w:ascii="方正小标宋简体" w:hAnsi="方正小标宋简体" w:eastAsia="方正小标宋简体" w:cs="方正小标宋简体"/>
          <w:bCs/>
          <w:color w:val="000000"/>
          <w:sz w:val="44"/>
          <w:szCs w:val="44"/>
        </w:rPr>
      </w:pPr>
    </w:p>
    <w:p>
      <w:pPr>
        <w:tabs>
          <w:tab w:val="left" w:pos="3966"/>
          <w:tab w:val="center" w:pos="5533"/>
        </w:tabs>
        <w:spacing w:line="576" w:lineRule="exact"/>
        <w:jc w:val="center"/>
        <w:outlineLvl w:val="0"/>
        <w:rPr>
          <w:rFonts w:ascii="方正小标宋简体" w:hAnsi="方正小标宋简体" w:eastAsia="方正小标宋简体" w:cs="方正小标宋简体"/>
          <w:bCs/>
          <w:color w:val="000000"/>
          <w:sz w:val="44"/>
          <w:szCs w:val="44"/>
        </w:rPr>
      </w:pPr>
    </w:p>
    <w:p>
      <w:pPr>
        <w:tabs>
          <w:tab w:val="left" w:pos="3966"/>
          <w:tab w:val="center" w:pos="5533"/>
        </w:tabs>
        <w:spacing w:line="576" w:lineRule="exact"/>
        <w:jc w:val="center"/>
        <w:outlineLvl w:val="0"/>
        <w:rPr>
          <w:rFonts w:ascii="方正小标宋简体" w:hAnsi="方正小标宋简体" w:eastAsia="方正小标宋简体" w:cs="方正小标宋简体"/>
          <w:bCs/>
          <w:color w:val="000000"/>
          <w:sz w:val="44"/>
          <w:szCs w:val="44"/>
        </w:rPr>
      </w:pPr>
    </w:p>
    <w:p>
      <w:pPr>
        <w:tabs>
          <w:tab w:val="left" w:pos="3966"/>
          <w:tab w:val="center" w:pos="5533"/>
        </w:tabs>
        <w:spacing w:line="576" w:lineRule="exact"/>
        <w:jc w:val="center"/>
        <w:outlineLvl w:val="0"/>
        <w:rPr>
          <w:rFonts w:ascii="方正小标宋简体" w:hAnsi="方正小标宋简体" w:eastAsia="方正小标宋简体" w:cs="方正小标宋简体"/>
          <w:bCs/>
          <w:color w:val="000000"/>
          <w:sz w:val="44"/>
          <w:szCs w:val="44"/>
        </w:rPr>
      </w:pPr>
    </w:p>
    <w:p>
      <w:pPr>
        <w:tabs>
          <w:tab w:val="left" w:pos="3966"/>
          <w:tab w:val="center" w:pos="5533"/>
        </w:tabs>
        <w:spacing w:line="576" w:lineRule="exact"/>
        <w:jc w:val="center"/>
        <w:outlineLvl w:val="0"/>
        <w:rPr>
          <w:rFonts w:ascii="方正小标宋简体" w:hAnsi="方正小标宋简体" w:eastAsia="方正小标宋简体" w:cs="方正小标宋简体"/>
          <w:bCs/>
          <w:color w:val="000000"/>
          <w:sz w:val="44"/>
          <w:szCs w:val="44"/>
        </w:rPr>
      </w:pPr>
    </w:p>
    <w:p>
      <w:pPr>
        <w:tabs>
          <w:tab w:val="left" w:pos="3966"/>
          <w:tab w:val="center" w:pos="5533"/>
        </w:tabs>
        <w:spacing w:line="576" w:lineRule="exact"/>
        <w:jc w:val="center"/>
        <w:outlineLvl w:val="0"/>
        <w:rPr>
          <w:rFonts w:ascii="方正小标宋简体" w:hAnsi="方正小标宋简体" w:eastAsia="方正小标宋简体" w:cs="方正小标宋简体"/>
          <w:bCs/>
          <w:color w:val="000000"/>
          <w:sz w:val="44"/>
          <w:szCs w:val="44"/>
        </w:rPr>
      </w:pPr>
    </w:p>
    <w:p>
      <w:pPr>
        <w:tabs>
          <w:tab w:val="left" w:pos="3966"/>
          <w:tab w:val="center" w:pos="5533"/>
        </w:tabs>
        <w:spacing w:line="576" w:lineRule="exact"/>
        <w:jc w:val="center"/>
        <w:outlineLvl w:val="0"/>
        <w:rPr>
          <w:rFonts w:ascii="方正小标宋简体" w:hAnsi="方正小标宋简体" w:eastAsia="方正小标宋简体" w:cs="方正小标宋简体"/>
          <w:bCs/>
          <w:color w:val="000000"/>
          <w:sz w:val="44"/>
          <w:szCs w:val="44"/>
        </w:rPr>
      </w:pPr>
    </w:p>
    <w:p>
      <w:pPr>
        <w:tabs>
          <w:tab w:val="left" w:pos="3966"/>
          <w:tab w:val="center" w:pos="5533"/>
        </w:tabs>
        <w:spacing w:line="576" w:lineRule="exact"/>
        <w:jc w:val="center"/>
        <w:outlineLvl w:val="0"/>
        <w:rPr>
          <w:rStyle w:val="16"/>
          <w:rFonts w:ascii="宋体"/>
          <w:b w:val="0"/>
        </w:rPr>
      </w:pPr>
      <w:r>
        <w:rPr>
          <w:rFonts w:hint="eastAsia" w:ascii="方正小标宋简体" w:hAnsi="方正小标宋简体" w:eastAsia="方正小标宋简体" w:cs="方正小标宋简体"/>
          <w:bCs/>
          <w:color w:val="000000"/>
          <w:sz w:val="44"/>
          <w:szCs w:val="44"/>
        </w:rPr>
        <w:t>第四部分</w:t>
      </w:r>
      <w:r>
        <w:rPr>
          <w:rStyle w:val="16"/>
          <w:rFonts w:hint="eastAsia" w:ascii="方正小标宋简体" w:hAnsi="方正小标宋简体" w:eastAsia="方正小标宋简体" w:cs="方正小标宋简体"/>
          <w:b w:val="0"/>
        </w:rPr>
        <w:t>附件</w:t>
      </w:r>
      <w:bookmarkEnd w:id="57"/>
    </w:p>
    <w:p>
      <w:pPr>
        <w:spacing w:line="576" w:lineRule="exact"/>
        <w:ind w:left="315" w:leftChars="150"/>
        <w:outlineLvl w:val="0"/>
        <w:rPr>
          <w:rStyle w:val="16"/>
          <w:rFonts w:ascii="方正小标宋简体" w:hAnsi="方正小标宋简体" w:eastAsia="方正小标宋简体" w:cs="方正小标宋简体"/>
          <w:b w:val="0"/>
        </w:rPr>
      </w:pPr>
    </w:p>
    <w:p>
      <w:pPr>
        <w:spacing w:line="576" w:lineRule="exact"/>
        <w:jc w:val="center"/>
        <w:outlineLvl w:val="0"/>
        <w:rPr>
          <w:rFonts w:ascii="方正小标宋简体" w:hAnsi="方正小标宋简体" w:eastAsia="方正小标宋简体" w:cs="方正小标宋简体"/>
          <w:bCs/>
          <w:sz w:val="44"/>
          <w:szCs w:val="44"/>
        </w:rPr>
      </w:pPr>
      <w:bookmarkStart w:id="59" w:name="_Toc15396616"/>
      <w:r>
        <w:rPr>
          <w:rFonts w:hint="eastAsia" w:ascii="方正小标宋简体" w:hAnsi="方正小标宋简体" w:eastAsia="方正小标宋简体" w:cs="方正小标宋简体"/>
          <w:bCs/>
          <w:sz w:val="44"/>
          <w:szCs w:val="44"/>
        </w:rPr>
        <w:t>茂县工业园区管理委员会</w:t>
      </w:r>
    </w:p>
    <w:p>
      <w:pPr>
        <w:spacing w:line="576" w:lineRule="exact"/>
        <w:jc w:val="center"/>
        <w:outlineLvl w:val="0"/>
        <w:rPr>
          <w:rFonts w:ascii="方正小标宋简体" w:hAnsi="方正小标宋简体" w:eastAsia="方正小标宋简体" w:cs="方正小标宋简体"/>
          <w:bCs/>
          <w:sz w:val="44"/>
          <w:szCs w:val="44"/>
        </w:rPr>
      </w:pPr>
      <w:r>
        <w:rPr>
          <w:rFonts w:ascii="方正小标宋简体" w:hAnsi="方正小标宋简体" w:eastAsia="方正小标宋简体" w:cs="方正小标宋简体"/>
          <w:bCs/>
          <w:sz w:val="44"/>
          <w:szCs w:val="44"/>
        </w:rPr>
        <w:t>2018</w:t>
      </w:r>
      <w:r>
        <w:rPr>
          <w:rFonts w:hint="eastAsia" w:ascii="方正小标宋简体" w:hAnsi="方正小标宋简体" w:eastAsia="方正小标宋简体" w:cs="方正小标宋简体"/>
          <w:bCs/>
          <w:sz w:val="44"/>
          <w:szCs w:val="44"/>
        </w:rPr>
        <w:t>年部门整体支出绩效评价报告</w:t>
      </w:r>
      <w:bookmarkEnd w:id="59"/>
    </w:p>
    <w:p>
      <w:pPr>
        <w:spacing w:line="576" w:lineRule="exact"/>
        <w:ind w:firstLine="640" w:firstLineChars="200"/>
        <w:jc w:val="left"/>
        <w:outlineLvl w:val="0"/>
        <w:rPr>
          <w:rFonts w:ascii="黑体" w:hAnsi="黑体" w:eastAsia="黑体" w:cs="黑体"/>
          <w:sz w:val="32"/>
          <w:szCs w:val="32"/>
        </w:rPr>
      </w:pPr>
      <w:r>
        <w:rPr>
          <w:rFonts w:hint="eastAsia" w:ascii="黑体" w:hAnsi="黑体" w:eastAsia="黑体" w:cs="黑体"/>
          <w:sz w:val="32"/>
          <w:szCs w:val="32"/>
        </w:rPr>
        <w:t>一、部门概况</w:t>
      </w:r>
    </w:p>
    <w:p>
      <w:pPr>
        <w:spacing w:line="576" w:lineRule="exact"/>
        <w:ind w:firstLine="480" w:firstLineChars="150"/>
        <w:jc w:val="left"/>
        <w:outlineLvl w:val="0"/>
        <w:rPr>
          <w:rFonts w:ascii="楷体_GB2312" w:hAnsi="仿宋" w:eastAsia="楷体_GB2312" w:cs="仿宋_GB2312"/>
          <w:sz w:val="32"/>
          <w:szCs w:val="32"/>
        </w:rPr>
      </w:pPr>
      <w:r>
        <w:rPr>
          <w:rFonts w:hint="eastAsia" w:ascii="楷体_GB2312" w:hAnsi="仿宋" w:eastAsia="楷体_GB2312" w:cs="仿宋_GB2312"/>
          <w:sz w:val="32"/>
          <w:szCs w:val="32"/>
        </w:rPr>
        <w:t>（一）机构组成</w:t>
      </w:r>
    </w:p>
    <w:p>
      <w:pPr>
        <w:widowControl/>
        <w:spacing w:line="600" w:lineRule="exact"/>
        <w:ind w:firstLine="640" w:firstLineChars="200"/>
        <w:jc w:val="left"/>
        <w:rPr>
          <w:rFonts w:ascii="仿宋_GB2312" w:hAnsi="宋体" w:eastAsia="仿宋_GB2312" w:cs="宋体"/>
          <w:kern w:val="0"/>
          <w:sz w:val="32"/>
          <w:szCs w:val="32"/>
        </w:rPr>
      </w:pPr>
      <w:r>
        <w:rPr>
          <w:rFonts w:hint="eastAsia" w:ascii="仿宋_GB2312" w:hAnsi="仿宋" w:eastAsia="仿宋_GB2312"/>
          <w:sz w:val="32"/>
          <w:szCs w:val="32"/>
        </w:rPr>
        <w:t>茂县工业园区管理委员会属于正科级一级预算事业单位，内设</w:t>
      </w:r>
      <w:r>
        <w:rPr>
          <w:rFonts w:ascii="仿宋_GB2312" w:hAnsi="仿宋" w:eastAsia="仿宋_GB2312"/>
          <w:sz w:val="32"/>
          <w:szCs w:val="32"/>
        </w:rPr>
        <w:t>5</w:t>
      </w:r>
      <w:r>
        <w:rPr>
          <w:rFonts w:hint="eastAsia" w:ascii="仿宋_GB2312" w:hAnsi="仿宋" w:eastAsia="仿宋_GB2312"/>
          <w:sz w:val="32"/>
          <w:szCs w:val="32"/>
        </w:rPr>
        <w:t>个职能股室：办公室、企业管理股、基础设施管理股、项目招商股、规划建设股。</w:t>
      </w:r>
    </w:p>
    <w:p>
      <w:pPr>
        <w:spacing w:line="576" w:lineRule="exact"/>
        <w:ind w:firstLine="480" w:firstLineChars="150"/>
        <w:rPr>
          <w:rFonts w:ascii="楷体_GB2312" w:hAnsi="仿宋" w:eastAsia="楷体_GB2312" w:cs="仿宋_GB2312"/>
          <w:sz w:val="32"/>
          <w:szCs w:val="32"/>
        </w:rPr>
      </w:pPr>
      <w:r>
        <w:rPr>
          <w:rFonts w:hint="eastAsia" w:ascii="楷体_GB2312" w:hAnsi="仿宋" w:eastAsia="楷体_GB2312" w:cs="仿宋_GB2312"/>
          <w:sz w:val="32"/>
          <w:szCs w:val="32"/>
        </w:rPr>
        <w:t>（二）机构职能</w:t>
      </w:r>
    </w:p>
    <w:p>
      <w:pPr>
        <w:widowControl/>
        <w:spacing w:line="60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根据茂编发【</w:t>
      </w:r>
      <w:r>
        <w:rPr>
          <w:rFonts w:ascii="仿宋_GB2312" w:hAnsi="宋体" w:eastAsia="仿宋_GB2312" w:cs="宋体"/>
          <w:kern w:val="0"/>
          <w:sz w:val="32"/>
          <w:szCs w:val="32"/>
        </w:rPr>
        <w:t>2011</w:t>
      </w:r>
      <w:r>
        <w:rPr>
          <w:rFonts w:hint="eastAsia" w:ascii="仿宋_GB2312" w:hAnsi="宋体" w:eastAsia="仿宋_GB2312" w:cs="宋体"/>
          <w:kern w:val="0"/>
          <w:sz w:val="32"/>
          <w:szCs w:val="32"/>
        </w:rPr>
        <w:t>】</w:t>
      </w:r>
      <w:r>
        <w:rPr>
          <w:rFonts w:ascii="仿宋_GB2312" w:hAnsi="宋体" w:eastAsia="仿宋_GB2312" w:cs="宋体"/>
          <w:kern w:val="0"/>
          <w:sz w:val="32"/>
          <w:szCs w:val="32"/>
        </w:rPr>
        <w:t>32</w:t>
      </w:r>
      <w:r>
        <w:rPr>
          <w:rFonts w:hint="eastAsia" w:ascii="仿宋_GB2312" w:hAnsi="宋体" w:eastAsia="仿宋_GB2312" w:cs="宋体"/>
          <w:kern w:val="0"/>
          <w:sz w:val="32"/>
          <w:szCs w:val="32"/>
        </w:rPr>
        <w:t>号文件规定，主要职责是：根据全县的总体规划，负责制定工业园区发展的中长期规划；负责招商引资的协调服务；积极组织项目投资洽谈活动。</w:t>
      </w:r>
    </w:p>
    <w:p>
      <w:pPr>
        <w:widowControl/>
        <w:spacing w:line="576" w:lineRule="exact"/>
        <w:ind w:firstLine="640" w:firstLineChars="200"/>
        <w:jc w:val="left"/>
        <w:rPr>
          <w:rFonts w:ascii="楷体_GB2312" w:hAnsi="仿宋" w:eastAsia="楷体_GB2312" w:cs="仿宋_GB2312"/>
          <w:sz w:val="32"/>
          <w:szCs w:val="32"/>
        </w:rPr>
      </w:pPr>
      <w:r>
        <w:rPr>
          <w:rFonts w:hint="eastAsia" w:ascii="楷体_GB2312" w:hAnsi="仿宋" w:eastAsia="楷体_GB2312" w:cs="仿宋_GB2312"/>
          <w:sz w:val="32"/>
          <w:szCs w:val="32"/>
        </w:rPr>
        <w:t>（三）人员概况</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茂县工业园区管理委员会为事业单位，现有行政编制</w:t>
      </w:r>
      <w:r>
        <w:rPr>
          <w:rFonts w:ascii="仿宋_GB2312" w:eastAsia="仿宋_GB2312"/>
          <w:sz w:val="32"/>
          <w:szCs w:val="32"/>
        </w:rPr>
        <w:t>10</w:t>
      </w:r>
      <w:r>
        <w:rPr>
          <w:rFonts w:hint="eastAsia" w:ascii="仿宋_GB2312" w:eastAsia="仿宋_GB2312"/>
          <w:sz w:val="32"/>
          <w:szCs w:val="32"/>
        </w:rPr>
        <w:t>人，</w:t>
      </w:r>
      <w:r>
        <w:rPr>
          <w:rFonts w:ascii="仿宋_GB2312" w:eastAsia="仿宋_GB2312"/>
          <w:sz w:val="32"/>
          <w:szCs w:val="32"/>
        </w:rPr>
        <w:t>2018</w:t>
      </w:r>
      <w:r>
        <w:rPr>
          <w:rFonts w:hint="eastAsia" w:ascii="仿宋_GB2312" w:eastAsia="仿宋_GB2312"/>
          <w:sz w:val="32"/>
          <w:szCs w:val="32"/>
        </w:rPr>
        <w:t>年在职职工</w:t>
      </w:r>
      <w:r>
        <w:rPr>
          <w:rFonts w:ascii="仿宋_GB2312" w:eastAsia="仿宋_GB2312"/>
          <w:sz w:val="32"/>
          <w:szCs w:val="32"/>
        </w:rPr>
        <w:t>10</w:t>
      </w:r>
      <w:r>
        <w:rPr>
          <w:rFonts w:hint="eastAsia" w:ascii="仿宋_GB2312" w:eastAsia="仿宋_GB2312"/>
          <w:sz w:val="32"/>
          <w:szCs w:val="32"/>
        </w:rPr>
        <w:t>人，其中：专业技术人员</w:t>
      </w:r>
      <w:r>
        <w:rPr>
          <w:rFonts w:ascii="仿宋_GB2312" w:eastAsia="仿宋_GB2312"/>
          <w:sz w:val="32"/>
          <w:szCs w:val="32"/>
        </w:rPr>
        <w:t>6</w:t>
      </w:r>
      <w:r>
        <w:rPr>
          <w:rFonts w:hint="eastAsia" w:ascii="仿宋_GB2312" w:eastAsia="仿宋_GB2312"/>
          <w:sz w:val="32"/>
          <w:szCs w:val="32"/>
        </w:rPr>
        <w:t>人，管理人员</w:t>
      </w:r>
      <w:r>
        <w:rPr>
          <w:rFonts w:ascii="仿宋_GB2312" w:eastAsia="仿宋_GB2312"/>
          <w:sz w:val="32"/>
          <w:szCs w:val="32"/>
        </w:rPr>
        <w:t>4</w:t>
      </w:r>
      <w:r>
        <w:rPr>
          <w:rFonts w:hint="eastAsia" w:ascii="仿宋_GB2312" w:eastAsia="仿宋_GB2312"/>
          <w:sz w:val="32"/>
          <w:szCs w:val="32"/>
        </w:rPr>
        <w:t>人。</w:t>
      </w:r>
    </w:p>
    <w:p>
      <w:pPr>
        <w:spacing w:line="576" w:lineRule="exact"/>
        <w:ind w:firstLine="800" w:firstLineChars="250"/>
        <w:rPr>
          <w:rFonts w:ascii="仿宋_GB2312" w:eastAsia="仿宋_GB2312"/>
          <w:sz w:val="32"/>
          <w:szCs w:val="32"/>
        </w:rPr>
      </w:pPr>
      <w:r>
        <w:rPr>
          <w:rFonts w:hint="eastAsia" w:ascii="黑体" w:hAnsi="黑体" w:eastAsia="黑体" w:cs="黑体"/>
          <w:sz w:val="32"/>
          <w:szCs w:val="32"/>
        </w:rPr>
        <w:t>二、部门财政资金收支情况</w:t>
      </w:r>
    </w:p>
    <w:p>
      <w:pPr>
        <w:spacing w:line="576" w:lineRule="exact"/>
        <w:ind w:firstLine="640" w:firstLineChars="200"/>
        <w:rPr>
          <w:rFonts w:ascii="楷体_GB2312" w:hAnsi="仿宋" w:eastAsia="楷体_GB2312" w:cs="仿宋_GB2312"/>
          <w:sz w:val="32"/>
          <w:szCs w:val="32"/>
        </w:rPr>
      </w:pPr>
      <w:r>
        <w:rPr>
          <w:rFonts w:hint="eastAsia" w:ascii="楷体_GB2312" w:hAnsi="仿宋" w:eastAsia="楷体_GB2312" w:cs="仿宋_GB2312"/>
          <w:sz w:val="32"/>
          <w:szCs w:val="32"/>
        </w:rPr>
        <w:t>（一）部门财政资金收入情况</w:t>
      </w:r>
    </w:p>
    <w:p>
      <w:pPr>
        <w:widowControl/>
        <w:adjustRightInd w:val="0"/>
        <w:snapToGrid w:val="0"/>
        <w:spacing w:line="576" w:lineRule="exact"/>
        <w:ind w:firstLine="720"/>
        <w:jc w:val="left"/>
        <w:rPr>
          <w:rFonts w:ascii="仿宋_GB2312" w:hAnsi="宋体" w:eastAsia="仿宋_GB2312" w:cs="宋体"/>
          <w:color w:val="000000"/>
          <w:kern w:val="0"/>
          <w:sz w:val="32"/>
          <w:szCs w:val="32"/>
          <w:shd w:val="clear" w:color="auto" w:fill="FFFFFF"/>
          <w:lang w:val="zh-CN"/>
        </w:rPr>
      </w:pPr>
      <w:r>
        <w:rPr>
          <w:rFonts w:ascii="仿宋_GB2312" w:hAnsi="宋体" w:eastAsia="仿宋_GB2312" w:cs="宋体"/>
          <w:color w:val="000000"/>
          <w:kern w:val="0"/>
          <w:sz w:val="32"/>
          <w:szCs w:val="32"/>
          <w:shd w:val="clear" w:color="auto" w:fill="FFFFFF"/>
          <w:lang w:val="zh-CN"/>
        </w:rPr>
        <w:t>2018</w:t>
      </w:r>
      <w:r>
        <w:rPr>
          <w:rFonts w:hint="eastAsia" w:ascii="仿宋_GB2312" w:hAnsi="宋体" w:eastAsia="仿宋_GB2312" w:cs="宋体"/>
          <w:color w:val="000000"/>
          <w:kern w:val="0"/>
          <w:sz w:val="32"/>
          <w:szCs w:val="32"/>
          <w:shd w:val="clear" w:color="auto" w:fill="FFFFFF"/>
          <w:lang w:val="zh-CN"/>
        </w:rPr>
        <w:t>年茂县工业园区管理委员会财政资金拨款总收入：</w:t>
      </w:r>
      <w:r>
        <w:rPr>
          <w:rFonts w:ascii="仿宋_GB2312" w:hAnsi="宋体" w:eastAsia="仿宋_GB2312" w:cs="宋体"/>
          <w:color w:val="000000"/>
          <w:kern w:val="0"/>
          <w:sz w:val="32"/>
          <w:szCs w:val="32"/>
          <w:shd w:val="clear" w:color="auto" w:fill="FFFFFF"/>
          <w:lang w:val="zh-CN"/>
        </w:rPr>
        <w:t>138.65</w:t>
      </w:r>
      <w:r>
        <w:rPr>
          <w:rFonts w:hint="eastAsia" w:ascii="仿宋_GB2312" w:hAnsi="宋体" w:eastAsia="仿宋_GB2312" w:cs="宋体"/>
          <w:color w:val="000000"/>
          <w:kern w:val="0"/>
          <w:sz w:val="32"/>
          <w:szCs w:val="32"/>
          <w:shd w:val="clear" w:color="auto" w:fill="FFFFFF"/>
          <w:lang w:val="zh-CN"/>
        </w:rPr>
        <w:t>万元，其中财政拨款收入为：</w:t>
      </w:r>
      <w:r>
        <w:rPr>
          <w:rFonts w:ascii="仿宋_GB2312" w:hAnsi="宋体" w:eastAsia="仿宋_GB2312" w:cs="宋体"/>
          <w:color w:val="000000"/>
          <w:kern w:val="0"/>
          <w:sz w:val="32"/>
          <w:szCs w:val="32"/>
          <w:shd w:val="clear" w:color="auto" w:fill="FFFFFF"/>
          <w:lang w:val="zh-CN"/>
        </w:rPr>
        <w:t>138.65</w:t>
      </w:r>
      <w:r>
        <w:rPr>
          <w:rFonts w:hint="eastAsia" w:ascii="仿宋_GB2312" w:hAnsi="宋体" w:eastAsia="仿宋_GB2312" w:cs="宋体"/>
          <w:color w:val="000000"/>
          <w:kern w:val="0"/>
          <w:sz w:val="32"/>
          <w:szCs w:val="32"/>
          <w:shd w:val="clear" w:color="auto" w:fill="FFFFFF"/>
          <w:lang w:val="zh-CN"/>
        </w:rPr>
        <w:t>万元，年初财政结转</w:t>
      </w:r>
      <w:r>
        <w:rPr>
          <w:rFonts w:ascii="仿宋_GB2312" w:hAnsi="宋体" w:eastAsia="仿宋_GB2312" w:cs="宋体"/>
          <w:color w:val="000000"/>
          <w:kern w:val="0"/>
          <w:sz w:val="32"/>
          <w:szCs w:val="32"/>
          <w:shd w:val="clear" w:color="auto" w:fill="FFFFFF"/>
          <w:lang w:val="zh-CN"/>
        </w:rPr>
        <w:t>0</w:t>
      </w:r>
      <w:r>
        <w:rPr>
          <w:rFonts w:hint="eastAsia" w:ascii="仿宋_GB2312" w:hAnsi="宋体" w:eastAsia="仿宋_GB2312" w:cs="宋体"/>
          <w:color w:val="000000"/>
          <w:kern w:val="0"/>
          <w:sz w:val="32"/>
          <w:szCs w:val="32"/>
          <w:shd w:val="clear" w:color="auto" w:fill="FFFFFF"/>
          <w:lang w:val="zh-CN"/>
        </w:rPr>
        <w:t>万元。无其他收入。</w:t>
      </w:r>
    </w:p>
    <w:p>
      <w:pPr>
        <w:spacing w:line="576" w:lineRule="exact"/>
        <w:ind w:firstLine="640" w:firstLineChars="200"/>
        <w:rPr>
          <w:rFonts w:ascii="楷体_GB2312" w:hAnsi="仿宋" w:eastAsia="楷体_GB2312" w:cs="仿宋_GB2312"/>
          <w:sz w:val="32"/>
          <w:szCs w:val="32"/>
        </w:rPr>
      </w:pPr>
      <w:r>
        <w:rPr>
          <w:rFonts w:hint="eastAsia" w:ascii="楷体_GB2312" w:hAnsi="仿宋" w:eastAsia="楷体_GB2312" w:cs="仿宋_GB2312"/>
          <w:sz w:val="32"/>
          <w:szCs w:val="32"/>
        </w:rPr>
        <w:t>（二）部门财政资金支出情况</w:t>
      </w:r>
    </w:p>
    <w:p>
      <w:pPr>
        <w:spacing w:line="576" w:lineRule="exact"/>
        <w:ind w:firstLine="640" w:firstLineChars="200"/>
        <w:rPr>
          <w:rFonts w:ascii="仿宋_GB2312" w:hAnsi="宋体" w:eastAsia="仿宋_GB2312" w:cs="宋体"/>
          <w:color w:val="000000"/>
          <w:kern w:val="0"/>
          <w:sz w:val="32"/>
          <w:szCs w:val="32"/>
          <w:shd w:val="clear" w:color="auto" w:fill="FFFFFF"/>
          <w:lang w:val="zh-CN"/>
        </w:rPr>
      </w:pPr>
      <w:r>
        <w:rPr>
          <w:rFonts w:ascii="仿宋_GB2312" w:hAnsi="宋体" w:eastAsia="仿宋_GB2312" w:cs="宋体"/>
          <w:color w:val="000000"/>
          <w:kern w:val="0"/>
          <w:sz w:val="32"/>
          <w:szCs w:val="32"/>
          <w:shd w:val="clear" w:color="auto" w:fill="FFFFFF"/>
          <w:lang w:val="zh-CN"/>
        </w:rPr>
        <w:t>2018</w:t>
      </w:r>
      <w:r>
        <w:rPr>
          <w:rFonts w:hint="eastAsia" w:ascii="仿宋_GB2312" w:hAnsi="宋体" w:eastAsia="仿宋_GB2312" w:cs="宋体"/>
          <w:color w:val="000000"/>
          <w:kern w:val="0"/>
          <w:sz w:val="32"/>
          <w:szCs w:val="32"/>
          <w:shd w:val="clear" w:color="auto" w:fill="FFFFFF"/>
          <w:lang w:val="zh-CN"/>
        </w:rPr>
        <w:t>年茂县工业园区管理委员会财政资金总支出：</w:t>
      </w:r>
      <w:r>
        <w:rPr>
          <w:rFonts w:ascii="仿宋_GB2312" w:hAnsi="宋体" w:eastAsia="仿宋_GB2312" w:cs="宋体"/>
          <w:color w:val="000000"/>
          <w:kern w:val="0"/>
          <w:sz w:val="32"/>
          <w:szCs w:val="32"/>
          <w:shd w:val="clear" w:color="auto" w:fill="FFFFFF"/>
          <w:lang w:val="zh-CN"/>
        </w:rPr>
        <w:t>138.65</w:t>
      </w:r>
      <w:r>
        <w:rPr>
          <w:rFonts w:hint="eastAsia" w:ascii="仿宋_GB2312" w:hAnsi="宋体" w:eastAsia="仿宋_GB2312" w:cs="宋体"/>
          <w:color w:val="000000"/>
          <w:kern w:val="0"/>
          <w:sz w:val="32"/>
          <w:szCs w:val="32"/>
          <w:shd w:val="clear" w:color="auto" w:fill="FFFFFF"/>
          <w:lang w:val="zh-CN"/>
        </w:rPr>
        <w:t>万元，其中工资福利支出</w:t>
      </w:r>
      <w:r>
        <w:rPr>
          <w:rFonts w:ascii="仿宋_GB2312" w:hAnsi="宋体" w:eastAsia="仿宋_GB2312" w:cs="宋体"/>
          <w:color w:val="000000"/>
          <w:kern w:val="0"/>
          <w:sz w:val="32"/>
          <w:szCs w:val="32"/>
          <w:shd w:val="clear" w:color="auto" w:fill="FFFFFF"/>
          <w:lang w:val="zh-CN"/>
        </w:rPr>
        <w:t>130.12</w:t>
      </w:r>
      <w:r>
        <w:rPr>
          <w:rFonts w:hint="eastAsia" w:ascii="仿宋_GB2312" w:hAnsi="宋体" w:eastAsia="仿宋_GB2312" w:cs="宋体"/>
          <w:color w:val="000000"/>
          <w:kern w:val="0"/>
          <w:sz w:val="32"/>
          <w:szCs w:val="32"/>
          <w:shd w:val="clear" w:color="auto" w:fill="FFFFFF"/>
          <w:lang w:val="zh-CN"/>
        </w:rPr>
        <w:t>万元，商品和服务支出</w:t>
      </w:r>
      <w:r>
        <w:rPr>
          <w:rFonts w:ascii="仿宋_GB2312" w:hAnsi="宋体" w:eastAsia="仿宋_GB2312" w:cs="宋体"/>
          <w:color w:val="000000"/>
          <w:kern w:val="0"/>
          <w:sz w:val="32"/>
          <w:szCs w:val="32"/>
          <w:shd w:val="clear" w:color="auto" w:fill="FFFFFF"/>
          <w:lang w:val="zh-CN"/>
        </w:rPr>
        <w:t>8.53</w:t>
      </w:r>
      <w:r>
        <w:rPr>
          <w:rFonts w:hint="eastAsia" w:ascii="仿宋_GB2312" w:hAnsi="宋体" w:eastAsia="仿宋_GB2312" w:cs="宋体"/>
          <w:color w:val="000000"/>
          <w:kern w:val="0"/>
          <w:sz w:val="32"/>
          <w:szCs w:val="32"/>
          <w:shd w:val="clear" w:color="auto" w:fill="FFFFFF"/>
          <w:lang w:val="zh-CN"/>
        </w:rPr>
        <w:t>万元，对个人和家庭的补助</w:t>
      </w:r>
      <w:r>
        <w:rPr>
          <w:rFonts w:ascii="仿宋_GB2312" w:hAnsi="宋体" w:eastAsia="仿宋_GB2312" w:cs="宋体"/>
          <w:color w:val="000000"/>
          <w:kern w:val="0"/>
          <w:sz w:val="32"/>
          <w:szCs w:val="32"/>
          <w:shd w:val="clear" w:color="auto" w:fill="FFFFFF"/>
          <w:lang w:val="zh-CN"/>
        </w:rPr>
        <w:t>0</w:t>
      </w:r>
      <w:r>
        <w:rPr>
          <w:rFonts w:hint="eastAsia" w:ascii="仿宋_GB2312" w:hAnsi="宋体" w:eastAsia="仿宋_GB2312" w:cs="宋体"/>
          <w:color w:val="000000"/>
          <w:kern w:val="0"/>
          <w:sz w:val="32"/>
          <w:szCs w:val="32"/>
          <w:shd w:val="clear" w:color="auto" w:fill="FFFFFF"/>
          <w:lang w:val="zh-CN"/>
        </w:rPr>
        <w:t>万元。</w:t>
      </w:r>
      <w:r>
        <w:rPr>
          <w:rFonts w:ascii="仿宋_GB2312" w:hAnsi="宋体" w:eastAsia="仿宋_GB2312" w:cs="宋体"/>
          <w:color w:val="000000"/>
          <w:kern w:val="0"/>
          <w:sz w:val="32"/>
          <w:szCs w:val="32"/>
          <w:shd w:val="clear" w:color="auto" w:fill="FFFFFF"/>
          <w:lang w:val="zh-CN"/>
        </w:rPr>
        <w:t>2018</w:t>
      </w:r>
      <w:r>
        <w:rPr>
          <w:rFonts w:hint="eastAsia" w:ascii="仿宋_GB2312" w:hAnsi="宋体" w:eastAsia="仿宋_GB2312" w:cs="宋体"/>
          <w:color w:val="000000"/>
          <w:kern w:val="0"/>
          <w:sz w:val="32"/>
          <w:szCs w:val="32"/>
          <w:shd w:val="clear" w:color="auto" w:fill="FFFFFF"/>
          <w:lang w:val="zh-CN"/>
        </w:rPr>
        <w:t>年茂县工业园区管理委员会财政资金拨款总支出：</w:t>
      </w:r>
      <w:r>
        <w:rPr>
          <w:rFonts w:ascii="仿宋_GB2312" w:hAnsi="宋体" w:eastAsia="仿宋_GB2312" w:cs="宋体"/>
          <w:color w:val="000000"/>
          <w:kern w:val="0"/>
          <w:sz w:val="32"/>
          <w:szCs w:val="32"/>
          <w:shd w:val="clear" w:color="auto" w:fill="FFFFFF"/>
          <w:lang w:val="zh-CN"/>
        </w:rPr>
        <w:t>138.65</w:t>
      </w:r>
      <w:r>
        <w:rPr>
          <w:rFonts w:hint="eastAsia" w:ascii="仿宋_GB2312" w:hAnsi="宋体" w:eastAsia="仿宋_GB2312" w:cs="宋体"/>
          <w:color w:val="000000"/>
          <w:kern w:val="0"/>
          <w:sz w:val="32"/>
          <w:szCs w:val="32"/>
          <w:shd w:val="clear" w:color="auto" w:fill="FFFFFF"/>
          <w:lang w:val="zh-CN"/>
        </w:rPr>
        <w:t>万元，其中事业运行</w:t>
      </w:r>
      <w:r>
        <w:rPr>
          <w:rFonts w:ascii="仿宋_GB2312" w:hAnsi="宋体" w:eastAsia="仿宋_GB2312" w:cs="宋体"/>
          <w:color w:val="000000"/>
          <w:kern w:val="0"/>
          <w:sz w:val="32"/>
          <w:szCs w:val="32"/>
          <w:shd w:val="clear" w:color="auto" w:fill="FFFFFF"/>
          <w:lang w:val="zh-CN"/>
        </w:rPr>
        <w:t>102.17</w:t>
      </w:r>
      <w:r>
        <w:rPr>
          <w:rFonts w:hint="eastAsia" w:ascii="仿宋_GB2312" w:hAnsi="宋体" w:eastAsia="仿宋_GB2312" w:cs="宋体"/>
          <w:color w:val="000000"/>
          <w:kern w:val="0"/>
          <w:sz w:val="32"/>
          <w:szCs w:val="32"/>
          <w:shd w:val="clear" w:color="auto" w:fill="FFFFFF"/>
          <w:lang w:val="zh-CN"/>
        </w:rPr>
        <w:t>万元，事业单位医疗：</w:t>
      </w:r>
      <w:r>
        <w:rPr>
          <w:rFonts w:ascii="仿宋_GB2312" w:hAnsi="宋体" w:eastAsia="仿宋_GB2312" w:cs="宋体"/>
          <w:color w:val="000000"/>
          <w:kern w:val="0"/>
          <w:sz w:val="32"/>
          <w:szCs w:val="32"/>
          <w:shd w:val="clear" w:color="auto" w:fill="FFFFFF"/>
          <w:lang w:val="zh-CN"/>
        </w:rPr>
        <w:t>7.18</w:t>
      </w:r>
      <w:r>
        <w:rPr>
          <w:rFonts w:hint="eastAsia" w:ascii="仿宋_GB2312" w:hAnsi="宋体" w:eastAsia="仿宋_GB2312" w:cs="宋体"/>
          <w:color w:val="000000"/>
          <w:kern w:val="0"/>
          <w:sz w:val="32"/>
          <w:szCs w:val="32"/>
          <w:shd w:val="clear" w:color="auto" w:fill="FFFFFF"/>
          <w:lang w:val="zh-CN"/>
        </w:rPr>
        <w:t>万元，机关事业单位基本养老保险缴费支出</w:t>
      </w:r>
      <w:r>
        <w:rPr>
          <w:rFonts w:ascii="仿宋_GB2312" w:hAnsi="宋体" w:eastAsia="仿宋_GB2312" w:cs="宋体"/>
          <w:color w:val="000000"/>
          <w:kern w:val="0"/>
          <w:sz w:val="32"/>
          <w:szCs w:val="32"/>
          <w:shd w:val="clear" w:color="auto" w:fill="FFFFFF"/>
          <w:lang w:val="zh-CN"/>
        </w:rPr>
        <w:t>13.63</w:t>
      </w:r>
      <w:r>
        <w:rPr>
          <w:rFonts w:hint="eastAsia" w:ascii="仿宋_GB2312" w:hAnsi="宋体" w:eastAsia="仿宋_GB2312" w:cs="宋体"/>
          <w:color w:val="000000"/>
          <w:kern w:val="0"/>
          <w:sz w:val="32"/>
          <w:szCs w:val="32"/>
          <w:shd w:val="clear" w:color="auto" w:fill="FFFFFF"/>
          <w:lang w:val="zh-CN"/>
        </w:rPr>
        <w:t>万元，机关事业单位职业年金缴费支出</w:t>
      </w:r>
      <w:r>
        <w:rPr>
          <w:rFonts w:ascii="仿宋_GB2312" w:hAnsi="宋体" w:eastAsia="仿宋_GB2312" w:cs="宋体"/>
          <w:color w:val="000000"/>
          <w:kern w:val="0"/>
          <w:sz w:val="32"/>
          <w:szCs w:val="32"/>
          <w:shd w:val="clear" w:color="auto" w:fill="FFFFFF"/>
          <w:lang w:val="zh-CN"/>
        </w:rPr>
        <w:t>5.46</w:t>
      </w:r>
      <w:r>
        <w:rPr>
          <w:rFonts w:hint="eastAsia" w:ascii="仿宋_GB2312" w:hAnsi="宋体" w:eastAsia="仿宋_GB2312" w:cs="宋体"/>
          <w:color w:val="000000"/>
          <w:kern w:val="0"/>
          <w:sz w:val="32"/>
          <w:szCs w:val="32"/>
          <w:shd w:val="clear" w:color="auto" w:fill="FFFFFF"/>
          <w:lang w:val="zh-CN"/>
        </w:rPr>
        <w:t>万元，住房公积金</w:t>
      </w:r>
      <w:r>
        <w:rPr>
          <w:rFonts w:ascii="仿宋_GB2312" w:hAnsi="宋体" w:eastAsia="仿宋_GB2312" w:cs="宋体"/>
          <w:color w:val="000000"/>
          <w:kern w:val="0"/>
          <w:sz w:val="32"/>
          <w:szCs w:val="32"/>
          <w:shd w:val="clear" w:color="auto" w:fill="FFFFFF"/>
          <w:lang w:val="zh-CN"/>
        </w:rPr>
        <w:t>10.22</w:t>
      </w:r>
      <w:r>
        <w:rPr>
          <w:rFonts w:hint="eastAsia" w:ascii="仿宋_GB2312" w:hAnsi="宋体" w:eastAsia="仿宋_GB2312" w:cs="宋体"/>
          <w:color w:val="000000"/>
          <w:kern w:val="0"/>
          <w:sz w:val="32"/>
          <w:szCs w:val="32"/>
          <w:shd w:val="clear" w:color="auto" w:fill="FFFFFF"/>
          <w:lang w:val="zh-CN"/>
        </w:rPr>
        <w:t>万元。</w:t>
      </w:r>
    </w:p>
    <w:p>
      <w:pPr>
        <w:spacing w:line="576" w:lineRule="exact"/>
        <w:ind w:firstLine="640" w:firstLineChars="200"/>
        <w:rPr>
          <w:rStyle w:val="17"/>
          <w:rFonts w:ascii="黑体" w:hAnsi="黑体" w:eastAsia="黑体"/>
        </w:rPr>
      </w:pPr>
      <w:r>
        <w:rPr>
          <w:rFonts w:hint="eastAsia" w:ascii="黑体" w:hAnsi="黑体" w:eastAsia="黑体" w:cs="黑体"/>
          <w:sz w:val="32"/>
          <w:szCs w:val="32"/>
        </w:rPr>
        <w:t>三、部门整体预算绩效管理情况</w:t>
      </w:r>
    </w:p>
    <w:p>
      <w:pPr>
        <w:spacing w:line="576" w:lineRule="exact"/>
        <w:ind w:firstLine="480" w:firstLineChars="150"/>
        <w:rPr>
          <w:rFonts w:ascii="仿宋_GB2312" w:hAnsi="仿宋" w:eastAsia="仿宋_GB2312" w:cs="仿宋_GB2312"/>
          <w:sz w:val="32"/>
          <w:szCs w:val="32"/>
        </w:rPr>
      </w:pPr>
      <w:r>
        <w:rPr>
          <w:rFonts w:hint="eastAsia" w:ascii="楷体_GB2312" w:hAnsi="仿宋" w:eastAsia="楷体_GB2312" w:cs="仿宋_GB2312"/>
          <w:sz w:val="32"/>
          <w:szCs w:val="32"/>
        </w:rPr>
        <w:t>（一）部门预算管理</w:t>
      </w:r>
    </w:p>
    <w:p>
      <w:pPr>
        <w:spacing w:line="576" w:lineRule="exact"/>
        <w:ind w:firstLine="640" w:firstLineChars="200"/>
        <w:rPr>
          <w:rFonts w:ascii="仿宋_GB2312" w:hAnsi="仿宋" w:eastAsia="仿宋_GB2312" w:cs="仿宋_GB2312"/>
          <w:sz w:val="32"/>
          <w:szCs w:val="32"/>
        </w:rPr>
      </w:pPr>
      <w:r>
        <w:rPr>
          <w:rFonts w:hint="eastAsia" w:ascii="仿宋_GB2312" w:hAnsi="宋体" w:eastAsia="仿宋_GB2312" w:cs="宋体"/>
          <w:color w:val="000000"/>
          <w:kern w:val="0"/>
          <w:sz w:val="32"/>
          <w:szCs w:val="32"/>
          <w:lang w:val="zh-CN"/>
        </w:rPr>
        <w:t>我单位认真学习贯彻党的十九大精神，按照</w:t>
      </w:r>
      <w:r>
        <w:rPr>
          <w:rFonts w:ascii="仿宋_GB2312" w:hAnsi="宋体" w:eastAsia="仿宋_GB2312" w:cs="宋体"/>
          <w:color w:val="000000"/>
          <w:kern w:val="0"/>
          <w:sz w:val="32"/>
          <w:szCs w:val="32"/>
          <w:lang w:val="zh-CN"/>
        </w:rPr>
        <w:t>2018</w:t>
      </w:r>
      <w:r>
        <w:rPr>
          <w:rFonts w:hint="eastAsia" w:ascii="仿宋_GB2312" w:hAnsi="宋体" w:eastAsia="仿宋_GB2312" w:cs="宋体"/>
          <w:color w:val="000000"/>
          <w:kern w:val="0"/>
          <w:sz w:val="32"/>
          <w:szCs w:val="32"/>
          <w:lang w:val="zh-CN"/>
        </w:rPr>
        <w:t>年部门预算绩效编审要求，严格按照政府采购管理办法，制定本单位采购管理及内部控制管理办法，按照采购管理流程采购固定资产，制定内部财务管理制度、内部财务审核会签制度、收支管理、预算管理、资产管理等制度。预决算信息按要求在“中国</w:t>
      </w:r>
      <w:r>
        <w:rPr>
          <w:rFonts w:ascii="仿宋_GB2312" w:hAnsi="宋体" w:eastAsia="仿宋_GB2312" w:cs="宋体"/>
          <w:color w:val="000000"/>
          <w:kern w:val="0"/>
          <w:sz w:val="32"/>
          <w:szCs w:val="32"/>
          <w:lang w:val="zh-CN"/>
        </w:rPr>
        <w:t>.</w:t>
      </w:r>
      <w:r>
        <w:rPr>
          <w:rFonts w:hint="eastAsia" w:ascii="仿宋_GB2312" w:hAnsi="宋体" w:eastAsia="仿宋_GB2312" w:cs="宋体"/>
          <w:color w:val="000000"/>
          <w:kern w:val="0"/>
          <w:sz w:val="32"/>
          <w:szCs w:val="32"/>
          <w:lang w:val="zh-CN"/>
        </w:rPr>
        <w:t>茂县”门户网站财政预决算栏目进行公开。按照财政部门要求对单位整体支出进行绩效评价并严格按照《中华人民共和国会计法》、《中华人民共和国预算法》、《行政单位会计制度》、《事业单位会计制度》、《会计基础工作规范》及所属行业的相关财务制度等规定，规范财务管理，自觉接受财政及相关部门的监督。规范票据管理，按规定用途及相关资金管理办法安排使用财政资金，专款专用，不挤占、挪用、截留，擅自扩大资金使用范围。将依法取得的罚没收入等非税收入，按规定及时足额上缴国库，无隐瞒、截留、挤占、挪用、坐支、私分等现象，不存在乱发钱物、私设“小金库”等违规问题</w:t>
      </w:r>
    </w:p>
    <w:p>
      <w:pPr>
        <w:spacing w:line="576" w:lineRule="exact"/>
        <w:ind w:firstLine="480" w:firstLineChars="150"/>
        <w:rPr>
          <w:rFonts w:ascii="仿宋" w:hAnsi="仿宋" w:eastAsia="仿宋" w:cs="仿宋_GB2312"/>
          <w:sz w:val="32"/>
          <w:szCs w:val="32"/>
        </w:rPr>
      </w:pPr>
      <w:r>
        <w:rPr>
          <w:rFonts w:hint="eastAsia" w:ascii="楷体_GB2312" w:hAnsi="仿宋" w:eastAsia="楷体_GB2312" w:cs="仿宋_GB2312"/>
          <w:sz w:val="32"/>
          <w:szCs w:val="32"/>
        </w:rPr>
        <w:t>（二）专项预算管理</w:t>
      </w:r>
    </w:p>
    <w:p>
      <w:pPr>
        <w:spacing w:line="576" w:lineRule="exact"/>
        <w:ind w:firstLine="640" w:firstLineChars="200"/>
        <w:rPr>
          <w:rFonts w:ascii="仿宋_GB2312" w:hAnsi="仿宋" w:eastAsia="仿宋_GB2312" w:cs="仿宋_GB2312"/>
          <w:sz w:val="32"/>
          <w:szCs w:val="32"/>
        </w:rPr>
      </w:pPr>
      <w:r>
        <w:rPr>
          <w:rFonts w:ascii="仿宋_GB2312" w:hAnsi="仿宋" w:eastAsia="仿宋_GB2312" w:cs="仿宋_GB2312"/>
          <w:sz w:val="32"/>
          <w:szCs w:val="32"/>
        </w:rPr>
        <w:t>2018</w:t>
      </w:r>
      <w:r>
        <w:rPr>
          <w:rFonts w:hint="eastAsia" w:ascii="仿宋_GB2312" w:hAnsi="仿宋" w:eastAsia="仿宋_GB2312" w:cs="仿宋_GB2312"/>
          <w:sz w:val="32"/>
          <w:szCs w:val="32"/>
        </w:rPr>
        <w:t>年茂县工业园区管理委员会不涉及专项预算。</w:t>
      </w:r>
    </w:p>
    <w:p>
      <w:pPr>
        <w:spacing w:line="576" w:lineRule="exact"/>
        <w:ind w:firstLine="480" w:firstLineChars="150"/>
        <w:rPr>
          <w:rFonts w:ascii="仿宋" w:hAnsi="仿宋" w:eastAsia="仿宋" w:cs="仿宋_GB2312"/>
          <w:sz w:val="32"/>
          <w:szCs w:val="32"/>
        </w:rPr>
      </w:pPr>
      <w:r>
        <w:rPr>
          <w:rFonts w:hint="eastAsia" w:ascii="楷体_GB2312" w:hAnsi="仿宋" w:eastAsia="楷体_GB2312" w:cs="仿宋_GB2312"/>
          <w:bCs/>
          <w:sz w:val="32"/>
          <w:szCs w:val="32"/>
        </w:rPr>
        <w:t>（三）结果应用情况</w:t>
      </w:r>
    </w:p>
    <w:p>
      <w:pPr>
        <w:spacing w:line="576"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茂县工业园区管理委员会对部门预算绩效管理工作开展情况认真进行了自查自评，绩效评价自查开展覆盖部门整体支出及重点支出，将评价结果作为预算安排的重要依据，参照项目年度预算执行情况，保障重点支出，调整支出结构，不断强化绩效理念，推动我单位部门整体绩效管理水平不断提升。</w:t>
      </w:r>
    </w:p>
    <w:p>
      <w:pPr>
        <w:spacing w:line="576" w:lineRule="exact"/>
        <w:ind w:firstLine="800" w:firstLineChars="250"/>
        <w:rPr>
          <w:rStyle w:val="17"/>
          <w:rFonts w:ascii="黑体" w:hAnsi="黑体" w:eastAsia="黑体"/>
        </w:rPr>
      </w:pPr>
      <w:r>
        <w:rPr>
          <w:rFonts w:hint="eastAsia" w:ascii="黑体" w:hAnsi="黑体" w:eastAsia="黑体" w:cs="黑体"/>
          <w:sz w:val="32"/>
          <w:szCs w:val="32"/>
        </w:rPr>
        <w:t>四、评价结论及建议</w:t>
      </w:r>
    </w:p>
    <w:p>
      <w:pPr>
        <w:spacing w:line="576" w:lineRule="exact"/>
        <w:ind w:firstLine="640" w:firstLineChars="200"/>
        <w:rPr>
          <w:rStyle w:val="17"/>
          <w:rFonts w:ascii="仿宋_GB2312" w:hAnsi="仿宋" w:eastAsia="仿宋_GB2312" w:cs="仿宋_GB2312"/>
          <w:b w:val="0"/>
          <w:bCs w:val="0"/>
        </w:rPr>
      </w:pPr>
      <w:r>
        <w:rPr>
          <w:rFonts w:hint="eastAsia" w:ascii="楷体_GB2312" w:hAnsi="仿宋" w:eastAsia="楷体_GB2312" w:cs="仿宋_GB2312"/>
          <w:sz w:val="32"/>
          <w:szCs w:val="32"/>
        </w:rPr>
        <w:t>（一）评价结论</w:t>
      </w:r>
    </w:p>
    <w:p>
      <w:pPr>
        <w:widowControl/>
        <w:spacing w:line="576" w:lineRule="exact"/>
        <w:ind w:firstLine="640" w:firstLineChars="200"/>
        <w:rPr>
          <w:rFonts w:ascii="仿宋_GB2312" w:eastAsia="仿宋_GB2312"/>
          <w:sz w:val="32"/>
          <w:szCs w:val="32"/>
        </w:rPr>
      </w:pPr>
      <w:r>
        <w:rPr>
          <w:rFonts w:hint="eastAsia" w:ascii="仿宋_GB2312" w:hAnsi="宋体" w:eastAsia="仿宋_GB2312" w:cs="宋体"/>
          <w:kern w:val="0"/>
          <w:sz w:val="32"/>
          <w:szCs w:val="32"/>
          <w:lang w:val="zh-CN"/>
        </w:rPr>
        <w:t>茂县工业园区管理委员会按照《茂县财政局关于开展</w:t>
      </w:r>
      <w:r>
        <w:rPr>
          <w:rFonts w:ascii="仿宋_GB2312" w:hAnsi="宋体" w:eastAsia="仿宋_GB2312" w:cs="宋体"/>
          <w:kern w:val="0"/>
          <w:sz w:val="32"/>
          <w:szCs w:val="32"/>
          <w:lang w:val="zh-CN"/>
        </w:rPr>
        <w:t>2019</w:t>
      </w:r>
      <w:r>
        <w:rPr>
          <w:rFonts w:hint="eastAsia" w:ascii="仿宋_GB2312" w:hAnsi="宋体" w:eastAsia="仿宋_GB2312" w:cs="宋体"/>
          <w:kern w:val="0"/>
          <w:sz w:val="32"/>
          <w:szCs w:val="32"/>
          <w:lang w:val="zh-CN"/>
        </w:rPr>
        <w:t>年财政支出绩效评价工作的通知》茂财发【</w:t>
      </w:r>
      <w:r>
        <w:rPr>
          <w:rFonts w:ascii="仿宋_GB2312" w:hAnsi="宋体" w:eastAsia="仿宋_GB2312" w:cs="宋体"/>
          <w:kern w:val="0"/>
          <w:sz w:val="32"/>
          <w:szCs w:val="32"/>
          <w:lang w:val="zh-CN"/>
        </w:rPr>
        <w:t>2019</w:t>
      </w:r>
      <w:r>
        <w:rPr>
          <w:rFonts w:hint="eastAsia" w:ascii="仿宋_GB2312" w:hAnsi="宋体" w:eastAsia="仿宋_GB2312" w:cs="宋体"/>
          <w:kern w:val="0"/>
          <w:sz w:val="32"/>
          <w:szCs w:val="32"/>
          <w:lang w:val="zh-CN"/>
        </w:rPr>
        <w:t>】</w:t>
      </w:r>
      <w:r>
        <w:rPr>
          <w:rFonts w:ascii="仿宋_GB2312" w:hAnsi="宋体" w:eastAsia="仿宋_GB2312" w:cs="宋体"/>
          <w:kern w:val="0"/>
          <w:sz w:val="32"/>
          <w:szCs w:val="32"/>
          <w:lang w:val="zh-CN"/>
        </w:rPr>
        <w:t>38</w:t>
      </w:r>
      <w:r>
        <w:rPr>
          <w:rFonts w:hint="eastAsia" w:ascii="仿宋_GB2312" w:hAnsi="宋体" w:eastAsia="仿宋_GB2312" w:cs="宋体"/>
          <w:kern w:val="0"/>
          <w:sz w:val="32"/>
          <w:szCs w:val="32"/>
          <w:lang w:val="zh-CN"/>
        </w:rPr>
        <w:t>号文件</w:t>
      </w:r>
      <w:r>
        <w:rPr>
          <w:rFonts w:hint="eastAsia" w:ascii="仿宋_GB2312" w:hAnsi="宋体" w:eastAsia="仿宋_GB2312" w:cs="宋体"/>
          <w:color w:val="000000"/>
          <w:kern w:val="0"/>
          <w:sz w:val="32"/>
          <w:szCs w:val="32"/>
          <w:lang w:val="zh-CN"/>
        </w:rPr>
        <w:t>要求，对本单位财政支出进行全面绩效评价工作，</w:t>
      </w:r>
      <w:r>
        <w:rPr>
          <w:rFonts w:ascii="仿宋_GB2312" w:hAnsi="宋体" w:eastAsia="仿宋_GB2312" w:cs="宋体"/>
          <w:color w:val="000000"/>
          <w:kern w:val="0"/>
          <w:sz w:val="32"/>
          <w:szCs w:val="32"/>
          <w:lang w:val="zh-CN"/>
        </w:rPr>
        <w:t>2018</w:t>
      </w:r>
      <w:r>
        <w:rPr>
          <w:rFonts w:hint="eastAsia" w:ascii="仿宋_GB2312" w:hAnsi="宋体" w:eastAsia="仿宋_GB2312" w:cs="宋体"/>
          <w:color w:val="000000"/>
          <w:kern w:val="0"/>
          <w:sz w:val="32"/>
          <w:szCs w:val="32"/>
          <w:lang w:val="zh-CN"/>
        </w:rPr>
        <w:t>年我单位绩效评价结果为</w:t>
      </w:r>
      <w:r>
        <w:rPr>
          <w:rFonts w:ascii="仿宋_GB2312" w:hAnsi="宋体" w:eastAsia="仿宋_GB2312" w:cs="宋体"/>
          <w:color w:val="000000"/>
          <w:kern w:val="0"/>
          <w:sz w:val="32"/>
          <w:szCs w:val="32"/>
          <w:lang w:val="zh-CN"/>
        </w:rPr>
        <w:t>98.5</w:t>
      </w:r>
      <w:r>
        <w:rPr>
          <w:rFonts w:hint="eastAsia" w:ascii="仿宋_GB2312" w:hAnsi="宋体" w:eastAsia="仿宋_GB2312" w:cs="宋体"/>
          <w:color w:val="000000"/>
          <w:kern w:val="0"/>
          <w:sz w:val="32"/>
          <w:szCs w:val="32"/>
          <w:lang w:val="zh-CN"/>
        </w:rPr>
        <w:t>分。</w:t>
      </w:r>
      <w:r>
        <w:rPr>
          <w:rFonts w:hint="eastAsia" w:ascii="仿宋_GB2312" w:eastAsia="仿宋_GB2312"/>
          <w:sz w:val="32"/>
          <w:szCs w:val="32"/>
        </w:rPr>
        <w:t>按照县委组织部工作要求，深化拓展“两学一做”学习教育，扎实做好“城乡党建结对共建工作”，进一步推动“主题党日”活动，认真按照活动方案，精心组织实施</w:t>
      </w:r>
      <w:r>
        <w:rPr>
          <w:rFonts w:ascii="仿宋_GB2312" w:eastAsia="仿宋_GB2312"/>
          <w:sz w:val="32"/>
          <w:szCs w:val="32"/>
        </w:rPr>
        <w:t>;</w:t>
      </w:r>
      <w:r>
        <w:rPr>
          <w:rFonts w:hint="eastAsia" w:ascii="仿宋_GB2312" w:eastAsia="仿宋_GB2312"/>
          <w:sz w:val="32"/>
          <w:szCs w:val="32"/>
        </w:rPr>
        <w:t>园区管委会主要负责人要认真履行第一责任人职责，扎扎实实地抓好集中教育活动。切实加强园区管委会在“讲政治、守纪律、强素质、突服务”队伍建设。加强各集中区循环经济健康发展。加强企业安全生产和环保工作的巡查力度。争取和落实、省、州、县对企业的各项优惠政策，尽可能地扶持企业发展壮大。按照“无事不扰，有求必应”的原则，为企业做好“保姆式”的服务协调工作。全面完成园区常规工作和管理服务工作。</w:t>
      </w:r>
    </w:p>
    <w:p>
      <w:pPr>
        <w:widowControl/>
        <w:spacing w:line="576" w:lineRule="exact"/>
        <w:ind w:firstLine="640" w:firstLineChars="200"/>
        <w:rPr>
          <w:rStyle w:val="17"/>
          <w:rFonts w:ascii="仿宋_GB2312" w:hAnsi="宋体" w:eastAsia="仿宋_GB2312" w:cs="宋体"/>
          <w:b w:val="0"/>
          <w:bCs w:val="0"/>
          <w:kern w:val="0"/>
        </w:rPr>
      </w:pPr>
      <w:r>
        <w:rPr>
          <w:rFonts w:hint="eastAsia" w:ascii="楷体_GB2312" w:hAnsi="仿宋" w:eastAsia="楷体_GB2312" w:cs="仿宋_GB2312"/>
          <w:sz w:val="32"/>
          <w:szCs w:val="32"/>
        </w:rPr>
        <w:t>（二）存在问题</w:t>
      </w:r>
    </w:p>
    <w:p>
      <w:pPr>
        <w:spacing w:line="576" w:lineRule="exact"/>
        <w:ind w:firstLine="640" w:firstLineChars="200"/>
        <w:rPr>
          <w:rFonts w:ascii="仿宋_GB2312" w:eastAsia="仿宋_GB2312"/>
          <w:sz w:val="32"/>
          <w:szCs w:val="32"/>
        </w:rPr>
      </w:pPr>
      <w:r>
        <w:rPr>
          <w:rFonts w:hint="eastAsia" w:ascii="仿宋_GB2312" w:eastAsia="仿宋_GB2312"/>
          <w:sz w:val="32"/>
          <w:szCs w:val="32"/>
        </w:rPr>
        <w:t>一是对绩效管理认识不清；二是绩效管理流程不全；三是绩效管理的跟踪反馈不足；四是绩效考核关系不够合理；五是绩效管理申诉与评估系统不健全。</w:t>
      </w:r>
    </w:p>
    <w:p>
      <w:pPr>
        <w:spacing w:line="576" w:lineRule="exact"/>
        <w:ind w:firstLine="640" w:firstLineChars="200"/>
        <w:rPr>
          <w:rFonts w:ascii="仿宋_GB2312" w:eastAsia="仿宋_GB2312"/>
          <w:sz w:val="32"/>
          <w:szCs w:val="32"/>
        </w:rPr>
      </w:pPr>
      <w:r>
        <w:rPr>
          <w:rFonts w:hint="eastAsia" w:ascii="楷体_GB2312" w:hAnsi="仿宋" w:eastAsia="楷体_GB2312" w:cs="仿宋_GB2312"/>
          <w:sz w:val="32"/>
          <w:szCs w:val="32"/>
        </w:rPr>
        <w:t>（三）改进建议</w:t>
      </w:r>
    </w:p>
    <w:p>
      <w:pPr>
        <w:spacing w:line="576"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针对绩效管理存在的问题，我局将进一步科学合理的设定绩效管理目标。加强培训提升职工对绩效管理的认识；建立目标明确的绩效管理计划；绩效考核实行过程控制；实行全方位绩效评估，考评结果公开；建立健全绩效反馈机制。绩效管理是一个逐步改进和发展的循环过程，我们必须在一个阶段之后对前一阶段使用的绩效管理体系进行诊断，使之不断得以完善，通过单位领导和职工的共同努力，我单位的绩效管理工作会得到持续改进，从而确保整体绩效的提高。</w:t>
      </w:r>
    </w:p>
    <w:p>
      <w:pPr>
        <w:spacing w:line="576" w:lineRule="exact"/>
        <w:ind w:firstLine="800" w:firstLineChars="250"/>
        <w:rPr>
          <w:rFonts w:ascii="仿宋_GB2312" w:hAnsi="仿宋" w:eastAsia="仿宋_GB2312" w:cs="仿宋_GB2312"/>
          <w:sz w:val="32"/>
          <w:szCs w:val="32"/>
        </w:rPr>
      </w:pPr>
    </w:p>
    <w:p>
      <w:pPr>
        <w:spacing w:line="576" w:lineRule="exact"/>
        <w:ind w:firstLine="800" w:firstLineChars="250"/>
        <w:rPr>
          <w:rFonts w:ascii="仿宋_GB2312" w:hAnsi="仿宋" w:eastAsia="仿宋_GB2312" w:cs="仿宋_GB2312"/>
          <w:sz w:val="32"/>
          <w:szCs w:val="32"/>
        </w:rPr>
      </w:pPr>
    </w:p>
    <w:p>
      <w:pPr>
        <w:spacing w:line="576" w:lineRule="exact"/>
        <w:ind w:firstLine="800" w:firstLineChars="250"/>
        <w:rPr>
          <w:rFonts w:ascii="仿宋_GB2312" w:hAnsi="仿宋" w:eastAsia="仿宋_GB2312" w:cs="仿宋_GB2312"/>
          <w:sz w:val="32"/>
          <w:szCs w:val="32"/>
        </w:rPr>
      </w:pPr>
    </w:p>
    <w:p>
      <w:pPr>
        <w:spacing w:line="576" w:lineRule="exact"/>
        <w:ind w:firstLine="800" w:firstLineChars="250"/>
        <w:rPr>
          <w:rFonts w:ascii="仿宋_GB2312" w:hAnsi="仿宋" w:eastAsia="仿宋_GB2312" w:cs="仿宋_GB2312"/>
          <w:sz w:val="32"/>
          <w:szCs w:val="32"/>
        </w:rPr>
      </w:pPr>
    </w:p>
    <w:p>
      <w:pPr>
        <w:spacing w:line="576" w:lineRule="exact"/>
        <w:ind w:firstLine="800" w:firstLineChars="250"/>
        <w:rPr>
          <w:rFonts w:ascii="仿宋_GB2312" w:hAnsi="仿宋" w:eastAsia="仿宋_GB2312" w:cs="仿宋_GB2312"/>
          <w:sz w:val="32"/>
          <w:szCs w:val="32"/>
        </w:rPr>
      </w:pPr>
    </w:p>
    <w:p>
      <w:pPr>
        <w:spacing w:line="576" w:lineRule="exact"/>
        <w:ind w:firstLine="800" w:firstLineChars="250"/>
        <w:rPr>
          <w:rFonts w:ascii="仿宋_GB2312" w:hAnsi="仿宋" w:eastAsia="仿宋_GB2312" w:cs="仿宋_GB2312"/>
          <w:sz w:val="32"/>
          <w:szCs w:val="32"/>
        </w:rPr>
      </w:pPr>
    </w:p>
    <w:p>
      <w:pPr>
        <w:spacing w:line="576" w:lineRule="exact"/>
        <w:ind w:firstLine="800" w:firstLineChars="250"/>
        <w:rPr>
          <w:rFonts w:ascii="仿宋_GB2312" w:hAnsi="仿宋" w:eastAsia="仿宋_GB2312" w:cs="仿宋_GB2312"/>
          <w:sz w:val="32"/>
          <w:szCs w:val="32"/>
        </w:rPr>
      </w:pPr>
    </w:p>
    <w:p>
      <w:pPr>
        <w:spacing w:line="576" w:lineRule="exact"/>
        <w:ind w:firstLine="800" w:firstLineChars="250"/>
        <w:rPr>
          <w:rFonts w:ascii="仿宋_GB2312" w:hAnsi="仿宋" w:eastAsia="仿宋_GB2312" w:cs="仿宋_GB2312"/>
          <w:sz w:val="32"/>
          <w:szCs w:val="32"/>
        </w:rPr>
      </w:pPr>
    </w:p>
    <w:p>
      <w:pPr>
        <w:spacing w:line="576" w:lineRule="exact"/>
        <w:ind w:firstLine="800" w:firstLineChars="250"/>
        <w:rPr>
          <w:rFonts w:ascii="仿宋_GB2312" w:hAnsi="仿宋" w:eastAsia="仿宋_GB2312" w:cs="仿宋_GB2312"/>
          <w:sz w:val="32"/>
          <w:szCs w:val="32"/>
        </w:rPr>
      </w:pPr>
    </w:p>
    <w:tbl>
      <w:tblPr>
        <w:tblStyle w:val="12"/>
        <w:tblW w:w="30500" w:type="dxa"/>
        <w:tblInd w:w="93" w:type="dxa"/>
        <w:tblLayout w:type="fixed"/>
        <w:tblCellMar>
          <w:top w:w="0" w:type="dxa"/>
          <w:left w:w="108" w:type="dxa"/>
          <w:bottom w:w="0" w:type="dxa"/>
          <w:right w:w="108" w:type="dxa"/>
        </w:tblCellMar>
      </w:tblPr>
      <w:tblGrid>
        <w:gridCol w:w="616"/>
        <w:gridCol w:w="675"/>
        <w:gridCol w:w="125"/>
        <w:gridCol w:w="1576"/>
        <w:gridCol w:w="1244"/>
        <w:gridCol w:w="1308"/>
        <w:gridCol w:w="850"/>
        <w:gridCol w:w="709"/>
        <w:gridCol w:w="993"/>
        <w:gridCol w:w="566"/>
        <w:gridCol w:w="4000"/>
        <w:gridCol w:w="1394"/>
        <w:gridCol w:w="500"/>
        <w:gridCol w:w="720"/>
        <w:gridCol w:w="1420"/>
        <w:gridCol w:w="1860"/>
        <w:gridCol w:w="3580"/>
        <w:gridCol w:w="4419"/>
        <w:gridCol w:w="3945"/>
      </w:tblGrid>
      <w:tr>
        <w:tblPrEx>
          <w:tblLayout w:type="fixed"/>
          <w:tblCellMar>
            <w:top w:w="0" w:type="dxa"/>
            <w:left w:w="108" w:type="dxa"/>
            <w:bottom w:w="0" w:type="dxa"/>
            <w:right w:w="108" w:type="dxa"/>
          </w:tblCellMar>
        </w:tblPrEx>
        <w:trPr>
          <w:trHeight w:val="285" w:hRule="atLeast"/>
        </w:trPr>
        <w:tc>
          <w:tcPr>
            <w:tcW w:w="1416" w:type="dxa"/>
            <w:gridSpan w:val="3"/>
            <w:tcBorders>
              <w:top w:val="nil"/>
              <w:left w:val="nil"/>
              <w:bottom w:val="nil"/>
              <w:right w:val="nil"/>
            </w:tcBorders>
            <w:vAlign w:val="center"/>
          </w:tcPr>
          <w:p>
            <w:pPr>
              <w:widowControl/>
              <w:jc w:val="left"/>
              <w:rPr>
                <w:rFonts w:ascii="宋体" w:cs="宋体"/>
                <w:kern w:val="0"/>
                <w:sz w:val="24"/>
              </w:rPr>
            </w:pPr>
          </w:p>
        </w:tc>
        <w:tc>
          <w:tcPr>
            <w:tcW w:w="2820" w:type="dxa"/>
            <w:gridSpan w:val="2"/>
            <w:tcBorders>
              <w:top w:val="nil"/>
              <w:left w:val="nil"/>
              <w:bottom w:val="nil"/>
              <w:right w:val="nil"/>
            </w:tcBorders>
            <w:noWrap/>
            <w:vAlign w:val="center"/>
          </w:tcPr>
          <w:p>
            <w:pPr>
              <w:widowControl/>
              <w:jc w:val="center"/>
              <w:rPr>
                <w:rFonts w:ascii="宋体" w:cs="宋体"/>
                <w:kern w:val="0"/>
                <w:sz w:val="24"/>
              </w:rPr>
            </w:pPr>
          </w:p>
        </w:tc>
        <w:tc>
          <w:tcPr>
            <w:tcW w:w="3860" w:type="dxa"/>
            <w:gridSpan w:val="4"/>
            <w:tcBorders>
              <w:top w:val="nil"/>
              <w:left w:val="nil"/>
              <w:bottom w:val="nil"/>
              <w:right w:val="nil"/>
            </w:tcBorders>
            <w:noWrap/>
            <w:vAlign w:val="center"/>
          </w:tcPr>
          <w:p>
            <w:pPr>
              <w:widowControl/>
              <w:jc w:val="left"/>
              <w:rPr>
                <w:rFonts w:ascii="宋体" w:cs="宋体"/>
                <w:kern w:val="0"/>
                <w:sz w:val="24"/>
              </w:rPr>
            </w:pPr>
          </w:p>
        </w:tc>
        <w:tc>
          <w:tcPr>
            <w:tcW w:w="5960" w:type="dxa"/>
            <w:gridSpan w:val="3"/>
            <w:tcBorders>
              <w:top w:val="nil"/>
              <w:left w:val="nil"/>
              <w:bottom w:val="nil"/>
              <w:right w:val="nil"/>
            </w:tcBorders>
            <w:noWrap/>
            <w:vAlign w:val="center"/>
          </w:tcPr>
          <w:p>
            <w:pPr>
              <w:widowControl/>
              <w:jc w:val="left"/>
              <w:rPr>
                <w:rFonts w:ascii="宋体" w:cs="宋体"/>
                <w:kern w:val="0"/>
                <w:sz w:val="24"/>
              </w:rPr>
            </w:pPr>
          </w:p>
        </w:tc>
        <w:tc>
          <w:tcPr>
            <w:tcW w:w="1220" w:type="dxa"/>
            <w:gridSpan w:val="2"/>
            <w:tcBorders>
              <w:top w:val="nil"/>
              <w:left w:val="nil"/>
              <w:bottom w:val="nil"/>
              <w:right w:val="nil"/>
            </w:tcBorders>
            <w:shd w:val="clear" w:color="000000" w:fill="FFFFFF"/>
            <w:noWrap/>
            <w:vAlign w:val="center"/>
          </w:tcPr>
          <w:p>
            <w:pPr>
              <w:widowControl/>
              <w:jc w:val="left"/>
              <w:rPr>
                <w:rFonts w:ascii="宋体" w:cs="宋体"/>
                <w:kern w:val="0"/>
                <w:sz w:val="24"/>
              </w:rPr>
            </w:pPr>
            <w:r>
              <w:rPr>
                <w:rFonts w:hint="eastAsia" w:ascii="宋体" w:hAnsi="宋体" w:cs="宋体"/>
                <w:kern w:val="0"/>
                <w:sz w:val="24"/>
              </w:rPr>
              <w:t>　</w:t>
            </w:r>
          </w:p>
        </w:tc>
        <w:tc>
          <w:tcPr>
            <w:tcW w:w="1420" w:type="dxa"/>
            <w:tcBorders>
              <w:top w:val="nil"/>
              <w:left w:val="nil"/>
              <w:bottom w:val="nil"/>
              <w:right w:val="nil"/>
            </w:tcBorders>
            <w:shd w:val="clear" w:color="000000" w:fill="FFFFFF"/>
            <w:noWrap/>
            <w:vAlign w:val="center"/>
          </w:tcPr>
          <w:p>
            <w:pPr>
              <w:widowControl/>
              <w:jc w:val="left"/>
              <w:rPr>
                <w:rFonts w:ascii="宋体" w:cs="宋体"/>
                <w:kern w:val="0"/>
                <w:sz w:val="24"/>
              </w:rPr>
            </w:pPr>
            <w:r>
              <w:rPr>
                <w:rFonts w:hint="eastAsia" w:ascii="宋体" w:hAnsi="宋体" w:cs="宋体"/>
                <w:kern w:val="0"/>
                <w:sz w:val="24"/>
              </w:rPr>
              <w:t>　</w:t>
            </w:r>
          </w:p>
        </w:tc>
        <w:tc>
          <w:tcPr>
            <w:tcW w:w="5440" w:type="dxa"/>
            <w:gridSpan w:val="2"/>
            <w:tcBorders>
              <w:top w:val="nil"/>
              <w:left w:val="nil"/>
              <w:bottom w:val="nil"/>
              <w:right w:val="nil"/>
            </w:tcBorders>
            <w:noWrap/>
            <w:vAlign w:val="center"/>
          </w:tcPr>
          <w:p>
            <w:pPr>
              <w:widowControl/>
              <w:jc w:val="left"/>
              <w:rPr>
                <w:rFonts w:ascii="宋体" w:cs="宋体"/>
                <w:kern w:val="0"/>
                <w:sz w:val="24"/>
              </w:rPr>
            </w:pPr>
          </w:p>
        </w:tc>
        <w:tc>
          <w:tcPr>
            <w:tcW w:w="4419" w:type="dxa"/>
            <w:tcBorders>
              <w:top w:val="nil"/>
              <w:left w:val="nil"/>
              <w:bottom w:val="nil"/>
              <w:right w:val="nil"/>
            </w:tcBorders>
            <w:vAlign w:val="center"/>
          </w:tcPr>
          <w:p>
            <w:pPr>
              <w:widowControl/>
              <w:jc w:val="left"/>
              <w:rPr>
                <w:rFonts w:ascii="宋体" w:cs="宋体"/>
                <w:kern w:val="0"/>
                <w:sz w:val="24"/>
              </w:rPr>
            </w:pPr>
          </w:p>
        </w:tc>
        <w:tc>
          <w:tcPr>
            <w:tcW w:w="3945" w:type="dxa"/>
            <w:tcBorders>
              <w:top w:val="nil"/>
              <w:left w:val="nil"/>
              <w:bottom w:val="nil"/>
              <w:right w:val="nil"/>
            </w:tcBorders>
            <w:vAlign w:val="center"/>
          </w:tcPr>
          <w:p>
            <w:pPr>
              <w:widowControl/>
              <w:jc w:val="left"/>
              <w:rPr>
                <w:rFonts w:ascii="宋体" w:cs="宋体"/>
                <w:kern w:val="0"/>
                <w:sz w:val="16"/>
                <w:szCs w:val="16"/>
              </w:rPr>
            </w:pPr>
          </w:p>
        </w:tc>
      </w:tr>
      <w:tr>
        <w:tblPrEx>
          <w:tblLayout w:type="fixed"/>
          <w:tblCellMar>
            <w:top w:w="0" w:type="dxa"/>
            <w:left w:w="108" w:type="dxa"/>
            <w:bottom w:w="0" w:type="dxa"/>
            <w:right w:w="108" w:type="dxa"/>
          </w:tblCellMar>
        </w:tblPrEx>
        <w:trPr>
          <w:gridAfter w:val="8"/>
          <w:wAfter w:w="17838" w:type="dxa"/>
          <w:trHeight w:val="600" w:hRule="atLeast"/>
        </w:trPr>
        <w:tc>
          <w:tcPr>
            <w:tcW w:w="8662" w:type="dxa"/>
            <w:gridSpan w:val="10"/>
            <w:tcBorders>
              <w:top w:val="nil"/>
              <w:left w:val="nil"/>
              <w:bottom w:val="single" w:color="auto" w:sz="4" w:space="0"/>
              <w:right w:val="nil"/>
            </w:tcBorders>
            <w:noWrap/>
            <w:vAlign w:val="center"/>
          </w:tcPr>
          <w:p>
            <w:pPr>
              <w:jc w:val="center"/>
              <w:rPr>
                <w:rFonts w:ascii="宋体" w:cs="宋体"/>
                <w:b/>
                <w:bCs/>
                <w:sz w:val="28"/>
                <w:szCs w:val="28"/>
              </w:rPr>
            </w:pPr>
            <w:r>
              <w:rPr>
                <w:b/>
                <w:bCs/>
                <w:sz w:val="28"/>
                <w:szCs w:val="28"/>
              </w:rPr>
              <w:t>2018</w:t>
            </w:r>
            <w:r>
              <w:rPr>
                <w:rFonts w:hint="eastAsia"/>
                <w:b/>
                <w:bCs/>
                <w:sz w:val="28"/>
                <w:szCs w:val="28"/>
              </w:rPr>
              <w:t>年县级部门整体支出绩效评价指标体系</w:t>
            </w:r>
          </w:p>
        </w:tc>
        <w:tc>
          <w:tcPr>
            <w:tcW w:w="4000" w:type="dxa"/>
            <w:tcBorders>
              <w:top w:val="nil"/>
              <w:left w:val="nil"/>
              <w:bottom w:val="nil"/>
              <w:right w:val="nil"/>
            </w:tcBorders>
            <w:vAlign w:val="center"/>
          </w:tcPr>
          <w:p>
            <w:pPr>
              <w:rPr>
                <w:rFonts w:ascii="宋体" w:cs="宋体"/>
                <w:sz w:val="16"/>
                <w:szCs w:val="16"/>
              </w:rPr>
            </w:pPr>
          </w:p>
        </w:tc>
      </w:tr>
      <w:tr>
        <w:tblPrEx>
          <w:tblLayout w:type="fixed"/>
          <w:tblCellMar>
            <w:top w:w="0" w:type="dxa"/>
            <w:left w:w="108" w:type="dxa"/>
            <w:bottom w:w="0" w:type="dxa"/>
            <w:right w:w="108" w:type="dxa"/>
          </w:tblCellMar>
        </w:tblPrEx>
        <w:trPr>
          <w:gridAfter w:val="3"/>
          <w:wAfter w:w="11944" w:type="dxa"/>
          <w:trHeight w:val="1141" w:hRule="atLeast"/>
        </w:trPr>
        <w:tc>
          <w:tcPr>
            <w:tcW w:w="616" w:type="dxa"/>
            <w:tcBorders>
              <w:top w:val="nil"/>
              <w:left w:val="single" w:color="auto" w:sz="4" w:space="0"/>
              <w:bottom w:val="single" w:color="auto" w:sz="4" w:space="0"/>
              <w:right w:val="single" w:color="auto" w:sz="4" w:space="0"/>
            </w:tcBorders>
            <w:vAlign w:val="center"/>
          </w:tcPr>
          <w:p>
            <w:pPr>
              <w:jc w:val="center"/>
              <w:rPr>
                <w:rFonts w:ascii="宋体" w:cs="宋体"/>
                <w:b/>
                <w:bCs/>
                <w:sz w:val="20"/>
                <w:szCs w:val="20"/>
              </w:rPr>
            </w:pPr>
            <w:r>
              <w:rPr>
                <w:rFonts w:hint="eastAsia"/>
                <w:b/>
                <w:bCs/>
                <w:sz w:val="20"/>
                <w:szCs w:val="20"/>
              </w:rPr>
              <w:t>一级指标</w:t>
            </w:r>
          </w:p>
        </w:tc>
        <w:tc>
          <w:tcPr>
            <w:tcW w:w="675" w:type="dxa"/>
            <w:tcBorders>
              <w:top w:val="nil"/>
              <w:left w:val="nil"/>
              <w:bottom w:val="single" w:color="auto" w:sz="4" w:space="0"/>
              <w:right w:val="single" w:color="auto" w:sz="4" w:space="0"/>
            </w:tcBorders>
            <w:vAlign w:val="center"/>
          </w:tcPr>
          <w:p>
            <w:pPr>
              <w:jc w:val="center"/>
              <w:rPr>
                <w:rFonts w:ascii="宋体" w:cs="宋体"/>
                <w:b/>
                <w:bCs/>
                <w:sz w:val="20"/>
                <w:szCs w:val="20"/>
              </w:rPr>
            </w:pPr>
            <w:r>
              <w:rPr>
                <w:rFonts w:hint="eastAsia"/>
                <w:b/>
                <w:bCs/>
                <w:sz w:val="20"/>
                <w:szCs w:val="20"/>
              </w:rPr>
              <w:t>二级指标</w:t>
            </w:r>
          </w:p>
        </w:tc>
        <w:tc>
          <w:tcPr>
            <w:tcW w:w="1701" w:type="dxa"/>
            <w:gridSpan w:val="2"/>
            <w:tcBorders>
              <w:top w:val="nil"/>
              <w:left w:val="nil"/>
              <w:bottom w:val="single" w:color="auto" w:sz="4" w:space="0"/>
              <w:right w:val="single" w:color="auto" w:sz="4" w:space="0"/>
            </w:tcBorders>
            <w:vAlign w:val="center"/>
          </w:tcPr>
          <w:p>
            <w:pPr>
              <w:jc w:val="center"/>
              <w:rPr>
                <w:rFonts w:ascii="宋体" w:cs="宋体"/>
                <w:b/>
                <w:bCs/>
                <w:sz w:val="20"/>
                <w:szCs w:val="20"/>
              </w:rPr>
            </w:pPr>
            <w:r>
              <w:rPr>
                <w:rFonts w:hint="eastAsia"/>
                <w:b/>
                <w:bCs/>
                <w:sz w:val="20"/>
                <w:szCs w:val="20"/>
              </w:rPr>
              <w:t>三级指标</w:t>
            </w:r>
          </w:p>
        </w:tc>
        <w:tc>
          <w:tcPr>
            <w:tcW w:w="2552" w:type="dxa"/>
            <w:gridSpan w:val="2"/>
            <w:tcBorders>
              <w:top w:val="nil"/>
              <w:left w:val="nil"/>
              <w:bottom w:val="single" w:color="auto" w:sz="4" w:space="0"/>
              <w:right w:val="single" w:color="auto" w:sz="4" w:space="0"/>
            </w:tcBorders>
            <w:vAlign w:val="center"/>
          </w:tcPr>
          <w:p>
            <w:pPr>
              <w:jc w:val="center"/>
              <w:rPr>
                <w:rFonts w:ascii="宋体" w:cs="宋体"/>
                <w:b/>
                <w:bCs/>
                <w:sz w:val="20"/>
                <w:szCs w:val="20"/>
              </w:rPr>
            </w:pPr>
            <w:r>
              <w:rPr>
                <w:rFonts w:hint="eastAsia"/>
                <w:b/>
                <w:bCs/>
                <w:sz w:val="20"/>
                <w:szCs w:val="20"/>
              </w:rPr>
              <w:t>指标解释</w:t>
            </w:r>
          </w:p>
        </w:tc>
        <w:tc>
          <w:tcPr>
            <w:tcW w:w="850" w:type="dxa"/>
            <w:tcBorders>
              <w:top w:val="nil"/>
              <w:left w:val="nil"/>
              <w:bottom w:val="single" w:color="auto" w:sz="4" w:space="0"/>
              <w:right w:val="single" w:color="auto" w:sz="4" w:space="0"/>
            </w:tcBorders>
            <w:shd w:val="clear" w:color="000000" w:fill="FFFFFF"/>
            <w:vAlign w:val="center"/>
          </w:tcPr>
          <w:p>
            <w:pPr>
              <w:jc w:val="center"/>
              <w:rPr>
                <w:rFonts w:ascii="宋体" w:cs="宋体"/>
                <w:b/>
                <w:bCs/>
                <w:sz w:val="20"/>
                <w:szCs w:val="20"/>
              </w:rPr>
            </w:pPr>
            <w:r>
              <w:rPr>
                <w:rFonts w:hint="eastAsia"/>
                <w:b/>
                <w:bCs/>
                <w:sz w:val="20"/>
                <w:szCs w:val="20"/>
              </w:rPr>
              <w:t>扣分</w:t>
            </w:r>
          </w:p>
        </w:tc>
        <w:tc>
          <w:tcPr>
            <w:tcW w:w="709" w:type="dxa"/>
            <w:tcBorders>
              <w:top w:val="nil"/>
              <w:left w:val="nil"/>
              <w:bottom w:val="single" w:color="auto" w:sz="4" w:space="0"/>
              <w:right w:val="single" w:color="auto" w:sz="4" w:space="0"/>
            </w:tcBorders>
            <w:shd w:val="clear" w:color="000000" w:fill="FFFFFF"/>
            <w:vAlign w:val="center"/>
          </w:tcPr>
          <w:p>
            <w:pPr>
              <w:jc w:val="center"/>
              <w:rPr>
                <w:rFonts w:ascii="宋体" w:cs="宋体"/>
                <w:b/>
                <w:bCs/>
                <w:sz w:val="20"/>
                <w:szCs w:val="20"/>
              </w:rPr>
            </w:pPr>
            <w:r>
              <w:rPr>
                <w:rFonts w:hint="eastAsia"/>
                <w:b/>
                <w:bCs/>
                <w:sz w:val="20"/>
                <w:szCs w:val="20"/>
              </w:rPr>
              <w:t>扣分理由</w:t>
            </w:r>
          </w:p>
        </w:tc>
        <w:tc>
          <w:tcPr>
            <w:tcW w:w="1559" w:type="dxa"/>
            <w:gridSpan w:val="2"/>
            <w:tcBorders>
              <w:top w:val="nil"/>
              <w:left w:val="nil"/>
              <w:bottom w:val="single" w:color="auto" w:sz="4" w:space="0"/>
              <w:right w:val="single" w:color="auto" w:sz="4" w:space="0"/>
            </w:tcBorders>
            <w:vAlign w:val="center"/>
          </w:tcPr>
          <w:p>
            <w:pPr>
              <w:jc w:val="center"/>
              <w:rPr>
                <w:rFonts w:ascii="宋体" w:cs="宋体"/>
                <w:b/>
                <w:bCs/>
                <w:sz w:val="20"/>
                <w:szCs w:val="20"/>
              </w:rPr>
            </w:pPr>
            <w:r>
              <w:rPr>
                <w:rFonts w:hint="eastAsia"/>
                <w:b/>
                <w:bCs/>
                <w:sz w:val="20"/>
                <w:szCs w:val="20"/>
              </w:rPr>
              <w:t>计分标准（备注）</w:t>
            </w:r>
          </w:p>
        </w:tc>
        <w:tc>
          <w:tcPr>
            <w:tcW w:w="5894" w:type="dxa"/>
            <w:gridSpan w:val="3"/>
            <w:tcBorders>
              <w:top w:val="nil"/>
              <w:left w:val="nil"/>
              <w:bottom w:val="nil"/>
              <w:right w:val="nil"/>
            </w:tcBorders>
            <w:vAlign w:val="center"/>
          </w:tcPr>
          <w:p>
            <w:pPr>
              <w:rPr>
                <w:rFonts w:ascii="宋体" w:cs="宋体"/>
                <w:sz w:val="24"/>
              </w:rPr>
            </w:pPr>
          </w:p>
        </w:tc>
        <w:tc>
          <w:tcPr>
            <w:tcW w:w="4000" w:type="dxa"/>
            <w:gridSpan w:val="3"/>
            <w:tcBorders>
              <w:top w:val="nil"/>
              <w:left w:val="nil"/>
              <w:bottom w:val="nil"/>
              <w:right w:val="nil"/>
            </w:tcBorders>
            <w:vAlign w:val="center"/>
          </w:tcPr>
          <w:p>
            <w:pPr>
              <w:rPr>
                <w:rFonts w:ascii="宋体" w:cs="宋体"/>
                <w:sz w:val="16"/>
                <w:szCs w:val="16"/>
              </w:rPr>
            </w:pPr>
          </w:p>
        </w:tc>
      </w:tr>
      <w:tr>
        <w:tblPrEx>
          <w:tblLayout w:type="fixed"/>
          <w:tblCellMar>
            <w:top w:w="0" w:type="dxa"/>
            <w:left w:w="108" w:type="dxa"/>
            <w:bottom w:w="0" w:type="dxa"/>
            <w:right w:w="108" w:type="dxa"/>
          </w:tblCellMar>
        </w:tblPrEx>
        <w:trPr>
          <w:gridAfter w:val="3"/>
          <w:wAfter w:w="11944" w:type="dxa"/>
          <w:trHeight w:val="870" w:hRule="atLeast"/>
        </w:trPr>
        <w:tc>
          <w:tcPr>
            <w:tcW w:w="616" w:type="dxa"/>
            <w:vMerge w:val="restart"/>
            <w:tcBorders>
              <w:top w:val="nil"/>
              <w:left w:val="single" w:color="auto" w:sz="4" w:space="0"/>
              <w:bottom w:val="nil"/>
              <w:right w:val="single" w:color="auto" w:sz="4" w:space="0"/>
            </w:tcBorders>
            <w:shd w:val="clear" w:color="000000" w:fill="FFFFFF"/>
            <w:vAlign w:val="center"/>
          </w:tcPr>
          <w:p>
            <w:pPr>
              <w:jc w:val="center"/>
              <w:rPr>
                <w:rFonts w:ascii="宋体" w:cs="宋体"/>
                <w:sz w:val="20"/>
                <w:szCs w:val="20"/>
              </w:rPr>
            </w:pPr>
            <w:r>
              <w:rPr>
                <w:rFonts w:hint="eastAsia"/>
                <w:sz w:val="20"/>
                <w:szCs w:val="20"/>
              </w:rPr>
              <w:t>预算编制（</w:t>
            </w:r>
            <w:r>
              <w:rPr>
                <w:sz w:val="20"/>
                <w:szCs w:val="20"/>
              </w:rPr>
              <w:t>10</w:t>
            </w:r>
            <w:r>
              <w:rPr>
                <w:rFonts w:hint="eastAsia"/>
                <w:sz w:val="20"/>
                <w:szCs w:val="20"/>
              </w:rPr>
              <w:t>分）</w:t>
            </w:r>
          </w:p>
        </w:tc>
        <w:tc>
          <w:tcPr>
            <w:tcW w:w="675" w:type="dxa"/>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报送时效（</w:t>
            </w:r>
            <w:r>
              <w:rPr>
                <w:sz w:val="20"/>
                <w:szCs w:val="20"/>
              </w:rPr>
              <w:t>2</w:t>
            </w:r>
            <w:r>
              <w:rPr>
                <w:rFonts w:hint="eastAsia"/>
                <w:sz w:val="20"/>
                <w:szCs w:val="20"/>
              </w:rPr>
              <w:t>分）</w:t>
            </w:r>
          </w:p>
        </w:tc>
        <w:tc>
          <w:tcPr>
            <w:tcW w:w="1701"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基础信息更新（</w:t>
            </w:r>
            <w:r>
              <w:rPr>
                <w:sz w:val="20"/>
                <w:szCs w:val="20"/>
              </w:rPr>
              <w:t>2</w:t>
            </w:r>
            <w:r>
              <w:rPr>
                <w:rFonts w:hint="eastAsia"/>
                <w:sz w:val="20"/>
                <w:szCs w:val="20"/>
              </w:rPr>
              <w:t>分）</w:t>
            </w:r>
          </w:p>
        </w:tc>
        <w:tc>
          <w:tcPr>
            <w:tcW w:w="2552"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部门是否按照县级部门预算编制通知和有关要求，按时完成基础库、项目库报送工作</w:t>
            </w:r>
          </w:p>
        </w:tc>
        <w:tc>
          <w:tcPr>
            <w:tcW w:w="850" w:type="dxa"/>
            <w:tcBorders>
              <w:top w:val="nil"/>
              <w:left w:val="nil"/>
              <w:bottom w:val="single" w:color="auto" w:sz="4" w:space="0"/>
              <w:right w:val="single" w:color="auto" w:sz="4" w:space="0"/>
            </w:tcBorders>
            <w:shd w:val="clear" w:color="000000" w:fill="FFFFFF"/>
            <w:vAlign w:val="center"/>
          </w:tcPr>
          <w:p>
            <w:pPr>
              <w:rPr>
                <w:rFonts w:ascii="宋体" w:cs="宋体"/>
                <w:sz w:val="20"/>
                <w:szCs w:val="20"/>
              </w:rPr>
            </w:pPr>
            <w:r>
              <w:rPr>
                <w:rFonts w:hint="eastAsia"/>
                <w:sz w:val="20"/>
                <w:szCs w:val="20"/>
              </w:rPr>
              <w:t>　</w:t>
            </w:r>
          </w:p>
        </w:tc>
        <w:tc>
          <w:tcPr>
            <w:tcW w:w="709" w:type="dxa"/>
            <w:tcBorders>
              <w:top w:val="nil"/>
              <w:left w:val="nil"/>
              <w:bottom w:val="single" w:color="auto" w:sz="4" w:space="0"/>
              <w:right w:val="single" w:color="auto" w:sz="4" w:space="0"/>
            </w:tcBorders>
            <w:shd w:val="clear" w:color="000000" w:fill="FFFFFF"/>
            <w:vAlign w:val="center"/>
          </w:tcPr>
          <w:p>
            <w:pPr>
              <w:rPr>
                <w:rFonts w:ascii="宋体" w:cs="宋体"/>
                <w:sz w:val="20"/>
                <w:szCs w:val="20"/>
              </w:rPr>
            </w:pPr>
            <w:r>
              <w:rPr>
                <w:rFonts w:hint="eastAsia"/>
                <w:sz w:val="20"/>
                <w:szCs w:val="20"/>
              </w:rPr>
              <w:t>　</w:t>
            </w:r>
          </w:p>
        </w:tc>
        <w:tc>
          <w:tcPr>
            <w:tcW w:w="1559"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超过规定</w:t>
            </w:r>
            <w:r>
              <w:rPr>
                <w:sz w:val="20"/>
                <w:szCs w:val="20"/>
              </w:rPr>
              <w:t>5</w:t>
            </w:r>
            <w:r>
              <w:rPr>
                <w:rFonts w:hint="eastAsia"/>
                <w:sz w:val="20"/>
                <w:szCs w:val="20"/>
              </w:rPr>
              <w:t>个工作日扣</w:t>
            </w:r>
            <w:r>
              <w:rPr>
                <w:sz w:val="20"/>
                <w:szCs w:val="20"/>
              </w:rPr>
              <w:t>0.5</w:t>
            </w:r>
            <w:r>
              <w:rPr>
                <w:rFonts w:hint="eastAsia"/>
                <w:sz w:val="20"/>
                <w:szCs w:val="20"/>
              </w:rPr>
              <w:t>分，</w:t>
            </w:r>
            <w:r>
              <w:rPr>
                <w:sz w:val="20"/>
                <w:szCs w:val="20"/>
              </w:rPr>
              <w:t>10</w:t>
            </w:r>
            <w:r>
              <w:rPr>
                <w:rFonts w:hint="eastAsia"/>
                <w:sz w:val="20"/>
                <w:szCs w:val="20"/>
              </w:rPr>
              <w:t>个工作日扣</w:t>
            </w:r>
            <w:r>
              <w:rPr>
                <w:sz w:val="20"/>
                <w:szCs w:val="20"/>
              </w:rPr>
              <w:t>1</w:t>
            </w:r>
            <w:r>
              <w:rPr>
                <w:rFonts w:hint="eastAsia"/>
                <w:sz w:val="20"/>
                <w:szCs w:val="20"/>
              </w:rPr>
              <w:t>分，以此类推，直至扣完</w:t>
            </w:r>
          </w:p>
        </w:tc>
        <w:tc>
          <w:tcPr>
            <w:tcW w:w="5894" w:type="dxa"/>
            <w:gridSpan w:val="3"/>
            <w:tcBorders>
              <w:top w:val="nil"/>
              <w:left w:val="nil"/>
              <w:bottom w:val="nil"/>
              <w:right w:val="nil"/>
            </w:tcBorders>
            <w:vAlign w:val="center"/>
          </w:tcPr>
          <w:p>
            <w:pPr>
              <w:rPr>
                <w:rFonts w:ascii="宋体" w:cs="宋体"/>
                <w:sz w:val="24"/>
              </w:rPr>
            </w:pPr>
          </w:p>
        </w:tc>
        <w:tc>
          <w:tcPr>
            <w:tcW w:w="4000" w:type="dxa"/>
            <w:gridSpan w:val="3"/>
            <w:tcBorders>
              <w:top w:val="nil"/>
              <w:left w:val="nil"/>
              <w:bottom w:val="nil"/>
              <w:right w:val="nil"/>
            </w:tcBorders>
            <w:vAlign w:val="center"/>
          </w:tcPr>
          <w:p>
            <w:pPr>
              <w:rPr>
                <w:rFonts w:ascii="宋体" w:cs="宋体"/>
                <w:sz w:val="16"/>
                <w:szCs w:val="16"/>
              </w:rPr>
            </w:pPr>
          </w:p>
        </w:tc>
      </w:tr>
      <w:tr>
        <w:tblPrEx>
          <w:tblLayout w:type="fixed"/>
          <w:tblCellMar>
            <w:top w:w="0" w:type="dxa"/>
            <w:left w:w="108" w:type="dxa"/>
            <w:bottom w:w="0" w:type="dxa"/>
            <w:right w:w="108" w:type="dxa"/>
          </w:tblCellMar>
        </w:tblPrEx>
        <w:trPr>
          <w:gridAfter w:val="3"/>
          <w:wAfter w:w="11944" w:type="dxa"/>
          <w:trHeight w:val="735" w:hRule="atLeast"/>
        </w:trPr>
        <w:tc>
          <w:tcPr>
            <w:tcW w:w="616" w:type="dxa"/>
            <w:vMerge w:val="continue"/>
            <w:tcBorders>
              <w:top w:val="nil"/>
              <w:left w:val="single" w:color="auto" w:sz="4" w:space="0"/>
              <w:bottom w:val="nil"/>
              <w:right w:val="single" w:color="auto" w:sz="4" w:space="0"/>
            </w:tcBorders>
            <w:vAlign w:val="center"/>
          </w:tcPr>
          <w:p>
            <w:pPr>
              <w:rPr>
                <w:rFonts w:ascii="宋体" w:cs="宋体"/>
                <w:sz w:val="20"/>
                <w:szCs w:val="20"/>
              </w:rPr>
            </w:pPr>
          </w:p>
        </w:tc>
        <w:tc>
          <w:tcPr>
            <w:tcW w:w="675" w:type="dxa"/>
            <w:vMerge w:val="restart"/>
            <w:tcBorders>
              <w:top w:val="nil"/>
              <w:left w:val="single" w:color="auto" w:sz="4" w:space="0"/>
              <w:bottom w:val="single" w:color="auto" w:sz="4" w:space="0"/>
              <w:right w:val="single" w:color="auto" w:sz="4" w:space="0"/>
            </w:tcBorders>
            <w:vAlign w:val="center"/>
          </w:tcPr>
          <w:p>
            <w:pPr>
              <w:rPr>
                <w:rFonts w:ascii="宋体" w:cs="宋体"/>
                <w:sz w:val="20"/>
                <w:szCs w:val="20"/>
              </w:rPr>
            </w:pPr>
            <w:r>
              <w:rPr>
                <w:rFonts w:hint="eastAsia"/>
                <w:sz w:val="20"/>
                <w:szCs w:val="20"/>
              </w:rPr>
              <w:t>编制质量（</w:t>
            </w:r>
            <w:r>
              <w:rPr>
                <w:sz w:val="20"/>
                <w:szCs w:val="20"/>
              </w:rPr>
              <w:t>3</w:t>
            </w:r>
            <w:r>
              <w:rPr>
                <w:rFonts w:hint="eastAsia"/>
                <w:sz w:val="20"/>
                <w:szCs w:val="20"/>
              </w:rPr>
              <w:t>分）</w:t>
            </w:r>
          </w:p>
        </w:tc>
        <w:tc>
          <w:tcPr>
            <w:tcW w:w="1701"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预算编制准确（</w:t>
            </w:r>
            <w:r>
              <w:rPr>
                <w:sz w:val="20"/>
                <w:szCs w:val="20"/>
              </w:rPr>
              <w:t>2</w:t>
            </w:r>
            <w:r>
              <w:rPr>
                <w:rFonts w:hint="eastAsia"/>
                <w:sz w:val="20"/>
                <w:szCs w:val="20"/>
              </w:rPr>
              <w:t>分）</w:t>
            </w:r>
          </w:p>
        </w:tc>
        <w:tc>
          <w:tcPr>
            <w:tcW w:w="2552"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（预算资金总来源</w:t>
            </w:r>
            <w:r>
              <w:rPr>
                <w:sz w:val="20"/>
                <w:szCs w:val="20"/>
              </w:rPr>
              <w:t>-</w:t>
            </w:r>
            <w:r>
              <w:rPr>
                <w:rFonts w:hint="eastAsia"/>
                <w:sz w:val="20"/>
                <w:szCs w:val="20"/>
              </w:rPr>
              <w:t>中期评估调整取消资金</w:t>
            </w:r>
            <w:r>
              <w:rPr>
                <w:sz w:val="20"/>
                <w:szCs w:val="20"/>
              </w:rPr>
              <w:t>-</w:t>
            </w:r>
            <w:r>
              <w:rPr>
                <w:rFonts w:hint="eastAsia"/>
                <w:sz w:val="20"/>
                <w:szCs w:val="20"/>
              </w:rPr>
              <w:t>预算结余注销资金）÷预算资金总来源</w:t>
            </w:r>
            <w:r>
              <w:rPr>
                <w:sz w:val="20"/>
                <w:szCs w:val="20"/>
              </w:rPr>
              <w:t>*</w:t>
            </w:r>
            <w:r>
              <w:rPr>
                <w:rFonts w:hint="eastAsia"/>
                <w:sz w:val="20"/>
                <w:szCs w:val="20"/>
              </w:rPr>
              <w:t>指标分值</w:t>
            </w:r>
          </w:p>
        </w:tc>
        <w:tc>
          <w:tcPr>
            <w:tcW w:w="850" w:type="dxa"/>
            <w:tcBorders>
              <w:top w:val="nil"/>
              <w:left w:val="nil"/>
              <w:bottom w:val="single" w:color="auto" w:sz="4" w:space="0"/>
              <w:right w:val="single" w:color="auto" w:sz="4" w:space="0"/>
            </w:tcBorders>
            <w:shd w:val="clear" w:color="000000" w:fill="FFFFFF"/>
            <w:vAlign w:val="center"/>
          </w:tcPr>
          <w:p>
            <w:pPr>
              <w:rPr>
                <w:rFonts w:ascii="宋体" w:cs="宋体"/>
                <w:sz w:val="20"/>
                <w:szCs w:val="20"/>
              </w:rPr>
            </w:pPr>
            <w:r>
              <w:rPr>
                <w:rFonts w:hint="eastAsia"/>
                <w:sz w:val="20"/>
                <w:szCs w:val="20"/>
              </w:rPr>
              <w:t>　</w:t>
            </w:r>
          </w:p>
        </w:tc>
        <w:tc>
          <w:tcPr>
            <w:tcW w:w="709" w:type="dxa"/>
            <w:tcBorders>
              <w:top w:val="nil"/>
              <w:left w:val="nil"/>
              <w:bottom w:val="single" w:color="auto" w:sz="4" w:space="0"/>
              <w:right w:val="single" w:color="auto" w:sz="4" w:space="0"/>
            </w:tcBorders>
            <w:shd w:val="clear" w:color="000000" w:fill="FFFFFF"/>
            <w:vAlign w:val="center"/>
          </w:tcPr>
          <w:p>
            <w:pPr>
              <w:rPr>
                <w:rFonts w:ascii="宋体" w:cs="宋体"/>
                <w:sz w:val="20"/>
                <w:szCs w:val="20"/>
              </w:rPr>
            </w:pPr>
            <w:r>
              <w:rPr>
                <w:rFonts w:hint="eastAsia"/>
                <w:sz w:val="20"/>
                <w:szCs w:val="20"/>
              </w:rPr>
              <w:t>　</w:t>
            </w:r>
          </w:p>
        </w:tc>
        <w:tc>
          <w:tcPr>
            <w:tcW w:w="1559"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其中：预算资金总来源是指县级年初预算与执行中追加预算（不含当年专款）总和</w:t>
            </w:r>
          </w:p>
        </w:tc>
        <w:tc>
          <w:tcPr>
            <w:tcW w:w="5894" w:type="dxa"/>
            <w:gridSpan w:val="3"/>
            <w:tcBorders>
              <w:top w:val="nil"/>
              <w:left w:val="nil"/>
              <w:bottom w:val="nil"/>
              <w:right w:val="nil"/>
            </w:tcBorders>
            <w:vAlign w:val="center"/>
          </w:tcPr>
          <w:p>
            <w:pPr>
              <w:rPr>
                <w:rFonts w:ascii="宋体" w:cs="宋体"/>
                <w:sz w:val="24"/>
              </w:rPr>
            </w:pPr>
          </w:p>
        </w:tc>
        <w:tc>
          <w:tcPr>
            <w:tcW w:w="4000" w:type="dxa"/>
            <w:gridSpan w:val="3"/>
            <w:tcBorders>
              <w:top w:val="nil"/>
              <w:left w:val="nil"/>
              <w:bottom w:val="nil"/>
              <w:right w:val="nil"/>
            </w:tcBorders>
            <w:vAlign w:val="center"/>
          </w:tcPr>
          <w:p>
            <w:pPr>
              <w:rPr>
                <w:rFonts w:ascii="宋体" w:cs="宋体"/>
                <w:sz w:val="16"/>
                <w:szCs w:val="16"/>
              </w:rPr>
            </w:pPr>
          </w:p>
        </w:tc>
      </w:tr>
      <w:tr>
        <w:tblPrEx>
          <w:tblLayout w:type="fixed"/>
          <w:tblCellMar>
            <w:top w:w="0" w:type="dxa"/>
            <w:left w:w="108" w:type="dxa"/>
            <w:bottom w:w="0" w:type="dxa"/>
            <w:right w:w="108" w:type="dxa"/>
          </w:tblCellMar>
        </w:tblPrEx>
        <w:trPr>
          <w:gridAfter w:val="3"/>
          <w:wAfter w:w="11944" w:type="dxa"/>
          <w:trHeight w:val="765" w:hRule="atLeast"/>
        </w:trPr>
        <w:tc>
          <w:tcPr>
            <w:tcW w:w="616" w:type="dxa"/>
            <w:vMerge w:val="continue"/>
            <w:tcBorders>
              <w:top w:val="nil"/>
              <w:left w:val="single" w:color="auto" w:sz="4" w:space="0"/>
              <w:bottom w:val="nil"/>
              <w:right w:val="single" w:color="auto" w:sz="4" w:space="0"/>
            </w:tcBorders>
            <w:vAlign w:val="center"/>
          </w:tcPr>
          <w:p>
            <w:pPr>
              <w:rPr>
                <w:rFonts w:ascii="宋体" w:cs="宋体"/>
                <w:sz w:val="20"/>
                <w:szCs w:val="20"/>
              </w:rPr>
            </w:pPr>
          </w:p>
        </w:tc>
        <w:tc>
          <w:tcPr>
            <w:tcW w:w="675" w:type="dxa"/>
            <w:vMerge w:val="continue"/>
            <w:tcBorders>
              <w:top w:val="nil"/>
              <w:left w:val="single" w:color="auto" w:sz="4" w:space="0"/>
              <w:bottom w:val="single" w:color="auto" w:sz="4" w:space="0"/>
              <w:right w:val="single" w:color="auto" w:sz="4" w:space="0"/>
            </w:tcBorders>
            <w:vAlign w:val="center"/>
          </w:tcPr>
          <w:p>
            <w:pPr>
              <w:rPr>
                <w:rFonts w:ascii="宋体" w:cs="宋体"/>
                <w:sz w:val="20"/>
                <w:szCs w:val="20"/>
              </w:rPr>
            </w:pPr>
          </w:p>
        </w:tc>
        <w:tc>
          <w:tcPr>
            <w:tcW w:w="1701"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部门预算审查（</w:t>
            </w:r>
            <w:r>
              <w:rPr>
                <w:sz w:val="20"/>
                <w:szCs w:val="20"/>
              </w:rPr>
              <w:t>1</w:t>
            </w:r>
            <w:r>
              <w:rPr>
                <w:rFonts w:hint="eastAsia"/>
                <w:sz w:val="20"/>
                <w:szCs w:val="20"/>
              </w:rPr>
              <w:t>分）</w:t>
            </w:r>
          </w:p>
        </w:tc>
        <w:tc>
          <w:tcPr>
            <w:tcW w:w="2552"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根据县人大财经委对预算草案审查结果进行考核</w:t>
            </w:r>
          </w:p>
        </w:tc>
        <w:tc>
          <w:tcPr>
            <w:tcW w:w="850" w:type="dxa"/>
            <w:tcBorders>
              <w:top w:val="nil"/>
              <w:left w:val="nil"/>
              <w:bottom w:val="single" w:color="auto" w:sz="4" w:space="0"/>
              <w:right w:val="single" w:color="auto" w:sz="4" w:space="0"/>
            </w:tcBorders>
            <w:shd w:val="clear" w:color="000000" w:fill="FFFFFF"/>
            <w:vAlign w:val="center"/>
          </w:tcPr>
          <w:p>
            <w:pPr>
              <w:rPr>
                <w:rFonts w:ascii="宋体" w:cs="宋体"/>
                <w:sz w:val="20"/>
                <w:szCs w:val="20"/>
              </w:rPr>
            </w:pPr>
            <w:r>
              <w:rPr>
                <w:rFonts w:hint="eastAsia"/>
                <w:sz w:val="20"/>
                <w:szCs w:val="20"/>
              </w:rPr>
              <w:t>　</w:t>
            </w:r>
          </w:p>
        </w:tc>
        <w:tc>
          <w:tcPr>
            <w:tcW w:w="709" w:type="dxa"/>
            <w:tcBorders>
              <w:top w:val="nil"/>
              <w:left w:val="nil"/>
              <w:bottom w:val="single" w:color="auto" w:sz="4" w:space="0"/>
              <w:right w:val="single" w:color="auto" w:sz="4" w:space="0"/>
            </w:tcBorders>
            <w:shd w:val="clear" w:color="000000" w:fill="FFFFFF"/>
            <w:vAlign w:val="center"/>
          </w:tcPr>
          <w:p>
            <w:pPr>
              <w:rPr>
                <w:rFonts w:ascii="宋体" w:cs="宋体"/>
                <w:sz w:val="20"/>
                <w:szCs w:val="20"/>
              </w:rPr>
            </w:pPr>
            <w:r>
              <w:rPr>
                <w:rFonts w:hint="eastAsia"/>
                <w:sz w:val="20"/>
                <w:szCs w:val="20"/>
              </w:rPr>
              <w:t>　</w:t>
            </w:r>
          </w:p>
        </w:tc>
        <w:tc>
          <w:tcPr>
            <w:tcW w:w="1559"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对财经委审查后提出并确需修改的问题，每个问题扣</w:t>
            </w:r>
            <w:r>
              <w:rPr>
                <w:sz w:val="20"/>
                <w:szCs w:val="20"/>
              </w:rPr>
              <w:t>0.02</w:t>
            </w:r>
            <w:r>
              <w:rPr>
                <w:rFonts w:hint="eastAsia"/>
                <w:sz w:val="20"/>
                <w:szCs w:val="20"/>
              </w:rPr>
              <w:t>分，直至扣完</w:t>
            </w:r>
          </w:p>
        </w:tc>
        <w:tc>
          <w:tcPr>
            <w:tcW w:w="5894" w:type="dxa"/>
            <w:gridSpan w:val="3"/>
            <w:tcBorders>
              <w:top w:val="nil"/>
              <w:left w:val="nil"/>
              <w:bottom w:val="nil"/>
              <w:right w:val="nil"/>
            </w:tcBorders>
            <w:vAlign w:val="center"/>
          </w:tcPr>
          <w:p>
            <w:pPr>
              <w:rPr>
                <w:rFonts w:ascii="宋体" w:cs="宋体"/>
                <w:sz w:val="24"/>
              </w:rPr>
            </w:pPr>
          </w:p>
        </w:tc>
        <w:tc>
          <w:tcPr>
            <w:tcW w:w="4000" w:type="dxa"/>
            <w:gridSpan w:val="3"/>
            <w:tcBorders>
              <w:top w:val="nil"/>
              <w:left w:val="nil"/>
              <w:bottom w:val="nil"/>
              <w:right w:val="nil"/>
            </w:tcBorders>
            <w:vAlign w:val="center"/>
          </w:tcPr>
          <w:p>
            <w:pPr>
              <w:rPr>
                <w:rFonts w:ascii="宋体" w:cs="宋体"/>
                <w:sz w:val="16"/>
                <w:szCs w:val="16"/>
              </w:rPr>
            </w:pPr>
          </w:p>
        </w:tc>
      </w:tr>
      <w:tr>
        <w:tblPrEx>
          <w:tblLayout w:type="fixed"/>
          <w:tblCellMar>
            <w:top w:w="0" w:type="dxa"/>
            <w:left w:w="108" w:type="dxa"/>
            <w:bottom w:w="0" w:type="dxa"/>
            <w:right w:w="108" w:type="dxa"/>
          </w:tblCellMar>
        </w:tblPrEx>
        <w:trPr>
          <w:gridAfter w:val="3"/>
          <w:wAfter w:w="11944" w:type="dxa"/>
          <w:trHeight w:val="840" w:hRule="atLeast"/>
        </w:trPr>
        <w:tc>
          <w:tcPr>
            <w:tcW w:w="616" w:type="dxa"/>
            <w:vMerge w:val="continue"/>
            <w:tcBorders>
              <w:top w:val="nil"/>
              <w:left w:val="single" w:color="auto" w:sz="4" w:space="0"/>
              <w:bottom w:val="nil"/>
              <w:right w:val="single" w:color="auto" w:sz="4" w:space="0"/>
            </w:tcBorders>
            <w:vAlign w:val="center"/>
          </w:tcPr>
          <w:p>
            <w:pPr>
              <w:rPr>
                <w:rFonts w:ascii="宋体" w:cs="宋体"/>
                <w:sz w:val="20"/>
                <w:szCs w:val="20"/>
              </w:rPr>
            </w:pPr>
          </w:p>
        </w:tc>
        <w:tc>
          <w:tcPr>
            <w:tcW w:w="675" w:type="dxa"/>
            <w:vMerge w:val="restart"/>
            <w:tcBorders>
              <w:top w:val="nil"/>
              <w:left w:val="single" w:color="auto" w:sz="4" w:space="0"/>
              <w:bottom w:val="single" w:color="000000" w:sz="4" w:space="0"/>
              <w:right w:val="single" w:color="auto" w:sz="4" w:space="0"/>
            </w:tcBorders>
            <w:vAlign w:val="center"/>
          </w:tcPr>
          <w:p>
            <w:pPr>
              <w:rPr>
                <w:rFonts w:ascii="宋体" w:cs="宋体"/>
                <w:sz w:val="20"/>
                <w:szCs w:val="20"/>
              </w:rPr>
            </w:pPr>
            <w:r>
              <w:rPr>
                <w:rFonts w:hint="eastAsia"/>
                <w:sz w:val="20"/>
                <w:szCs w:val="20"/>
              </w:rPr>
              <w:t>绩效目标（</w:t>
            </w:r>
            <w:r>
              <w:rPr>
                <w:sz w:val="20"/>
                <w:szCs w:val="20"/>
              </w:rPr>
              <w:t>5</w:t>
            </w:r>
            <w:r>
              <w:rPr>
                <w:rFonts w:hint="eastAsia"/>
                <w:sz w:val="20"/>
                <w:szCs w:val="20"/>
              </w:rPr>
              <w:t>分）</w:t>
            </w:r>
          </w:p>
        </w:tc>
        <w:tc>
          <w:tcPr>
            <w:tcW w:w="1701"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部门整体绩效目标（</w:t>
            </w:r>
            <w:r>
              <w:rPr>
                <w:sz w:val="20"/>
                <w:szCs w:val="20"/>
              </w:rPr>
              <w:t>2</w:t>
            </w:r>
            <w:r>
              <w:rPr>
                <w:rFonts w:hint="eastAsia"/>
                <w:sz w:val="20"/>
                <w:szCs w:val="20"/>
              </w:rPr>
              <w:t>分）</w:t>
            </w:r>
          </w:p>
        </w:tc>
        <w:tc>
          <w:tcPr>
            <w:tcW w:w="2552"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部门整体绩效目标编制完整、合理</w:t>
            </w:r>
          </w:p>
        </w:tc>
        <w:tc>
          <w:tcPr>
            <w:tcW w:w="850" w:type="dxa"/>
            <w:tcBorders>
              <w:top w:val="nil"/>
              <w:left w:val="nil"/>
              <w:bottom w:val="single" w:color="auto" w:sz="4" w:space="0"/>
              <w:right w:val="single" w:color="auto" w:sz="4" w:space="0"/>
            </w:tcBorders>
            <w:shd w:val="clear" w:color="000000" w:fill="FFFFFF"/>
            <w:vAlign w:val="center"/>
          </w:tcPr>
          <w:p>
            <w:pPr>
              <w:rPr>
                <w:rFonts w:ascii="宋体" w:cs="宋体"/>
                <w:sz w:val="20"/>
                <w:szCs w:val="20"/>
              </w:rPr>
            </w:pPr>
            <w:r>
              <w:rPr>
                <w:rFonts w:hint="eastAsia"/>
                <w:sz w:val="20"/>
                <w:szCs w:val="20"/>
              </w:rPr>
              <w:t>　</w:t>
            </w:r>
          </w:p>
        </w:tc>
        <w:tc>
          <w:tcPr>
            <w:tcW w:w="709" w:type="dxa"/>
            <w:tcBorders>
              <w:top w:val="nil"/>
              <w:left w:val="nil"/>
              <w:bottom w:val="single" w:color="auto" w:sz="4" w:space="0"/>
              <w:right w:val="single" w:color="auto" w:sz="4" w:space="0"/>
            </w:tcBorders>
            <w:shd w:val="clear" w:color="000000" w:fill="FFFFFF"/>
            <w:vAlign w:val="center"/>
          </w:tcPr>
          <w:p>
            <w:pPr>
              <w:rPr>
                <w:rFonts w:ascii="宋体" w:cs="宋体"/>
                <w:sz w:val="20"/>
                <w:szCs w:val="20"/>
              </w:rPr>
            </w:pPr>
            <w:r>
              <w:rPr>
                <w:rFonts w:hint="eastAsia"/>
                <w:sz w:val="20"/>
                <w:szCs w:val="20"/>
              </w:rPr>
              <w:t>　</w:t>
            </w:r>
          </w:p>
        </w:tc>
        <w:tc>
          <w:tcPr>
            <w:tcW w:w="1559"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部门整体绩效目标能完整、合理反映部门年度职责履行情况的得分，否则不得分</w:t>
            </w:r>
          </w:p>
        </w:tc>
        <w:tc>
          <w:tcPr>
            <w:tcW w:w="5894" w:type="dxa"/>
            <w:gridSpan w:val="3"/>
            <w:tcBorders>
              <w:top w:val="nil"/>
              <w:left w:val="nil"/>
              <w:bottom w:val="nil"/>
              <w:right w:val="nil"/>
            </w:tcBorders>
            <w:vAlign w:val="center"/>
          </w:tcPr>
          <w:p>
            <w:pPr>
              <w:rPr>
                <w:rFonts w:ascii="宋体" w:cs="宋体"/>
                <w:sz w:val="24"/>
              </w:rPr>
            </w:pPr>
          </w:p>
        </w:tc>
        <w:tc>
          <w:tcPr>
            <w:tcW w:w="4000" w:type="dxa"/>
            <w:gridSpan w:val="3"/>
            <w:tcBorders>
              <w:top w:val="nil"/>
              <w:left w:val="nil"/>
              <w:bottom w:val="nil"/>
              <w:right w:val="nil"/>
            </w:tcBorders>
            <w:vAlign w:val="center"/>
          </w:tcPr>
          <w:p>
            <w:pPr>
              <w:rPr>
                <w:rFonts w:ascii="宋体" w:cs="宋体"/>
                <w:sz w:val="16"/>
                <w:szCs w:val="16"/>
              </w:rPr>
            </w:pPr>
          </w:p>
        </w:tc>
      </w:tr>
      <w:tr>
        <w:tblPrEx>
          <w:tblLayout w:type="fixed"/>
          <w:tblCellMar>
            <w:top w:w="0" w:type="dxa"/>
            <w:left w:w="108" w:type="dxa"/>
            <w:bottom w:w="0" w:type="dxa"/>
            <w:right w:w="108" w:type="dxa"/>
          </w:tblCellMar>
        </w:tblPrEx>
        <w:trPr>
          <w:gridAfter w:val="3"/>
          <w:wAfter w:w="11944" w:type="dxa"/>
          <w:trHeight w:val="750" w:hRule="atLeast"/>
        </w:trPr>
        <w:tc>
          <w:tcPr>
            <w:tcW w:w="616" w:type="dxa"/>
            <w:vMerge w:val="continue"/>
            <w:tcBorders>
              <w:top w:val="nil"/>
              <w:left w:val="single" w:color="auto" w:sz="4" w:space="0"/>
              <w:bottom w:val="nil"/>
              <w:right w:val="single" w:color="auto" w:sz="4" w:space="0"/>
            </w:tcBorders>
            <w:vAlign w:val="center"/>
          </w:tcPr>
          <w:p>
            <w:pPr>
              <w:rPr>
                <w:rFonts w:ascii="宋体" w:cs="宋体"/>
                <w:sz w:val="20"/>
                <w:szCs w:val="20"/>
              </w:rPr>
            </w:pPr>
          </w:p>
        </w:tc>
        <w:tc>
          <w:tcPr>
            <w:tcW w:w="675" w:type="dxa"/>
            <w:vMerge w:val="continue"/>
            <w:tcBorders>
              <w:top w:val="nil"/>
              <w:left w:val="single" w:color="auto" w:sz="4" w:space="0"/>
              <w:bottom w:val="single" w:color="000000" w:sz="4" w:space="0"/>
              <w:right w:val="single" w:color="auto" w:sz="4" w:space="0"/>
            </w:tcBorders>
            <w:vAlign w:val="center"/>
          </w:tcPr>
          <w:p>
            <w:pPr>
              <w:rPr>
                <w:rFonts w:ascii="宋体" w:cs="宋体"/>
                <w:sz w:val="20"/>
                <w:szCs w:val="20"/>
              </w:rPr>
            </w:pPr>
          </w:p>
        </w:tc>
        <w:tc>
          <w:tcPr>
            <w:tcW w:w="1701"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重点项目绩效目标（</w:t>
            </w:r>
            <w:r>
              <w:rPr>
                <w:sz w:val="20"/>
                <w:szCs w:val="20"/>
              </w:rPr>
              <w:t>3</w:t>
            </w:r>
            <w:r>
              <w:rPr>
                <w:rFonts w:hint="eastAsia"/>
                <w:sz w:val="20"/>
                <w:szCs w:val="20"/>
              </w:rPr>
              <w:t>分）</w:t>
            </w:r>
          </w:p>
        </w:tc>
        <w:tc>
          <w:tcPr>
            <w:tcW w:w="2552"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项目绩效目标编制明确、量化</w:t>
            </w:r>
          </w:p>
        </w:tc>
        <w:tc>
          <w:tcPr>
            <w:tcW w:w="850" w:type="dxa"/>
            <w:tcBorders>
              <w:top w:val="nil"/>
              <w:left w:val="nil"/>
              <w:bottom w:val="single" w:color="auto" w:sz="4" w:space="0"/>
              <w:right w:val="single" w:color="auto" w:sz="4" w:space="0"/>
            </w:tcBorders>
            <w:shd w:val="clear" w:color="000000" w:fill="FFFFFF"/>
            <w:vAlign w:val="center"/>
          </w:tcPr>
          <w:p>
            <w:pPr>
              <w:rPr>
                <w:rFonts w:ascii="宋体" w:cs="宋体"/>
                <w:sz w:val="20"/>
                <w:szCs w:val="20"/>
              </w:rPr>
            </w:pPr>
            <w:r>
              <w:rPr>
                <w:rFonts w:hint="eastAsia"/>
                <w:sz w:val="20"/>
                <w:szCs w:val="20"/>
              </w:rPr>
              <w:t>　</w:t>
            </w:r>
          </w:p>
        </w:tc>
        <w:tc>
          <w:tcPr>
            <w:tcW w:w="709" w:type="dxa"/>
            <w:tcBorders>
              <w:top w:val="nil"/>
              <w:left w:val="nil"/>
              <w:bottom w:val="single" w:color="auto" w:sz="4" w:space="0"/>
              <w:right w:val="single" w:color="auto" w:sz="4" w:space="0"/>
            </w:tcBorders>
            <w:shd w:val="clear" w:color="000000" w:fill="FFFFFF"/>
            <w:vAlign w:val="center"/>
          </w:tcPr>
          <w:p>
            <w:pPr>
              <w:rPr>
                <w:rFonts w:ascii="宋体" w:cs="宋体"/>
                <w:sz w:val="20"/>
                <w:szCs w:val="20"/>
              </w:rPr>
            </w:pPr>
            <w:r>
              <w:rPr>
                <w:rFonts w:hint="eastAsia"/>
                <w:sz w:val="20"/>
                <w:szCs w:val="20"/>
              </w:rPr>
              <w:t>　</w:t>
            </w:r>
          </w:p>
        </w:tc>
        <w:tc>
          <w:tcPr>
            <w:tcW w:w="1559"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项目支出绩效目标编制不明确和量化的发现一个扣</w:t>
            </w:r>
            <w:r>
              <w:rPr>
                <w:sz w:val="20"/>
                <w:szCs w:val="20"/>
              </w:rPr>
              <w:t>0.5</w:t>
            </w:r>
            <w:r>
              <w:rPr>
                <w:rFonts w:hint="eastAsia"/>
                <w:sz w:val="20"/>
                <w:szCs w:val="20"/>
              </w:rPr>
              <w:t>分，直至扣完</w:t>
            </w:r>
          </w:p>
        </w:tc>
        <w:tc>
          <w:tcPr>
            <w:tcW w:w="5894" w:type="dxa"/>
            <w:gridSpan w:val="3"/>
            <w:tcBorders>
              <w:top w:val="nil"/>
              <w:left w:val="nil"/>
              <w:bottom w:val="nil"/>
              <w:right w:val="nil"/>
            </w:tcBorders>
            <w:vAlign w:val="center"/>
          </w:tcPr>
          <w:p>
            <w:pPr>
              <w:rPr>
                <w:rFonts w:ascii="宋体" w:cs="宋体"/>
                <w:sz w:val="24"/>
              </w:rPr>
            </w:pPr>
          </w:p>
        </w:tc>
        <w:tc>
          <w:tcPr>
            <w:tcW w:w="4000" w:type="dxa"/>
            <w:gridSpan w:val="3"/>
            <w:tcBorders>
              <w:top w:val="nil"/>
              <w:left w:val="nil"/>
              <w:bottom w:val="nil"/>
              <w:right w:val="nil"/>
            </w:tcBorders>
            <w:vAlign w:val="center"/>
          </w:tcPr>
          <w:p>
            <w:pPr>
              <w:rPr>
                <w:rFonts w:ascii="宋体" w:cs="宋体"/>
                <w:sz w:val="16"/>
                <w:szCs w:val="16"/>
              </w:rPr>
            </w:pPr>
          </w:p>
        </w:tc>
      </w:tr>
      <w:tr>
        <w:tblPrEx>
          <w:tblLayout w:type="fixed"/>
          <w:tblCellMar>
            <w:top w:w="0" w:type="dxa"/>
            <w:left w:w="108" w:type="dxa"/>
            <w:bottom w:w="0" w:type="dxa"/>
            <w:right w:w="108" w:type="dxa"/>
          </w:tblCellMar>
        </w:tblPrEx>
        <w:trPr>
          <w:gridAfter w:val="3"/>
          <w:wAfter w:w="11944" w:type="dxa"/>
          <w:trHeight w:val="735" w:hRule="atLeast"/>
        </w:trPr>
        <w:tc>
          <w:tcPr>
            <w:tcW w:w="616"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宋体" w:cs="宋体"/>
                <w:sz w:val="20"/>
                <w:szCs w:val="20"/>
              </w:rPr>
            </w:pPr>
            <w:r>
              <w:rPr>
                <w:rFonts w:hint="eastAsia"/>
                <w:sz w:val="20"/>
                <w:szCs w:val="20"/>
              </w:rPr>
              <w:t>预算执行（</w:t>
            </w:r>
            <w:r>
              <w:rPr>
                <w:sz w:val="20"/>
                <w:szCs w:val="20"/>
              </w:rPr>
              <w:t>20</w:t>
            </w:r>
            <w:r>
              <w:rPr>
                <w:rFonts w:hint="eastAsia"/>
                <w:sz w:val="20"/>
                <w:szCs w:val="20"/>
              </w:rPr>
              <w:t>分）</w:t>
            </w:r>
          </w:p>
        </w:tc>
        <w:tc>
          <w:tcPr>
            <w:tcW w:w="675" w:type="dxa"/>
            <w:vMerge w:val="restart"/>
            <w:tcBorders>
              <w:top w:val="nil"/>
              <w:left w:val="single" w:color="auto" w:sz="4" w:space="0"/>
              <w:bottom w:val="single" w:color="auto" w:sz="4" w:space="0"/>
              <w:right w:val="single" w:color="auto" w:sz="4" w:space="0"/>
            </w:tcBorders>
            <w:vAlign w:val="center"/>
          </w:tcPr>
          <w:p>
            <w:pPr>
              <w:rPr>
                <w:rFonts w:ascii="宋体" w:cs="宋体"/>
                <w:sz w:val="20"/>
                <w:szCs w:val="20"/>
              </w:rPr>
            </w:pPr>
            <w:r>
              <w:rPr>
                <w:rFonts w:hint="eastAsia"/>
                <w:sz w:val="20"/>
                <w:szCs w:val="20"/>
              </w:rPr>
              <w:t>执行进度（</w:t>
            </w:r>
            <w:r>
              <w:rPr>
                <w:sz w:val="20"/>
                <w:szCs w:val="20"/>
              </w:rPr>
              <w:t>10</w:t>
            </w:r>
            <w:r>
              <w:rPr>
                <w:rFonts w:hint="eastAsia"/>
                <w:sz w:val="20"/>
                <w:szCs w:val="20"/>
              </w:rPr>
              <w:t>分）</w:t>
            </w:r>
          </w:p>
        </w:tc>
        <w:tc>
          <w:tcPr>
            <w:tcW w:w="1701"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财力专项预算分配时限（</w:t>
            </w:r>
            <w:r>
              <w:rPr>
                <w:sz w:val="20"/>
                <w:szCs w:val="20"/>
              </w:rPr>
              <w:t>4</w:t>
            </w:r>
            <w:r>
              <w:rPr>
                <w:rFonts w:hint="eastAsia"/>
                <w:sz w:val="20"/>
                <w:szCs w:val="20"/>
              </w:rPr>
              <w:t>分）</w:t>
            </w:r>
          </w:p>
        </w:tc>
        <w:tc>
          <w:tcPr>
            <w:tcW w:w="2552"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按规定及时分配财力专项预算</w:t>
            </w:r>
          </w:p>
        </w:tc>
        <w:tc>
          <w:tcPr>
            <w:tcW w:w="850" w:type="dxa"/>
            <w:tcBorders>
              <w:top w:val="nil"/>
              <w:left w:val="nil"/>
              <w:bottom w:val="single" w:color="auto" w:sz="4" w:space="0"/>
              <w:right w:val="single" w:color="auto" w:sz="4" w:space="0"/>
            </w:tcBorders>
            <w:shd w:val="clear" w:color="000000" w:fill="FFFFFF"/>
            <w:vAlign w:val="center"/>
          </w:tcPr>
          <w:p>
            <w:pPr>
              <w:rPr>
                <w:rFonts w:ascii="宋体" w:cs="宋体"/>
                <w:sz w:val="20"/>
                <w:szCs w:val="20"/>
              </w:rPr>
            </w:pPr>
            <w:r>
              <w:rPr>
                <w:rFonts w:hint="eastAsia"/>
                <w:sz w:val="20"/>
                <w:szCs w:val="20"/>
              </w:rPr>
              <w:t>　</w:t>
            </w:r>
          </w:p>
        </w:tc>
        <w:tc>
          <w:tcPr>
            <w:tcW w:w="709" w:type="dxa"/>
            <w:tcBorders>
              <w:top w:val="nil"/>
              <w:left w:val="nil"/>
              <w:bottom w:val="single" w:color="auto" w:sz="4" w:space="0"/>
              <w:right w:val="single" w:color="auto" w:sz="4" w:space="0"/>
            </w:tcBorders>
            <w:shd w:val="clear" w:color="000000" w:fill="FFFFFF"/>
            <w:vAlign w:val="center"/>
          </w:tcPr>
          <w:p>
            <w:pPr>
              <w:rPr>
                <w:rFonts w:ascii="宋体" w:cs="宋体"/>
                <w:sz w:val="20"/>
                <w:szCs w:val="20"/>
              </w:rPr>
            </w:pPr>
            <w:r>
              <w:rPr>
                <w:rFonts w:hint="eastAsia"/>
                <w:sz w:val="20"/>
                <w:szCs w:val="20"/>
              </w:rPr>
              <w:t>　</w:t>
            </w:r>
          </w:p>
        </w:tc>
        <w:tc>
          <w:tcPr>
            <w:tcW w:w="1559"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按《预算法》规定时限完成分配的考核得分，否则不得分</w:t>
            </w:r>
          </w:p>
        </w:tc>
        <w:tc>
          <w:tcPr>
            <w:tcW w:w="5894" w:type="dxa"/>
            <w:gridSpan w:val="3"/>
            <w:tcBorders>
              <w:top w:val="nil"/>
              <w:left w:val="nil"/>
              <w:bottom w:val="nil"/>
              <w:right w:val="nil"/>
            </w:tcBorders>
            <w:vAlign w:val="center"/>
          </w:tcPr>
          <w:p>
            <w:pPr>
              <w:rPr>
                <w:rFonts w:ascii="宋体" w:cs="宋体"/>
                <w:sz w:val="24"/>
              </w:rPr>
            </w:pPr>
          </w:p>
        </w:tc>
        <w:tc>
          <w:tcPr>
            <w:tcW w:w="4000" w:type="dxa"/>
            <w:gridSpan w:val="3"/>
            <w:tcBorders>
              <w:top w:val="nil"/>
              <w:left w:val="nil"/>
              <w:bottom w:val="nil"/>
              <w:right w:val="nil"/>
            </w:tcBorders>
            <w:vAlign w:val="center"/>
          </w:tcPr>
          <w:p>
            <w:pPr>
              <w:rPr>
                <w:rFonts w:ascii="宋体" w:cs="宋体"/>
                <w:sz w:val="16"/>
                <w:szCs w:val="16"/>
              </w:rPr>
            </w:pPr>
          </w:p>
        </w:tc>
      </w:tr>
      <w:tr>
        <w:tblPrEx>
          <w:tblLayout w:type="fixed"/>
          <w:tblCellMar>
            <w:top w:w="0" w:type="dxa"/>
            <w:left w:w="108" w:type="dxa"/>
            <w:bottom w:w="0" w:type="dxa"/>
            <w:right w:w="108" w:type="dxa"/>
          </w:tblCellMar>
        </w:tblPrEx>
        <w:trPr>
          <w:gridAfter w:val="3"/>
          <w:wAfter w:w="11944" w:type="dxa"/>
          <w:trHeight w:val="675" w:hRule="atLeast"/>
        </w:trPr>
        <w:tc>
          <w:tcPr>
            <w:tcW w:w="616" w:type="dxa"/>
            <w:vMerge w:val="continue"/>
            <w:tcBorders>
              <w:top w:val="single" w:color="auto" w:sz="4" w:space="0"/>
              <w:left w:val="single" w:color="auto" w:sz="4" w:space="0"/>
              <w:bottom w:val="single" w:color="000000" w:sz="4" w:space="0"/>
              <w:right w:val="single" w:color="auto" w:sz="4" w:space="0"/>
            </w:tcBorders>
            <w:vAlign w:val="center"/>
          </w:tcPr>
          <w:p>
            <w:pPr>
              <w:rPr>
                <w:rFonts w:ascii="宋体" w:cs="宋体"/>
                <w:sz w:val="20"/>
                <w:szCs w:val="20"/>
              </w:rPr>
            </w:pPr>
          </w:p>
        </w:tc>
        <w:tc>
          <w:tcPr>
            <w:tcW w:w="675" w:type="dxa"/>
            <w:vMerge w:val="continue"/>
            <w:tcBorders>
              <w:top w:val="nil"/>
              <w:left w:val="single" w:color="auto" w:sz="4" w:space="0"/>
              <w:bottom w:val="single" w:color="auto" w:sz="4" w:space="0"/>
              <w:right w:val="single" w:color="auto" w:sz="4" w:space="0"/>
            </w:tcBorders>
            <w:vAlign w:val="center"/>
          </w:tcPr>
          <w:p>
            <w:pPr>
              <w:rPr>
                <w:rFonts w:ascii="宋体" w:cs="宋体"/>
                <w:sz w:val="20"/>
                <w:szCs w:val="20"/>
              </w:rPr>
            </w:pPr>
          </w:p>
        </w:tc>
        <w:tc>
          <w:tcPr>
            <w:tcW w:w="1701"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部门预算执行进度（</w:t>
            </w:r>
            <w:r>
              <w:rPr>
                <w:sz w:val="20"/>
                <w:szCs w:val="20"/>
              </w:rPr>
              <w:t>6</w:t>
            </w:r>
            <w:r>
              <w:rPr>
                <w:rFonts w:hint="eastAsia"/>
                <w:sz w:val="20"/>
                <w:szCs w:val="20"/>
              </w:rPr>
              <w:t>分）</w:t>
            </w:r>
          </w:p>
        </w:tc>
        <w:tc>
          <w:tcPr>
            <w:tcW w:w="2552"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部门按要求严格预算执行管理</w:t>
            </w:r>
          </w:p>
        </w:tc>
        <w:tc>
          <w:tcPr>
            <w:tcW w:w="850" w:type="dxa"/>
            <w:tcBorders>
              <w:top w:val="nil"/>
              <w:left w:val="nil"/>
              <w:bottom w:val="single" w:color="auto" w:sz="4" w:space="0"/>
              <w:right w:val="single" w:color="auto" w:sz="4" w:space="0"/>
            </w:tcBorders>
            <w:shd w:val="clear" w:color="000000" w:fill="FFFFFF"/>
            <w:vAlign w:val="center"/>
          </w:tcPr>
          <w:p>
            <w:pPr>
              <w:rPr>
                <w:rFonts w:ascii="宋体" w:cs="宋体"/>
                <w:sz w:val="20"/>
                <w:szCs w:val="20"/>
              </w:rPr>
            </w:pPr>
            <w:r>
              <w:rPr>
                <w:rFonts w:hint="eastAsia"/>
                <w:sz w:val="20"/>
                <w:szCs w:val="20"/>
              </w:rPr>
              <w:t>　</w:t>
            </w:r>
          </w:p>
        </w:tc>
        <w:tc>
          <w:tcPr>
            <w:tcW w:w="709" w:type="dxa"/>
            <w:tcBorders>
              <w:top w:val="nil"/>
              <w:left w:val="nil"/>
              <w:bottom w:val="single" w:color="auto" w:sz="4" w:space="0"/>
              <w:right w:val="single" w:color="auto" w:sz="4" w:space="0"/>
            </w:tcBorders>
            <w:shd w:val="clear" w:color="000000" w:fill="FFFFFF"/>
            <w:vAlign w:val="center"/>
          </w:tcPr>
          <w:p>
            <w:pPr>
              <w:rPr>
                <w:rFonts w:ascii="宋体" w:cs="宋体"/>
                <w:sz w:val="20"/>
                <w:szCs w:val="20"/>
              </w:rPr>
            </w:pPr>
            <w:r>
              <w:rPr>
                <w:rFonts w:hint="eastAsia"/>
                <w:sz w:val="20"/>
                <w:szCs w:val="20"/>
              </w:rPr>
              <w:t>　</w:t>
            </w:r>
          </w:p>
        </w:tc>
        <w:tc>
          <w:tcPr>
            <w:tcW w:w="1559"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部门预算实际列支数÷部门预算总额</w:t>
            </w:r>
            <w:r>
              <w:rPr>
                <w:sz w:val="20"/>
                <w:szCs w:val="20"/>
              </w:rPr>
              <w:t>*</w:t>
            </w:r>
            <w:r>
              <w:rPr>
                <w:rFonts w:hint="eastAsia"/>
                <w:sz w:val="20"/>
                <w:szCs w:val="20"/>
              </w:rPr>
              <w:t>指标分值</w:t>
            </w:r>
          </w:p>
        </w:tc>
        <w:tc>
          <w:tcPr>
            <w:tcW w:w="5894" w:type="dxa"/>
            <w:gridSpan w:val="3"/>
            <w:tcBorders>
              <w:top w:val="nil"/>
              <w:left w:val="nil"/>
              <w:bottom w:val="nil"/>
              <w:right w:val="nil"/>
            </w:tcBorders>
            <w:vAlign w:val="center"/>
          </w:tcPr>
          <w:p>
            <w:pPr>
              <w:rPr>
                <w:rFonts w:ascii="宋体" w:cs="宋体"/>
                <w:sz w:val="24"/>
              </w:rPr>
            </w:pPr>
          </w:p>
        </w:tc>
        <w:tc>
          <w:tcPr>
            <w:tcW w:w="4000" w:type="dxa"/>
            <w:gridSpan w:val="3"/>
            <w:tcBorders>
              <w:top w:val="nil"/>
              <w:left w:val="nil"/>
              <w:bottom w:val="nil"/>
              <w:right w:val="nil"/>
            </w:tcBorders>
            <w:vAlign w:val="center"/>
          </w:tcPr>
          <w:p>
            <w:pPr>
              <w:rPr>
                <w:rFonts w:ascii="宋体" w:cs="宋体"/>
                <w:sz w:val="16"/>
                <w:szCs w:val="16"/>
              </w:rPr>
            </w:pPr>
          </w:p>
        </w:tc>
      </w:tr>
      <w:tr>
        <w:tblPrEx>
          <w:tblLayout w:type="fixed"/>
          <w:tblCellMar>
            <w:top w:w="0" w:type="dxa"/>
            <w:left w:w="108" w:type="dxa"/>
            <w:bottom w:w="0" w:type="dxa"/>
            <w:right w:w="108" w:type="dxa"/>
          </w:tblCellMar>
        </w:tblPrEx>
        <w:trPr>
          <w:gridAfter w:val="3"/>
          <w:wAfter w:w="11944" w:type="dxa"/>
          <w:trHeight w:val="960" w:hRule="atLeast"/>
        </w:trPr>
        <w:tc>
          <w:tcPr>
            <w:tcW w:w="616" w:type="dxa"/>
            <w:vMerge w:val="continue"/>
            <w:tcBorders>
              <w:top w:val="single" w:color="auto" w:sz="4" w:space="0"/>
              <w:left w:val="single" w:color="auto" w:sz="4" w:space="0"/>
              <w:bottom w:val="single" w:color="000000" w:sz="4" w:space="0"/>
              <w:right w:val="single" w:color="auto" w:sz="4" w:space="0"/>
            </w:tcBorders>
            <w:vAlign w:val="center"/>
          </w:tcPr>
          <w:p>
            <w:pPr>
              <w:rPr>
                <w:rFonts w:ascii="宋体" w:cs="宋体"/>
                <w:sz w:val="20"/>
                <w:szCs w:val="20"/>
              </w:rPr>
            </w:pPr>
          </w:p>
        </w:tc>
        <w:tc>
          <w:tcPr>
            <w:tcW w:w="675" w:type="dxa"/>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预算调整（</w:t>
            </w:r>
            <w:r>
              <w:rPr>
                <w:sz w:val="20"/>
                <w:szCs w:val="20"/>
              </w:rPr>
              <w:t>4</w:t>
            </w:r>
            <w:r>
              <w:rPr>
                <w:rFonts w:hint="eastAsia"/>
                <w:sz w:val="20"/>
                <w:szCs w:val="20"/>
              </w:rPr>
              <w:t>分）</w:t>
            </w:r>
          </w:p>
        </w:tc>
        <w:tc>
          <w:tcPr>
            <w:tcW w:w="1701"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执行中期评估（</w:t>
            </w:r>
            <w:r>
              <w:rPr>
                <w:sz w:val="20"/>
                <w:szCs w:val="20"/>
              </w:rPr>
              <w:t>4</w:t>
            </w:r>
            <w:r>
              <w:rPr>
                <w:rFonts w:hint="eastAsia"/>
                <w:sz w:val="20"/>
                <w:szCs w:val="20"/>
              </w:rPr>
              <w:t>分）</w:t>
            </w:r>
          </w:p>
        </w:tc>
        <w:tc>
          <w:tcPr>
            <w:tcW w:w="2552"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部门中期评估调整取消资金÷</w:t>
            </w:r>
            <w:r>
              <w:rPr>
                <w:sz w:val="20"/>
                <w:szCs w:val="20"/>
              </w:rPr>
              <w:t>(</w:t>
            </w:r>
            <w:r>
              <w:rPr>
                <w:rFonts w:hint="eastAsia"/>
                <w:sz w:val="20"/>
                <w:szCs w:val="20"/>
              </w:rPr>
              <w:t>中期评估调整取消资金</w:t>
            </w:r>
            <w:r>
              <w:rPr>
                <w:sz w:val="20"/>
                <w:szCs w:val="20"/>
              </w:rPr>
              <w:t>+</w:t>
            </w:r>
            <w:r>
              <w:rPr>
                <w:rFonts w:hint="eastAsia"/>
                <w:sz w:val="20"/>
                <w:szCs w:val="20"/>
              </w:rPr>
              <w:t>预算结余注销资金）</w:t>
            </w:r>
            <w:r>
              <w:rPr>
                <w:sz w:val="20"/>
                <w:szCs w:val="20"/>
              </w:rPr>
              <w:t>*</w:t>
            </w:r>
            <w:r>
              <w:rPr>
                <w:rFonts w:hint="eastAsia"/>
                <w:sz w:val="20"/>
                <w:szCs w:val="20"/>
              </w:rPr>
              <w:t>指标分值</w:t>
            </w:r>
          </w:p>
        </w:tc>
        <w:tc>
          <w:tcPr>
            <w:tcW w:w="850" w:type="dxa"/>
            <w:tcBorders>
              <w:top w:val="nil"/>
              <w:left w:val="nil"/>
              <w:bottom w:val="single" w:color="auto" w:sz="4" w:space="0"/>
              <w:right w:val="single" w:color="auto" w:sz="4" w:space="0"/>
            </w:tcBorders>
            <w:shd w:val="clear" w:color="000000" w:fill="FFFFFF"/>
            <w:vAlign w:val="center"/>
          </w:tcPr>
          <w:p>
            <w:pPr>
              <w:rPr>
                <w:rFonts w:ascii="宋体" w:cs="宋体"/>
                <w:sz w:val="20"/>
                <w:szCs w:val="20"/>
              </w:rPr>
            </w:pPr>
            <w:r>
              <w:rPr>
                <w:rFonts w:hint="eastAsia"/>
                <w:sz w:val="20"/>
                <w:szCs w:val="20"/>
              </w:rPr>
              <w:t>　</w:t>
            </w:r>
          </w:p>
        </w:tc>
        <w:tc>
          <w:tcPr>
            <w:tcW w:w="709" w:type="dxa"/>
            <w:tcBorders>
              <w:top w:val="nil"/>
              <w:left w:val="nil"/>
              <w:bottom w:val="single" w:color="auto" w:sz="4" w:space="0"/>
              <w:right w:val="single" w:color="auto" w:sz="4" w:space="0"/>
            </w:tcBorders>
            <w:shd w:val="clear" w:color="000000" w:fill="FFFFFF"/>
            <w:vAlign w:val="center"/>
          </w:tcPr>
          <w:p>
            <w:pPr>
              <w:rPr>
                <w:rFonts w:ascii="宋体" w:cs="宋体"/>
                <w:sz w:val="20"/>
                <w:szCs w:val="20"/>
              </w:rPr>
            </w:pPr>
            <w:r>
              <w:rPr>
                <w:rFonts w:hint="eastAsia"/>
                <w:sz w:val="20"/>
                <w:szCs w:val="20"/>
              </w:rPr>
              <w:t>　</w:t>
            </w:r>
          </w:p>
        </w:tc>
        <w:tc>
          <w:tcPr>
            <w:tcW w:w="1559"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当中期评估调整取消资金与结余注销资金之和为零时，得满分</w:t>
            </w:r>
          </w:p>
        </w:tc>
        <w:tc>
          <w:tcPr>
            <w:tcW w:w="5894" w:type="dxa"/>
            <w:gridSpan w:val="3"/>
            <w:tcBorders>
              <w:top w:val="nil"/>
              <w:left w:val="nil"/>
              <w:bottom w:val="nil"/>
              <w:right w:val="nil"/>
            </w:tcBorders>
            <w:vAlign w:val="center"/>
          </w:tcPr>
          <w:p>
            <w:pPr>
              <w:rPr>
                <w:rFonts w:ascii="宋体" w:cs="宋体"/>
                <w:sz w:val="24"/>
              </w:rPr>
            </w:pPr>
          </w:p>
        </w:tc>
        <w:tc>
          <w:tcPr>
            <w:tcW w:w="4000" w:type="dxa"/>
            <w:gridSpan w:val="3"/>
            <w:tcBorders>
              <w:top w:val="nil"/>
              <w:left w:val="nil"/>
              <w:bottom w:val="nil"/>
              <w:right w:val="nil"/>
            </w:tcBorders>
            <w:vAlign w:val="center"/>
          </w:tcPr>
          <w:p>
            <w:pPr>
              <w:rPr>
                <w:rFonts w:ascii="宋体" w:cs="宋体"/>
                <w:sz w:val="16"/>
                <w:szCs w:val="16"/>
              </w:rPr>
            </w:pPr>
          </w:p>
        </w:tc>
      </w:tr>
      <w:tr>
        <w:tblPrEx>
          <w:tblLayout w:type="fixed"/>
          <w:tblCellMar>
            <w:top w:w="0" w:type="dxa"/>
            <w:left w:w="108" w:type="dxa"/>
            <w:bottom w:w="0" w:type="dxa"/>
            <w:right w:w="108" w:type="dxa"/>
          </w:tblCellMar>
        </w:tblPrEx>
        <w:trPr>
          <w:gridAfter w:val="3"/>
          <w:wAfter w:w="11944" w:type="dxa"/>
          <w:trHeight w:val="720" w:hRule="atLeast"/>
        </w:trPr>
        <w:tc>
          <w:tcPr>
            <w:tcW w:w="616" w:type="dxa"/>
            <w:vMerge w:val="continue"/>
            <w:tcBorders>
              <w:top w:val="single" w:color="auto" w:sz="4" w:space="0"/>
              <w:left w:val="single" w:color="auto" w:sz="4" w:space="0"/>
              <w:bottom w:val="single" w:color="000000" w:sz="4" w:space="0"/>
              <w:right w:val="single" w:color="auto" w:sz="4" w:space="0"/>
            </w:tcBorders>
            <w:vAlign w:val="center"/>
          </w:tcPr>
          <w:p>
            <w:pPr>
              <w:rPr>
                <w:rFonts w:ascii="宋体" w:cs="宋体"/>
                <w:sz w:val="20"/>
                <w:szCs w:val="20"/>
              </w:rPr>
            </w:pPr>
          </w:p>
        </w:tc>
        <w:tc>
          <w:tcPr>
            <w:tcW w:w="675" w:type="dxa"/>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行政成本（</w:t>
            </w:r>
            <w:r>
              <w:rPr>
                <w:sz w:val="20"/>
                <w:szCs w:val="20"/>
              </w:rPr>
              <w:t>6</w:t>
            </w:r>
            <w:r>
              <w:rPr>
                <w:rFonts w:hint="eastAsia"/>
                <w:sz w:val="20"/>
                <w:szCs w:val="20"/>
              </w:rPr>
              <w:t>分）</w:t>
            </w:r>
          </w:p>
        </w:tc>
        <w:tc>
          <w:tcPr>
            <w:tcW w:w="1701"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三公经费（</w:t>
            </w:r>
            <w:r>
              <w:rPr>
                <w:sz w:val="20"/>
                <w:szCs w:val="20"/>
              </w:rPr>
              <w:t>6</w:t>
            </w:r>
            <w:r>
              <w:rPr>
                <w:rFonts w:hint="eastAsia"/>
                <w:sz w:val="20"/>
                <w:szCs w:val="20"/>
              </w:rPr>
              <w:t>分）</w:t>
            </w:r>
          </w:p>
        </w:tc>
        <w:tc>
          <w:tcPr>
            <w:tcW w:w="2552"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严格执行“三公经费”预算</w:t>
            </w:r>
          </w:p>
        </w:tc>
        <w:tc>
          <w:tcPr>
            <w:tcW w:w="850" w:type="dxa"/>
            <w:tcBorders>
              <w:top w:val="nil"/>
              <w:left w:val="nil"/>
              <w:bottom w:val="single" w:color="auto" w:sz="4" w:space="0"/>
              <w:right w:val="single" w:color="auto" w:sz="4" w:space="0"/>
            </w:tcBorders>
            <w:shd w:val="clear" w:color="000000" w:fill="FFFFFF"/>
            <w:vAlign w:val="center"/>
          </w:tcPr>
          <w:p>
            <w:pPr>
              <w:rPr>
                <w:rFonts w:ascii="宋体" w:cs="宋体"/>
                <w:sz w:val="20"/>
                <w:szCs w:val="20"/>
              </w:rPr>
            </w:pPr>
            <w:r>
              <w:rPr>
                <w:rFonts w:hint="eastAsia"/>
                <w:sz w:val="20"/>
                <w:szCs w:val="20"/>
              </w:rPr>
              <w:t>　</w:t>
            </w:r>
          </w:p>
        </w:tc>
        <w:tc>
          <w:tcPr>
            <w:tcW w:w="709" w:type="dxa"/>
            <w:tcBorders>
              <w:top w:val="nil"/>
              <w:left w:val="nil"/>
              <w:bottom w:val="single" w:color="auto" w:sz="4" w:space="0"/>
              <w:right w:val="single" w:color="auto" w:sz="4" w:space="0"/>
            </w:tcBorders>
            <w:shd w:val="clear" w:color="000000" w:fill="FFFFFF"/>
            <w:vAlign w:val="center"/>
          </w:tcPr>
          <w:p>
            <w:pPr>
              <w:rPr>
                <w:rFonts w:ascii="宋体" w:cs="宋体"/>
                <w:sz w:val="20"/>
                <w:szCs w:val="20"/>
              </w:rPr>
            </w:pPr>
            <w:r>
              <w:rPr>
                <w:rFonts w:hint="eastAsia"/>
                <w:sz w:val="20"/>
                <w:szCs w:val="20"/>
              </w:rPr>
              <w:t>　</w:t>
            </w:r>
          </w:p>
        </w:tc>
        <w:tc>
          <w:tcPr>
            <w:tcW w:w="1559"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部门“三公”经费决算数一项超预算扣</w:t>
            </w:r>
            <w:r>
              <w:rPr>
                <w:sz w:val="20"/>
                <w:szCs w:val="20"/>
              </w:rPr>
              <w:t>1</w:t>
            </w:r>
            <w:r>
              <w:rPr>
                <w:rFonts w:hint="eastAsia"/>
                <w:sz w:val="20"/>
                <w:szCs w:val="20"/>
              </w:rPr>
              <w:t>分，两项超预算扣</w:t>
            </w:r>
            <w:r>
              <w:rPr>
                <w:sz w:val="20"/>
                <w:szCs w:val="20"/>
              </w:rPr>
              <w:t>2</w:t>
            </w:r>
            <w:r>
              <w:rPr>
                <w:rFonts w:hint="eastAsia"/>
                <w:sz w:val="20"/>
                <w:szCs w:val="20"/>
              </w:rPr>
              <w:t>分，以此类推，直至扣完</w:t>
            </w:r>
          </w:p>
        </w:tc>
        <w:tc>
          <w:tcPr>
            <w:tcW w:w="5894" w:type="dxa"/>
            <w:gridSpan w:val="3"/>
            <w:tcBorders>
              <w:top w:val="nil"/>
              <w:left w:val="nil"/>
              <w:bottom w:val="nil"/>
              <w:right w:val="nil"/>
            </w:tcBorders>
            <w:vAlign w:val="center"/>
          </w:tcPr>
          <w:p>
            <w:pPr>
              <w:rPr>
                <w:rFonts w:ascii="宋体" w:cs="宋体"/>
                <w:sz w:val="24"/>
              </w:rPr>
            </w:pPr>
          </w:p>
        </w:tc>
        <w:tc>
          <w:tcPr>
            <w:tcW w:w="4000" w:type="dxa"/>
            <w:gridSpan w:val="3"/>
            <w:tcBorders>
              <w:top w:val="nil"/>
              <w:left w:val="nil"/>
              <w:bottom w:val="nil"/>
              <w:right w:val="nil"/>
            </w:tcBorders>
            <w:vAlign w:val="center"/>
          </w:tcPr>
          <w:p>
            <w:pPr>
              <w:rPr>
                <w:rFonts w:ascii="宋体" w:cs="宋体"/>
                <w:sz w:val="16"/>
                <w:szCs w:val="16"/>
              </w:rPr>
            </w:pPr>
          </w:p>
        </w:tc>
      </w:tr>
      <w:tr>
        <w:tblPrEx>
          <w:tblLayout w:type="fixed"/>
          <w:tblCellMar>
            <w:top w:w="0" w:type="dxa"/>
            <w:left w:w="108" w:type="dxa"/>
            <w:bottom w:w="0" w:type="dxa"/>
            <w:right w:w="108" w:type="dxa"/>
          </w:tblCellMar>
        </w:tblPrEx>
        <w:trPr>
          <w:gridAfter w:val="3"/>
          <w:wAfter w:w="11944" w:type="dxa"/>
          <w:trHeight w:val="630" w:hRule="atLeast"/>
        </w:trPr>
        <w:tc>
          <w:tcPr>
            <w:tcW w:w="616" w:type="dxa"/>
            <w:vMerge w:val="restart"/>
            <w:tcBorders>
              <w:top w:val="nil"/>
              <w:left w:val="single" w:color="auto" w:sz="4" w:space="0"/>
              <w:bottom w:val="single" w:color="000000" w:sz="4" w:space="0"/>
              <w:right w:val="single" w:color="auto" w:sz="4" w:space="0"/>
            </w:tcBorders>
            <w:vAlign w:val="center"/>
          </w:tcPr>
          <w:p>
            <w:pPr>
              <w:jc w:val="center"/>
              <w:rPr>
                <w:rFonts w:ascii="宋体" w:cs="宋体"/>
                <w:sz w:val="20"/>
                <w:szCs w:val="20"/>
              </w:rPr>
            </w:pPr>
            <w:r>
              <w:rPr>
                <w:rFonts w:hint="eastAsia"/>
                <w:sz w:val="20"/>
                <w:szCs w:val="20"/>
              </w:rPr>
              <w:t>综合管理（</w:t>
            </w:r>
            <w:r>
              <w:rPr>
                <w:sz w:val="20"/>
                <w:szCs w:val="20"/>
              </w:rPr>
              <w:t>40</w:t>
            </w:r>
            <w:r>
              <w:rPr>
                <w:rFonts w:hint="eastAsia"/>
                <w:sz w:val="20"/>
                <w:szCs w:val="20"/>
              </w:rPr>
              <w:t>分）</w:t>
            </w:r>
          </w:p>
        </w:tc>
        <w:tc>
          <w:tcPr>
            <w:tcW w:w="675" w:type="dxa"/>
            <w:vMerge w:val="restart"/>
            <w:tcBorders>
              <w:top w:val="nil"/>
              <w:left w:val="single" w:color="auto" w:sz="4" w:space="0"/>
              <w:bottom w:val="single" w:color="auto" w:sz="4" w:space="0"/>
              <w:right w:val="single" w:color="auto" w:sz="4" w:space="0"/>
            </w:tcBorders>
            <w:vAlign w:val="center"/>
          </w:tcPr>
          <w:p>
            <w:pPr>
              <w:rPr>
                <w:rFonts w:ascii="宋体" w:cs="宋体"/>
                <w:sz w:val="20"/>
                <w:szCs w:val="20"/>
              </w:rPr>
            </w:pPr>
            <w:r>
              <w:rPr>
                <w:rFonts w:hint="eastAsia"/>
                <w:sz w:val="20"/>
                <w:szCs w:val="20"/>
              </w:rPr>
              <w:t>政府采购实施计划（</w:t>
            </w:r>
            <w:r>
              <w:rPr>
                <w:sz w:val="20"/>
                <w:szCs w:val="20"/>
              </w:rPr>
              <w:t>4</w:t>
            </w:r>
            <w:r>
              <w:rPr>
                <w:rFonts w:hint="eastAsia"/>
                <w:sz w:val="20"/>
                <w:szCs w:val="20"/>
              </w:rPr>
              <w:t>分）</w:t>
            </w:r>
          </w:p>
        </w:tc>
        <w:tc>
          <w:tcPr>
            <w:tcW w:w="1701"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政府采购实施计划编制（</w:t>
            </w:r>
            <w:r>
              <w:rPr>
                <w:sz w:val="20"/>
                <w:szCs w:val="20"/>
              </w:rPr>
              <w:t>2</w:t>
            </w:r>
            <w:r>
              <w:rPr>
                <w:rFonts w:hint="eastAsia"/>
                <w:sz w:val="20"/>
                <w:szCs w:val="20"/>
              </w:rPr>
              <w:t>）</w:t>
            </w:r>
          </w:p>
        </w:tc>
        <w:tc>
          <w:tcPr>
            <w:tcW w:w="2552"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实施计划与政府采购预算的一致性</w:t>
            </w:r>
          </w:p>
        </w:tc>
        <w:tc>
          <w:tcPr>
            <w:tcW w:w="850" w:type="dxa"/>
            <w:tcBorders>
              <w:top w:val="nil"/>
              <w:left w:val="nil"/>
              <w:bottom w:val="single" w:color="auto" w:sz="4" w:space="0"/>
              <w:right w:val="single" w:color="auto" w:sz="4" w:space="0"/>
            </w:tcBorders>
            <w:shd w:val="clear" w:color="000000" w:fill="FFFFFF"/>
            <w:vAlign w:val="center"/>
          </w:tcPr>
          <w:p>
            <w:pPr>
              <w:rPr>
                <w:rFonts w:ascii="宋体" w:cs="宋体"/>
                <w:sz w:val="20"/>
                <w:szCs w:val="20"/>
              </w:rPr>
            </w:pPr>
            <w:r>
              <w:rPr>
                <w:rFonts w:hint="eastAsia"/>
                <w:sz w:val="20"/>
                <w:szCs w:val="20"/>
              </w:rPr>
              <w:t>　</w:t>
            </w:r>
          </w:p>
        </w:tc>
        <w:tc>
          <w:tcPr>
            <w:tcW w:w="709" w:type="dxa"/>
            <w:tcBorders>
              <w:top w:val="nil"/>
              <w:left w:val="nil"/>
              <w:bottom w:val="single" w:color="auto" w:sz="4" w:space="0"/>
              <w:right w:val="single" w:color="auto" w:sz="4" w:space="0"/>
            </w:tcBorders>
            <w:shd w:val="clear" w:color="000000" w:fill="FFFFFF"/>
            <w:vAlign w:val="center"/>
          </w:tcPr>
          <w:p>
            <w:pPr>
              <w:rPr>
                <w:rFonts w:ascii="宋体" w:cs="宋体"/>
                <w:sz w:val="20"/>
                <w:szCs w:val="20"/>
              </w:rPr>
            </w:pPr>
            <w:r>
              <w:rPr>
                <w:rFonts w:hint="eastAsia"/>
                <w:sz w:val="20"/>
                <w:szCs w:val="20"/>
              </w:rPr>
              <w:t>　</w:t>
            </w:r>
          </w:p>
        </w:tc>
        <w:tc>
          <w:tcPr>
            <w:tcW w:w="1559"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w:t>
            </w:r>
            <w:r>
              <w:rPr>
                <w:sz w:val="20"/>
                <w:szCs w:val="20"/>
              </w:rPr>
              <w:t>1-</w:t>
            </w:r>
            <w:r>
              <w:rPr>
                <w:rFonts w:hint="eastAsia"/>
                <w:sz w:val="20"/>
                <w:szCs w:val="20"/>
              </w:rPr>
              <w:t>调整或细化资金</w:t>
            </w:r>
            <w:r>
              <w:rPr>
                <w:sz w:val="20"/>
                <w:szCs w:val="20"/>
              </w:rPr>
              <w:t>/</w:t>
            </w:r>
            <w:r>
              <w:rPr>
                <w:rFonts w:hint="eastAsia"/>
                <w:sz w:val="20"/>
                <w:szCs w:val="20"/>
              </w:rPr>
              <w:t>政府采购预算资金）</w:t>
            </w:r>
            <w:r>
              <w:rPr>
                <w:sz w:val="20"/>
                <w:szCs w:val="20"/>
              </w:rPr>
              <w:t>*</w:t>
            </w:r>
            <w:r>
              <w:rPr>
                <w:rFonts w:hint="eastAsia"/>
                <w:sz w:val="20"/>
                <w:szCs w:val="20"/>
              </w:rPr>
              <w:t>分值</w:t>
            </w:r>
          </w:p>
        </w:tc>
        <w:tc>
          <w:tcPr>
            <w:tcW w:w="5894" w:type="dxa"/>
            <w:gridSpan w:val="3"/>
            <w:tcBorders>
              <w:top w:val="nil"/>
              <w:left w:val="nil"/>
              <w:bottom w:val="nil"/>
              <w:right w:val="nil"/>
            </w:tcBorders>
            <w:vAlign w:val="center"/>
          </w:tcPr>
          <w:p>
            <w:pPr>
              <w:rPr>
                <w:rFonts w:ascii="宋体" w:cs="宋体"/>
                <w:sz w:val="24"/>
              </w:rPr>
            </w:pPr>
          </w:p>
        </w:tc>
        <w:tc>
          <w:tcPr>
            <w:tcW w:w="4000" w:type="dxa"/>
            <w:gridSpan w:val="3"/>
            <w:tcBorders>
              <w:top w:val="nil"/>
              <w:left w:val="nil"/>
              <w:bottom w:val="nil"/>
              <w:right w:val="nil"/>
            </w:tcBorders>
            <w:vAlign w:val="center"/>
          </w:tcPr>
          <w:p>
            <w:pPr>
              <w:rPr>
                <w:rFonts w:ascii="宋体" w:cs="宋体"/>
                <w:sz w:val="16"/>
                <w:szCs w:val="16"/>
              </w:rPr>
            </w:pPr>
          </w:p>
        </w:tc>
      </w:tr>
      <w:tr>
        <w:tblPrEx>
          <w:tblLayout w:type="fixed"/>
          <w:tblCellMar>
            <w:top w:w="0" w:type="dxa"/>
            <w:left w:w="108" w:type="dxa"/>
            <w:bottom w:w="0" w:type="dxa"/>
            <w:right w:w="108" w:type="dxa"/>
          </w:tblCellMar>
        </w:tblPrEx>
        <w:trPr>
          <w:gridAfter w:val="3"/>
          <w:wAfter w:w="11944" w:type="dxa"/>
          <w:trHeight w:val="765" w:hRule="atLeast"/>
        </w:trPr>
        <w:tc>
          <w:tcPr>
            <w:tcW w:w="616" w:type="dxa"/>
            <w:vMerge w:val="continue"/>
            <w:tcBorders>
              <w:top w:val="nil"/>
              <w:left w:val="single" w:color="auto" w:sz="4" w:space="0"/>
              <w:bottom w:val="single" w:color="000000" w:sz="4" w:space="0"/>
              <w:right w:val="single" w:color="auto" w:sz="4" w:space="0"/>
            </w:tcBorders>
            <w:vAlign w:val="center"/>
          </w:tcPr>
          <w:p>
            <w:pPr>
              <w:rPr>
                <w:rFonts w:ascii="宋体" w:cs="宋体"/>
                <w:sz w:val="20"/>
                <w:szCs w:val="20"/>
              </w:rPr>
            </w:pPr>
          </w:p>
        </w:tc>
        <w:tc>
          <w:tcPr>
            <w:tcW w:w="675" w:type="dxa"/>
            <w:vMerge w:val="continue"/>
            <w:tcBorders>
              <w:top w:val="nil"/>
              <w:left w:val="single" w:color="auto" w:sz="4" w:space="0"/>
              <w:bottom w:val="single" w:color="auto" w:sz="4" w:space="0"/>
              <w:right w:val="single" w:color="auto" w:sz="4" w:space="0"/>
            </w:tcBorders>
            <w:vAlign w:val="center"/>
          </w:tcPr>
          <w:p>
            <w:pPr>
              <w:rPr>
                <w:rFonts w:ascii="宋体" w:cs="宋体"/>
                <w:sz w:val="20"/>
                <w:szCs w:val="20"/>
              </w:rPr>
            </w:pPr>
          </w:p>
        </w:tc>
        <w:tc>
          <w:tcPr>
            <w:tcW w:w="1701"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政府采购实施计划的执行（</w:t>
            </w:r>
            <w:r>
              <w:rPr>
                <w:sz w:val="20"/>
                <w:szCs w:val="20"/>
              </w:rPr>
              <w:t>2</w:t>
            </w:r>
            <w:r>
              <w:rPr>
                <w:rFonts w:hint="eastAsia"/>
                <w:sz w:val="20"/>
                <w:szCs w:val="20"/>
              </w:rPr>
              <w:t>）</w:t>
            </w:r>
          </w:p>
        </w:tc>
        <w:tc>
          <w:tcPr>
            <w:tcW w:w="2552"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执行的实施计划与备案的实施计划的一致性</w:t>
            </w:r>
          </w:p>
        </w:tc>
        <w:tc>
          <w:tcPr>
            <w:tcW w:w="850" w:type="dxa"/>
            <w:tcBorders>
              <w:top w:val="nil"/>
              <w:left w:val="nil"/>
              <w:bottom w:val="single" w:color="auto" w:sz="4" w:space="0"/>
              <w:right w:val="single" w:color="auto" w:sz="4" w:space="0"/>
            </w:tcBorders>
            <w:shd w:val="clear" w:color="000000" w:fill="FFFFFF"/>
            <w:vAlign w:val="center"/>
          </w:tcPr>
          <w:p>
            <w:pPr>
              <w:rPr>
                <w:rFonts w:ascii="宋体" w:cs="宋体"/>
                <w:sz w:val="20"/>
                <w:szCs w:val="20"/>
              </w:rPr>
            </w:pPr>
            <w:r>
              <w:rPr>
                <w:rFonts w:hint="eastAsia"/>
                <w:sz w:val="20"/>
                <w:szCs w:val="20"/>
              </w:rPr>
              <w:t>　</w:t>
            </w:r>
          </w:p>
        </w:tc>
        <w:tc>
          <w:tcPr>
            <w:tcW w:w="709" w:type="dxa"/>
            <w:tcBorders>
              <w:top w:val="nil"/>
              <w:left w:val="nil"/>
              <w:bottom w:val="single" w:color="auto" w:sz="4" w:space="0"/>
              <w:right w:val="single" w:color="auto" w:sz="4" w:space="0"/>
            </w:tcBorders>
            <w:shd w:val="clear" w:color="000000" w:fill="FFFFFF"/>
            <w:vAlign w:val="center"/>
          </w:tcPr>
          <w:p>
            <w:pPr>
              <w:rPr>
                <w:rFonts w:ascii="宋体" w:cs="宋体"/>
                <w:sz w:val="20"/>
                <w:szCs w:val="20"/>
              </w:rPr>
            </w:pPr>
            <w:r>
              <w:rPr>
                <w:rFonts w:hint="eastAsia"/>
                <w:sz w:val="20"/>
                <w:szCs w:val="20"/>
              </w:rPr>
              <w:t>　</w:t>
            </w:r>
          </w:p>
        </w:tc>
        <w:tc>
          <w:tcPr>
            <w:tcW w:w="1559"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w:t>
            </w:r>
            <w:r>
              <w:rPr>
                <w:sz w:val="20"/>
                <w:szCs w:val="20"/>
              </w:rPr>
              <w:t>1-</w:t>
            </w:r>
            <w:r>
              <w:rPr>
                <w:rFonts w:hint="eastAsia"/>
                <w:sz w:val="20"/>
                <w:szCs w:val="20"/>
              </w:rPr>
              <w:t>实施计划备案后的调整或细化资金</w:t>
            </w:r>
            <w:r>
              <w:rPr>
                <w:sz w:val="20"/>
                <w:szCs w:val="20"/>
              </w:rPr>
              <w:t>/</w:t>
            </w:r>
            <w:r>
              <w:rPr>
                <w:rFonts w:hint="eastAsia"/>
                <w:sz w:val="20"/>
                <w:szCs w:val="20"/>
              </w:rPr>
              <w:t>实施计划备案后的资金）</w:t>
            </w:r>
            <w:r>
              <w:rPr>
                <w:sz w:val="20"/>
                <w:szCs w:val="20"/>
              </w:rPr>
              <w:t>*</w:t>
            </w:r>
            <w:r>
              <w:rPr>
                <w:rFonts w:hint="eastAsia"/>
                <w:sz w:val="20"/>
                <w:szCs w:val="20"/>
              </w:rPr>
              <w:t>分值</w:t>
            </w:r>
          </w:p>
        </w:tc>
        <w:tc>
          <w:tcPr>
            <w:tcW w:w="5894" w:type="dxa"/>
            <w:gridSpan w:val="3"/>
            <w:tcBorders>
              <w:top w:val="nil"/>
              <w:left w:val="nil"/>
              <w:bottom w:val="nil"/>
              <w:right w:val="nil"/>
            </w:tcBorders>
            <w:vAlign w:val="center"/>
          </w:tcPr>
          <w:p>
            <w:pPr>
              <w:rPr>
                <w:rFonts w:ascii="宋体" w:cs="宋体"/>
                <w:sz w:val="24"/>
              </w:rPr>
            </w:pPr>
          </w:p>
        </w:tc>
        <w:tc>
          <w:tcPr>
            <w:tcW w:w="4000" w:type="dxa"/>
            <w:gridSpan w:val="3"/>
            <w:tcBorders>
              <w:top w:val="nil"/>
              <w:left w:val="nil"/>
              <w:bottom w:val="nil"/>
              <w:right w:val="nil"/>
            </w:tcBorders>
            <w:vAlign w:val="center"/>
          </w:tcPr>
          <w:p>
            <w:pPr>
              <w:rPr>
                <w:rFonts w:ascii="宋体" w:cs="宋体"/>
                <w:sz w:val="16"/>
                <w:szCs w:val="16"/>
              </w:rPr>
            </w:pPr>
          </w:p>
        </w:tc>
      </w:tr>
      <w:tr>
        <w:tblPrEx>
          <w:tblLayout w:type="fixed"/>
          <w:tblCellMar>
            <w:top w:w="0" w:type="dxa"/>
            <w:left w:w="108" w:type="dxa"/>
            <w:bottom w:w="0" w:type="dxa"/>
            <w:right w:w="108" w:type="dxa"/>
          </w:tblCellMar>
        </w:tblPrEx>
        <w:trPr>
          <w:gridAfter w:val="3"/>
          <w:wAfter w:w="11944" w:type="dxa"/>
          <w:trHeight w:val="1200" w:hRule="atLeast"/>
        </w:trPr>
        <w:tc>
          <w:tcPr>
            <w:tcW w:w="616" w:type="dxa"/>
            <w:vMerge w:val="continue"/>
            <w:tcBorders>
              <w:top w:val="nil"/>
              <w:left w:val="single" w:color="auto" w:sz="4" w:space="0"/>
              <w:bottom w:val="single" w:color="000000" w:sz="4" w:space="0"/>
              <w:right w:val="single" w:color="auto" w:sz="4" w:space="0"/>
            </w:tcBorders>
            <w:vAlign w:val="center"/>
          </w:tcPr>
          <w:p>
            <w:pPr>
              <w:rPr>
                <w:rFonts w:ascii="宋体" w:cs="宋体"/>
                <w:sz w:val="20"/>
                <w:szCs w:val="20"/>
              </w:rPr>
            </w:pPr>
          </w:p>
        </w:tc>
        <w:tc>
          <w:tcPr>
            <w:tcW w:w="675" w:type="dxa"/>
            <w:vMerge w:val="restart"/>
            <w:tcBorders>
              <w:top w:val="nil"/>
              <w:left w:val="single" w:color="auto" w:sz="4" w:space="0"/>
              <w:bottom w:val="single" w:color="000000" w:sz="4" w:space="0"/>
              <w:right w:val="single" w:color="auto" w:sz="4" w:space="0"/>
            </w:tcBorders>
            <w:vAlign w:val="center"/>
          </w:tcPr>
          <w:p>
            <w:pPr>
              <w:rPr>
                <w:rFonts w:ascii="宋体" w:cs="宋体"/>
                <w:sz w:val="20"/>
                <w:szCs w:val="20"/>
              </w:rPr>
            </w:pPr>
            <w:r>
              <w:rPr>
                <w:rFonts w:hint="eastAsia"/>
                <w:sz w:val="20"/>
                <w:szCs w:val="20"/>
              </w:rPr>
              <w:t>资产管理（</w:t>
            </w:r>
            <w:r>
              <w:rPr>
                <w:sz w:val="20"/>
                <w:szCs w:val="20"/>
              </w:rPr>
              <w:t>6</w:t>
            </w:r>
            <w:r>
              <w:rPr>
                <w:rFonts w:hint="eastAsia"/>
                <w:sz w:val="20"/>
                <w:szCs w:val="20"/>
              </w:rPr>
              <w:t>分）</w:t>
            </w:r>
          </w:p>
        </w:tc>
        <w:tc>
          <w:tcPr>
            <w:tcW w:w="1701"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资产管理信息系统建设情况（</w:t>
            </w:r>
            <w:r>
              <w:rPr>
                <w:sz w:val="20"/>
                <w:szCs w:val="20"/>
              </w:rPr>
              <w:t>2</w:t>
            </w:r>
            <w:r>
              <w:rPr>
                <w:rFonts w:hint="eastAsia"/>
                <w:sz w:val="20"/>
                <w:szCs w:val="20"/>
              </w:rPr>
              <w:t>分）</w:t>
            </w:r>
          </w:p>
        </w:tc>
        <w:tc>
          <w:tcPr>
            <w:tcW w:w="2552"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考核部门和单位将国有资产纳入资产信息系统管理情况</w:t>
            </w:r>
          </w:p>
        </w:tc>
        <w:tc>
          <w:tcPr>
            <w:tcW w:w="850" w:type="dxa"/>
            <w:tcBorders>
              <w:top w:val="nil"/>
              <w:left w:val="nil"/>
              <w:bottom w:val="single" w:color="auto" w:sz="4" w:space="0"/>
              <w:right w:val="single" w:color="auto" w:sz="4" w:space="0"/>
            </w:tcBorders>
            <w:shd w:val="clear" w:color="000000" w:fill="FFFFFF"/>
            <w:vAlign w:val="center"/>
          </w:tcPr>
          <w:p>
            <w:pPr>
              <w:rPr>
                <w:rFonts w:ascii="宋体" w:cs="宋体"/>
                <w:sz w:val="20"/>
                <w:szCs w:val="20"/>
              </w:rPr>
            </w:pPr>
            <w:r>
              <w:rPr>
                <w:rFonts w:hint="eastAsia"/>
                <w:sz w:val="20"/>
                <w:szCs w:val="20"/>
              </w:rPr>
              <w:t>　</w:t>
            </w:r>
          </w:p>
        </w:tc>
        <w:tc>
          <w:tcPr>
            <w:tcW w:w="709" w:type="dxa"/>
            <w:tcBorders>
              <w:top w:val="nil"/>
              <w:left w:val="nil"/>
              <w:bottom w:val="single" w:color="auto" w:sz="4" w:space="0"/>
              <w:right w:val="single" w:color="auto" w:sz="4" w:space="0"/>
            </w:tcBorders>
            <w:shd w:val="clear" w:color="000000" w:fill="FFFFFF"/>
            <w:vAlign w:val="center"/>
          </w:tcPr>
          <w:p>
            <w:pPr>
              <w:rPr>
                <w:rFonts w:ascii="宋体" w:cs="宋体"/>
                <w:sz w:val="20"/>
                <w:szCs w:val="20"/>
              </w:rPr>
            </w:pPr>
            <w:r>
              <w:rPr>
                <w:rFonts w:hint="eastAsia"/>
                <w:sz w:val="20"/>
                <w:szCs w:val="20"/>
              </w:rPr>
              <w:t>　</w:t>
            </w:r>
          </w:p>
        </w:tc>
        <w:tc>
          <w:tcPr>
            <w:tcW w:w="1559"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①未将所属单位国有资产纳入系统管理，每少一个单位扣</w:t>
            </w:r>
            <w:r>
              <w:rPr>
                <w:sz w:val="20"/>
                <w:szCs w:val="20"/>
              </w:rPr>
              <w:t>1</w:t>
            </w:r>
            <w:r>
              <w:rPr>
                <w:rFonts w:hint="eastAsia"/>
                <w:sz w:val="20"/>
                <w:szCs w:val="20"/>
              </w:rPr>
              <w:t>分。②未将资产变动情况及时录入系统，每次扣</w:t>
            </w:r>
            <w:r>
              <w:rPr>
                <w:sz w:val="20"/>
                <w:szCs w:val="20"/>
              </w:rPr>
              <w:t>0.5</w:t>
            </w:r>
            <w:r>
              <w:rPr>
                <w:rFonts w:hint="eastAsia"/>
                <w:sz w:val="20"/>
                <w:szCs w:val="20"/>
              </w:rPr>
              <w:t>分。③未落实人员负责管理系统，扣</w:t>
            </w:r>
            <w:r>
              <w:rPr>
                <w:sz w:val="20"/>
                <w:szCs w:val="20"/>
              </w:rPr>
              <w:t>1</w:t>
            </w:r>
            <w:r>
              <w:rPr>
                <w:rFonts w:hint="eastAsia"/>
                <w:sz w:val="20"/>
                <w:szCs w:val="20"/>
              </w:rPr>
              <w:t>分。</w:t>
            </w:r>
          </w:p>
        </w:tc>
        <w:tc>
          <w:tcPr>
            <w:tcW w:w="5894" w:type="dxa"/>
            <w:gridSpan w:val="3"/>
            <w:tcBorders>
              <w:top w:val="nil"/>
              <w:left w:val="nil"/>
              <w:bottom w:val="nil"/>
              <w:right w:val="nil"/>
            </w:tcBorders>
            <w:vAlign w:val="center"/>
          </w:tcPr>
          <w:p>
            <w:pPr>
              <w:rPr>
                <w:rFonts w:ascii="宋体" w:cs="宋体"/>
                <w:sz w:val="24"/>
              </w:rPr>
            </w:pPr>
          </w:p>
        </w:tc>
        <w:tc>
          <w:tcPr>
            <w:tcW w:w="4000" w:type="dxa"/>
            <w:gridSpan w:val="3"/>
            <w:tcBorders>
              <w:top w:val="nil"/>
              <w:left w:val="nil"/>
              <w:bottom w:val="nil"/>
              <w:right w:val="nil"/>
            </w:tcBorders>
            <w:vAlign w:val="center"/>
          </w:tcPr>
          <w:p>
            <w:pPr>
              <w:rPr>
                <w:rFonts w:ascii="宋体" w:cs="宋体"/>
                <w:sz w:val="16"/>
                <w:szCs w:val="16"/>
              </w:rPr>
            </w:pPr>
          </w:p>
        </w:tc>
      </w:tr>
      <w:tr>
        <w:tblPrEx>
          <w:tblLayout w:type="fixed"/>
          <w:tblCellMar>
            <w:top w:w="0" w:type="dxa"/>
            <w:left w:w="108" w:type="dxa"/>
            <w:bottom w:w="0" w:type="dxa"/>
            <w:right w:w="108" w:type="dxa"/>
          </w:tblCellMar>
        </w:tblPrEx>
        <w:trPr>
          <w:gridAfter w:val="3"/>
          <w:wAfter w:w="11944" w:type="dxa"/>
          <w:trHeight w:val="2160" w:hRule="atLeast"/>
        </w:trPr>
        <w:tc>
          <w:tcPr>
            <w:tcW w:w="616" w:type="dxa"/>
            <w:vMerge w:val="continue"/>
            <w:tcBorders>
              <w:top w:val="nil"/>
              <w:left w:val="single" w:color="auto" w:sz="4" w:space="0"/>
              <w:bottom w:val="single" w:color="000000" w:sz="4" w:space="0"/>
              <w:right w:val="single" w:color="auto" w:sz="4" w:space="0"/>
            </w:tcBorders>
            <w:vAlign w:val="center"/>
          </w:tcPr>
          <w:p>
            <w:pPr>
              <w:rPr>
                <w:rFonts w:ascii="宋体" w:cs="宋体"/>
                <w:sz w:val="20"/>
                <w:szCs w:val="20"/>
              </w:rPr>
            </w:pPr>
          </w:p>
        </w:tc>
        <w:tc>
          <w:tcPr>
            <w:tcW w:w="675" w:type="dxa"/>
            <w:vMerge w:val="continue"/>
            <w:tcBorders>
              <w:top w:val="nil"/>
              <w:left w:val="single" w:color="auto" w:sz="4" w:space="0"/>
              <w:bottom w:val="single" w:color="000000" w:sz="4" w:space="0"/>
              <w:right w:val="single" w:color="auto" w:sz="4" w:space="0"/>
            </w:tcBorders>
            <w:vAlign w:val="center"/>
          </w:tcPr>
          <w:p>
            <w:pPr>
              <w:rPr>
                <w:rFonts w:ascii="宋体" w:cs="宋体"/>
                <w:sz w:val="20"/>
                <w:szCs w:val="20"/>
              </w:rPr>
            </w:pPr>
          </w:p>
        </w:tc>
        <w:tc>
          <w:tcPr>
            <w:tcW w:w="1701"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行政事业单位资产清查开展情况（</w:t>
            </w:r>
            <w:r>
              <w:rPr>
                <w:sz w:val="20"/>
                <w:szCs w:val="20"/>
              </w:rPr>
              <w:t>2</w:t>
            </w:r>
            <w:r>
              <w:rPr>
                <w:rFonts w:hint="eastAsia"/>
                <w:sz w:val="20"/>
                <w:szCs w:val="20"/>
              </w:rPr>
              <w:t>分）</w:t>
            </w:r>
          </w:p>
        </w:tc>
        <w:tc>
          <w:tcPr>
            <w:tcW w:w="2552"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考核行政事业单位按要求及时、准确、全面开展资产清查工作情况</w:t>
            </w:r>
          </w:p>
        </w:tc>
        <w:tc>
          <w:tcPr>
            <w:tcW w:w="850" w:type="dxa"/>
            <w:tcBorders>
              <w:top w:val="nil"/>
              <w:left w:val="nil"/>
              <w:bottom w:val="single" w:color="auto" w:sz="4" w:space="0"/>
              <w:right w:val="single" w:color="auto" w:sz="4" w:space="0"/>
            </w:tcBorders>
            <w:shd w:val="clear" w:color="000000" w:fill="FFFFFF"/>
            <w:vAlign w:val="center"/>
          </w:tcPr>
          <w:p>
            <w:pPr>
              <w:rPr>
                <w:rFonts w:ascii="宋体" w:cs="宋体"/>
                <w:sz w:val="20"/>
                <w:szCs w:val="20"/>
              </w:rPr>
            </w:pPr>
            <w:r>
              <w:rPr>
                <w:rFonts w:hint="eastAsia"/>
                <w:sz w:val="20"/>
                <w:szCs w:val="20"/>
              </w:rPr>
              <w:t>　</w:t>
            </w:r>
          </w:p>
        </w:tc>
        <w:tc>
          <w:tcPr>
            <w:tcW w:w="709" w:type="dxa"/>
            <w:tcBorders>
              <w:top w:val="nil"/>
              <w:left w:val="nil"/>
              <w:bottom w:val="single" w:color="auto" w:sz="4" w:space="0"/>
              <w:right w:val="single" w:color="auto" w:sz="4" w:space="0"/>
            </w:tcBorders>
            <w:shd w:val="clear" w:color="000000" w:fill="FFFFFF"/>
            <w:vAlign w:val="center"/>
          </w:tcPr>
          <w:p>
            <w:pPr>
              <w:rPr>
                <w:rFonts w:ascii="宋体" w:cs="宋体"/>
                <w:sz w:val="20"/>
                <w:szCs w:val="20"/>
              </w:rPr>
            </w:pPr>
            <w:r>
              <w:rPr>
                <w:rFonts w:hint="eastAsia"/>
                <w:sz w:val="20"/>
                <w:szCs w:val="20"/>
              </w:rPr>
              <w:t>　</w:t>
            </w:r>
          </w:p>
        </w:tc>
        <w:tc>
          <w:tcPr>
            <w:tcW w:w="1559"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①未在规定时间内完成资产清查任务扣</w:t>
            </w:r>
            <w:r>
              <w:rPr>
                <w:sz w:val="20"/>
                <w:szCs w:val="20"/>
              </w:rPr>
              <w:t>1</w:t>
            </w:r>
            <w:r>
              <w:rPr>
                <w:rFonts w:hint="eastAsia"/>
                <w:sz w:val="20"/>
                <w:szCs w:val="20"/>
              </w:rPr>
              <w:t>分。②资产清查结果与财政组织复核的结果误差超过</w:t>
            </w:r>
            <w:r>
              <w:rPr>
                <w:sz w:val="20"/>
                <w:szCs w:val="20"/>
              </w:rPr>
              <w:t>10%</w:t>
            </w:r>
            <w:r>
              <w:rPr>
                <w:rFonts w:hint="eastAsia"/>
                <w:sz w:val="20"/>
                <w:szCs w:val="20"/>
              </w:rPr>
              <w:t>的扣</w:t>
            </w:r>
            <w:r>
              <w:rPr>
                <w:sz w:val="20"/>
                <w:szCs w:val="20"/>
              </w:rPr>
              <w:t>1</w:t>
            </w:r>
            <w:r>
              <w:rPr>
                <w:rFonts w:hint="eastAsia"/>
                <w:sz w:val="20"/>
                <w:szCs w:val="20"/>
              </w:rPr>
              <w:t>分。③未及时按批复的清查结果进行账务调整扣</w:t>
            </w:r>
            <w:r>
              <w:rPr>
                <w:sz w:val="20"/>
                <w:szCs w:val="20"/>
              </w:rPr>
              <w:t>1</w:t>
            </w:r>
            <w:r>
              <w:rPr>
                <w:rFonts w:hint="eastAsia"/>
                <w:sz w:val="20"/>
                <w:szCs w:val="20"/>
              </w:rPr>
              <w:t>分。④未及时更新资产管理信息系统，导致系统资产数据与上报财政的资产清查结果不一致扣</w:t>
            </w:r>
            <w:r>
              <w:rPr>
                <w:sz w:val="20"/>
                <w:szCs w:val="20"/>
              </w:rPr>
              <w:t>1</w:t>
            </w:r>
            <w:r>
              <w:rPr>
                <w:rFonts w:hint="eastAsia"/>
                <w:sz w:val="20"/>
                <w:szCs w:val="20"/>
              </w:rPr>
              <w:t>分。</w:t>
            </w:r>
          </w:p>
        </w:tc>
        <w:tc>
          <w:tcPr>
            <w:tcW w:w="5894" w:type="dxa"/>
            <w:gridSpan w:val="3"/>
            <w:tcBorders>
              <w:top w:val="nil"/>
              <w:left w:val="nil"/>
              <w:bottom w:val="nil"/>
              <w:right w:val="nil"/>
            </w:tcBorders>
            <w:vAlign w:val="center"/>
          </w:tcPr>
          <w:p>
            <w:pPr>
              <w:rPr>
                <w:rFonts w:ascii="宋体" w:cs="宋体"/>
                <w:sz w:val="24"/>
              </w:rPr>
            </w:pPr>
          </w:p>
        </w:tc>
        <w:tc>
          <w:tcPr>
            <w:tcW w:w="4000" w:type="dxa"/>
            <w:gridSpan w:val="3"/>
            <w:tcBorders>
              <w:top w:val="nil"/>
              <w:left w:val="nil"/>
              <w:bottom w:val="nil"/>
              <w:right w:val="nil"/>
            </w:tcBorders>
            <w:vAlign w:val="center"/>
          </w:tcPr>
          <w:p>
            <w:pPr>
              <w:rPr>
                <w:rFonts w:ascii="宋体" w:cs="宋体"/>
                <w:sz w:val="16"/>
                <w:szCs w:val="16"/>
              </w:rPr>
            </w:pPr>
          </w:p>
        </w:tc>
      </w:tr>
      <w:tr>
        <w:tblPrEx>
          <w:tblLayout w:type="fixed"/>
          <w:tblCellMar>
            <w:top w:w="0" w:type="dxa"/>
            <w:left w:w="108" w:type="dxa"/>
            <w:bottom w:w="0" w:type="dxa"/>
            <w:right w:w="108" w:type="dxa"/>
          </w:tblCellMar>
        </w:tblPrEx>
        <w:trPr>
          <w:gridAfter w:val="3"/>
          <w:wAfter w:w="11944" w:type="dxa"/>
          <w:trHeight w:val="1440" w:hRule="atLeast"/>
        </w:trPr>
        <w:tc>
          <w:tcPr>
            <w:tcW w:w="616" w:type="dxa"/>
            <w:vMerge w:val="continue"/>
            <w:tcBorders>
              <w:top w:val="nil"/>
              <w:left w:val="single" w:color="auto" w:sz="4" w:space="0"/>
              <w:bottom w:val="single" w:color="000000" w:sz="4" w:space="0"/>
              <w:right w:val="single" w:color="auto" w:sz="4" w:space="0"/>
            </w:tcBorders>
            <w:vAlign w:val="center"/>
          </w:tcPr>
          <w:p>
            <w:pPr>
              <w:rPr>
                <w:rFonts w:ascii="宋体" w:cs="宋体"/>
                <w:sz w:val="20"/>
                <w:szCs w:val="20"/>
              </w:rPr>
            </w:pPr>
          </w:p>
        </w:tc>
        <w:tc>
          <w:tcPr>
            <w:tcW w:w="675" w:type="dxa"/>
            <w:vMerge w:val="continue"/>
            <w:tcBorders>
              <w:top w:val="nil"/>
              <w:left w:val="single" w:color="auto" w:sz="4" w:space="0"/>
              <w:bottom w:val="single" w:color="000000" w:sz="4" w:space="0"/>
              <w:right w:val="single" w:color="auto" w:sz="4" w:space="0"/>
            </w:tcBorders>
            <w:vAlign w:val="center"/>
          </w:tcPr>
          <w:p>
            <w:pPr>
              <w:rPr>
                <w:rFonts w:ascii="宋体" w:cs="宋体"/>
                <w:sz w:val="20"/>
                <w:szCs w:val="20"/>
              </w:rPr>
            </w:pPr>
          </w:p>
        </w:tc>
        <w:tc>
          <w:tcPr>
            <w:tcW w:w="1701"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行政事业单位资产报表上报情况（</w:t>
            </w:r>
            <w:r>
              <w:rPr>
                <w:sz w:val="20"/>
                <w:szCs w:val="20"/>
              </w:rPr>
              <w:t>2</w:t>
            </w:r>
            <w:r>
              <w:rPr>
                <w:rFonts w:hint="eastAsia"/>
                <w:sz w:val="20"/>
                <w:szCs w:val="20"/>
              </w:rPr>
              <w:t>分）</w:t>
            </w:r>
          </w:p>
        </w:tc>
        <w:tc>
          <w:tcPr>
            <w:tcW w:w="2552"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考核行政事业单位上报国有资产报表数据的真实性、准确性、全面性</w:t>
            </w:r>
          </w:p>
        </w:tc>
        <w:tc>
          <w:tcPr>
            <w:tcW w:w="850" w:type="dxa"/>
            <w:tcBorders>
              <w:top w:val="nil"/>
              <w:left w:val="nil"/>
              <w:bottom w:val="single" w:color="auto" w:sz="4" w:space="0"/>
              <w:right w:val="single" w:color="auto" w:sz="4" w:space="0"/>
            </w:tcBorders>
            <w:shd w:val="clear" w:color="000000" w:fill="FFFFFF"/>
            <w:vAlign w:val="center"/>
          </w:tcPr>
          <w:p>
            <w:pPr>
              <w:rPr>
                <w:rFonts w:ascii="宋体" w:cs="宋体"/>
                <w:sz w:val="20"/>
                <w:szCs w:val="20"/>
              </w:rPr>
            </w:pPr>
            <w:r>
              <w:rPr>
                <w:rFonts w:hint="eastAsia"/>
                <w:sz w:val="20"/>
                <w:szCs w:val="20"/>
              </w:rPr>
              <w:t>　</w:t>
            </w:r>
          </w:p>
        </w:tc>
        <w:tc>
          <w:tcPr>
            <w:tcW w:w="709" w:type="dxa"/>
            <w:tcBorders>
              <w:top w:val="nil"/>
              <w:left w:val="nil"/>
              <w:bottom w:val="single" w:color="auto" w:sz="4" w:space="0"/>
              <w:right w:val="single" w:color="auto" w:sz="4" w:space="0"/>
            </w:tcBorders>
            <w:shd w:val="clear" w:color="000000" w:fill="FFFFFF"/>
            <w:vAlign w:val="center"/>
          </w:tcPr>
          <w:p>
            <w:pPr>
              <w:rPr>
                <w:rFonts w:ascii="宋体" w:cs="宋体"/>
                <w:sz w:val="20"/>
                <w:szCs w:val="20"/>
              </w:rPr>
            </w:pPr>
            <w:r>
              <w:rPr>
                <w:rFonts w:hint="eastAsia"/>
                <w:sz w:val="20"/>
                <w:szCs w:val="20"/>
              </w:rPr>
              <w:t>　</w:t>
            </w:r>
          </w:p>
        </w:tc>
        <w:tc>
          <w:tcPr>
            <w:tcW w:w="1559"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①未落实专人负责资产报表，未及时上报资产报表扣</w:t>
            </w:r>
            <w:r>
              <w:rPr>
                <w:sz w:val="20"/>
                <w:szCs w:val="20"/>
              </w:rPr>
              <w:t>1</w:t>
            </w:r>
            <w:r>
              <w:rPr>
                <w:rFonts w:hint="eastAsia"/>
                <w:sz w:val="20"/>
                <w:szCs w:val="20"/>
              </w:rPr>
              <w:t>分。②报表填报不规范，内容不完整，数据不真实，扣</w:t>
            </w:r>
            <w:r>
              <w:rPr>
                <w:sz w:val="20"/>
                <w:szCs w:val="20"/>
              </w:rPr>
              <w:t>1</w:t>
            </w:r>
            <w:r>
              <w:rPr>
                <w:rFonts w:hint="eastAsia"/>
                <w:sz w:val="20"/>
                <w:szCs w:val="20"/>
              </w:rPr>
              <w:t>分。③未提交分析报告，对资产变动情况未作分析说明，扣</w:t>
            </w:r>
            <w:r>
              <w:rPr>
                <w:sz w:val="20"/>
                <w:szCs w:val="20"/>
              </w:rPr>
              <w:t>1</w:t>
            </w:r>
            <w:r>
              <w:rPr>
                <w:rFonts w:hint="eastAsia"/>
                <w:sz w:val="20"/>
                <w:szCs w:val="20"/>
              </w:rPr>
              <w:t>分。</w:t>
            </w:r>
          </w:p>
        </w:tc>
        <w:tc>
          <w:tcPr>
            <w:tcW w:w="5894" w:type="dxa"/>
            <w:gridSpan w:val="3"/>
            <w:tcBorders>
              <w:top w:val="nil"/>
              <w:left w:val="nil"/>
              <w:bottom w:val="nil"/>
              <w:right w:val="nil"/>
            </w:tcBorders>
            <w:vAlign w:val="center"/>
          </w:tcPr>
          <w:p>
            <w:pPr>
              <w:rPr>
                <w:rFonts w:ascii="宋体" w:cs="宋体"/>
                <w:sz w:val="24"/>
              </w:rPr>
            </w:pPr>
          </w:p>
        </w:tc>
        <w:tc>
          <w:tcPr>
            <w:tcW w:w="4000" w:type="dxa"/>
            <w:gridSpan w:val="3"/>
            <w:tcBorders>
              <w:top w:val="nil"/>
              <w:left w:val="nil"/>
              <w:bottom w:val="nil"/>
              <w:right w:val="nil"/>
            </w:tcBorders>
            <w:vAlign w:val="center"/>
          </w:tcPr>
          <w:p>
            <w:pPr>
              <w:rPr>
                <w:rFonts w:ascii="宋体" w:cs="宋体"/>
                <w:sz w:val="16"/>
                <w:szCs w:val="16"/>
              </w:rPr>
            </w:pPr>
          </w:p>
        </w:tc>
      </w:tr>
      <w:tr>
        <w:tblPrEx>
          <w:tblLayout w:type="fixed"/>
          <w:tblCellMar>
            <w:top w:w="0" w:type="dxa"/>
            <w:left w:w="108" w:type="dxa"/>
            <w:bottom w:w="0" w:type="dxa"/>
            <w:right w:w="108" w:type="dxa"/>
          </w:tblCellMar>
        </w:tblPrEx>
        <w:trPr>
          <w:gridAfter w:val="3"/>
          <w:wAfter w:w="11944" w:type="dxa"/>
          <w:trHeight w:val="1470" w:hRule="atLeast"/>
        </w:trPr>
        <w:tc>
          <w:tcPr>
            <w:tcW w:w="616" w:type="dxa"/>
            <w:vMerge w:val="continue"/>
            <w:tcBorders>
              <w:top w:val="nil"/>
              <w:left w:val="single" w:color="auto" w:sz="4" w:space="0"/>
              <w:bottom w:val="single" w:color="000000" w:sz="4" w:space="0"/>
              <w:right w:val="single" w:color="auto" w:sz="4" w:space="0"/>
            </w:tcBorders>
            <w:vAlign w:val="center"/>
          </w:tcPr>
          <w:p>
            <w:pPr>
              <w:rPr>
                <w:rFonts w:ascii="宋体" w:cs="宋体"/>
                <w:sz w:val="20"/>
                <w:szCs w:val="20"/>
              </w:rPr>
            </w:pPr>
          </w:p>
        </w:tc>
        <w:tc>
          <w:tcPr>
            <w:tcW w:w="675" w:type="dxa"/>
            <w:tcBorders>
              <w:top w:val="nil"/>
              <w:left w:val="nil"/>
              <w:bottom w:val="nil"/>
              <w:right w:val="single" w:color="auto" w:sz="4" w:space="0"/>
            </w:tcBorders>
            <w:vAlign w:val="center"/>
          </w:tcPr>
          <w:p>
            <w:pPr>
              <w:rPr>
                <w:rFonts w:ascii="宋体" w:cs="宋体"/>
                <w:sz w:val="20"/>
                <w:szCs w:val="20"/>
              </w:rPr>
            </w:pPr>
            <w:r>
              <w:rPr>
                <w:rFonts w:hint="eastAsia"/>
                <w:sz w:val="20"/>
                <w:szCs w:val="20"/>
              </w:rPr>
              <w:t>内控制度管理（</w:t>
            </w:r>
            <w:r>
              <w:rPr>
                <w:sz w:val="20"/>
                <w:szCs w:val="20"/>
              </w:rPr>
              <w:t>4</w:t>
            </w:r>
            <w:r>
              <w:rPr>
                <w:rFonts w:hint="eastAsia"/>
                <w:sz w:val="20"/>
                <w:szCs w:val="20"/>
              </w:rPr>
              <w:t>分）</w:t>
            </w:r>
          </w:p>
        </w:tc>
        <w:tc>
          <w:tcPr>
            <w:tcW w:w="1701"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内部控制度健全完整（</w:t>
            </w:r>
            <w:r>
              <w:rPr>
                <w:sz w:val="20"/>
                <w:szCs w:val="20"/>
              </w:rPr>
              <w:t>4</w:t>
            </w:r>
            <w:r>
              <w:rPr>
                <w:rFonts w:hint="eastAsia"/>
                <w:sz w:val="20"/>
                <w:szCs w:val="20"/>
              </w:rPr>
              <w:t>分）</w:t>
            </w:r>
          </w:p>
        </w:tc>
        <w:tc>
          <w:tcPr>
            <w:tcW w:w="2552"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考核部门内部控制制度的设置和执行情况</w:t>
            </w:r>
          </w:p>
        </w:tc>
        <w:tc>
          <w:tcPr>
            <w:tcW w:w="850" w:type="dxa"/>
            <w:tcBorders>
              <w:top w:val="nil"/>
              <w:left w:val="nil"/>
              <w:bottom w:val="single" w:color="auto" w:sz="4" w:space="0"/>
              <w:right w:val="single" w:color="auto" w:sz="4" w:space="0"/>
            </w:tcBorders>
            <w:shd w:val="clear" w:color="000000" w:fill="FFFFFF"/>
            <w:vAlign w:val="center"/>
          </w:tcPr>
          <w:p>
            <w:pPr>
              <w:jc w:val="right"/>
              <w:rPr>
                <w:rFonts w:ascii="宋体" w:cs="宋体"/>
                <w:sz w:val="20"/>
                <w:szCs w:val="20"/>
              </w:rPr>
            </w:pPr>
            <w:r>
              <w:rPr>
                <w:sz w:val="20"/>
                <w:szCs w:val="20"/>
              </w:rPr>
              <w:t>1</w:t>
            </w:r>
          </w:p>
        </w:tc>
        <w:tc>
          <w:tcPr>
            <w:tcW w:w="709" w:type="dxa"/>
            <w:tcBorders>
              <w:top w:val="nil"/>
              <w:left w:val="nil"/>
              <w:bottom w:val="single" w:color="auto" w:sz="4" w:space="0"/>
              <w:right w:val="single" w:color="auto" w:sz="4" w:space="0"/>
            </w:tcBorders>
            <w:shd w:val="clear" w:color="000000" w:fill="FFFFFF"/>
            <w:vAlign w:val="center"/>
          </w:tcPr>
          <w:p>
            <w:pPr>
              <w:rPr>
                <w:rFonts w:ascii="宋体" w:cs="宋体"/>
                <w:sz w:val="20"/>
                <w:szCs w:val="20"/>
              </w:rPr>
            </w:pPr>
            <w:r>
              <w:rPr>
                <w:rFonts w:hint="eastAsia"/>
                <w:sz w:val="20"/>
                <w:szCs w:val="20"/>
              </w:rPr>
              <w:t>还不够完善</w:t>
            </w:r>
          </w:p>
        </w:tc>
        <w:tc>
          <w:tcPr>
            <w:tcW w:w="1559"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内部控制制度健全完整并执行良好的得分，否则不得分。在本年度内因内控制度不健全或执行不到位，造成单位出现廉政风险或发生重大责任事故的不得分。</w:t>
            </w:r>
          </w:p>
        </w:tc>
        <w:tc>
          <w:tcPr>
            <w:tcW w:w="5894" w:type="dxa"/>
            <w:gridSpan w:val="3"/>
            <w:tcBorders>
              <w:top w:val="nil"/>
              <w:left w:val="nil"/>
              <w:bottom w:val="nil"/>
              <w:right w:val="nil"/>
            </w:tcBorders>
            <w:vAlign w:val="center"/>
          </w:tcPr>
          <w:p>
            <w:pPr>
              <w:rPr>
                <w:rFonts w:ascii="宋体" w:cs="宋体"/>
                <w:sz w:val="24"/>
              </w:rPr>
            </w:pPr>
          </w:p>
        </w:tc>
        <w:tc>
          <w:tcPr>
            <w:tcW w:w="4000" w:type="dxa"/>
            <w:gridSpan w:val="3"/>
            <w:tcBorders>
              <w:top w:val="nil"/>
              <w:left w:val="nil"/>
              <w:bottom w:val="nil"/>
              <w:right w:val="nil"/>
            </w:tcBorders>
            <w:vAlign w:val="center"/>
          </w:tcPr>
          <w:p>
            <w:pPr>
              <w:rPr>
                <w:rFonts w:ascii="宋体" w:cs="宋体"/>
                <w:sz w:val="16"/>
                <w:szCs w:val="16"/>
              </w:rPr>
            </w:pPr>
          </w:p>
        </w:tc>
      </w:tr>
      <w:tr>
        <w:tblPrEx>
          <w:tblLayout w:type="fixed"/>
          <w:tblCellMar>
            <w:top w:w="0" w:type="dxa"/>
            <w:left w:w="108" w:type="dxa"/>
            <w:bottom w:w="0" w:type="dxa"/>
            <w:right w:w="108" w:type="dxa"/>
          </w:tblCellMar>
        </w:tblPrEx>
        <w:trPr>
          <w:gridAfter w:val="3"/>
          <w:wAfter w:w="11944" w:type="dxa"/>
          <w:trHeight w:val="1410" w:hRule="atLeast"/>
        </w:trPr>
        <w:tc>
          <w:tcPr>
            <w:tcW w:w="616" w:type="dxa"/>
            <w:vMerge w:val="continue"/>
            <w:tcBorders>
              <w:top w:val="nil"/>
              <w:left w:val="single" w:color="auto" w:sz="4" w:space="0"/>
              <w:bottom w:val="single" w:color="000000" w:sz="4" w:space="0"/>
              <w:right w:val="single" w:color="auto" w:sz="4" w:space="0"/>
            </w:tcBorders>
            <w:vAlign w:val="center"/>
          </w:tcPr>
          <w:p>
            <w:pPr>
              <w:rPr>
                <w:rFonts w:ascii="宋体" w:cs="宋体"/>
                <w:sz w:val="20"/>
                <w:szCs w:val="20"/>
              </w:rPr>
            </w:pPr>
          </w:p>
        </w:tc>
        <w:tc>
          <w:tcPr>
            <w:tcW w:w="675" w:type="dxa"/>
            <w:vMerge w:val="restart"/>
            <w:tcBorders>
              <w:top w:val="single" w:color="auto" w:sz="4" w:space="0"/>
              <w:left w:val="single" w:color="auto" w:sz="4" w:space="0"/>
              <w:bottom w:val="single" w:color="000000" w:sz="4" w:space="0"/>
              <w:right w:val="single" w:color="auto" w:sz="4" w:space="0"/>
            </w:tcBorders>
            <w:vAlign w:val="center"/>
          </w:tcPr>
          <w:p>
            <w:pPr>
              <w:rPr>
                <w:rFonts w:ascii="宋体" w:cs="宋体"/>
                <w:sz w:val="20"/>
                <w:szCs w:val="20"/>
              </w:rPr>
            </w:pPr>
            <w:r>
              <w:rPr>
                <w:rFonts w:hint="eastAsia"/>
                <w:sz w:val="20"/>
                <w:szCs w:val="20"/>
              </w:rPr>
              <w:t>信息公开（</w:t>
            </w:r>
            <w:r>
              <w:rPr>
                <w:sz w:val="20"/>
                <w:szCs w:val="20"/>
              </w:rPr>
              <w:t>10</w:t>
            </w:r>
            <w:r>
              <w:rPr>
                <w:rFonts w:hint="eastAsia"/>
                <w:sz w:val="20"/>
                <w:szCs w:val="20"/>
              </w:rPr>
              <w:t>分）</w:t>
            </w:r>
          </w:p>
        </w:tc>
        <w:tc>
          <w:tcPr>
            <w:tcW w:w="1701"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预算公开（</w:t>
            </w:r>
            <w:r>
              <w:rPr>
                <w:sz w:val="20"/>
                <w:szCs w:val="20"/>
              </w:rPr>
              <w:t>4</w:t>
            </w:r>
            <w:r>
              <w:rPr>
                <w:rFonts w:hint="eastAsia"/>
                <w:sz w:val="20"/>
                <w:szCs w:val="20"/>
              </w:rPr>
              <w:t>分）</w:t>
            </w:r>
          </w:p>
        </w:tc>
        <w:tc>
          <w:tcPr>
            <w:tcW w:w="2552"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除涉密信息外，各部门要在财政部门批复后二十日内向社会公开本部门预算（含所有财政资金安排的“三公”经费、机关运行经费的安排、使用情况等）</w:t>
            </w:r>
          </w:p>
        </w:tc>
        <w:tc>
          <w:tcPr>
            <w:tcW w:w="850" w:type="dxa"/>
            <w:tcBorders>
              <w:top w:val="nil"/>
              <w:left w:val="nil"/>
              <w:bottom w:val="single" w:color="auto" w:sz="4" w:space="0"/>
              <w:right w:val="single" w:color="auto" w:sz="4" w:space="0"/>
            </w:tcBorders>
            <w:shd w:val="clear" w:color="000000" w:fill="FFFFFF"/>
            <w:vAlign w:val="center"/>
          </w:tcPr>
          <w:p>
            <w:pPr>
              <w:rPr>
                <w:rFonts w:ascii="宋体" w:cs="宋体"/>
                <w:sz w:val="20"/>
                <w:szCs w:val="20"/>
              </w:rPr>
            </w:pPr>
            <w:r>
              <w:rPr>
                <w:rFonts w:hint="eastAsia"/>
                <w:sz w:val="20"/>
                <w:szCs w:val="20"/>
              </w:rPr>
              <w:t>　</w:t>
            </w:r>
          </w:p>
        </w:tc>
        <w:tc>
          <w:tcPr>
            <w:tcW w:w="709" w:type="dxa"/>
            <w:tcBorders>
              <w:top w:val="nil"/>
              <w:left w:val="nil"/>
              <w:bottom w:val="single" w:color="auto" w:sz="4" w:space="0"/>
              <w:right w:val="single" w:color="auto" w:sz="4" w:space="0"/>
            </w:tcBorders>
            <w:shd w:val="clear" w:color="000000" w:fill="FFFFFF"/>
            <w:vAlign w:val="center"/>
          </w:tcPr>
          <w:p>
            <w:pPr>
              <w:rPr>
                <w:rFonts w:ascii="宋体" w:cs="宋体"/>
                <w:sz w:val="20"/>
                <w:szCs w:val="20"/>
              </w:rPr>
            </w:pPr>
            <w:r>
              <w:rPr>
                <w:rFonts w:hint="eastAsia"/>
                <w:sz w:val="20"/>
                <w:szCs w:val="20"/>
              </w:rPr>
              <w:t>　</w:t>
            </w:r>
          </w:p>
        </w:tc>
        <w:tc>
          <w:tcPr>
            <w:tcW w:w="1559"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按县财政通知要求公开预算，未按要求公开的，发现一处扣</w:t>
            </w:r>
            <w:r>
              <w:rPr>
                <w:sz w:val="20"/>
                <w:szCs w:val="20"/>
              </w:rPr>
              <w:t>0.5</w:t>
            </w:r>
            <w:r>
              <w:rPr>
                <w:rFonts w:hint="eastAsia"/>
                <w:sz w:val="20"/>
                <w:szCs w:val="20"/>
              </w:rPr>
              <w:t>分，直至扣完</w:t>
            </w:r>
          </w:p>
        </w:tc>
        <w:tc>
          <w:tcPr>
            <w:tcW w:w="5894" w:type="dxa"/>
            <w:gridSpan w:val="3"/>
            <w:tcBorders>
              <w:top w:val="nil"/>
              <w:left w:val="nil"/>
              <w:bottom w:val="nil"/>
              <w:right w:val="nil"/>
            </w:tcBorders>
            <w:vAlign w:val="center"/>
          </w:tcPr>
          <w:p>
            <w:pPr>
              <w:rPr>
                <w:rFonts w:ascii="宋体" w:cs="宋体"/>
                <w:sz w:val="24"/>
              </w:rPr>
            </w:pPr>
          </w:p>
        </w:tc>
        <w:tc>
          <w:tcPr>
            <w:tcW w:w="4000" w:type="dxa"/>
            <w:gridSpan w:val="3"/>
            <w:tcBorders>
              <w:top w:val="nil"/>
              <w:left w:val="nil"/>
              <w:bottom w:val="nil"/>
              <w:right w:val="nil"/>
            </w:tcBorders>
            <w:vAlign w:val="center"/>
          </w:tcPr>
          <w:p>
            <w:pPr>
              <w:rPr>
                <w:rFonts w:ascii="宋体" w:cs="宋体"/>
                <w:sz w:val="16"/>
                <w:szCs w:val="16"/>
              </w:rPr>
            </w:pPr>
          </w:p>
        </w:tc>
      </w:tr>
      <w:tr>
        <w:tblPrEx>
          <w:tblLayout w:type="fixed"/>
          <w:tblCellMar>
            <w:top w:w="0" w:type="dxa"/>
            <w:left w:w="108" w:type="dxa"/>
            <w:bottom w:w="0" w:type="dxa"/>
            <w:right w:w="108" w:type="dxa"/>
          </w:tblCellMar>
        </w:tblPrEx>
        <w:trPr>
          <w:gridAfter w:val="3"/>
          <w:wAfter w:w="11944" w:type="dxa"/>
          <w:trHeight w:val="1590" w:hRule="atLeast"/>
        </w:trPr>
        <w:tc>
          <w:tcPr>
            <w:tcW w:w="616" w:type="dxa"/>
            <w:vMerge w:val="continue"/>
            <w:tcBorders>
              <w:top w:val="nil"/>
              <w:left w:val="single" w:color="auto" w:sz="4" w:space="0"/>
              <w:bottom w:val="single" w:color="000000" w:sz="4" w:space="0"/>
              <w:right w:val="single" w:color="auto" w:sz="4" w:space="0"/>
            </w:tcBorders>
            <w:vAlign w:val="center"/>
          </w:tcPr>
          <w:p>
            <w:pPr>
              <w:rPr>
                <w:rFonts w:ascii="宋体" w:cs="宋体"/>
                <w:sz w:val="20"/>
                <w:szCs w:val="20"/>
              </w:rPr>
            </w:pPr>
          </w:p>
        </w:tc>
        <w:tc>
          <w:tcPr>
            <w:tcW w:w="675" w:type="dxa"/>
            <w:vMerge w:val="continue"/>
            <w:tcBorders>
              <w:top w:val="single" w:color="auto" w:sz="4" w:space="0"/>
              <w:left w:val="single" w:color="auto" w:sz="4" w:space="0"/>
              <w:bottom w:val="single" w:color="000000" w:sz="4" w:space="0"/>
              <w:right w:val="single" w:color="auto" w:sz="4" w:space="0"/>
            </w:tcBorders>
            <w:vAlign w:val="center"/>
          </w:tcPr>
          <w:p>
            <w:pPr>
              <w:rPr>
                <w:rFonts w:ascii="宋体" w:cs="宋体"/>
                <w:sz w:val="20"/>
                <w:szCs w:val="20"/>
              </w:rPr>
            </w:pPr>
          </w:p>
        </w:tc>
        <w:tc>
          <w:tcPr>
            <w:tcW w:w="1701"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决算公开（</w:t>
            </w:r>
            <w:r>
              <w:rPr>
                <w:sz w:val="20"/>
                <w:szCs w:val="20"/>
              </w:rPr>
              <w:t>4</w:t>
            </w:r>
            <w:r>
              <w:rPr>
                <w:rFonts w:hint="eastAsia"/>
                <w:sz w:val="20"/>
                <w:szCs w:val="20"/>
              </w:rPr>
              <w:t>分）</w:t>
            </w:r>
          </w:p>
        </w:tc>
        <w:tc>
          <w:tcPr>
            <w:tcW w:w="2552"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除涉密信息外，各部门要在财政部门批复二十日内向社会公开本部门决算（含所有财政资金安排的“三公”经费、机关运行经费的安排、使用情况等）</w:t>
            </w:r>
          </w:p>
        </w:tc>
        <w:tc>
          <w:tcPr>
            <w:tcW w:w="850" w:type="dxa"/>
            <w:tcBorders>
              <w:top w:val="nil"/>
              <w:left w:val="nil"/>
              <w:bottom w:val="single" w:color="auto" w:sz="4" w:space="0"/>
              <w:right w:val="single" w:color="auto" w:sz="4" w:space="0"/>
            </w:tcBorders>
            <w:shd w:val="clear" w:color="000000" w:fill="FFFFFF"/>
            <w:vAlign w:val="center"/>
          </w:tcPr>
          <w:p>
            <w:pPr>
              <w:rPr>
                <w:rFonts w:ascii="宋体" w:cs="宋体"/>
                <w:sz w:val="20"/>
                <w:szCs w:val="20"/>
              </w:rPr>
            </w:pPr>
            <w:r>
              <w:rPr>
                <w:rFonts w:hint="eastAsia"/>
                <w:sz w:val="20"/>
                <w:szCs w:val="20"/>
              </w:rPr>
              <w:t>　</w:t>
            </w:r>
          </w:p>
        </w:tc>
        <w:tc>
          <w:tcPr>
            <w:tcW w:w="709" w:type="dxa"/>
            <w:tcBorders>
              <w:top w:val="nil"/>
              <w:left w:val="nil"/>
              <w:bottom w:val="single" w:color="auto" w:sz="4" w:space="0"/>
              <w:right w:val="single" w:color="auto" w:sz="4" w:space="0"/>
            </w:tcBorders>
            <w:shd w:val="clear" w:color="000000" w:fill="FFFFFF"/>
            <w:vAlign w:val="center"/>
          </w:tcPr>
          <w:p>
            <w:pPr>
              <w:rPr>
                <w:rFonts w:ascii="宋体" w:cs="宋体"/>
                <w:sz w:val="20"/>
                <w:szCs w:val="20"/>
              </w:rPr>
            </w:pPr>
            <w:r>
              <w:rPr>
                <w:rFonts w:hint="eastAsia"/>
                <w:sz w:val="20"/>
                <w:szCs w:val="20"/>
              </w:rPr>
              <w:t>　</w:t>
            </w:r>
          </w:p>
        </w:tc>
        <w:tc>
          <w:tcPr>
            <w:tcW w:w="1559"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未按要求公开的，发现一处问题</w:t>
            </w:r>
            <w:r>
              <w:rPr>
                <w:sz w:val="20"/>
                <w:szCs w:val="20"/>
              </w:rPr>
              <w:t>0.5</w:t>
            </w:r>
            <w:r>
              <w:rPr>
                <w:rFonts w:hint="eastAsia"/>
                <w:sz w:val="20"/>
                <w:szCs w:val="20"/>
              </w:rPr>
              <w:t>分，直至扣完</w:t>
            </w:r>
          </w:p>
        </w:tc>
        <w:tc>
          <w:tcPr>
            <w:tcW w:w="5894" w:type="dxa"/>
            <w:gridSpan w:val="3"/>
            <w:tcBorders>
              <w:top w:val="nil"/>
              <w:left w:val="nil"/>
              <w:bottom w:val="nil"/>
              <w:right w:val="nil"/>
            </w:tcBorders>
            <w:vAlign w:val="center"/>
          </w:tcPr>
          <w:p>
            <w:pPr>
              <w:rPr>
                <w:rFonts w:ascii="宋体" w:cs="宋体"/>
                <w:sz w:val="24"/>
              </w:rPr>
            </w:pPr>
          </w:p>
        </w:tc>
        <w:tc>
          <w:tcPr>
            <w:tcW w:w="4000" w:type="dxa"/>
            <w:gridSpan w:val="3"/>
            <w:tcBorders>
              <w:top w:val="nil"/>
              <w:left w:val="nil"/>
              <w:bottom w:val="nil"/>
              <w:right w:val="nil"/>
            </w:tcBorders>
            <w:vAlign w:val="center"/>
          </w:tcPr>
          <w:p>
            <w:pPr>
              <w:rPr>
                <w:rFonts w:ascii="宋体" w:cs="宋体"/>
                <w:sz w:val="16"/>
                <w:szCs w:val="16"/>
              </w:rPr>
            </w:pPr>
          </w:p>
        </w:tc>
      </w:tr>
      <w:tr>
        <w:tblPrEx>
          <w:tblLayout w:type="fixed"/>
          <w:tblCellMar>
            <w:top w:w="0" w:type="dxa"/>
            <w:left w:w="108" w:type="dxa"/>
            <w:bottom w:w="0" w:type="dxa"/>
            <w:right w:w="108" w:type="dxa"/>
          </w:tblCellMar>
        </w:tblPrEx>
        <w:trPr>
          <w:gridAfter w:val="3"/>
          <w:wAfter w:w="11944" w:type="dxa"/>
          <w:trHeight w:val="1020" w:hRule="atLeast"/>
        </w:trPr>
        <w:tc>
          <w:tcPr>
            <w:tcW w:w="616" w:type="dxa"/>
            <w:vMerge w:val="continue"/>
            <w:tcBorders>
              <w:top w:val="nil"/>
              <w:left w:val="single" w:color="auto" w:sz="4" w:space="0"/>
              <w:bottom w:val="single" w:color="000000" w:sz="4" w:space="0"/>
              <w:right w:val="single" w:color="auto" w:sz="4" w:space="0"/>
            </w:tcBorders>
            <w:vAlign w:val="center"/>
          </w:tcPr>
          <w:p>
            <w:pPr>
              <w:rPr>
                <w:rFonts w:ascii="宋体" w:cs="宋体"/>
                <w:sz w:val="20"/>
                <w:szCs w:val="20"/>
              </w:rPr>
            </w:pPr>
          </w:p>
        </w:tc>
        <w:tc>
          <w:tcPr>
            <w:tcW w:w="675" w:type="dxa"/>
            <w:vMerge w:val="continue"/>
            <w:tcBorders>
              <w:top w:val="single" w:color="auto" w:sz="4" w:space="0"/>
              <w:left w:val="single" w:color="auto" w:sz="4" w:space="0"/>
              <w:bottom w:val="single" w:color="000000" w:sz="4" w:space="0"/>
              <w:right w:val="single" w:color="auto" w:sz="4" w:space="0"/>
            </w:tcBorders>
            <w:vAlign w:val="center"/>
          </w:tcPr>
          <w:p>
            <w:pPr>
              <w:rPr>
                <w:rFonts w:ascii="宋体" w:cs="宋体"/>
                <w:sz w:val="20"/>
                <w:szCs w:val="20"/>
              </w:rPr>
            </w:pPr>
          </w:p>
        </w:tc>
        <w:tc>
          <w:tcPr>
            <w:tcW w:w="1701"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绩效信息公开（</w:t>
            </w:r>
            <w:r>
              <w:rPr>
                <w:sz w:val="20"/>
                <w:szCs w:val="20"/>
              </w:rPr>
              <w:t>2</w:t>
            </w:r>
            <w:r>
              <w:rPr>
                <w:rFonts w:hint="eastAsia"/>
                <w:sz w:val="20"/>
                <w:szCs w:val="20"/>
              </w:rPr>
              <w:t>分）</w:t>
            </w:r>
          </w:p>
        </w:tc>
        <w:tc>
          <w:tcPr>
            <w:tcW w:w="2552"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按要求公开部门整体支出绩效自评报告及其他按要求应公开的绩效信息</w:t>
            </w:r>
          </w:p>
        </w:tc>
        <w:tc>
          <w:tcPr>
            <w:tcW w:w="850" w:type="dxa"/>
            <w:tcBorders>
              <w:top w:val="nil"/>
              <w:left w:val="nil"/>
              <w:bottom w:val="single" w:color="auto" w:sz="4" w:space="0"/>
              <w:right w:val="single" w:color="auto" w:sz="4" w:space="0"/>
            </w:tcBorders>
            <w:shd w:val="clear" w:color="000000" w:fill="FFFFFF"/>
            <w:vAlign w:val="center"/>
          </w:tcPr>
          <w:p>
            <w:pPr>
              <w:rPr>
                <w:rFonts w:ascii="宋体" w:cs="宋体"/>
                <w:sz w:val="20"/>
                <w:szCs w:val="20"/>
              </w:rPr>
            </w:pPr>
            <w:r>
              <w:rPr>
                <w:rFonts w:hint="eastAsia"/>
                <w:sz w:val="20"/>
                <w:szCs w:val="20"/>
              </w:rPr>
              <w:t>　</w:t>
            </w:r>
          </w:p>
        </w:tc>
        <w:tc>
          <w:tcPr>
            <w:tcW w:w="709" w:type="dxa"/>
            <w:tcBorders>
              <w:top w:val="nil"/>
              <w:left w:val="nil"/>
              <w:bottom w:val="single" w:color="auto" w:sz="4" w:space="0"/>
              <w:right w:val="single" w:color="auto" w:sz="4" w:space="0"/>
            </w:tcBorders>
            <w:shd w:val="clear" w:color="000000" w:fill="FFFFFF"/>
            <w:vAlign w:val="center"/>
          </w:tcPr>
          <w:p>
            <w:pPr>
              <w:rPr>
                <w:rFonts w:ascii="宋体" w:cs="宋体"/>
                <w:sz w:val="20"/>
                <w:szCs w:val="20"/>
              </w:rPr>
            </w:pPr>
            <w:r>
              <w:rPr>
                <w:rFonts w:hint="eastAsia"/>
                <w:sz w:val="20"/>
                <w:szCs w:val="20"/>
              </w:rPr>
              <w:t>　</w:t>
            </w:r>
          </w:p>
        </w:tc>
        <w:tc>
          <w:tcPr>
            <w:tcW w:w="1559"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未按要求公开的，发现一处问题</w:t>
            </w:r>
            <w:r>
              <w:rPr>
                <w:sz w:val="20"/>
                <w:szCs w:val="20"/>
              </w:rPr>
              <w:t>0.5</w:t>
            </w:r>
            <w:r>
              <w:rPr>
                <w:rFonts w:hint="eastAsia"/>
                <w:sz w:val="20"/>
                <w:szCs w:val="20"/>
              </w:rPr>
              <w:t>分，直至扣完</w:t>
            </w:r>
          </w:p>
        </w:tc>
        <w:tc>
          <w:tcPr>
            <w:tcW w:w="5894" w:type="dxa"/>
            <w:gridSpan w:val="3"/>
            <w:tcBorders>
              <w:top w:val="nil"/>
              <w:left w:val="nil"/>
              <w:bottom w:val="nil"/>
              <w:right w:val="nil"/>
            </w:tcBorders>
            <w:vAlign w:val="center"/>
          </w:tcPr>
          <w:p>
            <w:pPr>
              <w:rPr>
                <w:rFonts w:ascii="宋体" w:cs="宋体"/>
                <w:sz w:val="24"/>
              </w:rPr>
            </w:pPr>
          </w:p>
        </w:tc>
        <w:tc>
          <w:tcPr>
            <w:tcW w:w="4000" w:type="dxa"/>
            <w:gridSpan w:val="3"/>
            <w:tcBorders>
              <w:top w:val="nil"/>
              <w:left w:val="nil"/>
              <w:bottom w:val="nil"/>
              <w:right w:val="nil"/>
            </w:tcBorders>
            <w:vAlign w:val="center"/>
          </w:tcPr>
          <w:p>
            <w:pPr>
              <w:rPr>
                <w:rFonts w:ascii="宋体" w:cs="宋体"/>
                <w:sz w:val="16"/>
                <w:szCs w:val="16"/>
              </w:rPr>
            </w:pPr>
          </w:p>
        </w:tc>
      </w:tr>
      <w:tr>
        <w:tblPrEx>
          <w:tblLayout w:type="fixed"/>
          <w:tblCellMar>
            <w:top w:w="0" w:type="dxa"/>
            <w:left w:w="108" w:type="dxa"/>
            <w:bottom w:w="0" w:type="dxa"/>
            <w:right w:w="108" w:type="dxa"/>
          </w:tblCellMar>
        </w:tblPrEx>
        <w:trPr>
          <w:gridAfter w:val="3"/>
          <w:wAfter w:w="11944" w:type="dxa"/>
          <w:trHeight w:val="1530" w:hRule="atLeast"/>
        </w:trPr>
        <w:tc>
          <w:tcPr>
            <w:tcW w:w="616" w:type="dxa"/>
            <w:vMerge w:val="continue"/>
            <w:tcBorders>
              <w:top w:val="nil"/>
              <w:left w:val="single" w:color="auto" w:sz="4" w:space="0"/>
              <w:bottom w:val="single" w:color="000000" w:sz="4" w:space="0"/>
              <w:right w:val="single" w:color="auto" w:sz="4" w:space="0"/>
            </w:tcBorders>
            <w:vAlign w:val="center"/>
          </w:tcPr>
          <w:p>
            <w:pPr>
              <w:rPr>
                <w:rFonts w:ascii="宋体" w:cs="宋体"/>
                <w:sz w:val="20"/>
                <w:szCs w:val="20"/>
              </w:rPr>
            </w:pPr>
          </w:p>
        </w:tc>
        <w:tc>
          <w:tcPr>
            <w:tcW w:w="675" w:type="dxa"/>
            <w:vMerge w:val="restart"/>
            <w:tcBorders>
              <w:top w:val="nil"/>
              <w:left w:val="single" w:color="auto" w:sz="4" w:space="0"/>
              <w:bottom w:val="single" w:color="000000" w:sz="4" w:space="0"/>
              <w:right w:val="single" w:color="auto" w:sz="4" w:space="0"/>
            </w:tcBorders>
            <w:vAlign w:val="center"/>
          </w:tcPr>
          <w:p>
            <w:pPr>
              <w:rPr>
                <w:rFonts w:ascii="宋体" w:cs="宋体"/>
                <w:sz w:val="20"/>
                <w:szCs w:val="20"/>
              </w:rPr>
            </w:pPr>
            <w:r>
              <w:rPr>
                <w:rFonts w:hint="eastAsia"/>
                <w:sz w:val="20"/>
                <w:szCs w:val="20"/>
              </w:rPr>
              <w:t>绩效评价（</w:t>
            </w:r>
            <w:r>
              <w:rPr>
                <w:sz w:val="20"/>
                <w:szCs w:val="20"/>
              </w:rPr>
              <w:t>10</w:t>
            </w:r>
            <w:r>
              <w:rPr>
                <w:rFonts w:hint="eastAsia"/>
                <w:sz w:val="20"/>
                <w:szCs w:val="20"/>
              </w:rPr>
              <w:t>分）</w:t>
            </w:r>
          </w:p>
        </w:tc>
        <w:tc>
          <w:tcPr>
            <w:tcW w:w="1701"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评价项目覆盖率（</w:t>
            </w:r>
            <w:r>
              <w:rPr>
                <w:sz w:val="20"/>
                <w:szCs w:val="20"/>
              </w:rPr>
              <w:t>2</w:t>
            </w:r>
            <w:r>
              <w:rPr>
                <w:rFonts w:hint="eastAsia"/>
                <w:sz w:val="20"/>
                <w:szCs w:val="20"/>
              </w:rPr>
              <w:t>分）</w:t>
            </w:r>
          </w:p>
        </w:tc>
        <w:tc>
          <w:tcPr>
            <w:tcW w:w="2552"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部门实施绩效评价项目数量占部门管理专项预算项目数量的比重，部门申报绩效目标项目数量的比重，用以反映和考核部门实施绩效评价项目资金覆盖情况</w:t>
            </w:r>
          </w:p>
        </w:tc>
        <w:tc>
          <w:tcPr>
            <w:tcW w:w="850" w:type="dxa"/>
            <w:tcBorders>
              <w:top w:val="nil"/>
              <w:left w:val="nil"/>
              <w:bottom w:val="single" w:color="auto" w:sz="4" w:space="0"/>
              <w:right w:val="single" w:color="auto" w:sz="4" w:space="0"/>
            </w:tcBorders>
            <w:shd w:val="clear" w:color="000000" w:fill="FFFFFF"/>
            <w:vAlign w:val="center"/>
          </w:tcPr>
          <w:p>
            <w:pPr>
              <w:rPr>
                <w:rFonts w:ascii="宋体" w:cs="宋体"/>
                <w:sz w:val="20"/>
                <w:szCs w:val="20"/>
              </w:rPr>
            </w:pPr>
            <w:r>
              <w:rPr>
                <w:rFonts w:hint="eastAsia"/>
                <w:sz w:val="20"/>
                <w:szCs w:val="20"/>
              </w:rPr>
              <w:t>　</w:t>
            </w:r>
          </w:p>
        </w:tc>
        <w:tc>
          <w:tcPr>
            <w:tcW w:w="709" w:type="dxa"/>
            <w:tcBorders>
              <w:top w:val="nil"/>
              <w:left w:val="nil"/>
              <w:bottom w:val="single" w:color="auto" w:sz="4" w:space="0"/>
              <w:right w:val="single" w:color="auto" w:sz="4" w:space="0"/>
            </w:tcBorders>
            <w:shd w:val="clear" w:color="000000" w:fill="FFFFFF"/>
            <w:vAlign w:val="center"/>
          </w:tcPr>
          <w:p>
            <w:pPr>
              <w:rPr>
                <w:rFonts w:ascii="宋体" w:cs="宋体"/>
                <w:sz w:val="20"/>
                <w:szCs w:val="20"/>
              </w:rPr>
            </w:pPr>
            <w:r>
              <w:rPr>
                <w:rFonts w:hint="eastAsia"/>
                <w:sz w:val="20"/>
                <w:szCs w:val="20"/>
              </w:rPr>
              <w:t>　</w:t>
            </w:r>
          </w:p>
        </w:tc>
        <w:tc>
          <w:tcPr>
            <w:tcW w:w="1559"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评价覆盖率</w:t>
            </w:r>
            <w:r>
              <w:rPr>
                <w:sz w:val="20"/>
                <w:szCs w:val="20"/>
              </w:rPr>
              <w:t>=</w:t>
            </w:r>
            <w:r>
              <w:rPr>
                <w:rFonts w:hint="eastAsia"/>
                <w:sz w:val="20"/>
                <w:szCs w:val="20"/>
              </w:rPr>
              <w:t>实施绩效评价项目数量</w:t>
            </w:r>
            <w:r>
              <w:rPr>
                <w:sz w:val="20"/>
                <w:szCs w:val="20"/>
              </w:rPr>
              <w:t>/</w:t>
            </w:r>
            <w:r>
              <w:rPr>
                <w:rFonts w:hint="eastAsia"/>
                <w:sz w:val="20"/>
                <w:szCs w:val="20"/>
              </w:rPr>
              <w:t>部门管理专项预算项目数量×</w:t>
            </w:r>
            <w:r>
              <w:rPr>
                <w:sz w:val="20"/>
                <w:szCs w:val="20"/>
              </w:rPr>
              <w:t>100%</w:t>
            </w:r>
          </w:p>
        </w:tc>
        <w:tc>
          <w:tcPr>
            <w:tcW w:w="5894" w:type="dxa"/>
            <w:gridSpan w:val="3"/>
            <w:tcBorders>
              <w:top w:val="nil"/>
              <w:left w:val="nil"/>
              <w:bottom w:val="nil"/>
              <w:right w:val="nil"/>
            </w:tcBorders>
            <w:vAlign w:val="center"/>
          </w:tcPr>
          <w:p>
            <w:pPr>
              <w:rPr>
                <w:rFonts w:ascii="宋体" w:cs="宋体"/>
                <w:sz w:val="24"/>
              </w:rPr>
            </w:pPr>
          </w:p>
        </w:tc>
        <w:tc>
          <w:tcPr>
            <w:tcW w:w="4000" w:type="dxa"/>
            <w:gridSpan w:val="3"/>
            <w:tcBorders>
              <w:top w:val="nil"/>
              <w:left w:val="nil"/>
              <w:bottom w:val="nil"/>
              <w:right w:val="nil"/>
            </w:tcBorders>
            <w:vAlign w:val="center"/>
          </w:tcPr>
          <w:p>
            <w:pPr>
              <w:rPr>
                <w:rFonts w:ascii="宋体" w:cs="宋体"/>
                <w:sz w:val="16"/>
                <w:szCs w:val="16"/>
              </w:rPr>
            </w:pPr>
          </w:p>
        </w:tc>
      </w:tr>
      <w:tr>
        <w:tblPrEx>
          <w:tblLayout w:type="fixed"/>
          <w:tblCellMar>
            <w:top w:w="0" w:type="dxa"/>
            <w:left w:w="108" w:type="dxa"/>
            <w:bottom w:w="0" w:type="dxa"/>
            <w:right w:w="108" w:type="dxa"/>
          </w:tblCellMar>
        </w:tblPrEx>
        <w:trPr>
          <w:gridAfter w:val="3"/>
          <w:wAfter w:w="11944" w:type="dxa"/>
          <w:trHeight w:val="780" w:hRule="atLeast"/>
        </w:trPr>
        <w:tc>
          <w:tcPr>
            <w:tcW w:w="616" w:type="dxa"/>
            <w:vMerge w:val="continue"/>
            <w:tcBorders>
              <w:top w:val="nil"/>
              <w:left w:val="single" w:color="auto" w:sz="4" w:space="0"/>
              <w:bottom w:val="single" w:color="000000" w:sz="4" w:space="0"/>
              <w:right w:val="single" w:color="auto" w:sz="4" w:space="0"/>
            </w:tcBorders>
            <w:vAlign w:val="center"/>
          </w:tcPr>
          <w:p>
            <w:pPr>
              <w:rPr>
                <w:rFonts w:ascii="宋体" w:cs="宋体"/>
                <w:sz w:val="20"/>
                <w:szCs w:val="20"/>
              </w:rPr>
            </w:pPr>
          </w:p>
        </w:tc>
        <w:tc>
          <w:tcPr>
            <w:tcW w:w="675" w:type="dxa"/>
            <w:vMerge w:val="continue"/>
            <w:tcBorders>
              <w:top w:val="nil"/>
              <w:left w:val="single" w:color="auto" w:sz="4" w:space="0"/>
              <w:bottom w:val="single" w:color="000000" w:sz="4" w:space="0"/>
              <w:right w:val="single" w:color="auto" w:sz="4" w:space="0"/>
            </w:tcBorders>
            <w:vAlign w:val="center"/>
          </w:tcPr>
          <w:p>
            <w:pPr>
              <w:rPr>
                <w:rFonts w:ascii="宋体" w:cs="宋体"/>
                <w:sz w:val="20"/>
                <w:szCs w:val="20"/>
              </w:rPr>
            </w:pPr>
          </w:p>
        </w:tc>
        <w:tc>
          <w:tcPr>
            <w:tcW w:w="1701"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评价层次（</w:t>
            </w:r>
            <w:r>
              <w:rPr>
                <w:sz w:val="20"/>
                <w:szCs w:val="20"/>
              </w:rPr>
              <w:t>2</w:t>
            </w:r>
            <w:r>
              <w:rPr>
                <w:rFonts w:hint="eastAsia"/>
                <w:sz w:val="20"/>
                <w:szCs w:val="20"/>
              </w:rPr>
              <w:t>分）</w:t>
            </w:r>
          </w:p>
        </w:tc>
        <w:tc>
          <w:tcPr>
            <w:tcW w:w="2552"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部门（单位）是否对单位内部股室开展整体绩效评价</w:t>
            </w:r>
          </w:p>
        </w:tc>
        <w:tc>
          <w:tcPr>
            <w:tcW w:w="850" w:type="dxa"/>
            <w:tcBorders>
              <w:top w:val="nil"/>
              <w:left w:val="nil"/>
              <w:bottom w:val="single" w:color="auto" w:sz="4" w:space="0"/>
              <w:right w:val="single" w:color="auto" w:sz="4" w:space="0"/>
            </w:tcBorders>
            <w:shd w:val="clear" w:color="000000" w:fill="FFFFFF"/>
            <w:vAlign w:val="center"/>
          </w:tcPr>
          <w:p>
            <w:pPr>
              <w:rPr>
                <w:rFonts w:ascii="宋体" w:cs="宋体"/>
                <w:sz w:val="20"/>
                <w:szCs w:val="20"/>
              </w:rPr>
            </w:pPr>
            <w:r>
              <w:rPr>
                <w:rFonts w:hint="eastAsia"/>
                <w:sz w:val="20"/>
                <w:szCs w:val="20"/>
              </w:rPr>
              <w:t>　</w:t>
            </w:r>
          </w:p>
        </w:tc>
        <w:tc>
          <w:tcPr>
            <w:tcW w:w="709" w:type="dxa"/>
            <w:tcBorders>
              <w:top w:val="nil"/>
              <w:left w:val="nil"/>
              <w:bottom w:val="single" w:color="auto" w:sz="4" w:space="0"/>
              <w:right w:val="single" w:color="auto" w:sz="4" w:space="0"/>
            </w:tcBorders>
            <w:shd w:val="clear" w:color="000000" w:fill="FFFFFF"/>
            <w:vAlign w:val="center"/>
          </w:tcPr>
          <w:p>
            <w:pPr>
              <w:rPr>
                <w:rFonts w:ascii="宋体" w:cs="宋体"/>
                <w:sz w:val="20"/>
                <w:szCs w:val="20"/>
              </w:rPr>
            </w:pPr>
            <w:r>
              <w:rPr>
                <w:rFonts w:hint="eastAsia"/>
                <w:sz w:val="20"/>
                <w:szCs w:val="20"/>
              </w:rPr>
              <w:t>　</w:t>
            </w:r>
          </w:p>
        </w:tc>
        <w:tc>
          <w:tcPr>
            <w:tcW w:w="1559"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对单位内部实施评价的得分，否则不得分</w:t>
            </w:r>
          </w:p>
        </w:tc>
        <w:tc>
          <w:tcPr>
            <w:tcW w:w="5894" w:type="dxa"/>
            <w:gridSpan w:val="3"/>
            <w:tcBorders>
              <w:top w:val="nil"/>
              <w:left w:val="nil"/>
              <w:bottom w:val="nil"/>
              <w:right w:val="nil"/>
            </w:tcBorders>
            <w:vAlign w:val="center"/>
          </w:tcPr>
          <w:p>
            <w:pPr>
              <w:rPr>
                <w:rFonts w:ascii="宋体" w:cs="宋体"/>
                <w:sz w:val="24"/>
              </w:rPr>
            </w:pPr>
          </w:p>
        </w:tc>
        <w:tc>
          <w:tcPr>
            <w:tcW w:w="4000" w:type="dxa"/>
            <w:gridSpan w:val="3"/>
            <w:tcBorders>
              <w:top w:val="nil"/>
              <w:left w:val="nil"/>
              <w:bottom w:val="nil"/>
              <w:right w:val="nil"/>
            </w:tcBorders>
            <w:vAlign w:val="center"/>
          </w:tcPr>
          <w:p>
            <w:pPr>
              <w:rPr>
                <w:rFonts w:ascii="宋体" w:cs="宋体"/>
                <w:sz w:val="16"/>
                <w:szCs w:val="16"/>
              </w:rPr>
            </w:pPr>
          </w:p>
        </w:tc>
      </w:tr>
      <w:tr>
        <w:tblPrEx>
          <w:tblLayout w:type="fixed"/>
          <w:tblCellMar>
            <w:top w:w="0" w:type="dxa"/>
            <w:left w:w="108" w:type="dxa"/>
            <w:bottom w:w="0" w:type="dxa"/>
            <w:right w:w="108" w:type="dxa"/>
          </w:tblCellMar>
        </w:tblPrEx>
        <w:trPr>
          <w:gridAfter w:val="3"/>
          <w:wAfter w:w="11944" w:type="dxa"/>
          <w:trHeight w:val="525" w:hRule="atLeast"/>
        </w:trPr>
        <w:tc>
          <w:tcPr>
            <w:tcW w:w="616" w:type="dxa"/>
            <w:vMerge w:val="continue"/>
            <w:tcBorders>
              <w:top w:val="nil"/>
              <w:left w:val="single" w:color="auto" w:sz="4" w:space="0"/>
              <w:bottom w:val="single" w:color="000000" w:sz="4" w:space="0"/>
              <w:right w:val="single" w:color="auto" w:sz="4" w:space="0"/>
            </w:tcBorders>
            <w:vAlign w:val="center"/>
          </w:tcPr>
          <w:p>
            <w:pPr>
              <w:rPr>
                <w:rFonts w:ascii="宋体" w:cs="宋体"/>
                <w:sz w:val="20"/>
                <w:szCs w:val="20"/>
              </w:rPr>
            </w:pPr>
          </w:p>
        </w:tc>
        <w:tc>
          <w:tcPr>
            <w:tcW w:w="675" w:type="dxa"/>
            <w:vMerge w:val="continue"/>
            <w:tcBorders>
              <w:top w:val="nil"/>
              <w:left w:val="single" w:color="auto" w:sz="4" w:space="0"/>
              <w:bottom w:val="single" w:color="000000" w:sz="4" w:space="0"/>
              <w:right w:val="single" w:color="auto" w:sz="4" w:space="0"/>
            </w:tcBorders>
            <w:vAlign w:val="center"/>
          </w:tcPr>
          <w:p>
            <w:pPr>
              <w:rPr>
                <w:rFonts w:ascii="宋体" w:cs="宋体"/>
                <w:sz w:val="20"/>
                <w:szCs w:val="20"/>
              </w:rPr>
            </w:pPr>
          </w:p>
        </w:tc>
        <w:tc>
          <w:tcPr>
            <w:tcW w:w="1701"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评价结果报告（</w:t>
            </w:r>
            <w:r>
              <w:rPr>
                <w:sz w:val="20"/>
                <w:szCs w:val="20"/>
              </w:rPr>
              <w:t>2</w:t>
            </w:r>
            <w:r>
              <w:rPr>
                <w:rFonts w:hint="eastAsia"/>
                <w:sz w:val="20"/>
                <w:szCs w:val="20"/>
              </w:rPr>
              <w:t>分）</w:t>
            </w:r>
          </w:p>
        </w:tc>
        <w:tc>
          <w:tcPr>
            <w:tcW w:w="2552"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部门是否按要求向财政部门报告自评报告等相关绩效信息</w:t>
            </w:r>
          </w:p>
        </w:tc>
        <w:tc>
          <w:tcPr>
            <w:tcW w:w="850" w:type="dxa"/>
            <w:tcBorders>
              <w:top w:val="nil"/>
              <w:left w:val="nil"/>
              <w:bottom w:val="single" w:color="auto" w:sz="4" w:space="0"/>
              <w:right w:val="single" w:color="auto" w:sz="4" w:space="0"/>
            </w:tcBorders>
            <w:shd w:val="clear" w:color="000000" w:fill="FFFFFF"/>
            <w:vAlign w:val="center"/>
          </w:tcPr>
          <w:p>
            <w:pPr>
              <w:rPr>
                <w:rFonts w:ascii="宋体" w:cs="宋体"/>
                <w:sz w:val="20"/>
                <w:szCs w:val="20"/>
              </w:rPr>
            </w:pPr>
            <w:r>
              <w:rPr>
                <w:rFonts w:hint="eastAsia"/>
                <w:sz w:val="20"/>
                <w:szCs w:val="20"/>
              </w:rPr>
              <w:t>　</w:t>
            </w:r>
          </w:p>
        </w:tc>
        <w:tc>
          <w:tcPr>
            <w:tcW w:w="709" w:type="dxa"/>
            <w:tcBorders>
              <w:top w:val="nil"/>
              <w:left w:val="nil"/>
              <w:bottom w:val="single" w:color="auto" w:sz="4" w:space="0"/>
              <w:right w:val="single" w:color="auto" w:sz="4" w:space="0"/>
            </w:tcBorders>
            <w:shd w:val="clear" w:color="000000" w:fill="FFFFFF"/>
            <w:vAlign w:val="center"/>
          </w:tcPr>
          <w:p>
            <w:pPr>
              <w:rPr>
                <w:rFonts w:ascii="宋体" w:cs="宋体"/>
                <w:sz w:val="20"/>
                <w:szCs w:val="20"/>
              </w:rPr>
            </w:pPr>
            <w:r>
              <w:rPr>
                <w:rFonts w:hint="eastAsia"/>
                <w:sz w:val="20"/>
                <w:szCs w:val="20"/>
              </w:rPr>
              <w:t>　</w:t>
            </w:r>
          </w:p>
        </w:tc>
        <w:tc>
          <w:tcPr>
            <w:tcW w:w="1559"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未按要求报送的，发现一处扣</w:t>
            </w:r>
            <w:r>
              <w:rPr>
                <w:sz w:val="20"/>
                <w:szCs w:val="20"/>
              </w:rPr>
              <w:t>0.5</w:t>
            </w:r>
            <w:r>
              <w:rPr>
                <w:rFonts w:hint="eastAsia"/>
                <w:sz w:val="20"/>
                <w:szCs w:val="20"/>
              </w:rPr>
              <w:t>分，直至扣完。</w:t>
            </w:r>
          </w:p>
        </w:tc>
        <w:tc>
          <w:tcPr>
            <w:tcW w:w="5894" w:type="dxa"/>
            <w:gridSpan w:val="3"/>
            <w:tcBorders>
              <w:top w:val="nil"/>
              <w:left w:val="nil"/>
              <w:bottom w:val="nil"/>
              <w:right w:val="nil"/>
            </w:tcBorders>
            <w:vAlign w:val="center"/>
          </w:tcPr>
          <w:p>
            <w:pPr>
              <w:rPr>
                <w:rFonts w:ascii="宋体" w:cs="宋体"/>
                <w:sz w:val="24"/>
              </w:rPr>
            </w:pPr>
          </w:p>
        </w:tc>
        <w:tc>
          <w:tcPr>
            <w:tcW w:w="4000" w:type="dxa"/>
            <w:gridSpan w:val="3"/>
            <w:tcBorders>
              <w:top w:val="nil"/>
              <w:left w:val="nil"/>
              <w:bottom w:val="nil"/>
              <w:right w:val="nil"/>
            </w:tcBorders>
            <w:vAlign w:val="center"/>
          </w:tcPr>
          <w:p>
            <w:pPr>
              <w:rPr>
                <w:rFonts w:ascii="宋体" w:cs="宋体"/>
                <w:sz w:val="16"/>
                <w:szCs w:val="16"/>
              </w:rPr>
            </w:pPr>
          </w:p>
        </w:tc>
      </w:tr>
      <w:tr>
        <w:tblPrEx>
          <w:tblLayout w:type="fixed"/>
          <w:tblCellMar>
            <w:top w:w="0" w:type="dxa"/>
            <w:left w:w="108" w:type="dxa"/>
            <w:bottom w:w="0" w:type="dxa"/>
            <w:right w:w="108" w:type="dxa"/>
          </w:tblCellMar>
        </w:tblPrEx>
        <w:trPr>
          <w:gridAfter w:val="3"/>
          <w:wAfter w:w="11944" w:type="dxa"/>
          <w:trHeight w:val="750" w:hRule="atLeast"/>
        </w:trPr>
        <w:tc>
          <w:tcPr>
            <w:tcW w:w="616" w:type="dxa"/>
            <w:vMerge w:val="continue"/>
            <w:tcBorders>
              <w:top w:val="nil"/>
              <w:left w:val="single" w:color="auto" w:sz="4" w:space="0"/>
              <w:bottom w:val="single" w:color="000000" w:sz="4" w:space="0"/>
              <w:right w:val="single" w:color="auto" w:sz="4" w:space="0"/>
            </w:tcBorders>
            <w:vAlign w:val="center"/>
          </w:tcPr>
          <w:p>
            <w:pPr>
              <w:rPr>
                <w:rFonts w:ascii="宋体" w:cs="宋体"/>
                <w:sz w:val="20"/>
                <w:szCs w:val="20"/>
              </w:rPr>
            </w:pPr>
          </w:p>
        </w:tc>
        <w:tc>
          <w:tcPr>
            <w:tcW w:w="675" w:type="dxa"/>
            <w:vMerge w:val="continue"/>
            <w:tcBorders>
              <w:top w:val="nil"/>
              <w:left w:val="single" w:color="auto" w:sz="4" w:space="0"/>
              <w:bottom w:val="single" w:color="000000" w:sz="4" w:space="0"/>
              <w:right w:val="single" w:color="auto" w:sz="4" w:space="0"/>
            </w:tcBorders>
            <w:vAlign w:val="center"/>
          </w:tcPr>
          <w:p>
            <w:pPr>
              <w:rPr>
                <w:rFonts w:ascii="宋体" w:cs="宋体"/>
                <w:sz w:val="20"/>
                <w:szCs w:val="20"/>
              </w:rPr>
            </w:pPr>
          </w:p>
        </w:tc>
        <w:tc>
          <w:tcPr>
            <w:tcW w:w="1701"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整改完成率（</w:t>
            </w:r>
            <w:r>
              <w:rPr>
                <w:sz w:val="20"/>
                <w:szCs w:val="20"/>
              </w:rPr>
              <w:t>4</w:t>
            </w:r>
            <w:r>
              <w:rPr>
                <w:rFonts w:hint="eastAsia"/>
                <w:sz w:val="20"/>
                <w:szCs w:val="20"/>
              </w:rPr>
              <w:t>分）</w:t>
            </w:r>
          </w:p>
        </w:tc>
        <w:tc>
          <w:tcPr>
            <w:tcW w:w="2552"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部门是否按要求针对绩效评价发现问题制定整改措施，并整改落实到位</w:t>
            </w:r>
          </w:p>
        </w:tc>
        <w:tc>
          <w:tcPr>
            <w:tcW w:w="850" w:type="dxa"/>
            <w:tcBorders>
              <w:top w:val="nil"/>
              <w:left w:val="nil"/>
              <w:bottom w:val="single" w:color="auto" w:sz="4" w:space="0"/>
              <w:right w:val="single" w:color="auto" w:sz="4" w:space="0"/>
            </w:tcBorders>
            <w:shd w:val="clear" w:color="000000" w:fill="FFFFFF"/>
            <w:vAlign w:val="center"/>
          </w:tcPr>
          <w:p>
            <w:pPr>
              <w:rPr>
                <w:rFonts w:ascii="宋体" w:cs="宋体"/>
                <w:sz w:val="20"/>
                <w:szCs w:val="20"/>
              </w:rPr>
            </w:pPr>
            <w:r>
              <w:rPr>
                <w:rFonts w:hint="eastAsia"/>
                <w:sz w:val="20"/>
                <w:szCs w:val="20"/>
              </w:rPr>
              <w:t>　</w:t>
            </w:r>
          </w:p>
        </w:tc>
        <w:tc>
          <w:tcPr>
            <w:tcW w:w="709" w:type="dxa"/>
            <w:tcBorders>
              <w:top w:val="nil"/>
              <w:left w:val="nil"/>
              <w:bottom w:val="single" w:color="auto" w:sz="4" w:space="0"/>
              <w:right w:val="single" w:color="auto" w:sz="4" w:space="0"/>
            </w:tcBorders>
            <w:shd w:val="clear" w:color="000000" w:fill="FFFFFF"/>
            <w:vAlign w:val="center"/>
          </w:tcPr>
          <w:p>
            <w:pPr>
              <w:rPr>
                <w:rFonts w:ascii="宋体" w:cs="宋体"/>
                <w:sz w:val="20"/>
                <w:szCs w:val="20"/>
              </w:rPr>
            </w:pPr>
            <w:r>
              <w:rPr>
                <w:rFonts w:hint="eastAsia"/>
                <w:sz w:val="20"/>
                <w:szCs w:val="20"/>
              </w:rPr>
              <w:t>　</w:t>
            </w:r>
          </w:p>
        </w:tc>
        <w:tc>
          <w:tcPr>
            <w:tcW w:w="1559"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完成率</w:t>
            </w:r>
            <w:r>
              <w:rPr>
                <w:sz w:val="20"/>
                <w:szCs w:val="20"/>
              </w:rPr>
              <w:t>=</w:t>
            </w:r>
            <w:r>
              <w:rPr>
                <w:rFonts w:hint="eastAsia"/>
                <w:sz w:val="20"/>
                <w:szCs w:val="20"/>
              </w:rPr>
              <w:t>应制定整改措施的项目数量</w:t>
            </w:r>
            <w:r>
              <w:rPr>
                <w:sz w:val="20"/>
                <w:szCs w:val="20"/>
              </w:rPr>
              <w:t>/</w:t>
            </w:r>
            <w:r>
              <w:rPr>
                <w:rFonts w:hint="eastAsia"/>
                <w:sz w:val="20"/>
                <w:szCs w:val="20"/>
              </w:rPr>
              <w:t>部门实际制定整改措施项目数量×</w:t>
            </w:r>
            <w:r>
              <w:rPr>
                <w:sz w:val="20"/>
                <w:szCs w:val="20"/>
              </w:rPr>
              <w:t>100%</w:t>
            </w:r>
            <w:r>
              <w:rPr>
                <w:rFonts w:hint="eastAsia"/>
                <w:sz w:val="20"/>
                <w:szCs w:val="20"/>
              </w:rPr>
              <w:t>。</w:t>
            </w:r>
          </w:p>
        </w:tc>
        <w:tc>
          <w:tcPr>
            <w:tcW w:w="5894" w:type="dxa"/>
            <w:gridSpan w:val="3"/>
            <w:tcBorders>
              <w:top w:val="nil"/>
              <w:left w:val="nil"/>
              <w:bottom w:val="nil"/>
              <w:right w:val="nil"/>
            </w:tcBorders>
            <w:vAlign w:val="center"/>
          </w:tcPr>
          <w:p>
            <w:pPr>
              <w:rPr>
                <w:rFonts w:ascii="宋体" w:cs="宋体"/>
                <w:sz w:val="24"/>
              </w:rPr>
            </w:pPr>
          </w:p>
        </w:tc>
        <w:tc>
          <w:tcPr>
            <w:tcW w:w="4000" w:type="dxa"/>
            <w:gridSpan w:val="3"/>
            <w:tcBorders>
              <w:top w:val="nil"/>
              <w:left w:val="nil"/>
              <w:bottom w:val="nil"/>
              <w:right w:val="nil"/>
            </w:tcBorders>
            <w:vAlign w:val="center"/>
          </w:tcPr>
          <w:p>
            <w:pPr>
              <w:rPr>
                <w:rFonts w:ascii="宋体" w:cs="宋体"/>
                <w:sz w:val="16"/>
                <w:szCs w:val="16"/>
              </w:rPr>
            </w:pPr>
          </w:p>
        </w:tc>
      </w:tr>
      <w:tr>
        <w:tblPrEx>
          <w:tblLayout w:type="fixed"/>
          <w:tblCellMar>
            <w:top w:w="0" w:type="dxa"/>
            <w:left w:w="108" w:type="dxa"/>
            <w:bottom w:w="0" w:type="dxa"/>
            <w:right w:w="108" w:type="dxa"/>
          </w:tblCellMar>
        </w:tblPrEx>
        <w:trPr>
          <w:gridAfter w:val="3"/>
          <w:wAfter w:w="11944" w:type="dxa"/>
          <w:trHeight w:val="1665" w:hRule="atLeast"/>
        </w:trPr>
        <w:tc>
          <w:tcPr>
            <w:tcW w:w="616" w:type="dxa"/>
            <w:vMerge w:val="continue"/>
            <w:tcBorders>
              <w:top w:val="nil"/>
              <w:left w:val="single" w:color="auto" w:sz="4" w:space="0"/>
              <w:bottom w:val="single" w:color="000000" w:sz="4" w:space="0"/>
              <w:right w:val="single" w:color="auto" w:sz="4" w:space="0"/>
            </w:tcBorders>
            <w:vAlign w:val="center"/>
          </w:tcPr>
          <w:p>
            <w:pPr>
              <w:rPr>
                <w:rFonts w:ascii="宋体" w:cs="宋体"/>
                <w:sz w:val="20"/>
                <w:szCs w:val="20"/>
              </w:rPr>
            </w:pPr>
          </w:p>
        </w:tc>
        <w:tc>
          <w:tcPr>
            <w:tcW w:w="675" w:type="dxa"/>
            <w:vMerge w:val="restart"/>
            <w:tcBorders>
              <w:top w:val="nil"/>
              <w:left w:val="single" w:color="auto" w:sz="4" w:space="0"/>
              <w:bottom w:val="single" w:color="auto" w:sz="4" w:space="0"/>
              <w:right w:val="single" w:color="auto" w:sz="4" w:space="0"/>
            </w:tcBorders>
            <w:vAlign w:val="center"/>
          </w:tcPr>
          <w:p>
            <w:pPr>
              <w:rPr>
                <w:rFonts w:ascii="宋体" w:cs="宋体"/>
                <w:sz w:val="20"/>
                <w:szCs w:val="20"/>
              </w:rPr>
            </w:pPr>
            <w:r>
              <w:rPr>
                <w:rFonts w:hint="eastAsia"/>
                <w:sz w:val="20"/>
                <w:szCs w:val="20"/>
              </w:rPr>
              <w:t>依法接受财政监督（</w:t>
            </w:r>
            <w:r>
              <w:rPr>
                <w:sz w:val="20"/>
                <w:szCs w:val="20"/>
              </w:rPr>
              <w:t>6</w:t>
            </w:r>
            <w:r>
              <w:rPr>
                <w:rFonts w:hint="eastAsia"/>
                <w:sz w:val="20"/>
                <w:szCs w:val="20"/>
              </w:rPr>
              <w:t>分）</w:t>
            </w:r>
          </w:p>
        </w:tc>
        <w:tc>
          <w:tcPr>
            <w:tcW w:w="1701"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是否按要求开展自查自纠（</w:t>
            </w:r>
            <w:r>
              <w:rPr>
                <w:sz w:val="20"/>
                <w:szCs w:val="20"/>
              </w:rPr>
              <w:t>2</w:t>
            </w:r>
            <w:r>
              <w:rPr>
                <w:rFonts w:hint="eastAsia"/>
                <w:sz w:val="20"/>
                <w:szCs w:val="20"/>
              </w:rPr>
              <w:t>分）</w:t>
            </w:r>
          </w:p>
        </w:tc>
        <w:tc>
          <w:tcPr>
            <w:tcW w:w="2552"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根据相关自查自纠报告、报表报送时效和质量进行考核</w:t>
            </w:r>
          </w:p>
        </w:tc>
        <w:tc>
          <w:tcPr>
            <w:tcW w:w="850" w:type="dxa"/>
            <w:tcBorders>
              <w:top w:val="nil"/>
              <w:left w:val="nil"/>
              <w:bottom w:val="single" w:color="auto" w:sz="4" w:space="0"/>
              <w:right w:val="single" w:color="auto" w:sz="4" w:space="0"/>
            </w:tcBorders>
            <w:shd w:val="clear" w:color="000000" w:fill="FFFFFF"/>
            <w:vAlign w:val="center"/>
          </w:tcPr>
          <w:p>
            <w:pPr>
              <w:rPr>
                <w:rFonts w:ascii="宋体" w:cs="宋体"/>
                <w:sz w:val="20"/>
                <w:szCs w:val="20"/>
              </w:rPr>
            </w:pPr>
            <w:r>
              <w:rPr>
                <w:rFonts w:hint="eastAsia"/>
                <w:sz w:val="20"/>
                <w:szCs w:val="20"/>
              </w:rPr>
              <w:t>　</w:t>
            </w:r>
          </w:p>
        </w:tc>
        <w:tc>
          <w:tcPr>
            <w:tcW w:w="709" w:type="dxa"/>
            <w:tcBorders>
              <w:top w:val="nil"/>
              <w:left w:val="nil"/>
              <w:bottom w:val="single" w:color="auto" w:sz="4" w:space="0"/>
              <w:right w:val="single" w:color="auto" w:sz="4" w:space="0"/>
            </w:tcBorders>
            <w:shd w:val="clear" w:color="000000" w:fill="FFFFFF"/>
            <w:vAlign w:val="center"/>
          </w:tcPr>
          <w:p>
            <w:pPr>
              <w:rPr>
                <w:rFonts w:ascii="宋体" w:cs="宋体"/>
                <w:sz w:val="20"/>
                <w:szCs w:val="20"/>
              </w:rPr>
            </w:pPr>
            <w:r>
              <w:rPr>
                <w:rFonts w:hint="eastAsia"/>
                <w:sz w:val="20"/>
                <w:szCs w:val="20"/>
              </w:rPr>
              <w:t>　</w:t>
            </w:r>
          </w:p>
        </w:tc>
        <w:tc>
          <w:tcPr>
            <w:tcW w:w="1559"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未在规定时间内报送自查自纠相关材料（包括：纸质和电子版）的，扣</w:t>
            </w:r>
            <w:r>
              <w:rPr>
                <w:sz w:val="20"/>
                <w:szCs w:val="20"/>
              </w:rPr>
              <w:t>0.5</w:t>
            </w:r>
            <w:r>
              <w:rPr>
                <w:rFonts w:hint="eastAsia"/>
                <w:sz w:val="20"/>
                <w:szCs w:val="20"/>
              </w:rPr>
              <w:t>分；报告内容不完整，扣</w:t>
            </w:r>
            <w:r>
              <w:rPr>
                <w:sz w:val="20"/>
                <w:szCs w:val="20"/>
              </w:rPr>
              <w:t>1</w:t>
            </w:r>
            <w:r>
              <w:rPr>
                <w:rFonts w:hint="eastAsia"/>
                <w:sz w:val="20"/>
                <w:szCs w:val="20"/>
              </w:rPr>
              <w:t>分；报表质量差（如：数据、逻辑、勾稽关系错误）等扣</w:t>
            </w:r>
            <w:r>
              <w:rPr>
                <w:sz w:val="20"/>
                <w:szCs w:val="20"/>
              </w:rPr>
              <w:t>0.5</w:t>
            </w:r>
            <w:r>
              <w:rPr>
                <w:rFonts w:hint="eastAsia"/>
                <w:sz w:val="20"/>
                <w:szCs w:val="20"/>
              </w:rPr>
              <w:t>分；直至扣完</w:t>
            </w:r>
          </w:p>
        </w:tc>
        <w:tc>
          <w:tcPr>
            <w:tcW w:w="5894" w:type="dxa"/>
            <w:gridSpan w:val="3"/>
            <w:tcBorders>
              <w:top w:val="nil"/>
              <w:left w:val="nil"/>
              <w:bottom w:val="nil"/>
              <w:right w:val="nil"/>
            </w:tcBorders>
            <w:vAlign w:val="center"/>
          </w:tcPr>
          <w:p>
            <w:pPr>
              <w:rPr>
                <w:rFonts w:ascii="宋体" w:cs="宋体"/>
                <w:sz w:val="24"/>
              </w:rPr>
            </w:pPr>
          </w:p>
        </w:tc>
        <w:tc>
          <w:tcPr>
            <w:tcW w:w="4000" w:type="dxa"/>
            <w:gridSpan w:val="3"/>
            <w:tcBorders>
              <w:top w:val="nil"/>
              <w:left w:val="nil"/>
              <w:bottom w:val="nil"/>
              <w:right w:val="nil"/>
            </w:tcBorders>
            <w:vAlign w:val="center"/>
          </w:tcPr>
          <w:p>
            <w:pPr>
              <w:rPr>
                <w:rFonts w:ascii="宋体" w:cs="宋体"/>
                <w:sz w:val="16"/>
                <w:szCs w:val="16"/>
              </w:rPr>
            </w:pPr>
          </w:p>
        </w:tc>
      </w:tr>
      <w:tr>
        <w:tblPrEx>
          <w:tblLayout w:type="fixed"/>
          <w:tblCellMar>
            <w:top w:w="0" w:type="dxa"/>
            <w:left w:w="108" w:type="dxa"/>
            <w:bottom w:w="0" w:type="dxa"/>
            <w:right w:w="108" w:type="dxa"/>
          </w:tblCellMar>
        </w:tblPrEx>
        <w:trPr>
          <w:gridAfter w:val="3"/>
          <w:wAfter w:w="11944" w:type="dxa"/>
          <w:trHeight w:val="885" w:hRule="atLeast"/>
        </w:trPr>
        <w:tc>
          <w:tcPr>
            <w:tcW w:w="616" w:type="dxa"/>
            <w:vMerge w:val="continue"/>
            <w:tcBorders>
              <w:top w:val="nil"/>
              <w:left w:val="single" w:color="auto" w:sz="4" w:space="0"/>
              <w:bottom w:val="single" w:color="000000" w:sz="4" w:space="0"/>
              <w:right w:val="single" w:color="auto" w:sz="4" w:space="0"/>
            </w:tcBorders>
            <w:vAlign w:val="center"/>
          </w:tcPr>
          <w:p>
            <w:pPr>
              <w:rPr>
                <w:rFonts w:ascii="宋体" w:cs="宋体"/>
                <w:sz w:val="20"/>
                <w:szCs w:val="20"/>
              </w:rPr>
            </w:pPr>
          </w:p>
        </w:tc>
        <w:tc>
          <w:tcPr>
            <w:tcW w:w="675" w:type="dxa"/>
            <w:vMerge w:val="continue"/>
            <w:tcBorders>
              <w:top w:val="nil"/>
              <w:left w:val="single" w:color="auto" w:sz="4" w:space="0"/>
              <w:bottom w:val="single" w:color="auto" w:sz="4" w:space="0"/>
              <w:right w:val="single" w:color="auto" w:sz="4" w:space="0"/>
            </w:tcBorders>
            <w:vAlign w:val="center"/>
          </w:tcPr>
          <w:p>
            <w:pPr>
              <w:rPr>
                <w:rFonts w:ascii="宋体" w:cs="宋体"/>
                <w:sz w:val="20"/>
                <w:szCs w:val="20"/>
              </w:rPr>
            </w:pPr>
          </w:p>
        </w:tc>
        <w:tc>
          <w:tcPr>
            <w:tcW w:w="1701"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重点检查发现违规违纪问题（</w:t>
            </w:r>
            <w:r>
              <w:rPr>
                <w:sz w:val="20"/>
                <w:szCs w:val="20"/>
              </w:rPr>
              <w:t>2</w:t>
            </w:r>
            <w:r>
              <w:rPr>
                <w:rFonts w:hint="eastAsia"/>
                <w:sz w:val="20"/>
                <w:szCs w:val="20"/>
              </w:rPr>
              <w:t>分）</w:t>
            </w:r>
          </w:p>
        </w:tc>
        <w:tc>
          <w:tcPr>
            <w:tcW w:w="2552"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根据检查组提供的工作底稿、检查报告等资料进行考核</w:t>
            </w:r>
          </w:p>
        </w:tc>
        <w:tc>
          <w:tcPr>
            <w:tcW w:w="850" w:type="dxa"/>
            <w:tcBorders>
              <w:top w:val="nil"/>
              <w:left w:val="nil"/>
              <w:bottom w:val="single" w:color="auto" w:sz="4" w:space="0"/>
              <w:right w:val="single" w:color="auto" w:sz="4" w:space="0"/>
            </w:tcBorders>
            <w:shd w:val="clear" w:color="000000" w:fill="FFFFFF"/>
            <w:vAlign w:val="center"/>
          </w:tcPr>
          <w:p>
            <w:pPr>
              <w:rPr>
                <w:rFonts w:ascii="宋体" w:cs="宋体"/>
                <w:sz w:val="20"/>
                <w:szCs w:val="20"/>
              </w:rPr>
            </w:pPr>
            <w:r>
              <w:rPr>
                <w:rFonts w:hint="eastAsia"/>
                <w:sz w:val="20"/>
                <w:szCs w:val="20"/>
              </w:rPr>
              <w:t>　</w:t>
            </w:r>
          </w:p>
        </w:tc>
        <w:tc>
          <w:tcPr>
            <w:tcW w:w="709" w:type="dxa"/>
            <w:tcBorders>
              <w:top w:val="nil"/>
              <w:left w:val="nil"/>
              <w:bottom w:val="single" w:color="auto" w:sz="4" w:space="0"/>
              <w:right w:val="single" w:color="auto" w:sz="4" w:space="0"/>
            </w:tcBorders>
            <w:shd w:val="clear" w:color="000000" w:fill="FFFFFF"/>
            <w:vAlign w:val="center"/>
          </w:tcPr>
          <w:p>
            <w:pPr>
              <w:rPr>
                <w:rFonts w:ascii="宋体" w:cs="宋体"/>
                <w:sz w:val="20"/>
                <w:szCs w:val="20"/>
              </w:rPr>
            </w:pPr>
            <w:r>
              <w:rPr>
                <w:rFonts w:hint="eastAsia"/>
                <w:sz w:val="20"/>
                <w:szCs w:val="20"/>
              </w:rPr>
              <w:t>　</w:t>
            </w:r>
          </w:p>
        </w:tc>
        <w:tc>
          <w:tcPr>
            <w:tcW w:w="1559"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专项检查发现的违纪违规问题，每个问题扣</w:t>
            </w:r>
            <w:r>
              <w:rPr>
                <w:sz w:val="20"/>
                <w:szCs w:val="20"/>
              </w:rPr>
              <w:t>0.5</w:t>
            </w:r>
            <w:r>
              <w:rPr>
                <w:rFonts w:hint="eastAsia"/>
                <w:sz w:val="20"/>
                <w:szCs w:val="20"/>
              </w:rPr>
              <w:t>分，直至扣完</w:t>
            </w:r>
          </w:p>
        </w:tc>
        <w:tc>
          <w:tcPr>
            <w:tcW w:w="5894" w:type="dxa"/>
            <w:gridSpan w:val="3"/>
            <w:tcBorders>
              <w:top w:val="nil"/>
              <w:left w:val="nil"/>
              <w:bottom w:val="nil"/>
              <w:right w:val="nil"/>
            </w:tcBorders>
            <w:vAlign w:val="center"/>
          </w:tcPr>
          <w:p>
            <w:pPr>
              <w:rPr>
                <w:rFonts w:ascii="宋体" w:cs="宋体"/>
                <w:sz w:val="24"/>
              </w:rPr>
            </w:pPr>
          </w:p>
        </w:tc>
        <w:tc>
          <w:tcPr>
            <w:tcW w:w="4000" w:type="dxa"/>
            <w:gridSpan w:val="3"/>
            <w:tcBorders>
              <w:top w:val="nil"/>
              <w:left w:val="nil"/>
              <w:bottom w:val="nil"/>
              <w:right w:val="nil"/>
            </w:tcBorders>
            <w:vAlign w:val="center"/>
          </w:tcPr>
          <w:p>
            <w:pPr>
              <w:rPr>
                <w:rFonts w:ascii="宋体" w:cs="宋体"/>
                <w:sz w:val="16"/>
                <w:szCs w:val="16"/>
              </w:rPr>
            </w:pPr>
          </w:p>
        </w:tc>
      </w:tr>
      <w:tr>
        <w:tblPrEx>
          <w:tblLayout w:type="fixed"/>
          <w:tblCellMar>
            <w:top w:w="0" w:type="dxa"/>
            <w:left w:w="108" w:type="dxa"/>
            <w:bottom w:w="0" w:type="dxa"/>
            <w:right w:w="108" w:type="dxa"/>
          </w:tblCellMar>
        </w:tblPrEx>
        <w:trPr>
          <w:gridAfter w:val="3"/>
          <w:wAfter w:w="11944" w:type="dxa"/>
          <w:trHeight w:val="840" w:hRule="atLeast"/>
        </w:trPr>
        <w:tc>
          <w:tcPr>
            <w:tcW w:w="616" w:type="dxa"/>
            <w:vMerge w:val="continue"/>
            <w:tcBorders>
              <w:top w:val="nil"/>
              <w:left w:val="single" w:color="auto" w:sz="4" w:space="0"/>
              <w:bottom w:val="single" w:color="000000" w:sz="4" w:space="0"/>
              <w:right w:val="single" w:color="auto" w:sz="4" w:space="0"/>
            </w:tcBorders>
            <w:vAlign w:val="center"/>
          </w:tcPr>
          <w:p>
            <w:pPr>
              <w:rPr>
                <w:rFonts w:ascii="宋体" w:cs="宋体"/>
                <w:sz w:val="20"/>
                <w:szCs w:val="20"/>
              </w:rPr>
            </w:pPr>
          </w:p>
        </w:tc>
        <w:tc>
          <w:tcPr>
            <w:tcW w:w="675" w:type="dxa"/>
            <w:vMerge w:val="continue"/>
            <w:tcBorders>
              <w:top w:val="nil"/>
              <w:left w:val="single" w:color="auto" w:sz="4" w:space="0"/>
              <w:bottom w:val="single" w:color="auto" w:sz="4" w:space="0"/>
              <w:right w:val="single" w:color="auto" w:sz="4" w:space="0"/>
            </w:tcBorders>
            <w:vAlign w:val="center"/>
          </w:tcPr>
          <w:p>
            <w:pPr>
              <w:rPr>
                <w:rFonts w:ascii="宋体" w:cs="宋体"/>
                <w:sz w:val="20"/>
                <w:szCs w:val="20"/>
              </w:rPr>
            </w:pPr>
          </w:p>
        </w:tc>
        <w:tc>
          <w:tcPr>
            <w:tcW w:w="1701"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存在问题整改是否到位（</w:t>
            </w:r>
            <w:r>
              <w:rPr>
                <w:sz w:val="20"/>
                <w:szCs w:val="20"/>
              </w:rPr>
              <w:t>2</w:t>
            </w:r>
            <w:r>
              <w:rPr>
                <w:rFonts w:hint="eastAsia"/>
                <w:sz w:val="20"/>
                <w:szCs w:val="20"/>
              </w:rPr>
              <w:t>分）</w:t>
            </w:r>
          </w:p>
        </w:tc>
        <w:tc>
          <w:tcPr>
            <w:tcW w:w="2552"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根据相关整改报告、凭证依据等相关证明材料进行考核</w:t>
            </w:r>
          </w:p>
        </w:tc>
        <w:tc>
          <w:tcPr>
            <w:tcW w:w="850" w:type="dxa"/>
            <w:tcBorders>
              <w:top w:val="nil"/>
              <w:left w:val="nil"/>
              <w:bottom w:val="single" w:color="auto" w:sz="4" w:space="0"/>
              <w:right w:val="single" w:color="auto" w:sz="4" w:space="0"/>
            </w:tcBorders>
            <w:shd w:val="clear" w:color="000000" w:fill="FFFFFF"/>
            <w:vAlign w:val="center"/>
          </w:tcPr>
          <w:p>
            <w:pPr>
              <w:rPr>
                <w:rFonts w:ascii="宋体" w:cs="宋体"/>
                <w:sz w:val="20"/>
                <w:szCs w:val="20"/>
              </w:rPr>
            </w:pPr>
            <w:r>
              <w:rPr>
                <w:rFonts w:hint="eastAsia"/>
                <w:sz w:val="20"/>
                <w:szCs w:val="20"/>
              </w:rPr>
              <w:t>　</w:t>
            </w:r>
          </w:p>
        </w:tc>
        <w:tc>
          <w:tcPr>
            <w:tcW w:w="709" w:type="dxa"/>
            <w:tcBorders>
              <w:top w:val="nil"/>
              <w:left w:val="nil"/>
              <w:bottom w:val="single" w:color="auto" w:sz="4" w:space="0"/>
              <w:right w:val="single" w:color="auto" w:sz="4" w:space="0"/>
            </w:tcBorders>
            <w:shd w:val="clear" w:color="000000" w:fill="FFFFFF"/>
            <w:vAlign w:val="center"/>
          </w:tcPr>
          <w:p>
            <w:pPr>
              <w:rPr>
                <w:rFonts w:ascii="宋体" w:cs="宋体"/>
                <w:sz w:val="20"/>
                <w:szCs w:val="20"/>
              </w:rPr>
            </w:pPr>
            <w:r>
              <w:rPr>
                <w:rFonts w:hint="eastAsia"/>
                <w:sz w:val="20"/>
                <w:szCs w:val="20"/>
              </w:rPr>
              <w:t>　</w:t>
            </w:r>
          </w:p>
        </w:tc>
        <w:tc>
          <w:tcPr>
            <w:tcW w:w="1559"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未在规定时间内完成整改，并提供相关证明材料的，每个问题</w:t>
            </w:r>
            <w:r>
              <w:rPr>
                <w:sz w:val="20"/>
                <w:szCs w:val="20"/>
              </w:rPr>
              <w:t>0.5</w:t>
            </w:r>
            <w:r>
              <w:rPr>
                <w:rFonts w:hint="eastAsia"/>
                <w:sz w:val="20"/>
                <w:szCs w:val="20"/>
              </w:rPr>
              <w:t>分，直至扣完</w:t>
            </w:r>
          </w:p>
        </w:tc>
        <w:tc>
          <w:tcPr>
            <w:tcW w:w="5894" w:type="dxa"/>
            <w:gridSpan w:val="3"/>
            <w:tcBorders>
              <w:top w:val="nil"/>
              <w:left w:val="nil"/>
              <w:bottom w:val="nil"/>
              <w:right w:val="nil"/>
            </w:tcBorders>
            <w:vAlign w:val="center"/>
          </w:tcPr>
          <w:p>
            <w:pPr>
              <w:rPr>
                <w:rFonts w:ascii="宋体" w:cs="宋体"/>
                <w:sz w:val="24"/>
              </w:rPr>
            </w:pPr>
          </w:p>
        </w:tc>
        <w:tc>
          <w:tcPr>
            <w:tcW w:w="4000" w:type="dxa"/>
            <w:gridSpan w:val="3"/>
            <w:tcBorders>
              <w:top w:val="nil"/>
              <w:left w:val="nil"/>
              <w:bottom w:val="nil"/>
              <w:right w:val="nil"/>
            </w:tcBorders>
            <w:vAlign w:val="center"/>
          </w:tcPr>
          <w:p>
            <w:pPr>
              <w:rPr>
                <w:rFonts w:ascii="宋体" w:cs="宋体"/>
                <w:sz w:val="16"/>
                <w:szCs w:val="16"/>
              </w:rPr>
            </w:pPr>
          </w:p>
        </w:tc>
      </w:tr>
      <w:tr>
        <w:tblPrEx>
          <w:tblLayout w:type="fixed"/>
          <w:tblCellMar>
            <w:top w:w="0" w:type="dxa"/>
            <w:left w:w="108" w:type="dxa"/>
            <w:bottom w:w="0" w:type="dxa"/>
            <w:right w:w="108" w:type="dxa"/>
          </w:tblCellMar>
        </w:tblPrEx>
        <w:trPr>
          <w:gridAfter w:val="3"/>
          <w:wAfter w:w="11944" w:type="dxa"/>
          <w:trHeight w:val="630" w:hRule="atLeast"/>
        </w:trPr>
        <w:tc>
          <w:tcPr>
            <w:tcW w:w="616" w:type="dxa"/>
            <w:vMerge w:val="restart"/>
            <w:tcBorders>
              <w:top w:val="nil"/>
              <w:left w:val="single" w:color="auto" w:sz="4" w:space="0"/>
              <w:bottom w:val="single" w:color="000000" w:sz="4" w:space="0"/>
              <w:right w:val="single" w:color="auto" w:sz="4" w:space="0"/>
            </w:tcBorders>
            <w:vAlign w:val="center"/>
          </w:tcPr>
          <w:p>
            <w:pPr>
              <w:jc w:val="center"/>
              <w:rPr>
                <w:rFonts w:ascii="宋体" w:cs="宋体"/>
                <w:sz w:val="20"/>
                <w:szCs w:val="20"/>
              </w:rPr>
            </w:pPr>
            <w:r>
              <w:rPr>
                <w:rFonts w:hint="eastAsia"/>
                <w:sz w:val="20"/>
                <w:szCs w:val="20"/>
              </w:rPr>
              <w:t>整体效益（</w:t>
            </w:r>
            <w:r>
              <w:rPr>
                <w:sz w:val="20"/>
                <w:szCs w:val="20"/>
              </w:rPr>
              <w:t>30</w:t>
            </w:r>
            <w:r>
              <w:rPr>
                <w:rFonts w:hint="eastAsia"/>
                <w:sz w:val="20"/>
                <w:szCs w:val="20"/>
              </w:rPr>
              <w:t>分）</w:t>
            </w:r>
          </w:p>
        </w:tc>
        <w:tc>
          <w:tcPr>
            <w:tcW w:w="675" w:type="dxa"/>
            <w:vMerge w:val="restart"/>
            <w:tcBorders>
              <w:top w:val="nil"/>
              <w:left w:val="single" w:color="auto" w:sz="4" w:space="0"/>
              <w:bottom w:val="single" w:color="000000" w:sz="4" w:space="0"/>
              <w:right w:val="single" w:color="auto" w:sz="4" w:space="0"/>
            </w:tcBorders>
            <w:vAlign w:val="center"/>
          </w:tcPr>
          <w:p>
            <w:pPr>
              <w:rPr>
                <w:rFonts w:ascii="宋体" w:cs="宋体"/>
                <w:sz w:val="20"/>
                <w:szCs w:val="20"/>
              </w:rPr>
            </w:pPr>
            <w:r>
              <w:rPr>
                <w:rFonts w:hint="eastAsia"/>
                <w:sz w:val="20"/>
                <w:szCs w:val="20"/>
              </w:rPr>
              <w:t>部门整体绩效（</w:t>
            </w:r>
            <w:r>
              <w:rPr>
                <w:sz w:val="20"/>
                <w:szCs w:val="20"/>
              </w:rPr>
              <w:t>30</w:t>
            </w:r>
            <w:r>
              <w:rPr>
                <w:rFonts w:hint="eastAsia"/>
                <w:sz w:val="20"/>
                <w:szCs w:val="20"/>
              </w:rPr>
              <w:t>分）</w:t>
            </w:r>
          </w:p>
        </w:tc>
        <w:tc>
          <w:tcPr>
            <w:tcW w:w="1701"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重点项目绩效评价结果（</w:t>
            </w:r>
            <w:r>
              <w:rPr>
                <w:sz w:val="20"/>
                <w:szCs w:val="20"/>
              </w:rPr>
              <w:t>10</w:t>
            </w:r>
            <w:r>
              <w:rPr>
                <w:rFonts w:hint="eastAsia"/>
                <w:sz w:val="20"/>
                <w:szCs w:val="20"/>
              </w:rPr>
              <w:t>分）</w:t>
            </w:r>
          </w:p>
        </w:tc>
        <w:tc>
          <w:tcPr>
            <w:tcW w:w="2552"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部门实施重大项目的经济、社会效益</w:t>
            </w:r>
          </w:p>
        </w:tc>
        <w:tc>
          <w:tcPr>
            <w:tcW w:w="850" w:type="dxa"/>
            <w:tcBorders>
              <w:top w:val="nil"/>
              <w:left w:val="nil"/>
              <w:bottom w:val="single" w:color="auto" w:sz="4" w:space="0"/>
              <w:right w:val="single" w:color="auto" w:sz="4" w:space="0"/>
            </w:tcBorders>
            <w:shd w:val="clear" w:color="000000" w:fill="FFFFFF"/>
            <w:vAlign w:val="center"/>
          </w:tcPr>
          <w:p>
            <w:pPr>
              <w:rPr>
                <w:rFonts w:ascii="宋体" w:cs="宋体"/>
                <w:sz w:val="20"/>
                <w:szCs w:val="20"/>
              </w:rPr>
            </w:pPr>
            <w:r>
              <w:rPr>
                <w:rFonts w:hint="eastAsia"/>
                <w:sz w:val="20"/>
                <w:szCs w:val="20"/>
              </w:rPr>
              <w:t>　</w:t>
            </w:r>
          </w:p>
        </w:tc>
        <w:tc>
          <w:tcPr>
            <w:tcW w:w="709" w:type="dxa"/>
            <w:tcBorders>
              <w:top w:val="nil"/>
              <w:left w:val="nil"/>
              <w:bottom w:val="single" w:color="auto" w:sz="4" w:space="0"/>
              <w:right w:val="single" w:color="auto" w:sz="4" w:space="0"/>
            </w:tcBorders>
            <w:shd w:val="clear" w:color="000000" w:fill="FFFFFF"/>
            <w:vAlign w:val="center"/>
          </w:tcPr>
          <w:p>
            <w:pPr>
              <w:rPr>
                <w:rFonts w:ascii="宋体" w:cs="宋体"/>
                <w:sz w:val="20"/>
                <w:szCs w:val="20"/>
              </w:rPr>
            </w:pPr>
            <w:r>
              <w:rPr>
                <w:rFonts w:hint="eastAsia"/>
                <w:sz w:val="20"/>
                <w:szCs w:val="20"/>
              </w:rPr>
              <w:t>　</w:t>
            </w:r>
          </w:p>
        </w:tc>
        <w:tc>
          <w:tcPr>
            <w:tcW w:w="1559" w:type="dxa"/>
            <w:gridSpan w:val="2"/>
            <w:tcBorders>
              <w:top w:val="nil"/>
              <w:left w:val="nil"/>
              <w:bottom w:val="single" w:color="auto" w:sz="4" w:space="0"/>
              <w:right w:val="single" w:color="auto" w:sz="4" w:space="0"/>
            </w:tcBorders>
            <w:vAlign w:val="center"/>
          </w:tcPr>
          <w:p>
            <w:pPr>
              <w:rPr>
                <w:rFonts w:ascii="宋体" w:cs="宋体"/>
                <w:sz w:val="20"/>
                <w:szCs w:val="20"/>
              </w:rPr>
            </w:pPr>
            <w:r>
              <w:rPr>
                <w:rFonts w:hint="eastAsia"/>
                <w:sz w:val="20"/>
                <w:szCs w:val="20"/>
              </w:rPr>
              <w:t>根据县财政组织实施项目绩效评价结果换算</w:t>
            </w:r>
          </w:p>
        </w:tc>
        <w:tc>
          <w:tcPr>
            <w:tcW w:w="5894" w:type="dxa"/>
            <w:gridSpan w:val="3"/>
            <w:tcBorders>
              <w:top w:val="nil"/>
              <w:left w:val="nil"/>
              <w:bottom w:val="nil"/>
              <w:right w:val="nil"/>
            </w:tcBorders>
            <w:vAlign w:val="center"/>
          </w:tcPr>
          <w:p>
            <w:pPr>
              <w:rPr>
                <w:rFonts w:ascii="宋体" w:cs="宋体"/>
                <w:sz w:val="24"/>
              </w:rPr>
            </w:pPr>
          </w:p>
        </w:tc>
        <w:tc>
          <w:tcPr>
            <w:tcW w:w="4000" w:type="dxa"/>
            <w:gridSpan w:val="3"/>
            <w:tcBorders>
              <w:top w:val="nil"/>
              <w:left w:val="nil"/>
              <w:bottom w:val="nil"/>
              <w:right w:val="nil"/>
            </w:tcBorders>
            <w:vAlign w:val="center"/>
          </w:tcPr>
          <w:p>
            <w:pPr>
              <w:rPr>
                <w:rFonts w:ascii="宋体" w:cs="宋体"/>
                <w:sz w:val="16"/>
                <w:szCs w:val="16"/>
              </w:rPr>
            </w:pPr>
          </w:p>
        </w:tc>
      </w:tr>
      <w:tr>
        <w:tblPrEx>
          <w:tblLayout w:type="fixed"/>
          <w:tblCellMar>
            <w:top w:w="0" w:type="dxa"/>
            <w:left w:w="108" w:type="dxa"/>
            <w:bottom w:w="0" w:type="dxa"/>
            <w:right w:w="108" w:type="dxa"/>
          </w:tblCellMar>
        </w:tblPrEx>
        <w:trPr>
          <w:gridAfter w:val="3"/>
          <w:wAfter w:w="11944" w:type="dxa"/>
          <w:trHeight w:val="315" w:hRule="atLeast"/>
        </w:trPr>
        <w:tc>
          <w:tcPr>
            <w:tcW w:w="616" w:type="dxa"/>
            <w:vMerge w:val="continue"/>
            <w:tcBorders>
              <w:top w:val="nil"/>
              <w:left w:val="single" w:color="auto" w:sz="4" w:space="0"/>
              <w:bottom w:val="single" w:color="000000" w:sz="4" w:space="0"/>
              <w:right w:val="single" w:color="auto" w:sz="4" w:space="0"/>
            </w:tcBorders>
            <w:vAlign w:val="center"/>
          </w:tcPr>
          <w:p>
            <w:pPr>
              <w:rPr>
                <w:rFonts w:ascii="宋体" w:cs="宋体"/>
                <w:sz w:val="20"/>
                <w:szCs w:val="20"/>
              </w:rPr>
            </w:pPr>
          </w:p>
        </w:tc>
        <w:tc>
          <w:tcPr>
            <w:tcW w:w="675" w:type="dxa"/>
            <w:vMerge w:val="continue"/>
            <w:tcBorders>
              <w:top w:val="nil"/>
              <w:left w:val="single" w:color="auto" w:sz="4" w:space="0"/>
              <w:bottom w:val="single" w:color="000000" w:sz="4" w:space="0"/>
              <w:right w:val="single" w:color="auto" w:sz="4" w:space="0"/>
            </w:tcBorders>
            <w:vAlign w:val="center"/>
          </w:tcPr>
          <w:p>
            <w:pPr>
              <w:rPr>
                <w:rFonts w:ascii="宋体" w:cs="宋体"/>
                <w:sz w:val="20"/>
                <w:szCs w:val="20"/>
              </w:rPr>
            </w:pPr>
          </w:p>
        </w:tc>
        <w:tc>
          <w:tcPr>
            <w:tcW w:w="1701" w:type="dxa"/>
            <w:gridSpan w:val="2"/>
            <w:vMerge w:val="restart"/>
            <w:tcBorders>
              <w:top w:val="nil"/>
              <w:left w:val="single" w:color="auto" w:sz="4" w:space="0"/>
              <w:bottom w:val="single" w:color="000000" w:sz="4" w:space="0"/>
              <w:right w:val="single" w:color="auto" w:sz="4" w:space="0"/>
            </w:tcBorders>
            <w:vAlign w:val="center"/>
          </w:tcPr>
          <w:p>
            <w:pPr>
              <w:rPr>
                <w:rFonts w:ascii="宋体" w:cs="宋体"/>
                <w:sz w:val="20"/>
                <w:szCs w:val="20"/>
              </w:rPr>
            </w:pPr>
            <w:r>
              <w:rPr>
                <w:rFonts w:hint="eastAsia"/>
                <w:sz w:val="20"/>
                <w:szCs w:val="20"/>
              </w:rPr>
              <w:t>部门职能完成情况特性指标（</w:t>
            </w:r>
            <w:r>
              <w:rPr>
                <w:sz w:val="20"/>
                <w:szCs w:val="20"/>
              </w:rPr>
              <w:t>20</w:t>
            </w:r>
            <w:r>
              <w:rPr>
                <w:rFonts w:hint="eastAsia"/>
                <w:sz w:val="20"/>
                <w:szCs w:val="20"/>
              </w:rPr>
              <w:t>分）</w:t>
            </w:r>
          </w:p>
        </w:tc>
        <w:tc>
          <w:tcPr>
            <w:tcW w:w="2552" w:type="dxa"/>
            <w:gridSpan w:val="2"/>
            <w:vMerge w:val="restart"/>
            <w:tcBorders>
              <w:top w:val="nil"/>
              <w:left w:val="single" w:color="auto" w:sz="4" w:space="0"/>
              <w:bottom w:val="single" w:color="auto" w:sz="4" w:space="0"/>
              <w:right w:val="single" w:color="auto" w:sz="4" w:space="0"/>
            </w:tcBorders>
            <w:vAlign w:val="center"/>
          </w:tcPr>
          <w:p>
            <w:pPr>
              <w:rPr>
                <w:rFonts w:ascii="宋体" w:cs="宋体"/>
                <w:sz w:val="20"/>
                <w:szCs w:val="20"/>
              </w:rPr>
            </w:pPr>
            <w:r>
              <w:rPr>
                <w:rFonts w:hint="eastAsia"/>
                <w:sz w:val="20"/>
                <w:szCs w:val="20"/>
              </w:rPr>
              <w:t>根据部门职能职责、州级主管部门和县委县政府安排的各项专项工作任务及其他年度重点工作任务等，汇总梳理形成能够量化衡量且全面反映部门职能工作完成情况的若干指标。</w:t>
            </w:r>
          </w:p>
        </w:tc>
        <w:tc>
          <w:tcPr>
            <w:tcW w:w="850" w:type="dxa"/>
            <w:vMerge w:val="restart"/>
            <w:tcBorders>
              <w:top w:val="nil"/>
              <w:left w:val="single" w:color="auto" w:sz="4" w:space="0"/>
              <w:bottom w:val="single" w:color="000000" w:sz="4" w:space="0"/>
              <w:right w:val="single" w:color="auto" w:sz="4" w:space="0"/>
            </w:tcBorders>
            <w:shd w:val="clear" w:color="000000" w:fill="FFFFFF"/>
            <w:vAlign w:val="center"/>
          </w:tcPr>
          <w:p>
            <w:pPr>
              <w:jc w:val="center"/>
              <w:rPr>
                <w:rFonts w:ascii="宋体" w:cs="宋体"/>
                <w:sz w:val="20"/>
                <w:szCs w:val="20"/>
              </w:rPr>
            </w:pPr>
            <w:r>
              <w:rPr>
                <w:sz w:val="20"/>
                <w:szCs w:val="20"/>
              </w:rPr>
              <w:t>0.5</w:t>
            </w:r>
          </w:p>
        </w:tc>
        <w:tc>
          <w:tcPr>
            <w:tcW w:w="709" w:type="dxa"/>
            <w:vMerge w:val="restart"/>
            <w:tcBorders>
              <w:top w:val="nil"/>
              <w:left w:val="single" w:color="auto" w:sz="4" w:space="0"/>
              <w:bottom w:val="single" w:color="000000" w:sz="4" w:space="0"/>
              <w:right w:val="single" w:color="auto" w:sz="4" w:space="0"/>
            </w:tcBorders>
            <w:shd w:val="clear" w:color="000000" w:fill="FFFFFF"/>
            <w:vAlign w:val="center"/>
          </w:tcPr>
          <w:p>
            <w:pPr>
              <w:jc w:val="center"/>
              <w:rPr>
                <w:rFonts w:ascii="宋体" w:cs="宋体"/>
                <w:sz w:val="20"/>
                <w:szCs w:val="20"/>
              </w:rPr>
            </w:pPr>
            <w:r>
              <w:rPr>
                <w:rFonts w:hint="eastAsia"/>
                <w:sz w:val="20"/>
                <w:szCs w:val="20"/>
              </w:rPr>
              <w:t>还需进一步加强</w:t>
            </w:r>
          </w:p>
        </w:tc>
        <w:tc>
          <w:tcPr>
            <w:tcW w:w="1559" w:type="dxa"/>
            <w:gridSpan w:val="2"/>
            <w:vMerge w:val="restart"/>
            <w:tcBorders>
              <w:top w:val="nil"/>
              <w:left w:val="single" w:color="auto" w:sz="4" w:space="0"/>
              <w:bottom w:val="single" w:color="000000" w:sz="4" w:space="0"/>
              <w:right w:val="single" w:color="auto" w:sz="4" w:space="0"/>
            </w:tcBorders>
            <w:vAlign w:val="center"/>
          </w:tcPr>
          <w:p>
            <w:pPr>
              <w:rPr>
                <w:rFonts w:ascii="宋体" w:cs="宋体"/>
                <w:sz w:val="20"/>
                <w:szCs w:val="20"/>
              </w:rPr>
            </w:pPr>
            <w:r>
              <w:rPr>
                <w:rFonts w:hint="eastAsia"/>
                <w:sz w:val="20"/>
                <w:szCs w:val="20"/>
              </w:rPr>
              <w:t>部门和评价组根据部门实际设置</w:t>
            </w:r>
          </w:p>
        </w:tc>
        <w:tc>
          <w:tcPr>
            <w:tcW w:w="5894" w:type="dxa"/>
            <w:gridSpan w:val="3"/>
            <w:tcBorders>
              <w:top w:val="nil"/>
              <w:left w:val="nil"/>
              <w:bottom w:val="nil"/>
              <w:right w:val="nil"/>
            </w:tcBorders>
            <w:vAlign w:val="center"/>
          </w:tcPr>
          <w:p>
            <w:pPr>
              <w:rPr>
                <w:rFonts w:ascii="宋体" w:cs="宋体"/>
                <w:sz w:val="24"/>
              </w:rPr>
            </w:pPr>
          </w:p>
        </w:tc>
        <w:tc>
          <w:tcPr>
            <w:tcW w:w="4000" w:type="dxa"/>
            <w:gridSpan w:val="3"/>
            <w:tcBorders>
              <w:top w:val="nil"/>
              <w:left w:val="nil"/>
              <w:bottom w:val="nil"/>
              <w:right w:val="nil"/>
            </w:tcBorders>
            <w:vAlign w:val="center"/>
          </w:tcPr>
          <w:p>
            <w:pPr>
              <w:rPr>
                <w:rFonts w:ascii="宋体" w:cs="宋体"/>
                <w:sz w:val="16"/>
                <w:szCs w:val="16"/>
              </w:rPr>
            </w:pPr>
          </w:p>
        </w:tc>
      </w:tr>
      <w:tr>
        <w:tblPrEx>
          <w:tblLayout w:type="fixed"/>
          <w:tblCellMar>
            <w:top w:w="0" w:type="dxa"/>
            <w:left w:w="108" w:type="dxa"/>
            <w:bottom w:w="0" w:type="dxa"/>
            <w:right w:w="108" w:type="dxa"/>
          </w:tblCellMar>
        </w:tblPrEx>
        <w:trPr>
          <w:gridAfter w:val="3"/>
          <w:wAfter w:w="11944" w:type="dxa"/>
          <w:trHeight w:val="1470" w:hRule="atLeast"/>
        </w:trPr>
        <w:tc>
          <w:tcPr>
            <w:tcW w:w="616" w:type="dxa"/>
            <w:vMerge w:val="continue"/>
            <w:tcBorders>
              <w:top w:val="nil"/>
              <w:left w:val="single" w:color="auto" w:sz="4" w:space="0"/>
              <w:bottom w:val="single" w:color="000000" w:sz="4" w:space="0"/>
              <w:right w:val="single" w:color="auto" w:sz="4" w:space="0"/>
            </w:tcBorders>
            <w:vAlign w:val="center"/>
          </w:tcPr>
          <w:p>
            <w:pPr>
              <w:rPr>
                <w:rFonts w:ascii="宋体" w:cs="宋体"/>
                <w:sz w:val="20"/>
                <w:szCs w:val="20"/>
              </w:rPr>
            </w:pPr>
          </w:p>
        </w:tc>
        <w:tc>
          <w:tcPr>
            <w:tcW w:w="675" w:type="dxa"/>
            <w:vMerge w:val="continue"/>
            <w:tcBorders>
              <w:top w:val="nil"/>
              <w:left w:val="single" w:color="auto" w:sz="4" w:space="0"/>
              <w:bottom w:val="single" w:color="000000" w:sz="4" w:space="0"/>
              <w:right w:val="single" w:color="auto" w:sz="4" w:space="0"/>
            </w:tcBorders>
            <w:vAlign w:val="center"/>
          </w:tcPr>
          <w:p>
            <w:pPr>
              <w:rPr>
                <w:rFonts w:ascii="宋体" w:cs="宋体"/>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rPr>
                <w:rFonts w:ascii="宋体" w:cs="宋体"/>
                <w:sz w:val="20"/>
                <w:szCs w:val="20"/>
              </w:rPr>
            </w:pPr>
          </w:p>
        </w:tc>
        <w:tc>
          <w:tcPr>
            <w:tcW w:w="2552" w:type="dxa"/>
            <w:gridSpan w:val="2"/>
            <w:vMerge w:val="continue"/>
            <w:tcBorders>
              <w:top w:val="nil"/>
              <w:left w:val="single" w:color="auto" w:sz="4" w:space="0"/>
              <w:bottom w:val="single" w:color="auto" w:sz="4" w:space="0"/>
              <w:right w:val="single" w:color="auto" w:sz="4" w:space="0"/>
            </w:tcBorders>
            <w:vAlign w:val="center"/>
          </w:tcPr>
          <w:p>
            <w:pPr>
              <w:rPr>
                <w:rFonts w:ascii="宋体" w:cs="宋体"/>
                <w:sz w:val="20"/>
                <w:szCs w:val="20"/>
              </w:rPr>
            </w:pPr>
          </w:p>
        </w:tc>
        <w:tc>
          <w:tcPr>
            <w:tcW w:w="850" w:type="dxa"/>
            <w:vMerge w:val="continue"/>
            <w:tcBorders>
              <w:top w:val="nil"/>
              <w:left w:val="single" w:color="auto" w:sz="4" w:space="0"/>
              <w:bottom w:val="single" w:color="000000" w:sz="4" w:space="0"/>
              <w:right w:val="single" w:color="auto" w:sz="4" w:space="0"/>
            </w:tcBorders>
            <w:vAlign w:val="center"/>
          </w:tcPr>
          <w:p>
            <w:pPr>
              <w:rPr>
                <w:rFonts w:ascii="宋体" w:cs="宋体"/>
                <w:sz w:val="20"/>
                <w:szCs w:val="20"/>
              </w:rPr>
            </w:pPr>
          </w:p>
        </w:tc>
        <w:tc>
          <w:tcPr>
            <w:tcW w:w="709" w:type="dxa"/>
            <w:vMerge w:val="continue"/>
            <w:tcBorders>
              <w:top w:val="nil"/>
              <w:left w:val="single" w:color="auto" w:sz="4" w:space="0"/>
              <w:bottom w:val="single" w:color="000000" w:sz="4" w:space="0"/>
              <w:right w:val="single" w:color="auto" w:sz="4" w:space="0"/>
            </w:tcBorders>
            <w:vAlign w:val="center"/>
          </w:tcPr>
          <w:p>
            <w:pPr>
              <w:rPr>
                <w:rFonts w:ascii="宋体" w:cs="宋体"/>
                <w:sz w:val="20"/>
                <w:szCs w:val="20"/>
              </w:rPr>
            </w:pPr>
          </w:p>
        </w:tc>
        <w:tc>
          <w:tcPr>
            <w:tcW w:w="1559" w:type="dxa"/>
            <w:gridSpan w:val="2"/>
            <w:vMerge w:val="continue"/>
            <w:tcBorders>
              <w:top w:val="nil"/>
              <w:left w:val="single" w:color="auto" w:sz="4" w:space="0"/>
              <w:bottom w:val="single" w:color="000000" w:sz="4" w:space="0"/>
              <w:right w:val="single" w:color="auto" w:sz="4" w:space="0"/>
            </w:tcBorders>
            <w:vAlign w:val="center"/>
          </w:tcPr>
          <w:p>
            <w:pPr>
              <w:rPr>
                <w:rFonts w:ascii="宋体" w:cs="宋体"/>
                <w:sz w:val="20"/>
                <w:szCs w:val="20"/>
              </w:rPr>
            </w:pPr>
          </w:p>
        </w:tc>
        <w:tc>
          <w:tcPr>
            <w:tcW w:w="5894" w:type="dxa"/>
            <w:gridSpan w:val="3"/>
            <w:tcBorders>
              <w:top w:val="nil"/>
              <w:left w:val="nil"/>
              <w:bottom w:val="nil"/>
              <w:right w:val="nil"/>
            </w:tcBorders>
            <w:vAlign w:val="center"/>
          </w:tcPr>
          <w:p>
            <w:pPr>
              <w:rPr>
                <w:rFonts w:ascii="宋体" w:cs="宋体"/>
                <w:sz w:val="24"/>
              </w:rPr>
            </w:pPr>
          </w:p>
        </w:tc>
        <w:tc>
          <w:tcPr>
            <w:tcW w:w="4000" w:type="dxa"/>
            <w:gridSpan w:val="3"/>
            <w:tcBorders>
              <w:top w:val="nil"/>
              <w:left w:val="nil"/>
              <w:bottom w:val="nil"/>
              <w:right w:val="nil"/>
            </w:tcBorders>
            <w:vAlign w:val="center"/>
          </w:tcPr>
          <w:p>
            <w:pPr>
              <w:rPr>
                <w:rFonts w:ascii="宋体" w:cs="宋体"/>
                <w:sz w:val="16"/>
                <w:szCs w:val="16"/>
              </w:rPr>
            </w:pPr>
          </w:p>
        </w:tc>
      </w:tr>
      <w:tr>
        <w:tblPrEx>
          <w:tblLayout w:type="fixed"/>
          <w:tblCellMar>
            <w:top w:w="0" w:type="dxa"/>
            <w:left w:w="108" w:type="dxa"/>
            <w:bottom w:w="0" w:type="dxa"/>
            <w:right w:w="108" w:type="dxa"/>
          </w:tblCellMar>
        </w:tblPrEx>
        <w:trPr>
          <w:gridAfter w:val="3"/>
          <w:wAfter w:w="11944" w:type="dxa"/>
          <w:trHeight w:val="420" w:hRule="atLeast"/>
        </w:trPr>
        <w:tc>
          <w:tcPr>
            <w:tcW w:w="8662" w:type="dxa"/>
            <w:gridSpan w:val="10"/>
            <w:tcBorders>
              <w:top w:val="single" w:color="auto" w:sz="4" w:space="0"/>
              <w:left w:val="nil"/>
              <w:bottom w:val="nil"/>
              <w:right w:val="nil"/>
            </w:tcBorders>
            <w:vAlign w:val="center"/>
          </w:tcPr>
          <w:p>
            <w:pPr>
              <w:rPr>
                <w:rFonts w:ascii="宋体" w:cs="宋体"/>
                <w:b/>
                <w:bCs/>
                <w:sz w:val="20"/>
                <w:szCs w:val="20"/>
              </w:rPr>
            </w:pPr>
            <w:r>
              <w:rPr>
                <w:rFonts w:hint="eastAsia"/>
                <w:b/>
                <w:bCs/>
                <w:sz w:val="20"/>
                <w:szCs w:val="20"/>
              </w:rPr>
              <w:t>注：若某部门不存在某项评价内容或评价指标，则该评价内容或评价指标不计入该部门考核评价范围，即该部门评价总分＝不含该评价内容或指标的评价总分</w:t>
            </w:r>
            <w:r>
              <w:rPr>
                <w:b/>
                <w:bCs/>
                <w:sz w:val="20"/>
                <w:szCs w:val="20"/>
              </w:rPr>
              <w:t>/</w:t>
            </w:r>
            <w:r>
              <w:rPr>
                <w:rFonts w:hint="eastAsia"/>
                <w:b/>
                <w:bCs/>
                <w:sz w:val="20"/>
                <w:szCs w:val="20"/>
              </w:rPr>
              <w:t>（</w:t>
            </w:r>
            <w:r>
              <w:rPr>
                <w:b/>
                <w:bCs/>
                <w:sz w:val="20"/>
                <w:szCs w:val="20"/>
              </w:rPr>
              <w:t>100-</w:t>
            </w:r>
            <w:r>
              <w:rPr>
                <w:rFonts w:hint="eastAsia"/>
                <w:b/>
                <w:bCs/>
                <w:sz w:val="20"/>
                <w:szCs w:val="20"/>
              </w:rPr>
              <w:t>该评价内容或指标所占分值）</w:t>
            </w:r>
          </w:p>
        </w:tc>
        <w:tc>
          <w:tcPr>
            <w:tcW w:w="5894" w:type="dxa"/>
            <w:gridSpan w:val="3"/>
            <w:tcBorders>
              <w:top w:val="nil"/>
              <w:left w:val="nil"/>
              <w:bottom w:val="nil"/>
              <w:right w:val="nil"/>
            </w:tcBorders>
            <w:vAlign w:val="center"/>
          </w:tcPr>
          <w:p>
            <w:pPr>
              <w:rPr>
                <w:rFonts w:ascii="宋体" w:cs="宋体"/>
                <w:sz w:val="24"/>
              </w:rPr>
            </w:pPr>
          </w:p>
        </w:tc>
        <w:tc>
          <w:tcPr>
            <w:tcW w:w="4000" w:type="dxa"/>
            <w:gridSpan w:val="3"/>
            <w:tcBorders>
              <w:top w:val="nil"/>
              <w:left w:val="nil"/>
              <w:bottom w:val="nil"/>
              <w:right w:val="nil"/>
            </w:tcBorders>
            <w:vAlign w:val="center"/>
          </w:tcPr>
          <w:p>
            <w:pPr>
              <w:rPr>
                <w:rFonts w:ascii="宋体" w:cs="宋体"/>
                <w:sz w:val="16"/>
                <w:szCs w:val="16"/>
              </w:rPr>
            </w:pPr>
          </w:p>
        </w:tc>
      </w:tr>
    </w:tbl>
    <w:p>
      <w:pPr>
        <w:spacing w:line="576" w:lineRule="exact"/>
        <w:jc w:val="center"/>
        <w:rPr>
          <w:rStyle w:val="16"/>
          <w:rFonts w:ascii="方正小标宋简体" w:hAnsi="方正小标宋简体" w:eastAsia="方正小标宋简体" w:cs="方正小标宋简体"/>
          <w:b w:val="0"/>
        </w:rPr>
      </w:pPr>
      <w:bookmarkStart w:id="60" w:name="_Toc15396618"/>
    </w:p>
    <w:p>
      <w:pPr>
        <w:spacing w:line="576" w:lineRule="exact"/>
        <w:jc w:val="center"/>
        <w:rPr>
          <w:rStyle w:val="16"/>
          <w:rFonts w:ascii="方正小标宋简体" w:hAnsi="方正小标宋简体" w:eastAsia="方正小标宋简体" w:cs="方正小标宋简体"/>
          <w:b w:val="0"/>
        </w:rPr>
      </w:pPr>
    </w:p>
    <w:p>
      <w:pPr>
        <w:spacing w:line="576" w:lineRule="exact"/>
        <w:jc w:val="center"/>
        <w:rPr>
          <w:rStyle w:val="16"/>
          <w:rFonts w:ascii="方正小标宋简体" w:hAnsi="方正小标宋简体" w:eastAsia="方正小标宋简体" w:cs="方正小标宋简体"/>
          <w:b w:val="0"/>
        </w:rPr>
      </w:pPr>
    </w:p>
    <w:p>
      <w:pPr>
        <w:spacing w:line="576" w:lineRule="exact"/>
        <w:jc w:val="center"/>
        <w:rPr>
          <w:rStyle w:val="16"/>
          <w:rFonts w:ascii="方正小标宋简体" w:hAnsi="方正小标宋简体" w:eastAsia="方正小标宋简体" w:cs="方正小标宋简体"/>
          <w:b w:val="0"/>
        </w:rPr>
      </w:pPr>
    </w:p>
    <w:p>
      <w:pPr>
        <w:spacing w:line="576" w:lineRule="exact"/>
        <w:jc w:val="center"/>
        <w:rPr>
          <w:rStyle w:val="16"/>
          <w:rFonts w:ascii="方正小标宋简体" w:hAnsi="方正小标宋简体" w:eastAsia="方正小标宋简体" w:cs="方正小标宋简体"/>
          <w:b w:val="0"/>
        </w:rPr>
      </w:pPr>
    </w:p>
    <w:p>
      <w:pPr>
        <w:spacing w:line="576" w:lineRule="exact"/>
        <w:jc w:val="center"/>
        <w:rPr>
          <w:rStyle w:val="16"/>
          <w:rFonts w:ascii="方正小标宋简体" w:hAnsi="方正小标宋简体" w:eastAsia="方正小标宋简体" w:cs="方正小标宋简体"/>
          <w:b w:val="0"/>
        </w:rPr>
      </w:pPr>
    </w:p>
    <w:p>
      <w:pPr>
        <w:spacing w:line="576" w:lineRule="exact"/>
        <w:jc w:val="center"/>
        <w:rPr>
          <w:rStyle w:val="16"/>
          <w:rFonts w:ascii="方正小标宋简体" w:hAnsi="方正小标宋简体" w:eastAsia="方正小标宋简体" w:cs="方正小标宋简体"/>
          <w:b w:val="0"/>
        </w:rPr>
      </w:pPr>
    </w:p>
    <w:p>
      <w:pPr>
        <w:spacing w:line="576" w:lineRule="exact"/>
        <w:jc w:val="center"/>
        <w:rPr>
          <w:rStyle w:val="16"/>
          <w:rFonts w:ascii="方正小标宋简体" w:hAnsi="方正小标宋简体" w:eastAsia="方正小标宋简体" w:cs="方正小标宋简体"/>
          <w:b w:val="0"/>
        </w:rPr>
      </w:pPr>
    </w:p>
    <w:p>
      <w:pPr>
        <w:spacing w:line="576" w:lineRule="exact"/>
        <w:jc w:val="center"/>
        <w:rPr>
          <w:rStyle w:val="16"/>
          <w:rFonts w:ascii="方正小标宋简体" w:hAnsi="方正小标宋简体" w:eastAsia="方正小标宋简体" w:cs="方正小标宋简体"/>
          <w:b w:val="0"/>
        </w:rPr>
      </w:pPr>
    </w:p>
    <w:p>
      <w:pPr>
        <w:spacing w:line="576" w:lineRule="exact"/>
        <w:jc w:val="center"/>
        <w:rPr>
          <w:rStyle w:val="16"/>
          <w:rFonts w:ascii="方正小标宋简体" w:hAnsi="方正小标宋简体" w:eastAsia="方正小标宋简体" w:cs="方正小标宋简体"/>
          <w:b w:val="0"/>
        </w:rPr>
      </w:pPr>
    </w:p>
    <w:p>
      <w:pPr>
        <w:spacing w:line="576" w:lineRule="exact"/>
        <w:jc w:val="center"/>
        <w:rPr>
          <w:rStyle w:val="16"/>
          <w:rFonts w:ascii="方正小标宋简体" w:hAnsi="方正小标宋简体" w:eastAsia="方正小标宋简体" w:cs="方正小标宋简体"/>
          <w:b w:val="0"/>
        </w:rPr>
      </w:pPr>
    </w:p>
    <w:p>
      <w:pPr>
        <w:spacing w:line="576" w:lineRule="exact"/>
        <w:jc w:val="center"/>
        <w:rPr>
          <w:rStyle w:val="16"/>
          <w:rFonts w:ascii="方正小标宋简体" w:hAnsi="方正小标宋简体" w:eastAsia="方正小标宋简体" w:cs="方正小标宋简体"/>
          <w:b w:val="0"/>
        </w:rPr>
      </w:pPr>
    </w:p>
    <w:p>
      <w:pPr>
        <w:spacing w:line="576" w:lineRule="exact"/>
        <w:jc w:val="center"/>
        <w:rPr>
          <w:rStyle w:val="16"/>
          <w:rFonts w:ascii="方正小标宋简体" w:hAnsi="方正小标宋简体" w:eastAsia="方正小标宋简体" w:cs="方正小标宋简体"/>
          <w:b w:val="0"/>
        </w:rPr>
      </w:pPr>
    </w:p>
    <w:p>
      <w:pPr>
        <w:spacing w:line="576" w:lineRule="exact"/>
        <w:jc w:val="center"/>
        <w:rPr>
          <w:rStyle w:val="16"/>
          <w:rFonts w:ascii="方正小标宋简体" w:hAnsi="方正小标宋简体" w:eastAsia="方正小标宋简体" w:cs="方正小标宋简体"/>
          <w:b w:val="0"/>
        </w:rPr>
      </w:pPr>
    </w:p>
    <w:p>
      <w:pPr>
        <w:spacing w:line="576" w:lineRule="exact"/>
        <w:jc w:val="center"/>
        <w:rPr>
          <w:rStyle w:val="16"/>
          <w:rFonts w:ascii="方正小标宋简体" w:hAnsi="方正小标宋简体" w:eastAsia="方正小标宋简体" w:cs="方正小标宋简体"/>
          <w:b w:val="0"/>
        </w:rPr>
      </w:pPr>
    </w:p>
    <w:p>
      <w:pPr>
        <w:spacing w:line="576" w:lineRule="exact"/>
        <w:jc w:val="center"/>
        <w:rPr>
          <w:rStyle w:val="16"/>
          <w:rFonts w:ascii="方正小标宋简体" w:hAnsi="方正小标宋简体" w:eastAsia="方正小标宋简体" w:cs="方正小标宋简体"/>
          <w:b w:val="0"/>
        </w:rPr>
      </w:pPr>
      <w:r>
        <w:rPr>
          <w:rStyle w:val="16"/>
          <w:rFonts w:hint="eastAsia" w:ascii="方正小标宋简体" w:hAnsi="方正小标宋简体" w:eastAsia="方正小标宋简体" w:cs="方正小标宋简体"/>
          <w:b w:val="0"/>
        </w:rPr>
        <w:t>第五部分</w:t>
      </w:r>
      <w:r>
        <w:rPr>
          <w:rStyle w:val="16"/>
          <w:rFonts w:ascii="方正小标宋简体" w:hAnsi="方正小标宋简体" w:eastAsia="方正小标宋简体" w:cs="方正小标宋简体"/>
          <w:b w:val="0"/>
        </w:rPr>
        <w:t xml:space="preserve"> </w:t>
      </w:r>
      <w:r>
        <w:rPr>
          <w:rStyle w:val="16"/>
          <w:rFonts w:hint="eastAsia" w:ascii="方正小标宋简体" w:hAnsi="方正小标宋简体" w:eastAsia="方正小标宋简体" w:cs="方正小标宋简体"/>
          <w:b w:val="0"/>
        </w:rPr>
        <w:t>附表</w:t>
      </w:r>
      <w:bookmarkEnd w:id="58"/>
      <w:bookmarkEnd w:id="60"/>
      <w:bookmarkStart w:id="61" w:name="_Toc15396619"/>
    </w:p>
    <w:p>
      <w:pPr>
        <w:spacing w:line="576" w:lineRule="exact"/>
        <w:ind w:firstLine="640" w:firstLineChars="200"/>
        <w:rPr>
          <w:rStyle w:val="17"/>
          <w:rFonts w:ascii="仿宋_GB2312" w:hAnsi="仿宋" w:eastAsia="仿宋_GB2312" w:cs="仿宋"/>
          <w:b w:val="0"/>
          <w:bCs w:val="0"/>
        </w:rPr>
      </w:pPr>
    </w:p>
    <w:p>
      <w:pPr>
        <w:spacing w:line="576" w:lineRule="exact"/>
        <w:ind w:firstLine="640" w:firstLineChars="200"/>
        <w:rPr>
          <w:rStyle w:val="17"/>
          <w:rFonts w:ascii="仿宋_GB2312" w:hAnsi="仿宋" w:eastAsia="仿宋_GB2312" w:cs="仿宋"/>
          <w:b w:val="0"/>
          <w:bCs w:val="0"/>
        </w:rPr>
      </w:pPr>
      <w:r>
        <w:rPr>
          <w:rStyle w:val="17"/>
          <w:rFonts w:hint="eastAsia" w:ascii="仿宋_GB2312" w:hAnsi="仿宋" w:eastAsia="仿宋_GB2312" w:cs="仿宋"/>
          <w:b w:val="0"/>
          <w:bCs w:val="0"/>
        </w:rPr>
        <w:t>一、收入支出决算总表</w:t>
      </w:r>
      <w:bookmarkEnd w:id="61"/>
      <w:bookmarkStart w:id="62" w:name="_Toc15396620"/>
    </w:p>
    <w:p>
      <w:pPr>
        <w:spacing w:line="576" w:lineRule="exact"/>
        <w:ind w:firstLine="640" w:firstLineChars="200"/>
        <w:rPr>
          <w:rStyle w:val="17"/>
          <w:rFonts w:ascii="仿宋_GB2312" w:hAnsi="仿宋" w:eastAsia="仿宋_GB2312" w:cs="仿宋"/>
          <w:b w:val="0"/>
          <w:bCs w:val="0"/>
        </w:rPr>
      </w:pPr>
      <w:r>
        <w:rPr>
          <w:rFonts w:hint="eastAsia" w:ascii="仿宋_GB2312" w:hAnsi="仿宋" w:eastAsia="仿宋_GB2312" w:cs="仿宋"/>
          <w:color w:val="000000"/>
          <w:sz w:val="32"/>
          <w:szCs w:val="32"/>
        </w:rPr>
        <w:t>二、收</w:t>
      </w:r>
      <w:r>
        <w:rPr>
          <w:rStyle w:val="17"/>
          <w:rFonts w:hint="eastAsia" w:ascii="仿宋_GB2312" w:hAnsi="仿宋" w:eastAsia="仿宋_GB2312" w:cs="仿宋"/>
          <w:b w:val="0"/>
          <w:bCs w:val="0"/>
        </w:rPr>
        <w:t>入总表</w:t>
      </w:r>
      <w:bookmarkEnd w:id="62"/>
      <w:bookmarkStart w:id="63" w:name="_Toc15396621"/>
    </w:p>
    <w:p>
      <w:pPr>
        <w:spacing w:line="576" w:lineRule="exact"/>
        <w:ind w:firstLine="640" w:firstLineChars="200"/>
        <w:rPr>
          <w:rStyle w:val="17"/>
          <w:rFonts w:ascii="仿宋_GB2312" w:hAnsi="仿宋" w:eastAsia="仿宋_GB2312" w:cs="仿宋"/>
          <w:b w:val="0"/>
          <w:bCs w:val="0"/>
        </w:rPr>
      </w:pPr>
      <w:r>
        <w:rPr>
          <w:rStyle w:val="17"/>
          <w:rFonts w:hint="eastAsia" w:ascii="仿宋_GB2312" w:hAnsi="仿宋" w:eastAsia="仿宋_GB2312" w:cs="仿宋"/>
          <w:b w:val="0"/>
          <w:bCs w:val="0"/>
        </w:rPr>
        <w:t>三、</w:t>
      </w:r>
      <w:r>
        <w:rPr>
          <w:rFonts w:hint="eastAsia" w:ascii="仿宋_GB2312" w:hAnsi="仿宋" w:eastAsia="仿宋_GB2312" w:cs="仿宋"/>
          <w:color w:val="000000"/>
          <w:sz w:val="32"/>
          <w:szCs w:val="32"/>
        </w:rPr>
        <w:t>支</w:t>
      </w:r>
      <w:r>
        <w:rPr>
          <w:rStyle w:val="17"/>
          <w:rFonts w:hint="eastAsia" w:ascii="仿宋_GB2312" w:hAnsi="仿宋" w:eastAsia="仿宋_GB2312" w:cs="仿宋"/>
          <w:b w:val="0"/>
          <w:bCs w:val="0"/>
        </w:rPr>
        <w:t>出总表</w:t>
      </w:r>
      <w:bookmarkEnd w:id="63"/>
      <w:bookmarkStart w:id="64" w:name="_Toc15396622"/>
    </w:p>
    <w:p>
      <w:pPr>
        <w:spacing w:line="576" w:lineRule="exact"/>
        <w:ind w:firstLine="640" w:firstLineChars="200"/>
        <w:rPr>
          <w:rStyle w:val="17"/>
          <w:rFonts w:ascii="仿宋_GB2312" w:hAnsi="仿宋" w:eastAsia="仿宋_GB2312" w:cs="仿宋"/>
          <w:b w:val="0"/>
          <w:bCs w:val="0"/>
        </w:rPr>
      </w:pPr>
      <w:r>
        <w:rPr>
          <w:rStyle w:val="17"/>
          <w:rFonts w:hint="eastAsia" w:ascii="仿宋_GB2312" w:hAnsi="仿宋" w:eastAsia="仿宋_GB2312" w:cs="仿宋"/>
          <w:b w:val="0"/>
          <w:bCs w:val="0"/>
        </w:rPr>
        <w:t>四、</w:t>
      </w:r>
      <w:r>
        <w:rPr>
          <w:rFonts w:hint="eastAsia" w:ascii="仿宋_GB2312" w:hAnsi="仿宋" w:eastAsia="仿宋_GB2312" w:cs="仿宋"/>
          <w:color w:val="000000"/>
          <w:sz w:val="32"/>
          <w:szCs w:val="32"/>
        </w:rPr>
        <w:t>财</w:t>
      </w:r>
      <w:r>
        <w:rPr>
          <w:rStyle w:val="17"/>
          <w:rFonts w:hint="eastAsia" w:ascii="仿宋_GB2312" w:hAnsi="仿宋" w:eastAsia="仿宋_GB2312" w:cs="仿宋"/>
          <w:b w:val="0"/>
          <w:bCs w:val="0"/>
        </w:rPr>
        <w:t>政拨款收入支出决算总表</w:t>
      </w:r>
      <w:bookmarkEnd w:id="64"/>
      <w:bookmarkStart w:id="65" w:name="_Toc15396623"/>
    </w:p>
    <w:p>
      <w:pPr>
        <w:spacing w:line="576" w:lineRule="exact"/>
        <w:ind w:firstLine="640" w:firstLineChars="200"/>
        <w:rPr>
          <w:rStyle w:val="17"/>
          <w:rFonts w:ascii="仿宋_GB2312" w:hAnsi="仿宋" w:eastAsia="仿宋_GB2312" w:cs="仿宋"/>
          <w:b w:val="0"/>
          <w:bCs w:val="0"/>
        </w:rPr>
      </w:pPr>
      <w:r>
        <w:rPr>
          <w:rStyle w:val="17"/>
          <w:rFonts w:hint="eastAsia" w:ascii="仿宋_GB2312" w:hAnsi="仿宋" w:eastAsia="仿宋_GB2312" w:cs="仿宋"/>
          <w:b w:val="0"/>
          <w:bCs w:val="0"/>
        </w:rPr>
        <w:t>五、</w:t>
      </w:r>
      <w:r>
        <w:rPr>
          <w:rFonts w:hint="eastAsia" w:ascii="仿宋_GB2312" w:hAnsi="仿宋" w:eastAsia="仿宋_GB2312" w:cs="仿宋"/>
          <w:color w:val="000000"/>
          <w:sz w:val="32"/>
          <w:szCs w:val="32"/>
        </w:rPr>
        <w:t>财</w:t>
      </w:r>
      <w:r>
        <w:rPr>
          <w:rStyle w:val="17"/>
          <w:rFonts w:hint="eastAsia" w:ascii="仿宋_GB2312" w:hAnsi="仿宋" w:eastAsia="仿宋_GB2312" w:cs="仿宋"/>
          <w:b w:val="0"/>
          <w:bCs w:val="0"/>
        </w:rPr>
        <w:t>政拨款支出决算明细表（政府经济分类科目）</w:t>
      </w:r>
      <w:bookmarkEnd w:id="65"/>
      <w:bookmarkStart w:id="66" w:name="_Toc15396624"/>
    </w:p>
    <w:p>
      <w:pPr>
        <w:spacing w:line="576" w:lineRule="exact"/>
        <w:ind w:firstLine="640" w:firstLineChars="200"/>
        <w:rPr>
          <w:rStyle w:val="17"/>
          <w:rFonts w:ascii="仿宋_GB2312" w:hAnsi="仿宋" w:eastAsia="仿宋_GB2312" w:cs="仿宋"/>
          <w:b w:val="0"/>
          <w:bCs w:val="0"/>
        </w:rPr>
      </w:pPr>
      <w:r>
        <w:rPr>
          <w:rStyle w:val="17"/>
          <w:rFonts w:hint="eastAsia" w:ascii="仿宋_GB2312" w:hAnsi="仿宋" w:eastAsia="仿宋_GB2312" w:cs="仿宋"/>
          <w:b w:val="0"/>
          <w:bCs w:val="0"/>
        </w:rPr>
        <w:t>六、</w:t>
      </w:r>
      <w:r>
        <w:rPr>
          <w:rFonts w:hint="eastAsia" w:ascii="仿宋_GB2312" w:hAnsi="仿宋" w:eastAsia="仿宋_GB2312" w:cs="仿宋"/>
          <w:color w:val="000000"/>
          <w:sz w:val="32"/>
          <w:szCs w:val="32"/>
        </w:rPr>
        <w:t>一</w:t>
      </w:r>
      <w:r>
        <w:rPr>
          <w:rStyle w:val="17"/>
          <w:rFonts w:hint="eastAsia" w:ascii="仿宋_GB2312" w:hAnsi="仿宋" w:eastAsia="仿宋_GB2312" w:cs="仿宋"/>
          <w:b w:val="0"/>
          <w:bCs w:val="0"/>
        </w:rPr>
        <w:t>般公共预算财政拨款支出决算表</w:t>
      </w:r>
      <w:bookmarkEnd w:id="66"/>
      <w:bookmarkStart w:id="67" w:name="_Toc15396625"/>
    </w:p>
    <w:p>
      <w:pPr>
        <w:spacing w:line="576" w:lineRule="exact"/>
        <w:ind w:firstLine="640" w:firstLineChars="200"/>
        <w:rPr>
          <w:rStyle w:val="17"/>
          <w:rFonts w:ascii="仿宋_GB2312" w:hAnsi="仿宋" w:eastAsia="仿宋_GB2312" w:cs="仿宋"/>
          <w:b w:val="0"/>
          <w:bCs w:val="0"/>
        </w:rPr>
      </w:pPr>
      <w:r>
        <w:rPr>
          <w:rStyle w:val="17"/>
          <w:rFonts w:hint="eastAsia" w:ascii="仿宋_GB2312" w:hAnsi="仿宋" w:eastAsia="仿宋_GB2312" w:cs="仿宋"/>
          <w:b w:val="0"/>
          <w:bCs w:val="0"/>
        </w:rPr>
        <w:t>七、</w:t>
      </w:r>
      <w:r>
        <w:rPr>
          <w:rFonts w:hint="eastAsia" w:ascii="仿宋_GB2312" w:hAnsi="仿宋" w:eastAsia="仿宋_GB2312" w:cs="仿宋"/>
          <w:color w:val="000000"/>
          <w:sz w:val="32"/>
          <w:szCs w:val="32"/>
        </w:rPr>
        <w:t>一</w:t>
      </w:r>
      <w:r>
        <w:rPr>
          <w:rStyle w:val="17"/>
          <w:rFonts w:hint="eastAsia" w:ascii="仿宋_GB2312" w:hAnsi="仿宋" w:eastAsia="仿宋_GB2312" w:cs="仿宋"/>
          <w:b w:val="0"/>
          <w:bCs w:val="0"/>
        </w:rPr>
        <w:t>般公共预算财政拨款支出决算明细表</w:t>
      </w:r>
      <w:bookmarkEnd w:id="67"/>
      <w:bookmarkStart w:id="68" w:name="_Toc15396626"/>
    </w:p>
    <w:p>
      <w:pPr>
        <w:spacing w:line="576" w:lineRule="exact"/>
        <w:ind w:firstLine="640" w:firstLineChars="200"/>
        <w:rPr>
          <w:rStyle w:val="17"/>
          <w:rFonts w:ascii="仿宋_GB2312" w:hAnsi="仿宋" w:eastAsia="仿宋_GB2312" w:cs="仿宋"/>
          <w:b w:val="0"/>
          <w:bCs w:val="0"/>
        </w:rPr>
      </w:pPr>
      <w:r>
        <w:rPr>
          <w:rStyle w:val="17"/>
          <w:rFonts w:hint="eastAsia" w:ascii="仿宋_GB2312" w:hAnsi="仿宋" w:eastAsia="仿宋_GB2312" w:cs="仿宋"/>
          <w:b w:val="0"/>
          <w:bCs w:val="0"/>
        </w:rPr>
        <w:t>八、</w:t>
      </w:r>
      <w:r>
        <w:rPr>
          <w:rFonts w:hint="eastAsia" w:ascii="仿宋_GB2312" w:hAnsi="仿宋" w:eastAsia="仿宋_GB2312" w:cs="仿宋"/>
          <w:color w:val="000000"/>
          <w:sz w:val="32"/>
          <w:szCs w:val="32"/>
        </w:rPr>
        <w:t>一</w:t>
      </w:r>
      <w:r>
        <w:rPr>
          <w:rStyle w:val="17"/>
          <w:rFonts w:hint="eastAsia" w:ascii="仿宋_GB2312" w:hAnsi="仿宋" w:eastAsia="仿宋_GB2312" w:cs="仿宋"/>
          <w:b w:val="0"/>
          <w:bCs w:val="0"/>
        </w:rPr>
        <w:t>般公共预算财政拨款基本支出决算表</w:t>
      </w:r>
      <w:bookmarkEnd w:id="68"/>
      <w:bookmarkStart w:id="69" w:name="_Toc15396627"/>
    </w:p>
    <w:p>
      <w:pPr>
        <w:spacing w:line="576" w:lineRule="exact"/>
        <w:ind w:firstLine="640" w:firstLineChars="200"/>
        <w:rPr>
          <w:rStyle w:val="17"/>
          <w:rFonts w:ascii="仿宋_GB2312" w:hAnsi="仿宋" w:eastAsia="仿宋_GB2312" w:cs="仿宋"/>
          <w:b w:val="0"/>
          <w:bCs w:val="0"/>
        </w:rPr>
      </w:pPr>
      <w:r>
        <w:rPr>
          <w:rStyle w:val="17"/>
          <w:rFonts w:hint="eastAsia" w:ascii="仿宋_GB2312" w:hAnsi="仿宋" w:eastAsia="仿宋_GB2312" w:cs="仿宋"/>
          <w:b w:val="0"/>
          <w:bCs w:val="0"/>
        </w:rPr>
        <w:t>九、</w:t>
      </w:r>
      <w:r>
        <w:rPr>
          <w:rFonts w:hint="eastAsia" w:ascii="仿宋_GB2312" w:hAnsi="仿宋" w:eastAsia="仿宋_GB2312" w:cs="仿宋"/>
          <w:color w:val="000000"/>
          <w:sz w:val="32"/>
          <w:szCs w:val="32"/>
        </w:rPr>
        <w:t>一</w:t>
      </w:r>
      <w:r>
        <w:rPr>
          <w:rStyle w:val="17"/>
          <w:rFonts w:hint="eastAsia" w:ascii="仿宋_GB2312" w:hAnsi="仿宋" w:eastAsia="仿宋_GB2312" w:cs="仿宋"/>
          <w:b w:val="0"/>
          <w:bCs w:val="0"/>
        </w:rPr>
        <w:t>般公共预算财政拨款项目支出决算表</w:t>
      </w:r>
      <w:bookmarkEnd w:id="69"/>
      <w:bookmarkStart w:id="70" w:name="_Toc15396628"/>
    </w:p>
    <w:p>
      <w:pPr>
        <w:spacing w:line="576" w:lineRule="exact"/>
        <w:ind w:firstLine="640" w:firstLineChars="200"/>
        <w:rPr>
          <w:rStyle w:val="17"/>
          <w:rFonts w:ascii="仿宋_GB2312" w:hAnsi="仿宋" w:eastAsia="仿宋_GB2312" w:cs="仿宋"/>
          <w:b w:val="0"/>
          <w:bCs w:val="0"/>
        </w:rPr>
      </w:pPr>
      <w:r>
        <w:rPr>
          <w:rStyle w:val="17"/>
          <w:rFonts w:hint="eastAsia" w:ascii="仿宋_GB2312" w:hAnsi="仿宋" w:eastAsia="仿宋_GB2312" w:cs="仿宋"/>
          <w:b w:val="0"/>
          <w:bCs w:val="0"/>
        </w:rPr>
        <w:t>十、</w:t>
      </w:r>
      <w:r>
        <w:rPr>
          <w:rFonts w:hint="eastAsia" w:ascii="仿宋_GB2312" w:hAnsi="仿宋" w:eastAsia="仿宋_GB2312" w:cs="仿宋"/>
          <w:color w:val="000000"/>
          <w:sz w:val="32"/>
          <w:szCs w:val="32"/>
        </w:rPr>
        <w:t>一</w:t>
      </w:r>
      <w:r>
        <w:rPr>
          <w:rStyle w:val="17"/>
          <w:rFonts w:hint="eastAsia" w:ascii="仿宋_GB2312" w:hAnsi="仿宋" w:eastAsia="仿宋_GB2312" w:cs="仿宋"/>
          <w:b w:val="0"/>
          <w:bCs w:val="0"/>
        </w:rPr>
        <w:t>般公共预算财政拨款“三公”经费支出决算表</w:t>
      </w:r>
      <w:bookmarkEnd w:id="70"/>
      <w:bookmarkStart w:id="71" w:name="_Toc15396629"/>
    </w:p>
    <w:p>
      <w:pPr>
        <w:spacing w:line="576" w:lineRule="exact"/>
        <w:ind w:firstLine="640" w:firstLineChars="200"/>
        <w:rPr>
          <w:rStyle w:val="17"/>
          <w:rFonts w:ascii="仿宋_GB2312" w:hAnsi="仿宋" w:eastAsia="仿宋_GB2312" w:cs="仿宋"/>
          <w:b w:val="0"/>
          <w:bCs w:val="0"/>
        </w:rPr>
      </w:pPr>
      <w:r>
        <w:rPr>
          <w:rStyle w:val="17"/>
          <w:rFonts w:hint="eastAsia" w:ascii="仿宋_GB2312" w:hAnsi="仿宋" w:eastAsia="仿宋_GB2312" w:cs="仿宋"/>
          <w:b w:val="0"/>
          <w:bCs w:val="0"/>
        </w:rPr>
        <w:t>十一、</w:t>
      </w:r>
      <w:r>
        <w:rPr>
          <w:rFonts w:hint="eastAsia" w:ascii="仿宋_GB2312" w:hAnsi="仿宋" w:eastAsia="仿宋_GB2312" w:cs="仿宋"/>
          <w:color w:val="000000"/>
          <w:sz w:val="32"/>
          <w:szCs w:val="32"/>
        </w:rPr>
        <w:t>政</w:t>
      </w:r>
      <w:r>
        <w:rPr>
          <w:rStyle w:val="17"/>
          <w:rFonts w:hint="eastAsia" w:ascii="仿宋_GB2312" w:hAnsi="仿宋" w:eastAsia="仿宋_GB2312" w:cs="仿宋"/>
          <w:b w:val="0"/>
          <w:bCs w:val="0"/>
        </w:rPr>
        <w:t>府性基金预算财政拨款收入支出决算表</w:t>
      </w:r>
      <w:bookmarkEnd w:id="71"/>
      <w:bookmarkStart w:id="72" w:name="_Toc15396630"/>
    </w:p>
    <w:p>
      <w:pPr>
        <w:spacing w:line="576" w:lineRule="exact"/>
        <w:ind w:firstLine="640" w:firstLineChars="200"/>
        <w:rPr>
          <w:rStyle w:val="17"/>
          <w:rFonts w:ascii="仿宋_GB2312" w:hAnsi="仿宋" w:eastAsia="仿宋_GB2312" w:cs="仿宋"/>
          <w:b w:val="0"/>
          <w:bCs w:val="0"/>
        </w:rPr>
      </w:pPr>
      <w:r>
        <w:rPr>
          <w:rStyle w:val="17"/>
          <w:rFonts w:hint="eastAsia" w:ascii="仿宋_GB2312" w:hAnsi="仿宋" w:eastAsia="仿宋_GB2312" w:cs="仿宋"/>
          <w:b w:val="0"/>
          <w:bCs w:val="0"/>
        </w:rPr>
        <w:t>十二、</w:t>
      </w:r>
      <w:r>
        <w:rPr>
          <w:rFonts w:hint="eastAsia" w:ascii="仿宋_GB2312" w:hAnsi="仿宋" w:eastAsia="仿宋_GB2312" w:cs="仿宋"/>
          <w:color w:val="000000"/>
          <w:sz w:val="32"/>
          <w:szCs w:val="32"/>
        </w:rPr>
        <w:t>政</w:t>
      </w:r>
      <w:r>
        <w:rPr>
          <w:rStyle w:val="17"/>
          <w:rFonts w:hint="eastAsia" w:ascii="仿宋_GB2312" w:hAnsi="仿宋" w:eastAsia="仿宋_GB2312" w:cs="仿宋"/>
          <w:b w:val="0"/>
          <w:bCs w:val="0"/>
        </w:rPr>
        <w:t>府性基金预算财政拨款“三公”经费支出决算表</w:t>
      </w:r>
      <w:bookmarkEnd w:id="72"/>
      <w:bookmarkStart w:id="73" w:name="_Toc15396631"/>
    </w:p>
    <w:p>
      <w:pPr>
        <w:spacing w:line="576" w:lineRule="exact"/>
        <w:ind w:firstLine="640" w:firstLineChars="200"/>
        <w:rPr>
          <w:rStyle w:val="17"/>
          <w:rFonts w:ascii="仿宋_GB2312" w:hAnsi="仿宋" w:eastAsia="仿宋_GB2312" w:cs="仿宋"/>
          <w:b w:val="0"/>
          <w:bCs w:val="0"/>
        </w:rPr>
      </w:pPr>
      <w:r>
        <w:rPr>
          <w:rStyle w:val="17"/>
          <w:rFonts w:hint="eastAsia" w:ascii="仿宋_GB2312" w:hAnsi="仿宋" w:eastAsia="仿宋_GB2312" w:cs="仿宋"/>
          <w:b w:val="0"/>
          <w:bCs w:val="0"/>
        </w:rPr>
        <w:t>十三、</w:t>
      </w:r>
      <w:r>
        <w:rPr>
          <w:rFonts w:hint="eastAsia" w:ascii="仿宋_GB2312" w:hAnsi="仿宋" w:eastAsia="仿宋_GB2312" w:cs="仿宋"/>
          <w:color w:val="000000"/>
          <w:sz w:val="32"/>
          <w:szCs w:val="32"/>
        </w:rPr>
        <w:t>国</w:t>
      </w:r>
      <w:r>
        <w:rPr>
          <w:rStyle w:val="17"/>
          <w:rFonts w:hint="eastAsia" w:ascii="仿宋_GB2312" w:hAnsi="仿宋" w:eastAsia="仿宋_GB2312" w:cs="仿宋"/>
          <w:b w:val="0"/>
          <w:bCs w:val="0"/>
        </w:rPr>
        <w:t>有资本经营预算支出决算表</w:t>
      </w:r>
      <w:bookmarkEnd w:id="73"/>
    </w:p>
    <w:p>
      <w:pPr>
        <w:spacing w:line="576" w:lineRule="exact"/>
        <w:ind w:firstLine="640" w:firstLineChars="200"/>
        <w:rPr>
          <w:rStyle w:val="17"/>
          <w:rFonts w:ascii="仿宋_GB2312" w:hAnsi="仿宋" w:eastAsia="仿宋_GB2312" w:cs="仿宋"/>
          <w:b w:val="0"/>
          <w:bCs w:val="0"/>
        </w:rPr>
      </w:pPr>
    </w:p>
    <w:p>
      <w:pPr>
        <w:spacing w:line="576" w:lineRule="exact"/>
        <w:ind w:firstLine="640" w:firstLineChars="200"/>
        <w:rPr>
          <w:rStyle w:val="17"/>
          <w:rFonts w:ascii="仿宋_GB2312" w:hAnsi="仿宋" w:eastAsia="仿宋_GB2312" w:cs="仿宋"/>
          <w:b w:val="0"/>
          <w:bCs w:val="0"/>
        </w:rPr>
      </w:pPr>
    </w:p>
    <w:p>
      <w:pPr>
        <w:spacing w:line="576" w:lineRule="exact"/>
        <w:ind w:firstLine="5600" w:firstLineChars="1750"/>
        <w:rPr>
          <w:rStyle w:val="17"/>
          <w:rFonts w:ascii="仿宋_GB2312" w:hAnsi="仿宋" w:eastAsia="仿宋_GB2312" w:cs="仿宋"/>
          <w:b w:val="0"/>
          <w:bCs w:val="0"/>
        </w:rPr>
      </w:pPr>
    </w:p>
    <w:p>
      <w:pPr>
        <w:spacing w:line="576" w:lineRule="exact"/>
        <w:ind w:firstLine="5120" w:firstLineChars="1600"/>
        <w:rPr>
          <w:rStyle w:val="17"/>
          <w:rFonts w:ascii="仿宋_GB2312" w:hAnsi="仿宋" w:eastAsia="仿宋_GB2312" w:cs="仿宋"/>
          <w:b w:val="0"/>
          <w:bCs w:val="0"/>
        </w:rPr>
      </w:pP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华文楷体">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fldChar w:fldCharType="begin"/>
    </w:r>
    <w:r>
      <w:instrText xml:space="preserve">PAGE   \* MERGEFORMAT</w:instrText>
    </w:r>
    <w:r>
      <w:fldChar w:fldCharType="separate"/>
    </w:r>
    <w:r>
      <w:rPr>
        <w:lang w:val="zh-CN"/>
      </w:rPr>
      <w:t>26</w:t>
    </w:r>
    <w:r>
      <w:rPr>
        <w:lang w:val="zh-CN"/>
      </w:rPr>
      <w:fldChar w:fldCharType="end"/>
    </w:r>
  </w:p>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1">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1361C"/>
    <w:rsid w:val="00007F63"/>
    <w:rsid w:val="00013D70"/>
    <w:rsid w:val="000222C6"/>
    <w:rsid w:val="0002549F"/>
    <w:rsid w:val="000414CB"/>
    <w:rsid w:val="00051733"/>
    <w:rsid w:val="0005578C"/>
    <w:rsid w:val="00064533"/>
    <w:rsid w:val="0006487A"/>
    <w:rsid w:val="00065F8F"/>
    <w:rsid w:val="00075D6E"/>
    <w:rsid w:val="000768F2"/>
    <w:rsid w:val="00081D88"/>
    <w:rsid w:val="00084AE0"/>
    <w:rsid w:val="00090225"/>
    <w:rsid w:val="0009184B"/>
    <w:rsid w:val="0009513E"/>
    <w:rsid w:val="0009593C"/>
    <w:rsid w:val="000A62C6"/>
    <w:rsid w:val="000B047F"/>
    <w:rsid w:val="000B5923"/>
    <w:rsid w:val="000B5A48"/>
    <w:rsid w:val="000B6FF3"/>
    <w:rsid w:val="000C0F6A"/>
    <w:rsid w:val="000C2B20"/>
    <w:rsid w:val="000C3467"/>
    <w:rsid w:val="000C3CA6"/>
    <w:rsid w:val="000D1267"/>
    <w:rsid w:val="000D17D3"/>
    <w:rsid w:val="000D1D50"/>
    <w:rsid w:val="000D5782"/>
    <w:rsid w:val="000E6613"/>
    <w:rsid w:val="000E7119"/>
    <w:rsid w:val="000F000B"/>
    <w:rsid w:val="000F1998"/>
    <w:rsid w:val="00114E9B"/>
    <w:rsid w:val="00117AAA"/>
    <w:rsid w:val="0013177E"/>
    <w:rsid w:val="001379A7"/>
    <w:rsid w:val="0014729F"/>
    <w:rsid w:val="00157696"/>
    <w:rsid w:val="00157BAB"/>
    <w:rsid w:val="001654D1"/>
    <w:rsid w:val="001725B6"/>
    <w:rsid w:val="0018052F"/>
    <w:rsid w:val="0018106D"/>
    <w:rsid w:val="001877A7"/>
    <w:rsid w:val="00191536"/>
    <w:rsid w:val="00193F1F"/>
    <w:rsid w:val="0019409B"/>
    <w:rsid w:val="00196687"/>
    <w:rsid w:val="001A65AA"/>
    <w:rsid w:val="001C0962"/>
    <w:rsid w:val="001D7531"/>
    <w:rsid w:val="001E2BCA"/>
    <w:rsid w:val="001E737D"/>
    <w:rsid w:val="001F0592"/>
    <w:rsid w:val="001F0B89"/>
    <w:rsid w:val="001F3A4F"/>
    <w:rsid w:val="001F7506"/>
    <w:rsid w:val="002006CD"/>
    <w:rsid w:val="00202371"/>
    <w:rsid w:val="00202B36"/>
    <w:rsid w:val="00204B7A"/>
    <w:rsid w:val="00206201"/>
    <w:rsid w:val="0021101A"/>
    <w:rsid w:val="00212DEB"/>
    <w:rsid w:val="0021328E"/>
    <w:rsid w:val="0021690E"/>
    <w:rsid w:val="00220536"/>
    <w:rsid w:val="00234318"/>
    <w:rsid w:val="00235629"/>
    <w:rsid w:val="00237AE5"/>
    <w:rsid w:val="002428A8"/>
    <w:rsid w:val="00242CC3"/>
    <w:rsid w:val="0025228B"/>
    <w:rsid w:val="00260C38"/>
    <w:rsid w:val="002616C0"/>
    <w:rsid w:val="0026610E"/>
    <w:rsid w:val="002662AA"/>
    <w:rsid w:val="00276B95"/>
    <w:rsid w:val="00280496"/>
    <w:rsid w:val="00284AAD"/>
    <w:rsid w:val="00287782"/>
    <w:rsid w:val="00295495"/>
    <w:rsid w:val="002B2613"/>
    <w:rsid w:val="002B6CDB"/>
    <w:rsid w:val="002C31D7"/>
    <w:rsid w:val="002C5ACB"/>
    <w:rsid w:val="002E42E0"/>
    <w:rsid w:val="002F1818"/>
    <w:rsid w:val="002F567B"/>
    <w:rsid w:val="003057CF"/>
    <w:rsid w:val="0031053F"/>
    <w:rsid w:val="003137FC"/>
    <w:rsid w:val="003216A9"/>
    <w:rsid w:val="00322653"/>
    <w:rsid w:val="00352D6A"/>
    <w:rsid w:val="00363850"/>
    <w:rsid w:val="0037013F"/>
    <w:rsid w:val="00371F42"/>
    <w:rsid w:val="00380C92"/>
    <w:rsid w:val="003855D1"/>
    <w:rsid w:val="003904EB"/>
    <w:rsid w:val="003A484F"/>
    <w:rsid w:val="003A5A94"/>
    <w:rsid w:val="003B0BE0"/>
    <w:rsid w:val="003B0C1B"/>
    <w:rsid w:val="003B5FBA"/>
    <w:rsid w:val="003B688C"/>
    <w:rsid w:val="003C0291"/>
    <w:rsid w:val="003C2AA4"/>
    <w:rsid w:val="003C39AE"/>
    <w:rsid w:val="003C5E9F"/>
    <w:rsid w:val="003C7279"/>
    <w:rsid w:val="003C78E5"/>
    <w:rsid w:val="003C7B60"/>
    <w:rsid w:val="003D1FB2"/>
    <w:rsid w:val="003D66DA"/>
    <w:rsid w:val="003E1310"/>
    <w:rsid w:val="003E34B0"/>
    <w:rsid w:val="003E5081"/>
    <w:rsid w:val="003E6F55"/>
    <w:rsid w:val="003F2878"/>
    <w:rsid w:val="003F6C2F"/>
    <w:rsid w:val="0040370C"/>
    <w:rsid w:val="00406254"/>
    <w:rsid w:val="004223DE"/>
    <w:rsid w:val="00426F2C"/>
    <w:rsid w:val="00434489"/>
    <w:rsid w:val="0043497D"/>
    <w:rsid w:val="00437085"/>
    <w:rsid w:val="00440C43"/>
    <w:rsid w:val="00443880"/>
    <w:rsid w:val="004464F4"/>
    <w:rsid w:val="00460321"/>
    <w:rsid w:val="00471401"/>
    <w:rsid w:val="00472A1D"/>
    <w:rsid w:val="00473F31"/>
    <w:rsid w:val="0047753E"/>
    <w:rsid w:val="00482131"/>
    <w:rsid w:val="0048263A"/>
    <w:rsid w:val="00487E5D"/>
    <w:rsid w:val="00492220"/>
    <w:rsid w:val="00492622"/>
    <w:rsid w:val="004A6945"/>
    <w:rsid w:val="004A711F"/>
    <w:rsid w:val="004B199D"/>
    <w:rsid w:val="004B4690"/>
    <w:rsid w:val="004B7630"/>
    <w:rsid w:val="004E0A2D"/>
    <w:rsid w:val="004E206B"/>
    <w:rsid w:val="004E6DF7"/>
    <w:rsid w:val="004F0FBD"/>
    <w:rsid w:val="00505A47"/>
    <w:rsid w:val="00512FDA"/>
    <w:rsid w:val="005158D9"/>
    <w:rsid w:val="005209CD"/>
    <w:rsid w:val="00520DA0"/>
    <w:rsid w:val="0053294B"/>
    <w:rsid w:val="00534734"/>
    <w:rsid w:val="00541481"/>
    <w:rsid w:val="005521C0"/>
    <w:rsid w:val="00557AA3"/>
    <w:rsid w:val="005664BB"/>
    <w:rsid w:val="0057481D"/>
    <w:rsid w:val="00576554"/>
    <w:rsid w:val="00577F89"/>
    <w:rsid w:val="00582EF1"/>
    <w:rsid w:val="0058446B"/>
    <w:rsid w:val="0058486E"/>
    <w:rsid w:val="005933F8"/>
    <w:rsid w:val="00596AC7"/>
    <w:rsid w:val="005A5FA2"/>
    <w:rsid w:val="005D1A4B"/>
    <w:rsid w:val="005D1C8B"/>
    <w:rsid w:val="005D5CED"/>
    <w:rsid w:val="005E0A88"/>
    <w:rsid w:val="005E7276"/>
    <w:rsid w:val="005E788B"/>
    <w:rsid w:val="005F1A4C"/>
    <w:rsid w:val="005F22F0"/>
    <w:rsid w:val="00600815"/>
    <w:rsid w:val="0060146A"/>
    <w:rsid w:val="00605688"/>
    <w:rsid w:val="00606DAD"/>
    <w:rsid w:val="006070AF"/>
    <w:rsid w:val="00607E6C"/>
    <w:rsid w:val="006101B1"/>
    <w:rsid w:val="00614958"/>
    <w:rsid w:val="00614E44"/>
    <w:rsid w:val="0061623D"/>
    <w:rsid w:val="006173EC"/>
    <w:rsid w:val="00622830"/>
    <w:rsid w:val="00630AEF"/>
    <w:rsid w:val="006325F8"/>
    <w:rsid w:val="00634C9A"/>
    <w:rsid w:val="00635F70"/>
    <w:rsid w:val="006440E4"/>
    <w:rsid w:val="0065098A"/>
    <w:rsid w:val="00654879"/>
    <w:rsid w:val="00662018"/>
    <w:rsid w:val="0066343B"/>
    <w:rsid w:val="00664777"/>
    <w:rsid w:val="006662A3"/>
    <w:rsid w:val="006748A4"/>
    <w:rsid w:val="00683E73"/>
    <w:rsid w:val="006842C9"/>
    <w:rsid w:val="006A3141"/>
    <w:rsid w:val="006A49A1"/>
    <w:rsid w:val="006A5E34"/>
    <w:rsid w:val="006B04BC"/>
    <w:rsid w:val="006B2422"/>
    <w:rsid w:val="006B2B9A"/>
    <w:rsid w:val="006B4887"/>
    <w:rsid w:val="006C1937"/>
    <w:rsid w:val="006D0A30"/>
    <w:rsid w:val="006E4F2C"/>
    <w:rsid w:val="006E6E7F"/>
    <w:rsid w:val="006F020C"/>
    <w:rsid w:val="0070599D"/>
    <w:rsid w:val="007127B7"/>
    <w:rsid w:val="00712C80"/>
    <w:rsid w:val="00714169"/>
    <w:rsid w:val="0072657A"/>
    <w:rsid w:val="00735BCF"/>
    <w:rsid w:val="007416B6"/>
    <w:rsid w:val="00746F48"/>
    <w:rsid w:val="0075404D"/>
    <w:rsid w:val="00756C03"/>
    <w:rsid w:val="0076182A"/>
    <w:rsid w:val="00767B7E"/>
    <w:rsid w:val="007770C3"/>
    <w:rsid w:val="00782C5B"/>
    <w:rsid w:val="00784D24"/>
    <w:rsid w:val="00785FBA"/>
    <w:rsid w:val="00786E4A"/>
    <w:rsid w:val="007875EB"/>
    <w:rsid w:val="0079426B"/>
    <w:rsid w:val="007A5BAC"/>
    <w:rsid w:val="007A5FD9"/>
    <w:rsid w:val="007B4931"/>
    <w:rsid w:val="007D18F7"/>
    <w:rsid w:val="007D312A"/>
    <w:rsid w:val="007D3F19"/>
    <w:rsid w:val="007E23B0"/>
    <w:rsid w:val="007E5F55"/>
    <w:rsid w:val="007F1991"/>
    <w:rsid w:val="007F2C2F"/>
    <w:rsid w:val="007F55FC"/>
    <w:rsid w:val="007F5665"/>
    <w:rsid w:val="00800112"/>
    <w:rsid w:val="00806F52"/>
    <w:rsid w:val="00812344"/>
    <w:rsid w:val="00820A97"/>
    <w:rsid w:val="008253BB"/>
    <w:rsid w:val="008322E2"/>
    <w:rsid w:val="00834A2D"/>
    <w:rsid w:val="00835699"/>
    <w:rsid w:val="0083706E"/>
    <w:rsid w:val="008423A5"/>
    <w:rsid w:val="00850625"/>
    <w:rsid w:val="00853718"/>
    <w:rsid w:val="00855221"/>
    <w:rsid w:val="00860645"/>
    <w:rsid w:val="00863317"/>
    <w:rsid w:val="00871F71"/>
    <w:rsid w:val="00885AF4"/>
    <w:rsid w:val="00886BDA"/>
    <w:rsid w:val="00892FC0"/>
    <w:rsid w:val="008939CD"/>
    <w:rsid w:val="008A0634"/>
    <w:rsid w:val="008A17BA"/>
    <w:rsid w:val="008A1EBB"/>
    <w:rsid w:val="008B71E9"/>
    <w:rsid w:val="008B768C"/>
    <w:rsid w:val="008C165F"/>
    <w:rsid w:val="008C4DB1"/>
    <w:rsid w:val="008C4EAF"/>
    <w:rsid w:val="008C5176"/>
    <w:rsid w:val="008C7FD0"/>
    <w:rsid w:val="008D44CE"/>
    <w:rsid w:val="008D6F58"/>
    <w:rsid w:val="008E1DE7"/>
    <w:rsid w:val="008E3FAD"/>
    <w:rsid w:val="008E707C"/>
    <w:rsid w:val="00900B08"/>
    <w:rsid w:val="009011B2"/>
    <w:rsid w:val="00902155"/>
    <w:rsid w:val="00902FA3"/>
    <w:rsid w:val="009051DB"/>
    <w:rsid w:val="00923564"/>
    <w:rsid w:val="0092392E"/>
    <w:rsid w:val="00923CA2"/>
    <w:rsid w:val="009315F9"/>
    <w:rsid w:val="00943009"/>
    <w:rsid w:val="00946945"/>
    <w:rsid w:val="00951248"/>
    <w:rsid w:val="0095152F"/>
    <w:rsid w:val="00954C49"/>
    <w:rsid w:val="00955B83"/>
    <w:rsid w:val="00956980"/>
    <w:rsid w:val="0097099F"/>
    <w:rsid w:val="00971997"/>
    <w:rsid w:val="00971D98"/>
    <w:rsid w:val="00971FFC"/>
    <w:rsid w:val="0097346B"/>
    <w:rsid w:val="0098660A"/>
    <w:rsid w:val="00986D00"/>
    <w:rsid w:val="009931C3"/>
    <w:rsid w:val="00995AD0"/>
    <w:rsid w:val="009B2C43"/>
    <w:rsid w:val="009B4EAE"/>
    <w:rsid w:val="009B62C5"/>
    <w:rsid w:val="009B7573"/>
    <w:rsid w:val="009C22F4"/>
    <w:rsid w:val="009C2E98"/>
    <w:rsid w:val="009D3447"/>
    <w:rsid w:val="009D4711"/>
    <w:rsid w:val="009D6C4B"/>
    <w:rsid w:val="009E7CD3"/>
    <w:rsid w:val="009F1185"/>
    <w:rsid w:val="009F18CD"/>
    <w:rsid w:val="009F2A13"/>
    <w:rsid w:val="00A02AAA"/>
    <w:rsid w:val="00A04EB0"/>
    <w:rsid w:val="00A05C13"/>
    <w:rsid w:val="00A13CC1"/>
    <w:rsid w:val="00A15D7E"/>
    <w:rsid w:val="00A16847"/>
    <w:rsid w:val="00A237D8"/>
    <w:rsid w:val="00A266A4"/>
    <w:rsid w:val="00A268C4"/>
    <w:rsid w:val="00A307CD"/>
    <w:rsid w:val="00A40A00"/>
    <w:rsid w:val="00A4142F"/>
    <w:rsid w:val="00A56DF2"/>
    <w:rsid w:val="00A61C83"/>
    <w:rsid w:val="00A6637E"/>
    <w:rsid w:val="00A67AB5"/>
    <w:rsid w:val="00A70260"/>
    <w:rsid w:val="00A75693"/>
    <w:rsid w:val="00A76B50"/>
    <w:rsid w:val="00A91760"/>
    <w:rsid w:val="00A93B00"/>
    <w:rsid w:val="00A93C21"/>
    <w:rsid w:val="00AA00D1"/>
    <w:rsid w:val="00AA7F2D"/>
    <w:rsid w:val="00AC3C6A"/>
    <w:rsid w:val="00AC4095"/>
    <w:rsid w:val="00AC733E"/>
    <w:rsid w:val="00AD21A0"/>
    <w:rsid w:val="00AD5620"/>
    <w:rsid w:val="00AD7C1B"/>
    <w:rsid w:val="00AE16BA"/>
    <w:rsid w:val="00AE1EBE"/>
    <w:rsid w:val="00AF0F0F"/>
    <w:rsid w:val="00AF492A"/>
    <w:rsid w:val="00AF5968"/>
    <w:rsid w:val="00B03C9D"/>
    <w:rsid w:val="00B060AE"/>
    <w:rsid w:val="00B06A4C"/>
    <w:rsid w:val="00B10517"/>
    <w:rsid w:val="00B14E76"/>
    <w:rsid w:val="00B161B8"/>
    <w:rsid w:val="00B2048C"/>
    <w:rsid w:val="00B227AA"/>
    <w:rsid w:val="00B235BC"/>
    <w:rsid w:val="00B24E0A"/>
    <w:rsid w:val="00B310B9"/>
    <w:rsid w:val="00B35F3F"/>
    <w:rsid w:val="00B36CBB"/>
    <w:rsid w:val="00B41068"/>
    <w:rsid w:val="00B425E0"/>
    <w:rsid w:val="00B440AA"/>
    <w:rsid w:val="00B44B70"/>
    <w:rsid w:val="00B457C2"/>
    <w:rsid w:val="00B512C9"/>
    <w:rsid w:val="00B53C56"/>
    <w:rsid w:val="00B73990"/>
    <w:rsid w:val="00B7606B"/>
    <w:rsid w:val="00B77EA6"/>
    <w:rsid w:val="00B81598"/>
    <w:rsid w:val="00B841F1"/>
    <w:rsid w:val="00B944D6"/>
    <w:rsid w:val="00BB4DF0"/>
    <w:rsid w:val="00BC289F"/>
    <w:rsid w:val="00BC5361"/>
    <w:rsid w:val="00BC5460"/>
    <w:rsid w:val="00BC6B50"/>
    <w:rsid w:val="00BD0E25"/>
    <w:rsid w:val="00BD3AAE"/>
    <w:rsid w:val="00BD4B29"/>
    <w:rsid w:val="00BD5964"/>
    <w:rsid w:val="00BD75D6"/>
    <w:rsid w:val="00BF31A8"/>
    <w:rsid w:val="00BF5BD6"/>
    <w:rsid w:val="00C03E31"/>
    <w:rsid w:val="00C124BC"/>
    <w:rsid w:val="00C21387"/>
    <w:rsid w:val="00C33E72"/>
    <w:rsid w:val="00C354B2"/>
    <w:rsid w:val="00C35554"/>
    <w:rsid w:val="00C42709"/>
    <w:rsid w:val="00C42FF5"/>
    <w:rsid w:val="00C50A8F"/>
    <w:rsid w:val="00C52B82"/>
    <w:rsid w:val="00C533CC"/>
    <w:rsid w:val="00C5751C"/>
    <w:rsid w:val="00C61BFC"/>
    <w:rsid w:val="00C62B85"/>
    <w:rsid w:val="00C65438"/>
    <w:rsid w:val="00C708AF"/>
    <w:rsid w:val="00C8684B"/>
    <w:rsid w:val="00C91CBB"/>
    <w:rsid w:val="00CA0EFF"/>
    <w:rsid w:val="00CA1F94"/>
    <w:rsid w:val="00CC09B6"/>
    <w:rsid w:val="00CC666F"/>
    <w:rsid w:val="00CD1E3F"/>
    <w:rsid w:val="00CD2FED"/>
    <w:rsid w:val="00CE35CB"/>
    <w:rsid w:val="00CE3DFA"/>
    <w:rsid w:val="00CE44F6"/>
    <w:rsid w:val="00CE49DA"/>
    <w:rsid w:val="00CE7B61"/>
    <w:rsid w:val="00CF4FAE"/>
    <w:rsid w:val="00D00095"/>
    <w:rsid w:val="00D13BDC"/>
    <w:rsid w:val="00D159BF"/>
    <w:rsid w:val="00D20620"/>
    <w:rsid w:val="00D2071A"/>
    <w:rsid w:val="00D244D5"/>
    <w:rsid w:val="00D26091"/>
    <w:rsid w:val="00D3403B"/>
    <w:rsid w:val="00D34E7C"/>
    <w:rsid w:val="00D35489"/>
    <w:rsid w:val="00D3692D"/>
    <w:rsid w:val="00D37EB1"/>
    <w:rsid w:val="00D4723A"/>
    <w:rsid w:val="00D47603"/>
    <w:rsid w:val="00D51276"/>
    <w:rsid w:val="00D52457"/>
    <w:rsid w:val="00D524B9"/>
    <w:rsid w:val="00D6191C"/>
    <w:rsid w:val="00D66339"/>
    <w:rsid w:val="00D7035F"/>
    <w:rsid w:val="00D7458B"/>
    <w:rsid w:val="00D764A7"/>
    <w:rsid w:val="00D7676E"/>
    <w:rsid w:val="00D8099C"/>
    <w:rsid w:val="00D870D6"/>
    <w:rsid w:val="00DA65AC"/>
    <w:rsid w:val="00DB1913"/>
    <w:rsid w:val="00DC410D"/>
    <w:rsid w:val="00DC68CA"/>
    <w:rsid w:val="00DC7CBA"/>
    <w:rsid w:val="00DD1173"/>
    <w:rsid w:val="00DD73B7"/>
    <w:rsid w:val="00DD79E2"/>
    <w:rsid w:val="00DE216E"/>
    <w:rsid w:val="00DF28BC"/>
    <w:rsid w:val="00DF34B9"/>
    <w:rsid w:val="00E01053"/>
    <w:rsid w:val="00E07ACF"/>
    <w:rsid w:val="00E10460"/>
    <w:rsid w:val="00E13322"/>
    <w:rsid w:val="00E152CC"/>
    <w:rsid w:val="00E331A1"/>
    <w:rsid w:val="00E33202"/>
    <w:rsid w:val="00E336A9"/>
    <w:rsid w:val="00E43EA9"/>
    <w:rsid w:val="00E50624"/>
    <w:rsid w:val="00E568DF"/>
    <w:rsid w:val="00E64269"/>
    <w:rsid w:val="00E651DB"/>
    <w:rsid w:val="00E716BD"/>
    <w:rsid w:val="00E82267"/>
    <w:rsid w:val="00EA010F"/>
    <w:rsid w:val="00EB2EBE"/>
    <w:rsid w:val="00EC6C57"/>
    <w:rsid w:val="00EC75D7"/>
    <w:rsid w:val="00ED0C5B"/>
    <w:rsid w:val="00ED160E"/>
    <w:rsid w:val="00ED1B63"/>
    <w:rsid w:val="00ED2FBE"/>
    <w:rsid w:val="00ED3C1F"/>
    <w:rsid w:val="00ED4085"/>
    <w:rsid w:val="00ED420E"/>
    <w:rsid w:val="00EE0D5E"/>
    <w:rsid w:val="00EE2F57"/>
    <w:rsid w:val="00EE4F56"/>
    <w:rsid w:val="00EE7D18"/>
    <w:rsid w:val="00EF4C34"/>
    <w:rsid w:val="00EF77C6"/>
    <w:rsid w:val="00EF797C"/>
    <w:rsid w:val="00F00ADE"/>
    <w:rsid w:val="00F02C33"/>
    <w:rsid w:val="00F05438"/>
    <w:rsid w:val="00F11981"/>
    <w:rsid w:val="00F13471"/>
    <w:rsid w:val="00F1361C"/>
    <w:rsid w:val="00F160C7"/>
    <w:rsid w:val="00F259FB"/>
    <w:rsid w:val="00F36D8F"/>
    <w:rsid w:val="00F417B1"/>
    <w:rsid w:val="00F4490E"/>
    <w:rsid w:val="00F46DC1"/>
    <w:rsid w:val="00F54A8F"/>
    <w:rsid w:val="00F56A25"/>
    <w:rsid w:val="00F572F3"/>
    <w:rsid w:val="00F602DF"/>
    <w:rsid w:val="00F60E2F"/>
    <w:rsid w:val="00F81FD9"/>
    <w:rsid w:val="00F841AA"/>
    <w:rsid w:val="00F86215"/>
    <w:rsid w:val="00F90037"/>
    <w:rsid w:val="00F91E53"/>
    <w:rsid w:val="00F92726"/>
    <w:rsid w:val="00FA23E8"/>
    <w:rsid w:val="00FA343A"/>
    <w:rsid w:val="00FA5E8E"/>
    <w:rsid w:val="00FC4A15"/>
    <w:rsid w:val="00FD3CC1"/>
    <w:rsid w:val="00FF0455"/>
    <w:rsid w:val="00FF1E02"/>
    <w:rsid w:val="00FF30B4"/>
    <w:rsid w:val="00FF7A12"/>
    <w:rsid w:val="10C055FF"/>
    <w:rsid w:val="15CB3652"/>
    <w:rsid w:val="16BB723D"/>
    <w:rsid w:val="1E96636A"/>
    <w:rsid w:val="1F411A8F"/>
    <w:rsid w:val="201232E4"/>
    <w:rsid w:val="22F13A41"/>
    <w:rsid w:val="240371BF"/>
    <w:rsid w:val="24F25BB9"/>
    <w:rsid w:val="2568365F"/>
    <w:rsid w:val="29D23E1C"/>
    <w:rsid w:val="29FD04D3"/>
    <w:rsid w:val="315B6137"/>
    <w:rsid w:val="319F7F4E"/>
    <w:rsid w:val="3B374210"/>
    <w:rsid w:val="5BF82C4F"/>
    <w:rsid w:val="6B056575"/>
    <w:rsid w:val="78E52F05"/>
    <w:rsid w:val="7E257E12"/>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99" w:semiHidden="0" w:name="toc 1"/>
    <w:lsdException w:unhideWhenUsed="0" w:uiPriority="99" w:semiHidden="0" w:name="toc 2"/>
    <w:lsdException w:unhideWhenUsed="0" w:uiPriority="99" w:semiHidden="0" w:name="toc 3"/>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uiPriority="99" w:name="annotation text" w:locked="1"/>
    <w:lsdException w:unhideWhenUsed="0" w:uiPriority="99" w:name="header"/>
    <w:lsdException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unhideWhenUsed="0" w:uiPriority="99" w:name="Default Paragraph Font"/>
    <w:lsdException w:unhideWhenUsed="0" w:uiPriority="99" w:semiHidden="0" w:name="Body Text"/>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unhideWhenUsed="0" w:uiPriority="99" w:semiHidden="0" w:name="Hyperlink"/>
    <w:lsdException w:uiPriority="99" w:name="FollowedHyperlink" w:locked="1"/>
    <w:lsdException w:qFormat="1" w:unhideWhenUsed="0" w:uiPriority="99" w:semiHidden="0" w:name="Strong"/>
    <w:lsdException w:qFormat="1" w:unhideWhenUsed="0" w:uiPriority="20" w:semiHidden="0" w:name="Emphasis" w:locked="1"/>
    <w:lsdException w:uiPriority="99" w:name="Document Map" w:locked="1"/>
    <w:lsdException w:uiPriority="99" w:name="Plain Text" w:locked="1"/>
    <w:lsdException w:uiPriority="99" w:name="E-mail Signature" w:locked="1"/>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nhideWhenUsed="0" w:uiPriority="99"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6"/>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17"/>
    <w:qFormat/>
    <w:uiPriority w:val="99"/>
    <w:pPr>
      <w:keepNext/>
      <w:keepLines/>
      <w:spacing w:before="260" w:after="260" w:line="416" w:lineRule="auto"/>
      <w:outlineLvl w:val="1"/>
    </w:pPr>
    <w:rPr>
      <w:rFonts w:ascii="Cambria" w:hAnsi="Cambria"/>
      <w:b/>
      <w:bCs/>
      <w:sz w:val="32"/>
      <w:szCs w:val="32"/>
    </w:rPr>
  </w:style>
  <w:style w:type="paragraph" w:styleId="4">
    <w:name w:val="heading 3"/>
    <w:basedOn w:val="1"/>
    <w:next w:val="1"/>
    <w:link w:val="18"/>
    <w:qFormat/>
    <w:uiPriority w:val="99"/>
    <w:pPr>
      <w:keepNext/>
      <w:keepLines/>
      <w:spacing w:before="260" w:after="260" w:line="416" w:lineRule="auto"/>
      <w:outlineLvl w:val="2"/>
    </w:pPr>
    <w:rPr>
      <w:b/>
      <w:bCs/>
      <w:sz w:val="32"/>
      <w:szCs w:val="32"/>
    </w:rPr>
  </w:style>
  <w:style w:type="character" w:default="1" w:styleId="13">
    <w:name w:val="Default Paragraph Font"/>
    <w:semiHidden/>
    <w:uiPriority w:val="99"/>
  </w:style>
  <w:style w:type="table" w:default="1" w:styleId="12">
    <w:name w:val="Normal Table"/>
    <w:semiHidden/>
    <w:unhideWhenUsed/>
    <w:qFormat/>
    <w:uiPriority w:val="99"/>
    <w:tblPr>
      <w:tblLayout w:type="fixed"/>
      <w:tblCellMar>
        <w:top w:w="0" w:type="dxa"/>
        <w:left w:w="108" w:type="dxa"/>
        <w:bottom w:w="0" w:type="dxa"/>
        <w:right w:w="108" w:type="dxa"/>
      </w:tblCellMar>
    </w:tblPr>
  </w:style>
  <w:style w:type="paragraph" w:styleId="5">
    <w:name w:val="Body Text"/>
    <w:basedOn w:val="1"/>
    <w:link w:val="25"/>
    <w:uiPriority w:val="99"/>
    <w:pPr>
      <w:spacing w:beforeLines="30"/>
    </w:pPr>
    <w:rPr>
      <w:rFonts w:ascii="仿宋_GB2312" w:eastAsia="仿宋_GB2312"/>
      <w:kern w:val="0"/>
      <w:sz w:val="24"/>
      <w:szCs w:val="20"/>
    </w:rPr>
  </w:style>
  <w:style w:type="paragraph" w:styleId="6">
    <w:name w:val="toc 3"/>
    <w:basedOn w:val="1"/>
    <w:next w:val="1"/>
    <w:uiPriority w:val="99"/>
    <w:pPr>
      <w:tabs>
        <w:tab w:val="right" w:leader="dot" w:pos="8296"/>
      </w:tabs>
      <w:ind w:left="840" w:leftChars="400"/>
    </w:pPr>
  </w:style>
  <w:style w:type="paragraph" w:styleId="7">
    <w:name w:val="Balloon Text"/>
    <w:basedOn w:val="1"/>
    <w:link w:val="20"/>
    <w:semiHidden/>
    <w:uiPriority w:val="99"/>
    <w:rPr>
      <w:sz w:val="18"/>
      <w:szCs w:val="18"/>
    </w:rPr>
  </w:style>
  <w:style w:type="paragraph" w:styleId="8">
    <w:name w:val="footer"/>
    <w:basedOn w:val="1"/>
    <w:link w:val="24"/>
    <w:uiPriority w:val="99"/>
    <w:pPr>
      <w:tabs>
        <w:tab w:val="center" w:pos="4153"/>
        <w:tab w:val="right" w:pos="8306"/>
      </w:tabs>
      <w:snapToGrid w:val="0"/>
      <w:jc w:val="left"/>
    </w:pPr>
    <w:rPr>
      <w:kern w:val="0"/>
      <w:sz w:val="18"/>
      <w:szCs w:val="20"/>
    </w:rPr>
  </w:style>
  <w:style w:type="paragraph" w:styleId="9">
    <w:name w:val="header"/>
    <w:basedOn w:val="1"/>
    <w:link w:val="23"/>
    <w:semiHidden/>
    <w:uiPriority w:val="99"/>
    <w:pPr>
      <w:pBdr>
        <w:bottom w:val="single" w:color="auto" w:sz="6" w:space="1"/>
      </w:pBdr>
      <w:tabs>
        <w:tab w:val="center" w:pos="4153"/>
        <w:tab w:val="right" w:pos="8306"/>
      </w:tabs>
      <w:snapToGrid w:val="0"/>
      <w:jc w:val="center"/>
    </w:pPr>
    <w:rPr>
      <w:kern w:val="0"/>
      <w:sz w:val="18"/>
      <w:szCs w:val="20"/>
    </w:rPr>
  </w:style>
  <w:style w:type="paragraph" w:styleId="10">
    <w:name w:val="toc 1"/>
    <w:basedOn w:val="1"/>
    <w:next w:val="1"/>
    <w:uiPriority w:val="99"/>
    <w:pPr>
      <w:tabs>
        <w:tab w:val="right" w:leader="dot" w:pos="8296"/>
      </w:tabs>
      <w:spacing w:before="93"/>
      <w:jc w:val="center"/>
    </w:pPr>
    <w:rPr>
      <w:rFonts w:ascii="仿宋" w:hAnsi="仿宋" w:eastAsia="仿宋"/>
      <w:sz w:val="28"/>
      <w:szCs w:val="28"/>
    </w:rPr>
  </w:style>
  <w:style w:type="paragraph" w:styleId="11">
    <w:name w:val="toc 2"/>
    <w:basedOn w:val="1"/>
    <w:next w:val="1"/>
    <w:uiPriority w:val="99"/>
    <w:pPr>
      <w:tabs>
        <w:tab w:val="right" w:leader="dot" w:pos="8296"/>
      </w:tabs>
      <w:ind w:left="420" w:leftChars="200"/>
    </w:pPr>
  </w:style>
  <w:style w:type="character" w:styleId="14">
    <w:name w:val="Strong"/>
    <w:basedOn w:val="13"/>
    <w:qFormat/>
    <w:uiPriority w:val="99"/>
    <w:rPr>
      <w:rFonts w:cs="Times New Roman"/>
      <w:b/>
    </w:rPr>
  </w:style>
  <w:style w:type="character" w:styleId="15">
    <w:name w:val="Hyperlink"/>
    <w:basedOn w:val="13"/>
    <w:uiPriority w:val="99"/>
    <w:rPr>
      <w:rFonts w:cs="Times New Roman"/>
      <w:color w:val="0000FF"/>
      <w:u w:val="single"/>
    </w:rPr>
  </w:style>
  <w:style w:type="character" w:customStyle="1" w:styleId="16">
    <w:name w:val="Heading 1 Char"/>
    <w:basedOn w:val="13"/>
    <w:link w:val="2"/>
    <w:qFormat/>
    <w:locked/>
    <w:uiPriority w:val="99"/>
    <w:rPr>
      <w:rFonts w:ascii="Times New Roman" w:hAnsi="Times New Roman" w:cs="Times New Roman"/>
      <w:b/>
      <w:bCs/>
      <w:kern w:val="44"/>
      <w:sz w:val="44"/>
      <w:szCs w:val="44"/>
    </w:rPr>
  </w:style>
  <w:style w:type="character" w:customStyle="1" w:styleId="17">
    <w:name w:val="Heading 2 Char"/>
    <w:basedOn w:val="13"/>
    <w:link w:val="3"/>
    <w:qFormat/>
    <w:locked/>
    <w:uiPriority w:val="99"/>
    <w:rPr>
      <w:rFonts w:ascii="Cambria" w:hAnsi="Cambria" w:eastAsia="宋体" w:cs="Times New Roman"/>
      <w:b/>
      <w:bCs/>
      <w:kern w:val="2"/>
      <w:sz w:val="32"/>
      <w:szCs w:val="32"/>
    </w:rPr>
  </w:style>
  <w:style w:type="character" w:customStyle="1" w:styleId="18">
    <w:name w:val="Heading 3 Char"/>
    <w:basedOn w:val="13"/>
    <w:link w:val="4"/>
    <w:locked/>
    <w:uiPriority w:val="99"/>
    <w:rPr>
      <w:rFonts w:ascii="Times New Roman" w:hAnsi="Times New Roman" w:cs="Times New Roman"/>
      <w:b/>
      <w:bCs/>
      <w:kern w:val="2"/>
      <w:sz w:val="32"/>
      <w:szCs w:val="32"/>
    </w:rPr>
  </w:style>
  <w:style w:type="character" w:customStyle="1" w:styleId="19">
    <w:name w:val="Body Text Char"/>
    <w:basedOn w:val="13"/>
    <w:link w:val="5"/>
    <w:semiHidden/>
    <w:locked/>
    <w:uiPriority w:val="99"/>
    <w:rPr>
      <w:rFonts w:ascii="Times New Roman" w:hAnsi="Times New Roman" w:cs="Times New Roman"/>
      <w:sz w:val="24"/>
      <w:szCs w:val="24"/>
    </w:rPr>
  </w:style>
  <w:style w:type="character" w:customStyle="1" w:styleId="20">
    <w:name w:val="Balloon Text Char"/>
    <w:basedOn w:val="13"/>
    <w:link w:val="7"/>
    <w:semiHidden/>
    <w:locked/>
    <w:uiPriority w:val="99"/>
    <w:rPr>
      <w:rFonts w:ascii="Times New Roman" w:hAnsi="Times New Roman" w:cs="Times New Roman"/>
      <w:kern w:val="2"/>
      <w:sz w:val="18"/>
      <w:szCs w:val="18"/>
    </w:rPr>
  </w:style>
  <w:style w:type="character" w:customStyle="1" w:styleId="21">
    <w:name w:val="Footer Char"/>
    <w:basedOn w:val="13"/>
    <w:link w:val="8"/>
    <w:semiHidden/>
    <w:locked/>
    <w:uiPriority w:val="99"/>
    <w:rPr>
      <w:rFonts w:ascii="Times New Roman" w:hAnsi="Times New Roman" w:cs="Times New Roman"/>
      <w:sz w:val="18"/>
      <w:szCs w:val="18"/>
    </w:rPr>
  </w:style>
  <w:style w:type="character" w:customStyle="1" w:styleId="22">
    <w:name w:val="Header Char"/>
    <w:basedOn w:val="13"/>
    <w:link w:val="9"/>
    <w:semiHidden/>
    <w:qFormat/>
    <w:locked/>
    <w:uiPriority w:val="99"/>
    <w:rPr>
      <w:rFonts w:ascii="Times New Roman" w:hAnsi="Times New Roman" w:cs="Times New Roman"/>
      <w:sz w:val="18"/>
      <w:szCs w:val="18"/>
    </w:rPr>
  </w:style>
  <w:style w:type="character" w:customStyle="1" w:styleId="23">
    <w:name w:val="Header Char1"/>
    <w:link w:val="9"/>
    <w:semiHidden/>
    <w:locked/>
    <w:uiPriority w:val="99"/>
    <w:rPr>
      <w:sz w:val="18"/>
    </w:rPr>
  </w:style>
  <w:style w:type="character" w:customStyle="1" w:styleId="24">
    <w:name w:val="Footer Char1"/>
    <w:link w:val="8"/>
    <w:locked/>
    <w:uiPriority w:val="99"/>
    <w:rPr>
      <w:sz w:val="18"/>
    </w:rPr>
  </w:style>
  <w:style w:type="character" w:customStyle="1" w:styleId="25">
    <w:name w:val="Body Text Char1"/>
    <w:link w:val="5"/>
    <w:locked/>
    <w:uiPriority w:val="99"/>
    <w:rPr>
      <w:rFonts w:ascii="仿宋_GB2312" w:hAnsi="Times New Roman" w:eastAsia="仿宋_GB2312"/>
      <w:sz w:val="24"/>
    </w:rPr>
  </w:style>
  <w:style w:type="paragraph" w:customStyle="1" w:styleId="26">
    <w:name w:val="Default"/>
    <w:uiPriority w:val="99"/>
    <w:pPr>
      <w:widowControl w:val="0"/>
      <w:autoSpaceDE w:val="0"/>
      <w:autoSpaceDN w:val="0"/>
      <w:adjustRightInd w:val="0"/>
    </w:pPr>
    <w:rPr>
      <w:rFonts w:ascii="仿宋" w:hAnsi="Calibri" w:eastAsia="仿宋" w:cs="仿宋"/>
      <w:color w:val="000000"/>
      <w:kern w:val="0"/>
      <w:sz w:val="24"/>
      <w:szCs w:val="24"/>
      <w:lang w:val="en-US" w:eastAsia="zh-CN" w:bidi="ar-SA"/>
    </w:rPr>
  </w:style>
  <w:style w:type="paragraph" w:styleId="27">
    <w:name w:val="List Paragraph"/>
    <w:basedOn w:val="1"/>
    <w:qFormat/>
    <w:uiPriority w:val="99"/>
    <w:pPr>
      <w:ind w:firstLine="420" w:firstLineChars="200"/>
    </w:pPr>
  </w:style>
  <w:style w:type="paragraph" w:customStyle="1" w:styleId="28">
    <w:name w:val="TOC 标题1"/>
    <w:basedOn w:val="2"/>
    <w:next w:val="1"/>
    <w:uiPriority w:val="99"/>
    <w:pPr>
      <w:widowControl/>
      <w:spacing w:before="480" w:after="0" w:line="276" w:lineRule="auto"/>
      <w:jc w:val="left"/>
      <w:outlineLvl w:val="9"/>
    </w:pPr>
    <w:rPr>
      <w:rFonts w:ascii="Cambria" w:hAnsi="Cambria"/>
      <w:color w:val="365F91"/>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image" Target="media/image2.emf"/><Relationship Id="rId8" Type="http://schemas.openxmlformats.org/officeDocument/2006/relationships/oleObject" Target="embeddings/oleObject2.bin"/><Relationship Id="rId7" Type="http://schemas.openxmlformats.org/officeDocument/2006/relationships/image" Target="media/image1.e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7.emf"/><Relationship Id="rId18" Type="http://schemas.openxmlformats.org/officeDocument/2006/relationships/oleObject" Target="embeddings/oleObject7.bin"/><Relationship Id="rId17" Type="http://schemas.openxmlformats.org/officeDocument/2006/relationships/image" Target="media/image6.emf"/><Relationship Id="rId16" Type="http://schemas.openxmlformats.org/officeDocument/2006/relationships/oleObject" Target="embeddings/oleObject6.bin"/><Relationship Id="rId15" Type="http://schemas.openxmlformats.org/officeDocument/2006/relationships/image" Target="media/image5.emf"/><Relationship Id="rId14" Type="http://schemas.openxmlformats.org/officeDocument/2006/relationships/oleObject" Target="embeddings/oleObject5.bin"/><Relationship Id="rId13" Type="http://schemas.openxmlformats.org/officeDocument/2006/relationships/image" Target="media/image4.emf"/><Relationship Id="rId12" Type="http://schemas.openxmlformats.org/officeDocument/2006/relationships/oleObject" Target="embeddings/oleObject4.bin"/><Relationship Id="rId11" Type="http://schemas.openxmlformats.org/officeDocument/2006/relationships/image" Target="media/image3.emf"/><Relationship Id="rId10" Type="http://schemas.openxmlformats.org/officeDocument/2006/relationships/oleObject" Target="embeddings/oleObject3.bin"/><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Info spid="_x0000_s1028"/>
    <customShpInfo spid="_x0000_s1029"/>
    <customShpInfo spid="_x0000_s1030"/>
    <customShpInfo spid="_x0000_s1031"/>
    <customShpInfo spid="_x0000_s103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四川省财政厅</Company>
  <Pages>27</Pages>
  <Words>1895</Words>
  <Characters>10803</Characters>
  <Lines>0</Lines>
  <Paragraphs>0</Paragraphs>
  <TotalTime>3</TotalTime>
  <ScaleCrop>false</ScaleCrop>
  <LinksUpToDate>false</LinksUpToDate>
  <CharactersWithSpaces>0</CharactersWithSpaces>
  <Application>WPS Office_11.1.0.9098_F1E327BC-269C-435d-A152-05C5408002CA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江南文印-7</cp:lastModifiedBy>
  <cp:lastPrinted>2019-09-25T03:47:58Z</cp:lastPrinted>
  <dcterms:modified xsi:type="dcterms:W3CDTF">2019-09-25T03:49:36Z</dcterms:modified>
  <dc:title>四川省***</dc:title>
  <cp:revision>184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