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0" w:name="_Toc15377425"/>
      <w:bookmarkStart w:id="1" w:name="_Toc15377193"/>
      <w:bookmarkStart w:id="2" w:name="_Toc15396597"/>
      <w:bookmarkStart w:id="3" w:name="_Toc15378441"/>
      <w:bookmarkStart w:id="4" w:name="_Toc15396475"/>
      <w:bookmarkStart w:id="5" w:name="_Toc15306267"/>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ascii="方正小标宋简体" w:hAnsi="方正小标宋简体" w:eastAsia="方正小标宋简体" w:cs="方正小标宋简体"/>
          <w:color w:val="000000"/>
          <w:sz w:val="44"/>
          <w:szCs w:val="44"/>
        </w:rPr>
        <w:t>2018</w:t>
      </w:r>
      <w:r>
        <w:rPr>
          <w:rFonts w:hint="eastAsia" w:ascii="方正小标宋简体" w:hAnsi="方正小标宋简体" w:eastAsia="方正小标宋简体" w:cs="方正小标宋简体"/>
          <w:color w:val="000000"/>
          <w:sz w:val="44"/>
          <w:szCs w:val="44"/>
        </w:rPr>
        <w:t>年度</w:t>
      </w:r>
      <w:bookmarkEnd w:id="0"/>
      <w:bookmarkEnd w:id="1"/>
      <w:bookmarkEnd w:id="2"/>
      <w:bookmarkEnd w:id="3"/>
      <w:bookmarkEnd w:id="4"/>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6" w:name="_Toc15377426"/>
      <w:bookmarkStart w:id="7" w:name="_Toc15396476"/>
      <w:bookmarkStart w:id="8" w:name="_Toc15377194"/>
      <w:bookmarkStart w:id="9" w:name="_Toc15396598"/>
      <w:bookmarkStart w:id="10" w:name="_Toc15378442"/>
      <w:r>
        <w:rPr>
          <w:rFonts w:hint="eastAsia" w:ascii="方正小标宋简体" w:hAnsi="方正小标宋简体" w:eastAsia="方正小标宋简体" w:cs="方正小标宋简体"/>
          <w:color w:val="000000"/>
          <w:sz w:val="44"/>
          <w:szCs w:val="44"/>
        </w:rPr>
        <w:t>四川省</w:t>
      </w:r>
      <w:bookmarkEnd w:id="5"/>
      <w:bookmarkStart w:id="11" w:name="_Toc15306268"/>
      <w:r>
        <w:rPr>
          <w:rFonts w:hint="eastAsia" w:ascii="方正小标宋简体" w:hAnsi="方正小标宋简体" w:eastAsia="方正小标宋简体" w:cs="方正小标宋简体"/>
          <w:color w:val="000000"/>
          <w:sz w:val="44"/>
          <w:szCs w:val="44"/>
        </w:rPr>
        <w:t>茂县工业园区管理委员会部门决算</w:t>
      </w:r>
      <w:bookmarkEnd w:id="6"/>
      <w:bookmarkEnd w:id="7"/>
      <w:bookmarkEnd w:id="8"/>
      <w:bookmarkEnd w:id="9"/>
      <w:bookmarkEnd w:id="10"/>
      <w:bookmarkEnd w:id="11"/>
    </w:p>
    <w:p>
      <w:pPr>
        <w:adjustRightInd w:val="0"/>
        <w:snapToGrid w:val="0"/>
        <w:spacing w:line="576" w:lineRule="exact"/>
        <w:jc w:val="center"/>
        <w:outlineLvl w:val="0"/>
        <w:rPr>
          <w:rFonts w:ascii="方正小标宋简体" w:hAnsi="宋体" w:eastAsia="方正小标宋简体"/>
          <w:color w:val="000000"/>
          <w:sz w:val="44"/>
          <w:szCs w:val="44"/>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目录</w:t>
      </w:r>
    </w:p>
    <w:p>
      <w:pPr>
        <w:widowControl/>
        <w:spacing w:line="576" w:lineRule="exact"/>
        <w:jc w:val="center"/>
        <w:rPr>
          <w:rFonts w:ascii="仿宋" w:hAnsi="仿宋" w:eastAsia="仿宋" w:cs="仿宋"/>
          <w:sz w:val="32"/>
          <w:szCs w:val="32"/>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spacing w:line="576" w:lineRule="exact"/>
        <w:rPr>
          <w:rFonts w:cs="仿宋"/>
          <w:sz w:val="32"/>
          <w:szCs w:val="32"/>
        </w:rPr>
      </w:pPr>
      <w:r>
        <w:fldChar w:fldCharType="begin"/>
      </w:r>
      <w:r>
        <w:instrText xml:space="preserve"> HYPERLINK \l "_Toc15396599" </w:instrText>
      </w:r>
      <w:r>
        <w:fldChar w:fldCharType="separate"/>
      </w:r>
      <w:r>
        <w:rPr>
          <w:rStyle w:val="15"/>
          <w:rFonts w:hint="eastAsia" w:cs="仿宋"/>
          <w:sz w:val="32"/>
          <w:szCs w:val="32"/>
        </w:rPr>
        <w:t>第一部分</w:t>
      </w:r>
      <w:r>
        <w:rPr>
          <w:rStyle w:val="15"/>
          <w:rFonts w:cs="仿宋"/>
          <w:sz w:val="32"/>
          <w:szCs w:val="32"/>
        </w:rPr>
        <w:t xml:space="preserve"> </w:t>
      </w:r>
      <w:r>
        <w:rPr>
          <w:rStyle w:val="15"/>
          <w:rFonts w:hint="eastAsia" w:cs="仿宋"/>
          <w:sz w:val="32"/>
          <w:szCs w:val="32"/>
        </w:rPr>
        <w:t>部门概况</w:t>
      </w:r>
      <w:r>
        <w:rPr>
          <w:rFonts w:cs="仿宋"/>
          <w:sz w:val="32"/>
          <w:szCs w:val="32"/>
        </w:rPr>
        <w:tab/>
      </w:r>
      <w:r>
        <w:rPr>
          <w:rFonts w:cs="仿宋"/>
          <w:sz w:val="32"/>
          <w:szCs w:val="32"/>
        </w:rPr>
        <w:t>4</w:t>
      </w:r>
      <w:r>
        <w:rPr>
          <w:rFonts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"_Toc15396600" </w:instrText>
      </w:r>
      <w:r>
        <w:fldChar w:fldCharType="separate"/>
      </w:r>
      <w:r>
        <w:rPr>
          <w:rStyle w:val="15"/>
          <w:rFonts w:hint="eastAsia" w:ascii="仿宋" w:hAnsi="仿宋" w:eastAsia="仿宋" w:cs="仿宋"/>
          <w:sz w:val="32"/>
          <w:szCs w:val="32"/>
        </w:rPr>
        <w:t>一、基本职能及主要工作</w:t>
      </w:r>
      <w:r>
        <w:rPr>
          <w:rFonts w:ascii="仿宋" w:hAnsi="仿宋" w:eastAsia="仿宋" w:cs="仿宋"/>
          <w:sz w:val="32"/>
          <w:szCs w:val="32"/>
        </w:rPr>
        <w:tab/>
      </w:r>
      <w:r>
        <w:rPr>
          <w:rFonts w:ascii="仿宋" w:hAnsi="仿宋" w:eastAsia="仿宋" w:cs="仿宋"/>
          <w:sz w:val="32"/>
          <w:szCs w:val="32"/>
        </w:rPr>
        <w:t>4</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"_Toc15396601" </w:instrText>
      </w:r>
      <w:r>
        <w:fldChar w:fldCharType="separate"/>
      </w:r>
      <w:r>
        <w:rPr>
          <w:rStyle w:val="15"/>
          <w:rFonts w:hint="eastAsia" w:ascii="仿宋" w:hAnsi="仿宋" w:eastAsia="仿宋" w:cs="仿宋"/>
          <w:sz w:val="32"/>
          <w:szCs w:val="32"/>
        </w:rPr>
        <w:t>二、机构设置</w:t>
      </w:r>
      <w:r>
        <w:rPr>
          <w:rFonts w:ascii="仿宋" w:hAnsi="仿宋" w:eastAsia="仿宋" w:cs="仿宋"/>
          <w:sz w:val="32"/>
          <w:szCs w:val="32"/>
        </w:rPr>
        <w:tab/>
      </w:r>
      <w:r>
        <w:rPr>
          <w:rFonts w:hint="eastAsia" w:ascii="仿宋" w:hAnsi="仿宋" w:eastAsia="仿宋" w:cs="仿宋"/>
          <w:sz w:val="32"/>
          <w:szCs w:val="32"/>
          <w:lang w:val="en-US" w:eastAsia="zh-CN"/>
        </w:rPr>
        <w:t>5</w:t>
      </w:r>
      <w:r>
        <w:rPr>
          <w:rFonts w:ascii="仿宋" w:hAnsi="仿宋" w:eastAsia="仿宋" w:cs="仿宋"/>
          <w:sz w:val="32"/>
          <w:szCs w:val="32"/>
        </w:rPr>
        <w:fldChar w:fldCharType="end"/>
      </w:r>
    </w:p>
    <w:p>
      <w:pPr>
        <w:pStyle w:val="10"/>
        <w:spacing w:line="576" w:lineRule="exact"/>
        <w:rPr>
          <w:rFonts w:cs="仿宋"/>
          <w:sz w:val="32"/>
          <w:szCs w:val="32"/>
        </w:rPr>
      </w:pPr>
      <w:r>
        <w:fldChar w:fldCharType="begin"/>
      </w:r>
      <w:r>
        <w:instrText xml:space="preserve"> HYPERLINK \l "_Toc15396602" </w:instrText>
      </w:r>
      <w:r>
        <w:fldChar w:fldCharType="separate"/>
      </w:r>
      <w:r>
        <w:rPr>
          <w:rStyle w:val="15"/>
          <w:rFonts w:hint="eastAsia" w:cs="仿宋"/>
          <w:sz w:val="32"/>
          <w:szCs w:val="32"/>
        </w:rPr>
        <w:t>第二部分</w:t>
      </w:r>
      <w:r>
        <w:rPr>
          <w:rStyle w:val="15"/>
          <w:rFonts w:cs="仿宋"/>
          <w:sz w:val="32"/>
          <w:szCs w:val="32"/>
        </w:rPr>
        <w:t xml:space="preserve"> 2018</w:t>
      </w:r>
      <w:r>
        <w:rPr>
          <w:rStyle w:val="15"/>
          <w:rFonts w:hint="eastAsia" w:cs="仿宋"/>
          <w:sz w:val="32"/>
          <w:szCs w:val="32"/>
        </w:rPr>
        <w:t>年度部门决算情况说明</w:t>
      </w:r>
      <w:r>
        <w:rPr>
          <w:rFonts w:cs="仿宋"/>
          <w:sz w:val="32"/>
          <w:szCs w:val="32"/>
        </w:rPr>
        <w:tab/>
      </w:r>
      <w:r>
        <w:rPr>
          <w:rFonts w:hint="eastAsia" w:cs="仿宋"/>
          <w:sz w:val="32"/>
          <w:szCs w:val="32"/>
          <w:lang w:val="en-US" w:eastAsia="zh-CN"/>
        </w:rPr>
        <w:t>6</w:t>
      </w:r>
      <w:r>
        <w:rPr>
          <w:rFonts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"_Toc15396603" </w:instrText>
      </w:r>
      <w:r>
        <w:fldChar w:fldCharType="separate"/>
      </w:r>
      <w:r>
        <w:rPr>
          <w:rStyle w:val="15"/>
          <w:rFonts w:hint="eastAsia" w:ascii="仿宋" w:hAnsi="仿宋" w:eastAsia="仿宋" w:cs="仿宋"/>
          <w:bCs/>
          <w:sz w:val="32"/>
          <w:szCs w:val="32"/>
        </w:rPr>
        <w:t>一、</w:t>
      </w:r>
      <w:r>
        <w:rPr>
          <w:rStyle w:val="15"/>
          <w:rFonts w:hint="eastAsia" w:ascii="仿宋" w:hAnsi="仿宋" w:eastAsia="仿宋" w:cs="仿宋"/>
          <w:sz w:val="32"/>
          <w:szCs w:val="32"/>
        </w:rPr>
        <w:t>收</w:t>
      </w:r>
      <w:r>
        <w:rPr>
          <w:rStyle w:val="15"/>
          <w:rFonts w:hint="eastAsia" w:ascii="仿宋" w:hAnsi="仿宋" w:eastAsia="仿宋" w:cs="仿宋"/>
          <w:bCs/>
          <w:sz w:val="32"/>
          <w:szCs w:val="32"/>
        </w:rPr>
        <w:t>入支出决算总体情况说明</w:t>
      </w:r>
      <w:r>
        <w:rPr>
          <w:rFonts w:ascii="仿宋" w:hAnsi="仿宋" w:eastAsia="仿宋" w:cs="仿宋"/>
          <w:sz w:val="32"/>
          <w:szCs w:val="32"/>
        </w:rPr>
        <w:tab/>
      </w:r>
      <w:r>
        <w:rPr>
          <w:rFonts w:hint="eastAsia" w:ascii="仿宋" w:hAnsi="仿宋" w:eastAsia="仿宋" w:cs="仿宋"/>
          <w:sz w:val="32"/>
          <w:szCs w:val="32"/>
          <w:lang w:val="en-US" w:eastAsia="zh-CN"/>
        </w:rPr>
        <w:t>6</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"_Toc15396604" </w:instrText>
      </w:r>
      <w:r>
        <w:fldChar w:fldCharType="separate"/>
      </w:r>
      <w:r>
        <w:rPr>
          <w:rStyle w:val="15"/>
          <w:rFonts w:hint="eastAsia" w:ascii="仿宋" w:hAnsi="仿宋" w:eastAsia="仿宋" w:cs="仿宋"/>
          <w:bCs/>
          <w:sz w:val="32"/>
          <w:szCs w:val="32"/>
        </w:rPr>
        <w:t>二、</w:t>
      </w:r>
      <w:r>
        <w:rPr>
          <w:rStyle w:val="15"/>
          <w:rFonts w:hint="eastAsia" w:ascii="仿宋" w:hAnsi="仿宋" w:eastAsia="仿宋" w:cs="仿宋"/>
          <w:sz w:val="32"/>
          <w:szCs w:val="32"/>
        </w:rPr>
        <w:t>收</w:t>
      </w:r>
      <w:r>
        <w:rPr>
          <w:rStyle w:val="15"/>
          <w:rFonts w:hint="eastAsia" w:ascii="仿宋" w:hAnsi="仿宋" w:eastAsia="仿宋" w:cs="仿宋"/>
          <w:bCs/>
          <w:sz w:val="32"/>
          <w:szCs w:val="32"/>
        </w:rPr>
        <w:t>入决算情况说明</w:t>
      </w:r>
      <w:r>
        <w:rPr>
          <w:rFonts w:ascii="仿宋" w:hAnsi="仿宋" w:eastAsia="仿宋" w:cs="仿宋"/>
          <w:sz w:val="32"/>
          <w:szCs w:val="32"/>
        </w:rPr>
        <w:tab/>
      </w:r>
      <w:r>
        <w:rPr>
          <w:rFonts w:hint="eastAsia" w:ascii="仿宋" w:hAnsi="仿宋" w:eastAsia="仿宋" w:cs="仿宋"/>
          <w:sz w:val="32"/>
          <w:szCs w:val="32"/>
          <w:lang w:val="en-US" w:eastAsia="zh-CN"/>
        </w:rPr>
        <w:t>6</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"_Toc15396605" </w:instrText>
      </w:r>
      <w:r>
        <w:fldChar w:fldCharType="separate"/>
      </w:r>
      <w:r>
        <w:rPr>
          <w:rStyle w:val="15"/>
          <w:rFonts w:hint="eastAsia" w:ascii="仿宋" w:hAnsi="仿宋" w:eastAsia="仿宋" w:cs="仿宋"/>
          <w:bCs/>
          <w:sz w:val="32"/>
          <w:szCs w:val="32"/>
        </w:rPr>
        <w:t>三、</w:t>
      </w:r>
      <w:r>
        <w:rPr>
          <w:rStyle w:val="15"/>
          <w:rFonts w:hint="eastAsia" w:ascii="仿宋" w:hAnsi="仿宋" w:eastAsia="仿宋" w:cs="仿宋"/>
          <w:sz w:val="32"/>
          <w:szCs w:val="32"/>
        </w:rPr>
        <w:t>支</w:t>
      </w:r>
      <w:r>
        <w:rPr>
          <w:rStyle w:val="15"/>
          <w:rFonts w:hint="eastAsia" w:ascii="仿宋" w:hAnsi="仿宋" w:eastAsia="仿宋" w:cs="仿宋"/>
          <w:bCs/>
          <w:sz w:val="32"/>
          <w:szCs w:val="32"/>
        </w:rPr>
        <w:t>出决算情况说明</w:t>
      </w:r>
      <w:r>
        <w:rPr>
          <w:rFonts w:ascii="仿宋" w:hAnsi="仿宋" w:eastAsia="仿宋" w:cs="仿宋"/>
          <w:sz w:val="32"/>
          <w:szCs w:val="32"/>
        </w:rPr>
        <w:tab/>
      </w:r>
      <w:r>
        <w:rPr>
          <w:rFonts w:hint="eastAsia" w:ascii="仿宋" w:hAnsi="仿宋" w:eastAsia="仿宋" w:cs="仿宋"/>
          <w:sz w:val="32"/>
          <w:szCs w:val="32"/>
          <w:lang w:val="en-US" w:eastAsia="zh-CN"/>
        </w:rPr>
        <w:t>7</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"_Toc15396606" </w:instrText>
      </w:r>
      <w:r>
        <w:fldChar w:fldCharType="separate"/>
      </w:r>
      <w:r>
        <w:rPr>
          <w:rStyle w:val="15"/>
          <w:rFonts w:hint="eastAsia" w:ascii="仿宋" w:hAnsi="仿宋" w:eastAsia="仿宋" w:cs="仿宋"/>
          <w:sz w:val="32"/>
          <w:szCs w:val="32"/>
        </w:rPr>
        <w:t>四、财</w:t>
      </w:r>
      <w:r>
        <w:rPr>
          <w:rStyle w:val="15"/>
          <w:rFonts w:hint="eastAsia" w:ascii="仿宋" w:hAnsi="仿宋" w:eastAsia="仿宋" w:cs="仿宋"/>
          <w:bCs/>
          <w:sz w:val="32"/>
          <w:szCs w:val="32"/>
        </w:rPr>
        <w:t>政拨款收入支出决算总体情况说明</w:t>
      </w:r>
      <w:r>
        <w:rPr>
          <w:rFonts w:ascii="仿宋" w:hAnsi="仿宋" w:eastAsia="仿宋" w:cs="仿宋"/>
          <w:sz w:val="32"/>
          <w:szCs w:val="32"/>
        </w:rPr>
        <w:tab/>
      </w:r>
      <w:r>
        <w:rPr>
          <w:rFonts w:hint="eastAsia" w:ascii="仿宋" w:hAnsi="仿宋" w:eastAsia="仿宋" w:cs="仿宋"/>
          <w:sz w:val="32"/>
          <w:szCs w:val="32"/>
          <w:lang w:val="en-US" w:eastAsia="zh-CN"/>
        </w:rPr>
        <w:t>7</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"_Toc15396607" </w:instrText>
      </w:r>
      <w:r>
        <w:fldChar w:fldCharType="separate"/>
      </w:r>
      <w:r>
        <w:rPr>
          <w:rStyle w:val="15"/>
          <w:rFonts w:hint="eastAsia" w:ascii="仿宋" w:hAnsi="仿宋" w:eastAsia="仿宋" w:cs="仿宋"/>
          <w:sz w:val="32"/>
          <w:szCs w:val="32"/>
        </w:rPr>
        <w:t>五、一</w:t>
      </w:r>
      <w:r>
        <w:rPr>
          <w:rStyle w:val="15"/>
          <w:rFonts w:hint="eastAsia" w:ascii="仿宋" w:hAnsi="仿宋" w:eastAsia="仿宋" w:cs="仿宋"/>
          <w:bCs/>
          <w:sz w:val="32"/>
          <w:szCs w:val="32"/>
        </w:rPr>
        <w:t>般公共预算财政拨款支出决算情况说明</w:t>
      </w:r>
      <w:r>
        <w:rPr>
          <w:rFonts w:ascii="仿宋" w:hAnsi="仿宋" w:eastAsia="仿宋" w:cs="仿宋"/>
          <w:sz w:val="32"/>
          <w:szCs w:val="32"/>
        </w:rPr>
        <w:tab/>
      </w:r>
      <w:r>
        <w:rPr>
          <w:rFonts w:hint="eastAsia" w:ascii="仿宋" w:hAnsi="仿宋" w:eastAsia="仿宋" w:cs="仿宋"/>
          <w:sz w:val="32"/>
          <w:szCs w:val="32"/>
          <w:lang w:val="en-US" w:eastAsia="zh-CN"/>
        </w:rPr>
        <w:t>8</w:t>
      </w:r>
      <w:r>
        <w:rPr>
          <w:rFonts w:ascii="仿宋" w:hAnsi="仿宋" w:eastAsia="仿宋" w:cs="仿宋"/>
          <w:sz w:val="32"/>
          <w:szCs w:val="32"/>
        </w:rPr>
        <w:fldChar w:fldCharType="end"/>
      </w:r>
    </w:p>
    <w:p>
      <w:pPr>
        <w:pStyle w:val="11"/>
        <w:spacing w:line="576" w:lineRule="exact"/>
        <w:ind w:left="31680"/>
        <w:rPr>
          <w:rFonts w:hint="eastAsia" w:ascii="仿宋" w:hAnsi="仿宋" w:eastAsia="仿宋" w:cs="仿宋"/>
          <w:sz w:val="32"/>
          <w:szCs w:val="32"/>
          <w:lang w:val="en-US" w:eastAsia="zh-CN"/>
        </w:rPr>
      </w:pPr>
      <w:r>
        <w:fldChar w:fldCharType="begin"/>
      </w:r>
      <w:r>
        <w:instrText xml:space="preserve"> HYPERLINK \l "_Toc15396608" </w:instrText>
      </w:r>
      <w:r>
        <w:fldChar w:fldCharType="separate"/>
      </w:r>
      <w:r>
        <w:rPr>
          <w:rStyle w:val="15"/>
          <w:rFonts w:hint="eastAsia" w:ascii="仿宋" w:hAnsi="仿宋" w:eastAsia="仿宋" w:cs="仿宋"/>
          <w:sz w:val="32"/>
          <w:szCs w:val="32"/>
        </w:rPr>
        <w:t>六、一</w:t>
      </w:r>
      <w:r>
        <w:rPr>
          <w:rStyle w:val="15"/>
          <w:rFonts w:hint="eastAsia" w:ascii="仿宋" w:hAnsi="仿宋" w:eastAsia="仿宋" w:cs="仿宋"/>
          <w:bCs/>
          <w:sz w:val="32"/>
          <w:szCs w:val="32"/>
        </w:rPr>
        <w:t>般公共预算财政拨款基本支出决算情况说明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11"/>
        <w:spacing w:line="576" w:lineRule="exact"/>
        <w:ind w:left="31680"/>
        <w:rPr>
          <w:rFonts w:hint="eastAsia" w:ascii="仿宋" w:hAnsi="仿宋" w:eastAsia="仿宋" w:cs="仿宋"/>
          <w:sz w:val="32"/>
          <w:szCs w:val="32"/>
          <w:lang w:val="en-US" w:eastAsia="zh-CN"/>
        </w:rPr>
      </w:pPr>
      <w:r>
        <w:fldChar w:fldCharType="begin"/>
      </w:r>
      <w:r>
        <w:instrText xml:space="preserve"> HYPERLINK \l "_Toc15396609" </w:instrText>
      </w:r>
      <w:r>
        <w:fldChar w:fldCharType="separate"/>
      </w:r>
      <w:r>
        <w:rPr>
          <w:rStyle w:val="15"/>
          <w:rFonts w:hint="eastAsia" w:ascii="仿宋" w:hAnsi="仿宋" w:eastAsia="仿宋" w:cs="仿宋"/>
          <w:sz w:val="32"/>
          <w:szCs w:val="32"/>
        </w:rPr>
        <w:t>七、“</w:t>
      </w:r>
      <w:r>
        <w:rPr>
          <w:rStyle w:val="15"/>
          <w:rFonts w:hint="eastAsia" w:ascii="仿宋" w:hAnsi="仿宋" w:eastAsia="仿宋" w:cs="仿宋"/>
          <w:bCs/>
          <w:sz w:val="32"/>
          <w:szCs w:val="32"/>
        </w:rPr>
        <w:t>三公”经费财政拨款支出决算情况说明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11"/>
        <w:spacing w:line="576" w:lineRule="exact"/>
        <w:ind w:left="31680"/>
        <w:rPr>
          <w:rFonts w:hint="eastAsia" w:ascii="仿宋" w:hAnsi="仿宋" w:eastAsia="仿宋" w:cs="仿宋"/>
          <w:sz w:val="32"/>
          <w:szCs w:val="32"/>
          <w:lang w:val="en-US" w:eastAsia="zh-CN"/>
        </w:rPr>
      </w:pPr>
      <w:r>
        <w:fldChar w:fldCharType="begin"/>
      </w:r>
      <w:r>
        <w:instrText xml:space="preserve"> HYPERLINK \l "_Toc15396610" </w:instrText>
      </w:r>
      <w:r>
        <w:fldChar w:fldCharType="separate"/>
      </w:r>
      <w:r>
        <w:rPr>
          <w:rStyle w:val="15"/>
          <w:rFonts w:hint="eastAsia" w:ascii="仿宋" w:hAnsi="仿宋" w:eastAsia="仿宋" w:cs="仿宋"/>
          <w:sz w:val="32"/>
          <w:szCs w:val="32"/>
        </w:rPr>
        <w:t>八、</w:t>
      </w:r>
      <w:r>
        <w:rPr>
          <w:rStyle w:val="15"/>
          <w:rFonts w:hint="eastAsia" w:ascii="仿宋" w:hAnsi="仿宋" w:eastAsia="仿宋" w:cs="仿宋"/>
          <w:bCs/>
          <w:sz w:val="32"/>
          <w:szCs w:val="32"/>
        </w:rPr>
        <w:t>政府性基金预算支出决算情况说明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2</w:t>
      </w:r>
    </w:p>
    <w:p>
      <w:pPr>
        <w:pStyle w:val="11"/>
        <w:spacing w:line="576" w:lineRule="exact"/>
        <w:ind w:left="31680"/>
        <w:rPr>
          <w:rFonts w:hint="eastAsia" w:eastAsia="仿宋"/>
          <w:lang w:val="en-US" w:eastAsia="zh-CN"/>
        </w:rPr>
      </w:pPr>
      <w:r>
        <w:fldChar w:fldCharType="begin"/>
      </w:r>
      <w:r>
        <w:instrText xml:space="preserve"> HYPERLINK \l "_Toc15396611" </w:instrText>
      </w:r>
      <w:r>
        <w:fldChar w:fldCharType="separate"/>
      </w:r>
      <w:r>
        <w:rPr>
          <w:rStyle w:val="15"/>
          <w:rFonts w:hint="eastAsia" w:ascii="仿宋" w:hAnsi="仿宋" w:eastAsia="仿宋" w:cs="仿宋"/>
          <w:bCs/>
          <w:sz w:val="32"/>
          <w:szCs w:val="32"/>
        </w:rPr>
        <w:t>九、</w:t>
      </w:r>
      <w:r>
        <w:rPr>
          <w:rStyle w:val="15"/>
          <w:rFonts w:ascii="仿宋" w:hAnsi="仿宋" w:eastAsia="仿宋" w:cs="仿宋"/>
          <w:sz w:val="32"/>
          <w:szCs w:val="32"/>
        </w:rPr>
        <w:t xml:space="preserve"> </w:t>
      </w:r>
      <w:r>
        <w:rPr>
          <w:rStyle w:val="15"/>
          <w:rFonts w:hint="eastAsia" w:ascii="仿宋" w:hAnsi="仿宋" w:eastAsia="仿宋" w:cs="仿宋"/>
          <w:sz w:val="32"/>
          <w:szCs w:val="32"/>
        </w:rPr>
        <w:t>国</w:t>
      </w:r>
      <w:r>
        <w:rPr>
          <w:rStyle w:val="15"/>
          <w:rFonts w:hint="eastAsia" w:ascii="仿宋" w:hAnsi="仿宋" w:eastAsia="仿宋" w:cs="仿宋"/>
          <w:bCs/>
          <w:sz w:val="32"/>
          <w:szCs w:val="32"/>
        </w:rPr>
        <w:t>有资本经营预算支出决算情况说明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1"/>
        <w:spacing w:line="576" w:lineRule="exact"/>
        <w:ind w:left="31680"/>
        <w:rPr>
          <w:rFonts w:hint="eastAsia" w:eastAsia="仿宋"/>
          <w:lang w:val="en-US" w:eastAsia="zh-CN"/>
        </w:rPr>
      </w:pPr>
      <w:r>
        <w:fldChar w:fldCharType="begin"/>
      </w:r>
      <w:r>
        <w:instrText xml:space="preserve"> HYPERLINK \l "_Toc15396611" </w:instrText>
      </w:r>
      <w:r>
        <w:fldChar w:fldCharType="separate"/>
      </w:r>
      <w:r>
        <w:rPr>
          <w:rStyle w:val="15"/>
          <w:rFonts w:hint="eastAsia" w:ascii="仿宋" w:hAnsi="仿宋" w:eastAsia="仿宋" w:cs="仿宋"/>
          <w:bCs/>
          <w:sz w:val="32"/>
          <w:szCs w:val="32"/>
        </w:rPr>
        <w:t>十、</w:t>
      </w:r>
      <w:r>
        <w:rPr>
          <w:rStyle w:val="15"/>
          <w:rFonts w:ascii="仿宋" w:hAnsi="仿宋" w:eastAsia="仿宋" w:cs="仿宋"/>
          <w:sz w:val="32"/>
          <w:szCs w:val="32"/>
        </w:rPr>
        <w:t xml:space="preserve"> </w:t>
      </w:r>
      <w:r>
        <w:rPr>
          <w:rStyle w:val="15"/>
          <w:rFonts w:hint="eastAsia" w:ascii="仿宋" w:hAnsi="仿宋" w:eastAsia="仿宋" w:cs="仿宋"/>
          <w:sz w:val="32"/>
          <w:szCs w:val="32"/>
        </w:rPr>
        <w:t>预算绩效</w:t>
      </w:r>
      <w:r>
        <w:rPr>
          <w:rStyle w:val="15"/>
          <w:rFonts w:hint="eastAsia" w:ascii="仿宋" w:hAnsi="仿宋" w:eastAsia="仿宋" w:cs="仿宋"/>
          <w:bCs/>
          <w:sz w:val="32"/>
          <w:szCs w:val="32"/>
        </w:rPr>
        <w:t>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1"/>
        <w:spacing w:line="576" w:lineRule="exact"/>
        <w:ind w:left="31680"/>
        <w:rPr>
          <w:rFonts w:hint="eastAsia" w:ascii="仿宋" w:hAnsi="仿宋" w:eastAsia="仿宋" w:cs="仿宋"/>
          <w:sz w:val="32"/>
          <w:szCs w:val="32"/>
          <w:lang w:val="en-US" w:eastAsia="zh-CN"/>
        </w:rPr>
      </w:pPr>
      <w:r>
        <w:fldChar w:fldCharType="begin"/>
      </w:r>
      <w:r>
        <w:instrText xml:space="preserve"> HYPERLINK \l "_Toc15396612" </w:instrText>
      </w:r>
      <w:r>
        <w:fldChar w:fldCharType="separate"/>
      </w:r>
      <w:r>
        <w:rPr>
          <w:rStyle w:val="15"/>
          <w:rFonts w:hint="eastAsia" w:ascii="仿宋" w:hAnsi="仿宋" w:eastAsia="仿宋" w:cs="仿宋"/>
          <w:sz w:val="32"/>
          <w:szCs w:val="32"/>
        </w:rPr>
        <w:t>十</w:t>
      </w:r>
      <w:r>
        <w:rPr>
          <w:rStyle w:val="15"/>
          <w:rFonts w:hint="eastAsia" w:ascii="仿宋" w:hAnsi="仿宋" w:eastAsia="仿宋" w:cs="仿宋"/>
          <w:bCs/>
          <w:sz w:val="32"/>
          <w:szCs w:val="32"/>
        </w:rPr>
        <w:t>一、其他重要事项的情况说明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0"/>
        <w:spacing w:line="576" w:lineRule="exact"/>
        <w:rPr>
          <w:rFonts w:hint="eastAsia" w:eastAsia="仿宋" w:cs="仿宋"/>
          <w:sz w:val="32"/>
          <w:szCs w:val="32"/>
          <w:lang w:val="en-US" w:eastAsia="zh-CN"/>
        </w:rPr>
      </w:pPr>
      <w:r>
        <w:fldChar w:fldCharType="begin"/>
      </w:r>
      <w:r>
        <w:instrText xml:space="preserve"> HYPERLINK \l "_Toc15396613" </w:instrText>
      </w:r>
      <w:r>
        <w:fldChar w:fldCharType="separate"/>
      </w:r>
      <w:r>
        <w:rPr>
          <w:rStyle w:val="15"/>
          <w:rFonts w:hint="eastAsia" w:cs="仿宋"/>
          <w:bCs/>
          <w:kern w:val="44"/>
          <w:sz w:val="32"/>
          <w:szCs w:val="32"/>
        </w:rPr>
        <w:t>第三部分</w:t>
      </w:r>
      <w:r>
        <w:rPr>
          <w:rStyle w:val="15"/>
          <w:rFonts w:cs="仿宋"/>
          <w:sz w:val="32"/>
          <w:szCs w:val="32"/>
        </w:rPr>
        <w:t xml:space="preserve"> </w:t>
      </w:r>
      <w:r>
        <w:rPr>
          <w:rStyle w:val="15"/>
          <w:rFonts w:hint="eastAsia" w:cs="仿宋"/>
          <w:sz w:val="32"/>
          <w:szCs w:val="32"/>
        </w:rPr>
        <w:t>名</w:t>
      </w:r>
      <w:r>
        <w:rPr>
          <w:rStyle w:val="15"/>
          <w:rFonts w:hint="eastAsia" w:cs="仿宋"/>
          <w:bCs/>
          <w:kern w:val="44"/>
          <w:sz w:val="32"/>
          <w:szCs w:val="32"/>
        </w:rPr>
        <w:t>词解释</w:t>
      </w:r>
      <w:r>
        <w:rPr>
          <w:rFonts w:cs="仿宋"/>
          <w:sz w:val="32"/>
          <w:szCs w:val="32"/>
        </w:rPr>
        <w:tab/>
      </w:r>
      <w:r>
        <w:rPr>
          <w:rFonts w:hint="eastAsia" w:cs="仿宋"/>
          <w:sz w:val="32"/>
          <w:szCs w:val="32"/>
          <w:lang w:val="en-US" w:eastAsia="zh-CN"/>
        </w:rPr>
        <w:t>1</w:t>
      </w:r>
      <w:r>
        <w:rPr>
          <w:rFonts w:cs="仿宋"/>
          <w:sz w:val="32"/>
          <w:szCs w:val="32"/>
        </w:rPr>
        <w:fldChar w:fldCharType="end"/>
      </w:r>
      <w:r>
        <w:rPr>
          <w:rFonts w:hint="eastAsia" w:cs="仿宋"/>
          <w:sz w:val="32"/>
          <w:szCs w:val="32"/>
          <w:lang w:val="en-US" w:eastAsia="zh-CN"/>
        </w:rPr>
        <w:t>5</w:t>
      </w:r>
    </w:p>
    <w:p>
      <w:pPr>
        <w:pStyle w:val="10"/>
        <w:spacing w:line="576" w:lineRule="exact"/>
        <w:rPr>
          <w:rFonts w:hint="eastAsia" w:eastAsia="仿宋" w:cs="仿宋"/>
          <w:sz w:val="32"/>
          <w:szCs w:val="32"/>
          <w:lang w:val="en-US" w:eastAsia="zh-CN"/>
        </w:rPr>
      </w:pPr>
      <w:r>
        <w:fldChar w:fldCharType="begin"/>
      </w:r>
      <w:r>
        <w:instrText xml:space="preserve"> HYPERLINK \l "_Toc15396614" </w:instrText>
      </w:r>
      <w:r>
        <w:fldChar w:fldCharType="separate"/>
      </w:r>
      <w:r>
        <w:rPr>
          <w:rStyle w:val="15"/>
          <w:rFonts w:hint="eastAsia" w:cs="仿宋"/>
          <w:sz w:val="32"/>
          <w:szCs w:val="32"/>
        </w:rPr>
        <w:t>第</w:t>
      </w:r>
      <w:r>
        <w:rPr>
          <w:rStyle w:val="15"/>
          <w:rFonts w:hint="eastAsia" w:cs="仿宋"/>
          <w:bCs/>
          <w:kern w:val="44"/>
          <w:sz w:val="32"/>
          <w:szCs w:val="32"/>
        </w:rPr>
        <w:t>四部分</w:t>
      </w:r>
      <w:r>
        <w:rPr>
          <w:rStyle w:val="15"/>
          <w:rFonts w:cs="仿宋"/>
          <w:bCs/>
          <w:kern w:val="44"/>
          <w:sz w:val="32"/>
          <w:szCs w:val="32"/>
        </w:rPr>
        <w:t xml:space="preserve"> </w:t>
      </w:r>
      <w:r>
        <w:rPr>
          <w:rStyle w:val="15"/>
          <w:rFonts w:hint="eastAsia" w:cs="仿宋"/>
          <w:bCs/>
          <w:kern w:val="44"/>
          <w:sz w:val="32"/>
          <w:szCs w:val="32"/>
        </w:rPr>
        <w:t>附件</w:t>
      </w:r>
      <w:r>
        <w:rPr>
          <w:rFonts w:cs="仿宋"/>
          <w:sz w:val="32"/>
          <w:szCs w:val="32"/>
        </w:rPr>
        <w:tab/>
      </w:r>
      <w:r>
        <w:rPr>
          <w:rFonts w:hint="eastAsia" w:cs="仿宋"/>
          <w:sz w:val="32"/>
          <w:szCs w:val="32"/>
          <w:lang w:val="en-US" w:eastAsia="zh-CN"/>
        </w:rPr>
        <w:t>1</w:t>
      </w:r>
      <w:r>
        <w:rPr>
          <w:rFonts w:cs="仿宋"/>
          <w:sz w:val="32"/>
          <w:szCs w:val="32"/>
        </w:rPr>
        <w:fldChar w:fldCharType="end"/>
      </w:r>
      <w:r>
        <w:rPr>
          <w:rFonts w:hint="eastAsia" w:cs="仿宋"/>
          <w:sz w:val="32"/>
          <w:szCs w:val="32"/>
          <w:lang w:val="en-US" w:eastAsia="zh-CN"/>
        </w:rPr>
        <w:t>8</w:t>
      </w:r>
    </w:p>
    <w:p>
      <w:pPr>
        <w:pStyle w:val="10"/>
        <w:spacing w:line="576" w:lineRule="exact"/>
        <w:rPr>
          <w:rFonts w:hint="eastAsia" w:eastAsia="仿宋" w:cs="仿宋"/>
          <w:sz w:val="32"/>
          <w:szCs w:val="32"/>
          <w:lang w:val="en-US" w:eastAsia="zh-CN"/>
        </w:rPr>
      </w:pPr>
      <w:r>
        <w:fldChar w:fldCharType="begin"/>
      </w:r>
      <w:r>
        <w:instrText xml:space="preserve"> HYPERLINK \l "_Toc15396618" </w:instrText>
      </w:r>
      <w:r>
        <w:fldChar w:fldCharType="separate"/>
      </w:r>
      <w:r>
        <w:rPr>
          <w:rStyle w:val="15"/>
          <w:rFonts w:hint="eastAsia" w:cs="仿宋"/>
          <w:sz w:val="32"/>
          <w:szCs w:val="32"/>
        </w:rPr>
        <w:t>第</w:t>
      </w:r>
      <w:r>
        <w:rPr>
          <w:rStyle w:val="15"/>
          <w:rFonts w:hint="eastAsia" w:cs="仿宋"/>
          <w:bCs/>
          <w:kern w:val="44"/>
          <w:sz w:val="32"/>
          <w:szCs w:val="32"/>
        </w:rPr>
        <w:t>五部分</w:t>
      </w:r>
      <w:r>
        <w:rPr>
          <w:rStyle w:val="15"/>
          <w:rFonts w:cs="仿宋"/>
          <w:bCs/>
          <w:kern w:val="44"/>
          <w:sz w:val="32"/>
          <w:szCs w:val="32"/>
        </w:rPr>
        <w:t xml:space="preserve"> </w:t>
      </w:r>
      <w:r>
        <w:rPr>
          <w:rStyle w:val="15"/>
          <w:rFonts w:hint="eastAsia" w:cs="仿宋"/>
          <w:bCs/>
          <w:kern w:val="44"/>
          <w:sz w:val="32"/>
          <w:szCs w:val="32"/>
        </w:rPr>
        <w:t>附表</w:t>
      </w:r>
      <w:r>
        <w:rPr>
          <w:rFonts w:cs="仿宋"/>
          <w:sz w:val="32"/>
          <w:szCs w:val="32"/>
        </w:rPr>
        <w:tab/>
      </w:r>
      <w:r>
        <w:rPr>
          <w:rFonts w:hint="eastAsia" w:cs="仿宋"/>
          <w:sz w:val="32"/>
          <w:szCs w:val="32"/>
          <w:lang w:val="en-US" w:eastAsia="zh-CN"/>
        </w:rPr>
        <w:t>2</w:t>
      </w:r>
      <w:r>
        <w:rPr>
          <w:rFonts w:cs="仿宋"/>
          <w:sz w:val="32"/>
          <w:szCs w:val="32"/>
        </w:rPr>
        <w:fldChar w:fldCharType="end"/>
      </w:r>
      <w:r>
        <w:rPr>
          <w:rFonts w:hint="eastAsia"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一、</w:t>
      </w:r>
      <w:r>
        <w:fldChar w:fldCharType="begin"/>
      </w:r>
      <w:r>
        <w:instrText xml:space="preserve"> HYPERLINK \l "_Toc15396619" </w:instrText>
      </w:r>
      <w:r>
        <w:fldChar w:fldCharType="separate"/>
      </w:r>
      <w:r>
        <w:rPr>
          <w:rStyle w:val="15"/>
          <w:rFonts w:hint="eastAsia" w:ascii="仿宋" w:hAnsi="仿宋" w:eastAsia="仿宋" w:cs="仿宋"/>
          <w:sz w:val="32"/>
          <w:szCs w:val="32"/>
        </w:rPr>
        <w:t>收入支出决算总表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二、</w:t>
      </w:r>
      <w:r>
        <w:fldChar w:fldCharType="begin"/>
      </w:r>
      <w:r>
        <w:instrText xml:space="preserve"> HYPERLINK \l "_Toc15396620" </w:instrText>
      </w:r>
      <w:r>
        <w:fldChar w:fldCharType="separate"/>
      </w:r>
      <w:r>
        <w:rPr>
          <w:rStyle w:val="15"/>
          <w:rFonts w:hint="eastAsia" w:ascii="仿宋" w:hAnsi="仿宋" w:eastAsia="仿宋" w:cs="仿宋"/>
          <w:sz w:val="32"/>
          <w:szCs w:val="32"/>
        </w:rPr>
        <w:t>收入总表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三、</w:t>
      </w:r>
      <w:r>
        <w:fldChar w:fldCharType="begin"/>
      </w:r>
      <w:r>
        <w:instrText xml:space="preserve"> HYPERLINK \l "_Toc15396621" </w:instrText>
      </w:r>
      <w:r>
        <w:fldChar w:fldCharType="separate"/>
      </w:r>
      <w:r>
        <w:rPr>
          <w:rStyle w:val="15"/>
          <w:rFonts w:hint="eastAsia" w:ascii="仿宋" w:hAnsi="仿宋" w:eastAsia="仿宋" w:cs="仿宋"/>
          <w:sz w:val="32"/>
          <w:szCs w:val="32"/>
        </w:rPr>
        <w:t>支出总表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四、</w:t>
      </w:r>
      <w:r>
        <w:fldChar w:fldCharType="begin"/>
      </w:r>
      <w:r>
        <w:instrText xml:space="preserve"> HYPERLINK \l "_Toc15396622" </w:instrText>
      </w:r>
      <w:r>
        <w:fldChar w:fldCharType="separate"/>
      </w:r>
      <w:r>
        <w:rPr>
          <w:rStyle w:val="15"/>
          <w:rFonts w:hint="eastAsia" w:ascii="仿宋" w:hAnsi="仿宋" w:eastAsia="仿宋" w:cs="仿宋"/>
          <w:sz w:val="32"/>
          <w:szCs w:val="32"/>
        </w:rPr>
        <w:t>财政拨款收入支出决算总表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五、</w:t>
      </w:r>
      <w:r>
        <w:fldChar w:fldCharType="begin"/>
      </w:r>
      <w:r>
        <w:instrText xml:space="preserve"> HYPERLINK \l "_Toc15396623" </w:instrText>
      </w:r>
      <w:r>
        <w:fldChar w:fldCharType="separate"/>
      </w:r>
      <w:r>
        <w:rPr>
          <w:rFonts w:hint="eastAsia" w:ascii="仿宋" w:hAnsi="仿宋" w:eastAsia="仿宋" w:cs="仿宋"/>
          <w:sz w:val="32"/>
          <w:szCs w:val="32"/>
        </w:rPr>
        <w:t>财政拨款支出决算明细表（政府经济分类科目）</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六、</w:t>
      </w:r>
      <w:r>
        <w:fldChar w:fldCharType="begin"/>
      </w:r>
      <w:r>
        <w:instrText xml:space="preserve"> HYPERLINK \l "_Toc15396624" </w:instrText>
      </w:r>
      <w:r>
        <w:fldChar w:fldCharType="separate"/>
      </w:r>
      <w:r>
        <w:rPr>
          <w:rStyle w:val="15"/>
          <w:rFonts w:hint="eastAsia" w:ascii="仿宋" w:hAnsi="仿宋" w:eastAsia="仿宋" w:cs="仿宋"/>
          <w:sz w:val="32"/>
          <w:szCs w:val="32"/>
        </w:rPr>
        <w:t>一般公共预算财政拨款支出决算表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七、</w:t>
      </w:r>
      <w:r>
        <w:fldChar w:fldCharType="begin"/>
      </w:r>
      <w:r>
        <w:instrText xml:space="preserve"> HYPERLINK \l "_Toc15396625" </w:instrText>
      </w:r>
      <w:r>
        <w:fldChar w:fldCharType="separate"/>
      </w:r>
      <w:r>
        <w:rPr>
          <w:rStyle w:val="15"/>
          <w:rFonts w:hint="eastAsia" w:ascii="仿宋" w:hAnsi="仿宋" w:eastAsia="仿宋" w:cs="仿宋"/>
          <w:sz w:val="32"/>
          <w:szCs w:val="32"/>
        </w:rPr>
        <w:t>一般公共预算财政拨款支出决算明细表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八、</w:t>
      </w:r>
      <w:r>
        <w:fldChar w:fldCharType="begin"/>
      </w:r>
      <w:r>
        <w:instrText xml:space="preserve"> HYPERLINK \l "_Toc15396626" </w:instrText>
      </w:r>
      <w:r>
        <w:fldChar w:fldCharType="separate"/>
      </w:r>
      <w:r>
        <w:rPr>
          <w:rStyle w:val="15"/>
          <w:rFonts w:hint="eastAsia" w:ascii="仿宋" w:hAnsi="仿宋" w:eastAsia="仿宋" w:cs="仿宋"/>
          <w:sz w:val="32"/>
          <w:szCs w:val="32"/>
        </w:rPr>
        <w:t>一般公共预算财政拨款基本支出决算表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九、</w:t>
      </w:r>
      <w:r>
        <w:fldChar w:fldCharType="begin"/>
      </w:r>
      <w:r>
        <w:instrText xml:space="preserve"> HYPERLINK \l "_Toc15396627" </w:instrText>
      </w:r>
      <w:r>
        <w:fldChar w:fldCharType="separate"/>
      </w:r>
      <w:r>
        <w:rPr>
          <w:rStyle w:val="15"/>
          <w:rFonts w:hint="eastAsia" w:ascii="仿宋" w:hAnsi="仿宋" w:eastAsia="仿宋" w:cs="仿宋"/>
          <w:sz w:val="32"/>
          <w:szCs w:val="32"/>
        </w:rPr>
        <w:t>一般公共预算财政拨款项目支出决算表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十、</w:t>
      </w:r>
      <w:r>
        <w:fldChar w:fldCharType="begin"/>
      </w:r>
      <w:r>
        <w:instrText xml:space="preserve"> HYPERLINK \l "_Toc15396628" </w:instrText>
      </w:r>
      <w:r>
        <w:fldChar w:fldCharType="separate"/>
      </w:r>
      <w:r>
        <w:rPr>
          <w:rStyle w:val="15"/>
          <w:rFonts w:hint="eastAsia" w:ascii="仿宋" w:hAnsi="仿宋" w:eastAsia="仿宋" w:cs="仿宋"/>
          <w:sz w:val="32"/>
          <w:szCs w:val="32"/>
        </w:rPr>
        <w:t>一般公共预算财政拨款“三公”经费支出决算表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十一、</w:t>
      </w:r>
      <w:r>
        <w:fldChar w:fldCharType="begin"/>
      </w:r>
      <w:r>
        <w:instrText xml:space="preserve"> HYPERLINK \l "_Toc15396629" </w:instrText>
      </w:r>
      <w:r>
        <w:fldChar w:fldCharType="separate"/>
      </w:r>
      <w:r>
        <w:rPr>
          <w:rStyle w:val="15"/>
          <w:rFonts w:hint="eastAsia" w:ascii="仿宋" w:hAnsi="仿宋" w:eastAsia="仿宋" w:cs="仿宋"/>
          <w:sz w:val="32"/>
          <w:szCs w:val="32"/>
        </w:rPr>
        <w:t>政府性基金预算财政拨款收入支出决算表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十二、</w:t>
      </w:r>
      <w:r>
        <w:fldChar w:fldCharType="begin"/>
      </w:r>
      <w:r>
        <w:instrText xml:space="preserve"> HYPERLINK \l "_Toc15396630" </w:instrText>
      </w:r>
      <w:r>
        <w:fldChar w:fldCharType="separate"/>
      </w:r>
      <w:r>
        <w:rPr>
          <w:rStyle w:val="15"/>
          <w:rFonts w:hint="eastAsia" w:ascii="仿宋" w:hAnsi="仿宋" w:eastAsia="仿宋" w:cs="仿宋"/>
          <w:sz w:val="32"/>
          <w:szCs w:val="32"/>
        </w:rPr>
        <w:t>政府性基金预算财政拨款“三公”经费支出决算表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十三、</w:t>
      </w:r>
      <w:r>
        <w:fldChar w:fldCharType="begin"/>
      </w:r>
      <w:r>
        <w:instrText xml:space="preserve"> HYPERLINK \l "_Toc15396631" </w:instrText>
      </w:r>
      <w:r>
        <w:fldChar w:fldCharType="separate"/>
      </w:r>
      <w:r>
        <w:rPr>
          <w:rStyle w:val="15"/>
          <w:rFonts w:hint="eastAsia" w:ascii="仿宋" w:hAnsi="仿宋" w:eastAsia="仿宋" w:cs="仿宋"/>
          <w:sz w:val="32"/>
          <w:szCs w:val="32"/>
        </w:rPr>
        <w:t>国有资本经营预算支出决算表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widowControl/>
        <w:spacing w:line="576" w:lineRule="exact"/>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仿宋" w:hAnsi="仿宋" w:eastAsia="仿宋"/>
          <w:color w:val="000000"/>
          <w:sz w:val="24"/>
        </w:rPr>
      </w:pPr>
    </w:p>
    <w:p>
      <w:pPr>
        <w:widowControl/>
        <w:jc w:val="left"/>
        <w:rPr>
          <w:rFonts w:ascii="仿宋" w:hAnsi="仿宋" w:eastAsia="仿宋"/>
          <w:color w:val="000000"/>
          <w:sz w:val="2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bookmarkStart w:id="12" w:name="_Toc15396599"/>
      <w:bookmarkStart w:id="13" w:name="_Toc15377196"/>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sz w:val="44"/>
          <w:szCs w:val="44"/>
        </w:rPr>
        <w:t>第一部分</w:t>
      </w:r>
      <w:r>
        <w:rPr>
          <w:rFonts w:ascii="方正小标宋简体" w:hAnsi="方正小标宋简体" w:eastAsia="方正小标宋简体" w:cs="方正小标宋简体"/>
          <w:sz w:val="44"/>
          <w:szCs w:val="44"/>
        </w:rPr>
        <w:t xml:space="preserve"> </w:t>
      </w:r>
      <w:r>
        <w:rPr>
          <w:rStyle w:val="16"/>
          <w:rFonts w:hint="eastAsia" w:ascii="方正小标宋简体" w:hAnsi="方正小标宋简体" w:eastAsia="方正小标宋简体" w:cs="方正小标宋简体"/>
          <w:b w:val="0"/>
          <w:bCs w:val="0"/>
        </w:rPr>
        <w:t>部门概况</w:t>
      </w:r>
      <w:bookmarkEnd w:id="12"/>
      <w:bookmarkEnd w:id="13"/>
      <w:bookmarkStart w:id="14" w:name="_Toc15377197"/>
      <w:bookmarkStart w:id="15" w:name="_Toc15396600"/>
    </w:p>
    <w:p>
      <w:pPr>
        <w:adjustRightInd w:val="0"/>
        <w:snapToGrid w:val="0"/>
        <w:spacing w:line="576" w:lineRule="exact"/>
        <w:ind w:firstLine="640" w:firstLineChars="200"/>
        <w:outlineLvl w:val="0"/>
        <w:rPr>
          <w:rFonts w:ascii="黑体" w:hAnsi="黑体" w:eastAsia="黑体" w:cs="黑体"/>
          <w:color w:val="000000"/>
          <w:sz w:val="32"/>
          <w:szCs w:val="32"/>
        </w:rPr>
      </w:pPr>
    </w:p>
    <w:p>
      <w:pPr>
        <w:adjustRightInd w:val="0"/>
        <w:snapToGrid w:val="0"/>
        <w:spacing w:line="576" w:lineRule="exact"/>
        <w:ind w:firstLine="640" w:firstLineChars="200"/>
        <w:outlineLvl w:val="0"/>
        <w:rPr>
          <w:rFonts w:ascii="黑体" w:hAnsi="黑体" w:eastAsia="黑体"/>
          <w:color w:val="000000"/>
          <w:sz w:val="48"/>
          <w:szCs w:val="48"/>
        </w:rPr>
      </w:pPr>
      <w:r>
        <w:rPr>
          <w:rFonts w:hint="eastAsia" w:ascii="黑体" w:hAnsi="黑体" w:eastAsia="黑体" w:cs="黑体"/>
          <w:color w:val="000000"/>
          <w:sz w:val="32"/>
          <w:szCs w:val="32"/>
        </w:rPr>
        <w:t>一、基</w:t>
      </w:r>
      <w:r>
        <w:rPr>
          <w:rStyle w:val="17"/>
          <w:rFonts w:hint="eastAsia" w:ascii="黑体" w:hAnsi="黑体" w:eastAsia="黑体" w:cs="黑体"/>
          <w:b w:val="0"/>
          <w:bCs w:val="0"/>
        </w:rPr>
        <w:t>本职能及主要工作</w:t>
      </w:r>
      <w:bookmarkEnd w:id="14"/>
      <w:bookmarkEnd w:id="15"/>
      <w:bookmarkStart w:id="16" w:name="_Toc15377198"/>
      <w:bookmarkStart w:id="17" w:name="_Toc15378445"/>
    </w:p>
    <w:p>
      <w:pPr>
        <w:spacing w:line="576" w:lineRule="exact"/>
        <w:ind w:firstLine="640" w:firstLineChars="200"/>
        <w:outlineLvl w:val="1"/>
        <w:rPr>
          <w:rFonts w:ascii="仿宋" w:hAnsi="仿宋" w:eastAsia="仿宋"/>
          <w:bCs/>
          <w:color w:val="000000"/>
          <w:sz w:val="32"/>
          <w:szCs w:val="32"/>
        </w:rPr>
      </w:pPr>
      <w:r>
        <w:rPr>
          <w:rFonts w:hint="eastAsia" w:ascii="楷体_GB2312" w:hAnsi="仿宋" w:eastAsia="楷体_GB2312"/>
          <w:bCs/>
          <w:color w:val="000000"/>
          <w:sz w:val="32"/>
          <w:szCs w:val="32"/>
        </w:rPr>
        <w:t>（一）基本职能</w:t>
      </w:r>
      <w:bookmarkEnd w:id="16"/>
      <w:bookmarkEnd w:id="17"/>
    </w:p>
    <w:p>
      <w:pPr>
        <w:widowControl/>
        <w:spacing w:line="576"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根据全县的总体规划，负责制定工业园区发展的中长期规划；负责招商引资的协调服务；积极组织项目投资洽谈活动。</w:t>
      </w:r>
    </w:p>
    <w:p>
      <w:pPr>
        <w:spacing w:line="576" w:lineRule="exact"/>
        <w:ind w:firstLine="640" w:firstLineChars="200"/>
        <w:rPr>
          <w:rStyle w:val="17"/>
          <w:rFonts w:ascii="黑体" w:hAnsi="黑体" w:eastAsia="黑体"/>
          <w:b w:val="0"/>
          <w:bCs w:val="0"/>
        </w:rPr>
      </w:pPr>
      <w:bookmarkStart w:id="18" w:name="_Toc15378446"/>
      <w:bookmarkStart w:id="19" w:name="_Toc15377199"/>
      <w:r>
        <w:rPr>
          <w:rFonts w:hint="eastAsia" w:ascii="楷体_GB2312" w:hAnsi="仿宋" w:eastAsia="楷体_GB2312"/>
          <w:bCs/>
          <w:color w:val="000000"/>
          <w:sz w:val="32"/>
          <w:szCs w:val="32"/>
        </w:rPr>
        <w:t>（二）</w:t>
      </w:r>
      <w:r>
        <w:rPr>
          <w:rFonts w:ascii="楷体_GB2312" w:hAnsi="仿宋" w:eastAsia="楷体_GB2312"/>
          <w:bCs/>
          <w:color w:val="000000"/>
          <w:sz w:val="32"/>
          <w:szCs w:val="32"/>
        </w:rPr>
        <w:t>2018</w:t>
      </w:r>
      <w:r>
        <w:rPr>
          <w:rFonts w:hint="eastAsia" w:ascii="楷体_GB2312" w:hAnsi="仿宋" w:eastAsia="楷体_GB2312"/>
          <w:bCs/>
          <w:color w:val="000000"/>
          <w:sz w:val="32"/>
          <w:szCs w:val="32"/>
        </w:rPr>
        <w:t>年重点工作完成情况</w:t>
      </w:r>
      <w:bookmarkEnd w:id="18"/>
      <w:bookmarkEnd w:id="19"/>
    </w:p>
    <w:p>
      <w:pPr>
        <w:spacing w:line="576" w:lineRule="exact"/>
        <w:ind w:firstLine="640" w:firstLineChars="200"/>
        <w:rPr>
          <w:rFonts w:ascii="仿宋_GB2312" w:eastAsia="仿宋_GB2312"/>
          <w:sz w:val="32"/>
          <w:szCs w:val="32"/>
        </w:rPr>
      </w:pPr>
      <w:bookmarkStart w:id="20" w:name="_Toc15396601"/>
      <w:bookmarkStart w:id="21" w:name="_Toc15377200"/>
      <w:r>
        <w:rPr>
          <w:rFonts w:ascii="仿宋_GB2312" w:hAnsi="华文楷体" w:eastAsia="仿宋_GB2312"/>
          <w:sz w:val="32"/>
          <w:szCs w:val="32"/>
        </w:rPr>
        <w:t>1.</w:t>
      </w:r>
      <w:r>
        <w:t xml:space="preserve"> </w:t>
      </w:r>
      <w:r>
        <w:rPr>
          <w:rFonts w:hint="eastAsia" w:ascii="仿宋_GB2312" w:eastAsia="仿宋_GB2312"/>
          <w:sz w:val="32"/>
          <w:szCs w:val="32"/>
        </w:rPr>
        <w:t>经济指标完成情况。</w:t>
      </w:r>
      <w:r>
        <w:rPr>
          <w:rFonts w:ascii="仿宋_GB2312" w:eastAsia="仿宋_GB2312"/>
          <w:sz w:val="32"/>
          <w:szCs w:val="32"/>
        </w:rPr>
        <w:t>1—12</w:t>
      </w:r>
      <w:r>
        <w:rPr>
          <w:rFonts w:hint="eastAsia" w:ascii="仿宋_GB2312" w:eastAsia="仿宋_GB2312"/>
          <w:sz w:val="32"/>
          <w:szCs w:val="32"/>
        </w:rPr>
        <w:t>月，在规上企业的有力拉动下，园区规模以上工业完成总产值</w:t>
      </w:r>
      <w:r>
        <w:rPr>
          <w:rFonts w:ascii="仿宋_GB2312" w:eastAsia="仿宋_GB2312"/>
          <w:sz w:val="32"/>
          <w:szCs w:val="32"/>
        </w:rPr>
        <w:t>26.88</w:t>
      </w:r>
      <w:r>
        <w:rPr>
          <w:rFonts w:hint="eastAsia" w:ascii="仿宋_GB2312" w:eastAsia="仿宋_GB2312"/>
          <w:sz w:val="32"/>
          <w:szCs w:val="32"/>
        </w:rPr>
        <w:t>亿元，完成工业增加值</w:t>
      </w:r>
      <w:r>
        <w:rPr>
          <w:rFonts w:ascii="仿宋_GB2312" w:eastAsia="仿宋_GB2312"/>
          <w:sz w:val="32"/>
          <w:szCs w:val="32"/>
        </w:rPr>
        <w:t>3.04</w:t>
      </w:r>
      <w:r>
        <w:rPr>
          <w:rFonts w:hint="eastAsia" w:ascii="仿宋_GB2312" w:eastAsia="仿宋_GB2312"/>
          <w:sz w:val="32"/>
          <w:szCs w:val="32"/>
        </w:rPr>
        <w:t>亿元。</w:t>
      </w:r>
    </w:p>
    <w:p>
      <w:pPr>
        <w:spacing w:line="576" w:lineRule="exact"/>
        <w:ind w:firstLine="640" w:firstLineChars="200"/>
        <w:rPr>
          <w:rFonts w:ascii="仿宋_GB2312" w:eastAsia="仿宋_GB2312"/>
          <w:sz w:val="32"/>
          <w:szCs w:val="32"/>
        </w:rPr>
      </w:pPr>
      <w:r>
        <w:rPr>
          <w:rFonts w:ascii="仿宋_GB2312" w:hAnsi="华文楷体" w:eastAsia="仿宋_GB2312"/>
          <w:sz w:val="32"/>
          <w:szCs w:val="32"/>
        </w:rPr>
        <w:t>2.</w:t>
      </w:r>
      <w:r>
        <w:t xml:space="preserve"> </w:t>
      </w:r>
      <w:r>
        <w:rPr>
          <w:rFonts w:hint="eastAsia" w:ascii="仿宋_GB2312" w:eastAsia="仿宋_GB2312"/>
          <w:sz w:val="32"/>
          <w:szCs w:val="32"/>
        </w:rPr>
        <w:t>园区基础设施不断完善，保障能力不断提高。恢复污水处理厂的改造工作，通过半年多的试运行，目前槽木集中区生活污水处理厂运行正常，每天处理污水约</w:t>
      </w:r>
      <w:r>
        <w:rPr>
          <w:rFonts w:ascii="仿宋_GB2312" w:eastAsia="仿宋_GB2312"/>
          <w:sz w:val="32"/>
          <w:szCs w:val="32"/>
        </w:rPr>
        <w:t>300</w:t>
      </w:r>
      <w:r>
        <w:rPr>
          <w:rFonts w:hint="eastAsia" w:ascii="仿宋_GB2312" w:eastAsia="仿宋_GB2312"/>
          <w:sz w:val="32"/>
          <w:szCs w:val="32"/>
        </w:rPr>
        <w:t>吨；团结集中区给水厂蓄水池于今年</w:t>
      </w:r>
      <w:r>
        <w:rPr>
          <w:rFonts w:ascii="仿宋_GB2312" w:eastAsia="仿宋_GB2312"/>
          <w:sz w:val="32"/>
          <w:szCs w:val="32"/>
        </w:rPr>
        <w:t>4</w:t>
      </w:r>
      <w:r>
        <w:rPr>
          <w:rFonts w:hint="eastAsia" w:ascii="仿宋_GB2312" w:eastAsia="仿宋_GB2312"/>
          <w:sz w:val="32"/>
          <w:szCs w:val="32"/>
        </w:rPr>
        <w:t>月份动工，</w:t>
      </w:r>
      <w:r>
        <w:rPr>
          <w:rFonts w:ascii="仿宋_GB2312" w:eastAsia="仿宋_GB2312"/>
          <w:sz w:val="32"/>
          <w:szCs w:val="32"/>
        </w:rPr>
        <w:t>5</w:t>
      </w:r>
      <w:r>
        <w:rPr>
          <w:rFonts w:hint="eastAsia" w:ascii="仿宋_GB2312" w:eastAsia="仿宋_GB2312"/>
          <w:sz w:val="32"/>
          <w:szCs w:val="32"/>
        </w:rPr>
        <w:t>月份完工，建成蓄水池</w:t>
      </w:r>
      <w:r>
        <w:rPr>
          <w:rFonts w:ascii="仿宋_GB2312" w:eastAsia="仿宋_GB2312"/>
          <w:sz w:val="32"/>
          <w:szCs w:val="32"/>
        </w:rPr>
        <w:t>50</w:t>
      </w:r>
      <w:r>
        <w:rPr>
          <w:rFonts w:hint="eastAsia" w:ascii="仿宋_GB2312" w:eastAsia="仿宋_GB2312"/>
          <w:sz w:val="32"/>
          <w:szCs w:val="32"/>
        </w:rPr>
        <w:t>立方米，能满足当前蓄水需求；槽木集中区取水口的维修加固工作已完成，保证对企业正常生产供水；对槽木大桥桥头因路基沉降、开裂情况进行修复，现修复工程已全面完工。保证园区道路的畅通和企业车辆的正常运输。</w:t>
      </w:r>
    </w:p>
    <w:p>
      <w:pPr>
        <w:spacing w:line="540" w:lineRule="exact"/>
        <w:ind w:firstLine="640" w:firstLineChars="200"/>
        <w:rPr>
          <w:rFonts w:ascii="华文楷体" w:hAnsi="华文楷体" w:eastAsia="华文楷体"/>
          <w:b/>
          <w:sz w:val="32"/>
          <w:szCs w:val="32"/>
        </w:rPr>
      </w:pPr>
      <w:r>
        <w:rPr>
          <w:rFonts w:ascii="仿宋_GB2312" w:eastAsia="仿宋_GB2312"/>
          <w:sz w:val="32"/>
          <w:szCs w:val="32"/>
        </w:rPr>
        <w:t>3.</w:t>
      </w:r>
      <w:r>
        <w:rPr>
          <w:rFonts w:ascii="华文楷体" w:hAnsi="华文楷体" w:eastAsia="华文楷体"/>
          <w:b/>
          <w:sz w:val="32"/>
          <w:szCs w:val="32"/>
        </w:rPr>
        <w:t xml:space="preserve"> </w:t>
      </w:r>
      <w:r>
        <w:rPr>
          <w:rFonts w:hint="eastAsia" w:ascii="仿宋_GB2312" w:hAnsi="华文楷体" w:eastAsia="仿宋_GB2312"/>
          <w:sz w:val="32"/>
          <w:szCs w:val="32"/>
        </w:rPr>
        <w:t>狠抓协调服务，强化入园企业管理工作</w:t>
      </w:r>
      <w:r>
        <w:rPr>
          <w:rFonts w:hint="eastAsia" w:ascii="华文楷体" w:hAnsi="华文楷体" w:eastAsia="华文楷体"/>
          <w:sz w:val="32"/>
          <w:szCs w:val="32"/>
        </w:rPr>
        <w:t>。</w:t>
      </w:r>
      <w:r>
        <w:rPr>
          <w:rFonts w:hint="eastAsia" w:ascii="仿宋_GB2312" w:eastAsia="仿宋_GB2312"/>
          <w:sz w:val="32"/>
          <w:szCs w:val="32"/>
        </w:rPr>
        <w:t>一是督促入园企业建立健全管理制度，规范企业管理办法强化内部管理。二是会同环保、安监、消防、工质食药监等有关部门，对建成投入运行的入园企业依法进行全面管理。三是加强园区企业周边基础设施及地质灾害隐患巡查，为园区企业安全生产提供基础保障。四是及时传达县级各部门的防灾减灾通知，对企业各种预案的制定及演练情况进行督促，着力做好园区防震减灾、防灾减灾工作。五是定期对企业开展日常督促巡查工作，及时发现企业存在的问题和困难并及时处理。六是搭建园区企业信息交流平台，签订《目标责任书》，将企业的安全生产、环境保护、循环经济建设、劳动用工、精神文明建设、社会治安综合治理等纳入管理范围，通过日常巡查、指导、整改，企业在“安全园区，循环园区，环保园区、绿色园区、和谐园区”建设迈出坚实步伐。</w:t>
      </w:r>
    </w:p>
    <w:p>
      <w:pPr>
        <w:spacing w:line="576" w:lineRule="exact"/>
        <w:ind w:firstLine="640" w:firstLineChars="200"/>
        <w:rPr>
          <w:rStyle w:val="17"/>
          <w:rFonts w:ascii="仿宋_GB2312" w:hAnsi="Times New Roman" w:eastAsia="仿宋_GB2312"/>
          <w:b w:val="0"/>
          <w:bCs w:val="0"/>
        </w:rPr>
      </w:pPr>
      <w:r>
        <w:rPr>
          <w:rFonts w:hint="eastAsia" w:ascii="黑体" w:eastAsia="黑体"/>
          <w:bCs/>
          <w:color w:val="000000"/>
          <w:sz w:val="32"/>
          <w:szCs w:val="32"/>
        </w:rPr>
        <w:t>二、</w:t>
      </w:r>
      <w:r>
        <w:rPr>
          <w:rFonts w:hint="eastAsia" w:ascii="黑体" w:hAnsi="黑体" w:eastAsia="黑体"/>
          <w:bCs/>
          <w:color w:val="000000"/>
          <w:sz w:val="32"/>
          <w:szCs w:val="32"/>
        </w:rPr>
        <w:t>机</w:t>
      </w:r>
      <w:r>
        <w:rPr>
          <w:rStyle w:val="17"/>
          <w:rFonts w:hint="eastAsia" w:ascii="黑体" w:hAnsi="黑体" w:eastAsia="黑体"/>
          <w:b w:val="0"/>
        </w:rPr>
        <w:t>构设置</w:t>
      </w:r>
      <w:bookmarkEnd w:id="20"/>
      <w:bookmarkEnd w:id="21"/>
    </w:p>
    <w:p>
      <w:pPr>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茂县工业园区管理委员会属于正科级一级预算事业单位，内设</w:t>
      </w:r>
      <w:r>
        <w:rPr>
          <w:rFonts w:ascii="仿宋_GB2312" w:hAnsi="仿宋" w:eastAsia="仿宋_GB2312"/>
          <w:sz w:val="32"/>
          <w:szCs w:val="32"/>
        </w:rPr>
        <w:t>5</w:t>
      </w:r>
      <w:r>
        <w:rPr>
          <w:rFonts w:hint="eastAsia" w:ascii="仿宋_GB2312" w:hAnsi="仿宋" w:eastAsia="仿宋_GB2312"/>
          <w:sz w:val="32"/>
          <w:szCs w:val="32"/>
        </w:rPr>
        <w:t>个职能股室：办公室、企业管理股、基础设施管理股、项目招商股、规划建设股。下属二级单位</w:t>
      </w:r>
      <w:r>
        <w:rPr>
          <w:rFonts w:ascii="仿宋_GB2312" w:hAnsi="仿宋" w:eastAsia="仿宋_GB2312"/>
          <w:sz w:val="32"/>
          <w:szCs w:val="32"/>
        </w:rPr>
        <w:t>0</w:t>
      </w:r>
      <w:r>
        <w:rPr>
          <w:rFonts w:hint="eastAsia" w:ascii="仿宋_GB2312" w:hAnsi="仿宋" w:eastAsia="仿宋_GB2312"/>
          <w:sz w:val="32"/>
          <w:szCs w:val="32"/>
        </w:rPr>
        <w:t>个，其中行政单位</w:t>
      </w:r>
      <w:r>
        <w:rPr>
          <w:rFonts w:ascii="仿宋_GB2312" w:hAnsi="仿宋" w:eastAsia="仿宋_GB2312"/>
          <w:sz w:val="32"/>
          <w:szCs w:val="32"/>
        </w:rPr>
        <w:t>0</w:t>
      </w:r>
      <w:r>
        <w:rPr>
          <w:rFonts w:hint="eastAsia" w:ascii="仿宋_GB2312" w:hAnsi="仿宋" w:eastAsia="仿宋_GB2312"/>
          <w:sz w:val="32"/>
          <w:szCs w:val="32"/>
        </w:rPr>
        <w:t>个，参照公务员法管理的事业单位</w:t>
      </w:r>
      <w:r>
        <w:rPr>
          <w:rFonts w:ascii="仿宋_GB2312" w:hAnsi="仿宋" w:eastAsia="仿宋_GB2312"/>
          <w:bCs/>
          <w:sz w:val="32"/>
          <w:szCs w:val="32"/>
        </w:rPr>
        <w:t>0</w:t>
      </w:r>
      <w:r>
        <w:rPr>
          <w:rFonts w:hint="eastAsia" w:ascii="仿宋_GB2312" w:hAnsi="仿宋" w:eastAsia="仿宋_GB2312"/>
          <w:sz w:val="32"/>
          <w:szCs w:val="32"/>
        </w:rPr>
        <w:t>个，其他事业单位</w:t>
      </w:r>
      <w:r>
        <w:rPr>
          <w:rFonts w:ascii="仿宋_GB2312" w:hAnsi="仿宋" w:eastAsia="仿宋_GB2312"/>
          <w:sz w:val="32"/>
          <w:szCs w:val="32"/>
        </w:rPr>
        <w:t>0</w:t>
      </w:r>
      <w:r>
        <w:rPr>
          <w:rFonts w:hint="eastAsia" w:ascii="仿宋_GB2312" w:hAnsi="仿宋" w:eastAsia="仿宋_GB2312"/>
          <w:sz w:val="32"/>
          <w:szCs w:val="32"/>
        </w:rPr>
        <w:t>个。</w:t>
      </w:r>
    </w:p>
    <w:p>
      <w:pPr>
        <w:pStyle w:val="5"/>
        <w:adjustRightInd w:val="0"/>
        <w:snapToGrid w:val="0"/>
        <w:spacing w:before="93" w:line="576" w:lineRule="exact"/>
        <w:ind w:firstLine="640" w:firstLineChars="200"/>
        <w:rPr>
          <w:rFonts w:hAnsi="仿宋"/>
          <w:color w:val="000000"/>
          <w:sz w:val="32"/>
          <w:szCs w:val="32"/>
        </w:rPr>
      </w:pPr>
      <w:r>
        <w:rPr>
          <w:rFonts w:hint="eastAsia" w:hAnsi="仿宋"/>
          <w:color w:val="000000"/>
          <w:sz w:val="32"/>
          <w:szCs w:val="32"/>
        </w:rPr>
        <w:t>纳入茂县工业园区管理委员会</w:t>
      </w:r>
      <w:r>
        <w:rPr>
          <w:rFonts w:hAnsi="仿宋"/>
          <w:color w:val="000000"/>
          <w:sz w:val="32"/>
          <w:szCs w:val="32"/>
        </w:rPr>
        <w:t>2018</w:t>
      </w:r>
      <w:r>
        <w:rPr>
          <w:rFonts w:hint="eastAsia" w:hAnsi="仿宋"/>
          <w:color w:val="000000"/>
          <w:sz w:val="32"/>
          <w:szCs w:val="32"/>
        </w:rPr>
        <w:t>年度部门决算编制范围的二级预算单位</w:t>
      </w:r>
      <w:r>
        <w:rPr>
          <w:rFonts w:hAnsi="仿宋"/>
          <w:color w:val="000000"/>
          <w:sz w:val="32"/>
          <w:szCs w:val="32"/>
        </w:rPr>
        <w:t>0</w:t>
      </w:r>
      <w:r>
        <w:rPr>
          <w:rFonts w:hint="eastAsia" w:hAnsi="仿宋"/>
          <w:color w:val="000000"/>
          <w:sz w:val="32"/>
          <w:szCs w:val="32"/>
        </w:rPr>
        <w:t>个。</w:t>
      </w:r>
    </w:p>
    <w:p>
      <w:pPr>
        <w:widowControl/>
        <w:spacing w:line="576" w:lineRule="exact"/>
        <w:rPr>
          <w:rFonts w:ascii="仿宋" w:hAnsi="仿宋" w:eastAsia="仿宋"/>
          <w:color w:val="000000"/>
          <w:kern w:val="0"/>
          <w:sz w:val="32"/>
          <w:szCs w:val="32"/>
        </w:rPr>
      </w:pPr>
      <w:bookmarkStart w:id="22" w:name="_Toc15396602"/>
      <w:bookmarkStart w:id="23" w:name="_Toc15377204"/>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ind w:firstLine="880" w:firstLineChars="200"/>
        <w:rPr>
          <w:rFonts w:hint="eastAsia" w:ascii="方正小标宋简体" w:hAnsi="方正小标宋简体" w:eastAsia="方正小标宋简体" w:cs="方正小标宋简体"/>
          <w:color w:val="000000"/>
          <w:sz w:val="44"/>
          <w:szCs w:val="44"/>
        </w:rPr>
      </w:pPr>
    </w:p>
    <w:p>
      <w:pPr>
        <w:widowControl/>
        <w:spacing w:line="576" w:lineRule="exact"/>
        <w:ind w:firstLine="880" w:firstLineChars="200"/>
        <w:rPr>
          <w:rStyle w:val="16"/>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color w:val="000000"/>
          <w:sz w:val="44"/>
          <w:szCs w:val="44"/>
        </w:rPr>
        <w:t>第二部分</w:t>
      </w:r>
      <w:r>
        <w:rPr>
          <w:rStyle w:val="16"/>
          <w:rFonts w:ascii="方正小标宋简体" w:hAnsi="方正小标宋简体" w:eastAsia="方正小标宋简体" w:cs="方正小标宋简体"/>
          <w:b w:val="0"/>
          <w:bCs w:val="0"/>
        </w:rPr>
        <w:t>2018</w:t>
      </w:r>
      <w:r>
        <w:rPr>
          <w:rStyle w:val="16"/>
          <w:rFonts w:hint="eastAsia" w:ascii="方正小标宋简体" w:hAnsi="方正小标宋简体" w:eastAsia="方正小标宋简体" w:cs="方正小标宋简体"/>
          <w:b w:val="0"/>
          <w:bCs w:val="0"/>
        </w:rPr>
        <w:t>年度部门决算情</w:t>
      </w:r>
      <w:bookmarkEnd w:id="22"/>
      <w:bookmarkEnd w:id="23"/>
      <w:r>
        <w:rPr>
          <w:rStyle w:val="16"/>
          <w:rFonts w:hint="eastAsia" w:ascii="方正小标宋简体" w:hAnsi="方正小标宋简体" w:eastAsia="方正小标宋简体" w:cs="方正小标宋简体"/>
          <w:b w:val="0"/>
          <w:bCs w:val="0"/>
        </w:rPr>
        <w:t>况</w:t>
      </w:r>
    </w:p>
    <w:p>
      <w:pPr>
        <w:spacing w:line="576" w:lineRule="exact"/>
        <w:ind w:left="640"/>
        <w:outlineLvl w:val="1"/>
        <w:rPr>
          <w:rFonts w:ascii="黑体" w:hAnsi="黑体" w:eastAsia="黑体"/>
          <w:bCs/>
          <w:sz w:val="32"/>
          <w:szCs w:val="32"/>
        </w:rPr>
      </w:pPr>
      <w:bookmarkStart w:id="24" w:name="_Toc15377205"/>
      <w:bookmarkStart w:id="25" w:name="_Toc15396603"/>
    </w:p>
    <w:p>
      <w:pPr>
        <w:pStyle w:val="27"/>
        <w:numPr>
          <w:ilvl w:val="0"/>
          <w:numId w:val="1"/>
        </w:numPr>
        <w:spacing w:line="576" w:lineRule="exact"/>
        <w:ind w:firstLineChars="0"/>
        <w:outlineLvl w:val="1"/>
        <w:rPr>
          <w:rStyle w:val="17"/>
          <w:rFonts w:ascii="黑体" w:hAnsi="黑体" w:eastAsia="黑体"/>
          <w:b w:val="0"/>
        </w:rPr>
      </w:pPr>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24"/>
      <w:bookmarkEnd w:id="25"/>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年度茂县工业园区管理委员会收、支总计</w:t>
      </w:r>
      <w:r>
        <w:rPr>
          <w:rFonts w:ascii="仿宋_GB2312" w:hAnsi="仿宋" w:eastAsia="仿宋_GB2312"/>
          <w:color w:val="000000"/>
          <w:sz w:val="32"/>
          <w:szCs w:val="32"/>
        </w:rPr>
        <w:t>138.66</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年相比，收、支总计减少</w:t>
      </w:r>
      <w:r>
        <w:rPr>
          <w:rFonts w:ascii="仿宋_GB2312" w:hAnsi="仿宋" w:eastAsia="仿宋_GB2312"/>
          <w:color w:val="000000"/>
          <w:sz w:val="32"/>
          <w:szCs w:val="32"/>
        </w:rPr>
        <w:t>927.1</w:t>
      </w:r>
      <w:r>
        <w:rPr>
          <w:rFonts w:hint="eastAsia" w:ascii="仿宋_GB2312" w:hAnsi="仿宋" w:eastAsia="仿宋_GB2312"/>
          <w:color w:val="000000"/>
          <w:sz w:val="32"/>
          <w:szCs w:val="32"/>
        </w:rPr>
        <w:t>万元。主要变动原因是</w:t>
      </w:r>
      <w:r>
        <w:rPr>
          <w:rFonts w:ascii="仿宋_GB2312" w:hAnsi="仿宋" w:eastAsia="仿宋_GB2312"/>
          <w:color w:val="000000"/>
          <w:sz w:val="32"/>
          <w:szCs w:val="32"/>
        </w:rPr>
        <w:t>2017</w:t>
      </w:r>
      <w:r>
        <w:rPr>
          <w:rFonts w:hint="eastAsia" w:ascii="仿宋_GB2312" w:hAnsi="仿宋" w:eastAsia="仿宋_GB2312"/>
          <w:color w:val="000000"/>
          <w:sz w:val="32"/>
          <w:szCs w:val="32"/>
        </w:rPr>
        <w:t>年支付中心集中区上关村征赔拆迁安置补偿费。</w:t>
      </w:r>
    </w:p>
    <w:p>
      <w:pPr>
        <w:spacing w:line="600" w:lineRule="exact"/>
        <w:ind w:firstLine="420" w:firstLineChars="200"/>
        <w:rPr>
          <w:rFonts w:ascii="仿宋" w:hAnsi="仿宋" w:eastAsia="仿宋"/>
          <w:color w:val="000000"/>
          <w:sz w:val="32"/>
          <w:szCs w:val="32"/>
        </w:rPr>
      </w:pPr>
      <w:r>
        <w:pict>
          <v:shape id="_x0000_s1026" o:spid="_x0000_s1026" o:spt="75" type="#_x0000_t75" style="position:absolute;left:0pt;margin-left:31.5pt;margin-top:22.2pt;height:236.15pt;width:411.85pt;mso-wrap-distance-bottom:0pt;mso-wrap-distance-left:9pt;mso-wrap-distance-right:9pt;mso-wrap-distance-top:0pt;z-index:-251657216;mso-width-relative:page;mso-height-relative:page;" o:ole="t" filled="f" o:preferrelative="t" stroked="f" coordsize="21600,21600">
            <v:path/>
            <v:fill on="f" focussize="0,0"/>
            <v:stroke on="f" joinstyle="miter"/>
            <v:imagedata r:id="rId7" o:title=""/>
            <o:lock v:ext="edit" aspectratio="t"/>
            <w10:wrap type="square"/>
          </v:shape>
          <o:OLEObject Type="Embed" ProgID="Excel.Chart.8" ShapeID="_x0000_s1026" DrawAspect="Content" ObjectID="_1468075725" r:id="rId6">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1</w:t>
      </w:r>
      <w:r>
        <w:rPr>
          <w:rFonts w:hint="eastAsia" w:ascii="仿宋_GB2312" w:hAnsi="仿宋" w:eastAsia="仿宋_GB2312"/>
          <w:color w:val="000000"/>
          <w:sz w:val="32"/>
          <w:szCs w:val="32"/>
        </w:rPr>
        <w:t>：收、支决算总计变动情况图）（单位：万元）</w:t>
      </w:r>
    </w:p>
    <w:p>
      <w:pPr>
        <w:pStyle w:val="27"/>
        <w:numPr>
          <w:ilvl w:val="0"/>
          <w:numId w:val="1"/>
        </w:numPr>
        <w:spacing w:line="576" w:lineRule="exact"/>
        <w:ind w:firstLineChars="0"/>
        <w:outlineLvl w:val="1"/>
        <w:rPr>
          <w:rStyle w:val="1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17"/>
          <w:rFonts w:hint="eastAsia" w:ascii="黑体" w:hAnsi="黑体" w:eastAsia="黑体"/>
          <w:b w:val="0"/>
        </w:rPr>
        <w:t>入决算情况说明</w:t>
      </w:r>
      <w:bookmarkEnd w:id="26"/>
      <w:bookmarkEnd w:id="27"/>
    </w:p>
    <w:p>
      <w:pPr>
        <w:spacing w:line="576" w:lineRule="exact"/>
        <w:ind w:firstLine="640" w:firstLineChars="200"/>
        <w:outlineLvl w:val="1"/>
        <w:rPr>
          <w:rFonts w:ascii="仿宋" w:hAnsi="仿宋" w:eastAsia="仿宋"/>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年本年收入合计</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万元，其中：一般公共预算财政拨款收入</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rPr>
        <w:t>；政府性基金预算财政拨款收入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万元；国有资本经营预算财政拨款收入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万元；事业收入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万元；经营收入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万元；附属单位上缴收入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万；其他收入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420" w:firstLineChars="200"/>
        <w:outlineLvl w:val="1"/>
        <w:rPr>
          <w:rFonts w:ascii="仿宋" w:hAnsi="仿宋" w:eastAsia="仿宋"/>
          <w:color w:val="000000"/>
          <w:sz w:val="32"/>
          <w:szCs w:val="32"/>
        </w:rPr>
      </w:pPr>
      <w:r>
        <w:pict>
          <v:shape id="_x0000_s1027" o:spid="_x0000_s1027" o:spt="75" type="#_x0000_t75" style="position:absolute;left:0pt;margin-left:32.8pt;margin-top:-205.25pt;height:229.45pt;width:398.4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9" o:title=""/>
            <o:lock v:ext="edit" aspectratio="t"/>
            <w10:wrap type="square"/>
          </v:shape>
          <o:OLEObject Type="Embed" ProgID="Excel.Chart.8" ShapeID="_x0000_s1027" DrawAspect="Content" ObjectID="_1468075726" r:id="rId8">
            <o:LockedField>false</o:LockedField>
          </o:OLEObject>
        </w:pict>
      </w:r>
    </w:p>
    <w:p>
      <w:pPr>
        <w:spacing w:line="576" w:lineRule="exact"/>
        <w:ind w:firstLine="1760" w:firstLineChars="55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2</w:t>
      </w:r>
      <w:r>
        <w:rPr>
          <w:rFonts w:hint="eastAsia" w:ascii="仿宋_GB2312" w:hAnsi="仿宋" w:eastAsia="仿宋_GB2312"/>
          <w:color w:val="000000"/>
          <w:sz w:val="32"/>
          <w:szCs w:val="32"/>
        </w:rPr>
        <w:t>：收入决算结构图）</w:t>
      </w:r>
    </w:p>
    <w:p>
      <w:pPr>
        <w:pStyle w:val="27"/>
        <w:numPr>
          <w:ilvl w:val="0"/>
          <w:numId w:val="1"/>
        </w:numPr>
        <w:spacing w:line="576" w:lineRule="exact"/>
        <w:ind w:firstLineChars="0"/>
        <w:outlineLvl w:val="1"/>
        <w:rPr>
          <w:rStyle w:val="1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17"/>
          <w:rFonts w:hint="eastAsia" w:ascii="黑体" w:hAnsi="黑体" w:eastAsia="黑体"/>
          <w:b w:val="0"/>
        </w:rPr>
        <w:t>出决算情况说明</w:t>
      </w:r>
      <w:bookmarkEnd w:id="28"/>
      <w:bookmarkEnd w:id="29"/>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pict>
          <v:shape id="_x0000_s1028" o:spid="_x0000_s1028" o:spt="75" type="#_x0000_t75" style="position:absolute;left:0pt;margin-left:32.8pt;margin-top:-137pt;height:160.8pt;width:362.9pt;mso-wrap-distance-bottom:0.15pt;mso-wrap-distance-left:9pt;mso-wrap-distance-right:9pt;mso-wrap-distance-top:0pt;z-index:251661312;mso-width-relative:page;mso-height-relative:page;" o:ole="t" filled="f" o:preferrelative="t" stroked="f" coordsize="21600,21600">
            <v:path/>
            <v:fill on="f" focussize="0,0"/>
            <v:stroke on="f" joinstyle="miter"/>
            <v:imagedata r:id="rId11" o:title=""/>
            <o:lock v:ext="edit" aspectratio="t"/>
            <w10:wrap type="square"/>
          </v:shape>
          <o:OLEObject Type="Embed" ProgID="Excel.Chart.8" ShapeID="_x0000_s1028" DrawAspect="Content" ObjectID="_1468075727" r:id="rId10">
            <o:LockedField>false</o:LockedField>
          </o:OLEObject>
        </w:pic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600" w:lineRule="exact"/>
        <w:ind w:firstLine="640" w:firstLineChars="200"/>
        <w:rPr>
          <w:rFonts w:ascii="仿宋_GB2312" w:hAnsi="仿宋" w:eastAsia="仿宋_GB2312"/>
          <w:color w:val="000000"/>
          <w:sz w:val="32"/>
          <w:szCs w:val="32"/>
        </w:rPr>
      </w:pPr>
      <w:r>
        <w:rPr>
          <w:rFonts w:hint="eastAsia" w:ascii="仿宋" w:hAnsi="仿宋" w:eastAsia="仿宋"/>
          <w:color w:val="000000"/>
          <w:sz w:val="32"/>
          <w:szCs w:val="32"/>
        </w:rPr>
        <w:t>（</w:t>
      </w:r>
      <w:r>
        <w:rPr>
          <w:rFonts w:hint="eastAsia" w:ascii="仿宋_GB2312" w:hAnsi="仿宋" w:eastAsia="仿宋_GB2312"/>
          <w:color w:val="000000"/>
          <w:sz w:val="32"/>
          <w:szCs w:val="32"/>
        </w:rPr>
        <w:t>图</w:t>
      </w:r>
      <w:r>
        <w:rPr>
          <w:rFonts w:ascii="仿宋_GB2312" w:hAnsi="仿宋" w:eastAsia="仿宋_GB2312"/>
          <w:color w:val="000000"/>
          <w:sz w:val="32"/>
          <w:szCs w:val="32"/>
        </w:rPr>
        <w:t>3</w:t>
      </w:r>
      <w:r>
        <w:rPr>
          <w:rFonts w:hint="eastAsia" w:ascii="仿宋_GB2312" w:hAnsi="仿宋" w:eastAsia="仿宋_GB2312"/>
          <w:color w:val="000000"/>
          <w:sz w:val="32"/>
          <w:szCs w:val="32"/>
        </w:rPr>
        <w:t>：支出决算结构图）</w:t>
      </w:r>
      <w:bookmarkStart w:id="30" w:name="_Toc15396606"/>
      <w:bookmarkStart w:id="31" w:name="_Toc15377208"/>
    </w:p>
    <w:p>
      <w:pPr>
        <w:spacing w:line="576" w:lineRule="exact"/>
        <w:ind w:firstLine="640"/>
        <w:rPr>
          <w:rStyle w:val="17"/>
          <w:rFonts w:ascii="仿宋" w:hAnsi="仿宋" w:eastAsia="仿宋"/>
          <w:b w:val="0"/>
          <w:bCs w:val="0"/>
          <w:color w:val="000000"/>
        </w:rPr>
      </w:pPr>
      <w:r>
        <w:rPr>
          <w:rFonts w:hint="eastAsia" w:ascii="黑体" w:hAnsi="黑体" w:eastAsia="黑体"/>
          <w:color w:val="000000"/>
          <w:sz w:val="32"/>
          <w:szCs w:val="32"/>
        </w:rPr>
        <w:t>四、财</w:t>
      </w:r>
      <w:r>
        <w:rPr>
          <w:rStyle w:val="17"/>
          <w:rFonts w:hint="eastAsia" w:ascii="黑体" w:hAnsi="黑体" w:eastAsia="黑体"/>
          <w:b w:val="0"/>
          <w:bCs w:val="0"/>
        </w:rPr>
        <w:t>政拨款收入支出决算总体情况说明</w:t>
      </w:r>
      <w:bookmarkEnd w:id="30"/>
      <w:bookmarkEnd w:id="31"/>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年财政拨款收、支总计</w:t>
      </w:r>
      <w:r>
        <w:rPr>
          <w:rFonts w:ascii="仿宋_GB2312" w:hAnsi="仿宋" w:eastAsia="仿宋_GB2312"/>
          <w:color w:val="000000"/>
          <w:sz w:val="32"/>
          <w:szCs w:val="32"/>
        </w:rPr>
        <w:t>138.66</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年相比，收、支总计减少</w:t>
      </w:r>
      <w:r>
        <w:rPr>
          <w:rFonts w:ascii="仿宋_GB2312" w:hAnsi="仿宋" w:eastAsia="仿宋_GB2312"/>
          <w:color w:val="000000"/>
          <w:sz w:val="32"/>
          <w:szCs w:val="32"/>
        </w:rPr>
        <w:t>927.1</w:t>
      </w:r>
      <w:r>
        <w:rPr>
          <w:rFonts w:hint="eastAsia" w:ascii="仿宋_GB2312" w:hAnsi="仿宋" w:eastAsia="仿宋_GB2312"/>
          <w:color w:val="000000"/>
          <w:sz w:val="32"/>
          <w:szCs w:val="32"/>
        </w:rPr>
        <w:t>万元。主要变动原因是</w:t>
      </w:r>
      <w:r>
        <w:rPr>
          <w:rFonts w:ascii="仿宋_GB2312" w:hAnsi="仿宋" w:eastAsia="仿宋_GB2312"/>
          <w:color w:val="000000"/>
          <w:sz w:val="32"/>
          <w:szCs w:val="32"/>
        </w:rPr>
        <w:t>2017</w:t>
      </w:r>
      <w:r>
        <w:rPr>
          <w:rFonts w:hint="eastAsia" w:ascii="仿宋_GB2312" w:hAnsi="仿宋" w:eastAsia="仿宋_GB2312"/>
          <w:color w:val="000000"/>
          <w:sz w:val="32"/>
          <w:szCs w:val="32"/>
        </w:rPr>
        <w:t>年支付中心集中区上关村征赔拆迁安置补偿费。</w:t>
      </w:r>
    </w:p>
    <w:p>
      <w:pPr>
        <w:spacing w:line="576" w:lineRule="exact"/>
        <w:ind w:firstLine="420" w:firstLineChars="200"/>
        <w:rPr>
          <w:rFonts w:ascii="仿宋" w:hAnsi="仿宋" w:eastAsia="仿宋"/>
          <w:color w:val="000000"/>
          <w:sz w:val="32"/>
          <w:szCs w:val="32"/>
        </w:rPr>
      </w:pPr>
      <w:r>
        <w:pict>
          <v:shape id="_x0000_s1029" o:spid="_x0000_s1029" o:spt="75" type="#_x0000_t75" style="position:absolute;left:0pt;margin-left:28.3pt;margin-top:15.55pt;height:242.9pt;width:421.45pt;mso-wrap-distance-bottom:0pt;mso-wrap-distance-left:9pt;mso-wrap-distance-right:9pt;mso-wrap-distance-top:0pt;z-index:251664384;mso-width-relative:page;mso-height-relative:page;" o:ole="t" filled="f" o:preferrelative="t" stroked="f" coordsize="21600,21600">
            <v:path/>
            <v:fill on="f" focussize="0,0"/>
            <v:stroke on="f" joinstyle="miter"/>
            <v:imagedata r:id="rId13" o:title=""/>
            <o:lock v:ext="edit" aspectratio="t"/>
            <w10:wrap type="square"/>
          </v:shape>
          <o:OLEObject Type="Embed" ProgID="Excel.Chart.8" ShapeID="_x0000_s1029" DrawAspect="Content" ObjectID="_1468075728" r:id="rId12">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4</w:t>
      </w:r>
      <w:r>
        <w:rPr>
          <w:rFonts w:hint="eastAsia" w:ascii="仿宋_GB2312" w:hAnsi="仿宋" w:eastAsia="仿宋_GB2312"/>
          <w:color w:val="000000"/>
          <w:sz w:val="32"/>
          <w:szCs w:val="32"/>
        </w:rPr>
        <w:t>：财政拨款收、支决算总计变动情况）</w:t>
      </w:r>
      <w:bookmarkStart w:id="32" w:name="_Toc15377209"/>
      <w:bookmarkStart w:id="33" w:name="_Toc15396607"/>
    </w:p>
    <w:p>
      <w:pPr>
        <w:spacing w:line="576" w:lineRule="exact"/>
        <w:ind w:firstLine="640"/>
        <w:rPr>
          <w:rFonts w:ascii="仿宋" w:hAnsi="仿宋" w:eastAsia="仿宋"/>
          <w:b/>
          <w:color w:val="000000"/>
          <w:sz w:val="32"/>
          <w:szCs w:val="32"/>
        </w:rPr>
      </w:pPr>
      <w:r>
        <w:rPr>
          <w:rFonts w:hint="eastAsia" w:ascii="黑体" w:hAnsi="黑体" w:eastAsia="黑体"/>
          <w:color w:val="000000"/>
          <w:sz w:val="32"/>
          <w:szCs w:val="32"/>
        </w:rPr>
        <w:t>五、一</w:t>
      </w:r>
      <w:r>
        <w:rPr>
          <w:rStyle w:val="17"/>
          <w:rFonts w:hint="eastAsia" w:ascii="黑体" w:hAnsi="黑体" w:eastAsia="黑体"/>
          <w:b w:val="0"/>
          <w:bCs w:val="0"/>
        </w:rPr>
        <w:t>般公共预算财政拨款支出决算情况说明</w:t>
      </w:r>
      <w:bookmarkEnd w:id="32"/>
      <w:bookmarkEnd w:id="33"/>
      <w:bookmarkStart w:id="34" w:name="_Toc15377210"/>
    </w:p>
    <w:p>
      <w:pPr>
        <w:spacing w:line="576" w:lineRule="exact"/>
        <w:ind w:firstLine="480" w:firstLineChars="150"/>
        <w:outlineLvl w:val="1"/>
        <w:rPr>
          <w:rFonts w:ascii="仿宋" w:hAnsi="仿宋" w:eastAsia="仿宋"/>
          <w:b/>
          <w:color w:val="000000"/>
          <w:sz w:val="32"/>
          <w:szCs w:val="32"/>
        </w:rPr>
      </w:pPr>
      <w:r>
        <w:rPr>
          <w:rFonts w:hint="eastAsia" w:ascii="楷体_GB2312" w:hAnsi="仿宋" w:eastAsia="楷体_GB2312"/>
          <w:bCs/>
          <w:color w:val="000000"/>
          <w:sz w:val="32"/>
          <w:szCs w:val="32"/>
        </w:rPr>
        <w:t>（一）一般公共预算财政拨款支出决算总体情况</w:t>
      </w:r>
      <w:bookmarkEnd w:id="34"/>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万元，占本年支出合计的</w:t>
      </w:r>
      <w:r>
        <w:rPr>
          <w:rFonts w:ascii="仿宋_GB2312" w:hAnsi="仿宋" w:eastAsia="仿宋_GB2312"/>
          <w:color w:val="000000"/>
          <w:sz w:val="32"/>
          <w:szCs w:val="32"/>
        </w:rPr>
        <w:t>100%</w:t>
      </w:r>
      <w:r>
        <w:rPr>
          <w:rFonts w:hint="eastAsia" w:ascii="仿宋_GB2312" w:hAnsi="仿宋" w:eastAsia="仿宋_GB2312"/>
          <w:color w:val="000000"/>
          <w:sz w:val="32"/>
          <w:szCs w:val="32"/>
        </w:rPr>
        <w:t>。与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年相比，一般公共预算财政拨款减少</w:t>
      </w:r>
      <w:r>
        <w:rPr>
          <w:rFonts w:ascii="仿宋_GB2312" w:hAnsi="仿宋" w:eastAsia="仿宋_GB2312"/>
          <w:color w:val="000000"/>
          <w:sz w:val="32"/>
          <w:szCs w:val="32"/>
        </w:rPr>
        <w:t>927.1</w:t>
      </w:r>
      <w:r>
        <w:rPr>
          <w:rFonts w:hint="eastAsia" w:ascii="仿宋_GB2312" w:hAnsi="仿宋" w:eastAsia="仿宋_GB2312"/>
          <w:color w:val="000000"/>
          <w:sz w:val="32"/>
          <w:szCs w:val="32"/>
        </w:rPr>
        <w:t>万元，减少</w:t>
      </w:r>
      <w:r>
        <w:rPr>
          <w:rFonts w:ascii="仿宋_GB2312" w:hAnsi="仿宋" w:eastAsia="仿宋_GB2312"/>
          <w:sz w:val="32"/>
          <w:szCs w:val="32"/>
        </w:rPr>
        <w:t>87</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w:t>
      </w:r>
      <w:bookmarkStart w:id="74" w:name="_GoBack"/>
      <w:bookmarkEnd w:id="74"/>
      <w:r>
        <w:rPr>
          <w:rFonts w:hint="eastAsia" w:ascii="仿宋_GB2312" w:hAnsi="仿宋" w:eastAsia="仿宋_GB2312"/>
          <w:color w:val="000000"/>
          <w:sz w:val="32"/>
          <w:szCs w:val="32"/>
          <w:lang w:eastAsia="zh-CN"/>
        </w:rPr>
        <w:t>是</w:t>
      </w:r>
      <w:r>
        <w:rPr>
          <w:rFonts w:ascii="仿宋_GB2312" w:hAnsi="仿宋" w:eastAsia="仿宋_GB2312"/>
          <w:color w:val="000000"/>
          <w:sz w:val="32"/>
          <w:szCs w:val="32"/>
        </w:rPr>
        <w:t>2017</w:t>
      </w:r>
      <w:r>
        <w:rPr>
          <w:rFonts w:hint="eastAsia" w:ascii="仿宋_GB2312" w:hAnsi="仿宋" w:eastAsia="仿宋_GB2312"/>
          <w:color w:val="000000"/>
          <w:sz w:val="32"/>
          <w:szCs w:val="32"/>
        </w:rPr>
        <w:t>年支付中心集中区上关村征赔拆迁安置补偿费。</w:t>
      </w:r>
    </w:p>
    <w:p>
      <w:pPr>
        <w:spacing w:line="600" w:lineRule="exact"/>
        <w:ind w:firstLine="420" w:firstLineChars="200"/>
        <w:rPr>
          <w:rFonts w:ascii="仿宋" w:hAnsi="仿宋" w:eastAsia="仿宋"/>
          <w:color w:val="000000"/>
          <w:sz w:val="32"/>
          <w:szCs w:val="32"/>
        </w:rPr>
      </w:pPr>
      <w:r>
        <w:pict>
          <v:shape id="_x0000_s1030" o:spid="_x0000_s1030" o:spt="75" type="#_x0000_t75" style="position:absolute;left:0pt;margin-left:32.8pt;margin-top:21.85pt;height:242.9pt;width:416.65pt;mso-wrap-distance-bottom:0pt;mso-wrap-distance-left:9pt;mso-wrap-distance-right:9pt;mso-wrap-distance-top:0pt;z-index:251662336;mso-width-relative:page;mso-height-relative:page;" o:ole="t" filled="f" o:preferrelative="t" stroked="f" coordsize="21600,21600">
            <v:path/>
            <v:fill on="f" focussize="0,0"/>
            <v:stroke on="f" joinstyle="miter"/>
            <v:imagedata r:id="rId15" o:title=""/>
            <o:lock v:ext="edit" aspectratio="t"/>
            <w10:wrap type="square"/>
          </v:shape>
          <o:OLEObject Type="Embed" ProgID="Excel.Chart.8" ShapeID="_x0000_s1030" DrawAspect="Content" ObjectID="_1468075729" r:id="rId14">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960" w:firstLineChars="3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5</w:t>
      </w:r>
      <w:r>
        <w:rPr>
          <w:rFonts w:hint="eastAsia" w:ascii="仿宋_GB2312" w:hAnsi="仿宋" w:eastAsia="仿宋_GB2312"/>
          <w:color w:val="000000"/>
          <w:sz w:val="32"/>
          <w:szCs w:val="32"/>
        </w:rPr>
        <w:t>：一般公共预算财政拨款支出决算变动情况）</w:t>
      </w:r>
    </w:p>
    <w:p>
      <w:pPr>
        <w:spacing w:line="576" w:lineRule="exact"/>
        <w:ind w:firstLine="640" w:firstLineChars="200"/>
        <w:outlineLvl w:val="1"/>
        <w:rPr>
          <w:rFonts w:ascii="仿宋" w:hAnsi="仿宋" w:eastAsia="仿宋"/>
          <w:b/>
          <w:color w:val="000000"/>
          <w:sz w:val="32"/>
          <w:szCs w:val="32"/>
        </w:rPr>
      </w:pPr>
      <w:bookmarkStart w:id="35" w:name="_Toc15377211"/>
      <w:r>
        <w:rPr>
          <w:rFonts w:hint="eastAsia" w:ascii="楷体_GB2312" w:hAnsi="仿宋" w:eastAsia="楷体_GB2312"/>
          <w:bCs/>
          <w:color w:val="000000"/>
          <w:sz w:val="32"/>
          <w:szCs w:val="32"/>
        </w:rPr>
        <w:t>（二）一般公共预算财政拨款支出决算结构情况</w:t>
      </w:r>
      <w:bookmarkEnd w:id="35"/>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138.65</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hint="eastAsia" w:ascii="仿宋_GB2312" w:hAnsi="仿宋" w:eastAsia="仿宋_GB2312"/>
          <w:color w:val="000000"/>
          <w:sz w:val="32"/>
          <w:szCs w:val="32"/>
        </w:rPr>
        <w:t>一般公共服务支出（类）支出</w:t>
      </w:r>
      <w:r>
        <w:rPr>
          <w:rFonts w:ascii="仿宋_GB2312" w:hAnsi="仿宋" w:eastAsia="仿宋_GB2312"/>
          <w:color w:val="000000"/>
          <w:sz w:val="32"/>
          <w:szCs w:val="32"/>
        </w:rPr>
        <w:t>102.17</w:t>
      </w:r>
      <w:r>
        <w:rPr>
          <w:rFonts w:hint="eastAsia" w:ascii="仿宋_GB2312" w:hAnsi="仿宋" w:eastAsia="仿宋_GB2312"/>
          <w:color w:val="000000"/>
          <w:sz w:val="32"/>
          <w:szCs w:val="32"/>
        </w:rPr>
        <w:t>万元，占</w:t>
      </w:r>
      <w:r>
        <w:rPr>
          <w:rFonts w:ascii="仿宋_GB2312" w:hAnsi="仿宋" w:eastAsia="仿宋_GB2312"/>
          <w:color w:val="000000"/>
          <w:sz w:val="32"/>
          <w:szCs w:val="32"/>
        </w:rPr>
        <w:t>73.69%</w:t>
      </w:r>
      <w:r>
        <w:rPr>
          <w:rFonts w:hint="eastAsia" w:ascii="仿宋_GB2312" w:hAnsi="仿宋" w:eastAsia="仿宋_GB2312"/>
          <w:color w:val="000000"/>
          <w:sz w:val="32"/>
          <w:szCs w:val="32"/>
        </w:rPr>
        <w:t>；社会保障和就业（类）支出</w:t>
      </w:r>
      <w:r>
        <w:rPr>
          <w:rFonts w:ascii="仿宋_GB2312" w:hAnsi="仿宋" w:eastAsia="仿宋_GB2312"/>
          <w:color w:val="000000"/>
          <w:sz w:val="32"/>
          <w:szCs w:val="32"/>
        </w:rPr>
        <w:t>19.09</w:t>
      </w:r>
      <w:r>
        <w:rPr>
          <w:rFonts w:hint="eastAsia" w:ascii="仿宋_GB2312" w:hAnsi="仿宋" w:eastAsia="仿宋_GB2312"/>
          <w:color w:val="000000"/>
          <w:sz w:val="32"/>
          <w:szCs w:val="32"/>
        </w:rPr>
        <w:t>万元，占</w:t>
      </w:r>
      <w:r>
        <w:rPr>
          <w:rFonts w:ascii="仿宋_GB2312" w:hAnsi="仿宋" w:eastAsia="仿宋_GB2312"/>
          <w:color w:val="000000"/>
          <w:sz w:val="32"/>
          <w:szCs w:val="32"/>
        </w:rPr>
        <w:t>13.76%</w:t>
      </w:r>
      <w:r>
        <w:rPr>
          <w:rFonts w:hint="eastAsia" w:ascii="仿宋_GB2312" w:hAnsi="仿宋" w:eastAsia="仿宋_GB2312"/>
          <w:color w:val="000000"/>
          <w:sz w:val="32"/>
          <w:szCs w:val="32"/>
        </w:rPr>
        <w:t>；医疗卫生（类）支出</w:t>
      </w:r>
      <w:r>
        <w:rPr>
          <w:rFonts w:ascii="仿宋_GB2312" w:hAnsi="仿宋" w:eastAsia="仿宋_GB2312"/>
          <w:color w:val="000000"/>
          <w:sz w:val="32"/>
          <w:szCs w:val="32"/>
        </w:rPr>
        <w:t>7.18</w:t>
      </w:r>
      <w:r>
        <w:rPr>
          <w:rFonts w:hint="eastAsia" w:ascii="仿宋_GB2312" w:hAnsi="仿宋" w:eastAsia="仿宋_GB2312"/>
          <w:color w:val="000000"/>
          <w:sz w:val="32"/>
          <w:szCs w:val="32"/>
        </w:rPr>
        <w:t>万元，占</w:t>
      </w:r>
      <w:r>
        <w:rPr>
          <w:rFonts w:ascii="仿宋_GB2312" w:hAnsi="仿宋" w:eastAsia="仿宋_GB2312"/>
          <w:color w:val="000000"/>
          <w:sz w:val="32"/>
          <w:szCs w:val="32"/>
        </w:rPr>
        <w:t>5.18%</w:t>
      </w:r>
      <w:r>
        <w:rPr>
          <w:rFonts w:hint="eastAsia" w:ascii="仿宋_GB2312" w:hAnsi="仿宋" w:eastAsia="仿宋_GB2312"/>
          <w:color w:val="000000"/>
          <w:sz w:val="32"/>
          <w:szCs w:val="32"/>
        </w:rPr>
        <w:t>；住房保障（类）支出</w:t>
      </w:r>
      <w:r>
        <w:rPr>
          <w:rFonts w:ascii="仿宋_GB2312" w:hAnsi="仿宋" w:eastAsia="仿宋_GB2312"/>
          <w:color w:val="000000"/>
          <w:sz w:val="32"/>
          <w:szCs w:val="32"/>
        </w:rPr>
        <w:t>10.22</w:t>
      </w:r>
      <w:r>
        <w:rPr>
          <w:rFonts w:hint="eastAsia" w:ascii="仿宋_GB2312" w:hAnsi="仿宋" w:eastAsia="仿宋_GB2312"/>
          <w:color w:val="000000"/>
          <w:sz w:val="32"/>
          <w:szCs w:val="32"/>
        </w:rPr>
        <w:t>万元，占</w:t>
      </w:r>
      <w:r>
        <w:rPr>
          <w:rFonts w:ascii="仿宋_GB2312" w:hAnsi="仿宋" w:eastAsia="仿宋_GB2312"/>
          <w:color w:val="000000"/>
          <w:sz w:val="32"/>
          <w:szCs w:val="32"/>
        </w:rPr>
        <w:t>7.37%</w:t>
      </w:r>
      <w:r>
        <w:rPr>
          <w:rFonts w:hint="eastAsia" w:ascii="仿宋_GB2312" w:hAnsi="仿宋" w:eastAsia="仿宋_GB2312"/>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pict>
          <v:shape id="_x0000_s1031" o:spid="_x0000_s1031" o:spt="75" type="#_x0000_t75" style="position:absolute;left:0pt;margin-left:32.8pt;margin-top:-218.75pt;height:242.9pt;width:416.65pt;mso-wrap-distance-bottom:0pt;mso-wrap-distance-left:9pt;mso-wrap-distance-right:9pt;mso-wrap-distance-top:0pt;z-index:251662336;mso-width-relative:page;mso-height-relative:page;" o:ole="t" filled="f" o:preferrelative="t" stroked="f" coordsize="21600,21600">
            <v:path/>
            <v:fill on="f" focussize="0,0"/>
            <v:stroke on="f" joinstyle="miter"/>
            <v:imagedata r:id="rId17" o:title=""/>
            <o:lock v:ext="edit" aspectratio="t"/>
            <w10:wrap type="square"/>
          </v:shape>
          <o:OLEObject Type="Embed" ProgID="Excel.Chart.8" ShapeID="_x0000_s1031" DrawAspect="Content" ObjectID="_1468075730" r:id="rId16">
            <o:LockedField>false</o:LockedField>
          </o:OLEObject>
        </w:pic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p>
    <w:p>
      <w:pPr>
        <w:spacing w:line="600" w:lineRule="exact"/>
        <w:ind w:firstLine="960" w:firstLineChars="300"/>
        <w:rPr>
          <w:rFonts w:ascii="仿宋_GB2312" w:hAnsi="仿宋" w:eastAsia="仿宋_GB2312"/>
          <w:color w:val="000000"/>
          <w:sz w:val="32"/>
          <w:szCs w:val="32"/>
        </w:rPr>
      </w:pPr>
      <w:r>
        <w:rPr>
          <w:rFonts w:hint="eastAsia" w:ascii="仿宋_GB2312" w:hAnsi="仿宋" w:eastAsia="仿宋_GB2312"/>
          <w:color w:val="000000"/>
          <w:sz w:val="32"/>
          <w:szCs w:val="32"/>
        </w:rPr>
        <w:t>（</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图</w:t>
      </w:r>
      <w:r>
        <w:rPr>
          <w:rFonts w:ascii="仿宋_GB2312" w:hAnsi="仿宋" w:eastAsia="仿宋_GB2312"/>
          <w:color w:val="000000"/>
          <w:sz w:val="32"/>
          <w:szCs w:val="32"/>
        </w:rPr>
        <w:t>6</w:t>
      </w:r>
      <w:r>
        <w:rPr>
          <w:rFonts w:hint="eastAsia" w:ascii="仿宋_GB2312" w:hAnsi="仿宋" w:eastAsia="仿宋_GB2312"/>
          <w:color w:val="000000"/>
          <w:sz w:val="32"/>
          <w:szCs w:val="32"/>
        </w:rPr>
        <w:t>：一般公共预算财政拨款支出决算结构）</w:t>
      </w:r>
    </w:p>
    <w:p>
      <w:pPr>
        <w:spacing w:line="576" w:lineRule="exact"/>
        <w:ind w:firstLine="640" w:firstLineChars="200"/>
        <w:outlineLvl w:val="1"/>
        <w:rPr>
          <w:rFonts w:ascii="仿宋" w:hAnsi="仿宋" w:eastAsia="仿宋"/>
          <w:b/>
          <w:color w:val="000000"/>
          <w:sz w:val="32"/>
          <w:szCs w:val="32"/>
        </w:rPr>
      </w:pPr>
      <w:bookmarkStart w:id="36" w:name="_Toc15377212"/>
      <w:r>
        <w:rPr>
          <w:rFonts w:hint="eastAsia" w:ascii="楷体_GB2312" w:hAnsi="仿宋" w:eastAsia="楷体_GB2312"/>
          <w:bCs/>
          <w:color w:val="000000"/>
          <w:sz w:val="32"/>
          <w:szCs w:val="32"/>
        </w:rPr>
        <w:t>（三）一般公共预算财政拨款支出决算具体情况</w:t>
      </w:r>
      <w:bookmarkEnd w:id="36"/>
    </w:p>
    <w:p>
      <w:pPr>
        <w:spacing w:line="576" w:lineRule="exact"/>
        <w:ind w:firstLine="640" w:firstLineChars="200"/>
        <w:outlineLvl w:val="2"/>
        <w:rPr>
          <w:rFonts w:ascii="仿宋_GB2312" w:hAnsi="仿宋" w:eastAsia="仿宋_GB2312"/>
          <w:color w:val="FF0000"/>
          <w:sz w:val="32"/>
          <w:szCs w:val="32"/>
        </w:rPr>
      </w:pPr>
      <w:bookmarkStart w:id="37" w:name="_Toc15377444"/>
      <w:bookmarkStart w:id="38" w:name="_Toc15378460"/>
      <w:bookmarkStart w:id="39" w:name="_Toc15377213"/>
      <w:r>
        <w:rPr>
          <w:rFonts w:ascii="仿宋_GB2312" w:hAnsi="仿宋" w:eastAsia="仿宋_GB2312"/>
          <w:bCs/>
          <w:color w:val="000000"/>
          <w:sz w:val="32"/>
          <w:szCs w:val="32"/>
        </w:rPr>
        <w:t>2018</w:t>
      </w:r>
      <w:r>
        <w:rPr>
          <w:rFonts w:hint="eastAsia" w:ascii="仿宋_GB2312" w:hAnsi="仿宋" w:eastAsia="仿宋_GB2312"/>
          <w:bCs/>
          <w:color w:val="000000"/>
          <w:sz w:val="32"/>
          <w:szCs w:val="32"/>
        </w:rPr>
        <w:t>年一般公共预算支出决算数为</w:t>
      </w:r>
      <w:r>
        <w:rPr>
          <w:rFonts w:ascii="仿宋_GB2312" w:hAnsi="仿宋" w:eastAsia="仿宋_GB2312"/>
          <w:bCs/>
          <w:color w:val="000000"/>
          <w:sz w:val="32"/>
          <w:szCs w:val="32"/>
        </w:rPr>
        <w:t>138.65</w:t>
      </w:r>
      <w:r>
        <w:rPr>
          <w:rFonts w:hint="eastAsia" w:ascii="仿宋_GB2312" w:hAnsi="仿宋" w:eastAsia="仿宋_GB2312"/>
          <w:bCs/>
          <w:color w:val="000000"/>
          <w:sz w:val="32"/>
          <w:szCs w:val="32"/>
        </w:rPr>
        <w:t>万元，</w:t>
      </w:r>
      <w:r>
        <w:rPr>
          <w:rStyle w:val="14"/>
          <w:rFonts w:hint="eastAsia" w:ascii="仿宋_GB2312" w:hAnsi="仿宋" w:eastAsia="仿宋_GB2312"/>
          <w:b w:val="0"/>
          <w:bCs/>
          <w:color w:val="000000"/>
          <w:sz w:val="32"/>
          <w:szCs w:val="32"/>
        </w:rPr>
        <w:t>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。其中：</w:t>
      </w:r>
      <w:bookmarkEnd w:id="37"/>
      <w:bookmarkEnd w:id="38"/>
      <w:bookmarkEnd w:id="39"/>
    </w:p>
    <w:p>
      <w:pPr>
        <w:spacing w:line="576" w:lineRule="exact"/>
        <w:ind w:firstLine="640" w:firstLineChars="200"/>
        <w:rPr>
          <w:rFonts w:ascii="仿宋_GB2312" w:hAnsi="仿宋" w:eastAsia="仿宋_GB2312"/>
          <w:b/>
          <w:color w:val="000000"/>
          <w:sz w:val="32"/>
          <w:szCs w:val="32"/>
        </w:rPr>
      </w:pPr>
      <w:r>
        <w:rPr>
          <w:rStyle w:val="14"/>
          <w:rFonts w:ascii="仿宋_GB2312" w:hAnsi="仿宋" w:eastAsia="仿宋_GB2312"/>
          <w:b w:val="0"/>
          <w:bCs/>
          <w:color w:val="000000"/>
          <w:sz w:val="32"/>
          <w:szCs w:val="32"/>
        </w:rPr>
        <w:t>1.</w:t>
      </w:r>
      <w:r>
        <w:rPr>
          <w:rStyle w:val="14"/>
          <w:rFonts w:hint="eastAsia" w:ascii="仿宋_GB2312" w:hAnsi="仿宋" w:eastAsia="仿宋_GB2312"/>
          <w:b w:val="0"/>
          <w:bCs/>
          <w:color w:val="000000"/>
          <w:sz w:val="32"/>
          <w:szCs w:val="32"/>
        </w:rPr>
        <w:t>一般公共服务支出（类）商贸事务（款）事业运行（项）</w:t>
      </w:r>
      <w:r>
        <w:rPr>
          <w:rStyle w:val="14"/>
          <w:rFonts w:ascii="仿宋_GB2312" w:hAnsi="仿宋" w:eastAsia="仿宋_GB2312"/>
          <w:bCs/>
          <w:color w:val="000000"/>
          <w:sz w:val="32"/>
          <w:szCs w:val="32"/>
        </w:rPr>
        <w:t>:</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102.17</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Fonts w:ascii="仿宋_GB2312" w:hAnsi="仿宋" w:eastAsia="仿宋_GB2312"/>
          <w:b/>
          <w:color w:val="000000"/>
          <w:sz w:val="32"/>
          <w:szCs w:val="32"/>
        </w:rPr>
      </w:pPr>
      <w:r>
        <w:rPr>
          <w:rStyle w:val="14"/>
          <w:rFonts w:ascii="仿宋_GB2312" w:hAnsi="仿宋" w:eastAsia="仿宋_GB2312"/>
          <w:b w:val="0"/>
          <w:bCs/>
          <w:color w:val="000000"/>
          <w:sz w:val="32"/>
          <w:szCs w:val="32"/>
        </w:rPr>
        <w:t>2.</w:t>
      </w:r>
      <w:r>
        <w:rPr>
          <w:rStyle w:val="14"/>
          <w:rFonts w:hint="eastAsia" w:ascii="仿宋_GB2312" w:hAnsi="仿宋" w:eastAsia="仿宋_GB2312"/>
          <w:b w:val="0"/>
          <w:bCs/>
          <w:color w:val="000000"/>
          <w:sz w:val="32"/>
          <w:szCs w:val="32"/>
        </w:rPr>
        <w:t>住房保障支出（类）住房改革支出（款）住房公积金（项）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10.22</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Style w:val="14"/>
          <w:rFonts w:ascii="仿宋_GB2312" w:hAnsi="仿宋" w:eastAsia="仿宋_GB2312"/>
          <w:b w:val="0"/>
          <w:bCs/>
          <w:color w:val="000000"/>
          <w:sz w:val="32"/>
          <w:szCs w:val="32"/>
        </w:rPr>
      </w:pPr>
      <w:r>
        <w:rPr>
          <w:rStyle w:val="14"/>
          <w:rFonts w:ascii="仿宋_GB2312" w:hAnsi="仿宋" w:eastAsia="仿宋_GB2312"/>
          <w:b w:val="0"/>
          <w:bCs/>
          <w:color w:val="000000"/>
          <w:sz w:val="32"/>
          <w:szCs w:val="32"/>
        </w:rPr>
        <w:t>3.</w:t>
      </w:r>
      <w:r>
        <w:rPr>
          <w:rStyle w:val="14"/>
          <w:rFonts w:hint="eastAsia" w:ascii="仿宋_GB2312" w:hAnsi="仿宋" w:eastAsia="仿宋_GB2312"/>
          <w:b w:val="0"/>
          <w:bCs/>
          <w:color w:val="000000"/>
          <w:sz w:val="32"/>
          <w:szCs w:val="32"/>
        </w:rPr>
        <w:t>社会保障和就业支出（类）行政事业单位离退休（款）机关事业单位基本养老保险缴费支出（项）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13.63</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Style w:val="14"/>
          <w:rFonts w:ascii="仿宋_GB2312" w:hAnsi="仿宋" w:eastAsia="仿宋_GB2312"/>
          <w:b w:val="0"/>
          <w:bCs/>
          <w:color w:val="000000"/>
          <w:sz w:val="32"/>
          <w:szCs w:val="32"/>
        </w:rPr>
      </w:pPr>
      <w:r>
        <w:rPr>
          <w:rStyle w:val="14"/>
          <w:rFonts w:ascii="仿宋_GB2312" w:hAnsi="仿宋" w:eastAsia="仿宋_GB2312"/>
          <w:b w:val="0"/>
          <w:bCs/>
          <w:color w:val="000000"/>
          <w:sz w:val="32"/>
          <w:szCs w:val="32"/>
        </w:rPr>
        <w:t xml:space="preserve">4. </w:t>
      </w:r>
      <w:r>
        <w:rPr>
          <w:rStyle w:val="14"/>
          <w:rFonts w:hint="eastAsia" w:ascii="仿宋_GB2312" w:hAnsi="仿宋" w:eastAsia="仿宋_GB2312"/>
          <w:b w:val="0"/>
          <w:bCs/>
          <w:color w:val="000000"/>
          <w:sz w:val="32"/>
          <w:szCs w:val="32"/>
        </w:rPr>
        <w:t>社会保障和就业支出（类）行政事业单位离退休（款）机关事业单位职业年金缴费支出（项）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5.46</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Fonts w:ascii="仿宋_GB2312" w:hAnsi="仿宋" w:eastAsia="仿宋_GB2312"/>
          <w:b/>
          <w:color w:val="000000"/>
          <w:sz w:val="32"/>
          <w:szCs w:val="32"/>
        </w:rPr>
      </w:pPr>
      <w:r>
        <w:rPr>
          <w:rStyle w:val="14"/>
          <w:rFonts w:ascii="仿宋_GB2312" w:hAnsi="仿宋" w:eastAsia="仿宋_GB2312"/>
          <w:b w:val="0"/>
          <w:bCs/>
          <w:color w:val="000000"/>
          <w:sz w:val="32"/>
          <w:szCs w:val="32"/>
        </w:rPr>
        <w:t>5.</w:t>
      </w:r>
      <w:r>
        <w:rPr>
          <w:rStyle w:val="14"/>
          <w:rFonts w:hint="eastAsia" w:ascii="仿宋_GB2312" w:hAnsi="仿宋" w:eastAsia="仿宋_GB2312"/>
          <w:b w:val="0"/>
          <w:bCs/>
          <w:color w:val="000000"/>
          <w:sz w:val="32"/>
          <w:szCs w:val="32"/>
        </w:rPr>
        <w:t>医疗卫生与计划生育支出（类）行政事业单位医疗（款）事业单位医疗（项）</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7.18</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Style w:val="17"/>
          <w:rFonts w:ascii="仿宋_GB2312" w:hAnsi="仿宋" w:eastAsia="仿宋_GB2312"/>
          <w:b w:val="0"/>
          <w:bCs w:val="0"/>
          <w:color w:val="000000"/>
        </w:rPr>
      </w:pPr>
      <w:bookmarkStart w:id="40" w:name="_Toc15377214"/>
      <w:bookmarkStart w:id="41" w:name="_Toc15396608"/>
      <w:r>
        <w:rPr>
          <w:rFonts w:hint="eastAsia" w:ascii="黑体" w:eastAsia="黑体"/>
          <w:color w:val="000000"/>
          <w:sz w:val="32"/>
          <w:szCs w:val="32"/>
        </w:rPr>
        <w:t>六、</w:t>
      </w:r>
      <w:r>
        <w:rPr>
          <w:rFonts w:hint="eastAsia" w:ascii="黑体" w:hAnsi="黑体" w:eastAsia="黑体"/>
          <w:color w:val="000000"/>
          <w:sz w:val="32"/>
          <w:szCs w:val="32"/>
        </w:rPr>
        <w:t>一</w:t>
      </w:r>
      <w:r>
        <w:rPr>
          <w:rStyle w:val="17"/>
          <w:rFonts w:hint="eastAsia" w:ascii="黑体" w:hAnsi="黑体" w:eastAsia="黑体"/>
          <w:b w:val="0"/>
          <w:bCs w:val="0"/>
        </w:rPr>
        <w:t>般公共预算财政拨款基本支出决算情况说明</w:t>
      </w:r>
      <w:bookmarkEnd w:id="40"/>
      <w:bookmarkEnd w:id="41"/>
    </w:p>
    <w:p>
      <w:pPr>
        <w:spacing w:line="576" w:lineRule="exact"/>
        <w:ind w:firstLine="645"/>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年一般公共预算财政拨款基本支出</w:t>
      </w:r>
      <w:r>
        <w:rPr>
          <w:rFonts w:ascii="仿宋_GB2312" w:hAnsi="仿宋" w:eastAsia="仿宋_GB2312"/>
          <w:color w:val="000000"/>
          <w:sz w:val="32"/>
          <w:szCs w:val="32"/>
        </w:rPr>
        <w:t>138.65</w:t>
      </w:r>
      <w:r>
        <w:rPr>
          <w:rFonts w:hint="eastAsia" w:ascii="仿宋_GB2312" w:hAnsi="仿宋" w:eastAsia="仿宋_GB2312"/>
          <w:color w:val="000000"/>
          <w:sz w:val="32"/>
          <w:szCs w:val="32"/>
        </w:rPr>
        <w:t>万元，其中：</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w:t>
      </w:r>
      <w:r>
        <w:rPr>
          <w:rFonts w:ascii="仿宋_GB2312" w:hAnsi="仿宋" w:eastAsia="仿宋_GB2312"/>
          <w:color w:val="000000"/>
          <w:sz w:val="32"/>
          <w:szCs w:val="32"/>
        </w:rPr>
        <w:t>130.12</w:t>
      </w:r>
      <w:r>
        <w:rPr>
          <w:rFonts w:hint="eastAsia" w:ascii="仿宋_GB2312" w:hAnsi="仿宋"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hAnsi="仿宋" w:eastAsia="仿宋_GB2312"/>
          <w:color w:val="000000"/>
          <w:sz w:val="32"/>
          <w:szCs w:val="32"/>
        </w:rPr>
        <w:br w:type="textWrapping"/>
      </w:r>
      <w:r>
        <w:rPr>
          <w:rFonts w:hint="eastAsia" w:ascii="仿宋_GB2312" w:hAnsi="仿宋" w:eastAsia="仿宋_GB2312"/>
          <w:color w:val="000000"/>
          <w:sz w:val="32"/>
          <w:szCs w:val="32"/>
        </w:rPr>
        <w:t>　　公用经费</w:t>
      </w:r>
      <w:r>
        <w:rPr>
          <w:rFonts w:ascii="仿宋_GB2312" w:hAnsi="仿宋" w:eastAsia="仿宋_GB2312"/>
          <w:color w:val="000000"/>
          <w:sz w:val="32"/>
          <w:szCs w:val="32"/>
        </w:rPr>
        <w:t>8.53</w:t>
      </w:r>
      <w:r>
        <w:rPr>
          <w:rFonts w:hint="eastAsia" w:ascii="仿宋_GB2312" w:hAnsi="仿宋"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firstLineChars="200"/>
        <w:rPr>
          <w:rStyle w:val="17"/>
          <w:rFonts w:ascii="仿宋" w:hAnsi="仿宋" w:eastAsia="仿宋"/>
          <w:b w:val="0"/>
          <w:bCs w:val="0"/>
          <w:color w:val="000000"/>
        </w:rPr>
      </w:pPr>
      <w:bookmarkStart w:id="42" w:name="_Toc15377215"/>
      <w:bookmarkStart w:id="43" w:name="_Toc15396609"/>
      <w:r>
        <w:rPr>
          <w:rFonts w:hint="eastAsia" w:ascii="黑体" w:eastAsia="黑体"/>
          <w:color w:val="000000"/>
          <w:sz w:val="32"/>
          <w:szCs w:val="32"/>
        </w:rPr>
        <w:t>七、</w:t>
      </w:r>
      <w:r>
        <w:rPr>
          <w:rStyle w:val="17"/>
          <w:rFonts w:hint="eastAsia" w:ascii="黑体" w:hAnsi="黑体" w:eastAsia="黑体"/>
          <w:b w:val="0"/>
          <w:bCs w:val="0"/>
        </w:rPr>
        <w:t>“三公”经费财政拨款支出决算情况说明</w:t>
      </w:r>
      <w:bookmarkEnd w:id="42"/>
      <w:bookmarkEnd w:id="43"/>
    </w:p>
    <w:p>
      <w:pPr>
        <w:spacing w:line="576" w:lineRule="exact"/>
        <w:ind w:firstLine="640" w:firstLineChars="200"/>
        <w:outlineLvl w:val="1"/>
        <w:rPr>
          <w:rFonts w:ascii="仿宋" w:hAnsi="仿宋" w:eastAsia="仿宋"/>
          <w:bCs/>
          <w:color w:val="000000"/>
          <w:sz w:val="32"/>
          <w:szCs w:val="32"/>
        </w:rPr>
      </w:pPr>
      <w:bookmarkStart w:id="44" w:name="_Toc15377216"/>
      <w:r>
        <w:rPr>
          <w:rFonts w:hint="eastAsia" w:ascii="楷体_GB2312" w:hAnsi="仿宋" w:eastAsia="楷体_GB2312"/>
          <w:bCs/>
          <w:color w:val="000000"/>
          <w:sz w:val="32"/>
          <w:szCs w:val="32"/>
        </w:rPr>
        <w:t>（一）“三公”经费财政拨款支出决算总体情况说明</w:t>
      </w:r>
      <w:bookmarkEnd w:id="44"/>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年“三公”经费财政拨款支出决算为</w:t>
      </w:r>
      <w:r>
        <w:rPr>
          <w:rFonts w:ascii="仿宋_GB2312" w:hAnsi="仿宋" w:eastAsia="仿宋_GB2312"/>
          <w:color w:val="000000"/>
          <w:sz w:val="32"/>
          <w:szCs w:val="32"/>
        </w:rPr>
        <w:t>1.96</w:t>
      </w:r>
      <w:r>
        <w:rPr>
          <w:rFonts w:hint="eastAsia" w:ascii="仿宋_GB2312" w:hAnsi="仿宋" w:eastAsia="仿宋_GB2312"/>
          <w:color w:val="000000"/>
          <w:sz w:val="32"/>
          <w:szCs w:val="32"/>
        </w:rPr>
        <w:t>万元。</w:t>
      </w:r>
    </w:p>
    <w:p>
      <w:pPr>
        <w:spacing w:line="576" w:lineRule="exact"/>
        <w:ind w:firstLine="640" w:firstLineChars="200"/>
        <w:outlineLvl w:val="1"/>
        <w:rPr>
          <w:rFonts w:ascii="仿宋" w:hAnsi="仿宋" w:eastAsia="仿宋"/>
          <w:b/>
          <w:color w:val="000000"/>
          <w:sz w:val="32"/>
          <w:szCs w:val="32"/>
        </w:rPr>
      </w:pPr>
      <w:bookmarkStart w:id="45" w:name="_Toc15377217"/>
      <w:r>
        <w:rPr>
          <w:rFonts w:hint="eastAsia" w:ascii="楷体_GB2312" w:hAnsi="仿宋" w:eastAsia="楷体_GB2312"/>
          <w:bCs/>
          <w:color w:val="000000"/>
          <w:sz w:val="32"/>
          <w:szCs w:val="32"/>
        </w:rPr>
        <w:t>（二）“三公”经费财政拨款支出决算具体情况说明</w:t>
      </w:r>
      <w:bookmarkEnd w:id="45"/>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万元；公务用车购置及运行维护费支出决算</w:t>
      </w:r>
      <w:r>
        <w:rPr>
          <w:rFonts w:ascii="仿宋_GB2312" w:hAnsi="仿宋" w:eastAsia="仿宋_GB2312"/>
          <w:color w:val="000000"/>
          <w:sz w:val="32"/>
          <w:szCs w:val="32"/>
        </w:rPr>
        <w:t>1.96</w:t>
      </w:r>
      <w:r>
        <w:rPr>
          <w:rFonts w:hint="eastAsia" w:ascii="仿宋_GB2312" w:hAnsi="仿宋" w:eastAsia="仿宋_GB2312"/>
          <w:color w:val="000000"/>
          <w:sz w:val="32"/>
          <w:szCs w:val="32"/>
        </w:rPr>
        <w:t>万元；公务接待费支出决算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万元。具体情况如下：</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576" w:lineRule="exact"/>
        <w:ind w:firstLine="640"/>
        <w:rPr>
          <w:rFonts w:ascii="仿宋_GB2312" w:eastAsia="仿宋_GB2312"/>
          <w:b/>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公务用车购置及运行维护费支出</w:t>
      </w:r>
      <w:r>
        <w:rPr>
          <w:rFonts w:ascii="仿宋_GB2312" w:eastAsia="仿宋_GB2312"/>
          <w:color w:val="000000"/>
          <w:sz w:val="32"/>
          <w:szCs w:val="32"/>
        </w:rPr>
        <w:t>1.96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其中：公务用车购置支出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3</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3</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ascii="仿宋_GB2312" w:eastAsia="仿宋_GB2312"/>
          <w:color w:val="000000"/>
          <w:sz w:val="32"/>
          <w:szCs w:val="32"/>
        </w:rPr>
        <w:t>1.96</w:t>
      </w:r>
      <w:r>
        <w:rPr>
          <w:rFonts w:hint="eastAsia" w:ascii="仿宋_GB2312" w:eastAsia="仿宋_GB2312"/>
          <w:color w:val="000000"/>
          <w:sz w:val="32"/>
          <w:szCs w:val="32"/>
        </w:rPr>
        <w:t>万元。</w:t>
      </w:r>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2017</w:t>
      </w:r>
      <w:r>
        <w:rPr>
          <w:rFonts w:hint="eastAsia" w:ascii="仿宋_GB2312" w:eastAsia="仿宋_GB2312"/>
          <w:color w:val="000000"/>
          <w:sz w:val="32"/>
          <w:szCs w:val="32"/>
        </w:rPr>
        <w:t>年减少</w:t>
      </w:r>
      <w:r>
        <w:rPr>
          <w:rFonts w:ascii="仿宋_GB2312" w:eastAsia="仿宋_GB2312"/>
          <w:color w:val="000000"/>
          <w:sz w:val="32"/>
          <w:szCs w:val="32"/>
        </w:rPr>
        <w:t>0.07</w:t>
      </w:r>
      <w:r>
        <w:rPr>
          <w:rFonts w:hint="eastAsia" w:ascii="仿宋_GB2312" w:eastAsia="仿宋_GB2312"/>
          <w:color w:val="000000"/>
          <w:sz w:val="32"/>
          <w:szCs w:val="32"/>
        </w:rPr>
        <w:t>万元。主要原因是厉行节约。</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 w:eastAsia="仿宋_GB2312"/>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rPr>
          <w:rFonts w:ascii="仿宋_GB2312" w:eastAsia="仿宋_GB2312"/>
          <w:color w:val="000000"/>
          <w:sz w:val="32"/>
          <w:szCs w:val="32"/>
        </w:rPr>
      </w:pPr>
      <w:r>
        <w:rPr>
          <w:rFonts w:hint="eastAsia" w:ascii="仿宋_GB2312" w:hAnsi="仿宋" w:eastAsia="仿宋_GB2312"/>
          <w:color w:val="000000"/>
          <w:sz w:val="32"/>
          <w:szCs w:val="32"/>
        </w:rPr>
        <w:t>其他国内公务接待支出</w:t>
      </w:r>
      <w:r>
        <w:rPr>
          <w:rFonts w:ascii="仿宋" w:hAnsi="仿宋" w:eastAsia="仿宋"/>
          <w:color w:val="000000"/>
          <w:sz w:val="32"/>
          <w:szCs w:val="32"/>
        </w:rPr>
        <w:t>0</w:t>
      </w:r>
      <w:r>
        <w:rPr>
          <w:rFonts w:hint="eastAsia" w:ascii="仿宋_GB2312" w:eastAsia="仿宋_GB2312"/>
          <w:color w:val="000000"/>
          <w:sz w:val="32"/>
          <w:szCs w:val="32"/>
        </w:rPr>
        <w:t>万元。</w:t>
      </w:r>
      <w:bookmarkStart w:id="46" w:name="_Toc15396610"/>
      <w:bookmarkStart w:id="47" w:name="_Toc15377218"/>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r>
        <w:pict>
          <v:shape id="_x0000_s1032" o:spid="_x0000_s1032" o:spt="75" type="#_x0000_t75" style="position:absolute;left:0pt;margin-left:32.8pt;margin-top:-102.2pt;height:124.8pt;width:385.45pt;mso-wrap-distance-bottom:0.15pt;mso-wrap-distance-left:9pt;mso-wrap-distance-right:9pt;mso-wrap-distance-top:0pt;z-index:251663360;mso-width-relative:page;mso-height-relative:page;" o:ole="t" filled="f" o:preferrelative="t" stroked="f" coordsize="21600,21600">
            <v:path/>
            <v:fill on="f" focussize="0,0"/>
            <v:stroke on="f" joinstyle="miter"/>
            <v:imagedata r:id="rId19" o:title=""/>
            <o:lock v:ext="edit" aspectratio="t"/>
            <w10:wrap type="square"/>
          </v:shape>
          <o:OLEObject Type="Embed" ProgID="Excel.Chart.8" ShapeID="_x0000_s1032" DrawAspect="Content" ObjectID="_1468075731" r:id="rId18">
            <o:LockedField>false</o:LockedField>
          </o:OLEObject>
        </w:pict>
      </w:r>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p>
    <w:p>
      <w:pPr>
        <w:spacing w:line="576" w:lineRule="exact"/>
        <w:ind w:firstLine="640"/>
        <w:rPr>
          <w:rFonts w:ascii="仿宋_GB2312" w:eastAsia="仿宋_GB2312"/>
          <w:color w:val="000000"/>
          <w:sz w:val="32"/>
          <w:szCs w:val="32"/>
        </w:rPr>
      </w:pPr>
      <w:r>
        <w:rPr>
          <w:rFonts w:hint="eastAsia" w:ascii="黑体" w:eastAsia="黑体"/>
          <w:color w:val="000000"/>
          <w:sz w:val="32"/>
          <w:szCs w:val="32"/>
        </w:rPr>
        <w:t>八、</w:t>
      </w:r>
      <w:r>
        <w:rPr>
          <w:rStyle w:val="17"/>
          <w:rFonts w:hint="eastAsia" w:ascii="黑体" w:hAnsi="黑体" w:eastAsia="黑体"/>
          <w:b w:val="0"/>
          <w:bCs w:val="0"/>
        </w:rPr>
        <w:t>政府性基金预算支出决算情况说明</w:t>
      </w:r>
      <w:bookmarkEnd w:id="46"/>
      <w:bookmarkEnd w:id="47"/>
    </w:p>
    <w:tbl>
      <w:tblPr>
        <w:tblStyle w:val="12"/>
        <w:tblpPr w:leftFromText="180" w:rightFromText="180" w:vertAnchor="text" w:horzAnchor="margin" w:tblpXSpec="center" w:tblpY="-2518"/>
        <w:tblOverlap w:val="never"/>
        <w:tblW w:w="9960" w:type="dxa"/>
        <w:tblInd w:w="0" w:type="dxa"/>
        <w:tblLayout w:type="fixed"/>
        <w:tblCellMar>
          <w:top w:w="0" w:type="dxa"/>
          <w:left w:w="0" w:type="dxa"/>
          <w:bottom w:w="0" w:type="dxa"/>
          <w:right w:w="0" w:type="dxa"/>
        </w:tblCellMar>
      </w:tblPr>
      <w:tblGrid>
        <w:gridCol w:w="9960"/>
      </w:tblGrid>
      <w:tr>
        <w:tblPrEx>
          <w:tblCellMar>
            <w:top w:w="0" w:type="dxa"/>
            <w:left w:w="0" w:type="dxa"/>
            <w:bottom w:w="0" w:type="dxa"/>
            <w:right w:w="0" w:type="dxa"/>
          </w:tblCellMar>
        </w:tblPrEx>
        <w:trPr>
          <w:trHeight w:val="1034" w:hRule="atLeast"/>
        </w:trPr>
        <w:tc>
          <w:tcPr>
            <w:tcW w:w="9960" w:type="dxa"/>
            <w:tcMar>
              <w:top w:w="15" w:type="dxa"/>
              <w:left w:w="15" w:type="dxa"/>
              <w:bottom w:w="0" w:type="dxa"/>
              <w:right w:w="15" w:type="dxa"/>
            </w:tcMar>
            <w:vAlign w:val="center"/>
          </w:tcPr>
          <w:p>
            <w:pPr>
              <w:widowControl/>
              <w:textAlignment w:val="center"/>
              <w:rPr>
                <w:rFonts w:ascii="宋体" w:cs="宋体"/>
                <w:color w:val="000000"/>
                <w:sz w:val="36"/>
                <w:szCs w:val="36"/>
              </w:rPr>
            </w:pPr>
          </w:p>
        </w:tc>
      </w:tr>
    </w:tbl>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茂县工业园区管理委员会</w:t>
      </w:r>
      <w:r>
        <w:rPr>
          <w:rFonts w:ascii="仿宋_GB2312" w:eastAsia="仿宋_GB2312"/>
          <w:color w:val="000000"/>
          <w:sz w:val="32"/>
          <w:szCs w:val="32"/>
        </w:rPr>
        <w:t>2018</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8" w:name="_Toc15377219"/>
      <w:bookmarkStart w:id="49" w:name="_Toc15396611"/>
    </w:p>
    <w:p>
      <w:pPr>
        <w:spacing w:line="576" w:lineRule="exact"/>
        <w:ind w:firstLine="640" w:firstLineChars="200"/>
        <w:rPr>
          <w:rStyle w:val="17"/>
          <w:rFonts w:ascii="仿宋_GB2312" w:hAnsi="Times New Roman" w:eastAsia="仿宋_GB2312"/>
          <w:b w:val="0"/>
          <w:bCs w:val="0"/>
          <w:color w:val="000000"/>
        </w:rPr>
      </w:pPr>
      <w:r>
        <w:rPr>
          <w:rStyle w:val="17"/>
          <w:rFonts w:hint="eastAsia" w:ascii="黑体" w:hAnsi="黑体" w:eastAsia="黑体"/>
          <w:b w:val="0"/>
        </w:rPr>
        <w:t>九、国有资本经营预算支出决算情况说明</w:t>
      </w:r>
      <w:bookmarkEnd w:id="48"/>
      <w:bookmarkEnd w:id="49"/>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茂县工业园区管理委员会</w:t>
      </w: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rPr>
          <w:rStyle w:val="17"/>
          <w:rFonts w:ascii="黑体" w:hAnsi="黑体" w:eastAsia="黑体"/>
          <w:b w:val="0"/>
        </w:rPr>
      </w:pPr>
      <w:r>
        <w:rPr>
          <w:rStyle w:val="17"/>
          <w:rFonts w:hint="eastAsia" w:ascii="黑体" w:hAnsi="黑体" w:eastAsia="黑体"/>
          <w:b w:val="0"/>
        </w:rPr>
        <w:t>十、预算绩效情况说</w:t>
      </w:r>
    </w:p>
    <w:p>
      <w:pPr>
        <w:spacing w:line="576" w:lineRule="exact"/>
        <w:ind w:firstLine="640"/>
        <w:rPr>
          <w:rFonts w:ascii="黑体" w:hAnsi="黑体" w:eastAsia="黑体"/>
          <w:bCs/>
          <w:sz w:val="32"/>
          <w:szCs w:val="32"/>
        </w:rPr>
      </w:pPr>
      <w:r>
        <w:rPr>
          <w:rFonts w:hint="eastAsia" w:ascii="楷体_GB2312" w:hAnsi="仿宋" w:eastAsia="楷体_GB2312" w:cs="楷体_GB2312"/>
          <w:sz w:val="32"/>
          <w:szCs w:val="32"/>
        </w:rPr>
        <w:t>（一）预算绩效管理工作开展情况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根据预算绩效管理要求，本部门无项目绩效目标。</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茂县工业园区管理委员会部门整体支出绩效评价自查自评结果良好，全年基本支出保证了部门的正常运行和日常工作的正常开展，绩效目标得到了较好的实现，绩效管理水平不断提高，绩效指标体系逐渐丰富和完善。</w:t>
      </w:r>
    </w:p>
    <w:p>
      <w:pPr>
        <w:spacing w:line="576" w:lineRule="exact"/>
        <w:ind w:firstLine="480" w:firstLineChars="150"/>
        <w:rPr>
          <w:rFonts w:ascii="仿宋_GB2312" w:hAnsi="仿宋_GB2312" w:eastAsia="仿宋_GB2312" w:cs="仿宋_GB2312"/>
          <w:sz w:val="32"/>
          <w:szCs w:val="32"/>
        </w:rPr>
      </w:pPr>
      <w:r>
        <w:rPr>
          <w:rFonts w:hint="eastAsia" w:ascii="楷体_GB2312" w:hAnsi="仿宋" w:eastAsia="楷体_GB2312" w:cs="楷体_GB2312"/>
          <w:sz w:val="32"/>
          <w:szCs w:val="32"/>
        </w:rPr>
        <w:t>（二）项目绩效目标完成情况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年度部门决算中不涉及项目绩效目标考评。</w:t>
      </w:r>
    </w:p>
    <w:p>
      <w:pPr>
        <w:spacing w:line="576" w:lineRule="exact"/>
        <w:ind w:firstLine="480" w:firstLineChars="150"/>
        <w:outlineLvl w:val="1"/>
        <w:rPr>
          <w:rFonts w:ascii="仿宋" w:hAnsi="仿宋" w:eastAsia="仿宋" w:cs="仿宋_GB2312"/>
          <w:sz w:val="32"/>
          <w:szCs w:val="32"/>
        </w:rPr>
      </w:pPr>
      <w:r>
        <w:rPr>
          <w:rFonts w:hint="eastAsia" w:ascii="楷体_GB2312" w:hAnsi="仿宋" w:eastAsia="楷体_GB2312" w:cs="楷体_GB2312"/>
          <w:sz w:val="32"/>
          <w:szCs w:val="32"/>
        </w:rPr>
        <w:t>（三）部门开展绩效评价结果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年部门整体支出绩效评价情况开展自评，《茂县工业园区管理委员会</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576" w:lineRule="exact"/>
        <w:ind w:firstLine="800" w:firstLineChars="250"/>
        <w:outlineLvl w:val="1"/>
        <w:rPr>
          <w:rStyle w:val="1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17"/>
          <w:rFonts w:hint="eastAsia" w:ascii="黑体" w:hAnsi="黑体" w:eastAsia="黑体"/>
          <w:b w:val="0"/>
          <w:bCs w:val="0"/>
        </w:rPr>
        <w:t>一、其他重要事项的情况说明</w:t>
      </w:r>
      <w:bookmarkEnd w:id="50"/>
      <w:bookmarkEnd w:id="51"/>
    </w:p>
    <w:p>
      <w:pPr>
        <w:spacing w:line="576" w:lineRule="exact"/>
        <w:ind w:firstLine="640" w:firstLineChars="200"/>
        <w:outlineLvl w:val="2"/>
        <w:rPr>
          <w:rFonts w:ascii="楷体_GB2312" w:hAnsi="仿宋" w:eastAsia="楷体_GB2312"/>
          <w:bCs/>
          <w:color w:val="000000"/>
          <w:sz w:val="32"/>
          <w:szCs w:val="32"/>
        </w:rPr>
      </w:pPr>
      <w:bookmarkStart w:id="52" w:name="_Toc15377222"/>
      <w:r>
        <w:rPr>
          <w:rFonts w:hint="eastAsia" w:ascii="楷体_GB2312" w:hAnsi="仿宋" w:eastAsia="楷体_GB2312"/>
          <w:bCs/>
          <w:color w:val="000000"/>
          <w:sz w:val="32"/>
          <w:szCs w:val="32"/>
        </w:rPr>
        <w:t>（一）机关运行经费支出情况</w:t>
      </w:r>
      <w:bookmarkEnd w:id="52"/>
    </w:p>
    <w:p>
      <w:pPr>
        <w:spacing w:line="576" w:lineRule="exact"/>
        <w:ind w:firstLine="800" w:firstLineChars="25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年，茂县工业园区管理委员会机关运行经费支出</w:t>
      </w:r>
      <w:r>
        <w:rPr>
          <w:rFonts w:ascii="仿宋_GB2312" w:eastAsia="仿宋_GB2312"/>
          <w:color w:val="000000"/>
          <w:sz w:val="32"/>
          <w:szCs w:val="32"/>
        </w:rPr>
        <w:t>8.53</w:t>
      </w:r>
      <w:r>
        <w:rPr>
          <w:rFonts w:hint="eastAsia" w:ascii="仿宋_GB2312" w:eastAsia="仿宋_GB2312"/>
          <w:color w:val="000000"/>
          <w:sz w:val="32"/>
          <w:szCs w:val="32"/>
        </w:rPr>
        <w:t>万元，比</w:t>
      </w:r>
      <w:r>
        <w:rPr>
          <w:rFonts w:ascii="仿宋_GB2312" w:eastAsia="仿宋_GB2312"/>
          <w:color w:val="000000"/>
          <w:sz w:val="32"/>
          <w:szCs w:val="32"/>
        </w:rPr>
        <w:t>2017</w:t>
      </w:r>
      <w:r>
        <w:rPr>
          <w:rFonts w:hint="eastAsia" w:ascii="仿宋_GB2312" w:eastAsia="仿宋_GB2312"/>
          <w:color w:val="000000"/>
          <w:sz w:val="32"/>
          <w:szCs w:val="32"/>
        </w:rPr>
        <w:t>年减少</w:t>
      </w:r>
      <w:r>
        <w:rPr>
          <w:rFonts w:ascii="仿宋_GB2312" w:eastAsia="仿宋_GB2312"/>
          <w:color w:val="000000"/>
          <w:sz w:val="32"/>
          <w:szCs w:val="32"/>
        </w:rPr>
        <w:t>1.27</w:t>
      </w:r>
      <w:r>
        <w:rPr>
          <w:rFonts w:hint="eastAsia" w:ascii="仿宋_GB2312" w:eastAsia="仿宋_GB2312"/>
          <w:color w:val="000000"/>
          <w:sz w:val="32"/>
          <w:szCs w:val="32"/>
        </w:rPr>
        <w:t>万元，下降</w:t>
      </w:r>
      <w:r>
        <w:rPr>
          <w:rFonts w:ascii="仿宋_GB2312" w:eastAsia="仿宋_GB2312"/>
          <w:color w:val="000000"/>
          <w:sz w:val="32"/>
          <w:szCs w:val="32"/>
        </w:rPr>
        <w:t>12.96%</w:t>
      </w:r>
      <w:r>
        <w:rPr>
          <w:rFonts w:hint="eastAsia" w:ascii="仿宋_GB2312" w:eastAsia="仿宋_GB2312"/>
          <w:color w:val="000000"/>
          <w:sz w:val="32"/>
          <w:szCs w:val="32"/>
        </w:rPr>
        <w:t>。主要原因是</w:t>
      </w:r>
      <w:r>
        <w:rPr>
          <w:rFonts w:ascii="仿宋_GB2312" w:eastAsia="仿宋_GB2312"/>
          <w:color w:val="000000"/>
          <w:sz w:val="32"/>
          <w:szCs w:val="32"/>
        </w:rPr>
        <w:t>2018</w:t>
      </w:r>
      <w:r>
        <w:rPr>
          <w:rFonts w:hint="eastAsia" w:ascii="仿宋_GB2312" w:eastAsia="仿宋_GB2312"/>
          <w:color w:val="000000"/>
          <w:sz w:val="32"/>
          <w:szCs w:val="32"/>
        </w:rPr>
        <w:t>年调走</w:t>
      </w:r>
      <w:r>
        <w:rPr>
          <w:rFonts w:ascii="仿宋_GB2312" w:eastAsia="仿宋_GB2312"/>
          <w:color w:val="000000"/>
          <w:sz w:val="32"/>
          <w:szCs w:val="32"/>
        </w:rPr>
        <w:t>1</w:t>
      </w:r>
      <w:r>
        <w:rPr>
          <w:rFonts w:hint="eastAsia" w:ascii="仿宋_GB2312" w:eastAsia="仿宋_GB2312"/>
          <w:color w:val="000000"/>
          <w:sz w:val="32"/>
          <w:szCs w:val="32"/>
        </w:rPr>
        <w:t>人。</w:t>
      </w:r>
    </w:p>
    <w:p>
      <w:pPr>
        <w:spacing w:line="576" w:lineRule="exact"/>
        <w:ind w:firstLine="640" w:firstLineChars="200"/>
        <w:outlineLvl w:val="1"/>
        <w:rPr>
          <w:rFonts w:ascii="仿宋" w:hAnsi="仿宋" w:eastAsia="仿宋"/>
          <w:b/>
          <w:color w:val="000000"/>
          <w:sz w:val="32"/>
          <w:szCs w:val="32"/>
        </w:rPr>
      </w:pPr>
      <w:bookmarkStart w:id="53" w:name="_Toc15377223"/>
      <w:r>
        <w:rPr>
          <w:rFonts w:hint="eastAsia" w:ascii="楷体_GB2312" w:hAnsi="仿宋" w:eastAsia="楷体_GB2312"/>
          <w:bCs/>
          <w:color w:val="000000"/>
          <w:sz w:val="32"/>
          <w:szCs w:val="32"/>
        </w:rPr>
        <w:t>（二）政府采购支出情况</w:t>
      </w:r>
      <w:bookmarkEnd w:id="53"/>
    </w:p>
    <w:p>
      <w:pPr>
        <w:spacing w:line="576" w:lineRule="exact"/>
        <w:ind w:firstLine="800" w:firstLineChars="25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年，茂县工业园区管理委员会政府采购支出总额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w:t>
      </w:r>
      <w:bookmarkStart w:id="54" w:name="_Toc15377224"/>
    </w:p>
    <w:p>
      <w:pPr>
        <w:spacing w:line="576" w:lineRule="exact"/>
        <w:ind w:firstLine="480" w:firstLineChars="150"/>
        <w:rPr>
          <w:rFonts w:ascii="仿宋_GB2312" w:eastAsia="仿宋_GB2312"/>
          <w:color w:val="000000"/>
          <w:sz w:val="32"/>
          <w:szCs w:val="32"/>
        </w:rPr>
      </w:pPr>
      <w:r>
        <w:rPr>
          <w:rFonts w:hint="eastAsia" w:ascii="楷体_GB2312" w:hAnsi="仿宋" w:eastAsia="楷体_GB2312"/>
          <w:bCs/>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2</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2</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numPr>
          <w:ilvl w:val="0"/>
          <w:numId w:val="2"/>
        </w:numPr>
        <w:spacing w:line="600" w:lineRule="exact"/>
        <w:jc w:val="center"/>
        <w:outlineLvl w:val="0"/>
        <w:rPr>
          <w:rStyle w:val="16"/>
          <w:rFonts w:ascii="方正小标宋简体" w:hAnsi="方正小标宋简体" w:eastAsia="方正小标宋简体" w:cs="方正小标宋简体"/>
          <w:b w:val="0"/>
        </w:rPr>
      </w:pPr>
      <w:bookmarkStart w:id="55" w:name="_Toc15396613"/>
      <w:bookmarkStart w:id="56" w:name="_Toc15377225"/>
      <w:r>
        <w:rPr>
          <w:rFonts w:hint="eastAsia" w:ascii="方正小标宋简体" w:hAnsi="方正小标宋简体" w:eastAsia="方正小标宋简体" w:cs="方正小标宋简体"/>
          <w:bCs/>
          <w:color w:val="000000"/>
          <w:sz w:val="44"/>
          <w:szCs w:val="44"/>
        </w:rPr>
        <w:t>名</w:t>
      </w:r>
      <w:r>
        <w:rPr>
          <w:rStyle w:val="16"/>
          <w:rFonts w:hint="eastAsia" w:ascii="方正小标宋简体" w:hAnsi="方正小标宋简体" w:eastAsia="方正小标宋简体" w:cs="方正小标宋简体"/>
          <w:b w:val="0"/>
        </w:rPr>
        <w:t>词解释</w:t>
      </w:r>
      <w:bookmarkEnd w:id="55"/>
      <w:bookmarkEnd w:id="56"/>
    </w:p>
    <w:p>
      <w:pPr>
        <w:spacing w:line="600" w:lineRule="exact"/>
        <w:jc w:val="center"/>
        <w:outlineLvl w:val="0"/>
        <w:rPr>
          <w:rStyle w:val="16"/>
          <w:rFonts w:ascii="方正小标宋简体" w:hAnsi="方正小标宋简体" w:eastAsia="方正小标宋简体" w:cs="方正小标宋简体"/>
          <w:b w:val="0"/>
        </w:rPr>
      </w:pPr>
    </w:p>
    <w:p>
      <w:pPr>
        <w:pStyle w:val="26"/>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bookmarkStart w:id="57" w:name="_Toc15396614"/>
      <w:bookmarkStart w:id="58" w:name="_Toc15377226"/>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Style w:val="16"/>
          <w:rFonts w:ascii="宋体"/>
          <w:b w:val="0"/>
        </w:rPr>
      </w:pPr>
      <w:r>
        <w:rPr>
          <w:rFonts w:hint="eastAsia" w:ascii="方正小标宋简体" w:hAnsi="方正小标宋简体" w:eastAsia="方正小标宋简体" w:cs="方正小标宋简体"/>
          <w:bCs/>
          <w:color w:val="000000"/>
          <w:sz w:val="44"/>
          <w:szCs w:val="44"/>
        </w:rPr>
        <w:t>第四部分</w:t>
      </w:r>
      <w:r>
        <w:rPr>
          <w:rStyle w:val="16"/>
          <w:rFonts w:hint="eastAsia" w:ascii="方正小标宋简体" w:hAnsi="方正小标宋简体" w:eastAsia="方正小标宋简体" w:cs="方正小标宋简体"/>
          <w:b w:val="0"/>
        </w:rPr>
        <w:t>附件</w:t>
      </w:r>
      <w:bookmarkEnd w:id="57"/>
    </w:p>
    <w:p>
      <w:pPr>
        <w:spacing w:line="576" w:lineRule="exact"/>
        <w:ind w:left="315" w:leftChars="150"/>
        <w:outlineLvl w:val="0"/>
        <w:rPr>
          <w:rStyle w:val="16"/>
          <w:rFonts w:ascii="方正小标宋简体" w:hAnsi="方正小标宋简体" w:eastAsia="方正小标宋简体" w:cs="方正小标宋简体"/>
          <w:b w:val="0"/>
        </w:rPr>
      </w:pPr>
    </w:p>
    <w:p>
      <w:pPr>
        <w:spacing w:line="576" w:lineRule="exact"/>
        <w:jc w:val="center"/>
        <w:outlineLvl w:val="0"/>
        <w:rPr>
          <w:rFonts w:ascii="方正小标宋简体" w:hAnsi="方正小标宋简体" w:eastAsia="方正小标宋简体" w:cs="方正小标宋简体"/>
          <w:bCs/>
          <w:sz w:val="44"/>
          <w:szCs w:val="44"/>
        </w:rPr>
      </w:pPr>
      <w:bookmarkStart w:id="59" w:name="_Toc15396616"/>
      <w:r>
        <w:rPr>
          <w:rFonts w:hint="eastAsia" w:ascii="方正小标宋简体" w:hAnsi="方正小标宋简体" w:eastAsia="方正小标宋简体" w:cs="方正小标宋简体"/>
          <w:bCs/>
          <w:sz w:val="44"/>
          <w:szCs w:val="44"/>
        </w:rPr>
        <w:t>茂县工业园区管理委员会</w:t>
      </w:r>
    </w:p>
    <w:p>
      <w:pPr>
        <w:spacing w:line="576" w:lineRule="exact"/>
        <w:jc w:val="center"/>
        <w:outlineLvl w:val="0"/>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2018</w:t>
      </w:r>
      <w:r>
        <w:rPr>
          <w:rFonts w:hint="eastAsia" w:ascii="方正小标宋简体" w:hAnsi="方正小标宋简体" w:eastAsia="方正小标宋简体" w:cs="方正小标宋简体"/>
          <w:bCs/>
          <w:sz w:val="44"/>
          <w:szCs w:val="44"/>
        </w:rPr>
        <w:t>年部门整体支出绩效评价报告</w:t>
      </w:r>
      <w:bookmarkEnd w:id="59"/>
    </w:p>
    <w:p>
      <w:pPr>
        <w:spacing w:line="576"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一、部门概况</w:t>
      </w:r>
    </w:p>
    <w:p>
      <w:pPr>
        <w:spacing w:line="576" w:lineRule="exact"/>
        <w:ind w:firstLine="480" w:firstLineChars="150"/>
        <w:jc w:val="left"/>
        <w:outlineLvl w:val="0"/>
        <w:rPr>
          <w:rFonts w:ascii="楷体_GB2312" w:hAnsi="仿宋" w:eastAsia="楷体_GB2312" w:cs="仿宋_GB2312"/>
          <w:sz w:val="32"/>
          <w:szCs w:val="32"/>
        </w:rPr>
      </w:pPr>
      <w:r>
        <w:rPr>
          <w:rFonts w:hint="eastAsia" w:ascii="楷体_GB2312" w:hAnsi="仿宋" w:eastAsia="楷体_GB2312" w:cs="仿宋_GB2312"/>
          <w:sz w:val="32"/>
          <w:szCs w:val="32"/>
        </w:rPr>
        <w:t>（一）机构组成</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仿宋" w:eastAsia="仿宋_GB2312"/>
          <w:sz w:val="32"/>
          <w:szCs w:val="32"/>
        </w:rPr>
        <w:t>茂县工业园区管理委员会属于正科级一级预算事业单位，内设</w:t>
      </w:r>
      <w:r>
        <w:rPr>
          <w:rFonts w:ascii="仿宋_GB2312" w:hAnsi="仿宋" w:eastAsia="仿宋_GB2312"/>
          <w:sz w:val="32"/>
          <w:szCs w:val="32"/>
        </w:rPr>
        <w:t>5</w:t>
      </w:r>
      <w:r>
        <w:rPr>
          <w:rFonts w:hint="eastAsia" w:ascii="仿宋_GB2312" w:hAnsi="仿宋" w:eastAsia="仿宋_GB2312"/>
          <w:sz w:val="32"/>
          <w:szCs w:val="32"/>
        </w:rPr>
        <w:t>个职能股室：办公室、企业管理股、基础设施管理股、项目招商股、规划建设股。</w:t>
      </w:r>
    </w:p>
    <w:p>
      <w:pPr>
        <w:spacing w:line="576" w:lineRule="exact"/>
        <w:ind w:firstLine="480" w:firstLineChars="150"/>
        <w:rPr>
          <w:rFonts w:ascii="楷体_GB2312" w:hAnsi="仿宋" w:eastAsia="楷体_GB2312" w:cs="仿宋_GB2312"/>
          <w:sz w:val="32"/>
          <w:szCs w:val="32"/>
        </w:rPr>
      </w:pPr>
      <w:r>
        <w:rPr>
          <w:rFonts w:hint="eastAsia" w:ascii="楷体_GB2312" w:hAnsi="仿宋" w:eastAsia="楷体_GB2312" w:cs="仿宋_GB2312"/>
          <w:sz w:val="32"/>
          <w:szCs w:val="32"/>
        </w:rPr>
        <w:t>（二）机构职能</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根据茂编发【</w:t>
      </w:r>
      <w:r>
        <w:rPr>
          <w:rFonts w:ascii="仿宋_GB2312" w:hAnsi="宋体" w:eastAsia="仿宋_GB2312" w:cs="宋体"/>
          <w:kern w:val="0"/>
          <w:sz w:val="32"/>
          <w:szCs w:val="32"/>
        </w:rPr>
        <w:t>2011</w:t>
      </w:r>
      <w:r>
        <w:rPr>
          <w:rFonts w:hint="eastAsia" w:ascii="仿宋_GB2312" w:hAnsi="宋体" w:eastAsia="仿宋_GB2312" w:cs="宋体"/>
          <w:kern w:val="0"/>
          <w:sz w:val="32"/>
          <w:szCs w:val="32"/>
        </w:rPr>
        <w:t>】</w:t>
      </w:r>
      <w:r>
        <w:rPr>
          <w:rFonts w:ascii="仿宋_GB2312" w:hAnsi="宋体" w:eastAsia="仿宋_GB2312" w:cs="宋体"/>
          <w:kern w:val="0"/>
          <w:sz w:val="32"/>
          <w:szCs w:val="32"/>
        </w:rPr>
        <w:t>32</w:t>
      </w:r>
      <w:r>
        <w:rPr>
          <w:rFonts w:hint="eastAsia" w:ascii="仿宋_GB2312" w:hAnsi="宋体" w:eastAsia="仿宋_GB2312" w:cs="宋体"/>
          <w:kern w:val="0"/>
          <w:sz w:val="32"/>
          <w:szCs w:val="32"/>
        </w:rPr>
        <w:t>号文件规定，主要职责是：根据全县的总体规划，负责制定工业园区发展的中长期规划；负责招商引资的协调服务；积极组织项目投资洽谈活动。</w:t>
      </w:r>
    </w:p>
    <w:p>
      <w:pPr>
        <w:widowControl/>
        <w:spacing w:line="576" w:lineRule="exact"/>
        <w:ind w:firstLine="640" w:firstLineChars="200"/>
        <w:jc w:val="left"/>
        <w:rPr>
          <w:rFonts w:ascii="楷体_GB2312" w:hAnsi="仿宋" w:eastAsia="楷体_GB2312" w:cs="仿宋_GB2312"/>
          <w:sz w:val="32"/>
          <w:szCs w:val="32"/>
        </w:rPr>
      </w:pPr>
      <w:r>
        <w:rPr>
          <w:rFonts w:hint="eastAsia" w:ascii="楷体_GB2312" w:hAnsi="仿宋" w:eastAsia="楷体_GB2312" w:cs="仿宋_GB2312"/>
          <w:sz w:val="32"/>
          <w:szCs w:val="32"/>
        </w:rPr>
        <w:t>（三）人员概况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茂县工业园区管理委员会为事业单位，现有行政编制</w:t>
      </w:r>
      <w:r>
        <w:rPr>
          <w:rFonts w:ascii="仿宋_GB2312" w:eastAsia="仿宋_GB2312"/>
          <w:sz w:val="32"/>
          <w:szCs w:val="32"/>
        </w:rPr>
        <w:t>10</w:t>
      </w:r>
      <w:r>
        <w:rPr>
          <w:rFonts w:hint="eastAsia" w:ascii="仿宋_GB2312" w:eastAsia="仿宋_GB2312"/>
          <w:sz w:val="32"/>
          <w:szCs w:val="32"/>
        </w:rPr>
        <w:t>人，</w:t>
      </w:r>
      <w:r>
        <w:rPr>
          <w:rFonts w:ascii="仿宋_GB2312" w:eastAsia="仿宋_GB2312"/>
          <w:sz w:val="32"/>
          <w:szCs w:val="32"/>
        </w:rPr>
        <w:t>2018</w:t>
      </w:r>
      <w:r>
        <w:rPr>
          <w:rFonts w:hint="eastAsia" w:ascii="仿宋_GB2312" w:eastAsia="仿宋_GB2312"/>
          <w:sz w:val="32"/>
          <w:szCs w:val="32"/>
        </w:rPr>
        <w:t>年在职职工</w:t>
      </w:r>
      <w:r>
        <w:rPr>
          <w:rFonts w:ascii="仿宋_GB2312" w:eastAsia="仿宋_GB2312"/>
          <w:sz w:val="32"/>
          <w:szCs w:val="32"/>
        </w:rPr>
        <w:t>10</w:t>
      </w:r>
      <w:r>
        <w:rPr>
          <w:rFonts w:hint="eastAsia" w:ascii="仿宋_GB2312" w:eastAsia="仿宋_GB2312"/>
          <w:sz w:val="32"/>
          <w:szCs w:val="32"/>
        </w:rPr>
        <w:t>人，其中：专业技术人员</w:t>
      </w:r>
      <w:r>
        <w:rPr>
          <w:rFonts w:ascii="仿宋_GB2312" w:eastAsia="仿宋_GB2312"/>
          <w:sz w:val="32"/>
          <w:szCs w:val="32"/>
        </w:rPr>
        <w:t>6</w:t>
      </w:r>
      <w:r>
        <w:rPr>
          <w:rFonts w:hint="eastAsia" w:ascii="仿宋_GB2312" w:eastAsia="仿宋_GB2312"/>
          <w:sz w:val="32"/>
          <w:szCs w:val="32"/>
        </w:rPr>
        <w:t>人，管理人员</w:t>
      </w:r>
      <w:r>
        <w:rPr>
          <w:rFonts w:ascii="仿宋_GB2312" w:eastAsia="仿宋_GB2312"/>
          <w:sz w:val="32"/>
          <w:szCs w:val="32"/>
        </w:rPr>
        <w:t>4</w:t>
      </w:r>
      <w:r>
        <w:rPr>
          <w:rFonts w:hint="eastAsia" w:ascii="仿宋_GB2312" w:eastAsia="仿宋_GB2312"/>
          <w:sz w:val="32"/>
          <w:szCs w:val="32"/>
        </w:rPr>
        <w:t>人。</w:t>
      </w:r>
    </w:p>
    <w:p>
      <w:pPr>
        <w:spacing w:line="576" w:lineRule="exact"/>
        <w:ind w:firstLine="800" w:firstLineChars="250"/>
        <w:rPr>
          <w:rFonts w:ascii="仿宋_GB2312" w:eastAsia="仿宋_GB2312"/>
          <w:sz w:val="32"/>
          <w:szCs w:val="32"/>
        </w:rPr>
      </w:pPr>
      <w:r>
        <w:rPr>
          <w:rFonts w:hint="eastAsia" w:ascii="黑体" w:hAnsi="黑体" w:eastAsia="黑体" w:cs="黑体"/>
          <w:sz w:val="32"/>
          <w:szCs w:val="32"/>
        </w:rPr>
        <w:t>二、部门财政资金收支情况</w:t>
      </w:r>
    </w:p>
    <w:p>
      <w:pPr>
        <w:spacing w:line="576" w:lineRule="exact"/>
        <w:ind w:firstLine="640" w:firstLineChars="200"/>
        <w:rPr>
          <w:rFonts w:ascii="楷体_GB2312" w:hAnsi="仿宋" w:eastAsia="楷体_GB2312" w:cs="仿宋_GB2312"/>
          <w:sz w:val="32"/>
          <w:szCs w:val="32"/>
        </w:rPr>
      </w:pPr>
      <w:r>
        <w:rPr>
          <w:rFonts w:hint="eastAsia" w:ascii="楷体_GB2312" w:hAnsi="仿宋" w:eastAsia="楷体_GB2312" w:cs="仿宋_GB2312"/>
          <w:sz w:val="32"/>
          <w:szCs w:val="32"/>
        </w:rPr>
        <w:t>（一）部门财政资金收入情况</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2018</w:t>
      </w:r>
      <w:r>
        <w:rPr>
          <w:rFonts w:hint="eastAsia" w:ascii="仿宋_GB2312" w:hAnsi="宋体" w:eastAsia="仿宋_GB2312" w:cs="宋体"/>
          <w:color w:val="000000"/>
          <w:kern w:val="0"/>
          <w:sz w:val="32"/>
          <w:szCs w:val="32"/>
          <w:shd w:val="clear" w:color="auto" w:fill="FFFFFF"/>
          <w:lang w:val="zh-CN"/>
        </w:rPr>
        <w:t>年茂县工业园区管理委员会财政资金拨款总收入：</w:t>
      </w:r>
      <w:r>
        <w:rPr>
          <w:rFonts w:ascii="仿宋_GB2312" w:hAnsi="宋体" w:eastAsia="仿宋_GB2312" w:cs="宋体"/>
          <w:color w:val="000000"/>
          <w:kern w:val="0"/>
          <w:sz w:val="32"/>
          <w:szCs w:val="32"/>
          <w:shd w:val="clear" w:color="auto" w:fill="FFFFFF"/>
          <w:lang w:val="zh-CN"/>
        </w:rPr>
        <w:t>138.65</w:t>
      </w:r>
      <w:r>
        <w:rPr>
          <w:rFonts w:hint="eastAsia" w:ascii="仿宋_GB2312" w:hAnsi="宋体" w:eastAsia="仿宋_GB2312" w:cs="宋体"/>
          <w:color w:val="000000"/>
          <w:kern w:val="0"/>
          <w:sz w:val="32"/>
          <w:szCs w:val="32"/>
          <w:shd w:val="clear" w:color="auto" w:fill="FFFFFF"/>
          <w:lang w:val="zh-CN"/>
        </w:rPr>
        <w:t>万元，其中财政拨款收入为：</w:t>
      </w:r>
      <w:r>
        <w:rPr>
          <w:rFonts w:ascii="仿宋_GB2312" w:hAnsi="宋体" w:eastAsia="仿宋_GB2312" w:cs="宋体"/>
          <w:color w:val="000000"/>
          <w:kern w:val="0"/>
          <w:sz w:val="32"/>
          <w:szCs w:val="32"/>
          <w:shd w:val="clear" w:color="auto" w:fill="FFFFFF"/>
          <w:lang w:val="zh-CN"/>
        </w:rPr>
        <w:t>138.65</w:t>
      </w:r>
      <w:r>
        <w:rPr>
          <w:rFonts w:hint="eastAsia" w:ascii="仿宋_GB2312" w:hAnsi="宋体" w:eastAsia="仿宋_GB2312" w:cs="宋体"/>
          <w:color w:val="000000"/>
          <w:kern w:val="0"/>
          <w:sz w:val="32"/>
          <w:szCs w:val="32"/>
          <w:shd w:val="clear" w:color="auto" w:fill="FFFFFF"/>
          <w:lang w:val="zh-CN"/>
        </w:rPr>
        <w:t>万元，年初财政结转</w:t>
      </w:r>
      <w:r>
        <w:rPr>
          <w:rFonts w:ascii="仿宋_GB2312" w:hAnsi="宋体" w:eastAsia="仿宋_GB2312" w:cs="宋体"/>
          <w:color w:val="000000"/>
          <w:kern w:val="0"/>
          <w:sz w:val="32"/>
          <w:szCs w:val="32"/>
          <w:shd w:val="clear" w:color="auto" w:fill="FFFFFF"/>
          <w:lang w:val="zh-CN"/>
        </w:rPr>
        <w:t>0</w:t>
      </w:r>
      <w:r>
        <w:rPr>
          <w:rFonts w:hint="eastAsia" w:ascii="仿宋_GB2312" w:hAnsi="宋体" w:eastAsia="仿宋_GB2312" w:cs="宋体"/>
          <w:color w:val="000000"/>
          <w:kern w:val="0"/>
          <w:sz w:val="32"/>
          <w:szCs w:val="32"/>
          <w:shd w:val="clear" w:color="auto" w:fill="FFFFFF"/>
          <w:lang w:val="zh-CN"/>
        </w:rPr>
        <w:t>万元。无其他收入。</w:t>
      </w:r>
    </w:p>
    <w:p>
      <w:pPr>
        <w:spacing w:line="576" w:lineRule="exact"/>
        <w:ind w:firstLine="640" w:firstLineChars="200"/>
        <w:rPr>
          <w:rFonts w:ascii="楷体_GB2312" w:hAnsi="仿宋" w:eastAsia="楷体_GB2312" w:cs="仿宋_GB2312"/>
          <w:sz w:val="32"/>
          <w:szCs w:val="32"/>
        </w:rPr>
      </w:pPr>
      <w:r>
        <w:rPr>
          <w:rFonts w:hint="eastAsia" w:ascii="楷体_GB2312" w:hAnsi="仿宋" w:eastAsia="楷体_GB2312" w:cs="仿宋_GB2312"/>
          <w:sz w:val="32"/>
          <w:szCs w:val="32"/>
        </w:rPr>
        <w:t>（二）部门财政资金支出情况</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2018</w:t>
      </w:r>
      <w:r>
        <w:rPr>
          <w:rFonts w:hint="eastAsia" w:ascii="仿宋_GB2312" w:hAnsi="宋体" w:eastAsia="仿宋_GB2312" w:cs="宋体"/>
          <w:color w:val="000000"/>
          <w:kern w:val="0"/>
          <w:sz w:val="32"/>
          <w:szCs w:val="32"/>
          <w:shd w:val="clear" w:color="auto" w:fill="FFFFFF"/>
          <w:lang w:val="zh-CN"/>
        </w:rPr>
        <w:t>年茂县工业园区管理委员会财政资金总支出：</w:t>
      </w:r>
      <w:r>
        <w:rPr>
          <w:rFonts w:ascii="仿宋_GB2312" w:hAnsi="宋体" w:eastAsia="仿宋_GB2312" w:cs="宋体"/>
          <w:color w:val="000000"/>
          <w:kern w:val="0"/>
          <w:sz w:val="32"/>
          <w:szCs w:val="32"/>
          <w:shd w:val="clear" w:color="auto" w:fill="FFFFFF"/>
          <w:lang w:val="zh-CN"/>
        </w:rPr>
        <w:t>138.65</w:t>
      </w:r>
      <w:r>
        <w:rPr>
          <w:rFonts w:hint="eastAsia" w:ascii="仿宋_GB2312" w:hAnsi="宋体" w:eastAsia="仿宋_GB2312" w:cs="宋体"/>
          <w:color w:val="000000"/>
          <w:kern w:val="0"/>
          <w:sz w:val="32"/>
          <w:szCs w:val="32"/>
          <w:shd w:val="clear" w:color="auto" w:fill="FFFFFF"/>
          <w:lang w:val="zh-CN"/>
        </w:rPr>
        <w:t>万元，其中工资福利支出</w:t>
      </w:r>
      <w:r>
        <w:rPr>
          <w:rFonts w:ascii="仿宋_GB2312" w:hAnsi="宋体" w:eastAsia="仿宋_GB2312" w:cs="宋体"/>
          <w:color w:val="000000"/>
          <w:kern w:val="0"/>
          <w:sz w:val="32"/>
          <w:szCs w:val="32"/>
          <w:shd w:val="clear" w:color="auto" w:fill="FFFFFF"/>
          <w:lang w:val="zh-CN"/>
        </w:rPr>
        <w:t>130.12</w:t>
      </w:r>
      <w:r>
        <w:rPr>
          <w:rFonts w:hint="eastAsia" w:ascii="仿宋_GB2312" w:hAnsi="宋体" w:eastAsia="仿宋_GB2312" w:cs="宋体"/>
          <w:color w:val="000000"/>
          <w:kern w:val="0"/>
          <w:sz w:val="32"/>
          <w:szCs w:val="32"/>
          <w:shd w:val="clear" w:color="auto" w:fill="FFFFFF"/>
          <w:lang w:val="zh-CN"/>
        </w:rPr>
        <w:t>万元，商品和服务支出</w:t>
      </w:r>
      <w:r>
        <w:rPr>
          <w:rFonts w:ascii="仿宋_GB2312" w:hAnsi="宋体" w:eastAsia="仿宋_GB2312" w:cs="宋体"/>
          <w:color w:val="000000"/>
          <w:kern w:val="0"/>
          <w:sz w:val="32"/>
          <w:szCs w:val="32"/>
          <w:shd w:val="clear" w:color="auto" w:fill="FFFFFF"/>
          <w:lang w:val="zh-CN"/>
        </w:rPr>
        <w:t>8.53</w:t>
      </w:r>
      <w:r>
        <w:rPr>
          <w:rFonts w:hint="eastAsia" w:ascii="仿宋_GB2312" w:hAnsi="宋体" w:eastAsia="仿宋_GB2312" w:cs="宋体"/>
          <w:color w:val="000000"/>
          <w:kern w:val="0"/>
          <w:sz w:val="32"/>
          <w:szCs w:val="32"/>
          <w:shd w:val="clear" w:color="auto" w:fill="FFFFFF"/>
          <w:lang w:val="zh-CN"/>
        </w:rPr>
        <w:t>万元，对个人和家庭的补助</w:t>
      </w:r>
      <w:r>
        <w:rPr>
          <w:rFonts w:ascii="仿宋_GB2312" w:hAnsi="宋体" w:eastAsia="仿宋_GB2312" w:cs="宋体"/>
          <w:color w:val="000000"/>
          <w:kern w:val="0"/>
          <w:sz w:val="32"/>
          <w:szCs w:val="32"/>
          <w:shd w:val="clear" w:color="auto" w:fill="FFFFFF"/>
          <w:lang w:val="zh-CN"/>
        </w:rPr>
        <w:t>0</w:t>
      </w:r>
      <w:r>
        <w:rPr>
          <w:rFonts w:hint="eastAsia" w:ascii="仿宋_GB2312" w:hAnsi="宋体" w:eastAsia="仿宋_GB2312" w:cs="宋体"/>
          <w:color w:val="000000"/>
          <w:kern w:val="0"/>
          <w:sz w:val="32"/>
          <w:szCs w:val="32"/>
          <w:shd w:val="clear" w:color="auto" w:fill="FFFFFF"/>
          <w:lang w:val="zh-CN"/>
        </w:rPr>
        <w:t>万元。</w:t>
      </w:r>
      <w:r>
        <w:rPr>
          <w:rFonts w:ascii="仿宋_GB2312" w:hAnsi="宋体" w:eastAsia="仿宋_GB2312" w:cs="宋体"/>
          <w:color w:val="000000"/>
          <w:kern w:val="0"/>
          <w:sz w:val="32"/>
          <w:szCs w:val="32"/>
          <w:shd w:val="clear" w:color="auto" w:fill="FFFFFF"/>
          <w:lang w:val="zh-CN"/>
        </w:rPr>
        <w:t>2018</w:t>
      </w:r>
      <w:r>
        <w:rPr>
          <w:rFonts w:hint="eastAsia" w:ascii="仿宋_GB2312" w:hAnsi="宋体" w:eastAsia="仿宋_GB2312" w:cs="宋体"/>
          <w:color w:val="000000"/>
          <w:kern w:val="0"/>
          <w:sz w:val="32"/>
          <w:szCs w:val="32"/>
          <w:shd w:val="clear" w:color="auto" w:fill="FFFFFF"/>
          <w:lang w:val="zh-CN"/>
        </w:rPr>
        <w:t>年茂县工业园区管理委员会财政资金拨款总支出：</w:t>
      </w:r>
      <w:r>
        <w:rPr>
          <w:rFonts w:ascii="仿宋_GB2312" w:hAnsi="宋体" w:eastAsia="仿宋_GB2312" w:cs="宋体"/>
          <w:color w:val="000000"/>
          <w:kern w:val="0"/>
          <w:sz w:val="32"/>
          <w:szCs w:val="32"/>
          <w:shd w:val="clear" w:color="auto" w:fill="FFFFFF"/>
          <w:lang w:val="zh-CN"/>
        </w:rPr>
        <w:t>138.65</w:t>
      </w:r>
      <w:r>
        <w:rPr>
          <w:rFonts w:hint="eastAsia" w:ascii="仿宋_GB2312" w:hAnsi="宋体" w:eastAsia="仿宋_GB2312" w:cs="宋体"/>
          <w:color w:val="000000"/>
          <w:kern w:val="0"/>
          <w:sz w:val="32"/>
          <w:szCs w:val="32"/>
          <w:shd w:val="clear" w:color="auto" w:fill="FFFFFF"/>
          <w:lang w:val="zh-CN"/>
        </w:rPr>
        <w:t>万元，其中事业运行</w:t>
      </w:r>
      <w:r>
        <w:rPr>
          <w:rFonts w:ascii="仿宋_GB2312" w:hAnsi="宋体" w:eastAsia="仿宋_GB2312" w:cs="宋体"/>
          <w:color w:val="000000"/>
          <w:kern w:val="0"/>
          <w:sz w:val="32"/>
          <w:szCs w:val="32"/>
          <w:shd w:val="clear" w:color="auto" w:fill="FFFFFF"/>
          <w:lang w:val="zh-CN"/>
        </w:rPr>
        <w:t>102.17</w:t>
      </w:r>
      <w:r>
        <w:rPr>
          <w:rFonts w:hint="eastAsia" w:ascii="仿宋_GB2312" w:hAnsi="宋体" w:eastAsia="仿宋_GB2312" w:cs="宋体"/>
          <w:color w:val="000000"/>
          <w:kern w:val="0"/>
          <w:sz w:val="32"/>
          <w:szCs w:val="32"/>
          <w:shd w:val="clear" w:color="auto" w:fill="FFFFFF"/>
          <w:lang w:val="zh-CN"/>
        </w:rPr>
        <w:t>万元，事业单位医疗：</w:t>
      </w:r>
      <w:r>
        <w:rPr>
          <w:rFonts w:ascii="仿宋_GB2312" w:hAnsi="宋体" w:eastAsia="仿宋_GB2312" w:cs="宋体"/>
          <w:color w:val="000000"/>
          <w:kern w:val="0"/>
          <w:sz w:val="32"/>
          <w:szCs w:val="32"/>
          <w:shd w:val="clear" w:color="auto" w:fill="FFFFFF"/>
          <w:lang w:val="zh-CN"/>
        </w:rPr>
        <w:t>7.18</w:t>
      </w:r>
      <w:r>
        <w:rPr>
          <w:rFonts w:hint="eastAsia" w:ascii="仿宋_GB2312" w:hAnsi="宋体" w:eastAsia="仿宋_GB2312" w:cs="宋体"/>
          <w:color w:val="000000"/>
          <w:kern w:val="0"/>
          <w:sz w:val="32"/>
          <w:szCs w:val="32"/>
          <w:shd w:val="clear" w:color="auto" w:fill="FFFFFF"/>
          <w:lang w:val="zh-CN"/>
        </w:rPr>
        <w:t>万元，机关事业单位基本养老保险缴费支出</w:t>
      </w:r>
      <w:r>
        <w:rPr>
          <w:rFonts w:ascii="仿宋_GB2312" w:hAnsi="宋体" w:eastAsia="仿宋_GB2312" w:cs="宋体"/>
          <w:color w:val="000000"/>
          <w:kern w:val="0"/>
          <w:sz w:val="32"/>
          <w:szCs w:val="32"/>
          <w:shd w:val="clear" w:color="auto" w:fill="FFFFFF"/>
          <w:lang w:val="zh-CN"/>
        </w:rPr>
        <w:t>13.63</w:t>
      </w:r>
      <w:r>
        <w:rPr>
          <w:rFonts w:hint="eastAsia" w:ascii="仿宋_GB2312" w:hAnsi="宋体" w:eastAsia="仿宋_GB2312" w:cs="宋体"/>
          <w:color w:val="000000"/>
          <w:kern w:val="0"/>
          <w:sz w:val="32"/>
          <w:szCs w:val="32"/>
          <w:shd w:val="clear" w:color="auto" w:fill="FFFFFF"/>
          <w:lang w:val="zh-CN"/>
        </w:rPr>
        <w:t>万元，机关事业单位职业年金缴费支出</w:t>
      </w:r>
      <w:r>
        <w:rPr>
          <w:rFonts w:ascii="仿宋_GB2312" w:hAnsi="宋体" w:eastAsia="仿宋_GB2312" w:cs="宋体"/>
          <w:color w:val="000000"/>
          <w:kern w:val="0"/>
          <w:sz w:val="32"/>
          <w:szCs w:val="32"/>
          <w:shd w:val="clear" w:color="auto" w:fill="FFFFFF"/>
          <w:lang w:val="zh-CN"/>
        </w:rPr>
        <w:t>5.46</w:t>
      </w:r>
      <w:r>
        <w:rPr>
          <w:rFonts w:hint="eastAsia" w:ascii="仿宋_GB2312" w:hAnsi="宋体" w:eastAsia="仿宋_GB2312" w:cs="宋体"/>
          <w:color w:val="000000"/>
          <w:kern w:val="0"/>
          <w:sz w:val="32"/>
          <w:szCs w:val="32"/>
          <w:shd w:val="clear" w:color="auto" w:fill="FFFFFF"/>
          <w:lang w:val="zh-CN"/>
        </w:rPr>
        <w:t>万元，住房公积金</w:t>
      </w:r>
      <w:r>
        <w:rPr>
          <w:rFonts w:ascii="仿宋_GB2312" w:hAnsi="宋体" w:eastAsia="仿宋_GB2312" w:cs="宋体"/>
          <w:color w:val="000000"/>
          <w:kern w:val="0"/>
          <w:sz w:val="32"/>
          <w:szCs w:val="32"/>
          <w:shd w:val="clear" w:color="auto" w:fill="FFFFFF"/>
          <w:lang w:val="zh-CN"/>
        </w:rPr>
        <w:t>10.22</w:t>
      </w:r>
      <w:r>
        <w:rPr>
          <w:rFonts w:hint="eastAsia" w:ascii="仿宋_GB2312" w:hAnsi="宋体" w:eastAsia="仿宋_GB2312" w:cs="宋体"/>
          <w:color w:val="000000"/>
          <w:kern w:val="0"/>
          <w:sz w:val="32"/>
          <w:szCs w:val="32"/>
          <w:shd w:val="clear" w:color="auto" w:fill="FFFFFF"/>
          <w:lang w:val="zh-CN"/>
        </w:rPr>
        <w:t>万元。</w:t>
      </w:r>
    </w:p>
    <w:p>
      <w:pPr>
        <w:spacing w:line="576" w:lineRule="exact"/>
        <w:ind w:firstLine="640" w:firstLineChars="200"/>
        <w:rPr>
          <w:rStyle w:val="17"/>
          <w:rFonts w:ascii="黑体" w:hAnsi="黑体" w:eastAsia="黑体"/>
        </w:rPr>
      </w:pPr>
      <w:r>
        <w:rPr>
          <w:rFonts w:hint="eastAsia" w:ascii="黑体" w:hAnsi="黑体" w:eastAsia="黑体" w:cs="黑体"/>
          <w:sz w:val="32"/>
          <w:szCs w:val="32"/>
        </w:rPr>
        <w:t>三、部门整体预算绩效管理情况</w:t>
      </w:r>
    </w:p>
    <w:p>
      <w:pPr>
        <w:spacing w:line="576" w:lineRule="exact"/>
        <w:ind w:firstLine="480" w:firstLineChars="150"/>
        <w:rPr>
          <w:rFonts w:ascii="仿宋_GB2312" w:hAnsi="仿宋" w:eastAsia="仿宋_GB2312" w:cs="仿宋_GB2312"/>
          <w:sz w:val="32"/>
          <w:szCs w:val="32"/>
        </w:rPr>
      </w:pPr>
      <w:r>
        <w:rPr>
          <w:rFonts w:hint="eastAsia" w:ascii="楷体_GB2312" w:hAnsi="仿宋" w:eastAsia="楷体_GB2312" w:cs="仿宋_GB2312"/>
          <w:sz w:val="32"/>
          <w:szCs w:val="32"/>
        </w:rPr>
        <w:t>（一）部门预算管理</w:t>
      </w:r>
    </w:p>
    <w:p>
      <w:pPr>
        <w:spacing w:line="576" w:lineRule="exact"/>
        <w:ind w:firstLine="640" w:firstLineChars="200"/>
        <w:rPr>
          <w:rFonts w:ascii="仿宋_GB2312" w:hAnsi="仿宋" w:eastAsia="仿宋_GB2312" w:cs="仿宋_GB2312"/>
          <w:sz w:val="32"/>
          <w:szCs w:val="32"/>
        </w:rPr>
      </w:pPr>
      <w:r>
        <w:rPr>
          <w:rFonts w:hint="eastAsia" w:ascii="仿宋_GB2312" w:hAnsi="宋体" w:eastAsia="仿宋_GB2312" w:cs="宋体"/>
          <w:color w:val="000000"/>
          <w:kern w:val="0"/>
          <w:sz w:val="32"/>
          <w:szCs w:val="32"/>
          <w:lang w:val="zh-CN"/>
        </w:rPr>
        <w:t>我单位认真学习贯彻党的十九大精神，按照</w:t>
      </w:r>
      <w:r>
        <w:rPr>
          <w:rFonts w:ascii="仿宋_GB2312" w:hAnsi="宋体" w:eastAsia="仿宋_GB2312" w:cs="宋体"/>
          <w:color w:val="000000"/>
          <w:kern w:val="0"/>
          <w:sz w:val="32"/>
          <w:szCs w:val="32"/>
          <w:lang w:val="zh-CN"/>
        </w:rPr>
        <w:t>2018</w:t>
      </w:r>
      <w:r>
        <w:rPr>
          <w:rFonts w:hint="eastAsia" w:ascii="仿宋_GB2312" w:hAnsi="宋体" w:eastAsia="仿宋_GB2312" w:cs="宋体"/>
          <w:color w:val="000000"/>
          <w:kern w:val="0"/>
          <w:sz w:val="32"/>
          <w:szCs w:val="32"/>
          <w:lang w:val="zh-CN"/>
        </w:rPr>
        <w:t>年部门预算绩效编审要求，严格按照政府采购管理办法，制定本单位采购管理及内部控制管理办法，按照采购管理流程采购固定资产，制定内部财务管理制度、内部财务审核会签制度、收支管理、预算管理、资产管理等制度。预决算信息按要求在“中国</w:t>
      </w:r>
      <w:r>
        <w:rPr>
          <w:rFonts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lang w:val="zh-CN"/>
        </w:rPr>
        <w:t>茂县”门户网站财政预决算栏目进行公开。按照财政部门要求对单位整体支出进行绩效评价并严格按照《中华人民共和国会计法》、《中华人民共和国预算法》、《行政单位会计制度》、《事业单位会计制度》、《会计基础工作规范》及所属行业的相关财务制度等规定，规范财务管理，自觉接受财政及相关部门的监督。规范票据管理，按规定用途及相关资金管理办法安排使用财政资金，专款专用，不挤占、挪用、截留，擅自扩大资金使用范围。将依法取得的罚没收入等非税收入，按规定及时足额上缴国库，无隐瞒、截留、挤占、挪用、坐支、私分等现象，不存在乱发钱物、私设“小金库”等违规问题</w:t>
      </w:r>
    </w:p>
    <w:p>
      <w:pPr>
        <w:spacing w:line="576" w:lineRule="exact"/>
        <w:ind w:firstLine="480" w:firstLineChars="150"/>
        <w:rPr>
          <w:rFonts w:ascii="仿宋" w:hAnsi="仿宋" w:eastAsia="仿宋" w:cs="仿宋_GB2312"/>
          <w:sz w:val="32"/>
          <w:szCs w:val="32"/>
        </w:rPr>
      </w:pPr>
      <w:r>
        <w:rPr>
          <w:rFonts w:hint="eastAsia" w:ascii="楷体_GB2312" w:hAnsi="仿宋" w:eastAsia="楷体_GB2312" w:cs="仿宋_GB2312"/>
          <w:sz w:val="32"/>
          <w:szCs w:val="32"/>
        </w:rPr>
        <w:t>（二）专项预算管理</w:t>
      </w:r>
    </w:p>
    <w:p>
      <w:pPr>
        <w:spacing w:line="576" w:lineRule="exact"/>
        <w:ind w:firstLine="640" w:firstLineChars="200"/>
        <w:rPr>
          <w:rFonts w:ascii="仿宋_GB2312" w:hAnsi="仿宋" w:eastAsia="仿宋_GB2312" w:cs="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年茂县工业园区管理委员会不涉及专项预算。</w:t>
      </w:r>
    </w:p>
    <w:p>
      <w:pPr>
        <w:spacing w:line="576" w:lineRule="exact"/>
        <w:ind w:firstLine="480" w:firstLineChars="150"/>
        <w:rPr>
          <w:rFonts w:ascii="仿宋" w:hAnsi="仿宋" w:eastAsia="仿宋" w:cs="仿宋_GB2312"/>
          <w:sz w:val="32"/>
          <w:szCs w:val="32"/>
        </w:rPr>
      </w:pPr>
      <w:r>
        <w:rPr>
          <w:rFonts w:hint="eastAsia" w:ascii="楷体_GB2312" w:hAnsi="仿宋" w:eastAsia="楷体_GB2312" w:cs="仿宋_GB2312"/>
          <w:bCs/>
          <w:sz w:val="32"/>
          <w:szCs w:val="32"/>
        </w:rPr>
        <w:t>（三）结果应用情况</w:t>
      </w:r>
    </w:p>
    <w:p>
      <w:pPr>
        <w:spacing w:line="576"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茂县工业园区管理委员会对部门预算绩效管理工作开展情况认真进行了自查自评，绩效评价自查开展覆盖部门整体支出及重点支出，将评价结果作为预算安排的重要依据，参照项目年度预算执行情况，保障重点支出，调整支出结构，不断强化绩效理念，推动我单位部门整体绩效管理水平不断提升。</w:t>
      </w:r>
    </w:p>
    <w:p>
      <w:pPr>
        <w:spacing w:line="576" w:lineRule="exact"/>
        <w:ind w:firstLine="800" w:firstLineChars="250"/>
        <w:rPr>
          <w:rStyle w:val="17"/>
          <w:rFonts w:ascii="黑体" w:hAnsi="黑体" w:eastAsia="黑体"/>
        </w:rPr>
      </w:pPr>
      <w:r>
        <w:rPr>
          <w:rFonts w:hint="eastAsia" w:ascii="黑体" w:hAnsi="黑体" w:eastAsia="黑体" w:cs="黑体"/>
          <w:sz w:val="32"/>
          <w:szCs w:val="32"/>
        </w:rPr>
        <w:t>四、评价结论及建议</w:t>
      </w:r>
    </w:p>
    <w:p>
      <w:pPr>
        <w:spacing w:line="576" w:lineRule="exact"/>
        <w:ind w:firstLine="640" w:firstLineChars="200"/>
        <w:rPr>
          <w:rStyle w:val="17"/>
          <w:rFonts w:ascii="仿宋_GB2312" w:hAnsi="仿宋" w:eastAsia="仿宋_GB2312" w:cs="仿宋_GB2312"/>
          <w:b w:val="0"/>
          <w:bCs w:val="0"/>
        </w:rPr>
      </w:pPr>
      <w:r>
        <w:rPr>
          <w:rFonts w:hint="eastAsia" w:ascii="楷体_GB2312" w:hAnsi="仿宋" w:eastAsia="楷体_GB2312" w:cs="仿宋_GB2312"/>
          <w:sz w:val="32"/>
          <w:szCs w:val="32"/>
        </w:rPr>
        <w:t>（一）评价结论</w:t>
      </w:r>
    </w:p>
    <w:p>
      <w:pPr>
        <w:widowControl/>
        <w:spacing w:line="576" w:lineRule="exact"/>
        <w:ind w:firstLine="640" w:firstLineChars="200"/>
        <w:rPr>
          <w:rFonts w:ascii="仿宋_GB2312" w:eastAsia="仿宋_GB2312"/>
          <w:sz w:val="32"/>
          <w:szCs w:val="32"/>
        </w:rPr>
      </w:pPr>
      <w:r>
        <w:rPr>
          <w:rFonts w:hint="eastAsia" w:ascii="仿宋_GB2312" w:hAnsi="宋体" w:eastAsia="仿宋_GB2312" w:cs="宋体"/>
          <w:kern w:val="0"/>
          <w:sz w:val="32"/>
          <w:szCs w:val="32"/>
          <w:lang w:val="zh-CN"/>
        </w:rPr>
        <w:t>茂县工业园区管理委员会按照《茂县财政局关于开展</w:t>
      </w:r>
      <w:r>
        <w:rPr>
          <w:rFonts w:ascii="仿宋_GB2312" w:hAnsi="宋体" w:eastAsia="仿宋_GB2312" w:cs="宋体"/>
          <w:kern w:val="0"/>
          <w:sz w:val="32"/>
          <w:szCs w:val="32"/>
          <w:lang w:val="zh-CN"/>
        </w:rPr>
        <w:t>2019</w:t>
      </w:r>
      <w:r>
        <w:rPr>
          <w:rFonts w:hint="eastAsia" w:ascii="仿宋_GB2312" w:hAnsi="宋体" w:eastAsia="仿宋_GB2312" w:cs="宋体"/>
          <w:kern w:val="0"/>
          <w:sz w:val="32"/>
          <w:szCs w:val="32"/>
          <w:lang w:val="zh-CN"/>
        </w:rPr>
        <w:t>年财政支出绩效评价工作的通知》茂财发【</w:t>
      </w:r>
      <w:r>
        <w:rPr>
          <w:rFonts w:ascii="仿宋_GB2312" w:hAnsi="宋体" w:eastAsia="仿宋_GB2312" w:cs="宋体"/>
          <w:kern w:val="0"/>
          <w:sz w:val="32"/>
          <w:szCs w:val="32"/>
          <w:lang w:val="zh-CN"/>
        </w:rPr>
        <w:t>2019</w:t>
      </w:r>
      <w:r>
        <w:rPr>
          <w:rFonts w:hint="eastAsia" w:ascii="仿宋_GB2312" w:hAnsi="宋体" w:eastAsia="仿宋_GB2312" w:cs="宋体"/>
          <w:kern w:val="0"/>
          <w:sz w:val="32"/>
          <w:szCs w:val="32"/>
          <w:lang w:val="zh-CN"/>
        </w:rPr>
        <w:t>】</w:t>
      </w:r>
      <w:r>
        <w:rPr>
          <w:rFonts w:ascii="仿宋_GB2312" w:hAnsi="宋体" w:eastAsia="仿宋_GB2312" w:cs="宋体"/>
          <w:kern w:val="0"/>
          <w:sz w:val="32"/>
          <w:szCs w:val="32"/>
          <w:lang w:val="zh-CN"/>
        </w:rPr>
        <w:t>38</w:t>
      </w:r>
      <w:r>
        <w:rPr>
          <w:rFonts w:hint="eastAsia" w:ascii="仿宋_GB2312" w:hAnsi="宋体" w:eastAsia="仿宋_GB2312" w:cs="宋体"/>
          <w:kern w:val="0"/>
          <w:sz w:val="32"/>
          <w:szCs w:val="32"/>
          <w:lang w:val="zh-CN"/>
        </w:rPr>
        <w:t>号文件</w:t>
      </w:r>
      <w:r>
        <w:rPr>
          <w:rFonts w:hint="eastAsia" w:ascii="仿宋_GB2312" w:hAnsi="宋体" w:eastAsia="仿宋_GB2312" w:cs="宋体"/>
          <w:color w:val="000000"/>
          <w:kern w:val="0"/>
          <w:sz w:val="32"/>
          <w:szCs w:val="32"/>
          <w:lang w:val="zh-CN"/>
        </w:rPr>
        <w:t>要求，对本单位财政支出进行全面绩效评价工作，</w:t>
      </w:r>
      <w:r>
        <w:rPr>
          <w:rFonts w:ascii="仿宋_GB2312" w:hAnsi="宋体" w:eastAsia="仿宋_GB2312" w:cs="宋体"/>
          <w:color w:val="000000"/>
          <w:kern w:val="0"/>
          <w:sz w:val="32"/>
          <w:szCs w:val="32"/>
          <w:lang w:val="zh-CN"/>
        </w:rPr>
        <w:t>2018</w:t>
      </w:r>
      <w:r>
        <w:rPr>
          <w:rFonts w:hint="eastAsia" w:ascii="仿宋_GB2312" w:hAnsi="宋体" w:eastAsia="仿宋_GB2312" w:cs="宋体"/>
          <w:color w:val="000000"/>
          <w:kern w:val="0"/>
          <w:sz w:val="32"/>
          <w:szCs w:val="32"/>
          <w:lang w:val="zh-CN"/>
        </w:rPr>
        <w:t>年我单位绩效评价结果为</w:t>
      </w:r>
      <w:r>
        <w:rPr>
          <w:rFonts w:ascii="仿宋_GB2312" w:hAnsi="宋体" w:eastAsia="仿宋_GB2312" w:cs="宋体"/>
          <w:color w:val="000000"/>
          <w:kern w:val="0"/>
          <w:sz w:val="32"/>
          <w:szCs w:val="32"/>
          <w:lang w:val="zh-CN"/>
        </w:rPr>
        <w:t>98.5</w:t>
      </w:r>
      <w:r>
        <w:rPr>
          <w:rFonts w:hint="eastAsia" w:ascii="仿宋_GB2312" w:hAnsi="宋体" w:eastAsia="仿宋_GB2312" w:cs="宋体"/>
          <w:color w:val="000000"/>
          <w:kern w:val="0"/>
          <w:sz w:val="32"/>
          <w:szCs w:val="32"/>
          <w:lang w:val="zh-CN"/>
        </w:rPr>
        <w:t>分。</w:t>
      </w:r>
      <w:r>
        <w:rPr>
          <w:rFonts w:hint="eastAsia" w:ascii="仿宋_GB2312" w:eastAsia="仿宋_GB2312"/>
          <w:sz w:val="32"/>
          <w:szCs w:val="32"/>
        </w:rPr>
        <w:t>按照县委组织部工作要求，深化拓展“两学一做”学习教育，扎实做好“城乡党建结对共建工作”，进一步推动“主题党日”活动，认真按照活动方案，精心组织实施</w:t>
      </w:r>
      <w:r>
        <w:rPr>
          <w:rFonts w:ascii="仿宋_GB2312" w:eastAsia="仿宋_GB2312"/>
          <w:sz w:val="32"/>
          <w:szCs w:val="32"/>
        </w:rPr>
        <w:t>;</w:t>
      </w:r>
      <w:r>
        <w:rPr>
          <w:rFonts w:hint="eastAsia" w:ascii="仿宋_GB2312" w:eastAsia="仿宋_GB2312"/>
          <w:sz w:val="32"/>
          <w:szCs w:val="32"/>
        </w:rPr>
        <w:t>园区管委会主要负责人要认真履行第一责任人职责，扎扎实实地抓好集中教育活动。切实加强园区管委会在“讲政治、守纪律、强素质、突服务”队伍建设。加强各集中区循环经济健康发展。加强企业安全生产和环保工作的巡查力度。争取和落实、省、州、县对企业的各项优惠政策，尽可能地扶持企业发展壮大。按照“无事不扰，有求必应”的原则，为企业做好“保姆式”的服务协调工作。全面完成园区常规工作和管理服务工作。</w:t>
      </w:r>
    </w:p>
    <w:p>
      <w:pPr>
        <w:widowControl/>
        <w:spacing w:line="576" w:lineRule="exact"/>
        <w:ind w:firstLine="640" w:firstLineChars="200"/>
        <w:rPr>
          <w:rStyle w:val="17"/>
          <w:rFonts w:ascii="仿宋_GB2312" w:hAnsi="宋体" w:eastAsia="仿宋_GB2312" w:cs="宋体"/>
          <w:b w:val="0"/>
          <w:bCs w:val="0"/>
          <w:kern w:val="0"/>
        </w:rPr>
      </w:pPr>
      <w:r>
        <w:rPr>
          <w:rFonts w:hint="eastAsia" w:ascii="楷体_GB2312" w:hAnsi="仿宋" w:eastAsia="楷体_GB2312" w:cs="仿宋_GB2312"/>
          <w:sz w:val="32"/>
          <w:szCs w:val="32"/>
        </w:rPr>
        <w:t>（二）存在问题</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一是对绩效管理认识不清；二是绩效管理流程不全；三是绩效管理的跟踪反馈不足；四是绩效考核关系不够合理；五是绩效管理申诉与评估系统不健全。</w:t>
      </w:r>
    </w:p>
    <w:p>
      <w:pPr>
        <w:spacing w:line="576" w:lineRule="exact"/>
        <w:ind w:firstLine="640" w:firstLineChars="200"/>
        <w:rPr>
          <w:rFonts w:ascii="仿宋_GB2312" w:eastAsia="仿宋_GB2312"/>
          <w:sz w:val="32"/>
          <w:szCs w:val="32"/>
        </w:rPr>
      </w:pPr>
      <w:r>
        <w:rPr>
          <w:rFonts w:hint="eastAsia" w:ascii="楷体_GB2312" w:hAnsi="仿宋" w:eastAsia="楷体_GB2312" w:cs="仿宋_GB2312"/>
          <w:sz w:val="32"/>
          <w:szCs w:val="32"/>
        </w:rPr>
        <w:t>（三）改进建议</w:t>
      </w:r>
    </w:p>
    <w:p>
      <w:pPr>
        <w:spacing w:line="576"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针对绩效管理存在的问题，我局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单位的绩效管理工作会得到持续改进，从而确保整体绩效的提高。</w:t>
      </w: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tbl>
      <w:tblPr>
        <w:tblStyle w:val="12"/>
        <w:tblW w:w="30500" w:type="dxa"/>
        <w:tblInd w:w="93" w:type="dxa"/>
        <w:tblLayout w:type="fixed"/>
        <w:tblCellMar>
          <w:top w:w="0" w:type="dxa"/>
          <w:left w:w="108" w:type="dxa"/>
          <w:bottom w:w="0" w:type="dxa"/>
          <w:right w:w="108" w:type="dxa"/>
        </w:tblCellMar>
      </w:tblPr>
      <w:tblGrid>
        <w:gridCol w:w="616"/>
        <w:gridCol w:w="675"/>
        <w:gridCol w:w="125"/>
        <w:gridCol w:w="1576"/>
        <w:gridCol w:w="1244"/>
        <w:gridCol w:w="1308"/>
        <w:gridCol w:w="850"/>
        <w:gridCol w:w="709"/>
        <w:gridCol w:w="993"/>
        <w:gridCol w:w="566"/>
        <w:gridCol w:w="4000"/>
        <w:gridCol w:w="1394"/>
        <w:gridCol w:w="500"/>
        <w:gridCol w:w="720"/>
        <w:gridCol w:w="1420"/>
        <w:gridCol w:w="1860"/>
        <w:gridCol w:w="3580"/>
        <w:gridCol w:w="4419"/>
        <w:gridCol w:w="3945"/>
      </w:tblGrid>
      <w:tr>
        <w:tblPrEx>
          <w:tblCellMar>
            <w:top w:w="0" w:type="dxa"/>
            <w:left w:w="108" w:type="dxa"/>
            <w:bottom w:w="0" w:type="dxa"/>
            <w:right w:w="108" w:type="dxa"/>
          </w:tblCellMar>
        </w:tblPrEx>
        <w:trPr>
          <w:trHeight w:val="285" w:hRule="atLeast"/>
        </w:trPr>
        <w:tc>
          <w:tcPr>
            <w:tcW w:w="1416" w:type="dxa"/>
            <w:gridSpan w:val="3"/>
            <w:tcBorders>
              <w:top w:val="nil"/>
              <w:left w:val="nil"/>
              <w:bottom w:val="nil"/>
              <w:right w:val="nil"/>
            </w:tcBorders>
            <w:vAlign w:val="center"/>
          </w:tcPr>
          <w:p>
            <w:pPr>
              <w:widowControl/>
              <w:jc w:val="left"/>
              <w:rPr>
                <w:rFonts w:ascii="宋体" w:cs="宋体"/>
                <w:kern w:val="0"/>
                <w:sz w:val="24"/>
              </w:rPr>
            </w:pPr>
          </w:p>
        </w:tc>
        <w:tc>
          <w:tcPr>
            <w:tcW w:w="2820" w:type="dxa"/>
            <w:gridSpan w:val="2"/>
            <w:tcBorders>
              <w:top w:val="nil"/>
              <w:left w:val="nil"/>
              <w:bottom w:val="nil"/>
              <w:right w:val="nil"/>
            </w:tcBorders>
            <w:noWrap/>
            <w:vAlign w:val="center"/>
          </w:tcPr>
          <w:p>
            <w:pPr>
              <w:widowControl/>
              <w:jc w:val="center"/>
              <w:rPr>
                <w:rFonts w:ascii="宋体" w:cs="宋体"/>
                <w:kern w:val="0"/>
                <w:sz w:val="24"/>
              </w:rPr>
            </w:pPr>
          </w:p>
        </w:tc>
        <w:tc>
          <w:tcPr>
            <w:tcW w:w="3860" w:type="dxa"/>
            <w:gridSpan w:val="4"/>
            <w:tcBorders>
              <w:top w:val="nil"/>
              <w:left w:val="nil"/>
              <w:bottom w:val="nil"/>
              <w:right w:val="nil"/>
            </w:tcBorders>
            <w:noWrap/>
            <w:vAlign w:val="center"/>
          </w:tcPr>
          <w:p>
            <w:pPr>
              <w:widowControl/>
              <w:jc w:val="left"/>
              <w:rPr>
                <w:rFonts w:ascii="宋体" w:cs="宋体"/>
                <w:kern w:val="0"/>
                <w:sz w:val="24"/>
              </w:rPr>
            </w:pPr>
          </w:p>
        </w:tc>
        <w:tc>
          <w:tcPr>
            <w:tcW w:w="5960" w:type="dxa"/>
            <w:gridSpan w:val="3"/>
            <w:tcBorders>
              <w:top w:val="nil"/>
              <w:left w:val="nil"/>
              <w:bottom w:val="nil"/>
              <w:right w:val="nil"/>
            </w:tcBorders>
            <w:noWrap/>
            <w:vAlign w:val="center"/>
          </w:tcPr>
          <w:p>
            <w:pPr>
              <w:widowControl/>
              <w:jc w:val="left"/>
              <w:rPr>
                <w:rFonts w:ascii="宋体" w:cs="宋体"/>
                <w:kern w:val="0"/>
                <w:sz w:val="24"/>
              </w:rPr>
            </w:pPr>
          </w:p>
        </w:tc>
        <w:tc>
          <w:tcPr>
            <w:tcW w:w="1220" w:type="dxa"/>
            <w:gridSpan w:val="2"/>
            <w:tcBorders>
              <w:top w:val="nil"/>
              <w:left w:val="nil"/>
              <w:bottom w:val="nil"/>
              <w:right w:val="nil"/>
            </w:tcBorders>
            <w:shd w:val="clear" w:color="000000" w:fill="FFFFFF"/>
            <w:noWrap/>
            <w:vAlign w:val="center"/>
          </w:tcPr>
          <w:p>
            <w:pPr>
              <w:widowControl/>
              <w:jc w:val="left"/>
              <w:rPr>
                <w:rFonts w:ascii="宋体" w:cs="宋体"/>
                <w:kern w:val="0"/>
                <w:sz w:val="24"/>
              </w:rPr>
            </w:pPr>
            <w:r>
              <w:rPr>
                <w:rFonts w:hint="eastAsia" w:ascii="宋体" w:hAnsi="宋体" w:cs="宋体"/>
                <w:kern w:val="0"/>
                <w:sz w:val="24"/>
              </w:rPr>
              <w:t>　</w:t>
            </w:r>
          </w:p>
        </w:tc>
        <w:tc>
          <w:tcPr>
            <w:tcW w:w="1420" w:type="dxa"/>
            <w:tcBorders>
              <w:top w:val="nil"/>
              <w:left w:val="nil"/>
              <w:bottom w:val="nil"/>
              <w:right w:val="nil"/>
            </w:tcBorders>
            <w:shd w:val="clear" w:color="000000" w:fill="FFFFFF"/>
            <w:noWrap/>
            <w:vAlign w:val="center"/>
          </w:tcPr>
          <w:p>
            <w:pPr>
              <w:widowControl/>
              <w:jc w:val="left"/>
              <w:rPr>
                <w:rFonts w:ascii="宋体" w:cs="宋体"/>
                <w:kern w:val="0"/>
                <w:sz w:val="24"/>
              </w:rPr>
            </w:pPr>
            <w:r>
              <w:rPr>
                <w:rFonts w:hint="eastAsia" w:ascii="宋体" w:hAnsi="宋体" w:cs="宋体"/>
                <w:kern w:val="0"/>
                <w:sz w:val="24"/>
              </w:rPr>
              <w:t>　</w:t>
            </w:r>
          </w:p>
        </w:tc>
        <w:tc>
          <w:tcPr>
            <w:tcW w:w="5440" w:type="dxa"/>
            <w:gridSpan w:val="2"/>
            <w:tcBorders>
              <w:top w:val="nil"/>
              <w:left w:val="nil"/>
              <w:bottom w:val="nil"/>
              <w:right w:val="nil"/>
            </w:tcBorders>
            <w:noWrap/>
            <w:vAlign w:val="center"/>
          </w:tcPr>
          <w:p>
            <w:pPr>
              <w:widowControl/>
              <w:jc w:val="left"/>
              <w:rPr>
                <w:rFonts w:ascii="宋体" w:cs="宋体"/>
                <w:kern w:val="0"/>
                <w:sz w:val="24"/>
              </w:rPr>
            </w:pPr>
          </w:p>
        </w:tc>
        <w:tc>
          <w:tcPr>
            <w:tcW w:w="4419" w:type="dxa"/>
            <w:tcBorders>
              <w:top w:val="nil"/>
              <w:left w:val="nil"/>
              <w:bottom w:val="nil"/>
              <w:right w:val="nil"/>
            </w:tcBorders>
            <w:vAlign w:val="center"/>
          </w:tcPr>
          <w:p>
            <w:pPr>
              <w:widowControl/>
              <w:jc w:val="left"/>
              <w:rPr>
                <w:rFonts w:ascii="宋体" w:cs="宋体"/>
                <w:kern w:val="0"/>
                <w:sz w:val="24"/>
              </w:rPr>
            </w:pPr>
          </w:p>
        </w:tc>
        <w:tc>
          <w:tcPr>
            <w:tcW w:w="3945" w:type="dxa"/>
            <w:tcBorders>
              <w:top w:val="nil"/>
              <w:left w:val="nil"/>
              <w:bottom w:val="nil"/>
              <w:right w:val="nil"/>
            </w:tcBorders>
            <w:vAlign w:val="center"/>
          </w:tcPr>
          <w:p>
            <w:pPr>
              <w:widowControl/>
              <w:jc w:val="left"/>
              <w:rPr>
                <w:rFonts w:ascii="宋体" w:cs="宋体"/>
                <w:kern w:val="0"/>
                <w:sz w:val="16"/>
                <w:szCs w:val="16"/>
              </w:rPr>
            </w:pPr>
          </w:p>
        </w:tc>
      </w:tr>
      <w:tr>
        <w:tblPrEx>
          <w:tblCellMar>
            <w:top w:w="0" w:type="dxa"/>
            <w:left w:w="108" w:type="dxa"/>
            <w:bottom w:w="0" w:type="dxa"/>
            <w:right w:w="108" w:type="dxa"/>
          </w:tblCellMar>
        </w:tblPrEx>
        <w:trPr>
          <w:gridAfter w:val="8"/>
          <w:wAfter w:w="17838" w:type="dxa"/>
          <w:trHeight w:val="600" w:hRule="atLeast"/>
        </w:trPr>
        <w:tc>
          <w:tcPr>
            <w:tcW w:w="8662" w:type="dxa"/>
            <w:gridSpan w:val="10"/>
            <w:tcBorders>
              <w:top w:val="nil"/>
              <w:left w:val="nil"/>
              <w:bottom w:val="single" w:color="auto" w:sz="4" w:space="0"/>
              <w:right w:val="nil"/>
            </w:tcBorders>
            <w:noWrap/>
            <w:vAlign w:val="center"/>
          </w:tcPr>
          <w:p>
            <w:pPr>
              <w:jc w:val="center"/>
              <w:rPr>
                <w:rFonts w:ascii="宋体" w:cs="宋体"/>
                <w:b/>
                <w:bCs/>
                <w:sz w:val="28"/>
                <w:szCs w:val="28"/>
              </w:rPr>
            </w:pPr>
            <w:r>
              <w:rPr>
                <w:b/>
                <w:bCs/>
                <w:sz w:val="28"/>
                <w:szCs w:val="28"/>
              </w:rPr>
              <w:t>2018</w:t>
            </w:r>
            <w:r>
              <w:rPr>
                <w:rFonts w:hint="eastAsia"/>
                <w:b/>
                <w:bCs/>
                <w:sz w:val="28"/>
                <w:szCs w:val="28"/>
              </w:rPr>
              <w:t>年县级部门整体支出绩效评价指标体系</w:t>
            </w:r>
          </w:p>
        </w:tc>
        <w:tc>
          <w:tcPr>
            <w:tcW w:w="4000" w:type="dxa"/>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141" w:hRule="atLeast"/>
        </w:trPr>
        <w:tc>
          <w:tcPr>
            <w:tcW w:w="616" w:type="dxa"/>
            <w:tcBorders>
              <w:top w:val="nil"/>
              <w:left w:val="single" w:color="auto" w:sz="4" w:space="0"/>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一级指标</w:t>
            </w:r>
          </w:p>
        </w:tc>
        <w:tc>
          <w:tcPr>
            <w:tcW w:w="675" w:type="dxa"/>
            <w:tcBorders>
              <w:top w:val="nil"/>
              <w:left w:val="nil"/>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二级指标</w:t>
            </w:r>
          </w:p>
        </w:tc>
        <w:tc>
          <w:tcPr>
            <w:tcW w:w="1701" w:type="dxa"/>
            <w:gridSpan w:val="2"/>
            <w:tcBorders>
              <w:top w:val="nil"/>
              <w:left w:val="nil"/>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三级指标</w:t>
            </w:r>
          </w:p>
        </w:tc>
        <w:tc>
          <w:tcPr>
            <w:tcW w:w="2552" w:type="dxa"/>
            <w:gridSpan w:val="2"/>
            <w:tcBorders>
              <w:top w:val="nil"/>
              <w:left w:val="nil"/>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指标解释</w:t>
            </w: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宋体" w:cs="宋体"/>
                <w:b/>
                <w:bCs/>
                <w:sz w:val="20"/>
                <w:szCs w:val="20"/>
              </w:rPr>
            </w:pPr>
            <w:r>
              <w:rPr>
                <w:rFonts w:hint="eastAsia"/>
                <w:b/>
                <w:bCs/>
                <w:sz w:val="20"/>
                <w:szCs w:val="20"/>
              </w:rPr>
              <w:t>扣分</w:t>
            </w:r>
          </w:p>
        </w:tc>
        <w:tc>
          <w:tcPr>
            <w:tcW w:w="709" w:type="dxa"/>
            <w:tcBorders>
              <w:top w:val="nil"/>
              <w:left w:val="nil"/>
              <w:bottom w:val="single" w:color="auto" w:sz="4" w:space="0"/>
              <w:right w:val="single" w:color="auto" w:sz="4" w:space="0"/>
            </w:tcBorders>
            <w:shd w:val="clear" w:color="000000" w:fill="FFFFFF"/>
            <w:vAlign w:val="center"/>
          </w:tcPr>
          <w:p>
            <w:pPr>
              <w:jc w:val="center"/>
              <w:rPr>
                <w:rFonts w:ascii="宋体" w:cs="宋体"/>
                <w:b/>
                <w:bCs/>
                <w:sz w:val="20"/>
                <w:szCs w:val="20"/>
              </w:rPr>
            </w:pPr>
            <w:r>
              <w:rPr>
                <w:rFonts w:hint="eastAsia"/>
                <w:b/>
                <w:bCs/>
                <w:sz w:val="20"/>
                <w:szCs w:val="20"/>
              </w:rPr>
              <w:t>扣分理由</w:t>
            </w:r>
          </w:p>
        </w:tc>
        <w:tc>
          <w:tcPr>
            <w:tcW w:w="1559" w:type="dxa"/>
            <w:gridSpan w:val="2"/>
            <w:tcBorders>
              <w:top w:val="nil"/>
              <w:left w:val="nil"/>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计分标准（备注）</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870" w:hRule="atLeast"/>
        </w:trPr>
        <w:tc>
          <w:tcPr>
            <w:tcW w:w="616" w:type="dxa"/>
            <w:vMerge w:val="restart"/>
            <w:tcBorders>
              <w:top w:val="nil"/>
              <w:left w:val="single" w:color="auto" w:sz="4" w:space="0"/>
              <w:bottom w:val="nil"/>
              <w:right w:val="single" w:color="auto" w:sz="4" w:space="0"/>
            </w:tcBorders>
            <w:shd w:val="clear" w:color="000000" w:fill="FFFFFF"/>
            <w:vAlign w:val="center"/>
          </w:tcPr>
          <w:p>
            <w:pPr>
              <w:jc w:val="center"/>
              <w:rPr>
                <w:rFonts w:ascii="宋体" w:cs="宋体"/>
                <w:sz w:val="20"/>
                <w:szCs w:val="20"/>
              </w:rPr>
            </w:pPr>
            <w:r>
              <w:rPr>
                <w:rFonts w:hint="eastAsia"/>
                <w:sz w:val="20"/>
                <w:szCs w:val="20"/>
              </w:rPr>
              <w:t>预算编制（</w:t>
            </w:r>
            <w:r>
              <w:rPr>
                <w:sz w:val="20"/>
                <w:szCs w:val="20"/>
              </w:rPr>
              <w:t>10</w:t>
            </w:r>
            <w:r>
              <w:rPr>
                <w:rFonts w:hint="eastAsia"/>
                <w:sz w:val="20"/>
                <w:szCs w:val="20"/>
              </w:rPr>
              <w:t>分）</w:t>
            </w:r>
          </w:p>
        </w:tc>
        <w:tc>
          <w:tcPr>
            <w:tcW w:w="67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报送时效（</w:t>
            </w:r>
            <w:r>
              <w:rPr>
                <w:sz w:val="20"/>
                <w:szCs w:val="20"/>
              </w:rPr>
              <w:t>2</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基础信息更新（</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部门是否按照县级部门预算编制通知和有关要求，按时完成基础库、项目库报送工作</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超过规定</w:t>
            </w:r>
            <w:r>
              <w:rPr>
                <w:sz w:val="20"/>
                <w:szCs w:val="20"/>
              </w:rPr>
              <w:t>5</w:t>
            </w:r>
            <w:r>
              <w:rPr>
                <w:rFonts w:hint="eastAsia"/>
                <w:sz w:val="20"/>
                <w:szCs w:val="20"/>
              </w:rPr>
              <w:t>个工作日扣</w:t>
            </w:r>
            <w:r>
              <w:rPr>
                <w:sz w:val="20"/>
                <w:szCs w:val="20"/>
              </w:rPr>
              <w:t>0.5</w:t>
            </w:r>
            <w:r>
              <w:rPr>
                <w:rFonts w:hint="eastAsia"/>
                <w:sz w:val="20"/>
                <w:szCs w:val="20"/>
              </w:rPr>
              <w:t>分，</w:t>
            </w:r>
            <w:r>
              <w:rPr>
                <w:sz w:val="20"/>
                <w:szCs w:val="20"/>
              </w:rPr>
              <w:t>10</w:t>
            </w:r>
            <w:r>
              <w:rPr>
                <w:rFonts w:hint="eastAsia"/>
                <w:sz w:val="20"/>
                <w:szCs w:val="20"/>
              </w:rPr>
              <w:t>个工作日扣</w:t>
            </w:r>
            <w:r>
              <w:rPr>
                <w:sz w:val="20"/>
                <w:szCs w:val="20"/>
              </w:rPr>
              <w:t>1</w:t>
            </w:r>
            <w:r>
              <w:rPr>
                <w:rFonts w:hint="eastAsia"/>
                <w:sz w:val="20"/>
                <w:szCs w:val="20"/>
              </w:rPr>
              <w:t>分，以此类推，直至扣完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735" w:hRule="atLeast"/>
        </w:trPr>
        <w:tc>
          <w:tcPr>
            <w:tcW w:w="616" w:type="dxa"/>
            <w:vMerge w:val="continue"/>
            <w:tcBorders>
              <w:top w:val="nil"/>
              <w:left w:val="single" w:color="auto" w:sz="4" w:space="0"/>
              <w:bottom w:val="nil"/>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编制质量（</w:t>
            </w:r>
            <w:r>
              <w:rPr>
                <w:sz w:val="20"/>
                <w:szCs w:val="20"/>
              </w:rPr>
              <w:t>3</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预算编制准确（</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（预算资金总来源</w:t>
            </w:r>
            <w:r>
              <w:rPr>
                <w:sz w:val="20"/>
                <w:szCs w:val="20"/>
              </w:rPr>
              <w:t>-</w:t>
            </w:r>
            <w:r>
              <w:rPr>
                <w:rFonts w:hint="eastAsia"/>
                <w:sz w:val="20"/>
                <w:szCs w:val="20"/>
              </w:rPr>
              <w:t>中期评估调整取消资金</w:t>
            </w:r>
            <w:r>
              <w:rPr>
                <w:sz w:val="20"/>
                <w:szCs w:val="20"/>
              </w:rPr>
              <w:t>-</w:t>
            </w:r>
            <w:r>
              <w:rPr>
                <w:rFonts w:hint="eastAsia"/>
                <w:sz w:val="20"/>
                <w:szCs w:val="20"/>
              </w:rPr>
              <w:t>预算结余注销资金）÷预算资金总来源</w:t>
            </w:r>
            <w:r>
              <w:rPr>
                <w:sz w:val="20"/>
                <w:szCs w:val="20"/>
              </w:rPr>
              <w:t>*</w:t>
            </w:r>
            <w:r>
              <w:rPr>
                <w:rFonts w:hint="eastAsia"/>
                <w:sz w:val="20"/>
                <w:szCs w:val="20"/>
              </w:rPr>
              <w:t>指标分值</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其中：预算资金总来源是指县级年初预算与执行中追加预算（不含当年专款）总和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765" w:hRule="atLeast"/>
        </w:trPr>
        <w:tc>
          <w:tcPr>
            <w:tcW w:w="616" w:type="dxa"/>
            <w:vMerge w:val="continue"/>
            <w:tcBorders>
              <w:top w:val="nil"/>
              <w:left w:val="single" w:color="auto" w:sz="4" w:space="0"/>
              <w:bottom w:val="nil"/>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部门预算审查（</w:t>
            </w:r>
            <w:r>
              <w:rPr>
                <w:sz w:val="20"/>
                <w:szCs w:val="20"/>
              </w:rPr>
              <w:t>1</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根据县人大财经委对预算草案审查结果进行考核</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对财经委审查后提出并确需修改的问题，每个问题扣</w:t>
            </w:r>
            <w:r>
              <w:rPr>
                <w:sz w:val="20"/>
                <w:szCs w:val="20"/>
              </w:rPr>
              <w:t>0.02</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840" w:hRule="atLeast"/>
        </w:trPr>
        <w:tc>
          <w:tcPr>
            <w:tcW w:w="616" w:type="dxa"/>
            <w:vMerge w:val="continue"/>
            <w:tcBorders>
              <w:top w:val="nil"/>
              <w:left w:val="single" w:color="auto" w:sz="4" w:space="0"/>
              <w:bottom w:val="nil"/>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绩效目标（</w:t>
            </w:r>
            <w:r>
              <w:rPr>
                <w:sz w:val="20"/>
                <w:szCs w:val="20"/>
              </w:rPr>
              <w:t>5</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部门整体绩效目标（</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部门整体绩效目标编制完整、合理</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部门整体绩效目标能完整、合理反映部门年度职责履行情况的得分，否则不得分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750" w:hRule="atLeast"/>
        </w:trPr>
        <w:tc>
          <w:tcPr>
            <w:tcW w:w="616" w:type="dxa"/>
            <w:vMerge w:val="continue"/>
            <w:tcBorders>
              <w:top w:val="nil"/>
              <w:left w:val="single" w:color="auto" w:sz="4" w:space="0"/>
              <w:bottom w:val="nil"/>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重点项目绩效目标（</w:t>
            </w:r>
            <w:r>
              <w:rPr>
                <w:sz w:val="20"/>
                <w:szCs w:val="20"/>
              </w:rPr>
              <w:t>3</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项目绩效目标编制明确、量化</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项目支出绩效目标编制不明确和量化的发现一个扣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735" w:hRule="atLeast"/>
        </w:trPr>
        <w:tc>
          <w:tcPr>
            <w:tcW w:w="6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预算执行（</w:t>
            </w:r>
            <w:r>
              <w:rPr>
                <w:sz w:val="20"/>
                <w:szCs w:val="20"/>
              </w:rPr>
              <w:t>20</w:t>
            </w:r>
            <w:r>
              <w:rPr>
                <w:rFonts w:hint="eastAsia"/>
                <w:sz w:val="20"/>
                <w:szCs w:val="20"/>
              </w:rPr>
              <w:t>分）</w:t>
            </w:r>
          </w:p>
        </w:tc>
        <w:tc>
          <w:tcPr>
            <w:tcW w:w="675" w:type="dxa"/>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执行进度（</w:t>
            </w:r>
            <w:r>
              <w:rPr>
                <w:sz w:val="20"/>
                <w:szCs w:val="20"/>
              </w:rPr>
              <w:t>10</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财力专项预算分配时限（</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按规定及时分配财力专项预算</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按《预算法》规定时限完成分配的考核得分，否则不得分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675"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部门预算执行进度（</w:t>
            </w:r>
            <w:r>
              <w:rPr>
                <w:sz w:val="20"/>
                <w:szCs w:val="20"/>
              </w:rPr>
              <w:t>6</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部门按要求严格预算执行管理</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部门预算实际列支数÷部门预算总额</w:t>
            </w:r>
            <w:r>
              <w:rPr>
                <w:sz w:val="20"/>
                <w:szCs w:val="20"/>
              </w:rPr>
              <w:t>*</w:t>
            </w:r>
            <w:r>
              <w:rPr>
                <w:rFonts w:hint="eastAsia"/>
                <w:sz w:val="20"/>
                <w:szCs w:val="20"/>
              </w:rPr>
              <w:t>指标分值</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960"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预算调整（</w:t>
            </w:r>
            <w:r>
              <w:rPr>
                <w:sz w:val="20"/>
                <w:szCs w:val="20"/>
              </w:rPr>
              <w:t>4</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执行中期评估（</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部门中期评估调整取消资金÷</w:t>
            </w:r>
            <w:r>
              <w:rPr>
                <w:sz w:val="20"/>
                <w:szCs w:val="20"/>
              </w:rPr>
              <w:t>(</w:t>
            </w:r>
            <w:r>
              <w:rPr>
                <w:rFonts w:hint="eastAsia"/>
                <w:sz w:val="20"/>
                <w:szCs w:val="20"/>
              </w:rPr>
              <w:t>中期评估调整取消资金</w:t>
            </w:r>
            <w:r>
              <w:rPr>
                <w:sz w:val="20"/>
                <w:szCs w:val="20"/>
              </w:rPr>
              <w:t>+</w:t>
            </w:r>
            <w:r>
              <w:rPr>
                <w:rFonts w:hint="eastAsia"/>
                <w:sz w:val="20"/>
                <w:szCs w:val="20"/>
              </w:rPr>
              <w:t>预算结余注销资金）</w:t>
            </w:r>
            <w:r>
              <w:rPr>
                <w:sz w:val="20"/>
                <w:szCs w:val="20"/>
              </w:rPr>
              <w:t>*</w:t>
            </w:r>
            <w:r>
              <w:rPr>
                <w:rFonts w:hint="eastAsia"/>
                <w:sz w:val="20"/>
                <w:szCs w:val="20"/>
              </w:rPr>
              <w:t>指标分值</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当中期评估调整取消资金与结余注销资金之和为零时，得满分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720"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行政成本（</w:t>
            </w:r>
            <w:r>
              <w:rPr>
                <w:sz w:val="20"/>
                <w:szCs w:val="20"/>
              </w:rPr>
              <w:t>6</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三公经费（</w:t>
            </w:r>
            <w:r>
              <w:rPr>
                <w:sz w:val="20"/>
                <w:szCs w:val="20"/>
              </w:rPr>
              <w:t>6</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严格执行“三公经费”预算</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部门“三公”经费决算数一项超预算扣</w:t>
            </w:r>
            <w:r>
              <w:rPr>
                <w:sz w:val="20"/>
                <w:szCs w:val="20"/>
              </w:rPr>
              <w:t>1</w:t>
            </w:r>
            <w:r>
              <w:rPr>
                <w:rFonts w:hint="eastAsia"/>
                <w:sz w:val="20"/>
                <w:szCs w:val="20"/>
              </w:rPr>
              <w:t>分，两项超预算扣</w:t>
            </w:r>
            <w:r>
              <w:rPr>
                <w:sz w:val="20"/>
                <w:szCs w:val="20"/>
              </w:rPr>
              <w:t>2</w:t>
            </w:r>
            <w:r>
              <w:rPr>
                <w:rFonts w:hint="eastAsia"/>
                <w:sz w:val="20"/>
                <w:szCs w:val="20"/>
              </w:rPr>
              <w:t>分，以此类推，直至扣完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630" w:hRule="atLeast"/>
        </w:trPr>
        <w:tc>
          <w:tcPr>
            <w:tcW w:w="616" w:type="dxa"/>
            <w:vMerge w:val="restart"/>
            <w:tcBorders>
              <w:top w:val="nil"/>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综合管理（</w:t>
            </w:r>
            <w:r>
              <w:rPr>
                <w:sz w:val="20"/>
                <w:szCs w:val="20"/>
              </w:rPr>
              <w:t>40</w:t>
            </w:r>
            <w:r>
              <w:rPr>
                <w:rFonts w:hint="eastAsia"/>
                <w:sz w:val="20"/>
                <w:szCs w:val="20"/>
              </w:rPr>
              <w:t>分）</w:t>
            </w:r>
          </w:p>
        </w:tc>
        <w:tc>
          <w:tcPr>
            <w:tcW w:w="675" w:type="dxa"/>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政府采购实施计划（</w:t>
            </w:r>
            <w:r>
              <w:rPr>
                <w:sz w:val="20"/>
                <w:szCs w:val="20"/>
              </w:rPr>
              <w:t>4</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政府采购实施计划编制（</w:t>
            </w:r>
            <w:r>
              <w:rPr>
                <w:sz w:val="20"/>
                <w:szCs w:val="20"/>
              </w:rPr>
              <w:t>2</w:t>
            </w:r>
            <w:r>
              <w:rPr>
                <w:rFonts w:hint="eastAsia"/>
                <w:sz w:val="20"/>
                <w:szCs w:val="20"/>
              </w:rPr>
              <w:t>）</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实施计划与政府采购预算的一致性</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w:t>
            </w:r>
            <w:r>
              <w:rPr>
                <w:sz w:val="20"/>
                <w:szCs w:val="20"/>
              </w:rPr>
              <w:t>1-</w:t>
            </w:r>
            <w:r>
              <w:rPr>
                <w:rFonts w:hint="eastAsia"/>
                <w:sz w:val="20"/>
                <w:szCs w:val="20"/>
              </w:rPr>
              <w:t>调整或细化资金</w:t>
            </w:r>
            <w:r>
              <w:rPr>
                <w:sz w:val="20"/>
                <w:szCs w:val="20"/>
              </w:rPr>
              <w:t>/</w:t>
            </w:r>
            <w:r>
              <w:rPr>
                <w:rFonts w:hint="eastAsia"/>
                <w:sz w:val="20"/>
                <w:szCs w:val="20"/>
              </w:rPr>
              <w:t>政府采购预算资金）</w:t>
            </w:r>
            <w:r>
              <w:rPr>
                <w:sz w:val="20"/>
                <w:szCs w:val="20"/>
              </w:rPr>
              <w:t>*</w:t>
            </w:r>
            <w:r>
              <w:rPr>
                <w:rFonts w:hint="eastAsia"/>
                <w:sz w:val="20"/>
                <w:szCs w:val="20"/>
              </w:rPr>
              <w:t>分值</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76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政府采购实施计划的执行（</w:t>
            </w:r>
            <w:r>
              <w:rPr>
                <w:sz w:val="20"/>
                <w:szCs w:val="20"/>
              </w:rPr>
              <w:t>2</w:t>
            </w:r>
            <w:r>
              <w:rPr>
                <w:rFonts w:hint="eastAsia"/>
                <w:sz w:val="20"/>
                <w:szCs w:val="20"/>
              </w:rPr>
              <w:t>）</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执行的实施计划与备案的实施计划的一致性</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w:t>
            </w:r>
            <w:r>
              <w:rPr>
                <w:sz w:val="20"/>
                <w:szCs w:val="20"/>
              </w:rPr>
              <w:t>1-</w:t>
            </w:r>
            <w:r>
              <w:rPr>
                <w:rFonts w:hint="eastAsia"/>
                <w:sz w:val="20"/>
                <w:szCs w:val="20"/>
              </w:rPr>
              <w:t>实施计划备案后的调整或细化资金</w:t>
            </w:r>
            <w:r>
              <w:rPr>
                <w:sz w:val="20"/>
                <w:szCs w:val="20"/>
              </w:rPr>
              <w:t>/</w:t>
            </w:r>
            <w:r>
              <w:rPr>
                <w:rFonts w:hint="eastAsia"/>
                <w:sz w:val="20"/>
                <w:szCs w:val="20"/>
              </w:rPr>
              <w:t>实施计划备案后的资金）</w:t>
            </w:r>
            <w:r>
              <w:rPr>
                <w:sz w:val="20"/>
                <w:szCs w:val="20"/>
              </w:rPr>
              <w:t>*</w:t>
            </w:r>
            <w:r>
              <w:rPr>
                <w:rFonts w:hint="eastAsia"/>
                <w:sz w:val="20"/>
                <w:szCs w:val="20"/>
              </w:rPr>
              <w:t>分值</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20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资产管理（</w:t>
            </w:r>
            <w:r>
              <w:rPr>
                <w:sz w:val="20"/>
                <w:szCs w:val="20"/>
              </w:rPr>
              <w:t>6</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资产管理信息系统建设情况（</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考核部门和单位将国有资产纳入资产信息系统管理情况</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①未将所属单位国有资产纳入系统管理，每少一个单位扣</w:t>
            </w:r>
            <w:r>
              <w:rPr>
                <w:sz w:val="20"/>
                <w:szCs w:val="20"/>
              </w:rPr>
              <w:t>1</w:t>
            </w:r>
            <w:r>
              <w:rPr>
                <w:rFonts w:hint="eastAsia"/>
                <w:sz w:val="20"/>
                <w:szCs w:val="20"/>
              </w:rPr>
              <w:t>分。②未将资产变动情况及时录入系统，每次扣</w:t>
            </w:r>
            <w:r>
              <w:rPr>
                <w:sz w:val="20"/>
                <w:szCs w:val="20"/>
              </w:rPr>
              <w:t>0.5</w:t>
            </w:r>
            <w:r>
              <w:rPr>
                <w:rFonts w:hint="eastAsia"/>
                <w:sz w:val="20"/>
                <w:szCs w:val="20"/>
              </w:rPr>
              <w:t>分。③未落实人员负责管理系统，扣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216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行政事业单位资产清查开展情况（</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考核行政事业单位按要求及时、准确、全面开展资产清查工作情况</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①未在规定时间内完成资产清查任务扣</w:t>
            </w:r>
            <w:r>
              <w:rPr>
                <w:sz w:val="20"/>
                <w:szCs w:val="20"/>
              </w:rPr>
              <w:t>1</w:t>
            </w:r>
            <w:r>
              <w:rPr>
                <w:rFonts w:hint="eastAsia"/>
                <w:sz w:val="20"/>
                <w:szCs w:val="20"/>
              </w:rPr>
              <w:t>分。②资产清查结果与财政组织复核的结果误差超过</w:t>
            </w:r>
            <w:r>
              <w:rPr>
                <w:sz w:val="20"/>
                <w:szCs w:val="20"/>
              </w:rPr>
              <w:t>10%</w:t>
            </w:r>
            <w:r>
              <w:rPr>
                <w:rFonts w:hint="eastAsia"/>
                <w:sz w:val="20"/>
                <w:szCs w:val="20"/>
              </w:rPr>
              <w:t>的扣</w:t>
            </w:r>
            <w:r>
              <w:rPr>
                <w:sz w:val="20"/>
                <w:szCs w:val="20"/>
              </w:rPr>
              <w:t>1</w:t>
            </w:r>
            <w:r>
              <w:rPr>
                <w:rFonts w:hint="eastAsia"/>
                <w:sz w:val="20"/>
                <w:szCs w:val="20"/>
              </w:rPr>
              <w:t>分。③未及时按批复的清查结果进行账务调整扣</w:t>
            </w:r>
            <w:r>
              <w:rPr>
                <w:sz w:val="20"/>
                <w:szCs w:val="20"/>
              </w:rPr>
              <w:t>1</w:t>
            </w:r>
            <w:r>
              <w:rPr>
                <w:rFonts w:hint="eastAsia"/>
                <w:sz w:val="20"/>
                <w:szCs w:val="20"/>
              </w:rPr>
              <w:t>分。④未及时更新资产管理信息系统，导致系统资产数据与上报财政的资产清查结果不一致扣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44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行政事业单位资产报表上报情况（</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考核行政事业单位上报国有资产报表数据的真实性、准确性、全面性</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①未落实专人负责资产报表，未及时上报资产报表扣</w:t>
            </w:r>
            <w:r>
              <w:rPr>
                <w:sz w:val="20"/>
                <w:szCs w:val="20"/>
              </w:rPr>
              <w:t>1</w:t>
            </w:r>
            <w:r>
              <w:rPr>
                <w:rFonts w:hint="eastAsia"/>
                <w:sz w:val="20"/>
                <w:szCs w:val="20"/>
              </w:rPr>
              <w:t>分。②报表填报不规范，内容不完整，数据不真实，扣</w:t>
            </w:r>
            <w:r>
              <w:rPr>
                <w:sz w:val="20"/>
                <w:szCs w:val="20"/>
              </w:rPr>
              <w:t>1</w:t>
            </w:r>
            <w:r>
              <w:rPr>
                <w:rFonts w:hint="eastAsia"/>
                <w:sz w:val="20"/>
                <w:szCs w:val="20"/>
              </w:rPr>
              <w:t>分。③未提交分析报告，对资产变动情况未作分析说明，扣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47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tcBorders>
              <w:top w:val="nil"/>
              <w:left w:val="nil"/>
              <w:bottom w:val="nil"/>
              <w:right w:val="single" w:color="auto" w:sz="4" w:space="0"/>
            </w:tcBorders>
            <w:vAlign w:val="center"/>
          </w:tcPr>
          <w:p>
            <w:pPr>
              <w:rPr>
                <w:rFonts w:ascii="宋体" w:cs="宋体"/>
                <w:sz w:val="20"/>
                <w:szCs w:val="20"/>
              </w:rPr>
            </w:pPr>
            <w:r>
              <w:rPr>
                <w:rFonts w:hint="eastAsia"/>
                <w:sz w:val="20"/>
                <w:szCs w:val="20"/>
              </w:rPr>
              <w:t>内控制度管理（</w:t>
            </w:r>
            <w:r>
              <w:rPr>
                <w:sz w:val="20"/>
                <w:szCs w:val="20"/>
              </w:rPr>
              <w:t>4</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内部控制度健全完整（</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考核部门内部控制制度的设置和执行情况</w:t>
            </w:r>
          </w:p>
        </w:tc>
        <w:tc>
          <w:tcPr>
            <w:tcW w:w="850" w:type="dxa"/>
            <w:tcBorders>
              <w:top w:val="nil"/>
              <w:left w:val="nil"/>
              <w:bottom w:val="single" w:color="auto" w:sz="4" w:space="0"/>
              <w:right w:val="single" w:color="auto" w:sz="4" w:space="0"/>
            </w:tcBorders>
            <w:shd w:val="clear" w:color="000000" w:fill="FFFFFF"/>
            <w:vAlign w:val="center"/>
          </w:tcPr>
          <w:p>
            <w:pPr>
              <w:jc w:val="right"/>
              <w:rPr>
                <w:rFonts w:ascii="宋体" w:cs="宋体"/>
                <w:sz w:val="20"/>
                <w:szCs w:val="20"/>
              </w:rPr>
            </w:pPr>
            <w:r>
              <w:rPr>
                <w:sz w:val="20"/>
                <w:szCs w:val="20"/>
              </w:rPr>
              <w:t>1</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还不够完善</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内部控制制度健全完整并执行良好的得分，否则不得分。在本年度内因内控制度不健全或执行不到位，造成单位出现廉政风险或发生重大责任事故的不得分。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41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restart"/>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信息公开（</w:t>
            </w:r>
            <w:r>
              <w:rPr>
                <w:sz w:val="20"/>
                <w:szCs w:val="20"/>
              </w:rPr>
              <w:t>10</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预算公开（</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除涉密信息外，各部门要在财政部门批复后二十日内向社会公开本部门预算（含所有财政资金安排的“三公”经费、机关运行经费的安排、使用情况等）</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按县财政通知要求公开预算，未按要求公开的，发现一处扣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59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决算公开（</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除涉密信息外，各部门要在财政部门批复二十日内向社会公开本部门决算（含所有财政资金安排的“三公”经费、机关运行经费的安排、使用情况等）</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未按要求公开的，发现一处问题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02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绩效信息公开（</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按要求公开部门整体支出绩效自评报告及其他按要求应公开的绩效信息</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未按要求公开的，发现一处问题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53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绩效评价（</w:t>
            </w:r>
            <w:r>
              <w:rPr>
                <w:sz w:val="20"/>
                <w:szCs w:val="20"/>
              </w:rPr>
              <w:t>10</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评价项目覆盖率（</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部门实施绩效评价项目数量占部门管理专项预算项目数量的比重，部门申报绩效目标项目数量的比重，用以反映和考核部门实施绩效评价项目资金覆盖情况</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评价覆盖率</w:t>
            </w:r>
            <w:r>
              <w:rPr>
                <w:sz w:val="20"/>
                <w:szCs w:val="20"/>
              </w:rPr>
              <w:t>=</w:t>
            </w:r>
            <w:r>
              <w:rPr>
                <w:rFonts w:hint="eastAsia"/>
                <w:sz w:val="20"/>
                <w:szCs w:val="20"/>
              </w:rPr>
              <w:t>实施绩效评价项目数量</w:t>
            </w:r>
            <w:r>
              <w:rPr>
                <w:sz w:val="20"/>
                <w:szCs w:val="20"/>
              </w:rPr>
              <w:t>/</w:t>
            </w:r>
            <w:r>
              <w:rPr>
                <w:rFonts w:hint="eastAsia"/>
                <w:sz w:val="20"/>
                <w:szCs w:val="20"/>
              </w:rPr>
              <w:t>部门管理专项预算项目数量×</w:t>
            </w:r>
            <w:r>
              <w:rPr>
                <w:sz w:val="20"/>
                <w:szCs w:val="20"/>
              </w:rPr>
              <w:t>100%</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78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评价层次（</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部门（单位）是否对单位内部股室开展整体绩效评价</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对单位内部实施评价的得分，否则不得分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52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评价结果报告（</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部门是否按要求向财政部门报告自评报告等相关绩效信息</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未按要求报送的，发现一处扣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75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整改完成率（</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部门是否按要求针对绩效评价发现问题制定整改措施，并整改落实到位</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完成率</w:t>
            </w:r>
            <w:r>
              <w:rPr>
                <w:sz w:val="20"/>
                <w:szCs w:val="20"/>
              </w:rPr>
              <w:t>=</w:t>
            </w:r>
            <w:r>
              <w:rPr>
                <w:rFonts w:hint="eastAsia"/>
                <w:sz w:val="20"/>
                <w:szCs w:val="20"/>
              </w:rPr>
              <w:t>应制定整改措施的项目数量</w:t>
            </w:r>
            <w:r>
              <w:rPr>
                <w:sz w:val="20"/>
                <w:szCs w:val="20"/>
              </w:rPr>
              <w:t>/</w:t>
            </w:r>
            <w:r>
              <w:rPr>
                <w:rFonts w:hint="eastAsia"/>
                <w:sz w:val="20"/>
                <w:szCs w:val="20"/>
              </w:rPr>
              <w:t>部门实际制定整改措施项目数量×</w:t>
            </w:r>
            <w:r>
              <w:rPr>
                <w:sz w:val="20"/>
                <w:szCs w:val="20"/>
              </w:rPr>
              <w:t>100%</w:t>
            </w:r>
            <w:r>
              <w:rPr>
                <w:rFonts w:hint="eastAsia"/>
                <w:sz w:val="20"/>
                <w:szCs w:val="20"/>
              </w:rPr>
              <w:t>。</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66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依法接受财政监督（</w:t>
            </w:r>
            <w:r>
              <w:rPr>
                <w:sz w:val="20"/>
                <w:szCs w:val="20"/>
              </w:rPr>
              <w:t>6</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是否按要求开展自查自纠（</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根据相关自查自纠报告、报表报送时效和质量进行考核</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未在规定时间内报送自查自纠相关材料（包括：纸质和电子版）的，扣</w:t>
            </w:r>
            <w:r>
              <w:rPr>
                <w:sz w:val="20"/>
                <w:szCs w:val="20"/>
              </w:rPr>
              <w:t>0.5</w:t>
            </w:r>
            <w:r>
              <w:rPr>
                <w:rFonts w:hint="eastAsia"/>
                <w:sz w:val="20"/>
                <w:szCs w:val="20"/>
              </w:rPr>
              <w:t>分；报告内容不完整，扣</w:t>
            </w:r>
            <w:r>
              <w:rPr>
                <w:sz w:val="20"/>
                <w:szCs w:val="20"/>
              </w:rPr>
              <w:t>1</w:t>
            </w:r>
            <w:r>
              <w:rPr>
                <w:rFonts w:hint="eastAsia"/>
                <w:sz w:val="20"/>
                <w:szCs w:val="20"/>
              </w:rPr>
              <w:t>分；报表质量差（如：数据、逻辑、勾稽关系错误）等扣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88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重点检查发现违规违纪问题（</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根据检查组提供的工作底稿、检查报告等资料进行考核</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专项检查发现的违纪违规问题，每个问题扣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84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存在问题整改是否到位（</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根据相关整改报告、凭证依据等相关证明材料进行考核</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未在规定时间内完成整改，并提供相关证明材料的，每个问题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630" w:hRule="atLeast"/>
        </w:trPr>
        <w:tc>
          <w:tcPr>
            <w:tcW w:w="616" w:type="dxa"/>
            <w:vMerge w:val="restart"/>
            <w:tcBorders>
              <w:top w:val="nil"/>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整体效益（</w:t>
            </w:r>
            <w:r>
              <w:rPr>
                <w:sz w:val="20"/>
                <w:szCs w:val="20"/>
              </w:rPr>
              <w:t>30</w:t>
            </w:r>
            <w:r>
              <w:rPr>
                <w:rFonts w:hint="eastAsia"/>
                <w:sz w:val="20"/>
                <w:szCs w:val="20"/>
              </w:rPr>
              <w:t>分）</w:t>
            </w:r>
          </w:p>
        </w:tc>
        <w:tc>
          <w:tcPr>
            <w:tcW w:w="675" w:type="dxa"/>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部门整体绩效（</w:t>
            </w:r>
            <w:r>
              <w:rPr>
                <w:sz w:val="20"/>
                <w:szCs w:val="20"/>
              </w:rPr>
              <w:t>30</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重点项目绩效评价结果（</w:t>
            </w:r>
            <w:r>
              <w:rPr>
                <w:sz w:val="20"/>
                <w:szCs w:val="20"/>
              </w:rPr>
              <w:t>10</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部门实施重大项目的经济、社会效益</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根据县财政组织实施项目绩效评价结果换算</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31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部门职能完成情况特性指标（</w:t>
            </w:r>
            <w:r>
              <w:rPr>
                <w:sz w:val="20"/>
                <w:szCs w:val="20"/>
              </w:rPr>
              <w:t>20</w:t>
            </w:r>
            <w:r>
              <w:rPr>
                <w:rFonts w:hint="eastAsia"/>
                <w:sz w:val="20"/>
                <w:szCs w:val="20"/>
              </w:rPr>
              <w:t>分）</w:t>
            </w:r>
          </w:p>
        </w:tc>
        <w:tc>
          <w:tcPr>
            <w:tcW w:w="2552" w:type="dxa"/>
            <w:gridSpan w:val="2"/>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850" w:type="dxa"/>
            <w:vMerge w:val="restart"/>
            <w:tcBorders>
              <w:top w:val="nil"/>
              <w:left w:val="single" w:color="auto" w:sz="4" w:space="0"/>
              <w:bottom w:val="single" w:color="000000" w:sz="4" w:space="0"/>
              <w:right w:val="single" w:color="auto" w:sz="4" w:space="0"/>
            </w:tcBorders>
            <w:shd w:val="clear" w:color="000000" w:fill="FFFFFF"/>
            <w:vAlign w:val="center"/>
          </w:tcPr>
          <w:p>
            <w:pPr>
              <w:jc w:val="center"/>
              <w:rPr>
                <w:rFonts w:ascii="宋体" w:cs="宋体"/>
                <w:sz w:val="20"/>
                <w:szCs w:val="20"/>
              </w:rPr>
            </w:pPr>
            <w:r>
              <w:rPr>
                <w:sz w:val="20"/>
                <w:szCs w:val="20"/>
              </w:rPr>
              <w:t>0.5</w:t>
            </w:r>
          </w:p>
        </w:tc>
        <w:tc>
          <w:tcPr>
            <w:tcW w:w="709" w:type="dxa"/>
            <w:vMerge w:val="restart"/>
            <w:tcBorders>
              <w:top w:val="nil"/>
              <w:left w:val="single" w:color="auto" w:sz="4" w:space="0"/>
              <w:bottom w:val="single" w:color="000000" w:sz="4" w:space="0"/>
              <w:right w:val="single" w:color="auto" w:sz="4" w:space="0"/>
            </w:tcBorders>
            <w:shd w:val="clear" w:color="000000" w:fill="FFFFFF"/>
            <w:vAlign w:val="center"/>
          </w:tcPr>
          <w:p>
            <w:pPr>
              <w:jc w:val="center"/>
              <w:rPr>
                <w:rFonts w:ascii="宋体" w:cs="宋体"/>
                <w:sz w:val="20"/>
                <w:szCs w:val="20"/>
              </w:rPr>
            </w:pPr>
            <w:r>
              <w:rPr>
                <w:rFonts w:hint="eastAsia"/>
                <w:sz w:val="20"/>
                <w:szCs w:val="20"/>
              </w:rPr>
              <w:t>还需进一步加强</w:t>
            </w:r>
          </w:p>
        </w:tc>
        <w:tc>
          <w:tcPr>
            <w:tcW w:w="1559" w:type="dxa"/>
            <w:gridSpan w:val="2"/>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部门和评价组根据部门实际设置</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147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2552" w:type="dxa"/>
            <w:gridSpan w:val="2"/>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850"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709"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CellMar>
            <w:top w:w="0" w:type="dxa"/>
            <w:left w:w="108" w:type="dxa"/>
            <w:bottom w:w="0" w:type="dxa"/>
            <w:right w:w="108" w:type="dxa"/>
          </w:tblCellMar>
        </w:tblPrEx>
        <w:trPr>
          <w:gridAfter w:val="3"/>
          <w:wAfter w:w="11944" w:type="dxa"/>
          <w:trHeight w:val="420" w:hRule="atLeast"/>
        </w:trPr>
        <w:tc>
          <w:tcPr>
            <w:tcW w:w="8662" w:type="dxa"/>
            <w:gridSpan w:val="10"/>
            <w:tcBorders>
              <w:top w:val="single" w:color="auto" w:sz="4" w:space="0"/>
              <w:left w:val="nil"/>
              <w:bottom w:val="nil"/>
              <w:right w:val="nil"/>
            </w:tcBorders>
            <w:vAlign w:val="center"/>
          </w:tcPr>
          <w:p>
            <w:pPr>
              <w:rPr>
                <w:rFonts w:ascii="宋体" w:cs="宋体"/>
                <w:b/>
                <w:bCs/>
                <w:sz w:val="20"/>
                <w:szCs w:val="20"/>
              </w:rPr>
            </w:pPr>
            <w:r>
              <w:rPr>
                <w:rFonts w:hint="eastAsia"/>
                <w:b/>
                <w:bCs/>
                <w:sz w:val="20"/>
                <w:szCs w:val="20"/>
              </w:rPr>
              <w:t>注：若某部门不存在某项评价内容或评价指标，则该评价内容或评价指标不计入该部门考核评价范围，即该部门评价总分＝不含该评价内容或指标的评价总分</w:t>
            </w:r>
            <w:r>
              <w:rPr>
                <w:b/>
                <w:bCs/>
                <w:sz w:val="20"/>
                <w:szCs w:val="20"/>
              </w:rPr>
              <w:t>/</w:t>
            </w:r>
            <w:r>
              <w:rPr>
                <w:rFonts w:hint="eastAsia"/>
                <w:b/>
                <w:bCs/>
                <w:sz w:val="20"/>
                <w:szCs w:val="20"/>
              </w:rPr>
              <w:t>（</w:t>
            </w:r>
            <w:r>
              <w:rPr>
                <w:b/>
                <w:bCs/>
                <w:sz w:val="20"/>
                <w:szCs w:val="20"/>
              </w:rPr>
              <w:t>100-</w:t>
            </w:r>
            <w:r>
              <w:rPr>
                <w:rFonts w:hint="eastAsia"/>
                <w:b/>
                <w:bCs/>
                <w:sz w:val="20"/>
                <w:szCs w:val="20"/>
              </w:rPr>
              <w:t>该评价内容或指标所占分值）</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bl>
    <w:p>
      <w:pPr>
        <w:spacing w:line="576" w:lineRule="exact"/>
        <w:jc w:val="center"/>
        <w:rPr>
          <w:rStyle w:val="16"/>
          <w:rFonts w:ascii="方正小标宋简体" w:hAnsi="方正小标宋简体" w:eastAsia="方正小标宋简体" w:cs="方正小标宋简体"/>
          <w:b w:val="0"/>
        </w:rPr>
      </w:pPr>
      <w:bookmarkStart w:id="60" w:name="_Toc15396618"/>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r>
        <w:rPr>
          <w:rStyle w:val="16"/>
          <w:rFonts w:hint="eastAsia" w:ascii="方正小标宋简体" w:hAnsi="方正小标宋简体" w:eastAsia="方正小标宋简体" w:cs="方正小标宋简体"/>
          <w:b w:val="0"/>
        </w:rPr>
        <w:t>第五部分</w:t>
      </w:r>
      <w:r>
        <w:rPr>
          <w:rStyle w:val="16"/>
          <w:rFonts w:ascii="方正小标宋简体" w:hAnsi="方正小标宋简体" w:eastAsia="方正小标宋简体" w:cs="方正小标宋简体"/>
          <w:b w:val="0"/>
        </w:rPr>
        <w:t xml:space="preserve"> </w:t>
      </w:r>
      <w:r>
        <w:rPr>
          <w:rStyle w:val="16"/>
          <w:rFonts w:hint="eastAsia" w:ascii="方正小标宋简体" w:hAnsi="方正小标宋简体" w:eastAsia="方正小标宋简体" w:cs="方正小标宋简体"/>
          <w:b w:val="0"/>
        </w:rPr>
        <w:t>附表</w:t>
      </w:r>
      <w:bookmarkEnd w:id="58"/>
      <w:bookmarkEnd w:id="60"/>
      <w:bookmarkStart w:id="61" w:name="_Toc15396619"/>
    </w:p>
    <w:p>
      <w:pPr>
        <w:spacing w:line="576" w:lineRule="exact"/>
        <w:ind w:firstLine="640" w:firstLineChars="200"/>
        <w:rPr>
          <w:rStyle w:val="17"/>
          <w:rFonts w:ascii="仿宋_GB2312" w:hAnsi="仿宋" w:eastAsia="仿宋_GB2312" w:cs="仿宋"/>
          <w:b w:val="0"/>
          <w:bCs w:val="0"/>
        </w:rPr>
      </w:pPr>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一、收入支出决算总表</w:t>
      </w:r>
      <w:bookmarkEnd w:id="61"/>
      <w:bookmarkStart w:id="62" w:name="_Toc15396620"/>
    </w:p>
    <w:p>
      <w:pPr>
        <w:spacing w:line="576" w:lineRule="exact"/>
        <w:ind w:firstLine="640" w:firstLineChars="200"/>
        <w:rPr>
          <w:rStyle w:val="17"/>
          <w:rFonts w:ascii="仿宋_GB2312" w:hAnsi="仿宋" w:eastAsia="仿宋_GB2312" w:cs="仿宋"/>
          <w:b w:val="0"/>
          <w:bCs w:val="0"/>
        </w:rPr>
      </w:pPr>
      <w:r>
        <w:rPr>
          <w:rFonts w:hint="eastAsia" w:ascii="仿宋_GB2312" w:hAnsi="仿宋" w:eastAsia="仿宋_GB2312" w:cs="仿宋"/>
          <w:color w:val="000000"/>
          <w:sz w:val="32"/>
          <w:szCs w:val="32"/>
        </w:rPr>
        <w:t>二、收</w:t>
      </w:r>
      <w:r>
        <w:rPr>
          <w:rStyle w:val="17"/>
          <w:rFonts w:hint="eastAsia" w:ascii="仿宋_GB2312" w:hAnsi="仿宋" w:eastAsia="仿宋_GB2312" w:cs="仿宋"/>
          <w:b w:val="0"/>
          <w:bCs w:val="0"/>
        </w:rPr>
        <w:t>入总表</w:t>
      </w:r>
      <w:bookmarkEnd w:id="62"/>
      <w:bookmarkStart w:id="63" w:name="_Toc15396621"/>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三、</w:t>
      </w:r>
      <w:r>
        <w:rPr>
          <w:rFonts w:hint="eastAsia" w:ascii="仿宋_GB2312" w:hAnsi="仿宋" w:eastAsia="仿宋_GB2312" w:cs="仿宋"/>
          <w:color w:val="000000"/>
          <w:sz w:val="32"/>
          <w:szCs w:val="32"/>
        </w:rPr>
        <w:t>支</w:t>
      </w:r>
      <w:r>
        <w:rPr>
          <w:rStyle w:val="17"/>
          <w:rFonts w:hint="eastAsia" w:ascii="仿宋_GB2312" w:hAnsi="仿宋" w:eastAsia="仿宋_GB2312" w:cs="仿宋"/>
          <w:b w:val="0"/>
          <w:bCs w:val="0"/>
        </w:rPr>
        <w:t>出总表</w:t>
      </w:r>
      <w:bookmarkEnd w:id="63"/>
      <w:bookmarkStart w:id="64" w:name="_Toc15396622"/>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四、</w:t>
      </w:r>
      <w:r>
        <w:rPr>
          <w:rFonts w:hint="eastAsia" w:ascii="仿宋_GB2312" w:hAnsi="仿宋" w:eastAsia="仿宋_GB2312" w:cs="仿宋"/>
          <w:color w:val="000000"/>
          <w:sz w:val="32"/>
          <w:szCs w:val="32"/>
        </w:rPr>
        <w:t>财</w:t>
      </w:r>
      <w:r>
        <w:rPr>
          <w:rStyle w:val="17"/>
          <w:rFonts w:hint="eastAsia" w:ascii="仿宋_GB2312" w:hAnsi="仿宋" w:eastAsia="仿宋_GB2312" w:cs="仿宋"/>
          <w:b w:val="0"/>
          <w:bCs w:val="0"/>
        </w:rPr>
        <w:t>政拨款收入支出决算总表</w:t>
      </w:r>
      <w:bookmarkEnd w:id="64"/>
      <w:bookmarkStart w:id="65" w:name="_Toc15396623"/>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五、</w:t>
      </w:r>
      <w:r>
        <w:rPr>
          <w:rFonts w:hint="eastAsia" w:ascii="仿宋_GB2312" w:hAnsi="仿宋" w:eastAsia="仿宋_GB2312" w:cs="仿宋"/>
          <w:color w:val="000000"/>
          <w:sz w:val="32"/>
          <w:szCs w:val="32"/>
        </w:rPr>
        <w:t>财</w:t>
      </w:r>
      <w:r>
        <w:rPr>
          <w:rStyle w:val="17"/>
          <w:rFonts w:hint="eastAsia" w:ascii="仿宋_GB2312" w:hAnsi="仿宋" w:eastAsia="仿宋_GB2312" w:cs="仿宋"/>
          <w:b w:val="0"/>
          <w:bCs w:val="0"/>
        </w:rPr>
        <w:t>政拨款支出决算明细表（政府经济分类科目）</w:t>
      </w:r>
      <w:bookmarkEnd w:id="65"/>
      <w:bookmarkStart w:id="66" w:name="_Toc15396624"/>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六、</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般公共预算财政拨款支出决算表</w:t>
      </w:r>
      <w:bookmarkEnd w:id="66"/>
      <w:bookmarkStart w:id="67" w:name="_Toc15396625"/>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七、</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般公共预算财政拨款支出决算明细表</w:t>
      </w:r>
      <w:bookmarkEnd w:id="67"/>
      <w:bookmarkStart w:id="68" w:name="_Toc15396626"/>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八、</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般公共预算财政拨款基本支出决算表</w:t>
      </w:r>
      <w:bookmarkEnd w:id="68"/>
      <w:bookmarkStart w:id="69" w:name="_Toc15396627"/>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九、</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般公共预算财政拨款项目支出决算表</w:t>
      </w:r>
      <w:bookmarkEnd w:id="69"/>
      <w:bookmarkStart w:id="70" w:name="_Toc15396628"/>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十、</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般公共预算财政拨款“三公”经费支出决算表</w:t>
      </w:r>
      <w:bookmarkEnd w:id="70"/>
      <w:bookmarkStart w:id="71" w:name="_Toc15396629"/>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十一、</w:t>
      </w:r>
      <w:r>
        <w:rPr>
          <w:rFonts w:hint="eastAsia" w:ascii="仿宋_GB2312" w:hAnsi="仿宋" w:eastAsia="仿宋_GB2312" w:cs="仿宋"/>
          <w:color w:val="000000"/>
          <w:sz w:val="32"/>
          <w:szCs w:val="32"/>
        </w:rPr>
        <w:t>政</w:t>
      </w:r>
      <w:r>
        <w:rPr>
          <w:rStyle w:val="17"/>
          <w:rFonts w:hint="eastAsia" w:ascii="仿宋_GB2312" w:hAnsi="仿宋" w:eastAsia="仿宋_GB2312" w:cs="仿宋"/>
          <w:b w:val="0"/>
          <w:bCs w:val="0"/>
        </w:rPr>
        <w:t>府性基金预算财政拨款收入支出决算表</w:t>
      </w:r>
      <w:bookmarkEnd w:id="71"/>
      <w:bookmarkStart w:id="72" w:name="_Toc15396630"/>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十二、</w:t>
      </w:r>
      <w:r>
        <w:rPr>
          <w:rFonts w:hint="eastAsia" w:ascii="仿宋_GB2312" w:hAnsi="仿宋" w:eastAsia="仿宋_GB2312" w:cs="仿宋"/>
          <w:color w:val="000000"/>
          <w:sz w:val="32"/>
          <w:szCs w:val="32"/>
        </w:rPr>
        <w:t>政</w:t>
      </w:r>
      <w:r>
        <w:rPr>
          <w:rStyle w:val="17"/>
          <w:rFonts w:hint="eastAsia" w:ascii="仿宋_GB2312" w:hAnsi="仿宋" w:eastAsia="仿宋_GB2312" w:cs="仿宋"/>
          <w:b w:val="0"/>
          <w:bCs w:val="0"/>
        </w:rPr>
        <w:t>府性基金预算财政拨款“三公”经费支出决算表</w:t>
      </w:r>
      <w:bookmarkEnd w:id="72"/>
      <w:bookmarkStart w:id="73" w:name="_Toc15396631"/>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十三、</w:t>
      </w:r>
      <w:r>
        <w:rPr>
          <w:rFonts w:hint="eastAsia" w:ascii="仿宋_GB2312" w:hAnsi="仿宋" w:eastAsia="仿宋_GB2312" w:cs="仿宋"/>
          <w:color w:val="000000"/>
          <w:sz w:val="32"/>
          <w:szCs w:val="32"/>
        </w:rPr>
        <w:t>国</w:t>
      </w:r>
      <w:r>
        <w:rPr>
          <w:rStyle w:val="17"/>
          <w:rFonts w:hint="eastAsia" w:ascii="仿宋_GB2312" w:hAnsi="仿宋" w:eastAsia="仿宋_GB2312" w:cs="仿宋"/>
          <w:b w:val="0"/>
          <w:bCs w:val="0"/>
        </w:rPr>
        <w:t>有资本经营预算支出决算表</w:t>
      </w:r>
      <w:bookmarkEnd w:id="73"/>
    </w:p>
    <w:p>
      <w:pPr>
        <w:spacing w:line="576" w:lineRule="exact"/>
        <w:ind w:firstLine="640" w:firstLineChars="200"/>
        <w:rPr>
          <w:rStyle w:val="17"/>
          <w:rFonts w:ascii="仿宋_GB2312" w:hAnsi="仿宋" w:eastAsia="仿宋_GB2312" w:cs="仿宋"/>
          <w:b w:val="0"/>
          <w:bCs w:val="0"/>
        </w:rPr>
      </w:pPr>
    </w:p>
    <w:p>
      <w:pPr>
        <w:spacing w:line="576" w:lineRule="exact"/>
        <w:ind w:firstLine="640" w:firstLineChars="200"/>
        <w:rPr>
          <w:rStyle w:val="17"/>
          <w:rFonts w:ascii="仿宋_GB2312" w:hAnsi="仿宋" w:eastAsia="仿宋_GB2312" w:cs="仿宋"/>
          <w:b w:val="0"/>
          <w:bCs w:val="0"/>
        </w:rPr>
      </w:pPr>
    </w:p>
    <w:p>
      <w:pPr>
        <w:spacing w:line="576" w:lineRule="exact"/>
        <w:ind w:firstLine="5600" w:firstLineChars="1750"/>
        <w:rPr>
          <w:rStyle w:val="17"/>
          <w:rFonts w:ascii="仿宋_GB2312" w:hAnsi="仿宋" w:eastAsia="仿宋_GB2312" w:cs="仿宋"/>
          <w:b w:val="0"/>
          <w:bCs w:val="0"/>
        </w:rPr>
      </w:pPr>
    </w:p>
    <w:p>
      <w:pPr>
        <w:spacing w:line="576" w:lineRule="exact"/>
        <w:ind w:firstLine="5120" w:firstLineChars="1600"/>
        <w:rPr>
          <w:rStyle w:val="17"/>
          <w:rFonts w:ascii="仿宋_GB2312" w:hAnsi="仿宋" w:eastAsia="仿宋_GB2312" w:cs="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26</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7F63"/>
    <w:rsid w:val="00013D70"/>
    <w:rsid w:val="000222C6"/>
    <w:rsid w:val="0002549F"/>
    <w:rsid w:val="000414CB"/>
    <w:rsid w:val="00051733"/>
    <w:rsid w:val="0005578C"/>
    <w:rsid w:val="00064533"/>
    <w:rsid w:val="0006487A"/>
    <w:rsid w:val="00065F8F"/>
    <w:rsid w:val="00075D6E"/>
    <w:rsid w:val="000768F2"/>
    <w:rsid w:val="00081D88"/>
    <w:rsid w:val="00084AE0"/>
    <w:rsid w:val="00090225"/>
    <w:rsid w:val="0009184B"/>
    <w:rsid w:val="0009513E"/>
    <w:rsid w:val="0009593C"/>
    <w:rsid w:val="000A62C6"/>
    <w:rsid w:val="000B047F"/>
    <w:rsid w:val="000B5923"/>
    <w:rsid w:val="000B5A48"/>
    <w:rsid w:val="000B6FF3"/>
    <w:rsid w:val="000C0F6A"/>
    <w:rsid w:val="000C2B20"/>
    <w:rsid w:val="000C3467"/>
    <w:rsid w:val="000C3CA6"/>
    <w:rsid w:val="000D1267"/>
    <w:rsid w:val="000D17D3"/>
    <w:rsid w:val="000D1D50"/>
    <w:rsid w:val="000D5782"/>
    <w:rsid w:val="000E6613"/>
    <w:rsid w:val="000E7119"/>
    <w:rsid w:val="000F000B"/>
    <w:rsid w:val="000F1998"/>
    <w:rsid w:val="00114E9B"/>
    <w:rsid w:val="00117AAA"/>
    <w:rsid w:val="0013177E"/>
    <w:rsid w:val="001379A7"/>
    <w:rsid w:val="0014729F"/>
    <w:rsid w:val="00157696"/>
    <w:rsid w:val="00157BAB"/>
    <w:rsid w:val="001654D1"/>
    <w:rsid w:val="001725B6"/>
    <w:rsid w:val="0018052F"/>
    <w:rsid w:val="0018106D"/>
    <w:rsid w:val="001877A7"/>
    <w:rsid w:val="00191536"/>
    <w:rsid w:val="00193F1F"/>
    <w:rsid w:val="0019409B"/>
    <w:rsid w:val="00196687"/>
    <w:rsid w:val="001A65AA"/>
    <w:rsid w:val="001C0962"/>
    <w:rsid w:val="001D7531"/>
    <w:rsid w:val="001E2BCA"/>
    <w:rsid w:val="001E737D"/>
    <w:rsid w:val="001F0592"/>
    <w:rsid w:val="001F0B89"/>
    <w:rsid w:val="001F3A4F"/>
    <w:rsid w:val="001F7506"/>
    <w:rsid w:val="002006CD"/>
    <w:rsid w:val="00202371"/>
    <w:rsid w:val="00202B36"/>
    <w:rsid w:val="00204B7A"/>
    <w:rsid w:val="00206201"/>
    <w:rsid w:val="0021101A"/>
    <w:rsid w:val="00212DEB"/>
    <w:rsid w:val="0021328E"/>
    <w:rsid w:val="0021690E"/>
    <w:rsid w:val="00220536"/>
    <w:rsid w:val="00234318"/>
    <w:rsid w:val="00235629"/>
    <w:rsid w:val="00237AE5"/>
    <w:rsid w:val="002428A8"/>
    <w:rsid w:val="00242CC3"/>
    <w:rsid w:val="0025228B"/>
    <w:rsid w:val="00260C38"/>
    <w:rsid w:val="002616C0"/>
    <w:rsid w:val="0026610E"/>
    <w:rsid w:val="002662AA"/>
    <w:rsid w:val="00276B95"/>
    <w:rsid w:val="00280496"/>
    <w:rsid w:val="00284AAD"/>
    <w:rsid w:val="00287782"/>
    <w:rsid w:val="00295495"/>
    <w:rsid w:val="002B2613"/>
    <w:rsid w:val="002B6CDB"/>
    <w:rsid w:val="002C31D7"/>
    <w:rsid w:val="002C5ACB"/>
    <w:rsid w:val="002E42E0"/>
    <w:rsid w:val="002F1818"/>
    <w:rsid w:val="002F567B"/>
    <w:rsid w:val="003057CF"/>
    <w:rsid w:val="0031053F"/>
    <w:rsid w:val="003137FC"/>
    <w:rsid w:val="003216A9"/>
    <w:rsid w:val="00322653"/>
    <w:rsid w:val="00352D6A"/>
    <w:rsid w:val="00363850"/>
    <w:rsid w:val="0037013F"/>
    <w:rsid w:val="00371F42"/>
    <w:rsid w:val="00380C92"/>
    <w:rsid w:val="003855D1"/>
    <w:rsid w:val="003904EB"/>
    <w:rsid w:val="003A484F"/>
    <w:rsid w:val="003A5A94"/>
    <w:rsid w:val="003B0BE0"/>
    <w:rsid w:val="003B0C1B"/>
    <w:rsid w:val="003B5FBA"/>
    <w:rsid w:val="003B688C"/>
    <w:rsid w:val="003C0291"/>
    <w:rsid w:val="003C2AA4"/>
    <w:rsid w:val="003C39AE"/>
    <w:rsid w:val="003C5E9F"/>
    <w:rsid w:val="003C7279"/>
    <w:rsid w:val="003C78E5"/>
    <w:rsid w:val="003C7B60"/>
    <w:rsid w:val="003D1FB2"/>
    <w:rsid w:val="003D66DA"/>
    <w:rsid w:val="003E1310"/>
    <w:rsid w:val="003E34B0"/>
    <w:rsid w:val="003E5081"/>
    <w:rsid w:val="003E6F55"/>
    <w:rsid w:val="003F2878"/>
    <w:rsid w:val="003F6C2F"/>
    <w:rsid w:val="0040370C"/>
    <w:rsid w:val="00406254"/>
    <w:rsid w:val="004223DE"/>
    <w:rsid w:val="00426F2C"/>
    <w:rsid w:val="00434489"/>
    <w:rsid w:val="0043497D"/>
    <w:rsid w:val="00437085"/>
    <w:rsid w:val="00440C43"/>
    <w:rsid w:val="00443880"/>
    <w:rsid w:val="004464F4"/>
    <w:rsid w:val="00460321"/>
    <w:rsid w:val="00471401"/>
    <w:rsid w:val="00472A1D"/>
    <w:rsid w:val="00473F31"/>
    <w:rsid w:val="0047753E"/>
    <w:rsid w:val="00482131"/>
    <w:rsid w:val="0048263A"/>
    <w:rsid w:val="00487E5D"/>
    <w:rsid w:val="00492220"/>
    <w:rsid w:val="00492622"/>
    <w:rsid w:val="004A6945"/>
    <w:rsid w:val="004A711F"/>
    <w:rsid w:val="004B199D"/>
    <w:rsid w:val="004B4690"/>
    <w:rsid w:val="004B7630"/>
    <w:rsid w:val="004E0A2D"/>
    <w:rsid w:val="004E206B"/>
    <w:rsid w:val="004E6DF7"/>
    <w:rsid w:val="004F0FBD"/>
    <w:rsid w:val="00505A47"/>
    <w:rsid w:val="00512FDA"/>
    <w:rsid w:val="005158D9"/>
    <w:rsid w:val="005209CD"/>
    <w:rsid w:val="00520DA0"/>
    <w:rsid w:val="0053294B"/>
    <w:rsid w:val="00534734"/>
    <w:rsid w:val="00541481"/>
    <w:rsid w:val="005521C0"/>
    <w:rsid w:val="00557AA3"/>
    <w:rsid w:val="005664BB"/>
    <w:rsid w:val="0057481D"/>
    <w:rsid w:val="00576554"/>
    <w:rsid w:val="00577F89"/>
    <w:rsid w:val="00582EF1"/>
    <w:rsid w:val="0058446B"/>
    <w:rsid w:val="0058486E"/>
    <w:rsid w:val="005933F8"/>
    <w:rsid w:val="00596AC7"/>
    <w:rsid w:val="005A5FA2"/>
    <w:rsid w:val="005D1A4B"/>
    <w:rsid w:val="005D1C8B"/>
    <w:rsid w:val="005D5CED"/>
    <w:rsid w:val="005E0A88"/>
    <w:rsid w:val="005E7276"/>
    <w:rsid w:val="005E788B"/>
    <w:rsid w:val="005F1A4C"/>
    <w:rsid w:val="005F22F0"/>
    <w:rsid w:val="00600815"/>
    <w:rsid w:val="0060146A"/>
    <w:rsid w:val="00605688"/>
    <w:rsid w:val="00606DAD"/>
    <w:rsid w:val="006070AF"/>
    <w:rsid w:val="00607E6C"/>
    <w:rsid w:val="006101B1"/>
    <w:rsid w:val="00614958"/>
    <w:rsid w:val="00614E44"/>
    <w:rsid w:val="0061623D"/>
    <w:rsid w:val="006173EC"/>
    <w:rsid w:val="00622830"/>
    <w:rsid w:val="00630AEF"/>
    <w:rsid w:val="006325F8"/>
    <w:rsid w:val="00634C9A"/>
    <w:rsid w:val="00635F70"/>
    <w:rsid w:val="006440E4"/>
    <w:rsid w:val="0065098A"/>
    <w:rsid w:val="00654879"/>
    <w:rsid w:val="00662018"/>
    <w:rsid w:val="0066343B"/>
    <w:rsid w:val="00664777"/>
    <w:rsid w:val="006662A3"/>
    <w:rsid w:val="006748A4"/>
    <w:rsid w:val="00683E73"/>
    <w:rsid w:val="006842C9"/>
    <w:rsid w:val="006A3141"/>
    <w:rsid w:val="006A49A1"/>
    <w:rsid w:val="006A5E34"/>
    <w:rsid w:val="006B04BC"/>
    <w:rsid w:val="006B2422"/>
    <w:rsid w:val="006B2B9A"/>
    <w:rsid w:val="006B4887"/>
    <w:rsid w:val="006C1937"/>
    <w:rsid w:val="006D0A30"/>
    <w:rsid w:val="006E4F2C"/>
    <w:rsid w:val="006E6E7F"/>
    <w:rsid w:val="006F020C"/>
    <w:rsid w:val="0070599D"/>
    <w:rsid w:val="007127B7"/>
    <w:rsid w:val="00712C80"/>
    <w:rsid w:val="00714169"/>
    <w:rsid w:val="0072657A"/>
    <w:rsid w:val="00735BCF"/>
    <w:rsid w:val="007416B6"/>
    <w:rsid w:val="00746F48"/>
    <w:rsid w:val="0075404D"/>
    <w:rsid w:val="00756C03"/>
    <w:rsid w:val="0076182A"/>
    <w:rsid w:val="00767B7E"/>
    <w:rsid w:val="007770C3"/>
    <w:rsid w:val="00782C5B"/>
    <w:rsid w:val="00784D24"/>
    <w:rsid w:val="00785FBA"/>
    <w:rsid w:val="00786E4A"/>
    <w:rsid w:val="007875EB"/>
    <w:rsid w:val="0079426B"/>
    <w:rsid w:val="007A5BAC"/>
    <w:rsid w:val="007A5FD9"/>
    <w:rsid w:val="007B4931"/>
    <w:rsid w:val="007D18F7"/>
    <w:rsid w:val="007D312A"/>
    <w:rsid w:val="007D3F19"/>
    <w:rsid w:val="007E23B0"/>
    <w:rsid w:val="007E5F55"/>
    <w:rsid w:val="007F1991"/>
    <w:rsid w:val="007F2C2F"/>
    <w:rsid w:val="007F55FC"/>
    <w:rsid w:val="007F5665"/>
    <w:rsid w:val="00800112"/>
    <w:rsid w:val="00806F52"/>
    <w:rsid w:val="00812344"/>
    <w:rsid w:val="00820A97"/>
    <w:rsid w:val="008253BB"/>
    <w:rsid w:val="008322E2"/>
    <w:rsid w:val="00834A2D"/>
    <w:rsid w:val="00835699"/>
    <w:rsid w:val="0083706E"/>
    <w:rsid w:val="008423A5"/>
    <w:rsid w:val="00850625"/>
    <w:rsid w:val="00853718"/>
    <w:rsid w:val="00855221"/>
    <w:rsid w:val="00860645"/>
    <w:rsid w:val="00863317"/>
    <w:rsid w:val="00871F71"/>
    <w:rsid w:val="00885AF4"/>
    <w:rsid w:val="00886BDA"/>
    <w:rsid w:val="00892FC0"/>
    <w:rsid w:val="008939CD"/>
    <w:rsid w:val="008A0634"/>
    <w:rsid w:val="008A17BA"/>
    <w:rsid w:val="008A1EBB"/>
    <w:rsid w:val="008B71E9"/>
    <w:rsid w:val="008B768C"/>
    <w:rsid w:val="008C165F"/>
    <w:rsid w:val="008C4DB1"/>
    <w:rsid w:val="008C4EAF"/>
    <w:rsid w:val="008C5176"/>
    <w:rsid w:val="008C7FD0"/>
    <w:rsid w:val="008D44CE"/>
    <w:rsid w:val="008D6F58"/>
    <w:rsid w:val="008E1DE7"/>
    <w:rsid w:val="008E3FAD"/>
    <w:rsid w:val="008E707C"/>
    <w:rsid w:val="00900B08"/>
    <w:rsid w:val="009011B2"/>
    <w:rsid w:val="00902155"/>
    <w:rsid w:val="00902FA3"/>
    <w:rsid w:val="009051DB"/>
    <w:rsid w:val="00923564"/>
    <w:rsid w:val="0092392E"/>
    <w:rsid w:val="00923CA2"/>
    <w:rsid w:val="009315F9"/>
    <w:rsid w:val="00943009"/>
    <w:rsid w:val="00946945"/>
    <w:rsid w:val="00951248"/>
    <w:rsid w:val="0095152F"/>
    <w:rsid w:val="00954C49"/>
    <w:rsid w:val="00955B83"/>
    <w:rsid w:val="00956980"/>
    <w:rsid w:val="0097099F"/>
    <w:rsid w:val="00971997"/>
    <w:rsid w:val="00971D98"/>
    <w:rsid w:val="00971FFC"/>
    <w:rsid w:val="0097346B"/>
    <w:rsid w:val="0098660A"/>
    <w:rsid w:val="00986D00"/>
    <w:rsid w:val="009931C3"/>
    <w:rsid w:val="00995AD0"/>
    <w:rsid w:val="009B2C43"/>
    <w:rsid w:val="009B4EAE"/>
    <w:rsid w:val="009B62C5"/>
    <w:rsid w:val="009B7573"/>
    <w:rsid w:val="009C22F4"/>
    <w:rsid w:val="009C2E98"/>
    <w:rsid w:val="009D3447"/>
    <w:rsid w:val="009D4711"/>
    <w:rsid w:val="009D6C4B"/>
    <w:rsid w:val="009E7CD3"/>
    <w:rsid w:val="009F1185"/>
    <w:rsid w:val="009F18CD"/>
    <w:rsid w:val="009F2A13"/>
    <w:rsid w:val="00A02AAA"/>
    <w:rsid w:val="00A04EB0"/>
    <w:rsid w:val="00A05C13"/>
    <w:rsid w:val="00A13CC1"/>
    <w:rsid w:val="00A15D7E"/>
    <w:rsid w:val="00A16847"/>
    <w:rsid w:val="00A237D8"/>
    <w:rsid w:val="00A266A4"/>
    <w:rsid w:val="00A268C4"/>
    <w:rsid w:val="00A307CD"/>
    <w:rsid w:val="00A40A00"/>
    <w:rsid w:val="00A4142F"/>
    <w:rsid w:val="00A56DF2"/>
    <w:rsid w:val="00A61C83"/>
    <w:rsid w:val="00A6637E"/>
    <w:rsid w:val="00A67AB5"/>
    <w:rsid w:val="00A70260"/>
    <w:rsid w:val="00A75693"/>
    <w:rsid w:val="00A76B50"/>
    <w:rsid w:val="00A91760"/>
    <w:rsid w:val="00A93B00"/>
    <w:rsid w:val="00A93C21"/>
    <w:rsid w:val="00AA00D1"/>
    <w:rsid w:val="00AA7F2D"/>
    <w:rsid w:val="00AC3C6A"/>
    <w:rsid w:val="00AC4095"/>
    <w:rsid w:val="00AC733E"/>
    <w:rsid w:val="00AD21A0"/>
    <w:rsid w:val="00AD5620"/>
    <w:rsid w:val="00AD7C1B"/>
    <w:rsid w:val="00AE16BA"/>
    <w:rsid w:val="00AE1EBE"/>
    <w:rsid w:val="00AF0F0F"/>
    <w:rsid w:val="00AF492A"/>
    <w:rsid w:val="00AF5968"/>
    <w:rsid w:val="00B03C9D"/>
    <w:rsid w:val="00B060AE"/>
    <w:rsid w:val="00B06A4C"/>
    <w:rsid w:val="00B10517"/>
    <w:rsid w:val="00B14E76"/>
    <w:rsid w:val="00B161B8"/>
    <w:rsid w:val="00B2048C"/>
    <w:rsid w:val="00B227AA"/>
    <w:rsid w:val="00B235BC"/>
    <w:rsid w:val="00B24E0A"/>
    <w:rsid w:val="00B310B9"/>
    <w:rsid w:val="00B35F3F"/>
    <w:rsid w:val="00B36CBB"/>
    <w:rsid w:val="00B41068"/>
    <w:rsid w:val="00B425E0"/>
    <w:rsid w:val="00B440AA"/>
    <w:rsid w:val="00B44B70"/>
    <w:rsid w:val="00B457C2"/>
    <w:rsid w:val="00B512C9"/>
    <w:rsid w:val="00B53C56"/>
    <w:rsid w:val="00B73990"/>
    <w:rsid w:val="00B7606B"/>
    <w:rsid w:val="00B77EA6"/>
    <w:rsid w:val="00B81598"/>
    <w:rsid w:val="00B841F1"/>
    <w:rsid w:val="00B944D6"/>
    <w:rsid w:val="00BB4DF0"/>
    <w:rsid w:val="00BC289F"/>
    <w:rsid w:val="00BC5361"/>
    <w:rsid w:val="00BC5460"/>
    <w:rsid w:val="00BC6B50"/>
    <w:rsid w:val="00BD0E25"/>
    <w:rsid w:val="00BD3AAE"/>
    <w:rsid w:val="00BD4B29"/>
    <w:rsid w:val="00BD5964"/>
    <w:rsid w:val="00BD75D6"/>
    <w:rsid w:val="00BF31A8"/>
    <w:rsid w:val="00BF5BD6"/>
    <w:rsid w:val="00C03E31"/>
    <w:rsid w:val="00C124BC"/>
    <w:rsid w:val="00C21387"/>
    <w:rsid w:val="00C33E72"/>
    <w:rsid w:val="00C354B2"/>
    <w:rsid w:val="00C35554"/>
    <w:rsid w:val="00C42709"/>
    <w:rsid w:val="00C42FF5"/>
    <w:rsid w:val="00C50A8F"/>
    <w:rsid w:val="00C52B82"/>
    <w:rsid w:val="00C533CC"/>
    <w:rsid w:val="00C5751C"/>
    <w:rsid w:val="00C61BFC"/>
    <w:rsid w:val="00C62B85"/>
    <w:rsid w:val="00C65438"/>
    <w:rsid w:val="00C708AF"/>
    <w:rsid w:val="00C8684B"/>
    <w:rsid w:val="00C91CBB"/>
    <w:rsid w:val="00CA0EFF"/>
    <w:rsid w:val="00CA1F94"/>
    <w:rsid w:val="00CC09B6"/>
    <w:rsid w:val="00CC666F"/>
    <w:rsid w:val="00CD1E3F"/>
    <w:rsid w:val="00CD2FED"/>
    <w:rsid w:val="00CE35CB"/>
    <w:rsid w:val="00CE3DFA"/>
    <w:rsid w:val="00CE44F6"/>
    <w:rsid w:val="00CE49DA"/>
    <w:rsid w:val="00CE7B61"/>
    <w:rsid w:val="00CF4FAE"/>
    <w:rsid w:val="00D00095"/>
    <w:rsid w:val="00D13BDC"/>
    <w:rsid w:val="00D159BF"/>
    <w:rsid w:val="00D20620"/>
    <w:rsid w:val="00D2071A"/>
    <w:rsid w:val="00D244D5"/>
    <w:rsid w:val="00D26091"/>
    <w:rsid w:val="00D3403B"/>
    <w:rsid w:val="00D34E7C"/>
    <w:rsid w:val="00D35489"/>
    <w:rsid w:val="00D3692D"/>
    <w:rsid w:val="00D37EB1"/>
    <w:rsid w:val="00D4723A"/>
    <w:rsid w:val="00D47603"/>
    <w:rsid w:val="00D51276"/>
    <w:rsid w:val="00D52457"/>
    <w:rsid w:val="00D524B9"/>
    <w:rsid w:val="00D6191C"/>
    <w:rsid w:val="00D66339"/>
    <w:rsid w:val="00D7035F"/>
    <w:rsid w:val="00D7458B"/>
    <w:rsid w:val="00D764A7"/>
    <w:rsid w:val="00D7676E"/>
    <w:rsid w:val="00D8099C"/>
    <w:rsid w:val="00D870D6"/>
    <w:rsid w:val="00DA65AC"/>
    <w:rsid w:val="00DB1913"/>
    <w:rsid w:val="00DC410D"/>
    <w:rsid w:val="00DC68CA"/>
    <w:rsid w:val="00DC7CBA"/>
    <w:rsid w:val="00DD1173"/>
    <w:rsid w:val="00DD73B7"/>
    <w:rsid w:val="00DD79E2"/>
    <w:rsid w:val="00DE216E"/>
    <w:rsid w:val="00DF28BC"/>
    <w:rsid w:val="00DF34B9"/>
    <w:rsid w:val="00E01053"/>
    <w:rsid w:val="00E07ACF"/>
    <w:rsid w:val="00E10460"/>
    <w:rsid w:val="00E13322"/>
    <w:rsid w:val="00E152CC"/>
    <w:rsid w:val="00E331A1"/>
    <w:rsid w:val="00E33202"/>
    <w:rsid w:val="00E336A9"/>
    <w:rsid w:val="00E43EA9"/>
    <w:rsid w:val="00E50624"/>
    <w:rsid w:val="00E568DF"/>
    <w:rsid w:val="00E64269"/>
    <w:rsid w:val="00E651DB"/>
    <w:rsid w:val="00E716BD"/>
    <w:rsid w:val="00E82267"/>
    <w:rsid w:val="00EA010F"/>
    <w:rsid w:val="00EB2EBE"/>
    <w:rsid w:val="00EC6C57"/>
    <w:rsid w:val="00EC75D7"/>
    <w:rsid w:val="00ED0C5B"/>
    <w:rsid w:val="00ED160E"/>
    <w:rsid w:val="00ED1B63"/>
    <w:rsid w:val="00ED2FBE"/>
    <w:rsid w:val="00ED3C1F"/>
    <w:rsid w:val="00ED4085"/>
    <w:rsid w:val="00ED420E"/>
    <w:rsid w:val="00EE0D5E"/>
    <w:rsid w:val="00EE2F57"/>
    <w:rsid w:val="00EE4F56"/>
    <w:rsid w:val="00EE7D18"/>
    <w:rsid w:val="00EF4C34"/>
    <w:rsid w:val="00EF77C6"/>
    <w:rsid w:val="00EF797C"/>
    <w:rsid w:val="00F00ADE"/>
    <w:rsid w:val="00F02C33"/>
    <w:rsid w:val="00F05438"/>
    <w:rsid w:val="00F11981"/>
    <w:rsid w:val="00F13471"/>
    <w:rsid w:val="00F1361C"/>
    <w:rsid w:val="00F160C7"/>
    <w:rsid w:val="00F259FB"/>
    <w:rsid w:val="00F36D8F"/>
    <w:rsid w:val="00F417B1"/>
    <w:rsid w:val="00F4490E"/>
    <w:rsid w:val="00F46DC1"/>
    <w:rsid w:val="00F54A8F"/>
    <w:rsid w:val="00F56A25"/>
    <w:rsid w:val="00F572F3"/>
    <w:rsid w:val="00F602DF"/>
    <w:rsid w:val="00F60E2F"/>
    <w:rsid w:val="00F81FD9"/>
    <w:rsid w:val="00F841AA"/>
    <w:rsid w:val="00F86215"/>
    <w:rsid w:val="00F90037"/>
    <w:rsid w:val="00F91E53"/>
    <w:rsid w:val="00F92726"/>
    <w:rsid w:val="00FA23E8"/>
    <w:rsid w:val="00FA343A"/>
    <w:rsid w:val="00FA5E8E"/>
    <w:rsid w:val="00FC4A15"/>
    <w:rsid w:val="00FD3CC1"/>
    <w:rsid w:val="00FF0455"/>
    <w:rsid w:val="00FF1E02"/>
    <w:rsid w:val="00FF30B4"/>
    <w:rsid w:val="00FF7A12"/>
    <w:rsid w:val="10C055FF"/>
    <w:rsid w:val="15CB3652"/>
    <w:rsid w:val="16BB723D"/>
    <w:rsid w:val="1E96636A"/>
    <w:rsid w:val="1F411A8F"/>
    <w:rsid w:val="201232E4"/>
    <w:rsid w:val="22F13A41"/>
    <w:rsid w:val="240371BF"/>
    <w:rsid w:val="24F25BB9"/>
    <w:rsid w:val="2568365F"/>
    <w:rsid w:val="29D23E1C"/>
    <w:rsid w:val="29FD04D3"/>
    <w:rsid w:val="315B6137"/>
    <w:rsid w:val="319F7F4E"/>
    <w:rsid w:val="3B374210"/>
    <w:rsid w:val="5BF82C4F"/>
    <w:rsid w:val="6B056575"/>
    <w:rsid w:val="78E52F05"/>
    <w:rsid w:val="7E257E12"/>
    <w:rsid w:val="CBED88B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6">
    <w:name w:val="Heading 1 Char"/>
    <w:basedOn w:val="13"/>
    <w:link w:val="2"/>
    <w:qFormat/>
    <w:locked/>
    <w:uiPriority w:val="99"/>
    <w:rPr>
      <w:rFonts w:ascii="Times New Roman" w:hAnsi="Times New Roman" w:cs="Times New Roman"/>
      <w:b/>
      <w:bCs/>
      <w:kern w:val="44"/>
      <w:sz w:val="44"/>
      <w:szCs w:val="44"/>
    </w:rPr>
  </w:style>
  <w:style w:type="character" w:customStyle="1" w:styleId="17">
    <w:name w:val="Heading 2 Char"/>
    <w:basedOn w:val="13"/>
    <w:link w:val="3"/>
    <w:qFormat/>
    <w:locked/>
    <w:uiPriority w:val="99"/>
    <w:rPr>
      <w:rFonts w:ascii="Cambria" w:hAnsi="Cambria" w:eastAsia="宋体" w:cs="Times New Roman"/>
      <w:b/>
      <w:bCs/>
      <w:kern w:val="2"/>
      <w:sz w:val="32"/>
      <w:szCs w:val="32"/>
    </w:rPr>
  </w:style>
  <w:style w:type="character" w:customStyle="1" w:styleId="18">
    <w:name w:val="Heading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locked/>
    <w:uiPriority w:val="99"/>
    <w:rPr>
      <w:rFonts w:ascii="Times New Roman" w:hAnsi="Times New Roman" w:cs="Times New Roman"/>
      <w:sz w:val="24"/>
      <w:szCs w:val="24"/>
    </w:rPr>
  </w:style>
  <w:style w:type="character" w:customStyle="1" w:styleId="20">
    <w:name w:val="Balloon Text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qFormat/>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character" w:customStyle="1" w:styleId="23">
    <w:name w:val="Header Char1"/>
    <w:link w:val="9"/>
    <w:semiHidden/>
    <w:qFormat/>
    <w:locked/>
    <w:uiPriority w:val="99"/>
    <w:rPr>
      <w:sz w:val="18"/>
    </w:rPr>
  </w:style>
  <w:style w:type="character" w:customStyle="1" w:styleId="24">
    <w:name w:val="Footer Char1"/>
    <w:link w:val="8"/>
    <w:qFormat/>
    <w:locked/>
    <w:uiPriority w:val="99"/>
    <w:rPr>
      <w:sz w:val="18"/>
    </w:rPr>
  </w:style>
  <w:style w:type="character" w:customStyle="1" w:styleId="25">
    <w:name w:val="Body Text Char1"/>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27</Pages>
  <Words>1895</Words>
  <Characters>10803</Characters>
  <Lines>0</Lines>
  <Paragraphs>0</Paragraphs>
  <TotalTime>3</TotalTime>
  <ScaleCrop>false</ScaleCrop>
  <LinksUpToDate>false</LinksUpToDate>
  <CharactersWithSpaces>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2019-09-25T11:47:00Z</cp:lastPrinted>
  <dcterms:modified xsi:type="dcterms:W3CDTF">2023-07-13T21:08:23Z</dcterms:modified>
  <dc:title>四川省***</dc:title>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6BF0D0FCC4D4A3B647F7AF641C4D5F38</vt:lpwstr>
  </property>
</Properties>
</file>