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outlineLvl w:val="0"/>
        <w:rPr>
          <w:rFonts w:ascii="方正小标宋简体" w:hAnsi="宋体" w:eastAsia="方正小标宋简体"/>
          <w:color w:val="000000"/>
          <w:sz w:val="72"/>
          <w:szCs w:val="72"/>
        </w:rPr>
      </w:pPr>
      <w:bookmarkStart w:id="0" w:name="_Toc15306267"/>
    </w:p>
    <w:p>
      <w:pPr>
        <w:spacing w:line="576" w:lineRule="exact"/>
        <w:jc w:val="center"/>
        <w:outlineLvl w:val="0"/>
        <w:rPr>
          <w:rFonts w:ascii="方正小标宋简体" w:hAnsi="宋体" w:eastAsia="方正小标宋简体"/>
          <w:color w:val="000000"/>
          <w:sz w:val="72"/>
          <w:szCs w:val="72"/>
        </w:rPr>
      </w:pPr>
    </w:p>
    <w:p>
      <w:pPr>
        <w:spacing w:line="576" w:lineRule="exact"/>
        <w:jc w:val="center"/>
        <w:outlineLvl w:val="0"/>
        <w:rPr>
          <w:rFonts w:ascii="方正小标宋简体" w:hAnsi="宋体" w:eastAsia="方正小标宋简体"/>
          <w:color w:val="000000"/>
          <w:sz w:val="44"/>
          <w:szCs w:val="44"/>
        </w:rPr>
      </w:pPr>
    </w:p>
    <w:p>
      <w:pPr>
        <w:spacing w:line="576" w:lineRule="exact"/>
        <w:jc w:val="center"/>
        <w:outlineLvl w:val="0"/>
        <w:rPr>
          <w:rFonts w:ascii="方正小标宋简体" w:hAnsi="宋体" w:eastAsia="方正小标宋简体"/>
          <w:color w:val="000000"/>
          <w:sz w:val="72"/>
          <w:szCs w:val="72"/>
        </w:rPr>
      </w:pPr>
    </w:p>
    <w:p>
      <w:pPr>
        <w:spacing w:line="576" w:lineRule="exact"/>
        <w:jc w:val="center"/>
        <w:outlineLvl w:val="0"/>
        <w:rPr>
          <w:rFonts w:ascii="方正小标宋简体" w:hAnsi="宋体" w:eastAsia="方正小标宋简体"/>
          <w:color w:val="000000"/>
          <w:sz w:val="72"/>
          <w:szCs w:val="72"/>
        </w:rPr>
      </w:pPr>
    </w:p>
    <w:p>
      <w:pPr>
        <w:spacing w:line="576" w:lineRule="exact"/>
        <w:jc w:val="center"/>
        <w:outlineLvl w:val="0"/>
        <w:rPr>
          <w:rFonts w:ascii="方正小标宋简体" w:hAnsi="宋体" w:eastAsia="方正小标宋简体"/>
          <w:color w:val="000000"/>
          <w:sz w:val="72"/>
          <w:szCs w:val="72"/>
        </w:rPr>
      </w:pPr>
    </w:p>
    <w:p>
      <w:pPr>
        <w:spacing w:line="576" w:lineRule="exact"/>
        <w:jc w:val="center"/>
        <w:outlineLvl w:val="0"/>
        <w:rPr>
          <w:rFonts w:ascii="方正小标宋简体" w:hAnsi="宋体" w:eastAsia="方正小标宋简体"/>
          <w:color w:val="000000"/>
          <w:sz w:val="72"/>
          <w:szCs w:val="72"/>
        </w:rPr>
      </w:pPr>
    </w:p>
    <w:p>
      <w:pPr>
        <w:spacing w:line="576" w:lineRule="exact"/>
        <w:jc w:val="center"/>
        <w:outlineLvl w:val="0"/>
        <w:rPr>
          <w:rFonts w:ascii="方正小标宋简体" w:hAnsi="宋体" w:eastAsia="方正小标宋简体"/>
          <w:color w:val="000000"/>
          <w:sz w:val="72"/>
          <w:szCs w:val="72"/>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1" w:name="_Toc15396597"/>
      <w:bookmarkStart w:id="2" w:name="_Toc15378441"/>
      <w:bookmarkStart w:id="3" w:name="_Toc15396475"/>
      <w:bookmarkStart w:id="4" w:name="_Toc15377425"/>
      <w:bookmarkStart w:id="5" w:name="_Toc15377193"/>
      <w:r>
        <w:rPr>
          <w:rFonts w:hint="eastAsia" w:ascii="方正小标宋简体" w:hAnsi="方正小标宋简体" w:eastAsia="方正小标宋简体" w:cs="方正小标宋简体"/>
          <w:color w:val="000000"/>
          <w:sz w:val="44"/>
          <w:szCs w:val="44"/>
        </w:rPr>
        <w:t>2018年度</w:t>
      </w:r>
      <w:bookmarkEnd w:id="1"/>
      <w:bookmarkEnd w:id="2"/>
      <w:bookmarkEnd w:id="3"/>
      <w:bookmarkEnd w:id="4"/>
      <w:bookmarkEnd w:id="5"/>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6" w:name="_Toc15377194"/>
      <w:bookmarkStart w:id="7" w:name="_Toc15377426"/>
      <w:bookmarkStart w:id="8" w:name="_Toc15396598"/>
      <w:bookmarkStart w:id="9" w:name="_Toc15378442"/>
      <w:bookmarkStart w:id="10" w:name="_Toc15396476"/>
      <w:r>
        <w:rPr>
          <w:rFonts w:hint="eastAsia" w:ascii="方正小标宋简体" w:hAnsi="方正小标宋简体" w:eastAsia="方正小标宋简体" w:cs="方正小标宋简体"/>
          <w:color w:val="000000"/>
          <w:sz w:val="44"/>
          <w:szCs w:val="44"/>
        </w:rPr>
        <w:t>四川省</w:t>
      </w:r>
      <w:bookmarkEnd w:id="0"/>
      <w:bookmarkStart w:id="11" w:name="_Toc15306268"/>
      <w:r>
        <w:rPr>
          <w:rFonts w:hint="eastAsia" w:ascii="方正小标宋简体" w:hAnsi="方正小标宋简体" w:eastAsia="方正小标宋简体" w:cs="方正小标宋简体"/>
          <w:color w:val="000000"/>
          <w:sz w:val="44"/>
          <w:szCs w:val="44"/>
        </w:rPr>
        <w:t>茂县道路运输管理所部门决算</w:t>
      </w:r>
      <w:bookmarkEnd w:id="6"/>
      <w:bookmarkEnd w:id="7"/>
      <w:bookmarkEnd w:id="8"/>
      <w:bookmarkEnd w:id="9"/>
      <w:bookmarkEnd w:id="10"/>
      <w:bookmarkEnd w:id="11"/>
    </w:p>
    <w:p>
      <w:pPr>
        <w:adjustRightInd w:val="0"/>
        <w:snapToGrid w:val="0"/>
        <w:spacing w:line="576" w:lineRule="exact"/>
        <w:jc w:val="center"/>
        <w:outlineLvl w:val="0"/>
        <w:rPr>
          <w:rFonts w:ascii="黑体" w:hAnsi="黑体" w:eastAsia="黑体"/>
          <w:color w:val="000000"/>
          <w:sz w:val="44"/>
          <w:szCs w:val="44"/>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目录</w:t>
      </w:r>
    </w:p>
    <w:p>
      <w:pPr>
        <w:widowControl/>
        <w:spacing w:line="576" w:lineRule="exact"/>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spacing w:line="576" w:lineRule="exact"/>
      </w:pPr>
    </w:p>
    <w:p>
      <w:pPr>
        <w:pStyle w:val="10"/>
        <w:spacing w:line="576" w:lineRule="exact"/>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5"/>
          <w:rFonts w:hint="eastAsia" w:ascii="仿宋_GB2312" w:hAnsi="仿宋_GB2312" w:eastAsia="仿宋_GB2312" w:cs="仿宋_GB2312"/>
          <w:sz w:val="32"/>
          <w:szCs w:val="32"/>
        </w:rPr>
        <w:t>第一部分部门概况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5"/>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5"/>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spacing w:line="576" w:lineRule="exact"/>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5"/>
          <w:rFonts w:hint="eastAsia" w:ascii="仿宋_GB2312" w:hAnsi="仿宋_GB2312" w:eastAsia="仿宋_GB2312" w:cs="仿宋_GB2312"/>
          <w:sz w:val="32"/>
          <w:szCs w:val="32"/>
        </w:rPr>
        <w:t>第二部分2018年度部门决算情况说明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5"/>
          <w:rFonts w:hint="eastAsia" w:ascii="仿宋_GB2312" w:hAnsi="仿宋_GB2312" w:eastAsia="仿宋_GB2312" w:cs="仿宋_GB2312"/>
          <w:bCs/>
          <w:sz w:val="32"/>
          <w:szCs w:val="32"/>
        </w:rPr>
        <w:t>一、</w:t>
      </w:r>
      <w:r>
        <w:rPr>
          <w:rStyle w:val="15"/>
          <w:rFonts w:hint="eastAsia" w:ascii="仿宋_GB2312" w:hAnsi="仿宋_GB2312" w:eastAsia="仿宋_GB2312" w:cs="仿宋_GB2312"/>
          <w:sz w:val="32"/>
          <w:szCs w:val="32"/>
        </w:rPr>
        <w:t>收</w:t>
      </w:r>
      <w:r>
        <w:rPr>
          <w:rStyle w:val="15"/>
          <w:rFonts w:hint="eastAsia" w:ascii="仿宋_GB2312" w:hAnsi="仿宋_GB2312" w:eastAsia="仿宋_GB2312" w:cs="仿宋_GB2312"/>
          <w:bCs/>
          <w:sz w:val="32"/>
          <w:szCs w:val="32"/>
        </w:rPr>
        <w:t>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5"/>
          <w:rFonts w:hint="eastAsia" w:ascii="仿宋_GB2312" w:hAnsi="仿宋_GB2312" w:eastAsia="仿宋_GB2312" w:cs="仿宋_GB2312"/>
          <w:bCs/>
          <w:sz w:val="32"/>
          <w:szCs w:val="32"/>
        </w:rPr>
        <w:t>二、</w:t>
      </w:r>
      <w:r>
        <w:rPr>
          <w:rStyle w:val="15"/>
          <w:rFonts w:hint="eastAsia" w:ascii="仿宋_GB2312" w:hAnsi="仿宋_GB2312" w:eastAsia="仿宋_GB2312" w:cs="仿宋_GB2312"/>
          <w:sz w:val="32"/>
          <w:szCs w:val="32"/>
        </w:rPr>
        <w:t>收</w:t>
      </w:r>
      <w:r>
        <w:rPr>
          <w:rStyle w:val="15"/>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5"/>
          <w:rFonts w:hint="eastAsia" w:ascii="仿宋_GB2312" w:hAnsi="仿宋_GB2312" w:eastAsia="仿宋_GB2312" w:cs="仿宋_GB2312"/>
          <w:bCs/>
          <w:sz w:val="32"/>
          <w:szCs w:val="32"/>
        </w:rPr>
        <w:t>三、</w:t>
      </w:r>
      <w:r>
        <w:rPr>
          <w:rStyle w:val="15"/>
          <w:rFonts w:hint="eastAsia" w:ascii="仿宋_GB2312" w:hAnsi="仿宋_GB2312" w:eastAsia="仿宋_GB2312" w:cs="仿宋_GB2312"/>
          <w:sz w:val="32"/>
          <w:szCs w:val="32"/>
        </w:rPr>
        <w:t>支</w:t>
      </w:r>
      <w:r>
        <w:rPr>
          <w:rStyle w:val="15"/>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5"/>
          <w:rFonts w:hint="eastAsia" w:ascii="仿宋_GB2312" w:hAnsi="仿宋_GB2312" w:eastAsia="仿宋_GB2312" w:cs="仿宋_GB2312"/>
          <w:sz w:val="32"/>
          <w:szCs w:val="32"/>
        </w:rPr>
        <w:t>四、财</w:t>
      </w:r>
      <w:r>
        <w:rPr>
          <w:rStyle w:val="15"/>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5"/>
          <w:rFonts w:hint="eastAsia" w:ascii="仿宋_GB2312" w:hAnsi="仿宋_GB2312" w:eastAsia="仿宋_GB2312" w:cs="仿宋_GB2312"/>
          <w:sz w:val="32"/>
          <w:szCs w:val="32"/>
        </w:rPr>
        <w:t>五、一</w:t>
      </w:r>
      <w:r>
        <w:rPr>
          <w:rStyle w:val="15"/>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5"/>
          <w:rFonts w:hint="eastAsia" w:ascii="仿宋_GB2312" w:hAnsi="仿宋_GB2312" w:eastAsia="仿宋_GB2312" w:cs="仿宋_GB2312"/>
          <w:sz w:val="32"/>
          <w:szCs w:val="32"/>
        </w:rPr>
        <w:t>六、一</w:t>
      </w:r>
      <w:r>
        <w:rPr>
          <w:rStyle w:val="15"/>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"_Toc15396609" </w:instrText>
      </w:r>
      <w:r>
        <w:fldChar w:fldCharType="separate"/>
      </w:r>
      <w:r>
        <w:rPr>
          <w:rStyle w:val="15"/>
          <w:rFonts w:hint="eastAsia" w:ascii="仿宋_GB2312" w:hAnsi="仿宋_GB2312" w:eastAsia="仿宋_GB2312" w:cs="仿宋_GB2312"/>
          <w:sz w:val="32"/>
          <w:szCs w:val="32"/>
        </w:rPr>
        <w:t>七、“</w:t>
      </w:r>
      <w:r>
        <w:rPr>
          <w:rStyle w:val="15"/>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5"/>
          <w:rFonts w:hint="eastAsia" w:ascii="仿宋_GB2312" w:hAnsi="仿宋_GB2312" w:eastAsia="仿宋_GB2312" w:cs="仿宋_GB2312"/>
          <w:sz w:val="32"/>
          <w:szCs w:val="32"/>
        </w:rPr>
        <w:t>八、</w:t>
      </w:r>
      <w:r>
        <w:rPr>
          <w:rStyle w:val="15"/>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5"/>
          <w:rFonts w:hint="eastAsia" w:ascii="仿宋_GB2312" w:hAnsi="仿宋_GB2312" w:eastAsia="仿宋_GB2312" w:cs="仿宋_GB2312"/>
          <w:bCs/>
          <w:sz w:val="32"/>
          <w:szCs w:val="32"/>
        </w:rPr>
        <w:t>九、</w:t>
      </w:r>
      <w:r>
        <w:rPr>
          <w:rStyle w:val="15"/>
          <w:rFonts w:hint="eastAsia" w:ascii="仿宋_GB2312" w:hAnsi="仿宋_GB2312" w:eastAsia="仿宋_GB2312" w:cs="仿宋_GB2312"/>
          <w:sz w:val="32"/>
          <w:szCs w:val="32"/>
        </w:rPr>
        <w:t>国</w:t>
      </w:r>
      <w:r>
        <w:rPr>
          <w:rStyle w:val="15"/>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Style w:val="15"/>
          <w:rFonts w:ascii="仿宋_GB2312" w:hAnsi="仿宋_GB2312" w:eastAsia="仿宋_GB2312" w:cs="仿宋_GB2312"/>
          <w:bCs/>
          <w:sz w:val="32"/>
          <w:szCs w:val="32"/>
          <w:u w:val="none"/>
        </w:rPr>
      </w:pPr>
      <w:r>
        <w:rPr>
          <w:rStyle w:val="15"/>
          <w:rFonts w:hint="eastAsia" w:ascii="仿宋_GB2312" w:hAnsi="仿宋_GB2312" w:eastAsia="仿宋_GB2312" w:cs="仿宋_GB2312"/>
          <w:bCs/>
          <w:sz w:val="32"/>
          <w:szCs w:val="32"/>
        </w:rPr>
        <w:t>十、预算绩效情况说明</w:t>
      </w:r>
      <w:r>
        <w:rPr>
          <w:rFonts w:hint="eastAsia" w:ascii="仿宋_GB2312" w:hAnsi="仿宋_GB2312" w:eastAsia="仿宋_GB2312" w:cs="仿宋_GB2312"/>
          <w:sz w:val="32"/>
          <w:szCs w:val="32"/>
        </w:rPr>
        <w:tab/>
      </w:r>
      <w:r>
        <w:rPr>
          <w:rStyle w:val="15"/>
          <w:rFonts w:hint="eastAsia" w:ascii="仿宋_GB2312" w:hAnsi="仿宋_GB2312" w:eastAsia="仿宋_GB2312" w:cs="仿宋_GB2312"/>
          <w:bCs/>
          <w:sz w:val="32"/>
          <w:szCs w:val="32"/>
        </w:rPr>
        <w:t>14</w:t>
      </w:r>
    </w:p>
    <w:p>
      <w:pPr>
        <w:pStyle w:val="11"/>
        <w:spacing w:line="576" w:lineRule="exact"/>
        <w:rPr>
          <w:rFonts w:ascii="仿宋_GB2312" w:hAnsi="仿宋_GB2312" w:eastAsia="仿宋_GB2312" w:cs="仿宋_GB2312"/>
          <w:sz w:val="32"/>
          <w:szCs w:val="32"/>
        </w:rPr>
      </w:pPr>
      <w:r>
        <w:fldChar w:fldCharType="begin"/>
      </w:r>
      <w:r>
        <w:instrText xml:space="preserve"> HYPERLINK \l "_Toc15396612" </w:instrText>
      </w:r>
      <w:r>
        <w:fldChar w:fldCharType="separate"/>
      </w:r>
      <w:r>
        <w:rPr>
          <w:rStyle w:val="15"/>
          <w:rFonts w:hint="eastAsia" w:ascii="仿宋_GB2312" w:hAnsi="仿宋_GB2312" w:eastAsia="仿宋_GB2312" w:cs="仿宋_GB2312"/>
          <w:sz w:val="32"/>
          <w:szCs w:val="32"/>
        </w:rPr>
        <w:t>十一</w:t>
      </w:r>
      <w:r>
        <w:rPr>
          <w:rStyle w:val="15"/>
          <w:rFonts w:hint="eastAsia" w:ascii="仿宋_GB2312" w:hAnsi="仿宋_GB2312" w:eastAsia="仿宋_GB2312" w:cs="仿宋_GB2312"/>
          <w:bCs/>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spacing w:line="576" w:lineRule="exact"/>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5"/>
          <w:rFonts w:hint="eastAsia" w:ascii="仿宋_GB2312" w:hAnsi="仿宋_GB2312" w:eastAsia="仿宋_GB2312" w:cs="仿宋_GB2312"/>
          <w:bCs/>
          <w:kern w:val="44"/>
          <w:sz w:val="32"/>
          <w:szCs w:val="32"/>
        </w:rPr>
        <w:t>第三部分</w:t>
      </w:r>
      <w:r>
        <w:rPr>
          <w:rStyle w:val="15"/>
          <w:rFonts w:hint="eastAsia" w:ascii="仿宋_GB2312" w:hAnsi="仿宋_GB2312" w:eastAsia="仿宋_GB2312" w:cs="仿宋_GB2312"/>
          <w:sz w:val="32"/>
          <w:szCs w:val="32"/>
        </w:rPr>
        <w:t>名</w:t>
      </w:r>
      <w:r>
        <w:rPr>
          <w:rStyle w:val="15"/>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spacing w:line="576" w:lineRule="exact"/>
        <w:rPr>
          <w:rFonts w:ascii="仿宋_GB2312" w:hAnsi="仿宋_GB2312" w:eastAsia="仿宋_GB2312" w:cs="仿宋_GB2312"/>
          <w:sz w:val="32"/>
          <w:szCs w:val="32"/>
        </w:rPr>
      </w:pPr>
      <w:r>
        <w:fldChar w:fldCharType="begin"/>
      </w:r>
      <w:r>
        <w:instrText xml:space="preserve"> HYPERLINK \l "_Toc15396614" </w:instrText>
      </w:r>
      <w: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bCs/>
          <w:kern w:val="44"/>
          <w:sz w:val="32"/>
          <w:szCs w:val="32"/>
        </w:rPr>
        <w:t>四部分附件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spacing w:line="576" w:lineRule="exact"/>
        <w:rPr>
          <w:rFonts w:ascii="仿宋_GB2312" w:hAnsi="仿宋_GB2312" w:eastAsia="仿宋_GB2312" w:cs="仿宋_GB2312"/>
          <w:sz w:val="32"/>
          <w:szCs w:val="32"/>
        </w:rPr>
      </w:pPr>
      <w:r>
        <w:fldChar w:fldCharType="begin"/>
      </w:r>
      <w:r>
        <w:instrText xml:space="preserve"> HYPERLINK \l "_Toc15396618" </w:instrText>
      </w:r>
      <w: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bCs/>
          <w:kern w:val="44"/>
          <w:sz w:val="32"/>
          <w:szCs w:val="32"/>
        </w:rPr>
        <w:t>五部分附表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5"/>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5"/>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5"/>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5"/>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5"/>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5"/>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Style w:val="15"/>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5"/>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5"/>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5"/>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5"/>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5"/>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widowControl/>
        <w:spacing w:line="576" w:lineRule="exact"/>
        <w:jc w:val="left"/>
        <w:rPr>
          <w:rFonts w:ascii="仿宋" w:hAnsi="仿宋" w:eastAsia="仿宋"/>
          <w:color w:val="000000"/>
          <w:sz w:val="24"/>
        </w:rPr>
      </w:pPr>
      <w:r>
        <w:rPr>
          <w:rFonts w:ascii="仿宋" w:hAnsi="仿宋" w:eastAsia="仿宋"/>
          <w:color w:val="000000"/>
          <w:sz w:val="24"/>
        </w:rPr>
        <w:fldChar w:fldCharType="end"/>
      </w:r>
    </w:p>
    <w:p>
      <w:pPr>
        <w:widowControl/>
        <w:spacing w:line="576" w:lineRule="exact"/>
        <w:jc w:val="left"/>
        <w:rPr>
          <w:rFonts w:ascii="黑体" w:hAnsi="黑体" w:eastAsia="黑体"/>
          <w:bCs/>
          <w:kern w:val="44"/>
          <w:sz w:val="44"/>
          <w:szCs w:val="44"/>
        </w:rPr>
      </w:pPr>
      <w:bookmarkStart w:id="12" w:name="_Toc15396599"/>
      <w:bookmarkStart w:id="13" w:name="_Toc15377196"/>
    </w:p>
    <w:p>
      <w:pPr>
        <w:widowControl/>
        <w:spacing w:line="576" w:lineRule="exact"/>
        <w:jc w:val="left"/>
        <w:rPr>
          <w:rFonts w:ascii="黑体" w:hAnsi="黑体" w:eastAsia="黑体"/>
          <w:bCs/>
          <w:kern w:val="44"/>
          <w:sz w:val="44"/>
          <w:szCs w:val="44"/>
        </w:rPr>
      </w:pPr>
    </w:p>
    <w:p>
      <w:pPr>
        <w:widowControl/>
        <w:spacing w:line="576" w:lineRule="exact"/>
        <w:jc w:val="left"/>
        <w:rPr>
          <w:rFonts w:ascii="黑体" w:hAnsi="黑体" w:eastAsia="黑体"/>
          <w:bCs/>
          <w:kern w:val="44"/>
          <w:sz w:val="44"/>
          <w:szCs w:val="44"/>
        </w:rPr>
      </w:pPr>
    </w:p>
    <w:p>
      <w:pPr>
        <w:widowControl/>
        <w:spacing w:line="576" w:lineRule="exact"/>
        <w:jc w:val="left"/>
        <w:rPr>
          <w:rFonts w:ascii="黑体" w:hAnsi="黑体" w:eastAsia="黑体"/>
          <w:bCs/>
          <w:kern w:val="44"/>
          <w:sz w:val="44"/>
          <w:szCs w:val="44"/>
        </w:rPr>
      </w:pPr>
    </w:p>
    <w:p>
      <w:pPr>
        <w:widowControl/>
        <w:spacing w:line="576" w:lineRule="exact"/>
        <w:jc w:val="center"/>
        <w:rPr>
          <w:rFonts w:ascii="黑体" w:hAnsi="黑体" w:eastAsia="黑体"/>
        </w:rPr>
      </w:pPr>
    </w:p>
    <w:p>
      <w:pPr>
        <w:widowControl/>
        <w:spacing w:line="576" w:lineRule="exact"/>
        <w:jc w:val="center"/>
        <w:rPr>
          <w:rFonts w:ascii="黑体" w:hAnsi="黑体" w:eastAsia="黑体"/>
        </w:rPr>
      </w:pPr>
    </w:p>
    <w:p>
      <w:pPr>
        <w:widowControl/>
        <w:spacing w:line="576" w:lineRule="exact"/>
        <w:jc w:val="center"/>
        <w:rPr>
          <w:rFonts w:ascii="黑体" w:hAnsi="黑体" w:eastAsia="黑体"/>
        </w:rPr>
      </w:pPr>
    </w:p>
    <w:p>
      <w:pPr>
        <w:widowControl/>
        <w:spacing w:line="576" w:lineRule="exact"/>
        <w:jc w:val="center"/>
        <w:rPr>
          <w:rFonts w:ascii="黑体" w:hAnsi="黑体" w:eastAsia="黑体"/>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黑体" w:eastAsia="黑体"/>
          <w:color w:val="000000"/>
          <w:sz w:val="32"/>
          <w:szCs w:val="32"/>
        </w:rPr>
      </w:pPr>
      <w:r>
        <w:rPr>
          <w:rFonts w:hint="eastAsia" w:ascii="方正小标宋简体" w:hAnsi="方正小标宋简体" w:eastAsia="方正小标宋简体" w:cs="方正小标宋简体"/>
          <w:sz w:val="44"/>
          <w:szCs w:val="44"/>
        </w:rPr>
        <w:t>第一部分</w:t>
      </w:r>
      <w:r>
        <w:rPr>
          <w:rStyle w:val="16"/>
          <w:rFonts w:hint="eastAsia" w:ascii="方正小标宋简体" w:hAnsi="方正小标宋简体" w:eastAsia="方正小标宋简体" w:cs="方正小标宋简体"/>
          <w:b w:val="0"/>
          <w:bCs w:val="0"/>
        </w:rPr>
        <w:t>部门概况</w:t>
      </w:r>
      <w:bookmarkEnd w:id="12"/>
      <w:bookmarkEnd w:id="13"/>
    </w:p>
    <w:p>
      <w:pPr>
        <w:pStyle w:val="3"/>
        <w:numPr>
          <w:ilvl w:val="0"/>
          <w:numId w:val="1"/>
        </w:numPr>
        <w:spacing w:line="576" w:lineRule="exact"/>
        <w:rPr>
          <w:rFonts w:ascii="楷体" w:hAnsi="楷体" w:eastAsia="楷体"/>
          <w:color w:val="000000"/>
        </w:rPr>
      </w:pPr>
      <w:bookmarkStart w:id="14" w:name="_Toc15377197"/>
      <w:bookmarkStart w:id="15" w:name="_Toc15396600"/>
      <w:r>
        <w:rPr>
          <w:rFonts w:hint="eastAsia" w:ascii="黑体" w:hAnsi="黑体" w:eastAsia="黑体"/>
          <w:b w:val="0"/>
          <w:color w:val="000000"/>
        </w:rPr>
        <w:t>基</w:t>
      </w:r>
      <w:r>
        <w:rPr>
          <w:rStyle w:val="25"/>
          <w:rFonts w:hint="eastAsia" w:ascii="黑体" w:hAnsi="黑体" w:eastAsia="黑体"/>
          <w:b w:val="0"/>
          <w:bCs w:val="0"/>
        </w:rPr>
        <w:t>本职能及主要工作</w:t>
      </w:r>
      <w:bookmarkEnd w:id="14"/>
      <w:bookmarkEnd w:id="15"/>
      <w:bookmarkStart w:id="16" w:name="_Toc15377198"/>
      <w:bookmarkStart w:id="17" w:name="_Toc15378445"/>
    </w:p>
    <w:p>
      <w:pPr>
        <w:pStyle w:val="3"/>
        <w:spacing w:before="0" w:after="0" w:line="576" w:lineRule="exact"/>
        <w:ind w:firstLine="640" w:firstLineChars="200"/>
        <w:rPr>
          <w:rFonts w:ascii="楷体" w:hAnsi="楷体" w:eastAsia="楷体"/>
          <w:color w:val="000000"/>
        </w:rPr>
      </w:pPr>
      <w:r>
        <w:rPr>
          <w:rFonts w:hint="eastAsia" w:ascii="楷体" w:hAnsi="楷体" w:eastAsia="楷体"/>
          <w:b w:val="0"/>
          <w:bCs w:val="0"/>
          <w:color w:val="000000"/>
        </w:rPr>
        <w:t>（一）主要职能</w:t>
      </w:r>
    </w:p>
    <w:bookmarkEnd w:id="16"/>
    <w:bookmarkEnd w:id="17"/>
    <w:p>
      <w:pPr>
        <w:widowControl/>
        <w:shd w:val="clear" w:color="auto" w:fill="FFFAFA"/>
        <w:spacing w:line="576" w:lineRule="exact"/>
        <w:ind w:firstLine="640" w:firstLineChars="200"/>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维护道路运输市场秩序、道路运输营运许可与资质管理、道路运输从业人员资质管理、道路运输经营监督与违章经营处罚、道路运输质量纠纷调解、道路运输行业调查与统计。</w:t>
      </w:r>
    </w:p>
    <w:p>
      <w:pPr>
        <w:widowControl/>
        <w:shd w:val="clear" w:color="auto" w:fill="FFFAFA"/>
        <w:spacing w:line="576" w:lineRule="exact"/>
        <w:ind w:firstLine="841" w:firstLineChars="263"/>
        <w:jc w:val="left"/>
        <w:rPr>
          <w:rFonts w:ascii="仿宋_GB2312" w:hAnsi="宋体" w:eastAsia="仿宋_GB2312" w:cs="宋体"/>
          <w:color w:val="333333"/>
          <w:kern w:val="0"/>
          <w:sz w:val="32"/>
          <w:szCs w:val="32"/>
        </w:rPr>
      </w:pPr>
      <w:r>
        <w:rPr>
          <w:rFonts w:hint="eastAsia" w:ascii="仿宋_GB2312" w:hAnsi="仿宋_GB2312" w:eastAsia="仿宋_GB2312" w:cs="仿宋_GB2312"/>
          <w:color w:val="333333"/>
          <w:kern w:val="0"/>
          <w:sz w:val="32"/>
          <w:szCs w:val="32"/>
        </w:rPr>
        <w:t>依照道路运输管理条例负责道路客货运输、城市公交车、出租汽车、车辆维修和检测、运输服务行业的管理及监督、指导和协调。审批道路客货运输、搬运装卸、汽车维修、运输服务行业、停业及年度审验，核发经营许可证、道路运输证。指导、督促各乡（镇）落实农村客运源头管理责任。负责道路运输管理部门统一制定的证、照、牌、单及票据的分发、回收、管理，负责初核、申报工作。执行对道路运输市场的运输质量、经营行为、价格执行及使用的证、照、牌、单、票据等进行日常监督检查，并对违章者进行处罚，调解日常性运输纠纷。组织实施重点物资、大宗物资的运输，具体组织实施重要节假日旅客运输，具体组织实施指令性的抢险救灾，战备物资的运输。掌握本地运力与运量的情况，按时向有关部门和上级交通运输部门提供需求信息，配合上级运政部门做好车辆投放、车辆结构和技术等级的调控工作，做好站点布局、建设、管理工作。负责运输市场源头管理，建立各种基础台账。负责各类统计数据的收集、整理和上报，组织日常性运输市场调查，收集各种基本信息，开展咨询和市场预测，制定县行业发展计划、为上级制定发展规划和综合平衡工作提供依据。组织指导兴办停车场、站点、洗车等服务设施的设立，为旅客、货主及驾、乘、修理人员提供服务条件，组织县运输行业工作的经验交流及推广，负责对运输业户进行指导。负责县运政人员培训和行风建设工作。</w:t>
      </w:r>
    </w:p>
    <w:p>
      <w:pPr>
        <w:spacing w:line="576" w:lineRule="exact"/>
        <w:ind w:firstLine="640" w:firstLineChars="200"/>
        <w:rPr>
          <w:rStyle w:val="25"/>
          <w:rFonts w:ascii="黑体" w:hAnsi="黑体" w:eastAsia="黑体"/>
          <w:b w:val="0"/>
          <w:bCs w:val="0"/>
        </w:rPr>
      </w:pPr>
      <w:bookmarkStart w:id="18" w:name="_Toc15377199"/>
      <w:bookmarkStart w:id="19" w:name="_Toc15378446"/>
      <w:r>
        <w:rPr>
          <w:rFonts w:hint="eastAsia" w:ascii="楷体" w:hAnsi="楷体" w:eastAsia="楷体" w:cstheme="majorBidi"/>
          <w:color w:val="000000"/>
          <w:sz w:val="32"/>
          <w:szCs w:val="32"/>
        </w:rPr>
        <w:t>（二）2018年重点工作完成情况。</w:t>
      </w:r>
      <w:bookmarkEnd w:id="18"/>
      <w:bookmarkEnd w:id="19"/>
    </w:p>
    <w:p>
      <w:pPr>
        <w:tabs>
          <w:tab w:val="left" w:pos="373"/>
        </w:tabs>
        <w:spacing w:line="576" w:lineRule="exact"/>
        <w:ind w:firstLine="640" w:firstLineChars="200"/>
        <w:rPr>
          <w:rFonts w:ascii="仿宋_GB2312" w:eastAsia="仿宋_GB2312"/>
          <w:sz w:val="32"/>
          <w:szCs w:val="32"/>
        </w:rPr>
      </w:pPr>
      <w:bookmarkStart w:id="20" w:name="_Toc15377200"/>
      <w:bookmarkStart w:id="21" w:name="_Toc15396601"/>
      <w:r>
        <w:rPr>
          <w:rFonts w:hint="eastAsia" w:ascii="仿宋_GB2312" w:eastAsia="仿宋_GB2312"/>
          <w:sz w:val="32"/>
          <w:szCs w:val="32"/>
        </w:rPr>
        <w:t>1.与公安交警联合开展“打非治违”工作。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2.完成维修企业“三废”环保和日常检查工作。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3.完成新一轮城市公交车的许可经营和新增及更换补充部分公交车的相关工作。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4.完成州定出租汽车经营服务改革试点县的前期工作。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5.完成12328道路运政监督热线的投诉、处理及回复工作。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6.完成城市公交、农村客运车辆、出租汽车的燃油消耗台账及基础数据的规范、上报和当年燃油补贴兑现工作。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7.完成驾培机构的日常安全检查和档案规范工作。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8.完成驾驶员道路运输记分管理工作。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9.完成运政执法队伍学法和廉政工作。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10.派出专人长期在东兴乡卡点做好“非洲猪瘟”检查工作。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11.协助曲谷乡色尔窝村做好脱贫攻坚工作。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12.加强党建和党风廉政教育工作。</w:t>
      </w:r>
    </w:p>
    <w:p>
      <w:pPr>
        <w:widowControl/>
        <w:numPr>
          <w:ilvl w:val="0"/>
          <w:numId w:val="1"/>
        </w:numPr>
        <w:shd w:val="clear" w:color="auto" w:fill="FFFAFA"/>
        <w:spacing w:before="68" w:after="68" w:line="576" w:lineRule="exact"/>
        <w:jc w:val="left"/>
        <w:rPr>
          <w:rStyle w:val="25"/>
          <w:rFonts w:ascii="黑体" w:hAnsi="黑体" w:eastAsia="黑体"/>
          <w:b w:val="0"/>
          <w:bCs w:val="0"/>
        </w:rPr>
      </w:pPr>
      <w:r>
        <w:rPr>
          <w:rFonts w:hint="eastAsia" w:ascii="黑体" w:hAnsi="黑体" w:eastAsia="黑体"/>
          <w:color w:val="000000"/>
          <w:sz w:val="32"/>
          <w:szCs w:val="32"/>
        </w:rPr>
        <w:t>机</w:t>
      </w:r>
      <w:r>
        <w:rPr>
          <w:rStyle w:val="25"/>
          <w:rFonts w:hint="eastAsia" w:ascii="黑体" w:hAnsi="黑体" w:eastAsia="黑体"/>
          <w:b w:val="0"/>
          <w:bCs w:val="0"/>
        </w:rPr>
        <w:t>构设置</w:t>
      </w:r>
      <w:bookmarkEnd w:id="20"/>
      <w:bookmarkEnd w:id="21"/>
    </w:p>
    <w:p>
      <w:pPr>
        <w:spacing w:line="576" w:lineRule="exact"/>
        <w:ind w:firstLine="640" w:firstLineChars="200"/>
        <w:rPr>
          <w:rFonts w:ascii="仿宋_GB2312" w:hAnsi="仿宋" w:eastAsia="仿宋_GB2312"/>
          <w:sz w:val="32"/>
          <w:szCs w:val="32"/>
        </w:rPr>
      </w:pPr>
      <w:bookmarkStart w:id="22" w:name="_Toc15378448"/>
      <w:bookmarkStart w:id="23" w:name="_Toc15306275"/>
      <w:bookmarkStart w:id="24" w:name="_Toc15377432"/>
      <w:bookmarkStart w:id="25" w:name="_Toc15377201"/>
      <w:r>
        <w:rPr>
          <w:rFonts w:hint="eastAsia" w:ascii="仿宋_GB2312" w:hAnsi="仿宋" w:eastAsia="仿宋_GB2312"/>
          <w:sz w:val="32"/>
          <w:szCs w:val="32"/>
        </w:rPr>
        <w:t>茂县道路运输管理所下属二级单位0个，其中行政单位0个，参照公务员法管理的事业单位</w:t>
      </w:r>
      <w:r>
        <w:rPr>
          <w:rFonts w:hint="eastAsia" w:ascii="仿宋_GB2312" w:hAnsi="仿宋" w:eastAsia="仿宋_GB2312"/>
          <w:bCs/>
          <w:sz w:val="32"/>
          <w:szCs w:val="32"/>
        </w:rPr>
        <w:t>0</w:t>
      </w:r>
      <w:r>
        <w:rPr>
          <w:rFonts w:hint="eastAsia" w:ascii="仿宋_GB2312" w:hAnsi="仿宋" w:eastAsia="仿宋_GB2312"/>
          <w:sz w:val="32"/>
          <w:szCs w:val="32"/>
        </w:rPr>
        <w:t>个，其他事业单位0个。</w:t>
      </w:r>
    </w:p>
    <w:p>
      <w:pPr>
        <w:pStyle w:val="5"/>
        <w:adjustRightInd w:val="0"/>
        <w:snapToGrid w:val="0"/>
        <w:spacing w:before="93" w:line="576" w:lineRule="exact"/>
        <w:ind w:firstLine="672" w:firstLineChars="210"/>
        <w:rPr>
          <w:rFonts w:hAnsi="仿宋"/>
          <w:color w:val="000000"/>
          <w:sz w:val="32"/>
          <w:szCs w:val="32"/>
        </w:rPr>
      </w:pPr>
      <w:r>
        <w:rPr>
          <w:rFonts w:hint="eastAsia" w:hAnsi="仿宋"/>
          <w:color w:val="000000"/>
          <w:sz w:val="32"/>
          <w:szCs w:val="32"/>
        </w:rPr>
        <w:t>无纳入2018年度部门决算编制范围的二级预算单位。</w:t>
      </w:r>
    </w:p>
    <w:p>
      <w:pPr>
        <w:adjustRightInd w:val="0"/>
        <w:snapToGrid w:val="0"/>
        <w:spacing w:line="576" w:lineRule="exact"/>
        <w:outlineLvl w:val="0"/>
        <w:rPr>
          <w:rFonts w:ascii="仿宋_GB2312" w:hAnsi="仿宋" w:eastAsia="仿宋_GB2312"/>
          <w:color w:val="000000"/>
          <w:kern w:val="0"/>
          <w:sz w:val="32"/>
          <w:szCs w:val="32"/>
        </w:rPr>
      </w:pPr>
    </w:p>
    <w:bookmarkEnd w:id="22"/>
    <w:bookmarkEnd w:id="23"/>
    <w:bookmarkEnd w:id="24"/>
    <w:bookmarkEnd w:id="25"/>
    <w:p>
      <w:pPr>
        <w:widowControl/>
        <w:spacing w:line="576" w:lineRule="exact"/>
        <w:jc w:val="left"/>
        <w:rPr>
          <w:rFonts w:ascii="仿宋" w:hAnsi="仿宋" w:eastAsia="仿宋"/>
          <w:color w:val="000000"/>
          <w:kern w:val="0"/>
          <w:sz w:val="32"/>
          <w:szCs w:val="32"/>
        </w:rPr>
      </w:pPr>
      <w:r>
        <w:rPr>
          <w:rFonts w:ascii="仿宋" w:hAnsi="仿宋" w:eastAsia="仿宋"/>
          <w:color w:val="000000"/>
          <w:sz w:val="32"/>
          <w:szCs w:val="32"/>
        </w:rPr>
        <w:br w:type="page"/>
      </w:r>
    </w:p>
    <w:p>
      <w:pPr>
        <w:numPr>
          <w:ilvl w:val="0"/>
          <w:numId w:val="2"/>
        </w:numPr>
        <w:adjustRightInd w:val="0"/>
        <w:snapToGrid w:val="0"/>
        <w:spacing w:line="576" w:lineRule="exact"/>
        <w:jc w:val="center"/>
        <w:outlineLvl w:val="0"/>
        <w:rPr>
          <w:rStyle w:val="16"/>
          <w:rFonts w:ascii="方正小标宋简体" w:hAnsi="方正小标宋简体" w:eastAsia="方正小标宋简体" w:cs="方正小标宋简体"/>
          <w:b w:val="0"/>
          <w:bCs w:val="0"/>
        </w:rPr>
      </w:pPr>
      <w:bookmarkStart w:id="26" w:name="_Toc15377204"/>
      <w:bookmarkStart w:id="27" w:name="_Toc15396602"/>
      <w:r>
        <w:rPr>
          <w:rStyle w:val="16"/>
          <w:rFonts w:hint="eastAsia" w:ascii="方正小标宋简体" w:hAnsi="方正小标宋简体" w:eastAsia="方正小标宋简体" w:cs="方正小标宋简体"/>
          <w:b w:val="0"/>
          <w:bCs w:val="0"/>
        </w:rPr>
        <w:t>2018年度部门决算情况说明</w:t>
      </w:r>
      <w:bookmarkEnd w:id="26"/>
      <w:bookmarkEnd w:id="27"/>
    </w:p>
    <w:p>
      <w:pPr>
        <w:spacing w:line="576" w:lineRule="exact"/>
      </w:pPr>
    </w:p>
    <w:p>
      <w:pPr>
        <w:pStyle w:val="24"/>
        <w:numPr>
          <w:ilvl w:val="0"/>
          <w:numId w:val="3"/>
        </w:numPr>
        <w:spacing w:line="576" w:lineRule="exact"/>
        <w:ind w:firstLineChars="0"/>
        <w:outlineLvl w:val="1"/>
        <w:rPr>
          <w:rStyle w:val="25"/>
          <w:rFonts w:ascii="黑体" w:hAnsi="黑体" w:eastAsia="黑体"/>
          <w:b w:val="0"/>
        </w:rPr>
      </w:pPr>
      <w:bookmarkStart w:id="28" w:name="_Toc15377205"/>
      <w:bookmarkStart w:id="29" w:name="_Toc15396603"/>
      <w:r>
        <w:rPr>
          <w:rFonts w:hint="eastAsia" w:ascii="黑体" w:hAnsi="黑体" w:eastAsia="黑体" w:cs="黑体"/>
          <w:color w:val="000000"/>
          <w:sz w:val="32"/>
          <w:szCs w:val="32"/>
        </w:rPr>
        <w:t>收</w:t>
      </w:r>
      <w:r>
        <w:rPr>
          <w:rStyle w:val="25"/>
          <w:rFonts w:hint="eastAsia" w:ascii="黑体" w:hAnsi="黑体" w:eastAsia="黑体" w:cs="黑体"/>
          <w:b w:val="0"/>
        </w:rPr>
        <w:t>入支出决算总体情况说明</w:t>
      </w:r>
      <w:bookmarkEnd w:id="28"/>
      <w:bookmarkEnd w:id="29"/>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2018年度财政拨款收支总计539.06万元。与2017年相比，收、支总计各减少362.14万元，下降40.18%。主要变动原因是企业政策性补贴减少。</w:t>
      </w:r>
    </w:p>
    <w:p>
      <w:pPr>
        <w:spacing w:line="576"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r>
        <w:drawing>
          <wp:inline distT="0" distB="0" distL="0" distR="0">
            <wp:extent cx="5257800" cy="2019300"/>
            <wp:effectExtent l="19050" t="0" r="19050"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numPr>
          <w:ilvl w:val="0"/>
          <w:numId w:val="3"/>
        </w:numPr>
        <w:spacing w:line="576" w:lineRule="exact"/>
        <w:ind w:firstLineChars="0"/>
        <w:outlineLvl w:val="1"/>
        <w:rPr>
          <w:rStyle w:val="25"/>
          <w:rFonts w:ascii="黑体" w:hAnsi="黑体" w:eastAsia="黑体"/>
          <w:b w:val="0"/>
        </w:rPr>
      </w:pPr>
      <w:bookmarkStart w:id="30" w:name="_Toc15396604"/>
      <w:bookmarkStart w:id="31"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30"/>
      <w:bookmarkEnd w:id="31"/>
    </w:p>
    <w:p>
      <w:pPr>
        <w:spacing w:line="576"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本年收入合计223.48万元，其中：一般公共预算财政拨款收入223.48万元，占100%；政府性基金预算财政拨款收入0万元；国有资本经营预算财政拨款收入0万元%；事业收入0万元；经营收入0万元；附属单位上缴收入0万元；其他收入0万元。</w:t>
      </w:r>
    </w:p>
    <w:p>
      <w:pPr>
        <w:spacing w:line="576"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576" w:lineRule="exact"/>
        <w:ind w:firstLine="640" w:firstLineChars="200"/>
        <w:rPr>
          <w:rFonts w:ascii="仿宋" w:hAnsi="仿宋" w:eastAsia="仿宋"/>
          <w:color w:val="000000" w:themeColor="text1"/>
          <w:sz w:val="32"/>
          <w:szCs w:val="32"/>
        </w:rPr>
      </w:pPr>
    </w:p>
    <w:p>
      <w:pPr>
        <w:tabs>
          <w:tab w:val="left" w:pos="2355"/>
        </w:tabs>
      </w:pPr>
      <w:r>
        <w:drawing>
          <wp:inline distT="0" distB="0" distL="0" distR="0">
            <wp:extent cx="5438140" cy="1812290"/>
            <wp:effectExtent l="19050" t="0" r="9553"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4"/>
        <w:numPr>
          <w:ilvl w:val="0"/>
          <w:numId w:val="3"/>
        </w:numPr>
        <w:spacing w:line="576" w:lineRule="exact"/>
        <w:ind w:firstLineChars="0"/>
        <w:outlineLvl w:val="1"/>
        <w:rPr>
          <w:rStyle w:val="25"/>
          <w:rFonts w:ascii="黑体" w:hAnsi="黑体" w:eastAsia="黑体"/>
          <w:b w:val="0"/>
        </w:rPr>
      </w:pPr>
      <w:bookmarkStart w:id="32" w:name="_Toc15396605"/>
      <w:bookmarkStart w:id="33"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32"/>
      <w:bookmarkEnd w:id="33"/>
    </w:p>
    <w:p>
      <w:pPr>
        <w:spacing w:line="576" w:lineRule="exact"/>
        <w:ind w:firstLine="640"/>
        <w:rPr>
          <w:rFonts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2018年本年支出合计539.06万元，其中：基本支出202.80万元，占37.62%；项目支出336.25万元，占62.38%；上缴上级支出0万元；经营支出0万元；对附属单位补助支出0万元。</w:t>
      </w:r>
    </w:p>
    <w:p>
      <w:pPr>
        <w:spacing w:line="576"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tabs>
          <w:tab w:val="left" w:pos="1560"/>
        </w:tabs>
      </w:pPr>
      <w:r>
        <w:drawing>
          <wp:inline distT="0" distB="0" distL="0" distR="0">
            <wp:extent cx="4467225" cy="1866900"/>
            <wp:effectExtent l="19050" t="0" r="9525" b="0"/>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spacing w:line="576" w:lineRule="exact"/>
        <w:ind w:firstLine="640" w:firstLineChars="200"/>
        <w:rPr>
          <w:rStyle w:val="25"/>
          <w:rFonts w:ascii="黑体" w:hAnsi="黑体" w:eastAsia="黑体"/>
          <w:b w:val="0"/>
          <w:bCs/>
        </w:rPr>
      </w:pPr>
      <w:bookmarkStart w:id="34" w:name="_Toc15396606"/>
      <w:bookmarkStart w:id="35" w:name="_Toc15377208"/>
      <w:r>
        <w:rPr>
          <w:rFonts w:hint="eastAsia" w:ascii="黑体" w:hAnsi="黑体" w:eastAsia="黑体"/>
          <w:b w:val="0"/>
          <w:bCs w:val="0"/>
          <w:color w:val="000000"/>
        </w:rPr>
        <w:t>四、</w:t>
      </w:r>
      <w:r>
        <w:rPr>
          <w:rFonts w:hint="eastAsia" w:ascii="黑体" w:hAnsi="黑体" w:eastAsia="黑体" w:cs="黑体"/>
          <w:b w:val="0"/>
          <w:bCs w:val="0"/>
          <w:color w:val="000000"/>
        </w:rPr>
        <w:t>财</w:t>
      </w:r>
      <w:r>
        <w:rPr>
          <w:rStyle w:val="25"/>
          <w:rFonts w:hint="eastAsia" w:ascii="黑体" w:hAnsi="黑体" w:eastAsia="黑体" w:cs="黑体"/>
          <w:b w:val="0"/>
          <w:bCs w:val="0"/>
        </w:rPr>
        <w:t>政拨款收入支出决算总体情况说明</w:t>
      </w:r>
      <w:bookmarkEnd w:id="34"/>
      <w:bookmarkEnd w:id="35"/>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2018年财政拨款收、支总计539.06万元。与2017年相比，财政拨款收、支总计减少收入362.14万元，下降40.18%。主要变动原因是企业政策性补贴减少。</w:t>
      </w:r>
    </w:p>
    <w:p>
      <w:pPr>
        <w:spacing w:line="576"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r>
        <w:drawing>
          <wp:inline distT="0" distB="0" distL="0" distR="0">
            <wp:extent cx="5257800" cy="1990725"/>
            <wp:effectExtent l="19050" t="0" r="19050" b="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spacing w:line="576" w:lineRule="exact"/>
        <w:ind w:firstLine="643" w:firstLineChars="200"/>
        <w:rPr>
          <w:rFonts w:ascii="仿宋" w:hAnsi="仿宋" w:eastAsia="仿宋"/>
          <w:color w:val="000000"/>
        </w:rPr>
      </w:pPr>
      <w:bookmarkStart w:id="36" w:name="_Toc15396607"/>
      <w:bookmarkStart w:id="37" w:name="_Toc15377209"/>
      <w:r>
        <w:rPr>
          <w:rFonts w:hint="eastAsia" w:ascii="黑体" w:hAnsi="黑体" w:eastAsia="黑体"/>
          <w:color w:val="000000"/>
        </w:rPr>
        <w:t>五、一</w:t>
      </w:r>
      <w:r>
        <w:rPr>
          <w:rStyle w:val="25"/>
          <w:rFonts w:hint="eastAsia" w:ascii="黑体" w:hAnsi="黑体" w:eastAsia="黑体"/>
          <w:b w:val="0"/>
          <w:bCs/>
        </w:rPr>
        <w:t>般公共预算财政拨款支出决算情况说明</w:t>
      </w:r>
      <w:bookmarkEnd w:id="36"/>
      <w:bookmarkEnd w:id="37"/>
      <w:bookmarkStart w:id="38" w:name="_Toc15377210"/>
    </w:p>
    <w:p>
      <w:pPr>
        <w:spacing w:line="576" w:lineRule="exact"/>
        <w:ind w:firstLine="643" w:firstLineChars="200"/>
        <w:outlineLvl w:val="1"/>
        <w:rPr>
          <w:rStyle w:val="25"/>
          <w:rFonts w:ascii="黑体" w:hAnsi="黑体" w:eastAsia="黑体"/>
          <w:b w:val="0"/>
        </w:rPr>
      </w:pPr>
      <w:r>
        <w:rPr>
          <w:rFonts w:hint="eastAsia" w:ascii="楷体" w:hAnsi="楷体" w:eastAsia="楷体"/>
          <w:b/>
          <w:color w:val="000000"/>
          <w:sz w:val="32"/>
          <w:szCs w:val="32"/>
        </w:rPr>
        <w:t>（一）一般公共预算财政拨款支出决算总体情况</w:t>
      </w:r>
      <w:bookmarkEnd w:id="38"/>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2018年一般公共预算财政拨款支出539.06万元，占本年支出合计的100%。与2017年相比，一般公共预算财政拨款减少362.14万元，下降40.18%。主要变动原因是企业政策性补贴减少。</w:t>
      </w:r>
    </w:p>
    <w:p>
      <w:pPr>
        <w:spacing w:line="576"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（图5：一般公共预算财政拨款支出决算变动情况）（柱状图）</w:t>
      </w:r>
    </w:p>
    <w:p>
      <w:pPr>
        <w:spacing w:line="576"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457825" cy="2027555"/>
            <wp:effectExtent l="19050" t="0" r="9525" b="0"/>
            <wp:wrapSquare wrapText="bothSides"/>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76" w:lineRule="exact"/>
        <w:ind w:firstLine="643" w:firstLineChars="200"/>
        <w:outlineLvl w:val="1"/>
        <w:rPr>
          <w:rFonts w:ascii="仿宋" w:hAnsi="仿宋" w:eastAsia="仿宋"/>
          <w:b/>
          <w:color w:val="000000"/>
          <w:sz w:val="32"/>
          <w:szCs w:val="32"/>
        </w:rPr>
      </w:pPr>
      <w:bookmarkStart w:id="39" w:name="_Toc15377211"/>
      <w:r>
        <w:rPr>
          <w:rFonts w:hint="eastAsia" w:ascii="楷体" w:hAnsi="楷体" w:eastAsia="楷体"/>
          <w:b/>
          <w:color w:val="000000"/>
          <w:sz w:val="32"/>
          <w:szCs w:val="32"/>
        </w:rPr>
        <w:t>（二）一般公共预算财政拨款支出决算结构情况</w:t>
      </w:r>
      <w:bookmarkEnd w:id="39"/>
    </w:p>
    <w:p>
      <w:pPr>
        <w:spacing w:line="576" w:lineRule="exact"/>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2018年一般公共预算财</w:t>
      </w:r>
      <w:r>
        <w:rPr>
          <w:rFonts w:hint="eastAsia" w:ascii="仿宋_GB2312" w:hAnsi="仿宋_GB2312" w:eastAsia="仿宋_GB2312" w:cs="仿宋_GB2312"/>
          <w:color w:val="000000" w:themeColor="text1"/>
          <w:sz w:val="32"/>
          <w:szCs w:val="32"/>
        </w:rPr>
        <w:t>政拨款支出539.06万元，主要用于以下方面:</w:t>
      </w:r>
      <w:r>
        <w:rPr>
          <w:rFonts w:hint="eastAsia" w:ascii="仿宋_GB2312" w:hAnsi="仿宋_GB2312" w:eastAsia="仿宋_GB2312" w:cs="仿宋_GB2312"/>
          <w:b/>
          <w:color w:val="000000" w:themeColor="text1"/>
          <w:sz w:val="32"/>
          <w:szCs w:val="32"/>
        </w:rPr>
        <w:t>交通运输（类）</w:t>
      </w:r>
      <w:r>
        <w:rPr>
          <w:rFonts w:hint="eastAsia" w:ascii="仿宋_GB2312" w:hAnsi="仿宋_GB2312" w:eastAsia="仿宋_GB2312" w:cs="仿宋_GB2312"/>
          <w:color w:val="000000" w:themeColor="text1"/>
          <w:sz w:val="32"/>
          <w:szCs w:val="32"/>
        </w:rPr>
        <w:t>支出</w:t>
      </w:r>
      <w:r>
        <w:rPr>
          <w:rFonts w:hint="eastAsia" w:ascii="仿宋_GB2312" w:hAnsi="仿宋_GB2312" w:eastAsia="仿宋_GB2312" w:cs="仿宋_GB2312"/>
          <w:b/>
          <w:color w:val="000000" w:themeColor="text1"/>
          <w:sz w:val="32"/>
          <w:szCs w:val="32"/>
        </w:rPr>
        <w:t>计488.41万元</w:t>
      </w:r>
      <w:r>
        <w:rPr>
          <w:rFonts w:hint="eastAsia" w:ascii="仿宋_GB2312" w:hAnsi="仿宋_GB2312" w:eastAsia="仿宋_GB2312" w:cs="仿宋_GB2312"/>
          <w:color w:val="000000" w:themeColor="text1"/>
          <w:sz w:val="32"/>
          <w:szCs w:val="32"/>
        </w:rPr>
        <w:t>，占90.6%；</w:t>
      </w:r>
      <w:r>
        <w:rPr>
          <w:rFonts w:hint="eastAsia" w:ascii="仿宋_GB2312" w:hAnsi="仿宋_GB2312" w:eastAsia="仿宋_GB2312" w:cs="仿宋_GB2312"/>
          <w:b/>
          <w:color w:val="000000" w:themeColor="text1"/>
          <w:sz w:val="32"/>
          <w:szCs w:val="32"/>
        </w:rPr>
        <w:t>社会保障和就业（类）</w:t>
      </w:r>
      <w:r>
        <w:rPr>
          <w:rFonts w:hint="eastAsia" w:ascii="仿宋_GB2312" w:hAnsi="仿宋_GB2312" w:eastAsia="仿宋_GB2312" w:cs="仿宋_GB2312"/>
          <w:color w:val="000000" w:themeColor="text1"/>
          <w:sz w:val="32"/>
          <w:szCs w:val="32"/>
        </w:rPr>
        <w:t>支出26.22万元，占4.86%；</w:t>
      </w:r>
      <w:r>
        <w:rPr>
          <w:rFonts w:hint="eastAsia" w:ascii="仿宋_GB2312" w:hAnsi="仿宋_GB2312" w:eastAsia="仿宋_GB2312" w:cs="仿宋_GB2312"/>
          <w:b/>
          <w:color w:val="000000" w:themeColor="text1"/>
          <w:sz w:val="32"/>
          <w:szCs w:val="32"/>
        </w:rPr>
        <w:t>医疗卫生（类）</w:t>
      </w:r>
      <w:r>
        <w:rPr>
          <w:rFonts w:hint="eastAsia" w:ascii="仿宋_GB2312" w:hAnsi="仿宋_GB2312" w:eastAsia="仿宋_GB2312" w:cs="仿宋_GB2312"/>
          <w:color w:val="000000" w:themeColor="text1"/>
          <w:sz w:val="32"/>
          <w:szCs w:val="32"/>
        </w:rPr>
        <w:t>支出10.32万元，占1.91%；</w:t>
      </w:r>
      <w:r>
        <w:rPr>
          <w:rFonts w:hint="eastAsia" w:ascii="仿宋_GB2312" w:hAnsi="仿宋_GB2312" w:eastAsia="仿宋_GB2312" w:cs="仿宋_GB2312"/>
          <w:b/>
          <w:color w:val="000000" w:themeColor="text1"/>
          <w:sz w:val="32"/>
          <w:szCs w:val="32"/>
        </w:rPr>
        <w:t>住房保障障（类）</w:t>
      </w:r>
      <w:r>
        <w:rPr>
          <w:rFonts w:hint="eastAsia" w:ascii="仿宋_GB2312" w:hAnsi="仿宋_GB2312" w:eastAsia="仿宋_GB2312" w:cs="仿宋_GB2312"/>
          <w:color w:val="000000" w:themeColor="text1"/>
          <w:sz w:val="32"/>
          <w:szCs w:val="32"/>
        </w:rPr>
        <w:t>支出14.1万元，占2.63%。</w:t>
      </w:r>
    </w:p>
    <w:p>
      <w:pPr>
        <w:spacing w:line="576" w:lineRule="exact"/>
        <w:ind w:firstLine="640"/>
        <w:rPr>
          <w:rFonts w:ascii="仿宋_GB2312" w:hAnsi="仿宋_GB2312" w:eastAsia="仿宋_GB2312" w:cs="仿宋_GB2312"/>
          <w:color w:val="000000" w:themeColor="text1"/>
          <w:sz w:val="32"/>
          <w:szCs w:val="32"/>
        </w:rPr>
      </w:pPr>
    </w:p>
    <w:p>
      <w:pPr>
        <w:spacing w:line="576"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5306060" cy="2615565"/>
            <wp:effectExtent l="19050" t="0" r="27940" b="0"/>
            <wp:wrapSquare wrapText="bothSides"/>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_GB2312" w:eastAsia="仿宋_GB2312" w:cs="仿宋_GB2312"/>
          <w:color w:val="000000"/>
          <w:sz w:val="32"/>
          <w:szCs w:val="32"/>
        </w:rPr>
        <w:t>（图6：一般公共预算财政拨款支出决算结构）（饼状图）</w:t>
      </w:r>
      <w:bookmarkStart w:id="40" w:name="_Toc15377212"/>
    </w:p>
    <w:p>
      <w:pPr>
        <w:spacing w:line="576" w:lineRule="exact"/>
        <w:ind w:firstLine="643" w:firstLineChars="200"/>
        <w:outlineLvl w:val="1"/>
        <w:rPr>
          <w:rFonts w:ascii="仿宋" w:hAnsi="仿宋" w:eastAsia="仿宋"/>
          <w:b/>
          <w:color w:val="000000"/>
          <w:sz w:val="32"/>
          <w:szCs w:val="32"/>
        </w:rPr>
      </w:pPr>
      <w:r>
        <w:rPr>
          <w:rFonts w:hint="eastAsia" w:ascii="楷体" w:hAnsi="楷体" w:eastAsia="楷体"/>
          <w:b/>
          <w:color w:val="000000"/>
          <w:sz w:val="32"/>
          <w:szCs w:val="32"/>
        </w:rPr>
        <w:t>（三）一般公共预算财政拨款支出决算具体情况</w:t>
      </w:r>
      <w:bookmarkEnd w:id="40"/>
    </w:p>
    <w:p>
      <w:pPr>
        <w:spacing w:line="576" w:lineRule="exact"/>
        <w:ind w:firstLine="643" w:firstLineChars="200"/>
        <w:outlineLvl w:val="2"/>
        <w:rPr>
          <w:rFonts w:ascii="仿宋_GB2312" w:hAnsi="仿宋_GB2312" w:eastAsia="仿宋_GB2312" w:cs="仿宋_GB2312"/>
          <w:color w:val="FF0000"/>
          <w:sz w:val="32"/>
          <w:szCs w:val="32"/>
        </w:rPr>
      </w:pPr>
      <w:bookmarkStart w:id="41" w:name="_Toc15377444"/>
      <w:bookmarkStart w:id="42" w:name="_Toc15378460"/>
      <w:bookmarkStart w:id="43" w:name="_Toc15377213"/>
      <w:r>
        <w:rPr>
          <w:rFonts w:hint="eastAsia" w:ascii="仿宋_GB2312" w:hAnsi="仿宋_GB2312" w:eastAsia="仿宋_GB2312" w:cs="仿宋_GB2312"/>
          <w:b/>
          <w:color w:val="000000" w:themeColor="text1"/>
          <w:sz w:val="32"/>
          <w:szCs w:val="32"/>
        </w:rPr>
        <w:t>2018年般公共预算支出决算数为539.06</w:t>
      </w:r>
      <w:r>
        <w:rPr>
          <w:rFonts w:hint="eastAsia" w:ascii="仿宋_GB2312" w:hAnsi="仿宋_GB2312" w:eastAsia="仿宋_GB2312" w:cs="仿宋_GB2312"/>
          <w:color w:val="000000" w:themeColor="text1"/>
          <w:sz w:val="32"/>
          <w:szCs w:val="32"/>
        </w:rPr>
        <w:t>，</w:t>
      </w:r>
      <w:r>
        <w:rPr>
          <w:rStyle w:val="14"/>
          <w:rFonts w:hint="eastAsia" w:ascii="仿宋_GB2312" w:hAnsi="仿宋_GB2312" w:eastAsia="仿宋_GB2312" w:cs="仿宋_GB2312"/>
          <w:bCs/>
          <w:color w:val="000000" w:themeColor="text1"/>
          <w:sz w:val="32"/>
          <w:szCs w:val="32"/>
        </w:rPr>
        <w:t>完成</w:t>
      </w:r>
      <w:r>
        <w:rPr>
          <w:rStyle w:val="14"/>
          <w:rFonts w:hint="eastAsia" w:ascii="仿宋_GB2312" w:hAnsi="仿宋_GB2312" w:eastAsia="仿宋_GB2312" w:cs="仿宋_GB2312"/>
          <w:bCs/>
          <w:color w:val="000000"/>
          <w:sz w:val="32"/>
          <w:szCs w:val="32"/>
        </w:rPr>
        <w:t>预算100%。其中：</w:t>
      </w:r>
      <w:bookmarkEnd w:id="41"/>
      <w:bookmarkEnd w:id="42"/>
      <w:bookmarkEnd w:id="43"/>
    </w:p>
    <w:p>
      <w:pPr>
        <w:numPr>
          <w:ilvl w:val="0"/>
          <w:numId w:val="4"/>
        </w:numPr>
        <w:spacing w:line="576"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交通运输支出（类）公路水路运输（款）行政运行（项）:</w:t>
      </w:r>
      <w:r>
        <w:rPr>
          <w:rStyle w:val="14"/>
          <w:rFonts w:hint="eastAsia" w:ascii="仿宋_GB2312" w:hAnsi="仿宋_GB2312" w:eastAsia="仿宋_GB2312" w:cs="仿宋_GB2312"/>
          <w:b w:val="0"/>
          <w:bCs/>
          <w:color w:val="000000"/>
          <w:sz w:val="32"/>
          <w:szCs w:val="32"/>
        </w:rPr>
        <w:t>支出决算为152.16万元，完成预算100%。</w:t>
      </w:r>
    </w:p>
    <w:p>
      <w:pPr>
        <w:numPr>
          <w:ilvl w:val="0"/>
          <w:numId w:val="5"/>
        </w:numPr>
        <w:spacing w:line="576"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交通运输支出（类）公路水路运输（款）公路运输管理（项）：</w:t>
      </w:r>
      <w:r>
        <w:rPr>
          <w:rStyle w:val="14"/>
          <w:rFonts w:hint="eastAsia" w:ascii="仿宋_GB2312" w:hAnsi="仿宋_GB2312" w:eastAsia="仿宋_GB2312" w:cs="仿宋_GB2312"/>
          <w:b w:val="0"/>
          <w:bCs/>
          <w:color w:val="000000"/>
          <w:sz w:val="32"/>
          <w:szCs w:val="32"/>
        </w:rPr>
        <w:t>支出决算为6万元完成预算100%。</w:t>
      </w:r>
    </w:p>
    <w:p>
      <w:pPr>
        <w:numPr>
          <w:ilvl w:val="0"/>
          <w:numId w:val="5"/>
        </w:numPr>
        <w:spacing w:line="576"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交通运输支出（类）成品油价格改革对交通运输的补贴（款）对城市公交的补贴（项）:</w:t>
      </w:r>
      <w:r>
        <w:rPr>
          <w:rStyle w:val="14"/>
          <w:rFonts w:hint="eastAsia" w:ascii="仿宋_GB2312" w:hAnsi="仿宋_GB2312" w:eastAsia="仿宋_GB2312" w:cs="仿宋_GB2312"/>
          <w:b w:val="0"/>
          <w:bCs/>
          <w:color w:val="000000"/>
          <w:sz w:val="32"/>
          <w:szCs w:val="32"/>
        </w:rPr>
        <w:t>支出决算为17.37万完成预算100%。</w:t>
      </w:r>
    </w:p>
    <w:p>
      <w:pPr>
        <w:spacing w:line="576"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4.交通运输支出（类）成品油价格改革对交通运输的补贴（款）对城市公交的补贴（项）:</w:t>
      </w:r>
      <w:r>
        <w:rPr>
          <w:rStyle w:val="14"/>
          <w:rFonts w:hint="eastAsia" w:ascii="仿宋_GB2312" w:hAnsi="仿宋_GB2312" w:eastAsia="仿宋_GB2312" w:cs="仿宋_GB2312"/>
          <w:b w:val="0"/>
          <w:bCs/>
          <w:color w:val="000000"/>
          <w:sz w:val="32"/>
          <w:szCs w:val="32"/>
        </w:rPr>
        <w:t>对农村道路客运的补贴支出决算为168.97,完成预算100%。</w:t>
      </w:r>
    </w:p>
    <w:p>
      <w:pPr>
        <w:spacing w:line="576"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5.交通运输支出（类）成品油价格改革对交通运输的补贴（款）对城市公交的补贴（项）:</w:t>
      </w:r>
      <w:r>
        <w:rPr>
          <w:rStyle w:val="14"/>
          <w:rFonts w:hint="eastAsia" w:ascii="仿宋_GB2312" w:hAnsi="仿宋_GB2312" w:eastAsia="仿宋_GB2312" w:cs="仿宋_GB2312"/>
          <w:b w:val="0"/>
          <w:bCs/>
          <w:color w:val="000000"/>
          <w:sz w:val="32"/>
          <w:szCs w:val="32"/>
        </w:rPr>
        <w:t>对出租车的补贴支出决算为143.91万元，完成预算100%。</w:t>
      </w:r>
    </w:p>
    <w:p>
      <w:pPr>
        <w:spacing w:line="576"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6.住房保障支出（类）住房改革支出（款）住房公积金（项）:</w:t>
      </w:r>
      <w:r>
        <w:rPr>
          <w:rStyle w:val="14"/>
          <w:rFonts w:hint="eastAsia" w:ascii="仿宋_GB2312" w:hAnsi="仿宋_GB2312" w:eastAsia="仿宋_GB2312" w:cs="仿宋_GB2312"/>
          <w:b w:val="0"/>
          <w:bCs/>
          <w:color w:val="000000"/>
          <w:sz w:val="32"/>
          <w:szCs w:val="32"/>
        </w:rPr>
        <w:t>支出决算为14.1万元完成预算100%。</w:t>
      </w:r>
    </w:p>
    <w:p>
      <w:pPr>
        <w:spacing w:line="576"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7.社会保障和就业支出（类）行政事业单位离退休（款）</w:t>
      </w:r>
      <w:r>
        <w:rPr>
          <w:rStyle w:val="14"/>
          <w:rFonts w:hint="eastAsia" w:ascii="仿宋_GB2312" w:hAnsi="仿宋_GB2312" w:eastAsia="仿宋_GB2312" w:cs="仿宋_GB2312"/>
          <w:b w:val="0"/>
          <w:bCs/>
          <w:color w:val="000000"/>
          <w:sz w:val="32"/>
          <w:szCs w:val="32"/>
        </w:rPr>
        <w:t>机关单位养老保险及职业年金</w:t>
      </w:r>
      <w:r>
        <w:rPr>
          <w:rStyle w:val="14"/>
          <w:rFonts w:hint="eastAsia" w:ascii="仿宋_GB2312" w:hAnsi="仿宋_GB2312" w:eastAsia="仿宋_GB2312" w:cs="仿宋_GB2312"/>
          <w:bCs/>
          <w:color w:val="000000"/>
          <w:sz w:val="32"/>
          <w:szCs w:val="32"/>
        </w:rPr>
        <w:t>（项）:</w:t>
      </w:r>
      <w:r>
        <w:rPr>
          <w:rStyle w:val="14"/>
          <w:rFonts w:hint="eastAsia" w:ascii="仿宋_GB2312" w:hAnsi="仿宋_GB2312" w:eastAsia="仿宋_GB2312" w:cs="仿宋_GB2312"/>
          <w:b w:val="0"/>
          <w:bCs/>
          <w:color w:val="000000"/>
          <w:sz w:val="32"/>
          <w:szCs w:val="32"/>
        </w:rPr>
        <w:t>支出决算为26.22万元，完成预算100%。</w:t>
      </w:r>
    </w:p>
    <w:p>
      <w:pPr>
        <w:spacing w:line="576"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8.医疗卫生与计划生育（类）行政事业单位医疗（款）行政单位医疗（项）:</w:t>
      </w:r>
      <w:r>
        <w:rPr>
          <w:rStyle w:val="14"/>
          <w:rFonts w:hint="eastAsia" w:ascii="仿宋_GB2312" w:hAnsi="仿宋_GB2312" w:eastAsia="仿宋_GB2312" w:cs="仿宋_GB2312"/>
          <w:b w:val="0"/>
          <w:bCs/>
          <w:color w:val="000000"/>
          <w:sz w:val="32"/>
          <w:szCs w:val="32"/>
        </w:rPr>
        <w:t>支出决算为10.32万元，完成预算100%。</w:t>
      </w:r>
    </w:p>
    <w:p>
      <w:pPr>
        <w:pStyle w:val="3"/>
        <w:spacing w:line="576" w:lineRule="exact"/>
        <w:ind w:firstLine="643" w:firstLineChars="200"/>
        <w:rPr>
          <w:rStyle w:val="25"/>
          <w:b/>
          <w:bCs/>
        </w:rPr>
      </w:pPr>
      <w:bookmarkStart w:id="44" w:name="_Toc15377214"/>
      <w:bookmarkStart w:id="45" w:name="_Toc15396608"/>
      <w:r>
        <w:rPr>
          <w:rFonts w:hint="eastAsia" w:ascii="黑体" w:hAnsi="黑体" w:eastAsia="黑体" w:cs="黑体"/>
          <w:color w:val="000000"/>
        </w:rPr>
        <w:t>六、一</w:t>
      </w:r>
      <w:r>
        <w:rPr>
          <w:rStyle w:val="25"/>
          <w:rFonts w:hint="eastAsia" w:ascii="黑体" w:hAnsi="黑体" w:eastAsia="黑体" w:cs="黑体"/>
          <w:b w:val="0"/>
          <w:bCs/>
        </w:rPr>
        <w:t>般公共预算财政拨款基本支出决算情况说明</w:t>
      </w:r>
      <w:bookmarkEnd w:id="44"/>
      <w:bookmarkEnd w:id="45"/>
    </w:p>
    <w:p>
      <w:pPr>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2018年一般公共预算财政拨款基本支出202.80万元，其中：</w:t>
      </w:r>
    </w:p>
    <w:p>
      <w:pPr>
        <w:spacing w:line="576" w:lineRule="exact"/>
        <w:ind w:firstLine="645"/>
        <w:rPr>
          <w:rFonts w:ascii="仿宋" w:hAnsi="仿宋" w:eastAsia="仿宋"/>
          <w:b/>
          <w:color w:val="FF0000"/>
          <w:sz w:val="32"/>
          <w:szCs w:val="32"/>
        </w:rPr>
      </w:pPr>
      <w:r>
        <w:rPr>
          <w:rFonts w:hint="eastAsia" w:ascii="仿宋_GB2312" w:hAnsi="仿宋_GB2312" w:eastAsia="仿宋_GB2312" w:cs="仿宋_GB2312"/>
          <w:color w:val="000000"/>
          <w:sz w:val="32"/>
          <w:szCs w:val="32"/>
        </w:rPr>
        <w:t>人员经费188.36万元，主要包括：基本工资、津贴补贴、奖金、机关事业单位基本养老保险缴费、职业年金缴费、其他社会保障缴费、其他工资福利支出、生活补助、医疗费、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公用经费14.42万元，主要包括：办公费、手续费、水费、电费、邮电费、差旅费、维修（护）费、培训费、公务接待费、工会经费、福利费、公务用车运行维护费、其他商品和服务支出等。</w:t>
      </w:r>
    </w:p>
    <w:p>
      <w:pPr>
        <w:pStyle w:val="3"/>
        <w:spacing w:line="576" w:lineRule="exact"/>
        <w:ind w:firstLine="643" w:firstLineChars="200"/>
        <w:rPr>
          <w:rStyle w:val="25"/>
          <w:rFonts w:ascii="黑体" w:hAnsi="黑体" w:eastAsia="黑体"/>
          <w:b w:val="0"/>
          <w:bCs/>
        </w:rPr>
      </w:pPr>
      <w:bookmarkStart w:id="46" w:name="_Toc15377215"/>
      <w:bookmarkStart w:id="47" w:name="_Toc15396609"/>
      <w:r>
        <w:rPr>
          <w:rFonts w:hint="eastAsia" w:ascii="黑体" w:hAnsi="黑体" w:eastAsia="黑体" w:cs="黑体"/>
          <w:color w:val="000000"/>
        </w:rPr>
        <w:t>七、</w:t>
      </w:r>
      <w:r>
        <w:rPr>
          <w:rStyle w:val="25"/>
          <w:rFonts w:hint="eastAsia" w:ascii="黑体" w:hAnsi="黑体" w:eastAsia="黑体" w:cs="黑体"/>
          <w:b/>
          <w:bCs/>
        </w:rPr>
        <w:t>“</w:t>
      </w:r>
      <w:r>
        <w:rPr>
          <w:rStyle w:val="25"/>
          <w:rFonts w:hint="eastAsia" w:ascii="黑体" w:hAnsi="黑体" w:eastAsia="黑体" w:cs="黑体"/>
          <w:b w:val="0"/>
          <w:bCs/>
        </w:rPr>
        <w:t>三公”经费财政拨款支出决算情况说明</w:t>
      </w:r>
      <w:bookmarkEnd w:id="46"/>
      <w:bookmarkEnd w:id="47"/>
    </w:p>
    <w:p>
      <w:pPr>
        <w:spacing w:line="576" w:lineRule="exact"/>
        <w:ind w:firstLine="643" w:firstLineChars="200"/>
        <w:outlineLvl w:val="1"/>
        <w:rPr>
          <w:rFonts w:ascii="仿宋" w:hAnsi="仿宋" w:eastAsia="仿宋"/>
          <w:b/>
          <w:color w:val="000000"/>
          <w:sz w:val="32"/>
          <w:szCs w:val="32"/>
        </w:rPr>
      </w:pPr>
      <w:bookmarkStart w:id="48" w:name="_Toc15377216"/>
      <w:r>
        <w:rPr>
          <w:rFonts w:hint="eastAsia" w:ascii="楷体" w:hAnsi="楷体" w:eastAsia="楷体"/>
          <w:b/>
          <w:color w:val="000000"/>
          <w:sz w:val="32"/>
          <w:szCs w:val="32"/>
        </w:rPr>
        <w:t>（一）“三公”经费财政拨款支出决算总体情况说明</w:t>
      </w:r>
      <w:bookmarkEnd w:id="48"/>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2018年“三公”经费财政拨款支出决算为4.28万元，完成预算100%，决算数与预算数持平。</w:t>
      </w:r>
    </w:p>
    <w:p>
      <w:pPr>
        <w:spacing w:line="576" w:lineRule="exact"/>
        <w:ind w:firstLine="643" w:firstLineChars="200"/>
        <w:outlineLvl w:val="1"/>
        <w:rPr>
          <w:rFonts w:ascii="仿宋" w:hAnsi="仿宋" w:eastAsia="仿宋"/>
          <w:b/>
          <w:color w:val="000000"/>
          <w:sz w:val="32"/>
          <w:szCs w:val="32"/>
        </w:rPr>
      </w:pPr>
      <w:bookmarkStart w:id="49" w:name="_Toc15377217"/>
      <w:r>
        <w:rPr>
          <w:rFonts w:hint="eastAsia" w:ascii="楷体" w:hAnsi="楷体" w:eastAsia="楷体"/>
          <w:b/>
          <w:color w:val="000000"/>
          <w:sz w:val="32"/>
          <w:szCs w:val="32"/>
        </w:rPr>
        <w:t>（二）“三公”经费财政拨款支出决算具体情况说明</w:t>
      </w:r>
      <w:bookmarkEnd w:id="49"/>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2018年“三公”经费财政拨款支出决算中，因公出国（境）费支出决算0万元；公务用车购置及运行维护费支出决算4万元，占94.6%；公务接待费支出决算0.28万元，占6.54%。具体情况如下：</w:t>
      </w:r>
    </w:p>
    <w:p>
      <w:pPr>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（图8：“三公”经费财政拨款支出结构）（饼状图）</w:t>
      </w:r>
    </w:p>
    <w:p>
      <w:pPr>
        <w:spacing w:line="576" w:lineRule="exact"/>
        <w:ind w:firstLine="640"/>
        <w:rPr>
          <w:rFonts w:ascii="仿宋_GB2312" w:hAnsi="仿宋_GB2312" w:eastAsia="仿宋_GB2312" w:cs="仿宋_GB2312"/>
          <w:color w:val="000000"/>
          <w:sz w:val="32"/>
          <w:szCs w:val="32"/>
        </w:rPr>
      </w:pPr>
    </w:p>
    <w:p>
      <w:pPr>
        <w:tabs>
          <w:tab w:val="left" w:pos="1905"/>
        </w:tabs>
      </w:pPr>
      <w:r>
        <w:drawing>
          <wp:inline distT="0" distB="0" distL="0" distR="0">
            <wp:extent cx="5156835" cy="1947545"/>
            <wp:effectExtent l="19050" t="0" r="24351" b="0"/>
            <wp:docPr id="1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exact"/>
        <w:rPr>
          <w:rFonts w:ascii="仿宋" w:hAnsi="仿宋" w:eastAsia="仿宋"/>
          <w:color w:val="000000"/>
          <w:sz w:val="32"/>
          <w:szCs w:val="32"/>
        </w:rPr>
      </w:pPr>
    </w:p>
    <w:p>
      <w:pPr>
        <w:numPr>
          <w:numId w:val="0"/>
        </w:num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w:t>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201</w:t>
      </w:r>
      <w:r>
        <w:rPr>
          <w:rFonts w:hint="eastAsia" w:ascii="仿宋_GB2312" w:eastAsia="仿宋_GB2312"/>
          <w:color w:val="000000"/>
          <w:sz w:val="32"/>
          <w:szCs w:val="32"/>
        </w:rPr>
        <w:t>7年持平。</w:t>
      </w:r>
    </w:p>
    <w:p>
      <w:pPr>
        <w:spacing w:line="576"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月底，单位共有公务用车5辆，其中：轿车5辆、越野车0辆、载客汽车0辆。</w:t>
      </w:r>
    </w:p>
    <w:p>
      <w:pPr>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4万元。主要用于运管所行政执法车燃料费、维修费、过路过桥费、保险费等支出。</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0.28万元，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公务接待费支出决算与比</w:t>
      </w:r>
      <w:r>
        <w:rPr>
          <w:rFonts w:ascii="仿宋_GB2312" w:eastAsia="仿宋_GB2312"/>
          <w:color w:val="000000"/>
          <w:sz w:val="32"/>
          <w:szCs w:val="32"/>
        </w:rPr>
        <w:t>201</w:t>
      </w:r>
      <w:r>
        <w:rPr>
          <w:rFonts w:hint="eastAsia" w:ascii="仿宋_GB2312" w:eastAsia="仿宋_GB2312"/>
          <w:color w:val="000000"/>
          <w:sz w:val="32"/>
          <w:szCs w:val="32"/>
        </w:rPr>
        <w:t>7年持平。</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主要用于执行公务、开展业务活动开支的交通费、住宿费、用餐费等。国内公务接待8批次，80人次（包括陪同人员），共计支出0.28万元，具体内容包括：全州客运车辆安全交叉检查。</w:t>
      </w:r>
    </w:p>
    <w:p>
      <w:pPr>
        <w:spacing w:line="576" w:lineRule="exact"/>
        <w:ind w:firstLine="643" w:firstLineChars="200"/>
        <w:rPr>
          <w:rFonts w:ascii="仿宋_GB2312" w:eastAsia="仿宋_GB2312"/>
          <w:color w:val="000000" w:themeColor="text1"/>
          <w:sz w:val="32"/>
          <w:szCs w:val="32"/>
        </w:rPr>
      </w:pPr>
      <w:r>
        <w:rPr>
          <w:rFonts w:hint="eastAsia" w:ascii="仿宋_GB2312" w:hAnsi="仿宋_GB2312" w:eastAsia="仿宋_GB2312" w:cs="仿宋_GB2312"/>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576" w:lineRule="exact"/>
        <w:ind w:firstLine="640"/>
        <w:rPr>
          <w:rFonts w:ascii="黑体" w:eastAsia="黑体"/>
          <w:color w:val="000000"/>
          <w:sz w:val="32"/>
          <w:szCs w:val="32"/>
        </w:rPr>
      </w:pPr>
      <w:r>
        <w:rPr>
          <w:rFonts w:hint="eastAsia" w:ascii="仿宋_GB2312" w:hAnsi="仿宋_GB2312" w:eastAsia="仿宋_GB2312" w:cs="仿宋_GB2312"/>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bookmarkStart w:id="50" w:name="_Toc15377218"/>
      <w:bookmarkStart w:id="51" w:name="_Toc15396610"/>
    </w:p>
    <w:p>
      <w:pPr>
        <w:pStyle w:val="3"/>
        <w:spacing w:line="576" w:lineRule="exact"/>
        <w:ind w:firstLine="643" w:firstLineChars="200"/>
        <w:rPr>
          <w:rStyle w:val="25"/>
          <w:rFonts w:ascii="黑体" w:hAnsi="黑体" w:eastAsia="黑体"/>
          <w:b/>
          <w:bCs/>
        </w:rPr>
      </w:pPr>
      <w:r>
        <w:rPr>
          <w:rFonts w:hint="eastAsia" w:ascii="黑体" w:eastAsia="黑体"/>
          <w:color w:val="000000"/>
        </w:rPr>
        <w:t>八、</w:t>
      </w:r>
      <w:r>
        <w:rPr>
          <w:rStyle w:val="25"/>
          <w:rFonts w:hint="eastAsia" w:ascii="黑体" w:hAnsi="黑体" w:eastAsia="黑体"/>
          <w:b w:val="0"/>
          <w:bCs/>
        </w:rPr>
        <w:t>政府性基金预算支出决算情况说明</w:t>
      </w:r>
      <w:bookmarkEnd w:id="50"/>
      <w:bookmarkEnd w:id="51"/>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茂县道路运输管理所</w:t>
      </w:r>
      <w:r>
        <w:rPr>
          <w:rFonts w:ascii="仿宋_GB2312" w:eastAsia="仿宋_GB2312"/>
          <w:color w:val="000000"/>
          <w:sz w:val="32"/>
          <w:szCs w:val="32"/>
        </w:rPr>
        <w:t>201</w:t>
      </w:r>
      <w:r>
        <w:rPr>
          <w:rFonts w:hint="eastAsia" w:ascii="仿宋_GB2312" w:eastAsia="仿宋_GB2312"/>
          <w:color w:val="000000"/>
          <w:sz w:val="32"/>
          <w:szCs w:val="32"/>
        </w:rPr>
        <w:t>8年无政府性基金预算拨款。</w:t>
      </w:r>
    </w:p>
    <w:p>
      <w:pPr>
        <w:pStyle w:val="3"/>
        <w:spacing w:line="576" w:lineRule="exact"/>
        <w:ind w:firstLine="640" w:firstLineChars="200"/>
        <w:rPr>
          <w:rStyle w:val="25"/>
          <w:rFonts w:ascii="黑体" w:hAnsi="黑体" w:eastAsia="黑体"/>
          <w:b w:val="0"/>
          <w:bCs/>
        </w:rPr>
      </w:pPr>
      <w:bookmarkStart w:id="52" w:name="_Toc15377219"/>
      <w:bookmarkStart w:id="53" w:name="_Toc15396611"/>
      <w:r>
        <w:rPr>
          <w:rStyle w:val="25"/>
          <w:rFonts w:hint="eastAsia" w:ascii="黑体" w:hAnsi="黑体" w:eastAsia="黑体"/>
          <w:b w:val="0"/>
          <w:bCs/>
        </w:rPr>
        <w:t>九、国有资本经营预算支出决算情况说明</w:t>
      </w:r>
      <w:bookmarkEnd w:id="52"/>
      <w:bookmarkEnd w:id="53"/>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茂县道路运输管理所</w:t>
      </w:r>
      <w:r>
        <w:rPr>
          <w:rFonts w:ascii="仿宋_GB2312" w:eastAsia="仿宋_GB2312"/>
          <w:color w:val="000000"/>
          <w:sz w:val="32"/>
          <w:szCs w:val="32"/>
        </w:rPr>
        <w:t>201</w:t>
      </w:r>
      <w:r>
        <w:rPr>
          <w:rFonts w:hint="eastAsia" w:ascii="仿宋_GB2312" w:eastAsia="仿宋_GB2312"/>
          <w:color w:val="000000"/>
          <w:sz w:val="32"/>
          <w:szCs w:val="32"/>
        </w:rPr>
        <w:t>8年无国有资本经营预算拨款。</w:t>
      </w:r>
    </w:p>
    <w:p>
      <w:pPr>
        <w:spacing w:line="576" w:lineRule="exact"/>
        <w:ind w:firstLine="640"/>
        <w:rPr>
          <w:rStyle w:val="25"/>
          <w:rFonts w:ascii="黑体" w:hAnsi="黑体" w:eastAsia="黑体"/>
          <w:b w:val="0"/>
        </w:rPr>
      </w:pPr>
      <w:r>
        <w:rPr>
          <w:rStyle w:val="25"/>
          <w:rFonts w:hint="eastAsia" w:ascii="黑体" w:hAnsi="黑体" w:eastAsia="黑体"/>
          <w:b w:val="0"/>
        </w:rPr>
        <w:t>十、预算绩效情况说明</w:t>
      </w:r>
    </w:p>
    <w:p>
      <w:pPr>
        <w:spacing w:line="576" w:lineRule="exact"/>
        <w:ind w:firstLine="643" w:firstLineChars="200"/>
        <w:outlineLvl w:val="1"/>
        <w:rPr>
          <w:rFonts w:ascii="仿宋" w:hAnsi="仿宋" w:eastAsia="仿宋" w:cs="楷体_GB2312"/>
          <w:b/>
          <w:bCs/>
          <w:sz w:val="32"/>
          <w:szCs w:val="32"/>
        </w:rPr>
      </w:pPr>
      <w:r>
        <w:rPr>
          <w:rFonts w:hint="eastAsia" w:ascii="楷体" w:hAnsi="楷体" w:eastAsia="楷体"/>
          <w:b/>
          <w:color w:val="000000"/>
          <w:sz w:val="32"/>
          <w:szCs w:val="32"/>
        </w:rPr>
        <w:t>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根据预算绩效管理要求，预算执行过程中，选取2个项目开展绩效监控，年终执行完毕后，对2个项目开展了绩效目标完成情况梳理填报。</w:t>
      </w:r>
    </w:p>
    <w:p>
      <w:pPr>
        <w:pStyle w:val="29"/>
        <w:spacing w:line="576" w:lineRule="exact"/>
        <w:ind w:left="141" w:leftChars="67" w:right="84" w:rightChars="40" w:firstLine="691" w:firstLineChars="216"/>
        <w:rPr>
          <w:rFonts w:ascii="仿宋_GB2312" w:hAnsi="仿宋_GB2312" w:eastAsia="仿宋_GB2312" w:cs="仿宋_GB2312"/>
          <w:sz w:val="32"/>
          <w:szCs w:val="32"/>
        </w:rPr>
      </w:pPr>
      <w:r>
        <w:rPr>
          <w:rFonts w:hint="eastAsia" w:ascii="仿宋_GB2312" w:hAnsi="楷体" w:eastAsia="仿宋_GB2312" w:cs="仿宋_GB2312"/>
          <w:sz w:val="32"/>
          <w:szCs w:val="32"/>
        </w:rPr>
        <w:t>本部门按要求对2018年部门整体支出开展绩效自评，从评价情况来看，</w:t>
      </w:r>
      <w:r>
        <w:rPr>
          <w:rFonts w:hint="eastAsia" w:ascii="仿宋_GB2312" w:eastAsia="仿宋_GB2312"/>
          <w:color w:val="000000"/>
          <w:sz w:val="32"/>
          <w:szCs w:val="32"/>
          <w:shd w:val="clear" w:color="auto" w:fill="FFFFFF"/>
        </w:rPr>
        <w:t>我所所有财政资金支出主要用于保障本单位机构正常运转、完成日常工作任务以及承担社会保险事业发展相关工作。</w:t>
      </w:r>
    </w:p>
    <w:p>
      <w:pPr>
        <w:spacing w:line="576" w:lineRule="exact"/>
        <w:ind w:firstLine="643" w:firstLineChars="200"/>
        <w:outlineLvl w:val="1"/>
        <w:rPr>
          <w:rFonts w:ascii="楷体" w:hAnsi="楷体" w:eastAsia="楷体"/>
          <w:b/>
          <w:color w:val="000000"/>
          <w:sz w:val="32"/>
          <w:szCs w:val="32"/>
        </w:rPr>
      </w:pPr>
      <w:r>
        <w:rPr>
          <w:rFonts w:hint="eastAsia" w:ascii="楷体" w:hAnsi="楷体" w:eastAsia="楷体"/>
          <w:b/>
          <w:color w:val="000000"/>
          <w:sz w:val="32"/>
          <w:szCs w:val="32"/>
        </w:rPr>
        <w:t>项目绩效目标完成情况。</w:t>
      </w:r>
    </w:p>
    <w:p>
      <w:pPr>
        <w:spacing w:line="576"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本部门在2018年度部门决算中反映“打击非法营运”“成品油价格改革”2个项目绩效目标实际完成情况。</w:t>
      </w:r>
    </w:p>
    <w:p>
      <w:pPr>
        <w:widowControl/>
        <w:numPr>
          <w:numId w:val="0"/>
        </w:numPr>
        <w:ind w:firstLine="640" w:firstLineChars="200"/>
        <w:jc w:val="left"/>
        <w:rPr>
          <w:rFonts w:ascii="仿宋" w:hAnsi="仿宋" w:eastAsia="仿宋" w:cs="仿宋"/>
          <w:color w:val="000000"/>
          <w:kern w:val="0"/>
          <w:sz w:val="31"/>
          <w:szCs w:val="31"/>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打非治违</w:t>
      </w:r>
      <w:r>
        <w:rPr>
          <w:rFonts w:ascii="仿宋" w:hAnsi="仿宋" w:eastAsia="仿宋" w:cs="仿宋"/>
          <w:color w:val="000000"/>
          <w:kern w:val="0"/>
          <w:sz w:val="31"/>
          <w:szCs w:val="31"/>
        </w:rPr>
        <w:t>项目绩效目标完成情况综述。项目全年预算数</w:t>
      </w:r>
      <w:r>
        <w:rPr>
          <w:rFonts w:hint="eastAsia" w:ascii="仿宋" w:hAnsi="仿宋" w:eastAsia="仿宋" w:cs="仿宋"/>
          <w:color w:val="000000"/>
          <w:kern w:val="0"/>
          <w:sz w:val="31"/>
          <w:szCs w:val="31"/>
        </w:rPr>
        <w:t>6</w:t>
      </w:r>
      <w:r>
        <w:rPr>
          <w:rFonts w:ascii="仿宋" w:hAnsi="仿宋" w:eastAsia="仿宋" w:cs="仿宋"/>
          <w:color w:val="000000"/>
          <w:kern w:val="0"/>
          <w:sz w:val="31"/>
          <w:szCs w:val="31"/>
        </w:rPr>
        <w:t>万元，</w:t>
      </w:r>
      <w:r>
        <w:rPr>
          <w:rFonts w:hint="eastAsia" w:ascii="仿宋" w:hAnsi="仿宋" w:eastAsia="仿宋" w:cs="仿宋"/>
          <w:color w:val="000000"/>
          <w:kern w:val="0"/>
          <w:sz w:val="31"/>
          <w:szCs w:val="31"/>
        </w:rPr>
        <w:t>执行数6万元</w:t>
      </w:r>
      <w:r>
        <w:rPr>
          <w:rFonts w:ascii="仿宋" w:hAnsi="仿宋" w:eastAsia="仿宋" w:cs="仿宋"/>
          <w:color w:val="000000"/>
          <w:kern w:val="0"/>
          <w:sz w:val="31"/>
          <w:szCs w:val="31"/>
        </w:rPr>
        <w:t>，完成预算的</w:t>
      </w:r>
      <w:r>
        <w:rPr>
          <w:rFonts w:hint="eastAsia" w:ascii="仿宋" w:hAnsi="仿宋" w:eastAsia="仿宋" w:cs="仿宋"/>
          <w:color w:val="000000"/>
          <w:kern w:val="0"/>
          <w:sz w:val="31"/>
          <w:szCs w:val="31"/>
        </w:rPr>
        <w:t>100%</w:t>
      </w:r>
      <w:r>
        <w:rPr>
          <w:rFonts w:ascii="仿宋" w:hAnsi="仿宋" w:eastAsia="仿宋" w:cs="仿宋"/>
          <w:color w:val="000000"/>
          <w:kern w:val="0"/>
          <w:sz w:val="31"/>
          <w:szCs w:val="31"/>
        </w:rPr>
        <w:t>。通过项目实施，保障了</w:t>
      </w:r>
      <w:r>
        <w:rPr>
          <w:rFonts w:hint="eastAsia" w:ascii="仿宋" w:hAnsi="仿宋" w:eastAsia="仿宋" w:cs="仿宋"/>
          <w:color w:val="000000"/>
          <w:kern w:val="0"/>
          <w:sz w:val="31"/>
          <w:szCs w:val="31"/>
        </w:rPr>
        <w:t>我县打非治违</w:t>
      </w:r>
      <w:r>
        <w:rPr>
          <w:rFonts w:ascii="仿宋" w:hAnsi="仿宋" w:eastAsia="仿宋" w:cs="仿宋"/>
          <w:color w:val="000000"/>
          <w:kern w:val="0"/>
          <w:sz w:val="31"/>
          <w:szCs w:val="31"/>
        </w:rPr>
        <w:t>工作的顺利开展。</w:t>
      </w:r>
    </w:p>
    <w:p>
      <w:pPr>
        <w:widowControl/>
        <w:numPr>
          <w:numId w:val="0"/>
        </w:numPr>
        <w:ind w:firstLine="620" w:firstLineChars="200"/>
        <w:jc w:val="left"/>
        <w:rPr>
          <w:rFonts w:ascii="仿宋" w:hAnsi="仿宋" w:eastAsia="仿宋" w:cs="仿宋"/>
          <w:color w:val="000000"/>
          <w:kern w:val="0"/>
          <w:sz w:val="31"/>
          <w:szCs w:val="31"/>
        </w:rPr>
      </w:pPr>
      <w:r>
        <w:rPr>
          <w:rFonts w:hint="eastAsia" w:ascii="仿宋" w:hAnsi="仿宋" w:eastAsia="仿宋" w:cs="仿宋"/>
          <w:color w:val="000000"/>
          <w:kern w:val="0"/>
          <w:sz w:val="31"/>
          <w:szCs w:val="31"/>
          <w:lang w:val="en-US" w:eastAsia="zh-CN"/>
        </w:rPr>
        <w:t>2.</w:t>
      </w:r>
      <w:r>
        <w:rPr>
          <w:rFonts w:hint="eastAsia" w:ascii="仿宋" w:hAnsi="仿宋" w:eastAsia="仿宋" w:cs="仿宋"/>
          <w:color w:val="000000"/>
          <w:kern w:val="0"/>
          <w:sz w:val="31"/>
          <w:szCs w:val="31"/>
        </w:rPr>
        <w:t>成品油价格改革对交通运输的补贴完成情况综述。项目全年预算330.25万元，执行数330.25万元，完成预算的100%。通过项目的实施保障了我县城市公交车、出租车及农村道路客运车辆的正常运行。</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打非治违工作经费</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茂县</w:t>
            </w:r>
            <w:r>
              <w:rPr>
                <w:rFonts w:hint="eastAsia" w:ascii="宋体" w:hAnsi="宋体" w:cs="宋体"/>
                <w:color w:val="000000"/>
                <w:sz w:val="24"/>
              </w:rPr>
              <w:t>道路运输管理所</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6万元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6万元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hAnsi="宋体" w:cs="宋体"/>
                <w:color w:val="000000"/>
                <w:sz w:val="24"/>
              </w:rPr>
            </w:pPr>
            <w:r>
              <w:rPr>
                <w:rFonts w:ascii="宋体" w:hAnsi="宋体" w:cs="宋体"/>
                <w:color w:val="000000"/>
                <w:sz w:val="24"/>
              </w:rPr>
              <w:t>保障</w:t>
            </w:r>
            <w:r>
              <w:rPr>
                <w:rFonts w:hint="eastAsia" w:ascii="宋体" w:hAnsi="宋体" w:cs="宋体"/>
                <w:color w:val="000000"/>
                <w:sz w:val="24"/>
              </w:rPr>
              <w:t>本</w:t>
            </w:r>
            <w:r>
              <w:rPr>
                <w:rFonts w:ascii="宋体" w:hAnsi="宋体" w:cs="宋体"/>
                <w:color w:val="000000"/>
                <w:sz w:val="24"/>
              </w:rPr>
              <w:t>单位</w:t>
            </w:r>
            <w:r>
              <w:rPr>
                <w:rFonts w:hint="eastAsia" w:ascii="宋体" w:hAnsi="宋体" w:cs="宋体"/>
                <w:color w:val="000000"/>
                <w:sz w:val="24"/>
              </w:rPr>
              <w:t>更好的开展打非治违工作以及</w:t>
            </w:r>
            <w:r>
              <w:rPr>
                <w:rFonts w:ascii="宋体" w:hAnsi="宋体" w:cs="宋体"/>
                <w:color w:val="000000"/>
                <w:sz w:val="24"/>
              </w:rPr>
              <w:t>机构正常运行</w:t>
            </w:r>
            <w:r>
              <w:rPr>
                <w:rFonts w:hint="eastAsia" w:ascii="宋体" w:hAns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保障</w:t>
            </w:r>
            <w:r>
              <w:rPr>
                <w:rFonts w:hint="eastAsia" w:ascii="宋体" w:hAnsi="宋体" w:cs="宋体"/>
                <w:color w:val="000000"/>
                <w:sz w:val="24"/>
              </w:rPr>
              <w:t>本</w:t>
            </w:r>
            <w:r>
              <w:rPr>
                <w:rFonts w:ascii="宋体" w:hAnsi="宋体" w:cs="宋体"/>
                <w:color w:val="000000"/>
                <w:sz w:val="24"/>
              </w:rPr>
              <w:t>单位</w:t>
            </w:r>
            <w:r>
              <w:rPr>
                <w:rFonts w:hint="eastAsia" w:ascii="宋体" w:hAnsi="宋体" w:cs="宋体"/>
                <w:color w:val="000000"/>
                <w:sz w:val="24"/>
              </w:rPr>
              <w:t>更好的开展打非治违工作以及</w:t>
            </w:r>
            <w:r>
              <w:rPr>
                <w:rFonts w:ascii="宋体" w:hAnsi="宋体" w:cs="宋体"/>
                <w:color w:val="000000"/>
                <w:sz w:val="24"/>
              </w:rPr>
              <w:t>机构正常运行</w:t>
            </w:r>
            <w:r>
              <w:rPr>
                <w:rFonts w:hint="eastAsia" w:ascii="宋体" w:hAnsi="宋体" w:cs="宋体"/>
                <w:color w:val="000000"/>
                <w:sz w:val="24"/>
              </w:rPr>
              <w:t>。</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当年</w:t>
            </w:r>
            <w:r>
              <w:rPr>
                <w:rFonts w:hint="eastAsia" w:ascii="宋体" w:hAnsi="宋体" w:cs="宋体"/>
                <w:color w:val="000000"/>
                <w:sz w:val="24"/>
              </w:rPr>
              <w:t>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当年</w:t>
            </w:r>
            <w:r>
              <w:rPr>
                <w:rFonts w:hint="eastAsia" w:ascii="宋体" w:hAnsi="宋体" w:cs="宋体"/>
                <w:color w:val="000000"/>
                <w:sz w:val="24"/>
              </w:rPr>
              <w:t>12月底前</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按照往年及动态调整进行测算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费用正常支出</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hAnsi="宋体" w:cs="宋体"/>
                <w:color w:val="000000"/>
                <w:sz w:val="24"/>
              </w:rPr>
            </w:pPr>
            <w:r>
              <w:rPr>
                <w:rFonts w:ascii="宋体" w:hAnsi="宋体" w:cs="宋体"/>
                <w:color w:val="000000"/>
                <w:sz w:val="24"/>
              </w:rPr>
              <w:t>保障</w:t>
            </w:r>
            <w:r>
              <w:rPr>
                <w:rFonts w:hint="eastAsia" w:ascii="宋体" w:hAnsi="宋体" w:cs="宋体"/>
                <w:color w:val="000000"/>
                <w:sz w:val="24"/>
              </w:rPr>
              <w:t>单位机构工作正常运行。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保障了</w:t>
            </w:r>
            <w:r>
              <w:rPr>
                <w:rFonts w:hint="eastAsia" w:ascii="宋体" w:hAnsi="宋体" w:cs="宋体"/>
                <w:color w:val="000000"/>
                <w:sz w:val="24"/>
              </w:rPr>
              <w:t>2018年单位机构工作正常运行。</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预计完成100%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本着反对铺张浪费</w:t>
            </w:r>
            <w:r>
              <w:rPr>
                <w:rFonts w:hint="eastAsia" w:ascii="宋体" w:hAnsi="宋体" w:cs="宋体"/>
                <w:color w:val="000000"/>
                <w:sz w:val="24"/>
              </w:rPr>
              <w:t>、</w:t>
            </w:r>
            <w:r>
              <w:rPr>
                <w:rFonts w:ascii="宋体" w:hAnsi="宋体" w:cs="宋体"/>
                <w:color w:val="000000"/>
                <w:sz w:val="24"/>
              </w:rPr>
              <w:t>厉行节约的原则</w:t>
            </w:r>
            <w:r>
              <w:rPr>
                <w:rFonts w:hint="eastAsia" w:ascii="宋体" w:hAnsi="宋体" w:cs="宋体"/>
                <w:color w:val="000000"/>
                <w:sz w:val="24"/>
              </w:rPr>
              <w:t>，</w:t>
            </w:r>
            <w:r>
              <w:rPr>
                <w:rFonts w:ascii="宋体" w:hAnsi="宋体" w:cs="宋体"/>
                <w:color w:val="000000"/>
                <w:sz w:val="24"/>
              </w:rPr>
              <w:t>实际完成</w:t>
            </w:r>
            <w:r>
              <w:rPr>
                <w:rFonts w:hint="eastAsia" w:ascii="宋体" w:hAnsi="宋体" w:cs="宋体"/>
                <w:color w:val="000000"/>
                <w:sz w:val="24"/>
              </w:rPr>
              <w:t>100%。</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成品油价格改革对交通运输的补贴</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茂县</w:t>
            </w:r>
            <w:r>
              <w:rPr>
                <w:rFonts w:hint="eastAsia" w:ascii="宋体" w:hAnsi="宋体" w:cs="宋体"/>
                <w:color w:val="000000"/>
                <w:sz w:val="24"/>
              </w:rPr>
              <w:t>道路运输管理所</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330.25万元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330.25万元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330.25万元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330.25万元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hAnsi="宋体" w:cs="宋体"/>
                <w:color w:val="000000"/>
                <w:sz w:val="24"/>
              </w:rPr>
            </w:pPr>
            <w:r>
              <w:rPr>
                <w:rFonts w:ascii="宋体" w:hAnsi="宋体" w:cs="宋体"/>
                <w:color w:val="000000"/>
                <w:sz w:val="24"/>
              </w:rPr>
              <w:t>保障</w:t>
            </w:r>
            <w:r>
              <w:rPr>
                <w:rFonts w:hint="eastAsia" w:ascii="宋体" w:hAnsi="宋体" w:cs="宋体"/>
                <w:color w:val="000000"/>
                <w:sz w:val="24"/>
              </w:rPr>
              <w:t>我县运输企业工作的正常完成。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保障</w:t>
            </w:r>
            <w:r>
              <w:rPr>
                <w:rFonts w:hint="eastAsia" w:ascii="宋体" w:hAnsi="宋体" w:cs="宋体"/>
                <w:color w:val="000000"/>
                <w:sz w:val="24"/>
              </w:rPr>
              <w:t>我县运输企业工作的正常完成</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当年</w:t>
            </w:r>
            <w:r>
              <w:rPr>
                <w:rFonts w:hint="eastAsia" w:ascii="宋体" w:hAnsi="宋体" w:cs="宋体"/>
                <w:color w:val="000000"/>
                <w:sz w:val="24"/>
              </w:rPr>
              <w:t>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当年</w:t>
            </w:r>
            <w:r>
              <w:rPr>
                <w:rFonts w:hint="eastAsia" w:ascii="宋体" w:hAnsi="宋体" w:cs="宋体"/>
                <w:color w:val="000000"/>
                <w:sz w:val="24"/>
              </w:rPr>
              <w:t>12月底前</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按照往年及动态调整进行测算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费用正常支出</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hAnsi="宋体" w:cs="宋体"/>
                <w:color w:val="000000"/>
                <w:sz w:val="24"/>
              </w:rPr>
            </w:pPr>
            <w:r>
              <w:rPr>
                <w:rFonts w:ascii="宋体" w:hAnsi="宋体" w:cs="宋体"/>
                <w:color w:val="000000"/>
                <w:sz w:val="24"/>
              </w:rPr>
              <w:t>保障</w:t>
            </w:r>
            <w:r>
              <w:rPr>
                <w:rFonts w:hint="eastAsia" w:ascii="宋体" w:hAnsi="宋体" w:cs="宋体"/>
                <w:color w:val="000000"/>
                <w:sz w:val="24"/>
              </w:rPr>
              <w:t>我县运输企业工作的正常完成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保障</w:t>
            </w:r>
            <w:r>
              <w:rPr>
                <w:rFonts w:hint="eastAsia" w:ascii="宋体" w:hAnsi="宋体" w:cs="宋体"/>
                <w:color w:val="000000"/>
                <w:sz w:val="24"/>
              </w:rPr>
              <w:t>了我县运输企业工作的正常完成。</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预计完成100%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本着反对铺张浪费</w:t>
            </w:r>
            <w:r>
              <w:rPr>
                <w:rFonts w:hint="eastAsia" w:ascii="宋体" w:hAnsi="宋体" w:cs="宋体"/>
                <w:color w:val="000000"/>
                <w:sz w:val="24"/>
              </w:rPr>
              <w:t>、</w:t>
            </w:r>
            <w:r>
              <w:rPr>
                <w:rFonts w:ascii="宋体" w:hAnsi="宋体" w:cs="宋体"/>
                <w:color w:val="000000"/>
                <w:sz w:val="24"/>
              </w:rPr>
              <w:t>厉行节约的原则</w:t>
            </w:r>
            <w:r>
              <w:rPr>
                <w:rFonts w:hint="eastAsia" w:ascii="宋体" w:hAnsi="宋体" w:cs="宋体"/>
                <w:color w:val="000000"/>
                <w:sz w:val="24"/>
              </w:rPr>
              <w:t>，</w:t>
            </w:r>
            <w:r>
              <w:rPr>
                <w:rFonts w:ascii="宋体" w:hAnsi="宋体" w:cs="宋体"/>
                <w:color w:val="000000"/>
                <w:sz w:val="24"/>
              </w:rPr>
              <w:t>实际完成</w:t>
            </w:r>
            <w:r>
              <w:rPr>
                <w:rFonts w:hint="eastAsia" w:ascii="宋体" w:hAnsi="宋体" w:cs="宋体"/>
                <w:color w:val="000000"/>
                <w:sz w:val="24"/>
              </w:rPr>
              <w:t>100%。</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spacing w:line="576" w:lineRule="exact"/>
        <w:ind w:firstLine="643" w:firstLineChars="200"/>
        <w:outlineLvl w:val="1"/>
        <w:rPr>
          <w:rFonts w:ascii="仿宋" w:hAnsi="仿宋" w:eastAsia="仿宋" w:cs="仿宋_GB2312"/>
          <w:sz w:val="32"/>
          <w:szCs w:val="32"/>
        </w:rPr>
      </w:pPr>
      <w:r>
        <w:rPr>
          <w:rFonts w:hint="eastAsia" w:ascii="楷体" w:hAnsi="楷体" w:eastAsia="楷体"/>
          <w:b/>
          <w:color w:val="000000"/>
          <w:sz w:val="32"/>
          <w:szCs w:val="32"/>
        </w:rPr>
        <w:t>部门开展绩效评价结果。</w:t>
      </w:r>
    </w:p>
    <w:p>
      <w:pPr>
        <w:spacing w:line="576"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本部门按要求对2018年部门整体支出绩效评价情况开展自评，《运管所部门2018年部门整体支出绩效评价报告》见附件。</w:t>
      </w:r>
    </w:p>
    <w:p>
      <w:pPr>
        <w:spacing w:line="576" w:lineRule="exact"/>
        <w:ind w:firstLine="800" w:firstLineChars="250"/>
        <w:outlineLvl w:val="1"/>
        <w:rPr>
          <w:rStyle w:val="25"/>
          <w:rFonts w:ascii="黑体" w:hAnsi="黑体" w:eastAsia="黑体"/>
        </w:rPr>
      </w:pPr>
      <w:bookmarkStart w:id="54" w:name="_Toc15377221"/>
      <w:bookmarkStart w:id="55" w:name="_Toc15396612"/>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4"/>
      <w:bookmarkEnd w:id="55"/>
    </w:p>
    <w:p>
      <w:pPr>
        <w:spacing w:line="576" w:lineRule="exact"/>
        <w:ind w:firstLine="643" w:firstLineChars="200"/>
        <w:outlineLvl w:val="1"/>
        <w:rPr>
          <w:rFonts w:ascii="楷体" w:hAnsi="楷体" w:eastAsia="楷体"/>
          <w:b/>
          <w:color w:val="000000"/>
          <w:sz w:val="32"/>
          <w:szCs w:val="32"/>
        </w:rPr>
      </w:pPr>
      <w:bookmarkStart w:id="56" w:name="_Toc15377222"/>
      <w:r>
        <w:rPr>
          <w:rFonts w:hint="eastAsia" w:ascii="楷体" w:hAnsi="楷体" w:eastAsia="楷体"/>
          <w:b/>
          <w:color w:val="000000"/>
          <w:sz w:val="32"/>
          <w:szCs w:val="32"/>
        </w:rPr>
        <w:t>（一）机关运行经费支出情况</w:t>
      </w:r>
      <w:bookmarkEnd w:id="56"/>
    </w:p>
    <w:p>
      <w:pPr>
        <w:spacing w:line="576" w:lineRule="exact"/>
        <w:ind w:firstLine="640"/>
        <w:rPr>
          <w:rFonts w:ascii="仿宋" w:hAnsi="仿宋" w:eastAsia="仿宋_GB2312"/>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8年，运管所机关运行经费支出14.42万元，比</w:t>
      </w:r>
      <w:r>
        <w:rPr>
          <w:rFonts w:ascii="仿宋_GB2312" w:eastAsia="仿宋_GB2312"/>
          <w:color w:val="000000"/>
          <w:sz w:val="32"/>
          <w:szCs w:val="32"/>
        </w:rPr>
        <w:t>201</w:t>
      </w:r>
      <w:r>
        <w:rPr>
          <w:rFonts w:hint="eastAsia" w:ascii="仿宋_GB2312" w:eastAsia="仿宋_GB2312"/>
          <w:color w:val="000000"/>
          <w:sz w:val="32"/>
          <w:szCs w:val="32"/>
        </w:rPr>
        <w:t>7年增加0.79万元，增长5</w:t>
      </w:r>
      <w:r>
        <w:rPr>
          <w:rFonts w:ascii="仿宋_GB2312" w:eastAsia="仿宋_GB2312"/>
          <w:color w:val="000000"/>
          <w:sz w:val="32"/>
          <w:szCs w:val="32"/>
        </w:rPr>
        <w:t>%</w:t>
      </w:r>
      <w:r>
        <w:rPr>
          <w:rFonts w:hint="eastAsia" w:ascii="仿宋_GB2312" w:eastAsia="仿宋_GB2312"/>
          <w:color w:val="000000"/>
          <w:sz w:val="32"/>
          <w:szCs w:val="32"/>
        </w:rPr>
        <w:t>。主要增长原因是2018年加大了对打非治违工作的力度及客运休息点的工作力度。</w:t>
      </w:r>
    </w:p>
    <w:p>
      <w:pPr>
        <w:spacing w:line="576" w:lineRule="exact"/>
        <w:ind w:firstLine="643" w:firstLineChars="200"/>
        <w:outlineLvl w:val="1"/>
        <w:rPr>
          <w:rFonts w:ascii="仿宋" w:hAnsi="仿宋" w:eastAsia="仿宋"/>
          <w:b/>
          <w:color w:val="000000"/>
          <w:sz w:val="32"/>
          <w:szCs w:val="32"/>
        </w:rPr>
      </w:pPr>
      <w:bookmarkStart w:id="57" w:name="_Toc15377223"/>
      <w:r>
        <w:rPr>
          <w:rFonts w:hint="eastAsia" w:ascii="楷体" w:hAnsi="楷体" w:eastAsia="楷体"/>
          <w:b/>
          <w:color w:val="000000"/>
          <w:sz w:val="32"/>
          <w:szCs w:val="32"/>
        </w:rPr>
        <w:t>（二）政府采购支出情况</w:t>
      </w:r>
      <w:bookmarkEnd w:id="57"/>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8年，茂县道路运输管理所无政府采购支出。</w:t>
      </w:r>
    </w:p>
    <w:p>
      <w:pPr>
        <w:spacing w:line="576" w:lineRule="exact"/>
        <w:ind w:firstLine="643" w:firstLineChars="200"/>
        <w:outlineLvl w:val="1"/>
        <w:rPr>
          <w:rFonts w:ascii="仿宋" w:hAnsi="仿宋" w:eastAsia="仿宋"/>
          <w:b/>
          <w:color w:val="000000"/>
          <w:sz w:val="32"/>
          <w:szCs w:val="32"/>
        </w:rPr>
      </w:pPr>
      <w:bookmarkStart w:id="58" w:name="_Toc15377224"/>
      <w:r>
        <w:rPr>
          <w:rFonts w:hint="eastAsia" w:ascii="楷体" w:hAnsi="楷体" w:eastAsia="楷体"/>
          <w:b/>
          <w:color w:val="000000"/>
          <w:sz w:val="32"/>
          <w:szCs w:val="32"/>
        </w:rPr>
        <w:t>（三）国有资产占有使用情况</w:t>
      </w:r>
      <w:bookmarkEnd w:id="58"/>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日，茂县运管所共有车辆5辆，其中：部级领导干部用车0辆、一般公务用车0辆、一般执法执勤用车5辆、特种专业技术用车0辆、其他用车0辆，无</w:t>
      </w:r>
      <w:r>
        <w:rPr>
          <w:rFonts w:hint="eastAsia" w:ascii="仿宋_GB2312" w:eastAsia="仿宋_GB2312"/>
          <w:color w:val="000000" w:themeColor="text1"/>
          <w:sz w:val="32"/>
          <w:szCs w:val="32"/>
        </w:rPr>
        <w:t>其他用车单价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spacing w:line="576" w:lineRule="exact"/>
        <w:ind w:firstLine="643" w:firstLineChars="200"/>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576" w:lineRule="exact"/>
        <w:ind w:firstLine="663" w:firstLineChars="150"/>
        <w:jc w:val="center"/>
        <w:outlineLvl w:val="0"/>
        <w:rPr>
          <w:rStyle w:val="16"/>
          <w:rFonts w:ascii="方正小标宋简体" w:hAnsi="方正小标宋简体" w:eastAsia="方正小标宋简体" w:cs="方正小标宋简体"/>
          <w:b w:val="0"/>
        </w:rPr>
      </w:pPr>
      <w:bookmarkStart w:id="59" w:name="_Toc15377225"/>
      <w:bookmarkStart w:id="60" w:name="_Toc15396613"/>
      <w:r>
        <w:rPr>
          <w:rFonts w:hint="eastAsia" w:ascii="方正小标宋简体" w:hAnsi="方正小标宋简体" w:eastAsia="方正小标宋简体" w:cs="方正小标宋简体"/>
          <w:b/>
          <w:color w:val="000000"/>
          <w:sz w:val="44"/>
          <w:szCs w:val="44"/>
        </w:rPr>
        <w:t>名</w:t>
      </w:r>
      <w:r>
        <w:rPr>
          <w:rStyle w:val="16"/>
          <w:rFonts w:hint="eastAsia" w:ascii="方正小标宋简体" w:hAnsi="方正小标宋简体" w:eastAsia="方正小标宋简体" w:cs="方正小标宋简体"/>
          <w:b w:val="0"/>
        </w:rPr>
        <w:t>词解释</w:t>
      </w:r>
      <w:bookmarkEnd w:id="59"/>
      <w:bookmarkEnd w:id="60"/>
    </w:p>
    <w:p>
      <w:pPr>
        <w:spacing w:line="576" w:lineRule="exact"/>
        <w:jc w:val="left"/>
        <w:rPr>
          <w:rFonts w:ascii="宋体"/>
          <w:b/>
          <w:color w:val="000000"/>
          <w:sz w:val="44"/>
          <w:szCs w:val="44"/>
        </w:rPr>
      </w:pP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Style w:val="14"/>
          <w:rFonts w:ascii="仿宋_GB2312" w:hAnsi="楷体" w:eastAsia="仿宋_GB2312"/>
          <w:b w:val="0"/>
          <w:bCs/>
          <w:sz w:val="32"/>
          <w:szCs w:val="32"/>
        </w:rPr>
      </w:pPr>
      <w:r>
        <w:rPr>
          <w:rFonts w:ascii="仿宋_GB2312" w:eastAsia="仿宋_GB2312"/>
          <w:sz w:val="32"/>
          <w:szCs w:val="32"/>
        </w:rPr>
        <w:t>9.</w:t>
      </w:r>
      <w:r>
        <w:rPr>
          <w:rStyle w:val="14"/>
          <w:rFonts w:hint="eastAsia" w:ascii="仿宋_GB2312" w:hAnsi="楷体" w:eastAsia="仿宋_GB2312"/>
          <w:b w:val="0"/>
          <w:bCs/>
          <w:sz w:val="32"/>
          <w:szCs w:val="32"/>
        </w:rPr>
        <w:t>交通运输（类）公路水路运输（款）行政运行（项）：机关单位用于保障机构正常运行、开展日常工作的基本支出。</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Style w:val="14"/>
          <w:rFonts w:ascii="仿宋_GB2312" w:hAnsi="楷体" w:eastAsia="仿宋_GB2312"/>
          <w:b w:val="0"/>
          <w:bCs/>
          <w:color w:val="000000"/>
          <w:sz w:val="32"/>
          <w:szCs w:val="32"/>
        </w:rPr>
      </w:pPr>
      <w:r>
        <w:rPr>
          <w:rFonts w:ascii="仿宋_GB2312" w:eastAsia="仿宋_GB2312"/>
          <w:color w:val="000000"/>
          <w:sz w:val="32"/>
          <w:szCs w:val="32"/>
        </w:rPr>
        <w:t>10.</w:t>
      </w:r>
      <w:r>
        <w:rPr>
          <w:rStyle w:val="14"/>
          <w:rFonts w:hint="eastAsia" w:ascii="仿宋_GB2312" w:hAnsi="楷体" w:eastAsia="仿宋_GB2312"/>
          <w:b w:val="0"/>
          <w:bCs/>
          <w:color w:val="000000"/>
          <w:sz w:val="32"/>
          <w:szCs w:val="32"/>
        </w:rPr>
        <w:t>交通运输（类）行政事业单位离退休（款）机关事业单位基本养老保险缴费支出（项）：指单位实施养老保险制度由单位缴纳的养老保险费的支出。</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color w:val="000000"/>
          <w:sz w:val="32"/>
          <w:szCs w:val="32"/>
        </w:rPr>
      </w:pPr>
      <w:r>
        <w:rPr>
          <w:rFonts w:ascii="仿宋_GB2312" w:eastAsia="仿宋_GB2312"/>
          <w:color w:val="000000"/>
          <w:sz w:val="32"/>
          <w:szCs w:val="32"/>
        </w:rPr>
        <w:t>11.</w:t>
      </w:r>
      <w:r>
        <w:rPr>
          <w:rStyle w:val="14"/>
          <w:rFonts w:hint="eastAsia" w:ascii="仿宋_GB2312" w:hAnsi="楷体" w:eastAsia="仿宋_GB2312"/>
          <w:b w:val="0"/>
          <w:bCs/>
          <w:color w:val="000000"/>
          <w:sz w:val="32"/>
          <w:szCs w:val="32"/>
        </w:rPr>
        <w:t>交通运输（类）行政事业单位离退休（款）机关事业单位职业年金缴费支出（项）：指单位实施养老保险制度由单位缴纳的职业年金的支出。</w:t>
      </w:r>
      <w:r>
        <w:rPr>
          <w:rFonts w:hint="eastAsia" w:ascii="仿宋_GB2312" w:eastAsia="仿宋_GB2312"/>
          <w:color w:val="000000"/>
          <w:sz w:val="32"/>
          <w:szCs w:val="32"/>
        </w:rPr>
        <w:t>。</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hAnsi="楷体" w:eastAsia="仿宋_GB2312"/>
          <w:color w:val="000000"/>
          <w:sz w:val="32"/>
          <w:szCs w:val="32"/>
        </w:rPr>
      </w:pPr>
      <w:r>
        <w:rPr>
          <w:rFonts w:ascii="仿宋_GB2312" w:eastAsia="仿宋_GB2312"/>
          <w:color w:val="000000"/>
          <w:sz w:val="32"/>
          <w:szCs w:val="32"/>
        </w:rPr>
        <w:t>12.</w:t>
      </w:r>
      <w:r>
        <w:rPr>
          <w:rFonts w:hint="eastAsia" w:ascii="仿宋_GB2312" w:hAnsi="楷体" w:eastAsia="仿宋_GB2312"/>
          <w:color w:val="000000"/>
          <w:sz w:val="32"/>
          <w:szCs w:val="32"/>
        </w:rPr>
        <w:t>医疗卫生与计划生育（类）行政事业单位医疗（款）</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color w:val="000000"/>
          <w:sz w:val="32"/>
          <w:szCs w:val="32"/>
        </w:rPr>
      </w:pPr>
      <w:r>
        <w:rPr>
          <w:rFonts w:hint="eastAsia" w:ascii="仿宋_GB2312" w:hAnsi="楷体" w:eastAsia="仿宋_GB2312"/>
          <w:color w:val="000000"/>
          <w:sz w:val="32"/>
          <w:szCs w:val="32"/>
        </w:rPr>
        <w:t>行政单位医疗（项）：</w:t>
      </w:r>
      <w:r>
        <w:rPr>
          <w:rFonts w:hint="eastAsia" w:ascii="仿宋_GB2312" w:eastAsia="仿宋_GB2312"/>
          <w:color w:val="000000"/>
          <w:sz w:val="32"/>
          <w:szCs w:val="32"/>
        </w:rPr>
        <w:t>指行政单位医疗保险支出。</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住房保障（类）住房改革支出（款）住房公积金（项）：指反映行政事业单位按人力资源和社会保障部、财政部规定的基本工资和津贴补贴以及规定比例为职工缴纳的住房公积金支出。</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color w:val="000000"/>
          <w:sz w:val="32"/>
          <w:szCs w:val="32"/>
        </w:rPr>
      </w:pPr>
      <w:r>
        <w:rPr>
          <w:rFonts w:ascii="仿宋_GB2312" w:eastAsia="仿宋_GB2312"/>
          <w:color w:val="000000"/>
          <w:sz w:val="32"/>
          <w:szCs w:val="32"/>
        </w:rPr>
        <w:t>14.</w:t>
      </w:r>
      <w:r>
        <w:rPr>
          <w:rFonts w:hint="eastAsia" w:ascii="仿宋_GB2312" w:hAnsi="楷体" w:eastAsia="仿宋_GB2312"/>
          <w:color w:val="000000"/>
          <w:sz w:val="32"/>
          <w:szCs w:val="32"/>
        </w:rPr>
        <w:t>指为保障机构正常运转、完成日常工作任务而发生的人员支出和公用支出</w:t>
      </w:r>
      <w:r>
        <w:rPr>
          <w:rFonts w:hint="eastAsia" w:ascii="仿宋_GB2312" w:eastAsia="仿宋_GB2312"/>
          <w:color w:val="000000"/>
          <w:sz w:val="32"/>
          <w:szCs w:val="32"/>
        </w:rPr>
        <w:t>。</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color w:val="000000"/>
          <w:sz w:val="32"/>
          <w:szCs w:val="32"/>
        </w:rPr>
      </w:pPr>
      <w:r>
        <w:rPr>
          <w:rFonts w:ascii="仿宋_GB2312" w:eastAsia="仿宋_GB2312"/>
          <w:color w:val="000000"/>
          <w:sz w:val="32"/>
          <w:szCs w:val="32"/>
        </w:rPr>
        <w:t>15.</w:t>
      </w:r>
      <w:r>
        <w:rPr>
          <w:rFonts w:hint="eastAsia" w:ascii="仿宋_GB2312" w:hAnsi="楷体" w:eastAsia="仿宋_GB2312"/>
          <w:color w:val="000000"/>
          <w:sz w:val="32"/>
          <w:szCs w:val="32"/>
        </w:rPr>
        <w:t>项目支出：指在基本支出之外为完成特定行政任务和事业发展目标所发生的支出</w:t>
      </w:r>
      <w:r>
        <w:rPr>
          <w:rFonts w:hint="eastAsia" w:ascii="仿宋_GB2312" w:eastAsia="仿宋_GB2312"/>
          <w:color w:val="000000"/>
          <w:sz w:val="32"/>
          <w:szCs w:val="32"/>
        </w:rPr>
        <w:t>。</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color w:val="000000"/>
          <w:sz w:val="32"/>
          <w:szCs w:val="32"/>
        </w:rPr>
      </w:pPr>
      <w:r>
        <w:rPr>
          <w:rFonts w:ascii="仿宋_GB2312" w:eastAsia="仿宋_GB2312"/>
          <w:color w:val="000000"/>
          <w:sz w:val="32"/>
          <w:szCs w:val="32"/>
        </w:rPr>
        <w:t>16.</w:t>
      </w:r>
      <w:r>
        <w:rPr>
          <w:rFonts w:hint="eastAsia" w:ascii="仿宋_GB2312" w:hAnsi="楷体" w:eastAsia="仿宋_GB2312"/>
          <w:color w:val="000000"/>
          <w:sz w:val="32"/>
          <w:szCs w:val="32"/>
        </w:rPr>
        <w:t>经营支出：指事业单位在专业业务活动及其辅助活动之外开展非独立核算经营活动发生的支出</w:t>
      </w:r>
      <w:r>
        <w:rPr>
          <w:rFonts w:hint="eastAsia" w:ascii="仿宋_GB2312" w:eastAsia="仿宋_GB2312"/>
          <w:color w:val="000000"/>
          <w:sz w:val="32"/>
          <w:szCs w:val="32"/>
        </w:rPr>
        <w:t>。</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hAnsi="楷体" w:eastAsia="仿宋_GB2312"/>
          <w:sz w:val="32"/>
          <w:szCs w:val="32"/>
        </w:rPr>
      </w:pPr>
      <w:r>
        <w:rPr>
          <w:rFonts w:ascii="仿宋_GB2312" w:eastAsia="仿宋_GB2312"/>
          <w:sz w:val="32"/>
          <w:szCs w:val="32"/>
        </w:rPr>
        <w:t>17.</w:t>
      </w:r>
      <w:r>
        <w:rPr>
          <w:rFonts w:hint="eastAsia" w:ascii="仿宋_GB2312" w:hAnsi="楷体"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hAnsi="仿宋"/>
          <w:b/>
          <w:sz w:val="32"/>
          <w:szCs w:val="32"/>
        </w:rPr>
      </w:pPr>
      <w:r>
        <w:rPr>
          <w:rFonts w:ascii="仿宋_GB2312" w:eastAsia="仿宋_GB2312"/>
          <w:sz w:val="32"/>
          <w:szCs w:val="32"/>
        </w:rPr>
        <w:t>18.</w:t>
      </w:r>
      <w:r>
        <w:rPr>
          <w:rFonts w:hint="eastAsia" w:ascii="仿宋_GB2312" w:hAnsi="楷体"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23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cs="黑体"/>
          <w:sz w:val="32"/>
          <w:szCs w:val="32"/>
        </w:rPr>
      </w:pPr>
    </w:p>
    <w:p>
      <w:pPr>
        <w:pageBreakBefore w:val="0"/>
        <w:widowControl w:val="0"/>
        <w:kinsoku/>
        <w:wordWrap/>
        <w:overflowPunct/>
        <w:topLinePunct w:val="0"/>
        <w:bidi w:val="0"/>
        <w:snapToGrid/>
        <w:spacing w:line="576" w:lineRule="exact"/>
        <w:ind w:left="0" w:leftChars="0" w:right="0" w:rightChars="0" w:firstLine="883" w:firstLineChars="200"/>
        <w:jc w:val="center"/>
        <w:textAlignment w:val="auto"/>
        <w:outlineLvl w:val="0"/>
        <w:rPr>
          <w:rStyle w:val="16"/>
          <w:rFonts w:ascii="黑体" w:hAnsi="黑体" w:eastAsia="黑体"/>
          <w:b w:val="0"/>
        </w:rPr>
      </w:pPr>
      <w:bookmarkStart w:id="61" w:name="_Toc15377226"/>
      <w:r>
        <w:rPr>
          <w:rFonts w:ascii="宋体"/>
          <w:b/>
          <w:color w:val="000000"/>
          <w:sz w:val="44"/>
          <w:szCs w:val="44"/>
        </w:rPr>
        <w:br w:type="page"/>
      </w:r>
      <w:bookmarkStart w:id="62" w:name="_Toc15396614"/>
      <w:r>
        <w:rPr>
          <w:rFonts w:hint="eastAsia" w:ascii="方正小标宋简体" w:hAnsi="方正小标宋简体" w:eastAsia="方正小标宋简体" w:cs="方正小标宋简体"/>
          <w:bCs/>
          <w:color w:val="000000"/>
          <w:sz w:val="44"/>
          <w:szCs w:val="44"/>
        </w:rPr>
        <w:t>第四部分</w:t>
      </w:r>
      <w:r>
        <w:rPr>
          <w:rStyle w:val="16"/>
          <w:rFonts w:hint="eastAsia" w:ascii="方正小标宋简体" w:hAnsi="方正小标宋简体" w:eastAsia="方正小标宋简体" w:cs="方正小标宋简体"/>
          <w:b w:val="0"/>
        </w:rPr>
        <w:t>附件</w:t>
      </w:r>
      <w:bookmarkEnd w:id="62"/>
    </w:p>
    <w:p>
      <w:pPr>
        <w:pageBreakBefore w:val="0"/>
        <w:widowControl w:val="0"/>
        <w:kinsoku/>
        <w:wordWrap/>
        <w:overflowPunct/>
        <w:topLinePunct w:val="0"/>
        <w:bidi w:val="0"/>
        <w:snapToGrid/>
        <w:spacing w:line="576" w:lineRule="exact"/>
        <w:ind w:left="0" w:leftChars="0" w:right="0" w:rightChars="0" w:firstLine="883" w:firstLineChars="200"/>
        <w:jc w:val="center"/>
        <w:textAlignment w:val="auto"/>
        <w:outlineLvl w:val="0"/>
        <w:rPr>
          <w:rStyle w:val="16"/>
        </w:rPr>
      </w:pPr>
    </w:p>
    <w:p>
      <w:pPr>
        <w:pageBreakBefore w:val="0"/>
        <w:widowControl w:val="0"/>
        <w:kinsoku/>
        <w:wordWrap/>
        <w:overflowPunct/>
        <w:topLinePunct w:val="0"/>
        <w:bidi w:val="0"/>
        <w:snapToGrid/>
        <w:spacing w:line="576" w:lineRule="exact"/>
        <w:ind w:left="0" w:leftChars="0" w:right="0" w:rightChars="0" w:firstLine="880" w:firstLineChars="200"/>
        <w:jc w:val="center"/>
        <w:textAlignment w:val="auto"/>
        <w:outlineLvl w:val="0"/>
        <w:rPr>
          <w:rFonts w:ascii="方正小标宋简体" w:hAnsi="方正小标宋简体" w:eastAsia="方正小标宋简体" w:cs="方正小标宋简体"/>
          <w:sz w:val="44"/>
          <w:szCs w:val="44"/>
        </w:rPr>
      </w:pPr>
      <w:bookmarkStart w:id="63" w:name="_Toc15396616"/>
      <w:r>
        <w:rPr>
          <w:rFonts w:hint="eastAsia" w:ascii="方正小标宋简体" w:hAnsi="方正小标宋简体" w:eastAsia="方正小标宋简体" w:cs="方正小标宋简体"/>
          <w:sz w:val="44"/>
          <w:szCs w:val="44"/>
        </w:rPr>
        <w:t>茂县道路运输管理所</w:t>
      </w:r>
    </w:p>
    <w:p>
      <w:pPr>
        <w:pageBreakBefore w:val="0"/>
        <w:widowControl w:val="0"/>
        <w:kinsoku/>
        <w:wordWrap/>
        <w:overflowPunct/>
        <w:topLinePunct w:val="0"/>
        <w:bidi w:val="0"/>
        <w:snapToGrid/>
        <w:spacing w:line="576" w:lineRule="exact"/>
        <w:ind w:left="0" w:leftChars="0" w:right="0" w:rightChars="0" w:firstLine="880" w:firstLineChars="200"/>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2018年部门整体支出绩效评价报告</w:t>
      </w:r>
      <w:bookmarkEnd w:id="63"/>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黑体" w:hAnsi="黑体" w:eastAsia="黑体" w:cs="黑体"/>
          <w:sz w:val="32"/>
          <w:szCs w:val="32"/>
        </w:rPr>
      </w:pPr>
    </w:p>
    <w:p>
      <w:pPr>
        <w:pStyle w:val="3"/>
        <w:pageBreakBefore w:val="0"/>
        <w:widowControl w:val="0"/>
        <w:kinsoku/>
        <w:wordWrap/>
        <w:overflowPunct/>
        <w:topLinePunct w:val="0"/>
        <w:bidi w:val="0"/>
        <w:snapToGrid/>
        <w:spacing w:before="0" w:after="0" w:line="576" w:lineRule="exact"/>
        <w:ind w:left="0" w:leftChars="0" w:right="0" w:rightChars="0" w:firstLine="640" w:firstLineChars="200"/>
        <w:textAlignment w:val="auto"/>
        <w:rPr>
          <w:rFonts w:ascii="黑体" w:hAnsi="黑体" w:eastAsia="黑体" w:cs="黑体"/>
        </w:rPr>
      </w:pPr>
      <w:r>
        <w:rPr>
          <w:rFonts w:hint="eastAsia" w:ascii="黑体" w:hAnsi="黑体" w:eastAsia="黑体" w:cs="黑体"/>
          <w:b w:val="0"/>
          <w:bCs w:val="0"/>
        </w:rPr>
        <w:t>一、部门（单位）概况</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楷体" w:hAnsi="楷体" w:eastAsia="楷体" w:cs="仿宋_GB2312"/>
          <w:sz w:val="32"/>
          <w:szCs w:val="32"/>
        </w:rPr>
      </w:pPr>
      <w:r>
        <w:rPr>
          <w:rFonts w:hint="eastAsia" w:ascii="楷体" w:hAnsi="楷体" w:eastAsia="楷体" w:cs="仿宋_GB2312"/>
          <w:sz w:val="32"/>
          <w:szCs w:val="32"/>
        </w:rPr>
        <w:t>（一）</w:t>
      </w:r>
      <w:r>
        <w:rPr>
          <w:rFonts w:ascii="楷体" w:hAnsi="楷体" w:eastAsia="楷体" w:cs="仿宋_GB2312"/>
          <w:sz w:val="32"/>
          <w:szCs w:val="32"/>
        </w:rPr>
        <w:t>机构组成。</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 w:hAnsi="仿宋" w:eastAsia="仿宋_GB2312" w:cs="仿宋_GB2312"/>
          <w:sz w:val="32"/>
          <w:szCs w:val="32"/>
        </w:rPr>
      </w:pPr>
      <w:r>
        <w:rPr>
          <w:rFonts w:hint="eastAsia" w:ascii="仿宋_GB2312" w:eastAsia="仿宋_GB2312"/>
          <w:sz w:val="32"/>
          <w:szCs w:val="32"/>
        </w:rPr>
        <w:t>茂县道路运输管理所是县政府管理全县交通运输工作的职能部门，承担政府职能的管理机构，为正科级财政全额拨款的（参公）事业单位。</w:t>
      </w:r>
      <w:r>
        <w:rPr>
          <w:rFonts w:hint="eastAsia" w:ascii="仿宋_GB2312" w:eastAsia="仿宋_GB2312"/>
          <w:color w:val="333333"/>
          <w:sz w:val="32"/>
          <w:szCs w:val="32"/>
        </w:rPr>
        <w:t>所内设“三股一室”，即办公室、财务股、安全股、运政业务股。</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楷体" w:hAnsi="楷体" w:eastAsia="楷体" w:cs="仿宋_GB2312"/>
          <w:sz w:val="32"/>
          <w:szCs w:val="32"/>
        </w:rPr>
      </w:pPr>
      <w:r>
        <w:rPr>
          <w:rFonts w:hint="eastAsia" w:ascii="楷体" w:hAnsi="楷体" w:eastAsia="楷体" w:cs="仿宋_GB2312"/>
          <w:sz w:val="32"/>
          <w:szCs w:val="32"/>
        </w:rPr>
        <w:t>(二）</w:t>
      </w:r>
      <w:r>
        <w:rPr>
          <w:rFonts w:ascii="楷体" w:hAnsi="楷体" w:eastAsia="楷体" w:cs="仿宋_GB2312"/>
          <w:sz w:val="32"/>
          <w:szCs w:val="32"/>
        </w:rPr>
        <w:t>机构职能。</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办公室：负责单位重要报告、综合性文件的草拟和会议的组织筹备，并做好会议的记录、纪要整理工作；负责单位印鉴的管理工作;负责本县行业宣传及政务信息工作，精神文明工作；负责单位运政目标的拟定、报送，做好目标日常管理工作；负责公文处理（公文印制、文件复印收发、传阅、转办、报送等）、档案管理、机要保密、节假日值班安排工作;负责行业管理的协调、接待工作；负责办理人大建议和政协提案、信访接待和转办事项、以及公文办理的督查催办工作;负责社会治安、综合治理、网络管理、后勤管理和办公设备、车辆装备的管理;负责固定资产的管理和办公用品保管、发放，按批准计划采购零星办公用品;协助分管领导处理机关政务和日常事务，完成领导交办的其他工作。</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财务股：贯彻执行国家、交通行业财务会计规章制度和有关财经法规；做好各类财务报表的汇编和年度部门综合预算编制，撰写财务分析报告，负责会计核算工作;负责道路运输机关经费、单位基建、客货运输站场建设资金及其他专项资金的会计核算;负责对一切报销单据和所发生经济业务的合理性、合法性、真实性进行审核报销。单位的收支情况随时向所领导汇报并提出合理化建议，做到厉行节约;组织开展内审工作和会计电算化工作；负责财政性票据管理和核销；负责固定资产投资报表工作;负责国有资产管理和保值监督;完成领导交办的其他工作。</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eastAsia="仿宋_GB2312"/>
          <w:b/>
          <w:sz w:val="32"/>
          <w:szCs w:val="32"/>
        </w:rPr>
      </w:pPr>
      <w:r>
        <w:rPr>
          <w:rFonts w:hint="eastAsia" w:ascii="仿宋_GB2312" w:hAnsi="仿宋_GB2312" w:eastAsia="仿宋_GB2312" w:cs="仿宋_GB2312"/>
          <w:bCs/>
          <w:sz w:val="32"/>
          <w:szCs w:val="32"/>
        </w:rPr>
        <w:t>运政业务股（客运、货运管理、稽查工作）：</w:t>
      </w:r>
      <w:r>
        <w:rPr>
          <w:rFonts w:hint="eastAsia" w:ascii="仿宋_GB2312" w:eastAsia="仿宋_GB2312"/>
          <w:sz w:val="32"/>
          <w:szCs w:val="32"/>
        </w:rPr>
        <w:t>负责承办客运、货运、搬运装卸、运输服务、出租汽车管理、商品车发送、交通战备及物流的各项管理业务；负责整理、管理相关业务档案，并负责证、照、单、票的保管工作；负责办理营业车辆运力结构调整业务；参与客、货运输站场和服务设施的规划及参与道路客运、货运价格调整工作；负责客运投诉电话的受理、处理和回复工作；负责调解道路货运经营的运输纠纷；参与道路运输站场站级验收工作；负责办理出租汽车管理有关事项，做好出租汽车行业的协调、监督和服务工作、处理举报投诉，依法处理出租汽车各种违规营运行为；负责全县道路运输市场业务稽查工作，安全稽查工作；负责办理营运车辆的技术管理和汽车维修经营的行业管理业务工作；负责开展汽车维修经营的指导、服务、监督、审验工作；监督、仲裁维修质量、纠纷。整理、管理相关业务档案，并负责证、照的保管工作；贯彻执行国家、部、省有关驾驶员培训的法规规章和政策，具体办理汽车驾驶员培训行业管理的业务工作；对汽车驾驶员培训学校、营运汽车驾驶员培训质量进行监督检查；参与制定汽车驾驶员培训收费标准；负责发放、管理汽车驾驶培训相关证照；负责做好各运输企业、客运站的日常动态、监测；参与制定行业维稳工作计划；对行业稳定工作提出合理化建议；参与维护稳定各项工作；办理交办的信访工作和领导交办的其他工作。</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hint="eastAsia" w:ascii="仿宋" w:hAnsi="仿宋" w:eastAsia="仿宋_GB2312" w:cs="仿宋_GB2312"/>
          <w:sz w:val="32"/>
          <w:szCs w:val="32"/>
          <w:lang w:eastAsia="zh-CN"/>
        </w:rPr>
      </w:pPr>
      <w:r>
        <w:rPr>
          <w:rFonts w:hint="eastAsia" w:ascii="仿宋_GB2312" w:hAnsi="仿宋_GB2312" w:eastAsia="仿宋_GB2312" w:cs="仿宋_GB2312"/>
          <w:bCs/>
          <w:sz w:val="32"/>
          <w:szCs w:val="32"/>
        </w:rPr>
        <w:t>安全股：</w:t>
      </w:r>
      <w:r>
        <w:rPr>
          <w:rFonts w:hint="eastAsia" w:ascii="仿宋_GB2312" w:eastAsia="仿宋_GB2312"/>
          <w:sz w:val="32"/>
          <w:szCs w:val="32"/>
        </w:rPr>
        <w:t>负责组织开展道路运输市场整治，加强客运站和客运企业的源头安全管理；认真执行上级部门的道路运输安全的法律、法规和有关规章，并制定企业加强道路运输安全管理的措施；督促各运输企业、客运站落实安全管理措施情况，并组织各运输企业加强安全学习、培训；负责召开系列安全会议，传达安全上的相关文件精神；加强客运站安全隐患排查工作，发现安全隐患及时上报所领导，提出整改意见，并督促车站完成相关安全隐患的整改；严格按照交通行政的法律、法规处罚非法经营者，严厉打击非法营运行为，并做好交通行政执法处罚文书的档案管理工作；参与道路运输事故的调查处理，并负责道路交通事故的统计、报告工作；负责做好各运输企业、客运站的日常动态、监测；参与制定行业维稳工作计划；对行业稳定工作提出合理化建议；参与维护稳定各项工作；负责对客运安全管理工作提出合理化建议；完成领导交办的其他工作任务。</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楷体" w:hAnsi="楷体" w:eastAsia="楷体" w:cs="仿宋_GB2312"/>
          <w:sz w:val="32"/>
          <w:szCs w:val="32"/>
        </w:rPr>
      </w:pPr>
      <w:r>
        <w:rPr>
          <w:rFonts w:ascii="楷体" w:hAnsi="楷体" w:eastAsia="楷体" w:cs="仿宋_GB2312"/>
          <w:sz w:val="32"/>
          <w:szCs w:val="32"/>
        </w:rPr>
        <w:t>（三）人员概况。</w:t>
      </w:r>
    </w:p>
    <w:p>
      <w:pPr>
        <w:pageBreakBefore w:val="0"/>
        <w:widowControl w:val="0"/>
        <w:tabs>
          <w:tab w:val="left" w:pos="284"/>
        </w:tabs>
        <w:kinsoku/>
        <w:wordWrap/>
        <w:overflowPunct/>
        <w:topLinePunct w:val="0"/>
        <w:bidi w:val="0"/>
        <w:snapToGrid/>
        <w:spacing w:line="576" w:lineRule="exact"/>
        <w:ind w:left="0" w:leftChars="0" w:right="0" w:rightChars="0" w:firstLine="640" w:firstLineChars="200"/>
        <w:jc w:val="left"/>
        <w:textAlignment w:val="auto"/>
        <w:rPr>
          <w:rFonts w:ascii="仿宋" w:hAnsi="仿宋" w:eastAsia="仿宋" w:cs="仿宋_GB2312"/>
          <w:sz w:val="32"/>
          <w:szCs w:val="32"/>
        </w:rPr>
      </w:pPr>
      <w:r>
        <w:rPr>
          <w:rFonts w:hint="eastAsia" w:ascii="仿宋_GB2312" w:eastAsia="仿宋_GB2312"/>
          <w:sz w:val="32"/>
          <w:szCs w:val="32"/>
        </w:rPr>
        <w:t>我所为财政全额拨款的一级预算正科级参公事业单位，核定参公编制13人。单位内设1名所长，1名副所长；2018年末在职人员13人（其中参公干部6人，工勤7人），退休人员3人。</w:t>
      </w:r>
    </w:p>
    <w:p>
      <w:pPr>
        <w:pageBreakBefore w:val="0"/>
        <w:widowControl w:val="0"/>
        <w:tabs>
          <w:tab w:val="left" w:pos="284"/>
        </w:tabs>
        <w:kinsoku/>
        <w:wordWrap/>
        <w:overflowPunct/>
        <w:topLinePunct w:val="0"/>
        <w:bidi w:val="0"/>
        <w:snapToGrid/>
        <w:spacing w:line="576" w:lineRule="exact"/>
        <w:ind w:left="0" w:leftChars="0" w:right="0" w:rightChars="0" w:firstLine="640" w:firstLineChars="200"/>
        <w:jc w:val="left"/>
        <w:textAlignment w:val="auto"/>
        <w:rPr>
          <w:rFonts w:ascii="仿宋" w:hAnsi="仿宋" w:eastAsia="仿宋"/>
          <w:bCs/>
          <w:color w:val="000000"/>
          <w:sz w:val="32"/>
          <w:szCs w:val="32"/>
        </w:rPr>
      </w:pPr>
      <w:r>
        <w:rPr>
          <w:rFonts w:ascii="黑体" w:hAnsi="黑体" w:eastAsia="黑体" w:cs="黑体"/>
          <w:sz w:val="32"/>
          <w:szCs w:val="32"/>
        </w:rPr>
        <w:t>二、部门财政资金收支情况</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楷体" w:hAnsi="楷体" w:eastAsia="楷体" w:cs="仿宋_GB2312"/>
          <w:sz w:val="32"/>
          <w:szCs w:val="32"/>
        </w:rPr>
      </w:pPr>
      <w:r>
        <w:rPr>
          <w:rFonts w:ascii="楷体" w:hAnsi="楷体" w:eastAsia="楷体" w:cs="仿宋_GB2312"/>
          <w:sz w:val="32"/>
          <w:szCs w:val="32"/>
        </w:rPr>
        <w:t>（一）部门财政资金收入情况。</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 w:hAnsi="仿宋" w:eastAsia="仿宋_GB2312" w:cs="仿宋_GB2312"/>
          <w:sz w:val="32"/>
          <w:szCs w:val="32"/>
        </w:rPr>
      </w:pPr>
      <w:r>
        <w:rPr>
          <w:rFonts w:hint="eastAsia" w:ascii="仿宋_GB2312" w:eastAsia="仿宋_GB2312"/>
          <w:sz w:val="32"/>
          <w:szCs w:val="32"/>
        </w:rPr>
        <w:t>2018年单位财政资金收入：财政拨款223.48万元、均为一般公共预算财政拨款收入。</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楷体" w:hAnsi="楷体" w:eastAsia="楷体" w:cs="仿宋_GB2312"/>
          <w:sz w:val="32"/>
          <w:szCs w:val="32"/>
        </w:rPr>
      </w:pPr>
      <w:r>
        <w:rPr>
          <w:rFonts w:hint="eastAsia" w:ascii="楷体" w:hAnsi="楷体" w:eastAsia="楷体" w:cs="仿宋_GB2312"/>
          <w:sz w:val="32"/>
          <w:szCs w:val="32"/>
        </w:rPr>
        <w:t>（二）</w:t>
      </w:r>
      <w:r>
        <w:rPr>
          <w:rFonts w:ascii="楷体" w:hAnsi="楷体" w:eastAsia="楷体" w:cs="仿宋_GB2312"/>
          <w:sz w:val="32"/>
          <w:szCs w:val="32"/>
        </w:rPr>
        <w:t>部门财政资金支出情况。</w:t>
      </w:r>
    </w:p>
    <w:p>
      <w:pPr>
        <w:pageBreakBefore w:val="0"/>
        <w:widowControl w:val="0"/>
        <w:tabs>
          <w:tab w:val="left" w:pos="284"/>
        </w:tabs>
        <w:kinsoku/>
        <w:wordWrap/>
        <w:overflowPunct/>
        <w:topLinePunct w:val="0"/>
        <w:bidi w:val="0"/>
        <w:snapToGrid/>
        <w:spacing w:line="576" w:lineRule="exact"/>
        <w:ind w:left="0" w:leftChars="0" w:right="0" w:rightChars="0"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2018年本部门财政拨款支出决算总额539.06万元。</w:t>
      </w:r>
    </w:p>
    <w:p>
      <w:pPr>
        <w:pageBreakBefore w:val="0"/>
        <w:widowControl w:val="0"/>
        <w:tabs>
          <w:tab w:val="left" w:pos="284"/>
        </w:tabs>
        <w:kinsoku/>
        <w:wordWrap/>
        <w:overflowPunct/>
        <w:topLinePunct w:val="0"/>
        <w:bidi w:val="0"/>
        <w:snapToGrid/>
        <w:spacing w:line="576" w:lineRule="exact"/>
        <w:ind w:left="0" w:leftChars="0" w:right="0" w:rightChars="0"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其中按功能分类，交通运输支出488.41万元、社会保障和就业支出26.22万元、医疗卫生与计划生育支出10.32万元、住房保障支出14.1万元；按支出性质分类，基本支出202.8万元，项目支出336.26万元；按经济分类，工资福利支出186.03万元，商品服务支出14.42万元。</w:t>
      </w:r>
    </w:p>
    <w:p>
      <w:pPr>
        <w:pStyle w:val="3"/>
        <w:pageBreakBefore w:val="0"/>
        <w:widowControl w:val="0"/>
        <w:kinsoku/>
        <w:wordWrap/>
        <w:overflowPunct/>
        <w:topLinePunct w:val="0"/>
        <w:bidi w:val="0"/>
        <w:snapToGrid/>
        <w:spacing w:before="0" w:after="0" w:line="576" w:lineRule="exact"/>
        <w:ind w:left="0" w:leftChars="0" w:right="0" w:rightChars="0" w:firstLine="640" w:firstLineChars="200"/>
        <w:textAlignment w:val="auto"/>
        <w:rPr>
          <w:rFonts w:ascii="黑体" w:hAnsi="黑体" w:eastAsia="黑体" w:cs="黑体"/>
        </w:rPr>
      </w:pPr>
      <w:r>
        <w:rPr>
          <w:rFonts w:ascii="黑体" w:hAnsi="黑体" w:eastAsia="黑体" w:cs="黑体"/>
          <w:b w:val="0"/>
          <w:bCs w:val="0"/>
        </w:rPr>
        <w:t>三、部门整体预算绩效管理情况</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hint="eastAsia" w:ascii="楷体" w:hAnsi="楷体" w:eastAsia="楷体" w:cs="仿宋_GB2312"/>
          <w:sz w:val="32"/>
          <w:szCs w:val="32"/>
        </w:rPr>
      </w:pPr>
      <w:r>
        <w:rPr>
          <w:rFonts w:hint="eastAsia" w:ascii="楷体" w:hAnsi="楷体" w:eastAsia="楷体" w:cs="仿宋_GB2312"/>
          <w:sz w:val="32"/>
          <w:szCs w:val="32"/>
        </w:rPr>
        <w:t>（一）部门预算管理</w:t>
      </w:r>
    </w:p>
    <w:p>
      <w:pPr>
        <w:pageBreakBefore w:val="0"/>
        <w:widowControl w:val="0"/>
        <w:tabs>
          <w:tab w:val="left" w:pos="284"/>
        </w:tabs>
        <w:kinsoku/>
        <w:wordWrap/>
        <w:overflowPunct/>
        <w:topLinePunct w:val="0"/>
        <w:bidi w:val="0"/>
        <w:snapToGrid/>
        <w:spacing w:line="576" w:lineRule="exact"/>
        <w:ind w:left="0" w:leftChars="0" w:right="0" w:rightChars="0"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我所认真学习贯彻党的十九大、省第十一次党代会和省委十一届三次、四次全会精神，以习近平新时代中国特色社</w:t>
      </w:r>
    </w:p>
    <w:p>
      <w:pPr>
        <w:pageBreakBefore w:val="0"/>
        <w:widowControl w:val="0"/>
        <w:tabs>
          <w:tab w:val="left" w:pos="284"/>
        </w:tabs>
        <w:kinsoku/>
        <w:wordWrap/>
        <w:overflowPunct/>
        <w:topLinePunct w:val="0"/>
        <w:bidi w:val="0"/>
        <w:snapToGrid/>
        <w:spacing w:line="576" w:lineRule="exact"/>
        <w:ind w:right="0" w:rightChars="0"/>
        <w:jc w:val="left"/>
        <w:textAlignment w:val="auto"/>
        <w:rPr>
          <w:rFonts w:hint="eastAsia" w:ascii="仿宋_GB2312" w:eastAsia="仿宋_GB2312"/>
          <w:sz w:val="32"/>
          <w:szCs w:val="32"/>
          <w:lang w:eastAsia="zh-CN"/>
        </w:rPr>
      </w:pPr>
      <w:bookmarkStart w:id="78" w:name="_GoBack"/>
      <w:bookmarkEnd w:id="78"/>
      <w:r>
        <w:rPr>
          <w:rFonts w:hint="eastAsia" w:ascii="仿宋_GB2312" w:eastAsia="仿宋_GB2312"/>
          <w:sz w:val="32"/>
          <w:szCs w:val="32"/>
        </w:rPr>
        <w:t>会主义思想为指导，紧紧围绕构建“一干多支、五区协同”的发展战略目标，自觉践行新发展理念，根据职能职责积极谋划，确定目标任务，积极发挥公共财政职能作用，推动落实稳增长、促改革、调结构、惠民生、防风险各项工作。</w:t>
      </w:r>
    </w:p>
    <w:p>
      <w:pPr>
        <w:pageBreakBefore w:val="0"/>
        <w:widowControl w:val="0"/>
        <w:tabs>
          <w:tab w:val="left" w:pos="284"/>
        </w:tabs>
        <w:kinsoku/>
        <w:wordWrap/>
        <w:overflowPunct/>
        <w:topLinePunct w:val="0"/>
        <w:bidi w:val="0"/>
        <w:snapToGrid/>
        <w:spacing w:line="576" w:lineRule="exact"/>
        <w:ind w:left="0" w:leftChars="0" w:right="0" w:rightChars="0"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一是按照2018年部门预算编审要求，根据我所职能职责，结合中长期规划和年度工作计划，明确了年度主要工作任务及年度内履职所要达到的总体产出和效果，认真填报了我所整体支出绩效目标及“地方治违工作经费”、“成品油价格改革的补助专项经费”等2个专用项目绩效目标，具体说明了项目概况，详细反映了相应项目工作任务、达成的效果。</w:t>
      </w:r>
    </w:p>
    <w:p>
      <w:pPr>
        <w:pageBreakBefore w:val="0"/>
        <w:widowControl w:val="0"/>
        <w:tabs>
          <w:tab w:val="left" w:pos="284"/>
        </w:tabs>
        <w:kinsoku/>
        <w:wordWrap/>
        <w:overflowPunct/>
        <w:topLinePunct w:val="0"/>
        <w:bidi w:val="0"/>
        <w:snapToGrid/>
        <w:spacing w:line="576" w:lineRule="exact"/>
        <w:ind w:left="0" w:leftChars="0" w:right="0" w:rightChars="0" w:firstLine="640" w:firstLineChars="200"/>
        <w:jc w:val="left"/>
        <w:textAlignment w:val="auto"/>
        <w:rPr>
          <w:rFonts w:hint="eastAsia" w:ascii="仿宋_GB2312" w:eastAsia="仿宋_GB2312"/>
          <w:sz w:val="32"/>
          <w:szCs w:val="32"/>
        </w:rPr>
      </w:pPr>
      <w:r>
        <w:rPr>
          <w:rFonts w:hint="eastAsia" w:ascii="楷体" w:hAnsi="楷体" w:eastAsia="楷体" w:cs="仿宋_GB2312"/>
          <w:sz w:val="32"/>
          <w:szCs w:val="32"/>
        </w:rPr>
        <w:t>（二）专项预算管理。</w:t>
      </w:r>
    </w:p>
    <w:p>
      <w:pPr>
        <w:pageBreakBefore w:val="0"/>
        <w:widowControl w:val="0"/>
        <w:tabs>
          <w:tab w:val="left" w:pos="284"/>
        </w:tabs>
        <w:kinsoku/>
        <w:wordWrap/>
        <w:overflowPunct/>
        <w:topLinePunct w:val="0"/>
        <w:bidi w:val="0"/>
        <w:snapToGrid/>
        <w:spacing w:line="576" w:lineRule="exact"/>
        <w:ind w:left="0" w:leftChars="0" w:right="0" w:rightChars="0" w:firstLine="640" w:firstLineChars="200"/>
        <w:jc w:val="left"/>
        <w:textAlignment w:val="auto"/>
        <w:rPr>
          <w:rFonts w:ascii="仿宋_GB2312" w:eastAsia="仿宋_GB2312"/>
          <w:color w:val="000000"/>
          <w:sz w:val="32"/>
          <w:szCs w:val="32"/>
        </w:rPr>
      </w:pPr>
      <w:r>
        <w:rPr>
          <w:rFonts w:hint="eastAsia" w:ascii="仿宋_GB2312" w:eastAsia="仿宋_GB2312"/>
          <w:color w:val="000000"/>
          <w:sz w:val="32"/>
          <w:szCs w:val="32"/>
        </w:rPr>
        <w:t>2018年，本部门无专项预算。</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hint="eastAsia" w:ascii="楷体" w:hAnsi="楷体" w:eastAsia="楷体" w:cs="仿宋_GB2312"/>
          <w:sz w:val="32"/>
          <w:szCs w:val="32"/>
        </w:rPr>
      </w:pPr>
      <w:r>
        <w:rPr>
          <w:rFonts w:hint="eastAsia" w:ascii="楷体" w:hAnsi="楷体" w:eastAsia="楷体" w:cs="仿宋_GB2312"/>
          <w:sz w:val="32"/>
          <w:szCs w:val="32"/>
        </w:rPr>
        <w:t>（三）结果应用情况。</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我所对部门预算绩效管理工作开展情况认真进行了自查自评。开展绩效评价自查，将评价结果作为预算安排的重要依据，参照年度预算执行情况，不断强化绩效理念，推动我局部门整体绩效管理水平，不断提升我所所有财政资金支出主要用于保障本单位机构正常运转、完成日常工作任务以及承担交通运输事业发展相关工作。</w:t>
      </w:r>
    </w:p>
    <w:p>
      <w:pPr>
        <w:pStyle w:val="3"/>
        <w:pageBreakBefore w:val="0"/>
        <w:widowControl w:val="0"/>
        <w:kinsoku/>
        <w:wordWrap/>
        <w:overflowPunct/>
        <w:topLinePunct w:val="0"/>
        <w:bidi w:val="0"/>
        <w:snapToGrid/>
        <w:spacing w:before="0" w:after="0" w:line="576" w:lineRule="exact"/>
        <w:ind w:left="0" w:leftChars="0" w:right="0" w:rightChars="0" w:firstLine="643" w:firstLineChars="200"/>
        <w:textAlignment w:val="auto"/>
        <w:rPr>
          <w:rFonts w:ascii="黑体" w:hAnsi="黑体" w:eastAsia="黑体" w:cs="黑体"/>
        </w:rPr>
      </w:pPr>
      <w:r>
        <w:rPr>
          <w:rFonts w:ascii="黑体" w:hAnsi="黑体" w:eastAsia="黑体" w:cs="黑体"/>
        </w:rPr>
        <w:t>四、评价结论及建议</w:t>
      </w:r>
    </w:p>
    <w:p>
      <w:pPr>
        <w:pStyle w:val="3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hAnsi="宋体" w:eastAsia="仿宋_GB2312"/>
          <w:color w:val="000000"/>
          <w:sz w:val="32"/>
          <w:szCs w:val="32"/>
          <w:shd w:val="clear" w:color="auto" w:fill="FFFFFF"/>
        </w:rPr>
      </w:pPr>
      <w:r>
        <w:rPr>
          <w:rFonts w:hint="eastAsia" w:ascii="楷体" w:hAnsi="楷体" w:eastAsia="楷体" w:cs="仿宋_GB2312"/>
          <w:kern w:val="2"/>
          <w:sz w:val="32"/>
          <w:szCs w:val="32"/>
          <w:lang w:val="en-US" w:eastAsia="zh-CN" w:bidi="ar-SA"/>
        </w:rPr>
        <w:t>（一）评价结论。</w:t>
      </w:r>
      <w:r>
        <w:rPr>
          <w:rFonts w:hint="eastAsia" w:ascii="仿宋_GB2312" w:hAnsi="宋体" w:eastAsia="仿宋_GB2312"/>
          <w:color w:val="000000"/>
          <w:sz w:val="32"/>
          <w:szCs w:val="32"/>
          <w:shd w:val="clear" w:color="auto" w:fill="FFFFFF"/>
        </w:rPr>
        <w:t>我所按照茂财发【2019】40号文件的规定和要求，认真开展自评工作。通过自评，2018年部门整体支出绩效评价自查自评结果良好，保证了部门的正常运行和日常工作的正常开展。自评得分98.5分。</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hint="eastAsia" w:ascii="楷体" w:hAnsi="楷体" w:eastAsia="楷体" w:cs="仿宋_GB2312"/>
          <w:sz w:val="32"/>
          <w:szCs w:val="32"/>
        </w:rPr>
      </w:pPr>
      <w:r>
        <w:rPr>
          <w:rFonts w:hint="eastAsia" w:ascii="楷体" w:hAnsi="楷体" w:eastAsia="楷体" w:cs="仿宋_GB2312"/>
          <w:sz w:val="32"/>
          <w:szCs w:val="32"/>
        </w:rPr>
        <w:t>（二）存在问题</w:t>
      </w:r>
    </w:p>
    <w:p>
      <w:pPr>
        <w:pStyle w:val="3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单位对部门支出相关规章制度落实力度不够，执行能力不强，在票据报销规范性方面的管理及账务处理上不够规范细致。</w:t>
      </w:r>
    </w:p>
    <w:p>
      <w:pPr>
        <w:pageBreakBefore w:val="0"/>
        <w:widowControl w:val="0"/>
        <w:kinsoku/>
        <w:wordWrap/>
        <w:overflowPunct/>
        <w:topLinePunct w:val="0"/>
        <w:bidi w:val="0"/>
        <w:snapToGrid/>
        <w:spacing w:line="576" w:lineRule="exact"/>
        <w:ind w:left="0" w:leftChars="0" w:right="0" w:rightChars="0" w:firstLine="640" w:firstLineChars="200"/>
        <w:textAlignment w:val="auto"/>
        <w:rPr>
          <w:rFonts w:hint="eastAsia" w:ascii="楷体" w:hAnsi="楷体" w:eastAsia="楷体" w:cs="仿宋_GB2312"/>
          <w:sz w:val="32"/>
          <w:szCs w:val="32"/>
        </w:rPr>
      </w:pPr>
      <w:r>
        <w:rPr>
          <w:rFonts w:hint="eastAsia" w:ascii="楷体" w:hAnsi="楷体" w:eastAsia="楷体" w:cs="仿宋_GB2312"/>
          <w:sz w:val="32"/>
          <w:szCs w:val="32"/>
        </w:rPr>
        <w:t>（三）改进建议</w:t>
      </w:r>
    </w:p>
    <w:p>
      <w:pPr>
        <w:pStyle w:val="33"/>
        <w:pageBreakBefore w:val="0"/>
        <w:widowControl w:val="0"/>
        <w:kinsoku/>
        <w:wordWrap/>
        <w:overflowPunct/>
        <w:topLinePunct w:val="0"/>
        <w:bidi w:val="0"/>
        <w:snapToGrid/>
        <w:spacing w:line="576" w:lineRule="exact"/>
        <w:ind w:left="0" w:leftChars="0" w:right="0" w:rightChars="0" w:firstLine="640" w:firstLineChars="200"/>
        <w:textAlignment w:val="auto"/>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tbl>
      <w:tblPr>
        <w:tblStyle w:val="12"/>
        <w:tblW w:w="9665" w:type="dxa"/>
        <w:tblInd w:w="0" w:type="dxa"/>
        <w:tblLayout w:type="fixed"/>
        <w:tblCellMar>
          <w:top w:w="0" w:type="dxa"/>
          <w:left w:w="0" w:type="dxa"/>
          <w:bottom w:w="0" w:type="dxa"/>
          <w:right w:w="0" w:type="dxa"/>
        </w:tblCellMar>
      </w:tblPr>
      <w:tblGrid>
        <w:gridCol w:w="948"/>
        <w:gridCol w:w="877"/>
        <w:gridCol w:w="1113"/>
        <w:gridCol w:w="2322"/>
        <w:gridCol w:w="438"/>
        <w:gridCol w:w="632"/>
        <w:gridCol w:w="3335"/>
      </w:tblGrid>
      <w:tr>
        <w:tblPrEx>
          <w:tblLayout w:type="fixed"/>
          <w:tblCellMar>
            <w:top w:w="0" w:type="dxa"/>
            <w:left w:w="0" w:type="dxa"/>
            <w:bottom w:w="0" w:type="dxa"/>
            <w:right w:w="0" w:type="dxa"/>
          </w:tblCellMar>
        </w:tblPrEx>
        <w:trPr>
          <w:trHeight w:val="600" w:hRule="atLeast"/>
        </w:trPr>
        <w:tc>
          <w:tcPr>
            <w:tcW w:w="9665"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2018年县级部门整体支出绩效评价指标体系</w:t>
            </w:r>
          </w:p>
        </w:tc>
      </w:tr>
      <w:tr>
        <w:tblPrEx>
          <w:tblLayout w:type="fixed"/>
          <w:tblCellMar>
            <w:top w:w="0" w:type="dxa"/>
            <w:left w:w="0" w:type="dxa"/>
            <w:bottom w:w="0" w:type="dxa"/>
            <w:right w:w="0" w:type="dxa"/>
          </w:tblCellMar>
        </w:tblPrEx>
        <w:trPr>
          <w:trHeight w:val="480"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指标解释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扣分</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扣分理由</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计分标准（备注）</w:t>
            </w:r>
          </w:p>
        </w:tc>
      </w:tr>
      <w:tr>
        <w:tblPrEx>
          <w:tblLayout w:type="fixed"/>
          <w:tblCellMar>
            <w:top w:w="0" w:type="dxa"/>
            <w:left w:w="0" w:type="dxa"/>
            <w:bottom w:w="0" w:type="dxa"/>
            <w:right w:w="0" w:type="dxa"/>
          </w:tblCellMar>
        </w:tblPrEx>
        <w:trPr>
          <w:trHeight w:val="760" w:hRule="atLeast"/>
        </w:trPr>
        <w:tc>
          <w:tcPr>
            <w:tcW w:w="9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预算编制（10分）</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报送时效（1分）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基础信息更新（1分）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部门是否按照县级部门预算编制通知和有关要求，按时完成基础库、项目库报送工作</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超过规定5个工作日扣0.5分，10个工作日扣1分，以此类推，直至扣完</w:t>
            </w:r>
          </w:p>
        </w:tc>
      </w:tr>
      <w:tr>
        <w:tblPrEx>
          <w:tblLayout w:type="fixed"/>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编制质量（2分）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预算编制准确（1分）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（预算资金总来源-中期评估调整取消资金-预算结余注销资金）÷预算资金总来源*指标分值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其中：预算资金总来源是指县级年初预算与执行中追加预算（不含当年专款）总和</w:t>
            </w:r>
          </w:p>
        </w:tc>
      </w:tr>
      <w:tr>
        <w:tblPrEx>
          <w:tblLayout w:type="fixed"/>
          <w:tblCellMar>
            <w:top w:w="0" w:type="dxa"/>
            <w:left w:w="0" w:type="dxa"/>
            <w:bottom w:w="0" w:type="dxa"/>
            <w:right w:w="0" w:type="dxa"/>
          </w:tblCellMar>
        </w:tblPrEx>
        <w:trPr>
          <w:trHeight w:val="63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部门预算审查（1分）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55" w:leftChars="-74"/>
              <w:jc w:val="center"/>
              <w:textAlignment w:val="center"/>
              <w:rPr>
                <w:rFonts w:ascii="宋体" w:hAnsi="宋体" w:cs="宋体"/>
                <w:color w:val="000000"/>
                <w:sz w:val="18"/>
                <w:szCs w:val="18"/>
              </w:rPr>
            </w:pPr>
            <w:r>
              <w:rPr>
                <w:rFonts w:hint="eastAsia" w:ascii="宋体" w:hAnsi="宋体" w:cs="宋体"/>
                <w:color w:val="000000"/>
                <w:kern w:val="0"/>
                <w:sz w:val="18"/>
                <w:szCs w:val="18"/>
              </w:rPr>
              <w:t>根据县人大财经委对预算草案审查结果进行考核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对财经委审查后提出并确需修改的问题，每个问题扣0.02分，直至扣完</w:t>
            </w:r>
          </w:p>
        </w:tc>
      </w:tr>
      <w:tr>
        <w:tblPrEx>
          <w:tblLayout w:type="fixed"/>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1020"/>
              </w:tabs>
              <w:jc w:val="center"/>
              <w:textAlignment w:val="center"/>
              <w:rPr>
                <w:rFonts w:ascii="宋体" w:hAnsi="宋体" w:cs="宋体"/>
                <w:color w:val="000000"/>
                <w:sz w:val="18"/>
                <w:szCs w:val="18"/>
              </w:rPr>
            </w:pPr>
            <w:r>
              <w:rPr>
                <w:rFonts w:hint="eastAsia" w:ascii="宋体" w:hAnsi="宋体" w:cs="宋体"/>
                <w:color w:val="000000"/>
                <w:kern w:val="0"/>
                <w:sz w:val="18"/>
                <w:szCs w:val="18"/>
              </w:rPr>
              <w:t>绩效目标（5分）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部门整体绩效目标（2分）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部门整体绩效目标编制完整、合理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绩效目标编制不够细致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部门整体绩效目标能完整、合理反映部门年度职责履行情况的得分，否则不得分</w:t>
            </w:r>
          </w:p>
        </w:tc>
      </w:tr>
      <w:tr>
        <w:tblPrEx>
          <w:tblLayout w:type="fixed"/>
          <w:tblCellMar>
            <w:top w:w="0" w:type="dxa"/>
            <w:left w:w="0" w:type="dxa"/>
            <w:bottom w:w="0" w:type="dxa"/>
            <w:right w:w="0" w:type="dxa"/>
          </w:tblCellMar>
        </w:tblPrEx>
        <w:trPr>
          <w:trHeight w:val="48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重点项目绩效目标（3分）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项目绩效目标编制明确、量化</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项目支出绩效目标编制不明确和量化的发现一个扣0.5分，直至扣完</w:t>
            </w:r>
          </w:p>
        </w:tc>
      </w:tr>
      <w:tr>
        <w:tblPrEx>
          <w:tblLayout w:type="fixed"/>
          <w:tblCellMar>
            <w:top w:w="0" w:type="dxa"/>
            <w:left w:w="0" w:type="dxa"/>
            <w:bottom w:w="0" w:type="dxa"/>
            <w:right w:w="0" w:type="dxa"/>
          </w:tblCellMar>
        </w:tblPrEx>
        <w:trPr>
          <w:trHeight w:val="42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预算执行（20分）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执行进度（10分）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财力专项预算分配时限（4分）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按规定及时分配财力专项预算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按《预算法》规定时限完成分配的考核得分，否则不得分</w:t>
            </w:r>
          </w:p>
        </w:tc>
      </w:tr>
      <w:tr>
        <w:tblPrEx>
          <w:tblLayout w:type="fixed"/>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部门预算执行进度（6分）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部门按要求严格预算执行管理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部门预算实际列支数÷部门预算总额*指标分值</w:t>
            </w:r>
          </w:p>
        </w:tc>
      </w:tr>
      <w:tr>
        <w:tblPrEx>
          <w:tblLayout w:type="fixed"/>
          <w:tblCellMar>
            <w:top w:w="0" w:type="dxa"/>
            <w:left w:w="0" w:type="dxa"/>
            <w:bottom w:w="0" w:type="dxa"/>
            <w:right w:w="0" w:type="dxa"/>
          </w:tblCellMar>
        </w:tblPrEx>
        <w:trPr>
          <w:trHeight w:val="7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预算调整（4分）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执行中期评估（4分）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部门中期评估调整取消资金÷(中期评估调整取消资金+预算结余注销资金）*指标分值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当中期评估调整取消资金与结余注销资金之和为零时，得满分</w:t>
            </w:r>
          </w:p>
        </w:tc>
      </w:tr>
      <w:tr>
        <w:tblPrEx>
          <w:tblLayout w:type="fixed"/>
          <w:tblCellMar>
            <w:top w:w="0" w:type="dxa"/>
            <w:left w:w="0" w:type="dxa"/>
            <w:bottom w:w="0" w:type="dxa"/>
            <w:right w:w="0" w:type="dxa"/>
          </w:tblCellMar>
        </w:tblPrEx>
        <w:trPr>
          <w:trHeight w:val="7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行政成本（6分）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三公经费（6分）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严格执行“三公经费”预算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部门“三公”经费决算数一项超预算扣1分，两项超预算扣2分，以此类推，直至扣完</w:t>
            </w:r>
          </w:p>
        </w:tc>
      </w:tr>
      <w:tr>
        <w:tblPrEx>
          <w:tblLayout w:type="fixed"/>
          <w:tblCellMar>
            <w:top w:w="0" w:type="dxa"/>
            <w:left w:w="0" w:type="dxa"/>
            <w:bottom w:w="0" w:type="dxa"/>
            <w:right w:w="0" w:type="dxa"/>
          </w:tblCellMar>
        </w:tblPrEx>
        <w:trPr>
          <w:trHeight w:val="420" w:hRule="atLeast"/>
        </w:trPr>
        <w:tc>
          <w:tcPr>
            <w:tcW w:w="94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综合管理（40分）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政府采购实施计划（4分）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政府采购实施计划编制（2分）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实施计划与政府采购预算的一致性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（1-调整或细化资金/政府采购预算资金）*分值</w:t>
            </w:r>
          </w:p>
        </w:tc>
      </w:tr>
      <w:tr>
        <w:tblPrEx>
          <w:tblLayout w:type="fixed"/>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政府采购实施计划的执行（2分）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26" w:leftChars="60"/>
              <w:jc w:val="left"/>
              <w:textAlignment w:val="center"/>
              <w:rPr>
                <w:rFonts w:ascii="宋体" w:hAnsi="宋体" w:cs="宋体"/>
                <w:color w:val="000000"/>
                <w:sz w:val="18"/>
                <w:szCs w:val="18"/>
              </w:rPr>
            </w:pPr>
            <w:r>
              <w:rPr>
                <w:rFonts w:hint="eastAsia" w:ascii="宋体" w:hAnsi="宋体" w:cs="宋体"/>
                <w:color w:val="000000"/>
                <w:kern w:val="0"/>
                <w:sz w:val="18"/>
                <w:szCs w:val="18"/>
              </w:rPr>
              <w:t>执行的实施计划与备案的实施计划的一致性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（1-实施计划备案后的调整或细化资金/实施计划备案后的资金）*分值</w:t>
            </w:r>
          </w:p>
        </w:tc>
      </w:tr>
      <w:tr>
        <w:tblPrEx>
          <w:tblLayout w:type="fixed"/>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资产管理（6分）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648"/>
              </w:tabs>
              <w:jc w:val="center"/>
              <w:textAlignment w:val="center"/>
              <w:rPr>
                <w:rFonts w:ascii="宋体" w:hAnsi="宋体" w:cs="宋体"/>
                <w:color w:val="000000"/>
                <w:sz w:val="18"/>
                <w:szCs w:val="18"/>
              </w:rPr>
            </w:pPr>
            <w:r>
              <w:rPr>
                <w:rFonts w:hint="eastAsia" w:ascii="宋体" w:hAnsi="宋体" w:cs="宋体"/>
                <w:color w:val="000000"/>
                <w:kern w:val="0"/>
                <w:sz w:val="18"/>
                <w:szCs w:val="18"/>
              </w:rPr>
              <w:t>资产管理信息系统建设情况（2分）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考核部门和单位将国有资产纳入资产信息系统管理情况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①未将所属单位国有资产纳入系统管理，每少一个单位扣1分。②未将资产变动情况及时录入系统，每次扣0.5分。③未落实人员负责管理系统，扣1分。</w:t>
            </w:r>
          </w:p>
        </w:tc>
      </w:tr>
      <w:tr>
        <w:tblPrEx>
          <w:tblLayout w:type="fixed"/>
          <w:tblCellMar>
            <w:top w:w="0" w:type="dxa"/>
            <w:left w:w="0" w:type="dxa"/>
            <w:bottom w:w="0" w:type="dxa"/>
            <w:right w:w="0" w:type="dxa"/>
          </w:tblCellMar>
        </w:tblPrEx>
        <w:trPr>
          <w:trHeight w:val="174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行政事业单位资产清查开展情况（2分）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考核行政事业单位按要求及时、准确、全面开展资产清查工作情况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Layout w:type="fixed"/>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行政事业单位资产报表上报情况（2分）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考核行政事业单位上报国有资产报表数据的真实性、准确性、全面性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①未落实专人负责资产报表，未及时上报资产报表扣1分。②报表填报不规范，内容不完整，数据不真实，扣1分。③未提交分析报告，对资产变动情况未作分析说明，扣1分。</w:t>
            </w:r>
          </w:p>
        </w:tc>
      </w:tr>
      <w:tr>
        <w:tblPrEx>
          <w:tblLayout w:type="fixed"/>
          <w:tblCellMar>
            <w:top w:w="0" w:type="dxa"/>
            <w:left w:w="0" w:type="dxa"/>
            <w:bottom w:w="0" w:type="dxa"/>
            <w:right w:w="0" w:type="dxa"/>
          </w:tblCellMar>
        </w:tblPrEx>
        <w:trPr>
          <w:trHeight w:val="11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内控制度管理（4分）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内部控制度健全完整（4分）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考核部门内部控制制度的设置和执行情况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r>
              <w:rPr>
                <w:rFonts w:hint="eastAsia" w:ascii="宋体" w:hAnsi="宋体" w:cs="宋体"/>
                <w:color w:val="000000"/>
                <w:kern w:val="0"/>
                <w:sz w:val="18"/>
                <w:szCs w:val="18"/>
              </w:rPr>
              <w:t>内部报告编写的不很完整细致。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内部控制制度健全完整并执行良好的得分，否则不得分。在本年度内因内控制度不健全或执行不到位，造成单位出现廉政风险或发生重大责任事故的不得分。</w:t>
            </w:r>
          </w:p>
        </w:tc>
      </w:tr>
      <w:tr>
        <w:tblPrEx>
          <w:tblLayout w:type="fixed"/>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信息公开（10分）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除涉密信息外，各部门要在财政部门批复后二十日内向社会公开本部门预算（含所有财政资金安排的“三公”经费、机关运行经费的安排、使用情况等）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按县财政通知要求公开预算，未按要求公开的，发现一处扣0.5分，直至扣完</w:t>
            </w:r>
          </w:p>
        </w:tc>
      </w:tr>
      <w:tr>
        <w:tblPrEx>
          <w:tblLayout w:type="fixed"/>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决算公开（4分）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除涉密信息外，各部门要在财政部门批复二十日内向社会公开本部门决算（含所有财政资金安排的“三公”经费、机关运行经费的安排、使用情况等）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未按要求公开的，发现一处问题0.5分，直至扣完</w:t>
            </w:r>
          </w:p>
        </w:tc>
      </w:tr>
      <w:tr>
        <w:tblPrEx>
          <w:tblLayout w:type="fixed"/>
          <w:tblCellMar>
            <w:top w:w="0" w:type="dxa"/>
            <w:left w:w="0" w:type="dxa"/>
            <w:bottom w:w="0" w:type="dxa"/>
            <w:right w:w="0" w:type="dxa"/>
          </w:tblCellMar>
        </w:tblPrEx>
        <w:trPr>
          <w:trHeight w:val="63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绩效信息公开（2分）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按要求公开部门整体支出绩效自评报告及其他按要求应公开的绩效信息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未按要求公开的，发现一处问题0.5分，直至扣完</w:t>
            </w:r>
          </w:p>
        </w:tc>
      </w:tr>
      <w:tr>
        <w:tblPrEx>
          <w:tblLayout w:type="fixed"/>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绩效评价（10分）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评价项目覆盖率（2分）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部门实施绩效评价项目数量占部门管理专项预算项目数量的比重，部门申报绩效目标项目数量的比重，用以反映和考核部门实施绩效评价项目资金覆盖情况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评价覆盖率=实施绩效评价项目数量/部门管理专项预算项目数量×100%</w:t>
            </w:r>
          </w:p>
        </w:tc>
      </w:tr>
      <w:tr>
        <w:tblPrEx>
          <w:tblLayout w:type="fixed"/>
          <w:tblCellMar>
            <w:top w:w="0" w:type="dxa"/>
            <w:left w:w="0" w:type="dxa"/>
            <w:bottom w:w="0" w:type="dxa"/>
            <w:right w:w="0" w:type="dxa"/>
          </w:tblCellMar>
        </w:tblPrEx>
        <w:trPr>
          <w:trHeight w:val="5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评价层次（2分）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部门（单位）是否对单位内部股室开展整体绩效评价</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对单位内部实施评价的得分，否则不得分</w:t>
            </w:r>
          </w:p>
        </w:tc>
      </w:tr>
      <w:tr>
        <w:tblPrEx>
          <w:tblLayout w:type="fixed"/>
          <w:tblCellMar>
            <w:top w:w="0" w:type="dxa"/>
            <w:left w:w="0" w:type="dxa"/>
            <w:bottom w:w="0" w:type="dxa"/>
            <w:right w:w="0" w:type="dxa"/>
          </w:tblCellMar>
        </w:tblPrEx>
        <w:trPr>
          <w:trHeight w:val="7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评价结果报告（2分）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部门是否按要求向财政部门报告自评报告等相关绩效信息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未按要求报送的，发现一处扣0.5分，直至扣完。</w:t>
            </w:r>
          </w:p>
        </w:tc>
      </w:tr>
      <w:tr>
        <w:tblPrEx>
          <w:tblLayout w:type="fixed"/>
          <w:tblCellMar>
            <w:top w:w="0" w:type="dxa"/>
            <w:left w:w="0" w:type="dxa"/>
            <w:bottom w:w="0" w:type="dxa"/>
            <w:right w:w="0" w:type="dxa"/>
          </w:tblCellMar>
        </w:tblPrEx>
        <w:trPr>
          <w:trHeight w:val="6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整改完成率（4分）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部门是否按要求针对绩效评价发现问题制定整改措施，并整改落实到位</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完成率=应制定整改措施的项目数量/部门实际制定整改措施项目数量×100%。</w:t>
            </w:r>
          </w:p>
        </w:tc>
      </w:tr>
      <w:tr>
        <w:tblPrEx>
          <w:tblLayout w:type="fixed"/>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依法接受财政监督（6分）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是否按要求开展自查自纠（2分）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根据相关自查自纠报告、报表报送时效和质量进行考核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未在规定时间内报送自查自纠相关材料（包括：纸质和电子版）的，扣0.5分；报告内容不完整，扣1分；报表质量差（如：数据、逻辑、勾稽关系错误）等扣0.5分；直至扣完</w:t>
            </w:r>
          </w:p>
        </w:tc>
      </w:tr>
      <w:tr>
        <w:tblPrEx>
          <w:tblLayout w:type="fixed"/>
          <w:tblCellMar>
            <w:top w:w="0" w:type="dxa"/>
            <w:left w:w="0" w:type="dxa"/>
            <w:bottom w:w="0" w:type="dxa"/>
            <w:right w:w="0" w:type="dxa"/>
          </w:tblCellMar>
        </w:tblPrEx>
        <w:trPr>
          <w:trHeight w:val="4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重点检查发现违规违纪问题（2分）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根据检查组提供的工作底稿、检查报告等资料进行考核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专项检查发现的违纪违规问题，每个问题扣0.5分，直至扣完</w:t>
            </w:r>
          </w:p>
        </w:tc>
      </w:tr>
      <w:tr>
        <w:tblPrEx>
          <w:tblLayout w:type="fixed"/>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存在问题整改是否到位（2分）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根据相关整改报告、凭证依据等相关证明材料进行考核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未在规定时间内完成整改，并提供相关证明材料的，每个问题0.5分，直至扣完</w:t>
            </w:r>
          </w:p>
        </w:tc>
      </w:tr>
      <w:tr>
        <w:tblPrEx>
          <w:tblLayout w:type="fixed"/>
          <w:tblCellMar>
            <w:top w:w="0" w:type="dxa"/>
            <w:left w:w="0" w:type="dxa"/>
            <w:bottom w:w="0" w:type="dxa"/>
            <w:right w:w="0" w:type="dxa"/>
          </w:tblCellMar>
        </w:tblPrEx>
        <w:trPr>
          <w:trHeight w:val="56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right="120" w:rightChars="57"/>
              <w:jc w:val="center"/>
              <w:textAlignment w:val="center"/>
              <w:rPr>
                <w:rFonts w:ascii="宋体" w:hAnsi="宋体" w:cs="宋体"/>
                <w:color w:val="000000"/>
                <w:sz w:val="18"/>
                <w:szCs w:val="18"/>
              </w:rPr>
            </w:pPr>
            <w:r>
              <w:rPr>
                <w:rFonts w:hint="eastAsia" w:ascii="宋体" w:hAnsi="宋体" w:cs="宋体"/>
                <w:color w:val="000000"/>
                <w:kern w:val="0"/>
                <w:sz w:val="18"/>
                <w:szCs w:val="18"/>
              </w:rPr>
              <w:t>整体效益（30分）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部门整体绩效（30分）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重点项目绩效评价结果（10分）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部门实施重大项目的经济、社会效益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根据县财政组织实施项目绩效评价结果换算</w:t>
            </w:r>
          </w:p>
        </w:tc>
      </w:tr>
      <w:tr>
        <w:tblPrEx>
          <w:tblLayout w:type="fixed"/>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部门职能完成情况特性指标（20分）</w:t>
            </w:r>
          </w:p>
        </w:tc>
        <w:tc>
          <w:tcPr>
            <w:tcW w:w="2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根据部门职能职责、州级主管部门和县委县政府安排的各项专项工作任务及其他年度重点工作任务等，汇总梳理形成能够量化衡量且全面反映部门职能工作完成情况的若干指标。</w:t>
            </w:r>
          </w:p>
        </w:tc>
        <w:tc>
          <w:tcPr>
            <w:tcW w:w="4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33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部门和评价组根据部门实际设置</w:t>
            </w:r>
          </w:p>
        </w:tc>
      </w:tr>
      <w:tr>
        <w:tblPrEx>
          <w:tblLayout w:type="fixed"/>
          <w:tblCellMar>
            <w:top w:w="0" w:type="dxa"/>
            <w:left w:w="0" w:type="dxa"/>
            <w:bottom w:w="0" w:type="dxa"/>
            <w:right w:w="0" w:type="dxa"/>
          </w:tblCellMar>
        </w:tblPrEx>
        <w:trPr>
          <w:trHeight w:val="13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4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33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60" w:hRule="atLeast"/>
        </w:trPr>
        <w:tc>
          <w:tcPr>
            <w:tcW w:w="9665"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b/>
                <w:color w:val="000000"/>
                <w:sz w:val="18"/>
                <w:szCs w:val="18"/>
              </w:rPr>
            </w:pPr>
            <w:r>
              <w:rPr>
                <w:rFonts w:hint="eastAsia" w:ascii="宋体" w:hAnsi="宋体" w:cs="宋体"/>
                <w:b/>
                <w:color w:val="000000"/>
                <w:kern w:val="0"/>
                <w:sz w:val="18"/>
                <w:szCs w:val="18"/>
              </w:rPr>
              <w:t>注：若某部门不存在某项评价内容或评价指标，则该评价内容或评价指标不计入该部门考核评价范围，即该部门评价总分＝不含该评价内容或指标的评价总分/（100-该评价内容或指标所占分值）*100。</w:t>
            </w:r>
          </w:p>
        </w:tc>
      </w:tr>
    </w:tbl>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br w:type="page"/>
      </w:r>
    </w:p>
    <w:p>
      <w:pPr>
        <w:pStyle w:val="33"/>
        <w:spacing w:line="576" w:lineRule="exact"/>
        <w:ind w:right="-523" w:rightChars="-249"/>
        <w:jc w:val="center"/>
        <w:rPr>
          <w:rFonts w:ascii="方正小标宋简体" w:hAnsi="方正小标宋简体" w:eastAsia="方正小标宋简体" w:cs="方正小标宋简体"/>
          <w:bCs/>
          <w:color w:val="000000"/>
          <w:sz w:val="44"/>
          <w:szCs w:val="44"/>
        </w:rPr>
      </w:pPr>
      <w:bookmarkStart w:id="64" w:name="_Toc15396618"/>
      <w:r>
        <w:rPr>
          <w:rFonts w:hint="eastAsia" w:ascii="方正小标宋简体" w:hAnsi="方正小标宋简体" w:eastAsia="方正小标宋简体" w:cs="方正小标宋简体"/>
          <w:bCs/>
          <w:color w:val="000000"/>
          <w:sz w:val="44"/>
          <w:szCs w:val="44"/>
        </w:rPr>
        <w:t>第五部分附表</w:t>
      </w:r>
      <w:bookmarkEnd w:id="61"/>
      <w:bookmarkEnd w:id="64"/>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65" w:name="_Toc15396619"/>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一、收入支出决算总表</w:t>
      </w:r>
      <w:bookmarkEnd w:id="65"/>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66" w:name="_Toc15396620"/>
      <w:r>
        <w:rPr>
          <w:rFonts w:hint="eastAsia" w:ascii="仿宋_GB2312" w:hAnsi="宋体" w:eastAsia="仿宋_GB2312"/>
          <w:color w:val="000000"/>
          <w:sz w:val="32"/>
          <w:szCs w:val="32"/>
          <w:shd w:val="clear" w:color="auto" w:fill="FFFFFF"/>
        </w:rPr>
        <w:t>二、收入总表</w:t>
      </w:r>
      <w:bookmarkEnd w:id="66"/>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67" w:name="_Toc15396621"/>
      <w:r>
        <w:rPr>
          <w:rFonts w:hint="eastAsia" w:ascii="仿宋_GB2312" w:hAnsi="宋体" w:eastAsia="仿宋_GB2312"/>
          <w:color w:val="000000"/>
          <w:sz w:val="32"/>
          <w:szCs w:val="32"/>
          <w:shd w:val="clear" w:color="auto" w:fill="FFFFFF"/>
        </w:rPr>
        <w:t>三、支出总表</w:t>
      </w:r>
      <w:bookmarkEnd w:id="67"/>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68" w:name="_Toc15396622"/>
      <w:r>
        <w:rPr>
          <w:rFonts w:hint="eastAsia" w:ascii="仿宋_GB2312" w:hAnsi="宋体" w:eastAsia="仿宋_GB2312"/>
          <w:color w:val="000000"/>
          <w:sz w:val="32"/>
          <w:szCs w:val="32"/>
          <w:shd w:val="clear" w:color="auto" w:fill="FFFFFF"/>
        </w:rPr>
        <w:t>四、财政拨款收入支出决算总表</w:t>
      </w:r>
      <w:bookmarkEnd w:id="68"/>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69" w:name="_Toc15396623"/>
      <w:r>
        <w:rPr>
          <w:rFonts w:hint="eastAsia" w:ascii="仿宋_GB2312" w:hAnsi="宋体" w:eastAsia="仿宋_GB2312"/>
          <w:color w:val="000000"/>
          <w:sz w:val="32"/>
          <w:szCs w:val="32"/>
          <w:shd w:val="clear" w:color="auto" w:fill="FFFFFF"/>
        </w:rPr>
        <w:t>五、财政拨款支出决算明细表（政府经济分类科目）</w:t>
      </w:r>
      <w:bookmarkEnd w:id="69"/>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70" w:name="_Toc15396624"/>
      <w:r>
        <w:rPr>
          <w:rFonts w:hint="eastAsia" w:ascii="仿宋_GB2312" w:hAnsi="宋体" w:eastAsia="仿宋_GB2312"/>
          <w:color w:val="000000"/>
          <w:sz w:val="32"/>
          <w:szCs w:val="32"/>
          <w:shd w:val="clear" w:color="auto" w:fill="FFFFFF"/>
        </w:rPr>
        <w:t>六、一般公共预算财政拨款支出决算表</w:t>
      </w:r>
      <w:bookmarkEnd w:id="70"/>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71" w:name="_Toc15396625"/>
      <w:r>
        <w:rPr>
          <w:rFonts w:hint="eastAsia" w:ascii="仿宋_GB2312" w:hAnsi="宋体" w:eastAsia="仿宋_GB2312"/>
          <w:color w:val="000000"/>
          <w:sz w:val="32"/>
          <w:szCs w:val="32"/>
          <w:shd w:val="clear" w:color="auto" w:fill="FFFFFF"/>
        </w:rPr>
        <w:t>七、一般公共预算财政拨款支出决算明细表</w:t>
      </w:r>
      <w:bookmarkEnd w:id="71"/>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72" w:name="_Toc15396626"/>
      <w:r>
        <w:rPr>
          <w:rFonts w:hint="eastAsia" w:ascii="仿宋_GB2312" w:hAnsi="宋体" w:eastAsia="仿宋_GB2312"/>
          <w:color w:val="000000"/>
          <w:sz w:val="32"/>
          <w:szCs w:val="32"/>
          <w:shd w:val="clear" w:color="auto" w:fill="FFFFFF"/>
        </w:rPr>
        <w:t>八、一般公共预算财政拨款基本支出决算表</w:t>
      </w:r>
      <w:bookmarkEnd w:id="72"/>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73" w:name="_Toc15396627"/>
      <w:r>
        <w:rPr>
          <w:rFonts w:hint="eastAsia" w:ascii="仿宋_GB2312" w:hAnsi="宋体" w:eastAsia="仿宋_GB2312"/>
          <w:color w:val="000000"/>
          <w:sz w:val="32"/>
          <w:szCs w:val="32"/>
          <w:shd w:val="clear" w:color="auto" w:fill="FFFFFF"/>
        </w:rPr>
        <w:t>九、一般公共预算财政拨款项目支出决算表</w:t>
      </w:r>
      <w:bookmarkEnd w:id="73"/>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74" w:name="_Toc15396628"/>
      <w:r>
        <w:rPr>
          <w:rFonts w:hint="eastAsia" w:ascii="仿宋_GB2312" w:hAnsi="宋体" w:eastAsia="仿宋_GB2312"/>
          <w:color w:val="000000"/>
          <w:sz w:val="32"/>
          <w:szCs w:val="32"/>
          <w:shd w:val="clear" w:color="auto" w:fill="FFFFFF"/>
        </w:rPr>
        <w:t>十、一般公共预算财政拨款“三公”经费支出决算表</w:t>
      </w:r>
      <w:bookmarkEnd w:id="74"/>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75" w:name="_Toc15396629"/>
      <w:r>
        <w:rPr>
          <w:rFonts w:hint="eastAsia" w:ascii="仿宋_GB2312" w:hAnsi="宋体" w:eastAsia="仿宋_GB2312"/>
          <w:color w:val="000000"/>
          <w:sz w:val="32"/>
          <w:szCs w:val="32"/>
          <w:shd w:val="clear" w:color="auto" w:fill="FFFFFF"/>
        </w:rPr>
        <w:t>十一、政府性基金预算财政拨款收入支出决算表</w:t>
      </w:r>
      <w:bookmarkEnd w:id="75"/>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76" w:name="_Toc15396630"/>
      <w:r>
        <w:rPr>
          <w:rFonts w:hint="eastAsia" w:ascii="仿宋_GB2312" w:hAnsi="宋体" w:eastAsia="仿宋_GB2312"/>
          <w:color w:val="000000"/>
          <w:sz w:val="32"/>
          <w:szCs w:val="32"/>
          <w:shd w:val="clear" w:color="auto" w:fill="FFFFFF"/>
        </w:rPr>
        <w:t>十二、政府性基金预算财政拨款“三公”经费支出决算表</w:t>
      </w:r>
      <w:bookmarkEnd w:id="76"/>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bookmarkStart w:id="77" w:name="_Toc15396631"/>
      <w:r>
        <w:rPr>
          <w:rFonts w:hint="eastAsia" w:ascii="仿宋_GB2312" w:hAnsi="宋体" w:eastAsia="仿宋_GB2312"/>
          <w:color w:val="000000"/>
          <w:sz w:val="32"/>
          <w:szCs w:val="32"/>
          <w:shd w:val="clear" w:color="auto" w:fill="FFFFFF"/>
        </w:rPr>
        <w:t>十三、国有资本经营预算支出决算表</w:t>
      </w:r>
      <w:bookmarkEnd w:id="77"/>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9</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D79941"/>
    <w:multiLevelType w:val="singleLevel"/>
    <w:tmpl w:val="ADD79941"/>
    <w:lvl w:ilvl="0" w:tentative="0">
      <w:start w:val="1"/>
      <w:numFmt w:val="decimal"/>
      <w:lvlText w:val="%1."/>
      <w:lvlJc w:val="left"/>
      <w:pPr>
        <w:tabs>
          <w:tab w:val="left" w:pos="312"/>
        </w:tabs>
      </w:p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46969C9D"/>
    <w:multiLevelType w:val="singleLevel"/>
    <w:tmpl w:val="46969C9D"/>
    <w:lvl w:ilvl="0" w:tentative="0">
      <w:start w:val="1"/>
      <w:numFmt w:val="chineseCounting"/>
      <w:suff w:val="nothing"/>
      <w:lvlText w:val="%1、"/>
      <w:lvlJc w:val="left"/>
      <w:rPr>
        <w:rFonts w:hint="eastAsia"/>
      </w:rPr>
    </w:lvl>
  </w:abstractNum>
  <w:abstractNum w:abstractNumId="4">
    <w:nsid w:val="5C5E7743"/>
    <w:multiLevelType w:val="singleLevel"/>
    <w:tmpl w:val="5C5E7743"/>
    <w:lvl w:ilvl="0" w:tentative="0">
      <w:start w:val="2"/>
      <w:numFmt w:val="chineseCounting"/>
      <w:suff w:val="space"/>
      <w:lvlText w:val="第%1部分"/>
      <w:lvlJc w:val="left"/>
      <w:rPr>
        <w:rFonts w:hint="eastAsia"/>
      </w:rPr>
    </w:lvl>
  </w:abstractNum>
  <w:abstractNum w:abstractNumId="5">
    <w:nsid w:val="6B83F053"/>
    <w:multiLevelType w:val="singleLevel"/>
    <w:tmpl w:val="6B83F053"/>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038A5"/>
    <w:rsid w:val="00114E9B"/>
    <w:rsid w:val="001412E4"/>
    <w:rsid w:val="00143ACA"/>
    <w:rsid w:val="0014729F"/>
    <w:rsid w:val="00157BAB"/>
    <w:rsid w:val="001654D1"/>
    <w:rsid w:val="0018106D"/>
    <w:rsid w:val="001877A7"/>
    <w:rsid w:val="00191536"/>
    <w:rsid w:val="00196687"/>
    <w:rsid w:val="001A0A05"/>
    <w:rsid w:val="001C0962"/>
    <w:rsid w:val="001D7531"/>
    <w:rsid w:val="001E737D"/>
    <w:rsid w:val="001E7A02"/>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D05EE"/>
    <w:rsid w:val="002F1818"/>
    <w:rsid w:val="002F567B"/>
    <w:rsid w:val="003216A9"/>
    <w:rsid w:val="0037013F"/>
    <w:rsid w:val="00380C92"/>
    <w:rsid w:val="0039661A"/>
    <w:rsid w:val="003A484F"/>
    <w:rsid w:val="003B0BE0"/>
    <w:rsid w:val="003B0C1B"/>
    <w:rsid w:val="003B688C"/>
    <w:rsid w:val="003C0291"/>
    <w:rsid w:val="003C39AE"/>
    <w:rsid w:val="003C4C12"/>
    <w:rsid w:val="003C7B60"/>
    <w:rsid w:val="003D1FB2"/>
    <w:rsid w:val="003D66DA"/>
    <w:rsid w:val="003E1310"/>
    <w:rsid w:val="003E6F55"/>
    <w:rsid w:val="00406254"/>
    <w:rsid w:val="004223DE"/>
    <w:rsid w:val="00427E1E"/>
    <w:rsid w:val="00434489"/>
    <w:rsid w:val="00437085"/>
    <w:rsid w:val="00443880"/>
    <w:rsid w:val="004464F4"/>
    <w:rsid w:val="00471401"/>
    <w:rsid w:val="00473F31"/>
    <w:rsid w:val="0048263A"/>
    <w:rsid w:val="00487E5D"/>
    <w:rsid w:val="004A711F"/>
    <w:rsid w:val="004B199D"/>
    <w:rsid w:val="004B4690"/>
    <w:rsid w:val="004C2CE4"/>
    <w:rsid w:val="004E0A2D"/>
    <w:rsid w:val="004E206B"/>
    <w:rsid w:val="004E6DF7"/>
    <w:rsid w:val="004F0FBD"/>
    <w:rsid w:val="00505A47"/>
    <w:rsid w:val="00512FDA"/>
    <w:rsid w:val="00520DA0"/>
    <w:rsid w:val="005664BB"/>
    <w:rsid w:val="0057481D"/>
    <w:rsid w:val="0058486E"/>
    <w:rsid w:val="005D1C8B"/>
    <w:rsid w:val="005D5CED"/>
    <w:rsid w:val="005F1A4C"/>
    <w:rsid w:val="005F3F3D"/>
    <w:rsid w:val="00605688"/>
    <w:rsid w:val="006070AF"/>
    <w:rsid w:val="00607E6C"/>
    <w:rsid w:val="006101B1"/>
    <w:rsid w:val="00614E44"/>
    <w:rsid w:val="00622830"/>
    <w:rsid w:val="00630AEF"/>
    <w:rsid w:val="006325F8"/>
    <w:rsid w:val="00634C9A"/>
    <w:rsid w:val="0064285F"/>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47B3"/>
    <w:rsid w:val="007D312A"/>
    <w:rsid w:val="007D3F19"/>
    <w:rsid w:val="007E23B0"/>
    <w:rsid w:val="007F1991"/>
    <w:rsid w:val="007F2C2F"/>
    <w:rsid w:val="007F55FC"/>
    <w:rsid w:val="007F5665"/>
    <w:rsid w:val="00800112"/>
    <w:rsid w:val="008253BB"/>
    <w:rsid w:val="008320B4"/>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8F790B"/>
    <w:rsid w:val="00900B08"/>
    <w:rsid w:val="00902155"/>
    <w:rsid w:val="00902FA3"/>
    <w:rsid w:val="00923564"/>
    <w:rsid w:val="0092392E"/>
    <w:rsid w:val="009315F9"/>
    <w:rsid w:val="00946945"/>
    <w:rsid w:val="00951248"/>
    <w:rsid w:val="0095152F"/>
    <w:rsid w:val="00954C49"/>
    <w:rsid w:val="0097099F"/>
    <w:rsid w:val="00971997"/>
    <w:rsid w:val="00971FFC"/>
    <w:rsid w:val="0098469B"/>
    <w:rsid w:val="0098660A"/>
    <w:rsid w:val="009931C3"/>
    <w:rsid w:val="009B2C43"/>
    <w:rsid w:val="009B4EAE"/>
    <w:rsid w:val="009B728D"/>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3B5F"/>
    <w:rsid w:val="00B310B9"/>
    <w:rsid w:val="00B35F3F"/>
    <w:rsid w:val="00B36CBB"/>
    <w:rsid w:val="00B425E0"/>
    <w:rsid w:val="00B440AA"/>
    <w:rsid w:val="00B44B70"/>
    <w:rsid w:val="00B53C56"/>
    <w:rsid w:val="00B77EA6"/>
    <w:rsid w:val="00B81598"/>
    <w:rsid w:val="00B841F1"/>
    <w:rsid w:val="00B944D6"/>
    <w:rsid w:val="00BA4CAB"/>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98F"/>
    <w:rsid w:val="00C61BFC"/>
    <w:rsid w:val="00C62B85"/>
    <w:rsid w:val="00C65438"/>
    <w:rsid w:val="00C91CBB"/>
    <w:rsid w:val="00CB0180"/>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4351"/>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0543"/>
    <w:rsid w:val="00F05438"/>
    <w:rsid w:val="00F1361C"/>
    <w:rsid w:val="00F160C7"/>
    <w:rsid w:val="00F36D8F"/>
    <w:rsid w:val="00F417B1"/>
    <w:rsid w:val="00F602DF"/>
    <w:rsid w:val="00F752DD"/>
    <w:rsid w:val="00F81FD9"/>
    <w:rsid w:val="00F841AA"/>
    <w:rsid w:val="00FA23E8"/>
    <w:rsid w:val="00FD3CC1"/>
    <w:rsid w:val="00FF1E02"/>
    <w:rsid w:val="00FF30B4"/>
    <w:rsid w:val="01001937"/>
    <w:rsid w:val="015831DD"/>
    <w:rsid w:val="02675DA0"/>
    <w:rsid w:val="047B1032"/>
    <w:rsid w:val="053240D0"/>
    <w:rsid w:val="053C6086"/>
    <w:rsid w:val="05890788"/>
    <w:rsid w:val="0675301C"/>
    <w:rsid w:val="06B5667D"/>
    <w:rsid w:val="08467BF7"/>
    <w:rsid w:val="0A0C708C"/>
    <w:rsid w:val="0A970BE6"/>
    <w:rsid w:val="0AAB10BE"/>
    <w:rsid w:val="0B076656"/>
    <w:rsid w:val="0C707E2A"/>
    <w:rsid w:val="0E1269B7"/>
    <w:rsid w:val="0E9C1B47"/>
    <w:rsid w:val="0FCF5C28"/>
    <w:rsid w:val="1076266B"/>
    <w:rsid w:val="10C055FF"/>
    <w:rsid w:val="14701BBF"/>
    <w:rsid w:val="149A3B50"/>
    <w:rsid w:val="15E10FA1"/>
    <w:rsid w:val="16BB723D"/>
    <w:rsid w:val="16F76102"/>
    <w:rsid w:val="17D67BD5"/>
    <w:rsid w:val="18163822"/>
    <w:rsid w:val="18575086"/>
    <w:rsid w:val="19663B05"/>
    <w:rsid w:val="196F3A6D"/>
    <w:rsid w:val="1A3C5DCF"/>
    <w:rsid w:val="1BB72139"/>
    <w:rsid w:val="1BE2261C"/>
    <w:rsid w:val="1BE54C4F"/>
    <w:rsid w:val="1CB3449E"/>
    <w:rsid w:val="1CCB0E65"/>
    <w:rsid w:val="1D0B43AF"/>
    <w:rsid w:val="1DAC177C"/>
    <w:rsid w:val="1EBC54AD"/>
    <w:rsid w:val="1F970AB6"/>
    <w:rsid w:val="1FFE618F"/>
    <w:rsid w:val="20266019"/>
    <w:rsid w:val="21842FBA"/>
    <w:rsid w:val="21AF4C5F"/>
    <w:rsid w:val="21D8678D"/>
    <w:rsid w:val="21F14853"/>
    <w:rsid w:val="221805A9"/>
    <w:rsid w:val="22F62BC9"/>
    <w:rsid w:val="22F9612F"/>
    <w:rsid w:val="23791DDE"/>
    <w:rsid w:val="23A74DD5"/>
    <w:rsid w:val="240371BF"/>
    <w:rsid w:val="24694D7E"/>
    <w:rsid w:val="24EF12E1"/>
    <w:rsid w:val="26981053"/>
    <w:rsid w:val="26B26919"/>
    <w:rsid w:val="277728E1"/>
    <w:rsid w:val="28A66D9C"/>
    <w:rsid w:val="29D23E1C"/>
    <w:rsid w:val="29FD04D3"/>
    <w:rsid w:val="2A775EE8"/>
    <w:rsid w:val="2AA0577A"/>
    <w:rsid w:val="2B1D2D47"/>
    <w:rsid w:val="2B311872"/>
    <w:rsid w:val="2BA73E5B"/>
    <w:rsid w:val="2D2646E9"/>
    <w:rsid w:val="2D777D42"/>
    <w:rsid w:val="2FBD0C84"/>
    <w:rsid w:val="30447217"/>
    <w:rsid w:val="307E7965"/>
    <w:rsid w:val="308F56ED"/>
    <w:rsid w:val="31112952"/>
    <w:rsid w:val="31290482"/>
    <w:rsid w:val="319F7F4E"/>
    <w:rsid w:val="31C1107A"/>
    <w:rsid w:val="31FF1EE6"/>
    <w:rsid w:val="33CD15F5"/>
    <w:rsid w:val="3438204E"/>
    <w:rsid w:val="35384000"/>
    <w:rsid w:val="356802D6"/>
    <w:rsid w:val="366436AC"/>
    <w:rsid w:val="36850D95"/>
    <w:rsid w:val="375E09F3"/>
    <w:rsid w:val="38E84356"/>
    <w:rsid w:val="3A9A1AFF"/>
    <w:rsid w:val="3ACE5170"/>
    <w:rsid w:val="3AD25256"/>
    <w:rsid w:val="3AF77D76"/>
    <w:rsid w:val="3B1C4E47"/>
    <w:rsid w:val="3C7F6BE9"/>
    <w:rsid w:val="3CD32A21"/>
    <w:rsid w:val="3D080895"/>
    <w:rsid w:val="3D3169DE"/>
    <w:rsid w:val="3DB67922"/>
    <w:rsid w:val="3DE87A8A"/>
    <w:rsid w:val="3F254095"/>
    <w:rsid w:val="414E3C89"/>
    <w:rsid w:val="41A94811"/>
    <w:rsid w:val="41B7520F"/>
    <w:rsid w:val="41E26ED4"/>
    <w:rsid w:val="42543026"/>
    <w:rsid w:val="42BD39B5"/>
    <w:rsid w:val="42D87B76"/>
    <w:rsid w:val="44226A44"/>
    <w:rsid w:val="46537978"/>
    <w:rsid w:val="474D19F2"/>
    <w:rsid w:val="475E362F"/>
    <w:rsid w:val="47BE3FFD"/>
    <w:rsid w:val="47CF4431"/>
    <w:rsid w:val="49DD37FA"/>
    <w:rsid w:val="4A124C5D"/>
    <w:rsid w:val="4A6E4AFA"/>
    <w:rsid w:val="4AAA0ABA"/>
    <w:rsid w:val="4BFC5258"/>
    <w:rsid w:val="4C4424B6"/>
    <w:rsid w:val="4C8F53E0"/>
    <w:rsid w:val="4C9C17A5"/>
    <w:rsid w:val="4D864EC5"/>
    <w:rsid w:val="4DB62A3D"/>
    <w:rsid w:val="4DC67AD6"/>
    <w:rsid w:val="4E4B518A"/>
    <w:rsid w:val="4EC601E0"/>
    <w:rsid w:val="4FC801ED"/>
    <w:rsid w:val="4FCF7B83"/>
    <w:rsid w:val="4FF246B2"/>
    <w:rsid w:val="513A6CC8"/>
    <w:rsid w:val="51E61755"/>
    <w:rsid w:val="531619D8"/>
    <w:rsid w:val="53515135"/>
    <w:rsid w:val="53663CF0"/>
    <w:rsid w:val="53774BEA"/>
    <w:rsid w:val="5472565E"/>
    <w:rsid w:val="54977C57"/>
    <w:rsid w:val="55CE359D"/>
    <w:rsid w:val="569D3C8E"/>
    <w:rsid w:val="56C64918"/>
    <w:rsid w:val="56D66041"/>
    <w:rsid w:val="57AC4FE7"/>
    <w:rsid w:val="57AD746B"/>
    <w:rsid w:val="580C4CD1"/>
    <w:rsid w:val="58212AAF"/>
    <w:rsid w:val="58980F2D"/>
    <w:rsid w:val="58B77626"/>
    <w:rsid w:val="59095C60"/>
    <w:rsid w:val="59AE70D7"/>
    <w:rsid w:val="5A807D89"/>
    <w:rsid w:val="5A813FB4"/>
    <w:rsid w:val="5B147E10"/>
    <w:rsid w:val="5C2E6D03"/>
    <w:rsid w:val="5C480492"/>
    <w:rsid w:val="5C6C276D"/>
    <w:rsid w:val="5CA45B8B"/>
    <w:rsid w:val="5CF34F16"/>
    <w:rsid w:val="5D582A1C"/>
    <w:rsid w:val="5E1C2E1D"/>
    <w:rsid w:val="5EA1686B"/>
    <w:rsid w:val="5F3E3958"/>
    <w:rsid w:val="5F96097C"/>
    <w:rsid w:val="5FC86557"/>
    <w:rsid w:val="61045AA4"/>
    <w:rsid w:val="618C5176"/>
    <w:rsid w:val="62140584"/>
    <w:rsid w:val="62731E46"/>
    <w:rsid w:val="630E407B"/>
    <w:rsid w:val="63AA4078"/>
    <w:rsid w:val="647F16E2"/>
    <w:rsid w:val="64DB2A7A"/>
    <w:rsid w:val="653A0785"/>
    <w:rsid w:val="6612487B"/>
    <w:rsid w:val="664604F0"/>
    <w:rsid w:val="67A765FC"/>
    <w:rsid w:val="690A6D30"/>
    <w:rsid w:val="696324D9"/>
    <w:rsid w:val="69DB06CB"/>
    <w:rsid w:val="69EB14DF"/>
    <w:rsid w:val="6A165EE2"/>
    <w:rsid w:val="6C4E1326"/>
    <w:rsid w:val="6CB50DB7"/>
    <w:rsid w:val="6CCD6D5B"/>
    <w:rsid w:val="6CD518FE"/>
    <w:rsid w:val="6D594E46"/>
    <w:rsid w:val="6E470EEE"/>
    <w:rsid w:val="6EB92158"/>
    <w:rsid w:val="6ED411CF"/>
    <w:rsid w:val="6FC23EAF"/>
    <w:rsid w:val="6FFD5AFF"/>
    <w:rsid w:val="700B30EE"/>
    <w:rsid w:val="703819E8"/>
    <w:rsid w:val="713D03D4"/>
    <w:rsid w:val="715C7553"/>
    <w:rsid w:val="717244DF"/>
    <w:rsid w:val="718412C5"/>
    <w:rsid w:val="7254674F"/>
    <w:rsid w:val="72562423"/>
    <w:rsid w:val="72716D75"/>
    <w:rsid w:val="72E65EC6"/>
    <w:rsid w:val="740D0D9D"/>
    <w:rsid w:val="74673AB9"/>
    <w:rsid w:val="746D4D8C"/>
    <w:rsid w:val="74DF39DB"/>
    <w:rsid w:val="74FA61C1"/>
    <w:rsid w:val="750F0D0D"/>
    <w:rsid w:val="75A451FA"/>
    <w:rsid w:val="769A04A2"/>
    <w:rsid w:val="76A50B31"/>
    <w:rsid w:val="76D41CCD"/>
    <w:rsid w:val="76FD5841"/>
    <w:rsid w:val="77DE799F"/>
    <w:rsid w:val="786F3FFE"/>
    <w:rsid w:val="78E909E5"/>
    <w:rsid w:val="795A6FBB"/>
    <w:rsid w:val="79721B2A"/>
    <w:rsid w:val="79913782"/>
    <w:rsid w:val="7A705390"/>
    <w:rsid w:val="7A7C47E5"/>
    <w:rsid w:val="7B27574A"/>
    <w:rsid w:val="7C1D09FD"/>
    <w:rsid w:val="7C521908"/>
    <w:rsid w:val="7CCB02EA"/>
    <w:rsid w:val="7D940487"/>
    <w:rsid w:val="7DB417C4"/>
    <w:rsid w:val="7DBF0E3F"/>
    <w:rsid w:val="7E2365DD"/>
    <w:rsid w:val="7E864318"/>
    <w:rsid w:val="7EAF6137"/>
    <w:rsid w:val="7EDA166A"/>
    <w:rsid w:val="7F412FA2"/>
    <w:rsid w:val="7F5B01C1"/>
    <w:rsid w:val="7F937449"/>
    <w:rsid w:val="7FE1052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标题 1 Char"/>
    <w:basedOn w:val="13"/>
    <w:link w:val="2"/>
    <w:qFormat/>
    <w:uiPriority w:val="9"/>
    <w:rPr>
      <w:rFonts w:ascii="Times New Roman" w:hAnsi="Times New Roman"/>
      <w:b/>
      <w:bCs/>
      <w:kern w:val="44"/>
      <w:sz w:val="44"/>
      <w:szCs w:val="44"/>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无间隔4"/>
    <w:qFormat/>
    <w:uiPriority w:val="0"/>
    <w:pPr>
      <w:widowControl w:val="0"/>
      <w:jc w:val="both"/>
    </w:pPr>
    <w:rPr>
      <w:rFonts w:ascii="Calibri" w:hAnsi="Calibri" w:eastAsia="宋体" w:cs="Times New Roman"/>
      <w:kern w:val="2"/>
      <w:sz w:val="21"/>
      <w:szCs w:val="22"/>
      <w:lang w:val="en-US" w:eastAsia="zh-CN" w:bidi="ar-SA"/>
    </w:rPr>
  </w:style>
  <w:style w:type="character" w:customStyle="1" w:styleId="30">
    <w:name w:val="apple-converted-space"/>
    <w:basedOn w:val="13"/>
    <w:qFormat/>
    <w:uiPriority w:val="0"/>
  </w:style>
  <w:style w:type="paragraph" w:customStyle="1" w:styleId="31">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无间隔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5"/>
        </c:manualLayout>
      </c:layout>
      <c:overlay val="0"/>
    </c:title>
    <c:autoTitleDeleted val="0"/>
    <c:plotArea>
      <c:layout>
        <c:manualLayout>
          <c:layoutTarget val="inner"/>
          <c:xMode val="edge"/>
          <c:yMode val="edge"/>
          <c:x val="0.0769356344423429"/>
          <c:y val="0.212981143314532"/>
          <c:w val="0.763500149073545"/>
          <c:h val="0.68032464027103"/>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901.2</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539.06</c:v>
                </c:pt>
              </c:numCache>
            </c:numRef>
          </c:val>
        </c:ser>
        <c:dLbls>
          <c:showLegendKey val="0"/>
          <c:showVal val="1"/>
          <c:showCatName val="0"/>
          <c:showSerName val="0"/>
          <c:showPercent val="0"/>
          <c:showBubbleSize val="0"/>
        </c:dLbls>
        <c:gapWidth val="150"/>
        <c:axId val="105424768"/>
        <c:axId val="105426304"/>
      </c:barChart>
      <c:catAx>
        <c:axId val="105424768"/>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26304"/>
        <c:crosses val="autoZero"/>
        <c:auto val="1"/>
        <c:lblAlgn val="ctr"/>
        <c:lblOffset val="100"/>
        <c:noMultiLvlLbl val="0"/>
      </c:catAx>
      <c:valAx>
        <c:axId val="10542630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2476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年收入决算结构图</a:t>
            </a:r>
            <a:endParaRPr lang="zh-CN" altLang="en-US"/>
          </a:p>
        </c:rich>
      </c:tx>
      <c:layout/>
      <c:overlay val="0"/>
    </c:title>
    <c:autoTitleDeleted val="0"/>
    <c:plotArea>
      <c:layout>
        <c:manualLayout>
          <c:layoutTarget val="inner"/>
          <c:xMode val="edge"/>
          <c:yMode val="edge"/>
          <c:x val="0.215995924342382"/>
          <c:y val="0.217391304347827"/>
          <c:w val="0.296150696150697"/>
          <c:h val="0.655072463768118"/>
        </c:manualLayout>
      </c:layout>
      <c:pieChart>
        <c:varyColors val="1"/>
        <c:ser>
          <c:idx val="0"/>
          <c:order val="0"/>
          <c:tx>
            <c:strRef>
              <c:f>Sheet1!$B$1</c:f>
              <c:strCache>
                <c:ptCount val="1"/>
                <c:pt idx="0">
                  <c:v>2017年部门决算收入结构图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185024234442235"/>
                  <c:y val="-0.4173552055080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100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1"/>
          <c:y val="0.192746260074382"/>
          <c:w val="0.342222222222222"/>
          <c:h val="0.738888734314574"/>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年支出决算结构图</a:t>
            </a:r>
            <a:endParaRPr lang="zh-CN" altLang="en-US"/>
          </a:p>
        </c:rich>
      </c:tx>
      <c:layout>
        <c:manualLayout>
          <c:xMode val="edge"/>
          <c:yMode val="edge"/>
          <c:x val="0.24262959667355"/>
          <c:y val="0.0272108843537415"/>
        </c:manualLayout>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layout>
                <c:manualLayout>
                  <c:x val="-0.0786116660790536"/>
                  <c:y val="0.02729819486849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37.62</c:v>
                </c:pt>
                <c:pt idx="1">
                  <c:v>62.38</c:v>
                </c:pt>
                <c:pt idx="2">
                  <c:v>0</c:v>
                </c:pt>
                <c:pt idx="3">
                  <c:v>0</c:v>
                </c:pt>
                <c:pt idx="4">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9"/>
          <c:y val="0.0521624031445832"/>
        </c:manualLayout>
      </c:layout>
      <c:overlay val="0"/>
    </c:title>
    <c:autoTitleDeleted val="0"/>
    <c:plotArea>
      <c:layout>
        <c:manualLayout>
          <c:layoutTarget val="inner"/>
          <c:xMode val="edge"/>
          <c:yMode val="edge"/>
          <c:x val="0.076935634442343"/>
          <c:y val="0.212981143314532"/>
          <c:w val="0.763500149073545"/>
          <c:h val="0.68032464027103"/>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Sheet1!$B$2:$B$3</c:f>
              <c:numCache>
                <c:formatCode>General</c:formatCode>
                <c:ptCount val="2"/>
                <c:pt idx="0">
                  <c:v>901.2</c:v>
                </c:pt>
                <c:pt idx="1">
                  <c:v>901.2</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Sheet1!$C$2:$C$3</c:f>
              <c:numCache>
                <c:formatCode>General</c:formatCode>
                <c:ptCount val="2"/>
                <c:pt idx="0">
                  <c:v>223.48</c:v>
                </c:pt>
                <c:pt idx="1">
                  <c:v>539.06</c:v>
                </c:pt>
              </c:numCache>
            </c:numRef>
          </c:val>
        </c:ser>
        <c:dLbls>
          <c:showLegendKey val="0"/>
          <c:showVal val="1"/>
          <c:showCatName val="0"/>
          <c:showSerName val="0"/>
          <c:showPercent val="0"/>
          <c:showBubbleSize val="0"/>
        </c:dLbls>
        <c:gapWidth val="150"/>
        <c:axId val="117099136"/>
        <c:axId val="117117312"/>
      </c:barChart>
      <c:catAx>
        <c:axId val="11709913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117312"/>
        <c:crosses val="autoZero"/>
        <c:auto val="1"/>
        <c:lblAlgn val="ctr"/>
        <c:lblOffset val="100"/>
        <c:noMultiLvlLbl val="0"/>
      </c:catAx>
      <c:valAx>
        <c:axId val="117117312"/>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09913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2"/>
          <c:y val="0.209319129226494"/>
          <c:w val="0.770646966143441"/>
          <c:h val="0.683986901018178"/>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901.2</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539.06</c:v>
                </c:pt>
              </c:numCache>
            </c:numRef>
          </c:val>
        </c:ser>
        <c:dLbls>
          <c:showLegendKey val="0"/>
          <c:showVal val="1"/>
          <c:showCatName val="0"/>
          <c:showSerName val="0"/>
          <c:showPercent val="0"/>
          <c:showBubbleSize val="0"/>
        </c:dLbls>
        <c:gapWidth val="150"/>
        <c:axId val="117175808"/>
        <c:axId val="117177344"/>
      </c:barChart>
      <c:catAx>
        <c:axId val="11717580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177344"/>
        <c:crosses val="autoZero"/>
        <c:auto val="1"/>
        <c:lblAlgn val="ctr"/>
        <c:lblOffset val="100"/>
        <c:noMultiLvlLbl val="0"/>
      </c:catAx>
      <c:valAx>
        <c:axId val="11717734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1758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201</a:t>
            </a:r>
            <a:r>
              <a:rPr lang="en-US" altLang="en-US" sz="1400"/>
              <a:t>8</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overlay val="0"/>
    </c:title>
    <c:autoTitleDeleted val="0"/>
    <c:plotArea>
      <c:layout/>
      <c:pieChart>
        <c:varyColors val="1"/>
        <c:ser>
          <c:idx val="0"/>
          <c:order val="0"/>
          <c:tx>
            <c:strRef>
              <c:f>Sheet1!$B$1</c:f>
              <c:strCache>
                <c:ptCount val="1"/>
                <c:pt idx="0">
                  <c:v>2017年部门决算支出结构图</c:v>
                </c:pt>
              </c:strCache>
            </c:strRef>
          </c:tx>
          <c:explosion val="0"/>
          <c:dPt>
            <c:idx val="0"/>
            <c:bubble3D val="0"/>
          </c:dPt>
          <c:dPt>
            <c:idx val="1"/>
            <c:bubble3D val="0"/>
          </c:dPt>
          <c:dPt>
            <c:idx val="2"/>
            <c:bubble3D val="0"/>
          </c:dPt>
          <c:dPt>
            <c:idx val="3"/>
            <c:bubble3D val="0"/>
          </c:dPt>
          <c:dLbls>
            <c:dLbl>
              <c:idx val="0"/>
              <c:layout>
                <c:manualLayout>
                  <c:x val="-0.0593840082029058"/>
                  <c:y val="-0.06160303295421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674392359431729"/>
                  <c:y val="-0.038964129483814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265722558635944"/>
                  <c:y val="0.022113502478856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社会保障和就业支出</c:v>
                </c:pt>
                <c:pt idx="1">
                  <c:v>医疗卫生与计划生育支出</c:v>
                </c:pt>
                <c:pt idx="2">
                  <c:v>住房保障支出</c:v>
                </c:pt>
                <c:pt idx="3">
                  <c:v>交通运输支出</c:v>
                </c:pt>
              </c:strCache>
            </c:strRef>
          </c:cat>
          <c:val>
            <c:numRef>
              <c:f>Sheet1!$B$2:$B$5</c:f>
              <c:numCache>
                <c:formatCode>General</c:formatCode>
                <c:ptCount val="4"/>
                <c:pt idx="0">
                  <c:v>4.86</c:v>
                </c:pt>
                <c:pt idx="1">
                  <c:v>1.91</c:v>
                </c:pt>
                <c:pt idx="2">
                  <c:v>2.63</c:v>
                </c:pt>
                <c:pt idx="3">
                  <c:v>90.6</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1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dLbl>
              <c:idx val="0"/>
              <c:delete val="1"/>
            </c:dLbl>
            <c:dLbl>
              <c:idx val="2"/>
              <c:layout>
                <c:manualLayout>
                  <c:x val="0.0195191273487086"/>
                  <c:y val="0.015705809188483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因公出国（经）经费支出</c:v>
                </c:pt>
                <c:pt idx="1">
                  <c:v>公务用车购置及运行维护费支出</c:v>
                </c:pt>
                <c:pt idx="2">
                  <c:v>公务接待支出</c:v>
                </c:pt>
              </c:strCache>
            </c:strRef>
          </c:cat>
          <c:val>
            <c:numRef>
              <c:f>Sheet1!$B$2:$B$4</c:f>
              <c:numCache>
                <c:formatCode>General</c:formatCode>
                <c:ptCount val="3"/>
                <c:pt idx="1">
                  <c:v>94.6</c:v>
                </c:pt>
                <c:pt idx="2">
                  <c:v>6.54</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0.82892</cdr:x>
      <cdr:y>0.0805</cdr:y>
    </cdr:from>
    <cdr:to>
      <cdr:x>0.98784</cdr:x>
      <cdr:y>0.17028</cdr:y>
    </cdr:to>
    <cdr:sp>
      <cdr:nvSpPr>
        <cdr:cNvPr id="2" name="矩形 1"/>
        <cdr:cNvSpPr/>
      </cdr:nvSpPr>
      <cdr:spPr xmlns:a="http://schemas.openxmlformats.org/drawingml/2006/main">
        <a:xfrm xmlns:a="http://schemas.openxmlformats.org/drawingml/2006/main">
          <a:off x="4371975" y="247650"/>
          <a:ext cx="838200" cy="2762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D4470D-783B-46D7-816F-88000F29C974}">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12025</Words>
  <Characters>3223</Characters>
  <Lines>26</Lines>
  <Paragraphs>30</Paragraphs>
  <TotalTime>3</TotalTime>
  <ScaleCrop>false</ScaleCrop>
  <LinksUpToDate>false</LinksUpToDate>
  <CharactersWithSpaces>15218</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2019-09-25T02:15:00Z</cp:lastPrinted>
  <dcterms:modified xsi:type="dcterms:W3CDTF">2019-09-25T08:19:56Z</dcterms:modified>
  <dc:title>四川省***</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