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themeColor="text1"/>
          <w:sz w:val="72"/>
          <w:szCs w:val="72"/>
        </w:rPr>
      </w:pPr>
      <w:bookmarkStart w:id="0" w:name="_Toc15306267"/>
      <w:bookmarkStart w:id="73" w:name="_GoBack"/>
      <w:bookmarkEnd w:id="73"/>
    </w:p>
    <w:p>
      <w:pPr>
        <w:spacing w:line="600" w:lineRule="exact"/>
        <w:jc w:val="center"/>
        <w:outlineLvl w:val="0"/>
        <w:rPr>
          <w:rFonts w:ascii="方正小标宋简体" w:hAnsi="宋体" w:eastAsia="方正小标宋简体"/>
          <w:color w:val="000000" w:themeColor="text1"/>
          <w:sz w:val="72"/>
          <w:szCs w:val="72"/>
        </w:rPr>
      </w:pPr>
    </w:p>
    <w:p>
      <w:pPr>
        <w:spacing w:line="600" w:lineRule="exact"/>
        <w:jc w:val="center"/>
        <w:outlineLvl w:val="0"/>
        <w:rPr>
          <w:rFonts w:ascii="方正小标宋简体" w:hAnsi="宋体" w:eastAsia="方正小标宋简体"/>
          <w:color w:val="000000" w:themeColor="text1"/>
          <w:sz w:val="72"/>
          <w:szCs w:val="72"/>
        </w:rPr>
      </w:pPr>
    </w:p>
    <w:p>
      <w:pPr>
        <w:spacing w:line="600" w:lineRule="exact"/>
        <w:jc w:val="center"/>
        <w:outlineLvl w:val="0"/>
        <w:rPr>
          <w:rFonts w:ascii="方正小标宋简体" w:hAnsi="宋体" w:eastAsia="方正小标宋简体"/>
          <w:color w:val="000000" w:themeColor="text1"/>
          <w:sz w:val="72"/>
          <w:szCs w:val="72"/>
        </w:rPr>
      </w:pPr>
    </w:p>
    <w:p>
      <w:pPr>
        <w:adjustRightInd w:val="0"/>
        <w:snapToGrid w:val="0"/>
        <w:spacing w:line="360" w:lineRule="auto"/>
        <w:jc w:val="center"/>
        <w:outlineLvl w:val="0"/>
        <w:rPr>
          <w:rFonts w:ascii="方正小标宋简体" w:hAnsi="宋体" w:eastAsia="方正小标宋简体"/>
          <w:color w:val="000000" w:themeColor="text1"/>
          <w:spacing w:val="-6"/>
          <w:sz w:val="44"/>
          <w:szCs w:val="44"/>
        </w:rPr>
      </w:pPr>
      <w:bookmarkStart w:id="1" w:name="_Toc15377193"/>
      <w:bookmarkStart w:id="2" w:name="_Toc15377425"/>
      <w:bookmarkStart w:id="3" w:name="_Toc15396597"/>
      <w:bookmarkStart w:id="4" w:name="_Toc15378441"/>
      <w:bookmarkStart w:id="5" w:name="_Toc15396475"/>
      <w:r>
        <w:rPr>
          <w:rFonts w:ascii="黑体" w:hAnsi="黑体" w:eastAsia="黑体"/>
          <w:color w:val="000000" w:themeColor="text1"/>
          <w:spacing w:val="-6"/>
          <w:sz w:val="44"/>
          <w:szCs w:val="44"/>
        </w:rPr>
        <w:t>201</w:t>
      </w:r>
      <w:r>
        <w:rPr>
          <w:rFonts w:hint="eastAsia" w:ascii="黑体" w:hAnsi="黑体" w:eastAsia="黑体"/>
          <w:color w:val="000000" w:themeColor="text1"/>
          <w:spacing w:val="-6"/>
          <w:sz w:val="44"/>
          <w:szCs w:val="44"/>
        </w:rPr>
        <w:t>9</w:t>
      </w:r>
      <w:r>
        <w:rPr>
          <w:rFonts w:hint="eastAsia" w:ascii="方正小标宋简体" w:hAnsi="宋体" w:eastAsia="方正小标宋简体"/>
          <w:color w:val="000000" w:themeColor="text1"/>
          <w:spacing w:val="-6"/>
          <w:sz w:val="44"/>
          <w:szCs w:val="44"/>
        </w:rPr>
        <w:t>年度</w:t>
      </w:r>
      <w:bookmarkEnd w:id="1"/>
      <w:bookmarkEnd w:id="2"/>
      <w:bookmarkEnd w:id="3"/>
      <w:bookmarkEnd w:id="4"/>
      <w:bookmarkEnd w:id="5"/>
      <w:bookmarkStart w:id="6" w:name="_Toc15377426"/>
      <w:bookmarkStart w:id="7" w:name="_Toc15377194"/>
      <w:bookmarkStart w:id="8" w:name="_Toc15396598"/>
      <w:bookmarkStart w:id="9" w:name="_Toc15396476"/>
      <w:bookmarkStart w:id="10" w:name="_Toc15378442"/>
      <w:r>
        <w:rPr>
          <w:rFonts w:hint="eastAsia" w:ascii="方正小标宋简体" w:hAnsi="宋体" w:eastAsia="方正小标宋简体"/>
          <w:color w:val="000000" w:themeColor="text1"/>
          <w:spacing w:val="-6"/>
          <w:sz w:val="44"/>
          <w:szCs w:val="44"/>
        </w:rPr>
        <w:t>四川省阿坝州</w:t>
      </w:r>
      <w:bookmarkEnd w:id="0"/>
      <w:bookmarkStart w:id="11" w:name="_Toc15306268"/>
      <w:r>
        <w:rPr>
          <w:rFonts w:hint="eastAsia" w:ascii="方正小标宋简体" w:hAnsi="宋体" w:eastAsia="方正小标宋简体"/>
          <w:color w:val="000000" w:themeColor="text1"/>
          <w:spacing w:val="-6"/>
          <w:sz w:val="44"/>
          <w:szCs w:val="44"/>
        </w:rPr>
        <w:t>茂县道路运输管理所</w:t>
      </w:r>
    </w:p>
    <w:p>
      <w:pPr>
        <w:adjustRightInd w:val="0"/>
        <w:snapToGrid w:val="0"/>
        <w:spacing w:line="360" w:lineRule="auto"/>
        <w:jc w:val="center"/>
        <w:outlineLvl w:val="0"/>
        <w:rPr>
          <w:rFonts w:ascii="方正小标宋简体" w:hAnsi="宋体" w:eastAsia="方正小标宋简体"/>
          <w:color w:val="000000" w:themeColor="text1"/>
          <w:sz w:val="44"/>
          <w:szCs w:val="44"/>
        </w:rPr>
      </w:pPr>
      <w:r>
        <w:rPr>
          <w:rFonts w:hint="eastAsia" w:ascii="方正小标宋简体" w:hAnsi="宋体" w:eastAsia="方正小标宋简体"/>
          <w:color w:val="000000" w:themeColor="text1"/>
          <w:sz w:val="44"/>
          <w:szCs w:val="44"/>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themeColor="text1"/>
          <w:sz w:val="36"/>
          <w:szCs w:val="36"/>
        </w:rPr>
      </w:pPr>
    </w:p>
    <w:p>
      <w:pPr>
        <w:rPr>
          <w:rFonts w:ascii="方正小标宋简体" w:hAnsi="宋体" w:eastAsia="方正小标宋简体"/>
          <w:color w:val="000000" w:themeColor="text1"/>
          <w:sz w:val="36"/>
          <w:szCs w:val="36"/>
        </w:rPr>
      </w:pPr>
    </w:p>
    <w:p>
      <w:pPr>
        <w:rPr>
          <w:rFonts w:ascii="方正小标宋简体" w:hAnsi="宋体" w:eastAsia="方正小标宋简体"/>
          <w:color w:val="000000" w:themeColor="text1"/>
          <w:sz w:val="36"/>
          <w:szCs w:val="36"/>
        </w:rPr>
      </w:pPr>
    </w:p>
    <w:p>
      <w:pPr>
        <w:rPr>
          <w:rFonts w:ascii="方正小标宋简体" w:hAnsi="宋体" w:eastAsia="方正小标宋简体"/>
          <w:color w:val="000000" w:themeColor="text1"/>
          <w:sz w:val="36"/>
          <w:szCs w:val="36"/>
        </w:rPr>
      </w:pPr>
    </w:p>
    <w:p>
      <w:pPr>
        <w:rPr>
          <w:rFonts w:ascii="方正小标宋简体" w:hAnsi="宋体" w:eastAsia="方正小标宋简体"/>
          <w:color w:val="000000" w:themeColor="text1"/>
          <w:sz w:val="36"/>
          <w:szCs w:val="36"/>
        </w:rPr>
      </w:pPr>
    </w:p>
    <w:p>
      <w:pPr>
        <w:rPr>
          <w:rFonts w:ascii="方正小标宋简体" w:hAnsi="宋体" w:eastAsia="方正小标宋简体"/>
          <w:color w:val="000000" w:themeColor="text1"/>
          <w:sz w:val="36"/>
          <w:szCs w:val="36"/>
        </w:rPr>
      </w:pPr>
    </w:p>
    <w:p>
      <w:pPr>
        <w:rPr>
          <w:rFonts w:ascii="方正小标宋简体" w:hAnsi="宋体" w:eastAsia="方正小标宋简体"/>
          <w:color w:val="000000" w:themeColor="text1"/>
          <w:sz w:val="36"/>
          <w:szCs w:val="36"/>
        </w:rPr>
      </w:pPr>
    </w:p>
    <w:p>
      <w:pPr>
        <w:autoSpaceDE w:val="0"/>
        <w:autoSpaceDN w:val="0"/>
        <w:adjustRightInd w:val="0"/>
        <w:ind w:firstLine="1276"/>
        <w:jc w:val="left"/>
        <w:rPr>
          <w:rFonts w:ascii="仿宋_GB2312" w:hAnsi="Calibri" w:eastAsia="仿宋_GB2312" w:cs="仿宋_GB2312"/>
          <w:color w:val="000000" w:themeColor="text1"/>
          <w:sz w:val="32"/>
          <w:szCs w:val="32"/>
        </w:rPr>
      </w:pPr>
      <w:r>
        <w:rPr>
          <w:rFonts w:hint="eastAsia" w:ascii="仿宋_GB2312" w:hAnsi="Calibri" w:eastAsia="仿宋_GB2312" w:cs="仿宋_GB2312"/>
          <w:color w:val="000000" w:themeColor="text1"/>
          <w:sz w:val="32"/>
          <w:szCs w:val="32"/>
        </w:rPr>
        <w:t>保密审查情况：</w:t>
      </w:r>
    </w:p>
    <w:p>
      <w:pPr>
        <w:autoSpaceDE w:val="0"/>
        <w:autoSpaceDN w:val="0"/>
        <w:adjustRightInd w:val="0"/>
        <w:ind w:firstLine="1276"/>
        <w:jc w:val="left"/>
        <w:rPr>
          <w:rFonts w:eastAsia="仿宋_GB2312"/>
          <w:color w:val="000000" w:themeColor="text1"/>
          <w:sz w:val="32"/>
          <w:szCs w:val="32"/>
        </w:rPr>
      </w:pPr>
      <w:r>
        <w:rPr>
          <w:rFonts w:hint="eastAsia" w:ascii="仿宋_GB2312" w:eastAsia="仿宋_GB2312" w:cs="仿宋_GB2312"/>
          <w:color w:val="000000" w:themeColor="text1"/>
          <w:sz w:val="32"/>
          <w:szCs w:val="32"/>
        </w:rPr>
        <w:t>部门主要负责人审签情况：</w:t>
      </w:r>
    </w:p>
    <w:p>
      <w:pPr>
        <w:widowControl/>
        <w:jc w:val="center"/>
        <w:rPr>
          <w:rFonts w:ascii="方正小标宋简体" w:hAnsi="宋体" w:eastAsia="方正小标宋简体"/>
          <w:color w:val="000000" w:themeColor="text1"/>
          <w:sz w:val="36"/>
          <w:szCs w:val="36"/>
        </w:rPr>
      </w:pPr>
    </w:p>
    <w:p>
      <w:pPr>
        <w:widowControl/>
        <w:jc w:val="center"/>
        <w:rPr>
          <w:rFonts w:ascii="黑体" w:hAnsi="黑体" w:eastAsia="黑体"/>
          <w:color w:val="000000" w:themeColor="text1"/>
          <w:sz w:val="48"/>
          <w:szCs w:val="48"/>
        </w:rPr>
      </w:pPr>
      <w:r>
        <w:rPr>
          <w:rFonts w:ascii="方正小标宋简体" w:hAnsi="宋体" w:eastAsia="方正小标宋简体"/>
          <w:color w:val="000000" w:themeColor="text1"/>
          <w:sz w:val="36"/>
          <w:szCs w:val="36"/>
        </w:rPr>
        <w:br w:type="page"/>
      </w:r>
      <w:r>
        <w:rPr>
          <w:rFonts w:hint="eastAsia" w:ascii="黑体" w:hAnsi="黑体" w:eastAsia="黑体"/>
          <w:color w:val="000000" w:themeColor="text1"/>
          <w:sz w:val="48"/>
          <w:szCs w:val="48"/>
        </w:rPr>
        <w:t>目  录</w:t>
      </w:r>
    </w:p>
    <w:p>
      <w:pPr>
        <w:widowControl/>
        <w:jc w:val="center"/>
        <w:rPr>
          <w:rFonts w:ascii="黑体" w:hAnsi="黑体" w:eastAsia="黑体" w:cstheme="minorBidi"/>
          <w:color w:val="000000" w:themeColor="text1"/>
          <w:sz w:val="28"/>
          <w:szCs w:val="28"/>
        </w:rPr>
      </w:pPr>
    </w:p>
    <w:p>
      <w:pPr>
        <w:rPr>
          <w:color w:val="000000" w:themeColor="text1"/>
        </w:rPr>
      </w:pPr>
    </w:p>
    <w:p>
      <w:pPr>
        <w:pStyle w:val="10"/>
        <w:adjustRightInd w:val="0"/>
        <w:snapToGrid w:val="0"/>
        <w:spacing w:before="0" w:line="440" w:lineRule="exact"/>
        <w:jc w:val="both"/>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第一部分 部门概况.................................4</w:t>
      </w:r>
    </w:p>
    <w:p>
      <w:pPr>
        <w:pStyle w:val="11"/>
        <w:adjustRightInd w:val="0"/>
        <w:snapToGrid w:val="0"/>
        <w:spacing w:line="440" w:lineRule="exact"/>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一、基本职能及主要工作..........................4</w:t>
      </w:r>
    </w:p>
    <w:p>
      <w:pPr>
        <w:pStyle w:val="11"/>
        <w:adjustRightInd w:val="0"/>
        <w:snapToGrid w:val="0"/>
        <w:spacing w:line="440" w:lineRule="exact"/>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二、机构设置.....................................4</w:t>
      </w:r>
    </w:p>
    <w:p>
      <w:pPr>
        <w:pStyle w:val="11"/>
        <w:adjustRightInd w:val="0"/>
        <w:snapToGrid w:val="0"/>
        <w:spacing w:line="440" w:lineRule="exact"/>
        <w:ind w:left="0" w:leftChars="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第二部分 2019年度部门决算情况说明.................5</w:t>
      </w:r>
    </w:p>
    <w:p>
      <w:pPr>
        <w:pStyle w:val="11"/>
        <w:adjustRightInd w:val="0"/>
        <w:snapToGrid w:val="0"/>
        <w:spacing w:line="440" w:lineRule="exact"/>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一、收入支出决算总体情况说明.....................5</w:t>
      </w:r>
    </w:p>
    <w:p>
      <w:pPr>
        <w:pStyle w:val="11"/>
        <w:adjustRightInd w:val="0"/>
        <w:snapToGrid w:val="0"/>
        <w:spacing w:line="440" w:lineRule="exact"/>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二、收入决算情况说明.............................6</w:t>
      </w:r>
    </w:p>
    <w:p>
      <w:pPr>
        <w:pStyle w:val="11"/>
        <w:adjustRightInd w:val="0"/>
        <w:snapToGrid w:val="0"/>
        <w:spacing w:line="440" w:lineRule="exact"/>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三、支出决算情况说明.............................7</w:t>
      </w:r>
    </w:p>
    <w:p>
      <w:pPr>
        <w:pStyle w:val="11"/>
        <w:adjustRightInd w:val="0"/>
        <w:snapToGrid w:val="0"/>
        <w:spacing w:line="440" w:lineRule="exact"/>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四、财政拨款收入支出决算总体情况说明.............7</w:t>
      </w:r>
    </w:p>
    <w:p>
      <w:pPr>
        <w:pStyle w:val="11"/>
        <w:adjustRightInd w:val="0"/>
        <w:snapToGrid w:val="0"/>
        <w:spacing w:line="440" w:lineRule="exact"/>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五、一般公共预算财政拨款支出决算情况说明.........7</w:t>
      </w:r>
    </w:p>
    <w:p>
      <w:pPr>
        <w:pStyle w:val="11"/>
        <w:adjustRightInd w:val="0"/>
        <w:snapToGrid w:val="0"/>
        <w:spacing w:line="440" w:lineRule="exact"/>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六、一般公共预算财政拨款基本支出决算情况说明....9</w:t>
      </w:r>
    </w:p>
    <w:p>
      <w:pPr>
        <w:pStyle w:val="11"/>
        <w:adjustRightInd w:val="0"/>
        <w:snapToGrid w:val="0"/>
        <w:spacing w:line="440" w:lineRule="exact"/>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七、“三公”经费财政拨款支出决算情况说明.........10</w:t>
      </w:r>
    </w:p>
    <w:p>
      <w:pPr>
        <w:pStyle w:val="11"/>
        <w:adjustRightInd w:val="0"/>
        <w:snapToGrid w:val="0"/>
        <w:spacing w:line="440" w:lineRule="exact"/>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八、政府性基金预算支出决算情况说明..............12</w:t>
      </w:r>
    </w:p>
    <w:p>
      <w:pPr>
        <w:pStyle w:val="11"/>
        <w:adjustRightInd w:val="0"/>
        <w:snapToGrid w:val="0"/>
        <w:spacing w:line="440" w:lineRule="exact"/>
        <w:ind w:leftChars="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九、国有资本经营预算支出决算情况说明............12</w:t>
      </w:r>
    </w:p>
    <w:p>
      <w:pPr>
        <w:adjustRightInd w:val="0"/>
        <w:snapToGrid w:val="0"/>
        <w:spacing w:line="440" w:lineRule="exact"/>
        <w:ind w:firstLine="320" w:firstLineChars="100"/>
        <w:rPr>
          <w:rFonts w:ascii="仿宋_GB2312" w:hAnsi="仿宋_GB2312" w:eastAsia="仿宋_GB2312" w:cs="仿宋_GB2312"/>
          <w:color w:val="000000" w:themeColor="text1"/>
          <w:sz w:val="32"/>
          <w:szCs w:val="32"/>
        </w:rPr>
      </w:pPr>
      <w:r>
        <w:rPr>
          <w:rStyle w:val="15"/>
          <w:rFonts w:hint="eastAsia" w:ascii="仿宋_GB2312" w:hAnsi="仿宋_GB2312" w:eastAsia="仿宋_GB2312" w:cs="仿宋_GB2312"/>
          <w:color w:val="000000" w:themeColor="text1"/>
          <w:sz w:val="32"/>
          <w:szCs w:val="32"/>
          <w:u w:val="none"/>
        </w:rPr>
        <w:t>十、</w:t>
      </w:r>
      <w:r>
        <w:rPr>
          <w:rFonts w:hint="eastAsia" w:ascii="仿宋_GB2312" w:hAnsi="仿宋_GB2312" w:eastAsia="仿宋_GB2312" w:cs="仿宋_GB2312"/>
          <w:color w:val="000000" w:themeColor="text1"/>
          <w:sz w:val="32"/>
          <w:szCs w:val="32"/>
        </w:rPr>
        <w:t>其他重要事项的情况说明......................12</w:t>
      </w:r>
    </w:p>
    <w:p>
      <w:pPr>
        <w:pStyle w:val="10"/>
        <w:adjustRightInd w:val="0"/>
        <w:snapToGrid w:val="0"/>
        <w:spacing w:before="0" w:line="440" w:lineRule="exact"/>
        <w:jc w:val="both"/>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第三部分 名词解释................................18</w:t>
      </w:r>
    </w:p>
    <w:p>
      <w:pPr>
        <w:pStyle w:val="10"/>
        <w:adjustRightInd w:val="0"/>
        <w:snapToGrid w:val="0"/>
        <w:spacing w:before="0" w:line="440" w:lineRule="exact"/>
        <w:jc w:val="both"/>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第四部分 附件....................................21</w:t>
      </w:r>
    </w:p>
    <w:p>
      <w:pPr>
        <w:pStyle w:val="11"/>
        <w:adjustRightInd w:val="0"/>
        <w:snapToGrid w:val="0"/>
        <w:spacing w:line="440" w:lineRule="exact"/>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茂县运管所2019年部门整体支出绩效评价报告......21</w:t>
      </w:r>
    </w:p>
    <w:p>
      <w:pPr>
        <w:pStyle w:val="10"/>
        <w:adjustRightInd w:val="0"/>
        <w:snapToGrid w:val="0"/>
        <w:spacing w:before="0" w:line="440" w:lineRule="exact"/>
        <w:jc w:val="both"/>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第五部分 附表....................................27</w:t>
      </w:r>
    </w:p>
    <w:p>
      <w:pPr>
        <w:pStyle w:val="11"/>
        <w:adjustRightInd w:val="0"/>
        <w:snapToGrid w:val="0"/>
        <w:spacing w:line="440" w:lineRule="exact"/>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一、收入支出决算总表...........................27</w:t>
      </w:r>
    </w:p>
    <w:p>
      <w:pPr>
        <w:pStyle w:val="11"/>
        <w:adjustRightInd w:val="0"/>
        <w:snapToGrid w:val="0"/>
        <w:spacing w:line="440" w:lineRule="exact"/>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二、收入决算表.................................27</w:t>
      </w:r>
    </w:p>
    <w:p>
      <w:pPr>
        <w:pStyle w:val="11"/>
        <w:adjustRightInd w:val="0"/>
        <w:snapToGrid w:val="0"/>
        <w:spacing w:line="440" w:lineRule="exact"/>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三、支出决算表.................................27</w:t>
      </w:r>
    </w:p>
    <w:p>
      <w:pPr>
        <w:pStyle w:val="11"/>
        <w:adjustRightInd w:val="0"/>
        <w:snapToGrid w:val="0"/>
        <w:spacing w:line="440" w:lineRule="exact"/>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四、财政拨款收入支出决算总表....................27</w:t>
      </w:r>
    </w:p>
    <w:p>
      <w:pPr>
        <w:pStyle w:val="11"/>
        <w:adjustRightInd w:val="0"/>
        <w:snapToGrid w:val="0"/>
        <w:spacing w:line="440" w:lineRule="exact"/>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五、财政拨款支出决算明细表......................27</w:t>
      </w:r>
    </w:p>
    <w:p>
      <w:pPr>
        <w:pStyle w:val="11"/>
        <w:adjustRightInd w:val="0"/>
        <w:snapToGrid w:val="0"/>
        <w:spacing w:line="440" w:lineRule="exact"/>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六、一般公共预算财政拨款支出决算表..............27</w:t>
      </w:r>
    </w:p>
    <w:p>
      <w:pPr>
        <w:pStyle w:val="11"/>
        <w:adjustRightInd w:val="0"/>
        <w:snapToGrid w:val="0"/>
        <w:spacing w:line="440" w:lineRule="exact"/>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七、一般公共预算财政拨款支出决算明细表..........27</w:t>
      </w:r>
    </w:p>
    <w:p>
      <w:pPr>
        <w:pStyle w:val="11"/>
        <w:adjustRightInd w:val="0"/>
        <w:snapToGrid w:val="0"/>
        <w:spacing w:line="440" w:lineRule="exact"/>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八、一般公共预算财政拨款基本支出决算表..........27</w:t>
      </w:r>
    </w:p>
    <w:p>
      <w:pPr>
        <w:pStyle w:val="11"/>
        <w:adjustRightInd w:val="0"/>
        <w:snapToGrid w:val="0"/>
        <w:spacing w:line="440" w:lineRule="exact"/>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九、一般公共预算财政拨款项目支出决算表.........27</w:t>
      </w:r>
    </w:p>
    <w:p>
      <w:pPr>
        <w:pStyle w:val="11"/>
        <w:adjustRightInd w:val="0"/>
        <w:snapToGrid w:val="0"/>
        <w:spacing w:line="440" w:lineRule="exact"/>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十、一般公共预算财政拨款“三公”经费支出决算表....27</w:t>
      </w:r>
    </w:p>
    <w:p>
      <w:pPr>
        <w:pStyle w:val="11"/>
        <w:adjustRightInd w:val="0"/>
        <w:snapToGrid w:val="0"/>
        <w:spacing w:line="440" w:lineRule="exact"/>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十一、政府性基金预算财政拨款收入支出决算表......27</w:t>
      </w:r>
    </w:p>
    <w:p>
      <w:pPr>
        <w:pStyle w:val="11"/>
        <w:adjustRightInd w:val="0"/>
        <w:snapToGrid w:val="0"/>
        <w:spacing w:line="440" w:lineRule="exact"/>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十二、政府性基金预算财政拨款“三公”经费支出决算表.............................................27</w:t>
      </w:r>
    </w:p>
    <w:p>
      <w:pPr>
        <w:pStyle w:val="11"/>
        <w:adjustRightInd w:val="0"/>
        <w:snapToGrid w:val="0"/>
        <w:spacing w:line="440" w:lineRule="exact"/>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十三、国有资本经营预算支出决算表...............27</w:t>
      </w:r>
    </w:p>
    <w:p>
      <w:pPr>
        <w:widowControl/>
        <w:spacing w:line="440" w:lineRule="exact"/>
        <w:rPr>
          <w:rFonts w:ascii="仿宋" w:hAnsi="仿宋" w:eastAsia="仿宋"/>
          <w:bCs/>
          <w:color w:val="000000" w:themeColor="text1"/>
          <w:kern w:val="44"/>
          <w:sz w:val="24"/>
        </w:rPr>
      </w:pPr>
      <w:bookmarkStart w:id="12" w:name="_Toc15377196"/>
      <w:bookmarkStart w:id="13" w:name="_Toc15396599"/>
      <w:r>
        <w:rPr>
          <w:rFonts w:ascii="仿宋" w:hAnsi="仿宋" w:eastAsia="仿宋"/>
          <w:b/>
          <w:color w:val="000000" w:themeColor="text1"/>
          <w:sz w:val="24"/>
        </w:rPr>
        <w:br w:type="page"/>
      </w:r>
    </w:p>
    <w:p>
      <w:pPr>
        <w:pStyle w:val="2"/>
        <w:jc w:val="center"/>
        <w:rPr>
          <w:rFonts w:ascii="黑体" w:eastAsia="黑体"/>
          <w:color w:val="000000" w:themeColor="text1"/>
          <w:sz w:val="32"/>
          <w:szCs w:val="32"/>
        </w:rPr>
      </w:pPr>
      <w:r>
        <w:rPr>
          <w:rFonts w:hint="eastAsia" w:ascii="黑体" w:hAnsi="黑体" w:eastAsia="黑体"/>
          <w:b w:val="0"/>
          <w:color w:val="000000" w:themeColor="text1"/>
        </w:rPr>
        <w:t xml:space="preserve">第一部分 </w:t>
      </w:r>
      <w:r>
        <w:rPr>
          <w:rStyle w:val="24"/>
          <w:rFonts w:hint="eastAsia" w:ascii="黑体" w:hAnsi="黑体" w:eastAsia="黑体"/>
          <w:b w:val="0"/>
          <w:bCs w:val="0"/>
          <w:color w:val="000000" w:themeColor="text1"/>
        </w:rPr>
        <w:t>部门概况</w:t>
      </w:r>
      <w:bookmarkEnd w:id="12"/>
      <w:bookmarkEnd w:id="13"/>
    </w:p>
    <w:p>
      <w:pPr>
        <w:ind w:firstLine="640" w:firstLineChars="200"/>
        <w:rPr>
          <w:rFonts w:ascii="黑体" w:hAnsi="黑体" w:eastAsia="黑体"/>
          <w:sz w:val="32"/>
          <w:szCs w:val="32"/>
        </w:rPr>
      </w:pPr>
      <w:bookmarkStart w:id="14" w:name="_Toc15377197"/>
      <w:bookmarkStart w:id="15" w:name="_Toc15396600"/>
      <w:r>
        <w:rPr>
          <w:rFonts w:hint="eastAsia" w:ascii="黑体" w:hAnsi="黑体" w:eastAsia="黑体"/>
          <w:sz w:val="32"/>
          <w:szCs w:val="32"/>
        </w:rPr>
        <w:t>一、基本职能及主要工作</w:t>
      </w:r>
      <w:bookmarkEnd w:id="14"/>
      <w:bookmarkEnd w:id="15"/>
    </w:p>
    <w:p>
      <w:pPr>
        <w:ind w:firstLine="642" w:firstLineChars="200"/>
        <w:rPr>
          <w:rFonts w:ascii="仿宋_GB2312" w:eastAsia="仿宋_GB2312"/>
          <w:sz w:val="32"/>
          <w:szCs w:val="32"/>
        </w:rPr>
      </w:pPr>
      <w:bookmarkStart w:id="16" w:name="_Toc15377198"/>
      <w:bookmarkStart w:id="17" w:name="_Toc15378445"/>
      <w:r>
        <w:rPr>
          <w:rFonts w:hint="eastAsia" w:ascii="楷体" w:hAnsi="楷体" w:eastAsia="楷体" w:cs="楷体"/>
          <w:b/>
          <w:bCs/>
          <w:sz w:val="32"/>
          <w:szCs w:val="32"/>
        </w:rPr>
        <w:t>（一）主要职能。</w:t>
      </w:r>
      <w:r>
        <w:rPr>
          <w:rFonts w:hint="eastAsia" w:ascii="仿宋_GB2312" w:eastAsia="仿宋_GB2312"/>
          <w:sz w:val="32"/>
          <w:szCs w:val="32"/>
        </w:rPr>
        <w:t>我所主要职责是：贯彻执行国家及省、州有关道路运输的方针、政策和法规，执行上级道路运输管理部门制定的有关规章、规范、标准和细则。负责县道路客货运输、城市公交车、出租汽车、车辆维修和检测、运输服务行业的管理及监督、指导和协调。</w:t>
      </w:r>
    </w:p>
    <w:bookmarkEnd w:id="16"/>
    <w:bookmarkEnd w:id="17"/>
    <w:p>
      <w:pPr>
        <w:ind w:firstLine="642" w:firstLineChars="200"/>
        <w:rPr>
          <w:rFonts w:ascii="楷体" w:hAnsi="楷体" w:eastAsia="楷体" w:cs="楷体"/>
          <w:b/>
          <w:bCs/>
          <w:sz w:val="32"/>
          <w:szCs w:val="32"/>
        </w:rPr>
      </w:pPr>
      <w:bookmarkStart w:id="18" w:name="_Toc15377199"/>
      <w:bookmarkStart w:id="19" w:name="_Toc15378446"/>
      <w:r>
        <w:rPr>
          <w:rFonts w:hint="eastAsia" w:ascii="楷体" w:hAnsi="楷体" w:eastAsia="楷体" w:cs="楷体"/>
          <w:b/>
          <w:bCs/>
          <w:sz w:val="32"/>
          <w:szCs w:val="32"/>
        </w:rPr>
        <w:t>（二）2019年重点工作完成情况</w:t>
      </w:r>
      <w:bookmarkEnd w:id="18"/>
      <w:bookmarkEnd w:id="19"/>
    </w:p>
    <w:p>
      <w:pPr>
        <w:ind w:firstLine="640" w:firstLineChars="200"/>
        <w:rPr>
          <w:rFonts w:ascii="仿宋_GB2312" w:eastAsia="仿宋_GB2312"/>
          <w:sz w:val="32"/>
          <w:szCs w:val="32"/>
        </w:rPr>
      </w:pPr>
      <w:r>
        <w:rPr>
          <w:rFonts w:hint="eastAsia" w:ascii="仿宋_GB2312" w:eastAsia="仿宋_GB2312"/>
          <w:sz w:val="32"/>
          <w:szCs w:val="32"/>
        </w:rPr>
        <w:t>2019年,在县人民政府的正确领导下，认真开展了各项工作。一是全面完成春运工作任务；二是继续扎实做好“扫黑除恶”工作；三是认真做好安全生产领域“打非治违”专项行动工作；四是认真抓好坚决防范和遏制重特大道路交通事故百日行动工作；五是加强安全文化宣传；六是为建立良好的运输市场秩序，我所严格依法实施行政许可、行政监督，按规定实行罚缴分离，进一步完善客运市场的监管。</w:t>
      </w:r>
    </w:p>
    <w:p>
      <w:pPr>
        <w:ind w:firstLine="640" w:firstLineChars="200"/>
        <w:rPr>
          <w:rFonts w:ascii="黑体" w:hAnsi="黑体" w:eastAsia="黑体"/>
          <w:sz w:val="32"/>
          <w:szCs w:val="32"/>
        </w:rPr>
      </w:pPr>
      <w:bookmarkStart w:id="20" w:name="_Toc15396601"/>
      <w:bookmarkStart w:id="21" w:name="_Toc15377200"/>
      <w:r>
        <w:rPr>
          <w:rFonts w:hint="eastAsia" w:ascii="黑体" w:hAnsi="黑体" w:eastAsia="黑体"/>
          <w:sz w:val="32"/>
          <w:szCs w:val="32"/>
        </w:rPr>
        <w:t>二、机构设置</w:t>
      </w:r>
      <w:bookmarkEnd w:id="20"/>
      <w:bookmarkEnd w:id="21"/>
    </w:p>
    <w:p>
      <w:pPr>
        <w:ind w:firstLine="640" w:firstLineChars="200"/>
        <w:rPr>
          <w:rFonts w:ascii="仿宋_GB2312" w:eastAsia="仿宋_GB2312"/>
          <w:sz w:val="32"/>
          <w:szCs w:val="32"/>
        </w:rPr>
      </w:pPr>
      <w:r>
        <w:rPr>
          <w:rFonts w:hint="eastAsia" w:ascii="仿宋_GB2312" w:eastAsia="仿宋_GB2312"/>
          <w:sz w:val="32"/>
          <w:szCs w:val="32"/>
        </w:rPr>
        <w:t>茂县道路运输管理所下属二级单位0个，其中行政单位0个，参照公务员法管理的事业单位1个，其他事业单位0个。</w:t>
      </w:r>
    </w:p>
    <w:p>
      <w:pPr>
        <w:widowControl/>
        <w:jc w:val="left"/>
        <w:rPr>
          <w:rFonts w:ascii="仿宋_GB2312" w:hAnsi="仿宋" w:eastAsia="仿宋_GB2312"/>
          <w:color w:val="000000" w:themeColor="text1"/>
          <w:kern w:val="0"/>
          <w:sz w:val="32"/>
          <w:szCs w:val="32"/>
        </w:rPr>
      </w:pPr>
      <w:r>
        <w:rPr>
          <w:rFonts w:hint="eastAsia" w:ascii="仿宋_GB2312" w:hAnsi="仿宋" w:eastAsia="仿宋_GB2312"/>
          <w:color w:val="000000" w:themeColor="text1"/>
          <w:sz w:val="32"/>
          <w:szCs w:val="32"/>
        </w:rPr>
        <w:br w:type="page"/>
      </w:r>
    </w:p>
    <w:p>
      <w:pPr>
        <w:pStyle w:val="2"/>
        <w:ind w:right="440"/>
        <w:jc w:val="right"/>
        <w:rPr>
          <w:color w:val="000000" w:themeColor="text1"/>
        </w:rPr>
      </w:pPr>
      <w:bookmarkStart w:id="22" w:name="_Toc15377204"/>
      <w:bookmarkStart w:id="23" w:name="_Toc15396602"/>
      <w:r>
        <w:rPr>
          <w:rFonts w:hint="eastAsia" w:ascii="黑体" w:hAnsi="黑体" w:eastAsia="黑体"/>
          <w:b w:val="0"/>
          <w:color w:val="000000" w:themeColor="text1"/>
        </w:rPr>
        <w:t>第二部分</w:t>
      </w:r>
      <w:r>
        <w:rPr>
          <w:rFonts w:hint="eastAsia" w:ascii="黑体" w:hAnsi="黑体" w:eastAsia="黑体"/>
          <w:color w:val="000000" w:themeColor="text1"/>
        </w:rPr>
        <w:t xml:space="preserve"> </w:t>
      </w:r>
      <w:r>
        <w:rPr>
          <w:rStyle w:val="24"/>
          <w:rFonts w:hint="eastAsia" w:ascii="黑体" w:hAnsi="黑体" w:eastAsia="黑体"/>
          <w:b w:val="0"/>
          <w:bCs w:val="0"/>
          <w:color w:val="000000" w:themeColor="text1"/>
        </w:rPr>
        <w:t>2019年度部门决算情况说明</w:t>
      </w:r>
      <w:bookmarkEnd w:id="22"/>
      <w:bookmarkEnd w:id="23"/>
    </w:p>
    <w:p>
      <w:pPr>
        <w:pStyle w:val="23"/>
        <w:numPr>
          <w:ilvl w:val="0"/>
          <w:numId w:val="1"/>
        </w:numPr>
        <w:spacing w:line="600" w:lineRule="exact"/>
        <w:ind w:firstLineChars="0"/>
        <w:outlineLvl w:val="1"/>
        <w:rPr>
          <w:rStyle w:val="25"/>
          <w:rFonts w:ascii="黑体" w:hAnsi="黑体" w:eastAsia="黑体"/>
          <w:b w:val="0"/>
          <w:color w:val="000000" w:themeColor="text1"/>
        </w:rPr>
      </w:pPr>
      <w:bookmarkStart w:id="24" w:name="_Toc15396603"/>
      <w:bookmarkStart w:id="25" w:name="_Toc15377205"/>
      <w:r>
        <w:rPr>
          <w:rFonts w:hint="eastAsia" w:ascii="黑体" w:hAnsi="黑体" w:eastAsia="黑体"/>
          <w:color w:val="000000" w:themeColor="text1"/>
          <w:sz w:val="32"/>
          <w:szCs w:val="32"/>
        </w:rPr>
        <w:t>收</w:t>
      </w:r>
      <w:r>
        <w:rPr>
          <w:rStyle w:val="25"/>
          <w:rFonts w:hint="eastAsia" w:ascii="黑体" w:hAnsi="黑体" w:eastAsia="黑体"/>
          <w:b w:val="0"/>
          <w:color w:val="000000" w:themeColor="text1"/>
        </w:rPr>
        <w:t>入支出决算总体情况说明</w:t>
      </w:r>
      <w:bookmarkEnd w:id="24"/>
      <w:bookmarkEnd w:id="25"/>
    </w:p>
    <w:p>
      <w:pPr>
        <w:spacing w:line="600" w:lineRule="exact"/>
        <w:ind w:firstLine="640" w:firstLineChars="200"/>
        <w:rPr>
          <w:rFonts w:ascii="仿宋" w:hAnsi="仿宋" w:eastAsia="仿宋"/>
          <w:color w:val="000000" w:themeColor="text1"/>
          <w:sz w:val="32"/>
          <w:szCs w:val="32"/>
        </w:rPr>
      </w:pPr>
      <w:r>
        <w:rPr>
          <w:rFonts w:hint="eastAsia" w:ascii="仿宋" w:hAnsi="仿宋" w:eastAsia="仿宋"/>
          <w:color w:val="000000" w:themeColor="text1"/>
          <w:sz w:val="32"/>
          <w:szCs w:val="32"/>
        </w:rPr>
        <w:t>2019年度收入1011.09万元、支出总计994.77万元。与2018年相比，收入增加472.04万元、增长87.57%、支出总计增加455.71万元，增长84.54</w:t>
      </w:r>
      <w:r>
        <w:rPr>
          <w:rFonts w:ascii="仿宋" w:hAnsi="仿宋" w:eastAsia="仿宋"/>
          <w:color w:val="000000" w:themeColor="text1"/>
          <w:sz w:val="32"/>
          <w:szCs w:val="32"/>
        </w:rPr>
        <w:t>%</w:t>
      </w:r>
      <w:r>
        <w:rPr>
          <w:rFonts w:hint="eastAsia" w:ascii="仿宋" w:hAnsi="仿宋" w:eastAsia="仿宋"/>
          <w:color w:val="000000" w:themeColor="text1"/>
          <w:sz w:val="32"/>
          <w:szCs w:val="32"/>
        </w:rPr>
        <w:t>。主要变动原因是企业的补贴费用增加</w:t>
      </w: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420" w:firstLineChars="200"/>
        <w:rPr>
          <w:color w:val="000000" w:themeColor="text1"/>
        </w:rPr>
      </w:pPr>
      <w:r>
        <w:rPr>
          <w:color w:val="000000" w:themeColor="text1"/>
        </w:rPr>
        <w:drawing>
          <wp:anchor distT="0" distB="0" distL="114300" distR="114300" simplePos="0" relativeHeight="251659264" behindDoc="0" locked="0" layoutInCell="1" allowOverlap="1">
            <wp:simplePos x="0" y="0"/>
            <wp:positionH relativeFrom="column">
              <wp:posOffset>271145</wp:posOffset>
            </wp:positionH>
            <wp:positionV relativeFrom="paragraph">
              <wp:posOffset>-2453005</wp:posOffset>
            </wp:positionV>
            <wp:extent cx="4572000" cy="2743200"/>
            <wp:effectExtent l="19050" t="0" r="19050" b="0"/>
            <wp:wrapSquare wrapText="bothSides"/>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spacing w:line="600" w:lineRule="exact"/>
        <w:jc w:val="center"/>
        <w:rPr>
          <w:rFonts w:ascii="仿宋_GB2312" w:eastAsia="仿宋_GB2312"/>
          <w:color w:val="000000" w:themeColor="text1"/>
          <w:sz w:val="32"/>
          <w:szCs w:val="32"/>
        </w:rPr>
      </w:pPr>
      <w:r>
        <w:rPr>
          <w:rFonts w:hint="eastAsia" w:ascii="仿宋" w:hAnsi="仿宋" w:eastAsia="仿宋"/>
          <w:color w:val="000000" w:themeColor="text1"/>
          <w:sz w:val="32"/>
          <w:szCs w:val="32"/>
        </w:rPr>
        <w:t>（图</w:t>
      </w:r>
      <w:r>
        <w:rPr>
          <w:rFonts w:ascii="仿宋" w:hAnsi="仿宋" w:eastAsia="仿宋"/>
          <w:color w:val="000000" w:themeColor="text1"/>
          <w:sz w:val="32"/>
          <w:szCs w:val="32"/>
        </w:rPr>
        <w:t>1</w:t>
      </w:r>
      <w:r>
        <w:rPr>
          <w:rFonts w:hint="eastAsia" w:ascii="仿宋" w:hAnsi="仿宋" w:eastAsia="仿宋"/>
          <w:color w:val="000000" w:themeColor="text1"/>
          <w:sz w:val="32"/>
          <w:szCs w:val="32"/>
        </w:rPr>
        <w:t>：收、支决算总计变动情况图）（柱状图）</w:t>
      </w:r>
    </w:p>
    <w:p>
      <w:pPr>
        <w:pStyle w:val="23"/>
        <w:numPr>
          <w:ilvl w:val="0"/>
          <w:numId w:val="1"/>
        </w:numPr>
        <w:spacing w:line="600" w:lineRule="exact"/>
        <w:ind w:firstLineChars="0"/>
        <w:outlineLvl w:val="1"/>
        <w:rPr>
          <w:rStyle w:val="25"/>
          <w:rFonts w:ascii="黑体" w:hAnsi="黑体" w:eastAsia="黑体"/>
          <w:b w:val="0"/>
          <w:color w:val="000000" w:themeColor="text1"/>
        </w:rPr>
      </w:pPr>
      <w:bookmarkStart w:id="26" w:name="_Toc15396604"/>
      <w:bookmarkStart w:id="27" w:name="_Toc15377206"/>
      <w:r>
        <w:rPr>
          <w:rFonts w:hint="eastAsia" w:ascii="黑体" w:hAnsi="黑体" w:eastAsia="黑体"/>
          <w:color w:val="000000" w:themeColor="text1"/>
          <w:sz w:val="32"/>
          <w:szCs w:val="32"/>
        </w:rPr>
        <w:t>收</w:t>
      </w:r>
      <w:r>
        <w:rPr>
          <w:rStyle w:val="25"/>
          <w:rFonts w:hint="eastAsia" w:ascii="黑体" w:hAnsi="黑体" w:eastAsia="黑体"/>
          <w:b w:val="0"/>
          <w:color w:val="000000" w:themeColor="text1"/>
        </w:rPr>
        <w:t>入决算情况说明</w:t>
      </w:r>
      <w:bookmarkEnd w:id="26"/>
      <w:bookmarkEnd w:id="27"/>
    </w:p>
    <w:p>
      <w:pPr>
        <w:spacing w:line="600" w:lineRule="exact"/>
        <w:ind w:firstLine="640" w:firstLineChars="200"/>
        <w:outlineLvl w:val="1"/>
        <w:rPr>
          <w:rFonts w:ascii="仿宋" w:hAnsi="仿宋" w:eastAsia="仿宋"/>
          <w:color w:val="000000" w:themeColor="text1"/>
          <w:sz w:val="32"/>
          <w:szCs w:val="32"/>
        </w:rPr>
      </w:pPr>
      <w:r>
        <w:rPr>
          <w:rFonts w:ascii="仿宋" w:hAnsi="仿宋" w:eastAsia="仿宋"/>
          <w:color w:val="000000" w:themeColor="text1"/>
          <w:sz w:val="32"/>
          <w:szCs w:val="32"/>
        </w:rPr>
        <w:t>201</w:t>
      </w:r>
      <w:r>
        <w:rPr>
          <w:rFonts w:hint="eastAsia" w:ascii="仿宋" w:hAnsi="仿宋" w:eastAsia="仿宋"/>
          <w:color w:val="000000" w:themeColor="text1"/>
          <w:sz w:val="32"/>
          <w:szCs w:val="32"/>
        </w:rPr>
        <w:t>9年本年收入合计1011.09万元，其中：一般公共预算财政拨款收入1011.09万元，占100</w:t>
      </w:r>
      <w:r>
        <w:rPr>
          <w:rFonts w:ascii="仿宋" w:hAnsi="仿宋" w:eastAsia="仿宋"/>
          <w:color w:val="000000" w:themeColor="text1"/>
          <w:sz w:val="32"/>
          <w:szCs w:val="32"/>
        </w:rPr>
        <w:t>%</w:t>
      </w:r>
      <w:r>
        <w:rPr>
          <w:rFonts w:hint="eastAsia" w:ascii="仿宋" w:hAnsi="仿宋" w:eastAsia="仿宋"/>
          <w:color w:val="000000" w:themeColor="text1"/>
          <w:sz w:val="32"/>
          <w:szCs w:val="32"/>
        </w:rPr>
        <w:t>；政府性基金预算财政拨款收入0万元，占</w:t>
      </w:r>
      <w:r>
        <w:rPr>
          <w:rFonts w:ascii="仿宋" w:hAnsi="仿宋" w:eastAsia="仿宋"/>
          <w:color w:val="000000" w:themeColor="text1"/>
          <w:sz w:val="32"/>
          <w:szCs w:val="32"/>
        </w:rPr>
        <w:t>%</w:t>
      </w:r>
      <w:r>
        <w:rPr>
          <w:rFonts w:hint="eastAsia" w:ascii="仿宋" w:hAnsi="仿宋" w:eastAsia="仿宋"/>
          <w:color w:val="000000" w:themeColor="text1"/>
          <w:sz w:val="32"/>
          <w:szCs w:val="32"/>
        </w:rPr>
        <w:t>；上级补助收入0万元，占</w:t>
      </w:r>
      <w:r>
        <w:rPr>
          <w:rFonts w:ascii="仿宋" w:hAnsi="仿宋" w:eastAsia="仿宋"/>
          <w:color w:val="000000" w:themeColor="text1"/>
          <w:sz w:val="32"/>
          <w:szCs w:val="32"/>
        </w:rPr>
        <w:t>%</w:t>
      </w:r>
      <w:r>
        <w:rPr>
          <w:rFonts w:hint="eastAsia" w:ascii="仿宋" w:hAnsi="仿宋" w:eastAsia="仿宋"/>
          <w:color w:val="000000" w:themeColor="text1"/>
          <w:sz w:val="32"/>
          <w:szCs w:val="32"/>
        </w:rPr>
        <w:t>；事业收入0万元，占</w:t>
      </w:r>
      <w:r>
        <w:rPr>
          <w:rFonts w:ascii="仿宋" w:hAnsi="仿宋" w:eastAsia="仿宋"/>
          <w:color w:val="000000" w:themeColor="text1"/>
          <w:sz w:val="32"/>
          <w:szCs w:val="32"/>
        </w:rPr>
        <w:t>%</w:t>
      </w:r>
      <w:r>
        <w:rPr>
          <w:rFonts w:hint="eastAsia" w:ascii="仿宋" w:hAnsi="仿宋" w:eastAsia="仿宋"/>
          <w:color w:val="000000" w:themeColor="text1"/>
          <w:sz w:val="32"/>
          <w:szCs w:val="32"/>
        </w:rPr>
        <w:t>；经营收入0万元，占</w:t>
      </w:r>
      <w:r>
        <w:rPr>
          <w:rFonts w:ascii="仿宋" w:hAnsi="仿宋" w:eastAsia="仿宋"/>
          <w:color w:val="000000" w:themeColor="text1"/>
          <w:sz w:val="32"/>
          <w:szCs w:val="32"/>
        </w:rPr>
        <w:t>%</w:t>
      </w:r>
      <w:r>
        <w:rPr>
          <w:rFonts w:hint="eastAsia" w:ascii="仿宋" w:hAnsi="仿宋" w:eastAsia="仿宋"/>
          <w:color w:val="000000" w:themeColor="text1"/>
          <w:sz w:val="32"/>
          <w:szCs w:val="32"/>
        </w:rPr>
        <w:t>；附属单位上缴收入0万元，占</w:t>
      </w:r>
      <w:r>
        <w:rPr>
          <w:rFonts w:ascii="仿宋" w:hAnsi="仿宋" w:eastAsia="仿宋"/>
          <w:color w:val="000000" w:themeColor="text1"/>
          <w:sz w:val="32"/>
          <w:szCs w:val="32"/>
        </w:rPr>
        <w:t>%</w:t>
      </w:r>
      <w:r>
        <w:rPr>
          <w:rFonts w:hint="eastAsia" w:ascii="仿宋" w:hAnsi="仿宋" w:eastAsia="仿宋"/>
          <w:color w:val="000000" w:themeColor="text1"/>
          <w:sz w:val="32"/>
          <w:szCs w:val="32"/>
        </w:rPr>
        <w:t>；其他收入0万元，占</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p>
    <w:p>
      <w:pPr>
        <w:spacing w:line="600" w:lineRule="exact"/>
        <w:ind w:firstLine="420" w:firstLineChars="200"/>
        <w:outlineLvl w:val="1"/>
        <w:rPr>
          <w:rFonts w:ascii="仿宋" w:hAnsi="仿宋" w:eastAsia="仿宋"/>
          <w:color w:val="000000" w:themeColor="text1"/>
          <w:sz w:val="32"/>
          <w:szCs w:val="32"/>
        </w:rPr>
      </w:pPr>
      <w:r>
        <w:rPr>
          <w:color w:val="000000" w:themeColor="text1"/>
        </w:rPr>
        <w:drawing>
          <wp:anchor distT="0" distB="0" distL="114300" distR="114300" simplePos="0" relativeHeight="251660288" behindDoc="0" locked="0" layoutInCell="1" allowOverlap="1">
            <wp:simplePos x="0" y="0"/>
            <wp:positionH relativeFrom="column">
              <wp:posOffset>438150</wp:posOffset>
            </wp:positionH>
            <wp:positionV relativeFrom="paragraph">
              <wp:posOffset>276225</wp:posOffset>
            </wp:positionV>
            <wp:extent cx="4572000" cy="2743200"/>
            <wp:effectExtent l="19050" t="0" r="19050" b="0"/>
            <wp:wrapSquare wrapText="bothSides"/>
            <wp:docPr id="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jc w:val="center"/>
        <w:rPr>
          <w:rFonts w:ascii="仿宋_GB2312" w:eastAsia="仿宋_GB2312"/>
          <w:color w:val="000000" w:themeColor="text1"/>
          <w:sz w:val="32"/>
          <w:szCs w:val="32"/>
        </w:rPr>
      </w:pPr>
      <w:r>
        <w:rPr>
          <w:rFonts w:hint="eastAsia" w:ascii="仿宋" w:hAnsi="仿宋" w:eastAsia="仿宋"/>
          <w:color w:val="000000" w:themeColor="text1"/>
          <w:sz w:val="32"/>
          <w:szCs w:val="32"/>
        </w:rPr>
        <w:t>（图2：收入决算结构图）（饼状图）</w:t>
      </w:r>
    </w:p>
    <w:p>
      <w:pPr>
        <w:pStyle w:val="23"/>
        <w:numPr>
          <w:ilvl w:val="0"/>
          <w:numId w:val="1"/>
        </w:numPr>
        <w:spacing w:line="600" w:lineRule="exact"/>
        <w:ind w:firstLineChars="0"/>
        <w:outlineLvl w:val="1"/>
        <w:rPr>
          <w:rStyle w:val="25"/>
          <w:rFonts w:ascii="黑体" w:hAnsi="黑体" w:eastAsia="黑体"/>
          <w:b w:val="0"/>
          <w:color w:val="000000" w:themeColor="text1"/>
        </w:rPr>
      </w:pPr>
      <w:bookmarkStart w:id="28" w:name="_Toc15396605"/>
      <w:bookmarkStart w:id="29" w:name="_Toc15377207"/>
      <w:r>
        <w:rPr>
          <w:rFonts w:hint="eastAsia" w:ascii="黑体" w:hAnsi="黑体" w:eastAsia="黑体"/>
          <w:color w:val="000000" w:themeColor="text1"/>
          <w:sz w:val="32"/>
          <w:szCs w:val="32"/>
        </w:rPr>
        <w:t>支</w:t>
      </w:r>
      <w:r>
        <w:rPr>
          <w:rStyle w:val="25"/>
          <w:rFonts w:hint="eastAsia" w:ascii="黑体" w:hAnsi="黑体" w:eastAsia="黑体"/>
          <w:b w:val="0"/>
          <w:color w:val="000000" w:themeColor="text1"/>
        </w:rPr>
        <w:t>出决算情况说明</w:t>
      </w:r>
      <w:bookmarkEnd w:id="28"/>
      <w:bookmarkEnd w:id="29"/>
    </w:p>
    <w:p>
      <w:pPr>
        <w:spacing w:line="600" w:lineRule="exact"/>
        <w:ind w:firstLine="640" w:firstLineChars="200"/>
        <w:outlineLvl w:val="1"/>
        <w:rPr>
          <w:rFonts w:ascii="仿宋" w:hAnsi="仿宋" w:eastAsia="仿宋"/>
          <w:color w:val="000000" w:themeColor="text1"/>
          <w:sz w:val="32"/>
          <w:szCs w:val="32"/>
        </w:rPr>
      </w:pPr>
      <w:r>
        <w:rPr>
          <w:rFonts w:ascii="仿宋" w:hAnsi="仿宋" w:eastAsia="仿宋"/>
          <w:color w:val="000000" w:themeColor="text1"/>
          <w:sz w:val="32"/>
          <w:szCs w:val="32"/>
        </w:rPr>
        <w:t>201</w:t>
      </w:r>
      <w:r>
        <w:rPr>
          <w:rFonts w:hint="eastAsia" w:ascii="仿宋" w:hAnsi="仿宋" w:eastAsia="仿宋"/>
          <w:color w:val="000000" w:themeColor="text1"/>
          <w:sz w:val="32"/>
          <w:szCs w:val="32"/>
        </w:rPr>
        <w:t>9年本年支出合计994.77万元，其中：基本支出217.17万元，占21.83</w:t>
      </w:r>
      <w:r>
        <w:rPr>
          <w:rFonts w:ascii="仿宋" w:hAnsi="仿宋" w:eastAsia="仿宋"/>
          <w:color w:val="000000" w:themeColor="text1"/>
          <w:sz w:val="32"/>
          <w:szCs w:val="32"/>
        </w:rPr>
        <w:t>%</w:t>
      </w:r>
      <w:r>
        <w:rPr>
          <w:rFonts w:hint="eastAsia" w:ascii="仿宋" w:hAnsi="仿宋" w:eastAsia="仿宋"/>
          <w:color w:val="000000" w:themeColor="text1"/>
          <w:sz w:val="32"/>
          <w:szCs w:val="32"/>
        </w:rPr>
        <w:t>；项目支出777.6 万元，占78.17</w:t>
      </w:r>
      <w:r>
        <w:rPr>
          <w:rFonts w:ascii="仿宋" w:hAnsi="仿宋" w:eastAsia="仿宋"/>
          <w:color w:val="000000" w:themeColor="text1"/>
          <w:sz w:val="32"/>
          <w:szCs w:val="32"/>
        </w:rPr>
        <w:t>%</w:t>
      </w:r>
      <w:r>
        <w:rPr>
          <w:rFonts w:hint="eastAsia" w:ascii="仿宋" w:hAnsi="仿宋" w:eastAsia="仿宋"/>
          <w:color w:val="000000" w:themeColor="text1"/>
          <w:sz w:val="32"/>
          <w:szCs w:val="32"/>
        </w:rPr>
        <w:t>；上缴上级支出0万元，占</w:t>
      </w:r>
      <w:r>
        <w:rPr>
          <w:rFonts w:ascii="仿宋" w:hAnsi="仿宋" w:eastAsia="仿宋"/>
          <w:color w:val="000000" w:themeColor="text1"/>
          <w:sz w:val="32"/>
          <w:szCs w:val="32"/>
        </w:rPr>
        <w:t>%</w:t>
      </w:r>
      <w:r>
        <w:rPr>
          <w:rFonts w:hint="eastAsia" w:ascii="仿宋" w:hAnsi="仿宋" w:eastAsia="仿宋"/>
          <w:color w:val="000000" w:themeColor="text1"/>
          <w:sz w:val="32"/>
          <w:szCs w:val="32"/>
        </w:rPr>
        <w:t>；经营支出0万元，占</w:t>
      </w:r>
      <w:r>
        <w:rPr>
          <w:rFonts w:ascii="仿宋" w:hAnsi="仿宋" w:eastAsia="仿宋"/>
          <w:color w:val="000000" w:themeColor="text1"/>
          <w:sz w:val="32"/>
          <w:szCs w:val="32"/>
        </w:rPr>
        <w:t>%</w:t>
      </w:r>
      <w:r>
        <w:rPr>
          <w:rFonts w:hint="eastAsia" w:ascii="仿宋" w:hAnsi="仿宋" w:eastAsia="仿宋"/>
          <w:color w:val="000000" w:themeColor="text1"/>
          <w:sz w:val="32"/>
          <w:szCs w:val="32"/>
        </w:rPr>
        <w:t>；对附属单位补助支出0万元，占</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p>
    <w:p>
      <w:pPr>
        <w:spacing w:line="600" w:lineRule="exact"/>
        <w:ind w:firstLine="420" w:firstLineChars="200"/>
        <w:rPr>
          <w:rFonts w:ascii="仿宋" w:hAnsi="仿宋" w:eastAsia="仿宋"/>
          <w:color w:val="000000" w:themeColor="text1"/>
          <w:sz w:val="32"/>
          <w:szCs w:val="32"/>
        </w:rPr>
      </w:pPr>
      <w:r>
        <w:rPr>
          <w:color w:val="000000" w:themeColor="text1"/>
        </w:rPr>
        <w:drawing>
          <wp:anchor distT="0" distB="0" distL="114300" distR="114300" simplePos="0" relativeHeight="251661312" behindDoc="0" locked="0" layoutInCell="1" allowOverlap="1">
            <wp:simplePos x="0" y="0"/>
            <wp:positionH relativeFrom="column">
              <wp:posOffset>156845</wp:posOffset>
            </wp:positionH>
            <wp:positionV relativeFrom="paragraph">
              <wp:posOffset>213995</wp:posOffset>
            </wp:positionV>
            <wp:extent cx="4572000" cy="2743200"/>
            <wp:effectExtent l="19050" t="0" r="19050" b="0"/>
            <wp:wrapSquare wrapText="bothSides"/>
            <wp:docPr id="18" name="图表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rPr>
          <w:rFonts w:ascii="仿宋" w:hAnsi="仿宋" w:eastAsia="仿宋"/>
          <w:color w:val="000000" w:themeColor="text1"/>
          <w:sz w:val="32"/>
          <w:szCs w:val="32"/>
        </w:rPr>
      </w:pPr>
    </w:p>
    <w:p>
      <w:pPr>
        <w:spacing w:line="600" w:lineRule="exact"/>
        <w:jc w:val="center"/>
        <w:rPr>
          <w:rFonts w:ascii="仿宋_GB2312" w:eastAsia="仿宋_GB2312"/>
          <w:color w:val="000000" w:themeColor="text1"/>
          <w:sz w:val="32"/>
          <w:szCs w:val="32"/>
        </w:rPr>
      </w:pPr>
      <w:r>
        <w:rPr>
          <w:rFonts w:hint="eastAsia" w:ascii="仿宋" w:hAnsi="仿宋" w:eastAsia="仿宋"/>
          <w:color w:val="000000" w:themeColor="text1"/>
          <w:sz w:val="32"/>
          <w:szCs w:val="32"/>
        </w:rPr>
        <w:t>（图3：支出决算结构图）（饼状图）</w:t>
      </w:r>
    </w:p>
    <w:p>
      <w:pPr>
        <w:spacing w:line="600" w:lineRule="exact"/>
        <w:ind w:firstLine="640" w:firstLineChars="200"/>
        <w:outlineLvl w:val="1"/>
        <w:rPr>
          <w:rStyle w:val="25"/>
          <w:rFonts w:ascii="黑体" w:hAnsi="黑体" w:eastAsia="黑体"/>
          <w:b w:val="0"/>
          <w:color w:val="000000" w:themeColor="text1"/>
        </w:rPr>
      </w:pPr>
      <w:bookmarkStart w:id="30" w:name="_Toc15396606"/>
      <w:bookmarkStart w:id="31" w:name="_Toc15377208"/>
      <w:r>
        <w:rPr>
          <w:rFonts w:hint="eastAsia" w:ascii="黑体" w:hAnsi="黑体" w:eastAsia="黑体"/>
          <w:color w:val="000000" w:themeColor="text1"/>
          <w:sz w:val="32"/>
          <w:szCs w:val="32"/>
        </w:rPr>
        <w:t>四、财</w:t>
      </w:r>
      <w:r>
        <w:rPr>
          <w:rStyle w:val="25"/>
          <w:rFonts w:hint="eastAsia" w:ascii="黑体" w:hAnsi="黑体" w:eastAsia="黑体"/>
          <w:b w:val="0"/>
          <w:color w:val="000000" w:themeColor="text1"/>
        </w:rPr>
        <w:t>政拨款收入支出决算总体情况说明</w:t>
      </w:r>
      <w:bookmarkEnd w:id="30"/>
      <w:bookmarkEnd w:id="31"/>
    </w:p>
    <w:p>
      <w:pPr>
        <w:spacing w:line="600" w:lineRule="exact"/>
        <w:ind w:firstLine="640"/>
        <w:rPr>
          <w:rFonts w:ascii="仿宋" w:hAnsi="仿宋" w:eastAsia="仿宋"/>
          <w:color w:val="000000" w:themeColor="text1"/>
          <w:sz w:val="32"/>
          <w:szCs w:val="32"/>
        </w:rPr>
      </w:pPr>
      <w:r>
        <w:rPr>
          <w:rFonts w:ascii="仿宋" w:hAnsi="仿宋" w:eastAsia="仿宋"/>
          <w:color w:val="000000" w:themeColor="text1"/>
          <w:sz w:val="32"/>
          <w:szCs w:val="32"/>
        </w:rPr>
        <w:t>201</w:t>
      </w:r>
      <w:r>
        <w:rPr>
          <w:rFonts w:hint="eastAsia" w:ascii="仿宋" w:hAnsi="仿宋" w:eastAsia="仿宋"/>
          <w:color w:val="000000" w:themeColor="text1"/>
          <w:sz w:val="32"/>
          <w:szCs w:val="32"/>
        </w:rPr>
        <w:t>9年财政拨款收入1011.09万元、支出总计994.77万元。与</w:t>
      </w:r>
      <w:r>
        <w:rPr>
          <w:rFonts w:ascii="仿宋" w:hAnsi="仿宋" w:eastAsia="仿宋"/>
          <w:color w:val="000000" w:themeColor="text1"/>
          <w:sz w:val="32"/>
          <w:szCs w:val="32"/>
        </w:rPr>
        <w:t>201</w:t>
      </w:r>
      <w:r>
        <w:rPr>
          <w:rFonts w:hint="eastAsia" w:ascii="仿宋" w:hAnsi="仿宋" w:eastAsia="仿宋"/>
          <w:color w:val="000000" w:themeColor="text1"/>
          <w:sz w:val="32"/>
          <w:szCs w:val="32"/>
        </w:rPr>
        <w:t>8年相比，财政拨款收、支总计各增加472.04万元、455.71万元，增长87.57</w:t>
      </w:r>
      <w:r>
        <w:rPr>
          <w:rFonts w:ascii="仿宋" w:hAnsi="仿宋" w:eastAsia="仿宋"/>
          <w:color w:val="000000" w:themeColor="text1"/>
          <w:sz w:val="32"/>
          <w:szCs w:val="32"/>
        </w:rPr>
        <w:t>%</w:t>
      </w:r>
      <w:r>
        <w:rPr>
          <w:rFonts w:hint="eastAsia" w:ascii="仿宋" w:hAnsi="仿宋" w:eastAsia="仿宋"/>
          <w:color w:val="000000" w:themeColor="text1"/>
          <w:sz w:val="32"/>
          <w:szCs w:val="32"/>
        </w:rPr>
        <w:t>、84.54%。主要变动原因是企业补贴费用增加。</w:t>
      </w:r>
    </w:p>
    <w:p>
      <w:pPr>
        <w:spacing w:line="600" w:lineRule="exact"/>
        <w:rPr>
          <w:rFonts w:ascii="仿宋" w:hAnsi="仿宋" w:eastAsia="仿宋"/>
          <w:color w:val="000000" w:themeColor="text1"/>
          <w:sz w:val="32"/>
          <w:szCs w:val="32"/>
        </w:rPr>
      </w:pPr>
      <w:r>
        <w:rPr>
          <w:color w:val="000000" w:themeColor="text1"/>
        </w:rPr>
        <w:drawing>
          <wp:anchor distT="0" distB="0" distL="114300" distR="114300" simplePos="0" relativeHeight="251662336" behindDoc="0" locked="0" layoutInCell="1" allowOverlap="1">
            <wp:simplePos x="0" y="0"/>
            <wp:positionH relativeFrom="column">
              <wp:posOffset>156845</wp:posOffset>
            </wp:positionH>
            <wp:positionV relativeFrom="paragraph">
              <wp:posOffset>156845</wp:posOffset>
            </wp:positionV>
            <wp:extent cx="4572000" cy="2743200"/>
            <wp:effectExtent l="19050" t="0" r="19050" b="0"/>
            <wp:wrapSquare wrapText="bothSides"/>
            <wp:docPr id="20" name="图表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b/>
          <w:color w:val="000000" w:themeColor="text1"/>
          <w:sz w:val="32"/>
          <w:szCs w:val="32"/>
        </w:rPr>
      </w:pPr>
      <w:r>
        <w:rPr>
          <w:rFonts w:hint="eastAsia" w:ascii="仿宋" w:hAnsi="仿宋" w:eastAsia="仿宋"/>
          <w:color w:val="000000" w:themeColor="text1"/>
          <w:sz w:val="32"/>
          <w:szCs w:val="32"/>
        </w:rPr>
        <w:t>（图4：财政拨款收、支决算总计变动情况）（柱状图）</w:t>
      </w:r>
    </w:p>
    <w:p>
      <w:pPr>
        <w:spacing w:line="600" w:lineRule="exact"/>
        <w:ind w:firstLine="640" w:firstLineChars="200"/>
        <w:outlineLvl w:val="1"/>
        <w:rPr>
          <w:rStyle w:val="25"/>
          <w:rFonts w:ascii="黑体" w:hAnsi="黑体" w:eastAsia="黑体"/>
          <w:b w:val="0"/>
          <w:color w:val="000000" w:themeColor="text1"/>
        </w:rPr>
      </w:pPr>
      <w:bookmarkStart w:id="32" w:name="_Toc15377209"/>
      <w:bookmarkStart w:id="33" w:name="_Toc15396607"/>
      <w:r>
        <w:rPr>
          <w:rFonts w:hint="eastAsia" w:ascii="黑体" w:hAnsi="黑体" w:eastAsia="黑体"/>
          <w:color w:val="000000" w:themeColor="text1"/>
          <w:sz w:val="32"/>
          <w:szCs w:val="32"/>
        </w:rPr>
        <w:t>五、</w:t>
      </w:r>
      <w:r>
        <w:rPr>
          <w:rFonts w:hint="eastAsia" w:ascii="黑体" w:hAnsi="黑体" w:eastAsia="黑体"/>
          <w:b/>
          <w:color w:val="000000" w:themeColor="text1"/>
          <w:sz w:val="32"/>
          <w:szCs w:val="32"/>
        </w:rPr>
        <w:t>一</w:t>
      </w:r>
      <w:r>
        <w:rPr>
          <w:rStyle w:val="25"/>
          <w:rFonts w:hint="eastAsia" w:ascii="黑体" w:hAnsi="黑体" w:eastAsia="黑体"/>
          <w:b w:val="0"/>
          <w:color w:val="000000" w:themeColor="text1"/>
        </w:rPr>
        <w:t>般公共预算财政拨款支出决算情况说明</w:t>
      </w:r>
      <w:bookmarkEnd w:id="32"/>
      <w:bookmarkEnd w:id="33"/>
    </w:p>
    <w:p>
      <w:pPr>
        <w:spacing w:line="600" w:lineRule="exact"/>
        <w:ind w:firstLine="642" w:firstLineChars="200"/>
        <w:outlineLvl w:val="2"/>
        <w:rPr>
          <w:rFonts w:ascii="仿宋" w:hAnsi="仿宋" w:eastAsia="仿宋"/>
          <w:b/>
          <w:color w:val="000000" w:themeColor="text1"/>
          <w:sz w:val="32"/>
          <w:szCs w:val="32"/>
        </w:rPr>
      </w:pPr>
      <w:bookmarkStart w:id="34" w:name="_Toc15377210"/>
      <w:r>
        <w:rPr>
          <w:rFonts w:hint="eastAsia" w:ascii="楷体" w:hAnsi="楷体" w:eastAsia="楷体" w:cs="楷体"/>
          <w:b/>
          <w:bCs/>
          <w:sz w:val="32"/>
          <w:szCs w:val="32"/>
        </w:rPr>
        <w:t>（一）一般公共预算财政拨款支出决算总体情况</w:t>
      </w:r>
      <w:bookmarkEnd w:id="34"/>
    </w:p>
    <w:p>
      <w:pPr>
        <w:spacing w:line="600" w:lineRule="exact"/>
        <w:ind w:firstLine="640"/>
        <w:rPr>
          <w:rFonts w:ascii="仿宋" w:hAnsi="仿宋" w:eastAsia="仿宋"/>
          <w:color w:val="000000" w:themeColor="text1"/>
          <w:sz w:val="32"/>
          <w:szCs w:val="32"/>
        </w:rPr>
      </w:pPr>
      <w:r>
        <w:rPr>
          <w:rFonts w:ascii="仿宋" w:hAnsi="仿宋" w:eastAsia="仿宋"/>
          <w:color w:val="000000" w:themeColor="text1"/>
          <w:sz w:val="32"/>
          <w:szCs w:val="32"/>
        </w:rPr>
        <w:t>201</w:t>
      </w:r>
      <w:r>
        <w:rPr>
          <w:rFonts w:hint="eastAsia" w:ascii="仿宋" w:hAnsi="仿宋" w:eastAsia="仿宋"/>
          <w:color w:val="000000" w:themeColor="text1"/>
          <w:sz w:val="32"/>
          <w:szCs w:val="32"/>
        </w:rPr>
        <w:t>9年一般公共预算财政拨款支出994.77万元，占本年支出合计的100</w:t>
      </w:r>
      <w:r>
        <w:rPr>
          <w:rFonts w:ascii="仿宋" w:hAnsi="仿宋" w:eastAsia="仿宋"/>
          <w:color w:val="000000" w:themeColor="text1"/>
          <w:sz w:val="32"/>
          <w:szCs w:val="32"/>
        </w:rPr>
        <w:t>%</w:t>
      </w:r>
      <w:r>
        <w:rPr>
          <w:rFonts w:hint="eastAsia" w:ascii="仿宋" w:hAnsi="仿宋" w:eastAsia="仿宋"/>
          <w:color w:val="000000" w:themeColor="text1"/>
          <w:sz w:val="32"/>
          <w:szCs w:val="32"/>
        </w:rPr>
        <w:t>。与</w:t>
      </w:r>
      <w:r>
        <w:rPr>
          <w:rFonts w:ascii="仿宋" w:hAnsi="仿宋" w:eastAsia="仿宋"/>
          <w:color w:val="000000" w:themeColor="text1"/>
          <w:sz w:val="32"/>
          <w:szCs w:val="32"/>
        </w:rPr>
        <w:t>201</w:t>
      </w:r>
      <w:r>
        <w:rPr>
          <w:rFonts w:hint="eastAsia" w:ascii="仿宋" w:hAnsi="仿宋" w:eastAsia="仿宋"/>
          <w:color w:val="000000" w:themeColor="text1"/>
          <w:sz w:val="32"/>
          <w:szCs w:val="32"/>
        </w:rPr>
        <w:t>8年相比，一般公共预算财政拨款增加455.71万元，增长87.57</w:t>
      </w:r>
      <w:r>
        <w:rPr>
          <w:rFonts w:ascii="仿宋" w:hAnsi="仿宋" w:eastAsia="仿宋"/>
          <w:color w:val="000000" w:themeColor="text1"/>
          <w:sz w:val="32"/>
          <w:szCs w:val="32"/>
        </w:rPr>
        <w:t>%</w:t>
      </w:r>
      <w:r>
        <w:rPr>
          <w:rFonts w:hint="eastAsia" w:ascii="仿宋" w:hAnsi="仿宋" w:eastAsia="仿宋"/>
          <w:color w:val="000000" w:themeColor="text1"/>
          <w:sz w:val="32"/>
          <w:szCs w:val="32"/>
        </w:rPr>
        <w:t>。主要变动原因是企业补贴费用增加。</w:t>
      </w:r>
    </w:p>
    <w:p>
      <w:pPr>
        <w:spacing w:line="600" w:lineRule="exact"/>
        <w:ind w:firstLine="640" w:firstLineChars="200"/>
        <w:rPr>
          <w:rFonts w:ascii="仿宋" w:hAnsi="仿宋" w:eastAsia="仿宋"/>
          <w:color w:val="000000" w:themeColor="text1"/>
          <w:sz w:val="32"/>
          <w:szCs w:val="32"/>
        </w:rPr>
      </w:pPr>
    </w:p>
    <w:p>
      <w:pPr>
        <w:spacing w:line="600" w:lineRule="exact"/>
        <w:ind w:firstLine="420" w:firstLineChars="200"/>
        <w:rPr>
          <w:rFonts w:ascii="仿宋" w:hAnsi="仿宋" w:eastAsia="仿宋"/>
          <w:color w:val="000000" w:themeColor="text1"/>
          <w:sz w:val="32"/>
          <w:szCs w:val="32"/>
        </w:rPr>
      </w:pPr>
      <w:r>
        <w:rPr>
          <w:color w:val="000000" w:themeColor="text1"/>
        </w:rPr>
        <w:drawing>
          <wp:anchor distT="0" distB="0" distL="114300" distR="114300" simplePos="0" relativeHeight="251663360" behindDoc="0" locked="0" layoutInCell="1" allowOverlap="1">
            <wp:simplePos x="0" y="0"/>
            <wp:positionH relativeFrom="column">
              <wp:posOffset>271145</wp:posOffset>
            </wp:positionH>
            <wp:positionV relativeFrom="paragraph">
              <wp:posOffset>-2453005</wp:posOffset>
            </wp:positionV>
            <wp:extent cx="4572000" cy="2743200"/>
            <wp:effectExtent l="4445" t="4445" r="14605" b="14605"/>
            <wp:wrapSquare wrapText="bothSides"/>
            <wp:docPr id="22" name="图表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rPr>
          <w:rFonts w:ascii="仿宋" w:hAnsi="仿宋" w:eastAsia="仿宋"/>
          <w:color w:val="000000" w:themeColor="text1"/>
          <w:sz w:val="32"/>
          <w:szCs w:val="32"/>
        </w:rPr>
      </w:pPr>
      <w:r>
        <w:rPr>
          <w:rFonts w:hint="eastAsia" w:ascii="仿宋" w:hAnsi="仿宋" w:eastAsia="仿宋"/>
          <w:color w:val="000000" w:themeColor="text1"/>
          <w:sz w:val="32"/>
          <w:szCs w:val="32"/>
        </w:rPr>
        <w:t>（图5：一般公共预算财政拨款支出决算变动情况）（柱状图）</w:t>
      </w:r>
    </w:p>
    <w:p>
      <w:pPr>
        <w:spacing w:line="600" w:lineRule="exact"/>
        <w:ind w:firstLine="642" w:firstLineChars="200"/>
        <w:outlineLvl w:val="2"/>
        <w:rPr>
          <w:rFonts w:ascii="楷体" w:hAnsi="楷体" w:eastAsia="楷体" w:cs="楷体"/>
          <w:b/>
          <w:bCs/>
          <w:sz w:val="32"/>
          <w:szCs w:val="32"/>
        </w:rPr>
      </w:pPr>
      <w:bookmarkStart w:id="35" w:name="_Toc15377211"/>
      <w:r>
        <w:rPr>
          <w:rFonts w:hint="eastAsia" w:ascii="楷体" w:hAnsi="楷体" w:eastAsia="楷体" w:cs="楷体"/>
          <w:b/>
          <w:bCs/>
          <w:sz w:val="32"/>
          <w:szCs w:val="32"/>
        </w:rPr>
        <w:t>（二）一般公共预算财政拨款支出决算结构情况</w:t>
      </w:r>
      <w:bookmarkEnd w:id="35"/>
    </w:p>
    <w:p>
      <w:pPr>
        <w:spacing w:line="600" w:lineRule="exact"/>
        <w:ind w:firstLine="640"/>
        <w:rPr>
          <w:rFonts w:ascii="仿宋" w:hAnsi="仿宋" w:eastAsia="仿宋"/>
          <w:b/>
          <w:color w:val="000000" w:themeColor="text1"/>
          <w:sz w:val="32"/>
          <w:szCs w:val="32"/>
        </w:rPr>
      </w:pPr>
      <w:r>
        <w:rPr>
          <w:rFonts w:ascii="仿宋" w:hAnsi="仿宋" w:eastAsia="仿宋"/>
          <w:color w:val="000000" w:themeColor="text1"/>
          <w:sz w:val="32"/>
          <w:szCs w:val="32"/>
        </w:rPr>
        <w:t>201</w:t>
      </w:r>
      <w:r>
        <w:rPr>
          <w:rFonts w:hint="eastAsia" w:ascii="仿宋" w:hAnsi="仿宋" w:eastAsia="仿宋"/>
          <w:color w:val="000000" w:themeColor="text1"/>
          <w:sz w:val="32"/>
          <w:szCs w:val="32"/>
        </w:rPr>
        <w:t>9年一般公共预算财政拨款支出994.77万元，主要用于以下方面</w:t>
      </w:r>
      <w:r>
        <w:rPr>
          <w:rFonts w:ascii="仿宋" w:hAnsi="仿宋" w:eastAsia="仿宋"/>
          <w:color w:val="000000" w:themeColor="text1"/>
          <w:sz w:val="32"/>
          <w:szCs w:val="32"/>
        </w:rPr>
        <w:t>:</w:t>
      </w:r>
      <w:r>
        <w:rPr>
          <w:rFonts w:hint="eastAsia" w:ascii="仿宋" w:hAnsi="仿宋" w:eastAsia="仿宋"/>
          <w:b/>
          <w:color w:val="000000" w:themeColor="text1"/>
          <w:sz w:val="32"/>
          <w:szCs w:val="32"/>
        </w:rPr>
        <w:t>交通运输（类）</w:t>
      </w:r>
      <w:r>
        <w:rPr>
          <w:rFonts w:hint="eastAsia" w:ascii="仿宋" w:hAnsi="仿宋" w:eastAsia="仿宋"/>
          <w:color w:val="000000" w:themeColor="text1"/>
          <w:sz w:val="32"/>
          <w:szCs w:val="32"/>
        </w:rPr>
        <w:t>支出943.88万元，占94.89</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社会保障和就业（类）</w:t>
      </w:r>
      <w:r>
        <w:rPr>
          <w:rFonts w:hint="eastAsia" w:ascii="仿宋" w:hAnsi="仿宋" w:eastAsia="仿宋"/>
          <w:color w:val="000000" w:themeColor="text1"/>
          <w:sz w:val="32"/>
          <w:szCs w:val="32"/>
        </w:rPr>
        <w:t>支出24.22万元，占2.43</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bCs/>
          <w:color w:val="000000" w:themeColor="text1"/>
          <w:sz w:val="32"/>
          <w:szCs w:val="32"/>
        </w:rPr>
        <w:t>卫生健康支出</w:t>
      </w:r>
      <w:r>
        <w:rPr>
          <w:rFonts w:hint="eastAsia" w:ascii="仿宋" w:hAnsi="仿宋" w:eastAsia="仿宋"/>
          <w:color w:val="000000" w:themeColor="text1"/>
          <w:sz w:val="32"/>
          <w:szCs w:val="32"/>
        </w:rPr>
        <w:t>11.48万元，占1.15</w:t>
      </w:r>
      <w:r>
        <w:rPr>
          <w:rFonts w:ascii="仿宋" w:hAnsi="仿宋" w:eastAsia="仿宋"/>
          <w:color w:val="000000" w:themeColor="text1"/>
          <w:sz w:val="32"/>
          <w:szCs w:val="32"/>
        </w:rPr>
        <w:t>%</w:t>
      </w:r>
      <w:r>
        <w:rPr>
          <w:rFonts w:hint="eastAsia" w:ascii="仿宋" w:hAnsi="仿宋" w:eastAsia="仿宋"/>
          <w:color w:val="000000" w:themeColor="text1"/>
          <w:sz w:val="32"/>
          <w:szCs w:val="32"/>
        </w:rPr>
        <w:t>；住房保障支出15.18万元，占1.53</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p>
    <w:p>
      <w:pPr>
        <w:spacing w:line="600" w:lineRule="exact"/>
        <w:ind w:firstLine="640"/>
        <w:rPr>
          <w:rFonts w:ascii="仿宋" w:hAnsi="仿宋" w:eastAsia="仿宋"/>
          <w:color w:val="000000" w:themeColor="text1"/>
          <w:sz w:val="32"/>
          <w:szCs w:val="32"/>
        </w:rPr>
      </w:pPr>
      <w:r>
        <w:rPr>
          <w:color w:val="000000" w:themeColor="text1"/>
        </w:rPr>
        <w:drawing>
          <wp:anchor distT="0" distB="0" distL="114300" distR="114300" simplePos="0" relativeHeight="251664384" behindDoc="0" locked="0" layoutInCell="1" allowOverlap="1">
            <wp:simplePos x="0" y="0"/>
            <wp:positionH relativeFrom="column">
              <wp:posOffset>410845</wp:posOffset>
            </wp:positionH>
            <wp:positionV relativeFrom="paragraph">
              <wp:posOffset>42545</wp:posOffset>
            </wp:positionV>
            <wp:extent cx="4572000" cy="2057400"/>
            <wp:effectExtent l="4445" t="4445" r="14605" b="14605"/>
            <wp:wrapSquare wrapText="bothSides"/>
            <wp:docPr id="24" name="图表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rPr>
          <w:rFonts w:ascii="仿宋" w:hAnsi="仿宋" w:eastAsia="仿宋"/>
          <w:color w:val="000000" w:themeColor="text1"/>
          <w:sz w:val="32"/>
          <w:szCs w:val="32"/>
        </w:rPr>
      </w:pPr>
    </w:p>
    <w:p>
      <w:pPr>
        <w:spacing w:line="600" w:lineRule="exact"/>
        <w:ind w:firstLine="640" w:firstLineChars="200"/>
        <w:jc w:val="center"/>
        <w:rPr>
          <w:rFonts w:ascii="仿宋" w:hAnsi="仿宋" w:eastAsia="仿宋"/>
          <w:color w:val="000000" w:themeColor="text1"/>
          <w:sz w:val="32"/>
          <w:szCs w:val="32"/>
        </w:rPr>
      </w:pPr>
      <w:r>
        <w:rPr>
          <w:rFonts w:hint="eastAsia" w:ascii="仿宋" w:hAnsi="仿宋" w:eastAsia="仿宋"/>
          <w:color w:val="000000" w:themeColor="text1"/>
          <w:sz w:val="32"/>
          <w:szCs w:val="32"/>
        </w:rPr>
        <w:t>（图6：一般公共预算财政拨款支出决算结构）（饼状图）</w:t>
      </w:r>
    </w:p>
    <w:p>
      <w:pPr>
        <w:spacing w:line="600" w:lineRule="exact"/>
        <w:ind w:firstLine="642" w:firstLineChars="200"/>
        <w:outlineLvl w:val="2"/>
        <w:rPr>
          <w:rFonts w:ascii="楷体" w:hAnsi="楷体" w:eastAsia="楷体" w:cs="楷体"/>
          <w:b/>
          <w:bCs/>
          <w:sz w:val="32"/>
          <w:szCs w:val="32"/>
        </w:rPr>
      </w:pPr>
      <w:bookmarkStart w:id="36" w:name="_Toc15377212"/>
      <w:r>
        <w:rPr>
          <w:rFonts w:hint="eastAsia" w:ascii="楷体" w:hAnsi="楷体" w:eastAsia="楷体" w:cs="楷体"/>
          <w:b/>
          <w:bCs/>
          <w:sz w:val="32"/>
          <w:szCs w:val="32"/>
        </w:rPr>
        <w:t>（三）一般公共预算财政拨款支出决算具体情况</w:t>
      </w:r>
      <w:bookmarkEnd w:id="36"/>
    </w:p>
    <w:p>
      <w:pPr>
        <w:spacing w:line="600" w:lineRule="exact"/>
        <w:ind w:firstLine="642" w:firstLineChars="200"/>
        <w:outlineLvl w:val="2"/>
        <w:rPr>
          <w:rFonts w:ascii="仿宋" w:hAnsi="仿宋" w:eastAsia="仿宋"/>
          <w:color w:val="000000" w:themeColor="text1"/>
          <w:sz w:val="32"/>
          <w:szCs w:val="32"/>
        </w:rPr>
      </w:pPr>
      <w:bookmarkStart w:id="37" w:name="_Toc15378460"/>
      <w:bookmarkStart w:id="38" w:name="_Toc15377213"/>
      <w:bookmarkStart w:id="39" w:name="_Toc15377444"/>
      <w:r>
        <w:rPr>
          <w:rFonts w:hint="eastAsia" w:ascii="仿宋" w:hAnsi="仿宋" w:eastAsia="仿宋"/>
          <w:b/>
          <w:color w:val="000000" w:themeColor="text1"/>
          <w:sz w:val="32"/>
          <w:szCs w:val="32"/>
        </w:rPr>
        <w:t>2019年般公共预算支出决算数为994.77</w:t>
      </w:r>
      <w:r>
        <w:rPr>
          <w:rFonts w:hint="eastAsia" w:ascii="仿宋" w:hAnsi="仿宋" w:eastAsia="仿宋"/>
          <w:color w:val="000000" w:themeColor="text1"/>
          <w:sz w:val="32"/>
          <w:szCs w:val="32"/>
        </w:rPr>
        <w:t>，</w:t>
      </w:r>
      <w:r>
        <w:rPr>
          <w:rStyle w:val="14"/>
          <w:rFonts w:hint="eastAsia" w:ascii="仿宋" w:hAnsi="仿宋" w:eastAsia="仿宋"/>
          <w:bCs/>
          <w:color w:val="000000" w:themeColor="text1"/>
          <w:sz w:val="32"/>
          <w:szCs w:val="32"/>
        </w:rPr>
        <w:t>完成预算100</w:t>
      </w:r>
      <w:r>
        <w:rPr>
          <w:rStyle w:val="14"/>
          <w:rFonts w:ascii="仿宋" w:hAnsi="仿宋" w:eastAsia="仿宋"/>
          <w:bCs/>
          <w:color w:val="000000" w:themeColor="text1"/>
          <w:sz w:val="32"/>
          <w:szCs w:val="32"/>
        </w:rPr>
        <w:t>%</w:t>
      </w:r>
      <w:r>
        <w:rPr>
          <w:rStyle w:val="14"/>
          <w:rFonts w:hint="eastAsia" w:ascii="仿宋" w:hAnsi="仿宋" w:eastAsia="仿宋"/>
          <w:bCs/>
          <w:color w:val="000000" w:themeColor="text1"/>
          <w:sz w:val="32"/>
          <w:szCs w:val="32"/>
        </w:rPr>
        <w:t>。其中：</w:t>
      </w:r>
      <w:bookmarkEnd w:id="37"/>
      <w:bookmarkEnd w:id="38"/>
      <w:bookmarkEnd w:id="39"/>
    </w:p>
    <w:p>
      <w:pPr>
        <w:spacing w:line="600" w:lineRule="exact"/>
        <w:ind w:firstLine="642" w:firstLineChars="200"/>
        <w:rPr>
          <w:rFonts w:ascii="仿宋" w:hAnsi="仿宋" w:eastAsia="仿宋"/>
          <w:b/>
          <w:color w:val="000000" w:themeColor="text1"/>
          <w:sz w:val="32"/>
          <w:szCs w:val="32"/>
        </w:rPr>
      </w:pPr>
      <w:r>
        <w:rPr>
          <w:rStyle w:val="14"/>
          <w:rFonts w:ascii="仿宋" w:hAnsi="仿宋" w:eastAsia="仿宋"/>
          <w:bCs/>
          <w:color w:val="000000" w:themeColor="text1"/>
          <w:sz w:val="32"/>
          <w:szCs w:val="32"/>
        </w:rPr>
        <w:t>1.</w:t>
      </w:r>
      <w:r>
        <w:rPr>
          <w:rStyle w:val="14"/>
          <w:rFonts w:hint="eastAsia" w:ascii="仿宋" w:hAnsi="仿宋" w:eastAsia="仿宋"/>
          <w:bCs/>
          <w:color w:val="000000" w:themeColor="text1"/>
          <w:sz w:val="32"/>
          <w:szCs w:val="32"/>
        </w:rPr>
        <w:t>交通运输（类）</w:t>
      </w:r>
      <w:r>
        <w:rPr>
          <w:rStyle w:val="14"/>
          <w:rFonts w:hint="eastAsia" w:ascii="仿宋_GB2312" w:hAnsi="仿宋_GB2312" w:eastAsia="仿宋_GB2312" w:cs="仿宋_GB2312"/>
          <w:bCs/>
          <w:color w:val="000000" w:themeColor="text1"/>
          <w:sz w:val="32"/>
          <w:szCs w:val="32"/>
        </w:rPr>
        <w:t>公路水路运输</w:t>
      </w:r>
      <w:r>
        <w:rPr>
          <w:rStyle w:val="14"/>
          <w:rFonts w:hint="eastAsia" w:ascii="仿宋" w:hAnsi="仿宋" w:eastAsia="仿宋"/>
          <w:bCs/>
          <w:color w:val="000000" w:themeColor="text1"/>
          <w:sz w:val="32"/>
          <w:szCs w:val="32"/>
        </w:rPr>
        <w:t>（款）</w:t>
      </w:r>
      <w:r>
        <w:rPr>
          <w:rStyle w:val="14"/>
          <w:rFonts w:hint="eastAsia" w:ascii="仿宋_GB2312" w:hAnsi="仿宋_GB2312" w:eastAsia="仿宋_GB2312" w:cs="仿宋_GB2312"/>
          <w:bCs/>
          <w:color w:val="000000" w:themeColor="text1"/>
          <w:sz w:val="32"/>
          <w:szCs w:val="32"/>
        </w:rPr>
        <w:t>行政运行</w:t>
      </w:r>
      <w:r>
        <w:rPr>
          <w:rStyle w:val="14"/>
          <w:rFonts w:hint="eastAsia" w:ascii="仿宋" w:hAnsi="仿宋" w:eastAsia="仿宋"/>
          <w:bCs/>
          <w:color w:val="000000" w:themeColor="text1"/>
          <w:sz w:val="32"/>
          <w:szCs w:val="32"/>
        </w:rPr>
        <w:t>（项）</w:t>
      </w:r>
      <w:r>
        <w:rPr>
          <w:rStyle w:val="14"/>
          <w:rFonts w:ascii="仿宋" w:hAnsi="仿宋" w:eastAsia="仿宋"/>
          <w:bCs/>
          <w:color w:val="000000" w:themeColor="text1"/>
          <w:sz w:val="32"/>
          <w:szCs w:val="32"/>
        </w:rPr>
        <w:t>:</w:t>
      </w:r>
      <w:r>
        <w:rPr>
          <w:rStyle w:val="14"/>
          <w:rFonts w:ascii="仿宋" w:hAnsi="仿宋" w:eastAsia="仿宋"/>
          <w:b w:val="0"/>
          <w:bCs/>
          <w:color w:val="000000" w:themeColor="text1"/>
          <w:sz w:val="32"/>
          <w:szCs w:val="32"/>
        </w:rPr>
        <w:t xml:space="preserve"> </w:t>
      </w:r>
      <w:r>
        <w:rPr>
          <w:rStyle w:val="14"/>
          <w:rFonts w:hint="eastAsia" w:ascii="仿宋" w:hAnsi="仿宋" w:eastAsia="仿宋"/>
          <w:b w:val="0"/>
          <w:bCs/>
          <w:color w:val="000000" w:themeColor="text1"/>
          <w:sz w:val="32"/>
          <w:szCs w:val="32"/>
        </w:rPr>
        <w:t>支出决算为166.27万元，完成预算100</w:t>
      </w:r>
      <w:r>
        <w:rPr>
          <w:rStyle w:val="14"/>
          <w:rFonts w:ascii="仿宋" w:hAnsi="仿宋" w:eastAsia="仿宋"/>
          <w:b w:val="0"/>
          <w:bCs/>
          <w:color w:val="000000" w:themeColor="text1"/>
          <w:sz w:val="32"/>
          <w:szCs w:val="32"/>
        </w:rPr>
        <w:t>%</w:t>
      </w:r>
      <w:r>
        <w:rPr>
          <w:rStyle w:val="14"/>
          <w:rFonts w:hint="eastAsia" w:ascii="仿宋" w:hAnsi="仿宋" w:eastAsia="仿宋"/>
          <w:b w:val="0"/>
          <w:bCs/>
          <w:color w:val="000000" w:themeColor="text1"/>
          <w:sz w:val="32"/>
          <w:szCs w:val="32"/>
        </w:rPr>
        <w:t>。</w:t>
      </w:r>
    </w:p>
    <w:p>
      <w:pPr>
        <w:spacing w:line="600" w:lineRule="exact"/>
        <w:ind w:firstLine="642" w:firstLineChars="200"/>
        <w:rPr>
          <w:rFonts w:ascii="仿宋" w:hAnsi="仿宋" w:eastAsia="仿宋"/>
          <w:b/>
          <w:color w:val="000000" w:themeColor="text1"/>
          <w:sz w:val="32"/>
          <w:szCs w:val="32"/>
        </w:rPr>
      </w:pPr>
      <w:r>
        <w:rPr>
          <w:rStyle w:val="14"/>
          <w:rFonts w:ascii="仿宋" w:hAnsi="仿宋" w:eastAsia="仿宋"/>
          <w:bCs/>
          <w:color w:val="000000" w:themeColor="text1"/>
          <w:sz w:val="32"/>
          <w:szCs w:val="32"/>
        </w:rPr>
        <w:t>2.</w:t>
      </w:r>
      <w:r>
        <w:rPr>
          <w:rStyle w:val="14"/>
          <w:rFonts w:hint="eastAsia" w:ascii="仿宋" w:hAnsi="仿宋" w:eastAsia="仿宋"/>
          <w:bCs/>
          <w:color w:val="000000" w:themeColor="text1"/>
          <w:sz w:val="32"/>
          <w:szCs w:val="32"/>
        </w:rPr>
        <w:t>交通运输（类）</w:t>
      </w:r>
      <w:r>
        <w:rPr>
          <w:rStyle w:val="14"/>
          <w:rFonts w:hint="eastAsia" w:ascii="仿宋_GB2312" w:hAnsi="仿宋_GB2312" w:eastAsia="仿宋_GB2312" w:cs="仿宋_GB2312"/>
          <w:bCs/>
          <w:color w:val="000000" w:themeColor="text1"/>
          <w:sz w:val="32"/>
          <w:szCs w:val="32"/>
        </w:rPr>
        <w:t>公路水路运输</w:t>
      </w:r>
      <w:r>
        <w:rPr>
          <w:rStyle w:val="14"/>
          <w:rFonts w:hint="eastAsia" w:ascii="仿宋" w:hAnsi="仿宋" w:eastAsia="仿宋"/>
          <w:bCs/>
          <w:color w:val="000000" w:themeColor="text1"/>
          <w:sz w:val="32"/>
          <w:szCs w:val="32"/>
        </w:rPr>
        <w:t>（款）公路和运输安全（项）</w:t>
      </w:r>
      <w:r>
        <w:rPr>
          <w:rStyle w:val="14"/>
          <w:rFonts w:ascii="仿宋" w:hAnsi="仿宋" w:eastAsia="仿宋"/>
          <w:bCs/>
          <w:color w:val="000000" w:themeColor="text1"/>
          <w:sz w:val="32"/>
          <w:szCs w:val="32"/>
        </w:rPr>
        <w:t>:</w:t>
      </w:r>
      <w:r>
        <w:rPr>
          <w:rStyle w:val="14"/>
          <w:rFonts w:ascii="仿宋" w:hAnsi="仿宋" w:eastAsia="仿宋"/>
          <w:b w:val="0"/>
          <w:bCs/>
          <w:color w:val="000000" w:themeColor="text1"/>
          <w:sz w:val="32"/>
          <w:szCs w:val="32"/>
        </w:rPr>
        <w:t xml:space="preserve"> </w:t>
      </w:r>
      <w:r>
        <w:rPr>
          <w:rStyle w:val="14"/>
          <w:rFonts w:hint="eastAsia" w:ascii="仿宋" w:hAnsi="仿宋" w:eastAsia="仿宋"/>
          <w:b w:val="0"/>
          <w:bCs/>
          <w:color w:val="000000" w:themeColor="text1"/>
          <w:sz w:val="32"/>
          <w:szCs w:val="32"/>
        </w:rPr>
        <w:t>支出决算为0万元，决算数小于预算数的原因是州运管处拨付的专项经费时间已接近年末来不及支付，故年末结转结余11万元。</w:t>
      </w:r>
    </w:p>
    <w:p>
      <w:pPr>
        <w:spacing w:line="600" w:lineRule="exact"/>
        <w:ind w:firstLine="642" w:firstLineChars="200"/>
        <w:rPr>
          <w:rFonts w:ascii="仿宋" w:hAnsi="仿宋" w:eastAsia="仿宋"/>
          <w:b/>
          <w:color w:val="000000" w:themeColor="text1"/>
          <w:sz w:val="32"/>
          <w:szCs w:val="32"/>
        </w:rPr>
      </w:pPr>
      <w:r>
        <w:rPr>
          <w:rStyle w:val="14"/>
          <w:rFonts w:ascii="仿宋" w:hAnsi="仿宋" w:eastAsia="仿宋"/>
          <w:bCs/>
          <w:color w:val="000000" w:themeColor="text1"/>
          <w:sz w:val="32"/>
          <w:szCs w:val="32"/>
        </w:rPr>
        <w:t>3.</w:t>
      </w:r>
      <w:r>
        <w:rPr>
          <w:rStyle w:val="14"/>
          <w:rFonts w:hint="eastAsia" w:ascii="仿宋" w:hAnsi="仿宋" w:eastAsia="仿宋"/>
          <w:bCs/>
          <w:color w:val="000000" w:themeColor="text1"/>
          <w:sz w:val="32"/>
          <w:szCs w:val="32"/>
        </w:rPr>
        <w:t>交通运输（类）</w:t>
      </w:r>
      <w:r>
        <w:rPr>
          <w:rStyle w:val="14"/>
          <w:rFonts w:hint="eastAsia" w:ascii="仿宋_GB2312" w:hAnsi="仿宋_GB2312" w:eastAsia="仿宋_GB2312" w:cs="仿宋_GB2312"/>
          <w:bCs/>
          <w:color w:val="000000" w:themeColor="text1"/>
          <w:sz w:val="32"/>
          <w:szCs w:val="32"/>
        </w:rPr>
        <w:t>公路水路运输</w:t>
      </w:r>
      <w:r>
        <w:rPr>
          <w:rStyle w:val="14"/>
          <w:rFonts w:hint="eastAsia" w:ascii="仿宋" w:hAnsi="仿宋" w:eastAsia="仿宋"/>
          <w:bCs/>
          <w:color w:val="000000" w:themeColor="text1"/>
          <w:sz w:val="32"/>
          <w:szCs w:val="32"/>
        </w:rPr>
        <w:t>（款）</w:t>
      </w:r>
      <w:r>
        <w:rPr>
          <w:rStyle w:val="14"/>
          <w:rFonts w:hint="eastAsia" w:ascii="仿宋_GB2312" w:hAnsi="仿宋_GB2312" w:eastAsia="仿宋_GB2312" w:cs="仿宋_GB2312"/>
          <w:bCs/>
          <w:color w:val="000000" w:themeColor="text1"/>
          <w:sz w:val="32"/>
          <w:szCs w:val="32"/>
        </w:rPr>
        <w:t>公路运输管理</w:t>
      </w:r>
      <w:r>
        <w:rPr>
          <w:rStyle w:val="14"/>
          <w:rFonts w:hint="eastAsia" w:ascii="仿宋" w:hAnsi="仿宋" w:eastAsia="仿宋"/>
          <w:bCs/>
          <w:color w:val="000000" w:themeColor="text1"/>
          <w:sz w:val="32"/>
          <w:szCs w:val="32"/>
        </w:rPr>
        <w:t>（项）</w:t>
      </w:r>
      <w:r>
        <w:rPr>
          <w:rStyle w:val="14"/>
          <w:rFonts w:ascii="仿宋" w:hAnsi="仿宋" w:eastAsia="仿宋"/>
          <w:bCs/>
          <w:color w:val="000000" w:themeColor="text1"/>
          <w:sz w:val="32"/>
          <w:szCs w:val="32"/>
        </w:rPr>
        <w:t>:</w:t>
      </w:r>
      <w:r>
        <w:rPr>
          <w:rStyle w:val="14"/>
          <w:rFonts w:ascii="仿宋" w:hAnsi="仿宋" w:eastAsia="仿宋"/>
          <w:b w:val="0"/>
          <w:bCs/>
          <w:color w:val="000000" w:themeColor="text1"/>
          <w:sz w:val="32"/>
          <w:szCs w:val="32"/>
        </w:rPr>
        <w:t xml:space="preserve"> </w:t>
      </w:r>
      <w:r>
        <w:rPr>
          <w:rStyle w:val="14"/>
          <w:rFonts w:hint="eastAsia" w:ascii="仿宋" w:hAnsi="仿宋" w:eastAsia="仿宋"/>
          <w:b w:val="0"/>
          <w:bCs/>
          <w:color w:val="000000" w:themeColor="text1"/>
          <w:sz w:val="32"/>
          <w:szCs w:val="32"/>
        </w:rPr>
        <w:t>支出决算为40.27万元，完成预算90.33</w:t>
      </w:r>
      <w:r>
        <w:rPr>
          <w:rStyle w:val="14"/>
          <w:rFonts w:ascii="仿宋" w:hAnsi="仿宋" w:eastAsia="仿宋"/>
          <w:b w:val="0"/>
          <w:bCs/>
          <w:color w:val="000000" w:themeColor="text1"/>
          <w:sz w:val="32"/>
          <w:szCs w:val="32"/>
        </w:rPr>
        <w:t>%</w:t>
      </w:r>
      <w:r>
        <w:rPr>
          <w:rStyle w:val="14"/>
          <w:rFonts w:hint="eastAsia" w:ascii="仿宋" w:hAnsi="仿宋" w:eastAsia="仿宋"/>
          <w:b w:val="0"/>
          <w:bCs/>
          <w:color w:val="000000" w:themeColor="text1"/>
          <w:sz w:val="32"/>
          <w:szCs w:val="32"/>
        </w:rPr>
        <w:t>，决算数小于预算数的原因是州运管处拨付的专项经费时间已接近年末所以未支付完毕，年末结转结余4.31万元。</w:t>
      </w:r>
    </w:p>
    <w:p>
      <w:pPr>
        <w:spacing w:line="576" w:lineRule="exact"/>
        <w:ind w:firstLine="642" w:firstLineChars="200"/>
        <w:rPr>
          <w:rStyle w:val="14"/>
          <w:rFonts w:ascii="仿宋" w:hAnsi="仿宋" w:eastAsia="仿宋"/>
          <w:b w:val="0"/>
          <w:bCs/>
          <w:color w:val="000000" w:themeColor="text1"/>
          <w:sz w:val="32"/>
          <w:szCs w:val="32"/>
        </w:rPr>
      </w:pPr>
      <w:r>
        <w:rPr>
          <w:rStyle w:val="14"/>
          <w:rFonts w:ascii="仿宋" w:hAnsi="仿宋" w:eastAsia="仿宋"/>
          <w:bCs/>
          <w:color w:val="000000" w:themeColor="text1"/>
          <w:sz w:val="32"/>
          <w:szCs w:val="32"/>
        </w:rPr>
        <w:t>4.</w:t>
      </w:r>
      <w:r>
        <w:rPr>
          <w:rStyle w:val="14"/>
          <w:rFonts w:hint="eastAsia" w:ascii="仿宋" w:hAnsi="仿宋" w:eastAsia="仿宋"/>
          <w:bCs/>
          <w:color w:val="000000" w:themeColor="text1"/>
          <w:sz w:val="32"/>
          <w:szCs w:val="32"/>
        </w:rPr>
        <w:t>交通运输（类）</w:t>
      </w:r>
      <w:r>
        <w:rPr>
          <w:rStyle w:val="14"/>
          <w:rFonts w:hint="eastAsia" w:ascii="仿宋_GB2312" w:hAnsi="仿宋_GB2312" w:eastAsia="仿宋_GB2312" w:cs="仿宋_GB2312"/>
          <w:bCs/>
          <w:color w:val="000000" w:themeColor="text1"/>
          <w:sz w:val="32"/>
          <w:szCs w:val="32"/>
        </w:rPr>
        <w:t>公路水路运输</w:t>
      </w:r>
      <w:r>
        <w:rPr>
          <w:rStyle w:val="14"/>
          <w:rFonts w:hint="eastAsia" w:ascii="仿宋" w:hAnsi="仿宋" w:eastAsia="仿宋"/>
          <w:bCs/>
          <w:color w:val="000000" w:themeColor="text1"/>
          <w:sz w:val="32"/>
          <w:szCs w:val="32"/>
        </w:rPr>
        <w:t>（款）其他</w:t>
      </w:r>
      <w:r>
        <w:rPr>
          <w:rStyle w:val="14"/>
          <w:rFonts w:hint="eastAsia" w:ascii="仿宋_GB2312" w:hAnsi="仿宋_GB2312" w:eastAsia="仿宋_GB2312" w:cs="仿宋_GB2312"/>
          <w:bCs/>
          <w:color w:val="000000" w:themeColor="text1"/>
          <w:sz w:val="32"/>
          <w:szCs w:val="32"/>
        </w:rPr>
        <w:t>公路水路运输</w:t>
      </w:r>
      <w:r>
        <w:rPr>
          <w:rStyle w:val="14"/>
          <w:rFonts w:hint="eastAsia" w:ascii="仿宋" w:hAnsi="仿宋" w:eastAsia="仿宋"/>
          <w:bCs/>
          <w:color w:val="000000" w:themeColor="text1"/>
          <w:sz w:val="32"/>
          <w:szCs w:val="32"/>
        </w:rPr>
        <w:t>（项）</w:t>
      </w:r>
      <w:r>
        <w:rPr>
          <w:rStyle w:val="14"/>
          <w:rFonts w:ascii="仿宋" w:hAnsi="仿宋" w:eastAsia="仿宋"/>
          <w:bCs/>
          <w:color w:val="000000" w:themeColor="text1"/>
          <w:sz w:val="32"/>
          <w:szCs w:val="32"/>
        </w:rPr>
        <w:t>:</w:t>
      </w:r>
      <w:r>
        <w:rPr>
          <w:rStyle w:val="14"/>
          <w:rFonts w:ascii="仿宋" w:hAnsi="仿宋" w:eastAsia="仿宋"/>
          <w:b w:val="0"/>
          <w:bCs/>
          <w:color w:val="000000" w:themeColor="text1"/>
          <w:sz w:val="32"/>
          <w:szCs w:val="32"/>
        </w:rPr>
        <w:t xml:space="preserve"> </w:t>
      </w:r>
      <w:r>
        <w:rPr>
          <w:rStyle w:val="14"/>
          <w:rFonts w:hint="eastAsia" w:ascii="仿宋" w:hAnsi="仿宋" w:eastAsia="仿宋"/>
          <w:b w:val="0"/>
          <w:bCs/>
          <w:color w:val="000000" w:themeColor="text1"/>
          <w:sz w:val="32"/>
          <w:szCs w:val="32"/>
        </w:rPr>
        <w:t>支出决算为19.73万元，完成预算100</w:t>
      </w:r>
      <w:r>
        <w:rPr>
          <w:rStyle w:val="14"/>
          <w:rFonts w:ascii="仿宋" w:hAnsi="仿宋" w:eastAsia="仿宋"/>
          <w:b w:val="0"/>
          <w:bCs/>
          <w:color w:val="000000" w:themeColor="text1"/>
          <w:sz w:val="32"/>
          <w:szCs w:val="32"/>
        </w:rPr>
        <w:t>%</w:t>
      </w:r>
      <w:r>
        <w:rPr>
          <w:rStyle w:val="14"/>
          <w:rFonts w:hint="eastAsia" w:ascii="仿宋" w:hAnsi="仿宋" w:eastAsia="仿宋"/>
          <w:b w:val="0"/>
          <w:bCs/>
          <w:color w:val="000000" w:themeColor="text1"/>
          <w:sz w:val="32"/>
          <w:szCs w:val="32"/>
        </w:rPr>
        <w:t>，决算数等于预算数。</w:t>
      </w:r>
    </w:p>
    <w:p>
      <w:pPr>
        <w:spacing w:line="576" w:lineRule="exact"/>
        <w:ind w:firstLine="642" w:firstLineChars="200"/>
        <w:rPr>
          <w:rStyle w:val="14"/>
          <w:rFonts w:ascii="仿宋" w:hAnsi="仿宋" w:eastAsia="仿宋"/>
          <w:b w:val="0"/>
          <w:bCs/>
          <w:color w:val="000000" w:themeColor="text1"/>
          <w:sz w:val="32"/>
          <w:szCs w:val="32"/>
        </w:rPr>
      </w:pPr>
      <w:r>
        <w:rPr>
          <w:rStyle w:val="14"/>
          <w:rFonts w:hint="eastAsia" w:ascii="仿宋_GB2312" w:hAnsi="仿宋_GB2312" w:eastAsia="仿宋_GB2312" w:cs="仿宋_GB2312"/>
          <w:bCs/>
          <w:color w:val="000000" w:themeColor="text1"/>
          <w:sz w:val="32"/>
          <w:szCs w:val="32"/>
        </w:rPr>
        <w:t>5.</w:t>
      </w:r>
      <w:r>
        <w:rPr>
          <w:rStyle w:val="14"/>
          <w:rFonts w:hint="eastAsia" w:ascii="仿宋" w:hAnsi="仿宋" w:eastAsia="仿宋"/>
          <w:bCs/>
          <w:color w:val="000000" w:themeColor="text1"/>
          <w:sz w:val="32"/>
          <w:szCs w:val="32"/>
        </w:rPr>
        <w:t>交通运输</w:t>
      </w:r>
      <w:r>
        <w:rPr>
          <w:rStyle w:val="14"/>
          <w:rFonts w:hint="eastAsia" w:ascii="仿宋_GB2312" w:hAnsi="仿宋_GB2312" w:eastAsia="仿宋_GB2312" w:cs="仿宋_GB2312"/>
          <w:bCs/>
          <w:color w:val="000000" w:themeColor="text1"/>
          <w:sz w:val="32"/>
          <w:szCs w:val="32"/>
        </w:rPr>
        <w:t>（类）成品油价格改革对交通运输的补贴（款）对农村道路客运和出租车的补贴（项）:</w:t>
      </w:r>
      <w:r>
        <w:rPr>
          <w:rStyle w:val="14"/>
          <w:rFonts w:hint="eastAsia" w:ascii="仿宋_GB2312" w:hAnsi="仿宋_GB2312" w:eastAsia="仿宋_GB2312" w:cs="仿宋_GB2312"/>
          <w:b w:val="0"/>
          <w:bCs/>
          <w:color w:val="000000" w:themeColor="text1"/>
          <w:sz w:val="32"/>
          <w:szCs w:val="32"/>
        </w:rPr>
        <w:t>对农村道路客运和出租车的补贴支出决算为717.6万元,完成预算100%，</w:t>
      </w:r>
      <w:r>
        <w:rPr>
          <w:rStyle w:val="14"/>
          <w:rFonts w:hint="eastAsia" w:ascii="仿宋" w:hAnsi="仿宋" w:eastAsia="仿宋"/>
          <w:b w:val="0"/>
          <w:bCs/>
          <w:color w:val="000000" w:themeColor="text1"/>
          <w:sz w:val="32"/>
          <w:szCs w:val="32"/>
        </w:rPr>
        <w:t>决算数等于预算数。</w:t>
      </w:r>
    </w:p>
    <w:p>
      <w:pPr>
        <w:spacing w:line="576" w:lineRule="exact"/>
        <w:ind w:firstLine="642" w:firstLineChars="200"/>
        <w:rPr>
          <w:rFonts w:ascii="仿宋" w:hAnsi="仿宋" w:eastAsia="仿宋"/>
          <w:b/>
          <w:color w:val="000000" w:themeColor="text1"/>
          <w:sz w:val="32"/>
          <w:szCs w:val="32"/>
        </w:rPr>
      </w:pPr>
      <w:r>
        <w:rPr>
          <w:rStyle w:val="14"/>
          <w:rFonts w:hint="eastAsia" w:ascii="仿宋" w:hAnsi="仿宋" w:eastAsia="仿宋"/>
          <w:bCs/>
          <w:color w:val="000000" w:themeColor="text1"/>
          <w:sz w:val="32"/>
          <w:szCs w:val="32"/>
        </w:rPr>
        <w:t>6</w:t>
      </w:r>
      <w:r>
        <w:rPr>
          <w:rStyle w:val="14"/>
          <w:rFonts w:ascii="仿宋" w:hAnsi="仿宋" w:eastAsia="仿宋"/>
          <w:bCs/>
          <w:color w:val="000000" w:themeColor="text1"/>
          <w:sz w:val="32"/>
          <w:szCs w:val="32"/>
        </w:rPr>
        <w:t>.</w:t>
      </w:r>
      <w:r>
        <w:rPr>
          <w:rStyle w:val="14"/>
          <w:rFonts w:hint="eastAsia" w:ascii="仿宋" w:hAnsi="仿宋" w:eastAsia="仿宋"/>
          <w:bCs/>
          <w:color w:val="000000" w:themeColor="text1"/>
          <w:sz w:val="32"/>
          <w:szCs w:val="32"/>
        </w:rPr>
        <w:t>社会保障和就业（类）</w:t>
      </w:r>
      <w:r>
        <w:rPr>
          <w:rStyle w:val="14"/>
          <w:rFonts w:hint="eastAsia" w:ascii="仿宋_GB2312" w:hAnsi="仿宋_GB2312" w:eastAsia="仿宋_GB2312" w:cs="仿宋_GB2312"/>
          <w:bCs/>
          <w:color w:val="000000" w:themeColor="text1"/>
          <w:sz w:val="32"/>
          <w:szCs w:val="32"/>
        </w:rPr>
        <w:t>行政事业单位离退休</w:t>
      </w:r>
      <w:r>
        <w:rPr>
          <w:rStyle w:val="14"/>
          <w:rFonts w:hint="eastAsia" w:ascii="仿宋" w:hAnsi="仿宋" w:eastAsia="仿宋"/>
          <w:bCs/>
          <w:color w:val="000000" w:themeColor="text1"/>
          <w:sz w:val="32"/>
          <w:szCs w:val="32"/>
        </w:rPr>
        <w:t>（款）</w:t>
      </w:r>
      <w:r>
        <w:rPr>
          <w:rStyle w:val="14"/>
          <w:rFonts w:hint="eastAsia" w:ascii="仿宋_GB2312" w:hAnsi="仿宋_GB2312" w:eastAsia="仿宋_GB2312" w:cs="仿宋_GB2312"/>
          <w:b w:val="0"/>
          <w:bCs/>
          <w:color w:val="000000" w:themeColor="text1"/>
          <w:sz w:val="32"/>
          <w:szCs w:val="32"/>
        </w:rPr>
        <w:t>机关单位养老保险及职业年金</w:t>
      </w:r>
      <w:r>
        <w:rPr>
          <w:rStyle w:val="14"/>
          <w:rFonts w:hint="eastAsia" w:ascii="仿宋" w:hAnsi="仿宋" w:eastAsia="仿宋"/>
          <w:bCs/>
          <w:color w:val="000000" w:themeColor="text1"/>
          <w:sz w:val="32"/>
          <w:szCs w:val="32"/>
        </w:rPr>
        <w:t>（项）</w:t>
      </w:r>
      <w:r>
        <w:rPr>
          <w:rStyle w:val="14"/>
          <w:rFonts w:ascii="仿宋" w:hAnsi="仿宋" w:eastAsia="仿宋"/>
          <w:bCs/>
          <w:color w:val="000000" w:themeColor="text1"/>
          <w:sz w:val="32"/>
          <w:szCs w:val="32"/>
        </w:rPr>
        <w:t>:</w:t>
      </w:r>
      <w:r>
        <w:rPr>
          <w:rStyle w:val="14"/>
          <w:rFonts w:ascii="仿宋" w:hAnsi="仿宋" w:eastAsia="仿宋"/>
          <w:b w:val="0"/>
          <w:bCs/>
          <w:color w:val="000000" w:themeColor="text1"/>
          <w:sz w:val="32"/>
          <w:szCs w:val="32"/>
        </w:rPr>
        <w:t xml:space="preserve"> </w:t>
      </w:r>
      <w:r>
        <w:rPr>
          <w:rStyle w:val="14"/>
          <w:rFonts w:hint="eastAsia" w:ascii="仿宋" w:hAnsi="仿宋" w:eastAsia="仿宋"/>
          <w:b w:val="0"/>
          <w:bCs/>
          <w:color w:val="000000" w:themeColor="text1"/>
          <w:sz w:val="32"/>
          <w:szCs w:val="32"/>
        </w:rPr>
        <w:t>支出决算为24.22万元，完成预算100</w:t>
      </w:r>
      <w:r>
        <w:rPr>
          <w:rStyle w:val="14"/>
          <w:rFonts w:ascii="仿宋" w:hAnsi="仿宋" w:eastAsia="仿宋"/>
          <w:b w:val="0"/>
          <w:bCs/>
          <w:color w:val="000000" w:themeColor="text1"/>
          <w:sz w:val="32"/>
          <w:szCs w:val="32"/>
        </w:rPr>
        <w:t>%</w:t>
      </w:r>
      <w:r>
        <w:rPr>
          <w:rStyle w:val="14"/>
          <w:rFonts w:hint="eastAsia" w:ascii="仿宋" w:hAnsi="仿宋" w:eastAsia="仿宋"/>
          <w:b w:val="0"/>
          <w:bCs/>
          <w:color w:val="000000" w:themeColor="text1"/>
          <w:sz w:val="32"/>
          <w:szCs w:val="32"/>
        </w:rPr>
        <w:t>，决算数等于预算数。</w:t>
      </w:r>
    </w:p>
    <w:p>
      <w:pPr>
        <w:spacing w:line="600" w:lineRule="exact"/>
        <w:ind w:firstLine="642" w:firstLineChars="200"/>
        <w:rPr>
          <w:rFonts w:ascii="仿宋" w:hAnsi="仿宋" w:eastAsia="仿宋"/>
          <w:b/>
          <w:color w:val="000000" w:themeColor="text1"/>
          <w:sz w:val="32"/>
          <w:szCs w:val="32"/>
        </w:rPr>
      </w:pPr>
      <w:r>
        <w:rPr>
          <w:rStyle w:val="14"/>
          <w:rFonts w:hint="eastAsia" w:ascii="仿宋" w:hAnsi="仿宋" w:eastAsia="仿宋"/>
          <w:bCs/>
          <w:color w:val="000000" w:themeColor="text1"/>
          <w:sz w:val="32"/>
          <w:szCs w:val="32"/>
        </w:rPr>
        <w:t>7</w:t>
      </w:r>
      <w:r>
        <w:rPr>
          <w:rStyle w:val="14"/>
          <w:rFonts w:ascii="仿宋" w:hAnsi="仿宋" w:eastAsia="仿宋"/>
          <w:bCs/>
          <w:color w:val="000000" w:themeColor="text1"/>
          <w:sz w:val="32"/>
          <w:szCs w:val="32"/>
        </w:rPr>
        <w:t>.</w:t>
      </w:r>
      <w:r>
        <w:rPr>
          <w:rFonts w:hint="eastAsia" w:ascii="仿宋" w:hAnsi="仿宋" w:eastAsia="仿宋"/>
          <w:b/>
          <w:bCs/>
          <w:color w:val="000000" w:themeColor="text1"/>
          <w:sz w:val="32"/>
          <w:szCs w:val="32"/>
        </w:rPr>
        <w:t>卫生健康</w:t>
      </w:r>
      <w:r>
        <w:rPr>
          <w:rStyle w:val="14"/>
          <w:rFonts w:hint="eastAsia" w:ascii="仿宋" w:hAnsi="仿宋" w:eastAsia="仿宋"/>
          <w:bCs/>
          <w:color w:val="000000" w:themeColor="text1"/>
          <w:sz w:val="32"/>
          <w:szCs w:val="32"/>
        </w:rPr>
        <w:t>（类）</w:t>
      </w:r>
      <w:r>
        <w:rPr>
          <w:rStyle w:val="14"/>
          <w:rFonts w:hint="eastAsia" w:ascii="仿宋_GB2312" w:hAnsi="仿宋_GB2312" w:eastAsia="仿宋_GB2312" w:cs="仿宋_GB2312"/>
          <w:bCs/>
          <w:color w:val="000000" w:themeColor="text1"/>
          <w:sz w:val="32"/>
          <w:szCs w:val="32"/>
        </w:rPr>
        <w:t>行政事业单位医疗</w:t>
      </w:r>
      <w:r>
        <w:rPr>
          <w:rStyle w:val="14"/>
          <w:rFonts w:hint="eastAsia" w:ascii="仿宋" w:hAnsi="仿宋" w:eastAsia="仿宋"/>
          <w:bCs/>
          <w:color w:val="000000" w:themeColor="text1"/>
          <w:sz w:val="32"/>
          <w:szCs w:val="32"/>
        </w:rPr>
        <w:t>（款）</w:t>
      </w:r>
      <w:r>
        <w:rPr>
          <w:rStyle w:val="14"/>
          <w:rFonts w:hint="eastAsia" w:ascii="仿宋_GB2312" w:hAnsi="仿宋_GB2312" w:eastAsia="仿宋_GB2312" w:cs="仿宋_GB2312"/>
          <w:bCs/>
          <w:color w:val="000000" w:themeColor="text1"/>
          <w:sz w:val="32"/>
          <w:szCs w:val="32"/>
        </w:rPr>
        <w:t>行政单位医疗</w:t>
      </w:r>
      <w:r>
        <w:rPr>
          <w:rStyle w:val="14"/>
          <w:rFonts w:hint="eastAsia" w:ascii="仿宋" w:hAnsi="仿宋" w:eastAsia="仿宋"/>
          <w:bCs/>
          <w:color w:val="000000" w:themeColor="text1"/>
          <w:sz w:val="32"/>
          <w:szCs w:val="32"/>
        </w:rPr>
        <w:t>（项）</w:t>
      </w:r>
      <w:r>
        <w:rPr>
          <w:rStyle w:val="14"/>
          <w:rFonts w:ascii="仿宋" w:hAnsi="仿宋" w:eastAsia="仿宋"/>
          <w:bCs/>
          <w:color w:val="000000" w:themeColor="text1"/>
          <w:sz w:val="32"/>
          <w:szCs w:val="32"/>
        </w:rPr>
        <w:t>:</w:t>
      </w:r>
      <w:r>
        <w:rPr>
          <w:rStyle w:val="14"/>
          <w:rFonts w:hint="eastAsia" w:ascii="仿宋" w:hAnsi="仿宋" w:eastAsia="仿宋"/>
          <w:b w:val="0"/>
          <w:bCs/>
          <w:color w:val="000000" w:themeColor="text1"/>
          <w:sz w:val="32"/>
          <w:szCs w:val="32"/>
        </w:rPr>
        <w:t>支出决算为11.48万元，完成预算100</w:t>
      </w:r>
      <w:r>
        <w:rPr>
          <w:rStyle w:val="14"/>
          <w:rFonts w:ascii="仿宋" w:hAnsi="仿宋" w:eastAsia="仿宋"/>
          <w:b w:val="0"/>
          <w:bCs/>
          <w:color w:val="000000" w:themeColor="text1"/>
          <w:sz w:val="32"/>
          <w:szCs w:val="32"/>
        </w:rPr>
        <w:t>%</w:t>
      </w:r>
      <w:r>
        <w:rPr>
          <w:rStyle w:val="14"/>
          <w:rFonts w:hint="eastAsia" w:ascii="仿宋" w:hAnsi="仿宋" w:eastAsia="仿宋"/>
          <w:b w:val="0"/>
          <w:bCs/>
          <w:color w:val="000000" w:themeColor="text1"/>
          <w:sz w:val="32"/>
          <w:szCs w:val="32"/>
        </w:rPr>
        <w:t>，决算数等于预算数。</w:t>
      </w:r>
    </w:p>
    <w:p>
      <w:pPr>
        <w:tabs>
          <w:tab w:val="right" w:pos="8306"/>
        </w:tabs>
        <w:spacing w:line="600" w:lineRule="exact"/>
        <w:ind w:firstLine="640"/>
        <w:outlineLvl w:val="1"/>
        <w:rPr>
          <w:rStyle w:val="25"/>
          <w:color w:val="000000" w:themeColor="text1"/>
        </w:rPr>
      </w:pPr>
      <w:bookmarkStart w:id="40" w:name="_Toc15377214"/>
      <w:bookmarkStart w:id="41" w:name="_Toc15396608"/>
      <w:r>
        <w:rPr>
          <w:rFonts w:hint="eastAsia" w:ascii="黑体" w:eastAsia="黑体"/>
          <w:color w:val="000000" w:themeColor="text1"/>
          <w:sz w:val="32"/>
          <w:szCs w:val="32"/>
        </w:rPr>
        <w:t>六</w:t>
      </w:r>
      <w:r>
        <w:rPr>
          <w:rFonts w:hint="eastAsia" w:ascii="黑体" w:eastAsia="黑体"/>
          <w:b/>
          <w:color w:val="000000" w:themeColor="text1"/>
          <w:sz w:val="32"/>
          <w:szCs w:val="32"/>
        </w:rPr>
        <w:t>、</w:t>
      </w:r>
      <w:r>
        <w:rPr>
          <w:rFonts w:hint="eastAsia" w:ascii="黑体" w:hAnsi="黑体" w:eastAsia="黑体"/>
          <w:b/>
          <w:color w:val="000000" w:themeColor="text1"/>
          <w:sz w:val="32"/>
          <w:szCs w:val="32"/>
        </w:rPr>
        <w:t>一</w:t>
      </w:r>
      <w:r>
        <w:rPr>
          <w:rStyle w:val="25"/>
          <w:rFonts w:hint="eastAsia" w:ascii="黑体" w:hAnsi="黑体" w:eastAsia="黑体"/>
          <w:b w:val="0"/>
          <w:color w:val="000000" w:themeColor="text1"/>
        </w:rPr>
        <w:t>般公共预算财政拨款基本支出决算情况说明</w:t>
      </w:r>
      <w:bookmarkEnd w:id="40"/>
      <w:bookmarkEnd w:id="41"/>
      <w:r>
        <w:rPr>
          <w:rStyle w:val="25"/>
          <w:rFonts w:ascii="黑体" w:hAnsi="黑体" w:eastAsia="黑体"/>
          <w:b w:val="0"/>
          <w:color w:val="000000" w:themeColor="text1"/>
        </w:rPr>
        <w:tab/>
      </w:r>
    </w:p>
    <w:p>
      <w:pPr>
        <w:spacing w:line="600" w:lineRule="exact"/>
        <w:ind w:firstLine="645"/>
        <w:rPr>
          <w:rFonts w:ascii="仿宋" w:hAnsi="仿宋" w:eastAsia="仿宋"/>
          <w:color w:val="000000" w:themeColor="text1"/>
          <w:sz w:val="32"/>
          <w:szCs w:val="32"/>
        </w:rPr>
      </w:pPr>
      <w:r>
        <w:rPr>
          <w:rFonts w:ascii="仿宋" w:hAnsi="仿宋" w:eastAsia="仿宋"/>
          <w:color w:val="000000" w:themeColor="text1"/>
          <w:sz w:val="32"/>
          <w:szCs w:val="32"/>
        </w:rPr>
        <w:t>201</w:t>
      </w:r>
      <w:r>
        <w:rPr>
          <w:rFonts w:hint="eastAsia" w:ascii="仿宋" w:hAnsi="仿宋" w:eastAsia="仿宋"/>
          <w:color w:val="000000" w:themeColor="text1"/>
          <w:sz w:val="32"/>
          <w:szCs w:val="32"/>
        </w:rPr>
        <w:t>9年一般公共预算财政拨款基本支出994.77万元，其中：</w:t>
      </w:r>
    </w:p>
    <w:p>
      <w:pPr>
        <w:spacing w:line="600" w:lineRule="exact"/>
        <w:ind w:firstLine="645"/>
        <w:rPr>
          <w:rFonts w:ascii="仿宋" w:hAnsi="仿宋" w:eastAsia="仿宋"/>
          <w:color w:val="000000" w:themeColor="text1"/>
          <w:sz w:val="32"/>
          <w:szCs w:val="32"/>
        </w:rPr>
      </w:pPr>
      <w:r>
        <w:rPr>
          <w:rFonts w:hint="eastAsia" w:ascii="仿宋" w:hAnsi="仿宋" w:eastAsia="仿宋"/>
          <w:color w:val="000000" w:themeColor="text1"/>
          <w:sz w:val="32"/>
          <w:szCs w:val="32"/>
        </w:rPr>
        <w:t>人员经费193.45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color w:val="000000" w:themeColor="text1"/>
          <w:sz w:val="32"/>
          <w:szCs w:val="32"/>
        </w:rPr>
        <w:br w:type="textWrapping"/>
      </w:r>
      <w:r>
        <w:rPr>
          <w:rFonts w:hint="eastAsia" w:ascii="仿宋" w:hAnsi="仿宋" w:eastAsia="仿宋"/>
          <w:color w:val="000000" w:themeColor="text1"/>
          <w:sz w:val="32"/>
          <w:szCs w:val="32"/>
        </w:rPr>
        <w:t>　　日常公用经费23.71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5"/>
          <w:rFonts w:ascii="黑体" w:hAnsi="黑体" w:eastAsia="黑体"/>
          <w:b w:val="0"/>
          <w:color w:val="000000" w:themeColor="text1"/>
        </w:rPr>
      </w:pPr>
      <w:bookmarkStart w:id="42" w:name="_Toc15396609"/>
      <w:bookmarkStart w:id="43" w:name="_Toc15377215"/>
      <w:r>
        <w:rPr>
          <w:rFonts w:hint="eastAsia" w:ascii="黑体" w:eastAsia="黑体"/>
          <w:color w:val="000000" w:themeColor="text1"/>
          <w:sz w:val="32"/>
          <w:szCs w:val="32"/>
        </w:rPr>
        <w:t>七、</w:t>
      </w:r>
      <w:r>
        <w:rPr>
          <w:rStyle w:val="25"/>
          <w:rFonts w:hint="eastAsia" w:ascii="黑体" w:hAnsi="黑体" w:eastAsia="黑体"/>
          <w:color w:val="000000" w:themeColor="text1"/>
        </w:rPr>
        <w:t>“</w:t>
      </w:r>
      <w:r>
        <w:rPr>
          <w:rStyle w:val="25"/>
          <w:rFonts w:hint="eastAsia" w:ascii="黑体" w:hAnsi="黑体" w:eastAsia="黑体"/>
          <w:b w:val="0"/>
          <w:color w:val="000000" w:themeColor="text1"/>
        </w:rPr>
        <w:t>三公”经费财政拨款支出决算情况说明</w:t>
      </w:r>
      <w:bookmarkEnd w:id="42"/>
      <w:bookmarkEnd w:id="43"/>
    </w:p>
    <w:p>
      <w:pPr>
        <w:spacing w:line="600" w:lineRule="exact"/>
        <w:ind w:firstLine="642" w:firstLineChars="200"/>
        <w:outlineLvl w:val="2"/>
        <w:rPr>
          <w:rFonts w:ascii="楷体" w:hAnsi="楷体" w:eastAsia="楷体" w:cs="楷体"/>
          <w:b/>
          <w:bCs/>
          <w:sz w:val="32"/>
          <w:szCs w:val="32"/>
        </w:rPr>
      </w:pPr>
      <w:bookmarkStart w:id="44" w:name="_Toc15377216"/>
      <w:r>
        <w:rPr>
          <w:rFonts w:hint="eastAsia" w:ascii="楷体" w:hAnsi="楷体" w:eastAsia="楷体" w:cs="楷体"/>
          <w:b/>
          <w:bCs/>
          <w:sz w:val="32"/>
          <w:szCs w:val="32"/>
        </w:rPr>
        <w:t>（一）“三公”经费财政拨款支出决算总体情况说明</w:t>
      </w:r>
      <w:bookmarkEnd w:id="44"/>
    </w:p>
    <w:p>
      <w:pPr>
        <w:spacing w:line="600" w:lineRule="exact"/>
        <w:ind w:firstLine="640"/>
        <w:rPr>
          <w:rFonts w:ascii="仿宋" w:hAnsi="仿宋" w:eastAsia="仿宋"/>
          <w:color w:val="000000" w:themeColor="text1"/>
          <w:sz w:val="32"/>
          <w:szCs w:val="32"/>
        </w:rPr>
      </w:pPr>
      <w:r>
        <w:rPr>
          <w:rFonts w:ascii="仿宋" w:hAnsi="仿宋" w:eastAsia="仿宋"/>
          <w:color w:val="000000" w:themeColor="text1"/>
          <w:sz w:val="32"/>
          <w:szCs w:val="32"/>
        </w:rPr>
        <w:t>201</w:t>
      </w:r>
      <w:r>
        <w:rPr>
          <w:rFonts w:hint="eastAsia" w:ascii="仿宋" w:hAnsi="仿宋" w:eastAsia="仿宋"/>
          <w:color w:val="000000" w:themeColor="text1"/>
          <w:sz w:val="32"/>
          <w:szCs w:val="32"/>
        </w:rPr>
        <w:t>9年“三公”经费财政拨款支出决算为4.13万元，完成预算100</w:t>
      </w:r>
      <w:r>
        <w:rPr>
          <w:rFonts w:ascii="仿宋" w:hAnsi="仿宋" w:eastAsia="仿宋"/>
          <w:color w:val="000000" w:themeColor="text1"/>
          <w:sz w:val="32"/>
          <w:szCs w:val="32"/>
        </w:rPr>
        <w:t>%</w:t>
      </w:r>
      <w:r>
        <w:rPr>
          <w:rFonts w:hint="eastAsia" w:ascii="仿宋" w:hAnsi="仿宋" w:eastAsia="仿宋"/>
          <w:color w:val="000000" w:themeColor="text1"/>
          <w:sz w:val="32"/>
          <w:szCs w:val="32"/>
        </w:rPr>
        <w:t>，决算数与预算数相等。</w:t>
      </w:r>
    </w:p>
    <w:p>
      <w:pPr>
        <w:spacing w:line="600" w:lineRule="exact"/>
        <w:ind w:firstLine="642" w:firstLineChars="200"/>
        <w:outlineLvl w:val="2"/>
        <w:rPr>
          <w:rFonts w:ascii="楷体" w:hAnsi="楷体" w:eastAsia="楷体" w:cs="楷体"/>
          <w:b/>
          <w:bCs/>
          <w:sz w:val="32"/>
          <w:szCs w:val="32"/>
        </w:rPr>
      </w:pPr>
      <w:bookmarkStart w:id="45" w:name="_Toc15377217"/>
      <w:r>
        <w:rPr>
          <w:rFonts w:hint="eastAsia" w:ascii="楷体" w:hAnsi="楷体" w:eastAsia="楷体" w:cs="楷体"/>
          <w:b/>
          <w:bCs/>
          <w:sz w:val="32"/>
          <w:szCs w:val="32"/>
        </w:rPr>
        <w:t>（二）“三公”经费财政拨款支出决算具体情况说明</w:t>
      </w:r>
      <w:bookmarkEnd w:id="45"/>
    </w:p>
    <w:p>
      <w:pPr>
        <w:spacing w:line="600" w:lineRule="exact"/>
        <w:ind w:firstLine="640"/>
        <w:rPr>
          <w:rFonts w:ascii="仿宋" w:hAnsi="仿宋" w:eastAsia="仿宋"/>
          <w:color w:val="000000" w:themeColor="text1"/>
          <w:sz w:val="32"/>
          <w:szCs w:val="32"/>
        </w:rPr>
      </w:pPr>
      <w:r>
        <w:rPr>
          <w:rFonts w:ascii="仿宋" w:hAnsi="仿宋" w:eastAsia="仿宋"/>
          <w:color w:val="000000" w:themeColor="text1"/>
          <w:sz w:val="32"/>
          <w:szCs w:val="32"/>
        </w:rPr>
        <w:t>201</w:t>
      </w:r>
      <w:r>
        <w:rPr>
          <w:rFonts w:hint="eastAsia" w:ascii="仿宋" w:hAnsi="仿宋" w:eastAsia="仿宋"/>
          <w:color w:val="000000" w:themeColor="text1"/>
          <w:sz w:val="32"/>
          <w:szCs w:val="32"/>
        </w:rPr>
        <w:t>9年“三公”经费财政拨款支出决算中，因公出国（境）费支出决算0万元，占</w:t>
      </w:r>
      <w:r>
        <w:rPr>
          <w:rFonts w:ascii="仿宋" w:hAnsi="仿宋" w:eastAsia="仿宋"/>
          <w:color w:val="000000" w:themeColor="text1"/>
          <w:sz w:val="32"/>
          <w:szCs w:val="32"/>
        </w:rPr>
        <w:t>%</w:t>
      </w:r>
      <w:r>
        <w:rPr>
          <w:rFonts w:hint="eastAsia" w:ascii="仿宋" w:hAnsi="仿宋" w:eastAsia="仿宋"/>
          <w:color w:val="000000" w:themeColor="text1"/>
          <w:sz w:val="32"/>
          <w:szCs w:val="32"/>
        </w:rPr>
        <w:t>；公务用车购置及运行维护费支出决算4万元，占100</w:t>
      </w:r>
      <w:r>
        <w:rPr>
          <w:rFonts w:ascii="仿宋" w:hAnsi="仿宋" w:eastAsia="仿宋"/>
          <w:color w:val="000000" w:themeColor="text1"/>
          <w:sz w:val="32"/>
          <w:szCs w:val="32"/>
        </w:rPr>
        <w:t>%</w:t>
      </w:r>
      <w:r>
        <w:rPr>
          <w:rFonts w:hint="eastAsia" w:ascii="仿宋" w:hAnsi="仿宋" w:eastAsia="仿宋"/>
          <w:color w:val="000000" w:themeColor="text1"/>
          <w:sz w:val="32"/>
          <w:szCs w:val="32"/>
        </w:rPr>
        <w:t>；公务接待费支出决算0.13万元，占100</w:t>
      </w:r>
      <w:r>
        <w:rPr>
          <w:rFonts w:ascii="仿宋" w:hAnsi="仿宋" w:eastAsia="仿宋"/>
          <w:color w:val="000000" w:themeColor="text1"/>
          <w:sz w:val="32"/>
          <w:szCs w:val="32"/>
        </w:rPr>
        <w:t>%</w:t>
      </w:r>
      <w:r>
        <w:rPr>
          <w:rFonts w:hint="eastAsia" w:ascii="仿宋" w:hAnsi="仿宋" w:eastAsia="仿宋"/>
          <w:color w:val="000000" w:themeColor="text1"/>
          <w:sz w:val="32"/>
          <w:szCs w:val="32"/>
        </w:rPr>
        <w:t>。具体情况如下：</w:t>
      </w:r>
    </w:p>
    <w:p>
      <w:pPr>
        <w:spacing w:line="600" w:lineRule="exact"/>
        <w:ind w:firstLine="640"/>
        <w:rPr>
          <w:rFonts w:ascii="仿宋" w:hAnsi="仿宋" w:eastAsia="仿宋"/>
          <w:color w:val="000000" w:themeColor="text1"/>
          <w:sz w:val="32"/>
          <w:szCs w:val="32"/>
        </w:rPr>
      </w:pPr>
      <w:r>
        <w:rPr>
          <w:rFonts w:ascii="仿宋" w:hAnsi="仿宋" w:eastAsia="仿宋"/>
          <w:color w:val="000000" w:themeColor="text1"/>
          <w:sz w:val="32"/>
          <w:szCs w:val="32"/>
        </w:rPr>
        <w:drawing>
          <wp:anchor distT="0" distB="0" distL="114300" distR="114300" simplePos="0" relativeHeight="251665408" behindDoc="0" locked="0" layoutInCell="1" allowOverlap="1">
            <wp:simplePos x="0" y="0"/>
            <wp:positionH relativeFrom="column">
              <wp:posOffset>447675</wp:posOffset>
            </wp:positionH>
            <wp:positionV relativeFrom="paragraph">
              <wp:posOffset>123825</wp:posOffset>
            </wp:positionV>
            <wp:extent cx="4572000" cy="2743200"/>
            <wp:effectExtent l="19050" t="0" r="19050" b="0"/>
            <wp:wrapSquare wrapText="bothSides"/>
            <wp:docPr id="26" name="图表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rPr>
          <w:rFonts w:ascii="仿宋" w:hAnsi="仿宋" w:eastAsia="仿宋"/>
          <w:color w:val="000000" w:themeColor="text1"/>
          <w:sz w:val="32"/>
          <w:szCs w:val="32"/>
        </w:rPr>
      </w:pPr>
    </w:p>
    <w:p>
      <w:pPr>
        <w:spacing w:line="600" w:lineRule="exact"/>
        <w:ind w:firstLine="640"/>
        <w:rPr>
          <w:rFonts w:ascii="仿宋" w:hAnsi="仿宋" w:eastAsia="仿宋"/>
          <w:color w:val="000000" w:themeColor="text1"/>
          <w:sz w:val="32"/>
          <w:szCs w:val="32"/>
        </w:rPr>
      </w:pPr>
    </w:p>
    <w:p>
      <w:pPr>
        <w:spacing w:line="600" w:lineRule="exact"/>
        <w:ind w:firstLine="640"/>
        <w:rPr>
          <w:rFonts w:ascii="仿宋" w:hAnsi="仿宋" w:eastAsia="仿宋"/>
          <w:color w:val="000000" w:themeColor="text1"/>
          <w:sz w:val="32"/>
          <w:szCs w:val="32"/>
        </w:rPr>
      </w:pPr>
    </w:p>
    <w:p>
      <w:pPr>
        <w:spacing w:line="600" w:lineRule="exact"/>
        <w:ind w:firstLine="640"/>
        <w:rPr>
          <w:rFonts w:ascii="仿宋" w:hAnsi="仿宋" w:eastAsia="仿宋"/>
          <w:color w:val="000000" w:themeColor="text1"/>
          <w:sz w:val="32"/>
          <w:szCs w:val="32"/>
        </w:rPr>
      </w:pPr>
    </w:p>
    <w:p>
      <w:pPr>
        <w:spacing w:line="600" w:lineRule="exact"/>
        <w:ind w:firstLine="640"/>
        <w:rPr>
          <w:rFonts w:ascii="仿宋" w:hAnsi="仿宋" w:eastAsia="仿宋"/>
          <w:color w:val="000000" w:themeColor="text1"/>
          <w:sz w:val="32"/>
          <w:szCs w:val="32"/>
        </w:rPr>
      </w:pPr>
    </w:p>
    <w:p>
      <w:pPr>
        <w:spacing w:line="600" w:lineRule="exact"/>
        <w:ind w:firstLine="640"/>
        <w:rPr>
          <w:rFonts w:ascii="仿宋" w:hAnsi="仿宋" w:eastAsia="仿宋"/>
          <w:color w:val="000000" w:themeColor="text1"/>
          <w:sz w:val="32"/>
          <w:szCs w:val="32"/>
        </w:rPr>
      </w:pPr>
    </w:p>
    <w:p>
      <w:pPr>
        <w:spacing w:line="600" w:lineRule="exact"/>
        <w:ind w:firstLine="640"/>
        <w:rPr>
          <w:rFonts w:ascii="仿宋" w:hAnsi="仿宋" w:eastAsia="仿宋"/>
          <w:color w:val="000000" w:themeColor="text1"/>
          <w:sz w:val="32"/>
          <w:szCs w:val="32"/>
        </w:rPr>
      </w:pPr>
    </w:p>
    <w:p>
      <w:pPr>
        <w:spacing w:line="600" w:lineRule="exact"/>
        <w:ind w:firstLine="640"/>
        <w:rPr>
          <w:rFonts w:ascii="仿宋" w:hAnsi="仿宋" w:eastAsia="仿宋"/>
          <w:color w:val="000000" w:themeColor="text1"/>
          <w:sz w:val="32"/>
          <w:szCs w:val="32"/>
        </w:rPr>
      </w:pPr>
      <w:r>
        <w:rPr>
          <w:rFonts w:hint="eastAsia" w:ascii="仿宋" w:hAnsi="仿宋" w:eastAsia="仿宋"/>
          <w:color w:val="000000" w:themeColor="text1"/>
          <w:sz w:val="32"/>
          <w:szCs w:val="32"/>
        </w:rPr>
        <w:t>（图7：“三公”经费财政拨款支出结构）（饼状图）</w:t>
      </w:r>
    </w:p>
    <w:p>
      <w:pPr>
        <w:spacing w:line="600" w:lineRule="exact"/>
        <w:ind w:firstLine="640"/>
        <w:rPr>
          <w:rFonts w:ascii="仿宋_GB2312" w:eastAsia="仿宋_GB2312"/>
          <w:b/>
          <w:color w:val="000000" w:themeColor="text1"/>
          <w:sz w:val="32"/>
          <w:szCs w:val="32"/>
        </w:rPr>
      </w:pPr>
      <w:r>
        <w:rPr>
          <w:rFonts w:ascii="仿宋_GB2312" w:eastAsia="仿宋_GB2312"/>
          <w:b/>
          <w:color w:val="000000" w:themeColor="text1"/>
          <w:sz w:val="32"/>
          <w:szCs w:val="32"/>
        </w:rPr>
        <w:t>1.</w:t>
      </w:r>
      <w:r>
        <w:rPr>
          <w:rFonts w:hint="eastAsia" w:ascii="仿宋_GB2312" w:eastAsia="仿宋_GB2312"/>
          <w:b/>
          <w:color w:val="000000" w:themeColor="text1"/>
          <w:sz w:val="32"/>
          <w:szCs w:val="32"/>
        </w:rPr>
        <w:t>因公出国（境）经费支出</w:t>
      </w:r>
      <w:r>
        <w:rPr>
          <w:rFonts w:hint="eastAsia" w:ascii="仿宋_GB2312" w:eastAsia="仿宋_GB2312"/>
          <w:color w:val="000000" w:themeColor="text1"/>
          <w:sz w:val="32"/>
          <w:szCs w:val="32"/>
        </w:rPr>
        <w:t>0万元，</w:t>
      </w:r>
      <w:r>
        <w:rPr>
          <w:rStyle w:val="14"/>
          <w:rFonts w:hint="eastAsia" w:ascii="仿宋" w:hAnsi="仿宋" w:eastAsia="仿宋"/>
          <w:b w:val="0"/>
          <w:bCs/>
          <w:color w:val="000000" w:themeColor="text1"/>
          <w:sz w:val="32"/>
          <w:szCs w:val="32"/>
        </w:rPr>
        <w:t>完成预算</w:t>
      </w:r>
      <w:r>
        <w:rPr>
          <w:rStyle w:val="14"/>
          <w:rFonts w:ascii="仿宋" w:hAnsi="仿宋" w:eastAsia="仿宋"/>
          <w:b w:val="0"/>
          <w:bCs/>
          <w:color w:val="000000" w:themeColor="text1"/>
          <w:sz w:val="32"/>
          <w:szCs w:val="32"/>
        </w:rPr>
        <w:t>%</w:t>
      </w:r>
      <w:r>
        <w:rPr>
          <w:rStyle w:val="14"/>
          <w:rFonts w:hint="eastAsia" w:ascii="仿宋" w:hAnsi="仿宋" w:eastAsia="仿宋"/>
          <w:b w:val="0"/>
          <w:bCs/>
          <w:color w:val="000000" w:themeColor="text1"/>
          <w:sz w:val="32"/>
          <w:szCs w:val="32"/>
        </w:rPr>
        <w:t>。</w:t>
      </w:r>
      <w:r>
        <w:rPr>
          <w:rFonts w:hint="eastAsia" w:ascii="仿宋_GB2312" w:eastAsia="仿宋_GB2312"/>
          <w:color w:val="000000" w:themeColor="text1"/>
          <w:sz w:val="32"/>
          <w:szCs w:val="32"/>
        </w:rPr>
        <w:t>全年安排因公出国（境）团组0次，出国（境）0人。因公出国（境）支出决算比</w:t>
      </w:r>
      <w:r>
        <w:rPr>
          <w:rFonts w:ascii="仿宋_GB2312" w:eastAsia="仿宋_GB2312"/>
          <w:color w:val="000000" w:themeColor="text1"/>
          <w:sz w:val="32"/>
          <w:szCs w:val="32"/>
        </w:rPr>
        <w:t>201</w:t>
      </w:r>
      <w:r>
        <w:rPr>
          <w:rFonts w:hint="eastAsia" w:ascii="仿宋_GB2312" w:eastAsia="仿宋_GB2312"/>
          <w:color w:val="000000" w:themeColor="text1"/>
          <w:sz w:val="32"/>
          <w:szCs w:val="32"/>
        </w:rPr>
        <w:t>8年增加</w:t>
      </w:r>
      <w:r>
        <w:rPr>
          <w:rFonts w:ascii="仿宋_GB2312" w:eastAsia="仿宋_GB2312"/>
          <w:color w:val="000000" w:themeColor="text1"/>
          <w:sz w:val="32"/>
          <w:szCs w:val="32"/>
        </w:rPr>
        <w:t>/</w:t>
      </w:r>
      <w:r>
        <w:rPr>
          <w:rFonts w:hint="eastAsia" w:ascii="仿宋_GB2312" w:eastAsia="仿宋_GB2312"/>
          <w:color w:val="000000" w:themeColor="text1"/>
          <w:sz w:val="32"/>
          <w:szCs w:val="32"/>
        </w:rPr>
        <w:t>减少0万元，增长</w:t>
      </w:r>
      <w:r>
        <w:rPr>
          <w:rFonts w:ascii="仿宋_GB2312" w:eastAsia="仿宋_GB2312"/>
          <w:color w:val="000000" w:themeColor="text1"/>
          <w:sz w:val="32"/>
          <w:szCs w:val="32"/>
        </w:rPr>
        <w:t>/</w:t>
      </w:r>
      <w:r>
        <w:rPr>
          <w:rFonts w:hint="eastAsia" w:ascii="仿宋_GB2312" w:eastAsia="仿宋_GB2312"/>
          <w:color w:val="000000" w:themeColor="text1"/>
          <w:sz w:val="32"/>
          <w:szCs w:val="32"/>
        </w:rPr>
        <w:t>下降0</w:t>
      </w:r>
      <w:r>
        <w:rPr>
          <w:rFonts w:ascii="仿宋_GB2312" w:eastAsia="仿宋_GB2312"/>
          <w:color w:val="000000" w:themeColor="text1"/>
          <w:sz w:val="32"/>
          <w:szCs w:val="32"/>
        </w:rPr>
        <w:t>%</w:t>
      </w:r>
      <w:r>
        <w:rPr>
          <w:rFonts w:hint="eastAsia" w:ascii="仿宋_GB2312" w:eastAsia="仿宋_GB2312"/>
          <w:color w:val="000000" w:themeColor="text1"/>
          <w:sz w:val="32"/>
          <w:szCs w:val="32"/>
        </w:rPr>
        <w:t>。</w:t>
      </w:r>
    </w:p>
    <w:p>
      <w:pPr>
        <w:spacing w:line="600" w:lineRule="exact"/>
        <w:ind w:firstLine="640"/>
        <w:rPr>
          <w:rFonts w:ascii="仿宋_GB2312" w:eastAsia="仿宋_GB2312"/>
          <w:b/>
          <w:color w:val="000000" w:themeColor="text1"/>
          <w:sz w:val="32"/>
          <w:szCs w:val="32"/>
        </w:rPr>
      </w:pPr>
      <w:r>
        <w:rPr>
          <w:rFonts w:ascii="仿宋_GB2312" w:eastAsia="仿宋_GB2312"/>
          <w:b/>
          <w:color w:val="000000" w:themeColor="text1"/>
          <w:sz w:val="32"/>
          <w:szCs w:val="32"/>
        </w:rPr>
        <w:t>2.</w:t>
      </w:r>
      <w:r>
        <w:rPr>
          <w:rFonts w:hint="eastAsia" w:ascii="仿宋_GB2312" w:eastAsia="仿宋_GB2312"/>
          <w:b/>
          <w:color w:val="000000" w:themeColor="text1"/>
          <w:sz w:val="32"/>
          <w:szCs w:val="32"/>
        </w:rPr>
        <w:t>公务用车购置及运行维护费支出</w:t>
      </w:r>
      <w:r>
        <w:rPr>
          <w:rFonts w:hint="eastAsia" w:ascii="仿宋_GB2312" w:eastAsia="仿宋_GB2312"/>
          <w:color w:val="000000" w:themeColor="text1"/>
          <w:sz w:val="32"/>
          <w:szCs w:val="32"/>
        </w:rPr>
        <w:t>4万元,</w:t>
      </w:r>
      <w:r>
        <w:rPr>
          <w:rStyle w:val="14"/>
          <w:rFonts w:hint="eastAsia" w:ascii="仿宋" w:hAnsi="仿宋" w:eastAsia="仿宋"/>
          <w:b w:val="0"/>
          <w:bCs/>
          <w:color w:val="000000" w:themeColor="text1"/>
          <w:sz w:val="32"/>
          <w:szCs w:val="32"/>
        </w:rPr>
        <w:t>完成预算100</w:t>
      </w:r>
      <w:r>
        <w:rPr>
          <w:rStyle w:val="14"/>
          <w:rFonts w:ascii="仿宋" w:hAnsi="仿宋" w:eastAsia="仿宋"/>
          <w:b w:val="0"/>
          <w:bCs/>
          <w:color w:val="000000" w:themeColor="text1"/>
          <w:sz w:val="32"/>
          <w:szCs w:val="32"/>
        </w:rPr>
        <w:t>%</w:t>
      </w:r>
      <w:r>
        <w:rPr>
          <w:rStyle w:val="14"/>
          <w:rFonts w:hint="eastAsia" w:ascii="仿宋" w:hAnsi="仿宋" w:eastAsia="仿宋"/>
          <w:b w:val="0"/>
          <w:bCs/>
          <w:color w:val="000000" w:themeColor="text1"/>
          <w:sz w:val="32"/>
          <w:szCs w:val="32"/>
        </w:rPr>
        <w:t>。</w:t>
      </w:r>
      <w:r>
        <w:rPr>
          <w:rFonts w:hint="eastAsia" w:ascii="仿宋_GB2312" w:eastAsia="仿宋_GB2312"/>
          <w:color w:val="000000" w:themeColor="text1"/>
          <w:sz w:val="32"/>
          <w:szCs w:val="32"/>
        </w:rPr>
        <w:t>公务用车购置及运行维护费支出决算比</w:t>
      </w:r>
      <w:r>
        <w:rPr>
          <w:rFonts w:ascii="仿宋_GB2312" w:eastAsia="仿宋_GB2312"/>
          <w:color w:val="000000" w:themeColor="text1"/>
          <w:sz w:val="32"/>
          <w:szCs w:val="32"/>
        </w:rPr>
        <w:t>201</w:t>
      </w:r>
      <w:r>
        <w:rPr>
          <w:rFonts w:hint="eastAsia" w:ascii="仿宋_GB2312" w:eastAsia="仿宋_GB2312"/>
          <w:color w:val="000000" w:themeColor="text1"/>
          <w:sz w:val="32"/>
          <w:szCs w:val="32"/>
        </w:rPr>
        <w:t>8年持平。</w:t>
      </w:r>
    </w:p>
    <w:p>
      <w:pPr>
        <w:spacing w:line="600" w:lineRule="exact"/>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其中：</w:t>
      </w:r>
      <w:r>
        <w:rPr>
          <w:rFonts w:hint="eastAsia" w:ascii="仿宋_GB2312" w:eastAsia="仿宋_GB2312"/>
          <w:b/>
          <w:color w:val="000000" w:themeColor="text1"/>
          <w:sz w:val="32"/>
          <w:szCs w:val="32"/>
        </w:rPr>
        <w:t>公务用车购置支出</w:t>
      </w:r>
      <w:r>
        <w:rPr>
          <w:rFonts w:hint="eastAsia" w:ascii="仿宋_GB2312" w:eastAsia="仿宋_GB2312"/>
          <w:color w:val="000000" w:themeColor="text1"/>
          <w:sz w:val="32"/>
          <w:szCs w:val="32"/>
        </w:rPr>
        <w:t>0万元。全年按规定更新购置公务用车0辆，金额0</w:t>
      </w:r>
      <w:r>
        <w:rPr>
          <w:rFonts w:ascii="仿宋_GB2312" w:eastAsia="仿宋_GB2312"/>
          <w:color w:val="000000" w:themeColor="text1"/>
          <w:sz w:val="32"/>
          <w:szCs w:val="32"/>
        </w:rPr>
        <w:t>元。</w:t>
      </w:r>
      <w:r>
        <w:rPr>
          <w:rFonts w:hint="eastAsia" w:ascii="仿宋_GB2312" w:eastAsia="仿宋_GB2312"/>
          <w:color w:val="000000" w:themeColor="text1"/>
          <w:sz w:val="32"/>
          <w:szCs w:val="32"/>
        </w:rPr>
        <w:t>截至</w:t>
      </w:r>
      <w:r>
        <w:rPr>
          <w:rFonts w:ascii="仿宋_GB2312" w:eastAsia="仿宋_GB2312"/>
          <w:color w:val="000000" w:themeColor="text1"/>
          <w:sz w:val="32"/>
          <w:szCs w:val="32"/>
        </w:rPr>
        <w:t>201</w:t>
      </w:r>
      <w:r>
        <w:rPr>
          <w:rFonts w:hint="eastAsia" w:ascii="仿宋_GB2312" w:eastAsia="仿宋_GB2312"/>
          <w:color w:val="000000" w:themeColor="text1"/>
          <w:sz w:val="32"/>
          <w:szCs w:val="32"/>
        </w:rPr>
        <w:t>9年</w:t>
      </w:r>
      <w:r>
        <w:rPr>
          <w:rFonts w:ascii="仿宋_GB2312" w:eastAsia="仿宋_GB2312"/>
          <w:color w:val="000000" w:themeColor="text1"/>
          <w:sz w:val="32"/>
          <w:szCs w:val="32"/>
        </w:rPr>
        <w:t>12</w:t>
      </w:r>
      <w:r>
        <w:rPr>
          <w:rFonts w:hint="eastAsia" w:ascii="仿宋_GB2312" w:eastAsia="仿宋_GB2312"/>
          <w:color w:val="000000" w:themeColor="text1"/>
          <w:sz w:val="32"/>
          <w:szCs w:val="32"/>
        </w:rPr>
        <w:t>月底，单位共有公务用车4辆，其中：主要领导干部用车4辆、机要通信用车4辆、应急保障用车4辆、 执法执勤用车4辆.</w:t>
      </w:r>
    </w:p>
    <w:p>
      <w:pPr>
        <w:spacing w:line="600" w:lineRule="exact"/>
        <w:ind w:firstLine="640"/>
        <w:rPr>
          <w:rFonts w:ascii="仿宋_GB2312" w:eastAsia="仿宋_GB2312"/>
          <w:color w:val="000000" w:themeColor="text1"/>
          <w:sz w:val="32"/>
          <w:szCs w:val="32"/>
        </w:rPr>
      </w:pPr>
      <w:r>
        <w:rPr>
          <w:rFonts w:hint="eastAsia" w:ascii="仿宋_GB2312" w:eastAsia="仿宋_GB2312"/>
          <w:b/>
          <w:color w:val="000000" w:themeColor="text1"/>
          <w:sz w:val="32"/>
          <w:szCs w:val="32"/>
        </w:rPr>
        <w:t>公务用车运行维护费支出</w:t>
      </w:r>
      <w:r>
        <w:rPr>
          <w:rFonts w:hint="eastAsia" w:ascii="仿宋_GB2312" w:eastAsia="仿宋_GB2312"/>
          <w:color w:val="000000" w:themeColor="text1"/>
          <w:sz w:val="32"/>
          <w:szCs w:val="32"/>
        </w:rPr>
        <w:t>4万元。主要用于打非治违、客货运输、维修企业等安全检查等所需的公务用车燃料费、维修费、过路过桥费、保险费等支出。</w:t>
      </w:r>
    </w:p>
    <w:p>
      <w:pPr>
        <w:spacing w:line="600" w:lineRule="exact"/>
        <w:ind w:firstLine="640"/>
        <w:rPr>
          <w:rFonts w:ascii="仿宋_GB2312" w:eastAsia="仿宋_GB2312"/>
          <w:color w:val="000000" w:themeColor="text1"/>
          <w:sz w:val="32"/>
          <w:szCs w:val="32"/>
        </w:rPr>
      </w:pPr>
      <w:r>
        <w:rPr>
          <w:rFonts w:ascii="仿宋_GB2312" w:eastAsia="仿宋_GB2312"/>
          <w:b/>
          <w:color w:val="000000" w:themeColor="text1"/>
          <w:sz w:val="32"/>
          <w:szCs w:val="32"/>
        </w:rPr>
        <w:t>3.</w:t>
      </w:r>
      <w:r>
        <w:rPr>
          <w:rFonts w:hint="eastAsia" w:ascii="仿宋_GB2312" w:eastAsia="仿宋_GB2312"/>
          <w:b/>
          <w:color w:val="000000" w:themeColor="text1"/>
          <w:sz w:val="32"/>
          <w:szCs w:val="32"/>
        </w:rPr>
        <w:t>公务接待费支出</w:t>
      </w:r>
      <w:r>
        <w:rPr>
          <w:rFonts w:hint="eastAsia" w:ascii="仿宋_GB2312" w:eastAsia="仿宋_GB2312"/>
          <w:color w:val="000000" w:themeColor="text1"/>
          <w:sz w:val="32"/>
          <w:szCs w:val="32"/>
        </w:rPr>
        <w:t>0.13万元，</w:t>
      </w:r>
      <w:r>
        <w:rPr>
          <w:rStyle w:val="14"/>
          <w:rFonts w:hint="eastAsia" w:ascii="仿宋" w:hAnsi="仿宋" w:eastAsia="仿宋"/>
          <w:b w:val="0"/>
          <w:bCs/>
          <w:color w:val="000000" w:themeColor="text1"/>
          <w:sz w:val="32"/>
          <w:szCs w:val="32"/>
        </w:rPr>
        <w:t>完成预算100</w:t>
      </w:r>
      <w:r>
        <w:rPr>
          <w:rStyle w:val="14"/>
          <w:rFonts w:ascii="仿宋" w:hAnsi="仿宋" w:eastAsia="仿宋"/>
          <w:b w:val="0"/>
          <w:bCs/>
          <w:color w:val="000000" w:themeColor="text1"/>
          <w:sz w:val="32"/>
          <w:szCs w:val="32"/>
        </w:rPr>
        <w:t>%</w:t>
      </w:r>
      <w:r>
        <w:rPr>
          <w:rStyle w:val="14"/>
          <w:rFonts w:hint="eastAsia" w:ascii="仿宋" w:hAnsi="仿宋" w:eastAsia="仿宋"/>
          <w:b w:val="0"/>
          <w:bCs/>
          <w:color w:val="000000" w:themeColor="text1"/>
          <w:sz w:val="32"/>
          <w:szCs w:val="32"/>
        </w:rPr>
        <w:t>。</w:t>
      </w:r>
      <w:r>
        <w:rPr>
          <w:rFonts w:hint="eastAsia" w:ascii="仿宋_GB2312" w:eastAsia="仿宋_GB2312"/>
          <w:color w:val="000000" w:themeColor="text1"/>
          <w:sz w:val="32"/>
          <w:szCs w:val="32"/>
        </w:rPr>
        <w:t>公务接待费支出决算比</w:t>
      </w:r>
      <w:r>
        <w:rPr>
          <w:rFonts w:ascii="仿宋_GB2312" w:eastAsia="仿宋_GB2312"/>
          <w:color w:val="000000" w:themeColor="text1"/>
          <w:sz w:val="32"/>
          <w:szCs w:val="32"/>
        </w:rPr>
        <w:t>201</w:t>
      </w:r>
      <w:r>
        <w:rPr>
          <w:rFonts w:hint="eastAsia" w:ascii="仿宋_GB2312" w:eastAsia="仿宋_GB2312"/>
          <w:color w:val="000000" w:themeColor="text1"/>
          <w:sz w:val="32"/>
          <w:szCs w:val="32"/>
        </w:rPr>
        <w:t>8年减少0.15万元，下降53.5</w:t>
      </w:r>
      <w:r>
        <w:rPr>
          <w:rFonts w:ascii="仿宋_GB2312" w:eastAsia="仿宋_GB2312"/>
          <w:color w:val="000000" w:themeColor="text1"/>
          <w:sz w:val="32"/>
          <w:szCs w:val="32"/>
        </w:rPr>
        <w:t>%</w:t>
      </w:r>
      <w:r>
        <w:rPr>
          <w:rFonts w:hint="eastAsia" w:ascii="仿宋_GB2312" w:eastAsia="仿宋_GB2312"/>
          <w:color w:val="000000" w:themeColor="text1"/>
          <w:sz w:val="32"/>
          <w:szCs w:val="32"/>
        </w:rPr>
        <w:t>。主要原因是我单位执行县政府出台的八项规定严格控制接待费用。</w:t>
      </w:r>
    </w:p>
    <w:p>
      <w:pPr>
        <w:spacing w:line="600" w:lineRule="exact"/>
        <w:ind w:firstLine="640"/>
        <w:rPr>
          <w:rFonts w:ascii="仿宋_GB2312" w:eastAsia="仿宋_GB2312"/>
          <w:color w:val="000000" w:themeColor="text1"/>
          <w:sz w:val="32"/>
          <w:szCs w:val="32"/>
        </w:rPr>
      </w:pPr>
      <w:r>
        <w:rPr>
          <w:rFonts w:hint="eastAsia" w:ascii="仿宋" w:hAnsi="仿宋" w:eastAsia="仿宋"/>
          <w:b/>
          <w:color w:val="000000" w:themeColor="text1"/>
          <w:sz w:val="32"/>
          <w:szCs w:val="32"/>
        </w:rPr>
        <w:t>国内公务接待支出</w:t>
      </w:r>
      <w:r>
        <w:rPr>
          <w:rFonts w:hint="eastAsia" w:ascii="仿宋" w:hAnsi="仿宋" w:eastAsia="仿宋"/>
          <w:color w:val="000000" w:themeColor="text1"/>
          <w:sz w:val="32"/>
          <w:szCs w:val="32"/>
        </w:rPr>
        <w:t>0</w:t>
      </w:r>
      <w:r>
        <w:rPr>
          <w:rFonts w:hint="eastAsia" w:ascii="仿宋_GB2312" w:eastAsia="仿宋_GB2312"/>
          <w:color w:val="000000" w:themeColor="text1"/>
          <w:sz w:val="32"/>
          <w:szCs w:val="32"/>
        </w:rPr>
        <w:t>万元。国内公务接待6批次，36人次（包括陪同人员），共计支出0.13万元，具体内容包括：全州安全检查0.13万元。</w:t>
      </w:r>
    </w:p>
    <w:p>
      <w:pPr>
        <w:spacing w:line="600" w:lineRule="exact"/>
        <w:ind w:firstLine="642" w:firstLineChars="200"/>
        <w:rPr>
          <w:rFonts w:ascii="黑体" w:eastAsia="黑体"/>
          <w:color w:val="000000" w:themeColor="text1"/>
          <w:sz w:val="32"/>
          <w:szCs w:val="32"/>
        </w:rPr>
      </w:pPr>
      <w:r>
        <w:rPr>
          <w:rFonts w:hint="eastAsia" w:ascii="仿宋" w:hAnsi="仿宋" w:eastAsia="仿宋"/>
          <w:b/>
          <w:color w:val="000000" w:themeColor="text1"/>
          <w:sz w:val="32"/>
          <w:szCs w:val="32"/>
        </w:rPr>
        <w:t>外事接待支出</w:t>
      </w:r>
      <w:r>
        <w:rPr>
          <w:rFonts w:hint="eastAsia" w:ascii="仿宋" w:hAnsi="仿宋" w:eastAsia="仿宋"/>
          <w:color w:val="000000" w:themeColor="text1"/>
          <w:sz w:val="32"/>
          <w:szCs w:val="32"/>
        </w:rPr>
        <w:t>0</w:t>
      </w:r>
      <w:r>
        <w:rPr>
          <w:rFonts w:hint="eastAsia" w:ascii="仿宋_GB2312" w:eastAsia="仿宋_GB2312"/>
          <w:color w:val="000000" w:themeColor="text1"/>
          <w:sz w:val="32"/>
          <w:szCs w:val="32"/>
        </w:rPr>
        <w:t>万元，外事接待0批次，0人，共计支出0万元。</w:t>
      </w:r>
      <w:bookmarkStart w:id="46" w:name="_Toc15396610"/>
      <w:bookmarkStart w:id="47" w:name="_Toc15377218"/>
    </w:p>
    <w:p>
      <w:pPr>
        <w:spacing w:line="600" w:lineRule="exact"/>
        <w:ind w:firstLine="640"/>
        <w:outlineLvl w:val="1"/>
        <w:rPr>
          <w:rStyle w:val="25"/>
          <w:rFonts w:ascii="黑体" w:hAnsi="黑体" w:eastAsia="黑体"/>
          <w:color w:val="000000" w:themeColor="text1"/>
        </w:rPr>
      </w:pPr>
      <w:r>
        <w:rPr>
          <w:rFonts w:hint="eastAsia" w:ascii="黑体" w:eastAsia="黑体"/>
          <w:color w:val="000000" w:themeColor="text1"/>
          <w:sz w:val="32"/>
          <w:szCs w:val="32"/>
        </w:rPr>
        <w:t>八、</w:t>
      </w:r>
      <w:r>
        <w:rPr>
          <w:rStyle w:val="25"/>
          <w:rFonts w:hint="eastAsia" w:ascii="黑体" w:hAnsi="黑体" w:eastAsia="黑体"/>
          <w:b w:val="0"/>
          <w:color w:val="000000" w:themeColor="text1"/>
        </w:rPr>
        <w:t>政府性基金预算支出决算情况说明</w:t>
      </w:r>
      <w:bookmarkEnd w:id="46"/>
      <w:bookmarkEnd w:id="47"/>
    </w:p>
    <w:p>
      <w:pPr>
        <w:spacing w:line="600" w:lineRule="exact"/>
        <w:ind w:firstLine="640"/>
        <w:rPr>
          <w:rFonts w:ascii="仿宋_GB2312" w:eastAsia="仿宋_GB2312"/>
          <w:color w:val="000000" w:themeColor="text1"/>
          <w:sz w:val="32"/>
          <w:szCs w:val="32"/>
        </w:rPr>
      </w:pPr>
      <w:r>
        <w:rPr>
          <w:rFonts w:ascii="仿宋_GB2312" w:eastAsia="仿宋_GB2312"/>
          <w:color w:val="000000" w:themeColor="text1"/>
          <w:sz w:val="32"/>
          <w:szCs w:val="32"/>
        </w:rPr>
        <w:t>201</w:t>
      </w:r>
      <w:r>
        <w:rPr>
          <w:rFonts w:hint="eastAsia" w:ascii="仿宋_GB2312" w:eastAsia="仿宋_GB2312"/>
          <w:color w:val="000000" w:themeColor="text1"/>
          <w:sz w:val="32"/>
          <w:szCs w:val="32"/>
        </w:rPr>
        <w:t>9年无政府性基金预算拨款。</w:t>
      </w:r>
    </w:p>
    <w:p>
      <w:pPr>
        <w:numPr>
          <w:ilvl w:val="0"/>
          <w:numId w:val="2"/>
        </w:numPr>
        <w:spacing w:line="600" w:lineRule="exact"/>
        <w:ind w:firstLine="640"/>
        <w:outlineLvl w:val="1"/>
        <w:rPr>
          <w:rStyle w:val="25"/>
          <w:rFonts w:ascii="黑体" w:hAnsi="黑体" w:eastAsia="黑体"/>
          <w:b w:val="0"/>
          <w:color w:val="000000" w:themeColor="text1"/>
        </w:rPr>
      </w:pPr>
      <w:bookmarkStart w:id="48" w:name="_Toc15396611"/>
      <w:bookmarkStart w:id="49" w:name="_Toc15377219"/>
      <w:r>
        <w:rPr>
          <w:rStyle w:val="25"/>
          <w:rFonts w:hint="eastAsia" w:ascii="黑体" w:hAnsi="黑体" w:eastAsia="黑体"/>
          <w:b w:val="0"/>
          <w:color w:val="000000" w:themeColor="text1"/>
        </w:rPr>
        <w:t>国有资本经营预算支出决算情况说明</w:t>
      </w:r>
      <w:bookmarkEnd w:id="48"/>
      <w:bookmarkEnd w:id="49"/>
    </w:p>
    <w:p>
      <w:pPr>
        <w:spacing w:line="600" w:lineRule="exact"/>
        <w:ind w:firstLine="640"/>
        <w:rPr>
          <w:rFonts w:ascii="方正小标宋简体" w:hAnsi="方正小标宋简体" w:eastAsia="方正小标宋简体" w:cs="方正小标宋简体"/>
          <w:color w:val="000000" w:themeColor="text1"/>
          <w:sz w:val="44"/>
          <w:szCs w:val="44"/>
        </w:rPr>
      </w:pPr>
      <w:r>
        <w:rPr>
          <w:rFonts w:ascii="仿宋_GB2312" w:eastAsia="仿宋_GB2312"/>
          <w:color w:val="000000" w:themeColor="text1"/>
          <w:sz w:val="32"/>
          <w:szCs w:val="32"/>
        </w:rPr>
        <w:t>201</w:t>
      </w:r>
      <w:r>
        <w:rPr>
          <w:rFonts w:hint="eastAsia" w:ascii="仿宋_GB2312" w:eastAsia="仿宋_GB2312"/>
          <w:color w:val="000000" w:themeColor="text1"/>
          <w:sz w:val="32"/>
          <w:szCs w:val="32"/>
        </w:rPr>
        <w:t>9年国无资本经营预算拨款。</w:t>
      </w:r>
    </w:p>
    <w:p>
      <w:pPr>
        <w:spacing w:line="600" w:lineRule="exact"/>
        <w:ind w:firstLine="800" w:firstLineChars="250"/>
        <w:outlineLvl w:val="1"/>
        <w:rPr>
          <w:rStyle w:val="25"/>
          <w:rFonts w:ascii="黑体" w:hAnsi="黑体" w:eastAsia="黑体"/>
          <w:color w:val="000000" w:themeColor="text1"/>
        </w:rPr>
      </w:pPr>
      <w:bookmarkStart w:id="50" w:name="_Toc15396612"/>
      <w:bookmarkStart w:id="51" w:name="_Toc15377221"/>
      <w:r>
        <w:rPr>
          <w:rFonts w:hint="eastAsia" w:ascii="黑体" w:hAnsi="黑体" w:eastAsia="黑体"/>
          <w:color w:val="000000" w:themeColor="text1"/>
          <w:sz w:val="32"/>
          <w:szCs w:val="32"/>
        </w:rPr>
        <w:t>十</w:t>
      </w:r>
      <w:r>
        <w:rPr>
          <w:rStyle w:val="25"/>
          <w:rFonts w:hint="eastAsia" w:ascii="黑体" w:hAnsi="黑体" w:eastAsia="黑体"/>
          <w:color w:val="000000" w:themeColor="text1"/>
        </w:rPr>
        <w:t>、</w:t>
      </w:r>
      <w:r>
        <w:rPr>
          <w:rStyle w:val="25"/>
          <w:rFonts w:hint="eastAsia" w:ascii="黑体" w:hAnsi="黑体" w:eastAsia="黑体"/>
          <w:b w:val="0"/>
          <w:color w:val="000000" w:themeColor="text1"/>
        </w:rPr>
        <w:t>其他重要事项的情况说明</w:t>
      </w:r>
      <w:bookmarkEnd w:id="50"/>
      <w:bookmarkEnd w:id="51"/>
    </w:p>
    <w:p>
      <w:pPr>
        <w:spacing w:line="600" w:lineRule="exact"/>
        <w:ind w:firstLine="642" w:firstLineChars="200"/>
        <w:outlineLvl w:val="2"/>
        <w:rPr>
          <w:rFonts w:ascii="楷体" w:hAnsi="楷体" w:eastAsia="楷体" w:cs="楷体"/>
          <w:b/>
          <w:bCs/>
          <w:sz w:val="32"/>
          <w:szCs w:val="32"/>
        </w:rPr>
      </w:pPr>
      <w:bookmarkStart w:id="52" w:name="_Toc15377222"/>
      <w:r>
        <w:rPr>
          <w:rFonts w:hint="eastAsia" w:ascii="楷体" w:hAnsi="楷体" w:eastAsia="楷体" w:cs="楷体"/>
          <w:b/>
          <w:bCs/>
          <w:sz w:val="32"/>
          <w:szCs w:val="32"/>
        </w:rPr>
        <w:t>（一）机关运行经费支出情况</w:t>
      </w:r>
      <w:bookmarkEnd w:id="52"/>
    </w:p>
    <w:p>
      <w:pPr>
        <w:spacing w:line="600" w:lineRule="exact"/>
        <w:ind w:firstLine="640" w:firstLineChars="200"/>
        <w:rPr>
          <w:rFonts w:ascii="仿宋_GB2312" w:eastAsia="仿宋_GB2312"/>
          <w:color w:val="000000" w:themeColor="text1"/>
          <w:sz w:val="32"/>
          <w:szCs w:val="32"/>
        </w:rPr>
      </w:pPr>
      <w:r>
        <w:rPr>
          <w:rFonts w:ascii="仿宋_GB2312" w:eastAsia="仿宋_GB2312"/>
          <w:color w:val="000000" w:themeColor="text1"/>
          <w:sz w:val="32"/>
          <w:szCs w:val="32"/>
        </w:rPr>
        <w:t>201</w:t>
      </w:r>
      <w:r>
        <w:rPr>
          <w:rFonts w:hint="eastAsia" w:ascii="仿宋_GB2312" w:eastAsia="仿宋_GB2312"/>
          <w:color w:val="000000" w:themeColor="text1"/>
          <w:sz w:val="32"/>
          <w:szCs w:val="32"/>
        </w:rPr>
        <w:t>9年，运管所机关运行经费支出23.71万元，比</w:t>
      </w:r>
      <w:r>
        <w:rPr>
          <w:rFonts w:ascii="仿宋_GB2312" w:eastAsia="仿宋_GB2312"/>
          <w:color w:val="000000" w:themeColor="text1"/>
          <w:sz w:val="32"/>
          <w:szCs w:val="32"/>
        </w:rPr>
        <w:t>201</w:t>
      </w:r>
      <w:r>
        <w:rPr>
          <w:rFonts w:hint="eastAsia" w:ascii="仿宋_GB2312" w:eastAsia="仿宋_GB2312"/>
          <w:color w:val="000000" w:themeColor="text1"/>
          <w:sz w:val="32"/>
          <w:szCs w:val="32"/>
        </w:rPr>
        <w:t>8年增加9.28万元，增长64.3</w:t>
      </w:r>
      <w:r>
        <w:rPr>
          <w:rFonts w:ascii="仿宋_GB2312" w:eastAsia="仿宋_GB2312"/>
          <w:color w:val="000000" w:themeColor="text1"/>
          <w:sz w:val="32"/>
          <w:szCs w:val="32"/>
        </w:rPr>
        <w:t>%</w:t>
      </w:r>
      <w:r>
        <w:rPr>
          <w:rFonts w:hint="eastAsia" w:ascii="仿宋_GB2312" w:eastAsia="仿宋_GB2312"/>
          <w:color w:val="000000" w:themeColor="text1"/>
          <w:sz w:val="32"/>
          <w:szCs w:val="32"/>
        </w:rPr>
        <w:t>。主要原因是人员增加等。</w:t>
      </w:r>
    </w:p>
    <w:p>
      <w:pPr>
        <w:spacing w:line="600" w:lineRule="exact"/>
        <w:ind w:firstLine="642" w:firstLineChars="200"/>
        <w:outlineLvl w:val="2"/>
        <w:rPr>
          <w:rFonts w:ascii="楷体" w:hAnsi="楷体" w:eastAsia="楷体" w:cs="楷体"/>
          <w:b/>
          <w:bCs/>
          <w:sz w:val="32"/>
          <w:szCs w:val="32"/>
        </w:rPr>
      </w:pPr>
      <w:bookmarkStart w:id="53" w:name="_Toc15377223"/>
      <w:r>
        <w:rPr>
          <w:rFonts w:hint="eastAsia" w:ascii="楷体" w:hAnsi="楷体" w:eastAsia="楷体" w:cs="楷体"/>
          <w:b/>
          <w:bCs/>
          <w:sz w:val="32"/>
          <w:szCs w:val="32"/>
        </w:rPr>
        <w:t>（二）政府采购支出情况</w:t>
      </w:r>
      <w:bookmarkEnd w:id="53"/>
    </w:p>
    <w:p>
      <w:pPr>
        <w:spacing w:line="576" w:lineRule="exact"/>
        <w:ind w:firstLine="640"/>
        <w:rPr>
          <w:rFonts w:ascii="仿宋_GB2312" w:eastAsia="仿宋_GB2312"/>
          <w:color w:val="000000" w:themeColor="text1"/>
          <w:sz w:val="32"/>
          <w:szCs w:val="32"/>
        </w:rPr>
      </w:pPr>
      <w:r>
        <w:rPr>
          <w:rFonts w:hint="eastAsia" w:ascii="仿宋_GB2312" w:eastAsia="仿宋_GB2312"/>
          <w:color w:val="000000" w:themeColor="text1"/>
          <w:sz w:val="32"/>
          <w:szCs w:val="32"/>
        </w:rPr>
        <w:t>茂县道路运输管理所</w:t>
      </w:r>
      <w:r>
        <w:rPr>
          <w:rFonts w:ascii="仿宋_GB2312" w:eastAsia="仿宋_GB2312"/>
          <w:color w:val="000000" w:themeColor="text1"/>
          <w:sz w:val="32"/>
          <w:szCs w:val="32"/>
        </w:rPr>
        <w:t>201</w:t>
      </w:r>
      <w:r>
        <w:rPr>
          <w:rFonts w:hint="eastAsia" w:ascii="仿宋_GB2312" w:eastAsia="仿宋_GB2312"/>
          <w:color w:val="000000" w:themeColor="text1"/>
          <w:sz w:val="32"/>
          <w:szCs w:val="32"/>
        </w:rPr>
        <w:t>9年无政府性基金预算拨款。</w:t>
      </w:r>
    </w:p>
    <w:p>
      <w:pPr>
        <w:spacing w:line="600" w:lineRule="exact"/>
        <w:ind w:firstLine="642" w:firstLineChars="200"/>
        <w:outlineLvl w:val="2"/>
        <w:rPr>
          <w:rFonts w:ascii="楷体" w:hAnsi="楷体" w:eastAsia="楷体" w:cs="楷体"/>
          <w:b/>
          <w:bCs/>
          <w:sz w:val="32"/>
          <w:szCs w:val="32"/>
        </w:rPr>
      </w:pPr>
      <w:bookmarkStart w:id="54" w:name="_Toc15377224"/>
      <w:r>
        <w:rPr>
          <w:rFonts w:hint="eastAsia" w:ascii="楷体" w:hAnsi="楷体" w:eastAsia="楷体" w:cs="楷体"/>
          <w:b/>
          <w:bCs/>
          <w:sz w:val="32"/>
          <w:szCs w:val="32"/>
        </w:rPr>
        <w:t>（三）国有资产占有使用情况</w:t>
      </w:r>
      <w:bookmarkEnd w:id="54"/>
    </w:p>
    <w:p>
      <w:pPr>
        <w:autoSpaceDE w:val="0"/>
        <w:autoSpaceDN w:val="0"/>
        <w:adjustRightInd w:val="0"/>
        <w:spacing w:line="600" w:lineRule="exact"/>
        <w:ind w:firstLine="640" w:firstLineChars="200"/>
        <w:jc w:val="left"/>
        <w:rPr>
          <w:rFonts w:ascii="仿宋" w:hAnsi="仿宋" w:eastAsia="仿宋"/>
          <w:b/>
          <w:color w:val="000000" w:themeColor="text1"/>
          <w:sz w:val="32"/>
          <w:szCs w:val="32"/>
        </w:rPr>
      </w:pPr>
      <w:r>
        <w:rPr>
          <w:rFonts w:hint="eastAsia" w:ascii="仿宋_GB2312" w:eastAsia="仿宋_GB2312"/>
          <w:color w:val="000000" w:themeColor="text1"/>
          <w:sz w:val="32"/>
          <w:szCs w:val="32"/>
        </w:rPr>
        <w:t>截至</w:t>
      </w:r>
      <w:r>
        <w:rPr>
          <w:rFonts w:ascii="仿宋_GB2312" w:eastAsia="仿宋_GB2312"/>
          <w:color w:val="000000" w:themeColor="text1"/>
          <w:sz w:val="32"/>
          <w:szCs w:val="32"/>
        </w:rPr>
        <w:t>201</w:t>
      </w:r>
      <w:r>
        <w:rPr>
          <w:rFonts w:hint="eastAsia" w:ascii="仿宋_GB2312" w:eastAsia="仿宋_GB2312"/>
          <w:color w:val="000000" w:themeColor="text1"/>
          <w:sz w:val="32"/>
          <w:szCs w:val="32"/>
        </w:rPr>
        <w:t>9年</w:t>
      </w:r>
      <w:r>
        <w:rPr>
          <w:rFonts w:ascii="仿宋_GB2312" w:eastAsia="仿宋_GB2312"/>
          <w:color w:val="000000" w:themeColor="text1"/>
          <w:sz w:val="32"/>
          <w:szCs w:val="32"/>
        </w:rPr>
        <w:t>12</w:t>
      </w:r>
      <w:r>
        <w:rPr>
          <w:rFonts w:hint="eastAsia" w:ascii="仿宋_GB2312" w:eastAsia="仿宋_GB2312"/>
          <w:color w:val="000000" w:themeColor="text1"/>
          <w:sz w:val="32"/>
          <w:szCs w:val="32"/>
        </w:rPr>
        <w:t>月</w:t>
      </w:r>
      <w:r>
        <w:rPr>
          <w:rFonts w:ascii="仿宋_GB2312" w:eastAsia="仿宋_GB2312"/>
          <w:color w:val="000000" w:themeColor="text1"/>
          <w:sz w:val="32"/>
          <w:szCs w:val="32"/>
        </w:rPr>
        <w:t>31</w:t>
      </w:r>
      <w:r>
        <w:rPr>
          <w:rFonts w:hint="eastAsia" w:ascii="仿宋_GB2312" w:eastAsia="仿宋_GB2312"/>
          <w:color w:val="000000" w:themeColor="text1"/>
          <w:sz w:val="32"/>
          <w:szCs w:val="32"/>
        </w:rPr>
        <w:t>日，茂县运管所共有车辆4辆，其中：主要领导干部用车0辆、机要通信用车0辆、应急保障用车0辆、其他用车4辆4、其他用车主要是用于打非治违、客货运安全检查，单价</w:t>
      </w:r>
      <w:r>
        <w:rPr>
          <w:rFonts w:ascii="仿宋_GB2312" w:eastAsia="仿宋_GB2312"/>
          <w:color w:val="000000" w:themeColor="text1"/>
          <w:sz w:val="32"/>
          <w:szCs w:val="32"/>
        </w:rPr>
        <w:t>50</w:t>
      </w:r>
      <w:r>
        <w:rPr>
          <w:rFonts w:hint="eastAsia" w:ascii="仿宋_GB2312" w:eastAsia="仿宋_GB2312"/>
          <w:color w:val="000000" w:themeColor="text1"/>
          <w:sz w:val="32"/>
          <w:szCs w:val="32"/>
        </w:rPr>
        <w:t>万元以上通用设备0台（套），单价</w:t>
      </w:r>
      <w:r>
        <w:rPr>
          <w:rFonts w:ascii="仿宋_GB2312" w:eastAsia="仿宋_GB2312"/>
          <w:color w:val="000000" w:themeColor="text1"/>
          <w:sz w:val="32"/>
          <w:szCs w:val="32"/>
        </w:rPr>
        <w:t>100</w:t>
      </w:r>
      <w:r>
        <w:rPr>
          <w:rFonts w:hint="eastAsia" w:ascii="仿宋_GB2312" w:eastAsia="仿宋_GB2312"/>
          <w:color w:val="000000" w:themeColor="text1"/>
          <w:sz w:val="32"/>
          <w:szCs w:val="32"/>
        </w:rPr>
        <w:t>万元以上专用设备0台（套）。</w:t>
      </w:r>
    </w:p>
    <w:p>
      <w:pPr>
        <w:spacing w:line="600" w:lineRule="exact"/>
        <w:ind w:firstLine="642" w:firstLineChars="200"/>
        <w:outlineLvl w:val="2"/>
        <w:rPr>
          <w:rFonts w:ascii="楷体" w:hAnsi="楷体" w:eastAsia="楷体" w:cs="楷体"/>
          <w:b/>
          <w:bCs/>
          <w:sz w:val="32"/>
          <w:szCs w:val="32"/>
        </w:rPr>
      </w:pPr>
      <w:r>
        <w:rPr>
          <w:rFonts w:hint="eastAsia" w:ascii="楷体" w:hAnsi="楷体" w:eastAsia="楷体" w:cs="楷体"/>
          <w:b/>
          <w:bCs/>
          <w:sz w:val="32"/>
          <w:szCs w:val="32"/>
        </w:rPr>
        <w:t>（四）预算绩效管理情况</w:t>
      </w:r>
    </w:p>
    <w:p>
      <w:pPr>
        <w:spacing w:line="580" w:lineRule="exact"/>
        <w:ind w:firstLine="640" w:firstLineChars="20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根据预算绩效管理要求，本部门（单位）在年初预算编制阶段，组织对2个项目（“公路运输管理”“成品油价格改革对交通运输的补贴”）开展了预算事前绩效评估，对2个项目编制了绩效目标，预算执行过程中，选取2个项目开展绩效监控，年终执行完毕后，对2个项目开展了绩效目标完成情况自评。</w:t>
      </w:r>
    </w:p>
    <w:p>
      <w:pPr>
        <w:spacing w:line="600" w:lineRule="exact"/>
        <w:ind w:firstLine="640" w:firstLineChars="200"/>
        <w:outlineLvl w:val="2"/>
        <w:rPr>
          <w:rFonts w:ascii="仿宋_GB2312" w:hAnsi="仿宋_GB2312" w:eastAsia="仿宋_GB2312" w:cs="仿宋_GB2312"/>
          <w:color w:val="000000" w:themeColor="text1"/>
          <w:sz w:val="32"/>
          <w:szCs w:val="32"/>
        </w:rPr>
      </w:pPr>
      <w:r>
        <w:rPr>
          <w:rFonts w:hint="eastAsia" w:ascii="仿宋_GB2312" w:hAnsi="楷体" w:eastAsia="仿宋_GB2312" w:cs="仿宋_GB2312"/>
          <w:color w:val="000000" w:themeColor="text1"/>
          <w:sz w:val="32"/>
          <w:szCs w:val="32"/>
        </w:rPr>
        <w:t>本部门按要求对2019年部门整体支出开展绩效自评，从评价情况来看，</w:t>
      </w:r>
      <w:r>
        <w:rPr>
          <w:rFonts w:hint="eastAsia" w:ascii="仿宋_GB2312" w:eastAsia="仿宋_GB2312"/>
          <w:color w:val="000000" w:themeColor="text1"/>
          <w:sz w:val="32"/>
          <w:szCs w:val="32"/>
          <w:shd w:val="clear" w:color="auto" w:fill="FFFFFF"/>
        </w:rPr>
        <w:t>我所所有财政资金支出主要用于保障本单位机构正常运转、完成日常工作任务以及承担社会保险事业发展相关工作。</w:t>
      </w:r>
    </w:p>
    <w:p>
      <w:pPr>
        <w:spacing w:line="576" w:lineRule="exact"/>
        <w:ind w:firstLine="640" w:firstLineChars="200"/>
        <w:outlineLvl w:val="1"/>
        <w:rPr>
          <w:rFonts w:ascii="仿宋_GB2312" w:hAnsi="仿宋_GB2312" w:eastAsia="仿宋_GB2312" w:cs="仿宋_GB2312"/>
          <w:color w:val="000000" w:themeColor="text1"/>
          <w:sz w:val="32"/>
          <w:szCs w:val="32"/>
        </w:rPr>
      </w:pPr>
      <w:r>
        <w:rPr>
          <w:rFonts w:hint="eastAsia" w:ascii="楷体_GB2312" w:hAnsi="楷体_GB2312" w:eastAsia="楷体_GB2312" w:cs="楷体_GB2312"/>
          <w:color w:val="000000" w:themeColor="text1"/>
          <w:sz w:val="32"/>
          <w:szCs w:val="32"/>
        </w:rPr>
        <w:t>1.项目绩效目标完成情况。</w:t>
      </w:r>
      <w:r>
        <w:rPr>
          <w:rFonts w:hint="eastAsia" w:ascii="楷体_GB2312" w:hAnsi="楷体_GB2312" w:eastAsia="楷体_GB2312" w:cs="楷体_GB2312"/>
          <w:color w:val="000000" w:themeColor="text1"/>
          <w:sz w:val="32"/>
          <w:szCs w:val="32"/>
        </w:rPr>
        <w:br w:type="textWrapping"/>
      </w:r>
      <w:r>
        <w:rPr>
          <w:rFonts w:hint="eastAsia" w:ascii="仿宋_GB2312" w:hAnsi="仿宋_GB2312" w:eastAsia="仿宋_GB2312" w:cs="仿宋_GB2312"/>
          <w:color w:val="000000" w:themeColor="text1"/>
          <w:sz w:val="32"/>
          <w:szCs w:val="32"/>
        </w:rPr>
        <w:t xml:space="preserve">    本部门在2019年度部门决算中反映“公路运输管理”“成品油价格改革对交通运输的补贴”“公路和运输安全</w:t>
      </w:r>
      <w:r>
        <w:rPr>
          <w:rFonts w:ascii="仿宋_GB2312" w:hAnsi="仿宋_GB2312" w:eastAsia="仿宋_GB2312" w:cs="仿宋_GB2312"/>
          <w:color w:val="000000" w:themeColor="text1"/>
          <w:sz w:val="32"/>
          <w:szCs w:val="32"/>
        </w:rPr>
        <w:t>”</w:t>
      </w:r>
      <w:r>
        <w:rPr>
          <w:rFonts w:hint="eastAsia" w:ascii="仿宋_GB2312" w:hAnsi="仿宋_GB2312" w:eastAsia="仿宋_GB2312" w:cs="仿宋_GB2312"/>
          <w:color w:val="000000" w:themeColor="text1"/>
          <w:sz w:val="32"/>
          <w:szCs w:val="32"/>
        </w:rPr>
        <w:t>3个项目绩效目标实际完成情况。</w:t>
      </w:r>
    </w:p>
    <w:p>
      <w:pPr>
        <w:widowControl/>
        <w:ind w:firstLine="640" w:firstLineChars="200"/>
        <w:jc w:val="left"/>
        <w:rPr>
          <w:rFonts w:ascii="仿宋" w:hAnsi="仿宋" w:eastAsia="仿宋" w:cs="仿宋"/>
          <w:color w:val="000000" w:themeColor="text1"/>
          <w:kern w:val="0"/>
          <w:sz w:val="31"/>
          <w:szCs w:val="31"/>
        </w:rPr>
      </w:pPr>
      <w:r>
        <w:rPr>
          <w:rFonts w:hint="eastAsia" w:ascii="仿宋_GB2312" w:hAnsi="仿宋_GB2312" w:eastAsia="仿宋_GB2312" w:cs="仿宋_GB2312"/>
          <w:color w:val="000000" w:themeColor="text1"/>
          <w:sz w:val="32"/>
          <w:szCs w:val="32"/>
        </w:rPr>
        <w:t>（1）公路运输管理</w:t>
      </w:r>
      <w:r>
        <w:rPr>
          <w:rFonts w:ascii="仿宋" w:hAnsi="仿宋" w:eastAsia="仿宋" w:cs="仿宋"/>
          <w:color w:val="000000" w:themeColor="text1"/>
          <w:kern w:val="0"/>
          <w:sz w:val="31"/>
          <w:szCs w:val="31"/>
        </w:rPr>
        <w:t>项目绩效目标完成情况综述。项目全年预算数</w:t>
      </w:r>
      <w:r>
        <w:rPr>
          <w:rFonts w:hint="eastAsia" w:ascii="仿宋" w:hAnsi="仿宋" w:eastAsia="仿宋" w:cs="仿宋"/>
          <w:color w:val="000000" w:themeColor="text1"/>
          <w:kern w:val="0"/>
          <w:sz w:val="31"/>
          <w:szCs w:val="31"/>
        </w:rPr>
        <w:t>44.58</w:t>
      </w:r>
      <w:r>
        <w:rPr>
          <w:rFonts w:ascii="仿宋" w:hAnsi="仿宋" w:eastAsia="仿宋" w:cs="仿宋"/>
          <w:color w:val="000000" w:themeColor="text1"/>
          <w:kern w:val="0"/>
          <w:sz w:val="31"/>
          <w:szCs w:val="31"/>
        </w:rPr>
        <w:t>万元</w:t>
      </w:r>
      <w:r>
        <w:rPr>
          <w:rFonts w:hint="eastAsia" w:ascii="仿宋" w:hAnsi="仿宋" w:eastAsia="仿宋" w:cs="仿宋"/>
          <w:color w:val="000000" w:themeColor="text1"/>
          <w:kern w:val="0"/>
          <w:sz w:val="31"/>
          <w:szCs w:val="31"/>
        </w:rPr>
        <w:t>（包括公路运输管理和城市公交车的亏损补贴费用）</w:t>
      </w:r>
      <w:r>
        <w:rPr>
          <w:rFonts w:ascii="仿宋" w:hAnsi="仿宋" w:eastAsia="仿宋" w:cs="仿宋"/>
          <w:color w:val="000000" w:themeColor="text1"/>
          <w:kern w:val="0"/>
          <w:sz w:val="31"/>
          <w:szCs w:val="31"/>
        </w:rPr>
        <w:t>，</w:t>
      </w:r>
      <w:r>
        <w:rPr>
          <w:rFonts w:hint="eastAsia" w:ascii="仿宋" w:hAnsi="仿宋" w:eastAsia="仿宋" w:cs="仿宋"/>
          <w:color w:val="000000" w:themeColor="text1"/>
          <w:kern w:val="0"/>
          <w:sz w:val="31"/>
          <w:szCs w:val="31"/>
        </w:rPr>
        <w:t>执行数40.27万元</w:t>
      </w:r>
      <w:r>
        <w:rPr>
          <w:rFonts w:ascii="仿宋" w:hAnsi="仿宋" w:eastAsia="仿宋" w:cs="仿宋"/>
          <w:color w:val="000000" w:themeColor="text1"/>
          <w:kern w:val="0"/>
          <w:sz w:val="31"/>
          <w:szCs w:val="31"/>
        </w:rPr>
        <w:t>，完成预算的</w:t>
      </w:r>
      <w:r>
        <w:rPr>
          <w:rFonts w:hint="eastAsia" w:ascii="仿宋" w:hAnsi="仿宋" w:eastAsia="仿宋" w:cs="仿宋"/>
          <w:color w:val="000000" w:themeColor="text1"/>
          <w:kern w:val="0"/>
          <w:sz w:val="31"/>
          <w:szCs w:val="31"/>
        </w:rPr>
        <w:t>90.33%</w:t>
      </w:r>
      <w:r>
        <w:rPr>
          <w:rFonts w:ascii="仿宋" w:hAnsi="仿宋" w:eastAsia="仿宋" w:cs="仿宋"/>
          <w:color w:val="000000" w:themeColor="text1"/>
          <w:kern w:val="0"/>
          <w:sz w:val="31"/>
          <w:szCs w:val="31"/>
        </w:rPr>
        <w:t>。通过项目实施，保障了</w:t>
      </w:r>
      <w:r>
        <w:rPr>
          <w:rFonts w:hint="eastAsia" w:ascii="仿宋" w:hAnsi="仿宋" w:eastAsia="仿宋" w:cs="仿宋"/>
          <w:color w:val="000000" w:themeColor="text1"/>
          <w:kern w:val="0"/>
          <w:sz w:val="31"/>
          <w:szCs w:val="31"/>
        </w:rPr>
        <w:t>我县</w:t>
      </w:r>
      <w:r>
        <w:rPr>
          <w:rFonts w:hint="eastAsia" w:ascii="仿宋_GB2312" w:hAnsi="仿宋_GB2312" w:eastAsia="仿宋_GB2312" w:cs="仿宋_GB2312"/>
          <w:color w:val="000000" w:themeColor="text1"/>
          <w:sz w:val="32"/>
          <w:szCs w:val="32"/>
        </w:rPr>
        <w:t>公路运输管理</w:t>
      </w:r>
      <w:r>
        <w:rPr>
          <w:rFonts w:ascii="仿宋" w:hAnsi="仿宋" w:eastAsia="仿宋" w:cs="仿宋"/>
          <w:color w:val="000000" w:themeColor="text1"/>
          <w:kern w:val="0"/>
          <w:sz w:val="31"/>
          <w:szCs w:val="31"/>
        </w:rPr>
        <w:t>的顺利开展</w:t>
      </w:r>
      <w:r>
        <w:rPr>
          <w:rFonts w:hint="eastAsia" w:ascii="仿宋" w:hAnsi="仿宋" w:eastAsia="仿宋" w:cs="仿宋"/>
          <w:color w:val="000000" w:themeColor="text1"/>
          <w:kern w:val="0"/>
          <w:sz w:val="31"/>
          <w:szCs w:val="31"/>
        </w:rPr>
        <w:t>以及的正常运行，4.31万元年末结余结转</w:t>
      </w:r>
      <w:r>
        <w:rPr>
          <w:rFonts w:ascii="仿宋" w:hAnsi="仿宋" w:eastAsia="仿宋" w:cs="仿宋"/>
          <w:color w:val="000000" w:themeColor="text1"/>
          <w:kern w:val="0"/>
          <w:sz w:val="31"/>
          <w:szCs w:val="31"/>
        </w:rPr>
        <w:t>。</w:t>
      </w:r>
    </w:p>
    <w:p>
      <w:pPr>
        <w:widowControl/>
        <w:ind w:firstLine="620" w:firstLineChars="200"/>
        <w:jc w:val="left"/>
        <w:rPr>
          <w:rFonts w:ascii="仿宋" w:hAnsi="仿宋" w:eastAsia="仿宋" w:cs="仿宋"/>
          <w:color w:val="000000" w:themeColor="text1"/>
          <w:kern w:val="0"/>
          <w:sz w:val="31"/>
          <w:szCs w:val="31"/>
        </w:rPr>
      </w:pPr>
      <w:r>
        <w:rPr>
          <w:rFonts w:hint="eastAsia" w:ascii="仿宋" w:hAnsi="仿宋" w:eastAsia="仿宋" w:cs="仿宋"/>
          <w:color w:val="000000" w:themeColor="text1"/>
          <w:kern w:val="0"/>
          <w:sz w:val="31"/>
          <w:szCs w:val="31"/>
        </w:rPr>
        <w:t>（2）成品油价格改革对交通运输的补贴完成情况综述。项目全年预算717.6万元，执行数717.6万元，完成预算的100%。通过项目的实施保障了我县出租车及农村道路客运车辆的正常运行。</w:t>
      </w:r>
    </w:p>
    <w:p>
      <w:pPr>
        <w:spacing w:line="580" w:lineRule="exact"/>
        <w:ind w:firstLine="640" w:firstLineChars="20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（3）公路和运输安全</w:t>
      </w:r>
      <w:r>
        <w:rPr>
          <w:rFonts w:hint="eastAsia" w:ascii="仿宋" w:hAnsi="仿宋" w:eastAsia="仿宋" w:cs="仿宋"/>
          <w:color w:val="000000" w:themeColor="text1"/>
          <w:kern w:val="0"/>
          <w:sz w:val="31"/>
          <w:szCs w:val="31"/>
        </w:rPr>
        <w:t>完成情况综述项目全年预算11万，由于项目资金不明确故未做支付、年末结余结转。</w:t>
      </w:r>
    </w:p>
    <w:p>
      <w:pPr>
        <w:spacing w:line="580" w:lineRule="exact"/>
        <w:ind w:firstLine="640" w:firstLineChars="200"/>
        <w:rPr>
          <w:rFonts w:ascii="仿宋_GB2312" w:hAnsi="仿宋_GB2312" w:eastAsia="仿宋_GB2312" w:cs="仿宋_GB2312"/>
          <w:color w:val="000000" w:themeColor="text1"/>
          <w:sz w:val="32"/>
          <w:szCs w:val="32"/>
        </w:rPr>
      </w:pPr>
    </w:p>
    <w:p>
      <w:pPr>
        <w:spacing w:line="580" w:lineRule="exact"/>
        <w:ind w:firstLine="640" w:firstLineChars="200"/>
        <w:rPr>
          <w:rFonts w:ascii="仿宋_GB2312" w:hAnsi="仿宋_GB2312" w:eastAsia="仿宋_GB2312" w:cs="仿宋_GB2312"/>
          <w:color w:val="000000" w:themeColor="text1"/>
          <w:sz w:val="32"/>
          <w:szCs w:val="32"/>
        </w:rPr>
      </w:pPr>
    </w:p>
    <w:p>
      <w:pPr>
        <w:spacing w:line="580" w:lineRule="exact"/>
        <w:ind w:firstLine="640" w:firstLineChars="200"/>
        <w:rPr>
          <w:rFonts w:ascii="仿宋_GB2312" w:hAnsi="仿宋_GB2312" w:eastAsia="仿宋_GB2312" w:cs="仿宋_GB2312"/>
          <w:color w:val="000000" w:themeColor="text1"/>
          <w:sz w:val="32"/>
          <w:szCs w:val="32"/>
        </w:rPr>
      </w:pPr>
    </w:p>
    <w:p>
      <w:pPr>
        <w:spacing w:line="580" w:lineRule="exact"/>
        <w:ind w:firstLine="640" w:firstLineChars="200"/>
        <w:rPr>
          <w:rFonts w:ascii="仿宋_GB2312" w:hAnsi="仿宋_GB2312" w:eastAsia="仿宋_GB2312" w:cs="仿宋_GB2312"/>
          <w:color w:val="000000" w:themeColor="text1"/>
          <w:sz w:val="32"/>
          <w:szCs w:val="32"/>
        </w:rPr>
      </w:pPr>
    </w:p>
    <w:p>
      <w:pPr>
        <w:spacing w:line="580" w:lineRule="exact"/>
        <w:ind w:firstLine="640" w:firstLineChars="200"/>
        <w:rPr>
          <w:rFonts w:ascii="仿宋_GB2312" w:hAnsi="仿宋_GB2312" w:eastAsia="仿宋_GB2312" w:cs="仿宋_GB2312"/>
          <w:color w:val="000000" w:themeColor="text1"/>
          <w:sz w:val="32"/>
          <w:szCs w:val="32"/>
        </w:rPr>
      </w:pPr>
    </w:p>
    <w:p>
      <w:pPr>
        <w:spacing w:line="580" w:lineRule="exact"/>
        <w:ind w:firstLine="640" w:firstLineChars="200"/>
        <w:rPr>
          <w:rFonts w:ascii="仿宋_GB2312" w:hAnsi="仿宋_GB2312" w:eastAsia="仿宋_GB2312" w:cs="仿宋_GB2312"/>
          <w:color w:val="000000" w:themeColor="text1"/>
          <w:sz w:val="32"/>
          <w:szCs w:val="32"/>
        </w:rPr>
      </w:pPr>
    </w:p>
    <w:p>
      <w:pPr>
        <w:spacing w:line="580" w:lineRule="exact"/>
        <w:ind w:firstLine="640" w:firstLineChars="200"/>
        <w:rPr>
          <w:rFonts w:ascii="仿宋_GB2312" w:hAnsi="仿宋_GB2312" w:eastAsia="仿宋_GB2312" w:cs="仿宋_GB2312"/>
          <w:color w:val="000000" w:themeColor="text1"/>
          <w:sz w:val="32"/>
          <w:szCs w:val="32"/>
        </w:rPr>
      </w:pPr>
    </w:p>
    <w:p>
      <w:pPr>
        <w:spacing w:line="580" w:lineRule="exact"/>
        <w:ind w:firstLine="640" w:firstLineChars="200"/>
        <w:rPr>
          <w:rFonts w:ascii="仿宋_GB2312" w:hAnsi="仿宋_GB2312" w:eastAsia="仿宋_GB2312" w:cs="仿宋_GB2312"/>
          <w:color w:val="000000" w:themeColor="text1"/>
          <w:sz w:val="32"/>
          <w:szCs w:val="32"/>
        </w:rPr>
      </w:pPr>
    </w:p>
    <w:p>
      <w:pPr>
        <w:spacing w:line="580" w:lineRule="exact"/>
        <w:ind w:firstLine="640" w:firstLineChars="200"/>
        <w:rPr>
          <w:rFonts w:ascii="仿宋_GB2312" w:hAnsi="仿宋_GB2312" w:eastAsia="仿宋_GB2312" w:cs="仿宋_GB2312"/>
          <w:color w:val="000000" w:themeColor="text1"/>
          <w:sz w:val="32"/>
          <w:szCs w:val="32"/>
        </w:rPr>
      </w:pPr>
    </w:p>
    <w:p>
      <w:pPr>
        <w:spacing w:line="580" w:lineRule="exact"/>
        <w:ind w:firstLine="640" w:firstLineChars="200"/>
        <w:rPr>
          <w:rFonts w:ascii="仿宋_GB2312" w:hAnsi="仿宋_GB2312" w:eastAsia="仿宋_GB2312" w:cs="仿宋_GB2312"/>
          <w:color w:val="000000" w:themeColor="text1"/>
          <w:sz w:val="32"/>
          <w:szCs w:val="32"/>
        </w:rPr>
      </w:pPr>
    </w:p>
    <w:p>
      <w:pPr>
        <w:spacing w:line="580" w:lineRule="exact"/>
        <w:ind w:firstLine="640" w:firstLineChars="200"/>
        <w:rPr>
          <w:rFonts w:ascii="仿宋_GB2312" w:hAnsi="仿宋_GB2312" w:eastAsia="仿宋_GB2312" w:cs="仿宋_GB2312"/>
          <w:color w:val="000000" w:themeColor="text1"/>
          <w:sz w:val="32"/>
          <w:szCs w:val="32"/>
        </w:rPr>
      </w:pPr>
    </w:p>
    <w:p>
      <w:pPr>
        <w:spacing w:line="580" w:lineRule="exact"/>
        <w:ind w:firstLine="640" w:firstLineChars="200"/>
        <w:rPr>
          <w:rFonts w:ascii="仿宋_GB2312" w:hAnsi="仿宋_GB2312" w:eastAsia="仿宋_GB2312" w:cs="仿宋_GB2312"/>
          <w:color w:val="000000" w:themeColor="text1"/>
          <w:sz w:val="32"/>
          <w:szCs w:val="32"/>
        </w:rPr>
      </w:pPr>
    </w:p>
    <w:p>
      <w:pPr>
        <w:spacing w:line="580" w:lineRule="exact"/>
        <w:ind w:firstLine="640" w:firstLineChars="200"/>
        <w:rPr>
          <w:rFonts w:ascii="仿宋_GB2312" w:hAnsi="仿宋_GB2312" w:eastAsia="仿宋_GB2312" w:cs="仿宋_GB2312"/>
          <w:color w:val="000000" w:themeColor="text1"/>
          <w:sz w:val="32"/>
          <w:szCs w:val="32"/>
        </w:rPr>
      </w:pPr>
    </w:p>
    <w:p>
      <w:pPr>
        <w:spacing w:line="580" w:lineRule="exact"/>
        <w:ind w:firstLine="640" w:firstLineChars="200"/>
        <w:rPr>
          <w:rFonts w:ascii="仿宋_GB2312" w:hAnsi="仿宋_GB2312" w:eastAsia="仿宋_GB2312" w:cs="仿宋_GB2312"/>
          <w:color w:val="000000" w:themeColor="text1"/>
          <w:sz w:val="32"/>
          <w:szCs w:val="32"/>
        </w:rPr>
      </w:pPr>
    </w:p>
    <w:p>
      <w:pPr>
        <w:spacing w:line="580" w:lineRule="exact"/>
        <w:ind w:firstLine="640" w:firstLineChars="200"/>
        <w:rPr>
          <w:rFonts w:ascii="仿宋_GB2312" w:hAnsi="仿宋_GB2312" w:eastAsia="仿宋_GB2312" w:cs="仿宋_GB2312"/>
          <w:color w:val="000000" w:themeColor="text1"/>
          <w:sz w:val="32"/>
          <w:szCs w:val="32"/>
        </w:rPr>
      </w:pPr>
    </w:p>
    <w:p>
      <w:pPr>
        <w:spacing w:line="580" w:lineRule="exact"/>
        <w:ind w:firstLine="640" w:firstLineChars="200"/>
        <w:rPr>
          <w:rFonts w:ascii="仿宋_GB2312" w:hAnsi="仿宋_GB2312" w:eastAsia="仿宋_GB2312" w:cs="仿宋_GB2312"/>
          <w:color w:val="000000" w:themeColor="text1"/>
          <w:sz w:val="32"/>
          <w:szCs w:val="32"/>
        </w:rPr>
      </w:pPr>
    </w:p>
    <w:p>
      <w:pPr>
        <w:spacing w:line="580" w:lineRule="exact"/>
        <w:ind w:firstLine="640" w:firstLineChars="200"/>
        <w:rPr>
          <w:rFonts w:ascii="仿宋_GB2312" w:hAnsi="仿宋_GB2312" w:eastAsia="仿宋_GB2312" w:cs="仿宋_GB2312"/>
          <w:color w:val="000000" w:themeColor="text1"/>
          <w:sz w:val="32"/>
          <w:szCs w:val="32"/>
        </w:rPr>
      </w:pPr>
    </w:p>
    <w:p>
      <w:pPr>
        <w:spacing w:line="580" w:lineRule="exact"/>
        <w:ind w:firstLine="640" w:firstLineChars="200"/>
        <w:rPr>
          <w:rFonts w:ascii="仿宋_GB2312" w:hAnsi="仿宋_GB2312" w:eastAsia="仿宋_GB2312" w:cs="仿宋_GB2312"/>
          <w:color w:val="000000" w:themeColor="text1"/>
          <w:sz w:val="32"/>
          <w:szCs w:val="32"/>
        </w:rPr>
      </w:pP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rPr>
          <w:trHeight w:val="1034" w:hRule="atLeast"/>
        </w:trPr>
        <w:tc>
          <w:tcPr>
            <w:tcW w:w="9960" w:type="dxa"/>
            <w:gridSpan w:val="6"/>
            <w:tcMar>
              <w:top w:w="15" w:type="dxa"/>
              <w:left w:w="15" w:type="dxa"/>
              <w:bottom w:w="0" w:type="dxa"/>
              <w:right w:w="15" w:type="dxa"/>
            </w:tcMar>
            <w:vAlign w:val="center"/>
          </w:tcPr>
          <w:p>
            <w:pPr>
              <w:widowControl/>
              <w:jc w:val="center"/>
              <w:textAlignment w:val="center"/>
              <w:rPr>
                <w:rFonts w:ascii="宋体" w:hAnsi="宋体" w:cs="宋体"/>
                <w:color w:val="000000" w:themeColor="text1"/>
                <w:sz w:val="36"/>
                <w:szCs w:val="36"/>
              </w:rPr>
            </w:pPr>
            <w:r>
              <w:rPr>
                <w:rFonts w:hint="eastAsia" w:ascii="宋体" w:hAnsi="宋体" w:cs="宋体"/>
                <w:b/>
                <w:bCs/>
                <w:color w:val="000000" w:themeColor="text1"/>
                <w:kern w:val="0"/>
                <w:sz w:val="36"/>
                <w:szCs w:val="36"/>
              </w:rPr>
              <w:t>项目绩效目标完成情况表</w:t>
            </w:r>
            <w:r>
              <w:rPr>
                <w:rFonts w:hint="eastAsia" w:ascii="宋体" w:hAnsi="宋体" w:cs="宋体"/>
                <w:b/>
                <w:bCs/>
                <w:color w:val="000000" w:themeColor="text1"/>
                <w:kern w:val="0"/>
                <w:sz w:val="36"/>
                <w:szCs w:val="36"/>
              </w:rPr>
              <w:br w:type="textWrapping"/>
            </w:r>
            <w:r>
              <w:rPr>
                <w:rFonts w:hint="eastAsia" w:ascii="宋体" w:hAnsi="宋体" w:cs="宋体"/>
                <w:color w:val="000000" w:themeColor="text1"/>
                <w:kern w:val="0"/>
                <w:sz w:val="36"/>
                <w:szCs w:val="36"/>
              </w:rPr>
              <w:t>(2019 年度)</w:t>
            </w:r>
          </w:p>
        </w:tc>
      </w:tr>
      <w:tr>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公路运输管理</w:t>
            </w:r>
          </w:p>
        </w:tc>
      </w:tr>
      <w:tr>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茂县道路运输管理所</w:t>
            </w:r>
          </w:p>
        </w:tc>
      </w:tr>
      <w:tr>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预算执行情况(万元)</w:t>
            </w:r>
          </w:p>
          <w:p>
            <w:pPr>
              <w:widowControl/>
              <w:jc w:val="center"/>
              <w:textAlignment w:val="center"/>
              <w:rPr>
                <w:rFonts w:ascii="宋体" w:hAnsi="宋体" w:cs="宋体"/>
                <w:color w:val="000000" w:themeColor="text1"/>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44.58</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40.27</w:t>
            </w:r>
          </w:p>
        </w:tc>
      </w:tr>
      <w:tr>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44.56</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40.27</w:t>
            </w:r>
          </w:p>
        </w:tc>
      </w:tr>
      <w:tr>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themeColor="text1"/>
                <w:sz w:val="24"/>
              </w:rPr>
            </w:pPr>
            <w:r>
              <w:rPr>
                <w:rFonts w:hint="eastAsia" w:ascii="宋体" w:hAnsi="宋体" w:cs="宋体"/>
                <w:color w:val="000000" w:themeColor="text1"/>
                <w:sz w:val="24"/>
              </w:rPr>
              <w:t>0</w:t>
            </w:r>
          </w:p>
        </w:tc>
      </w:tr>
      <w:tr>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年度目标完成情况</w:t>
            </w:r>
          </w:p>
          <w:p>
            <w:pPr>
              <w:widowControl/>
              <w:jc w:val="center"/>
              <w:textAlignment w:val="center"/>
              <w:rPr>
                <w:rFonts w:ascii="宋体" w:hAnsi="宋体" w:cs="宋体"/>
                <w:color w:val="000000" w:themeColor="text1"/>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实际完成目标</w:t>
            </w:r>
          </w:p>
        </w:tc>
      </w:tr>
      <w:tr>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ascii="宋体" w:hAnsi="宋体" w:cs="宋体"/>
                <w:color w:val="000000" w:themeColor="text1"/>
                <w:sz w:val="24"/>
              </w:rPr>
              <w:t>保障</w:t>
            </w:r>
            <w:r>
              <w:rPr>
                <w:rFonts w:hint="eastAsia" w:ascii="宋体" w:hAnsi="宋体" w:cs="宋体"/>
                <w:color w:val="000000" w:themeColor="text1"/>
                <w:sz w:val="24"/>
              </w:rPr>
              <w:t>本</w:t>
            </w:r>
            <w:r>
              <w:rPr>
                <w:rFonts w:ascii="宋体" w:hAnsi="宋体" w:cs="宋体"/>
                <w:color w:val="000000" w:themeColor="text1"/>
                <w:sz w:val="24"/>
              </w:rPr>
              <w:t>单位</w:t>
            </w:r>
            <w:r>
              <w:rPr>
                <w:rFonts w:hint="eastAsia" w:ascii="宋体" w:hAnsi="宋体" w:cs="宋体"/>
                <w:color w:val="000000" w:themeColor="text1"/>
                <w:sz w:val="24"/>
              </w:rPr>
              <w:t>更好的开展打非治违工作以及</w:t>
            </w:r>
            <w:r>
              <w:rPr>
                <w:rFonts w:ascii="宋体" w:hAnsi="宋体" w:cs="宋体"/>
                <w:color w:val="000000" w:themeColor="text1"/>
                <w:sz w:val="24"/>
              </w:rPr>
              <w:t>机构正常运行</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ascii="宋体" w:hAnsi="宋体" w:cs="宋体"/>
                <w:color w:val="000000" w:themeColor="text1"/>
                <w:sz w:val="24"/>
              </w:rPr>
              <w:t>保障</w:t>
            </w:r>
            <w:r>
              <w:rPr>
                <w:rFonts w:hint="eastAsia" w:ascii="宋体" w:hAnsi="宋体" w:cs="宋体"/>
                <w:color w:val="000000" w:themeColor="text1"/>
                <w:sz w:val="24"/>
              </w:rPr>
              <w:t>本</w:t>
            </w:r>
            <w:r>
              <w:rPr>
                <w:rFonts w:ascii="宋体" w:hAnsi="宋体" w:cs="宋体"/>
                <w:color w:val="000000" w:themeColor="text1"/>
                <w:sz w:val="24"/>
              </w:rPr>
              <w:t>单位</w:t>
            </w:r>
            <w:r>
              <w:rPr>
                <w:rFonts w:hint="eastAsia" w:ascii="宋体" w:hAnsi="宋体" w:cs="宋体"/>
                <w:color w:val="000000" w:themeColor="text1"/>
                <w:sz w:val="24"/>
              </w:rPr>
              <w:t>更好的开展打非治违工作以及</w:t>
            </w:r>
            <w:r>
              <w:rPr>
                <w:rFonts w:ascii="宋体" w:hAnsi="宋体" w:cs="宋体"/>
                <w:color w:val="000000" w:themeColor="text1"/>
                <w:sz w:val="24"/>
              </w:rPr>
              <w:t>机构正常运行</w:t>
            </w:r>
          </w:p>
        </w:tc>
      </w:tr>
      <w:tr>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绩效指标完成情况</w:t>
            </w:r>
          </w:p>
          <w:p>
            <w:pPr>
              <w:widowControl/>
              <w:jc w:val="center"/>
              <w:textAlignment w:val="center"/>
              <w:rPr>
                <w:rFonts w:ascii="宋体" w:hAnsi="宋体" w:cs="宋体"/>
                <w:color w:val="000000" w:themeColor="text1"/>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实际完成指标值(包含数字及文字描述)</w:t>
            </w:r>
          </w:p>
        </w:tc>
      </w:tr>
      <w:tr>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ascii="宋体" w:hAnsi="宋体" w:cs="宋体"/>
                <w:color w:val="000000" w:themeColor="text1"/>
                <w:sz w:val="24"/>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ascii="宋体" w:hAnsi="宋体" w:cs="宋体"/>
                <w:color w:val="000000" w:themeColor="text1"/>
                <w:sz w:val="24"/>
              </w:rPr>
              <w:t>当年</w:t>
            </w:r>
            <w:r>
              <w:rPr>
                <w:rFonts w:hint="eastAsia" w:ascii="宋体" w:hAnsi="宋体" w:cs="宋体"/>
                <w:color w:val="000000" w:themeColor="text1"/>
                <w:sz w:val="24"/>
              </w:rPr>
              <w:t>12月底前</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ascii="宋体" w:hAnsi="宋体" w:cs="宋体"/>
                <w:color w:val="000000" w:themeColor="text1"/>
                <w:sz w:val="24"/>
              </w:rPr>
              <w:t>当年</w:t>
            </w:r>
            <w:r>
              <w:rPr>
                <w:rFonts w:hint="eastAsia" w:ascii="宋体" w:hAnsi="宋体" w:cs="宋体"/>
                <w:color w:val="000000" w:themeColor="text1"/>
                <w:sz w:val="24"/>
              </w:rPr>
              <w:t>12月底前</w:t>
            </w:r>
          </w:p>
        </w:tc>
      </w:tr>
      <w:tr>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ascii="宋体" w:hAnsi="宋体" w:cs="宋体"/>
                <w:color w:val="000000" w:themeColor="text1"/>
                <w:sz w:val="24"/>
              </w:rPr>
              <w:t>支出指标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ascii="宋体" w:hAnsi="宋体" w:cs="宋体"/>
                <w:color w:val="000000" w:themeColor="text1"/>
                <w:sz w:val="24"/>
              </w:rPr>
              <w:t>支出测算</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ascii="宋体" w:hAnsi="宋体" w:cs="宋体"/>
                <w:color w:val="000000" w:themeColor="text1"/>
                <w:sz w:val="24"/>
              </w:rPr>
              <w:t>按照往年及动态调整进行测算</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ascii="宋体" w:hAnsi="宋体" w:cs="宋体"/>
                <w:color w:val="000000" w:themeColor="text1"/>
                <w:sz w:val="24"/>
              </w:rPr>
              <w:t>费用正常支出</w:t>
            </w:r>
          </w:p>
        </w:tc>
      </w:tr>
      <w:tr>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ascii="宋体" w:hAnsi="宋体" w:cs="宋体"/>
                <w:color w:val="000000" w:themeColor="text1"/>
                <w:sz w:val="24"/>
              </w:rPr>
              <w:t>社会效益指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ascii="宋体" w:hAnsi="宋体" w:cs="宋体"/>
                <w:color w:val="000000" w:themeColor="text1"/>
                <w:sz w:val="24"/>
              </w:rPr>
              <w:t>拟达成效</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ascii="宋体" w:hAnsi="宋体" w:cs="宋体"/>
                <w:color w:val="000000" w:themeColor="text1"/>
                <w:sz w:val="24"/>
              </w:rPr>
              <w:t>保障</w:t>
            </w:r>
            <w:r>
              <w:rPr>
                <w:rFonts w:hint="eastAsia" w:ascii="宋体" w:hAnsi="宋体" w:cs="宋体"/>
                <w:color w:val="000000" w:themeColor="text1"/>
                <w:sz w:val="24"/>
              </w:rPr>
              <w:t>单位机构工作正常运行。</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ascii="宋体" w:hAnsi="宋体" w:cs="宋体"/>
                <w:color w:val="000000" w:themeColor="text1"/>
                <w:sz w:val="24"/>
              </w:rPr>
              <w:t>保障</w:t>
            </w:r>
            <w:r>
              <w:rPr>
                <w:rFonts w:hint="eastAsia" w:ascii="宋体" w:hAnsi="宋体" w:cs="宋体"/>
                <w:color w:val="000000" w:themeColor="text1"/>
                <w:sz w:val="24"/>
              </w:rPr>
              <w:t>单位机构工作正常运行。</w:t>
            </w:r>
          </w:p>
        </w:tc>
      </w:tr>
      <w:tr>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ascii="宋体" w:hAnsi="宋体" w:cs="宋体"/>
                <w:color w:val="000000" w:themeColor="text1"/>
                <w:sz w:val="24"/>
              </w:rPr>
              <w:t>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预计完成100%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ascii="宋体" w:hAnsi="宋体" w:cs="宋体"/>
                <w:color w:val="000000" w:themeColor="text1"/>
                <w:sz w:val="24"/>
              </w:rPr>
              <w:t>本着反对铺张浪费</w:t>
            </w:r>
            <w:r>
              <w:rPr>
                <w:rFonts w:hint="eastAsia" w:ascii="宋体" w:hAnsi="宋体" w:cs="宋体"/>
                <w:color w:val="000000" w:themeColor="text1"/>
                <w:sz w:val="24"/>
              </w:rPr>
              <w:t>、</w:t>
            </w:r>
            <w:r>
              <w:rPr>
                <w:rFonts w:ascii="宋体" w:hAnsi="宋体" w:cs="宋体"/>
                <w:color w:val="000000" w:themeColor="text1"/>
                <w:sz w:val="24"/>
              </w:rPr>
              <w:t>厉行节约的原则</w:t>
            </w:r>
            <w:r>
              <w:rPr>
                <w:rFonts w:hint="eastAsia" w:ascii="宋体" w:hAnsi="宋体" w:cs="宋体"/>
                <w:color w:val="000000" w:themeColor="text1"/>
                <w:sz w:val="24"/>
              </w:rPr>
              <w:t>，</w:t>
            </w:r>
            <w:r>
              <w:rPr>
                <w:rFonts w:ascii="宋体" w:hAnsi="宋体" w:cs="宋体"/>
                <w:color w:val="000000" w:themeColor="text1"/>
                <w:sz w:val="24"/>
              </w:rPr>
              <w:t>实际完成</w:t>
            </w:r>
            <w:r>
              <w:rPr>
                <w:rFonts w:hint="eastAsia" w:ascii="宋体" w:hAnsi="宋体" w:cs="宋体"/>
                <w:color w:val="000000" w:themeColor="text1"/>
                <w:sz w:val="24"/>
              </w:rPr>
              <w:t>99.33%。</w:t>
            </w:r>
          </w:p>
        </w:tc>
      </w:tr>
      <w:tr>
        <w:trPr>
          <w:trHeight w:val="1034" w:hRule="atLeast"/>
        </w:trPr>
        <w:tc>
          <w:tcPr>
            <w:tcW w:w="9960" w:type="dxa"/>
            <w:gridSpan w:val="6"/>
            <w:tcMar>
              <w:top w:w="15" w:type="dxa"/>
              <w:left w:w="15" w:type="dxa"/>
              <w:bottom w:w="0" w:type="dxa"/>
              <w:right w:w="15" w:type="dxa"/>
            </w:tcMar>
            <w:vAlign w:val="center"/>
          </w:tcPr>
          <w:p>
            <w:pPr>
              <w:widowControl/>
              <w:jc w:val="center"/>
              <w:textAlignment w:val="center"/>
              <w:rPr>
                <w:rFonts w:ascii="宋体" w:hAnsi="宋体" w:cs="宋体"/>
                <w:color w:val="000000" w:themeColor="text1"/>
                <w:sz w:val="36"/>
                <w:szCs w:val="36"/>
              </w:rPr>
            </w:pPr>
            <w:r>
              <w:rPr>
                <w:rFonts w:hint="eastAsia" w:ascii="宋体" w:hAnsi="宋体" w:cs="宋体"/>
                <w:b/>
                <w:bCs/>
                <w:color w:val="000000" w:themeColor="text1"/>
                <w:kern w:val="0"/>
                <w:sz w:val="36"/>
                <w:szCs w:val="36"/>
              </w:rPr>
              <w:t>项目绩效目标完成情况表</w:t>
            </w:r>
            <w:r>
              <w:rPr>
                <w:rFonts w:hint="eastAsia" w:ascii="宋体" w:hAnsi="宋体" w:cs="宋体"/>
                <w:b/>
                <w:bCs/>
                <w:color w:val="000000" w:themeColor="text1"/>
                <w:kern w:val="0"/>
                <w:sz w:val="36"/>
                <w:szCs w:val="36"/>
              </w:rPr>
              <w:br w:type="textWrapping"/>
            </w:r>
            <w:r>
              <w:rPr>
                <w:rFonts w:hint="eastAsia" w:ascii="宋体" w:hAnsi="宋体" w:cs="宋体"/>
                <w:color w:val="000000" w:themeColor="text1"/>
                <w:kern w:val="0"/>
                <w:sz w:val="36"/>
                <w:szCs w:val="36"/>
              </w:rPr>
              <w:t>(2019 年度)</w:t>
            </w:r>
          </w:p>
        </w:tc>
      </w:tr>
      <w:tr>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成品油价格改革对交通运输的补贴</w:t>
            </w:r>
          </w:p>
        </w:tc>
      </w:tr>
      <w:tr>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茂县道路运输管理所</w:t>
            </w:r>
          </w:p>
        </w:tc>
      </w:tr>
      <w:tr>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预算执行情况(万元)</w:t>
            </w:r>
          </w:p>
          <w:p>
            <w:pPr>
              <w:widowControl/>
              <w:jc w:val="center"/>
              <w:textAlignment w:val="center"/>
              <w:rPr>
                <w:rFonts w:ascii="宋体" w:hAnsi="宋体" w:cs="宋体"/>
                <w:color w:val="000000" w:themeColor="text1"/>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717.6</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717.6</w:t>
            </w:r>
          </w:p>
        </w:tc>
      </w:tr>
      <w:tr>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717.6</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717.6</w:t>
            </w:r>
          </w:p>
        </w:tc>
      </w:tr>
      <w:tr>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themeColor="text1"/>
                <w:sz w:val="24"/>
              </w:rPr>
            </w:pPr>
            <w:r>
              <w:rPr>
                <w:rFonts w:hint="eastAsia" w:ascii="宋体" w:hAnsi="宋体" w:cs="宋体"/>
                <w:color w:val="000000" w:themeColor="text1"/>
                <w:sz w:val="24"/>
              </w:rPr>
              <w:t>0</w:t>
            </w:r>
          </w:p>
        </w:tc>
      </w:tr>
      <w:tr>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年度目标完成情况</w:t>
            </w:r>
          </w:p>
          <w:p>
            <w:pPr>
              <w:widowControl/>
              <w:jc w:val="center"/>
              <w:textAlignment w:val="center"/>
              <w:rPr>
                <w:rFonts w:ascii="宋体" w:hAnsi="宋体" w:cs="宋体"/>
                <w:color w:val="000000" w:themeColor="text1"/>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实际完成目标</w:t>
            </w:r>
          </w:p>
        </w:tc>
      </w:tr>
      <w:tr>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ascii="宋体" w:hAnsi="宋体" w:cs="宋体"/>
                <w:color w:val="000000" w:themeColor="text1"/>
                <w:sz w:val="24"/>
              </w:rPr>
              <w:t>保障</w:t>
            </w:r>
            <w:r>
              <w:rPr>
                <w:rFonts w:hint="eastAsia" w:ascii="宋体" w:hAnsi="宋体" w:cs="宋体"/>
                <w:color w:val="000000" w:themeColor="text1"/>
                <w:sz w:val="24"/>
              </w:rPr>
              <w:t>我县运输企业工作的正常完成。</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ascii="宋体" w:hAnsi="宋体" w:cs="宋体"/>
                <w:color w:val="000000" w:themeColor="text1"/>
                <w:sz w:val="24"/>
              </w:rPr>
              <w:t>保障</w:t>
            </w:r>
            <w:r>
              <w:rPr>
                <w:rFonts w:hint="eastAsia" w:ascii="宋体" w:hAnsi="宋体" w:cs="宋体"/>
                <w:color w:val="000000" w:themeColor="text1"/>
                <w:sz w:val="24"/>
              </w:rPr>
              <w:t>我县运输企业工作的正常完成。</w:t>
            </w:r>
          </w:p>
        </w:tc>
      </w:tr>
      <w:tr>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绩效指标完成情况</w:t>
            </w:r>
          </w:p>
          <w:p>
            <w:pPr>
              <w:widowControl/>
              <w:jc w:val="center"/>
              <w:textAlignment w:val="center"/>
              <w:rPr>
                <w:rFonts w:ascii="宋体" w:hAnsi="宋体" w:cs="宋体"/>
                <w:color w:val="000000" w:themeColor="text1"/>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实际完成指标值(包含数字及文字描述)</w:t>
            </w:r>
          </w:p>
        </w:tc>
      </w:tr>
      <w:tr>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ascii="宋体" w:hAnsi="宋体" w:cs="宋体"/>
                <w:color w:val="000000" w:themeColor="text1"/>
                <w:sz w:val="24"/>
              </w:rPr>
              <w:t>完成时间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ascii="宋体" w:hAnsi="宋体" w:cs="宋体"/>
                <w:color w:val="000000" w:themeColor="text1"/>
                <w:sz w:val="24"/>
              </w:rPr>
              <w:t>当年</w:t>
            </w:r>
            <w:r>
              <w:rPr>
                <w:rFonts w:hint="eastAsia" w:ascii="宋体" w:hAnsi="宋体" w:cs="宋体"/>
                <w:color w:val="000000" w:themeColor="text1"/>
                <w:sz w:val="24"/>
              </w:rPr>
              <w:t>12月底前</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ascii="宋体" w:hAnsi="宋体" w:cs="宋体"/>
                <w:color w:val="000000" w:themeColor="text1"/>
                <w:sz w:val="24"/>
              </w:rPr>
              <w:t>当年</w:t>
            </w:r>
            <w:r>
              <w:rPr>
                <w:rFonts w:hint="eastAsia" w:ascii="宋体" w:hAnsi="宋体" w:cs="宋体"/>
                <w:color w:val="000000" w:themeColor="text1"/>
                <w:sz w:val="24"/>
              </w:rPr>
              <w:t>12月底前</w:t>
            </w:r>
          </w:p>
        </w:tc>
      </w:tr>
      <w:tr>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ascii="宋体" w:hAnsi="宋体" w:cs="宋体"/>
                <w:color w:val="000000" w:themeColor="text1"/>
                <w:sz w:val="24"/>
              </w:rPr>
              <w:t>支出指标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ascii="宋体" w:hAnsi="宋体" w:cs="宋体"/>
                <w:color w:val="000000" w:themeColor="text1"/>
                <w:sz w:val="24"/>
              </w:rPr>
              <w:t>支出测算</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ascii="宋体" w:hAnsi="宋体" w:cs="宋体"/>
                <w:color w:val="000000" w:themeColor="text1"/>
                <w:sz w:val="24"/>
              </w:rPr>
              <w:t>按照往年及动态调整进行测算</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ascii="宋体" w:hAnsi="宋体" w:cs="宋体"/>
                <w:color w:val="000000" w:themeColor="text1"/>
                <w:sz w:val="24"/>
              </w:rPr>
              <w:t>费用正常支出</w:t>
            </w:r>
          </w:p>
        </w:tc>
      </w:tr>
      <w:tr>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ascii="宋体" w:hAnsi="宋体" w:cs="宋体"/>
                <w:color w:val="000000" w:themeColor="text1"/>
                <w:sz w:val="24"/>
              </w:rPr>
              <w:t>社会效益指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ascii="宋体" w:hAnsi="宋体" w:cs="宋体"/>
                <w:color w:val="000000" w:themeColor="text1"/>
                <w:sz w:val="24"/>
              </w:rPr>
              <w:t>拟达成效</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ascii="宋体" w:hAnsi="宋体" w:cs="宋体"/>
                <w:color w:val="000000" w:themeColor="text1"/>
                <w:sz w:val="24"/>
              </w:rPr>
              <w:t>保障</w:t>
            </w:r>
            <w:r>
              <w:rPr>
                <w:rFonts w:hint="eastAsia" w:ascii="宋体" w:hAnsi="宋体" w:cs="宋体"/>
                <w:color w:val="000000" w:themeColor="text1"/>
                <w:sz w:val="24"/>
              </w:rPr>
              <w:t>单位机构工作正常运行。</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ascii="宋体" w:hAnsi="宋体" w:cs="宋体"/>
                <w:color w:val="000000" w:themeColor="text1"/>
                <w:sz w:val="24"/>
              </w:rPr>
              <w:t>保障</w:t>
            </w:r>
            <w:r>
              <w:rPr>
                <w:rFonts w:hint="eastAsia" w:ascii="宋体" w:hAnsi="宋体" w:cs="宋体"/>
                <w:color w:val="000000" w:themeColor="text1"/>
                <w:sz w:val="24"/>
              </w:rPr>
              <w:t>单位机构工作正常运行。</w:t>
            </w:r>
          </w:p>
        </w:tc>
      </w:tr>
      <w:tr>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themeColor="text1"/>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kern w:val="0"/>
                <w:sz w:val="24"/>
              </w:rPr>
            </w:pPr>
            <w:r>
              <w:rPr>
                <w:rFonts w:hint="eastAsia" w:ascii="宋体" w:hAnsi="宋体" w:cs="宋体"/>
                <w:color w:val="000000" w:themeColor="text1"/>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kern w:val="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ascii="宋体" w:hAnsi="宋体" w:cs="宋体"/>
                <w:color w:val="000000" w:themeColor="text1"/>
                <w:sz w:val="24"/>
              </w:rPr>
              <w:t>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hint="eastAsia" w:ascii="宋体" w:hAnsi="宋体" w:cs="宋体"/>
                <w:color w:val="000000" w:themeColor="text1"/>
                <w:sz w:val="24"/>
              </w:rPr>
              <w:t>预计完成100%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themeColor="text1"/>
                <w:sz w:val="24"/>
              </w:rPr>
            </w:pPr>
            <w:r>
              <w:rPr>
                <w:rFonts w:ascii="宋体" w:hAnsi="宋体" w:cs="宋体"/>
                <w:color w:val="000000" w:themeColor="text1"/>
                <w:sz w:val="24"/>
              </w:rPr>
              <w:t>本着反对铺张浪费</w:t>
            </w:r>
            <w:r>
              <w:rPr>
                <w:rFonts w:hint="eastAsia" w:ascii="宋体" w:hAnsi="宋体" w:cs="宋体"/>
                <w:color w:val="000000" w:themeColor="text1"/>
                <w:sz w:val="24"/>
              </w:rPr>
              <w:t>、</w:t>
            </w:r>
            <w:r>
              <w:rPr>
                <w:rFonts w:ascii="宋体" w:hAnsi="宋体" w:cs="宋体"/>
                <w:color w:val="000000" w:themeColor="text1"/>
                <w:sz w:val="24"/>
              </w:rPr>
              <w:t>厉行节约的原则</w:t>
            </w:r>
            <w:r>
              <w:rPr>
                <w:rFonts w:hint="eastAsia" w:ascii="宋体" w:hAnsi="宋体" w:cs="宋体"/>
                <w:color w:val="000000" w:themeColor="text1"/>
                <w:sz w:val="24"/>
              </w:rPr>
              <w:t>，</w:t>
            </w:r>
            <w:r>
              <w:rPr>
                <w:rFonts w:ascii="宋体" w:hAnsi="宋体" w:cs="宋体"/>
                <w:color w:val="000000" w:themeColor="text1"/>
                <w:sz w:val="24"/>
              </w:rPr>
              <w:t>实际完成</w:t>
            </w:r>
            <w:r>
              <w:rPr>
                <w:rFonts w:hint="eastAsia" w:ascii="宋体" w:hAnsi="宋体" w:cs="宋体"/>
                <w:color w:val="000000" w:themeColor="text1"/>
                <w:sz w:val="24"/>
              </w:rPr>
              <w:t>100%。</w:t>
            </w:r>
          </w:p>
        </w:tc>
      </w:tr>
    </w:tbl>
    <w:p>
      <w:pPr>
        <w:spacing w:line="580" w:lineRule="exact"/>
        <w:rPr>
          <w:rFonts w:ascii="仿宋_GB2312" w:hAnsi="仿宋_GB2312" w:eastAsia="仿宋_GB2312" w:cs="仿宋_GB2312"/>
          <w:color w:val="000000" w:themeColor="text1"/>
          <w:sz w:val="32"/>
          <w:szCs w:val="32"/>
        </w:rPr>
      </w:pPr>
    </w:p>
    <w:p>
      <w:pPr>
        <w:spacing w:line="580" w:lineRule="exact"/>
        <w:ind w:left="630"/>
        <w:rPr>
          <w:rFonts w:ascii="仿宋_GB2312" w:hAnsi="仿宋_GB2312" w:eastAsia="仿宋_GB2312" w:cs="仿宋_GB2312"/>
          <w:color w:val="000000" w:themeColor="text1"/>
          <w:sz w:val="32"/>
          <w:szCs w:val="32"/>
        </w:rPr>
      </w:pPr>
      <w:r>
        <w:rPr>
          <w:rFonts w:hint="eastAsia" w:ascii="楷体_GB2312" w:hAnsi="楷体_GB2312" w:eastAsia="楷体_GB2312" w:cs="楷体_GB2312"/>
          <w:color w:val="000000" w:themeColor="text1"/>
          <w:sz w:val="32"/>
          <w:szCs w:val="32"/>
        </w:rPr>
        <w:t>2.部门绩效评价结果。</w:t>
      </w:r>
    </w:p>
    <w:p>
      <w:pPr>
        <w:spacing w:line="580" w:lineRule="exact"/>
        <w:ind w:firstLine="640" w:firstLineChars="200"/>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本部门按要求对2019年部门整体支出绩效评价情况开展自评，《运管所部门部门2019年部门整体支出绩效评价报告》见附件（附件1）。</w:t>
      </w:r>
    </w:p>
    <w:p>
      <w:pPr>
        <w:spacing w:line="580" w:lineRule="exact"/>
        <w:ind w:firstLine="640" w:firstLineChars="200"/>
        <w:rPr>
          <w:rFonts w:ascii="仿宋_GB2312" w:eastAsia="仿宋_GB2312"/>
          <w:b/>
          <w:color w:val="000000" w:themeColor="text1"/>
          <w:sz w:val="32"/>
          <w:szCs w:val="32"/>
        </w:rPr>
      </w:pPr>
      <w:r>
        <w:rPr>
          <w:rFonts w:hint="eastAsia" w:ascii="仿宋_GB2312" w:hAnsi="仿宋_GB2312" w:eastAsia="仿宋_GB2312" w:cs="仿宋_GB2312"/>
          <w:color w:val="000000" w:themeColor="text1"/>
          <w:sz w:val="32"/>
          <w:szCs w:val="32"/>
        </w:rPr>
        <w:t>本部门自行组织对</w:t>
      </w:r>
      <w:r>
        <w:rPr>
          <w:rFonts w:hint="eastAsia" w:ascii="宋体" w:hAnsi="宋体" w:cs="宋体"/>
          <w:color w:val="000000" w:themeColor="text1"/>
          <w:sz w:val="24"/>
        </w:rPr>
        <w:t>公路运输管理</w:t>
      </w:r>
      <w:r>
        <w:rPr>
          <w:rFonts w:hint="eastAsia" w:ascii="仿宋_GB2312" w:hAnsi="仿宋_GB2312" w:eastAsia="仿宋_GB2312" w:cs="仿宋_GB2312"/>
          <w:color w:val="000000" w:themeColor="text1"/>
          <w:sz w:val="32"/>
          <w:szCs w:val="32"/>
        </w:rPr>
        <w:t>项目、</w:t>
      </w:r>
      <w:r>
        <w:rPr>
          <w:rFonts w:hint="eastAsia" w:ascii="宋体" w:hAnsi="宋体" w:cs="宋体"/>
          <w:color w:val="000000" w:themeColor="text1"/>
          <w:sz w:val="24"/>
        </w:rPr>
        <w:t>成品油价格改革对交通运输的补贴</w:t>
      </w:r>
      <w:r>
        <w:rPr>
          <w:rFonts w:hint="eastAsia" w:ascii="仿宋_GB2312" w:hAnsi="仿宋_GB2312" w:eastAsia="仿宋_GB2312" w:cs="仿宋_GB2312"/>
          <w:color w:val="000000" w:themeColor="text1"/>
          <w:sz w:val="32"/>
          <w:szCs w:val="32"/>
        </w:rPr>
        <w:t>项目开展了绩效评价。</w:t>
      </w:r>
    </w:p>
    <w:p>
      <w:pPr>
        <w:widowControl/>
        <w:jc w:val="left"/>
        <w:rPr>
          <w:rFonts w:ascii="仿宋_GB2312" w:eastAsia="仿宋_GB2312"/>
          <w:b/>
          <w:color w:val="000000" w:themeColor="text1"/>
          <w:sz w:val="32"/>
          <w:szCs w:val="32"/>
        </w:rPr>
      </w:pPr>
      <w:r>
        <w:rPr>
          <w:rFonts w:ascii="仿宋_GB2312" w:eastAsia="仿宋_GB2312"/>
          <w:b/>
          <w:color w:val="000000" w:themeColor="text1"/>
          <w:sz w:val="32"/>
          <w:szCs w:val="32"/>
        </w:rPr>
        <w:br w:type="page"/>
      </w:r>
    </w:p>
    <w:p>
      <w:pPr>
        <w:numPr>
          <w:ilvl w:val="0"/>
          <w:numId w:val="3"/>
        </w:numPr>
        <w:spacing w:line="600" w:lineRule="exact"/>
        <w:ind w:firstLine="660" w:firstLineChars="150"/>
        <w:jc w:val="center"/>
        <w:outlineLvl w:val="0"/>
        <w:rPr>
          <w:rFonts w:ascii="宋体"/>
          <w:b/>
          <w:color w:val="000000" w:themeColor="text1"/>
          <w:sz w:val="44"/>
          <w:szCs w:val="44"/>
        </w:rPr>
      </w:pPr>
      <w:bookmarkStart w:id="55" w:name="_Toc15396613"/>
      <w:bookmarkStart w:id="56" w:name="_Toc15377225"/>
      <w:r>
        <w:rPr>
          <w:rFonts w:hint="eastAsia" w:ascii="黑体" w:hAnsi="黑体" w:eastAsia="黑体"/>
          <w:color w:val="000000" w:themeColor="text1"/>
          <w:sz w:val="44"/>
          <w:szCs w:val="44"/>
        </w:rPr>
        <w:t>名</w:t>
      </w:r>
      <w:r>
        <w:rPr>
          <w:rStyle w:val="24"/>
          <w:rFonts w:hint="eastAsia" w:ascii="黑体" w:hAnsi="黑体" w:eastAsia="黑体"/>
          <w:b w:val="0"/>
          <w:color w:val="000000" w:themeColor="text1"/>
        </w:rPr>
        <w:t>词解释</w:t>
      </w:r>
      <w:bookmarkEnd w:id="55"/>
      <w:bookmarkEnd w:id="56"/>
    </w:p>
    <w:p>
      <w:pPr>
        <w:pStyle w:val="22"/>
        <w:spacing w:line="560" w:lineRule="exact"/>
        <w:ind w:firstLine="640" w:firstLineChars="200"/>
        <w:rPr>
          <w:rFonts w:ascii="仿宋_GB2312" w:eastAsia="仿宋_GB2312"/>
          <w:color w:val="000000" w:themeColor="text1"/>
          <w:sz w:val="32"/>
          <w:szCs w:val="32"/>
        </w:rPr>
      </w:pPr>
      <w:r>
        <w:rPr>
          <w:rFonts w:ascii="仿宋_GB2312" w:eastAsia="仿宋_GB2312"/>
          <w:color w:val="000000" w:themeColor="text1"/>
          <w:sz w:val="32"/>
          <w:szCs w:val="32"/>
        </w:rPr>
        <w:t>1.</w:t>
      </w:r>
      <w:r>
        <w:rPr>
          <w:rFonts w:hint="eastAsia" w:ascii="仿宋_GB2312" w:eastAsia="仿宋_GB2312"/>
          <w:color w:val="000000" w:themeColor="text1"/>
          <w:sz w:val="32"/>
          <w:szCs w:val="32"/>
        </w:rPr>
        <w:t>财政拨款收入：指单位从同级财政部门取得的财政预算资金。</w:t>
      </w:r>
    </w:p>
    <w:p>
      <w:pPr>
        <w:pStyle w:val="22"/>
        <w:spacing w:line="560" w:lineRule="exact"/>
        <w:ind w:firstLine="640" w:firstLineChars="200"/>
        <w:rPr>
          <w:rFonts w:ascii="仿宋_GB2312" w:eastAsia="仿宋_GB2312"/>
          <w:color w:val="000000" w:themeColor="text1"/>
          <w:sz w:val="32"/>
          <w:szCs w:val="32"/>
        </w:rPr>
      </w:pPr>
      <w:r>
        <w:rPr>
          <w:rFonts w:ascii="仿宋_GB2312" w:eastAsia="仿宋_GB2312"/>
          <w:color w:val="000000" w:themeColor="text1"/>
          <w:sz w:val="32"/>
          <w:szCs w:val="32"/>
        </w:rPr>
        <w:t>2.</w:t>
      </w:r>
      <w:r>
        <w:rPr>
          <w:rFonts w:hint="eastAsia" w:ascii="仿宋_GB2312" w:eastAsia="仿宋_GB2312"/>
          <w:color w:val="000000" w:themeColor="text1"/>
          <w:sz w:val="32"/>
          <w:szCs w:val="32"/>
        </w:rPr>
        <w:t>事业收入：指事业单位开展专业业务活动及辅助活动取得的收入。</w:t>
      </w:r>
    </w:p>
    <w:p>
      <w:pPr>
        <w:pStyle w:val="22"/>
        <w:spacing w:line="560" w:lineRule="exact"/>
        <w:ind w:firstLine="640" w:firstLineChars="200"/>
        <w:rPr>
          <w:rFonts w:ascii="仿宋_GB2312" w:eastAsia="仿宋_GB2312"/>
          <w:color w:val="000000" w:themeColor="text1"/>
          <w:sz w:val="32"/>
          <w:szCs w:val="32"/>
        </w:rPr>
      </w:pPr>
      <w:r>
        <w:rPr>
          <w:rFonts w:ascii="仿宋_GB2312" w:eastAsia="仿宋_GB2312"/>
          <w:color w:val="000000" w:themeColor="text1"/>
          <w:sz w:val="32"/>
          <w:szCs w:val="32"/>
        </w:rPr>
        <w:t>3.</w:t>
      </w:r>
      <w:r>
        <w:rPr>
          <w:rFonts w:hint="eastAsia" w:ascii="仿宋_GB2312" w:eastAsia="仿宋_GB2312"/>
          <w:color w:val="000000" w:themeColor="text1"/>
          <w:sz w:val="32"/>
          <w:szCs w:val="32"/>
        </w:rPr>
        <w:t>经营收入：指事业单位在专业业务活动及其辅助活动之外开展非独立核算经营活动取得的收入。</w:t>
      </w:r>
    </w:p>
    <w:p>
      <w:pPr>
        <w:pStyle w:val="22"/>
        <w:spacing w:line="560" w:lineRule="exact"/>
        <w:ind w:left="638" w:leftChars="304"/>
        <w:rPr>
          <w:rFonts w:ascii="仿宋_GB2312" w:eastAsia="仿宋_GB2312"/>
          <w:color w:val="000000" w:themeColor="text1"/>
          <w:sz w:val="32"/>
          <w:szCs w:val="32"/>
        </w:rPr>
      </w:pPr>
      <w:r>
        <w:rPr>
          <w:rFonts w:ascii="仿宋_GB2312" w:eastAsia="仿宋_GB2312"/>
          <w:color w:val="000000" w:themeColor="text1"/>
          <w:sz w:val="32"/>
          <w:szCs w:val="32"/>
        </w:rPr>
        <w:t>4.</w:t>
      </w:r>
      <w:r>
        <w:rPr>
          <w:rFonts w:hint="eastAsia" w:ascii="仿宋_GB2312" w:eastAsia="仿宋_GB2312"/>
          <w:color w:val="000000" w:themeColor="text1"/>
          <w:sz w:val="32"/>
          <w:szCs w:val="32"/>
        </w:rPr>
        <w:t>其他收入：指单位取得的除上述收入以外的各项收入。</w:t>
      </w:r>
      <w:r>
        <w:rPr>
          <w:rFonts w:ascii="仿宋_GB2312" w:eastAsia="仿宋_GB2312"/>
          <w:color w:val="000000" w:themeColor="text1"/>
          <w:sz w:val="32"/>
          <w:szCs w:val="32"/>
        </w:rPr>
        <w:t>5.</w:t>
      </w:r>
      <w:r>
        <w:rPr>
          <w:rFonts w:hint="eastAsia" w:ascii="仿宋_GB2312" w:eastAsia="仿宋_GB2312"/>
          <w:color w:val="000000" w:themeColor="text1"/>
          <w:sz w:val="32"/>
          <w:szCs w:val="32"/>
        </w:rPr>
        <w:t>用事业基金弥补收支差额：指事业单位在当年的财政</w:t>
      </w:r>
    </w:p>
    <w:p>
      <w:pPr>
        <w:pStyle w:val="22"/>
        <w:spacing w:line="560" w:lineRule="exact"/>
        <w:rPr>
          <w:rFonts w:ascii="仿宋_GB2312" w:eastAsia="仿宋_GB2312"/>
          <w:color w:val="000000" w:themeColor="text1"/>
          <w:sz w:val="32"/>
          <w:szCs w:val="32"/>
        </w:rPr>
      </w:pPr>
      <w:r>
        <w:rPr>
          <w:rFonts w:hint="eastAsia" w:ascii="仿宋_GB2312" w:eastAsia="仿宋_GB2312"/>
          <w:color w:val="000000" w:themeColor="text1"/>
          <w:sz w:val="32"/>
          <w:szCs w:val="32"/>
        </w:rPr>
        <w:t>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color w:val="000000" w:themeColor="text1"/>
          <w:sz w:val="32"/>
          <w:szCs w:val="32"/>
        </w:rPr>
        <w:t xml:space="preserve"> </w:t>
      </w:r>
    </w:p>
    <w:p>
      <w:pPr>
        <w:pStyle w:val="22"/>
        <w:spacing w:line="560" w:lineRule="exact"/>
        <w:ind w:firstLine="640" w:firstLineChars="200"/>
        <w:rPr>
          <w:rFonts w:ascii="仿宋_GB2312" w:eastAsia="仿宋_GB2312"/>
          <w:color w:val="000000" w:themeColor="text1"/>
          <w:sz w:val="32"/>
          <w:szCs w:val="32"/>
        </w:rPr>
      </w:pPr>
      <w:r>
        <w:rPr>
          <w:rFonts w:ascii="仿宋_GB2312" w:eastAsia="仿宋_GB2312"/>
          <w:color w:val="000000" w:themeColor="text1"/>
          <w:sz w:val="32"/>
          <w:szCs w:val="32"/>
        </w:rPr>
        <w:t>6.</w:t>
      </w:r>
      <w:r>
        <w:rPr>
          <w:rFonts w:hint="eastAsia" w:ascii="仿宋_GB2312" w:eastAsia="仿宋_GB2312"/>
          <w:color w:val="000000" w:themeColor="text1"/>
          <w:sz w:val="32"/>
          <w:szCs w:val="32"/>
        </w:rPr>
        <w:t>年初结转和结余：指以前年度尚未完成、结转到本年按有关规定继续使用的资金。</w:t>
      </w:r>
      <w:r>
        <w:rPr>
          <w:rFonts w:ascii="仿宋_GB2312" w:eastAsia="仿宋_GB2312"/>
          <w:color w:val="000000" w:themeColor="text1"/>
          <w:sz w:val="32"/>
          <w:szCs w:val="32"/>
        </w:rPr>
        <w:t xml:space="preserve"> </w:t>
      </w:r>
    </w:p>
    <w:p>
      <w:pPr>
        <w:pStyle w:val="22"/>
        <w:spacing w:line="560" w:lineRule="exact"/>
        <w:ind w:firstLine="640" w:firstLineChars="200"/>
        <w:rPr>
          <w:rFonts w:ascii="仿宋_GB2312" w:eastAsia="仿宋_GB2312"/>
          <w:color w:val="000000" w:themeColor="text1"/>
          <w:sz w:val="32"/>
          <w:szCs w:val="32"/>
        </w:rPr>
      </w:pPr>
      <w:r>
        <w:rPr>
          <w:rFonts w:ascii="仿宋_GB2312" w:eastAsia="仿宋_GB2312"/>
          <w:color w:val="000000" w:themeColor="text1"/>
          <w:sz w:val="32"/>
          <w:szCs w:val="32"/>
        </w:rPr>
        <w:t>7.</w:t>
      </w:r>
      <w:r>
        <w:rPr>
          <w:rFonts w:hint="eastAsia" w:ascii="仿宋_GB2312" w:eastAsia="仿宋_GB2312"/>
          <w:color w:val="000000" w:themeColor="text1"/>
          <w:sz w:val="32"/>
          <w:szCs w:val="32"/>
        </w:rPr>
        <w:t>结余分配：指事业单位按照事业单位会计制度的规定从非财政补助结余中分配的事业基金和职工福利基金等。</w:t>
      </w:r>
    </w:p>
    <w:p>
      <w:pPr>
        <w:pStyle w:val="22"/>
        <w:spacing w:line="560" w:lineRule="exact"/>
        <w:ind w:firstLine="640" w:firstLineChars="200"/>
        <w:rPr>
          <w:rFonts w:ascii="仿宋_GB2312" w:eastAsia="仿宋_GB2312"/>
          <w:color w:val="000000" w:themeColor="text1"/>
          <w:sz w:val="32"/>
          <w:szCs w:val="32"/>
        </w:rPr>
      </w:pPr>
      <w:r>
        <w:rPr>
          <w:rFonts w:ascii="仿宋_GB2312" w:eastAsia="仿宋_GB2312"/>
          <w:color w:val="000000" w:themeColor="text1"/>
          <w:sz w:val="32"/>
          <w:szCs w:val="32"/>
        </w:rPr>
        <w:t>8</w:t>
      </w:r>
      <w:r>
        <w:rPr>
          <w:rFonts w:hint="eastAsia" w:ascii="仿宋_GB2312" w:eastAsia="仿宋_GB2312"/>
          <w:color w:val="000000" w:themeColor="text1"/>
          <w:sz w:val="32"/>
          <w:szCs w:val="32"/>
        </w:rPr>
        <w:t>、年末结转和结余：指单位按有关规定结转到下年或以后年度继续使用的资金。</w:t>
      </w:r>
    </w:p>
    <w:p>
      <w:pPr>
        <w:ind w:firstLine="640" w:firstLineChars="200"/>
        <w:rPr>
          <w:rFonts w:ascii="仿宋_GB2312" w:eastAsia="仿宋_GB2312"/>
          <w:color w:val="000000" w:themeColor="text1"/>
          <w:sz w:val="32"/>
          <w:szCs w:val="32"/>
        </w:rPr>
      </w:pPr>
      <w:r>
        <w:rPr>
          <w:rFonts w:ascii="仿宋_GB2312" w:eastAsia="仿宋_GB2312"/>
          <w:color w:val="000000" w:themeColor="text1"/>
          <w:sz w:val="32"/>
          <w:szCs w:val="32"/>
        </w:rPr>
        <w:t>9.</w:t>
      </w:r>
      <w:r>
        <w:rPr>
          <w:rFonts w:hint="eastAsia" w:ascii="仿宋_GB2312" w:eastAsia="仿宋_GB2312"/>
          <w:color w:val="000000" w:themeColor="text1"/>
          <w:sz w:val="32"/>
          <w:szCs w:val="32"/>
        </w:rPr>
        <w:t>一般公共服务。</w:t>
      </w:r>
    </w:p>
    <w:p>
      <w:pPr>
        <w:ind w:firstLine="640" w:firstLineChars="200"/>
        <w:rPr>
          <w:rFonts w:ascii="仿宋_GB2312" w:eastAsia="仿宋_GB2312"/>
          <w:color w:val="000000" w:themeColor="text1"/>
          <w:sz w:val="32"/>
          <w:szCs w:val="32"/>
        </w:rPr>
      </w:pPr>
      <w:r>
        <w:rPr>
          <w:rFonts w:ascii="仿宋_GB2312" w:eastAsia="仿宋_GB2312"/>
          <w:color w:val="000000" w:themeColor="text1"/>
          <w:sz w:val="32"/>
          <w:szCs w:val="32"/>
        </w:rPr>
        <w:t>10.</w:t>
      </w:r>
      <w:r>
        <w:rPr>
          <w:rFonts w:hint="eastAsia" w:ascii="仿宋_GB2312" w:eastAsia="仿宋_GB2312"/>
          <w:color w:val="000000" w:themeColor="text1"/>
          <w:sz w:val="32"/>
          <w:szCs w:val="32"/>
        </w:rPr>
        <w:t>外交。</w:t>
      </w:r>
    </w:p>
    <w:p>
      <w:pPr>
        <w:ind w:firstLine="640" w:firstLineChars="200"/>
        <w:rPr>
          <w:rFonts w:ascii="仿宋_GB2312" w:eastAsia="仿宋_GB2312"/>
          <w:color w:val="000000" w:themeColor="text1"/>
          <w:sz w:val="32"/>
          <w:szCs w:val="32"/>
        </w:rPr>
      </w:pPr>
      <w:r>
        <w:rPr>
          <w:rFonts w:ascii="仿宋_GB2312" w:eastAsia="仿宋_GB2312"/>
          <w:color w:val="000000" w:themeColor="text1"/>
          <w:sz w:val="32"/>
          <w:szCs w:val="32"/>
        </w:rPr>
        <w:t>11.</w:t>
      </w:r>
      <w:r>
        <w:rPr>
          <w:rFonts w:hint="eastAsia" w:ascii="仿宋_GB2312" w:eastAsia="仿宋_GB2312"/>
          <w:color w:val="000000" w:themeColor="text1"/>
          <w:sz w:val="32"/>
          <w:szCs w:val="32"/>
        </w:rPr>
        <w:t>公共安全。</w:t>
      </w:r>
    </w:p>
    <w:p>
      <w:pPr>
        <w:ind w:firstLine="640" w:firstLineChars="200"/>
        <w:rPr>
          <w:rFonts w:ascii="仿宋_GB2312" w:eastAsia="仿宋_GB2312"/>
          <w:color w:val="000000" w:themeColor="text1"/>
          <w:sz w:val="32"/>
          <w:szCs w:val="32"/>
        </w:rPr>
      </w:pPr>
      <w:r>
        <w:rPr>
          <w:rFonts w:ascii="仿宋_GB2312" w:eastAsia="仿宋_GB2312"/>
          <w:color w:val="000000" w:themeColor="text1"/>
          <w:sz w:val="32"/>
          <w:szCs w:val="32"/>
        </w:rPr>
        <w:t>12.</w:t>
      </w:r>
      <w:r>
        <w:rPr>
          <w:rFonts w:hint="eastAsia" w:ascii="仿宋_GB2312" w:eastAsia="仿宋_GB2312"/>
          <w:color w:val="000000" w:themeColor="text1"/>
          <w:sz w:val="32"/>
          <w:szCs w:val="32"/>
        </w:rPr>
        <w:t>教育。</w:t>
      </w:r>
    </w:p>
    <w:p>
      <w:pPr>
        <w:ind w:firstLine="640" w:firstLineChars="200"/>
        <w:rPr>
          <w:rFonts w:ascii="仿宋_GB2312" w:eastAsia="仿宋_GB2312"/>
          <w:color w:val="000000" w:themeColor="text1"/>
          <w:sz w:val="32"/>
          <w:szCs w:val="32"/>
        </w:rPr>
      </w:pPr>
      <w:r>
        <w:rPr>
          <w:rFonts w:ascii="仿宋_GB2312" w:eastAsia="仿宋_GB2312"/>
          <w:color w:val="000000" w:themeColor="text1"/>
          <w:sz w:val="32"/>
          <w:szCs w:val="32"/>
        </w:rPr>
        <w:t>13.</w:t>
      </w:r>
      <w:r>
        <w:rPr>
          <w:rFonts w:hint="eastAsia" w:ascii="仿宋_GB2312" w:eastAsia="仿宋_GB2312"/>
          <w:color w:val="000000" w:themeColor="text1"/>
          <w:sz w:val="32"/>
          <w:szCs w:val="32"/>
        </w:rPr>
        <w:t>科学技术。</w:t>
      </w:r>
    </w:p>
    <w:p>
      <w:pPr>
        <w:ind w:firstLine="640" w:firstLineChars="200"/>
        <w:rPr>
          <w:rFonts w:ascii="仿宋_GB2312" w:eastAsia="仿宋_GB2312"/>
          <w:color w:val="000000" w:themeColor="text1"/>
          <w:sz w:val="32"/>
          <w:szCs w:val="32"/>
        </w:rPr>
      </w:pPr>
      <w:r>
        <w:rPr>
          <w:rFonts w:ascii="仿宋_GB2312" w:eastAsia="仿宋_GB2312"/>
          <w:color w:val="000000" w:themeColor="text1"/>
          <w:sz w:val="32"/>
          <w:szCs w:val="32"/>
        </w:rPr>
        <w:t>14.</w:t>
      </w:r>
      <w:r>
        <w:rPr>
          <w:rFonts w:hint="eastAsia" w:ascii="仿宋_GB2312" w:eastAsia="仿宋_GB2312"/>
          <w:color w:val="000000" w:themeColor="text1"/>
          <w:sz w:val="32"/>
          <w:szCs w:val="32"/>
        </w:rPr>
        <w:t>文化体育与传媒。</w:t>
      </w:r>
    </w:p>
    <w:p>
      <w:pPr>
        <w:ind w:firstLine="640" w:firstLineChars="200"/>
        <w:rPr>
          <w:rFonts w:ascii="仿宋_GB2312" w:eastAsia="仿宋_GB2312"/>
          <w:color w:val="000000" w:themeColor="text1"/>
          <w:sz w:val="32"/>
          <w:szCs w:val="32"/>
        </w:rPr>
      </w:pPr>
      <w:r>
        <w:rPr>
          <w:rFonts w:ascii="仿宋_GB2312" w:eastAsia="仿宋_GB2312"/>
          <w:color w:val="000000" w:themeColor="text1"/>
          <w:sz w:val="32"/>
          <w:szCs w:val="32"/>
        </w:rPr>
        <w:t>15.</w:t>
      </w:r>
      <w:r>
        <w:rPr>
          <w:rFonts w:hint="eastAsia" w:ascii="仿宋_GB2312" w:eastAsia="仿宋_GB2312"/>
          <w:color w:val="000000" w:themeColor="text1"/>
          <w:sz w:val="32"/>
          <w:szCs w:val="32"/>
        </w:rPr>
        <w:t>社会保障和就业。</w:t>
      </w:r>
    </w:p>
    <w:p>
      <w:pPr>
        <w:ind w:firstLine="640" w:firstLineChars="200"/>
        <w:rPr>
          <w:rFonts w:ascii="仿宋_GB2312" w:eastAsia="仿宋_GB2312"/>
          <w:color w:val="000000" w:themeColor="text1"/>
          <w:sz w:val="32"/>
          <w:szCs w:val="32"/>
        </w:rPr>
      </w:pPr>
      <w:r>
        <w:rPr>
          <w:rFonts w:ascii="仿宋_GB2312" w:eastAsia="仿宋_GB2312"/>
          <w:color w:val="000000" w:themeColor="text1"/>
          <w:sz w:val="32"/>
          <w:szCs w:val="32"/>
        </w:rPr>
        <w:t>16.</w:t>
      </w:r>
      <w:r>
        <w:rPr>
          <w:rFonts w:hint="eastAsia" w:ascii="仿宋_GB2312" w:eastAsia="仿宋_GB2312"/>
          <w:color w:val="000000" w:themeColor="text1"/>
          <w:sz w:val="32"/>
          <w:szCs w:val="32"/>
        </w:rPr>
        <w:t>医疗卫生与计划生育。</w:t>
      </w:r>
    </w:p>
    <w:p>
      <w:pPr>
        <w:ind w:firstLine="640" w:firstLineChars="200"/>
        <w:rPr>
          <w:rFonts w:ascii="仿宋_GB2312" w:eastAsia="仿宋_GB2312"/>
          <w:color w:val="000000" w:themeColor="text1"/>
          <w:sz w:val="32"/>
          <w:szCs w:val="32"/>
        </w:rPr>
      </w:pPr>
      <w:r>
        <w:rPr>
          <w:rFonts w:ascii="仿宋_GB2312" w:eastAsia="仿宋_GB2312"/>
          <w:color w:val="000000" w:themeColor="text1"/>
          <w:sz w:val="32"/>
          <w:szCs w:val="32"/>
        </w:rPr>
        <w:t>17.</w:t>
      </w:r>
      <w:r>
        <w:rPr>
          <w:rFonts w:hint="eastAsia" w:ascii="仿宋_GB2312" w:eastAsia="仿宋_GB2312"/>
          <w:color w:val="000000" w:themeColor="text1"/>
          <w:sz w:val="32"/>
          <w:szCs w:val="32"/>
        </w:rPr>
        <w:t>节能环保。</w:t>
      </w:r>
    </w:p>
    <w:p>
      <w:pPr>
        <w:ind w:firstLine="640" w:firstLineChars="200"/>
        <w:rPr>
          <w:rFonts w:ascii="仿宋_GB2312" w:eastAsia="仿宋_GB2312"/>
          <w:color w:val="000000" w:themeColor="text1"/>
          <w:sz w:val="32"/>
          <w:szCs w:val="32"/>
        </w:rPr>
      </w:pPr>
      <w:r>
        <w:rPr>
          <w:rFonts w:ascii="仿宋_GB2312" w:eastAsia="仿宋_GB2312"/>
          <w:color w:val="000000" w:themeColor="text1"/>
          <w:sz w:val="32"/>
          <w:szCs w:val="32"/>
        </w:rPr>
        <w:t>18.</w:t>
      </w:r>
      <w:r>
        <w:rPr>
          <w:rFonts w:hint="eastAsia" w:ascii="仿宋_GB2312" w:eastAsia="仿宋_GB2312"/>
          <w:color w:val="000000" w:themeColor="text1"/>
          <w:sz w:val="32"/>
          <w:szCs w:val="32"/>
        </w:rPr>
        <w:t>城乡社区。</w:t>
      </w:r>
    </w:p>
    <w:p>
      <w:pPr>
        <w:ind w:firstLine="640" w:firstLineChars="200"/>
        <w:rPr>
          <w:rFonts w:ascii="仿宋_GB2312" w:eastAsia="仿宋_GB2312"/>
          <w:color w:val="000000" w:themeColor="text1"/>
          <w:sz w:val="32"/>
          <w:szCs w:val="32"/>
        </w:rPr>
      </w:pPr>
      <w:r>
        <w:rPr>
          <w:rFonts w:ascii="仿宋_GB2312" w:eastAsia="仿宋_GB2312"/>
          <w:color w:val="000000" w:themeColor="text1"/>
          <w:sz w:val="32"/>
          <w:szCs w:val="32"/>
        </w:rPr>
        <w:t>19.</w:t>
      </w:r>
      <w:r>
        <w:rPr>
          <w:rFonts w:hint="eastAsia" w:ascii="仿宋_GB2312" w:eastAsia="仿宋_GB2312"/>
          <w:color w:val="000000" w:themeColor="text1"/>
          <w:sz w:val="32"/>
          <w:szCs w:val="32"/>
        </w:rPr>
        <w:t>农林水。</w:t>
      </w:r>
    </w:p>
    <w:p>
      <w:pPr>
        <w:ind w:firstLine="640" w:firstLineChars="200"/>
        <w:rPr>
          <w:rFonts w:ascii="仿宋_GB2312" w:eastAsia="仿宋_GB2312"/>
          <w:color w:val="000000" w:themeColor="text1"/>
          <w:sz w:val="32"/>
          <w:szCs w:val="32"/>
        </w:rPr>
      </w:pPr>
      <w:r>
        <w:rPr>
          <w:rFonts w:ascii="仿宋_GB2312" w:eastAsia="仿宋_GB2312"/>
          <w:color w:val="000000" w:themeColor="text1"/>
          <w:sz w:val="32"/>
          <w:szCs w:val="32"/>
        </w:rPr>
        <w:t>20.</w:t>
      </w:r>
      <w:r>
        <w:rPr>
          <w:rFonts w:hint="eastAsia" w:ascii="仿宋_GB2312" w:eastAsia="仿宋_GB2312"/>
          <w:color w:val="000000" w:themeColor="text1"/>
          <w:sz w:val="32"/>
          <w:szCs w:val="32"/>
        </w:rPr>
        <w:t>交通运输。</w:t>
      </w:r>
    </w:p>
    <w:p>
      <w:pPr>
        <w:ind w:firstLine="640" w:firstLineChars="200"/>
        <w:rPr>
          <w:rFonts w:ascii="仿宋_GB2312" w:eastAsia="仿宋_GB2312"/>
          <w:color w:val="000000" w:themeColor="text1"/>
          <w:sz w:val="32"/>
          <w:szCs w:val="32"/>
        </w:rPr>
      </w:pPr>
      <w:r>
        <w:rPr>
          <w:rFonts w:ascii="仿宋_GB2312" w:eastAsia="仿宋_GB2312"/>
          <w:color w:val="000000" w:themeColor="text1"/>
          <w:sz w:val="32"/>
          <w:szCs w:val="32"/>
        </w:rPr>
        <w:t>21.</w:t>
      </w:r>
      <w:r>
        <w:rPr>
          <w:rFonts w:hint="eastAsia" w:ascii="仿宋_GB2312" w:eastAsia="仿宋_GB2312"/>
          <w:color w:val="000000" w:themeColor="text1"/>
          <w:sz w:val="32"/>
          <w:szCs w:val="32"/>
        </w:rPr>
        <w:t>资源勘探信息等。</w:t>
      </w:r>
    </w:p>
    <w:p>
      <w:pPr>
        <w:ind w:firstLine="640" w:firstLineChars="200"/>
        <w:rPr>
          <w:rFonts w:ascii="仿宋_GB2312" w:eastAsia="仿宋_GB2312"/>
          <w:color w:val="000000" w:themeColor="text1"/>
          <w:sz w:val="32"/>
          <w:szCs w:val="32"/>
        </w:rPr>
      </w:pPr>
      <w:r>
        <w:rPr>
          <w:rFonts w:ascii="仿宋_GB2312" w:eastAsia="仿宋_GB2312"/>
          <w:color w:val="000000" w:themeColor="text1"/>
          <w:sz w:val="32"/>
          <w:szCs w:val="32"/>
        </w:rPr>
        <w:t>22.</w:t>
      </w:r>
      <w:r>
        <w:rPr>
          <w:rFonts w:hint="eastAsia" w:ascii="仿宋_GB2312" w:eastAsia="仿宋_GB2312"/>
          <w:color w:val="000000" w:themeColor="text1"/>
          <w:sz w:val="32"/>
          <w:szCs w:val="32"/>
        </w:rPr>
        <w:t>商业服务业。</w:t>
      </w:r>
    </w:p>
    <w:p>
      <w:pPr>
        <w:ind w:firstLine="640" w:firstLineChars="200"/>
        <w:rPr>
          <w:rFonts w:ascii="仿宋_GB2312" w:eastAsia="仿宋_GB2312"/>
          <w:color w:val="000000" w:themeColor="text1"/>
          <w:sz w:val="32"/>
          <w:szCs w:val="32"/>
        </w:rPr>
      </w:pPr>
      <w:r>
        <w:rPr>
          <w:rFonts w:ascii="仿宋_GB2312" w:eastAsia="仿宋_GB2312"/>
          <w:color w:val="000000" w:themeColor="text1"/>
          <w:sz w:val="32"/>
          <w:szCs w:val="32"/>
        </w:rPr>
        <w:t>23.</w:t>
      </w:r>
      <w:r>
        <w:rPr>
          <w:rFonts w:hint="eastAsia" w:ascii="仿宋_GB2312" w:eastAsia="仿宋_GB2312"/>
          <w:color w:val="000000" w:themeColor="text1"/>
          <w:sz w:val="32"/>
          <w:szCs w:val="32"/>
        </w:rPr>
        <w:t>金融。</w:t>
      </w:r>
    </w:p>
    <w:p>
      <w:pPr>
        <w:ind w:firstLine="640" w:firstLineChars="200"/>
        <w:rPr>
          <w:rFonts w:ascii="仿宋_GB2312" w:eastAsia="仿宋_GB2312"/>
          <w:color w:val="000000" w:themeColor="text1"/>
          <w:sz w:val="32"/>
          <w:szCs w:val="32"/>
        </w:rPr>
      </w:pPr>
      <w:r>
        <w:rPr>
          <w:rFonts w:ascii="仿宋_GB2312" w:eastAsia="仿宋_GB2312"/>
          <w:color w:val="000000" w:themeColor="text1"/>
          <w:sz w:val="32"/>
          <w:szCs w:val="32"/>
        </w:rPr>
        <w:t>24.</w:t>
      </w:r>
      <w:r>
        <w:rPr>
          <w:rFonts w:hint="eastAsia" w:ascii="仿宋_GB2312" w:eastAsia="仿宋_GB2312"/>
          <w:color w:val="000000" w:themeColor="text1"/>
          <w:sz w:val="32"/>
          <w:szCs w:val="32"/>
        </w:rPr>
        <w:t>国土海洋气象等。</w:t>
      </w:r>
    </w:p>
    <w:p>
      <w:pPr>
        <w:ind w:firstLine="640" w:firstLineChars="200"/>
        <w:rPr>
          <w:rFonts w:ascii="仿宋_GB2312" w:eastAsia="仿宋_GB2312"/>
          <w:color w:val="000000" w:themeColor="text1"/>
          <w:sz w:val="32"/>
          <w:szCs w:val="32"/>
        </w:rPr>
      </w:pPr>
      <w:r>
        <w:rPr>
          <w:rFonts w:ascii="仿宋_GB2312" w:eastAsia="仿宋_GB2312"/>
          <w:color w:val="000000" w:themeColor="text1"/>
          <w:sz w:val="32"/>
          <w:szCs w:val="32"/>
        </w:rPr>
        <w:t>25.</w:t>
      </w:r>
      <w:r>
        <w:rPr>
          <w:rFonts w:hint="eastAsia" w:ascii="仿宋_GB2312" w:eastAsia="仿宋_GB2312"/>
          <w:color w:val="000000" w:themeColor="text1"/>
          <w:sz w:val="32"/>
          <w:szCs w:val="32"/>
        </w:rPr>
        <w:t>住房保障。</w:t>
      </w:r>
    </w:p>
    <w:p>
      <w:pPr>
        <w:ind w:firstLine="640" w:firstLineChars="200"/>
        <w:rPr>
          <w:rFonts w:ascii="仿宋_GB2312" w:eastAsia="仿宋_GB2312"/>
          <w:color w:val="000000" w:themeColor="text1"/>
          <w:sz w:val="32"/>
          <w:szCs w:val="32"/>
        </w:rPr>
      </w:pPr>
      <w:r>
        <w:rPr>
          <w:rFonts w:ascii="仿宋_GB2312" w:eastAsia="仿宋_GB2312"/>
          <w:color w:val="000000" w:themeColor="text1"/>
          <w:sz w:val="32"/>
          <w:szCs w:val="32"/>
        </w:rPr>
        <w:t>26.</w:t>
      </w:r>
      <w:r>
        <w:rPr>
          <w:rFonts w:hint="eastAsia" w:ascii="仿宋_GB2312" w:eastAsia="仿宋_GB2312"/>
          <w:color w:val="000000" w:themeColor="text1"/>
          <w:sz w:val="32"/>
          <w:szCs w:val="32"/>
        </w:rPr>
        <w:t>粮油物资储备。</w:t>
      </w:r>
    </w:p>
    <w:p>
      <w:pPr>
        <w:ind w:firstLine="640" w:firstLineChars="200"/>
        <w:rPr>
          <w:rFonts w:ascii="仿宋_GB2312" w:eastAsia="仿宋_GB2312"/>
          <w:color w:val="000000" w:themeColor="text1"/>
          <w:sz w:val="32"/>
          <w:szCs w:val="32"/>
        </w:rPr>
      </w:pPr>
      <w:r>
        <w:rPr>
          <w:rFonts w:ascii="仿宋_GB2312" w:eastAsia="仿宋_GB2312"/>
          <w:color w:val="000000" w:themeColor="text1"/>
          <w:sz w:val="32"/>
          <w:szCs w:val="32"/>
        </w:rPr>
        <w:t>27.</w:t>
      </w:r>
      <w:r>
        <w:rPr>
          <w:rFonts w:hint="eastAsia" w:ascii="仿宋_GB2312" w:eastAsia="仿宋_GB2312"/>
          <w:color w:val="000000" w:themeColor="text1"/>
          <w:sz w:val="32"/>
          <w:szCs w:val="32"/>
        </w:rPr>
        <w:t>基本支出：指为保障机构正常运转、完成日常工作任务而发生的人员支出和公用支出。</w:t>
      </w:r>
    </w:p>
    <w:p>
      <w:pPr>
        <w:ind w:firstLine="640" w:firstLineChars="200"/>
        <w:rPr>
          <w:rFonts w:ascii="仿宋_GB2312" w:eastAsia="仿宋_GB2312"/>
          <w:color w:val="000000" w:themeColor="text1"/>
          <w:sz w:val="32"/>
          <w:szCs w:val="32"/>
        </w:rPr>
      </w:pPr>
      <w:r>
        <w:rPr>
          <w:rFonts w:ascii="仿宋_GB2312" w:eastAsia="仿宋_GB2312"/>
          <w:color w:val="000000" w:themeColor="text1"/>
          <w:sz w:val="32"/>
          <w:szCs w:val="32"/>
        </w:rPr>
        <w:t>28.</w:t>
      </w:r>
      <w:r>
        <w:rPr>
          <w:rFonts w:hint="eastAsia" w:ascii="仿宋_GB2312" w:eastAsia="仿宋_GB2312"/>
          <w:color w:val="000000" w:themeColor="text1"/>
          <w:sz w:val="32"/>
          <w:szCs w:val="32"/>
        </w:rPr>
        <w:t>项目支出：指在基本支出之外为完成特定行政任务和事业发展目标所发生的支出。</w:t>
      </w:r>
      <w:r>
        <w:rPr>
          <w:rFonts w:ascii="仿宋_GB2312" w:eastAsia="仿宋_GB2312"/>
          <w:color w:val="000000" w:themeColor="text1"/>
          <w:sz w:val="32"/>
          <w:szCs w:val="32"/>
        </w:rPr>
        <w:t xml:space="preserve"> </w:t>
      </w:r>
    </w:p>
    <w:p>
      <w:pPr>
        <w:ind w:firstLine="640" w:firstLineChars="200"/>
        <w:rPr>
          <w:rFonts w:ascii="仿宋_GB2312" w:eastAsia="仿宋_GB2312"/>
          <w:color w:val="000000" w:themeColor="text1"/>
          <w:sz w:val="32"/>
          <w:szCs w:val="32"/>
        </w:rPr>
      </w:pPr>
      <w:r>
        <w:rPr>
          <w:rFonts w:ascii="仿宋_GB2312" w:eastAsia="仿宋_GB2312"/>
          <w:color w:val="000000" w:themeColor="text1"/>
          <w:sz w:val="32"/>
          <w:szCs w:val="32"/>
        </w:rPr>
        <w:t>29.</w:t>
      </w:r>
      <w:r>
        <w:rPr>
          <w:rFonts w:hint="eastAsia" w:ascii="仿宋_GB2312" w:eastAsia="仿宋_GB2312"/>
          <w:color w:val="000000" w:themeColor="text1"/>
          <w:sz w:val="32"/>
          <w:szCs w:val="32"/>
        </w:rPr>
        <w:t>经营支出：指事业单位在专业业务活动及其辅助活动之外开展非独立核算经营活动发生的支出。</w:t>
      </w:r>
    </w:p>
    <w:p>
      <w:pPr>
        <w:pStyle w:val="22"/>
        <w:spacing w:line="560" w:lineRule="exact"/>
        <w:ind w:firstLine="640" w:firstLineChars="200"/>
        <w:rPr>
          <w:rFonts w:ascii="仿宋_GB2312" w:eastAsia="仿宋_GB2312"/>
          <w:color w:val="000000" w:themeColor="text1"/>
          <w:sz w:val="32"/>
          <w:szCs w:val="32"/>
        </w:rPr>
      </w:pPr>
      <w:r>
        <w:rPr>
          <w:rFonts w:ascii="仿宋_GB2312" w:eastAsia="仿宋_GB2312"/>
          <w:color w:val="000000" w:themeColor="text1"/>
          <w:sz w:val="32"/>
          <w:szCs w:val="32"/>
        </w:rPr>
        <w:t>30.</w:t>
      </w:r>
      <w:r>
        <w:rPr>
          <w:rFonts w:hint="eastAsia" w:ascii="仿宋_GB2312" w:eastAsia="仿宋_GB2312"/>
          <w:color w:val="000000" w:themeColor="text1"/>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2"/>
        <w:spacing w:line="560" w:lineRule="exact"/>
        <w:ind w:firstLine="640" w:firstLineChars="200"/>
        <w:rPr>
          <w:rFonts w:ascii="仿宋_GB2312" w:eastAsia="仿宋_GB2312"/>
          <w:color w:val="000000" w:themeColor="text1"/>
          <w:sz w:val="32"/>
          <w:szCs w:val="32"/>
        </w:rPr>
      </w:pPr>
      <w:r>
        <w:rPr>
          <w:rFonts w:ascii="仿宋_GB2312" w:eastAsia="仿宋_GB2312"/>
          <w:color w:val="000000" w:themeColor="text1"/>
          <w:sz w:val="32"/>
          <w:szCs w:val="32"/>
        </w:rPr>
        <w:t>31.</w:t>
      </w:r>
      <w:r>
        <w:rPr>
          <w:rFonts w:hint="eastAsia" w:ascii="仿宋_GB2312" w:eastAsia="仿宋_GB2312"/>
          <w:color w:val="000000" w:themeColor="text1"/>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2"/>
        <w:spacing w:line="560" w:lineRule="exact"/>
        <w:ind w:firstLine="640" w:firstLineChars="200"/>
        <w:rPr>
          <w:rFonts w:ascii="仿宋_GB2312" w:eastAsia="仿宋_GB2312"/>
          <w:color w:val="000000" w:themeColor="text1"/>
          <w:sz w:val="32"/>
          <w:szCs w:val="32"/>
        </w:rPr>
      </w:pPr>
    </w:p>
    <w:p>
      <w:pPr>
        <w:pStyle w:val="22"/>
        <w:spacing w:line="560" w:lineRule="exact"/>
        <w:ind w:firstLine="640" w:firstLineChars="200"/>
        <w:rPr>
          <w:rFonts w:ascii="仿宋_GB2312" w:eastAsia="仿宋_GB2312" w:cs="黑体"/>
          <w:color w:val="000000" w:themeColor="text1"/>
          <w:sz w:val="32"/>
          <w:szCs w:val="32"/>
        </w:rPr>
      </w:pPr>
    </w:p>
    <w:p>
      <w:pPr>
        <w:spacing w:line="600" w:lineRule="exact"/>
        <w:jc w:val="center"/>
        <w:outlineLvl w:val="0"/>
        <w:rPr>
          <w:rStyle w:val="24"/>
          <w:rFonts w:ascii="黑体" w:hAnsi="黑体" w:eastAsia="黑体"/>
          <w:b w:val="0"/>
          <w:color w:val="000000" w:themeColor="text1"/>
        </w:rPr>
      </w:pPr>
      <w:bookmarkStart w:id="57" w:name="_Toc15377226"/>
      <w:r>
        <w:rPr>
          <w:rFonts w:ascii="宋体"/>
          <w:b/>
          <w:color w:val="000000" w:themeColor="text1"/>
          <w:sz w:val="44"/>
          <w:szCs w:val="44"/>
        </w:rPr>
        <w:br w:type="page"/>
      </w:r>
      <w:bookmarkStart w:id="58" w:name="_Toc15396614"/>
      <w:r>
        <w:rPr>
          <w:rFonts w:hint="eastAsia" w:ascii="黑体" w:hAnsi="黑体" w:eastAsia="黑体"/>
          <w:color w:val="000000" w:themeColor="text1"/>
          <w:sz w:val="44"/>
          <w:szCs w:val="44"/>
        </w:rPr>
        <w:t>第</w:t>
      </w:r>
      <w:r>
        <w:rPr>
          <w:rStyle w:val="24"/>
          <w:rFonts w:hint="eastAsia" w:ascii="黑体" w:hAnsi="黑体" w:eastAsia="黑体"/>
          <w:b w:val="0"/>
          <w:color w:val="000000" w:themeColor="text1"/>
        </w:rPr>
        <w:t>四部分 附件</w:t>
      </w:r>
      <w:bookmarkEnd w:id="58"/>
    </w:p>
    <w:p>
      <w:pPr>
        <w:spacing w:line="600" w:lineRule="exact"/>
        <w:jc w:val="left"/>
        <w:outlineLvl w:val="0"/>
        <w:rPr>
          <w:rFonts w:ascii="方正小标宋简体" w:hAnsi="方正小标宋简体" w:eastAsia="方正小标宋简体" w:cs="方正小标宋简体"/>
          <w:color w:val="000000" w:themeColor="text1"/>
          <w:sz w:val="44"/>
          <w:szCs w:val="44"/>
        </w:rPr>
      </w:pPr>
      <w:r>
        <w:rPr>
          <w:rFonts w:hint="eastAsia" w:ascii="黑体" w:hAnsi="黑体" w:eastAsia="黑体" w:cs="黑体"/>
          <w:color w:val="000000" w:themeColor="text1"/>
          <w:sz w:val="32"/>
          <w:szCs w:val="32"/>
        </w:rPr>
        <w:t>附件1</w:t>
      </w:r>
    </w:p>
    <w:p>
      <w:pPr>
        <w:spacing w:line="600" w:lineRule="exact"/>
        <w:jc w:val="center"/>
        <w:rPr>
          <w:rFonts w:ascii="方正小标宋简体" w:hAnsi="宋体" w:eastAsia="方正小标宋简体"/>
          <w:color w:val="000000" w:themeColor="text1"/>
          <w:kern w:val="0"/>
          <w:sz w:val="40"/>
          <w:szCs w:val="44"/>
          <w:lang w:val="zh-CN"/>
        </w:rPr>
      </w:pPr>
      <w:r>
        <w:rPr>
          <w:rFonts w:hint="eastAsia" w:ascii="方正小标宋简体" w:hAnsi="宋体" w:eastAsia="方正小标宋简体"/>
          <w:color w:val="000000" w:themeColor="text1"/>
          <w:kern w:val="0"/>
          <w:sz w:val="40"/>
          <w:szCs w:val="44"/>
        </w:rPr>
        <w:t>茂县道路运输管理所</w:t>
      </w:r>
      <w:r>
        <w:rPr>
          <w:rFonts w:ascii="方正小标宋简体" w:hAnsi="宋体" w:eastAsia="方正小标宋简体"/>
          <w:color w:val="000000" w:themeColor="text1"/>
          <w:kern w:val="0"/>
          <w:sz w:val="40"/>
          <w:szCs w:val="44"/>
        </w:rPr>
        <w:t>2019年部门</w:t>
      </w:r>
      <w:r>
        <w:rPr>
          <w:rFonts w:hint="eastAsia" w:ascii="方正小标宋简体" w:hAnsi="宋体" w:eastAsia="方正小标宋简体"/>
          <w:color w:val="000000" w:themeColor="text1"/>
          <w:kern w:val="0"/>
          <w:sz w:val="40"/>
          <w:szCs w:val="44"/>
          <w:lang w:val="zh-CN"/>
        </w:rPr>
        <w:t>整体支出绩效评价报告</w:t>
      </w:r>
    </w:p>
    <w:p>
      <w:pPr>
        <w:widowControl/>
        <w:spacing w:line="580" w:lineRule="exact"/>
        <w:ind w:firstLine="640" w:firstLineChars="200"/>
        <w:contextualSpacing/>
        <w:jc w:val="center"/>
        <w:rPr>
          <w:rFonts w:ascii="黑体" w:hAnsi="宋体" w:eastAsia="黑体" w:cs="宋体"/>
          <w:color w:val="000000" w:themeColor="text1"/>
          <w:kern w:val="0"/>
          <w:sz w:val="24"/>
          <w:szCs w:val="32"/>
          <w:shd w:val="clear" w:color="auto" w:fill="FFFFFF"/>
        </w:rPr>
      </w:pPr>
      <w:r>
        <w:rPr>
          <w:rFonts w:hint="eastAsia" w:ascii="仿宋_GB2312" w:hAnsi="宋体" w:eastAsia="仿宋_GB2312"/>
          <w:color w:val="000000" w:themeColor="text1"/>
          <w:sz w:val="32"/>
          <w:szCs w:val="32"/>
          <w:shd w:val="clear" w:color="auto" w:fill="FFFFFF"/>
        </w:rPr>
        <w:t>（报告范围包括机关和下属单位）</w:t>
      </w:r>
    </w:p>
    <w:p>
      <w:pPr>
        <w:widowControl/>
        <w:adjustRightInd w:val="0"/>
        <w:snapToGrid w:val="0"/>
        <w:spacing w:line="580" w:lineRule="exact"/>
        <w:ind w:firstLine="640" w:firstLineChars="200"/>
        <w:contextualSpacing/>
        <w:jc w:val="left"/>
        <w:rPr>
          <w:rFonts w:ascii="黑体" w:hAnsi="宋体" w:eastAsia="黑体" w:cs="宋体"/>
          <w:color w:val="000000" w:themeColor="text1"/>
          <w:kern w:val="0"/>
          <w:sz w:val="32"/>
          <w:szCs w:val="32"/>
          <w:shd w:val="clear" w:color="auto" w:fill="FFFFFF"/>
          <w:lang w:val="zh-CN"/>
        </w:rPr>
      </w:pPr>
      <w:r>
        <w:rPr>
          <w:rFonts w:hint="eastAsia" w:ascii="黑体" w:hAnsi="宋体" w:eastAsia="黑体" w:cs="宋体"/>
          <w:color w:val="000000" w:themeColor="text1"/>
          <w:kern w:val="0"/>
          <w:sz w:val="32"/>
          <w:szCs w:val="32"/>
          <w:shd w:val="clear" w:color="auto" w:fill="FFFFFF"/>
        </w:rPr>
        <w:t>一、</w:t>
      </w:r>
      <w:r>
        <w:rPr>
          <w:rFonts w:hint="eastAsia" w:ascii="黑体" w:hAnsi="宋体" w:eastAsia="黑体" w:cs="宋体"/>
          <w:color w:val="000000" w:themeColor="text1"/>
          <w:kern w:val="0"/>
          <w:sz w:val="32"/>
          <w:szCs w:val="32"/>
          <w:shd w:val="clear" w:color="auto" w:fill="FFFFFF"/>
          <w:lang w:val="zh-CN"/>
        </w:rPr>
        <w:t>部门（单位）概况</w:t>
      </w:r>
    </w:p>
    <w:p>
      <w:pPr>
        <w:spacing w:line="576" w:lineRule="exact"/>
        <w:ind w:firstLine="642" w:firstLineChars="200"/>
        <w:rPr>
          <w:rFonts w:ascii="仿宋_GB2312" w:hAnsi="宋体" w:eastAsia="仿宋_GB2312" w:cs="宋体"/>
          <w:color w:val="000000" w:themeColor="text1"/>
          <w:kern w:val="0"/>
          <w:sz w:val="32"/>
          <w:szCs w:val="32"/>
          <w:shd w:val="clear" w:color="auto" w:fill="FFFFFF"/>
          <w:lang w:val="zh-CN"/>
        </w:rPr>
      </w:pPr>
      <w:r>
        <w:rPr>
          <w:rFonts w:hint="eastAsia" w:ascii="楷体" w:hAnsi="楷体" w:eastAsia="楷体" w:cs="楷体"/>
          <w:b/>
          <w:bCs/>
          <w:color w:val="000000" w:themeColor="text1"/>
          <w:kern w:val="0"/>
          <w:sz w:val="32"/>
          <w:szCs w:val="32"/>
          <w:shd w:val="clear" w:color="auto" w:fill="FFFFFF"/>
          <w:lang w:val="zh-CN"/>
        </w:rPr>
        <w:t>（一）机构组成</w:t>
      </w:r>
      <w:r>
        <w:rPr>
          <w:rFonts w:hint="eastAsia" w:ascii="仿宋_GB2312" w:hAnsi="宋体" w:eastAsia="仿宋_GB2312" w:cs="宋体"/>
          <w:color w:val="000000" w:themeColor="text1"/>
          <w:kern w:val="0"/>
          <w:sz w:val="32"/>
          <w:szCs w:val="32"/>
          <w:shd w:val="clear" w:color="auto" w:fill="FFFFFF"/>
          <w:lang w:val="zh-CN"/>
        </w:rPr>
        <w:t>：</w:t>
      </w:r>
      <w:r>
        <w:rPr>
          <w:rFonts w:hint="eastAsia" w:ascii="仿宋_GB2312" w:eastAsia="仿宋_GB2312"/>
          <w:color w:val="000000" w:themeColor="text1"/>
          <w:sz w:val="32"/>
          <w:szCs w:val="32"/>
        </w:rPr>
        <w:t>茂县道路运输管理所是县政府管理全县交通运输工作的职能部门，承担政府职能的管理机构，为正科级财政全额拨款的（参公）事业单位。所内设“三股一室”，即办公室、财务股、安全股、运政业务股。</w:t>
      </w:r>
    </w:p>
    <w:p>
      <w:pPr>
        <w:spacing w:line="576" w:lineRule="exact"/>
        <w:ind w:firstLine="642" w:firstLineChars="200"/>
        <w:rPr>
          <w:rFonts w:ascii="楷体" w:hAnsi="楷体" w:eastAsia="楷体" w:cs="楷体"/>
          <w:b/>
          <w:bCs/>
          <w:color w:val="000000" w:themeColor="text1"/>
          <w:kern w:val="0"/>
          <w:sz w:val="32"/>
          <w:szCs w:val="32"/>
          <w:shd w:val="clear" w:color="auto" w:fill="FFFFFF"/>
          <w:lang w:val="zh-CN"/>
        </w:rPr>
      </w:pPr>
      <w:r>
        <w:rPr>
          <w:rFonts w:hint="eastAsia" w:ascii="楷体" w:hAnsi="楷体" w:eastAsia="楷体" w:cs="楷体"/>
          <w:b/>
          <w:bCs/>
          <w:color w:val="000000" w:themeColor="text1"/>
          <w:kern w:val="0"/>
          <w:sz w:val="32"/>
          <w:szCs w:val="32"/>
          <w:shd w:val="clear" w:color="auto" w:fill="FFFFFF"/>
          <w:lang w:val="zh-CN"/>
        </w:rPr>
        <w:t>（二）机构职能</w:t>
      </w:r>
    </w:p>
    <w:p>
      <w:pPr>
        <w:spacing w:line="576" w:lineRule="exact"/>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办公室：负责单位重要报告、综合性文件的草拟和会议的组织筹备，并做好会议的记录、纪要整理工作；负责单位印鉴的管理工作;负责本县行业宣传及政务信息工作，精神文明工作；负责单位运政目标的拟定、报送，做好目标日常管理工作；负责公文处理（公文印制、文件复印收发、传阅、转办、报送等）、档案管理、机要保密、节假日值班安排工作;负责行业管理的协调、接待工作；负责办理人大建议和政协提案、信访接待和转办事项、以及公文办理的督查催办工作;负责社会治安、综合治理、网络管理、后勤管理和办公设备、车辆装备的管理;负责固定资产的管理和办公用品保管、发放，按批准计划采购零星办公用品;协助分管领导处理机关政务和日常事务，完成领导交办的其他工作。</w:t>
      </w:r>
    </w:p>
    <w:p>
      <w:pPr>
        <w:spacing w:line="576" w:lineRule="exact"/>
        <w:ind w:firstLine="640" w:firstLineChars="200"/>
        <w:rPr>
          <w:rFonts w:ascii="仿宋_GB2312" w:eastAsia="仿宋_GB2312"/>
          <w:color w:val="000000" w:themeColor="text1"/>
          <w:sz w:val="32"/>
          <w:szCs w:val="32"/>
        </w:rPr>
      </w:pPr>
      <w:r>
        <w:rPr>
          <w:rFonts w:hint="eastAsia" w:ascii="仿宋_GB2312" w:eastAsia="仿宋_GB2312"/>
          <w:color w:val="000000" w:themeColor="text1"/>
          <w:sz w:val="32"/>
          <w:szCs w:val="32"/>
        </w:rPr>
        <w:t>财务股：贯彻执行国家、交通行业财务会计规章制度和有关财经法规；做好各类财务报表的汇编和年度部门综合预算编制，撰写财务分析报告，负责会计核算工作;负责道路运输机关经费、单位基建、客货运输站场建设资金及其他专项资金的会计核算;负责对一切报销单据和所发生经济业务的合理性、合法性、真实性进行审核报销。单位的收支情况随时向所领导汇报并提出合理化建议，做到厉行节约;组织开展内审工作和会计电算化工作；负责财政性票据管理和核销；负责固定资产投资报表工作;负责国有资产管理和保值监督;完成领导交办的其他工作。</w:t>
      </w:r>
    </w:p>
    <w:p>
      <w:pPr>
        <w:spacing w:line="576" w:lineRule="exact"/>
        <w:ind w:firstLine="640" w:firstLineChars="200"/>
        <w:rPr>
          <w:rFonts w:ascii="仿宋_GB2312" w:eastAsia="仿宋_GB2312"/>
          <w:b/>
          <w:color w:val="000000" w:themeColor="text1"/>
          <w:sz w:val="32"/>
          <w:szCs w:val="32"/>
        </w:rPr>
      </w:pPr>
      <w:r>
        <w:rPr>
          <w:rFonts w:hint="eastAsia" w:ascii="仿宋_GB2312" w:hAnsi="仿宋_GB2312" w:eastAsia="仿宋_GB2312" w:cs="仿宋_GB2312"/>
          <w:bCs/>
          <w:color w:val="000000" w:themeColor="text1"/>
          <w:sz w:val="32"/>
          <w:szCs w:val="32"/>
        </w:rPr>
        <w:t>运政业务股（客运、货运管理、稽查工作）：</w:t>
      </w:r>
      <w:r>
        <w:rPr>
          <w:rFonts w:hint="eastAsia" w:ascii="仿宋_GB2312" w:eastAsia="仿宋_GB2312"/>
          <w:color w:val="000000" w:themeColor="text1"/>
          <w:sz w:val="32"/>
          <w:szCs w:val="32"/>
        </w:rPr>
        <w:t>负责承办客运、货运、搬运装卸、运输服务、出租汽车管理、商品车发送、交通战备及物流的各项管理业务；负责整理、管理相关业务档案，并负责证、照、单、票的保管工作；负责办理营业车辆运力结构调整业务；参与客、货运输站场和服务设施的规划及参与道路客运、货运价格调整工作；负责客运投诉电话的受理、处理和回复工作；负责调解道路货运经营的运输纠纷；参与道路运输站场站级验收工作；负责办理出租汽车管理有关事项，做好出租汽车行业的协调、监督和服务工作、处理举报投诉，依法处理出租汽车各种违规营运行为；负责全县道路运输市场业务稽查工作，安全稽查工作；负责办理营运车辆的技术管理和汽车维修经营的行业管理业务工作；负责开展汽车维修经营的指导、服务、监督、审验工作；监督、仲裁维修质量、纠纷。整理、管理相关业务档案，并负责证、照的保管工作；贯彻执行国家、部、省有关驾驶员培训的法规规章和政策，具体办理汽车驾驶员培训行业管理的业务工作；对汽车驾驶员培训学校、营运汽车驾驶员培训质量进行监督检查；参与制定汽车驾驶员培训收费标准；负责发放、管理汽车驾驶培训相关证照；负责做好各运输企业、客运站的日常动态、监测；参与制定行业维稳工作计划；对行业稳定工作提出合理化建议；参与维护稳定各项工作；办理交办的信访工作和领导交办的其他工作。</w:t>
      </w:r>
    </w:p>
    <w:p>
      <w:pPr>
        <w:spacing w:line="576" w:lineRule="exact"/>
        <w:ind w:firstLine="640" w:firstLineChars="200"/>
        <w:rPr>
          <w:rFonts w:ascii="仿宋" w:hAnsi="仿宋" w:eastAsia="仿宋_GB2312" w:cs="仿宋_GB2312"/>
          <w:color w:val="000000" w:themeColor="text1"/>
          <w:sz w:val="32"/>
          <w:szCs w:val="32"/>
        </w:rPr>
      </w:pPr>
      <w:r>
        <w:rPr>
          <w:rFonts w:hint="eastAsia" w:ascii="仿宋_GB2312" w:hAnsi="仿宋_GB2312" w:eastAsia="仿宋_GB2312" w:cs="仿宋_GB2312"/>
          <w:bCs/>
          <w:color w:val="000000" w:themeColor="text1"/>
          <w:sz w:val="32"/>
          <w:szCs w:val="32"/>
        </w:rPr>
        <w:t>安全股：</w:t>
      </w:r>
      <w:r>
        <w:rPr>
          <w:rFonts w:hint="eastAsia" w:ascii="仿宋_GB2312" w:eastAsia="仿宋_GB2312"/>
          <w:color w:val="000000" w:themeColor="text1"/>
          <w:sz w:val="32"/>
          <w:szCs w:val="32"/>
        </w:rPr>
        <w:t>负责组织开展道路运输市场整治，加强客运站和客运企业的源头安全管理；认真执行上级部门的道路运输安全的法律、法规和有关规章，并制定企业加强道路运输安全管理的措施；督促各运输企业、客运站落实安全管理措施情况，并组织各运输企业加强安全学习、培训；负责召开系列安全会议，传达安全上的相关文件精神；加强客运站安全隐患排查工作，发现安全隐患及时上报所领导，提出整改意见，并督促车站完成相关安全隐患的整改；严格按照交通行政的法律、法规处罚非法经营者，严厉打击非法营运行为，并做好交通行政执法处罚文书的档案管理工作；参与道路运输事故的调查处理，并负责道路交通事故的统计、报告工作；负责做好各运输企业、客运站的日常动态、监测；参与制定行业维稳工作计划；对行业稳定工作提出合理化建议；参与维护稳定各项工作；负责对客运安全管理工作提出合理化建议；完成领导交办的其他工作任务。</w:t>
      </w:r>
    </w:p>
    <w:p>
      <w:pPr>
        <w:spacing w:line="576" w:lineRule="exact"/>
        <w:ind w:firstLine="642" w:firstLineChars="200"/>
        <w:rPr>
          <w:rFonts w:ascii="楷体" w:hAnsi="楷体" w:eastAsia="楷体" w:cs="楷体"/>
          <w:b/>
          <w:bCs/>
          <w:color w:val="000000" w:themeColor="text1"/>
          <w:kern w:val="0"/>
          <w:sz w:val="32"/>
          <w:szCs w:val="32"/>
          <w:shd w:val="clear" w:color="auto" w:fill="FFFFFF"/>
          <w:lang w:val="zh-CN"/>
        </w:rPr>
      </w:pPr>
      <w:r>
        <w:rPr>
          <w:rFonts w:hint="eastAsia" w:ascii="楷体" w:hAnsi="楷体" w:eastAsia="楷体" w:cs="楷体"/>
          <w:b/>
          <w:bCs/>
          <w:color w:val="000000" w:themeColor="text1"/>
          <w:kern w:val="0"/>
          <w:sz w:val="32"/>
          <w:szCs w:val="32"/>
          <w:shd w:val="clear" w:color="auto" w:fill="FFFFFF"/>
          <w:lang w:val="zh-CN"/>
        </w:rPr>
        <w:t>（三）人员概况</w:t>
      </w:r>
    </w:p>
    <w:p>
      <w:pPr>
        <w:tabs>
          <w:tab w:val="left" w:pos="284"/>
        </w:tabs>
        <w:spacing w:line="576" w:lineRule="exact"/>
        <w:ind w:left="420" w:leftChars="200" w:firstLine="320" w:firstLineChars="100"/>
        <w:jc w:val="left"/>
        <w:rPr>
          <w:rFonts w:ascii="仿宋_GB2312" w:eastAsia="仿宋_GB2312"/>
          <w:color w:val="000000" w:themeColor="text1"/>
          <w:sz w:val="32"/>
          <w:szCs w:val="32"/>
        </w:rPr>
      </w:pPr>
      <w:r>
        <w:rPr>
          <w:rFonts w:hint="eastAsia" w:ascii="仿宋_GB2312" w:eastAsia="仿宋_GB2312"/>
          <w:color w:val="000000" w:themeColor="text1"/>
          <w:sz w:val="32"/>
          <w:szCs w:val="32"/>
        </w:rPr>
        <w:t>我所为财政全额拨款的一级预算正科级参公事业单位。</w:t>
      </w:r>
    </w:p>
    <w:p>
      <w:pPr>
        <w:tabs>
          <w:tab w:val="left" w:pos="284"/>
        </w:tabs>
        <w:spacing w:line="576" w:lineRule="exact"/>
        <w:jc w:val="left"/>
        <w:rPr>
          <w:rFonts w:ascii="仿宋_GB2312" w:hAnsi="宋体" w:eastAsia="仿宋_GB2312" w:cs="宋体"/>
          <w:color w:val="000000" w:themeColor="text1"/>
          <w:kern w:val="0"/>
          <w:sz w:val="32"/>
          <w:szCs w:val="32"/>
          <w:shd w:val="clear" w:color="auto" w:fill="FFFFFF"/>
          <w:lang w:val="zh-CN"/>
        </w:rPr>
      </w:pPr>
      <w:r>
        <w:rPr>
          <w:rFonts w:hint="eastAsia" w:ascii="仿宋_GB2312" w:eastAsia="仿宋_GB2312"/>
          <w:color w:val="000000" w:themeColor="text1"/>
          <w:sz w:val="32"/>
          <w:szCs w:val="32"/>
        </w:rPr>
        <w:t>核定参公编制13人。单位内设1名所长，1名副所长；2018年末在职人员13人（其中参公干部6人，工勤7人），退休人员3人。</w:t>
      </w:r>
    </w:p>
    <w:p>
      <w:pPr>
        <w:widowControl/>
        <w:adjustRightInd w:val="0"/>
        <w:snapToGrid w:val="0"/>
        <w:spacing w:line="580" w:lineRule="exact"/>
        <w:ind w:firstLine="640" w:firstLineChars="200"/>
        <w:contextualSpacing/>
        <w:jc w:val="left"/>
        <w:rPr>
          <w:rFonts w:ascii="黑体" w:hAnsi="宋体" w:eastAsia="黑体" w:cs="宋体"/>
          <w:color w:val="000000" w:themeColor="text1"/>
          <w:kern w:val="0"/>
          <w:sz w:val="32"/>
          <w:szCs w:val="32"/>
          <w:shd w:val="clear" w:color="auto" w:fill="FFFFFF"/>
        </w:rPr>
      </w:pPr>
      <w:r>
        <w:rPr>
          <w:rFonts w:hint="eastAsia" w:ascii="黑体" w:hAnsi="宋体" w:eastAsia="黑体" w:cs="宋体"/>
          <w:color w:val="000000" w:themeColor="text1"/>
          <w:kern w:val="0"/>
          <w:sz w:val="32"/>
          <w:szCs w:val="32"/>
          <w:shd w:val="clear" w:color="auto" w:fill="FFFFFF"/>
        </w:rPr>
        <w:t>二、部门财政资金收支情况</w:t>
      </w:r>
    </w:p>
    <w:p>
      <w:pPr>
        <w:spacing w:line="576" w:lineRule="exact"/>
        <w:ind w:firstLine="642" w:firstLineChars="200"/>
        <w:rPr>
          <w:rFonts w:ascii="仿宋_GB2312" w:hAnsi="宋体" w:eastAsia="仿宋_GB2312" w:cs="宋体"/>
          <w:color w:val="000000" w:themeColor="text1"/>
          <w:kern w:val="0"/>
          <w:sz w:val="32"/>
          <w:szCs w:val="32"/>
          <w:shd w:val="clear" w:color="auto" w:fill="FFFFFF"/>
          <w:lang w:val="zh-CN"/>
        </w:rPr>
      </w:pPr>
      <w:r>
        <w:rPr>
          <w:rFonts w:hint="eastAsia" w:ascii="楷体" w:hAnsi="楷体" w:eastAsia="楷体" w:cs="楷体"/>
          <w:b/>
          <w:bCs/>
          <w:color w:val="000000" w:themeColor="text1"/>
          <w:kern w:val="0"/>
          <w:sz w:val="32"/>
          <w:szCs w:val="32"/>
          <w:shd w:val="clear" w:color="auto" w:fill="FFFFFF"/>
          <w:lang w:val="zh-CN"/>
        </w:rPr>
        <w:t>（一）部门财政资金收入情况</w:t>
      </w:r>
    </w:p>
    <w:p>
      <w:pPr>
        <w:spacing w:line="576" w:lineRule="exact"/>
        <w:ind w:firstLine="640" w:firstLineChars="200"/>
        <w:rPr>
          <w:rFonts w:ascii="仿宋_GB2312" w:hAnsi="宋体" w:eastAsia="仿宋_GB2312" w:cs="宋体"/>
          <w:color w:val="000000" w:themeColor="text1"/>
          <w:kern w:val="0"/>
          <w:sz w:val="32"/>
          <w:szCs w:val="32"/>
          <w:shd w:val="clear" w:color="auto" w:fill="FFFFFF"/>
          <w:lang w:val="zh-CN"/>
        </w:rPr>
      </w:pPr>
      <w:r>
        <w:rPr>
          <w:rFonts w:hint="eastAsia" w:ascii="仿宋_GB2312" w:eastAsia="仿宋_GB2312"/>
          <w:color w:val="000000" w:themeColor="text1"/>
          <w:sz w:val="32"/>
          <w:szCs w:val="32"/>
        </w:rPr>
        <w:t>2019年单位财政资金收入：财政拨款1011.09万元、均为一般公共预算财政拨款收入。</w:t>
      </w:r>
    </w:p>
    <w:p>
      <w:pPr>
        <w:spacing w:line="576" w:lineRule="exact"/>
        <w:ind w:firstLine="642" w:firstLineChars="200"/>
        <w:rPr>
          <w:rFonts w:ascii="仿宋_GB2312" w:hAnsi="宋体" w:eastAsia="仿宋_GB2312" w:cs="宋体"/>
          <w:color w:val="000000" w:themeColor="text1"/>
          <w:kern w:val="0"/>
          <w:sz w:val="32"/>
          <w:szCs w:val="32"/>
          <w:shd w:val="clear" w:color="auto" w:fill="FFFFFF"/>
          <w:lang w:val="zh-CN"/>
        </w:rPr>
      </w:pPr>
      <w:r>
        <w:rPr>
          <w:rFonts w:hint="eastAsia" w:ascii="楷体" w:hAnsi="楷体" w:eastAsia="楷体" w:cs="楷体"/>
          <w:b/>
          <w:bCs/>
          <w:color w:val="000000" w:themeColor="text1"/>
          <w:kern w:val="0"/>
          <w:sz w:val="32"/>
          <w:szCs w:val="32"/>
          <w:shd w:val="clear" w:color="auto" w:fill="FFFFFF"/>
          <w:lang w:val="zh-CN"/>
        </w:rPr>
        <w:t>（二）部门财政资金支出情况</w:t>
      </w:r>
    </w:p>
    <w:p>
      <w:pPr>
        <w:tabs>
          <w:tab w:val="left" w:pos="284"/>
        </w:tabs>
        <w:spacing w:line="576" w:lineRule="exact"/>
        <w:ind w:firstLine="640" w:firstLineChars="200"/>
        <w:jc w:val="left"/>
        <w:rPr>
          <w:rFonts w:ascii="仿宋_GB2312" w:eastAsia="仿宋_GB2312"/>
          <w:color w:val="000000" w:themeColor="text1"/>
          <w:sz w:val="32"/>
          <w:szCs w:val="32"/>
        </w:rPr>
      </w:pPr>
      <w:r>
        <w:rPr>
          <w:rFonts w:hint="eastAsia" w:ascii="仿宋_GB2312" w:eastAsia="仿宋_GB2312"/>
          <w:color w:val="000000" w:themeColor="text1"/>
          <w:sz w:val="32"/>
          <w:szCs w:val="32"/>
        </w:rPr>
        <w:t>2019年本部门财政拨款支出决算总额994.77万元。</w:t>
      </w:r>
    </w:p>
    <w:p>
      <w:pPr>
        <w:tabs>
          <w:tab w:val="left" w:pos="284"/>
        </w:tabs>
        <w:spacing w:line="576" w:lineRule="exact"/>
        <w:jc w:val="left"/>
        <w:rPr>
          <w:rFonts w:ascii="仿宋_GB2312" w:hAnsi="宋体" w:eastAsia="仿宋_GB2312" w:cs="宋体"/>
          <w:color w:val="000000" w:themeColor="text1"/>
          <w:kern w:val="0"/>
          <w:sz w:val="32"/>
          <w:szCs w:val="32"/>
          <w:shd w:val="clear" w:color="auto" w:fill="FFFFFF"/>
          <w:lang w:val="zh-CN"/>
        </w:rPr>
      </w:pPr>
      <w:r>
        <w:rPr>
          <w:rFonts w:hint="eastAsia" w:ascii="仿宋_GB2312" w:eastAsia="仿宋_GB2312"/>
          <w:color w:val="000000" w:themeColor="text1"/>
          <w:sz w:val="32"/>
          <w:szCs w:val="32"/>
        </w:rPr>
        <w:t>其中按功能分类，交通运输支出943.88万元、社会保障和就业支出24.22万元、卫生健康支出11.48万元、住房保障支出15.18万元；按支出性质分类，基本支出217.17万元，项目支出777.6万元；按经济分类，工资福利支出193.45万元，商品服务支出23.71万元。</w:t>
      </w:r>
    </w:p>
    <w:p>
      <w:pPr>
        <w:widowControl/>
        <w:adjustRightInd w:val="0"/>
        <w:snapToGrid w:val="0"/>
        <w:spacing w:line="580" w:lineRule="exact"/>
        <w:ind w:firstLine="640" w:firstLineChars="200"/>
        <w:contextualSpacing/>
        <w:jc w:val="left"/>
        <w:rPr>
          <w:rFonts w:ascii="黑体" w:hAnsi="宋体" w:eastAsia="黑体" w:cs="宋体"/>
          <w:color w:val="000000" w:themeColor="text1"/>
          <w:kern w:val="0"/>
          <w:sz w:val="32"/>
          <w:szCs w:val="32"/>
          <w:shd w:val="clear" w:color="auto" w:fill="FFFFFF"/>
        </w:rPr>
      </w:pPr>
      <w:r>
        <w:rPr>
          <w:rFonts w:hint="eastAsia" w:ascii="黑体" w:hAnsi="宋体" w:eastAsia="黑体" w:cs="宋体"/>
          <w:color w:val="000000" w:themeColor="text1"/>
          <w:kern w:val="0"/>
          <w:sz w:val="32"/>
          <w:szCs w:val="32"/>
          <w:shd w:val="clear" w:color="auto" w:fill="FFFFFF"/>
        </w:rPr>
        <w:t>三、部门整体预算绩效管理情况</w:t>
      </w:r>
    </w:p>
    <w:p>
      <w:pPr>
        <w:spacing w:line="576" w:lineRule="exact"/>
        <w:ind w:firstLine="642" w:firstLineChars="200"/>
        <w:rPr>
          <w:rFonts w:ascii="楷体" w:hAnsi="楷体" w:eastAsia="楷体" w:cs="楷体"/>
          <w:b/>
          <w:bCs/>
          <w:color w:val="000000" w:themeColor="text1"/>
          <w:kern w:val="0"/>
          <w:sz w:val="32"/>
          <w:szCs w:val="32"/>
          <w:shd w:val="clear" w:color="auto" w:fill="FFFFFF"/>
          <w:lang w:val="zh-CN"/>
        </w:rPr>
      </w:pPr>
      <w:r>
        <w:rPr>
          <w:rFonts w:hint="eastAsia" w:ascii="楷体" w:hAnsi="楷体" w:eastAsia="楷体" w:cs="楷体"/>
          <w:b/>
          <w:bCs/>
          <w:color w:val="000000" w:themeColor="text1"/>
          <w:kern w:val="0"/>
          <w:sz w:val="32"/>
          <w:szCs w:val="32"/>
          <w:shd w:val="clear" w:color="auto" w:fill="FFFFFF"/>
          <w:lang w:val="zh-CN"/>
        </w:rPr>
        <w:t>（一）部门预算管理</w:t>
      </w:r>
    </w:p>
    <w:p>
      <w:pPr>
        <w:tabs>
          <w:tab w:val="left" w:pos="284"/>
        </w:tabs>
        <w:spacing w:line="576" w:lineRule="exact"/>
        <w:ind w:firstLine="640" w:firstLineChars="200"/>
        <w:jc w:val="left"/>
        <w:rPr>
          <w:rFonts w:ascii="仿宋_GB2312" w:eastAsia="仿宋_GB2312"/>
          <w:color w:val="000000" w:themeColor="text1"/>
          <w:sz w:val="32"/>
          <w:szCs w:val="32"/>
        </w:rPr>
      </w:pPr>
      <w:r>
        <w:rPr>
          <w:rFonts w:hint="eastAsia" w:ascii="仿宋_GB2312" w:eastAsia="仿宋_GB2312"/>
          <w:color w:val="000000" w:themeColor="text1"/>
          <w:sz w:val="32"/>
          <w:szCs w:val="32"/>
        </w:rPr>
        <w:t>我所认真学习贯彻党的十九大及十九届各次精神，以习近平新时代中国特色社会主义思想为指导，紧紧围绕构建“一干多支、五区协同”的发展战略目标，自觉践行新发展理念，根据职能职责积极谋划，确定目标任务，积极发挥公共财政职能作用，推动落实稳增长、促改革、调结构、惠民生、防风险各项工作。</w:t>
      </w:r>
    </w:p>
    <w:p>
      <w:pPr>
        <w:tabs>
          <w:tab w:val="left" w:pos="284"/>
        </w:tabs>
        <w:spacing w:line="576" w:lineRule="exact"/>
        <w:ind w:firstLine="640" w:firstLineChars="200"/>
        <w:jc w:val="left"/>
        <w:rPr>
          <w:rFonts w:ascii="仿宋_GB2312" w:eastAsia="仿宋_GB2312"/>
          <w:color w:val="000000" w:themeColor="text1"/>
          <w:sz w:val="32"/>
          <w:szCs w:val="32"/>
        </w:rPr>
      </w:pPr>
      <w:r>
        <w:rPr>
          <w:rFonts w:hint="eastAsia" w:ascii="仿宋_GB2312" w:eastAsia="仿宋_GB2312"/>
          <w:color w:val="000000" w:themeColor="text1"/>
          <w:sz w:val="32"/>
          <w:szCs w:val="32"/>
        </w:rPr>
        <w:t>一是按照2019年部门预算编审要求，根据我所职能职责，结合中长期规划和年度工作计划，明确了年度主要工作任务及年度内履职所要达到的总体产出和效果，认真填报了我所整体支出绩效目标及“地方治违工作经费”、“成品油价格改革的补助专项经费”等2个专用项目绩效目标，具体说明了项目概况，详细反映了相应项目工作任务、达成的效果。</w:t>
      </w:r>
    </w:p>
    <w:p>
      <w:pPr>
        <w:spacing w:line="576" w:lineRule="exact"/>
        <w:ind w:firstLine="642" w:firstLineChars="200"/>
        <w:rPr>
          <w:rFonts w:ascii="楷体" w:hAnsi="楷体" w:eastAsia="楷体" w:cs="楷体"/>
          <w:b/>
          <w:bCs/>
          <w:color w:val="000000" w:themeColor="text1"/>
          <w:kern w:val="0"/>
          <w:sz w:val="32"/>
          <w:szCs w:val="32"/>
          <w:shd w:val="clear" w:color="auto" w:fill="FFFFFF"/>
          <w:lang w:val="zh-CN"/>
        </w:rPr>
      </w:pPr>
      <w:r>
        <w:rPr>
          <w:rFonts w:hint="eastAsia" w:ascii="楷体" w:hAnsi="楷体" w:eastAsia="楷体" w:cs="楷体"/>
          <w:b/>
          <w:bCs/>
          <w:color w:val="000000" w:themeColor="text1"/>
          <w:kern w:val="0"/>
          <w:sz w:val="32"/>
          <w:szCs w:val="32"/>
          <w:shd w:val="clear" w:color="auto" w:fill="FFFFFF"/>
          <w:lang w:val="zh-CN"/>
        </w:rPr>
        <w:t>（二）结果应用情况</w:t>
      </w:r>
    </w:p>
    <w:p>
      <w:pPr>
        <w:widowControl/>
        <w:adjustRightInd w:val="0"/>
        <w:snapToGrid w:val="0"/>
        <w:spacing w:line="580" w:lineRule="exact"/>
        <w:ind w:firstLine="640" w:firstLineChars="200"/>
        <w:contextualSpacing/>
        <w:jc w:val="left"/>
        <w:rPr>
          <w:rFonts w:ascii="仿宋_GB2312" w:hAnsi="仿宋_GB2312" w:eastAsia="仿宋_GB2312" w:cs="仿宋_GB2312"/>
          <w:color w:val="000000" w:themeColor="text1"/>
          <w:sz w:val="32"/>
          <w:szCs w:val="32"/>
        </w:rPr>
      </w:pPr>
      <w:r>
        <w:rPr>
          <w:rFonts w:hint="eastAsia" w:ascii="仿宋_GB2312" w:hAnsi="仿宋_GB2312" w:eastAsia="仿宋_GB2312" w:cs="仿宋_GB2312"/>
          <w:color w:val="000000" w:themeColor="text1"/>
          <w:sz w:val="32"/>
          <w:szCs w:val="32"/>
        </w:rPr>
        <w:t>我所对部门预算绩效管理工作开展情况认真进行了自查自评。开展绩效评价自查，将评价结果作为预算安排的重要依据，参照年度预算执行情况，不断强化绩效理念，推动我局部门整体绩效管理水平，不断提升我所所有财政资金支出主要用于保障本单位机构正常运转、完成日常工作任务以及承担交通运输事业发展相关工作</w:t>
      </w:r>
    </w:p>
    <w:p>
      <w:pPr>
        <w:widowControl/>
        <w:adjustRightInd w:val="0"/>
        <w:snapToGrid w:val="0"/>
        <w:spacing w:line="580" w:lineRule="exact"/>
        <w:ind w:firstLine="640" w:firstLineChars="200"/>
        <w:contextualSpacing/>
        <w:jc w:val="left"/>
        <w:rPr>
          <w:rFonts w:ascii="黑体" w:hAnsi="宋体" w:eastAsia="黑体" w:cs="宋体"/>
          <w:color w:val="000000" w:themeColor="text1"/>
          <w:kern w:val="0"/>
          <w:sz w:val="32"/>
          <w:szCs w:val="32"/>
          <w:shd w:val="clear" w:color="auto" w:fill="FFFFFF"/>
        </w:rPr>
      </w:pPr>
      <w:r>
        <w:rPr>
          <w:rFonts w:hint="eastAsia" w:ascii="黑体" w:hAnsi="宋体" w:eastAsia="黑体" w:cs="宋体"/>
          <w:color w:val="000000" w:themeColor="text1"/>
          <w:kern w:val="0"/>
          <w:sz w:val="32"/>
          <w:szCs w:val="32"/>
          <w:shd w:val="clear" w:color="auto" w:fill="FFFFFF"/>
        </w:rPr>
        <w:t>四、评价结论及建议</w:t>
      </w:r>
    </w:p>
    <w:p>
      <w:pPr>
        <w:widowControl/>
        <w:adjustRightInd w:val="0"/>
        <w:snapToGrid w:val="0"/>
        <w:spacing w:line="580" w:lineRule="exact"/>
        <w:ind w:firstLine="642" w:firstLineChars="200"/>
        <w:contextualSpacing/>
        <w:jc w:val="left"/>
        <w:rPr>
          <w:rFonts w:ascii="仿宋_GB2312" w:hAnsi="宋体" w:eastAsia="仿宋_GB2312" w:cs="宋体"/>
          <w:color w:val="000000" w:themeColor="text1"/>
          <w:kern w:val="0"/>
          <w:sz w:val="32"/>
          <w:szCs w:val="32"/>
          <w:shd w:val="clear" w:color="auto" w:fill="FFFFFF"/>
          <w:lang w:val="zh-CN"/>
        </w:rPr>
      </w:pPr>
      <w:r>
        <w:rPr>
          <w:rFonts w:hint="eastAsia" w:ascii="楷体" w:hAnsi="楷体" w:eastAsia="楷体" w:cs="楷体"/>
          <w:b/>
          <w:bCs/>
          <w:color w:val="000000" w:themeColor="text1"/>
          <w:kern w:val="0"/>
          <w:sz w:val="32"/>
          <w:szCs w:val="32"/>
          <w:shd w:val="clear" w:color="auto" w:fill="FFFFFF"/>
          <w:lang w:val="zh-CN"/>
        </w:rPr>
        <w:t>（一）评价结论。</w:t>
      </w:r>
      <w:r>
        <w:rPr>
          <w:rFonts w:hint="eastAsia" w:ascii="仿宋_GB2312" w:hAnsi="宋体" w:eastAsia="仿宋_GB2312"/>
          <w:color w:val="000000" w:themeColor="text1"/>
          <w:sz w:val="32"/>
          <w:szCs w:val="32"/>
          <w:shd w:val="clear" w:color="auto" w:fill="FFFFFF"/>
        </w:rPr>
        <w:t>我所按照相关文件的规定和要求，认真开展自评工作。通过自评，2019年部门整体支出绩效评价自查自评结果良好，保证了部门的正常运行和日常工作的正常开展。</w:t>
      </w:r>
    </w:p>
    <w:p>
      <w:pPr>
        <w:pStyle w:val="31"/>
        <w:spacing w:line="576" w:lineRule="exact"/>
        <w:ind w:firstLine="642" w:firstLineChars="200"/>
        <w:rPr>
          <w:rFonts w:ascii="仿宋_GB2312" w:hAnsi="宋体" w:eastAsia="仿宋_GB2312" w:cs="宋体"/>
          <w:color w:val="000000" w:themeColor="text1"/>
          <w:kern w:val="0"/>
          <w:sz w:val="32"/>
          <w:szCs w:val="32"/>
          <w:shd w:val="clear" w:color="auto" w:fill="FFFFFF"/>
          <w:lang w:val="zh-CN"/>
        </w:rPr>
      </w:pPr>
      <w:r>
        <w:rPr>
          <w:rFonts w:hint="eastAsia" w:ascii="楷体" w:hAnsi="楷体" w:eastAsia="楷体" w:cs="楷体"/>
          <w:b/>
          <w:bCs/>
          <w:color w:val="000000" w:themeColor="text1"/>
          <w:kern w:val="0"/>
          <w:sz w:val="32"/>
          <w:szCs w:val="32"/>
          <w:shd w:val="clear" w:color="auto" w:fill="FFFFFF"/>
          <w:lang w:val="zh-CN"/>
        </w:rPr>
        <w:t>（二）存在问题。</w:t>
      </w:r>
      <w:r>
        <w:rPr>
          <w:rFonts w:hint="eastAsia" w:ascii="仿宋_GB2312" w:hAnsi="宋体" w:eastAsia="仿宋_GB2312"/>
          <w:color w:val="000000" w:themeColor="text1"/>
          <w:sz w:val="32"/>
          <w:szCs w:val="32"/>
          <w:shd w:val="clear" w:color="auto" w:fill="FFFFFF"/>
        </w:rPr>
        <w:t>单位对部门支出相关规章制度落实力度不够，执行能力不强，在票据报销规范性方面的管理及账务处理上不够规范细致。</w:t>
      </w:r>
    </w:p>
    <w:p>
      <w:pPr>
        <w:pStyle w:val="31"/>
        <w:spacing w:line="576" w:lineRule="exact"/>
        <w:ind w:firstLine="642" w:firstLineChars="200"/>
        <w:rPr>
          <w:rFonts w:ascii="仿宋_GB2312" w:hAnsi="宋体" w:eastAsia="仿宋_GB2312"/>
          <w:color w:val="000000" w:themeColor="text1"/>
          <w:sz w:val="32"/>
          <w:szCs w:val="32"/>
          <w:shd w:val="clear" w:color="auto" w:fill="FFFFFF"/>
        </w:rPr>
      </w:pPr>
      <w:r>
        <w:rPr>
          <w:rFonts w:hint="eastAsia" w:ascii="楷体" w:hAnsi="楷体" w:eastAsia="楷体" w:cs="楷体"/>
          <w:b/>
          <w:bCs/>
          <w:color w:val="000000" w:themeColor="text1"/>
          <w:kern w:val="0"/>
          <w:sz w:val="32"/>
          <w:szCs w:val="32"/>
          <w:shd w:val="clear" w:color="auto" w:fill="FFFFFF"/>
          <w:lang w:val="zh-CN"/>
        </w:rPr>
        <w:t>（三）改进建议。</w:t>
      </w:r>
      <w:r>
        <w:rPr>
          <w:rFonts w:hint="eastAsia" w:ascii="仿宋_GB2312" w:hAnsi="宋体" w:eastAsia="仿宋_GB2312"/>
          <w:color w:val="000000" w:themeColor="text1"/>
          <w:sz w:val="32"/>
          <w:szCs w:val="32"/>
          <w:shd w:val="clear" w:color="auto" w:fill="FFFFFF"/>
        </w:rPr>
        <w:t>单位财务人员在今后工作中要按照有关文件及规章制度的要求严格规范各项经费支出，细化各项经费指标的收支管理及审批程序，加大对报销票据的审核把关力度，落实岗位职责，坚守职业道德，重点对“三公”经费开支范围及标准进行准确核算，确保财务原始凭证的规范性、完整性、真实性。</w:t>
      </w:r>
    </w:p>
    <w:p>
      <w:pPr>
        <w:widowControl/>
        <w:adjustRightInd w:val="0"/>
        <w:snapToGrid w:val="0"/>
        <w:spacing w:line="580" w:lineRule="exact"/>
        <w:ind w:firstLine="640" w:firstLineChars="200"/>
        <w:contextualSpacing/>
        <w:jc w:val="left"/>
        <w:rPr>
          <w:rFonts w:ascii="仿宋_GB2312" w:hAnsi="宋体" w:eastAsia="仿宋_GB2312" w:cs="宋体"/>
          <w:color w:val="000000" w:themeColor="text1"/>
          <w:kern w:val="0"/>
          <w:sz w:val="32"/>
          <w:szCs w:val="32"/>
          <w:shd w:val="clear" w:color="auto" w:fill="FFFFFF"/>
          <w:lang w:val="zh-CN"/>
        </w:rPr>
      </w:pPr>
    </w:p>
    <w:p>
      <w:pPr>
        <w:spacing w:line="580" w:lineRule="exact"/>
        <w:ind w:firstLine="640" w:firstLineChars="200"/>
        <w:rPr>
          <w:rFonts w:ascii="仿宋_GB2312" w:hAnsi="仿宋_GB2312" w:eastAsia="仿宋_GB2312" w:cs="仿宋_GB2312"/>
          <w:color w:val="000000" w:themeColor="text1"/>
          <w:sz w:val="32"/>
          <w:szCs w:val="32"/>
        </w:rPr>
      </w:pPr>
    </w:p>
    <w:p>
      <w:pPr>
        <w:spacing w:line="580" w:lineRule="exact"/>
        <w:ind w:firstLine="640" w:firstLineChars="200"/>
        <w:rPr>
          <w:rFonts w:ascii="仿宋_GB2312" w:hAnsi="仿宋_GB2312" w:eastAsia="仿宋_GB2312" w:cs="仿宋_GB2312"/>
          <w:color w:val="000000" w:themeColor="text1"/>
          <w:sz w:val="32"/>
          <w:szCs w:val="32"/>
        </w:rPr>
      </w:pPr>
    </w:p>
    <w:p>
      <w:pPr>
        <w:spacing w:line="580" w:lineRule="exact"/>
        <w:ind w:firstLine="640" w:firstLineChars="200"/>
        <w:rPr>
          <w:rFonts w:ascii="仿宋_GB2312" w:hAnsi="仿宋_GB2312" w:eastAsia="仿宋_GB2312" w:cs="仿宋_GB2312"/>
          <w:color w:val="000000" w:themeColor="text1"/>
          <w:sz w:val="32"/>
          <w:szCs w:val="32"/>
        </w:rPr>
      </w:pPr>
    </w:p>
    <w:p>
      <w:pPr>
        <w:spacing w:line="580" w:lineRule="exact"/>
        <w:ind w:firstLine="640" w:firstLineChars="200"/>
        <w:rPr>
          <w:rFonts w:ascii="仿宋_GB2312" w:hAnsi="仿宋_GB2312" w:eastAsia="仿宋_GB2312" w:cs="仿宋_GB2312"/>
          <w:color w:val="000000" w:themeColor="text1"/>
          <w:sz w:val="32"/>
          <w:szCs w:val="32"/>
        </w:rPr>
      </w:pPr>
    </w:p>
    <w:p>
      <w:pPr>
        <w:spacing w:line="580" w:lineRule="exact"/>
        <w:ind w:firstLine="640" w:firstLineChars="200"/>
        <w:rPr>
          <w:rFonts w:ascii="仿宋_GB2312" w:hAnsi="仿宋_GB2312" w:eastAsia="仿宋_GB2312" w:cs="仿宋_GB2312"/>
          <w:color w:val="000000" w:themeColor="text1"/>
          <w:sz w:val="32"/>
          <w:szCs w:val="32"/>
        </w:rPr>
      </w:pPr>
    </w:p>
    <w:p>
      <w:pPr>
        <w:spacing w:line="580" w:lineRule="exact"/>
        <w:ind w:firstLine="640" w:firstLineChars="200"/>
        <w:rPr>
          <w:rFonts w:ascii="仿宋_GB2312" w:hAnsi="仿宋_GB2312" w:eastAsia="仿宋_GB2312" w:cs="仿宋_GB2312"/>
          <w:color w:val="000000" w:themeColor="text1"/>
          <w:sz w:val="32"/>
          <w:szCs w:val="32"/>
        </w:rPr>
      </w:pPr>
    </w:p>
    <w:p>
      <w:pPr>
        <w:spacing w:line="580" w:lineRule="exact"/>
        <w:ind w:firstLine="640" w:firstLineChars="200"/>
        <w:rPr>
          <w:rFonts w:ascii="仿宋_GB2312" w:hAnsi="仿宋_GB2312" w:eastAsia="仿宋_GB2312" w:cs="仿宋_GB2312"/>
          <w:color w:val="000000" w:themeColor="text1"/>
          <w:sz w:val="32"/>
          <w:szCs w:val="32"/>
        </w:rPr>
      </w:pPr>
    </w:p>
    <w:p>
      <w:pPr>
        <w:spacing w:line="580" w:lineRule="exact"/>
        <w:ind w:firstLine="640" w:firstLineChars="200"/>
        <w:rPr>
          <w:rFonts w:ascii="仿宋_GB2312" w:hAnsi="仿宋_GB2312" w:eastAsia="仿宋_GB2312" w:cs="仿宋_GB2312"/>
          <w:color w:val="000000" w:themeColor="text1"/>
          <w:sz w:val="32"/>
          <w:szCs w:val="32"/>
        </w:rPr>
      </w:pPr>
    </w:p>
    <w:p>
      <w:pPr>
        <w:spacing w:line="580" w:lineRule="exact"/>
        <w:ind w:firstLine="640" w:firstLineChars="200"/>
        <w:rPr>
          <w:rFonts w:ascii="仿宋_GB2312" w:hAnsi="仿宋_GB2312" w:eastAsia="仿宋_GB2312" w:cs="仿宋_GB2312"/>
          <w:color w:val="000000" w:themeColor="text1"/>
          <w:sz w:val="32"/>
          <w:szCs w:val="32"/>
        </w:rPr>
      </w:pPr>
    </w:p>
    <w:p>
      <w:pPr>
        <w:spacing w:line="580" w:lineRule="exact"/>
        <w:ind w:firstLine="640" w:firstLineChars="200"/>
        <w:rPr>
          <w:rFonts w:ascii="仿宋_GB2312" w:hAnsi="仿宋_GB2312" w:eastAsia="仿宋_GB2312" w:cs="仿宋_GB2312"/>
          <w:color w:val="000000" w:themeColor="text1"/>
          <w:sz w:val="32"/>
          <w:szCs w:val="32"/>
        </w:rPr>
      </w:pPr>
    </w:p>
    <w:p>
      <w:pPr>
        <w:spacing w:line="580" w:lineRule="exact"/>
        <w:ind w:firstLine="640" w:firstLineChars="200"/>
        <w:rPr>
          <w:rFonts w:ascii="仿宋_GB2312" w:hAnsi="仿宋_GB2312" w:eastAsia="仿宋_GB2312" w:cs="仿宋_GB2312"/>
          <w:color w:val="000000" w:themeColor="text1"/>
          <w:sz w:val="32"/>
          <w:szCs w:val="32"/>
        </w:rPr>
      </w:pPr>
    </w:p>
    <w:p>
      <w:pPr>
        <w:spacing w:line="580" w:lineRule="exact"/>
        <w:ind w:firstLine="640" w:firstLineChars="200"/>
        <w:rPr>
          <w:rFonts w:ascii="仿宋_GB2312" w:hAnsi="仿宋_GB2312" w:eastAsia="仿宋_GB2312" w:cs="仿宋_GB2312"/>
          <w:color w:val="000000" w:themeColor="text1"/>
          <w:sz w:val="32"/>
          <w:szCs w:val="32"/>
        </w:rPr>
      </w:pPr>
    </w:p>
    <w:p>
      <w:pPr>
        <w:spacing w:line="580" w:lineRule="exact"/>
        <w:ind w:firstLine="640" w:firstLineChars="200"/>
        <w:rPr>
          <w:rFonts w:ascii="仿宋_GB2312" w:hAnsi="仿宋_GB2312" w:eastAsia="仿宋_GB2312" w:cs="仿宋_GB2312"/>
          <w:color w:val="000000" w:themeColor="text1"/>
          <w:sz w:val="32"/>
          <w:szCs w:val="32"/>
        </w:rPr>
      </w:pPr>
    </w:p>
    <w:p>
      <w:pPr>
        <w:spacing w:line="580" w:lineRule="exact"/>
        <w:ind w:firstLine="640" w:firstLineChars="200"/>
        <w:rPr>
          <w:rFonts w:ascii="仿宋_GB2312" w:hAnsi="仿宋_GB2312" w:eastAsia="仿宋_GB2312" w:cs="仿宋_GB2312"/>
          <w:color w:val="000000" w:themeColor="text1"/>
          <w:sz w:val="32"/>
          <w:szCs w:val="32"/>
        </w:rPr>
      </w:pPr>
    </w:p>
    <w:p>
      <w:pPr>
        <w:spacing w:line="580" w:lineRule="exact"/>
        <w:ind w:firstLine="640" w:firstLineChars="200"/>
        <w:rPr>
          <w:rFonts w:ascii="仿宋_GB2312" w:hAnsi="仿宋_GB2312" w:eastAsia="仿宋_GB2312" w:cs="仿宋_GB2312"/>
          <w:color w:val="000000" w:themeColor="text1"/>
          <w:sz w:val="32"/>
          <w:szCs w:val="32"/>
        </w:rPr>
      </w:pPr>
    </w:p>
    <w:p>
      <w:pPr>
        <w:spacing w:line="580" w:lineRule="exact"/>
        <w:ind w:firstLine="640" w:firstLineChars="200"/>
        <w:rPr>
          <w:rFonts w:ascii="仿宋_GB2312" w:hAnsi="仿宋_GB2312" w:eastAsia="仿宋_GB2312" w:cs="仿宋_GB2312"/>
          <w:color w:val="000000" w:themeColor="text1"/>
          <w:sz w:val="32"/>
          <w:szCs w:val="32"/>
        </w:rPr>
      </w:pPr>
    </w:p>
    <w:p>
      <w:pPr>
        <w:spacing w:line="580" w:lineRule="exact"/>
        <w:ind w:firstLine="640" w:firstLineChars="200"/>
        <w:rPr>
          <w:rFonts w:ascii="仿宋_GB2312" w:hAnsi="仿宋_GB2312" w:eastAsia="仿宋_GB2312" w:cs="仿宋_GB2312"/>
          <w:color w:val="000000" w:themeColor="text1"/>
          <w:sz w:val="32"/>
          <w:szCs w:val="32"/>
        </w:rPr>
      </w:pPr>
    </w:p>
    <w:p>
      <w:pPr>
        <w:spacing w:line="580" w:lineRule="exact"/>
        <w:ind w:firstLine="640" w:firstLineChars="200"/>
        <w:rPr>
          <w:rFonts w:ascii="仿宋_GB2312" w:hAnsi="仿宋_GB2312" w:eastAsia="仿宋_GB2312" w:cs="仿宋_GB2312"/>
          <w:color w:val="000000" w:themeColor="text1"/>
          <w:sz w:val="32"/>
          <w:szCs w:val="32"/>
        </w:rPr>
      </w:pPr>
    </w:p>
    <w:p>
      <w:pPr>
        <w:spacing w:line="580" w:lineRule="exact"/>
        <w:ind w:firstLine="640" w:firstLineChars="200"/>
        <w:rPr>
          <w:rFonts w:ascii="仿宋_GB2312" w:hAnsi="仿宋_GB2312" w:eastAsia="仿宋_GB2312" w:cs="仿宋_GB2312"/>
          <w:color w:val="000000" w:themeColor="text1"/>
          <w:sz w:val="32"/>
          <w:szCs w:val="32"/>
        </w:rPr>
      </w:pPr>
    </w:p>
    <w:p>
      <w:pPr>
        <w:spacing w:line="600" w:lineRule="exact"/>
        <w:jc w:val="center"/>
        <w:outlineLvl w:val="0"/>
        <w:rPr>
          <w:rFonts w:ascii="黑体" w:hAnsi="黑体" w:eastAsia="黑体"/>
          <w:color w:val="000000" w:themeColor="text1"/>
          <w:sz w:val="44"/>
          <w:szCs w:val="44"/>
        </w:rPr>
      </w:pPr>
      <w:bookmarkStart w:id="59" w:name="_Toc15396618"/>
    </w:p>
    <w:p>
      <w:pPr>
        <w:spacing w:line="600" w:lineRule="exact"/>
        <w:jc w:val="center"/>
        <w:outlineLvl w:val="0"/>
        <w:rPr>
          <w:rFonts w:ascii="黑体" w:hAnsi="黑体" w:eastAsia="黑体"/>
          <w:color w:val="000000" w:themeColor="text1"/>
          <w:sz w:val="44"/>
          <w:szCs w:val="44"/>
        </w:rPr>
      </w:pPr>
    </w:p>
    <w:p>
      <w:pPr>
        <w:spacing w:line="600" w:lineRule="exact"/>
        <w:jc w:val="center"/>
        <w:outlineLvl w:val="0"/>
        <w:rPr>
          <w:rFonts w:ascii="仿宋" w:hAnsi="仿宋" w:eastAsia="仿宋"/>
          <w:b/>
          <w:color w:val="000000" w:themeColor="text1"/>
          <w:sz w:val="44"/>
          <w:szCs w:val="44"/>
        </w:rPr>
      </w:pPr>
      <w:r>
        <w:rPr>
          <w:rFonts w:hint="eastAsia" w:ascii="黑体" w:hAnsi="黑体" w:eastAsia="黑体"/>
          <w:color w:val="000000" w:themeColor="text1"/>
          <w:sz w:val="44"/>
          <w:szCs w:val="44"/>
        </w:rPr>
        <w:t>第</w:t>
      </w:r>
      <w:r>
        <w:rPr>
          <w:rStyle w:val="24"/>
          <w:rFonts w:hint="eastAsia" w:ascii="黑体" w:hAnsi="黑体" w:eastAsia="黑体"/>
          <w:b w:val="0"/>
          <w:color w:val="000000" w:themeColor="text1"/>
        </w:rPr>
        <w:t>五部分 附表</w:t>
      </w:r>
      <w:bookmarkEnd w:id="57"/>
      <w:bookmarkEnd w:id="59"/>
    </w:p>
    <w:p>
      <w:pPr>
        <w:pStyle w:val="3"/>
        <w:rPr>
          <w:rFonts w:ascii="仿宋" w:hAnsi="仿宋" w:eastAsia="仿宋"/>
          <w:color w:val="000000" w:themeColor="text1"/>
        </w:rPr>
      </w:pPr>
      <w:bookmarkStart w:id="60" w:name="_Toc15396619"/>
      <w:r>
        <w:rPr>
          <w:rFonts w:hint="eastAsia" w:ascii="仿宋" w:hAnsi="仿宋" w:eastAsia="仿宋"/>
          <w:b w:val="0"/>
          <w:color w:val="000000" w:themeColor="text1"/>
        </w:rPr>
        <w:t>一、收</w:t>
      </w:r>
      <w:r>
        <w:rPr>
          <w:rStyle w:val="25"/>
          <w:rFonts w:hint="eastAsia" w:ascii="仿宋" w:hAnsi="仿宋" w:eastAsia="仿宋"/>
          <w:b w:val="0"/>
          <w:bCs w:val="0"/>
          <w:color w:val="000000" w:themeColor="text1"/>
        </w:rPr>
        <w:t>入支出决算总表</w:t>
      </w:r>
      <w:bookmarkEnd w:id="60"/>
    </w:p>
    <w:p>
      <w:pPr>
        <w:pStyle w:val="3"/>
        <w:rPr>
          <w:rFonts w:ascii="仿宋" w:hAnsi="仿宋" w:eastAsia="仿宋"/>
          <w:color w:val="000000" w:themeColor="text1"/>
        </w:rPr>
      </w:pPr>
      <w:bookmarkStart w:id="61" w:name="_Toc15396620"/>
      <w:r>
        <w:rPr>
          <w:rFonts w:hint="eastAsia" w:ascii="仿宋" w:hAnsi="仿宋" w:eastAsia="仿宋"/>
          <w:b w:val="0"/>
          <w:color w:val="000000" w:themeColor="text1"/>
        </w:rPr>
        <w:t>二、收</w:t>
      </w:r>
      <w:r>
        <w:rPr>
          <w:rStyle w:val="25"/>
          <w:rFonts w:hint="eastAsia" w:ascii="仿宋" w:hAnsi="仿宋" w:eastAsia="仿宋"/>
          <w:b w:val="0"/>
          <w:bCs w:val="0"/>
          <w:color w:val="000000" w:themeColor="text1"/>
        </w:rPr>
        <w:t>入决算表</w:t>
      </w:r>
      <w:bookmarkEnd w:id="61"/>
    </w:p>
    <w:p>
      <w:pPr>
        <w:pStyle w:val="3"/>
        <w:rPr>
          <w:rFonts w:ascii="仿宋" w:hAnsi="仿宋" w:eastAsia="仿宋"/>
          <w:color w:val="000000" w:themeColor="text1"/>
        </w:rPr>
      </w:pPr>
      <w:bookmarkStart w:id="62" w:name="_Toc15396621"/>
      <w:r>
        <w:rPr>
          <w:rStyle w:val="25"/>
          <w:rFonts w:hint="eastAsia" w:ascii="仿宋" w:hAnsi="仿宋" w:eastAsia="仿宋"/>
          <w:b w:val="0"/>
          <w:bCs w:val="0"/>
          <w:color w:val="000000" w:themeColor="text1"/>
        </w:rPr>
        <w:t>三、</w:t>
      </w:r>
      <w:r>
        <w:rPr>
          <w:rFonts w:hint="eastAsia" w:ascii="仿宋" w:hAnsi="仿宋" w:eastAsia="仿宋"/>
          <w:b w:val="0"/>
          <w:color w:val="000000" w:themeColor="text1"/>
        </w:rPr>
        <w:t>支</w:t>
      </w:r>
      <w:r>
        <w:rPr>
          <w:rStyle w:val="25"/>
          <w:rFonts w:hint="eastAsia" w:ascii="仿宋" w:hAnsi="仿宋" w:eastAsia="仿宋"/>
          <w:b w:val="0"/>
          <w:bCs w:val="0"/>
          <w:color w:val="000000" w:themeColor="text1"/>
        </w:rPr>
        <w:t>出决算表</w:t>
      </w:r>
      <w:bookmarkEnd w:id="62"/>
    </w:p>
    <w:p>
      <w:pPr>
        <w:pStyle w:val="3"/>
        <w:rPr>
          <w:rFonts w:ascii="仿宋" w:hAnsi="仿宋" w:eastAsia="仿宋"/>
          <w:b w:val="0"/>
          <w:color w:val="000000" w:themeColor="text1"/>
        </w:rPr>
      </w:pPr>
      <w:bookmarkStart w:id="63" w:name="_Toc15396622"/>
      <w:r>
        <w:rPr>
          <w:rStyle w:val="25"/>
          <w:rFonts w:hint="eastAsia" w:ascii="仿宋" w:hAnsi="仿宋" w:eastAsia="仿宋"/>
          <w:b w:val="0"/>
          <w:bCs w:val="0"/>
          <w:color w:val="000000" w:themeColor="text1"/>
        </w:rPr>
        <w:t>四、</w:t>
      </w:r>
      <w:r>
        <w:rPr>
          <w:rFonts w:hint="eastAsia" w:ascii="仿宋" w:hAnsi="仿宋" w:eastAsia="仿宋"/>
          <w:b w:val="0"/>
          <w:color w:val="000000" w:themeColor="text1"/>
        </w:rPr>
        <w:t>财</w:t>
      </w:r>
      <w:r>
        <w:rPr>
          <w:rStyle w:val="25"/>
          <w:rFonts w:hint="eastAsia" w:ascii="仿宋" w:hAnsi="仿宋" w:eastAsia="仿宋"/>
          <w:b w:val="0"/>
          <w:bCs w:val="0"/>
          <w:color w:val="000000" w:themeColor="text1"/>
        </w:rPr>
        <w:t>政拨款收入支出决算总表</w:t>
      </w:r>
      <w:bookmarkEnd w:id="63"/>
    </w:p>
    <w:p>
      <w:pPr>
        <w:pStyle w:val="3"/>
        <w:rPr>
          <w:rStyle w:val="25"/>
          <w:rFonts w:ascii="仿宋" w:hAnsi="仿宋" w:eastAsia="仿宋"/>
          <w:b w:val="0"/>
          <w:bCs w:val="0"/>
          <w:color w:val="000000" w:themeColor="text1"/>
        </w:rPr>
      </w:pPr>
      <w:bookmarkStart w:id="64" w:name="_Toc15396623"/>
      <w:r>
        <w:rPr>
          <w:rStyle w:val="25"/>
          <w:rFonts w:hint="eastAsia" w:ascii="仿宋" w:hAnsi="仿宋" w:eastAsia="仿宋"/>
          <w:b w:val="0"/>
          <w:bCs w:val="0"/>
          <w:color w:val="000000" w:themeColor="text1"/>
        </w:rPr>
        <w:t>五、</w:t>
      </w:r>
      <w:r>
        <w:rPr>
          <w:rFonts w:hint="eastAsia" w:ascii="仿宋" w:hAnsi="仿宋" w:eastAsia="仿宋"/>
          <w:b w:val="0"/>
          <w:color w:val="000000" w:themeColor="text1"/>
        </w:rPr>
        <w:t>财</w:t>
      </w:r>
      <w:r>
        <w:rPr>
          <w:rStyle w:val="25"/>
          <w:rFonts w:hint="eastAsia" w:ascii="仿宋" w:hAnsi="仿宋" w:eastAsia="仿宋"/>
          <w:b w:val="0"/>
          <w:bCs w:val="0"/>
          <w:color w:val="000000" w:themeColor="text1"/>
        </w:rPr>
        <w:t>政拨款支出决算明细表</w:t>
      </w:r>
      <w:bookmarkEnd w:id="64"/>
      <w:bookmarkStart w:id="65" w:name="_Toc15396624"/>
    </w:p>
    <w:p>
      <w:pPr>
        <w:pStyle w:val="3"/>
        <w:rPr>
          <w:rFonts w:ascii="仿宋" w:hAnsi="仿宋" w:eastAsia="仿宋"/>
          <w:color w:val="000000" w:themeColor="text1"/>
        </w:rPr>
      </w:pPr>
      <w:r>
        <w:rPr>
          <w:rStyle w:val="25"/>
          <w:rFonts w:hint="eastAsia" w:ascii="仿宋" w:hAnsi="仿宋" w:eastAsia="仿宋"/>
          <w:b w:val="0"/>
          <w:bCs w:val="0"/>
          <w:color w:val="000000" w:themeColor="text1"/>
        </w:rPr>
        <w:t>六、</w:t>
      </w:r>
      <w:r>
        <w:rPr>
          <w:rFonts w:hint="eastAsia" w:ascii="仿宋" w:hAnsi="仿宋" w:eastAsia="仿宋"/>
          <w:b w:val="0"/>
          <w:color w:val="000000" w:themeColor="text1"/>
        </w:rPr>
        <w:t>一</w:t>
      </w:r>
      <w:r>
        <w:rPr>
          <w:rStyle w:val="25"/>
          <w:rFonts w:hint="eastAsia" w:ascii="仿宋" w:hAnsi="仿宋" w:eastAsia="仿宋"/>
          <w:b w:val="0"/>
          <w:bCs w:val="0"/>
          <w:color w:val="000000" w:themeColor="text1"/>
        </w:rPr>
        <w:t>般公共预算财政拨款支出决算表</w:t>
      </w:r>
      <w:bookmarkEnd w:id="65"/>
    </w:p>
    <w:p>
      <w:pPr>
        <w:pStyle w:val="3"/>
        <w:rPr>
          <w:rFonts w:ascii="仿宋" w:hAnsi="仿宋" w:eastAsia="仿宋"/>
          <w:color w:val="000000" w:themeColor="text1"/>
        </w:rPr>
      </w:pPr>
      <w:bookmarkStart w:id="66" w:name="_Toc15396625"/>
      <w:r>
        <w:rPr>
          <w:rStyle w:val="25"/>
          <w:rFonts w:hint="eastAsia" w:ascii="仿宋" w:hAnsi="仿宋" w:eastAsia="仿宋"/>
          <w:b w:val="0"/>
          <w:bCs w:val="0"/>
          <w:color w:val="000000" w:themeColor="text1"/>
        </w:rPr>
        <w:t>七、</w:t>
      </w:r>
      <w:r>
        <w:rPr>
          <w:rFonts w:hint="eastAsia" w:ascii="仿宋" w:hAnsi="仿宋" w:eastAsia="仿宋"/>
          <w:b w:val="0"/>
          <w:color w:val="000000" w:themeColor="text1"/>
        </w:rPr>
        <w:t>一</w:t>
      </w:r>
      <w:r>
        <w:rPr>
          <w:rStyle w:val="25"/>
          <w:rFonts w:hint="eastAsia" w:ascii="仿宋" w:hAnsi="仿宋" w:eastAsia="仿宋"/>
          <w:b w:val="0"/>
          <w:bCs w:val="0"/>
          <w:color w:val="000000" w:themeColor="text1"/>
        </w:rPr>
        <w:t>般公共预算财政拨款支出决算明细表</w:t>
      </w:r>
      <w:bookmarkEnd w:id="66"/>
    </w:p>
    <w:p>
      <w:pPr>
        <w:pStyle w:val="3"/>
        <w:rPr>
          <w:rFonts w:ascii="仿宋" w:hAnsi="仿宋" w:eastAsia="仿宋"/>
          <w:color w:val="000000" w:themeColor="text1"/>
        </w:rPr>
      </w:pPr>
      <w:bookmarkStart w:id="67" w:name="_Toc15396626"/>
      <w:r>
        <w:rPr>
          <w:rStyle w:val="25"/>
          <w:rFonts w:hint="eastAsia" w:ascii="仿宋" w:hAnsi="仿宋" w:eastAsia="仿宋"/>
          <w:b w:val="0"/>
          <w:bCs w:val="0"/>
          <w:color w:val="000000" w:themeColor="text1"/>
        </w:rPr>
        <w:t>八、</w:t>
      </w:r>
      <w:r>
        <w:rPr>
          <w:rFonts w:hint="eastAsia" w:ascii="仿宋" w:hAnsi="仿宋" w:eastAsia="仿宋"/>
          <w:b w:val="0"/>
          <w:color w:val="000000" w:themeColor="text1"/>
        </w:rPr>
        <w:t>一</w:t>
      </w:r>
      <w:r>
        <w:rPr>
          <w:rStyle w:val="25"/>
          <w:rFonts w:hint="eastAsia" w:ascii="仿宋" w:hAnsi="仿宋" w:eastAsia="仿宋"/>
          <w:b w:val="0"/>
          <w:bCs w:val="0"/>
          <w:color w:val="000000" w:themeColor="text1"/>
        </w:rPr>
        <w:t>般公共预算财政拨款基本支出决算表</w:t>
      </w:r>
      <w:bookmarkEnd w:id="67"/>
    </w:p>
    <w:p>
      <w:pPr>
        <w:pStyle w:val="3"/>
        <w:rPr>
          <w:rFonts w:ascii="仿宋" w:hAnsi="仿宋" w:eastAsia="仿宋"/>
          <w:color w:val="000000" w:themeColor="text1"/>
        </w:rPr>
      </w:pPr>
      <w:bookmarkStart w:id="68" w:name="_Toc15396627"/>
      <w:r>
        <w:rPr>
          <w:rStyle w:val="25"/>
          <w:rFonts w:hint="eastAsia" w:ascii="仿宋" w:hAnsi="仿宋" w:eastAsia="仿宋"/>
          <w:b w:val="0"/>
          <w:bCs w:val="0"/>
          <w:color w:val="000000" w:themeColor="text1"/>
        </w:rPr>
        <w:t>九、</w:t>
      </w:r>
      <w:r>
        <w:rPr>
          <w:rFonts w:hint="eastAsia" w:ascii="仿宋" w:hAnsi="仿宋" w:eastAsia="仿宋"/>
          <w:b w:val="0"/>
          <w:color w:val="000000" w:themeColor="text1"/>
        </w:rPr>
        <w:t>一</w:t>
      </w:r>
      <w:r>
        <w:rPr>
          <w:rStyle w:val="25"/>
          <w:rFonts w:hint="eastAsia" w:ascii="仿宋" w:hAnsi="仿宋" w:eastAsia="仿宋"/>
          <w:b w:val="0"/>
          <w:bCs w:val="0"/>
          <w:color w:val="000000" w:themeColor="text1"/>
        </w:rPr>
        <w:t>般公共预算财政拨款项目支出决算表</w:t>
      </w:r>
      <w:bookmarkEnd w:id="68"/>
    </w:p>
    <w:p>
      <w:pPr>
        <w:pStyle w:val="3"/>
        <w:rPr>
          <w:rFonts w:ascii="仿宋" w:hAnsi="仿宋" w:eastAsia="仿宋"/>
          <w:color w:val="000000" w:themeColor="text1"/>
        </w:rPr>
      </w:pPr>
      <w:bookmarkStart w:id="69" w:name="_Toc15396628"/>
      <w:r>
        <w:rPr>
          <w:rStyle w:val="25"/>
          <w:rFonts w:hint="eastAsia" w:ascii="仿宋" w:hAnsi="仿宋" w:eastAsia="仿宋"/>
          <w:b w:val="0"/>
          <w:bCs w:val="0"/>
          <w:color w:val="000000" w:themeColor="text1"/>
        </w:rPr>
        <w:t>十、</w:t>
      </w:r>
      <w:r>
        <w:rPr>
          <w:rFonts w:hint="eastAsia" w:ascii="仿宋" w:hAnsi="仿宋" w:eastAsia="仿宋"/>
          <w:b w:val="0"/>
          <w:color w:val="000000" w:themeColor="text1"/>
        </w:rPr>
        <w:t>一</w:t>
      </w:r>
      <w:r>
        <w:rPr>
          <w:rStyle w:val="25"/>
          <w:rFonts w:hint="eastAsia" w:ascii="仿宋" w:hAnsi="仿宋" w:eastAsia="仿宋"/>
          <w:b w:val="0"/>
          <w:bCs w:val="0"/>
          <w:color w:val="000000" w:themeColor="text1"/>
        </w:rPr>
        <w:t>般公共预算财政拨款“三公”经费支出决算表</w:t>
      </w:r>
      <w:bookmarkEnd w:id="69"/>
    </w:p>
    <w:p>
      <w:pPr>
        <w:pStyle w:val="3"/>
        <w:rPr>
          <w:rFonts w:ascii="仿宋" w:hAnsi="仿宋" w:eastAsia="仿宋"/>
          <w:color w:val="000000" w:themeColor="text1"/>
        </w:rPr>
      </w:pPr>
      <w:bookmarkStart w:id="70" w:name="_Toc15396629"/>
      <w:r>
        <w:rPr>
          <w:rStyle w:val="25"/>
          <w:rFonts w:hint="eastAsia" w:ascii="仿宋" w:hAnsi="仿宋" w:eastAsia="仿宋"/>
          <w:b w:val="0"/>
          <w:bCs w:val="0"/>
          <w:color w:val="000000" w:themeColor="text1"/>
        </w:rPr>
        <w:t>十一、</w:t>
      </w:r>
      <w:r>
        <w:rPr>
          <w:rFonts w:hint="eastAsia" w:ascii="仿宋" w:hAnsi="仿宋" w:eastAsia="仿宋"/>
          <w:b w:val="0"/>
          <w:color w:val="000000" w:themeColor="text1"/>
        </w:rPr>
        <w:t>政</w:t>
      </w:r>
      <w:r>
        <w:rPr>
          <w:rStyle w:val="25"/>
          <w:rFonts w:hint="eastAsia" w:ascii="仿宋" w:hAnsi="仿宋" w:eastAsia="仿宋"/>
          <w:b w:val="0"/>
          <w:bCs w:val="0"/>
          <w:color w:val="000000" w:themeColor="text1"/>
        </w:rPr>
        <w:t>府性基金预算财政拨款收入支出决算表</w:t>
      </w:r>
      <w:bookmarkEnd w:id="70"/>
    </w:p>
    <w:p>
      <w:pPr>
        <w:pStyle w:val="3"/>
        <w:rPr>
          <w:rFonts w:ascii="仿宋" w:hAnsi="仿宋" w:eastAsia="仿宋"/>
          <w:color w:val="000000" w:themeColor="text1"/>
        </w:rPr>
      </w:pPr>
      <w:bookmarkStart w:id="71" w:name="_Toc15396630"/>
      <w:r>
        <w:rPr>
          <w:rStyle w:val="25"/>
          <w:rFonts w:hint="eastAsia" w:ascii="仿宋" w:hAnsi="仿宋" w:eastAsia="仿宋"/>
          <w:b w:val="0"/>
          <w:bCs w:val="0"/>
          <w:color w:val="000000" w:themeColor="text1"/>
        </w:rPr>
        <w:t>十二、</w:t>
      </w:r>
      <w:r>
        <w:rPr>
          <w:rFonts w:hint="eastAsia" w:ascii="仿宋" w:hAnsi="仿宋" w:eastAsia="仿宋"/>
          <w:b w:val="0"/>
          <w:color w:val="000000" w:themeColor="text1"/>
        </w:rPr>
        <w:t>政</w:t>
      </w:r>
      <w:r>
        <w:rPr>
          <w:rStyle w:val="25"/>
          <w:rFonts w:hint="eastAsia" w:ascii="仿宋" w:hAnsi="仿宋" w:eastAsia="仿宋"/>
          <w:b w:val="0"/>
          <w:bCs w:val="0"/>
          <w:color w:val="000000" w:themeColor="text1"/>
        </w:rPr>
        <w:t>府性基金预算财政拨款“三公”经费支出决算表</w:t>
      </w:r>
      <w:bookmarkEnd w:id="71"/>
    </w:p>
    <w:p>
      <w:pPr>
        <w:pStyle w:val="3"/>
        <w:rPr>
          <w:rFonts w:ascii="仿宋" w:hAnsi="仿宋" w:eastAsia="仿宋"/>
          <w:color w:val="000000" w:themeColor="text1"/>
        </w:rPr>
      </w:pPr>
      <w:bookmarkStart w:id="72" w:name="_Toc15396631"/>
      <w:r>
        <w:rPr>
          <w:rStyle w:val="25"/>
          <w:rFonts w:hint="eastAsia" w:ascii="仿宋" w:hAnsi="仿宋" w:eastAsia="仿宋"/>
          <w:b w:val="0"/>
          <w:bCs w:val="0"/>
          <w:color w:val="000000" w:themeColor="text1"/>
        </w:rPr>
        <w:t>十三、</w:t>
      </w:r>
      <w:r>
        <w:rPr>
          <w:rFonts w:hint="eastAsia" w:ascii="仿宋" w:hAnsi="仿宋" w:eastAsia="仿宋"/>
          <w:b w:val="0"/>
          <w:color w:val="000000" w:themeColor="text1"/>
        </w:rPr>
        <w:t>国</w:t>
      </w:r>
      <w:r>
        <w:rPr>
          <w:rStyle w:val="25"/>
          <w:rFonts w:hint="eastAsia" w:ascii="仿宋" w:hAnsi="仿宋" w:eastAsia="仿宋"/>
          <w:b w:val="0"/>
          <w:bCs w:val="0"/>
          <w:color w:val="000000" w:themeColor="text1"/>
        </w:rPr>
        <w:t>有资本经营预算支出决算表</w:t>
      </w:r>
      <w:bookmarkEnd w:id="72"/>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0000019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文泉驿正黑">
    <w:panose1 w:val="02000603000000000000"/>
    <w:charset w:val="86"/>
    <w:family w:val="auto"/>
    <w:pitch w:val="default"/>
    <w:sig w:usb0="900002BF" w:usb1="2BDF7DFB" w:usb2="00000036" w:usb3="00000000" w:csb0="603E000D" w:csb1="D2D70000"/>
  </w:font>
  <w:font w:name="方正仿宋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 w:name="Noto Sans Syriac Eastern">
    <w:panose1 w:val="02040503050306020203"/>
    <w:charset w:val="86"/>
    <w:family w:val="auto"/>
    <w:pitch w:val="default"/>
    <w:sig w:usb0="00000000" w:usb1="00000000" w:usb2="00000080" w:usb3="00000000" w:csb0="203E0161"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8"/>
          <w:jc w:val="center"/>
        </w:pPr>
        <w:r>
          <w:fldChar w:fldCharType="begin"/>
        </w:r>
        <w:r>
          <w:instrText xml:space="preserve">PAGE   \* MERGEFORMAT</w:instrText>
        </w:r>
        <w:r>
          <w:fldChar w:fldCharType="separate"/>
        </w:r>
        <w:r>
          <w:rPr>
            <w:lang w:val="zh-CN"/>
          </w:rPr>
          <w:t>6</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01599"/>
    <w:rsid w:val="000020A1"/>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6521"/>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02B09"/>
    <w:rsid w:val="00303808"/>
    <w:rsid w:val="003216A9"/>
    <w:rsid w:val="00335A74"/>
    <w:rsid w:val="00351E51"/>
    <w:rsid w:val="0036561B"/>
    <w:rsid w:val="0037013F"/>
    <w:rsid w:val="00380C92"/>
    <w:rsid w:val="003A484F"/>
    <w:rsid w:val="003A4883"/>
    <w:rsid w:val="003B0BE0"/>
    <w:rsid w:val="003B0C1B"/>
    <w:rsid w:val="003B688C"/>
    <w:rsid w:val="003C0291"/>
    <w:rsid w:val="003C39AE"/>
    <w:rsid w:val="003C7B60"/>
    <w:rsid w:val="003D0C0F"/>
    <w:rsid w:val="003D1D41"/>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3378C"/>
    <w:rsid w:val="00553FE1"/>
    <w:rsid w:val="005664BB"/>
    <w:rsid w:val="00566FFA"/>
    <w:rsid w:val="00571E6D"/>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0C76"/>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C222B"/>
    <w:rsid w:val="006C660D"/>
    <w:rsid w:val="006E68EA"/>
    <w:rsid w:val="006F020C"/>
    <w:rsid w:val="007127B7"/>
    <w:rsid w:val="0071798E"/>
    <w:rsid w:val="00727533"/>
    <w:rsid w:val="007416B6"/>
    <w:rsid w:val="00746F48"/>
    <w:rsid w:val="0075404D"/>
    <w:rsid w:val="0076182A"/>
    <w:rsid w:val="00767B7E"/>
    <w:rsid w:val="0077329D"/>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458E5"/>
    <w:rsid w:val="00850625"/>
    <w:rsid w:val="00853718"/>
    <w:rsid w:val="00855221"/>
    <w:rsid w:val="00860645"/>
    <w:rsid w:val="00871F71"/>
    <w:rsid w:val="00872FD8"/>
    <w:rsid w:val="00885AF4"/>
    <w:rsid w:val="008939CD"/>
    <w:rsid w:val="008B768C"/>
    <w:rsid w:val="008C4DB1"/>
    <w:rsid w:val="008C4EAF"/>
    <w:rsid w:val="008C5176"/>
    <w:rsid w:val="008C7FD0"/>
    <w:rsid w:val="008D73E2"/>
    <w:rsid w:val="008E1DE7"/>
    <w:rsid w:val="008E707C"/>
    <w:rsid w:val="008F597D"/>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3E97"/>
    <w:rsid w:val="009B4EAE"/>
    <w:rsid w:val="009B7573"/>
    <w:rsid w:val="009C22F4"/>
    <w:rsid w:val="009C2E98"/>
    <w:rsid w:val="009C37FB"/>
    <w:rsid w:val="009D3447"/>
    <w:rsid w:val="009D4711"/>
    <w:rsid w:val="009D619A"/>
    <w:rsid w:val="009E5E03"/>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A5C7F"/>
    <w:rsid w:val="00AB64C9"/>
    <w:rsid w:val="00AC3C6A"/>
    <w:rsid w:val="00AD0F83"/>
    <w:rsid w:val="00AD5620"/>
    <w:rsid w:val="00AD656B"/>
    <w:rsid w:val="00AD7C1B"/>
    <w:rsid w:val="00AE16BA"/>
    <w:rsid w:val="00AE1EBE"/>
    <w:rsid w:val="00AF37A0"/>
    <w:rsid w:val="00B03C9D"/>
    <w:rsid w:val="00B060AE"/>
    <w:rsid w:val="00B10517"/>
    <w:rsid w:val="00B14244"/>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A6E94"/>
    <w:rsid w:val="00BB4DF0"/>
    <w:rsid w:val="00BC289F"/>
    <w:rsid w:val="00BC2D50"/>
    <w:rsid w:val="00BC5361"/>
    <w:rsid w:val="00BC5460"/>
    <w:rsid w:val="00BC6B50"/>
    <w:rsid w:val="00BD0E25"/>
    <w:rsid w:val="00BF0375"/>
    <w:rsid w:val="00BF5BD6"/>
    <w:rsid w:val="00C03E31"/>
    <w:rsid w:val="00C30E69"/>
    <w:rsid w:val="00C33E72"/>
    <w:rsid w:val="00C354B2"/>
    <w:rsid w:val="00C35554"/>
    <w:rsid w:val="00C42709"/>
    <w:rsid w:val="00C533CC"/>
    <w:rsid w:val="00C5751C"/>
    <w:rsid w:val="00C61BFC"/>
    <w:rsid w:val="00C62B85"/>
    <w:rsid w:val="00C65438"/>
    <w:rsid w:val="00C70F55"/>
    <w:rsid w:val="00C91CBB"/>
    <w:rsid w:val="00CA0829"/>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30A9"/>
    <w:rsid w:val="00D3391D"/>
    <w:rsid w:val="00D34E7C"/>
    <w:rsid w:val="00D35489"/>
    <w:rsid w:val="00D36AFE"/>
    <w:rsid w:val="00D51276"/>
    <w:rsid w:val="00D7035F"/>
    <w:rsid w:val="00DA508F"/>
    <w:rsid w:val="00DA634F"/>
    <w:rsid w:val="00DA65AC"/>
    <w:rsid w:val="00DB1913"/>
    <w:rsid w:val="00DC410D"/>
    <w:rsid w:val="00DC5A81"/>
    <w:rsid w:val="00DC68CA"/>
    <w:rsid w:val="00DC7CBA"/>
    <w:rsid w:val="00DD288F"/>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A63BF"/>
    <w:rsid w:val="00ED1B63"/>
    <w:rsid w:val="00ED3C1F"/>
    <w:rsid w:val="00ED4085"/>
    <w:rsid w:val="00ED420E"/>
    <w:rsid w:val="00ED6FBE"/>
    <w:rsid w:val="00EE2F57"/>
    <w:rsid w:val="00EF4C34"/>
    <w:rsid w:val="00EF77C6"/>
    <w:rsid w:val="00F05438"/>
    <w:rsid w:val="00F12CA4"/>
    <w:rsid w:val="00F1361C"/>
    <w:rsid w:val="00F156F0"/>
    <w:rsid w:val="00F160C7"/>
    <w:rsid w:val="00F22887"/>
    <w:rsid w:val="00F2408F"/>
    <w:rsid w:val="00F240E9"/>
    <w:rsid w:val="00F36D8F"/>
    <w:rsid w:val="00F417B1"/>
    <w:rsid w:val="00F45853"/>
    <w:rsid w:val="00F602DF"/>
    <w:rsid w:val="00F717D9"/>
    <w:rsid w:val="00F754A1"/>
    <w:rsid w:val="00F81FD9"/>
    <w:rsid w:val="00F841AA"/>
    <w:rsid w:val="00F84A94"/>
    <w:rsid w:val="00F87E96"/>
    <w:rsid w:val="00FA23E8"/>
    <w:rsid w:val="00FD3CC1"/>
    <w:rsid w:val="00FF1E02"/>
    <w:rsid w:val="00FF2DE2"/>
    <w:rsid w:val="00FF30B4"/>
    <w:rsid w:val="03B7280A"/>
    <w:rsid w:val="04635D35"/>
    <w:rsid w:val="059208B9"/>
    <w:rsid w:val="05BF0964"/>
    <w:rsid w:val="05E62F4F"/>
    <w:rsid w:val="0607627D"/>
    <w:rsid w:val="06F634E5"/>
    <w:rsid w:val="075D1E27"/>
    <w:rsid w:val="082E3D67"/>
    <w:rsid w:val="088D38A3"/>
    <w:rsid w:val="08E40607"/>
    <w:rsid w:val="0A6E6C42"/>
    <w:rsid w:val="0A9B17D2"/>
    <w:rsid w:val="0BAC19E6"/>
    <w:rsid w:val="0DBB1739"/>
    <w:rsid w:val="0DBD3E44"/>
    <w:rsid w:val="0DFC2858"/>
    <w:rsid w:val="10C055FF"/>
    <w:rsid w:val="113F67F1"/>
    <w:rsid w:val="14824222"/>
    <w:rsid w:val="14A06372"/>
    <w:rsid w:val="14D25116"/>
    <w:rsid w:val="157B1A0C"/>
    <w:rsid w:val="15C639B7"/>
    <w:rsid w:val="168005BE"/>
    <w:rsid w:val="168E6DEF"/>
    <w:rsid w:val="16BB723D"/>
    <w:rsid w:val="1817261C"/>
    <w:rsid w:val="182322BB"/>
    <w:rsid w:val="1872233F"/>
    <w:rsid w:val="19862DD5"/>
    <w:rsid w:val="1A910CA5"/>
    <w:rsid w:val="1BCB4924"/>
    <w:rsid w:val="1BCD72FA"/>
    <w:rsid w:val="1CB77DC9"/>
    <w:rsid w:val="1EA67751"/>
    <w:rsid w:val="20036362"/>
    <w:rsid w:val="20300C00"/>
    <w:rsid w:val="21283504"/>
    <w:rsid w:val="21666DF7"/>
    <w:rsid w:val="22940DF9"/>
    <w:rsid w:val="235D6B1F"/>
    <w:rsid w:val="23996EF8"/>
    <w:rsid w:val="240371BF"/>
    <w:rsid w:val="24331643"/>
    <w:rsid w:val="261674C4"/>
    <w:rsid w:val="26B96D4B"/>
    <w:rsid w:val="278D3051"/>
    <w:rsid w:val="27926ABD"/>
    <w:rsid w:val="284623E2"/>
    <w:rsid w:val="29347D47"/>
    <w:rsid w:val="29FD04D3"/>
    <w:rsid w:val="2B4E2D51"/>
    <w:rsid w:val="2BA029B8"/>
    <w:rsid w:val="2C201ABF"/>
    <w:rsid w:val="2C8A54DF"/>
    <w:rsid w:val="2C947FE2"/>
    <w:rsid w:val="2D3B5E5C"/>
    <w:rsid w:val="2E267AAB"/>
    <w:rsid w:val="2EDA1BD8"/>
    <w:rsid w:val="30353D0B"/>
    <w:rsid w:val="319F7F4E"/>
    <w:rsid w:val="31DA22F9"/>
    <w:rsid w:val="32237F36"/>
    <w:rsid w:val="33504D31"/>
    <w:rsid w:val="34F039D2"/>
    <w:rsid w:val="358809A1"/>
    <w:rsid w:val="359B3095"/>
    <w:rsid w:val="35A06625"/>
    <w:rsid w:val="35CE1621"/>
    <w:rsid w:val="374A7F62"/>
    <w:rsid w:val="37E42C5F"/>
    <w:rsid w:val="397064CA"/>
    <w:rsid w:val="3A3F1BFF"/>
    <w:rsid w:val="3AE430CD"/>
    <w:rsid w:val="3B5D7ACE"/>
    <w:rsid w:val="3BDF39D1"/>
    <w:rsid w:val="3CE92C6E"/>
    <w:rsid w:val="3EA74803"/>
    <w:rsid w:val="3F483F0F"/>
    <w:rsid w:val="3F633428"/>
    <w:rsid w:val="3F6C13C9"/>
    <w:rsid w:val="40611EA2"/>
    <w:rsid w:val="40AA7503"/>
    <w:rsid w:val="410579B7"/>
    <w:rsid w:val="41525E57"/>
    <w:rsid w:val="4235348B"/>
    <w:rsid w:val="44CB2BE7"/>
    <w:rsid w:val="451D1DB6"/>
    <w:rsid w:val="47CC5DF1"/>
    <w:rsid w:val="48A04C66"/>
    <w:rsid w:val="49634B39"/>
    <w:rsid w:val="49A31A90"/>
    <w:rsid w:val="4A651502"/>
    <w:rsid w:val="4ABB5C8C"/>
    <w:rsid w:val="4B6D2D7F"/>
    <w:rsid w:val="4E6825C6"/>
    <w:rsid w:val="4ECE2238"/>
    <w:rsid w:val="4F630B42"/>
    <w:rsid w:val="4FB627CB"/>
    <w:rsid w:val="51563055"/>
    <w:rsid w:val="532C6EB4"/>
    <w:rsid w:val="53DC0E52"/>
    <w:rsid w:val="53FB1A10"/>
    <w:rsid w:val="54413922"/>
    <w:rsid w:val="545D3EBF"/>
    <w:rsid w:val="55C51F5E"/>
    <w:rsid w:val="55D41F46"/>
    <w:rsid w:val="55E76DBE"/>
    <w:rsid w:val="56180317"/>
    <w:rsid w:val="56C31F30"/>
    <w:rsid w:val="58B14E39"/>
    <w:rsid w:val="5AD04781"/>
    <w:rsid w:val="5AF96FB1"/>
    <w:rsid w:val="5B877CDF"/>
    <w:rsid w:val="5D7E13F0"/>
    <w:rsid w:val="5ED8231F"/>
    <w:rsid w:val="60A512BE"/>
    <w:rsid w:val="60C2109A"/>
    <w:rsid w:val="60C7560A"/>
    <w:rsid w:val="612767E0"/>
    <w:rsid w:val="61374E13"/>
    <w:rsid w:val="620D62D6"/>
    <w:rsid w:val="62327E8F"/>
    <w:rsid w:val="63870E8D"/>
    <w:rsid w:val="63B732AB"/>
    <w:rsid w:val="644D4D7C"/>
    <w:rsid w:val="66977F67"/>
    <w:rsid w:val="66FA1B17"/>
    <w:rsid w:val="67557DA6"/>
    <w:rsid w:val="675E1C3D"/>
    <w:rsid w:val="67A14A1D"/>
    <w:rsid w:val="6880314C"/>
    <w:rsid w:val="68DE549F"/>
    <w:rsid w:val="6A212C4A"/>
    <w:rsid w:val="6AB26D0E"/>
    <w:rsid w:val="6BBC7F22"/>
    <w:rsid w:val="6D593FD5"/>
    <w:rsid w:val="6DAB794C"/>
    <w:rsid w:val="6E4F0352"/>
    <w:rsid w:val="6EE844F0"/>
    <w:rsid w:val="6F7C026E"/>
    <w:rsid w:val="6F7F732F"/>
    <w:rsid w:val="6FC22B8B"/>
    <w:rsid w:val="70FE0CE3"/>
    <w:rsid w:val="71467BD6"/>
    <w:rsid w:val="72734D90"/>
    <w:rsid w:val="731D0C25"/>
    <w:rsid w:val="738313EB"/>
    <w:rsid w:val="73D95380"/>
    <w:rsid w:val="74E07EE5"/>
    <w:rsid w:val="76FE4639"/>
    <w:rsid w:val="77130DA5"/>
    <w:rsid w:val="77255E79"/>
    <w:rsid w:val="79A36FCD"/>
    <w:rsid w:val="7B80641F"/>
    <w:rsid w:val="7B9458DB"/>
    <w:rsid w:val="7BF34747"/>
    <w:rsid w:val="7EA50D34"/>
    <w:rsid w:val="7EB475A0"/>
    <w:rsid w:val="7EB54C30"/>
    <w:rsid w:val="7F912563"/>
    <w:rsid w:val="7FAD6AB9"/>
    <w:rsid w:val="99DDA0F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8"/>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1"/>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7"/>
    <w:semiHidden/>
    <w:unhideWhenUsed/>
    <w:qFormat/>
    <w:uiPriority w:val="99"/>
    <w:rPr>
      <w:sz w:val="18"/>
      <w:szCs w:val="18"/>
    </w:rPr>
  </w:style>
  <w:style w:type="paragraph" w:styleId="8">
    <w:name w:val="footer"/>
    <w:basedOn w:val="1"/>
    <w:link w:val="19"/>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7"/>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character" w:styleId="14">
    <w:name w:val="Strong"/>
    <w:basedOn w:val="13"/>
    <w:qFormat/>
    <w:uiPriority w:val="99"/>
    <w:rPr>
      <w:b/>
    </w:rPr>
  </w:style>
  <w:style w:type="character" w:styleId="15">
    <w:name w:val="Hyperlink"/>
    <w:basedOn w:val="13"/>
    <w:unhideWhenUsed/>
    <w:qFormat/>
    <w:uiPriority w:val="99"/>
    <w:rPr>
      <w:color w:val="0000FF" w:themeColor="hyperlink"/>
      <w:u w:val="single"/>
    </w:rPr>
  </w:style>
  <w:style w:type="character" w:customStyle="1" w:styleId="16">
    <w:name w:val="Header Char"/>
    <w:basedOn w:val="13"/>
    <w:semiHidden/>
    <w:qFormat/>
    <w:uiPriority w:val="99"/>
    <w:rPr>
      <w:rFonts w:ascii="Times New Roman" w:hAnsi="Times New Roman"/>
      <w:sz w:val="18"/>
      <w:szCs w:val="18"/>
    </w:rPr>
  </w:style>
  <w:style w:type="character" w:customStyle="1" w:styleId="17">
    <w:name w:val="页眉 Char"/>
    <w:link w:val="9"/>
    <w:semiHidden/>
    <w:qFormat/>
    <w:locked/>
    <w:uiPriority w:val="99"/>
    <w:rPr>
      <w:sz w:val="18"/>
    </w:rPr>
  </w:style>
  <w:style w:type="character" w:customStyle="1" w:styleId="18">
    <w:name w:val="Footer Char"/>
    <w:basedOn w:val="13"/>
    <w:semiHidden/>
    <w:qFormat/>
    <w:uiPriority w:val="99"/>
    <w:rPr>
      <w:rFonts w:ascii="Times New Roman" w:hAnsi="Times New Roman"/>
      <w:sz w:val="18"/>
      <w:szCs w:val="18"/>
    </w:rPr>
  </w:style>
  <w:style w:type="character" w:customStyle="1" w:styleId="19">
    <w:name w:val="页脚 Char"/>
    <w:link w:val="8"/>
    <w:qFormat/>
    <w:locked/>
    <w:uiPriority w:val="99"/>
    <w:rPr>
      <w:sz w:val="18"/>
    </w:rPr>
  </w:style>
  <w:style w:type="character" w:customStyle="1" w:styleId="20">
    <w:name w:val="Body Text Char"/>
    <w:basedOn w:val="13"/>
    <w:semiHidden/>
    <w:qFormat/>
    <w:uiPriority w:val="99"/>
    <w:rPr>
      <w:rFonts w:ascii="Times New Roman" w:hAnsi="Times New Roman"/>
      <w:szCs w:val="24"/>
    </w:rPr>
  </w:style>
  <w:style w:type="character" w:customStyle="1" w:styleId="21">
    <w:name w:val="正文文本 Char"/>
    <w:link w:val="5"/>
    <w:qFormat/>
    <w:locked/>
    <w:uiPriority w:val="99"/>
    <w:rPr>
      <w:rFonts w:ascii="仿宋_GB2312" w:hAnsi="Times New Roman" w:eastAsia="仿宋_GB2312"/>
      <w:sz w:val="24"/>
    </w:rPr>
  </w:style>
  <w:style w:type="paragraph" w:customStyle="1" w:styleId="2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3">
    <w:name w:val="List Paragraph"/>
    <w:basedOn w:val="1"/>
    <w:qFormat/>
    <w:uiPriority w:val="34"/>
    <w:pPr>
      <w:ind w:firstLine="420" w:firstLineChars="200"/>
    </w:pPr>
  </w:style>
  <w:style w:type="character" w:customStyle="1" w:styleId="24">
    <w:name w:val="标题 1 Char"/>
    <w:basedOn w:val="13"/>
    <w:link w:val="2"/>
    <w:qFormat/>
    <w:uiPriority w:val="9"/>
    <w:rPr>
      <w:rFonts w:ascii="Times New Roman" w:hAnsi="Times New Roman"/>
      <w:b/>
      <w:bCs/>
      <w:kern w:val="44"/>
      <w:sz w:val="44"/>
      <w:szCs w:val="44"/>
    </w:rPr>
  </w:style>
  <w:style w:type="character" w:customStyle="1" w:styleId="25">
    <w:name w:val="标题 2 Char"/>
    <w:basedOn w:val="13"/>
    <w:link w:val="3"/>
    <w:qFormat/>
    <w:uiPriority w:val="9"/>
    <w:rPr>
      <w:rFonts w:asciiTheme="majorHAnsi" w:hAnsiTheme="majorHAnsi" w:eastAsiaTheme="majorEastAsia" w:cstheme="majorBidi"/>
      <w:b/>
      <w:bCs/>
      <w:kern w:val="2"/>
      <w:sz w:val="32"/>
      <w:szCs w:val="32"/>
    </w:rPr>
  </w:style>
  <w:style w:type="paragraph" w:customStyle="1" w:styleId="26">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7">
    <w:name w:val="批注框文本 Char"/>
    <w:basedOn w:val="13"/>
    <w:link w:val="7"/>
    <w:semiHidden/>
    <w:qFormat/>
    <w:uiPriority w:val="99"/>
    <w:rPr>
      <w:rFonts w:ascii="Times New Roman" w:hAnsi="Times New Roman"/>
      <w:kern w:val="2"/>
      <w:sz w:val="18"/>
      <w:szCs w:val="18"/>
    </w:rPr>
  </w:style>
  <w:style w:type="character" w:customStyle="1" w:styleId="28">
    <w:name w:val="标题 3 Char"/>
    <w:basedOn w:val="13"/>
    <w:link w:val="4"/>
    <w:qFormat/>
    <w:uiPriority w:val="9"/>
    <w:rPr>
      <w:rFonts w:ascii="Times New Roman" w:hAnsi="Times New Roman"/>
      <w:b/>
      <w:bCs/>
      <w:kern w:val="2"/>
      <w:sz w:val="32"/>
      <w:szCs w:val="32"/>
    </w:rPr>
  </w:style>
  <w:style w:type="paragraph" w:customStyle="1" w:styleId="29">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30">
    <w:name w:val="无间隔4"/>
    <w:qFormat/>
    <w:uiPriority w:val="0"/>
    <w:pPr>
      <w:widowControl w:val="0"/>
      <w:jc w:val="both"/>
    </w:pPr>
    <w:rPr>
      <w:rFonts w:ascii="Calibri" w:hAnsi="Calibri" w:eastAsia="宋体" w:cs="Times New Roman"/>
      <w:kern w:val="2"/>
      <w:sz w:val="21"/>
      <w:szCs w:val="22"/>
      <w:lang w:val="en-US" w:eastAsia="zh-CN" w:bidi="ar-SA"/>
    </w:rPr>
  </w:style>
  <w:style w:type="paragraph" w:customStyle="1" w:styleId="31">
    <w:name w:val="无间隔3"/>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F:\2020&#24180;\&#30011;&#22270;.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F:\2020&#24180;\&#30011;&#22270;.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F:\2020&#24180;\&#30011;&#22270;.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F:\2020&#24180;\&#30011;&#22270;.xlsx"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F:\2020&#24180;\&#30011;&#22270;.xlsx"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file:///F:\2020&#24180;\&#30011;&#22270;.xlsx"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F:\2020&#24180;\&#30011;&#2227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97916666666667"/>
          <c:y val="0.0451388888888889"/>
        </c:manualLayout>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[画图.xlsx]Sheet1!$E$165</c:f>
              <c:strCache>
                <c:ptCount val="1"/>
                <c:pt idx="0">
                  <c:v>收入支出决算总体情况</c:v>
                </c:pt>
              </c:strCache>
            </c:strRef>
          </c:tx>
          <c:spPr>
            <a:solidFill>
              <a:schemeClr val="accent1"/>
            </a:solidFill>
            <a:ln>
              <a:noFill/>
            </a:ln>
            <a:effectLst/>
          </c:spPr>
          <c:invertIfNegative val="0"/>
          <c:dLbls>
            <c:dLbl>
              <c:idx val="1"/>
              <c:layout/>
              <c:tx>
                <c:rich>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r>
                      <a:rPr altLang="en-US"/>
                      <a:t>1011.</a:t>
                    </a:r>
                    <a:r>
                      <a:rPr lang="en-US" altLang="en-US"/>
                      <a:t>09</a:t>
                    </a:r>
                    <a:endParaRPr altLang="en-US"/>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[画图.xlsx]Sheet1!$D$166:$D$167</c:f>
              <c:strCache>
                <c:ptCount val="2"/>
                <c:pt idx="0">
                  <c:v>2018年</c:v>
                </c:pt>
                <c:pt idx="1">
                  <c:v>2019年</c:v>
                </c:pt>
              </c:strCache>
            </c:strRef>
          </c:cat>
          <c:val>
            <c:numRef>
              <c:f>[画图.xlsx]Sheet1!$E$166:$E$167</c:f>
              <c:numCache>
                <c:formatCode>General</c:formatCode>
                <c:ptCount val="2"/>
                <c:pt idx="0">
                  <c:v>539.06</c:v>
                </c:pt>
                <c:pt idx="1">
                  <c:v>1011.1</c:v>
                </c:pt>
              </c:numCache>
            </c:numRef>
          </c:val>
        </c:ser>
        <c:dLbls>
          <c:showLegendKey val="0"/>
          <c:showVal val="1"/>
          <c:showCatName val="0"/>
          <c:showSerName val="0"/>
          <c:showPercent val="0"/>
          <c:showBubbleSize val="0"/>
        </c:dLbls>
        <c:gapWidth val="219"/>
        <c:overlap val="-27"/>
        <c:axId val="77404800"/>
        <c:axId val="77418880"/>
      </c:barChart>
      <c:catAx>
        <c:axId val="7740480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7418880"/>
        <c:crosses val="autoZero"/>
        <c:auto val="1"/>
        <c:lblAlgn val="ctr"/>
        <c:lblOffset val="100"/>
        <c:noMultiLvlLbl val="0"/>
      </c:catAx>
      <c:valAx>
        <c:axId val="774188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7404800"/>
        <c:crosses val="autoZero"/>
        <c:crossBetween val="between"/>
      </c:valAx>
      <c:spPr>
        <a:noFill/>
        <a:ln>
          <a:noFill/>
        </a:ln>
        <a:effectLst/>
      </c:spPr>
    </c:plotArea>
    <c:plotVisOnly val="1"/>
    <c:dispBlanksAs val="gap"/>
    <c:showDLblsOverMax val="0"/>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0"/>
    </a:gra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[画图.xlsx]Sheet1!$G$52</c:f>
              <c:strCache>
                <c:ptCount val="1"/>
                <c:pt idx="0">
                  <c:v>一般公共预算财政拨款收入</c:v>
                </c:pt>
              </c:strCache>
            </c:strRef>
          </c:tx>
          <c:spPr/>
          <c:explosion val="0"/>
          <c:dPt>
            <c:idx val="0"/>
            <c:bubble3D val="0"/>
            <c:spPr>
              <a:solidFill>
                <a:schemeClr val="accent1"/>
              </a:solidFill>
              <a:ln w="19050">
                <a:solidFill>
                  <a:schemeClr val="lt1"/>
                </a:solidFill>
              </a:ln>
              <a:effectLst/>
            </c:spPr>
          </c:dPt>
          <c:dLbls>
            <c:dLbl>
              <c:idx val="0"/>
              <c:layout/>
              <c:tx>
                <c:rich>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r>
                      <a:rPr altLang="en-US"/>
                      <a:t>1011.</a:t>
                    </a:r>
                    <a:r>
                      <a:rPr lang="en-US" altLang="en-US"/>
                      <a:t>09</a:t>
                    </a:r>
                    <a:endParaRPr altLang="en-US"/>
                  </a:p>
                </c:rich>
              </c:tx>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[画图.xlsx]Sheet1!$H$51</c:f>
              <c:strCache>
                <c:ptCount val="1"/>
                <c:pt idx="0">
                  <c:v>本年收入</c:v>
                </c:pt>
              </c:strCache>
            </c:strRef>
          </c:cat>
          <c:val>
            <c:numRef>
              <c:f>[画图.xlsx]Sheet1!$H$52</c:f>
              <c:numCache>
                <c:formatCode>General</c:formatCode>
                <c:ptCount val="1"/>
                <c:pt idx="0">
                  <c:v>1011.1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0"/>
    </a:gra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[画图.xlsx]Sheet1!$G$68</c:f>
              <c:strCache>
                <c:ptCount val="1"/>
                <c:pt idx="0">
                  <c:v>本年支出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[画图.xlsx]Sheet1!$F$69:$F$70</c:f>
              <c:strCache>
                <c:ptCount val="2"/>
                <c:pt idx="0">
                  <c:v>基本支出</c:v>
                </c:pt>
                <c:pt idx="1">
                  <c:v>项目支出</c:v>
                </c:pt>
              </c:strCache>
            </c:strRef>
          </c:cat>
          <c:val>
            <c:numRef>
              <c:f>[画图.xlsx]Sheet1!$G$69:$G$70</c:f>
              <c:numCache>
                <c:formatCode>General</c:formatCode>
                <c:ptCount val="2"/>
                <c:pt idx="0">
                  <c:v>217.17</c:v>
                </c:pt>
                <c:pt idx="1">
                  <c:v>777.6</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0"/>
    </a:gra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manualLayout>
          <c:layoutTarget val="inner"/>
          <c:xMode val="edge"/>
          <c:yMode val="edge"/>
          <c:x val="0.0895277777777778"/>
          <c:y val="0.176388888888889"/>
          <c:w val="0.882"/>
          <c:h val="0.711666666666667"/>
        </c:manualLayout>
      </c:layout>
      <c:barChart>
        <c:barDir val="col"/>
        <c:grouping val="clustered"/>
        <c:varyColors val="0"/>
        <c:ser>
          <c:idx val="0"/>
          <c:order val="0"/>
          <c:tx>
            <c:strRef>
              <c:f>[画图.xlsx]Sheet1!$L$78</c:f>
              <c:strCache>
                <c:ptCount val="1"/>
                <c:pt idx="0">
                  <c:v>财政拨款收支情况</c:v>
                </c:pt>
              </c:strCache>
            </c:strRef>
          </c:tx>
          <c:spPr>
            <a:solidFill>
              <a:schemeClr val="accent1"/>
            </a:solidFill>
            <a:ln>
              <a:noFill/>
            </a:ln>
            <a:effectLst/>
          </c:spPr>
          <c:invertIfNegative val="0"/>
          <c:dLbls>
            <c:dLbl>
              <c:idx val="1"/>
              <c:layout/>
              <c:tx>
                <c:rich>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r>
                      <a:rPr altLang="en-US"/>
                      <a:t>1011.</a:t>
                    </a:r>
                    <a:r>
                      <a:rPr lang="en-US" altLang="en-US"/>
                      <a:t>09</a:t>
                    </a:r>
                    <a:endParaRPr altLang="en-US"/>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[画图.xlsx]Sheet1!$K$79:$K$80</c:f>
              <c:strCache>
                <c:ptCount val="2"/>
                <c:pt idx="0">
                  <c:v>2018年收入总计</c:v>
                </c:pt>
                <c:pt idx="1">
                  <c:v>2019年收入总计</c:v>
                </c:pt>
              </c:strCache>
            </c:strRef>
          </c:cat>
          <c:val>
            <c:numRef>
              <c:f>[画图.xlsx]Sheet1!$L$79:$L$80</c:f>
              <c:numCache>
                <c:formatCode>General</c:formatCode>
                <c:ptCount val="2"/>
                <c:pt idx="0">
                  <c:v>539.06</c:v>
                </c:pt>
                <c:pt idx="1">
                  <c:v>1011.1</c:v>
                </c:pt>
              </c:numCache>
            </c:numRef>
          </c:val>
        </c:ser>
        <c:dLbls>
          <c:showLegendKey val="0"/>
          <c:showVal val="1"/>
          <c:showCatName val="0"/>
          <c:showSerName val="0"/>
          <c:showPercent val="0"/>
          <c:showBubbleSize val="0"/>
        </c:dLbls>
        <c:gapWidth val="219"/>
        <c:overlap val="-27"/>
        <c:axId val="77724288"/>
        <c:axId val="80159104"/>
      </c:barChart>
      <c:catAx>
        <c:axId val="7772428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0159104"/>
        <c:crosses val="autoZero"/>
        <c:auto val="1"/>
        <c:lblAlgn val="ctr"/>
        <c:lblOffset val="100"/>
        <c:noMultiLvlLbl val="0"/>
      </c:catAx>
      <c:valAx>
        <c:axId val="801591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7724288"/>
        <c:crosses val="autoZero"/>
        <c:crossBetween val="between"/>
      </c:valAx>
      <c:spPr>
        <a:noFill/>
        <a:ln>
          <a:noFill/>
        </a:ln>
        <a:effectLst/>
      </c:spPr>
    </c:plotArea>
    <c:plotVisOnly val="1"/>
    <c:dispBlanksAs val="gap"/>
    <c:showDLblsOverMax val="0"/>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0"/>
    </a:gra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[画图.xlsx]Sheet1!$E$117</c:f>
              <c:strCache>
                <c:ptCount val="1"/>
                <c:pt idx="0">
                  <c:v>一般公共预算财政拨款支出</c:v>
                </c:pt>
              </c:strCache>
            </c:strRef>
          </c:tx>
          <c:spPr/>
          <c:explosion val="0"/>
          <c:dPt>
            <c:idx val="0"/>
            <c:bubble3D val="0"/>
            <c:spPr>
              <a:solidFill>
                <a:schemeClr val="accent1"/>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[画图.xlsx]Sheet1!$F$116</c:f>
              <c:strCache>
                <c:ptCount val="1"/>
                <c:pt idx="0">
                  <c:v>本年支出</c:v>
                </c:pt>
              </c:strCache>
            </c:strRef>
          </c:cat>
          <c:val>
            <c:numRef>
              <c:f>[画图.xlsx]Sheet1!$F$117</c:f>
              <c:numCache>
                <c:formatCode>General</c:formatCode>
                <c:ptCount val="1"/>
                <c:pt idx="0">
                  <c:v>994.77</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0"/>
    </a:gra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[画图.xlsx]Sheet1!$E$123</c:f>
              <c:strCache>
                <c:ptCount val="1"/>
                <c:pt idx="0">
                  <c:v>一般公共预算财政拨款支出决算情况</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[画图.xlsx]Sheet1!$D$124:$D$127</c:f>
              <c:strCache>
                <c:ptCount val="4"/>
                <c:pt idx="0">
                  <c:v>社会保障和就业支出</c:v>
                </c:pt>
                <c:pt idx="1">
                  <c:v>卫生健康支出</c:v>
                </c:pt>
                <c:pt idx="2">
                  <c:v>交通运输支出</c:v>
                </c:pt>
                <c:pt idx="3">
                  <c:v>住房保障支出</c:v>
                </c:pt>
              </c:strCache>
            </c:strRef>
          </c:cat>
          <c:val>
            <c:numRef>
              <c:f>[画图.xlsx]Sheet1!$E$124:$E$127</c:f>
              <c:numCache>
                <c:formatCode>General</c:formatCode>
                <c:ptCount val="4"/>
                <c:pt idx="0">
                  <c:v>24.23</c:v>
                </c:pt>
                <c:pt idx="1">
                  <c:v>11.48</c:v>
                </c:pt>
                <c:pt idx="2">
                  <c:v>943.88</c:v>
                </c:pt>
                <c:pt idx="3">
                  <c:v>15.18</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0"/>
    </a:gra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[画图.xlsx]Sheet1!$E$144</c:f>
              <c:strCache>
                <c:ptCount val="1"/>
                <c:pt idx="0">
                  <c:v>三公经费支出决算数</c:v>
                </c:pt>
              </c:strCache>
            </c:strRef>
          </c:tx>
          <c:spPr/>
          <c:explosion val="72"/>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[画图.xlsx]Sheet1!$D$145:$D$147</c:f>
              <c:strCache>
                <c:ptCount val="3"/>
                <c:pt idx="0">
                  <c:v>公务用车运行维护费</c:v>
                </c:pt>
                <c:pt idx="1">
                  <c:v>公务接待费</c:v>
                </c:pt>
                <c:pt idx="2">
                  <c:v>因公出国（境）费</c:v>
                </c:pt>
              </c:strCache>
            </c:strRef>
          </c:cat>
          <c:val>
            <c:numRef>
              <c:f>[画图.xlsx]Sheet1!$E$145:$E$147</c:f>
              <c:numCache>
                <c:formatCode>General</c:formatCode>
                <c:ptCount val="3"/>
                <c:pt idx="0">
                  <c:v>4</c:v>
                </c:pt>
                <c:pt idx="1">
                  <c:v>0.13</c:v>
                </c:pt>
                <c:pt idx="2">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0"/>
    </a:gra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27</Pages>
  <Words>8651</Words>
  <Characters>1726</Characters>
  <Lines>14</Lines>
  <Paragraphs>20</Paragraphs>
  <TotalTime>57</TotalTime>
  <ScaleCrop>false</ScaleCrop>
  <LinksUpToDate>false</LinksUpToDate>
  <CharactersWithSpaces>10357</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2020-08-04T09:49:00Z</dcterms:created>
  <dc:creator>曹颖</dc:creator>
  <cp:lastModifiedBy>user</cp:lastModifiedBy>
  <cp:lastPrinted>2020-09-22T16:40:00Z</cp:lastPrinted>
  <dcterms:modified xsi:type="dcterms:W3CDTF">2026-04-20T16:53:49Z</dcterms:modified>
  <dc:title>四川省***</dc:title>
  <cp:revision>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7092CA1A17DA44B7AFB83286D53D21A3</vt:lpwstr>
  </property>
</Properties>
</file>