
<file path=[Content_Types].xml><?xml version="1.0" encoding="utf-8"?>
<Types xmlns="http://schemas.openxmlformats.org/package/2006/content-types">
  <Default Extension="xml" ContentType="application/xml"/>
  <Default Extension="xlsx" ContentType="application/vnd.openxmlformats-officedocument.spreadsheetml.sheet"/>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bookmarkEnd w:id="0"/>
    <w:p>
      <w:pPr>
        <w:adjustRightInd w:val="0"/>
        <w:snapToGrid w:val="0"/>
        <w:spacing w:line="360" w:lineRule="auto"/>
        <w:jc w:val="center"/>
        <w:outlineLvl w:val="0"/>
        <w:rPr>
          <w:rFonts w:ascii="黑体" w:hAnsi="黑体" w:eastAsia="黑体"/>
          <w:color w:val="000000"/>
          <w:sz w:val="72"/>
          <w:szCs w:val="72"/>
        </w:rPr>
      </w:pPr>
      <w:bookmarkStart w:id="1" w:name="_Toc15377425"/>
      <w:bookmarkStart w:id="2" w:name="_Toc15396475"/>
      <w:bookmarkStart w:id="3" w:name="_Toc15377193"/>
      <w:bookmarkStart w:id="4" w:name="_Toc15378441"/>
      <w:bookmarkStart w:id="5" w:name="_Toc15396597"/>
    </w:p>
    <w:p>
      <w:pPr>
        <w:adjustRightInd w:val="0"/>
        <w:snapToGrid w:val="0"/>
        <w:spacing w:line="360" w:lineRule="auto"/>
        <w:jc w:val="center"/>
        <w:outlineLvl w:val="0"/>
        <w:rPr>
          <w:rFonts w:ascii="方正小标宋简体" w:hAnsi="宋体" w:eastAsia="方正小标宋简体"/>
          <w:color w:val="000000"/>
          <w:sz w:val="72"/>
          <w:szCs w:val="72"/>
        </w:rPr>
      </w:pPr>
      <w:r>
        <w:rPr>
          <w:rFonts w:ascii="黑体" w:hAnsi="黑体" w:eastAsia="黑体"/>
          <w:color w:val="000000"/>
          <w:sz w:val="72"/>
          <w:szCs w:val="72"/>
        </w:rPr>
        <w:t>201</w:t>
      </w:r>
      <w:r>
        <w:rPr>
          <w:rFonts w:hint="eastAsia" w:ascii="黑体" w:hAnsi="黑体" w:eastAsia="黑体"/>
          <w:color w:val="000000"/>
          <w:sz w:val="72"/>
          <w:szCs w:val="72"/>
        </w:rPr>
        <w:t>9</w:t>
      </w:r>
      <w:r>
        <w:rPr>
          <w:rFonts w:hint="eastAsia" w:ascii="方正小标宋简体" w:hAnsi="宋体" w:eastAsia="方正小标宋简体"/>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ascii="方正小标宋简体" w:hAnsi="宋体" w:eastAsia="方正小标宋简体"/>
          <w:color w:val="000000"/>
          <w:sz w:val="72"/>
          <w:szCs w:val="72"/>
        </w:rPr>
      </w:pPr>
      <w:bookmarkStart w:id="6" w:name="_Toc15378442"/>
      <w:bookmarkStart w:id="7" w:name="_Toc15396598"/>
      <w:bookmarkStart w:id="8" w:name="_Toc15396476"/>
      <w:bookmarkStart w:id="9" w:name="_Toc15377426"/>
      <w:bookmarkStart w:id="10" w:name="_Toc15377194"/>
      <w:r>
        <w:rPr>
          <w:rFonts w:hint="eastAsia" w:ascii="方正小标宋简体" w:hAnsi="宋体" w:eastAsia="方正小标宋简体"/>
          <w:color w:val="000000"/>
          <w:sz w:val="72"/>
          <w:szCs w:val="72"/>
        </w:rPr>
        <w:t>四川省阿坝州</w:t>
      </w:r>
      <w:bookmarkStart w:id="11" w:name="_Toc15306268"/>
      <w:r>
        <w:rPr>
          <w:rFonts w:hint="eastAsia" w:ascii="方正小标宋简体" w:hAnsi="宋体" w:eastAsia="方正小标宋简体"/>
          <w:color w:val="000000"/>
          <w:sz w:val="72"/>
          <w:szCs w:val="72"/>
          <w:lang w:eastAsia="zh-CN"/>
        </w:rPr>
        <w:t>茂县国有资产管理中心</w:t>
      </w:r>
      <w:r>
        <w:rPr>
          <w:rFonts w:hint="eastAsia" w:ascii="方正小标宋简体" w:hAnsi="宋体" w:eastAsia="方正小标宋简体"/>
          <w:color w:val="000000"/>
          <w:sz w:val="72"/>
          <w:szCs w:val="72"/>
        </w:rPr>
        <w:t>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firstLine="1280" w:firstLineChars="400"/>
        <w:jc w:val="left"/>
        <w:rPr>
          <w:rFonts w:eastAsia="仿宋_GB2312"/>
          <w:sz w:val="32"/>
          <w:szCs w:val="32"/>
        </w:rPr>
      </w:pPr>
      <w:r>
        <w:rPr>
          <w:rFonts w:hint="eastAsia" w:ascii="仿宋_GB2312" w:hAnsi="Calibri" w:eastAsia="仿宋_GB2312" w:cs="仿宋_GB2312"/>
          <w:sz w:val="32"/>
          <w:szCs w:val="32"/>
        </w:rPr>
        <w:t>保密审查情况：已审查，内容审定</w:t>
      </w:r>
    </w:p>
    <w:p>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部门主要负责人审签情况：已审签</w:t>
      </w:r>
      <w:r>
        <w:rPr>
          <w:rFonts w:hint="eastAsia" w:ascii="仿宋_GB2312" w:hAnsi="Calibri" w:eastAsia="仿宋_GB2312" w:cs="仿宋_GB2312"/>
          <w:sz w:val="32"/>
          <w:szCs w:val="32"/>
        </w:rPr>
        <w:t>，同意对外公开</w:t>
      </w:r>
    </w:p>
    <w:p>
      <w:pPr>
        <w:widowControl/>
        <w:jc w:val="center"/>
        <w:rPr>
          <w:rFonts w:ascii="方正小标宋简体" w:hAnsi="宋体" w:eastAsia="方正小标宋简体"/>
          <w:sz w:val="36"/>
          <w:szCs w:val="36"/>
        </w:rPr>
      </w:pPr>
    </w:p>
    <w:p>
      <w:pPr>
        <w:adjustRightInd w:val="0"/>
        <w:snapToGrid w:val="0"/>
        <w:spacing w:line="360" w:lineRule="auto"/>
        <w:jc w:val="both"/>
        <w:outlineLvl w:val="0"/>
        <w:rPr>
          <w:rFonts w:hint="eastAsia" w:ascii="黑体" w:hAnsi="黑体" w:eastAsia="黑体"/>
          <w:color w:val="000000"/>
          <w:sz w:val="48"/>
          <w:szCs w:val="48"/>
        </w:rPr>
      </w:pPr>
    </w:p>
    <w:p>
      <w:pPr>
        <w:adjustRightInd w:val="0"/>
        <w:snapToGrid w:val="0"/>
        <w:spacing w:line="360" w:lineRule="auto"/>
        <w:jc w:val="center"/>
        <w:outlineLvl w:val="0"/>
        <w:rPr>
          <w:rFonts w:ascii="黑体" w:hAnsi="黑体" w:eastAsia="黑体"/>
          <w:color w:val="000000"/>
          <w:sz w:val="48"/>
          <w:szCs w:val="48"/>
        </w:rPr>
      </w:pPr>
      <w:r>
        <w:rPr>
          <w:rFonts w:hint="eastAsia" w:ascii="黑体" w:hAnsi="黑体" w:eastAsia="黑体"/>
          <w:color w:val="000000"/>
          <w:sz w:val="48"/>
          <w:szCs w:val="48"/>
        </w:rPr>
        <w:t>目录</w:t>
      </w:r>
      <w:r>
        <w:rPr>
          <w:rFonts w:ascii="黑体" w:hAnsi="黑体" w:eastAsia="黑体"/>
          <w:color w:val="000000"/>
          <w:sz w:val="48"/>
          <w:szCs w:val="48"/>
        </w:rPr>
        <w:fldChar w:fldCharType="begin"/>
      </w:r>
      <w:r>
        <w:rPr>
          <w:rFonts w:ascii="黑体" w:hAnsi="黑体" w:eastAsia="黑体"/>
          <w:color w:val="000000"/>
          <w:sz w:val="48"/>
          <w:szCs w:val="48"/>
        </w:rPr>
        <w:instrText xml:space="preserve"> TOC \o "1-2" \h \z \u </w:instrText>
      </w:r>
      <w:r>
        <w:rPr>
          <w:rFonts w:ascii="黑体" w:hAnsi="黑体" w:eastAsia="黑体"/>
          <w:color w:val="000000"/>
          <w:sz w:val="48"/>
          <w:szCs w:val="48"/>
        </w:rPr>
        <w:fldChar w:fldCharType="separate"/>
      </w:r>
    </w:p>
    <w:p/>
    <w:p>
      <w:pPr>
        <w:pStyle w:val="10"/>
      </w:pPr>
      <w:r>
        <w:fldChar w:fldCharType="begin"/>
      </w:r>
      <w:r>
        <w:instrText xml:space="preserve"> HYPERLINK \l "_Toc15396599" </w:instrText>
      </w:r>
      <w:r>
        <w:fldChar w:fldCharType="separate"/>
      </w:r>
      <w:r>
        <w:rPr>
          <w:rStyle w:val="14"/>
          <w:rFonts w:hint="eastAsia"/>
        </w:rPr>
        <w:t>第一部分</w:t>
      </w:r>
      <w:r>
        <w:rPr>
          <w:rStyle w:val="14"/>
        </w:rPr>
        <w:t xml:space="preserve"> </w:t>
      </w:r>
      <w:r>
        <w:rPr>
          <w:rStyle w:val="14"/>
          <w:rFonts w:hint="eastAsia"/>
        </w:rPr>
        <w:t>部门概况</w:t>
      </w:r>
      <w:r>
        <w:tab/>
      </w:r>
      <w:r>
        <w:t>4</w:t>
      </w:r>
      <w:r>
        <w:fldChar w:fldCharType="end"/>
      </w:r>
    </w:p>
    <w:p>
      <w:pPr>
        <w:pStyle w:val="11"/>
        <w:ind w:left="31680" w:hanging="105" w:hangingChars="50"/>
        <w:rPr>
          <w:rFonts w:ascii="仿宋" w:hAnsi="仿宋" w:eastAsia="仿宋"/>
          <w:sz w:val="28"/>
          <w:szCs w:val="28"/>
        </w:rPr>
      </w:pPr>
      <w:r>
        <w:fldChar w:fldCharType="begin"/>
      </w:r>
      <w:r>
        <w:instrText xml:space="preserve"> HYPERLINK \l "_Toc15396600" </w:instrText>
      </w:r>
      <w:r>
        <w:fldChar w:fldCharType="separate"/>
      </w:r>
      <w:r>
        <w:rPr>
          <w:rStyle w:val="14"/>
          <w:rFonts w:hint="eastAsia" w:ascii="仿宋" w:hAnsi="仿宋" w:eastAsia="仿宋"/>
          <w:sz w:val="28"/>
          <w:szCs w:val="28"/>
        </w:rPr>
        <w:t>一、基本职能及主要工作</w:t>
      </w:r>
      <w:r>
        <w:rPr>
          <w:rFonts w:ascii="仿宋" w:hAnsi="仿宋" w:eastAsia="仿宋"/>
          <w:sz w:val="28"/>
          <w:szCs w:val="28"/>
        </w:rPr>
        <w:tab/>
      </w:r>
      <w:r>
        <w:rPr>
          <w:rFonts w:ascii="仿宋" w:hAnsi="仿宋" w:eastAsia="仿宋"/>
          <w:sz w:val="28"/>
          <w:szCs w:val="28"/>
        </w:rPr>
        <w:t>4</w:t>
      </w:r>
      <w:r>
        <w:rPr>
          <w:rFonts w:ascii="仿宋" w:hAnsi="仿宋" w:eastAsia="仿宋"/>
          <w:sz w:val="28"/>
          <w:szCs w:val="28"/>
        </w:rPr>
        <w:fldChar w:fldCharType="end"/>
      </w:r>
    </w:p>
    <w:p>
      <w:pPr>
        <w:pStyle w:val="11"/>
        <w:ind w:left="31680"/>
        <w:rPr>
          <w:rFonts w:ascii="仿宋" w:hAnsi="仿宋" w:eastAsia="仿宋"/>
          <w:sz w:val="28"/>
          <w:szCs w:val="28"/>
        </w:rPr>
      </w:pPr>
      <w:r>
        <w:fldChar w:fldCharType="begin"/>
      </w:r>
      <w:r>
        <w:instrText xml:space="preserve"> HYPERLINK \l "_Toc15396601" </w:instrText>
      </w:r>
      <w:r>
        <w:fldChar w:fldCharType="separate"/>
      </w:r>
      <w:r>
        <w:rPr>
          <w:rStyle w:val="14"/>
          <w:rFonts w:hint="eastAsia" w:ascii="仿宋" w:hAnsi="仿宋" w:eastAsia="仿宋"/>
          <w:sz w:val="28"/>
          <w:szCs w:val="28"/>
        </w:rPr>
        <w:t>二、机构设置</w:t>
      </w:r>
      <w:r>
        <w:rPr>
          <w:rFonts w:ascii="仿宋" w:hAnsi="仿宋" w:eastAsia="仿宋"/>
          <w:sz w:val="28"/>
          <w:szCs w:val="28"/>
        </w:rPr>
        <w:tab/>
      </w:r>
      <w:r>
        <w:rPr>
          <w:rFonts w:hint="eastAsia" w:ascii="仿宋" w:hAnsi="仿宋" w:eastAsia="仿宋"/>
          <w:sz w:val="28"/>
          <w:szCs w:val="28"/>
          <w:lang w:val="en-US" w:eastAsia="zh-CN"/>
        </w:rPr>
        <w:t>5</w:t>
      </w:r>
      <w:r>
        <w:rPr>
          <w:rFonts w:ascii="仿宋" w:hAnsi="仿宋" w:eastAsia="仿宋"/>
          <w:sz w:val="28"/>
          <w:szCs w:val="28"/>
        </w:rPr>
        <w:fldChar w:fldCharType="end"/>
      </w:r>
    </w:p>
    <w:p>
      <w:pPr>
        <w:pStyle w:val="10"/>
      </w:pPr>
      <w:r>
        <w:fldChar w:fldCharType="begin"/>
      </w:r>
      <w:r>
        <w:instrText xml:space="preserve"> HYPERLINK \l "_Toc15396602" </w:instrText>
      </w:r>
      <w:r>
        <w:fldChar w:fldCharType="separate"/>
      </w:r>
      <w:r>
        <w:rPr>
          <w:rStyle w:val="14"/>
          <w:rFonts w:hint="eastAsia"/>
        </w:rPr>
        <w:t>第二部分</w:t>
      </w:r>
      <w:r>
        <w:rPr>
          <w:rStyle w:val="14"/>
        </w:rPr>
        <w:t xml:space="preserve"> 201</w:t>
      </w:r>
      <w:r>
        <w:rPr>
          <w:rStyle w:val="14"/>
          <w:rFonts w:hint="eastAsia"/>
          <w:lang w:val="en-US" w:eastAsia="zh-CN"/>
        </w:rPr>
        <w:t>9</w:t>
      </w:r>
      <w:r>
        <w:rPr>
          <w:rStyle w:val="14"/>
          <w:rFonts w:hint="eastAsia"/>
        </w:rPr>
        <w:t>年度部门决算情况说明</w:t>
      </w:r>
      <w:r>
        <w:tab/>
      </w:r>
      <w:r>
        <w:rPr>
          <w:rFonts w:hint="eastAsia"/>
          <w:lang w:val="en-US" w:eastAsia="zh-CN"/>
        </w:rPr>
        <w:t>6</w:t>
      </w:r>
      <w:r>
        <w:fldChar w:fldCharType="end"/>
      </w:r>
    </w:p>
    <w:p>
      <w:pPr>
        <w:pStyle w:val="11"/>
        <w:ind w:left="31680"/>
        <w:rPr>
          <w:rFonts w:ascii="仿宋" w:hAnsi="仿宋" w:eastAsia="仿宋"/>
          <w:sz w:val="28"/>
          <w:szCs w:val="28"/>
        </w:rPr>
      </w:pPr>
      <w:r>
        <w:fldChar w:fldCharType="begin"/>
      </w:r>
      <w:r>
        <w:instrText xml:space="preserve"> HYPERLINK \l "_Toc15396603" </w:instrText>
      </w:r>
      <w:r>
        <w:fldChar w:fldCharType="separate"/>
      </w:r>
      <w:r>
        <w:rPr>
          <w:rStyle w:val="14"/>
          <w:rFonts w:hint="eastAsia" w:ascii="仿宋" w:hAnsi="仿宋" w:eastAsia="仿宋"/>
          <w:bCs/>
          <w:sz w:val="28"/>
          <w:szCs w:val="28"/>
        </w:rPr>
        <w:t>一、</w:t>
      </w:r>
      <w:r>
        <w:rPr>
          <w:rStyle w:val="14"/>
          <w:rFonts w:hint="eastAsia" w:ascii="仿宋" w:hAnsi="仿宋" w:eastAsia="仿宋"/>
          <w:sz w:val="28"/>
          <w:szCs w:val="28"/>
        </w:rPr>
        <w:t>收</w:t>
      </w:r>
      <w:r>
        <w:rPr>
          <w:rStyle w:val="14"/>
          <w:rFonts w:hint="eastAsia" w:ascii="仿宋" w:hAnsi="仿宋" w:eastAsia="仿宋"/>
          <w:bCs/>
          <w:sz w:val="28"/>
          <w:szCs w:val="28"/>
        </w:rPr>
        <w:t>入支出决算总体情况说明</w:t>
      </w:r>
      <w:r>
        <w:rPr>
          <w:rFonts w:ascii="仿宋" w:hAnsi="仿宋" w:eastAsia="仿宋"/>
          <w:sz w:val="28"/>
          <w:szCs w:val="28"/>
        </w:rPr>
        <w:tab/>
      </w:r>
      <w:r>
        <w:rPr>
          <w:rFonts w:hint="eastAsia" w:ascii="仿宋" w:hAnsi="仿宋" w:eastAsia="仿宋"/>
          <w:sz w:val="28"/>
          <w:szCs w:val="28"/>
          <w:lang w:val="en-US" w:eastAsia="zh-CN"/>
        </w:rPr>
        <w:t>6</w:t>
      </w:r>
      <w:r>
        <w:rPr>
          <w:rFonts w:ascii="仿宋" w:hAnsi="仿宋" w:eastAsia="仿宋"/>
          <w:sz w:val="28"/>
          <w:szCs w:val="28"/>
        </w:rPr>
        <w:fldChar w:fldCharType="end"/>
      </w:r>
    </w:p>
    <w:p>
      <w:pPr>
        <w:pStyle w:val="11"/>
        <w:ind w:left="31680"/>
        <w:rPr>
          <w:rFonts w:ascii="仿宋" w:hAnsi="仿宋" w:eastAsia="仿宋"/>
          <w:sz w:val="28"/>
          <w:szCs w:val="28"/>
        </w:rPr>
      </w:pPr>
      <w:r>
        <w:fldChar w:fldCharType="begin"/>
      </w:r>
      <w:r>
        <w:instrText xml:space="preserve"> HYPERLINK \l "_Toc15396604" </w:instrText>
      </w:r>
      <w:r>
        <w:fldChar w:fldCharType="separate"/>
      </w:r>
      <w:r>
        <w:rPr>
          <w:rStyle w:val="14"/>
          <w:rFonts w:hint="eastAsia" w:ascii="仿宋" w:hAnsi="仿宋" w:eastAsia="仿宋"/>
          <w:bCs/>
          <w:sz w:val="28"/>
          <w:szCs w:val="28"/>
        </w:rPr>
        <w:t>二、</w:t>
      </w:r>
      <w:r>
        <w:rPr>
          <w:rStyle w:val="14"/>
          <w:rFonts w:hint="eastAsia" w:ascii="仿宋" w:hAnsi="仿宋" w:eastAsia="仿宋"/>
          <w:sz w:val="28"/>
          <w:szCs w:val="28"/>
        </w:rPr>
        <w:t>收</w:t>
      </w:r>
      <w:r>
        <w:rPr>
          <w:rStyle w:val="14"/>
          <w:rFonts w:hint="eastAsia" w:ascii="仿宋" w:hAnsi="仿宋" w:eastAsia="仿宋"/>
          <w:bCs/>
          <w:sz w:val="28"/>
          <w:szCs w:val="28"/>
        </w:rPr>
        <w:t>入决算情况说明</w:t>
      </w:r>
      <w:r>
        <w:rPr>
          <w:rFonts w:ascii="仿宋" w:hAnsi="仿宋" w:eastAsia="仿宋"/>
          <w:sz w:val="28"/>
          <w:szCs w:val="28"/>
        </w:rPr>
        <w:tab/>
      </w:r>
      <w:r>
        <w:rPr>
          <w:rFonts w:hint="eastAsia" w:ascii="仿宋" w:hAnsi="仿宋" w:eastAsia="仿宋"/>
          <w:sz w:val="28"/>
          <w:szCs w:val="28"/>
          <w:lang w:val="en-US" w:eastAsia="zh-CN"/>
        </w:rPr>
        <w:t>7</w:t>
      </w:r>
      <w:r>
        <w:rPr>
          <w:rFonts w:ascii="仿宋" w:hAnsi="仿宋" w:eastAsia="仿宋"/>
          <w:sz w:val="28"/>
          <w:szCs w:val="28"/>
        </w:rPr>
        <w:fldChar w:fldCharType="end"/>
      </w:r>
    </w:p>
    <w:p>
      <w:pPr>
        <w:pStyle w:val="11"/>
        <w:ind w:left="31680"/>
        <w:rPr>
          <w:rFonts w:ascii="仿宋" w:hAnsi="仿宋" w:eastAsia="仿宋"/>
          <w:sz w:val="28"/>
          <w:szCs w:val="28"/>
        </w:rPr>
      </w:pPr>
      <w:r>
        <w:fldChar w:fldCharType="begin"/>
      </w:r>
      <w:r>
        <w:instrText xml:space="preserve"> HYPERLINK \l "_Toc15396605" </w:instrText>
      </w:r>
      <w:r>
        <w:fldChar w:fldCharType="separate"/>
      </w:r>
      <w:r>
        <w:rPr>
          <w:rStyle w:val="14"/>
          <w:rFonts w:hint="eastAsia" w:ascii="仿宋" w:hAnsi="仿宋" w:eastAsia="仿宋"/>
          <w:bCs/>
          <w:sz w:val="28"/>
          <w:szCs w:val="28"/>
        </w:rPr>
        <w:t>三、</w:t>
      </w:r>
      <w:r>
        <w:rPr>
          <w:rStyle w:val="14"/>
          <w:rFonts w:hint="eastAsia" w:ascii="仿宋" w:hAnsi="仿宋" w:eastAsia="仿宋"/>
          <w:sz w:val="28"/>
          <w:szCs w:val="28"/>
        </w:rPr>
        <w:t>支</w:t>
      </w:r>
      <w:r>
        <w:rPr>
          <w:rStyle w:val="14"/>
          <w:rFonts w:hint="eastAsia" w:ascii="仿宋" w:hAnsi="仿宋" w:eastAsia="仿宋"/>
          <w:bCs/>
          <w:sz w:val="28"/>
          <w:szCs w:val="28"/>
        </w:rPr>
        <w:t>出决算情况说明</w:t>
      </w:r>
      <w:r>
        <w:rPr>
          <w:rFonts w:ascii="仿宋" w:hAnsi="仿宋" w:eastAsia="仿宋"/>
          <w:sz w:val="28"/>
          <w:szCs w:val="28"/>
        </w:rPr>
        <w:tab/>
      </w:r>
      <w:r>
        <w:rPr>
          <w:rFonts w:hint="eastAsia" w:ascii="仿宋" w:hAnsi="仿宋" w:eastAsia="仿宋"/>
          <w:sz w:val="28"/>
          <w:szCs w:val="28"/>
          <w:lang w:val="en-US" w:eastAsia="zh-CN"/>
        </w:rPr>
        <w:t>7</w:t>
      </w:r>
      <w:r>
        <w:rPr>
          <w:rFonts w:ascii="仿宋" w:hAnsi="仿宋" w:eastAsia="仿宋"/>
          <w:sz w:val="28"/>
          <w:szCs w:val="28"/>
        </w:rPr>
        <w:fldChar w:fldCharType="end"/>
      </w:r>
    </w:p>
    <w:p>
      <w:pPr>
        <w:pStyle w:val="11"/>
        <w:ind w:left="31680"/>
        <w:rPr>
          <w:rFonts w:ascii="仿宋" w:hAnsi="仿宋" w:eastAsia="仿宋"/>
          <w:sz w:val="28"/>
          <w:szCs w:val="28"/>
        </w:rPr>
      </w:pPr>
      <w:r>
        <w:fldChar w:fldCharType="begin"/>
      </w:r>
      <w:r>
        <w:instrText xml:space="preserve"> HYPERLINK \l "_Toc15396606" </w:instrText>
      </w:r>
      <w:r>
        <w:fldChar w:fldCharType="separate"/>
      </w:r>
      <w:r>
        <w:rPr>
          <w:rStyle w:val="14"/>
          <w:rFonts w:hint="eastAsia" w:ascii="仿宋" w:hAnsi="仿宋" w:eastAsia="仿宋"/>
          <w:sz w:val="28"/>
          <w:szCs w:val="28"/>
        </w:rPr>
        <w:t>四、财</w:t>
      </w:r>
      <w:r>
        <w:rPr>
          <w:rStyle w:val="14"/>
          <w:rFonts w:hint="eastAsia" w:ascii="仿宋" w:hAnsi="仿宋" w:eastAsia="仿宋"/>
          <w:bCs/>
          <w:sz w:val="28"/>
          <w:szCs w:val="28"/>
        </w:rPr>
        <w:t>政拨款收入支出决算总体情况说明</w:t>
      </w:r>
      <w:r>
        <w:rPr>
          <w:rFonts w:ascii="仿宋" w:hAnsi="仿宋" w:eastAsia="仿宋"/>
          <w:sz w:val="28"/>
          <w:szCs w:val="28"/>
        </w:rPr>
        <w:tab/>
      </w:r>
      <w:r>
        <w:rPr>
          <w:rFonts w:hint="eastAsia" w:ascii="仿宋" w:hAnsi="仿宋" w:eastAsia="仿宋"/>
          <w:sz w:val="28"/>
          <w:szCs w:val="28"/>
          <w:lang w:val="en-US" w:eastAsia="zh-CN"/>
        </w:rPr>
        <w:t>8</w:t>
      </w:r>
      <w:r>
        <w:rPr>
          <w:rFonts w:ascii="仿宋" w:hAnsi="仿宋" w:eastAsia="仿宋"/>
          <w:sz w:val="28"/>
          <w:szCs w:val="28"/>
        </w:rPr>
        <w:fldChar w:fldCharType="end"/>
      </w:r>
    </w:p>
    <w:p>
      <w:pPr>
        <w:pStyle w:val="11"/>
        <w:ind w:left="31680"/>
        <w:rPr>
          <w:rFonts w:ascii="仿宋" w:hAnsi="仿宋" w:eastAsia="仿宋"/>
          <w:sz w:val="28"/>
          <w:szCs w:val="28"/>
        </w:rPr>
      </w:pPr>
      <w:r>
        <w:fldChar w:fldCharType="begin"/>
      </w:r>
      <w:r>
        <w:instrText xml:space="preserve"> HYPERLINK \l "_Toc15396607" </w:instrText>
      </w:r>
      <w:r>
        <w:fldChar w:fldCharType="separate"/>
      </w:r>
      <w:r>
        <w:rPr>
          <w:rStyle w:val="14"/>
          <w:rFonts w:hint="eastAsia" w:ascii="仿宋" w:hAnsi="仿宋" w:eastAsia="仿宋"/>
          <w:sz w:val="28"/>
          <w:szCs w:val="28"/>
        </w:rPr>
        <w:t>五、一</w:t>
      </w:r>
      <w:r>
        <w:rPr>
          <w:rStyle w:val="14"/>
          <w:rFonts w:hint="eastAsia" w:ascii="仿宋" w:hAnsi="仿宋" w:eastAsia="仿宋"/>
          <w:bCs/>
          <w:sz w:val="28"/>
          <w:szCs w:val="28"/>
        </w:rPr>
        <w:t>般公共预算财政拨款支出决算情况说明</w:t>
      </w:r>
      <w:r>
        <w:rPr>
          <w:rFonts w:ascii="仿宋" w:hAnsi="仿宋" w:eastAsia="仿宋"/>
          <w:sz w:val="28"/>
          <w:szCs w:val="28"/>
        </w:rPr>
        <w:tab/>
      </w:r>
      <w:r>
        <w:rPr>
          <w:rFonts w:hint="eastAsia" w:ascii="仿宋" w:hAnsi="仿宋" w:eastAsia="仿宋"/>
          <w:sz w:val="28"/>
          <w:szCs w:val="28"/>
          <w:lang w:val="en-US" w:eastAsia="zh-CN"/>
        </w:rPr>
        <w:t>8</w:t>
      </w:r>
      <w:r>
        <w:rPr>
          <w:rFonts w:ascii="仿宋" w:hAnsi="仿宋" w:eastAsia="仿宋"/>
          <w:sz w:val="28"/>
          <w:szCs w:val="28"/>
        </w:rPr>
        <w:fldChar w:fldCharType="end"/>
      </w:r>
    </w:p>
    <w:p>
      <w:pPr>
        <w:pStyle w:val="11"/>
        <w:ind w:left="31680"/>
        <w:rPr>
          <w:rFonts w:ascii="仿宋" w:hAnsi="仿宋" w:eastAsia="仿宋"/>
          <w:sz w:val="28"/>
          <w:szCs w:val="28"/>
        </w:rPr>
      </w:pPr>
      <w:r>
        <w:fldChar w:fldCharType="begin"/>
      </w:r>
      <w:r>
        <w:instrText xml:space="preserve"> HYPERLINK \l "_Toc15396608" </w:instrText>
      </w:r>
      <w:r>
        <w:fldChar w:fldCharType="separate"/>
      </w:r>
      <w:r>
        <w:rPr>
          <w:rStyle w:val="14"/>
          <w:rFonts w:hint="eastAsia" w:ascii="仿宋" w:hAnsi="仿宋" w:eastAsia="仿宋"/>
          <w:sz w:val="28"/>
          <w:szCs w:val="28"/>
        </w:rPr>
        <w:t>六、一</w:t>
      </w:r>
      <w:r>
        <w:rPr>
          <w:rStyle w:val="14"/>
          <w:rFonts w:hint="eastAsia" w:ascii="仿宋" w:hAnsi="仿宋" w:eastAsia="仿宋"/>
          <w:bCs/>
          <w:sz w:val="28"/>
          <w:szCs w:val="28"/>
        </w:rPr>
        <w:t>般公共预算财政拨款基本支出决算情况说明</w:t>
      </w:r>
      <w:r>
        <w:rPr>
          <w:rFonts w:ascii="仿宋" w:hAnsi="仿宋" w:eastAsia="仿宋"/>
          <w:sz w:val="28"/>
          <w:szCs w:val="28"/>
        </w:rPr>
        <w:tab/>
      </w:r>
      <w:r>
        <w:rPr>
          <w:rFonts w:ascii="仿宋" w:hAnsi="仿宋" w:eastAsia="仿宋"/>
          <w:sz w:val="28"/>
          <w:szCs w:val="28"/>
        </w:rPr>
        <w:t>1</w:t>
      </w:r>
      <w:r>
        <w:rPr>
          <w:rFonts w:hint="eastAsia" w:ascii="仿宋" w:hAnsi="仿宋" w:eastAsia="仿宋"/>
          <w:sz w:val="28"/>
          <w:szCs w:val="28"/>
          <w:lang w:val="en-US" w:eastAsia="zh-CN"/>
        </w:rPr>
        <w:t>1</w:t>
      </w:r>
      <w:r>
        <w:rPr>
          <w:rFonts w:ascii="仿宋" w:hAnsi="仿宋" w:eastAsia="仿宋"/>
          <w:sz w:val="28"/>
          <w:szCs w:val="28"/>
        </w:rPr>
        <w:fldChar w:fldCharType="end"/>
      </w:r>
    </w:p>
    <w:p>
      <w:pPr>
        <w:pStyle w:val="11"/>
        <w:ind w:left="31680"/>
        <w:rPr>
          <w:rFonts w:ascii="仿宋" w:hAnsi="仿宋" w:eastAsia="仿宋"/>
          <w:sz w:val="28"/>
          <w:szCs w:val="28"/>
        </w:rPr>
      </w:pPr>
      <w:r>
        <w:fldChar w:fldCharType="begin"/>
      </w:r>
      <w:r>
        <w:instrText xml:space="preserve"> HYPERLINK \l "_Toc15396609" </w:instrText>
      </w:r>
      <w:r>
        <w:fldChar w:fldCharType="separate"/>
      </w:r>
      <w:r>
        <w:rPr>
          <w:rStyle w:val="14"/>
          <w:rFonts w:hint="eastAsia" w:ascii="仿宋" w:hAnsi="仿宋" w:eastAsia="仿宋"/>
          <w:sz w:val="28"/>
          <w:szCs w:val="28"/>
        </w:rPr>
        <w:t>七、“</w:t>
      </w:r>
      <w:r>
        <w:rPr>
          <w:rStyle w:val="14"/>
          <w:rFonts w:hint="eastAsia" w:ascii="仿宋" w:hAnsi="仿宋" w:eastAsia="仿宋"/>
          <w:bCs/>
          <w:sz w:val="28"/>
          <w:szCs w:val="28"/>
        </w:rPr>
        <w:t>三公”经费财政拨款支出决算情况说明</w:t>
      </w:r>
      <w:r>
        <w:rPr>
          <w:rFonts w:ascii="仿宋" w:hAnsi="仿宋" w:eastAsia="仿宋"/>
          <w:sz w:val="28"/>
          <w:szCs w:val="28"/>
        </w:rPr>
        <w:tab/>
      </w:r>
      <w:r>
        <w:rPr>
          <w:rFonts w:ascii="仿宋" w:hAnsi="仿宋" w:eastAsia="仿宋"/>
          <w:sz w:val="28"/>
          <w:szCs w:val="28"/>
        </w:rPr>
        <w:t>1</w:t>
      </w:r>
      <w:r>
        <w:rPr>
          <w:rFonts w:hint="eastAsia" w:ascii="仿宋" w:hAnsi="仿宋" w:eastAsia="仿宋"/>
          <w:sz w:val="28"/>
          <w:szCs w:val="28"/>
          <w:lang w:val="en-US" w:eastAsia="zh-CN"/>
        </w:rPr>
        <w:t>1</w:t>
      </w:r>
      <w:r>
        <w:rPr>
          <w:rFonts w:ascii="仿宋" w:hAnsi="仿宋" w:eastAsia="仿宋"/>
          <w:sz w:val="28"/>
          <w:szCs w:val="28"/>
        </w:rPr>
        <w:fldChar w:fldCharType="end"/>
      </w:r>
    </w:p>
    <w:p>
      <w:pPr>
        <w:pStyle w:val="11"/>
        <w:ind w:left="31680"/>
        <w:rPr>
          <w:rFonts w:ascii="仿宋" w:hAnsi="仿宋" w:eastAsia="仿宋"/>
          <w:sz w:val="28"/>
          <w:szCs w:val="28"/>
        </w:rPr>
      </w:pPr>
      <w:r>
        <w:fldChar w:fldCharType="begin"/>
      </w:r>
      <w:r>
        <w:instrText xml:space="preserve"> HYPERLINK \l "_Toc15396610" </w:instrText>
      </w:r>
      <w:r>
        <w:fldChar w:fldCharType="separate"/>
      </w:r>
      <w:r>
        <w:rPr>
          <w:rStyle w:val="14"/>
          <w:rFonts w:hint="eastAsia" w:ascii="仿宋" w:hAnsi="仿宋" w:eastAsia="仿宋"/>
          <w:sz w:val="28"/>
          <w:szCs w:val="28"/>
        </w:rPr>
        <w:t>八、</w:t>
      </w:r>
      <w:r>
        <w:rPr>
          <w:rStyle w:val="14"/>
          <w:rFonts w:hint="eastAsia" w:ascii="仿宋" w:hAnsi="仿宋" w:eastAsia="仿宋"/>
          <w:bCs/>
          <w:sz w:val="28"/>
          <w:szCs w:val="28"/>
        </w:rPr>
        <w:t>政府性基金预算支出决算情况说明</w:t>
      </w:r>
      <w:r>
        <w:rPr>
          <w:rFonts w:ascii="仿宋" w:hAnsi="仿宋" w:eastAsia="仿宋"/>
          <w:sz w:val="28"/>
          <w:szCs w:val="28"/>
        </w:rPr>
        <w:tab/>
      </w:r>
      <w:r>
        <w:rPr>
          <w:rFonts w:ascii="仿宋" w:hAnsi="仿宋" w:eastAsia="仿宋"/>
          <w:sz w:val="28"/>
          <w:szCs w:val="28"/>
        </w:rPr>
        <w:t>1</w:t>
      </w:r>
      <w:r>
        <w:rPr>
          <w:rFonts w:hint="eastAsia" w:ascii="仿宋" w:hAnsi="仿宋" w:eastAsia="仿宋"/>
          <w:sz w:val="28"/>
          <w:szCs w:val="28"/>
          <w:lang w:val="en-US" w:eastAsia="zh-CN"/>
        </w:rPr>
        <w:t>2</w:t>
      </w:r>
      <w:r>
        <w:rPr>
          <w:rFonts w:ascii="仿宋" w:hAnsi="仿宋" w:eastAsia="仿宋"/>
          <w:sz w:val="28"/>
          <w:szCs w:val="28"/>
        </w:rPr>
        <w:fldChar w:fldCharType="end"/>
      </w:r>
    </w:p>
    <w:p>
      <w:pPr>
        <w:pStyle w:val="11"/>
        <w:ind w:left="31680"/>
      </w:pPr>
      <w:r>
        <w:fldChar w:fldCharType="begin"/>
      </w:r>
      <w:r>
        <w:instrText xml:space="preserve"> HYPERLINK \l "_Toc15396611" </w:instrText>
      </w:r>
      <w:r>
        <w:fldChar w:fldCharType="separate"/>
      </w:r>
      <w:r>
        <w:rPr>
          <w:rStyle w:val="14"/>
          <w:rFonts w:hint="eastAsia" w:ascii="仿宋" w:hAnsi="仿宋" w:eastAsia="仿宋"/>
          <w:bCs/>
          <w:sz w:val="28"/>
          <w:szCs w:val="28"/>
        </w:rPr>
        <w:t>九、</w:t>
      </w:r>
      <w:r>
        <w:rPr>
          <w:rStyle w:val="14"/>
          <w:rFonts w:hint="eastAsia" w:ascii="仿宋" w:hAnsi="仿宋" w:eastAsia="仿宋"/>
          <w:sz w:val="28"/>
          <w:szCs w:val="28"/>
        </w:rPr>
        <w:t>国</w:t>
      </w:r>
      <w:r>
        <w:rPr>
          <w:rStyle w:val="14"/>
          <w:rFonts w:hint="eastAsia" w:ascii="仿宋" w:hAnsi="仿宋" w:eastAsia="仿宋"/>
          <w:bCs/>
          <w:sz w:val="28"/>
          <w:szCs w:val="28"/>
        </w:rPr>
        <w:t>有资本经营预算支出决算情况说明</w:t>
      </w:r>
      <w:r>
        <w:rPr>
          <w:rFonts w:ascii="仿宋" w:hAnsi="仿宋" w:eastAsia="仿宋"/>
          <w:sz w:val="28"/>
          <w:szCs w:val="28"/>
        </w:rPr>
        <w:tab/>
      </w:r>
      <w:r>
        <w:rPr>
          <w:rFonts w:ascii="仿宋" w:hAnsi="仿宋" w:eastAsia="仿宋"/>
          <w:sz w:val="28"/>
          <w:szCs w:val="28"/>
        </w:rPr>
        <w:t>1</w:t>
      </w:r>
      <w:r>
        <w:rPr>
          <w:rFonts w:hint="eastAsia" w:ascii="仿宋" w:hAnsi="仿宋" w:eastAsia="仿宋"/>
          <w:sz w:val="28"/>
          <w:szCs w:val="28"/>
          <w:lang w:val="en-US" w:eastAsia="zh-CN"/>
        </w:rPr>
        <w:t>2</w:t>
      </w:r>
      <w:r>
        <w:rPr>
          <w:rFonts w:ascii="仿宋" w:hAnsi="仿宋" w:eastAsia="仿宋"/>
          <w:sz w:val="28"/>
          <w:szCs w:val="28"/>
        </w:rPr>
        <w:fldChar w:fldCharType="end"/>
      </w:r>
    </w:p>
    <w:p>
      <w:pPr>
        <w:pStyle w:val="11"/>
        <w:ind w:left="31680"/>
        <w:rPr>
          <w:rFonts w:hint="eastAsia" w:ascii="仿宋" w:hAnsi="仿宋" w:eastAsia="仿宋"/>
          <w:sz w:val="28"/>
          <w:szCs w:val="28"/>
          <w:lang w:eastAsia="zh-CN"/>
        </w:rPr>
      </w:pPr>
      <w:r>
        <w:rPr>
          <w:rFonts w:hint="eastAsia" w:ascii="仿宋" w:hAnsi="仿宋" w:eastAsia="仿宋"/>
          <w:sz w:val="28"/>
          <w:szCs w:val="28"/>
        </w:rPr>
        <w:t>十、</w:t>
      </w:r>
      <w:r>
        <w:rPr>
          <w:rStyle w:val="14"/>
          <w:rFonts w:hint="eastAsia" w:ascii="仿宋" w:hAnsi="仿宋" w:eastAsia="仿宋"/>
          <w:bCs/>
          <w:sz w:val="28"/>
          <w:szCs w:val="28"/>
        </w:rPr>
        <w:t>其他重要事项的情况说明</w:t>
      </w:r>
      <w:r>
        <w:rPr>
          <w:rFonts w:ascii="仿宋" w:hAnsi="仿宋" w:eastAsia="仿宋"/>
          <w:sz w:val="28"/>
          <w:szCs w:val="28"/>
        </w:rPr>
        <w:tab/>
      </w:r>
      <w:r>
        <w:rPr>
          <w:rFonts w:ascii="仿宋" w:hAnsi="仿宋" w:eastAsia="仿宋"/>
          <w:sz w:val="28"/>
          <w:szCs w:val="28"/>
        </w:rPr>
        <w:t>1</w:t>
      </w:r>
      <w:r>
        <w:rPr>
          <w:rFonts w:hint="eastAsia" w:ascii="仿宋" w:hAnsi="仿宋" w:eastAsia="仿宋"/>
          <w:sz w:val="28"/>
          <w:szCs w:val="28"/>
          <w:lang w:val="en-US" w:eastAsia="zh-CN"/>
        </w:rPr>
        <w:t>2</w:t>
      </w:r>
    </w:p>
    <w:p>
      <w:pPr>
        <w:pStyle w:val="10"/>
        <w:rPr>
          <w:rFonts w:hint="eastAsia" w:eastAsia="仿宋"/>
          <w:lang w:val="en-US" w:eastAsia="zh-CN"/>
        </w:rPr>
      </w:pPr>
      <w:r>
        <w:fldChar w:fldCharType="begin"/>
      </w:r>
      <w:r>
        <w:instrText xml:space="preserve"> HYPERLINK \l "_Toc15396613" </w:instrText>
      </w:r>
      <w:r>
        <w:fldChar w:fldCharType="separate"/>
      </w:r>
      <w:r>
        <w:rPr>
          <w:rStyle w:val="14"/>
          <w:rFonts w:hint="eastAsia"/>
          <w:bCs/>
          <w:kern w:val="44"/>
        </w:rPr>
        <w:t>第三部分</w:t>
      </w:r>
      <w:r>
        <w:rPr>
          <w:rStyle w:val="14"/>
        </w:rPr>
        <w:t xml:space="preserve"> </w:t>
      </w:r>
      <w:r>
        <w:rPr>
          <w:rStyle w:val="14"/>
          <w:rFonts w:hint="eastAsia"/>
        </w:rPr>
        <w:t>名</w:t>
      </w:r>
      <w:r>
        <w:rPr>
          <w:rStyle w:val="14"/>
          <w:rFonts w:hint="eastAsia"/>
          <w:bCs/>
          <w:kern w:val="44"/>
        </w:rPr>
        <w:t>词解释</w:t>
      </w:r>
      <w:r>
        <w:tab/>
      </w:r>
      <w:r>
        <w:rPr>
          <w:rFonts w:hint="eastAsia"/>
          <w:lang w:val="en-US" w:eastAsia="zh-CN"/>
        </w:rPr>
        <w:t>1</w:t>
      </w:r>
      <w:r>
        <w:fldChar w:fldCharType="end"/>
      </w:r>
      <w:r>
        <w:rPr>
          <w:rFonts w:hint="eastAsia"/>
          <w:lang w:val="en-US" w:eastAsia="zh-CN"/>
        </w:rPr>
        <w:t>4</w:t>
      </w:r>
    </w:p>
    <w:p>
      <w:pPr>
        <w:pStyle w:val="10"/>
        <w:rPr>
          <w:rFonts w:hint="eastAsia" w:eastAsia="仿宋"/>
          <w:lang w:val="en-US" w:eastAsia="zh-CN"/>
        </w:rPr>
      </w:pPr>
      <w:r>
        <w:fldChar w:fldCharType="begin"/>
      </w:r>
      <w:r>
        <w:instrText xml:space="preserve"> HYPERLINK \l "_Toc15396614" </w:instrText>
      </w:r>
      <w:r>
        <w:fldChar w:fldCharType="separate"/>
      </w:r>
      <w:r>
        <w:rPr>
          <w:rStyle w:val="14"/>
          <w:rFonts w:hint="eastAsia"/>
        </w:rPr>
        <w:t>第</w:t>
      </w:r>
      <w:r>
        <w:rPr>
          <w:rStyle w:val="14"/>
          <w:rFonts w:hint="eastAsia"/>
          <w:bCs/>
          <w:kern w:val="44"/>
        </w:rPr>
        <w:t>四部分</w:t>
      </w:r>
      <w:r>
        <w:rPr>
          <w:rStyle w:val="14"/>
          <w:bCs/>
          <w:kern w:val="44"/>
        </w:rPr>
        <w:t xml:space="preserve"> </w:t>
      </w:r>
      <w:r>
        <w:rPr>
          <w:rStyle w:val="14"/>
          <w:rFonts w:hint="eastAsia"/>
          <w:bCs/>
          <w:kern w:val="44"/>
        </w:rPr>
        <w:t>附件</w:t>
      </w:r>
      <w:r>
        <w:tab/>
      </w:r>
      <w:r>
        <w:rPr>
          <w:rFonts w:hint="eastAsia"/>
          <w:lang w:val="en-US" w:eastAsia="zh-CN"/>
        </w:rPr>
        <w:t>1</w:t>
      </w:r>
      <w:r>
        <w:fldChar w:fldCharType="end"/>
      </w:r>
      <w:r>
        <w:rPr>
          <w:rFonts w:hint="eastAsia"/>
          <w:lang w:val="en-US" w:eastAsia="zh-CN"/>
        </w:rPr>
        <w:t>7</w:t>
      </w:r>
    </w:p>
    <w:p>
      <w:pPr>
        <w:pStyle w:val="11"/>
        <w:ind w:left="31680"/>
        <w:rPr>
          <w:rFonts w:hint="eastAsia" w:ascii="仿宋" w:hAnsi="仿宋" w:eastAsia="仿宋"/>
          <w:sz w:val="28"/>
          <w:szCs w:val="28"/>
          <w:lang w:val="en-US" w:eastAsia="zh-CN"/>
        </w:rPr>
      </w:pPr>
      <w:r>
        <w:fldChar w:fldCharType="begin"/>
      </w:r>
      <w:r>
        <w:instrText xml:space="preserve"> HYPERLINK \l "_Toc15396615" </w:instrText>
      </w:r>
      <w:r>
        <w:fldChar w:fldCharType="separate"/>
      </w:r>
      <w:r>
        <w:rPr>
          <w:rStyle w:val="14"/>
          <w:rFonts w:hint="eastAsia" w:ascii="仿宋" w:hAnsi="仿宋" w:eastAsia="仿宋"/>
          <w:kern w:val="44"/>
          <w:sz w:val="28"/>
          <w:szCs w:val="28"/>
        </w:rPr>
        <w:t>附件</w:t>
      </w:r>
      <w:r>
        <w:rPr>
          <w:rStyle w:val="14"/>
          <w:rFonts w:ascii="仿宋" w:hAnsi="仿宋" w:eastAsia="仿宋"/>
          <w:kern w:val="44"/>
          <w:sz w:val="28"/>
          <w:szCs w:val="28"/>
        </w:rPr>
        <w:t>1</w:t>
      </w:r>
      <w:r>
        <w:rPr>
          <w:rStyle w:val="14"/>
          <w:rFonts w:hint="eastAsia" w:ascii="仿宋" w:hAnsi="仿宋" w:eastAsia="仿宋"/>
          <w:kern w:val="44"/>
          <w:sz w:val="28"/>
          <w:szCs w:val="28"/>
          <w:lang w:eastAsia="zh-CN"/>
        </w:rPr>
        <w:t>：</w:t>
      </w:r>
      <w:r>
        <w:rPr>
          <w:rStyle w:val="14"/>
          <w:rFonts w:hint="eastAsia" w:ascii="仿宋" w:hAnsi="仿宋" w:eastAsia="仿宋"/>
          <w:kern w:val="44"/>
          <w:sz w:val="28"/>
          <w:szCs w:val="28"/>
          <w:lang w:val="en-US" w:eastAsia="zh-CN"/>
        </w:rPr>
        <w:t>2019年部门整体支出绩效评价报告</w:t>
      </w:r>
      <w:r>
        <w:rPr>
          <w:rFonts w:ascii="仿宋" w:hAnsi="仿宋" w:eastAsia="仿宋"/>
          <w:sz w:val="28"/>
          <w:szCs w:val="28"/>
        </w:rPr>
        <w:tab/>
      </w:r>
      <w:r>
        <w:rPr>
          <w:rFonts w:hint="eastAsia" w:ascii="仿宋" w:hAnsi="仿宋" w:eastAsia="仿宋"/>
          <w:sz w:val="28"/>
          <w:szCs w:val="28"/>
          <w:lang w:val="en-US" w:eastAsia="zh-CN"/>
        </w:rPr>
        <w:t>1</w:t>
      </w:r>
      <w:r>
        <w:rPr>
          <w:rFonts w:ascii="仿宋" w:hAnsi="仿宋" w:eastAsia="仿宋"/>
          <w:sz w:val="28"/>
          <w:szCs w:val="28"/>
        </w:rPr>
        <w:fldChar w:fldCharType="end"/>
      </w:r>
      <w:r>
        <w:rPr>
          <w:rFonts w:hint="eastAsia" w:ascii="仿宋" w:hAnsi="仿宋" w:eastAsia="仿宋"/>
          <w:sz w:val="28"/>
          <w:szCs w:val="28"/>
          <w:lang w:val="en-US" w:eastAsia="zh-CN"/>
        </w:rPr>
        <w:t>7</w:t>
      </w:r>
    </w:p>
    <w:p>
      <w:pPr>
        <w:pStyle w:val="10"/>
        <w:jc w:val="both"/>
        <w:rPr>
          <w:rFonts w:hint="eastAsia" w:eastAsia="仿宋"/>
          <w:lang w:val="en-US" w:eastAsia="zh-CN"/>
        </w:rPr>
      </w:pPr>
      <w:r>
        <w:fldChar w:fldCharType="begin"/>
      </w:r>
      <w:r>
        <w:instrText xml:space="preserve"> HYPERLINK \l "_Toc15396618" </w:instrText>
      </w:r>
      <w:r>
        <w:fldChar w:fldCharType="separate"/>
      </w:r>
      <w:r>
        <w:rPr>
          <w:rStyle w:val="14"/>
          <w:rFonts w:hint="eastAsia"/>
        </w:rPr>
        <w:t>第</w:t>
      </w:r>
      <w:r>
        <w:rPr>
          <w:rStyle w:val="14"/>
          <w:rFonts w:hint="eastAsia"/>
          <w:bCs/>
          <w:kern w:val="44"/>
        </w:rPr>
        <w:t>五部分</w:t>
      </w:r>
      <w:r>
        <w:rPr>
          <w:rStyle w:val="14"/>
          <w:bCs/>
          <w:kern w:val="44"/>
        </w:rPr>
        <w:t xml:space="preserve"> </w:t>
      </w:r>
      <w:r>
        <w:rPr>
          <w:rStyle w:val="14"/>
          <w:rFonts w:hint="eastAsia"/>
          <w:bCs/>
          <w:kern w:val="44"/>
        </w:rPr>
        <w:t>附表</w:t>
      </w:r>
      <w:r>
        <w:tab/>
      </w:r>
      <w:r>
        <w:rPr>
          <w:rFonts w:hint="eastAsia"/>
          <w:lang w:val="en-US" w:eastAsia="zh-CN"/>
        </w:rPr>
        <w:t>2</w:t>
      </w:r>
      <w:r>
        <w:fldChar w:fldCharType="end"/>
      </w:r>
      <w:r>
        <w:rPr>
          <w:rFonts w:hint="eastAsia"/>
          <w:lang w:val="en-US" w:eastAsia="zh-CN"/>
        </w:rPr>
        <w:t>0</w:t>
      </w:r>
    </w:p>
    <w:p>
      <w:pPr>
        <w:pStyle w:val="11"/>
        <w:ind w:left="31680"/>
        <w:rPr>
          <w:rFonts w:hint="eastAsia" w:ascii="仿宋" w:hAnsi="仿宋" w:eastAsia="仿宋"/>
          <w:sz w:val="28"/>
          <w:szCs w:val="28"/>
          <w:lang w:val="en-US" w:eastAsia="zh-CN"/>
        </w:rPr>
      </w:pPr>
      <w:r>
        <w:rPr>
          <w:rFonts w:hint="eastAsia" w:ascii="仿宋" w:hAnsi="仿宋" w:eastAsia="仿宋"/>
          <w:sz w:val="28"/>
          <w:szCs w:val="28"/>
        </w:rPr>
        <w:t>一、</w:t>
      </w:r>
      <w:r>
        <w:fldChar w:fldCharType="begin"/>
      </w:r>
      <w:r>
        <w:instrText xml:space="preserve"> HYPERLINK \l "_Toc15396619" </w:instrText>
      </w:r>
      <w:r>
        <w:fldChar w:fldCharType="separate"/>
      </w:r>
      <w:r>
        <w:rPr>
          <w:rStyle w:val="14"/>
          <w:rFonts w:hint="eastAsia" w:ascii="仿宋" w:hAnsi="仿宋" w:eastAsia="仿宋"/>
          <w:sz w:val="28"/>
          <w:szCs w:val="28"/>
        </w:rPr>
        <w:t>收入支出决算总表</w:t>
      </w:r>
      <w:r>
        <w:rPr>
          <w:rFonts w:ascii="仿宋" w:hAnsi="仿宋" w:eastAsia="仿宋"/>
          <w:sz w:val="28"/>
          <w:szCs w:val="28"/>
        </w:rPr>
        <w:tab/>
      </w:r>
      <w:r>
        <w:rPr>
          <w:rFonts w:hint="eastAsia" w:ascii="仿宋" w:hAnsi="仿宋" w:eastAsia="仿宋"/>
          <w:sz w:val="28"/>
          <w:szCs w:val="28"/>
          <w:lang w:val="en-US" w:eastAsia="zh-CN"/>
        </w:rPr>
        <w:t>2</w:t>
      </w:r>
      <w:r>
        <w:rPr>
          <w:rFonts w:ascii="仿宋" w:hAnsi="仿宋" w:eastAsia="仿宋"/>
          <w:sz w:val="28"/>
          <w:szCs w:val="28"/>
        </w:rPr>
        <w:fldChar w:fldCharType="end"/>
      </w:r>
      <w:r>
        <w:rPr>
          <w:rFonts w:hint="eastAsia" w:ascii="仿宋" w:hAnsi="仿宋" w:eastAsia="仿宋"/>
          <w:sz w:val="28"/>
          <w:szCs w:val="28"/>
          <w:lang w:val="en-US" w:eastAsia="zh-CN"/>
        </w:rPr>
        <w:t>0</w:t>
      </w:r>
    </w:p>
    <w:p>
      <w:pPr>
        <w:pStyle w:val="11"/>
        <w:ind w:left="31680"/>
        <w:rPr>
          <w:rFonts w:hint="eastAsia" w:ascii="仿宋" w:hAnsi="仿宋" w:eastAsia="仿宋"/>
          <w:sz w:val="28"/>
          <w:szCs w:val="28"/>
          <w:lang w:val="en-US" w:eastAsia="zh-CN"/>
        </w:rPr>
      </w:pPr>
      <w:r>
        <w:rPr>
          <w:rFonts w:hint="eastAsia" w:ascii="仿宋" w:hAnsi="仿宋" w:eastAsia="仿宋"/>
          <w:sz w:val="28"/>
          <w:szCs w:val="28"/>
        </w:rPr>
        <w:t>二、</w:t>
      </w:r>
      <w:r>
        <w:fldChar w:fldCharType="begin"/>
      </w:r>
      <w:r>
        <w:instrText xml:space="preserve"> HYPERLINK \l "_Toc15396620" </w:instrText>
      </w:r>
      <w:r>
        <w:fldChar w:fldCharType="separate"/>
      </w:r>
      <w:r>
        <w:rPr>
          <w:rStyle w:val="14"/>
          <w:rFonts w:hint="eastAsia" w:ascii="仿宋" w:hAnsi="仿宋" w:eastAsia="仿宋"/>
          <w:sz w:val="28"/>
          <w:szCs w:val="28"/>
        </w:rPr>
        <w:t>收入总表</w:t>
      </w:r>
      <w:r>
        <w:rPr>
          <w:rFonts w:ascii="仿宋" w:hAnsi="仿宋" w:eastAsia="仿宋"/>
          <w:sz w:val="28"/>
          <w:szCs w:val="28"/>
        </w:rPr>
        <w:tab/>
      </w:r>
      <w:r>
        <w:rPr>
          <w:rFonts w:hint="eastAsia" w:ascii="仿宋" w:hAnsi="仿宋" w:eastAsia="仿宋"/>
          <w:sz w:val="28"/>
          <w:szCs w:val="28"/>
          <w:lang w:val="en-US" w:eastAsia="zh-CN"/>
        </w:rPr>
        <w:t>2</w:t>
      </w:r>
      <w:r>
        <w:rPr>
          <w:rFonts w:ascii="仿宋" w:hAnsi="仿宋" w:eastAsia="仿宋"/>
          <w:sz w:val="28"/>
          <w:szCs w:val="28"/>
        </w:rPr>
        <w:fldChar w:fldCharType="end"/>
      </w:r>
      <w:r>
        <w:rPr>
          <w:rFonts w:hint="eastAsia" w:ascii="仿宋" w:hAnsi="仿宋" w:eastAsia="仿宋"/>
          <w:sz w:val="28"/>
          <w:szCs w:val="28"/>
          <w:lang w:val="en-US" w:eastAsia="zh-CN"/>
        </w:rPr>
        <w:t>0</w:t>
      </w:r>
    </w:p>
    <w:p>
      <w:pPr>
        <w:pStyle w:val="11"/>
        <w:ind w:left="31680"/>
        <w:rPr>
          <w:rFonts w:hint="eastAsia" w:ascii="仿宋" w:hAnsi="仿宋" w:eastAsia="仿宋"/>
          <w:sz w:val="28"/>
          <w:szCs w:val="28"/>
          <w:lang w:val="en-US" w:eastAsia="zh-CN"/>
        </w:rPr>
      </w:pPr>
      <w:r>
        <w:rPr>
          <w:rFonts w:hint="eastAsia" w:ascii="仿宋" w:hAnsi="仿宋" w:eastAsia="仿宋"/>
          <w:sz w:val="28"/>
          <w:szCs w:val="28"/>
        </w:rPr>
        <w:t>三、</w:t>
      </w:r>
      <w:r>
        <w:fldChar w:fldCharType="begin"/>
      </w:r>
      <w:r>
        <w:instrText xml:space="preserve"> HYPERLINK \l "_Toc15396621" </w:instrText>
      </w:r>
      <w:r>
        <w:fldChar w:fldCharType="separate"/>
      </w:r>
      <w:r>
        <w:rPr>
          <w:rStyle w:val="14"/>
          <w:rFonts w:hint="eastAsia" w:ascii="仿宋" w:hAnsi="仿宋" w:eastAsia="仿宋"/>
          <w:sz w:val="28"/>
          <w:szCs w:val="28"/>
        </w:rPr>
        <w:t>支出总表</w:t>
      </w:r>
      <w:r>
        <w:rPr>
          <w:rFonts w:ascii="仿宋" w:hAnsi="仿宋" w:eastAsia="仿宋"/>
          <w:sz w:val="28"/>
          <w:szCs w:val="28"/>
        </w:rPr>
        <w:tab/>
      </w:r>
      <w:r>
        <w:rPr>
          <w:rFonts w:hint="eastAsia" w:ascii="仿宋" w:hAnsi="仿宋" w:eastAsia="仿宋"/>
          <w:sz w:val="28"/>
          <w:szCs w:val="28"/>
          <w:lang w:val="en-US" w:eastAsia="zh-CN"/>
        </w:rPr>
        <w:t>2</w:t>
      </w:r>
      <w:r>
        <w:rPr>
          <w:rFonts w:ascii="仿宋" w:hAnsi="仿宋" w:eastAsia="仿宋"/>
          <w:sz w:val="28"/>
          <w:szCs w:val="28"/>
        </w:rPr>
        <w:fldChar w:fldCharType="end"/>
      </w:r>
      <w:r>
        <w:rPr>
          <w:rFonts w:hint="eastAsia" w:ascii="仿宋" w:hAnsi="仿宋" w:eastAsia="仿宋"/>
          <w:sz w:val="28"/>
          <w:szCs w:val="28"/>
          <w:lang w:val="en-US" w:eastAsia="zh-CN"/>
        </w:rPr>
        <w:t>0</w:t>
      </w:r>
    </w:p>
    <w:p>
      <w:pPr>
        <w:pStyle w:val="11"/>
        <w:ind w:left="31680"/>
        <w:rPr>
          <w:rFonts w:hint="eastAsia" w:ascii="仿宋" w:hAnsi="仿宋" w:eastAsia="仿宋"/>
          <w:sz w:val="28"/>
          <w:szCs w:val="28"/>
          <w:lang w:val="en-US" w:eastAsia="zh-CN"/>
        </w:rPr>
      </w:pPr>
      <w:r>
        <w:rPr>
          <w:rFonts w:hint="eastAsia" w:ascii="仿宋" w:hAnsi="仿宋" w:eastAsia="仿宋"/>
          <w:sz w:val="28"/>
          <w:szCs w:val="28"/>
        </w:rPr>
        <w:t>四、</w:t>
      </w:r>
      <w:r>
        <w:fldChar w:fldCharType="begin"/>
      </w:r>
      <w:r>
        <w:instrText xml:space="preserve"> HYPERLINK \l "_Toc15396622" </w:instrText>
      </w:r>
      <w:r>
        <w:fldChar w:fldCharType="separate"/>
      </w:r>
      <w:r>
        <w:rPr>
          <w:rStyle w:val="14"/>
          <w:rFonts w:hint="eastAsia" w:ascii="仿宋" w:hAnsi="仿宋" w:eastAsia="仿宋"/>
          <w:sz w:val="28"/>
          <w:szCs w:val="28"/>
        </w:rPr>
        <w:t>财政拨款收入支出决算总表</w:t>
      </w:r>
      <w:r>
        <w:rPr>
          <w:rFonts w:ascii="仿宋" w:hAnsi="仿宋" w:eastAsia="仿宋"/>
          <w:sz w:val="28"/>
          <w:szCs w:val="28"/>
        </w:rPr>
        <w:tab/>
      </w:r>
      <w:r>
        <w:rPr>
          <w:rFonts w:hint="eastAsia" w:ascii="仿宋" w:hAnsi="仿宋" w:eastAsia="仿宋"/>
          <w:sz w:val="28"/>
          <w:szCs w:val="28"/>
          <w:lang w:val="en-US" w:eastAsia="zh-CN"/>
        </w:rPr>
        <w:t>2</w:t>
      </w:r>
      <w:r>
        <w:rPr>
          <w:rFonts w:ascii="仿宋" w:hAnsi="仿宋" w:eastAsia="仿宋"/>
          <w:sz w:val="28"/>
          <w:szCs w:val="28"/>
        </w:rPr>
        <w:fldChar w:fldCharType="end"/>
      </w:r>
      <w:r>
        <w:rPr>
          <w:rFonts w:hint="eastAsia" w:ascii="仿宋" w:hAnsi="仿宋" w:eastAsia="仿宋"/>
          <w:sz w:val="28"/>
          <w:szCs w:val="28"/>
          <w:lang w:val="en-US" w:eastAsia="zh-CN"/>
        </w:rPr>
        <w:t>0</w:t>
      </w:r>
    </w:p>
    <w:p>
      <w:pPr>
        <w:pStyle w:val="11"/>
        <w:ind w:left="31680"/>
        <w:rPr>
          <w:rFonts w:hint="eastAsia" w:ascii="仿宋" w:hAnsi="仿宋" w:eastAsia="仿宋"/>
          <w:sz w:val="28"/>
          <w:szCs w:val="28"/>
          <w:lang w:val="en-US" w:eastAsia="zh-CN"/>
        </w:rPr>
      </w:pPr>
      <w:r>
        <w:rPr>
          <w:rFonts w:hint="eastAsia" w:ascii="仿宋" w:hAnsi="仿宋" w:eastAsia="仿宋"/>
          <w:sz w:val="28"/>
          <w:szCs w:val="28"/>
        </w:rPr>
        <w:t>五、</w:t>
      </w:r>
      <w:r>
        <w:fldChar w:fldCharType="begin"/>
      </w:r>
      <w:r>
        <w:instrText xml:space="preserve"> HYPERLINK \l "_Toc15396623" </w:instrText>
      </w:r>
      <w:r>
        <w:fldChar w:fldCharType="separate"/>
      </w:r>
      <w:r>
        <w:rPr>
          <w:rFonts w:hint="eastAsia" w:ascii="仿宋" w:hAnsi="仿宋" w:eastAsia="仿宋"/>
          <w:sz w:val="28"/>
          <w:szCs w:val="28"/>
        </w:rPr>
        <w:t>财政拨款支出决算明细表（政府经济分类科目）</w:t>
      </w:r>
      <w:r>
        <w:rPr>
          <w:rFonts w:ascii="仿宋" w:hAnsi="仿宋" w:eastAsia="仿宋"/>
          <w:sz w:val="28"/>
          <w:szCs w:val="28"/>
        </w:rPr>
        <w:tab/>
      </w:r>
      <w:r>
        <w:rPr>
          <w:rFonts w:hint="eastAsia" w:ascii="仿宋" w:hAnsi="仿宋" w:eastAsia="仿宋"/>
          <w:sz w:val="28"/>
          <w:szCs w:val="28"/>
          <w:lang w:val="en-US" w:eastAsia="zh-CN"/>
        </w:rPr>
        <w:t>2</w:t>
      </w:r>
      <w:r>
        <w:rPr>
          <w:rFonts w:ascii="仿宋" w:hAnsi="仿宋" w:eastAsia="仿宋"/>
          <w:sz w:val="28"/>
          <w:szCs w:val="28"/>
        </w:rPr>
        <w:fldChar w:fldCharType="end"/>
      </w:r>
      <w:r>
        <w:rPr>
          <w:rFonts w:hint="eastAsia" w:ascii="仿宋" w:hAnsi="仿宋" w:eastAsia="仿宋"/>
          <w:sz w:val="28"/>
          <w:szCs w:val="28"/>
          <w:lang w:val="en-US" w:eastAsia="zh-CN"/>
        </w:rPr>
        <w:t>0</w:t>
      </w:r>
    </w:p>
    <w:p>
      <w:pPr>
        <w:pStyle w:val="11"/>
        <w:ind w:left="31680"/>
        <w:rPr>
          <w:rFonts w:hint="eastAsia" w:ascii="仿宋" w:hAnsi="仿宋" w:eastAsia="仿宋"/>
          <w:sz w:val="28"/>
          <w:szCs w:val="28"/>
          <w:lang w:val="en-US" w:eastAsia="zh-CN"/>
        </w:rPr>
      </w:pPr>
      <w:r>
        <w:rPr>
          <w:rFonts w:hint="eastAsia" w:ascii="仿宋" w:hAnsi="仿宋" w:eastAsia="仿宋"/>
          <w:sz w:val="28"/>
          <w:szCs w:val="28"/>
        </w:rPr>
        <w:t>六、</w:t>
      </w:r>
      <w:r>
        <w:fldChar w:fldCharType="begin"/>
      </w:r>
      <w:r>
        <w:instrText xml:space="preserve"> HYPERLINK \l "_Toc15396624" </w:instrText>
      </w:r>
      <w:r>
        <w:fldChar w:fldCharType="separate"/>
      </w:r>
      <w:r>
        <w:rPr>
          <w:rStyle w:val="14"/>
          <w:rFonts w:hint="eastAsia" w:ascii="仿宋" w:hAnsi="仿宋" w:eastAsia="仿宋"/>
          <w:sz w:val="28"/>
          <w:szCs w:val="28"/>
        </w:rPr>
        <w:t>一般公共预算财政拨款支出决算表</w:t>
      </w:r>
      <w:r>
        <w:rPr>
          <w:rFonts w:ascii="仿宋" w:hAnsi="仿宋" w:eastAsia="仿宋"/>
          <w:sz w:val="28"/>
          <w:szCs w:val="28"/>
        </w:rPr>
        <w:tab/>
      </w:r>
      <w:r>
        <w:rPr>
          <w:rFonts w:hint="eastAsia" w:ascii="仿宋" w:hAnsi="仿宋" w:eastAsia="仿宋"/>
          <w:sz w:val="28"/>
          <w:szCs w:val="28"/>
          <w:lang w:val="en-US" w:eastAsia="zh-CN"/>
        </w:rPr>
        <w:t>2</w:t>
      </w:r>
      <w:r>
        <w:rPr>
          <w:rFonts w:ascii="仿宋" w:hAnsi="仿宋" w:eastAsia="仿宋"/>
          <w:sz w:val="28"/>
          <w:szCs w:val="28"/>
        </w:rPr>
        <w:fldChar w:fldCharType="end"/>
      </w:r>
      <w:r>
        <w:rPr>
          <w:rFonts w:hint="eastAsia" w:ascii="仿宋" w:hAnsi="仿宋" w:eastAsia="仿宋"/>
          <w:sz w:val="28"/>
          <w:szCs w:val="28"/>
          <w:lang w:val="en-US" w:eastAsia="zh-CN"/>
        </w:rPr>
        <w:t>0</w:t>
      </w:r>
    </w:p>
    <w:p>
      <w:pPr>
        <w:pStyle w:val="11"/>
        <w:ind w:left="31680"/>
        <w:rPr>
          <w:rFonts w:hint="eastAsia" w:ascii="仿宋" w:hAnsi="仿宋" w:eastAsia="仿宋"/>
          <w:sz w:val="28"/>
          <w:szCs w:val="28"/>
          <w:lang w:val="en-US" w:eastAsia="zh-CN"/>
        </w:rPr>
      </w:pPr>
      <w:r>
        <w:rPr>
          <w:rFonts w:hint="eastAsia" w:ascii="仿宋" w:hAnsi="仿宋" w:eastAsia="仿宋"/>
          <w:sz w:val="28"/>
          <w:szCs w:val="28"/>
        </w:rPr>
        <w:t>七、</w:t>
      </w:r>
      <w:r>
        <w:fldChar w:fldCharType="begin"/>
      </w:r>
      <w:r>
        <w:instrText xml:space="preserve"> HYPERLINK \l "_Toc15396625" </w:instrText>
      </w:r>
      <w:r>
        <w:fldChar w:fldCharType="separate"/>
      </w:r>
      <w:r>
        <w:rPr>
          <w:rStyle w:val="14"/>
          <w:rFonts w:hint="eastAsia" w:ascii="仿宋" w:hAnsi="仿宋" w:eastAsia="仿宋"/>
          <w:sz w:val="28"/>
          <w:szCs w:val="28"/>
        </w:rPr>
        <w:t>一般公共预算财政拨款支出决算明细表</w:t>
      </w:r>
      <w:r>
        <w:rPr>
          <w:rFonts w:ascii="仿宋" w:hAnsi="仿宋" w:eastAsia="仿宋"/>
          <w:sz w:val="28"/>
          <w:szCs w:val="28"/>
        </w:rPr>
        <w:tab/>
      </w:r>
      <w:r>
        <w:rPr>
          <w:rFonts w:hint="eastAsia" w:ascii="仿宋" w:hAnsi="仿宋" w:eastAsia="仿宋"/>
          <w:sz w:val="28"/>
          <w:szCs w:val="28"/>
          <w:lang w:val="en-US" w:eastAsia="zh-CN"/>
        </w:rPr>
        <w:t>2</w:t>
      </w:r>
      <w:r>
        <w:rPr>
          <w:rFonts w:ascii="仿宋" w:hAnsi="仿宋" w:eastAsia="仿宋"/>
          <w:sz w:val="28"/>
          <w:szCs w:val="28"/>
        </w:rPr>
        <w:fldChar w:fldCharType="end"/>
      </w:r>
      <w:r>
        <w:rPr>
          <w:rFonts w:hint="eastAsia" w:ascii="仿宋" w:hAnsi="仿宋" w:eastAsia="仿宋"/>
          <w:sz w:val="28"/>
          <w:szCs w:val="28"/>
          <w:lang w:val="en-US" w:eastAsia="zh-CN"/>
        </w:rPr>
        <w:t>0</w:t>
      </w:r>
    </w:p>
    <w:p>
      <w:pPr>
        <w:pStyle w:val="11"/>
        <w:ind w:left="31680"/>
        <w:rPr>
          <w:rFonts w:hint="eastAsia" w:ascii="仿宋" w:hAnsi="仿宋" w:eastAsia="仿宋"/>
          <w:sz w:val="28"/>
          <w:szCs w:val="28"/>
          <w:lang w:val="en-US" w:eastAsia="zh-CN"/>
        </w:rPr>
      </w:pPr>
      <w:r>
        <w:rPr>
          <w:rFonts w:hint="eastAsia" w:ascii="仿宋" w:hAnsi="仿宋" w:eastAsia="仿宋"/>
          <w:sz w:val="28"/>
          <w:szCs w:val="28"/>
        </w:rPr>
        <w:t>八、</w:t>
      </w:r>
      <w:r>
        <w:fldChar w:fldCharType="begin"/>
      </w:r>
      <w:r>
        <w:instrText xml:space="preserve"> HYPERLINK \l "_Toc15396626" </w:instrText>
      </w:r>
      <w:r>
        <w:fldChar w:fldCharType="separate"/>
      </w:r>
      <w:r>
        <w:rPr>
          <w:rStyle w:val="14"/>
          <w:rFonts w:hint="eastAsia" w:ascii="仿宋" w:hAnsi="仿宋" w:eastAsia="仿宋"/>
          <w:sz w:val="28"/>
          <w:szCs w:val="28"/>
        </w:rPr>
        <w:t>一般公共预算财政拨款基本支出决算表</w:t>
      </w:r>
      <w:r>
        <w:rPr>
          <w:rFonts w:ascii="仿宋" w:hAnsi="仿宋" w:eastAsia="仿宋"/>
          <w:sz w:val="28"/>
          <w:szCs w:val="28"/>
        </w:rPr>
        <w:tab/>
      </w:r>
      <w:r>
        <w:rPr>
          <w:rFonts w:hint="eastAsia" w:ascii="仿宋" w:hAnsi="仿宋" w:eastAsia="仿宋"/>
          <w:sz w:val="28"/>
          <w:szCs w:val="28"/>
          <w:lang w:val="en-US" w:eastAsia="zh-CN"/>
        </w:rPr>
        <w:t>2</w:t>
      </w:r>
      <w:r>
        <w:rPr>
          <w:rFonts w:ascii="仿宋" w:hAnsi="仿宋" w:eastAsia="仿宋"/>
          <w:sz w:val="28"/>
          <w:szCs w:val="28"/>
        </w:rPr>
        <w:fldChar w:fldCharType="end"/>
      </w:r>
      <w:r>
        <w:rPr>
          <w:rFonts w:hint="eastAsia" w:ascii="仿宋" w:hAnsi="仿宋" w:eastAsia="仿宋"/>
          <w:sz w:val="28"/>
          <w:szCs w:val="28"/>
          <w:lang w:val="en-US" w:eastAsia="zh-CN"/>
        </w:rPr>
        <w:t>0</w:t>
      </w:r>
    </w:p>
    <w:p>
      <w:pPr>
        <w:pStyle w:val="11"/>
        <w:ind w:left="31680"/>
        <w:rPr>
          <w:rFonts w:hint="eastAsia" w:ascii="仿宋" w:hAnsi="仿宋" w:eastAsia="仿宋"/>
          <w:sz w:val="28"/>
          <w:szCs w:val="28"/>
          <w:lang w:val="en-US" w:eastAsia="zh-CN"/>
        </w:rPr>
      </w:pPr>
      <w:r>
        <w:rPr>
          <w:rFonts w:hint="eastAsia" w:ascii="仿宋" w:hAnsi="仿宋" w:eastAsia="仿宋"/>
          <w:sz w:val="28"/>
          <w:szCs w:val="28"/>
        </w:rPr>
        <w:t>九、</w:t>
      </w:r>
      <w:r>
        <w:fldChar w:fldCharType="begin"/>
      </w:r>
      <w:r>
        <w:instrText xml:space="preserve"> HYPERLINK \l "_Toc15396627" </w:instrText>
      </w:r>
      <w:r>
        <w:fldChar w:fldCharType="separate"/>
      </w:r>
      <w:r>
        <w:rPr>
          <w:rStyle w:val="14"/>
          <w:rFonts w:hint="eastAsia" w:ascii="仿宋" w:hAnsi="仿宋" w:eastAsia="仿宋"/>
          <w:sz w:val="28"/>
          <w:szCs w:val="28"/>
        </w:rPr>
        <w:t>一般公共预算财政拨款项目支出决算表</w:t>
      </w:r>
      <w:r>
        <w:rPr>
          <w:rFonts w:ascii="仿宋" w:hAnsi="仿宋" w:eastAsia="仿宋"/>
          <w:sz w:val="28"/>
          <w:szCs w:val="28"/>
        </w:rPr>
        <w:tab/>
      </w:r>
      <w:r>
        <w:rPr>
          <w:rFonts w:hint="eastAsia" w:ascii="仿宋" w:hAnsi="仿宋" w:eastAsia="仿宋"/>
          <w:sz w:val="28"/>
          <w:szCs w:val="28"/>
          <w:lang w:val="en-US" w:eastAsia="zh-CN"/>
        </w:rPr>
        <w:t>2</w:t>
      </w:r>
      <w:r>
        <w:rPr>
          <w:rFonts w:ascii="仿宋" w:hAnsi="仿宋" w:eastAsia="仿宋"/>
          <w:sz w:val="28"/>
          <w:szCs w:val="28"/>
        </w:rPr>
        <w:fldChar w:fldCharType="end"/>
      </w:r>
      <w:r>
        <w:rPr>
          <w:rFonts w:hint="eastAsia" w:ascii="仿宋" w:hAnsi="仿宋" w:eastAsia="仿宋"/>
          <w:sz w:val="28"/>
          <w:szCs w:val="28"/>
          <w:lang w:val="en-US" w:eastAsia="zh-CN"/>
        </w:rPr>
        <w:t>0</w:t>
      </w:r>
    </w:p>
    <w:p>
      <w:pPr>
        <w:pStyle w:val="11"/>
        <w:ind w:left="31680"/>
        <w:rPr>
          <w:rFonts w:hint="eastAsia" w:ascii="仿宋" w:hAnsi="仿宋" w:eastAsia="仿宋"/>
          <w:sz w:val="28"/>
          <w:szCs w:val="28"/>
          <w:lang w:val="en-US" w:eastAsia="zh-CN"/>
        </w:rPr>
      </w:pPr>
      <w:r>
        <w:rPr>
          <w:rFonts w:hint="eastAsia" w:ascii="仿宋" w:hAnsi="仿宋" w:eastAsia="仿宋"/>
          <w:sz w:val="28"/>
          <w:szCs w:val="28"/>
        </w:rPr>
        <w:t>十、</w:t>
      </w:r>
      <w:r>
        <w:fldChar w:fldCharType="begin"/>
      </w:r>
      <w:r>
        <w:instrText xml:space="preserve"> HYPERLINK \l "_Toc15396628" </w:instrText>
      </w:r>
      <w:r>
        <w:fldChar w:fldCharType="separate"/>
      </w:r>
      <w:r>
        <w:rPr>
          <w:rStyle w:val="14"/>
          <w:rFonts w:hint="eastAsia" w:ascii="仿宋" w:hAnsi="仿宋" w:eastAsia="仿宋"/>
          <w:sz w:val="28"/>
          <w:szCs w:val="28"/>
        </w:rPr>
        <w:t>一般公共预算财政拨款“三公”经费支出决算表</w:t>
      </w:r>
      <w:r>
        <w:rPr>
          <w:rFonts w:ascii="仿宋" w:hAnsi="仿宋" w:eastAsia="仿宋"/>
          <w:sz w:val="28"/>
          <w:szCs w:val="28"/>
        </w:rPr>
        <w:tab/>
      </w:r>
      <w:r>
        <w:rPr>
          <w:rFonts w:hint="eastAsia" w:ascii="仿宋" w:hAnsi="仿宋" w:eastAsia="仿宋"/>
          <w:sz w:val="28"/>
          <w:szCs w:val="28"/>
          <w:lang w:val="en-US" w:eastAsia="zh-CN"/>
        </w:rPr>
        <w:t>2</w:t>
      </w:r>
      <w:r>
        <w:rPr>
          <w:rFonts w:ascii="仿宋" w:hAnsi="仿宋" w:eastAsia="仿宋"/>
          <w:sz w:val="28"/>
          <w:szCs w:val="28"/>
        </w:rPr>
        <w:fldChar w:fldCharType="end"/>
      </w:r>
      <w:r>
        <w:rPr>
          <w:rFonts w:hint="eastAsia" w:ascii="仿宋" w:hAnsi="仿宋" w:eastAsia="仿宋"/>
          <w:sz w:val="28"/>
          <w:szCs w:val="28"/>
          <w:lang w:val="en-US" w:eastAsia="zh-CN"/>
        </w:rPr>
        <w:t>0</w:t>
      </w:r>
    </w:p>
    <w:p>
      <w:pPr>
        <w:pStyle w:val="11"/>
        <w:ind w:left="31680"/>
        <w:rPr>
          <w:rFonts w:hint="eastAsia" w:ascii="仿宋" w:hAnsi="仿宋" w:eastAsia="仿宋"/>
          <w:sz w:val="28"/>
          <w:szCs w:val="28"/>
          <w:lang w:val="en-US" w:eastAsia="zh-CN"/>
        </w:rPr>
      </w:pPr>
      <w:r>
        <w:rPr>
          <w:rFonts w:hint="eastAsia" w:ascii="仿宋" w:hAnsi="仿宋" w:eastAsia="仿宋"/>
          <w:sz w:val="28"/>
          <w:szCs w:val="28"/>
        </w:rPr>
        <w:t>十一、</w:t>
      </w:r>
      <w:r>
        <w:fldChar w:fldCharType="begin"/>
      </w:r>
      <w:r>
        <w:instrText xml:space="preserve"> HYPERLINK \l "_Toc15396629" </w:instrText>
      </w:r>
      <w:r>
        <w:fldChar w:fldCharType="separate"/>
      </w:r>
      <w:r>
        <w:rPr>
          <w:rStyle w:val="14"/>
          <w:rFonts w:hint="eastAsia" w:ascii="仿宋" w:hAnsi="仿宋" w:eastAsia="仿宋"/>
          <w:sz w:val="28"/>
          <w:szCs w:val="28"/>
        </w:rPr>
        <w:t>政府性基金预算财政拨款收入支出决算表</w:t>
      </w:r>
      <w:r>
        <w:rPr>
          <w:rFonts w:ascii="仿宋" w:hAnsi="仿宋" w:eastAsia="仿宋"/>
          <w:sz w:val="28"/>
          <w:szCs w:val="28"/>
        </w:rPr>
        <w:tab/>
      </w:r>
      <w:r>
        <w:rPr>
          <w:rFonts w:hint="eastAsia" w:ascii="仿宋" w:hAnsi="仿宋" w:eastAsia="仿宋"/>
          <w:sz w:val="28"/>
          <w:szCs w:val="28"/>
          <w:lang w:val="en-US" w:eastAsia="zh-CN"/>
        </w:rPr>
        <w:t>2</w:t>
      </w:r>
      <w:r>
        <w:rPr>
          <w:rFonts w:ascii="仿宋" w:hAnsi="仿宋" w:eastAsia="仿宋"/>
          <w:sz w:val="28"/>
          <w:szCs w:val="28"/>
        </w:rPr>
        <w:fldChar w:fldCharType="end"/>
      </w:r>
      <w:r>
        <w:rPr>
          <w:rFonts w:hint="eastAsia" w:ascii="仿宋" w:hAnsi="仿宋" w:eastAsia="仿宋"/>
          <w:sz w:val="28"/>
          <w:szCs w:val="28"/>
          <w:lang w:val="en-US" w:eastAsia="zh-CN"/>
        </w:rPr>
        <w:t>0</w:t>
      </w:r>
    </w:p>
    <w:p>
      <w:pPr>
        <w:pStyle w:val="11"/>
        <w:ind w:left="31680"/>
        <w:rPr>
          <w:rFonts w:hint="eastAsia" w:ascii="仿宋" w:hAnsi="仿宋" w:eastAsia="仿宋"/>
          <w:sz w:val="28"/>
          <w:szCs w:val="28"/>
          <w:lang w:val="en-US" w:eastAsia="zh-CN"/>
        </w:rPr>
      </w:pPr>
      <w:r>
        <w:rPr>
          <w:rFonts w:hint="eastAsia" w:ascii="仿宋" w:hAnsi="仿宋" w:eastAsia="仿宋"/>
          <w:sz w:val="28"/>
          <w:szCs w:val="28"/>
        </w:rPr>
        <w:t>十二、</w:t>
      </w:r>
      <w:r>
        <w:fldChar w:fldCharType="begin"/>
      </w:r>
      <w:r>
        <w:instrText xml:space="preserve"> HYPERLINK \l "_Toc15396630" </w:instrText>
      </w:r>
      <w:r>
        <w:fldChar w:fldCharType="separate"/>
      </w:r>
      <w:r>
        <w:rPr>
          <w:rStyle w:val="14"/>
          <w:rFonts w:hint="eastAsia" w:ascii="仿宋" w:hAnsi="仿宋" w:eastAsia="仿宋"/>
          <w:sz w:val="28"/>
          <w:szCs w:val="28"/>
        </w:rPr>
        <w:t>政府性基金预算财政拨款“三公”经费支出决</w:t>
      </w:r>
      <w:r>
        <w:rPr>
          <w:rStyle w:val="14"/>
          <w:rFonts w:hint="eastAsia" w:ascii="仿宋_GB2312" w:hAnsi="仿宋_GB2312" w:eastAsia="仿宋_GB2312" w:cs="仿宋_GB2312"/>
          <w:sz w:val="28"/>
          <w:szCs w:val="28"/>
        </w:rPr>
        <w:t>算</w:t>
      </w:r>
      <w:r>
        <w:rPr>
          <w:rStyle w:val="14"/>
          <w:rFonts w:hint="eastAsia" w:ascii="仿宋" w:hAnsi="仿宋" w:eastAsia="仿宋"/>
          <w:sz w:val="28"/>
          <w:szCs w:val="28"/>
        </w:rPr>
        <w:t>表</w:t>
      </w:r>
      <w:r>
        <w:rPr>
          <w:rFonts w:ascii="仿宋" w:hAnsi="仿宋" w:eastAsia="仿宋"/>
          <w:sz w:val="28"/>
          <w:szCs w:val="28"/>
        </w:rPr>
        <w:tab/>
      </w:r>
      <w:r>
        <w:rPr>
          <w:rFonts w:hint="eastAsia" w:ascii="仿宋" w:hAnsi="仿宋" w:eastAsia="仿宋"/>
          <w:sz w:val="28"/>
          <w:szCs w:val="28"/>
          <w:lang w:val="en-US" w:eastAsia="zh-CN"/>
        </w:rPr>
        <w:t>2</w:t>
      </w:r>
      <w:r>
        <w:rPr>
          <w:rFonts w:ascii="仿宋" w:hAnsi="仿宋" w:eastAsia="仿宋"/>
          <w:sz w:val="28"/>
          <w:szCs w:val="28"/>
        </w:rPr>
        <w:fldChar w:fldCharType="end"/>
      </w:r>
      <w:r>
        <w:rPr>
          <w:rFonts w:hint="eastAsia" w:ascii="仿宋" w:hAnsi="仿宋" w:eastAsia="仿宋"/>
          <w:sz w:val="28"/>
          <w:szCs w:val="28"/>
          <w:lang w:val="en-US" w:eastAsia="zh-CN"/>
        </w:rPr>
        <w:t>0</w:t>
      </w:r>
    </w:p>
    <w:p>
      <w:pPr>
        <w:pStyle w:val="11"/>
        <w:ind w:left="31680"/>
        <w:rPr>
          <w:rFonts w:hint="eastAsia" w:ascii="仿宋" w:hAnsi="仿宋" w:eastAsia="仿宋"/>
          <w:sz w:val="24"/>
          <w:lang w:val="en-US" w:eastAsia="zh-CN"/>
        </w:rPr>
      </w:pPr>
      <w:r>
        <w:rPr>
          <w:rFonts w:hint="eastAsia" w:ascii="仿宋" w:hAnsi="仿宋" w:eastAsia="仿宋"/>
          <w:sz w:val="28"/>
          <w:szCs w:val="28"/>
        </w:rPr>
        <w:t>十三、</w:t>
      </w:r>
      <w:r>
        <w:fldChar w:fldCharType="begin"/>
      </w:r>
      <w:r>
        <w:instrText xml:space="preserve"> HYPERLINK \l "_Toc15396631" </w:instrText>
      </w:r>
      <w:r>
        <w:fldChar w:fldCharType="separate"/>
      </w:r>
      <w:r>
        <w:rPr>
          <w:rStyle w:val="14"/>
          <w:rFonts w:hint="eastAsia" w:ascii="仿宋" w:hAnsi="仿宋" w:eastAsia="仿宋"/>
          <w:sz w:val="28"/>
          <w:szCs w:val="28"/>
        </w:rPr>
        <w:t>国有资本经营预算支出决算表</w:t>
      </w:r>
      <w:r>
        <w:rPr>
          <w:rFonts w:ascii="仿宋" w:hAnsi="仿宋" w:eastAsia="仿宋"/>
          <w:sz w:val="28"/>
          <w:szCs w:val="28"/>
        </w:rPr>
        <w:tab/>
      </w:r>
      <w:r>
        <w:rPr>
          <w:rFonts w:hint="eastAsia" w:ascii="仿宋" w:hAnsi="仿宋" w:eastAsia="仿宋"/>
          <w:sz w:val="28"/>
          <w:szCs w:val="28"/>
          <w:lang w:val="en-US" w:eastAsia="zh-CN"/>
        </w:rPr>
        <w:t>2</w:t>
      </w:r>
      <w:r>
        <w:rPr>
          <w:rFonts w:ascii="仿宋" w:hAnsi="仿宋" w:eastAsia="仿宋"/>
          <w:sz w:val="28"/>
          <w:szCs w:val="28"/>
        </w:rPr>
        <w:fldChar w:fldCharType="end"/>
      </w:r>
      <w:r>
        <w:rPr>
          <w:rFonts w:hint="eastAsia" w:ascii="仿宋" w:hAnsi="仿宋" w:eastAsia="仿宋"/>
          <w:sz w:val="28"/>
          <w:szCs w:val="28"/>
          <w:lang w:val="en-US" w:eastAsia="zh-CN"/>
        </w:rPr>
        <w:t>0</w:t>
      </w:r>
    </w:p>
    <w:p>
      <w:pPr>
        <w:widowControl/>
        <w:jc w:val="left"/>
        <w:rPr>
          <w:rFonts w:ascii="仿宋" w:hAnsi="仿宋" w:eastAsia="仿宋"/>
          <w:color w:val="000000"/>
          <w:sz w:val="24"/>
        </w:rPr>
      </w:pPr>
      <w:r>
        <w:rPr>
          <w:rFonts w:ascii="黑体" w:hAnsi="黑体" w:eastAsia="黑体"/>
          <w:color w:val="000000"/>
          <w:sz w:val="48"/>
          <w:szCs w:val="48"/>
        </w:rPr>
        <w:fldChar w:fldCharType="end"/>
      </w:r>
    </w:p>
    <w:p>
      <w:pPr>
        <w:widowControl/>
        <w:jc w:val="left"/>
        <w:rPr>
          <w:rFonts w:ascii="黑体" w:hAnsi="黑体" w:eastAsia="黑体"/>
          <w:bCs/>
          <w:kern w:val="44"/>
          <w:sz w:val="44"/>
          <w:szCs w:val="44"/>
        </w:rPr>
      </w:pPr>
      <w:bookmarkStart w:id="12" w:name="_Toc15396599"/>
      <w:bookmarkStart w:id="13" w:name="_Toc15377196"/>
    </w:p>
    <w:p>
      <w:pPr>
        <w:widowControl/>
        <w:jc w:val="left"/>
        <w:rPr>
          <w:rFonts w:ascii="黑体" w:hAnsi="黑体" w:eastAsia="黑体"/>
          <w:bCs/>
          <w:kern w:val="44"/>
          <w:sz w:val="44"/>
          <w:szCs w:val="44"/>
        </w:rPr>
      </w:pPr>
    </w:p>
    <w:p>
      <w:pPr>
        <w:widowControl/>
        <w:jc w:val="left"/>
        <w:rPr>
          <w:rFonts w:ascii="黑体" w:hAnsi="黑体" w:eastAsia="黑体"/>
          <w:bCs/>
          <w:kern w:val="44"/>
          <w:sz w:val="44"/>
          <w:szCs w:val="44"/>
        </w:rPr>
      </w:pPr>
    </w:p>
    <w:p>
      <w:pPr>
        <w:widowControl/>
        <w:jc w:val="left"/>
        <w:rPr>
          <w:rFonts w:ascii="黑体" w:hAnsi="黑体" w:eastAsia="黑体"/>
          <w:bCs/>
          <w:kern w:val="44"/>
          <w:sz w:val="44"/>
          <w:szCs w:val="44"/>
        </w:rPr>
      </w:pPr>
    </w:p>
    <w:p>
      <w:pPr>
        <w:widowControl/>
        <w:jc w:val="center"/>
        <w:rPr>
          <w:rFonts w:ascii="黑体" w:hAnsi="黑体" w:eastAsia="黑体"/>
        </w:rPr>
      </w:pPr>
    </w:p>
    <w:p>
      <w:pPr>
        <w:widowControl/>
        <w:jc w:val="center"/>
        <w:rPr>
          <w:rFonts w:ascii="黑体" w:hAnsi="黑体" w:eastAsia="黑体"/>
        </w:rPr>
      </w:pPr>
    </w:p>
    <w:p>
      <w:pPr>
        <w:widowControl/>
        <w:jc w:val="center"/>
        <w:rPr>
          <w:rFonts w:ascii="黑体" w:hAnsi="黑体" w:eastAsia="黑体"/>
        </w:rPr>
      </w:pPr>
    </w:p>
    <w:p>
      <w:pPr>
        <w:widowControl/>
        <w:jc w:val="center"/>
        <w:rPr>
          <w:rFonts w:ascii="黑体" w:hAnsi="黑体" w:eastAsia="黑体"/>
        </w:rPr>
      </w:pPr>
    </w:p>
    <w:p>
      <w:pPr>
        <w:adjustRightInd w:val="0"/>
        <w:snapToGrid w:val="0"/>
        <w:spacing w:line="360" w:lineRule="auto"/>
        <w:jc w:val="center"/>
        <w:outlineLvl w:val="0"/>
        <w:rPr>
          <w:rFonts w:ascii="黑体" w:hAnsi="黑体" w:eastAsia="黑体"/>
          <w:sz w:val="44"/>
          <w:szCs w:val="44"/>
        </w:rPr>
      </w:pPr>
    </w:p>
    <w:p>
      <w:pPr>
        <w:adjustRightInd w:val="0"/>
        <w:snapToGrid w:val="0"/>
        <w:spacing w:line="360" w:lineRule="auto"/>
        <w:jc w:val="center"/>
        <w:outlineLvl w:val="0"/>
        <w:rPr>
          <w:rFonts w:hint="eastAsia" w:ascii="黑体" w:hAnsi="黑体" w:eastAsia="黑体"/>
          <w:sz w:val="44"/>
          <w:szCs w:val="44"/>
        </w:rPr>
      </w:pPr>
    </w:p>
    <w:p>
      <w:pPr>
        <w:adjustRightInd w:val="0"/>
        <w:snapToGrid w:val="0"/>
        <w:spacing w:line="360" w:lineRule="auto"/>
        <w:jc w:val="center"/>
        <w:outlineLvl w:val="0"/>
        <w:rPr>
          <w:rFonts w:hint="eastAsia" w:ascii="黑体" w:hAnsi="黑体" w:eastAsia="黑体"/>
          <w:sz w:val="44"/>
          <w:szCs w:val="44"/>
        </w:rPr>
      </w:pPr>
    </w:p>
    <w:p>
      <w:pPr>
        <w:adjustRightInd w:val="0"/>
        <w:snapToGrid w:val="0"/>
        <w:spacing w:line="360" w:lineRule="auto"/>
        <w:jc w:val="center"/>
        <w:outlineLvl w:val="0"/>
        <w:rPr>
          <w:rFonts w:ascii="黑体" w:hAnsi="黑体" w:eastAsia="黑体"/>
          <w:color w:val="000000"/>
          <w:sz w:val="48"/>
          <w:szCs w:val="48"/>
        </w:rPr>
      </w:pPr>
      <w:r>
        <w:rPr>
          <w:rFonts w:hint="eastAsia" w:ascii="黑体" w:hAnsi="黑体" w:eastAsia="黑体"/>
          <w:sz w:val="44"/>
          <w:szCs w:val="44"/>
        </w:rPr>
        <w:t>第一部分</w:t>
      </w:r>
      <w:r>
        <w:rPr>
          <w:rFonts w:ascii="黑体" w:hAnsi="黑体" w:eastAsia="黑体"/>
          <w:sz w:val="44"/>
          <w:szCs w:val="44"/>
        </w:rPr>
        <w:t xml:space="preserve"> </w:t>
      </w:r>
      <w:r>
        <w:rPr>
          <w:rStyle w:val="16"/>
          <w:rFonts w:hint="eastAsia" w:ascii="黑体" w:hAnsi="黑体" w:eastAsia="黑体"/>
          <w:b w:val="0"/>
          <w:bCs w:val="0"/>
        </w:rPr>
        <w:t>部门概况</w:t>
      </w:r>
      <w:bookmarkEnd w:id="12"/>
      <w:bookmarkEnd w:id="13"/>
    </w:p>
    <w:p>
      <w:pPr>
        <w:pStyle w:val="3"/>
        <w:ind w:firstLine="640" w:firstLineChars="200"/>
        <w:rPr>
          <w:rFonts w:ascii="仿宋" w:hAnsi="仿宋" w:eastAsia="仿宋"/>
          <w:color w:val="000000"/>
        </w:rPr>
      </w:pPr>
      <w:bookmarkStart w:id="14" w:name="_Toc15396600"/>
      <w:bookmarkStart w:id="15" w:name="_Toc15377197"/>
      <w:r>
        <w:rPr>
          <w:rFonts w:hint="eastAsia" w:ascii="黑体" w:hAnsi="黑体" w:eastAsia="黑体"/>
          <w:b w:val="0"/>
          <w:color w:val="000000"/>
        </w:rPr>
        <w:t>一、基</w:t>
      </w:r>
      <w:r>
        <w:rPr>
          <w:rStyle w:val="17"/>
          <w:rFonts w:hint="eastAsia" w:ascii="黑体" w:hAnsi="黑体" w:eastAsia="黑体"/>
          <w:b w:val="0"/>
          <w:bCs w:val="0"/>
        </w:rPr>
        <w:t>本职能及主要工作</w:t>
      </w:r>
      <w:bookmarkEnd w:id="14"/>
      <w:bookmarkEnd w:id="15"/>
      <w:bookmarkStart w:id="16" w:name="_Toc15378445"/>
      <w:bookmarkStart w:id="17" w:name="_Toc15377198"/>
    </w:p>
    <w:p>
      <w:pPr>
        <w:spacing w:line="360" w:lineRule="auto"/>
        <w:ind w:firstLine="643" w:firstLineChars="200"/>
        <w:rPr>
          <w:rFonts w:ascii="楷体_GB2312" w:hAnsi="仿宋" w:eastAsia="楷体_GB2312"/>
          <w:b/>
          <w:bCs/>
          <w:color w:val="000000"/>
          <w:sz w:val="32"/>
          <w:szCs w:val="32"/>
        </w:rPr>
      </w:pPr>
      <w:r>
        <w:rPr>
          <w:rFonts w:hint="eastAsia" w:ascii="楷体_GB2312" w:hAnsi="仿宋" w:eastAsia="楷体_GB2312"/>
          <w:b/>
          <w:bCs/>
          <w:color w:val="000000"/>
          <w:sz w:val="32"/>
          <w:szCs w:val="32"/>
        </w:rPr>
        <w:t>（一）基本职能</w:t>
      </w:r>
      <w:bookmarkEnd w:id="16"/>
      <w:bookmarkEnd w:id="17"/>
    </w:p>
    <w:p>
      <w:pPr>
        <w:spacing w:line="600" w:lineRule="exact"/>
        <w:ind w:firstLine="640" w:firstLineChars="200"/>
        <w:outlineLvl w:val="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茂县国有资产管理中心是</w:t>
      </w:r>
      <w:bookmarkStart w:id="18" w:name="_Toc15377199"/>
      <w:bookmarkStart w:id="19" w:name="_Toc15378446"/>
      <w:r>
        <w:rPr>
          <w:rFonts w:hint="eastAsia" w:ascii="仿宋_GB2312" w:hAnsi="仿宋_GB2312" w:eastAsia="仿宋_GB2312" w:cs="仿宋_GB2312"/>
          <w:sz w:val="32"/>
          <w:szCs w:val="32"/>
          <w:lang w:eastAsia="zh-CN"/>
        </w:rPr>
        <w:t>代表县人民政府对监管企业依法履行出资人职责</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负责指导县属国有企业改革和管理，加</w:t>
      </w:r>
      <w:r>
        <w:rPr>
          <w:rFonts w:hint="eastAsia" w:ascii="仿宋_GB2312" w:hAnsi="仿宋_GB2312" w:eastAsia="仿宋_GB2312" w:cs="仿宋_GB2312"/>
          <w:sz w:val="32"/>
          <w:szCs w:val="32"/>
        </w:rPr>
        <w:t>强全县国有企业改革和管理的宏观指导</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负责对所监管企业负责人进行考核、任免并对其经营业绩进行奖惩</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承担监督所监管企业国有资产保值增值指标体系，制定考核标准</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负责所监管企业工资分配管理工作，制定所监管企业负责人收入分配政策并组织实施</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承办县委和县政府交办的其他工作。</w:t>
      </w:r>
    </w:p>
    <w:p>
      <w:pPr>
        <w:spacing w:line="600" w:lineRule="exact"/>
        <w:ind w:firstLine="643" w:firstLineChars="200"/>
        <w:outlineLvl w:val="1"/>
        <w:rPr>
          <w:rStyle w:val="17"/>
          <w:rFonts w:ascii="楷体_GB2312" w:hAnsi="仿宋" w:eastAsia="楷体_GB2312"/>
          <w:color w:val="000000"/>
        </w:rPr>
      </w:pPr>
      <w:r>
        <w:rPr>
          <w:rFonts w:hint="eastAsia" w:ascii="楷体_GB2312" w:hAnsi="仿宋" w:eastAsia="楷体_GB2312"/>
          <w:b/>
          <w:bCs/>
          <w:color w:val="000000"/>
          <w:sz w:val="32"/>
          <w:szCs w:val="32"/>
        </w:rPr>
        <w:t>（二）</w:t>
      </w:r>
      <w:r>
        <w:rPr>
          <w:rFonts w:ascii="楷体_GB2312" w:hAnsi="仿宋" w:eastAsia="楷体_GB2312"/>
          <w:b/>
          <w:bCs/>
          <w:color w:val="000000"/>
          <w:sz w:val="32"/>
          <w:szCs w:val="32"/>
        </w:rPr>
        <w:t>201</w:t>
      </w:r>
      <w:r>
        <w:rPr>
          <w:rFonts w:hint="eastAsia" w:ascii="楷体_GB2312" w:hAnsi="仿宋" w:eastAsia="楷体_GB2312"/>
          <w:b/>
          <w:bCs/>
          <w:color w:val="000000"/>
          <w:sz w:val="32"/>
          <w:szCs w:val="32"/>
          <w:lang w:val="en-US" w:eastAsia="zh-CN"/>
        </w:rPr>
        <w:t>9</w:t>
      </w:r>
      <w:r>
        <w:rPr>
          <w:rFonts w:hint="eastAsia" w:ascii="楷体_GB2312" w:hAnsi="仿宋" w:eastAsia="楷体_GB2312"/>
          <w:b/>
          <w:bCs/>
          <w:color w:val="000000"/>
          <w:sz w:val="32"/>
          <w:szCs w:val="32"/>
        </w:rPr>
        <w:t>年重点工作完成情况</w:t>
      </w:r>
      <w:bookmarkEnd w:id="18"/>
      <w:bookmarkEnd w:id="19"/>
    </w:p>
    <w:p>
      <w:pPr>
        <w:spacing w:line="576" w:lineRule="exact"/>
        <w:ind w:firstLine="623" w:firstLineChars="200"/>
        <w:rPr>
          <w:rFonts w:ascii="仿宋_GB2312" w:hAnsi="仿宋" w:eastAsia="仿宋_GB2312" w:cs="仿宋"/>
          <w:color w:val="000000"/>
          <w:spacing w:val="-5"/>
          <w:sz w:val="32"/>
        </w:rPr>
      </w:pPr>
      <w:r>
        <w:rPr>
          <w:rFonts w:hint="eastAsia" w:ascii="仿宋_GB2312" w:hAnsi="仿宋" w:eastAsia="仿宋_GB2312" w:cs="仿宋"/>
          <w:b/>
          <w:bCs/>
          <w:color w:val="000000"/>
          <w:spacing w:val="-5"/>
          <w:sz w:val="32"/>
        </w:rPr>
        <w:t>一是进一步明确国有资产监管机构的职责定位和监管职能。</w:t>
      </w:r>
      <w:r>
        <w:rPr>
          <w:rFonts w:hint="eastAsia" w:ascii="仿宋_GB2312" w:hAnsi="仿宋" w:eastAsia="仿宋_GB2312" w:cs="仿宋"/>
          <w:color w:val="000000"/>
          <w:spacing w:val="-5"/>
          <w:sz w:val="32"/>
        </w:rPr>
        <w:t>县级国有资产监督管理机构代表县级人民政府对监管企业依法履行出资人职责，并遵循《公司法》和以管资本为主的原则，不干预企业自主经营权，确保国有资产出资人对出资企业依法享有资产收益、参与重大决策和选择管理者的权利，逐步推进国有资产出资人监管全覆盖。</w:t>
      </w:r>
      <w:r>
        <w:rPr>
          <w:rFonts w:hint="eastAsia" w:ascii="仿宋_GB2312" w:hAnsi="仿宋" w:eastAsia="仿宋_GB2312" w:cs="仿宋"/>
          <w:b/>
          <w:bCs/>
          <w:color w:val="000000"/>
          <w:spacing w:val="-5"/>
          <w:sz w:val="32"/>
        </w:rPr>
        <w:t>二是进一步明确国有资产监管机构与国有资本投资、运营公司关系。</w:t>
      </w:r>
      <w:r>
        <w:rPr>
          <w:rFonts w:hint="eastAsia" w:ascii="仿宋_GB2312" w:hAnsi="仿宋" w:eastAsia="仿宋_GB2312" w:cs="仿宋"/>
          <w:color w:val="000000"/>
          <w:spacing w:val="-5"/>
          <w:sz w:val="32"/>
        </w:rPr>
        <w:t>政府授权国有资产监管机构依法对国有资本投资、运营公司履行出资人职责。国有资产监管机构按照“一企一策”原则，明确对国有资本投资、运营公司授权的内容、范围和方式，依法落实国有资本投资、运营公司董事会职权。国有资本投资、运营公司作为国有资本市场化运作的专业平台，依法自主开展国有资本运作，维护股东合法权益，按照责权对应原则切实承担起国有资产保值增值责任。</w:t>
      </w:r>
      <w:r>
        <w:rPr>
          <w:rFonts w:hint="eastAsia" w:ascii="仿宋_GB2312" w:hAnsi="仿宋" w:eastAsia="仿宋_GB2312" w:cs="仿宋"/>
          <w:b/>
          <w:bCs/>
          <w:color w:val="000000"/>
          <w:spacing w:val="-5"/>
          <w:sz w:val="32"/>
        </w:rPr>
        <w:t>三是进一步突出国有资产监管重点。</w:t>
      </w:r>
      <w:r>
        <w:rPr>
          <w:rFonts w:hint="eastAsia" w:ascii="仿宋_GB2312" w:hAnsi="仿宋" w:eastAsia="仿宋_GB2312" w:cs="仿宋"/>
          <w:color w:val="000000"/>
          <w:spacing w:val="-5"/>
          <w:sz w:val="32"/>
        </w:rPr>
        <w:t>以管资本为重点，管好国有资本布局、规范资本运作、提高资本回报、维护资本安全，更好服务于国家战略目标，实现保值增值。以建立健全国有企业审计监督体系、违法违规经营责任追究体系、企业负责人经济责任审计体系、国有企业重大决策失误和失职渎职责任追究倒查机制为重点，着力加强党的领导和完善公司治理的统一，不断优化公司法人治理结构。</w:t>
      </w:r>
      <w:r>
        <w:rPr>
          <w:rFonts w:hint="eastAsia" w:ascii="仿宋_GB2312" w:hAnsi="仿宋" w:eastAsia="仿宋_GB2312" w:cs="仿宋"/>
          <w:b/>
          <w:bCs/>
          <w:color w:val="000000"/>
          <w:spacing w:val="-5"/>
          <w:sz w:val="32"/>
        </w:rPr>
        <w:t>四是进一步完善国有资产监管形式。</w:t>
      </w:r>
      <w:r>
        <w:rPr>
          <w:rFonts w:hint="eastAsia" w:ascii="仿宋_GB2312" w:hAnsi="仿宋" w:eastAsia="仿宋_GB2312" w:cs="仿宋"/>
          <w:color w:val="000000"/>
          <w:spacing w:val="-5"/>
          <w:sz w:val="32"/>
        </w:rPr>
        <w:t>按照“事前规范制度、事中加强监控、事后强化问责”的原则，更多运用法治化、市场化的监管方式，切实减少出资人审批核准事项，改变行政化管理方式。通过《公司章程》规范董事会运作，严格选派和管理公司的董事及监事，将国有出资人意志有效体现在公司治理结构中。针对企业不同功能定位，在战略规划制定、资本运作模式、人员选用机制、经营业绩考核等方面，实施更加精准有效的分类监管，提高监管效率。</w:t>
      </w:r>
    </w:p>
    <w:p>
      <w:pPr>
        <w:spacing w:line="600" w:lineRule="exact"/>
        <w:ind w:firstLine="640" w:firstLineChars="200"/>
        <w:outlineLvl w:val="1"/>
        <w:rPr>
          <w:rStyle w:val="17"/>
          <w:rFonts w:ascii="黑体" w:hAnsi="黑体" w:eastAsia="黑体"/>
          <w:b w:val="0"/>
        </w:rPr>
      </w:pPr>
      <w:bookmarkStart w:id="20" w:name="_Toc15377200"/>
      <w:bookmarkStart w:id="21" w:name="_Toc15396601"/>
      <w:r>
        <w:rPr>
          <w:rFonts w:hint="eastAsia" w:ascii="黑体" w:hAnsi="仿宋_GB2312" w:eastAsia="黑体" w:cs="仿宋_GB2312"/>
          <w:sz w:val="32"/>
          <w:szCs w:val="32"/>
        </w:rPr>
        <w:t>二、</w:t>
      </w:r>
      <w:r>
        <w:rPr>
          <w:rFonts w:hint="eastAsia" w:ascii="黑体" w:hAnsi="黑体" w:eastAsia="黑体"/>
          <w:color w:val="000000"/>
          <w:sz w:val="32"/>
          <w:szCs w:val="32"/>
        </w:rPr>
        <w:t>机</w:t>
      </w:r>
      <w:r>
        <w:rPr>
          <w:rStyle w:val="17"/>
          <w:rFonts w:hint="eastAsia" w:ascii="黑体" w:hAnsi="黑体" w:eastAsia="黑体"/>
          <w:b w:val="0"/>
        </w:rPr>
        <w:t>构设置</w:t>
      </w:r>
      <w:bookmarkEnd w:id="20"/>
      <w:bookmarkEnd w:id="21"/>
      <w:bookmarkStart w:id="22" w:name="_Toc15377204"/>
      <w:bookmarkStart w:id="23" w:name="_Toc15396602"/>
    </w:p>
    <w:p>
      <w:pPr>
        <w:spacing w:line="576" w:lineRule="exact"/>
        <w:ind w:firstLine="620" w:firstLineChars="200"/>
        <w:rPr>
          <w:rFonts w:hint="eastAsia" w:ascii="仿宋_GB2312" w:hAnsi="仿宋" w:eastAsia="仿宋_GB2312" w:cs="仿宋"/>
          <w:color w:val="000000"/>
          <w:spacing w:val="-5"/>
          <w:sz w:val="32"/>
        </w:rPr>
      </w:pPr>
      <w:r>
        <w:rPr>
          <w:rFonts w:hint="eastAsia" w:ascii="仿宋_GB2312" w:hAnsi="仿宋" w:eastAsia="仿宋_GB2312" w:cs="仿宋"/>
          <w:color w:val="000000"/>
          <w:spacing w:val="-5"/>
          <w:sz w:val="32"/>
        </w:rPr>
        <w:t>茂县国有资产管理中心属一级预算单位，下属二级预算单位0个，其中：参照公务员法管理的事业单位0个，其他事业单位0个。</w:t>
      </w:r>
    </w:p>
    <w:bookmarkEnd w:id="22"/>
    <w:bookmarkEnd w:id="23"/>
    <w:p>
      <w:pPr>
        <w:spacing w:line="576" w:lineRule="exact"/>
        <w:jc w:val="both"/>
        <w:rPr>
          <w:rStyle w:val="16"/>
          <w:rFonts w:hint="eastAsia" w:ascii="方正小标宋简体" w:hAnsi="方正小标宋简体" w:eastAsia="方正小标宋简体" w:cs="方正小标宋简体"/>
          <w:b w:val="0"/>
          <w:bCs w:val="0"/>
        </w:rPr>
      </w:pPr>
    </w:p>
    <w:p>
      <w:pPr>
        <w:spacing w:line="576" w:lineRule="exact"/>
        <w:jc w:val="both"/>
        <w:rPr>
          <w:rStyle w:val="16"/>
          <w:rFonts w:hint="eastAsia" w:ascii="方正小标宋简体" w:hAnsi="方正小标宋简体" w:eastAsia="方正小标宋简体" w:cs="方正小标宋简体"/>
          <w:b w:val="0"/>
          <w:bCs w:val="0"/>
        </w:rPr>
      </w:pPr>
    </w:p>
    <w:p>
      <w:pPr>
        <w:spacing w:line="576" w:lineRule="exact"/>
        <w:jc w:val="both"/>
        <w:rPr>
          <w:rStyle w:val="16"/>
          <w:rFonts w:hint="eastAsia" w:ascii="方正小标宋简体" w:hAnsi="方正小标宋简体" w:eastAsia="方正小标宋简体" w:cs="方正小标宋简体"/>
          <w:b w:val="0"/>
          <w:bCs w:val="0"/>
        </w:rPr>
      </w:pPr>
    </w:p>
    <w:p>
      <w:pPr>
        <w:spacing w:line="576" w:lineRule="exact"/>
        <w:jc w:val="both"/>
        <w:rPr>
          <w:rStyle w:val="16"/>
          <w:rFonts w:ascii="方正小标宋简体" w:hAnsi="方正小标宋简体" w:eastAsia="方正小标宋简体" w:cs="方正小标宋简体"/>
          <w:b w:val="0"/>
          <w:bCs w:val="0"/>
        </w:rPr>
      </w:pPr>
      <w:r>
        <w:rPr>
          <w:rStyle w:val="16"/>
          <w:rFonts w:hint="eastAsia" w:ascii="方正小标宋简体" w:hAnsi="方正小标宋简体" w:eastAsia="方正小标宋简体" w:cs="方正小标宋简体"/>
          <w:b w:val="0"/>
          <w:bCs w:val="0"/>
        </w:rPr>
        <w:t>第二部分</w:t>
      </w:r>
      <w:r>
        <w:rPr>
          <w:rStyle w:val="16"/>
          <w:rFonts w:ascii="方正小标宋简体" w:hAnsi="方正小标宋简体" w:eastAsia="方正小标宋简体" w:cs="方正小标宋简体"/>
          <w:b w:val="0"/>
          <w:bCs w:val="0"/>
        </w:rPr>
        <w:t xml:space="preserve">  201</w:t>
      </w:r>
      <w:r>
        <w:rPr>
          <w:rStyle w:val="16"/>
          <w:rFonts w:hint="eastAsia" w:ascii="方正小标宋简体" w:hAnsi="方正小标宋简体" w:eastAsia="方正小标宋简体" w:cs="方正小标宋简体"/>
          <w:b w:val="0"/>
          <w:bCs w:val="0"/>
          <w:lang w:val="en-US" w:eastAsia="zh-CN"/>
        </w:rPr>
        <w:t>9</w:t>
      </w:r>
      <w:r>
        <w:rPr>
          <w:rStyle w:val="16"/>
          <w:rFonts w:hint="eastAsia" w:ascii="方正小标宋简体" w:hAnsi="方正小标宋简体" w:eastAsia="方正小标宋简体" w:cs="方正小标宋简体"/>
          <w:b w:val="0"/>
          <w:bCs w:val="0"/>
        </w:rPr>
        <w:t>年度部门决算情况说明</w:t>
      </w:r>
    </w:p>
    <w:p/>
    <w:p>
      <w:pPr>
        <w:pStyle w:val="27"/>
        <w:numPr>
          <w:ilvl w:val="0"/>
          <w:numId w:val="1"/>
        </w:numPr>
        <w:spacing w:line="600" w:lineRule="exact"/>
        <w:ind w:firstLineChars="0"/>
        <w:outlineLvl w:val="1"/>
        <w:rPr>
          <w:rStyle w:val="17"/>
          <w:rFonts w:ascii="黑体" w:hAnsi="黑体" w:eastAsia="黑体"/>
          <w:b w:val="0"/>
        </w:rPr>
      </w:pPr>
      <w:bookmarkStart w:id="24" w:name="_Toc15396603"/>
      <w:bookmarkStart w:id="25" w:name="_Toc15377205"/>
      <w:r>
        <w:rPr>
          <w:rFonts w:hint="eastAsia" w:ascii="黑体" w:hAnsi="黑体" w:eastAsia="黑体"/>
          <w:color w:val="000000"/>
          <w:sz w:val="32"/>
          <w:szCs w:val="32"/>
        </w:rPr>
        <w:t>收</w:t>
      </w:r>
      <w:r>
        <w:rPr>
          <w:rStyle w:val="17"/>
          <w:rFonts w:hint="eastAsia" w:ascii="黑体" w:hAnsi="黑体" w:eastAsia="黑体"/>
          <w:b w:val="0"/>
        </w:rPr>
        <w:t>入支出决算总体情况说明</w:t>
      </w:r>
      <w:bookmarkEnd w:id="24"/>
      <w:bookmarkEnd w:id="25"/>
    </w:p>
    <w:p>
      <w:pPr>
        <w:spacing w:line="576" w:lineRule="exact"/>
        <w:ind w:firstLine="620" w:firstLineChars="200"/>
        <w:rPr>
          <w:rFonts w:hint="eastAsia" w:ascii="仿宋_GB2312" w:hAnsi="仿宋" w:eastAsia="仿宋_GB2312" w:cs="仿宋"/>
          <w:color w:val="000000"/>
          <w:spacing w:val="-5"/>
          <w:sz w:val="32"/>
          <w:lang w:val="en-US" w:eastAsia="zh-CN"/>
        </w:rPr>
      </w:pPr>
      <w:r>
        <w:rPr>
          <w:rFonts w:hint="eastAsia" w:ascii="仿宋_GB2312" w:hAnsi="仿宋" w:eastAsia="仿宋_GB2312" w:cs="仿宋"/>
          <w:color w:val="000000"/>
          <w:spacing w:val="-5"/>
          <w:sz w:val="32"/>
          <w:lang w:eastAsia="zh-CN"/>
        </w:rPr>
        <w:t>2019</w:t>
      </w:r>
      <w:r>
        <w:rPr>
          <w:rFonts w:hint="eastAsia" w:ascii="仿宋_GB2312" w:hAnsi="仿宋" w:eastAsia="仿宋_GB2312" w:cs="仿宋"/>
          <w:color w:val="000000"/>
          <w:spacing w:val="-5"/>
          <w:sz w:val="32"/>
        </w:rPr>
        <w:t>年度收、支总计</w:t>
      </w:r>
      <w:r>
        <w:rPr>
          <w:rFonts w:hint="eastAsia" w:ascii="仿宋_GB2312" w:hAnsi="仿宋" w:eastAsia="仿宋_GB2312" w:cs="仿宋"/>
          <w:color w:val="000000"/>
          <w:spacing w:val="-5"/>
          <w:sz w:val="32"/>
          <w:lang w:val="en-US" w:eastAsia="zh-CN"/>
        </w:rPr>
        <w:t>107.49</w:t>
      </w:r>
      <w:r>
        <w:rPr>
          <w:rFonts w:hint="eastAsia" w:ascii="仿宋_GB2312" w:hAnsi="仿宋" w:eastAsia="仿宋_GB2312" w:cs="仿宋"/>
          <w:color w:val="000000"/>
          <w:spacing w:val="-5"/>
          <w:sz w:val="32"/>
        </w:rPr>
        <w:t>万元。与</w:t>
      </w:r>
      <w:r>
        <w:rPr>
          <w:rFonts w:hint="eastAsia" w:ascii="仿宋_GB2312" w:hAnsi="仿宋" w:eastAsia="仿宋_GB2312" w:cs="仿宋"/>
          <w:color w:val="000000"/>
          <w:spacing w:val="-5"/>
          <w:sz w:val="32"/>
          <w:lang w:eastAsia="zh-CN"/>
        </w:rPr>
        <w:t>2018</w:t>
      </w:r>
      <w:r>
        <w:rPr>
          <w:rFonts w:hint="eastAsia" w:ascii="仿宋_GB2312" w:hAnsi="仿宋" w:eastAsia="仿宋_GB2312" w:cs="仿宋"/>
          <w:color w:val="000000"/>
          <w:spacing w:val="-5"/>
          <w:sz w:val="32"/>
        </w:rPr>
        <w:t>年相比，收、支总计各增加</w:t>
      </w:r>
      <w:r>
        <w:rPr>
          <w:rFonts w:hint="eastAsia" w:ascii="仿宋_GB2312" w:hAnsi="仿宋" w:eastAsia="仿宋_GB2312" w:cs="仿宋"/>
          <w:color w:val="000000"/>
          <w:spacing w:val="-5"/>
          <w:sz w:val="32"/>
          <w:lang w:val="en-US" w:eastAsia="zh-CN"/>
        </w:rPr>
        <w:t>82.63</w:t>
      </w:r>
      <w:r>
        <w:rPr>
          <w:rFonts w:hint="eastAsia" w:ascii="仿宋_GB2312" w:hAnsi="仿宋" w:eastAsia="仿宋_GB2312" w:cs="仿宋"/>
          <w:color w:val="000000"/>
          <w:spacing w:val="-5"/>
          <w:sz w:val="32"/>
        </w:rPr>
        <w:t>万元，增长</w:t>
      </w:r>
      <w:r>
        <w:rPr>
          <w:rFonts w:hint="eastAsia" w:ascii="仿宋_GB2312" w:hAnsi="仿宋" w:eastAsia="仿宋_GB2312" w:cs="仿宋"/>
          <w:color w:val="000000"/>
          <w:spacing w:val="-5"/>
          <w:sz w:val="32"/>
          <w:lang w:val="en-US" w:eastAsia="zh-CN"/>
        </w:rPr>
        <w:t>332</w:t>
      </w:r>
      <w:r>
        <w:rPr>
          <w:rFonts w:hint="eastAsia" w:ascii="仿宋_GB2312" w:hAnsi="仿宋" w:eastAsia="仿宋_GB2312" w:cs="仿宋"/>
          <w:color w:val="000000"/>
          <w:spacing w:val="-5"/>
          <w:sz w:val="32"/>
        </w:rPr>
        <w:t>%。主要原因:</w:t>
      </w:r>
      <w:r>
        <w:rPr>
          <w:rFonts w:hint="eastAsia" w:ascii="仿宋_GB2312" w:hAnsi="仿宋" w:eastAsia="仿宋_GB2312" w:cs="仿宋"/>
          <w:color w:val="000000"/>
          <w:spacing w:val="-5"/>
          <w:sz w:val="32"/>
          <w:lang w:val="en-US" w:eastAsia="zh-CN"/>
        </w:rPr>
        <w:t>2018</w:t>
      </w:r>
      <w:r>
        <w:rPr>
          <w:rFonts w:hint="eastAsia" w:ascii="仿宋_GB2312" w:hAnsi="仿宋" w:eastAsia="仿宋_GB2312" w:cs="仿宋"/>
          <w:color w:val="000000"/>
          <w:spacing w:val="-5"/>
          <w:sz w:val="32"/>
        </w:rPr>
        <w:t>我单位是新增预算单位</w:t>
      </w:r>
      <w:r>
        <w:rPr>
          <w:rFonts w:hint="eastAsia" w:ascii="仿宋_GB2312" w:hAnsi="仿宋" w:eastAsia="仿宋_GB2312" w:cs="仿宋"/>
          <w:color w:val="000000"/>
          <w:spacing w:val="-5"/>
          <w:sz w:val="32"/>
          <w:lang w:eastAsia="zh-CN"/>
        </w:rPr>
        <w:t>只</w:t>
      </w:r>
      <w:r>
        <w:rPr>
          <w:rFonts w:hint="eastAsia" w:ascii="仿宋_GB2312" w:hAnsi="仿宋" w:eastAsia="仿宋_GB2312" w:cs="仿宋"/>
          <w:color w:val="000000"/>
          <w:spacing w:val="-5"/>
          <w:sz w:val="32"/>
          <w:lang w:val="en-US" w:eastAsia="zh-CN"/>
        </w:rPr>
        <w:t>有工资福利支出，2019年新增商品服务支出及增加人员经费。</w:t>
      </w:r>
    </w:p>
    <w:p>
      <w:pPr>
        <w:spacing w:line="600" w:lineRule="exact"/>
        <w:ind w:firstLine="640" w:firstLineChars="200"/>
        <w:rPr>
          <w:rFonts w:ascii="仿宋_GB2312" w:hAnsi="仿宋" w:eastAsia="仿宋_GB2312"/>
          <w:color w:val="000000"/>
          <w:sz w:val="32"/>
          <w:szCs w:val="32"/>
        </w:rPr>
      </w:pPr>
      <w:r>
        <w:rPr>
          <w:rFonts w:hint="eastAsia" w:ascii="仿宋_GB2312" w:eastAsia="仿宋_GB2312"/>
          <w:color w:val="000000"/>
          <w:sz w:val="32"/>
          <w:szCs w:val="32"/>
        </w:rPr>
        <w:drawing>
          <wp:anchor distT="0" distB="0" distL="114300" distR="114300" simplePos="0" relativeHeight="251667456" behindDoc="0" locked="0" layoutInCell="1" allowOverlap="1">
            <wp:simplePos x="0" y="0"/>
            <wp:positionH relativeFrom="column">
              <wp:posOffset>287655</wp:posOffset>
            </wp:positionH>
            <wp:positionV relativeFrom="paragraph">
              <wp:posOffset>562610</wp:posOffset>
            </wp:positionV>
            <wp:extent cx="4845050" cy="2727325"/>
            <wp:effectExtent l="4445" t="4445" r="8255" b="11430"/>
            <wp:wrapTopAndBottom/>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Pr>
          <w:rFonts w:hint="eastAsia" w:ascii="仿宋_GB2312" w:hAnsi="仿宋" w:eastAsia="仿宋_GB2312"/>
          <w:color w:val="000000"/>
          <w:sz w:val="32"/>
          <w:szCs w:val="32"/>
        </w:rPr>
        <w:t>（图</w:t>
      </w:r>
      <w:r>
        <w:rPr>
          <w:rFonts w:ascii="仿宋_GB2312" w:hAnsi="仿宋" w:eastAsia="仿宋_GB2312"/>
          <w:color w:val="000000"/>
          <w:sz w:val="32"/>
          <w:szCs w:val="32"/>
        </w:rPr>
        <w:t>1</w:t>
      </w:r>
      <w:r>
        <w:rPr>
          <w:rFonts w:hint="eastAsia" w:ascii="仿宋_GB2312" w:hAnsi="仿宋" w:eastAsia="仿宋_GB2312"/>
          <w:color w:val="000000"/>
          <w:sz w:val="32"/>
          <w:szCs w:val="32"/>
        </w:rPr>
        <w:t>：收、支决算总计变动情况图）（单位：万元）</w:t>
      </w:r>
    </w:p>
    <w:p>
      <w:pPr>
        <w:pStyle w:val="27"/>
        <w:numPr>
          <w:ilvl w:val="0"/>
          <w:numId w:val="0"/>
        </w:numPr>
        <w:spacing w:line="600" w:lineRule="exact"/>
        <w:ind w:firstLine="640" w:firstLineChars="200"/>
        <w:outlineLvl w:val="1"/>
        <w:rPr>
          <w:rFonts w:ascii="黑体" w:hAnsi="黑体" w:eastAsia="黑体"/>
          <w:bCs/>
          <w:sz w:val="32"/>
          <w:szCs w:val="32"/>
        </w:rPr>
      </w:pPr>
      <w:bookmarkStart w:id="26" w:name="_Toc15396604"/>
      <w:bookmarkStart w:id="27" w:name="_Toc15377206"/>
      <w:r>
        <w:rPr>
          <w:rFonts w:hint="eastAsia" w:ascii="黑体" w:hAnsi="黑体" w:eastAsia="黑体"/>
          <w:color w:val="000000"/>
          <w:sz w:val="32"/>
          <w:szCs w:val="32"/>
          <w:lang w:eastAsia="zh-CN"/>
        </w:rPr>
        <w:t>二、</w:t>
      </w:r>
      <w:r>
        <w:rPr>
          <w:rFonts w:hint="eastAsia" w:ascii="黑体" w:hAnsi="黑体" w:eastAsia="黑体"/>
          <w:color w:val="000000"/>
          <w:sz w:val="32"/>
          <w:szCs w:val="32"/>
        </w:rPr>
        <w:t>收</w:t>
      </w:r>
      <w:r>
        <w:rPr>
          <w:rStyle w:val="17"/>
          <w:rFonts w:hint="eastAsia" w:ascii="黑体" w:hAnsi="黑体" w:eastAsia="黑体"/>
          <w:b w:val="0"/>
        </w:rPr>
        <w:t>入决算情况说明</w:t>
      </w:r>
      <w:bookmarkEnd w:id="26"/>
      <w:bookmarkEnd w:id="27"/>
    </w:p>
    <w:p>
      <w:pPr>
        <w:spacing w:line="576" w:lineRule="exact"/>
        <w:ind w:firstLine="620" w:firstLineChars="200"/>
        <w:rPr>
          <w:rFonts w:hint="eastAsia" w:ascii="仿宋_GB2312" w:hAnsi="仿宋" w:eastAsia="仿宋_GB2312" w:cs="仿宋"/>
          <w:color w:val="000000"/>
          <w:spacing w:val="-5"/>
          <w:sz w:val="32"/>
          <w:lang w:eastAsia="zh-CN"/>
        </w:rPr>
      </w:pPr>
      <w:r>
        <w:rPr>
          <w:rFonts w:hint="eastAsia" w:ascii="仿宋_GB2312" w:hAnsi="仿宋" w:eastAsia="仿宋_GB2312" w:cs="仿宋"/>
          <w:color w:val="000000"/>
          <w:spacing w:val="-5"/>
          <w:sz w:val="32"/>
          <w:lang w:eastAsia="zh-CN"/>
        </w:rPr>
        <w:t>2019年本年收入合计</w:t>
      </w:r>
      <w:r>
        <w:rPr>
          <w:rFonts w:hint="eastAsia" w:ascii="仿宋_GB2312" w:hAnsi="仿宋" w:eastAsia="仿宋_GB2312" w:cs="仿宋"/>
          <w:color w:val="000000"/>
          <w:spacing w:val="-5"/>
          <w:sz w:val="32"/>
          <w:lang w:val="en-US" w:eastAsia="zh-CN"/>
        </w:rPr>
        <w:t>107.49</w:t>
      </w:r>
      <w:r>
        <w:rPr>
          <w:rFonts w:hint="eastAsia" w:ascii="仿宋_GB2312" w:hAnsi="仿宋" w:eastAsia="仿宋_GB2312" w:cs="仿宋"/>
          <w:color w:val="000000"/>
          <w:spacing w:val="-5"/>
          <w:sz w:val="32"/>
          <w:lang w:eastAsia="zh-CN"/>
        </w:rPr>
        <w:t>万元，其中：一般公共预算财政拨款收入</w:t>
      </w:r>
      <w:r>
        <w:rPr>
          <w:rFonts w:hint="eastAsia" w:ascii="仿宋_GB2312" w:hAnsi="仿宋" w:eastAsia="仿宋_GB2312" w:cs="仿宋"/>
          <w:color w:val="000000"/>
          <w:spacing w:val="-5"/>
          <w:sz w:val="32"/>
          <w:lang w:val="en-US" w:eastAsia="zh-CN"/>
        </w:rPr>
        <w:t>107.49</w:t>
      </w:r>
      <w:r>
        <w:rPr>
          <w:rFonts w:hint="eastAsia" w:ascii="仿宋_GB2312" w:hAnsi="仿宋" w:eastAsia="仿宋_GB2312" w:cs="仿宋"/>
          <w:color w:val="000000"/>
          <w:spacing w:val="-5"/>
          <w:sz w:val="32"/>
          <w:lang w:eastAsia="zh-CN"/>
        </w:rPr>
        <w:t>万元，占100%；政府性基金预算财政拨款收入0万元；国有资本经营预算财政拨款收入0万元；事业收入0万元；经营收入0万元；附属单位上缴收入0万元；其他收入0万元。</w:t>
      </w:r>
    </w:p>
    <w:p>
      <w:pPr>
        <w:spacing w:line="600" w:lineRule="exact"/>
        <w:rPr>
          <w:rFonts w:ascii="仿宋_GB2312" w:hAnsi="仿宋" w:eastAsia="仿宋_GB2312"/>
          <w:color w:val="000000"/>
          <w:sz w:val="32"/>
          <w:szCs w:val="32"/>
        </w:rPr>
      </w:pPr>
      <w:r>
        <w:rPr>
          <w:rFonts w:hint="eastAsia" w:ascii="仿宋" w:hAnsi="仿宋" w:eastAsia="仿宋"/>
          <w:color w:val="000000" w:themeColor="text1"/>
          <w:sz w:val="32"/>
          <w:szCs w:val="32"/>
          <w14:textFill>
            <w14:solidFill>
              <w14:schemeClr w14:val="tx1"/>
            </w14:solidFill>
          </w14:textFill>
        </w:rPr>
        <w:drawing>
          <wp:anchor distT="0" distB="0" distL="114300" distR="114300" simplePos="0" relativeHeight="251668480" behindDoc="0" locked="0" layoutInCell="1" allowOverlap="1">
            <wp:simplePos x="0" y="0"/>
            <wp:positionH relativeFrom="column">
              <wp:posOffset>-199390</wp:posOffset>
            </wp:positionH>
            <wp:positionV relativeFrom="paragraph">
              <wp:posOffset>467995</wp:posOffset>
            </wp:positionV>
            <wp:extent cx="5262245" cy="3602355"/>
            <wp:effectExtent l="4445" t="4445" r="10160" b="12700"/>
            <wp:wrapTopAndBottom/>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r>
        <w:rPr>
          <w:rFonts w:hint="eastAsia" w:ascii="仿宋_GB2312" w:hAnsi="仿宋" w:eastAsia="仿宋_GB2312"/>
          <w:color w:val="000000"/>
          <w:sz w:val="32"/>
          <w:szCs w:val="32"/>
        </w:rPr>
        <w:t>（图</w:t>
      </w:r>
      <w:r>
        <w:rPr>
          <w:rFonts w:ascii="仿宋_GB2312" w:hAnsi="仿宋" w:eastAsia="仿宋_GB2312"/>
          <w:color w:val="000000"/>
          <w:sz w:val="32"/>
          <w:szCs w:val="32"/>
        </w:rPr>
        <w:t>2</w:t>
      </w:r>
      <w:r>
        <w:rPr>
          <w:rFonts w:hint="eastAsia" w:ascii="仿宋_GB2312" w:hAnsi="仿宋" w:eastAsia="仿宋_GB2312"/>
          <w:color w:val="000000"/>
          <w:sz w:val="32"/>
          <w:szCs w:val="32"/>
        </w:rPr>
        <w:t>：收入决算结构图）（单位：万元）</w:t>
      </w:r>
    </w:p>
    <w:p>
      <w:pPr>
        <w:spacing w:line="600" w:lineRule="exact"/>
        <w:ind w:firstLine="640" w:firstLineChars="200"/>
        <w:rPr>
          <w:rFonts w:ascii="仿宋_GB2312" w:eastAsia="仿宋_GB2312"/>
          <w:color w:val="FF0000"/>
          <w:sz w:val="32"/>
          <w:szCs w:val="32"/>
        </w:rPr>
      </w:pPr>
    </w:p>
    <w:p>
      <w:pPr>
        <w:pStyle w:val="27"/>
        <w:numPr>
          <w:ilvl w:val="0"/>
          <w:numId w:val="0"/>
        </w:numPr>
        <w:spacing w:line="600" w:lineRule="exact"/>
        <w:ind w:firstLine="640" w:firstLineChars="200"/>
        <w:outlineLvl w:val="1"/>
        <w:rPr>
          <w:rFonts w:hint="eastAsia" w:ascii="黑体" w:hAnsi="黑体" w:eastAsia="黑体"/>
          <w:color w:val="000000"/>
          <w:sz w:val="32"/>
          <w:szCs w:val="32"/>
          <w:lang w:eastAsia="zh-CN"/>
        </w:rPr>
      </w:pPr>
      <w:bookmarkStart w:id="28" w:name="_Toc15396605"/>
      <w:bookmarkStart w:id="29" w:name="_Toc15377207"/>
      <w:r>
        <w:rPr>
          <w:rFonts w:hint="eastAsia" w:ascii="黑体" w:hAnsi="黑体" w:eastAsia="黑体"/>
          <w:color w:val="000000"/>
          <w:sz w:val="32"/>
          <w:szCs w:val="32"/>
          <w:lang w:eastAsia="zh-CN"/>
        </w:rPr>
        <w:t>三、支出决算情况说明</w:t>
      </w:r>
    </w:p>
    <w:p>
      <w:pPr>
        <w:spacing w:line="576" w:lineRule="exact"/>
        <w:ind w:firstLine="620" w:firstLineChars="200"/>
        <w:rPr>
          <w:rFonts w:hint="eastAsia" w:ascii="仿宋_GB2312" w:hAnsi="仿宋" w:eastAsia="仿宋_GB2312" w:cs="仿宋"/>
          <w:color w:val="000000"/>
          <w:spacing w:val="-5"/>
          <w:sz w:val="32"/>
          <w:lang w:eastAsia="zh-CN"/>
        </w:rPr>
      </w:pPr>
      <w:r>
        <w:rPr>
          <w:rFonts w:hint="eastAsia" w:ascii="仿宋_GB2312" w:hAnsi="仿宋" w:eastAsia="仿宋_GB2312" w:cs="仿宋"/>
          <w:color w:val="000000"/>
          <w:spacing w:val="-5"/>
          <w:sz w:val="32"/>
          <w:lang w:eastAsia="zh-CN"/>
        </w:rPr>
        <w:t>2019年本年支出合计</w:t>
      </w:r>
      <w:r>
        <w:rPr>
          <w:rFonts w:hint="eastAsia" w:ascii="仿宋_GB2312" w:hAnsi="仿宋" w:eastAsia="仿宋_GB2312" w:cs="仿宋"/>
          <w:color w:val="000000"/>
          <w:spacing w:val="-5"/>
          <w:sz w:val="32"/>
          <w:lang w:val="en-US" w:eastAsia="zh-CN"/>
        </w:rPr>
        <w:t>107.49</w:t>
      </w:r>
      <w:r>
        <w:rPr>
          <w:rFonts w:hint="eastAsia" w:ascii="仿宋_GB2312" w:hAnsi="仿宋" w:eastAsia="仿宋_GB2312" w:cs="仿宋"/>
          <w:color w:val="000000"/>
          <w:spacing w:val="-5"/>
          <w:sz w:val="32"/>
          <w:lang w:eastAsia="zh-CN"/>
        </w:rPr>
        <w:t>万元，其中：基本支出</w:t>
      </w:r>
      <w:r>
        <w:rPr>
          <w:rFonts w:hint="eastAsia" w:ascii="仿宋_GB2312" w:hAnsi="仿宋" w:eastAsia="仿宋_GB2312" w:cs="仿宋"/>
          <w:color w:val="000000"/>
          <w:spacing w:val="-5"/>
          <w:sz w:val="32"/>
          <w:lang w:val="en-US" w:eastAsia="zh-CN"/>
        </w:rPr>
        <w:t>97.49</w:t>
      </w:r>
      <w:r>
        <w:rPr>
          <w:rFonts w:hint="eastAsia" w:ascii="仿宋_GB2312" w:hAnsi="仿宋" w:eastAsia="仿宋_GB2312" w:cs="仿宋"/>
          <w:color w:val="000000"/>
          <w:spacing w:val="-5"/>
          <w:sz w:val="32"/>
          <w:lang w:eastAsia="zh-CN"/>
        </w:rPr>
        <w:t>万元，占</w:t>
      </w:r>
      <w:r>
        <w:rPr>
          <w:rFonts w:hint="eastAsia" w:ascii="仿宋_GB2312" w:hAnsi="仿宋" w:eastAsia="仿宋_GB2312" w:cs="仿宋"/>
          <w:color w:val="000000"/>
          <w:spacing w:val="-5"/>
          <w:sz w:val="32"/>
          <w:lang w:val="en-US" w:eastAsia="zh-CN"/>
        </w:rPr>
        <w:t>91</w:t>
      </w:r>
      <w:r>
        <w:rPr>
          <w:rFonts w:hint="eastAsia" w:ascii="仿宋_GB2312" w:hAnsi="仿宋" w:eastAsia="仿宋_GB2312" w:cs="仿宋"/>
          <w:color w:val="000000"/>
          <w:spacing w:val="-5"/>
          <w:sz w:val="32"/>
          <w:lang w:eastAsia="zh-CN"/>
        </w:rPr>
        <w:t>%；项目支出</w:t>
      </w:r>
      <w:r>
        <w:rPr>
          <w:rFonts w:hint="eastAsia" w:ascii="仿宋_GB2312" w:hAnsi="仿宋" w:eastAsia="仿宋_GB2312" w:cs="仿宋"/>
          <w:color w:val="000000"/>
          <w:spacing w:val="-5"/>
          <w:sz w:val="32"/>
          <w:lang w:val="en-US" w:eastAsia="zh-CN"/>
        </w:rPr>
        <w:t>10</w:t>
      </w:r>
      <w:r>
        <w:rPr>
          <w:rFonts w:hint="eastAsia" w:ascii="仿宋_GB2312" w:hAnsi="仿宋" w:eastAsia="仿宋_GB2312" w:cs="仿宋"/>
          <w:color w:val="000000"/>
          <w:spacing w:val="-5"/>
          <w:sz w:val="32"/>
          <w:lang w:eastAsia="zh-CN"/>
        </w:rPr>
        <w:t>万元，占</w:t>
      </w:r>
      <w:r>
        <w:rPr>
          <w:rFonts w:hint="eastAsia" w:ascii="仿宋_GB2312" w:hAnsi="仿宋" w:eastAsia="仿宋_GB2312" w:cs="仿宋"/>
          <w:color w:val="000000"/>
          <w:spacing w:val="-5"/>
          <w:sz w:val="32"/>
          <w:lang w:val="en-US" w:eastAsia="zh-CN"/>
        </w:rPr>
        <w:t>9</w:t>
      </w:r>
      <w:r>
        <w:rPr>
          <w:rFonts w:hint="eastAsia" w:ascii="仿宋_GB2312" w:hAnsi="仿宋" w:eastAsia="仿宋_GB2312" w:cs="仿宋"/>
          <w:color w:val="000000"/>
          <w:spacing w:val="-5"/>
          <w:sz w:val="32"/>
          <w:lang w:eastAsia="zh-CN"/>
        </w:rPr>
        <w:t>%；上缴上级支出0万元；经营支出0万元；对附属单位补助支出0万元。</w:t>
      </w:r>
    </w:p>
    <w:p>
      <w:pPr>
        <w:spacing w:line="576" w:lineRule="exact"/>
        <w:ind w:firstLine="620" w:firstLineChars="200"/>
        <w:rPr>
          <w:rFonts w:hint="eastAsia" w:ascii="仿宋_GB2312" w:hAnsi="仿宋" w:eastAsia="仿宋_GB2312" w:cs="仿宋"/>
          <w:color w:val="000000"/>
          <w:spacing w:val="-5"/>
          <w:sz w:val="32"/>
          <w:lang w:eastAsia="zh-CN"/>
        </w:rPr>
      </w:pPr>
      <w:r>
        <w:rPr>
          <w:rFonts w:hint="eastAsia" w:ascii="仿宋_GB2312" w:hAnsi="仿宋" w:eastAsia="仿宋_GB2312" w:cs="仿宋"/>
          <w:color w:val="000000"/>
          <w:spacing w:val="-5"/>
          <w:sz w:val="32"/>
          <w:lang w:eastAsia="zh-CN"/>
        </w:rPr>
        <w:t>（图3：支出决算结构图）（单位：万元）</w:t>
      </w:r>
    </w:p>
    <w:p>
      <w:pPr>
        <w:spacing w:line="600" w:lineRule="exact"/>
        <w:ind w:firstLine="640" w:firstLineChars="200"/>
        <w:rPr>
          <w:rFonts w:ascii="仿宋_GB2312" w:hAnsi="仿宋" w:eastAsia="仿宋_GB2312"/>
          <w:color w:val="000000"/>
          <w:sz w:val="32"/>
          <w:szCs w:val="32"/>
        </w:rPr>
      </w:pPr>
    </w:p>
    <w:bookmarkEnd w:id="28"/>
    <w:bookmarkEnd w:id="29"/>
    <w:p>
      <w:pPr>
        <w:spacing w:line="600" w:lineRule="exact"/>
        <w:rPr>
          <w:rFonts w:hint="eastAsia" w:ascii="黑体" w:hAnsi="黑体" w:eastAsia="黑体"/>
          <w:color w:val="000000"/>
          <w:sz w:val="32"/>
          <w:szCs w:val="32"/>
        </w:rPr>
      </w:pPr>
      <w:bookmarkStart w:id="30" w:name="_Toc15396606"/>
      <w:bookmarkStart w:id="31" w:name="_Toc15377208"/>
      <w:r>
        <w:drawing>
          <wp:anchor distT="0" distB="0" distL="114300" distR="114300" simplePos="0" relativeHeight="251661312" behindDoc="0" locked="0" layoutInCell="1" allowOverlap="1">
            <wp:simplePos x="0" y="0"/>
            <wp:positionH relativeFrom="column">
              <wp:posOffset>491490</wp:posOffset>
            </wp:positionH>
            <wp:positionV relativeFrom="paragraph">
              <wp:posOffset>193040</wp:posOffset>
            </wp:positionV>
            <wp:extent cx="4038600" cy="2743200"/>
            <wp:effectExtent l="4445" t="4445" r="14605" b="14605"/>
            <wp:wrapSquare wrapText="bothSides"/>
            <wp:docPr id="1034"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rPr>
          <w:rFonts w:hint="eastAsia" w:ascii="黑体" w:hAnsi="黑体" w:eastAsia="黑体"/>
          <w:color w:val="000000"/>
          <w:sz w:val="32"/>
          <w:szCs w:val="32"/>
        </w:rPr>
      </w:pPr>
    </w:p>
    <w:p>
      <w:pPr>
        <w:spacing w:line="600" w:lineRule="exact"/>
        <w:rPr>
          <w:rFonts w:hint="eastAsia" w:ascii="黑体" w:hAnsi="黑体" w:eastAsia="黑体"/>
          <w:color w:val="000000"/>
          <w:sz w:val="32"/>
          <w:szCs w:val="32"/>
        </w:rPr>
      </w:pPr>
    </w:p>
    <w:p>
      <w:pPr>
        <w:spacing w:line="600" w:lineRule="exact"/>
        <w:rPr>
          <w:rFonts w:hint="eastAsia" w:ascii="黑体" w:hAnsi="黑体" w:eastAsia="黑体"/>
          <w:color w:val="000000"/>
          <w:sz w:val="32"/>
          <w:szCs w:val="32"/>
        </w:rPr>
      </w:pPr>
    </w:p>
    <w:p>
      <w:pPr>
        <w:spacing w:line="600" w:lineRule="exact"/>
        <w:rPr>
          <w:rFonts w:hint="eastAsia" w:ascii="黑体" w:hAnsi="黑体" w:eastAsia="黑体"/>
          <w:color w:val="000000"/>
          <w:sz w:val="32"/>
          <w:szCs w:val="32"/>
        </w:rPr>
      </w:pPr>
    </w:p>
    <w:p>
      <w:pPr>
        <w:pStyle w:val="27"/>
        <w:numPr>
          <w:ilvl w:val="0"/>
          <w:numId w:val="0"/>
        </w:numPr>
        <w:spacing w:line="600" w:lineRule="exact"/>
        <w:ind w:firstLine="640" w:firstLineChars="200"/>
        <w:outlineLvl w:val="1"/>
        <w:rPr>
          <w:rFonts w:hint="eastAsia" w:ascii="黑体" w:hAnsi="黑体" w:eastAsia="黑体"/>
          <w:color w:val="000000"/>
          <w:sz w:val="32"/>
          <w:szCs w:val="32"/>
          <w:lang w:eastAsia="zh-CN"/>
        </w:rPr>
      </w:pPr>
      <w:r>
        <w:rPr>
          <w:rFonts w:hint="eastAsia" w:ascii="黑体" w:hAnsi="黑体" w:eastAsia="黑体"/>
          <w:color w:val="000000"/>
          <w:sz w:val="32"/>
          <w:szCs w:val="32"/>
          <w:lang w:eastAsia="zh-CN"/>
        </w:rPr>
        <w:t>四、财政拨款收入支出决算总体情况说明</w:t>
      </w:r>
      <w:bookmarkEnd w:id="30"/>
      <w:bookmarkEnd w:id="31"/>
    </w:p>
    <w:p>
      <w:pPr>
        <w:spacing w:line="576" w:lineRule="exact"/>
        <w:ind w:firstLine="620" w:firstLineChars="200"/>
        <w:rPr>
          <w:rFonts w:hint="eastAsia" w:ascii="仿宋_GB2312" w:hAnsi="仿宋" w:eastAsia="仿宋_GB2312" w:cs="仿宋"/>
          <w:color w:val="000000"/>
          <w:spacing w:val="-5"/>
          <w:sz w:val="32"/>
          <w:lang w:val="en-US" w:eastAsia="zh-CN"/>
        </w:rPr>
      </w:pPr>
      <w:r>
        <w:rPr>
          <w:rFonts w:hint="eastAsia" w:ascii="仿宋_GB2312" w:hAnsi="仿宋" w:eastAsia="仿宋_GB2312" w:cs="仿宋"/>
          <w:color w:val="000000"/>
          <w:spacing w:val="-5"/>
          <w:sz w:val="32"/>
          <w:lang w:eastAsia="zh-CN"/>
        </w:rPr>
        <w:t>2019年财政拨款收、支总计</w:t>
      </w:r>
      <w:r>
        <w:rPr>
          <w:rFonts w:hint="eastAsia" w:ascii="仿宋_GB2312" w:hAnsi="仿宋" w:eastAsia="仿宋_GB2312" w:cs="仿宋"/>
          <w:color w:val="000000"/>
          <w:spacing w:val="-5"/>
          <w:sz w:val="32"/>
          <w:lang w:val="en-US" w:eastAsia="zh-CN"/>
        </w:rPr>
        <w:t>107.49</w:t>
      </w:r>
      <w:r>
        <w:rPr>
          <w:rFonts w:hint="eastAsia" w:ascii="仿宋_GB2312" w:hAnsi="仿宋" w:eastAsia="仿宋_GB2312" w:cs="仿宋"/>
          <w:color w:val="000000"/>
          <w:spacing w:val="-5"/>
          <w:sz w:val="32"/>
          <w:lang w:eastAsia="zh-CN"/>
        </w:rPr>
        <w:t>万元。与2018年相比，财政拨款收、支总计增加</w:t>
      </w:r>
      <w:r>
        <w:rPr>
          <w:rFonts w:hint="eastAsia" w:ascii="仿宋_GB2312" w:hAnsi="仿宋" w:eastAsia="仿宋_GB2312" w:cs="仿宋"/>
          <w:color w:val="000000"/>
          <w:spacing w:val="-5"/>
          <w:sz w:val="32"/>
          <w:lang w:val="en-US" w:eastAsia="zh-CN"/>
        </w:rPr>
        <w:t>82.63</w:t>
      </w:r>
      <w:r>
        <w:rPr>
          <w:rFonts w:hint="eastAsia" w:ascii="仿宋_GB2312" w:hAnsi="仿宋" w:eastAsia="仿宋_GB2312" w:cs="仿宋"/>
          <w:color w:val="000000"/>
          <w:spacing w:val="-5"/>
          <w:sz w:val="32"/>
          <w:lang w:eastAsia="zh-CN"/>
        </w:rPr>
        <w:t>万元，增长</w:t>
      </w:r>
      <w:r>
        <w:rPr>
          <w:rFonts w:hint="eastAsia" w:ascii="仿宋_GB2312" w:hAnsi="仿宋" w:eastAsia="仿宋_GB2312" w:cs="仿宋"/>
          <w:color w:val="000000"/>
          <w:spacing w:val="-5"/>
          <w:sz w:val="32"/>
          <w:lang w:val="en-US" w:eastAsia="zh-CN"/>
        </w:rPr>
        <w:t>332</w:t>
      </w:r>
      <w:r>
        <w:rPr>
          <w:rFonts w:hint="eastAsia" w:ascii="仿宋_GB2312" w:hAnsi="仿宋" w:eastAsia="仿宋_GB2312" w:cs="仿宋"/>
          <w:color w:val="000000"/>
          <w:spacing w:val="-5"/>
          <w:sz w:val="32"/>
          <w:lang w:eastAsia="zh-CN"/>
        </w:rPr>
        <w:t>%。主要原因:</w:t>
      </w:r>
      <w:r>
        <w:rPr>
          <w:rFonts w:hint="eastAsia" w:ascii="仿宋_GB2312" w:hAnsi="仿宋" w:eastAsia="仿宋_GB2312" w:cs="仿宋"/>
          <w:color w:val="000000"/>
          <w:spacing w:val="-5"/>
          <w:sz w:val="32"/>
          <w:lang w:val="en-US" w:eastAsia="zh-CN"/>
        </w:rPr>
        <w:t>2018</w:t>
      </w:r>
      <w:r>
        <w:rPr>
          <w:rFonts w:hint="eastAsia" w:ascii="仿宋_GB2312" w:hAnsi="仿宋" w:eastAsia="仿宋_GB2312" w:cs="仿宋"/>
          <w:color w:val="000000"/>
          <w:spacing w:val="-5"/>
          <w:sz w:val="32"/>
          <w:lang w:eastAsia="zh-CN"/>
        </w:rPr>
        <w:t>我单位是新增预算单位只</w:t>
      </w:r>
      <w:r>
        <w:rPr>
          <w:rFonts w:hint="eastAsia" w:ascii="仿宋_GB2312" w:hAnsi="仿宋" w:eastAsia="仿宋_GB2312" w:cs="仿宋"/>
          <w:color w:val="000000"/>
          <w:spacing w:val="-5"/>
          <w:sz w:val="32"/>
          <w:lang w:val="en-US" w:eastAsia="zh-CN"/>
        </w:rPr>
        <w:t>有工资福利支出，2019年新增商品服务支出及增加人员经费。</w:t>
      </w:r>
    </w:p>
    <w:p>
      <w:pPr>
        <w:spacing w:line="576" w:lineRule="exact"/>
        <w:ind w:firstLine="620" w:firstLineChars="200"/>
        <w:rPr>
          <w:rFonts w:hint="eastAsia" w:ascii="仿宋_GB2312" w:hAnsi="仿宋" w:eastAsia="仿宋_GB2312" w:cs="仿宋"/>
          <w:color w:val="000000"/>
          <w:spacing w:val="-5"/>
          <w:sz w:val="32"/>
          <w:lang w:eastAsia="zh-CN"/>
        </w:rPr>
      </w:pPr>
      <w:r>
        <w:rPr>
          <w:rFonts w:hint="eastAsia" w:ascii="仿宋_GB2312" w:hAnsi="仿宋" w:eastAsia="仿宋_GB2312" w:cs="仿宋"/>
          <w:color w:val="000000"/>
          <w:spacing w:val="-5"/>
          <w:sz w:val="32"/>
          <w:lang w:eastAsia="zh-CN"/>
        </w:rPr>
        <w:drawing>
          <wp:anchor distT="0" distB="0" distL="114300" distR="114300" simplePos="0" relativeHeight="251673600" behindDoc="0" locked="0" layoutInCell="1" allowOverlap="1">
            <wp:simplePos x="0" y="0"/>
            <wp:positionH relativeFrom="column">
              <wp:posOffset>231140</wp:posOffset>
            </wp:positionH>
            <wp:positionV relativeFrom="paragraph">
              <wp:posOffset>919480</wp:posOffset>
            </wp:positionV>
            <wp:extent cx="4479925" cy="2906395"/>
            <wp:effectExtent l="4445" t="4445" r="11430" b="22860"/>
            <wp:wrapTopAndBottom/>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Pr>
          <w:rFonts w:hint="eastAsia" w:ascii="仿宋_GB2312" w:hAnsi="仿宋" w:eastAsia="仿宋_GB2312" w:cs="仿宋"/>
          <w:color w:val="000000"/>
          <w:spacing w:val="-5"/>
          <w:sz w:val="32"/>
          <w:lang w:eastAsia="zh-CN"/>
        </w:rPr>
        <w:t>（图4：财政拨款收、支决算总计变动情况）（单位：万元）</w:t>
      </w:r>
    </w:p>
    <w:p>
      <w:pPr>
        <w:pStyle w:val="27"/>
        <w:numPr>
          <w:ilvl w:val="0"/>
          <w:numId w:val="0"/>
        </w:numPr>
        <w:spacing w:line="600" w:lineRule="exact"/>
        <w:ind w:firstLine="640" w:firstLineChars="200"/>
        <w:outlineLvl w:val="1"/>
        <w:rPr>
          <w:rFonts w:hint="eastAsia" w:ascii="黑体" w:hAnsi="黑体" w:eastAsia="黑体"/>
          <w:color w:val="000000"/>
          <w:sz w:val="32"/>
          <w:szCs w:val="32"/>
          <w:lang w:eastAsia="zh-CN"/>
        </w:rPr>
      </w:pPr>
      <w:bookmarkStart w:id="32" w:name="_Toc15396607"/>
      <w:bookmarkStart w:id="33" w:name="_Toc15377209"/>
      <w:r>
        <w:rPr>
          <w:rFonts w:hint="eastAsia" w:ascii="黑体" w:hAnsi="黑体" w:eastAsia="黑体"/>
          <w:color w:val="000000"/>
          <w:sz w:val="32"/>
          <w:szCs w:val="32"/>
          <w:lang w:eastAsia="zh-CN"/>
        </w:rPr>
        <w:t>五、一般公共预算财政拨款支出决算情况说明</w:t>
      </w:r>
      <w:bookmarkEnd w:id="32"/>
      <w:bookmarkEnd w:id="33"/>
      <w:bookmarkStart w:id="34" w:name="_Toc15377210"/>
    </w:p>
    <w:p>
      <w:pPr>
        <w:spacing w:line="600" w:lineRule="exact"/>
        <w:ind w:firstLine="643" w:firstLineChars="200"/>
        <w:outlineLvl w:val="1"/>
        <w:rPr>
          <w:rFonts w:ascii="仿宋" w:hAnsi="仿宋" w:eastAsia="仿宋"/>
          <w:b/>
          <w:color w:val="000000"/>
          <w:sz w:val="32"/>
          <w:szCs w:val="32"/>
        </w:rPr>
      </w:pPr>
      <w:r>
        <w:rPr>
          <w:rFonts w:hint="eastAsia" w:ascii="仿宋" w:hAnsi="仿宋" w:eastAsia="仿宋"/>
          <w:b/>
          <w:color w:val="000000"/>
          <w:sz w:val="32"/>
          <w:szCs w:val="32"/>
        </w:rPr>
        <w:t>（一）一般公共预算财政拨款支出决算总体情况</w:t>
      </w:r>
      <w:bookmarkEnd w:id="34"/>
    </w:p>
    <w:p>
      <w:pPr>
        <w:spacing w:line="576" w:lineRule="exact"/>
        <w:ind w:firstLine="620" w:firstLineChars="200"/>
        <w:rPr>
          <w:rFonts w:hint="eastAsia" w:ascii="仿宋_GB2312" w:hAnsi="仿宋" w:eastAsia="仿宋_GB2312" w:cs="仿宋"/>
          <w:color w:val="000000"/>
          <w:spacing w:val="-5"/>
          <w:sz w:val="32"/>
          <w:lang w:val="en-US" w:eastAsia="zh-CN"/>
        </w:rPr>
      </w:pPr>
      <w:r>
        <w:rPr>
          <w:rFonts w:hint="eastAsia" w:ascii="仿宋_GB2312" w:hAnsi="仿宋" w:eastAsia="仿宋_GB2312" w:cs="仿宋"/>
          <w:color w:val="000000"/>
          <w:spacing w:val="-5"/>
          <w:sz w:val="32"/>
          <w:lang w:eastAsia="zh-CN"/>
        </w:rPr>
        <w:t>2019年一般公共预算财政拨款支出</w:t>
      </w:r>
      <w:r>
        <w:rPr>
          <w:rFonts w:hint="eastAsia" w:ascii="仿宋_GB2312" w:hAnsi="仿宋" w:eastAsia="仿宋_GB2312" w:cs="仿宋"/>
          <w:color w:val="000000"/>
          <w:spacing w:val="-5"/>
          <w:sz w:val="32"/>
          <w:lang w:val="en-US" w:eastAsia="zh-CN"/>
        </w:rPr>
        <w:t>107.49</w:t>
      </w:r>
      <w:r>
        <w:rPr>
          <w:rFonts w:hint="eastAsia" w:ascii="仿宋_GB2312" w:hAnsi="仿宋" w:eastAsia="仿宋_GB2312" w:cs="仿宋"/>
          <w:color w:val="000000"/>
          <w:spacing w:val="-5"/>
          <w:sz w:val="32"/>
          <w:lang w:eastAsia="zh-CN"/>
        </w:rPr>
        <w:t>万元，占本年支出合计的100%。与2018年相比，一般公共预算财政拨款增加</w:t>
      </w:r>
      <w:r>
        <w:rPr>
          <w:rFonts w:hint="eastAsia" w:ascii="仿宋_GB2312" w:hAnsi="仿宋" w:eastAsia="仿宋_GB2312" w:cs="仿宋"/>
          <w:color w:val="000000"/>
          <w:spacing w:val="-5"/>
          <w:sz w:val="32"/>
          <w:lang w:val="en-US" w:eastAsia="zh-CN"/>
        </w:rPr>
        <w:t>82.63</w:t>
      </w:r>
      <w:r>
        <w:rPr>
          <w:rFonts w:hint="eastAsia" w:ascii="仿宋_GB2312" w:hAnsi="仿宋" w:eastAsia="仿宋_GB2312" w:cs="仿宋"/>
          <w:color w:val="000000"/>
          <w:spacing w:val="-5"/>
          <w:sz w:val="32"/>
          <w:lang w:eastAsia="zh-CN"/>
        </w:rPr>
        <w:t>万元，增长</w:t>
      </w:r>
      <w:r>
        <w:rPr>
          <w:rFonts w:hint="eastAsia" w:ascii="仿宋_GB2312" w:hAnsi="仿宋" w:eastAsia="仿宋_GB2312" w:cs="仿宋"/>
          <w:color w:val="000000"/>
          <w:spacing w:val="-5"/>
          <w:sz w:val="32"/>
          <w:lang w:val="en-US" w:eastAsia="zh-CN"/>
        </w:rPr>
        <w:t>332</w:t>
      </w:r>
      <w:r>
        <w:rPr>
          <w:rFonts w:hint="eastAsia" w:ascii="仿宋_GB2312" w:hAnsi="仿宋" w:eastAsia="仿宋_GB2312" w:cs="仿宋"/>
          <w:color w:val="000000"/>
          <w:spacing w:val="-5"/>
          <w:sz w:val="32"/>
          <w:lang w:eastAsia="zh-CN"/>
        </w:rPr>
        <w:t xml:space="preserve"> %。主要原因:</w:t>
      </w:r>
      <w:r>
        <w:rPr>
          <w:rFonts w:hint="eastAsia" w:ascii="仿宋_GB2312" w:hAnsi="仿宋" w:eastAsia="仿宋_GB2312" w:cs="仿宋"/>
          <w:color w:val="000000"/>
          <w:spacing w:val="-5"/>
          <w:sz w:val="32"/>
          <w:lang w:val="en-US" w:eastAsia="zh-CN"/>
        </w:rPr>
        <w:t>2018</w:t>
      </w:r>
      <w:r>
        <w:rPr>
          <w:rFonts w:hint="eastAsia" w:ascii="仿宋_GB2312" w:hAnsi="仿宋" w:eastAsia="仿宋_GB2312" w:cs="仿宋"/>
          <w:color w:val="000000"/>
          <w:spacing w:val="-5"/>
          <w:sz w:val="32"/>
          <w:lang w:eastAsia="zh-CN"/>
        </w:rPr>
        <w:t>我单位是新增预算单位只</w:t>
      </w:r>
      <w:r>
        <w:rPr>
          <w:rFonts w:hint="eastAsia" w:ascii="仿宋_GB2312" w:hAnsi="仿宋" w:eastAsia="仿宋_GB2312" w:cs="仿宋"/>
          <w:color w:val="000000"/>
          <w:spacing w:val="-5"/>
          <w:sz w:val="32"/>
          <w:lang w:val="en-US" w:eastAsia="zh-CN"/>
        </w:rPr>
        <w:t>有工资福利支出，2019年新增商品服务支出及增加人员经费。</w:t>
      </w:r>
    </w:p>
    <w:p>
      <w:pPr>
        <w:spacing w:line="576" w:lineRule="exact"/>
        <w:ind w:firstLine="620" w:firstLineChars="200"/>
        <w:rPr>
          <w:rFonts w:hint="eastAsia" w:ascii="仿宋_GB2312" w:hAnsi="仿宋" w:eastAsia="仿宋_GB2312" w:cs="仿宋"/>
          <w:color w:val="000000"/>
          <w:spacing w:val="-5"/>
          <w:sz w:val="32"/>
          <w:lang w:eastAsia="zh-CN"/>
        </w:rPr>
      </w:pPr>
      <w:r>
        <w:rPr>
          <w:rFonts w:hint="eastAsia" w:ascii="仿宋_GB2312" w:hAnsi="仿宋" w:eastAsia="仿宋_GB2312" w:cs="仿宋"/>
          <w:color w:val="000000"/>
          <w:spacing w:val="-5"/>
          <w:sz w:val="32"/>
          <w:lang w:eastAsia="zh-CN"/>
        </w:rPr>
        <w:drawing>
          <wp:anchor distT="0" distB="0" distL="114300" distR="114300" simplePos="0" relativeHeight="251679744" behindDoc="0" locked="0" layoutInCell="1" allowOverlap="1">
            <wp:simplePos x="0" y="0"/>
            <wp:positionH relativeFrom="column">
              <wp:posOffset>259080</wp:posOffset>
            </wp:positionH>
            <wp:positionV relativeFrom="paragraph">
              <wp:posOffset>862965</wp:posOffset>
            </wp:positionV>
            <wp:extent cx="5026660" cy="4001770"/>
            <wp:effectExtent l="4445" t="4445" r="17145" b="13335"/>
            <wp:wrapTopAndBottom/>
            <wp:docPr id="1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hint="eastAsia" w:ascii="仿宋_GB2312" w:hAnsi="仿宋" w:eastAsia="仿宋_GB2312" w:cs="仿宋"/>
          <w:color w:val="000000"/>
          <w:spacing w:val="-5"/>
          <w:sz w:val="32"/>
          <w:lang w:eastAsia="zh-CN"/>
        </w:rPr>
        <w:t>（图5：一般公共预算财政拨款支出决算变动情况）（单位：万元）</w:t>
      </w:r>
    </w:p>
    <w:p>
      <w:pPr>
        <w:spacing w:line="600" w:lineRule="exact"/>
        <w:ind w:firstLine="640" w:firstLineChars="200"/>
        <w:rPr>
          <w:rFonts w:ascii="仿宋_GB2312" w:hAnsi="仿宋" w:eastAsia="仿宋_GB2312"/>
          <w:color w:val="000000"/>
          <w:sz w:val="32"/>
          <w:szCs w:val="32"/>
        </w:rPr>
      </w:pPr>
    </w:p>
    <w:p>
      <w:pPr>
        <w:spacing w:line="600" w:lineRule="exact"/>
        <w:ind w:firstLine="643" w:firstLineChars="200"/>
        <w:outlineLvl w:val="1"/>
        <w:rPr>
          <w:rFonts w:hint="eastAsia" w:ascii="仿宋" w:hAnsi="仿宋" w:eastAsia="仿宋"/>
          <w:b/>
          <w:color w:val="000000"/>
          <w:sz w:val="32"/>
          <w:szCs w:val="32"/>
        </w:rPr>
      </w:pPr>
      <w:bookmarkStart w:id="35" w:name="_Toc15377211"/>
      <w:r>
        <w:rPr>
          <w:rFonts w:hint="eastAsia" w:ascii="仿宋" w:hAnsi="仿宋" w:eastAsia="仿宋"/>
          <w:b/>
          <w:color w:val="000000"/>
          <w:sz w:val="32"/>
          <w:szCs w:val="32"/>
        </w:rPr>
        <w:t>（二）一般公共预算财政拨款支出决算结构情况</w:t>
      </w:r>
      <w:bookmarkEnd w:id="35"/>
    </w:p>
    <w:p>
      <w:pPr>
        <w:spacing w:line="576" w:lineRule="exact"/>
        <w:ind w:firstLine="620" w:firstLineChars="200"/>
        <w:rPr>
          <w:rFonts w:hint="eastAsia" w:ascii="仿宋_GB2312" w:hAnsi="仿宋" w:eastAsia="仿宋_GB2312" w:cs="仿宋"/>
          <w:color w:val="000000"/>
          <w:spacing w:val="-5"/>
          <w:sz w:val="32"/>
          <w:lang w:eastAsia="zh-CN"/>
        </w:rPr>
      </w:pPr>
      <w:r>
        <w:rPr>
          <w:rFonts w:hint="eastAsia" w:ascii="仿宋_GB2312" w:hAnsi="仿宋" w:eastAsia="仿宋_GB2312" w:cs="仿宋"/>
          <w:color w:val="000000"/>
          <w:spacing w:val="-5"/>
          <w:sz w:val="32"/>
          <w:lang w:eastAsia="zh-CN"/>
        </w:rPr>
        <w:t>2019年一般公共预算财政拨款支出</w:t>
      </w:r>
      <w:r>
        <w:rPr>
          <w:rFonts w:hint="eastAsia" w:ascii="仿宋_GB2312" w:hAnsi="仿宋" w:eastAsia="仿宋_GB2312" w:cs="仿宋"/>
          <w:color w:val="000000"/>
          <w:spacing w:val="-5"/>
          <w:sz w:val="32"/>
          <w:lang w:val="en-US" w:eastAsia="zh-CN"/>
        </w:rPr>
        <w:t>107.49</w:t>
      </w:r>
      <w:r>
        <w:rPr>
          <w:rFonts w:hint="eastAsia" w:ascii="仿宋_GB2312" w:hAnsi="仿宋" w:eastAsia="仿宋_GB2312" w:cs="仿宋"/>
          <w:color w:val="000000"/>
          <w:spacing w:val="-5"/>
          <w:sz w:val="32"/>
          <w:lang w:eastAsia="zh-CN"/>
        </w:rPr>
        <w:t>万元，主要用于以下方面:一般公共服务（类）支出</w:t>
      </w:r>
      <w:r>
        <w:rPr>
          <w:rFonts w:hint="eastAsia" w:ascii="仿宋_GB2312" w:hAnsi="仿宋" w:eastAsia="仿宋_GB2312" w:cs="仿宋"/>
          <w:color w:val="000000"/>
          <w:spacing w:val="-5"/>
          <w:sz w:val="32"/>
          <w:lang w:val="en-US" w:eastAsia="zh-CN"/>
        </w:rPr>
        <w:t>96.6</w:t>
      </w:r>
      <w:r>
        <w:rPr>
          <w:rFonts w:hint="eastAsia" w:ascii="仿宋_GB2312" w:hAnsi="仿宋" w:eastAsia="仿宋_GB2312" w:cs="仿宋"/>
          <w:color w:val="000000"/>
          <w:spacing w:val="-5"/>
          <w:sz w:val="32"/>
          <w:lang w:eastAsia="zh-CN"/>
        </w:rPr>
        <w:t>万元，占</w:t>
      </w:r>
      <w:r>
        <w:rPr>
          <w:rFonts w:hint="eastAsia" w:ascii="仿宋_GB2312" w:hAnsi="仿宋" w:eastAsia="仿宋_GB2312" w:cs="仿宋"/>
          <w:color w:val="000000"/>
          <w:spacing w:val="-5"/>
          <w:sz w:val="32"/>
          <w:lang w:val="en-US" w:eastAsia="zh-CN"/>
        </w:rPr>
        <w:t>90</w:t>
      </w:r>
      <w:r>
        <w:rPr>
          <w:rFonts w:hint="eastAsia" w:ascii="仿宋_GB2312" w:hAnsi="仿宋" w:eastAsia="仿宋_GB2312" w:cs="仿宋"/>
          <w:color w:val="000000"/>
          <w:spacing w:val="-5"/>
          <w:sz w:val="32"/>
          <w:lang w:eastAsia="zh-CN"/>
        </w:rPr>
        <w:t>%；社会保障和就业（类）支出</w:t>
      </w:r>
      <w:r>
        <w:rPr>
          <w:rFonts w:hint="eastAsia" w:ascii="仿宋_GB2312" w:hAnsi="仿宋" w:eastAsia="仿宋_GB2312" w:cs="仿宋"/>
          <w:color w:val="000000"/>
          <w:spacing w:val="-5"/>
          <w:sz w:val="32"/>
          <w:lang w:val="en-US" w:eastAsia="zh-CN"/>
        </w:rPr>
        <w:t>5</w:t>
      </w:r>
      <w:r>
        <w:rPr>
          <w:rFonts w:hint="eastAsia" w:ascii="仿宋_GB2312" w:hAnsi="仿宋" w:eastAsia="仿宋_GB2312" w:cs="仿宋"/>
          <w:color w:val="000000"/>
          <w:spacing w:val="-5"/>
          <w:sz w:val="32"/>
          <w:lang w:eastAsia="zh-CN"/>
        </w:rPr>
        <w:t>万元，占</w:t>
      </w:r>
      <w:r>
        <w:rPr>
          <w:rFonts w:hint="eastAsia" w:ascii="仿宋_GB2312" w:hAnsi="仿宋" w:eastAsia="仿宋_GB2312" w:cs="仿宋"/>
          <w:color w:val="000000"/>
          <w:spacing w:val="-5"/>
          <w:sz w:val="32"/>
          <w:lang w:val="en-US" w:eastAsia="zh-CN"/>
        </w:rPr>
        <w:t>5</w:t>
      </w:r>
      <w:r>
        <w:rPr>
          <w:rFonts w:hint="eastAsia" w:ascii="仿宋_GB2312" w:hAnsi="仿宋" w:eastAsia="仿宋_GB2312" w:cs="仿宋"/>
          <w:color w:val="000000"/>
          <w:spacing w:val="-5"/>
          <w:sz w:val="32"/>
          <w:lang w:eastAsia="zh-CN"/>
        </w:rPr>
        <w:t>%；卫生健康（类）支出</w:t>
      </w:r>
      <w:r>
        <w:rPr>
          <w:rFonts w:hint="eastAsia" w:ascii="仿宋_GB2312" w:hAnsi="仿宋" w:eastAsia="仿宋_GB2312" w:cs="仿宋"/>
          <w:color w:val="000000"/>
          <w:spacing w:val="-5"/>
          <w:sz w:val="32"/>
          <w:lang w:val="en-US" w:eastAsia="zh-CN"/>
        </w:rPr>
        <w:t>2.35</w:t>
      </w:r>
      <w:r>
        <w:rPr>
          <w:rFonts w:hint="eastAsia" w:ascii="仿宋_GB2312" w:hAnsi="仿宋" w:eastAsia="仿宋_GB2312" w:cs="仿宋"/>
          <w:color w:val="000000"/>
          <w:spacing w:val="-5"/>
          <w:sz w:val="32"/>
          <w:lang w:eastAsia="zh-CN"/>
        </w:rPr>
        <w:t>万元，占</w:t>
      </w:r>
      <w:r>
        <w:rPr>
          <w:rFonts w:hint="eastAsia" w:ascii="仿宋_GB2312" w:hAnsi="仿宋" w:eastAsia="仿宋_GB2312" w:cs="仿宋"/>
          <w:color w:val="000000"/>
          <w:spacing w:val="-5"/>
          <w:sz w:val="32"/>
          <w:lang w:val="en-US" w:eastAsia="zh-CN"/>
        </w:rPr>
        <w:t>2.0</w:t>
      </w:r>
      <w:r>
        <w:rPr>
          <w:rFonts w:hint="eastAsia" w:ascii="仿宋_GB2312" w:hAnsi="仿宋" w:eastAsia="仿宋_GB2312" w:cs="仿宋"/>
          <w:color w:val="000000"/>
          <w:spacing w:val="-5"/>
          <w:sz w:val="32"/>
          <w:lang w:eastAsia="zh-CN"/>
        </w:rPr>
        <w:t>%；住房保障（类）支出</w:t>
      </w:r>
      <w:r>
        <w:rPr>
          <w:rFonts w:hint="eastAsia" w:ascii="仿宋_GB2312" w:hAnsi="仿宋" w:eastAsia="仿宋_GB2312" w:cs="仿宋"/>
          <w:color w:val="000000"/>
          <w:spacing w:val="-5"/>
          <w:sz w:val="32"/>
          <w:lang w:val="en-US" w:eastAsia="zh-CN"/>
        </w:rPr>
        <w:t>3.55</w:t>
      </w:r>
      <w:r>
        <w:rPr>
          <w:rFonts w:hint="eastAsia" w:ascii="仿宋_GB2312" w:hAnsi="仿宋" w:eastAsia="仿宋_GB2312" w:cs="仿宋"/>
          <w:color w:val="000000"/>
          <w:spacing w:val="-5"/>
          <w:sz w:val="32"/>
          <w:lang w:eastAsia="zh-CN"/>
        </w:rPr>
        <w:t>万元，占</w:t>
      </w:r>
      <w:r>
        <w:rPr>
          <w:rFonts w:hint="eastAsia" w:ascii="仿宋_GB2312" w:hAnsi="仿宋" w:eastAsia="仿宋_GB2312" w:cs="仿宋"/>
          <w:color w:val="000000"/>
          <w:spacing w:val="-5"/>
          <w:sz w:val="32"/>
          <w:lang w:val="en-US" w:eastAsia="zh-CN"/>
        </w:rPr>
        <w:t>3.0</w:t>
      </w:r>
      <w:r>
        <w:rPr>
          <w:rFonts w:hint="eastAsia" w:ascii="仿宋_GB2312" w:hAnsi="仿宋" w:eastAsia="仿宋_GB2312" w:cs="仿宋"/>
          <w:color w:val="000000"/>
          <w:spacing w:val="-5"/>
          <w:sz w:val="32"/>
          <w:lang w:eastAsia="zh-CN"/>
        </w:rPr>
        <w:t>%。</w:t>
      </w:r>
    </w:p>
    <w:p>
      <w:pPr>
        <w:spacing w:line="576" w:lineRule="exact"/>
        <w:ind w:firstLine="620" w:firstLineChars="200"/>
        <w:rPr>
          <w:rFonts w:hint="eastAsia" w:ascii="仿宋_GB2312" w:hAnsi="仿宋" w:eastAsia="仿宋_GB2312" w:cs="仿宋"/>
          <w:color w:val="000000"/>
          <w:spacing w:val="-5"/>
          <w:sz w:val="32"/>
          <w:lang w:eastAsia="zh-CN"/>
        </w:rPr>
      </w:pPr>
      <w:r>
        <w:rPr>
          <w:rFonts w:hint="eastAsia" w:ascii="仿宋_GB2312" w:hAnsi="仿宋" w:eastAsia="仿宋_GB2312" w:cs="仿宋"/>
          <w:color w:val="000000"/>
          <w:spacing w:val="-5"/>
          <w:sz w:val="32"/>
          <w:lang w:eastAsia="zh-CN"/>
        </w:rPr>
        <w:t>（图6：一般公共预算财政拨款支出决算结构）</w:t>
      </w:r>
    </w:p>
    <w:p>
      <w:pPr>
        <w:spacing w:line="600" w:lineRule="exact"/>
        <w:ind w:firstLine="640"/>
        <w:rPr>
          <w:rFonts w:hint="eastAsia" w:ascii="仿宋_GB2312" w:hAnsi="仿宋" w:eastAsia="仿宋_GB2312"/>
          <w:color w:val="000000"/>
          <w:sz w:val="32"/>
          <w:szCs w:val="32"/>
        </w:rPr>
      </w:pPr>
      <w:r>
        <w:rPr>
          <w:rFonts w:hint="eastAsia"/>
          <w:lang w:eastAsia="zh-CN"/>
        </w:rPr>
        <w:pict>
          <v:shape id="_x0000_s1032" o:spid="_x0000_s1032" o:spt="75" type="#_x0000_t75" style="position:absolute;left:0pt;margin-left:-5pt;margin-top:22.65pt;height:251.95pt;width:400.1pt;mso-wrap-distance-bottom:0pt;mso-wrap-distance-left:9pt;mso-wrap-distance-right:9pt;mso-wrap-distance-top:0pt;z-index:251664384;mso-width-relative:page;mso-height-relative:page;" o:ole="t" filled="f" o:preferrelative="t" stroked="f" coordsize="21600,21600">
            <v:path/>
            <v:fill on="f" focussize="0,0"/>
            <v:stroke on="f"/>
            <v:imagedata r:id="rId12" o:title=""/>
            <o:lock v:ext="edit" aspectratio="t"/>
            <w10:wrap type="square"/>
          </v:shape>
          <o:OLEObject Type="Embed" ProgID="Excel.Chart.8" ShapeID="_x0000_s1032" DrawAspect="Content" ObjectID="_1468075725" r:id="rId11">
            <o:LockedField>false</o:LockedField>
          </o:OLEObject>
        </w:pict>
      </w:r>
    </w:p>
    <w:p>
      <w:pPr>
        <w:spacing w:line="600" w:lineRule="exact"/>
        <w:ind w:firstLine="640" w:firstLineChars="200"/>
        <w:rPr>
          <w:rFonts w:hint="eastAsia" w:ascii="仿宋_GB2312" w:hAnsi="仿宋" w:eastAsia="仿宋_GB2312"/>
          <w:color w:val="000000"/>
          <w:sz w:val="32"/>
          <w:szCs w:val="32"/>
        </w:rPr>
      </w:pPr>
    </w:p>
    <w:p>
      <w:pPr>
        <w:spacing w:line="600" w:lineRule="exact"/>
        <w:ind w:firstLine="643" w:firstLineChars="200"/>
        <w:outlineLvl w:val="1"/>
        <w:rPr>
          <w:rFonts w:hint="eastAsia" w:ascii="仿宋" w:hAnsi="仿宋" w:eastAsia="仿宋"/>
          <w:b/>
          <w:color w:val="000000"/>
          <w:sz w:val="32"/>
          <w:szCs w:val="32"/>
        </w:rPr>
      </w:pPr>
      <w:bookmarkStart w:id="36" w:name="_Toc15377212"/>
      <w:r>
        <w:rPr>
          <w:rFonts w:hint="eastAsia" w:ascii="仿宋" w:hAnsi="仿宋" w:eastAsia="仿宋"/>
          <w:b/>
          <w:color w:val="000000"/>
          <w:sz w:val="32"/>
          <w:szCs w:val="32"/>
        </w:rPr>
        <w:t>（三）一般公共预算财政拨款支出决算具体情况</w:t>
      </w:r>
      <w:bookmarkEnd w:id="36"/>
    </w:p>
    <w:p>
      <w:pPr>
        <w:spacing w:line="576" w:lineRule="exact"/>
        <w:ind w:firstLine="620" w:firstLineChars="200"/>
        <w:rPr>
          <w:rFonts w:hint="eastAsia" w:ascii="仿宋_GB2312" w:hAnsi="仿宋" w:eastAsia="仿宋_GB2312" w:cs="仿宋"/>
          <w:color w:val="000000"/>
          <w:spacing w:val="-5"/>
          <w:sz w:val="32"/>
          <w:lang w:eastAsia="zh-CN"/>
        </w:rPr>
      </w:pPr>
      <w:bookmarkStart w:id="37" w:name="_Toc15378460"/>
      <w:bookmarkStart w:id="38" w:name="_Toc15377213"/>
      <w:bookmarkStart w:id="39" w:name="_Toc15377444"/>
      <w:r>
        <w:rPr>
          <w:rFonts w:hint="eastAsia" w:ascii="仿宋_GB2312" w:hAnsi="仿宋" w:eastAsia="仿宋_GB2312" w:cs="仿宋"/>
          <w:color w:val="000000"/>
          <w:spacing w:val="-5"/>
          <w:sz w:val="32"/>
          <w:lang w:eastAsia="zh-CN"/>
        </w:rPr>
        <w:t>2019年般公共预算支出决算数为</w:t>
      </w:r>
      <w:r>
        <w:rPr>
          <w:rFonts w:hint="eastAsia" w:ascii="仿宋_GB2312" w:hAnsi="仿宋" w:eastAsia="仿宋_GB2312" w:cs="仿宋"/>
          <w:color w:val="000000"/>
          <w:spacing w:val="-5"/>
          <w:sz w:val="32"/>
          <w:lang w:val="en-US" w:eastAsia="zh-CN"/>
        </w:rPr>
        <w:t>107.49</w:t>
      </w:r>
      <w:r>
        <w:rPr>
          <w:rFonts w:hint="eastAsia" w:ascii="仿宋_GB2312" w:hAnsi="仿宋" w:eastAsia="仿宋_GB2312" w:cs="仿宋"/>
          <w:color w:val="000000"/>
          <w:spacing w:val="-5"/>
          <w:sz w:val="32"/>
          <w:lang w:eastAsia="zh-CN"/>
        </w:rPr>
        <w:t>万元，完成预算100%。其中：</w:t>
      </w:r>
      <w:bookmarkEnd w:id="37"/>
      <w:bookmarkEnd w:id="38"/>
      <w:bookmarkEnd w:id="39"/>
    </w:p>
    <w:p>
      <w:pPr>
        <w:spacing w:line="576" w:lineRule="exact"/>
        <w:ind w:firstLine="620" w:firstLineChars="200"/>
        <w:rPr>
          <w:rFonts w:hint="eastAsia" w:ascii="仿宋_GB2312" w:hAnsi="仿宋" w:eastAsia="仿宋_GB2312" w:cs="仿宋"/>
          <w:color w:val="000000"/>
          <w:spacing w:val="-5"/>
          <w:sz w:val="32"/>
          <w:lang w:eastAsia="zh-CN"/>
        </w:rPr>
      </w:pPr>
      <w:r>
        <w:rPr>
          <w:rFonts w:hint="eastAsia" w:ascii="仿宋_GB2312" w:hAnsi="仿宋" w:eastAsia="仿宋_GB2312" w:cs="仿宋"/>
          <w:color w:val="000000"/>
          <w:spacing w:val="-5"/>
          <w:sz w:val="32"/>
          <w:lang w:eastAsia="zh-CN"/>
        </w:rPr>
        <w:t>1.一般公共服务（类）政府办公厅及相关机构事务（款）行政运行（项）: 支出决算为</w:t>
      </w:r>
      <w:r>
        <w:rPr>
          <w:rFonts w:hint="eastAsia" w:ascii="仿宋_GB2312" w:hAnsi="仿宋" w:eastAsia="仿宋_GB2312" w:cs="仿宋"/>
          <w:color w:val="000000"/>
          <w:spacing w:val="-5"/>
          <w:sz w:val="32"/>
          <w:lang w:val="en-US" w:eastAsia="zh-CN"/>
        </w:rPr>
        <w:t>86.6</w:t>
      </w:r>
      <w:r>
        <w:rPr>
          <w:rFonts w:hint="eastAsia" w:ascii="仿宋_GB2312" w:hAnsi="仿宋" w:eastAsia="仿宋_GB2312" w:cs="仿宋"/>
          <w:color w:val="000000"/>
          <w:spacing w:val="-5"/>
          <w:sz w:val="32"/>
          <w:lang w:eastAsia="zh-CN"/>
        </w:rPr>
        <w:t>万元，完成预算100%。</w:t>
      </w:r>
    </w:p>
    <w:p>
      <w:pPr>
        <w:spacing w:line="576" w:lineRule="exact"/>
        <w:ind w:firstLine="620" w:firstLineChars="200"/>
        <w:rPr>
          <w:rFonts w:hint="eastAsia" w:ascii="仿宋_GB2312" w:hAnsi="仿宋" w:eastAsia="仿宋_GB2312" w:cs="仿宋"/>
          <w:color w:val="000000"/>
          <w:spacing w:val="-5"/>
          <w:sz w:val="32"/>
          <w:lang w:eastAsia="zh-CN"/>
        </w:rPr>
      </w:pPr>
      <w:r>
        <w:rPr>
          <w:rFonts w:hint="eastAsia" w:ascii="仿宋_GB2312" w:hAnsi="仿宋" w:eastAsia="仿宋_GB2312" w:cs="仿宋"/>
          <w:color w:val="000000"/>
          <w:spacing w:val="-5"/>
          <w:sz w:val="32"/>
          <w:lang w:val="en-US" w:eastAsia="zh-CN"/>
        </w:rPr>
        <w:t>2.</w:t>
      </w:r>
      <w:r>
        <w:rPr>
          <w:rFonts w:hint="eastAsia" w:ascii="仿宋_GB2312" w:hAnsi="仿宋" w:eastAsia="仿宋_GB2312" w:cs="仿宋"/>
          <w:color w:val="000000"/>
          <w:spacing w:val="-5"/>
          <w:sz w:val="32"/>
          <w:lang w:eastAsia="zh-CN"/>
        </w:rPr>
        <w:t>一般公共服务（类）政府办公厅及相关机构事务（款）一般行政管理事务（项）: 支出决算为</w:t>
      </w:r>
      <w:r>
        <w:rPr>
          <w:rFonts w:hint="eastAsia" w:ascii="仿宋_GB2312" w:hAnsi="仿宋" w:eastAsia="仿宋_GB2312" w:cs="仿宋"/>
          <w:color w:val="000000"/>
          <w:spacing w:val="-5"/>
          <w:sz w:val="32"/>
          <w:lang w:val="en-US" w:eastAsia="zh-CN"/>
        </w:rPr>
        <w:t>10</w:t>
      </w:r>
      <w:r>
        <w:rPr>
          <w:rFonts w:hint="eastAsia" w:ascii="仿宋_GB2312" w:hAnsi="仿宋" w:eastAsia="仿宋_GB2312" w:cs="仿宋"/>
          <w:color w:val="000000"/>
          <w:spacing w:val="-5"/>
          <w:sz w:val="32"/>
          <w:lang w:eastAsia="zh-CN"/>
        </w:rPr>
        <w:t>万元，完成预算100%。</w:t>
      </w:r>
    </w:p>
    <w:p>
      <w:pPr>
        <w:spacing w:line="576" w:lineRule="exact"/>
        <w:ind w:firstLine="620" w:firstLineChars="200"/>
        <w:rPr>
          <w:rFonts w:hint="eastAsia" w:ascii="仿宋_GB2312" w:hAnsi="仿宋" w:eastAsia="仿宋_GB2312" w:cs="仿宋"/>
          <w:color w:val="000000"/>
          <w:spacing w:val="-5"/>
          <w:sz w:val="32"/>
          <w:lang w:eastAsia="zh-CN"/>
        </w:rPr>
      </w:pPr>
      <w:r>
        <w:rPr>
          <w:rFonts w:hint="eastAsia" w:ascii="仿宋_GB2312" w:hAnsi="仿宋" w:eastAsia="仿宋_GB2312" w:cs="仿宋"/>
          <w:color w:val="000000"/>
          <w:spacing w:val="-5"/>
          <w:sz w:val="32"/>
          <w:lang w:val="en-US" w:eastAsia="zh-CN"/>
        </w:rPr>
        <w:t>3</w:t>
      </w:r>
      <w:r>
        <w:rPr>
          <w:rFonts w:hint="eastAsia" w:ascii="仿宋_GB2312" w:hAnsi="仿宋" w:eastAsia="仿宋_GB2312" w:cs="仿宋"/>
          <w:color w:val="000000"/>
          <w:spacing w:val="-5"/>
          <w:sz w:val="32"/>
          <w:lang w:eastAsia="zh-CN"/>
        </w:rPr>
        <w:t>.社会保障和就业（类）行政事业单位离退休（款）机关事业单位基本养老保险（项）：支出决算为</w:t>
      </w:r>
      <w:r>
        <w:rPr>
          <w:rFonts w:hint="eastAsia" w:ascii="仿宋_GB2312" w:hAnsi="仿宋" w:eastAsia="仿宋_GB2312" w:cs="仿宋"/>
          <w:color w:val="000000"/>
          <w:spacing w:val="-5"/>
          <w:sz w:val="32"/>
          <w:lang w:val="en-US" w:eastAsia="zh-CN"/>
        </w:rPr>
        <w:t>3.43</w:t>
      </w:r>
      <w:r>
        <w:rPr>
          <w:rFonts w:hint="eastAsia" w:ascii="仿宋_GB2312" w:hAnsi="仿宋" w:eastAsia="仿宋_GB2312" w:cs="仿宋"/>
          <w:color w:val="000000"/>
          <w:spacing w:val="-5"/>
          <w:sz w:val="32"/>
          <w:lang w:eastAsia="zh-CN"/>
        </w:rPr>
        <w:t>万元，完成预算100%。</w:t>
      </w:r>
    </w:p>
    <w:p>
      <w:pPr>
        <w:spacing w:line="576" w:lineRule="exact"/>
        <w:ind w:firstLine="620" w:firstLineChars="200"/>
        <w:rPr>
          <w:rFonts w:hint="eastAsia" w:ascii="仿宋_GB2312" w:hAnsi="仿宋" w:eastAsia="仿宋_GB2312" w:cs="仿宋"/>
          <w:color w:val="000000"/>
          <w:spacing w:val="-5"/>
          <w:sz w:val="32"/>
          <w:lang w:val="en-US" w:eastAsia="zh-CN"/>
        </w:rPr>
      </w:pPr>
      <w:r>
        <w:rPr>
          <w:rFonts w:hint="eastAsia" w:ascii="仿宋_GB2312" w:hAnsi="仿宋" w:eastAsia="仿宋_GB2312" w:cs="仿宋"/>
          <w:color w:val="000000"/>
          <w:spacing w:val="-5"/>
          <w:sz w:val="32"/>
          <w:lang w:val="en-US" w:eastAsia="zh-CN"/>
        </w:rPr>
        <w:t>4</w:t>
      </w:r>
      <w:r>
        <w:rPr>
          <w:rFonts w:hint="eastAsia" w:ascii="仿宋_GB2312" w:hAnsi="仿宋" w:eastAsia="仿宋_GB2312" w:cs="仿宋"/>
          <w:color w:val="000000"/>
          <w:spacing w:val="-5"/>
          <w:sz w:val="32"/>
          <w:lang w:eastAsia="zh-CN"/>
        </w:rPr>
        <w:t>.社会保障和就业（类）行政事业单位离退休（款）机关事业单位职业年金（项）: 支出决算为</w:t>
      </w:r>
      <w:r>
        <w:rPr>
          <w:rFonts w:hint="eastAsia" w:ascii="仿宋_GB2312" w:hAnsi="仿宋" w:eastAsia="仿宋_GB2312" w:cs="仿宋"/>
          <w:color w:val="000000"/>
          <w:spacing w:val="-5"/>
          <w:sz w:val="32"/>
          <w:lang w:val="en-US" w:eastAsia="zh-CN"/>
        </w:rPr>
        <w:t>1.56</w:t>
      </w:r>
      <w:r>
        <w:rPr>
          <w:rFonts w:hint="eastAsia" w:ascii="仿宋_GB2312" w:hAnsi="仿宋" w:eastAsia="仿宋_GB2312" w:cs="仿宋"/>
          <w:color w:val="000000"/>
          <w:spacing w:val="-5"/>
          <w:sz w:val="32"/>
          <w:lang w:eastAsia="zh-CN"/>
        </w:rPr>
        <w:t>万元，完成预算100%。</w:t>
      </w:r>
    </w:p>
    <w:p>
      <w:pPr>
        <w:spacing w:line="576" w:lineRule="exact"/>
        <w:ind w:firstLine="620" w:firstLineChars="200"/>
        <w:rPr>
          <w:rFonts w:hint="eastAsia" w:ascii="仿宋_GB2312" w:hAnsi="仿宋" w:eastAsia="仿宋_GB2312" w:cs="仿宋"/>
          <w:color w:val="000000"/>
          <w:spacing w:val="-5"/>
          <w:sz w:val="32"/>
          <w:lang w:eastAsia="zh-CN"/>
        </w:rPr>
      </w:pPr>
      <w:r>
        <w:rPr>
          <w:rFonts w:hint="eastAsia" w:ascii="仿宋_GB2312" w:hAnsi="仿宋" w:eastAsia="仿宋_GB2312" w:cs="仿宋"/>
          <w:color w:val="000000"/>
          <w:spacing w:val="-5"/>
          <w:sz w:val="32"/>
          <w:lang w:val="en-US" w:eastAsia="zh-CN"/>
        </w:rPr>
        <w:t>5</w:t>
      </w:r>
      <w:r>
        <w:rPr>
          <w:rFonts w:hint="eastAsia" w:ascii="仿宋_GB2312" w:hAnsi="仿宋" w:eastAsia="仿宋_GB2312" w:cs="仿宋"/>
          <w:color w:val="000000"/>
          <w:spacing w:val="-5"/>
          <w:sz w:val="32"/>
          <w:lang w:eastAsia="zh-CN"/>
        </w:rPr>
        <w:t>.卫生与健康(类)行政事业单位医疗（款）行政单位医疗（项）: 支出决算为</w:t>
      </w:r>
      <w:r>
        <w:rPr>
          <w:rFonts w:hint="eastAsia" w:ascii="仿宋_GB2312" w:hAnsi="仿宋" w:eastAsia="仿宋_GB2312" w:cs="仿宋"/>
          <w:color w:val="000000"/>
          <w:spacing w:val="-5"/>
          <w:sz w:val="32"/>
          <w:lang w:val="en-US" w:eastAsia="zh-CN"/>
        </w:rPr>
        <w:t>2.35</w:t>
      </w:r>
      <w:r>
        <w:rPr>
          <w:rFonts w:hint="eastAsia" w:ascii="仿宋_GB2312" w:hAnsi="仿宋" w:eastAsia="仿宋_GB2312" w:cs="仿宋"/>
          <w:color w:val="000000"/>
          <w:spacing w:val="-5"/>
          <w:sz w:val="32"/>
          <w:lang w:eastAsia="zh-CN"/>
        </w:rPr>
        <w:t>万元，完成预算100%。</w:t>
      </w:r>
    </w:p>
    <w:p>
      <w:pPr>
        <w:spacing w:line="576" w:lineRule="exact"/>
        <w:ind w:firstLine="620" w:firstLineChars="200"/>
        <w:rPr>
          <w:rFonts w:hint="eastAsia" w:ascii="仿宋_GB2312" w:hAnsi="仿宋" w:eastAsia="仿宋_GB2312" w:cs="仿宋"/>
          <w:color w:val="000000"/>
          <w:spacing w:val="-5"/>
          <w:sz w:val="32"/>
          <w:lang w:eastAsia="zh-CN"/>
        </w:rPr>
      </w:pPr>
      <w:r>
        <w:rPr>
          <w:rFonts w:hint="eastAsia" w:ascii="仿宋_GB2312" w:hAnsi="仿宋" w:eastAsia="仿宋_GB2312" w:cs="仿宋"/>
          <w:color w:val="000000"/>
          <w:spacing w:val="-5"/>
          <w:sz w:val="32"/>
          <w:lang w:val="en-US" w:eastAsia="zh-CN"/>
        </w:rPr>
        <w:t>6</w:t>
      </w:r>
      <w:r>
        <w:rPr>
          <w:rFonts w:hint="eastAsia" w:ascii="仿宋_GB2312" w:hAnsi="仿宋" w:eastAsia="仿宋_GB2312" w:cs="仿宋"/>
          <w:color w:val="000000"/>
          <w:spacing w:val="-5"/>
          <w:sz w:val="32"/>
          <w:lang w:eastAsia="zh-CN"/>
        </w:rPr>
        <w:t>.住房保障支出（类）住房改革支出（款）住房公积金（项）: 支出决算为</w:t>
      </w:r>
      <w:r>
        <w:rPr>
          <w:rFonts w:hint="eastAsia" w:ascii="仿宋_GB2312" w:hAnsi="仿宋" w:eastAsia="仿宋_GB2312" w:cs="仿宋"/>
          <w:color w:val="000000"/>
          <w:spacing w:val="-5"/>
          <w:sz w:val="32"/>
          <w:lang w:val="en-US" w:eastAsia="zh-CN"/>
        </w:rPr>
        <w:t>3.55</w:t>
      </w:r>
      <w:r>
        <w:rPr>
          <w:rFonts w:hint="eastAsia" w:ascii="仿宋_GB2312" w:hAnsi="仿宋" w:eastAsia="仿宋_GB2312" w:cs="仿宋"/>
          <w:color w:val="000000"/>
          <w:spacing w:val="-5"/>
          <w:sz w:val="32"/>
          <w:lang w:eastAsia="zh-CN"/>
        </w:rPr>
        <w:t>万元，完成预算100%。</w:t>
      </w:r>
      <w:bookmarkStart w:id="40" w:name="_Toc15396608"/>
      <w:bookmarkStart w:id="41" w:name="_Toc15377214"/>
    </w:p>
    <w:p>
      <w:pPr>
        <w:spacing w:line="600" w:lineRule="exact"/>
        <w:ind w:firstLine="640" w:firstLineChars="200"/>
        <w:rPr>
          <w:rFonts w:ascii="仿宋_GB2312" w:hAnsi="仿宋" w:eastAsia="仿宋_GB2312"/>
          <w:b/>
          <w:bCs/>
          <w:color w:val="000000"/>
          <w:sz w:val="32"/>
          <w:szCs w:val="32"/>
        </w:rPr>
      </w:pPr>
      <w:r>
        <w:rPr>
          <w:rFonts w:hint="eastAsia" w:ascii="黑体" w:eastAsia="黑体"/>
          <w:color w:val="000000"/>
          <w:sz w:val="32"/>
          <w:szCs w:val="32"/>
        </w:rPr>
        <w:t>六、</w:t>
      </w:r>
      <w:r>
        <w:rPr>
          <w:rFonts w:hint="eastAsia" w:ascii="黑体" w:hAnsi="黑体" w:eastAsia="黑体"/>
          <w:b/>
          <w:color w:val="000000"/>
          <w:sz w:val="32"/>
          <w:szCs w:val="32"/>
        </w:rPr>
        <w:t>一</w:t>
      </w:r>
      <w:r>
        <w:rPr>
          <w:rStyle w:val="17"/>
          <w:rFonts w:hint="eastAsia" w:ascii="黑体" w:hAnsi="黑体" w:eastAsia="黑体"/>
          <w:b w:val="0"/>
        </w:rPr>
        <w:t>般公共预算财政拨款基本支出决算情况说明</w:t>
      </w:r>
      <w:bookmarkEnd w:id="40"/>
      <w:bookmarkEnd w:id="41"/>
    </w:p>
    <w:p>
      <w:pPr>
        <w:spacing w:line="576" w:lineRule="exact"/>
        <w:ind w:firstLine="620" w:firstLineChars="200"/>
        <w:rPr>
          <w:rFonts w:hint="eastAsia" w:ascii="仿宋_GB2312" w:hAnsi="仿宋" w:eastAsia="仿宋_GB2312" w:cs="仿宋"/>
          <w:color w:val="000000"/>
          <w:spacing w:val="-5"/>
          <w:sz w:val="32"/>
          <w:lang w:eastAsia="zh-CN"/>
        </w:rPr>
      </w:pPr>
      <w:r>
        <w:rPr>
          <w:rFonts w:hint="eastAsia" w:ascii="仿宋_GB2312" w:hAnsi="仿宋" w:eastAsia="仿宋_GB2312" w:cs="仿宋"/>
          <w:color w:val="000000"/>
          <w:spacing w:val="-5"/>
          <w:sz w:val="32"/>
          <w:lang w:eastAsia="zh-CN"/>
        </w:rPr>
        <w:t>2019年一般公共预算财政拨款基本支出</w:t>
      </w:r>
      <w:r>
        <w:rPr>
          <w:rFonts w:hint="eastAsia" w:ascii="仿宋_GB2312" w:hAnsi="仿宋" w:eastAsia="仿宋_GB2312" w:cs="仿宋"/>
          <w:color w:val="000000"/>
          <w:spacing w:val="-5"/>
          <w:sz w:val="32"/>
          <w:lang w:val="en-US" w:eastAsia="zh-CN"/>
        </w:rPr>
        <w:t>97.49</w:t>
      </w:r>
      <w:r>
        <w:rPr>
          <w:rFonts w:hint="eastAsia" w:ascii="仿宋_GB2312" w:hAnsi="仿宋" w:eastAsia="仿宋_GB2312" w:cs="仿宋"/>
          <w:color w:val="000000"/>
          <w:spacing w:val="-5"/>
          <w:sz w:val="32"/>
          <w:lang w:eastAsia="zh-CN"/>
        </w:rPr>
        <w:t>万元，其中：</w:t>
      </w:r>
    </w:p>
    <w:p>
      <w:pPr>
        <w:spacing w:line="576" w:lineRule="exact"/>
        <w:rPr>
          <w:rFonts w:hint="eastAsia" w:ascii="仿宋_GB2312" w:hAnsi="仿宋" w:eastAsia="仿宋_GB2312" w:cs="仿宋"/>
          <w:color w:val="000000"/>
          <w:spacing w:val="-5"/>
          <w:sz w:val="32"/>
          <w:lang w:eastAsia="zh-CN"/>
        </w:rPr>
      </w:pPr>
      <w:r>
        <w:rPr>
          <w:rFonts w:hint="eastAsia" w:ascii="仿宋_GB2312" w:hAnsi="仿宋" w:eastAsia="仿宋_GB2312" w:cs="仿宋"/>
          <w:color w:val="000000"/>
          <w:spacing w:val="-5"/>
          <w:sz w:val="32"/>
          <w:lang w:eastAsia="zh-CN"/>
        </w:rPr>
        <w:t>人员经费</w:t>
      </w:r>
      <w:r>
        <w:rPr>
          <w:rFonts w:hint="eastAsia" w:ascii="仿宋_GB2312" w:hAnsi="仿宋" w:eastAsia="仿宋_GB2312" w:cs="仿宋"/>
          <w:color w:val="000000"/>
          <w:spacing w:val="-5"/>
          <w:sz w:val="32"/>
          <w:lang w:val="en-US" w:eastAsia="zh-CN"/>
        </w:rPr>
        <w:t>92.09</w:t>
      </w:r>
      <w:r>
        <w:rPr>
          <w:rFonts w:hint="eastAsia" w:ascii="仿宋_GB2312" w:hAnsi="仿宋" w:eastAsia="仿宋_GB2312" w:cs="仿宋"/>
          <w:color w:val="000000"/>
          <w:spacing w:val="-5"/>
          <w:sz w:val="32"/>
          <w:lang w:eastAsia="zh-CN"/>
        </w:rPr>
        <w:t>万元，主要包括：基本工资、津贴补贴、奖金、机关事业单位基本养老保险缴费、职业年金缴费、其他社会保障缴费、其他工资福利支出、生活补助、医疗费、奖励金、住房公积金、其他对个人和家庭的补助支出等。</w:t>
      </w:r>
    </w:p>
    <w:p>
      <w:pPr>
        <w:spacing w:line="576" w:lineRule="exact"/>
        <w:ind w:firstLine="620" w:firstLineChars="200"/>
        <w:rPr>
          <w:rFonts w:hint="eastAsia" w:ascii="仿宋_GB2312" w:hAnsi="仿宋" w:eastAsia="仿宋_GB2312" w:cs="仿宋"/>
          <w:color w:val="000000"/>
          <w:spacing w:val="-5"/>
          <w:sz w:val="32"/>
          <w:lang w:eastAsia="zh-CN"/>
        </w:rPr>
      </w:pPr>
      <w:r>
        <w:rPr>
          <w:rFonts w:hint="eastAsia" w:ascii="仿宋_GB2312" w:hAnsi="仿宋" w:eastAsia="仿宋_GB2312" w:cs="仿宋"/>
          <w:color w:val="000000"/>
          <w:spacing w:val="-5"/>
          <w:sz w:val="32"/>
          <w:lang w:eastAsia="zh-CN"/>
        </w:rPr>
        <w:t>公用经费</w:t>
      </w:r>
      <w:r>
        <w:rPr>
          <w:rFonts w:hint="eastAsia" w:ascii="仿宋_GB2312" w:hAnsi="仿宋" w:eastAsia="仿宋_GB2312" w:cs="仿宋"/>
          <w:color w:val="000000"/>
          <w:spacing w:val="-5"/>
          <w:sz w:val="32"/>
          <w:lang w:val="en-US" w:eastAsia="zh-CN"/>
        </w:rPr>
        <w:t>5.4</w:t>
      </w:r>
      <w:r>
        <w:rPr>
          <w:rFonts w:hint="eastAsia" w:ascii="仿宋_GB2312" w:hAnsi="仿宋" w:eastAsia="仿宋_GB2312" w:cs="仿宋"/>
          <w:color w:val="000000"/>
          <w:spacing w:val="-5"/>
          <w:sz w:val="32"/>
          <w:lang w:eastAsia="zh-CN"/>
        </w:rPr>
        <w:t>万元，</w:t>
      </w:r>
      <w:bookmarkStart w:id="42" w:name="_Toc15396609"/>
      <w:bookmarkStart w:id="43" w:name="_Toc15377215"/>
      <w:r>
        <w:rPr>
          <w:rFonts w:hint="eastAsia" w:ascii="仿宋_GB2312" w:hAnsi="仿宋" w:eastAsia="仿宋_GB2312" w:cs="仿宋"/>
          <w:color w:val="000000"/>
          <w:spacing w:val="-5"/>
          <w:sz w:val="32"/>
          <w:lang w:eastAsia="zh-CN"/>
        </w:rPr>
        <w:t>主要包括：办公费、水费、邮电费、差旅费、公务接待费、其他交通费用等。</w:t>
      </w:r>
    </w:p>
    <w:p>
      <w:pPr>
        <w:spacing w:line="600" w:lineRule="exact"/>
        <w:ind w:firstLine="645"/>
        <w:rPr>
          <w:rStyle w:val="17"/>
          <w:rFonts w:ascii="黑体" w:hAnsi="仿宋" w:eastAsia="黑体"/>
          <w:b w:val="0"/>
          <w:bCs w:val="0"/>
          <w:color w:val="000000"/>
        </w:rPr>
      </w:pPr>
      <w:r>
        <w:rPr>
          <w:rFonts w:hint="eastAsia" w:ascii="黑体" w:eastAsia="黑体"/>
          <w:color w:val="000000"/>
          <w:sz w:val="32"/>
          <w:szCs w:val="32"/>
        </w:rPr>
        <w:t>七、</w:t>
      </w:r>
      <w:r>
        <w:rPr>
          <w:rStyle w:val="17"/>
          <w:rFonts w:hint="eastAsia" w:ascii="黑体" w:hAnsi="黑体" w:eastAsia="黑体"/>
          <w:b w:val="0"/>
        </w:rPr>
        <w:t>“三公”经费财政拨款支出决算情况说明</w:t>
      </w:r>
      <w:bookmarkEnd w:id="42"/>
      <w:bookmarkEnd w:id="43"/>
    </w:p>
    <w:p>
      <w:pPr>
        <w:spacing w:line="600" w:lineRule="exact"/>
        <w:ind w:firstLine="643" w:firstLineChars="200"/>
        <w:outlineLvl w:val="1"/>
        <w:rPr>
          <w:rFonts w:ascii="楷体_GB2312" w:hAnsi="仿宋" w:eastAsia="楷体_GB2312"/>
          <w:b/>
          <w:color w:val="000000"/>
          <w:sz w:val="32"/>
          <w:szCs w:val="32"/>
        </w:rPr>
      </w:pPr>
      <w:bookmarkStart w:id="44" w:name="_Toc15377216"/>
      <w:r>
        <w:rPr>
          <w:rFonts w:hint="eastAsia" w:ascii="楷体_GB2312" w:hAnsi="仿宋" w:eastAsia="楷体_GB2312"/>
          <w:b/>
          <w:color w:val="000000"/>
          <w:sz w:val="32"/>
          <w:szCs w:val="32"/>
        </w:rPr>
        <w:t>（一）“三公”经费财政拨款支出决算总体情况说明</w:t>
      </w:r>
      <w:bookmarkEnd w:id="44"/>
    </w:p>
    <w:p>
      <w:pPr>
        <w:spacing w:line="576" w:lineRule="exact"/>
        <w:ind w:firstLine="620" w:firstLineChars="200"/>
        <w:rPr>
          <w:rFonts w:hint="eastAsia" w:ascii="仿宋_GB2312" w:hAnsi="仿宋" w:eastAsia="仿宋_GB2312" w:cs="仿宋"/>
          <w:color w:val="000000"/>
          <w:spacing w:val="-5"/>
          <w:sz w:val="32"/>
          <w:lang w:eastAsia="zh-CN"/>
        </w:rPr>
      </w:pPr>
      <w:r>
        <w:rPr>
          <w:rFonts w:hint="eastAsia" w:ascii="仿宋_GB2312" w:hAnsi="仿宋" w:eastAsia="仿宋_GB2312" w:cs="仿宋"/>
          <w:color w:val="000000"/>
          <w:spacing w:val="-5"/>
          <w:sz w:val="32"/>
          <w:lang w:eastAsia="zh-CN"/>
        </w:rPr>
        <w:t xml:space="preserve">2019年“三公”经费财政拨款支出决算为0万元。 </w:t>
      </w:r>
    </w:p>
    <w:p>
      <w:pPr>
        <w:spacing w:line="600" w:lineRule="exact"/>
        <w:ind w:firstLine="643" w:firstLineChars="200"/>
        <w:outlineLvl w:val="1"/>
        <w:rPr>
          <w:rFonts w:ascii="楷体_GB2312" w:hAnsi="仿宋" w:eastAsia="楷体_GB2312"/>
          <w:b/>
          <w:color w:val="000000"/>
          <w:sz w:val="32"/>
          <w:szCs w:val="32"/>
        </w:rPr>
      </w:pPr>
      <w:bookmarkStart w:id="45" w:name="_Toc15377217"/>
      <w:r>
        <w:rPr>
          <w:rFonts w:hint="eastAsia" w:ascii="楷体_GB2312" w:hAnsi="仿宋" w:eastAsia="楷体_GB2312"/>
          <w:b/>
          <w:color w:val="000000"/>
          <w:sz w:val="32"/>
          <w:szCs w:val="32"/>
        </w:rPr>
        <w:t>（二）“三公”经费财政拨款支出决算具体情况说明</w:t>
      </w:r>
      <w:bookmarkEnd w:id="45"/>
    </w:p>
    <w:p>
      <w:pPr>
        <w:spacing w:line="576" w:lineRule="exact"/>
        <w:ind w:firstLine="620" w:firstLineChars="200"/>
        <w:rPr>
          <w:rFonts w:hint="eastAsia" w:ascii="仿宋_GB2312" w:hAnsi="仿宋" w:eastAsia="仿宋_GB2312" w:cs="仿宋"/>
          <w:color w:val="000000"/>
          <w:spacing w:val="-5"/>
          <w:sz w:val="32"/>
          <w:lang w:eastAsia="zh-CN"/>
        </w:rPr>
      </w:pPr>
      <w:r>
        <w:rPr>
          <w:rFonts w:hint="eastAsia" w:ascii="仿宋_GB2312" w:hAnsi="仿宋" w:eastAsia="仿宋_GB2312" w:cs="仿宋"/>
          <w:color w:val="000000"/>
          <w:spacing w:val="-5"/>
          <w:sz w:val="32"/>
          <w:lang w:eastAsia="zh-CN"/>
        </w:rPr>
        <w:t>2019年“三公”经费财政拨款支出决算中，因公出国（境）费支出决算0万元；公务用车购置及运行维护费支出决算0万元；公务接待费支出决算0万元，。</w:t>
      </w:r>
    </w:p>
    <w:p>
      <w:pPr>
        <w:spacing w:line="576" w:lineRule="exact"/>
        <w:ind w:firstLine="620" w:firstLineChars="200"/>
        <w:rPr>
          <w:rFonts w:hint="eastAsia" w:ascii="仿宋_GB2312" w:hAnsi="仿宋" w:eastAsia="仿宋_GB2312" w:cs="仿宋"/>
          <w:color w:val="000000"/>
          <w:spacing w:val="-5"/>
          <w:sz w:val="32"/>
          <w:lang w:eastAsia="zh-CN"/>
        </w:rPr>
      </w:pPr>
      <w:r>
        <w:rPr>
          <w:rFonts w:hint="eastAsia" w:ascii="仿宋_GB2312" w:hAnsi="仿宋" w:eastAsia="仿宋_GB2312" w:cs="仿宋"/>
          <w:color w:val="000000"/>
          <w:spacing w:val="-5"/>
          <w:sz w:val="32"/>
          <w:lang w:eastAsia="zh-CN"/>
        </w:rPr>
        <w:t>1.因公出国（境）经费支出0万元，我单位不涉及此项。</w:t>
      </w:r>
    </w:p>
    <w:p>
      <w:pPr>
        <w:spacing w:line="576" w:lineRule="exact"/>
        <w:ind w:firstLine="620" w:firstLineChars="200"/>
        <w:rPr>
          <w:rFonts w:hint="eastAsia" w:ascii="仿宋_GB2312" w:hAnsi="仿宋" w:eastAsia="仿宋_GB2312" w:cs="仿宋"/>
          <w:color w:val="000000"/>
          <w:spacing w:val="-5"/>
          <w:sz w:val="32"/>
          <w:lang w:eastAsia="zh-CN"/>
        </w:rPr>
      </w:pPr>
      <w:r>
        <w:rPr>
          <w:rFonts w:hint="eastAsia" w:ascii="仿宋_GB2312" w:hAnsi="仿宋" w:eastAsia="仿宋_GB2312" w:cs="仿宋"/>
          <w:color w:val="000000"/>
          <w:spacing w:val="-5"/>
          <w:sz w:val="32"/>
          <w:lang w:eastAsia="zh-CN"/>
        </w:rPr>
        <w:t>2.公务用车购置及运行维护费支出0万元, 我单位无公务用车。</w:t>
      </w:r>
    </w:p>
    <w:p>
      <w:pPr>
        <w:spacing w:line="576" w:lineRule="exact"/>
        <w:ind w:firstLine="620" w:firstLineChars="200"/>
        <w:rPr>
          <w:rFonts w:hint="eastAsia" w:ascii="仿宋_GB2312" w:hAnsi="仿宋" w:eastAsia="仿宋_GB2312" w:cs="仿宋"/>
          <w:color w:val="000000"/>
          <w:spacing w:val="-5"/>
          <w:sz w:val="32"/>
          <w:lang w:eastAsia="zh-CN"/>
        </w:rPr>
      </w:pPr>
      <w:r>
        <w:rPr>
          <w:rFonts w:hint="eastAsia" w:ascii="仿宋_GB2312" w:hAnsi="仿宋" w:eastAsia="仿宋_GB2312" w:cs="仿宋"/>
          <w:color w:val="000000"/>
          <w:spacing w:val="-5"/>
          <w:sz w:val="32"/>
          <w:lang w:eastAsia="zh-CN"/>
        </w:rPr>
        <w:t>3.公务接待费支出0万元；外事接待支出0万元，我单位不涉及此项；其他国内公务接待支出0万元</w:t>
      </w:r>
      <w:bookmarkStart w:id="46" w:name="_Toc15396610"/>
      <w:bookmarkStart w:id="47" w:name="_Toc15377218"/>
      <w:r>
        <w:rPr>
          <w:rFonts w:hint="eastAsia" w:ascii="仿宋_GB2312" w:hAnsi="仿宋" w:eastAsia="仿宋_GB2312" w:cs="仿宋"/>
          <w:color w:val="000000"/>
          <w:spacing w:val="-5"/>
          <w:sz w:val="32"/>
          <w:lang w:eastAsia="zh-CN"/>
        </w:rPr>
        <w:t>，我单位不涉及此项。</w:t>
      </w:r>
    </w:p>
    <w:p>
      <w:pPr>
        <w:spacing w:line="600" w:lineRule="exact"/>
        <w:ind w:firstLine="640" w:firstLineChars="200"/>
        <w:rPr>
          <w:rFonts w:ascii="仿宋" w:hAnsi="仿宋" w:eastAsia="仿宋"/>
          <w:b/>
          <w:color w:val="000000"/>
          <w:sz w:val="32"/>
          <w:szCs w:val="32"/>
        </w:rPr>
      </w:pPr>
      <w:r>
        <w:rPr>
          <w:rFonts w:hint="eastAsia" w:ascii="黑体" w:eastAsia="黑体"/>
          <w:color w:val="000000"/>
          <w:sz w:val="32"/>
          <w:szCs w:val="32"/>
        </w:rPr>
        <w:t>八、</w:t>
      </w:r>
      <w:r>
        <w:rPr>
          <w:rStyle w:val="17"/>
          <w:rFonts w:hint="eastAsia" w:ascii="黑体" w:hAnsi="黑体" w:eastAsia="黑体"/>
          <w:b w:val="0"/>
        </w:rPr>
        <w:t>政府性基金预算支出决算情况说明</w:t>
      </w:r>
      <w:bookmarkEnd w:id="46"/>
      <w:bookmarkEnd w:id="47"/>
    </w:p>
    <w:p>
      <w:pPr>
        <w:spacing w:line="576" w:lineRule="exact"/>
        <w:ind w:firstLine="620" w:firstLineChars="200"/>
        <w:rPr>
          <w:rFonts w:hint="eastAsia" w:ascii="仿宋_GB2312" w:hAnsi="仿宋" w:eastAsia="仿宋_GB2312" w:cs="仿宋"/>
          <w:color w:val="000000"/>
          <w:spacing w:val="-5"/>
          <w:sz w:val="32"/>
          <w:lang w:eastAsia="zh-CN"/>
        </w:rPr>
      </w:pPr>
      <w:r>
        <w:rPr>
          <w:rFonts w:hint="eastAsia" w:ascii="仿宋_GB2312" w:hAnsi="仿宋" w:eastAsia="仿宋_GB2312" w:cs="仿宋"/>
          <w:color w:val="000000"/>
          <w:spacing w:val="-5"/>
          <w:sz w:val="32"/>
          <w:lang w:eastAsia="zh-CN"/>
        </w:rPr>
        <w:t>2019年政府性基金预算拨款支出0万元。</w:t>
      </w:r>
      <w:bookmarkStart w:id="48" w:name="_Toc15377219"/>
      <w:bookmarkStart w:id="49" w:name="_Toc15396611"/>
    </w:p>
    <w:p>
      <w:pPr>
        <w:spacing w:line="600" w:lineRule="exact"/>
        <w:ind w:firstLine="640"/>
        <w:rPr>
          <w:rStyle w:val="17"/>
          <w:rFonts w:ascii="仿宋_GB2312" w:hAnsi="Times New Roman" w:eastAsia="仿宋_GB2312"/>
          <w:b w:val="0"/>
          <w:bCs w:val="0"/>
          <w:color w:val="000000"/>
        </w:rPr>
      </w:pPr>
      <w:r>
        <w:rPr>
          <w:rStyle w:val="17"/>
          <w:rFonts w:hint="eastAsia" w:ascii="黑体" w:hAnsi="黑体" w:eastAsia="黑体"/>
          <w:b w:val="0"/>
        </w:rPr>
        <w:t>九、国有资本经营预算支出决算情况说明</w:t>
      </w:r>
      <w:bookmarkEnd w:id="48"/>
      <w:bookmarkEnd w:id="49"/>
    </w:p>
    <w:p>
      <w:pPr>
        <w:spacing w:line="576" w:lineRule="exact"/>
        <w:ind w:firstLine="620" w:firstLineChars="200"/>
        <w:rPr>
          <w:rFonts w:hint="eastAsia" w:ascii="仿宋_GB2312" w:hAnsi="仿宋" w:eastAsia="仿宋_GB2312" w:cs="仿宋"/>
          <w:color w:val="000000"/>
          <w:spacing w:val="-5"/>
          <w:sz w:val="32"/>
          <w:lang w:eastAsia="zh-CN"/>
        </w:rPr>
      </w:pPr>
      <w:r>
        <w:rPr>
          <w:rFonts w:hint="eastAsia" w:ascii="仿宋_GB2312" w:hAnsi="仿宋" w:eastAsia="仿宋_GB2312" w:cs="仿宋"/>
          <w:color w:val="000000"/>
          <w:spacing w:val="-5"/>
          <w:sz w:val="32"/>
          <w:lang w:eastAsia="zh-CN"/>
        </w:rPr>
        <w:t>2019年国有资本经营预算拨款支出0万元。</w:t>
      </w:r>
    </w:p>
    <w:p>
      <w:pPr>
        <w:spacing w:line="600" w:lineRule="exact"/>
        <w:ind w:firstLine="640" w:firstLineChars="200"/>
        <w:outlineLvl w:val="1"/>
        <w:rPr>
          <w:rStyle w:val="17"/>
          <w:rFonts w:ascii="黑体" w:hAnsi="黑体" w:eastAsia="黑体"/>
          <w:b w:val="0"/>
        </w:rPr>
      </w:pPr>
      <w:bookmarkStart w:id="50" w:name="_Toc15377221"/>
      <w:bookmarkStart w:id="51" w:name="_Toc15396612"/>
      <w:r>
        <w:rPr>
          <w:rFonts w:hint="eastAsia" w:ascii="黑体" w:hAnsi="黑体" w:eastAsia="黑体"/>
          <w:color w:val="000000"/>
          <w:sz w:val="32"/>
          <w:szCs w:val="32"/>
        </w:rPr>
        <w:t>十</w:t>
      </w:r>
      <w:r>
        <w:rPr>
          <w:rFonts w:hint="eastAsia" w:ascii="黑体" w:hAnsi="黑体" w:eastAsia="黑体"/>
          <w:color w:val="000000"/>
          <w:sz w:val="32"/>
          <w:szCs w:val="32"/>
          <w:lang w:eastAsia="zh-CN"/>
        </w:rPr>
        <w:t>、</w:t>
      </w:r>
      <w:r>
        <w:rPr>
          <w:rStyle w:val="17"/>
          <w:rFonts w:hint="eastAsia" w:ascii="黑体" w:hAnsi="黑体" w:eastAsia="黑体"/>
          <w:b w:val="0"/>
        </w:rPr>
        <w:t>其他重要事项的情况说明</w:t>
      </w:r>
      <w:bookmarkEnd w:id="50"/>
      <w:bookmarkEnd w:id="51"/>
    </w:p>
    <w:p>
      <w:pPr>
        <w:spacing w:line="600" w:lineRule="exact"/>
        <w:ind w:firstLine="643" w:firstLineChars="200"/>
        <w:outlineLvl w:val="2"/>
        <w:rPr>
          <w:rFonts w:ascii="楷体_GB2312" w:hAnsi="仿宋" w:eastAsia="楷体_GB2312"/>
          <w:color w:val="000000"/>
          <w:sz w:val="32"/>
          <w:szCs w:val="32"/>
        </w:rPr>
      </w:pPr>
      <w:bookmarkStart w:id="52" w:name="_Toc15377222"/>
      <w:r>
        <w:rPr>
          <w:rFonts w:hint="eastAsia" w:ascii="楷体_GB2312" w:hAnsi="仿宋" w:eastAsia="楷体_GB2312"/>
          <w:b/>
          <w:color w:val="000000"/>
          <w:sz w:val="32"/>
          <w:szCs w:val="32"/>
        </w:rPr>
        <w:t>（一）机关运行经费支出情况</w:t>
      </w:r>
      <w:bookmarkEnd w:id="52"/>
    </w:p>
    <w:p>
      <w:pPr>
        <w:spacing w:line="576" w:lineRule="exact"/>
        <w:ind w:firstLine="620" w:firstLineChars="200"/>
        <w:rPr>
          <w:rFonts w:hint="eastAsia" w:ascii="仿宋_GB2312" w:hAnsi="仿宋" w:eastAsia="仿宋_GB2312" w:cs="仿宋"/>
          <w:color w:val="000000"/>
          <w:spacing w:val="-5"/>
          <w:sz w:val="32"/>
          <w:lang w:eastAsia="zh-CN"/>
        </w:rPr>
      </w:pPr>
      <w:r>
        <w:rPr>
          <w:rFonts w:hint="eastAsia" w:ascii="仿宋_GB2312" w:hAnsi="仿宋" w:eastAsia="仿宋_GB2312" w:cs="仿宋"/>
          <w:color w:val="000000"/>
          <w:spacing w:val="-5"/>
          <w:sz w:val="32"/>
          <w:lang w:eastAsia="zh-CN"/>
        </w:rPr>
        <w:t>2019年，本单位机关运行经费支出</w:t>
      </w:r>
      <w:r>
        <w:rPr>
          <w:rFonts w:hint="eastAsia" w:ascii="仿宋_GB2312" w:hAnsi="仿宋" w:eastAsia="仿宋_GB2312" w:cs="仿宋"/>
          <w:color w:val="000000"/>
          <w:spacing w:val="-5"/>
          <w:sz w:val="32"/>
          <w:lang w:val="en-US" w:eastAsia="zh-CN"/>
        </w:rPr>
        <w:t>5.4</w:t>
      </w:r>
      <w:r>
        <w:rPr>
          <w:rFonts w:hint="eastAsia" w:ascii="仿宋_GB2312" w:hAnsi="仿宋" w:eastAsia="仿宋_GB2312" w:cs="仿宋"/>
          <w:color w:val="000000"/>
          <w:spacing w:val="-5"/>
          <w:sz w:val="32"/>
          <w:lang w:eastAsia="zh-CN"/>
        </w:rPr>
        <w:t>万元，比2018年增加</w:t>
      </w:r>
      <w:r>
        <w:rPr>
          <w:rFonts w:hint="eastAsia" w:ascii="仿宋_GB2312" w:hAnsi="仿宋" w:eastAsia="仿宋_GB2312" w:cs="仿宋"/>
          <w:color w:val="000000"/>
          <w:spacing w:val="-5"/>
          <w:sz w:val="32"/>
          <w:lang w:val="en-US" w:eastAsia="zh-CN"/>
        </w:rPr>
        <w:t>5.4</w:t>
      </w:r>
      <w:r>
        <w:rPr>
          <w:rFonts w:hint="eastAsia" w:ascii="仿宋_GB2312" w:hAnsi="仿宋" w:eastAsia="仿宋_GB2312" w:cs="仿宋"/>
          <w:color w:val="000000"/>
          <w:spacing w:val="-5"/>
          <w:sz w:val="32"/>
          <w:lang w:eastAsia="zh-CN"/>
        </w:rPr>
        <w:t>万元，增长100%，主要原因:我单位是新增预算单位，新增公务费。</w:t>
      </w:r>
    </w:p>
    <w:p>
      <w:pPr>
        <w:spacing w:line="600" w:lineRule="exact"/>
        <w:ind w:firstLine="643" w:firstLineChars="200"/>
        <w:outlineLvl w:val="1"/>
        <w:rPr>
          <w:rFonts w:ascii="楷体_GB2312" w:hAnsi="仿宋" w:eastAsia="楷体_GB2312"/>
          <w:b/>
          <w:color w:val="000000"/>
          <w:sz w:val="32"/>
          <w:szCs w:val="32"/>
        </w:rPr>
      </w:pPr>
      <w:bookmarkStart w:id="53" w:name="_Toc15377223"/>
      <w:r>
        <w:rPr>
          <w:rFonts w:hint="eastAsia" w:ascii="楷体_GB2312" w:hAnsi="仿宋" w:eastAsia="楷体_GB2312"/>
          <w:b/>
          <w:color w:val="000000"/>
          <w:sz w:val="32"/>
          <w:szCs w:val="32"/>
        </w:rPr>
        <w:t>（二）政府采购支出情况</w:t>
      </w:r>
      <w:bookmarkEnd w:id="53"/>
    </w:p>
    <w:p>
      <w:pPr>
        <w:spacing w:line="576" w:lineRule="exact"/>
        <w:ind w:firstLine="620" w:firstLineChars="200"/>
        <w:rPr>
          <w:rFonts w:hint="eastAsia" w:ascii="仿宋_GB2312" w:hAnsi="仿宋" w:eastAsia="仿宋_GB2312" w:cs="仿宋"/>
          <w:color w:val="000000"/>
          <w:spacing w:val="-5"/>
          <w:sz w:val="32"/>
          <w:lang w:eastAsia="zh-CN"/>
        </w:rPr>
      </w:pPr>
      <w:r>
        <w:rPr>
          <w:rFonts w:hint="eastAsia" w:ascii="仿宋_GB2312" w:hAnsi="仿宋" w:eastAsia="仿宋_GB2312" w:cs="仿宋"/>
          <w:color w:val="000000"/>
          <w:spacing w:val="-5"/>
          <w:sz w:val="32"/>
          <w:lang w:eastAsia="zh-CN"/>
        </w:rPr>
        <w:t>2019年，本单位无政府采购支出。</w:t>
      </w:r>
    </w:p>
    <w:p>
      <w:pPr>
        <w:spacing w:line="600" w:lineRule="exact"/>
        <w:ind w:firstLine="643" w:firstLineChars="200"/>
        <w:outlineLvl w:val="1"/>
        <w:rPr>
          <w:rFonts w:ascii="楷体_GB2312" w:hAnsi="仿宋" w:eastAsia="楷体_GB2312"/>
          <w:b/>
          <w:color w:val="000000"/>
          <w:sz w:val="32"/>
          <w:szCs w:val="32"/>
        </w:rPr>
      </w:pPr>
      <w:bookmarkStart w:id="54" w:name="_Toc15377224"/>
      <w:r>
        <w:rPr>
          <w:rFonts w:hint="eastAsia" w:ascii="楷体_GB2312" w:hAnsi="仿宋" w:eastAsia="楷体_GB2312"/>
          <w:b/>
          <w:color w:val="000000"/>
          <w:sz w:val="32"/>
          <w:szCs w:val="32"/>
        </w:rPr>
        <w:t>（三）国有资产占有使用情况</w:t>
      </w:r>
      <w:bookmarkEnd w:id="54"/>
    </w:p>
    <w:p>
      <w:pPr>
        <w:spacing w:line="576" w:lineRule="exact"/>
        <w:ind w:firstLine="620" w:firstLineChars="200"/>
        <w:rPr>
          <w:rFonts w:hint="eastAsia" w:ascii="仿宋_GB2312" w:hAnsi="仿宋" w:eastAsia="仿宋_GB2312" w:cs="仿宋"/>
          <w:color w:val="000000"/>
          <w:spacing w:val="-5"/>
          <w:sz w:val="32"/>
          <w:lang w:eastAsia="zh-CN"/>
        </w:rPr>
      </w:pPr>
      <w:r>
        <w:rPr>
          <w:rFonts w:hint="eastAsia" w:ascii="仿宋_GB2312" w:hAnsi="仿宋" w:eastAsia="仿宋_GB2312" w:cs="仿宋"/>
          <w:color w:val="000000"/>
          <w:spacing w:val="-5"/>
          <w:sz w:val="32"/>
          <w:lang w:eastAsia="zh-CN"/>
        </w:rPr>
        <w:t>截至2019年12月31日，本单位无公务用车；单价50万元以上通用设备0台（套），单价100万元以上专用设备0台（套）。</w:t>
      </w:r>
    </w:p>
    <w:p>
      <w:pPr>
        <w:numPr>
          <w:ilvl w:val="0"/>
          <w:numId w:val="2"/>
        </w:numPr>
        <w:autoSpaceDE w:val="0"/>
        <w:autoSpaceDN w:val="0"/>
        <w:adjustRightInd w:val="0"/>
        <w:spacing w:line="600" w:lineRule="exact"/>
        <w:ind w:firstLine="643" w:firstLineChars="200"/>
        <w:jc w:val="left"/>
        <w:outlineLvl w:val="2"/>
        <w:rPr>
          <w:rFonts w:hint="eastAsia" w:ascii="仿宋" w:hAnsi="仿宋" w:eastAsia="仿宋"/>
          <w:b/>
          <w:color w:val="000000"/>
          <w:sz w:val="32"/>
          <w:szCs w:val="32"/>
        </w:rPr>
      </w:pPr>
      <w:bookmarkStart w:id="55" w:name="_Toc15396614"/>
      <w:bookmarkStart w:id="56" w:name="_Toc15377226"/>
      <w:r>
        <w:rPr>
          <w:rFonts w:hint="eastAsia" w:ascii="仿宋" w:hAnsi="仿宋" w:eastAsia="仿宋"/>
          <w:b/>
          <w:color w:val="000000"/>
          <w:sz w:val="32"/>
          <w:szCs w:val="32"/>
        </w:rPr>
        <w:t>预算绩效管理情况。</w:t>
      </w:r>
    </w:p>
    <w:p>
      <w:pPr>
        <w:spacing w:line="576" w:lineRule="exact"/>
        <w:ind w:firstLine="620" w:firstLineChars="200"/>
        <w:rPr>
          <w:rFonts w:hint="eastAsia" w:ascii="仿宋_GB2312" w:hAnsi="仿宋" w:eastAsia="仿宋_GB2312" w:cs="仿宋"/>
          <w:color w:val="000000"/>
          <w:spacing w:val="-5"/>
          <w:sz w:val="32"/>
          <w:lang w:eastAsia="zh-CN"/>
        </w:rPr>
      </w:pPr>
      <w:r>
        <w:rPr>
          <w:rFonts w:hint="eastAsia" w:ascii="仿宋_GB2312" w:hAnsi="仿宋" w:eastAsia="仿宋_GB2312" w:cs="仿宋"/>
          <w:color w:val="000000"/>
          <w:spacing w:val="-5"/>
          <w:sz w:val="32"/>
          <w:lang w:eastAsia="zh-CN"/>
        </w:rPr>
        <w:t>根据预算绩效管理要求，本部门按要求对2019年部门整体支出开展绩效自评，从评价情况来看，2019年我中心部门整体支出绩效评价自查自评结果良好，全面基本支出保证了部门的正常运行和日常工作的正常开展，绩效目标得到较好实现，绩效管理水平不断提高，绩效指标体系逐渐丰富和完善。本部门无专项预算项目，因此未组织开展项目支出绩效评价。</w:t>
      </w:r>
    </w:p>
    <w:p>
      <w:pPr>
        <w:spacing w:line="576" w:lineRule="exact"/>
        <w:ind w:firstLine="620" w:firstLineChars="200"/>
        <w:rPr>
          <w:rFonts w:hint="eastAsia" w:ascii="仿宋_GB2312" w:hAnsi="仿宋" w:eastAsia="仿宋_GB2312" w:cs="仿宋"/>
          <w:color w:val="000000"/>
          <w:spacing w:val="-5"/>
          <w:sz w:val="32"/>
          <w:lang w:eastAsia="zh-CN"/>
        </w:rPr>
      </w:pPr>
      <w:r>
        <w:rPr>
          <w:rFonts w:hint="eastAsia" w:ascii="仿宋_GB2312" w:hAnsi="仿宋" w:eastAsia="仿宋_GB2312" w:cs="仿宋"/>
          <w:color w:val="000000"/>
          <w:spacing w:val="-5"/>
          <w:sz w:val="32"/>
          <w:lang w:val="en-US" w:eastAsia="zh-CN"/>
        </w:rPr>
        <w:t>1、</w:t>
      </w:r>
      <w:r>
        <w:rPr>
          <w:rFonts w:hint="eastAsia" w:ascii="仿宋_GB2312" w:hAnsi="仿宋" w:eastAsia="仿宋_GB2312" w:cs="仿宋"/>
          <w:color w:val="000000"/>
          <w:spacing w:val="-5"/>
          <w:sz w:val="32"/>
          <w:lang w:eastAsia="zh-CN"/>
        </w:rPr>
        <w:t>项目绩效目标完成情况。</w:t>
      </w:r>
    </w:p>
    <w:p>
      <w:pPr>
        <w:spacing w:line="576" w:lineRule="exact"/>
        <w:ind w:firstLine="620" w:firstLineChars="200"/>
        <w:rPr>
          <w:rFonts w:hint="eastAsia" w:ascii="仿宋_GB2312" w:hAnsi="仿宋" w:eastAsia="仿宋_GB2312" w:cs="仿宋"/>
          <w:color w:val="000000"/>
          <w:spacing w:val="-5"/>
          <w:sz w:val="32"/>
          <w:lang w:eastAsia="zh-CN"/>
        </w:rPr>
      </w:pPr>
      <w:r>
        <w:rPr>
          <w:rFonts w:hint="eastAsia" w:ascii="仿宋_GB2312" w:hAnsi="仿宋" w:eastAsia="仿宋_GB2312" w:cs="仿宋"/>
          <w:color w:val="000000"/>
          <w:spacing w:val="-5"/>
          <w:sz w:val="32"/>
          <w:lang w:eastAsia="zh-CN"/>
        </w:rPr>
        <w:t>本部门无专项预算项目，未组织开展项目支出绩效评价。</w:t>
      </w:r>
    </w:p>
    <w:p>
      <w:pPr>
        <w:spacing w:line="576" w:lineRule="exact"/>
        <w:ind w:firstLine="620" w:firstLineChars="200"/>
        <w:rPr>
          <w:rFonts w:hint="eastAsia" w:ascii="仿宋_GB2312" w:hAnsi="仿宋" w:eastAsia="仿宋_GB2312" w:cs="仿宋"/>
          <w:color w:val="000000"/>
          <w:spacing w:val="-5"/>
          <w:sz w:val="32"/>
          <w:lang w:eastAsia="zh-CN"/>
        </w:rPr>
      </w:pPr>
      <w:r>
        <w:rPr>
          <w:rFonts w:hint="eastAsia" w:ascii="仿宋_GB2312" w:hAnsi="仿宋" w:eastAsia="仿宋_GB2312" w:cs="仿宋"/>
          <w:color w:val="000000"/>
          <w:spacing w:val="-5"/>
          <w:sz w:val="32"/>
          <w:lang w:val="en-US" w:eastAsia="zh-CN"/>
        </w:rPr>
        <w:t>2、</w:t>
      </w:r>
      <w:r>
        <w:rPr>
          <w:rFonts w:hint="eastAsia" w:ascii="仿宋_GB2312" w:hAnsi="仿宋" w:eastAsia="仿宋_GB2312" w:cs="仿宋"/>
          <w:color w:val="000000"/>
          <w:spacing w:val="-5"/>
          <w:sz w:val="32"/>
          <w:lang w:eastAsia="zh-CN"/>
        </w:rPr>
        <w:t>部门绩效评价结果。</w:t>
      </w:r>
    </w:p>
    <w:p>
      <w:pPr>
        <w:spacing w:line="576" w:lineRule="exact"/>
        <w:ind w:firstLine="620" w:firstLineChars="200"/>
        <w:rPr>
          <w:rFonts w:hint="eastAsia" w:ascii="仿宋_GB2312" w:hAnsi="仿宋" w:eastAsia="仿宋_GB2312" w:cs="仿宋"/>
          <w:color w:val="000000"/>
          <w:spacing w:val="-5"/>
          <w:sz w:val="32"/>
          <w:lang w:eastAsia="zh-CN"/>
        </w:rPr>
      </w:pPr>
      <w:r>
        <w:rPr>
          <w:rFonts w:hint="eastAsia" w:ascii="仿宋_GB2312" w:hAnsi="仿宋" w:eastAsia="仿宋_GB2312" w:cs="仿宋"/>
          <w:color w:val="000000"/>
          <w:spacing w:val="-5"/>
          <w:sz w:val="32"/>
          <w:lang w:eastAsia="zh-CN"/>
        </w:rPr>
        <w:t>本部门按要求对2019年部门整体支出绩效评价情况开展自评。《茂县国有资产中心2019年部门整体支出绩效评价报告》见附件。</w:t>
      </w:r>
    </w:p>
    <w:p>
      <w:pPr>
        <w:numPr>
          <w:ilvl w:val="0"/>
          <w:numId w:val="0"/>
        </w:numPr>
        <w:spacing w:line="580" w:lineRule="exact"/>
        <w:ind w:leftChars="200"/>
        <w:rPr>
          <w:rFonts w:hint="eastAsia" w:ascii="楷体_GB2312" w:hAnsi="楷体_GB2312" w:eastAsia="楷体_GB2312" w:cs="楷体_GB2312"/>
          <w:sz w:val="32"/>
          <w:szCs w:val="32"/>
        </w:rPr>
      </w:pPr>
    </w:p>
    <w:p>
      <w:pPr>
        <w:numPr>
          <w:ilvl w:val="0"/>
          <w:numId w:val="0"/>
        </w:numPr>
        <w:autoSpaceDE w:val="0"/>
        <w:autoSpaceDN w:val="0"/>
        <w:adjustRightInd w:val="0"/>
        <w:spacing w:line="600" w:lineRule="exact"/>
        <w:jc w:val="left"/>
        <w:outlineLvl w:val="2"/>
        <w:rPr>
          <w:rFonts w:hint="eastAsia" w:ascii="仿宋" w:hAnsi="仿宋" w:eastAsia="仿宋"/>
          <w:b/>
          <w:color w:val="000000"/>
          <w:sz w:val="32"/>
          <w:szCs w:val="32"/>
        </w:rPr>
      </w:pPr>
    </w:p>
    <w:p>
      <w:pPr>
        <w:pStyle w:val="27"/>
        <w:autoSpaceDE w:val="0"/>
        <w:autoSpaceDN w:val="0"/>
        <w:adjustRightInd w:val="0"/>
        <w:spacing w:line="576" w:lineRule="exact"/>
        <w:ind w:left="420" w:firstLine="0" w:firstLineChars="0"/>
        <w:jc w:val="center"/>
        <w:rPr>
          <w:rFonts w:hint="eastAsia" w:ascii="方正小标宋简体" w:hAnsi="方正小标宋简体" w:eastAsia="方正小标宋简体" w:cs="方正小标宋简体"/>
          <w:sz w:val="44"/>
          <w:szCs w:val="44"/>
        </w:rPr>
      </w:pPr>
    </w:p>
    <w:p>
      <w:pPr>
        <w:pStyle w:val="27"/>
        <w:autoSpaceDE w:val="0"/>
        <w:autoSpaceDN w:val="0"/>
        <w:adjustRightInd w:val="0"/>
        <w:spacing w:line="576" w:lineRule="exact"/>
        <w:ind w:left="420" w:firstLine="0" w:firstLineChars="0"/>
        <w:jc w:val="center"/>
        <w:rPr>
          <w:rFonts w:hint="eastAsia" w:ascii="方正小标宋简体" w:hAnsi="方正小标宋简体" w:eastAsia="方正小标宋简体" w:cs="方正小标宋简体"/>
          <w:sz w:val="44"/>
          <w:szCs w:val="44"/>
        </w:rPr>
      </w:pPr>
    </w:p>
    <w:p>
      <w:pPr>
        <w:pStyle w:val="27"/>
        <w:autoSpaceDE w:val="0"/>
        <w:autoSpaceDN w:val="0"/>
        <w:adjustRightInd w:val="0"/>
        <w:spacing w:line="576" w:lineRule="exact"/>
        <w:ind w:left="420" w:firstLine="0" w:firstLineChars="0"/>
        <w:jc w:val="center"/>
        <w:rPr>
          <w:rFonts w:hint="eastAsia" w:ascii="方正小标宋简体" w:hAnsi="方正小标宋简体" w:eastAsia="方正小标宋简体" w:cs="方正小标宋简体"/>
          <w:sz w:val="44"/>
          <w:szCs w:val="44"/>
        </w:rPr>
      </w:pPr>
    </w:p>
    <w:p>
      <w:pPr>
        <w:pStyle w:val="27"/>
        <w:autoSpaceDE w:val="0"/>
        <w:autoSpaceDN w:val="0"/>
        <w:adjustRightInd w:val="0"/>
        <w:spacing w:line="576" w:lineRule="exact"/>
        <w:ind w:left="420" w:firstLine="0" w:firstLineChars="0"/>
        <w:jc w:val="center"/>
        <w:rPr>
          <w:rFonts w:hint="eastAsia" w:ascii="方正小标宋简体" w:hAnsi="方正小标宋简体" w:eastAsia="方正小标宋简体" w:cs="方正小标宋简体"/>
          <w:sz w:val="44"/>
          <w:szCs w:val="44"/>
        </w:rPr>
      </w:pPr>
    </w:p>
    <w:p>
      <w:pPr>
        <w:pStyle w:val="27"/>
        <w:autoSpaceDE w:val="0"/>
        <w:autoSpaceDN w:val="0"/>
        <w:adjustRightInd w:val="0"/>
        <w:spacing w:line="576" w:lineRule="exact"/>
        <w:ind w:left="420" w:firstLine="0" w:firstLineChars="0"/>
        <w:jc w:val="center"/>
        <w:rPr>
          <w:rFonts w:hint="eastAsia" w:ascii="方正小标宋简体" w:hAnsi="方正小标宋简体" w:eastAsia="方正小标宋简体" w:cs="方正小标宋简体"/>
          <w:sz w:val="44"/>
          <w:szCs w:val="44"/>
        </w:rPr>
      </w:pPr>
    </w:p>
    <w:p>
      <w:pPr>
        <w:pStyle w:val="27"/>
        <w:autoSpaceDE w:val="0"/>
        <w:autoSpaceDN w:val="0"/>
        <w:adjustRightInd w:val="0"/>
        <w:spacing w:line="576" w:lineRule="exact"/>
        <w:ind w:left="420" w:firstLine="0" w:firstLineChars="0"/>
        <w:jc w:val="center"/>
        <w:rPr>
          <w:rFonts w:hint="eastAsia" w:ascii="方正小标宋简体" w:hAnsi="方正小标宋简体" w:eastAsia="方正小标宋简体" w:cs="方正小标宋简体"/>
          <w:sz w:val="44"/>
          <w:szCs w:val="44"/>
        </w:rPr>
      </w:pPr>
    </w:p>
    <w:p>
      <w:pPr>
        <w:pStyle w:val="27"/>
        <w:autoSpaceDE w:val="0"/>
        <w:autoSpaceDN w:val="0"/>
        <w:adjustRightInd w:val="0"/>
        <w:spacing w:line="576" w:lineRule="exact"/>
        <w:ind w:left="420" w:firstLine="0" w:firstLineChars="0"/>
        <w:jc w:val="center"/>
        <w:rPr>
          <w:rFonts w:hint="eastAsia" w:ascii="方正小标宋简体" w:hAnsi="方正小标宋简体" w:eastAsia="方正小标宋简体" w:cs="方正小标宋简体"/>
          <w:sz w:val="44"/>
          <w:szCs w:val="44"/>
        </w:rPr>
      </w:pPr>
    </w:p>
    <w:p>
      <w:pPr>
        <w:pStyle w:val="27"/>
        <w:autoSpaceDE w:val="0"/>
        <w:autoSpaceDN w:val="0"/>
        <w:adjustRightInd w:val="0"/>
        <w:spacing w:line="576" w:lineRule="exact"/>
        <w:ind w:left="420" w:firstLine="0" w:firstLineChars="0"/>
        <w:jc w:val="center"/>
        <w:rPr>
          <w:rFonts w:hint="eastAsia" w:ascii="方正小标宋简体" w:hAnsi="方正小标宋简体" w:eastAsia="方正小标宋简体" w:cs="方正小标宋简体"/>
          <w:sz w:val="44"/>
          <w:szCs w:val="44"/>
        </w:rPr>
      </w:pPr>
    </w:p>
    <w:p>
      <w:pPr>
        <w:pStyle w:val="27"/>
        <w:autoSpaceDE w:val="0"/>
        <w:autoSpaceDN w:val="0"/>
        <w:adjustRightInd w:val="0"/>
        <w:spacing w:line="576" w:lineRule="exact"/>
        <w:ind w:left="420" w:firstLine="0" w:firstLineChars="0"/>
        <w:jc w:val="center"/>
        <w:rPr>
          <w:rFonts w:hint="eastAsia" w:ascii="方正小标宋简体" w:hAnsi="方正小标宋简体" w:eastAsia="方正小标宋简体" w:cs="方正小标宋简体"/>
          <w:sz w:val="44"/>
          <w:szCs w:val="44"/>
        </w:rPr>
      </w:pPr>
    </w:p>
    <w:p>
      <w:pPr>
        <w:pStyle w:val="27"/>
        <w:autoSpaceDE w:val="0"/>
        <w:autoSpaceDN w:val="0"/>
        <w:adjustRightInd w:val="0"/>
        <w:spacing w:line="576" w:lineRule="exact"/>
        <w:ind w:left="0" w:leftChars="0" w:firstLine="0" w:firstLineChars="0"/>
        <w:jc w:val="both"/>
        <w:rPr>
          <w:rFonts w:hint="eastAsia" w:ascii="方正小标宋简体" w:hAnsi="方正小标宋简体" w:eastAsia="方正小标宋简体" w:cs="方正小标宋简体"/>
          <w:sz w:val="44"/>
          <w:szCs w:val="44"/>
        </w:rPr>
      </w:pPr>
    </w:p>
    <w:p>
      <w:pPr>
        <w:pStyle w:val="27"/>
        <w:autoSpaceDE w:val="0"/>
        <w:autoSpaceDN w:val="0"/>
        <w:adjustRightInd w:val="0"/>
        <w:spacing w:line="576" w:lineRule="exact"/>
        <w:ind w:left="420" w:firstLine="0" w:firstLineChars="0"/>
        <w:jc w:val="center"/>
        <w:rPr>
          <w:rFonts w:hint="eastAsia" w:ascii="方正小标宋简体" w:hAnsi="方正小标宋简体" w:eastAsia="方正小标宋简体" w:cs="方正小标宋简体"/>
          <w:sz w:val="44"/>
          <w:szCs w:val="44"/>
        </w:rPr>
      </w:pPr>
    </w:p>
    <w:p>
      <w:pPr>
        <w:pStyle w:val="27"/>
        <w:autoSpaceDE w:val="0"/>
        <w:autoSpaceDN w:val="0"/>
        <w:adjustRightInd w:val="0"/>
        <w:spacing w:line="576" w:lineRule="exact"/>
        <w:ind w:left="420" w:firstLine="0" w:firstLineChars="0"/>
        <w:jc w:val="center"/>
        <w:rPr>
          <w:rFonts w:hint="eastAsia" w:ascii="方正小标宋简体" w:hAnsi="方正小标宋简体" w:eastAsia="方正小标宋简体" w:cs="方正小标宋简体"/>
          <w:sz w:val="44"/>
          <w:szCs w:val="44"/>
        </w:rPr>
      </w:pPr>
    </w:p>
    <w:p>
      <w:pPr>
        <w:pStyle w:val="27"/>
        <w:autoSpaceDE w:val="0"/>
        <w:autoSpaceDN w:val="0"/>
        <w:adjustRightInd w:val="0"/>
        <w:spacing w:line="576" w:lineRule="exact"/>
        <w:ind w:left="0" w:leftChars="0" w:firstLine="0" w:firstLineChars="0"/>
        <w:jc w:val="both"/>
        <w:rPr>
          <w:rFonts w:hint="eastAsia" w:ascii="方正小标宋简体" w:hAnsi="方正小标宋简体" w:eastAsia="方正小标宋简体" w:cs="方正小标宋简体"/>
          <w:sz w:val="44"/>
          <w:szCs w:val="44"/>
        </w:rPr>
      </w:pPr>
    </w:p>
    <w:p>
      <w:pPr>
        <w:pStyle w:val="27"/>
        <w:autoSpaceDE w:val="0"/>
        <w:autoSpaceDN w:val="0"/>
        <w:adjustRightInd w:val="0"/>
        <w:spacing w:line="576" w:lineRule="exact"/>
        <w:ind w:left="420" w:firstLine="0" w:firstLineChars="0"/>
        <w:jc w:val="center"/>
        <w:rPr>
          <w:rFonts w:hint="eastAsia" w:ascii="方正小标宋简体" w:hAnsi="方正小标宋简体" w:eastAsia="方正小标宋简体" w:cs="方正小标宋简体"/>
          <w:sz w:val="44"/>
          <w:szCs w:val="44"/>
        </w:rPr>
      </w:pPr>
    </w:p>
    <w:p>
      <w:pPr>
        <w:pStyle w:val="27"/>
        <w:autoSpaceDE w:val="0"/>
        <w:autoSpaceDN w:val="0"/>
        <w:adjustRightInd w:val="0"/>
        <w:spacing w:line="576" w:lineRule="exact"/>
        <w:ind w:left="420" w:firstLine="0" w:firstLineChars="0"/>
        <w:jc w:val="center"/>
        <w:rPr>
          <w:rFonts w:hint="eastAsia" w:ascii="方正小标宋简体" w:hAnsi="方正小标宋简体" w:eastAsia="方正小标宋简体" w:cs="方正小标宋简体"/>
          <w:sz w:val="44"/>
          <w:szCs w:val="44"/>
        </w:rPr>
      </w:pPr>
    </w:p>
    <w:p>
      <w:pPr>
        <w:pStyle w:val="27"/>
        <w:autoSpaceDE w:val="0"/>
        <w:autoSpaceDN w:val="0"/>
        <w:adjustRightInd w:val="0"/>
        <w:spacing w:line="576" w:lineRule="exact"/>
        <w:ind w:left="0" w:leftChars="0" w:firstLine="1760" w:firstLineChars="400"/>
        <w:jc w:val="both"/>
        <w:rPr>
          <w:rFonts w:hint="eastAsia" w:ascii="方正小标宋简体" w:hAnsi="方正小标宋简体" w:eastAsia="方正小标宋简体" w:cs="方正小标宋简体"/>
          <w:sz w:val="44"/>
          <w:szCs w:val="44"/>
        </w:rPr>
      </w:pPr>
      <w:bookmarkStart w:id="72" w:name="_GoBack"/>
      <w:bookmarkEnd w:id="72"/>
      <w:r>
        <w:rPr>
          <w:rFonts w:hint="eastAsia" w:ascii="方正小标宋简体" w:hAnsi="方正小标宋简体" w:eastAsia="方正小标宋简体" w:cs="方正小标宋简体"/>
          <w:sz w:val="44"/>
          <w:szCs w:val="44"/>
        </w:rPr>
        <w:t>第三部分  名词解释</w:t>
      </w:r>
    </w:p>
    <w:p>
      <w:pPr>
        <w:pStyle w:val="27"/>
        <w:autoSpaceDE w:val="0"/>
        <w:autoSpaceDN w:val="0"/>
        <w:adjustRightInd w:val="0"/>
        <w:spacing w:line="576" w:lineRule="exact"/>
        <w:ind w:left="420" w:firstLine="0" w:firstLineChars="0"/>
        <w:jc w:val="center"/>
        <w:rPr>
          <w:rFonts w:hint="eastAsia" w:ascii="方正小标宋简体" w:hAnsi="方正小标宋简体" w:eastAsia="方正小标宋简体" w:cs="方正小标宋简体"/>
          <w:sz w:val="44"/>
          <w:szCs w:val="44"/>
        </w:rPr>
      </w:pPr>
    </w:p>
    <w:p>
      <w:pPr>
        <w:spacing w:line="576" w:lineRule="exact"/>
        <w:ind w:firstLine="620" w:firstLineChars="200"/>
        <w:rPr>
          <w:rFonts w:hint="eastAsia" w:ascii="仿宋_GB2312" w:hAnsi="仿宋" w:eastAsia="仿宋_GB2312" w:cs="仿宋"/>
          <w:color w:val="000000"/>
          <w:spacing w:val="-5"/>
          <w:sz w:val="32"/>
          <w:lang w:val="en-US" w:eastAsia="zh-CN"/>
        </w:rPr>
      </w:pPr>
      <w:r>
        <w:rPr>
          <w:rFonts w:hint="eastAsia" w:ascii="仿宋_GB2312" w:hAnsi="仿宋" w:eastAsia="仿宋_GB2312" w:cs="仿宋"/>
          <w:color w:val="000000"/>
          <w:spacing w:val="-5"/>
          <w:sz w:val="32"/>
          <w:lang w:val="en-US" w:eastAsia="zh-CN"/>
        </w:rPr>
        <w:t>1.财政拨款收入：指单位从同级财政部门取得的财政预算资金。</w:t>
      </w:r>
    </w:p>
    <w:p>
      <w:pPr>
        <w:spacing w:line="576" w:lineRule="exact"/>
        <w:ind w:firstLine="620" w:firstLineChars="200"/>
        <w:rPr>
          <w:rFonts w:hint="eastAsia" w:ascii="仿宋_GB2312" w:hAnsi="仿宋" w:eastAsia="仿宋_GB2312" w:cs="仿宋"/>
          <w:color w:val="000000"/>
          <w:spacing w:val="-5"/>
          <w:sz w:val="32"/>
          <w:lang w:val="en-US" w:eastAsia="zh-CN"/>
        </w:rPr>
      </w:pPr>
      <w:r>
        <w:rPr>
          <w:rFonts w:hint="eastAsia" w:ascii="仿宋_GB2312" w:hAnsi="仿宋" w:eastAsia="仿宋_GB2312" w:cs="仿宋"/>
          <w:color w:val="000000"/>
          <w:spacing w:val="-5"/>
          <w:sz w:val="32"/>
          <w:lang w:val="en-US" w:eastAsia="zh-CN"/>
        </w:rPr>
        <w:t>2.事业收入：指事业单位开展专业业务活动及辅助活动取得的收入。</w:t>
      </w:r>
    </w:p>
    <w:p>
      <w:pPr>
        <w:spacing w:line="576" w:lineRule="exact"/>
        <w:ind w:firstLine="620" w:firstLineChars="200"/>
        <w:rPr>
          <w:rFonts w:hint="eastAsia" w:ascii="仿宋_GB2312" w:hAnsi="仿宋" w:eastAsia="仿宋_GB2312" w:cs="仿宋"/>
          <w:color w:val="000000"/>
          <w:spacing w:val="-5"/>
          <w:sz w:val="32"/>
          <w:lang w:val="en-US" w:eastAsia="zh-CN"/>
        </w:rPr>
      </w:pPr>
      <w:r>
        <w:rPr>
          <w:rFonts w:hint="eastAsia" w:ascii="仿宋_GB2312" w:hAnsi="仿宋" w:eastAsia="仿宋_GB2312" w:cs="仿宋"/>
          <w:color w:val="000000"/>
          <w:spacing w:val="-5"/>
          <w:sz w:val="32"/>
          <w:lang w:val="en-US" w:eastAsia="zh-CN"/>
        </w:rPr>
        <w:t>3.经营收入：指事业单位在专业业务活动及其辅助活动之外开展非独立核算经营活动取得的收入。</w:t>
      </w:r>
    </w:p>
    <w:p>
      <w:pPr>
        <w:spacing w:line="576" w:lineRule="exact"/>
        <w:ind w:firstLine="620" w:firstLineChars="200"/>
        <w:rPr>
          <w:rFonts w:hint="eastAsia" w:ascii="仿宋_GB2312" w:hAnsi="仿宋" w:eastAsia="仿宋_GB2312" w:cs="仿宋"/>
          <w:color w:val="000000"/>
          <w:spacing w:val="-5"/>
          <w:sz w:val="32"/>
          <w:lang w:val="en-US" w:eastAsia="zh-CN"/>
        </w:rPr>
      </w:pPr>
      <w:r>
        <w:rPr>
          <w:rFonts w:hint="eastAsia" w:ascii="仿宋_GB2312" w:hAnsi="仿宋" w:eastAsia="仿宋_GB2312" w:cs="仿宋"/>
          <w:color w:val="000000"/>
          <w:spacing w:val="-5"/>
          <w:sz w:val="32"/>
          <w:lang w:val="en-US" w:eastAsia="zh-CN"/>
        </w:rPr>
        <w:t>4.其他收入：指单位取得的除上述收入以外的各项收入。</w:t>
      </w:r>
    </w:p>
    <w:p>
      <w:pPr>
        <w:spacing w:line="576" w:lineRule="exact"/>
        <w:ind w:firstLine="620" w:firstLineChars="200"/>
        <w:rPr>
          <w:rFonts w:hint="eastAsia" w:ascii="仿宋_GB2312" w:hAnsi="仿宋" w:eastAsia="仿宋_GB2312" w:cs="仿宋"/>
          <w:color w:val="000000"/>
          <w:spacing w:val="-5"/>
          <w:sz w:val="32"/>
          <w:lang w:val="en-US" w:eastAsia="zh-CN"/>
        </w:rPr>
      </w:pPr>
      <w:r>
        <w:rPr>
          <w:rFonts w:hint="eastAsia" w:ascii="仿宋_GB2312" w:hAnsi="仿宋" w:eastAsia="仿宋_GB2312" w:cs="仿宋"/>
          <w:color w:val="000000"/>
          <w:spacing w:val="-5"/>
          <w:sz w:val="32"/>
          <w:lang w:val="en-US" w:eastAsia="zh-CN"/>
        </w:rPr>
        <w:t xml:space="preserve">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pPr>
        <w:spacing w:line="576" w:lineRule="exact"/>
        <w:ind w:firstLine="620" w:firstLineChars="200"/>
        <w:rPr>
          <w:rFonts w:hint="eastAsia" w:ascii="仿宋_GB2312" w:hAnsi="仿宋" w:eastAsia="仿宋_GB2312" w:cs="仿宋"/>
          <w:color w:val="000000"/>
          <w:spacing w:val="-5"/>
          <w:sz w:val="32"/>
          <w:lang w:val="en-US" w:eastAsia="zh-CN"/>
        </w:rPr>
      </w:pPr>
      <w:r>
        <w:rPr>
          <w:rFonts w:hint="eastAsia" w:ascii="仿宋_GB2312" w:hAnsi="仿宋" w:eastAsia="仿宋_GB2312" w:cs="仿宋"/>
          <w:color w:val="000000"/>
          <w:spacing w:val="-5"/>
          <w:sz w:val="32"/>
          <w:lang w:val="en-US" w:eastAsia="zh-CN"/>
        </w:rPr>
        <w:t xml:space="preserve">6.年初结转和结余：指以前年度尚未完成、结转到本年按有关规定继续使用的资金。 </w:t>
      </w:r>
    </w:p>
    <w:p>
      <w:pPr>
        <w:spacing w:line="576" w:lineRule="exact"/>
        <w:ind w:firstLine="620" w:firstLineChars="200"/>
        <w:rPr>
          <w:rFonts w:hint="eastAsia" w:ascii="仿宋_GB2312" w:hAnsi="仿宋" w:eastAsia="仿宋_GB2312" w:cs="仿宋"/>
          <w:color w:val="000000"/>
          <w:spacing w:val="-5"/>
          <w:sz w:val="32"/>
          <w:lang w:val="en-US" w:eastAsia="zh-CN"/>
        </w:rPr>
      </w:pPr>
      <w:r>
        <w:rPr>
          <w:rFonts w:hint="eastAsia" w:ascii="仿宋_GB2312" w:hAnsi="仿宋" w:eastAsia="仿宋_GB2312" w:cs="仿宋"/>
          <w:color w:val="000000"/>
          <w:spacing w:val="-5"/>
          <w:sz w:val="32"/>
          <w:lang w:val="en-US" w:eastAsia="zh-CN"/>
        </w:rPr>
        <w:t>7.结余分配：指事业单位按照事业单位会计制度的规定从非财政补助结余中分配的事业基金和职工福利基金等。</w:t>
      </w:r>
    </w:p>
    <w:p>
      <w:pPr>
        <w:spacing w:line="576" w:lineRule="exact"/>
        <w:ind w:firstLine="620" w:firstLineChars="200"/>
        <w:rPr>
          <w:rFonts w:hint="eastAsia" w:ascii="仿宋_GB2312" w:hAnsi="仿宋" w:eastAsia="仿宋_GB2312" w:cs="仿宋"/>
          <w:color w:val="000000"/>
          <w:spacing w:val="-5"/>
          <w:sz w:val="32"/>
          <w:lang w:val="en-US" w:eastAsia="zh-CN"/>
        </w:rPr>
      </w:pPr>
      <w:r>
        <w:rPr>
          <w:rFonts w:hint="eastAsia" w:ascii="仿宋_GB2312" w:hAnsi="仿宋" w:eastAsia="仿宋_GB2312" w:cs="仿宋"/>
          <w:color w:val="000000"/>
          <w:spacing w:val="-5"/>
          <w:sz w:val="32"/>
          <w:lang w:val="en-US" w:eastAsia="zh-CN"/>
        </w:rPr>
        <w:t>8.年末结转和结余：指单位按有关规定结转到下年或以后年度继续使用的资金。</w:t>
      </w:r>
    </w:p>
    <w:p>
      <w:pPr>
        <w:spacing w:line="576" w:lineRule="exact"/>
        <w:ind w:firstLine="620" w:firstLineChars="200"/>
        <w:rPr>
          <w:rFonts w:hint="eastAsia" w:ascii="仿宋_GB2312" w:hAnsi="仿宋" w:eastAsia="仿宋_GB2312" w:cs="仿宋"/>
          <w:color w:val="000000"/>
          <w:spacing w:val="-5"/>
          <w:sz w:val="32"/>
          <w:lang w:val="en-US" w:eastAsia="zh-CN"/>
        </w:rPr>
      </w:pPr>
      <w:r>
        <w:rPr>
          <w:rFonts w:hint="eastAsia" w:ascii="仿宋_GB2312" w:hAnsi="仿宋" w:eastAsia="仿宋_GB2312" w:cs="仿宋"/>
          <w:color w:val="000000"/>
          <w:spacing w:val="-5"/>
          <w:sz w:val="32"/>
          <w:lang w:val="en-US" w:eastAsia="zh-CN"/>
        </w:rPr>
        <w:t>9.一般公共服务（类）政府办公厅/室（款）行政运行（项）：指反映行政单位（包括实行公务员管理的事业单位）的基本支出。</w:t>
      </w:r>
    </w:p>
    <w:p>
      <w:pPr>
        <w:spacing w:line="576" w:lineRule="exact"/>
        <w:ind w:firstLine="620" w:firstLineChars="200"/>
        <w:rPr>
          <w:rFonts w:hint="eastAsia" w:ascii="仿宋_GB2312" w:hAnsi="仿宋" w:eastAsia="仿宋_GB2312" w:cs="仿宋"/>
          <w:color w:val="000000"/>
          <w:spacing w:val="-5"/>
          <w:sz w:val="32"/>
          <w:lang w:val="en-US" w:eastAsia="zh-CN"/>
        </w:rPr>
      </w:pPr>
      <w:r>
        <w:rPr>
          <w:rFonts w:hint="eastAsia" w:ascii="仿宋_GB2312" w:hAnsi="仿宋" w:eastAsia="仿宋_GB2312" w:cs="仿宋"/>
          <w:color w:val="000000"/>
          <w:spacing w:val="-5"/>
          <w:sz w:val="32"/>
          <w:lang w:val="en-US" w:eastAsia="zh-CN"/>
        </w:rPr>
        <w:t>10.一般公共服务（类）政府办公厅/室（款）事业运行（项）：指反映事业单位基本支出，不包括行政单位（包括实行公务员管理的事业单位）后勤服务中心、医务室等附属事业单位。</w:t>
      </w:r>
    </w:p>
    <w:p>
      <w:pPr>
        <w:spacing w:line="576" w:lineRule="exact"/>
        <w:ind w:firstLine="620" w:firstLineChars="200"/>
        <w:rPr>
          <w:rFonts w:hint="eastAsia" w:ascii="仿宋_GB2312" w:hAnsi="仿宋" w:eastAsia="仿宋_GB2312" w:cs="仿宋"/>
          <w:color w:val="000000"/>
          <w:spacing w:val="-5"/>
          <w:sz w:val="32"/>
          <w:lang w:val="en-US" w:eastAsia="zh-CN"/>
        </w:rPr>
      </w:pPr>
      <w:r>
        <w:rPr>
          <w:rFonts w:hint="eastAsia" w:ascii="仿宋_GB2312" w:hAnsi="仿宋" w:eastAsia="仿宋_GB2312" w:cs="仿宋"/>
          <w:color w:val="000000"/>
          <w:spacing w:val="-5"/>
          <w:sz w:val="32"/>
          <w:lang w:val="en-US" w:eastAsia="zh-CN"/>
        </w:rPr>
        <w:t>11.社会保障和就业（类）行政事业单位离退休（款）机关事业单位基本养老保险缴费支出（项）：指部门实施养老保险制度由单位缴纳的基本养老保险费支出。</w:t>
      </w:r>
    </w:p>
    <w:p>
      <w:pPr>
        <w:spacing w:line="576" w:lineRule="exact"/>
        <w:ind w:firstLine="620" w:firstLineChars="200"/>
        <w:rPr>
          <w:rFonts w:hint="eastAsia" w:ascii="仿宋_GB2312" w:hAnsi="仿宋" w:eastAsia="仿宋_GB2312" w:cs="仿宋"/>
          <w:color w:val="000000"/>
          <w:spacing w:val="-5"/>
          <w:sz w:val="32"/>
          <w:lang w:val="en-US" w:eastAsia="zh-CN"/>
        </w:rPr>
      </w:pPr>
      <w:r>
        <w:rPr>
          <w:rFonts w:hint="eastAsia" w:ascii="仿宋_GB2312" w:hAnsi="仿宋" w:eastAsia="仿宋_GB2312" w:cs="仿宋"/>
          <w:color w:val="000000"/>
          <w:spacing w:val="-5"/>
          <w:sz w:val="32"/>
          <w:lang w:val="en-US" w:eastAsia="zh-CN"/>
        </w:rPr>
        <w:t>12.社会保障和就业（类）行政事业单位离退休（款）机关事业单位职业年金（项）：指部门实施养老保险制度由单位缴纳的职业年金支出。</w:t>
      </w:r>
    </w:p>
    <w:p>
      <w:pPr>
        <w:spacing w:line="576" w:lineRule="exact"/>
        <w:ind w:firstLine="620" w:firstLineChars="200"/>
        <w:rPr>
          <w:rFonts w:hint="eastAsia" w:ascii="仿宋_GB2312" w:hAnsi="仿宋" w:eastAsia="仿宋_GB2312" w:cs="仿宋"/>
          <w:color w:val="000000"/>
          <w:spacing w:val="-5"/>
          <w:sz w:val="32"/>
          <w:lang w:val="en-US" w:eastAsia="zh-CN"/>
        </w:rPr>
      </w:pPr>
      <w:r>
        <w:rPr>
          <w:rFonts w:hint="eastAsia" w:ascii="仿宋_GB2312" w:hAnsi="仿宋" w:eastAsia="仿宋_GB2312" w:cs="仿宋"/>
          <w:color w:val="000000"/>
          <w:spacing w:val="-5"/>
          <w:sz w:val="32"/>
          <w:lang w:val="en-US" w:eastAsia="zh-CN"/>
        </w:rPr>
        <w:t>13.卫生健康(类)行政事业单位医疗（款）行政单位医疗（项）:指行政单位用于缴纳单位基本医疗保险支出。</w:t>
      </w:r>
    </w:p>
    <w:p>
      <w:pPr>
        <w:spacing w:line="576" w:lineRule="exact"/>
        <w:ind w:firstLine="620" w:firstLineChars="200"/>
        <w:rPr>
          <w:rFonts w:hint="eastAsia" w:ascii="仿宋_GB2312" w:hAnsi="仿宋" w:eastAsia="仿宋_GB2312" w:cs="仿宋"/>
          <w:color w:val="000000"/>
          <w:spacing w:val="-5"/>
          <w:sz w:val="32"/>
          <w:lang w:val="en-US" w:eastAsia="zh-CN"/>
        </w:rPr>
      </w:pPr>
      <w:r>
        <w:rPr>
          <w:rFonts w:hint="eastAsia" w:ascii="仿宋_GB2312" w:hAnsi="仿宋" w:eastAsia="仿宋_GB2312" w:cs="仿宋"/>
          <w:color w:val="000000"/>
          <w:spacing w:val="-5"/>
          <w:sz w:val="32"/>
          <w:lang w:val="en-US" w:eastAsia="zh-CN"/>
        </w:rPr>
        <w:t>14.卫生健康(类)行政事业单位医疗（款）事业单位医疗（项）:指事业单位用于缴纳单位基本医疗保险支出。</w:t>
      </w:r>
    </w:p>
    <w:p>
      <w:pPr>
        <w:spacing w:line="576" w:lineRule="exact"/>
        <w:ind w:firstLine="620" w:firstLineChars="200"/>
        <w:rPr>
          <w:rFonts w:hint="eastAsia" w:ascii="仿宋_GB2312" w:hAnsi="仿宋" w:eastAsia="仿宋_GB2312" w:cs="仿宋"/>
          <w:color w:val="000000"/>
          <w:spacing w:val="-5"/>
          <w:sz w:val="32"/>
          <w:lang w:val="en-US" w:eastAsia="zh-CN"/>
        </w:rPr>
      </w:pPr>
      <w:r>
        <w:rPr>
          <w:rFonts w:hint="eastAsia" w:ascii="仿宋_GB2312" w:hAnsi="仿宋" w:eastAsia="仿宋_GB2312" w:cs="仿宋"/>
          <w:color w:val="000000"/>
          <w:spacing w:val="-5"/>
          <w:sz w:val="32"/>
          <w:lang w:val="en-US" w:eastAsia="zh-CN"/>
        </w:rPr>
        <w:t>15.住房保障支出（类）住房改革支出（款）住房公积金（项）：指反映行政事业单位按规定为职工缴纳的住房公积金。</w:t>
      </w:r>
    </w:p>
    <w:p>
      <w:pPr>
        <w:spacing w:line="576" w:lineRule="exact"/>
        <w:ind w:firstLine="620" w:firstLineChars="200"/>
        <w:rPr>
          <w:rFonts w:hint="eastAsia" w:ascii="仿宋_GB2312" w:hAnsi="仿宋" w:eastAsia="仿宋_GB2312" w:cs="仿宋"/>
          <w:color w:val="000000"/>
          <w:spacing w:val="-5"/>
          <w:sz w:val="32"/>
          <w:lang w:val="en-US" w:eastAsia="zh-CN"/>
        </w:rPr>
      </w:pPr>
      <w:r>
        <w:rPr>
          <w:rFonts w:hint="eastAsia" w:ascii="仿宋_GB2312" w:hAnsi="仿宋" w:eastAsia="仿宋_GB2312" w:cs="仿宋"/>
          <w:color w:val="000000"/>
          <w:spacing w:val="-5"/>
          <w:sz w:val="32"/>
          <w:lang w:val="en-US" w:eastAsia="zh-CN"/>
        </w:rPr>
        <w:t>16.住房保障支出（类）住房改革支出（款）购房补贴（项）：指根据房改政策规定的标准，向符合条件职工发放的用于购买住房的补贴。</w:t>
      </w:r>
    </w:p>
    <w:p>
      <w:pPr>
        <w:spacing w:line="576" w:lineRule="exact"/>
        <w:ind w:firstLine="620" w:firstLineChars="200"/>
        <w:rPr>
          <w:rFonts w:hint="eastAsia" w:ascii="仿宋_GB2312" w:hAnsi="仿宋" w:eastAsia="仿宋_GB2312" w:cs="仿宋"/>
          <w:color w:val="000000"/>
          <w:spacing w:val="-5"/>
          <w:sz w:val="32"/>
          <w:lang w:val="en-US" w:eastAsia="zh-CN"/>
        </w:rPr>
      </w:pPr>
      <w:r>
        <w:rPr>
          <w:rFonts w:hint="eastAsia" w:ascii="仿宋_GB2312" w:hAnsi="仿宋" w:eastAsia="仿宋_GB2312" w:cs="仿宋"/>
          <w:color w:val="000000"/>
          <w:spacing w:val="-5"/>
          <w:sz w:val="32"/>
          <w:lang w:val="en-US" w:eastAsia="zh-CN"/>
        </w:rPr>
        <w:t>17.基本支出：指为保障机构正常运转、完成日常工作任务而发生的人员支出和公用支出。</w:t>
      </w:r>
    </w:p>
    <w:p>
      <w:pPr>
        <w:spacing w:line="576" w:lineRule="exact"/>
        <w:ind w:firstLine="620" w:firstLineChars="200"/>
        <w:rPr>
          <w:rFonts w:hint="eastAsia" w:ascii="仿宋_GB2312" w:hAnsi="仿宋" w:eastAsia="仿宋_GB2312" w:cs="仿宋"/>
          <w:color w:val="000000"/>
          <w:spacing w:val="-5"/>
          <w:sz w:val="32"/>
          <w:lang w:val="en-US" w:eastAsia="zh-CN"/>
        </w:rPr>
      </w:pPr>
      <w:r>
        <w:rPr>
          <w:rFonts w:hint="eastAsia" w:ascii="仿宋_GB2312" w:hAnsi="仿宋" w:eastAsia="仿宋_GB2312" w:cs="仿宋"/>
          <w:color w:val="000000"/>
          <w:spacing w:val="-5"/>
          <w:sz w:val="32"/>
          <w:lang w:val="en-US" w:eastAsia="zh-CN"/>
        </w:rPr>
        <w:t xml:space="preserve">18.项目支出：指在基本支出之外为完成特定行政任务和事业发展目标所发生的支出。 </w:t>
      </w:r>
    </w:p>
    <w:p>
      <w:pPr>
        <w:spacing w:line="576" w:lineRule="exact"/>
        <w:ind w:firstLine="620" w:firstLineChars="200"/>
        <w:rPr>
          <w:rFonts w:hint="eastAsia" w:ascii="仿宋_GB2312" w:hAnsi="仿宋" w:eastAsia="仿宋_GB2312" w:cs="仿宋"/>
          <w:color w:val="000000"/>
          <w:spacing w:val="-5"/>
          <w:sz w:val="32"/>
          <w:lang w:val="en-US" w:eastAsia="zh-CN"/>
        </w:rPr>
      </w:pPr>
      <w:r>
        <w:rPr>
          <w:rFonts w:hint="eastAsia" w:ascii="仿宋_GB2312" w:hAnsi="仿宋" w:eastAsia="仿宋_GB2312" w:cs="仿宋"/>
          <w:color w:val="000000"/>
          <w:spacing w:val="-5"/>
          <w:sz w:val="32"/>
          <w:lang w:val="en-US" w:eastAsia="zh-CN"/>
        </w:rPr>
        <w:t>19.经营支出：指事业单位在专业业务活动及其辅助活动之外开展非独立核算经营活动发生的支出。</w:t>
      </w:r>
    </w:p>
    <w:p>
      <w:pPr>
        <w:spacing w:line="576" w:lineRule="exact"/>
        <w:ind w:firstLine="620" w:firstLineChars="200"/>
        <w:rPr>
          <w:rFonts w:hint="eastAsia" w:ascii="仿宋_GB2312" w:hAnsi="仿宋" w:eastAsia="仿宋_GB2312" w:cs="仿宋"/>
          <w:color w:val="000000"/>
          <w:spacing w:val="-5"/>
          <w:sz w:val="32"/>
          <w:lang w:val="en-US" w:eastAsia="zh-CN"/>
        </w:rPr>
      </w:pPr>
      <w:r>
        <w:rPr>
          <w:rFonts w:hint="eastAsia" w:ascii="仿宋_GB2312" w:hAnsi="仿宋" w:eastAsia="仿宋_GB2312" w:cs="仿宋"/>
          <w:color w:val="000000"/>
          <w:spacing w:val="-5"/>
          <w:sz w:val="32"/>
          <w:lang w:val="en-US" w:eastAsia="zh-CN"/>
        </w:rPr>
        <w:t>20.“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576" w:lineRule="exact"/>
        <w:ind w:firstLine="620" w:firstLineChars="200"/>
        <w:rPr>
          <w:rFonts w:hint="eastAsia" w:ascii="仿宋_GB2312" w:hAnsi="仿宋" w:eastAsia="仿宋_GB2312" w:cs="仿宋"/>
          <w:color w:val="000000"/>
          <w:spacing w:val="-5"/>
          <w:sz w:val="32"/>
          <w:lang w:val="en-US" w:eastAsia="zh-CN"/>
        </w:rPr>
      </w:pPr>
      <w:r>
        <w:rPr>
          <w:rFonts w:hint="eastAsia" w:ascii="仿宋_GB2312" w:hAnsi="仿宋" w:eastAsia="仿宋_GB2312" w:cs="仿宋"/>
          <w:color w:val="000000"/>
          <w:spacing w:val="-5"/>
          <w:sz w:val="32"/>
          <w:lang w:val="en-US" w:eastAsia="zh-CN"/>
        </w:rPr>
        <w:t>21.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bookmarkEnd w:id="55"/>
    <w:p>
      <w:pPr>
        <w:spacing w:line="576" w:lineRule="exact"/>
        <w:ind w:firstLine="620" w:firstLineChars="200"/>
        <w:rPr>
          <w:rFonts w:hint="eastAsia" w:ascii="仿宋_GB2312" w:hAnsi="仿宋" w:eastAsia="仿宋_GB2312" w:cs="仿宋"/>
          <w:color w:val="000000"/>
          <w:spacing w:val="-5"/>
          <w:sz w:val="32"/>
          <w:lang w:val="en-US" w:eastAsia="zh-CN"/>
        </w:rPr>
      </w:pPr>
    </w:p>
    <w:p>
      <w:pPr>
        <w:spacing w:line="576" w:lineRule="exact"/>
        <w:ind w:firstLine="620" w:firstLineChars="200"/>
        <w:rPr>
          <w:rFonts w:hint="eastAsia" w:ascii="仿宋_GB2312" w:hAnsi="仿宋" w:eastAsia="仿宋_GB2312" w:cs="仿宋"/>
          <w:color w:val="000000"/>
          <w:spacing w:val="-5"/>
          <w:sz w:val="32"/>
          <w:lang w:val="en-US" w:eastAsia="zh-CN"/>
        </w:rPr>
      </w:pPr>
    </w:p>
    <w:p>
      <w:pPr>
        <w:spacing w:line="576" w:lineRule="exact"/>
        <w:ind w:firstLine="620" w:firstLineChars="200"/>
        <w:rPr>
          <w:rFonts w:hint="eastAsia" w:ascii="仿宋_GB2312" w:hAnsi="仿宋" w:eastAsia="仿宋_GB2312" w:cs="仿宋"/>
          <w:color w:val="000000"/>
          <w:spacing w:val="-5"/>
          <w:sz w:val="32"/>
          <w:lang w:val="en-US" w:eastAsia="zh-CN"/>
        </w:rPr>
      </w:pPr>
    </w:p>
    <w:p>
      <w:pPr>
        <w:spacing w:line="576" w:lineRule="exact"/>
        <w:ind w:firstLine="620" w:firstLineChars="200"/>
        <w:rPr>
          <w:rFonts w:hint="eastAsia" w:ascii="仿宋_GB2312" w:hAnsi="仿宋" w:eastAsia="仿宋_GB2312" w:cs="仿宋"/>
          <w:color w:val="000000"/>
          <w:spacing w:val="-5"/>
          <w:sz w:val="32"/>
          <w:lang w:val="en-US" w:eastAsia="zh-CN"/>
        </w:rPr>
      </w:pPr>
    </w:p>
    <w:p>
      <w:pPr>
        <w:spacing w:line="576" w:lineRule="exact"/>
        <w:outlineLvl w:val="0"/>
        <w:rPr>
          <w:rFonts w:ascii="方正小标宋简体" w:hAnsi="方正小标宋简体" w:eastAsia="方正小标宋简体" w:cs="方正小标宋简体"/>
          <w:sz w:val="44"/>
          <w:szCs w:val="44"/>
        </w:rPr>
      </w:pPr>
      <w:bookmarkStart w:id="57" w:name="_Toc15396616"/>
    </w:p>
    <w:p>
      <w:pPr>
        <w:spacing w:line="576" w:lineRule="exact"/>
        <w:jc w:val="center"/>
        <w:outlineLvl w:val="0"/>
        <w:rPr>
          <w:rFonts w:hint="eastAsia" w:ascii="方正小标宋简体" w:hAnsi="方正小标宋简体" w:eastAsia="方正小标宋简体" w:cs="方正小标宋简体"/>
          <w:sz w:val="44"/>
          <w:szCs w:val="44"/>
        </w:rPr>
      </w:pPr>
    </w:p>
    <w:p>
      <w:pPr>
        <w:spacing w:line="576" w:lineRule="exact"/>
        <w:jc w:val="center"/>
        <w:outlineLvl w:val="0"/>
        <w:rPr>
          <w:rFonts w:hint="eastAsia" w:ascii="方正小标宋简体" w:hAnsi="方正小标宋简体" w:eastAsia="方正小标宋简体" w:cs="方正小标宋简体"/>
          <w:sz w:val="44"/>
          <w:szCs w:val="44"/>
        </w:rPr>
      </w:pPr>
    </w:p>
    <w:p>
      <w:pPr>
        <w:spacing w:line="576" w:lineRule="exact"/>
        <w:jc w:val="center"/>
        <w:outlineLvl w:val="0"/>
        <w:rPr>
          <w:rFonts w:hint="eastAsia" w:ascii="方正小标宋简体" w:hAnsi="方正小标宋简体" w:eastAsia="方正小标宋简体" w:cs="方正小标宋简体"/>
          <w:sz w:val="44"/>
          <w:szCs w:val="44"/>
        </w:rPr>
      </w:pPr>
    </w:p>
    <w:p>
      <w:pPr>
        <w:spacing w:line="576" w:lineRule="exact"/>
        <w:jc w:val="center"/>
        <w:outlineLvl w:val="0"/>
        <w:rPr>
          <w:rFonts w:hint="eastAsia" w:ascii="方正小标宋简体" w:hAnsi="方正小标宋简体" w:eastAsia="方正小标宋简体" w:cs="方正小标宋简体"/>
          <w:sz w:val="44"/>
          <w:szCs w:val="44"/>
        </w:rPr>
      </w:pPr>
    </w:p>
    <w:p>
      <w:pPr>
        <w:spacing w:line="576" w:lineRule="exact"/>
        <w:jc w:val="center"/>
        <w:outlineLvl w:val="0"/>
        <w:rPr>
          <w:rFonts w:hint="eastAsia" w:ascii="方正小标宋简体" w:hAnsi="方正小标宋简体" w:eastAsia="方正小标宋简体" w:cs="方正小标宋简体"/>
          <w:sz w:val="44"/>
          <w:szCs w:val="44"/>
        </w:rPr>
      </w:pPr>
    </w:p>
    <w:p>
      <w:pPr>
        <w:spacing w:line="576" w:lineRule="exact"/>
        <w:jc w:val="center"/>
        <w:outlineLvl w:val="0"/>
        <w:rPr>
          <w:rFonts w:hint="eastAsia" w:ascii="方正小标宋简体" w:hAnsi="方正小标宋简体" w:eastAsia="方正小标宋简体" w:cs="方正小标宋简体"/>
          <w:sz w:val="44"/>
          <w:szCs w:val="44"/>
        </w:rPr>
      </w:pPr>
    </w:p>
    <w:p>
      <w:pPr>
        <w:spacing w:line="576" w:lineRule="exact"/>
        <w:jc w:val="center"/>
        <w:outlineLvl w:val="0"/>
        <w:rPr>
          <w:rFonts w:hint="eastAsia" w:ascii="方正小标宋简体" w:hAnsi="方正小标宋简体" w:eastAsia="方正小标宋简体" w:cs="方正小标宋简体"/>
          <w:sz w:val="44"/>
          <w:szCs w:val="44"/>
        </w:rPr>
      </w:pPr>
    </w:p>
    <w:p>
      <w:pPr>
        <w:spacing w:line="576" w:lineRule="exact"/>
        <w:jc w:val="center"/>
        <w:outlineLvl w:val="0"/>
        <w:rPr>
          <w:rFonts w:hint="eastAsia" w:ascii="方正小标宋简体" w:hAnsi="方正小标宋简体" w:eastAsia="方正小标宋简体" w:cs="方正小标宋简体"/>
          <w:sz w:val="44"/>
          <w:szCs w:val="44"/>
        </w:rPr>
      </w:pPr>
    </w:p>
    <w:p>
      <w:pPr>
        <w:spacing w:line="576" w:lineRule="exact"/>
        <w:jc w:val="center"/>
        <w:outlineLvl w:val="0"/>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第四部分</w:t>
      </w:r>
      <w:r>
        <w:rPr>
          <w:rFonts w:ascii="方正小标宋简体" w:hAnsi="方正小标宋简体" w:eastAsia="方正小标宋简体" w:cs="方正小标宋简体"/>
          <w:sz w:val="44"/>
          <w:szCs w:val="44"/>
        </w:rPr>
        <w:t xml:space="preserve">  </w:t>
      </w:r>
      <w:r>
        <w:rPr>
          <w:rFonts w:hint="eastAsia" w:ascii="方正小标宋简体" w:hAnsi="方正小标宋简体" w:eastAsia="方正小标宋简体" w:cs="方正小标宋简体"/>
          <w:sz w:val="44"/>
          <w:szCs w:val="44"/>
        </w:rPr>
        <w:t>附件</w:t>
      </w:r>
    </w:p>
    <w:p>
      <w:pPr>
        <w:spacing w:line="600" w:lineRule="exact"/>
        <w:jc w:val="center"/>
        <w:outlineLvl w:val="0"/>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茂县国有资产管理中心</w:t>
      </w:r>
    </w:p>
    <w:p>
      <w:pPr>
        <w:spacing w:line="600" w:lineRule="exact"/>
        <w:jc w:val="center"/>
        <w:outlineLvl w:val="0"/>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2019</w:t>
      </w:r>
      <w:r>
        <w:rPr>
          <w:rFonts w:hint="eastAsia" w:ascii="方正小标宋简体" w:hAnsi="方正小标宋简体" w:eastAsia="方正小标宋简体" w:cs="方正小标宋简体"/>
          <w:sz w:val="44"/>
          <w:szCs w:val="44"/>
        </w:rPr>
        <w:t>年部门整体支出绩效评价报告</w:t>
      </w:r>
      <w:bookmarkEnd w:id="57"/>
    </w:p>
    <w:p>
      <w:pPr>
        <w:spacing w:line="600" w:lineRule="exact"/>
        <w:ind w:firstLine="640" w:firstLineChars="200"/>
        <w:jc w:val="left"/>
        <w:outlineLvl w:val="0"/>
        <w:rPr>
          <w:rFonts w:ascii="黑体" w:hAnsi="黑体" w:eastAsia="黑体" w:cs="方正小标宋简体"/>
          <w:sz w:val="32"/>
          <w:szCs w:val="32"/>
        </w:rPr>
      </w:pPr>
      <w:r>
        <w:rPr>
          <w:rFonts w:hint="eastAsia" w:ascii="黑体" w:hAnsi="黑体" w:eastAsia="黑体" w:cs="黑体"/>
          <w:sz w:val="32"/>
          <w:szCs w:val="32"/>
        </w:rPr>
        <w:t>一、部门概况</w:t>
      </w:r>
    </w:p>
    <w:p>
      <w:pPr>
        <w:spacing w:line="580" w:lineRule="exact"/>
        <w:ind w:firstLine="643" w:firstLineChars="200"/>
        <w:rPr>
          <w:rFonts w:ascii="楷体_GB2312" w:hAnsi="仿宋" w:eastAsia="楷体_GB2312" w:cs="仿宋_GB2312"/>
          <w:b/>
          <w:sz w:val="32"/>
          <w:szCs w:val="32"/>
        </w:rPr>
      </w:pPr>
      <w:r>
        <w:rPr>
          <w:rFonts w:hint="eastAsia" w:ascii="楷体_GB2312" w:hAnsi="仿宋" w:eastAsia="楷体_GB2312" w:cs="仿宋_GB2312"/>
          <w:b/>
          <w:sz w:val="32"/>
          <w:szCs w:val="32"/>
        </w:rPr>
        <w:t>（一）机构组成</w:t>
      </w:r>
    </w:p>
    <w:p>
      <w:pPr>
        <w:spacing w:line="576" w:lineRule="exact"/>
        <w:ind w:firstLine="620" w:firstLineChars="200"/>
        <w:rPr>
          <w:rFonts w:hint="eastAsia" w:ascii="仿宋_GB2312" w:hAnsi="仿宋" w:eastAsia="仿宋_GB2312" w:cs="仿宋"/>
          <w:color w:val="000000"/>
          <w:spacing w:val="-5"/>
          <w:sz w:val="32"/>
          <w:lang w:val="en-US" w:eastAsia="zh-CN"/>
        </w:rPr>
      </w:pPr>
      <w:r>
        <w:rPr>
          <w:rFonts w:hint="eastAsia" w:ascii="仿宋_GB2312" w:hAnsi="仿宋" w:eastAsia="仿宋_GB2312" w:cs="仿宋"/>
          <w:color w:val="000000"/>
          <w:spacing w:val="-5"/>
          <w:sz w:val="32"/>
          <w:lang w:val="en-US" w:eastAsia="zh-CN"/>
        </w:rPr>
        <w:t>我单位属一级预算单位，下属二级预算单位0个，其中：参照公务员法管理的事业单位0个，其他事业单位0个。</w:t>
      </w:r>
    </w:p>
    <w:p>
      <w:pPr>
        <w:spacing w:line="580" w:lineRule="exact"/>
        <w:ind w:firstLine="643" w:firstLineChars="200"/>
        <w:rPr>
          <w:rFonts w:ascii="楷体_GB2312" w:hAnsi="仿宋" w:eastAsia="楷体_GB2312" w:cs="仿宋_GB2312"/>
          <w:b/>
          <w:sz w:val="32"/>
          <w:szCs w:val="32"/>
        </w:rPr>
      </w:pPr>
      <w:r>
        <w:rPr>
          <w:rFonts w:hint="eastAsia" w:ascii="楷体_GB2312" w:hAnsi="仿宋" w:eastAsia="楷体_GB2312" w:cs="仿宋_GB2312"/>
          <w:b/>
          <w:sz w:val="32"/>
          <w:szCs w:val="32"/>
        </w:rPr>
        <w:t>（二）机构职能</w:t>
      </w:r>
    </w:p>
    <w:p>
      <w:pPr>
        <w:spacing w:line="576" w:lineRule="exact"/>
        <w:ind w:firstLine="620" w:firstLineChars="200"/>
        <w:rPr>
          <w:rFonts w:hint="eastAsia" w:ascii="仿宋_GB2312" w:hAnsi="仿宋" w:eastAsia="仿宋_GB2312" w:cs="仿宋"/>
          <w:color w:val="000000"/>
          <w:spacing w:val="-5"/>
          <w:sz w:val="32"/>
          <w:lang w:val="en-US" w:eastAsia="zh-CN"/>
        </w:rPr>
      </w:pPr>
      <w:r>
        <w:rPr>
          <w:rFonts w:hint="eastAsia" w:ascii="仿宋_GB2312" w:hAnsi="仿宋" w:eastAsia="仿宋_GB2312" w:cs="仿宋"/>
          <w:color w:val="000000"/>
          <w:spacing w:val="-5"/>
          <w:sz w:val="32"/>
          <w:lang w:val="en-US" w:eastAsia="zh-CN"/>
        </w:rPr>
        <w:t>茂县国有资产管理中心是代表县人民政府对监管企业依法履行出资人职责;负责指导县属国有企业改革和管理，加强全县国有企业改革和管理的宏观指导;负责对所监管企业负责人进行考核、任免并对其经营业绩进行奖惩;承担监督所监管企业国有资产保值增值指标体系，制定考核标准;负责所监管企业工资分配管理工作，制定所监管企业负责人收入分配政策并组织实施;承办县委和县政府交办的其他工作。</w:t>
      </w:r>
    </w:p>
    <w:p>
      <w:pPr>
        <w:spacing w:line="580" w:lineRule="exact"/>
        <w:ind w:firstLine="643" w:firstLineChars="200"/>
        <w:rPr>
          <w:rFonts w:ascii="楷体_GB2312" w:hAnsi="仿宋" w:eastAsia="楷体_GB2312" w:cs="仿宋_GB2312"/>
          <w:b/>
          <w:sz w:val="32"/>
          <w:szCs w:val="32"/>
        </w:rPr>
      </w:pPr>
      <w:r>
        <w:rPr>
          <w:rFonts w:hint="eastAsia" w:ascii="楷体_GB2312" w:hAnsi="仿宋" w:eastAsia="楷体_GB2312" w:cs="仿宋_GB2312"/>
          <w:b/>
          <w:sz w:val="32"/>
          <w:szCs w:val="32"/>
        </w:rPr>
        <w:t>（三）人员概况</w:t>
      </w:r>
    </w:p>
    <w:p>
      <w:pPr>
        <w:spacing w:line="576" w:lineRule="exact"/>
        <w:ind w:firstLine="620" w:firstLineChars="200"/>
        <w:rPr>
          <w:rFonts w:hint="eastAsia" w:ascii="仿宋_GB2312" w:hAnsi="仿宋" w:eastAsia="仿宋_GB2312" w:cs="仿宋"/>
          <w:color w:val="000000"/>
          <w:spacing w:val="-5"/>
          <w:sz w:val="32"/>
          <w:lang w:val="en-US" w:eastAsia="zh-CN"/>
        </w:rPr>
      </w:pPr>
      <w:r>
        <w:rPr>
          <w:rFonts w:hint="eastAsia" w:ascii="仿宋_GB2312" w:hAnsi="仿宋" w:eastAsia="仿宋_GB2312" w:cs="仿宋"/>
          <w:color w:val="000000"/>
          <w:spacing w:val="-5"/>
          <w:sz w:val="32"/>
          <w:lang w:val="en-US" w:eastAsia="zh-CN"/>
        </w:rPr>
        <w:t>2019年，部门编制人数6名,参照公务员法管理的事业编制6名。年末在职人员实有人数2名，其中参照公务员法管理的事业人员2名。</w:t>
      </w:r>
    </w:p>
    <w:p>
      <w:pPr>
        <w:spacing w:line="576" w:lineRule="exact"/>
        <w:ind w:firstLine="640" w:firstLineChars="200"/>
        <w:rPr>
          <w:rFonts w:ascii="黑体" w:eastAsia="黑体"/>
          <w:sz w:val="32"/>
          <w:szCs w:val="32"/>
        </w:rPr>
      </w:pPr>
      <w:r>
        <w:rPr>
          <w:rFonts w:hint="eastAsia" w:ascii="黑体" w:hAnsi="黑体" w:eastAsia="黑体" w:cs="黑体"/>
          <w:sz w:val="32"/>
          <w:szCs w:val="32"/>
        </w:rPr>
        <w:t>二、部门财政资金收支情况</w:t>
      </w:r>
    </w:p>
    <w:p>
      <w:pPr>
        <w:spacing w:line="580" w:lineRule="exact"/>
        <w:ind w:firstLine="643" w:firstLineChars="200"/>
        <w:rPr>
          <w:rFonts w:ascii="楷体_GB2312" w:hAnsi="仿宋" w:eastAsia="楷体_GB2312" w:cs="仿宋_GB2312"/>
          <w:b/>
          <w:sz w:val="32"/>
          <w:szCs w:val="32"/>
        </w:rPr>
      </w:pPr>
      <w:r>
        <w:rPr>
          <w:rFonts w:hint="eastAsia" w:ascii="楷体_GB2312" w:hAnsi="仿宋" w:eastAsia="楷体_GB2312" w:cs="仿宋_GB2312"/>
          <w:b/>
          <w:sz w:val="32"/>
          <w:szCs w:val="32"/>
        </w:rPr>
        <w:t>（一）部门财政资金收入情况</w:t>
      </w:r>
    </w:p>
    <w:p>
      <w:pPr>
        <w:spacing w:line="576" w:lineRule="exact"/>
        <w:ind w:firstLine="620" w:firstLineChars="200"/>
        <w:rPr>
          <w:rFonts w:hint="eastAsia" w:ascii="仿宋_GB2312" w:hAnsi="仿宋" w:eastAsia="仿宋_GB2312" w:cs="仿宋"/>
          <w:color w:val="000000"/>
          <w:spacing w:val="-5"/>
          <w:sz w:val="32"/>
          <w:lang w:val="en-US" w:eastAsia="zh-CN"/>
        </w:rPr>
      </w:pPr>
      <w:r>
        <w:rPr>
          <w:rFonts w:hint="eastAsia" w:ascii="仿宋_GB2312" w:hAnsi="仿宋" w:eastAsia="仿宋_GB2312" w:cs="仿宋"/>
          <w:color w:val="000000"/>
          <w:spacing w:val="-5"/>
          <w:sz w:val="32"/>
          <w:lang w:val="en-US" w:eastAsia="zh-CN"/>
        </w:rPr>
        <w:t>2019年本部门财政拨款收入决算总额为107.49万元，其中：当年财政拨款收入107.49万元，均为一般公共预算财政拨款。</w:t>
      </w:r>
    </w:p>
    <w:p>
      <w:pPr>
        <w:spacing w:line="580" w:lineRule="exact"/>
        <w:ind w:firstLine="643" w:firstLineChars="200"/>
        <w:rPr>
          <w:rFonts w:ascii="楷体_GB2312" w:hAnsi="仿宋" w:eastAsia="楷体_GB2312" w:cs="仿宋_GB2312"/>
          <w:b/>
          <w:sz w:val="32"/>
          <w:szCs w:val="32"/>
        </w:rPr>
      </w:pPr>
      <w:r>
        <w:rPr>
          <w:rFonts w:hint="eastAsia" w:ascii="楷体_GB2312" w:hAnsi="仿宋" w:eastAsia="楷体_GB2312" w:cs="仿宋_GB2312"/>
          <w:b/>
          <w:sz w:val="32"/>
          <w:szCs w:val="32"/>
        </w:rPr>
        <w:t>（二）部门财政资金支出情况</w:t>
      </w:r>
    </w:p>
    <w:p>
      <w:pPr>
        <w:spacing w:line="576" w:lineRule="exact"/>
        <w:ind w:firstLine="620" w:firstLineChars="200"/>
        <w:rPr>
          <w:rFonts w:hint="eastAsia" w:ascii="仿宋_GB2312" w:hAnsi="仿宋" w:eastAsia="仿宋_GB2312" w:cs="仿宋"/>
          <w:color w:val="000000"/>
          <w:spacing w:val="-5"/>
          <w:sz w:val="32"/>
          <w:lang w:val="en-US" w:eastAsia="zh-CN"/>
        </w:rPr>
      </w:pPr>
      <w:r>
        <w:rPr>
          <w:rFonts w:hint="eastAsia" w:ascii="仿宋_GB2312" w:hAnsi="仿宋" w:eastAsia="仿宋_GB2312" w:cs="仿宋"/>
          <w:color w:val="000000"/>
          <w:spacing w:val="-5"/>
          <w:sz w:val="32"/>
          <w:lang w:val="en-US" w:eastAsia="zh-CN"/>
        </w:rPr>
        <w:t>2019年本部门财政拨款支出决算总额107.49万元。其中按功能分类:一般公共服务支出96.6万元、社会保障和就业支出5万元、医疗卫生支出2.35万元、住房保障支出3.55万元；按支出性质分类，基本支出97.49万元，项目支出10万元；按经济分类，工资福利支出92.09万元，商品服务支出15.4万元。</w:t>
      </w:r>
    </w:p>
    <w:p>
      <w:pPr>
        <w:spacing w:line="600" w:lineRule="exact"/>
        <w:ind w:firstLine="640"/>
        <w:rPr>
          <w:rFonts w:ascii="黑体" w:hAnsi="黑体" w:eastAsia="黑体" w:cs="黑体"/>
          <w:sz w:val="32"/>
          <w:szCs w:val="32"/>
        </w:rPr>
      </w:pPr>
      <w:r>
        <w:rPr>
          <w:rFonts w:hint="eastAsia" w:ascii="黑体" w:hAnsi="黑体" w:eastAsia="黑体" w:cs="黑体"/>
          <w:sz w:val="32"/>
          <w:szCs w:val="32"/>
        </w:rPr>
        <w:t>三、部门整体预算绩效管理情况</w:t>
      </w:r>
    </w:p>
    <w:p>
      <w:pPr>
        <w:spacing w:line="600" w:lineRule="exact"/>
        <w:ind w:firstLine="640"/>
        <w:rPr>
          <w:rFonts w:ascii="仿宋_GB2312" w:hAnsi="仿宋" w:eastAsia="仿宋_GB2312"/>
          <w:color w:val="000000"/>
          <w:sz w:val="32"/>
          <w:szCs w:val="32"/>
        </w:rPr>
      </w:pPr>
      <w:r>
        <w:rPr>
          <w:rFonts w:hint="eastAsia" w:ascii="楷体_GB2312" w:hAnsi="仿宋" w:eastAsia="楷体_GB2312" w:cs="仿宋_GB2312"/>
          <w:b/>
          <w:sz w:val="32"/>
          <w:szCs w:val="32"/>
        </w:rPr>
        <w:t>（一）部门预算管理</w:t>
      </w:r>
    </w:p>
    <w:p>
      <w:pPr>
        <w:spacing w:line="576" w:lineRule="exact"/>
        <w:ind w:firstLine="620" w:firstLineChars="200"/>
        <w:rPr>
          <w:rFonts w:hint="eastAsia" w:ascii="仿宋_GB2312" w:hAnsi="仿宋" w:eastAsia="仿宋_GB2312" w:cs="仿宋"/>
          <w:color w:val="000000"/>
          <w:spacing w:val="-5"/>
          <w:sz w:val="32"/>
          <w:lang w:val="en-US" w:eastAsia="zh-CN"/>
        </w:rPr>
      </w:pPr>
      <w:r>
        <w:rPr>
          <w:rFonts w:hint="eastAsia" w:ascii="仿宋_GB2312" w:hAnsi="仿宋" w:eastAsia="仿宋_GB2312" w:cs="仿宋"/>
          <w:color w:val="000000"/>
          <w:spacing w:val="-5"/>
          <w:sz w:val="32"/>
          <w:lang w:val="en-US" w:eastAsia="zh-CN"/>
        </w:rPr>
        <w:t>一是按照 2019 年部门预算编审要求，根据我中心职能职责，结合中长期规划和年度工作计划，明确了年度主要工作任务及年度内履职所要达到的总体产出和效果，认真填报了我中心整体支出绩效目标，设定了年度绩效数量指标、成本指标、效益指标等。</w:t>
      </w:r>
    </w:p>
    <w:p>
      <w:pPr>
        <w:spacing w:line="576" w:lineRule="exact"/>
        <w:ind w:firstLine="620" w:firstLineChars="200"/>
        <w:rPr>
          <w:rFonts w:hint="eastAsia" w:ascii="仿宋_GB2312" w:hAnsi="仿宋" w:eastAsia="仿宋_GB2312" w:cs="仿宋"/>
          <w:color w:val="000000"/>
          <w:spacing w:val="-5"/>
          <w:sz w:val="32"/>
          <w:lang w:val="en-US" w:eastAsia="zh-CN"/>
        </w:rPr>
      </w:pPr>
      <w:r>
        <w:rPr>
          <w:rFonts w:hint="eastAsia" w:ascii="仿宋_GB2312" w:hAnsi="仿宋" w:eastAsia="仿宋_GB2312" w:cs="仿宋"/>
          <w:color w:val="000000"/>
          <w:spacing w:val="-5"/>
          <w:sz w:val="32"/>
          <w:lang w:val="en-US" w:eastAsia="zh-CN"/>
        </w:rPr>
        <w:t>二是按照财政部门统一部署，我中心于 2019年9月25日按要求对2019年部门预算进行公开。</w:t>
      </w:r>
    </w:p>
    <w:p>
      <w:pPr>
        <w:spacing w:line="580" w:lineRule="exact"/>
        <w:ind w:firstLine="643" w:firstLineChars="200"/>
        <w:rPr>
          <w:rFonts w:ascii="楷体_GB2312" w:hAnsi="仿宋" w:eastAsia="楷体_GB2312" w:cs="仿宋_GB2312"/>
          <w:b/>
          <w:sz w:val="32"/>
          <w:szCs w:val="32"/>
        </w:rPr>
      </w:pPr>
      <w:r>
        <w:rPr>
          <w:rFonts w:hint="eastAsia" w:ascii="楷体_GB2312" w:hAnsi="仿宋" w:eastAsia="楷体_GB2312" w:cs="仿宋_GB2312"/>
          <w:b/>
          <w:sz w:val="32"/>
          <w:szCs w:val="32"/>
        </w:rPr>
        <w:t>（二）专项预算管理</w:t>
      </w:r>
    </w:p>
    <w:p>
      <w:pPr>
        <w:spacing w:line="58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lang w:eastAsia="zh-CN"/>
        </w:rPr>
        <w:t>2</w:t>
      </w:r>
      <w:r>
        <w:rPr>
          <w:rFonts w:hint="eastAsia" w:ascii="仿宋_GB2312" w:hAnsi="仿宋" w:eastAsia="仿宋_GB2312" w:cs="仿宋"/>
          <w:color w:val="000000"/>
          <w:spacing w:val="-5"/>
          <w:sz w:val="32"/>
          <w:lang w:val="en-US" w:eastAsia="zh-CN"/>
        </w:rPr>
        <w:t>019 年，本部门无专项预算。</w:t>
      </w:r>
    </w:p>
    <w:p>
      <w:pPr>
        <w:spacing w:line="580" w:lineRule="exact"/>
        <w:ind w:firstLine="643" w:firstLineChars="200"/>
        <w:rPr>
          <w:rFonts w:ascii="楷体_GB2312" w:hAnsi="仿宋" w:eastAsia="楷体_GB2312" w:cs="仿宋_GB2312"/>
          <w:b/>
          <w:sz w:val="32"/>
          <w:szCs w:val="32"/>
        </w:rPr>
      </w:pPr>
      <w:r>
        <w:rPr>
          <w:rFonts w:hint="eastAsia" w:ascii="楷体_GB2312" w:hAnsi="仿宋" w:eastAsia="楷体_GB2312" w:cs="仿宋_GB2312"/>
          <w:b/>
          <w:sz w:val="32"/>
          <w:szCs w:val="32"/>
        </w:rPr>
        <w:t>（三）结果应用情况</w:t>
      </w:r>
    </w:p>
    <w:p>
      <w:pPr>
        <w:spacing w:line="580" w:lineRule="exact"/>
        <w:ind w:firstLine="620" w:firstLineChars="200"/>
        <w:rPr>
          <w:rFonts w:hint="eastAsia" w:ascii="仿宋_GB2312" w:hAnsi="仿宋" w:eastAsia="仿宋_GB2312" w:cs="仿宋"/>
          <w:color w:val="000000"/>
          <w:spacing w:val="-5"/>
          <w:sz w:val="32"/>
          <w:lang w:val="en-US" w:eastAsia="zh-CN"/>
        </w:rPr>
      </w:pPr>
      <w:r>
        <w:rPr>
          <w:rFonts w:hint="eastAsia" w:ascii="仿宋_GB2312" w:hAnsi="仿宋" w:eastAsia="仿宋_GB2312" w:cs="仿宋"/>
          <w:color w:val="000000"/>
          <w:spacing w:val="-5"/>
          <w:sz w:val="32"/>
          <w:lang w:val="en-US" w:eastAsia="zh-CN"/>
        </w:rPr>
        <w:t>我中心对部门预算绩效管理工作开展情况认真进行了自查自评。绩效评价自查开展覆盖下属单位及重点支出，将评价结果作为预算安排的重要依据，参照项目年度预算执行情况“三年滚动规划”执行情况统筹项目支出需求，保障重点支出，调整支出结构，优化财政资金配置，不断强化绩理念，推动部门整体绩效管理水平不断提升。</w:t>
      </w:r>
    </w:p>
    <w:p>
      <w:pPr>
        <w:spacing w:line="580" w:lineRule="exact"/>
        <w:ind w:firstLine="640" w:firstLineChars="200"/>
        <w:rPr>
          <w:rFonts w:ascii="黑体" w:hAnsi="黑体" w:eastAsia="黑体" w:cs="黑体"/>
          <w:sz w:val="32"/>
          <w:szCs w:val="32"/>
        </w:rPr>
      </w:pPr>
      <w:r>
        <w:rPr>
          <w:rFonts w:hint="eastAsia" w:ascii="黑体" w:hAnsi="黑体" w:eastAsia="黑体" w:cs="黑体"/>
          <w:sz w:val="32"/>
          <w:szCs w:val="32"/>
        </w:rPr>
        <w:t>四、评价结论及建议</w:t>
      </w:r>
    </w:p>
    <w:p>
      <w:pPr>
        <w:spacing w:line="576" w:lineRule="exact"/>
        <w:ind w:firstLine="643"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（一）评价结论</w:t>
      </w:r>
    </w:p>
    <w:p>
      <w:pPr>
        <w:spacing w:line="580" w:lineRule="exact"/>
        <w:ind w:firstLine="620" w:firstLineChars="200"/>
        <w:rPr>
          <w:rFonts w:hint="eastAsia" w:ascii="仿宋_GB2312" w:hAnsi="仿宋" w:eastAsia="仿宋_GB2312" w:cs="仿宋"/>
          <w:color w:val="000000"/>
          <w:spacing w:val="-5"/>
          <w:sz w:val="32"/>
          <w:lang w:val="en-US" w:eastAsia="zh-CN"/>
        </w:rPr>
      </w:pPr>
      <w:r>
        <w:rPr>
          <w:rFonts w:hint="eastAsia" w:ascii="仿宋_GB2312" w:hAnsi="仿宋" w:eastAsia="仿宋_GB2312" w:cs="仿宋"/>
          <w:color w:val="000000"/>
          <w:spacing w:val="-5"/>
          <w:sz w:val="32"/>
          <w:lang w:val="en-US" w:eastAsia="zh-CN"/>
        </w:rPr>
        <w:t xml:space="preserve">2019年我中心整体支出绩效评价自查自评结果良好，全年基本支出保证了部门的正常运行和日常工作的正常开展，达到预期绩效目标。按照《茂县财政中心关于开展2019年财政支出绩效评价工作的通知》（茂财发〔2019〕34号）出台的绩效价指标体系自评得分 91.5分。 </w:t>
      </w:r>
    </w:p>
    <w:p>
      <w:pPr>
        <w:spacing w:line="640" w:lineRule="exact"/>
        <w:ind w:right="-1" w:firstLine="643" w:firstLineChars="200"/>
        <w:jc w:val="left"/>
        <w:rPr>
          <w:rFonts w:ascii="仿宋_GB2312" w:hAnsi="仿宋" w:eastAsia="仿宋_GB2312" w:cs="仿宋_GB2312"/>
          <w:sz w:val="32"/>
          <w:szCs w:val="32"/>
        </w:rPr>
      </w:pPr>
      <w:r>
        <w:rPr>
          <w:rFonts w:hint="eastAsia" w:ascii="楷体_GB2312" w:hAnsi="楷体_GB2312" w:eastAsia="楷体_GB2312" w:cs="楷体_GB2312"/>
          <w:b/>
          <w:bCs/>
          <w:sz w:val="32"/>
          <w:szCs w:val="32"/>
        </w:rPr>
        <w:t>（二）存在问题</w:t>
      </w:r>
    </w:p>
    <w:p>
      <w:pPr>
        <w:spacing w:line="580" w:lineRule="exact"/>
        <w:ind w:firstLine="620" w:firstLineChars="200"/>
        <w:rPr>
          <w:rFonts w:hint="eastAsia" w:ascii="仿宋_GB2312" w:hAnsi="仿宋" w:eastAsia="仿宋_GB2312" w:cs="仿宋"/>
          <w:color w:val="000000"/>
          <w:spacing w:val="-5"/>
          <w:sz w:val="32"/>
          <w:lang w:val="en-US" w:eastAsia="zh-CN"/>
        </w:rPr>
      </w:pPr>
      <w:r>
        <w:rPr>
          <w:rFonts w:hint="eastAsia" w:ascii="仿宋_GB2312" w:hAnsi="仿宋" w:eastAsia="仿宋_GB2312" w:cs="仿宋"/>
          <w:color w:val="000000"/>
          <w:spacing w:val="-5"/>
          <w:sz w:val="32"/>
          <w:lang w:val="en-US" w:eastAsia="zh-CN"/>
        </w:rPr>
        <w:t>绩效目标设定有待更科学更合理；工作人员专业性不强。</w:t>
      </w:r>
    </w:p>
    <w:p>
      <w:pPr>
        <w:spacing w:line="576" w:lineRule="exact"/>
        <w:ind w:firstLine="643"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（三）改进建议</w:t>
      </w:r>
    </w:p>
    <w:p>
      <w:pPr>
        <w:spacing w:line="580" w:lineRule="exact"/>
        <w:ind w:firstLine="620" w:firstLineChars="200"/>
        <w:rPr>
          <w:rFonts w:hint="eastAsia" w:ascii="仿宋_GB2312" w:hAnsi="仿宋" w:eastAsia="仿宋_GB2312" w:cs="仿宋"/>
          <w:color w:val="000000"/>
          <w:spacing w:val="-5"/>
          <w:sz w:val="32"/>
          <w:lang w:val="en-US" w:eastAsia="zh-CN"/>
        </w:rPr>
      </w:pPr>
      <w:r>
        <w:rPr>
          <w:rFonts w:hint="eastAsia" w:ascii="仿宋_GB2312" w:hAnsi="仿宋" w:eastAsia="仿宋_GB2312" w:cs="仿宋"/>
          <w:color w:val="000000"/>
          <w:spacing w:val="-5"/>
          <w:sz w:val="32"/>
          <w:lang w:val="en-US" w:eastAsia="zh-CN"/>
        </w:rPr>
        <w:t>针对存在的问题，我们将进一步科学设定绩效目标，加强预算执行管理；改进部门收支预算编制，务实预算基础工作，提高预算编制质量；提高工作人员专业的学习。</w:t>
      </w:r>
    </w:p>
    <w:p>
      <w:pPr>
        <w:spacing w:line="580" w:lineRule="exact"/>
        <w:ind w:firstLine="620" w:firstLineChars="200"/>
        <w:rPr>
          <w:rFonts w:hint="eastAsia" w:ascii="仿宋_GB2312" w:hAnsi="仿宋" w:eastAsia="仿宋_GB2312" w:cs="仿宋"/>
          <w:color w:val="000000"/>
          <w:spacing w:val="-5"/>
          <w:sz w:val="32"/>
          <w:lang w:val="en-US" w:eastAsia="zh-CN"/>
        </w:rPr>
      </w:pPr>
    </w:p>
    <w:p>
      <w:pPr>
        <w:widowControl/>
        <w:shd w:val="clear" w:color="auto" w:fill="FFFFFF"/>
        <w:spacing w:line="576" w:lineRule="atLeast"/>
        <w:ind w:firstLine="480"/>
        <w:rPr>
          <w:rFonts w:ascii="仿宋_GB2312" w:hAnsi="仿宋_GB2312" w:eastAsia="仿宋_GB2312" w:cs="仿宋_GB2312"/>
          <w:color w:val="333333"/>
          <w:kern w:val="0"/>
          <w:sz w:val="32"/>
          <w:szCs w:val="32"/>
        </w:rPr>
      </w:pPr>
    </w:p>
    <w:p>
      <w:pPr>
        <w:widowControl/>
        <w:shd w:val="clear" w:color="auto" w:fill="FFFFFF"/>
        <w:spacing w:line="576" w:lineRule="atLeast"/>
        <w:ind w:firstLine="480"/>
        <w:rPr>
          <w:rFonts w:ascii="仿宋_GB2312" w:hAnsi="仿宋_GB2312" w:eastAsia="仿宋_GB2312" w:cs="仿宋_GB2312"/>
          <w:color w:val="333333"/>
          <w:kern w:val="0"/>
          <w:sz w:val="32"/>
          <w:szCs w:val="32"/>
        </w:rPr>
      </w:pPr>
    </w:p>
    <w:p>
      <w:pPr>
        <w:widowControl/>
        <w:shd w:val="clear" w:color="auto" w:fill="FFFFFF"/>
        <w:spacing w:line="576" w:lineRule="atLeast"/>
        <w:ind w:firstLine="480"/>
        <w:rPr>
          <w:rFonts w:ascii="仿宋_GB2312" w:hAnsi="仿宋_GB2312" w:eastAsia="仿宋_GB2312" w:cs="仿宋_GB2312"/>
          <w:color w:val="333333"/>
          <w:kern w:val="0"/>
          <w:sz w:val="32"/>
          <w:szCs w:val="32"/>
        </w:rPr>
      </w:pPr>
    </w:p>
    <w:p>
      <w:pPr>
        <w:spacing w:line="580" w:lineRule="exact"/>
        <w:rPr>
          <w:rFonts w:ascii="仿宋_GB2312" w:hAnsi="仿宋_GB2312" w:eastAsia="仿宋_GB2312" w:cs="仿宋_GB2312"/>
          <w:sz w:val="32"/>
          <w:szCs w:val="32"/>
        </w:rPr>
      </w:pPr>
    </w:p>
    <w:p>
      <w:pPr>
        <w:widowControl/>
        <w:jc w:val="left"/>
        <w:rPr>
          <w:rFonts w:ascii="仿宋_GB2312" w:hAnsi="仿宋_GB2312" w:eastAsia="仿宋_GB2312" w:cs="仿宋_GB2312"/>
          <w:sz w:val="32"/>
          <w:szCs w:val="32"/>
        </w:rPr>
      </w:pPr>
    </w:p>
    <w:p>
      <w:pPr>
        <w:spacing w:line="580" w:lineRule="exact"/>
        <w:ind w:firstLine="2420" w:firstLineChars="550"/>
        <w:rPr>
          <w:rFonts w:hint="eastAsia" w:ascii="方正小标宋简体" w:hAnsi="方正小标宋简体" w:eastAsia="方正小标宋简体" w:cs="方正小标宋简体"/>
          <w:color w:val="000000"/>
          <w:sz w:val="44"/>
          <w:szCs w:val="44"/>
        </w:rPr>
      </w:pPr>
      <w:bookmarkStart w:id="58" w:name="_Toc15396618"/>
    </w:p>
    <w:p>
      <w:pPr>
        <w:spacing w:line="580" w:lineRule="exact"/>
        <w:ind w:firstLine="2420" w:firstLineChars="550"/>
        <w:rPr>
          <w:rFonts w:hint="eastAsia" w:ascii="方正小标宋简体" w:hAnsi="方正小标宋简体" w:eastAsia="方正小标宋简体" w:cs="方正小标宋简体"/>
          <w:color w:val="000000"/>
          <w:sz w:val="44"/>
          <w:szCs w:val="44"/>
        </w:rPr>
      </w:pPr>
    </w:p>
    <w:p>
      <w:pPr>
        <w:spacing w:line="580" w:lineRule="exact"/>
        <w:ind w:firstLine="2420" w:firstLineChars="550"/>
        <w:rPr>
          <w:rFonts w:hint="eastAsia" w:ascii="方正小标宋简体" w:hAnsi="方正小标宋简体" w:eastAsia="方正小标宋简体" w:cs="方正小标宋简体"/>
          <w:color w:val="000000"/>
          <w:sz w:val="44"/>
          <w:szCs w:val="44"/>
        </w:rPr>
      </w:pPr>
    </w:p>
    <w:p>
      <w:pPr>
        <w:spacing w:line="580" w:lineRule="exact"/>
        <w:ind w:firstLine="2420" w:firstLineChars="550"/>
        <w:rPr>
          <w:rStyle w:val="16"/>
          <w:rFonts w:ascii="方正小标宋简体" w:hAnsi="方正小标宋简体" w:eastAsia="方正小标宋简体" w:cs="方正小标宋简体"/>
          <w:b w:val="0"/>
        </w:rPr>
      </w:pPr>
      <w:r>
        <w:rPr>
          <w:rFonts w:hint="eastAsia" w:ascii="方正小标宋简体" w:hAnsi="方正小标宋简体" w:eastAsia="方正小标宋简体" w:cs="方正小标宋简体"/>
          <w:color w:val="000000"/>
          <w:sz w:val="44"/>
          <w:szCs w:val="44"/>
        </w:rPr>
        <w:t>第</w:t>
      </w:r>
      <w:r>
        <w:rPr>
          <w:rStyle w:val="16"/>
          <w:rFonts w:hint="eastAsia" w:ascii="方正小标宋简体" w:hAnsi="方正小标宋简体" w:eastAsia="方正小标宋简体" w:cs="方正小标宋简体"/>
          <w:b w:val="0"/>
        </w:rPr>
        <w:t>五部分</w:t>
      </w:r>
      <w:r>
        <w:rPr>
          <w:rStyle w:val="16"/>
          <w:rFonts w:ascii="方正小标宋简体" w:hAnsi="方正小标宋简体" w:eastAsia="方正小标宋简体" w:cs="方正小标宋简体"/>
          <w:b w:val="0"/>
        </w:rPr>
        <w:t xml:space="preserve"> </w:t>
      </w:r>
      <w:r>
        <w:rPr>
          <w:rStyle w:val="16"/>
          <w:rFonts w:hint="eastAsia" w:ascii="方正小标宋简体" w:hAnsi="方正小标宋简体" w:eastAsia="方正小标宋简体" w:cs="方正小标宋简体"/>
          <w:b w:val="0"/>
        </w:rPr>
        <w:t>附表</w:t>
      </w:r>
      <w:bookmarkEnd w:id="56"/>
      <w:bookmarkEnd w:id="58"/>
    </w:p>
    <w:p>
      <w:pPr>
        <w:pStyle w:val="3"/>
        <w:rPr>
          <w:rFonts w:hint="eastAsia" w:ascii="仿宋_GB2312" w:hAnsi="仿宋_GB2312" w:eastAsia="仿宋_GB2312" w:cs="仿宋_GB2312"/>
          <w:color w:val="000000"/>
        </w:rPr>
      </w:pPr>
      <w:bookmarkStart w:id="59" w:name="_Toc15396619"/>
      <w:r>
        <w:rPr>
          <w:rFonts w:hint="eastAsia" w:ascii="仿宋_GB2312" w:hAnsi="仿宋_GB2312" w:eastAsia="仿宋_GB2312" w:cs="仿宋_GB2312"/>
          <w:b w:val="0"/>
          <w:color w:val="000000"/>
        </w:rPr>
        <w:t>一、收</w:t>
      </w:r>
      <w:r>
        <w:rPr>
          <w:rStyle w:val="17"/>
          <w:rFonts w:hint="eastAsia" w:ascii="仿宋_GB2312" w:hAnsi="仿宋_GB2312" w:eastAsia="仿宋_GB2312" w:cs="仿宋_GB2312"/>
          <w:b w:val="0"/>
          <w:bCs w:val="0"/>
        </w:rPr>
        <w:t>入支出决算总表</w:t>
      </w:r>
      <w:bookmarkEnd w:id="59"/>
    </w:p>
    <w:p>
      <w:pPr>
        <w:pStyle w:val="3"/>
        <w:rPr>
          <w:rFonts w:hint="eastAsia" w:ascii="仿宋_GB2312" w:hAnsi="仿宋_GB2312" w:eastAsia="仿宋_GB2312" w:cs="仿宋_GB2312"/>
          <w:color w:val="000000"/>
        </w:rPr>
      </w:pPr>
      <w:bookmarkStart w:id="60" w:name="_Toc15396620"/>
      <w:r>
        <w:rPr>
          <w:rFonts w:hint="eastAsia" w:ascii="仿宋_GB2312" w:hAnsi="仿宋_GB2312" w:eastAsia="仿宋_GB2312" w:cs="仿宋_GB2312"/>
          <w:b w:val="0"/>
          <w:color w:val="000000"/>
        </w:rPr>
        <w:t>二、收</w:t>
      </w:r>
      <w:r>
        <w:rPr>
          <w:rStyle w:val="17"/>
          <w:rFonts w:hint="eastAsia" w:ascii="仿宋_GB2312" w:hAnsi="仿宋_GB2312" w:eastAsia="仿宋_GB2312" w:cs="仿宋_GB2312"/>
          <w:b w:val="0"/>
          <w:bCs w:val="0"/>
        </w:rPr>
        <w:t>入总表</w:t>
      </w:r>
      <w:bookmarkEnd w:id="60"/>
    </w:p>
    <w:p>
      <w:pPr>
        <w:pStyle w:val="3"/>
        <w:rPr>
          <w:rFonts w:hint="eastAsia" w:ascii="仿宋_GB2312" w:hAnsi="仿宋_GB2312" w:eastAsia="仿宋_GB2312" w:cs="仿宋_GB2312"/>
          <w:color w:val="000000"/>
        </w:rPr>
      </w:pPr>
      <w:bookmarkStart w:id="61" w:name="_Toc15396621"/>
      <w:r>
        <w:rPr>
          <w:rStyle w:val="17"/>
          <w:rFonts w:hint="eastAsia" w:ascii="仿宋_GB2312" w:hAnsi="仿宋_GB2312" w:eastAsia="仿宋_GB2312" w:cs="仿宋_GB2312"/>
          <w:b w:val="0"/>
          <w:bCs w:val="0"/>
        </w:rPr>
        <w:t>三、</w:t>
      </w:r>
      <w:r>
        <w:rPr>
          <w:rFonts w:hint="eastAsia" w:ascii="仿宋_GB2312" w:hAnsi="仿宋_GB2312" w:eastAsia="仿宋_GB2312" w:cs="仿宋_GB2312"/>
          <w:b w:val="0"/>
          <w:color w:val="000000"/>
        </w:rPr>
        <w:t>支</w:t>
      </w:r>
      <w:r>
        <w:rPr>
          <w:rStyle w:val="17"/>
          <w:rFonts w:hint="eastAsia" w:ascii="仿宋_GB2312" w:hAnsi="仿宋_GB2312" w:eastAsia="仿宋_GB2312" w:cs="仿宋_GB2312"/>
          <w:b w:val="0"/>
          <w:bCs w:val="0"/>
        </w:rPr>
        <w:t>出总表</w:t>
      </w:r>
      <w:bookmarkEnd w:id="61"/>
    </w:p>
    <w:p>
      <w:pPr>
        <w:pStyle w:val="3"/>
        <w:rPr>
          <w:rFonts w:hint="eastAsia" w:ascii="仿宋_GB2312" w:hAnsi="仿宋_GB2312" w:eastAsia="仿宋_GB2312" w:cs="仿宋_GB2312"/>
          <w:b w:val="0"/>
          <w:color w:val="000000"/>
        </w:rPr>
      </w:pPr>
      <w:bookmarkStart w:id="62" w:name="_Toc15396622"/>
      <w:r>
        <w:rPr>
          <w:rStyle w:val="17"/>
          <w:rFonts w:hint="eastAsia" w:ascii="仿宋_GB2312" w:hAnsi="仿宋_GB2312" w:eastAsia="仿宋_GB2312" w:cs="仿宋_GB2312"/>
          <w:b w:val="0"/>
          <w:bCs w:val="0"/>
        </w:rPr>
        <w:t>四、</w:t>
      </w:r>
      <w:r>
        <w:rPr>
          <w:rFonts w:hint="eastAsia" w:ascii="仿宋_GB2312" w:hAnsi="仿宋_GB2312" w:eastAsia="仿宋_GB2312" w:cs="仿宋_GB2312"/>
          <w:b w:val="0"/>
          <w:color w:val="000000"/>
        </w:rPr>
        <w:t>财</w:t>
      </w:r>
      <w:r>
        <w:rPr>
          <w:rStyle w:val="17"/>
          <w:rFonts w:hint="eastAsia" w:ascii="仿宋_GB2312" w:hAnsi="仿宋_GB2312" w:eastAsia="仿宋_GB2312" w:cs="仿宋_GB2312"/>
          <w:b w:val="0"/>
          <w:bCs w:val="0"/>
        </w:rPr>
        <w:t>政拨款收入支出决算总表</w:t>
      </w:r>
      <w:bookmarkEnd w:id="62"/>
    </w:p>
    <w:p>
      <w:pPr>
        <w:pStyle w:val="3"/>
        <w:rPr>
          <w:rFonts w:hint="eastAsia" w:ascii="仿宋_GB2312" w:hAnsi="仿宋_GB2312" w:eastAsia="仿宋_GB2312" w:cs="仿宋_GB2312"/>
          <w:color w:val="000000"/>
        </w:rPr>
      </w:pPr>
      <w:bookmarkStart w:id="63" w:name="_Toc15396623"/>
      <w:r>
        <w:rPr>
          <w:rStyle w:val="17"/>
          <w:rFonts w:hint="eastAsia" w:ascii="仿宋_GB2312" w:hAnsi="仿宋_GB2312" w:eastAsia="仿宋_GB2312" w:cs="仿宋_GB2312"/>
          <w:b w:val="0"/>
          <w:bCs w:val="0"/>
        </w:rPr>
        <w:t>五、</w:t>
      </w:r>
      <w:r>
        <w:rPr>
          <w:rFonts w:hint="eastAsia" w:ascii="仿宋_GB2312" w:hAnsi="仿宋_GB2312" w:eastAsia="仿宋_GB2312" w:cs="仿宋_GB2312"/>
          <w:b w:val="0"/>
          <w:color w:val="000000"/>
        </w:rPr>
        <w:t>财</w:t>
      </w:r>
      <w:r>
        <w:rPr>
          <w:rStyle w:val="17"/>
          <w:rFonts w:hint="eastAsia" w:ascii="仿宋_GB2312" w:hAnsi="仿宋_GB2312" w:eastAsia="仿宋_GB2312" w:cs="仿宋_GB2312"/>
          <w:b w:val="0"/>
          <w:bCs w:val="0"/>
        </w:rPr>
        <w:t>政拨款支出决算明细表（政府经济分类科目）</w:t>
      </w:r>
      <w:bookmarkEnd w:id="63"/>
    </w:p>
    <w:p>
      <w:pPr>
        <w:pStyle w:val="3"/>
        <w:rPr>
          <w:rFonts w:hint="eastAsia" w:ascii="仿宋_GB2312" w:hAnsi="仿宋_GB2312" w:eastAsia="仿宋_GB2312" w:cs="仿宋_GB2312"/>
          <w:color w:val="000000"/>
        </w:rPr>
      </w:pPr>
      <w:bookmarkStart w:id="64" w:name="_Toc15396624"/>
      <w:r>
        <w:rPr>
          <w:rStyle w:val="17"/>
          <w:rFonts w:hint="eastAsia" w:ascii="仿宋_GB2312" w:hAnsi="仿宋_GB2312" w:eastAsia="仿宋_GB2312" w:cs="仿宋_GB2312"/>
          <w:b w:val="0"/>
          <w:bCs w:val="0"/>
        </w:rPr>
        <w:t>六、</w:t>
      </w:r>
      <w:r>
        <w:rPr>
          <w:rFonts w:hint="eastAsia" w:ascii="仿宋_GB2312" w:hAnsi="仿宋_GB2312" w:eastAsia="仿宋_GB2312" w:cs="仿宋_GB2312"/>
          <w:b w:val="0"/>
          <w:color w:val="000000"/>
        </w:rPr>
        <w:t>一</w:t>
      </w:r>
      <w:r>
        <w:rPr>
          <w:rStyle w:val="17"/>
          <w:rFonts w:hint="eastAsia" w:ascii="仿宋_GB2312" w:hAnsi="仿宋_GB2312" w:eastAsia="仿宋_GB2312" w:cs="仿宋_GB2312"/>
          <w:b w:val="0"/>
          <w:bCs w:val="0"/>
        </w:rPr>
        <w:t>般公共预算财政拨款支出决算表</w:t>
      </w:r>
      <w:bookmarkEnd w:id="64"/>
    </w:p>
    <w:p>
      <w:pPr>
        <w:pStyle w:val="3"/>
        <w:rPr>
          <w:rFonts w:hint="eastAsia" w:ascii="仿宋_GB2312" w:hAnsi="仿宋_GB2312" w:eastAsia="仿宋_GB2312" w:cs="仿宋_GB2312"/>
          <w:color w:val="000000"/>
        </w:rPr>
      </w:pPr>
      <w:bookmarkStart w:id="65" w:name="_Toc15396625"/>
      <w:r>
        <w:rPr>
          <w:rStyle w:val="17"/>
          <w:rFonts w:hint="eastAsia" w:ascii="仿宋_GB2312" w:hAnsi="仿宋_GB2312" w:eastAsia="仿宋_GB2312" w:cs="仿宋_GB2312"/>
          <w:b w:val="0"/>
          <w:bCs w:val="0"/>
        </w:rPr>
        <w:t>七、</w:t>
      </w:r>
      <w:r>
        <w:rPr>
          <w:rFonts w:hint="eastAsia" w:ascii="仿宋_GB2312" w:hAnsi="仿宋_GB2312" w:eastAsia="仿宋_GB2312" w:cs="仿宋_GB2312"/>
          <w:b w:val="0"/>
          <w:color w:val="000000"/>
        </w:rPr>
        <w:t>一</w:t>
      </w:r>
      <w:r>
        <w:rPr>
          <w:rStyle w:val="17"/>
          <w:rFonts w:hint="eastAsia" w:ascii="仿宋_GB2312" w:hAnsi="仿宋_GB2312" w:eastAsia="仿宋_GB2312" w:cs="仿宋_GB2312"/>
          <w:b w:val="0"/>
          <w:bCs w:val="0"/>
        </w:rPr>
        <w:t>般公共预算财政拨款支出决算明细表</w:t>
      </w:r>
      <w:bookmarkEnd w:id="65"/>
    </w:p>
    <w:p>
      <w:pPr>
        <w:pStyle w:val="3"/>
        <w:rPr>
          <w:rFonts w:hint="eastAsia" w:ascii="仿宋_GB2312" w:hAnsi="仿宋_GB2312" w:eastAsia="仿宋_GB2312" w:cs="仿宋_GB2312"/>
          <w:color w:val="000000"/>
        </w:rPr>
      </w:pPr>
      <w:bookmarkStart w:id="66" w:name="_Toc15396626"/>
      <w:r>
        <w:rPr>
          <w:rStyle w:val="17"/>
          <w:rFonts w:hint="eastAsia" w:ascii="仿宋_GB2312" w:hAnsi="仿宋_GB2312" w:eastAsia="仿宋_GB2312" w:cs="仿宋_GB2312"/>
          <w:b w:val="0"/>
          <w:bCs w:val="0"/>
        </w:rPr>
        <w:t>八、</w:t>
      </w:r>
      <w:r>
        <w:rPr>
          <w:rFonts w:hint="eastAsia" w:ascii="仿宋_GB2312" w:hAnsi="仿宋_GB2312" w:eastAsia="仿宋_GB2312" w:cs="仿宋_GB2312"/>
          <w:b w:val="0"/>
          <w:color w:val="000000"/>
        </w:rPr>
        <w:t>一</w:t>
      </w:r>
      <w:r>
        <w:rPr>
          <w:rStyle w:val="17"/>
          <w:rFonts w:hint="eastAsia" w:ascii="仿宋_GB2312" w:hAnsi="仿宋_GB2312" w:eastAsia="仿宋_GB2312" w:cs="仿宋_GB2312"/>
          <w:b w:val="0"/>
          <w:bCs w:val="0"/>
        </w:rPr>
        <w:t>般公共预算财政拨款基本支出决算表</w:t>
      </w:r>
      <w:bookmarkEnd w:id="66"/>
    </w:p>
    <w:p>
      <w:pPr>
        <w:pStyle w:val="3"/>
        <w:rPr>
          <w:rFonts w:hint="eastAsia" w:ascii="仿宋_GB2312" w:hAnsi="仿宋_GB2312" w:eastAsia="仿宋_GB2312" w:cs="仿宋_GB2312"/>
          <w:color w:val="000000"/>
        </w:rPr>
      </w:pPr>
      <w:bookmarkStart w:id="67" w:name="_Toc15396627"/>
      <w:r>
        <w:rPr>
          <w:rStyle w:val="17"/>
          <w:rFonts w:hint="eastAsia" w:ascii="仿宋_GB2312" w:hAnsi="仿宋_GB2312" w:eastAsia="仿宋_GB2312" w:cs="仿宋_GB2312"/>
          <w:b w:val="0"/>
          <w:bCs w:val="0"/>
        </w:rPr>
        <w:t>九、</w:t>
      </w:r>
      <w:r>
        <w:rPr>
          <w:rFonts w:hint="eastAsia" w:ascii="仿宋_GB2312" w:hAnsi="仿宋_GB2312" w:eastAsia="仿宋_GB2312" w:cs="仿宋_GB2312"/>
          <w:b w:val="0"/>
          <w:color w:val="000000"/>
        </w:rPr>
        <w:t>一</w:t>
      </w:r>
      <w:r>
        <w:rPr>
          <w:rStyle w:val="17"/>
          <w:rFonts w:hint="eastAsia" w:ascii="仿宋_GB2312" w:hAnsi="仿宋_GB2312" w:eastAsia="仿宋_GB2312" w:cs="仿宋_GB2312"/>
          <w:b w:val="0"/>
          <w:bCs w:val="0"/>
        </w:rPr>
        <w:t>般公共预算财政拨款项目支出决算表</w:t>
      </w:r>
      <w:bookmarkEnd w:id="67"/>
    </w:p>
    <w:p>
      <w:pPr>
        <w:pStyle w:val="3"/>
        <w:rPr>
          <w:rFonts w:hint="eastAsia" w:ascii="仿宋_GB2312" w:hAnsi="仿宋_GB2312" w:eastAsia="仿宋_GB2312" w:cs="仿宋_GB2312"/>
          <w:color w:val="000000"/>
        </w:rPr>
      </w:pPr>
      <w:bookmarkStart w:id="68" w:name="_Toc15396628"/>
      <w:r>
        <w:rPr>
          <w:rStyle w:val="17"/>
          <w:rFonts w:hint="eastAsia" w:ascii="仿宋_GB2312" w:hAnsi="仿宋_GB2312" w:eastAsia="仿宋_GB2312" w:cs="仿宋_GB2312"/>
          <w:b w:val="0"/>
          <w:bCs w:val="0"/>
        </w:rPr>
        <w:t>十、</w:t>
      </w:r>
      <w:r>
        <w:rPr>
          <w:rFonts w:hint="eastAsia" w:ascii="仿宋_GB2312" w:hAnsi="仿宋_GB2312" w:eastAsia="仿宋_GB2312" w:cs="仿宋_GB2312"/>
          <w:b w:val="0"/>
          <w:color w:val="000000"/>
        </w:rPr>
        <w:t>一</w:t>
      </w:r>
      <w:r>
        <w:rPr>
          <w:rStyle w:val="17"/>
          <w:rFonts w:hint="eastAsia" w:ascii="仿宋_GB2312" w:hAnsi="仿宋_GB2312" w:eastAsia="仿宋_GB2312" w:cs="仿宋_GB2312"/>
          <w:b w:val="0"/>
          <w:bCs w:val="0"/>
        </w:rPr>
        <w:t>般公共预算财政拨款“三公”经费支出决算表</w:t>
      </w:r>
      <w:bookmarkEnd w:id="68"/>
    </w:p>
    <w:p>
      <w:pPr>
        <w:pStyle w:val="3"/>
        <w:rPr>
          <w:rFonts w:hint="eastAsia" w:ascii="仿宋_GB2312" w:hAnsi="仿宋_GB2312" w:eastAsia="仿宋_GB2312" w:cs="仿宋_GB2312"/>
          <w:color w:val="000000"/>
        </w:rPr>
      </w:pPr>
      <w:bookmarkStart w:id="69" w:name="_Toc15396629"/>
      <w:r>
        <w:rPr>
          <w:rStyle w:val="17"/>
          <w:rFonts w:hint="eastAsia" w:ascii="仿宋_GB2312" w:hAnsi="仿宋_GB2312" w:eastAsia="仿宋_GB2312" w:cs="仿宋_GB2312"/>
          <w:b w:val="0"/>
          <w:bCs w:val="0"/>
        </w:rPr>
        <w:t>十一、</w:t>
      </w:r>
      <w:r>
        <w:rPr>
          <w:rFonts w:hint="eastAsia" w:ascii="仿宋_GB2312" w:hAnsi="仿宋_GB2312" w:eastAsia="仿宋_GB2312" w:cs="仿宋_GB2312"/>
          <w:b w:val="0"/>
          <w:color w:val="000000"/>
        </w:rPr>
        <w:t>政</w:t>
      </w:r>
      <w:r>
        <w:rPr>
          <w:rStyle w:val="17"/>
          <w:rFonts w:hint="eastAsia" w:ascii="仿宋_GB2312" w:hAnsi="仿宋_GB2312" w:eastAsia="仿宋_GB2312" w:cs="仿宋_GB2312"/>
          <w:b w:val="0"/>
          <w:bCs w:val="0"/>
        </w:rPr>
        <w:t>府性基金预算财政拨款收入支出决算表</w:t>
      </w:r>
      <w:bookmarkEnd w:id="69"/>
    </w:p>
    <w:p>
      <w:pPr>
        <w:pStyle w:val="3"/>
        <w:rPr>
          <w:rFonts w:hint="eastAsia" w:ascii="仿宋_GB2312" w:hAnsi="仿宋_GB2312" w:eastAsia="仿宋_GB2312" w:cs="仿宋_GB2312"/>
          <w:color w:val="000000"/>
        </w:rPr>
      </w:pPr>
      <w:bookmarkStart w:id="70" w:name="_Toc15396630"/>
      <w:r>
        <w:rPr>
          <w:rStyle w:val="17"/>
          <w:rFonts w:hint="eastAsia" w:ascii="仿宋_GB2312" w:hAnsi="仿宋_GB2312" w:eastAsia="仿宋_GB2312" w:cs="仿宋_GB2312"/>
          <w:b w:val="0"/>
          <w:bCs w:val="0"/>
        </w:rPr>
        <w:t>十二、</w:t>
      </w:r>
      <w:r>
        <w:rPr>
          <w:rFonts w:hint="eastAsia" w:ascii="仿宋_GB2312" w:hAnsi="仿宋_GB2312" w:eastAsia="仿宋_GB2312" w:cs="仿宋_GB2312"/>
          <w:b w:val="0"/>
          <w:color w:val="000000"/>
        </w:rPr>
        <w:t>政</w:t>
      </w:r>
      <w:r>
        <w:rPr>
          <w:rStyle w:val="17"/>
          <w:rFonts w:hint="eastAsia" w:ascii="仿宋_GB2312" w:hAnsi="仿宋_GB2312" w:eastAsia="仿宋_GB2312" w:cs="仿宋_GB2312"/>
          <w:b w:val="0"/>
          <w:bCs w:val="0"/>
        </w:rPr>
        <w:t>府性基金预算财政拨款“三公”经费支出决算表</w:t>
      </w:r>
      <w:bookmarkEnd w:id="70"/>
    </w:p>
    <w:p>
      <w:pPr>
        <w:pStyle w:val="3"/>
        <w:rPr>
          <w:rStyle w:val="17"/>
          <w:rFonts w:hint="eastAsia" w:ascii="仿宋_GB2312" w:hAnsi="仿宋_GB2312" w:eastAsia="仿宋_GB2312" w:cs="仿宋_GB2312"/>
          <w:b w:val="0"/>
          <w:bCs w:val="0"/>
        </w:rPr>
      </w:pPr>
      <w:bookmarkStart w:id="71" w:name="_Toc15396631"/>
      <w:r>
        <w:rPr>
          <w:rStyle w:val="17"/>
          <w:rFonts w:hint="eastAsia" w:ascii="仿宋_GB2312" w:hAnsi="仿宋_GB2312" w:eastAsia="仿宋_GB2312" w:cs="仿宋_GB2312"/>
          <w:b w:val="0"/>
          <w:bCs w:val="0"/>
        </w:rPr>
        <w:t>十三、</w:t>
      </w:r>
      <w:r>
        <w:rPr>
          <w:rFonts w:hint="eastAsia" w:ascii="仿宋_GB2312" w:hAnsi="仿宋_GB2312" w:eastAsia="仿宋_GB2312" w:cs="仿宋_GB2312"/>
          <w:b w:val="0"/>
          <w:color w:val="000000"/>
        </w:rPr>
        <w:t>国</w:t>
      </w:r>
      <w:r>
        <w:rPr>
          <w:rStyle w:val="17"/>
          <w:rFonts w:hint="eastAsia" w:ascii="仿宋_GB2312" w:hAnsi="仿宋_GB2312" w:eastAsia="仿宋_GB2312" w:cs="仿宋_GB2312"/>
          <w:b w:val="0"/>
          <w:bCs w:val="0"/>
        </w:rPr>
        <w:t>有资本经营预算支出决算表</w:t>
      </w:r>
      <w:bookmarkEnd w:id="71"/>
    </w:p>
    <w:p>
      <w:pPr>
        <w:rPr>
          <w:rFonts w:eastAsia="仿宋"/>
          <w:b/>
          <w:bCs/>
        </w:rPr>
      </w:pP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fldChar w:fldCharType="begin"/>
    </w:r>
    <w:r>
      <w:instrText xml:space="preserve">PAGE   \* MERGEFORMAT</w:instrText>
    </w:r>
    <w:r>
      <w:fldChar w:fldCharType="separate"/>
    </w:r>
    <w:r>
      <w:rPr>
        <w:lang w:val="zh-CN"/>
      </w:rPr>
      <w:t>20</w:t>
    </w:r>
    <w:r>
      <w:rPr>
        <w:lang w:val="zh-CN"/>
      </w:rPr>
      <w:fldChar w:fldCharType="end"/>
    </w:r>
  </w:p>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D0B6D10"/>
    <w:multiLevelType w:val="singleLevel"/>
    <w:tmpl w:val="8D0B6D10"/>
    <w:lvl w:ilvl="0" w:tentative="0">
      <w:start w:val="4"/>
      <w:numFmt w:val="chineseCounting"/>
      <w:suff w:val="nothing"/>
      <w:lvlText w:val="（%1）"/>
      <w:lvlJc w:val="left"/>
      <w:rPr>
        <w:rFonts w:hint="eastAsia"/>
      </w:rPr>
    </w:lvl>
  </w:abstractNum>
  <w:abstractNum w:abstractNumId="1">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bordersDoNotSurroundHeader w:val="1"/>
  <w:bordersDoNotSurroundFooter w:val="1"/>
  <w:documentProtection w:enforcement="0"/>
  <w:defaultTabStop w:val="420"/>
  <w:drawingGridHorizontalSpacing w:val="105"/>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10A10"/>
    <w:rsid w:val="000222C6"/>
    <w:rsid w:val="0002258E"/>
    <w:rsid w:val="0002549F"/>
    <w:rsid w:val="00041E0E"/>
    <w:rsid w:val="0006487A"/>
    <w:rsid w:val="00065F8F"/>
    <w:rsid w:val="00072C6A"/>
    <w:rsid w:val="000768F2"/>
    <w:rsid w:val="00076E92"/>
    <w:rsid w:val="0009184B"/>
    <w:rsid w:val="0009415C"/>
    <w:rsid w:val="0009548E"/>
    <w:rsid w:val="0009593C"/>
    <w:rsid w:val="000A5FCE"/>
    <w:rsid w:val="000B047F"/>
    <w:rsid w:val="000B5923"/>
    <w:rsid w:val="000B5A48"/>
    <w:rsid w:val="000B6FF3"/>
    <w:rsid w:val="000C3467"/>
    <w:rsid w:val="000C3CA6"/>
    <w:rsid w:val="000D1267"/>
    <w:rsid w:val="000D1D50"/>
    <w:rsid w:val="000D5782"/>
    <w:rsid w:val="000E6613"/>
    <w:rsid w:val="000E7119"/>
    <w:rsid w:val="000F3962"/>
    <w:rsid w:val="000F52A2"/>
    <w:rsid w:val="00105BC9"/>
    <w:rsid w:val="00113763"/>
    <w:rsid w:val="00114E9B"/>
    <w:rsid w:val="001379CD"/>
    <w:rsid w:val="00137C0D"/>
    <w:rsid w:val="0014729F"/>
    <w:rsid w:val="00157BAB"/>
    <w:rsid w:val="001654D1"/>
    <w:rsid w:val="00171F83"/>
    <w:rsid w:val="0018106D"/>
    <w:rsid w:val="001877A7"/>
    <w:rsid w:val="00191536"/>
    <w:rsid w:val="00195584"/>
    <w:rsid w:val="00196687"/>
    <w:rsid w:val="001B3006"/>
    <w:rsid w:val="001C0962"/>
    <w:rsid w:val="001C45DA"/>
    <w:rsid w:val="001C4A6C"/>
    <w:rsid w:val="001D7531"/>
    <w:rsid w:val="001E1135"/>
    <w:rsid w:val="001E737D"/>
    <w:rsid w:val="001E78B5"/>
    <w:rsid w:val="001F0592"/>
    <w:rsid w:val="001F12FF"/>
    <w:rsid w:val="001F14C8"/>
    <w:rsid w:val="001F7506"/>
    <w:rsid w:val="002006CD"/>
    <w:rsid w:val="00202B36"/>
    <w:rsid w:val="00204B7A"/>
    <w:rsid w:val="0021101A"/>
    <w:rsid w:val="00216D8A"/>
    <w:rsid w:val="00220536"/>
    <w:rsid w:val="00234BA0"/>
    <w:rsid w:val="00235629"/>
    <w:rsid w:val="00260C38"/>
    <w:rsid w:val="0026106F"/>
    <w:rsid w:val="002616C0"/>
    <w:rsid w:val="0026359C"/>
    <w:rsid w:val="002662AA"/>
    <w:rsid w:val="00280496"/>
    <w:rsid w:val="00287F3C"/>
    <w:rsid w:val="00295495"/>
    <w:rsid w:val="002A221B"/>
    <w:rsid w:val="002B2613"/>
    <w:rsid w:val="002B36B7"/>
    <w:rsid w:val="002D4F3D"/>
    <w:rsid w:val="002E3276"/>
    <w:rsid w:val="002E38C9"/>
    <w:rsid w:val="002F1818"/>
    <w:rsid w:val="002F567B"/>
    <w:rsid w:val="002F5DBB"/>
    <w:rsid w:val="003216A9"/>
    <w:rsid w:val="00361E52"/>
    <w:rsid w:val="00362865"/>
    <w:rsid w:val="00365408"/>
    <w:rsid w:val="0037013F"/>
    <w:rsid w:val="00380C92"/>
    <w:rsid w:val="003A28C1"/>
    <w:rsid w:val="003A484F"/>
    <w:rsid w:val="003A568E"/>
    <w:rsid w:val="003B0BE0"/>
    <w:rsid w:val="003B0C1B"/>
    <w:rsid w:val="003B688C"/>
    <w:rsid w:val="003B72AD"/>
    <w:rsid w:val="003C0291"/>
    <w:rsid w:val="003C1DE9"/>
    <w:rsid w:val="003C2CD2"/>
    <w:rsid w:val="003C39AE"/>
    <w:rsid w:val="003C7B60"/>
    <w:rsid w:val="003D1FB2"/>
    <w:rsid w:val="003D337C"/>
    <w:rsid w:val="003D391F"/>
    <w:rsid w:val="003D66DA"/>
    <w:rsid w:val="003E1310"/>
    <w:rsid w:val="003E6F55"/>
    <w:rsid w:val="003F2747"/>
    <w:rsid w:val="00406254"/>
    <w:rsid w:val="00407C57"/>
    <w:rsid w:val="0041614A"/>
    <w:rsid w:val="004223DE"/>
    <w:rsid w:val="00434489"/>
    <w:rsid w:val="00437085"/>
    <w:rsid w:val="00443880"/>
    <w:rsid w:val="004464F4"/>
    <w:rsid w:val="00457D0E"/>
    <w:rsid w:val="004701C0"/>
    <w:rsid w:val="00471401"/>
    <w:rsid w:val="004734F1"/>
    <w:rsid w:val="00473F31"/>
    <w:rsid w:val="004744DA"/>
    <w:rsid w:val="0048263A"/>
    <w:rsid w:val="0048555A"/>
    <w:rsid w:val="00487E5D"/>
    <w:rsid w:val="004971BD"/>
    <w:rsid w:val="004A208A"/>
    <w:rsid w:val="004A711F"/>
    <w:rsid w:val="004B0FB2"/>
    <w:rsid w:val="004B199D"/>
    <w:rsid w:val="004B4690"/>
    <w:rsid w:val="004C576D"/>
    <w:rsid w:val="004E0A2D"/>
    <w:rsid w:val="004E206B"/>
    <w:rsid w:val="004E6DF7"/>
    <w:rsid w:val="004F0FBD"/>
    <w:rsid w:val="004F5592"/>
    <w:rsid w:val="00505A47"/>
    <w:rsid w:val="00506F85"/>
    <w:rsid w:val="005108C2"/>
    <w:rsid w:val="00512FDA"/>
    <w:rsid w:val="00517C21"/>
    <w:rsid w:val="00520DA0"/>
    <w:rsid w:val="00523BE6"/>
    <w:rsid w:val="00556242"/>
    <w:rsid w:val="005664BB"/>
    <w:rsid w:val="0057481D"/>
    <w:rsid w:val="0058486E"/>
    <w:rsid w:val="005919EC"/>
    <w:rsid w:val="005A0FA8"/>
    <w:rsid w:val="005B6346"/>
    <w:rsid w:val="005C38D6"/>
    <w:rsid w:val="005D1C8B"/>
    <w:rsid w:val="005D5CED"/>
    <w:rsid w:val="005E1C79"/>
    <w:rsid w:val="005E70E1"/>
    <w:rsid w:val="005E7617"/>
    <w:rsid w:val="005F1A4C"/>
    <w:rsid w:val="00602344"/>
    <w:rsid w:val="00605688"/>
    <w:rsid w:val="006070AF"/>
    <w:rsid w:val="00607E6C"/>
    <w:rsid w:val="006101B1"/>
    <w:rsid w:val="00614E44"/>
    <w:rsid w:val="00622830"/>
    <w:rsid w:val="00630AEF"/>
    <w:rsid w:val="00632491"/>
    <w:rsid w:val="006325F8"/>
    <w:rsid w:val="00634C9A"/>
    <w:rsid w:val="0063698F"/>
    <w:rsid w:val="006440E4"/>
    <w:rsid w:val="00657114"/>
    <w:rsid w:val="006633AA"/>
    <w:rsid w:val="0066343B"/>
    <w:rsid w:val="00663BF9"/>
    <w:rsid w:val="00664777"/>
    <w:rsid w:val="006748A4"/>
    <w:rsid w:val="00683E73"/>
    <w:rsid w:val="006A3141"/>
    <w:rsid w:val="006A5E34"/>
    <w:rsid w:val="006B2422"/>
    <w:rsid w:val="006B2B9A"/>
    <w:rsid w:val="006C1937"/>
    <w:rsid w:val="006E4243"/>
    <w:rsid w:val="006F020C"/>
    <w:rsid w:val="00710928"/>
    <w:rsid w:val="007127B7"/>
    <w:rsid w:val="007408C4"/>
    <w:rsid w:val="007416B6"/>
    <w:rsid w:val="00746F48"/>
    <w:rsid w:val="00752516"/>
    <w:rsid w:val="00752B2A"/>
    <w:rsid w:val="0075404D"/>
    <w:rsid w:val="0076182A"/>
    <w:rsid w:val="00763D60"/>
    <w:rsid w:val="00767B7E"/>
    <w:rsid w:val="007770C3"/>
    <w:rsid w:val="0077757F"/>
    <w:rsid w:val="00784D24"/>
    <w:rsid w:val="00785FBA"/>
    <w:rsid w:val="00786E4A"/>
    <w:rsid w:val="007875EB"/>
    <w:rsid w:val="0079426B"/>
    <w:rsid w:val="007C7C6A"/>
    <w:rsid w:val="007D312A"/>
    <w:rsid w:val="007D3F19"/>
    <w:rsid w:val="007E23B0"/>
    <w:rsid w:val="007F1991"/>
    <w:rsid w:val="007F2C2F"/>
    <w:rsid w:val="007F55FC"/>
    <w:rsid w:val="007F5665"/>
    <w:rsid w:val="00800112"/>
    <w:rsid w:val="00805064"/>
    <w:rsid w:val="0080520E"/>
    <w:rsid w:val="00806FD6"/>
    <w:rsid w:val="00821F31"/>
    <w:rsid w:val="00823FF8"/>
    <w:rsid w:val="008253BB"/>
    <w:rsid w:val="00830430"/>
    <w:rsid w:val="0083706E"/>
    <w:rsid w:val="008423A5"/>
    <w:rsid w:val="00850625"/>
    <w:rsid w:val="00853718"/>
    <w:rsid w:val="00855221"/>
    <w:rsid w:val="00860645"/>
    <w:rsid w:val="008622BE"/>
    <w:rsid w:val="00871F71"/>
    <w:rsid w:val="00872EFF"/>
    <w:rsid w:val="00873327"/>
    <w:rsid w:val="00874872"/>
    <w:rsid w:val="00885AF4"/>
    <w:rsid w:val="008939CD"/>
    <w:rsid w:val="00894FEF"/>
    <w:rsid w:val="008A1F80"/>
    <w:rsid w:val="008A2C33"/>
    <w:rsid w:val="008B768C"/>
    <w:rsid w:val="008C4DB1"/>
    <w:rsid w:val="008C4EAF"/>
    <w:rsid w:val="008C5176"/>
    <w:rsid w:val="008C7FD0"/>
    <w:rsid w:val="008D79E3"/>
    <w:rsid w:val="008E1DE7"/>
    <w:rsid w:val="008E707C"/>
    <w:rsid w:val="008F4796"/>
    <w:rsid w:val="00900B08"/>
    <w:rsid w:val="00902155"/>
    <w:rsid w:val="00902FA3"/>
    <w:rsid w:val="00905CC4"/>
    <w:rsid w:val="00923564"/>
    <w:rsid w:val="0092392E"/>
    <w:rsid w:val="009315F9"/>
    <w:rsid w:val="0094355D"/>
    <w:rsid w:val="009445C5"/>
    <w:rsid w:val="00946945"/>
    <w:rsid w:val="00951248"/>
    <w:rsid w:val="0095152F"/>
    <w:rsid w:val="00954C49"/>
    <w:rsid w:val="00963070"/>
    <w:rsid w:val="0097099F"/>
    <w:rsid w:val="00971997"/>
    <w:rsid w:val="00971FFC"/>
    <w:rsid w:val="00983458"/>
    <w:rsid w:val="0098660A"/>
    <w:rsid w:val="009866A7"/>
    <w:rsid w:val="009931C3"/>
    <w:rsid w:val="009B2C43"/>
    <w:rsid w:val="009B4EAE"/>
    <w:rsid w:val="009B7573"/>
    <w:rsid w:val="009C22F4"/>
    <w:rsid w:val="009C2E98"/>
    <w:rsid w:val="009D3447"/>
    <w:rsid w:val="009D4711"/>
    <w:rsid w:val="009E51D1"/>
    <w:rsid w:val="009F1185"/>
    <w:rsid w:val="009F18CD"/>
    <w:rsid w:val="009F2A13"/>
    <w:rsid w:val="009F58EF"/>
    <w:rsid w:val="00A04EB0"/>
    <w:rsid w:val="00A13CC1"/>
    <w:rsid w:val="00A14004"/>
    <w:rsid w:val="00A16847"/>
    <w:rsid w:val="00A237D8"/>
    <w:rsid w:val="00A258C0"/>
    <w:rsid w:val="00A268C4"/>
    <w:rsid w:val="00A307CD"/>
    <w:rsid w:val="00A40A00"/>
    <w:rsid w:val="00A4142F"/>
    <w:rsid w:val="00A56DF2"/>
    <w:rsid w:val="00A67AB5"/>
    <w:rsid w:val="00A91760"/>
    <w:rsid w:val="00A93B00"/>
    <w:rsid w:val="00A93C21"/>
    <w:rsid w:val="00AB3FDE"/>
    <w:rsid w:val="00AC3C6A"/>
    <w:rsid w:val="00AD5620"/>
    <w:rsid w:val="00AD5F65"/>
    <w:rsid w:val="00AD7319"/>
    <w:rsid w:val="00AD7C1B"/>
    <w:rsid w:val="00AE1026"/>
    <w:rsid w:val="00AE16BA"/>
    <w:rsid w:val="00AE1EBE"/>
    <w:rsid w:val="00B03C9D"/>
    <w:rsid w:val="00B060AE"/>
    <w:rsid w:val="00B10517"/>
    <w:rsid w:val="00B14E76"/>
    <w:rsid w:val="00B154A0"/>
    <w:rsid w:val="00B161B8"/>
    <w:rsid w:val="00B2048C"/>
    <w:rsid w:val="00B310B9"/>
    <w:rsid w:val="00B35F3F"/>
    <w:rsid w:val="00B36CBB"/>
    <w:rsid w:val="00B425E0"/>
    <w:rsid w:val="00B440AA"/>
    <w:rsid w:val="00B44B70"/>
    <w:rsid w:val="00B50560"/>
    <w:rsid w:val="00B53C56"/>
    <w:rsid w:val="00B571EB"/>
    <w:rsid w:val="00B76A05"/>
    <w:rsid w:val="00B77EA6"/>
    <w:rsid w:val="00B81598"/>
    <w:rsid w:val="00B841F1"/>
    <w:rsid w:val="00B93BF9"/>
    <w:rsid w:val="00B944D6"/>
    <w:rsid w:val="00B9627D"/>
    <w:rsid w:val="00BB04F8"/>
    <w:rsid w:val="00BB4DF0"/>
    <w:rsid w:val="00BC289F"/>
    <w:rsid w:val="00BC5361"/>
    <w:rsid w:val="00BC5460"/>
    <w:rsid w:val="00BC6B50"/>
    <w:rsid w:val="00BD0E25"/>
    <w:rsid w:val="00BD3451"/>
    <w:rsid w:val="00BD6982"/>
    <w:rsid w:val="00BE7375"/>
    <w:rsid w:val="00BF4F5A"/>
    <w:rsid w:val="00BF5BD6"/>
    <w:rsid w:val="00C03E31"/>
    <w:rsid w:val="00C277F6"/>
    <w:rsid w:val="00C33B4B"/>
    <w:rsid w:val="00C33E72"/>
    <w:rsid w:val="00C354B2"/>
    <w:rsid w:val="00C35554"/>
    <w:rsid w:val="00C42709"/>
    <w:rsid w:val="00C51EAE"/>
    <w:rsid w:val="00C533CC"/>
    <w:rsid w:val="00C5751C"/>
    <w:rsid w:val="00C61BFC"/>
    <w:rsid w:val="00C62B85"/>
    <w:rsid w:val="00C65438"/>
    <w:rsid w:val="00C6778D"/>
    <w:rsid w:val="00C72A64"/>
    <w:rsid w:val="00C85DF0"/>
    <w:rsid w:val="00C91CBB"/>
    <w:rsid w:val="00CC09B6"/>
    <w:rsid w:val="00CC666F"/>
    <w:rsid w:val="00CD1E3F"/>
    <w:rsid w:val="00CE1915"/>
    <w:rsid w:val="00CE25DD"/>
    <w:rsid w:val="00CE44F6"/>
    <w:rsid w:val="00CE46FD"/>
    <w:rsid w:val="00CE49DA"/>
    <w:rsid w:val="00CE7B61"/>
    <w:rsid w:val="00CF4609"/>
    <w:rsid w:val="00D00095"/>
    <w:rsid w:val="00D20620"/>
    <w:rsid w:val="00D255E4"/>
    <w:rsid w:val="00D26091"/>
    <w:rsid w:val="00D34E7C"/>
    <w:rsid w:val="00D35489"/>
    <w:rsid w:val="00D51276"/>
    <w:rsid w:val="00D51F94"/>
    <w:rsid w:val="00D7035F"/>
    <w:rsid w:val="00D81FDB"/>
    <w:rsid w:val="00D827AE"/>
    <w:rsid w:val="00DA2544"/>
    <w:rsid w:val="00DA4344"/>
    <w:rsid w:val="00DA65AC"/>
    <w:rsid w:val="00DB1913"/>
    <w:rsid w:val="00DC3A65"/>
    <w:rsid w:val="00DC410D"/>
    <w:rsid w:val="00DC68CA"/>
    <w:rsid w:val="00DC7CBA"/>
    <w:rsid w:val="00DD73B7"/>
    <w:rsid w:val="00DE0622"/>
    <w:rsid w:val="00DF28BC"/>
    <w:rsid w:val="00DF34B9"/>
    <w:rsid w:val="00E01053"/>
    <w:rsid w:val="00E07ACF"/>
    <w:rsid w:val="00E161AA"/>
    <w:rsid w:val="00E331A1"/>
    <w:rsid w:val="00E33202"/>
    <w:rsid w:val="00E336A9"/>
    <w:rsid w:val="00E50624"/>
    <w:rsid w:val="00E568DF"/>
    <w:rsid w:val="00E60A26"/>
    <w:rsid w:val="00E63439"/>
    <w:rsid w:val="00E64269"/>
    <w:rsid w:val="00E73C94"/>
    <w:rsid w:val="00E761A8"/>
    <w:rsid w:val="00E82267"/>
    <w:rsid w:val="00E970E4"/>
    <w:rsid w:val="00E97455"/>
    <w:rsid w:val="00EA010F"/>
    <w:rsid w:val="00EA31B4"/>
    <w:rsid w:val="00EA7583"/>
    <w:rsid w:val="00ED1B63"/>
    <w:rsid w:val="00ED3C1F"/>
    <w:rsid w:val="00ED4085"/>
    <w:rsid w:val="00ED420E"/>
    <w:rsid w:val="00EE2F57"/>
    <w:rsid w:val="00EE46E8"/>
    <w:rsid w:val="00EF4C34"/>
    <w:rsid w:val="00EF77C6"/>
    <w:rsid w:val="00F05438"/>
    <w:rsid w:val="00F12D69"/>
    <w:rsid w:val="00F1361C"/>
    <w:rsid w:val="00F160C7"/>
    <w:rsid w:val="00F24D18"/>
    <w:rsid w:val="00F36D8F"/>
    <w:rsid w:val="00F417B1"/>
    <w:rsid w:val="00F448CC"/>
    <w:rsid w:val="00F602DF"/>
    <w:rsid w:val="00F7310A"/>
    <w:rsid w:val="00F80996"/>
    <w:rsid w:val="00F81FD9"/>
    <w:rsid w:val="00F841AA"/>
    <w:rsid w:val="00F957B2"/>
    <w:rsid w:val="00FA23E8"/>
    <w:rsid w:val="00FC61C9"/>
    <w:rsid w:val="00FD3CC1"/>
    <w:rsid w:val="00FD6CD9"/>
    <w:rsid w:val="00FE0681"/>
    <w:rsid w:val="00FF1E02"/>
    <w:rsid w:val="00FF30B4"/>
    <w:rsid w:val="00FF5979"/>
    <w:rsid w:val="00FF707C"/>
    <w:rsid w:val="022547D1"/>
    <w:rsid w:val="02355E29"/>
    <w:rsid w:val="02502D5F"/>
    <w:rsid w:val="029260A9"/>
    <w:rsid w:val="031E5EFE"/>
    <w:rsid w:val="03A01D1D"/>
    <w:rsid w:val="03BE767E"/>
    <w:rsid w:val="03CD1D59"/>
    <w:rsid w:val="04A03498"/>
    <w:rsid w:val="04D639AE"/>
    <w:rsid w:val="04E64601"/>
    <w:rsid w:val="04E94736"/>
    <w:rsid w:val="05E24490"/>
    <w:rsid w:val="0693630D"/>
    <w:rsid w:val="069517A0"/>
    <w:rsid w:val="06C82C96"/>
    <w:rsid w:val="06CE397A"/>
    <w:rsid w:val="089F7097"/>
    <w:rsid w:val="08B775B8"/>
    <w:rsid w:val="09AD2AE2"/>
    <w:rsid w:val="09F10C8E"/>
    <w:rsid w:val="0A956DF2"/>
    <w:rsid w:val="0B976A1F"/>
    <w:rsid w:val="0C183774"/>
    <w:rsid w:val="0C43384C"/>
    <w:rsid w:val="0CD60A3F"/>
    <w:rsid w:val="0CF74DFC"/>
    <w:rsid w:val="0D2578B7"/>
    <w:rsid w:val="0D3071C2"/>
    <w:rsid w:val="0D7868AF"/>
    <w:rsid w:val="0E017187"/>
    <w:rsid w:val="0EAF5705"/>
    <w:rsid w:val="0EB52172"/>
    <w:rsid w:val="10C055FF"/>
    <w:rsid w:val="11345F8B"/>
    <w:rsid w:val="11E2084C"/>
    <w:rsid w:val="132E4F96"/>
    <w:rsid w:val="140B629C"/>
    <w:rsid w:val="15165A87"/>
    <w:rsid w:val="16BB723D"/>
    <w:rsid w:val="17E7060B"/>
    <w:rsid w:val="17EF306A"/>
    <w:rsid w:val="18C44A04"/>
    <w:rsid w:val="19F12CBF"/>
    <w:rsid w:val="1A5A1F1C"/>
    <w:rsid w:val="1A971655"/>
    <w:rsid w:val="1AC25E26"/>
    <w:rsid w:val="1B632DC0"/>
    <w:rsid w:val="1B8873C1"/>
    <w:rsid w:val="1D0044C0"/>
    <w:rsid w:val="1D3C275E"/>
    <w:rsid w:val="1DD8537E"/>
    <w:rsid w:val="1DF43171"/>
    <w:rsid w:val="1E223768"/>
    <w:rsid w:val="1E3B03C5"/>
    <w:rsid w:val="1EC72738"/>
    <w:rsid w:val="1F32683E"/>
    <w:rsid w:val="1F8C5856"/>
    <w:rsid w:val="205E1AD7"/>
    <w:rsid w:val="20C45424"/>
    <w:rsid w:val="20DD4FAB"/>
    <w:rsid w:val="20EE5BF0"/>
    <w:rsid w:val="21D00C0F"/>
    <w:rsid w:val="22B158CA"/>
    <w:rsid w:val="233B1BB3"/>
    <w:rsid w:val="240371BF"/>
    <w:rsid w:val="24B6521F"/>
    <w:rsid w:val="25874C29"/>
    <w:rsid w:val="258E1BA8"/>
    <w:rsid w:val="261E565B"/>
    <w:rsid w:val="26CB2CEB"/>
    <w:rsid w:val="281773C2"/>
    <w:rsid w:val="28442AFC"/>
    <w:rsid w:val="28602019"/>
    <w:rsid w:val="29863FB3"/>
    <w:rsid w:val="29D23E1C"/>
    <w:rsid w:val="29FB40E4"/>
    <w:rsid w:val="29FD04D3"/>
    <w:rsid w:val="2BEC5D91"/>
    <w:rsid w:val="2C4540D6"/>
    <w:rsid w:val="2D6D4580"/>
    <w:rsid w:val="2E5E2133"/>
    <w:rsid w:val="2E8E449C"/>
    <w:rsid w:val="2E950FE4"/>
    <w:rsid w:val="2ED32B70"/>
    <w:rsid w:val="2EF35110"/>
    <w:rsid w:val="2F671909"/>
    <w:rsid w:val="2FB434E5"/>
    <w:rsid w:val="3148104F"/>
    <w:rsid w:val="316B788F"/>
    <w:rsid w:val="319F7F4E"/>
    <w:rsid w:val="31B64DA6"/>
    <w:rsid w:val="33732DC4"/>
    <w:rsid w:val="339F2456"/>
    <w:rsid w:val="34E34EF8"/>
    <w:rsid w:val="3589573C"/>
    <w:rsid w:val="35C05B68"/>
    <w:rsid w:val="360E5CB1"/>
    <w:rsid w:val="364B2690"/>
    <w:rsid w:val="36BC7537"/>
    <w:rsid w:val="36F81EF9"/>
    <w:rsid w:val="373C4881"/>
    <w:rsid w:val="38DD51CA"/>
    <w:rsid w:val="39010669"/>
    <w:rsid w:val="39E8337E"/>
    <w:rsid w:val="3A495107"/>
    <w:rsid w:val="3B8A59D6"/>
    <w:rsid w:val="3C53029F"/>
    <w:rsid w:val="3C873219"/>
    <w:rsid w:val="3C9576A0"/>
    <w:rsid w:val="3E14000A"/>
    <w:rsid w:val="3E62519C"/>
    <w:rsid w:val="3FE230EF"/>
    <w:rsid w:val="40442B86"/>
    <w:rsid w:val="409E474B"/>
    <w:rsid w:val="414F1B84"/>
    <w:rsid w:val="41D53976"/>
    <w:rsid w:val="424B02F8"/>
    <w:rsid w:val="426534BF"/>
    <w:rsid w:val="42713BAB"/>
    <w:rsid w:val="4282321A"/>
    <w:rsid w:val="42F402E0"/>
    <w:rsid w:val="4330325D"/>
    <w:rsid w:val="44A37E0B"/>
    <w:rsid w:val="46C24B35"/>
    <w:rsid w:val="472C4BD2"/>
    <w:rsid w:val="472F06EC"/>
    <w:rsid w:val="47785CB7"/>
    <w:rsid w:val="477E4A08"/>
    <w:rsid w:val="478C3D0C"/>
    <w:rsid w:val="48BC5131"/>
    <w:rsid w:val="49BF688B"/>
    <w:rsid w:val="4A064946"/>
    <w:rsid w:val="4A2226E1"/>
    <w:rsid w:val="4A5E477E"/>
    <w:rsid w:val="4BC7637C"/>
    <w:rsid w:val="4BF81E22"/>
    <w:rsid w:val="4C837F20"/>
    <w:rsid w:val="4CE430DF"/>
    <w:rsid w:val="4CFB1CB8"/>
    <w:rsid w:val="4D21006F"/>
    <w:rsid w:val="4E7E7B91"/>
    <w:rsid w:val="4F1055BC"/>
    <w:rsid w:val="4F5A0ACD"/>
    <w:rsid w:val="4FBF7716"/>
    <w:rsid w:val="502F7551"/>
    <w:rsid w:val="5041244A"/>
    <w:rsid w:val="513928D2"/>
    <w:rsid w:val="53391822"/>
    <w:rsid w:val="533C342F"/>
    <w:rsid w:val="540559E5"/>
    <w:rsid w:val="55562779"/>
    <w:rsid w:val="55F417B5"/>
    <w:rsid w:val="55FF309B"/>
    <w:rsid w:val="56436046"/>
    <w:rsid w:val="56AC43D9"/>
    <w:rsid w:val="56CD3FE4"/>
    <w:rsid w:val="58377C4C"/>
    <w:rsid w:val="58495200"/>
    <w:rsid w:val="58856B01"/>
    <w:rsid w:val="589037E2"/>
    <w:rsid w:val="59684C38"/>
    <w:rsid w:val="5AB05E68"/>
    <w:rsid w:val="5CD71856"/>
    <w:rsid w:val="5D807032"/>
    <w:rsid w:val="5E5777A0"/>
    <w:rsid w:val="5EA87D24"/>
    <w:rsid w:val="6004696F"/>
    <w:rsid w:val="632F2A04"/>
    <w:rsid w:val="64060579"/>
    <w:rsid w:val="64FB63F5"/>
    <w:rsid w:val="662349BD"/>
    <w:rsid w:val="665A06FA"/>
    <w:rsid w:val="66990427"/>
    <w:rsid w:val="66EA1666"/>
    <w:rsid w:val="67125F95"/>
    <w:rsid w:val="67886C8C"/>
    <w:rsid w:val="686D6A84"/>
    <w:rsid w:val="69AA6879"/>
    <w:rsid w:val="69DF2586"/>
    <w:rsid w:val="6A4408E4"/>
    <w:rsid w:val="6A9D6587"/>
    <w:rsid w:val="6AE57A8B"/>
    <w:rsid w:val="6C127C22"/>
    <w:rsid w:val="6D425B81"/>
    <w:rsid w:val="6FBF2C8D"/>
    <w:rsid w:val="6FE85415"/>
    <w:rsid w:val="703B39DE"/>
    <w:rsid w:val="71223298"/>
    <w:rsid w:val="715A080F"/>
    <w:rsid w:val="71F009BD"/>
    <w:rsid w:val="737879F9"/>
    <w:rsid w:val="74547926"/>
    <w:rsid w:val="75500100"/>
    <w:rsid w:val="75B677B0"/>
    <w:rsid w:val="76272CAD"/>
    <w:rsid w:val="76AC7F50"/>
    <w:rsid w:val="76C653C0"/>
    <w:rsid w:val="78DE6969"/>
    <w:rsid w:val="79002598"/>
    <w:rsid w:val="790860A0"/>
    <w:rsid w:val="7952005E"/>
    <w:rsid w:val="79CA6617"/>
    <w:rsid w:val="7A93454A"/>
    <w:rsid w:val="7BAD4D25"/>
    <w:rsid w:val="7C093160"/>
    <w:rsid w:val="7C0D67B8"/>
    <w:rsid w:val="7C6522D2"/>
    <w:rsid w:val="7D5413A5"/>
    <w:rsid w:val="7E593A79"/>
    <w:rsid w:val="7EB338F0"/>
    <w:rsid w:val="7EF40FB1"/>
    <w:rsid w:val="7F58336A"/>
    <w:rsid w:val="7F611B4F"/>
    <w:rsid w:val="7FCD3D99"/>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semiHidden="0" w:name="toc 1"/>
    <w:lsdException w:qFormat="1" w:unhideWhenUsed="0" w:uiPriority="99" w:semiHidden="0" w:name="toc 2"/>
    <w:lsdException w:qFormat="1" w:unhideWhenUsed="0" w:uiPriority="9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uiPriority="99" w:name="annotation text" w:locked="1"/>
    <w:lsdException w:qFormat="1" w:unhideWhenUsed="0" w:uiPriority="99" w:name="header"/>
    <w:lsdException w:qFormat="1"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qFormat="1" w:unhideWhenUsed="0" w:uiPriority="99" w:name="Default Paragraph Font"/>
    <w:lsdException w:qFormat="1" w:unhideWhenUsed="0" w:uiPriority="99" w:semiHidden="0" w:name="Body Text"/>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99" w:semiHidden="0" w:name="Strong"/>
    <w:lsdException w:qFormat="1" w:unhideWhenUsed="0" w:uiPriority="0" w:semiHidden="0" w:name="Emphasis"/>
    <w:lsdException w:uiPriority="99" w:name="Document Map" w:locked="1"/>
    <w:lsdException w:uiPriority="99" w:name="Plain Text" w:locked="1"/>
    <w:lsdException w:uiPriority="99" w:name="E-mail Signature" w:locked="1"/>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unhideWhenUsed="0" w:uiPriority="0"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6"/>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17"/>
    <w:qFormat/>
    <w:uiPriority w:val="99"/>
    <w:pPr>
      <w:keepNext/>
      <w:keepLines/>
      <w:spacing w:before="260" w:after="260" w:line="416" w:lineRule="auto"/>
      <w:outlineLvl w:val="1"/>
    </w:pPr>
    <w:rPr>
      <w:rFonts w:ascii="Cambria" w:hAnsi="Cambria"/>
      <w:b/>
      <w:bCs/>
      <w:sz w:val="32"/>
      <w:szCs w:val="32"/>
    </w:rPr>
  </w:style>
  <w:style w:type="paragraph" w:styleId="4">
    <w:name w:val="heading 3"/>
    <w:basedOn w:val="1"/>
    <w:next w:val="1"/>
    <w:link w:val="18"/>
    <w:qFormat/>
    <w:uiPriority w:val="99"/>
    <w:pPr>
      <w:keepNext/>
      <w:keepLines/>
      <w:spacing w:before="260" w:after="260" w:line="416" w:lineRule="auto"/>
      <w:outlineLvl w:val="2"/>
    </w:pPr>
    <w:rPr>
      <w:b/>
      <w:bCs/>
      <w:sz w:val="32"/>
      <w:szCs w:val="32"/>
    </w:rPr>
  </w:style>
  <w:style w:type="character" w:default="1" w:styleId="12">
    <w:name w:val="Default Paragraph Font"/>
    <w:semiHidden/>
    <w:qFormat/>
    <w:uiPriority w:val="99"/>
  </w:style>
  <w:style w:type="table" w:default="1" w:styleId="15">
    <w:name w:val="Normal Table"/>
    <w:semiHidden/>
    <w:unhideWhenUsed/>
    <w:qFormat/>
    <w:uiPriority w:val="99"/>
    <w:tblPr>
      <w:tblLayout w:type="fixed"/>
      <w:tblCellMar>
        <w:top w:w="0" w:type="dxa"/>
        <w:left w:w="108" w:type="dxa"/>
        <w:bottom w:w="0" w:type="dxa"/>
        <w:right w:w="108" w:type="dxa"/>
      </w:tblCellMar>
    </w:tblPr>
  </w:style>
  <w:style w:type="paragraph" w:styleId="5">
    <w:name w:val="Body Text"/>
    <w:basedOn w:val="1"/>
    <w:link w:val="25"/>
    <w:qFormat/>
    <w:uiPriority w:val="99"/>
    <w:pPr>
      <w:spacing w:beforeLines="30"/>
    </w:pPr>
    <w:rPr>
      <w:rFonts w:ascii="仿宋_GB2312" w:eastAsia="仿宋_GB2312"/>
      <w:kern w:val="0"/>
      <w:sz w:val="24"/>
      <w:szCs w:val="20"/>
    </w:rPr>
  </w:style>
  <w:style w:type="paragraph" w:styleId="6">
    <w:name w:val="toc 3"/>
    <w:basedOn w:val="1"/>
    <w:next w:val="1"/>
    <w:qFormat/>
    <w:uiPriority w:val="99"/>
    <w:pPr>
      <w:tabs>
        <w:tab w:val="right" w:leader="dot" w:pos="8296"/>
      </w:tabs>
      <w:ind w:left="840" w:leftChars="400"/>
    </w:pPr>
  </w:style>
  <w:style w:type="paragraph" w:styleId="7">
    <w:name w:val="Balloon Text"/>
    <w:basedOn w:val="1"/>
    <w:link w:val="20"/>
    <w:semiHidden/>
    <w:qFormat/>
    <w:uiPriority w:val="99"/>
    <w:rPr>
      <w:sz w:val="18"/>
      <w:szCs w:val="18"/>
    </w:rPr>
  </w:style>
  <w:style w:type="paragraph" w:styleId="8">
    <w:name w:val="footer"/>
    <w:basedOn w:val="1"/>
    <w:link w:val="24"/>
    <w:qFormat/>
    <w:uiPriority w:val="99"/>
    <w:pPr>
      <w:tabs>
        <w:tab w:val="center" w:pos="4153"/>
        <w:tab w:val="right" w:pos="8306"/>
      </w:tabs>
      <w:snapToGrid w:val="0"/>
      <w:jc w:val="left"/>
    </w:pPr>
    <w:rPr>
      <w:kern w:val="0"/>
      <w:sz w:val="18"/>
      <w:szCs w:val="20"/>
    </w:rPr>
  </w:style>
  <w:style w:type="paragraph" w:styleId="9">
    <w:name w:val="header"/>
    <w:basedOn w:val="1"/>
    <w:link w:val="23"/>
    <w:semiHidden/>
    <w:qFormat/>
    <w:uiPriority w:val="99"/>
    <w:pPr>
      <w:pBdr>
        <w:bottom w:val="single" w:color="auto" w:sz="6" w:space="1"/>
      </w:pBdr>
      <w:tabs>
        <w:tab w:val="center" w:pos="4153"/>
        <w:tab w:val="right" w:pos="8306"/>
      </w:tabs>
      <w:snapToGrid w:val="0"/>
      <w:jc w:val="center"/>
    </w:pPr>
    <w:rPr>
      <w:kern w:val="0"/>
      <w:sz w:val="18"/>
      <w:szCs w:val="20"/>
    </w:rPr>
  </w:style>
  <w:style w:type="paragraph" w:styleId="10">
    <w:name w:val="toc 1"/>
    <w:basedOn w:val="1"/>
    <w:next w:val="1"/>
    <w:qFormat/>
    <w:uiPriority w:val="99"/>
    <w:pPr>
      <w:tabs>
        <w:tab w:val="right" w:leader="dot" w:pos="8296"/>
      </w:tabs>
      <w:spacing w:before="93"/>
      <w:jc w:val="center"/>
    </w:pPr>
    <w:rPr>
      <w:rFonts w:ascii="仿宋" w:hAnsi="仿宋" w:eastAsia="仿宋"/>
      <w:sz w:val="28"/>
      <w:szCs w:val="28"/>
    </w:rPr>
  </w:style>
  <w:style w:type="paragraph" w:styleId="11">
    <w:name w:val="toc 2"/>
    <w:basedOn w:val="1"/>
    <w:next w:val="1"/>
    <w:qFormat/>
    <w:uiPriority w:val="99"/>
    <w:pPr>
      <w:tabs>
        <w:tab w:val="right" w:leader="dot" w:pos="8296"/>
      </w:tabs>
      <w:ind w:left="420" w:leftChars="200"/>
    </w:pPr>
  </w:style>
  <w:style w:type="character" w:styleId="13">
    <w:name w:val="Strong"/>
    <w:basedOn w:val="12"/>
    <w:qFormat/>
    <w:uiPriority w:val="99"/>
    <w:rPr>
      <w:rFonts w:cs="Times New Roman"/>
      <w:b/>
    </w:rPr>
  </w:style>
  <w:style w:type="character" w:styleId="14">
    <w:name w:val="Hyperlink"/>
    <w:basedOn w:val="12"/>
    <w:qFormat/>
    <w:uiPriority w:val="99"/>
    <w:rPr>
      <w:rFonts w:cs="Times New Roman"/>
      <w:color w:val="0000FF"/>
      <w:u w:val="single"/>
    </w:rPr>
  </w:style>
  <w:style w:type="character" w:customStyle="1" w:styleId="16">
    <w:name w:val="Heading 1 Char"/>
    <w:basedOn w:val="12"/>
    <w:link w:val="2"/>
    <w:qFormat/>
    <w:locked/>
    <w:uiPriority w:val="99"/>
    <w:rPr>
      <w:rFonts w:ascii="Times New Roman" w:hAnsi="Times New Roman" w:cs="Times New Roman"/>
      <w:b/>
      <w:bCs/>
      <w:kern w:val="44"/>
      <w:sz w:val="44"/>
      <w:szCs w:val="44"/>
    </w:rPr>
  </w:style>
  <w:style w:type="character" w:customStyle="1" w:styleId="17">
    <w:name w:val="Heading 2 Char"/>
    <w:basedOn w:val="12"/>
    <w:link w:val="3"/>
    <w:qFormat/>
    <w:locked/>
    <w:uiPriority w:val="99"/>
    <w:rPr>
      <w:rFonts w:ascii="Cambria" w:hAnsi="Cambria" w:eastAsia="宋体" w:cs="Times New Roman"/>
      <w:b/>
      <w:bCs/>
      <w:kern w:val="2"/>
      <w:sz w:val="32"/>
      <w:szCs w:val="32"/>
    </w:rPr>
  </w:style>
  <w:style w:type="character" w:customStyle="1" w:styleId="18">
    <w:name w:val="Heading 3 Char"/>
    <w:basedOn w:val="12"/>
    <w:link w:val="4"/>
    <w:qFormat/>
    <w:locked/>
    <w:uiPriority w:val="99"/>
    <w:rPr>
      <w:rFonts w:ascii="Times New Roman" w:hAnsi="Times New Roman" w:cs="Times New Roman"/>
      <w:b/>
      <w:bCs/>
      <w:kern w:val="2"/>
      <w:sz w:val="32"/>
      <w:szCs w:val="32"/>
    </w:rPr>
  </w:style>
  <w:style w:type="character" w:customStyle="1" w:styleId="19">
    <w:name w:val="Body Text Char"/>
    <w:basedOn w:val="12"/>
    <w:link w:val="5"/>
    <w:semiHidden/>
    <w:qFormat/>
    <w:locked/>
    <w:uiPriority w:val="99"/>
    <w:rPr>
      <w:rFonts w:ascii="Times New Roman" w:hAnsi="Times New Roman" w:cs="Times New Roman"/>
      <w:sz w:val="24"/>
      <w:szCs w:val="24"/>
    </w:rPr>
  </w:style>
  <w:style w:type="character" w:customStyle="1" w:styleId="20">
    <w:name w:val="Balloon Text Char"/>
    <w:basedOn w:val="12"/>
    <w:link w:val="7"/>
    <w:semiHidden/>
    <w:qFormat/>
    <w:locked/>
    <w:uiPriority w:val="99"/>
    <w:rPr>
      <w:rFonts w:ascii="Times New Roman" w:hAnsi="Times New Roman" w:cs="Times New Roman"/>
      <w:kern w:val="2"/>
      <w:sz w:val="18"/>
      <w:szCs w:val="18"/>
    </w:rPr>
  </w:style>
  <w:style w:type="character" w:customStyle="1" w:styleId="21">
    <w:name w:val="Footer Char"/>
    <w:basedOn w:val="12"/>
    <w:link w:val="8"/>
    <w:semiHidden/>
    <w:qFormat/>
    <w:locked/>
    <w:uiPriority w:val="99"/>
    <w:rPr>
      <w:rFonts w:ascii="Times New Roman" w:hAnsi="Times New Roman" w:cs="Times New Roman"/>
      <w:sz w:val="18"/>
      <w:szCs w:val="18"/>
    </w:rPr>
  </w:style>
  <w:style w:type="character" w:customStyle="1" w:styleId="22">
    <w:name w:val="Header Char"/>
    <w:basedOn w:val="12"/>
    <w:link w:val="9"/>
    <w:semiHidden/>
    <w:qFormat/>
    <w:locked/>
    <w:uiPriority w:val="99"/>
    <w:rPr>
      <w:rFonts w:ascii="Times New Roman" w:hAnsi="Times New Roman" w:cs="Times New Roman"/>
      <w:sz w:val="18"/>
      <w:szCs w:val="18"/>
    </w:rPr>
  </w:style>
  <w:style w:type="character" w:customStyle="1" w:styleId="23">
    <w:name w:val="Header Char1"/>
    <w:link w:val="9"/>
    <w:semiHidden/>
    <w:qFormat/>
    <w:locked/>
    <w:uiPriority w:val="99"/>
    <w:rPr>
      <w:sz w:val="18"/>
    </w:rPr>
  </w:style>
  <w:style w:type="character" w:customStyle="1" w:styleId="24">
    <w:name w:val="Footer Char1"/>
    <w:link w:val="8"/>
    <w:qFormat/>
    <w:locked/>
    <w:uiPriority w:val="99"/>
    <w:rPr>
      <w:sz w:val="18"/>
    </w:rPr>
  </w:style>
  <w:style w:type="character" w:customStyle="1" w:styleId="25">
    <w:name w:val="Body Text Char1"/>
    <w:link w:val="5"/>
    <w:qFormat/>
    <w:locked/>
    <w:uiPriority w:val="99"/>
    <w:rPr>
      <w:rFonts w:ascii="仿宋_GB2312" w:hAnsi="Times New Roman" w:eastAsia="仿宋_GB2312"/>
      <w:sz w:val="24"/>
    </w:rPr>
  </w:style>
  <w:style w:type="paragraph" w:customStyle="1" w:styleId="26">
    <w:name w:val="Default"/>
    <w:qFormat/>
    <w:uiPriority w:val="99"/>
    <w:pPr>
      <w:widowControl w:val="0"/>
      <w:autoSpaceDE w:val="0"/>
      <w:autoSpaceDN w:val="0"/>
      <w:adjustRightInd w:val="0"/>
    </w:pPr>
    <w:rPr>
      <w:rFonts w:ascii="仿宋" w:hAnsi="Calibri" w:eastAsia="仿宋" w:cs="仿宋"/>
      <w:color w:val="000000"/>
      <w:kern w:val="0"/>
      <w:sz w:val="24"/>
      <w:szCs w:val="24"/>
      <w:lang w:val="en-US" w:eastAsia="zh-CN" w:bidi="ar-SA"/>
    </w:rPr>
  </w:style>
  <w:style w:type="paragraph" w:styleId="27">
    <w:name w:val="List Paragraph"/>
    <w:basedOn w:val="1"/>
    <w:qFormat/>
    <w:uiPriority w:val="99"/>
    <w:pPr>
      <w:ind w:firstLine="420" w:firstLineChars="200"/>
    </w:pPr>
  </w:style>
  <w:style w:type="paragraph" w:customStyle="1" w:styleId="28">
    <w:name w:val="TOC 标题1"/>
    <w:basedOn w:val="2"/>
    <w:next w:val="1"/>
    <w:qFormat/>
    <w:uiPriority w:val="99"/>
    <w:pPr>
      <w:widowControl/>
      <w:spacing w:before="480" w:after="0" w:line="276" w:lineRule="auto"/>
      <w:jc w:val="left"/>
      <w:outlineLvl w:val="9"/>
    </w:pPr>
    <w:rPr>
      <w:rFonts w:ascii="Cambria" w:hAnsi="Cambria"/>
      <w:color w:val="365F91"/>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1.emf"/><Relationship Id="rId11" Type="http://schemas.openxmlformats.org/officeDocument/2006/relationships/oleObject" Target="embeddings/oleObject1.bin"/><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1" Type="http://schemas.openxmlformats.org/officeDocument/2006/relationships/oleObject" Target="&#22270;&#34920;%20&#22312;%202019&#24180;&#37096;&#38376;&#20915;&#31639;&#32534;&#21046;&#35828;&#26126;&#22269;&#36164;&#20013;&#24515;&#20844;&#24320;&#35828;&#26126;.docx" TargetMode="External"/></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zh-CN" altLang="en-US"/>
              <a:t>收、支决算总计变动情况图</a:t>
            </a:r>
            <a:endParaRPr lang="zh-CN" altLang="en-US"/>
          </a:p>
        </c:rich>
      </c:tx>
      <c:layout/>
      <c:overlay val="0"/>
      <c:spPr>
        <a:noFill/>
        <a:ln>
          <a:noFill/>
        </a:ln>
        <a:effectLst/>
      </c:spPr>
    </c:title>
    <c:autoTitleDeleted val="0"/>
    <c:plotArea>
      <c:layout>
        <c:manualLayout>
          <c:layoutTarget val="inner"/>
          <c:xMode val="edge"/>
          <c:yMode val="edge"/>
          <c:x val="0.119520997375328"/>
          <c:y val="0.00757384498863923"/>
          <c:w val="0.875557742782152"/>
          <c:h val="0.571168896743247"/>
        </c:manualLayout>
      </c:layout>
      <c:barChart>
        <c:barDir val="col"/>
        <c:grouping val="clustered"/>
        <c:varyColors val="0"/>
        <c:ser>
          <c:idx val="0"/>
          <c:order val="0"/>
          <c:tx>
            <c:strRef>
              <c:f>Sheet1!$B$1</c:f>
              <c:strCache>
                <c:ptCount val="1"/>
                <c:pt idx="0">
                  <c:v>2018年</c:v>
                </c:pt>
              </c:strCache>
            </c:strRef>
          </c:tx>
          <c:spPr>
            <a:solidFill>
              <a:schemeClr val="accent1"/>
            </a:solidFill>
            <a:ln>
              <a:noFill/>
            </a:ln>
            <a:effectLst/>
          </c:spPr>
          <c:invertIfNegative val="0"/>
          <c:dLbls>
            <c:delete val="1"/>
          </c:dLbls>
          <c:cat>
            <c:strRef>
              <c:f>Sheet1!$A$2:$A$4</c:f>
              <c:strCache>
                <c:ptCount val="3"/>
                <c:pt idx="0">
                  <c:v>财政拨款收支总计</c:v>
                </c:pt>
                <c:pt idx="1">
                  <c:v>收入</c:v>
                </c:pt>
                <c:pt idx="2">
                  <c:v>支出</c:v>
                </c:pt>
              </c:strCache>
            </c:strRef>
          </c:cat>
          <c:val>
            <c:numRef>
              <c:f>Sheet1!$B$2:$B$4</c:f>
              <c:numCache>
                <c:formatCode>General</c:formatCode>
                <c:ptCount val="3"/>
                <c:pt idx="0">
                  <c:v>24.86</c:v>
                </c:pt>
                <c:pt idx="1">
                  <c:v>24.86</c:v>
                </c:pt>
                <c:pt idx="2">
                  <c:v>24.86</c:v>
                </c:pt>
              </c:numCache>
            </c:numRef>
          </c:val>
        </c:ser>
        <c:ser>
          <c:idx val="1"/>
          <c:order val="1"/>
          <c:tx>
            <c:strRef>
              <c:f>Sheet1!$C$1</c:f>
              <c:strCache>
                <c:ptCount val="1"/>
                <c:pt idx="0">
                  <c:v>2019年</c:v>
                </c:pt>
              </c:strCache>
            </c:strRef>
          </c:tx>
          <c:spPr>
            <a:solidFill>
              <a:schemeClr val="accent2"/>
            </a:solidFill>
            <a:ln>
              <a:noFill/>
            </a:ln>
            <a:effectLst/>
          </c:spPr>
          <c:invertIfNegative val="0"/>
          <c:dLbls>
            <c:delete val="1"/>
          </c:dLbls>
          <c:cat>
            <c:strRef>
              <c:f>Sheet1!$A$2:$A$4</c:f>
              <c:strCache>
                <c:ptCount val="3"/>
                <c:pt idx="0">
                  <c:v>财政拨款收支总计</c:v>
                </c:pt>
                <c:pt idx="1">
                  <c:v>收入</c:v>
                </c:pt>
                <c:pt idx="2">
                  <c:v>支出</c:v>
                </c:pt>
              </c:strCache>
            </c:strRef>
          </c:cat>
          <c:val>
            <c:numRef>
              <c:f>Sheet1!$C$2:$C$4</c:f>
              <c:numCache>
                <c:formatCode>General</c:formatCode>
                <c:ptCount val="3"/>
                <c:pt idx="0">
                  <c:v>107.49</c:v>
                </c:pt>
                <c:pt idx="1">
                  <c:v>107.49</c:v>
                </c:pt>
                <c:pt idx="2">
                  <c:v>107.49</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Sheet1!$A$2:$A$4</c:f>
              <c:strCache>
                <c:ptCount val="3"/>
                <c:pt idx="0">
                  <c:v>财政拨款收支总计</c:v>
                </c:pt>
                <c:pt idx="1">
                  <c:v>收入</c:v>
                </c:pt>
                <c:pt idx="2">
                  <c:v>支出</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27"/>
        <c:axId val="316035072"/>
        <c:axId val="316036608"/>
      </c:barChart>
      <c:catAx>
        <c:axId val="316035072"/>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16036608"/>
        <c:crosses val="autoZero"/>
        <c:auto val="1"/>
        <c:lblAlgn val="ctr"/>
        <c:lblOffset val="100"/>
        <c:noMultiLvlLbl val="0"/>
      </c:catAx>
      <c:valAx>
        <c:axId val="316036608"/>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16035072"/>
        <c:crosses val="autoZero"/>
        <c:crossBetween val="between"/>
      </c:valAx>
      <c:spPr>
        <a:noFill/>
        <a:ln>
          <a:noFill/>
        </a:ln>
        <a:effectLst/>
      </c:spPr>
    </c:plotArea>
    <c:legend>
      <c:legendPos val="b"/>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366975585432028"/>
          <c:y val="0"/>
        </c:manualLayout>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收入决算结构图</c:v>
                </c:pt>
              </c:strCache>
            </c:strRef>
          </c:tx>
          <c:explosion val="0"/>
          <c:dPt>
            <c:idx val="0"/>
            <c:bubble3D val="0"/>
          </c:dPt>
          <c:dPt>
            <c:idx val="1"/>
            <c:bubble3D val="0"/>
          </c:dPt>
          <c:dPt>
            <c:idx val="2"/>
            <c:bubble3D val="0"/>
          </c:dPt>
          <c:dPt>
            <c:idx val="3"/>
            <c:bubble3D val="0"/>
          </c:dPt>
          <c:dPt>
            <c:idx val="4"/>
            <c:bubble3D val="0"/>
          </c:dPt>
          <c:dPt>
            <c:idx val="5"/>
            <c:bubble3D val="0"/>
          </c:dPt>
          <c:dPt>
            <c:idx val="6"/>
            <c:bubble3D val="0"/>
          </c:dPt>
          <c:dLbls>
            <c:delete val="1"/>
          </c:dLbls>
          <c:cat>
            <c:strRef>
              <c:f>Sheet1!$A$2:$A$8</c:f>
              <c:strCache>
                <c:ptCount val="7"/>
                <c:pt idx="0">
                  <c:v>一般公共预算财政拨款收入</c:v>
                </c:pt>
                <c:pt idx="1">
                  <c:v>政府性基金预算财政拨款收入</c:v>
                </c:pt>
                <c:pt idx="2">
                  <c:v>国有资本经营预算财政拨款收入</c:v>
                </c:pt>
                <c:pt idx="3">
                  <c:v>事业收入</c:v>
                </c:pt>
                <c:pt idx="4">
                  <c:v>经营收入</c:v>
                </c:pt>
                <c:pt idx="5">
                  <c:v>附属单位上缴收入</c:v>
                </c:pt>
                <c:pt idx="6">
                  <c:v>其他收入</c:v>
                </c:pt>
              </c:strCache>
            </c:strRef>
          </c:cat>
          <c:val>
            <c:numRef>
              <c:f>Sheet1!$B$2:$B$8</c:f>
              <c:numCache>
                <c:formatCode>General</c:formatCode>
                <c:ptCount val="7"/>
                <c:pt idx="0">
                  <c:v>124.09</c:v>
                </c:pt>
                <c:pt idx="1">
                  <c:v>0</c:v>
                </c:pt>
                <c:pt idx="2">
                  <c:v>0</c:v>
                </c:pt>
                <c:pt idx="3">
                  <c:v>0</c:v>
                </c:pt>
                <c:pt idx="4">
                  <c:v>0</c:v>
                </c:pt>
                <c:pt idx="5">
                  <c:v>0</c:v>
                </c:pt>
                <c:pt idx="6">
                  <c:v>0</c:v>
                </c:pt>
              </c:numCache>
            </c:numRef>
          </c:val>
        </c:ser>
        <c:dLbls>
          <c:showLegendKey val="0"/>
          <c:showVal val="0"/>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sz="1400" b="0" i="0" u="none" strike="noStrike" baseline="0">
                <a:solidFill>
                  <a:srgbClr val="333333"/>
                </a:solidFill>
                <a:latin typeface="Calibri" panose="020F0502020204030204" pitchFamily="2" charset="0"/>
                <a:ea typeface="Calibri" panose="020F0502020204030204" pitchFamily="2" charset="0"/>
                <a:cs typeface="Calibri" panose="020F0502020204030204" pitchFamily="2" charset="0"/>
              </a:rPr>
              <a:t>2019</a:t>
            </a:r>
            <a:r>
              <a:rPr altLang="en-US" sz="1400" b="0" i="0" u="none" strike="noStrike" baseline="0">
                <a:solidFill>
                  <a:srgbClr val="333333"/>
                </a:solidFill>
                <a:latin typeface="宋体" panose="02010600030101010101" charset="-122"/>
                <a:ea typeface="宋体" panose="02010600030101010101" charset="-122"/>
                <a:cs typeface="宋体" panose="02010600030101010101" charset="-122"/>
              </a:rPr>
              <a:t>年支出</a:t>
            </a:r>
            <a:endParaRPr altLang="en-US" sz="1200" b="0" i="0" u="none" strike="noStrike" baseline="0">
              <a:solidFill>
                <a:srgbClr val="000000"/>
              </a:solidFill>
              <a:latin typeface="宋体" panose="02010600030101010101" charset="-122"/>
              <a:ea typeface="宋体" panose="02010600030101010101" charset="-122"/>
              <a:cs typeface="宋体" panose="02010600030101010101" charset="-122"/>
            </a:endParaRPr>
          </a:p>
        </c:rich>
      </c:tx>
      <c:layout/>
      <c:overlay val="0"/>
    </c:title>
    <c:autoTitleDeleted val="0"/>
    <c:plotArea>
      <c:layout/>
      <c:pieChart>
        <c:varyColors val="1"/>
        <c:ser>
          <c:idx val="0"/>
          <c:order val="0"/>
          <c:tx>
            <c:strRef>
              <c:f>'[图表 在 2019年部门决算编制说明国资中心公开说明.docx]Sheet1'!$B$3</c:f>
              <c:strCache>
                <c:ptCount val="1"/>
                <c:pt idx="0">
                  <c:v>2019年支出</c:v>
                </c:pt>
              </c:strCache>
            </c:strRef>
          </c:tx>
          <c:spPr>
            <a:solidFill>
              <a:srgbClr val="5B9BD5">
                <a:alpha val="100000"/>
              </a:srgbClr>
            </a:solidFill>
            <a:ln w="3175">
              <a:noFill/>
            </a:ln>
          </c:spPr>
          <c:explosion val="0"/>
          <c:dPt>
            <c:idx val="0"/>
            <c:bubble3D val="0"/>
            <c:explosion val="0"/>
            <c:spPr>
              <a:solidFill>
                <a:srgbClr val="5B9BD5">
                  <a:alpha val="100000"/>
                </a:srgbClr>
              </a:solidFill>
              <a:ln w="3175">
                <a:noFill/>
              </a:ln>
            </c:spPr>
          </c:dPt>
          <c:dPt>
            <c:idx val="1"/>
            <c:bubble3D val="0"/>
            <c:explosion val="0"/>
            <c:spPr>
              <a:gradFill>
                <a:gsLst>
                  <a:gs pos="0">
                    <a:srgbClr val="9EE256"/>
                  </a:gs>
                  <a:gs pos="100000">
                    <a:srgbClr val="52762D"/>
                  </a:gs>
                </a:gsLst>
                <a:lin ang="5400000" scaled="0"/>
              </a:gradFill>
              <a:ln w="3175">
                <a:noFill/>
              </a:ln>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inEnd"/>
            <c:showLegendKey val="0"/>
            <c:showVal val="0"/>
            <c:showCatName val="1"/>
            <c:showSerName val="0"/>
            <c:showPercent val="1"/>
            <c:showBubbleSize val="0"/>
            <c:showLeaderLines val="0"/>
            <c:extLst>
              <c:ext xmlns:c15="http://schemas.microsoft.com/office/drawing/2012/chart" uri="{CE6537A1-D6FC-4f65-9D91-7224C49458BB}">
                <c15:layout/>
                <c15:showLeaderLines val="0"/>
                <c15:leaderLines/>
              </c:ext>
            </c:extLst>
          </c:dLbls>
          <c:cat>
            <c:strRef>
              <c:f>[01da15ca1]Sheet1!$C$2:$D$2</c:f>
              <c:strCache>
                <c:ptCount val="2"/>
                <c:pt idx="0">
                  <c:v>基本支出</c:v>
                </c:pt>
                <c:pt idx="1">
                  <c:v>项目支出</c:v>
                </c:pt>
              </c:strCache>
            </c:strRef>
          </c:cat>
          <c:val>
            <c:numRef>
              <c:f>[01da15ca1]Sheet1!$C$3:$D$3</c:f>
              <c:numCache>
                <c:formatCode>General</c:formatCode>
                <c:ptCount val="2"/>
                <c:pt idx="0">
                  <c:v>97.49</c:v>
                </c:pt>
                <c:pt idx="1">
                  <c:v>10</c:v>
                </c:pt>
              </c:numCache>
            </c:numRef>
          </c:val>
        </c:ser>
        <c:ser>
          <c:idx val="1"/>
          <c:order val="1"/>
          <c:tx>
            <c:strRef>
              <c:f>'[图表 在 2019年部门决算编制说明国资中心公开说明.docx]Sheet1'!#REF!</c:f>
              <c:strCache>
                <c:ptCount val="1"/>
                <c:pt idx="0">
                  <c:v/>
                </c:pt>
              </c:strCache>
            </c:strRef>
          </c:tx>
          <c:spPr>
            <a:solidFill>
              <a:srgbClr val="ED7D31">
                <a:alpha val="100000"/>
              </a:srgbClr>
            </a:solidFill>
            <a:ln w="3175">
              <a:noFill/>
            </a:ln>
          </c:spPr>
          <c:explosion val="0"/>
          <c:dPt>
            <c:idx val="0"/>
            <c:bubble3D val="0"/>
            <c:explosion val="0"/>
            <c:spPr>
              <a:solidFill>
                <a:srgbClr val="ED7D31">
                  <a:alpha val="100000"/>
                </a:srgbClr>
              </a:solidFill>
              <a:ln w="3175">
                <a:noFill/>
              </a:ln>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inEnd"/>
            <c:showLegendKey val="0"/>
            <c:showVal val="0"/>
            <c:showCatName val="1"/>
            <c:showSerName val="0"/>
            <c:showPercent val="1"/>
            <c:showBubbleSize val="0"/>
            <c:showLeaderLines val="0"/>
            <c:extLst>
              <c:ext xmlns:c15="http://schemas.microsoft.com/office/drawing/2012/chart" uri="{CE6537A1-D6FC-4f65-9D91-7224C49458BB}">
                <c15:layout/>
                <c15:showLeaderLines val="0"/>
                <c15:leaderLines/>
              </c:ext>
            </c:extLst>
          </c:dLbls>
          <c:cat>
            <c:strRef>
              <c:f>[01da15ca1]Sheet1!$C$2:$D$2</c:f>
              <c:strCache>
                <c:ptCount val="2"/>
                <c:pt idx="0">
                  <c:v>基本支出</c:v>
                </c:pt>
                <c:pt idx="1">
                  <c:v>项目支出</c:v>
                </c:pt>
              </c:strCache>
            </c:strRef>
          </c:cat>
          <c:val>
            <c:numRef>
              <c:f>[01da15ca1]Sheet1!#REF!</c:f>
              <c:numCache>
                <c:formatCode>General</c:formatCode>
                <c:ptCount val="1"/>
              </c:numCache>
            </c:numRef>
          </c:val>
        </c:ser>
        <c:ser>
          <c:idx val="2"/>
          <c:order val="2"/>
          <c:tx>
            <c:strRef>
              <c:f>'[图表 在 2019年部门决算编制说明国资中心公开说明.docx]Sheet1'!#REF!</c:f>
              <c:strCache>
                <c:ptCount val="1"/>
                <c:pt idx="0">
                  <c:v/>
                </c:pt>
              </c:strCache>
            </c:strRef>
          </c:tx>
          <c:spPr>
            <a:solidFill>
              <a:srgbClr val="A5A5A5">
                <a:alpha val="100000"/>
              </a:srgbClr>
            </a:solidFill>
            <a:ln w="3175">
              <a:noFill/>
            </a:ln>
          </c:spPr>
          <c:explosion val="0"/>
          <c:dPt>
            <c:idx val="0"/>
            <c:bubble3D val="0"/>
            <c:explosion val="0"/>
            <c:spPr>
              <a:solidFill>
                <a:srgbClr val="A5A5A5">
                  <a:alpha val="100000"/>
                </a:srgbClr>
              </a:solidFill>
              <a:ln w="3175">
                <a:noFill/>
              </a:ln>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inEnd"/>
            <c:showLegendKey val="0"/>
            <c:showVal val="0"/>
            <c:showCatName val="1"/>
            <c:showSerName val="0"/>
            <c:showPercent val="1"/>
            <c:showBubbleSize val="0"/>
            <c:showLeaderLines val="0"/>
            <c:extLst>
              <c:ext xmlns:c15="http://schemas.microsoft.com/office/drawing/2012/chart" uri="{CE6537A1-D6FC-4f65-9D91-7224C49458BB}">
                <c15:layout/>
                <c15:showLeaderLines val="0"/>
                <c15:leaderLines/>
              </c:ext>
            </c:extLst>
          </c:dLbls>
          <c:cat>
            <c:strRef>
              <c:f>[01da15ca1]Sheet1!$C$2:$D$2</c:f>
              <c:strCache>
                <c:ptCount val="2"/>
                <c:pt idx="0">
                  <c:v>基本支出</c:v>
                </c:pt>
                <c:pt idx="1">
                  <c:v>项目支出</c:v>
                </c:pt>
              </c:strCache>
            </c:strRef>
          </c:cat>
          <c:val>
            <c:numRef>
              <c:f>[01da15ca1]Sheet1!#REF!</c:f>
              <c:numCache>
                <c:formatCode>General</c:formatCode>
                <c:ptCount val="1"/>
              </c:numCache>
            </c:numRef>
          </c:val>
        </c:ser>
        <c:dLbls>
          <c:showLegendKey val="0"/>
          <c:showVal val="0"/>
          <c:showCatName val="0"/>
          <c:showSerName val="0"/>
          <c:showPercent val="0"/>
          <c:showBubbleSize val="0"/>
          <c:showLeaderLines val="0"/>
        </c:dLbls>
        <c:firstSliceAng val="0"/>
      </c:pieChart>
      <c:spPr>
        <a:noFill/>
        <a:ln w="3175">
          <a:noFill/>
        </a:ln>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zh-CN" altLang="en-US"/>
              <a:t>财政拨款收、支决算总计变动情况</a:t>
            </a:r>
            <a:endParaRPr lang="zh-CN" altLang="en-US"/>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2018年</c:v>
                </c:pt>
              </c:strCache>
            </c:strRef>
          </c:tx>
          <c:spPr>
            <a:solidFill>
              <a:schemeClr val="accent1"/>
            </a:solidFill>
            <a:ln>
              <a:noFill/>
            </a:ln>
            <a:effectLst/>
          </c:spPr>
          <c:invertIfNegative val="0"/>
          <c:dLbls>
            <c:delete val="1"/>
          </c:dLbls>
          <c:cat>
            <c:strRef>
              <c:f>Sheet1!$A$2:$A$4</c:f>
              <c:strCache>
                <c:ptCount val="3"/>
                <c:pt idx="0">
                  <c:v>财政拨款收支总体</c:v>
                </c:pt>
                <c:pt idx="1">
                  <c:v>收入</c:v>
                </c:pt>
                <c:pt idx="2">
                  <c:v>支出</c:v>
                </c:pt>
              </c:strCache>
            </c:strRef>
          </c:cat>
          <c:val>
            <c:numRef>
              <c:f>Sheet1!$B$2:$B$4</c:f>
              <c:numCache>
                <c:formatCode>General</c:formatCode>
                <c:ptCount val="3"/>
                <c:pt idx="0">
                  <c:v>24.86</c:v>
                </c:pt>
                <c:pt idx="1">
                  <c:v>24.86</c:v>
                </c:pt>
                <c:pt idx="2">
                  <c:v>24.86</c:v>
                </c:pt>
              </c:numCache>
            </c:numRef>
          </c:val>
        </c:ser>
        <c:ser>
          <c:idx val="1"/>
          <c:order val="1"/>
          <c:tx>
            <c:strRef>
              <c:f>Sheet1!$C$1</c:f>
              <c:strCache>
                <c:ptCount val="1"/>
                <c:pt idx="0">
                  <c:v>2019年</c:v>
                </c:pt>
              </c:strCache>
            </c:strRef>
          </c:tx>
          <c:spPr>
            <a:solidFill>
              <a:schemeClr val="accent2"/>
            </a:solidFill>
            <a:ln>
              <a:noFill/>
            </a:ln>
            <a:effectLst/>
          </c:spPr>
          <c:invertIfNegative val="0"/>
          <c:dLbls>
            <c:delete val="1"/>
          </c:dLbls>
          <c:cat>
            <c:strRef>
              <c:f>Sheet1!$A$2:$A$4</c:f>
              <c:strCache>
                <c:ptCount val="3"/>
                <c:pt idx="0">
                  <c:v>财政拨款收支总体</c:v>
                </c:pt>
                <c:pt idx="1">
                  <c:v>收入</c:v>
                </c:pt>
                <c:pt idx="2">
                  <c:v>支出</c:v>
                </c:pt>
              </c:strCache>
            </c:strRef>
          </c:cat>
          <c:val>
            <c:numRef>
              <c:f>Sheet1!$C$2:$C$4</c:f>
              <c:numCache>
                <c:formatCode>General</c:formatCode>
                <c:ptCount val="3"/>
                <c:pt idx="0">
                  <c:v>107.49</c:v>
                </c:pt>
                <c:pt idx="1">
                  <c:v>107.49</c:v>
                </c:pt>
                <c:pt idx="2">
                  <c:v>107.49</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Sheet1!$A$2:$A$4</c:f>
              <c:strCache>
                <c:ptCount val="3"/>
                <c:pt idx="0">
                  <c:v>财政拨款收支总体</c:v>
                </c:pt>
                <c:pt idx="1">
                  <c:v>收入</c:v>
                </c:pt>
                <c:pt idx="2">
                  <c:v>支出</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27"/>
        <c:axId val="117061888"/>
        <c:axId val="268324864"/>
      </c:barChart>
      <c:catAx>
        <c:axId val="117061888"/>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68324864"/>
        <c:crosses val="autoZero"/>
        <c:auto val="1"/>
        <c:lblAlgn val="ctr"/>
        <c:lblOffset val="100"/>
        <c:noMultiLvlLbl val="0"/>
      </c:catAx>
      <c:valAx>
        <c:axId val="268324864"/>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17061888"/>
        <c:crosses val="autoZero"/>
        <c:crossBetween val="between"/>
      </c:valAx>
      <c:spPr>
        <a:noFill/>
        <a:ln>
          <a:noFill/>
        </a:ln>
        <a:effectLst/>
      </c:spPr>
    </c:plotArea>
    <c:legend>
      <c:legendPos val="b"/>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zh-CN" altLang="en-US"/>
              <a:t>一般公共预算财政拨款支出决算变动情况</a:t>
            </a:r>
            <a:endParaRPr lang="zh-CN" altLang="en-US"/>
          </a:p>
        </c:rich>
      </c:tx>
      <c:layout>
        <c:manualLayout>
          <c:xMode val="edge"/>
          <c:yMode val="edge"/>
          <c:x val="0.166189316977012"/>
          <c:y val="0.0370432450553134"/>
        </c:manualLayout>
      </c:layout>
      <c:overlay val="0"/>
      <c:spPr>
        <a:noFill/>
        <a:ln>
          <a:noFill/>
        </a:ln>
        <a:effectLst/>
      </c:spPr>
    </c:title>
    <c:autoTitleDeleted val="0"/>
    <c:plotArea>
      <c:layout/>
      <c:barChart>
        <c:barDir val="col"/>
        <c:grouping val="clustered"/>
        <c:varyColors val="0"/>
        <c:ser>
          <c:idx val="0"/>
          <c:order val="0"/>
          <c:tx>
            <c:strRef>
              <c:f>Sheet1!$B$1</c:f>
              <c:strCache>
                <c:ptCount val="1"/>
                <c:pt idx="0">
                  <c:v>2018年</c:v>
                </c:pt>
              </c:strCache>
            </c:strRef>
          </c:tx>
          <c:spPr>
            <a:solidFill>
              <a:schemeClr val="accent1"/>
            </a:solidFill>
            <a:ln>
              <a:noFill/>
            </a:ln>
            <a:effectLst/>
          </c:spPr>
          <c:invertIfNegative val="0"/>
          <c:dLbls>
            <c:delete val="1"/>
          </c:dLbls>
          <c:cat>
            <c:strRef>
              <c:f>Sheet1!$A$2</c:f>
              <c:strCache>
                <c:ptCount val="1"/>
                <c:pt idx="0">
                  <c:v>一般公共预算财政拨款支出</c:v>
                </c:pt>
              </c:strCache>
            </c:strRef>
          </c:cat>
          <c:val>
            <c:numRef>
              <c:f>Sheet1!$B$2</c:f>
              <c:numCache>
                <c:formatCode>General</c:formatCode>
                <c:ptCount val="1"/>
                <c:pt idx="0">
                  <c:v>24.86</c:v>
                </c:pt>
              </c:numCache>
            </c:numRef>
          </c:val>
        </c:ser>
        <c:ser>
          <c:idx val="1"/>
          <c:order val="1"/>
          <c:tx>
            <c:strRef>
              <c:f>Sheet1!$C$1</c:f>
              <c:strCache>
                <c:ptCount val="1"/>
                <c:pt idx="0">
                  <c:v>2019年</c:v>
                </c:pt>
              </c:strCache>
            </c:strRef>
          </c:tx>
          <c:spPr>
            <a:solidFill>
              <a:schemeClr val="accent2"/>
            </a:solidFill>
            <a:ln>
              <a:noFill/>
            </a:ln>
            <a:effectLst/>
          </c:spPr>
          <c:invertIfNegative val="0"/>
          <c:dLbls>
            <c:delete val="1"/>
          </c:dLbls>
          <c:cat>
            <c:strRef>
              <c:f>Sheet1!$A$2</c:f>
              <c:strCache>
                <c:ptCount val="1"/>
                <c:pt idx="0">
                  <c:v>一般公共预算财政拨款支出</c:v>
                </c:pt>
              </c:strCache>
            </c:strRef>
          </c:cat>
          <c:val>
            <c:numRef>
              <c:f>Sheet1!$C$2</c:f>
              <c:numCache>
                <c:formatCode>General</c:formatCode>
                <c:ptCount val="1"/>
                <c:pt idx="0">
                  <c:v>107.49</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c:f>
              <c:strCache>
                <c:ptCount val="1"/>
                <c:pt idx="0">
                  <c:v>一般公共预算财政拨款支出</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27"/>
        <c:axId val="319305600"/>
        <c:axId val="319307136"/>
      </c:barChart>
      <c:catAx>
        <c:axId val="319305600"/>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19307136"/>
        <c:crosses val="autoZero"/>
        <c:auto val="1"/>
        <c:lblAlgn val="ctr"/>
        <c:lblOffset val="100"/>
        <c:noMultiLvlLbl val="0"/>
      </c:catAx>
      <c:valAx>
        <c:axId val="319307136"/>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19305600"/>
        <c:crosses val="autoZero"/>
        <c:crossBetween val="between"/>
      </c:valAx>
      <c:spPr>
        <a:noFill/>
        <a:ln>
          <a:noFill/>
        </a:ln>
        <a:effectLst/>
      </c:spPr>
    </c:plotArea>
    <c:legend>
      <c:legendPos val="b"/>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3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四川省财政厅</Company>
  <Pages>25</Pages>
  <Words>1785</Words>
  <Characters>10178</Characters>
  <Lines>0</Lines>
  <Paragraphs>0</Paragraphs>
  <TotalTime>5</TotalTime>
  <ScaleCrop>false</ScaleCrop>
  <LinksUpToDate>false</LinksUpToDate>
  <CharactersWithSpaces>0</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2019-09-19T02:28:00Z</dcterms:created>
  <dc:creator>张彬茜</dc:creator>
  <cp:lastModifiedBy>Administrator</cp:lastModifiedBy>
  <cp:lastPrinted>2020-09-24T09:01:00Z</cp:lastPrinted>
  <dcterms:modified xsi:type="dcterms:W3CDTF">2021-06-07T02:25:34Z</dcterms:modified>
  <dc:title>四川省***</dc:title>
  <cp:revision>106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