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line="560" w:lineRule="exact"/>
        <w:jc w:val="center"/>
        <w:outlineLvl w:val="0"/>
        <w:rPr>
          <w:rFonts w:ascii="方正小标宋简体" w:hAnsi="宋体" w:eastAsia="方正小标宋简体"/>
          <w:color w:val="000000"/>
          <w:sz w:val="72"/>
          <w:szCs w:val="72"/>
        </w:rPr>
      </w:pPr>
      <w:bookmarkStart w:id="0" w:name="_Toc15306267"/>
    </w:p>
    <w:p>
      <w:pPr>
        <w:pageBreakBefore w:val="0"/>
        <w:kinsoku/>
        <w:wordWrap/>
        <w:overflowPunct/>
        <w:topLinePunct w:val="0"/>
        <w:bidi w:val="0"/>
        <w:spacing w:line="560" w:lineRule="exact"/>
        <w:jc w:val="center"/>
        <w:outlineLvl w:val="0"/>
        <w:rPr>
          <w:rFonts w:ascii="方正小标宋简体" w:hAnsi="宋体" w:eastAsia="方正小标宋简体"/>
          <w:color w:val="000000"/>
          <w:sz w:val="72"/>
          <w:szCs w:val="72"/>
        </w:rPr>
      </w:pPr>
    </w:p>
    <w:p>
      <w:pPr>
        <w:pageBreakBefore w:val="0"/>
        <w:kinsoku/>
        <w:wordWrap/>
        <w:overflowPunct/>
        <w:topLinePunct w:val="0"/>
        <w:bidi w:val="0"/>
        <w:spacing w:line="560" w:lineRule="exact"/>
        <w:jc w:val="center"/>
        <w:outlineLvl w:val="0"/>
        <w:rPr>
          <w:rFonts w:ascii="方正小标宋简体" w:hAnsi="宋体" w:eastAsia="方正小标宋简体"/>
          <w:color w:val="000000"/>
          <w:sz w:val="72"/>
          <w:szCs w:val="72"/>
        </w:rPr>
      </w:pPr>
    </w:p>
    <w:p>
      <w:pPr>
        <w:pageBreakBefore w:val="0"/>
        <w:kinsoku/>
        <w:wordWrap/>
        <w:overflowPunct/>
        <w:topLinePunct w:val="0"/>
        <w:bidi w:val="0"/>
        <w:spacing w:line="560" w:lineRule="exact"/>
        <w:jc w:val="center"/>
        <w:outlineLvl w:val="0"/>
        <w:rPr>
          <w:rFonts w:ascii="方正小标宋简体" w:hAnsi="宋体" w:eastAsia="方正小标宋简体"/>
          <w:color w:val="000000"/>
          <w:sz w:val="72"/>
          <w:szCs w:val="72"/>
        </w:rPr>
      </w:pPr>
    </w:p>
    <w:p>
      <w:pPr>
        <w:pageBreakBefore w:val="0"/>
        <w:kinsoku/>
        <w:wordWrap/>
        <w:overflowPunct/>
        <w:topLinePunct w:val="0"/>
        <w:bidi w:val="0"/>
        <w:adjustRightInd w:val="0"/>
        <w:snapToGrid w:val="0"/>
        <w:spacing w:line="560" w:lineRule="exact"/>
        <w:jc w:val="center"/>
        <w:outlineLvl w:val="0"/>
        <w:rPr>
          <w:rFonts w:hint="eastAsia" w:ascii="方正小标宋简体" w:hAnsi="方正小标宋简体" w:eastAsia="方正小标宋简体" w:cs="方正小标宋简体"/>
          <w:color w:val="000000"/>
          <w:sz w:val="44"/>
          <w:szCs w:val="44"/>
        </w:rPr>
      </w:pPr>
      <w:bookmarkStart w:id="1" w:name="_Toc15396597"/>
      <w:bookmarkStart w:id="2" w:name="_Toc15396475"/>
      <w:bookmarkStart w:id="3" w:name="_Toc15377425"/>
      <w:bookmarkStart w:id="4" w:name="_Toc15377193"/>
      <w:bookmarkStart w:id="5" w:name="_Toc15378441"/>
      <w:r>
        <w:rPr>
          <w:rFonts w:hint="eastAsia" w:ascii="方正小标宋简体" w:hAnsi="方正小标宋简体" w:eastAsia="方正小标宋简体" w:cs="方正小标宋简体"/>
          <w:color w:val="000000"/>
          <w:sz w:val="44"/>
          <w:szCs w:val="44"/>
        </w:rPr>
        <w:t>2019年度</w:t>
      </w:r>
      <w:bookmarkEnd w:id="1"/>
      <w:bookmarkEnd w:id="2"/>
      <w:bookmarkEnd w:id="3"/>
      <w:bookmarkEnd w:id="4"/>
      <w:bookmarkEnd w:id="5"/>
    </w:p>
    <w:p>
      <w:pPr>
        <w:pageBreakBefore w:val="0"/>
        <w:kinsoku/>
        <w:wordWrap/>
        <w:overflowPunct/>
        <w:topLinePunct w:val="0"/>
        <w:bidi w:val="0"/>
        <w:adjustRightInd w:val="0"/>
        <w:snapToGrid w:val="0"/>
        <w:spacing w:line="560" w:lineRule="exact"/>
        <w:jc w:val="center"/>
        <w:outlineLvl w:val="0"/>
        <w:rPr>
          <w:rFonts w:hint="eastAsia" w:ascii="方正小标宋简体" w:hAnsi="方正小标宋简体" w:eastAsia="方正小标宋简体" w:cs="方正小标宋简体"/>
          <w:color w:val="000000"/>
          <w:sz w:val="44"/>
          <w:szCs w:val="44"/>
        </w:rPr>
      </w:pPr>
      <w:bookmarkStart w:id="6" w:name="_Toc15396476"/>
      <w:bookmarkStart w:id="7" w:name="_Toc15377194"/>
      <w:bookmarkStart w:id="8" w:name="_Toc15378442"/>
      <w:bookmarkStart w:id="9" w:name="_Toc15377426"/>
      <w:bookmarkStart w:id="10" w:name="_Toc15396598"/>
      <w:r>
        <w:rPr>
          <w:rFonts w:hint="eastAsia" w:ascii="方正小标宋简体" w:hAnsi="方正小标宋简体" w:eastAsia="方正小标宋简体" w:cs="方正小标宋简体"/>
          <w:color w:val="000000"/>
          <w:sz w:val="44"/>
          <w:szCs w:val="44"/>
        </w:rPr>
        <w:t>四川省阿坝州</w:t>
      </w:r>
      <w:bookmarkEnd w:id="0"/>
      <w:bookmarkStart w:id="11" w:name="_Toc15306268"/>
      <w:r>
        <w:rPr>
          <w:rFonts w:hint="eastAsia" w:ascii="方正小标宋简体" w:hAnsi="方正小标宋简体" w:eastAsia="方正小标宋简体" w:cs="方正小标宋简体"/>
          <w:color w:val="000000"/>
          <w:sz w:val="44"/>
          <w:szCs w:val="44"/>
        </w:rPr>
        <w:t>茂县妇幼保健计划生育服务中心部门决算</w:t>
      </w:r>
      <w:bookmarkEnd w:id="6"/>
      <w:bookmarkEnd w:id="7"/>
      <w:bookmarkEnd w:id="8"/>
      <w:bookmarkEnd w:id="9"/>
      <w:bookmarkEnd w:id="10"/>
      <w:bookmarkEnd w:id="11"/>
    </w:p>
    <w:p>
      <w:pPr>
        <w:pageBreakBefore w:val="0"/>
        <w:widowControl/>
        <w:kinsoku/>
        <w:wordWrap/>
        <w:overflowPunct/>
        <w:topLinePunct w:val="0"/>
        <w:bidi w:val="0"/>
        <w:spacing w:line="560" w:lineRule="exact"/>
        <w:jc w:val="center"/>
        <w:rPr>
          <w:rFonts w:ascii="方正小标宋简体" w:hAnsi="宋体" w:eastAsia="方正小标宋简体"/>
          <w:color w:val="000000"/>
          <w:sz w:val="36"/>
          <w:szCs w:val="36"/>
        </w:rPr>
      </w:pPr>
    </w:p>
    <w:p>
      <w:pPr>
        <w:pageBreakBefore w:val="0"/>
        <w:kinsoku/>
        <w:wordWrap/>
        <w:overflowPunct/>
        <w:topLinePunct w:val="0"/>
        <w:bidi w:val="0"/>
        <w:spacing w:line="560" w:lineRule="exact"/>
        <w:rPr>
          <w:rFonts w:ascii="方正小标宋简体" w:hAnsi="宋体" w:eastAsia="方正小标宋简体"/>
          <w:sz w:val="36"/>
          <w:szCs w:val="36"/>
        </w:rPr>
      </w:pPr>
    </w:p>
    <w:p>
      <w:pPr>
        <w:pageBreakBefore w:val="0"/>
        <w:kinsoku/>
        <w:wordWrap/>
        <w:overflowPunct/>
        <w:topLinePunct w:val="0"/>
        <w:bidi w:val="0"/>
        <w:spacing w:line="560" w:lineRule="exact"/>
        <w:rPr>
          <w:rFonts w:ascii="方正小标宋简体" w:hAnsi="宋体" w:eastAsia="方正小标宋简体"/>
          <w:sz w:val="36"/>
          <w:szCs w:val="36"/>
        </w:rPr>
      </w:pPr>
    </w:p>
    <w:p>
      <w:pPr>
        <w:pageBreakBefore w:val="0"/>
        <w:kinsoku/>
        <w:wordWrap/>
        <w:overflowPunct/>
        <w:topLinePunct w:val="0"/>
        <w:bidi w:val="0"/>
        <w:spacing w:line="560" w:lineRule="exact"/>
        <w:rPr>
          <w:rFonts w:ascii="方正小标宋简体" w:hAnsi="宋体" w:eastAsia="方正小标宋简体"/>
          <w:sz w:val="36"/>
          <w:szCs w:val="36"/>
        </w:rPr>
      </w:pPr>
    </w:p>
    <w:p>
      <w:pPr>
        <w:pageBreakBefore w:val="0"/>
        <w:kinsoku/>
        <w:wordWrap/>
        <w:overflowPunct/>
        <w:topLinePunct w:val="0"/>
        <w:bidi w:val="0"/>
        <w:spacing w:line="560" w:lineRule="exact"/>
        <w:rPr>
          <w:rFonts w:ascii="方正小标宋简体" w:hAnsi="宋体" w:eastAsia="方正小标宋简体"/>
          <w:sz w:val="36"/>
          <w:szCs w:val="36"/>
        </w:rPr>
      </w:pPr>
    </w:p>
    <w:p>
      <w:pPr>
        <w:pageBreakBefore w:val="0"/>
        <w:kinsoku/>
        <w:wordWrap/>
        <w:overflowPunct/>
        <w:topLinePunct w:val="0"/>
        <w:bidi w:val="0"/>
        <w:spacing w:line="560" w:lineRule="exact"/>
        <w:rPr>
          <w:rFonts w:ascii="方正小标宋简体" w:hAnsi="宋体" w:eastAsia="方正小标宋简体"/>
          <w:sz w:val="36"/>
          <w:szCs w:val="36"/>
        </w:rPr>
      </w:pPr>
    </w:p>
    <w:p>
      <w:pPr>
        <w:pageBreakBefore w:val="0"/>
        <w:kinsoku/>
        <w:wordWrap/>
        <w:overflowPunct/>
        <w:topLinePunct w:val="0"/>
        <w:bidi w:val="0"/>
        <w:spacing w:line="560" w:lineRule="exact"/>
        <w:rPr>
          <w:rFonts w:ascii="方正小标宋简体" w:hAnsi="宋体" w:eastAsia="方正小标宋简体"/>
          <w:sz w:val="36"/>
          <w:szCs w:val="36"/>
        </w:rPr>
      </w:pPr>
    </w:p>
    <w:p>
      <w:pPr>
        <w:pageBreakBefore w:val="0"/>
        <w:kinsoku/>
        <w:wordWrap/>
        <w:overflowPunct/>
        <w:topLinePunct w:val="0"/>
        <w:bidi w:val="0"/>
        <w:spacing w:line="560" w:lineRule="exact"/>
        <w:rPr>
          <w:rFonts w:ascii="方正小标宋简体" w:hAnsi="宋体" w:eastAsia="方正小标宋简体"/>
          <w:sz w:val="36"/>
          <w:szCs w:val="36"/>
        </w:rPr>
      </w:pPr>
    </w:p>
    <w:p>
      <w:pPr>
        <w:pageBreakBefore w:val="0"/>
        <w:kinsoku/>
        <w:wordWrap/>
        <w:overflowPunct/>
        <w:topLinePunct w:val="0"/>
        <w:bidi w:val="0"/>
        <w:spacing w:line="560" w:lineRule="exact"/>
        <w:rPr>
          <w:rFonts w:ascii="方正小标宋简体" w:hAnsi="宋体" w:eastAsia="方正小标宋简体"/>
          <w:sz w:val="36"/>
          <w:szCs w:val="36"/>
        </w:rPr>
      </w:pPr>
    </w:p>
    <w:p>
      <w:pPr>
        <w:pageBreakBefore w:val="0"/>
        <w:kinsoku/>
        <w:wordWrap/>
        <w:overflowPunct/>
        <w:topLinePunct w:val="0"/>
        <w:bidi w:val="0"/>
        <w:spacing w:line="560" w:lineRule="exact"/>
        <w:rPr>
          <w:rFonts w:ascii="方正小标宋简体" w:hAnsi="宋体" w:eastAsia="方正小标宋简体"/>
          <w:sz w:val="36"/>
          <w:szCs w:val="36"/>
        </w:rPr>
      </w:pPr>
    </w:p>
    <w:p>
      <w:pPr>
        <w:pageBreakBefore w:val="0"/>
        <w:kinsoku/>
        <w:wordWrap/>
        <w:overflowPunct/>
        <w:topLinePunct w:val="0"/>
        <w:autoSpaceDE w:val="0"/>
        <w:autoSpaceDN w:val="0"/>
        <w:bidi w:val="0"/>
        <w:adjustRightInd w:val="0"/>
        <w:spacing w:line="560" w:lineRule="exact"/>
        <w:ind w:firstLine="640" w:firstLineChars="200"/>
        <w:jc w:val="left"/>
        <w:rPr>
          <w:rFonts w:eastAsia="仿宋_GB2312"/>
          <w:sz w:val="32"/>
          <w:szCs w:val="32"/>
        </w:rPr>
      </w:pPr>
      <w:r>
        <w:rPr>
          <w:rFonts w:hint="eastAsia" w:ascii="仿宋_GB2312" w:hAnsi="Calibri" w:eastAsia="仿宋_GB2312" w:cs="仿宋_GB2312"/>
          <w:sz w:val="32"/>
          <w:szCs w:val="32"/>
        </w:rPr>
        <w:t>保密审查情况：</w:t>
      </w:r>
    </w:p>
    <w:p>
      <w:pPr>
        <w:pageBreakBefore w:val="0"/>
        <w:kinsoku/>
        <w:wordWrap/>
        <w:overflowPunct/>
        <w:topLinePunct w:val="0"/>
        <w:autoSpaceDE w:val="0"/>
        <w:autoSpaceDN w:val="0"/>
        <w:bidi w:val="0"/>
        <w:adjustRightInd w:val="0"/>
        <w:spacing w:line="560" w:lineRule="exact"/>
        <w:ind w:firstLine="640" w:firstLineChars="200"/>
        <w:jc w:val="left"/>
        <w:rPr>
          <w:rFonts w:eastAsia="仿宋_GB2312"/>
          <w:sz w:val="32"/>
          <w:szCs w:val="32"/>
        </w:rPr>
      </w:pPr>
      <w:r>
        <w:rPr>
          <w:rFonts w:hint="eastAsia" w:ascii="仿宋_GB2312" w:eastAsia="仿宋_GB2312" w:cs="仿宋_GB2312"/>
          <w:sz w:val="32"/>
          <w:szCs w:val="32"/>
        </w:rPr>
        <w:t>部门主要负责人审签情况：</w:t>
      </w:r>
    </w:p>
    <w:p>
      <w:pPr>
        <w:pageBreakBefore w:val="0"/>
        <w:widowControl/>
        <w:kinsoku/>
        <w:wordWrap/>
        <w:overflowPunct/>
        <w:topLinePunct w:val="0"/>
        <w:bidi w:val="0"/>
        <w:spacing w:line="560" w:lineRule="exact"/>
        <w:jc w:val="center"/>
        <w:rPr>
          <w:rFonts w:hint="eastAsia" w:ascii="宋体" w:hAnsi="宋体" w:eastAsia="宋体" w:cs="宋体"/>
          <w:color w:val="000000"/>
          <w:sz w:val="44"/>
          <w:szCs w:val="44"/>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pPr>
        <w:pageBreakBefore w:val="0"/>
        <w:widowControl/>
        <w:kinsoku/>
        <w:wordWrap/>
        <w:overflowPunct/>
        <w:topLinePunct w:val="0"/>
        <w:bidi w:val="0"/>
        <w:spacing w:line="560" w:lineRule="exact"/>
        <w:jc w:val="center"/>
        <w:rPr>
          <w:rFonts w:hint="eastAsia" w:ascii="黑体" w:hAnsi="黑体" w:eastAsia="黑体" w:cs="黑体"/>
          <w:color w:val="000000"/>
          <w:sz w:val="44"/>
          <w:szCs w:val="44"/>
        </w:rPr>
      </w:pPr>
      <w:r>
        <w:rPr>
          <w:rFonts w:hint="eastAsia" w:ascii="黑体" w:hAnsi="黑体" w:eastAsia="黑体" w:cs="黑体"/>
          <w:color w:val="000000"/>
          <w:sz w:val="44"/>
          <w:szCs w:val="44"/>
        </w:rPr>
        <w:t>目</w:t>
      </w:r>
      <w:r>
        <w:rPr>
          <w:rFonts w:hint="eastAsia" w:ascii="黑体" w:hAnsi="黑体" w:eastAsia="黑体" w:cs="黑体"/>
          <w:color w:val="000000"/>
          <w:sz w:val="44"/>
          <w:szCs w:val="44"/>
          <w:lang w:val="en-US" w:eastAsia="zh-CN"/>
        </w:rPr>
        <w:t xml:space="preserve">  </w:t>
      </w:r>
      <w:r>
        <w:rPr>
          <w:rFonts w:hint="eastAsia" w:ascii="黑体" w:hAnsi="黑体" w:eastAsia="黑体" w:cs="黑体"/>
          <w:color w:val="000000"/>
          <w:sz w:val="44"/>
          <w:szCs w:val="44"/>
        </w:rPr>
        <w:t>录</w:t>
      </w:r>
    </w:p>
    <w:p>
      <w:pPr>
        <w:pageBreakBefore w:val="0"/>
        <w:widowControl/>
        <w:kinsoku/>
        <w:wordWrap/>
        <w:overflowPunct/>
        <w:topLinePunct w:val="0"/>
        <w:bidi w:val="0"/>
        <w:spacing w:line="560" w:lineRule="exact"/>
        <w:jc w:val="center"/>
        <w:rPr>
          <w:rFonts w:ascii="黑体" w:hAnsi="黑体" w:eastAsia="黑体" w:cstheme="minorBidi"/>
          <w:sz w:val="28"/>
          <w:szCs w:val="28"/>
        </w:rPr>
      </w:pPr>
    </w:p>
    <w:p>
      <w:pPr>
        <w:pStyle w:val="10"/>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w:t>
      </w:r>
    </w:p>
    <w:p>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w:t>
      </w:r>
    </w:p>
    <w:p>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p>
    <w:p>
      <w:pPr>
        <w:pStyle w:val="10"/>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第二部分</w:t>
      </w:r>
      <w:r>
        <w:rPr>
          <w:rFonts w:hint="eastAsia" w:ascii="仿宋_GB2312" w:hAnsi="仿宋_GB2312" w:eastAsia="仿宋_GB2312" w:cs="仿宋_GB2312"/>
          <w:sz w:val="32"/>
          <w:szCs w:val="32"/>
          <w:lang w:val="en-US" w:eastAsia="zh-CN"/>
        </w:rPr>
        <w:t xml:space="preserve"> 2019年</w:t>
      </w:r>
      <w:r>
        <w:rPr>
          <w:rFonts w:hint="eastAsia" w:ascii="仿宋_GB2312" w:hAnsi="仿宋_GB2312" w:eastAsia="仿宋_GB2312" w:cs="仿宋_GB2312"/>
          <w:sz w:val="32"/>
          <w:szCs w:val="32"/>
        </w:rPr>
        <w:t>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p>
    <w:p>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p>
    <w:p>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p>
    <w:p>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p>
    <w:p>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w:t>
      </w:r>
    </w:p>
    <w:p>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w:t>
      </w:r>
    </w:p>
    <w:p>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p>
    <w:p>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p>
    <w:p>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p>
    <w:p>
      <w:pPr>
        <w:pStyle w:val="11"/>
        <w:keepNext w:val="0"/>
        <w:keepLines w:val="0"/>
        <w:pageBreakBefore w:val="0"/>
        <w:widowControl w:val="0"/>
        <w:kinsoku/>
        <w:wordWrap/>
        <w:overflowPunct/>
        <w:topLinePunct w:val="0"/>
        <w:autoSpaceDE/>
        <w:autoSpaceDN/>
        <w:bidi w:val="0"/>
        <w:adjustRightInd w:val="0"/>
        <w:snapToGrid w:val="0"/>
        <w:spacing w:line="560" w:lineRule="exact"/>
        <w:ind w:left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九、国有资本经营预算支出决算情况说明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p>
    <w:p>
      <w:pPr>
        <w:pStyle w:val="11"/>
        <w:keepNext w:val="0"/>
        <w:keepLines w:val="0"/>
        <w:pageBreakBefore w:val="0"/>
        <w:widowControl w:val="0"/>
        <w:kinsoku/>
        <w:wordWrap/>
        <w:overflowPunct/>
        <w:topLinePunct w:val="0"/>
        <w:autoSpaceDE/>
        <w:autoSpaceDN/>
        <w:bidi w:val="0"/>
        <w:adjustRightInd w:val="0"/>
        <w:snapToGrid w:val="0"/>
        <w:spacing w:line="560" w:lineRule="exact"/>
        <w:ind w:leftChars="0"/>
        <w:jc w:val="left"/>
        <w:textAlignment w:val="auto"/>
        <w:rPr>
          <w:rFonts w:hint="eastAsia" w:ascii="仿宋_GB2312" w:hAnsi="仿宋_GB2312" w:eastAsia="仿宋_GB2312" w:cs="仿宋_GB2312"/>
          <w:sz w:val="32"/>
          <w:szCs w:val="32"/>
          <w:lang w:val="en-US" w:eastAsia="zh-CN"/>
        </w:rPr>
      </w:pPr>
      <w:r>
        <w:rPr>
          <w:rStyle w:val="16"/>
          <w:rFonts w:hint="eastAsia" w:ascii="仿宋_GB2312" w:hAnsi="仿宋_GB2312" w:eastAsia="仿宋_GB2312" w:cs="仿宋_GB2312"/>
          <w:color w:val="000000" w:themeColor="text1"/>
          <w:sz w:val="32"/>
          <w:szCs w:val="32"/>
          <w:u w:val="none"/>
        </w:rPr>
        <w:t>十、</w:t>
      </w:r>
      <w:r>
        <w:rPr>
          <w:rFonts w:hint="eastAsia" w:ascii="仿宋_GB2312" w:hAnsi="仿宋_GB2312" w:eastAsia="仿宋_GB2312" w:cs="仿宋_GB2312"/>
          <w:sz w:val="32"/>
          <w:szCs w:val="32"/>
        </w:rPr>
        <w:t>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p>
    <w:p>
      <w:pPr>
        <w:pStyle w:val="10"/>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17</w:t>
      </w:r>
    </w:p>
    <w:p>
      <w:pPr>
        <w:pStyle w:val="10"/>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20</w:t>
      </w:r>
    </w:p>
    <w:p>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茂县妇幼保健计划生育服务中心2019年部门整体支出绩效评价报告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20</w:t>
      </w:r>
    </w:p>
    <w:p>
      <w:pPr>
        <w:pStyle w:val="10"/>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23</w:t>
      </w:r>
    </w:p>
    <w:p>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23</w:t>
      </w:r>
    </w:p>
    <w:p>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二、收入决算表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23</w:t>
      </w:r>
    </w:p>
    <w:p>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23</w:t>
      </w:r>
    </w:p>
    <w:p>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23</w:t>
      </w:r>
    </w:p>
    <w:p>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23</w:t>
      </w:r>
    </w:p>
    <w:p>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23</w:t>
      </w:r>
    </w:p>
    <w:p>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七、一般公共预算财政拨款支出决算明细表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23</w:t>
      </w:r>
    </w:p>
    <w:p>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23</w:t>
      </w:r>
    </w:p>
    <w:p>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九、一般公共预算财政拨款项目支出决算表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23</w:t>
      </w:r>
    </w:p>
    <w:p>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十、一般公共预算财政拨款“三公”经费支出决算表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23</w:t>
      </w:r>
    </w:p>
    <w:p>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十一、政府性基金预算财政拨款收入支出决算表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23</w:t>
      </w:r>
    </w:p>
    <w:p>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十二、政府性基金预算财政拨款“三公”经费支出决算表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23</w:t>
      </w:r>
    </w:p>
    <w:p>
      <w:pPr>
        <w:pStyle w:val="11"/>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十三、国有资本经营预算支出决算表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23</w:t>
      </w:r>
    </w:p>
    <w:p>
      <w:pPr>
        <w:pStyle w:val="2"/>
        <w:pageBreakBefore w:val="0"/>
        <w:kinsoku/>
        <w:wordWrap/>
        <w:overflowPunct/>
        <w:topLinePunct w:val="0"/>
        <w:bidi w:val="0"/>
        <w:spacing w:line="560" w:lineRule="exact"/>
        <w:jc w:val="both"/>
        <w:rPr>
          <w:rFonts w:hint="default" w:ascii="宋体" w:hAnsi="宋体" w:eastAsia="宋体" w:cs="宋体"/>
          <w:b/>
          <w:bCs w:val="0"/>
          <w:sz w:val="44"/>
          <w:szCs w:val="44"/>
          <w:lang w:val="en-US" w:eastAsia="zh-CN"/>
        </w:rPr>
        <w:sectPr>
          <w:footerReference r:id="rId5" w:type="default"/>
          <w:pgSz w:w="11906" w:h="16838"/>
          <w:pgMar w:top="1440" w:right="1800" w:bottom="1440" w:left="1800" w:header="851" w:footer="992" w:gutter="0"/>
          <w:pgNumType w:start="1"/>
          <w:cols w:space="425" w:num="1"/>
          <w:docGrid w:type="lines" w:linePitch="312" w:charSpace="0"/>
        </w:sectPr>
      </w:pPr>
      <w:bookmarkStart w:id="12" w:name="_Toc15396599"/>
      <w:bookmarkStart w:id="13" w:name="_Toc15377196"/>
    </w:p>
    <w:p>
      <w:pPr>
        <w:pStyle w:val="2"/>
        <w:pageBreakBefore w:val="0"/>
        <w:kinsoku/>
        <w:wordWrap/>
        <w:overflowPunct/>
        <w:topLinePunct w:val="0"/>
        <w:bidi w:val="0"/>
        <w:spacing w:line="560" w:lineRule="exact"/>
        <w:jc w:val="center"/>
        <w:rPr>
          <w:rFonts w:hint="eastAsia" w:ascii="黑体" w:hAnsi="黑体" w:eastAsia="黑体" w:cs="黑体"/>
          <w:b w:val="0"/>
          <w:bCs/>
          <w:color w:val="000000"/>
          <w:sz w:val="44"/>
          <w:szCs w:val="44"/>
        </w:rPr>
      </w:pPr>
      <w:r>
        <w:rPr>
          <w:rFonts w:hint="eastAsia" w:ascii="黑体" w:hAnsi="黑体" w:eastAsia="黑体" w:cs="黑体"/>
          <w:b w:val="0"/>
          <w:bCs/>
          <w:sz w:val="44"/>
          <w:szCs w:val="44"/>
        </w:rPr>
        <w:t xml:space="preserve">第一部分 </w:t>
      </w:r>
      <w:r>
        <w:rPr>
          <w:rStyle w:val="25"/>
          <w:rFonts w:hint="eastAsia" w:ascii="黑体" w:hAnsi="黑体" w:eastAsia="黑体" w:cs="黑体"/>
          <w:b w:val="0"/>
          <w:bCs/>
          <w:sz w:val="44"/>
          <w:szCs w:val="44"/>
        </w:rPr>
        <w:t>部门概况</w:t>
      </w:r>
      <w:bookmarkEnd w:id="12"/>
      <w:bookmarkEnd w:id="13"/>
    </w:p>
    <w:p>
      <w:pPr>
        <w:pStyle w:val="3"/>
        <w:pageBreakBefore w:val="0"/>
        <w:kinsoku/>
        <w:wordWrap/>
        <w:overflowPunct/>
        <w:topLinePunct w:val="0"/>
        <w:bidi w:val="0"/>
        <w:spacing w:line="560" w:lineRule="exact"/>
        <w:ind w:firstLine="640" w:firstLineChars="200"/>
        <w:rPr>
          <w:rStyle w:val="26"/>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pStyle w:val="5"/>
        <w:keepNext w:val="0"/>
        <w:keepLines w:val="0"/>
        <w:pageBreakBefore w:val="0"/>
        <w:widowControl w:val="0"/>
        <w:kinsoku/>
        <w:wordWrap/>
        <w:overflowPunct/>
        <w:topLinePunct w:val="0"/>
        <w:autoSpaceDE/>
        <w:autoSpaceDN/>
        <w:bidi w:val="0"/>
        <w:adjustRightInd w:val="0"/>
        <w:snapToGrid w:val="0"/>
        <w:spacing w:before="93" w:line="560" w:lineRule="exact"/>
        <w:ind w:firstLine="675" w:firstLineChars="210"/>
        <w:textAlignment w:val="auto"/>
        <w:outlineLvl w:val="2"/>
        <w:rPr>
          <w:rFonts w:hint="eastAsia" w:ascii="楷体" w:hAnsi="楷体" w:eastAsia="楷体" w:cs="楷体"/>
          <w:b/>
          <w:bCs w:val="0"/>
          <w:color w:val="000000"/>
          <w:sz w:val="32"/>
          <w:szCs w:val="32"/>
        </w:rPr>
      </w:pPr>
      <w:bookmarkStart w:id="16" w:name="_Toc15377198"/>
      <w:bookmarkStart w:id="17" w:name="_Toc15378445"/>
      <w:r>
        <w:rPr>
          <w:rFonts w:hint="eastAsia" w:ascii="楷体" w:hAnsi="楷体" w:eastAsia="楷体" w:cs="楷体"/>
          <w:b/>
          <w:bCs w:val="0"/>
          <w:color w:val="000000"/>
          <w:sz w:val="32"/>
          <w:szCs w:val="32"/>
        </w:rPr>
        <w:t>（一）主要职能</w:t>
      </w:r>
      <w:bookmarkEnd w:id="16"/>
      <w:bookmarkEnd w:id="17"/>
    </w:p>
    <w:p>
      <w:pPr>
        <w:pStyle w:val="5"/>
        <w:keepNext w:val="0"/>
        <w:keepLines w:val="0"/>
        <w:pageBreakBefore w:val="0"/>
        <w:widowControl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hAnsi="仿宋_GB2312" w:cs="仿宋_GB2312"/>
          <w:sz w:val="32"/>
          <w:szCs w:val="32"/>
          <w:lang w:eastAsia="zh-CN"/>
        </w:rPr>
      </w:pPr>
      <w:r>
        <w:rPr>
          <w:rFonts w:hint="eastAsia" w:ascii="仿宋_GB2312" w:hAnsi="仿宋_GB2312" w:eastAsia="仿宋_GB2312" w:cs="仿宋_GB2312"/>
          <w:sz w:val="32"/>
          <w:szCs w:val="32"/>
        </w:rPr>
        <w:t>深入贯彻《母婴保健法》、《中国妇女发展纲要》、《中国儿童发展纲要》，围绕实现“新两纲”目标和初级卫生保健指标</w:t>
      </w:r>
      <w:r>
        <w:rPr>
          <w:rFonts w:hint="eastAsia" w:hAnsi="仿宋_GB2312" w:cs="仿宋_GB2312"/>
          <w:sz w:val="32"/>
          <w:szCs w:val="32"/>
          <w:lang w:eastAsia="zh-CN"/>
        </w:rPr>
        <w:t>。</w:t>
      </w:r>
      <w:r>
        <w:rPr>
          <w:rFonts w:hint="eastAsia" w:ascii="仿宋_GB2312" w:hAnsi="仿宋_GB2312" w:eastAsia="仿宋_GB2312" w:cs="仿宋_GB2312"/>
          <w:sz w:val="32"/>
          <w:szCs w:val="32"/>
        </w:rPr>
        <w:t>了解、掌握妇女、儿童健康状况及影响因素，负责本辖区儿童入托前健康体检及开展各类妇幼保健人员的业务培训</w:t>
      </w:r>
      <w:r>
        <w:rPr>
          <w:rFonts w:hint="eastAsia" w:hAnsi="仿宋_GB2312" w:cs="仿宋_GB2312"/>
          <w:sz w:val="32"/>
          <w:szCs w:val="32"/>
          <w:lang w:eastAsia="zh-CN"/>
        </w:rPr>
        <w:t>，</w:t>
      </w:r>
      <w:r>
        <w:rPr>
          <w:rFonts w:hint="eastAsia" w:ascii="仿宋_GB2312" w:hAnsi="仿宋_GB2312" w:eastAsia="仿宋_GB2312" w:cs="仿宋_GB2312"/>
          <w:sz w:val="32"/>
          <w:szCs w:val="32"/>
        </w:rPr>
        <w:t>负责指导和开展本辖区妇幼保健健康教育与健康工作。组织实施重大公共卫生服务项目，</w:t>
      </w:r>
      <w:r>
        <w:rPr>
          <w:rFonts w:hint="eastAsia" w:hAnsi="仿宋_GB2312" w:cs="仿宋_GB2312"/>
          <w:sz w:val="32"/>
          <w:szCs w:val="32"/>
          <w:lang w:eastAsia="zh-CN"/>
        </w:rPr>
        <w:t>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新生儿疾病筛查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“免费婚检”“计划生育手术”“</w:t>
      </w:r>
      <w:r>
        <w:rPr>
          <w:rFonts w:hint="eastAsia" w:ascii="仿宋_GB2312" w:hAnsi="仿宋_GB2312" w:eastAsia="仿宋_GB2312" w:cs="仿宋_GB2312"/>
          <w:sz w:val="32"/>
          <w:szCs w:val="32"/>
          <w:lang w:eastAsia="zh-CN"/>
        </w:rPr>
        <w:t>孕前优生健康检查</w:t>
      </w:r>
      <w:r>
        <w:rPr>
          <w:rFonts w:hint="eastAsia" w:ascii="仿宋_GB2312" w:hAnsi="仿宋_GB2312" w:eastAsia="仿宋_GB2312" w:cs="仿宋_GB2312"/>
          <w:sz w:val="32"/>
          <w:szCs w:val="32"/>
        </w:rPr>
        <w:t>”“ 预防艾滋病、梅毒及乙肝母婴传播”等</w:t>
      </w:r>
      <w:r>
        <w:rPr>
          <w:rFonts w:hint="eastAsia" w:hAnsi="仿宋_GB2312" w:cs="仿宋_GB2312"/>
          <w:sz w:val="32"/>
          <w:szCs w:val="32"/>
          <w:lang w:eastAsia="zh-CN"/>
        </w:rPr>
        <w:t>。</w:t>
      </w:r>
      <w:bookmarkStart w:id="18" w:name="_Toc15377199"/>
      <w:bookmarkStart w:id="19" w:name="_Toc15378446"/>
    </w:p>
    <w:p>
      <w:pPr>
        <w:pStyle w:val="5"/>
        <w:keepNext w:val="0"/>
        <w:keepLines w:val="0"/>
        <w:pageBreakBefore w:val="0"/>
        <w:widowControl w:val="0"/>
        <w:kinsoku/>
        <w:wordWrap/>
        <w:overflowPunct/>
        <w:topLinePunct w:val="0"/>
        <w:autoSpaceDE/>
        <w:autoSpaceDN/>
        <w:bidi w:val="0"/>
        <w:adjustRightInd w:val="0"/>
        <w:snapToGrid w:val="0"/>
        <w:spacing w:before="93" w:line="560" w:lineRule="exact"/>
        <w:ind w:firstLine="675" w:firstLineChars="210"/>
        <w:textAlignment w:val="auto"/>
        <w:outlineLvl w:val="2"/>
        <w:rPr>
          <w:rFonts w:hint="eastAsia" w:ascii="楷体" w:hAnsi="楷体" w:eastAsia="楷体" w:cs="楷体"/>
          <w:b/>
          <w:bCs w:val="0"/>
          <w:color w:val="000000"/>
          <w:sz w:val="32"/>
          <w:szCs w:val="32"/>
        </w:rPr>
      </w:pPr>
      <w:r>
        <w:rPr>
          <w:rFonts w:hint="eastAsia" w:ascii="楷体" w:hAnsi="楷体" w:eastAsia="楷体" w:cs="楷体"/>
          <w:b/>
          <w:bCs w:val="0"/>
          <w:color w:val="000000"/>
          <w:sz w:val="32"/>
          <w:szCs w:val="32"/>
        </w:rPr>
        <w:t>（二）2019年重点工作完成情况</w:t>
      </w:r>
      <w:bookmarkEnd w:id="18"/>
      <w:bookmarkEnd w:id="19"/>
    </w:p>
    <w:p>
      <w:pPr>
        <w:pStyle w:val="5"/>
        <w:keepNext w:val="0"/>
        <w:keepLines w:val="0"/>
        <w:pageBreakBefore w:val="0"/>
        <w:widowControl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我中心以妇女儿童健康为服务宗旨，优化服务模式，提高出生人口素质，</w:t>
      </w:r>
      <w:r>
        <w:rPr>
          <w:rFonts w:hint="eastAsia" w:hAnsi="仿宋_GB2312" w:cs="仿宋_GB2312"/>
          <w:sz w:val="32"/>
          <w:szCs w:val="32"/>
          <w:lang w:val="en-US" w:eastAsia="zh-CN"/>
        </w:rPr>
        <w:t>2019年重点</w:t>
      </w:r>
      <w:r>
        <w:rPr>
          <w:rFonts w:hint="eastAsia" w:ascii="仿宋_GB2312" w:hAnsi="仿宋_GB2312" w:eastAsia="仿宋_GB2312" w:cs="仿宋_GB2312"/>
          <w:sz w:val="32"/>
          <w:szCs w:val="32"/>
        </w:rPr>
        <w:t>工作情况</w:t>
      </w:r>
      <w:r>
        <w:rPr>
          <w:rFonts w:hint="eastAsia" w:hAnsi="仿宋_GB2312" w:cs="仿宋_GB2312"/>
          <w:sz w:val="32"/>
          <w:szCs w:val="32"/>
          <w:lang w:eastAsia="zh-CN"/>
        </w:rPr>
        <w:t>报告如下</w:t>
      </w:r>
      <w:r>
        <w:rPr>
          <w:rFonts w:hint="eastAsia" w:ascii="仿宋_GB2312" w:hAnsi="仿宋_GB2312" w:eastAsia="仿宋_GB2312" w:cs="仿宋_GB2312"/>
          <w:sz w:val="32"/>
          <w:szCs w:val="32"/>
        </w:rPr>
        <w:t>:</w:t>
      </w:r>
    </w:p>
    <w:p>
      <w:pPr>
        <w:pStyle w:val="5"/>
        <w:keepNext w:val="0"/>
        <w:keepLines w:val="0"/>
        <w:pageBreakBefore w:val="0"/>
        <w:widowControl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hAnsi="仿宋_GB2312" w:cs="仿宋_GB2312"/>
          <w:sz w:val="32"/>
          <w:szCs w:val="32"/>
          <w:lang w:val="en-US" w:eastAsia="zh-CN"/>
        </w:rPr>
        <w:t>.</w:t>
      </w:r>
      <w:r>
        <w:rPr>
          <w:rFonts w:hint="eastAsia" w:ascii="仿宋_GB2312" w:hAnsi="仿宋_GB2312" w:eastAsia="仿宋_GB2312" w:cs="仿宋_GB2312"/>
          <w:sz w:val="32"/>
          <w:szCs w:val="32"/>
        </w:rPr>
        <w:t>孕产妇系统管理:全县有产妇958人，活产972人，建卡人数为934人，建卡率为97.49%，孕产妇系统管理800人，系统管理率83. 51%，住院分娩956人，住院分娩率99. 79%。高危妊娠管理:高危妊娠204人，高危住院分娩204人，高危产妇住院分娩率为100%。</w:t>
      </w:r>
    </w:p>
    <w:p>
      <w:pPr>
        <w:pStyle w:val="5"/>
        <w:keepNext w:val="0"/>
        <w:keepLines w:val="0"/>
        <w:pageBreakBefore w:val="0"/>
        <w:widowControl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hAnsi="仿宋_GB2312" w:cs="仿宋_GB2312"/>
          <w:sz w:val="32"/>
          <w:szCs w:val="32"/>
          <w:lang w:eastAsia="zh-CN"/>
        </w:rPr>
      </w:pPr>
      <w:r>
        <w:rPr>
          <w:rFonts w:hint="eastAsia" w:ascii="仿宋_GB2312" w:hAnsi="仿宋_GB2312" w:eastAsia="仿宋_GB2312" w:cs="仿宋_GB2312"/>
          <w:sz w:val="32"/>
          <w:szCs w:val="32"/>
        </w:rPr>
        <w:t>2</w:t>
      </w:r>
      <w:r>
        <w:rPr>
          <w:rFonts w:hint="eastAsia" w:hAnsi="仿宋_GB2312" w:cs="仿宋_GB2312"/>
          <w:sz w:val="32"/>
          <w:szCs w:val="32"/>
          <w:lang w:val="en-US" w:eastAsia="zh-CN"/>
        </w:rPr>
        <w:t>.</w:t>
      </w:r>
      <w:r>
        <w:rPr>
          <w:rFonts w:hint="eastAsia" w:ascii="仿宋_GB2312" w:hAnsi="仿宋_GB2312" w:eastAsia="仿宋_GB2312" w:cs="仿宋_GB2312"/>
          <w:sz w:val="32"/>
          <w:szCs w:val="32"/>
        </w:rPr>
        <w:t>儿童系统管理:全县7岁以下儿童数为8516人，保健覆盖7705人,7岁以下儿童保健管理率90.48%; 5岁以下儿童数为6115人,5岁以下儿童保健管理率80. 47%; 3岁以下儿童数为3232人，系统管理2821人，儿童系统管理率为87. 28%;2、儿童系统管理:全县7岁以下儿童数为8516人，保健覆盖7705人,7岁以下儿童保健管理率90.48%; 5岁以下儿童数为6115人,5岁以下儿童保健管理率80. 47%; 3岁以下儿童数为3232人，系统管理2821人，儿童系统管理率为87. 28%</w:t>
      </w:r>
      <w:r>
        <w:rPr>
          <w:rFonts w:hint="eastAsia" w:hAnsi="仿宋_GB2312" w:cs="仿宋_GB2312"/>
          <w:sz w:val="32"/>
          <w:szCs w:val="32"/>
          <w:lang w:eastAsia="zh-CN"/>
        </w:rPr>
        <w:t>。</w:t>
      </w:r>
    </w:p>
    <w:p>
      <w:pPr>
        <w:pStyle w:val="5"/>
        <w:keepNext w:val="0"/>
        <w:keepLines w:val="0"/>
        <w:pageBreakBefore w:val="0"/>
        <w:widowControl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default" w:ascii="仿宋" w:hAnsi="仿宋" w:eastAsia="仿宋"/>
          <w:bCs/>
          <w:color w:val="000000"/>
          <w:sz w:val="32"/>
          <w:szCs w:val="32"/>
          <w:lang w:val="en-US"/>
        </w:rPr>
      </w:pPr>
      <w:r>
        <w:rPr>
          <w:rFonts w:hint="eastAsia" w:hAnsi="仿宋_GB2312" w:cs="仿宋_GB2312"/>
          <w:sz w:val="32"/>
          <w:szCs w:val="32"/>
          <w:lang w:val="en-US" w:eastAsia="zh-CN"/>
        </w:rPr>
        <w:t>3.公卫项目管理：</w:t>
      </w:r>
      <w:r>
        <w:rPr>
          <w:rFonts w:hint="eastAsia" w:hAnsi="仿宋_GB2312" w:cs="仿宋_GB2312"/>
          <w:sz w:val="32"/>
          <w:szCs w:val="32"/>
          <w:lang w:eastAsia="zh-CN"/>
        </w:rPr>
        <w:t>计划生育手术项目，人流195人，安环77人、取环108人；药具管理项目，避孕套发放8.24万只，三相片7200板；农村已婚育龄妇女查孕、查环、查病，共检查21083人次；老年人免费体检1709人次；2019 年叶酸发放2797瓶，822人;开展婚前医学检查457对(目标任务200对) ;孕前优生检查309对(目标任务300对)。组织实施好预防艾滋病、梅毒及乙肝母婴传播项目，将预防艾滋病、梅毒及乙肝母婴传播纳入妇幼保健常规工作，主动为所有孕产妇提供艾滋病、梅毒、和乙肝母婴传播检测和咨询，1-12孕产妇艾滋病、梅毒和乙肝咨询检测1194人。</w:t>
      </w:r>
    </w:p>
    <w:p>
      <w:pPr>
        <w:pStyle w:val="3"/>
        <w:pageBreakBefore w:val="0"/>
        <w:kinsoku/>
        <w:wordWrap/>
        <w:overflowPunct/>
        <w:topLinePunct w:val="0"/>
        <w:bidi w:val="0"/>
        <w:spacing w:line="560" w:lineRule="exact"/>
        <w:ind w:firstLine="640" w:firstLineChars="200"/>
        <w:rPr>
          <w:rStyle w:val="26"/>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_GB2312" w:hAnsi="仿宋_GB2312" w:eastAsia="仿宋_GB2312" w:cs="仿宋_GB2312"/>
          <w:sz w:val="32"/>
          <w:szCs w:val="32"/>
          <w:lang w:eastAsia="zh-CN"/>
        </w:rPr>
        <w:t>茂县妇幼保健计划生育服务中心属财政补助事业单位，为一级预算单位，下属二级预算单位0个，其中：参照公务员法管理的事业单位0个，其他事业单位0个。</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 w:hAnsi="仿宋" w:eastAsia="仿宋"/>
          <w:color w:val="000000"/>
          <w:kern w:val="0"/>
          <w:sz w:val="32"/>
          <w:szCs w:val="32"/>
        </w:rPr>
      </w:pPr>
      <w:r>
        <w:rPr>
          <w:rFonts w:ascii="仿宋" w:hAnsi="仿宋" w:eastAsia="仿宋"/>
          <w:color w:val="000000"/>
          <w:sz w:val="32"/>
          <w:szCs w:val="32"/>
        </w:rPr>
        <w:br w:type="page"/>
      </w:r>
    </w:p>
    <w:p>
      <w:pPr>
        <w:pStyle w:val="2"/>
        <w:pageBreakBefore w:val="0"/>
        <w:kinsoku/>
        <w:wordWrap/>
        <w:overflowPunct/>
        <w:topLinePunct w:val="0"/>
        <w:bidi w:val="0"/>
        <w:spacing w:line="560" w:lineRule="exact"/>
        <w:ind w:right="440"/>
        <w:jc w:val="right"/>
        <w:rPr>
          <w:rStyle w:val="25"/>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2019年度部门决算情况说明</w:t>
      </w:r>
      <w:bookmarkEnd w:id="22"/>
      <w:bookmarkEnd w:id="23"/>
    </w:p>
    <w:p>
      <w:pPr>
        <w:pageBreakBefore w:val="0"/>
        <w:kinsoku/>
        <w:wordWrap/>
        <w:overflowPunct/>
        <w:topLinePunct w:val="0"/>
        <w:bidi w:val="0"/>
        <w:spacing w:line="560" w:lineRule="exact"/>
      </w:pPr>
    </w:p>
    <w:p>
      <w:pPr>
        <w:pStyle w:val="24"/>
        <w:pageBreakBefore w:val="0"/>
        <w:numPr>
          <w:ilvl w:val="0"/>
          <w:numId w:val="1"/>
        </w:numPr>
        <w:kinsoku/>
        <w:wordWrap/>
        <w:overflowPunct/>
        <w:topLinePunct w:val="0"/>
        <w:bidi w:val="0"/>
        <w:spacing w:line="560" w:lineRule="exact"/>
        <w:ind w:firstLineChars="0"/>
        <w:outlineLvl w:val="1"/>
        <w:rPr>
          <w:rStyle w:val="26"/>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2019年度收、支总计</w:t>
      </w:r>
      <w:r>
        <w:rPr>
          <w:rFonts w:hint="eastAsia" w:ascii="仿宋_GB2312" w:hAnsi="仿宋_GB2312" w:eastAsia="仿宋_GB2312" w:cs="仿宋_GB2312"/>
          <w:color w:val="000000"/>
          <w:sz w:val="32"/>
          <w:szCs w:val="32"/>
          <w:lang w:val="en-US" w:eastAsia="zh-CN"/>
        </w:rPr>
        <w:t>1646.99</w:t>
      </w:r>
      <w:r>
        <w:rPr>
          <w:rFonts w:hint="eastAsia" w:ascii="仿宋_GB2312" w:hAnsi="仿宋_GB2312" w:eastAsia="仿宋_GB2312" w:cs="仿宋_GB2312"/>
          <w:color w:val="000000"/>
          <w:sz w:val="32"/>
          <w:szCs w:val="32"/>
        </w:rPr>
        <w:t>万元。与2018年相比，收、支总计各增加</w:t>
      </w:r>
      <w:r>
        <w:rPr>
          <w:rFonts w:hint="eastAsia" w:ascii="仿宋_GB2312" w:hAnsi="仿宋_GB2312" w:eastAsia="仿宋_GB2312" w:cs="仿宋_GB2312"/>
          <w:color w:val="000000"/>
          <w:sz w:val="32"/>
          <w:szCs w:val="32"/>
          <w:lang w:val="en-US" w:eastAsia="zh-CN"/>
        </w:rPr>
        <w:t>261.3</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18.86</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项目支出增加。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仿宋_GB2312" w:eastAsia="仿宋_GB2312"/>
          <w:color w:val="000000"/>
          <w:sz w:val="32"/>
          <w:szCs w:val="32"/>
        </w:rPr>
      </w:pPr>
      <w:r>
        <w:drawing>
          <wp:inline distT="0" distB="0" distL="114300" distR="114300">
            <wp:extent cx="4572000" cy="3629025"/>
            <wp:effectExtent l="4445" t="4445" r="14605" b="508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4"/>
        <w:pageBreakBefore w:val="0"/>
        <w:numPr>
          <w:ilvl w:val="0"/>
          <w:numId w:val="1"/>
        </w:numPr>
        <w:kinsoku/>
        <w:wordWrap/>
        <w:overflowPunct/>
        <w:topLinePunct w:val="0"/>
        <w:bidi w:val="0"/>
        <w:spacing w:line="560" w:lineRule="exact"/>
        <w:ind w:firstLineChars="0"/>
        <w:outlineLvl w:val="1"/>
        <w:rPr>
          <w:rStyle w:val="26"/>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2019年本年收入合计</w:t>
      </w:r>
      <w:r>
        <w:rPr>
          <w:rFonts w:hint="eastAsia" w:ascii="仿宋_GB2312" w:hAnsi="仿宋_GB2312" w:eastAsia="仿宋_GB2312" w:cs="仿宋_GB2312"/>
          <w:color w:val="000000"/>
          <w:sz w:val="32"/>
          <w:szCs w:val="32"/>
          <w:lang w:val="en-US" w:eastAsia="zh-CN"/>
        </w:rPr>
        <w:t>1611.49</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943.89</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58.57</w:t>
      </w:r>
      <w:r>
        <w:rPr>
          <w:rFonts w:hint="eastAsia" w:ascii="仿宋_GB2312" w:hAnsi="仿宋_GB2312" w:eastAsia="仿宋_GB2312" w:cs="仿宋_GB2312"/>
          <w:color w:val="000000"/>
          <w:sz w:val="32"/>
          <w:szCs w:val="32"/>
        </w:rPr>
        <w:t>%；政府性基金预算财政拨款收入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themeColor="text1"/>
          <w:sz w:val="32"/>
          <w:szCs w:val="32"/>
        </w:rPr>
        <w:t>上级补助收入</w:t>
      </w:r>
      <w:r>
        <w:rPr>
          <w:rFonts w:hint="eastAsia" w:ascii="仿宋_GB2312" w:hAnsi="仿宋_GB2312" w:eastAsia="仿宋_GB2312" w:cs="仿宋_GB2312"/>
          <w:color w:val="000000" w:themeColor="text1"/>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%；事业收入</w:t>
      </w:r>
      <w:r>
        <w:rPr>
          <w:rFonts w:hint="eastAsia" w:ascii="仿宋_GB2312" w:hAnsi="仿宋_GB2312" w:eastAsia="仿宋_GB2312" w:cs="仿宋_GB2312"/>
          <w:color w:val="000000"/>
          <w:sz w:val="32"/>
          <w:szCs w:val="32"/>
          <w:lang w:val="en-US" w:eastAsia="zh-CN"/>
        </w:rPr>
        <w:t>667.59</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41.43</w:t>
      </w:r>
      <w:r>
        <w:rPr>
          <w:rFonts w:hint="eastAsia" w:ascii="仿宋_GB2312" w:hAnsi="仿宋_GB2312" w:eastAsia="仿宋_GB2312" w:cs="仿宋_GB2312"/>
          <w:color w:val="000000"/>
          <w:sz w:val="32"/>
          <w:szCs w:val="32"/>
        </w:rPr>
        <w:t>%；经营收入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%；附属单位上缴收入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%；其他收入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仿宋_GB2312" w:eastAsia="仿宋_GB2312"/>
          <w:color w:val="FF0000"/>
          <w:sz w:val="32"/>
          <w:szCs w:val="32"/>
        </w:rPr>
      </w:pPr>
      <w:r>
        <w:drawing>
          <wp:inline distT="0" distB="0" distL="114300" distR="114300">
            <wp:extent cx="4055110" cy="3197225"/>
            <wp:effectExtent l="4445" t="4445" r="17145" b="1778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4"/>
        <w:pageBreakBefore w:val="0"/>
        <w:numPr>
          <w:ilvl w:val="0"/>
          <w:numId w:val="1"/>
        </w:numPr>
        <w:kinsoku/>
        <w:wordWrap/>
        <w:overflowPunct/>
        <w:topLinePunct w:val="0"/>
        <w:bidi w:val="0"/>
        <w:spacing w:line="560" w:lineRule="exact"/>
        <w:ind w:firstLineChars="0"/>
        <w:outlineLvl w:val="1"/>
        <w:rPr>
          <w:rStyle w:val="26"/>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2019年本年支出合计</w:t>
      </w:r>
      <w:r>
        <w:rPr>
          <w:rFonts w:hint="eastAsia" w:ascii="仿宋_GB2312" w:hAnsi="仿宋_GB2312" w:eastAsia="仿宋_GB2312" w:cs="仿宋_GB2312"/>
          <w:color w:val="000000"/>
          <w:sz w:val="32"/>
          <w:szCs w:val="32"/>
          <w:lang w:val="en-US" w:eastAsia="zh-CN"/>
        </w:rPr>
        <w:t>1566.42</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，其中一般公共预算财政拨款支出</w:t>
      </w:r>
      <w:r>
        <w:rPr>
          <w:rFonts w:hint="eastAsia" w:ascii="仿宋_GB2312" w:hAnsi="仿宋_GB2312" w:eastAsia="仿宋_GB2312" w:cs="仿宋_GB2312"/>
          <w:color w:val="000000"/>
          <w:sz w:val="32"/>
          <w:szCs w:val="32"/>
          <w:lang w:val="en-US" w:eastAsia="zh-CN"/>
        </w:rPr>
        <w:t>898.82</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其中：基本支出</w:t>
      </w:r>
      <w:r>
        <w:rPr>
          <w:rFonts w:hint="eastAsia" w:ascii="仿宋_GB2312" w:hAnsi="仿宋_GB2312" w:eastAsia="仿宋_GB2312" w:cs="仿宋_GB2312"/>
          <w:color w:val="000000"/>
          <w:sz w:val="32"/>
          <w:szCs w:val="32"/>
          <w:lang w:val="en-US" w:eastAsia="zh-CN"/>
        </w:rPr>
        <w:t>1433.02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91.48</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133.4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8.52</w:t>
      </w:r>
      <w:r>
        <w:rPr>
          <w:rFonts w:hint="eastAsia" w:ascii="仿宋_GB2312" w:hAnsi="仿宋_GB2312" w:eastAsia="仿宋_GB2312" w:cs="仿宋_GB2312"/>
          <w:color w:val="000000"/>
          <w:sz w:val="32"/>
          <w:szCs w:val="32"/>
        </w:rPr>
        <w:t>%；上缴上级支出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%；经营支出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%；对附属单位补助支出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r>
        <w:drawing>
          <wp:inline distT="0" distB="0" distL="114300" distR="114300">
            <wp:extent cx="4011295" cy="2522855"/>
            <wp:effectExtent l="4445" t="4445" r="22860" b="6350"/>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ageBreakBefore w:val="0"/>
        <w:kinsoku/>
        <w:wordWrap/>
        <w:overflowPunct/>
        <w:topLinePunct w:val="0"/>
        <w:bidi w:val="0"/>
        <w:spacing w:line="560" w:lineRule="exact"/>
        <w:ind w:firstLine="640" w:firstLineChars="200"/>
        <w:outlineLvl w:val="1"/>
        <w:rPr>
          <w:rStyle w:val="26"/>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0"/>
      <w:bookmarkEnd w:id="31"/>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2019年财政拨款收、支总计</w:t>
      </w:r>
      <w:r>
        <w:rPr>
          <w:rFonts w:hint="eastAsia" w:ascii="仿宋_GB2312" w:hAnsi="仿宋_GB2312" w:eastAsia="仿宋_GB2312" w:cs="仿宋_GB2312"/>
          <w:color w:val="000000"/>
          <w:sz w:val="32"/>
          <w:szCs w:val="32"/>
          <w:lang w:val="en-US" w:eastAsia="zh-CN"/>
        </w:rPr>
        <w:t>979.4</w:t>
      </w:r>
      <w:r>
        <w:rPr>
          <w:rFonts w:hint="eastAsia" w:ascii="仿宋_GB2312" w:hAnsi="仿宋_GB2312" w:eastAsia="仿宋_GB2312" w:cs="仿宋_GB2312"/>
          <w:color w:val="000000"/>
          <w:sz w:val="32"/>
          <w:szCs w:val="32"/>
        </w:rPr>
        <w:t>万元。与2018年相比，财政拨款收、支总计各增加</w:t>
      </w:r>
      <w:r>
        <w:rPr>
          <w:rFonts w:hint="eastAsia" w:ascii="仿宋_GB2312" w:hAnsi="仿宋_GB2312" w:eastAsia="仿宋_GB2312" w:cs="仿宋_GB2312"/>
          <w:color w:val="000000"/>
          <w:sz w:val="32"/>
          <w:szCs w:val="32"/>
          <w:lang w:val="en-US" w:eastAsia="zh-CN"/>
        </w:rPr>
        <w:t>115.65</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11.8</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项目支出增加。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仿宋" w:hAnsi="仿宋" w:eastAsia="仿宋"/>
          <w:b/>
          <w:color w:val="00B050"/>
          <w:sz w:val="32"/>
          <w:szCs w:val="32"/>
        </w:rPr>
      </w:pPr>
      <w:r>
        <w:drawing>
          <wp:inline distT="0" distB="0" distL="114300" distR="114300">
            <wp:extent cx="4042410" cy="2743200"/>
            <wp:effectExtent l="4445" t="4445" r="10795" b="14605"/>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ageBreakBefore w:val="0"/>
        <w:kinsoku/>
        <w:wordWrap/>
        <w:overflowPunct/>
        <w:topLinePunct w:val="0"/>
        <w:bidi w:val="0"/>
        <w:spacing w:line="560" w:lineRule="exact"/>
        <w:ind w:firstLine="640" w:firstLineChars="200"/>
        <w:outlineLvl w:val="1"/>
        <w:rPr>
          <w:rStyle w:val="26"/>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pageBreakBefore w:val="0"/>
        <w:kinsoku/>
        <w:wordWrap/>
        <w:overflowPunct/>
        <w:topLinePunct w:val="0"/>
        <w:bidi w:val="0"/>
        <w:spacing w:line="560" w:lineRule="exact"/>
        <w:ind w:firstLine="643" w:firstLineChars="200"/>
        <w:outlineLvl w:val="2"/>
        <w:rPr>
          <w:rFonts w:hint="eastAsia" w:ascii="楷体" w:hAnsi="楷体" w:eastAsia="楷体" w:cs="楷体"/>
          <w:b/>
          <w:color w:val="000000"/>
          <w:sz w:val="32"/>
          <w:szCs w:val="32"/>
        </w:rPr>
      </w:pPr>
      <w:bookmarkStart w:id="34" w:name="_Toc15377210"/>
      <w:r>
        <w:rPr>
          <w:rFonts w:hint="eastAsia" w:ascii="楷体" w:hAnsi="楷体" w:eastAsia="楷体" w:cs="楷体"/>
          <w:b/>
          <w:color w:val="000000"/>
          <w:sz w:val="32"/>
          <w:szCs w:val="32"/>
        </w:rPr>
        <w:t>（一）一般公共预算财政拨款支出决算总体情况</w:t>
      </w:r>
      <w:bookmarkEnd w:id="3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000000"/>
          <w:sz w:val="32"/>
          <w:szCs w:val="32"/>
        </w:rPr>
      </w:pPr>
      <w:r>
        <w:rPr>
          <w:rFonts w:hint="eastAsia" w:ascii="仿宋_GB2312" w:hAnsi="仿宋_GB2312" w:eastAsia="仿宋_GB2312" w:cs="仿宋_GB2312"/>
          <w:color w:val="000000"/>
          <w:sz w:val="32"/>
          <w:szCs w:val="32"/>
        </w:rPr>
        <w:t>2019年一般公共预算财政拨款支出</w:t>
      </w:r>
      <w:r>
        <w:rPr>
          <w:rFonts w:hint="eastAsia" w:ascii="仿宋_GB2312" w:hAnsi="仿宋_GB2312" w:eastAsia="仿宋_GB2312" w:cs="仿宋_GB2312"/>
          <w:color w:val="000000"/>
          <w:sz w:val="32"/>
          <w:szCs w:val="32"/>
          <w:lang w:val="en-US" w:eastAsia="zh-CN"/>
        </w:rPr>
        <w:t>898.82</w:t>
      </w:r>
      <w:r>
        <w:rPr>
          <w:rFonts w:hint="eastAsia" w:ascii="仿宋_GB2312" w:hAnsi="仿宋_GB2312" w:eastAsia="仿宋_GB2312" w:cs="仿宋_GB2312"/>
          <w:color w:val="000000"/>
          <w:sz w:val="32"/>
          <w:szCs w:val="32"/>
        </w:rPr>
        <w:t>万元，占本年支出合计的</w:t>
      </w:r>
      <w:r>
        <w:rPr>
          <w:rFonts w:hint="eastAsia" w:ascii="仿宋_GB2312" w:hAnsi="仿宋_GB2312" w:eastAsia="仿宋_GB2312" w:cs="仿宋_GB2312"/>
          <w:color w:val="000000"/>
          <w:sz w:val="32"/>
          <w:szCs w:val="32"/>
          <w:lang w:val="en-US" w:eastAsia="zh-CN"/>
        </w:rPr>
        <w:t>57.38</w:t>
      </w:r>
      <w:r>
        <w:rPr>
          <w:rFonts w:hint="eastAsia" w:ascii="仿宋_GB2312" w:hAnsi="仿宋_GB2312" w:eastAsia="仿宋_GB2312" w:cs="仿宋_GB2312"/>
          <w:color w:val="000000"/>
          <w:sz w:val="32"/>
          <w:szCs w:val="32"/>
        </w:rPr>
        <w:t>%。与2018年相比，一般公共预算财政拨款增加</w:t>
      </w:r>
      <w:r>
        <w:rPr>
          <w:rFonts w:hint="eastAsia" w:ascii="仿宋_GB2312" w:hAnsi="仿宋_GB2312" w:eastAsia="仿宋_GB2312" w:cs="仿宋_GB2312"/>
          <w:color w:val="000000"/>
          <w:sz w:val="32"/>
          <w:szCs w:val="32"/>
          <w:lang w:val="en-US" w:eastAsia="zh-CN"/>
        </w:rPr>
        <w:t>74.22</w:t>
      </w:r>
      <w:r>
        <w:rPr>
          <w:rFonts w:hint="eastAsia" w:ascii="仿宋_GB2312" w:hAnsi="仿宋_GB2312" w:eastAsia="仿宋_GB2312" w:cs="仿宋_GB2312"/>
          <w:color w:val="000000"/>
          <w:sz w:val="32"/>
          <w:szCs w:val="32"/>
        </w:rPr>
        <w:t>万元，增</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项目支出增加。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仿宋" w:hAnsi="仿宋" w:eastAsia="仿宋"/>
          <w:color w:val="000000" w:themeColor="text1"/>
          <w:sz w:val="32"/>
          <w:szCs w:val="32"/>
        </w:rPr>
      </w:pPr>
      <w:r>
        <w:drawing>
          <wp:inline distT="0" distB="0" distL="114300" distR="114300">
            <wp:extent cx="4335780" cy="3111500"/>
            <wp:effectExtent l="4445" t="5080" r="22225" b="7620"/>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ascii="仿宋" w:hAnsi="仿宋" w:eastAsia="仿宋"/>
          <w:color w:val="000000" w:themeColor="text1"/>
          <w:sz w:val="32"/>
          <w:szCs w:val="32"/>
        </w:rPr>
      </w:pPr>
    </w:p>
    <w:p>
      <w:pPr>
        <w:pageBreakBefore w:val="0"/>
        <w:kinsoku/>
        <w:wordWrap/>
        <w:overflowPunct/>
        <w:topLinePunct w:val="0"/>
        <w:bidi w:val="0"/>
        <w:spacing w:line="560" w:lineRule="exact"/>
        <w:ind w:firstLine="643" w:firstLineChars="200"/>
        <w:outlineLvl w:val="2"/>
        <w:rPr>
          <w:rFonts w:hint="eastAsia" w:ascii="楷体" w:hAnsi="楷体" w:eastAsia="楷体" w:cs="楷体"/>
          <w:b/>
          <w:color w:val="000000"/>
          <w:sz w:val="32"/>
          <w:szCs w:val="32"/>
        </w:rPr>
      </w:pPr>
      <w:bookmarkStart w:id="35" w:name="_Toc15377211"/>
      <w:r>
        <w:rPr>
          <w:rFonts w:hint="eastAsia" w:ascii="楷体" w:hAnsi="楷体" w:eastAsia="楷体" w:cs="楷体"/>
          <w:b/>
          <w:color w:val="000000"/>
          <w:sz w:val="32"/>
          <w:szCs w:val="32"/>
        </w:rPr>
        <w:t>（二）一般公共预算财政拨款支出决算结构情况</w:t>
      </w:r>
      <w:bookmarkEnd w:id="35"/>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ascii="仿宋" w:hAnsi="仿宋" w:eastAsia="仿宋"/>
          <w:color w:val="000000" w:themeColor="text1"/>
          <w:sz w:val="32"/>
          <w:szCs w:val="32"/>
        </w:rPr>
      </w:pPr>
      <w:r>
        <w:rPr>
          <w:rFonts w:hint="eastAsia" w:ascii="仿宋_GB2312" w:hAnsi="仿宋_GB2312" w:eastAsia="仿宋_GB2312" w:cs="仿宋_GB2312"/>
          <w:b w:val="0"/>
          <w:bCs w:val="0"/>
          <w:color w:val="000000"/>
          <w:sz w:val="32"/>
          <w:szCs w:val="32"/>
        </w:rPr>
        <w:t>一般公共服务（类）支出</w:t>
      </w:r>
      <w:r>
        <w:rPr>
          <w:rFonts w:hint="eastAsia" w:ascii="仿宋_GB2312" w:hAnsi="仿宋_GB2312" w:eastAsia="仿宋_GB2312" w:cs="仿宋_GB2312"/>
          <w:b w:val="0"/>
          <w:bCs w:val="0"/>
          <w:color w:val="000000"/>
          <w:sz w:val="32"/>
          <w:szCs w:val="32"/>
          <w:lang w:val="en-US" w:eastAsia="zh-CN"/>
        </w:rPr>
        <w:t>0</w:t>
      </w:r>
      <w:r>
        <w:rPr>
          <w:rFonts w:hint="eastAsia" w:ascii="仿宋_GB2312" w:hAnsi="仿宋_GB2312" w:eastAsia="仿宋_GB2312" w:cs="仿宋_GB2312"/>
          <w:b w:val="0"/>
          <w:bCs w:val="0"/>
          <w:color w:val="000000"/>
          <w:sz w:val="32"/>
          <w:szCs w:val="32"/>
        </w:rPr>
        <w:t>万元，占</w:t>
      </w:r>
      <w:r>
        <w:rPr>
          <w:rFonts w:hint="eastAsia" w:ascii="仿宋_GB2312" w:hAnsi="仿宋_GB2312" w:eastAsia="仿宋_GB2312" w:cs="仿宋_GB2312"/>
          <w:b w:val="0"/>
          <w:bCs w:val="0"/>
          <w:color w:val="000000"/>
          <w:sz w:val="32"/>
          <w:szCs w:val="32"/>
          <w:lang w:val="en-US" w:eastAsia="zh-CN"/>
        </w:rPr>
        <w:t>0</w:t>
      </w:r>
      <w:r>
        <w:rPr>
          <w:rFonts w:hint="eastAsia" w:ascii="仿宋_GB2312" w:hAnsi="仿宋_GB2312" w:eastAsia="仿宋_GB2312" w:cs="仿宋_GB2312"/>
          <w:b w:val="0"/>
          <w:bCs w:val="0"/>
          <w:color w:val="000000"/>
          <w:sz w:val="32"/>
          <w:szCs w:val="32"/>
        </w:rPr>
        <w:t>%；教育支出（类）</w:t>
      </w:r>
      <w:r>
        <w:rPr>
          <w:rFonts w:hint="eastAsia" w:ascii="仿宋_GB2312" w:hAnsi="仿宋_GB2312" w:eastAsia="仿宋_GB2312" w:cs="仿宋_GB2312"/>
          <w:b w:val="0"/>
          <w:bCs w:val="0"/>
          <w:color w:val="000000"/>
          <w:sz w:val="32"/>
          <w:szCs w:val="32"/>
          <w:lang w:val="en-US" w:eastAsia="zh-CN"/>
        </w:rPr>
        <w:t>0</w:t>
      </w:r>
      <w:r>
        <w:rPr>
          <w:rFonts w:hint="eastAsia" w:ascii="仿宋_GB2312" w:hAnsi="仿宋_GB2312" w:eastAsia="仿宋_GB2312" w:cs="仿宋_GB2312"/>
          <w:b w:val="0"/>
          <w:bCs w:val="0"/>
          <w:color w:val="000000"/>
          <w:sz w:val="32"/>
          <w:szCs w:val="32"/>
        </w:rPr>
        <w:t>万元，占</w:t>
      </w:r>
      <w:r>
        <w:rPr>
          <w:rFonts w:hint="eastAsia" w:ascii="仿宋_GB2312" w:hAnsi="仿宋_GB2312" w:eastAsia="仿宋_GB2312" w:cs="仿宋_GB2312"/>
          <w:b w:val="0"/>
          <w:bCs w:val="0"/>
          <w:color w:val="000000"/>
          <w:sz w:val="32"/>
          <w:szCs w:val="32"/>
          <w:lang w:val="en-US" w:eastAsia="zh-CN"/>
        </w:rPr>
        <w:t>0</w:t>
      </w:r>
      <w:r>
        <w:rPr>
          <w:rFonts w:hint="eastAsia" w:ascii="仿宋_GB2312" w:hAnsi="仿宋_GB2312" w:eastAsia="仿宋_GB2312" w:cs="仿宋_GB2312"/>
          <w:b w:val="0"/>
          <w:bCs w:val="0"/>
          <w:color w:val="000000"/>
          <w:sz w:val="32"/>
          <w:szCs w:val="32"/>
        </w:rPr>
        <w:t>%；科学技术（类）支出</w:t>
      </w:r>
      <w:r>
        <w:rPr>
          <w:rFonts w:hint="eastAsia" w:ascii="仿宋_GB2312" w:hAnsi="仿宋_GB2312" w:eastAsia="仿宋_GB2312" w:cs="仿宋_GB2312"/>
          <w:b w:val="0"/>
          <w:bCs w:val="0"/>
          <w:color w:val="000000"/>
          <w:sz w:val="32"/>
          <w:szCs w:val="32"/>
          <w:lang w:val="en-US" w:eastAsia="zh-CN"/>
        </w:rPr>
        <w:t>0</w:t>
      </w:r>
      <w:r>
        <w:rPr>
          <w:rFonts w:hint="eastAsia" w:ascii="仿宋_GB2312" w:hAnsi="仿宋_GB2312" w:eastAsia="仿宋_GB2312" w:cs="仿宋_GB2312"/>
          <w:b w:val="0"/>
          <w:bCs w:val="0"/>
          <w:color w:val="000000"/>
          <w:sz w:val="32"/>
          <w:szCs w:val="32"/>
        </w:rPr>
        <w:t>万元，占</w:t>
      </w:r>
      <w:r>
        <w:rPr>
          <w:rFonts w:hint="eastAsia" w:ascii="仿宋_GB2312" w:hAnsi="仿宋_GB2312" w:eastAsia="仿宋_GB2312" w:cs="仿宋_GB2312"/>
          <w:b w:val="0"/>
          <w:bCs w:val="0"/>
          <w:color w:val="000000"/>
          <w:sz w:val="32"/>
          <w:szCs w:val="32"/>
          <w:lang w:val="en-US" w:eastAsia="zh-CN"/>
        </w:rPr>
        <w:t>0</w:t>
      </w:r>
      <w:r>
        <w:rPr>
          <w:rFonts w:hint="eastAsia" w:ascii="仿宋_GB2312" w:hAnsi="仿宋_GB2312" w:eastAsia="仿宋_GB2312" w:cs="仿宋_GB2312"/>
          <w:b w:val="0"/>
          <w:bCs w:val="0"/>
          <w:color w:val="000000"/>
          <w:sz w:val="32"/>
          <w:szCs w:val="32"/>
        </w:rPr>
        <w:t>%；社会保障和就业（类）支出</w:t>
      </w:r>
      <w:r>
        <w:rPr>
          <w:rFonts w:hint="eastAsia" w:ascii="仿宋_GB2312" w:hAnsi="仿宋_GB2312" w:eastAsia="仿宋_GB2312" w:cs="仿宋_GB2312"/>
          <w:b w:val="0"/>
          <w:bCs w:val="0"/>
          <w:color w:val="000000"/>
          <w:sz w:val="32"/>
          <w:szCs w:val="32"/>
          <w:lang w:val="en-US" w:eastAsia="zh-CN"/>
        </w:rPr>
        <w:t>108.73</w:t>
      </w:r>
      <w:r>
        <w:rPr>
          <w:rFonts w:hint="eastAsia" w:ascii="仿宋_GB2312" w:hAnsi="仿宋_GB2312" w:eastAsia="仿宋_GB2312" w:cs="仿宋_GB2312"/>
          <w:b w:val="0"/>
          <w:bCs w:val="0"/>
          <w:color w:val="000000"/>
          <w:sz w:val="32"/>
          <w:szCs w:val="32"/>
        </w:rPr>
        <w:t>万元，占</w:t>
      </w:r>
      <w:r>
        <w:rPr>
          <w:rFonts w:hint="eastAsia" w:ascii="仿宋_GB2312" w:hAnsi="仿宋_GB2312" w:eastAsia="仿宋_GB2312" w:cs="仿宋_GB2312"/>
          <w:b w:val="0"/>
          <w:bCs w:val="0"/>
          <w:color w:val="000000"/>
          <w:sz w:val="32"/>
          <w:szCs w:val="32"/>
          <w:lang w:val="en-US" w:eastAsia="zh-CN"/>
        </w:rPr>
        <w:t>12.1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卫生健康（类）</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721.91</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80.32</w:t>
      </w:r>
      <w:r>
        <w:rPr>
          <w:rFonts w:hint="eastAsia" w:ascii="仿宋_GB2312" w:hAnsi="仿宋_GB2312" w:eastAsia="仿宋_GB2312" w:cs="仿宋_GB2312"/>
          <w:color w:val="000000"/>
          <w:sz w:val="32"/>
          <w:szCs w:val="32"/>
        </w:rPr>
        <w:t>%；住房保障支出</w:t>
      </w:r>
      <w:r>
        <w:rPr>
          <w:rFonts w:hint="eastAsia" w:ascii="仿宋_GB2312" w:hAnsi="仿宋_GB2312" w:eastAsia="仿宋_GB2312" w:cs="仿宋_GB2312"/>
          <w:color w:val="000000"/>
          <w:sz w:val="32"/>
          <w:szCs w:val="32"/>
          <w:lang w:val="en-US" w:eastAsia="zh-CN"/>
        </w:rPr>
        <w:t>68.18</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7.58</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hAnsi="仿宋" w:eastAsia="仿宋"/>
          <w:color w:val="000000"/>
          <w:sz w:val="32"/>
          <w:szCs w:val="32"/>
        </w:rPr>
      </w:pPr>
      <w:r>
        <w:drawing>
          <wp:inline distT="0" distB="0" distL="114300" distR="114300">
            <wp:extent cx="4572000" cy="3066415"/>
            <wp:effectExtent l="4445" t="4445" r="14605" b="15240"/>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ageBreakBefore w:val="0"/>
        <w:kinsoku/>
        <w:wordWrap/>
        <w:overflowPunct/>
        <w:topLinePunct w:val="0"/>
        <w:bidi w:val="0"/>
        <w:spacing w:line="560" w:lineRule="exact"/>
        <w:ind w:firstLine="643" w:firstLineChars="200"/>
        <w:outlineLvl w:val="2"/>
        <w:rPr>
          <w:rFonts w:ascii="仿宋" w:hAnsi="仿宋" w:eastAsia="仿宋"/>
          <w:b/>
          <w:color w:val="000000"/>
          <w:sz w:val="32"/>
          <w:szCs w:val="32"/>
        </w:rPr>
      </w:pPr>
      <w:bookmarkStart w:id="36" w:name="_Toc15377212"/>
      <w:r>
        <w:rPr>
          <w:rFonts w:hint="eastAsia" w:ascii="楷体" w:hAnsi="楷体" w:eastAsia="楷体" w:cs="楷体"/>
          <w:b/>
          <w:color w:val="000000"/>
          <w:sz w:val="32"/>
          <w:szCs w:val="32"/>
        </w:rPr>
        <w:t>（三）一般公共预算财政拨款支出决算具体情况</w:t>
      </w:r>
      <w:bookmarkEnd w:id="3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b w:val="0"/>
          <w:bCs/>
          <w:color w:val="FF0000"/>
          <w:sz w:val="32"/>
          <w:szCs w:val="32"/>
        </w:rPr>
      </w:pPr>
      <w:bookmarkStart w:id="37" w:name="_Toc15377213"/>
      <w:bookmarkStart w:id="38" w:name="_Toc15377444"/>
      <w:bookmarkStart w:id="39" w:name="_Toc15378460"/>
      <w:r>
        <w:rPr>
          <w:rFonts w:hint="eastAsia" w:ascii="仿宋_GB2312" w:hAnsi="仿宋_GB2312" w:eastAsia="仿宋_GB2312" w:cs="仿宋_GB2312"/>
          <w:b w:val="0"/>
          <w:bCs/>
          <w:color w:val="000000" w:themeColor="text1"/>
          <w:sz w:val="32"/>
          <w:szCs w:val="32"/>
        </w:rPr>
        <w:t>2019年般公共预算支出决算数为</w:t>
      </w:r>
      <w:r>
        <w:rPr>
          <w:rFonts w:hint="eastAsia" w:ascii="仿宋_GB2312" w:hAnsi="仿宋_GB2312" w:eastAsia="仿宋_GB2312" w:cs="仿宋_GB2312"/>
          <w:b w:val="0"/>
          <w:bCs/>
          <w:color w:val="000000" w:themeColor="text1"/>
          <w:sz w:val="32"/>
          <w:szCs w:val="32"/>
          <w:lang w:val="en-US" w:eastAsia="zh-CN"/>
        </w:rPr>
        <w:t>898.82万元</w:t>
      </w:r>
      <w:r>
        <w:rPr>
          <w:rFonts w:hint="eastAsia" w:ascii="仿宋_GB2312" w:hAnsi="仿宋_GB2312" w:eastAsia="仿宋_GB2312" w:cs="仿宋_GB2312"/>
          <w:b w:val="0"/>
          <w:bCs/>
          <w:color w:val="000000" w:themeColor="text1"/>
          <w:sz w:val="32"/>
          <w:szCs w:val="32"/>
        </w:rPr>
        <w:t>，</w:t>
      </w:r>
      <w:r>
        <w:rPr>
          <w:rStyle w:val="15"/>
          <w:rFonts w:hint="eastAsia" w:ascii="仿宋_GB2312" w:hAnsi="仿宋_GB2312" w:eastAsia="仿宋_GB2312" w:cs="仿宋_GB2312"/>
          <w:b w:val="0"/>
          <w:bCs/>
          <w:color w:val="000000" w:themeColor="text1"/>
          <w:sz w:val="32"/>
          <w:szCs w:val="32"/>
        </w:rPr>
        <w:t>完成</w:t>
      </w:r>
      <w:r>
        <w:rPr>
          <w:rStyle w:val="15"/>
          <w:rFonts w:hint="eastAsia" w:ascii="仿宋_GB2312" w:hAnsi="仿宋_GB2312" w:eastAsia="仿宋_GB2312" w:cs="仿宋_GB2312"/>
          <w:b w:val="0"/>
          <w:bCs/>
          <w:color w:val="000000"/>
          <w:sz w:val="32"/>
          <w:szCs w:val="32"/>
        </w:rPr>
        <w:t>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%。其中：</w:t>
      </w:r>
      <w:bookmarkEnd w:id="37"/>
      <w:bookmarkEnd w:id="38"/>
      <w:bookmarkEnd w:id="3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rPr>
      </w:pPr>
      <w:r>
        <w:rPr>
          <w:rStyle w:val="15"/>
          <w:rFonts w:hint="eastAsia" w:ascii="仿宋_GB2312" w:hAnsi="仿宋_GB2312" w:eastAsia="仿宋_GB2312" w:cs="仿宋_GB2312"/>
          <w:b w:val="0"/>
          <w:bCs/>
          <w:color w:val="000000"/>
          <w:sz w:val="32"/>
          <w:szCs w:val="32"/>
        </w:rPr>
        <w:t>1.</w:t>
      </w:r>
      <w:r>
        <w:rPr>
          <w:rStyle w:val="15"/>
          <w:rFonts w:hint="eastAsia" w:ascii="仿宋_GB2312" w:hAnsi="仿宋_GB2312" w:eastAsia="仿宋_GB2312" w:cs="仿宋_GB2312"/>
          <w:b w:val="0"/>
          <w:bCs/>
          <w:color w:val="000000"/>
          <w:sz w:val="32"/>
          <w:szCs w:val="32"/>
          <w:lang w:eastAsia="zh-CN"/>
        </w:rPr>
        <w:t>社会保障</w:t>
      </w:r>
      <w:r>
        <w:rPr>
          <w:rStyle w:val="15"/>
          <w:rFonts w:hint="eastAsia" w:ascii="仿宋_GB2312" w:hAnsi="仿宋_GB2312" w:eastAsia="仿宋_GB2312" w:cs="仿宋_GB2312"/>
          <w:b w:val="0"/>
          <w:bCs w:val="0"/>
          <w:color w:val="000000"/>
          <w:sz w:val="32"/>
          <w:szCs w:val="32"/>
          <w:lang w:eastAsia="zh-CN"/>
        </w:rPr>
        <w:t>和就业</w:t>
      </w:r>
      <w:r>
        <w:rPr>
          <w:rStyle w:val="15"/>
          <w:rFonts w:hint="eastAsia" w:ascii="仿宋_GB2312" w:hAnsi="仿宋_GB2312" w:eastAsia="仿宋_GB2312" w:cs="仿宋_GB2312"/>
          <w:b w:val="0"/>
          <w:bCs w:val="0"/>
          <w:color w:val="000000"/>
          <w:sz w:val="32"/>
          <w:szCs w:val="32"/>
        </w:rPr>
        <w:t>（类）</w:t>
      </w:r>
      <w:r>
        <w:rPr>
          <w:rStyle w:val="15"/>
          <w:rFonts w:hint="eastAsia" w:ascii="仿宋_GB2312" w:hAnsi="仿宋_GB2312" w:eastAsia="仿宋_GB2312" w:cs="仿宋_GB2312"/>
          <w:b w:val="0"/>
          <w:bCs w:val="0"/>
          <w:color w:val="000000"/>
          <w:sz w:val="32"/>
          <w:szCs w:val="32"/>
          <w:lang w:eastAsia="zh-CN"/>
        </w:rPr>
        <w:t>行政事业单位离退休</w:t>
      </w:r>
      <w:r>
        <w:rPr>
          <w:rStyle w:val="15"/>
          <w:rFonts w:hint="eastAsia" w:ascii="仿宋_GB2312" w:hAnsi="仿宋_GB2312" w:eastAsia="仿宋_GB2312" w:cs="仿宋_GB2312"/>
          <w:b w:val="0"/>
          <w:bCs w:val="0"/>
          <w:color w:val="000000"/>
          <w:sz w:val="32"/>
          <w:szCs w:val="32"/>
        </w:rPr>
        <w:t>（款）</w:t>
      </w:r>
      <w:r>
        <w:rPr>
          <w:rStyle w:val="15"/>
          <w:rFonts w:hint="eastAsia" w:ascii="仿宋_GB2312" w:hAnsi="仿宋_GB2312" w:eastAsia="仿宋_GB2312" w:cs="仿宋_GB2312"/>
          <w:b w:val="0"/>
          <w:bCs w:val="0"/>
          <w:color w:val="000000"/>
          <w:sz w:val="32"/>
          <w:szCs w:val="32"/>
          <w:lang w:eastAsia="zh-CN"/>
        </w:rPr>
        <w:t>机关事业单位基本养老保险费支出</w:t>
      </w:r>
      <w:r>
        <w:rPr>
          <w:rStyle w:val="15"/>
          <w:rFonts w:hint="eastAsia" w:ascii="仿宋_GB2312" w:hAnsi="仿宋_GB2312" w:eastAsia="仿宋_GB2312" w:cs="仿宋_GB2312"/>
          <w:b w:val="0"/>
          <w:bCs w:val="0"/>
          <w:color w:val="000000"/>
          <w:sz w:val="32"/>
          <w:szCs w:val="32"/>
        </w:rPr>
        <w:t>（项）: 支出决算为</w:t>
      </w:r>
      <w:r>
        <w:rPr>
          <w:rStyle w:val="15"/>
          <w:rFonts w:hint="eastAsia" w:ascii="仿宋_GB2312" w:hAnsi="仿宋_GB2312" w:eastAsia="仿宋_GB2312" w:cs="仿宋_GB2312"/>
          <w:b w:val="0"/>
          <w:bCs w:val="0"/>
          <w:color w:val="000000"/>
          <w:sz w:val="32"/>
          <w:szCs w:val="32"/>
          <w:lang w:val="en-US" w:eastAsia="zh-CN"/>
        </w:rPr>
        <w:t>74.39</w:t>
      </w:r>
      <w:r>
        <w:rPr>
          <w:rStyle w:val="15"/>
          <w:rFonts w:hint="eastAsia" w:ascii="仿宋_GB2312" w:hAnsi="仿宋_GB2312" w:eastAsia="仿宋_GB2312" w:cs="仿宋_GB2312"/>
          <w:b w:val="0"/>
          <w:bCs w:val="0"/>
          <w:color w:val="000000"/>
          <w:sz w:val="32"/>
          <w:szCs w:val="32"/>
        </w:rPr>
        <w:t>万元，完成预算</w:t>
      </w:r>
      <w:r>
        <w:rPr>
          <w:rStyle w:val="15"/>
          <w:rFonts w:hint="eastAsia" w:ascii="仿宋_GB2312" w:hAnsi="仿宋_GB2312" w:eastAsia="仿宋_GB2312" w:cs="仿宋_GB2312"/>
          <w:b w:val="0"/>
          <w:bCs w:val="0"/>
          <w:color w:val="000000"/>
          <w:sz w:val="32"/>
          <w:szCs w:val="32"/>
          <w:lang w:val="en-US" w:eastAsia="zh-CN"/>
        </w:rPr>
        <w:t>100</w:t>
      </w:r>
      <w:r>
        <w:rPr>
          <w:rStyle w:val="15"/>
          <w:rFonts w:hint="eastAsia"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lang w:eastAsia="zh-CN"/>
        </w:rPr>
      </w:pPr>
      <w:r>
        <w:rPr>
          <w:rStyle w:val="15"/>
          <w:rFonts w:hint="eastAsia" w:ascii="仿宋_GB2312" w:hAnsi="仿宋_GB2312" w:eastAsia="仿宋_GB2312" w:cs="仿宋_GB2312"/>
          <w:b w:val="0"/>
          <w:bCs w:val="0"/>
          <w:color w:val="000000"/>
          <w:sz w:val="32"/>
          <w:szCs w:val="32"/>
        </w:rPr>
        <w:t>2.</w:t>
      </w:r>
      <w:r>
        <w:rPr>
          <w:rStyle w:val="15"/>
          <w:rFonts w:hint="eastAsia" w:ascii="仿宋_GB2312" w:hAnsi="仿宋_GB2312" w:eastAsia="仿宋_GB2312" w:cs="仿宋_GB2312"/>
          <w:b w:val="0"/>
          <w:bCs w:val="0"/>
          <w:color w:val="000000"/>
          <w:sz w:val="32"/>
          <w:szCs w:val="32"/>
          <w:lang w:eastAsia="zh-CN"/>
        </w:rPr>
        <w:t>社会保障和就业</w:t>
      </w:r>
      <w:r>
        <w:rPr>
          <w:rStyle w:val="15"/>
          <w:rFonts w:hint="eastAsia" w:ascii="仿宋_GB2312" w:hAnsi="仿宋_GB2312" w:eastAsia="仿宋_GB2312" w:cs="仿宋_GB2312"/>
          <w:b w:val="0"/>
          <w:bCs w:val="0"/>
          <w:color w:val="000000"/>
          <w:sz w:val="32"/>
          <w:szCs w:val="32"/>
        </w:rPr>
        <w:t>（类）</w:t>
      </w:r>
      <w:r>
        <w:rPr>
          <w:rStyle w:val="15"/>
          <w:rFonts w:hint="eastAsia" w:ascii="仿宋_GB2312" w:hAnsi="仿宋_GB2312" w:eastAsia="仿宋_GB2312" w:cs="仿宋_GB2312"/>
          <w:b w:val="0"/>
          <w:bCs w:val="0"/>
          <w:color w:val="000000"/>
          <w:sz w:val="32"/>
          <w:szCs w:val="32"/>
          <w:lang w:eastAsia="zh-CN"/>
        </w:rPr>
        <w:t>行政事业单位离退休</w:t>
      </w:r>
      <w:r>
        <w:rPr>
          <w:rStyle w:val="15"/>
          <w:rFonts w:hint="eastAsia" w:ascii="仿宋_GB2312" w:hAnsi="仿宋_GB2312" w:eastAsia="仿宋_GB2312" w:cs="仿宋_GB2312"/>
          <w:b w:val="0"/>
          <w:bCs w:val="0"/>
          <w:color w:val="000000"/>
          <w:sz w:val="32"/>
          <w:szCs w:val="32"/>
        </w:rPr>
        <w:t>（款）</w:t>
      </w:r>
      <w:r>
        <w:rPr>
          <w:rStyle w:val="15"/>
          <w:rFonts w:hint="eastAsia" w:ascii="仿宋_GB2312" w:hAnsi="仿宋_GB2312" w:eastAsia="仿宋_GB2312" w:cs="仿宋_GB2312"/>
          <w:b w:val="0"/>
          <w:bCs w:val="0"/>
          <w:color w:val="000000"/>
          <w:sz w:val="32"/>
          <w:szCs w:val="32"/>
          <w:lang w:eastAsia="zh-CN"/>
        </w:rPr>
        <w:t>机关事业单位职业年金缴费支出</w:t>
      </w:r>
      <w:r>
        <w:rPr>
          <w:rStyle w:val="15"/>
          <w:rFonts w:hint="eastAsia" w:ascii="仿宋_GB2312" w:hAnsi="仿宋_GB2312" w:eastAsia="仿宋_GB2312" w:cs="仿宋_GB2312"/>
          <w:b w:val="0"/>
          <w:bCs w:val="0"/>
          <w:color w:val="000000"/>
          <w:sz w:val="32"/>
          <w:szCs w:val="32"/>
        </w:rPr>
        <w:t>（项）: 支出决算为</w:t>
      </w:r>
      <w:r>
        <w:rPr>
          <w:rStyle w:val="15"/>
          <w:rFonts w:hint="eastAsia" w:ascii="仿宋_GB2312" w:hAnsi="仿宋_GB2312" w:eastAsia="仿宋_GB2312" w:cs="仿宋_GB2312"/>
          <w:b w:val="0"/>
          <w:bCs w:val="0"/>
          <w:color w:val="000000"/>
          <w:sz w:val="32"/>
          <w:szCs w:val="32"/>
          <w:lang w:val="en-US" w:eastAsia="zh-CN"/>
        </w:rPr>
        <w:t>34.34</w:t>
      </w:r>
      <w:r>
        <w:rPr>
          <w:rStyle w:val="15"/>
          <w:rFonts w:hint="eastAsia" w:ascii="仿宋_GB2312" w:hAnsi="仿宋_GB2312" w:eastAsia="仿宋_GB2312" w:cs="仿宋_GB2312"/>
          <w:b w:val="0"/>
          <w:bCs w:val="0"/>
          <w:color w:val="000000"/>
          <w:sz w:val="32"/>
          <w:szCs w:val="32"/>
        </w:rPr>
        <w:t>万元，完成预算</w:t>
      </w:r>
      <w:r>
        <w:rPr>
          <w:rStyle w:val="15"/>
          <w:rFonts w:hint="eastAsia" w:ascii="仿宋_GB2312" w:hAnsi="仿宋_GB2312" w:eastAsia="仿宋_GB2312" w:cs="仿宋_GB2312"/>
          <w:b w:val="0"/>
          <w:bCs w:val="0"/>
          <w:color w:val="000000"/>
          <w:sz w:val="32"/>
          <w:szCs w:val="32"/>
          <w:lang w:val="en-US" w:eastAsia="zh-CN"/>
        </w:rPr>
        <w:t>100</w:t>
      </w:r>
      <w:r>
        <w:rPr>
          <w:rStyle w:val="15"/>
          <w:rFonts w:hint="eastAsia" w:ascii="仿宋_GB2312" w:hAnsi="仿宋_GB2312" w:eastAsia="仿宋_GB2312" w:cs="仿宋_GB2312"/>
          <w:b w:val="0"/>
          <w:bCs w:val="0"/>
          <w:color w:val="000000"/>
          <w:sz w:val="32"/>
          <w:szCs w:val="32"/>
        </w:rPr>
        <w:t>%</w:t>
      </w:r>
      <w:r>
        <w:rPr>
          <w:rStyle w:val="15"/>
          <w:rFonts w:hint="eastAsia" w:ascii="仿宋_GB2312" w:hAnsi="仿宋_GB2312" w:eastAsia="仿宋_GB2312" w:cs="仿宋_GB2312"/>
          <w:b w:val="0"/>
          <w:bCs w:val="0"/>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rPr>
      </w:pPr>
      <w:r>
        <w:rPr>
          <w:rStyle w:val="15"/>
          <w:rFonts w:hint="eastAsia" w:ascii="仿宋_GB2312" w:hAnsi="仿宋_GB2312" w:eastAsia="仿宋_GB2312" w:cs="仿宋_GB2312"/>
          <w:b w:val="0"/>
          <w:bCs w:val="0"/>
          <w:color w:val="000000"/>
          <w:sz w:val="32"/>
          <w:szCs w:val="32"/>
        </w:rPr>
        <w:t>3.</w:t>
      </w:r>
      <w:r>
        <w:rPr>
          <w:rStyle w:val="15"/>
          <w:rFonts w:hint="eastAsia" w:ascii="仿宋_GB2312" w:hAnsi="仿宋_GB2312" w:eastAsia="仿宋_GB2312" w:cs="仿宋_GB2312"/>
          <w:b w:val="0"/>
          <w:bCs w:val="0"/>
          <w:color w:val="000000"/>
          <w:sz w:val="32"/>
          <w:szCs w:val="32"/>
          <w:lang w:eastAsia="zh-CN"/>
        </w:rPr>
        <w:t>卫生健康支出支出</w:t>
      </w:r>
      <w:r>
        <w:rPr>
          <w:rStyle w:val="15"/>
          <w:rFonts w:hint="eastAsia" w:ascii="仿宋_GB2312" w:hAnsi="仿宋_GB2312" w:eastAsia="仿宋_GB2312" w:cs="仿宋_GB2312"/>
          <w:b w:val="0"/>
          <w:bCs w:val="0"/>
          <w:color w:val="000000"/>
          <w:sz w:val="32"/>
          <w:szCs w:val="32"/>
        </w:rPr>
        <w:t>（类）</w:t>
      </w:r>
      <w:r>
        <w:rPr>
          <w:rStyle w:val="15"/>
          <w:rFonts w:hint="eastAsia" w:ascii="仿宋_GB2312" w:hAnsi="仿宋_GB2312" w:eastAsia="仿宋_GB2312" w:cs="仿宋_GB2312"/>
          <w:b w:val="0"/>
          <w:bCs w:val="0"/>
          <w:color w:val="000000"/>
          <w:sz w:val="32"/>
          <w:szCs w:val="32"/>
          <w:lang w:eastAsia="zh-CN"/>
        </w:rPr>
        <w:t>公共卫生</w:t>
      </w:r>
      <w:r>
        <w:rPr>
          <w:rStyle w:val="15"/>
          <w:rFonts w:hint="eastAsia" w:ascii="仿宋_GB2312" w:hAnsi="仿宋_GB2312" w:eastAsia="仿宋_GB2312" w:cs="仿宋_GB2312"/>
          <w:b w:val="0"/>
          <w:bCs w:val="0"/>
          <w:color w:val="000000"/>
          <w:sz w:val="32"/>
          <w:szCs w:val="32"/>
        </w:rPr>
        <w:t>（款）</w:t>
      </w:r>
      <w:r>
        <w:rPr>
          <w:rStyle w:val="15"/>
          <w:rFonts w:hint="eastAsia" w:ascii="仿宋_GB2312" w:hAnsi="仿宋_GB2312" w:eastAsia="仿宋_GB2312" w:cs="仿宋_GB2312"/>
          <w:b w:val="0"/>
          <w:bCs w:val="0"/>
          <w:color w:val="000000"/>
          <w:sz w:val="32"/>
          <w:szCs w:val="32"/>
          <w:lang w:eastAsia="zh-CN"/>
        </w:rPr>
        <w:t>妇幼保健机构</w:t>
      </w:r>
      <w:r>
        <w:rPr>
          <w:rStyle w:val="15"/>
          <w:rFonts w:hint="eastAsia" w:ascii="仿宋_GB2312" w:hAnsi="仿宋_GB2312" w:eastAsia="仿宋_GB2312" w:cs="仿宋_GB2312"/>
          <w:b w:val="0"/>
          <w:bCs w:val="0"/>
          <w:color w:val="000000"/>
          <w:sz w:val="32"/>
          <w:szCs w:val="32"/>
        </w:rPr>
        <w:t>（项）:支出决算为</w:t>
      </w:r>
      <w:r>
        <w:rPr>
          <w:rStyle w:val="15"/>
          <w:rFonts w:hint="eastAsia" w:ascii="仿宋_GB2312" w:hAnsi="仿宋_GB2312" w:eastAsia="仿宋_GB2312" w:cs="仿宋_GB2312"/>
          <w:b w:val="0"/>
          <w:bCs w:val="0"/>
          <w:color w:val="000000"/>
          <w:sz w:val="32"/>
          <w:szCs w:val="32"/>
          <w:lang w:val="en-US" w:eastAsia="zh-CN"/>
        </w:rPr>
        <w:t>539.68</w:t>
      </w:r>
      <w:r>
        <w:rPr>
          <w:rStyle w:val="15"/>
          <w:rFonts w:hint="eastAsia" w:ascii="仿宋_GB2312" w:hAnsi="仿宋_GB2312" w:eastAsia="仿宋_GB2312" w:cs="仿宋_GB2312"/>
          <w:b w:val="0"/>
          <w:bCs w:val="0"/>
          <w:color w:val="000000"/>
          <w:sz w:val="32"/>
          <w:szCs w:val="32"/>
        </w:rPr>
        <w:t>万元，完成预算</w:t>
      </w:r>
      <w:r>
        <w:rPr>
          <w:rStyle w:val="15"/>
          <w:rFonts w:hint="eastAsia" w:ascii="仿宋_GB2312" w:hAnsi="仿宋_GB2312" w:eastAsia="仿宋_GB2312" w:cs="仿宋_GB2312"/>
          <w:b w:val="0"/>
          <w:bCs w:val="0"/>
          <w:color w:val="000000"/>
          <w:sz w:val="32"/>
          <w:szCs w:val="32"/>
          <w:lang w:val="en-US" w:eastAsia="zh-CN"/>
        </w:rPr>
        <w:t>100</w:t>
      </w:r>
      <w:r>
        <w:rPr>
          <w:rStyle w:val="15"/>
          <w:rFonts w:hint="eastAsia" w:ascii="仿宋_GB2312" w:hAnsi="仿宋_GB2312" w:eastAsia="仿宋_GB2312" w:cs="仿宋_GB2312"/>
          <w:b w:val="0"/>
          <w:bCs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仿宋_GB2312" w:hAnsi="仿宋_GB2312" w:eastAsia="仿宋_GB2312" w:cs="仿宋_GB2312"/>
          <w:b w:val="0"/>
          <w:bCs w:val="0"/>
          <w:color w:val="000000"/>
          <w:sz w:val="32"/>
          <w:szCs w:val="32"/>
        </w:rPr>
        <w:t>4.</w:t>
      </w:r>
      <w:r>
        <w:rPr>
          <w:rStyle w:val="15"/>
          <w:rFonts w:hint="eastAsia" w:ascii="仿宋_GB2312" w:hAnsi="仿宋_GB2312" w:eastAsia="仿宋_GB2312" w:cs="仿宋_GB2312"/>
          <w:b w:val="0"/>
          <w:bCs w:val="0"/>
          <w:color w:val="000000"/>
          <w:sz w:val="32"/>
          <w:szCs w:val="32"/>
          <w:lang w:eastAsia="zh-CN"/>
        </w:rPr>
        <w:t>卫生</w:t>
      </w:r>
      <w:r>
        <w:rPr>
          <w:rStyle w:val="15"/>
          <w:rFonts w:hint="eastAsia" w:ascii="仿宋_GB2312" w:hAnsi="仿宋_GB2312" w:eastAsia="仿宋_GB2312" w:cs="仿宋_GB2312"/>
          <w:b w:val="0"/>
          <w:bCs/>
          <w:color w:val="000000"/>
          <w:sz w:val="32"/>
          <w:szCs w:val="32"/>
          <w:lang w:eastAsia="zh-CN"/>
        </w:rPr>
        <w:t>健康支出支出</w:t>
      </w:r>
      <w:r>
        <w:rPr>
          <w:rStyle w:val="15"/>
          <w:rFonts w:hint="eastAsia" w:ascii="仿宋_GB2312" w:hAnsi="仿宋_GB2312" w:eastAsia="仿宋_GB2312" w:cs="仿宋_GB2312"/>
          <w:b w:val="0"/>
          <w:bCs/>
          <w:color w:val="000000"/>
          <w:sz w:val="32"/>
          <w:szCs w:val="32"/>
        </w:rPr>
        <w:t>（类）</w:t>
      </w:r>
      <w:r>
        <w:rPr>
          <w:rStyle w:val="15"/>
          <w:rFonts w:hint="eastAsia" w:ascii="仿宋_GB2312" w:hAnsi="仿宋_GB2312" w:eastAsia="仿宋_GB2312" w:cs="仿宋_GB2312"/>
          <w:b w:val="0"/>
          <w:bCs/>
          <w:color w:val="000000"/>
          <w:sz w:val="32"/>
          <w:szCs w:val="32"/>
          <w:lang w:eastAsia="zh-CN"/>
        </w:rPr>
        <w:t>公共卫生</w:t>
      </w:r>
      <w:r>
        <w:rPr>
          <w:rStyle w:val="15"/>
          <w:rFonts w:hint="eastAsia" w:ascii="仿宋_GB2312" w:hAnsi="仿宋_GB2312" w:eastAsia="仿宋_GB2312" w:cs="仿宋_GB2312"/>
          <w:b w:val="0"/>
          <w:bCs/>
          <w:color w:val="000000"/>
          <w:sz w:val="32"/>
          <w:szCs w:val="32"/>
        </w:rPr>
        <w:t>（款）</w:t>
      </w:r>
      <w:r>
        <w:rPr>
          <w:rStyle w:val="15"/>
          <w:rFonts w:hint="eastAsia" w:ascii="仿宋_GB2312" w:hAnsi="仿宋_GB2312" w:eastAsia="仿宋_GB2312" w:cs="仿宋_GB2312"/>
          <w:b w:val="0"/>
          <w:bCs/>
          <w:color w:val="000000"/>
          <w:sz w:val="32"/>
          <w:szCs w:val="32"/>
          <w:lang w:eastAsia="zh-CN"/>
        </w:rPr>
        <w:t>基本公共卫生服务</w:t>
      </w:r>
      <w:r>
        <w:rPr>
          <w:rStyle w:val="15"/>
          <w:rFonts w:hint="eastAsia" w:ascii="仿宋_GB2312" w:hAnsi="仿宋_GB2312" w:eastAsia="仿宋_GB2312" w:cs="仿宋_GB2312"/>
          <w:b w:val="0"/>
          <w:bCs/>
          <w:color w:val="000000"/>
          <w:sz w:val="32"/>
          <w:szCs w:val="32"/>
        </w:rPr>
        <w:t>（项）:支出决算为</w:t>
      </w:r>
      <w:r>
        <w:rPr>
          <w:rStyle w:val="15"/>
          <w:rFonts w:hint="eastAsia" w:ascii="仿宋_GB2312" w:hAnsi="仿宋_GB2312" w:eastAsia="仿宋_GB2312" w:cs="仿宋_GB2312"/>
          <w:b w:val="0"/>
          <w:bCs/>
          <w:color w:val="000000"/>
          <w:sz w:val="32"/>
          <w:szCs w:val="32"/>
          <w:lang w:val="en-US" w:eastAsia="zh-CN"/>
        </w:rPr>
        <w:t>21.91</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仿宋_GB2312" w:hAnsi="仿宋_GB2312" w:eastAsia="仿宋_GB2312" w:cs="仿宋_GB2312"/>
          <w:b w:val="0"/>
          <w:bCs/>
          <w:color w:val="000000"/>
          <w:sz w:val="32"/>
          <w:szCs w:val="32"/>
          <w:lang w:val="en-US" w:eastAsia="zh-CN"/>
        </w:rPr>
        <w:t>5.</w:t>
      </w:r>
      <w:r>
        <w:rPr>
          <w:rStyle w:val="15"/>
          <w:rFonts w:hint="eastAsia" w:ascii="仿宋_GB2312" w:hAnsi="仿宋_GB2312" w:eastAsia="仿宋_GB2312" w:cs="仿宋_GB2312"/>
          <w:b w:val="0"/>
          <w:bCs/>
          <w:color w:val="000000"/>
          <w:sz w:val="32"/>
          <w:szCs w:val="32"/>
          <w:lang w:eastAsia="zh-CN"/>
        </w:rPr>
        <w:t>卫生健康支出支出</w:t>
      </w:r>
      <w:r>
        <w:rPr>
          <w:rStyle w:val="15"/>
          <w:rFonts w:hint="eastAsia" w:ascii="仿宋_GB2312" w:hAnsi="仿宋_GB2312" w:eastAsia="仿宋_GB2312" w:cs="仿宋_GB2312"/>
          <w:b w:val="0"/>
          <w:bCs/>
          <w:color w:val="000000"/>
          <w:sz w:val="32"/>
          <w:szCs w:val="32"/>
        </w:rPr>
        <w:t>（类）</w:t>
      </w:r>
      <w:r>
        <w:rPr>
          <w:rStyle w:val="15"/>
          <w:rFonts w:hint="eastAsia" w:ascii="仿宋_GB2312" w:hAnsi="仿宋_GB2312" w:eastAsia="仿宋_GB2312" w:cs="仿宋_GB2312"/>
          <w:b w:val="0"/>
          <w:bCs/>
          <w:color w:val="000000"/>
          <w:sz w:val="32"/>
          <w:szCs w:val="32"/>
          <w:lang w:eastAsia="zh-CN"/>
        </w:rPr>
        <w:t>公共卫生</w:t>
      </w:r>
      <w:r>
        <w:rPr>
          <w:rStyle w:val="15"/>
          <w:rFonts w:hint="eastAsia" w:ascii="仿宋_GB2312" w:hAnsi="仿宋_GB2312" w:eastAsia="仿宋_GB2312" w:cs="仿宋_GB2312"/>
          <w:b w:val="0"/>
          <w:bCs/>
          <w:color w:val="000000"/>
          <w:sz w:val="32"/>
          <w:szCs w:val="32"/>
        </w:rPr>
        <w:t>（款）</w:t>
      </w:r>
      <w:r>
        <w:rPr>
          <w:rStyle w:val="15"/>
          <w:rFonts w:hint="eastAsia" w:ascii="仿宋_GB2312" w:hAnsi="仿宋_GB2312" w:eastAsia="仿宋_GB2312" w:cs="仿宋_GB2312"/>
          <w:b w:val="0"/>
          <w:bCs/>
          <w:color w:val="000000"/>
          <w:sz w:val="32"/>
          <w:szCs w:val="32"/>
          <w:lang w:eastAsia="zh-CN"/>
        </w:rPr>
        <w:t>重大公共卫生专项</w:t>
      </w:r>
      <w:r>
        <w:rPr>
          <w:rStyle w:val="15"/>
          <w:rFonts w:hint="eastAsia" w:ascii="仿宋_GB2312" w:hAnsi="仿宋_GB2312" w:eastAsia="仿宋_GB2312" w:cs="仿宋_GB2312"/>
          <w:b w:val="0"/>
          <w:bCs/>
          <w:color w:val="000000"/>
          <w:sz w:val="32"/>
          <w:szCs w:val="32"/>
        </w:rPr>
        <w:t>（项）:支出决算为</w:t>
      </w:r>
      <w:r>
        <w:rPr>
          <w:rStyle w:val="15"/>
          <w:rFonts w:hint="eastAsia" w:ascii="仿宋_GB2312" w:hAnsi="仿宋_GB2312" w:eastAsia="仿宋_GB2312" w:cs="仿宋_GB2312"/>
          <w:b w:val="0"/>
          <w:bCs/>
          <w:color w:val="000000"/>
          <w:sz w:val="32"/>
          <w:szCs w:val="32"/>
          <w:lang w:val="en-US" w:eastAsia="zh-CN"/>
        </w:rPr>
        <w:t>20.14</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仿宋_GB2312" w:hAnsi="仿宋_GB2312" w:eastAsia="仿宋_GB2312" w:cs="仿宋_GB2312"/>
          <w:b w:val="0"/>
          <w:bCs/>
          <w:color w:val="000000"/>
          <w:sz w:val="32"/>
          <w:szCs w:val="32"/>
          <w:lang w:val="en-US" w:eastAsia="zh-CN"/>
        </w:rPr>
        <w:t>6.</w:t>
      </w:r>
      <w:r>
        <w:rPr>
          <w:rStyle w:val="15"/>
          <w:rFonts w:hint="eastAsia" w:ascii="仿宋_GB2312" w:hAnsi="仿宋_GB2312" w:eastAsia="仿宋_GB2312" w:cs="仿宋_GB2312"/>
          <w:b w:val="0"/>
          <w:bCs/>
          <w:color w:val="000000"/>
          <w:sz w:val="32"/>
          <w:szCs w:val="32"/>
          <w:lang w:eastAsia="zh-CN"/>
        </w:rPr>
        <w:t>卫生健康支出支出</w:t>
      </w:r>
      <w:r>
        <w:rPr>
          <w:rStyle w:val="15"/>
          <w:rFonts w:hint="eastAsia" w:ascii="仿宋_GB2312" w:hAnsi="仿宋_GB2312" w:eastAsia="仿宋_GB2312" w:cs="仿宋_GB2312"/>
          <w:b w:val="0"/>
          <w:bCs/>
          <w:color w:val="000000"/>
          <w:sz w:val="32"/>
          <w:szCs w:val="32"/>
        </w:rPr>
        <w:t>（类）</w:t>
      </w:r>
      <w:r>
        <w:rPr>
          <w:rStyle w:val="15"/>
          <w:rFonts w:hint="eastAsia" w:ascii="仿宋_GB2312" w:hAnsi="仿宋_GB2312" w:eastAsia="仿宋_GB2312" w:cs="仿宋_GB2312"/>
          <w:b w:val="0"/>
          <w:bCs/>
          <w:color w:val="000000"/>
          <w:sz w:val="32"/>
          <w:szCs w:val="32"/>
          <w:lang w:eastAsia="zh-CN"/>
        </w:rPr>
        <w:t>计划生育事务</w:t>
      </w:r>
      <w:r>
        <w:rPr>
          <w:rStyle w:val="15"/>
          <w:rFonts w:hint="eastAsia" w:ascii="仿宋_GB2312" w:hAnsi="仿宋_GB2312" w:eastAsia="仿宋_GB2312" w:cs="仿宋_GB2312"/>
          <w:b w:val="0"/>
          <w:bCs/>
          <w:color w:val="000000"/>
          <w:sz w:val="32"/>
          <w:szCs w:val="32"/>
        </w:rPr>
        <w:t>（款）</w:t>
      </w:r>
      <w:r>
        <w:rPr>
          <w:rStyle w:val="15"/>
          <w:rFonts w:hint="eastAsia" w:ascii="仿宋_GB2312" w:hAnsi="仿宋_GB2312" w:eastAsia="仿宋_GB2312" w:cs="仿宋_GB2312"/>
          <w:b w:val="0"/>
          <w:bCs/>
          <w:color w:val="000000"/>
          <w:sz w:val="32"/>
          <w:szCs w:val="32"/>
          <w:lang w:eastAsia="zh-CN"/>
        </w:rPr>
        <w:t>计划生育服务</w:t>
      </w:r>
      <w:r>
        <w:rPr>
          <w:rStyle w:val="15"/>
          <w:rFonts w:hint="eastAsia" w:ascii="仿宋_GB2312" w:hAnsi="仿宋_GB2312" w:eastAsia="仿宋_GB2312" w:cs="仿宋_GB2312"/>
          <w:b w:val="0"/>
          <w:bCs/>
          <w:color w:val="000000"/>
          <w:sz w:val="32"/>
          <w:szCs w:val="32"/>
        </w:rPr>
        <w:t>（项）:支出决算为</w:t>
      </w:r>
      <w:r>
        <w:rPr>
          <w:rStyle w:val="15"/>
          <w:rFonts w:hint="eastAsia" w:ascii="仿宋_GB2312" w:hAnsi="仿宋_GB2312" w:eastAsia="仿宋_GB2312" w:cs="仿宋_GB2312"/>
          <w:b w:val="0"/>
          <w:bCs/>
          <w:color w:val="000000"/>
          <w:sz w:val="32"/>
          <w:szCs w:val="32"/>
          <w:lang w:val="en-US" w:eastAsia="zh-CN"/>
        </w:rPr>
        <w:t>43.01</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000000"/>
          <w:sz w:val="32"/>
          <w:szCs w:val="32"/>
        </w:rPr>
      </w:pPr>
      <w:r>
        <w:rPr>
          <w:rStyle w:val="15"/>
          <w:rFonts w:hint="eastAsia" w:ascii="仿宋_GB2312" w:hAnsi="仿宋_GB2312" w:eastAsia="仿宋_GB2312" w:cs="仿宋_GB2312"/>
          <w:b w:val="0"/>
          <w:bCs/>
          <w:color w:val="000000"/>
          <w:sz w:val="32"/>
          <w:szCs w:val="32"/>
          <w:lang w:val="en-US" w:eastAsia="zh-CN"/>
        </w:rPr>
        <w:t>7</w:t>
      </w:r>
      <w:r>
        <w:rPr>
          <w:rStyle w:val="15"/>
          <w:rFonts w:hint="eastAsia"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lang w:eastAsia="zh-CN"/>
        </w:rPr>
        <w:t>卫生健康支出支出</w:t>
      </w:r>
      <w:r>
        <w:rPr>
          <w:rStyle w:val="15"/>
          <w:rFonts w:hint="eastAsia" w:ascii="仿宋_GB2312" w:hAnsi="仿宋_GB2312" w:eastAsia="仿宋_GB2312" w:cs="仿宋_GB2312"/>
          <w:b w:val="0"/>
          <w:bCs/>
          <w:color w:val="000000"/>
          <w:sz w:val="32"/>
          <w:szCs w:val="32"/>
        </w:rPr>
        <w:t>（类）</w:t>
      </w:r>
      <w:r>
        <w:rPr>
          <w:rStyle w:val="15"/>
          <w:rFonts w:hint="eastAsia" w:ascii="仿宋_GB2312" w:hAnsi="仿宋_GB2312" w:eastAsia="仿宋_GB2312" w:cs="仿宋_GB2312"/>
          <w:b w:val="0"/>
          <w:bCs/>
          <w:color w:val="000000"/>
          <w:sz w:val="32"/>
          <w:szCs w:val="32"/>
          <w:lang w:eastAsia="zh-CN"/>
        </w:rPr>
        <w:t>行政事业单位医疗</w:t>
      </w:r>
      <w:r>
        <w:rPr>
          <w:rStyle w:val="15"/>
          <w:rFonts w:hint="eastAsia" w:ascii="仿宋_GB2312" w:hAnsi="仿宋_GB2312" w:eastAsia="仿宋_GB2312" w:cs="仿宋_GB2312"/>
          <w:b w:val="0"/>
          <w:bCs/>
          <w:color w:val="000000"/>
          <w:sz w:val="32"/>
          <w:szCs w:val="32"/>
        </w:rPr>
        <w:t>（款）</w:t>
      </w:r>
      <w:r>
        <w:rPr>
          <w:rStyle w:val="15"/>
          <w:rFonts w:hint="eastAsia" w:ascii="仿宋_GB2312" w:hAnsi="仿宋_GB2312" w:eastAsia="仿宋_GB2312" w:cs="仿宋_GB2312"/>
          <w:b w:val="0"/>
          <w:bCs/>
          <w:color w:val="000000"/>
          <w:sz w:val="32"/>
          <w:szCs w:val="32"/>
          <w:lang w:eastAsia="zh-CN"/>
        </w:rPr>
        <w:t>事业单位医疗</w:t>
      </w:r>
      <w:r>
        <w:rPr>
          <w:rStyle w:val="15"/>
          <w:rFonts w:hint="eastAsia" w:ascii="仿宋_GB2312" w:hAnsi="仿宋_GB2312" w:eastAsia="仿宋_GB2312" w:cs="仿宋_GB2312"/>
          <w:b w:val="0"/>
          <w:bCs/>
          <w:color w:val="000000"/>
          <w:sz w:val="32"/>
          <w:szCs w:val="32"/>
        </w:rPr>
        <w:t>（项）:支出决算为</w:t>
      </w:r>
      <w:r>
        <w:rPr>
          <w:rStyle w:val="15"/>
          <w:rFonts w:hint="eastAsia" w:ascii="仿宋_GB2312" w:hAnsi="仿宋_GB2312" w:eastAsia="仿宋_GB2312" w:cs="仿宋_GB2312"/>
          <w:b w:val="0"/>
          <w:bCs/>
          <w:color w:val="000000"/>
          <w:sz w:val="32"/>
          <w:szCs w:val="32"/>
          <w:lang w:val="en-US" w:eastAsia="zh-CN"/>
        </w:rPr>
        <w:t>48.83</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仿宋_GB2312" w:hAnsi="仿宋_GB2312" w:eastAsia="仿宋_GB2312" w:cs="仿宋_GB2312"/>
          <w:b w:val="0"/>
          <w:bCs/>
          <w:color w:val="000000"/>
          <w:sz w:val="32"/>
          <w:szCs w:val="32"/>
          <w:lang w:val="en-US" w:eastAsia="zh-CN"/>
        </w:rPr>
        <w:t>8</w:t>
      </w:r>
      <w:r>
        <w:rPr>
          <w:rStyle w:val="15"/>
          <w:rFonts w:hint="eastAsia"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lang w:eastAsia="zh-CN"/>
        </w:rPr>
        <w:t>卫生健康支出支出</w:t>
      </w:r>
      <w:r>
        <w:rPr>
          <w:rStyle w:val="15"/>
          <w:rFonts w:hint="eastAsia" w:ascii="仿宋_GB2312" w:hAnsi="仿宋_GB2312" w:eastAsia="仿宋_GB2312" w:cs="仿宋_GB2312"/>
          <w:b w:val="0"/>
          <w:bCs/>
          <w:color w:val="000000"/>
          <w:sz w:val="32"/>
          <w:szCs w:val="32"/>
        </w:rPr>
        <w:t>（类）</w:t>
      </w:r>
      <w:r>
        <w:rPr>
          <w:rStyle w:val="15"/>
          <w:rFonts w:hint="eastAsia" w:ascii="仿宋_GB2312" w:hAnsi="仿宋_GB2312" w:eastAsia="仿宋_GB2312" w:cs="仿宋_GB2312"/>
          <w:b w:val="0"/>
          <w:bCs/>
          <w:color w:val="000000"/>
          <w:sz w:val="32"/>
          <w:szCs w:val="32"/>
          <w:lang w:eastAsia="zh-CN"/>
        </w:rPr>
        <w:t>其他卫生健康支出</w:t>
      </w:r>
      <w:r>
        <w:rPr>
          <w:rStyle w:val="15"/>
          <w:rFonts w:hint="eastAsia" w:ascii="仿宋_GB2312" w:hAnsi="仿宋_GB2312" w:eastAsia="仿宋_GB2312" w:cs="仿宋_GB2312"/>
          <w:b w:val="0"/>
          <w:bCs/>
          <w:color w:val="000000"/>
          <w:sz w:val="32"/>
          <w:szCs w:val="32"/>
        </w:rPr>
        <w:t>（款）</w:t>
      </w:r>
      <w:r>
        <w:rPr>
          <w:rStyle w:val="15"/>
          <w:rFonts w:hint="eastAsia" w:ascii="仿宋_GB2312" w:hAnsi="仿宋_GB2312" w:eastAsia="仿宋_GB2312" w:cs="仿宋_GB2312"/>
          <w:b w:val="0"/>
          <w:bCs/>
          <w:color w:val="000000"/>
          <w:sz w:val="32"/>
          <w:szCs w:val="32"/>
          <w:lang w:eastAsia="zh-CN"/>
        </w:rPr>
        <w:t>其他卫生健康支出</w:t>
      </w:r>
      <w:r>
        <w:rPr>
          <w:rStyle w:val="15"/>
          <w:rFonts w:hint="eastAsia" w:ascii="仿宋_GB2312" w:hAnsi="仿宋_GB2312" w:eastAsia="仿宋_GB2312" w:cs="仿宋_GB2312"/>
          <w:b w:val="0"/>
          <w:bCs/>
          <w:color w:val="000000"/>
          <w:sz w:val="32"/>
          <w:szCs w:val="32"/>
        </w:rPr>
        <w:t>（项）:支出决算为</w:t>
      </w:r>
      <w:r>
        <w:rPr>
          <w:rStyle w:val="15"/>
          <w:rFonts w:hint="eastAsia" w:ascii="仿宋_GB2312" w:hAnsi="仿宋_GB2312" w:eastAsia="仿宋_GB2312" w:cs="仿宋_GB2312"/>
          <w:b w:val="0"/>
          <w:bCs/>
          <w:color w:val="000000"/>
          <w:sz w:val="32"/>
          <w:szCs w:val="32"/>
          <w:lang w:val="en-US" w:eastAsia="zh-CN"/>
        </w:rPr>
        <w:t>48.34</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b/>
          <w:color w:val="000000"/>
          <w:sz w:val="32"/>
          <w:szCs w:val="32"/>
        </w:rPr>
      </w:pPr>
      <w:r>
        <w:rPr>
          <w:rStyle w:val="15"/>
          <w:rFonts w:hint="eastAsia" w:ascii="仿宋_GB2312" w:hAnsi="仿宋_GB2312" w:eastAsia="仿宋_GB2312" w:cs="仿宋_GB2312"/>
          <w:b w:val="0"/>
          <w:bCs/>
          <w:color w:val="000000"/>
          <w:sz w:val="32"/>
          <w:szCs w:val="32"/>
          <w:lang w:val="en-US" w:eastAsia="zh-CN"/>
        </w:rPr>
        <w:t>9.</w:t>
      </w:r>
      <w:r>
        <w:rPr>
          <w:rStyle w:val="15"/>
          <w:rFonts w:hint="eastAsia" w:ascii="仿宋_GB2312" w:hAnsi="仿宋_GB2312" w:eastAsia="仿宋_GB2312" w:cs="仿宋_GB2312"/>
          <w:b w:val="0"/>
          <w:bCs/>
          <w:color w:val="000000"/>
          <w:sz w:val="32"/>
          <w:szCs w:val="32"/>
          <w:lang w:eastAsia="zh-CN"/>
        </w:rPr>
        <w:t>住房保障支出</w:t>
      </w:r>
      <w:r>
        <w:rPr>
          <w:rStyle w:val="15"/>
          <w:rFonts w:hint="eastAsia" w:ascii="仿宋_GB2312" w:hAnsi="仿宋_GB2312" w:eastAsia="仿宋_GB2312" w:cs="仿宋_GB2312"/>
          <w:b w:val="0"/>
          <w:bCs/>
          <w:color w:val="000000"/>
          <w:sz w:val="32"/>
          <w:szCs w:val="32"/>
        </w:rPr>
        <w:t>（类）</w:t>
      </w:r>
      <w:r>
        <w:rPr>
          <w:rStyle w:val="15"/>
          <w:rFonts w:hint="eastAsia" w:ascii="仿宋_GB2312" w:hAnsi="仿宋_GB2312" w:eastAsia="仿宋_GB2312" w:cs="仿宋_GB2312"/>
          <w:b w:val="0"/>
          <w:bCs/>
          <w:color w:val="000000"/>
          <w:sz w:val="32"/>
          <w:szCs w:val="32"/>
          <w:lang w:eastAsia="zh-CN"/>
        </w:rPr>
        <w:t>住房改革支出</w:t>
      </w:r>
      <w:r>
        <w:rPr>
          <w:rStyle w:val="15"/>
          <w:rFonts w:hint="eastAsia" w:ascii="仿宋_GB2312" w:hAnsi="仿宋_GB2312" w:eastAsia="仿宋_GB2312" w:cs="仿宋_GB2312"/>
          <w:b w:val="0"/>
          <w:bCs/>
          <w:color w:val="000000"/>
          <w:sz w:val="32"/>
          <w:szCs w:val="32"/>
        </w:rPr>
        <w:t>（款）</w:t>
      </w:r>
      <w:r>
        <w:rPr>
          <w:rStyle w:val="15"/>
          <w:rFonts w:hint="eastAsia" w:ascii="仿宋_GB2312" w:hAnsi="仿宋_GB2312" w:eastAsia="仿宋_GB2312" w:cs="仿宋_GB2312"/>
          <w:b w:val="0"/>
          <w:bCs/>
          <w:color w:val="000000"/>
          <w:sz w:val="32"/>
          <w:szCs w:val="32"/>
          <w:lang w:eastAsia="zh-CN"/>
        </w:rPr>
        <w:t>住房公积金</w:t>
      </w:r>
      <w:r>
        <w:rPr>
          <w:rStyle w:val="15"/>
          <w:rFonts w:hint="eastAsia" w:ascii="仿宋_GB2312" w:hAnsi="仿宋_GB2312" w:eastAsia="仿宋_GB2312" w:cs="仿宋_GB2312"/>
          <w:b w:val="0"/>
          <w:bCs/>
          <w:color w:val="000000"/>
          <w:sz w:val="32"/>
          <w:szCs w:val="32"/>
        </w:rPr>
        <w:t>（项）:支出决算为</w:t>
      </w:r>
      <w:r>
        <w:rPr>
          <w:rStyle w:val="15"/>
          <w:rFonts w:hint="eastAsia" w:ascii="仿宋_GB2312" w:hAnsi="仿宋_GB2312" w:eastAsia="仿宋_GB2312" w:cs="仿宋_GB2312"/>
          <w:b w:val="0"/>
          <w:bCs/>
          <w:color w:val="000000"/>
          <w:sz w:val="32"/>
          <w:szCs w:val="32"/>
          <w:lang w:val="en-US" w:eastAsia="zh-CN"/>
        </w:rPr>
        <w:t>68.18</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p>
    <w:p>
      <w:pPr>
        <w:pageBreakBefore w:val="0"/>
        <w:tabs>
          <w:tab w:val="right" w:pos="8306"/>
        </w:tabs>
        <w:kinsoku/>
        <w:wordWrap/>
        <w:overflowPunct/>
        <w:topLinePunct w:val="0"/>
        <w:bidi w:val="0"/>
        <w:spacing w:line="560" w:lineRule="exact"/>
        <w:ind w:firstLine="640"/>
        <w:outlineLvl w:val="1"/>
        <w:rPr>
          <w:rStyle w:val="26"/>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val="0"/>
          <w:bCs/>
          <w:color w:val="000000"/>
          <w:sz w:val="32"/>
          <w:szCs w:val="32"/>
        </w:rPr>
        <w:t>妇幼保健计划</w:t>
      </w:r>
      <w:r>
        <w:rPr>
          <w:rFonts w:hint="eastAsia" w:ascii="仿宋_GB2312" w:hAnsi="仿宋_GB2312" w:eastAsia="仿宋_GB2312" w:cs="仿宋_GB2312"/>
          <w:b w:val="0"/>
          <w:bCs/>
          <w:color w:val="000000"/>
          <w:sz w:val="32"/>
          <w:szCs w:val="32"/>
          <w:lang w:eastAsia="zh-CN"/>
        </w:rPr>
        <w:t>生育服务</w:t>
      </w:r>
      <w:r>
        <w:rPr>
          <w:rFonts w:hint="eastAsia" w:ascii="仿宋_GB2312" w:hAnsi="仿宋_GB2312" w:eastAsia="仿宋_GB2312" w:cs="仿宋_GB2312"/>
          <w:b w:val="0"/>
          <w:bCs/>
          <w:color w:val="000000"/>
          <w:sz w:val="32"/>
          <w:szCs w:val="32"/>
        </w:rPr>
        <w:t>中心</w:t>
      </w:r>
      <w:r>
        <w:rPr>
          <w:rFonts w:hint="eastAsia" w:ascii="仿宋_GB2312" w:hAnsi="仿宋_GB2312" w:eastAsia="仿宋_GB2312" w:cs="仿宋_GB2312"/>
          <w:color w:val="000000"/>
          <w:sz w:val="32"/>
          <w:szCs w:val="32"/>
        </w:rPr>
        <w:t>2019年一般公共预算财政拨款基本支出</w:t>
      </w:r>
      <w:r>
        <w:rPr>
          <w:rFonts w:hint="eastAsia" w:ascii="仿宋_GB2312" w:hAnsi="仿宋_GB2312" w:eastAsia="仿宋_GB2312" w:cs="仿宋_GB2312"/>
          <w:color w:val="000000"/>
          <w:sz w:val="32"/>
          <w:szCs w:val="32"/>
          <w:lang w:val="en-US" w:eastAsia="zh-CN"/>
        </w:rPr>
        <w:t>765.42</w:t>
      </w:r>
      <w:r>
        <w:rPr>
          <w:rFonts w:hint="eastAsia" w:ascii="仿宋_GB2312" w:hAnsi="仿宋_GB2312" w:eastAsia="仿宋_GB2312" w:cs="仿宋_GB2312"/>
          <w:color w:val="000000"/>
          <w:sz w:val="32"/>
          <w:szCs w:val="32"/>
        </w:rPr>
        <w:t>万元，其中：</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765.42</w:t>
      </w:r>
      <w:r>
        <w:rPr>
          <w:rFonts w:hint="eastAsia" w:ascii="仿宋_GB2312" w:hAnsi="仿宋_GB2312" w:eastAsia="仿宋_GB2312" w:cs="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日常公用经费</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pageBreakBefore w:val="0"/>
        <w:kinsoku/>
        <w:wordWrap/>
        <w:overflowPunct/>
        <w:topLinePunct w:val="0"/>
        <w:bidi w:val="0"/>
        <w:spacing w:line="560" w:lineRule="exact"/>
        <w:ind w:firstLine="640"/>
        <w:outlineLvl w:val="1"/>
        <w:rPr>
          <w:rStyle w:val="26"/>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pageBreakBefore w:val="0"/>
        <w:kinsoku/>
        <w:wordWrap/>
        <w:overflowPunct/>
        <w:topLinePunct w:val="0"/>
        <w:bidi w:val="0"/>
        <w:spacing w:line="560" w:lineRule="exact"/>
        <w:ind w:firstLine="640"/>
        <w:outlineLvl w:val="2"/>
        <w:rPr>
          <w:rFonts w:ascii="仿宋" w:hAnsi="仿宋" w:eastAsia="仿宋"/>
          <w:b/>
          <w:color w:val="000000"/>
          <w:sz w:val="32"/>
          <w:szCs w:val="32"/>
        </w:rPr>
      </w:pPr>
      <w:bookmarkStart w:id="44" w:name="_Toc15377216"/>
      <w:r>
        <w:rPr>
          <w:rFonts w:hint="eastAsia" w:ascii="楷体" w:hAnsi="楷体" w:eastAsia="楷体" w:cs="楷体"/>
          <w:b/>
          <w:color w:val="000000"/>
          <w:sz w:val="32"/>
          <w:szCs w:val="32"/>
        </w:rPr>
        <w:t>（一）“三公”经费财政拨款支出决算总体情况说明</w:t>
      </w:r>
      <w:bookmarkEnd w:id="44"/>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2019年“三公”经费财政拨款支出决算为</w:t>
      </w:r>
      <w:r>
        <w:rPr>
          <w:rFonts w:hint="eastAsia" w:ascii="仿宋_GB2312" w:hAnsi="仿宋_GB2312" w:eastAsia="仿宋_GB2312" w:cs="仿宋_GB2312"/>
          <w:b w:val="0"/>
          <w:bCs w:val="0"/>
          <w:color w:val="000000"/>
          <w:sz w:val="32"/>
          <w:szCs w:val="32"/>
          <w:lang w:val="en-US" w:eastAsia="zh-CN"/>
        </w:rPr>
        <w:t>0</w:t>
      </w:r>
      <w:r>
        <w:rPr>
          <w:rFonts w:hint="eastAsia" w:ascii="仿宋_GB2312" w:hAnsi="仿宋_GB2312" w:eastAsia="仿宋_GB2312" w:cs="仿宋_GB2312"/>
          <w:b w:val="0"/>
          <w:bCs w:val="0"/>
          <w:color w:val="000000"/>
          <w:sz w:val="32"/>
          <w:szCs w:val="32"/>
        </w:rPr>
        <w:t>万元，完成预算</w:t>
      </w:r>
      <w:r>
        <w:rPr>
          <w:rFonts w:hint="eastAsia" w:ascii="仿宋_GB2312" w:hAnsi="仿宋_GB2312" w:eastAsia="仿宋_GB2312" w:cs="仿宋_GB2312"/>
          <w:b w:val="0"/>
          <w:bCs w:val="0"/>
          <w:color w:val="000000"/>
          <w:sz w:val="32"/>
          <w:szCs w:val="32"/>
          <w:lang w:val="en-US" w:eastAsia="zh-CN"/>
        </w:rPr>
        <w:t>100</w:t>
      </w:r>
      <w:r>
        <w:rPr>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60" w:lineRule="exact"/>
        <w:ind w:firstLine="640"/>
        <w:outlineLvl w:val="2"/>
        <w:rPr>
          <w:rFonts w:ascii="仿宋" w:hAnsi="仿宋" w:eastAsia="仿宋"/>
          <w:b/>
          <w:color w:val="000000"/>
          <w:sz w:val="32"/>
          <w:szCs w:val="32"/>
        </w:rPr>
      </w:pPr>
      <w:bookmarkStart w:id="45" w:name="_Toc15377217"/>
      <w:r>
        <w:rPr>
          <w:rFonts w:hint="eastAsia" w:ascii="楷体" w:hAnsi="楷体" w:eastAsia="楷体" w:cs="楷体"/>
          <w:b/>
          <w:color w:val="000000"/>
          <w:sz w:val="32"/>
          <w:szCs w:val="32"/>
        </w:rPr>
        <w:t>（二）“三公”经费财政拨款支出决算具体情况说明</w:t>
      </w:r>
      <w:bookmarkEnd w:id="45"/>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2019年“三公”经费财政拨款支出决算中，因公出国（境）费支出决算</w:t>
      </w:r>
      <w:r>
        <w:rPr>
          <w:rFonts w:hint="eastAsia" w:ascii="仿宋_GB2312" w:hAnsi="仿宋_GB2312" w:eastAsia="仿宋_GB2312" w:cs="仿宋_GB2312"/>
          <w:b w:val="0"/>
          <w:bCs w:val="0"/>
          <w:color w:val="000000"/>
          <w:sz w:val="32"/>
          <w:szCs w:val="32"/>
          <w:lang w:val="en-US" w:eastAsia="zh-CN"/>
        </w:rPr>
        <w:t>0</w:t>
      </w:r>
      <w:r>
        <w:rPr>
          <w:rFonts w:hint="eastAsia" w:ascii="仿宋_GB2312" w:hAnsi="仿宋_GB2312" w:eastAsia="仿宋_GB2312" w:cs="仿宋_GB2312"/>
          <w:b w:val="0"/>
          <w:bCs w:val="0"/>
          <w:color w:val="000000"/>
          <w:sz w:val="32"/>
          <w:szCs w:val="32"/>
        </w:rPr>
        <w:t>万元；公务用车购置及运行维护费支出决算</w:t>
      </w:r>
      <w:r>
        <w:rPr>
          <w:rFonts w:hint="eastAsia" w:ascii="仿宋_GB2312" w:hAnsi="仿宋_GB2312" w:eastAsia="仿宋_GB2312" w:cs="仿宋_GB2312"/>
          <w:b w:val="0"/>
          <w:bCs w:val="0"/>
          <w:color w:val="000000"/>
          <w:sz w:val="32"/>
          <w:szCs w:val="32"/>
          <w:lang w:val="en-US" w:eastAsia="zh-CN"/>
        </w:rPr>
        <w:t>0</w:t>
      </w:r>
      <w:r>
        <w:rPr>
          <w:rFonts w:hint="eastAsia" w:ascii="仿宋_GB2312" w:hAnsi="仿宋_GB2312" w:eastAsia="仿宋_GB2312" w:cs="仿宋_GB2312"/>
          <w:b w:val="0"/>
          <w:bCs w:val="0"/>
          <w:color w:val="000000"/>
          <w:sz w:val="32"/>
          <w:szCs w:val="32"/>
        </w:rPr>
        <w:t>万元；公务接待费支出决算</w:t>
      </w:r>
      <w:r>
        <w:rPr>
          <w:rFonts w:hint="eastAsia" w:ascii="仿宋_GB2312" w:hAnsi="仿宋_GB2312" w:eastAsia="仿宋_GB2312" w:cs="仿宋_GB2312"/>
          <w:b w:val="0"/>
          <w:bCs w:val="0"/>
          <w:color w:val="000000"/>
          <w:sz w:val="32"/>
          <w:szCs w:val="32"/>
          <w:lang w:val="en-US" w:eastAsia="zh-CN"/>
        </w:rPr>
        <w:t>0</w:t>
      </w:r>
      <w:r>
        <w:rPr>
          <w:rFonts w:hint="eastAsia" w:ascii="仿宋_GB2312" w:hAnsi="仿宋_GB2312" w:eastAsia="仿宋_GB2312" w:cs="仿宋_GB2312"/>
          <w:b w:val="0"/>
          <w:bCs w:val="0"/>
          <w:color w:val="000000"/>
          <w:sz w:val="32"/>
          <w:szCs w:val="32"/>
        </w:rPr>
        <w:t>万元。</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1.因公出国（境）经费支出</w:t>
      </w:r>
      <w:r>
        <w:rPr>
          <w:rFonts w:hint="eastAsia" w:ascii="仿宋_GB2312" w:hAnsi="仿宋_GB2312" w:eastAsia="仿宋_GB2312" w:cs="仿宋_GB2312"/>
          <w:b w:val="0"/>
          <w:bCs w:val="0"/>
          <w:color w:val="000000"/>
          <w:sz w:val="32"/>
          <w:szCs w:val="32"/>
          <w:lang w:val="en-US" w:eastAsia="zh-CN"/>
        </w:rPr>
        <w:t>0</w:t>
      </w:r>
      <w:r>
        <w:rPr>
          <w:rFonts w:hint="eastAsia" w:ascii="仿宋_GB2312" w:hAnsi="仿宋_GB2312" w:eastAsia="仿宋_GB2312" w:cs="仿宋_GB2312"/>
          <w:b w:val="0"/>
          <w:bCs w:val="0"/>
          <w:color w:val="000000"/>
          <w:sz w:val="32"/>
          <w:szCs w:val="32"/>
        </w:rPr>
        <w:t>万元</w:t>
      </w:r>
      <w:r>
        <w:rPr>
          <w:rStyle w:val="15"/>
          <w:rFonts w:hint="eastAsia" w:ascii="仿宋_GB2312" w:hAnsi="仿宋_GB2312" w:eastAsia="仿宋_GB2312" w:cs="仿宋_GB2312"/>
          <w:b w:val="0"/>
          <w:bCs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2.公务用车购置及运行维护费支出</w:t>
      </w:r>
      <w:r>
        <w:rPr>
          <w:rFonts w:hint="eastAsia" w:ascii="仿宋_GB2312" w:hAnsi="仿宋_GB2312" w:eastAsia="仿宋_GB2312" w:cs="仿宋_GB2312"/>
          <w:b w:val="0"/>
          <w:bCs w:val="0"/>
          <w:color w:val="000000"/>
          <w:sz w:val="32"/>
          <w:szCs w:val="32"/>
          <w:lang w:val="en-US" w:eastAsia="zh-CN"/>
        </w:rPr>
        <w:t>0</w:t>
      </w:r>
      <w:r>
        <w:rPr>
          <w:rFonts w:hint="eastAsia" w:ascii="仿宋_GB2312" w:hAnsi="仿宋_GB2312" w:eastAsia="仿宋_GB2312" w:cs="仿宋_GB2312"/>
          <w:b w:val="0"/>
          <w:bCs w:val="0"/>
          <w:color w:val="000000"/>
          <w:sz w:val="32"/>
          <w:szCs w:val="32"/>
        </w:rPr>
        <w:t>万元</w:t>
      </w:r>
      <w:r>
        <w:rPr>
          <w:rStyle w:val="15"/>
          <w:rFonts w:hint="eastAsia" w:ascii="仿宋_GB2312" w:hAnsi="仿宋_GB2312" w:eastAsia="仿宋_GB2312" w:cs="仿宋_GB2312"/>
          <w:b w:val="0"/>
          <w:bCs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3.公务接待费支出</w:t>
      </w:r>
      <w:r>
        <w:rPr>
          <w:rFonts w:hint="eastAsia" w:ascii="仿宋_GB2312" w:hAnsi="仿宋_GB2312" w:eastAsia="仿宋_GB2312" w:cs="仿宋_GB2312"/>
          <w:b w:val="0"/>
          <w:bCs w:val="0"/>
          <w:color w:val="000000"/>
          <w:sz w:val="32"/>
          <w:szCs w:val="32"/>
          <w:lang w:val="en-US" w:eastAsia="zh-CN"/>
        </w:rPr>
        <w:t>0</w:t>
      </w:r>
      <w:r>
        <w:rPr>
          <w:rFonts w:hint="eastAsia" w:ascii="仿宋_GB2312" w:hAnsi="仿宋_GB2312" w:eastAsia="仿宋_GB2312" w:cs="仿宋_GB2312"/>
          <w:b w:val="0"/>
          <w:bCs w:val="0"/>
          <w:color w:val="000000"/>
          <w:sz w:val="32"/>
          <w:szCs w:val="32"/>
        </w:rPr>
        <w:t>万元</w:t>
      </w:r>
      <w:r>
        <w:rPr>
          <w:rStyle w:val="15"/>
          <w:rFonts w:hint="eastAsia" w:ascii="仿宋_GB2312" w:hAnsi="仿宋_GB2312" w:eastAsia="仿宋_GB2312" w:cs="仿宋_GB2312"/>
          <w:b w:val="0"/>
          <w:bCs w:val="0"/>
          <w:color w:val="000000"/>
          <w:sz w:val="32"/>
          <w:szCs w:val="32"/>
        </w:rPr>
        <w:t>。</w:t>
      </w:r>
      <w:bookmarkStart w:id="46" w:name="_Toc15396610"/>
      <w:bookmarkStart w:id="47" w:name="_Toc15377218"/>
    </w:p>
    <w:p>
      <w:pPr>
        <w:pageBreakBefore w:val="0"/>
        <w:kinsoku/>
        <w:wordWrap/>
        <w:overflowPunct/>
        <w:topLinePunct w:val="0"/>
        <w:bidi w:val="0"/>
        <w:spacing w:line="560"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numPr>
          <w:ilvl w:val="0"/>
          <w:numId w:val="2"/>
        </w:numPr>
        <w:kinsoku/>
        <w:wordWrap/>
        <w:overflowPunct/>
        <w:topLinePunct w:val="0"/>
        <w:bidi w:val="0"/>
        <w:spacing w:line="560" w:lineRule="exact"/>
        <w:ind w:firstLine="640"/>
        <w:outlineLvl w:val="1"/>
        <w:rPr>
          <w:rStyle w:val="26"/>
          <w:rFonts w:ascii="黑体" w:hAnsi="黑体" w:eastAsia="黑体"/>
          <w:b w:val="0"/>
        </w:rPr>
      </w:pPr>
      <w:bookmarkStart w:id="48" w:name="_Toc15377219"/>
      <w:bookmarkStart w:id="49" w:name="_Toc15396611"/>
      <w:r>
        <w:rPr>
          <w:rStyle w:val="26"/>
          <w:rFonts w:hint="eastAsia" w:ascii="黑体" w:hAnsi="黑体" w:eastAsia="黑体"/>
          <w:b w:val="0"/>
        </w:rPr>
        <w:t>国有资本经营预算支出决算情况说明</w:t>
      </w:r>
      <w:bookmarkEnd w:id="48"/>
      <w:bookmarkEnd w:id="49"/>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kinsoku/>
        <w:wordWrap/>
        <w:overflowPunct/>
        <w:topLinePunct w:val="0"/>
        <w:bidi w:val="0"/>
        <w:spacing w:line="560" w:lineRule="exact"/>
        <w:ind w:firstLine="800" w:firstLineChars="250"/>
        <w:outlineLvl w:val="1"/>
        <w:rPr>
          <w:rStyle w:val="26"/>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50"/>
      <w:bookmarkEnd w:id="51"/>
    </w:p>
    <w:p>
      <w:pPr>
        <w:pageBreakBefore w:val="0"/>
        <w:kinsoku/>
        <w:wordWrap/>
        <w:overflowPunct/>
        <w:topLinePunct w:val="0"/>
        <w:bidi w:val="0"/>
        <w:spacing w:line="560" w:lineRule="exact"/>
        <w:ind w:firstLine="640"/>
        <w:outlineLvl w:val="2"/>
        <w:rPr>
          <w:rFonts w:hint="eastAsia" w:ascii="楷体" w:hAnsi="楷体" w:eastAsia="楷体" w:cs="楷体"/>
          <w:b/>
          <w:color w:val="000000"/>
          <w:sz w:val="32"/>
          <w:szCs w:val="32"/>
        </w:rPr>
      </w:pPr>
      <w:bookmarkStart w:id="52" w:name="_Toc15377222"/>
      <w:r>
        <w:rPr>
          <w:rFonts w:hint="eastAsia" w:ascii="楷体" w:hAnsi="楷体" w:eastAsia="楷体" w:cs="楷体"/>
          <w:b/>
          <w:color w:val="000000"/>
          <w:sz w:val="32"/>
          <w:szCs w:val="32"/>
        </w:rPr>
        <w:t>（一）机关运行经费支出情况</w:t>
      </w:r>
      <w:bookmarkEnd w:id="5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hAnsi="仿宋_GB2312" w:eastAsia="仿宋_GB2312" w:cs="仿宋_GB2312"/>
          <w:b w:val="0"/>
          <w:bCs/>
          <w:color w:val="000000"/>
          <w:sz w:val="32"/>
          <w:szCs w:val="32"/>
          <w:highlight w:val="none"/>
          <w:lang w:eastAsia="zh-CN"/>
        </w:rPr>
        <w:t>妇幼保健计划生育服务中心</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kinsoku/>
        <w:wordWrap/>
        <w:overflowPunct/>
        <w:topLinePunct w:val="0"/>
        <w:bidi w:val="0"/>
        <w:spacing w:line="560" w:lineRule="exact"/>
        <w:ind w:firstLine="640"/>
        <w:outlineLvl w:val="2"/>
        <w:rPr>
          <w:rFonts w:hint="eastAsia" w:ascii="楷体" w:hAnsi="楷体" w:eastAsia="楷体" w:cs="楷体"/>
          <w:b/>
          <w:color w:val="000000"/>
          <w:sz w:val="32"/>
          <w:szCs w:val="32"/>
        </w:rPr>
      </w:pPr>
      <w:bookmarkStart w:id="53" w:name="_Toc15377223"/>
      <w:r>
        <w:rPr>
          <w:rFonts w:hint="eastAsia" w:ascii="楷体" w:hAnsi="楷体" w:eastAsia="楷体" w:cs="楷体"/>
          <w:b/>
          <w:color w:val="000000"/>
          <w:sz w:val="32"/>
          <w:szCs w:val="32"/>
        </w:rPr>
        <w:t>（二）政府采购支出情况</w:t>
      </w:r>
      <w:bookmarkEnd w:id="5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hAnsi="仿宋_GB2312" w:eastAsia="仿宋_GB2312" w:cs="仿宋_GB2312"/>
          <w:b w:val="0"/>
          <w:bCs/>
          <w:color w:val="000000"/>
          <w:sz w:val="32"/>
          <w:szCs w:val="32"/>
          <w:highlight w:val="none"/>
          <w:lang w:eastAsia="zh-CN"/>
        </w:rPr>
        <w:t>妇幼保健计划生育服务中心</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kinsoku/>
        <w:wordWrap/>
        <w:overflowPunct/>
        <w:topLinePunct w:val="0"/>
        <w:bidi w:val="0"/>
        <w:spacing w:line="560" w:lineRule="exact"/>
        <w:ind w:firstLine="640"/>
        <w:outlineLvl w:val="2"/>
        <w:rPr>
          <w:rFonts w:hint="eastAsia" w:ascii="楷体" w:hAnsi="楷体" w:eastAsia="楷体" w:cs="楷体"/>
          <w:b/>
          <w:color w:val="000000"/>
          <w:sz w:val="32"/>
          <w:szCs w:val="32"/>
        </w:rPr>
      </w:pPr>
      <w:bookmarkStart w:id="54" w:name="_Toc15377224"/>
      <w:r>
        <w:rPr>
          <w:rFonts w:hint="eastAsia" w:ascii="楷体" w:hAnsi="楷体" w:eastAsia="楷体" w:cs="楷体"/>
          <w:b/>
          <w:color w:val="000000"/>
          <w:sz w:val="32"/>
          <w:szCs w:val="32"/>
        </w:rPr>
        <w:t>（三）国有资产占有使用情况</w:t>
      </w:r>
      <w:bookmarkEnd w:id="54"/>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hAnsi="仿宋_GB2312" w:eastAsia="仿宋_GB2312" w:cs="仿宋_GB2312"/>
          <w:b w:val="0"/>
          <w:bCs/>
          <w:color w:val="000000"/>
          <w:sz w:val="32"/>
          <w:szCs w:val="32"/>
          <w:highlight w:val="none"/>
          <w:lang w:eastAsia="zh-CN"/>
        </w:rPr>
        <w:t>妇幼保健计划生育服务中心</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w:t>
      </w:r>
      <w:r>
        <w:rPr>
          <w:rFonts w:hint="eastAsia" w:ascii="仿宋_GB2312" w:eastAsia="仿宋_GB2312"/>
          <w:color w:val="000000"/>
          <w:sz w:val="32"/>
          <w:szCs w:val="32"/>
          <w:highlight w:val="none"/>
        </w:rPr>
        <w:t>应急保障用车</w:t>
      </w:r>
      <w:r>
        <w:rPr>
          <w:rFonts w:hint="eastAsia" w:ascii="仿宋_GB2312" w:eastAsia="仿宋_GB2312"/>
          <w:color w:val="000000"/>
          <w:sz w:val="32"/>
          <w:szCs w:val="32"/>
          <w:highlight w:val="none"/>
          <w:lang w:val="en-US" w:eastAsia="zh-CN"/>
        </w:rPr>
        <w:t>3</w:t>
      </w:r>
      <w:r>
        <w:rPr>
          <w:rFonts w:hint="eastAsia" w:ascii="仿宋_GB2312" w:eastAsia="仿宋_GB2312"/>
          <w:color w:val="000000"/>
          <w:sz w:val="32"/>
          <w:szCs w:val="32"/>
          <w:highlight w:val="none"/>
        </w:rPr>
        <w:t>辆、</w:t>
      </w:r>
      <w:r>
        <w:rPr>
          <w:rFonts w:hint="eastAsia" w:ascii="仿宋_GB2312" w:eastAsia="仿宋_GB2312"/>
          <w:color w:val="000000" w:themeColor="text1"/>
          <w:sz w:val="32"/>
          <w:szCs w:val="32"/>
          <w:highlight w:val="none"/>
        </w:rPr>
        <w:t>单价</w:t>
      </w:r>
      <w:r>
        <w:rPr>
          <w:rFonts w:ascii="仿宋_GB2312" w:eastAsia="仿宋_GB2312"/>
          <w:color w:val="000000" w:themeColor="text1"/>
          <w:sz w:val="32"/>
          <w:szCs w:val="32"/>
          <w:highlight w:val="none"/>
        </w:rPr>
        <w:t>50</w:t>
      </w:r>
      <w:r>
        <w:rPr>
          <w:rFonts w:hint="eastAsia" w:ascii="仿宋_GB2312" w:eastAsia="仿宋_GB2312"/>
          <w:color w:val="000000" w:themeColor="text1"/>
          <w:sz w:val="32"/>
          <w:szCs w:val="32"/>
          <w:highlight w:val="none"/>
        </w:rPr>
        <w:t>万元以上通用设备</w:t>
      </w:r>
      <w:r>
        <w:rPr>
          <w:rFonts w:hint="eastAsia" w:ascii="仿宋_GB2312" w:eastAsia="仿宋_GB2312"/>
          <w:color w:val="000000" w:themeColor="text1"/>
          <w:sz w:val="32"/>
          <w:szCs w:val="32"/>
          <w:highlight w:val="none"/>
          <w:lang w:val="en-US" w:eastAsia="zh-CN"/>
        </w:rPr>
        <w:t>0</w:t>
      </w:r>
      <w:r>
        <w:rPr>
          <w:rFonts w:hint="eastAsia" w:ascii="仿宋_GB2312" w:eastAsia="仿宋_GB2312"/>
          <w:color w:val="000000" w:themeColor="text1"/>
          <w:sz w:val="32"/>
          <w:szCs w:val="32"/>
          <w:highlight w:val="none"/>
        </w:rPr>
        <w:t>台（套），单价</w:t>
      </w:r>
      <w:r>
        <w:rPr>
          <w:rFonts w:ascii="仿宋_GB2312" w:eastAsia="仿宋_GB2312"/>
          <w:color w:val="000000" w:themeColor="text1"/>
          <w:sz w:val="32"/>
          <w:szCs w:val="32"/>
          <w:highlight w:val="none"/>
        </w:rPr>
        <w:t>100</w:t>
      </w:r>
      <w:r>
        <w:rPr>
          <w:rFonts w:hint="eastAsia" w:ascii="仿宋_GB2312" w:eastAsia="仿宋_GB2312"/>
          <w:color w:val="000000"/>
          <w:sz w:val="32"/>
          <w:szCs w:val="32"/>
          <w:highlight w:val="none"/>
        </w:rPr>
        <w:t>万元以上专用设</w:t>
      </w:r>
      <w:r>
        <w:rPr>
          <w:rFonts w:hint="eastAsia" w:ascii="仿宋_GB2312" w:eastAsia="仿宋_GB2312"/>
          <w:color w:val="000000"/>
          <w:sz w:val="32"/>
          <w:szCs w:val="32"/>
        </w:rPr>
        <w:t>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pageBreakBefore w:val="0"/>
        <w:kinsoku/>
        <w:wordWrap/>
        <w:overflowPunct/>
        <w:topLinePunct w:val="0"/>
        <w:autoSpaceDE w:val="0"/>
        <w:autoSpaceDN w:val="0"/>
        <w:bidi w:val="0"/>
        <w:adjustRightInd w:val="0"/>
        <w:spacing w:line="560" w:lineRule="exact"/>
        <w:ind w:firstLine="643" w:firstLineChars="200"/>
        <w:jc w:val="left"/>
        <w:outlineLvl w:val="2"/>
        <w:rPr>
          <w:rFonts w:ascii="仿宋" w:hAnsi="仿宋" w:eastAsia="仿宋"/>
          <w:b/>
          <w:color w:val="000000"/>
          <w:sz w:val="32"/>
          <w:szCs w:val="32"/>
        </w:rPr>
      </w:pPr>
      <w:r>
        <w:rPr>
          <w:rFonts w:hint="eastAsia" w:ascii="楷体" w:hAnsi="楷体" w:eastAsia="楷体" w:cs="楷体"/>
          <w:b/>
          <w:color w:val="000000"/>
          <w:sz w:val="32"/>
          <w:szCs w:val="32"/>
        </w:rPr>
        <w:t>（四）预算绩效管理情况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eastAsia="zh-CN"/>
        </w:rPr>
        <w:t>免费婚前健康检查</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个项目开展了绩效目标完成情况自评。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sz w:val="32"/>
          <w:szCs w:val="32"/>
          <w:lang w:val="en-US" w:eastAsia="zh-CN"/>
        </w:rPr>
        <w:t>我单位整体支出绩效评价自查自评结果良好，全年基本支出保证了部门的正常运行和日常工作的正常开展，项目支出保障了重点工作的开展，绩效目标得到较好实现，绩效管理水平不断提高，绩效指标体系逐渐丰富和完善</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个项目支出绩效评价，从评价情况来看</w:t>
      </w:r>
      <w:r>
        <w:rPr>
          <w:rFonts w:hint="eastAsia" w:ascii="仿宋_GB2312" w:hAnsi="仿宋_GB2312" w:eastAsia="仿宋_GB2312" w:cs="仿宋_GB2312"/>
          <w:sz w:val="32"/>
          <w:szCs w:val="32"/>
          <w:lang w:eastAsia="zh-CN"/>
        </w:rPr>
        <w:t>，保质保量完成目标</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w:t>
      </w:r>
      <w:r>
        <w:rPr>
          <w:rFonts w:hint="eastAsia" w:ascii="仿宋_GB2312" w:hAnsi="仿宋_GB2312" w:eastAsia="仿宋_GB2312" w:cs="仿宋_GB2312"/>
          <w:b w:val="0"/>
          <w:bCs w:val="0"/>
          <w:sz w:val="32"/>
          <w:szCs w:val="32"/>
        </w:rPr>
        <w:t>预防艾滋病、梅毒和乙肝的母婴传播</w:t>
      </w:r>
      <w:r>
        <w:rPr>
          <w:rFonts w:hint="eastAsia" w:ascii="仿宋_GB2312" w:hAnsi="仿宋_GB2312" w:eastAsia="仿宋_GB2312" w:cs="仿宋_GB2312"/>
          <w:b w:val="0"/>
          <w:bCs w:val="0"/>
          <w:sz w:val="32"/>
          <w:szCs w:val="32"/>
          <w:lang w:eastAsia="zh-CN"/>
        </w:rPr>
        <w:t>项目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eastAsia="zh-CN"/>
        </w:rPr>
        <w:t>民族卫生十年计划妇女病筛查项目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eastAsia="zh-CN"/>
        </w:rPr>
        <w:t>妇幼专项</w:t>
      </w:r>
      <w:r>
        <w:rPr>
          <w:rFonts w:hint="eastAsia" w:ascii="仿宋_GB2312" w:hAnsi="仿宋_GB2312" w:eastAsia="仿宋_GB2312" w:cs="仿宋_GB2312"/>
          <w:sz w:val="32"/>
          <w:szCs w:val="32"/>
          <w:lang w:eastAsia="zh-CN"/>
        </w:rPr>
        <w:t>”“自愿免费婚检</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eastAsia="zh-CN"/>
        </w:rPr>
        <w:t>免费孕前优生健康检查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个项目绩效目标实际完成情况。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b w:val="0"/>
          <w:bCs w:val="0"/>
          <w:sz w:val="32"/>
          <w:szCs w:val="32"/>
        </w:rPr>
        <w:t>预防艾滋病、梅毒和乙肝的母婴传播</w:t>
      </w:r>
      <w:r>
        <w:rPr>
          <w:rFonts w:hint="eastAsia" w:ascii="仿宋_GB2312" w:hAnsi="仿宋_GB2312" w:eastAsia="仿宋_GB2312" w:cs="仿宋_GB2312"/>
          <w:b w:val="0"/>
          <w:bCs w:val="0"/>
          <w:sz w:val="32"/>
          <w:szCs w:val="32"/>
          <w:lang w:eastAsia="zh-CN"/>
        </w:rPr>
        <w:t>项目</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17.90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通过项目实施，</w:t>
      </w:r>
      <w:r>
        <w:rPr>
          <w:rFonts w:hint="eastAsia" w:ascii="仿宋_GB2312" w:hAnsi="仿宋_GB2312" w:eastAsia="仿宋_GB2312" w:cs="仿宋_GB2312"/>
          <w:sz w:val="32"/>
          <w:szCs w:val="32"/>
        </w:rPr>
        <w:t>艾滋病检测率达到99.89％</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rPr>
        <w:t>艾滋病病毒感染者和病人的进行随访管理</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对重点人群做好预防母婴传播工作</w:t>
      </w:r>
      <w:r>
        <w:rPr>
          <w:rFonts w:hint="eastAsia" w:ascii="仿宋_GB2312" w:hAnsi="仿宋_GB2312" w:eastAsia="仿宋_GB2312" w:cs="仿宋_GB2312"/>
          <w:sz w:val="32"/>
          <w:szCs w:val="32"/>
          <w:lang w:eastAsia="zh-CN"/>
        </w:rPr>
        <w:t>。发现的主要问题：</w:t>
      </w:r>
      <w:r>
        <w:rPr>
          <w:rFonts w:hint="eastAsia" w:ascii="仿宋_GB2312" w:hAnsi="仿宋_GB2312" w:eastAsia="仿宋_GB2312" w:cs="仿宋_GB2312"/>
          <w:sz w:val="32"/>
          <w:szCs w:val="32"/>
        </w:rPr>
        <w:t>群众对健康生活方式的知晓率还有待提高</w:t>
      </w:r>
      <w:r>
        <w:rPr>
          <w:rFonts w:hint="eastAsia" w:ascii="仿宋_GB2312" w:hAnsi="仿宋_GB2312" w:eastAsia="仿宋_GB2312" w:cs="仿宋_GB2312"/>
          <w:sz w:val="32"/>
          <w:szCs w:val="32"/>
          <w:lang w:eastAsia="zh-CN"/>
        </w:rPr>
        <w:t>。下一步改进措施：</w:t>
      </w:r>
      <w:r>
        <w:rPr>
          <w:rFonts w:hint="eastAsia" w:ascii="仿宋_GB2312" w:hAnsi="仿宋_GB2312" w:eastAsia="仿宋_GB2312" w:cs="仿宋_GB2312"/>
          <w:sz w:val="32"/>
          <w:szCs w:val="32"/>
        </w:rPr>
        <w:t>加大宣传力度，采取多种方式宣传。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eastAsia="zh-CN"/>
        </w:rPr>
        <w:t>民族卫生十年计划妇女病筛查项目</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15.84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及早发现和防治危害广大妇女身心健康的主要疾病，对提高妇女的健康水平，助推农村贫困患病妇女脱贫具有重大意义。</w:t>
      </w:r>
      <w:r>
        <w:rPr>
          <w:rFonts w:hint="eastAsia" w:ascii="仿宋_GB2312" w:hAnsi="仿宋_GB2312" w:eastAsia="仿宋_GB2312" w:cs="仿宋_GB2312"/>
          <w:sz w:val="32"/>
          <w:szCs w:val="32"/>
        </w:rPr>
        <w:t>发现的主要问题：群众对健康生活方式的知晓率还有待提高。下一步改进措施：下一步将加大宣传力度，采取多种方式宣传</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eastAsia="zh-CN"/>
        </w:rPr>
        <w:t>计划生育技术服务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9.35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通过</w:t>
      </w:r>
      <w:r>
        <w:rPr>
          <w:rFonts w:hint="eastAsia" w:ascii="仿宋_GB2312" w:hAnsi="仿宋_GB2312" w:eastAsia="仿宋_GB2312" w:cs="仿宋_GB2312"/>
          <w:sz w:val="32"/>
          <w:szCs w:val="32"/>
        </w:rPr>
        <w:t>项目实施，</w:t>
      </w:r>
      <w:r>
        <w:rPr>
          <w:rFonts w:hint="eastAsia" w:ascii="仿宋_GB2312" w:hAnsi="仿宋_GB2312" w:eastAsia="仿宋_GB2312" w:cs="仿宋_GB2312"/>
          <w:sz w:val="32"/>
          <w:szCs w:val="32"/>
          <w:lang w:eastAsia="zh-CN"/>
        </w:rPr>
        <w:t>对需方提供计划生育技术服务，如安环、取环，人流，三查。</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提升业务能力。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“自愿免费婚检</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1.68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6.54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为适龄男女提供免费婚前检查，提高出生人口素质，降低婴儿死亡率和出生缺陷发生率。</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部分人群对婚前检查不重视</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加大宣传力度，提高适龄男女对婚前检查的重视。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eastAsia="zh-CN"/>
        </w:rPr>
        <w:t>免费孕前优生健康检查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4.39</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通过</w:t>
      </w:r>
      <w:r>
        <w:rPr>
          <w:rFonts w:hint="eastAsia" w:ascii="仿宋_GB2312" w:hAnsi="仿宋_GB2312" w:eastAsia="仿宋_GB2312" w:cs="仿宋_GB2312"/>
          <w:sz w:val="32"/>
          <w:szCs w:val="32"/>
        </w:rPr>
        <w:t>项目实施，</w:t>
      </w:r>
      <w:r>
        <w:rPr>
          <w:rFonts w:hint="eastAsia" w:ascii="仿宋_GB2312" w:hAnsi="仿宋_GB2312" w:eastAsia="仿宋_GB2312" w:cs="仿宋_GB2312"/>
          <w:sz w:val="32"/>
          <w:szCs w:val="32"/>
          <w:lang w:eastAsia="zh-CN"/>
        </w:rPr>
        <w:t>提高了出生人口素质，降低婴儿死亡率和出生缺陷发生率。</w:t>
      </w:r>
      <w:r>
        <w:rPr>
          <w:rFonts w:hint="eastAsia" w:ascii="仿宋_GB2312" w:hAnsi="仿宋_GB2312" w:eastAsia="仿宋_GB2312" w:cs="仿宋_GB2312"/>
          <w:sz w:val="32"/>
          <w:szCs w:val="32"/>
        </w:rPr>
        <w:t>发现的主要问题：群众对健康生活方式的知晓率还有待提高。下一步改进措施：加大宣传力度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采取多种方式宣传</w:t>
      </w:r>
      <w:r>
        <w:rPr>
          <w:rFonts w:hint="eastAsia" w:ascii="仿宋_GB2312" w:hAnsi="仿宋_GB2312" w:eastAsia="仿宋_GB2312" w:cs="仿宋_GB2312"/>
          <w:sz w:val="32"/>
          <w:szCs w:val="32"/>
          <w:lang w:eastAsia="zh-CN"/>
        </w:rPr>
        <w:t>。</w:t>
      </w: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758"/>
        <w:gridCol w:w="999"/>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szCs w:val="24"/>
              </w:rPr>
            </w:pPr>
            <w:r>
              <w:rPr>
                <w:rFonts w:hint="eastAsia" w:ascii="宋体" w:hAnsi="宋体" w:eastAsia="宋体" w:cs="宋体"/>
                <w:b w:val="0"/>
                <w:bCs w:val="0"/>
                <w:sz w:val="24"/>
                <w:szCs w:val="24"/>
              </w:rPr>
              <w:t>预防艾滋病、梅毒和乙肝的母婴传播</w:t>
            </w:r>
            <w:r>
              <w:rPr>
                <w:rFonts w:hint="eastAsia" w:ascii="宋体" w:hAnsi="宋体" w:eastAsia="宋体" w:cs="宋体"/>
                <w:b w:val="0"/>
                <w:bCs w:val="0"/>
                <w:sz w:val="24"/>
                <w:szCs w:val="24"/>
                <w:lang w:eastAsia="zh-CN"/>
              </w:rPr>
              <w:t>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szCs w:val="24"/>
              </w:rPr>
            </w:pPr>
            <w:r>
              <w:rPr>
                <w:rFonts w:hint="eastAsia" w:ascii="宋体" w:hAnsi="宋体" w:eastAsia="宋体" w:cs="宋体"/>
                <w:b w:val="0"/>
                <w:bCs/>
                <w:color w:val="000000"/>
                <w:sz w:val="24"/>
                <w:szCs w:val="24"/>
              </w:rPr>
              <w:t>妇幼保健计划</w:t>
            </w:r>
            <w:r>
              <w:rPr>
                <w:rFonts w:hint="eastAsia" w:ascii="宋体" w:hAnsi="宋体" w:eastAsia="宋体" w:cs="宋体"/>
                <w:b w:val="0"/>
                <w:bCs/>
                <w:color w:val="000000"/>
                <w:sz w:val="24"/>
                <w:szCs w:val="24"/>
                <w:lang w:eastAsia="zh-CN"/>
              </w:rPr>
              <w:t>生育服务</w:t>
            </w:r>
            <w:r>
              <w:rPr>
                <w:rFonts w:hint="eastAsia" w:ascii="宋体" w:hAnsi="宋体" w:eastAsia="宋体" w:cs="宋体"/>
                <w:b w:val="0"/>
                <w:bCs/>
                <w:color w:val="000000"/>
                <w:sz w:val="24"/>
                <w:szCs w:val="24"/>
              </w:rPr>
              <w:t>中心</w:t>
            </w:r>
          </w:p>
        </w:tc>
      </w:tr>
      <w:tr>
        <w:tblPrEx>
          <w:tblCellMar>
            <w:top w:w="0" w:type="dxa"/>
            <w:left w:w="0" w:type="dxa"/>
            <w:bottom w:w="0" w:type="dxa"/>
            <w:right w:w="0" w:type="dxa"/>
          </w:tblCellMar>
        </w:tblPrEx>
        <w:trPr>
          <w:trHeight w:val="434" w:hRule="atLeast"/>
          <w:jc w:val="center"/>
        </w:trPr>
        <w:tc>
          <w:tcPr>
            <w:tcW w:w="75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02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eastAsia="宋体" w:cs="宋体"/>
                <w:sz w:val="24"/>
                <w:szCs w:val="24"/>
                <w:lang w:val="en-US" w:eastAsia="zh-CN"/>
              </w:rPr>
              <w:t>17.90</w:t>
            </w:r>
          </w:p>
        </w:tc>
      </w:tr>
      <w:tr>
        <w:tblPrEx>
          <w:tblCellMar>
            <w:top w:w="0" w:type="dxa"/>
            <w:left w:w="0" w:type="dxa"/>
            <w:bottom w:w="0" w:type="dxa"/>
            <w:right w:w="0" w:type="dxa"/>
          </w:tblCellMar>
        </w:tblPrEx>
        <w:trPr>
          <w:trHeight w:val="276" w:hRule="atLeast"/>
          <w:jc w:val="center"/>
        </w:trPr>
        <w:tc>
          <w:tcPr>
            <w:tcW w:w="75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exact"/>
              <w:jc w:val="center"/>
              <w:rPr>
                <w:rFonts w:ascii="宋体" w:hAnsi="宋体" w:cs="宋体"/>
                <w:color w:val="000000"/>
                <w:sz w:val="24"/>
              </w:rPr>
            </w:pPr>
          </w:p>
        </w:tc>
        <w:tc>
          <w:tcPr>
            <w:tcW w:w="202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17.9</w:t>
            </w:r>
          </w:p>
        </w:tc>
      </w:tr>
      <w:tr>
        <w:tblPrEx>
          <w:tblCellMar>
            <w:top w:w="0" w:type="dxa"/>
            <w:left w:w="0" w:type="dxa"/>
            <w:bottom w:w="0" w:type="dxa"/>
            <w:right w:w="0" w:type="dxa"/>
          </w:tblCellMar>
        </w:tblPrEx>
        <w:trPr>
          <w:trHeight w:val="90" w:hRule="atLeast"/>
          <w:jc w:val="center"/>
        </w:trPr>
        <w:tc>
          <w:tcPr>
            <w:tcW w:w="75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exact"/>
              <w:jc w:val="center"/>
              <w:rPr>
                <w:rFonts w:ascii="宋体" w:hAnsi="宋体" w:cs="宋体"/>
                <w:color w:val="000000"/>
                <w:sz w:val="24"/>
              </w:rPr>
            </w:pPr>
          </w:p>
        </w:tc>
        <w:tc>
          <w:tcPr>
            <w:tcW w:w="202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exact"/>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75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41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299" w:hRule="atLeast"/>
          <w:jc w:val="center"/>
        </w:trPr>
        <w:tc>
          <w:tcPr>
            <w:tcW w:w="75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exact"/>
              <w:jc w:val="center"/>
              <w:rPr>
                <w:rFonts w:ascii="宋体" w:hAnsi="宋体" w:cs="宋体"/>
                <w:color w:val="000000"/>
                <w:sz w:val="24"/>
              </w:rPr>
            </w:pPr>
          </w:p>
        </w:tc>
        <w:tc>
          <w:tcPr>
            <w:tcW w:w="441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numPr>
                <w:ilvl w:val="0"/>
                <w:numId w:val="3"/>
              </w:numPr>
              <w:kinsoku/>
              <w:wordWrap/>
              <w:overflowPunct/>
              <w:topLinePunct w:val="0"/>
              <w:bidi w:val="0"/>
              <w:spacing w:line="560" w:lineRule="exact"/>
              <w:jc w:val="center"/>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做好艾滋病监测、监测。</w:t>
            </w:r>
          </w:p>
          <w:p>
            <w:pPr>
              <w:pageBreakBefore w:val="0"/>
              <w:widowControl/>
              <w:numPr>
                <w:ilvl w:val="0"/>
                <w:numId w:val="3"/>
              </w:numPr>
              <w:kinsoku/>
              <w:wordWrap/>
              <w:overflowPunct/>
              <w:topLinePunct w:val="0"/>
              <w:bidi w:val="0"/>
              <w:spacing w:line="560" w:lineRule="exact"/>
              <w:jc w:val="center"/>
              <w:textAlignment w:val="center"/>
              <w:rPr>
                <w:rFonts w:hint="default" w:ascii="宋体" w:hAnsi="宋体" w:cs="宋体"/>
                <w:color w:val="000000"/>
                <w:sz w:val="24"/>
                <w:lang w:val="en-US" w:eastAsia="zh-CN"/>
              </w:rPr>
            </w:pPr>
            <w:r>
              <w:rPr>
                <w:rFonts w:hint="eastAsia" w:ascii="宋体" w:hAnsi="宋体" w:cs="宋体"/>
                <w:color w:val="000000"/>
                <w:sz w:val="24"/>
                <w:lang w:val="en-US" w:eastAsia="zh-CN"/>
              </w:rPr>
              <w:t>开展艾滋病毒感染者随访工作</w:t>
            </w:r>
          </w:p>
          <w:p>
            <w:pPr>
              <w:pageBreakBefore w:val="0"/>
              <w:widowControl/>
              <w:numPr>
                <w:ilvl w:val="0"/>
                <w:numId w:val="3"/>
              </w:numPr>
              <w:kinsoku/>
              <w:wordWrap/>
              <w:overflowPunct/>
              <w:topLinePunct w:val="0"/>
              <w:bidi w:val="0"/>
              <w:spacing w:line="560" w:lineRule="exact"/>
              <w:jc w:val="center"/>
              <w:textAlignment w:val="center"/>
              <w:rPr>
                <w:rFonts w:hint="default" w:ascii="宋体" w:hAnsi="宋体" w:cs="宋体"/>
                <w:color w:val="000000"/>
                <w:sz w:val="24"/>
                <w:lang w:val="en-US" w:eastAsia="zh-CN"/>
              </w:rPr>
            </w:pPr>
            <w:r>
              <w:rPr>
                <w:rFonts w:hint="eastAsia" w:ascii="宋体" w:hAnsi="宋体" w:cs="宋体"/>
                <w:color w:val="000000"/>
                <w:sz w:val="24"/>
                <w:lang w:val="en-US" w:eastAsia="zh-CN"/>
              </w:rPr>
              <w:t>预防母婴传播</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孕产妇艾滋、梅毒、乙肝检测</w:t>
            </w:r>
            <w:r>
              <w:rPr>
                <w:rFonts w:hint="eastAsia" w:ascii="宋体" w:hAnsi="宋体" w:cs="宋体"/>
                <w:color w:val="000000"/>
                <w:sz w:val="24"/>
                <w:lang w:val="en-US" w:eastAsia="zh-CN"/>
              </w:rPr>
              <w:t>1194人，管理乙肝阳性产妇所生新生儿，注射乙肝免疫球蛋白接种比例100%。</w:t>
            </w:r>
          </w:p>
        </w:tc>
      </w:tr>
      <w:tr>
        <w:tblPrEx>
          <w:tblCellMar>
            <w:top w:w="0" w:type="dxa"/>
            <w:left w:w="0" w:type="dxa"/>
            <w:bottom w:w="0" w:type="dxa"/>
            <w:right w:w="0" w:type="dxa"/>
          </w:tblCellMar>
        </w:tblPrEx>
        <w:trPr>
          <w:trHeight w:val="1042" w:hRule="atLeast"/>
          <w:jc w:val="center"/>
        </w:trPr>
        <w:tc>
          <w:tcPr>
            <w:tcW w:w="758"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9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758"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9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eastAsia="zh-CN"/>
              </w:rPr>
              <w:t>孕产妇艾滋、梅毒、乙肝检测</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宋体" w:hAnsi="宋体" w:cs="宋体"/>
                <w:color w:val="000000"/>
                <w:sz w:val="24"/>
                <w:lang w:val="en-US"/>
              </w:rPr>
            </w:pPr>
            <w:r>
              <w:rPr>
                <w:rFonts w:hint="eastAsia" w:ascii="宋体" w:hAnsi="宋体" w:cs="宋体"/>
                <w:color w:val="000000"/>
                <w:sz w:val="24"/>
                <w:lang w:eastAsia="zh-CN"/>
              </w:rPr>
              <w:t>孕产妇艾滋、梅毒、乙肝检测</w:t>
            </w:r>
            <w:r>
              <w:rPr>
                <w:rFonts w:hint="eastAsia" w:ascii="宋体" w:hAnsi="宋体" w:cs="宋体"/>
                <w:color w:val="000000"/>
                <w:sz w:val="24"/>
                <w:lang w:val="en-US" w:eastAsia="zh-CN"/>
              </w:rPr>
              <w:t>900人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val="en-US" w:eastAsia="zh-CN"/>
              </w:rPr>
              <w:t>1194人</w:t>
            </w:r>
          </w:p>
        </w:tc>
      </w:tr>
      <w:tr>
        <w:tblPrEx>
          <w:tblCellMar>
            <w:top w:w="0" w:type="dxa"/>
            <w:left w:w="0" w:type="dxa"/>
            <w:bottom w:w="0" w:type="dxa"/>
            <w:right w:w="0" w:type="dxa"/>
          </w:tblCellMar>
        </w:tblPrEx>
        <w:trPr>
          <w:trHeight w:val="1297" w:hRule="atLeast"/>
          <w:jc w:val="center"/>
        </w:trPr>
        <w:tc>
          <w:tcPr>
            <w:tcW w:w="758"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9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val="en-US" w:eastAsia="zh-CN"/>
              </w:rPr>
              <w:t>乙肝阳性产妇所生新生儿，注射乙肝免疫球蛋白接种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val="en-US" w:eastAsia="zh-CN"/>
              </w:rPr>
              <w:t>乙肝阳性产妇所生新生儿，注射乙肝免疫球蛋白接种比例100%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42" w:hRule="atLeast"/>
          <w:jc w:val="center"/>
        </w:trPr>
        <w:tc>
          <w:tcPr>
            <w:tcW w:w="758"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9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eastAsia="zh-CN"/>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eastAsia="zh-CN"/>
              </w:rPr>
              <w:t>管理艾滋病、梅毒、乙肝阳性孕产妇新生儿</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val="en-US" w:eastAsia="zh-CN"/>
              </w:rPr>
              <w:t>注射乙肝免疫球蛋白接种比例</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54" w:hRule="atLeast"/>
          <w:jc w:val="center"/>
        </w:trPr>
        <w:tc>
          <w:tcPr>
            <w:tcW w:w="758"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9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eastAsia="zh-CN"/>
              </w:rPr>
              <w:t>受益群众满意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eastAsia="zh-CN"/>
              </w:rPr>
              <w:t>受益群众满意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bl>
    <w:p>
      <w:pPr>
        <w:pageBreakBefore w:val="0"/>
        <w:kinsoku/>
        <w:wordWrap/>
        <w:overflowPunct/>
        <w:topLinePunct w:val="0"/>
        <w:bidi w:val="0"/>
        <w:spacing w:line="560" w:lineRule="exact"/>
        <w:ind w:left="630"/>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773"/>
        <w:gridCol w:w="984"/>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szCs w:val="24"/>
              </w:rPr>
            </w:pPr>
            <w:r>
              <w:rPr>
                <w:rFonts w:hint="eastAsia" w:ascii="宋体" w:hAnsi="宋体" w:eastAsia="宋体" w:cs="宋体"/>
                <w:b w:val="0"/>
                <w:bCs w:val="0"/>
                <w:sz w:val="24"/>
                <w:szCs w:val="24"/>
                <w:lang w:eastAsia="zh-CN"/>
              </w:rPr>
              <w:t>民族卫生十年计划妇女病筛查项目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szCs w:val="24"/>
              </w:rPr>
            </w:pPr>
            <w:r>
              <w:rPr>
                <w:rFonts w:hint="eastAsia" w:ascii="宋体" w:hAnsi="宋体" w:eastAsia="宋体" w:cs="宋体"/>
                <w:b w:val="0"/>
                <w:bCs/>
                <w:color w:val="000000"/>
                <w:sz w:val="24"/>
                <w:szCs w:val="24"/>
              </w:rPr>
              <w:t>妇幼保健计划</w:t>
            </w:r>
            <w:r>
              <w:rPr>
                <w:rFonts w:hint="eastAsia" w:ascii="宋体" w:hAnsi="宋体" w:eastAsia="宋体" w:cs="宋体"/>
                <w:b w:val="0"/>
                <w:bCs/>
                <w:color w:val="000000"/>
                <w:sz w:val="24"/>
                <w:szCs w:val="24"/>
                <w:lang w:eastAsia="zh-CN"/>
              </w:rPr>
              <w:t>生育服务</w:t>
            </w:r>
            <w:r>
              <w:rPr>
                <w:rFonts w:hint="eastAsia" w:ascii="宋体" w:hAnsi="宋体" w:eastAsia="宋体" w:cs="宋体"/>
                <w:b w:val="0"/>
                <w:bCs/>
                <w:color w:val="000000"/>
                <w:sz w:val="24"/>
                <w:szCs w:val="24"/>
              </w:rPr>
              <w:t>中心</w:t>
            </w:r>
          </w:p>
        </w:tc>
      </w:tr>
      <w:tr>
        <w:tblPrEx>
          <w:tblCellMar>
            <w:top w:w="0" w:type="dxa"/>
            <w:left w:w="0" w:type="dxa"/>
            <w:bottom w:w="0" w:type="dxa"/>
            <w:right w:w="0" w:type="dxa"/>
          </w:tblCellMar>
        </w:tblPrEx>
        <w:trPr>
          <w:trHeight w:val="276"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eastAsia="宋体" w:cs="宋体"/>
                <w:sz w:val="24"/>
                <w:szCs w:val="24"/>
                <w:lang w:val="en-US" w:eastAsia="zh-CN"/>
              </w:rPr>
              <w:t>15.84</w:t>
            </w:r>
          </w:p>
        </w:tc>
      </w:tr>
      <w:tr>
        <w:tblPrEx>
          <w:tblCellMar>
            <w:top w:w="0" w:type="dxa"/>
            <w:left w:w="0" w:type="dxa"/>
            <w:bottom w:w="0" w:type="dxa"/>
            <w:right w:w="0" w:type="dxa"/>
          </w:tblCellMar>
        </w:tblPrEx>
        <w:trPr>
          <w:trHeight w:val="276"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exact"/>
              <w:jc w:val="center"/>
              <w:rPr>
                <w:rFonts w:ascii="宋体" w:hAnsi="宋体" w:cs="宋体"/>
                <w:color w:val="000000"/>
                <w:sz w:val="24"/>
              </w:rPr>
            </w:pP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15.84</w:t>
            </w:r>
          </w:p>
        </w:tc>
      </w:tr>
      <w:tr>
        <w:tblPrEx>
          <w:tblCellMar>
            <w:top w:w="0" w:type="dxa"/>
            <w:left w:w="0" w:type="dxa"/>
            <w:bottom w:w="0" w:type="dxa"/>
            <w:right w:w="0" w:type="dxa"/>
          </w:tblCellMar>
        </w:tblPrEx>
        <w:trPr>
          <w:trHeight w:val="396"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exact"/>
              <w:jc w:val="center"/>
              <w:rPr>
                <w:rFonts w:ascii="宋体" w:hAnsi="宋体" w:cs="宋体"/>
                <w:color w:val="000000"/>
                <w:sz w:val="24"/>
              </w:rPr>
            </w:pP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exact"/>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40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374"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exact"/>
              <w:jc w:val="center"/>
              <w:rPr>
                <w:rFonts w:ascii="宋体" w:hAnsi="宋体" w:cs="宋体"/>
                <w:color w:val="000000"/>
                <w:sz w:val="24"/>
              </w:rPr>
            </w:pPr>
          </w:p>
        </w:tc>
        <w:tc>
          <w:tcPr>
            <w:tcW w:w="440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numPr>
                <w:ilvl w:val="0"/>
                <w:numId w:val="4"/>
              </w:numPr>
              <w:kinsoku/>
              <w:wordWrap/>
              <w:overflowPunct/>
              <w:topLinePunct w:val="0"/>
              <w:bidi w:val="0"/>
              <w:spacing w:line="560" w:lineRule="exact"/>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为妇女提供免费妇女病检查</w:t>
            </w:r>
          </w:p>
          <w:p>
            <w:pPr>
              <w:pageBreakBefore w:val="0"/>
              <w:widowControl/>
              <w:numPr>
                <w:ilvl w:val="0"/>
                <w:numId w:val="4"/>
              </w:numPr>
              <w:kinsoku/>
              <w:wordWrap/>
              <w:overflowPunct/>
              <w:topLinePunct w:val="0"/>
              <w:bidi w:val="0"/>
              <w:spacing w:line="560" w:lineRule="exact"/>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提高重点人群对妇女病知晓率</w:t>
            </w:r>
          </w:p>
          <w:p>
            <w:pPr>
              <w:pageBreakBefore w:val="0"/>
              <w:widowControl/>
              <w:kinsoku/>
              <w:wordWrap/>
              <w:overflowPunct/>
              <w:topLinePunct w:val="0"/>
              <w:bidi w:val="0"/>
              <w:spacing w:line="560" w:lineRule="exact"/>
              <w:jc w:val="center"/>
              <w:textAlignment w:val="center"/>
              <w:rPr>
                <w:rFonts w:hint="eastAsia" w:ascii="宋体" w:hAnsi="宋体" w:cs="宋体"/>
                <w:color w:val="000000"/>
                <w:sz w:val="24"/>
                <w:lang w:eastAsia="zh-CN"/>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完成妇女病检查</w:t>
            </w:r>
            <w:r>
              <w:rPr>
                <w:rFonts w:hint="eastAsia" w:ascii="宋体" w:hAnsi="宋体" w:cs="宋体"/>
                <w:color w:val="000000"/>
                <w:sz w:val="24"/>
                <w:lang w:val="en-US" w:eastAsia="zh-CN"/>
              </w:rPr>
              <w:t>3600人次</w:t>
            </w:r>
          </w:p>
        </w:tc>
      </w:tr>
      <w:tr>
        <w:tblPrEx>
          <w:tblCellMar>
            <w:top w:w="0" w:type="dxa"/>
            <w:left w:w="0" w:type="dxa"/>
            <w:bottom w:w="0" w:type="dxa"/>
            <w:right w:w="0" w:type="dxa"/>
          </w:tblCellMar>
        </w:tblPrEx>
        <w:trPr>
          <w:trHeight w:val="1042" w:hRule="atLeast"/>
          <w:jc w:val="center"/>
        </w:trPr>
        <w:tc>
          <w:tcPr>
            <w:tcW w:w="77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完成农村妇女病检查人次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宋体" w:hAnsi="宋体" w:cs="宋体"/>
                <w:color w:val="000000"/>
                <w:sz w:val="24"/>
                <w:lang w:val="en-US"/>
              </w:rPr>
            </w:pPr>
            <w:r>
              <w:rPr>
                <w:rFonts w:hint="eastAsia" w:ascii="宋体" w:hAnsi="宋体" w:cs="宋体"/>
                <w:color w:val="000000"/>
                <w:sz w:val="24"/>
                <w:lang w:eastAsia="zh-CN"/>
              </w:rPr>
              <w:t>完成农村妇女病检查人次</w:t>
            </w:r>
            <w:r>
              <w:rPr>
                <w:rFonts w:hint="eastAsia" w:ascii="宋体" w:hAnsi="宋体" w:cs="宋体"/>
                <w:color w:val="000000"/>
                <w:sz w:val="24"/>
                <w:lang w:val="en-US" w:eastAsia="zh-CN"/>
              </w:rPr>
              <w:t>3000人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eastAsia="zh-CN"/>
              </w:rPr>
              <w:t>完成农村妇女病检查人次</w:t>
            </w:r>
            <w:r>
              <w:rPr>
                <w:rFonts w:hint="eastAsia" w:ascii="宋体" w:hAnsi="宋体" w:cs="宋体"/>
                <w:color w:val="000000"/>
                <w:sz w:val="24"/>
                <w:lang w:val="en-US" w:eastAsia="zh-CN"/>
              </w:rPr>
              <w:t>3600人</w:t>
            </w:r>
          </w:p>
        </w:tc>
      </w:tr>
      <w:tr>
        <w:tblPrEx>
          <w:tblCellMar>
            <w:top w:w="0" w:type="dxa"/>
            <w:left w:w="0" w:type="dxa"/>
            <w:bottom w:w="0" w:type="dxa"/>
            <w:right w:w="0" w:type="dxa"/>
          </w:tblCellMar>
        </w:tblPrEx>
        <w:trPr>
          <w:trHeight w:val="792"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eastAsia="zh-CN"/>
              </w:rPr>
              <w:t>提高重点人群对妇女病的知晓</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eastAsia="zh-CN"/>
              </w:rPr>
              <w:t>提高重点人群对妇女病的知晓</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eastAsia="zh-CN"/>
              </w:rPr>
              <w:t>提高重点人群对妇女病的知晓</w:t>
            </w:r>
          </w:p>
        </w:tc>
      </w:tr>
      <w:tr>
        <w:tblPrEx>
          <w:tblCellMar>
            <w:top w:w="0" w:type="dxa"/>
            <w:left w:w="0" w:type="dxa"/>
            <w:bottom w:w="0" w:type="dxa"/>
            <w:right w:w="0" w:type="dxa"/>
          </w:tblCellMar>
        </w:tblPrEx>
        <w:trPr>
          <w:trHeight w:val="850"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eastAsia="zh-CN"/>
              </w:rPr>
              <w:t>受益群众满意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eastAsia="zh-CN"/>
              </w:rPr>
              <w:t>受益群众满意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bl>
    <w:p>
      <w:pPr>
        <w:pageBreakBefore w:val="0"/>
        <w:kinsoku/>
        <w:wordWrap/>
        <w:overflowPunct/>
        <w:topLinePunct w:val="0"/>
        <w:bidi w:val="0"/>
        <w:spacing w:line="560" w:lineRule="exact"/>
        <w:ind w:left="630"/>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773"/>
        <w:gridCol w:w="984"/>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szCs w:val="24"/>
              </w:rPr>
            </w:pPr>
            <w:r>
              <w:rPr>
                <w:rFonts w:hint="eastAsia" w:ascii="宋体" w:hAnsi="宋体" w:eastAsia="宋体" w:cs="宋体"/>
                <w:b w:val="0"/>
                <w:bCs w:val="0"/>
                <w:sz w:val="24"/>
                <w:szCs w:val="24"/>
                <w:lang w:eastAsia="zh-CN"/>
              </w:rPr>
              <w:t>计划生育技术服务</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szCs w:val="24"/>
              </w:rPr>
            </w:pPr>
            <w:r>
              <w:rPr>
                <w:rFonts w:hint="eastAsia" w:ascii="宋体" w:hAnsi="宋体" w:eastAsia="宋体" w:cs="宋体"/>
                <w:b w:val="0"/>
                <w:bCs/>
                <w:color w:val="000000"/>
                <w:sz w:val="24"/>
                <w:szCs w:val="24"/>
              </w:rPr>
              <w:t>妇幼保健计划</w:t>
            </w:r>
            <w:r>
              <w:rPr>
                <w:rFonts w:hint="eastAsia" w:ascii="宋体" w:hAnsi="宋体" w:eastAsia="宋体" w:cs="宋体"/>
                <w:b w:val="0"/>
                <w:bCs/>
                <w:color w:val="000000"/>
                <w:sz w:val="24"/>
                <w:szCs w:val="24"/>
                <w:lang w:eastAsia="zh-CN"/>
              </w:rPr>
              <w:t>生育服务</w:t>
            </w:r>
            <w:r>
              <w:rPr>
                <w:rFonts w:hint="eastAsia" w:ascii="宋体" w:hAnsi="宋体" w:eastAsia="宋体" w:cs="宋体"/>
                <w:b w:val="0"/>
                <w:bCs/>
                <w:color w:val="000000"/>
                <w:sz w:val="24"/>
                <w:szCs w:val="24"/>
              </w:rPr>
              <w:t>中心</w:t>
            </w:r>
          </w:p>
        </w:tc>
      </w:tr>
      <w:tr>
        <w:tblPrEx>
          <w:tblCellMar>
            <w:top w:w="0" w:type="dxa"/>
            <w:left w:w="0" w:type="dxa"/>
            <w:bottom w:w="0" w:type="dxa"/>
            <w:right w:w="0" w:type="dxa"/>
          </w:tblCellMar>
        </w:tblPrEx>
        <w:trPr>
          <w:trHeight w:val="276"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宋体" w:hAnsi="宋体" w:cs="宋体"/>
                <w:color w:val="000000"/>
                <w:sz w:val="24"/>
                <w:lang w:val="en-US"/>
              </w:rPr>
            </w:pPr>
            <w:r>
              <w:rPr>
                <w:rFonts w:hint="eastAsia" w:ascii="宋体" w:hAnsi="宋体" w:eastAsia="宋体" w:cs="宋体"/>
                <w:sz w:val="24"/>
                <w:szCs w:val="24"/>
                <w:lang w:val="en-US" w:eastAsia="zh-CN"/>
              </w:rPr>
              <w:t>9.35</w:t>
            </w:r>
          </w:p>
        </w:tc>
      </w:tr>
      <w:tr>
        <w:tblPrEx>
          <w:tblCellMar>
            <w:top w:w="0" w:type="dxa"/>
            <w:left w:w="0" w:type="dxa"/>
            <w:bottom w:w="0" w:type="dxa"/>
            <w:right w:w="0" w:type="dxa"/>
          </w:tblCellMar>
        </w:tblPrEx>
        <w:trPr>
          <w:trHeight w:val="276"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exact"/>
              <w:jc w:val="center"/>
              <w:rPr>
                <w:rFonts w:ascii="宋体" w:hAnsi="宋体" w:cs="宋体"/>
                <w:color w:val="000000"/>
                <w:sz w:val="24"/>
              </w:rPr>
            </w:pP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9.35</w:t>
            </w:r>
          </w:p>
        </w:tc>
      </w:tr>
      <w:tr>
        <w:tblPrEx>
          <w:tblCellMar>
            <w:top w:w="0" w:type="dxa"/>
            <w:left w:w="0" w:type="dxa"/>
            <w:bottom w:w="0" w:type="dxa"/>
            <w:right w:w="0" w:type="dxa"/>
          </w:tblCellMar>
        </w:tblPrEx>
        <w:trPr>
          <w:trHeight w:val="341"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exact"/>
              <w:jc w:val="center"/>
              <w:rPr>
                <w:rFonts w:ascii="宋体" w:hAnsi="宋体" w:cs="宋体"/>
                <w:color w:val="000000"/>
                <w:sz w:val="24"/>
              </w:rPr>
            </w:pP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exact"/>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40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实际完成目标</w:t>
            </w:r>
          </w:p>
        </w:tc>
      </w:tr>
      <w:tr>
        <w:tblPrEx>
          <w:tblCellMar>
            <w:top w:w="0" w:type="dxa"/>
            <w:left w:w="0" w:type="dxa"/>
            <w:bottom w:w="0" w:type="dxa"/>
            <w:right w:w="0" w:type="dxa"/>
          </w:tblCellMar>
        </w:tblPrEx>
        <w:trPr>
          <w:trHeight w:val="1613"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exact"/>
              <w:jc w:val="center"/>
              <w:rPr>
                <w:rFonts w:ascii="宋体" w:hAnsi="宋体" w:cs="宋体"/>
                <w:color w:val="000000"/>
                <w:sz w:val="24"/>
              </w:rPr>
            </w:pPr>
          </w:p>
        </w:tc>
        <w:tc>
          <w:tcPr>
            <w:tcW w:w="440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numPr>
                <w:ilvl w:val="0"/>
                <w:numId w:val="5"/>
              </w:numPr>
              <w:kinsoku/>
              <w:wordWrap/>
              <w:overflowPunct/>
              <w:topLinePunct w:val="0"/>
              <w:bidi w:val="0"/>
              <w:spacing w:line="560" w:lineRule="exact"/>
              <w:jc w:val="center"/>
              <w:textAlignment w:val="center"/>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为农村已婚育龄妇女查孕、查环、查病提供服务</w:t>
            </w:r>
          </w:p>
          <w:p>
            <w:pPr>
              <w:pageBreakBefore w:val="0"/>
              <w:widowControl/>
              <w:numPr>
                <w:ilvl w:val="0"/>
                <w:numId w:val="5"/>
              </w:numPr>
              <w:kinsoku/>
              <w:wordWrap/>
              <w:overflowPunct/>
              <w:topLinePunct w:val="0"/>
              <w:bidi w:val="0"/>
              <w:spacing w:line="560" w:lineRule="exact"/>
              <w:jc w:val="center"/>
              <w:textAlignment w:val="center"/>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对需方提供计划生育技术服务，如安环、取环，人流</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numPr>
                <w:ilvl w:val="0"/>
                <w:numId w:val="0"/>
              </w:numPr>
              <w:kinsoku/>
              <w:wordWrap/>
              <w:overflowPunct/>
              <w:topLinePunct w:val="0"/>
              <w:bidi w:val="0"/>
              <w:spacing w:line="560" w:lineRule="exact"/>
              <w:jc w:val="both"/>
              <w:textAlignment w:val="center"/>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为农村已婚育龄妇女查孕、查环、查病</w:t>
            </w:r>
            <w:r>
              <w:rPr>
                <w:rFonts w:hint="eastAsia" w:ascii="宋体" w:hAnsi="宋体" w:eastAsia="宋体" w:cs="宋体"/>
                <w:b w:val="0"/>
                <w:bCs/>
                <w:color w:val="000000"/>
                <w:sz w:val="24"/>
                <w:szCs w:val="24"/>
                <w:lang w:val="en-US" w:eastAsia="zh-CN"/>
              </w:rPr>
              <w:t>21083人次。</w:t>
            </w:r>
          </w:p>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lang w:val="en-US"/>
              </w:rPr>
            </w:pPr>
            <w:r>
              <w:rPr>
                <w:rFonts w:hint="eastAsia" w:ascii="宋体" w:hAnsi="宋体" w:eastAsia="宋体" w:cs="宋体"/>
                <w:b w:val="0"/>
                <w:bCs/>
                <w:color w:val="000000"/>
                <w:sz w:val="24"/>
                <w:szCs w:val="24"/>
                <w:lang w:val="en-US" w:eastAsia="zh-CN"/>
              </w:rPr>
              <w:t>对需方提供计划生育技术服务，安环77人、取环108人，人流195人。</w:t>
            </w:r>
          </w:p>
        </w:tc>
      </w:tr>
      <w:tr>
        <w:tblPrEx>
          <w:tblCellMar>
            <w:top w:w="0" w:type="dxa"/>
            <w:left w:w="0" w:type="dxa"/>
            <w:bottom w:w="0" w:type="dxa"/>
            <w:right w:w="0" w:type="dxa"/>
          </w:tblCellMar>
        </w:tblPrEx>
        <w:trPr>
          <w:trHeight w:val="1042" w:hRule="atLeast"/>
          <w:jc w:val="center"/>
        </w:trPr>
        <w:tc>
          <w:tcPr>
            <w:tcW w:w="77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实际完成指标值(包含数字及文字描述)</w:t>
            </w:r>
          </w:p>
        </w:tc>
      </w:tr>
      <w:tr>
        <w:tblPrEx>
          <w:tblCellMar>
            <w:top w:w="0" w:type="dxa"/>
            <w:left w:w="0" w:type="dxa"/>
            <w:bottom w:w="0" w:type="dxa"/>
            <w:right w:w="0" w:type="dxa"/>
          </w:tblCellMar>
        </w:tblPrEx>
        <w:trPr>
          <w:trHeight w:val="1805"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numPr>
                <w:ilvl w:val="0"/>
                <w:numId w:val="0"/>
              </w:numPr>
              <w:kinsoku/>
              <w:wordWrap/>
              <w:overflowPunct/>
              <w:topLinePunct w:val="0"/>
              <w:bidi w:val="0"/>
              <w:spacing w:line="560" w:lineRule="exact"/>
              <w:jc w:val="both"/>
              <w:textAlignment w:val="center"/>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为农村已婚育龄妇女查孕、查环、查病</w:t>
            </w:r>
          </w:p>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numPr>
                <w:ilvl w:val="0"/>
                <w:numId w:val="0"/>
              </w:numPr>
              <w:kinsoku/>
              <w:wordWrap/>
              <w:overflowPunct/>
              <w:topLinePunct w:val="0"/>
              <w:bidi w:val="0"/>
              <w:spacing w:line="560" w:lineRule="exact"/>
              <w:jc w:val="both"/>
              <w:textAlignment w:val="center"/>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为农村已婚育龄妇女查孕、查环、查病</w:t>
            </w:r>
            <w:r>
              <w:rPr>
                <w:rFonts w:hint="eastAsia" w:ascii="宋体" w:hAnsi="宋体" w:eastAsia="宋体" w:cs="宋体"/>
                <w:b w:val="0"/>
                <w:bCs/>
                <w:color w:val="000000"/>
                <w:sz w:val="24"/>
                <w:szCs w:val="24"/>
                <w:lang w:val="en-US" w:eastAsia="zh-CN"/>
              </w:rPr>
              <w:t>20000人次</w:t>
            </w:r>
          </w:p>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numPr>
                <w:ilvl w:val="0"/>
                <w:numId w:val="0"/>
              </w:numPr>
              <w:kinsoku/>
              <w:wordWrap/>
              <w:overflowPunct/>
              <w:topLinePunct w:val="0"/>
              <w:bidi w:val="0"/>
              <w:spacing w:line="560" w:lineRule="exact"/>
              <w:jc w:val="both"/>
              <w:textAlignment w:val="center"/>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为农村已婚育龄妇女查孕、查环、查病</w:t>
            </w:r>
            <w:r>
              <w:rPr>
                <w:rFonts w:hint="eastAsia" w:ascii="宋体" w:hAnsi="宋体" w:eastAsia="宋体" w:cs="宋体"/>
                <w:b w:val="0"/>
                <w:bCs/>
                <w:color w:val="000000"/>
                <w:sz w:val="24"/>
                <w:szCs w:val="24"/>
                <w:lang w:val="en-US" w:eastAsia="zh-CN"/>
              </w:rPr>
              <w:t>21083人次</w:t>
            </w:r>
          </w:p>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rPr>
            </w:pPr>
          </w:p>
        </w:tc>
      </w:tr>
      <w:tr>
        <w:tblPrEx>
          <w:tblCellMar>
            <w:top w:w="0" w:type="dxa"/>
            <w:left w:w="0" w:type="dxa"/>
            <w:bottom w:w="0" w:type="dxa"/>
            <w:right w:w="0" w:type="dxa"/>
          </w:tblCellMar>
        </w:tblPrEx>
        <w:trPr>
          <w:trHeight w:val="1297"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rPr>
            </w:pPr>
            <w:r>
              <w:rPr>
                <w:rFonts w:hint="eastAsia" w:ascii="宋体" w:hAnsi="宋体" w:eastAsia="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rPr>
            </w:pPr>
            <w:r>
              <w:rPr>
                <w:rFonts w:hint="eastAsia" w:ascii="宋体" w:hAnsi="宋体" w:eastAsia="宋体" w:cs="宋体"/>
                <w:b w:val="0"/>
                <w:bCs/>
                <w:color w:val="000000"/>
                <w:sz w:val="24"/>
                <w:szCs w:val="24"/>
                <w:lang w:val="en-US" w:eastAsia="zh-CN"/>
              </w:rPr>
              <w:t>对需方提供计划生育技术服务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rPr>
            </w:pPr>
            <w:r>
              <w:rPr>
                <w:rFonts w:hint="eastAsia" w:ascii="宋体" w:hAnsi="宋体" w:eastAsia="宋体" w:cs="宋体"/>
                <w:b w:val="0"/>
                <w:bCs/>
                <w:color w:val="000000"/>
                <w:sz w:val="24"/>
                <w:szCs w:val="24"/>
                <w:lang w:val="en-US" w:eastAsia="zh-CN"/>
              </w:rPr>
              <w:t>对需方提供计划生育技术服务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rPr>
            </w:pPr>
            <w:r>
              <w:rPr>
                <w:rFonts w:hint="eastAsia" w:ascii="宋体" w:hAnsi="宋体" w:eastAsia="宋体" w:cs="宋体"/>
                <w:b w:val="0"/>
                <w:bCs/>
                <w:color w:val="000000"/>
                <w:sz w:val="24"/>
                <w:szCs w:val="24"/>
                <w:lang w:val="en-US" w:eastAsia="zh-CN"/>
              </w:rPr>
              <w:t>对需方提供计划生育技术服务，安环77人、取环108人，人流195人</w:t>
            </w:r>
          </w:p>
        </w:tc>
      </w:tr>
      <w:tr>
        <w:tblPrEx>
          <w:tblCellMar>
            <w:top w:w="0" w:type="dxa"/>
            <w:left w:w="0" w:type="dxa"/>
            <w:bottom w:w="0" w:type="dxa"/>
            <w:right w:w="0" w:type="dxa"/>
          </w:tblCellMar>
        </w:tblPrEx>
        <w:trPr>
          <w:trHeight w:val="1042"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rPr>
            </w:pPr>
            <w:r>
              <w:rPr>
                <w:rFonts w:hint="eastAsia" w:ascii="宋体" w:hAnsi="宋体" w:eastAsia="宋体" w:cs="宋体"/>
                <w:color w:val="000000"/>
                <w:sz w:val="24"/>
                <w:lang w:eastAsia="zh-CN"/>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numPr>
                <w:ilvl w:val="0"/>
                <w:numId w:val="0"/>
              </w:numPr>
              <w:kinsoku/>
              <w:wordWrap/>
              <w:overflowPunct/>
              <w:topLinePunct w:val="0"/>
              <w:bidi w:val="0"/>
              <w:spacing w:line="560" w:lineRule="exact"/>
              <w:jc w:val="both"/>
              <w:textAlignment w:val="center"/>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为农村已婚育龄妇女查孕、查环、查病提供服务</w:t>
            </w:r>
          </w:p>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numPr>
                <w:ilvl w:val="0"/>
                <w:numId w:val="0"/>
              </w:numPr>
              <w:kinsoku/>
              <w:wordWrap/>
              <w:overflowPunct/>
              <w:topLinePunct w:val="0"/>
              <w:bidi w:val="0"/>
              <w:spacing w:line="560" w:lineRule="exact"/>
              <w:jc w:val="both"/>
              <w:textAlignment w:val="center"/>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为农村已婚育龄妇女查孕、查环、查病提供服务</w:t>
            </w:r>
          </w:p>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numPr>
                <w:ilvl w:val="0"/>
                <w:numId w:val="0"/>
              </w:numPr>
              <w:kinsoku/>
              <w:wordWrap/>
              <w:overflowPunct/>
              <w:topLinePunct w:val="0"/>
              <w:bidi w:val="0"/>
              <w:spacing w:line="560" w:lineRule="exact"/>
              <w:jc w:val="both"/>
              <w:textAlignment w:val="center"/>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为农村已婚育龄妇女查孕、查环、查病提供服务</w:t>
            </w:r>
          </w:p>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lang w:val="en-US" w:eastAsia="zh-CN"/>
              </w:rPr>
            </w:pPr>
          </w:p>
        </w:tc>
      </w:tr>
      <w:tr>
        <w:tblPrEx>
          <w:tblCellMar>
            <w:top w:w="0" w:type="dxa"/>
            <w:left w:w="0" w:type="dxa"/>
            <w:bottom w:w="0" w:type="dxa"/>
            <w:right w:w="0" w:type="dxa"/>
          </w:tblCellMar>
        </w:tblPrEx>
        <w:trPr>
          <w:trHeight w:val="1297"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rPr>
            </w:pPr>
            <w:r>
              <w:rPr>
                <w:rFonts w:hint="eastAsia" w:ascii="宋体" w:hAnsi="宋体" w:eastAsia="宋体" w:cs="宋体"/>
                <w:color w:val="000000"/>
                <w:sz w:val="24"/>
                <w:lang w:eastAsia="zh-CN"/>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rPr>
            </w:pPr>
            <w:r>
              <w:rPr>
                <w:rFonts w:hint="eastAsia" w:ascii="宋体" w:hAnsi="宋体" w:eastAsia="宋体" w:cs="宋体"/>
                <w:b w:val="0"/>
                <w:bCs/>
                <w:color w:val="000000"/>
                <w:sz w:val="24"/>
                <w:szCs w:val="24"/>
                <w:lang w:val="en-US" w:eastAsia="zh-CN"/>
              </w:rPr>
              <w:t>对需方提供计划生育技术服务，如安环、取环，人流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rPr>
            </w:pPr>
            <w:r>
              <w:rPr>
                <w:rFonts w:hint="eastAsia" w:ascii="宋体" w:hAnsi="宋体" w:eastAsia="宋体" w:cs="宋体"/>
                <w:b w:val="0"/>
                <w:bCs/>
                <w:color w:val="000000"/>
                <w:sz w:val="24"/>
                <w:szCs w:val="24"/>
                <w:lang w:val="en-US" w:eastAsia="zh-CN"/>
              </w:rPr>
              <w:t>对需方提供计划生育技术服务，如安环、取环，人流</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rPr>
            </w:pPr>
            <w:r>
              <w:rPr>
                <w:rFonts w:hint="eastAsia" w:ascii="宋体" w:hAnsi="宋体" w:eastAsia="宋体" w:cs="宋体"/>
                <w:b w:val="0"/>
                <w:bCs/>
                <w:color w:val="000000"/>
                <w:sz w:val="24"/>
                <w:szCs w:val="24"/>
                <w:lang w:val="en-US" w:eastAsia="zh-CN"/>
              </w:rPr>
              <w:t>对需方提供计划生育技术服务，如安环、取环，人流</w:t>
            </w:r>
          </w:p>
        </w:tc>
      </w:tr>
      <w:tr>
        <w:tblPrEx>
          <w:tblCellMar>
            <w:top w:w="0" w:type="dxa"/>
            <w:left w:w="0" w:type="dxa"/>
            <w:bottom w:w="0" w:type="dxa"/>
            <w:right w:w="0" w:type="dxa"/>
          </w:tblCellMar>
        </w:tblPrEx>
        <w:trPr>
          <w:trHeight w:val="706" w:hRule="atLeast"/>
          <w:jc w:val="center"/>
        </w:trPr>
        <w:tc>
          <w:tcPr>
            <w:tcW w:w="77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lang w:eastAsia="zh-CN"/>
              </w:rPr>
              <w:t>受益群众满意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lang w:eastAsia="zh-CN"/>
              </w:rPr>
              <w:t>受益群众满意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lang w:val="en-US" w:eastAsia="zh-CN"/>
              </w:rPr>
              <w:t>100%</w:t>
            </w:r>
          </w:p>
        </w:tc>
      </w:tr>
    </w:tbl>
    <w:p>
      <w:pPr>
        <w:pageBreakBefore w:val="0"/>
        <w:kinsoku/>
        <w:wordWrap/>
        <w:overflowPunct/>
        <w:topLinePunct w:val="0"/>
        <w:bidi w:val="0"/>
        <w:spacing w:line="560" w:lineRule="exact"/>
        <w:ind w:left="630"/>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773"/>
        <w:gridCol w:w="984"/>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szCs w:val="24"/>
              </w:rPr>
            </w:pPr>
            <w:r>
              <w:rPr>
                <w:rFonts w:hint="eastAsia" w:ascii="宋体" w:hAnsi="宋体" w:eastAsia="宋体" w:cs="宋体"/>
                <w:sz w:val="24"/>
                <w:szCs w:val="24"/>
                <w:lang w:eastAsia="zh-CN"/>
              </w:rPr>
              <w:t>自愿免费婚检</w:t>
            </w:r>
            <w:r>
              <w:rPr>
                <w:rFonts w:hint="eastAsia" w:ascii="宋体" w:hAnsi="宋体" w:eastAsia="宋体" w:cs="宋体"/>
                <w:sz w:val="24"/>
                <w:szCs w:val="24"/>
              </w:rPr>
              <w:t>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szCs w:val="24"/>
              </w:rPr>
            </w:pPr>
            <w:r>
              <w:rPr>
                <w:rFonts w:hint="eastAsia" w:ascii="宋体" w:hAnsi="宋体" w:eastAsia="宋体" w:cs="宋体"/>
                <w:b w:val="0"/>
                <w:bCs/>
                <w:color w:val="000000"/>
                <w:sz w:val="24"/>
                <w:szCs w:val="24"/>
              </w:rPr>
              <w:t>妇幼保健计划</w:t>
            </w:r>
            <w:r>
              <w:rPr>
                <w:rFonts w:hint="eastAsia" w:ascii="宋体" w:hAnsi="宋体" w:eastAsia="宋体" w:cs="宋体"/>
                <w:b w:val="0"/>
                <w:bCs/>
                <w:color w:val="000000"/>
                <w:sz w:val="24"/>
                <w:szCs w:val="24"/>
                <w:lang w:eastAsia="zh-CN"/>
              </w:rPr>
              <w:t>生育服务</w:t>
            </w:r>
            <w:r>
              <w:rPr>
                <w:rFonts w:hint="eastAsia" w:ascii="宋体" w:hAnsi="宋体" w:eastAsia="宋体" w:cs="宋体"/>
                <w:b w:val="0"/>
                <w:bCs/>
                <w:color w:val="000000"/>
                <w:sz w:val="24"/>
                <w:szCs w:val="24"/>
              </w:rPr>
              <w:t>中心</w:t>
            </w:r>
          </w:p>
        </w:tc>
      </w:tr>
      <w:tr>
        <w:tblPrEx>
          <w:tblCellMar>
            <w:top w:w="0" w:type="dxa"/>
            <w:left w:w="0" w:type="dxa"/>
            <w:bottom w:w="0" w:type="dxa"/>
            <w:right w:w="0" w:type="dxa"/>
          </w:tblCellMar>
        </w:tblPrEx>
        <w:trPr>
          <w:trHeight w:val="276"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1.68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eastAsia="宋体" w:cs="宋体"/>
                <w:sz w:val="24"/>
                <w:szCs w:val="24"/>
                <w:lang w:val="en-US" w:eastAsia="zh-CN"/>
              </w:rPr>
              <w:t>6.54</w:t>
            </w:r>
          </w:p>
        </w:tc>
      </w:tr>
      <w:tr>
        <w:tblPrEx>
          <w:tblCellMar>
            <w:top w:w="0" w:type="dxa"/>
            <w:left w:w="0" w:type="dxa"/>
            <w:bottom w:w="0" w:type="dxa"/>
            <w:right w:w="0" w:type="dxa"/>
          </w:tblCellMar>
        </w:tblPrEx>
        <w:trPr>
          <w:trHeight w:val="276"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exact"/>
              <w:jc w:val="center"/>
              <w:rPr>
                <w:rFonts w:ascii="宋体" w:hAnsi="宋体" w:cs="宋体"/>
                <w:color w:val="000000"/>
                <w:sz w:val="24"/>
              </w:rPr>
            </w:pP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1.68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6.54</w:t>
            </w:r>
          </w:p>
        </w:tc>
      </w:tr>
      <w:tr>
        <w:tblPrEx>
          <w:tblCellMar>
            <w:top w:w="0" w:type="dxa"/>
            <w:left w:w="0" w:type="dxa"/>
            <w:bottom w:w="0" w:type="dxa"/>
            <w:right w:w="0" w:type="dxa"/>
          </w:tblCellMar>
        </w:tblPrEx>
        <w:trPr>
          <w:trHeight w:val="361"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exact"/>
              <w:jc w:val="center"/>
              <w:rPr>
                <w:rFonts w:ascii="宋体" w:hAnsi="宋体" w:cs="宋体"/>
                <w:color w:val="000000"/>
                <w:sz w:val="24"/>
              </w:rPr>
            </w:pP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exact"/>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40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exact"/>
              <w:jc w:val="center"/>
              <w:rPr>
                <w:rFonts w:ascii="宋体" w:hAnsi="宋体" w:cs="宋体"/>
                <w:color w:val="000000"/>
                <w:sz w:val="24"/>
              </w:rPr>
            </w:pPr>
          </w:p>
        </w:tc>
        <w:tc>
          <w:tcPr>
            <w:tcW w:w="440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numPr>
                <w:ilvl w:val="0"/>
                <w:numId w:val="6"/>
              </w:numPr>
              <w:kinsoku/>
              <w:wordWrap/>
              <w:overflowPunct/>
              <w:topLinePunct w:val="0"/>
              <w:bidi w:val="0"/>
              <w:spacing w:line="560" w:lineRule="exact"/>
              <w:jc w:val="center"/>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推广婚前健康检查</w:t>
            </w:r>
          </w:p>
          <w:p>
            <w:pPr>
              <w:pageBreakBefore w:val="0"/>
              <w:widowControl/>
              <w:numPr>
                <w:ilvl w:val="0"/>
                <w:numId w:val="0"/>
              </w:numPr>
              <w:kinsoku/>
              <w:wordWrap/>
              <w:overflowPunct/>
              <w:topLinePunct w:val="0"/>
              <w:bidi w:val="0"/>
              <w:spacing w:line="560" w:lineRule="exact"/>
              <w:jc w:val="both"/>
              <w:textAlignment w:val="center"/>
              <w:rPr>
                <w:rFonts w:hint="default" w:ascii="宋体" w:hAnsi="宋体" w:cs="宋体"/>
                <w:color w:val="000000"/>
                <w:sz w:val="24"/>
                <w:lang w:val="en-US" w:eastAsia="zh-CN"/>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完成婚前健康检查</w:t>
            </w:r>
            <w:r>
              <w:rPr>
                <w:rFonts w:hint="eastAsia" w:ascii="宋体" w:hAnsi="宋体" w:cs="宋体"/>
                <w:color w:val="000000"/>
                <w:sz w:val="24"/>
                <w:lang w:val="en-US" w:eastAsia="zh-CN"/>
              </w:rPr>
              <w:t>714人</w:t>
            </w:r>
          </w:p>
        </w:tc>
      </w:tr>
      <w:tr>
        <w:tblPrEx>
          <w:tblCellMar>
            <w:top w:w="0" w:type="dxa"/>
            <w:left w:w="0" w:type="dxa"/>
            <w:bottom w:w="0" w:type="dxa"/>
            <w:right w:w="0" w:type="dxa"/>
          </w:tblCellMar>
        </w:tblPrEx>
        <w:trPr>
          <w:trHeight w:val="1042" w:hRule="atLeast"/>
          <w:jc w:val="center"/>
        </w:trPr>
        <w:tc>
          <w:tcPr>
            <w:tcW w:w="77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eastAsia="zh-CN"/>
              </w:rPr>
              <w:t>完成婚前健康检查人次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宋体" w:hAnsi="宋体" w:cs="宋体"/>
                <w:color w:val="000000"/>
                <w:sz w:val="24"/>
                <w:lang w:val="en-US"/>
              </w:rPr>
            </w:pPr>
            <w:r>
              <w:rPr>
                <w:rFonts w:hint="eastAsia" w:ascii="宋体" w:hAnsi="宋体" w:cs="宋体"/>
                <w:color w:val="000000"/>
                <w:sz w:val="24"/>
                <w:lang w:eastAsia="zh-CN"/>
              </w:rPr>
              <w:t>完成婚前健康检查人次</w:t>
            </w:r>
            <w:r>
              <w:rPr>
                <w:rFonts w:hint="eastAsia" w:ascii="宋体" w:hAnsi="宋体" w:cs="宋体"/>
                <w:color w:val="000000"/>
                <w:sz w:val="24"/>
                <w:lang w:val="en-US" w:eastAsia="zh-CN"/>
              </w:rPr>
              <w:t>200对</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eastAsia="zh-CN"/>
              </w:rPr>
              <w:t>完成婚前健康检查人次</w:t>
            </w:r>
            <w:r>
              <w:rPr>
                <w:rFonts w:hint="eastAsia" w:ascii="宋体" w:hAnsi="宋体" w:cs="宋体"/>
                <w:color w:val="000000"/>
                <w:sz w:val="24"/>
                <w:lang w:val="en-US" w:eastAsia="zh-CN"/>
              </w:rPr>
              <w:t>714人（357对）</w:t>
            </w:r>
          </w:p>
        </w:tc>
      </w:tr>
      <w:tr>
        <w:tblPrEx>
          <w:tblCellMar>
            <w:top w:w="0" w:type="dxa"/>
            <w:left w:w="0" w:type="dxa"/>
            <w:bottom w:w="0" w:type="dxa"/>
            <w:right w:w="0" w:type="dxa"/>
          </w:tblCellMar>
        </w:tblPrEx>
        <w:trPr>
          <w:trHeight w:val="1042"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eastAsia="zh-CN"/>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eastAsia="zh-CN"/>
              </w:rPr>
              <w:t>推广婚前健康检查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eastAsia="zh-CN"/>
              </w:rPr>
              <w:t>推广婚前健康检查</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eastAsia="zh-CN"/>
              </w:rPr>
              <w:t>推广婚前健康检查</w:t>
            </w:r>
          </w:p>
        </w:tc>
      </w:tr>
      <w:tr>
        <w:tblPrEx>
          <w:tblCellMar>
            <w:top w:w="0" w:type="dxa"/>
            <w:left w:w="0" w:type="dxa"/>
            <w:bottom w:w="0" w:type="dxa"/>
            <w:right w:w="0" w:type="dxa"/>
          </w:tblCellMar>
        </w:tblPrEx>
        <w:trPr>
          <w:trHeight w:val="1050" w:hRule="atLeast"/>
          <w:jc w:val="center"/>
        </w:trPr>
        <w:tc>
          <w:tcPr>
            <w:tcW w:w="77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eastAsia="zh-CN"/>
              </w:rPr>
              <w:t>受益群众满意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eastAsia="zh-CN"/>
              </w:rPr>
              <w:t>受益群众满意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r>
    </w:tbl>
    <w:p>
      <w:pPr>
        <w:pageBreakBefore w:val="0"/>
        <w:kinsoku/>
        <w:wordWrap/>
        <w:overflowPunct/>
        <w:topLinePunct w:val="0"/>
        <w:bidi w:val="0"/>
        <w:spacing w:line="560" w:lineRule="exact"/>
        <w:ind w:left="630"/>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773"/>
        <w:gridCol w:w="984"/>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szCs w:val="24"/>
              </w:rPr>
            </w:pPr>
            <w:r>
              <w:rPr>
                <w:rFonts w:hint="eastAsia" w:ascii="宋体" w:hAnsi="宋体" w:eastAsia="宋体" w:cs="宋体"/>
                <w:b w:val="0"/>
                <w:bCs w:val="0"/>
                <w:sz w:val="24"/>
                <w:szCs w:val="24"/>
                <w:lang w:eastAsia="zh-CN"/>
              </w:rPr>
              <w:t>免费孕前优生健康检查</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szCs w:val="24"/>
              </w:rPr>
            </w:pPr>
            <w:r>
              <w:rPr>
                <w:rFonts w:hint="eastAsia" w:ascii="宋体" w:hAnsi="宋体" w:eastAsia="宋体" w:cs="宋体"/>
                <w:b w:val="0"/>
                <w:bCs/>
                <w:color w:val="000000"/>
                <w:sz w:val="24"/>
                <w:szCs w:val="24"/>
              </w:rPr>
              <w:t>妇幼保健计划</w:t>
            </w:r>
            <w:r>
              <w:rPr>
                <w:rFonts w:hint="eastAsia" w:ascii="宋体" w:hAnsi="宋体" w:eastAsia="宋体" w:cs="宋体"/>
                <w:b w:val="0"/>
                <w:bCs/>
                <w:color w:val="000000"/>
                <w:sz w:val="24"/>
                <w:szCs w:val="24"/>
                <w:lang w:eastAsia="zh-CN"/>
              </w:rPr>
              <w:t>生育服务</w:t>
            </w:r>
            <w:r>
              <w:rPr>
                <w:rFonts w:hint="eastAsia" w:ascii="宋体" w:hAnsi="宋体" w:eastAsia="宋体" w:cs="宋体"/>
                <w:b w:val="0"/>
                <w:bCs/>
                <w:color w:val="000000"/>
                <w:sz w:val="24"/>
                <w:szCs w:val="24"/>
              </w:rPr>
              <w:t>中心</w:t>
            </w:r>
          </w:p>
        </w:tc>
      </w:tr>
      <w:tr>
        <w:tblPrEx>
          <w:tblCellMar>
            <w:top w:w="0" w:type="dxa"/>
            <w:left w:w="0" w:type="dxa"/>
            <w:bottom w:w="0" w:type="dxa"/>
            <w:right w:w="0" w:type="dxa"/>
          </w:tblCellMar>
        </w:tblPrEx>
        <w:trPr>
          <w:trHeight w:val="276"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eastAsia="宋体" w:cs="宋体"/>
                <w:sz w:val="24"/>
                <w:szCs w:val="24"/>
                <w:lang w:val="en-US" w:eastAsia="zh-CN"/>
              </w:rPr>
              <w:t>4.39</w:t>
            </w:r>
          </w:p>
        </w:tc>
      </w:tr>
      <w:tr>
        <w:tblPrEx>
          <w:tblCellMar>
            <w:top w:w="0" w:type="dxa"/>
            <w:left w:w="0" w:type="dxa"/>
            <w:bottom w:w="0" w:type="dxa"/>
            <w:right w:w="0" w:type="dxa"/>
          </w:tblCellMar>
        </w:tblPrEx>
        <w:trPr>
          <w:trHeight w:val="276"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exact"/>
              <w:jc w:val="center"/>
              <w:rPr>
                <w:rFonts w:ascii="宋体" w:hAnsi="宋体" w:cs="宋体"/>
                <w:color w:val="000000"/>
                <w:sz w:val="24"/>
              </w:rPr>
            </w:pP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4.39</w:t>
            </w:r>
          </w:p>
        </w:tc>
      </w:tr>
      <w:tr>
        <w:tblPrEx>
          <w:tblCellMar>
            <w:top w:w="0" w:type="dxa"/>
            <w:left w:w="0" w:type="dxa"/>
            <w:bottom w:w="0" w:type="dxa"/>
            <w:right w:w="0" w:type="dxa"/>
          </w:tblCellMar>
        </w:tblPrEx>
        <w:trPr>
          <w:trHeight w:val="361"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exact"/>
              <w:jc w:val="center"/>
              <w:rPr>
                <w:rFonts w:ascii="宋体" w:hAnsi="宋体" w:cs="宋体"/>
                <w:color w:val="000000"/>
                <w:sz w:val="24"/>
              </w:rPr>
            </w:pP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exact"/>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40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exact"/>
              <w:jc w:val="center"/>
              <w:rPr>
                <w:rFonts w:ascii="宋体" w:hAnsi="宋体" w:cs="宋体"/>
                <w:color w:val="000000"/>
                <w:sz w:val="24"/>
              </w:rPr>
            </w:pPr>
          </w:p>
        </w:tc>
        <w:tc>
          <w:tcPr>
            <w:tcW w:w="440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numPr>
                <w:ilvl w:val="0"/>
                <w:numId w:val="7"/>
              </w:numPr>
              <w:kinsoku/>
              <w:wordWrap/>
              <w:overflowPunct/>
              <w:topLinePunct w:val="0"/>
              <w:bidi w:val="0"/>
              <w:spacing w:line="560" w:lineRule="exact"/>
              <w:jc w:val="center"/>
              <w:textAlignment w:val="center"/>
              <w:rPr>
                <w:rFonts w:hint="eastAsia" w:ascii="宋体" w:hAnsi="宋体" w:cs="宋体"/>
                <w:color w:val="000000"/>
                <w:sz w:val="24"/>
                <w:lang w:val="en-US" w:eastAsia="zh-CN"/>
              </w:rPr>
            </w:pPr>
            <w:r>
              <w:rPr>
                <w:rFonts w:hint="eastAsia" w:ascii="宋体" w:hAnsi="宋体" w:cs="宋体"/>
                <w:color w:val="000000"/>
                <w:sz w:val="24"/>
                <w:lang w:eastAsia="zh-CN"/>
              </w:rPr>
              <w:t>完成孕前优生健康检查</w:t>
            </w:r>
            <w:r>
              <w:rPr>
                <w:rFonts w:hint="eastAsia" w:ascii="宋体" w:hAnsi="宋体" w:cs="宋体"/>
                <w:color w:val="000000"/>
                <w:sz w:val="24"/>
                <w:lang w:val="en-US" w:eastAsia="zh-CN"/>
              </w:rPr>
              <w:t>300人</w:t>
            </w:r>
          </w:p>
          <w:p>
            <w:pPr>
              <w:pageBreakBefore w:val="0"/>
              <w:widowControl/>
              <w:numPr>
                <w:ilvl w:val="0"/>
                <w:numId w:val="7"/>
              </w:numPr>
              <w:kinsoku/>
              <w:wordWrap/>
              <w:overflowPunct/>
              <w:topLinePunct w:val="0"/>
              <w:bidi w:val="0"/>
              <w:spacing w:line="560" w:lineRule="exact"/>
              <w:jc w:val="center"/>
              <w:textAlignment w:val="center"/>
              <w:rPr>
                <w:rFonts w:hint="default" w:ascii="宋体" w:hAnsi="宋体" w:cs="宋体"/>
                <w:color w:val="000000"/>
                <w:sz w:val="24"/>
                <w:lang w:val="en-US" w:eastAsia="zh-CN"/>
              </w:rPr>
            </w:pPr>
            <w:r>
              <w:rPr>
                <w:rFonts w:hint="eastAsia" w:ascii="宋体" w:hAnsi="宋体" w:cs="宋体"/>
                <w:color w:val="000000"/>
                <w:sz w:val="24"/>
                <w:lang w:val="en-US" w:eastAsia="zh-CN"/>
              </w:rPr>
              <w:t>降低新生儿出生缺陷</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eastAsia="zh-CN"/>
              </w:rPr>
              <w:t>完成孕前优生健康检查</w:t>
            </w:r>
            <w:r>
              <w:rPr>
                <w:rFonts w:hint="eastAsia" w:ascii="宋体" w:hAnsi="宋体" w:cs="宋体"/>
                <w:color w:val="000000"/>
                <w:sz w:val="24"/>
                <w:lang w:val="en-US" w:eastAsia="zh-CN"/>
              </w:rPr>
              <w:t>618人</w:t>
            </w:r>
          </w:p>
        </w:tc>
      </w:tr>
      <w:tr>
        <w:tblPrEx>
          <w:tblCellMar>
            <w:top w:w="0" w:type="dxa"/>
            <w:left w:w="0" w:type="dxa"/>
            <w:bottom w:w="0" w:type="dxa"/>
            <w:right w:w="0" w:type="dxa"/>
          </w:tblCellMar>
        </w:tblPrEx>
        <w:trPr>
          <w:trHeight w:val="1042" w:hRule="atLeast"/>
          <w:jc w:val="center"/>
        </w:trPr>
        <w:tc>
          <w:tcPr>
            <w:tcW w:w="77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eastAsia="zh-CN"/>
              </w:rPr>
              <w:t>完成孕前优生健康检查人次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eastAsia="zh-CN"/>
              </w:rPr>
              <w:t>完成孕前优生健康检查</w:t>
            </w:r>
            <w:r>
              <w:rPr>
                <w:rFonts w:hint="eastAsia" w:ascii="宋体" w:hAnsi="宋体" w:cs="宋体"/>
                <w:color w:val="000000"/>
                <w:sz w:val="24"/>
                <w:lang w:val="en-US" w:eastAsia="zh-CN"/>
              </w:rPr>
              <w:t>300人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eastAsia="zh-CN"/>
              </w:rPr>
              <w:t>完成孕前优生健康检查</w:t>
            </w:r>
            <w:r>
              <w:rPr>
                <w:rFonts w:hint="eastAsia" w:ascii="宋体" w:hAnsi="宋体" w:cs="宋体"/>
                <w:color w:val="000000"/>
                <w:sz w:val="24"/>
                <w:lang w:val="en-US" w:eastAsia="zh-CN"/>
              </w:rPr>
              <w:t>618人</w:t>
            </w:r>
          </w:p>
        </w:tc>
      </w:tr>
      <w:tr>
        <w:tblPrEx>
          <w:tblCellMar>
            <w:top w:w="0" w:type="dxa"/>
            <w:left w:w="0" w:type="dxa"/>
            <w:bottom w:w="0" w:type="dxa"/>
            <w:right w:w="0" w:type="dxa"/>
          </w:tblCellMar>
        </w:tblPrEx>
        <w:trPr>
          <w:trHeight w:val="1042"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eastAsia="zh-CN"/>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val="en-US" w:eastAsia="zh-CN"/>
              </w:rPr>
              <w:t>降低新生儿出生缺陷</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val="en-US" w:eastAsia="zh-CN"/>
              </w:rPr>
              <w:t>降低新生儿出生缺陷</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lang w:val="en-US" w:eastAsia="zh-CN"/>
              </w:rPr>
              <w:t>降低新生儿出生缺陷</w:t>
            </w:r>
          </w:p>
        </w:tc>
      </w:tr>
      <w:tr>
        <w:tblPrEx>
          <w:tblCellMar>
            <w:top w:w="0" w:type="dxa"/>
            <w:left w:w="0" w:type="dxa"/>
            <w:bottom w:w="0" w:type="dxa"/>
            <w:right w:w="0" w:type="dxa"/>
          </w:tblCellMar>
        </w:tblPrEx>
        <w:trPr>
          <w:trHeight w:val="1050" w:hRule="atLeast"/>
          <w:jc w:val="center"/>
        </w:trPr>
        <w:tc>
          <w:tcPr>
            <w:tcW w:w="77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eastAsia="宋体" w:cs="宋体"/>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eastAsia="zh-CN"/>
              </w:rPr>
              <w:t>受益群众满意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eastAsia="zh-CN"/>
              </w:rPr>
              <w:t>受益群众满意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r>
    </w:tbl>
    <w:p>
      <w:pPr>
        <w:pageBreakBefore w:val="0"/>
        <w:kinsoku/>
        <w:wordWrap/>
        <w:overflowPunct/>
        <w:topLinePunct w:val="0"/>
        <w:bidi w:val="0"/>
        <w:spacing w:line="560" w:lineRule="exact"/>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60" w:lineRule="exact"/>
        <w:ind w:left="630"/>
        <w:textAlignment w:val="auto"/>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b/>
          <w:color w:val="000000"/>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按要求对2019年部门整体支出绩效评价情况开展自评，《</w:t>
      </w:r>
      <w:r>
        <w:rPr>
          <w:rFonts w:hint="eastAsia" w:ascii="仿宋_GB2312" w:hAnsi="仿宋_GB2312" w:eastAsia="仿宋_GB2312" w:cs="仿宋_GB2312"/>
          <w:color w:val="000000"/>
          <w:sz w:val="32"/>
          <w:szCs w:val="32"/>
          <w:highlight w:val="none"/>
          <w:lang w:val="en-US" w:eastAsia="zh-CN"/>
        </w:rPr>
        <w:t>茂县妇幼保健计划生育服务中心</w:t>
      </w:r>
      <w:r>
        <w:rPr>
          <w:rFonts w:hint="eastAsia" w:ascii="仿宋_GB2312" w:hAnsi="仿宋_GB2312" w:eastAsia="仿宋_GB2312" w:cs="仿宋_GB2312"/>
          <w:sz w:val="32"/>
          <w:szCs w:val="32"/>
        </w:rPr>
        <w:t>2019年部门整体支出绩效评价报告》见附件。</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eastAsia="仿宋_GB2312"/>
          <w:b/>
          <w:color w:val="000000"/>
          <w:sz w:val="32"/>
          <w:szCs w:val="32"/>
        </w:rPr>
      </w:pPr>
      <w:r>
        <w:rPr>
          <w:rFonts w:ascii="仿宋_GB2312" w:eastAsia="仿宋_GB2312"/>
          <w:b/>
          <w:color w:val="000000"/>
          <w:sz w:val="32"/>
          <w:szCs w:val="32"/>
        </w:rPr>
        <w:br w:type="page"/>
      </w:r>
    </w:p>
    <w:p>
      <w:pPr>
        <w:pageBreakBefore w:val="0"/>
        <w:numPr>
          <w:ilvl w:val="0"/>
          <w:numId w:val="8"/>
        </w:numPr>
        <w:kinsoku/>
        <w:wordWrap/>
        <w:overflowPunct/>
        <w:topLinePunct w:val="0"/>
        <w:bidi w:val="0"/>
        <w:spacing w:line="560" w:lineRule="exact"/>
        <w:ind w:firstLine="660" w:firstLineChars="150"/>
        <w:jc w:val="center"/>
        <w:outlineLvl w:val="0"/>
        <w:rPr>
          <w:rFonts w:ascii="宋体"/>
          <w:b/>
          <w:color w:val="000000"/>
          <w:sz w:val="44"/>
          <w:szCs w:val="44"/>
        </w:rPr>
      </w:pPr>
      <w:bookmarkStart w:id="55" w:name="_Toc15396613"/>
      <w:bookmarkStart w:id="56" w:name="_Toc15377225"/>
      <w:r>
        <w:rPr>
          <w:rFonts w:hint="eastAsia" w:ascii="黑体" w:hAnsi="黑体" w:eastAsia="黑体"/>
          <w:color w:val="000000"/>
          <w:sz w:val="44"/>
          <w:szCs w:val="44"/>
        </w:rPr>
        <w:t>名</w:t>
      </w:r>
      <w:r>
        <w:rPr>
          <w:rStyle w:val="25"/>
          <w:rFonts w:hint="eastAsia" w:ascii="黑体" w:hAnsi="黑体" w:eastAsia="黑体"/>
          <w:b w:val="0"/>
        </w:rPr>
        <w:t>词解释</w:t>
      </w:r>
      <w:bookmarkEnd w:id="55"/>
      <w:bookmarkEnd w:id="56"/>
    </w:p>
    <w:p>
      <w:pPr>
        <w:pStyle w:val="23"/>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3"/>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lang w:val="en-US" w:eastAsia="zh-CN"/>
        </w:rPr>
        <w:t>9</w:t>
      </w:r>
      <w:r>
        <w:rPr>
          <w:rFonts w:ascii="仿宋_GB2312" w:eastAsia="仿宋_GB2312" w:cs="仿宋_GB2312"/>
          <w:color w:val="000000"/>
          <w:sz w:val="32"/>
          <w:szCs w:val="32"/>
        </w:rPr>
        <w:t>.</w:t>
      </w:r>
      <w:r>
        <w:rPr>
          <w:rStyle w:val="15"/>
          <w:rFonts w:hint="eastAsia" w:ascii="仿宋_GB2312" w:hAnsi="仿宋" w:eastAsia="仿宋_GB2312" w:cs="仿宋_GB2312"/>
          <w:b w:val="0"/>
          <w:bCs w:val="0"/>
          <w:color w:val="000000"/>
          <w:sz w:val="32"/>
          <w:szCs w:val="32"/>
        </w:rPr>
        <w:t>社会保障和就业（类）行政事业单位离退休（款）机关事业单位基本养老保险缴费支出（项）</w:t>
      </w:r>
      <w:r>
        <w:rPr>
          <w:rFonts w:hint="eastAsia" w:ascii="仿宋_GB2312" w:eastAsia="仿宋_GB2312" w:cs="仿宋_GB2312"/>
          <w:color w:val="000000"/>
          <w:sz w:val="32"/>
          <w:szCs w:val="32"/>
        </w:rPr>
        <w:t>：指机关事业单位实施养老保险制度由单位缴纳的基本养老保险费支出。</w:t>
      </w:r>
    </w:p>
    <w:p>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lang w:val="en-US" w:eastAsia="zh-CN"/>
        </w:rPr>
        <w:t>10</w:t>
      </w:r>
      <w:r>
        <w:rPr>
          <w:rFonts w:ascii="仿宋_GB2312" w:eastAsia="仿宋_GB2312" w:cs="仿宋_GB2312"/>
          <w:color w:val="000000"/>
          <w:sz w:val="32"/>
          <w:szCs w:val="32"/>
        </w:rPr>
        <w:t>.</w:t>
      </w:r>
      <w:r>
        <w:rPr>
          <w:rStyle w:val="15"/>
          <w:rFonts w:hint="eastAsia" w:ascii="仿宋_GB2312" w:hAnsi="仿宋" w:eastAsia="仿宋_GB2312" w:cs="仿宋_GB2312"/>
          <w:b w:val="0"/>
          <w:bCs w:val="0"/>
          <w:color w:val="000000"/>
          <w:sz w:val="32"/>
          <w:szCs w:val="32"/>
        </w:rPr>
        <w:t>社会保障和就业（类）行政事业单位离退休（款）机关事业单位职业年金缴费支出（项）</w:t>
      </w:r>
      <w:r>
        <w:rPr>
          <w:rFonts w:hint="eastAsia" w:ascii="仿宋_GB2312" w:eastAsia="仿宋_GB2312" w:cs="仿宋_GB2312"/>
          <w:color w:val="000000"/>
          <w:sz w:val="32"/>
          <w:szCs w:val="32"/>
        </w:rPr>
        <w:t>：指机关事业单位实施养老保险制度由单位实际缴纳的职业年金支出。</w:t>
      </w:r>
    </w:p>
    <w:p>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lang w:val="en-US" w:eastAsia="zh-CN"/>
        </w:rPr>
        <w:t>11</w:t>
      </w:r>
      <w:r>
        <w:rPr>
          <w:rFonts w:ascii="仿宋_GB2312" w:eastAsia="仿宋_GB2312" w:cs="仿宋_GB2312"/>
          <w:color w:val="000000"/>
          <w:sz w:val="32"/>
          <w:szCs w:val="32"/>
        </w:rPr>
        <w:t>.</w:t>
      </w:r>
      <w:r>
        <w:rPr>
          <w:rStyle w:val="15"/>
          <w:rFonts w:hint="eastAsia" w:ascii="仿宋_GB2312" w:hAnsi="仿宋" w:eastAsia="仿宋_GB2312" w:cs="仿宋_GB2312"/>
          <w:b w:val="0"/>
          <w:bCs w:val="0"/>
          <w:color w:val="000000"/>
          <w:sz w:val="32"/>
          <w:szCs w:val="32"/>
        </w:rPr>
        <w:t>医疗卫生与计划生育（类）行政事业单位医疗（</w:t>
      </w:r>
      <w:r>
        <w:rPr>
          <w:rStyle w:val="15"/>
          <w:rFonts w:ascii="仿宋_GB2312" w:hAnsi="仿宋" w:eastAsia="仿宋_GB2312" w:cs="仿宋_GB2312"/>
          <w:b w:val="0"/>
          <w:bCs w:val="0"/>
          <w:color w:val="000000"/>
          <w:sz w:val="32"/>
          <w:szCs w:val="32"/>
        </w:rPr>
        <w:t>11</w:t>
      </w:r>
      <w:r>
        <w:rPr>
          <w:rStyle w:val="15"/>
          <w:rFonts w:hint="eastAsia" w:ascii="仿宋_GB2312" w:hAnsi="仿宋" w:eastAsia="仿宋_GB2312" w:cs="仿宋_GB2312"/>
          <w:b w:val="0"/>
          <w:bCs w:val="0"/>
          <w:color w:val="000000"/>
          <w:sz w:val="32"/>
          <w:szCs w:val="32"/>
        </w:rPr>
        <w:t>款）事业单位医疗（项）</w:t>
      </w:r>
      <w:r>
        <w:rPr>
          <w:rFonts w:hint="eastAsia" w:ascii="仿宋_GB2312" w:eastAsia="仿宋_GB2312" w:cs="仿宋_GB2312"/>
          <w:color w:val="000000"/>
          <w:sz w:val="32"/>
          <w:szCs w:val="32"/>
        </w:rPr>
        <w:t>：指事业单位用于缴纳单位基本医疗保险支出。</w:t>
      </w:r>
    </w:p>
    <w:p>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ascii="仿宋_GB2312" w:eastAsia="仿宋_GB2312"/>
          <w:color w:val="000000"/>
          <w:sz w:val="32"/>
          <w:szCs w:val="32"/>
        </w:rPr>
      </w:pPr>
      <w:r>
        <w:rPr>
          <w:rFonts w:ascii="仿宋_GB2312" w:eastAsia="仿宋_GB2312" w:cs="仿宋_GB2312"/>
          <w:color w:val="000000"/>
          <w:sz w:val="32"/>
          <w:szCs w:val="32"/>
        </w:rPr>
        <w:t>1</w:t>
      </w:r>
      <w:r>
        <w:rPr>
          <w:rFonts w:hint="eastAsia" w:ascii="仿宋_GB2312" w:eastAsia="仿宋_GB2312" w:cs="仿宋_GB2312"/>
          <w:color w:val="000000"/>
          <w:sz w:val="32"/>
          <w:szCs w:val="32"/>
          <w:lang w:val="en-US" w:eastAsia="zh-CN"/>
        </w:rPr>
        <w:t>2</w:t>
      </w:r>
      <w:r>
        <w:rPr>
          <w:rFonts w:ascii="仿宋_GB2312" w:eastAsia="仿宋_GB2312" w:cs="仿宋_GB2312"/>
          <w:color w:val="000000"/>
          <w:sz w:val="32"/>
          <w:szCs w:val="32"/>
        </w:rPr>
        <w:t>.</w:t>
      </w:r>
      <w:r>
        <w:rPr>
          <w:rStyle w:val="15"/>
          <w:rFonts w:hint="eastAsia" w:ascii="仿宋_GB2312" w:hAnsi="仿宋" w:eastAsia="仿宋_GB2312" w:cs="仿宋_GB2312"/>
          <w:b w:val="0"/>
          <w:bCs w:val="0"/>
          <w:color w:val="000000"/>
          <w:sz w:val="32"/>
          <w:szCs w:val="32"/>
        </w:rPr>
        <w:t>住房保障支出（类）住房改革支出（款）住房公积金（项）：</w:t>
      </w:r>
      <w:r>
        <w:rPr>
          <w:rFonts w:hint="eastAsia" w:ascii="仿宋_GB2312" w:eastAsia="仿宋_GB2312" w:cs="仿宋_GB2312"/>
          <w:color w:val="000000"/>
          <w:sz w:val="32"/>
          <w:szCs w:val="32"/>
        </w:rPr>
        <w:t>指反映行政事业单位按规定比例为职工缴纳的住房公积金。</w:t>
      </w:r>
    </w:p>
    <w:p>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lang w:val="en-US" w:eastAsia="zh-CN"/>
        </w:rPr>
        <w:t>13</w:t>
      </w:r>
      <w:r>
        <w:rPr>
          <w:rFonts w:hint="eastAsia" w:ascii="仿宋_GB2312" w:eastAsia="仿宋_GB2312" w:cs="仿宋_GB2312"/>
          <w:color w:val="000000"/>
          <w:sz w:val="32"/>
          <w:szCs w:val="32"/>
        </w:rPr>
        <w:t>.基本支出：指为保障机构正常运转、完成日常工作任务而发生的人员支出和公用支出。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14</w:t>
      </w:r>
      <w:r>
        <w:rPr>
          <w:rFonts w:hint="eastAsia" w:ascii="仿宋_GB2312" w:eastAsia="仿宋_GB2312" w:cs="仿宋_GB2312"/>
          <w:color w:val="000000"/>
          <w:sz w:val="32"/>
          <w:szCs w:val="32"/>
        </w:rPr>
        <w:t>.项目支出：指在基本支出之外为完成特定行政任务和事业发展目标所发生的支出。</w:t>
      </w:r>
    </w:p>
    <w:p>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w:t>
      </w:r>
    </w:p>
    <w:p>
      <w:pPr>
        <w:pStyle w:val="23"/>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overflowPunct/>
        <w:topLinePunct w:val="0"/>
        <w:bidi w:val="0"/>
        <w:spacing w:line="560" w:lineRule="exact"/>
        <w:jc w:val="center"/>
        <w:outlineLvl w:val="0"/>
        <w:rPr>
          <w:rStyle w:val="25"/>
          <w:rFonts w:hint="eastAsia"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58"/>
    </w:p>
    <w:p>
      <w:pPr>
        <w:pageBreakBefore w:val="0"/>
        <w:kinsoku/>
        <w:wordWrap/>
        <w:overflowPunct/>
        <w:topLinePunct w:val="0"/>
        <w:bidi w:val="0"/>
        <w:spacing w:line="560" w:lineRule="exact"/>
        <w:jc w:val="center"/>
        <w:outlineLvl w:val="0"/>
        <w:rPr>
          <w:rStyle w:val="25"/>
          <w:rFonts w:hint="eastAsia" w:ascii="黑体" w:hAnsi="黑体" w:eastAsia="黑体"/>
          <w:b w:val="0"/>
        </w:rPr>
      </w:pPr>
    </w:p>
    <w:p>
      <w:pPr>
        <w:pageBreakBefore w:val="0"/>
        <w:kinsoku/>
        <w:wordWrap/>
        <w:overflowPunct/>
        <w:topLinePunct w:val="0"/>
        <w:bidi w:val="0"/>
        <w:spacing w:line="560" w:lineRule="exact"/>
        <w:jc w:val="center"/>
        <w:rPr>
          <w:rFonts w:hint="eastAsia" w:ascii="方正小标宋简体" w:hAnsi="方正小标宋简体" w:eastAsia="方正小标宋简体" w:cs="方正小标宋简体"/>
          <w:b w:val="0"/>
          <w:bCs w:val="0"/>
          <w:color w:val="000000"/>
          <w:kern w:val="0"/>
          <w:sz w:val="44"/>
          <w:szCs w:val="44"/>
        </w:rPr>
      </w:pPr>
      <w:r>
        <w:rPr>
          <w:rFonts w:hint="eastAsia" w:ascii="方正小标宋简体" w:hAnsi="方正小标宋简体" w:eastAsia="方正小标宋简体" w:cs="方正小标宋简体"/>
          <w:b w:val="0"/>
          <w:bCs w:val="0"/>
          <w:color w:val="000000"/>
          <w:kern w:val="0"/>
          <w:sz w:val="44"/>
          <w:szCs w:val="44"/>
        </w:rPr>
        <w:t>茂县妇幼保健计划生育服务中心</w:t>
      </w:r>
    </w:p>
    <w:p>
      <w:pPr>
        <w:pageBreakBefore w:val="0"/>
        <w:kinsoku/>
        <w:wordWrap/>
        <w:overflowPunct/>
        <w:topLinePunct w:val="0"/>
        <w:bidi w:val="0"/>
        <w:spacing w:line="560" w:lineRule="exact"/>
        <w:jc w:val="center"/>
        <w:rPr>
          <w:rFonts w:hint="eastAsia" w:ascii="方正小标宋简体" w:hAnsi="方正小标宋简体" w:eastAsia="方正小标宋简体" w:cs="方正小标宋简体"/>
          <w:b w:val="0"/>
          <w:bCs w:val="0"/>
          <w:color w:val="000000"/>
          <w:kern w:val="0"/>
          <w:sz w:val="44"/>
          <w:szCs w:val="44"/>
          <w:lang w:val="zh-CN"/>
        </w:rPr>
      </w:pPr>
      <w:r>
        <w:rPr>
          <w:rFonts w:hint="eastAsia" w:ascii="方正小标宋简体" w:hAnsi="方正小标宋简体" w:eastAsia="方正小标宋简体" w:cs="方正小标宋简体"/>
          <w:b w:val="0"/>
          <w:bCs w:val="0"/>
          <w:color w:val="000000"/>
          <w:kern w:val="0"/>
          <w:sz w:val="44"/>
          <w:szCs w:val="44"/>
        </w:rPr>
        <w:t>2019年部门</w:t>
      </w:r>
      <w:r>
        <w:rPr>
          <w:rFonts w:hint="eastAsia" w:ascii="方正小标宋简体" w:hAnsi="方正小标宋简体" w:eastAsia="方正小标宋简体" w:cs="方正小标宋简体"/>
          <w:b w:val="0"/>
          <w:bCs w:val="0"/>
          <w:color w:val="000000"/>
          <w:kern w:val="0"/>
          <w:sz w:val="44"/>
          <w:szCs w:val="44"/>
          <w:lang w:val="zh-CN"/>
        </w:rPr>
        <w:t>整体支出绩效评价报告</w:t>
      </w:r>
    </w:p>
    <w:p>
      <w:pPr>
        <w:pageBreakBefore w:val="0"/>
        <w:kinsoku/>
        <w:wordWrap/>
        <w:overflowPunct/>
        <w:topLinePunct w:val="0"/>
        <w:bidi w:val="0"/>
        <w:spacing w:line="560" w:lineRule="exact"/>
        <w:jc w:val="center"/>
        <w:rPr>
          <w:rFonts w:hint="eastAsia" w:ascii="宋体" w:hAnsi="宋体" w:eastAsia="宋体" w:cs="宋体"/>
          <w:color w:val="000000"/>
          <w:kern w:val="0"/>
          <w:sz w:val="44"/>
          <w:szCs w:val="44"/>
          <w:lang w:val="zh-CN"/>
        </w:rPr>
      </w:pPr>
    </w:p>
    <w:p>
      <w:pPr>
        <w:pageBreakBefore w:val="0"/>
        <w:widowControl/>
        <w:kinsoku/>
        <w:wordWrap/>
        <w:overflowPunct/>
        <w:topLinePunct w:val="0"/>
        <w:bidi w:val="0"/>
        <w:adjustRightInd w:val="0"/>
        <w:snapToGrid w:val="0"/>
        <w:spacing w:line="56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（一）机构组成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lang w:eastAsia="zh-CN"/>
        </w:rPr>
        <w:t>茂县妇幼保健计划生育服务中心属财政补助事业单位，为一级预算单位，下属二级预算单位0个，其中：参照公务员法管理的事业单位0个，其他事业单位0个。</w:t>
      </w:r>
    </w:p>
    <w:p>
      <w:pPr>
        <w:keepNext w:val="0"/>
        <w:keepLines w:val="0"/>
        <w:pageBreakBefore w:val="0"/>
        <w:widowControl/>
        <w:numPr>
          <w:ilvl w:val="0"/>
          <w:numId w:val="9"/>
        </w:numPr>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机构职能</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仿宋_GB2312" w:eastAsia="仿宋_GB2312" w:cs="仿宋_GB2312"/>
          <w:sz w:val="32"/>
          <w:szCs w:val="32"/>
        </w:rPr>
        <w:t>深入贯彻《母婴保健法》、《中国妇女发展纲要》、《中国儿童发展纲要》，围绕实现“新两纲”目标和初级卫生保健指标</w:t>
      </w:r>
      <w:r>
        <w:rPr>
          <w:rFonts w:hint="eastAsia" w:hAnsi="仿宋_GB2312" w:cs="仿宋_GB2312"/>
          <w:sz w:val="32"/>
          <w:szCs w:val="32"/>
          <w:lang w:eastAsia="zh-CN"/>
        </w:rPr>
        <w:t>。</w:t>
      </w:r>
      <w:r>
        <w:rPr>
          <w:rFonts w:hint="eastAsia" w:ascii="仿宋_GB2312" w:hAnsi="仿宋_GB2312" w:eastAsia="仿宋_GB2312" w:cs="仿宋_GB2312"/>
          <w:sz w:val="32"/>
          <w:szCs w:val="32"/>
        </w:rPr>
        <w:t>了解、掌握妇女、儿童健康状况及影响因素，负责本辖区儿童入托前健康体检及开展各类妇幼保健人员的业务培训</w:t>
      </w:r>
      <w:r>
        <w:rPr>
          <w:rFonts w:hint="eastAsia" w:hAnsi="仿宋_GB2312" w:cs="仿宋_GB2312"/>
          <w:sz w:val="32"/>
          <w:szCs w:val="32"/>
          <w:lang w:eastAsia="zh-CN"/>
        </w:rPr>
        <w:t>，</w:t>
      </w:r>
      <w:r>
        <w:rPr>
          <w:rFonts w:hint="eastAsia" w:ascii="仿宋_GB2312" w:hAnsi="仿宋_GB2312" w:eastAsia="仿宋_GB2312" w:cs="仿宋_GB2312"/>
          <w:sz w:val="32"/>
          <w:szCs w:val="32"/>
        </w:rPr>
        <w:t>负责指导和开展本辖区妇幼保健健康教育与健康工作。组织实施重大公共卫生服务项目</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（三）人员概况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b w:val="0"/>
          <w:bCs w:val="0"/>
          <w:color w:val="000000"/>
          <w:sz w:val="32"/>
          <w:szCs w:val="32"/>
          <w:highlight w:val="none"/>
          <w:lang w:val="en-US" w:eastAsia="zh-CN"/>
        </w:rPr>
        <w:t>本院编制64人，在岗60人。临聘人员：7人，退休：15人，财政补差：1人，遗属1人。</w:t>
      </w:r>
    </w:p>
    <w:p>
      <w:pPr>
        <w:pageBreakBefore w:val="0"/>
        <w:widowControl/>
        <w:kinsoku/>
        <w:wordWrap/>
        <w:overflowPunct/>
        <w:topLinePunct w:val="0"/>
        <w:bidi w:val="0"/>
        <w:adjustRightInd w:val="0"/>
        <w:snapToGrid w:val="0"/>
        <w:spacing w:line="56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（一）部门财政资金收入情况</w:t>
      </w:r>
    </w:p>
    <w:p>
      <w:pPr>
        <w:keepNext w:val="0"/>
        <w:keepLines w:val="0"/>
        <w:pageBreakBefore w:val="0"/>
        <w:kinsoku/>
        <w:wordWrap/>
        <w:overflowPunct/>
        <w:topLinePunct w:val="0"/>
        <w:autoSpaceDE/>
        <w:autoSpaceDN/>
        <w:bidi w:val="0"/>
        <w:spacing w:line="560" w:lineRule="exact"/>
        <w:ind w:firstLine="640" w:firstLineChars="200"/>
        <w:textAlignment w:val="auto"/>
        <w:outlineLvl w:val="1"/>
        <w:rPr>
          <w:rFonts w:hint="eastAsia" w:ascii="仿宋_GB2312" w:hAnsi="仿宋_GB2312" w:eastAsia="仿宋_GB2312" w:cs="仿宋_GB2312"/>
          <w:color w:val="000000"/>
          <w:kern w:val="0"/>
          <w:sz w:val="32"/>
          <w:szCs w:val="32"/>
          <w:shd w:val="clear" w:color="auto" w:fill="FFFFFF"/>
          <w:lang w:val="zh-CN" w:eastAsia="zh-CN"/>
        </w:rPr>
      </w:pPr>
      <w:r>
        <w:rPr>
          <w:rFonts w:hint="eastAsia" w:ascii="仿宋_GB2312" w:hAnsi="仿宋_GB2312" w:eastAsia="仿宋_GB2312" w:cs="仿宋_GB2312"/>
          <w:color w:val="000000"/>
          <w:sz w:val="32"/>
          <w:szCs w:val="32"/>
        </w:rPr>
        <w:t>2019年本年一般公共预算财政拨款收入</w:t>
      </w:r>
      <w:r>
        <w:rPr>
          <w:rFonts w:hint="eastAsia" w:ascii="仿宋_GB2312" w:hAnsi="仿宋_GB2312" w:eastAsia="仿宋_GB2312" w:cs="仿宋_GB2312"/>
          <w:color w:val="000000"/>
          <w:sz w:val="32"/>
          <w:szCs w:val="32"/>
          <w:lang w:val="en-US" w:eastAsia="zh-CN"/>
        </w:rPr>
        <w:t>943.89</w:t>
      </w:r>
      <w:r>
        <w:rPr>
          <w:rFonts w:hint="eastAsia" w:ascii="仿宋_GB2312" w:hAnsi="仿宋_GB2312" w:eastAsia="仿宋_GB2312" w:cs="仿宋_GB2312"/>
          <w:color w:val="000000"/>
          <w:sz w:val="32"/>
          <w:szCs w:val="32"/>
        </w:rPr>
        <w:t>万元；政府性基金预算财政拨款收入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themeColor="text1"/>
          <w:sz w:val="32"/>
          <w:szCs w:val="32"/>
        </w:rPr>
        <w:t>上级补助收入</w:t>
      </w:r>
      <w:r>
        <w:rPr>
          <w:rFonts w:hint="eastAsia" w:ascii="仿宋_GB2312" w:hAnsi="仿宋_GB2312" w:eastAsia="仿宋_GB2312" w:cs="仿宋_GB2312"/>
          <w:color w:val="000000" w:themeColor="text1"/>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（二）部门财政资金支出情况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sz w:val="32"/>
          <w:szCs w:val="32"/>
        </w:rPr>
        <w:t>2019年一般公共预算财政拨款支出</w:t>
      </w:r>
      <w:r>
        <w:rPr>
          <w:rFonts w:hint="eastAsia" w:ascii="仿宋_GB2312" w:hAnsi="仿宋_GB2312" w:eastAsia="仿宋_GB2312" w:cs="仿宋_GB2312"/>
          <w:color w:val="000000"/>
          <w:sz w:val="32"/>
          <w:szCs w:val="32"/>
          <w:lang w:val="en-US" w:eastAsia="zh-CN"/>
        </w:rPr>
        <w:t>898.82</w:t>
      </w:r>
      <w:r>
        <w:rPr>
          <w:rFonts w:hint="eastAsia" w:ascii="仿宋_GB2312" w:hAnsi="仿宋_GB2312" w:eastAsia="仿宋_GB2312" w:cs="仿宋_GB2312"/>
          <w:color w:val="000000"/>
          <w:sz w:val="32"/>
          <w:szCs w:val="32"/>
        </w:rPr>
        <w:t>万元，占本年支出合计的</w:t>
      </w:r>
      <w:r>
        <w:rPr>
          <w:rFonts w:hint="eastAsia" w:ascii="仿宋_GB2312" w:hAnsi="仿宋_GB2312" w:eastAsia="仿宋_GB2312" w:cs="仿宋_GB2312"/>
          <w:color w:val="000000"/>
          <w:sz w:val="32"/>
          <w:szCs w:val="32"/>
          <w:lang w:val="en-US" w:eastAsia="zh-CN"/>
        </w:rPr>
        <w:t>57.38</w:t>
      </w:r>
      <w:r>
        <w:rPr>
          <w:rFonts w:hint="eastAsia" w:ascii="仿宋_GB2312" w:hAnsi="仿宋_GB2312" w:eastAsia="仿宋_GB2312" w:cs="仿宋_GB2312"/>
          <w:color w:val="000000"/>
          <w:sz w:val="32"/>
          <w:szCs w:val="32"/>
        </w:rPr>
        <w:t>%。与2018年相比，一般公共预算财政拨款增加</w:t>
      </w:r>
      <w:r>
        <w:rPr>
          <w:rFonts w:hint="eastAsia" w:ascii="仿宋_GB2312" w:hAnsi="仿宋_GB2312" w:eastAsia="仿宋_GB2312" w:cs="仿宋_GB2312"/>
          <w:color w:val="000000"/>
          <w:sz w:val="32"/>
          <w:szCs w:val="32"/>
          <w:lang w:val="en-US" w:eastAsia="zh-CN"/>
        </w:rPr>
        <w:t>74.22</w:t>
      </w:r>
      <w:r>
        <w:rPr>
          <w:rFonts w:hint="eastAsia" w:ascii="仿宋_GB2312" w:hAnsi="仿宋_GB2312" w:eastAsia="仿宋_GB2312" w:cs="仿宋_GB2312"/>
          <w:color w:val="000000"/>
          <w:sz w:val="32"/>
          <w:szCs w:val="32"/>
        </w:rPr>
        <w:t>万元，增</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项目支出增加。</w:t>
      </w:r>
    </w:p>
    <w:p>
      <w:pPr>
        <w:pageBreakBefore w:val="0"/>
        <w:widowControl/>
        <w:kinsoku/>
        <w:wordWrap/>
        <w:overflowPunct/>
        <w:topLinePunct w:val="0"/>
        <w:bidi w:val="0"/>
        <w:adjustRightInd w:val="0"/>
        <w:snapToGrid w:val="0"/>
        <w:spacing w:line="56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（一）部门预算管理</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b w:val="0"/>
          <w:bCs w:val="0"/>
          <w:color w:val="000000"/>
          <w:sz w:val="32"/>
          <w:szCs w:val="32"/>
          <w:lang w:val="en-US" w:eastAsia="zh-CN"/>
        </w:rPr>
        <w:t>我单位严格按照相关的规定和要求根据人员工资的实际经费编制预算，按照县财政局规定时间完成基础库、数据库报送及部门预算报送，做到编制准确、指标细化，并将编制的部门报表按照县财政的要求报送财政主管股室审核。</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ascii="仿宋_GB2312" w:hAnsi="宋体" w:eastAsia="仿宋_GB2312" w:cs="宋体"/>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（二）结果应用情况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b w:val="0"/>
          <w:bCs w:val="0"/>
          <w:color w:val="000000"/>
          <w:sz w:val="32"/>
          <w:szCs w:val="32"/>
          <w:lang w:val="en-US" w:eastAsia="zh-CN"/>
        </w:rPr>
        <w:t>我单位对部门预算绩效管理工作开展情况认真进行了自查自评。绩效评价自查开展覆盖单位重点支出，将评价结果作为预算安排的重要依据，参照项目年度预算执行情况、“三年滚动规划”执行情况统筹项目支出需求，保障重点支出，调整支出结构，优化财政资金配置，不断强化绩效理念，推动我单位部门整体绩效管理水平不断提升。</w:t>
      </w:r>
    </w:p>
    <w:p>
      <w:pPr>
        <w:pageBreakBefore w:val="0"/>
        <w:widowControl/>
        <w:kinsoku/>
        <w:wordWrap/>
        <w:overflowPunct/>
        <w:topLinePunct w:val="0"/>
        <w:bidi w:val="0"/>
        <w:adjustRightInd w:val="0"/>
        <w:snapToGrid w:val="0"/>
        <w:spacing w:line="56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（一）评价结论</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b w:val="0"/>
          <w:bCs w:val="0"/>
          <w:color w:val="000000"/>
          <w:sz w:val="32"/>
          <w:szCs w:val="32"/>
          <w:lang w:val="en-US" w:eastAsia="zh-CN"/>
        </w:rPr>
        <w:t>2019年我单位部门整体支出绩效评价自查自评结果良好，全年基本支出保证了部门的正常运行和日常工作的正常开展，项目支出保障了重点工作的开展，达到预期绩效目标。</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（二）存在问题</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b w:val="0"/>
          <w:bCs w:val="0"/>
          <w:color w:val="000000"/>
          <w:sz w:val="32"/>
          <w:szCs w:val="32"/>
          <w:lang w:val="en-US" w:eastAsia="zh-CN"/>
        </w:rPr>
        <w:t>广大群众对三病、婚前检查、孕前优生健康检查等认识不足，并且没有应有的重视。</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ascii="仿宋_GB2312" w:hAnsi="宋体" w:eastAsia="仿宋_GB2312" w:cs="宋体"/>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（三）改进建议</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val="0"/>
          <w:bCs w:val="0"/>
          <w:color w:val="000000"/>
          <w:sz w:val="32"/>
          <w:szCs w:val="32"/>
          <w:lang w:val="en-US" w:eastAsia="zh-CN"/>
        </w:rPr>
        <w:t>针对存在的问题，我们将通过多种途径进扩大宣传。</w:t>
      </w:r>
    </w:p>
    <w:p>
      <w:pPr>
        <w:keepNext w:val="0"/>
        <w:keepLines w:val="0"/>
        <w:pageBreakBefore w:val="0"/>
        <w:kinsoku/>
        <w:wordWrap/>
        <w:overflowPunct/>
        <w:topLinePunct w:val="0"/>
        <w:autoSpaceDE/>
        <w:autoSpaceDN/>
        <w:bidi w:val="0"/>
        <w:spacing w:line="560" w:lineRule="exact"/>
        <w:jc w:val="center"/>
        <w:textAlignment w:val="auto"/>
        <w:rPr>
          <w:rFonts w:ascii="仿宋" w:hAnsi="仿宋" w:eastAsia="仿宋"/>
          <w:b/>
          <w:color w:val="000000"/>
          <w:sz w:val="44"/>
          <w:szCs w:val="44"/>
        </w:rPr>
      </w:pPr>
      <w:r>
        <w:rPr>
          <w:rFonts w:ascii="仿宋_GB2312" w:hAnsi="仿宋_GB2312" w:eastAsia="仿宋_GB2312" w:cs="仿宋_GB2312"/>
          <w:sz w:val="32"/>
          <w:szCs w:val="32"/>
        </w:rPr>
        <w:br w:type="page"/>
      </w:r>
      <w:bookmarkStart w:id="59"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57"/>
      <w:bookmarkEnd w:id="59"/>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bookmarkStart w:id="60" w:name="_Toc15396619"/>
      <w:r>
        <w:rPr>
          <w:rFonts w:hint="eastAsia" w:ascii="仿宋_GB2312" w:hAnsi="仿宋_GB2312" w:eastAsia="仿宋_GB2312" w:cs="仿宋_GB2312"/>
          <w:b w:val="0"/>
          <w:color w:val="000000"/>
          <w:sz w:val="32"/>
          <w:szCs w:val="32"/>
        </w:rPr>
        <w:t>一、收</w:t>
      </w:r>
      <w:r>
        <w:rPr>
          <w:rStyle w:val="26"/>
          <w:rFonts w:hint="eastAsia" w:ascii="仿宋_GB2312" w:hAnsi="仿宋_GB2312" w:eastAsia="仿宋_GB2312" w:cs="仿宋_GB2312"/>
          <w:b w:val="0"/>
          <w:bCs w:val="0"/>
          <w:sz w:val="32"/>
          <w:szCs w:val="32"/>
        </w:rPr>
        <w:t>入支出决算总表</w:t>
      </w:r>
      <w:bookmarkEnd w:id="60"/>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bookmarkStart w:id="61" w:name="_Toc15396620"/>
      <w:r>
        <w:rPr>
          <w:rFonts w:hint="eastAsia" w:ascii="仿宋_GB2312" w:hAnsi="仿宋_GB2312" w:eastAsia="仿宋_GB2312" w:cs="仿宋_GB2312"/>
          <w:b w:val="0"/>
          <w:color w:val="000000"/>
          <w:sz w:val="32"/>
          <w:szCs w:val="32"/>
        </w:rPr>
        <w:t>二、收</w:t>
      </w:r>
      <w:r>
        <w:rPr>
          <w:rStyle w:val="26"/>
          <w:rFonts w:hint="eastAsia" w:ascii="仿宋_GB2312" w:hAnsi="仿宋_GB2312" w:eastAsia="仿宋_GB2312" w:cs="仿宋_GB2312"/>
          <w:b w:val="0"/>
          <w:bCs w:val="0"/>
          <w:sz w:val="32"/>
          <w:szCs w:val="32"/>
        </w:rPr>
        <w:t>入决算表</w:t>
      </w:r>
      <w:bookmarkEnd w:id="61"/>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bookmarkStart w:id="62" w:name="_Toc15396621"/>
      <w:r>
        <w:rPr>
          <w:rStyle w:val="26"/>
          <w:rFonts w:hint="eastAsia" w:ascii="仿宋_GB2312" w:hAnsi="仿宋_GB2312" w:eastAsia="仿宋_GB2312" w:cs="仿宋_GB2312"/>
          <w:b w:val="0"/>
          <w:bCs w:val="0"/>
          <w:sz w:val="32"/>
          <w:szCs w:val="32"/>
        </w:rPr>
        <w:t>三、</w:t>
      </w:r>
      <w:r>
        <w:rPr>
          <w:rFonts w:hint="eastAsia" w:ascii="仿宋_GB2312" w:hAnsi="仿宋_GB2312" w:eastAsia="仿宋_GB2312" w:cs="仿宋_GB2312"/>
          <w:b w:val="0"/>
          <w:color w:val="000000"/>
          <w:sz w:val="32"/>
          <w:szCs w:val="32"/>
        </w:rPr>
        <w:t>支</w:t>
      </w:r>
      <w:r>
        <w:rPr>
          <w:rStyle w:val="26"/>
          <w:rFonts w:hint="eastAsia" w:ascii="仿宋_GB2312" w:hAnsi="仿宋_GB2312" w:eastAsia="仿宋_GB2312" w:cs="仿宋_GB2312"/>
          <w:b w:val="0"/>
          <w:bCs w:val="0"/>
          <w:sz w:val="32"/>
          <w:szCs w:val="32"/>
        </w:rPr>
        <w:t>出决算表</w:t>
      </w:r>
      <w:bookmarkEnd w:id="62"/>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color w:val="000000"/>
          <w:sz w:val="32"/>
          <w:szCs w:val="32"/>
        </w:rPr>
      </w:pPr>
      <w:bookmarkStart w:id="63" w:name="_Toc15396622"/>
      <w:r>
        <w:rPr>
          <w:rStyle w:val="26"/>
          <w:rFonts w:hint="eastAsia" w:ascii="仿宋_GB2312" w:hAnsi="仿宋_GB2312" w:eastAsia="仿宋_GB2312" w:cs="仿宋_GB2312"/>
          <w:b w:val="0"/>
          <w:bCs w:val="0"/>
          <w:sz w:val="32"/>
          <w:szCs w:val="32"/>
        </w:rPr>
        <w:t>四、</w:t>
      </w:r>
      <w:r>
        <w:rPr>
          <w:rFonts w:hint="eastAsia" w:ascii="仿宋_GB2312" w:hAnsi="仿宋_GB2312" w:eastAsia="仿宋_GB2312" w:cs="仿宋_GB2312"/>
          <w:b w:val="0"/>
          <w:color w:val="000000"/>
          <w:sz w:val="32"/>
          <w:szCs w:val="32"/>
        </w:rPr>
        <w:t>财</w:t>
      </w:r>
      <w:r>
        <w:rPr>
          <w:rStyle w:val="26"/>
          <w:rFonts w:hint="eastAsia" w:ascii="仿宋_GB2312" w:hAnsi="仿宋_GB2312" w:eastAsia="仿宋_GB2312" w:cs="仿宋_GB2312"/>
          <w:b w:val="0"/>
          <w:bCs w:val="0"/>
          <w:sz w:val="32"/>
          <w:szCs w:val="32"/>
        </w:rPr>
        <w:t>政拨款收入支出决算总表</w:t>
      </w:r>
      <w:bookmarkEnd w:id="63"/>
    </w:p>
    <w:p>
      <w:pPr>
        <w:pStyle w:val="3"/>
        <w:keepNext/>
        <w:keepLines/>
        <w:pageBreakBefore w:val="0"/>
        <w:widowControl w:val="0"/>
        <w:kinsoku/>
        <w:wordWrap/>
        <w:overflowPunct/>
        <w:topLinePunct w:val="0"/>
        <w:autoSpaceDE/>
        <w:autoSpaceDN/>
        <w:bidi w:val="0"/>
        <w:adjustRightInd/>
        <w:snapToGrid/>
        <w:spacing w:line="560" w:lineRule="exact"/>
        <w:textAlignment w:val="auto"/>
        <w:rPr>
          <w:rStyle w:val="26"/>
          <w:rFonts w:hint="eastAsia" w:ascii="仿宋_GB2312" w:hAnsi="仿宋_GB2312" w:eastAsia="仿宋_GB2312" w:cs="仿宋_GB2312"/>
          <w:b w:val="0"/>
          <w:bCs w:val="0"/>
          <w:sz w:val="32"/>
          <w:szCs w:val="32"/>
        </w:rPr>
      </w:pPr>
      <w:bookmarkStart w:id="64" w:name="_Toc15396623"/>
      <w:r>
        <w:rPr>
          <w:rStyle w:val="26"/>
          <w:rFonts w:hint="eastAsia" w:ascii="仿宋_GB2312" w:hAnsi="仿宋_GB2312" w:eastAsia="仿宋_GB2312" w:cs="仿宋_GB2312"/>
          <w:b w:val="0"/>
          <w:bCs w:val="0"/>
          <w:sz w:val="32"/>
          <w:szCs w:val="32"/>
        </w:rPr>
        <w:t>五、</w:t>
      </w:r>
      <w:r>
        <w:rPr>
          <w:rFonts w:hint="eastAsia" w:ascii="仿宋_GB2312" w:hAnsi="仿宋_GB2312" w:eastAsia="仿宋_GB2312" w:cs="仿宋_GB2312"/>
          <w:b w:val="0"/>
          <w:color w:val="000000"/>
          <w:sz w:val="32"/>
          <w:szCs w:val="32"/>
        </w:rPr>
        <w:t>财</w:t>
      </w:r>
      <w:r>
        <w:rPr>
          <w:rStyle w:val="26"/>
          <w:rFonts w:hint="eastAsia" w:ascii="仿宋_GB2312" w:hAnsi="仿宋_GB2312" w:eastAsia="仿宋_GB2312" w:cs="仿宋_GB2312"/>
          <w:b w:val="0"/>
          <w:bCs w:val="0"/>
          <w:sz w:val="32"/>
          <w:szCs w:val="32"/>
        </w:rPr>
        <w:t>政拨款支出决算明细表</w:t>
      </w:r>
      <w:bookmarkEnd w:id="64"/>
      <w:bookmarkStart w:id="65" w:name="_Toc15396624"/>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r>
        <w:rPr>
          <w:rStyle w:val="26"/>
          <w:rFonts w:hint="eastAsia" w:ascii="仿宋_GB2312" w:hAnsi="仿宋_GB2312" w:eastAsia="仿宋_GB2312" w:cs="仿宋_GB2312"/>
          <w:b w:val="0"/>
          <w:bCs w:val="0"/>
          <w:sz w:val="32"/>
          <w:szCs w:val="32"/>
        </w:rPr>
        <w:t>六、</w:t>
      </w:r>
      <w:r>
        <w:rPr>
          <w:rFonts w:hint="eastAsia" w:ascii="仿宋_GB2312" w:hAnsi="仿宋_GB2312" w:eastAsia="仿宋_GB2312" w:cs="仿宋_GB2312"/>
          <w:b w:val="0"/>
          <w:color w:val="000000"/>
          <w:sz w:val="32"/>
          <w:szCs w:val="32"/>
        </w:rPr>
        <w:t>一</w:t>
      </w:r>
      <w:r>
        <w:rPr>
          <w:rStyle w:val="26"/>
          <w:rFonts w:hint="eastAsia" w:ascii="仿宋_GB2312" w:hAnsi="仿宋_GB2312" w:eastAsia="仿宋_GB2312" w:cs="仿宋_GB2312"/>
          <w:b w:val="0"/>
          <w:bCs w:val="0"/>
          <w:sz w:val="32"/>
          <w:szCs w:val="32"/>
        </w:rPr>
        <w:t>般公共预算财政拨款支出决算表</w:t>
      </w:r>
      <w:bookmarkEnd w:id="65"/>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bookmarkStart w:id="66" w:name="_Toc15396625"/>
      <w:r>
        <w:rPr>
          <w:rStyle w:val="26"/>
          <w:rFonts w:hint="eastAsia" w:ascii="仿宋_GB2312" w:hAnsi="仿宋_GB2312" w:eastAsia="仿宋_GB2312" w:cs="仿宋_GB2312"/>
          <w:b w:val="0"/>
          <w:bCs w:val="0"/>
          <w:sz w:val="32"/>
          <w:szCs w:val="32"/>
        </w:rPr>
        <w:t>七、</w:t>
      </w:r>
      <w:r>
        <w:rPr>
          <w:rFonts w:hint="eastAsia" w:ascii="仿宋_GB2312" w:hAnsi="仿宋_GB2312" w:eastAsia="仿宋_GB2312" w:cs="仿宋_GB2312"/>
          <w:b w:val="0"/>
          <w:color w:val="000000"/>
          <w:sz w:val="32"/>
          <w:szCs w:val="32"/>
        </w:rPr>
        <w:t>一</w:t>
      </w:r>
      <w:r>
        <w:rPr>
          <w:rStyle w:val="26"/>
          <w:rFonts w:hint="eastAsia" w:ascii="仿宋_GB2312" w:hAnsi="仿宋_GB2312" w:eastAsia="仿宋_GB2312" w:cs="仿宋_GB2312"/>
          <w:b w:val="0"/>
          <w:bCs w:val="0"/>
          <w:sz w:val="32"/>
          <w:szCs w:val="32"/>
        </w:rPr>
        <w:t>般公共预算财政拨款支出决算明细表</w:t>
      </w:r>
      <w:bookmarkEnd w:id="66"/>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bookmarkStart w:id="67" w:name="_Toc15396626"/>
      <w:r>
        <w:rPr>
          <w:rStyle w:val="26"/>
          <w:rFonts w:hint="eastAsia" w:ascii="仿宋_GB2312" w:hAnsi="仿宋_GB2312" w:eastAsia="仿宋_GB2312" w:cs="仿宋_GB2312"/>
          <w:b w:val="0"/>
          <w:bCs w:val="0"/>
          <w:sz w:val="32"/>
          <w:szCs w:val="32"/>
        </w:rPr>
        <w:t>八、</w:t>
      </w:r>
      <w:r>
        <w:rPr>
          <w:rFonts w:hint="eastAsia" w:ascii="仿宋_GB2312" w:hAnsi="仿宋_GB2312" w:eastAsia="仿宋_GB2312" w:cs="仿宋_GB2312"/>
          <w:b w:val="0"/>
          <w:color w:val="000000"/>
          <w:sz w:val="32"/>
          <w:szCs w:val="32"/>
        </w:rPr>
        <w:t>一</w:t>
      </w:r>
      <w:r>
        <w:rPr>
          <w:rStyle w:val="26"/>
          <w:rFonts w:hint="eastAsia" w:ascii="仿宋_GB2312" w:hAnsi="仿宋_GB2312" w:eastAsia="仿宋_GB2312" w:cs="仿宋_GB2312"/>
          <w:b w:val="0"/>
          <w:bCs w:val="0"/>
          <w:sz w:val="32"/>
          <w:szCs w:val="32"/>
        </w:rPr>
        <w:t>般公共预算财政拨款基本支出决算表</w:t>
      </w:r>
      <w:bookmarkEnd w:id="67"/>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bookmarkStart w:id="68" w:name="_Toc15396627"/>
      <w:r>
        <w:rPr>
          <w:rStyle w:val="26"/>
          <w:rFonts w:hint="eastAsia" w:ascii="仿宋_GB2312" w:hAnsi="仿宋_GB2312" w:eastAsia="仿宋_GB2312" w:cs="仿宋_GB2312"/>
          <w:b w:val="0"/>
          <w:bCs w:val="0"/>
          <w:sz w:val="32"/>
          <w:szCs w:val="32"/>
        </w:rPr>
        <w:t>九、</w:t>
      </w:r>
      <w:r>
        <w:rPr>
          <w:rFonts w:hint="eastAsia" w:ascii="仿宋_GB2312" w:hAnsi="仿宋_GB2312" w:eastAsia="仿宋_GB2312" w:cs="仿宋_GB2312"/>
          <w:b w:val="0"/>
          <w:color w:val="000000"/>
          <w:sz w:val="32"/>
          <w:szCs w:val="32"/>
        </w:rPr>
        <w:t>一</w:t>
      </w:r>
      <w:r>
        <w:rPr>
          <w:rStyle w:val="26"/>
          <w:rFonts w:hint="eastAsia" w:ascii="仿宋_GB2312" w:hAnsi="仿宋_GB2312" w:eastAsia="仿宋_GB2312" w:cs="仿宋_GB2312"/>
          <w:b w:val="0"/>
          <w:bCs w:val="0"/>
          <w:sz w:val="32"/>
          <w:szCs w:val="32"/>
        </w:rPr>
        <w:t>般公共预算财政拨款项目支出决算表</w:t>
      </w:r>
      <w:bookmarkEnd w:id="68"/>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bookmarkStart w:id="69" w:name="_Toc15396628"/>
      <w:r>
        <w:rPr>
          <w:rStyle w:val="26"/>
          <w:rFonts w:hint="eastAsia" w:ascii="仿宋_GB2312" w:hAnsi="仿宋_GB2312" w:eastAsia="仿宋_GB2312" w:cs="仿宋_GB2312"/>
          <w:b w:val="0"/>
          <w:bCs w:val="0"/>
          <w:sz w:val="32"/>
          <w:szCs w:val="32"/>
        </w:rPr>
        <w:t>十、</w:t>
      </w:r>
      <w:r>
        <w:rPr>
          <w:rFonts w:hint="eastAsia" w:ascii="仿宋_GB2312" w:hAnsi="仿宋_GB2312" w:eastAsia="仿宋_GB2312" w:cs="仿宋_GB2312"/>
          <w:b w:val="0"/>
          <w:color w:val="000000"/>
          <w:sz w:val="32"/>
          <w:szCs w:val="32"/>
        </w:rPr>
        <w:t>一</w:t>
      </w:r>
      <w:r>
        <w:rPr>
          <w:rStyle w:val="26"/>
          <w:rFonts w:hint="eastAsia" w:ascii="仿宋_GB2312" w:hAnsi="仿宋_GB2312" w:eastAsia="仿宋_GB2312" w:cs="仿宋_GB2312"/>
          <w:b w:val="0"/>
          <w:bCs w:val="0"/>
          <w:sz w:val="32"/>
          <w:szCs w:val="32"/>
        </w:rPr>
        <w:t>般公共预算财政拨款“三公”经费支出决算表</w:t>
      </w:r>
      <w:bookmarkEnd w:id="69"/>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bookmarkStart w:id="70" w:name="_Toc15396629"/>
      <w:r>
        <w:rPr>
          <w:rStyle w:val="26"/>
          <w:rFonts w:hint="eastAsia" w:ascii="仿宋_GB2312" w:hAnsi="仿宋_GB2312" w:eastAsia="仿宋_GB2312" w:cs="仿宋_GB2312"/>
          <w:b w:val="0"/>
          <w:bCs w:val="0"/>
          <w:sz w:val="32"/>
          <w:szCs w:val="32"/>
        </w:rPr>
        <w:t>十一、</w:t>
      </w:r>
      <w:r>
        <w:rPr>
          <w:rFonts w:hint="eastAsia" w:ascii="仿宋_GB2312" w:hAnsi="仿宋_GB2312" w:eastAsia="仿宋_GB2312" w:cs="仿宋_GB2312"/>
          <w:b w:val="0"/>
          <w:color w:val="000000"/>
          <w:sz w:val="32"/>
          <w:szCs w:val="32"/>
        </w:rPr>
        <w:t>政</w:t>
      </w:r>
      <w:r>
        <w:rPr>
          <w:rStyle w:val="26"/>
          <w:rFonts w:hint="eastAsia" w:ascii="仿宋_GB2312" w:hAnsi="仿宋_GB2312" w:eastAsia="仿宋_GB2312" w:cs="仿宋_GB2312"/>
          <w:b w:val="0"/>
          <w:bCs w:val="0"/>
          <w:sz w:val="32"/>
          <w:szCs w:val="32"/>
        </w:rPr>
        <w:t>府性基金预算财政拨款收入支出决算表</w:t>
      </w:r>
      <w:bookmarkEnd w:id="70"/>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bookmarkStart w:id="71" w:name="_Toc15396630"/>
      <w:r>
        <w:rPr>
          <w:rStyle w:val="26"/>
          <w:rFonts w:hint="eastAsia" w:ascii="仿宋_GB2312" w:hAnsi="仿宋_GB2312" w:eastAsia="仿宋_GB2312" w:cs="仿宋_GB2312"/>
          <w:b w:val="0"/>
          <w:bCs w:val="0"/>
          <w:sz w:val="32"/>
          <w:szCs w:val="32"/>
        </w:rPr>
        <w:t>十二、</w:t>
      </w:r>
      <w:r>
        <w:rPr>
          <w:rFonts w:hint="eastAsia" w:ascii="仿宋_GB2312" w:hAnsi="仿宋_GB2312" w:eastAsia="仿宋_GB2312" w:cs="仿宋_GB2312"/>
          <w:b w:val="0"/>
          <w:color w:val="000000"/>
          <w:sz w:val="32"/>
          <w:szCs w:val="32"/>
        </w:rPr>
        <w:t>政</w:t>
      </w:r>
      <w:r>
        <w:rPr>
          <w:rStyle w:val="26"/>
          <w:rFonts w:hint="eastAsia" w:ascii="仿宋_GB2312" w:hAnsi="仿宋_GB2312" w:eastAsia="仿宋_GB2312" w:cs="仿宋_GB2312"/>
          <w:b w:val="0"/>
          <w:bCs w:val="0"/>
          <w:sz w:val="32"/>
          <w:szCs w:val="32"/>
        </w:rPr>
        <w:t>府性基金预算财政拨款“三公”经费支出决算表</w:t>
      </w:r>
      <w:bookmarkEnd w:id="71"/>
    </w:p>
    <w:p>
      <w:pPr>
        <w:pStyle w:val="3"/>
        <w:keepNext/>
        <w:keepLines/>
        <w:pageBreakBefore w:val="0"/>
        <w:widowControl w:val="0"/>
        <w:kinsoku/>
        <w:wordWrap/>
        <w:overflowPunct/>
        <w:topLinePunct w:val="0"/>
        <w:autoSpaceDE/>
        <w:autoSpaceDN/>
        <w:bidi w:val="0"/>
        <w:adjustRightInd/>
        <w:snapToGrid/>
        <w:spacing w:line="560" w:lineRule="exact"/>
        <w:textAlignment w:val="auto"/>
        <w:rPr>
          <w:rStyle w:val="26"/>
          <w:rFonts w:hint="eastAsia" w:ascii="仿宋_GB2312" w:hAnsi="仿宋_GB2312" w:eastAsia="仿宋_GB2312" w:cs="仿宋_GB2312"/>
          <w:b w:val="0"/>
          <w:bCs w:val="0"/>
          <w:sz w:val="32"/>
          <w:szCs w:val="32"/>
        </w:rPr>
      </w:pPr>
      <w:bookmarkStart w:id="72" w:name="_Toc15396631"/>
      <w:r>
        <w:rPr>
          <w:rStyle w:val="26"/>
          <w:rFonts w:hint="eastAsia" w:ascii="仿宋_GB2312" w:hAnsi="仿宋_GB2312" w:eastAsia="仿宋_GB2312" w:cs="仿宋_GB2312"/>
          <w:b w:val="0"/>
          <w:bCs w:val="0"/>
          <w:sz w:val="32"/>
          <w:szCs w:val="32"/>
        </w:rPr>
        <w:t>十三、</w:t>
      </w:r>
      <w:r>
        <w:rPr>
          <w:rFonts w:hint="eastAsia" w:ascii="仿宋_GB2312" w:hAnsi="仿宋_GB2312" w:eastAsia="仿宋_GB2312" w:cs="仿宋_GB2312"/>
          <w:b w:val="0"/>
          <w:color w:val="000000"/>
          <w:sz w:val="32"/>
          <w:szCs w:val="32"/>
        </w:rPr>
        <w:t>国</w:t>
      </w:r>
      <w:r>
        <w:rPr>
          <w:rStyle w:val="26"/>
          <w:rFonts w:hint="eastAsia" w:ascii="仿宋_GB2312" w:hAnsi="仿宋_GB2312" w:eastAsia="仿宋_GB2312" w:cs="仿宋_GB2312"/>
          <w:b w:val="0"/>
          <w:bCs w:val="0"/>
          <w:sz w:val="32"/>
          <w:szCs w:val="32"/>
        </w:rPr>
        <w:t>有资本经营预算支出决算表</w:t>
      </w:r>
      <w:bookmarkEnd w:id="72"/>
    </w:p>
    <w:p>
      <w:pPr>
        <w:pageBreakBefore w:val="0"/>
        <w:kinsoku/>
        <w:wordWrap/>
        <w:overflowPunct/>
        <w:topLinePunct w:val="0"/>
        <w:bidi w:val="0"/>
        <w:spacing w:line="560" w:lineRule="exact"/>
        <w:rPr>
          <w:rFonts w:hint="eastAsia" w:eastAsia="仿宋_GB2312"/>
          <w:lang w:val="en-US" w:eastAsia="zh-CN"/>
        </w:rPr>
      </w:pPr>
      <w:bookmarkStart w:id="73" w:name="_GoBack"/>
      <w:bookmarkEnd w:id="73"/>
    </w:p>
    <w:sectPr>
      <w:footerReference r:id="rId6"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61B26F"/>
    <w:multiLevelType w:val="singleLevel"/>
    <w:tmpl w:val="9361B26F"/>
    <w:lvl w:ilvl="0" w:tentative="0">
      <w:start w:val="1"/>
      <w:numFmt w:val="decimal"/>
      <w:lvlText w:val="%1."/>
      <w:lvlJc w:val="left"/>
      <w:pPr>
        <w:tabs>
          <w:tab w:val="left" w:pos="312"/>
        </w:tabs>
      </w:pPr>
    </w:lvl>
  </w:abstractNum>
  <w:abstractNum w:abstractNumId="1">
    <w:nsid w:val="CE86C737"/>
    <w:multiLevelType w:val="singleLevel"/>
    <w:tmpl w:val="CE86C737"/>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AB3488A"/>
    <w:multiLevelType w:val="singleLevel"/>
    <w:tmpl w:val="1AB3488A"/>
    <w:lvl w:ilvl="0" w:tentative="0">
      <w:start w:val="1"/>
      <w:numFmt w:val="decimal"/>
      <w:lvlText w:val="%1."/>
      <w:lvlJc w:val="left"/>
      <w:pPr>
        <w:tabs>
          <w:tab w:val="left" w:pos="312"/>
        </w:tabs>
      </w:pPr>
    </w:lvl>
  </w:abstractNum>
  <w:abstractNum w:abstractNumId="6">
    <w:nsid w:val="31045C85"/>
    <w:multiLevelType w:val="singleLevel"/>
    <w:tmpl w:val="31045C85"/>
    <w:lvl w:ilvl="0" w:tentative="0">
      <w:start w:val="1"/>
      <w:numFmt w:val="decimal"/>
      <w:lvlText w:val="%1."/>
      <w:lvlJc w:val="left"/>
      <w:pPr>
        <w:tabs>
          <w:tab w:val="left" w:pos="312"/>
        </w:tabs>
      </w:pPr>
    </w:lvl>
  </w:abstractNum>
  <w:abstractNum w:abstractNumId="7">
    <w:nsid w:val="55CDCEC5"/>
    <w:multiLevelType w:val="singleLevel"/>
    <w:tmpl w:val="55CDCEC5"/>
    <w:lvl w:ilvl="0" w:tentative="0">
      <w:start w:val="1"/>
      <w:numFmt w:val="decimal"/>
      <w:lvlText w:val="%1."/>
      <w:lvlJc w:val="left"/>
      <w:pPr>
        <w:tabs>
          <w:tab w:val="left" w:pos="312"/>
        </w:tabs>
      </w:pPr>
    </w:lvl>
  </w:abstractNum>
  <w:abstractNum w:abstractNumId="8">
    <w:nsid w:val="7D7795FC"/>
    <w:multiLevelType w:val="singleLevel"/>
    <w:tmpl w:val="7D7795FC"/>
    <w:lvl w:ilvl="0" w:tentative="0">
      <w:start w:val="2"/>
      <w:numFmt w:val="chineseCounting"/>
      <w:suff w:val="nothing"/>
      <w:lvlText w:val="（%1）"/>
      <w:lvlJc w:val="left"/>
      <w:rPr>
        <w:rFonts w:hint="eastAsia"/>
      </w:rPr>
    </w:lvl>
  </w:abstractNum>
  <w:num w:numId="1">
    <w:abstractNumId w:val="4"/>
  </w:num>
  <w:num w:numId="2">
    <w:abstractNumId w:val="2"/>
  </w:num>
  <w:num w:numId="3">
    <w:abstractNumId w:val="6"/>
  </w:num>
  <w:num w:numId="4">
    <w:abstractNumId w:val="7"/>
  </w:num>
  <w:num w:numId="5">
    <w:abstractNumId w:val="5"/>
  </w:num>
  <w:num w:numId="6">
    <w:abstractNumId w:val="1"/>
  </w:num>
  <w:num w:numId="7">
    <w:abstractNumId w:val="0"/>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468DB"/>
    <w:rsid w:val="0006487A"/>
    <w:rsid w:val="00065F8F"/>
    <w:rsid w:val="00070A43"/>
    <w:rsid w:val="000768F2"/>
    <w:rsid w:val="00083F63"/>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2234"/>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93B3A"/>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2295B8E"/>
    <w:rsid w:val="031D4DE7"/>
    <w:rsid w:val="03906A0B"/>
    <w:rsid w:val="03B14BAE"/>
    <w:rsid w:val="03F60498"/>
    <w:rsid w:val="05713133"/>
    <w:rsid w:val="05EA26AC"/>
    <w:rsid w:val="07764B2D"/>
    <w:rsid w:val="098D4F72"/>
    <w:rsid w:val="098E09B0"/>
    <w:rsid w:val="0A0964DF"/>
    <w:rsid w:val="0B4942DE"/>
    <w:rsid w:val="0B6F3FEF"/>
    <w:rsid w:val="0B6F67BD"/>
    <w:rsid w:val="0D17037E"/>
    <w:rsid w:val="0F5032D7"/>
    <w:rsid w:val="0F5167A2"/>
    <w:rsid w:val="0F9C0E2D"/>
    <w:rsid w:val="0FE325FF"/>
    <w:rsid w:val="10C055FF"/>
    <w:rsid w:val="10FC73A4"/>
    <w:rsid w:val="120E6206"/>
    <w:rsid w:val="12735ED6"/>
    <w:rsid w:val="13606118"/>
    <w:rsid w:val="13B84C5F"/>
    <w:rsid w:val="14241D33"/>
    <w:rsid w:val="15474A91"/>
    <w:rsid w:val="166A2F3D"/>
    <w:rsid w:val="169B79FC"/>
    <w:rsid w:val="16BB723D"/>
    <w:rsid w:val="177F5F66"/>
    <w:rsid w:val="18B916B1"/>
    <w:rsid w:val="1A0B5E2F"/>
    <w:rsid w:val="1B6C0D31"/>
    <w:rsid w:val="1BB177DC"/>
    <w:rsid w:val="1C4672B4"/>
    <w:rsid w:val="1C805D58"/>
    <w:rsid w:val="1E686B40"/>
    <w:rsid w:val="1EBE6D9F"/>
    <w:rsid w:val="1EC2361F"/>
    <w:rsid w:val="1FCE66B7"/>
    <w:rsid w:val="217F0CCC"/>
    <w:rsid w:val="221E220D"/>
    <w:rsid w:val="240371BF"/>
    <w:rsid w:val="25047177"/>
    <w:rsid w:val="251628C4"/>
    <w:rsid w:val="25564D7E"/>
    <w:rsid w:val="25950E6F"/>
    <w:rsid w:val="268A103B"/>
    <w:rsid w:val="27536A95"/>
    <w:rsid w:val="284224A8"/>
    <w:rsid w:val="299B78A8"/>
    <w:rsid w:val="29FD04D3"/>
    <w:rsid w:val="2AEE28B5"/>
    <w:rsid w:val="2BD154D8"/>
    <w:rsid w:val="2D213EFA"/>
    <w:rsid w:val="2D3E78D4"/>
    <w:rsid w:val="2DE75979"/>
    <w:rsid w:val="2E384C14"/>
    <w:rsid w:val="2E590FF7"/>
    <w:rsid w:val="2E665745"/>
    <w:rsid w:val="2FD43647"/>
    <w:rsid w:val="30E3595C"/>
    <w:rsid w:val="31624357"/>
    <w:rsid w:val="31970B1D"/>
    <w:rsid w:val="319F7F4E"/>
    <w:rsid w:val="320D42BD"/>
    <w:rsid w:val="333B24F2"/>
    <w:rsid w:val="33431440"/>
    <w:rsid w:val="33DF2778"/>
    <w:rsid w:val="35034C35"/>
    <w:rsid w:val="37DE7A70"/>
    <w:rsid w:val="38FD2C0F"/>
    <w:rsid w:val="39C02D26"/>
    <w:rsid w:val="39EE5A69"/>
    <w:rsid w:val="39F00EEA"/>
    <w:rsid w:val="3B312A92"/>
    <w:rsid w:val="3BEC70BF"/>
    <w:rsid w:val="3C08726D"/>
    <w:rsid w:val="3DF5461A"/>
    <w:rsid w:val="3F0920B6"/>
    <w:rsid w:val="3F2D70CC"/>
    <w:rsid w:val="402C0BB1"/>
    <w:rsid w:val="41F565D8"/>
    <w:rsid w:val="42034E9A"/>
    <w:rsid w:val="4222053D"/>
    <w:rsid w:val="44964A93"/>
    <w:rsid w:val="44A0587B"/>
    <w:rsid w:val="455E319C"/>
    <w:rsid w:val="46E6247B"/>
    <w:rsid w:val="478403CA"/>
    <w:rsid w:val="47D02B77"/>
    <w:rsid w:val="486B2F40"/>
    <w:rsid w:val="48872900"/>
    <w:rsid w:val="48F13113"/>
    <w:rsid w:val="4916636D"/>
    <w:rsid w:val="497B7504"/>
    <w:rsid w:val="4B1A10E0"/>
    <w:rsid w:val="4B2336B8"/>
    <w:rsid w:val="4B4F701D"/>
    <w:rsid w:val="4BFF0F63"/>
    <w:rsid w:val="4C497781"/>
    <w:rsid w:val="4CBF46DD"/>
    <w:rsid w:val="4D053544"/>
    <w:rsid w:val="4D677900"/>
    <w:rsid w:val="4D793FF0"/>
    <w:rsid w:val="4D845568"/>
    <w:rsid w:val="4ECE2238"/>
    <w:rsid w:val="4F6C3F42"/>
    <w:rsid w:val="50345C85"/>
    <w:rsid w:val="504821FD"/>
    <w:rsid w:val="50F94862"/>
    <w:rsid w:val="51146942"/>
    <w:rsid w:val="5235099D"/>
    <w:rsid w:val="5247025E"/>
    <w:rsid w:val="527B6246"/>
    <w:rsid w:val="5518541C"/>
    <w:rsid w:val="57CA62E6"/>
    <w:rsid w:val="5BA653CE"/>
    <w:rsid w:val="5D2E5D93"/>
    <w:rsid w:val="5E1E0F24"/>
    <w:rsid w:val="5F8C07E3"/>
    <w:rsid w:val="5FCA68E5"/>
    <w:rsid w:val="5FE41711"/>
    <w:rsid w:val="60145F10"/>
    <w:rsid w:val="608F4E9D"/>
    <w:rsid w:val="60DA69CB"/>
    <w:rsid w:val="611831F2"/>
    <w:rsid w:val="614011B9"/>
    <w:rsid w:val="629D10B1"/>
    <w:rsid w:val="646F24B7"/>
    <w:rsid w:val="64B23724"/>
    <w:rsid w:val="64E848B0"/>
    <w:rsid w:val="64E8684E"/>
    <w:rsid w:val="64F51EA2"/>
    <w:rsid w:val="657F0B25"/>
    <w:rsid w:val="6601483E"/>
    <w:rsid w:val="691C33E2"/>
    <w:rsid w:val="69CE5E5A"/>
    <w:rsid w:val="6B8E1230"/>
    <w:rsid w:val="6B9D341D"/>
    <w:rsid w:val="6B9D4451"/>
    <w:rsid w:val="6C093118"/>
    <w:rsid w:val="6C6C3686"/>
    <w:rsid w:val="6D802B72"/>
    <w:rsid w:val="705C4C10"/>
    <w:rsid w:val="711C037F"/>
    <w:rsid w:val="713959BE"/>
    <w:rsid w:val="717A1D8E"/>
    <w:rsid w:val="71914419"/>
    <w:rsid w:val="71B24B30"/>
    <w:rsid w:val="72020B04"/>
    <w:rsid w:val="72734D90"/>
    <w:rsid w:val="73045CC3"/>
    <w:rsid w:val="73E646CE"/>
    <w:rsid w:val="75855918"/>
    <w:rsid w:val="75A60D9C"/>
    <w:rsid w:val="76E0177E"/>
    <w:rsid w:val="773B22DF"/>
    <w:rsid w:val="796D0939"/>
    <w:rsid w:val="7B2B3A45"/>
    <w:rsid w:val="7B5A7CAB"/>
    <w:rsid w:val="7CBC6D40"/>
    <w:rsid w:val="7CFE1F58"/>
    <w:rsid w:val="7D0E4B66"/>
    <w:rsid w:val="7D776EFF"/>
    <w:rsid w:val="7F440D96"/>
    <w:rsid w:val="7F54385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semiHidden/>
    <w:unhideWhenUsed/>
    <w:qFormat/>
    <w:uiPriority w:val="99"/>
    <w:rPr>
      <w:sz w:val="24"/>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字符"/>
    <w:basedOn w:val="14"/>
    <w:link w:val="2"/>
    <w:qFormat/>
    <w:uiPriority w:val="9"/>
    <w:rPr>
      <w:rFonts w:ascii="Times New Roman" w:hAnsi="Times New Roman"/>
      <w:b/>
      <w:bCs/>
      <w:kern w:val="44"/>
      <w:sz w:val="44"/>
      <w:szCs w:val="44"/>
    </w:rPr>
  </w:style>
  <w:style w:type="character" w:customStyle="1" w:styleId="26">
    <w:name w:val="标题 2 字符"/>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字符"/>
    <w:basedOn w:val="14"/>
    <w:link w:val="7"/>
    <w:semiHidden/>
    <w:qFormat/>
    <w:uiPriority w:val="99"/>
    <w:rPr>
      <w:rFonts w:ascii="Times New Roman" w:hAnsi="Times New Roman"/>
      <w:kern w:val="2"/>
      <w:sz w:val="18"/>
      <w:szCs w:val="18"/>
    </w:rPr>
  </w:style>
  <w:style w:type="character" w:customStyle="1" w:styleId="29">
    <w:name w:val="标题 3 字符"/>
    <w:basedOn w:val="14"/>
    <w:link w:val="4"/>
    <w:qFormat/>
    <w:uiPriority w:val="9"/>
    <w:rPr>
      <w:rFonts w:ascii="Times New Roman" w:hAnsi="Times New Roman"/>
      <w:b/>
      <w:bCs/>
      <w:kern w:val="2"/>
      <w:sz w:val="32"/>
      <w:szCs w:val="32"/>
    </w:rPr>
  </w:style>
  <w:style w:type="paragraph" w:customStyle="1" w:styleId="30">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D:\&#26032;&#24314;&#25991;&#20214;&#22841;\&#36130;&#21153;\&#20915;&#31639;&#39044;&#31639;\2019\&#20915;&#31639;\2019&#20915;&#31639;&#20844;&#24320;\&#20445;&#20581;&#38498;\&#22270;&#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D:\&#26032;&#24314;&#25991;&#20214;&#22841;\&#36130;&#21153;\&#20915;&#31639;&#39044;&#31639;\2019\&#20915;&#31639;\2019&#20915;&#31639;&#20844;&#24320;\&#20445;&#20581;&#38498;\&#22270;&#349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26032;&#24314;&#25991;&#20214;&#22841;\&#36130;&#21153;\&#20915;&#31639;&#39044;&#31639;\2019\&#20915;&#31639;\2019&#20915;&#31639;&#20844;&#24320;\&#20445;&#20581;&#38498;\&#22270;&#3492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26032;&#24314;&#25991;&#20214;&#22841;\&#36130;&#21153;\&#20915;&#31639;&#39044;&#31639;\2019\&#20915;&#31639;\2019&#20915;&#31639;&#20844;&#24320;\&#20445;&#20581;&#38498;\&#22270;&#3492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D:\&#26032;&#24314;&#25991;&#20214;&#22841;\&#36130;&#21153;\&#20915;&#31639;&#39044;&#31639;\2019\&#20915;&#31639;\2019&#20915;&#31639;&#20844;&#24320;\&#20445;&#20581;&#38498;\&#22270;&#3492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D:\&#26032;&#24314;&#25991;&#20214;&#22841;\&#36130;&#21153;\&#20915;&#31639;&#39044;&#31639;\2019\&#20915;&#31639;\2019&#20915;&#31639;&#20844;&#24320;\&#20445;&#20581;&#38498;\&#22270;&#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1</a:t>
            </a:r>
            <a:r>
              <a:rPr altLang="en-US"/>
              <a:t>：</a:t>
            </a:r>
            <a:r>
              <a:t>收、支决算总计变动情况图</a:t>
            </a:r>
          </a:p>
          <a:p>
            <a:pPr defTabSz="914400">
              <a:defRPr lang="zh-CN" sz="1400" b="0" i="0" u="none" strike="noStrike" kern="1200" spc="0" baseline="0">
                <a:solidFill>
                  <a:schemeClr val="tx1">
                    <a:lumMod val="65000"/>
                    <a:lumOff val="35000"/>
                  </a:schemeClr>
                </a:solidFill>
                <a:latin typeface="+mn-lt"/>
                <a:ea typeface="+mn-ea"/>
                <a:cs typeface="+mn-cs"/>
              </a:defRPr>
            </a:pPr>
            <a:r>
              <a:t>                                               单位：万元</a:t>
            </a:r>
          </a:p>
        </c:rich>
      </c:tx>
      <c:layout>
        <c:manualLayout>
          <c:xMode val="edge"/>
          <c:yMode val="edge"/>
          <c:x val="0.104513888888889"/>
          <c:y val="0.05249343832021"/>
        </c:manualLayout>
      </c:layout>
      <c:overlay val="0"/>
      <c:spPr>
        <a:noFill/>
        <a:ln>
          <a:noFill/>
        </a:ln>
        <a:effectLst/>
      </c:spPr>
    </c:title>
    <c:autoTitleDeleted val="0"/>
    <c:plotArea>
      <c:layout>
        <c:manualLayout>
          <c:layoutTarget val="inner"/>
          <c:xMode val="edge"/>
          <c:yMode val="edge"/>
          <c:x val="0.100222222222222"/>
          <c:y val="0.293088363954506"/>
          <c:w val="0.869222222222222"/>
          <c:h val="0.617392825896763"/>
        </c:manualLayout>
      </c:layout>
      <c:barChart>
        <c:barDir val="col"/>
        <c:grouping val="clustered"/>
        <c:varyColors val="0"/>
        <c:ser>
          <c:idx val="0"/>
          <c:order val="0"/>
          <c:tx>
            <c:strRef>
              <c:f>[图表.xlsx]Sheet1!$F$4</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[图表.xlsx]Sheet1!$G$3:$H$3</c:f>
              <c:numCache>
                <c:formatCode>General</c:formatCode>
                <c:ptCount val="2"/>
                <c:pt idx="0">
                  <c:v>2018</c:v>
                </c:pt>
                <c:pt idx="1">
                  <c:v>2019</c:v>
                </c:pt>
              </c:numCache>
            </c:numRef>
          </c:cat>
          <c:val>
            <c:numRef>
              <c:f>[图表.xlsx]Sheet1!$G$4:$H$4</c:f>
              <c:numCache>
                <c:formatCode>General</c:formatCode>
                <c:ptCount val="2"/>
                <c:pt idx="0">
                  <c:v>1385.69</c:v>
                </c:pt>
                <c:pt idx="1">
                  <c:v>1646.99</c:v>
                </c:pt>
              </c:numCache>
            </c:numRef>
          </c:val>
        </c:ser>
        <c:dLbls>
          <c:showLegendKey val="0"/>
          <c:showVal val="1"/>
          <c:showCatName val="0"/>
          <c:showSerName val="0"/>
          <c:showPercent val="0"/>
          <c:showBubbleSize val="0"/>
        </c:dLbls>
        <c:gapWidth val="219"/>
        <c:overlap val="-27"/>
        <c:axId val="775107088"/>
        <c:axId val="491574085"/>
      </c:barChart>
      <c:catAx>
        <c:axId val="7751070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1574085"/>
        <c:crosses val="autoZero"/>
        <c:auto val="1"/>
        <c:lblAlgn val="ctr"/>
        <c:lblOffset val="100"/>
        <c:noMultiLvlLbl val="0"/>
      </c:catAx>
      <c:valAx>
        <c:axId val="49157408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5107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图2：收入决算结构图</a:t>
            </a:r>
          </a:p>
          <a:p>
            <a:pPr defTabSz="914400">
              <a:defRPr lang="zh-CN" sz="1400" b="0" i="0" u="none" strike="noStrike" kern="1200" spc="0" baseline="0">
                <a:solidFill>
                  <a:schemeClr val="tx1">
                    <a:lumMod val="65000"/>
                    <a:lumOff val="35000"/>
                  </a:schemeClr>
                </a:solidFill>
                <a:latin typeface="+mn-lt"/>
                <a:ea typeface="+mn-ea"/>
                <a:cs typeface="+mn-cs"/>
              </a:defRPr>
            </a:pPr>
            <a:r>
              <a:t>                                               单位：万元</a:t>
            </a:r>
          </a:p>
        </c:rich>
      </c:tx>
      <c:layout/>
      <c:overlay val="0"/>
      <c:spPr>
        <a:noFill/>
        <a:ln>
          <a:noFill/>
        </a:ln>
        <a:effectLst/>
      </c:spPr>
    </c:title>
    <c:autoTitleDeleted val="0"/>
    <c:plotArea>
      <c:layout/>
      <c:pieChart>
        <c:varyColors val="1"/>
        <c:ser>
          <c:idx val="0"/>
          <c:order val="0"/>
          <c:tx>
            <c:strRef>
              <c:f>[图表.xlsx]Sheet1!$G$30</c:f>
              <c:strCache>
                <c:ptCount val="1"/>
                <c:pt idx="0">
                  <c:v>图2：收入决算结构图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0250281609369456"/>
                  <c:y val="-0.02116618648568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836149527534718"/>
                  <c:y val="-0.038093068526002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[图表.xlsx]Sheet1!$F$31:$F$32</c:f>
              <c:strCache>
                <c:ptCount val="2"/>
                <c:pt idx="0">
                  <c:v>一般公共预算财政拨款收入</c:v>
                </c:pt>
                <c:pt idx="1">
                  <c:v>事业收入</c:v>
                </c:pt>
              </c:strCache>
            </c:strRef>
          </c:cat>
          <c:val>
            <c:numRef>
              <c:f>[图表.xlsx]Sheet1!$G$31:$G$32</c:f>
              <c:numCache>
                <c:formatCode>General</c:formatCode>
                <c:ptCount val="2"/>
                <c:pt idx="0">
                  <c:v>943.89</c:v>
                </c:pt>
                <c:pt idx="1">
                  <c:v>667.59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图3：支出决算结构图 </a:t>
            </a:r>
          </a:p>
          <a:p>
            <a:pPr defTabSz="914400">
              <a:defRPr lang="zh-CN" sz="1400" b="0" i="0" u="none" strike="noStrike" kern="1200" spc="0" baseline="0">
                <a:solidFill>
                  <a:schemeClr val="tx1">
                    <a:lumMod val="65000"/>
                    <a:lumOff val="35000"/>
                  </a:schemeClr>
                </a:solidFill>
                <a:latin typeface="+mn-lt"/>
                <a:ea typeface="+mn-ea"/>
                <a:cs typeface="+mn-cs"/>
              </a:defRPr>
            </a:pPr>
            <a:r>
              <a:t>                                              单位：万元</a:t>
            </a:r>
          </a:p>
        </c:rich>
      </c:tx>
      <c:layout/>
      <c:overlay val="0"/>
      <c:spPr>
        <a:noFill/>
        <a:ln>
          <a:noFill/>
        </a:ln>
        <a:effectLst/>
      </c:spPr>
    </c:title>
    <c:autoTitleDeleted val="0"/>
    <c:plotArea>
      <c:layout/>
      <c:pieChart>
        <c:varyColors val="1"/>
        <c:ser>
          <c:idx val="0"/>
          <c:order val="0"/>
          <c:tx>
            <c:strRef>
              <c:f>[图表.xlsx]Sheet1!$G$42</c:f>
              <c:strCache>
                <c:ptCount val="1"/>
                <c:pt idx="0">
                  <c:v>图3：支出决算结构图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156282169498239"/>
                  <c:y val="-0.089656487786771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[图表.xlsx]Sheet1!$F$43:$F$44</c:f>
              <c:strCache>
                <c:ptCount val="2"/>
                <c:pt idx="0">
                  <c:v>基本支出</c:v>
                </c:pt>
                <c:pt idx="1">
                  <c:v>项目支出</c:v>
                </c:pt>
              </c:strCache>
            </c:strRef>
          </c:cat>
          <c:val>
            <c:numRef>
              <c:f>[图表.xlsx]Sheet1!$G$43:$G$44</c:f>
              <c:numCache>
                <c:formatCode>General</c:formatCode>
                <c:ptCount val="2"/>
                <c:pt idx="0">
                  <c:v>1433.02</c:v>
                </c:pt>
                <c:pt idx="1">
                  <c:v>133.4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4</a:t>
            </a:r>
            <a:r>
              <a:rPr altLang="en-US"/>
              <a:t>：财政拨款</a:t>
            </a:r>
            <a:r>
              <a:t>收、支决算总计变动情况图</a:t>
            </a:r>
          </a:p>
          <a:p>
            <a:pPr defTabSz="914400">
              <a:defRPr lang="zh-CN" sz="1400" b="0" i="0" u="none" strike="noStrike" kern="1200" spc="0" baseline="0">
                <a:solidFill>
                  <a:schemeClr val="tx1">
                    <a:lumMod val="65000"/>
                    <a:lumOff val="35000"/>
                  </a:schemeClr>
                </a:solidFill>
                <a:latin typeface="+mn-lt"/>
                <a:ea typeface="+mn-ea"/>
                <a:cs typeface="+mn-cs"/>
              </a:defRPr>
            </a:pPr>
            <a:r>
              <a:t>                                      单位：万元</a:t>
            </a:r>
          </a:p>
        </c:rich>
      </c:tx>
      <c:layout/>
      <c:overlay val="0"/>
      <c:spPr>
        <a:noFill/>
        <a:ln>
          <a:noFill/>
        </a:ln>
        <a:effectLst/>
      </c:spPr>
    </c:title>
    <c:autoTitleDeleted val="0"/>
    <c:plotArea>
      <c:layout/>
      <c:barChart>
        <c:barDir val="col"/>
        <c:grouping val="clustered"/>
        <c:varyColors val="0"/>
        <c:ser>
          <c:idx val="0"/>
          <c:order val="0"/>
          <c:tx>
            <c:strRef>
              <c:f>[图表.xlsx]Sheet1!$F$59</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[图表.xlsx]Sheet1!$G$58:$H$58</c:f>
              <c:numCache>
                <c:formatCode>General</c:formatCode>
                <c:ptCount val="2"/>
                <c:pt idx="0">
                  <c:v>2018</c:v>
                </c:pt>
                <c:pt idx="1">
                  <c:v>2019</c:v>
                </c:pt>
              </c:numCache>
            </c:numRef>
          </c:cat>
          <c:val>
            <c:numRef>
              <c:f>[图表.xlsx]Sheet1!$G$59:$H$59</c:f>
              <c:numCache>
                <c:formatCode>General</c:formatCode>
                <c:ptCount val="2"/>
                <c:pt idx="0">
                  <c:v>863.75</c:v>
                </c:pt>
                <c:pt idx="1">
                  <c:v>979.4</c:v>
                </c:pt>
              </c:numCache>
            </c:numRef>
          </c:val>
        </c:ser>
        <c:dLbls>
          <c:showLegendKey val="0"/>
          <c:showVal val="1"/>
          <c:showCatName val="0"/>
          <c:showSerName val="0"/>
          <c:showPercent val="0"/>
          <c:showBubbleSize val="0"/>
        </c:dLbls>
        <c:gapWidth val="219"/>
        <c:overlap val="-27"/>
        <c:axId val="557525311"/>
        <c:axId val="683448081"/>
      </c:barChart>
      <c:catAx>
        <c:axId val="55752531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3448081"/>
        <c:crosses val="autoZero"/>
        <c:auto val="1"/>
        <c:lblAlgn val="ctr"/>
        <c:lblOffset val="100"/>
        <c:noMultiLvlLbl val="0"/>
      </c:catAx>
      <c:valAx>
        <c:axId val="68344808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75253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图5：一般公共预算财政拨款支出决算变动情况</a:t>
            </a:r>
          </a:p>
          <a:p>
            <a:pPr defTabSz="914400">
              <a:defRPr lang="zh-CN" sz="1400" b="0" i="0" u="none" strike="noStrike" kern="1200" spc="0" baseline="0">
                <a:solidFill>
                  <a:schemeClr val="tx1">
                    <a:lumMod val="65000"/>
                    <a:lumOff val="35000"/>
                  </a:schemeClr>
                </a:solidFill>
                <a:latin typeface="+mn-lt"/>
                <a:ea typeface="+mn-ea"/>
                <a:cs typeface="+mn-cs"/>
              </a:defRPr>
            </a:pPr>
            <a:r>
              <a:t>                                          单位：万元</a:t>
            </a:r>
          </a:p>
        </c:rich>
      </c:tx>
      <c:layout>
        <c:manualLayout>
          <c:xMode val="edge"/>
          <c:yMode val="edge"/>
          <c:x val="0.167839427846349"/>
          <c:y val="0.0225855022585502"/>
        </c:manualLayout>
      </c:layout>
      <c:overlay val="0"/>
      <c:spPr>
        <a:noFill/>
        <a:ln>
          <a:noFill/>
        </a:ln>
        <a:effectLst/>
      </c:spPr>
    </c:title>
    <c:autoTitleDeleted val="0"/>
    <c:plotArea>
      <c:layout/>
      <c:barChart>
        <c:barDir val="col"/>
        <c:grouping val="clustered"/>
        <c:varyColors val="0"/>
        <c:ser>
          <c:idx val="0"/>
          <c:order val="0"/>
          <c:tx>
            <c:strRef>
              <c:f>[图表.xlsx]Sheet1!$F$71</c:f>
              <c:strCache>
                <c:ptCount val="1"/>
                <c:pt idx="0">
                  <c:v>图5：一般公共预算财政拨款支出决算变动情况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[图表.xlsx]Sheet1!$G$70:$H$70</c:f>
              <c:numCache>
                <c:formatCode>General</c:formatCode>
                <c:ptCount val="2"/>
                <c:pt idx="0">
                  <c:v>2018</c:v>
                </c:pt>
                <c:pt idx="1">
                  <c:v>2019</c:v>
                </c:pt>
              </c:numCache>
            </c:numRef>
          </c:cat>
          <c:val>
            <c:numRef>
              <c:f>[图表.xlsx]Sheet1!$G$71:$H$71</c:f>
              <c:numCache>
                <c:formatCode>General</c:formatCode>
                <c:ptCount val="2"/>
                <c:pt idx="0">
                  <c:v>824.6</c:v>
                </c:pt>
                <c:pt idx="1">
                  <c:v>898.82</c:v>
                </c:pt>
              </c:numCache>
            </c:numRef>
          </c:val>
        </c:ser>
        <c:dLbls>
          <c:showLegendKey val="0"/>
          <c:showVal val="1"/>
          <c:showCatName val="0"/>
          <c:showSerName val="0"/>
          <c:showPercent val="0"/>
          <c:showBubbleSize val="0"/>
        </c:dLbls>
        <c:gapWidth val="219"/>
        <c:overlap val="-27"/>
        <c:axId val="342882295"/>
        <c:axId val="686582801"/>
      </c:barChart>
      <c:catAx>
        <c:axId val="34288229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6582801"/>
        <c:crosses val="autoZero"/>
        <c:auto val="1"/>
        <c:lblAlgn val="ctr"/>
        <c:lblOffset val="100"/>
        <c:noMultiLvlLbl val="0"/>
      </c:catAx>
      <c:valAx>
        <c:axId val="68658280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28822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图6：一般公共预算财政拨款支出决算结构</a:t>
            </a:r>
          </a:p>
          <a:p>
            <a:pPr defTabSz="914400">
              <a:defRPr lang="zh-CN" sz="1400" b="0" i="0" u="none" strike="noStrike" kern="1200" spc="0" baseline="0">
                <a:solidFill>
                  <a:schemeClr val="tx1">
                    <a:lumMod val="65000"/>
                    <a:lumOff val="35000"/>
                  </a:schemeClr>
                </a:solidFill>
                <a:latin typeface="+mn-lt"/>
                <a:ea typeface="+mn-ea"/>
                <a:cs typeface="+mn-cs"/>
              </a:defRPr>
            </a:pPr>
            <a:r>
              <a:t>                                        单位：万元</a:t>
            </a:r>
          </a:p>
        </c:rich>
      </c:tx>
      <c:layout/>
      <c:overlay val="0"/>
      <c:spPr>
        <a:noFill/>
        <a:ln>
          <a:noFill/>
        </a:ln>
        <a:effectLst/>
      </c:spPr>
    </c:title>
    <c:autoTitleDeleted val="0"/>
    <c:plotArea>
      <c:layout/>
      <c:pieChart>
        <c:varyColors val="1"/>
        <c:ser>
          <c:idx val="0"/>
          <c:order val="0"/>
          <c:tx>
            <c:strRef>
              <c:f>[图表.xlsx]Sheet1!$G$81</c:f>
              <c:strCache>
                <c:ptCount val="1"/>
                <c:pt idx="0">
                  <c:v>图6：一般公共预算财政拨款支出决算结构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0257460805061071"/>
                  <c:y val="0.011707957655051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84946982013787"/>
                  <c:y val="-0.091949537097728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[图表.xlsx]Sheet1!$F$82:$F$84</c:f>
              <c:strCache>
                <c:ptCount val="3"/>
                <c:pt idx="0">
                  <c:v>社会保障和就业支出</c:v>
                </c:pt>
                <c:pt idx="1">
                  <c:v>卫生健康支出</c:v>
                </c:pt>
                <c:pt idx="2">
                  <c:v>住房保障支出</c:v>
                </c:pt>
              </c:strCache>
            </c:strRef>
          </c:cat>
          <c:val>
            <c:numRef>
              <c:f>[图表.xlsx]Sheet1!$G$82:$G$84</c:f>
              <c:numCache>
                <c:formatCode>General</c:formatCode>
                <c:ptCount val="3"/>
                <c:pt idx="0">
                  <c:v>108.73</c:v>
                </c:pt>
                <c:pt idx="1">
                  <c:v>721.91</c:v>
                </c:pt>
                <c:pt idx="2">
                  <c:v>68.18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5</TotalTime>
  <ScaleCrop>false</ScaleCrop>
  <LinksUpToDate>false</LinksUpToDate>
  <CharactersWithSpaces>8587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袁永前</cp:lastModifiedBy>
  <cp:lastPrinted>2020-09-18T08:14:00Z</cp:lastPrinted>
  <dcterms:modified xsi:type="dcterms:W3CDTF">2020-09-27T08:34:31Z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