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597"/>
      <w:bookmarkStart w:id="2" w:name="_Toc15377193"/>
      <w:bookmarkStart w:id="3" w:name="_Toc15377425"/>
      <w:bookmarkStart w:id="4" w:name="_Toc15396475"/>
      <w:bookmarkStart w:id="5" w:name="_Toc15378441"/>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96476"/>
      <w:bookmarkStart w:id="8" w:name="_Toc15396598"/>
      <w:bookmarkStart w:id="9" w:name="_Toc15378442"/>
      <w:bookmarkStart w:id="10" w:name="_Toc15377194"/>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妇幼保健计划生育服务中心</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center"/>
        <w:rPr>
          <w:rFonts w:ascii="宋体"/>
          <w:sz w:val="32"/>
          <w:szCs w:val="32"/>
        </w:rPr>
      </w:pPr>
      <w:r>
        <w:rPr>
          <w:rFonts w:hint="eastAsia" w:ascii="宋体" w:cs="仿宋_GB2312"/>
          <w:sz w:val="32"/>
          <w:szCs w:val="32"/>
        </w:rPr>
        <w:t>部门主要负责人审签情况：已审签，同意对外公开</w:t>
      </w:r>
      <w:r>
        <w:rPr>
          <w:rFonts w:ascii="方正小标宋简体" w:eastAsia="方正小标宋简体"/>
          <w:sz w:val="36"/>
          <w:szCs w:val="36"/>
        </w:rPr>
        <w:br w:type="page"/>
      </w:r>
      <w:r>
        <w:rPr>
          <w:rFonts w:hint="eastAsia" w:ascii="黑体" w:eastAsia="黑体"/>
          <w:color w:val="000000"/>
          <w:sz w:val="48"/>
          <w:szCs w:val="48"/>
        </w:rPr>
        <w:t>目录</w:t>
      </w:r>
    </w:p>
    <w:p>
      <w:pPr>
        <w:pStyle w:val="13"/>
        <w:spacing w:before="0" w:after="0"/>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年9月27日</w:t>
      </w:r>
    </w:p>
    <w:p>
      <w:pPr>
        <w:pStyle w:val="13"/>
        <w:tabs>
          <w:tab w:val="right" w:leader="dot" w:pos="8296"/>
        </w:tabs>
        <w:spacing w:before="0" w:after="0"/>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6"/>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8"/>
        <w:tabs>
          <w:tab w:val="right" w:leader="dot" w:pos="8296"/>
        </w:tabs>
        <w:rPr>
          <w:rFonts w:ascii="仿宋" w:eastAsia="仿宋"/>
          <w:i w:val="0"/>
          <w:iCs w:val="0"/>
          <w:smallCaps/>
        </w:rPr>
      </w:pPr>
      <w:r>
        <w:rPr>
          <w:rFonts w:ascii="仿宋" w:eastAsia="仿宋"/>
          <w:i w:val="0"/>
          <w:iCs w:val="0"/>
          <w:smallCaps/>
        </w:rPr>
        <w:t>（一）主要职能。</w:t>
      </w:r>
      <w:r>
        <w:rPr>
          <w:rFonts w:ascii="仿宋" w:eastAsia="仿宋"/>
          <w:i w:val="0"/>
          <w:iCs w:val="0"/>
          <w:smallCaps/>
        </w:rPr>
        <w:tab/>
      </w:r>
      <w:r>
        <w:rPr>
          <w:rFonts w:ascii="仿宋" w:eastAsia="仿宋"/>
          <w:i w:val="0"/>
          <w:iCs w:val="0"/>
          <w:smallCaps/>
        </w:rPr>
        <w:fldChar w:fldCharType="begin"/>
      </w:r>
      <w:r>
        <w:rPr>
          <w:rFonts w:ascii="仿宋" w:eastAsia="仿宋"/>
          <w:i w:val="0"/>
          <w:iCs w:val="0"/>
          <w:smallCaps/>
        </w:rPr>
        <w:instrText xml:space="preserve"> PAGEREF _Toc79163853 \h </w:instrText>
      </w:r>
      <w:r>
        <w:rPr>
          <w:rFonts w:ascii="仿宋" w:eastAsia="仿宋"/>
          <w:i w:val="0"/>
          <w:iCs w:val="0"/>
          <w:smallCaps/>
        </w:rPr>
        <w:fldChar w:fldCharType="separate"/>
      </w:r>
      <w:r>
        <w:rPr>
          <w:rFonts w:ascii="仿宋" w:eastAsia="仿宋"/>
          <w:i w:val="0"/>
          <w:iCs w:val="0"/>
          <w:smallCaps/>
        </w:rPr>
        <w:t>4</w:t>
      </w:r>
      <w:r>
        <w:rPr>
          <w:rFonts w:ascii="仿宋" w:eastAsia="仿宋"/>
          <w:i w:val="0"/>
          <w:iCs w:val="0"/>
          <w:smallCaps/>
        </w:rPr>
        <w:fldChar w:fldCharType="end"/>
      </w:r>
    </w:p>
    <w:p>
      <w:pPr>
        <w:pStyle w:val="8"/>
        <w:tabs>
          <w:tab w:val="right" w:leader="dot" w:pos="8296"/>
        </w:tabs>
        <w:rPr>
          <w:rFonts w:ascii="仿宋" w:eastAsia="仿宋"/>
          <w:i w:val="0"/>
          <w:iCs w:val="0"/>
          <w:smallCaps/>
        </w:rPr>
      </w:pPr>
      <w:r>
        <w:rPr>
          <w:rFonts w:ascii="仿宋" w:eastAsia="仿宋"/>
          <w:i w:val="0"/>
          <w:iCs w:val="0"/>
          <w:smallCaps/>
        </w:rPr>
        <w:t>（二）2021年重点工作完成情况</w:t>
      </w:r>
      <w:r>
        <w:rPr>
          <w:rFonts w:ascii="仿宋" w:eastAsia="仿宋"/>
          <w:i w:val="0"/>
          <w:iCs w:val="0"/>
          <w:smallCaps/>
        </w:rPr>
        <w:tab/>
      </w:r>
      <w:r>
        <w:rPr>
          <w:rFonts w:ascii="仿宋" w:eastAsia="仿宋"/>
          <w:i w:val="0"/>
          <w:iCs w:val="0"/>
          <w:smallCaps/>
        </w:rPr>
        <w:fldChar w:fldCharType="begin"/>
      </w:r>
      <w:r>
        <w:rPr>
          <w:rFonts w:ascii="仿宋" w:eastAsia="仿宋"/>
          <w:i w:val="0"/>
          <w:iCs w:val="0"/>
          <w:smallCaps/>
        </w:rPr>
        <w:instrText xml:space="preserve"> PAGEREF _Toc79163854 \h </w:instrText>
      </w:r>
      <w:r>
        <w:rPr>
          <w:rFonts w:ascii="仿宋" w:eastAsia="仿宋"/>
          <w:i w:val="0"/>
          <w:iCs w:val="0"/>
          <w:smallCaps/>
        </w:rPr>
        <w:fldChar w:fldCharType="separate"/>
      </w:r>
      <w:r>
        <w:rPr>
          <w:rFonts w:ascii="仿宋" w:eastAsia="仿宋"/>
          <w:i w:val="0"/>
          <w:iCs w:val="0"/>
          <w:smallCaps/>
        </w:rPr>
        <w:t>4</w:t>
      </w:r>
      <w:r>
        <w:rPr>
          <w:rFonts w:ascii="仿宋" w:eastAsia="仿宋"/>
          <w:i w:val="0"/>
          <w:iCs w:val="0"/>
          <w:smallCaps/>
        </w:rPr>
        <w:fldChar w:fldCharType="end"/>
      </w:r>
    </w:p>
    <w:p>
      <w:pPr>
        <w:pStyle w:val="16"/>
        <w:tabs>
          <w:tab w:val="right" w:leader="dot" w:pos="8296"/>
        </w:tabs>
        <w:rPr>
          <w:rFonts w:ascii="仿宋" w:eastAsia="仿宋"/>
        </w:rPr>
      </w:pPr>
      <w:r>
        <w:rPr>
          <w:rFonts w:ascii="仿宋" w:eastAsia="仿宋"/>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5</w:t>
      </w:r>
      <w:r>
        <w:rPr>
          <w:rFonts w:ascii="仿宋" w:eastAsia="仿宋"/>
        </w:rPr>
        <w:fldChar w:fldCharType="end"/>
      </w:r>
    </w:p>
    <w:p>
      <w:pPr>
        <w:pStyle w:val="13"/>
        <w:tabs>
          <w:tab w:val="right" w:leader="dot" w:pos="8296"/>
        </w:tabs>
        <w:spacing w:before="0" w:after="0"/>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Pr>
          <w:rFonts w:hint="eastAsia" w:ascii="仿宋" w:eastAsia="仿宋"/>
          <w:b w:val="0"/>
          <w:bCs w:val="0"/>
          <w:caps w:val="0"/>
          <w:smallCaps/>
        </w:rPr>
        <w:t>6</w:t>
      </w:r>
    </w:p>
    <w:p>
      <w:pPr>
        <w:pStyle w:val="16"/>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hint="eastAsia" w:ascii="仿宋" w:eastAsia="仿宋"/>
        </w:rPr>
        <w:t>6</w:t>
      </w:r>
    </w:p>
    <w:p>
      <w:pPr>
        <w:pStyle w:val="16"/>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hint="eastAsia" w:ascii="仿宋" w:eastAsia="仿宋"/>
        </w:rPr>
        <w:t>6</w:t>
      </w:r>
    </w:p>
    <w:p>
      <w:pPr>
        <w:pStyle w:val="16"/>
        <w:tabs>
          <w:tab w:val="left" w:pos="840"/>
          <w:tab w:val="right" w:leader="dot" w:pos="8296"/>
        </w:tabs>
        <w:rPr>
          <w:rFonts w:ascii="仿宋" w:eastAsia="仿宋"/>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hint="eastAsia" w:ascii="仿宋" w:eastAsia="仿宋"/>
        </w:rPr>
        <w:t>7</w:t>
      </w:r>
    </w:p>
    <w:p>
      <w:pPr>
        <w:pStyle w:val="16"/>
        <w:tabs>
          <w:tab w:val="right" w:leader="dot" w:pos="8296"/>
        </w:tabs>
        <w:rPr>
          <w:rFonts w:ascii="仿宋" w:eastAsia="仿宋"/>
        </w:rPr>
      </w:pPr>
      <w:r>
        <w:rPr>
          <w:rFonts w:ascii="仿宋" w:eastAsia="仿宋"/>
        </w:rPr>
        <w:t>四、财政拨款收入支出决算总体情况说明</w:t>
      </w:r>
      <w:r>
        <w:rPr>
          <w:rFonts w:ascii="仿宋" w:eastAsia="仿宋"/>
        </w:rPr>
        <w:tab/>
      </w:r>
      <w:r>
        <w:rPr>
          <w:rFonts w:hint="eastAsia" w:ascii="仿宋" w:eastAsia="仿宋"/>
        </w:rPr>
        <w:t>8</w:t>
      </w:r>
    </w:p>
    <w:p>
      <w:pPr>
        <w:pStyle w:val="16"/>
        <w:tabs>
          <w:tab w:val="right" w:leader="dot" w:pos="8296"/>
        </w:tabs>
        <w:rPr>
          <w:rFonts w:ascii="仿宋" w:eastAsia="仿宋"/>
        </w:rPr>
      </w:pPr>
      <w:r>
        <w:rPr>
          <w:rFonts w:ascii="仿宋" w:eastAsia="仿宋"/>
        </w:rPr>
        <w:t>五、一般公共预算财政拨款支出决算情况说明</w:t>
      </w:r>
      <w:r>
        <w:rPr>
          <w:rFonts w:ascii="仿宋" w:eastAsia="仿宋"/>
        </w:rPr>
        <w:tab/>
      </w:r>
      <w:r>
        <w:rPr>
          <w:rFonts w:hint="eastAsia" w:ascii="仿宋" w:eastAsia="仿宋"/>
        </w:rPr>
        <w:t>8</w:t>
      </w:r>
    </w:p>
    <w:p>
      <w:pPr>
        <w:pStyle w:val="8"/>
        <w:tabs>
          <w:tab w:val="right" w:leader="dot" w:pos="8296"/>
        </w:tabs>
        <w:rPr>
          <w:rFonts w:ascii="仿宋" w:eastAsia="仿宋"/>
          <w:i w:val="0"/>
          <w:iCs w:val="0"/>
          <w:smallCaps/>
        </w:rPr>
      </w:pPr>
      <w:r>
        <w:rPr>
          <w:rFonts w:ascii="仿宋" w:eastAsia="仿宋"/>
          <w:i w:val="0"/>
          <w:iCs w:val="0"/>
          <w:smallCaps/>
        </w:rPr>
        <w:t>（一）一般公共预算财政拨款支出决算总体情况</w:t>
      </w:r>
      <w:r>
        <w:rPr>
          <w:rFonts w:ascii="仿宋" w:eastAsia="仿宋"/>
          <w:i w:val="0"/>
          <w:iCs w:val="0"/>
          <w:smallCaps/>
        </w:rPr>
        <w:tab/>
      </w:r>
      <w:r>
        <w:rPr>
          <w:rFonts w:hint="eastAsia" w:ascii="仿宋" w:eastAsia="仿宋"/>
          <w:i w:val="0"/>
          <w:iCs w:val="0"/>
          <w:smallCaps/>
        </w:rPr>
        <w:t>8</w:t>
      </w:r>
    </w:p>
    <w:p>
      <w:pPr>
        <w:pStyle w:val="8"/>
        <w:tabs>
          <w:tab w:val="right" w:leader="dot" w:pos="8296"/>
        </w:tabs>
        <w:rPr>
          <w:rFonts w:ascii="仿宋" w:eastAsia="仿宋"/>
          <w:i w:val="0"/>
          <w:iCs w:val="0"/>
          <w:smallCaps/>
        </w:rPr>
      </w:pPr>
      <w:r>
        <w:rPr>
          <w:rFonts w:ascii="仿宋" w:eastAsia="仿宋"/>
          <w:i w:val="0"/>
          <w:iCs w:val="0"/>
          <w:smallCaps/>
        </w:rPr>
        <w:t>（二）一般公共预算财政拨款支出决算结构情况</w:t>
      </w:r>
      <w:r>
        <w:rPr>
          <w:rFonts w:ascii="仿宋" w:eastAsia="仿宋"/>
          <w:i w:val="0"/>
          <w:iCs w:val="0"/>
          <w:smallCaps/>
        </w:rPr>
        <w:tab/>
      </w:r>
      <w:r>
        <w:rPr>
          <w:rFonts w:hint="eastAsia" w:ascii="仿宋" w:eastAsia="仿宋"/>
          <w:i w:val="0"/>
          <w:iCs w:val="0"/>
          <w:smallCaps/>
        </w:rPr>
        <w:t>8</w:t>
      </w:r>
    </w:p>
    <w:p>
      <w:pPr>
        <w:pStyle w:val="8"/>
        <w:tabs>
          <w:tab w:val="right" w:leader="dot" w:pos="8296"/>
        </w:tabs>
        <w:rPr>
          <w:rFonts w:ascii="仿宋" w:eastAsia="仿宋"/>
          <w:i w:val="0"/>
          <w:iCs w:val="0"/>
          <w:smallCaps/>
        </w:rPr>
      </w:pPr>
      <w:r>
        <w:rPr>
          <w:rFonts w:ascii="仿宋" w:eastAsia="仿宋"/>
          <w:i w:val="0"/>
          <w:iCs w:val="0"/>
          <w:smallCaps/>
        </w:rPr>
        <w:t>（三）一般公共预算财政拨款支出决算具体情况</w:t>
      </w:r>
      <w:r>
        <w:rPr>
          <w:rFonts w:ascii="仿宋" w:eastAsia="仿宋"/>
          <w:i w:val="0"/>
          <w:iCs w:val="0"/>
          <w:smallCaps/>
        </w:rPr>
        <w:tab/>
      </w:r>
      <w:r>
        <w:rPr>
          <w:rFonts w:hint="eastAsia" w:ascii="仿宋" w:eastAsia="仿宋"/>
          <w:i w:val="0"/>
          <w:iCs w:val="0"/>
          <w:smallCaps/>
        </w:rPr>
        <w:t>9</w:t>
      </w:r>
    </w:p>
    <w:p>
      <w:pPr>
        <w:pStyle w:val="16"/>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Pr>
          <w:rFonts w:hint="eastAsia" w:ascii="仿宋" w:eastAsia="仿宋"/>
        </w:rPr>
        <w:t>10</w:t>
      </w:r>
    </w:p>
    <w:p>
      <w:pPr>
        <w:pStyle w:val="16"/>
        <w:tabs>
          <w:tab w:val="right" w:leader="dot" w:pos="8296"/>
        </w:tabs>
        <w:rPr>
          <w:rFonts w:ascii="仿宋" w:eastAsia="仿宋"/>
        </w:rPr>
      </w:pPr>
      <w:r>
        <w:rPr>
          <w:rFonts w:ascii="仿宋" w:eastAsia="仿宋"/>
        </w:rPr>
        <w:t>七、“三公”经费财政拨款支出决算情况说明</w:t>
      </w:r>
      <w:r>
        <w:rPr>
          <w:rFonts w:ascii="仿宋" w:eastAsia="仿宋"/>
        </w:rPr>
        <w:tab/>
      </w:r>
      <w:r>
        <w:rPr>
          <w:rFonts w:hint="eastAsia" w:ascii="仿宋" w:eastAsia="仿宋"/>
        </w:rPr>
        <w:t>11</w:t>
      </w:r>
    </w:p>
    <w:p>
      <w:pPr>
        <w:pStyle w:val="8"/>
        <w:tabs>
          <w:tab w:val="right" w:leader="dot" w:pos="8296"/>
        </w:tabs>
        <w:rPr>
          <w:rFonts w:ascii="仿宋" w:eastAsia="仿宋"/>
          <w:i w:val="0"/>
          <w:iCs w:val="0"/>
          <w:smallCaps/>
        </w:rPr>
      </w:pPr>
      <w:r>
        <w:rPr>
          <w:rFonts w:ascii="仿宋" w:eastAsia="仿宋"/>
          <w:i w:val="0"/>
          <w:iCs w:val="0"/>
          <w:smallCaps/>
        </w:rPr>
        <w:t>（一）“三公”经费财政拨款支出决算总体情况说明</w:t>
      </w:r>
      <w:r>
        <w:rPr>
          <w:rFonts w:ascii="仿宋" w:eastAsia="仿宋"/>
          <w:i w:val="0"/>
          <w:iCs w:val="0"/>
          <w:smallCaps/>
        </w:rPr>
        <w:tab/>
      </w:r>
      <w:r>
        <w:rPr>
          <w:rFonts w:hint="eastAsia" w:ascii="仿宋" w:eastAsia="仿宋"/>
          <w:i w:val="0"/>
          <w:iCs w:val="0"/>
          <w:smallCaps/>
        </w:rPr>
        <w:t>11</w:t>
      </w:r>
    </w:p>
    <w:p>
      <w:pPr>
        <w:pStyle w:val="8"/>
        <w:tabs>
          <w:tab w:val="right" w:leader="dot" w:pos="8296"/>
        </w:tabs>
        <w:rPr>
          <w:rFonts w:ascii="仿宋" w:eastAsia="仿宋"/>
          <w:i w:val="0"/>
          <w:iCs w:val="0"/>
          <w:smallCaps/>
        </w:rPr>
      </w:pPr>
      <w:r>
        <w:rPr>
          <w:rFonts w:ascii="仿宋" w:eastAsia="仿宋"/>
          <w:i w:val="0"/>
          <w:iCs w:val="0"/>
          <w:smallCaps/>
        </w:rPr>
        <w:t>（二）“三公”经费财政拨款支出决算具体情况说明</w:t>
      </w:r>
      <w:r>
        <w:rPr>
          <w:rFonts w:ascii="仿宋" w:eastAsia="仿宋"/>
          <w:i w:val="0"/>
          <w:iCs w:val="0"/>
          <w:smallCaps/>
        </w:rPr>
        <w:tab/>
      </w:r>
      <w:r>
        <w:rPr>
          <w:rFonts w:hint="eastAsia" w:ascii="仿宋" w:eastAsia="仿宋"/>
          <w:i w:val="0"/>
          <w:iCs w:val="0"/>
          <w:smallCaps/>
        </w:rPr>
        <w:t>11</w:t>
      </w:r>
    </w:p>
    <w:p>
      <w:pPr>
        <w:pStyle w:val="16"/>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12</w:t>
      </w:r>
      <w:r>
        <w:rPr>
          <w:rFonts w:ascii="仿宋" w:eastAsia="仿宋"/>
        </w:rPr>
        <w:fldChar w:fldCharType="end"/>
      </w:r>
    </w:p>
    <w:p>
      <w:pPr>
        <w:pStyle w:val="16"/>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12</w:t>
      </w:r>
      <w:r>
        <w:rPr>
          <w:rFonts w:ascii="仿宋" w:eastAsia="仿宋"/>
        </w:rPr>
        <w:fldChar w:fldCharType="end"/>
      </w:r>
    </w:p>
    <w:p>
      <w:pPr>
        <w:pStyle w:val="16"/>
        <w:tabs>
          <w:tab w:val="right" w:leader="dot" w:pos="8296"/>
        </w:tabs>
        <w:rPr>
          <w:rFonts w:ascii="仿宋" w:eastAsia="仿宋"/>
        </w:rPr>
      </w:pPr>
      <w:r>
        <w:rPr>
          <w:rFonts w:ascii="仿宋" w:eastAsia="仿宋"/>
        </w:rPr>
        <w:t>十、其他重要事项的情况说明</w:t>
      </w:r>
      <w:r>
        <w:rPr>
          <w:rFonts w:ascii="仿宋" w:eastAsia="仿宋"/>
        </w:rPr>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12</w:t>
      </w:r>
      <w:r>
        <w:rPr>
          <w:rFonts w:ascii="仿宋" w:eastAsia="仿宋"/>
        </w:rPr>
        <w:fldChar w:fldCharType="end"/>
      </w:r>
    </w:p>
    <w:p>
      <w:pPr>
        <w:pStyle w:val="8"/>
        <w:tabs>
          <w:tab w:val="right" w:leader="dot" w:pos="8296"/>
        </w:tabs>
        <w:rPr>
          <w:rFonts w:ascii="仿宋" w:eastAsia="仿宋"/>
          <w:i w:val="0"/>
          <w:iCs w:val="0"/>
          <w:smallCaps/>
        </w:rPr>
      </w:pPr>
      <w:r>
        <w:rPr>
          <w:rFonts w:ascii="仿宋" w:eastAsia="仿宋"/>
          <w:i w:val="0"/>
          <w:iCs w:val="0"/>
          <w:smallCaps/>
        </w:rPr>
        <w:t>（一）机关运行经费支出情况</w:t>
      </w:r>
      <w:r>
        <w:rPr>
          <w:rFonts w:ascii="仿宋" w:eastAsia="仿宋"/>
          <w:i w:val="0"/>
          <w:iCs w:val="0"/>
          <w:smallCaps/>
        </w:rPr>
        <w:tab/>
      </w:r>
      <w:r>
        <w:rPr>
          <w:rFonts w:ascii="仿宋" w:eastAsia="仿宋"/>
          <w:i w:val="0"/>
        </w:rPr>
        <w:fldChar w:fldCharType="begin"/>
      </w:r>
      <w:r>
        <w:rPr>
          <w:rFonts w:ascii="仿宋" w:eastAsia="仿宋"/>
          <w:i w:val="0"/>
        </w:rPr>
        <w:instrText xml:space="preserve"> PAGEREF _Toc79163874 \h </w:instrText>
      </w:r>
      <w:r>
        <w:rPr>
          <w:rFonts w:ascii="仿宋" w:eastAsia="仿宋"/>
          <w:i w:val="0"/>
        </w:rPr>
        <w:fldChar w:fldCharType="separate"/>
      </w:r>
      <w:r>
        <w:rPr>
          <w:rFonts w:ascii="仿宋" w:eastAsia="仿宋"/>
          <w:i w:val="0"/>
        </w:rPr>
        <w:t>12</w:t>
      </w:r>
      <w:r>
        <w:rPr>
          <w:rFonts w:ascii="仿宋" w:eastAsia="仿宋"/>
          <w:i w:val="0"/>
        </w:rPr>
        <w:fldChar w:fldCharType="end"/>
      </w:r>
    </w:p>
    <w:p>
      <w:pPr>
        <w:pStyle w:val="8"/>
        <w:tabs>
          <w:tab w:val="right" w:leader="dot" w:pos="8296"/>
        </w:tabs>
        <w:rPr>
          <w:rFonts w:ascii="仿宋" w:eastAsia="仿宋"/>
          <w:i w:val="0"/>
          <w:iCs w:val="0"/>
          <w:smallCaps/>
        </w:rPr>
      </w:pPr>
      <w:r>
        <w:rPr>
          <w:rFonts w:ascii="仿宋" w:eastAsia="仿宋"/>
          <w:i w:val="0"/>
          <w:iCs w:val="0"/>
          <w:smallCaps/>
        </w:rPr>
        <w:t>（二）政府采购支出情况</w:t>
      </w:r>
      <w:r>
        <w:rPr>
          <w:rFonts w:ascii="仿宋" w:eastAsia="仿宋"/>
          <w:i w:val="0"/>
          <w:iCs w:val="0"/>
          <w:smallCaps/>
        </w:rPr>
        <w:tab/>
      </w:r>
      <w:r>
        <w:rPr>
          <w:rFonts w:ascii="仿宋" w:eastAsia="仿宋"/>
          <w:i w:val="0"/>
        </w:rPr>
        <w:fldChar w:fldCharType="begin"/>
      </w:r>
      <w:r>
        <w:rPr>
          <w:rFonts w:ascii="仿宋" w:eastAsia="仿宋"/>
          <w:i w:val="0"/>
        </w:rPr>
        <w:instrText xml:space="preserve"> PAGEREF _Toc79163874 \h </w:instrText>
      </w:r>
      <w:r>
        <w:rPr>
          <w:rFonts w:ascii="仿宋" w:eastAsia="仿宋"/>
          <w:i w:val="0"/>
        </w:rPr>
        <w:fldChar w:fldCharType="separate"/>
      </w:r>
      <w:r>
        <w:rPr>
          <w:rFonts w:ascii="仿宋" w:eastAsia="仿宋"/>
          <w:i w:val="0"/>
        </w:rPr>
        <w:t>12</w:t>
      </w:r>
      <w:r>
        <w:rPr>
          <w:rFonts w:ascii="仿宋" w:eastAsia="仿宋"/>
          <w:i w:val="0"/>
        </w:rPr>
        <w:fldChar w:fldCharType="end"/>
      </w:r>
    </w:p>
    <w:p>
      <w:pPr>
        <w:pStyle w:val="8"/>
        <w:tabs>
          <w:tab w:val="right" w:leader="dot" w:pos="8296"/>
        </w:tabs>
        <w:rPr>
          <w:rFonts w:ascii="仿宋" w:eastAsia="仿宋"/>
          <w:i w:val="0"/>
          <w:iCs w:val="0"/>
          <w:smallCaps/>
        </w:rPr>
      </w:pPr>
      <w:r>
        <w:rPr>
          <w:rFonts w:ascii="仿宋" w:eastAsia="仿宋"/>
          <w:i w:val="0"/>
          <w:iCs w:val="0"/>
          <w:smallCaps/>
        </w:rPr>
        <w:t>（三）国有资产占有使用情况</w:t>
      </w:r>
      <w:r>
        <w:rPr>
          <w:rFonts w:ascii="仿宋" w:eastAsia="仿宋"/>
          <w:i w:val="0"/>
          <w:iCs w:val="0"/>
          <w:smallCaps/>
        </w:rPr>
        <w:tab/>
      </w:r>
      <w:r>
        <w:rPr>
          <w:rFonts w:ascii="仿宋" w:eastAsia="仿宋"/>
          <w:i w:val="0"/>
        </w:rPr>
        <w:fldChar w:fldCharType="begin"/>
      </w:r>
      <w:r>
        <w:rPr>
          <w:rFonts w:ascii="仿宋" w:eastAsia="仿宋"/>
          <w:i w:val="0"/>
        </w:rPr>
        <w:instrText xml:space="preserve"> PAGEREF _Toc79163874 \h </w:instrText>
      </w:r>
      <w:r>
        <w:rPr>
          <w:rFonts w:ascii="仿宋" w:eastAsia="仿宋"/>
          <w:i w:val="0"/>
        </w:rPr>
        <w:fldChar w:fldCharType="separate"/>
      </w:r>
      <w:r>
        <w:rPr>
          <w:rFonts w:ascii="仿宋" w:eastAsia="仿宋"/>
          <w:i w:val="0"/>
        </w:rPr>
        <w:t>12</w:t>
      </w:r>
      <w:r>
        <w:rPr>
          <w:rFonts w:ascii="仿宋" w:eastAsia="仿宋"/>
          <w:i w:val="0"/>
        </w:rPr>
        <w:fldChar w:fldCharType="end"/>
      </w:r>
    </w:p>
    <w:p>
      <w:pPr>
        <w:pStyle w:val="8"/>
        <w:tabs>
          <w:tab w:val="right" w:leader="dot" w:pos="8296"/>
        </w:tabs>
        <w:rPr>
          <w:rFonts w:ascii="仿宋" w:eastAsia="仿宋"/>
          <w:i w:val="0"/>
          <w:iCs w:val="0"/>
          <w:smallCaps/>
        </w:rPr>
      </w:pPr>
      <w:r>
        <w:rPr>
          <w:rFonts w:ascii="仿宋" w:eastAsia="仿宋"/>
          <w:i w:val="0"/>
          <w:iCs w:val="0"/>
          <w:smallCaps/>
        </w:rPr>
        <w:t>（四）预算绩效管理情况</w:t>
      </w:r>
      <w:r>
        <w:rPr>
          <w:rFonts w:ascii="仿宋" w:eastAsia="仿宋"/>
          <w:i w:val="0"/>
          <w:iCs w:val="0"/>
          <w:smallCaps/>
        </w:rPr>
        <w:tab/>
      </w:r>
      <w:r>
        <w:rPr>
          <w:rFonts w:ascii="仿宋" w:eastAsia="仿宋"/>
          <w:i w:val="0"/>
        </w:rPr>
        <w:fldChar w:fldCharType="begin"/>
      </w:r>
      <w:r>
        <w:rPr>
          <w:rFonts w:ascii="仿宋" w:eastAsia="仿宋"/>
          <w:i w:val="0"/>
        </w:rPr>
        <w:instrText xml:space="preserve"> PAGEREF _Toc79163874 \h </w:instrText>
      </w:r>
      <w:r>
        <w:rPr>
          <w:rFonts w:ascii="仿宋" w:eastAsia="仿宋"/>
          <w:i w:val="0"/>
        </w:rPr>
        <w:fldChar w:fldCharType="separate"/>
      </w:r>
      <w:r>
        <w:rPr>
          <w:rFonts w:ascii="仿宋" w:eastAsia="仿宋"/>
          <w:i w:val="0"/>
        </w:rPr>
        <w:t>12</w:t>
      </w:r>
      <w:r>
        <w:rPr>
          <w:rFonts w:ascii="仿宋" w:eastAsia="仿宋"/>
          <w:i w:val="0"/>
        </w:rPr>
        <w:fldChar w:fldCharType="end"/>
      </w:r>
    </w:p>
    <w:p>
      <w:pPr>
        <w:pStyle w:val="13"/>
        <w:tabs>
          <w:tab w:val="right" w:leader="dot" w:pos="8296"/>
        </w:tabs>
        <w:spacing w:before="0" w:after="0"/>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19</w:t>
      </w:r>
      <w:r>
        <w:rPr>
          <w:rFonts w:ascii="仿宋" w:eastAsia="仿宋"/>
          <w:b w:val="0"/>
          <w:bCs w:val="0"/>
          <w:caps w:val="0"/>
          <w:smallCaps/>
        </w:rPr>
        <w:fldChar w:fldCharType="end"/>
      </w:r>
    </w:p>
    <w:p>
      <w:pPr>
        <w:pStyle w:val="13"/>
        <w:tabs>
          <w:tab w:val="right" w:leader="dot" w:pos="8296"/>
        </w:tabs>
        <w:spacing w:before="0" w:after="0"/>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hint="eastAsia" w:ascii="仿宋" w:eastAsia="仿宋"/>
          <w:b w:val="0"/>
          <w:bCs w:val="0"/>
          <w:caps w:val="0"/>
          <w:smallCaps/>
        </w:rPr>
        <w:t>21</w:t>
      </w:r>
    </w:p>
    <w:p>
      <w:pPr>
        <w:pStyle w:val="13"/>
        <w:tabs>
          <w:tab w:val="right" w:leader="dot" w:pos="8296"/>
        </w:tabs>
        <w:spacing w:before="0" w:after="0"/>
        <w:rPr>
          <w:rFonts w:ascii="仿宋" w:eastAsia="仿宋"/>
          <w:b w:val="0"/>
          <w:bCs w:val="0"/>
          <w:caps w:val="0"/>
          <w:smallCaps/>
        </w:rPr>
      </w:pPr>
      <w:r>
        <w:rPr>
          <w:rFonts w:ascii="仿宋" w:eastAsia="仿宋"/>
          <w:b w:val="0"/>
          <w:bCs w:val="0"/>
          <w:caps w:val="0"/>
          <w:smallCaps/>
        </w:rPr>
        <w:t>附件1</w:t>
      </w:r>
      <w:r>
        <w:rPr>
          <w:rFonts w:hint="eastAsia" w:ascii="仿宋" w:eastAsia="仿宋"/>
          <w:b w:val="0"/>
          <w:bCs w:val="0"/>
          <w:caps w:val="0"/>
          <w:smallCaps/>
        </w:rPr>
        <w:t>：茂县妇幼保健计划生育服务中心</w:t>
      </w:r>
      <w:r>
        <w:rPr>
          <w:rFonts w:ascii="仿宋" w:eastAsia="仿宋"/>
          <w:b w:val="0"/>
          <w:bCs w:val="0"/>
          <w:caps w:val="0"/>
          <w:smallCaps/>
        </w:rPr>
        <w:t>2021年部门整体支出绩效评价报告</w:t>
      </w:r>
      <w:r>
        <w:rPr>
          <w:rFonts w:ascii="仿宋" w:eastAsia="仿宋"/>
          <w:b w:val="0"/>
          <w:bCs w:val="0"/>
          <w:caps w:val="0"/>
          <w:smallCaps/>
        </w:rPr>
        <w:tab/>
      </w:r>
      <w:r>
        <w:rPr>
          <w:rFonts w:hint="eastAsia" w:ascii="仿宋" w:eastAsia="仿宋"/>
          <w:b w:val="0"/>
          <w:bCs w:val="0"/>
          <w:caps w:val="0"/>
          <w:smallCaps/>
        </w:rPr>
        <w:t>21</w:t>
      </w:r>
    </w:p>
    <w:p>
      <w:pPr>
        <w:pStyle w:val="13"/>
        <w:tabs>
          <w:tab w:val="right" w:leader="dot" w:pos="8296"/>
        </w:tabs>
        <w:spacing w:before="0" w:after="0"/>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_Toc79163885 \h </w:instrText>
      </w:r>
      <w:r>
        <w:rPr>
          <w:rFonts w:ascii="仿宋" w:eastAsia="仿宋"/>
          <w:b w:val="0"/>
          <w:bCs w:val="0"/>
          <w:caps w:val="0"/>
          <w:smallCaps/>
        </w:rPr>
        <w:fldChar w:fldCharType="separate"/>
      </w:r>
      <w:r>
        <w:rPr>
          <w:rFonts w:ascii="仿宋" w:eastAsia="仿宋"/>
          <w:b w:val="0"/>
          <w:bCs w:val="0"/>
          <w:caps w:val="0"/>
          <w:smallCaps/>
        </w:rPr>
        <w:t>24</w:t>
      </w:r>
      <w:r>
        <w:rPr>
          <w:rFonts w:ascii="仿宋" w:eastAsia="仿宋"/>
          <w:b w:val="0"/>
          <w:bCs w:val="0"/>
          <w:caps w:val="0"/>
          <w:smallCaps/>
        </w:rPr>
        <w:fldChar w:fldCharType="end"/>
      </w:r>
    </w:p>
    <w:p>
      <w:pPr>
        <w:pStyle w:val="16"/>
        <w:tabs>
          <w:tab w:val="right" w:leader="dot" w:pos="8296"/>
        </w:tabs>
        <w:rPr>
          <w:rFonts w:ascii="仿宋" w:eastAsia="仿宋"/>
        </w:rPr>
      </w:pPr>
      <w:r>
        <w:rPr>
          <w:rFonts w:ascii="仿宋" w:eastAsia="仿宋"/>
        </w:rPr>
        <w:t>一、收入支出决算总表</w:t>
      </w:r>
      <w:r>
        <w:rPr>
          <w:rFonts w:ascii="仿宋" w:eastAsia="仿宋"/>
        </w:rPr>
        <w:tab/>
      </w:r>
      <w:r>
        <w:rPr>
          <w:rFonts w:ascii="仿宋" w:eastAsia="仿宋"/>
        </w:rPr>
        <w:fldChar w:fldCharType="begin"/>
      </w:r>
      <w:r>
        <w:rPr>
          <w:rFonts w:ascii="仿宋" w:eastAsia="仿宋"/>
        </w:rPr>
        <w:instrText xml:space="preserve"> PAGEREF _Toc79163886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rPr>
        <w:fldChar w:fldCharType="begin"/>
      </w:r>
      <w:r>
        <w:rPr>
          <w:rFonts w:ascii="仿宋" w:eastAsia="仿宋"/>
        </w:rPr>
        <w:instrText xml:space="preserve"> PAGEREF _Toc79163887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rPr>
        <w:fldChar w:fldCharType="begin"/>
      </w:r>
      <w:r>
        <w:rPr>
          <w:rFonts w:ascii="仿宋" w:eastAsia="仿宋"/>
        </w:rPr>
        <w:instrText xml:space="preserve"> PAGEREF _Toc79163888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rPr>
        <w:fldChar w:fldCharType="begin"/>
      </w:r>
      <w:r>
        <w:rPr>
          <w:rFonts w:ascii="仿宋" w:eastAsia="仿宋"/>
        </w:rPr>
        <w:instrText xml:space="preserve"> PAGEREF _Toc79163889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五、财政拨款支出决算明细表</w:t>
      </w:r>
      <w:r>
        <w:rPr>
          <w:rFonts w:ascii="仿宋" w:eastAsia="仿宋"/>
        </w:rPr>
        <w:tab/>
      </w:r>
      <w:r>
        <w:rPr>
          <w:rFonts w:ascii="仿宋" w:eastAsia="仿宋"/>
        </w:rPr>
        <w:fldChar w:fldCharType="begin"/>
      </w:r>
      <w:r>
        <w:rPr>
          <w:rFonts w:ascii="仿宋" w:eastAsia="仿宋"/>
        </w:rPr>
        <w:instrText xml:space="preserve"> PAGEREF _Toc79163890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rPr>
        <w:fldChar w:fldCharType="begin"/>
      </w:r>
      <w:r>
        <w:rPr>
          <w:rFonts w:ascii="仿宋" w:eastAsia="仿宋"/>
        </w:rPr>
        <w:instrText xml:space="preserve"> PAGEREF _Toc79163891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rPr>
        <w:fldChar w:fldCharType="begin"/>
      </w:r>
      <w:r>
        <w:rPr>
          <w:rFonts w:ascii="仿宋" w:eastAsia="仿宋"/>
        </w:rPr>
        <w:instrText xml:space="preserve"> PAGEREF _Toc79163892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rPr>
        <w:fldChar w:fldCharType="begin"/>
      </w:r>
      <w:r>
        <w:rPr>
          <w:rFonts w:ascii="仿宋" w:eastAsia="仿宋"/>
        </w:rPr>
        <w:instrText xml:space="preserve"> PAGEREF _Toc79163893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rPr>
        <w:fldChar w:fldCharType="begin"/>
      </w:r>
      <w:r>
        <w:rPr>
          <w:rFonts w:ascii="仿宋" w:eastAsia="仿宋"/>
        </w:rPr>
        <w:instrText xml:space="preserve"> PAGEREF _Toc79163894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_Toc79163895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_Toc79163897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_Toc79163898 \h </w:instrText>
      </w:r>
      <w:r>
        <w:rPr>
          <w:rFonts w:ascii="仿宋" w:eastAsia="仿宋"/>
        </w:rPr>
        <w:fldChar w:fldCharType="separate"/>
      </w:r>
      <w:r>
        <w:rPr>
          <w:rFonts w:ascii="仿宋" w:eastAsia="仿宋"/>
        </w:rPr>
        <w:t>24</w:t>
      </w:r>
      <w:r>
        <w:rPr>
          <w:rFonts w:ascii="仿宋" w:eastAsia="仿宋"/>
        </w:rPr>
        <w:fldChar w:fldCharType="end"/>
      </w:r>
    </w:p>
    <w:p>
      <w:pPr>
        <w:pStyle w:val="16"/>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_Toc79163899 \h </w:instrText>
      </w:r>
      <w:r>
        <w:rPr>
          <w:rFonts w:ascii="仿宋" w:eastAsia="仿宋"/>
        </w:rPr>
        <w:fldChar w:fldCharType="separate"/>
      </w:r>
      <w:r>
        <w:rPr>
          <w:rFonts w:ascii="仿宋" w:eastAsia="仿宋"/>
        </w:rPr>
        <w:t>24</w:t>
      </w:r>
      <w:r>
        <w:rPr>
          <w:rFonts w:ascii="仿宋" w:eastAsia="仿宋"/>
        </w:rPr>
        <w:fldChar w:fldCharType="end"/>
      </w:r>
    </w:p>
    <w:p>
      <w:r>
        <w:rPr>
          <w:rFonts w:ascii="仿宋" w:eastAsia="仿宋"/>
          <w:smallCaps/>
          <w:sz w:val="20"/>
          <w:szCs w:val="2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2"/>
        <w:spacing w:before="0" w:after="0"/>
        <w:jc w:val="center"/>
        <w:rPr>
          <w:rFonts w:ascii="黑体" w:eastAsia="黑体"/>
          <w:bCs w:val="0"/>
        </w:rPr>
      </w:pPr>
      <w:bookmarkStart w:id="14" w:name="_Toc79163601"/>
      <w:bookmarkStart w:id="15" w:name="_Toc79163851"/>
      <w:r>
        <w:rPr>
          <w:rFonts w:hint="eastAsia" w:ascii="黑体" w:eastAsia="黑体"/>
          <w:b w:val="0"/>
        </w:rPr>
        <w:t>第一部分</w:t>
      </w:r>
      <w:r>
        <w:rPr>
          <w:rStyle w:val="22"/>
          <w:rFonts w:hint="eastAsia" w:ascii="黑体" w:eastAsia="黑体"/>
          <w:b w:val="0"/>
          <w:bCs w:val="0"/>
        </w:rPr>
        <w:t>部门概况</w:t>
      </w:r>
      <w:bookmarkEnd w:id="12"/>
      <w:bookmarkEnd w:id="13"/>
      <w:bookmarkEnd w:id="14"/>
      <w:bookmarkEnd w:id="15"/>
    </w:p>
    <w:p>
      <w:pPr>
        <w:pStyle w:val="3"/>
        <w:spacing w:before="0" w:after="0"/>
        <w:rPr>
          <w:rStyle w:val="23"/>
          <w:rFonts w:ascii="仿宋" w:eastAsia="仿宋"/>
          <w:b w:val="0"/>
          <w:bCs w:val="0"/>
        </w:rPr>
      </w:pPr>
      <w:bookmarkStart w:id="16" w:name="_Toc15377197"/>
      <w:bookmarkStart w:id="17" w:name="_Toc79163602"/>
      <w:bookmarkStart w:id="18" w:name="_Toc15396600"/>
      <w:bookmarkStart w:id="19" w:name="_Toc79163852"/>
      <w:r>
        <w:rPr>
          <w:rFonts w:hint="eastAsia" w:ascii="黑体" w:eastAsia="黑体"/>
          <w:b w:val="0"/>
          <w:color w:val="000000"/>
        </w:rPr>
        <w:t>一、基</w:t>
      </w:r>
      <w:r>
        <w:rPr>
          <w:rStyle w:val="23"/>
          <w:rFonts w:hint="eastAsia" w:ascii="黑体" w:eastAsia="黑体"/>
          <w:b w:val="0"/>
          <w:bCs w:val="0"/>
        </w:rPr>
        <w:t>本职能及主要工作</w:t>
      </w:r>
      <w:bookmarkEnd w:id="16"/>
      <w:bookmarkEnd w:id="17"/>
      <w:bookmarkEnd w:id="18"/>
      <w:bookmarkEnd w:id="19"/>
    </w:p>
    <w:p>
      <w:pPr>
        <w:pStyle w:val="6"/>
        <w:adjustRightInd w:val="0"/>
        <w:snapToGrid w:val="0"/>
        <w:spacing w:beforeLines="0" w:line="600" w:lineRule="exact"/>
        <w:ind w:firstLine="640" w:firstLineChars="200"/>
        <w:outlineLvl w:val="2"/>
        <w:rPr>
          <w:rFonts w:asci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ind w:firstLine="640" w:firstLineChars="200"/>
        <w:rPr>
          <w:rFonts w:ascii="仿宋" w:eastAsia="仿宋"/>
          <w:sz w:val="32"/>
          <w:szCs w:val="32"/>
        </w:rPr>
      </w:pPr>
      <w:r>
        <w:rPr>
          <w:rFonts w:hint="eastAsia" w:ascii="仿宋" w:hAnsi="仿宋" w:eastAsia="仿宋"/>
          <w:sz w:val="32"/>
          <w:szCs w:val="32"/>
        </w:rPr>
        <w:t>深入贯彻《母婴保健法》《中国妇女发展纲要》《中国儿童发展纲要》，围绕实现“新两纲”目标和初级卫生保健指标。了解、掌握妇女、儿童健康状况及影响因素，负责本辖区儿童入托前健康体检及开展各类妇幼保健人员的业务培训，负责指导和开展本辖区妇幼保健健康教育与健康工作。组织实施重大公共卫生服务项目，如“新生儿疾病筛查”、“免费婚检”、“计划生育手术”、“孕前优生健康检查”、“ 预防艾滋病、梅毒及乙肝母婴传播”等。</w:t>
      </w:r>
    </w:p>
    <w:p>
      <w:pPr>
        <w:pStyle w:val="6"/>
        <w:adjustRightInd w:val="0"/>
        <w:snapToGrid w:val="0"/>
        <w:spacing w:beforeLines="0" w:line="600" w:lineRule="exact"/>
        <w:ind w:firstLine="668" w:firstLineChars="209"/>
        <w:outlineLvl w:val="2"/>
        <w:rPr>
          <w:rFonts w:ascii="仿宋" w:eastAsia="仿宋"/>
          <w:bCs/>
          <w:color w:val="000000"/>
          <w:sz w:val="32"/>
          <w:szCs w:val="32"/>
        </w:rPr>
      </w:pPr>
      <w:bookmarkStart w:id="24" w:name="_Toc15377199"/>
      <w:bookmarkStart w:id="25" w:name="_Toc79163604"/>
      <w:bookmarkStart w:id="26" w:name="_Toc15378446"/>
      <w:bookmarkStart w:id="27" w:name="_Toc79163854"/>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pStyle w:val="6"/>
        <w:adjustRightInd w:val="0"/>
        <w:snapToGrid w:val="0"/>
        <w:spacing w:beforeLines="0" w:line="600" w:lineRule="exact"/>
        <w:ind w:firstLine="668" w:firstLineChars="209"/>
        <w:outlineLvl w:val="2"/>
        <w:rPr>
          <w:rFonts w:ascii="仿宋" w:eastAsia="仿宋"/>
          <w:bCs/>
          <w:color w:val="000000"/>
          <w:sz w:val="32"/>
          <w:szCs w:val="32"/>
        </w:rPr>
      </w:pPr>
      <w:r>
        <w:rPr>
          <w:rFonts w:hint="eastAsia" w:ascii="仿宋" w:hAnsi="仿宋" w:eastAsia="仿宋"/>
          <w:color w:val="000000"/>
          <w:sz w:val="32"/>
          <w:szCs w:val="32"/>
        </w:rPr>
        <w:t>继续坚持抓好县、镇、村三级农村妇幼卫生服务网络的建设，加强三级妇幼卫生人员适宜技术的培训，更新知识，提高水平。开展与各镇卫生院联合开展“三病”、“药具”、公卫督导工作，</w:t>
      </w:r>
      <w:r>
        <w:rPr>
          <w:rFonts w:hint="eastAsia" w:ascii="仿宋" w:hAnsi="仿宋" w:eastAsia="仿宋"/>
          <w:sz w:val="32"/>
          <w:szCs w:val="32"/>
        </w:rPr>
        <w:t>对全县各托幼机构儿童进行为期一月的体检工作，在体检同时向儿童家长宣传儿童夏季易患病的预防知识，增强家长对各种疾病的预防意识。</w:t>
      </w:r>
      <w:r>
        <w:rPr>
          <w:rFonts w:hint="eastAsia" w:ascii="仿宋" w:hAnsi="仿宋" w:eastAsia="仿宋"/>
          <w:color w:val="000000"/>
          <w:sz w:val="32"/>
          <w:szCs w:val="32"/>
        </w:rPr>
        <w:t>对凤仪镇35岁至64岁妇女开展“两癌”筛查工作，对凤仪镇各村组进行老年人健康体检工作。“艾滋、梅毒、乙肝”产前筛查。我中心预防艾滋病母婴传播管理办公室专职人员进行了4次工作督导，同时基保科人员对全县11个镇19个卫生院进行 “三病”、“药具” 、“公共卫生”“营养包”等工作进行了督导。</w:t>
      </w:r>
    </w:p>
    <w:p>
      <w:pPr>
        <w:pStyle w:val="3"/>
        <w:spacing w:before="0" w:after="0"/>
        <w:rPr>
          <w:rStyle w:val="23"/>
          <w:b w:val="0"/>
          <w:bCs w:val="0"/>
        </w:rPr>
      </w:pPr>
      <w:bookmarkStart w:id="28" w:name="_Toc79163605"/>
      <w:bookmarkStart w:id="29" w:name="_Toc79163855"/>
      <w:bookmarkStart w:id="30" w:name="_Toc15377200"/>
      <w:bookmarkStart w:id="31" w:name="_Toc15396601"/>
      <w:r>
        <w:rPr>
          <w:rFonts w:hint="eastAsia" w:ascii="黑体" w:eastAsia="黑体"/>
          <w:b w:val="0"/>
          <w:color w:val="000000"/>
        </w:rPr>
        <w:t>二、机</w:t>
      </w:r>
      <w:r>
        <w:rPr>
          <w:rStyle w:val="23"/>
          <w:rFonts w:hint="eastAsia" w:ascii="黑体" w:eastAsia="黑体"/>
          <w:b w:val="0"/>
          <w:bCs w:val="0"/>
        </w:rPr>
        <w:t>构设置</w:t>
      </w:r>
      <w:bookmarkEnd w:id="28"/>
      <w:bookmarkEnd w:id="29"/>
      <w:bookmarkEnd w:id="30"/>
      <w:bookmarkEnd w:id="31"/>
    </w:p>
    <w:p>
      <w:pPr>
        <w:ind w:firstLine="640" w:firstLineChars="200"/>
        <w:rPr>
          <w:rFonts w:ascii="仿宋" w:eastAsia="仿宋"/>
          <w:sz w:val="32"/>
          <w:szCs w:val="32"/>
        </w:rPr>
      </w:pPr>
      <w:r>
        <w:rPr>
          <w:rFonts w:hint="eastAsia" w:ascii="仿宋" w:hAnsi="仿宋" w:eastAsia="仿宋"/>
          <w:sz w:val="32"/>
          <w:szCs w:val="32"/>
        </w:rPr>
        <w:t>茂县妇幼保健计划生育服务中心属财政补助事业单位，为一级预算单位，下属二级预算单位0个，其中：参照公务员法管理的事业单位0个，其他事业单位0个。</w:t>
      </w:r>
    </w:p>
    <w:p>
      <w:pPr>
        <w:widowControl/>
        <w:jc w:val="left"/>
        <w:rPr>
          <w:rFonts w:ascii="仿宋" w:eastAsia="仿宋"/>
          <w:color w:val="000000"/>
          <w:kern w:val="0"/>
          <w:sz w:val="32"/>
          <w:szCs w:val="32"/>
        </w:rPr>
      </w:pPr>
      <w:r>
        <w:rPr>
          <w:rFonts w:ascii="仿宋" w:eastAsia="仿宋"/>
          <w:color w:val="000000"/>
          <w:sz w:val="32"/>
          <w:szCs w:val="32"/>
        </w:rPr>
        <w:br w:type="page"/>
      </w:r>
    </w:p>
    <w:p>
      <w:pPr>
        <w:pStyle w:val="2"/>
        <w:spacing w:before="0" w:after="0"/>
        <w:ind w:right="440"/>
        <w:jc w:val="right"/>
        <w:rPr>
          <w:rFonts w:ascii="黑体" w:eastAsia="黑体"/>
          <w:b w:val="0"/>
          <w:bCs w:val="0"/>
        </w:rPr>
      </w:pPr>
      <w:bookmarkStart w:id="32" w:name="_Toc15396602"/>
      <w:bookmarkStart w:id="33" w:name="_Toc79163609"/>
      <w:bookmarkStart w:id="34" w:name="_Toc79163859"/>
      <w:bookmarkStart w:id="35" w:name="_Toc15377204"/>
      <w:r>
        <w:rPr>
          <w:rFonts w:hint="eastAsia" w:ascii="黑体" w:eastAsia="黑体"/>
          <w:b w:val="0"/>
          <w:color w:val="000000"/>
        </w:rPr>
        <w:t>第二部分</w:t>
      </w:r>
      <w:r>
        <w:rPr>
          <w:rStyle w:val="22"/>
          <w:rFonts w:ascii="黑体" w:eastAsia="黑体"/>
          <w:b w:val="0"/>
          <w:bCs w:val="0"/>
        </w:rPr>
        <w:t>2021</w:t>
      </w:r>
      <w:r>
        <w:rPr>
          <w:rStyle w:val="22"/>
          <w:rFonts w:hint="eastAsia" w:ascii="黑体" w:eastAsia="黑体"/>
          <w:b w:val="0"/>
          <w:bCs w:val="0"/>
        </w:rPr>
        <w:t>年度部门决算情况说明</w:t>
      </w:r>
      <w:bookmarkEnd w:id="32"/>
      <w:bookmarkEnd w:id="33"/>
      <w:bookmarkEnd w:id="34"/>
      <w:bookmarkEnd w:id="35"/>
    </w:p>
    <w:p>
      <w:pPr>
        <w:pStyle w:val="28"/>
        <w:numPr>
          <w:ilvl w:val="0"/>
          <w:numId w:val="1"/>
        </w:numPr>
        <w:spacing w:line="600" w:lineRule="exact"/>
        <w:ind w:firstLineChars="0"/>
        <w:outlineLvl w:val="1"/>
        <w:rPr>
          <w:rStyle w:val="23"/>
          <w:rFonts w:ascii="黑体" w:eastAsia="黑体"/>
          <w:b w:val="0"/>
        </w:rPr>
      </w:pPr>
      <w:bookmarkStart w:id="36" w:name="_Toc79163610"/>
      <w:bookmarkStart w:id="37" w:name="_Toc79163860"/>
      <w:bookmarkStart w:id="38" w:name="_Toc15377205"/>
      <w:bookmarkStart w:id="39" w:name="_Toc15396603"/>
      <w:r>
        <w:rPr>
          <w:rFonts w:hint="eastAsia" w:ascii="黑体" w:eastAsia="黑体"/>
          <w:color w:val="000000"/>
          <w:sz w:val="32"/>
          <w:szCs w:val="32"/>
        </w:rPr>
        <w:t>收</w:t>
      </w:r>
      <w:r>
        <w:rPr>
          <w:rStyle w:val="23"/>
          <w:rFonts w:hint="eastAsia" w:ascii="黑体" w:eastAsia="黑体"/>
          <w:b w:val="0"/>
        </w:rPr>
        <w:t>入支出决算总体情况说明</w:t>
      </w:r>
      <w:bookmarkEnd w:id="36"/>
      <w:bookmarkEnd w:id="37"/>
      <w:bookmarkEnd w:id="38"/>
      <w:bookmarkEnd w:id="39"/>
    </w:p>
    <w:p>
      <w:pPr>
        <w:spacing w:line="360" w:lineRule="auto"/>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2175.64</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20年相比，收、支总计各增加256.95万元，增长13.39</w:t>
      </w:r>
      <w:r>
        <w:rPr>
          <w:rFonts w:ascii="仿宋" w:hAnsi="仿宋" w:eastAsia="仿宋"/>
          <w:color w:val="000000"/>
          <w:sz w:val="32"/>
          <w:szCs w:val="32"/>
        </w:rPr>
        <w:t>%</w:t>
      </w:r>
      <w:r>
        <w:rPr>
          <w:rFonts w:hint="eastAsia" w:ascii="仿宋" w:hAnsi="仿宋" w:eastAsia="仿宋"/>
          <w:color w:val="000000"/>
          <w:sz w:val="32"/>
          <w:szCs w:val="32"/>
        </w:rPr>
        <w:t>。主要变动原因是项目支出增加及人员增加。</w:t>
      </w:r>
    </w:p>
    <w:p>
      <w:pPr>
        <w:spacing w:line="360" w:lineRule="auto"/>
        <w:ind w:firstLine="640" w:firstLineChars="200"/>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4556125" cy="3569335"/>
            <wp:effectExtent l="19050" t="0" r="15688"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8"/>
        <w:numPr>
          <w:ilvl w:val="0"/>
          <w:numId w:val="1"/>
        </w:numPr>
        <w:spacing w:line="600" w:lineRule="exact"/>
        <w:ind w:firstLineChars="0"/>
        <w:outlineLvl w:val="1"/>
        <w:rPr>
          <w:rStyle w:val="23"/>
          <w:rFonts w:ascii="黑体" w:eastAsia="黑体"/>
          <w:b w:val="0"/>
        </w:rPr>
      </w:pPr>
      <w:bookmarkStart w:id="40" w:name="_Toc15377206"/>
      <w:bookmarkStart w:id="41" w:name="_Toc15396604"/>
      <w:bookmarkStart w:id="42" w:name="_Toc79163611"/>
      <w:bookmarkStart w:id="43" w:name="_Toc79163861"/>
      <w:r>
        <w:rPr>
          <w:rFonts w:hint="eastAsia" w:ascii="黑体" w:eastAsia="黑体"/>
          <w:color w:val="000000"/>
          <w:sz w:val="32"/>
          <w:szCs w:val="32"/>
        </w:rPr>
        <w:t>收</w:t>
      </w:r>
      <w:r>
        <w:rPr>
          <w:rStyle w:val="23"/>
          <w:rFonts w:hint="eastAsia" w:ascii="黑体" w:eastAsia="黑体"/>
          <w:b w:val="0"/>
        </w:rPr>
        <w:t>入决算情况说明</w:t>
      </w:r>
      <w:bookmarkEnd w:id="40"/>
      <w:bookmarkEnd w:id="41"/>
      <w:bookmarkEnd w:id="42"/>
      <w:bookmarkEnd w:id="43"/>
    </w:p>
    <w:p>
      <w:pPr>
        <w:spacing w:line="360" w:lineRule="auto"/>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hAnsi="仿宋" w:eastAsia="仿宋"/>
          <w:color w:val="000000"/>
          <w:sz w:val="32"/>
          <w:szCs w:val="32"/>
        </w:rPr>
        <w:t>年本年收入合计2047.12万元，其中：一般公共预算财政拨款收入1197.63万元，占58.5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；政府性基金预算财政拨款收入0万元；上级补助收入0万元；事业收入849.49万元，占41.5</w:t>
      </w:r>
      <w:r>
        <w:rPr>
          <w:rFonts w:ascii="仿宋" w:hAnsi="仿宋" w:eastAsia="仿宋"/>
          <w:color w:val="000000"/>
          <w:sz w:val="32"/>
          <w:szCs w:val="32"/>
        </w:rPr>
        <w:t>%</w:t>
      </w:r>
      <w:r>
        <w:rPr>
          <w:rFonts w:hint="eastAsia" w:ascii="仿宋" w:hAnsi="仿宋" w:eastAsia="仿宋"/>
          <w:color w:val="000000"/>
          <w:sz w:val="32"/>
          <w:szCs w:val="32"/>
        </w:rPr>
        <w:t>；经营收入0万元；附属单位上缴收入0万元；其他收入0万元</w:t>
      </w:r>
      <w:r>
        <w:rPr>
          <w:rFonts w:hint="eastAsia" w:ascii="仿宋" w:eastAsia="仿宋"/>
          <w:color w:val="000000"/>
          <w:sz w:val="32"/>
          <w:szCs w:val="32"/>
        </w:rPr>
        <w:t>。</w:t>
      </w:r>
    </w:p>
    <w:p>
      <w:pPr>
        <w:spacing w:line="360" w:lineRule="auto"/>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3766185" cy="2962910"/>
            <wp:effectExtent l="19050" t="0" r="24232" b="8813"/>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8"/>
        <w:numPr>
          <w:ilvl w:val="0"/>
          <w:numId w:val="1"/>
        </w:numPr>
        <w:spacing w:line="600" w:lineRule="exact"/>
        <w:ind w:firstLineChars="0"/>
        <w:outlineLvl w:val="1"/>
        <w:rPr>
          <w:rStyle w:val="23"/>
          <w:rFonts w:ascii="黑体" w:eastAsia="黑体"/>
          <w:b w:val="0"/>
        </w:rPr>
      </w:pPr>
      <w:bookmarkStart w:id="44" w:name="_Toc15377207"/>
      <w:bookmarkStart w:id="45" w:name="_Toc79163862"/>
      <w:bookmarkStart w:id="46" w:name="_Toc79163612"/>
      <w:bookmarkStart w:id="47" w:name="_Toc15396605"/>
      <w:r>
        <w:rPr>
          <w:rFonts w:hint="eastAsia" w:ascii="黑体" w:eastAsia="黑体"/>
          <w:color w:val="000000"/>
          <w:sz w:val="32"/>
          <w:szCs w:val="32"/>
        </w:rPr>
        <w:t>支</w:t>
      </w:r>
      <w:r>
        <w:rPr>
          <w:rStyle w:val="23"/>
          <w:rFonts w:hint="eastAsia" w:ascii="黑体" w:eastAsia="黑体"/>
          <w:b w:val="0"/>
        </w:rPr>
        <w:t>出决算情况说明</w:t>
      </w:r>
      <w:bookmarkEnd w:id="44"/>
      <w:bookmarkEnd w:id="45"/>
      <w:bookmarkEnd w:id="46"/>
      <w:bookmarkEnd w:id="47"/>
    </w:p>
    <w:p>
      <w:pPr>
        <w:spacing w:line="360" w:lineRule="auto"/>
        <w:ind w:firstLine="640" w:firstLineChars="200"/>
        <w:rPr>
          <w:rFonts w:ascii="仿宋_GB2312" w:eastAsia="仿宋_GB2312"/>
          <w:sz w:val="32"/>
          <w:szCs w:val="32"/>
        </w:rPr>
      </w:pPr>
      <w:r>
        <w:rPr>
          <w:rFonts w:ascii="仿宋" w:hAnsi="仿宋" w:eastAsia="仿宋"/>
          <w:sz w:val="32"/>
          <w:szCs w:val="32"/>
        </w:rPr>
        <w:t>202</w:t>
      </w:r>
      <w:r>
        <w:rPr>
          <w:rFonts w:hint="eastAsia" w:ascii="仿宋" w:hAnsi="仿宋" w:eastAsia="仿宋"/>
          <w:sz w:val="32"/>
          <w:szCs w:val="32"/>
        </w:rPr>
        <w:t>1年本年支出合计2175.64万元，其中：基本支出2057.77万元，占94.58</w:t>
      </w:r>
      <w:r>
        <w:rPr>
          <w:rFonts w:ascii="仿宋" w:hAnsi="仿宋" w:eastAsia="仿宋"/>
          <w:sz w:val="32"/>
          <w:szCs w:val="32"/>
        </w:rPr>
        <w:t>%</w:t>
      </w:r>
      <w:r>
        <w:rPr>
          <w:rFonts w:hint="eastAsia" w:ascii="仿宋" w:hAnsi="仿宋" w:eastAsia="仿宋"/>
          <w:sz w:val="32"/>
          <w:szCs w:val="32"/>
        </w:rPr>
        <w:t>；项目支出117.87万元，占5.42</w:t>
      </w:r>
      <w:r>
        <w:rPr>
          <w:rFonts w:ascii="仿宋" w:hAnsi="仿宋" w:eastAsia="仿宋"/>
          <w:sz w:val="32"/>
          <w:szCs w:val="32"/>
        </w:rPr>
        <w:t>%</w:t>
      </w:r>
      <w:r>
        <w:rPr>
          <w:rFonts w:hint="eastAsia" w:ascii="仿宋" w:hAnsi="仿宋" w:eastAsia="仿宋"/>
          <w:sz w:val="32"/>
          <w:szCs w:val="32"/>
        </w:rPr>
        <w:t>；上缴上级支出0万元；经营支出0万元；对附属单位补助支出0万元。</w:t>
      </w:r>
    </w:p>
    <w:p>
      <w:pPr>
        <w:spacing w:line="360" w:lineRule="auto"/>
        <w:ind w:firstLine="200"/>
        <w:rPr>
          <w:rFonts w:ascii="仿宋" w:eastAsia="仿宋"/>
          <w:color w:val="000000"/>
          <w:sz w:val="32"/>
          <w:szCs w:val="32"/>
          <w:shd w:val="pct10" w:color="auto" w:fill="FFFFFF"/>
        </w:rPr>
      </w:pPr>
      <w:r>
        <w:rPr>
          <w:rFonts w:ascii="仿宋" w:eastAsia="仿宋"/>
          <w:color w:val="000000"/>
          <w:sz w:val="32"/>
          <w:szCs w:val="32"/>
          <w:shd w:val="pct10" w:color="auto" w:fill="FFFFFF"/>
        </w:rPr>
        <w:drawing>
          <wp:inline distT="0" distB="0" distL="0" distR="0">
            <wp:extent cx="4040505" cy="2829560"/>
            <wp:effectExtent l="19050" t="0" r="16965" b="8606"/>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3"/>
          <w:rFonts w:ascii="黑体" w:eastAsia="黑体"/>
          <w:b w:val="0"/>
        </w:rPr>
      </w:pPr>
      <w:bookmarkStart w:id="48" w:name="_Toc15396606"/>
      <w:bookmarkStart w:id="49" w:name="_Toc79163613"/>
      <w:bookmarkStart w:id="50" w:name="_Toc15377208"/>
      <w:bookmarkStart w:id="51" w:name="_Toc79163863"/>
      <w:r>
        <w:rPr>
          <w:rFonts w:hint="eastAsia" w:ascii="黑体" w:eastAsia="黑体"/>
          <w:color w:val="000000"/>
          <w:sz w:val="32"/>
          <w:szCs w:val="32"/>
        </w:rPr>
        <w:t>四、财</w:t>
      </w:r>
      <w:r>
        <w:rPr>
          <w:rStyle w:val="23"/>
          <w:rFonts w:hint="eastAsia" w:ascii="黑体" w:eastAsia="黑体"/>
          <w:b w:val="0"/>
        </w:rPr>
        <w:t>政拨款收入支出决算总体情况说明</w:t>
      </w:r>
      <w:bookmarkEnd w:id="48"/>
      <w:bookmarkEnd w:id="49"/>
      <w:bookmarkEnd w:id="50"/>
      <w:bookmarkEnd w:id="51"/>
    </w:p>
    <w:p>
      <w:pPr>
        <w:spacing w:line="360" w:lineRule="auto"/>
        <w:ind w:firstLine="640"/>
        <w:rPr>
          <w:rFonts w:ascii="仿宋" w:hAnsi="仿宋" w:eastAsia="仿宋"/>
          <w:color w:val="000000"/>
          <w:sz w:val="32"/>
          <w:szCs w:val="32"/>
        </w:rPr>
      </w:pPr>
      <w:r>
        <w:rPr>
          <w:rFonts w:ascii="仿宋" w:eastAsia="仿宋"/>
          <w:color w:val="000000"/>
          <w:sz w:val="32"/>
          <w:szCs w:val="32"/>
        </w:rPr>
        <w:t>2021</w:t>
      </w:r>
      <w:r>
        <w:rPr>
          <w:rFonts w:hint="eastAsia" w:ascii="仿宋" w:hAnsi="仿宋" w:eastAsia="仿宋"/>
          <w:color w:val="000000"/>
          <w:sz w:val="32"/>
          <w:szCs w:val="32"/>
        </w:rPr>
        <w:t>年财政拨款收、支总计1326.15万元。与</w:t>
      </w:r>
      <w:r>
        <w:rPr>
          <w:rFonts w:ascii="仿宋" w:hAnsi="仿宋" w:eastAsia="仿宋"/>
          <w:color w:val="000000"/>
          <w:sz w:val="32"/>
          <w:szCs w:val="32"/>
        </w:rPr>
        <w:t>20</w:t>
      </w:r>
      <w:r>
        <w:rPr>
          <w:rFonts w:hint="eastAsia" w:ascii="仿宋" w:hAnsi="仿宋" w:eastAsia="仿宋"/>
          <w:color w:val="000000"/>
          <w:sz w:val="32"/>
          <w:szCs w:val="32"/>
        </w:rPr>
        <w:t>20年相比，财政拨款收、支总计增加197.21万元，增长17.47</w:t>
      </w:r>
      <w:r>
        <w:rPr>
          <w:rFonts w:ascii="仿宋" w:hAnsi="仿宋" w:eastAsia="仿宋"/>
          <w:color w:val="000000"/>
          <w:sz w:val="32"/>
          <w:szCs w:val="32"/>
        </w:rPr>
        <w:t>%</w:t>
      </w:r>
      <w:r>
        <w:rPr>
          <w:rFonts w:hint="eastAsia" w:ascii="仿宋" w:hAnsi="仿宋" w:eastAsia="仿宋"/>
          <w:color w:val="000000"/>
          <w:sz w:val="32"/>
          <w:szCs w:val="32"/>
        </w:rPr>
        <w:t>。主要变动原因是项目支出增加及人员增加。</w:t>
      </w:r>
    </w:p>
    <w:p>
      <w:pPr>
        <w:spacing w:line="360" w:lineRule="auto"/>
        <w:ind w:firstLine="640"/>
        <w:rPr>
          <w:rFonts w:ascii="仿宋" w:eastAsia="仿宋"/>
          <w:b/>
          <w:color w:val="FF0000"/>
          <w:sz w:val="32"/>
          <w:szCs w:val="32"/>
        </w:rPr>
      </w:pPr>
      <w:r>
        <w:rPr>
          <w:rFonts w:ascii="仿宋" w:eastAsia="仿宋"/>
          <w:b/>
          <w:color w:val="FF0000"/>
          <w:sz w:val="32"/>
          <w:szCs w:val="32"/>
        </w:rPr>
        <w:drawing>
          <wp:inline distT="0" distB="0" distL="0" distR="0">
            <wp:extent cx="4319270" cy="2044065"/>
            <wp:effectExtent l="19050" t="0" r="23732"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3"/>
          <w:rFonts w:ascii="黑体" w:eastAsia="黑体"/>
          <w:b w:val="0"/>
        </w:rPr>
      </w:pPr>
      <w:bookmarkStart w:id="52" w:name="_Toc79163614"/>
      <w:bookmarkStart w:id="53" w:name="_Toc79163864"/>
      <w:bookmarkStart w:id="54" w:name="_Toc15377209"/>
      <w:bookmarkStart w:id="55" w:name="_Toc15396607"/>
      <w:r>
        <w:rPr>
          <w:rFonts w:hint="eastAsia" w:ascii="黑体" w:eastAsia="黑体"/>
          <w:color w:val="000000"/>
          <w:sz w:val="32"/>
          <w:szCs w:val="32"/>
        </w:rPr>
        <w:t>五、</w:t>
      </w:r>
      <w:r>
        <w:rPr>
          <w:rFonts w:hint="eastAsia" w:ascii="黑体" w:eastAsia="黑体"/>
          <w:b/>
          <w:color w:val="000000"/>
          <w:sz w:val="32"/>
          <w:szCs w:val="32"/>
        </w:rPr>
        <w:t>一</w:t>
      </w:r>
      <w:r>
        <w:rPr>
          <w:rStyle w:val="23"/>
          <w:rFonts w:hint="eastAsia" w:asci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eastAsia="仿宋"/>
          <w:b/>
          <w:color w:val="000000"/>
          <w:sz w:val="32"/>
          <w:szCs w:val="32"/>
        </w:rPr>
      </w:pPr>
      <w:bookmarkStart w:id="56" w:name="_Toc15377210"/>
      <w:bookmarkStart w:id="57" w:name="_Toc79163615"/>
      <w:bookmarkStart w:id="58" w:name="_Toc79163865"/>
      <w:r>
        <w:rPr>
          <w:rFonts w:hint="eastAsia" w:ascii="仿宋" w:eastAsia="仿宋"/>
          <w:b/>
          <w:color w:val="000000"/>
          <w:sz w:val="32"/>
          <w:szCs w:val="32"/>
        </w:rPr>
        <w:t>（一）一般公共预算财政拨款支出决算总体情况</w:t>
      </w:r>
      <w:bookmarkEnd w:id="56"/>
      <w:bookmarkEnd w:id="57"/>
      <w:bookmarkEnd w:id="58"/>
    </w:p>
    <w:p>
      <w:pPr>
        <w:spacing w:line="360" w:lineRule="auto"/>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hAnsi="仿宋" w:eastAsia="仿宋"/>
          <w:color w:val="000000"/>
          <w:sz w:val="32"/>
          <w:szCs w:val="32"/>
        </w:rPr>
        <w:t>年一般公共预算财政拨款支出1326.15万元，占本年支出合计的60.95%。与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20年相比，一般公共预算财政拨款增加341.74万元，增长34.72</w:t>
      </w:r>
      <w:r>
        <w:rPr>
          <w:rFonts w:ascii="仿宋" w:hAnsi="仿宋" w:eastAsia="仿宋"/>
          <w:color w:val="000000"/>
          <w:sz w:val="32"/>
          <w:szCs w:val="32"/>
        </w:rPr>
        <w:t>%</w:t>
      </w:r>
      <w:r>
        <w:rPr>
          <w:rFonts w:hint="eastAsia" w:ascii="仿宋" w:hAnsi="仿宋" w:eastAsia="仿宋"/>
          <w:color w:val="000000"/>
          <w:sz w:val="32"/>
          <w:szCs w:val="32"/>
        </w:rPr>
        <w:t>。主要变动原因是项目支出增加及人员增加。</w:t>
      </w:r>
    </w:p>
    <w:p>
      <w:pPr>
        <w:spacing w:line="360" w:lineRule="auto"/>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4311650" cy="2119630"/>
            <wp:effectExtent l="19050" t="0" r="12615"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eastAsia="仿宋"/>
          <w:b/>
          <w:color w:val="000000"/>
          <w:sz w:val="32"/>
          <w:szCs w:val="32"/>
        </w:rPr>
      </w:pPr>
      <w:bookmarkStart w:id="59" w:name="_Toc79163866"/>
      <w:bookmarkStart w:id="60" w:name="_Toc15377211"/>
      <w:bookmarkStart w:id="61" w:name="_Toc79163616"/>
      <w:r>
        <w:rPr>
          <w:rFonts w:hint="eastAsia" w:ascii="仿宋" w:eastAsia="仿宋"/>
          <w:b/>
          <w:color w:val="000000"/>
          <w:sz w:val="32"/>
          <w:szCs w:val="32"/>
        </w:rPr>
        <w:t>（二）一般公共预算财政拨款支出决算结构情况</w:t>
      </w:r>
      <w:bookmarkEnd w:id="59"/>
      <w:bookmarkEnd w:id="60"/>
      <w:bookmarkEnd w:id="61"/>
    </w:p>
    <w:p>
      <w:pPr>
        <w:spacing w:line="360" w:lineRule="auto"/>
        <w:ind w:firstLine="640"/>
        <w:rPr>
          <w:rFonts w:ascii="仿宋" w:eastAsia="仿宋"/>
          <w:b/>
          <w:color w:val="000000"/>
          <w:sz w:val="32"/>
          <w:szCs w:val="32"/>
        </w:rPr>
      </w:pPr>
      <w:r>
        <w:rPr>
          <w:rFonts w:ascii="仿宋" w:eastAsia="仿宋"/>
          <w:color w:val="000000"/>
          <w:sz w:val="32"/>
          <w:szCs w:val="32"/>
        </w:rPr>
        <w:t>2021</w:t>
      </w:r>
      <w:r>
        <w:rPr>
          <w:rFonts w:hint="eastAsia" w:ascii="仿宋" w:hAnsi="仿宋" w:eastAsia="仿宋"/>
          <w:color w:val="000000"/>
          <w:sz w:val="32"/>
          <w:szCs w:val="32"/>
        </w:rPr>
        <w:t>年一般公共预算财政拨款支出1326.15万元，主要用于以下方面</w:t>
      </w:r>
      <w:r>
        <w:rPr>
          <w:rFonts w:ascii="仿宋" w:hAnsi="仿宋" w:eastAsia="仿宋"/>
          <w:color w:val="000000"/>
          <w:sz w:val="32"/>
          <w:szCs w:val="32"/>
        </w:rPr>
        <w:t>:</w:t>
      </w:r>
      <w:r>
        <w:rPr>
          <w:rFonts w:hint="eastAsia" w:ascii="仿宋" w:hAnsi="仿宋" w:eastAsia="仿宋"/>
          <w:color w:val="000000"/>
          <w:sz w:val="32"/>
          <w:szCs w:val="32"/>
        </w:rPr>
        <w:t>社会保障和就业（类）支出111.8万元，占8.43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Cs/>
          <w:color w:val="000000"/>
          <w:sz w:val="32"/>
          <w:szCs w:val="32"/>
        </w:rPr>
        <w:t>卫生健康支出</w:t>
      </w:r>
      <w:r>
        <w:rPr>
          <w:rFonts w:hint="eastAsia" w:ascii="仿宋" w:hAnsi="仿宋" w:eastAsia="仿宋"/>
          <w:color w:val="000000"/>
          <w:sz w:val="32"/>
          <w:szCs w:val="32"/>
        </w:rPr>
        <w:t>1133.992万元，占85.51</w:t>
      </w:r>
      <w:r>
        <w:rPr>
          <w:rFonts w:ascii="仿宋" w:hAnsi="仿宋" w:eastAsia="仿宋"/>
          <w:color w:val="000000"/>
          <w:sz w:val="32"/>
          <w:szCs w:val="32"/>
        </w:rPr>
        <w:t>%</w:t>
      </w:r>
      <w:r>
        <w:rPr>
          <w:rFonts w:hint="eastAsia" w:ascii="仿宋" w:hAnsi="仿宋" w:eastAsia="仿宋"/>
          <w:color w:val="000000"/>
          <w:sz w:val="32"/>
          <w:szCs w:val="32"/>
        </w:rPr>
        <w:t>；住房保障支出78.44万元，占5.91</w:t>
      </w:r>
      <w:r>
        <w:rPr>
          <w:rFonts w:ascii="仿宋" w:hAnsi="仿宋" w:eastAsia="仿宋"/>
          <w:color w:val="000000"/>
          <w:sz w:val="32"/>
          <w:szCs w:val="32"/>
        </w:rPr>
        <w:t>%</w:t>
      </w:r>
      <w:r>
        <w:rPr>
          <w:rFonts w:hint="eastAsia" w:ascii="仿宋" w:hAnsi="仿宋" w:eastAsia="仿宋"/>
          <w:color w:val="000000"/>
          <w:sz w:val="32"/>
          <w:szCs w:val="32"/>
        </w:rPr>
        <w:t>；农林水支出1.91万元，占0.14</w:t>
      </w:r>
      <w:r>
        <w:rPr>
          <w:rFonts w:ascii="仿宋" w:hAnsi="仿宋" w:eastAsia="仿宋"/>
          <w:color w:val="000000"/>
          <w:sz w:val="32"/>
          <w:szCs w:val="32"/>
        </w:rPr>
        <w:t>%</w:t>
      </w:r>
      <w:r>
        <w:rPr>
          <w:rFonts w:hint="eastAsia" w:ascii="仿宋" w:hAnsi="仿宋" w:eastAsia="仿宋"/>
          <w:color w:val="000000"/>
          <w:sz w:val="32"/>
          <w:szCs w:val="32"/>
        </w:rPr>
        <w:t>。</w:t>
      </w:r>
    </w:p>
    <w:p>
      <w:pPr>
        <w:spacing w:line="360" w:lineRule="auto"/>
        <w:rPr>
          <w:rFonts w:ascii="仿宋" w:eastAsia="仿宋"/>
          <w:color w:val="000000"/>
          <w:sz w:val="32"/>
          <w:szCs w:val="32"/>
        </w:rPr>
      </w:pPr>
      <w:r>
        <w:rPr>
          <w:rFonts w:ascii="仿宋" w:eastAsia="仿宋"/>
          <w:color w:val="000000"/>
          <w:sz w:val="32"/>
          <w:szCs w:val="32"/>
        </w:rPr>
        <w:drawing>
          <wp:inline distT="0" distB="0" distL="0" distR="0">
            <wp:extent cx="4572000" cy="2745105"/>
            <wp:effectExtent l="19050" t="0" r="1905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eastAsia="仿宋"/>
          <w:b/>
          <w:color w:val="000000"/>
          <w:sz w:val="32"/>
          <w:szCs w:val="32"/>
        </w:rPr>
      </w:pPr>
      <w:bookmarkStart w:id="62" w:name="_Toc79163867"/>
      <w:bookmarkStart w:id="63" w:name="_Toc15377212"/>
      <w:bookmarkStart w:id="64" w:name="_Toc79163617"/>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0" w:firstLineChars="200"/>
        <w:rPr>
          <w:rFonts w:ascii="仿宋" w:hAnsi="仿宋" w:eastAsia="仿宋"/>
          <w:bCs/>
          <w:sz w:val="32"/>
          <w:szCs w:val="32"/>
        </w:rPr>
      </w:pPr>
      <w:bookmarkStart w:id="65" w:name="_Toc15377213"/>
      <w:bookmarkStart w:id="66" w:name="_Toc15378460"/>
      <w:bookmarkStart w:id="67" w:name="_Toc15377444"/>
      <w:r>
        <w:rPr>
          <w:rFonts w:ascii="仿宋" w:hAnsi="仿宋" w:eastAsia="仿宋"/>
          <w:bCs/>
          <w:sz w:val="32"/>
          <w:szCs w:val="32"/>
        </w:rPr>
        <w:t>202</w:t>
      </w:r>
      <w:r>
        <w:rPr>
          <w:rFonts w:hint="eastAsia" w:ascii="仿宋" w:hAnsi="仿宋" w:eastAsia="仿宋"/>
          <w:bCs/>
          <w:sz w:val="32"/>
          <w:szCs w:val="32"/>
        </w:rPr>
        <w:t>1年一般公共预算支出决算数为</w:t>
      </w:r>
      <w:r>
        <w:rPr>
          <w:rFonts w:hint="eastAsia" w:ascii="仿宋" w:hAnsi="仿宋" w:eastAsia="仿宋"/>
          <w:color w:val="000000"/>
          <w:sz w:val="32"/>
          <w:szCs w:val="32"/>
        </w:rPr>
        <w:t>1326.15</w:t>
      </w:r>
      <w:r>
        <w:rPr>
          <w:rFonts w:hint="eastAsia" w:ascii="仿宋" w:hAnsi="仿宋" w:eastAsia="仿宋"/>
          <w:color w:val="000000"/>
          <w:sz w:val="32"/>
          <w:szCs w:val="32"/>
          <w:lang w:eastAsia="zh-CN"/>
        </w:rPr>
        <w:t>万元</w:t>
      </w:r>
      <w:bookmarkStart w:id="150" w:name="_GoBack"/>
      <w:bookmarkEnd w:id="150"/>
      <w:r>
        <w:rPr>
          <w:rFonts w:hint="eastAsia" w:ascii="仿宋" w:hAnsi="仿宋" w:eastAsia="仿宋"/>
          <w:bCs/>
          <w:sz w:val="32"/>
          <w:szCs w:val="32"/>
        </w:rPr>
        <w:t>，完成预算100</w:t>
      </w:r>
      <w:r>
        <w:rPr>
          <w:rFonts w:ascii="仿宋" w:hAnsi="仿宋" w:eastAsia="仿宋"/>
          <w:bCs/>
          <w:sz w:val="32"/>
          <w:szCs w:val="32"/>
        </w:rPr>
        <w:t>%</w:t>
      </w:r>
      <w:r>
        <w:rPr>
          <w:rFonts w:hint="eastAsia" w:ascii="仿宋" w:hAnsi="仿宋" w:eastAsia="仿宋"/>
          <w:bCs/>
          <w:sz w:val="32"/>
          <w:szCs w:val="32"/>
        </w:rPr>
        <w:t>。其中：</w:t>
      </w:r>
      <w:bookmarkEnd w:id="65"/>
      <w:bookmarkEnd w:id="66"/>
      <w:bookmarkEnd w:id="67"/>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1.社会保障和就业支出（类）行政事业单位养老支出（款）机关事业单位基本养老保险缴费费支出（项）: 支出决算为74.53万元，完成预算100%。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2. 社会保障和就业支出（类）行政事业单位养老支出（款）机关事业单位职业年金缴费支出（项）: 支出决算为37.27万元，完成预算100%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3.卫生健康支出（类）公共卫生（款）妇幼保健机构（项）:支出决算为965.4万元，完成预算100%。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4.卫生健康支出（类）公共卫生（款）基本公共卫生服务（项）:支出决算为28.01万元，完成预算100%。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5.卫生健康支出（类）公共卫生（款）重大公共卫生专项（项）:支出决算为31.43万元，完成预算100%。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6.卫生健康支出（类）计划生育事务（款）计划生育服务（项）:支出决算为11.44万元，完成预算100%。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7.卫生健康支出（类）计划生育事务（款）其他计划生育事务支出（项）:支出决算为35.78万元，完成预算100%。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8.卫生健康支出（类）行政事业单位医疗（款）事业单位医疗（项）:支出决算为52.63万元，完成预算100%。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9.卫生健康支出（类）其他卫生健康支出（款）其他卫生健康支出（项）:支出决算为9.31万元，完成预算100%。</w:t>
      </w:r>
    </w:p>
    <w:p>
      <w:pPr>
        <w:spacing w:line="600" w:lineRule="exact"/>
        <w:ind w:firstLine="640" w:firstLineChars="200"/>
        <w:rPr>
          <w:rFonts w:ascii="仿宋" w:hAnsi="仿宋" w:eastAsia="仿宋"/>
          <w:bCs/>
          <w:sz w:val="32"/>
          <w:szCs w:val="32"/>
        </w:rPr>
      </w:pPr>
      <w:r>
        <w:rPr>
          <w:rFonts w:hint="eastAsia" w:ascii="仿宋" w:hAnsi="仿宋" w:eastAsia="仿宋"/>
          <w:bCs/>
          <w:sz w:val="32"/>
          <w:szCs w:val="32"/>
        </w:rPr>
        <w:t>10.农林水支出（类）扶贫（款）其他扶贫支出（项）:支出决算为1.91万元，完成预算100%。</w:t>
      </w:r>
    </w:p>
    <w:p>
      <w:pPr>
        <w:spacing w:line="600" w:lineRule="exact"/>
        <w:ind w:firstLine="640" w:firstLineChars="200"/>
        <w:rPr>
          <w:rFonts w:ascii="仿宋" w:eastAsia="仿宋"/>
          <w:b/>
          <w:color w:val="FF0000"/>
          <w:sz w:val="32"/>
          <w:szCs w:val="32"/>
        </w:rPr>
      </w:pPr>
      <w:r>
        <w:rPr>
          <w:rFonts w:hint="eastAsia" w:ascii="仿宋" w:hAnsi="仿宋" w:eastAsia="仿宋"/>
          <w:bCs/>
          <w:sz w:val="32"/>
          <w:szCs w:val="32"/>
        </w:rPr>
        <w:t>11.住房保障支出（类）住房改革支出（款）住房公积金（项）:支出决算为78.44万元，完成预算100%。</w:t>
      </w:r>
    </w:p>
    <w:p>
      <w:pPr>
        <w:tabs>
          <w:tab w:val="right" w:pos="8306"/>
        </w:tabs>
        <w:spacing w:line="600" w:lineRule="exact"/>
        <w:ind w:firstLine="640"/>
        <w:outlineLvl w:val="1"/>
        <w:rPr>
          <w:rStyle w:val="23"/>
        </w:rPr>
      </w:pPr>
      <w:bookmarkStart w:id="68" w:name="_Toc79163868"/>
      <w:bookmarkStart w:id="69" w:name="_Toc15377214"/>
      <w:bookmarkStart w:id="70" w:name="_Toc79163618"/>
      <w:bookmarkStart w:id="71" w:name="_Toc15396608"/>
      <w:r>
        <w:rPr>
          <w:rFonts w:hint="eastAsia" w:ascii="黑体" w:eastAsia="黑体"/>
          <w:color w:val="000000"/>
          <w:sz w:val="32"/>
          <w:szCs w:val="32"/>
        </w:rPr>
        <w:t>六</w:t>
      </w:r>
      <w:r>
        <w:rPr>
          <w:rFonts w:hint="eastAsia" w:ascii="黑体" w:eastAsia="黑体"/>
          <w:b/>
          <w:color w:val="000000"/>
          <w:sz w:val="32"/>
          <w:szCs w:val="32"/>
        </w:rPr>
        <w:t>、一</w:t>
      </w:r>
      <w:r>
        <w:rPr>
          <w:rStyle w:val="23"/>
          <w:rFonts w:hint="eastAsia" w:ascii="黑体" w:eastAsia="黑体"/>
          <w:b w:val="0"/>
        </w:rPr>
        <w:t>般公共预算财政拨款基本支出决算情况说明</w:t>
      </w:r>
      <w:bookmarkEnd w:id="68"/>
      <w:bookmarkEnd w:id="69"/>
      <w:bookmarkEnd w:id="70"/>
      <w:bookmarkEnd w:id="71"/>
      <w:r>
        <w:rPr>
          <w:rStyle w:val="23"/>
          <w:rFonts w:ascii="黑体" w:eastAsia="黑体"/>
          <w:b w:val="0"/>
        </w:rPr>
        <w:tab/>
      </w:r>
    </w:p>
    <w:p>
      <w:pPr>
        <w:spacing w:line="600" w:lineRule="exact"/>
        <w:ind w:firstLine="645"/>
        <w:rPr>
          <w:rFonts w:ascii="仿宋" w:hAnsi="仿宋" w:eastAsia="仿宋"/>
          <w:color w:val="000000"/>
          <w:sz w:val="32"/>
          <w:szCs w:val="32"/>
        </w:rPr>
      </w:pPr>
      <w:r>
        <w:rPr>
          <w:rFonts w:ascii="仿宋" w:eastAsia="仿宋"/>
          <w:color w:val="000000"/>
          <w:sz w:val="32"/>
          <w:szCs w:val="32"/>
        </w:rPr>
        <w:t>2021</w:t>
      </w:r>
      <w:r>
        <w:rPr>
          <w:rFonts w:hint="eastAsia" w:ascii="仿宋" w:hAnsi="仿宋" w:eastAsia="仿宋"/>
          <w:color w:val="000000"/>
          <w:sz w:val="32"/>
          <w:szCs w:val="32"/>
        </w:rPr>
        <w:t>年一般公共预算财政拨款基本支出1208.27万元，其中：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1208.27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日常公用经费0万元。</w:t>
      </w:r>
    </w:p>
    <w:p>
      <w:pPr>
        <w:spacing w:line="600" w:lineRule="exact"/>
        <w:ind w:firstLine="640"/>
        <w:outlineLvl w:val="1"/>
        <w:rPr>
          <w:rStyle w:val="23"/>
          <w:rFonts w:ascii="黑体" w:eastAsia="黑体"/>
          <w:b w:val="0"/>
        </w:rPr>
      </w:pPr>
      <w:bookmarkStart w:id="72" w:name="_Toc79163869"/>
      <w:bookmarkStart w:id="73" w:name="_Toc15377215"/>
      <w:bookmarkStart w:id="74" w:name="_Toc79163619"/>
      <w:bookmarkStart w:id="75" w:name="_Toc15396609"/>
      <w:r>
        <w:rPr>
          <w:rFonts w:hint="eastAsia" w:ascii="黑体" w:eastAsia="黑体"/>
          <w:color w:val="000000"/>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color w:val="000000"/>
          <w:sz w:val="32"/>
          <w:szCs w:val="32"/>
        </w:rPr>
      </w:pPr>
      <w:bookmarkStart w:id="76" w:name="_Toc15377216"/>
      <w:bookmarkStart w:id="77" w:name="_Toc79163870"/>
      <w:bookmarkStart w:id="78" w:name="_Toc79163620"/>
      <w:r>
        <w:rPr>
          <w:rFonts w:hint="eastAsia" w:ascii="仿宋" w:hAnsi="仿宋" w:eastAsia="仿宋"/>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1年“三公”经费财政拨款支出决算为0万元。</w:t>
      </w:r>
    </w:p>
    <w:p>
      <w:pPr>
        <w:spacing w:line="600" w:lineRule="exact"/>
        <w:ind w:firstLine="640"/>
        <w:outlineLvl w:val="2"/>
        <w:rPr>
          <w:rFonts w:ascii="仿宋" w:hAnsi="仿宋" w:eastAsia="仿宋"/>
          <w:color w:val="000000"/>
          <w:sz w:val="32"/>
          <w:szCs w:val="32"/>
        </w:rPr>
      </w:pPr>
      <w:bookmarkStart w:id="79" w:name="_Toc79163871"/>
      <w:bookmarkStart w:id="80" w:name="_Toc79163621"/>
      <w:bookmarkStart w:id="81" w:name="_Toc15377217"/>
      <w:r>
        <w:rPr>
          <w:rFonts w:hint="eastAsia" w:ascii="仿宋" w:hAnsi="仿宋" w:eastAsia="仿宋"/>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1年“三公”经费财政拨款支出决算中，因公出国（境）费支出决算0万元；公务用车购置及运行维护费支出决算0万元；公务接待费支出决算0万元。</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因公出国（境）经费支出0万元</w:t>
      </w:r>
      <w:r>
        <w:rPr>
          <w:rStyle w:val="20"/>
          <w:rFonts w:hint="eastAsia" w:ascii="仿宋" w:hAnsi="仿宋" w:eastAsia="仿宋"/>
          <w:bCs/>
          <w:color w:val="000000"/>
          <w:sz w:val="32"/>
          <w:szCs w:val="32"/>
        </w:rPr>
        <w:t>。</w:t>
      </w:r>
      <w:r>
        <w:rPr>
          <w:rFonts w:hint="eastAsia" w:ascii="仿宋" w:hAnsi="仿宋" w:eastAsia="仿宋"/>
          <w:color w:val="000000"/>
          <w:sz w:val="32"/>
          <w:szCs w:val="32"/>
        </w:rPr>
        <w:t>全年安排因公出国（境）团组0次，出国（境）0人。</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公务用车购置及运行维护费支出0万元</w:t>
      </w:r>
      <w:r>
        <w:rPr>
          <w:rStyle w:val="20"/>
          <w:rFonts w:hint="eastAsia" w:ascii="仿宋" w:hAnsi="仿宋" w:eastAsia="仿宋"/>
          <w:bCs/>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其中：公务用车购置支出0万元。全年按规定更新购置公务用车0辆，其中：轿车0辆、金额0万元，越野车0辆、金额0万元，载客汽车0辆、金额0万元。截至</w:t>
      </w:r>
      <w:r>
        <w:rPr>
          <w:rFonts w:ascii="仿宋" w:hAnsi="仿宋" w:eastAsia="仿宋"/>
          <w:color w:val="000000"/>
          <w:sz w:val="32"/>
          <w:szCs w:val="32"/>
        </w:rPr>
        <w:t>202</w:t>
      </w:r>
      <w:r>
        <w:rPr>
          <w:rFonts w:hint="eastAsia" w:ascii="仿宋" w:hAnsi="仿宋" w:eastAsia="仿宋"/>
          <w:color w:val="000000"/>
          <w:sz w:val="32"/>
          <w:szCs w:val="32"/>
        </w:rPr>
        <w:t>1年</w:t>
      </w:r>
      <w:r>
        <w:rPr>
          <w:rFonts w:ascii="仿宋" w:hAnsi="仿宋" w:eastAsia="仿宋"/>
          <w:color w:val="000000"/>
          <w:sz w:val="32"/>
          <w:szCs w:val="32"/>
        </w:rPr>
        <w:t>12</w:t>
      </w:r>
      <w:r>
        <w:rPr>
          <w:rFonts w:hint="eastAsia" w:ascii="仿宋" w:hAnsi="仿宋" w:eastAsia="仿宋"/>
          <w:color w:val="000000"/>
          <w:sz w:val="32"/>
          <w:szCs w:val="32"/>
        </w:rPr>
        <w:t>月底，单位共有公务用车4辆，其中：轿车0辆、越野车1辆、应急保障车辆3辆。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公务用车运行维护费支出0万元。</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公务接待费支出0万元</w:t>
      </w:r>
      <w:r>
        <w:rPr>
          <w:rStyle w:val="20"/>
          <w:rFonts w:hint="eastAsia" w:ascii="仿宋" w:hAnsi="仿宋" w:eastAsia="仿宋"/>
          <w:bCs/>
          <w:color w:val="000000"/>
          <w:sz w:val="32"/>
          <w:szCs w:val="32"/>
        </w:rPr>
        <w:t>。</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外事接待支出0万元，外事接待0批次，0人，共计支出0万元。</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3"/>
          <w:rFonts w:ascii="黑体" w:eastAsia="黑体"/>
        </w:rPr>
      </w:pPr>
      <w:bookmarkStart w:id="82" w:name="_Toc79163622"/>
      <w:bookmarkStart w:id="83" w:name="_Toc15396610"/>
      <w:bookmarkStart w:id="84" w:name="_Toc79163872"/>
      <w:bookmarkStart w:id="85" w:name="_Toc15377218"/>
      <w:r>
        <w:rPr>
          <w:rFonts w:hint="eastAsia" w:ascii="黑体" w:eastAsia="黑体"/>
          <w:color w:val="000000"/>
          <w:sz w:val="32"/>
          <w:szCs w:val="32"/>
        </w:rPr>
        <w:t>八、</w:t>
      </w:r>
      <w:r>
        <w:rPr>
          <w:rStyle w:val="23"/>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2021年政府性基金预算拨款支出0万元。</w:t>
      </w:r>
    </w:p>
    <w:p>
      <w:pPr>
        <w:numPr>
          <w:ilvl w:val="0"/>
          <w:numId w:val="2"/>
        </w:numPr>
        <w:spacing w:line="600" w:lineRule="exact"/>
        <w:ind w:firstLine="640"/>
        <w:outlineLvl w:val="1"/>
        <w:rPr>
          <w:rStyle w:val="23"/>
          <w:rFonts w:ascii="黑体" w:eastAsia="黑体"/>
          <w:b w:val="0"/>
        </w:rPr>
      </w:pPr>
      <w:bookmarkStart w:id="86" w:name="_Toc79163623"/>
      <w:bookmarkStart w:id="87" w:name="_Toc79163873"/>
      <w:bookmarkStart w:id="88" w:name="_Toc15396611"/>
      <w:bookmarkStart w:id="89" w:name="_Toc15377219"/>
      <w:r>
        <w:rPr>
          <w:rStyle w:val="23"/>
          <w:rFonts w:hint="eastAsia" w:ascii="黑体" w:eastAsia="黑体"/>
          <w:b w:val="0"/>
        </w:rPr>
        <w:t>国有资本经营预算支出决算情况说明</w:t>
      </w:r>
      <w:bookmarkEnd w:id="86"/>
      <w:bookmarkEnd w:id="87"/>
      <w:bookmarkEnd w:id="88"/>
      <w:bookmarkEnd w:id="89"/>
      <w:r>
        <w:rPr>
          <w:rStyle w:val="23"/>
          <w:rFonts w:hint="eastAsia" w:ascii="黑体" w:eastAsia="黑体"/>
          <w:b w:val="0"/>
        </w:rPr>
        <w:t xml:space="preserve">    </w:t>
      </w:r>
    </w:p>
    <w:p>
      <w:pPr>
        <w:spacing w:line="600" w:lineRule="exact"/>
        <w:ind w:left="640"/>
        <w:outlineLvl w:val="1"/>
        <w:rPr>
          <w:rFonts w:ascii="黑体" w:hAnsi="Cambria" w:eastAsia="黑体"/>
          <w:bCs/>
          <w:sz w:val="32"/>
          <w:szCs w:val="32"/>
        </w:rPr>
      </w:pPr>
      <w:r>
        <w:rPr>
          <w:rFonts w:ascii="仿宋" w:hAnsi="仿宋" w:eastAsia="仿宋"/>
          <w:color w:val="000000"/>
          <w:sz w:val="32"/>
          <w:szCs w:val="32"/>
        </w:rPr>
        <w:t>202</w:t>
      </w:r>
      <w:r>
        <w:rPr>
          <w:rFonts w:hint="eastAsia" w:ascii="仿宋" w:hAnsi="仿宋" w:eastAsia="仿宋"/>
          <w:color w:val="000000"/>
          <w:sz w:val="32"/>
          <w:szCs w:val="32"/>
        </w:rPr>
        <w:t>1年国有资本经营预算拨款支出0万元。</w:t>
      </w:r>
    </w:p>
    <w:p>
      <w:pPr>
        <w:spacing w:line="600" w:lineRule="exact"/>
        <w:ind w:firstLine="640" w:firstLineChars="200"/>
        <w:outlineLvl w:val="1"/>
        <w:rPr>
          <w:rStyle w:val="23"/>
          <w:rFonts w:ascii="黑体" w:eastAsia="黑体"/>
        </w:rPr>
      </w:pPr>
      <w:bookmarkStart w:id="90" w:name="_Toc15396612"/>
      <w:bookmarkStart w:id="91" w:name="_Toc15377221"/>
      <w:bookmarkStart w:id="92" w:name="_Toc79163624"/>
      <w:bookmarkStart w:id="93" w:name="_Toc79163874"/>
      <w:r>
        <w:rPr>
          <w:rFonts w:hint="eastAsia" w:ascii="黑体" w:eastAsia="黑体"/>
          <w:color w:val="000000"/>
          <w:sz w:val="32"/>
          <w:szCs w:val="32"/>
        </w:rPr>
        <w:t>十</w:t>
      </w:r>
      <w:r>
        <w:rPr>
          <w:rStyle w:val="23"/>
          <w:rFonts w:hint="eastAsia" w:ascii="黑体" w:eastAsia="黑体"/>
        </w:rPr>
        <w:t>、</w:t>
      </w:r>
      <w:r>
        <w:rPr>
          <w:rStyle w:val="23"/>
          <w:rFonts w:hint="eastAsia" w:ascii="黑体" w:eastAsia="黑体"/>
          <w:b w:val="0"/>
        </w:rPr>
        <w:t>其他重要事项的情况说明</w:t>
      </w:r>
      <w:bookmarkEnd w:id="90"/>
      <w:bookmarkEnd w:id="91"/>
      <w:bookmarkEnd w:id="92"/>
      <w:bookmarkEnd w:id="93"/>
    </w:p>
    <w:p>
      <w:p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rPr>
        <w:t>（一）机关运行经费支出情况</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1年妇幼保健计划生育服务中心机关运行经费支出0万元。</w:t>
      </w:r>
    </w:p>
    <w:p>
      <w:pPr>
        <w:autoSpaceDE w:val="0"/>
        <w:autoSpaceDN w:val="0"/>
        <w:adjustRightInd w:val="0"/>
        <w:spacing w:line="600" w:lineRule="exact"/>
        <w:ind w:firstLine="640" w:firstLineChars="200"/>
        <w:jc w:val="left"/>
        <w:outlineLvl w:val="2"/>
        <w:rPr>
          <w:rFonts w:ascii="仿宋" w:hAnsi="仿宋" w:eastAsia="仿宋"/>
          <w:color w:val="000000"/>
          <w:sz w:val="32"/>
          <w:szCs w:val="32"/>
        </w:rPr>
      </w:pPr>
      <w:r>
        <w:rPr>
          <w:rFonts w:hint="eastAsia" w:ascii="仿宋" w:hAnsi="仿宋" w:eastAsia="仿宋"/>
          <w:color w:val="000000"/>
          <w:sz w:val="32"/>
          <w:szCs w:val="32"/>
        </w:rPr>
        <w:t>（二）政府采购支出情况</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w:t>
      </w:r>
      <w:r>
        <w:rPr>
          <w:rFonts w:hint="eastAsia" w:ascii="仿宋" w:hAnsi="仿宋" w:eastAsia="仿宋" w:cs="仿宋_GB2312"/>
          <w:bCs/>
          <w:color w:val="000000"/>
          <w:sz w:val="32"/>
          <w:szCs w:val="32"/>
        </w:rPr>
        <w:t>妇幼保健计划生育服务中心</w:t>
      </w:r>
      <w:r>
        <w:rPr>
          <w:rFonts w:hint="eastAsia" w:ascii="仿宋" w:hAnsi="仿宋" w:eastAsia="仿宋"/>
          <w:color w:val="000000"/>
          <w:sz w:val="32"/>
          <w:szCs w:val="32"/>
        </w:rPr>
        <w:t>政府采购支出总额0万元。</w:t>
      </w:r>
    </w:p>
    <w:p>
      <w:pPr>
        <w:autoSpaceDE w:val="0"/>
        <w:autoSpaceDN w:val="0"/>
        <w:adjustRightInd w:val="0"/>
        <w:spacing w:line="600" w:lineRule="exact"/>
        <w:ind w:firstLine="640" w:firstLineChars="200"/>
        <w:jc w:val="left"/>
        <w:outlineLvl w:val="2"/>
        <w:rPr>
          <w:rFonts w:ascii="仿宋" w:hAnsi="仿宋" w:eastAsia="仿宋"/>
          <w:color w:val="000000"/>
          <w:sz w:val="32"/>
          <w:szCs w:val="32"/>
        </w:rPr>
      </w:pPr>
      <w:r>
        <w:rPr>
          <w:rFonts w:hint="eastAsia" w:ascii="仿宋" w:hAnsi="仿宋" w:eastAsia="仿宋"/>
          <w:color w:val="000000"/>
          <w:sz w:val="32"/>
          <w:szCs w:val="32"/>
        </w:rPr>
        <w:t>（三）国有资产占有使用情况</w:t>
      </w:r>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202</w:t>
      </w:r>
      <w:r>
        <w:rPr>
          <w:rFonts w:hint="eastAsia" w:ascii="仿宋" w:hAnsi="仿宋" w:eastAsia="仿宋"/>
          <w:color w:val="000000"/>
          <w:sz w:val="32"/>
          <w:szCs w:val="32"/>
        </w:rPr>
        <w:t>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日，妇幼保健计划生育服务中心共有车辆4辆，其中：主要领导干部用车0辆、机要通信用车0辆、应急保障用车4辆、其他用车0辆，单价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autoSpaceDE w:val="0"/>
        <w:autoSpaceDN w:val="0"/>
        <w:adjustRightInd w:val="0"/>
        <w:spacing w:line="600" w:lineRule="exact"/>
        <w:ind w:firstLine="640" w:firstLineChars="200"/>
        <w:jc w:val="left"/>
        <w:outlineLvl w:val="2"/>
        <w:rPr>
          <w:rFonts w:ascii="仿宋" w:hAnsi="仿宋" w:eastAsia="仿宋"/>
          <w:color w:val="000000"/>
          <w:sz w:val="32"/>
          <w:szCs w:val="32"/>
        </w:rPr>
      </w:pPr>
      <w:r>
        <w:rPr>
          <w:rFonts w:hint="eastAsia" w:ascii="仿宋" w:hAnsi="仿宋" w:eastAsia="仿宋"/>
          <w:color w:val="000000"/>
          <w:sz w:val="32"/>
          <w:szCs w:val="32"/>
        </w:rPr>
        <w:t>（四）预算绩效管理情况</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根据预算绩效管理要求，本单位在年初预算编制阶段，组织对5项目（“预防艾滋病、梅毒和乙肝的母婴传播项目”、“两癌筛查”、“ 计划生育技术服务”、“自愿免费婚检项目”、“免费孕前优生健康检查”）开展了预算事前绩效评估，对5个项目编制了绩效目标，预算执行过程中，选取5个项目开展绩效监控，年终执行完毕后，对5个项目开展了绩效目标完成情况自评。</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w:t>
      </w:r>
      <w:r>
        <w:rPr>
          <w:rFonts w:hint="eastAsia" w:ascii="仿宋" w:hAnsi="仿宋" w:eastAsia="仿宋" w:cs="仿宋_GB2312"/>
          <w:sz w:val="32"/>
          <w:szCs w:val="32"/>
        </w:rPr>
        <w:t>1年部门整体支出开展绩效自评，从评价情况来看我单位整体支出绩效评价自查自评结果良好，全年基本支出保证了部门的正常运行和日常工作的正常开展，项目支出保障了重点工作的开展，绩效目标得到较好实现。</w:t>
      </w:r>
    </w:p>
    <w:p>
      <w:pPr>
        <w:spacing w:line="600" w:lineRule="exact"/>
        <w:ind w:firstLine="640" w:firstLineChars="200"/>
        <w:rPr>
          <w:rFonts w:ascii="仿宋" w:hAnsi="仿宋" w:eastAsia="仿宋" w:cs="仿宋_GB2312"/>
          <w:sz w:val="32"/>
          <w:szCs w:val="32"/>
        </w:rPr>
      </w:pPr>
      <w:r>
        <w:rPr>
          <w:rFonts w:ascii="仿宋" w:hAnsi="仿宋" w:eastAsia="仿宋" w:cs="楷体_GB2312"/>
          <w:sz w:val="32"/>
          <w:szCs w:val="32"/>
        </w:rPr>
        <w:t>1.</w:t>
      </w:r>
      <w:r>
        <w:rPr>
          <w:rFonts w:hint="eastAsia" w:ascii="仿宋" w:hAnsi="仿宋" w:eastAsia="仿宋" w:cs="楷体_GB2312"/>
          <w:sz w:val="32"/>
          <w:szCs w:val="32"/>
        </w:rPr>
        <w:t>项目绩效目标完成情况</w:t>
      </w:r>
      <w:r>
        <w:rPr>
          <w:rFonts w:ascii="仿宋" w:hAnsi="仿宋" w:eastAsia="仿宋" w:cs="楷体_GB2312"/>
          <w:sz w:val="32"/>
          <w:szCs w:val="32"/>
        </w:rPr>
        <w:br w:type="textWrapping"/>
      </w:r>
      <w:r>
        <w:rPr>
          <w:rFonts w:hint="eastAsia" w:ascii="仿宋" w:hAnsi="仿宋" w:eastAsia="仿宋" w:cs="仿宋_GB2312"/>
          <w:sz w:val="32"/>
          <w:szCs w:val="32"/>
        </w:rPr>
        <w:t>（1）“预防艾滋病、梅毒和乙肝的母婴传播项目”绩效目标完成情况综述。项目全年预算数0万元，执行数为31.43万元，完成预算的100%。通过项目实施，进行</w:t>
      </w:r>
      <w:r>
        <w:rPr>
          <w:rFonts w:hint="eastAsia" w:ascii="仿宋" w:hAnsi="仿宋" w:eastAsia="仿宋"/>
          <w:color w:val="000000"/>
          <w:sz w:val="32"/>
          <w:szCs w:val="32"/>
        </w:rPr>
        <w:t>产前筛查，</w:t>
      </w:r>
      <w:r>
        <w:rPr>
          <w:rFonts w:hint="eastAsia" w:ascii="仿宋" w:hAnsi="仿宋" w:eastAsia="仿宋" w:cs="仿宋_GB2312"/>
          <w:sz w:val="32"/>
          <w:szCs w:val="32"/>
        </w:rPr>
        <w:t>能有效</w:t>
      </w:r>
      <w:r>
        <w:rPr>
          <w:rFonts w:hint="eastAsia" w:ascii="仿宋" w:hAnsi="仿宋" w:eastAsia="仿宋"/>
          <w:color w:val="000000"/>
          <w:sz w:val="32"/>
          <w:szCs w:val="32"/>
        </w:rPr>
        <w:t>预防 “艾滋、梅毒、乙肝”母婴传播，并</w:t>
      </w:r>
      <w:r>
        <w:rPr>
          <w:rFonts w:hint="eastAsia" w:ascii="仿宋" w:hAnsi="仿宋" w:eastAsia="仿宋" w:cs="仿宋_GB2312"/>
          <w:sz w:val="32"/>
          <w:szCs w:val="32"/>
        </w:rPr>
        <w:t>对感染者和病人进行随访管理。发现的主要问题：群众对健康生活方式的知晓率还有待提高。下一步改进措施：加大宣传力度，采取多种方式宣传。</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（2）“两癌筛查项目”绩效目标完成情况综述。项目全年预算数0万元，执行数为17.92万元，完成预算的100%。通过项目实施，</w:t>
      </w:r>
      <w:r>
        <w:rPr>
          <w:rFonts w:hint="eastAsia" w:ascii="仿宋" w:hAnsi="仿宋" w:eastAsia="仿宋"/>
          <w:sz w:val="32"/>
          <w:szCs w:val="32"/>
        </w:rPr>
        <w:t>对1400人进行</w:t>
      </w:r>
      <w:r>
        <w:rPr>
          <w:rFonts w:ascii="仿宋" w:hAnsi="仿宋" w:eastAsia="仿宋"/>
          <w:sz w:val="32"/>
          <w:szCs w:val="32"/>
        </w:rPr>
        <w:t>“两癌”</w:t>
      </w:r>
      <w:r>
        <w:rPr>
          <w:rFonts w:hint="eastAsia" w:ascii="仿宋" w:hAnsi="仿宋" w:eastAsia="仿宋"/>
          <w:sz w:val="32"/>
          <w:szCs w:val="32"/>
        </w:rPr>
        <w:t>筛查，</w:t>
      </w:r>
      <w:r>
        <w:rPr>
          <w:rFonts w:hint="eastAsia" w:ascii="仿宋" w:hAnsi="仿宋" w:eastAsia="仿宋" w:cs="仿宋_GB2312"/>
          <w:sz w:val="32"/>
          <w:szCs w:val="32"/>
        </w:rPr>
        <w:t>及早发现和防治危害广大妇女身心健康的宫颈癌和乳腺癌，对助推农村贫困患病妇女脱贫具有重大意义。发现的主要问题：群众对健康生活方式的知晓率还有待提高。下一步改进措施：下一步将加大宣传力度，采取多种方式宣传。</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（3）“计划生育技术服务”项目绩效目标完成情况综述。项目全年预算数0万元，执行数为2.79万元，完成预算的100%。通过项目实施，对需方提供计划生育技术服务，如安环、取环，人流，三查。</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4）“自愿免费婚检项目”项目绩效目标完成情况综述。项目全年预算数1.68万元，执行数为8.25万元，完成预算的100%。通过项目实施，为适龄男女提供免费婚前检查。发现的主要问题：部分人群对婚前检查不重视。下一步改进措施：加大宣传力度，提高适龄男女对婚前检查的重视。</w:t>
      </w:r>
    </w:p>
    <w:p>
      <w:pPr>
        <w:spacing w:line="600" w:lineRule="exact"/>
        <w:ind w:firstLine="640" w:firstLineChars="200"/>
        <w:outlineLvl w:val="2"/>
        <w:rPr>
          <w:rFonts w:ascii="仿宋" w:eastAsia="仿宋"/>
          <w:color w:val="000000"/>
          <w:sz w:val="32"/>
          <w:szCs w:val="32"/>
        </w:rPr>
      </w:pPr>
      <w:r>
        <w:rPr>
          <w:rFonts w:hint="eastAsia" w:ascii="仿宋" w:hAnsi="仿宋" w:eastAsia="仿宋" w:cs="仿宋_GB2312"/>
          <w:sz w:val="32"/>
          <w:szCs w:val="32"/>
        </w:rPr>
        <w:t>（5）“免费孕前优生健康检查”项目绩效目标完成情况综述。项目全年预算数0万元，执行数为8.03万元，完成预算的100%。通过项目实施，提供免费孕前优生健康检查，提高了出生人口素质，降低婴儿死亡率和出生缺陷发生率。</w:t>
      </w:r>
    </w:p>
    <w:p>
      <w:pPr>
        <w:spacing w:line="360" w:lineRule="auto"/>
        <w:ind w:firstLine="722" w:firstLineChars="200"/>
        <w:jc w:val="center"/>
        <w:rPr>
          <w:rFonts w:ascii="仿宋_GB2312" w:eastAsia="仿宋_GB2312" w:cs="仿宋_GB2312"/>
          <w:sz w:val="32"/>
          <w:szCs w:val="32"/>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58"/>
        <w:gridCol w:w="999"/>
        <w:gridCol w:w="1025"/>
        <w:gridCol w:w="2392"/>
        <w:gridCol w:w="2394"/>
        <w:gridCol w:w="2392"/>
      </w:tblGrid>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sz w:val="24"/>
              </w:rPr>
              <w:t>预防艾滋病、梅毒和乙肝的母婴传播项目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bCs/>
                <w:color w:val="000000"/>
                <w:sz w:val="24"/>
              </w:rPr>
              <w:t>妇幼保健计划生育服务中心</w:t>
            </w:r>
          </w:p>
        </w:tc>
      </w:tr>
      <w:tr>
        <w:tblPrEx>
          <w:tblCellMar>
            <w:top w:w="0" w:type="dxa"/>
            <w:left w:w="0" w:type="dxa"/>
            <w:bottom w:w="0" w:type="dxa"/>
            <w:right w:w="0" w:type="dxa"/>
          </w:tblCellMar>
        </w:tblPrEx>
        <w:trPr>
          <w:trHeight w:val="434" w:hRule="atLeast"/>
          <w:jc w:val="center"/>
        </w:trPr>
        <w:tc>
          <w:tcPr>
            <w:tcW w:w="7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ascii="宋体" w:hAnsi="宋体" w:cs="宋体"/>
                <w:sz w:val="24"/>
              </w:rPr>
              <w:t>31.43</w:t>
            </w:r>
          </w:p>
        </w:tc>
      </w:tr>
      <w:tr>
        <w:tblPrEx>
          <w:tblCellMar>
            <w:top w:w="0" w:type="dxa"/>
            <w:left w:w="0" w:type="dxa"/>
            <w:bottom w:w="0" w:type="dxa"/>
            <w:right w:w="0" w:type="dxa"/>
          </w:tblCellMar>
        </w:tblPrEx>
        <w:trPr>
          <w:trHeight w:val="276"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宋体" w:hAnsi="宋体" w:cs="宋体"/>
                <w:color w:val="000000"/>
                <w:sz w:val="24"/>
              </w:rPr>
            </w:pPr>
          </w:p>
        </w:tc>
        <w:tc>
          <w:tcPr>
            <w:tcW w:w="20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ascii="宋体" w:hAnsi="宋体" w:cs="宋体"/>
                <w:color w:val="000000"/>
                <w:sz w:val="24"/>
              </w:rPr>
              <w:t>31.43</w:t>
            </w:r>
          </w:p>
        </w:tc>
      </w:tr>
      <w:tr>
        <w:tblPrEx>
          <w:tblCellMar>
            <w:top w:w="0" w:type="dxa"/>
            <w:left w:w="0" w:type="dxa"/>
            <w:bottom w:w="0" w:type="dxa"/>
            <w:right w:w="0" w:type="dxa"/>
          </w:tblCellMar>
        </w:tblPrEx>
        <w:trPr>
          <w:trHeight w:val="90"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宋体" w:hAnsi="宋体" w:cs="宋体"/>
                <w:color w:val="000000"/>
                <w:sz w:val="24"/>
              </w:rPr>
            </w:pPr>
          </w:p>
        </w:tc>
        <w:tc>
          <w:tcPr>
            <w:tcW w:w="202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宋体" w:hAnsi="宋体" w:cs="宋体"/>
                <w:color w:val="000000"/>
                <w:sz w:val="24"/>
              </w:rPr>
            </w:pPr>
          </w:p>
        </w:tc>
        <w:tc>
          <w:tcPr>
            <w:tcW w:w="44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3"/>
              </w:numPr>
              <w:spacing w:line="360" w:lineRule="auto"/>
              <w:jc w:val="center"/>
              <w:textAlignment w:val="center"/>
              <w:rPr>
                <w:rFonts w:ascii="宋体" w:hAnsi="宋体" w:cs="宋体"/>
                <w:color w:val="000000"/>
                <w:sz w:val="24"/>
              </w:rPr>
            </w:pPr>
            <w:r>
              <w:rPr>
                <w:rFonts w:hint="eastAsia" w:ascii="宋体" w:hAnsi="宋体" w:cs="宋体"/>
                <w:color w:val="000000"/>
                <w:sz w:val="24"/>
              </w:rPr>
              <w:t>做好艾滋病监测、监测。</w:t>
            </w:r>
          </w:p>
          <w:p>
            <w:pPr>
              <w:widowControl/>
              <w:numPr>
                <w:ilvl w:val="0"/>
                <w:numId w:val="3"/>
              </w:numPr>
              <w:spacing w:line="360" w:lineRule="auto"/>
              <w:jc w:val="center"/>
              <w:textAlignment w:val="center"/>
              <w:rPr>
                <w:rFonts w:ascii="宋体" w:hAnsi="宋体" w:cs="宋体"/>
                <w:color w:val="000000"/>
                <w:sz w:val="24"/>
              </w:rPr>
            </w:pPr>
            <w:r>
              <w:rPr>
                <w:rFonts w:hint="eastAsia" w:ascii="宋体" w:hAnsi="宋体" w:cs="宋体"/>
                <w:color w:val="000000"/>
                <w:sz w:val="24"/>
              </w:rPr>
              <w:t>开展艾滋病毒感染者随访工作</w:t>
            </w:r>
          </w:p>
          <w:p>
            <w:pPr>
              <w:widowControl/>
              <w:numPr>
                <w:ilvl w:val="0"/>
                <w:numId w:val="3"/>
              </w:numPr>
              <w:spacing w:line="360" w:lineRule="auto"/>
              <w:jc w:val="center"/>
              <w:textAlignment w:val="center"/>
              <w:rPr>
                <w:rFonts w:ascii="宋体" w:hAnsi="宋体" w:cs="宋体"/>
                <w:color w:val="000000"/>
                <w:sz w:val="24"/>
              </w:rPr>
            </w:pPr>
            <w:r>
              <w:rPr>
                <w:rFonts w:hint="eastAsia" w:ascii="宋体" w:hAnsi="宋体" w:cs="宋体"/>
                <w:color w:val="000000"/>
                <w:sz w:val="24"/>
              </w:rPr>
              <w:t>预防母婴传播</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孕产妇艾滋、梅毒、乙肝检测，管理乙肝阳性产妇所生新生儿，注射乙肝免疫球蛋白接种比例100%。</w:t>
            </w:r>
          </w:p>
        </w:tc>
      </w:tr>
      <w:tr>
        <w:tblPrEx>
          <w:tblCellMar>
            <w:top w:w="0" w:type="dxa"/>
            <w:left w:w="0" w:type="dxa"/>
            <w:bottom w:w="0" w:type="dxa"/>
            <w:right w:w="0" w:type="dxa"/>
          </w:tblCellMar>
        </w:tblPrEx>
        <w:trPr>
          <w:trHeight w:val="953"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艾滋、梅毒、乙肝检测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孕产妇孕（12+6周）早期检测率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85%</w:t>
            </w:r>
          </w:p>
        </w:tc>
      </w:tr>
      <w:tr>
        <w:tblPrEx>
          <w:tblCellMar>
            <w:top w:w="0" w:type="dxa"/>
            <w:left w:w="0" w:type="dxa"/>
            <w:bottom w:w="0" w:type="dxa"/>
            <w:right w:w="0" w:type="dxa"/>
          </w:tblCellMar>
        </w:tblPrEx>
        <w:trPr>
          <w:trHeight w:val="1297"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乙肝阳性产妇所生新生儿，注射乙肝免疫球蛋白接种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乙肝阳性产妇所生新生儿，注射乙肝免疫球蛋白接种比例</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管理艾滋病、梅毒、乙肝阳性孕产妇新生儿</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满18月龄儿童艾滋病抗体检测率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297" w:hRule="atLeast"/>
          <w:jc w:val="center"/>
        </w:trPr>
        <w:tc>
          <w:tcPr>
            <w:tcW w:w="758" w:type="dxa"/>
            <w:vMerge w:val="continue"/>
            <w:tcBorders>
              <w:left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9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ind w:left="630"/>
        <w:rPr>
          <w:rFonts w:ascii="仿宋_GB2312" w:hAnsi="仿宋_GB2312" w:eastAsia="仿宋_GB2312" w:cs="仿宋_GB2312"/>
          <w:sz w:val="32"/>
          <w:szCs w:val="32"/>
        </w:rPr>
      </w:pPr>
    </w:p>
    <w:p>
      <w:pPr>
        <w:spacing w:line="360" w:lineRule="auto"/>
        <w:ind w:firstLine="722" w:firstLineChars="200"/>
        <w:jc w:val="center"/>
        <w:rPr>
          <w:rFonts w:ascii="仿宋_GB2312" w:eastAsia="仿宋_GB2312" w:cs="仿宋_GB2312"/>
          <w:sz w:val="32"/>
          <w:szCs w:val="32"/>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两癌筛查</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妇幼保健计划生育服务中心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17.92</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17.92</w:t>
            </w:r>
          </w:p>
        </w:tc>
      </w:tr>
      <w:tr>
        <w:tblPrEx>
          <w:tblCellMar>
            <w:top w:w="0" w:type="dxa"/>
            <w:left w:w="0" w:type="dxa"/>
            <w:bottom w:w="0" w:type="dxa"/>
            <w:right w:w="0" w:type="dxa"/>
          </w:tblCellMar>
        </w:tblPrEx>
        <w:trPr>
          <w:trHeight w:val="39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4"/>
              </w:numPr>
              <w:jc w:val="center"/>
              <w:textAlignment w:val="center"/>
              <w:rPr>
                <w:rFonts w:ascii="宋体" w:hAnsi="宋体" w:cs="宋体"/>
                <w:color w:val="000000"/>
                <w:sz w:val="24"/>
              </w:rPr>
            </w:pPr>
            <w:r>
              <w:rPr>
                <w:rFonts w:hint="eastAsia" w:ascii="宋体" w:hAnsi="宋体" w:cs="宋体"/>
                <w:color w:val="000000"/>
                <w:sz w:val="24"/>
              </w:rPr>
              <w:t>为妇女提供免费宫颈癌、乳腺癌检查</w:t>
            </w:r>
          </w:p>
          <w:p>
            <w:pPr>
              <w:widowControl/>
              <w:numPr>
                <w:ilvl w:val="0"/>
                <w:numId w:val="4"/>
              </w:numPr>
              <w:jc w:val="center"/>
              <w:textAlignment w:val="center"/>
              <w:rPr>
                <w:rFonts w:ascii="宋体" w:hAnsi="宋体" w:cs="宋体"/>
                <w:color w:val="000000"/>
                <w:sz w:val="24"/>
              </w:rPr>
            </w:pPr>
            <w:r>
              <w:rPr>
                <w:rFonts w:hint="eastAsia" w:ascii="宋体" w:hAnsi="宋体" w:cs="宋体"/>
                <w:color w:val="000000"/>
                <w:sz w:val="24"/>
              </w:rPr>
              <w:t>提高重点人群对宫颈癌、乳腺癌知晓率</w:t>
            </w:r>
          </w:p>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完成妇女宫颈癌、乳腺癌检查1400人次</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完成两癌筛查人次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完成两癌筛查人次1000人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完成两癌筛查人次1400人</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提高重点人群对宫颈癌、乳腺癌的知晓</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提高重点人群对宫颈癌、乳腺癌的知晓</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提高重点人群对宫颈癌、乳腺癌的知晓</w:t>
            </w:r>
          </w:p>
        </w:tc>
      </w:tr>
      <w:tr>
        <w:tblPrEx>
          <w:tblCellMar>
            <w:top w:w="0" w:type="dxa"/>
            <w:left w:w="0" w:type="dxa"/>
            <w:bottom w:w="0" w:type="dxa"/>
            <w:right w:w="0" w:type="dxa"/>
          </w:tblCellMar>
        </w:tblPrEx>
        <w:trPr>
          <w:trHeight w:val="1297"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jc w:val="center"/>
        <w:rPr>
          <w:rFonts w:ascii="仿宋_GB2312" w:hAnsi="仿宋_GB2312" w:eastAsia="仿宋_GB2312" w:cs="仿宋_GB2312"/>
          <w:sz w:val="32"/>
          <w:szCs w:val="32"/>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计划生育技术服务</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2.79</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2.79</w:t>
            </w:r>
          </w:p>
        </w:tc>
      </w:tr>
      <w:tr>
        <w:tblPrEx>
          <w:tblCellMar>
            <w:top w:w="0" w:type="dxa"/>
            <w:left w:w="0" w:type="dxa"/>
            <w:bottom w:w="0" w:type="dxa"/>
            <w:right w:w="0" w:type="dxa"/>
          </w:tblCellMar>
        </w:tblPrEx>
        <w:trPr>
          <w:trHeight w:val="34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5"/>
              </w:numPr>
              <w:jc w:val="center"/>
              <w:textAlignment w:val="center"/>
              <w:rPr>
                <w:rFonts w:ascii="宋体" w:hAnsi="宋体" w:cs="宋体"/>
                <w:bCs/>
                <w:color w:val="000000"/>
                <w:sz w:val="24"/>
              </w:rPr>
            </w:pPr>
            <w:r>
              <w:rPr>
                <w:rFonts w:hint="eastAsia" w:ascii="宋体" w:hAnsi="宋体" w:cs="宋体"/>
                <w:bCs/>
                <w:color w:val="000000"/>
                <w:sz w:val="24"/>
              </w:rPr>
              <w:t>为妇女提供查孕、查环、查病服务</w:t>
            </w:r>
          </w:p>
          <w:p>
            <w:pPr>
              <w:widowControl/>
              <w:numPr>
                <w:ilvl w:val="0"/>
                <w:numId w:val="5"/>
              </w:numPr>
              <w:jc w:val="center"/>
              <w:textAlignment w:val="center"/>
              <w:rPr>
                <w:rFonts w:ascii="宋体" w:hAnsi="宋体" w:cs="宋体"/>
                <w:bCs/>
                <w:color w:val="000000"/>
                <w:sz w:val="24"/>
              </w:rPr>
            </w:pPr>
            <w:r>
              <w:rPr>
                <w:rFonts w:hint="eastAsia" w:ascii="宋体" w:hAnsi="宋体" w:cs="宋体"/>
                <w:bCs/>
                <w:color w:val="000000"/>
                <w:sz w:val="24"/>
              </w:rPr>
              <w:t>对需方提供计划生育技术服务，如安环、取环，人流</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312"/>
              </w:tabs>
              <w:textAlignment w:val="center"/>
              <w:rPr>
                <w:rFonts w:ascii="宋体" w:hAnsi="宋体" w:cs="宋体"/>
                <w:bCs/>
                <w:color w:val="000000"/>
                <w:sz w:val="24"/>
              </w:rPr>
            </w:pPr>
            <w:r>
              <w:rPr>
                <w:rFonts w:hint="eastAsia" w:ascii="宋体" w:hAnsi="宋体" w:cs="宋体"/>
                <w:bCs/>
                <w:color w:val="000000"/>
                <w:sz w:val="24"/>
              </w:rPr>
              <w:t>为妇女提供查孕、查环、查病服务</w:t>
            </w:r>
          </w:p>
          <w:p>
            <w:pPr>
              <w:widowControl/>
              <w:jc w:val="left"/>
              <w:textAlignment w:val="center"/>
              <w:rPr>
                <w:rFonts w:ascii="宋体" w:hAnsi="宋体" w:cs="宋体"/>
                <w:color w:val="000000"/>
                <w:sz w:val="24"/>
              </w:rPr>
            </w:pPr>
            <w:r>
              <w:rPr>
                <w:rFonts w:hint="eastAsia" w:ascii="宋体" w:hAnsi="宋体" w:cs="宋体"/>
                <w:bCs/>
                <w:color w:val="000000"/>
                <w:sz w:val="24"/>
              </w:rPr>
              <w:t>对需方提供计划生育技术服务，如安环、取环，人流</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w:t>
            </w:r>
          </w:p>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对需方提供计划生育技术服务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对需方提供计划生育技术服务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人流，安环、取环</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对需方提供计划生育技术服务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为育龄妇女查孕、查环、查病、安环、取环、人流</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Cs/>
                <w:color w:val="000000"/>
                <w:sz w:val="24"/>
              </w:rPr>
            </w:pPr>
            <w:r>
              <w:rPr>
                <w:rFonts w:hint="eastAsia" w:ascii="宋体" w:hAnsi="宋体" w:cs="宋体"/>
                <w:bCs/>
                <w:color w:val="000000"/>
                <w:sz w:val="24"/>
              </w:rPr>
              <w:t>为育龄妇女查孕、查环、查病、安环、取环、人流</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7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ind w:left="630"/>
        <w:rPr>
          <w:rFonts w:ascii="仿宋_GB2312" w:hAnsi="仿宋_GB2312" w:eastAsia="仿宋_GB2312" w:cs="仿宋_GB2312"/>
          <w:sz w:val="32"/>
          <w:szCs w:val="32"/>
        </w:rPr>
      </w:pPr>
    </w:p>
    <w:p>
      <w:pPr>
        <w:spacing w:line="580" w:lineRule="exact"/>
        <w:ind w:left="630"/>
        <w:jc w:val="center"/>
        <w:rPr>
          <w:rFonts w:ascii="仿宋_GB2312" w:hAnsi="仿宋_GB2312" w:eastAsia="仿宋_GB2312" w:cs="仿宋_GB2312"/>
          <w:sz w:val="32"/>
          <w:szCs w:val="32"/>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自愿免费婚检项目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妇幼保健计划生育服务中心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8.25</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8.25</w:t>
            </w:r>
          </w:p>
        </w:tc>
      </w:tr>
      <w:tr>
        <w:tblPrEx>
          <w:tblCellMar>
            <w:top w:w="0" w:type="dxa"/>
            <w:left w:w="0" w:type="dxa"/>
            <w:bottom w:w="0" w:type="dxa"/>
            <w:right w:w="0" w:type="dxa"/>
          </w:tblCellMar>
        </w:tblPrEx>
        <w:trPr>
          <w:trHeight w:val="36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6"/>
              </w:numPr>
              <w:jc w:val="center"/>
              <w:textAlignment w:val="center"/>
              <w:rPr>
                <w:rFonts w:ascii="宋体" w:hAnsi="宋体" w:cs="宋体"/>
                <w:color w:val="000000"/>
                <w:sz w:val="24"/>
              </w:rPr>
            </w:pPr>
            <w:r>
              <w:rPr>
                <w:rFonts w:hint="eastAsia" w:ascii="宋体" w:hAnsi="宋体" w:cs="宋体"/>
                <w:color w:val="000000"/>
                <w:sz w:val="24"/>
              </w:rPr>
              <w:t>推广婚前健康检查</w:t>
            </w:r>
          </w:p>
          <w:p>
            <w:pPr>
              <w:widowControl/>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312"/>
              </w:tabs>
              <w:textAlignment w:val="center"/>
              <w:rPr>
                <w:rFonts w:ascii="宋体" w:hAnsi="宋体" w:cs="宋体"/>
                <w:color w:val="000000"/>
                <w:sz w:val="24"/>
              </w:rPr>
            </w:pPr>
            <w:r>
              <w:rPr>
                <w:rFonts w:hint="eastAsia" w:ascii="宋体" w:hAnsi="宋体" w:cs="宋体"/>
                <w:color w:val="000000"/>
                <w:sz w:val="24"/>
              </w:rPr>
              <w:t>推广婚前健康检查，为计划结婚夫妇提供婚前健康检查</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完成婚前健康检查人次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完成婚前健康检查人次300对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完成婚前健康检查人次336对</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推广婚前健康检查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推广婚前健康检查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推广婚前健康检查</w:t>
            </w:r>
          </w:p>
        </w:tc>
      </w:tr>
      <w:tr>
        <w:tblPrEx>
          <w:tblCellMar>
            <w:top w:w="0" w:type="dxa"/>
            <w:left w:w="0" w:type="dxa"/>
            <w:bottom w:w="0" w:type="dxa"/>
            <w:right w:w="0" w:type="dxa"/>
          </w:tblCellMar>
        </w:tblPrEx>
        <w:trPr>
          <w:trHeight w:val="1050" w:hRule="atLeast"/>
          <w:jc w:val="center"/>
        </w:trPr>
        <w:tc>
          <w:tcPr>
            <w:tcW w:w="7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rPr>
          <w:rFonts w:ascii="宋体" w:cs="宋体"/>
          <w:b/>
          <w:bCs/>
          <w:color w:val="000000"/>
          <w:kern w:val="0"/>
          <w:sz w:val="36"/>
          <w:szCs w:val="36"/>
        </w:rPr>
      </w:pPr>
    </w:p>
    <w:p>
      <w:pPr>
        <w:spacing w:line="580" w:lineRule="exact"/>
        <w:ind w:left="630"/>
        <w:jc w:val="center"/>
        <w:rPr>
          <w:rFonts w:ascii="仿宋_GB2312" w:hAnsi="仿宋_GB2312" w:eastAsia="仿宋_GB2312" w:cs="仿宋_GB2312"/>
          <w:sz w:val="32"/>
          <w:szCs w:val="32"/>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73"/>
        <w:gridCol w:w="984"/>
        <w:gridCol w:w="1025"/>
        <w:gridCol w:w="2392"/>
        <w:gridCol w:w="2394"/>
        <w:gridCol w:w="2392"/>
      </w:tblGrid>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 w:val="24"/>
              </w:rPr>
              <w:t>免费孕前优生健康检查</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Cs/>
                <w:color w:val="000000"/>
                <w:sz w:val="24"/>
              </w:rPr>
              <w:t>妇幼保健计划生育服务中心</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8.03</w:t>
            </w:r>
          </w:p>
        </w:tc>
      </w:tr>
      <w:tr>
        <w:tblPrEx>
          <w:tblCellMar>
            <w:top w:w="0" w:type="dxa"/>
            <w:left w:w="0" w:type="dxa"/>
            <w:bottom w:w="0" w:type="dxa"/>
            <w:right w:w="0" w:type="dxa"/>
          </w:tblCellMar>
        </w:tblPrEx>
        <w:trPr>
          <w:trHeight w:val="276"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sz w:val="24"/>
              </w:rPr>
              <w:t>8.03</w:t>
            </w:r>
          </w:p>
        </w:tc>
      </w:tr>
      <w:tr>
        <w:tblPrEx>
          <w:tblCellMar>
            <w:top w:w="0" w:type="dxa"/>
            <w:left w:w="0" w:type="dxa"/>
            <w:bottom w:w="0" w:type="dxa"/>
            <w:right w:w="0" w:type="dxa"/>
          </w:tblCellMar>
        </w:tblPrEx>
        <w:trPr>
          <w:trHeight w:val="36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0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0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7"/>
              </w:numPr>
              <w:jc w:val="center"/>
              <w:textAlignment w:val="center"/>
              <w:rPr>
                <w:rFonts w:ascii="宋体" w:hAnsi="宋体" w:cs="宋体"/>
                <w:color w:val="000000"/>
                <w:sz w:val="24"/>
              </w:rPr>
            </w:pPr>
            <w:r>
              <w:rPr>
                <w:rFonts w:hint="eastAsia" w:ascii="宋体" w:hAnsi="宋体" w:cs="宋体"/>
                <w:color w:val="000000"/>
                <w:sz w:val="24"/>
              </w:rPr>
              <w:t>完成孕前优生健康检查300人</w:t>
            </w:r>
          </w:p>
          <w:p>
            <w:pPr>
              <w:widowControl/>
              <w:numPr>
                <w:ilvl w:val="0"/>
                <w:numId w:val="7"/>
              </w:numPr>
              <w:jc w:val="center"/>
              <w:textAlignment w:val="center"/>
              <w:rPr>
                <w:rFonts w:ascii="宋体" w:hAnsi="宋体" w:cs="宋体"/>
                <w:color w:val="000000"/>
                <w:sz w:val="24"/>
              </w:rPr>
            </w:pPr>
            <w:r>
              <w:rPr>
                <w:rFonts w:hint="eastAsia" w:ascii="宋体" w:hAnsi="宋体" w:cs="宋体"/>
                <w:color w:val="000000"/>
                <w:sz w:val="24"/>
              </w:rPr>
              <w:t>降低新生儿出生缺陷</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完成孕前优生健康检查</w:t>
            </w:r>
            <w:r>
              <w:rPr>
                <w:rFonts w:ascii="宋体" w:hAnsi="宋体" w:cs="宋体"/>
                <w:color w:val="000000"/>
                <w:sz w:val="24"/>
              </w:rPr>
              <w:t>332</w:t>
            </w:r>
            <w:r>
              <w:rPr>
                <w:rFonts w:hint="eastAsia" w:ascii="宋体" w:hAnsi="宋体" w:cs="宋体"/>
                <w:color w:val="000000"/>
                <w:sz w:val="24"/>
              </w:rPr>
              <w:t>人</w:t>
            </w:r>
          </w:p>
        </w:tc>
      </w:tr>
      <w:tr>
        <w:tblPrEx>
          <w:tblCellMar>
            <w:top w:w="0" w:type="dxa"/>
            <w:left w:w="0" w:type="dxa"/>
            <w:bottom w:w="0" w:type="dxa"/>
            <w:right w:w="0" w:type="dxa"/>
          </w:tblCellMar>
        </w:tblPrEx>
        <w:trPr>
          <w:trHeight w:val="1042" w:hRule="atLeast"/>
          <w:jc w:val="center"/>
        </w:trPr>
        <w:tc>
          <w:tcPr>
            <w:tcW w:w="77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完成孕前优生健康检查人次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完成孕前优生健康检查300人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完成孕前优生健康检查</w:t>
            </w:r>
            <w:r>
              <w:rPr>
                <w:rFonts w:hint="eastAsia"/>
              </w:rPr>
              <w:t>300</w:t>
            </w:r>
            <w:r>
              <w:rPr>
                <w:rFonts w:hint="eastAsia" w:ascii="宋体" w:hAnsi="宋体" w:cs="宋体"/>
                <w:color w:val="000000"/>
                <w:sz w:val="24"/>
              </w:rPr>
              <w:t>人</w:t>
            </w:r>
          </w:p>
        </w:tc>
      </w:tr>
      <w:tr>
        <w:tblPrEx>
          <w:tblCellMar>
            <w:top w:w="0" w:type="dxa"/>
            <w:left w:w="0" w:type="dxa"/>
            <w:bottom w:w="0" w:type="dxa"/>
            <w:right w:w="0" w:type="dxa"/>
          </w:tblCellMar>
        </w:tblPrEx>
        <w:trPr>
          <w:trHeight w:val="1042" w:hRule="atLeast"/>
          <w:jc w:val="center"/>
        </w:trPr>
        <w:tc>
          <w:tcPr>
            <w:tcW w:w="77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降低新生儿出生缺陷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降低新生儿出生缺陷</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降低新生儿出生缺陷</w:t>
            </w:r>
          </w:p>
        </w:tc>
      </w:tr>
      <w:tr>
        <w:tblPrEx>
          <w:tblCellMar>
            <w:top w:w="0" w:type="dxa"/>
            <w:left w:w="0" w:type="dxa"/>
            <w:bottom w:w="0" w:type="dxa"/>
            <w:right w:w="0" w:type="dxa"/>
          </w:tblCellMar>
        </w:tblPrEx>
        <w:trPr>
          <w:trHeight w:val="1050" w:hRule="atLeast"/>
          <w:jc w:val="center"/>
        </w:trPr>
        <w:tc>
          <w:tcPr>
            <w:tcW w:w="77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9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受益群众满意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widowControl/>
        <w:ind w:firstLine="640" w:firstLineChars="200"/>
        <w:jc w:val="left"/>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w:t>
      </w:r>
      <w:r>
        <w:rPr>
          <w:rFonts w:hint="eastAsia" w:ascii="仿宋" w:hAnsi="仿宋" w:eastAsia="仿宋" w:cs="仿宋_GB2312"/>
          <w:sz w:val="32"/>
          <w:szCs w:val="32"/>
        </w:rPr>
        <w:t>1年部门整体支出绩效评价情况开展自评，《茂县妇幼保健计划生育服务中心部门</w:t>
      </w:r>
      <w:r>
        <w:rPr>
          <w:rFonts w:ascii="仿宋" w:hAnsi="仿宋" w:eastAsia="仿宋" w:cs="仿宋_GB2312"/>
          <w:sz w:val="32"/>
          <w:szCs w:val="32"/>
        </w:rPr>
        <w:t>202</w:t>
      </w:r>
      <w:r>
        <w:rPr>
          <w:rFonts w:hint="eastAsia" w:ascii="仿宋" w:hAnsi="仿宋" w:eastAsia="仿宋" w:cs="仿宋_GB2312"/>
          <w:sz w:val="32"/>
          <w:szCs w:val="32"/>
        </w:rPr>
        <w:t>1年部门整体支出绩效评价报告》见附件（附件</w:t>
      </w:r>
      <w:r>
        <w:rPr>
          <w:rFonts w:ascii="仿宋" w:hAnsi="仿宋" w:eastAsia="仿宋" w:cs="仿宋_GB2312"/>
          <w:sz w:val="32"/>
          <w:szCs w:val="32"/>
        </w:rPr>
        <w:t>1</w:t>
      </w:r>
      <w:r>
        <w:rPr>
          <w:rFonts w:hint="eastAsia" w:ascii="仿宋" w:hAnsi="仿宋" w:eastAsia="仿宋" w:cs="仿宋_GB2312"/>
          <w:sz w:val="32"/>
          <w:szCs w:val="32"/>
        </w:rPr>
        <w:t>）。</w:t>
      </w:r>
    </w:p>
    <w:p>
      <w:pPr>
        <w:widowControl/>
        <w:jc w:val="left"/>
        <w:rPr>
          <w:rFonts w:ascii="仿宋" w:hAnsi="仿宋" w:eastAsia="仿宋" w:cs="仿宋_GB2312"/>
          <w:sz w:val="32"/>
          <w:szCs w:val="32"/>
        </w:rPr>
      </w:pPr>
      <w:r>
        <w:rPr>
          <w:rFonts w:ascii="仿宋" w:hAnsi="仿宋" w:eastAsia="仿宋" w:cs="仿宋_GB2312"/>
          <w:sz w:val="32"/>
          <w:szCs w:val="32"/>
        </w:rPr>
        <w:br w:type="page"/>
      </w:r>
    </w:p>
    <w:p>
      <w:pPr>
        <w:numPr>
          <w:ilvl w:val="0"/>
          <w:numId w:val="8"/>
        </w:numPr>
        <w:spacing w:line="600" w:lineRule="exact"/>
        <w:ind w:firstLine="660" w:firstLineChars="150"/>
        <w:jc w:val="center"/>
        <w:outlineLvl w:val="0"/>
        <w:rPr>
          <w:rFonts w:ascii="黑体" w:eastAsia="黑体"/>
          <w:bCs/>
          <w:kern w:val="44"/>
          <w:sz w:val="44"/>
          <w:szCs w:val="44"/>
        </w:rPr>
      </w:pPr>
      <w:bookmarkStart w:id="94" w:name="_Toc79163879"/>
      <w:bookmarkStart w:id="95" w:name="_Toc79163629"/>
      <w:bookmarkStart w:id="96" w:name="_Toc15377225"/>
      <w:bookmarkStart w:id="97" w:name="_Toc15396613"/>
      <w:r>
        <w:rPr>
          <w:rFonts w:hint="eastAsia" w:ascii="黑体" w:eastAsia="黑体"/>
          <w:color w:val="000000"/>
          <w:sz w:val="44"/>
          <w:szCs w:val="44"/>
        </w:rPr>
        <w:t>名</w:t>
      </w:r>
      <w:r>
        <w:rPr>
          <w:rStyle w:val="22"/>
          <w:rFonts w:hint="eastAsia" w:ascii="黑体" w:eastAsia="黑体"/>
          <w:b w:val="0"/>
        </w:rPr>
        <w:t>词解释</w:t>
      </w:r>
      <w:bookmarkEnd w:id="94"/>
      <w:bookmarkEnd w:id="95"/>
      <w:bookmarkEnd w:id="96"/>
      <w:bookmarkEnd w:id="97"/>
    </w:p>
    <w:p>
      <w:pPr>
        <w:pStyle w:val="27"/>
        <w:spacing w:line="600" w:lineRule="exact"/>
        <w:ind w:firstLine="640" w:firstLineChars="200"/>
        <w:jc w:val="both"/>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27"/>
        <w:spacing w:line="600" w:lineRule="exact"/>
        <w:ind w:firstLine="640" w:firstLineChars="200"/>
        <w:jc w:val="both"/>
        <w:rPr>
          <w:rFonts w:hAnsi="仿宋"/>
          <w:sz w:val="32"/>
          <w:szCs w:val="32"/>
        </w:rPr>
      </w:pPr>
      <w:r>
        <w:rPr>
          <w:rFonts w:hint="eastAsia" w:hAnsi="仿宋"/>
          <w:sz w:val="32"/>
          <w:szCs w:val="32"/>
        </w:rPr>
        <w:t>3.经营收入：指事业单位在专业业务活动及其辅助活动之外开展非独立核算经营活动取得的收入。</w:t>
      </w:r>
    </w:p>
    <w:p>
      <w:pPr>
        <w:pStyle w:val="27"/>
        <w:spacing w:line="600" w:lineRule="exact"/>
        <w:ind w:firstLine="640" w:firstLineChars="200"/>
        <w:jc w:val="both"/>
        <w:rPr>
          <w:rFonts w:hAnsi="仿宋"/>
          <w:sz w:val="32"/>
          <w:szCs w:val="32"/>
        </w:rPr>
      </w:pPr>
      <w:r>
        <w:rPr>
          <w:rFonts w:hint="eastAsia" w:hAnsi="仿宋"/>
          <w:sz w:val="32"/>
          <w:szCs w:val="32"/>
        </w:rPr>
        <w:t>4.其他收入：指单位取得的除上述收入以外的各项收入。</w:t>
      </w:r>
    </w:p>
    <w:p>
      <w:pPr>
        <w:pStyle w:val="27"/>
        <w:spacing w:line="600" w:lineRule="exact"/>
        <w:ind w:firstLine="640" w:firstLineChars="200"/>
        <w:jc w:val="both"/>
        <w:rPr>
          <w:rFonts w:hAnsi="仿宋"/>
          <w:sz w:val="32"/>
          <w:szCs w:val="32"/>
        </w:rPr>
      </w:pPr>
      <w:r>
        <w:rPr>
          <w:rFonts w:hint="eastAsia" w:hAnsi="仿宋"/>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7"/>
        <w:spacing w:line="600" w:lineRule="exact"/>
        <w:ind w:firstLine="640" w:firstLineChars="200"/>
        <w:jc w:val="both"/>
        <w:rPr>
          <w:rFonts w:hAnsi="仿宋"/>
          <w:sz w:val="32"/>
          <w:szCs w:val="32"/>
        </w:rPr>
      </w:pPr>
      <w:r>
        <w:rPr>
          <w:rFonts w:hint="eastAsia" w:hAnsi="仿宋"/>
          <w:sz w:val="32"/>
          <w:szCs w:val="32"/>
        </w:rPr>
        <w:t xml:space="preserve">6.年初结转和结余：指以前年度尚未完成、结转到本年按有关规定继续使用的资金。 </w:t>
      </w:r>
    </w:p>
    <w:p>
      <w:pPr>
        <w:pStyle w:val="27"/>
        <w:spacing w:line="600" w:lineRule="exact"/>
        <w:ind w:firstLine="640" w:firstLineChars="200"/>
        <w:jc w:val="both"/>
        <w:rPr>
          <w:rFonts w:hAnsi="仿宋"/>
          <w:sz w:val="32"/>
          <w:szCs w:val="32"/>
        </w:rPr>
      </w:pPr>
      <w:r>
        <w:rPr>
          <w:rFonts w:hint="eastAsia" w:hAnsi="仿宋"/>
          <w:sz w:val="32"/>
          <w:szCs w:val="32"/>
        </w:rPr>
        <w:t>7.结余分配：指事业单位按照事业单位会计制度的规定从非财政补助结余中分配的事业基金和职工福利基金等。</w:t>
      </w:r>
    </w:p>
    <w:p>
      <w:pPr>
        <w:pStyle w:val="27"/>
        <w:spacing w:line="600" w:lineRule="exact"/>
        <w:ind w:firstLine="640" w:firstLineChars="200"/>
        <w:jc w:val="both"/>
        <w:rPr>
          <w:rFonts w:hAnsi="仿宋"/>
          <w:sz w:val="32"/>
          <w:szCs w:val="32"/>
        </w:rPr>
      </w:pPr>
      <w:r>
        <w:rPr>
          <w:rFonts w:hint="eastAsia" w:hAnsi="仿宋"/>
          <w:sz w:val="32"/>
          <w:szCs w:val="32"/>
        </w:rPr>
        <w:t>8、年末结转和结余：指单位按有关规定结转到下年或以后年度继续使用的资金。</w:t>
      </w:r>
    </w:p>
    <w:p>
      <w:pPr>
        <w:pStyle w:val="27"/>
        <w:spacing w:line="600" w:lineRule="exact"/>
        <w:ind w:firstLine="640" w:firstLineChars="200"/>
        <w:jc w:val="both"/>
        <w:rPr>
          <w:rFonts w:hAnsi="仿宋"/>
          <w:sz w:val="32"/>
          <w:szCs w:val="32"/>
        </w:rPr>
      </w:pPr>
      <w:r>
        <w:rPr>
          <w:rFonts w:hint="eastAsia" w:hAnsi="仿宋"/>
          <w:sz w:val="32"/>
          <w:szCs w:val="32"/>
        </w:rPr>
        <w:t>9.社会保障和就业（类）行政事业单位离退休（款）机关事业单位基本养老保险缴费支出（项）：指机关事业单位实施养老保险制度由单位缴纳的基本养老保险费支出。</w:t>
      </w:r>
    </w:p>
    <w:p>
      <w:pPr>
        <w:pStyle w:val="27"/>
        <w:spacing w:line="600" w:lineRule="exact"/>
        <w:ind w:firstLine="640" w:firstLineChars="200"/>
        <w:jc w:val="both"/>
        <w:rPr>
          <w:rFonts w:hAnsi="仿宋"/>
          <w:sz w:val="32"/>
          <w:szCs w:val="32"/>
        </w:rPr>
      </w:pPr>
      <w:r>
        <w:rPr>
          <w:rFonts w:hint="eastAsia" w:hAnsi="仿宋"/>
          <w:sz w:val="32"/>
          <w:szCs w:val="32"/>
        </w:rPr>
        <w:t>10.社会保障和就业（类）行政事业单位离退休（款）机关事业单位职业年金缴费支出（项）：指机关事业单位实施养老保险制度由单位实际缴纳的职业年金支出。</w:t>
      </w:r>
    </w:p>
    <w:p>
      <w:pPr>
        <w:pStyle w:val="27"/>
        <w:spacing w:line="600" w:lineRule="exact"/>
        <w:ind w:firstLine="640" w:firstLineChars="200"/>
        <w:jc w:val="both"/>
        <w:rPr>
          <w:rFonts w:hAnsi="仿宋"/>
          <w:sz w:val="32"/>
          <w:szCs w:val="32"/>
        </w:rPr>
      </w:pPr>
      <w:r>
        <w:rPr>
          <w:rFonts w:hint="eastAsia" w:hAnsi="仿宋"/>
          <w:sz w:val="32"/>
          <w:szCs w:val="32"/>
        </w:rPr>
        <w:t>11.医疗卫生与计划生育（类）行政事业单位医疗（11款）事业单位医疗（项）：指事业单位用于缴纳单位基本医疗保险支出。</w:t>
      </w:r>
    </w:p>
    <w:p>
      <w:pPr>
        <w:pStyle w:val="27"/>
        <w:spacing w:line="600" w:lineRule="exact"/>
        <w:ind w:firstLine="640" w:firstLineChars="200"/>
        <w:jc w:val="both"/>
        <w:rPr>
          <w:rFonts w:hAnsi="仿宋"/>
          <w:sz w:val="32"/>
          <w:szCs w:val="32"/>
        </w:rPr>
      </w:pPr>
      <w:r>
        <w:rPr>
          <w:rFonts w:hint="eastAsia" w:hAnsi="仿宋"/>
          <w:sz w:val="32"/>
          <w:szCs w:val="32"/>
        </w:rPr>
        <w:t>12.住房保障支出（类）住房改革支出（款）住房公积金（项）：指反映行政事业单位按规定比例为职工缴纳的住房公积金。</w:t>
      </w:r>
    </w:p>
    <w:p>
      <w:pPr>
        <w:pStyle w:val="27"/>
        <w:spacing w:line="600" w:lineRule="exact"/>
        <w:ind w:firstLine="640" w:firstLineChars="200"/>
        <w:jc w:val="both"/>
        <w:rPr>
          <w:rFonts w:hAnsi="仿宋"/>
          <w:sz w:val="32"/>
          <w:szCs w:val="32"/>
        </w:rPr>
      </w:pPr>
      <w:r>
        <w:rPr>
          <w:rFonts w:hint="eastAsia" w:hAnsi="仿宋"/>
          <w:sz w:val="32"/>
          <w:szCs w:val="32"/>
        </w:rPr>
        <w:t>13.基本支出：指为保障机构正常运转、完成日常工作任务而发生的人员支出和公用支出。</w:t>
      </w:r>
    </w:p>
    <w:p>
      <w:pPr>
        <w:pStyle w:val="27"/>
        <w:spacing w:line="600" w:lineRule="exact"/>
        <w:ind w:firstLine="640" w:firstLineChars="200"/>
        <w:jc w:val="both"/>
        <w:rPr>
          <w:rFonts w:hAnsi="仿宋"/>
          <w:sz w:val="32"/>
          <w:szCs w:val="32"/>
        </w:rPr>
      </w:pPr>
      <w:r>
        <w:rPr>
          <w:rFonts w:hint="eastAsia" w:hAnsi="仿宋"/>
          <w:sz w:val="32"/>
          <w:szCs w:val="32"/>
        </w:rPr>
        <w:t>14.项目支出：指在基本支出之外为完成特定行政任务和事业发展目标所发生的支出。</w:t>
      </w:r>
    </w:p>
    <w:p>
      <w:pPr>
        <w:pStyle w:val="27"/>
        <w:spacing w:line="600" w:lineRule="exact"/>
        <w:ind w:firstLine="640" w:firstLineChars="200"/>
        <w:jc w:val="both"/>
        <w:rPr>
          <w:rFonts w:hAnsi="仿宋"/>
          <w:sz w:val="32"/>
          <w:szCs w:val="32"/>
        </w:rPr>
      </w:pPr>
      <w:r>
        <w:rPr>
          <w:rFonts w:hint="eastAsia" w:hAnsi="仿宋"/>
          <w:sz w:val="32"/>
          <w:szCs w:val="32"/>
        </w:rPr>
        <w:t>15.经营支出：指事业单位在专业业务活动及其辅助活动之外开展非独立核算经营活动发生的支出。</w:t>
      </w:r>
    </w:p>
    <w:p>
      <w:pPr>
        <w:pStyle w:val="27"/>
        <w:spacing w:line="600" w:lineRule="exact"/>
        <w:ind w:firstLine="640" w:firstLineChars="200"/>
        <w:jc w:val="both"/>
        <w:rPr>
          <w:rFonts w:hAnsi="仿宋"/>
          <w:sz w:val="32"/>
          <w:szCs w:val="32"/>
        </w:rPr>
      </w:pPr>
      <w:r>
        <w:rPr>
          <w:rFonts w:hint="eastAsia" w:hAnsi="仿宋"/>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w:t>
      </w:r>
    </w:p>
    <w:p>
      <w:pPr>
        <w:pStyle w:val="27"/>
        <w:spacing w:line="560" w:lineRule="exact"/>
        <w:ind w:firstLine="640" w:firstLineChars="200"/>
        <w:rPr>
          <w:rFonts w:ascii="仿宋_GB2312" w:eastAsia="仿宋_GB2312"/>
          <w:sz w:val="32"/>
          <w:szCs w:val="32"/>
        </w:rPr>
      </w:pPr>
      <w:r>
        <w:rPr>
          <w:rFonts w:hint="eastAsia" w:hAnsi="仿宋"/>
          <w:sz w:val="32"/>
          <w:szCs w:val="32"/>
        </w:rPr>
        <w:t>17.机关运行经费：为保障行政单位（含参照公务员法管理的事业单位）运行用于购买货物和服务的各项资金，包括办公及印刷费、邮电费、差旅费、会议费、日常维修费、办公用房水电费、公务用车运行维护费以及其他费用等。</w:t>
      </w:r>
    </w:p>
    <w:p>
      <w:pPr>
        <w:spacing w:line="600" w:lineRule="exact"/>
        <w:jc w:val="center"/>
        <w:outlineLvl w:val="0"/>
        <w:rPr>
          <w:rStyle w:val="22"/>
          <w:rFonts w:ascii="黑体" w:eastAsia="黑体"/>
          <w:b w:val="0"/>
        </w:rPr>
      </w:pPr>
      <w:bookmarkStart w:id="98" w:name="_Toc79163630"/>
      <w:bookmarkStart w:id="99" w:name="_Toc79163880"/>
      <w:bookmarkStart w:id="100" w:name="_Toc15396614"/>
      <w:bookmarkStart w:id="101" w:name="_Toc15377226"/>
      <w:r>
        <w:rPr>
          <w:rFonts w:hint="eastAsia" w:ascii="黑体" w:eastAsia="黑体"/>
          <w:color w:val="000000"/>
          <w:sz w:val="44"/>
          <w:szCs w:val="44"/>
        </w:rPr>
        <w:t>第</w:t>
      </w:r>
      <w:r>
        <w:rPr>
          <w:rStyle w:val="22"/>
          <w:rFonts w:hint="eastAsia" w:ascii="黑体" w:eastAsia="黑体"/>
          <w:b w:val="0"/>
        </w:rPr>
        <w:t>四部分附件</w:t>
      </w:r>
      <w:bookmarkEnd w:id="98"/>
      <w:bookmarkEnd w:id="99"/>
      <w:bookmarkEnd w:id="100"/>
    </w:p>
    <w:p>
      <w:pPr>
        <w:spacing w:line="600" w:lineRule="exact"/>
        <w:jc w:val="left"/>
        <w:outlineLvl w:val="0"/>
        <w:rPr>
          <w:rFonts w:ascii="方正小标宋简体" w:eastAsia="方正小标宋简体" w:cs="方正小标宋简体"/>
          <w:sz w:val="32"/>
          <w:szCs w:val="32"/>
        </w:rPr>
      </w:pPr>
      <w:bookmarkStart w:id="102" w:name="_Toc79163881"/>
      <w:bookmarkStart w:id="103" w:name="_Toc79163631"/>
      <w:r>
        <w:rPr>
          <w:rFonts w:hint="eastAsia" w:ascii="黑体" w:eastAsia="黑体" w:cs="黑体"/>
          <w:sz w:val="32"/>
          <w:szCs w:val="32"/>
        </w:rPr>
        <w:t>附件</w:t>
      </w:r>
      <w:r>
        <w:rPr>
          <w:rFonts w:ascii="黑体" w:eastAsia="黑体" w:cs="黑体"/>
          <w:sz w:val="32"/>
          <w:szCs w:val="32"/>
        </w:rPr>
        <w:t>1</w:t>
      </w:r>
      <w:bookmarkEnd w:id="102"/>
      <w:bookmarkEnd w:id="103"/>
    </w:p>
    <w:p>
      <w:pPr>
        <w:spacing w:line="600" w:lineRule="exact"/>
        <w:jc w:val="center"/>
        <w:outlineLvl w:val="0"/>
        <w:rPr>
          <w:rFonts w:ascii="方正小标宋简体" w:eastAsia="方正小标宋简体" w:cs="黑体"/>
          <w:sz w:val="44"/>
          <w:szCs w:val="44"/>
        </w:rPr>
      </w:pPr>
      <w:bookmarkStart w:id="104" w:name="_Toc79163882"/>
      <w:bookmarkStart w:id="105" w:name="_Toc79163632"/>
      <w:r>
        <w:rPr>
          <w:rFonts w:hint="eastAsia" w:ascii="方正小标宋简体" w:eastAsia="方正小标宋简体" w:cs="黑体"/>
          <w:sz w:val="44"/>
          <w:szCs w:val="44"/>
        </w:rPr>
        <w:t>茂县妇幼保健计划生育服务中心</w:t>
      </w:r>
    </w:p>
    <w:p>
      <w:pPr>
        <w:spacing w:line="600" w:lineRule="exact"/>
        <w:jc w:val="center"/>
        <w:outlineLvl w:val="0"/>
        <w:rPr>
          <w:rFonts w:ascii="方正小标宋简体" w:eastAsia="方正小标宋简体" w:cs="黑体"/>
          <w:sz w:val="44"/>
          <w:szCs w:val="44"/>
        </w:rPr>
      </w:pP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04"/>
      <w:bookmarkEnd w:id="105"/>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 w:hAnsi="仿宋" w:eastAsia="仿宋" w:cs="仿宋_GB2312"/>
          <w:sz w:val="32"/>
          <w:szCs w:val="32"/>
        </w:rPr>
        <w:t>茂县妇幼保健计划生育服务中心属财政补助事业单位，为一级预算单位，下属二级预算单位0个，其中：参照公务员法管理的事业单位0个，其他事业单位0个。</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pPr>
        <w:widowControl/>
        <w:adjustRightInd w:val="0"/>
        <w:snapToGrid w:val="0"/>
        <w:spacing w:line="52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仿宋_GB2312"/>
          <w:sz w:val="32"/>
          <w:szCs w:val="32"/>
        </w:rPr>
        <w:t>深入贯彻《母婴保健法》、《中国妇女发展纲要》、《中国儿童发展纲要》，围绕实现“新两纲”目标和初级卫生保健指标。了解、掌握妇女、儿童健康状况及影响因素，负责指导和开展本辖区妇幼保健健康教育与健康工作。组织实施重大公共卫生服务项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 w:hAnsi="仿宋" w:eastAsia="仿宋" w:cs="仿宋_GB2312"/>
          <w:color w:val="000000"/>
          <w:sz w:val="32"/>
          <w:szCs w:val="32"/>
        </w:rPr>
        <w:t>本单位编制64人，在岗60人。临聘人员：7人，退休：17人，财政补差：1人，遗属1人。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仿宋_GB2312"/>
          <w:color w:val="000000"/>
          <w:sz w:val="32"/>
          <w:szCs w:val="32"/>
        </w:rPr>
        <w:t>2021年本年一般公共预算财政拨款收入1197.63万元；政府性基金预算财政拨款收入0万元；</w:t>
      </w:r>
      <w:r>
        <w:rPr>
          <w:rFonts w:hint="eastAsia" w:ascii="仿宋" w:hAnsi="仿宋" w:eastAsia="仿宋" w:cs="仿宋_GB2312"/>
          <w:color w:val="000000" w:themeColor="text1"/>
          <w:sz w:val="32"/>
          <w:szCs w:val="32"/>
        </w:rPr>
        <w:t>上级补助收入0</w:t>
      </w:r>
      <w:r>
        <w:rPr>
          <w:rFonts w:hint="eastAsia" w:ascii="仿宋" w:hAnsi="仿宋" w:eastAsia="仿宋" w:cs="仿宋_GB2312"/>
          <w:color w:val="000000"/>
          <w:sz w:val="32"/>
          <w:szCs w:val="32"/>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1年一般公共预算财政拨款支出1326.15万元，占本年支出合计的60.95%。与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20年相比，一般公共预算财政拨款增加341.74万元，增长34.72</w:t>
      </w:r>
      <w:r>
        <w:rPr>
          <w:rFonts w:ascii="仿宋" w:hAnsi="仿宋" w:eastAsia="仿宋"/>
          <w:color w:val="000000"/>
          <w:sz w:val="32"/>
          <w:szCs w:val="32"/>
        </w:rPr>
        <w:t>%</w:t>
      </w:r>
      <w:r>
        <w:rPr>
          <w:rFonts w:hint="eastAsia" w:ascii="仿宋" w:hAnsi="仿宋" w:eastAsia="仿宋"/>
          <w:color w:val="000000"/>
          <w:sz w:val="32"/>
          <w:szCs w:val="32"/>
        </w:rPr>
        <w:t>。主要变动原因是项目支出增加及人员增加。</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我单位严格按照相关的规定和要求根据人员工资的实际经费编制预算，按照县财政局规定时间完成基础库、数据库报送及部门预算报送，做到编制准确、指标细化，并将编制的部门报表按照县财政的要求报送财政主管股室审核。</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 w:hAnsi="仿宋" w:eastAsia="仿宋" w:cs="仿宋_GB2312"/>
          <w:color w:val="000000"/>
          <w:sz w:val="32"/>
          <w:szCs w:val="32"/>
        </w:rPr>
        <w:t>我单位对部门预算绩效管理工作开展情况认真进行了自查自评。绩效评价自查开展覆盖单位重点支出，将评价结果作为预算安排的重要依据，参照项目年度预算执行情况统筹项目支出需求，保障重点支出，调整支出结构，优化财政资金配置，不断强化绩效理念，推动我单位部门整体绩效管理水平不断提升。</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 w:hAnsi="仿宋" w:eastAsia="仿宋" w:cs="仿宋_GB2312"/>
          <w:color w:val="000000"/>
          <w:sz w:val="32"/>
          <w:szCs w:val="32"/>
        </w:rPr>
        <w:t>2021年我单位部门整体支出绩效评价自查自评结果良好，全年基本支出保证了部门的正常运行和日常工作的正常开展，项目支出保障了重点工作的开展，达到预期绩效目标。</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 w:hAnsi="仿宋" w:eastAsia="仿宋" w:cs="仿宋_GB2312"/>
          <w:color w:val="000000"/>
          <w:sz w:val="32"/>
          <w:szCs w:val="32"/>
        </w:rPr>
        <w:t>广大群众对三病、婚前检查、孕前优生健康检查等认识不足，并且没有应有的重视。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pPr>
        <w:spacing w:line="580" w:lineRule="exact"/>
        <w:ind w:firstLine="640" w:firstLineChars="200"/>
        <w:rPr>
          <w:rFonts w:ascii="仿宋_GB2312" w:eastAsia="仿宋_GB2312" w:cs="仿宋_GB2312"/>
          <w:sz w:val="32"/>
          <w:szCs w:val="32"/>
        </w:rPr>
      </w:pPr>
      <w:r>
        <w:rPr>
          <w:rFonts w:hint="eastAsia" w:ascii="仿宋" w:hAnsi="仿宋" w:eastAsia="仿宋" w:cs="仿宋_GB2312"/>
          <w:color w:val="000000"/>
          <w:sz w:val="32"/>
          <w:szCs w:val="32"/>
        </w:rPr>
        <w:t>针对存在的问题，我们将通过多种途径进扩大宣传。</w:t>
      </w:r>
    </w:p>
    <w:p>
      <w:pPr>
        <w:widowControl/>
        <w:jc w:val="left"/>
        <w:rPr>
          <w:rFonts w:ascii="黑体" w:eastAsia="黑体"/>
          <w:color w:val="000000"/>
          <w:sz w:val="44"/>
          <w:szCs w:val="44"/>
        </w:rPr>
      </w:pPr>
      <w:bookmarkStart w:id="106" w:name="_Toc79163885"/>
      <w:bookmarkStart w:id="107" w:name="_Toc79163635"/>
      <w:bookmarkStart w:id="108" w:name="_Toc15396618"/>
      <w:r>
        <w:rPr>
          <w:rFonts w:ascii="黑体" w:eastAsia="黑体"/>
          <w:color w:val="000000"/>
          <w:sz w:val="44"/>
          <w:szCs w:val="44"/>
        </w:rPr>
        <w:br w:type="page"/>
      </w:r>
    </w:p>
    <w:p>
      <w:pPr>
        <w:spacing w:line="600" w:lineRule="exact"/>
        <w:jc w:val="center"/>
        <w:outlineLvl w:val="0"/>
        <w:rPr>
          <w:rStyle w:val="22"/>
          <w:rFonts w:ascii="黑体" w:eastAsia="黑体"/>
          <w:b w:val="0"/>
        </w:rPr>
      </w:pPr>
      <w:r>
        <w:rPr>
          <w:rFonts w:hint="eastAsia" w:ascii="黑体" w:eastAsia="黑体"/>
          <w:color w:val="000000"/>
          <w:sz w:val="44"/>
          <w:szCs w:val="44"/>
        </w:rPr>
        <w:t>第</w:t>
      </w:r>
      <w:r>
        <w:rPr>
          <w:rStyle w:val="22"/>
          <w:rFonts w:hint="eastAsia" w:ascii="黑体" w:eastAsia="黑体"/>
          <w:b w:val="0"/>
        </w:rPr>
        <w:t>五部分附表</w:t>
      </w:r>
      <w:bookmarkEnd w:id="101"/>
      <w:bookmarkEnd w:id="106"/>
      <w:bookmarkEnd w:id="107"/>
      <w:bookmarkEnd w:id="108"/>
    </w:p>
    <w:p>
      <w:pPr>
        <w:pStyle w:val="3"/>
        <w:spacing w:before="0" w:after="0"/>
        <w:rPr>
          <w:rFonts w:ascii="仿宋" w:eastAsia="仿宋"/>
          <w:color w:val="000000"/>
        </w:rPr>
      </w:pPr>
      <w:bookmarkStart w:id="109" w:name="_Toc79163636"/>
      <w:bookmarkStart w:id="110" w:name="_Toc15396619"/>
      <w:bookmarkStart w:id="111" w:name="_Toc79163886"/>
      <w:r>
        <w:rPr>
          <w:rFonts w:hint="eastAsia" w:ascii="仿宋" w:eastAsia="仿宋"/>
          <w:b w:val="0"/>
          <w:color w:val="000000"/>
        </w:rPr>
        <w:t>一、收</w:t>
      </w:r>
      <w:r>
        <w:rPr>
          <w:rStyle w:val="23"/>
          <w:rFonts w:hint="eastAsia" w:ascii="仿宋" w:eastAsia="仿宋"/>
          <w:b w:val="0"/>
          <w:bCs w:val="0"/>
        </w:rPr>
        <w:t>入支出决算总表</w:t>
      </w:r>
      <w:bookmarkEnd w:id="109"/>
      <w:bookmarkEnd w:id="110"/>
      <w:bookmarkEnd w:id="111"/>
    </w:p>
    <w:p>
      <w:pPr>
        <w:pStyle w:val="3"/>
        <w:spacing w:before="0" w:after="0"/>
        <w:rPr>
          <w:rFonts w:ascii="仿宋" w:eastAsia="仿宋"/>
          <w:color w:val="000000"/>
        </w:rPr>
      </w:pPr>
      <w:bookmarkStart w:id="112" w:name="_Toc79163887"/>
      <w:bookmarkStart w:id="113" w:name="_Toc15396620"/>
      <w:bookmarkStart w:id="114" w:name="_Toc79163637"/>
      <w:r>
        <w:rPr>
          <w:rFonts w:hint="eastAsia" w:ascii="仿宋" w:eastAsia="仿宋"/>
          <w:b w:val="0"/>
          <w:color w:val="000000"/>
        </w:rPr>
        <w:t>二、收</w:t>
      </w:r>
      <w:r>
        <w:rPr>
          <w:rStyle w:val="23"/>
          <w:rFonts w:hint="eastAsia" w:ascii="仿宋" w:eastAsia="仿宋"/>
          <w:b w:val="0"/>
          <w:bCs w:val="0"/>
        </w:rPr>
        <w:t>入决算表</w:t>
      </w:r>
      <w:bookmarkEnd w:id="112"/>
      <w:bookmarkEnd w:id="113"/>
      <w:bookmarkEnd w:id="114"/>
    </w:p>
    <w:p>
      <w:pPr>
        <w:pStyle w:val="3"/>
        <w:spacing w:before="0" w:after="0"/>
        <w:rPr>
          <w:rFonts w:ascii="仿宋" w:eastAsia="仿宋"/>
          <w:color w:val="000000"/>
        </w:rPr>
      </w:pPr>
      <w:bookmarkStart w:id="115" w:name="_Toc15396621"/>
      <w:bookmarkStart w:id="116" w:name="_Toc79163638"/>
      <w:bookmarkStart w:id="117" w:name="_Toc79163888"/>
      <w:r>
        <w:rPr>
          <w:rStyle w:val="23"/>
          <w:rFonts w:hint="eastAsia" w:ascii="仿宋" w:eastAsia="仿宋"/>
          <w:b w:val="0"/>
          <w:bCs w:val="0"/>
        </w:rPr>
        <w:t>三、</w:t>
      </w:r>
      <w:r>
        <w:rPr>
          <w:rFonts w:hint="eastAsia" w:ascii="仿宋" w:eastAsia="仿宋"/>
          <w:b w:val="0"/>
          <w:color w:val="000000"/>
        </w:rPr>
        <w:t>支</w:t>
      </w:r>
      <w:r>
        <w:rPr>
          <w:rStyle w:val="23"/>
          <w:rFonts w:hint="eastAsia" w:ascii="仿宋" w:eastAsia="仿宋"/>
          <w:b w:val="0"/>
          <w:bCs w:val="0"/>
        </w:rPr>
        <w:t>出决算表</w:t>
      </w:r>
      <w:bookmarkEnd w:id="115"/>
      <w:bookmarkEnd w:id="116"/>
      <w:bookmarkEnd w:id="117"/>
    </w:p>
    <w:p>
      <w:pPr>
        <w:pStyle w:val="3"/>
        <w:spacing w:before="0" w:after="0"/>
        <w:rPr>
          <w:rFonts w:ascii="仿宋" w:eastAsia="仿宋"/>
          <w:b w:val="0"/>
          <w:color w:val="000000"/>
        </w:rPr>
      </w:pPr>
      <w:bookmarkStart w:id="118" w:name="_Toc15396622"/>
      <w:bookmarkStart w:id="119" w:name="_Toc79163639"/>
      <w:bookmarkStart w:id="120" w:name="_Toc79163889"/>
      <w:r>
        <w:rPr>
          <w:rStyle w:val="23"/>
          <w:rFonts w:hint="eastAsia" w:ascii="仿宋" w:eastAsia="仿宋"/>
          <w:b w:val="0"/>
          <w:bCs w:val="0"/>
        </w:rPr>
        <w:t>四、</w:t>
      </w:r>
      <w:r>
        <w:rPr>
          <w:rFonts w:hint="eastAsia" w:ascii="仿宋" w:eastAsia="仿宋"/>
          <w:b w:val="0"/>
          <w:color w:val="000000"/>
        </w:rPr>
        <w:t>财</w:t>
      </w:r>
      <w:r>
        <w:rPr>
          <w:rStyle w:val="23"/>
          <w:rFonts w:hint="eastAsia" w:ascii="仿宋" w:eastAsia="仿宋"/>
          <w:b w:val="0"/>
          <w:bCs w:val="0"/>
        </w:rPr>
        <w:t>政拨款收入支出决算总表</w:t>
      </w:r>
      <w:bookmarkEnd w:id="118"/>
      <w:bookmarkEnd w:id="119"/>
      <w:bookmarkEnd w:id="120"/>
    </w:p>
    <w:p>
      <w:pPr>
        <w:pStyle w:val="3"/>
        <w:spacing w:before="0" w:after="0"/>
        <w:rPr>
          <w:rStyle w:val="23"/>
          <w:rFonts w:ascii="仿宋" w:eastAsia="仿宋"/>
          <w:b w:val="0"/>
          <w:bCs w:val="0"/>
        </w:rPr>
      </w:pPr>
      <w:bookmarkStart w:id="121" w:name="_Toc15396623"/>
      <w:bookmarkStart w:id="122" w:name="_Toc79163640"/>
      <w:bookmarkStart w:id="123" w:name="_Toc79163890"/>
      <w:r>
        <w:rPr>
          <w:rStyle w:val="23"/>
          <w:rFonts w:hint="eastAsia" w:ascii="仿宋" w:eastAsia="仿宋"/>
          <w:b w:val="0"/>
          <w:bCs w:val="0"/>
        </w:rPr>
        <w:t>五、</w:t>
      </w:r>
      <w:r>
        <w:rPr>
          <w:rFonts w:hint="eastAsia" w:ascii="仿宋" w:eastAsia="仿宋"/>
          <w:b w:val="0"/>
          <w:color w:val="000000"/>
        </w:rPr>
        <w:t>财</w:t>
      </w:r>
      <w:r>
        <w:rPr>
          <w:rStyle w:val="23"/>
          <w:rFonts w:hint="eastAsia" w:ascii="仿宋" w:eastAsia="仿宋"/>
          <w:b w:val="0"/>
          <w:bCs w:val="0"/>
        </w:rPr>
        <w:t>政拨款支出决算明细表</w:t>
      </w:r>
      <w:bookmarkEnd w:id="121"/>
      <w:bookmarkEnd w:id="122"/>
      <w:bookmarkEnd w:id="123"/>
      <w:bookmarkStart w:id="124" w:name="_Toc15396624"/>
    </w:p>
    <w:p>
      <w:pPr>
        <w:pStyle w:val="3"/>
        <w:spacing w:before="0" w:after="0"/>
        <w:rPr>
          <w:rFonts w:ascii="仿宋" w:eastAsia="仿宋"/>
          <w:color w:val="000000"/>
        </w:rPr>
      </w:pPr>
      <w:bookmarkStart w:id="125" w:name="_Toc79163641"/>
      <w:bookmarkStart w:id="126" w:name="_Toc79163891"/>
      <w:r>
        <w:rPr>
          <w:rStyle w:val="23"/>
          <w:rFonts w:hint="eastAsia" w:ascii="仿宋" w:eastAsia="仿宋"/>
          <w:b w:val="0"/>
          <w:bCs w:val="0"/>
        </w:rPr>
        <w:t>六、</w:t>
      </w:r>
      <w:r>
        <w:rPr>
          <w:rFonts w:hint="eastAsia" w:ascii="仿宋" w:eastAsia="仿宋"/>
          <w:b w:val="0"/>
          <w:color w:val="000000"/>
        </w:rPr>
        <w:t>一</w:t>
      </w:r>
      <w:r>
        <w:rPr>
          <w:rStyle w:val="23"/>
          <w:rFonts w:hint="eastAsia" w:ascii="仿宋" w:eastAsia="仿宋"/>
          <w:b w:val="0"/>
          <w:bCs w:val="0"/>
        </w:rPr>
        <w:t>般公共预算财政拨款支出决算表</w:t>
      </w:r>
      <w:bookmarkEnd w:id="124"/>
      <w:bookmarkEnd w:id="125"/>
      <w:bookmarkEnd w:id="126"/>
    </w:p>
    <w:p>
      <w:pPr>
        <w:pStyle w:val="3"/>
        <w:spacing w:before="0" w:after="0"/>
        <w:rPr>
          <w:rFonts w:ascii="仿宋" w:eastAsia="仿宋"/>
          <w:color w:val="000000"/>
        </w:rPr>
      </w:pPr>
      <w:bookmarkStart w:id="127" w:name="_Toc15396625"/>
      <w:bookmarkStart w:id="128" w:name="_Toc79163642"/>
      <w:bookmarkStart w:id="129" w:name="_Toc79163892"/>
      <w:r>
        <w:rPr>
          <w:rStyle w:val="23"/>
          <w:rFonts w:hint="eastAsia" w:ascii="仿宋" w:eastAsia="仿宋"/>
          <w:b w:val="0"/>
          <w:bCs w:val="0"/>
        </w:rPr>
        <w:t>七、</w:t>
      </w:r>
      <w:r>
        <w:rPr>
          <w:rFonts w:hint="eastAsia" w:ascii="仿宋" w:eastAsia="仿宋"/>
          <w:b w:val="0"/>
          <w:color w:val="000000"/>
        </w:rPr>
        <w:t>一</w:t>
      </w:r>
      <w:r>
        <w:rPr>
          <w:rStyle w:val="23"/>
          <w:rFonts w:hint="eastAsia" w:ascii="仿宋" w:eastAsia="仿宋"/>
          <w:b w:val="0"/>
          <w:bCs w:val="0"/>
        </w:rPr>
        <w:t>般公共预算财政拨款支出决算明细表</w:t>
      </w:r>
      <w:bookmarkEnd w:id="127"/>
      <w:bookmarkEnd w:id="128"/>
      <w:bookmarkEnd w:id="129"/>
    </w:p>
    <w:p>
      <w:pPr>
        <w:pStyle w:val="3"/>
        <w:spacing w:before="0" w:after="0"/>
        <w:rPr>
          <w:rFonts w:ascii="仿宋" w:eastAsia="仿宋"/>
          <w:color w:val="000000"/>
        </w:rPr>
      </w:pPr>
      <w:bookmarkStart w:id="130" w:name="_Toc15396626"/>
      <w:bookmarkStart w:id="131" w:name="_Toc79163643"/>
      <w:bookmarkStart w:id="132" w:name="_Toc79163893"/>
      <w:r>
        <w:rPr>
          <w:rStyle w:val="23"/>
          <w:rFonts w:hint="eastAsia" w:ascii="仿宋" w:eastAsia="仿宋"/>
          <w:b w:val="0"/>
          <w:bCs w:val="0"/>
        </w:rPr>
        <w:t>八、</w:t>
      </w:r>
      <w:r>
        <w:rPr>
          <w:rFonts w:hint="eastAsia" w:ascii="仿宋" w:eastAsia="仿宋"/>
          <w:b w:val="0"/>
          <w:color w:val="000000"/>
        </w:rPr>
        <w:t>一</w:t>
      </w:r>
      <w:r>
        <w:rPr>
          <w:rStyle w:val="23"/>
          <w:rFonts w:hint="eastAsia" w:ascii="仿宋" w:eastAsia="仿宋"/>
          <w:b w:val="0"/>
          <w:bCs w:val="0"/>
        </w:rPr>
        <w:t>般公共预算财政拨款基本支出决算表</w:t>
      </w:r>
      <w:bookmarkEnd w:id="130"/>
      <w:bookmarkEnd w:id="131"/>
      <w:bookmarkEnd w:id="132"/>
    </w:p>
    <w:p>
      <w:pPr>
        <w:pStyle w:val="3"/>
        <w:spacing w:before="0" w:after="0"/>
        <w:rPr>
          <w:rFonts w:ascii="仿宋" w:eastAsia="仿宋"/>
          <w:color w:val="000000"/>
        </w:rPr>
      </w:pPr>
      <w:bookmarkStart w:id="133" w:name="_Toc15396627"/>
      <w:bookmarkStart w:id="134" w:name="_Toc79163644"/>
      <w:bookmarkStart w:id="135" w:name="_Toc79163894"/>
      <w:r>
        <w:rPr>
          <w:rStyle w:val="23"/>
          <w:rFonts w:hint="eastAsia" w:ascii="仿宋" w:eastAsia="仿宋"/>
          <w:b w:val="0"/>
          <w:bCs w:val="0"/>
        </w:rPr>
        <w:t>九、</w:t>
      </w:r>
      <w:r>
        <w:rPr>
          <w:rFonts w:hint="eastAsia" w:ascii="仿宋" w:eastAsia="仿宋"/>
          <w:b w:val="0"/>
          <w:color w:val="000000"/>
        </w:rPr>
        <w:t>一</w:t>
      </w:r>
      <w:r>
        <w:rPr>
          <w:rStyle w:val="23"/>
          <w:rFonts w:hint="eastAsia" w:ascii="仿宋" w:eastAsia="仿宋"/>
          <w:b w:val="0"/>
          <w:bCs w:val="0"/>
        </w:rPr>
        <w:t>般公共预算财政拨款项目支出决算表</w:t>
      </w:r>
      <w:bookmarkEnd w:id="133"/>
      <w:bookmarkEnd w:id="134"/>
      <w:bookmarkEnd w:id="135"/>
    </w:p>
    <w:p>
      <w:pPr>
        <w:pStyle w:val="3"/>
        <w:spacing w:before="0" w:after="0"/>
        <w:rPr>
          <w:rFonts w:ascii="仿宋" w:eastAsia="仿宋"/>
          <w:color w:val="000000"/>
        </w:rPr>
      </w:pPr>
      <w:bookmarkStart w:id="136" w:name="_Toc15396628"/>
      <w:bookmarkStart w:id="137" w:name="_Toc79163645"/>
      <w:bookmarkStart w:id="138" w:name="_Toc79163895"/>
      <w:r>
        <w:rPr>
          <w:rStyle w:val="23"/>
          <w:rFonts w:hint="eastAsia" w:ascii="仿宋" w:eastAsia="仿宋"/>
          <w:b w:val="0"/>
          <w:bCs w:val="0"/>
        </w:rPr>
        <w:t>十、</w:t>
      </w:r>
      <w:r>
        <w:rPr>
          <w:rFonts w:hint="eastAsia" w:ascii="仿宋" w:eastAsia="仿宋"/>
          <w:b w:val="0"/>
          <w:color w:val="000000"/>
        </w:rPr>
        <w:t>一</w:t>
      </w:r>
      <w:r>
        <w:rPr>
          <w:rStyle w:val="23"/>
          <w:rFonts w:hint="eastAsia" w:ascii="仿宋" w:eastAsia="仿宋"/>
          <w:b w:val="0"/>
          <w:bCs w:val="0"/>
        </w:rPr>
        <w:t>般公共预算财政拨款“三公”经费支出决算表</w:t>
      </w:r>
      <w:bookmarkEnd w:id="136"/>
      <w:bookmarkEnd w:id="137"/>
      <w:bookmarkEnd w:id="138"/>
    </w:p>
    <w:p>
      <w:pPr>
        <w:pStyle w:val="3"/>
        <w:spacing w:before="0" w:after="0"/>
        <w:rPr>
          <w:rFonts w:ascii="仿宋" w:eastAsia="仿宋"/>
          <w:color w:val="000000"/>
        </w:rPr>
      </w:pPr>
      <w:bookmarkStart w:id="139" w:name="_Toc15396629"/>
      <w:bookmarkStart w:id="140" w:name="_Toc79163646"/>
      <w:bookmarkStart w:id="141" w:name="_Toc79163896"/>
      <w:r>
        <w:rPr>
          <w:rStyle w:val="23"/>
          <w:rFonts w:hint="eastAsia" w:ascii="仿宋" w:eastAsia="仿宋"/>
          <w:b w:val="0"/>
          <w:bCs w:val="0"/>
        </w:rPr>
        <w:t>十一、</w:t>
      </w:r>
      <w:r>
        <w:rPr>
          <w:rFonts w:hint="eastAsia" w:ascii="仿宋" w:eastAsia="仿宋"/>
          <w:b w:val="0"/>
          <w:color w:val="000000"/>
        </w:rPr>
        <w:t>政</w:t>
      </w:r>
      <w:r>
        <w:rPr>
          <w:rStyle w:val="23"/>
          <w:rFonts w:hint="eastAsia" w:ascii="仿宋" w:eastAsia="仿宋"/>
          <w:b w:val="0"/>
          <w:bCs w:val="0"/>
        </w:rPr>
        <w:t>府性基金预算财政拨款收入支出决算表</w:t>
      </w:r>
      <w:bookmarkEnd w:id="139"/>
      <w:bookmarkEnd w:id="140"/>
      <w:bookmarkEnd w:id="141"/>
    </w:p>
    <w:p>
      <w:pPr>
        <w:pStyle w:val="3"/>
        <w:spacing w:before="0" w:after="0"/>
        <w:rPr>
          <w:rFonts w:ascii="仿宋" w:eastAsia="仿宋"/>
          <w:color w:val="000000"/>
        </w:rPr>
      </w:pPr>
      <w:bookmarkStart w:id="142" w:name="_Toc15396630"/>
      <w:bookmarkStart w:id="143" w:name="_Toc79163647"/>
      <w:bookmarkStart w:id="144" w:name="_Toc79163897"/>
      <w:r>
        <w:rPr>
          <w:rStyle w:val="23"/>
          <w:rFonts w:hint="eastAsia" w:ascii="仿宋" w:eastAsia="仿宋"/>
          <w:b w:val="0"/>
          <w:bCs w:val="0"/>
        </w:rPr>
        <w:t>十二、</w:t>
      </w:r>
      <w:r>
        <w:rPr>
          <w:rFonts w:hint="eastAsia" w:ascii="仿宋" w:eastAsia="仿宋"/>
          <w:b w:val="0"/>
          <w:color w:val="000000"/>
        </w:rPr>
        <w:t>政</w:t>
      </w:r>
      <w:r>
        <w:rPr>
          <w:rStyle w:val="23"/>
          <w:rFonts w:hint="eastAsia" w:ascii="仿宋" w:eastAsia="仿宋"/>
          <w:b w:val="0"/>
          <w:bCs w:val="0"/>
        </w:rPr>
        <w:t>府性基金预算财政拨款“三公”经费支出决算表</w:t>
      </w:r>
      <w:bookmarkEnd w:id="142"/>
      <w:bookmarkEnd w:id="143"/>
      <w:bookmarkEnd w:id="144"/>
    </w:p>
    <w:p>
      <w:pPr>
        <w:pStyle w:val="3"/>
        <w:spacing w:before="0" w:after="0"/>
        <w:rPr>
          <w:rStyle w:val="23"/>
          <w:rFonts w:ascii="仿宋" w:eastAsia="仿宋"/>
          <w:b w:val="0"/>
          <w:bCs w:val="0"/>
        </w:rPr>
      </w:pPr>
      <w:bookmarkStart w:id="145" w:name="_Toc15396631"/>
      <w:bookmarkStart w:id="146" w:name="_Toc79163648"/>
      <w:bookmarkStart w:id="147" w:name="_Toc79163898"/>
      <w:r>
        <w:rPr>
          <w:rStyle w:val="23"/>
          <w:rFonts w:hint="eastAsia" w:ascii="仿宋" w:eastAsia="仿宋"/>
          <w:b w:val="0"/>
          <w:bCs w:val="0"/>
        </w:rPr>
        <w:t>十三、</w:t>
      </w:r>
      <w:r>
        <w:rPr>
          <w:rFonts w:hint="eastAsia" w:ascii="仿宋" w:eastAsia="仿宋"/>
          <w:b w:val="0"/>
          <w:color w:val="000000"/>
        </w:rPr>
        <w:t>国</w:t>
      </w:r>
      <w:r>
        <w:rPr>
          <w:rStyle w:val="23"/>
          <w:rFonts w:hint="eastAsia" w:ascii="仿宋" w:eastAsia="仿宋"/>
          <w:b w:val="0"/>
          <w:bCs w:val="0"/>
        </w:rPr>
        <w:t>有资本经营预算财政拨款支出决算表</w:t>
      </w:r>
      <w:bookmarkEnd w:id="145"/>
      <w:bookmarkEnd w:id="146"/>
      <w:bookmarkEnd w:id="147"/>
    </w:p>
    <w:p>
      <w:pPr>
        <w:pStyle w:val="3"/>
        <w:spacing w:before="0" w:after="0"/>
        <w:rPr>
          <w:rStyle w:val="23"/>
          <w:rFonts w:ascii="仿宋" w:eastAsia="仿宋"/>
          <w:b w:val="0"/>
          <w:bCs w:val="0"/>
        </w:rPr>
      </w:pPr>
      <w:bookmarkStart w:id="148" w:name="_Toc79163649"/>
      <w:bookmarkStart w:id="149" w:name="_Toc79163899"/>
      <w:r>
        <w:rPr>
          <w:rStyle w:val="23"/>
          <w:rFonts w:hint="eastAsia" w:ascii="仿宋" w:eastAsia="仿宋"/>
          <w:b w:val="0"/>
          <w:bCs w:val="0"/>
        </w:rPr>
        <w:t>十四、国有资本经营预算财政拨款支出决算表</w:t>
      </w:r>
      <w:bookmarkEnd w:id="148"/>
      <w:bookmarkEnd w:id="14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altName w:val="仿宋"/>
    <w:panose1 w:val="00000000000000000000"/>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rPr>
        <w:lang w:val="zh-CN"/>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1B26F"/>
    <w:multiLevelType w:val="singleLevel"/>
    <w:tmpl w:val="9361B26F"/>
    <w:lvl w:ilvl="0" w:tentative="0">
      <w:start w:val="1"/>
      <w:numFmt w:val="decimal"/>
      <w:lvlText w:val="%1."/>
      <w:lvlJc w:val="left"/>
      <w:pPr>
        <w:tabs>
          <w:tab w:val="left" w:pos="312"/>
        </w:tabs>
      </w:pPr>
    </w:lvl>
  </w:abstractNum>
  <w:abstractNum w:abstractNumId="1">
    <w:nsid w:val="CE86C737"/>
    <w:multiLevelType w:val="singleLevel"/>
    <w:tmpl w:val="CE86C737"/>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AB3488A"/>
    <w:multiLevelType w:val="singleLevel"/>
    <w:tmpl w:val="1AB3488A"/>
    <w:lvl w:ilvl="0" w:tentative="0">
      <w:start w:val="1"/>
      <w:numFmt w:val="decimal"/>
      <w:lvlText w:val="%1."/>
      <w:lvlJc w:val="left"/>
      <w:pPr>
        <w:tabs>
          <w:tab w:val="left" w:pos="312"/>
        </w:tabs>
      </w:pPr>
    </w:lvl>
  </w:abstractNum>
  <w:abstractNum w:abstractNumId="6">
    <w:nsid w:val="31045C85"/>
    <w:multiLevelType w:val="singleLevel"/>
    <w:tmpl w:val="31045C85"/>
    <w:lvl w:ilvl="0" w:tentative="0">
      <w:start w:val="1"/>
      <w:numFmt w:val="decimal"/>
      <w:lvlText w:val="%1."/>
      <w:lvlJc w:val="left"/>
      <w:pPr>
        <w:tabs>
          <w:tab w:val="left" w:pos="312"/>
        </w:tabs>
      </w:pPr>
    </w:lvl>
  </w:abstractNum>
  <w:abstractNum w:abstractNumId="7">
    <w:nsid w:val="55CDCEC5"/>
    <w:multiLevelType w:val="singleLevel"/>
    <w:tmpl w:val="55CDCEC5"/>
    <w:lvl w:ilvl="0" w:tentative="0">
      <w:start w:val="1"/>
      <w:numFmt w:val="decimal"/>
      <w:lvlText w:val="%1."/>
      <w:lvlJc w:val="left"/>
      <w:pPr>
        <w:tabs>
          <w:tab w:val="left" w:pos="312"/>
        </w:tabs>
      </w:pPr>
    </w:lvl>
  </w:abstractNum>
  <w:num w:numId="1">
    <w:abstractNumId w:val="4"/>
  </w:num>
  <w:num w:numId="2">
    <w:abstractNumId w:val="2"/>
  </w:num>
  <w:num w:numId="3">
    <w:abstractNumId w:val="6"/>
  </w:num>
  <w:num w:numId="4">
    <w:abstractNumId w:val="7"/>
  </w:num>
  <w:num w:numId="5">
    <w:abstractNumId w:val="5"/>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29034D"/>
    <w:rsid w:val="000735FC"/>
    <w:rsid w:val="001060FF"/>
    <w:rsid w:val="00132FFF"/>
    <w:rsid w:val="00150595"/>
    <w:rsid w:val="00183361"/>
    <w:rsid w:val="001D4ABD"/>
    <w:rsid w:val="002204DE"/>
    <w:rsid w:val="00232255"/>
    <w:rsid w:val="00240501"/>
    <w:rsid w:val="0029034D"/>
    <w:rsid w:val="002C562F"/>
    <w:rsid w:val="002E1531"/>
    <w:rsid w:val="002F4DD1"/>
    <w:rsid w:val="0031169C"/>
    <w:rsid w:val="0036627D"/>
    <w:rsid w:val="0038370C"/>
    <w:rsid w:val="003B5EDF"/>
    <w:rsid w:val="003E40C4"/>
    <w:rsid w:val="003F7FA1"/>
    <w:rsid w:val="00484387"/>
    <w:rsid w:val="0052133A"/>
    <w:rsid w:val="00572AE5"/>
    <w:rsid w:val="00580606"/>
    <w:rsid w:val="00593696"/>
    <w:rsid w:val="005950C6"/>
    <w:rsid w:val="005D359B"/>
    <w:rsid w:val="005F65C9"/>
    <w:rsid w:val="006B520F"/>
    <w:rsid w:val="006B7FE1"/>
    <w:rsid w:val="006C1514"/>
    <w:rsid w:val="006D7132"/>
    <w:rsid w:val="006F6853"/>
    <w:rsid w:val="00726ED9"/>
    <w:rsid w:val="00744CFB"/>
    <w:rsid w:val="00764409"/>
    <w:rsid w:val="007A4A7B"/>
    <w:rsid w:val="007B5717"/>
    <w:rsid w:val="007C29DB"/>
    <w:rsid w:val="007C543E"/>
    <w:rsid w:val="007D23FE"/>
    <w:rsid w:val="007E0E46"/>
    <w:rsid w:val="007E39C5"/>
    <w:rsid w:val="007E614C"/>
    <w:rsid w:val="007F392D"/>
    <w:rsid w:val="00831DF8"/>
    <w:rsid w:val="00851A0D"/>
    <w:rsid w:val="00897B7E"/>
    <w:rsid w:val="008B4D8D"/>
    <w:rsid w:val="008C2B1C"/>
    <w:rsid w:val="008F5060"/>
    <w:rsid w:val="00922253"/>
    <w:rsid w:val="009B0E26"/>
    <w:rsid w:val="009B2848"/>
    <w:rsid w:val="009B6621"/>
    <w:rsid w:val="009E49B4"/>
    <w:rsid w:val="00A2712C"/>
    <w:rsid w:val="00A50D61"/>
    <w:rsid w:val="00A67CC1"/>
    <w:rsid w:val="00A932B4"/>
    <w:rsid w:val="00A95361"/>
    <w:rsid w:val="00A9694E"/>
    <w:rsid w:val="00B23D2B"/>
    <w:rsid w:val="00B52223"/>
    <w:rsid w:val="00B5549C"/>
    <w:rsid w:val="00B7472C"/>
    <w:rsid w:val="00BC4FF1"/>
    <w:rsid w:val="00BF7F48"/>
    <w:rsid w:val="00C04300"/>
    <w:rsid w:val="00C20870"/>
    <w:rsid w:val="00C24D12"/>
    <w:rsid w:val="00C43204"/>
    <w:rsid w:val="00C54701"/>
    <w:rsid w:val="00C62BC3"/>
    <w:rsid w:val="00C7493A"/>
    <w:rsid w:val="00CA778A"/>
    <w:rsid w:val="00CB0E2B"/>
    <w:rsid w:val="00CE789C"/>
    <w:rsid w:val="00CF4362"/>
    <w:rsid w:val="00D0391C"/>
    <w:rsid w:val="00D11F17"/>
    <w:rsid w:val="00D13F62"/>
    <w:rsid w:val="00D22819"/>
    <w:rsid w:val="00D32D66"/>
    <w:rsid w:val="00D46773"/>
    <w:rsid w:val="00DB7BCD"/>
    <w:rsid w:val="00E10487"/>
    <w:rsid w:val="00E21E65"/>
    <w:rsid w:val="00E64ACB"/>
    <w:rsid w:val="00E77EDC"/>
    <w:rsid w:val="00E84F05"/>
    <w:rsid w:val="00EC465A"/>
    <w:rsid w:val="00EC50C5"/>
    <w:rsid w:val="00EE3D96"/>
    <w:rsid w:val="00F13319"/>
    <w:rsid w:val="00F31C22"/>
    <w:rsid w:val="00FB7E8B"/>
    <w:rsid w:val="00FE226F"/>
    <w:rsid w:val="00FF2A77"/>
    <w:rsid w:val="00FF35AF"/>
    <w:rsid w:val="7F3F0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link w:val="32"/>
    <w:qFormat/>
    <w:uiPriority w:val="99"/>
    <w:pPr>
      <w:spacing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character" w:styleId="20">
    <w:name w:val="Strong"/>
    <w:basedOn w:val="19"/>
    <w:qFormat/>
    <w:uiPriority w:val="99"/>
    <w:rPr>
      <w:rFonts w:cs="Times New Roman"/>
      <w:b/>
    </w:rPr>
  </w:style>
  <w:style w:type="character" w:styleId="21">
    <w:name w:val="Hyperlink"/>
    <w:basedOn w:val="19"/>
    <w:qFormat/>
    <w:uiPriority w:val="99"/>
    <w:rPr>
      <w:rFonts w:cs="Times New Roman"/>
      <w:color w:val="0000FF"/>
      <w:u w:val="single"/>
    </w:rPr>
  </w:style>
  <w:style w:type="character" w:customStyle="1" w:styleId="22">
    <w:name w:val="标题 1 Char"/>
    <w:basedOn w:val="19"/>
    <w:link w:val="2"/>
    <w:qFormat/>
    <w:uiPriority w:val="0"/>
    <w:rPr>
      <w:rFonts w:ascii="Times New Roman" w:hAnsi="Times New Roman" w:eastAsia="宋体" w:cs="Times New Roman"/>
      <w:b/>
      <w:bCs/>
      <w:kern w:val="44"/>
      <w:sz w:val="44"/>
      <w:szCs w:val="44"/>
      <w:lang w:val="en-US" w:eastAsia="zh-CN" w:bidi="ar-SA"/>
    </w:rPr>
  </w:style>
  <w:style w:type="character" w:customStyle="1" w:styleId="23">
    <w:name w:val="标题 2 Char"/>
    <w:basedOn w:val="19"/>
    <w:link w:val="3"/>
    <w:qFormat/>
    <w:uiPriority w:val="0"/>
    <w:rPr>
      <w:rFonts w:ascii="Cambria" w:hAnsi="Cambria" w:eastAsia="宋体" w:cs="Times New Roman"/>
      <w:b/>
      <w:bCs/>
      <w:kern w:val="2"/>
      <w:sz w:val="32"/>
      <w:szCs w:val="32"/>
      <w:lang w:val="en-US" w:eastAsia="zh-CN" w:bidi="ar-SA"/>
    </w:rPr>
  </w:style>
  <w:style w:type="character" w:customStyle="1" w:styleId="24">
    <w:name w:val="Body Text Char"/>
    <w:basedOn w:val="19"/>
    <w:qFormat/>
    <w:uiPriority w:val="0"/>
    <w:rPr>
      <w:rFonts w:ascii="Times New Roman" w:hAnsi="Times New Roman" w:cs="Times New Roman"/>
      <w:sz w:val="24"/>
      <w:szCs w:val="24"/>
    </w:rPr>
  </w:style>
  <w:style w:type="character" w:customStyle="1" w:styleId="25">
    <w:name w:val="Footer Char"/>
    <w:basedOn w:val="19"/>
    <w:qFormat/>
    <w:uiPriority w:val="0"/>
    <w:rPr>
      <w:rFonts w:ascii="Times New Roman" w:hAnsi="Times New Roman" w:cs="Times New Roman"/>
      <w:sz w:val="18"/>
      <w:szCs w:val="18"/>
    </w:rPr>
  </w:style>
  <w:style w:type="character" w:customStyle="1" w:styleId="26">
    <w:name w:val="Header Char"/>
    <w:basedOn w:val="19"/>
    <w:qFormat/>
    <w:uiPriority w:val="0"/>
    <w:rPr>
      <w:rFonts w:ascii="Times New Roman" w:hAnsi="Times New Roman" w:cs="Times New Roman"/>
      <w:sz w:val="18"/>
      <w:szCs w:val="18"/>
    </w:rPr>
  </w:style>
  <w:style w:type="paragraph" w:customStyle="1" w:styleId="27">
    <w:name w:val="Default"/>
    <w:qForma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8">
    <w:name w:val="列表段落1"/>
    <w:basedOn w:val="1"/>
    <w:qFormat/>
    <w:uiPriority w:val="0"/>
    <w:pPr>
      <w:ind w:firstLine="200" w:firstLineChars="200"/>
    </w:pPr>
  </w:style>
  <w:style w:type="paragraph" w:customStyle="1" w:styleId="29">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 w:type="character" w:customStyle="1" w:styleId="32">
    <w:name w:val="正文文本 Char"/>
    <w:link w:val="6"/>
    <w:qFormat/>
    <w:locked/>
    <w:uiPriority w:val="99"/>
    <w:rPr>
      <w:rFonts w:ascii="仿宋_GB2312" w:eastAsia="仿宋_GB2312"/>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36130;&#21153;\&#20915;&#31639;&#39044;&#31639;\2021\2021&#20915;&#31639;\&#22270;&#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36130;&#21153;\&#20915;&#31639;&#39044;&#31639;\2021\2021&#20915;&#31639;\&#22270;&#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36130;&#21153;\&#20915;&#31639;&#39044;&#31639;\2021\2021&#20915;&#31639;\&#22270;&#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36130;&#21153;\&#20915;&#31639;&#39044;&#31639;\2021\2021&#20915;&#31639;\&#22270;&#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36130;&#21153;\&#20915;&#31639;&#39044;&#31639;\2021\2021&#20915;&#31639;\&#22270;&#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36130;&#21153;\&#20915;&#31639;&#39044;&#31639;\2021\2021&#20915;&#31639;\&#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a:t>
            </a:r>
            <a:r>
              <a:rPr altLang="en-US"/>
              <a:t>：</a:t>
            </a:r>
            <a:r>
              <a:t>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manualLayout>
          <c:xMode val="edge"/>
          <c:yMode val="edge"/>
          <c:x val="0.104513888888889"/>
          <c:y val="0.0524934383202102"/>
        </c:manualLayout>
      </c:layout>
      <c:overlay val="0"/>
      <c:spPr>
        <a:noFill/>
        <a:ln>
          <a:noFill/>
        </a:ln>
        <a:effectLst/>
      </c:spPr>
    </c:title>
    <c:autoTitleDeleted val="0"/>
    <c:plotArea>
      <c:layout>
        <c:manualLayout>
          <c:layoutTarget val="inner"/>
          <c:xMode val="edge"/>
          <c:yMode val="edge"/>
          <c:x val="0.100222222222222"/>
          <c:y val="0.293088363954508"/>
          <c:w val="0.869222222222222"/>
          <c:h val="0.617392825896763"/>
        </c:manualLayout>
      </c:layout>
      <c:barChart>
        <c:barDir val="col"/>
        <c:grouping val="clustered"/>
        <c:varyColors val="0"/>
        <c:ser>
          <c:idx val="0"/>
          <c:order val="0"/>
          <c:tx>
            <c:strRef>
              <c:f>Sheet1!$F$4</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Sheet1!$G$3:$H$3</c:f>
              <c:numCache>
                <c:formatCode>General</c:formatCode>
                <c:ptCount val="2"/>
                <c:pt idx="0">
                  <c:v>2020</c:v>
                </c:pt>
                <c:pt idx="1">
                  <c:v>2021</c:v>
                </c:pt>
              </c:numCache>
            </c:numRef>
          </c:cat>
          <c:val>
            <c:numRef>
              <c:f>Sheet1!$G$4:$H$4</c:f>
              <c:numCache>
                <c:formatCode>General</c:formatCode>
                <c:ptCount val="2"/>
                <c:pt idx="0">
                  <c:v>1918.69</c:v>
                </c:pt>
                <c:pt idx="1">
                  <c:v>2175.64</c:v>
                </c:pt>
              </c:numCache>
            </c:numRef>
          </c:val>
        </c:ser>
        <c:dLbls>
          <c:showLegendKey val="0"/>
          <c:showVal val="1"/>
          <c:showCatName val="0"/>
          <c:showSerName val="0"/>
          <c:showPercent val="0"/>
          <c:showBubbleSize val="0"/>
        </c:dLbls>
        <c:gapWidth val="219"/>
        <c:overlap val="-27"/>
        <c:axId val="124524800"/>
        <c:axId val="124751872"/>
      </c:barChart>
      <c:catAx>
        <c:axId val="12452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4751872"/>
        <c:crosses val="autoZero"/>
        <c:auto val="1"/>
        <c:lblAlgn val="ctr"/>
        <c:lblOffset val="100"/>
        <c:noMultiLvlLbl val="0"/>
      </c:catAx>
      <c:valAx>
        <c:axId val="12475187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4524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图2：收入决算结构图</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overlay val="0"/>
      <c:spPr>
        <a:noFill/>
        <a:ln>
          <a:noFill/>
        </a:ln>
        <a:effectLst/>
      </c:spPr>
    </c:title>
    <c:autoTitleDeleted val="0"/>
    <c:plotArea>
      <c:layout/>
      <c:pieChart>
        <c:varyColors val="1"/>
        <c:ser>
          <c:idx val="0"/>
          <c:order val="0"/>
          <c:tx>
            <c:strRef>
              <c:f>Sheet1!$G$30</c:f>
              <c:strCache>
                <c:ptCount val="1"/>
                <c:pt idx="0">
                  <c:v>图2：收入决算结构图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250281609369456"/>
                  <c:y val="-0.02116618648568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836149527534722"/>
                  <c:y val="-0.03809306852600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Sheet1!$F$31:$F$32</c:f>
              <c:strCache>
                <c:ptCount val="2"/>
                <c:pt idx="0">
                  <c:v>一般公共预算财政拨款收入</c:v>
                </c:pt>
                <c:pt idx="1">
                  <c:v>事业收入</c:v>
                </c:pt>
              </c:strCache>
            </c:strRef>
          </c:cat>
          <c:val>
            <c:numRef>
              <c:f>Sheet1!$G$31:$G$32</c:f>
              <c:numCache>
                <c:formatCode>General</c:formatCode>
                <c:ptCount val="2"/>
                <c:pt idx="0">
                  <c:v>1197.63</c:v>
                </c:pt>
                <c:pt idx="1">
                  <c:v>849.49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图3：支出决算结构图 </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overlay val="0"/>
      <c:spPr>
        <a:noFill/>
        <a:ln>
          <a:noFill/>
        </a:ln>
        <a:effectLst/>
      </c:spPr>
    </c:title>
    <c:autoTitleDeleted val="0"/>
    <c:plotArea>
      <c:layout/>
      <c:pieChart>
        <c:varyColors val="1"/>
        <c:ser>
          <c:idx val="0"/>
          <c:order val="0"/>
          <c:tx>
            <c:strRef>
              <c:f>Sheet1!$G$42</c:f>
              <c:strCache>
                <c:ptCount val="1"/>
                <c:pt idx="0">
                  <c:v>图3：支出决算结构图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56282169498239"/>
                  <c:y val="-0.089656487786772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Sheet1!$F$43:$F$44</c:f>
              <c:strCache>
                <c:ptCount val="2"/>
                <c:pt idx="0">
                  <c:v>基本支出</c:v>
                </c:pt>
                <c:pt idx="1">
                  <c:v>项目支出</c:v>
                </c:pt>
              </c:strCache>
            </c:strRef>
          </c:cat>
          <c:val>
            <c:numRef>
              <c:f>Sheet1!$G$43:$G$44</c:f>
              <c:numCache>
                <c:formatCode>General</c:formatCode>
                <c:ptCount val="2"/>
                <c:pt idx="0">
                  <c:v>2057.77</c:v>
                </c:pt>
                <c:pt idx="1">
                  <c:v>117.87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4</a:t>
            </a:r>
            <a:r>
              <a:rPr altLang="en-US"/>
              <a:t>：财政拨款</a:t>
            </a:r>
            <a:r>
              <a:t>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overlay val="0"/>
      <c:spPr>
        <a:noFill/>
        <a:ln>
          <a:noFill/>
        </a:ln>
        <a:effectLst/>
      </c:spPr>
    </c:title>
    <c:autoTitleDeleted val="0"/>
    <c:plotArea>
      <c:layout/>
      <c:barChart>
        <c:barDir val="col"/>
        <c:grouping val="clustered"/>
        <c:varyColors val="0"/>
        <c:ser>
          <c:idx val="0"/>
          <c:order val="0"/>
          <c:tx>
            <c:strRef>
              <c:f>Sheet1!$F$59</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Sheet1!$G$58:$H$58</c:f>
              <c:numCache>
                <c:formatCode>General</c:formatCode>
                <c:ptCount val="2"/>
                <c:pt idx="0">
                  <c:v>2020</c:v>
                </c:pt>
                <c:pt idx="1">
                  <c:v>2021</c:v>
                </c:pt>
              </c:numCache>
            </c:numRef>
          </c:cat>
          <c:val>
            <c:numRef>
              <c:f>Sheet1!$G$59:$H$59</c:f>
              <c:numCache>
                <c:formatCode>General</c:formatCode>
                <c:ptCount val="2"/>
                <c:pt idx="0">
                  <c:v>1128.94</c:v>
                </c:pt>
                <c:pt idx="1">
                  <c:v>1326.15</c:v>
                </c:pt>
              </c:numCache>
            </c:numRef>
          </c:val>
        </c:ser>
        <c:dLbls>
          <c:showLegendKey val="0"/>
          <c:showVal val="1"/>
          <c:showCatName val="0"/>
          <c:showSerName val="0"/>
          <c:showPercent val="0"/>
          <c:showBubbleSize val="0"/>
        </c:dLbls>
        <c:gapWidth val="219"/>
        <c:overlap val="-27"/>
        <c:axId val="167994496"/>
        <c:axId val="167996032"/>
      </c:barChart>
      <c:catAx>
        <c:axId val="16799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7996032"/>
        <c:crosses val="autoZero"/>
        <c:auto val="1"/>
        <c:lblAlgn val="ctr"/>
        <c:lblOffset val="100"/>
        <c:noMultiLvlLbl val="0"/>
      </c:catAx>
      <c:valAx>
        <c:axId val="16799603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799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图5：一般公共预算财政拨款支出决算变动情况</a:t>
            </a:r>
          </a:p>
          <a:p>
            <a:pPr defTabSz="914400">
              <a:defRPr lang="zh-CN" sz="1400" b="0" i="0" u="none" strike="noStrike" kern="1200" spc="0" baseline="0">
                <a:solidFill>
                  <a:schemeClr val="tx1">
                    <a:lumMod val="65000"/>
                    <a:lumOff val="35000"/>
                  </a:schemeClr>
                </a:solidFill>
                <a:latin typeface="+mn-lt"/>
                <a:ea typeface="+mn-ea"/>
                <a:cs typeface="+mn-cs"/>
              </a:defRPr>
            </a:pPr>
            <a:r>
              <a:t>                                          单位：万元</a:t>
            </a:r>
          </a:p>
        </c:rich>
      </c:tx>
      <c:layout>
        <c:manualLayout>
          <c:xMode val="edge"/>
          <c:yMode val="edge"/>
          <c:x val="0.167839427846349"/>
          <c:y val="0.0225855022585502"/>
        </c:manualLayout>
      </c:layout>
      <c:overlay val="0"/>
      <c:spPr>
        <a:noFill/>
        <a:ln>
          <a:noFill/>
        </a:ln>
        <a:effectLst/>
      </c:spPr>
    </c:title>
    <c:autoTitleDeleted val="0"/>
    <c:plotArea>
      <c:layout/>
      <c:barChart>
        <c:barDir val="col"/>
        <c:grouping val="clustered"/>
        <c:varyColors val="0"/>
        <c:ser>
          <c:idx val="0"/>
          <c:order val="0"/>
          <c:tx>
            <c:strRef>
              <c:f>Sheet1!$F$71</c:f>
              <c:strCache>
                <c:ptCount val="1"/>
                <c:pt idx="0">
                  <c:v>图5：一般公共预算财政拨款支出决算变动情况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Sheet1!$G$70:$H$70</c:f>
              <c:numCache>
                <c:formatCode>General</c:formatCode>
                <c:ptCount val="2"/>
                <c:pt idx="0">
                  <c:v>2020</c:v>
                </c:pt>
                <c:pt idx="1">
                  <c:v>2021</c:v>
                </c:pt>
              </c:numCache>
            </c:numRef>
          </c:cat>
          <c:val>
            <c:numRef>
              <c:f>Sheet1!$G$71:$H$71</c:f>
              <c:numCache>
                <c:formatCode>General</c:formatCode>
                <c:ptCount val="2"/>
                <c:pt idx="0">
                  <c:v>984.41</c:v>
                </c:pt>
                <c:pt idx="1">
                  <c:v>1326.15</c:v>
                </c:pt>
              </c:numCache>
            </c:numRef>
          </c:val>
        </c:ser>
        <c:dLbls>
          <c:showLegendKey val="0"/>
          <c:showVal val="1"/>
          <c:showCatName val="0"/>
          <c:showSerName val="0"/>
          <c:showPercent val="0"/>
          <c:showBubbleSize val="0"/>
        </c:dLbls>
        <c:gapWidth val="219"/>
        <c:overlap val="-27"/>
        <c:axId val="168032512"/>
        <c:axId val="168280064"/>
      </c:barChart>
      <c:catAx>
        <c:axId val="1680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8280064"/>
        <c:crosses val="autoZero"/>
        <c:auto val="1"/>
        <c:lblAlgn val="ctr"/>
        <c:lblOffset val="100"/>
        <c:noMultiLvlLbl val="0"/>
      </c:catAx>
      <c:valAx>
        <c:axId val="1682800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8032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Sheet1!$G$81</c:f>
              <c:strCache>
                <c:ptCount val="1"/>
                <c:pt idx="0">
                  <c:v>图6：一般公共预算财政拨款支出决算结构</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Sheet1!$F$82:$F$85</c:f>
              <c:strCache>
                <c:ptCount val="4"/>
                <c:pt idx="0">
                  <c:v>社会保障和就业支出</c:v>
                </c:pt>
                <c:pt idx="1">
                  <c:v>卫生健康支出</c:v>
                </c:pt>
                <c:pt idx="2">
                  <c:v>住房保障支出</c:v>
                </c:pt>
                <c:pt idx="3">
                  <c:v>农林水支出</c:v>
                </c:pt>
              </c:strCache>
            </c:strRef>
          </c:cat>
          <c:val>
            <c:numRef>
              <c:f>Sheet1!$G$82:$G$85</c:f>
              <c:numCache>
                <c:formatCode>General</c:formatCode>
                <c:ptCount val="4"/>
                <c:pt idx="0">
                  <c:v>111.8</c:v>
                </c:pt>
                <c:pt idx="1">
                  <c:v>1133.99</c:v>
                </c:pt>
                <c:pt idx="2">
                  <c:v>78.44</c:v>
                </c:pt>
                <c:pt idx="3">
                  <c:v>1.91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1</Pages>
  <Words>1536</Words>
  <Characters>8761</Characters>
  <Lines>73</Lines>
  <Paragraphs>20</Paragraphs>
  <TotalTime>531</TotalTime>
  <ScaleCrop>false</ScaleCrop>
  <LinksUpToDate>false</LinksUpToDate>
  <CharactersWithSpaces>10277</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2022-09-27T10:32:00Z</cp:lastPrinted>
  <dcterms:modified xsi:type="dcterms:W3CDTF">2022-09-28T17:35:08Z</dcterms:modified>
  <dc:title>阿坝州部门决算说明</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02EE7FF04F78DCB64C15346334A6549E</vt:lpwstr>
  </property>
</Properties>
</file>