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bidi w:val="0"/>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both"/>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475"/>
      <w:bookmarkStart w:id="3" w:name="_Toc15378441"/>
      <w:bookmarkStart w:id="4" w:name="_Toc15377425"/>
      <w:bookmarkStart w:id="5" w:name="_Toc15396597"/>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194"/>
      <w:bookmarkStart w:id="7" w:name="_Toc15378442"/>
      <w:bookmarkStart w:id="8" w:name="_Toc15377426"/>
      <w:bookmarkStart w:id="9" w:name="_Toc15396476"/>
      <w:bookmarkStart w:id="10" w:name="_Toc15396598"/>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w:t>
      </w:r>
      <w:r>
        <w:rPr>
          <w:rFonts w:ascii="方正小标宋简体" w:hAnsi="宋体" w:eastAsia="方正小标宋简体"/>
          <w:color w:val="000000"/>
          <w:sz w:val="44"/>
          <w:szCs w:val="44"/>
        </w:rPr>
        <w:t>社会保险事业管理局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2"/>
        <w:adjustRightInd w:val="0"/>
        <w:snapToGrid w:val="0"/>
        <w:spacing w:before="0" w:line="576" w:lineRule="exact"/>
        <w:jc w:val="left"/>
        <w:rPr>
          <w:rFonts w:ascii="仿宋_GB2312" w:hAnsi="仿宋_GB2312" w:eastAsia="仿宋_GB2312" w:cs="仿宋_GB2312"/>
          <w:sz w:val="32"/>
          <w:szCs w:val="32"/>
        </w:rPr>
      </w:pPr>
      <w:r>
        <w:rPr>
          <w:rFonts w:hint="eastAsia" w:ascii="仿宋_GB2312" w:eastAsia="仿宋_GB2312"/>
          <w:sz w:val="32"/>
          <w:szCs w:val="32"/>
        </w:rPr>
        <w:t>第一部分</w:t>
      </w:r>
      <w:r>
        <w:rPr>
          <w:rFonts w:hint="eastAsia" w:ascii="仿宋_GB2312" w:eastAsia="仿宋_GB2312"/>
          <w:sz w:val="32"/>
          <w:szCs w:val="32"/>
          <w:lang w:val="en-US" w:eastAsia="zh-CN"/>
        </w:rPr>
        <w:t xml:space="preserve"> </w:t>
      </w:r>
      <w:r>
        <w:rPr>
          <w:rFonts w:hint="eastAsia" w:ascii="仿宋_GB2312" w:eastAsia="仿宋_GB2312"/>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p>
    <w:p>
      <w:pPr>
        <w:pStyle w:val="13"/>
        <w:adjustRightInd w:val="0"/>
        <w:snapToGrid w:val="0"/>
        <w:spacing w:line="440" w:lineRule="exact"/>
        <w:jc w:val="left"/>
        <w:rPr>
          <w:rFonts w:hint="eastAsia" w:ascii="仿宋_GB2312" w:hAnsi="仿宋" w:eastAsia="仿宋_GB2312"/>
          <w:sz w:val="32"/>
          <w:szCs w:val="32"/>
        </w:rPr>
      </w:pPr>
      <w:r>
        <w:rPr>
          <w:rFonts w:hint="eastAsia" w:ascii="仿宋_GB2312" w:eastAsia="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p>
    <w:p>
      <w:pPr>
        <w:pStyle w:val="12"/>
        <w:adjustRightInd w:val="0"/>
        <w:snapToGrid w:val="0"/>
        <w:spacing w:before="0" w:line="440" w:lineRule="exact"/>
        <w:jc w:val="left"/>
        <w:rPr>
          <w:rFonts w:hint="eastAsia" w:ascii="仿宋_GB2312" w:eastAsia="仿宋_GB2312"/>
          <w:sz w:val="32"/>
          <w:szCs w:val="32"/>
        </w:rPr>
      </w:pPr>
      <w:r>
        <w:rPr>
          <w:rFonts w:hint="eastAsia" w:ascii="仿宋_GB2312" w:eastAsia="仿宋_GB2312"/>
          <w:sz w:val="32"/>
          <w:szCs w:val="32"/>
        </w:rPr>
        <w:t>第二部分</w:t>
      </w:r>
      <w:r>
        <w:rPr>
          <w:rFonts w:hint="eastAsia" w:ascii="仿宋_GB2312" w:eastAsia="仿宋_GB2312"/>
          <w:sz w:val="32"/>
          <w:szCs w:val="32"/>
          <w:lang w:val="en-US" w:eastAsia="zh-CN"/>
        </w:rPr>
        <w:t xml:space="preserve"> 2019年</w:t>
      </w:r>
      <w:r>
        <w:rPr>
          <w:rFonts w:hint="eastAsia" w:ascii="仿宋_GB2312" w:eastAsia="仿宋_GB2312"/>
          <w:sz w:val="32"/>
          <w:szCs w:val="32"/>
        </w:rPr>
        <w:t>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11</w:t>
      </w:r>
    </w:p>
    <w:p>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p>
    <w:p>
      <w:pPr>
        <w:pStyle w:val="13"/>
        <w:adjustRightInd w:val="0"/>
        <w:snapToGrid w:val="0"/>
        <w:spacing w:line="440" w:lineRule="exact"/>
        <w:ind w:leftChars="0"/>
        <w:jc w:val="left"/>
        <w:rPr>
          <w:rFonts w:hint="eastAsia" w:ascii="仿宋_GB2312" w:hAnsi="仿宋_GB2312" w:eastAsia="仿宋_GB2312" w:cs="仿宋_GB2312"/>
          <w:sz w:val="32"/>
          <w:szCs w:val="32"/>
          <w:lang w:eastAsia="zh-CN"/>
        </w:rPr>
      </w:pPr>
      <w:r>
        <w:rPr>
          <w:rFonts w:hint="eastAsia" w:ascii="仿宋_GB2312" w:hAnsi="仿宋" w:eastAsia="仿宋_GB2312"/>
          <w:sz w:val="32"/>
          <w:szCs w:val="32"/>
        </w:rPr>
        <w:t>九、</w:t>
      </w:r>
      <w:r>
        <w:rPr>
          <w:rFonts w:hint="eastAsia" w:ascii="仿宋_GB2312" w:eastAsia="仿宋_GB2312"/>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p>
    <w:p>
      <w:pPr>
        <w:pStyle w:val="13"/>
        <w:adjustRightInd w:val="0"/>
        <w:snapToGrid w:val="0"/>
        <w:spacing w:line="440" w:lineRule="exact"/>
        <w:ind w:leftChars="0"/>
        <w:jc w:val="left"/>
        <w:rPr>
          <w:rFonts w:hint="eastAsia"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p>
    <w:p>
      <w:pPr>
        <w:pStyle w:val="12"/>
        <w:adjustRightInd w:val="0"/>
        <w:snapToGrid w:val="0"/>
        <w:spacing w:before="0" w:line="440" w:lineRule="exact"/>
        <w:jc w:val="left"/>
        <w:rPr>
          <w:rFonts w:hint="eastAsia" w:ascii="仿宋_GB2312" w:eastAsia="仿宋_GB2312" w:cstheme="minorBidi"/>
          <w:sz w:val="32"/>
          <w:szCs w:val="32"/>
        </w:rPr>
      </w:pPr>
      <w:r>
        <w:rPr>
          <w:rFonts w:hint="eastAsia" w:ascii="仿宋_GB2312" w:eastAsia="仿宋_GB2312"/>
          <w:sz w:val="32"/>
          <w:szCs w:val="32"/>
        </w:rPr>
        <w:t>第三部分</w:t>
      </w:r>
      <w:r>
        <w:rPr>
          <w:rFonts w:hint="eastAsia" w:ascii="仿宋_GB2312" w:eastAsia="仿宋_GB2312"/>
          <w:sz w:val="32"/>
          <w:szCs w:val="32"/>
          <w:lang w:val="en-US" w:eastAsia="zh-CN"/>
        </w:rPr>
        <w:t xml:space="preserve"> </w:t>
      </w:r>
      <w:r>
        <w:rPr>
          <w:rFonts w:hint="eastAsia" w:ascii="仿宋_GB2312" w:eastAsia="仿宋_GB2312"/>
          <w:sz w:val="32"/>
          <w:szCs w:val="32"/>
        </w:rPr>
        <w:t>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14</w:t>
      </w:r>
    </w:p>
    <w:p>
      <w:pPr>
        <w:pStyle w:val="12"/>
        <w:adjustRightInd w:val="0"/>
        <w:snapToGrid w:val="0"/>
        <w:spacing w:before="0" w:line="440" w:lineRule="exact"/>
        <w:jc w:val="left"/>
        <w:rPr>
          <w:rFonts w:hint="eastAsia" w:ascii="仿宋_GB2312" w:eastAsia="仿宋_GB2312"/>
          <w:sz w:val="32"/>
          <w:szCs w:val="32"/>
        </w:rPr>
      </w:pPr>
      <w:r>
        <w:rPr>
          <w:rFonts w:hint="eastAsia" w:ascii="仿宋_GB2312" w:eastAsia="仿宋_GB2312"/>
          <w:sz w:val="32"/>
          <w:szCs w:val="32"/>
        </w:rPr>
        <w:t>第四部分</w:t>
      </w:r>
      <w:r>
        <w:rPr>
          <w:rFonts w:hint="eastAsia" w:ascii="仿宋_GB2312" w:eastAsia="仿宋_GB2312"/>
          <w:sz w:val="32"/>
          <w:szCs w:val="32"/>
          <w:lang w:val="en-US" w:eastAsia="zh-CN"/>
        </w:rPr>
        <w:t xml:space="preserve"> </w:t>
      </w:r>
      <w:r>
        <w:rPr>
          <w:rFonts w:hint="eastAsia" w:ascii="仿宋_GB2312" w:eastAsia="仿宋_GB2312"/>
          <w:sz w:val="32"/>
          <w:szCs w:val="32"/>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17</w:t>
      </w:r>
    </w:p>
    <w:p>
      <w:pPr>
        <w:pStyle w:val="12"/>
        <w:adjustRightInd w:val="0"/>
        <w:snapToGrid w:val="0"/>
        <w:spacing w:before="0" w:line="440" w:lineRule="exact"/>
        <w:ind w:firstLine="320" w:firstLineChars="100"/>
        <w:jc w:val="left"/>
        <w:rPr>
          <w:rFonts w:hint="eastAsia" w:ascii="仿宋_GB2312" w:eastAsia="仿宋_GB2312" w:cstheme="minorBidi"/>
          <w:sz w:val="32"/>
          <w:szCs w:val="32"/>
        </w:rPr>
      </w:pPr>
      <w:r>
        <w:rPr>
          <w:rFonts w:hint="eastAsia" w:ascii="仿宋_GB2312" w:eastAsia="仿宋_GB2312" w:hAnsiTheme="minorEastAsia"/>
          <w:color w:val="000000"/>
          <w:kern w:val="0"/>
          <w:sz w:val="32"/>
          <w:szCs w:val="32"/>
        </w:rPr>
        <w:t>茂县社会保险事业管理局2019年部门</w:t>
      </w:r>
      <w:r>
        <w:rPr>
          <w:rFonts w:hint="eastAsia" w:ascii="仿宋_GB2312" w:eastAsia="仿宋_GB2312" w:hAnsiTheme="minorEastAsia"/>
          <w:color w:val="000000"/>
          <w:kern w:val="0"/>
          <w:sz w:val="32"/>
          <w:szCs w:val="32"/>
          <w:lang w:val="zh-CN"/>
        </w:rPr>
        <w:t>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17</w:t>
      </w:r>
    </w:p>
    <w:p>
      <w:pPr>
        <w:pStyle w:val="12"/>
        <w:adjustRightInd w:val="0"/>
        <w:snapToGrid w:val="0"/>
        <w:spacing w:before="0" w:line="440" w:lineRule="exact"/>
        <w:jc w:val="left"/>
        <w:rPr>
          <w:rFonts w:hint="eastAsia" w:ascii="仿宋_GB2312" w:eastAsia="仿宋_GB2312" w:cstheme="minorBidi"/>
          <w:sz w:val="32"/>
          <w:szCs w:val="32"/>
          <w:lang w:eastAsia="zh-CN"/>
        </w:rPr>
      </w:pPr>
      <w:r>
        <w:rPr>
          <w:rFonts w:hint="eastAsia" w:ascii="仿宋_GB2312" w:eastAsia="仿宋_GB2312"/>
          <w:sz w:val="32"/>
          <w:szCs w:val="32"/>
        </w:rPr>
        <w:t>第五部分</w:t>
      </w:r>
      <w:r>
        <w:rPr>
          <w:rFonts w:hint="eastAsia" w:ascii="仿宋_GB2312" w:eastAsia="仿宋_GB2312"/>
          <w:sz w:val="32"/>
          <w:szCs w:val="32"/>
          <w:lang w:val="en-US" w:eastAsia="zh-CN"/>
        </w:rPr>
        <w:t xml:space="preserve"> </w:t>
      </w:r>
      <w:r>
        <w:rPr>
          <w:rFonts w:hint="eastAsia" w:ascii="仿宋_GB2312" w:eastAsia="仿宋_GB2312"/>
          <w:sz w:val="32"/>
          <w:szCs w:val="32"/>
        </w:rPr>
        <w:t>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一、</w:t>
      </w:r>
      <w:r>
        <w:rPr>
          <w:rFonts w:hint="eastAsia" w:ascii="仿宋_GB2312" w:eastAsia="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二、</w:t>
      </w:r>
      <w:r>
        <w:rPr>
          <w:rFonts w:hint="eastAsia" w:ascii="仿宋_GB2312" w:eastAsia="仿宋_GB2312"/>
          <w:sz w:val="32"/>
          <w:szCs w:val="32"/>
        </w:rPr>
        <w:t>收入</w:t>
      </w:r>
      <w:r>
        <w:rPr>
          <w:rFonts w:hint="eastAsia" w:ascii="仿宋_GB2312" w:hAnsi="仿宋" w:eastAsia="仿宋_GB2312"/>
          <w:sz w:val="32"/>
          <w:szCs w:val="32"/>
        </w:rPr>
        <w:t>决算</w:t>
      </w:r>
      <w:r>
        <w:rPr>
          <w:rFonts w:hint="eastAsia" w:ascii="仿宋_GB2312" w:eastAsia="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三、</w:t>
      </w:r>
      <w:r>
        <w:rPr>
          <w:rFonts w:hint="eastAsia" w:ascii="仿宋_GB2312" w:eastAsia="仿宋_GB2312"/>
          <w:sz w:val="32"/>
          <w:szCs w:val="32"/>
        </w:rPr>
        <w:t>支出</w:t>
      </w:r>
      <w:r>
        <w:rPr>
          <w:rFonts w:hint="eastAsia" w:ascii="仿宋_GB2312" w:hAnsi="仿宋" w:eastAsia="仿宋_GB2312"/>
          <w:sz w:val="32"/>
          <w:szCs w:val="32"/>
        </w:rPr>
        <w:t>决算</w:t>
      </w:r>
      <w:r>
        <w:rPr>
          <w:rFonts w:hint="eastAsia" w:ascii="仿宋_GB2312" w:eastAsia="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四、</w:t>
      </w:r>
      <w:r>
        <w:rPr>
          <w:rFonts w:hint="eastAsia" w:ascii="仿宋_GB2312" w:eastAsia="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sz w:val="32"/>
          <w:szCs w:val="32"/>
          <w:lang w:eastAsia="zh-CN"/>
        </w:rPr>
      </w:pPr>
      <w:r>
        <w:rPr>
          <w:rFonts w:hint="eastAsia" w:ascii="仿宋_GB2312" w:hAnsi="仿宋" w:eastAsia="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六、</w:t>
      </w:r>
      <w:r>
        <w:rPr>
          <w:rFonts w:hint="eastAsia" w:ascii="仿宋_GB2312" w:eastAsia="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七、</w:t>
      </w:r>
      <w:r>
        <w:rPr>
          <w:rFonts w:hint="eastAsia" w:ascii="仿宋_GB2312" w:eastAsia="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八、</w:t>
      </w:r>
      <w:r>
        <w:rPr>
          <w:rFonts w:hint="eastAsia" w:ascii="仿宋_GB2312" w:eastAsia="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九、</w:t>
      </w:r>
      <w:r>
        <w:rPr>
          <w:rFonts w:hint="eastAsia" w:ascii="仿宋_GB2312" w:eastAsia="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十、</w:t>
      </w:r>
      <w:r>
        <w:rPr>
          <w:rFonts w:hint="eastAsia" w:ascii="仿宋_GB2312" w:eastAsia="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十一、</w:t>
      </w:r>
      <w:r>
        <w:rPr>
          <w:rFonts w:hint="eastAsia" w:ascii="仿宋_GB2312" w:eastAsia="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十二、</w:t>
      </w:r>
      <w:r>
        <w:rPr>
          <w:rFonts w:hint="eastAsia" w:ascii="仿宋_GB2312" w:eastAsia="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pStyle w:val="13"/>
        <w:adjustRightInd w:val="0"/>
        <w:snapToGrid w:val="0"/>
        <w:spacing w:line="440" w:lineRule="exact"/>
        <w:jc w:val="left"/>
        <w:rPr>
          <w:rFonts w:hint="eastAsia" w:ascii="仿宋_GB2312" w:hAnsi="仿宋" w:eastAsia="仿宋_GB2312" w:cstheme="minorBidi"/>
          <w:sz w:val="32"/>
          <w:szCs w:val="32"/>
          <w:lang w:eastAsia="zh-CN"/>
        </w:rPr>
      </w:pPr>
      <w:r>
        <w:rPr>
          <w:rFonts w:hint="eastAsia" w:ascii="仿宋_GB2312" w:hAnsi="仿宋" w:eastAsia="仿宋_GB2312"/>
          <w:sz w:val="32"/>
          <w:szCs w:val="32"/>
        </w:rPr>
        <w:t>十三、</w:t>
      </w:r>
      <w:r>
        <w:rPr>
          <w:rFonts w:hint="eastAsia" w:ascii="仿宋_GB2312" w:eastAsia="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p>
    <w:p>
      <w:pPr>
        <w:widowControl/>
        <w:adjustRightInd w:val="0"/>
        <w:snapToGrid w:val="0"/>
        <w:spacing w:line="440" w:lineRule="exact"/>
        <w:ind w:firstLine="1760" w:firstLineChars="550"/>
        <w:jc w:val="left"/>
        <w:rPr>
          <w:rFonts w:hint="eastAsia" w:ascii="仿宋_GB2312" w:hAnsi="仿宋" w:eastAsia="仿宋_GB2312"/>
          <w:color w:val="FF0000"/>
          <w:sz w:val="32"/>
          <w:szCs w:val="32"/>
        </w:rPr>
      </w:pPr>
    </w:p>
    <w:p>
      <w:pPr>
        <w:widowControl/>
        <w:spacing w:line="440" w:lineRule="exact"/>
        <w:jc w:val="left"/>
        <w:rPr>
          <w:rFonts w:hint="eastAsia" w:ascii="仿宋_GB2312" w:hAnsi="仿宋" w:eastAsia="仿宋_GB2312"/>
          <w:bCs/>
          <w:kern w:val="44"/>
          <w:sz w:val="32"/>
          <w:szCs w:val="32"/>
        </w:rPr>
      </w:pPr>
      <w:bookmarkStart w:id="12" w:name="_Toc15396599"/>
      <w:bookmarkStart w:id="13" w:name="_Toc15377196"/>
      <w:r>
        <w:rPr>
          <w:rFonts w:hint="eastAsia" w:ascii="仿宋_GB2312" w:hAnsi="仿宋" w:eastAsia="仿宋_GB2312"/>
          <w:b/>
          <w:sz w:val="32"/>
          <w:szCs w:val="32"/>
        </w:rPr>
        <w:br w:type="page"/>
      </w:r>
    </w:p>
    <w:p>
      <w:pPr>
        <w:pStyle w:val="4"/>
        <w:numPr>
          <w:ilvl w:val="0"/>
          <w:numId w:val="1"/>
        </w:numPr>
        <w:spacing w:before="0" w:after="0" w:line="600" w:lineRule="exact"/>
        <w:jc w:val="center"/>
        <w:rPr>
          <w:rStyle w:val="27"/>
          <w:rFonts w:hint="eastAsia" w:ascii="黑体" w:hAnsi="黑体" w:eastAsia="黑体"/>
          <w:b w:val="0"/>
          <w:bCs w:val="0"/>
        </w:rPr>
      </w:pPr>
      <w:r>
        <w:rPr>
          <w:rStyle w:val="27"/>
          <w:rFonts w:hint="eastAsia" w:ascii="黑体" w:hAnsi="黑体" w:eastAsia="黑体"/>
          <w:b w:val="0"/>
          <w:bCs w:val="0"/>
        </w:rPr>
        <w:t>部门概况</w:t>
      </w:r>
      <w:bookmarkEnd w:id="12"/>
      <w:bookmarkEnd w:id="13"/>
    </w:p>
    <w:p>
      <w:pPr>
        <w:numPr>
          <w:ilvl w:val="0"/>
          <w:numId w:val="0"/>
        </w:numPr>
      </w:pPr>
    </w:p>
    <w:p>
      <w:pPr>
        <w:pStyle w:val="5"/>
        <w:spacing w:before="0" w:after="0" w:line="600" w:lineRule="exact"/>
        <w:ind w:firstLine="640" w:firstLineChars="200"/>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7"/>
        <w:adjustRightInd w:val="0"/>
        <w:snapToGrid w:val="0"/>
        <w:spacing w:beforeLines="0" w:line="600" w:lineRule="exact"/>
        <w:ind w:firstLine="643" w:firstLineChars="200"/>
        <w:outlineLvl w:val="2"/>
        <w:rPr>
          <w:rFonts w:ascii="楷体" w:hAnsi="楷体" w:eastAsia="楷体"/>
          <w:b/>
          <w:bCs w:val="0"/>
          <w:color w:val="000000"/>
          <w:sz w:val="32"/>
          <w:szCs w:val="32"/>
        </w:rPr>
      </w:pPr>
      <w:bookmarkStart w:id="16" w:name="_Toc15377198"/>
      <w:bookmarkStart w:id="17" w:name="_Toc15378445"/>
      <w:r>
        <w:rPr>
          <w:rFonts w:hint="eastAsia" w:ascii="楷体" w:hAnsi="楷体" w:eastAsia="楷体"/>
          <w:b/>
          <w:bCs w:val="0"/>
          <w:color w:val="000000"/>
          <w:sz w:val="32"/>
          <w:szCs w:val="32"/>
        </w:rPr>
        <w:t>（一）主要职能</w:t>
      </w:r>
      <w:bookmarkEnd w:id="16"/>
      <w:bookmarkEnd w:id="17"/>
    </w:p>
    <w:p>
      <w:pPr>
        <w:pStyle w:val="7"/>
        <w:adjustRightInd w:val="0"/>
        <w:snapToGrid w:val="0"/>
        <w:spacing w:beforeLines="0" w:line="600" w:lineRule="exact"/>
        <w:ind w:firstLine="672" w:firstLineChars="210"/>
        <w:outlineLvl w:val="2"/>
        <w:rPr>
          <w:rFonts w:ascii="仿宋" w:hAnsi="仿宋" w:eastAsia="仿宋"/>
          <w:bCs/>
          <w:color w:val="000000"/>
          <w:sz w:val="32"/>
          <w:szCs w:val="32"/>
        </w:rPr>
      </w:pPr>
      <w:r>
        <w:rPr>
          <w:rFonts w:hint="eastAsia" w:hAnsi="宋体" w:cs="Arial"/>
          <w:color w:val="333333"/>
          <w:sz w:val="32"/>
          <w:szCs w:val="32"/>
        </w:rPr>
        <w:t>贯彻执行国家、省、州有关社会保险政策和法律、法规，负责全县企业基本养老保险、机关事业养老保险、职业年金、工伤保险等社会保险工作。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1.负责辖区内参保单位和个人社会保险基金的征收、管理、审核等工作。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2.承办辖区参保单位社会保险登记、变更、注销。职工养老保险关系转移，灵活就业人员参保、续保工作。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3.审核参保职工养老、工伤申报资料，计算其待遇，按时足额发放待遇。</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4.负责参保单位和个人养老、工伤保险的日常管理工作；负责社会保险数据、信息的处理和管理，参保个人帐户的建立和管理。</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5.为参保单位和个人、提供有关养老、工伤保险的政策宣传咨询服务，受理群众来信来访。</w:t>
      </w:r>
    </w:p>
    <w:p>
      <w:pPr>
        <w:pStyle w:val="7"/>
        <w:adjustRightInd w:val="0"/>
        <w:snapToGrid w:val="0"/>
        <w:spacing w:beforeLines="0" w:line="600" w:lineRule="exact"/>
        <w:ind w:firstLine="675" w:firstLineChars="210"/>
        <w:outlineLvl w:val="2"/>
        <w:rPr>
          <w:rFonts w:ascii="楷体" w:hAnsi="楷体" w:eastAsia="楷体"/>
          <w:bCs/>
          <w:color w:val="000000"/>
          <w:sz w:val="32"/>
          <w:szCs w:val="32"/>
        </w:rPr>
      </w:pPr>
      <w:bookmarkStart w:id="18" w:name="_Toc15378446"/>
      <w:bookmarkStart w:id="19" w:name="_Toc15377199"/>
      <w:r>
        <w:rPr>
          <w:rFonts w:hint="eastAsia" w:ascii="楷体" w:hAnsi="楷体" w:eastAsia="楷体"/>
          <w:b/>
          <w:bCs w:val="0"/>
          <w:color w:val="000000"/>
          <w:sz w:val="32"/>
          <w:szCs w:val="32"/>
        </w:rPr>
        <w:t>（二）2019年重点工作完成情况</w:t>
      </w:r>
      <w:bookmarkEnd w:id="18"/>
      <w:bookmarkEnd w:id="19"/>
    </w:p>
    <w:p>
      <w:pPr>
        <w:spacing w:line="600" w:lineRule="exact"/>
        <w:ind w:firstLine="640" w:firstLineChars="200"/>
        <w:rPr>
          <w:rFonts w:ascii="仿宋_GB2312" w:hAnsi="楷体_GB2312" w:eastAsia="仿宋_GB2312" w:cs="楷体_GB2312"/>
          <w:b/>
          <w:bCs/>
          <w:sz w:val="32"/>
          <w:szCs w:val="32"/>
        </w:rPr>
      </w:pPr>
      <w:r>
        <w:rPr>
          <w:rFonts w:hint="eastAsia" w:ascii="仿宋_GB2312" w:hAnsi="仿宋" w:eastAsia="仿宋_GB2312" w:cs="仿宋"/>
          <w:sz w:val="32"/>
          <w:szCs w:val="32"/>
        </w:rPr>
        <w:t>2019年，我局在县委、县政府的领导下，州县人社局的业务指导下，</w:t>
      </w:r>
      <w:r>
        <w:rPr>
          <w:rFonts w:hint="eastAsia" w:ascii="仿宋_GB2312" w:eastAsia="仿宋_GB2312"/>
          <w:color w:val="333333"/>
          <w:sz w:val="32"/>
          <w:szCs w:val="32"/>
        </w:rPr>
        <w:t>紧紧围绕我县人社中心工作，开展“政策宣传、深度扩面征缴”专项行动，确保“扩面征缴、待遇发放、基金安全”到位，做好“机关事业养老保险改革、全民参保登记、经办服务下延至乡镇”等重点工作，努力打造“精准社保、身边社保、放心社保”,为我县经济发展、改善民生、社会稳定服务，推进社会保险更加公平可持续发展。</w:t>
      </w:r>
    </w:p>
    <w:p>
      <w:pPr>
        <w:pStyle w:val="5"/>
        <w:spacing w:before="0" w:after="0" w:line="600" w:lineRule="exact"/>
        <w:ind w:firstLine="640" w:firstLineChars="200"/>
        <w:rPr>
          <w:rStyle w:val="28"/>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spacing w:line="600" w:lineRule="exact"/>
        <w:ind w:firstLine="800" w:firstLineChars="250"/>
        <w:rPr>
          <w:rFonts w:hint="eastAsia" w:ascii="仿宋_GB2312" w:hAnsi="仿宋" w:eastAsia="仿宋_GB2312"/>
          <w:sz w:val="32"/>
          <w:szCs w:val="32"/>
          <w:lang w:eastAsia="zh-CN"/>
        </w:rPr>
      </w:pPr>
      <w:r>
        <w:rPr>
          <w:rFonts w:hint="eastAsia" w:ascii="仿宋_GB2312" w:eastAsia="仿宋_GB2312"/>
          <w:sz w:val="32"/>
          <w:szCs w:val="32"/>
        </w:rPr>
        <w:t>茂县社会保险事业管理局属一级预算单位。</w:t>
      </w:r>
      <w:r>
        <w:rPr>
          <w:rFonts w:hint="eastAsia" w:ascii="仿宋_GB2312" w:hAnsi="仿宋" w:eastAsia="仿宋_GB2312"/>
          <w:sz w:val="32"/>
          <w:szCs w:val="32"/>
        </w:rPr>
        <w:t>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r>
        <w:rPr>
          <w:rFonts w:hint="eastAsia" w:ascii="仿宋_GB2312" w:hAnsi="仿宋" w:eastAsia="仿宋_GB2312"/>
          <w:sz w:val="32"/>
          <w:szCs w:val="32"/>
          <w:lang w:eastAsia="zh-CN"/>
        </w:rPr>
        <w:t>。</w:t>
      </w:r>
    </w:p>
    <w:p>
      <w:pPr>
        <w:widowControl/>
        <w:spacing w:line="600" w:lineRule="exact"/>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7"/>
          <w:rFonts w:hint="eastAsia" w:ascii="黑体" w:hAnsi="黑体" w:eastAsia="黑体"/>
          <w:b w:val="0"/>
          <w:bCs w:val="0"/>
        </w:rPr>
        <w:t>2019年度部门决算情况说明</w:t>
      </w:r>
      <w:bookmarkEnd w:id="22"/>
      <w:bookmarkEnd w:id="23"/>
    </w:p>
    <w:p>
      <w:pPr>
        <w:pStyle w:val="26"/>
        <w:numPr>
          <w:ilvl w:val="0"/>
          <w:numId w:val="2"/>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1370965</wp:posOffset>
            </wp:positionV>
            <wp:extent cx="4880610" cy="3185160"/>
            <wp:effectExtent l="19050" t="0" r="15240" b="0"/>
            <wp:wrapSquare wrapText="bothSides"/>
            <wp:docPr id="19"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2019年度收、支总计395.64万元。与2018年相比，收、支总计各增加46.91万元，增长13.45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sz w:val="32"/>
          <w:szCs w:val="32"/>
        </w:rPr>
        <w:t>增加了退休人员经费。</w:t>
      </w:r>
    </w:p>
    <w:p>
      <w:pPr>
        <w:spacing w:line="600" w:lineRule="exact"/>
        <w:ind w:firstLine="800" w:firstLineChars="2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6"/>
        <w:numPr>
          <w:ilvl w:val="0"/>
          <w:numId w:val="2"/>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9年本年收入合计389.78万元，其中：一般公共预算财政拨款收入389.78万元，占100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0" distR="0">
            <wp:extent cx="4888230" cy="2750820"/>
            <wp:effectExtent l="4445" t="4445" r="14605" b="18415"/>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440" w:firstLineChars="4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numPr>
          <w:ilvl w:val="0"/>
          <w:numId w:val="2"/>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9年本年支出合计348.96万元，其中：基本支出324.89万元，占93.10</w:t>
      </w:r>
      <w:r>
        <w:rPr>
          <w:rFonts w:ascii="仿宋" w:hAnsi="仿宋" w:eastAsia="仿宋"/>
          <w:color w:val="000000"/>
          <w:sz w:val="32"/>
          <w:szCs w:val="32"/>
        </w:rPr>
        <w:t>%</w:t>
      </w:r>
      <w:r>
        <w:rPr>
          <w:rFonts w:hint="eastAsia" w:ascii="仿宋" w:hAnsi="仿宋" w:eastAsia="仿宋"/>
          <w:color w:val="000000"/>
          <w:sz w:val="32"/>
          <w:szCs w:val="32"/>
        </w:rPr>
        <w:t>；项目支出24.07万元，占6.9</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0" distR="0">
            <wp:extent cx="4888230" cy="2750820"/>
            <wp:effectExtent l="19050" t="0" r="2667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760" w:firstLineChars="5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w:t>
      </w:r>
      <w:r>
        <w:rPr>
          <w:rFonts w:hint="eastAsia" w:ascii="黑体" w:hAnsi="黑体" w:eastAsia="黑体"/>
          <w:b w:val="0"/>
          <w:bCs w:val="0"/>
          <w:color w:val="000000"/>
          <w:sz w:val="32"/>
          <w:szCs w:val="32"/>
        </w:rPr>
        <w:t>财</w:t>
      </w:r>
      <w:r>
        <w:rPr>
          <w:rStyle w:val="28"/>
          <w:rFonts w:hint="eastAsia" w:ascii="黑体" w:hAnsi="黑体" w:eastAsia="黑体"/>
          <w:b w:val="0"/>
          <w:bCs w:val="0"/>
        </w:rPr>
        <w:t>政拨款收入支</w:t>
      </w:r>
      <w:r>
        <w:rPr>
          <w:rStyle w:val="28"/>
          <w:rFonts w:hint="eastAsia" w:ascii="黑体" w:hAnsi="黑体" w:eastAsia="黑体"/>
          <w:b w:val="0"/>
        </w:rPr>
        <w:t>出决算总体情况说明</w:t>
      </w:r>
      <w:bookmarkEnd w:id="30"/>
      <w:bookmarkEnd w:id="3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val="en-US" w:eastAsia="zh-CN"/>
        </w:rPr>
        <w:t>财政拨款</w:t>
      </w:r>
      <w:r>
        <w:rPr>
          <w:rFonts w:hint="eastAsia" w:ascii="仿宋" w:hAnsi="仿宋" w:eastAsia="仿宋"/>
          <w:color w:val="000000"/>
          <w:sz w:val="32"/>
          <w:szCs w:val="32"/>
        </w:rPr>
        <w:t>收、支总计395.64万元。与2018年相比，收、支总计各增加46.91万元，增长13.45</w:t>
      </w:r>
      <w:r>
        <w:rPr>
          <w:rFonts w:ascii="仿宋" w:hAnsi="仿宋" w:eastAsia="仿宋"/>
          <w:color w:val="000000"/>
          <w:sz w:val="32"/>
          <w:szCs w:val="32"/>
        </w:rPr>
        <w:t>%</w:t>
      </w:r>
      <w:r>
        <w:rPr>
          <w:rFonts w:hint="eastAsia" w:ascii="仿宋" w:hAnsi="仿宋" w:eastAsia="仿宋"/>
          <w:color w:val="000000"/>
          <w:sz w:val="32"/>
          <w:szCs w:val="32"/>
        </w:rPr>
        <w:t>。主要变动原因是增</w:t>
      </w:r>
      <w:r>
        <w:rPr>
          <w:rFonts w:hint="eastAsia" w:ascii="仿宋" w:hAnsi="仿宋" w:eastAsia="仿宋"/>
          <w:sz w:val="32"/>
          <w:szCs w:val="32"/>
        </w:rPr>
        <w:t>加了退休人员经费。</w:t>
      </w:r>
    </w:p>
    <w:p>
      <w:pPr>
        <w:rPr>
          <w:rFonts w:ascii="仿宋" w:hAnsi="仿宋" w:eastAsia="仿宋"/>
          <w:color w:val="000000"/>
          <w:sz w:val="32"/>
          <w:szCs w:val="32"/>
        </w:rPr>
      </w:pPr>
      <w:r>
        <w:drawing>
          <wp:inline distT="0" distB="0" distL="0" distR="0">
            <wp:extent cx="5257800" cy="2324100"/>
            <wp:effectExtent l="4445" t="4445" r="10795" b="1841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9年一般公共预算财政拨款支出348.96万元，占本年支出合计的100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6.09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1.78</w:t>
      </w:r>
      <w:r>
        <w:rPr>
          <w:rFonts w:ascii="仿宋" w:hAnsi="仿宋" w:eastAsia="仿宋"/>
          <w:color w:val="000000"/>
          <w:sz w:val="32"/>
          <w:szCs w:val="32"/>
        </w:rPr>
        <w:t>%</w:t>
      </w:r>
      <w:r>
        <w:rPr>
          <w:rFonts w:hint="eastAsia" w:ascii="仿宋" w:hAnsi="仿宋" w:eastAsia="仿宋"/>
          <w:color w:val="000000"/>
          <w:sz w:val="32"/>
          <w:szCs w:val="32"/>
        </w:rPr>
        <w:t>。主要变动原因是增</w:t>
      </w:r>
      <w:r>
        <w:rPr>
          <w:rFonts w:hint="eastAsia" w:ascii="仿宋" w:hAnsi="仿宋" w:eastAsia="仿宋"/>
          <w:sz w:val="32"/>
          <w:szCs w:val="32"/>
        </w:rPr>
        <w:t>加了退休人员经费。</w:t>
      </w:r>
    </w:p>
    <w:p>
      <w:pPr>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5520690" cy="2286000"/>
            <wp:effectExtent l="19050" t="0" r="22860" b="0"/>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政拨款支出348.96万元，主要用于以下方面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社会保障和就业（208）支出308.97万元，占88.54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t>卫生健康（210）</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17.09万元，占4.90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；住房保障（221）支出22.90万元，占6.56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4659630" cy="2628900"/>
            <wp:effectExtent l="19050" t="0" r="26670" b="0"/>
            <wp:docPr id="1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b/>
          <w:color w:val="FF0000"/>
          <w:sz w:val="32"/>
          <w:szCs w:val="32"/>
        </w:rPr>
      </w:pPr>
      <w:bookmarkStart w:id="37" w:name="_Toc15378460"/>
      <w:bookmarkStart w:id="38" w:name="_Toc15377444"/>
      <w:bookmarkStart w:id="39" w:name="_Toc15377213"/>
      <w:r>
        <w:rPr>
          <w:rFonts w:hint="eastAsia" w:ascii="仿宋" w:hAnsi="仿宋" w:eastAsia="仿宋"/>
          <w:color w:val="000000" w:themeColor="text1"/>
          <w:sz w:val="32"/>
          <w:szCs w:val="32"/>
          <w14:textFill>
            <w14:solidFill>
              <w14:schemeClr w14:val="tx1"/>
            </w14:solidFill>
          </w14:textFill>
        </w:rPr>
        <w:t>2019年一般公共预算支出决算数为348.96</w:t>
      </w:r>
      <w:r>
        <w:rPr>
          <w:rFonts w:hint="eastAsia" w:ascii="仿宋" w:hAnsi="仿宋" w:eastAsia="仿宋"/>
          <w:color w:val="000000" w:themeColor="text1"/>
          <w:sz w:val="32"/>
          <w:szCs w:val="32"/>
          <w:lang w:val="en-US"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完成</w:t>
      </w:r>
      <w:r>
        <w:rPr>
          <w:rStyle w:val="17"/>
          <w:rFonts w:hint="eastAsia" w:ascii="仿宋" w:hAnsi="仿宋" w:eastAsia="仿宋"/>
          <w:b w:val="0"/>
          <w:bCs/>
          <w:color w:val="000000"/>
          <w:sz w:val="32"/>
          <w:szCs w:val="32"/>
        </w:rPr>
        <w:t>预算</w:t>
      </w:r>
      <w:r>
        <w:rPr>
          <w:rStyle w:val="17"/>
          <w:rFonts w:hint="eastAsia" w:ascii="仿宋" w:hAnsi="仿宋" w:eastAsia="仿宋"/>
          <w:b w:val="0"/>
          <w:bCs/>
          <w:color w:val="000000"/>
          <w:sz w:val="32"/>
          <w:szCs w:val="32"/>
          <w:lang w:val="en-US" w:eastAsia="zh-CN"/>
        </w:rPr>
        <w:t>88.20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。其中：</w:t>
      </w:r>
      <w:bookmarkEnd w:id="37"/>
      <w:bookmarkEnd w:id="38"/>
      <w:bookmarkEnd w:id="39"/>
    </w:p>
    <w:p>
      <w:pPr>
        <w:spacing w:line="600" w:lineRule="exact"/>
        <w:ind w:firstLine="643" w:firstLineChars="200"/>
        <w:outlineLvl w:val="1"/>
        <w:rPr>
          <w:rFonts w:ascii="仿宋_GB2312" w:hAnsi="仿宋" w:eastAsia="仿宋_GB2312"/>
          <w:color w:val="000000"/>
          <w:sz w:val="32"/>
          <w:szCs w:val="32"/>
        </w:rPr>
      </w:pPr>
      <w:r>
        <w:rPr>
          <w:rStyle w:val="17"/>
          <w:rFonts w:hint="eastAsia" w:ascii="仿宋" w:hAnsi="仿宋" w:eastAsia="仿宋"/>
          <w:bCs/>
          <w:color w:val="000000"/>
          <w:sz w:val="32"/>
          <w:szCs w:val="32"/>
        </w:rPr>
        <w:t>1</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社会保障和就业(208类)</w:t>
      </w:r>
      <w:r>
        <w:rPr>
          <w:rFonts w:hint="eastAsia" w:ascii="仿宋_GB2312" w:eastAsia="仿宋_GB2312"/>
          <w:b/>
          <w:bCs/>
          <w:sz w:val="32"/>
          <w:szCs w:val="32"/>
        </w:rPr>
        <w:t xml:space="preserve"> 人力资源和社会保障管理事务(01款)行政运行（01项）</w:t>
      </w:r>
      <w:r>
        <w:rPr>
          <w:rStyle w:val="17"/>
          <w:rFonts w:hint="eastAsia" w:ascii="仿宋" w:hAnsi="仿宋" w:eastAsia="仿宋"/>
          <w:bCs/>
          <w:color w:val="000000"/>
          <w:sz w:val="32"/>
          <w:szCs w:val="32"/>
        </w:rPr>
        <w:t>:</w:t>
      </w:r>
      <w:r>
        <w:rPr>
          <w:rStyle w:val="17"/>
          <w:rFonts w:hint="eastAsia" w:ascii="仿宋" w:hAnsi="仿宋" w:eastAsia="仿宋"/>
          <w:b w:val="0"/>
          <w:bCs/>
          <w:color w:val="000000"/>
          <w:sz w:val="32"/>
          <w:szCs w:val="32"/>
        </w:rPr>
        <w:t>支出决算为249.08万元，完成预算</w:t>
      </w:r>
      <w:r>
        <w:rPr>
          <w:rStyle w:val="17"/>
          <w:rFonts w:hint="eastAsia" w:ascii="仿宋" w:hAnsi="仿宋" w:eastAsia="仿宋"/>
          <w:b w:val="0"/>
          <w:bCs/>
          <w:color w:val="000000"/>
          <w:sz w:val="32"/>
          <w:szCs w:val="32"/>
          <w:lang w:val="en-US" w:eastAsia="zh-CN"/>
        </w:rPr>
        <w:t>99.52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Fonts w:hint="eastAsia" w:ascii="仿宋_GB2312" w:hAnsi="仿宋" w:eastAsia="仿宋_GB2312" w:cs="仿宋_GB2312"/>
          <w:color w:val="000000"/>
          <w:sz w:val="32"/>
          <w:szCs w:val="32"/>
        </w:rPr>
        <w:t>决算数小于预算数的主要原因是</w:t>
      </w:r>
      <w:r>
        <w:rPr>
          <w:rFonts w:hint="eastAsia" w:ascii="仿宋_GB2312" w:hAnsi="仿宋" w:eastAsia="仿宋_GB2312" w:cs="仿宋_GB2312"/>
          <w:color w:val="000000"/>
          <w:sz w:val="32"/>
          <w:szCs w:val="32"/>
          <w:lang w:val="en-US" w:eastAsia="zh-CN"/>
        </w:rPr>
        <w:t>退休人员体检费</w:t>
      </w:r>
      <w:r>
        <w:rPr>
          <w:rStyle w:val="17"/>
          <w:rFonts w:hint="eastAsia" w:ascii="仿宋" w:eastAsia="仿宋"/>
          <w:b w:val="0"/>
          <w:color w:val="000000"/>
          <w:sz w:val="32"/>
          <w:szCs w:val="32"/>
        </w:rPr>
        <w:t>作为财政应返还额度在下年</w:t>
      </w:r>
      <w:r>
        <w:rPr>
          <w:rFonts w:hint="eastAsia" w:ascii="仿宋_GB2312" w:hAnsi="仿宋" w:eastAsia="仿宋_GB2312" w:cs="仿宋_GB2312"/>
          <w:color w:val="000000"/>
          <w:sz w:val="32"/>
          <w:szCs w:val="32"/>
          <w:lang w:val="en-US" w:eastAsia="zh-CN"/>
        </w:rPr>
        <w:t>支付</w:t>
      </w:r>
      <w:r>
        <w:rPr>
          <w:rFonts w:hint="eastAsia" w:ascii="仿宋_GB2312" w:hAnsi="仿宋" w:eastAsia="仿宋_GB2312" w:cs="仿宋_GB2312"/>
          <w:color w:val="000000"/>
          <w:sz w:val="32"/>
          <w:szCs w:val="32"/>
        </w:rPr>
        <w:t>。</w:t>
      </w:r>
    </w:p>
    <w:p>
      <w:pPr>
        <w:spacing w:line="600" w:lineRule="exact"/>
        <w:ind w:firstLine="643" w:firstLineChars="200"/>
        <w:outlineLvl w:val="1"/>
        <w:rPr>
          <w:rFonts w:ascii="仿宋_GB2312" w:hAnsi="仿宋" w:eastAsia="仿宋_GB2312"/>
          <w:color w:val="000000"/>
          <w:sz w:val="32"/>
          <w:szCs w:val="32"/>
        </w:rPr>
      </w:pPr>
      <w:r>
        <w:rPr>
          <w:rFonts w:hint="eastAsia" w:ascii="仿宋" w:hAnsi="仿宋" w:eastAsia="仿宋"/>
          <w:b/>
          <w:color w:val="000000"/>
          <w:sz w:val="32"/>
          <w:szCs w:val="32"/>
        </w:rPr>
        <w:t>2.</w:t>
      </w:r>
      <w:r>
        <w:rPr>
          <w:rStyle w:val="17"/>
          <w:rFonts w:hint="eastAsia" w:ascii="仿宋" w:hAnsi="仿宋" w:eastAsia="仿宋"/>
          <w:bCs/>
          <w:color w:val="000000"/>
          <w:sz w:val="32"/>
          <w:szCs w:val="32"/>
        </w:rPr>
        <w:t>社会保障和就业(208类)</w:t>
      </w:r>
      <w:r>
        <w:rPr>
          <w:rFonts w:hint="eastAsia" w:ascii="仿宋_GB2312" w:eastAsia="仿宋_GB2312"/>
          <w:b/>
          <w:bCs/>
          <w:sz w:val="32"/>
          <w:szCs w:val="32"/>
        </w:rPr>
        <w:t xml:space="preserve"> 人力资源和社会保障管理事务(01款)社会保险经办机构（09项）</w:t>
      </w:r>
      <w:r>
        <w:rPr>
          <w:rStyle w:val="17"/>
          <w:rFonts w:hint="eastAsia" w:ascii="仿宋" w:hAnsi="仿宋" w:eastAsia="仿宋"/>
          <w:bCs/>
          <w:color w:val="000000"/>
          <w:sz w:val="32"/>
          <w:szCs w:val="32"/>
        </w:rPr>
        <w:t>:</w:t>
      </w:r>
      <w:r>
        <w:rPr>
          <w:rStyle w:val="17"/>
          <w:rFonts w:hint="eastAsia" w:ascii="仿宋" w:hAnsi="仿宋" w:eastAsia="仿宋"/>
          <w:b w:val="0"/>
          <w:bCs/>
          <w:color w:val="000000"/>
          <w:sz w:val="32"/>
          <w:szCs w:val="32"/>
        </w:rPr>
        <w:t>支出决算为24.07万元，完成预算</w:t>
      </w:r>
      <w:r>
        <w:rPr>
          <w:rStyle w:val="17"/>
          <w:rFonts w:hint="eastAsia" w:ascii="仿宋" w:hAnsi="仿宋" w:eastAsia="仿宋"/>
          <w:b w:val="0"/>
          <w:bCs/>
          <w:color w:val="000000"/>
          <w:sz w:val="32"/>
          <w:szCs w:val="32"/>
          <w:lang w:val="en-US" w:eastAsia="zh-CN"/>
        </w:rPr>
        <w:t>37.79</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Fonts w:hint="eastAsia" w:ascii="仿宋_GB2312" w:hAnsi="仿宋" w:eastAsia="仿宋_GB2312" w:cs="仿宋_GB2312"/>
          <w:color w:val="000000"/>
          <w:sz w:val="32"/>
          <w:szCs w:val="32"/>
        </w:rPr>
        <w:t>决算数小于预算数的主要原因是</w:t>
      </w:r>
      <w:r>
        <w:rPr>
          <w:rFonts w:hint="eastAsia" w:ascii="仿宋_GB2312" w:hAnsi="仿宋" w:eastAsia="仿宋_GB2312" w:cs="仿宋_GB2312"/>
          <w:color w:val="000000"/>
          <w:sz w:val="32"/>
          <w:szCs w:val="32"/>
          <w:lang w:eastAsia="zh-CN"/>
        </w:rPr>
        <w:t>专项</w:t>
      </w:r>
      <w:r>
        <w:rPr>
          <w:rFonts w:hint="eastAsia" w:ascii="仿宋_GB2312" w:hAnsi="仿宋" w:eastAsia="仿宋_GB2312" w:cs="仿宋_GB2312"/>
          <w:color w:val="000000"/>
          <w:sz w:val="32"/>
          <w:szCs w:val="32"/>
        </w:rPr>
        <w:t>资金结转下年使用。</w:t>
      </w:r>
    </w:p>
    <w:p>
      <w:pPr>
        <w:spacing w:line="600" w:lineRule="exact"/>
        <w:ind w:firstLine="643" w:firstLineChars="200"/>
        <w:rPr>
          <w:rStyle w:val="17"/>
          <w:rFonts w:ascii="仿宋" w:hAnsi="仿宋" w:eastAsia="仿宋"/>
          <w:b w:val="0"/>
          <w:bCs/>
          <w:color w:val="000000"/>
          <w:sz w:val="32"/>
          <w:szCs w:val="32"/>
        </w:rPr>
      </w:pPr>
      <w:r>
        <w:rPr>
          <w:rFonts w:hint="eastAsia" w:ascii="仿宋" w:hAnsi="仿宋" w:eastAsia="仿宋"/>
          <w:b/>
          <w:color w:val="000000"/>
          <w:sz w:val="32"/>
          <w:szCs w:val="32"/>
        </w:rPr>
        <w:t>3.</w:t>
      </w:r>
      <w:r>
        <w:rPr>
          <w:rStyle w:val="17"/>
          <w:rFonts w:hint="eastAsia" w:ascii="仿宋" w:hAnsi="仿宋" w:eastAsia="仿宋"/>
          <w:bCs/>
          <w:color w:val="000000"/>
          <w:sz w:val="32"/>
          <w:szCs w:val="32"/>
        </w:rPr>
        <w:t>社会保障和就业(208类)</w:t>
      </w:r>
      <w:r>
        <w:rPr>
          <w:rFonts w:hint="eastAsia" w:ascii="仿宋_GB2312" w:eastAsia="仿宋_GB2312"/>
          <w:b/>
          <w:bCs/>
          <w:sz w:val="32"/>
          <w:szCs w:val="32"/>
        </w:rPr>
        <w:t xml:space="preserve"> 行政事业单位退休(05款) 机关事业单位基本养老保险缴费支出（05项）</w:t>
      </w:r>
      <w:r>
        <w:rPr>
          <w:rStyle w:val="17"/>
          <w:rFonts w:hint="eastAsia" w:ascii="仿宋" w:hAnsi="仿宋" w:eastAsia="仿宋"/>
          <w:bCs/>
          <w:color w:val="000000"/>
          <w:sz w:val="32"/>
          <w:szCs w:val="32"/>
        </w:rPr>
        <w:t>:</w:t>
      </w:r>
      <w:r>
        <w:rPr>
          <w:rStyle w:val="17"/>
          <w:rFonts w:hint="eastAsia" w:ascii="仿宋" w:hAnsi="仿宋" w:eastAsia="仿宋"/>
          <w:b w:val="0"/>
          <w:bCs/>
          <w:color w:val="000000"/>
          <w:sz w:val="32"/>
          <w:szCs w:val="32"/>
        </w:rPr>
        <w:t>支出决算为24.56万元，完成预算100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Style w:val="17"/>
          <w:rFonts w:ascii="仿宋" w:hAnsi="仿宋" w:eastAsia="仿宋"/>
          <w:b w:val="0"/>
          <w:bCs/>
          <w:color w:val="000000"/>
          <w:sz w:val="32"/>
          <w:szCs w:val="32"/>
        </w:rPr>
      </w:pPr>
      <w:r>
        <w:rPr>
          <w:rFonts w:hint="eastAsia" w:ascii="仿宋" w:hAnsi="仿宋" w:eastAsia="仿宋"/>
          <w:b/>
          <w:color w:val="000000"/>
          <w:sz w:val="32"/>
          <w:szCs w:val="32"/>
        </w:rPr>
        <w:t>4.</w:t>
      </w:r>
      <w:r>
        <w:rPr>
          <w:rFonts w:hint="eastAsia" w:ascii="仿宋_GB2312" w:eastAsia="仿宋_GB2312"/>
          <w:b/>
          <w:bCs/>
          <w:sz w:val="32"/>
          <w:szCs w:val="32"/>
        </w:rPr>
        <w:t>社会保障和就业支出（208类）行政事业单位离退休（05款）机关事业单位职业年金缴费支出（06项）</w:t>
      </w:r>
      <w:r>
        <w:rPr>
          <w:rStyle w:val="17"/>
          <w:rFonts w:hint="eastAsia" w:ascii="仿宋" w:hAnsi="仿宋" w:eastAsia="仿宋"/>
          <w:bCs/>
          <w:color w:val="000000"/>
          <w:sz w:val="32"/>
          <w:szCs w:val="32"/>
        </w:rPr>
        <w:t>:</w:t>
      </w:r>
      <w:r>
        <w:rPr>
          <w:rStyle w:val="17"/>
          <w:rFonts w:hint="eastAsia" w:ascii="仿宋" w:hAnsi="仿宋" w:eastAsia="仿宋"/>
          <w:b w:val="0"/>
          <w:bCs/>
          <w:color w:val="000000"/>
          <w:sz w:val="32"/>
          <w:szCs w:val="32"/>
        </w:rPr>
        <w:t>支出决算为11.26万元，完成预算100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Fonts w:ascii="仿宋_GB2312" w:eastAsia="仿宋_GB2312"/>
          <w:sz w:val="32"/>
          <w:szCs w:val="32"/>
        </w:rPr>
      </w:pPr>
      <w:r>
        <w:rPr>
          <w:rStyle w:val="17"/>
          <w:rFonts w:hint="eastAsia" w:ascii="仿宋" w:hAnsi="仿宋" w:eastAsia="仿宋"/>
          <w:bCs/>
          <w:color w:val="000000"/>
          <w:sz w:val="32"/>
          <w:szCs w:val="32"/>
        </w:rPr>
        <w:t>5</w:t>
      </w:r>
      <w:r>
        <w:rPr>
          <w:rStyle w:val="17"/>
          <w:rFonts w:ascii="仿宋" w:hAnsi="仿宋" w:eastAsia="仿宋"/>
          <w:bCs/>
          <w:color w:val="000000"/>
          <w:sz w:val="32"/>
          <w:szCs w:val="32"/>
        </w:rPr>
        <w:t>.</w:t>
      </w:r>
      <w:r>
        <w:rPr>
          <w:rFonts w:hint="eastAsia" w:ascii="仿宋_GB2312" w:eastAsia="仿宋_GB2312"/>
          <w:b/>
          <w:bCs/>
          <w:sz w:val="32"/>
          <w:szCs w:val="32"/>
        </w:rPr>
        <w:t>卫生健康支出（210类）行政事业单位医疗（11款）行政单位医疗（01项）</w:t>
      </w:r>
      <w:r>
        <w:rPr>
          <w:rFonts w:hint="eastAsia" w:ascii="仿宋_GB2312" w:eastAsia="仿宋_GB2312"/>
          <w:sz w:val="32"/>
          <w:szCs w:val="32"/>
        </w:rPr>
        <w:t>：支出决算数为17.09万元，完成预算100%。</w:t>
      </w:r>
    </w:p>
    <w:p>
      <w:pPr>
        <w:spacing w:line="600" w:lineRule="exact"/>
        <w:ind w:firstLine="643" w:firstLineChars="200"/>
        <w:rPr>
          <w:rFonts w:ascii="仿宋_GB2312" w:eastAsia="仿宋_GB2312"/>
          <w:sz w:val="32"/>
          <w:szCs w:val="32"/>
        </w:rPr>
      </w:pPr>
      <w:r>
        <w:rPr>
          <w:rStyle w:val="17"/>
          <w:rFonts w:hint="eastAsia" w:ascii="仿宋" w:hAnsi="仿宋" w:eastAsia="仿宋"/>
          <w:bCs/>
          <w:color w:val="000000"/>
          <w:sz w:val="32"/>
          <w:szCs w:val="32"/>
        </w:rPr>
        <w:t>6</w:t>
      </w:r>
      <w:r>
        <w:rPr>
          <w:rStyle w:val="17"/>
          <w:rFonts w:ascii="仿宋" w:hAnsi="仿宋" w:eastAsia="仿宋"/>
          <w:bCs/>
          <w:color w:val="000000"/>
          <w:sz w:val="32"/>
          <w:szCs w:val="32"/>
        </w:rPr>
        <w:t>.</w:t>
      </w:r>
      <w:r>
        <w:rPr>
          <w:rFonts w:hint="eastAsia" w:ascii="仿宋_GB2312" w:eastAsia="仿宋_GB2312"/>
          <w:b/>
          <w:bCs/>
          <w:sz w:val="32"/>
          <w:szCs w:val="32"/>
        </w:rPr>
        <w:t>住房保障支出（221类）住房改革支出（02款）住房公积金（01项）</w:t>
      </w:r>
      <w:r>
        <w:rPr>
          <w:rFonts w:hint="eastAsia" w:ascii="仿宋_GB2312" w:eastAsia="仿宋_GB2312"/>
          <w:sz w:val="32"/>
          <w:szCs w:val="32"/>
        </w:rPr>
        <w:t>：支出决算数为22.90万元，完成预算100%。</w:t>
      </w:r>
    </w:p>
    <w:p>
      <w:pPr>
        <w:tabs>
          <w:tab w:val="right" w:pos="8306"/>
        </w:tabs>
        <w:spacing w:line="600" w:lineRule="exact"/>
        <w:ind w:firstLine="64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rPr>
        <w:t>9年一般公共预算财政拨款基本支出324.89万元，其中：</w:t>
      </w:r>
    </w:p>
    <w:p>
      <w:pPr>
        <w:spacing w:line="600" w:lineRule="exact"/>
        <w:ind w:firstLine="645"/>
        <w:rPr>
          <w:rFonts w:ascii="仿宋" w:hAnsi="仿宋" w:eastAsia="仿宋"/>
          <w:color w:val="000000"/>
          <w:sz w:val="32"/>
          <w:szCs w:val="32"/>
        </w:rPr>
      </w:pPr>
      <w:r>
        <w:rPr>
          <w:rFonts w:hint="eastAsia" w:ascii="仿宋" w:hAnsi="仿宋" w:eastAsia="仿宋"/>
          <w:sz w:val="32"/>
          <w:szCs w:val="32"/>
        </w:rPr>
        <w:t>人员经费308.9</w:t>
      </w:r>
      <w:r>
        <w:rPr>
          <w:rFonts w:hint="eastAsia" w:ascii="仿宋" w:hAnsi="仿宋" w:eastAsia="仿宋"/>
          <w:sz w:val="32"/>
          <w:szCs w:val="32"/>
          <w:lang w:val="en-US" w:eastAsia="zh-CN"/>
        </w:rPr>
        <w:t>1</w:t>
      </w:r>
      <w:r>
        <w:rPr>
          <w:rFonts w:hint="eastAsia" w:ascii="仿宋" w:hAnsi="仿宋" w:eastAsia="仿宋"/>
          <w:sz w:val="32"/>
          <w:szCs w:val="32"/>
        </w:rPr>
        <w:t>万元，主要包括：基本工资、津贴补贴、奖金、伙食补助费</w:t>
      </w:r>
      <w:r>
        <w:rPr>
          <w:rFonts w:hint="eastAsia" w:ascii="仿宋" w:hAnsi="仿宋" w:eastAsia="仿宋"/>
          <w:color w:val="000000"/>
          <w:sz w:val="32"/>
          <w:szCs w:val="32"/>
        </w:rPr>
        <w:t>、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日常公用经费15.9</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9年“三公”经费财政拨款支出决算为0.08万元，完成预算100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_GB2312" w:hAnsi="仿宋" w:eastAsia="仿宋_GB2312" w:cs="仿宋_GB2312"/>
          <w:color w:val="000000"/>
          <w:sz w:val="32"/>
          <w:szCs w:val="32"/>
        </w:rPr>
        <w:t>决算数与预算数持平的主要原因是后期进行预算调整。</w:t>
      </w:r>
    </w:p>
    <w:p>
      <w:pPr>
        <w:spacing w:line="600"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；公务接待费支出决算0.08万元，占100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pPr>
        <w:ind w:firstLine="640"/>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4339590" cy="1897380"/>
            <wp:effectExtent l="19050" t="0" r="22860" b="762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Fonts w:hint="eastAsia" w:ascii="仿宋_GB2312" w:eastAsia="仿宋_GB2312"/>
          <w:color w:val="000000"/>
          <w:sz w:val="32"/>
          <w:szCs w:val="32"/>
          <w:lang w:eastAsia="zh-CN"/>
        </w:rPr>
        <w:t>，</w:t>
      </w:r>
      <w:r>
        <w:rPr>
          <w:rFonts w:hint="eastAsia" w:ascii="仿宋_GB2312" w:eastAsia="仿宋_GB2312" w:cs="仿宋_GB2312"/>
          <w:color w:val="000000"/>
          <w:sz w:val="32"/>
          <w:szCs w:val="32"/>
        </w:rPr>
        <w:t>完成预算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人。因公出国（境）支出决算比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年无增减。</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s="仿宋_GB2312"/>
          <w:color w:val="000000"/>
          <w:sz w:val="32"/>
          <w:szCs w:val="32"/>
        </w:rPr>
        <w:t>无增减</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月底，单位共有公务用车0辆，其中：主要领导干部用车0辆、机要通信用车0辆、应急保障用车0辆、执法执勤用车0辆。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firstLine="640"/>
        <w:rPr>
          <w:rFonts w:hint="default" w:ascii="仿宋_GB2312" w:hAnsi="仿宋" w:eastAsia="仿宋_GB2312" w:cs="仿宋"/>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0.08万元，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8年减少0.01万元，下降11.11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s="仿宋_GB2312"/>
          <w:color w:val="000000"/>
          <w:sz w:val="32"/>
          <w:szCs w:val="32"/>
        </w:rPr>
        <w:t>主要原因是</w:t>
      </w:r>
      <w:r>
        <w:rPr>
          <w:rFonts w:hint="eastAsia" w:ascii="仿宋_GB2312" w:hAnsi="仿宋" w:eastAsia="仿宋_GB2312" w:cs="仿宋"/>
          <w:color w:val="000000"/>
          <w:sz w:val="32"/>
          <w:szCs w:val="32"/>
          <w:lang w:val="en-US" w:eastAsia="zh-CN"/>
        </w:rPr>
        <w:t>严格执行有关规定</w:t>
      </w:r>
      <w:r>
        <w:rPr>
          <w:rFonts w:hint="eastAsia" w:ascii="仿宋_GB2312" w:eastAsia="仿宋_GB2312" w:cs="仿宋_GB2312"/>
          <w:color w:val="000000"/>
          <w:sz w:val="32"/>
          <w:szCs w:val="32"/>
        </w:rPr>
        <w:t>，</w:t>
      </w:r>
      <w:r>
        <w:rPr>
          <w:rFonts w:hint="eastAsia" w:ascii="仿宋_GB2312" w:hAnsi="仿宋" w:eastAsia="仿宋_GB2312" w:cs="仿宋"/>
          <w:color w:val="000000"/>
          <w:sz w:val="32"/>
          <w:szCs w:val="32"/>
          <w:lang w:val="en-US" w:eastAsia="zh-CN"/>
        </w:rPr>
        <w:t>严格控制接待标准和陪餐人数，降低接待费用。其中：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0.08</w:t>
      </w:r>
      <w:r>
        <w:rPr>
          <w:rFonts w:hint="eastAsia" w:ascii="仿宋_GB2312" w:eastAsia="仿宋_GB2312"/>
          <w:color w:val="000000"/>
          <w:sz w:val="32"/>
          <w:szCs w:val="32"/>
        </w:rPr>
        <w:t>万元，主要用于开展业务检查</w:t>
      </w:r>
      <w:r>
        <w:rPr>
          <w:rFonts w:hint="eastAsia" w:ascii="仿宋_GB2312" w:eastAsia="仿宋_GB2312"/>
          <w:color w:val="000000"/>
          <w:sz w:val="32"/>
          <w:szCs w:val="32"/>
          <w:lang w:val="en-US" w:eastAsia="zh-CN"/>
        </w:rPr>
        <w:t>活动开支的餐费</w:t>
      </w:r>
      <w:r>
        <w:rPr>
          <w:rFonts w:hint="eastAsia" w:ascii="仿宋_GB2312" w:eastAsia="仿宋_GB2312"/>
          <w:color w:val="000000"/>
          <w:sz w:val="32"/>
          <w:szCs w:val="32"/>
        </w:rPr>
        <w:t>。</w:t>
      </w:r>
      <w:r>
        <w:rPr>
          <w:rFonts w:hint="eastAsia" w:ascii="仿宋_GB2312" w:eastAsia="仿宋_GB2312" w:cs="仿宋_GB2312"/>
          <w:color w:val="000000"/>
          <w:sz w:val="32"/>
          <w:szCs w:val="32"/>
        </w:rPr>
        <w:t>国内公务接待</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lang w:val="en-US" w:eastAsia="zh-CN"/>
        </w:rPr>
        <w:t>08</w:t>
      </w:r>
      <w:r>
        <w:rPr>
          <w:rFonts w:hint="eastAsia" w:ascii="仿宋_GB2312" w:eastAsia="仿宋_GB2312" w:cs="仿宋_GB2312"/>
          <w:color w:val="000000"/>
          <w:sz w:val="32"/>
          <w:szCs w:val="32"/>
        </w:rPr>
        <w:t>万元，具体内容包括：</w:t>
      </w:r>
      <w:r>
        <w:rPr>
          <w:rFonts w:hint="eastAsia" w:ascii="仿宋_GB2312" w:eastAsia="仿宋_GB2312"/>
          <w:color w:val="000000"/>
          <w:sz w:val="32"/>
          <w:szCs w:val="32"/>
        </w:rPr>
        <w:t>开展</w:t>
      </w:r>
      <w:r>
        <w:rPr>
          <w:rFonts w:hint="eastAsia" w:ascii="仿宋_GB2312" w:eastAsia="仿宋_GB2312"/>
          <w:color w:val="000000"/>
          <w:sz w:val="32"/>
          <w:szCs w:val="32"/>
          <w:lang w:val="en-US" w:eastAsia="zh-CN"/>
        </w:rPr>
        <w:t>社保基金</w:t>
      </w:r>
      <w:r>
        <w:rPr>
          <w:rFonts w:hint="eastAsia" w:ascii="仿宋_GB2312" w:eastAsia="仿宋_GB2312"/>
          <w:color w:val="000000"/>
          <w:sz w:val="32"/>
          <w:szCs w:val="32"/>
        </w:rPr>
        <w:t>业务</w:t>
      </w:r>
      <w:r>
        <w:rPr>
          <w:rFonts w:hint="eastAsia" w:ascii="仿宋_GB2312" w:eastAsia="仿宋_GB2312"/>
          <w:color w:val="000000"/>
          <w:sz w:val="32"/>
          <w:szCs w:val="32"/>
          <w:lang w:val="en-US" w:eastAsia="zh-CN"/>
        </w:rPr>
        <w:t>专项</w:t>
      </w:r>
      <w:r>
        <w:rPr>
          <w:rFonts w:hint="eastAsia" w:ascii="仿宋_GB2312" w:eastAsia="仿宋_GB2312"/>
          <w:color w:val="000000"/>
          <w:sz w:val="32"/>
          <w:szCs w:val="32"/>
        </w:rPr>
        <w:t>检查</w:t>
      </w:r>
      <w:r>
        <w:rPr>
          <w:rFonts w:hint="eastAsia" w:ascii="仿宋_GB2312" w:eastAsia="仿宋_GB2312" w:cs="仿宋_GB2312"/>
          <w:color w:val="000000"/>
          <w:sz w:val="32"/>
          <w:szCs w:val="32"/>
        </w:rPr>
        <w:t>等</w:t>
      </w:r>
      <w:r>
        <w:rPr>
          <w:rFonts w:hint="eastAsia" w:ascii="仿宋_GB2312" w:eastAsia="仿宋_GB2312" w:cs="仿宋_GB2312"/>
          <w:color w:val="000000"/>
          <w:sz w:val="32"/>
          <w:szCs w:val="32"/>
          <w:lang w:val="en-US" w:eastAsia="zh-CN"/>
        </w:rPr>
        <w:t>工作</w:t>
      </w:r>
      <w:r>
        <w:rPr>
          <w:rFonts w:hint="eastAsia" w:ascii="仿宋_GB2312" w:eastAsia="仿宋_GB2312" w:cs="仿宋_GB2312"/>
          <w:color w:val="000000"/>
          <w:sz w:val="32"/>
          <w:szCs w:val="32"/>
        </w:rPr>
        <w:t>。</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r>
        <w:rPr>
          <w:rFonts w:hint="eastAsia" w:ascii="仿宋_GB2312" w:eastAsia="仿宋_GB2312"/>
          <w:color w:val="000000"/>
          <w:sz w:val="32"/>
          <w:szCs w:val="32"/>
        </w:rPr>
        <w:t>。</w:t>
      </w:r>
      <w:bookmarkStart w:id="46" w:name="_Toc15396610"/>
      <w:bookmarkStart w:id="47" w:name="_Toc15377218"/>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3"/>
        </w:numPr>
        <w:spacing w:line="600" w:lineRule="exact"/>
        <w:ind w:firstLine="640"/>
        <w:outlineLvl w:val="1"/>
        <w:rPr>
          <w:rStyle w:val="28"/>
          <w:rFonts w:ascii="黑体" w:hAnsi="黑体" w:eastAsia="黑体"/>
          <w:b w:val="0"/>
        </w:rPr>
      </w:pPr>
      <w:bookmarkStart w:id="48" w:name="_Toc15396611"/>
      <w:bookmarkStart w:id="49" w:name="_Toc15377219"/>
      <w:r>
        <w:rPr>
          <w:rStyle w:val="28"/>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pPr>
        <w:spacing w:line="600" w:lineRule="exact"/>
        <w:ind w:firstLine="64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ascii="仿宋_GB2312" w:eastAsia="仿宋_GB2312"/>
          <w:b w:val="0"/>
          <w:bCs w:val="0"/>
          <w:color w:val="auto"/>
          <w:sz w:val="32"/>
          <w:szCs w:val="32"/>
        </w:rPr>
      </w:pPr>
      <w:r>
        <w:rPr>
          <w:rFonts w:ascii="仿宋_GB2312" w:eastAsia="仿宋_GB2312"/>
          <w:color w:val="000000"/>
          <w:sz w:val="32"/>
          <w:szCs w:val="32"/>
        </w:rPr>
        <w:t>201</w:t>
      </w:r>
      <w:r>
        <w:rPr>
          <w:rFonts w:hint="eastAsia" w:ascii="仿宋_GB2312" w:eastAsia="仿宋_GB2312"/>
          <w:color w:val="000000"/>
          <w:sz w:val="32"/>
          <w:szCs w:val="32"/>
        </w:rPr>
        <w:t>9年，社保局机关运行经费支出</w:t>
      </w:r>
      <w:r>
        <w:rPr>
          <w:rFonts w:hint="eastAsia" w:ascii="仿宋_GB2312" w:eastAsia="仿宋_GB2312"/>
          <w:color w:val="000000"/>
          <w:sz w:val="32"/>
          <w:szCs w:val="32"/>
          <w:lang w:val="en-US" w:eastAsia="zh-CN"/>
        </w:rPr>
        <w:t>15.98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减少2.2</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下降12.10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b w:val="0"/>
          <w:bCs w:val="0"/>
          <w:color w:val="auto"/>
          <w:sz w:val="32"/>
          <w:szCs w:val="32"/>
        </w:rPr>
        <w:t>主要是</w:t>
      </w:r>
      <w:r>
        <w:rPr>
          <w:rFonts w:hint="eastAsia" w:ascii="仿宋_GB2312" w:eastAsia="仿宋_GB2312"/>
          <w:b w:val="0"/>
          <w:bCs w:val="0"/>
          <w:color w:val="auto"/>
          <w:sz w:val="32"/>
          <w:szCs w:val="32"/>
          <w:lang w:val="en-US" w:eastAsia="zh-CN"/>
        </w:rPr>
        <w:t>人员减少，导致办公经费减少</w:t>
      </w:r>
      <w:r>
        <w:rPr>
          <w:rFonts w:hint="eastAsia" w:ascii="仿宋_GB2312" w:eastAsia="仿宋_GB2312"/>
          <w:b w:val="0"/>
          <w:bCs w:val="0"/>
          <w:color w:val="auto"/>
          <w:sz w:val="32"/>
          <w:szCs w:val="32"/>
        </w:rPr>
        <w:t>。</w:t>
      </w:r>
    </w:p>
    <w:p>
      <w:pPr>
        <w:spacing w:line="600" w:lineRule="exact"/>
        <w:ind w:firstLine="64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w:t>
      </w:r>
      <w:r>
        <w:rPr>
          <w:rFonts w:ascii="仿宋_GB2312" w:eastAsia="仿宋_GB2312"/>
          <w:color w:val="000000"/>
          <w:sz w:val="32"/>
          <w:szCs w:val="32"/>
        </w:rPr>
        <w:t>社保局</w:t>
      </w:r>
      <w:r>
        <w:rPr>
          <w:rFonts w:hint="eastAsia" w:ascii="仿宋_GB2312" w:eastAsia="仿宋_GB2312"/>
          <w:color w:val="000000"/>
          <w:sz w:val="32"/>
          <w:szCs w:val="32"/>
        </w:rPr>
        <w:t>政府采购支出总额0万元。</w:t>
      </w:r>
    </w:p>
    <w:p>
      <w:pPr>
        <w:spacing w:line="600" w:lineRule="exact"/>
        <w:ind w:firstLine="64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w:t>
      </w:r>
      <w:r>
        <w:rPr>
          <w:rFonts w:ascii="仿宋_GB2312" w:eastAsia="仿宋_GB2312"/>
          <w:color w:val="000000"/>
          <w:sz w:val="32"/>
          <w:szCs w:val="32"/>
        </w:rPr>
        <w:t>社保局</w:t>
      </w:r>
      <w:r>
        <w:rPr>
          <w:rFonts w:hint="eastAsia" w:ascii="仿宋_GB2312" w:eastAsia="仿宋_GB2312"/>
          <w:color w:val="000000"/>
          <w:sz w:val="32"/>
          <w:szCs w:val="32"/>
        </w:rPr>
        <w:t>共有车辆0辆。</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pStyle w:val="34"/>
        <w:spacing w:line="600" w:lineRule="exact"/>
        <w:ind w:right="84" w:rightChars="40" w:firstLine="640" w:firstLineChars="200"/>
        <w:rPr>
          <w:rStyle w:val="33"/>
          <w:rFonts w:eastAsia="仿宋_GB2312"/>
          <w:color w:val="000000"/>
          <w:sz w:val="32"/>
          <w:szCs w:val="32"/>
          <w:shd w:val="clear" w:color="auto" w:fill="FFFFFF"/>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楷体" w:eastAsia="仿宋_GB2312" w:cs="仿宋_GB2312"/>
          <w:sz w:val="32"/>
          <w:szCs w:val="32"/>
        </w:rPr>
        <w:t>，</w:t>
      </w:r>
      <w:r>
        <w:rPr>
          <w:rFonts w:hint="eastAsia" w:ascii="仿宋_GB2312" w:eastAsia="仿宋_GB2312"/>
          <w:color w:val="000000"/>
          <w:sz w:val="32"/>
          <w:szCs w:val="32"/>
          <w:shd w:val="clear" w:color="auto" w:fill="FFFFFF"/>
        </w:rPr>
        <w:t>我局所有财政资金支出主要用于保障本单位机构正常运转、完成日常工作任务以及承担社会保险事业发展相关工作。</w:t>
      </w:r>
      <w:r>
        <w:rPr>
          <w:rStyle w:val="33"/>
          <w:rFonts w:eastAsia="仿宋_GB2312"/>
          <w:color w:val="000000"/>
          <w:sz w:val="32"/>
          <w:szCs w:val="32"/>
          <w:shd w:val="clear" w:color="auto" w:fill="FFFFFF"/>
        </w:rPr>
        <w:t> </w:t>
      </w:r>
    </w:p>
    <w:p>
      <w:pPr>
        <w:spacing w:line="600" w:lineRule="exact"/>
        <w:ind w:left="319" w:leftChars="152" w:firstLine="320" w:firstLineChars="100"/>
        <w:rPr>
          <w:rFonts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本部门在2019年度部门决算中没有反映0个项目绩效目标实际完成情况。</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本部门按要求对2019年部门整体支出绩效评价情况开展自评，《茂县社会保险事业管理局2019年部门整体支出绩效评价报告》见附件（附件1）。</w:t>
      </w:r>
    </w:p>
    <w:p>
      <w:pPr>
        <w:widowControl/>
        <w:spacing w:line="600"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7"/>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Style w:val="25"/>
        <w:spacing w:line="600" w:lineRule="exact"/>
        <w:ind w:firstLine="640" w:firstLineChars="200"/>
        <w:jc w:val="both"/>
        <w:rPr>
          <w:rStyle w:val="17"/>
          <w:rFonts w:hint="eastAsia" w:ascii="仿宋_GB2312" w:hAnsi="仿宋_GB2312" w:eastAsia="仿宋_GB2312" w:cs="仿宋_GB2312"/>
          <w:b w:val="0"/>
          <w:bCs w:val="0"/>
          <w:sz w:val="32"/>
          <w:szCs w:val="32"/>
        </w:rPr>
      </w:pPr>
      <w:r>
        <w:rPr>
          <w:rStyle w:val="17"/>
          <w:rFonts w:hint="eastAsia" w:ascii="仿宋_GB2312" w:hAnsi="仿宋_GB2312" w:eastAsia="仿宋_GB2312" w:cs="仿宋_GB2312"/>
          <w:b w:val="0"/>
          <w:bCs w:val="0"/>
          <w:sz w:val="32"/>
          <w:szCs w:val="32"/>
        </w:rPr>
        <w:t>9.</w:t>
      </w:r>
      <w:r>
        <w:rPr>
          <w:rStyle w:val="17"/>
          <w:rFonts w:hint="eastAsia" w:ascii="仿宋_GB2312" w:hAnsi="仿宋_GB2312" w:eastAsia="仿宋_GB2312" w:cs="仿宋_GB2312"/>
          <w:b w:val="0"/>
          <w:bCs w:val="0"/>
          <w:color w:val="000000"/>
          <w:sz w:val="32"/>
          <w:szCs w:val="32"/>
        </w:rPr>
        <w:t>社会保障和就业</w:t>
      </w:r>
      <w:r>
        <w:rPr>
          <w:rStyle w:val="17"/>
          <w:rFonts w:hint="eastAsia" w:ascii="仿宋_GB2312" w:hAnsi="仿宋_GB2312" w:eastAsia="仿宋_GB2312" w:cs="仿宋_GB2312"/>
          <w:b w:val="0"/>
          <w:bCs w:val="0"/>
          <w:color w:val="000000"/>
          <w:sz w:val="32"/>
          <w:szCs w:val="32"/>
          <w:lang w:val="en-US" w:eastAsia="zh-CN"/>
        </w:rPr>
        <w:t>支出</w:t>
      </w:r>
      <w:r>
        <w:rPr>
          <w:rStyle w:val="17"/>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sz w:val="32"/>
          <w:szCs w:val="32"/>
        </w:rPr>
        <w:t xml:space="preserve"> 人力资源和社会保障管理事务(款)行政运行（项）</w:t>
      </w:r>
      <w:r>
        <w:rPr>
          <w:rStyle w:val="17"/>
          <w:rFonts w:hint="eastAsia" w:ascii="仿宋_GB2312" w:hAnsi="仿宋_GB2312" w:eastAsia="仿宋_GB2312" w:cs="仿宋_GB2312"/>
          <w:b w:val="0"/>
          <w:bCs w:val="0"/>
          <w:sz w:val="32"/>
          <w:szCs w:val="32"/>
        </w:rPr>
        <w:t>：</w:t>
      </w:r>
      <w:r>
        <w:rPr>
          <w:rStyle w:val="17"/>
          <w:rFonts w:hint="eastAsia" w:ascii="仿宋_GB2312" w:hAnsi="仿宋_GB2312" w:eastAsia="仿宋_GB2312" w:cs="仿宋_GB2312"/>
          <w:b w:val="0"/>
          <w:bCs w:val="0"/>
          <w:sz w:val="32"/>
          <w:szCs w:val="32"/>
          <w:lang w:val="en-US" w:eastAsia="zh-CN"/>
        </w:rPr>
        <w:t>指</w:t>
      </w:r>
      <w:r>
        <w:rPr>
          <w:rStyle w:val="17"/>
          <w:rFonts w:hint="eastAsia" w:ascii="仿宋_GB2312" w:hAnsi="仿宋_GB2312" w:eastAsia="仿宋_GB2312" w:cs="仿宋_GB2312"/>
          <w:b w:val="0"/>
          <w:bCs w:val="0"/>
          <w:sz w:val="32"/>
          <w:szCs w:val="32"/>
        </w:rPr>
        <w:t>机关单位用于保障机构正常运行、开展日常工</w:t>
      </w:r>
      <w:bookmarkStart w:id="73" w:name="_GoBack"/>
      <w:bookmarkEnd w:id="73"/>
      <w:r>
        <w:rPr>
          <w:rStyle w:val="17"/>
          <w:rFonts w:hint="eastAsia" w:ascii="仿宋_GB2312" w:hAnsi="仿宋_GB2312" w:eastAsia="仿宋_GB2312" w:cs="仿宋_GB2312"/>
          <w:b w:val="0"/>
          <w:bCs w:val="0"/>
          <w:sz w:val="32"/>
          <w:szCs w:val="32"/>
        </w:rPr>
        <w:t>作的基本支出。</w:t>
      </w:r>
    </w:p>
    <w:p>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w:t>
      </w:r>
      <w:r>
        <w:rPr>
          <w:rStyle w:val="17"/>
          <w:rFonts w:hint="eastAsia" w:ascii="仿宋_GB2312" w:hAnsi="仿宋_GB2312" w:eastAsia="仿宋_GB2312" w:cs="仿宋_GB2312"/>
          <w:b w:val="0"/>
          <w:bCs w:val="0"/>
          <w:color w:val="000000"/>
          <w:sz w:val="32"/>
          <w:szCs w:val="32"/>
        </w:rPr>
        <w:t>社会保障和就业</w:t>
      </w:r>
      <w:r>
        <w:rPr>
          <w:rStyle w:val="17"/>
          <w:rFonts w:hint="eastAsia" w:ascii="仿宋_GB2312" w:hAnsi="仿宋_GB2312" w:eastAsia="仿宋_GB2312" w:cs="仿宋_GB2312"/>
          <w:b w:val="0"/>
          <w:bCs w:val="0"/>
          <w:color w:val="000000"/>
          <w:sz w:val="32"/>
          <w:szCs w:val="32"/>
          <w:lang w:val="en-US" w:eastAsia="zh-CN"/>
        </w:rPr>
        <w:t>支出</w:t>
      </w:r>
      <w:r>
        <w:rPr>
          <w:rStyle w:val="17"/>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sz w:val="32"/>
          <w:szCs w:val="32"/>
        </w:rPr>
        <w:t xml:space="preserve"> 人力资源和社会保障管理事务(款)社会保险经办机构（项）：指社会保险经办机构开展业务工作的支出。</w:t>
      </w:r>
    </w:p>
    <w:p>
      <w:pPr>
        <w:pStyle w:val="2"/>
        <w:rPr>
          <w:rFonts w:hint="eastAsia" w:ascii="仿宋_GB2312" w:hAnsi="仿宋_GB2312" w:eastAsia="仿宋_GB2312" w:cs="仿宋_GB2312"/>
          <w:b w:val="0"/>
          <w:bCs w:val="0"/>
          <w:lang w:val="en-US" w:eastAsia="zh-CN"/>
        </w:rPr>
      </w:pPr>
      <w:r>
        <w:rPr>
          <w:rStyle w:val="17"/>
          <w:rFonts w:hint="eastAsia" w:ascii="仿宋_GB2312" w:hAnsi="仿宋_GB2312" w:eastAsia="仿宋_GB2312" w:cs="仿宋_GB2312"/>
          <w:b w:val="0"/>
          <w:bCs w:val="0"/>
          <w:color w:val="000000"/>
          <w:sz w:val="32"/>
          <w:szCs w:val="32"/>
          <w:lang w:val="en-US" w:eastAsia="zh-CN"/>
        </w:rPr>
        <w:t>11.</w:t>
      </w:r>
      <w:r>
        <w:rPr>
          <w:rStyle w:val="17"/>
          <w:rFonts w:hint="eastAsia" w:ascii="仿宋_GB2312" w:hAnsi="仿宋_GB2312" w:eastAsia="仿宋_GB2312" w:cs="仿宋_GB2312"/>
          <w:b w:val="0"/>
          <w:bCs w:val="0"/>
          <w:color w:val="000000"/>
          <w:sz w:val="32"/>
          <w:szCs w:val="32"/>
        </w:rPr>
        <w:t>社会保障和就业</w:t>
      </w:r>
      <w:r>
        <w:rPr>
          <w:rStyle w:val="17"/>
          <w:rFonts w:hint="eastAsia" w:ascii="仿宋_GB2312" w:hAnsi="仿宋_GB2312" w:eastAsia="仿宋_GB2312" w:cs="仿宋_GB2312"/>
          <w:b w:val="0"/>
          <w:bCs w:val="0"/>
          <w:color w:val="000000"/>
          <w:sz w:val="32"/>
          <w:szCs w:val="32"/>
          <w:lang w:val="en-US" w:eastAsia="zh-CN"/>
        </w:rPr>
        <w:t>支出</w:t>
      </w:r>
      <w:r>
        <w:rPr>
          <w:rStyle w:val="17"/>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sz w:val="32"/>
          <w:szCs w:val="32"/>
        </w:rPr>
        <w:t xml:space="preserve"> 人力资源和社会保障管理事务(款)</w:t>
      </w:r>
      <w:r>
        <w:rPr>
          <w:rFonts w:hint="eastAsia" w:ascii="仿宋_GB2312" w:hAnsi="仿宋_GB2312" w:eastAsia="仿宋_GB2312" w:cs="仿宋_GB2312"/>
          <w:b w:val="0"/>
          <w:bCs w:val="0"/>
          <w:sz w:val="32"/>
          <w:szCs w:val="32"/>
          <w:lang w:val="en-US" w:eastAsia="zh-CN"/>
        </w:rPr>
        <w:t>其他人力资源和社会保障管理事务支出</w:t>
      </w:r>
      <w:r>
        <w:rPr>
          <w:rFonts w:hint="eastAsia" w:ascii="仿宋_GB2312" w:hAnsi="仿宋_GB2312" w:eastAsia="仿宋_GB2312" w:cs="仿宋_GB2312"/>
          <w:b w:val="0"/>
          <w:bCs w:val="0"/>
          <w:sz w:val="32"/>
          <w:szCs w:val="32"/>
        </w:rPr>
        <w:t>（项）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指用于其他其他人力资源和社会保障管理事务方面支出。</w:t>
      </w:r>
    </w:p>
    <w:p>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Style w:val="17"/>
          <w:rFonts w:hint="eastAsia" w:ascii="仿宋_GB2312" w:hAnsi="仿宋_GB2312" w:eastAsia="仿宋_GB2312" w:cs="仿宋_GB2312"/>
          <w:b w:val="0"/>
          <w:bCs w:val="0"/>
          <w:color w:val="000000"/>
          <w:sz w:val="32"/>
          <w:szCs w:val="32"/>
        </w:rPr>
        <w:t>社会保障和就业</w:t>
      </w:r>
      <w:r>
        <w:rPr>
          <w:rStyle w:val="17"/>
          <w:rFonts w:hint="eastAsia" w:ascii="仿宋_GB2312" w:hAnsi="仿宋_GB2312" w:eastAsia="仿宋_GB2312" w:cs="仿宋_GB2312"/>
          <w:b w:val="0"/>
          <w:bCs w:val="0"/>
          <w:color w:val="000000"/>
          <w:sz w:val="32"/>
          <w:szCs w:val="32"/>
          <w:lang w:val="en-US" w:eastAsia="zh-CN"/>
        </w:rPr>
        <w:t>支出</w:t>
      </w:r>
      <w:r>
        <w:rPr>
          <w:rStyle w:val="17"/>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sz w:val="32"/>
          <w:szCs w:val="32"/>
        </w:rPr>
        <w:t>行政事业单位养老支出(款) 机关事业单位基本养老保险缴费支出（项）：指机关事业单位实施养老保险制度由单位缴纳的基本养老保险费支出。</w:t>
      </w:r>
    </w:p>
    <w:p>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社会保障和就业支出（类）行政事业单位养老支出（款）机关事业单位职业年金缴费支出（项）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指机关事业单位养老保险制度由单位缴纳的职业年金支出。</w:t>
      </w:r>
    </w:p>
    <w:p>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.卫生健康支出（类）行政事业单位医疗（款）行政单位医疗（项）：指财政部门集中安排的行政单位基本医疗保险缴费。</w:t>
      </w:r>
    </w:p>
    <w:p>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住房保障支出（类）住房改革支出（款）住房公积金（项）：指行政事业单位按规定的标准和比例为职工缴纳的住房公积金。</w:t>
      </w:r>
    </w:p>
    <w:p>
      <w:pPr>
        <w:spacing w:line="600" w:lineRule="exact"/>
        <w:ind w:firstLine="640" w:firstLineChars="200"/>
        <w:rPr>
          <w:rFonts w:hint="eastAsia" w:ascii="仿宋_GB2312" w:hAnsi="仿宋_GB2312" w:eastAsia="仿宋_GB2312" w:cs="仿宋_GB2312"/>
          <w:sz w:val="32"/>
          <w:szCs w:val="32"/>
          <w:lang w:val="en-US" w:eastAsia="zh-CN"/>
        </w:rPr>
      </w:pPr>
      <w:r>
        <w:rPr>
          <w:rStyle w:val="17"/>
          <w:rFonts w:hint="eastAsia" w:ascii="仿宋_GB2312" w:hAnsi="仿宋_GB2312" w:eastAsia="仿宋_GB2312" w:cs="仿宋_GB2312"/>
          <w:b w:val="0"/>
          <w:bCs w:val="0"/>
          <w:color w:val="000000"/>
          <w:sz w:val="32"/>
          <w:szCs w:val="32"/>
          <w:lang w:val="en-US" w:eastAsia="zh-CN"/>
        </w:rPr>
        <w:t>16</w:t>
      </w:r>
      <w:r>
        <w:rPr>
          <w:rStyle w:val="17"/>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sz w:val="32"/>
          <w:szCs w:val="32"/>
        </w:rPr>
        <w:t>住房保障支出（类）住房改革支出（款）购房补贴（项）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指按房改政策规定，行政事业单位向符合条件职工、军队向转役复员离退休人员发放的用于购买住房的补贴。</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57" w:name="_Toc15396614"/>
      <w:bookmarkStart w:id="5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w:t>
      </w:r>
      <w:r>
        <w:rPr>
          <w:rFonts w:ascii="方正小标宋简体" w:hAnsi="宋体" w:eastAsia="方正小标宋简体"/>
          <w:color w:val="000000"/>
          <w:kern w:val="0"/>
          <w:sz w:val="40"/>
          <w:szCs w:val="44"/>
        </w:rPr>
        <w:t>社会保险事业管理局2019年部门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spacing w:line="600" w:lineRule="exact"/>
        <w:ind w:right="-342" w:rightChars="-163"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茂县社会保险事业管理局是县政府综合管理全县社会保险工作的职能部门，承担政府职能的管理机构，为副科级财政全额拨款的（参公）事业单位。</w:t>
      </w:r>
      <w:r>
        <w:rPr>
          <w:rFonts w:hint="eastAsia" w:ascii="仿宋_GB2312" w:hAnsi="仿宋_GB2312" w:eastAsia="仿宋_GB2312" w:cs="仿宋_GB2312"/>
          <w:color w:val="333333"/>
          <w:sz w:val="32"/>
          <w:szCs w:val="32"/>
        </w:rPr>
        <w:t>局内设“五股一室”，即办公室、财务股、机关事业单位养老保险股、职业年金股、退管股、社会保险统一征收股。</w:t>
      </w:r>
      <w:r>
        <w:rPr>
          <w:rFonts w:hint="eastAsia" w:ascii="仿宋_GB2312" w:hAnsi="仿宋_GB2312" w:eastAsia="仿宋_GB2312" w:cs="仿宋_GB2312"/>
          <w:sz w:val="32"/>
          <w:szCs w:val="32"/>
        </w:rPr>
        <w:t>归县人力资源和社会保障局管理。</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Style w:val="7"/>
        <w:adjustRightInd w:val="0"/>
        <w:snapToGrid w:val="0"/>
        <w:spacing w:beforeLines="0" w:line="600" w:lineRule="exact"/>
        <w:ind w:firstLine="672" w:firstLineChars="210"/>
        <w:outlineLvl w:val="2"/>
        <w:rPr>
          <w:rFonts w:ascii="仿宋" w:hAnsi="仿宋" w:eastAsia="仿宋"/>
          <w:bCs/>
          <w:color w:val="000000"/>
          <w:sz w:val="32"/>
          <w:szCs w:val="32"/>
        </w:rPr>
      </w:pPr>
      <w:r>
        <w:rPr>
          <w:rFonts w:hint="eastAsia" w:hAnsi="宋体" w:cs="Arial"/>
          <w:color w:val="333333"/>
          <w:sz w:val="32"/>
          <w:szCs w:val="32"/>
        </w:rPr>
        <w:t>贯彻执行国家、省、州有关社会保险政策和法律、法规，负责全县企业基本养老保险、机关事业养老保险、职业年金、工伤保险等社会保险工作。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1.负责辖区内参保单位和个人社会保险基金的征收、管理、审核等工作。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2.承办辖区参保单位社会保险登记、变更、注销。职工养老保险关系转移，灵活就业人员参保、续保工作。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3.审核参保职工养老、工伤申报资料，计算其待遇，按时足额发放待遇。</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4.负责参保单位和个人养老、工伤保险的日常管理工作；负责社会保险数据、信息的处理和管理，参保个人帐户的建立和管理。</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5.为参保单位和个人、提供有关养老、工伤保险的政策宣传咨询服务，受理群众来信来访。</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tabs>
          <w:tab w:val="left" w:pos="284"/>
        </w:tabs>
        <w:spacing w:line="600" w:lineRule="exact"/>
        <w:ind w:right="-340" w:rightChars="-162" w:firstLine="640" w:firstLineChars="200"/>
        <w:jc w:val="left"/>
        <w:rPr>
          <w:rFonts w:ascii="仿宋" w:hAnsi="仿宋" w:eastAsia="仿宋" w:cs="仿宋_GB2312"/>
          <w:sz w:val="32"/>
          <w:szCs w:val="32"/>
        </w:rPr>
      </w:pPr>
      <w:r>
        <w:rPr>
          <w:rFonts w:hint="eastAsia" w:ascii="仿宋_GB2312" w:eastAsia="仿宋_GB2312"/>
          <w:sz w:val="32"/>
          <w:szCs w:val="32"/>
        </w:rPr>
        <w:t>我局为财政全额拨款的一级预算副科级参公事业单位，核定参公编制24人。单位内设1名局长，1名副局长；2019年末在职人员18人，退休人员6人。</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2019年单位财政资金收入</w:t>
      </w:r>
      <w:r>
        <w:rPr>
          <w:rFonts w:hint="eastAsia" w:ascii="仿宋_GB2312" w:eastAsia="仿宋_GB2312"/>
          <w:sz w:val="32"/>
          <w:szCs w:val="32"/>
          <w:lang w:val="en-US" w:eastAsia="zh-CN"/>
        </w:rPr>
        <w:t>389.78</w:t>
      </w:r>
      <w:r>
        <w:rPr>
          <w:rFonts w:hint="eastAsia" w:ascii="仿宋_GB2312" w:eastAsia="仿宋_GB2312"/>
          <w:sz w:val="32"/>
          <w:szCs w:val="32"/>
        </w:rPr>
        <w:t>万元,均为一般公共预算财政拨款收入。单位无上级补助收入、事业收入、经营收入等其他性质的经费收入。</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2019年我局财政资金总支出</w:t>
      </w:r>
      <w:r>
        <w:rPr>
          <w:rFonts w:hint="eastAsia" w:ascii="仿宋_GB2312" w:eastAsia="仿宋_GB2312"/>
          <w:sz w:val="32"/>
          <w:szCs w:val="32"/>
          <w:lang w:val="en-US" w:eastAsia="zh-CN"/>
        </w:rPr>
        <w:t>348.96</w:t>
      </w:r>
      <w:r>
        <w:rPr>
          <w:rFonts w:hint="eastAsia" w:ascii="仿宋_GB2312" w:eastAsia="仿宋_GB2312"/>
          <w:sz w:val="32"/>
          <w:szCs w:val="32"/>
        </w:rPr>
        <w:t>万元，全部用于正常支出。按支出功能分：社会保障和就业支出308.97万元，主要用于本单位人员工资、照规定标准为职工缴纳的机关事业单位养老保险和职业年金、保障日常运转以及为完成特定行政工作任务和事业发展目标而安排的年度项目支出；医疗卫生与计划生育支出17.09</w:t>
      </w:r>
      <w:r>
        <w:rPr>
          <w:rFonts w:ascii="仿宋_GB2312" w:eastAsia="仿宋_GB2312"/>
          <w:sz w:val="32"/>
          <w:szCs w:val="32"/>
        </w:rPr>
        <w:t>万</w:t>
      </w:r>
      <w:r>
        <w:rPr>
          <w:rFonts w:hint="eastAsia" w:ascii="仿宋_GB2312" w:eastAsia="仿宋_GB2312"/>
          <w:sz w:val="32"/>
          <w:szCs w:val="32"/>
        </w:rPr>
        <w:t>元，主要用于事业单位按照规定标准为职工缴纳的基本医疗保险及公务员医疗补助等支出；住房保障支出：22.90万元，用于单位按照规定标准为职工缴纳住房公积金支出。</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60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pStyle w:val="39"/>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1.部门绩效目标制定及完成情况</w:t>
      </w:r>
    </w:p>
    <w:p>
      <w:pPr>
        <w:pStyle w:val="39"/>
        <w:spacing w:line="600" w:lineRule="exact"/>
        <w:ind w:firstLine="640" w:firstLineChars="200"/>
        <w:rPr>
          <w:rFonts w:ascii="仿宋_GB2312" w:hAnsi="黑体" w:eastAsia="仿宋_GB2312"/>
          <w:color w:val="000000"/>
          <w:sz w:val="32"/>
          <w:szCs w:val="32"/>
        </w:rPr>
      </w:pPr>
      <w:r>
        <w:rPr>
          <w:rFonts w:hint="eastAsia" w:ascii="仿宋_GB2312" w:hAnsi="仿宋_GB2312" w:eastAsia="仿宋_GB2312" w:cs="仿宋_GB2312"/>
          <w:sz w:val="32"/>
          <w:szCs w:val="32"/>
        </w:rPr>
        <w:t>我局严格按照</w:t>
      </w:r>
      <w:r>
        <w:rPr>
          <w:rFonts w:hint="eastAsia" w:ascii="仿宋_GB2312" w:hAnsi="黑体" w:eastAsia="仿宋_GB2312"/>
          <w:color w:val="000000"/>
          <w:sz w:val="32"/>
          <w:szCs w:val="32"/>
        </w:rPr>
        <w:t>县级财政部门要求同时结合自身工作实际合理制定了部门整体支出绩效总体目标及绩效指标，</w:t>
      </w:r>
      <w:r>
        <w:rPr>
          <w:rFonts w:hint="eastAsia" w:ascii="仿宋_GB2312" w:hAnsi="宋体" w:eastAsia="仿宋_GB2312"/>
          <w:color w:val="000000"/>
          <w:sz w:val="32"/>
          <w:szCs w:val="32"/>
          <w:lang w:val="zh-CN"/>
        </w:rPr>
        <w:t>按要求详细反映了保障完成的工作任务、经费预算的测算过程、</w:t>
      </w:r>
      <w:r>
        <w:rPr>
          <w:rFonts w:hint="eastAsia" w:ascii="仿宋_GB2312" w:eastAsia="仿宋_GB2312"/>
          <w:color w:val="000000"/>
          <w:sz w:val="32"/>
        </w:rPr>
        <w:t>预算资金的预期产出和</w:t>
      </w:r>
      <w:r>
        <w:rPr>
          <w:rFonts w:hint="eastAsia" w:ascii="仿宋_GB2312" w:hAnsi="宋体" w:eastAsia="仿宋_GB2312"/>
          <w:color w:val="000000"/>
          <w:sz w:val="32"/>
          <w:szCs w:val="32"/>
          <w:lang w:val="zh-CN"/>
        </w:rPr>
        <w:t>达成的</w:t>
      </w:r>
      <w:r>
        <w:rPr>
          <w:rFonts w:hint="eastAsia" w:ascii="仿宋_GB2312" w:eastAsia="仿宋_GB2312"/>
          <w:color w:val="000000"/>
          <w:sz w:val="32"/>
        </w:rPr>
        <w:t>效果</w:t>
      </w:r>
      <w:r>
        <w:rPr>
          <w:rFonts w:hint="eastAsia" w:ascii="仿宋_GB2312" w:hAnsi="黑体" w:eastAsia="仿宋_GB2312"/>
          <w:color w:val="000000"/>
          <w:sz w:val="32"/>
          <w:szCs w:val="32"/>
        </w:rPr>
        <w:t>。经自评，单位2019年部门整体支出绩效总体上达到既定目标，有效保障了单位正常运转及开展部门职能工作。</w:t>
      </w:r>
    </w:p>
    <w:p>
      <w:pPr>
        <w:pStyle w:val="36"/>
        <w:spacing w:line="600" w:lineRule="exact"/>
        <w:ind w:right="-342" w:rightChars="-163"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w:t>
      </w:r>
      <w:r>
        <w:rPr>
          <w:rFonts w:hint="eastAsia" w:ascii="仿宋_GB2312" w:hAnsi="黑体" w:eastAsia="仿宋_GB2312"/>
          <w:color w:val="000000"/>
          <w:sz w:val="32"/>
          <w:szCs w:val="32"/>
        </w:rPr>
        <w:t>预算编制情况</w:t>
      </w:r>
    </w:p>
    <w:p>
      <w:pPr>
        <w:pStyle w:val="36"/>
        <w:spacing w:line="600" w:lineRule="exact"/>
        <w:ind w:right="-342" w:rightChars="-163" w:firstLine="640" w:firstLineChars="200"/>
        <w:rPr>
          <w:rFonts w:ascii="仿宋_GB2312" w:eastAsia="仿宋_GB2312"/>
          <w:sz w:val="32"/>
          <w:szCs w:val="32"/>
        </w:rPr>
      </w:pPr>
      <w:r>
        <w:rPr>
          <w:rFonts w:hint="eastAsia" w:ascii="仿宋_GB2312" w:eastAsia="仿宋_GB2312"/>
          <w:sz w:val="32"/>
          <w:szCs w:val="32"/>
        </w:rPr>
        <w:t>我局严格按照相关的规定和要求根据单位的实际经费使用情况，编制预算和决算报表。在每年9、10月及年底按时编制完成下一年度的预算报表和本年度决算报表的基础上，做到编制准确、指标细化。并按县级部门预算编制通知和有关要求按时向有关检查部门提交部门预算草案。</w:t>
      </w:r>
    </w:p>
    <w:p>
      <w:pPr>
        <w:pStyle w:val="36"/>
        <w:spacing w:line="600" w:lineRule="exact"/>
        <w:ind w:right="-342" w:rightChars="-163"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w:t>
      </w:r>
      <w:r>
        <w:rPr>
          <w:rFonts w:hint="eastAsia" w:ascii="仿宋_GB2312" w:hAnsi="黑体" w:eastAsia="仿宋_GB2312"/>
          <w:color w:val="000000"/>
          <w:sz w:val="32"/>
          <w:szCs w:val="32"/>
        </w:rPr>
        <w:t>决算编制情况</w:t>
      </w:r>
    </w:p>
    <w:p>
      <w:pPr>
        <w:pStyle w:val="36"/>
        <w:spacing w:line="600"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的现象。</w:t>
      </w:r>
    </w:p>
    <w:p>
      <w:pPr>
        <w:widowControl/>
        <w:adjustRightInd w:val="0"/>
        <w:snapToGrid w:val="0"/>
        <w:spacing w:line="600" w:lineRule="exact"/>
        <w:ind w:firstLine="640" w:firstLineChars="200"/>
        <w:contextualSpacing/>
        <w:jc w:val="left"/>
        <w:rPr>
          <w:rFonts w:ascii="仿宋_GB2312" w:hAnsi="楷体" w:eastAsia="仿宋_GB2312"/>
          <w:sz w:val="32"/>
          <w:shd w:val="clear" w:color="auto" w:fill="FFFFFF"/>
          <w:lang w:val="zh-CN"/>
        </w:rPr>
      </w:pPr>
      <w:r>
        <w:rPr>
          <w:rFonts w:hint="eastAsia" w:ascii="仿宋_GB2312" w:hAnsi="楷体" w:eastAsia="仿宋_GB2312"/>
          <w:sz w:val="32"/>
          <w:shd w:val="clear" w:color="auto" w:fill="FFFFFF"/>
          <w:lang w:val="zh-CN"/>
        </w:rPr>
        <w:t>4.预算完成情况</w:t>
      </w:r>
    </w:p>
    <w:p>
      <w:pPr>
        <w:pStyle w:val="36"/>
        <w:spacing w:line="600"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sz w:val="32"/>
          <w:szCs w:val="32"/>
          <w:lang w:val="zh-CN"/>
        </w:rPr>
        <w:t>我局按照年初预算，加强项目的绩效目标管理，严格执行财经纪律，加快预算执行进度，</w:t>
      </w:r>
      <w:r>
        <w:rPr>
          <w:rFonts w:hint="eastAsia" w:eastAsia="仿宋_GB2312"/>
          <w:sz w:val="32"/>
          <w:shd w:val="clear" w:color="auto" w:fill="FFFFFF"/>
          <w:lang w:val="zh-CN"/>
        </w:rPr>
        <w:t>达到了预算设定的绩效目标，确保了各项工作的顺利开展</w:t>
      </w:r>
    </w:p>
    <w:p>
      <w:pPr>
        <w:widowControl/>
        <w:numPr>
          <w:ilvl w:val="0"/>
          <w:numId w:val="5"/>
        </w:numPr>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结果应用情况</w:t>
      </w:r>
    </w:p>
    <w:p>
      <w:pPr>
        <w:widowControl/>
        <w:numPr>
          <w:ilvl w:val="0"/>
          <w:numId w:val="0"/>
        </w:numPr>
        <w:adjustRightInd w:val="0"/>
        <w:snapToGrid w:val="0"/>
        <w:spacing w:line="600" w:lineRule="exact"/>
        <w:ind w:firstLine="640" w:firstLineChars="200"/>
        <w:contextualSpacing/>
        <w:jc w:val="left"/>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我局对部门整体绩效管理工作进行了仔细自查自评，将事前评估结果作为新增预算安排的重要依据，同时将事后绩效评价结果运用到次年的预算安排中，不断强化绩效理念，推动我局部门整体绩效管理水平不断提升。</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pStyle w:val="35"/>
        <w:spacing w:line="600" w:lineRule="exact"/>
        <w:ind w:firstLine="640" w:firstLineChars="2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我局2019年部门整体支出情况良好，从预算到执行和收入、支出管理均严格按照相关要求进行，全年收支平衡，有效保障了单位正常运转，圆满完成了单位目标任务。</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pStyle w:val="39"/>
        <w:spacing w:line="600" w:lineRule="exact"/>
        <w:ind w:firstLine="960" w:firstLineChars="3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单位整体绩效目标编制不够全面细致。</w:t>
      </w:r>
    </w:p>
    <w:p>
      <w:pPr>
        <w:widowControl/>
        <w:adjustRightInd w:val="0"/>
        <w:snapToGrid w:val="0"/>
        <w:spacing w:line="60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lang w:val="en-US" w:eastAsia="zh-CN"/>
        </w:rPr>
        <w:t>在今后的工作中，</w:t>
      </w:r>
      <w:r>
        <w:rPr>
          <w:rFonts w:hint="eastAsia" w:ascii="仿宋_GB2312" w:hAnsi="仿宋" w:eastAsia="仿宋_GB2312" w:cs="仿宋_GB2312"/>
          <w:sz w:val="32"/>
          <w:szCs w:val="32"/>
        </w:rPr>
        <w:t>我们将进一步</w:t>
      </w:r>
      <w:r>
        <w:rPr>
          <w:rFonts w:hint="eastAsia" w:ascii="仿宋_GB2312" w:hAnsi="仿宋" w:eastAsia="仿宋_GB2312" w:cs="仿宋_GB2312"/>
          <w:sz w:val="32"/>
          <w:szCs w:val="32"/>
          <w:lang w:val="en-US" w:eastAsia="zh-CN"/>
        </w:rPr>
        <w:t>优化</w:t>
      </w:r>
      <w:r>
        <w:rPr>
          <w:rFonts w:hint="eastAsia" w:ascii="仿宋_GB2312" w:hAnsi="仿宋" w:eastAsia="仿宋_GB2312" w:cs="仿宋_GB2312"/>
          <w:sz w:val="32"/>
          <w:szCs w:val="32"/>
        </w:rPr>
        <w:t>绩效目标，加强预算执行管理。</w:t>
      </w:r>
    </w:p>
    <w:p>
      <w:pPr>
        <w:spacing w:line="600" w:lineRule="exact"/>
        <w:rPr>
          <w:rFonts w:ascii="黑体" w:hAnsi="黑体" w:eastAsia="黑体" w:cs="黑体"/>
          <w:sz w:val="32"/>
          <w:szCs w:val="32"/>
        </w:rPr>
      </w:pPr>
    </w:p>
    <w:p>
      <w:pPr>
        <w:spacing w:line="600" w:lineRule="exact"/>
        <w:rPr>
          <w:rFonts w:ascii="黑体" w:hAnsi="黑体" w:eastAsia="黑体" w:cs="黑体"/>
          <w:sz w:val="32"/>
          <w:szCs w:val="32"/>
        </w:rPr>
      </w:pPr>
    </w:p>
    <w:p>
      <w:pPr>
        <w:widowControl/>
        <w:spacing w:line="600" w:lineRule="exact"/>
        <w:jc w:val="left"/>
        <w:rPr>
          <w:rStyle w:val="27"/>
          <w:rFonts w:ascii="黑体" w:hAnsi="黑体" w:eastAsia="黑体"/>
          <w:b w:val="0"/>
        </w:rPr>
      </w:pPr>
      <w:r>
        <w:rPr>
          <w:rStyle w:val="27"/>
          <w:rFonts w:ascii="黑体" w:hAnsi="黑体" w:eastAsia="黑体"/>
          <w:b w:val="0"/>
        </w:rPr>
        <w:br w:type="page"/>
      </w:r>
    </w:p>
    <w:p>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pPr>
        <w:pStyle w:val="5"/>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14:textFill>
            <w14:solidFill>
              <w14:schemeClr w14:val="tx1"/>
            </w14:solidFill>
          </w14:textFill>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11CC94"/>
    <w:multiLevelType w:val="singleLevel"/>
    <w:tmpl w:val="AB11CC9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BEB2E35"/>
    <w:multiLevelType w:val="singleLevel"/>
    <w:tmpl w:val="7BEB2E35"/>
    <w:lvl w:ilvl="0" w:tentative="0">
      <w:start w:val="1"/>
      <w:numFmt w:val="chineseCounting"/>
      <w:suff w:val="space"/>
      <w:lvlText w:val="第%1部分"/>
      <w:lvlJc w:val="left"/>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46AC"/>
    <w:rsid w:val="00007996"/>
    <w:rsid w:val="000222C6"/>
    <w:rsid w:val="0002549F"/>
    <w:rsid w:val="00033AEF"/>
    <w:rsid w:val="00033E44"/>
    <w:rsid w:val="000468DB"/>
    <w:rsid w:val="000518B0"/>
    <w:rsid w:val="0005797C"/>
    <w:rsid w:val="0006487A"/>
    <w:rsid w:val="00065F8F"/>
    <w:rsid w:val="00070A43"/>
    <w:rsid w:val="000726BB"/>
    <w:rsid w:val="000768F2"/>
    <w:rsid w:val="00090BBB"/>
    <w:rsid w:val="0009184B"/>
    <w:rsid w:val="00094236"/>
    <w:rsid w:val="0009593C"/>
    <w:rsid w:val="00097322"/>
    <w:rsid w:val="000A6A92"/>
    <w:rsid w:val="000B047F"/>
    <w:rsid w:val="000B05F6"/>
    <w:rsid w:val="000B5923"/>
    <w:rsid w:val="000B5A48"/>
    <w:rsid w:val="000B6FF3"/>
    <w:rsid w:val="000C3467"/>
    <w:rsid w:val="000C3CA6"/>
    <w:rsid w:val="000C4B56"/>
    <w:rsid w:val="000D1267"/>
    <w:rsid w:val="000D1D50"/>
    <w:rsid w:val="000D4CB2"/>
    <w:rsid w:val="000D5782"/>
    <w:rsid w:val="000E2017"/>
    <w:rsid w:val="000E2418"/>
    <w:rsid w:val="000E6613"/>
    <w:rsid w:val="000E7119"/>
    <w:rsid w:val="000E7B15"/>
    <w:rsid w:val="000F5F66"/>
    <w:rsid w:val="001043FC"/>
    <w:rsid w:val="00112CE1"/>
    <w:rsid w:val="00114E9B"/>
    <w:rsid w:val="0012226F"/>
    <w:rsid w:val="00124EC2"/>
    <w:rsid w:val="0013073D"/>
    <w:rsid w:val="00133B3F"/>
    <w:rsid w:val="00141250"/>
    <w:rsid w:val="00142216"/>
    <w:rsid w:val="00144D6A"/>
    <w:rsid w:val="00146A17"/>
    <w:rsid w:val="0014729F"/>
    <w:rsid w:val="00157BAB"/>
    <w:rsid w:val="001654D1"/>
    <w:rsid w:val="00174518"/>
    <w:rsid w:val="0018106D"/>
    <w:rsid w:val="001877A7"/>
    <w:rsid w:val="00190C96"/>
    <w:rsid w:val="00191536"/>
    <w:rsid w:val="00196687"/>
    <w:rsid w:val="001C0962"/>
    <w:rsid w:val="001C0E02"/>
    <w:rsid w:val="001C726E"/>
    <w:rsid w:val="001D7531"/>
    <w:rsid w:val="001E737D"/>
    <w:rsid w:val="001F0592"/>
    <w:rsid w:val="001F7506"/>
    <w:rsid w:val="002006CD"/>
    <w:rsid w:val="00202B36"/>
    <w:rsid w:val="00204B7A"/>
    <w:rsid w:val="00204CDE"/>
    <w:rsid w:val="0021101A"/>
    <w:rsid w:val="00220536"/>
    <w:rsid w:val="002349F5"/>
    <w:rsid w:val="00235629"/>
    <w:rsid w:val="00241CCE"/>
    <w:rsid w:val="00260C38"/>
    <w:rsid w:val="002616C0"/>
    <w:rsid w:val="00265372"/>
    <w:rsid w:val="002662AA"/>
    <w:rsid w:val="00266E9C"/>
    <w:rsid w:val="0027447A"/>
    <w:rsid w:val="00280496"/>
    <w:rsid w:val="00282564"/>
    <w:rsid w:val="00285969"/>
    <w:rsid w:val="002875F0"/>
    <w:rsid w:val="0029382D"/>
    <w:rsid w:val="00294DC9"/>
    <w:rsid w:val="00295495"/>
    <w:rsid w:val="002A0462"/>
    <w:rsid w:val="002A31DE"/>
    <w:rsid w:val="002A6F9C"/>
    <w:rsid w:val="002B2613"/>
    <w:rsid w:val="002C3DB2"/>
    <w:rsid w:val="002C61C5"/>
    <w:rsid w:val="002C7301"/>
    <w:rsid w:val="002D17E9"/>
    <w:rsid w:val="002D19B0"/>
    <w:rsid w:val="002D2B4F"/>
    <w:rsid w:val="002D6D05"/>
    <w:rsid w:val="002E2DC5"/>
    <w:rsid w:val="002E3BED"/>
    <w:rsid w:val="002E7D29"/>
    <w:rsid w:val="002F1818"/>
    <w:rsid w:val="002F567B"/>
    <w:rsid w:val="00310C9F"/>
    <w:rsid w:val="0031684F"/>
    <w:rsid w:val="003216A9"/>
    <w:rsid w:val="003257A9"/>
    <w:rsid w:val="00335A74"/>
    <w:rsid w:val="00336C40"/>
    <w:rsid w:val="00340610"/>
    <w:rsid w:val="00363DB3"/>
    <w:rsid w:val="0036561B"/>
    <w:rsid w:val="0037013F"/>
    <w:rsid w:val="00380C92"/>
    <w:rsid w:val="00382394"/>
    <w:rsid w:val="003936DA"/>
    <w:rsid w:val="00395AD7"/>
    <w:rsid w:val="003A484F"/>
    <w:rsid w:val="003A4883"/>
    <w:rsid w:val="003B0BE0"/>
    <w:rsid w:val="003B0C1B"/>
    <w:rsid w:val="003B384F"/>
    <w:rsid w:val="003B421C"/>
    <w:rsid w:val="003B688C"/>
    <w:rsid w:val="003C0291"/>
    <w:rsid w:val="003C0B04"/>
    <w:rsid w:val="003C39AE"/>
    <w:rsid w:val="003C7B60"/>
    <w:rsid w:val="003D0C0F"/>
    <w:rsid w:val="003D1FB2"/>
    <w:rsid w:val="003D273C"/>
    <w:rsid w:val="003D66DA"/>
    <w:rsid w:val="003E1310"/>
    <w:rsid w:val="003E3881"/>
    <w:rsid w:val="003E6F55"/>
    <w:rsid w:val="003F6619"/>
    <w:rsid w:val="00400EEF"/>
    <w:rsid w:val="00406254"/>
    <w:rsid w:val="00416CD4"/>
    <w:rsid w:val="00420FB2"/>
    <w:rsid w:val="004219C8"/>
    <w:rsid w:val="004223DE"/>
    <w:rsid w:val="004247C0"/>
    <w:rsid w:val="00425431"/>
    <w:rsid w:val="00434489"/>
    <w:rsid w:val="00437085"/>
    <w:rsid w:val="00443880"/>
    <w:rsid w:val="00443F70"/>
    <w:rsid w:val="004464F4"/>
    <w:rsid w:val="00471401"/>
    <w:rsid w:val="004714E6"/>
    <w:rsid w:val="00473F31"/>
    <w:rsid w:val="00480250"/>
    <w:rsid w:val="00480BA3"/>
    <w:rsid w:val="0048263A"/>
    <w:rsid w:val="00484BDE"/>
    <w:rsid w:val="00487E5D"/>
    <w:rsid w:val="004952ED"/>
    <w:rsid w:val="00497B14"/>
    <w:rsid w:val="004A1BB6"/>
    <w:rsid w:val="004A2B16"/>
    <w:rsid w:val="004A711F"/>
    <w:rsid w:val="004A71D8"/>
    <w:rsid w:val="004B199D"/>
    <w:rsid w:val="004B4690"/>
    <w:rsid w:val="004E0A2D"/>
    <w:rsid w:val="004E206B"/>
    <w:rsid w:val="004E2350"/>
    <w:rsid w:val="004E6DF7"/>
    <w:rsid w:val="004F0FBD"/>
    <w:rsid w:val="004F403E"/>
    <w:rsid w:val="00505350"/>
    <w:rsid w:val="00505817"/>
    <w:rsid w:val="00505A47"/>
    <w:rsid w:val="00512FDA"/>
    <w:rsid w:val="00520DA0"/>
    <w:rsid w:val="00521DC7"/>
    <w:rsid w:val="00534C01"/>
    <w:rsid w:val="0054759D"/>
    <w:rsid w:val="00550D85"/>
    <w:rsid w:val="005645A5"/>
    <w:rsid w:val="005664BB"/>
    <w:rsid w:val="00566FFA"/>
    <w:rsid w:val="0057481D"/>
    <w:rsid w:val="00575F0B"/>
    <w:rsid w:val="0058486E"/>
    <w:rsid w:val="00584A54"/>
    <w:rsid w:val="00584ADF"/>
    <w:rsid w:val="00585B33"/>
    <w:rsid w:val="0059014D"/>
    <w:rsid w:val="00596189"/>
    <w:rsid w:val="005A0625"/>
    <w:rsid w:val="005A5939"/>
    <w:rsid w:val="005B5C64"/>
    <w:rsid w:val="005C2953"/>
    <w:rsid w:val="005C6BD0"/>
    <w:rsid w:val="005C6C4C"/>
    <w:rsid w:val="005D1C8B"/>
    <w:rsid w:val="005D38AB"/>
    <w:rsid w:val="005D468D"/>
    <w:rsid w:val="005D4B3C"/>
    <w:rsid w:val="005D5CED"/>
    <w:rsid w:val="005D6923"/>
    <w:rsid w:val="005F1A4C"/>
    <w:rsid w:val="006001EE"/>
    <w:rsid w:val="00602710"/>
    <w:rsid w:val="00605688"/>
    <w:rsid w:val="006070AF"/>
    <w:rsid w:val="00607E6C"/>
    <w:rsid w:val="00607F1B"/>
    <w:rsid w:val="006101B1"/>
    <w:rsid w:val="00614E44"/>
    <w:rsid w:val="00620E01"/>
    <w:rsid w:val="0062270A"/>
    <w:rsid w:val="00622830"/>
    <w:rsid w:val="00622E7C"/>
    <w:rsid w:val="00623DA0"/>
    <w:rsid w:val="0062695F"/>
    <w:rsid w:val="00630AEF"/>
    <w:rsid w:val="006325F8"/>
    <w:rsid w:val="00633463"/>
    <w:rsid w:val="00634C9A"/>
    <w:rsid w:val="006440E4"/>
    <w:rsid w:val="00650ED7"/>
    <w:rsid w:val="00652464"/>
    <w:rsid w:val="0066343B"/>
    <w:rsid w:val="00664777"/>
    <w:rsid w:val="006650C8"/>
    <w:rsid w:val="006748A4"/>
    <w:rsid w:val="00681A31"/>
    <w:rsid w:val="00683E73"/>
    <w:rsid w:val="0069679A"/>
    <w:rsid w:val="006A3141"/>
    <w:rsid w:val="006A4DD0"/>
    <w:rsid w:val="006A5E34"/>
    <w:rsid w:val="006B2422"/>
    <w:rsid w:val="006B2B9A"/>
    <w:rsid w:val="006B671D"/>
    <w:rsid w:val="006C0FAF"/>
    <w:rsid w:val="006C1937"/>
    <w:rsid w:val="006E1E64"/>
    <w:rsid w:val="006E32D6"/>
    <w:rsid w:val="006F020C"/>
    <w:rsid w:val="00700FF2"/>
    <w:rsid w:val="00712623"/>
    <w:rsid w:val="007127B7"/>
    <w:rsid w:val="0071412A"/>
    <w:rsid w:val="0071798E"/>
    <w:rsid w:val="00720E9E"/>
    <w:rsid w:val="00727533"/>
    <w:rsid w:val="00730A8B"/>
    <w:rsid w:val="0074092D"/>
    <w:rsid w:val="007416B6"/>
    <w:rsid w:val="00746F48"/>
    <w:rsid w:val="0075404D"/>
    <w:rsid w:val="00757C13"/>
    <w:rsid w:val="0076182A"/>
    <w:rsid w:val="00767B7E"/>
    <w:rsid w:val="0077246D"/>
    <w:rsid w:val="007748E5"/>
    <w:rsid w:val="007770C3"/>
    <w:rsid w:val="00784D24"/>
    <w:rsid w:val="00785FBA"/>
    <w:rsid w:val="00786E4A"/>
    <w:rsid w:val="007875EB"/>
    <w:rsid w:val="00790AAD"/>
    <w:rsid w:val="007925F5"/>
    <w:rsid w:val="0079426B"/>
    <w:rsid w:val="007A4A71"/>
    <w:rsid w:val="007B5CF7"/>
    <w:rsid w:val="007C0918"/>
    <w:rsid w:val="007C3659"/>
    <w:rsid w:val="007D1682"/>
    <w:rsid w:val="007D1CDB"/>
    <w:rsid w:val="007D312A"/>
    <w:rsid w:val="007D3F19"/>
    <w:rsid w:val="007D6962"/>
    <w:rsid w:val="007E23B0"/>
    <w:rsid w:val="007E66FF"/>
    <w:rsid w:val="007F1991"/>
    <w:rsid w:val="007F213C"/>
    <w:rsid w:val="007F2C2F"/>
    <w:rsid w:val="007F4764"/>
    <w:rsid w:val="007F55FC"/>
    <w:rsid w:val="007F5665"/>
    <w:rsid w:val="00800112"/>
    <w:rsid w:val="008107B1"/>
    <w:rsid w:val="00813348"/>
    <w:rsid w:val="00813C10"/>
    <w:rsid w:val="0081513F"/>
    <w:rsid w:val="00824C38"/>
    <w:rsid w:val="008253BB"/>
    <w:rsid w:val="00833962"/>
    <w:rsid w:val="0083706E"/>
    <w:rsid w:val="008408F6"/>
    <w:rsid w:val="008423A5"/>
    <w:rsid w:val="00845EF7"/>
    <w:rsid w:val="00850625"/>
    <w:rsid w:val="008532BE"/>
    <w:rsid w:val="00853718"/>
    <w:rsid w:val="00855221"/>
    <w:rsid w:val="0085655B"/>
    <w:rsid w:val="00857AEF"/>
    <w:rsid w:val="00860645"/>
    <w:rsid w:val="00871F71"/>
    <w:rsid w:val="00872FD8"/>
    <w:rsid w:val="00876D94"/>
    <w:rsid w:val="008848BE"/>
    <w:rsid w:val="00885AF4"/>
    <w:rsid w:val="008939CD"/>
    <w:rsid w:val="008A1C0D"/>
    <w:rsid w:val="008B56B2"/>
    <w:rsid w:val="008B768C"/>
    <w:rsid w:val="008C32E2"/>
    <w:rsid w:val="008C4A57"/>
    <w:rsid w:val="008C4DB1"/>
    <w:rsid w:val="008C4EAF"/>
    <w:rsid w:val="008C5176"/>
    <w:rsid w:val="008C6409"/>
    <w:rsid w:val="008C7FD0"/>
    <w:rsid w:val="008D1A3D"/>
    <w:rsid w:val="008D2280"/>
    <w:rsid w:val="008E1DE7"/>
    <w:rsid w:val="008E35E7"/>
    <w:rsid w:val="008E707C"/>
    <w:rsid w:val="008F3BBB"/>
    <w:rsid w:val="008F4542"/>
    <w:rsid w:val="008F540C"/>
    <w:rsid w:val="00900B08"/>
    <w:rsid w:val="00902155"/>
    <w:rsid w:val="00902FA3"/>
    <w:rsid w:val="00905D54"/>
    <w:rsid w:val="009100FA"/>
    <w:rsid w:val="00913855"/>
    <w:rsid w:val="009229A2"/>
    <w:rsid w:val="00923564"/>
    <w:rsid w:val="0092392E"/>
    <w:rsid w:val="009315F9"/>
    <w:rsid w:val="00933499"/>
    <w:rsid w:val="00935C98"/>
    <w:rsid w:val="00937DA1"/>
    <w:rsid w:val="00946945"/>
    <w:rsid w:val="00951248"/>
    <w:rsid w:val="0095152F"/>
    <w:rsid w:val="00954C49"/>
    <w:rsid w:val="00955E37"/>
    <w:rsid w:val="0096284C"/>
    <w:rsid w:val="0097099F"/>
    <w:rsid w:val="00971997"/>
    <w:rsid w:val="00971FFC"/>
    <w:rsid w:val="0098660A"/>
    <w:rsid w:val="00990E4C"/>
    <w:rsid w:val="009931C3"/>
    <w:rsid w:val="009A6CE3"/>
    <w:rsid w:val="009B2C43"/>
    <w:rsid w:val="009B2E29"/>
    <w:rsid w:val="009B4EAE"/>
    <w:rsid w:val="009B4FEB"/>
    <w:rsid w:val="009B7573"/>
    <w:rsid w:val="009C22F4"/>
    <w:rsid w:val="009C2E98"/>
    <w:rsid w:val="009C37FB"/>
    <w:rsid w:val="009D3447"/>
    <w:rsid w:val="009D4711"/>
    <w:rsid w:val="009F1185"/>
    <w:rsid w:val="009F18CD"/>
    <w:rsid w:val="009F2A13"/>
    <w:rsid w:val="009F7527"/>
    <w:rsid w:val="00A039ED"/>
    <w:rsid w:val="00A04EB0"/>
    <w:rsid w:val="00A06D84"/>
    <w:rsid w:val="00A13CC1"/>
    <w:rsid w:val="00A14913"/>
    <w:rsid w:val="00A16847"/>
    <w:rsid w:val="00A237D8"/>
    <w:rsid w:val="00A245C4"/>
    <w:rsid w:val="00A268C4"/>
    <w:rsid w:val="00A26C45"/>
    <w:rsid w:val="00A307CD"/>
    <w:rsid w:val="00A331C8"/>
    <w:rsid w:val="00A33806"/>
    <w:rsid w:val="00A35117"/>
    <w:rsid w:val="00A40A00"/>
    <w:rsid w:val="00A4142F"/>
    <w:rsid w:val="00A422EB"/>
    <w:rsid w:val="00A45BB7"/>
    <w:rsid w:val="00A4785E"/>
    <w:rsid w:val="00A567B9"/>
    <w:rsid w:val="00A56DF2"/>
    <w:rsid w:val="00A56E6E"/>
    <w:rsid w:val="00A5734D"/>
    <w:rsid w:val="00A633E2"/>
    <w:rsid w:val="00A67AB5"/>
    <w:rsid w:val="00A733B2"/>
    <w:rsid w:val="00A741C2"/>
    <w:rsid w:val="00A82815"/>
    <w:rsid w:val="00A91760"/>
    <w:rsid w:val="00A93B00"/>
    <w:rsid w:val="00A93C21"/>
    <w:rsid w:val="00AB2C2C"/>
    <w:rsid w:val="00AB64C9"/>
    <w:rsid w:val="00AB679E"/>
    <w:rsid w:val="00AC3C6A"/>
    <w:rsid w:val="00AD0F83"/>
    <w:rsid w:val="00AD2B1C"/>
    <w:rsid w:val="00AD5620"/>
    <w:rsid w:val="00AD5813"/>
    <w:rsid w:val="00AD5BAB"/>
    <w:rsid w:val="00AD5BE1"/>
    <w:rsid w:val="00AD656B"/>
    <w:rsid w:val="00AD7C1B"/>
    <w:rsid w:val="00AE16BA"/>
    <w:rsid w:val="00AE1EBE"/>
    <w:rsid w:val="00AF37A0"/>
    <w:rsid w:val="00AF69BD"/>
    <w:rsid w:val="00B017C4"/>
    <w:rsid w:val="00B03C9D"/>
    <w:rsid w:val="00B05864"/>
    <w:rsid w:val="00B060AE"/>
    <w:rsid w:val="00B07932"/>
    <w:rsid w:val="00B10517"/>
    <w:rsid w:val="00B14E76"/>
    <w:rsid w:val="00B161B8"/>
    <w:rsid w:val="00B2048C"/>
    <w:rsid w:val="00B20577"/>
    <w:rsid w:val="00B310B9"/>
    <w:rsid w:val="00B3221C"/>
    <w:rsid w:val="00B35F3F"/>
    <w:rsid w:val="00B36CBB"/>
    <w:rsid w:val="00B37992"/>
    <w:rsid w:val="00B425E0"/>
    <w:rsid w:val="00B440AA"/>
    <w:rsid w:val="00B44B70"/>
    <w:rsid w:val="00B467F5"/>
    <w:rsid w:val="00B53377"/>
    <w:rsid w:val="00B53C56"/>
    <w:rsid w:val="00B57DAF"/>
    <w:rsid w:val="00B60CAE"/>
    <w:rsid w:val="00B74A31"/>
    <w:rsid w:val="00B74A94"/>
    <w:rsid w:val="00B77EA6"/>
    <w:rsid w:val="00B81598"/>
    <w:rsid w:val="00B83C7E"/>
    <w:rsid w:val="00B841F1"/>
    <w:rsid w:val="00B93529"/>
    <w:rsid w:val="00B944D6"/>
    <w:rsid w:val="00B97E06"/>
    <w:rsid w:val="00BA1432"/>
    <w:rsid w:val="00BA2C74"/>
    <w:rsid w:val="00BB113E"/>
    <w:rsid w:val="00BB4DF0"/>
    <w:rsid w:val="00BB5167"/>
    <w:rsid w:val="00BC289F"/>
    <w:rsid w:val="00BC2D50"/>
    <w:rsid w:val="00BC5361"/>
    <w:rsid w:val="00BC5460"/>
    <w:rsid w:val="00BC6B50"/>
    <w:rsid w:val="00BD0E25"/>
    <w:rsid w:val="00BF5BD6"/>
    <w:rsid w:val="00C023C7"/>
    <w:rsid w:val="00C03A45"/>
    <w:rsid w:val="00C03E31"/>
    <w:rsid w:val="00C30E69"/>
    <w:rsid w:val="00C33E72"/>
    <w:rsid w:val="00C354B2"/>
    <w:rsid w:val="00C35554"/>
    <w:rsid w:val="00C41BAE"/>
    <w:rsid w:val="00C42709"/>
    <w:rsid w:val="00C46054"/>
    <w:rsid w:val="00C533CC"/>
    <w:rsid w:val="00C56521"/>
    <w:rsid w:val="00C5751C"/>
    <w:rsid w:val="00C61BFC"/>
    <w:rsid w:val="00C62B85"/>
    <w:rsid w:val="00C65438"/>
    <w:rsid w:val="00C71074"/>
    <w:rsid w:val="00C74AA2"/>
    <w:rsid w:val="00C77D51"/>
    <w:rsid w:val="00C82E89"/>
    <w:rsid w:val="00C91CBB"/>
    <w:rsid w:val="00C938AF"/>
    <w:rsid w:val="00CB4E70"/>
    <w:rsid w:val="00CC09B6"/>
    <w:rsid w:val="00CC666F"/>
    <w:rsid w:val="00CD1E3F"/>
    <w:rsid w:val="00CE241F"/>
    <w:rsid w:val="00CE44F6"/>
    <w:rsid w:val="00CE485F"/>
    <w:rsid w:val="00CE49DA"/>
    <w:rsid w:val="00CE7B61"/>
    <w:rsid w:val="00D00095"/>
    <w:rsid w:val="00D0571B"/>
    <w:rsid w:val="00D1064B"/>
    <w:rsid w:val="00D114F0"/>
    <w:rsid w:val="00D1365E"/>
    <w:rsid w:val="00D14357"/>
    <w:rsid w:val="00D179F5"/>
    <w:rsid w:val="00D20620"/>
    <w:rsid w:val="00D2207C"/>
    <w:rsid w:val="00D254F7"/>
    <w:rsid w:val="00D26091"/>
    <w:rsid w:val="00D2685C"/>
    <w:rsid w:val="00D326C9"/>
    <w:rsid w:val="00D329CC"/>
    <w:rsid w:val="00D34E7C"/>
    <w:rsid w:val="00D35489"/>
    <w:rsid w:val="00D35EA4"/>
    <w:rsid w:val="00D362BA"/>
    <w:rsid w:val="00D36AFE"/>
    <w:rsid w:val="00D51276"/>
    <w:rsid w:val="00D63359"/>
    <w:rsid w:val="00D7035F"/>
    <w:rsid w:val="00D92534"/>
    <w:rsid w:val="00D97D21"/>
    <w:rsid w:val="00DA4862"/>
    <w:rsid w:val="00DA634F"/>
    <w:rsid w:val="00DA65AC"/>
    <w:rsid w:val="00DB1913"/>
    <w:rsid w:val="00DC0F1B"/>
    <w:rsid w:val="00DC410D"/>
    <w:rsid w:val="00DC5A81"/>
    <w:rsid w:val="00DC5DA0"/>
    <w:rsid w:val="00DC68CA"/>
    <w:rsid w:val="00DC7CBA"/>
    <w:rsid w:val="00DD734E"/>
    <w:rsid w:val="00DD73B7"/>
    <w:rsid w:val="00DD7A7C"/>
    <w:rsid w:val="00DE61CC"/>
    <w:rsid w:val="00DF28BC"/>
    <w:rsid w:val="00DF34B9"/>
    <w:rsid w:val="00DF5675"/>
    <w:rsid w:val="00DF7317"/>
    <w:rsid w:val="00DF7548"/>
    <w:rsid w:val="00E01053"/>
    <w:rsid w:val="00E05CE1"/>
    <w:rsid w:val="00E07ACF"/>
    <w:rsid w:val="00E24C4D"/>
    <w:rsid w:val="00E31FF0"/>
    <w:rsid w:val="00E331A1"/>
    <w:rsid w:val="00E33202"/>
    <w:rsid w:val="00E336A9"/>
    <w:rsid w:val="00E35F47"/>
    <w:rsid w:val="00E41B82"/>
    <w:rsid w:val="00E472B1"/>
    <w:rsid w:val="00E50624"/>
    <w:rsid w:val="00E568DF"/>
    <w:rsid w:val="00E64269"/>
    <w:rsid w:val="00E66797"/>
    <w:rsid w:val="00E82267"/>
    <w:rsid w:val="00E853CE"/>
    <w:rsid w:val="00E867B6"/>
    <w:rsid w:val="00E87F08"/>
    <w:rsid w:val="00E94450"/>
    <w:rsid w:val="00EA010F"/>
    <w:rsid w:val="00EC0FDC"/>
    <w:rsid w:val="00EC7CAA"/>
    <w:rsid w:val="00ED1558"/>
    <w:rsid w:val="00ED1B63"/>
    <w:rsid w:val="00ED3C1F"/>
    <w:rsid w:val="00ED3E07"/>
    <w:rsid w:val="00ED4085"/>
    <w:rsid w:val="00ED420E"/>
    <w:rsid w:val="00ED5A3F"/>
    <w:rsid w:val="00ED6A70"/>
    <w:rsid w:val="00ED6FBE"/>
    <w:rsid w:val="00EE2F57"/>
    <w:rsid w:val="00EF4C34"/>
    <w:rsid w:val="00EF77C6"/>
    <w:rsid w:val="00F02092"/>
    <w:rsid w:val="00F05438"/>
    <w:rsid w:val="00F1361C"/>
    <w:rsid w:val="00F1388B"/>
    <w:rsid w:val="00F156F0"/>
    <w:rsid w:val="00F160C7"/>
    <w:rsid w:val="00F20905"/>
    <w:rsid w:val="00F2408F"/>
    <w:rsid w:val="00F240E9"/>
    <w:rsid w:val="00F36D8F"/>
    <w:rsid w:val="00F37C26"/>
    <w:rsid w:val="00F417B1"/>
    <w:rsid w:val="00F44E07"/>
    <w:rsid w:val="00F45853"/>
    <w:rsid w:val="00F602DF"/>
    <w:rsid w:val="00F66937"/>
    <w:rsid w:val="00F754A1"/>
    <w:rsid w:val="00F76953"/>
    <w:rsid w:val="00F771B0"/>
    <w:rsid w:val="00F81FD9"/>
    <w:rsid w:val="00F83E30"/>
    <w:rsid w:val="00F841AA"/>
    <w:rsid w:val="00F84A94"/>
    <w:rsid w:val="00F85A52"/>
    <w:rsid w:val="00F86EC4"/>
    <w:rsid w:val="00F87E96"/>
    <w:rsid w:val="00F94473"/>
    <w:rsid w:val="00FA23E8"/>
    <w:rsid w:val="00FD3CC1"/>
    <w:rsid w:val="00FE6E9E"/>
    <w:rsid w:val="00FF1E02"/>
    <w:rsid w:val="00FF30B4"/>
    <w:rsid w:val="011313B8"/>
    <w:rsid w:val="02F8525A"/>
    <w:rsid w:val="03114E6D"/>
    <w:rsid w:val="04B52AF3"/>
    <w:rsid w:val="06262764"/>
    <w:rsid w:val="07B50E28"/>
    <w:rsid w:val="07CD68DD"/>
    <w:rsid w:val="07F702D1"/>
    <w:rsid w:val="087B7057"/>
    <w:rsid w:val="0933642F"/>
    <w:rsid w:val="105F41C8"/>
    <w:rsid w:val="108B69D4"/>
    <w:rsid w:val="10C055FF"/>
    <w:rsid w:val="10C6777F"/>
    <w:rsid w:val="131A77D7"/>
    <w:rsid w:val="13257996"/>
    <w:rsid w:val="134C75CC"/>
    <w:rsid w:val="13CC0B95"/>
    <w:rsid w:val="16500395"/>
    <w:rsid w:val="16BB723D"/>
    <w:rsid w:val="173670BC"/>
    <w:rsid w:val="174D75D6"/>
    <w:rsid w:val="191E043E"/>
    <w:rsid w:val="19EE493D"/>
    <w:rsid w:val="1CD94289"/>
    <w:rsid w:val="1DBE4F04"/>
    <w:rsid w:val="1F8310F6"/>
    <w:rsid w:val="1FDE3EBA"/>
    <w:rsid w:val="1FEF6E22"/>
    <w:rsid w:val="222A4E14"/>
    <w:rsid w:val="236F7564"/>
    <w:rsid w:val="240371BF"/>
    <w:rsid w:val="285743F6"/>
    <w:rsid w:val="29FD04D3"/>
    <w:rsid w:val="2A5A0367"/>
    <w:rsid w:val="2BC32E65"/>
    <w:rsid w:val="2D082503"/>
    <w:rsid w:val="2FE23F42"/>
    <w:rsid w:val="30A33436"/>
    <w:rsid w:val="30EA2CAA"/>
    <w:rsid w:val="31077FC5"/>
    <w:rsid w:val="31211315"/>
    <w:rsid w:val="319F7F4E"/>
    <w:rsid w:val="31F87272"/>
    <w:rsid w:val="32B328D2"/>
    <w:rsid w:val="33235E26"/>
    <w:rsid w:val="33CA6724"/>
    <w:rsid w:val="347C5962"/>
    <w:rsid w:val="34E66255"/>
    <w:rsid w:val="353702C5"/>
    <w:rsid w:val="38914781"/>
    <w:rsid w:val="398F054D"/>
    <w:rsid w:val="3A053AC5"/>
    <w:rsid w:val="3E993384"/>
    <w:rsid w:val="403D15C2"/>
    <w:rsid w:val="40F7752F"/>
    <w:rsid w:val="41395123"/>
    <w:rsid w:val="414313D3"/>
    <w:rsid w:val="421D31A6"/>
    <w:rsid w:val="429F7A70"/>
    <w:rsid w:val="439A1C43"/>
    <w:rsid w:val="456273A2"/>
    <w:rsid w:val="45EC7A76"/>
    <w:rsid w:val="46C735F4"/>
    <w:rsid w:val="48A9689C"/>
    <w:rsid w:val="49411963"/>
    <w:rsid w:val="4A084680"/>
    <w:rsid w:val="4ADB0016"/>
    <w:rsid w:val="4B1A4B77"/>
    <w:rsid w:val="4D106856"/>
    <w:rsid w:val="4ECE2238"/>
    <w:rsid w:val="4F6A6CA2"/>
    <w:rsid w:val="4FE6384B"/>
    <w:rsid w:val="515C6D74"/>
    <w:rsid w:val="51815231"/>
    <w:rsid w:val="5219585E"/>
    <w:rsid w:val="55AB3C57"/>
    <w:rsid w:val="567E1013"/>
    <w:rsid w:val="569F66AC"/>
    <w:rsid w:val="56C80E02"/>
    <w:rsid w:val="583638A0"/>
    <w:rsid w:val="599E36BC"/>
    <w:rsid w:val="59DC7D3C"/>
    <w:rsid w:val="5AA80771"/>
    <w:rsid w:val="5AC460D1"/>
    <w:rsid w:val="5AF00035"/>
    <w:rsid w:val="5B510FE2"/>
    <w:rsid w:val="5C973CCF"/>
    <w:rsid w:val="5CE215CD"/>
    <w:rsid w:val="5DB03642"/>
    <w:rsid w:val="5E1D1E04"/>
    <w:rsid w:val="5FC56A1D"/>
    <w:rsid w:val="603D1EAC"/>
    <w:rsid w:val="606719D9"/>
    <w:rsid w:val="61D422EC"/>
    <w:rsid w:val="628F2E95"/>
    <w:rsid w:val="62A363BB"/>
    <w:rsid w:val="63625381"/>
    <w:rsid w:val="64186775"/>
    <w:rsid w:val="643D2703"/>
    <w:rsid w:val="64DD2CB0"/>
    <w:rsid w:val="68F62243"/>
    <w:rsid w:val="6C5451F7"/>
    <w:rsid w:val="70880C83"/>
    <w:rsid w:val="70ED1617"/>
    <w:rsid w:val="716555DD"/>
    <w:rsid w:val="72734D90"/>
    <w:rsid w:val="72B764CF"/>
    <w:rsid w:val="731B2F77"/>
    <w:rsid w:val="765302A8"/>
    <w:rsid w:val="766553E7"/>
    <w:rsid w:val="770D3123"/>
    <w:rsid w:val="78003787"/>
    <w:rsid w:val="79F50014"/>
    <w:rsid w:val="7A102078"/>
    <w:rsid w:val="7DC12C18"/>
    <w:rsid w:val="7F0B1FDF"/>
    <w:rsid w:val="7F533A24"/>
    <w:rsid w:val="7F652D1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widowControl/>
      <w:spacing w:beforeAutospacing="1" w:afterAutospacing="1"/>
      <w:ind w:firstLine="360"/>
      <w:jc w:val="left"/>
    </w:pPr>
    <w:rPr>
      <w:rFonts w:ascii="Calibri" w:hAnsi="Calibri"/>
      <w:kern w:val="0"/>
      <w:sz w:val="24"/>
      <w:szCs w:val="22"/>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apple-converted-space"/>
    <w:basedOn w:val="16"/>
    <w:qFormat/>
    <w:uiPriority w:val="0"/>
  </w:style>
  <w:style w:type="paragraph" w:customStyle="1" w:styleId="34">
    <w:name w:val="无间隔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6">
    <w:name w:val="无间隔1"/>
    <w:link w:val="37"/>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
    <w:name w:val="No Spacing Char"/>
    <w:basedOn w:val="16"/>
    <w:link w:val="36"/>
    <w:qFormat/>
    <w:locked/>
    <w:uiPriority w:val="0"/>
    <w:rPr>
      <w:kern w:val="2"/>
      <w:sz w:val="21"/>
      <w:szCs w:val="22"/>
    </w:rPr>
  </w:style>
  <w:style w:type="paragraph" w:customStyle="1" w:styleId="38">
    <w:name w:val="无间隔3"/>
    <w:qFormat/>
    <w:uiPriority w:val="0"/>
    <w:pPr>
      <w:widowControl w:val="0"/>
      <w:jc w:val="both"/>
    </w:pPr>
    <w:rPr>
      <w:rFonts w:ascii="Calibri" w:hAnsi="Calibri" w:eastAsia="宋体" w:cs="Times New Roman"/>
      <w:kern w:val="2"/>
      <w:sz w:val="21"/>
      <w:szCs w:val="22"/>
      <w:lang w:val="en-US" w:eastAsia="zh-CN" w:bidi="ar-SA"/>
    </w:rPr>
  </w:style>
  <w:style w:type="paragraph" w:styleId="3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924832597645386"/>
          <c:y val="0.16054300030678"/>
          <c:w val="0.878848509847137"/>
          <c:h val="0.639010464601016"/>
        </c:manualLayout>
      </c:layout>
      <c:barChart>
        <c:barDir val="col"/>
        <c:grouping val="clustered"/>
        <c:varyColors val="0"/>
        <c:ser>
          <c:idx val="0"/>
          <c:order val="0"/>
          <c:tx>
            <c:strRef>
              <c:f>Sheet1!$B$1</c:f>
              <c:strCache>
                <c:ptCount val="1"/>
                <c:pt idx="0">
                  <c:v>收、支决算总计变动情况图</c:v>
                </c:pt>
              </c:strCache>
            </c:strRef>
          </c:tx>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348.73</c:v>
                </c:pt>
                <c:pt idx="1">
                  <c:v>395.64</c:v>
                </c:pt>
              </c:numCache>
            </c:numRef>
          </c:val>
        </c:ser>
        <c:dLbls>
          <c:showLegendKey val="0"/>
          <c:showVal val="0"/>
          <c:showCatName val="0"/>
          <c:showSerName val="0"/>
          <c:showPercent val="0"/>
          <c:showBubbleSize val="0"/>
        </c:dLbls>
        <c:gapWidth val="75"/>
        <c:overlap val="-25"/>
        <c:axId val="82885632"/>
        <c:axId val="125917440"/>
      </c:barChart>
      <c:catAx>
        <c:axId val="828856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5917440"/>
        <c:crosses val="autoZero"/>
        <c:auto val="1"/>
        <c:lblAlgn val="ctr"/>
        <c:lblOffset val="100"/>
        <c:noMultiLvlLbl val="0"/>
      </c:catAx>
      <c:valAx>
        <c:axId val="12591744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288563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收入决算结构图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附属单位上缴收入</c:v>
                </c:pt>
                <c:pt idx="5">
                  <c:v>经营收入</c:v>
                </c:pt>
                <c:pt idx="6">
                  <c:v>其他收入</c:v>
                </c:pt>
              </c:strCache>
            </c:strRef>
          </c:cat>
          <c:val>
            <c:numRef>
              <c:f>Sheet1!$B$2:$B$8</c:f>
              <c:numCache>
                <c:formatCode>General</c:formatCode>
                <c:ptCount val="7"/>
                <c:pt idx="0">
                  <c:v>389.78</c:v>
                </c:pt>
                <c:pt idx="1">
                  <c:v>0</c:v>
                </c:pt>
                <c:pt idx="2">
                  <c:v>0</c:v>
                </c:pt>
                <c:pt idx="3">
                  <c:v>0</c:v>
                </c:pt>
                <c:pt idx="4">
                  <c:v>0</c:v>
                </c:pt>
                <c:pt idx="5">
                  <c:v>0</c:v>
                </c:pt>
                <c:pt idx="6">
                  <c:v>0</c:v>
                </c:pt>
              </c:numCache>
            </c:numRef>
          </c:val>
        </c:ser>
        <c:ser>
          <c:idx val="1"/>
          <c:order val="1"/>
          <c:tx>
            <c:strRef>
              <c:f>Sheet1!$C$1</c:f>
              <c:strCache>
                <c:ptCount val="1"/>
                <c:pt idx="0">
                  <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附属单位上缴收入</c:v>
                </c:pt>
                <c:pt idx="5">
                  <c:v>经营收入</c:v>
                </c:pt>
                <c:pt idx="6">
                  <c:v>其他收入</c:v>
                </c:pt>
              </c:strCache>
            </c:strRef>
          </c:cat>
          <c:val>
            <c:numRef>
              <c:f>Sheet1!$C$2:$C$8</c:f>
              <c:numCache>
                <c:formatCode>General</c:formatCode>
                <c:ptCount val="7"/>
              </c:numCache>
            </c:numRef>
          </c:val>
        </c:ser>
        <c:dLbls>
          <c:showLegendKey val="0"/>
          <c:showVal val="1"/>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324.89</c:v>
                </c:pt>
                <c:pt idx="1">
                  <c:v>24.07</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92"/>
          <c:y val="0.0521624031445841"/>
        </c:manualLayout>
      </c:layout>
      <c:overlay val="0"/>
    </c:title>
    <c:autoTitleDeleted val="0"/>
    <c:plotArea>
      <c:layout>
        <c:manualLayout>
          <c:layoutTarget val="inner"/>
          <c:xMode val="edge"/>
          <c:yMode val="edge"/>
          <c:x val="0.0769356344423441"/>
          <c:y val="0.212981143314532"/>
          <c:w val="0.763500149073545"/>
          <c:h val="0.68032464027103"/>
        </c:manualLayout>
      </c:layout>
      <c:barChart>
        <c:barDir val="col"/>
        <c:grouping val="clustered"/>
        <c:varyColors val="0"/>
        <c:ser>
          <c:idx val="0"/>
          <c:order val="0"/>
          <c:tx>
            <c:strRef>
              <c:f>Sheet1!$B$1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348.73</c:v>
                </c:pt>
                <c:pt idx="1">
                  <c:v>348.73</c:v>
                </c:pt>
              </c:numCache>
            </c:numRef>
          </c:val>
        </c:ser>
        <c:ser>
          <c:idx val="1"/>
          <c:order val="1"/>
          <c:tx>
            <c:strRef>
              <c:f>Sheet1!$C$1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395.64</c:v>
                </c:pt>
                <c:pt idx="1">
                  <c:v>395.64</c:v>
                </c:pt>
              </c:numCache>
            </c:numRef>
          </c:val>
        </c:ser>
        <c:dLbls>
          <c:showLegendKey val="0"/>
          <c:showVal val="1"/>
          <c:showCatName val="0"/>
          <c:showSerName val="0"/>
          <c:showPercent val="0"/>
          <c:showBubbleSize val="0"/>
        </c:dLbls>
        <c:gapWidth val="150"/>
        <c:axId val="199312512"/>
        <c:axId val="199314048"/>
      </c:barChart>
      <c:catAx>
        <c:axId val="1993125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4048"/>
        <c:crosses val="autoZero"/>
        <c:auto val="1"/>
        <c:lblAlgn val="ctr"/>
        <c:lblOffset val="100"/>
        <c:noMultiLvlLbl val="0"/>
      </c:catAx>
      <c:valAx>
        <c:axId val="1993140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25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342.87</c:v>
                </c:pt>
                <c:pt idx="1">
                  <c:v>348.96</c:v>
                </c:pt>
              </c:numCache>
            </c:numRef>
          </c:val>
        </c:ser>
        <c:dLbls>
          <c:showLegendKey val="0"/>
          <c:showVal val="0"/>
          <c:showCatName val="0"/>
          <c:showSerName val="0"/>
          <c:showPercent val="0"/>
          <c:showBubbleSize val="0"/>
        </c:dLbls>
        <c:gapWidth val="75"/>
        <c:overlap val="-25"/>
        <c:axId val="237112704"/>
        <c:axId val="237208704"/>
      </c:barChart>
      <c:catAx>
        <c:axId val="23711270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208704"/>
        <c:crosses val="autoZero"/>
        <c:auto val="1"/>
        <c:lblAlgn val="ctr"/>
        <c:lblOffset val="100"/>
        <c:noMultiLvlLbl val="0"/>
      </c:catAx>
      <c:valAx>
        <c:axId val="237208704"/>
        <c:scaling>
          <c:orientation val="minMax"/>
        </c:scaling>
        <c:delete val="0"/>
        <c:axPos val="l"/>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1127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308.97</c:v>
                </c:pt>
                <c:pt idx="1">
                  <c:v>17.09</c:v>
                </c:pt>
                <c:pt idx="2">
                  <c:v>22.9</c:v>
                </c:pt>
              </c:numCache>
            </c:numRef>
          </c:val>
        </c:ser>
        <c:dLbls>
          <c:showLegendKey val="0"/>
          <c:showVal val="1"/>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三公”经费财政拨款支出结构</c:v>
                </c:pt>
              </c:strCache>
            </c:strRef>
          </c:tx>
          <c:explosion val="11"/>
          <c:dPt>
            <c:idx val="0"/>
            <c:bubble3D val="0"/>
          </c:dPt>
          <c:dPt>
            <c:idx val="1"/>
            <c:bubble3D val="0"/>
          </c:dPt>
          <c:dPt>
            <c:idx val="2"/>
            <c:bubble3D val="0"/>
          </c:dPt>
          <c:dLbls>
            <c:delete val="1"/>
          </c:dLbls>
          <c:cat>
            <c:strRef>
              <c:f>Sheet1!$A$2:$A$4</c:f>
              <c:strCache>
                <c:ptCount val="3"/>
                <c:pt idx="0">
                  <c:v>因公出国（境）经费支出</c:v>
                </c:pt>
                <c:pt idx="1">
                  <c:v>公务用车购置及运行维护费支出</c:v>
                </c:pt>
                <c:pt idx="2">
                  <c:v>公务接待费支出</c:v>
                </c:pt>
              </c:strCache>
            </c:strRef>
          </c:cat>
          <c:val>
            <c:numRef>
              <c:f>Sheet1!$B$2:$B$4</c:f>
              <c:numCache>
                <c:formatCode>General</c:formatCode>
                <c:ptCount val="3"/>
                <c:pt idx="0">
                  <c:v>0</c:v>
                </c:pt>
                <c:pt idx="1">
                  <c:v>0</c:v>
                </c:pt>
                <c:pt idx="2">
                  <c:v>0.08</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C8B5E3-826C-4A2C-B13E-2E5D5EDCCAED}">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1127</Words>
  <Characters>6428</Characters>
  <Lines>53</Lines>
  <Paragraphs>15</Paragraphs>
  <TotalTime>7</TotalTime>
  <ScaleCrop>false</ScaleCrop>
  <LinksUpToDate>false</LinksUpToDate>
  <CharactersWithSpaces>7540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2020-09-23T08:59:00Z</cp:lastPrinted>
  <dcterms:modified xsi:type="dcterms:W3CDTF">2021-09-22T02:46:44Z</dcterms:modified>
  <dc:title>四川省***</dc:title>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DFC0C56EE6FF4EC196DEFDF94AD5440A</vt:lpwstr>
  </property>
</Properties>
</file>