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6" w:lineRule="exact"/>
        <w:jc w:val="center"/>
        <w:rPr>
          <w:rFonts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茂县社会保险事业管理局2019年部门</w:t>
      </w:r>
    </w:p>
    <w:p>
      <w:pPr>
        <w:spacing w:line="576" w:lineRule="exact"/>
        <w:jc w:val="center"/>
        <w:rPr>
          <w:rFonts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预算公开说明</w:t>
      </w:r>
    </w:p>
    <w:p>
      <w:pPr>
        <w:spacing w:line="576" w:lineRule="exact"/>
        <w:ind w:firstLine="0"/>
        <w:rPr>
          <w:rFonts w:ascii="仿宋_GB2312" w:hAnsi="仿宋_GB2312" w:eastAsia="仿宋_GB2312" w:cs="仿宋_GB2312"/>
          <w:sz w:val="32"/>
          <w:szCs w:val="32"/>
          <w:lang w:eastAsia="zh-CN"/>
        </w:rPr>
      </w:pPr>
    </w:p>
    <w:p>
      <w:pPr>
        <w:spacing w:line="576" w:lineRule="exact"/>
        <w:jc w:val="center"/>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目 录</w:t>
      </w:r>
    </w:p>
    <w:p>
      <w:pPr>
        <w:spacing w:line="576" w:lineRule="exact"/>
        <w:jc w:val="center"/>
        <w:rPr>
          <w:rFonts w:ascii="仿宋_GB2312" w:hAnsi="仿宋_GB2312" w:eastAsia="仿宋_GB2312" w:cs="仿宋_GB2312"/>
          <w:sz w:val="32"/>
          <w:szCs w:val="32"/>
          <w:lang w:eastAsia="zh-CN"/>
        </w:rPr>
      </w:pPr>
    </w:p>
    <w:p>
      <w:pPr>
        <w:spacing w:line="576" w:lineRule="exact"/>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一、基本职能及主要工作</w:t>
      </w:r>
    </w:p>
    <w:p>
      <w:pPr>
        <w:spacing w:line="576" w:lineRule="exact"/>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（一）部门职能简介</w:t>
      </w:r>
    </w:p>
    <w:p>
      <w:pPr>
        <w:spacing w:line="576" w:lineRule="exact"/>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（二）2019年重点工作</w:t>
      </w:r>
    </w:p>
    <w:p>
      <w:pPr>
        <w:spacing w:line="576" w:lineRule="exact"/>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二、部门预算单位构成</w:t>
      </w:r>
    </w:p>
    <w:p>
      <w:pPr>
        <w:spacing w:line="576" w:lineRule="exact"/>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三、收支预算情况说明</w:t>
      </w:r>
    </w:p>
    <w:p>
      <w:pPr>
        <w:spacing w:line="576" w:lineRule="exact"/>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（一）收入预算情况</w:t>
      </w:r>
    </w:p>
    <w:p>
      <w:pPr>
        <w:spacing w:line="576" w:lineRule="exact"/>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（二）支出预算情况</w:t>
      </w:r>
    </w:p>
    <w:p>
      <w:pPr>
        <w:spacing w:line="576" w:lineRule="exact"/>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四、财政拨款收支预算情况说明</w:t>
      </w:r>
    </w:p>
    <w:p>
      <w:pPr>
        <w:spacing w:line="576" w:lineRule="exact"/>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五、一般公共预算当年拨款情况说明</w:t>
      </w:r>
    </w:p>
    <w:p>
      <w:pPr>
        <w:spacing w:line="576" w:lineRule="exact"/>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（一）一般公共预算当年拨款规模变化情况</w:t>
      </w:r>
    </w:p>
    <w:p>
      <w:pPr>
        <w:spacing w:line="576" w:lineRule="exact"/>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（二）一般公共预算当年拨款结构情况</w:t>
      </w:r>
    </w:p>
    <w:p>
      <w:pPr>
        <w:spacing w:line="576" w:lineRule="exact"/>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（三）一般公共预算当年拨款具体使用情况</w:t>
      </w:r>
    </w:p>
    <w:p>
      <w:pPr>
        <w:spacing w:line="576" w:lineRule="exact"/>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六、一般公共预算基本支出情况说明</w:t>
      </w:r>
    </w:p>
    <w:p>
      <w:pPr>
        <w:spacing w:line="576" w:lineRule="exact"/>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七、“三公”经费财政拨款预算安排情况说明</w:t>
      </w:r>
    </w:p>
    <w:p>
      <w:pPr>
        <w:spacing w:line="576" w:lineRule="exact"/>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八、政府性基金预算支出情况说明</w:t>
      </w:r>
    </w:p>
    <w:p>
      <w:pPr>
        <w:spacing w:line="576" w:lineRule="exact"/>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九、其他重要事项的情况说明</w:t>
      </w:r>
    </w:p>
    <w:p>
      <w:pPr>
        <w:spacing w:line="576" w:lineRule="exact"/>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十、名称解释</w:t>
      </w:r>
    </w:p>
    <w:p>
      <w:pPr>
        <w:spacing w:line="576" w:lineRule="exact"/>
        <w:rPr>
          <w:rFonts w:ascii="仿宋_GB2312" w:hAnsi="仿宋_GB2312" w:eastAsia="仿宋_GB2312" w:cs="仿宋_GB2312"/>
          <w:sz w:val="32"/>
          <w:szCs w:val="32"/>
          <w:lang w:eastAsia="zh-CN"/>
        </w:rPr>
      </w:pPr>
    </w:p>
    <w:p>
      <w:pPr>
        <w:spacing w:line="576" w:lineRule="exact"/>
        <w:rPr>
          <w:rFonts w:ascii="仿宋_GB2312" w:hAnsi="仿宋_GB2312" w:eastAsia="仿宋_GB2312" w:cs="仿宋_GB2312"/>
          <w:sz w:val="32"/>
          <w:szCs w:val="32"/>
          <w:lang w:eastAsia="zh-CN"/>
        </w:rPr>
      </w:pPr>
    </w:p>
    <w:p>
      <w:pPr>
        <w:spacing w:line="576" w:lineRule="exact"/>
        <w:ind w:firstLine="640" w:firstLineChars="200"/>
        <w:rPr>
          <w:rFonts w:ascii="黑体" w:hAnsi="黑体" w:eastAsia="黑体" w:cs="黑体"/>
          <w:sz w:val="32"/>
          <w:szCs w:val="32"/>
          <w:lang w:eastAsia="zh-CN"/>
        </w:rPr>
      </w:pPr>
      <w:r>
        <w:rPr>
          <w:rFonts w:hint="eastAsia" w:ascii="黑体" w:hAnsi="黑体" w:eastAsia="黑体" w:cs="黑体"/>
          <w:sz w:val="32"/>
          <w:szCs w:val="32"/>
          <w:lang w:eastAsia="zh-CN"/>
        </w:rPr>
        <w:t>一、基本职能及主要工作</w:t>
      </w:r>
    </w:p>
    <w:p>
      <w:pPr>
        <w:spacing w:line="576" w:lineRule="exact"/>
        <w:ind w:firstLine="640" w:firstLineChars="200"/>
        <w:rPr>
          <w:rFonts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（一）部门职能简介</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贯彻执行党和国家有关社会保险的路线、方针、政策和法律、法规。服务全县城镇职工、机关事业单位职工的养老、工伤、生育保险。保障一生、服务一生、解决他们的养老、工伤、生育问题。</w:t>
      </w:r>
    </w:p>
    <w:p>
      <w:pPr>
        <w:spacing w:line="576" w:lineRule="exact"/>
        <w:ind w:firstLine="640" w:firstLineChars="200"/>
        <w:rPr>
          <w:rFonts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（二）2019年重点工作</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1.加强宣传力度，继续推进深度扩面征缴。</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2.积极开展内部审计，外部稽核。</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3.推进“互联网+社会保险”惠民服务。</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4.进一步加强信息化管理和应用。</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5.加大验证力度，遏制虚报冒领。</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6.深入推进社保业务经办下延工作 。</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7.加强基金管理，规范经办工作。</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8.继续加强完善档案管理。</w:t>
      </w:r>
    </w:p>
    <w:p>
      <w:pPr>
        <w:spacing w:line="576" w:lineRule="exact"/>
        <w:ind w:firstLine="640" w:firstLineChars="200"/>
        <w:rPr>
          <w:rFonts w:ascii="黑体" w:hAnsi="黑体" w:eastAsia="黑体" w:cs="黑体"/>
          <w:sz w:val="32"/>
          <w:szCs w:val="32"/>
          <w:lang w:eastAsia="zh-CN"/>
        </w:rPr>
      </w:pPr>
      <w:r>
        <w:rPr>
          <w:rFonts w:hint="eastAsia" w:ascii="黑体" w:hAnsi="黑体" w:eastAsia="黑体" w:cs="黑体"/>
          <w:sz w:val="32"/>
          <w:szCs w:val="32"/>
          <w:lang w:eastAsia="zh-CN"/>
        </w:rPr>
        <w:t>二、部门预算单位构成</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茂县社保局属一级预算单位，下属二级预算单位 0 个，其中：参照公务员法管理的事业单位 0个，其他事业单位 0个。参照公务员法管理的事业单位分别是:0 ；其他事业单位分别是:0。</w:t>
      </w:r>
    </w:p>
    <w:p>
      <w:pPr>
        <w:spacing w:line="576" w:lineRule="exact"/>
        <w:ind w:firstLine="640" w:firstLineChars="200"/>
        <w:rPr>
          <w:rFonts w:ascii="黑体" w:hAnsi="黑体" w:eastAsia="黑体" w:cs="黑体"/>
          <w:sz w:val="32"/>
          <w:szCs w:val="32"/>
          <w:lang w:eastAsia="zh-CN"/>
        </w:rPr>
      </w:pPr>
      <w:r>
        <w:rPr>
          <w:rFonts w:hint="eastAsia" w:ascii="黑体" w:hAnsi="黑体" w:eastAsia="黑体" w:cs="黑体"/>
          <w:sz w:val="32"/>
          <w:szCs w:val="32"/>
          <w:lang w:eastAsia="zh-CN"/>
        </w:rPr>
        <w:t>三、收支总预算情况说明</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按照综合预算的原则，县社保局所有收入和支出均纳入部门预算管理。收入包括：一般公共预算拨款收入 2890500 元；支出包括：社会保障和就业支出 2515877元，卫生健康支出156811元，住房保障支出217812元。县社保局2019年收支总预算 2890500 元,比2018年收支预算总数减少108484元，主要原因:人员变动。</w:t>
      </w:r>
    </w:p>
    <w:p>
      <w:pPr>
        <w:spacing w:line="576" w:lineRule="exact"/>
        <w:ind w:firstLine="640" w:firstLineChars="200"/>
        <w:rPr>
          <w:rFonts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（一）收入预算情况</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2019年收入预算2890500元；一般公共预算拨款收入2890500元，占100 %。</w:t>
      </w:r>
    </w:p>
    <w:p>
      <w:pPr>
        <w:spacing w:line="576" w:lineRule="exact"/>
        <w:ind w:firstLine="640" w:firstLineChars="200"/>
        <w:rPr>
          <w:rFonts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（二）支出预算情况</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2019年支出预算2890500元，其中：基本支出2890500元，占100 %，项目支出0元，占0.00 %。</w:t>
      </w:r>
    </w:p>
    <w:p>
      <w:pPr>
        <w:spacing w:line="576" w:lineRule="exact"/>
        <w:ind w:firstLine="640" w:firstLineChars="200"/>
        <w:rPr>
          <w:rFonts w:ascii="黑体" w:hAnsi="黑体" w:eastAsia="黑体" w:cs="黑体"/>
          <w:sz w:val="32"/>
          <w:szCs w:val="32"/>
          <w:lang w:eastAsia="zh-CN"/>
        </w:rPr>
      </w:pPr>
      <w:r>
        <w:rPr>
          <w:rFonts w:hint="eastAsia" w:ascii="黑体" w:hAnsi="黑体" w:eastAsia="黑体" w:cs="黑体"/>
          <w:sz w:val="32"/>
          <w:szCs w:val="32"/>
          <w:lang w:eastAsia="zh-CN"/>
        </w:rPr>
        <w:t>四、财政拨款收支预算情况说明</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2019年财政拨款收支总预算2890500元,比2018年收支预算总数减少108484元，主要原因: 人员变动。</w:t>
      </w:r>
    </w:p>
    <w:p>
      <w:pPr>
        <w:spacing w:line="576" w:lineRule="exact"/>
        <w:ind w:firstLine="640" w:firstLineChars="200"/>
        <w:rPr>
          <w:rFonts w:ascii="仿宋_GB2312" w:hAnsi="仿宋_GB2312" w:eastAsia="仿宋_GB2312" w:cs="仿宋_GB2312"/>
          <w:sz w:val="32"/>
          <w:szCs w:val="32"/>
          <w:lang w:eastAsia="zh-CN"/>
        </w:rPr>
      </w:pPr>
      <w:r>
        <w:rPr>
          <w:rFonts w:hint="eastAsia" w:ascii="楷体_GB2312" w:hAnsi="楷体_GB2312" w:eastAsia="楷体_GB2312" w:cs="楷体_GB2312"/>
          <w:sz w:val="32"/>
          <w:szCs w:val="32"/>
          <w:lang w:eastAsia="zh-CN"/>
        </w:rPr>
        <w:t>收入包括：</w:t>
      </w:r>
      <w:r>
        <w:rPr>
          <w:rFonts w:hint="eastAsia" w:ascii="仿宋_GB2312" w:hAnsi="仿宋_GB2312" w:eastAsia="仿宋_GB2312" w:cs="仿宋_GB2312"/>
          <w:sz w:val="32"/>
          <w:szCs w:val="32"/>
          <w:lang w:eastAsia="zh-CN"/>
        </w:rPr>
        <w:t>本年一般公共预算拨款收入 2890500元。</w:t>
      </w:r>
    </w:p>
    <w:p>
      <w:pPr>
        <w:spacing w:line="576" w:lineRule="exact"/>
        <w:ind w:firstLine="640" w:firstLineChars="200"/>
        <w:rPr>
          <w:rFonts w:ascii="仿宋_GB2312" w:hAnsi="仿宋_GB2312" w:eastAsia="仿宋_GB2312" w:cs="仿宋_GB2312"/>
          <w:sz w:val="32"/>
          <w:szCs w:val="32"/>
          <w:lang w:eastAsia="zh-CN"/>
        </w:rPr>
      </w:pPr>
      <w:r>
        <w:rPr>
          <w:rFonts w:hint="eastAsia" w:ascii="楷体_GB2312" w:hAnsi="楷体_GB2312" w:eastAsia="楷体_GB2312" w:cs="楷体_GB2312"/>
          <w:sz w:val="32"/>
          <w:szCs w:val="32"/>
          <w:lang w:eastAsia="zh-CN"/>
        </w:rPr>
        <w:t>支出包括：</w:t>
      </w:r>
      <w:r>
        <w:rPr>
          <w:rFonts w:hint="eastAsia" w:ascii="仿宋_GB2312" w:hAnsi="仿宋_GB2312" w:eastAsia="仿宋_GB2312" w:cs="仿宋_GB2312"/>
          <w:sz w:val="32"/>
          <w:szCs w:val="32"/>
          <w:lang w:eastAsia="zh-CN"/>
        </w:rPr>
        <w:t>一般公共服务支出0元，社会保障和就业支出2515877元，卫生健康支出156811元，住房保障支出217812元。</w:t>
      </w:r>
    </w:p>
    <w:p>
      <w:pPr>
        <w:spacing w:line="576" w:lineRule="exact"/>
        <w:ind w:firstLine="640" w:firstLineChars="200"/>
        <w:rPr>
          <w:rFonts w:ascii="黑体" w:hAnsi="黑体" w:eastAsia="黑体" w:cs="黑体"/>
          <w:sz w:val="32"/>
          <w:szCs w:val="32"/>
          <w:lang w:eastAsia="zh-CN"/>
        </w:rPr>
      </w:pPr>
      <w:r>
        <w:rPr>
          <w:rFonts w:hint="eastAsia" w:ascii="黑体" w:hAnsi="黑体" w:eastAsia="黑体" w:cs="黑体"/>
          <w:sz w:val="32"/>
          <w:szCs w:val="32"/>
          <w:lang w:eastAsia="zh-CN"/>
        </w:rPr>
        <w:t>五、一般公共预算当年拨款情况说明</w:t>
      </w:r>
    </w:p>
    <w:p>
      <w:pPr>
        <w:spacing w:line="576" w:lineRule="exact"/>
        <w:ind w:firstLine="640" w:firstLineChars="200"/>
        <w:rPr>
          <w:rFonts w:ascii="仿宋_GB2312" w:hAnsi="仿宋_GB2312" w:eastAsia="仿宋_GB2312" w:cs="仿宋_GB2312"/>
          <w:sz w:val="32"/>
          <w:szCs w:val="32"/>
          <w:lang w:eastAsia="zh-CN"/>
        </w:rPr>
      </w:pPr>
      <w:r>
        <w:rPr>
          <w:rFonts w:hint="eastAsia" w:ascii="楷体_GB2312" w:hAnsi="楷体_GB2312" w:eastAsia="楷体_GB2312" w:cs="楷体_GB2312"/>
          <w:sz w:val="32"/>
          <w:szCs w:val="32"/>
          <w:lang w:eastAsia="zh-CN"/>
        </w:rPr>
        <w:t>（一）一般公共预算当年拨款规模变化情况</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2019年一般公共预算当年拨款2890500元,比2018年预算总数减少108484元，主要原因: 人员变动。</w:t>
      </w:r>
    </w:p>
    <w:p>
      <w:pPr>
        <w:spacing w:line="576" w:lineRule="exact"/>
        <w:ind w:firstLine="640" w:firstLineChars="200"/>
        <w:rPr>
          <w:rFonts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（二）一般公共预算当年拨款结构情况</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一般公共服务支出0元，占0.00 %；社会保障和就业支出2515877元，占87.04%；卫生健康支出156811万元，占5.43 %；住房保障支出217812元，占7.53 %。</w:t>
      </w:r>
    </w:p>
    <w:p>
      <w:pPr>
        <w:spacing w:line="576" w:lineRule="exact"/>
        <w:ind w:firstLine="640" w:firstLineChars="200"/>
        <w:rPr>
          <w:rFonts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（三）一般公共预算当年拨款具体使用情况</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ascii="仿宋_GB2312" w:eastAsia="仿宋_GB2312"/>
          <w:sz w:val="32"/>
          <w:szCs w:val="32"/>
        </w:rPr>
      </w:pPr>
      <w:r>
        <w:rPr>
          <w:rFonts w:hint="eastAsia" w:ascii="仿宋_GB2312" w:eastAsia="仿宋_GB2312"/>
          <w:sz w:val="32"/>
          <w:szCs w:val="32"/>
          <w:lang w:val="en-US" w:eastAsia="zh-CN"/>
        </w:rPr>
        <w:t>1.</w:t>
      </w:r>
      <w:r>
        <w:rPr>
          <w:rFonts w:ascii="仿宋_GB2312" w:eastAsia="仿宋_GB2312"/>
          <w:sz w:val="32"/>
          <w:szCs w:val="32"/>
          <w:lang w:eastAsia="zh-CN"/>
        </w:rPr>
        <w:t>社会保障和就业支出（</w:t>
      </w:r>
      <w:r>
        <w:rPr>
          <w:rFonts w:hint="eastAsia" w:ascii="仿宋_GB2312" w:eastAsia="仿宋_GB2312"/>
          <w:sz w:val="32"/>
          <w:szCs w:val="32"/>
          <w:lang w:val="en-US" w:eastAsia="zh-CN"/>
        </w:rPr>
        <w:t>类</w:t>
      </w:r>
      <w:r>
        <w:rPr>
          <w:rFonts w:ascii="仿宋_GB2312" w:eastAsia="仿宋_GB2312"/>
          <w:sz w:val="32"/>
          <w:szCs w:val="32"/>
          <w:lang w:eastAsia="zh-CN"/>
        </w:rPr>
        <w:t>）</w:t>
      </w:r>
      <w:r>
        <w:rPr>
          <w:rFonts w:hint="eastAsia" w:ascii="仿宋_GB2312" w:eastAsia="仿宋_GB2312"/>
          <w:sz w:val="32"/>
          <w:szCs w:val="32"/>
          <w:lang w:val="en-US" w:eastAsia="zh-CN"/>
        </w:rPr>
        <w:t>人力资源和社会保障管理事务</w:t>
      </w:r>
      <w:r>
        <w:rPr>
          <w:rFonts w:ascii="仿宋_GB2312" w:eastAsia="仿宋_GB2312"/>
          <w:sz w:val="32"/>
          <w:szCs w:val="32"/>
          <w:lang w:eastAsia="zh-CN"/>
        </w:rPr>
        <w:t>（</w:t>
      </w:r>
      <w:r>
        <w:rPr>
          <w:rFonts w:hint="eastAsia" w:ascii="仿宋_GB2312" w:eastAsia="仿宋_GB2312"/>
          <w:sz w:val="32"/>
          <w:szCs w:val="32"/>
          <w:lang w:val="en-US" w:eastAsia="zh-CN"/>
        </w:rPr>
        <w:t>款</w:t>
      </w:r>
      <w:r>
        <w:rPr>
          <w:rFonts w:ascii="仿宋_GB2312" w:eastAsia="仿宋_GB2312"/>
          <w:sz w:val="32"/>
          <w:szCs w:val="32"/>
          <w:lang w:eastAsia="zh-CN"/>
        </w:rPr>
        <w:t>）</w:t>
      </w:r>
      <w:r>
        <w:rPr>
          <w:rFonts w:hint="eastAsia" w:ascii="仿宋_GB2312" w:eastAsia="仿宋_GB2312"/>
          <w:sz w:val="32"/>
          <w:szCs w:val="32"/>
          <w:lang w:val="en-US" w:eastAsia="zh-CN"/>
        </w:rPr>
        <w:t>行政运行</w:t>
      </w:r>
      <w:r>
        <w:rPr>
          <w:rFonts w:ascii="仿宋_GB2312" w:eastAsia="仿宋_GB2312"/>
          <w:sz w:val="32"/>
          <w:szCs w:val="32"/>
          <w:lang w:eastAsia="zh-CN"/>
        </w:rPr>
        <w:t>（</w:t>
      </w:r>
      <w:r>
        <w:rPr>
          <w:rFonts w:hint="eastAsia" w:ascii="仿宋_GB2312" w:eastAsia="仿宋_GB2312"/>
          <w:sz w:val="32"/>
          <w:szCs w:val="32"/>
          <w:lang w:val="en-US" w:eastAsia="zh-CN"/>
        </w:rPr>
        <w:t>项</w:t>
      </w:r>
      <w:r>
        <w:rPr>
          <w:rFonts w:ascii="仿宋_GB2312" w:eastAsia="仿宋_GB2312"/>
          <w:sz w:val="32"/>
          <w:szCs w:val="32"/>
          <w:lang w:eastAsia="zh-CN"/>
        </w:rPr>
        <w:t>）</w:t>
      </w:r>
      <w:r>
        <w:rPr>
          <w:rFonts w:hint="eastAsia" w:ascii="仿宋_GB2312" w:eastAsia="仿宋_GB2312"/>
          <w:sz w:val="32"/>
          <w:szCs w:val="32"/>
          <w:lang w:val="en-US" w:eastAsia="zh-CN"/>
        </w:rPr>
        <w:t>2019</w:t>
      </w:r>
      <w:r>
        <w:rPr>
          <w:rFonts w:ascii="仿宋_GB2312" w:eastAsia="仿宋_GB2312"/>
          <w:sz w:val="32"/>
          <w:szCs w:val="32"/>
          <w:lang w:eastAsia="zh-CN"/>
        </w:rPr>
        <w:t>年预算数为</w:t>
      </w:r>
      <w:r>
        <w:rPr>
          <w:rFonts w:hint="eastAsia" w:ascii="仿宋_GB2312" w:eastAsia="仿宋_GB2312"/>
          <w:sz w:val="32"/>
          <w:szCs w:val="32"/>
          <w:lang w:val="en-US" w:eastAsia="zh-CN"/>
        </w:rPr>
        <w:t>2101631</w:t>
      </w:r>
      <w:r>
        <w:rPr>
          <w:rFonts w:ascii="仿宋_GB2312" w:eastAsia="仿宋_GB2312"/>
          <w:sz w:val="32"/>
          <w:szCs w:val="32"/>
          <w:lang w:eastAsia="zh-CN"/>
        </w:rPr>
        <w:t>元，主要用于</w:t>
      </w:r>
      <w:r>
        <w:rPr>
          <w:rFonts w:hint="eastAsia" w:ascii="仿宋_GB2312" w:eastAsia="仿宋_GB2312"/>
          <w:sz w:val="32"/>
          <w:szCs w:val="32"/>
        </w:rPr>
        <w:t>单位人员经费和日常公用经费等基本支出。</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.社会保障和就业支出（类）行政事业单位离退休（款）机关事业单位基本养老保险缴费支出（项）2019年预算数为</w:t>
      </w:r>
      <w:r>
        <w:rPr>
          <w:rFonts w:hint="eastAsia" w:ascii="仿宋_GB2312" w:hAnsi="仿宋_GB2312" w:eastAsia="仿宋_GB2312" w:cs="仿宋_GB2312"/>
          <w:sz w:val="32"/>
          <w:szCs w:val="32"/>
          <w:lang w:val="en-US" w:eastAsia="zh-CN"/>
        </w:rPr>
        <w:t>295890</w:t>
      </w:r>
      <w:r>
        <w:rPr>
          <w:rFonts w:hint="eastAsia" w:ascii="仿宋_GB2312" w:hAnsi="仿宋_GB2312" w:eastAsia="仿宋_GB2312" w:cs="仿宋_GB2312"/>
          <w:sz w:val="32"/>
          <w:szCs w:val="32"/>
          <w:lang w:eastAsia="zh-CN"/>
        </w:rPr>
        <w:t>元，主要用于单位缴纳基本养老保险费。</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.社会保障和就业支出（类）行政事业单位离退休（款）机关事业单位职业年金缴费支出（项）2019年预算数为</w:t>
      </w:r>
      <w:r>
        <w:rPr>
          <w:rFonts w:hint="eastAsia" w:ascii="仿宋_GB2312" w:hAnsi="仿宋_GB2312" w:eastAsia="仿宋_GB2312" w:cs="仿宋_GB2312"/>
          <w:sz w:val="32"/>
          <w:szCs w:val="32"/>
          <w:lang w:val="en-US" w:eastAsia="zh-CN"/>
        </w:rPr>
        <w:t>118356</w:t>
      </w:r>
      <w:r>
        <w:rPr>
          <w:rFonts w:hint="eastAsia" w:ascii="仿宋_GB2312" w:hAnsi="仿宋_GB2312" w:eastAsia="仿宋_GB2312" w:cs="仿宋_GB2312"/>
          <w:sz w:val="32"/>
          <w:szCs w:val="32"/>
          <w:lang w:eastAsia="zh-CN"/>
        </w:rPr>
        <w:t>元，主要用于单位缴纳职业年金。</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.卫生健康支出（类）行政事业单位医疗（款）行政单位医疗（项）2019年预算数为 156811元，主要用于行政单位缴纳基本医疗保险。</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.住房保障（类）住房改革（款）住房公积金（项）2019年预算数为217812元，主要用于单位为职工缴纳住房公积金。</w:t>
      </w:r>
    </w:p>
    <w:p>
      <w:pPr>
        <w:spacing w:line="576" w:lineRule="exact"/>
        <w:ind w:firstLine="640" w:firstLineChars="200"/>
        <w:rPr>
          <w:rFonts w:ascii="黑体" w:hAnsi="黑体" w:eastAsia="黑体" w:cs="黑体"/>
          <w:sz w:val="32"/>
          <w:szCs w:val="32"/>
          <w:lang w:eastAsia="zh-CN"/>
        </w:rPr>
      </w:pPr>
      <w:r>
        <w:rPr>
          <w:rFonts w:hint="eastAsia" w:ascii="黑体" w:hAnsi="黑体" w:eastAsia="黑体" w:cs="黑体"/>
          <w:sz w:val="32"/>
          <w:szCs w:val="32"/>
          <w:lang w:eastAsia="zh-CN"/>
        </w:rPr>
        <w:t>六、一般公共预算基本支出情况说明</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县社保局2019年一般公共预算基本支出2890500元，其中：人员经费2693248元，主要包括基本工资、津贴补贴、奖金、其他社会保障缴费、绩效工资、机关事业单位基本养老保险缴费、职业年金缴费、其他工资福利支出、离休费、奖励金、住房公积金、其他对个人和家庭的补助支出。公用经费197252元，主要包括办公费、印刷费、手续费、水费、电费、邮电费、差旅费、维修（护）费、租赁费、会议费、培训费、劳务费、工会经费、福利费、其他交通工具运行维护费、其他商品和服务支出。</w:t>
      </w:r>
    </w:p>
    <w:p>
      <w:pPr>
        <w:spacing w:line="576" w:lineRule="exact"/>
        <w:ind w:firstLine="640" w:firstLineChars="200"/>
        <w:rPr>
          <w:rFonts w:ascii="黑体" w:hAnsi="黑体" w:eastAsia="黑体" w:cs="黑体"/>
          <w:sz w:val="32"/>
          <w:szCs w:val="32"/>
          <w:lang w:eastAsia="zh-CN"/>
        </w:rPr>
      </w:pPr>
      <w:r>
        <w:rPr>
          <w:rFonts w:hint="eastAsia" w:ascii="黑体" w:hAnsi="黑体" w:eastAsia="黑体" w:cs="黑体"/>
          <w:sz w:val="32"/>
          <w:szCs w:val="32"/>
          <w:lang w:eastAsia="zh-CN"/>
        </w:rPr>
        <w:t>七、“三公”经费财政拨款预算安排情况说明</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县社保局2019年“三公”经费财政拨款预算数43868元，其中：无因公出国（境）经费，公务接待费3868元，公务用车购置及运行维护费40000元。</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（一）2019年公务接待费3868元。较2018年预算下降3.47 %，主要原因是：厉行节约。</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（二）2019年无因公出国（境）经费。</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（三）2019年公务用车购置及运行维护费40000元。与2018年预算一致 。</w:t>
      </w:r>
    </w:p>
    <w:p>
      <w:pPr>
        <w:spacing w:line="576" w:lineRule="exact"/>
        <w:ind w:firstLine="640" w:firstLineChars="200"/>
        <w:rPr>
          <w:rFonts w:ascii="黑体" w:hAnsi="黑体" w:eastAsia="黑体" w:cs="黑体"/>
          <w:sz w:val="32"/>
          <w:szCs w:val="32"/>
          <w:lang w:eastAsia="zh-CN"/>
        </w:rPr>
      </w:pPr>
      <w:r>
        <w:rPr>
          <w:rFonts w:hint="eastAsia" w:ascii="黑体" w:hAnsi="黑体" w:eastAsia="黑体" w:cs="黑体"/>
          <w:sz w:val="32"/>
          <w:szCs w:val="32"/>
          <w:lang w:eastAsia="zh-CN"/>
        </w:rPr>
        <w:t>八、政府性基金预算支出情况说明</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县社保局2019年无政府性基金预算拨款安排的支出。</w:t>
      </w:r>
    </w:p>
    <w:p>
      <w:pPr>
        <w:spacing w:line="576" w:lineRule="exact"/>
        <w:ind w:firstLine="640" w:firstLineChars="200"/>
        <w:rPr>
          <w:rFonts w:ascii="黑体" w:hAnsi="黑体" w:eastAsia="黑体" w:cs="黑体"/>
          <w:sz w:val="32"/>
          <w:szCs w:val="32"/>
          <w:lang w:eastAsia="zh-CN"/>
        </w:rPr>
      </w:pPr>
      <w:r>
        <w:rPr>
          <w:rFonts w:hint="eastAsia" w:ascii="黑体" w:hAnsi="黑体" w:eastAsia="黑体" w:cs="黑体"/>
          <w:sz w:val="32"/>
          <w:szCs w:val="32"/>
          <w:lang w:eastAsia="zh-CN"/>
        </w:rPr>
        <w:t>九、其他重要事项的情况说明</w:t>
      </w:r>
    </w:p>
    <w:p>
      <w:pPr>
        <w:spacing w:line="576" w:lineRule="exact"/>
        <w:ind w:firstLine="640" w:firstLineChars="200"/>
        <w:rPr>
          <w:rFonts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（一）机关运行经费</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县社保局2019年机关运行经费财政拨款预算为197252元，比2018年预算减少</w:t>
      </w:r>
      <w:r>
        <w:rPr>
          <w:rFonts w:hint="eastAsia" w:ascii="仿宋_GB2312" w:hAnsi="仿宋_GB2312" w:eastAsia="仿宋_GB2312" w:cs="仿宋_GB2312"/>
          <w:sz w:val="32"/>
          <w:szCs w:val="32"/>
          <w:lang w:val="en-US" w:eastAsia="zh-CN"/>
        </w:rPr>
        <w:t>7111</w:t>
      </w:r>
      <w:r>
        <w:rPr>
          <w:rFonts w:hint="eastAsia" w:ascii="仿宋_GB2312" w:hAnsi="仿宋_GB2312" w:eastAsia="仿宋_GB2312" w:cs="仿宋_GB2312"/>
          <w:sz w:val="32"/>
          <w:szCs w:val="32"/>
          <w:lang w:eastAsia="zh-CN"/>
        </w:rPr>
        <w:t>元，下降3.4</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lang w:eastAsia="zh-CN"/>
        </w:rPr>
        <w:t xml:space="preserve"> %。主要原因是：厉行节约。</w:t>
      </w:r>
    </w:p>
    <w:p>
      <w:pPr>
        <w:spacing w:line="576" w:lineRule="exact"/>
        <w:ind w:firstLine="640" w:firstLineChars="200"/>
        <w:rPr>
          <w:rFonts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（二）政府采购情况</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2019年，县社保局未安排政府采购预算。</w:t>
      </w:r>
    </w:p>
    <w:p>
      <w:pPr>
        <w:spacing w:line="576" w:lineRule="exact"/>
        <w:ind w:firstLine="640" w:firstLineChars="200"/>
        <w:rPr>
          <w:rFonts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（三）国有资产占有使用情况</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社保局截止2018年12月31日，固定资产总额281690元，其中：房屋0平方米，价值0元；公务用车0辆，价值0元；其他固定资产 281690元。</w:t>
      </w:r>
    </w:p>
    <w:p>
      <w:pPr>
        <w:spacing w:line="576" w:lineRule="exact"/>
        <w:ind w:firstLine="640" w:firstLineChars="200"/>
        <w:rPr>
          <w:rFonts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（四）绩效目标设置情况</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2019年县社保局通用项目和专用项目均按要求实行绩效目标管理，涉及项目0个，一般公共预算当年拨款2890500</w:t>
      </w:r>
      <w:bookmarkStart w:id="0" w:name="_GoBack"/>
      <w:bookmarkEnd w:id="0"/>
      <w:r>
        <w:rPr>
          <w:rFonts w:hint="eastAsia" w:ascii="仿宋_GB2312" w:hAnsi="仿宋_GB2312" w:eastAsia="仿宋_GB2312" w:cs="仿宋_GB2312"/>
          <w:sz w:val="32"/>
          <w:szCs w:val="32"/>
          <w:lang w:eastAsia="zh-CN"/>
        </w:rPr>
        <w:t>元。</w:t>
      </w:r>
    </w:p>
    <w:p>
      <w:pPr>
        <w:spacing w:line="576" w:lineRule="exact"/>
        <w:ind w:firstLine="640" w:firstLineChars="200"/>
        <w:rPr>
          <w:rFonts w:ascii="黑体" w:hAnsi="黑体" w:eastAsia="黑体" w:cs="黑体"/>
          <w:sz w:val="32"/>
          <w:szCs w:val="32"/>
          <w:lang w:eastAsia="zh-CN"/>
        </w:rPr>
      </w:pPr>
      <w:r>
        <w:rPr>
          <w:rFonts w:hint="eastAsia" w:ascii="黑体" w:hAnsi="黑体" w:eastAsia="黑体" w:cs="黑体"/>
          <w:sz w:val="32"/>
          <w:szCs w:val="32"/>
          <w:lang w:eastAsia="zh-CN"/>
        </w:rPr>
        <w:t>十、名词解释</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（一）财政拨款收入：指由财政拨款形成的部门收入。按现行管理制度，部门预算中反映的财政拨款仅包括一般公共预算拨款和政府性基金预算拨款。</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（二）事业收入：指所属事业单位开展专业业务活动及辅助活动所取得的收入。</w:t>
      </w:r>
    </w:p>
    <w:p>
      <w:pPr>
        <w:spacing w:line="576" w:lineRule="exact"/>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（三）事业单位经营收入：指所属事业单位在专业业务活动及其辅助活动之外开展非独立核算经营活动取得的收入。</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（四）其他收入：指除上述“财政拨款收入”、“事业收入”、“事业单位经营收入”等以外的收入，主要是所属行政事业单位按规定动用的售房收入、存款利息收入等。</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五）用事业基金弥补收支差额：指所属事业单位在预计用当年的“财政拨款收入”、“事业收入”、“事业单位经营收入”、“其他收入”不足以安排当年支出的情况下，使用以前年度积累的事业基金弥补本年度收支缺口的资金。</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（六）上年结转：指所属行政事业单位以前年度尚未完成、结转至本年按原规定用途继续使用的资金和以前年度已完成项目剩余资金经批准用于新用途使用的资金。</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（七）基本支出：指为保证机构正常运转，完成日常工作任务而发生的人员支出和公用支出。</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（八）项目支出：指在基本支出之外为完成特定行政任务和事业发展目标所发生的支出。</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九）“三公”经费：纳入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576" w:lineRule="exact"/>
        <w:ind w:firstLine="640" w:firstLineChars="200"/>
        <w:rPr>
          <w:rFonts w:ascii="仿宋_GB2312" w:hAnsi="仿宋_GB2312" w:eastAsia="仿宋_GB2312" w:cs="仿宋_GB2312"/>
          <w:sz w:val="32"/>
          <w:szCs w:val="32"/>
          <w:lang w:eastAsia="zh-CN"/>
        </w:rPr>
      </w:pP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附件：茂县社保局2019年部门预算表</w:t>
      </w:r>
    </w:p>
    <w:p>
      <w:pPr>
        <w:spacing w:line="576" w:lineRule="exact"/>
        <w:ind w:firstLine="0"/>
        <w:rPr>
          <w:rFonts w:ascii="仿宋_GB2312" w:hAnsi="仿宋_GB2312" w:eastAsia="仿宋_GB2312" w:cs="仿宋_GB2312"/>
          <w:sz w:val="32"/>
          <w:szCs w:val="32"/>
          <w:lang w:eastAsia="zh-CN"/>
        </w:rPr>
      </w:pPr>
    </w:p>
    <w:p>
      <w:pPr>
        <w:spacing w:line="576" w:lineRule="exact"/>
        <w:ind w:firstLine="0"/>
        <w:rPr>
          <w:rFonts w:ascii="仿宋_GB2312" w:hAnsi="仿宋_GB2312" w:eastAsia="仿宋_GB2312" w:cs="仿宋_GB2312"/>
          <w:sz w:val="32"/>
          <w:szCs w:val="32"/>
          <w:lang w:eastAsia="zh-CN"/>
        </w:rPr>
      </w:pPr>
    </w:p>
    <w:p>
      <w:pPr>
        <w:spacing w:line="576" w:lineRule="exact"/>
        <w:ind w:firstLine="3552" w:firstLineChars="111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茂县社会保险事业管理局</w:t>
      </w:r>
    </w:p>
    <w:p>
      <w:pPr>
        <w:spacing w:line="576" w:lineRule="exact"/>
        <w:ind w:firstLine="4192" w:firstLineChars="131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2019年5月7日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方正小标宋简体">
    <w:altName w:val="宋体"/>
    <w:panose1 w:val="02010601030101010101"/>
    <w:charset w:val="86"/>
    <w:family w:val="auto"/>
    <w:pitch w:val="default"/>
    <w:sig w:usb0="00000000" w:usb1="00000000" w:usb2="00000000" w:usb3="00000000" w:csb0="00040000" w:csb1="00000000"/>
  </w:font>
  <w:font w:name="仿宋_GB2312">
    <w:altName w:val="微软雅黑"/>
    <w:panose1 w:val="02010609030101010101"/>
    <w:charset w:val="86"/>
    <w:family w:val="modern"/>
    <w:pitch w:val="default"/>
    <w:sig w:usb0="00000000" w:usb1="00000000" w:usb2="00000000" w:usb3="00000000" w:csb0="00040000" w:csb1="00000000"/>
  </w:font>
  <w:font w:name="楷体_GB2312">
    <w:altName w:val="微软雅黑"/>
    <w:panose1 w:val="00000000000000000000"/>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7ECA74F3"/>
    <w:rsid w:val="0000412F"/>
    <w:rsid w:val="000150B9"/>
    <w:rsid w:val="00021ECB"/>
    <w:rsid w:val="00030CDD"/>
    <w:rsid w:val="00041D5E"/>
    <w:rsid w:val="000614F1"/>
    <w:rsid w:val="000A4ECA"/>
    <w:rsid w:val="000A78C2"/>
    <w:rsid w:val="000D50D6"/>
    <w:rsid w:val="000E1D4A"/>
    <w:rsid w:val="0011152D"/>
    <w:rsid w:val="00127C2B"/>
    <w:rsid w:val="00145198"/>
    <w:rsid w:val="0018273B"/>
    <w:rsid w:val="00186D19"/>
    <w:rsid w:val="00186E1A"/>
    <w:rsid w:val="001C243D"/>
    <w:rsid w:val="001E0B5D"/>
    <w:rsid w:val="00227B77"/>
    <w:rsid w:val="00240F83"/>
    <w:rsid w:val="00262727"/>
    <w:rsid w:val="00290675"/>
    <w:rsid w:val="00297BF3"/>
    <w:rsid w:val="002D0BAC"/>
    <w:rsid w:val="002F03A8"/>
    <w:rsid w:val="00316688"/>
    <w:rsid w:val="00326341"/>
    <w:rsid w:val="00327190"/>
    <w:rsid w:val="003271F5"/>
    <w:rsid w:val="00360941"/>
    <w:rsid w:val="0036533B"/>
    <w:rsid w:val="00382B7A"/>
    <w:rsid w:val="00384433"/>
    <w:rsid w:val="003B7A64"/>
    <w:rsid w:val="003F529D"/>
    <w:rsid w:val="003F64BE"/>
    <w:rsid w:val="0043752F"/>
    <w:rsid w:val="004555F0"/>
    <w:rsid w:val="0047290A"/>
    <w:rsid w:val="004828E9"/>
    <w:rsid w:val="00486EE4"/>
    <w:rsid w:val="004B1E8D"/>
    <w:rsid w:val="004F1D92"/>
    <w:rsid w:val="00513150"/>
    <w:rsid w:val="00532C6E"/>
    <w:rsid w:val="00534C93"/>
    <w:rsid w:val="00535E0A"/>
    <w:rsid w:val="00591946"/>
    <w:rsid w:val="005A2720"/>
    <w:rsid w:val="005B5143"/>
    <w:rsid w:val="005C334E"/>
    <w:rsid w:val="005C61FB"/>
    <w:rsid w:val="005D1ACE"/>
    <w:rsid w:val="005E1FC6"/>
    <w:rsid w:val="005E7711"/>
    <w:rsid w:val="005F2902"/>
    <w:rsid w:val="006045E3"/>
    <w:rsid w:val="00607823"/>
    <w:rsid w:val="00610894"/>
    <w:rsid w:val="006359E0"/>
    <w:rsid w:val="00643DF2"/>
    <w:rsid w:val="006752BC"/>
    <w:rsid w:val="00696576"/>
    <w:rsid w:val="006A41EC"/>
    <w:rsid w:val="006A5260"/>
    <w:rsid w:val="006D46C8"/>
    <w:rsid w:val="006D72B4"/>
    <w:rsid w:val="006E23AD"/>
    <w:rsid w:val="006E2C86"/>
    <w:rsid w:val="006F165D"/>
    <w:rsid w:val="007065BF"/>
    <w:rsid w:val="0074461B"/>
    <w:rsid w:val="00754491"/>
    <w:rsid w:val="00790255"/>
    <w:rsid w:val="00791468"/>
    <w:rsid w:val="007959FB"/>
    <w:rsid w:val="00795C76"/>
    <w:rsid w:val="007A2370"/>
    <w:rsid w:val="007A6F14"/>
    <w:rsid w:val="007B62E8"/>
    <w:rsid w:val="007D31D7"/>
    <w:rsid w:val="00806373"/>
    <w:rsid w:val="008144B8"/>
    <w:rsid w:val="008202CD"/>
    <w:rsid w:val="008678BE"/>
    <w:rsid w:val="008827C2"/>
    <w:rsid w:val="00885FCC"/>
    <w:rsid w:val="008D72E1"/>
    <w:rsid w:val="008E4C00"/>
    <w:rsid w:val="00916B81"/>
    <w:rsid w:val="00927C5E"/>
    <w:rsid w:val="009476CC"/>
    <w:rsid w:val="00967AA2"/>
    <w:rsid w:val="00980493"/>
    <w:rsid w:val="00992E2D"/>
    <w:rsid w:val="00993A19"/>
    <w:rsid w:val="009951E4"/>
    <w:rsid w:val="009D4336"/>
    <w:rsid w:val="009F1198"/>
    <w:rsid w:val="009F2739"/>
    <w:rsid w:val="009F6C59"/>
    <w:rsid w:val="00A062A9"/>
    <w:rsid w:val="00A4667B"/>
    <w:rsid w:val="00A53F54"/>
    <w:rsid w:val="00A708FF"/>
    <w:rsid w:val="00A77AC9"/>
    <w:rsid w:val="00A975E4"/>
    <w:rsid w:val="00AA4C94"/>
    <w:rsid w:val="00AC5070"/>
    <w:rsid w:val="00B00764"/>
    <w:rsid w:val="00B13BFA"/>
    <w:rsid w:val="00B80852"/>
    <w:rsid w:val="00B906A9"/>
    <w:rsid w:val="00BA1B18"/>
    <w:rsid w:val="00BC449E"/>
    <w:rsid w:val="00C23614"/>
    <w:rsid w:val="00C3423C"/>
    <w:rsid w:val="00C646E6"/>
    <w:rsid w:val="00C77840"/>
    <w:rsid w:val="00C871E8"/>
    <w:rsid w:val="00CA7E7A"/>
    <w:rsid w:val="00CC5EE7"/>
    <w:rsid w:val="00CF6828"/>
    <w:rsid w:val="00D1062D"/>
    <w:rsid w:val="00D33D2A"/>
    <w:rsid w:val="00D62C31"/>
    <w:rsid w:val="00D975FB"/>
    <w:rsid w:val="00D977A3"/>
    <w:rsid w:val="00DA76FF"/>
    <w:rsid w:val="00DB4BEE"/>
    <w:rsid w:val="00DB7A6E"/>
    <w:rsid w:val="00E0755E"/>
    <w:rsid w:val="00E23AC0"/>
    <w:rsid w:val="00E27CDC"/>
    <w:rsid w:val="00E536DC"/>
    <w:rsid w:val="00E539C3"/>
    <w:rsid w:val="00E60A28"/>
    <w:rsid w:val="00EB5D24"/>
    <w:rsid w:val="00EB65E3"/>
    <w:rsid w:val="00EC7089"/>
    <w:rsid w:val="00EF7579"/>
    <w:rsid w:val="00F11532"/>
    <w:rsid w:val="00F154D5"/>
    <w:rsid w:val="00F638DA"/>
    <w:rsid w:val="00F76E75"/>
    <w:rsid w:val="00F83266"/>
    <w:rsid w:val="00F94F02"/>
    <w:rsid w:val="07612C9C"/>
    <w:rsid w:val="09E60826"/>
    <w:rsid w:val="115B74A6"/>
    <w:rsid w:val="14DC749D"/>
    <w:rsid w:val="27702CF4"/>
    <w:rsid w:val="338C49DA"/>
    <w:rsid w:val="36F02E34"/>
    <w:rsid w:val="4BE25B8D"/>
    <w:rsid w:val="4C6D34EC"/>
    <w:rsid w:val="54C561B8"/>
    <w:rsid w:val="649874F1"/>
    <w:rsid w:val="67470A61"/>
    <w:rsid w:val="76146334"/>
    <w:rsid w:val="7ECA74F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firstLine="360"/>
    </w:pPr>
    <w:rPr>
      <w:rFonts w:ascii="Calibri" w:hAnsi="Calibri" w:eastAsia="宋体" w:cs="Arial"/>
      <w:sz w:val="22"/>
      <w:szCs w:val="22"/>
      <w:lang w:val="en-US" w:eastAsia="en-US" w:bidi="en-US"/>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2"/>
    <w:qFormat/>
    <w:uiPriority w:val="0"/>
    <w:pPr>
      <w:tabs>
        <w:tab w:val="center" w:pos="4153"/>
        <w:tab w:val="right" w:pos="8306"/>
      </w:tabs>
      <w:snapToGrid w:val="0"/>
    </w:pPr>
    <w:rPr>
      <w:sz w:val="18"/>
      <w:szCs w:val="18"/>
    </w:rPr>
  </w:style>
  <w:style w:type="paragraph" w:styleId="3">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pPr>
    <w:rPr>
      <w:rFonts w:cs="Times New Roman"/>
      <w:sz w:val="24"/>
      <w:lang w:eastAsia="zh-CN" w:bidi="ar-SA"/>
    </w:rPr>
  </w:style>
  <w:style w:type="character" w:styleId="7">
    <w:name w:val="Strong"/>
    <w:basedOn w:val="6"/>
    <w:qFormat/>
    <w:uiPriority w:val="22"/>
    <w:rPr>
      <w:b/>
    </w:rPr>
  </w:style>
  <w:style w:type="character" w:styleId="8">
    <w:name w:val="FollowedHyperlink"/>
    <w:basedOn w:val="6"/>
    <w:qFormat/>
    <w:uiPriority w:val="0"/>
    <w:rPr>
      <w:color w:val="323232"/>
      <w:u w:val="none"/>
    </w:rPr>
  </w:style>
  <w:style w:type="character" w:styleId="9">
    <w:name w:val="Hyperlink"/>
    <w:basedOn w:val="6"/>
    <w:qFormat/>
    <w:uiPriority w:val="0"/>
    <w:rPr>
      <w:color w:val="323232"/>
      <w:u w:val="none"/>
    </w:rPr>
  </w:style>
  <w:style w:type="character" w:customStyle="1" w:styleId="10">
    <w:name w:val="bsharetext"/>
    <w:basedOn w:val="6"/>
    <w:qFormat/>
    <w:uiPriority w:val="0"/>
  </w:style>
  <w:style w:type="character" w:customStyle="1" w:styleId="11">
    <w:name w:val="页眉 Char"/>
    <w:basedOn w:val="6"/>
    <w:link w:val="3"/>
    <w:qFormat/>
    <w:uiPriority w:val="0"/>
    <w:rPr>
      <w:rFonts w:ascii="Calibri" w:hAnsi="Calibri" w:cs="Arial"/>
      <w:sz w:val="18"/>
      <w:szCs w:val="18"/>
      <w:lang w:eastAsia="en-US" w:bidi="en-US"/>
    </w:rPr>
  </w:style>
  <w:style w:type="character" w:customStyle="1" w:styleId="12">
    <w:name w:val="页脚 Char"/>
    <w:basedOn w:val="6"/>
    <w:link w:val="2"/>
    <w:qFormat/>
    <w:uiPriority w:val="0"/>
    <w:rPr>
      <w:rFonts w:ascii="Calibri" w:hAnsi="Calibri" w:cs="Arial"/>
      <w:sz w:val="18"/>
      <w:szCs w:val="18"/>
      <w:lang w:eastAsia="en-US" w:bidi="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7</Pages>
  <Words>2842</Words>
  <Characters>476</Characters>
  <Lines>3</Lines>
  <Paragraphs>6</Paragraphs>
  <TotalTime>13</TotalTime>
  <ScaleCrop>false</ScaleCrop>
  <LinksUpToDate>false</LinksUpToDate>
  <CharactersWithSpaces>3312</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2018-03-13T02:07:00Z</dcterms:created>
  <dc:creator>Administrator</dc:creator>
  <cp:lastModifiedBy>Administrator</cp:lastModifiedBy>
  <cp:lastPrinted>2019-05-08T03:20:00Z</cp:lastPrinted>
  <dcterms:modified xsi:type="dcterms:W3CDTF">2021-06-07T08:26:43Z</dcterms:modified>
  <cp:revision>194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1C78D42BF8C84074B44C0A3BDD4DCB02</vt:lpwstr>
  </property>
</Properties>
</file>