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96475"/>
      <w:bookmarkStart w:id="3" w:name="_Toc15377193"/>
      <w:bookmarkStart w:id="4" w:name="_Toc15377425"/>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96476"/>
      <w:bookmarkStart w:id="8" w:name="_Toc15377194"/>
      <w:bookmarkStart w:id="9" w:name="_Toc15378442"/>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社会保险事业管理局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6"/>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 </w:t>
      </w:r>
      <w:r>
        <w:rPr>
          <w:rFonts w:hint="eastAsia" w:hAnsiTheme="minorHAnsi"/>
          <w:b w:val="0"/>
          <w:bCs w:val="0"/>
          <w:sz w:val="24"/>
          <w:szCs w:val="24"/>
          <w:lang w:val="en-US" w:eastAsia="zh-CN"/>
        </w:rPr>
        <w:t>27</w:t>
      </w:r>
      <w:r>
        <w:rPr>
          <w:rFonts w:hint="eastAsia" w:hAnsiTheme="minorHAnsi"/>
          <w:b w:val="0"/>
          <w:bCs w:val="0"/>
          <w:sz w:val="24"/>
          <w:szCs w:val="24"/>
        </w:rPr>
        <w:t>日</w:t>
      </w:r>
    </w:p>
    <w:p>
      <w:pPr>
        <w:pStyle w:val="16"/>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_Toc79163851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9"/>
        <w:tabs>
          <w:tab w:val="right" w:leader="dot" w:pos="8296"/>
        </w:tabs>
        <w:rPr>
          <w:rFonts w:ascii="仿宋" w:hAnsi="仿宋" w:eastAsia="仿宋"/>
        </w:rPr>
      </w:pPr>
      <w:r>
        <w:rPr>
          <w:rFonts w:ascii="仿宋" w:hAnsi="仿宋" w:eastAsia="仿宋"/>
        </w:rPr>
        <w:t>一、基本职能及主要工作</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_Toc79163852 \h </w:instrText>
      </w:r>
      <w:r>
        <w:rPr>
          <w:rFonts w:ascii="仿宋" w:hAnsi="仿宋" w:eastAsia="仿宋"/>
        </w:rPr>
        <w:fldChar w:fldCharType="separate"/>
      </w:r>
      <w:r>
        <w:rPr>
          <w:rFonts w:ascii="仿宋" w:hAnsi="仿宋" w:eastAsia="仿宋"/>
        </w:rPr>
        <w:t>4</w:t>
      </w:r>
      <w:r>
        <w:rPr>
          <w:rFonts w:ascii="仿宋" w:hAnsi="仿宋" w:eastAsia="仿宋"/>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（一）主要职能。</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_Toc79163853 \h </w:instrText>
      </w:r>
      <w:r>
        <w:rPr>
          <w:rFonts w:ascii="仿宋" w:hAnsi="仿宋" w:eastAsia="仿宋"/>
          <w:i w:val="0"/>
          <w:iCs w:val="0"/>
          <w:smallCaps/>
        </w:rPr>
        <w:fldChar w:fldCharType="separate"/>
      </w:r>
      <w:r>
        <w:rPr>
          <w:rFonts w:ascii="仿宋" w:hAnsi="仿宋" w:eastAsia="仿宋"/>
          <w:i w:val="0"/>
          <w:iCs w:val="0"/>
          <w:smallCaps/>
        </w:rPr>
        <w:t>4</w:t>
      </w:r>
      <w:r>
        <w:rPr>
          <w:rFonts w:ascii="仿宋" w:hAnsi="仿宋" w:eastAsia="仿宋"/>
          <w:i w:val="0"/>
          <w:iCs w:val="0"/>
          <w:smallCaps/>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（二）2020年重点工作完成情况。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_Toc79163854 \h </w:instrText>
      </w:r>
      <w:r>
        <w:rPr>
          <w:rFonts w:ascii="仿宋" w:hAnsi="仿宋" w:eastAsia="仿宋"/>
          <w:i w:val="0"/>
          <w:iCs w:val="0"/>
          <w:smallCaps/>
        </w:rPr>
        <w:fldChar w:fldCharType="separate"/>
      </w:r>
      <w:r>
        <w:rPr>
          <w:rFonts w:ascii="仿宋" w:hAnsi="仿宋" w:eastAsia="仿宋"/>
          <w:i w:val="0"/>
          <w:iCs w:val="0"/>
          <w:smallCaps/>
        </w:rPr>
        <w:t>4</w:t>
      </w:r>
      <w:r>
        <w:rPr>
          <w:rFonts w:ascii="仿宋" w:hAnsi="仿宋" w:eastAsia="仿宋"/>
          <w:i w:val="0"/>
          <w:iCs w:val="0"/>
          <w:smallCaps/>
        </w:rPr>
        <w:fldChar w:fldCharType="end"/>
      </w:r>
    </w:p>
    <w:p>
      <w:pPr>
        <w:pStyle w:val="19"/>
        <w:tabs>
          <w:tab w:val="right" w:leader="dot" w:pos="8296"/>
        </w:tabs>
        <w:rPr>
          <w:rFonts w:ascii="仿宋" w:hAnsi="仿宋" w:eastAsia="仿宋"/>
        </w:rPr>
      </w:pPr>
      <w:r>
        <w:rPr>
          <w:rFonts w:ascii="仿宋" w:hAnsi="仿宋" w:eastAsia="仿宋"/>
        </w:rPr>
        <w:t>二、机构设置</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_Toc79163855 \h </w:instrText>
      </w:r>
      <w:r>
        <w:rPr>
          <w:rFonts w:ascii="仿宋" w:hAnsi="仿宋" w:eastAsia="仿宋"/>
        </w:rPr>
        <w:fldChar w:fldCharType="separate"/>
      </w:r>
      <w:r>
        <w:rPr>
          <w:rFonts w:ascii="仿宋" w:hAnsi="仿宋" w:eastAsia="仿宋"/>
        </w:rPr>
        <w:t>5</w:t>
      </w:r>
      <w:r>
        <w:rPr>
          <w:rFonts w:ascii="仿宋" w:hAnsi="仿宋" w:eastAsia="仿宋"/>
        </w:rPr>
        <w:fldChar w:fldCharType="end"/>
      </w:r>
    </w:p>
    <w:p>
      <w:pPr>
        <w:pStyle w:val="16"/>
        <w:tabs>
          <w:tab w:val="right" w:leader="dot" w:pos="8296"/>
        </w:tabs>
        <w:rPr>
          <w:rFonts w:ascii="仿宋" w:hAnsi="仿宋" w:eastAsia="仿宋"/>
          <w:b w:val="0"/>
          <w:bCs w:val="0"/>
          <w:caps w:val="0"/>
          <w:smallCaps/>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_Toc79163859 \h </w:instrText>
      </w:r>
      <w:r>
        <w:rPr>
          <w:rFonts w:ascii="仿宋" w:hAnsi="仿宋" w:eastAsia="仿宋"/>
          <w:b w:val="0"/>
          <w:bCs w:val="0"/>
          <w:caps w:val="0"/>
          <w:smallCaps/>
        </w:rPr>
        <w:fldChar w:fldCharType="separate"/>
      </w:r>
      <w:r>
        <w:rPr>
          <w:rFonts w:ascii="仿宋" w:hAnsi="仿宋" w:eastAsia="仿宋"/>
          <w:b w:val="0"/>
          <w:bCs w:val="0"/>
          <w:caps w:val="0"/>
          <w:smallCaps/>
        </w:rPr>
        <w:t>6</w:t>
      </w:r>
      <w:r>
        <w:rPr>
          <w:rFonts w:ascii="仿宋" w:hAnsi="仿宋" w:eastAsia="仿宋"/>
          <w:b w:val="0"/>
          <w:bCs w:val="0"/>
          <w:caps w:val="0"/>
          <w:smallCaps/>
        </w:rPr>
        <w:fldChar w:fldCharType="end"/>
      </w:r>
    </w:p>
    <w:p>
      <w:pPr>
        <w:pStyle w:val="19"/>
        <w:tabs>
          <w:tab w:val="left" w:pos="840"/>
          <w:tab w:val="right" w:leader="dot" w:pos="8296"/>
        </w:tabs>
        <w:rPr>
          <w:rFonts w:ascii="仿宋" w:hAnsi="仿宋" w:eastAsia="仿宋"/>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_Toc79163860 \h </w:instrText>
      </w:r>
      <w:r>
        <w:rPr>
          <w:rFonts w:ascii="仿宋" w:hAnsi="仿宋" w:eastAsia="仿宋"/>
        </w:rPr>
        <w:fldChar w:fldCharType="separate"/>
      </w:r>
      <w:r>
        <w:rPr>
          <w:rFonts w:ascii="仿宋" w:hAnsi="仿宋" w:eastAsia="仿宋"/>
        </w:rPr>
        <w:t>6</w:t>
      </w:r>
      <w:r>
        <w:rPr>
          <w:rFonts w:ascii="仿宋" w:hAnsi="仿宋" w:eastAsia="仿宋"/>
        </w:rPr>
        <w:fldChar w:fldCharType="end"/>
      </w:r>
    </w:p>
    <w:p>
      <w:pPr>
        <w:pStyle w:val="19"/>
        <w:tabs>
          <w:tab w:val="left" w:pos="840"/>
          <w:tab w:val="right" w:leader="dot" w:pos="8296"/>
        </w:tabs>
        <w:rPr>
          <w:rFonts w:ascii="仿宋" w:hAnsi="仿宋" w:eastAsia="仿宋"/>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_Toc79163861 \h </w:instrText>
      </w:r>
      <w:r>
        <w:rPr>
          <w:rFonts w:ascii="仿宋" w:hAnsi="仿宋" w:eastAsia="仿宋"/>
        </w:rPr>
        <w:fldChar w:fldCharType="separate"/>
      </w:r>
      <w:r>
        <w:rPr>
          <w:rFonts w:ascii="仿宋" w:hAnsi="仿宋" w:eastAsia="仿宋"/>
        </w:rPr>
        <w:t>6</w:t>
      </w:r>
      <w:r>
        <w:rPr>
          <w:rFonts w:ascii="仿宋" w:hAnsi="仿宋" w:eastAsia="仿宋"/>
        </w:rPr>
        <w:fldChar w:fldCharType="end"/>
      </w:r>
    </w:p>
    <w:p>
      <w:pPr>
        <w:pStyle w:val="19"/>
        <w:tabs>
          <w:tab w:val="left" w:pos="840"/>
          <w:tab w:val="right" w:leader="dot" w:pos="8296"/>
        </w:tabs>
        <w:rPr>
          <w:rFonts w:ascii="仿宋" w:hAnsi="仿宋" w:eastAsia="仿宋"/>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_Toc79163862 \h </w:instrText>
      </w:r>
      <w:r>
        <w:rPr>
          <w:rFonts w:ascii="仿宋" w:hAnsi="仿宋" w:eastAsia="仿宋"/>
        </w:rPr>
        <w:fldChar w:fldCharType="separate"/>
      </w:r>
      <w:r>
        <w:rPr>
          <w:rFonts w:ascii="仿宋" w:hAnsi="仿宋" w:eastAsia="仿宋"/>
        </w:rPr>
        <w:t>7</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四、财政拨款收入支出决算总体情况说明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_Toc79163863 \h </w:instrText>
      </w:r>
      <w:r>
        <w:rPr>
          <w:rFonts w:ascii="仿宋" w:hAnsi="仿宋" w:eastAsia="仿宋"/>
        </w:rPr>
        <w:fldChar w:fldCharType="separate"/>
      </w:r>
      <w:r>
        <w:rPr>
          <w:rFonts w:ascii="仿宋" w:hAnsi="仿宋" w:eastAsia="仿宋"/>
        </w:rPr>
        <w:t>7</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五、一般公共预算财政拨款支出决算情况说明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_Toc79163864 \h </w:instrText>
      </w:r>
      <w:r>
        <w:rPr>
          <w:rFonts w:ascii="仿宋" w:hAnsi="仿宋" w:eastAsia="仿宋"/>
        </w:rPr>
        <w:fldChar w:fldCharType="separate"/>
      </w:r>
      <w:r>
        <w:rPr>
          <w:rFonts w:ascii="仿宋" w:hAnsi="仿宋" w:eastAsia="仿宋"/>
        </w:rPr>
        <w:t>8</w:t>
      </w:r>
      <w:r>
        <w:rPr>
          <w:rFonts w:ascii="仿宋" w:hAnsi="仿宋" w:eastAsia="仿宋"/>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_Toc79163865 \h </w:instrText>
      </w:r>
      <w:r>
        <w:rPr>
          <w:rFonts w:ascii="仿宋" w:hAnsi="仿宋" w:eastAsia="仿宋"/>
          <w:i w:val="0"/>
          <w:iCs w:val="0"/>
          <w:smallCaps/>
        </w:rPr>
        <w:fldChar w:fldCharType="separate"/>
      </w:r>
      <w:r>
        <w:rPr>
          <w:rFonts w:ascii="仿宋" w:hAnsi="仿宋" w:eastAsia="仿宋"/>
          <w:i w:val="0"/>
          <w:iCs w:val="0"/>
          <w:smallCaps/>
        </w:rPr>
        <w:t>8</w:t>
      </w:r>
      <w:r>
        <w:rPr>
          <w:rFonts w:ascii="仿宋" w:hAnsi="仿宋" w:eastAsia="仿宋"/>
          <w:i w:val="0"/>
          <w:iCs w:val="0"/>
          <w:smallCaps/>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_Toc79163866 \h </w:instrText>
      </w:r>
      <w:r>
        <w:rPr>
          <w:rFonts w:ascii="仿宋" w:hAnsi="仿宋" w:eastAsia="仿宋"/>
          <w:i w:val="0"/>
          <w:iCs w:val="0"/>
          <w:smallCaps/>
        </w:rPr>
        <w:fldChar w:fldCharType="separate"/>
      </w:r>
      <w:r>
        <w:rPr>
          <w:rFonts w:ascii="仿宋" w:hAnsi="仿宋" w:eastAsia="仿宋"/>
          <w:i w:val="0"/>
          <w:iCs w:val="0"/>
          <w:smallCaps/>
        </w:rPr>
        <w:t>9</w:t>
      </w:r>
      <w:r>
        <w:rPr>
          <w:rFonts w:ascii="仿宋" w:hAnsi="仿宋" w:eastAsia="仿宋"/>
          <w:i w:val="0"/>
          <w:iCs w:val="0"/>
          <w:smallCaps/>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_Toc79163867 \h </w:instrText>
      </w:r>
      <w:r>
        <w:rPr>
          <w:rFonts w:ascii="仿宋" w:hAnsi="仿宋" w:eastAsia="仿宋"/>
          <w:i w:val="0"/>
          <w:iCs w:val="0"/>
          <w:smallCaps/>
        </w:rPr>
        <w:fldChar w:fldCharType="separate"/>
      </w:r>
      <w:r>
        <w:rPr>
          <w:rFonts w:ascii="仿宋" w:hAnsi="仿宋" w:eastAsia="仿宋"/>
          <w:i w:val="0"/>
          <w:iCs w:val="0"/>
          <w:smallCaps/>
        </w:rPr>
        <w:t>10</w:t>
      </w:r>
      <w:r>
        <w:rPr>
          <w:rFonts w:ascii="仿宋" w:hAnsi="仿宋" w:eastAsia="仿宋"/>
          <w:i w:val="0"/>
          <w:iCs w:val="0"/>
          <w:smallCaps/>
        </w:rPr>
        <w:fldChar w:fldCharType="end"/>
      </w:r>
    </w:p>
    <w:p>
      <w:pPr>
        <w:pStyle w:val="19"/>
        <w:tabs>
          <w:tab w:val="right" w:leader="dot" w:pos="8296"/>
        </w:tabs>
        <w:rPr>
          <w:rFonts w:ascii="仿宋" w:hAnsi="仿宋" w:eastAsia="仿宋"/>
        </w:rPr>
      </w:pPr>
      <w:r>
        <w:rPr>
          <w:rFonts w:ascii="仿宋" w:hAnsi="仿宋" w:eastAsia="仿宋"/>
        </w:rPr>
        <w:t>六、一般公共预算财政拨款基本支出决算情况说明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_Toc79163868 \h </w:instrText>
      </w:r>
      <w:r>
        <w:rPr>
          <w:rFonts w:ascii="仿宋" w:hAnsi="仿宋" w:eastAsia="仿宋"/>
        </w:rPr>
        <w:fldChar w:fldCharType="separate"/>
      </w:r>
      <w:r>
        <w:rPr>
          <w:rFonts w:ascii="仿宋" w:hAnsi="仿宋" w:eastAsia="仿宋"/>
        </w:rPr>
        <w:t>11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七、“三公”经费财政拨款支出决算情况说明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_Toc79163869 \h </w:instrText>
      </w:r>
      <w:r>
        <w:rPr>
          <w:rFonts w:ascii="仿宋" w:hAnsi="仿宋" w:eastAsia="仿宋"/>
        </w:rPr>
        <w:fldChar w:fldCharType="separate"/>
      </w:r>
      <w:r>
        <w:rPr>
          <w:rFonts w:ascii="仿宋" w:hAnsi="仿宋" w:eastAsia="仿宋"/>
        </w:rPr>
        <w:t>11</w:t>
      </w:r>
      <w:r>
        <w:rPr>
          <w:rFonts w:ascii="仿宋" w:hAnsi="仿宋" w:eastAsia="仿宋"/>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_Toc79163870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_Toc79163871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19"/>
        <w:tabs>
          <w:tab w:val="right" w:leader="dot" w:pos="8296"/>
        </w:tabs>
        <w:rPr>
          <w:rFonts w:ascii="仿宋" w:hAnsi="仿宋" w:eastAsia="仿宋"/>
        </w:rPr>
      </w:pPr>
      <w:r>
        <w:rPr>
          <w:rFonts w:ascii="仿宋" w:hAnsi="仿宋" w:eastAsia="仿宋"/>
        </w:rPr>
        <w:t>八、政府性基金预算支出决算情况说明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_Toc79163872 \h </w:instrText>
      </w:r>
      <w:r>
        <w:rPr>
          <w:rFonts w:ascii="仿宋" w:hAnsi="仿宋" w:eastAsia="仿宋"/>
        </w:rPr>
        <w:fldChar w:fldCharType="separate"/>
      </w:r>
      <w:r>
        <w:rPr>
          <w:rFonts w:ascii="仿宋" w:hAnsi="仿宋" w:eastAsia="仿宋"/>
        </w:rPr>
        <w:t>12</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九、 国有资本经营预算支出决算情况说明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_Toc79163873 \h </w:instrText>
      </w:r>
      <w:r>
        <w:rPr>
          <w:rFonts w:ascii="仿宋" w:hAnsi="仿宋" w:eastAsia="仿宋"/>
        </w:rPr>
        <w:fldChar w:fldCharType="separate"/>
      </w:r>
      <w:r>
        <w:rPr>
          <w:rFonts w:ascii="仿宋" w:hAnsi="仿宋" w:eastAsia="仿宋"/>
        </w:rPr>
        <w:t>12</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十、其他重要事项的情况说明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_Toc79163874 \h </w:instrText>
      </w:r>
      <w:r>
        <w:rPr>
          <w:rFonts w:ascii="仿宋" w:hAnsi="仿宋" w:eastAsia="仿宋"/>
        </w:rPr>
        <w:fldChar w:fldCharType="separate"/>
      </w:r>
      <w:r>
        <w:rPr>
          <w:rFonts w:ascii="仿宋" w:hAnsi="仿宋" w:eastAsia="仿宋"/>
        </w:rPr>
        <w:t>12</w:t>
      </w:r>
      <w:r>
        <w:rPr>
          <w:rFonts w:ascii="仿宋" w:hAnsi="仿宋" w:eastAsia="仿宋"/>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（一）机关运行经费支出情况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_Toc79163875 \h </w:instrText>
      </w:r>
      <w:r>
        <w:rPr>
          <w:rFonts w:ascii="仿宋" w:hAnsi="仿宋" w:eastAsia="仿宋"/>
          <w:i w:val="0"/>
          <w:iCs w:val="0"/>
          <w:smallCaps/>
        </w:rPr>
        <w:fldChar w:fldCharType="separate"/>
      </w:r>
      <w:r>
        <w:rPr>
          <w:rFonts w:ascii="仿宋" w:hAnsi="仿宋" w:eastAsia="仿宋"/>
          <w:i w:val="0"/>
          <w:iCs w:val="0"/>
          <w:smallCaps/>
        </w:rPr>
        <w:t>12</w:t>
      </w:r>
      <w:r>
        <w:rPr>
          <w:rFonts w:ascii="仿宋" w:hAnsi="仿宋" w:eastAsia="仿宋"/>
          <w:i w:val="0"/>
          <w:iCs w:val="0"/>
          <w:smallCaps/>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（二）政府采购支出情况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_Toc79163876 \h </w:instrText>
      </w:r>
      <w:r>
        <w:rPr>
          <w:rFonts w:ascii="仿宋" w:hAnsi="仿宋" w:eastAsia="仿宋"/>
          <w:i w:val="0"/>
          <w:iCs w:val="0"/>
          <w:smallCaps/>
        </w:rPr>
        <w:fldChar w:fldCharType="separate"/>
      </w:r>
      <w:r>
        <w:rPr>
          <w:rFonts w:ascii="仿宋" w:hAnsi="仿宋" w:eastAsia="仿宋"/>
          <w:i w:val="0"/>
          <w:iCs w:val="0"/>
          <w:smallCaps/>
        </w:rPr>
        <w:t>12</w:t>
      </w:r>
      <w:r>
        <w:rPr>
          <w:rFonts w:ascii="仿宋" w:hAnsi="仿宋" w:eastAsia="仿宋"/>
          <w:i w:val="0"/>
          <w:iCs w:val="0"/>
          <w:smallCaps/>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（三）国有资产占有使用情况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_Toc79163877 \h </w:instrText>
      </w:r>
      <w:r>
        <w:rPr>
          <w:rFonts w:ascii="仿宋" w:hAnsi="仿宋" w:eastAsia="仿宋"/>
          <w:i w:val="0"/>
          <w:iCs w:val="0"/>
          <w:smallCaps/>
        </w:rPr>
        <w:fldChar w:fldCharType="separate"/>
      </w:r>
      <w:r>
        <w:rPr>
          <w:rFonts w:ascii="仿宋" w:hAnsi="仿宋" w:eastAsia="仿宋"/>
          <w:i w:val="0"/>
          <w:iCs w:val="0"/>
          <w:smallCaps/>
        </w:rPr>
        <w:t>12</w:t>
      </w:r>
      <w:r>
        <w:rPr>
          <w:rFonts w:ascii="仿宋" w:hAnsi="仿宋" w:eastAsia="仿宋"/>
          <w:i w:val="0"/>
          <w:iCs w:val="0"/>
          <w:smallCaps/>
        </w:rPr>
        <w:fldChar w:fldCharType="end"/>
      </w:r>
    </w:p>
    <w:p>
      <w:pPr>
        <w:pStyle w:val="11"/>
        <w:tabs>
          <w:tab w:val="right" w:leader="dot" w:pos="8296"/>
        </w:tabs>
        <w:rPr>
          <w:rFonts w:ascii="仿宋" w:hAnsi="仿宋" w:eastAsia="仿宋"/>
          <w:i w:val="0"/>
          <w:iCs w:val="0"/>
          <w:smallCaps/>
        </w:rPr>
      </w:pPr>
      <w:r>
        <w:rPr>
          <w:rFonts w:ascii="仿宋" w:hAnsi="仿宋" w:eastAsia="仿宋"/>
          <w:i w:val="0"/>
          <w:iCs w:val="0"/>
          <w:smallCaps/>
        </w:rPr>
        <w:t>（四）预算绩效管理情况。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_Toc79163878 \h </w:instrText>
      </w:r>
      <w:r>
        <w:rPr>
          <w:rFonts w:ascii="仿宋" w:hAnsi="仿宋" w:eastAsia="仿宋"/>
          <w:i w:val="0"/>
          <w:iCs w:val="0"/>
          <w:smallCaps/>
        </w:rPr>
        <w:fldChar w:fldCharType="separate"/>
      </w:r>
      <w:r>
        <w:rPr>
          <w:rFonts w:ascii="仿宋" w:hAnsi="仿宋" w:eastAsia="仿宋"/>
          <w:i w:val="0"/>
          <w:iCs w:val="0"/>
          <w:smallCaps/>
        </w:rPr>
        <w:t>12</w:t>
      </w:r>
      <w:r>
        <w:rPr>
          <w:rFonts w:ascii="仿宋" w:hAnsi="仿宋" w:eastAsia="仿宋"/>
          <w:i w:val="0"/>
          <w:iCs w:val="0"/>
          <w:smallCaps/>
        </w:rPr>
        <w:fldChar w:fldCharType="end"/>
      </w:r>
    </w:p>
    <w:p>
      <w:pPr>
        <w:pStyle w:val="16"/>
        <w:tabs>
          <w:tab w:val="right" w:leader="dot" w:pos="8296"/>
        </w:tabs>
        <w:rPr>
          <w:rFonts w:ascii="仿宋" w:hAnsi="仿宋" w:eastAsia="仿宋"/>
          <w:b w:val="0"/>
          <w:bCs w:val="0"/>
          <w:caps w:val="0"/>
          <w:smallCaps/>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_Toc79163879 \h </w:instrText>
      </w:r>
      <w:r>
        <w:rPr>
          <w:rFonts w:ascii="仿宋" w:hAnsi="仿宋" w:eastAsia="仿宋"/>
          <w:b w:val="0"/>
          <w:bCs w:val="0"/>
          <w:caps w:val="0"/>
          <w:smallCaps/>
        </w:rPr>
        <w:fldChar w:fldCharType="separate"/>
      </w:r>
      <w:r>
        <w:rPr>
          <w:rFonts w:ascii="仿宋" w:hAnsi="仿宋" w:eastAsia="仿宋"/>
          <w:b w:val="0"/>
          <w:bCs w:val="0"/>
          <w:caps w:val="0"/>
          <w:smallCaps/>
        </w:rPr>
        <w:t>13</w:t>
      </w:r>
      <w:r>
        <w:rPr>
          <w:rFonts w:ascii="仿宋" w:hAnsi="仿宋" w:eastAsia="仿宋"/>
          <w:b w:val="0"/>
          <w:bCs w:val="0"/>
          <w:caps w:val="0"/>
          <w:smallCaps/>
        </w:rPr>
        <w:fldChar w:fldCharType="end"/>
      </w:r>
    </w:p>
    <w:p>
      <w:pPr>
        <w:pStyle w:val="16"/>
        <w:tabs>
          <w:tab w:val="right" w:leader="dot" w:pos="8296"/>
        </w:tabs>
        <w:rPr>
          <w:rFonts w:ascii="仿宋" w:hAnsi="仿宋" w:eastAsia="仿宋"/>
          <w:b w:val="0"/>
          <w:bCs w:val="0"/>
          <w:caps w:val="0"/>
          <w:smallCaps/>
        </w:rPr>
      </w:pPr>
      <w:r>
        <w:rPr>
          <w:rFonts w:ascii="仿宋" w:hAnsi="仿宋" w:eastAsia="仿宋"/>
          <w:b w:val="0"/>
          <w:bCs w:val="0"/>
          <w:caps w:val="0"/>
          <w:smallCaps/>
        </w:rPr>
        <w:t>第四部分 附件</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_Toc79163880 \h </w:instrText>
      </w:r>
      <w:r>
        <w:rPr>
          <w:rFonts w:ascii="仿宋" w:hAnsi="仿宋" w:eastAsia="仿宋"/>
          <w:b w:val="0"/>
          <w:bCs w:val="0"/>
          <w:caps w:val="0"/>
          <w:smallCaps/>
        </w:rPr>
        <w:fldChar w:fldCharType="separate"/>
      </w:r>
      <w:r>
        <w:rPr>
          <w:rFonts w:ascii="仿宋" w:hAnsi="仿宋" w:eastAsia="仿宋"/>
          <w:b w:val="0"/>
          <w:bCs w:val="0"/>
          <w:caps w:val="0"/>
          <w:smallCaps/>
        </w:rPr>
        <w:t>17</w:t>
      </w:r>
      <w:r>
        <w:rPr>
          <w:rFonts w:ascii="仿宋" w:hAnsi="仿宋" w:eastAsia="仿宋"/>
          <w:b w:val="0"/>
          <w:bCs w:val="0"/>
          <w:caps w:val="0"/>
          <w:smallCaps/>
        </w:rPr>
        <w:fldChar w:fldCharType="end"/>
      </w:r>
    </w:p>
    <w:p>
      <w:pPr>
        <w:pStyle w:val="16"/>
        <w:tabs>
          <w:tab w:val="right" w:leader="dot" w:pos="8296"/>
        </w:tabs>
        <w:rPr>
          <w:rFonts w:ascii="仿宋" w:hAnsi="仿宋" w:eastAsia="仿宋"/>
          <w:b w:val="0"/>
          <w:bCs w:val="0"/>
          <w:caps w:val="0"/>
          <w:smallCaps/>
        </w:rPr>
      </w:pPr>
      <w:r>
        <w:rPr>
          <w:rFonts w:ascii="仿宋" w:hAnsi="仿宋" w:eastAsia="仿宋"/>
          <w:b w:val="0"/>
          <w:bCs w:val="0"/>
          <w:caps w:val="0"/>
          <w:smallCaps/>
        </w:rPr>
        <w:t>附件1</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_Toc79163881 \h </w:instrText>
      </w:r>
      <w:r>
        <w:rPr>
          <w:rFonts w:ascii="仿宋" w:hAnsi="仿宋" w:eastAsia="仿宋"/>
          <w:b w:val="0"/>
          <w:bCs w:val="0"/>
          <w:caps w:val="0"/>
          <w:smallCaps/>
        </w:rPr>
        <w:fldChar w:fldCharType="separate"/>
      </w:r>
      <w:r>
        <w:rPr>
          <w:rFonts w:ascii="仿宋" w:hAnsi="仿宋" w:eastAsia="仿宋"/>
          <w:b w:val="0"/>
          <w:bCs w:val="0"/>
          <w:caps w:val="0"/>
          <w:smallCaps/>
        </w:rPr>
        <w:t>17</w:t>
      </w:r>
      <w:r>
        <w:rPr>
          <w:rFonts w:ascii="仿宋" w:hAnsi="仿宋" w:eastAsia="仿宋"/>
          <w:b w:val="0"/>
          <w:bCs w:val="0"/>
          <w:caps w:val="0"/>
          <w:smallCaps/>
        </w:rPr>
        <w:fldChar w:fldCharType="end"/>
      </w:r>
    </w:p>
    <w:p>
      <w:pPr>
        <w:pStyle w:val="16"/>
        <w:tabs>
          <w:tab w:val="right" w:leader="dot" w:pos="8296"/>
        </w:tabs>
        <w:rPr>
          <w:rFonts w:ascii="仿宋" w:hAnsi="仿宋" w:eastAsia="仿宋"/>
          <w:b w:val="0"/>
          <w:bCs w:val="0"/>
          <w:caps w:val="0"/>
          <w:smallCaps/>
        </w:rPr>
      </w:pPr>
      <w:r>
        <w:rPr>
          <w:rFonts w:hint="eastAsia" w:ascii="仿宋" w:hAnsi="仿宋" w:eastAsia="仿宋"/>
          <w:b w:val="0"/>
          <w:bCs w:val="0"/>
          <w:caps w:val="0"/>
          <w:smallCaps/>
          <w:lang w:val="en-US" w:eastAsia="zh-CN"/>
        </w:rPr>
        <w:t>茂县社保局</w:t>
      </w:r>
      <w:r>
        <w:rPr>
          <w:rFonts w:ascii="仿宋" w:hAnsi="仿宋" w:eastAsia="仿宋"/>
          <w:b w:val="0"/>
          <w:bCs w:val="0"/>
          <w:caps w:val="0"/>
          <w:smallCaps/>
        </w:rPr>
        <w:t>2020年部门整体支出绩效评价报告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_Toc79163882 \h </w:instrText>
      </w:r>
      <w:r>
        <w:rPr>
          <w:rFonts w:ascii="仿宋" w:hAnsi="仿宋" w:eastAsia="仿宋"/>
          <w:b w:val="0"/>
          <w:bCs w:val="0"/>
          <w:caps w:val="0"/>
          <w:smallCaps/>
        </w:rPr>
        <w:fldChar w:fldCharType="separate"/>
      </w:r>
      <w:r>
        <w:rPr>
          <w:rFonts w:ascii="仿宋" w:hAnsi="仿宋" w:eastAsia="仿宋"/>
          <w:b w:val="0"/>
          <w:bCs w:val="0"/>
          <w:caps w:val="0"/>
          <w:smallCaps/>
        </w:rPr>
        <w:t>17</w:t>
      </w:r>
      <w:r>
        <w:rPr>
          <w:rFonts w:ascii="仿宋" w:hAnsi="仿宋" w:eastAsia="仿宋"/>
          <w:b w:val="0"/>
          <w:bCs w:val="0"/>
          <w:caps w:val="0"/>
          <w:smallCaps/>
        </w:rPr>
        <w:fldChar w:fldCharType="end"/>
      </w:r>
    </w:p>
    <w:p>
      <w:pPr>
        <w:pStyle w:val="16"/>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第五部分 附表</w:t>
      </w:r>
      <w:r>
        <w:rPr>
          <w:rFonts w:ascii="仿宋" w:hAnsi="仿宋" w:eastAsia="仿宋"/>
          <w:b w:val="0"/>
          <w:bCs w:val="0"/>
          <w:caps w:val="0"/>
          <w:smallCaps/>
        </w:rPr>
        <w:tab/>
      </w:r>
      <w:r>
        <w:rPr>
          <w:rFonts w:hint="eastAsia" w:ascii="仿宋" w:hAnsi="仿宋" w:eastAsia="仿宋"/>
          <w:b w:val="0"/>
          <w:bCs w:val="0"/>
          <w:caps w:val="0"/>
          <w:smallCaps/>
          <w:lang w:val="en-US" w:eastAsia="zh-CN"/>
        </w:rPr>
        <w:t>17</w:t>
      </w:r>
    </w:p>
    <w:p>
      <w:pPr>
        <w:pStyle w:val="19"/>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二、收入决算表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_Toc79163887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三、支出决算表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_Toc79163888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四、财政拨款收入支出决算总表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_Toc79163889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五、财政拨款支出决算明细表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_Toc79163890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六、一般公共预算财政拨款支出决算表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_Toc79163891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七、一般公共预算财政拨款支出决算明细表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_Toc79163892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八、一般公共预算财政拨款基本支出决算表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_Toc79163893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九、一般公共预算财政拨款项目支出决算表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_Toc79163894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十、一般公共预算财政拨款“三公”经费支出决算表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_Toc79163895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十一、政府性基金预算财政拨款收入支出决算表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_Toc79163896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十二、政府性基金预算财政拨款“三公”经费支出决算表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_Toc79163897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十三、国有资本经营预算财政拨款支出决算表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_Toc79163898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pPr>
        <w:pStyle w:val="19"/>
        <w:tabs>
          <w:tab w:val="right" w:leader="dot" w:pos="8296"/>
        </w:tabs>
        <w:rPr>
          <w:rFonts w:ascii="仿宋" w:hAnsi="仿宋" w:eastAsia="仿宋"/>
        </w:rPr>
      </w:pPr>
      <w:r>
        <w:rPr>
          <w:rFonts w:ascii="仿宋" w:hAnsi="仿宋" w:eastAsia="仿宋"/>
        </w:rPr>
        <w:t>十四、国有资本经营预算财政拨款支出决算表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21</w:t>
      </w:r>
      <w:r>
        <w:rPr>
          <w:rFonts w:ascii="仿宋" w:hAnsi="仿宋" w:eastAsia="仿宋"/>
        </w:rPr>
        <w:fldChar w:fldCharType="end"/>
      </w:r>
    </w:p>
    <w:p>
      <w:r>
        <w:rPr>
          <w:rFonts w:ascii="仿宋" w:hAnsi="仿宋" w:eastAsia="仿宋"/>
          <w:small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25"/>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pStyle w:val="5"/>
        <w:pageBreakBefore w:val="0"/>
        <w:widowControl w:val="0"/>
        <w:numPr>
          <w:ilvl w:val="0"/>
          <w:numId w:val="1"/>
        </w:numPr>
        <w:kinsoku/>
        <w:wordWrap/>
        <w:overflowPunct/>
        <w:topLinePunct w:val="0"/>
        <w:autoSpaceDE/>
        <w:autoSpaceDN/>
        <w:bidi w:val="0"/>
        <w:adjustRightInd/>
        <w:snapToGrid/>
        <w:spacing w:before="0" w:after="0" w:line="240" w:lineRule="auto"/>
        <w:textAlignment w:val="auto"/>
        <w:rPr>
          <w:rFonts w:hint="eastAsia" w:ascii="仿宋" w:hAnsi="仿宋" w:eastAsia="仿宋" w:cs="仿宋"/>
          <w:bCs/>
          <w:color w:val="000000"/>
          <w:sz w:val="32"/>
          <w:szCs w:val="32"/>
        </w:rPr>
      </w:pPr>
      <w:bookmarkStart w:id="16" w:name="_Toc79163602"/>
      <w:bookmarkStart w:id="17" w:name="_Toc79163852"/>
      <w:bookmarkStart w:id="18" w:name="_Toc15377197"/>
      <w:bookmarkStart w:id="19" w:name="_Toc15396600"/>
      <w:r>
        <w:rPr>
          <w:rFonts w:hint="eastAsia" w:ascii="黑体" w:hAnsi="黑体" w:eastAsia="黑体"/>
          <w:b w:val="0"/>
          <w:color w:val="000000"/>
          <w:sz w:val="32"/>
          <w:szCs w:val="32"/>
        </w:rPr>
        <w:t>基</w:t>
      </w:r>
      <w:r>
        <w:rPr>
          <w:rStyle w:val="26"/>
          <w:rFonts w:hint="eastAsia" w:ascii="黑体" w:hAnsi="黑体" w:eastAsia="黑体"/>
          <w:b w:val="0"/>
          <w:bCs w:val="0"/>
          <w:sz w:val="32"/>
          <w:szCs w:val="32"/>
        </w:rPr>
        <w:t>本职能及主要工作</w:t>
      </w:r>
      <w:bookmarkEnd w:id="16"/>
      <w:bookmarkEnd w:id="17"/>
      <w:bookmarkEnd w:id="18"/>
      <w:bookmarkEnd w:id="19"/>
      <w:bookmarkStart w:id="20" w:name="_Toc15377198"/>
      <w:bookmarkStart w:id="21" w:name="_Toc79163603"/>
      <w:bookmarkStart w:id="22" w:name="_Toc15378445"/>
      <w:bookmarkStart w:id="23" w:name="_Toc79163853"/>
    </w:p>
    <w:p>
      <w:pPr>
        <w:pStyle w:val="5"/>
        <w:pageBreakBefore w:val="0"/>
        <w:widowControl w:val="0"/>
        <w:numPr>
          <w:ilvl w:val="0"/>
          <w:numId w:val="0"/>
        </w:numPr>
        <w:kinsoku/>
        <w:wordWrap/>
        <w:overflowPunct/>
        <w:topLinePunct w:val="0"/>
        <w:autoSpaceDE/>
        <w:autoSpaceDN/>
        <w:bidi w:val="0"/>
        <w:adjustRightInd/>
        <w:snapToGrid/>
        <w:spacing w:before="0" w:after="0" w:line="240" w:lineRule="auto"/>
        <w:ind w:firstLine="643" w:firstLineChars="200"/>
        <w:textAlignment w:val="auto"/>
        <w:rPr>
          <w:rFonts w:hint="eastAsia" w:ascii="仿宋" w:hAnsi="仿宋" w:eastAsia="仿宋" w:cs="仿宋"/>
          <w:bCs/>
          <w:color w:val="000000"/>
          <w:sz w:val="32"/>
          <w:szCs w:val="32"/>
        </w:rPr>
      </w:pPr>
      <w:r>
        <w:rPr>
          <w:rStyle w:val="26"/>
          <w:rFonts w:hint="eastAsia" w:ascii="仿宋" w:hAnsi="仿宋" w:eastAsia="仿宋" w:cs="仿宋"/>
          <w:b/>
          <w:bCs/>
          <w:sz w:val="32"/>
          <w:szCs w:val="32"/>
          <w:lang w:val="en-US" w:eastAsia="zh-CN"/>
        </w:rPr>
        <w:t>(一)</w:t>
      </w:r>
      <w:r>
        <w:rPr>
          <w:rFonts w:hint="eastAsia" w:ascii="仿宋" w:hAnsi="仿宋" w:eastAsia="仿宋" w:cs="仿宋"/>
          <w:bCs/>
          <w:color w:val="000000"/>
          <w:sz w:val="32"/>
          <w:szCs w:val="32"/>
        </w:rPr>
        <w:t>主要职能</w:t>
      </w:r>
      <w:bookmarkEnd w:id="20"/>
      <w:bookmarkEnd w:id="21"/>
      <w:bookmarkEnd w:id="22"/>
      <w:bookmarkEnd w:id="23"/>
    </w:p>
    <w:p>
      <w:pPr>
        <w:pStyle w:val="5"/>
        <w:pageBreakBefore w:val="0"/>
        <w:widowControl w:val="0"/>
        <w:numPr>
          <w:ilvl w:val="0"/>
          <w:numId w:val="0"/>
        </w:numPr>
        <w:kinsoku/>
        <w:wordWrap/>
        <w:overflowPunct/>
        <w:topLinePunct w:val="0"/>
        <w:autoSpaceDE/>
        <w:autoSpaceDN/>
        <w:bidi w:val="0"/>
        <w:adjustRightInd/>
        <w:snapToGrid/>
        <w:spacing w:before="0" w:after="0" w:line="240" w:lineRule="auto"/>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贯彻执行党和国家有关社会保险的路线、方针、政策和法律、法规;负责辖区内参保单位和个人养老、工伤、生育保险基金的征收、管理、审核、拨付工作;承办辖区参保单位社会保险登记、变更、注销。职工保险关系转移，灵活就业人员参保、续保工作;审核参保职工待遇享受条件、计算其待遇，按时足额发放社会保险金;负责参保单位和个人养老、工伤、生育保险的日常管理工作；负责社会保险数据、信息的处理和管理，参保个人帐户的建立和管理;为参保单位和个人、提供有关养老、工伤、生育保险的政策宣传咨询服务，受理群众来信来访;负责完成县委、县政府和上级部门交办的其它工作事项。</w:t>
      </w:r>
      <w:bookmarkStart w:id="24" w:name="_Toc79163854"/>
      <w:bookmarkStart w:id="25" w:name="_Toc79163604"/>
      <w:bookmarkStart w:id="26" w:name="_Toc15378446"/>
      <w:bookmarkStart w:id="27" w:name="_Toc15377199"/>
    </w:p>
    <w:p>
      <w:pPr>
        <w:pStyle w:val="5"/>
        <w:pageBreakBefore w:val="0"/>
        <w:widowControl w:val="0"/>
        <w:numPr>
          <w:ilvl w:val="0"/>
          <w:numId w:val="0"/>
        </w:numPr>
        <w:kinsoku/>
        <w:wordWrap/>
        <w:overflowPunct/>
        <w:topLinePunct w:val="0"/>
        <w:autoSpaceDE/>
        <w:autoSpaceDN/>
        <w:bidi w:val="0"/>
        <w:adjustRightInd/>
        <w:snapToGrid/>
        <w:spacing w:before="0" w:after="0" w:line="240" w:lineRule="auto"/>
        <w:ind w:firstLine="643" w:firstLineChars="200"/>
        <w:textAlignment w:val="auto"/>
        <w:rPr>
          <w:rFonts w:hint="eastAsia" w:ascii="仿宋" w:hAnsi="仿宋" w:eastAsia="仿宋" w:cs="仿宋"/>
          <w:bCs/>
          <w:color w:val="000000"/>
          <w:sz w:val="32"/>
          <w:szCs w:val="32"/>
        </w:rPr>
      </w:pPr>
      <w:r>
        <w:rPr>
          <w:rFonts w:hint="eastAsia" w:ascii="仿宋" w:hAnsi="仿宋" w:eastAsia="仿宋" w:cs="仿宋"/>
          <w:bCs/>
          <w:color w:val="000000"/>
          <w:sz w:val="32"/>
          <w:szCs w:val="32"/>
        </w:rPr>
        <w:t>（二）2020年重点工作完成情况</w:t>
      </w:r>
      <w:bookmarkEnd w:id="24"/>
      <w:bookmarkEnd w:id="25"/>
      <w:bookmarkEnd w:id="26"/>
      <w:bookmarkEnd w:id="27"/>
    </w:p>
    <w:p>
      <w:pPr>
        <w:pStyle w:val="6"/>
        <w:pageBreakBefore w:val="0"/>
        <w:widowControl w:val="0"/>
        <w:kinsoku/>
        <w:wordWrap/>
        <w:overflowPunct/>
        <w:topLinePunct w:val="0"/>
        <w:autoSpaceDE/>
        <w:autoSpaceDN/>
        <w:bidi w:val="0"/>
        <w:adjustRightInd/>
        <w:snapToGrid/>
        <w:spacing w:before="0" w:after="0" w:line="240" w:lineRule="auto"/>
        <w:ind w:firstLine="643" w:firstLineChars="200"/>
        <w:jc w:val="left"/>
        <w:textAlignment w:val="auto"/>
        <w:rPr>
          <w:rFonts w:hint="eastAsia" w:ascii="仿宋" w:hAnsi="仿宋" w:eastAsia="仿宋" w:cs="仿宋"/>
          <w:sz w:val="32"/>
          <w:szCs w:val="32"/>
        </w:rPr>
      </w:pPr>
      <w:r>
        <w:rPr>
          <w:rFonts w:hint="eastAsia" w:ascii="仿宋" w:hAnsi="仿宋" w:eastAsia="仿宋" w:cs="仿宋"/>
          <w:color w:val="000000"/>
          <w:sz w:val="32"/>
          <w:szCs w:val="32"/>
        </w:rPr>
        <w:t>1．社会保险扩面成效显著</w:t>
      </w:r>
    </w:p>
    <w:p>
      <w:pPr>
        <w:pageBreakBefore w:val="0"/>
        <w:widowControl w:val="0"/>
        <w:kinsoku/>
        <w:wordWrap/>
        <w:overflowPunct/>
        <w:topLinePunct w:val="0"/>
        <w:autoSpaceDE/>
        <w:autoSpaceDN/>
        <w:bidi w:val="0"/>
        <w:adjustRightInd/>
        <w:snapToGrid/>
        <w:spacing w:line="240" w:lineRule="auto"/>
        <w:ind w:firstLine="600"/>
        <w:textAlignment w:val="auto"/>
        <w:rPr>
          <w:rFonts w:hint="eastAsia" w:ascii="仿宋" w:hAnsi="仿宋" w:eastAsia="仿宋" w:cs="仿宋"/>
          <w:sz w:val="32"/>
          <w:szCs w:val="32"/>
        </w:rPr>
      </w:pPr>
      <w:r>
        <w:rPr>
          <w:rFonts w:hint="eastAsia" w:ascii="仿宋" w:hAnsi="仿宋" w:eastAsia="仿宋" w:cs="仿宋"/>
          <w:sz w:val="32"/>
          <w:szCs w:val="32"/>
        </w:rPr>
        <w:t>截止2020年12月，我县参加企业职工基本养老保险13352人，参加工伤保险10703人，参加机关养老保险4580人。</w:t>
      </w:r>
    </w:p>
    <w:p>
      <w:pPr>
        <w:pageBreakBefore w:val="0"/>
        <w:widowControl w:val="0"/>
        <w:kinsoku/>
        <w:wordWrap/>
        <w:overflowPunct/>
        <w:topLinePunct w:val="0"/>
        <w:autoSpaceDE/>
        <w:autoSpaceDN/>
        <w:bidi w:val="0"/>
        <w:adjustRightInd/>
        <w:snapToGrid/>
        <w:spacing w:line="240" w:lineRule="auto"/>
        <w:ind w:firstLine="640"/>
        <w:textAlignment w:val="auto"/>
        <w:rPr>
          <w:rFonts w:hint="eastAsia" w:ascii="仿宋" w:hAnsi="仿宋" w:eastAsia="仿宋" w:cs="仿宋"/>
          <w:color w:val="000000"/>
          <w:spacing w:val="10"/>
          <w:kern w:val="10"/>
          <w:sz w:val="32"/>
          <w:szCs w:val="32"/>
        </w:rPr>
      </w:pPr>
      <w:r>
        <w:rPr>
          <w:rFonts w:hint="eastAsia" w:ascii="仿宋" w:hAnsi="仿宋" w:eastAsia="仿宋" w:cs="仿宋"/>
          <w:b/>
          <w:color w:val="000000"/>
          <w:spacing w:val="10"/>
          <w:kern w:val="10"/>
          <w:sz w:val="32"/>
          <w:szCs w:val="32"/>
        </w:rPr>
        <w:t>2．基金征收稳步增长</w:t>
      </w:r>
    </w:p>
    <w:p>
      <w:pPr>
        <w:pageBreakBefore w:val="0"/>
        <w:widowControl w:val="0"/>
        <w:kinsoku/>
        <w:wordWrap/>
        <w:overflowPunct/>
        <w:topLinePunct w:val="0"/>
        <w:autoSpaceDE/>
        <w:autoSpaceDN/>
        <w:bidi w:val="0"/>
        <w:adjustRightInd/>
        <w:snapToGrid/>
        <w:spacing w:line="240" w:lineRule="auto"/>
        <w:ind w:firstLine="600"/>
        <w:textAlignment w:val="auto"/>
        <w:rPr>
          <w:rFonts w:hint="eastAsia" w:ascii="仿宋" w:hAnsi="仿宋" w:eastAsia="仿宋" w:cs="仿宋"/>
          <w:sz w:val="32"/>
          <w:szCs w:val="32"/>
        </w:rPr>
      </w:pPr>
      <w:r>
        <w:rPr>
          <w:rFonts w:hint="eastAsia" w:ascii="仿宋" w:hAnsi="仿宋" w:eastAsia="仿宋" w:cs="仿宋"/>
          <w:color w:val="000000"/>
          <w:sz w:val="32"/>
          <w:szCs w:val="32"/>
        </w:rPr>
        <w:t>截止2020年12月，</w:t>
      </w:r>
      <w:r>
        <w:rPr>
          <w:rFonts w:hint="eastAsia" w:ascii="仿宋" w:hAnsi="仿宋" w:eastAsia="仿宋" w:cs="仿宋"/>
          <w:sz w:val="32"/>
          <w:szCs w:val="32"/>
        </w:rPr>
        <w:t>征收城镇职工基本养老保险基金7773万元，工伤保险基金321万元，机关养老保险基金8703万元，职业年金4343万元。</w:t>
      </w:r>
    </w:p>
    <w:p>
      <w:pPr>
        <w:pageBreakBefore w:val="0"/>
        <w:widowControl w:val="0"/>
        <w:kinsoku/>
        <w:wordWrap/>
        <w:overflowPunct/>
        <w:topLinePunct w:val="0"/>
        <w:autoSpaceDE/>
        <w:autoSpaceDN/>
        <w:bidi w:val="0"/>
        <w:adjustRightInd/>
        <w:snapToGrid/>
        <w:spacing w:line="240" w:lineRule="auto"/>
        <w:ind w:firstLine="642"/>
        <w:textAlignment w:val="auto"/>
        <w:rPr>
          <w:rFonts w:hint="eastAsia" w:ascii="仿宋" w:hAnsi="仿宋" w:eastAsia="仿宋" w:cs="仿宋"/>
          <w:b/>
          <w:color w:val="000000"/>
          <w:spacing w:val="10"/>
          <w:kern w:val="10"/>
          <w:sz w:val="32"/>
          <w:szCs w:val="32"/>
        </w:rPr>
      </w:pPr>
      <w:r>
        <w:rPr>
          <w:rFonts w:hint="eastAsia" w:ascii="仿宋" w:hAnsi="仿宋" w:eastAsia="仿宋" w:cs="仿宋"/>
          <w:b/>
          <w:color w:val="000000"/>
          <w:spacing w:val="10"/>
          <w:kern w:val="10"/>
          <w:sz w:val="32"/>
          <w:szCs w:val="32"/>
        </w:rPr>
        <w:t>3．社保待遇全面落实</w:t>
      </w:r>
    </w:p>
    <w:p>
      <w:pPr>
        <w:pageBreakBefore w:val="0"/>
        <w:widowControl w:val="0"/>
        <w:kinsoku/>
        <w:wordWrap/>
        <w:overflowPunct/>
        <w:topLinePunct w:val="0"/>
        <w:autoSpaceDE/>
        <w:autoSpaceDN/>
        <w:bidi w:val="0"/>
        <w:adjustRightInd/>
        <w:snapToGrid/>
        <w:spacing w:line="240" w:lineRule="auto"/>
        <w:ind w:firstLine="600"/>
        <w:textAlignment w:val="auto"/>
        <w:rPr>
          <w:rFonts w:hint="eastAsia" w:ascii="仿宋" w:hAnsi="仿宋" w:eastAsia="仿宋" w:cs="仿宋"/>
          <w:sz w:val="32"/>
          <w:szCs w:val="32"/>
        </w:rPr>
      </w:pPr>
      <w:r>
        <w:rPr>
          <w:rFonts w:hint="eastAsia" w:ascii="仿宋" w:hAnsi="仿宋" w:eastAsia="仿宋" w:cs="仿宋"/>
          <w:sz w:val="32"/>
          <w:szCs w:val="32"/>
        </w:rPr>
        <w:t>截止2020年12月，按</w:t>
      </w:r>
      <w:r>
        <w:rPr>
          <w:rFonts w:hint="eastAsia" w:ascii="仿宋" w:hAnsi="仿宋" w:eastAsia="仿宋" w:cs="仿宋"/>
          <w:sz w:val="32"/>
          <w:szCs w:val="32"/>
          <w:lang w:val="en-US" w:eastAsia="zh-CN"/>
        </w:rPr>
        <w:t>时</w:t>
      </w:r>
      <w:r>
        <w:rPr>
          <w:rFonts w:hint="eastAsia" w:ascii="仿宋" w:hAnsi="仿宋" w:eastAsia="仿宋" w:cs="仿宋"/>
          <w:sz w:val="32"/>
          <w:szCs w:val="32"/>
        </w:rPr>
        <w:t>发放城镇职工基本养老金11593万元，丧葬抚恤补助318万，机关事业单位养老金10753万元，支付工伤保险金368万元。完成2014年至2017年退休“中人”待遇兑现工作；共有53家中标单位建筑施工企业依法参加工伤保险。</w:t>
      </w:r>
    </w:p>
    <w:p>
      <w:pPr>
        <w:pStyle w:val="5"/>
        <w:pageBreakBefore w:val="0"/>
        <w:widowControl w:val="0"/>
        <w:kinsoku/>
        <w:wordWrap/>
        <w:overflowPunct/>
        <w:topLinePunct w:val="0"/>
        <w:autoSpaceDE/>
        <w:autoSpaceDN/>
        <w:bidi w:val="0"/>
        <w:adjustRightInd/>
        <w:snapToGrid/>
        <w:spacing w:before="0" w:after="0" w:line="240" w:lineRule="auto"/>
        <w:textAlignment w:val="auto"/>
        <w:rPr>
          <w:rStyle w:val="26"/>
          <w:b w:val="0"/>
          <w:bCs w:val="0"/>
          <w:sz w:val="32"/>
          <w:szCs w:val="32"/>
        </w:rPr>
      </w:pPr>
      <w:bookmarkStart w:id="28" w:name="_Toc79163855"/>
      <w:bookmarkStart w:id="29" w:name="_Toc15377200"/>
      <w:bookmarkStart w:id="30" w:name="_Toc15396601"/>
      <w:bookmarkStart w:id="31" w:name="_Toc79163605"/>
      <w:r>
        <w:rPr>
          <w:rFonts w:hint="eastAsia" w:ascii="黑体" w:eastAsia="黑体"/>
          <w:b w:val="0"/>
          <w:color w:val="000000"/>
          <w:sz w:val="32"/>
          <w:szCs w:val="32"/>
        </w:rPr>
        <w:t>二、</w:t>
      </w:r>
      <w:r>
        <w:rPr>
          <w:rFonts w:hint="eastAsia" w:ascii="黑体" w:hAnsi="黑体" w:eastAsia="黑体"/>
          <w:b w:val="0"/>
          <w:color w:val="000000"/>
          <w:sz w:val="32"/>
          <w:szCs w:val="32"/>
        </w:rPr>
        <w:t>机</w:t>
      </w:r>
      <w:r>
        <w:rPr>
          <w:rStyle w:val="26"/>
          <w:rFonts w:hint="eastAsia" w:ascii="黑体" w:hAnsi="黑体" w:eastAsia="黑体"/>
          <w:b w:val="0"/>
          <w:bCs w:val="0"/>
          <w:sz w:val="32"/>
          <w:szCs w:val="32"/>
        </w:rPr>
        <w:t>构设置</w:t>
      </w:r>
      <w:bookmarkEnd w:id="28"/>
      <w:bookmarkEnd w:id="29"/>
      <w:bookmarkEnd w:id="30"/>
      <w:bookmarkEnd w:id="31"/>
    </w:p>
    <w:p>
      <w:pPr>
        <w:pageBreakBefore w:val="0"/>
        <w:widowControl w:val="0"/>
        <w:kinsoku/>
        <w:wordWrap/>
        <w:overflowPunct/>
        <w:topLinePunct w:val="0"/>
        <w:autoSpaceDE/>
        <w:autoSpaceDN/>
        <w:bidi w:val="0"/>
        <w:adjustRightInd/>
        <w:snapToGrid/>
        <w:spacing w:line="240" w:lineRule="auto"/>
        <w:ind w:firstLine="800" w:firstLineChars="250"/>
        <w:textAlignment w:val="auto"/>
        <w:rPr>
          <w:rFonts w:hint="eastAsia" w:ascii="仿宋" w:hAnsi="仿宋" w:eastAsia="仿宋" w:cs="仿宋"/>
          <w:sz w:val="32"/>
          <w:szCs w:val="32"/>
          <w:lang w:eastAsia="zh-CN"/>
        </w:rPr>
      </w:pPr>
      <w:r>
        <w:rPr>
          <w:rFonts w:hint="eastAsia" w:ascii="仿宋" w:hAnsi="仿宋" w:eastAsia="仿宋" w:cs="仿宋"/>
          <w:sz w:val="32"/>
          <w:szCs w:val="32"/>
        </w:rPr>
        <w:t>茂县社会保险事业管理局</w:t>
      </w:r>
      <w:r>
        <w:rPr>
          <w:rFonts w:hint="eastAsia" w:ascii="仿宋" w:hAnsi="仿宋" w:eastAsia="仿宋"/>
          <w:color w:val="auto"/>
          <w:sz w:val="32"/>
          <w:szCs w:val="32"/>
        </w:rPr>
        <w:t>是参照公务员</w:t>
      </w:r>
      <w:r>
        <w:rPr>
          <w:rFonts w:hint="eastAsia" w:ascii="仿宋" w:hAnsi="仿宋" w:eastAsia="仿宋"/>
          <w:color w:val="auto"/>
          <w:sz w:val="32"/>
          <w:szCs w:val="32"/>
          <w:lang w:val="en-US" w:eastAsia="zh-CN"/>
        </w:rPr>
        <w:t>法</w:t>
      </w:r>
      <w:r>
        <w:rPr>
          <w:rFonts w:hint="eastAsia" w:ascii="仿宋" w:hAnsi="仿宋" w:eastAsia="仿宋"/>
          <w:color w:val="auto"/>
          <w:sz w:val="32"/>
          <w:szCs w:val="32"/>
        </w:rPr>
        <w:t>管理的事业单位</w:t>
      </w:r>
      <w:r>
        <w:rPr>
          <w:rFonts w:hint="eastAsia" w:ascii="仿宋" w:hAnsi="仿宋" w:eastAsia="仿宋" w:cs="仿宋"/>
          <w:sz w:val="32"/>
          <w:szCs w:val="32"/>
          <w:lang w:eastAsia="zh-CN"/>
        </w:rPr>
        <w:t>，</w:t>
      </w:r>
      <w:r>
        <w:rPr>
          <w:rFonts w:hint="eastAsia" w:ascii="仿宋" w:hAnsi="仿宋" w:eastAsia="仿宋" w:cs="仿宋"/>
          <w:sz w:val="32"/>
          <w:szCs w:val="32"/>
        </w:rPr>
        <w:t>属一级预算单位，下属二级预算单位0个。</w:t>
      </w:r>
    </w:p>
    <w:p>
      <w:pPr>
        <w:widowControl/>
        <w:jc w:val="left"/>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14"/>
        <w:rPr>
          <w:rFonts w:ascii="仿宋" w:hAnsi="仿宋" w:eastAsia="仿宋"/>
          <w:color w:val="000000"/>
          <w:kern w:val="0"/>
          <w:sz w:val="32"/>
          <w:szCs w:val="32"/>
        </w:rPr>
      </w:pPr>
    </w:p>
    <w:p>
      <w:pPr>
        <w:pStyle w:val="4"/>
        <w:ind w:right="440"/>
        <w:jc w:val="center"/>
        <w:rPr>
          <w:rStyle w:val="25"/>
          <w:rFonts w:ascii="黑体" w:hAnsi="黑体" w:eastAsia="黑体"/>
          <w:b w:val="0"/>
          <w:bCs w:val="0"/>
          <w:sz w:val="32"/>
          <w:szCs w:val="32"/>
        </w:rPr>
      </w:pPr>
      <w:bookmarkStart w:id="32" w:name="_Toc15377204"/>
      <w:bookmarkStart w:id="33" w:name="_Toc79163859"/>
      <w:bookmarkStart w:id="34" w:name="_Toc15396602"/>
      <w:bookmarkStart w:id="35" w:name="_Toc79163609"/>
      <w:r>
        <w:rPr>
          <w:rFonts w:hint="eastAsia" w:ascii="黑体" w:hAnsi="黑体" w:eastAsia="黑体"/>
          <w:b w:val="0"/>
          <w:color w:val="000000"/>
          <w:sz w:val="32"/>
          <w:szCs w:val="32"/>
        </w:rPr>
        <w:t>第二部分</w:t>
      </w:r>
      <w:r>
        <w:rPr>
          <w:rFonts w:ascii="黑体" w:hAnsi="黑体" w:eastAsia="黑体"/>
          <w:color w:val="000000"/>
          <w:sz w:val="32"/>
          <w:szCs w:val="32"/>
        </w:rPr>
        <w:t xml:space="preserve"> </w:t>
      </w:r>
      <w:r>
        <w:rPr>
          <w:rStyle w:val="25"/>
          <w:rFonts w:ascii="黑体" w:hAnsi="黑体" w:eastAsia="黑体"/>
          <w:b w:val="0"/>
          <w:bCs w:val="0"/>
          <w:sz w:val="32"/>
          <w:szCs w:val="32"/>
        </w:rPr>
        <w:t>2020</w:t>
      </w:r>
      <w:r>
        <w:rPr>
          <w:rStyle w:val="25"/>
          <w:rFonts w:hint="eastAsia" w:ascii="黑体" w:hAnsi="黑体" w:eastAsia="黑体"/>
          <w:b w:val="0"/>
          <w:bCs w:val="0"/>
          <w:sz w:val="32"/>
          <w:szCs w:val="32"/>
        </w:rPr>
        <w:t>年度部门决算情况说明</w:t>
      </w:r>
      <w:bookmarkEnd w:id="32"/>
      <w:bookmarkEnd w:id="33"/>
      <w:bookmarkEnd w:id="34"/>
      <w:bookmarkEnd w:id="35"/>
    </w:p>
    <w:p>
      <w:pPr>
        <w:pStyle w:val="36"/>
        <w:numPr>
          <w:ilvl w:val="0"/>
          <w:numId w:val="2"/>
        </w:numPr>
        <w:spacing w:line="600" w:lineRule="exact"/>
        <w:ind w:firstLineChars="0"/>
        <w:outlineLvl w:val="1"/>
        <w:rPr>
          <w:rStyle w:val="26"/>
          <w:rFonts w:ascii="黑体" w:hAnsi="黑体" w:eastAsia="黑体"/>
          <w:b w:val="0"/>
          <w:sz w:val="32"/>
          <w:szCs w:val="32"/>
        </w:rPr>
      </w:pPr>
      <w:bookmarkStart w:id="36" w:name="_Toc15377205"/>
      <w:bookmarkStart w:id="37" w:name="_Toc79163860"/>
      <w:bookmarkStart w:id="38" w:name="_Toc79163610"/>
      <w:bookmarkStart w:id="39" w:name="_Toc15396603"/>
      <w:r>
        <w:rPr>
          <w:rFonts w:hint="eastAsia" w:ascii="黑体" w:hAnsi="黑体" w:eastAsia="黑体"/>
          <w:color w:val="000000"/>
          <w:sz w:val="32"/>
          <w:szCs w:val="32"/>
        </w:rPr>
        <w:t>收</w:t>
      </w:r>
      <w:r>
        <w:rPr>
          <w:rStyle w:val="26"/>
          <w:rFonts w:hint="eastAsia" w:ascii="黑体" w:hAnsi="黑体" w:eastAsia="黑体"/>
          <w:b w:val="0"/>
          <w:sz w:val="32"/>
          <w:szCs w:val="32"/>
        </w:rPr>
        <w:t>入支出决算总体情况说明</w:t>
      </w:r>
      <w:bookmarkEnd w:id="36"/>
      <w:bookmarkEnd w:id="37"/>
      <w:bookmarkEnd w:id="38"/>
      <w:bookmarkEnd w:id="39"/>
    </w:p>
    <w:p>
      <w:pPr>
        <w:snapToGrid w:val="0"/>
        <w:spacing w:line="576"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2020年度收、支总计</w:t>
      </w:r>
      <w:r>
        <w:rPr>
          <w:rFonts w:hint="eastAsia" w:ascii="仿宋" w:hAnsi="仿宋" w:eastAsia="仿宋" w:cs="仿宋"/>
          <w:color w:val="000000"/>
          <w:sz w:val="32"/>
          <w:szCs w:val="32"/>
          <w:lang w:val="en-US" w:eastAsia="zh-CN"/>
        </w:rPr>
        <w:t>408.10</w:t>
      </w:r>
      <w:r>
        <w:rPr>
          <w:rFonts w:hint="eastAsia" w:ascii="仿宋" w:hAnsi="仿宋" w:eastAsia="仿宋" w:cs="仿宋"/>
          <w:color w:val="000000"/>
          <w:sz w:val="32"/>
          <w:szCs w:val="32"/>
        </w:rPr>
        <w:t>万元。与2019年相比，收、支总计各增加</w:t>
      </w:r>
      <w:r>
        <w:rPr>
          <w:rFonts w:hint="eastAsia" w:ascii="仿宋" w:hAnsi="仿宋" w:eastAsia="仿宋" w:cs="仿宋"/>
          <w:color w:val="000000"/>
          <w:sz w:val="32"/>
          <w:szCs w:val="32"/>
          <w:lang w:val="en-US" w:eastAsia="zh-CN"/>
        </w:rPr>
        <w:t>12.46</w:t>
      </w:r>
      <w:r>
        <w:rPr>
          <w:rFonts w:hint="eastAsia" w:ascii="仿宋" w:hAnsi="仿宋" w:eastAsia="仿宋" w:cs="仿宋"/>
          <w:color w:val="000000"/>
          <w:sz w:val="32"/>
          <w:szCs w:val="32"/>
        </w:rPr>
        <w:t>万元，增长</w:t>
      </w:r>
      <w:r>
        <w:rPr>
          <w:rFonts w:hint="eastAsia" w:ascii="仿宋" w:hAnsi="仿宋" w:eastAsia="仿宋" w:cs="仿宋"/>
          <w:color w:val="000000"/>
          <w:sz w:val="32"/>
          <w:szCs w:val="32"/>
          <w:lang w:val="en-US" w:eastAsia="zh-CN"/>
        </w:rPr>
        <w:t>3.15</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w:t>
      </w:r>
      <w:r>
        <w:rPr>
          <w:rFonts w:hint="eastAsia" w:ascii="仿宋" w:hAnsi="仿宋" w:eastAsia="仿宋" w:cs="仿宋"/>
          <w:sz w:val="32"/>
          <w:szCs w:val="32"/>
        </w:rPr>
        <w:t>去年财政应返还额度在今年支出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其次是</w:t>
      </w:r>
      <w:r>
        <w:rPr>
          <w:rFonts w:hint="eastAsia" w:ascii="仿宋" w:hAnsi="仿宋" w:eastAsia="仿宋" w:cs="仿宋"/>
          <w:sz w:val="32"/>
          <w:szCs w:val="32"/>
        </w:rPr>
        <w:t>单位职工工资标准上调，</w:t>
      </w:r>
      <w:r>
        <w:rPr>
          <w:rFonts w:hint="eastAsia" w:ascii="仿宋" w:hAnsi="仿宋" w:eastAsia="仿宋" w:cs="仿宋"/>
          <w:sz w:val="32"/>
          <w:szCs w:val="32"/>
          <w:lang w:val="en-US" w:eastAsia="zh-CN"/>
        </w:rPr>
        <w:t>导致收入支出增加</w:t>
      </w:r>
      <w:r>
        <w:rPr>
          <w:rFonts w:hint="eastAsia" w:ascii="仿宋" w:hAnsi="仿宋" w:eastAsia="仿宋" w:cs="仿宋"/>
          <w:sz w:val="32"/>
          <w:szCs w:val="32"/>
        </w:rPr>
        <w:t>。</w:t>
      </w:r>
    </w:p>
    <w:p>
      <w:pPr>
        <w:pStyle w:val="14"/>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379720" cy="3578860"/>
            <wp:effectExtent l="4445" t="4445" r="10795" b="1333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6"/>
        <w:numPr>
          <w:ilvl w:val="0"/>
          <w:numId w:val="2"/>
        </w:numPr>
        <w:spacing w:line="600" w:lineRule="exact"/>
        <w:ind w:firstLineChars="0"/>
        <w:outlineLvl w:val="1"/>
        <w:rPr>
          <w:rStyle w:val="26"/>
          <w:rFonts w:ascii="黑体" w:hAnsi="黑体" w:eastAsia="黑体"/>
          <w:b w:val="0"/>
          <w:sz w:val="32"/>
          <w:szCs w:val="32"/>
        </w:rPr>
      </w:pPr>
      <w:bookmarkStart w:id="40" w:name="_Toc15377206"/>
      <w:bookmarkStart w:id="41" w:name="_Toc15396604"/>
      <w:bookmarkStart w:id="42" w:name="_Toc79163861"/>
      <w:bookmarkStart w:id="43" w:name="_Toc79163611"/>
      <w:r>
        <w:rPr>
          <w:rFonts w:hint="eastAsia" w:ascii="黑体" w:hAnsi="黑体" w:eastAsia="黑体"/>
          <w:color w:val="000000"/>
          <w:sz w:val="32"/>
          <w:szCs w:val="32"/>
        </w:rPr>
        <w:t>收</w:t>
      </w:r>
      <w:r>
        <w:rPr>
          <w:rStyle w:val="26"/>
          <w:rFonts w:hint="eastAsia" w:ascii="黑体" w:hAnsi="黑体" w:eastAsia="黑体"/>
          <w:b w:val="0"/>
          <w:sz w:val="32"/>
          <w:szCs w:val="32"/>
        </w:rPr>
        <w:t>入决算情况说明</w:t>
      </w:r>
      <w:bookmarkEnd w:id="40"/>
      <w:bookmarkEnd w:id="41"/>
      <w:bookmarkEnd w:id="42"/>
      <w:bookmarkEnd w:id="43"/>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2020年本年收入合计</w:t>
      </w:r>
      <w:r>
        <w:rPr>
          <w:rFonts w:hint="eastAsia" w:ascii="仿宋" w:hAnsi="仿宋" w:eastAsia="仿宋" w:cs="仿宋"/>
          <w:color w:val="000000"/>
          <w:sz w:val="32"/>
          <w:szCs w:val="32"/>
          <w:lang w:val="en-US" w:eastAsia="zh-CN"/>
        </w:rPr>
        <w:t>365.74</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val="en-US" w:eastAsia="zh-CN"/>
        </w:rPr>
        <w:t>365.74</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w:t>
      </w:r>
      <w:r>
        <w:rPr>
          <w:rFonts w:hint="eastAsia" w:ascii="仿宋" w:hAnsi="仿宋" w:eastAsia="仿宋"/>
          <w:color w:val="000000"/>
          <w:sz w:val="32"/>
          <w:szCs w:val="32"/>
        </w:rPr>
        <w:t>；政府性基金预算财政拨款收入0万元；</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万元；事业收入0万元；经营收入0万元；附属单位上缴收入0万元；其他收入0万元。</w:t>
      </w:r>
    </w:p>
    <w:p>
      <w:pPr>
        <w:pStyle w:val="14"/>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982210" cy="2610485"/>
            <wp:effectExtent l="4445" t="4445" r="12065"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2240" w:firstLineChars="7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6"/>
        <w:numPr>
          <w:ilvl w:val="0"/>
          <w:numId w:val="2"/>
        </w:numPr>
        <w:spacing w:line="600" w:lineRule="exact"/>
        <w:ind w:firstLineChars="0"/>
        <w:outlineLvl w:val="1"/>
        <w:rPr>
          <w:rStyle w:val="26"/>
          <w:rFonts w:ascii="黑体" w:hAnsi="黑体" w:eastAsia="黑体"/>
          <w:b w:val="0"/>
          <w:sz w:val="32"/>
          <w:szCs w:val="32"/>
        </w:rPr>
      </w:pPr>
      <w:bookmarkStart w:id="44" w:name="_Toc79163612"/>
      <w:bookmarkStart w:id="45" w:name="_Toc15396605"/>
      <w:bookmarkStart w:id="46" w:name="_Toc15377207"/>
      <w:bookmarkStart w:id="47" w:name="_Toc79163862"/>
      <w:r>
        <w:rPr>
          <w:rFonts w:hint="eastAsia" w:ascii="黑体" w:hAnsi="黑体" w:eastAsia="黑体"/>
          <w:color w:val="000000"/>
          <w:sz w:val="32"/>
          <w:szCs w:val="32"/>
        </w:rPr>
        <w:t>支</w:t>
      </w:r>
      <w:r>
        <w:rPr>
          <w:rStyle w:val="26"/>
          <w:rFonts w:hint="eastAsia" w:ascii="黑体" w:hAnsi="黑体" w:eastAsia="黑体"/>
          <w:b w:val="0"/>
          <w:sz w:val="32"/>
          <w:szCs w:val="32"/>
        </w:rPr>
        <w:t>出决算情况说明</w:t>
      </w:r>
      <w:bookmarkEnd w:id="44"/>
      <w:bookmarkEnd w:id="45"/>
      <w:bookmarkEnd w:id="46"/>
      <w:bookmarkEnd w:id="47"/>
    </w:p>
    <w:p>
      <w:pPr>
        <w:spacing w:line="600" w:lineRule="exact"/>
        <w:ind w:firstLine="640" w:firstLineChars="200"/>
        <w:outlineLvl w:val="1"/>
        <w:rPr>
          <w:rFonts w:ascii="仿宋" w:hAnsi="仿宋" w:eastAsia="仿宋"/>
          <w:color w:val="000000"/>
          <w:sz w:val="32"/>
          <w:szCs w:val="32"/>
        </w:rPr>
      </w:pPr>
      <w:r>
        <w:rPr>
          <w:rFonts w:hint="eastAsia" w:ascii="仿宋" w:hAnsi="仿宋" w:eastAsia="仿宋" w:cs="仿宋"/>
          <w:sz w:val="32"/>
          <w:szCs w:val="32"/>
        </w:rPr>
        <w:t>2020年本年支出合计</w:t>
      </w:r>
      <w:r>
        <w:rPr>
          <w:rFonts w:hint="eastAsia" w:ascii="仿宋" w:hAnsi="仿宋" w:eastAsia="仿宋" w:cs="仿宋"/>
          <w:sz w:val="32"/>
          <w:szCs w:val="32"/>
          <w:lang w:val="en-US" w:eastAsia="zh-CN"/>
        </w:rPr>
        <w:t>408.10</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349.83</w:t>
      </w:r>
      <w:r>
        <w:rPr>
          <w:rFonts w:hint="eastAsia" w:ascii="仿宋" w:hAnsi="仿宋" w:eastAsia="仿宋" w:cs="仿宋"/>
          <w:sz w:val="32"/>
          <w:szCs w:val="32"/>
        </w:rPr>
        <w:t>万元，占</w:t>
      </w:r>
      <w:r>
        <w:rPr>
          <w:rFonts w:hint="eastAsia" w:ascii="仿宋" w:hAnsi="仿宋" w:eastAsia="仿宋" w:cs="仿宋"/>
          <w:sz w:val="32"/>
          <w:szCs w:val="32"/>
          <w:lang w:val="en-US" w:eastAsia="zh-CN"/>
        </w:rPr>
        <w:t>85.72</w:t>
      </w:r>
      <w:r>
        <w:rPr>
          <w:rFonts w:hint="eastAsia" w:ascii="仿宋" w:hAnsi="仿宋" w:eastAsia="仿宋" w:cs="仿宋"/>
          <w:sz w:val="32"/>
          <w:szCs w:val="32"/>
        </w:rPr>
        <w:t>%；项目支出</w:t>
      </w:r>
      <w:r>
        <w:rPr>
          <w:rFonts w:hint="eastAsia" w:ascii="仿宋" w:hAnsi="仿宋" w:eastAsia="仿宋" w:cs="仿宋"/>
          <w:sz w:val="32"/>
          <w:szCs w:val="32"/>
          <w:lang w:val="en-US" w:eastAsia="zh-CN"/>
        </w:rPr>
        <w:t>58.27</w:t>
      </w:r>
      <w:r>
        <w:rPr>
          <w:rFonts w:hint="eastAsia" w:ascii="仿宋" w:hAnsi="仿宋" w:eastAsia="仿宋" w:cs="仿宋"/>
          <w:sz w:val="32"/>
          <w:szCs w:val="32"/>
        </w:rPr>
        <w:t>万元，占</w:t>
      </w:r>
      <w:r>
        <w:rPr>
          <w:rFonts w:hint="eastAsia" w:ascii="仿宋" w:hAnsi="仿宋" w:eastAsia="仿宋" w:cs="仿宋"/>
          <w:sz w:val="32"/>
          <w:szCs w:val="32"/>
          <w:lang w:val="en-US" w:eastAsia="zh-CN"/>
        </w:rPr>
        <w:t>14.28</w:t>
      </w:r>
      <w:r>
        <w:rPr>
          <w:rFonts w:hint="eastAsia" w:ascii="仿宋" w:hAnsi="仿宋" w:eastAsia="仿宋" w:cs="仿宋"/>
          <w:sz w:val="32"/>
          <w:szCs w:val="32"/>
        </w:rPr>
        <w:t>%</w:t>
      </w:r>
      <w:r>
        <w:rPr>
          <w:rFonts w:hint="eastAsia" w:ascii="仿宋" w:hAnsi="仿宋" w:eastAsia="仿宋"/>
          <w:color w:val="000000"/>
          <w:sz w:val="32"/>
          <w:szCs w:val="32"/>
        </w:rPr>
        <w:t>；上缴上级支出0万元；经营支出0万元；对附属单位补助支出0万元。</w:t>
      </w:r>
    </w:p>
    <w:p>
      <w:pPr>
        <w:pStyle w:val="14"/>
        <w:rPr>
          <w:rFonts w:hint="eastAsia" w:ascii="仿宋" w:hAnsi="仿宋" w:eastAsia="仿宋"/>
          <w:color w:val="000000"/>
          <w:sz w:val="32"/>
          <w:szCs w:val="32"/>
          <w:shd w:val="pct10" w:color="auto" w:fill="FFFFFF"/>
          <w:lang w:eastAsia="zh-CN"/>
        </w:rPr>
      </w:pPr>
      <w:r>
        <w:rPr>
          <w:rFonts w:hint="eastAsia" w:ascii="仿宋" w:hAnsi="仿宋" w:eastAsia="仿宋"/>
          <w:color w:val="000000"/>
          <w:sz w:val="32"/>
          <w:szCs w:val="32"/>
          <w:shd w:val="pct10" w:color="auto" w:fill="FFFFFF"/>
          <w:lang w:eastAsia="zh-CN"/>
        </w:rPr>
        <w:drawing>
          <wp:inline distT="0" distB="0" distL="114300" distR="114300">
            <wp:extent cx="5090160" cy="2717800"/>
            <wp:effectExtent l="4445" t="4445" r="10795" b="571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2240" w:firstLineChars="7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6"/>
          <w:rFonts w:ascii="黑体" w:hAnsi="黑体" w:eastAsia="黑体"/>
          <w:b w:val="0"/>
          <w:sz w:val="32"/>
          <w:szCs w:val="32"/>
        </w:rPr>
      </w:pPr>
      <w:bookmarkStart w:id="48" w:name="_Toc79163863"/>
      <w:bookmarkStart w:id="49" w:name="_Toc15377208"/>
      <w:bookmarkStart w:id="50" w:name="_Toc79163613"/>
      <w:bookmarkStart w:id="51" w:name="_Toc15396606"/>
      <w:r>
        <w:rPr>
          <w:rFonts w:hint="eastAsia" w:ascii="黑体" w:hAnsi="黑体" w:eastAsia="黑体"/>
          <w:color w:val="000000"/>
          <w:sz w:val="32"/>
          <w:szCs w:val="32"/>
        </w:rPr>
        <w:t>四、财</w:t>
      </w:r>
      <w:r>
        <w:rPr>
          <w:rStyle w:val="26"/>
          <w:rFonts w:hint="eastAsia" w:ascii="黑体" w:hAnsi="黑体" w:eastAsia="黑体"/>
          <w:b w:val="0"/>
          <w:sz w:val="32"/>
          <w:szCs w:val="32"/>
        </w:rPr>
        <w:t>政拨款收入支出决算总体情况说明</w:t>
      </w:r>
      <w:bookmarkEnd w:id="48"/>
      <w:bookmarkEnd w:id="49"/>
      <w:bookmarkEnd w:id="50"/>
      <w:bookmarkEnd w:id="51"/>
    </w:p>
    <w:p>
      <w:pPr>
        <w:snapToGrid w:val="0"/>
        <w:spacing w:line="576"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2020年财政拨款收、支总计</w:t>
      </w:r>
      <w:r>
        <w:rPr>
          <w:rFonts w:hint="eastAsia" w:ascii="仿宋" w:hAnsi="仿宋" w:eastAsia="仿宋" w:cs="仿宋"/>
          <w:color w:val="000000"/>
          <w:sz w:val="32"/>
          <w:szCs w:val="32"/>
          <w:lang w:val="en-US" w:eastAsia="zh-CN"/>
        </w:rPr>
        <w:t>408.10</w:t>
      </w:r>
      <w:r>
        <w:rPr>
          <w:rFonts w:hint="eastAsia" w:ascii="仿宋" w:hAnsi="仿宋" w:eastAsia="仿宋" w:cs="仿宋"/>
          <w:color w:val="000000"/>
          <w:sz w:val="32"/>
          <w:szCs w:val="32"/>
        </w:rPr>
        <w:t>万元。与2019年相比，财政拨款收</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支总计各增加</w:t>
      </w:r>
      <w:r>
        <w:rPr>
          <w:rFonts w:hint="eastAsia" w:ascii="仿宋" w:hAnsi="仿宋" w:eastAsia="仿宋" w:cs="仿宋"/>
          <w:color w:val="000000"/>
          <w:sz w:val="32"/>
          <w:szCs w:val="32"/>
          <w:lang w:val="en-US" w:eastAsia="zh-CN"/>
        </w:rPr>
        <w:t>12.46</w:t>
      </w:r>
      <w:r>
        <w:rPr>
          <w:rFonts w:hint="eastAsia" w:ascii="仿宋" w:hAnsi="仿宋" w:eastAsia="仿宋" w:cs="仿宋"/>
          <w:color w:val="000000"/>
          <w:sz w:val="32"/>
          <w:szCs w:val="32"/>
        </w:rPr>
        <w:t>万元，增长</w:t>
      </w:r>
      <w:r>
        <w:rPr>
          <w:rFonts w:hint="eastAsia" w:ascii="仿宋" w:hAnsi="仿宋" w:eastAsia="仿宋" w:cs="仿宋"/>
          <w:color w:val="000000"/>
          <w:sz w:val="32"/>
          <w:szCs w:val="32"/>
          <w:lang w:val="en-US" w:eastAsia="zh-CN"/>
        </w:rPr>
        <w:t>3.15</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w:t>
      </w:r>
      <w:r>
        <w:rPr>
          <w:rFonts w:hint="eastAsia" w:ascii="仿宋" w:hAnsi="仿宋" w:eastAsia="仿宋" w:cs="仿宋"/>
          <w:sz w:val="32"/>
          <w:szCs w:val="32"/>
        </w:rPr>
        <w:t>去年财政应返还额度在今年支出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其次是</w:t>
      </w:r>
      <w:r>
        <w:rPr>
          <w:rFonts w:hint="eastAsia" w:ascii="仿宋" w:hAnsi="仿宋" w:eastAsia="仿宋" w:cs="仿宋"/>
          <w:sz w:val="32"/>
          <w:szCs w:val="32"/>
        </w:rPr>
        <w:t>单位职工工资标准上调，</w:t>
      </w:r>
      <w:r>
        <w:rPr>
          <w:rFonts w:hint="eastAsia" w:ascii="仿宋" w:hAnsi="仿宋" w:eastAsia="仿宋" w:cs="仿宋"/>
          <w:sz w:val="32"/>
          <w:szCs w:val="32"/>
          <w:lang w:val="en-US" w:eastAsia="zh-CN"/>
        </w:rPr>
        <w:t>导致收入支出增加</w:t>
      </w:r>
      <w:r>
        <w:rPr>
          <w:rFonts w:hint="eastAsia" w:ascii="仿宋" w:hAnsi="仿宋" w:eastAsia="仿宋" w:cs="仿宋"/>
          <w:sz w:val="32"/>
          <w:szCs w:val="32"/>
        </w:rPr>
        <w:t>。</w:t>
      </w:r>
    </w:p>
    <w:p>
      <w:pPr>
        <w:pStyle w:val="14"/>
        <w:rPr>
          <w:rFonts w:hint="eastAsia"/>
        </w:rPr>
      </w:pPr>
    </w:p>
    <w:p>
      <w:pPr>
        <w:pStyle w:val="14"/>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755640" cy="4624705"/>
            <wp:effectExtent l="4445" t="4445" r="15875"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6"/>
          <w:rFonts w:ascii="黑体" w:hAnsi="黑体" w:eastAsia="黑体"/>
          <w:b w:val="0"/>
          <w:sz w:val="32"/>
          <w:szCs w:val="32"/>
        </w:rPr>
      </w:pPr>
      <w:bookmarkStart w:id="52" w:name="_Toc79163614"/>
      <w:bookmarkStart w:id="53" w:name="_Toc79163864"/>
      <w:bookmarkStart w:id="54" w:name="_Toc15377209"/>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sz w:val="32"/>
          <w:szCs w:val="32"/>
        </w:rPr>
        <w:t>般公共预算财政拨款支出决算情况说明</w:t>
      </w:r>
      <w:bookmarkEnd w:id="52"/>
      <w:bookmarkEnd w:id="53"/>
      <w:bookmarkEnd w:id="54"/>
      <w:bookmarkEnd w:id="55"/>
    </w:p>
    <w:p>
      <w:pPr>
        <w:spacing w:line="600" w:lineRule="exact"/>
        <w:ind w:firstLine="643" w:firstLineChars="200"/>
        <w:outlineLvl w:val="2"/>
        <w:rPr>
          <w:rFonts w:hint="eastAsia" w:ascii="仿宋" w:hAnsi="仿宋" w:eastAsia="仿宋" w:cs="仿宋"/>
          <w:b/>
          <w:color w:val="000000"/>
          <w:sz w:val="32"/>
          <w:szCs w:val="32"/>
        </w:rPr>
      </w:pPr>
      <w:bookmarkStart w:id="56" w:name="_Toc79163865"/>
      <w:bookmarkStart w:id="57" w:name="_Toc79163615"/>
      <w:bookmarkStart w:id="58" w:name="_Toc15377210"/>
      <w:r>
        <w:rPr>
          <w:rFonts w:hint="eastAsia" w:ascii="仿宋" w:hAnsi="仿宋" w:eastAsia="仿宋" w:cs="仿宋"/>
          <w:b/>
          <w:color w:val="000000"/>
          <w:sz w:val="32"/>
          <w:szCs w:val="32"/>
        </w:rPr>
        <w:t>（一）一般公共预算财政拨款支出决算总体情况</w:t>
      </w:r>
      <w:bookmarkEnd w:id="56"/>
      <w:bookmarkEnd w:id="57"/>
      <w:bookmarkEnd w:id="58"/>
    </w:p>
    <w:p>
      <w:pPr>
        <w:snapToGrid w:val="0"/>
        <w:spacing w:line="576"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2020年一般公共预算财政拨款支出</w:t>
      </w:r>
      <w:r>
        <w:rPr>
          <w:rFonts w:hint="eastAsia" w:ascii="仿宋" w:hAnsi="仿宋" w:eastAsia="仿宋" w:cs="仿宋"/>
          <w:color w:val="000000"/>
          <w:sz w:val="32"/>
          <w:szCs w:val="32"/>
          <w:lang w:val="en-US" w:eastAsia="zh-CN"/>
        </w:rPr>
        <w:t>408.10</w:t>
      </w:r>
      <w:r>
        <w:rPr>
          <w:rFonts w:hint="eastAsia" w:ascii="仿宋" w:hAnsi="仿宋" w:eastAsia="仿宋" w:cs="仿宋"/>
          <w:color w:val="000000"/>
          <w:sz w:val="32"/>
          <w:szCs w:val="32"/>
        </w:rPr>
        <w:t>万元，占本年支出合计的</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%。与2019年相比，一般公共预算财政拨款增加</w:t>
      </w:r>
      <w:r>
        <w:rPr>
          <w:rFonts w:hint="eastAsia" w:ascii="仿宋" w:hAnsi="仿宋" w:eastAsia="仿宋" w:cs="仿宋"/>
          <w:color w:val="000000"/>
          <w:sz w:val="32"/>
          <w:szCs w:val="32"/>
          <w:lang w:val="en-US" w:eastAsia="zh-CN"/>
        </w:rPr>
        <w:t>12.46</w:t>
      </w:r>
      <w:r>
        <w:rPr>
          <w:rFonts w:hint="eastAsia" w:ascii="仿宋" w:hAnsi="仿宋" w:eastAsia="仿宋" w:cs="仿宋"/>
          <w:color w:val="000000"/>
          <w:sz w:val="32"/>
          <w:szCs w:val="32"/>
        </w:rPr>
        <w:t>万元，增长</w:t>
      </w:r>
      <w:r>
        <w:rPr>
          <w:rFonts w:hint="eastAsia" w:ascii="仿宋" w:hAnsi="仿宋" w:eastAsia="仿宋" w:cs="仿宋"/>
          <w:color w:val="000000"/>
          <w:sz w:val="32"/>
          <w:szCs w:val="32"/>
          <w:lang w:val="en-US" w:eastAsia="zh-CN"/>
        </w:rPr>
        <w:t>3.15</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w:t>
      </w:r>
      <w:r>
        <w:rPr>
          <w:rFonts w:hint="eastAsia" w:ascii="仿宋" w:hAnsi="仿宋" w:eastAsia="仿宋" w:cs="仿宋"/>
          <w:sz w:val="32"/>
          <w:szCs w:val="32"/>
        </w:rPr>
        <w:t>去年财政应返还额度在今年支出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其次是</w:t>
      </w:r>
      <w:r>
        <w:rPr>
          <w:rFonts w:hint="eastAsia" w:ascii="仿宋" w:hAnsi="仿宋" w:eastAsia="仿宋" w:cs="仿宋"/>
          <w:sz w:val="32"/>
          <w:szCs w:val="32"/>
        </w:rPr>
        <w:t>单位职工工资标准上调，</w:t>
      </w:r>
      <w:r>
        <w:rPr>
          <w:rFonts w:hint="eastAsia" w:ascii="仿宋" w:hAnsi="仿宋" w:eastAsia="仿宋" w:cs="仿宋"/>
          <w:sz w:val="32"/>
          <w:szCs w:val="32"/>
          <w:lang w:val="en-US" w:eastAsia="zh-CN"/>
        </w:rPr>
        <w:t>导致收入支出增加</w:t>
      </w:r>
      <w:r>
        <w:rPr>
          <w:rFonts w:hint="eastAsia" w:ascii="仿宋" w:hAnsi="仿宋" w:eastAsia="仿宋" w:cs="仿宋"/>
          <w:sz w:val="32"/>
          <w:szCs w:val="32"/>
        </w:rPr>
        <w:t>。</w:t>
      </w:r>
    </w:p>
    <w:p>
      <w:pPr>
        <w:pStyle w:val="14"/>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172710" cy="2767965"/>
            <wp:effectExtent l="4445" t="4445" r="19685" b="1651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59" w:name="_Toc79163616"/>
      <w:bookmarkStart w:id="60" w:name="_Toc7916386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2020年一般公共预算财政拨款支出</w:t>
      </w:r>
      <w:r>
        <w:rPr>
          <w:rFonts w:hint="eastAsia" w:ascii="仿宋" w:hAnsi="仿宋" w:eastAsia="仿宋" w:cs="仿宋"/>
          <w:color w:val="000000"/>
          <w:sz w:val="32"/>
          <w:szCs w:val="32"/>
          <w:lang w:val="en-US" w:eastAsia="zh-CN"/>
        </w:rPr>
        <w:t>408.10</w:t>
      </w:r>
      <w:r>
        <w:rPr>
          <w:rFonts w:hint="eastAsia" w:ascii="仿宋" w:hAnsi="仿宋" w:eastAsia="仿宋" w:cs="仿宋"/>
          <w:color w:val="000000"/>
          <w:sz w:val="32"/>
          <w:szCs w:val="32"/>
        </w:rPr>
        <w:t>万元，主要用于以下方面</w:t>
      </w:r>
      <w:r>
        <w:rPr>
          <w:rFonts w:hint="eastAsia" w:ascii="仿宋" w:hAnsi="仿宋" w:eastAsia="仿宋" w:cs="仿宋"/>
          <w:color w:val="000000" w:themeColor="text1"/>
          <w:sz w:val="32"/>
          <w:szCs w:val="32"/>
          <w14:textFill>
            <w14:solidFill>
              <w14:schemeClr w14:val="tx1"/>
            </w14:solidFill>
          </w14:textFill>
        </w:rPr>
        <w:t>:社会保障和就业支出</w:t>
      </w:r>
      <w:r>
        <w:rPr>
          <w:rFonts w:hint="eastAsia" w:ascii="仿宋" w:hAnsi="仿宋" w:eastAsia="仿宋" w:cs="仿宋"/>
          <w:color w:val="000000" w:themeColor="text1"/>
          <w:sz w:val="32"/>
          <w:szCs w:val="32"/>
          <w:lang w:val="en-US" w:eastAsia="zh-CN"/>
          <w14:textFill>
            <w14:solidFill>
              <w14:schemeClr w14:val="tx1"/>
            </w14:solidFill>
          </w14:textFill>
        </w:rPr>
        <w:t>367.12</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89.96</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卫生健康</w:t>
      </w:r>
      <w:r>
        <w:rPr>
          <w:rFonts w:hint="eastAsia" w:ascii="仿宋" w:hAnsi="仿宋" w:eastAsia="仿宋" w:cs="仿宋"/>
          <w:b w:val="0"/>
          <w:bCs w:val="0"/>
          <w:color w:val="000000" w:themeColor="text1"/>
          <w:sz w:val="32"/>
          <w:szCs w:val="32"/>
          <w14:textFill>
            <w14:solidFill>
              <w14:schemeClr w14:val="tx1"/>
            </w14:solidFill>
          </w14:textFill>
        </w:rPr>
        <w:t>支出</w:t>
      </w:r>
      <w:r>
        <w:rPr>
          <w:rFonts w:hint="eastAsia" w:ascii="仿宋" w:hAnsi="仿宋" w:eastAsia="仿宋" w:cs="仿宋"/>
          <w:color w:val="000000" w:themeColor="text1"/>
          <w:sz w:val="32"/>
          <w:szCs w:val="32"/>
          <w:lang w:val="en-US" w:eastAsia="zh-CN"/>
          <w14:textFill>
            <w14:solidFill>
              <w14:schemeClr w14:val="tx1"/>
            </w14:solidFill>
          </w14:textFill>
        </w:rPr>
        <w:t>16.99</w:t>
      </w:r>
      <w:r>
        <w:rPr>
          <w:rFonts w:hint="eastAsia" w:ascii="仿宋" w:hAnsi="仿宋" w:eastAsia="仿宋" w:cs="仿宋"/>
          <w:color w:val="000000" w:themeColor="text1"/>
          <w:sz w:val="32"/>
          <w:szCs w:val="32"/>
          <w14:textFill>
            <w14:solidFill>
              <w14:schemeClr w14:val="tx1"/>
            </w14:solidFill>
          </w14:textFill>
        </w:rPr>
        <w:t>万元，占4.</w:t>
      </w:r>
      <w:r>
        <w:rPr>
          <w:rFonts w:hint="eastAsia" w:ascii="仿宋" w:hAnsi="仿宋" w:eastAsia="仿宋" w:cs="仿宋"/>
          <w:color w:val="000000" w:themeColor="text1"/>
          <w:sz w:val="32"/>
          <w:szCs w:val="32"/>
          <w:lang w:val="en-US" w:eastAsia="zh-CN"/>
          <w14:textFill>
            <w14:solidFill>
              <w14:schemeClr w14:val="tx1"/>
            </w14:solidFill>
          </w14:textFill>
        </w:rPr>
        <w:t>16</w:t>
      </w:r>
      <w:r>
        <w:rPr>
          <w:rFonts w:hint="eastAsia" w:ascii="仿宋" w:hAnsi="仿宋" w:eastAsia="仿宋" w:cs="仿宋"/>
          <w:color w:val="000000" w:themeColor="text1"/>
          <w:sz w:val="32"/>
          <w:szCs w:val="32"/>
          <w14:textFill>
            <w14:solidFill>
              <w14:schemeClr w14:val="tx1"/>
            </w14:solidFill>
          </w14:textFill>
        </w:rPr>
        <w:t>%；住房保障支出</w:t>
      </w:r>
      <w:r>
        <w:rPr>
          <w:rFonts w:hint="eastAsia" w:ascii="仿宋" w:hAnsi="仿宋" w:eastAsia="仿宋" w:cs="仿宋"/>
          <w:color w:val="000000" w:themeColor="text1"/>
          <w:sz w:val="32"/>
          <w:szCs w:val="32"/>
          <w:lang w:val="en-US" w:eastAsia="zh-CN"/>
          <w14:textFill>
            <w14:solidFill>
              <w14:schemeClr w14:val="tx1"/>
            </w14:solidFill>
          </w14:textFill>
        </w:rPr>
        <w:t>23.99</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5.88</w:t>
      </w:r>
      <w:r>
        <w:rPr>
          <w:rFonts w:hint="eastAsia" w:ascii="仿宋" w:hAnsi="仿宋" w:eastAsia="仿宋" w:cs="仿宋"/>
          <w:color w:val="000000" w:themeColor="text1"/>
          <w:sz w:val="32"/>
          <w:szCs w:val="32"/>
          <w14:textFill>
            <w14:solidFill>
              <w14:schemeClr w14:val="tx1"/>
            </w14:solidFill>
          </w14:textFill>
        </w:rPr>
        <w:t>%。</w:t>
      </w:r>
    </w:p>
    <w:p>
      <w:pPr>
        <w:pStyle w:val="14"/>
        <w:rPr>
          <w:rFonts w:ascii="仿宋" w:hAnsi="仿宋" w:eastAsia="仿宋"/>
          <w:color w:val="000000"/>
          <w:sz w:val="32"/>
          <w:szCs w:val="32"/>
        </w:rPr>
      </w:pPr>
      <w:r>
        <w:rPr>
          <w:rFonts w:hint="eastAsia" w:ascii="仿宋" w:hAnsi="仿宋" w:eastAsia="仿宋"/>
          <w:color w:val="000000"/>
          <w:sz w:val="32"/>
          <w:szCs w:val="32"/>
        </w:rPr>
        <w:drawing>
          <wp:inline distT="0" distB="0" distL="0" distR="0">
            <wp:extent cx="5202555" cy="3255645"/>
            <wp:effectExtent l="4445" t="4445" r="5080" b="16510"/>
            <wp:docPr id="1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62" w:name="_Toc79163617"/>
      <w:bookmarkStart w:id="63" w:name="_Toc7916386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8460"/>
      <w:bookmarkStart w:id="67" w:name="_Toc15377213"/>
      <w:r>
        <w:rPr>
          <w:rFonts w:hint="eastAsia" w:ascii="仿宋" w:hAnsi="仿宋" w:eastAsia="仿宋" w:cs="仿宋"/>
          <w:b/>
          <w:bCs/>
          <w:sz w:val="32"/>
          <w:szCs w:val="32"/>
        </w:rPr>
        <w:t>2020年一般公共预算支出决算数为</w:t>
      </w:r>
      <w:r>
        <w:rPr>
          <w:rFonts w:hint="eastAsia" w:ascii="仿宋" w:hAnsi="仿宋" w:eastAsia="仿宋" w:cs="仿宋"/>
          <w:b/>
          <w:bCs/>
          <w:sz w:val="32"/>
          <w:szCs w:val="32"/>
          <w:lang w:val="en-US" w:eastAsia="zh-CN"/>
        </w:rPr>
        <w:t>408.10</w:t>
      </w:r>
      <w:r>
        <w:rPr>
          <w:rFonts w:hint="eastAsia" w:ascii="仿宋" w:hAnsi="仿宋" w:eastAsia="仿宋" w:cs="仿宋"/>
          <w:b/>
          <w:bCs/>
          <w:sz w:val="32"/>
          <w:szCs w:val="32"/>
        </w:rPr>
        <w:t>，完成预算</w:t>
      </w:r>
      <w:r>
        <w:rPr>
          <w:rFonts w:hint="eastAsia" w:ascii="仿宋" w:hAnsi="仿宋" w:eastAsia="仿宋" w:cs="仿宋"/>
          <w:b/>
          <w:bCs/>
          <w:sz w:val="32"/>
          <w:szCs w:val="32"/>
          <w:lang w:val="en-US" w:eastAsia="zh-CN"/>
        </w:rPr>
        <w:t>100</w:t>
      </w:r>
      <w:r>
        <w:rPr>
          <w:rFonts w:hint="eastAsia" w:ascii="仿宋" w:hAnsi="仿宋" w:eastAsia="仿宋" w:cs="仿宋"/>
          <w:b/>
          <w:bCs/>
          <w:sz w:val="32"/>
          <w:szCs w:val="32"/>
        </w:rPr>
        <w:t>%。其中：</w:t>
      </w:r>
      <w:bookmarkEnd w:id="65"/>
      <w:bookmarkEnd w:id="66"/>
      <w:bookmarkEnd w:id="67"/>
    </w:p>
    <w:p>
      <w:pPr>
        <w:spacing w:line="600" w:lineRule="exact"/>
        <w:ind w:firstLine="643" w:firstLineChars="200"/>
        <w:outlineLvl w:val="1"/>
        <w:rPr>
          <w:rFonts w:hint="eastAsia" w:ascii="仿宋" w:hAnsi="仿宋" w:eastAsia="仿宋" w:cs="仿宋"/>
          <w:color w:val="000000"/>
          <w:sz w:val="32"/>
          <w:szCs w:val="32"/>
        </w:rPr>
      </w:pPr>
      <w:r>
        <w:rPr>
          <w:rStyle w:val="23"/>
          <w:rFonts w:hint="eastAsia" w:ascii="仿宋" w:hAnsi="仿宋" w:eastAsia="仿宋" w:cs="仿宋"/>
          <w:bCs/>
          <w:color w:val="000000"/>
          <w:sz w:val="32"/>
          <w:szCs w:val="32"/>
        </w:rPr>
        <w:t>1.社会保障和就业</w:t>
      </w:r>
      <w:r>
        <w:rPr>
          <w:rStyle w:val="23"/>
          <w:rFonts w:hint="eastAsia" w:ascii="仿宋" w:hAnsi="仿宋" w:eastAsia="仿宋" w:cs="仿宋"/>
          <w:bCs/>
          <w:color w:val="000000"/>
          <w:sz w:val="32"/>
          <w:szCs w:val="32"/>
          <w:lang w:val="en-US" w:eastAsia="zh-CN"/>
        </w:rPr>
        <w:t>支出</w:t>
      </w:r>
      <w:r>
        <w:rPr>
          <w:rStyle w:val="23"/>
          <w:rFonts w:hint="eastAsia" w:ascii="仿宋" w:hAnsi="仿宋" w:eastAsia="仿宋" w:cs="仿宋"/>
          <w:bCs/>
          <w:color w:val="000000"/>
          <w:sz w:val="32"/>
          <w:szCs w:val="32"/>
        </w:rPr>
        <w:t>(类)</w:t>
      </w:r>
      <w:r>
        <w:rPr>
          <w:rFonts w:hint="eastAsia" w:ascii="仿宋" w:hAnsi="仿宋" w:eastAsia="仿宋" w:cs="仿宋"/>
          <w:b/>
          <w:bCs/>
          <w:sz w:val="32"/>
          <w:szCs w:val="32"/>
        </w:rPr>
        <w:t xml:space="preserve"> 人力资源和社会保障管理事务(款)行政运行（项）</w:t>
      </w:r>
      <w:r>
        <w:rPr>
          <w:rStyle w:val="23"/>
          <w:rFonts w:hint="eastAsia" w:ascii="仿宋" w:hAnsi="仿宋" w:eastAsia="仿宋" w:cs="仿宋"/>
          <w:bCs/>
          <w:color w:val="000000"/>
          <w:sz w:val="32"/>
          <w:szCs w:val="32"/>
        </w:rPr>
        <w:t>:</w:t>
      </w:r>
      <w:r>
        <w:rPr>
          <w:rStyle w:val="23"/>
          <w:rFonts w:hint="eastAsia" w:ascii="仿宋" w:hAnsi="仿宋" w:eastAsia="仿宋" w:cs="仿宋"/>
          <w:b w:val="0"/>
          <w:bCs/>
          <w:color w:val="000000"/>
          <w:sz w:val="32"/>
          <w:szCs w:val="32"/>
        </w:rPr>
        <w:t>支出决算为</w:t>
      </w:r>
      <w:r>
        <w:rPr>
          <w:rStyle w:val="23"/>
          <w:rFonts w:hint="eastAsia" w:ascii="仿宋" w:hAnsi="仿宋" w:eastAsia="仿宋" w:cs="仿宋"/>
          <w:b w:val="0"/>
          <w:bCs/>
          <w:color w:val="000000"/>
          <w:sz w:val="32"/>
          <w:szCs w:val="32"/>
          <w:lang w:val="en-US" w:eastAsia="zh-CN"/>
        </w:rPr>
        <w:t>276.53</w:t>
      </w:r>
      <w:r>
        <w:rPr>
          <w:rStyle w:val="23"/>
          <w:rFonts w:hint="eastAsia" w:ascii="仿宋" w:hAnsi="仿宋" w:eastAsia="仿宋" w:cs="仿宋"/>
          <w:b w:val="0"/>
          <w:bCs/>
          <w:color w:val="000000"/>
          <w:sz w:val="32"/>
          <w:szCs w:val="32"/>
        </w:rPr>
        <w:t>万元，完成预算</w:t>
      </w:r>
      <w:r>
        <w:rPr>
          <w:rStyle w:val="23"/>
          <w:rFonts w:hint="eastAsia" w:ascii="仿宋" w:hAnsi="仿宋" w:eastAsia="仿宋" w:cs="仿宋"/>
          <w:b w:val="0"/>
          <w:bCs/>
          <w:color w:val="000000"/>
          <w:sz w:val="32"/>
          <w:szCs w:val="32"/>
          <w:lang w:val="en-US" w:eastAsia="zh-CN"/>
        </w:rPr>
        <w:t>100</w:t>
      </w:r>
      <w:r>
        <w:rPr>
          <w:rStyle w:val="23"/>
          <w:rFonts w:hint="eastAsia" w:ascii="仿宋" w:hAnsi="仿宋" w:eastAsia="仿宋" w:cs="仿宋"/>
          <w:b w:val="0"/>
          <w:bCs/>
          <w:color w:val="000000"/>
          <w:sz w:val="32"/>
          <w:szCs w:val="32"/>
        </w:rPr>
        <w:t>%</w:t>
      </w:r>
      <w:r>
        <w:rPr>
          <w:rStyle w:val="23"/>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spacing w:line="600" w:lineRule="exact"/>
        <w:ind w:firstLine="643" w:firstLineChars="200"/>
        <w:outlineLvl w:val="1"/>
        <w:rPr>
          <w:rFonts w:hint="eastAsia" w:ascii="仿宋" w:hAnsi="仿宋" w:eastAsia="仿宋" w:cs="仿宋"/>
          <w:color w:val="000000"/>
          <w:sz w:val="32"/>
          <w:szCs w:val="32"/>
        </w:rPr>
      </w:pPr>
      <w:r>
        <w:rPr>
          <w:rFonts w:hint="eastAsia" w:ascii="仿宋" w:hAnsi="仿宋" w:eastAsia="仿宋" w:cs="仿宋"/>
          <w:b/>
          <w:color w:val="000000"/>
          <w:sz w:val="32"/>
          <w:szCs w:val="32"/>
        </w:rPr>
        <w:t>2.</w:t>
      </w:r>
      <w:r>
        <w:rPr>
          <w:rStyle w:val="23"/>
          <w:rFonts w:hint="eastAsia" w:ascii="仿宋" w:hAnsi="仿宋" w:eastAsia="仿宋" w:cs="仿宋"/>
          <w:bCs/>
          <w:color w:val="000000"/>
          <w:sz w:val="32"/>
          <w:szCs w:val="32"/>
        </w:rPr>
        <w:t>社会保障和就业</w:t>
      </w:r>
      <w:r>
        <w:rPr>
          <w:rStyle w:val="23"/>
          <w:rFonts w:hint="eastAsia" w:ascii="仿宋" w:hAnsi="仿宋" w:eastAsia="仿宋" w:cs="仿宋"/>
          <w:bCs/>
          <w:color w:val="000000"/>
          <w:sz w:val="32"/>
          <w:szCs w:val="32"/>
          <w:lang w:val="en-US" w:eastAsia="zh-CN"/>
        </w:rPr>
        <w:t>支出</w:t>
      </w:r>
      <w:r>
        <w:rPr>
          <w:rStyle w:val="23"/>
          <w:rFonts w:hint="eastAsia" w:ascii="仿宋" w:hAnsi="仿宋" w:eastAsia="仿宋" w:cs="仿宋"/>
          <w:bCs/>
          <w:color w:val="000000"/>
          <w:sz w:val="32"/>
          <w:szCs w:val="32"/>
        </w:rPr>
        <w:t>(类)</w:t>
      </w:r>
      <w:r>
        <w:rPr>
          <w:rFonts w:hint="eastAsia" w:ascii="仿宋" w:hAnsi="仿宋" w:eastAsia="仿宋" w:cs="仿宋"/>
          <w:b/>
          <w:bCs/>
          <w:sz w:val="32"/>
          <w:szCs w:val="32"/>
        </w:rPr>
        <w:t xml:space="preserve"> 人力资源和社会保障管理事务(款)社会保险经办机构（项）</w:t>
      </w:r>
      <w:r>
        <w:rPr>
          <w:rStyle w:val="23"/>
          <w:rFonts w:hint="eastAsia" w:ascii="仿宋" w:hAnsi="仿宋" w:eastAsia="仿宋" w:cs="仿宋"/>
          <w:bCs/>
          <w:color w:val="000000"/>
          <w:sz w:val="32"/>
          <w:szCs w:val="32"/>
        </w:rPr>
        <w:t>:</w:t>
      </w:r>
      <w:r>
        <w:rPr>
          <w:rStyle w:val="23"/>
          <w:rFonts w:hint="eastAsia" w:ascii="仿宋" w:hAnsi="仿宋" w:eastAsia="仿宋" w:cs="仿宋"/>
          <w:b w:val="0"/>
          <w:bCs/>
          <w:color w:val="000000"/>
          <w:sz w:val="32"/>
          <w:szCs w:val="32"/>
        </w:rPr>
        <w:t>支出决算为</w:t>
      </w:r>
      <w:r>
        <w:rPr>
          <w:rStyle w:val="23"/>
          <w:rFonts w:hint="eastAsia" w:ascii="仿宋" w:hAnsi="仿宋" w:eastAsia="仿宋" w:cs="仿宋"/>
          <w:b w:val="0"/>
          <w:bCs/>
          <w:color w:val="000000"/>
          <w:sz w:val="32"/>
          <w:szCs w:val="32"/>
          <w:lang w:val="en-US" w:eastAsia="zh-CN"/>
        </w:rPr>
        <w:t>41.16</w:t>
      </w:r>
      <w:r>
        <w:rPr>
          <w:rStyle w:val="23"/>
          <w:rFonts w:hint="eastAsia" w:ascii="仿宋" w:hAnsi="仿宋" w:eastAsia="仿宋" w:cs="仿宋"/>
          <w:b w:val="0"/>
          <w:bCs/>
          <w:color w:val="000000"/>
          <w:sz w:val="32"/>
          <w:szCs w:val="32"/>
        </w:rPr>
        <w:t>万元，完成预算</w:t>
      </w:r>
      <w:r>
        <w:rPr>
          <w:rStyle w:val="23"/>
          <w:rFonts w:hint="eastAsia" w:ascii="仿宋" w:hAnsi="仿宋" w:eastAsia="仿宋" w:cs="仿宋"/>
          <w:b w:val="0"/>
          <w:bCs/>
          <w:color w:val="000000"/>
          <w:sz w:val="32"/>
          <w:szCs w:val="32"/>
          <w:lang w:val="en-US" w:eastAsia="zh-CN"/>
        </w:rPr>
        <w:t>100</w:t>
      </w:r>
      <w:r>
        <w:rPr>
          <w:rStyle w:val="23"/>
          <w:rFonts w:hint="eastAsia" w:ascii="仿宋" w:hAnsi="仿宋" w:eastAsia="仿宋" w:cs="仿宋"/>
          <w:b w:val="0"/>
          <w:bCs/>
          <w:color w:val="000000"/>
          <w:sz w:val="32"/>
          <w:szCs w:val="32"/>
        </w:rPr>
        <w:t>%</w:t>
      </w:r>
      <w:r>
        <w:rPr>
          <w:rStyle w:val="23"/>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spacing w:line="600" w:lineRule="exact"/>
        <w:ind w:firstLine="643" w:firstLineChars="200"/>
        <w:outlineLvl w:val="1"/>
        <w:rPr>
          <w:rFonts w:hint="eastAsia" w:ascii="仿宋" w:hAnsi="仿宋" w:eastAsia="仿宋" w:cs="仿宋"/>
          <w:color w:val="000000"/>
          <w:sz w:val="32"/>
          <w:szCs w:val="32"/>
        </w:rPr>
      </w:pPr>
      <w:r>
        <w:rPr>
          <w:rFonts w:hint="eastAsia" w:ascii="仿宋" w:hAnsi="仿宋" w:eastAsia="仿宋" w:cs="仿宋"/>
          <w:b/>
          <w:color w:val="000000"/>
          <w:sz w:val="32"/>
          <w:szCs w:val="32"/>
          <w:lang w:val="en-US" w:eastAsia="zh-CN"/>
        </w:rPr>
        <w:t>3</w:t>
      </w:r>
      <w:r>
        <w:rPr>
          <w:rFonts w:hint="eastAsia" w:ascii="仿宋" w:hAnsi="仿宋" w:eastAsia="仿宋" w:cs="仿宋"/>
          <w:b/>
          <w:color w:val="000000"/>
          <w:sz w:val="32"/>
          <w:szCs w:val="32"/>
        </w:rPr>
        <w:t>.</w:t>
      </w:r>
      <w:r>
        <w:rPr>
          <w:rStyle w:val="23"/>
          <w:rFonts w:hint="eastAsia" w:ascii="仿宋" w:hAnsi="仿宋" w:eastAsia="仿宋" w:cs="仿宋"/>
          <w:bCs/>
          <w:color w:val="000000"/>
          <w:sz w:val="32"/>
          <w:szCs w:val="32"/>
        </w:rPr>
        <w:t>社会保障和就业</w:t>
      </w:r>
      <w:r>
        <w:rPr>
          <w:rStyle w:val="23"/>
          <w:rFonts w:hint="eastAsia" w:ascii="仿宋" w:hAnsi="仿宋" w:eastAsia="仿宋" w:cs="仿宋"/>
          <w:bCs/>
          <w:color w:val="000000"/>
          <w:sz w:val="32"/>
          <w:szCs w:val="32"/>
          <w:lang w:val="en-US" w:eastAsia="zh-CN"/>
        </w:rPr>
        <w:t>支出</w:t>
      </w:r>
      <w:r>
        <w:rPr>
          <w:rStyle w:val="23"/>
          <w:rFonts w:hint="eastAsia" w:ascii="仿宋" w:hAnsi="仿宋" w:eastAsia="仿宋" w:cs="仿宋"/>
          <w:bCs/>
          <w:color w:val="000000"/>
          <w:sz w:val="32"/>
          <w:szCs w:val="32"/>
        </w:rPr>
        <w:t>(类)</w:t>
      </w:r>
      <w:r>
        <w:rPr>
          <w:rFonts w:hint="eastAsia" w:ascii="仿宋" w:hAnsi="仿宋" w:eastAsia="仿宋" w:cs="仿宋"/>
          <w:b/>
          <w:bCs/>
          <w:sz w:val="32"/>
          <w:szCs w:val="32"/>
        </w:rPr>
        <w:t xml:space="preserve"> 人力资源和社会保障管理事务(款)</w:t>
      </w:r>
      <w:r>
        <w:rPr>
          <w:rFonts w:hint="eastAsia" w:ascii="仿宋" w:hAnsi="仿宋" w:eastAsia="仿宋" w:cs="仿宋"/>
          <w:b/>
          <w:bCs/>
          <w:sz w:val="32"/>
          <w:szCs w:val="32"/>
          <w:lang w:val="en-US" w:eastAsia="zh-CN"/>
        </w:rPr>
        <w:t>其他人力资源和社会保障管理事务支出</w:t>
      </w:r>
      <w:r>
        <w:rPr>
          <w:rFonts w:hint="eastAsia" w:ascii="仿宋" w:hAnsi="仿宋" w:eastAsia="仿宋" w:cs="仿宋"/>
          <w:b/>
          <w:bCs/>
          <w:sz w:val="32"/>
          <w:szCs w:val="32"/>
        </w:rPr>
        <w:t>（项）</w:t>
      </w:r>
      <w:r>
        <w:rPr>
          <w:rStyle w:val="23"/>
          <w:rFonts w:hint="eastAsia" w:ascii="仿宋" w:hAnsi="仿宋" w:eastAsia="仿宋" w:cs="仿宋"/>
          <w:bCs/>
          <w:color w:val="000000"/>
          <w:sz w:val="32"/>
          <w:szCs w:val="32"/>
        </w:rPr>
        <w:t>:</w:t>
      </w:r>
      <w:r>
        <w:rPr>
          <w:rStyle w:val="23"/>
          <w:rFonts w:hint="eastAsia" w:ascii="仿宋" w:hAnsi="仿宋" w:eastAsia="仿宋" w:cs="仿宋"/>
          <w:b w:val="0"/>
          <w:bCs/>
          <w:color w:val="000000"/>
          <w:sz w:val="32"/>
          <w:szCs w:val="32"/>
        </w:rPr>
        <w:t>支出决算为</w:t>
      </w:r>
      <w:r>
        <w:rPr>
          <w:rStyle w:val="23"/>
          <w:rFonts w:hint="eastAsia" w:ascii="仿宋" w:hAnsi="仿宋" w:eastAsia="仿宋" w:cs="仿宋"/>
          <w:b w:val="0"/>
          <w:bCs/>
          <w:color w:val="000000"/>
          <w:sz w:val="32"/>
          <w:szCs w:val="32"/>
          <w:lang w:val="en-US" w:eastAsia="zh-CN"/>
        </w:rPr>
        <w:t>17.11</w:t>
      </w:r>
      <w:r>
        <w:rPr>
          <w:rStyle w:val="23"/>
          <w:rFonts w:hint="eastAsia" w:ascii="仿宋" w:hAnsi="仿宋" w:eastAsia="仿宋" w:cs="仿宋"/>
          <w:b w:val="0"/>
          <w:bCs/>
          <w:color w:val="000000"/>
          <w:sz w:val="32"/>
          <w:szCs w:val="32"/>
        </w:rPr>
        <w:t>万元，完成预算</w:t>
      </w:r>
      <w:r>
        <w:rPr>
          <w:rStyle w:val="23"/>
          <w:rFonts w:hint="eastAsia" w:ascii="仿宋" w:hAnsi="仿宋" w:eastAsia="仿宋" w:cs="仿宋"/>
          <w:b w:val="0"/>
          <w:bCs/>
          <w:color w:val="000000"/>
          <w:sz w:val="32"/>
          <w:szCs w:val="32"/>
          <w:lang w:val="en-US" w:eastAsia="zh-CN"/>
        </w:rPr>
        <w:t>100</w:t>
      </w:r>
      <w:r>
        <w:rPr>
          <w:rStyle w:val="23"/>
          <w:rFonts w:hint="eastAsia" w:ascii="仿宋" w:hAnsi="仿宋" w:eastAsia="仿宋" w:cs="仿宋"/>
          <w:b w:val="0"/>
          <w:bCs/>
          <w:color w:val="000000"/>
          <w:sz w:val="32"/>
          <w:szCs w:val="32"/>
        </w:rPr>
        <w:t>%</w:t>
      </w:r>
      <w:r>
        <w:rPr>
          <w:rStyle w:val="23"/>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spacing w:line="600" w:lineRule="exact"/>
        <w:ind w:firstLine="643" w:firstLineChars="200"/>
        <w:rPr>
          <w:rStyle w:val="23"/>
          <w:rFonts w:hint="eastAsia" w:ascii="仿宋" w:hAnsi="仿宋" w:eastAsia="仿宋" w:cs="仿宋"/>
          <w:b w:val="0"/>
          <w:bCs/>
          <w:color w:val="000000"/>
          <w:sz w:val="32"/>
          <w:szCs w:val="32"/>
        </w:rPr>
      </w:pPr>
      <w:r>
        <w:rPr>
          <w:rFonts w:hint="eastAsia" w:ascii="仿宋" w:hAnsi="仿宋" w:eastAsia="仿宋" w:cs="仿宋"/>
          <w:b/>
          <w:color w:val="000000"/>
          <w:sz w:val="32"/>
          <w:szCs w:val="32"/>
          <w:lang w:val="en-US" w:eastAsia="zh-CN"/>
        </w:rPr>
        <w:t>4</w:t>
      </w:r>
      <w:r>
        <w:rPr>
          <w:rFonts w:hint="eastAsia" w:ascii="仿宋" w:hAnsi="仿宋" w:eastAsia="仿宋" w:cs="仿宋"/>
          <w:b/>
          <w:color w:val="000000"/>
          <w:sz w:val="32"/>
          <w:szCs w:val="32"/>
        </w:rPr>
        <w:t>.</w:t>
      </w:r>
      <w:r>
        <w:rPr>
          <w:rStyle w:val="23"/>
          <w:rFonts w:hint="eastAsia" w:ascii="仿宋" w:hAnsi="仿宋" w:eastAsia="仿宋" w:cs="仿宋"/>
          <w:bCs/>
          <w:color w:val="000000"/>
          <w:sz w:val="32"/>
          <w:szCs w:val="32"/>
        </w:rPr>
        <w:t>社会保障和就业</w:t>
      </w:r>
      <w:r>
        <w:rPr>
          <w:rStyle w:val="23"/>
          <w:rFonts w:hint="eastAsia" w:ascii="仿宋" w:hAnsi="仿宋" w:eastAsia="仿宋" w:cs="仿宋"/>
          <w:bCs/>
          <w:color w:val="000000"/>
          <w:sz w:val="32"/>
          <w:szCs w:val="32"/>
          <w:lang w:val="en-US" w:eastAsia="zh-CN"/>
        </w:rPr>
        <w:t>支出</w:t>
      </w:r>
      <w:r>
        <w:rPr>
          <w:rStyle w:val="23"/>
          <w:rFonts w:hint="eastAsia" w:ascii="仿宋" w:hAnsi="仿宋" w:eastAsia="仿宋" w:cs="仿宋"/>
          <w:bCs/>
          <w:color w:val="000000"/>
          <w:sz w:val="32"/>
          <w:szCs w:val="32"/>
        </w:rPr>
        <w:t>(类)</w:t>
      </w:r>
      <w:r>
        <w:rPr>
          <w:rFonts w:hint="eastAsia" w:ascii="仿宋" w:hAnsi="仿宋" w:eastAsia="仿宋" w:cs="仿宋"/>
          <w:b/>
          <w:bCs/>
          <w:sz w:val="32"/>
          <w:szCs w:val="32"/>
        </w:rPr>
        <w:t>行政事业单位养老支出(款) 机关事业单位基本养老保险缴费支出（项）</w:t>
      </w:r>
      <w:r>
        <w:rPr>
          <w:rStyle w:val="23"/>
          <w:rFonts w:hint="eastAsia" w:ascii="仿宋" w:hAnsi="仿宋" w:eastAsia="仿宋" w:cs="仿宋"/>
          <w:bCs/>
          <w:color w:val="000000"/>
          <w:sz w:val="32"/>
          <w:szCs w:val="32"/>
        </w:rPr>
        <w:t>:</w:t>
      </w:r>
      <w:r>
        <w:rPr>
          <w:rStyle w:val="23"/>
          <w:rFonts w:hint="eastAsia" w:ascii="仿宋" w:hAnsi="仿宋" w:eastAsia="仿宋" w:cs="仿宋"/>
          <w:b w:val="0"/>
          <w:bCs/>
          <w:color w:val="000000"/>
          <w:sz w:val="32"/>
          <w:szCs w:val="32"/>
        </w:rPr>
        <w:t>支出决算为</w:t>
      </w:r>
      <w:r>
        <w:rPr>
          <w:rStyle w:val="23"/>
          <w:rFonts w:hint="eastAsia" w:ascii="仿宋" w:hAnsi="仿宋" w:eastAsia="仿宋" w:cs="仿宋"/>
          <w:b w:val="0"/>
          <w:bCs/>
          <w:color w:val="000000"/>
          <w:sz w:val="32"/>
          <w:szCs w:val="32"/>
          <w:lang w:val="en-US" w:eastAsia="zh-CN"/>
        </w:rPr>
        <w:t>21.55</w:t>
      </w:r>
      <w:r>
        <w:rPr>
          <w:rStyle w:val="23"/>
          <w:rFonts w:hint="eastAsia" w:ascii="仿宋" w:hAnsi="仿宋" w:eastAsia="仿宋" w:cs="仿宋"/>
          <w:b w:val="0"/>
          <w:bCs/>
          <w:color w:val="000000"/>
          <w:sz w:val="32"/>
          <w:szCs w:val="32"/>
        </w:rPr>
        <w:t>万元，完成预算100%</w:t>
      </w:r>
      <w:r>
        <w:rPr>
          <w:rStyle w:val="23"/>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spacing w:line="600" w:lineRule="exact"/>
        <w:ind w:firstLine="643" w:firstLineChars="200"/>
        <w:rPr>
          <w:rStyle w:val="23"/>
          <w:rFonts w:hint="eastAsia" w:ascii="仿宋" w:hAnsi="仿宋" w:eastAsia="仿宋" w:cs="仿宋"/>
          <w:b w:val="0"/>
          <w:bCs/>
          <w:color w:val="000000"/>
          <w:sz w:val="32"/>
          <w:szCs w:val="32"/>
        </w:rPr>
      </w:pPr>
      <w:r>
        <w:rPr>
          <w:rFonts w:hint="eastAsia" w:ascii="仿宋" w:hAnsi="仿宋" w:eastAsia="仿宋" w:cs="仿宋"/>
          <w:b/>
          <w:color w:val="000000"/>
          <w:sz w:val="32"/>
          <w:szCs w:val="32"/>
          <w:lang w:val="en-US" w:eastAsia="zh-CN"/>
        </w:rPr>
        <w:t>5</w:t>
      </w:r>
      <w:r>
        <w:rPr>
          <w:rFonts w:hint="eastAsia" w:ascii="仿宋" w:hAnsi="仿宋" w:eastAsia="仿宋" w:cs="仿宋"/>
          <w:b/>
          <w:color w:val="000000"/>
          <w:sz w:val="32"/>
          <w:szCs w:val="32"/>
        </w:rPr>
        <w:t>.</w:t>
      </w:r>
      <w:r>
        <w:rPr>
          <w:rFonts w:hint="eastAsia" w:ascii="仿宋" w:hAnsi="仿宋" w:eastAsia="仿宋" w:cs="仿宋"/>
          <w:b/>
          <w:bCs/>
          <w:sz w:val="32"/>
          <w:szCs w:val="32"/>
        </w:rPr>
        <w:t>社会保障和就业支出（类）行政事业单位养老支出（款）机关事业单位职业年金缴费支出（项）</w:t>
      </w:r>
      <w:r>
        <w:rPr>
          <w:rStyle w:val="23"/>
          <w:rFonts w:hint="eastAsia" w:ascii="仿宋" w:hAnsi="仿宋" w:eastAsia="仿宋" w:cs="仿宋"/>
          <w:bCs/>
          <w:color w:val="000000"/>
          <w:sz w:val="32"/>
          <w:szCs w:val="32"/>
        </w:rPr>
        <w:t>:</w:t>
      </w:r>
      <w:r>
        <w:rPr>
          <w:rStyle w:val="23"/>
          <w:rFonts w:hint="eastAsia" w:ascii="仿宋" w:hAnsi="仿宋" w:eastAsia="仿宋" w:cs="仿宋"/>
          <w:b w:val="0"/>
          <w:bCs/>
          <w:color w:val="000000"/>
          <w:sz w:val="32"/>
          <w:szCs w:val="32"/>
        </w:rPr>
        <w:t>支出决算为</w:t>
      </w:r>
      <w:r>
        <w:rPr>
          <w:rStyle w:val="23"/>
          <w:rFonts w:hint="eastAsia" w:ascii="仿宋" w:hAnsi="仿宋" w:eastAsia="仿宋" w:cs="仿宋"/>
          <w:b w:val="0"/>
          <w:bCs/>
          <w:color w:val="000000"/>
          <w:sz w:val="32"/>
          <w:szCs w:val="32"/>
          <w:lang w:val="en-US" w:eastAsia="zh-CN"/>
        </w:rPr>
        <w:t>10.77</w:t>
      </w:r>
      <w:r>
        <w:rPr>
          <w:rStyle w:val="23"/>
          <w:rFonts w:hint="eastAsia" w:ascii="仿宋" w:hAnsi="仿宋" w:eastAsia="仿宋" w:cs="仿宋"/>
          <w:b w:val="0"/>
          <w:bCs/>
          <w:color w:val="000000"/>
          <w:sz w:val="32"/>
          <w:szCs w:val="32"/>
        </w:rPr>
        <w:t>万元，完成预算100%</w:t>
      </w:r>
      <w:r>
        <w:rPr>
          <w:rStyle w:val="23"/>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spacing w:line="600" w:lineRule="exact"/>
        <w:ind w:firstLine="643" w:firstLineChars="200"/>
        <w:rPr>
          <w:rFonts w:hint="eastAsia" w:ascii="仿宋" w:hAnsi="仿宋" w:eastAsia="仿宋" w:cs="仿宋"/>
          <w:sz w:val="32"/>
          <w:szCs w:val="32"/>
        </w:rPr>
      </w:pPr>
      <w:r>
        <w:rPr>
          <w:rStyle w:val="23"/>
          <w:rFonts w:hint="eastAsia" w:ascii="仿宋" w:hAnsi="仿宋" w:eastAsia="仿宋" w:cs="仿宋"/>
          <w:bCs/>
          <w:color w:val="000000"/>
          <w:sz w:val="32"/>
          <w:szCs w:val="32"/>
          <w:lang w:val="en-US" w:eastAsia="zh-CN"/>
        </w:rPr>
        <w:t>6</w:t>
      </w:r>
      <w:r>
        <w:rPr>
          <w:rStyle w:val="23"/>
          <w:rFonts w:hint="eastAsia" w:ascii="仿宋" w:hAnsi="仿宋" w:eastAsia="仿宋" w:cs="仿宋"/>
          <w:bCs/>
          <w:color w:val="000000"/>
          <w:sz w:val="32"/>
          <w:szCs w:val="32"/>
        </w:rPr>
        <w:t>.</w:t>
      </w:r>
      <w:r>
        <w:rPr>
          <w:rFonts w:hint="eastAsia" w:ascii="仿宋" w:hAnsi="仿宋" w:eastAsia="仿宋" w:cs="仿宋"/>
          <w:b/>
          <w:bCs/>
          <w:sz w:val="32"/>
          <w:szCs w:val="32"/>
        </w:rPr>
        <w:t>卫生健康支出（类）行政事业单位医疗（款）行政单位医疗（项）</w:t>
      </w:r>
      <w:r>
        <w:rPr>
          <w:rFonts w:hint="eastAsia" w:ascii="仿宋" w:hAnsi="仿宋" w:eastAsia="仿宋" w:cs="仿宋"/>
          <w:sz w:val="32"/>
          <w:szCs w:val="32"/>
        </w:rPr>
        <w:t>：支出决算数为</w:t>
      </w:r>
      <w:r>
        <w:rPr>
          <w:rFonts w:hint="eastAsia" w:ascii="仿宋" w:hAnsi="仿宋" w:eastAsia="仿宋" w:cs="仿宋"/>
          <w:sz w:val="32"/>
          <w:szCs w:val="32"/>
          <w:lang w:val="en-US" w:eastAsia="zh-CN"/>
        </w:rPr>
        <w:t>16.99</w:t>
      </w:r>
      <w:r>
        <w:rPr>
          <w:rFonts w:hint="eastAsia" w:ascii="仿宋" w:hAnsi="仿宋" w:eastAsia="仿宋" w:cs="仿宋"/>
          <w:sz w:val="32"/>
          <w:szCs w:val="32"/>
        </w:rPr>
        <w:t>万元，完成预算100%</w:t>
      </w:r>
      <w:r>
        <w:rPr>
          <w:rFonts w:hint="eastAsia" w:ascii="仿宋" w:hAnsi="仿宋" w:eastAsia="仿宋" w:cs="仿宋"/>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p>
    <w:p>
      <w:pPr>
        <w:spacing w:line="600" w:lineRule="exact"/>
        <w:ind w:firstLine="643" w:firstLineChars="200"/>
        <w:rPr>
          <w:rFonts w:hint="eastAsia" w:ascii="仿宋" w:hAnsi="仿宋" w:eastAsia="仿宋" w:cs="仿宋"/>
          <w:sz w:val="32"/>
          <w:szCs w:val="32"/>
        </w:rPr>
      </w:pPr>
      <w:r>
        <w:rPr>
          <w:rStyle w:val="23"/>
          <w:rFonts w:hint="eastAsia" w:ascii="仿宋" w:hAnsi="仿宋" w:eastAsia="仿宋" w:cs="仿宋"/>
          <w:bCs/>
          <w:color w:val="000000"/>
          <w:sz w:val="32"/>
          <w:szCs w:val="32"/>
          <w:lang w:val="en-US" w:eastAsia="zh-CN"/>
        </w:rPr>
        <w:t>7</w:t>
      </w:r>
      <w:r>
        <w:rPr>
          <w:rStyle w:val="23"/>
          <w:rFonts w:hint="eastAsia" w:ascii="仿宋" w:hAnsi="仿宋" w:eastAsia="仿宋" w:cs="仿宋"/>
          <w:bCs/>
          <w:color w:val="000000"/>
          <w:sz w:val="32"/>
          <w:szCs w:val="32"/>
        </w:rPr>
        <w:t>.</w:t>
      </w:r>
      <w:r>
        <w:rPr>
          <w:rFonts w:hint="eastAsia" w:ascii="仿宋" w:hAnsi="仿宋" w:eastAsia="仿宋" w:cs="仿宋"/>
          <w:b/>
          <w:bCs/>
          <w:sz w:val="32"/>
          <w:szCs w:val="32"/>
        </w:rPr>
        <w:t>住房保障支出（类）住房改革支出（款）住房公积金（项）</w:t>
      </w:r>
      <w:r>
        <w:rPr>
          <w:rFonts w:hint="eastAsia" w:ascii="仿宋" w:hAnsi="仿宋" w:eastAsia="仿宋" w:cs="仿宋"/>
          <w:sz w:val="32"/>
          <w:szCs w:val="32"/>
        </w:rPr>
        <w:t>：支出决算数为22.9</w:t>
      </w:r>
      <w:r>
        <w:rPr>
          <w:rFonts w:hint="eastAsia" w:ascii="仿宋" w:hAnsi="仿宋" w:eastAsia="仿宋" w:cs="仿宋"/>
          <w:sz w:val="32"/>
          <w:szCs w:val="32"/>
          <w:lang w:val="en-US" w:eastAsia="zh-CN"/>
        </w:rPr>
        <w:t>7</w:t>
      </w:r>
      <w:r>
        <w:rPr>
          <w:rFonts w:hint="eastAsia" w:ascii="仿宋" w:hAnsi="仿宋" w:eastAsia="仿宋" w:cs="仿宋"/>
          <w:sz w:val="32"/>
          <w:szCs w:val="32"/>
        </w:rPr>
        <w:t>万元，完成预算100%</w:t>
      </w:r>
      <w:r>
        <w:rPr>
          <w:rFonts w:hint="eastAsia" w:ascii="仿宋" w:hAnsi="仿宋" w:eastAsia="仿宋" w:cs="仿宋"/>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p>
    <w:p>
      <w:pPr>
        <w:spacing w:line="600" w:lineRule="exact"/>
        <w:ind w:firstLine="643" w:firstLineChars="200"/>
        <w:rPr>
          <w:rFonts w:hint="eastAsia" w:ascii="仿宋" w:hAnsi="仿宋" w:eastAsia="仿宋" w:cs="仿宋"/>
          <w:sz w:val="32"/>
          <w:szCs w:val="32"/>
        </w:rPr>
      </w:pPr>
      <w:r>
        <w:rPr>
          <w:rStyle w:val="23"/>
          <w:rFonts w:hint="eastAsia" w:ascii="仿宋" w:hAnsi="仿宋" w:eastAsia="仿宋" w:cs="仿宋"/>
          <w:bCs/>
          <w:color w:val="000000"/>
          <w:sz w:val="32"/>
          <w:szCs w:val="32"/>
          <w:lang w:val="en-US" w:eastAsia="zh-CN"/>
        </w:rPr>
        <w:t>8</w:t>
      </w:r>
      <w:r>
        <w:rPr>
          <w:rStyle w:val="23"/>
          <w:rFonts w:hint="eastAsia" w:ascii="仿宋" w:hAnsi="仿宋" w:eastAsia="仿宋" w:cs="仿宋"/>
          <w:bCs/>
          <w:color w:val="000000"/>
          <w:sz w:val="32"/>
          <w:szCs w:val="32"/>
        </w:rPr>
        <w:t>.</w:t>
      </w:r>
      <w:r>
        <w:rPr>
          <w:rFonts w:hint="eastAsia" w:ascii="仿宋" w:hAnsi="仿宋" w:eastAsia="仿宋" w:cs="仿宋"/>
          <w:b/>
          <w:bCs/>
          <w:sz w:val="32"/>
          <w:szCs w:val="32"/>
        </w:rPr>
        <w:t>住房保障支出（类）住房改革支出（款）购房补贴（项）</w:t>
      </w:r>
      <w:r>
        <w:rPr>
          <w:rFonts w:hint="eastAsia" w:ascii="仿宋" w:hAnsi="仿宋" w:eastAsia="仿宋" w:cs="仿宋"/>
          <w:sz w:val="32"/>
          <w:szCs w:val="32"/>
        </w:rPr>
        <w:t>：支出决算数为</w:t>
      </w:r>
      <w:r>
        <w:rPr>
          <w:rFonts w:hint="eastAsia" w:ascii="仿宋" w:hAnsi="仿宋" w:eastAsia="仿宋" w:cs="仿宋"/>
          <w:sz w:val="32"/>
          <w:szCs w:val="32"/>
          <w:lang w:val="en-US" w:eastAsia="zh-CN"/>
        </w:rPr>
        <w:t>1.02</w:t>
      </w:r>
      <w:r>
        <w:rPr>
          <w:rFonts w:hint="eastAsia" w:ascii="仿宋" w:hAnsi="仿宋" w:eastAsia="仿宋" w:cs="仿宋"/>
          <w:sz w:val="32"/>
          <w:szCs w:val="32"/>
        </w:rPr>
        <w:t>万元，完成预算100%</w:t>
      </w:r>
      <w:r>
        <w:rPr>
          <w:rFonts w:hint="eastAsia" w:ascii="仿宋" w:hAnsi="仿宋" w:eastAsia="仿宋" w:cs="仿宋"/>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p>
    <w:p>
      <w:pPr>
        <w:tabs>
          <w:tab w:val="right" w:pos="8306"/>
        </w:tabs>
        <w:spacing w:line="600" w:lineRule="exact"/>
        <w:ind w:firstLine="640"/>
        <w:outlineLvl w:val="1"/>
        <w:rPr>
          <w:rStyle w:val="26"/>
          <w:sz w:val="32"/>
          <w:szCs w:val="32"/>
        </w:rPr>
      </w:pPr>
      <w:bookmarkStart w:id="68" w:name="_Toc15377214"/>
      <w:bookmarkStart w:id="69" w:name="_Toc15396608"/>
      <w:bookmarkStart w:id="70" w:name="_Toc79163868"/>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sz w:val="32"/>
          <w:szCs w:val="32"/>
        </w:rPr>
        <w:t>般公共预算财政拨款基本支出决算情况说明</w:t>
      </w:r>
      <w:bookmarkEnd w:id="68"/>
      <w:bookmarkEnd w:id="69"/>
      <w:bookmarkEnd w:id="70"/>
      <w:bookmarkEnd w:id="71"/>
      <w:r>
        <w:rPr>
          <w:rStyle w:val="26"/>
          <w:rFonts w:ascii="黑体" w:hAnsi="黑体" w:eastAsia="黑体"/>
          <w:b w:val="0"/>
          <w:sz w:val="32"/>
          <w:szCs w:val="32"/>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349.83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341.78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8.05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sz w:val="32"/>
          <w:szCs w:val="32"/>
        </w:rPr>
      </w:pPr>
      <w:bookmarkStart w:id="72" w:name="_Toc15377215"/>
      <w:bookmarkStart w:id="73" w:name="_Toc15396609"/>
      <w:bookmarkStart w:id="74" w:name="_Toc79163619"/>
      <w:bookmarkStart w:id="75" w:name="_Toc79163869"/>
      <w:r>
        <w:rPr>
          <w:rFonts w:hint="eastAsia" w:ascii="黑体" w:eastAsia="黑体"/>
          <w:color w:val="000000"/>
          <w:sz w:val="32"/>
          <w:szCs w:val="32"/>
        </w:rPr>
        <w:t>七、</w:t>
      </w:r>
      <w:r>
        <w:rPr>
          <w:rStyle w:val="26"/>
          <w:rFonts w:hint="eastAsia" w:ascii="黑体" w:hAnsi="黑体" w:eastAsia="黑体"/>
          <w:sz w:val="32"/>
          <w:szCs w:val="32"/>
        </w:rPr>
        <w:t>“</w:t>
      </w:r>
      <w:r>
        <w:rPr>
          <w:rStyle w:val="26"/>
          <w:rFonts w:hint="eastAsia" w:ascii="黑体" w:hAnsi="黑体" w:eastAsia="黑体"/>
          <w:b w:val="0"/>
          <w:sz w:val="32"/>
          <w:szCs w:val="32"/>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870"/>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outlineLvl w:val="2"/>
        <w:rPr>
          <w:rFonts w:ascii="仿宋" w:hAnsi="仿宋" w:eastAsia="仿宋"/>
          <w:b/>
          <w:color w:val="000000"/>
          <w:sz w:val="32"/>
          <w:szCs w:val="32"/>
        </w:rPr>
      </w:pPr>
      <w:bookmarkStart w:id="79" w:name="_Toc79163871"/>
      <w:bookmarkStart w:id="80" w:name="_Toc15377217"/>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2020年“三公”经费财政拨款支出决算中，因公出国（境）费支出决算</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万元；公务用车购置及运行维护费支出决算</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万元；公务接待费支出决算</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万元。具体情况如下：</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color w:val="000000"/>
          <w:sz w:val="32"/>
          <w:szCs w:val="32"/>
        </w:rPr>
        <w:t>1.因公出国（境）经费支出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p>
    <w:p>
      <w:pPr>
        <w:spacing w:line="600" w:lineRule="exact"/>
        <w:ind w:firstLine="640"/>
        <w:rPr>
          <w:rFonts w:hint="eastAsia" w:ascii="仿宋" w:hAnsi="仿宋" w:eastAsia="仿宋" w:cs="仿宋"/>
          <w:b/>
          <w:color w:val="000000"/>
          <w:sz w:val="32"/>
          <w:szCs w:val="32"/>
        </w:rPr>
      </w:pPr>
      <w:r>
        <w:rPr>
          <w:rFonts w:hint="eastAsia" w:ascii="仿宋" w:hAnsi="仿宋" w:eastAsia="仿宋" w:cs="仿宋"/>
          <w:b/>
          <w:color w:val="000000"/>
          <w:sz w:val="32"/>
          <w:szCs w:val="32"/>
        </w:rPr>
        <w:t>2.公务用车购置及运行维护费支出</w:t>
      </w:r>
      <w:r>
        <w:rPr>
          <w:rFonts w:hint="eastAsia" w:ascii="仿宋" w:hAnsi="仿宋" w:eastAsia="仿宋" w:cs="仿宋"/>
          <w:color w:val="000000"/>
          <w:sz w:val="32"/>
          <w:szCs w:val="32"/>
        </w:rPr>
        <w:t>0万</w:t>
      </w:r>
      <w:r>
        <w:rPr>
          <w:rFonts w:hint="eastAsia" w:ascii="仿宋" w:hAnsi="仿宋" w:eastAsia="仿宋" w:cs="仿宋"/>
          <w:color w:val="000000"/>
          <w:sz w:val="32"/>
          <w:szCs w:val="32"/>
          <w:lang w:val="en-US" w:eastAsia="zh-CN"/>
        </w:rPr>
        <w:t>元</w:t>
      </w:r>
      <w:r>
        <w:rPr>
          <w:rFonts w:hint="eastAsia" w:ascii="仿宋" w:hAnsi="仿宋" w:eastAsia="仿宋" w:cs="仿宋"/>
          <w:color w:val="000000"/>
          <w:sz w:val="32"/>
          <w:szCs w:val="32"/>
        </w:rPr>
        <w:t>。</w:t>
      </w:r>
    </w:p>
    <w:p>
      <w:pPr>
        <w:spacing w:line="600" w:lineRule="exact"/>
        <w:ind w:firstLine="643" w:firstLineChars="200"/>
        <w:rPr>
          <w:rFonts w:hint="eastAsia" w:ascii="仿宋" w:hAnsi="仿宋" w:eastAsia="仿宋" w:cs="仿宋"/>
          <w:color w:val="000000"/>
          <w:sz w:val="32"/>
          <w:szCs w:val="32"/>
        </w:rPr>
      </w:pPr>
      <w:r>
        <w:rPr>
          <w:rFonts w:hint="eastAsia" w:ascii="仿宋" w:hAnsi="仿宋" w:eastAsia="仿宋" w:cs="仿宋"/>
          <w:b/>
          <w:color w:val="000000"/>
          <w:sz w:val="32"/>
          <w:szCs w:val="32"/>
        </w:rPr>
        <w:t>3.公务接待费支出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万元，公务接待费支出决算比2019年减少</w:t>
      </w:r>
      <w:r>
        <w:rPr>
          <w:rFonts w:hint="eastAsia" w:ascii="仿宋" w:hAnsi="仿宋" w:eastAsia="仿宋" w:cs="仿宋"/>
          <w:color w:val="000000"/>
          <w:sz w:val="32"/>
          <w:szCs w:val="32"/>
          <w:lang w:val="en-US" w:eastAsia="zh-CN"/>
        </w:rPr>
        <w:t>0.08</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val="en-US" w:eastAsia="zh-CN"/>
        </w:rPr>
        <w:t>严格执行有关规定</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严格控制接待标准，降低接待费用。</w:t>
      </w:r>
    </w:p>
    <w:p>
      <w:pPr>
        <w:spacing w:line="600" w:lineRule="exact"/>
        <w:ind w:firstLine="640"/>
        <w:outlineLvl w:val="1"/>
        <w:rPr>
          <w:rStyle w:val="26"/>
          <w:rFonts w:ascii="黑体" w:hAnsi="黑体" w:eastAsia="黑体"/>
          <w:sz w:val="32"/>
          <w:szCs w:val="32"/>
        </w:rPr>
      </w:pPr>
      <w:bookmarkStart w:id="82" w:name="_Toc15396610"/>
      <w:bookmarkStart w:id="83" w:name="_Toc15377218"/>
      <w:bookmarkStart w:id="84" w:name="_Toc79163622"/>
      <w:bookmarkStart w:id="85" w:name="_Toc79163872"/>
      <w:r>
        <w:rPr>
          <w:rFonts w:hint="eastAsia" w:ascii="黑体" w:eastAsia="黑体"/>
          <w:color w:val="000000"/>
          <w:sz w:val="32"/>
          <w:szCs w:val="32"/>
        </w:rPr>
        <w:t>八、</w:t>
      </w:r>
      <w:r>
        <w:rPr>
          <w:rStyle w:val="26"/>
          <w:rFonts w:hint="eastAsia" w:ascii="黑体" w:hAnsi="黑体" w:eastAsia="黑体"/>
          <w:b w:val="0"/>
          <w:sz w:val="32"/>
          <w:szCs w:val="32"/>
        </w:rPr>
        <w:t>政府性基金预算支出决算情况说明</w:t>
      </w:r>
      <w:bookmarkEnd w:id="82"/>
      <w:bookmarkEnd w:id="83"/>
      <w:bookmarkEnd w:id="84"/>
      <w:bookmarkEnd w:id="85"/>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2020年政府性基金预算拨款支出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p>
    <w:p>
      <w:pPr>
        <w:numPr>
          <w:ilvl w:val="0"/>
          <w:numId w:val="3"/>
        </w:numPr>
        <w:spacing w:line="600" w:lineRule="exact"/>
        <w:ind w:firstLine="640"/>
        <w:outlineLvl w:val="1"/>
        <w:rPr>
          <w:rStyle w:val="26"/>
          <w:rFonts w:ascii="黑体" w:hAnsi="黑体" w:eastAsia="黑体"/>
          <w:b w:val="0"/>
          <w:sz w:val="32"/>
          <w:szCs w:val="32"/>
        </w:rPr>
      </w:pPr>
      <w:bookmarkStart w:id="86" w:name="_Toc79163623"/>
      <w:bookmarkStart w:id="87" w:name="_Toc15377219"/>
      <w:bookmarkStart w:id="88" w:name="_Toc79163873"/>
      <w:bookmarkStart w:id="89" w:name="_Toc15396611"/>
      <w:r>
        <w:rPr>
          <w:rStyle w:val="26"/>
          <w:rFonts w:hint="eastAsia" w:ascii="黑体" w:hAnsi="黑体" w:eastAsia="黑体"/>
          <w:b w:val="0"/>
          <w:sz w:val="32"/>
          <w:szCs w:val="32"/>
        </w:rPr>
        <w:t>国有资本经营预算支出决算情况说明</w:t>
      </w:r>
      <w:bookmarkEnd w:id="86"/>
      <w:bookmarkEnd w:id="87"/>
      <w:bookmarkEnd w:id="88"/>
      <w:bookmarkEnd w:id="89"/>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2020年国有资本经营预算拨款支出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p>
    <w:p>
      <w:pPr>
        <w:spacing w:line="600" w:lineRule="exact"/>
        <w:ind w:firstLine="800" w:firstLineChars="250"/>
        <w:outlineLvl w:val="1"/>
        <w:rPr>
          <w:rStyle w:val="26"/>
          <w:rFonts w:ascii="黑体" w:hAnsi="黑体" w:eastAsia="黑体"/>
          <w:sz w:val="32"/>
          <w:szCs w:val="32"/>
        </w:rPr>
      </w:pPr>
      <w:bookmarkStart w:id="90" w:name="_Toc79163874"/>
      <w:bookmarkStart w:id="91" w:name="_Toc79163624"/>
      <w:bookmarkStart w:id="92" w:name="_Toc15377221"/>
      <w:bookmarkStart w:id="93" w:name="_Toc15396612"/>
      <w:r>
        <w:rPr>
          <w:rFonts w:hint="eastAsia" w:ascii="黑体" w:hAnsi="黑体" w:eastAsia="黑体"/>
          <w:color w:val="000000"/>
          <w:sz w:val="32"/>
          <w:szCs w:val="32"/>
        </w:rPr>
        <w:t>十</w:t>
      </w:r>
      <w:r>
        <w:rPr>
          <w:rStyle w:val="26"/>
          <w:rFonts w:hint="eastAsia" w:ascii="黑体" w:hAnsi="黑体" w:eastAsia="黑体"/>
          <w:sz w:val="32"/>
          <w:szCs w:val="32"/>
        </w:rPr>
        <w:t>、</w:t>
      </w:r>
      <w:r>
        <w:rPr>
          <w:rStyle w:val="26"/>
          <w:rFonts w:hint="eastAsia" w:ascii="黑体" w:hAnsi="黑体" w:eastAsia="黑体"/>
          <w:b w:val="0"/>
          <w:sz w:val="32"/>
          <w:szCs w:val="32"/>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79163875"/>
      <w:bookmarkStart w:id="95" w:name="_Toc7916362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2020年，</w:t>
      </w:r>
      <w:r>
        <w:rPr>
          <w:rFonts w:hint="eastAsia" w:ascii="仿宋" w:hAnsi="仿宋" w:eastAsia="仿宋" w:cs="仿宋"/>
          <w:color w:val="000000"/>
          <w:sz w:val="32"/>
          <w:szCs w:val="32"/>
          <w:lang w:val="en-US" w:eastAsia="zh-CN"/>
        </w:rPr>
        <w:t>社保局</w:t>
      </w:r>
      <w:r>
        <w:rPr>
          <w:rFonts w:hint="eastAsia" w:ascii="仿宋" w:hAnsi="仿宋" w:eastAsia="仿宋" w:cs="仿宋"/>
          <w:color w:val="000000"/>
          <w:sz w:val="32"/>
          <w:szCs w:val="32"/>
        </w:rPr>
        <w:t>机关运行经费支出</w:t>
      </w:r>
      <w:r>
        <w:rPr>
          <w:rFonts w:hint="eastAsia" w:ascii="仿宋" w:hAnsi="仿宋" w:eastAsia="仿宋" w:cs="仿宋"/>
          <w:color w:val="000000"/>
          <w:sz w:val="32"/>
          <w:szCs w:val="32"/>
          <w:lang w:val="en-US" w:eastAsia="zh-CN"/>
        </w:rPr>
        <w:t>8.05</w:t>
      </w:r>
      <w:r>
        <w:rPr>
          <w:rFonts w:hint="eastAsia" w:ascii="仿宋" w:hAnsi="仿宋" w:eastAsia="仿宋" w:cs="仿宋"/>
          <w:color w:val="000000"/>
          <w:sz w:val="32"/>
          <w:szCs w:val="32"/>
        </w:rPr>
        <w:t>万元，比2019年减少</w:t>
      </w:r>
      <w:r>
        <w:rPr>
          <w:rFonts w:hint="eastAsia" w:ascii="仿宋" w:hAnsi="仿宋" w:eastAsia="仿宋" w:cs="仿宋"/>
          <w:color w:val="000000"/>
          <w:sz w:val="32"/>
          <w:szCs w:val="32"/>
          <w:lang w:val="en-US" w:eastAsia="zh-CN"/>
        </w:rPr>
        <w:t>7.93</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49.62</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val="en-US" w:eastAsia="zh-CN"/>
        </w:rPr>
        <w:t>人员减少。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6"/>
      <w:bookmarkStart w:id="98" w:name="_Toc15377223"/>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2020年，</w:t>
      </w:r>
      <w:r>
        <w:rPr>
          <w:rFonts w:hint="eastAsia" w:ascii="仿宋" w:hAnsi="仿宋" w:eastAsia="仿宋" w:cs="仿宋"/>
          <w:color w:val="000000"/>
          <w:sz w:val="32"/>
          <w:szCs w:val="32"/>
          <w:lang w:val="en-US" w:eastAsia="zh-CN"/>
        </w:rPr>
        <w:t>茂县社保局</w:t>
      </w:r>
      <w:r>
        <w:rPr>
          <w:rFonts w:hint="eastAsia" w:ascii="仿宋" w:hAnsi="仿宋" w:eastAsia="仿宋" w:cs="仿宋"/>
          <w:color w:val="000000"/>
          <w:sz w:val="32"/>
          <w:szCs w:val="32"/>
        </w:rPr>
        <w:t>政府采购支出总额</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截至2020年12月31日，</w:t>
      </w:r>
      <w:r>
        <w:rPr>
          <w:rFonts w:hint="eastAsia" w:ascii="仿宋" w:hAnsi="仿宋" w:eastAsia="仿宋" w:cs="仿宋"/>
          <w:color w:val="000000"/>
          <w:sz w:val="32"/>
          <w:szCs w:val="32"/>
          <w:lang w:val="en-US" w:eastAsia="zh-CN"/>
        </w:rPr>
        <w:t>茂县社保局</w:t>
      </w:r>
      <w:r>
        <w:rPr>
          <w:rFonts w:hint="eastAsia" w:ascii="仿宋" w:hAnsi="仿宋" w:eastAsia="仿宋" w:cs="仿宋"/>
          <w:color w:val="000000"/>
          <w:sz w:val="32"/>
          <w:szCs w:val="32"/>
        </w:rPr>
        <w:t>共有车辆</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（四）预算绩效管理情况。</w:t>
      </w:r>
      <w:bookmarkEnd w:id="103"/>
      <w:bookmarkEnd w:id="104"/>
    </w:p>
    <w:p>
      <w:pPr>
        <w:pStyle w:val="41"/>
        <w:spacing w:line="600" w:lineRule="exact"/>
        <w:ind w:right="84" w:rightChars="40" w:firstLine="640" w:firstLineChars="200"/>
        <w:rPr>
          <w:rStyle w:val="42"/>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rPr>
        <w:t>根据预算绩效管理要求，</w:t>
      </w:r>
      <w:r>
        <w:rPr>
          <w:rFonts w:hint="eastAsia" w:ascii="仿宋" w:hAnsi="仿宋" w:eastAsia="仿宋" w:cs="仿宋"/>
          <w:sz w:val="32"/>
          <w:szCs w:val="32"/>
        </w:rPr>
        <w:t>本部门按要求对20</w:t>
      </w:r>
      <w:r>
        <w:rPr>
          <w:rFonts w:hint="eastAsia" w:ascii="仿宋" w:hAnsi="仿宋" w:eastAsia="仿宋" w:cs="仿宋"/>
          <w:sz w:val="32"/>
          <w:szCs w:val="32"/>
          <w:lang w:val="en-US" w:eastAsia="zh-CN"/>
        </w:rPr>
        <w:t>20</w:t>
      </w:r>
      <w:r>
        <w:rPr>
          <w:rFonts w:hint="eastAsia" w:ascii="仿宋" w:hAnsi="仿宋" w:eastAsia="仿宋" w:cs="仿宋"/>
          <w:sz w:val="32"/>
          <w:szCs w:val="32"/>
        </w:rPr>
        <w:t>年部门整体支出开展绩效自评，从评价情况来看，我局严格按照预算进行部门整体支出</w:t>
      </w:r>
      <w:r>
        <w:rPr>
          <w:rFonts w:hint="eastAsia" w:ascii="仿宋" w:hAnsi="仿宋" w:eastAsia="仿宋" w:cs="仿宋"/>
          <w:sz w:val="32"/>
          <w:szCs w:val="32"/>
          <w:lang w:eastAsia="zh-CN"/>
        </w:rPr>
        <w:t>，</w:t>
      </w:r>
      <w:r>
        <w:rPr>
          <w:rFonts w:hint="eastAsia" w:ascii="仿宋" w:hAnsi="仿宋" w:eastAsia="仿宋" w:cs="仿宋"/>
          <w:sz w:val="32"/>
          <w:szCs w:val="32"/>
        </w:rPr>
        <w:t>及时总结经验，改进管理措施，不断增强和落实绩效管理责任，完善工作机制，有效提高资金管理水平和使用效益</w:t>
      </w:r>
      <w:r>
        <w:rPr>
          <w:rStyle w:val="42"/>
          <w:rFonts w:hint="eastAsia" w:ascii="仿宋" w:hAnsi="仿宋" w:eastAsia="仿宋" w:cs="仿宋"/>
          <w:color w:val="000000"/>
          <w:sz w:val="32"/>
          <w:szCs w:val="32"/>
          <w:shd w:val="clear" w:color="auto" w:fill="FFFFFF"/>
        </w:rPr>
        <w:t> </w:t>
      </w:r>
    </w:p>
    <w:p>
      <w:pPr>
        <w:spacing w:line="600" w:lineRule="exact"/>
        <w:ind w:firstLine="640" w:firstLineChars="200"/>
        <w:rPr>
          <w:rFonts w:hint="eastAsia" w:ascii="仿宋" w:hAnsi="仿宋" w:eastAsia="仿宋" w:cs="仿宋"/>
          <w:sz w:val="32"/>
          <w:szCs w:val="32"/>
        </w:rPr>
      </w:pPr>
      <w:bookmarkStart w:id="105" w:name="_Toc79163879"/>
      <w:bookmarkStart w:id="106" w:name="_Toc15377225"/>
      <w:bookmarkStart w:id="107" w:name="_Toc15396613"/>
      <w:bookmarkStart w:id="108" w:name="_Toc79163629"/>
      <w:r>
        <w:rPr>
          <w:rFonts w:hint="eastAsia" w:ascii="仿宋" w:hAnsi="仿宋" w:eastAsia="仿宋" w:cs="仿宋"/>
          <w:sz w:val="32"/>
          <w:szCs w:val="32"/>
        </w:rPr>
        <w:t>本部门按要求对20</w:t>
      </w:r>
      <w:r>
        <w:rPr>
          <w:rFonts w:hint="eastAsia" w:ascii="仿宋" w:hAnsi="仿宋" w:eastAsia="仿宋" w:cs="仿宋"/>
          <w:sz w:val="32"/>
          <w:szCs w:val="32"/>
          <w:lang w:val="en-US" w:eastAsia="zh-CN"/>
        </w:rPr>
        <w:t>20</w:t>
      </w:r>
      <w:r>
        <w:rPr>
          <w:rFonts w:hint="eastAsia" w:ascii="仿宋" w:hAnsi="仿宋" w:eastAsia="仿宋" w:cs="仿宋"/>
          <w:sz w:val="32"/>
          <w:szCs w:val="32"/>
        </w:rPr>
        <w:t>年部门整体支出绩效评价情况开展自评，《茂县社会保险事业管理局20</w:t>
      </w:r>
      <w:r>
        <w:rPr>
          <w:rFonts w:hint="eastAsia" w:ascii="仿宋" w:hAnsi="仿宋" w:eastAsia="仿宋" w:cs="仿宋"/>
          <w:sz w:val="32"/>
          <w:szCs w:val="32"/>
          <w:lang w:val="en-US" w:eastAsia="zh-CN"/>
        </w:rPr>
        <w:t>20</w:t>
      </w:r>
      <w:r>
        <w:rPr>
          <w:rFonts w:hint="eastAsia" w:ascii="仿宋" w:hAnsi="仿宋" w:eastAsia="仿宋" w:cs="仿宋"/>
          <w:sz w:val="32"/>
          <w:szCs w:val="32"/>
        </w:rPr>
        <w:t>年部门整体支出绩效评价报告》见附件</w:t>
      </w:r>
      <w:r>
        <w:rPr>
          <w:rFonts w:hint="eastAsia" w:ascii="仿宋" w:hAnsi="仿宋" w:eastAsia="仿宋" w:cs="仿宋"/>
          <w:sz w:val="32"/>
          <w:szCs w:val="32"/>
          <w:lang w:val="en-US" w:eastAsia="zh-CN"/>
        </w:rPr>
        <w:t>1</w:t>
      </w:r>
      <w:bookmarkStart w:id="161" w:name="_GoBack"/>
      <w:bookmarkEnd w:id="161"/>
      <w:r>
        <w:rPr>
          <w:rFonts w:hint="eastAsia" w:ascii="仿宋" w:hAnsi="仿宋" w:eastAsia="仿宋" w:cs="仿宋"/>
          <w:sz w:val="32"/>
          <w:szCs w:val="32"/>
        </w:rPr>
        <w:t>。</w:t>
      </w:r>
    </w:p>
    <w:p>
      <w:pPr>
        <w:pStyle w:val="14"/>
        <w:rPr>
          <w:rFonts w:hint="eastAsia" w:ascii="仿宋" w:hAnsi="仿宋" w:eastAsia="仿宋" w:cs="仿宋"/>
          <w:sz w:val="32"/>
          <w:szCs w:val="32"/>
        </w:rPr>
      </w:pPr>
    </w:p>
    <w:p>
      <w:pPr>
        <w:pStyle w:val="14"/>
        <w:rPr>
          <w:rFonts w:hint="eastAsia" w:ascii="仿宋" w:hAnsi="仿宋" w:eastAsia="仿宋" w:cs="仿宋"/>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pStyle w:val="14"/>
        <w:rPr>
          <w:rFonts w:hint="eastAsia" w:ascii="仿宋_GB2312" w:hAnsi="仿宋_GB2312" w:eastAsia="仿宋_GB2312" w:cs="仿宋_GB2312"/>
          <w:sz w:val="32"/>
          <w:szCs w:val="32"/>
        </w:rPr>
      </w:pPr>
    </w:p>
    <w:p>
      <w:pPr>
        <w:numPr>
          <w:ilvl w:val="0"/>
          <w:numId w:val="4"/>
        </w:numPr>
        <w:spacing w:line="600" w:lineRule="exact"/>
        <w:ind w:firstLine="660" w:firstLineChars="150"/>
        <w:jc w:val="center"/>
        <w:outlineLvl w:val="0"/>
        <w:rPr>
          <w:rStyle w:val="25"/>
          <w:rFonts w:ascii="黑体" w:hAnsi="黑体" w:eastAsia="黑体"/>
          <w:b w:val="0"/>
        </w:rPr>
      </w:pPr>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2.事业收入：指事业单位开展专业业务活动及辅助活动取得的收入。</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3.经营收入：指事业单位在专业业务活动及其辅助活动之外开展非独立核算经营活动取得的收入。</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4.其他收入：指单位取得的除上述收入以外的各项收入。 </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5.使用非财政拨款结余：指事业单位使用以前年度积累的非财政拨款结余弥补当年收支差额的金额。 </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6.年初结转和结余：指以前年度尚未完成、结转到本年按有关规定继续使用的资金。 </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7.结余分配：指事业单位按照会计制度规定缴纳的所得税、提取的专用结余以及转入非财政拨款结余的金额等。</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8、年末结转和结余：指单位按有关规定结转到下年或以后年度继续使用的资金。</w:t>
      </w:r>
    </w:p>
    <w:p>
      <w:pPr>
        <w:pStyle w:val="35"/>
        <w:spacing w:line="600" w:lineRule="exact"/>
        <w:ind w:firstLine="640" w:firstLineChars="200"/>
        <w:jc w:val="both"/>
        <w:rPr>
          <w:rStyle w:val="23"/>
          <w:rFonts w:hint="eastAsia" w:ascii="仿宋" w:hAnsi="仿宋" w:eastAsia="仿宋" w:cs="仿宋"/>
          <w:b w:val="0"/>
          <w:bCs w:val="0"/>
          <w:sz w:val="32"/>
          <w:szCs w:val="32"/>
        </w:rPr>
      </w:pPr>
      <w:r>
        <w:rPr>
          <w:rStyle w:val="23"/>
          <w:rFonts w:hint="eastAsia" w:ascii="仿宋" w:hAnsi="仿宋" w:eastAsia="仿宋" w:cs="仿宋"/>
          <w:b w:val="0"/>
          <w:bCs w:val="0"/>
          <w:sz w:val="32"/>
          <w:szCs w:val="32"/>
        </w:rPr>
        <w:t>9.</w:t>
      </w:r>
      <w:r>
        <w:rPr>
          <w:rStyle w:val="23"/>
          <w:rFonts w:hint="eastAsia" w:ascii="仿宋" w:hAnsi="仿宋" w:eastAsia="仿宋" w:cs="仿宋"/>
          <w:b w:val="0"/>
          <w:bCs w:val="0"/>
          <w:color w:val="000000"/>
          <w:sz w:val="32"/>
          <w:szCs w:val="32"/>
        </w:rPr>
        <w:t>社会保障和就业</w:t>
      </w:r>
      <w:r>
        <w:rPr>
          <w:rStyle w:val="23"/>
          <w:rFonts w:hint="eastAsia" w:ascii="仿宋" w:hAnsi="仿宋" w:eastAsia="仿宋" w:cs="仿宋"/>
          <w:b w:val="0"/>
          <w:bCs w:val="0"/>
          <w:color w:val="000000"/>
          <w:sz w:val="32"/>
          <w:szCs w:val="32"/>
          <w:lang w:val="en-US" w:eastAsia="zh-CN"/>
        </w:rPr>
        <w:t>支出</w:t>
      </w:r>
      <w:r>
        <w:rPr>
          <w:rStyle w:val="23"/>
          <w:rFonts w:hint="eastAsia" w:ascii="仿宋" w:hAnsi="仿宋" w:eastAsia="仿宋" w:cs="仿宋"/>
          <w:b w:val="0"/>
          <w:bCs w:val="0"/>
          <w:color w:val="000000"/>
          <w:sz w:val="32"/>
          <w:szCs w:val="32"/>
        </w:rPr>
        <w:t>(类)</w:t>
      </w:r>
      <w:r>
        <w:rPr>
          <w:rFonts w:hint="eastAsia" w:ascii="仿宋" w:hAnsi="仿宋" w:eastAsia="仿宋" w:cs="仿宋"/>
          <w:b w:val="0"/>
          <w:bCs w:val="0"/>
          <w:sz w:val="32"/>
          <w:szCs w:val="32"/>
        </w:rPr>
        <w:t xml:space="preserve"> 人力资源和社会保障管理事务(款)行政运行（项）</w:t>
      </w:r>
      <w:r>
        <w:rPr>
          <w:rStyle w:val="23"/>
          <w:rFonts w:hint="eastAsia" w:ascii="仿宋" w:hAnsi="仿宋" w:eastAsia="仿宋" w:cs="仿宋"/>
          <w:b w:val="0"/>
          <w:bCs w:val="0"/>
          <w:sz w:val="32"/>
          <w:szCs w:val="32"/>
        </w:rPr>
        <w:t>：</w:t>
      </w:r>
      <w:r>
        <w:rPr>
          <w:rStyle w:val="23"/>
          <w:rFonts w:hint="eastAsia" w:ascii="仿宋" w:hAnsi="仿宋" w:eastAsia="仿宋" w:cs="仿宋"/>
          <w:b w:val="0"/>
          <w:bCs w:val="0"/>
          <w:sz w:val="32"/>
          <w:szCs w:val="32"/>
          <w:lang w:val="en-US" w:eastAsia="zh-CN"/>
        </w:rPr>
        <w:t>指</w:t>
      </w:r>
      <w:r>
        <w:rPr>
          <w:rStyle w:val="23"/>
          <w:rFonts w:hint="eastAsia" w:ascii="仿宋" w:hAnsi="仿宋" w:eastAsia="仿宋" w:cs="仿宋"/>
          <w:b w:val="0"/>
          <w:bCs w:val="0"/>
          <w:sz w:val="32"/>
          <w:szCs w:val="32"/>
        </w:rPr>
        <w:t>机关单位用于保障机构正常运行、开展日常工作的基本支出。</w:t>
      </w:r>
    </w:p>
    <w:p>
      <w:pPr>
        <w:spacing w:line="60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10.</w:t>
      </w:r>
      <w:r>
        <w:rPr>
          <w:rStyle w:val="23"/>
          <w:rFonts w:hint="eastAsia" w:ascii="仿宋" w:hAnsi="仿宋" w:eastAsia="仿宋" w:cs="仿宋"/>
          <w:b w:val="0"/>
          <w:bCs w:val="0"/>
          <w:color w:val="000000"/>
          <w:sz w:val="32"/>
          <w:szCs w:val="32"/>
        </w:rPr>
        <w:t>社会保障和就业</w:t>
      </w:r>
      <w:r>
        <w:rPr>
          <w:rStyle w:val="23"/>
          <w:rFonts w:hint="eastAsia" w:ascii="仿宋" w:hAnsi="仿宋" w:eastAsia="仿宋" w:cs="仿宋"/>
          <w:b w:val="0"/>
          <w:bCs w:val="0"/>
          <w:color w:val="000000"/>
          <w:sz w:val="32"/>
          <w:szCs w:val="32"/>
          <w:lang w:val="en-US" w:eastAsia="zh-CN"/>
        </w:rPr>
        <w:t>支出</w:t>
      </w:r>
      <w:r>
        <w:rPr>
          <w:rStyle w:val="23"/>
          <w:rFonts w:hint="eastAsia" w:ascii="仿宋" w:hAnsi="仿宋" w:eastAsia="仿宋" w:cs="仿宋"/>
          <w:b w:val="0"/>
          <w:bCs w:val="0"/>
          <w:color w:val="000000"/>
          <w:sz w:val="32"/>
          <w:szCs w:val="32"/>
        </w:rPr>
        <w:t>(类)</w:t>
      </w:r>
      <w:r>
        <w:rPr>
          <w:rFonts w:hint="eastAsia" w:ascii="仿宋" w:hAnsi="仿宋" w:eastAsia="仿宋" w:cs="仿宋"/>
          <w:b w:val="0"/>
          <w:bCs w:val="0"/>
          <w:sz w:val="32"/>
          <w:szCs w:val="32"/>
        </w:rPr>
        <w:t xml:space="preserve"> 人力资源和社会保障管理事务(款)社会保险经办机构（项）：指社会保险经办机构开展业务工作的支出。</w:t>
      </w:r>
    </w:p>
    <w:p>
      <w:pPr>
        <w:pStyle w:val="2"/>
        <w:rPr>
          <w:rFonts w:hint="eastAsia" w:ascii="仿宋" w:hAnsi="仿宋" w:eastAsia="仿宋" w:cs="仿宋"/>
          <w:b w:val="0"/>
          <w:bCs w:val="0"/>
          <w:lang w:val="en-US" w:eastAsia="zh-CN"/>
        </w:rPr>
      </w:pPr>
      <w:r>
        <w:rPr>
          <w:rStyle w:val="23"/>
          <w:rFonts w:hint="eastAsia" w:ascii="仿宋" w:hAnsi="仿宋" w:eastAsia="仿宋" w:cs="仿宋"/>
          <w:b w:val="0"/>
          <w:bCs w:val="0"/>
          <w:color w:val="000000"/>
          <w:sz w:val="32"/>
          <w:szCs w:val="32"/>
          <w:lang w:val="en-US" w:eastAsia="zh-CN"/>
        </w:rPr>
        <w:t>11.</w:t>
      </w:r>
      <w:r>
        <w:rPr>
          <w:rStyle w:val="23"/>
          <w:rFonts w:hint="eastAsia" w:ascii="仿宋" w:hAnsi="仿宋" w:eastAsia="仿宋" w:cs="仿宋"/>
          <w:b w:val="0"/>
          <w:bCs w:val="0"/>
          <w:color w:val="000000"/>
          <w:sz w:val="32"/>
          <w:szCs w:val="32"/>
        </w:rPr>
        <w:t>社会保障和就业</w:t>
      </w:r>
      <w:r>
        <w:rPr>
          <w:rStyle w:val="23"/>
          <w:rFonts w:hint="eastAsia" w:ascii="仿宋" w:hAnsi="仿宋" w:eastAsia="仿宋" w:cs="仿宋"/>
          <w:b w:val="0"/>
          <w:bCs w:val="0"/>
          <w:color w:val="000000"/>
          <w:sz w:val="32"/>
          <w:szCs w:val="32"/>
          <w:lang w:val="en-US" w:eastAsia="zh-CN"/>
        </w:rPr>
        <w:t>支出</w:t>
      </w:r>
      <w:r>
        <w:rPr>
          <w:rStyle w:val="23"/>
          <w:rFonts w:hint="eastAsia" w:ascii="仿宋" w:hAnsi="仿宋" w:eastAsia="仿宋" w:cs="仿宋"/>
          <w:b w:val="0"/>
          <w:bCs w:val="0"/>
          <w:color w:val="000000"/>
          <w:sz w:val="32"/>
          <w:szCs w:val="32"/>
        </w:rPr>
        <w:t>(类)</w:t>
      </w:r>
      <w:r>
        <w:rPr>
          <w:rFonts w:hint="eastAsia" w:ascii="仿宋" w:hAnsi="仿宋" w:eastAsia="仿宋" w:cs="仿宋"/>
          <w:b w:val="0"/>
          <w:bCs w:val="0"/>
          <w:sz w:val="32"/>
          <w:szCs w:val="32"/>
        </w:rPr>
        <w:t xml:space="preserve"> 人力资源和社会保障管理事务(款)</w:t>
      </w:r>
      <w:r>
        <w:rPr>
          <w:rFonts w:hint="eastAsia" w:ascii="仿宋" w:hAnsi="仿宋" w:eastAsia="仿宋" w:cs="仿宋"/>
          <w:b w:val="0"/>
          <w:bCs w:val="0"/>
          <w:sz w:val="32"/>
          <w:szCs w:val="32"/>
          <w:lang w:val="en-US" w:eastAsia="zh-CN"/>
        </w:rPr>
        <w:t>其他人力资源和社会保障管理事务支出</w:t>
      </w:r>
      <w:r>
        <w:rPr>
          <w:rFonts w:hint="eastAsia" w:ascii="仿宋" w:hAnsi="仿宋" w:eastAsia="仿宋" w:cs="仿宋"/>
          <w:b w:val="0"/>
          <w:bCs w:val="0"/>
          <w:sz w:val="32"/>
          <w:szCs w:val="32"/>
        </w:rPr>
        <w:t>（项）</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指用于其他其他人力资源和社会保障管理事务方面支出。</w:t>
      </w:r>
    </w:p>
    <w:p>
      <w:pPr>
        <w:spacing w:line="60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w:t>
      </w:r>
      <w:r>
        <w:rPr>
          <w:rStyle w:val="23"/>
          <w:rFonts w:hint="eastAsia" w:ascii="仿宋" w:hAnsi="仿宋" w:eastAsia="仿宋" w:cs="仿宋"/>
          <w:b w:val="0"/>
          <w:bCs w:val="0"/>
          <w:color w:val="000000"/>
          <w:sz w:val="32"/>
          <w:szCs w:val="32"/>
        </w:rPr>
        <w:t>社会保障和就业</w:t>
      </w:r>
      <w:r>
        <w:rPr>
          <w:rStyle w:val="23"/>
          <w:rFonts w:hint="eastAsia" w:ascii="仿宋" w:hAnsi="仿宋" w:eastAsia="仿宋" w:cs="仿宋"/>
          <w:b w:val="0"/>
          <w:bCs w:val="0"/>
          <w:color w:val="000000"/>
          <w:sz w:val="32"/>
          <w:szCs w:val="32"/>
          <w:lang w:val="en-US" w:eastAsia="zh-CN"/>
        </w:rPr>
        <w:t>支出</w:t>
      </w:r>
      <w:r>
        <w:rPr>
          <w:rStyle w:val="23"/>
          <w:rFonts w:hint="eastAsia" w:ascii="仿宋" w:hAnsi="仿宋" w:eastAsia="仿宋" w:cs="仿宋"/>
          <w:b w:val="0"/>
          <w:bCs w:val="0"/>
          <w:color w:val="000000"/>
          <w:sz w:val="32"/>
          <w:szCs w:val="32"/>
        </w:rPr>
        <w:t>(类)</w:t>
      </w:r>
      <w:r>
        <w:rPr>
          <w:rFonts w:hint="eastAsia" w:ascii="仿宋" w:hAnsi="仿宋" w:eastAsia="仿宋" w:cs="仿宋"/>
          <w:b w:val="0"/>
          <w:bCs w:val="0"/>
          <w:sz w:val="32"/>
          <w:szCs w:val="32"/>
        </w:rPr>
        <w:t>行政事业单位养老支出(款) 机关事业单位基本养老保险缴费支出（项）：指机关事业单位实施养老保险制度由单位缴纳的基本养老保险费支出。</w:t>
      </w:r>
    </w:p>
    <w:p>
      <w:pPr>
        <w:spacing w:line="60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社会保障和就业支出（类）行政事业单位养老支出（款）机关事业单位职业年金缴费支出（项）</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指机关事业单位养老保险制度由单位缴纳的职业年金支出。</w:t>
      </w:r>
    </w:p>
    <w:p>
      <w:pPr>
        <w:spacing w:line="60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.卫生健康支出（类）行政事业单位医疗（款）行政单位医疗（项）：指财政部门集中安排的行政单位基本医疗保险缴费。</w:t>
      </w:r>
    </w:p>
    <w:p>
      <w:pPr>
        <w:spacing w:line="60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住房保障支出（类）住房改革支出（款）住房公积金（项）：指行政事业单位按规定的标准和比例为职工缴纳的住房公积金。</w:t>
      </w:r>
    </w:p>
    <w:p>
      <w:pPr>
        <w:spacing w:line="600" w:lineRule="exact"/>
        <w:ind w:firstLine="640" w:firstLineChars="200"/>
        <w:rPr>
          <w:rFonts w:hint="eastAsia" w:ascii="仿宋" w:hAnsi="仿宋" w:eastAsia="仿宋" w:cs="仿宋"/>
          <w:sz w:val="32"/>
          <w:szCs w:val="32"/>
          <w:lang w:val="en-US" w:eastAsia="zh-CN"/>
        </w:rPr>
      </w:pPr>
      <w:r>
        <w:rPr>
          <w:rStyle w:val="23"/>
          <w:rFonts w:hint="eastAsia" w:ascii="仿宋" w:hAnsi="仿宋" w:eastAsia="仿宋" w:cs="仿宋"/>
          <w:b w:val="0"/>
          <w:bCs w:val="0"/>
          <w:color w:val="000000"/>
          <w:sz w:val="32"/>
          <w:szCs w:val="32"/>
          <w:lang w:val="en-US" w:eastAsia="zh-CN"/>
        </w:rPr>
        <w:t>16</w:t>
      </w:r>
      <w:r>
        <w:rPr>
          <w:rStyle w:val="23"/>
          <w:rFonts w:hint="eastAsia" w:ascii="仿宋" w:hAnsi="仿宋" w:eastAsia="仿宋" w:cs="仿宋"/>
          <w:b w:val="0"/>
          <w:bCs w:val="0"/>
          <w:color w:val="000000"/>
          <w:sz w:val="32"/>
          <w:szCs w:val="32"/>
        </w:rPr>
        <w:t>.</w:t>
      </w:r>
      <w:r>
        <w:rPr>
          <w:rFonts w:hint="eastAsia" w:ascii="仿宋" w:hAnsi="仿宋" w:eastAsia="仿宋" w:cs="仿宋"/>
          <w:b w:val="0"/>
          <w:bCs w:val="0"/>
          <w:sz w:val="32"/>
          <w:szCs w:val="32"/>
        </w:rPr>
        <w:t>住房保障支出（类）住房改革支出（款）购房补贴（项）</w:t>
      </w:r>
      <w:r>
        <w:rPr>
          <w:rFonts w:hint="eastAsia" w:ascii="仿宋" w:hAnsi="仿宋" w:eastAsia="仿宋" w:cs="仿宋"/>
          <w:sz w:val="32"/>
          <w:szCs w:val="32"/>
        </w:rPr>
        <w:t>：</w:t>
      </w:r>
      <w:r>
        <w:rPr>
          <w:rFonts w:hint="eastAsia" w:ascii="仿宋" w:hAnsi="仿宋" w:eastAsia="仿宋" w:cs="仿宋"/>
          <w:sz w:val="32"/>
          <w:szCs w:val="32"/>
          <w:lang w:val="en-US" w:eastAsia="zh-CN"/>
        </w:rPr>
        <w:t>指按房改政策规定，行政事业单位向符合条件职工、军队向转役复员离退休人员发放的用于购买住房的补贴。</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17</w:t>
      </w:r>
      <w:r>
        <w:rPr>
          <w:rFonts w:hint="eastAsia" w:ascii="仿宋" w:hAnsi="仿宋" w:eastAsia="仿宋" w:cs="仿宋"/>
          <w:color w:val="000000"/>
          <w:sz w:val="32"/>
          <w:szCs w:val="32"/>
        </w:rPr>
        <w:t>.基本支出：指为保障机构正常运转、完成日常工作任务而发生的人员支出和公用支出。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18</w:t>
      </w:r>
      <w:r>
        <w:rPr>
          <w:rFonts w:hint="eastAsia" w:ascii="仿宋" w:hAnsi="仿宋" w:eastAsia="仿宋" w:cs="仿宋"/>
          <w:color w:val="000000"/>
          <w:sz w:val="32"/>
          <w:szCs w:val="32"/>
        </w:rPr>
        <w:t xml:space="preserve">.项目支出：指在基本支出之外为完成特定行政任务和事业发展目标所发生的支出。 </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19</w:t>
      </w:r>
      <w:r>
        <w:rPr>
          <w:rFonts w:hint="eastAsia" w:ascii="仿宋" w:hAnsi="仿宋" w:eastAsia="仿宋" w:cs="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w:t>
      </w:r>
      <w:r>
        <w:rPr>
          <w:rFonts w:hint="eastAsia" w:ascii="仿宋" w:hAnsi="仿宋" w:eastAsia="仿宋" w:cs="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仿宋" w:hAnsi="仿宋" w:eastAsia="仿宋" w:cs="仿宋"/>
          <w:color w:val="000000"/>
          <w:sz w:val="44"/>
          <w:szCs w:val="44"/>
        </w:rPr>
      </w:pPr>
      <w:bookmarkStart w:id="109" w:name="_Toc15396614"/>
      <w:bookmarkStart w:id="110" w:name="_Toc79163880"/>
      <w:bookmarkStart w:id="111" w:name="_Toc79163630"/>
      <w:bookmarkStart w:id="112" w:name="_Toc15377226"/>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14"/>
        <w:rPr>
          <w:rFonts w:hint="eastAsia"/>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lang w:val="en-US" w:eastAsia="zh-CN"/>
        </w:rPr>
      </w:pPr>
      <w:bookmarkStart w:id="115" w:name="_Toc79163882"/>
      <w:bookmarkStart w:id="116" w:name="_Toc79163632"/>
      <w:r>
        <w:rPr>
          <w:rFonts w:hint="eastAsia" w:ascii="方正小标宋简体" w:hAnsi="黑体" w:eastAsia="方正小标宋简体" w:cs="黑体"/>
          <w:sz w:val="44"/>
          <w:szCs w:val="44"/>
          <w:lang w:val="en-US" w:eastAsia="zh-CN"/>
        </w:rPr>
        <w:t>茂县社会保险事业管理局</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600" w:lineRule="exact"/>
        <w:ind w:firstLine="640" w:firstLineChars="200"/>
        <w:contextualSpacing/>
        <w:jc w:val="left"/>
        <w:rPr>
          <w:rFonts w:ascii="黑体" w:hAnsi="黑体" w:eastAsia="黑体" w:cs="宋体"/>
          <w:color w:val="000000"/>
          <w:kern w:val="0"/>
          <w:sz w:val="32"/>
          <w:szCs w:val="32"/>
          <w:shd w:val="clear" w:color="auto" w:fill="FFFFFF"/>
          <w:lang w:val="zh-CN"/>
        </w:rPr>
      </w:pPr>
      <w:bookmarkStart w:id="117" w:name="_Toc79163635"/>
      <w:bookmarkStart w:id="118" w:name="_Toc15396618"/>
      <w:bookmarkStart w:id="119" w:name="_Toc79163885"/>
      <w:r>
        <w:rPr>
          <w:rFonts w:hint="eastAsia" w:ascii="黑体" w:hAnsi="黑体" w:eastAsia="黑体" w:cs="宋体"/>
          <w:color w:val="000000"/>
          <w:kern w:val="0"/>
          <w:sz w:val="32"/>
          <w:szCs w:val="32"/>
          <w:shd w:val="clear" w:color="auto" w:fill="FFFFFF"/>
        </w:rPr>
        <w:t>一、</w:t>
      </w:r>
      <w:r>
        <w:rPr>
          <w:rFonts w:hint="eastAsia" w:ascii="黑体" w:hAns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jc w:val="left"/>
        <w:rPr>
          <w:rFonts w:hint="eastAsia" w:ascii="楷体_GB2312" w:hAnsi="宋体" w:eastAsia="楷体_GB2312" w:cs="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（一）机构组成</w:t>
      </w:r>
    </w:p>
    <w:p>
      <w:pPr>
        <w:spacing w:line="600" w:lineRule="exact"/>
        <w:ind w:right="-342" w:rightChars="-163" w:firstLine="640" w:firstLineChars="200"/>
        <w:rPr>
          <w:rFonts w:hint="eastAsia" w:ascii="仿宋" w:hAnsi="仿宋" w:eastAsia="仿宋" w:cs="仿宋"/>
          <w:sz w:val="32"/>
          <w:szCs w:val="32"/>
        </w:rPr>
      </w:pPr>
      <w:r>
        <w:rPr>
          <w:rFonts w:hint="eastAsia" w:ascii="仿宋" w:hAnsi="仿宋" w:eastAsia="仿宋" w:cs="仿宋"/>
          <w:sz w:val="32"/>
          <w:szCs w:val="32"/>
        </w:rPr>
        <w:t>茂县社会保险事业管理局是县政府综合管理全县社会保险工作的职能部门，承担政府职能的管理机构，为副科级财政全额拨款的（参公）事业单位。</w:t>
      </w:r>
      <w:r>
        <w:rPr>
          <w:rFonts w:hint="eastAsia" w:ascii="仿宋" w:hAnsi="仿宋" w:eastAsia="仿宋" w:cs="仿宋"/>
          <w:color w:val="333333"/>
          <w:sz w:val="32"/>
          <w:szCs w:val="32"/>
        </w:rPr>
        <w:t>局内设“五股一室”，即办公室、财务股、机关事业单位养老保险股、职业年金股、退管股、社会保险统一征收股。</w:t>
      </w:r>
    </w:p>
    <w:p>
      <w:pPr>
        <w:widowControl/>
        <w:adjustRightInd w:val="0"/>
        <w:snapToGrid w:val="0"/>
        <w:spacing w:line="580" w:lineRule="exact"/>
        <w:ind w:firstLine="643" w:firstLineChars="200"/>
        <w:jc w:val="left"/>
        <w:rPr>
          <w:rFonts w:hint="eastAsia" w:ascii="楷体_GB2312" w:hAnsi="宋体" w:eastAsia="楷体_GB2312" w:cs="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（二）机构职能</w:t>
      </w:r>
    </w:p>
    <w:p>
      <w:pPr>
        <w:pStyle w:val="8"/>
        <w:adjustRightInd w:val="0"/>
        <w:snapToGrid w:val="0"/>
        <w:spacing w:beforeLines="0" w:line="600" w:lineRule="exact"/>
        <w:ind w:firstLine="672" w:firstLineChars="210"/>
        <w:outlineLvl w:val="2"/>
        <w:rPr>
          <w:rFonts w:hint="eastAsia" w:ascii="仿宋" w:hAnsi="仿宋" w:eastAsia="仿宋" w:cs="仿宋"/>
          <w:bCs/>
          <w:color w:val="000000"/>
          <w:sz w:val="32"/>
          <w:szCs w:val="32"/>
        </w:rPr>
      </w:pPr>
      <w:r>
        <w:rPr>
          <w:rFonts w:hint="eastAsia" w:ascii="仿宋" w:hAnsi="仿宋" w:eastAsia="仿宋" w:cs="仿宋"/>
          <w:color w:val="333333"/>
          <w:sz w:val="32"/>
          <w:szCs w:val="32"/>
        </w:rPr>
        <w:t>贯彻执行国家、省、州有关社会保险政策和法律、法规，负责全县企业基本养老保险、机关事业养老保险、职业年金、工伤保险等社会保险工作。</w:t>
      </w:r>
    </w:p>
    <w:p>
      <w:pPr>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1.负责辖区内参保单位和个人社会保险基金的征收、管理、审核等工作。</w:t>
      </w:r>
    </w:p>
    <w:p>
      <w:pPr>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2.承办辖区参保单位社会保险登记、变更、注销。职工养老保险关系转移，灵活就业人员参保、续保工作。</w:t>
      </w:r>
    </w:p>
    <w:p>
      <w:pPr>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3.审核参保职工养老、工伤申报资料，计算其待遇，按时足额发放待遇。</w:t>
      </w:r>
    </w:p>
    <w:p>
      <w:pPr>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4.负责参保单位和个人养老、工伤保险的日常管理工作；负责社会保险数据、信息的处理和管理，参保个人帐户的建立和管理。</w:t>
      </w:r>
    </w:p>
    <w:p>
      <w:pPr>
        <w:adjustRightInd w:val="0"/>
        <w:snapToGrid w:val="0"/>
        <w:spacing w:line="600" w:lineRule="exact"/>
        <w:ind w:firstLine="640" w:firstLineChars="200"/>
        <w:rPr>
          <w:rFonts w:hint="eastAsia" w:ascii="宋体" w:hAnsi="宋体" w:eastAsia="宋体" w:cs="宋体"/>
          <w:sz w:val="32"/>
          <w:szCs w:val="32"/>
        </w:rPr>
      </w:pPr>
      <w:r>
        <w:rPr>
          <w:rFonts w:hint="eastAsia" w:ascii="仿宋" w:hAnsi="仿宋" w:eastAsia="仿宋" w:cs="仿宋"/>
          <w:sz w:val="32"/>
          <w:szCs w:val="32"/>
        </w:rPr>
        <w:t>5.为参保单位和个人、提供有关养老、工伤保险的政策宣传咨询服务，受理群众来信来访。</w:t>
      </w:r>
    </w:p>
    <w:p>
      <w:pPr>
        <w:widowControl/>
        <w:adjustRightInd w:val="0"/>
        <w:snapToGrid w:val="0"/>
        <w:spacing w:line="580" w:lineRule="exact"/>
        <w:ind w:firstLine="643" w:firstLineChars="200"/>
        <w:jc w:val="left"/>
        <w:rPr>
          <w:rFonts w:hint="eastAsia" w:ascii="楷体_GB2312" w:hAnsi="宋体" w:eastAsia="楷体_GB2312" w:cs="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（三）人员概况</w:t>
      </w:r>
    </w:p>
    <w:p>
      <w:pPr>
        <w:tabs>
          <w:tab w:val="left" w:pos="284"/>
        </w:tabs>
        <w:spacing w:line="600" w:lineRule="exact"/>
        <w:ind w:right="-340" w:rightChars="-162" w:firstLine="640" w:firstLineChars="200"/>
        <w:jc w:val="left"/>
        <w:rPr>
          <w:rFonts w:hint="eastAsia" w:ascii="仿宋" w:hAnsi="仿宋" w:eastAsia="仿宋" w:cs="仿宋"/>
          <w:sz w:val="32"/>
          <w:szCs w:val="32"/>
        </w:rPr>
      </w:pPr>
      <w:r>
        <w:rPr>
          <w:rFonts w:hint="eastAsia" w:ascii="仿宋" w:hAnsi="仿宋" w:eastAsia="仿宋" w:cs="仿宋"/>
          <w:sz w:val="32"/>
          <w:szCs w:val="32"/>
        </w:rPr>
        <w:t>我局为财政全额拨款的一级预算副科级参公事业单位，核定参公编制24人。单位内设1名局长，1名副局长；20</w:t>
      </w:r>
      <w:r>
        <w:rPr>
          <w:rFonts w:hint="eastAsia" w:ascii="仿宋" w:hAnsi="仿宋" w:eastAsia="仿宋" w:cs="仿宋"/>
          <w:sz w:val="32"/>
          <w:szCs w:val="32"/>
          <w:lang w:val="en-US" w:eastAsia="zh-CN"/>
        </w:rPr>
        <w:t>20</w:t>
      </w:r>
      <w:r>
        <w:rPr>
          <w:rFonts w:hint="eastAsia" w:ascii="仿宋" w:hAnsi="仿宋" w:eastAsia="仿宋" w:cs="仿宋"/>
          <w:sz w:val="32"/>
          <w:szCs w:val="32"/>
        </w:rPr>
        <w:t>年实有在职人员18人，退休人员</w:t>
      </w:r>
      <w:r>
        <w:rPr>
          <w:rFonts w:hint="eastAsia" w:ascii="仿宋" w:hAnsi="仿宋" w:eastAsia="仿宋" w:cs="仿宋"/>
          <w:sz w:val="32"/>
          <w:szCs w:val="32"/>
          <w:lang w:val="en-US" w:eastAsia="zh-CN"/>
        </w:rPr>
        <w:t>7</w:t>
      </w:r>
      <w:r>
        <w:rPr>
          <w:rFonts w:hint="eastAsia" w:ascii="仿宋" w:hAnsi="仿宋" w:eastAsia="仿宋" w:cs="仿宋"/>
          <w:sz w:val="32"/>
          <w:szCs w:val="32"/>
        </w:rPr>
        <w:t>人。</w:t>
      </w:r>
    </w:p>
    <w:p>
      <w:pPr>
        <w:widowControl/>
        <w:adjustRightInd w:val="0"/>
        <w:snapToGrid w:val="0"/>
        <w:spacing w:line="600" w:lineRule="exact"/>
        <w:ind w:firstLine="640" w:firstLineChars="200"/>
        <w:contextualSpacing/>
        <w:jc w:val="left"/>
        <w:rPr>
          <w:rFonts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jc w:val="left"/>
        <w:rPr>
          <w:rFonts w:hint="eastAsia" w:ascii="楷体_GB2312" w:hAnsi="宋体" w:eastAsia="楷体_GB2312" w:cs="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（一）部门财政资金收入情况</w:t>
      </w:r>
    </w:p>
    <w:p>
      <w:pPr>
        <w:widowControl/>
        <w:adjustRightInd w:val="0"/>
        <w:snapToGrid w:val="0"/>
        <w:spacing w:line="600" w:lineRule="exact"/>
        <w:ind w:firstLine="640" w:firstLineChars="200"/>
        <w:contextualSpacing/>
        <w:jc w:val="left"/>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年预算总收入</w:t>
      </w:r>
      <w:r>
        <w:rPr>
          <w:rFonts w:hint="eastAsia" w:ascii="仿宋" w:hAnsi="仿宋" w:eastAsia="仿宋" w:cs="仿宋"/>
          <w:sz w:val="32"/>
          <w:szCs w:val="32"/>
          <w:lang w:val="en-US" w:eastAsia="zh-CN"/>
        </w:rPr>
        <w:t>365.74</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365.74</w:t>
      </w:r>
      <w:r>
        <w:rPr>
          <w:rFonts w:hint="eastAsia" w:ascii="仿宋" w:hAnsi="仿宋" w:eastAsia="仿宋" w:cs="仿宋"/>
          <w:sz w:val="32"/>
          <w:szCs w:val="32"/>
        </w:rPr>
        <w:t>万元。</w:t>
      </w:r>
    </w:p>
    <w:p>
      <w:pPr>
        <w:widowControl/>
        <w:adjustRightInd w:val="0"/>
        <w:snapToGrid w:val="0"/>
        <w:spacing w:line="580" w:lineRule="exact"/>
        <w:ind w:firstLine="643" w:firstLineChars="200"/>
        <w:jc w:val="left"/>
        <w:rPr>
          <w:rFonts w:hint="eastAsia" w:ascii="楷体_GB2312" w:hAnsi="宋体" w:eastAsia="楷体_GB2312" w:cs="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（二）部门财政资金支出情况</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年我局预算总支出</w:t>
      </w:r>
      <w:r>
        <w:rPr>
          <w:rFonts w:hint="eastAsia" w:ascii="仿宋" w:hAnsi="仿宋" w:eastAsia="仿宋" w:cs="仿宋"/>
          <w:sz w:val="32"/>
          <w:szCs w:val="32"/>
          <w:lang w:val="en-US" w:eastAsia="zh-CN"/>
        </w:rPr>
        <w:t>408.10</w:t>
      </w:r>
      <w:r>
        <w:rPr>
          <w:rFonts w:hint="eastAsia" w:ascii="仿宋" w:hAnsi="仿宋" w:eastAsia="仿宋" w:cs="仿宋"/>
          <w:sz w:val="32"/>
          <w:szCs w:val="32"/>
        </w:rPr>
        <w:t>万元，按支出功能分</w:t>
      </w:r>
      <w:r>
        <w:rPr>
          <w:rFonts w:hint="eastAsia" w:ascii="仿宋" w:hAnsi="仿宋" w:eastAsia="仿宋" w:cs="仿宋"/>
          <w:sz w:val="32"/>
          <w:szCs w:val="32"/>
          <w:lang w:eastAsia="zh-CN"/>
        </w:rPr>
        <w:t>，</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367.12</w:t>
      </w:r>
      <w:r>
        <w:rPr>
          <w:rFonts w:hint="eastAsia" w:ascii="仿宋" w:hAnsi="仿宋" w:eastAsia="仿宋" w:cs="仿宋"/>
          <w:sz w:val="32"/>
          <w:szCs w:val="32"/>
        </w:rPr>
        <w:t>万元，</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16.99</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23.99</w:t>
      </w:r>
      <w:r>
        <w:rPr>
          <w:rFonts w:hint="eastAsia" w:ascii="仿宋" w:hAnsi="仿宋" w:eastAsia="仿宋" w:cs="仿宋"/>
          <w:sz w:val="32"/>
          <w:szCs w:val="32"/>
        </w:rPr>
        <w:t>万元。按经济科目分类，工资福利支出</w:t>
      </w:r>
      <w:r>
        <w:rPr>
          <w:rFonts w:hint="eastAsia" w:ascii="仿宋" w:hAnsi="仿宋" w:eastAsia="仿宋" w:cs="仿宋"/>
          <w:sz w:val="32"/>
          <w:szCs w:val="32"/>
          <w:lang w:val="en-US" w:eastAsia="zh-CN"/>
        </w:rPr>
        <w:t>290.03</w:t>
      </w:r>
      <w:r>
        <w:rPr>
          <w:rFonts w:hint="eastAsia" w:ascii="仿宋" w:hAnsi="仿宋" w:eastAsia="仿宋" w:cs="仿宋"/>
          <w:sz w:val="32"/>
          <w:szCs w:val="32"/>
        </w:rPr>
        <w:t>万元，商品服务支出</w:t>
      </w:r>
      <w:r>
        <w:rPr>
          <w:rFonts w:hint="eastAsia" w:ascii="仿宋" w:hAnsi="仿宋" w:eastAsia="仿宋" w:cs="仿宋"/>
          <w:sz w:val="32"/>
          <w:szCs w:val="32"/>
          <w:lang w:val="en-US" w:eastAsia="zh-CN"/>
        </w:rPr>
        <w:t>10.06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对个人和家庭的补助支出108.01万元</w:t>
      </w:r>
      <w:r>
        <w:rPr>
          <w:rFonts w:hint="eastAsia" w:ascii="仿宋" w:hAnsi="仿宋" w:eastAsia="仿宋" w:cs="仿宋"/>
          <w:sz w:val="32"/>
          <w:szCs w:val="32"/>
        </w:rPr>
        <w:t>。</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三、</w:t>
      </w:r>
      <w:r>
        <w:rPr>
          <w:rFonts w:hint="eastAsia" w:ascii="黑体" w:hAnsi="宋体" w:eastAsia="黑体" w:cs="黑体"/>
          <w:color w:val="000000"/>
          <w:kern w:val="0"/>
          <w:sz w:val="32"/>
          <w:szCs w:val="32"/>
          <w:shd w:val="clear" w:color="auto" w:fill="FFFFFF"/>
        </w:rPr>
        <w:t>部门整体预算绩效管理情况</w:t>
      </w:r>
    </w:p>
    <w:p>
      <w:pPr>
        <w:widowControl/>
        <w:adjustRightInd w:val="0"/>
        <w:snapToGrid w:val="0"/>
        <w:spacing w:line="580" w:lineRule="exact"/>
        <w:ind w:firstLine="643"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（一）部门预算管理</w:t>
      </w:r>
    </w:p>
    <w:p>
      <w:pPr>
        <w:pStyle w:val="43"/>
        <w:spacing w:line="600" w:lineRule="exact"/>
        <w:ind w:right="-342" w:rightChars="-163"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kern w:val="0"/>
          <w:sz w:val="32"/>
          <w:szCs w:val="32"/>
        </w:rPr>
        <w:t>我局严格按照相关的规定和要求根据单位的实际经费使用情况，编制预算和决算报表。</w:t>
      </w:r>
      <w:r>
        <w:rPr>
          <w:rFonts w:hint="eastAsia" w:ascii="仿宋" w:hAnsi="仿宋" w:eastAsia="仿宋" w:cs="仿宋"/>
          <w:sz w:val="32"/>
          <w:szCs w:val="32"/>
        </w:rPr>
        <w:t>一是预算编制：严格按照财政部门预算编制通知明确的范围、标准等编制部门预算；人员和公用支出按定员定额标准编制预算；预算编制完成后报单位领导班子集体决策后再报财政部门。二是预算执行：</w:t>
      </w:r>
      <w:r>
        <w:rPr>
          <w:rFonts w:hint="eastAsia" w:ascii="仿宋" w:hAnsi="仿宋" w:eastAsia="仿宋" w:cs="仿宋"/>
          <w:sz w:val="32"/>
          <w:szCs w:val="32"/>
          <w:lang w:val="zh-CN"/>
        </w:rPr>
        <w:t>我局按照年初预算，严格执行财经纪律，</w:t>
      </w:r>
      <w:r>
        <w:rPr>
          <w:rFonts w:hint="eastAsia" w:ascii="仿宋" w:hAnsi="仿宋" w:eastAsia="仿宋" w:cs="仿宋"/>
          <w:color w:val="000000"/>
          <w:kern w:val="0"/>
          <w:sz w:val="32"/>
          <w:szCs w:val="32"/>
          <w:shd w:val="clear" w:color="auto" w:fill="FFFFFF"/>
          <w:lang w:val="zh-CN"/>
        </w:rPr>
        <w:t>跟踪了解每一笔资金的进展情况，及时申请用款计划，</w:t>
      </w:r>
      <w:r>
        <w:rPr>
          <w:rFonts w:hint="eastAsia" w:ascii="仿宋" w:hAnsi="仿宋" w:eastAsia="仿宋" w:cs="仿宋"/>
          <w:sz w:val="32"/>
          <w:szCs w:val="32"/>
          <w:lang w:val="zh-CN"/>
        </w:rPr>
        <w:t>加快预算执行进度，</w:t>
      </w:r>
      <w:r>
        <w:rPr>
          <w:rFonts w:hint="eastAsia" w:ascii="仿宋" w:hAnsi="仿宋" w:eastAsia="仿宋" w:cs="仿宋"/>
          <w:color w:val="000000"/>
          <w:kern w:val="0"/>
          <w:sz w:val="32"/>
          <w:szCs w:val="32"/>
          <w:shd w:val="clear" w:color="auto" w:fill="FFFFFF"/>
          <w:lang w:val="zh-CN"/>
        </w:rPr>
        <w:t>保证各项款项及时支付</w:t>
      </w:r>
      <w:r>
        <w:rPr>
          <w:rFonts w:hint="eastAsia" w:ascii="仿宋" w:hAnsi="仿宋" w:eastAsia="仿宋" w:cs="仿宋"/>
          <w:sz w:val="32"/>
          <w:szCs w:val="32"/>
          <w:lang w:val="zh-CN"/>
        </w:rPr>
        <w:t>，</w:t>
      </w:r>
      <w:r>
        <w:rPr>
          <w:rFonts w:hint="eastAsia" w:ascii="仿宋" w:hAnsi="仿宋" w:eastAsia="仿宋" w:cs="仿宋"/>
          <w:sz w:val="32"/>
          <w:shd w:val="clear" w:color="auto" w:fill="FFFFFF"/>
          <w:lang w:val="zh-CN"/>
        </w:rPr>
        <w:t>达到了预算设定的绩效目标，确保了各项工作的顺利开展。</w:t>
      </w:r>
      <w:r>
        <w:rPr>
          <w:rFonts w:hint="eastAsia" w:ascii="仿宋" w:hAnsi="仿宋" w:eastAsia="仿宋" w:cs="仿宋"/>
          <w:color w:val="000000"/>
          <w:kern w:val="0"/>
          <w:sz w:val="32"/>
          <w:szCs w:val="32"/>
          <w:shd w:val="clear" w:color="auto" w:fill="FFFFFF"/>
          <w:lang w:val="en-US" w:eastAsia="zh-CN"/>
        </w:rPr>
        <w:t>三是</w:t>
      </w:r>
      <w:r>
        <w:rPr>
          <w:rFonts w:hint="eastAsia" w:ascii="仿宋" w:hAnsi="仿宋" w:eastAsia="仿宋" w:cs="仿宋"/>
          <w:color w:val="000000"/>
          <w:kern w:val="0"/>
          <w:sz w:val="32"/>
          <w:szCs w:val="32"/>
          <w:shd w:val="clear" w:color="auto" w:fill="FFFFFF"/>
          <w:lang w:val="zh-CN"/>
        </w:rPr>
        <w:t>认真对上年结转和当年</w:t>
      </w:r>
      <w:r>
        <w:rPr>
          <w:rFonts w:hint="eastAsia" w:ascii="仿宋" w:hAnsi="仿宋" w:eastAsia="仿宋" w:cs="仿宋"/>
          <w:color w:val="000000"/>
          <w:kern w:val="0"/>
          <w:sz w:val="32"/>
          <w:szCs w:val="32"/>
          <w:shd w:val="clear" w:color="auto" w:fill="FFFFFF"/>
          <w:lang w:val="en-US" w:eastAsia="zh-CN"/>
        </w:rPr>
        <w:t>预算资金</w:t>
      </w:r>
      <w:r>
        <w:rPr>
          <w:rFonts w:hint="eastAsia" w:ascii="仿宋" w:hAnsi="仿宋" w:eastAsia="仿宋" w:cs="仿宋"/>
          <w:color w:val="000000"/>
          <w:kern w:val="0"/>
          <w:sz w:val="32"/>
          <w:szCs w:val="32"/>
          <w:shd w:val="clear" w:color="auto" w:fill="FFFFFF"/>
          <w:lang w:val="zh-CN"/>
        </w:rPr>
        <w:t>开展了预算执行评估，提高了资金使用效率，全年预算执行率均达到目标要求。</w:t>
      </w:r>
    </w:p>
    <w:p>
      <w:pPr>
        <w:widowControl/>
        <w:adjustRightInd w:val="0"/>
        <w:snapToGrid w:val="0"/>
        <w:spacing w:line="60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sz w:val="32"/>
          <w:szCs w:val="32"/>
          <w:shd w:val="clear" w:color="auto" w:fill="FFFFFF"/>
        </w:rPr>
        <w:t>我局2020年部门整体支出情况良好，</w:t>
      </w:r>
      <w:r>
        <w:rPr>
          <w:rFonts w:hint="eastAsia" w:ascii="仿宋" w:hAnsi="仿宋" w:eastAsia="仿宋" w:cs="仿宋"/>
          <w:color w:val="333333"/>
          <w:sz w:val="32"/>
          <w:szCs w:val="32"/>
          <w:shd w:val="clear" w:color="auto" w:fill="FFFFFF"/>
        </w:rPr>
        <w:t>资金</w:t>
      </w:r>
      <w:r>
        <w:rPr>
          <w:rFonts w:hint="eastAsia" w:ascii="仿宋" w:hAnsi="仿宋" w:eastAsia="仿宋" w:cs="仿宋"/>
          <w:color w:val="000000"/>
          <w:sz w:val="32"/>
          <w:szCs w:val="32"/>
          <w:shd w:val="clear" w:color="auto" w:fill="FFFFFF"/>
        </w:rPr>
        <w:t>收入、支出管理均严格按照相关要求进行，全年收支平衡，有效保障了单位正常运转，圆满完成了单位目标任务。</w:t>
      </w:r>
    </w:p>
    <w:p>
      <w:pPr>
        <w:widowControl/>
        <w:adjustRightInd w:val="0"/>
        <w:snapToGrid w:val="0"/>
        <w:spacing w:line="580" w:lineRule="exact"/>
        <w:ind w:firstLine="643"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（二）结果应用情况</w:t>
      </w:r>
    </w:p>
    <w:p>
      <w:pPr>
        <w:widowControl/>
        <w:numPr>
          <w:ilvl w:val="0"/>
          <w:numId w:val="0"/>
        </w:numPr>
        <w:adjustRightInd w:val="0"/>
        <w:snapToGrid w:val="0"/>
        <w:spacing w:line="600" w:lineRule="exact"/>
        <w:ind w:firstLine="640" w:firstLineChars="200"/>
        <w:contextualSpacing/>
        <w:jc w:val="left"/>
        <w:rPr>
          <w:rFonts w:hint="eastAsia" w:ascii="仿宋" w:hAnsi="仿宋" w:eastAsia="仿宋" w:cs="仿宋"/>
          <w:sz w:val="32"/>
          <w:szCs w:val="32"/>
          <w:lang w:val="zh-CN" w:eastAsia="zh-CN"/>
        </w:rPr>
      </w:pPr>
      <w:r>
        <w:rPr>
          <w:rFonts w:hint="eastAsia" w:ascii="仿宋" w:hAnsi="仿宋" w:eastAsia="仿宋" w:cs="仿宋"/>
          <w:kern w:val="2"/>
          <w:sz w:val="32"/>
          <w:szCs w:val="32"/>
          <w:lang w:val="zh-CN" w:eastAsia="zh-CN" w:bidi="ar-SA"/>
        </w:rPr>
        <w:t>我局对部门整体绩效管理工作进行了仔细自查自评，</w:t>
      </w:r>
      <w:r>
        <w:rPr>
          <w:rFonts w:hint="eastAsia" w:ascii="仿宋" w:hAnsi="仿宋" w:eastAsia="仿宋" w:cs="仿宋"/>
          <w:kern w:val="2"/>
          <w:sz w:val="32"/>
          <w:szCs w:val="32"/>
          <w:lang w:val="en-US" w:eastAsia="zh-CN" w:bidi="ar-SA"/>
        </w:rPr>
        <w:t>我局</w:t>
      </w:r>
      <w:r>
        <w:rPr>
          <w:rFonts w:hint="eastAsia" w:ascii="仿宋" w:hAnsi="仿宋" w:eastAsia="仿宋" w:cs="仿宋"/>
          <w:b w:val="0"/>
          <w:i w:val="0"/>
          <w:kern w:val="2"/>
          <w:sz w:val="32"/>
          <w:szCs w:val="32"/>
          <w:lang w:val="zh-CN" w:eastAsia="zh-CN" w:bidi="ar-SA"/>
        </w:rPr>
        <w:t>积极履职，强化管理，较好地完成了年度工作目标。通过加强预算收支管理，不断建立健全内部管理制度，梳理内部管理流程，部门整体支出管理水平得到</w:t>
      </w:r>
      <w:r>
        <w:rPr>
          <w:rFonts w:hint="eastAsia" w:ascii="仿宋" w:hAnsi="仿宋" w:eastAsia="仿宋" w:cs="仿宋"/>
          <w:b w:val="0"/>
          <w:i w:val="0"/>
          <w:kern w:val="2"/>
          <w:sz w:val="32"/>
          <w:szCs w:val="32"/>
          <w:lang w:val="en-US" w:eastAsia="zh-CN" w:bidi="ar-SA"/>
        </w:rPr>
        <w:t>进一步</w:t>
      </w:r>
      <w:r>
        <w:rPr>
          <w:rFonts w:hint="eastAsia" w:ascii="仿宋" w:hAnsi="仿宋" w:eastAsia="仿宋" w:cs="仿宋"/>
          <w:b w:val="0"/>
          <w:i w:val="0"/>
          <w:kern w:val="2"/>
          <w:sz w:val="32"/>
          <w:szCs w:val="32"/>
          <w:lang w:val="zh-CN" w:eastAsia="zh-CN" w:bidi="ar-SA"/>
        </w:rPr>
        <w:t>提升。</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四、评价结论及建议</w:t>
      </w:r>
    </w:p>
    <w:p>
      <w:pPr>
        <w:widowControl/>
        <w:adjustRightInd w:val="0"/>
        <w:snapToGrid w:val="0"/>
        <w:spacing w:line="580" w:lineRule="exact"/>
        <w:ind w:firstLine="643"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lang w:val="en-US" w:eastAsia="zh-CN"/>
        </w:rPr>
        <w:t>我局2020年</w:t>
      </w:r>
      <w:r>
        <w:rPr>
          <w:rFonts w:hint="eastAsia" w:ascii="仿宋" w:hAnsi="仿宋" w:eastAsia="仿宋" w:cs="仿宋"/>
          <w:sz w:val="32"/>
          <w:szCs w:val="32"/>
        </w:rPr>
        <w:t>部门整体支出绩效评价自查自评结果良好，全年基本保证了部门的正常运行和日常工作的正常开展。</w:t>
      </w:r>
    </w:p>
    <w:p>
      <w:pPr>
        <w:spacing w:line="580" w:lineRule="exact"/>
        <w:ind w:firstLine="643" w:firstLineChars="200"/>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（二）存在问题</w:t>
      </w:r>
    </w:p>
    <w:p>
      <w:pPr>
        <w:adjustRightInd w:val="0"/>
        <w:snapToGrid w:val="0"/>
        <w:spacing w:line="576" w:lineRule="exact"/>
        <w:ind w:firstLine="640" w:firstLineChars="200"/>
        <w:rPr>
          <w:rFonts w:hint="eastAsia" w:ascii="仿宋" w:hAnsi="仿宋" w:eastAsia="仿宋" w:cs="仿宋"/>
          <w:sz w:val="32"/>
        </w:rPr>
      </w:pPr>
      <w:r>
        <w:rPr>
          <w:rFonts w:hint="eastAsia" w:ascii="仿宋" w:hAnsi="仿宋" w:eastAsia="仿宋" w:cs="仿宋"/>
          <w:sz w:val="32"/>
        </w:rPr>
        <w:t>预算绩效管理的学习培训不够，对绩效管理工作的认识理解还不够深入。</w:t>
      </w:r>
    </w:p>
    <w:p>
      <w:pPr>
        <w:widowControl/>
        <w:adjustRightInd w:val="0"/>
        <w:snapToGrid w:val="0"/>
        <w:spacing w:line="580" w:lineRule="exact"/>
        <w:ind w:firstLine="643"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进一步加强绩效管理工作的学习和培训力度，从预算编制、预算执行等过程中深入理解绩效管理的重要性，强化绩效结果应用，有效提高部门整体支出绩效管理水平。</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2"/>
      <w:bookmarkEnd w:id="117"/>
      <w:bookmarkEnd w:id="118"/>
      <w:bookmarkEnd w:id="119"/>
    </w:p>
    <w:p>
      <w:pPr>
        <w:pStyle w:val="5"/>
        <w:rPr>
          <w:rFonts w:ascii="仿宋" w:hAnsi="仿宋" w:eastAsia="仿宋"/>
          <w:color w:val="000000"/>
        </w:rPr>
      </w:pPr>
      <w:bookmarkStart w:id="120" w:name="_Toc79163886"/>
      <w:bookmarkStart w:id="121" w:name="_Toc15396619"/>
      <w:bookmarkStart w:id="122" w:name="_Toc79163636"/>
      <w:r>
        <w:rPr>
          <w:rFonts w:hint="eastAsia" w:ascii="仿宋" w:hAnsi="仿宋" w:eastAsia="仿宋"/>
          <w:b w:val="0"/>
          <w:color w:val="000000"/>
        </w:rPr>
        <w:t>一、收</w:t>
      </w:r>
      <w:r>
        <w:rPr>
          <w:rStyle w:val="26"/>
          <w:rFonts w:hint="eastAsia" w:ascii="仿宋" w:hAnsi="仿宋" w:eastAsia="仿宋"/>
          <w:b w:val="0"/>
          <w:bCs w:val="0"/>
        </w:rPr>
        <w:t>入支出决算总表</w:t>
      </w:r>
      <w:bookmarkEnd w:id="120"/>
      <w:bookmarkEnd w:id="121"/>
      <w:bookmarkEnd w:id="122"/>
    </w:p>
    <w:p>
      <w:pPr>
        <w:pStyle w:val="5"/>
        <w:rPr>
          <w:rFonts w:ascii="仿宋" w:hAnsi="仿宋" w:eastAsia="仿宋"/>
          <w:color w:val="000000"/>
        </w:rPr>
      </w:pPr>
      <w:bookmarkStart w:id="123" w:name="_Toc79163637"/>
      <w:bookmarkStart w:id="124" w:name="_Toc79163887"/>
      <w:bookmarkStart w:id="125"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123"/>
      <w:bookmarkEnd w:id="124"/>
      <w:bookmarkEnd w:id="125"/>
    </w:p>
    <w:p>
      <w:pPr>
        <w:pStyle w:val="5"/>
        <w:rPr>
          <w:rFonts w:ascii="仿宋" w:hAnsi="仿宋" w:eastAsia="仿宋"/>
          <w:color w:val="000000"/>
        </w:rPr>
      </w:pPr>
      <w:bookmarkStart w:id="126" w:name="_Toc79163888"/>
      <w:bookmarkStart w:id="127" w:name="_Toc79163638"/>
      <w:bookmarkStart w:id="128"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6"/>
      <w:bookmarkEnd w:id="127"/>
      <w:bookmarkEnd w:id="128"/>
    </w:p>
    <w:p>
      <w:pPr>
        <w:pStyle w:val="5"/>
        <w:rPr>
          <w:rFonts w:ascii="仿宋" w:hAnsi="仿宋" w:eastAsia="仿宋"/>
          <w:b w:val="0"/>
          <w:color w:val="000000"/>
        </w:rPr>
      </w:pPr>
      <w:bookmarkStart w:id="129" w:name="_Toc79163889"/>
      <w:bookmarkStart w:id="130" w:name="_Toc15396622"/>
      <w:bookmarkStart w:id="131"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29"/>
      <w:bookmarkEnd w:id="130"/>
      <w:bookmarkEnd w:id="131"/>
    </w:p>
    <w:p>
      <w:pPr>
        <w:pStyle w:val="5"/>
        <w:rPr>
          <w:rStyle w:val="26"/>
          <w:rFonts w:ascii="仿宋" w:hAnsi="仿宋" w:eastAsia="仿宋"/>
          <w:b w:val="0"/>
          <w:bCs w:val="0"/>
        </w:rPr>
      </w:pPr>
      <w:bookmarkStart w:id="132" w:name="_Toc15396623"/>
      <w:bookmarkStart w:id="133" w:name="_Toc79163890"/>
      <w:bookmarkStart w:id="134" w:name="_Toc7916364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2"/>
      <w:bookmarkEnd w:id="133"/>
      <w:bookmarkEnd w:id="134"/>
      <w:bookmarkStart w:id="135" w:name="_Toc15396624"/>
    </w:p>
    <w:p>
      <w:pPr>
        <w:pStyle w:val="5"/>
        <w:rPr>
          <w:rFonts w:ascii="仿宋" w:hAnsi="仿宋" w:eastAsia="仿宋"/>
          <w:color w:val="000000"/>
        </w:rPr>
      </w:pPr>
      <w:bookmarkStart w:id="136" w:name="_Toc79163891"/>
      <w:bookmarkStart w:id="137"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5"/>
      <w:bookmarkEnd w:id="136"/>
      <w:bookmarkEnd w:id="137"/>
    </w:p>
    <w:p>
      <w:pPr>
        <w:pStyle w:val="5"/>
        <w:rPr>
          <w:rFonts w:ascii="仿宋" w:hAnsi="仿宋" w:eastAsia="仿宋"/>
          <w:color w:val="000000"/>
        </w:rPr>
      </w:pPr>
      <w:bookmarkStart w:id="138" w:name="_Toc79163892"/>
      <w:bookmarkStart w:id="139" w:name="_Toc79163642"/>
      <w:bookmarkStart w:id="140"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38"/>
      <w:bookmarkEnd w:id="139"/>
      <w:bookmarkEnd w:id="140"/>
    </w:p>
    <w:p>
      <w:pPr>
        <w:pStyle w:val="5"/>
        <w:rPr>
          <w:rFonts w:ascii="仿宋" w:hAnsi="仿宋" w:eastAsia="仿宋"/>
          <w:color w:val="000000"/>
        </w:rPr>
      </w:pPr>
      <w:bookmarkStart w:id="141" w:name="_Toc15396626"/>
      <w:bookmarkStart w:id="142" w:name="_Toc79163643"/>
      <w:bookmarkStart w:id="143" w:name="_Toc79163893"/>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1"/>
      <w:bookmarkEnd w:id="142"/>
      <w:bookmarkEnd w:id="143"/>
    </w:p>
    <w:p>
      <w:pPr>
        <w:pStyle w:val="5"/>
        <w:rPr>
          <w:rFonts w:ascii="仿宋" w:hAnsi="仿宋" w:eastAsia="仿宋"/>
          <w:color w:val="000000"/>
        </w:rPr>
      </w:pPr>
      <w:bookmarkStart w:id="144" w:name="_Toc79163894"/>
      <w:bookmarkStart w:id="145" w:name="_Toc15396627"/>
      <w:bookmarkStart w:id="146" w:name="_Toc7916364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4"/>
      <w:bookmarkEnd w:id="145"/>
      <w:bookmarkEnd w:id="146"/>
    </w:p>
    <w:p>
      <w:pPr>
        <w:pStyle w:val="5"/>
        <w:rPr>
          <w:rFonts w:ascii="仿宋" w:hAnsi="仿宋" w:eastAsia="仿宋"/>
          <w:color w:val="000000"/>
        </w:rPr>
      </w:pPr>
      <w:bookmarkStart w:id="147" w:name="_Toc15396628"/>
      <w:bookmarkStart w:id="148" w:name="_Toc79163645"/>
      <w:bookmarkStart w:id="149" w:name="_Toc7916389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7"/>
      <w:bookmarkEnd w:id="148"/>
      <w:bookmarkEnd w:id="149"/>
    </w:p>
    <w:p>
      <w:pPr>
        <w:pStyle w:val="5"/>
        <w:rPr>
          <w:rFonts w:ascii="仿宋" w:hAnsi="仿宋" w:eastAsia="仿宋"/>
          <w:color w:val="000000"/>
        </w:rPr>
      </w:pPr>
      <w:bookmarkStart w:id="150" w:name="_Toc79163896"/>
      <w:bookmarkStart w:id="151" w:name="_Toc15396629"/>
      <w:bookmarkStart w:id="152" w:name="_Toc7916364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0"/>
      <w:bookmarkEnd w:id="151"/>
      <w:bookmarkEnd w:id="152"/>
    </w:p>
    <w:p>
      <w:pPr>
        <w:pStyle w:val="5"/>
        <w:rPr>
          <w:rFonts w:ascii="仿宋" w:hAnsi="仿宋" w:eastAsia="仿宋"/>
          <w:color w:val="000000"/>
        </w:rPr>
      </w:pPr>
      <w:bookmarkStart w:id="153" w:name="_Toc15396630"/>
      <w:bookmarkStart w:id="154" w:name="_Toc79163897"/>
      <w:bookmarkStart w:id="155" w:name="_Toc7916364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3"/>
      <w:bookmarkEnd w:id="154"/>
      <w:bookmarkEnd w:id="155"/>
    </w:p>
    <w:p>
      <w:pPr>
        <w:pStyle w:val="5"/>
        <w:rPr>
          <w:rStyle w:val="26"/>
          <w:rFonts w:ascii="仿宋" w:hAnsi="仿宋" w:eastAsia="仿宋"/>
          <w:b w:val="0"/>
          <w:bCs w:val="0"/>
        </w:rPr>
      </w:pPr>
      <w:bookmarkStart w:id="156" w:name="_Toc79163898"/>
      <w:bookmarkStart w:id="157" w:name="_Toc15396631"/>
      <w:bookmarkStart w:id="158" w:name="_Toc7916364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6"/>
      <w:bookmarkEnd w:id="157"/>
      <w:bookmarkEnd w:id="158"/>
    </w:p>
    <w:p>
      <w:pPr>
        <w:pStyle w:val="5"/>
        <w:rPr>
          <w:rStyle w:val="26"/>
          <w:rFonts w:ascii="仿宋" w:hAnsi="仿宋" w:eastAsia="仿宋"/>
          <w:b w:val="0"/>
          <w:bCs w:val="0"/>
        </w:rPr>
      </w:pPr>
      <w:bookmarkStart w:id="159" w:name="_Toc79163649"/>
      <w:bookmarkStart w:id="160" w:name="_Toc79163899"/>
      <w:r>
        <w:rPr>
          <w:rStyle w:val="26"/>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3</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AE3C56E"/>
    <w:multiLevelType w:val="singleLevel"/>
    <w:tmpl w:val="EAE3C56E"/>
    <w:lvl w:ilvl="0" w:tentative="0">
      <w:start w:val="1"/>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32DA"/>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77166D"/>
    <w:rsid w:val="02BB59AB"/>
    <w:rsid w:val="04A277F8"/>
    <w:rsid w:val="04C0508F"/>
    <w:rsid w:val="05046C9D"/>
    <w:rsid w:val="052E7F54"/>
    <w:rsid w:val="054C3ED9"/>
    <w:rsid w:val="05B70495"/>
    <w:rsid w:val="068E3990"/>
    <w:rsid w:val="06A62347"/>
    <w:rsid w:val="0826758F"/>
    <w:rsid w:val="08AD11C7"/>
    <w:rsid w:val="094808C9"/>
    <w:rsid w:val="09DE1FEC"/>
    <w:rsid w:val="09EB3A7D"/>
    <w:rsid w:val="0A2032A3"/>
    <w:rsid w:val="0A2E1618"/>
    <w:rsid w:val="0A4109DB"/>
    <w:rsid w:val="0A6C0E38"/>
    <w:rsid w:val="0AAC11F0"/>
    <w:rsid w:val="0B464802"/>
    <w:rsid w:val="0C4D0B54"/>
    <w:rsid w:val="0C6644ED"/>
    <w:rsid w:val="0D8C5E41"/>
    <w:rsid w:val="0DBB596E"/>
    <w:rsid w:val="0E27701C"/>
    <w:rsid w:val="0EFB4F7B"/>
    <w:rsid w:val="0F463C73"/>
    <w:rsid w:val="0FE8562D"/>
    <w:rsid w:val="0FFA36BE"/>
    <w:rsid w:val="101806C9"/>
    <w:rsid w:val="102249FC"/>
    <w:rsid w:val="109E75A1"/>
    <w:rsid w:val="10C055FF"/>
    <w:rsid w:val="10F51898"/>
    <w:rsid w:val="11144B77"/>
    <w:rsid w:val="113B203A"/>
    <w:rsid w:val="11712BEF"/>
    <w:rsid w:val="11723260"/>
    <w:rsid w:val="118107EC"/>
    <w:rsid w:val="122A2922"/>
    <w:rsid w:val="122E278C"/>
    <w:rsid w:val="14D33522"/>
    <w:rsid w:val="15375348"/>
    <w:rsid w:val="15D5153E"/>
    <w:rsid w:val="15E35690"/>
    <w:rsid w:val="15F96BCB"/>
    <w:rsid w:val="162B1E18"/>
    <w:rsid w:val="16BB723D"/>
    <w:rsid w:val="16CA4B47"/>
    <w:rsid w:val="177B3DEC"/>
    <w:rsid w:val="17A44992"/>
    <w:rsid w:val="1818583A"/>
    <w:rsid w:val="187C1B21"/>
    <w:rsid w:val="198A1DDF"/>
    <w:rsid w:val="198B10DB"/>
    <w:rsid w:val="198C2B61"/>
    <w:rsid w:val="1A8A37C4"/>
    <w:rsid w:val="1C8A0AEC"/>
    <w:rsid w:val="1D0F56C9"/>
    <w:rsid w:val="1D155CEE"/>
    <w:rsid w:val="1D683D70"/>
    <w:rsid w:val="1DDC38F5"/>
    <w:rsid w:val="1EA025BA"/>
    <w:rsid w:val="1FFD6F85"/>
    <w:rsid w:val="2005715C"/>
    <w:rsid w:val="205B0FE0"/>
    <w:rsid w:val="20C0150E"/>
    <w:rsid w:val="21A67664"/>
    <w:rsid w:val="21EA540D"/>
    <w:rsid w:val="22750012"/>
    <w:rsid w:val="236A1227"/>
    <w:rsid w:val="23C13B96"/>
    <w:rsid w:val="23D91FE1"/>
    <w:rsid w:val="240371BF"/>
    <w:rsid w:val="2438790C"/>
    <w:rsid w:val="24B12B8E"/>
    <w:rsid w:val="24F17125"/>
    <w:rsid w:val="25092142"/>
    <w:rsid w:val="25371821"/>
    <w:rsid w:val="254068DD"/>
    <w:rsid w:val="25957F13"/>
    <w:rsid w:val="26021D30"/>
    <w:rsid w:val="261B2DC9"/>
    <w:rsid w:val="268564E5"/>
    <w:rsid w:val="268B6BBD"/>
    <w:rsid w:val="26BE7512"/>
    <w:rsid w:val="2710461E"/>
    <w:rsid w:val="281819DD"/>
    <w:rsid w:val="29876963"/>
    <w:rsid w:val="29C24B3F"/>
    <w:rsid w:val="29FD04D3"/>
    <w:rsid w:val="2A5232AB"/>
    <w:rsid w:val="2A6C34DB"/>
    <w:rsid w:val="2B224176"/>
    <w:rsid w:val="2BDB2A0F"/>
    <w:rsid w:val="2C536703"/>
    <w:rsid w:val="2D021491"/>
    <w:rsid w:val="2D185EE8"/>
    <w:rsid w:val="2D1D6B3B"/>
    <w:rsid w:val="2DA04A94"/>
    <w:rsid w:val="2DB34365"/>
    <w:rsid w:val="2E05164C"/>
    <w:rsid w:val="2E393559"/>
    <w:rsid w:val="2E8A702F"/>
    <w:rsid w:val="2EE90BE2"/>
    <w:rsid w:val="2F5F4FB9"/>
    <w:rsid w:val="30273F38"/>
    <w:rsid w:val="31491CEE"/>
    <w:rsid w:val="319F7F4E"/>
    <w:rsid w:val="33166E79"/>
    <w:rsid w:val="33BD6873"/>
    <w:rsid w:val="33F03984"/>
    <w:rsid w:val="3452402E"/>
    <w:rsid w:val="34694AE5"/>
    <w:rsid w:val="35FB1B4A"/>
    <w:rsid w:val="36307119"/>
    <w:rsid w:val="3707601E"/>
    <w:rsid w:val="37265E9B"/>
    <w:rsid w:val="372E7E4A"/>
    <w:rsid w:val="37A83AB2"/>
    <w:rsid w:val="38296423"/>
    <w:rsid w:val="38315731"/>
    <w:rsid w:val="38952891"/>
    <w:rsid w:val="399E5A06"/>
    <w:rsid w:val="3A3F5904"/>
    <w:rsid w:val="3AB34F77"/>
    <w:rsid w:val="3B047182"/>
    <w:rsid w:val="3C1D30F4"/>
    <w:rsid w:val="3CE7300E"/>
    <w:rsid w:val="3D117723"/>
    <w:rsid w:val="3D18750F"/>
    <w:rsid w:val="3D2E1066"/>
    <w:rsid w:val="3D78463E"/>
    <w:rsid w:val="3DD65526"/>
    <w:rsid w:val="3DF12754"/>
    <w:rsid w:val="3EED4906"/>
    <w:rsid w:val="3FAF0305"/>
    <w:rsid w:val="3FB106AC"/>
    <w:rsid w:val="40EC40F5"/>
    <w:rsid w:val="4138534E"/>
    <w:rsid w:val="41D00E63"/>
    <w:rsid w:val="41D50C54"/>
    <w:rsid w:val="41F96887"/>
    <w:rsid w:val="43427715"/>
    <w:rsid w:val="434877F4"/>
    <w:rsid w:val="447070E3"/>
    <w:rsid w:val="44983A08"/>
    <w:rsid w:val="44EC4BF3"/>
    <w:rsid w:val="452F26E7"/>
    <w:rsid w:val="45960FD2"/>
    <w:rsid w:val="45AC1EB8"/>
    <w:rsid w:val="45C63B4E"/>
    <w:rsid w:val="45F74050"/>
    <w:rsid w:val="47116590"/>
    <w:rsid w:val="47236B56"/>
    <w:rsid w:val="47616F9E"/>
    <w:rsid w:val="47970859"/>
    <w:rsid w:val="47B72059"/>
    <w:rsid w:val="47B805F9"/>
    <w:rsid w:val="49030BF6"/>
    <w:rsid w:val="4A60773B"/>
    <w:rsid w:val="4B827C9F"/>
    <w:rsid w:val="4CF30F5E"/>
    <w:rsid w:val="4D4E6BB9"/>
    <w:rsid w:val="4D5B77F1"/>
    <w:rsid w:val="4E4F0046"/>
    <w:rsid w:val="4ECE2238"/>
    <w:rsid w:val="4F63466E"/>
    <w:rsid w:val="517F4735"/>
    <w:rsid w:val="51BA386E"/>
    <w:rsid w:val="52D71D33"/>
    <w:rsid w:val="535F3E96"/>
    <w:rsid w:val="54591337"/>
    <w:rsid w:val="54676E62"/>
    <w:rsid w:val="547308FD"/>
    <w:rsid w:val="548A16F4"/>
    <w:rsid w:val="549A3082"/>
    <w:rsid w:val="54E22758"/>
    <w:rsid w:val="55250B96"/>
    <w:rsid w:val="55785960"/>
    <w:rsid w:val="55FF6899"/>
    <w:rsid w:val="5629701C"/>
    <w:rsid w:val="564E149A"/>
    <w:rsid w:val="56C44C8F"/>
    <w:rsid w:val="56CA7291"/>
    <w:rsid w:val="57251AAB"/>
    <w:rsid w:val="578920BC"/>
    <w:rsid w:val="57DC5184"/>
    <w:rsid w:val="584B446E"/>
    <w:rsid w:val="59194037"/>
    <w:rsid w:val="596E298F"/>
    <w:rsid w:val="59CD5497"/>
    <w:rsid w:val="5A1F16D8"/>
    <w:rsid w:val="5A5D28FF"/>
    <w:rsid w:val="5AD65660"/>
    <w:rsid w:val="5B792E47"/>
    <w:rsid w:val="5C1F2812"/>
    <w:rsid w:val="5C633736"/>
    <w:rsid w:val="5C7126FB"/>
    <w:rsid w:val="5C7B7A7E"/>
    <w:rsid w:val="5D337391"/>
    <w:rsid w:val="5EB81551"/>
    <w:rsid w:val="5F1869A4"/>
    <w:rsid w:val="5F375553"/>
    <w:rsid w:val="5F612EE4"/>
    <w:rsid w:val="5FF2351C"/>
    <w:rsid w:val="5FF60674"/>
    <w:rsid w:val="60560ADF"/>
    <w:rsid w:val="610C7845"/>
    <w:rsid w:val="61AE1E3E"/>
    <w:rsid w:val="61CE71E2"/>
    <w:rsid w:val="61D33173"/>
    <w:rsid w:val="62035206"/>
    <w:rsid w:val="62A15FF4"/>
    <w:rsid w:val="62A349AB"/>
    <w:rsid w:val="639207E5"/>
    <w:rsid w:val="644F5297"/>
    <w:rsid w:val="6453321C"/>
    <w:rsid w:val="64EE3DFC"/>
    <w:rsid w:val="6559227F"/>
    <w:rsid w:val="655A11A8"/>
    <w:rsid w:val="65B8208D"/>
    <w:rsid w:val="66117738"/>
    <w:rsid w:val="663F26C3"/>
    <w:rsid w:val="6671515B"/>
    <w:rsid w:val="66967F65"/>
    <w:rsid w:val="66C80EF6"/>
    <w:rsid w:val="66EE1434"/>
    <w:rsid w:val="670440F7"/>
    <w:rsid w:val="6756273A"/>
    <w:rsid w:val="67584908"/>
    <w:rsid w:val="6785145C"/>
    <w:rsid w:val="685A5572"/>
    <w:rsid w:val="68647C69"/>
    <w:rsid w:val="687B650F"/>
    <w:rsid w:val="6AEC13DC"/>
    <w:rsid w:val="6B0F4599"/>
    <w:rsid w:val="6C4A05C8"/>
    <w:rsid w:val="6C6F7A0A"/>
    <w:rsid w:val="6C802446"/>
    <w:rsid w:val="6C8C6A07"/>
    <w:rsid w:val="6D795B16"/>
    <w:rsid w:val="6DD15FBF"/>
    <w:rsid w:val="6DDE3D44"/>
    <w:rsid w:val="6EF506FC"/>
    <w:rsid w:val="6F3403CB"/>
    <w:rsid w:val="71846414"/>
    <w:rsid w:val="72275F02"/>
    <w:rsid w:val="72734D90"/>
    <w:rsid w:val="730851A9"/>
    <w:rsid w:val="736258B9"/>
    <w:rsid w:val="736C6E1C"/>
    <w:rsid w:val="73AF68FE"/>
    <w:rsid w:val="743F3CAF"/>
    <w:rsid w:val="74A10F0F"/>
    <w:rsid w:val="74A74988"/>
    <w:rsid w:val="74D94E55"/>
    <w:rsid w:val="75744928"/>
    <w:rsid w:val="75B466A6"/>
    <w:rsid w:val="75D57C56"/>
    <w:rsid w:val="75D82A4D"/>
    <w:rsid w:val="762643FB"/>
    <w:rsid w:val="77276285"/>
    <w:rsid w:val="77B03DDD"/>
    <w:rsid w:val="78B874E6"/>
    <w:rsid w:val="79E72FF1"/>
    <w:rsid w:val="7AB1455D"/>
    <w:rsid w:val="7B312AA5"/>
    <w:rsid w:val="7B6651F0"/>
    <w:rsid w:val="7C195805"/>
    <w:rsid w:val="7CF9769F"/>
    <w:rsid w:val="7D024142"/>
    <w:rsid w:val="7D8B1774"/>
    <w:rsid w:val="7E3E5FAE"/>
    <w:rsid w:val="7E4A19C6"/>
    <w:rsid w:val="7EA702CC"/>
    <w:rsid w:val="7EDC5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next w:val="9"/>
    <w:link w:val="34"/>
    <w:qFormat/>
    <w:uiPriority w:val="99"/>
    <w:pPr>
      <w:spacing w:beforeLines="30"/>
    </w:pPr>
    <w:rPr>
      <w:rFonts w:ascii="仿宋_GB2312" w:eastAsia="仿宋_GB2312"/>
      <w:kern w:val="0"/>
      <w:sz w:val="24"/>
      <w:szCs w:val="20"/>
      <w:lang w:val="zh-CN" w:eastAsia="zh-CN"/>
    </w:rPr>
  </w:style>
  <w:style w:type="paragraph" w:styleId="9">
    <w:name w:val="Body Text First Indent"/>
    <w:basedOn w:val="8"/>
    <w:qFormat/>
    <w:uiPriority w:val="0"/>
    <w:pPr>
      <w:ind w:firstLine="420" w:firstLineChars="100"/>
    </w:pPr>
    <w:rPr>
      <w:kern w:val="0"/>
      <w:sz w:val="20"/>
      <w:szCs w:val="20"/>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29"/>
    <w:semiHidden/>
    <w:unhideWhenUsed/>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5">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4"/>
    <w:qFormat/>
    <w:locked/>
    <w:uiPriority w:val="9"/>
    <w:rPr>
      <w:rFonts w:ascii="Times New Roman" w:hAnsi="Times New Roman" w:cs="Times New Roman"/>
      <w:b/>
      <w:bCs/>
      <w:kern w:val="44"/>
      <w:sz w:val="44"/>
      <w:szCs w:val="44"/>
    </w:rPr>
  </w:style>
  <w:style w:type="character" w:customStyle="1" w:styleId="26">
    <w:name w:val="标题 2 Char"/>
    <w:basedOn w:val="22"/>
    <w:link w:val="5"/>
    <w:qFormat/>
    <w:locked/>
    <w:uiPriority w:val="9"/>
    <w:rPr>
      <w:rFonts w:ascii="Cambria" w:hAnsi="Cambria" w:eastAsia="宋体" w:cs="Times New Roman"/>
      <w:b/>
      <w:bCs/>
      <w:kern w:val="2"/>
      <w:sz w:val="32"/>
      <w:szCs w:val="32"/>
    </w:rPr>
  </w:style>
  <w:style w:type="character" w:customStyle="1" w:styleId="27">
    <w:name w:val="标题 3 Char"/>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3"/>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5"/>
    <w:semiHidden/>
    <w:qFormat/>
    <w:locked/>
    <w:uiPriority w:val="99"/>
    <w:rPr>
      <w:sz w:val="18"/>
    </w:rPr>
  </w:style>
  <w:style w:type="character" w:customStyle="1" w:styleId="33">
    <w:name w:val="页脚 Char"/>
    <w:link w:val="14"/>
    <w:qFormat/>
    <w:locked/>
    <w:uiPriority w:val="99"/>
    <w:rPr>
      <w:sz w:val="18"/>
    </w:rPr>
  </w:style>
  <w:style w:type="character" w:customStyle="1" w:styleId="34">
    <w:name w:val="正文文本 Char"/>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正文首行缩进1"/>
    <w:basedOn w:val="8"/>
    <w:qFormat/>
    <w:uiPriority w:val="0"/>
    <w:pPr>
      <w:spacing w:before="100" w:beforeAutospacing="1" w:after="0"/>
      <w:ind w:firstLine="420" w:firstLineChars="100"/>
    </w:pPr>
    <w:rPr>
      <w:rFonts w:ascii="Times New Roman" w:hAnsi="Times New Roman" w:eastAsia="楷体_GB2312"/>
    </w:rPr>
  </w:style>
  <w:style w:type="paragraph" w:customStyle="1" w:styleId="41">
    <w:name w:val="无间隔4"/>
    <w:qFormat/>
    <w:uiPriority w:val="0"/>
    <w:pPr>
      <w:widowControl w:val="0"/>
      <w:jc w:val="both"/>
    </w:pPr>
    <w:rPr>
      <w:rFonts w:ascii="Calibri" w:hAnsi="Calibri" w:eastAsia="宋体" w:cs="Times New Roman"/>
      <w:kern w:val="2"/>
      <w:sz w:val="21"/>
      <w:szCs w:val="22"/>
      <w:lang w:val="en-US" w:eastAsia="zh-CN" w:bidi="ar-SA"/>
    </w:rPr>
  </w:style>
  <w:style w:type="character" w:customStyle="1" w:styleId="42">
    <w:name w:val="apple-converted-space"/>
    <w:basedOn w:val="22"/>
    <w:qFormat/>
    <w:uiPriority w:val="0"/>
  </w:style>
  <w:style w:type="paragraph" w:customStyle="1" w:styleId="43">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delete val="1"/>
          </c:dLbls>
          <c:cat>
            <c:strRef>
              <c:f>Sheet1!$A$2:$A$3</c:f>
              <c:strCache>
                <c:ptCount val="2"/>
                <c:pt idx="0">
                  <c:v>收入总计</c:v>
                </c:pt>
                <c:pt idx="1">
                  <c:v>支出总计</c:v>
                </c:pt>
              </c:strCache>
            </c:strRef>
          </c:cat>
          <c:val>
            <c:numRef>
              <c:f>Sheet1!$B$2:$B$3</c:f>
              <c:numCache>
                <c:formatCode>General</c:formatCode>
                <c:ptCount val="2"/>
                <c:pt idx="0">
                  <c:v>395.64</c:v>
                </c:pt>
                <c:pt idx="1">
                  <c:v>395.64</c:v>
                </c:pt>
              </c:numCache>
            </c:numRef>
          </c:val>
        </c:ser>
        <c:ser>
          <c:idx val="1"/>
          <c:order val="1"/>
          <c:tx>
            <c:strRef>
              <c:f>Sheet1!$C$1</c:f>
              <c:strCache>
                <c:ptCount val="1"/>
                <c:pt idx="0">
                  <c:v>2020</c:v>
                </c:pt>
              </c:strCache>
            </c:strRef>
          </c:tx>
          <c:spPr>
            <a:solidFill>
              <a:schemeClr val="accent2"/>
            </a:solidFill>
            <a:ln>
              <a:noFill/>
            </a:ln>
            <a:effectLst/>
          </c:spPr>
          <c:invertIfNegative val="0"/>
          <c:dLbls>
            <c:delete val="1"/>
          </c:dLbls>
          <c:cat>
            <c:strRef>
              <c:f>Sheet1!$A$2:$A$3</c:f>
              <c:strCache>
                <c:ptCount val="2"/>
                <c:pt idx="0">
                  <c:v>收入总计</c:v>
                </c:pt>
                <c:pt idx="1">
                  <c:v>支出总计</c:v>
                </c:pt>
              </c:strCache>
            </c:strRef>
          </c:cat>
          <c:val>
            <c:numRef>
              <c:f>Sheet1!$C$2:$C$3</c:f>
              <c:numCache>
                <c:formatCode>General</c:formatCode>
                <c:ptCount val="2"/>
                <c:pt idx="0">
                  <c:v>408.1</c:v>
                </c:pt>
                <c:pt idx="1">
                  <c:v>408.1</c:v>
                </c:pt>
              </c:numCache>
            </c:numRef>
          </c:val>
        </c:ser>
        <c:dLbls>
          <c:showLegendKey val="0"/>
          <c:showVal val="0"/>
          <c:showCatName val="0"/>
          <c:showSerName val="0"/>
          <c:showPercent val="0"/>
          <c:showBubbleSize val="0"/>
        </c:dLbls>
        <c:gapWidth val="219"/>
        <c:overlap val="-27"/>
        <c:axId val="627228192"/>
        <c:axId val="156887000"/>
      </c:barChart>
      <c:catAx>
        <c:axId val="6272281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87000"/>
        <c:crosses val="autoZero"/>
        <c:auto val="1"/>
        <c:lblAlgn val="ctr"/>
        <c:lblOffset val="100"/>
        <c:noMultiLvlLbl val="0"/>
      </c:catAx>
      <c:valAx>
        <c:axId val="1568870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2281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列2</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delete val="1"/>
            </c:dLbl>
            <c:dLbl>
              <c:idx val="2"/>
              <c:delete val="1"/>
            </c:dLbl>
            <c:dLbl>
              <c:idx val="3"/>
              <c:delete val="1"/>
            </c:dLbl>
            <c:dLbl>
              <c:idx val="4"/>
              <c:delete val="1"/>
            </c:dLbl>
            <c:dLbl>
              <c:idx val="5"/>
              <c:delete val="1"/>
            </c:dLbl>
            <c:dLbl>
              <c:idx val="6"/>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365.74</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支出情况</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0"/>
              <c:layout>
                <c:manualLayout>
                  <c:x val="-0.176966902890616"/>
                  <c:y val="-0.23139714519564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a:t>
                    </a:r>
                    <a:r>
                      <a:rPr lang="en-US" altLang="zh-CN"/>
                      <a:t>5.72%</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manualLayout>
                      <c:w val="0.16875"/>
                      <c:h val="0.113833333333333"/>
                    </c:manualLayout>
                  </c15:layout>
                </c:ext>
              </c:extLst>
            </c:dLbl>
            <c:dLbl>
              <c:idx val="1"/>
              <c:layout>
                <c:manualLayout>
                  <c:x val="0.0684403834867585"/>
                  <c:y val="0.14464660114468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14.28%</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manualLayout>
                      <c:w val="0.252125"/>
                      <c:h val="0.085"/>
                    </c:manualLayout>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349.83</c:v>
                </c:pt>
                <c:pt idx="1">
                  <c:v>58.27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delete val="1"/>
          </c:dLbls>
          <c:cat>
            <c:strRef>
              <c:f>Sheet1!$A$2:$A$3</c:f>
              <c:strCache>
                <c:ptCount val="2"/>
                <c:pt idx="0">
                  <c:v>财政拨款收入总计</c:v>
                </c:pt>
                <c:pt idx="1">
                  <c:v>财政拨款支出总计</c:v>
                </c:pt>
              </c:strCache>
            </c:strRef>
          </c:cat>
          <c:val>
            <c:numRef>
              <c:f>Sheet1!$B$2:$B$3</c:f>
              <c:numCache>
                <c:formatCode>General</c:formatCode>
                <c:ptCount val="2"/>
                <c:pt idx="0">
                  <c:v>395.64</c:v>
                </c:pt>
                <c:pt idx="1">
                  <c:v>395.64</c:v>
                </c:pt>
              </c:numCache>
            </c:numRef>
          </c:val>
        </c:ser>
        <c:ser>
          <c:idx val="1"/>
          <c:order val="1"/>
          <c:tx>
            <c:strRef>
              <c:f>Sheet1!$C$1</c:f>
              <c:strCache>
                <c:ptCount val="1"/>
                <c:pt idx="0">
                  <c:v>2020</c:v>
                </c:pt>
              </c:strCache>
            </c:strRef>
          </c:tx>
          <c:spPr>
            <a:solidFill>
              <a:schemeClr val="accent2"/>
            </a:solidFill>
            <a:ln>
              <a:noFill/>
            </a:ln>
            <a:effectLst/>
          </c:spPr>
          <c:invertIfNegative val="0"/>
          <c:dLbls>
            <c:delete val="1"/>
          </c:dLbls>
          <c:cat>
            <c:strRef>
              <c:f>Sheet1!$A$2:$A$3</c:f>
              <c:strCache>
                <c:ptCount val="2"/>
                <c:pt idx="0">
                  <c:v>财政拨款收入总计</c:v>
                </c:pt>
                <c:pt idx="1">
                  <c:v>财政拨款支出总计</c:v>
                </c:pt>
              </c:strCache>
            </c:strRef>
          </c:cat>
          <c:val>
            <c:numRef>
              <c:f>Sheet1!$C$2:$C$3</c:f>
              <c:numCache>
                <c:formatCode>General</c:formatCode>
                <c:ptCount val="2"/>
                <c:pt idx="0">
                  <c:v>408.1</c:v>
                </c:pt>
                <c:pt idx="1">
                  <c:v>408.1</c:v>
                </c:pt>
              </c:numCache>
            </c:numRef>
          </c:val>
        </c:ser>
        <c:dLbls>
          <c:showLegendKey val="0"/>
          <c:showVal val="0"/>
          <c:showCatName val="0"/>
          <c:showSerName val="0"/>
          <c:showPercent val="0"/>
          <c:showBubbleSize val="0"/>
        </c:dLbls>
        <c:gapWidth val="219"/>
        <c:overlap val="-27"/>
        <c:axId val="627228192"/>
        <c:axId val="156887000"/>
      </c:barChart>
      <c:catAx>
        <c:axId val="6272281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87000"/>
        <c:crosses val="autoZero"/>
        <c:auto val="1"/>
        <c:lblAlgn val="ctr"/>
        <c:lblOffset val="100"/>
        <c:noMultiLvlLbl val="0"/>
      </c:catAx>
      <c:valAx>
        <c:axId val="1568870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2281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395.64</c:v>
                </c:pt>
              </c:numCache>
            </c:numRef>
          </c:val>
        </c:ser>
        <c:ser>
          <c:idx val="1"/>
          <c:order val="1"/>
          <c:tx>
            <c:strRef>
              <c:f>Sheet1!$C$1</c:f>
              <c:strCache>
                <c:ptCount val="1"/>
                <c:pt idx="0">
                  <c:v>2020</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408.1</c:v>
                </c:pt>
              </c:numCache>
            </c:numRef>
          </c:val>
        </c:ser>
        <c:dLbls>
          <c:showLegendKey val="0"/>
          <c:showVal val="0"/>
          <c:showCatName val="0"/>
          <c:showSerName val="0"/>
          <c:showPercent val="0"/>
          <c:showBubbleSize val="0"/>
        </c:dLbls>
        <c:gapWidth val="219"/>
        <c:overlap val="-27"/>
        <c:axId val="627228192"/>
        <c:axId val="156887000"/>
      </c:barChart>
      <c:catAx>
        <c:axId val="6272281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87000"/>
        <c:crosses val="autoZero"/>
        <c:auto val="1"/>
        <c:lblAlgn val="ctr"/>
        <c:lblOffset val="100"/>
        <c:noMultiLvlLbl val="0"/>
      </c:catAx>
      <c:valAx>
        <c:axId val="1568870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2281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89.96</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4.16</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2"/>
              <c:layout>
                <c:manualLayout>
                  <c:x val="0.0256069676241337"/>
                  <c:y val="0.064881323807919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5.88</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社会保障和就业支出</c:v>
                </c:pt>
                <c:pt idx="1">
                  <c:v>卫生健康支出</c:v>
                </c:pt>
                <c:pt idx="2">
                  <c:v>住房保障支出</c:v>
                </c:pt>
              </c:strCache>
            </c:strRef>
          </c:cat>
          <c:val>
            <c:numRef>
              <c:f>Sheet1!$B$2:$B$4</c:f>
              <c:numCache>
                <c:formatCode>General</c:formatCode>
                <c:ptCount val="3"/>
                <c:pt idx="0">
                  <c:v>367.12</c:v>
                </c:pt>
                <c:pt idx="1">
                  <c:v>16.99</c:v>
                </c:pt>
                <c:pt idx="2">
                  <c:v>23.99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1</TotalTime>
  <ScaleCrop>false</ScaleCrop>
  <LinksUpToDate>false</LinksUpToDate>
  <CharactersWithSpaces>10535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2021-09-15T02:44:00Z</cp:lastPrinted>
  <dcterms:modified xsi:type="dcterms:W3CDTF">2021-09-22T07:37:12Z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