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8441"/>
      <w:bookmarkStart w:id="2" w:name="_Toc15377193"/>
      <w:bookmarkStart w:id="3" w:name="_Toc15377425"/>
      <w:bookmarkStart w:id="4" w:name="_Toc15396597"/>
      <w:bookmarkStart w:id="5" w:name="_Toc15396475"/>
      <w:r>
        <w:rPr>
          <w:rFonts w:hint="eastAsia" w:ascii="方正小标宋简体" w:eastAsia="方正小标宋简体"/>
          <w:sz w:val="72"/>
          <w:szCs w:val="72"/>
        </w:rPr>
        <w:t>2021年度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77194"/>
      <w:bookmarkStart w:id="8" w:name="_Toc15377426"/>
      <w:bookmarkStart w:id="9" w:name="_Toc15378442"/>
      <w:bookmarkStart w:id="10" w:name="_Toc15396598"/>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val="en-US" w:eastAsia="zh-CN"/>
        </w:rPr>
        <w:t>社会保险事业管理局</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6"/>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 xml:space="preserve"> 月</w:t>
      </w:r>
      <w:r>
        <w:rPr>
          <w:rFonts w:hint="eastAsia"/>
          <w:b w:val="0"/>
          <w:bCs w:val="0"/>
          <w:sz w:val="24"/>
          <w:szCs w:val="24"/>
          <w:lang w:val="en-US" w:eastAsia="zh-CN"/>
        </w:rPr>
        <w:t>27</w:t>
      </w:r>
      <w:r>
        <w:rPr>
          <w:rFonts w:hint="eastAsia"/>
          <w:b w:val="0"/>
          <w:bCs w:val="0"/>
          <w:sz w:val="24"/>
          <w:szCs w:val="24"/>
        </w:rPr>
        <w:t xml:space="preserve"> 日</w:t>
      </w:r>
    </w:p>
    <w:p>
      <w:pPr>
        <w:pStyle w:val="16"/>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19"/>
        <w:tabs>
          <w:tab w:val="right" w:leader="dot" w:pos="8296"/>
        </w:tabs>
        <w:rPr>
          <w:rFonts w:ascii="仿宋" w:eastAsia="仿宋"/>
        </w:rPr>
      </w:pPr>
      <w:r>
        <w:rPr>
          <w:rFonts w:ascii="仿宋" w:eastAsia="仿宋"/>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11"/>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1"/>
        <w:tabs>
          <w:tab w:val="right" w:leader="dot" w:pos="8296"/>
        </w:tabs>
        <w:rPr>
          <w:rFonts w:ascii="仿宋" w:eastAsia="仿宋"/>
          <w:i w:val="0"/>
          <w:iCs w:val="0"/>
          <w:caps w:val="0"/>
          <w:smallCaps/>
        </w:rPr>
      </w:pPr>
      <w:r>
        <w:rPr>
          <w:rFonts w:ascii="仿宋" w:eastAsia="仿宋"/>
          <w:i w:val="0"/>
          <w:iCs w:val="0"/>
          <w:caps w:val="0"/>
          <w:smallCaps/>
        </w:rPr>
        <w:t>（二）2021年重点工作完成情况。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_Toc79163854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9"/>
        <w:tabs>
          <w:tab w:val="right" w:leader="dot" w:pos="8296"/>
        </w:tabs>
        <w:rPr>
          <w:rFonts w:ascii="仿宋" w:eastAsia="仿宋"/>
        </w:rPr>
      </w:pPr>
      <w:r>
        <w:rPr>
          <w:rFonts w:ascii="仿宋" w:eastAsia="仿宋"/>
        </w:rPr>
        <w:t>二、机构设置</w:t>
      </w:r>
      <w:r>
        <w:rPr>
          <w:rFonts w:ascii="仿宋" w:eastAsia="仿宋"/>
        </w:rPr>
        <w:tab/>
      </w:r>
      <w:r>
        <w:rPr>
          <w:rFonts w:ascii="仿宋" w:eastAsia="仿宋"/>
        </w:rPr>
        <w:fldChar w:fldCharType="begin"/>
      </w:r>
      <w:r>
        <w:rPr>
          <w:rFonts w:ascii="仿宋" w:eastAsia="仿宋"/>
        </w:rPr>
        <w:instrText xml:space="preserve"> PAGEREF _Toc79163855 \h </w:instrText>
      </w:r>
      <w:r>
        <w:rPr>
          <w:rFonts w:ascii="仿宋" w:eastAsia="仿宋"/>
        </w:rPr>
        <w:fldChar w:fldCharType="separate"/>
      </w:r>
      <w:r>
        <w:rPr>
          <w:rFonts w:ascii="仿宋" w:eastAsia="仿宋"/>
        </w:rPr>
        <w:t>5</w:t>
      </w:r>
      <w:r>
        <w:rPr>
          <w:rFonts w:ascii="仿宋" w:eastAsia="仿宋"/>
        </w:rPr>
        <w:fldChar w:fldCharType="end"/>
      </w:r>
    </w:p>
    <w:p>
      <w:pPr>
        <w:pStyle w:val="16"/>
        <w:tabs>
          <w:tab w:val="right" w:leader="dot" w:pos="8296"/>
        </w:tabs>
        <w:rPr>
          <w:rFonts w:ascii="仿宋" w:eastAsia="仿宋"/>
          <w:b w:val="0"/>
          <w:bCs w:val="0"/>
          <w:caps w:val="0"/>
          <w:smallCaps/>
        </w:rPr>
      </w:pPr>
      <w:r>
        <w:rPr>
          <w:rFonts w:ascii="仿宋" w:eastAsia="仿宋"/>
          <w:b w:val="0"/>
          <w:bCs w:val="0"/>
          <w:caps w:val="0"/>
          <w:smallCaps/>
        </w:rPr>
        <w:t>第二部分 2021年度部门决算情况说明</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Pr>
          <w:rFonts w:ascii="仿宋" w:eastAsia="仿宋"/>
          <w:b w:val="0"/>
          <w:bCs w:val="0"/>
          <w:caps w:val="0"/>
          <w:smallCaps/>
        </w:rPr>
        <w:fldChar w:fldCharType="separate"/>
      </w:r>
      <w:r>
        <w:rPr>
          <w:rFonts w:ascii="仿宋" w:eastAsia="仿宋"/>
          <w:b w:val="0"/>
          <w:bCs w:val="0"/>
          <w:caps w:val="0"/>
          <w:smallCaps/>
        </w:rPr>
        <w:t>6</w:t>
      </w:r>
      <w:r>
        <w:rPr>
          <w:rFonts w:ascii="仿宋" w:eastAsia="仿宋"/>
          <w:b w:val="0"/>
          <w:bCs w:val="0"/>
          <w:caps w:val="0"/>
          <w:smallCaps/>
        </w:rPr>
        <w:fldChar w:fldCharType="end"/>
      </w:r>
    </w:p>
    <w:p>
      <w:pPr>
        <w:pStyle w:val="19"/>
        <w:tabs>
          <w:tab w:val="left" w:pos="840"/>
          <w:tab w:val="right" w:leader="dot" w:pos="8296"/>
        </w:tabs>
        <w:rPr>
          <w:rFonts w:ascii="仿宋" w:eastAsia="仿宋"/>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Pr>
          <w:rFonts w:ascii="仿宋" w:eastAsia="仿宋"/>
        </w:rPr>
        <w:fldChar w:fldCharType="begin"/>
      </w:r>
      <w:r>
        <w:rPr>
          <w:rFonts w:ascii="仿宋" w:eastAsia="仿宋"/>
        </w:rPr>
        <w:instrText xml:space="preserve"> PAGEREF _Toc79163860 \h </w:instrText>
      </w:r>
      <w:r>
        <w:rPr>
          <w:rFonts w:ascii="仿宋" w:eastAsia="仿宋"/>
        </w:rPr>
        <w:fldChar w:fldCharType="separate"/>
      </w:r>
      <w:r>
        <w:rPr>
          <w:rFonts w:ascii="仿宋" w:eastAsia="仿宋"/>
        </w:rPr>
        <w:t>6</w:t>
      </w:r>
      <w:r>
        <w:rPr>
          <w:rFonts w:ascii="仿宋" w:eastAsia="仿宋"/>
        </w:rPr>
        <w:fldChar w:fldCharType="end"/>
      </w:r>
    </w:p>
    <w:p>
      <w:pPr>
        <w:pStyle w:val="19"/>
        <w:tabs>
          <w:tab w:val="left" w:pos="840"/>
          <w:tab w:val="right" w:leader="dot" w:pos="8296"/>
        </w:tabs>
        <w:rPr>
          <w:rFonts w:ascii="仿宋" w:eastAsia="仿宋"/>
        </w:rPr>
      </w:pPr>
      <w:r>
        <w:rPr>
          <w:rFonts w:ascii="仿宋" w:eastAsia="仿宋"/>
        </w:rPr>
        <w:t>二、</w:t>
      </w:r>
      <w:r>
        <w:rPr>
          <w:rFonts w:ascii="仿宋" w:eastAsia="仿宋"/>
        </w:rPr>
        <w:tab/>
      </w:r>
      <w:r>
        <w:rPr>
          <w:rFonts w:ascii="仿宋" w:eastAsia="仿宋"/>
        </w:rPr>
        <w:t>收入决算情况说明</w:t>
      </w:r>
      <w:r>
        <w:rPr>
          <w:rFonts w:ascii="仿宋" w:eastAsia="仿宋"/>
        </w:rPr>
        <w:tab/>
      </w:r>
      <w:r>
        <w:rPr>
          <w:rFonts w:ascii="仿宋" w:eastAsia="仿宋"/>
        </w:rPr>
        <w:fldChar w:fldCharType="begin"/>
      </w:r>
      <w:r>
        <w:rPr>
          <w:rFonts w:ascii="仿宋" w:eastAsia="仿宋"/>
        </w:rPr>
        <w:instrText xml:space="preserve"> PAGEREF _Toc79163861 \h </w:instrText>
      </w:r>
      <w:r>
        <w:rPr>
          <w:rFonts w:ascii="仿宋" w:eastAsia="仿宋"/>
        </w:rPr>
        <w:fldChar w:fldCharType="separate"/>
      </w:r>
      <w:r>
        <w:rPr>
          <w:rFonts w:ascii="仿宋" w:eastAsia="仿宋"/>
        </w:rPr>
        <w:t>6</w:t>
      </w:r>
      <w:r>
        <w:rPr>
          <w:rFonts w:ascii="仿宋" w:eastAsia="仿宋"/>
        </w:rPr>
        <w:fldChar w:fldCharType="end"/>
      </w:r>
    </w:p>
    <w:p>
      <w:pPr>
        <w:pStyle w:val="19"/>
        <w:tabs>
          <w:tab w:val="left" w:pos="840"/>
          <w:tab w:val="right" w:leader="dot" w:pos="8296"/>
        </w:tabs>
        <w:rPr>
          <w:rFonts w:ascii="仿宋" w:eastAsia="仿宋"/>
        </w:rPr>
      </w:pPr>
      <w:r>
        <w:rPr>
          <w:rFonts w:ascii="仿宋" w:eastAsia="仿宋"/>
        </w:rPr>
        <w:t>三、</w:t>
      </w:r>
      <w:r>
        <w:rPr>
          <w:rFonts w:ascii="仿宋" w:eastAsia="仿宋"/>
        </w:rPr>
        <w:tab/>
      </w:r>
      <w:r>
        <w:rPr>
          <w:rFonts w:ascii="仿宋" w:eastAsia="仿宋"/>
        </w:rPr>
        <w:t>支出决算情况说明</w:t>
      </w:r>
      <w:r>
        <w:rPr>
          <w:rFonts w:ascii="仿宋" w:eastAsia="仿宋"/>
        </w:rPr>
        <w:tab/>
      </w:r>
      <w:r>
        <w:rPr>
          <w:rFonts w:ascii="仿宋" w:eastAsia="仿宋"/>
        </w:rPr>
        <w:fldChar w:fldCharType="begin"/>
      </w:r>
      <w:r>
        <w:rPr>
          <w:rFonts w:ascii="仿宋" w:eastAsia="仿宋"/>
        </w:rPr>
        <w:instrText xml:space="preserve"> PAGEREF _Toc79163862 \h </w:instrText>
      </w:r>
      <w:r>
        <w:rPr>
          <w:rFonts w:ascii="仿宋" w:eastAsia="仿宋"/>
        </w:rPr>
        <w:fldChar w:fldCharType="separate"/>
      </w:r>
      <w:r>
        <w:rPr>
          <w:rFonts w:ascii="仿宋" w:eastAsia="仿宋"/>
        </w:rPr>
        <w:t>7</w:t>
      </w:r>
      <w:r>
        <w:rPr>
          <w:rFonts w:ascii="仿宋" w:eastAsia="仿宋"/>
        </w:rPr>
        <w:fldChar w:fldCharType="end"/>
      </w:r>
    </w:p>
    <w:p>
      <w:pPr>
        <w:pStyle w:val="19"/>
        <w:tabs>
          <w:tab w:val="right" w:leader="dot" w:pos="8296"/>
        </w:tabs>
        <w:rPr>
          <w:rFonts w:ascii="仿宋" w:eastAsia="仿宋"/>
        </w:rPr>
      </w:pPr>
      <w:r>
        <w:rPr>
          <w:rFonts w:ascii="仿宋" w:eastAsia="仿宋"/>
        </w:rPr>
        <w:t>四、财政拨款收入支出决算总体情况说明</w:t>
      </w:r>
      <w:r>
        <w:rPr>
          <w:rFonts w:ascii="仿宋" w:eastAsia="仿宋"/>
        </w:rPr>
        <w:tab/>
      </w:r>
      <w:r>
        <w:rPr>
          <w:rFonts w:ascii="仿宋" w:eastAsia="仿宋"/>
        </w:rPr>
        <w:fldChar w:fldCharType="begin"/>
      </w:r>
      <w:r>
        <w:rPr>
          <w:rFonts w:ascii="仿宋" w:eastAsia="仿宋"/>
        </w:rPr>
        <w:instrText xml:space="preserve"> PAGEREF _Toc79163863 \h </w:instrText>
      </w:r>
      <w:r>
        <w:rPr>
          <w:rFonts w:ascii="仿宋" w:eastAsia="仿宋"/>
        </w:rPr>
        <w:fldChar w:fldCharType="separate"/>
      </w:r>
      <w:r>
        <w:rPr>
          <w:rFonts w:ascii="仿宋" w:eastAsia="仿宋"/>
        </w:rPr>
        <w:t>7</w:t>
      </w:r>
      <w:r>
        <w:rPr>
          <w:rFonts w:ascii="仿宋" w:eastAsia="仿宋"/>
        </w:rPr>
        <w:fldChar w:fldCharType="end"/>
      </w:r>
    </w:p>
    <w:p>
      <w:pPr>
        <w:pStyle w:val="19"/>
        <w:tabs>
          <w:tab w:val="right" w:leader="dot" w:pos="8296"/>
        </w:tabs>
        <w:rPr>
          <w:rFonts w:ascii="仿宋" w:eastAsia="仿宋"/>
        </w:rPr>
      </w:pPr>
      <w:r>
        <w:rPr>
          <w:rFonts w:ascii="仿宋" w:eastAsia="仿宋"/>
        </w:rPr>
        <w:t>五、一般公共预算财政拨款支出决算情况说明</w:t>
      </w:r>
      <w:r>
        <w:rPr>
          <w:rFonts w:ascii="仿宋" w:eastAsia="仿宋"/>
        </w:rPr>
        <w:tab/>
      </w:r>
      <w:r>
        <w:rPr>
          <w:rFonts w:ascii="仿宋" w:eastAsia="仿宋"/>
        </w:rPr>
        <w:fldChar w:fldCharType="begin"/>
      </w:r>
      <w:r>
        <w:rPr>
          <w:rFonts w:ascii="仿宋" w:eastAsia="仿宋"/>
        </w:rPr>
        <w:instrText xml:space="preserve"> PAGEREF _Toc79163864 \h </w:instrText>
      </w:r>
      <w:r>
        <w:rPr>
          <w:rFonts w:ascii="仿宋" w:eastAsia="仿宋"/>
        </w:rPr>
        <w:fldChar w:fldCharType="separate"/>
      </w:r>
      <w:r>
        <w:rPr>
          <w:rFonts w:ascii="仿宋" w:eastAsia="仿宋"/>
        </w:rPr>
        <w:t>8</w:t>
      </w:r>
      <w:r>
        <w:rPr>
          <w:rFonts w:ascii="仿宋" w:eastAsia="仿宋"/>
        </w:rPr>
        <w:fldChar w:fldCharType="end"/>
      </w:r>
    </w:p>
    <w:p>
      <w:pPr>
        <w:pStyle w:val="11"/>
        <w:tabs>
          <w:tab w:val="right" w:leader="dot" w:pos="8296"/>
        </w:tabs>
        <w:rPr>
          <w:rFonts w:ascii="仿宋" w:eastAsia="仿宋"/>
          <w:i w:val="0"/>
          <w:iCs w:val="0"/>
          <w:caps w:val="0"/>
          <w:smallCaps/>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_Toc79163865 \h </w:instrText>
      </w:r>
      <w:r>
        <w:rPr>
          <w:rFonts w:ascii="仿宋" w:eastAsia="仿宋"/>
          <w:i w:val="0"/>
          <w:iCs w:val="0"/>
          <w:caps w:val="0"/>
          <w:smallCaps/>
        </w:rPr>
        <w:fldChar w:fldCharType="separate"/>
      </w:r>
      <w:r>
        <w:rPr>
          <w:rFonts w:ascii="仿宋" w:eastAsia="仿宋"/>
          <w:i w:val="0"/>
          <w:iCs w:val="0"/>
          <w:caps w:val="0"/>
          <w:smallCaps/>
        </w:rPr>
        <w:t>8</w:t>
      </w:r>
      <w:r>
        <w:rPr>
          <w:rFonts w:ascii="仿宋" w:eastAsia="仿宋"/>
          <w:i w:val="0"/>
          <w:iCs w:val="0"/>
          <w:caps w:val="0"/>
          <w:smallCaps/>
        </w:rPr>
        <w:fldChar w:fldCharType="end"/>
      </w:r>
    </w:p>
    <w:p>
      <w:pPr>
        <w:pStyle w:val="11"/>
        <w:tabs>
          <w:tab w:val="right" w:leader="dot" w:pos="8296"/>
        </w:tabs>
        <w:rPr>
          <w:rFonts w:ascii="仿宋" w:eastAsia="仿宋"/>
          <w:i w:val="0"/>
          <w:iCs w:val="0"/>
          <w:caps w:val="0"/>
          <w:smallCaps/>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_Toc79163866 \h </w:instrText>
      </w:r>
      <w:r>
        <w:rPr>
          <w:rFonts w:ascii="仿宋" w:eastAsia="仿宋"/>
          <w:i w:val="0"/>
          <w:iCs w:val="0"/>
          <w:caps w:val="0"/>
          <w:smallCaps/>
        </w:rPr>
        <w:fldChar w:fldCharType="separate"/>
      </w:r>
      <w:r>
        <w:rPr>
          <w:rFonts w:ascii="仿宋" w:eastAsia="仿宋"/>
          <w:i w:val="0"/>
          <w:iCs w:val="0"/>
          <w:caps w:val="0"/>
          <w:smallCaps/>
        </w:rPr>
        <w:t>9</w:t>
      </w:r>
      <w:r>
        <w:rPr>
          <w:rFonts w:ascii="仿宋" w:eastAsia="仿宋"/>
          <w:i w:val="0"/>
          <w:iCs w:val="0"/>
          <w:caps w:val="0"/>
          <w:smallCaps/>
        </w:rPr>
        <w:fldChar w:fldCharType="end"/>
      </w:r>
    </w:p>
    <w:p>
      <w:pPr>
        <w:pStyle w:val="11"/>
        <w:tabs>
          <w:tab w:val="right" w:leader="dot" w:pos="8296"/>
        </w:tabs>
        <w:rPr>
          <w:rFonts w:ascii="仿宋" w:eastAsia="仿宋"/>
          <w:i w:val="0"/>
          <w:iCs w:val="0"/>
          <w:caps w:val="0"/>
          <w:smallCaps/>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_Toc79163867 \h </w:instrText>
      </w:r>
      <w:r>
        <w:rPr>
          <w:rFonts w:ascii="仿宋" w:eastAsia="仿宋"/>
          <w:i w:val="0"/>
          <w:iCs w:val="0"/>
          <w:caps w:val="0"/>
          <w:smallCaps/>
        </w:rPr>
        <w:fldChar w:fldCharType="separate"/>
      </w:r>
      <w:r>
        <w:rPr>
          <w:rFonts w:ascii="仿宋" w:eastAsia="仿宋"/>
          <w:i w:val="0"/>
          <w:iCs w:val="0"/>
          <w:caps w:val="0"/>
          <w:smallCaps/>
        </w:rPr>
        <w:t>9</w:t>
      </w:r>
      <w:r>
        <w:rPr>
          <w:rFonts w:ascii="仿宋" w:eastAsia="仿宋"/>
          <w:i w:val="0"/>
          <w:iCs w:val="0"/>
          <w:caps w:val="0"/>
          <w:smallCaps/>
        </w:rPr>
        <w:fldChar w:fldCharType="end"/>
      </w:r>
    </w:p>
    <w:p>
      <w:pPr>
        <w:pStyle w:val="19"/>
        <w:tabs>
          <w:tab w:val="right" w:leader="dot" w:pos="8296"/>
        </w:tabs>
        <w:rPr>
          <w:rFonts w:ascii="仿宋" w:eastAsia="仿宋"/>
        </w:rPr>
      </w:pPr>
      <w:r>
        <w:rPr>
          <w:rFonts w:ascii="仿宋" w:eastAsia="仿宋"/>
        </w:rPr>
        <w:t>六、一般公共预算财政拨款基本支出决算情况说明</w:t>
      </w:r>
      <w:r>
        <w:rPr>
          <w:rFonts w:ascii="仿宋" w:eastAsia="仿宋"/>
        </w:rPr>
        <w:tab/>
      </w:r>
      <w:r>
        <w:rPr>
          <w:rFonts w:ascii="仿宋" w:eastAsia="仿宋"/>
        </w:rPr>
        <w:fldChar w:fldCharType="begin"/>
      </w:r>
      <w:r>
        <w:rPr>
          <w:rFonts w:ascii="仿宋" w:eastAsia="仿宋"/>
        </w:rPr>
        <w:instrText xml:space="preserve"> PAGEREF _Toc79163868 \h </w:instrText>
      </w:r>
      <w:r>
        <w:rPr>
          <w:rFonts w:ascii="仿宋" w:eastAsia="仿宋"/>
        </w:rPr>
        <w:fldChar w:fldCharType="separate"/>
      </w:r>
      <w:r>
        <w:rPr>
          <w:rFonts w:ascii="仿宋" w:eastAsia="仿宋"/>
        </w:rPr>
        <w:t>11</w:t>
      </w:r>
      <w:r>
        <w:rPr>
          <w:rFonts w:ascii="仿宋" w:eastAsia="仿宋"/>
        </w:rPr>
        <w:fldChar w:fldCharType="end"/>
      </w:r>
    </w:p>
    <w:p>
      <w:pPr>
        <w:pStyle w:val="19"/>
        <w:tabs>
          <w:tab w:val="right" w:leader="dot" w:pos="8296"/>
        </w:tabs>
        <w:rPr>
          <w:rFonts w:ascii="仿宋" w:eastAsia="仿宋"/>
        </w:rPr>
      </w:pPr>
      <w:r>
        <w:rPr>
          <w:rFonts w:ascii="仿宋" w:eastAsia="仿宋"/>
        </w:rPr>
        <w:t>七、“三公”经费财政拨款支出决算情况说明</w:t>
      </w:r>
      <w:r>
        <w:rPr>
          <w:rFonts w:ascii="仿宋" w:eastAsia="仿宋"/>
        </w:rPr>
        <w:tab/>
      </w:r>
      <w:r>
        <w:rPr>
          <w:rFonts w:ascii="仿宋" w:eastAsia="仿宋"/>
        </w:rPr>
        <w:fldChar w:fldCharType="begin"/>
      </w:r>
      <w:r>
        <w:rPr>
          <w:rFonts w:ascii="仿宋" w:eastAsia="仿宋"/>
        </w:rPr>
        <w:instrText xml:space="preserve"> PAGEREF _Toc79163869 \h </w:instrText>
      </w:r>
      <w:r>
        <w:rPr>
          <w:rFonts w:ascii="仿宋" w:eastAsia="仿宋"/>
        </w:rPr>
        <w:fldChar w:fldCharType="separate"/>
      </w:r>
      <w:r>
        <w:rPr>
          <w:rFonts w:ascii="仿宋" w:eastAsia="仿宋"/>
        </w:rPr>
        <w:t>11</w:t>
      </w:r>
      <w:r>
        <w:rPr>
          <w:rFonts w:ascii="仿宋" w:eastAsia="仿宋"/>
        </w:rPr>
        <w:fldChar w:fldCharType="end"/>
      </w:r>
    </w:p>
    <w:p>
      <w:pPr>
        <w:pStyle w:val="11"/>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_Toc79163870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pPr>
        <w:pStyle w:val="11"/>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_Toc79163871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pPr>
        <w:pStyle w:val="19"/>
        <w:tabs>
          <w:tab w:val="right" w:leader="dot" w:pos="8296"/>
        </w:tabs>
        <w:rPr>
          <w:rFonts w:ascii="仿宋" w:eastAsia="仿宋"/>
        </w:rPr>
      </w:pPr>
      <w:r>
        <w:rPr>
          <w:rFonts w:ascii="仿宋" w:eastAsia="仿宋"/>
        </w:rPr>
        <w:t>八、政府性基金预算支出决算情况说明</w:t>
      </w:r>
      <w:r>
        <w:rPr>
          <w:rFonts w:ascii="仿宋" w:eastAsia="仿宋"/>
        </w:rPr>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12</w:t>
      </w:r>
      <w:r>
        <w:rPr>
          <w:rFonts w:ascii="仿宋" w:eastAsia="仿宋"/>
        </w:rPr>
        <w:fldChar w:fldCharType="end"/>
      </w:r>
    </w:p>
    <w:p>
      <w:pPr>
        <w:pStyle w:val="19"/>
        <w:tabs>
          <w:tab w:val="right" w:leader="dot" w:pos="8296"/>
        </w:tabs>
        <w:rPr>
          <w:rFonts w:ascii="仿宋" w:eastAsia="仿宋"/>
        </w:rPr>
      </w:pPr>
      <w:r>
        <w:rPr>
          <w:rFonts w:ascii="仿宋" w:eastAsia="仿宋"/>
        </w:rPr>
        <w:t>九、 国有资本经营预算支出决算情况说明</w:t>
      </w:r>
      <w:r>
        <w:rPr>
          <w:rFonts w:ascii="仿宋" w:eastAsia="仿宋"/>
        </w:rPr>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12</w:t>
      </w:r>
      <w:r>
        <w:rPr>
          <w:rFonts w:ascii="仿宋" w:eastAsia="仿宋"/>
        </w:rPr>
        <w:fldChar w:fldCharType="end"/>
      </w:r>
    </w:p>
    <w:p>
      <w:pPr>
        <w:pStyle w:val="19"/>
        <w:tabs>
          <w:tab w:val="right" w:leader="dot" w:pos="8296"/>
        </w:tabs>
        <w:rPr>
          <w:rFonts w:ascii="仿宋" w:eastAsia="仿宋"/>
        </w:rPr>
      </w:pPr>
      <w:r>
        <w:rPr>
          <w:rFonts w:ascii="仿宋" w:eastAsia="仿宋"/>
        </w:rPr>
        <w:t>十、其他重要事项的情况说明</w:t>
      </w:r>
      <w:r>
        <w:rPr>
          <w:rFonts w:ascii="仿宋" w:eastAsia="仿宋"/>
        </w:rPr>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12</w:t>
      </w:r>
      <w:r>
        <w:rPr>
          <w:rFonts w:ascii="仿宋" w:eastAsia="仿宋"/>
        </w:rPr>
        <w:fldChar w:fldCharType="end"/>
      </w:r>
    </w:p>
    <w:p>
      <w:pPr>
        <w:pStyle w:val="11"/>
        <w:tabs>
          <w:tab w:val="right" w:leader="dot" w:pos="8296"/>
        </w:tabs>
        <w:rPr>
          <w:rFonts w:ascii="仿宋" w:eastAsia="仿宋"/>
          <w:i w:val="0"/>
          <w:iCs w:val="0"/>
          <w:caps w:val="0"/>
          <w:smallCaps/>
        </w:rPr>
      </w:pPr>
      <w:r>
        <w:rPr>
          <w:rFonts w:ascii="仿宋" w:eastAsia="仿宋"/>
          <w:i w:val="0"/>
          <w:iCs w:val="0"/>
          <w:caps w:val="0"/>
          <w:smallCaps/>
        </w:rPr>
        <w:t>（一）机关运行经费支出情况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11"/>
        <w:tabs>
          <w:tab w:val="right" w:leader="dot" w:pos="8296"/>
        </w:tabs>
        <w:rPr>
          <w:rFonts w:ascii="仿宋" w:eastAsia="仿宋"/>
          <w:i w:val="0"/>
          <w:iCs w:val="0"/>
          <w:caps w:val="0"/>
          <w:smallCaps/>
        </w:rPr>
      </w:pPr>
      <w:r>
        <w:rPr>
          <w:rFonts w:ascii="仿宋" w:eastAsia="仿宋"/>
          <w:i w:val="0"/>
          <w:iCs w:val="0"/>
          <w:caps w:val="0"/>
          <w:smallCaps/>
        </w:rPr>
        <w:t>（二）政府采购支出情况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11"/>
        <w:tabs>
          <w:tab w:val="right" w:leader="dot" w:pos="8296"/>
        </w:tabs>
        <w:rPr>
          <w:rFonts w:ascii="仿宋" w:eastAsia="仿宋"/>
          <w:i w:val="0"/>
          <w:iCs w:val="0"/>
          <w:caps w:val="0"/>
          <w:smallCaps/>
        </w:rPr>
      </w:pPr>
      <w:r>
        <w:rPr>
          <w:rFonts w:ascii="仿宋" w:eastAsia="仿宋"/>
          <w:i w:val="0"/>
          <w:iCs w:val="0"/>
          <w:caps w:val="0"/>
          <w:smallCaps/>
        </w:rPr>
        <w:t>（三）国有资产占有使用情况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11"/>
        <w:tabs>
          <w:tab w:val="right" w:leader="dot" w:pos="8296"/>
        </w:tabs>
        <w:rPr>
          <w:rFonts w:ascii="仿宋" w:eastAsia="仿宋"/>
          <w:i w:val="0"/>
          <w:iCs w:val="0"/>
          <w:caps w:val="0"/>
          <w:smallCaps/>
        </w:rPr>
      </w:pPr>
      <w:r>
        <w:rPr>
          <w:rFonts w:ascii="仿宋" w:eastAsia="仿宋"/>
          <w:i w:val="0"/>
          <w:iCs w:val="0"/>
          <w:caps w:val="0"/>
          <w:smallCaps/>
        </w:rPr>
        <w:t>（四）预算绩效管理情况。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16"/>
        <w:tabs>
          <w:tab w:val="right" w:leader="dot" w:pos="8296"/>
        </w:tabs>
        <w:rPr>
          <w:rFonts w:ascii="仿宋" w:eastAsia="仿宋"/>
          <w:b w:val="0"/>
          <w:bCs w:val="0"/>
          <w:caps w:val="0"/>
          <w:smallCaps/>
        </w:rPr>
      </w:pPr>
      <w:r>
        <w:rPr>
          <w:rFonts w:ascii="仿宋" w:eastAsia="仿宋"/>
          <w:b w:val="0"/>
          <w:bCs w:val="0"/>
          <w:caps w:val="0"/>
          <w:smallCaps/>
        </w:rPr>
        <w:t>第三部分 名词解释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Pr>
          <w:rFonts w:ascii="仿宋" w:eastAsia="仿宋"/>
          <w:b w:val="0"/>
          <w:bCs w:val="0"/>
          <w:caps w:val="0"/>
          <w:smallCaps/>
        </w:rPr>
        <w:fldChar w:fldCharType="separate"/>
      </w:r>
      <w:r>
        <w:rPr>
          <w:rFonts w:ascii="仿宋" w:eastAsia="仿宋"/>
          <w:b w:val="0"/>
          <w:bCs w:val="0"/>
          <w:caps w:val="0"/>
          <w:smallCaps/>
        </w:rPr>
        <w:t>14</w:t>
      </w:r>
      <w:r>
        <w:rPr>
          <w:rFonts w:ascii="仿宋" w:eastAsia="仿宋"/>
          <w:b w:val="0"/>
          <w:bCs w:val="0"/>
          <w:caps w:val="0"/>
          <w:smallCaps/>
        </w:rPr>
        <w:fldChar w:fldCharType="end"/>
      </w:r>
    </w:p>
    <w:p>
      <w:pPr>
        <w:pStyle w:val="16"/>
        <w:tabs>
          <w:tab w:val="right" w:leader="dot" w:pos="8296"/>
        </w:tabs>
        <w:rPr>
          <w:rFonts w:ascii="仿宋" w:eastAsia="仿宋"/>
          <w:b w:val="0"/>
          <w:bCs w:val="0"/>
          <w:caps w:val="0"/>
          <w:smallCaps/>
        </w:rPr>
      </w:pPr>
      <w:r>
        <w:rPr>
          <w:rFonts w:ascii="仿宋" w:eastAsia="仿宋"/>
          <w:b w:val="0"/>
          <w:bCs w:val="0"/>
          <w:caps w:val="0"/>
          <w:smallCaps/>
        </w:rPr>
        <w:t>第四部分 附件</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_Toc79163880 \h </w:instrText>
      </w:r>
      <w:r>
        <w:rPr>
          <w:rFonts w:ascii="仿宋" w:eastAsia="仿宋"/>
          <w:b w:val="0"/>
          <w:bCs w:val="0"/>
          <w:caps w:val="0"/>
          <w:smallCaps/>
        </w:rPr>
        <w:fldChar w:fldCharType="separate"/>
      </w:r>
      <w:r>
        <w:rPr>
          <w:rFonts w:ascii="仿宋" w:eastAsia="仿宋"/>
          <w:b w:val="0"/>
          <w:bCs w:val="0"/>
          <w:caps w:val="0"/>
          <w:smallCaps/>
        </w:rPr>
        <w:t>17</w:t>
      </w:r>
      <w:r>
        <w:rPr>
          <w:rFonts w:ascii="仿宋" w:eastAsia="仿宋"/>
          <w:b w:val="0"/>
          <w:bCs w:val="0"/>
          <w:caps w:val="0"/>
          <w:smallCaps/>
        </w:rPr>
        <w:fldChar w:fldCharType="end"/>
      </w:r>
    </w:p>
    <w:p>
      <w:pPr>
        <w:pStyle w:val="16"/>
        <w:tabs>
          <w:tab w:val="right" w:leader="dot" w:pos="8296"/>
        </w:tabs>
        <w:rPr>
          <w:rFonts w:ascii="仿宋" w:eastAsia="仿宋"/>
          <w:b w:val="0"/>
          <w:bCs w:val="0"/>
          <w:caps w:val="0"/>
          <w:smallCaps/>
        </w:rPr>
      </w:pPr>
      <w:r>
        <w:rPr>
          <w:rFonts w:ascii="仿宋" w:eastAsia="仿宋"/>
          <w:b w:val="0"/>
          <w:bCs w:val="0"/>
          <w:caps w:val="0"/>
          <w:smallCaps/>
        </w:rPr>
        <w:t>附件1</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_Toc79163881 \h </w:instrText>
      </w:r>
      <w:r>
        <w:rPr>
          <w:rFonts w:ascii="仿宋" w:eastAsia="仿宋"/>
          <w:b w:val="0"/>
          <w:bCs w:val="0"/>
          <w:caps w:val="0"/>
          <w:smallCaps/>
        </w:rPr>
        <w:fldChar w:fldCharType="separate"/>
      </w:r>
      <w:r>
        <w:rPr>
          <w:rFonts w:ascii="仿宋" w:eastAsia="仿宋"/>
          <w:b w:val="0"/>
          <w:bCs w:val="0"/>
          <w:caps w:val="0"/>
          <w:smallCaps/>
        </w:rPr>
        <w:t>17</w:t>
      </w:r>
      <w:r>
        <w:rPr>
          <w:rFonts w:ascii="仿宋" w:eastAsia="仿宋"/>
          <w:b w:val="0"/>
          <w:bCs w:val="0"/>
          <w:caps w:val="0"/>
          <w:smallCaps/>
        </w:rPr>
        <w:fldChar w:fldCharType="end"/>
      </w:r>
    </w:p>
    <w:p>
      <w:pPr>
        <w:pStyle w:val="16"/>
        <w:tabs>
          <w:tab w:val="right" w:leader="dot" w:pos="8296"/>
        </w:tabs>
        <w:rPr>
          <w:rFonts w:ascii="仿宋" w:eastAsia="仿宋"/>
          <w:b w:val="0"/>
          <w:bCs w:val="0"/>
          <w:caps w:val="0"/>
          <w:smallCaps/>
        </w:rPr>
      </w:pPr>
      <w:r>
        <w:rPr>
          <w:rFonts w:hint="eastAsia" w:ascii="仿宋" w:eastAsia="仿宋"/>
          <w:b w:val="0"/>
          <w:bCs w:val="0"/>
          <w:caps w:val="0"/>
          <w:smallCaps/>
          <w:lang w:val="en-US" w:eastAsia="zh-CN"/>
        </w:rPr>
        <w:t>茂县社保局</w:t>
      </w:r>
      <w:r>
        <w:rPr>
          <w:rFonts w:ascii="仿宋" w:eastAsia="仿宋"/>
          <w:b w:val="0"/>
          <w:bCs w:val="0"/>
          <w:caps w:val="0"/>
          <w:smallCaps/>
        </w:rPr>
        <w:t>2021年部门整体支出绩效评价报告</w:t>
      </w:r>
      <w:r>
        <w:rPr>
          <w:rFonts w:ascii="仿宋" w:eastAsia="仿宋"/>
          <w:b w:val="0"/>
          <w:bCs w:val="0"/>
          <w:caps w:val="0"/>
          <w:smallCaps/>
        </w:rPr>
        <w:tab/>
      </w:r>
      <w:r>
        <w:rPr>
          <w:rFonts w:hint="eastAsia" w:ascii="仿宋" w:eastAsia="仿宋"/>
          <w:b w:val="0"/>
          <w:bCs w:val="0"/>
          <w:caps w:val="0"/>
          <w:smallCaps/>
          <w:lang w:val="en-US" w:eastAsia="zh-CN"/>
        </w:rPr>
        <w:t>17</w:t>
      </w:r>
    </w:p>
    <w:p>
      <w:pPr>
        <w:pStyle w:val="16"/>
        <w:tabs>
          <w:tab w:val="right" w:leader="dot" w:pos="8296"/>
        </w:tabs>
        <w:rPr>
          <w:rFonts w:ascii="仿宋" w:eastAsia="仿宋"/>
          <w:b w:val="0"/>
          <w:bCs w:val="0"/>
          <w:caps w:val="0"/>
          <w:smallCaps/>
        </w:rPr>
      </w:pPr>
      <w:r>
        <w:rPr>
          <w:rFonts w:ascii="仿宋" w:eastAsia="仿宋"/>
          <w:b w:val="0"/>
          <w:bCs w:val="0"/>
          <w:caps w:val="0"/>
          <w:smallCaps/>
        </w:rPr>
        <w:t>第五部分 附表</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_Toc79163885 \h </w:instrText>
      </w:r>
      <w:r>
        <w:rPr>
          <w:rFonts w:ascii="仿宋" w:eastAsia="仿宋"/>
          <w:b w:val="0"/>
          <w:bCs w:val="0"/>
          <w:caps w:val="0"/>
          <w:smallCaps/>
        </w:rPr>
        <w:fldChar w:fldCharType="separate"/>
      </w:r>
      <w:r>
        <w:rPr>
          <w:rFonts w:ascii="仿宋" w:eastAsia="仿宋"/>
          <w:b w:val="0"/>
          <w:bCs w:val="0"/>
          <w:caps w:val="0"/>
          <w:smallCaps/>
        </w:rPr>
        <w:t>22</w:t>
      </w:r>
      <w:r>
        <w:rPr>
          <w:rFonts w:ascii="仿宋" w:eastAsia="仿宋"/>
          <w:b w:val="0"/>
          <w:bCs w:val="0"/>
          <w:caps w:val="0"/>
          <w:smallCaps/>
        </w:rPr>
        <w:fldChar w:fldCharType="end"/>
      </w:r>
    </w:p>
    <w:p>
      <w:pPr>
        <w:pStyle w:val="19"/>
        <w:tabs>
          <w:tab w:val="right" w:leader="dot" w:pos="8296"/>
        </w:tabs>
        <w:rPr>
          <w:rFonts w:ascii="仿宋" w:eastAsia="仿宋"/>
        </w:rPr>
      </w:pPr>
      <w:r>
        <w:rPr>
          <w:rFonts w:ascii="仿宋" w:eastAsia="仿宋"/>
        </w:rPr>
        <w:t>一、收入支出决算总表</w:t>
      </w:r>
      <w:r>
        <w:rPr>
          <w:rFonts w:ascii="仿宋" w:eastAsia="仿宋"/>
        </w:rPr>
        <w:tab/>
      </w:r>
      <w:r>
        <w:rPr>
          <w:rFonts w:ascii="仿宋" w:eastAsia="仿宋"/>
        </w:rPr>
        <w:fldChar w:fldCharType="begin"/>
      </w:r>
      <w:r>
        <w:rPr>
          <w:rFonts w:ascii="仿宋" w:eastAsia="仿宋"/>
        </w:rPr>
        <w:instrText xml:space="preserve"> PAGEREF _Toc79163886 \h </w:instrText>
      </w:r>
      <w:r>
        <w:rPr>
          <w:rFonts w:ascii="仿宋" w:eastAsia="仿宋"/>
        </w:rPr>
        <w:fldChar w:fldCharType="separate"/>
      </w:r>
      <w:r>
        <w:rPr>
          <w:rFonts w:ascii="仿宋" w:eastAsia="仿宋"/>
        </w:rPr>
        <w:t>22</w:t>
      </w:r>
      <w:r>
        <w:rPr>
          <w:rFonts w:ascii="仿宋" w:eastAsia="仿宋"/>
        </w:rPr>
        <w:fldChar w:fldCharType="end"/>
      </w:r>
    </w:p>
    <w:p>
      <w:pPr>
        <w:pStyle w:val="19"/>
        <w:tabs>
          <w:tab w:val="right" w:leader="dot" w:pos="8296"/>
        </w:tabs>
        <w:rPr>
          <w:rFonts w:ascii="仿宋" w:eastAsia="仿宋"/>
        </w:rPr>
      </w:pPr>
      <w:r>
        <w:rPr>
          <w:rFonts w:ascii="仿宋" w:eastAsia="仿宋"/>
        </w:rPr>
        <w:t>二、收入决算表</w:t>
      </w:r>
      <w:r>
        <w:rPr>
          <w:rFonts w:ascii="仿宋" w:eastAsia="仿宋"/>
        </w:rPr>
        <w:tab/>
      </w:r>
      <w:r>
        <w:rPr>
          <w:rFonts w:ascii="仿宋" w:eastAsia="仿宋"/>
        </w:rPr>
        <w:fldChar w:fldCharType="begin"/>
      </w:r>
      <w:r>
        <w:rPr>
          <w:rFonts w:ascii="仿宋" w:eastAsia="仿宋"/>
        </w:rPr>
        <w:instrText xml:space="preserve"> PAGEREF _Toc79163887 \h </w:instrText>
      </w:r>
      <w:r>
        <w:rPr>
          <w:rFonts w:ascii="仿宋" w:eastAsia="仿宋"/>
        </w:rPr>
        <w:fldChar w:fldCharType="separate"/>
      </w:r>
      <w:r>
        <w:rPr>
          <w:rFonts w:ascii="仿宋" w:eastAsia="仿宋"/>
        </w:rPr>
        <w:t>22</w:t>
      </w:r>
      <w:r>
        <w:rPr>
          <w:rFonts w:ascii="仿宋" w:eastAsia="仿宋"/>
        </w:rPr>
        <w:fldChar w:fldCharType="end"/>
      </w:r>
    </w:p>
    <w:p>
      <w:pPr>
        <w:pStyle w:val="19"/>
        <w:tabs>
          <w:tab w:val="right" w:leader="dot" w:pos="8296"/>
        </w:tabs>
        <w:rPr>
          <w:rFonts w:ascii="仿宋" w:eastAsia="仿宋"/>
        </w:rPr>
      </w:pPr>
      <w:r>
        <w:rPr>
          <w:rFonts w:ascii="仿宋" w:eastAsia="仿宋"/>
        </w:rPr>
        <w:t>三、支出决算表</w:t>
      </w:r>
      <w:r>
        <w:rPr>
          <w:rFonts w:ascii="仿宋" w:eastAsia="仿宋"/>
        </w:rPr>
        <w:tab/>
      </w:r>
      <w:r>
        <w:rPr>
          <w:rFonts w:ascii="仿宋" w:eastAsia="仿宋"/>
        </w:rPr>
        <w:fldChar w:fldCharType="begin"/>
      </w:r>
      <w:r>
        <w:rPr>
          <w:rFonts w:ascii="仿宋" w:eastAsia="仿宋"/>
        </w:rPr>
        <w:instrText xml:space="preserve"> PAGEREF _Toc79163888 \h </w:instrText>
      </w:r>
      <w:r>
        <w:rPr>
          <w:rFonts w:ascii="仿宋" w:eastAsia="仿宋"/>
        </w:rPr>
        <w:fldChar w:fldCharType="separate"/>
      </w:r>
      <w:r>
        <w:rPr>
          <w:rFonts w:ascii="仿宋" w:eastAsia="仿宋"/>
        </w:rPr>
        <w:t>22</w:t>
      </w:r>
      <w:r>
        <w:rPr>
          <w:rFonts w:ascii="仿宋" w:eastAsia="仿宋"/>
        </w:rPr>
        <w:fldChar w:fldCharType="end"/>
      </w:r>
    </w:p>
    <w:p>
      <w:pPr>
        <w:pStyle w:val="19"/>
        <w:tabs>
          <w:tab w:val="right" w:leader="dot" w:pos="8296"/>
        </w:tabs>
        <w:rPr>
          <w:rFonts w:ascii="仿宋" w:eastAsia="仿宋"/>
        </w:rPr>
      </w:pPr>
      <w:r>
        <w:rPr>
          <w:rFonts w:ascii="仿宋" w:eastAsia="仿宋"/>
        </w:rPr>
        <w:t>四、财政拨款收入支出决算总表</w:t>
      </w:r>
      <w:r>
        <w:rPr>
          <w:rFonts w:ascii="仿宋" w:eastAsia="仿宋"/>
        </w:rPr>
        <w:tab/>
      </w:r>
      <w:r>
        <w:rPr>
          <w:rFonts w:ascii="仿宋" w:eastAsia="仿宋"/>
        </w:rPr>
        <w:fldChar w:fldCharType="begin"/>
      </w:r>
      <w:r>
        <w:rPr>
          <w:rFonts w:ascii="仿宋" w:eastAsia="仿宋"/>
        </w:rPr>
        <w:instrText xml:space="preserve"> PAGEREF _Toc79163889 \h </w:instrText>
      </w:r>
      <w:r>
        <w:rPr>
          <w:rFonts w:ascii="仿宋" w:eastAsia="仿宋"/>
        </w:rPr>
        <w:fldChar w:fldCharType="separate"/>
      </w:r>
      <w:r>
        <w:rPr>
          <w:rFonts w:ascii="仿宋" w:eastAsia="仿宋"/>
        </w:rPr>
        <w:t>22</w:t>
      </w:r>
      <w:r>
        <w:rPr>
          <w:rFonts w:ascii="仿宋" w:eastAsia="仿宋"/>
        </w:rPr>
        <w:fldChar w:fldCharType="end"/>
      </w:r>
    </w:p>
    <w:p>
      <w:pPr>
        <w:pStyle w:val="19"/>
        <w:tabs>
          <w:tab w:val="right" w:leader="dot" w:pos="8296"/>
        </w:tabs>
        <w:rPr>
          <w:rFonts w:ascii="仿宋" w:eastAsia="仿宋"/>
        </w:rPr>
      </w:pPr>
      <w:r>
        <w:rPr>
          <w:rFonts w:ascii="仿宋" w:eastAsia="仿宋"/>
        </w:rPr>
        <w:t>五、财政拨款支出决算明细表</w:t>
      </w:r>
      <w:r>
        <w:rPr>
          <w:rFonts w:ascii="仿宋" w:eastAsia="仿宋"/>
        </w:rPr>
        <w:tab/>
      </w:r>
      <w:r>
        <w:rPr>
          <w:rFonts w:ascii="仿宋" w:eastAsia="仿宋"/>
        </w:rPr>
        <w:fldChar w:fldCharType="begin"/>
      </w:r>
      <w:r>
        <w:rPr>
          <w:rFonts w:ascii="仿宋" w:eastAsia="仿宋"/>
        </w:rPr>
        <w:instrText xml:space="preserve"> PAGEREF _Toc79163890 \h </w:instrText>
      </w:r>
      <w:r>
        <w:rPr>
          <w:rFonts w:ascii="仿宋" w:eastAsia="仿宋"/>
        </w:rPr>
        <w:fldChar w:fldCharType="separate"/>
      </w:r>
      <w:r>
        <w:rPr>
          <w:rFonts w:ascii="仿宋" w:eastAsia="仿宋"/>
        </w:rPr>
        <w:t>22</w:t>
      </w:r>
      <w:r>
        <w:rPr>
          <w:rFonts w:ascii="仿宋" w:eastAsia="仿宋"/>
        </w:rPr>
        <w:fldChar w:fldCharType="end"/>
      </w:r>
    </w:p>
    <w:p>
      <w:pPr>
        <w:pStyle w:val="19"/>
        <w:tabs>
          <w:tab w:val="right" w:leader="dot" w:pos="8296"/>
        </w:tabs>
        <w:rPr>
          <w:rFonts w:ascii="仿宋" w:eastAsia="仿宋"/>
        </w:rPr>
      </w:pPr>
      <w:r>
        <w:rPr>
          <w:rFonts w:ascii="仿宋" w:eastAsia="仿宋"/>
        </w:rPr>
        <w:t>六、一般公共预算财政拨款支出决算表</w:t>
      </w:r>
      <w:r>
        <w:rPr>
          <w:rFonts w:ascii="仿宋" w:eastAsia="仿宋"/>
        </w:rPr>
        <w:tab/>
      </w:r>
      <w:r>
        <w:rPr>
          <w:rFonts w:ascii="仿宋" w:eastAsia="仿宋"/>
        </w:rPr>
        <w:fldChar w:fldCharType="begin"/>
      </w:r>
      <w:r>
        <w:rPr>
          <w:rFonts w:ascii="仿宋" w:eastAsia="仿宋"/>
        </w:rPr>
        <w:instrText xml:space="preserve"> PAGEREF _Toc79163891 \h </w:instrText>
      </w:r>
      <w:r>
        <w:rPr>
          <w:rFonts w:ascii="仿宋" w:eastAsia="仿宋"/>
        </w:rPr>
        <w:fldChar w:fldCharType="separate"/>
      </w:r>
      <w:r>
        <w:rPr>
          <w:rFonts w:ascii="仿宋" w:eastAsia="仿宋"/>
        </w:rPr>
        <w:t>22</w:t>
      </w:r>
      <w:r>
        <w:rPr>
          <w:rFonts w:ascii="仿宋" w:eastAsia="仿宋"/>
        </w:rPr>
        <w:fldChar w:fldCharType="end"/>
      </w:r>
    </w:p>
    <w:p>
      <w:pPr>
        <w:pStyle w:val="19"/>
        <w:tabs>
          <w:tab w:val="right" w:leader="dot" w:pos="8296"/>
        </w:tabs>
        <w:rPr>
          <w:rFonts w:ascii="仿宋" w:eastAsia="仿宋"/>
        </w:rPr>
      </w:pPr>
      <w:r>
        <w:rPr>
          <w:rFonts w:ascii="仿宋" w:eastAsia="仿宋"/>
        </w:rPr>
        <w:t>七、一般公共预算财政拨款支出决算明细表</w:t>
      </w:r>
      <w:r>
        <w:rPr>
          <w:rFonts w:ascii="仿宋" w:eastAsia="仿宋"/>
        </w:rPr>
        <w:tab/>
      </w:r>
      <w:r>
        <w:rPr>
          <w:rFonts w:ascii="仿宋" w:eastAsia="仿宋"/>
        </w:rPr>
        <w:fldChar w:fldCharType="begin"/>
      </w:r>
      <w:r>
        <w:rPr>
          <w:rFonts w:ascii="仿宋" w:eastAsia="仿宋"/>
        </w:rPr>
        <w:instrText xml:space="preserve"> PAGEREF _Toc79163892 \h </w:instrText>
      </w:r>
      <w:r>
        <w:rPr>
          <w:rFonts w:ascii="仿宋" w:eastAsia="仿宋"/>
        </w:rPr>
        <w:fldChar w:fldCharType="separate"/>
      </w:r>
      <w:r>
        <w:rPr>
          <w:rFonts w:ascii="仿宋" w:eastAsia="仿宋"/>
        </w:rPr>
        <w:t>22</w:t>
      </w:r>
      <w:r>
        <w:rPr>
          <w:rFonts w:ascii="仿宋" w:eastAsia="仿宋"/>
        </w:rPr>
        <w:fldChar w:fldCharType="end"/>
      </w:r>
    </w:p>
    <w:p>
      <w:pPr>
        <w:pStyle w:val="19"/>
        <w:tabs>
          <w:tab w:val="right" w:leader="dot" w:pos="8296"/>
        </w:tabs>
        <w:rPr>
          <w:rFonts w:ascii="仿宋" w:eastAsia="仿宋"/>
        </w:rPr>
      </w:pPr>
      <w:r>
        <w:rPr>
          <w:rFonts w:ascii="仿宋" w:eastAsia="仿宋"/>
        </w:rPr>
        <w:t>八、一般公共预算财政拨款基本支出决算表</w:t>
      </w:r>
      <w:r>
        <w:rPr>
          <w:rFonts w:ascii="仿宋" w:eastAsia="仿宋"/>
        </w:rPr>
        <w:tab/>
      </w:r>
      <w:r>
        <w:rPr>
          <w:rFonts w:ascii="仿宋" w:eastAsia="仿宋"/>
        </w:rPr>
        <w:fldChar w:fldCharType="begin"/>
      </w:r>
      <w:r>
        <w:rPr>
          <w:rFonts w:ascii="仿宋" w:eastAsia="仿宋"/>
        </w:rPr>
        <w:instrText xml:space="preserve"> PAGEREF _Toc79163893 \h </w:instrText>
      </w:r>
      <w:r>
        <w:rPr>
          <w:rFonts w:ascii="仿宋" w:eastAsia="仿宋"/>
        </w:rPr>
        <w:fldChar w:fldCharType="separate"/>
      </w:r>
      <w:r>
        <w:rPr>
          <w:rFonts w:ascii="仿宋" w:eastAsia="仿宋"/>
        </w:rPr>
        <w:t>22</w:t>
      </w:r>
      <w:r>
        <w:rPr>
          <w:rFonts w:ascii="仿宋" w:eastAsia="仿宋"/>
        </w:rPr>
        <w:fldChar w:fldCharType="end"/>
      </w:r>
    </w:p>
    <w:p>
      <w:pPr>
        <w:pStyle w:val="19"/>
        <w:tabs>
          <w:tab w:val="right" w:leader="dot" w:pos="8296"/>
        </w:tabs>
        <w:rPr>
          <w:rFonts w:ascii="仿宋" w:eastAsia="仿宋"/>
        </w:rPr>
      </w:pPr>
      <w:r>
        <w:rPr>
          <w:rFonts w:ascii="仿宋" w:eastAsia="仿宋"/>
        </w:rPr>
        <w:t>九、一般公共预算财政拨款项目支出决算表</w:t>
      </w:r>
      <w:r>
        <w:rPr>
          <w:rFonts w:ascii="仿宋" w:eastAsia="仿宋"/>
        </w:rPr>
        <w:tab/>
      </w:r>
      <w:r>
        <w:rPr>
          <w:rFonts w:ascii="仿宋" w:eastAsia="仿宋"/>
        </w:rPr>
        <w:fldChar w:fldCharType="begin"/>
      </w:r>
      <w:r>
        <w:rPr>
          <w:rFonts w:ascii="仿宋" w:eastAsia="仿宋"/>
        </w:rPr>
        <w:instrText xml:space="preserve"> PAGEREF _Toc79163894 \h </w:instrText>
      </w:r>
      <w:r>
        <w:rPr>
          <w:rFonts w:ascii="仿宋" w:eastAsia="仿宋"/>
        </w:rPr>
        <w:fldChar w:fldCharType="separate"/>
      </w:r>
      <w:r>
        <w:rPr>
          <w:rFonts w:ascii="仿宋" w:eastAsia="仿宋"/>
        </w:rPr>
        <w:t>22</w:t>
      </w:r>
      <w:r>
        <w:rPr>
          <w:rFonts w:ascii="仿宋" w:eastAsia="仿宋"/>
        </w:rPr>
        <w:fldChar w:fldCharType="end"/>
      </w:r>
    </w:p>
    <w:p>
      <w:pPr>
        <w:pStyle w:val="19"/>
        <w:tabs>
          <w:tab w:val="right" w:leader="dot" w:pos="8296"/>
        </w:tabs>
        <w:rPr>
          <w:rFonts w:ascii="仿宋" w:eastAsia="仿宋"/>
        </w:rPr>
      </w:pPr>
      <w:r>
        <w:rPr>
          <w:rFonts w:ascii="仿宋" w:eastAsia="仿宋"/>
        </w:rPr>
        <w:t>十、一般公共预算财政拨款“三公”经费支出决算表</w:t>
      </w:r>
      <w:r>
        <w:rPr>
          <w:rFonts w:ascii="仿宋" w:eastAsia="仿宋"/>
        </w:rPr>
        <w:tab/>
      </w:r>
      <w:r>
        <w:rPr>
          <w:rFonts w:ascii="仿宋" w:eastAsia="仿宋"/>
        </w:rPr>
        <w:fldChar w:fldCharType="begin"/>
      </w:r>
      <w:r>
        <w:rPr>
          <w:rFonts w:ascii="仿宋" w:eastAsia="仿宋"/>
        </w:rPr>
        <w:instrText xml:space="preserve"> PAGEREF _Toc79163895 \h </w:instrText>
      </w:r>
      <w:r>
        <w:rPr>
          <w:rFonts w:ascii="仿宋" w:eastAsia="仿宋"/>
        </w:rPr>
        <w:fldChar w:fldCharType="separate"/>
      </w:r>
      <w:r>
        <w:rPr>
          <w:rFonts w:ascii="仿宋" w:eastAsia="仿宋"/>
        </w:rPr>
        <w:t>22</w:t>
      </w:r>
      <w:r>
        <w:rPr>
          <w:rFonts w:ascii="仿宋" w:eastAsia="仿宋"/>
        </w:rPr>
        <w:fldChar w:fldCharType="end"/>
      </w:r>
    </w:p>
    <w:p>
      <w:pPr>
        <w:pStyle w:val="19"/>
        <w:tabs>
          <w:tab w:val="right" w:leader="dot" w:pos="8296"/>
        </w:tabs>
        <w:rPr>
          <w:rFonts w:ascii="仿宋" w:eastAsia="仿宋"/>
        </w:rPr>
      </w:pPr>
      <w:r>
        <w:rPr>
          <w:rFonts w:ascii="仿宋" w:eastAsia="仿宋"/>
        </w:rPr>
        <w:t>十一、政府性基金预算财政拨款收入支出决算表</w:t>
      </w:r>
      <w:r>
        <w:rPr>
          <w:rFonts w:ascii="仿宋" w:eastAsia="仿宋"/>
        </w:rPr>
        <w:tab/>
      </w:r>
      <w:r>
        <w:rPr>
          <w:rFonts w:ascii="仿宋" w:eastAsia="仿宋"/>
        </w:rPr>
        <w:fldChar w:fldCharType="begin"/>
      </w:r>
      <w:r>
        <w:rPr>
          <w:rFonts w:ascii="仿宋" w:eastAsia="仿宋"/>
        </w:rPr>
        <w:instrText xml:space="preserve"> PAGEREF _Toc79163896 \h </w:instrText>
      </w:r>
      <w:r>
        <w:rPr>
          <w:rFonts w:ascii="仿宋" w:eastAsia="仿宋"/>
        </w:rPr>
        <w:fldChar w:fldCharType="separate"/>
      </w:r>
      <w:r>
        <w:rPr>
          <w:rFonts w:ascii="仿宋" w:eastAsia="仿宋"/>
        </w:rPr>
        <w:t>22</w:t>
      </w:r>
      <w:r>
        <w:rPr>
          <w:rFonts w:ascii="仿宋" w:eastAsia="仿宋"/>
        </w:rPr>
        <w:fldChar w:fldCharType="end"/>
      </w:r>
    </w:p>
    <w:p>
      <w:pPr>
        <w:pStyle w:val="19"/>
        <w:tabs>
          <w:tab w:val="right" w:leader="dot" w:pos="8296"/>
        </w:tabs>
        <w:rPr>
          <w:rFonts w:ascii="仿宋" w:eastAsia="仿宋"/>
        </w:rPr>
      </w:pPr>
      <w:r>
        <w:rPr>
          <w:rFonts w:ascii="仿宋" w:eastAsia="仿宋"/>
        </w:rPr>
        <w:t>十二、政府性基金预算财政拨款“三公”经费支出决算表</w:t>
      </w:r>
      <w:r>
        <w:rPr>
          <w:rFonts w:ascii="仿宋" w:eastAsia="仿宋"/>
        </w:rPr>
        <w:tab/>
      </w:r>
      <w:r>
        <w:rPr>
          <w:rFonts w:ascii="仿宋" w:eastAsia="仿宋"/>
        </w:rPr>
        <w:fldChar w:fldCharType="begin"/>
      </w:r>
      <w:r>
        <w:rPr>
          <w:rFonts w:ascii="仿宋" w:eastAsia="仿宋"/>
        </w:rPr>
        <w:instrText xml:space="preserve"> PAGEREF _Toc79163897 \h </w:instrText>
      </w:r>
      <w:r>
        <w:rPr>
          <w:rFonts w:ascii="仿宋" w:eastAsia="仿宋"/>
        </w:rPr>
        <w:fldChar w:fldCharType="separate"/>
      </w:r>
      <w:r>
        <w:rPr>
          <w:rFonts w:ascii="仿宋" w:eastAsia="仿宋"/>
        </w:rPr>
        <w:t>22</w:t>
      </w:r>
      <w:r>
        <w:rPr>
          <w:rFonts w:ascii="仿宋" w:eastAsia="仿宋"/>
        </w:rPr>
        <w:fldChar w:fldCharType="end"/>
      </w:r>
    </w:p>
    <w:p>
      <w:pPr>
        <w:pStyle w:val="19"/>
        <w:tabs>
          <w:tab w:val="right" w:leader="dot" w:pos="8296"/>
        </w:tabs>
        <w:rPr>
          <w:rFonts w:ascii="仿宋" w:eastAsia="仿宋"/>
        </w:rPr>
      </w:pPr>
      <w:r>
        <w:rPr>
          <w:rFonts w:ascii="仿宋" w:eastAsia="仿宋"/>
        </w:rPr>
        <w:t>十三、国有资本经营预算财政拨款支出决算表</w:t>
      </w:r>
      <w:r>
        <w:rPr>
          <w:rFonts w:ascii="仿宋" w:eastAsia="仿宋"/>
        </w:rPr>
        <w:tab/>
      </w:r>
      <w:r>
        <w:rPr>
          <w:rFonts w:ascii="仿宋" w:eastAsia="仿宋"/>
        </w:rPr>
        <w:fldChar w:fldCharType="begin"/>
      </w:r>
      <w:r>
        <w:rPr>
          <w:rFonts w:ascii="仿宋" w:eastAsia="仿宋"/>
        </w:rPr>
        <w:instrText xml:space="preserve"> PAGEREF _Toc79163898 \h </w:instrText>
      </w:r>
      <w:r>
        <w:rPr>
          <w:rFonts w:ascii="仿宋" w:eastAsia="仿宋"/>
        </w:rPr>
        <w:fldChar w:fldCharType="separate"/>
      </w:r>
      <w:r>
        <w:rPr>
          <w:rFonts w:ascii="仿宋" w:eastAsia="仿宋"/>
        </w:rPr>
        <w:t>22</w:t>
      </w:r>
      <w:r>
        <w:rPr>
          <w:rFonts w:ascii="仿宋" w:eastAsia="仿宋"/>
        </w:rPr>
        <w:fldChar w:fldCharType="end"/>
      </w:r>
    </w:p>
    <w:p>
      <w:pPr>
        <w:pStyle w:val="19"/>
        <w:tabs>
          <w:tab w:val="right" w:leader="dot" w:pos="8296"/>
        </w:tabs>
        <w:rPr>
          <w:rFonts w:ascii="仿宋" w:eastAsia="仿宋"/>
        </w:rPr>
      </w:pPr>
      <w:r>
        <w:rPr>
          <w:rFonts w:ascii="仿宋" w:eastAsia="仿宋"/>
        </w:rPr>
        <w:t>十四、国有资本经营预算财政拨款支出决算表</w:t>
      </w:r>
      <w:r>
        <w:rPr>
          <w:rFonts w:ascii="仿宋" w:eastAsia="仿宋"/>
        </w:rPr>
        <w:tab/>
      </w:r>
      <w:r>
        <w:rPr>
          <w:rFonts w:ascii="仿宋" w:eastAsia="仿宋"/>
        </w:rPr>
        <w:fldChar w:fldCharType="begin"/>
      </w:r>
      <w:r>
        <w:rPr>
          <w:rFonts w:ascii="仿宋" w:eastAsia="仿宋"/>
        </w:rPr>
        <w:instrText xml:space="preserve"> PAGEREF _Toc79163899 \h </w:instrText>
      </w:r>
      <w:r>
        <w:rPr>
          <w:rFonts w:ascii="仿宋" w:eastAsia="仿宋"/>
        </w:rPr>
        <w:fldChar w:fldCharType="separate"/>
      </w:r>
      <w:r>
        <w:rPr>
          <w:rFonts w:ascii="仿宋" w:eastAsia="仿宋"/>
        </w:rPr>
        <w:t>22</w:t>
      </w:r>
      <w:r>
        <w:rPr>
          <w:rFonts w:ascii="仿宋" w:eastAsia="仿宋"/>
        </w:rPr>
        <w:fldChar w:fldCharType="end"/>
      </w:r>
    </w:p>
    <w:p>
      <w:r>
        <w:rPr>
          <w:rFonts w:ascii="仿宋" w:eastAsia="仿宋"/>
          <w:caps w:val="0"/>
          <w:smallCaps/>
          <w:sz w:val="20"/>
          <w:szCs w:val="20"/>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4"/>
        <w:jc w:val="center"/>
        <w:rPr>
          <w:rStyle w:val="26"/>
          <w:rFonts w:ascii="黑体" w:eastAsia="黑体"/>
          <w:b/>
          <w:bCs w:val="0"/>
        </w:rPr>
      </w:pPr>
      <w:bookmarkStart w:id="14" w:name="_Toc79163851"/>
      <w:bookmarkStart w:id="15" w:name="_Toc79163601"/>
      <w:r>
        <w:rPr>
          <w:rFonts w:hint="eastAsia" w:ascii="黑体" w:eastAsia="黑体"/>
          <w:b w:val="0"/>
        </w:rPr>
        <w:t>第一部分</w:t>
      </w:r>
      <w:r>
        <w:rPr>
          <w:rFonts w:ascii="黑体" w:eastAsia="黑体"/>
          <w:b w:val="0"/>
        </w:rPr>
        <w:t xml:space="preserve"> </w:t>
      </w:r>
      <w:r>
        <w:rPr>
          <w:rStyle w:val="26"/>
          <w:rFonts w:hint="eastAsia" w:ascii="黑体" w:eastAsia="黑体"/>
          <w:b w:val="0"/>
          <w:bCs w:val="0"/>
        </w:rPr>
        <w:t>部门概况</w:t>
      </w:r>
      <w:bookmarkEnd w:id="12"/>
      <w:bookmarkEnd w:id="13"/>
      <w:bookmarkEnd w:id="14"/>
      <w:bookmarkEnd w:id="15"/>
    </w:p>
    <w:p>
      <w:pPr>
        <w:pStyle w:val="5"/>
        <w:pageBreakBefore w:val="0"/>
        <w:widowControl w:val="0"/>
        <w:numPr>
          <w:ilvl w:val="0"/>
          <w:numId w:val="0"/>
        </w:numPr>
        <w:kinsoku/>
        <w:wordWrap/>
        <w:overflowPunct/>
        <w:topLinePunct w:val="0"/>
        <w:autoSpaceDE/>
        <w:autoSpaceDN/>
        <w:bidi w:val="0"/>
        <w:adjustRightInd/>
        <w:snapToGrid/>
        <w:spacing w:before="0" w:after="0" w:line="576" w:lineRule="exact"/>
        <w:textAlignment w:val="auto"/>
        <w:rPr>
          <w:rFonts w:hint="eastAsia" w:ascii="黑体" w:hAnsi="黑体" w:eastAsia="黑体"/>
          <w:b w:val="0"/>
          <w:color w:val="000000"/>
          <w:sz w:val="32"/>
          <w:szCs w:val="32"/>
        </w:rPr>
      </w:pPr>
      <w:bookmarkStart w:id="16" w:name="_Toc79163602"/>
      <w:bookmarkStart w:id="17" w:name="_Toc15396600"/>
      <w:bookmarkStart w:id="18" w:name="_Toc15377197"/>
      <w:bookmarkStart w:id="19" w:name="_Toc79163852"/>
      <w:r>
        <w:rPr>
          <w:rFonts w:hint="eastAsia" w:ascii="黑体" w:eastAsia="黑体"/>
          <w:b w:val="0"/>
          <w:color w:val="000000"/>
        </w:rPr>
        <w:t>一</w:t>
      </w:r>
      <w:r>
        <w:rPr>
          <w:rFonts w:hint="eastAsia" w:ascii="黑体" w:hAnsi="黑体" w:eastAsia="黑体"/>
          <w:b w:val="0"/>
          <w:color w:val="000000"/>
          <w:sz w:val="32"/>
          <w:szCs w:val="32"/>
        </w:rPr>
        <w:t>、基本职能及主要工作</w:t>
      </w:r>
      <w:bookmarkEnd w:id="16"/>
      <w:bookmarkEnd w:id="17"/>
      <w:bookmarkEnd w:id="18"/>
      <w:bookmarkEnd w:id="19"/>
    </w:p>
    <w:p>
      <w:pPr>
        <w:pStyle w:val="5"/>
        <w:pageBreakBefore w:val="0"/>
        <w:widowControl w:val="0"/>
        <w:numPr>
          <w:ilvl w:val="0"/>
          <w:numId w:val="0"/>
        </w:numPr>
        <w:kinsoku/>
        <w:wordWrap/>
        <w:overflowPunct/>
        <w:topLinePunct w:val="0"/>
        <w:autoSpaceDE/>
        <w:autoSpaceDN/>
        <w:bidi w:val="0"/>
        <w:adjustRightInd/>
        <w:snapToGrid/>
        <w:spacing w:before="0" w:after="0" w:line="576" w:lineRule="exact"/>
        <w:ind w:firstLine="642" w:firstLineChars="200"/>
        <w:textAlignment w:val="auto"/>
        <w:rPr>
          <w:rFonts w:hint="eastAsia" w:ascii="楷体" w:hAnsi="楷体" w:eastAsia="楷体" w:cs="楷体"/>
          <w:b/>
          <w:bCs w:val="0"/>
          <w:color w:val="000000"/>
          <w:sz w:val="32"/>
          <w:szCs w:val="32"/>
        </w:rPr>
      </w:pPr>
      <w:bookmarkStart w:id="20" w:name="_Toc79163853"/>
      <w:bookmarkStart w:id="21" w:name="_Toc79163603"/>
      <w:bookmarkStart w:id="22" w:name="_Toc15377198"/>
      <w:bookmarkStart w:id="23" w:name="_Toc15378445"/>
      <w:r>
        <w:rPr>
          <w:rFonts w:hint="eastAsia" w:ascii="楷体" w:hAnsi="楷体" w:eastAsia="楷体" w:cs="楷体"/>
          <w:b/>
          <w:bCs w:val="0"/>
          <w:color w:val="000000"/>
          <w:sz w:val="32"/>
          <w:szCs w:val="32"/>
        </w:rPr>
        <w:t>（一）主要职能</w:t>
      </w:r>
      <w:bookmarkEnd w:id="20"/>
      <w:bookmarkEnd w:id="21"/>
    </w:p>
    <w:p>
      <w:pPr>
        <w:pageBreakBefore w:val="0"/>
        <w:kinsoku/>
        <w:wordWrap/>
        <w:overflowPunct/>
        <w:topLinePunct w:val="0"/>
        <w:autoSpaceDE/>
        <w:autoSpaceDN/>
        <w:bidi w:val="0"/>
        <w:spacing w:line="576" w:lineRule="exact"/>
        <w:ind w:right="-342" w:rightChars="-163"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茂县社会保险事业管理局是县政府综合管理全县社会保险工作的职能部门，承担政府职能</w:t>
      </w:r>
      <w:r>
        <w:rPr>
          <w:rFonts w:hint="eastAsia" w:ascii="仿宋" w:hAnsi="仿宋" w:eastAsia="仿宋" w:cs="仿宋_GB2312"/>
          <w:b w:val="0"/>
          <w:bCs w:val="0"/>
          <w:sz w:val="32"/>
          <w:szCs w:val="32"/>
        </w:rPr>
        <w:t>的管理机构</w:t>
      </w:r>
      <w:r>
        <w:rPr>
          <w:rFonts w:hint="eastAsia" w:ascii="仿宋" w:hAnsi="仿宋" w:eastAsia="仿宋" w:cs="仿宋_GB2312"/>
          <w:sz w:val="32"/>
          <w:szCs w:val="32"/>
        </w:rPr>
        <w:t>，贯彻执行国家、省、州有关社会保险政策和法律、法规，负责全县企业基本养老保险、机关事业养老保险、职业年金、工伤保险等社会保险工作。</w:t>
      </w:r>
    </w:p>
    <w:bookmarkEnd w:id="22"/>
    <w:bookmarkEnd w:id="23"/>
    <w:p>
      <w:pPr>
        <w:pStyle w:val="8"/>
        <w:pageBreakBefore w:val="0"/>
        <w:kinsoku/>
        <w:wordWrap/>
        <w:overflowPunct/>
        <w:topLinePunct w:val="0"/>
        <w:autoSpaceDE/>
        <w:autoSpaceDN/>
        <w:bidi w:val="0"/>
        <w:adjustRightInd w:val="0"/>
        <w:snapToGrid w:val="0"/>
        <w:spacing w:before="93" w:beforeLines="0" w:line="576" w:lineRule="exact"/>
        <w:ind w:firstLine="671" w:firstLineChars="209"/>
        <w:textAlignment w:val="auto"/>
        <w:outlineLvl w:val="2"/>
        <w:rPr>
          <w:rFonts w:hint="eastAsia" w:ascii="楷体" w:hAnsi="楷体" w:eastAsia="楷体" w:cs="楷体"/>
          <w:b/>
          <w:bCs w:val="0"/>
          <w:color w:val="000000"/>
          <w:sz w:val="32"/>
          <w:szCs w:val="32"/>
        </w:rPr>
      </w:pPr>
      <w:bookmarkStart w:id="24" w:name="_Toc15378446"/>
      <w:bookmarkStart w:id="25" w:name="_Toc79163854"/>
      <w:bookmarkStart w:id="26" w:name="_Toc15377199"/>
      <w:bookmarkStart w:id="27" w:name="_Toc79163604"/>
      <w:r>
        <w:rPr>
          <w:rFonts w:hint="eastAsia" w:ascii="楷体" w:hAnsi="楷体" w:eastAsia="楷体" w:cs="楷体"/>
          <w:b/>
          <w:bCs w:val="0"/>
          <w:color w:val="000000"/>
          <w:sz w:val="32"/>
          <w:szCs w:val="32"/>
        </w:rPr>
        <w:t>（二）2021年重点工作完成情况</w:t>
      </w:r>
      <w:bookmarkEnd w:id="24"/>
      <w:bookmarkEnd w:id="25"/>
      <w:bookmarkEnd w:id="26"/>
      <w:bookmarkEnd w:id="27"/>
    </w:p>
    <w:p>
      <w:pPr>
        <w:pStyle w:val="8"/>
        <w:pageBreakBefore w:val="0"/>
        <w:kinsoku/>
        <w:wordWrap/>
        <w:overflowPunct/>
        <w:topLinePunct w:val="0"/>
        <w:autoSpaceDE/>
        <w:autoSpaceDN/>
        <w:bidi w:val="0"/>
        <w:adjustRightInd w:val="0"/>
        <w:snapToGrid w:val="0"/>
        <w:spacing w:before="93" w:beforeLines="0" w:line="576" w:lineRule="exact"/>
        <w:ind w:firstLine="642" w:firstLineChars="200"/>
        <w:textAlignment w:val="auto"/>
        <w:outlineLvl w:val="2"/>
        <w:rPr>
          <w:rFonts w:hint="eastAsia" w:ascii="仿宋_GB2312" w:hAnsi="仿宋_GB2312" w:eastAsia="仿宋_GB2312" w:cs="仿宋_GB2312"/>
          <w:b/>
          <w:bCs/>
          <w:color w:val="000000"/>
          <w:spacing w:val="0"/>
          <w:sz w:val="32"/>
          <w:szCs w:val="32"/>
          <w:highlight w:val="none"/>
          <w:lang w:val="en-US" w:eastAsia="zh-CN"/>
        </w:rPr>
      </w:pPr>
      <w:r>
        <w:rPr>
          <w:rFonts w:hint="eastAsia" w:ascii="仿宋_GB2312" w:hAnsi="仿宋_GB2312" w:eastAsia="仿宋_GB2312" w:cs="仿宋_GB2312"/>
          <w:b/>
          <w:bCs/>
          <w:color w:val="000000"/>
          <w:spacing w:val="0"/>
          <w:sz w:val="32"/>
          <w:szCs w:val="32"/>
          <w:highlight w:val="none"/>
          <w:lang w:val="en-US" w:eastAsia="zh-CN"/>
        </w:rPr>
        <w:t>1.社会保险扩面成效显著</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2021年我县参加企业职工养老保险13600人</w:t>
      </w:r>
      <w:r>
        <w:rPr>
          <w:rFonts w:hint="eastAsia" w:ascii="仿宋" w:hAnsi="仿宋" w:eastAsia="仿宋" w:cs="仿宋"/>
          <w:sz w:val="32"/>
          <w:szCs w:val="32"/>
          <w:lang w:val="en-US" w:eastAsia="zh-CN"/>
        </w:rPr>
        <w:t>；</w:t>
      </w:r>
      <w:r>
        <w:rPr>
          <w:rFonts w:hint="eastAsia" w:ascii="仿宋" w:hAnsi="仿宋" w:eastAsia="仿宋" w:cs="仿宋"/>
          <w:color w:val="auto"/>
          <w:sz w:val="32"/>
          <w:szCs w:val="32"/>
          <w:highlight w:val="none"/>
          <w:lang w:val="en-US" w:eastAsia="zh-CN"/>
        </w:rPr>
        <w:t>参加工伤保险11900</w:t>
      </w:r>
      <w:r>
        <w:rPr>
          <w:rFonts w:hint="eastAsia" w:ascii="仿宋" w:hAnsi="仿宋" w:eastAsia="仿宋" w:cs="仿宋"/>
          <w:color w:val="auto"/>
          <w:sz w:val="32"/>
          <w:szCs w:val="32"/>
          <w:highlight w:val="none"/>
          <w:shd w:val="clear" w:color="auto" w:fill="auto"/>
          <w:lang w:val="en-US" w:eastAsia="zh-CN"/>
        </w:rPr>
        <w:t>人</w:t>
      </w:r>
      <w:r>
        <w:rPr>
          <w:rFonts w:hint="eastAsia" w:ascii="仿宋" w:hAnsi="仿宋" w:eastAsia="仿宋" w:cs="仿宋"/>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rightChars="0" w:firstLine="642" w:firstLineChars="200"/>
        <w:jc w:val="left"/>
        <w:textAlignment w:val="auto"/>
        <w:outlineLvl w:val="9"/>
        <w:rPr>
          <w:rFonts w:hint="eastAsia" w:ascii="仿宋_GB2312" w:hAnsi="仿宋_GB2312" w:eastAsia="仿宋_GB2312" w:cs="仿宋_GB2312"/>
          <w:b/>
          <w:bCs/>
          <w:color w:val="000000"/>
          <w:spacing w:val="0"/>
          <w:kern w:val="0"/>
          <w:sz w:val="32"/>
          <w:szCs w:val="32"/>
          <w:highlight w:val="none"/>
          <w:lang w:val="en-US" w:eastAsia="zh-CN" w:bidi="ar-SA"/>
        </w:rPr>
      </w:pPr>
      <w:r>
        <w:rPr>
          <w:rFonts w:hint="eastAsia" w:ascii="仿宋_GB2312" w:hAnsi="仿宋_GB2312" w:eastAsia="仿宋_GB2312" w:cs="仿宋_GB2312"/>
          <w:b/>
          <w:bCs/>
          <w:color w:val="000000"/>
          <w:spacing w:val="0"/>
          <w:kern w:val="0"/>
          <w:sz w:val="32"/>
          <w:szCs w:val="32"/>
          <w:highlight w:val="none"/>
          <w:lang w:val="en-US" w:eastAsia="zh-CN" w:bidi="ar-SA"/>
        </w:rPr>
        <w:t>2.社保待遇全面落实</w:t>
      </w:r>
    </w:p>
    <w:p>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color w:val="000000"/>
          <w:sz w:val="32"/>
          <w:szCs w:val="32"/>
          <w:highlight w:val="none"/>
          <w:lang w:eastAsia="zh-CN"/>
        </w:rPr>
        <w:t>2021年</w:t>
      </w:r>
      <w:r>
        <w:rPr>
          <w:rFonts w:hint="eastAsia" w:ascii="仿宋" w:hAnsi="仿宋" w:eastAsia="仿宋" w:cs="仿宋"/>
          <w:sz w:val="32"/>
          <w:szCs w:val="32"/>
          <w:highlight w:val="none"/>
          <w:lang w:eastAsia="zh-CN"/>
        </w:rPr>
        <w:t>按时足额发放城镇职工基本养老金</w:t>
      </w:r>
      <w:r>
        <w:rPr>
          <w:rFonts w:hint="eastAsia" w:ascii="仿宋" w:hAnsi="仿宋" w:eastAsia="仿宋" w:cs="仿宋"/>
          <w:sz w:val="32"/>
          <w:szCs w:val="32"/>
          <w:highlight w:val="none"/>
          <w:lang w:val="en-US" w:eastAsia="zh-CN"/>
        </w:rPr>
        <w:t>12887</w:t>
      </w:r>
      <w:r>
        <w:rPr>
          <w:rFonts w:hint="eastAsia" w:ascii="仿宋" w:hAnsi="仿宋" w:eastAsia="仿宋" w:cs="仿宋"/>
          <w:sz w:val="32"/>
          <w:szCs w:val="32"/>
          <w:highlight w:val="none"/>
          <w:lang w:eastAsia="zh-CN"/>
        </w:rPr>
        <w:t>万元，社会化发放率保持100%</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lang w:eastAsia="zh-CN"/>
        </w:rPr>
        <w:t>足额发放丧葬抚恤补助</w:t>
      </w:r>
      <w:r>
        <w:rPr>
          <w:rFonts w:hint="eastAsia" w:ascii="仿宋" w:hAnsi="仿宋" w:eastAsia="仿宋" w:cs="仿宋"/>
          <w:sz w:val="32"/>
          <w:szCs w:val="32"/>
          <w:highlight w:val="none"/>
          <w:lang w:val="en-US" w:eastAsia="zh-CN"/>
        </w:rPr>
        <w:t>231</w:t>
      </w:r>
      <w:r>
        <w:rPr>
          <w:rFonts w:hint="eastAsia" w:ascii="仿宋" w:hAnsi="仿宋" w:eastAsia="仿宋" w:cs="仿宋"/>
          <w:sz w:val="32"/>
          <w:szCs w:val="32"/>
          <w:highlight w:val="none"/>
          <w:lang w:eastAsia="zh-CN"/>
        </w:rPr>
        <w:t>万</w:t>
      </w:r>
      <w:r>
        <w:rPr>
          <w:rFonts w:hint="eastAsia" w:ascii="仿宋" w:hAnsi="仿宋" w:eastAsia="仿宋" w:cs="仿宋"/>
          <w:sz w:val="32"/>
          <w:szCs w:val="32"/>
          <w:highlight w:val="none"/>
          <w:lang w:val="en-US" w:eastAsia="zh-CN"/>
        </w:rPr>
        <w:t>元</w:t>
      </w:r>
      <w:r>
        <w:rPr>
          <w:rFonts w:hint="eastAsia" w:ascii="仿宋" w:hAnsi="仿宋" w:eastAsia="仿宋" w:cs="仿宋"/>
          <w:sz w:val="32"/>
          <w:szCs w:val="32"/>
          <w:lang w:val="en-US" w:eastAsia="zh-CN"/>
        </w:rPr>
        <w:t>，</w:t>
      </w:r>
      <w:r>
        <w:rPr>
          <w:rFonts w:hint="eastAsia" w:ascii="仿宋" w:hAnsi="仿宋" w:eastAsia="仿宋" w:cs="仿宋"/>
          <w:sz w:val="32"/>
          <w:szCs w:val="32"/>
          <w:highlight w:val="none"/>
          <w:lang w:eastAsia="zh-CN"/>
        </w:rPr>
        <w:t>按时足额发放机关事业单位养老金</w:t>
      </w:r>
      <w:r>
        <w:rPr>
          <w:rFonts w:hint="eastAsia" w:ascii="仿宋" w:hAnsi="仿宋" w:eastAsia="仿宋" w:cs="仿宋"/>
          <w:sz w:val="32"/>
          <w:szCs w:val="32"/>
          <w:highlight w:val="none"/>
          <w:lang w:val="en-US" w:eastAsia="zh-CN"/>
        </w:rPr>
        <w:t>11543</w:t>
      </w:r>
      <w:r>
        <w:rPr>
          <w:rFonts w:hint="eastAsia" w:ascii="仿宋" w:hAnsi="仿宋" w:eastAsia="仿宋" w:cs="仿宋"/>
          <w:sz w:val="32"/>
          <w:szCs w:val="32"/>
          <w:highlight w:val="none"/>
          <w:lang w:eastAsia="zh-CN"/>
        </w:rPr>
        <w:t>万元</w:t>
      </w:r>
      <w:r>
        <w:rPr>
          <w:rFonts w:hint="eastAsia" w:ascii="仿宋" w:hAnsi="仿宋" w:eastAsia="仿宋" w:cs="仿宋"/>
          <w:sz w:val="32"/>
          <w:szCs w:val="32"/>
          <w:lang w:val="en-US" w:eastAsia="zh-CN"/>
        </w:rPr>
        <w:t>，</w:t>
      </w:r>
      <w:r>
        <w:rPr>
          <w:rFonts w:hint="eastAsia" w:ascii="仿宋" w:hAnsi="仿宋" w:eastAsia="仿宋" w:cs="仿宋"/>
          <w:sz w:val="32"/>
          <w:szCs w:val="32"/>
          <w:highlight w:val="none"/>
          <w:lang w:eastAsia="zh-CN"/>
        </w:rPr>
        <w:t>支付工伤保险金</w:t>
      </w:r>
      <w:r>
        <w:rPr>
          <w:rFonts w:hint="eastAsia" w:ascii="仿宋" w:hAnsi="仿宋" w:eastAsia="仿宋" w:cs="仿宋"/>
          <w:sz w:val="32"/>
          <w:szCs w:val="32"/>
          <w:highlight w:val="none"/>
          <w:lang w:val="en-US" w:eastAsia="zh-CN"/>
        </w:rPr>
        <w:t>882</w:t>
      </w:r>
      <w:r>
        <w:rPr>
          <w:rFonts w:hint="eastAsia" w:ascii="仿宋" w:hAnsi="仿宋" w:eastAsia="仿宋" w:cs="仿宋"/>
          <w:sz w:val="32"/>
          <w:szCs w:val="32"/>
          <w:highlight w:val="none"/>
          <w:lang w:eastAsia="zh-CN"/>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rightChars="0" w:firstLine="642" w:firstLineChars="200"/>
        <w:jc w:val="left"/>
        <w:textAlignment w:val="auto"/>
        <w:outlineLvl w:val="9"/>
        <w:rPr>
          <w:rFonts w:hint="eastAsia" w:ascii="仿宋_GB2312" w:hAnsi="仿宋_GB2312" w:eastAsia="仿宋_GB2312" w:cs="仿宋_GB2312"/>
          <w:b/>
          <w:bCs/>
          <w:color w:val="000000"/>
          <w:spacing w:val="0"/>
          <w:kern w:val="0"/>
          <w:sz w:val="32"/>
          <w:szCs w:val="32"/>
          <w:highlight w:val="none"/>
          <w:lang w:val="en-US" w:eastAsia="zh-CN" w:bidi="ar-SA"/>
        </w:rPr>
      </w:pPr>
      <w:r>
        <w:rPr>
          <w:rFonts w:hint="eastAsia" w:ascii="仿宋_GB2312" w:hAnsi="仿宋_GB2312" w:eastAsia="仿宋_GB2312" w:cs="仿宋_GB2312"/>
          <w:b/>
          <w:bCs/>
          <w:color w:val="000000"/>
          <w:spacing w:val="0"/>
          <w:kern w:val="0"/>
          <w:sz w:val="32"/>
          <w:szCs w:val="32"/>
          <w:highlight w:val="none"/>
          <w:lang w:val="en-US" w:eastAsia="zh-CN" w:bidi="ar-SA"/>
        </w:rPr>
        <w:t>3.退休“中人”工作全面落实</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落实机关事业单位工作人员养老保险制度改革，通过召开工作会、核实人员信息、</w:t>
      </w:r>
      <w:r>
        <w:rPr>
          <w:rFonts w:hint="eastAsia" w:ascii="仿宋" w:hAnsi="仿宋" w:eastAsia="仿宋" w:cs="仿宋"/>
          <w:sz w:val="32"/>
          <w:szCs w:val="32"/>
          <w:highlight w:val="none"/>
          <w:lang w:val="en-US" w:eastAsia="zh-CN"/>
        </w:rPr>
        <w:t>稳控发放等工作举措，平稳兑现“中人”待遇。</w:t>
      </w:r>
      <w:r>
        <w:rPr>
          <w:rFonts w:hint="eastAsia" w:ascii="仿宋" w:hAnsi="仿宋" w:eastAsia="仿宋" w:cs="仿宋"/>
          <w:sz w:val="32"/>
          <w:szCs w:val="32"/>
          <w:highlight w:val="none"/>
          <w:lang w:eastAsia="zh-CN"/>
        </w:rPr>
        <w:t>现</w:t>
      </w:r>
      <w:r>
        <w:rPr>
          <w:rFonts w:hint="eastAsia" w:ascii="仿宋" w:hAnsi="仿宋" w:eastAsia="仿宋" w:cs="仿宋"/>
          <w:sz w:val="32"/>
          <w:szCs w:val="32"/>
          <w:highlight w:val="none"/>
          <w:lang w:val="en-US" w:eastAsia="zh-CN"/>
        </w:rPr>
        <w:t>我县2014年-2020年414名退休“中人”待遇已全部兑现完成。</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rightChars="0" w:firstLine="642" w:firstLineChars="200"/>
        <w:jc w:val="left"/>
        <w:textAlignment w:val="auto"/>
        <w:outlineLvl w:val="9"/>
        <w:rPr>
          <w:rFonts w:hint="eastAsia" w:ascii="仿宋_GB2312" w:hAnsi="仿宋_GB2312" w:eastAsia="仿宋_GB2312" w:cs="仿宋_GB2312"/>
          <w:b/>
          <w:bCs/>
          <w:color w:val="000000"/>
          <w:spacing w:val="0"/>
          <w:kern w:val="0"/>
          <w:sz w:val="32"/>
          <w:szCs w:val="32"/>
          <w:highlight w:val="none"/>
          <w:lang w:val="en-US" w:eastAsia="zh-CN" w:bidi="ar-SA"/>
        </w:rPr>
      </w:pPr>
      <w:r>
        <w:rPr>
          <w:rFonts w:hint="eastAsia" w:ascii="仿宋_GB2312" w:hAnsi="仿宋_GB2312" w:eastAsia="仿宋_GB2312" w:cs="仿宋_GB2312"/>
          <w:b/>
          <w:bCs/>
          <w:color w:val="000000"/>
          <w:spacing w:val="0"/>
          <w:kern w:val="0"/>
          <w:sz w:val="32"/>
          <w:szCs w:val="32"/>
          <w:highlight w:val="none"/>
          <w:lang w:val="en-US" w:eastAsia="zh-CN" w:bidi="ar-SA"/>
        </w:rPr>
        <w:t>4.建筑企业按项目参保工作有序推进</w:t>
      </w:r>
    </w:p>
    <w:p>
      <w:pPr>
        <w:keepNext w:val="0"/>
        <w:keepLines w:val="0"/>
        <w:pageBreakBefore w:val="0"/>
        <w:widowControl w:val="0"/>
        <w:kinsoku/>
        <w:wordWrap/>
        <w:overflowPunct/>
        <w:topLinePunct w:val="0"/>
        <w:autoSpaceDE/>
        <w:autoSpaceDN/>
        <w:bidi w:val="0"/>
        <w:adjustRightInd/>
        <w:spacing w:line="576" w:lineRule="exact"/>
        <w:ind w:firstLine="42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highlight w:val="none"/>
          <w:lang w:val="en-US" w:eastAsia="zh-CN"/>
        </w:rPr>
        <w:t xml:space="preserve"> </w:t>
      </w:r>
      <w:r>
        <w:rPr>
          <w:rFonts w:hint="eastAsia" w:ascii="仿宋" w:hAnsi="仿宋" w:eastAsia="仿宋" w:cs="仿宋"/>
          <w:sz w:val="32"/>
          <w:szCs w:val="32"/>
          <w:highlight w:val="none"/>
          <w:lang w:val="en-US" w:eastAsia="zh-CN"/>
        </w:rPr>
        <w:t xml:space="preserve"> 持续开展好建筑企业按项目参加工伤保险工作，通过强化宣传，加强协调等举措，</w:t>
      </w:r>
      <w:r>
        <w:rPr>
          <w:rFonts w:hint="eastAsia" w:ascii="仿宋" w:hAnsi="仿宋" w:eastAsia="仿宋" w:cs="仿宋"/>
          <w:sz w:val="32"/>
          <w:szCs w:val="32"/>
          <w:highlight w:val="none"/>
          <w:lang w:eastAsia="zh-CN"/>
        </w:rPr>
        <w:t>推进我县建筑业参加工伤保险工作力度。截至</w:t>
      </w:r>
      <w:bookmarkStart w:id="159" w:name="_GoBack"/>
      <w:bookmarkEnd w:id="159"/>
      <w:r>
        <w:rPr>
          <w:rFonts w:hint="eastAsia" w:ascii="仿宋" w:hAnsi="仿宋" w:eastAsia="仿宋" w:cs="仿宋"/>
          <w:sz w:val="32"/>
          <w:szCs w:val="32"/>
          <w:highlight w:val="none"/>
          <w:lang w:val="en-US" w:eastAsia="zh-CN"/>
        </w:rPr>
        <w:t>目前，已有58家建筑企业参加工伤保险。</w:t>
      </w:r>
    </w:p>
    <w:p>
      <w:pPr>
        <w:pStyle w:val="5"/>
        <w:pageBreakBefore w:val="0"/>
        <w:kinsoku/>
        <w:wordWrap/>
        <w:overflowPunct/>
        <w:topLinePunct w:val="0"/>
        <w:autoSpaceDE/>
        <w:autoSpaceDN/>
        <w:bidi w:val="0"/>
        <w:spacing w:line="576" w:lineRule="exact"/>
        <w:textAlignment w:val="auto"/>
        <w:rPr>
          <w:rStyle w:val="27"/>
          <w:b w:val="0"/>
          <w:bCs w:val="0"/>
        </w:rPr>
      </w:pPr>
      <w:bookmarkStart w:id="28" w:name="_Toc15396601"/>
      <w:bookmarkStart w:id="29" w:name="_Toc15377200"/>
      <w:bookmarkStart w:id="30" w:name="_Toc79163605"/>
      <w:bookmarkStart w:id="31" w:name="_Toc79163855"/>
      <w:r>
        <w:rPr>
          <w:rFonts w:hint="eastAsia" w:ascii="黑体" w:eastAsia="黑体"/>
          <w:b w:val="0"/>
          <w:color w:val="000000"/>
        </w:rPr>
        <w:t>二、机</w:t>
      </w:r>
      <w:r>
        <w:rPr>
          <w:rStyle w:val="27"/>
          <w:rFonts w:hint="eastAsia" w:ascii="黑体" w:eastAsia="黑体"/>
          <w:b w:val="0"/>
          <w:bCs w:val="0"/>
        </w:rPr>
        <w:t>构设置</w:t>
      </w:r>
      <w:bookmarkEnd w:id="28"/>
      <w:bookmarkEnd w:id="29"/>
      <w:bookmarkEnd w:id="30"/>
      <w:bookmarkEnd w:id="31"/>
    </w:p>
    <w:p>
      <w:pPr>
        <w:pageBreakBefore w:val="0"/>
        <w:widowControl/>
        <w:kinsoku/>
        <w:wordWrap/>
        <w:overflowPunct/>
        <w:topLinePunct w:val="0"/>
        <w:autoSpaceDE/>
        <w:autoSpaceDN/>
        <w:bidi w:val="0"/>
        <w:spacing w:line="576" w:lineRule="exact"/>
        <w:ind w:firstLine="640" w:firstLineChars="200"/>
        <w:jc w:val="left"/>
        <w:textAlignment w:val="auto"/>
        <w:rPr>
          <w:rFonts w:ascii="仿宋" w:eastAsia="仿宋"/>
          <w:color w:val="000000"/>
          <w:kern w:val="0"/>
          <w:sz w:val="32"/>
          <w:szCs w:val="32"/>
        </w:rPr>
      </w:pPr>
      <w:r>
        <w:rPr>
          <w:rFonts w:hint="eastAsia" w:ascii="仿宋" w:hAnsi="仿宋" w:eastAsia="仿宋" w:cs="仿宋"/>
          <w:sz w:val="32"/>
          <w:szCs w:val="32"/>
        </w:rPr>
        <w:t>茂县社会保险事业管理局</w:t>
      </w:r>
      <w:r>
        <w:rPr>
          <w:rFonts w:hint="eastAsia" w:ascii="仿宋" w:hAnsi="仿宋" w:eastAsia="仿宋"/>
          <w:color w:val="auto"/>
          <w:sz w:val="32"/>
          <w:szCs w:val="32"/>
        </w:rPr>
        <w:t>是参照公务员</w:t>
      </w:r>
      <w:r>
        <w:rPr>
          <w:rFonts w:hint="eastAsia" w:ascii="仿宋" w:hAnsi="仿宋" w:eastAsia="仿宋"/>
          <w:color w:val="auto"/>
          <w:sz w:val="32"/>
          <w:szCs w:val="32"/>
          <w:lang w:val="en-US" w:eastAsia="zh-CN"/>
        </w:rPr>
        <w:t>法</w:t>
      </w:r>
      <w:r>
        <w:rPr>
          <w:rFonts w:hint="eastAsia" w:ascii="仿宋" w:hAnsi="仿宋" w:eastAsia="仿宋"/>
          <w:color w:val="auto"/>
          <w:sz w:val="32"/>
          <w:szCs w:val="32"/>
        </w:rPr>
        <w:t>管理的事业单位</w:t>
      </w:r>
      <w:r>
        <w:rPr>
          <w:rFonts w:hint="eastAsia" w:ascii="仿宋" w:hAnsi="仿宋" w:eastAsia="仿宋" w:cs="仿宋"/>
          <w:sz w:val="32"/>
          <w:szCs w:val="32"/>
          <w:lang w:eastAsia="zh-CN"/>
        </w:rPr>
        <w:t>，</w:t>
      </w:r>
      <w:r>
        <w:rPr>
          <w:rFonts w:hint="eastAsia" w:ascii="仿宋" w:hAnsi="仿宋" w:eastAsia="仿宋" w:cs="仿宋"/>
          <w:sz w:val="32"/>
          <w:szCs w:val="32"/>
        </w:rPr>
        <w:t>属一级预算单位，下属二级预算单位0个。</w:t>
      </w:r>
      <w:r>
        <w:rPr>
          <w:rFonts w:ascii="仿宋" w:eastAsia="仿宋"/>
          <w:color w:val="000000"/>
          <w:sz w:val="32"/>
          <w:szCs w:val="32"/>
        </w:rPr>
        <w:br w:type="page"/>
      </w:r>
    </w:p>
    <w:p>
      <w:pPr>
        <w:pStyle w:val="4"/>
        <w:ind w:right="440"/>
        <w:jc w:val="right"/>
        <w:rPr>
          <w:rStyle w:val="26"/>
          <w:rFonts w:ascii="黑体" w:eastAsia="黑体"/>
          <w:b w:val="0"/>
          <w:bCs w:val="0"/>
        </w:rPr>
      </w:pPr>
      <w:bookmarkStart w:id="32" w:name="_Toc79163859"/>
      <w:bookmarkStart w:id="33" w:name="_Toc79163609"/>
      <w:bookmarkStart w:id="34" w:name="_Toc15396602"/>
      <w:bookmarkStart w:id="35" w:name="_Toc15377204"/>
      <w:r>
        <w:rPr>
          <w:rFonts w:hint="eastAsia" w:ascii="黑体" w:eastAsia="黑体"/>
          <w:b w:val="0"/>
          <w:color w:val="000000"/>
        </w:rPr>
        <w:t>第二部分</w:t>
      </w:r>
      <w:r>
        <w:rPr>
          <w:rFonts w:ascii="黑体" w:eastAsia="黑体"/>
          <w:color w:val="000000"/>
        </w:rPr>
        <w:t xml:space="preserve"> </w:t>
      </w:r>
      <w:r>
        <w:rPr>
          <w:rStyle w:val="26"/>
          <w:rFonts w:ascii="黑体" w:eastAsia="黑体"/>
          <w:b w:val="0"/>
          <w:bCs w:val="0"/>
        </w:rPr>
        <w:t>2021</w:t>
      </w:r>
      <w:r>
        <w:rPr>
          <w:rStyle w:val="26"/>
          <w:rFonts w:hint="eastAsia" w:ascii="黑体" w:eastAsia="黑体"/>
          <w:b w:val="0"/>
          <w:bCs w:val="0"/>
        </w:rPr>
        <w:t>年度部门决算情况说明</w:t>
      </w:r>
      <w:bookmarkEnd w:id="32"/>
      <w:bookmarkEnd w:id="33"/>
      <w:bookmarkEnd w:id="34"/>
      <w:bookmarkEnd w:id="35"/>
    </w:p>
    <w:p>
      <w:pPr>
        <w:pStyle w:val="32"/>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Chars="0"/>
        <w:textAlignment w:val="auto"/>
        <w:outlineLvl w:val="1"/>
        <w:rPr>
          <w:rStyle w:val="27"/>
          <w:rFonts w:ascii="黑体" w:eastAsia="黑体"/>
          <w:b w:val="0"/>
        </w:rPr>
      </w:pPr>
      <w:bookmarkStart w:id="36" w:name="_Toc15377205"/>
      <w:bookmarkStart w:id="37" w:name="_Toc79163610"/>
      <w:bookmarkStart w:id="38" w:name="_Toc79163860"/>
      <w:bookmarkStart w:id="39" w:name="_Toc15396603"/>
      <w:r>
        <w:rPr>
          <w:rFonts w:hint="eastAsia" w:ascii="黑体" w:eastAsia="黑体"/>
          <w:color w:val="000000"/>
          <w:sz w:val="32"/>
          <w:szCs w:val="32"/>
        </w:rPr>
        <w:t>收</w:t>
      </w:r>
      <w:r>
        <w:rPr>
          <w:rStyle w:val="27"/>
          <w:rFonts w:hint="eastAsia" w:ascii="黑体" w:eastAsia="黑体"/>
          <w:b w:val="0"/>
        </w:rPr>
        <w:t>入支出决算总体情况说明</w:t>
      </w:r>
      <w:bookmarkEnd w:id="36"/>
      <w:bookmarkEnd w:id="37"/>
      <w:bookmarkEnd w:id="38"/>
      <w:bookmarkEnd w:id="3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 w:eastAsia="仿宋"/>
          <w:color w:val="000000"/>
          <w:sz w:val="32"/>
          <w:szCs w:val="32"/>
          <w:lang w:val="en-US"/>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375.04</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年相比，收、支总计各减少</w:t>
      </w:r>
      <w:r>
        <w:rPr>
          <w:rFonts w:hint="eastAsia" w:ascii="仿宋" w:eastAsia="仿宋"/>
          <w:color w:val="000000"/>
          <w:sz w:val="32"/>
          <w:szCs w:val="32"/>
          <w:lang w:val="en-US" w:eastAsia="zh-CN"/>
        </w:rPr>
        <w:t>33.06</w:t>
      </w:r>
      <w:r>
        <w:rPr>
          <w:rFonts w:hint="eastAsia" w:ascii="仿宋" w:eastAsia="仿宋"/>
          <w:color w:val="000000"/>
          <w:sz w:val="32"/>
          <w:szCs w:val="32"/>
        </w:rPr>
        <w:t>万元，下降</w:t>
      </w:r>
      <w:r>
        <w:rPr>
          <w:rFonts w:hint="eastAsia" w:ascii="仿宋" w:eastAsia="仿宋"/>
          <w:color w:val="000000"/>
          <w:sz w:val="32"/>
          <w:szCs w:val="32"/>
          <w:lang w:val="en-US" w:eastAsia="zh-CN"/>
        </w:rPr>
        <w:t>8.10</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val="en-US" w:eastAsia="zh-CN"/>
        </w:rPr>
        <w:t>今年人员减少</w:t>
      </w:r>
      <w:r>
        <w:rPr>
          <w:rFonts w:hint="eastAsia" w:ascii="仿宋" w:eastAsia="仿宋"/>
          <w:color w:val="000000"/>
          <w:sz w:val="32"/>
          <w:szCs w:val="32"/>
        </w:rPr>
        <w:t>。</w:t>
      </w:r>
    </w:p>
    <w:p>
      <w:pPr>
        <w:pStyle w:val="36"/>
        <w:rPr>
          <w:u w:val="single"/>
        </w:rPr>
      </w:pPr>
      <w:r>
        <w:rPr>
          <w:rFonts w:hint="eastAsia" w:ascii="仿宋" w:hAnsi="仿宋" w:eastAsia="仿宋"/>
          <w:color w:val="000000"/>
          <w:sz w:val="32"/>
          <w:szCs w:val="32"/>
          <w:lang w:eastAsia="zh-CN"/>
        </w:rPr>
        <w:drawing>
          <wp:inline distT="0" distB="0" distL="114300" distR="114300">
            <wp:extent cx="5379720" cy="3578860"/>
            <wp:effectExtent l="4445" t="4445" r="10795" b="1333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1600" w:firstLineChars="5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w:t>
      </w:r>
    </w:p>
    <w:p>
      <w:pPr>
        <w:pStyle w:val="32"/>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Chars="0"/>
        <w:textAlignment w:val="auto"/>
        <w:outlineLvl w:val="1"/>
        <w:rPr>
          <w:rStyle w:val="27"/>
          <w:rFonts w:ascii="黑体" w:eastAsia="黑体"/>
          <w:b w:val="0"/>
        </w:rPr>
      </w:pPr>
      <w:bookmarkStart w:id="40" w:name="_Toc15377206"/>
      <w:bookmarkStart w:id="41" w:name="_Toc79163861"/>
      <w:bookmarkStart w:id="42" w:name="_Toc79163611"/>
      <w:bookmarkStart w:id="43" w:name="_Toc15396604"/>
      <w:r>
        <w:rPr>
          <w:rFonts w:hint="eastAsia" w:ascii="黑体" w:eastAsia="黑体"/>
          <w:color w:val="000000"/>
          <w:sz w:val="32"/>
          <w:szCs w:val="32"/>
        </w:rPr>
        <w:t>收</w:t>
      </w:r>
      <w:r>
        <w:rPr>
          <w:rStyle w:val="27"/>
          <w:rFonts w:hint="eastAsia" w:ascii="黑体" w:eastAsia="黑体"/>
          <w:b w:val="0"/>
        </w:rPr>
        <w:t>入决算情况说明</w:t>
      </w:r>
      <w:bookmarkEnd w:id="40"/>
      <w:bookmarkEnd w:id="41"/>
      <w:bookmarkEnd w:id="42"/>
      <w:bookmarkEnd w:id="4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375.04</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375.04</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万元；上级补助收入</w:t>
      </w:r>
      <w:r>
        <w:rPr>
          <w:rFonts w:hint="eastAsia" w:ascii="仿宋" w:eastAsia="仿宋"/>
          <w:color w:val="000000"/>
          <w:sz w:val="32"/>
          <w:szCs w:val="32"/>
          <w:lang w:val="en-US" w:eastAsia="zh-CN"/>
        </w:rPr>
        <w:t>0</w:t>
      </w:r>
      <w:r>
        <w:rPr>
          <w:rFonts w:hint="eastAsia" w:ascii="仿宋" w:eastAsia="仿宋"/>
          <w:color w:val="000000"/>
          <w:sz w:val="32"/>
          <w:szCs w:val="32"/>
        </w:rPr>
        <w:t>万元；事业收入</w:t>
      </w:r>
      <w:r>
        <w:rPr>
          <w:rFonts w:hint="eastAsia" w:ascii="仿宋" w:eastAsia="仿宋"/>
          <w:color w:val="000000"/>
          <w:sz w:val="32"/>
          <w:szCs w:val="32"/>
          <w:lang w:val="en-US" w:eastAsia="zh-CN"/>
        </w:rPr>
        <w:t>0</w:t>
      </w:r>
      <w:r>
        <w:rPr>
          <w:rFonts w:hint="eastAsia" w:ascii="仿宋" w:eastAsia="仿宋"/>
          <w:color w:val="000000"/>
          <w:sz w:val="32"/>
          <w:szCs w:val="32"/>
        </w:rPr>
        <w:t>万元；经营收入</w:t>
      </w:r>
      <w:r>
        <w:rPr>
          <w:rFonts w:hint="eastAsia" w:ascii="仿宋" w:eastAsia="仿宋"/>
          <w:color w:val="000000"/>
          <w:sz w:val="32"/>
          <w:szCs w:val="32"/>
          <w:lang w:val="en-US" w:eastAsia="zh-CN"/>
        </w:rPr>
        <w:t>0</w:t>
      </w:r>
      <w:r>
        <w:rPr>
          <w:rFonts w:hint="eastAsia" w:ascii="仿宋" w:eastAsia="仿宋"/>
          <w:color w:val="000000"/>
          <w:sz w:val="32"/>
          <w:szCs w:val="32"/>
        </w:rPr>
        <w:t>万元；附属单位上缴收入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万元；其他收入</w:t>
      </w:r>
      <w:r>
        <w:rPr>
          <w:rFonts w:hint="eastAsia" w:ascii="仿宋" w:eastAsia="仿宋"/>
          <w:color w:val="000000"/>
          <w:sz w:val="32"/>
          <w:szCs w:val="32"/>
          <w:lang w:val="en-US" w:eastAsia="zh-CN"/>
        </w:rPr>
        <w:t>0</w:t>
      </w:r>
      <w:r>
        <w:rPr>
          <w:rFonts w:hint="eastAsia" w:ascii="仿宋" w:eastAsia="仿宋"/>
          <w:color w:val="000000"/>
          <w:sz w:val="32"/>
          <w:szCs w:val="32"/>
        </w:rPr>
        <w:t>万元。</w:t>
      </w:r>
    </w:p>
    <w:p>
      <w:pPr>
        <w:pStyle w:val="14"/>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4982210" cy="2610485"/>
            <wp:effectExtent l="4445" t="4445" r="12065" b="635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1920" w:firstLineChars="600"/>
        <w:rPr>
          <w:rFonts w:ascii="仿宋_GB2312" w:eastAsia="仿宋_GB2312"/>
          <w:color w:val="FF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w:t>
      </w:r>
    </w:p>
    <w:p>
      <w:pPr>
        <w:pStyle w:val="32"/>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Chars="0"/>
        <w:textAlignment w:val="auto"/>
        <w:outlineLvl w:val="1"/>
        <w:rPr>
          <w:rStyle w:val="27"/>
          <w:rFonts w:ascii="黑体" w:eastAsia="黑体"/>
          <w:b w:val="0"/>
        </w:rPr>
      </w:pPr>
      <w:bookmarkStart w:id="44" w:name="_Toc79163612"/>
      <w:bookmarkStart w:id="45" w:name="_Toc79163862"/>
      <w:bookmarkStart w:id="46" w:name="_Toc15396605"/>
      <w:bookmarkStart w:id="47" w:name="_Toc15377207"/>
      <w:r>
        <w:rPr>
          <w:rFonts w:hint="eastAsia" w:ascii="黑体" w:eastAsia="黑体"/>
          <w:color w:val="000000"/>
          <w:sz w:val="32"/>
          <w:szCs w:val="32"/>
        </w:rPr>
        <w:t>支</w:t>
      </w:r>
      <w:r>
        <w:rPr>
          <w:rStyle w:val="27"/>
          <w:rFonts w:hint="eastAsia" w:ascii="黑体" w:eastAsia="黑体"/>
          <w:b w:val="0"/>
        </w:rPr>
        <w:t>出决算情况说明</w:t>
      </w:r>
      <w:bookmarkEnd w:id="44"/>
      <w:bookmarkEnd w:id="45"/>
      <w:bookmarkEnd w:id="46"/>
      <w:bookmarkEnd w:id="4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375.04</w:t>
      </w:r>
      <w:r>
        <w:rPr>
          <w:rFonts w:hint="eastAsia" w:ascii="仿宋_GB2312" w:eastAsia="仿宋_GB2312"/>
          <w:sz w:val="32"/>
          <w:szCs w:val="32"/>
        </w:rPr>
        <w:t>万元，其中：基本支出</w:t>
      </w:r>
      <w:r>
        <w:rPr>
          <w:rFonts w:hint="eastAsia" w:ascii="仿宋_GB2312" w:eastAsia="仿宋_GB2312"/>
          <w:sz w:val="32"/>
          <w:szCs w:val="32"/>
          <w:lang w:val="en-US" w:eastAsia="zh-CN"/>
        </w:rPr>
        <w:t>339.03</w:t>
      </w:r>
      <w:r>
        <w:rPr>
          <w:rFonts w:hint="eastAsia" w:ascii="仿宋_GB2312" w:eastAsia="仿宋_GB2312"/>
          <w:sz w:val="32"/>
          <w:szCs w:val="32"/>
        </w:rPr>
        <w:t>万元，占</w:t>
      </w:r>
      <w:r>
        <w:rPr>
          <w:rFonts w:hint="eastAsia" w:ascii="仿宋_GB2312" w:eastAsia="仿宋_GB2312"/>
          <w:sz w:val="32"/>
          <w:szCs w:val="32"/>
          <w:lang w:val="en-US" w:eastAsia="zh-CN"/>
        </w:rPr>
        <w:t>90.40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36.01</w:t>
      </w:r>
      <w:r>
        <w:rPr>
          <w:rFonts w:hint="eastAsia" w:ascii="仿宋_GB2312" w:eastAsia="仿宋_GB2312"/>
          <w:sz w:val="32"/>
          <w:szCs w:val="32"/>
        </w:rPr>
        <w:t>万元，占</w:t>
      </w:r>
      <w:r>
        <w:rPr>
          <w:rFonts w:hint="eastAsia" w:ascii="仿宋_GB2312" w:eastAsia="仿宋_GB2312"/>
          <w:sz w:val="32"/>
          <w:szCs w:val="32"/>
          <w:lang w:val="en-US" w:eastAsia="zh-CN"/>
        </w:rPr>
        <w:t>9.60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万元；经营支出</w:t>
      </w:r>
      <w:r>
        <w:rPr>
          <w:rFonts w:hint="eastAsia" w:ascii="仿宋_GB2312" w:eastAsia="仿宋_GB2312"/>
          <w:sz w:val="32"/>
          <w:szCs w:val="32"/>
          <w:lang w:val="en-US" w:eastAsia="zh-CN"/>
        </w:rPr>
        <w:t>0</w:t>
      </w:r>
      <w:r>
        <w:rPr>
          <w:rFonts w:hint="eastAsia" w:ascii="仿宋_GB2312" w:eastAsia="仿宋_GB2312"/>
          <w:sz w:val="32"/>
          <w:szCs w:val="32"/>
        </w:rPr>
        <w:t>万元；对附属单位补助支出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Style w:val="14"/>
        <w:rPr>
          <w:rFonts w:hint="eastAsia" w:ascii="仿宋" w:hAnsi="仿宋" w:eastAsia="仿宋"/>
          <w:color w:val="000000"/>
          <w:sz w:val="32"/>
          <w:szCs w:val="32"/>
          <w:shd w:val="pct10" w:color="auto" w:fill="FFFFFF"/>
          <w:lang w:eastAsia="zh-CN"/>
        </w:rPr>
      </w:pPr>
      <w:r>
        <w:rPr>
          <w:rFonts w:hint="eastAsia" w:ascii="仿宋" w:hAnsi="仿宋" w:eastAsia="仿宋"/>
          <w:color w:val="000000"/>
          <w:sz w:val="32"/>
          <w:szCs w:val="32"/>
          <w:shd w:val="pct10" w:color="auto" w:fill="FFFFFF"/>
          <w:lang w:val="en-US" w:eastAsia="zh-CN"/>
        </w:rPr>
        <w:t xml:space="preserve"> </w:t>
      </w:r>
      <w:r>
        <w:rPr>
          <w:rFonts w:hint="eastAsia" w:ascii="仿宋" w:hAnsi="仿宋" w:eastAsia="仿宋"/>
          <w:color w:val="000000"/>
          <w:sz w:val="32"/>
          <w:szCs w:val="32"/>
          <w:shd w:val="pct10" w:color="auto" w:fill="FFFFFF"/>
          <w:lang w:eastAsia="zh-CN"/>
        </w:rPr>
        <w:drawing>
          <wp:inline distT="0" distB="0" distL="114300" distR="114300">
            <wp:extent cx="5090160" cy="2717800"/>
            <wp:effectExtent l="4445" t="4445" r="10795" b="571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jc w:val="center"/>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7"/>
          <w:rFonts w:ascii="黑体" w:eastAsia="黑体"/>
          <w:b w:val="0"/>
        </w:rPr>
      </w:pPr>
      <w:bookmarkStart w:id="48" w:name="_Toc15377208"/>
      <w:bookmarkStart w:id="49" w:name="_Toc79163863"/>
      <w:bookmarkStart w:id="50" w:name="_Toc79163613"/>
      <w:bookmarkStart w:id="51" w:name="_Toc15396606"/>
      <w:r>
        <w:rPr>
          <w:rFonts w:hint="eastAsia" w:ascii="黑体" w:eastAsia="黑体"/>
          <w:color w:val="000000"/>
          <w:sz w:val="32"/>
          <w:szCs w:val="32"/>
        </w:rPr>
        <w:t>四、财</w:t>
      </w:r>
      <w:r>
        <w:rPr>
          <w:rStyle w:val="27"/>
          <w:rFonts w:hint="eastAsia" w:ascii="黑体" w:eastAsia="黑体"/>
          <w:b w:val="0"/>
        </w:rPr>
        <w:t>政拨款收入支出决算总体情况说明</w:t>
      </w:r>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ascii="仿宋" w:eastAsia="仿宋"/>
          <w:b/>
          <w:color w:val="FF0000"/>
          <w:sz w:val="32"/>
          <w:szCs w:val="32"/>
        </w:rPr>
      </w:pPr>
      <w:r>
        <w:rPr>
          <w:rFonts w:ascii="仿宋" w:eastAsia="仿宋"/>
          <w:color w:val="000000"/>
          <w:sz w:val="32"/>
          <w:szCs w:val="32"/>
        </w:rPr>
        <w:t>2021</w:t>
      </w:r>
      <w:r>
        <w:rPr>
          <w:rFonts w:hint="eastAsia" w:ascii="仿宋" w:eastAsia="仿宋"/>
          <w:color w:val="000000"/>
          <w:sz w:val="32"/>
          <w:szCs w:val="32"/>
        </w:rPr>
        <w:t>年财政拨款收、支总计</w:t>
      </w:r>
      <w:r>
        <w:rPr>
          <w:rFonts w:hint="eastAsia" w:ascii="仿宋" w:eastAsia="仿宋"/>
          <w:color w:val="000000"/>
          <w:sz w:val="32"/>
          <w:szCs w:val="32"/>
          <w:lang w:val="en-US" w:eastAsia="zh-CN"/>
        </w:rPr>
        <w:t>375.04</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年相比，财政拨款收、支总计各减少</w:t>
      </w:r>
      <w:r>
        <w:rPr>
          <w:rFonts w:hint="eastAsia" w:ascii="仿宋" w:eastAsia="仿宋"/>
          <w:color w:val="000000"/>
          <w:sz w:val="32"/>
          <w:szCs w:val="32"/>
          <w:lang w:val="en-US" w:eastAsia="zh-CN"/>
        </w:rPr>
        <w:t>33.06</w:t>
      </w:r>
      <w:r>
        <w:rPr>
          <w:rFonts w:hint="eastAsia" w:ascii="仿宋" w:eastAsia="仿宋"/>
          <w:color w:val="000000"/>
          <w:sz w:val="32"/>
          <w:szCs w:val="32"/>
        </w:rPr>
        <w:t>万元，下降</w:t>
      </w:r>
      <w:r>
        <w:rPr>
          <w:rFonts w:hint="eastAsia" w:ascii="仿宋" w:eastAsia="仿宋"/>
          <w:color w:val="000000"/>
          <w:sz w:val="32"/>
          <w:szCs w:val="32"/>
          <w:lang w:val="en-US" w:eastAsia="zh-CN"/>
        </w:rPr>
        <w:t>8.10</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val="en-US" w:eastAsia="zh-CN"/>
        </w:rPr>
        <w:t>今年人员减少。</w:t>
      </w:r>
    </w:p>
    <w:p>
      <w:pPr>
        <w:pStyle w:val="14"/>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755640" cy="4624705"/>
            <wp:effectExtent l="4445" t="4445" r="15875"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1280" w:firstLineChars="4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7"/>
          <w:rFonts w:ascii="黑体" w:eastAsia="黑体"/>
          <w:b w:val="0"/>
        </w:rPr>
      </w:pPr>
      <w:bookmarkStart w:id="52" w:name="_Toc15396607"/>
      <w:bookmarkStart w:id="53" w:name="_Toc79163614"/>
      <w:bookmarkStart w:id="54" w:name="_Toc79163864"/>
      <w:bookmarkStart w:id="55" w:name="_Toc15377209"/>
      <w:r>
        <w:rPr>
          <w:rFonts w:hint="eastAsia" w:ascii="黑体" w:eastAsia="黑体"/>
          <w:color w:val="000000"/>
          <w:sz w:val="32"/>
          <w:szCs w:val="32"/>
        </w:rPr>
        <w:t>五、</w:t>
      </w:r>
      <w:r>
        <w:rPr>
          <w:rFonts w:hint="eastAsia" w:ascii="黑体" w:eastAsia="黑体"/>
          <w:b/>
          <w:color w:val="000000"/>
          <w:sz w:val="32"/>
          <w:szCs w:val="32"/>
        </w:rPr>
        <w:t>一</w:t>
      </w:r>
      <w:r>
        <w:rPr>
          <w:rStyle w:val="27"/>
          <w:rFonts w:hint="eastAsia" w:ascii="黑体" w:eastAsia="黑体"/>
          <w:b w:val="0"/>
        </w:rPr>
        <w:t>般公共预算财政拨款支出决算情况说明</w:t>
      </w:r>
      <w:bookmarkEnd w:id="52"/>
      <w:bookmarkEnd w:id="53"/>
      <w:bookmarkEnd w:id="54"/>
      <w:bookmarkEnd w:id="55"/>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楷体" w:hAnsi="楷体" w:eastAsia="楷体" w:cs="楷体"/>
          <w:b/>
          <w:color w:val="000000"/>
          <w:sz w:val="32"/>
          <w:szCs w:val="32"/>
        </w:rPr>
      </w:pPr>
      <w:bookmarkStart w:id="56" w:name="_Toc15377210"/>
      <w:bookmarkStart w:id="57" w:name="_Toc79163615"/>
      <w:bookmarkStart w:id="58" w:name="_Toc79163865"/>
      <w:r>
        <w:rPr>
          <w:rFonts w:hint="eastAsia" w:ascii="楷体" w:hAnsi="楷体" w:eastAsia="楷体" w:cs="楷体"/>
          <w:b/>
          <w:color w:val="000000"/>
          <w:sz w:val="32"/>
          <w:szCs w:val="32"/>
        </w:rPr>
        <w:t>（一）一般公共预算财政拨款支出决算总体情况</w:t>
      </w:r>
      <w:bookmarkEnd w:id="56"/>
      <w:bookmarkEnd w:id="57"/>
      <w:bookmarkEnd w:id="58"/>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 w:eastAsia="仿宋"/>
          <w:b/>
          <w:color w:val="FF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375.04</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年相比，一般公共预算财政拨款减少</w:t>
      </w:r>
      <w:r>
        <w:rPr>
          <w:rFonts w:hint="eastAsia" w:ascii="仿宋" w:eastAsia="仿宋"/>
          <w:color w:val="000000"/>
          <w:sz w:val="32"/>
          <w:szCs w:val="32"/>
          <w:lang w:val="en-US" w:eastAsia="zh-CN"/>
        </w:rPr>
        <w:t>33.06</w:t>
      </w:r>
      <w:r>
        <w:rPr>
          <w:rFonts w:hint="eastAsia" w:ascii="仿宋" w:eastAsia="仿宋"/>
          <w:color w:val="000000"/>
          <w:sz w:val="32"/>
          <w:szCs w:val="32"/>
        </w:rPr>
        <w:t>万元，下降</w:t>
      </w:r>
      <w:r>
        <w:rPr>
          <w:rFonts w:hint="eastAsia" w:ascii="仿宋" w:eastAsia="仿宋"/>
          <w:color w:val="000000"/>
          <w:sz w:val="32"/>
          <w:szCs w:val="32"/>
          <w:lang w:val="en-US" w:eastAsia="zh-CN"/>
        </w:rPr>
        <w:t>8.10</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val="en-US" w:eastAsia="zh-CN"/>
        </w:rPr>
        <w:t>今年人员减少。</w:t>
      </w:r>
    </w:p>
    <w:p>
      <w:pPr>
        <w:spacing w:line="600" w:lineRule="exact"/>
        <w:ind w:firstLine="640" w:firstLineChars="200"/>
        <w:rPr>
          <w:rFonts w:ascii="仿宋" w:eastAsia="仿宋"/>
          <w:color w:val="000000"/>
          <w:sz w:val="32"/>
          <w:szCs w:val="32"/>
        </w:rPr>
      </w:pPr>
    </w:p>
    <w:p>
      <w:pPr>
        <w:pStyle w:val="14"/>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lang w:eastAsia="zh-CN"/>
        </w:rPr>
        <w:drawing>
          <wp:inline distT="0" distB="0" distL="114300" distR="114300">
            <wp:extent cx="4744085" cy="2773045"/>
            <wp:effectExtent l="4445" t="5080" r="6350"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楷体" w:hAnsi="楷体" w:eastAsia="楷体" w:cs="楷体"/>
          <w:b/>
          <w:color w:val="000000"/>
          <w:sz w:val="32"/>
          <w:szCs w:val="32"/>
        </w:rPr>
      </w:pPr>
      <w:bookmarkStart w:id="59" w:name="_Toc15377211"/>
      <w:bookmarkStart w:id="60" w:name="_Toc79163866"/>
      <w:bookmarkStart w:id="61" w:name="_Toc79163616"/>
      <w:r>
        <w:rPr>
          <w:rFonts w:hint="eastAsia" w:ascii="楷体" w:hAnsi="楷体" w:eastAsia="楷体" w:cs="楷体"/>
          <w:b/>
          <w:color w:val="000000"/>
          <w:sz w:val="32"/>
          <w:szCs w:val="32"/>
        </w:rPr>
        <w:t>（二）一般公共预算财政拨款支出决算结构情况</w:t>
      </w:r>
      <w:bookmarkEnd w:id="59"/>
      <w:bookmarkEnd w:id="60"/>
      <w:bookmarkEnd w:id="61"/>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375.04</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color w:val="000000"/>
          <w:sz w:val="32"/>
          <w:szCs w:val="32"/>
        </w:rPr>
        <w:t>社会保障和就业支出</w:t>
      </w:r>
      <w:r>
        <w:rPr>
          <w:rFonts w:hint="eastAsia" w:ascii="仿宋" w:eastAsia="仿宋"/>
          <w:color w:val="000000"/>
          <w:sz w:val="32"/>
          <w:szCs w:val="32"/>
          <w:lang w:val="en-US" w:eastAsia="zh-CN"/>
        </w:rPr>
        <w:t>340.85</w:t>
      </w:r>
      <w:r>
        <w:rPr>
          <w:rFonts w:hint="eastAsia" w:ascii="仿宋" w:eastAsia="仿宋"/>
          <w:color w:val="000000"/>
          <w:sz w:val="32"/>
          <w:szCs w:val="32"/>
        </w:rPr>
        <w:t>万元，占</w:t>
      </w:r>
      <w:r>
        <w:rPr>
          <w:rFonts w:hint="eastAsia" w:ascii="仿宋" w:eastAsia="仿宋"/>
          <w:color w:val="000000"/>
          <w:sz w:val="32"/>
          <w:szCs w:val="32"/>
          <w:lang w:val="en-US" w:eastAsia="zh-CN"/>
        </w:rPr>
        <w:t>90.88</w:t>
      </w:r>
      <w:r>
        <w:rPr>
          <w:rFonts w:hint="eastAsia" w:ascii="仿宋" w:eastAsia="仿宋"/>
          <w:color w:val="000000"/>
          <w:sz w:val="32"/>
          <w:szCs w:val="32"/>
        </w:rPr>
        <w:t>%；卫生健康支出</w:t>
      </w:r>
      <w:r>
        <w:rPr>
          <w:rFonts w:hint="eastAsia" w:ascii="仿宋" w:eastAsia="仿宋"/>
          <w:color w:val="000000"/>
          <w:sz w:val="32"/>
          <w:szCs w:val="32"/>
          <w:lang w:val="en-US" w:eastAsia="zh-CN"/>
        </w:rPr>
        <w:t>14.01</w:t>
      </w:r>
      <w:r>
        <w:rPr>
          <w:rFonts w:hint="eastAsia" w:ascii="仿宋" w:eastAsia="仿宋"/>
          <w:color w:val="000000"/>
          <w:sz w:val="32"/>
          <w:szCs w:val="32"/>
        </w:rPr>
        <w:t>万元，占</w:t>
      </w:r>
      <w:r>
        <w:rPr>
          <w:rFonts w:hint="eastAsia" w:ascii="仿宋" w:eastAsia="仿宋"/>
          <w:color w:val="000000"/>
          <w:sz w:val="32"/>
          <w:szCs w:val="32"/>
          <w:lang w:val="en-US" w:eastAsia="zh-CN"/>
        </w:rPr>
        <w:t>3.74</w:t>
      </w:r>
      <w:r>
        <w:rPr>
          <w:rFonts w:hint="eastAsia" w:ascii="仿宋" w:eastAsia="仿宋"/>
          <w:color w:val="000000"/>
          <w:sz w:val="32"/>
          <w:szCs w:val="32"/>
        </w:rPr>
        <w:t>%；</w:t>
      </w:r>
      <w:r>
        <w:rPr>
          <w:rFonts w:hint="eastAsia" w:ascii="仿宋" w:eastAsia="仿宋"/>
          <w:color w:val="000000"/>
          <w:sz w:val="32"/>
          <w:szCs w:val="32"/>
          <w:lang w:val="en-US" w:eastAsia="zh-CN"/>
        </w:rPr>
        <w:t>农林水支出0.93万元，</w:t>
      </w:r>
      <w:r>
        <w:rPr>
          <w:rFonts w:hint="eastAsia" w:ascii="仿宋" w:eastAsia="仿宋"/>
          <w:color w:val="000000"/>
          <w:sz w:val="32"/>
          <w:szCs w:val="32"/>
        </w:rPr>
        <w:t>占</w:t>
      </w:r>
      <w:r>
        <w:rPr>
          <w:rFonts w:hint="eastAsia" w:ascii="仿宋" w:eastAsia="仿宋"/>
          <w:color w:val="000000"/>
          <w:sz w:val="32"/>
          <w:szCs w:val="32"/>
          <w:lang w:val="en-US" w:eastAsia="zh-CN"/>
        </w:rPr>
        <w:t>0.25</w:t>
      </w:r>
      <w:r>
        <w:rPr>
          <w:rFonts w:hint="eastAsia" w:ascii="仿宋" w:eastAsia="仿宋"/>
          <w:color w:val="000000"/>
          <w:sz w:val="32"/>
          <w:szCs w:val="32"/>
        </w:rPr>
        <w:t>%；住房保障支出</w:t>
      </w:r>
      <w:r>
        <w:rPr>
          <w:rFonts w:hint="eastAsia" w:ascii="仿宋" w:eastAsia="仿宋"/>
          <w:color w:val="000000"/>
          <w:sz w:val="32"/>
          <w:szCs w:val="32"/>
          <w:lang w:val="en-US" w:eastAsia="zh-CN"/>
        </w:rPr>
        <w:t>19.25</w:t>
      </w:r>
      <w:r>
        <w:rPr>
          <w:rFonts w:hint="eastAsia" w:ascii="仿宋" w:eastAsia="仿宋"/>
          <w:color w:val="000000"/>
          <w:sz w:val="32"/>
          <w:szCs w:val="32"/>
        </w:rPr>
        <w:t>万元，占</w:t>
      </w:r>
      <w:r>
        <w:rPr>
          <w:rFonts w:hint="eastAsia" w:ascii="仿宋" w:eastAsia="仿宋"/>
          <w:color w:val="000000"/>
          <w:sz w:val="32"/>
          <w:szCs w:val="32"/>
          <w:lang w:val="en-US" w:eastAsia="zh-CN"/>
        </w:rPr>
        <w:t>5.13</w:t>
      </w:r>
      <w:r>
        <w:rPr>
          <w:rFonts w:hint="eastAsia" w:ascii="仿宋" w:eastAsia="仿宋"/>
          <w:color w:val="000000"/>
          <w:sz w:val="32"/>
          <w:szCs w:val="32"/>
        </w:rPr>
        <w:t>%。</w:t>
      </w:r>
    </w:p>
    <w:p>
      <w:pPr>
        <w:pStyle w:val="14"/>
        <w:rPr>
          <w:rFonts w:ascii="仿宋" w:hAnsi="仿宋" w:eastAsia="仿宋"/>
          <w:color w:val="000000"/>
          <w:sz w:val="32"/>
          <w:szCs w:val="32"/>
        </w:rPr>
      </w:pP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drawing>
          <wp:inline distT="0" distB="0" distL="0" distR="0">
            <wp:extent cx="4132580" cy="2181225"/>
            <wp:effectExtent l="4445" t="5080" r="8255" b="8255"/>
            <wp:docPr id="13"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960" w:firstLineChars="3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2"/>
        <w:rPr>
          <w:rFonts w:hint="eastAsia" w:ascii="楷体" w:hAnsi="楷体" w:eastAsia="楷体" w:cs="楷体"/>
          <w:b/>
          <w:color w:val="000000"/>
          <w:sz w:val="32"/>
          <w:szCs w:val="32"/>
        </w:rPr>
      </w:pPr>
      <w:bookmarkStart w:id="62" w:name="_Toc15377212"/>
      <w:bookmarkStart w:id="63" w:name="_Toc79163867"/>
      <w:bookmarkStart w:id="64" w:name="_Toc79163617"/>
      <w:r>
        <w:rPr>
          <w:rFonts w:hint="eastAsia" w:ascii="楷体" w:hAnsi="楷体" w:eastAsia="楷体" w:cs="楷体"/>
          <w:b/>
          <w:color w:val="000000"/>
          <w:sz w:val="32"/>
          <w:szCs w:val="32"/>
        </w:rPr>
        <w:t>（三）一般公共预算财政拨款支出决算具体情况</w:t>
      </w:r>
      <w:bookmarkEnd w:id="62"/>
      <w:bookmarkEnd w:id="63"/>
      <w:bookmarkEnd w:id="6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b w:val="0"/>
          <w:bCs w:val="0"/>
          <w:sz w:val="32"/>
          <w:szCs w:val="32"/>
        </w:rPr>
      </w:pPr>
      <w:bookmarkStart w:id="65" w:name="_Toc15377213"/>
      <w:bookmarkStart w:id="66" w:name="_Toc15377444"/>
      <w:bookmarkStart w:id="67" w:name="_Toc15378460"/>
      <w:r>
        <w:rPr>
          <w:rFonts w:ascii="仿宋_GB2312" w:eastAsia="仿宋_GB2312"/>
          <w:b w:val="0"/>
          <w:bCs w:val="0"/>
          <w:sz w:val="32"/>
          <w:szCs w:val="32"/>
        </w:rPr>
        <w:t>2021</w:t>
      </w:r>
      <w:r>
        <w:rPr>
          <w:rFonts w:hint="eastAsia" w:ascii="仿宋_GB2312" w:eastAsia="仿宋_GB2312"/>
          <w:b w:val="0"/>
          <w:bCs w:val="0"/>
          <w:sz w:val="32"/>
          <w:szCs w:val="32"/>
        </w:rPr>
        <w:t>年一般公共预算支出决算数为</w:t>
      </w:r>
      <w:r>
        <w:rPr>
          <w:rFonts w:hint="eastAsia" w:ascii="仿宋_GB2312" w:eastAsia="仿宋_GB2312"/>
          <w:b w:val="0"/>
          <w:bCs w:val="0"/>
          <w:sz w:val="32"/>
          <w:szCs w:val="32"/>
          <w:lang w:val="en-US" w:eastAsia="zh-CN"/>
        </w:rPr>
        <w:t>375.04万元</w:t>
      </w:r>
      <w:r>
        <w:rPr>
          <w:rFonts w:hint="eastAsia" w:ascii="仿宋_GB2312" w:eastAsia="仿宋_GB2312"/>
          <w:b w:val="0"/>
          <w:bCs w:val="0"/>
          <w:sz w:val="32"/>
          <w:szCs w:val="32"/>
        </w:rPr>
        <w:t>，完成预算</w:t>
      </w:r>
      <w:r>
        <w:rPr>
          <w:rFonts w:hint="eastAsia" w:ascii="仿宋_GB2312" w:eastAsia="仿宋_GB2312"/>
          <w:b w:val="0"/>
          <w:bCs w:val="0"/>
          <w:sz w:val="32"/>
          <w:szCs w:val="32"/>
          <w:lang w:val="en-US" w:eastAsia="zh-CN"/>
        </w:rPr>
        <w:t>100</w:t>
      </w:r>
      <w:r>
        <w:rPr>
          <w:rFonts w:ascii="仿宋_GB2312" w:eastAsia="仿宋_GB2312"/>
          <w:b w:val="0"/>
          <w:bCs w:val="0"/>
          <w:sz w:val="32"/>
          <w:szCs w:val="32"/>
        </w:rPr>
        <w:t>%</w:t>
      </w:r>
      <w:r>
        <w:rPr>
          <w:rFonts w:hint="eastAsia" w:ascii="仿宋_GB2312" w:eastAsia="仿宋_GB2312"/>
          <w:b w:val="0"/>
          <w:bCs w:val="0"/>
          <w:sz w:val="32"/>
          <w:szCs w:val="32"/>
        </w:rPr>
        <w:t>。其中：</w:t>
      </w:r>
      <w:bookmarkEnd w:id="65"/>
      <w:bookmarkEnd w:id="66"/>
      <w:bookmarkEnd w:id="67"/>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1"/>
        <w:rPr>
          <w:rFonts w:hint="eastAsia" w:ascii="仿宋" w:hAnsi="仿宋" w:eastAsia="仿宋" w:cs="仿宋"/>
          <w:color w:val="000000"/>
          <w:sz w:val="32"/>
          <w:szCs w:val="32"/>
        </w:rPr>
      </w:pPr>
      <w:r>
        <w:rPr>
          <w:rStyle w:val="24"/>
          <w:rFonts w:hint="eastAsia" w:ascii="仿宋" w:hAnsi="仿宋" w:eastAsia="仿宋" w:cs="仿宋"/>
          <w:bCs/>
          <w:color w:val="000000"/>
          <w:sz w:val="32"/>
          <w:szCs w:val="32"/>
        </w:rPr>
        <w:t>1.社会保障和就业</w:t>
      </w:r>
      <w:r>
        <w:rPr>
          <w:rStyle w:val="24"/>
          <w:rFonts w:hint="eastAsia" w:ascii="仿宋" w:hAnsi="仿宋" w:eastAsia="仿宋" w:cs="仿宋"/>
          <w:bCs/>
          <w:color w:val="000000"/>
          <w:sz w:val="32"/>
          <w:szCs w:val="32"/>
          <w:lang w:val="en-US" w:eastAsia="zh-CN"/>
        </w:rPr>
        <w:t>支出</w:t>
      </w:r>
      <w:r>
        <w:rPr>
          <w:rStyle w:val="24"/>
          <w:rFonts w:hint="eastAsia" w:ascii="仿宋" w:hAnsi="仿宋" w:eastAsia="仿宋" w:cs="仿宋"/>
          <w:bCs/>
          <w:color w:val="000000"/>
          <w:sz w:val="32"/>
          <w:szCs w:val="32"/>
        </w:rPr>
        <w:t>(类)</w:t>
      </w:r>
      <w:r>
        <w:rPr>
          <w:rFonts w:hint="eastAsia" w:ascii="仿宋" w:hAnsi="仿宋" w:eastAsia="仿宋" w:cs="仿宋"/>
          <w:b/>
          <w:bCs/>
          <w:sz w:val="32"/>
          <w:szCs w:val="32"/>
        </w:rPr>
        <w:t xml:space="preserve"> 人力资源和社会保障管理事务(款)行政运行（项）</w:t>
      </w:r>
      <w:r>
        <w:rPr>
          <w:rStyle w:val="24"/>
          <w:rFonts w:hint="eastAsia" w:ascii="仿宋" w:hAnsi="仿宋" w:eastAsia="仿宋" w:cs="仿宋"/>
          <w:bCs/>
          <w:color w:val="000000"/>
          <w:sz w:val="32"/>
          <w:szCs w:val="32"/>
        </w:rPr>
        <w:t>:</w:t>
      </w:r>
      <w:r>
        <w:rPr>
          <w:rStyle w:val="24"/>
          <w:rFonts w:hint="eastAsia" w:ascii="仿宋" w:hAnsi="仿宋" w:eastAsia="仿宋" w:cs="仿宋"/>
          <w:b w:val="0"/>
          <w:bCs/>
          <w:color w:val="000000"/>
          <w:sz w:val="32"/>
          <w:szCs w:val="32"/>
        </w:rPr>
        <w:t>支出决算为</w:t>
      </w:r>
      <w:r>
        <w:rPr>
          <w:rStyle w:val="24"/>
          <w:rFonts w:hint="eastAsia" w:ascii="仿宋" w:hAnsi="仿宋" w:eastAsia="仿宋" w:cs="仿宋"/>
          <w:b w:val="0"/>
          <w:bCs/>
          <w:color w:val="000000"/>
          <w:sz w:val="32"/>
          <w:szCs w:val="32"/>
          <w:lang w:val="en-US" w:eastAsia="zh-CN"/>
        </w:rPr>
        <w:t>276.91</w:t>
      </w:r>
      <w:r>
        <w:rPr>
          <w:rStyle w:val="24"/>
          <w:rFonts w:hint="eastAsia" w:ascii="仿宋" w:hAnsi="仿宋" w:eastAsia="仿宋" w:cs="仿宋"/>
          <w:b w:val="0"/>
          <w:bCs/>
          <w:color w:val="000000"/>
          <w:sz w:val="32"/>
          <w:szCs w:val="32"/>
        </w:rPr>
        <w:t>万元，完成预算</w:t>
      </w:r>
      <w:r>
        <w:rPr>
          <w:rStyle w:val="24"/>
          <w:rFonts w:hint="eastAsia" w:ascii="仿宋" w:hAnsi="仿宋" w:eastAsia="仿宋" w:cs="仿宋"/>
          <w:b w:val="0"/>
          <w:bCs/>
          <w:color w:val="000000"/>
          <w:sz w:val="32"/>
          <w:szCs w:val="32"/>
          <w:lang w:val="en-US" w:eastAsia="zh-CN"/>
        </w:rPr>
        <w:t>100</w:t>
      </w:r>
      <w:r>
        <w:rPr>
          <w:rStyle w:val="24"/>
          <w:rFonts w:hint="eastAsia" w:ascii="仿宋" w:hAnsi="仿宋" w:eastAsia="仿宋" w:cs="仿宋"/>
          <w:b w:val="0"/>
          <w:bCs/>
          <w:color w:val="000000"/>
          <w:sz w:val="32"/>
          <w:szCs w:val="32"/>
        </w:rPr>
        <w:t>%</w:t>
      </w:r>
      <w:r>
        <w:rPr>
          <w:rStyle w:val="24"/>
          <w:rFonts w:hint="eastAsia" w:ascii="仿宋" w:hAnsi="仿宋" w:eastAsia="仿宋" w:cs="仿宋"/>
          <w:b w:val="0"/>
          <w:bCs/>
          <w:color w:val="000000"/>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r>
        <w:rPr>
          <w:rFonts w:hint="eastAsia" w:ascii="仿宋" w:hAnsi="仿宋" w:eastAsia="仿宋" w:cs="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1"/>
        <w:rPr>
          <w:rFonts w:hint="eastAsia" w:ascii="仿宋" w:hAnsi="仿宋" w:eastAsia="仿宋" w:cs="仿宋"/>
          <w:color w:val="000000"/>
          <w:sz w:val="32"/>
          <w:szCs w:val="32"/>
        </w:rPr>
      </w:pPr>
      <w:r>
        <w:rPr>
          <w:rFonts w:hint="eastAsia" w:ascii="仿宋" w:hAnsi="仿宋" w:eastAsia="仿宋" w:cs="仿宋"/>
          <w:b/>
          <w:color w:val="000000"/>
          <w:sz w:val="32"/>
          <w:szCs w:val="32"/>
        </w:rPr>
        <w:t>2.</w:t>
      </w:r>
      <w:r>
        <w:rPr>
          <w:rStyle w:val="24"/>
          <w:rFonts w:hint="eastAsia" w:ascii="仿宋" w:hAnsi="仿宋" w:eastAsia="仿宋" w:cs="仿宋"/>
          <w:bCs/>
          <w:color w:val="000000"/>
          <w:sz w:val="32"/>
          <w:szCs w:val="32"/>
        </w:rPr>
        <w:t>社会保障和就业</w:t>
      </w:r>
      <w:r>
        <w:rPr>
          <w:rStyle w:val="24"/>
          <w:rFonts w:hint="eastAsia" w:ascii="仿宋" w:hAnsi="仿宋" w:eastAsia="仿宋" w:cs="仿宋"/>
          <w:bCs/>
          <w:color w:val="000000"/>
          <w:sz w:val="32"/>
          <w:szCs w:val="32"/>
          <w:lang w:val="en-US" w:eastAsia="zh-CN"/>
        </w:rPr>
        <w:t>支出</w:t>
      </w:r>
      <w:r>
        <w:rPr>
          <w:rStyle w:val="24"/>
          <w:rFonts w:hint="eastAsia" w:ascii="仿宋" w:hAnsi="仿宋" w:eastAsia="仿宋" w:cs="仿宋"/>
          <w:bCs/>
          <w:color w:val="000000"/>
          <w:sz w:val="32"/>
          <w:szCs w:val="32"/>
        </w:rPr>
        <w:t>(类)</w:t>
      </w:r>
      <w:r>
        <w:rPr>
          <w:rFonts w:hint="eastAsia" w:ascii="仿宋" w:hAnsi="仿宋" w:eastAsia="仿宋" w:cs="仿宋"/>
          <w:b/>
          <w:bCs/>
          <w:sz w:val="32"/>
          <w:szCs w:val="32"/>
        </w:rPr>
        <w:t xml:space="preserve"> 人力资源和社会保障管理事务(款)社会保险经办机构（项）</w:t>
      </w:r>
      <w:r>
        <w:rPr>
          <w:rStyle w:val="24"/>
          <w:rFonts w:hint="eastAsia" w:ascii="仿宋" w:hAnsi="仿宋" w:eastAsia="仿宋" w:cs="仿宋"/>
          <w:bCs/>
          <w:color w:val="000000"/>
          <w:sz w:val="32"/>
          <w:szCs w:val="32"/>
        </w:rPr>
        <w:t>:</w:t>
      </w:r>
      <w:r>
        <w:rPr>
          <w:rStyle w:val="24"/>
          <w:rFonts w:hint="eastAsia" w:ascii="仿宋" w:hAnsi="仿宋" w:eastAsia="仿宋" w:cs="仿宋"/>
          <w:b w:val="0"/>
          <w:bCs/>
          <w:color w:val="000000"/>
          <w:sz w:val="32"/>
          <w:szCs w:val="32"/>
        </w:rPr>
        <w:t>支出决算为</w:t>
      </w:r>
      <w:r>
        <w:rPr>
          <w:rStyle w:val="24"/>
          <w:rFonts w:hint="eastAsia" w:ascii="仿宋" w:hAnsi="仿宋" w:eastAsia="仿宋" w:cs="仿宋"/>
          <w:b w:val="0"/>
          <w:bCs/>
          <w:color w:val="000000"/>
          <w:sz w:val="32"/>
          <w:szCs w:val="32"/>
          <w:lang w:val="en-US" w:eastAsia="zh-CN"/>
        </w:rPr>
        <w:t>16.08</w:t>
      </w:r>
      <w:r>
        <w:rPr>
          <w:rStyle w:val="24"/>
          <w:rFonts w:hint="eastAsia" w:ascii="仿宋" w:hAnsi="仿宋" w:eastAsia="仿宋" w:cs="仿宋"/>
          <w:b w:val="0"/>
          <w:bCs/>
          <w:color w:val="000000"/>
          <w:sz w:val="32"/>
          <w:szCs w:val="32"/>
        </w:rPr>
        <w:t>万元，完成预算</w:t>
      </w:r>
      <w:r>
        <w:rPr>
          <w:rStyle w:val="24"/>
          <w:rFonts w:hint="eastAsia" w:ascii="仿宋" w:hAnsi="仿宋" w:eastAsia="仿宋" w:cs="仿宋"/>
          <w:b w:val="0"/>
          <w:bCs/>
          <w:color w:val="000000"/>
          <w:sz w:val="32"/>
          <w:szCs w:val="32"/>
          <w:lang w:val="en-US" w:eastAsia="zh-CN"/>
        </w:rPr>
        <w:t>100</w:t>
      </w:r>
      <w:r>
        <w:rPr>
          <w:rStyle w:val="24"/>
          <w:rFonts w:hint="eastAsia" w:ascii="仿宋" w:hAnsi="仿宋" w:eastAsia="仿宋" w:cs="仿宋"/>
          <w:b w:val="0"/>
          <w:bCs/>
          <w:color w:val="000000"/>
          <w:sz w:val="32"/>
          <w:szCs w:val="32"/>
        </w:rPr>
        <w:t>%</w:t>
      </w:r>
      <w:r>
        <w:rPr>
          <w:rStyle w:val="24"/>
          <w:rFonts w:hint="eastAsia" w:ascii="仿宋" w:hAnsi="仿宋" w:eastAsia="仿宋" w:cs="仿宋"/>
          <w:b w:val="0"/>
          <w:bCs/>
          <w:color w:val="000000"/>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r>
        <w:rPr>
          <w:rFonts w:hint="eastAsia" w:ascii="仿宋" w:hAnsi="仿宋" w:eastAsia="仿宋" w:cs="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1"/>
        <w:rPr>
          <w:rFonts w:hint="eastAsia" w:ascii="仿宋" w:hAnsi="仿宋" w:eastAsia="仿宋" w:cs="仿宋"/>
          <w:color w:val="000000"/>
          <w:sz w:val="32"/>
          <w:szCs w:val="32"/>
        </w:rPr>
      </w:pPr>
      <w:r>
        <w:rPr>
          <w:rFonts w:hint="eastAsia" w:ascii="仿宋" w:hAnsi="仿宋" w:eastAsia="仿宋" w:cs="仿宋"/>
          <w:b/>
          <w:color w:val="000000"/>
          <w:sz w:val="32"/>
          <w:szCs w:val="32"/>
          <w:lang w:val="en-US" w:eastAsia="zh-CN"/>
        </w:rPr>
        <w:t>3</w:t>
      </w:r>
      <w:r>
        <w:rPr>
          <w:rFonts w:hint="eastAsia" w:ascii="仿宋" w:hAnsi="仿宋" w:eastAsia="仿宋" w:cs="仿宋"/>
          <w:b/>
          <w:color w:val="000000"/>
          <w:sz w:val="32"/>
          <w:szCs w:val="32"/>
        </w:rPr>
        <w:t>.</w:t>
      </w:r>
      <w:r>
        <w:rPr>
          <w:rStyle w:val="24"/>
          <w:rFonts w:hint="eastAsia" w:ascii="仿宋" w:hAnsi="仿宋" w:eastAsia="仿宋" w:cs="仿宋"/>
          <w:bCs/>
          <w:color w:val="000000"/>
          <w:sz w:val="32"/>
          <w:szCs w:val="32"/>
        </w:rPr>
        <w:t>社会保障和就业</w:t>
      </w:r>
      <w:r>
        <w:rPr>
          <w:rStyle w:val="24"/>
          <w:rFonts w:hint="eastAsia" w:ascii="仿宋" w:hAnsi="仿宋" w:eastAsia="仿宋" w:cs="仿宋"/>
          <w:bCs/>
          <w:color w:val="000000"/>
          <w:sz w:val="32"/>
          <w:szCs w:val="32"/>
          <w:lang w:val="en-US" w:eastAsia="zh-CN"/>
        </w:rPr>
        <w:t>支出</w:t>
      </w:r>
      <w:r>
        <w:rPr>
          <w:rStyle w:val="24"/>
          <w:rFonts w:hint="eastAsia" w:ascii="仿宋" w:hAnsi="仿宋" w:eastAsia="仿宋" w:cs="仿宋"/>
          <w:bCs/>
          <w:color w:val="000000"/>
          <w:sz w:val="32"/>
          <w:szCs w:val="32"/>
        </w:rPr>
        <w:t>(类)</w:t>
      </w:r>
      <w:r>
        <w:rPr>
          <w:rFonts w:hint="eastAsia" w:ascii="仿宋" w:hAnsi="仿宋" w:eastAsia="仿宋" w:cs="仿宋"/>
          <w:b/>
          <w:bCs/>
          <w:sz w:val="32"/>
          <w:szCs w:val="32"/>
        </w:rPr>
        <w:t xml:space="preserve"> 人力资源和社会保障管理事务(款)</w:t>
      </w:r>
      <w:r>
        <w:rPr>
          <w:rFonts w:hint="eastAsia" w:ascii="仿宋" w:hAnsi="仿宋" w:eastAsia="仿宋" w:cs="仿宋"/>
          <w:b/>
          <w:bCs/>
          <w:sz w:val="32"/>
          <w:szCs w:val="32"/>
          <w:lang w:val="en-US" w:eastAsia="zh-CN"/>
        </w:rPr>
        <w:t>其他人力资源和社会保障管理事务支出</w:t>
      </w:r>
      <w:r>
        <w:rPr>
          <w:rFonts w:hint="eastAsia" w:ascii="仿宋" w:hAnsi="仿宋" w:eastAsia="仿宋" w:cs="仿宋"/>
          <w:b/>
          <w:bCs/>
          <w:sz w:val="32"/>
          <w:szCs w:val="32"/>
        </w:rPr>
        <w:t>（项）</w:t>
      </w:r>
      <w:r>
        <w:rPr>
          <w:rStyle w:val="24"/>
          <w:rFonts w:hint="eastAsia" w:ascii="仿宋" w:hAnsi="仿宋" w:eastAsia="仿宋" w:cs="仿宋"/>
          <w:bCs/>
          <w:color w:val="000000"/>
          <w:sz w:val="32"/>
          <w:szCs w:val="32"/>
        </w:rPr>
        <w:t>:</w:t>
      </w:r>
      <w:r>
        <w:rPr>
          <w:rStyle w:val="24"/>
          <w:rFonts w:hint="eastAsia" w:ascii="仿宋" w:hAnsi="仿宋" w:eastAsia="仿宋" w:cs="仿宋"/>
          <w:b w:val="0"/>
          <w:bCs/>
          <w:color w:val="000000"/>
          <w:sz w:val="32"/>
          <w:szCs w:val="32"/>
        </w:rPr>
        <w:t>支出决算为</w:t>
      </w:r>
      <w:r>
        <w:rPr>
          <w:rStyle w:val="24"/>
          <w:rFonts w:hint="eastAsia" w:ascii="仿宋" w:hAnsi="仿宋" w:eastAsia="仿宋" w:cs="仿宋"/>
          <w:b w:val="0"/>
          <w:bCs/>
          <w:color w:val="000000"/>
          <w:sz w:val="32"/>
          <w:szCs w:val="32"/>
          <w:lang w:val="en-US" w:eastAsia="zh-CN"/>
        </w:rPr>
        <w:t>19</w:t>
      </w:r>
      <w:r>
        <w:rPr>
          <w:rStyle w:val="24"/>
          <w:rFonts w:hint="eastAsia" w:ascii="仿宋" w:hAnsi="仿宋" w:eastAsia="仿宋" w:cs="仿宋"/>
          <w:b w:val="0"/>
          <w:bCs/>
          <w:color w:val="000000"/>
          <w:sz w:val="32"/>
          <w:szCs w:val="32"/>
        </w:rPr>
        <w:t>万元，完成预算</w:t>
      </w:r>
      <w:r>
        <w:rPr>
          <w:rStyle w:val="24"/>
          <w:rFonts w:hint="eastAsia" w:ascii="仿宋" w:hAnsi="仿宋" w:eastAsia="仿宋" w:cs="仿宋"/>
          <w:b w:val="0"/>
          <w:bCs/>
          <w:color w:val="000000"/>
          <w:sz w:val="32"/>
          <w:szCs w:val="32"/>
          <w:lang w:val="en-US" w:eastAsia="zh-CN"/>
        </w:rPr>
        <w:t>100</w:t>
      </w:r>
      <w:r>
        <w:rPr>
          <w:rStyle w:val="24"/>
          <w:rFonts w:hint="eastAsia" w:ascii="仿宋" w:hAnsi="仿宋" w:eastAsia="仿宋" w:cs="仿宋"/>
          <w:b w:val="0"/>
          <w:bCs/>
          <w:color w:val="000000"/>
          <w:sz w:val="32"/>
          <w:szCs w:val="32"/>
        </w:rPr>
        <w:t>%</w:t>
      </w:r>
      <w:r>
        <w:rPr>
          <w:rStyle w:val="24"/>
          <w:rFonts w:hint="eastAsia" w:ascii="仿宋" w:hAnsi="仿宋" w:eastAsia="仿宋" w:cs="仿宋"/>
          <w:b w:val="0"/>
          <w:bCs/>
          <w:color w:val="000000"/>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r>
        <w:rPr>
          <w:rFonts w:hint="eastAsia" w:ascii="仿宋" w:hAnsi="仿宋" w:eastAsia="仿宋" w:cs="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4"/>
          <w:rFonts w:hint="eastAsia" w:ascii="仿宋" w:hAnsi="仿宋" w:eastAsia="仿宋" w:cs="仿宋"/>
          <w:b w:val="0"/>
          <w:bCs/>
          <w:color w:val="000000"/>
          <w:sz w:val="32"/>
          <w:szCs w:val="32"/>
        </w:rPr>
      </w:pPr>
      <w:r>
        <w:rPr>
          <w:rFonts w:hint="eastAsia" w:ascii="仿宋" w:hAnsi="仿宋" w:eastAsia="仿宋" w:cs="仿宋"/>
          <w:b/>
          <w:color w:val="000000"/>
          <w:sz w:val="32"/>
          <w:szCs w:val="32"/>
          <w:lang w:val="en-US" w:eastAsia="zh-CN"/>
        </w:rPr>
        <w:t>4</w:t>
      </w:r>
      <w:r>
        <w:rPr>
          <w:rFonts w:hint="eastAsia" w:ascii="仿宋" w:hAnsi="仿宋" w:eastAsia="仿宋" w:cs="仿宋"/>
          <w:b/>
          <w:color w:val="000000"/>
          <w:sz w:val="32"/>
          <w:szCs w:val="32"/>
        </w:rPr>
        <w:t>.</w:t>
      </w:r>
      <w:r>
        <w:rPr>
          <w:rStyle w:val="24"/>
          <w:rFonts w:hint="eastAsia" w:ascii="仿宋" w:hAnsi="仿宋" w:eastAsia="仿宋" w:cs="仿宋"/>
          <w:bCs/>
          <w:color w:val="000000"/>
          <w:sz w:val="32"/>
          <w:szCs w:val="32"/>
        </w:rPr>
        <w:t>社会保障和就业</w:t>
      </w:r>
      <w:r>
        <w:rPr>
          <w:rStyle w:val="24"/>
          <w:rFonts w:hint="eastAsia" w:ascii="仿宋" w:hAnsi="仿宋" w:eastAsia="仿宋" w:cs="仿宋"/>
          <w:bCs/>
          <w:color w:val="000000"/>
          <w:sz w:val="32"/>
          <w:szCs w:val="32"/>
          <w:lang w:val="en-US" w:eastAsia="zh-CN"/>
        </w:rPr>
        <w:t>支出</w:t>
      </w:r>
      <w:r>
        <w:rPr>
          <w:rStyle w:val="24"/>
          <w:rFonts w:hint="eastAsia" w:ascii="仿宋" w:hAnsi="仿宋" w:eastAsia="仿宋" w:cs="仿宋"/>
          <w:bCs/>
          <w:color w:val="000000"/>
          <w:sz w:val="32"/>
          <w:szCs w:val="32"/>
        </w:rPr>
        <w:t>(类)</w:t>
      </w:r>
      <w:r>
        <w:rPr>
          <w:rFonts w:hint="eastAsia" w:ascii="仿宋" w:hAnsi="仿宋" w:eastAsia="仿宋" w:cs="仿宋"/>
          <w:b/>
          <w:bCs/>
          <w:sz w:val="32"/>
          <w:szCs w:val="32"/>
        </w:rPr>
        <w:t>行政事业单位养老支出(款) 机关事业单位基本养老保险缴费支出（项）</w:t>
      </w:r>
      <w:r>
        <w:rPr>
          <w:rStyle w:val="24"/>
          <w:rFonts w:hint="eastAsia" w:ascii="仿宋" w:hAnsi="仿宋" w:eastAsia="仿宋" w:cs="仿宋"/>
          <w:bCs/>
          <w:color w:val="000000"/>
          <w:sz w:val="32"/>
          <w:szCs w:val="32"/>
        </w:rPr>
        <w:t>:</w:t>
      </w:r>
      <w:r>
        <w:rPr>
          <w:rStyle w:val="24"/>
          <w:rFonts w:hint="eastAsia" w:ascii="仿宋" w:hAnsi="仿宋" w:eastAsia="仿宋" w:cs="仿宋"/>
          <w:b w:val="0"/>
          <w:bCs/>
          <w:color w:val="000000"/>
          <w:sz w:val="32"/>
          <w:szCs w:val="32"/>
        </w:rPr>
        <w:t>支出决算为</w:t>
      </w:r>
      <w:r>
        <w:rPr>
          <w:rStyle w:val="24"/>
          <w:rFonts w:hint="eastAsia" w:ascii="仿宋" w:hAnsi="仿宋" w:eastAsia="仿宋" w:cs="仿宋"/>
          <w:b w:val="0"/>
          <w:bCs/>
          <w:color w:val="000000"/>
          <w:sz w:val="32"/>
          <w:szCs w:val="32"/>
          <w:lang w:val="en-US" w:eastAsia="zh-CN"/>
        </w:rPr>
        <w:t>19.24</w:t>
      </w:r>
      <w:r>
        <w:rPr>
          <w:rStyle w:val="24"/>
          <w:rFonts w:hint="eastAsia" w:ascii="仿宋" w:hAnsi="仿宋" w:eastAsia="仿宋" w:cs="仿宋"/>
          <w:b w:val="0"/>
          <w:bCs/>
          <w:color w:val="000000"/>
          <w:sz w:val="32"/>
          <w:szCs w:val="32"/>
        </w:rPr>
        <w:t>万元，完成预算100%</w:t>
      </w:r>
      <w:r>
        <w:rPr>
          <w:rStyle w:val="24"/>
          <w:rFonts w:hint="eastAsia" w:ascii="仿宋" w:hAnsi="仿宋" w:eastAsia="仿宋" w:cs="仿宋"/>
          <w:b w:val="0"/>
          <w:bCs/>
          <w:color w:val="000000"/>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r>
        <w:rPr>
          <w:rFonts w:hint="eastAsia" w:ascii="仿宋" w:hAnsi="仿宋" w:eastAsia="仿宋" w:cs="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4"/>
          <w:rFonts w:hint="eastAsia" w:ascii="仿宋" w:hAnsi="仿宋" w:eastAsia="仿宋" w:cs="仿宋"/>
          <w:b w:val="0"/>
          <w:bCs/>
          <w:color w:val="000000"/>
          <w:sz w:val="32"/>
          <w:szCs w:val="32"/>
        </w:rPr>
      </w:pPr>
      <w:r>
        <w:rPr>
          <w:rFonts w:hint="eastAsia" w:ascii="仿宋" w:hAnsi="仿宋" w:eastAsia="仿宋" w:cs="仿宋"/>
          <w:b/>
          <w:color w:val="000000"/>
          <w:sz w:val="32"/>
          <w:szCs w:val="32"/>
          <w:lang w:val="en-US" w:eastAsia="zh-CN"/>
        </w:rPr>
        <w:t>5</w:t>
      </w:r>
      <w:r>
        <w:rPr>
          <w:rFonts w:hint="eastAsia" w:ascii="仿宋" w:hAnsi="仿宋" w:eastAsia="仿宋" w:cs="仿宋"/>
          <w:b/>
          <w:color w:val="000000"/>
          <w:sz w:val="32"/>
          <w:szCs w:val="32"/>
        </w:rPr>
        <w:t>.</w:t>
      </w:r>
      <w:r>
        <w:rPr>
          <w:rFonts w:hint="eastAsia" w:ascii="仿宋" w:hAnsi="仿宋" w:eastAsia="仿宋" w:cs="仿宋"/>
          <w:b/>
          <w:bCs/>
          <w:sz w:val="32"/>
          <w:szCs w:val="32"/>
        </w:rPr>
        <w:t>社会保障和就业支出（类）行政事业单位养老支出（款）机关事业单位职业年金缴费支出（项）</w:t>
      </w:r>
      <w:r>
        <w:rPr>
          <w:rStyle w:val="24"/>
          <w:rFonts w:hint="eastAsia" w:ascii="仿宋" w:hAnsi="仿宋" w:eastAsia="仿宋" w:cs="仿宋"/>
          <w:bCs/>
          <w:color w:val="000000"/>
          <w:sz w:val="32"/>
          <w:szCs w:val="32"/>
        </w:rPr>
        <w:t>:</w:t>
      </w:r>
      <w:r>
        <w:rPr>
          <w:rStyle w:val="24"/>
          <w:rFonts w:hint="eastAsia" w:ascii="仿宋" w:hAnsi="仿宋" w:eastAsia="仿宋" w:cs="仿宋"/>
          <w:b w:val="0"/>
          <w:bCs/>
          <w:color w:val="000000"/>
          <w:sz w:val="32"/>
          <w:szCs w:val="32"/>
        </w:rPr>
        <w:t>支出决算为</w:t>
      </w:r>
      <w:r>
        <w:rPr>
          <w:rStyle w:val="24"/>
          <w:rFonts w:hint="eastAsia" w:ascii="仿宋" w:hAnsi="仿宋" w:eastAsia="仿宋" w:cs="仿宋"/>
          <w:b w:val="0"/>
          <w:bCs/>
          <w:color w:val="000000"/>
          <w:sz w:val="32"/>
          <w:szCs w:val="32"/>
          <w:lang w:val="en-US" w:eastAsia="zh-CN"/>
        </w:rPr>
        <w:t>9.62</w:t>
      </w:r>
      <w:r>
        <w:rPr>
          <w:rStyle w:val="24"/>
          <w:rFonts w:hint="eastAsia" w:ascii="仿宋" w:hAnsi="仿宋" w:eastAsia="仿宋" w:cs="仿宋"/>
          <w:b w:val="0"/>
          <w:bCs/>
          <w:color w:val="000000"/>
          <w:sz w:val="32"/>
          <w:szCs w:val="32"/>
        </w:rPr>
        <w:t>万元，完成预算100%</w:t>
      </w:r>
      <w:r>
        <w:rPr>
          <w:rStyle w:val="24"/>
          <w:rFonts w:hint="eastAsia" w:ascii="仿宋" w:hAnsi="仿宋" w:eastAsia="仿宋" w:cs="仿宋"/>
          <w:b w:val="0"/>
          <w:bCs/>
          <w:color w:val="000000"/>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r>
        <w:rPr>
          <w:rFonts w:hint="eastAsia" w:ascii="仿宋" w:hAnsi="仿宋" w:eastAsia="仿宋" w:cs="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 w:hAnsi="仿宋" w:eastAsia="仿宋" w:cs="仿宋"/>
          <w:color w:val="000000"/>
          <w:sz w:val="32"/>
          <w:szCs w:val="32"/>
          <w:lang w:val="en-US" w:eastAsia="zh-CN"/>
        </w:rPr>
      </w:pPr>
      <w:r>
        <w:rPr>
          <w:rStyle w:val="24"/>
          <w:rFonts w:hint="eastAsia" w:ascii="仿宋" w:hAnsi="仿宋" w:eastAsia="仿宋" w:cs="仿宋"/>
          <w:bCs/>
          <w:color w:val="000000"/>
          <w:sz w:val="32"/>
          <w:szCs w:val="32"/>
          <w:lang w:val="en-US" w:eastAsia="zh-CN"/>
        </w:rPr>
        <w:t>6</w:t>
      </w:r>
      <w:r>
        <w:rPr>
          <w:rStyle w:val="24"/>
          <w:rFonts w:hint="eastAsia" w:ascii="仿宋" w:hAnsi="仿宋" w:eastAsia="仿宋" w:cs="仿宋"/>
          <w:bCs/>
          <w:color w:val="000000"/>
          <w:sz w:val="32"/>
          <w:szCs w:val="32"/>
        </w:rPr>
        <w:t>.</w:t>
      </w:r>
      <w:r>
        <w:rPr>
          <w:rFonts w:hint="eastAsia" w:ascii="仿宋" w:hAnsi="仿宋" w:eastAsia="仿宋" w:cs="仿宋"/>
          <w:b/>
          <w:bCs/>
          <w:sz w:val="32"/>
          <w:szCs w:val="32"/>
        </w:rPr>
        <w:t>卫生健康支出（类）行政事业单位医疗（款）行政单位医疗（项）</w:t>
      </w:r>
      <w:r>
        <w:rPr>
          <w:rFonts w:hint="eastAsia" w:ascii="仿宋" w:hAnsi="仿宋" w:eastAsia="仿宋" w:cs="仿宋"/>
          <w:sz w:val="32"/>
          <w:szCs w:val="32"/>
        </w:rPr>
        <w:t>：支出决算数为</w:t>
      </w:r>
      <w:r>
        <w:rPr>
          <w:rFonts w:hint="eastAsia" w:ascii="仿宋" w:hAnsi="仿宋" w:eastAsia="仿宋" w:cs="仿宋"/>
          <w:sz w:val="32"/>
          <w:szCs w:val="32"/>
          <w:lang w:val="en-US" w:eastAsia="zh-CN"/>
        </w:rPr>
        <w:t>14.01</w:t>
      </w:r>
      <w:r>
        <w:rPr>
          <w:rFonts w:hint="eastAsia" w:ascii="仿宋" w:hAnsi="仿宋" w:eastAsia="仿宋" w:cs="仿宋"/>
          <w:sz w:val="32"/>
          <w:szCs w:val="32"/>
        </w:rPr>
        <w:t>万元，完成预算100%</w:t>
      </w:r>
      <w:r>
        <w:rPr>
          <w:rFonts w:hint="eastAsia" w:ascii="仿宋" w:hAnsi="仿宋" w:eastAsia="仿宋" w:cs="仿宋"/>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 w:hAnsi="仿宋" w:eastAsia="仿宋" w:cs="仿宋"/>
          <w:color w:val="000000"/>
          <w:sz w:val="32"/>
          <w:szCs w:val="32"/>
          <w:lang w:val="en-US" w:eastAsia="zh-CN"/>
        </w:rPr>
      </w:pPr>
      <w:r>
        <w:rPr>
          <w:rStyle w:val="24"/>
          <w:rFonts w:hint="eastAsia" w:ascii="仿宋" w:hAnsi="仿宋" w:eastAsia="仿宋" w:cs="仿宋"/>
          <w:bCs/>
          <w:color w:val="000000"/>
          <w:kern w:val="2"/>
          <w:sz w:val="32"/>
          <w:szCs w:val="32"/>
          <w:lang w:val="en-US" w:eastAsia="zh-CN" w:bidi="ar-SA"/>
        </w:rPr>
        <w:t>7.农林水支出（类）扶贫（款）其他扶贫支出（项）：</w:t>
      </w:r>
      <w:r>
        <w:rPr>
          <w:rFonts w:hint="eastAsia" w:ascii="仿宋" w:hAnsi="仿宋" w:eastAsia="仿宋" w:cs="仿宋"/>
          <w:sz w:val="32"/>
          <w:szCs w:val="32"/>
        </w:rPr>
        <w:t>支出决算数为</w:t>
      </w:r>
      <w:r>
        <w:rPr>
          <w:rFonts w:hint="eastAsia" w:ascii="仿宋" w:hAnsi="仿宋" w:eastAsia="仿宋" w:cs="仿宋"/>
          <w:sz w:val="32"/>
          <w:szCs w:val="32"/>
          <w:lang w:val="en-US" w:eastAsia="zh-CN"/>
        </w:rPr>
        <w:t>0.93</w:t>
      </w:r>
      <w:r>
        <w:rPr>
          <w:rFonts w:hint="eastAsia" w:ascii="仿宋" w:hAnsi="仿宋" w:eastAsia="仿宋" w:cs="仿宋"/>
          <w:sz w:val="32"/>
          <w:szCs w:val="32"/>
        </w:rPr>
        <w:t>万元，完成预算100%</w:t>
      </w:r>
      <w:r>
        <w:rPr>
          <w:rFonts w:hint="eastAsia" w:ascii="仿宋" w:hAnsi="仿宋" w:eastAsia="仿宋" w:cs="仿宋"/>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 w:hAnsi="仿宋" w:eastAsia="仿宋" w:cs="仿宋"/>
          <w:sz w:val="32"/>
          <w:szCs w:val="32"/>
        </w:rPr>
      </w:pPr>
      <w:r>
        <w:rPr>
          <w:rStyle w:val="24"/>
          <w:rFonts w:hint="eastAsia" w:ascii="仿宋" w:hAnsi="仿宋" w:eastAsia="仿宋" w:cs="仿宋"/>
          <w:bCs/>
          <w:color w:val="000000"/>
          <w:sz w:val="32"/>
          <w:szCs w:val="32"/>
          <w:lang w:val="en-US" w:eastAsia="zh-CN"/>
        </w:rPr>
        <w:t>8</w:t>
      </w:r>
      <w:r>
        <w:rPr>
          <w:rStyle w:val="24"/>
          <w:rFonts w:hint="eastAsia" w:ascii="仿宋" w:hAnsi="仿宋" w:eastAsia="仿宋" w:cs="仿宋"/>
          <w:bCs/>
          <w:color w:val="000000"/>
          <w:sz w:val="32"/>
          <w:szCs w:val="32"/>
        </w:rPr>
        <w:t>.</w:t>
      </w:r>
      <w:r>
        <w:rPr>
          <w:rFonts w:hint="eastAsia" w:ascii="仿宋" w:hAnsi="仿宋" w:eastAsia="仿宋" w:cs="仿宋"/>
          <w:b/>
          <w:bCs/>
          <w:sz w:val="32"/>
          <w:szCs w:val="32"/>
        </w:rPr>
        <w:t>住房保障支出（类）住房改革支出（款）住房公积金（项）</w:t>
      </w:r>
      <w:r>
        <w:rPr>
          <w:rFonts w:hint="eastAsia" w:ascii="仿宋" w:hAnsi="仿宋" w:eastAsia="仿宋" w:cs="仿宋"/>
          <w:sz w:val="32"/>
          <w:szCs w:val="32"/>
        </w:rPr>
        <w:t>：支出决算数为</w:t>
      </w:r>
      <w:r>
        <w:rPr>
          <w:rFonts w:hint="eastAsia" w:ascii="仿宋" w:hAnsi="仿宋" w:eastAsia="仿宋" w:cs="仿宋"/>
          <w:sz w:val="32"/>
          <w:szCs w:val="32"/>
          <w:lang w:val="en-US" w:eastAsia="zh-CN"/>
        </w:rPr>
        <w:t>19.25</w:t>
      </w:r>
      <w:r>
        <w:rPr>
          <w:rFonts w:hint="eastAsia" w:ascii="仿宋" w:hAnsi="仿宋" w:eastAsia="仿宋" w:cs="仿宋"/>
          <w:sz w:val="32"/>
          <w:szCs w:val="32"/>
        </w:rPr>
        <w:t>万元，完成预算100%</w:t>
      </w:r>
      <w:r>
        <w:rPr>
          <w:rFonts w:hint="eastAsia" w:ascii="仿宋" w:hAnsi="仿宋" w:eastAsia="仿宋" w:cs="仿宋"/>
          <w:sz w:val="32"/>
          <w:szCs w:val="32"/>
          <w:lang w:eastAsia="zh-CN"/>
        </w:rPr>
        <w:t>，</w:t>
      </w:r>
      <w:r>
        <w:rPr>
          <w:rFonts w:hint="eastAsia" w:ascii="仿宋" w:hAnsi="仿宋" w:eastAsia="仿宋" w:cs="仿宋"/>
          <w:color w:val="000000"/>
          <w:sz w:val="32"/>
          <w:szCs w:val="32"/>
        </w:rPr>
        <w:t>决算数</w:t>
      </w:r>
      <w:r>
        <w:rPr>
          <w:rFonts w:hint="eastAsia" w:ascii="仿宋" w:hAnsi="仿宋" w:eastAsia="仿宋" w:cs="仿宋"/>
          <w:color w:val="000000"/>
          <w:sz w:val="32"/>
          <w:szCs w:val="32"/>
          <w:lang w:val="en-US" w:eastAsia="zh-CN"/>
        </w:rPr>
        <w:t>与</w:t>
      </w:r>
      <w:r>
        <w:rPr>
          <w:rFonts w:hint="eastAsia" w:ascii="仿宋" w:hAnsi="仿宋" w:eastAsia="仿宋" w:cs="仿宋"/>
          <w:color w:val="000000"/>
          <w:sz w:val="32"/>
          <w:szCs w:val="32"/>
        </w:rPr>
        <w:t>预算数</w:t>
      </w:r>
      <w:r>
        <w:rPr>
          <w:rFonts w:hint="eastAsia" w:ascii="仿宋" w:hAnsi="仿宋" w:eastAsia="仿宋" w:cs="仿宋"/>
          <w:color w:val="000000"/>
          <w:sz w:val="32"/>
          <w:szCs w:val="32"/>
          <w:lang w:val="en-US" w:eastAsia="zh-CN"/>
        </w:rPr>
        <w:t>持平。</w:t>
      </w:r>
    </w:p>
    <w:p>
      <w:pPr>
        <w:keepNext w:val="0"/>
        <w:keepLines w:val="0"/>
        <w:pageBreakBefore w:val="0"/>
        <w:widowControl w:val="0"/>
        <w:tabs>
          <w:tab w:val="right" w:pos="8306"/>
        </w:tabs>
        <w:kinsoku/>
        <w:wordWrap/>
        <w:overflowPunct/>
        <w:topLinePunct w:val="0"/>
        <w:autoSpaceDE/>
        <w:autoSpaceDN/>
        <w:bidi w:val="0"/>
        <w:adjustRightInd/>
        <w:snapToGrid/>
        <w:spacing w:line="576" w:lineRule="exact"/>
        <w:ind w:firstLine="640"/>
        <w:textAlignment w:val="auto"/>
        <w:outlineLvl w:val="1"/>
        <w:rPr>
          <w:rStyle w:val="27"/>
        </w:rPr>
      </w:pPr>
      <w:bookmarkStart w:id="68" w:name="_Toc79163868"/>
      <w:bookmarkStart w:id="69" w:name="_Toc15396608"/>
      <w:bookmarkStart w:id="70" w:name="_Toc15377214"/>
      <w:bookmarkStart w:id="71" w:name="_Toc79163618"/>
      <w:r>
        <w:rPr>
          <w:rFonts w:hint="eastAsia" w:ascii="黑体" w:eastAsia="黑体"/>
          <w:color w:val="000000"/>
          <w:sz w:val="32"/>
          <w:szCs w:val="32"/>
        </w:rPr>
        <w:t>六</w:t>
      </w:r>
      <w:r>
        <w:rPr>
          <w:rFonts w:hint="eastAsia" w:ascii="黑体" w:eastAsia="黑体"/>
          <w:b/>
          <w:color w:val="000000"/>
          <w:sz w:val="32"/>
          <w:szCs w:val="32"/>
        </w:rPr>
        <w:t>、一</w:t>
      </w:r>
      <w:r>
        <w:rPr>
          <w:rStyle w:val="27"/>
          <w:rFonts w:hint="eastAsia" w:ascii="黑体" w:eastAsia="黑体"/>
          <w:b w:val="0"/>
        </w:rPr>
        <w:t>般公共预算财政拨款基本支出决算情况说明</w:t>
      </w:r>
      <w:bookmarkEnd w:id="68"/>
      <w:bookmarkEnd w:id="69"/>
      <w:bookmarkEnd w:id="70"/>
      <w:bookmarkEnd w:id="71"/>
      <w:r>
        <w:rPr>
          <w:rStyle w:val="27"/>
          <w:rFonts w:ascii="黑体" w:eastAsia="黑体"/>
          <w:b w:val="0"/>
        </w:rPr>
        <w:tab/>
      </w:r>
    </w:p>
    <w:p>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339.03</w:t>
      </w:r>
      <w:r>
        <w:rPr>
          <w:rFonts w:hint="eastAsia" w:ascii="仿宋" w:eastAsia="仿宋"/>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333.25</w:t>
      </w:r>
      <w:r>
        <w:rPr>
          <w:rFonts w:hint="eastAsia" w:ascii="仿宋" w:eastAsia="仿宋"/>
          <w:color w:val="000000"/>
          <w:sz w:val="32"/>
          <w:szCs w:val="32"/>
        </w:rPr>
        <w:t>万元，主要包括：基本工资、津贴补贴、奖金、绩效工资、机关事业单位基本养老保险缴费、职业年金缴费、其他社会保障缴费、生活补助、医疗费补助、奖励金、住房公积金等。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日常公用经费</w:t>
      </w:r>
      <w:r>
        <w:rPr>
          <w:rFonts w:hint="eastAsia" w:ascii="仿宋" w:eastAsia="仿宋"/>
          <w:color w:val="000000"/>
          <w:sz w:val="32"/>
          <w:szCs w:val="32"/>
          <w:lang w:val="en-US" w:eastAsia="zh-CN"/>
        </w:rPr>
        <w:t>5.78</w:t>
      </w:r>
      <w:r>
        <w:rPr>
          <w:rFonts w:hint="eastAsia" w:ascii="仿宋" w:eastAsia="仿宋"/>
          <w:color w:val="000000"/>
          <w:sz w:val="32"/>
          <w:szCs w:val="32"/>
        </w:rPr>
        <w:t>万元，主要包括：办公费、邮电费、差旅费、公务接待费、其他交通费等。</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27"/>
          <w:rFonts w:ascii="黑体" w:eastAsia="黑体"/>
          <w:b w:val="0"/>
        </w:rPr>
      </w:pPr>
      <w:bookmarkStart w:id="72" w:name="_Toc79163869"/>
      <w:bookmarkStart w:id="73" w:name="_Toc15377215"/>
      <w:bookmarkStart w:id="74" w:name="_Toc15396609"/>
      <w:bookmarkStart w:id="75" w:name="_Toc79163619"/>
      <w:r>
        <w:rPr>
          <w:rFonts w:hint="eastAsia" w:ascii="黑体" w:eastAsia="黑体"/>
          <w:color w:val="000000"/>
          <w:sz w:val="32"/>
          <w:szCs w:val="32"/>
        </w:rPr>
        <w:t>七、</w:t>
      </w:r>
      <w:r>
        <w:rPr>
          <w:rStyle w:val="27"/>
          <w:rFonts w:hint="eastAsia" w:ascii="黑体" w:eastAsia="黑体"/>
        </w:rPr>
        <w:t>“</w:t>
      </w:r>
      <w:r>
        <w:rPr>
          <w:rStyle w:val="27"/>
          <w:rFonts w:hint="eastAsia" w:ascii="黑体" w:eastAsia="黑体"/>
          <w:b w:val="0"/>
        </w:rPr>
        <w:t>三公”经费财政拨款支出决算情况说明</w:t>
      </w:r>
      <w:bookmarkEnd w:id="72"/>
      <w:bookmarkEnd w:id="73"/>
      <w:bookmarkEnd w:id="74"/>
      <w:bookmarkEnd w:id="75"/>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2"/>
        <w:rPr>
          <w:rFonts w:hint="eastAsia" w:ascii="楷体" w:hAnsi="楷体" w:eastAsia="楷体" w:cs="楷体"/>
          <w:b/>
          <w:color w:val="000000"/>
          <w:sz w:val="32"/>
          <w:szCs w:val="32"/>
        </w:rPr>
      </w:pPr>
      <w:bookmarkStart w:id="76" w:name="_Toc15377216"/>
      <w:bookmarkStart w:id="77" w:name="_Toc79163620"/>
      <w:bookmarkStart w:id="78" w:name="_Toc79163870"/>
      <w:r>
        <w:rPr>
          <w:rFonts w:hint="eastAsia" w:ascii="楷体" w:hAnsi="楷体" w:eastAsia="楷体" w:cs="楷体"/>
          <w:b/>
          <w:color w:val="000000"/>
          <w:sz w:val="32"/>
          <w:szCs w:val="32"/>
        </w:rPr>
        <w:t>（一）“三公”经费财政拨款支出决算总体情况说明</w:t>
      </w:r>
      <w:bookmarkEnd w:id="76"/>
      <w:bookmarkEnd w:id="77"/>
      <w:bookmarkEnd w:id="78"/>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0.10</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2"/>
        <w:rPr>
          <w:rFonts w:hint="eastAsia" w:ascii="楷体" w:hAnsi="楷体" w:eastAsia="楷体" w:cs="楷体"/>
          <w:b/>
          <w:color w:val="000000"/>
          <w:sz w:val="32"/>
          <w:szCs w:val="32"/>
        </w:rPr>
      </w:pPr>
      <w:bookmarkStart w:id="79" w:name="_Toc79163871"/>
      <w:bookmarkStart w:id="80" w:name="_Toc15377217"/>
      <w:bookmarkStart w:id="81" w:name="_Toc79163621"/>
      <w:r>
        <w:rPr>
          <w:rFonts w:hint="eastAsia" w:ascii="楷体" w:hAnsi="楷体" w:eastAsia="楷体" w:cs="楷体"/>
          <w:b/>
          <w:color w:val="000000"/>
          <w:sz w:val="32"/>
          <w:szCs w:val="32"/>
        </w:rPr>
        <w:t>（二）“三公”经费财政拨款支出决算具体情况说明</w:t>
      </w:r>
      <w:bookmarkEnd w:id="79"/>
      <w:bookmarkEnd w:id="80"/>
      <w:bookmarkEnd w:id="81"/>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万元；公务接待费支出决算</w:t>
      </w:r>
      <w:r>
        <w:rPr>
          <w:rFonts w:hint="eastAsia" w:ascii="仿宋" w:eastAsia="仿宋"/>
          <w:color w:val="000000"/>
          <w:sz w:val="32"/>
          <w:szCs w:val="32"/>
          <w:lang w:val="en-US" w:eastAsia="zh-CN"/>
        </w:rPr>
        <w:t>0.1</w:t>
      </w:r>
      <w:r>
        <w:rPr>
          <w:rFonts w:hint="eastAsia" w:ascii="仿宋" w:eastAsia="仿宋"/>
          <w:color w:val="000000"/>
          <w:sz w:val="32"/>
          <w:szCs w:val="32"/>
        </w:rPr>
        <w:t>万元。具体情况如下：</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eastAsia" w:ascii="仿宋" w:eastAsia="仿宋"/>
          <w:color w:val="000000"/>
          <w:sz w:val="32"/>
          <w:szCs w:val="32"/>
        </w:rPr>
      </w:pP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drawing>
          <wp:inline distT="0" distB="0" distL="0" distR="0">
            <wp:extent cx="3144520" cy="1721485"/>
            <wp:effectExtent l="4445" t="4445" r="5715" b="11430"/>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：“三公”经费财政拨款支出结构）</w:t>
      </w:r>
    </w:p>
    <w:p>
      <w:pPr>
        <w:keepNext w:val="0"/>
        <w:keepLines w:val="0"/>
        <w:pageBreakBefore w:val="0"/>
        <w:kinsoku/>
        <w:wordWrap/>
        <w:overflowPunct/>
        <w:topLinePunct w:val="0"/>
        <w:bidi w:val="0"/>
        <w:spacing w:line="576"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kinsoku/>
        <w:wordWrap/>
        <w:overflowPunct/>
        <w:topLinePunct w:val="0"/>
        <w:bidi w:val="0"/>
        <w:spacing w:line="576"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kinsoku/>
        <w:wordWrap/>
        <w:overflowPunct/>
        <w:topLinePunct w:val="0"/>
        <w:bidi w:val="0"/>
        <w:spacing w:line="576"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万元，</w:t>
      </w:r>
      <w:r>
        <w:rPr>
          <w:rStyle w:val="24"/>
          <w:rFonts w:hint="eastAsia" w:ascii="仿宋" w:eastAsia="仿宋"/>
          <w:b w:val="0"/>
          <w:bCs/>
          <w:color w:val="000000"/>
          <w:sz w:val="32"/>
          <w:szCs w:val="32"/>
        </w:rPr>
        <w:t>完成预算</w:t>
      </w:r>
      <w:r>
        <w:rPr>
          <w:rStyle w:val="24"/>
          <w:rFonts w:hint="eastAsia" w:ascii="仿宋" w:eastAsia="仿宋"/>
          <w:b w:val="0"/>
          <w:bCs/>
          <w:color w:val="000000"/>
          <w:sz w:val="32"/>
          <w:szCs w:val="32"/>
          <w:lang w:val="en-US" w:eastAsia="zh-CN"/>
        </w:rPr>
        <w:t>100</w:t>
      </w:r>
      <w:r>
        <w:rPr>
          <w:rStyle w:val="24"/>
          <w:rFonts w:ascii="仿宋" w:eastAsia="仿宋"/>
          <w:b w:val="0"/>
          <w:bCs/>
          <w:color w:val="000000"/>
          <w:sz w:val="32"/>
          <w:szCs w:val="32"/>
        </w:rPr>
        <w:t>%</w:t>
      </w:r>
      <w:r>
        <w:rPr>
          <w:rStyle w:val="24"/>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增加0.1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2020年未发生接待费支出</w:t>
      </w:r>
      <w:r>
        <w:rPr>
          <w:rFonts w:hint="eastAsia" w:ascii="仿宋_GB2312" w:eastAsia="仿宋_GB2312"/>
          <w:color w:val="000000"/>
          <w:sz w:val="32"/>
          <w:szCs w:val="32"/>
        </w:rPr>
        <w:t>。其中：</w:t>
      </w:r>
    </w:p>
    <w:p>
      <w:pPr>
        <w:keepNext w:val="0"/>
        <w:keepLines w:val="0"/>
        <w:pageBreakBefore w:val="0"/>
        <w:tabs>
          <w:tab w:val="left" w:pos="840"/>
        </w:tabs>
        <w:kinsoku/>
        <w:wordWrap/>
        <w:overflowPunct/>
        <w:topLinePunct w:val="0"/>
        <w:bidi w:val="0"/>
        <w:spacing w:line="576" w:lineRule="exact"/>
        <w:ind w:firstLine="640"/>
        <w:textAlignment w:val="auto"/>
        <w:rPr>
          <w:rFonts w:hint="eastAsia"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0.1</w:t>
      </w:r>
      <w:r>
        <w:rPr>
          <w:rFonts w:hint="eastAsia" w:ascii="仿宋_GB2312" w:eastAsia="仿宋_GB2312"/>
          <w:color w:val="000000"/>
          <w:sz w:val="32"/>
          <w:szCs w:val="32"/>
        </w:rPr>
        <w:t>万元，主要用于开展业务检查</w:t>
      </w:r>
      <w:r>
        <w:rPr>
          <w:rFonts w:hint="eastAsia" w:ascii="仿宋_GB2312" w:eastAsia="仿宋_GB2312"/>
          <w:color w:val="000000"/>
          <w:sz w:val="32"/>
          <w:szCs w:val="32"/>
          <w:lang w:val="en-US" w:eastAsia="zh-CN"/>
        </w:rPr>
        <w:t>活动开支的餐费</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批次，</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人</w:t>
      </w:r>
      <w:r>
        <w:rPr>
          <w:rFonts w:hint="eastAsia" w:ascii="仿宋_GB2312" w:eastAsia="仿宋_GB2312"/>
          <w:color w:val="000000"/>
          <w:sz w:val="32"/>
          <w:szCs w:val="32"/>
        </w:rPr>
        <w:t>次（不包括陪同人员），共计支出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万元，具体内容包括：开展</w:t>
      </w:r>
      <w:r>
        <w:rPr>
          <w:rFonts w:hint="eastAsia" w:ascii="仿宋_GB2312" w:eastAsia="仿宋_GB2312"/>
          <w:color w:val="000000"/>
          <w:sz w:val="32"/>
          <w:szCs w:val="32"/>
          <w:lang w:val="en-US" w:eastAsia="zh-CN"/>
        </w:rPr>
        <w:t>社保基金工作经验交流</w:t>
      </w:r>
      <w:r>
        <w:rPr>
          <w:rFonts w:hint="eastAsia" w:ascii="仿宋_GB2312" w:eastAsia="仿宋_GB2312"/>
          <w:color w:val="000000"/>
          <w:sz w:val="32"/>
          <w:szCs w:val="32"/>
        </w:rPr>
        <w:t>等</w:t>
      </w:r>
      <w:r>
        <w:rPr>
          <w:rFonts w:hint="eastAsia" w:ascii="仿宋_GB2312" w:eastAsia="仿宋_GB2312"/>
          <w:color w:val="000000"/>
          <w:sz w:val="32"/>
          <w:szCs w:val="32"/>
          <w:lang w:val="en-US" w:eastAsia="zh-CN"/>
        </w:rPr>
        <w:t>工作</w:t>
      </w:r>
      <w:r>
        <w:rPr>
          <w:rFonts w:hint="eastAsia" w:ascii="仿宋_GB2312" w:eastAsia="仿宋_GB2312"/>
          <w:color w:val="000000"/>
          <w:sz w:val="32"/>
          <w:szCs w:val="32"/>
        </w:rPr>
        <w:t>。</w:t>
      </w:r>
    </w:p>
    <w:p>
      <w:pPr>
        <w:keepNext w:val="0"/>
        <w:keepLines w:val="0"/>
        <w:pageBreakBefore w:val="0"/>
        <w:kinsoku/>
        <w:wordWrap/>
        <w:overflowPunct/>
        <w:topLinePunct w:val="0"/>
        <w:bidi w:val="0"/>
        <w:spacing w:line="576" w:lineRule="exact"/>
        <w:ind w:firstLine="640"/>
        <w:textAlignment w:val="auto"/>
        <w:outlineLvl w:val="1"/>
        <w:rPr>
          <w:rStyle w:val="27"/>
          <w:rFonts w:ascii="黑体" w:eastAsia="黑体"/>
        </w:rPr>
      </w:pPr>
      <w:bookmarkStart w:id="82" w:name="_Toc79163622"/>
      <w:bookmarkStart w:id="83" w:name="_Toc79163872"/>
      <w:bookmarkStart w:id="84" w:name="_Toc15377218"/>
      <w:bookmarkStart w:id="85" w:name="_Toc15396610"/>
      <w:r>
        <w:rPr>
          <w:rFonts w:hint="eastAsia" w:ascii="黑体" w:eastAsia="黑体"/>
          <w:color w:val="000000"/>
          <w:sz w:val="32"/>
          <w:szCs w:val="32"/>
        </w:rPr>
        <w:t>八、</w:t>
      </w:r>
      <w:r>
        <w:rPr>
          <w:rStyle w:val="27"/>
          <w:rFonts w:hint="eastAsia" w:ascii="黑体" w:eastAsia="黑体"/>
          <w:b w:val="0"/>
        </w:rPr>
        <w:t>政府性基金预算支出决算情况说明</w:t>
      </w:r>
      <w:bookmarkEnd w:id="82"/>
      <w:bookmarkEnd w:id="83"/>
      <w:bookmarkEnd w:id="84"/>
      <w:bookmarkEnd w:id="85"/>
    </w:p>
    <w:p>
      <w:pPr>
        <w:keepNext w:val="0"/>
        <w:keepLines w:val="0"/>
        <w:pageBreakBefore w:val="0"/>
        <w:kinsoku/>
        <w:wordWrap/>
        <w:overflowPunct/>
        <w:topLinePunct w:val="0"/>
        <w:bidi w:val="0"/>
        <w:spacing w:line="576" w:lineRule="exact"/>
        <w:ind w:firstLine="640"/>
        <w:textAlignment w:val="auto"/>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numPr>
          <w:ilvl w:val="0"/>
          <w:numId w:val="2"/>
        </w:numPr>
        <w:kinsoku/>
        <w:wordWrap/>
        <w:overflowPunct/>
        <w:topLinePunct w:val="0"/>
        <w:bidi w:val="0"/>
        <w:spacing w:line="576" w:lineRule="exact"/>
        <w:ind w:left="0" w:firstLine="640"/>
        <w:textAlignment w:val="auto"/>
        <w:outlineLvl w:val="1"/>
        <w:rPr>
          <w:rStyle w:val="27"/>
          <w:rFonts w:ascii="黑体" w:eastAsia="黑体"/>
          <w:b w:val="0"/>
        </w:rPr>
      </w:pPr>
      <w:bookmarkStart w:id="86" w:name="_Toc79163873"/>
      <w:bookmarkStart w:id="87" w:name="_Toc15396611"/>
      <w:bookmarkStart w:id="88" w:name="_Toc79163623"/>
      <w:bookmarkStart w:id="89" w:name="_Toc15377219"/>
      <w:r>
        <w:rPr>
          <w:rStyle w:val="27"/>
          <w:rFonts w:hint="eastAsia" w:ascii="黑体" w:eastAsia="黑体"/>
          <w:b w:val="0"/>
        </w:rPr>
        <w:t>国有资本经营预算支出决算情况说明</w:t>
      </w:r>
      <w:bookmarkEnd w:id="86"/>
      <w:bookmarkEnd w:id="87"/>
      <w:bookmarkEnd w:id="88"/>
      <w:bookmarkEnd w:id="89"/>
    </w:p>
    <w:p>
      <w:pPr>
        <w:keepNext w:val="0"/>
        <w:keepLines w:val="0"/>
        <w:pageBreakBefore w:val="0"/>
        <w:kinsoku/>
        <w:wordWrap/>
        <w:overflowPunct/>
        <w:topLinePunct w:val="0"/>
        <w:bidi w:val="0"/>
        <w:spacing w:line="576" w:lineRule="exact"/>
        <w:ind w:firstLine="640"/>
        <w:textAlignment w:val="auto"/>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kinsoku/>
        <w:wordWrap/>
        <w:overflowPunct/>
        <w:topLinePunct w:val="0"/>
        <w:bidi w:val="0"/>
        <w:spacing w:line="576" w:lineRule="exact"/>
        <w:ind w:firstLine="640" w:firstLineChars="200"/>
        <w:textAlignment w:val="auto"/>
        <w:outlineLvl w:val="1"/>
        <w:rPr>
          <w:rStyle w:val="27"/>
          <w:rFonts w:ascii="黑体" w:eastAsia="黑体"/>
        </w:rPr>
      </w:pPr>
      <w:bookmarkStart w:id="90" w:name="_Toc79163624"/>
      <w:bookmarkStart w:id="91" w:name="_Toc15377221"/>
      <w:bookmarkStart w:id="92" w:name="_Toc79163874"/>
      <w:bookmarkStart w:id="93" w:name="_Toc15396612"/>
      <w:r>
        <w:rPr>
          <w:rFonts w:hint="eastAsia" w:ascii="黑体" w:eastAsia="黑体"/>
          <w:color w:val="000000"/>
          <w:sz w:val="32"/>
          <w:szCs w:val="32"/>
        </w:rPr>
        <w:t>十</w:t>
      </w:r>
      <w:r>
        <w:rPr>
          <w:rStyle w:val="27"/>
          <w:rFonts w:hint="eastAsia" w:ascii="黑体" w:eastAsia="黑体"/>
        </w:rPr>
        <w:t>、</w:t>
      </w:r>
      <w:r>
        <w:rPr>
          <w:rStyle w:val="27"/>
          <w:rFonts w:hint="eastAsia" w:ascii="黑体" w:eastAsia="黑体"/>
          <w:b w:val="0"/>
        </w:rPr>
        <w:t>其他重要事项的情况说明</w:t>
      </w:r>
      <w:bookmarkEnd w:id="90"/>
      <w:bookmarkEnd w:id="91"/>
      <w:bookmarkEnd w:id="92"/>
      <w:bookmarkEnd w:id="93"/>
    </w:p>
    <w:p>
      <w:pPr>
        <w:keepNext w:val="0"/>
        <w:keepLines w:val="0"/>
        <w:pageBreakBefore w:val="0"/>
        <w:kinsoku/>
        <w:wordWrap/>
        <w:overflowPunct/>
        <w:topLinePunct w:val="0"/>
        <w:bidi w:val="0"/>
        <w:spacing w:line="576" w:lineRule="exact"/>
        <w:ind w:firstLine="642" w:firstLineChars="200"/>
        <w:textAlignment w:val="auto"/>
        <w:outlineLvl w:val="2"/>
        <w:rPr>
          <w:rFonts w:hint="eastAsia" w:ascii="楷体" w:hAnsi="楷体" w:eastAsia="楷体" w:cs="楷体"/>
          <w:color w:val="000000"/>
          <w:sz w:val="32"/>
          <w:szCs w:val="32"/>
        </w:rPr>
      </w:pPr>
      <w:bookmarkStart w:id="94" w:name="_Toc79163875"/>
      <w:bookmarkStart w:id="95" w:name="_Toc79163625"/>
      <w:bookmarkStart w:id="96" w:name="_Toc15377222"/>
      <w:r>
        <w:rPr>
          <w:rFonts w:hint="eastAsia" w:ascii="楷体" w:hAnsi="楷体" w:eastAsia="楷体" w:cs="楷体"/>
          <w:b/>
          <w:color w:val="000000"/>
          <w:sz w:val="32"/>
          <w:szCs w:val="32"/>
        </w:rPr>
        <w:t>（一）机关运行经费支出情况</w:t>
      </w:r>
      <w:bookmarkEnd w:id="94"/>
      <w:bookmarkEnd w:id="95"/>
      <w:bookmarkEnd w:id="96"/>
    </w:p>
    <w:p>
      <w:pPr>
        <w:keepNext w:val="0"/>
        <w:keepLines w:val="0"/>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w:t>
      </w:r>
      <w:r>
        <w:rPr>
          <w:rFonts w:hint="eastAsia" w:ascii="仿宋_GB2312" w:hAnsi="仿宋_GB2312" w:eastAsia="仿宋_GB2312" w:cs="仿宋_GB2312"/>
          <w:color w:val="000000"/>
          <w:sz w:val="32"/>
          <w:szCs w:val="32"/>
          <w:lang w:val="en-US" w:eastAsia="zh-CN"/>
        </w:rPr>
        <w:t>我局</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szCs w:val="32"/>
          <w:lang w:val="en-US" w:eastAsia="zh-CN"/>
        </w:rPr>
        <w:t>5.78</w:t>
      </w:r>
      <w:r>
        <w:rPr>
          <w:rFonts w:hint="eastAsia" w:ascii="仿宋_GB2312" w:hAnsi="仿宋_GB2312" w:eastAsia="仿宋_GB2312" w:cs="仿宋_GB2312"/>
          <w:color w:val="000000"/>
          <w:sz w:val="32"/>
          <w:szCs w:val="32"/>
        </w:rPr>
        <w:t>万元，比2020年减少</w:t>
      </w:r>
      <w:r>
        <w:rPr>
          <w:rFonts w:hint="eastAsia" w:ascii="仿宋_GB2312" w:hAnsi="仿宋_GB2312" w:eastAsia="仿宋_GB2312" w:cs="仿宋_GB2312"/>
          <w:color w:val="000000"/>
          <w:sz w:val="32"/>
          <w:szCs w:val="32"/>
          <w:lang w:val="en-US" w:eastAsia="zh-CN"/>
        </w:rPr>
        <w:t>2.27</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28.20</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val="en-US" w:eastAsia="zh-CN"/>
        </w:rPr>
        <w:t>今年人员减少</w:t>
      </w:r>
      <w:r>
        <w:rPr>
          <w:rFonts w:hint="eastAsia" w:ascii="仿宋_GB2312" w:hAnsi="仿宋_GB2312" w:eastAsia="仿宋_GB2312" w:cs="仿宋_GB2312"/>
          <w:color w:val="000000"/>
          <w:sz w:val="32"/>
          <w:szCs w:val="32"/>
        </w:rPr>
        <w:t>。</w:t>
      </w:r>
    </w:p>
    <w:p>
      <w:pPr>
        <w:keepNext w:val="0"/>
        <w:keepLines w:val="0"/>
        <w:pageBreakBefore w:val="0"/>
        <w:kinsoku/>
        <w:wordWrap/>
        <w:overflowPunct/>
        <w:topLinePunct w:val="0"/>
        <w:autoSpaceDE w:val="0"/>
        <w:autoSpaceDN w:val="0"/>
        <w:bidi w:val="0"/>
        <w:adjustRightInd w:val="0"/>
        <w:spacing w:line="576" w:lineRule="exact"/>
        <w:ind w:firstLine="642" w:firstLineChars="200"/>
        <w:jc w:val="left"/>
        <w:textAlignment w:val="auto"/>
        <w:outlineLvl w:val="2"/>
        <w:rPr>
          <w:rFonts w:hint="eastAsia" w:ascii="楷体" w:hAnsi="楷体" w:eastAsia="楷体" w:cs="楷体"/>
          <w:b/>
          <w:color w:val="000000"/>
          <w:sz w:val="32"/>
          <w:szCs w:val="32"/>
        </w:rPr>
      </w:pPr>
      <w:bookmarkStart w:id="97" w:name="_Toc79163626"/>
      <w:bookmarkStart w:id="98" w:name="_Toc79163876"/>
      <w:bookmarkStart w:id="99" w:name="_Toc15377223"/>
      <w:r>
        <w:rPr>
          <w:rFonts w:hint="eastAsia" w:ascii="楷体" w:hAnsi="楷体" w:eastAsia="楷体" w:cs="楷体"/>
          <w:b/>
          <w:color w:val="000000"/>
          <w:sz w:val="32"/>
          <w:szCs w:val="32"/>
        </w:rPr>
        <w:t>（二）政府采购支出情况</w:t>
      </w:r>
      <w:bookmarkEnd w:id="97"/>
      <w:bookmarkEnd w:id="98"/>
      <w:bookmarkEnd w:id="99"/>
    </w:p>
    <w:p>
      <w:pPr>
        <w:keepNext w:val="0"/>
        <w:keepLines w:val="0"/>
        <w:pageBreakBefore w:val="0"/>
        <w:kinsoku/>
        <w:wordWrap/>
        <w:overflowPunct/>
        <w:topLinePunct w:val="0"/>
        <w:bidi w:val="0"/>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我局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2.43</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2.43</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机关办公使用</w:t>
      </w:r>
      <w:r>
        <w:rPr>
          <w:rFonts w:hint="eastAsia" w:ascii="仿宋_GB2312" w:eastAsia="仿宋_GB2312"/>
          <w:color w:val="000000"/>
          <w:sz w:val="32"/>
          <w:szCs w:val="32"/>
        </w:rPr>
        <w:t>。</w:t>
      </w:r>
    </w:p>
    <w:p>
      <w:pPr>
        <w:keepNext w:val="0"/>
        <w:keepLines w:val="0"/>
        <w:pageBreakBefore w:val="0"/>
        <w:kinsoku/>
        <w:wordWrap/>
        <w:overflowPunct/>
        <w:topLinePunct w:val="0"/>
        <w:autoSpaceDE w:val="0"/>
        <w:autoSpaceDN w:val="0"/>
        <w:bidi w:val="0"/>
        <w:adjustRightInd w:val="0"/>
        <w:spacing w:line="576" w:lineRule="exact"/>
        <w:ind w:firstLine="642" w:firstLineChars="200"/>
        <w:jc w:val="left"/>
        <w:textAlignment w:val="auto"/>
        <w:outlineLvl w:val="2"/>
        <w:rPr>
          <w:rFonts w:hint="eastAsia" w:ascii="楷体" w:hAnsi="楷体" w:eastAsia="楷体" w:cs="楷体"/>
          <w:b/>
          <w:color w:val="000000"/>
          <w:sz w:val="32"/>
          <w:szCs w:val="32"/>
        </w:rPr>
      </w:pPr>
      <w:bookmarkStart w:id="100" w:name="_Toc79163877"/>
      <w:bookmarkStart w:id="101" w:name="_Toc15377224"/>
      <w:bookmarkStart w:id="102" w:name="_Toc79163627"/>
      <w:r>
        <w:rPr>
          <w:rFonts w:hint="eastAsia" w:ascii="楷体" w:hAnsi="楷体" w:eastAsia="楷体" w:cs="楷体"/>
          <w:b/>
          <w:color w:val="000000"/>
          <w:sz w:val="32"/>
          <w:szCs w:val="32"/>
        </w:rPr>
        <w:t>（三）国有资产占有使用情况</w:t>
      </w:r>
      <w:bookmarkEnd w:id="100"/>
      <w:bookmarkEnd w:id="101"/>
      <w:bookmarkEnd w:id="102"/>
    </w:p>
    <w:p>
      <w:pPr>
        <w:keepNext w:val="0"/>
        <w:keepLines w:val="0"/>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我局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keepNext w:val="0"/>
        <w:keepLines w:val="0"/>
        <w:pageBreakBefore w:val="0"/>
        <w:kinsoku/>
        <w:wordWrap/>
        <w:overflowPunct/>
        <w:topLinePunct w:val="0"/>
        <w:autoSpaceDE w:val="0"/>
        <w:autoSpaceDN w:val="0"/>
        <w:bidi w:val="0"/>
        <w:adjustRightInd w:val="0"/>
        <w:spacing w:line="576" w:lineRule="exact"/>
        <w:ind w:firstLine="642" w:firstLineChars="200"/>
        <w:jc w:val="left"/>
        <w:textAlignment w:val="auto"/>
        <w:outlineLvl w:val="2"/>
        <w:rPr>
          <w:rFonts w:hint="eastAsia" w:ascii="楷体" w:hAnsi="楷体" w:eastAsia="楷体" w:cs="楷体"/>
          <w:b/>
          <w:color w:val="000000"/>
          <w:sz w:val="32"/>
          <w:szCs w:val="32"/>
        </w:rPr>
      </w:pPr>
      <w:bookmarkStart w:id="103" w:name="_Toc79163628"/>
      <w:bookmarkStart w:id="104" w:name="_Toc79163878"/>
      <w:r>
        <w:rPr>
          <w:rFonts w:hint="eastAsia" w:ascii="楷体" w:hAnsi="楷体" w:eastAsia="楷体" w:cs="楷体"/>
          <w:b/>
          <w:color w:val="000000"/>
          <w:sz w:val="32"/>
          <w:szCs w:val="32"/>
        </w:rPr>
        <w:t>（四）预算绩效管理情况。</w:t>
      </w:r>
      <w:bookmarkEnd w:id="103"/>
      <w:bookmarkEnd w:id="104"/>
    </w:p>
    <w:p>
      <w:pPr>
        <w:keepNext w:val="0"/>
        <w:keepLines w:val="0"/>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val="en-US" w:eastAsia="zh-CN"/>
        </w:rPr>
        <w:t>我局</w:t>
      </w:r>
      <w:r>
        <w:rPr>
          <w:rFonts w:hint="eastAsia" w:ascii="仿宋_GB2312" w:hAnsi="仿宋_GB2312" w:eastAsia="仿宋_GB2312" w:cs="仿宋_GB2312"/>
          <w:sz w:val="32"/>
          <w:szCs w:val="32"/>
        </w:rPr>
        <w:t>按要求对2021年部门整体支出开展绩效自评，从评价情况来看，我局202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年部门整体支出情况良好，资金收入、支出管理均严格按照相关要求进行，全年收支平衡，</w:t>
      </w:r>
      <w:r>
        <w:rPr>
          <w:rFonts w:hint="eastAsia" w:ascii="仿宋_GB2312" w:hAnsi="仿宋_GB2312" w:eastAsia="仿宋_GB2312" w:cs="仿宋_GB2312"/>
          <w:sz w:val="32"/>
          <w:szCs w:val="32"/>
          <w:lang w:val="zh-CN"/>
        </w:rPr>
        <w:t>达到了预算设定的绩效目标，</w:t>
      </w:r>
      <w:r>
        <w:rPr>
          <w:rFonts w:hint="eastAsia" w:ascii="仿宋_GB2312" w:hAnsi="仿宋_GB2312" w:eastAsia="仿宋_GB2312" w:cs="仿宋_GB2312"/>
          <w:sz w:val="32"/>
          <w:szCs w:val="32"/>
        </w:rPr>
        <w:t>有效保障了单位正常运转，圆满完成了单位目标任务。</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我局</w:t>
      </w:r>
      <w:r>
        <w:rPr>
          <w:rFonts w:hint="eastAsia" w:ascii="仿宋_GB2312" w:hAnsi="仿宋_GB2312" w:eastAsia="仿宋_GB2312" w:cs="仿宋_GB2312"/>
          <w:sz w:val="32"/>
          <w:szCs w:val="32"/>
        </w:rPr>
        <w:t>按要求对20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年部门整体支出绩效评价情况开展自评，《茂县社会保险事业管理局20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snapToGrid/>
        <w:spacing w:line="576" w:lineRule="exact"/>
        <w:jc w:val="left"/>
        <w:textAlignment w:val="auto"/>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left="0" w:firstLine="660" w:firstLineChars="150"/>
        <w:jc w:val="center"/>
        <w:outlineLvl w:val="0"/>
        <w:rPr>
          <w:rStyle w:val="26"/>
          <w:rFonts w:ascii="黑体" w:eastAsia="黑体"/>
          <w:b w:val="0"/>
        </w:rPr>
      </w:pPr>
      <w:bookmarkStart w:id="105" w:name="_Toc79163879"/>
      <w:bookmarkStart w:id="106" w:name="_Toc79163629"/>
      <w:bookmarkStart w:id="107" w:name="_Toc15377225"/>
      <w:bookmarkStart w:id="108" w:name="_Toc15396613"/>
      <w:r>
        <w:rPr>
          <w:rFonts w:hint="eastAsia" w:ascii="黑体" w:eastAsia="黑体"/>
          <w:color w:val="000000"/>
          <w:sz w:val="44"/>
          <w:szCs w:val="44"/>
        </w:rPr>
        <w:t>名</w:t>
      </w:r>
      <w:r>
        <w:rPr>
          <w:rStyle w:val="26"/>
          <w:rFonts w:hint="eastAsia" w:asci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5.使用非财政拨款结余：指事业单位使用以前年度积累的非财政拨款结余弥补当年收支差额的金额。 </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9.社会保障和就业</w:t>
      </w:r>
      <w:r>
        <w:rPr>
          <w:rFonts w:hint="eastAsia" w:ascii="仿宋_GB2312" w:eastAsia="仿宋_GB2312"/>
          <w:sz w:val="32"/>
          <w:szCs w:val="32"/>
          <w:lang w:val="en-US" w:eastAsia="zh-CN"/>
        </w:rPr>
        <w:t>支出</w:t>
      </w:r>
      <w:r>
        <w:rPr>
          <w:rFonts w:hint="eastAsia" w:ascii="仿宋_GB2312" w:eastAsia="仿宋_GB2312"/>
          <w:sz w:val="32"/>
          <w:szCs w:val="32"/>
        </w:rPr>
        <w:t>(类) 人力资源和社会保障管理事务(款)行政运行（项）：</w:t>
      </w:r>
      <w:r>
        <w:rPr>
          <w:rFonts w:hint="eastAsia" w:ascii="仿宋_GB2312" w:eastAsia="仿宋_GB2312"/>
          <w:sz w:val="32"/>
          <w:szCs w:val="32"/>
          <w:lang w:val="en-US" w:eastAsia="zh-CN"/>
        </w:rPr>
        <w:t>指</w:t>
      </w:r>
      <w:r>
        <w:rPr>
          <w:rFonts w:hint="eastAsia" w:ascii="仿宋_GB2312" w:eastAsia="仿宋_GB2312"/>
          <w:sz w:val="32"/>
          <w:szCs w:val="32"/>
        </w:rPr>
        <w:t>机关单位用于保障机构正常运行、开展日常工作的基本支出。</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10.社会保障和就业</w:t>
      </w:r>
      <w:r>
        <w:rPr>
          <w:rFonts w:hint="eastAsia" w:ascii="仿宋_GB2312" w:eastAsia="仿宋_GB2312"/>
          <w:sz w:val="32"/>
          <w:szCs w:val="32"/>
          <w:lang w:val="en-US" w:eastAsia="zh-CN"/>
        </w:rPr>
        <w:t>支出</w:t>
      </w:r>
      <w:r>
        <w:rPr>
          <w:rFonts w:hint="eastAsia" w:ascii="仿宋_GB2312" w:eastAsia="仿宋_GB2312"/>
          <w:sz w:val="32"/>
          <w:szCs w:val="32"/>
        </w:rPr>
        <w:t>(类) 人力资源和社会保障管理事务(款)社会保险经办机构（项）：指社会保险经办机构开展业务工作的支出。</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11.</w:t>
      </w:r>
      <w:r>
        <w:rPr>
          <w:rFonts w:hint="eastAsia" w:ascii="仿宋_GB2312" w:eastAsia="仿宋_GB2312"/>
          <w:sz w:val="32"/>
          <w:szCs w:val="32"/>
        </w:rPr>
        <w:t>社会保障和就业</w:t>
      </w:r>
      <w:r>
        <w:rPr>
          <w:rFonts w:hint="eastAsia" w:ascii="仿宋_GB2312" w:eastAsia="仿宋_GB2312"/>
          <w:sz w:val="32"/>
          <w:szCs w:val="32"/>
          <w:lang w:val="en-US" w:eastAsia="zh-CN"/>
        </w:rPr>
        <w:t>支出</w:t>
      </w:r>
      <w:r>
        <w:rPr>
          <w:rFonts w:hint="eastAsia" w:ascii="仿宋_GB2312" w:eastAsia="仿宋_GB2312"/>
          <w:sz w:val="32"/>
          <w:szCs w:val="32"/>
        </w:rPr>
        <w:t>(类) 人力资源和社会保障管理事务(款)</w:t>
      </w:r>
      <w:r>
        <w:rPr>
          <w:rFonts w:hint="eastAsia" w:ascii="仿宋_GB2312" w:eastAsia="仿宋_GB2312"/>
          <w:sz w:val="32"/>
          <w:szCs w:val="32"/>
          <w:lang w:val="en-US" w:eastAsia="zh-CN"/>
        </w:rPr>
        <w:t>其他人力资源和社会保障管理事务支出</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lang w:val="en-US" w:eastAsia="zh-CN"/>
        </w:rPr>
        <w:t>指用于其他其他人力资源和社会保障管理事务方面支出。</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2</w:t>
      </w:r>
      <w:r>
        <w:rPr>
          <w:rFonts w:hint="eastAsia" w:ascii="仿宋_GB2312" w:eastAsia="仿宋_GB2312"/>
          <w:sz w:val="32"/>
          <w:szCs w:val="32"/>
        </w:rPr>
        <w:t>.社会保障和就业</w:t>
      </w:r>
      <w:r>
        <w:rPr>
          <w:rFonts w:hint="eastAsia" w:ascii="仿宋_GB2312" w:eastAsia="仿宋_GB2312"/>
          <w:sz w:val="32"/>
          <w:szCs w:val="32"/>
          <w:lang w:val="en-US" w:eastAsia="zh-CN"/>
        </w:rPr>
        <w:t>支出</w:t>
      </w:r>
      <w:r>
        <w:rPr>
          <w:rFonts w:hint="eastAsia" w:ascii="仿宋_GB2312" w:eastAsia="仿宋_GB2312"/>
          <w:sz w:val="32"/>
          <w:szCs w:val="32"/>
        </w:rPr>
        <w:t>(类)行政事业单位养老支出(款) 机关事业单位基本养老保险缴费支出（项）：指机关事业单位实施养老保险制度由单位缴纳的基本养老保险费支出。</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3.</w:t>
      </w:r>
      <w:r>
        <w:rPr>
          <w:rFonts w:hint="eastAsia" w:ascii="仿宋_GB2312" w:eastAsia="仿宋_GB2312"/>
          <w:sz w:val="32"/>
          <w:szCs w:val="32"/>
        </w:rPr>
        <w:t>社会保障和就业支出（类）行政事业单位养老支出（款）机关事业单位职业年金缴费支出（项）</w:t>
      </w:r>
      <w:r>
        <w:rPr>
          <w:rFonts w:hint="eastAsia" w:ascii="仿宋_GB2312" w:eastAsia="仿宋_GB2312"/>
          <w:sz w:val="32"/>
          <w:szCs w:val="32"/>
          <w:lang w:eastAsia="zh-CN"/>
        </w:rPr>
        <w:t>：</w:t>
      </w:r>
      <w:r>
        <w:rPr>
          <w:rFonts w:hint="eastAsia" w:ascii="仿宋_GB2312" w:eastAsia="仿宋_GB2312"/>
          <w:sz w:val="32"/>
          <w:szCs w:val="32"/>
        </w:rPr>
        <w:t>指机关事业单位养老保险制度由单位缴纳的职业年金支出。</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olor w:val="0000FF"/>
          <w:sz w:val="32"/>
          <w:szCs w:val="32"/>
        </w:rPr>
      </w:pPr>
      <w:r>
        <w:rPr>
          <w:rFonts w:hint="eastAsia" w:ascii="仿宋_GB2312" w:eastAsia="仿宋_GB2312"/>
          <w:sz w:val="32"/>
          <w:szCs w:val="32"/>
        </w:rPr>
        <w:t>1</w:t>
      </w:r>
      <w:r>
        <w:rPr>
          <w:rFonts w:hint="eastAsia" w:ascii="仿宋_GB2312" w:eastAsia="仿宋_GB2312"/>
          <w:sz w:val="32"/>
          <w:szCs w:val="32"/>
          <w:lang w:val="en-US" w:eastAsia="zh-CN"/>
        </w:rPr>
        <w:t>4</w:t>
      </w:r>
      <w:r>
        <w:rPr>
          <w:rFonts w:hint="eastAsia" w:ascii="仿宋_GB2312" w:eastAsia="仿宋_GB2312"/>
          <w:sz w:val="32"/>
          <w:szCs w:val="32"/>
        </w:rPr>
        <w:t>.卫生健康支出（类）行政事业单位医疗（款）行政单位医疗（项）：指财政部门集中安排的行政单位基本医疗保险缴费。</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1</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.农林水（类）</w:t>
      </w:r>
      <w:r>
        <w:rPr>
          <w:rFonts w:hint="eastAsia" w:ascii="仿宋_GB2312" w:eastAsia="仿宋_GB2312"/>
          <w:color w:val="auto"/>
          <w:sz w:val="32"/>
          <w:szCs w:val="32"/>
          <w:lang w:val="en-US" w:eastAsia="zh-CN"/>
        </w:rPr>
        <w:t>扶贫</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其他扶贫支出</w:t>
      </w:r>
      <w:r>
        <w:rPr>
          <w:rFonts w:hint="eastAsia" w:ascii="仿宋_GB2312" w:eastAsia="仿宋_GB2312"/>
          <w:color w:val="auto"/>
          <w:sz w:val="32"/>
          <w:szCs w:val="32"/>
        </w:rPr>
        <w:t>（项）：指用于扶贫方面的支出。</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6.</w:t>
      </w:r>
      <w:r>
        <w:rPr>
          <w:rFonts w:hint="eastAsia" w:ascii="仿宋_GB2312" w:eastAsia="仿宋_GB2312"/>
          <w:sz w:val="32"/>
          <w:szCs w:val="32"/>
        </w:rPr>
        <w:t>住房保障支出（类）住房改革支出（款）住房公积金（项）：指行政事业单位按规定的标准和比例为职工缴纳的住房公积金。</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17</w:t>
      </w:r>
      <w:r>
        <w:rPr>
          <w:rFonts w:hint="eastAsia" w:ascii="仿宋_GB2312" w:eastAsia="仿宋_GB2312"/>
          <w:sz w:val="32"/>
          <w:szCs w:val="32"/>
        </w:rPr>
        <w:t>.基本支出：指为保障机构正常运转、完成日常工作任务而发生的人员支出和公用支出。</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18</w:t>
      </w:r>
      <w:r>
        <w:rPr>
          <w:rFonts w:hint="eastAsia" w:ascii="仿宋_GB2312" w:eastAsia="仿宋_GB2312"/>
          <w:sz w:val="32"/>
          <w:szCs w:val="32"/>
        </w:rPr>
        <w:t xml:space="preserve">.项目支出：指在基本支出之外为完成特定行政任务和事业发展目标所发生的支出。 </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19</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20</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bookmarkStart w:id="109" w:name="_Toc79163630"/>
      <w:bookmarkStart w:id="110" w:name="_Toc15396614"/>
      <w:bookmarkStart w:id="111" w:name="_Toc79163880"/>
      <w:bookmarkStart w:id="112" w:name="_Toc15377226"/>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p>
    <w:p>
      <w:pPr>
        <w:pStyle w:val="31"/>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rPr>
      </w:pPr>
    </w:p>
    <w:p>
      <w:pPr>
        <w:pStyle w:val="31"/>
        <w:spacing w:line="560" w:lineRule="exact"/>
        <w:ind w:firstLine="640" w:firstLineChars="200"/>
        <w:rPr>
          <w:rFonts w:hint="eastAsia" w:ascii="仿宋_GB2312" w:eastAsia="仿宋_GB2312"/>
          <w:sz w:val="32"/>
          <w:szCs w:val="32"/>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26"/>
          <w:rFonts w:ascii="黑体" w:eastAsia="黑体"/>
          <w:b w:val="0"/>
        </w:rPr>
      </w:pPr>
      <w:r>
        <w:rPr>
          <w:rFonts w:hint="eastAsia" w:ascii="黑体" w:eastAsia="黑体"/>
          <w:color w:val="000000"/>
          <w:sz w:val="44"/>
          <w:szCs w:val="44"/>
        </w:rPr>
        <w:t>第</w:t>
      </w:r>
      <w:r>
        <w:rPr>
          <w:rStyle w:val="26"/>
          <w:rFonts w:hint="eastAsia" w:ascii="黑体" w:eastAsia="黑体"/>
          <w:b w:val="0"/>
        </w:rPr>
        <w:t>四部分</w:t>
      </w:r>
      <w:r>
        <w:rPr>
          <w:rStyle w:val="26"/>
          <w:rFonts w:ascii="黑体" w:eastAsia="黑体"/>
          <w:b w:val="0"/>
        </w:rPr>
        <w:t xml:space="preserve"> </w:t>
      </w:r>
      <w:r>
        <w:rPr>
          <w:rStyle w:val="26"/>
          <w:rFonts w:hint="eastAsia" w:ascii="黑体" w:eastAsia="黑体"/>
          <w:b w:val="0"/>
        </w:rPr>
        <w:t>附件</w:t>
      </w:r>
      <w:bookmarkEnd w:id="109"/>
      <w:bookmarkEnd w:id="110"/>
      <w:bookmarkEnd w:id="111"/>
    </w:p>
    <w:p>
      <w:pPr>
        <w:spacing w:line="600" w:lineRule="exact"/>
        <w:jc w:val="left"/>
        <w:outlineLvl w:val="0"/>
        <w:rPr>
          <w:rFonts w:ascii="方正小标宋简体" w:eastAsia="方正小标宋简体" w:cs="方正小标宋简体"/>
          <w:sz w:val="32"/>
          <w:szCs w:val="32"/>
        </w:rPr>
      </w:pPr>
      <w:bookmarkStart w:id="113" w:name="_Toc79163631"/>
      <w:bookmarkStart w:id="114" w:name="_Toc79163881"/>
      <w:r>
        <w:rPr>
          <w:rFonts w:hint="eastAsia" w:ascii="黑体" w:eastAsia="黑体" w:cs="黑体"/>
          <w:sz w:val="32"/>
          <w:szCs w:val="32"/>
        </w:rPr>
        <w:t>附件</w:t>
      </w:r>
      <w:r>
        <w:rPr>
          <w:rFonts w:ascii="黑体" w:eastAsia="黑体" w:cs="黑体"/>
          <w:sz w:val="32"/>
          <w:szCs w:val="32"/>
        </w:rPr>
        <w:t>1</w:t>
      </w:r>
      <w:bookmarkEnd w:id="113"/>
      <w:bookmarkEnd w:id="114"/>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hint="eastAsia" w:ascii="方正小标宋简体" w:eastAsia="方正小标宋简体" w:cs="黑体"/>
          <w:sz w:val="44"/>
          <w:szCs w:val="44"/>
          <w:lang w:val="en-US" w:eastAsia="zh-CN"/>
        </w:rPr>
      </w:pPr>
      <w:r>
        <w:rPr>
          <w:rFonts w:hint="eastAsia" w:ascii="方正小标宋简体" w:eastAsia="方正小标宋简体" w:cs="黑体"/>
          <w:sz w:val="44"/>
          <w:szCs w:val="44"/>
          <w:lang w:val="en-US" w:eastAsia="zh-CN"/>
        </w:rPr>
        <w:t>茂县社会保险事业管理局</w:t>
      </w:r>
    </w:p>
    <w:p>
      <w:pPr>
        <w:spacing w:line="600" w:lineRule="exact"/>
        <w:jc w:val="center"/>
        <w:outlineLvl w:val="0"/>
        <w:rPr>
          <w:rFonts w:hint="eastAsia" w:ascii="方正小标宋简体" w:eastAsia="方正小标宋简体" w:cs="黑体"/>
          <w:sz w:val="44"/>
          <w:szCs w:val="44"/>
        </w:rPr>
      </w:pPr>
      <w:r>
        <w:rPr>
          <w:rFonts w:hint="eastAsia" w:ascii="方正小标宋简体" w:eastAsia="方正小标宋简体" w:cs="黑体"/>
          <w:sz w:val="44"/>
          <w:szCs w:val="44"/>
        </w:rPr>
        <w:t>202</w:t>
      </w:r>
      <w:r>
        <w:rPr>
          <w:rFonts w:hint="eastAsia" w:ascii="方正小标宋简体" w:eastAsia="方正小标宋简体" w:cs="黑体"/>
          <w:sz w:val="44"/>
          <w:szCs w:val="44"/>
          <w:lang w:val="en-US" w:eastAsia="zh-CN"/>
        </w:rPr>
        <w:t>1</w:t>
      </w:r>
      <w:r>
        <w:rPr>
          <w:rFonts w:hint="eastAsia" w:ascii="方正小标宋简体" w:eastAsia="方正小标宋简体" w:cs="黑体"/>
          <w:sz w:val="44"/>
          <w:szCs w:val="44"/>
        </w:rPr>
        <w:t>年部门整体支出绩效评价报告</w:t>
      </w:r>
    </w:p>
    <w:p>
      <w:pPr>
        <w:spacing w:line="600" w:lineRule="exact"/>
        <w:jc w:val="center"/>
        <w:outlineLvl w:val="0"/>
        <w:rPr>
          <w:rFonts w:hint="eastAsia" w:ascii="方正小标宋简体" w:eastAsia="方正小标宋简体" w:cs="黑体"/>
          <w:sz w:val="44"/>
          <w:szCs w:val="44"/>
        </w:rPr>
      </w:pPr>
    </w:p>
    <w:p>
      <w:pPr>
        <w:keepNext w:val="0"/>
        <w:keepLines w:val="0"/>
        <w:pageBreakBefore w:val="0"/>
        <w:widowControl/>
        <w:kinsoku/>
        <w:wordWrap/>
        <w:overflowPunct/>
        <w:topLinePunct w:val="0"/>
        <w:autoSpaceDE/>
        <w:autoSpaceDN/>
        <w:bidi w:val="0"/>
        <w:adjustRightInd w:val="0"/>
        <w:snapToGrid w:val="0"/>
        <w:spacing w:line="576" w:lineRule="exact"/>
        <w:contextualSpacing/>
        <w:jc w:val="left"/>
        <w:textAlignment w:val="auto"/>
        <w:rPr>
          <w:rFonts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rPr>
        <w:t>一、</w:t>
      </w:r>
      <w:r>
        <w:rPr>
          <w:rFonts w:hint="eastAsia" w:ascii="黑体" w:hAnsi="黑体" w:eastAsia="黑体" w:cs="宋体"/>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keepNext w:val="0"/>
        <w:keepLines w:val="0"/>
        <w:pageBreakBefore w:val="0"/>
        <w:kinsoku/>
        <w:wordWrap/>
        <w:overflowPunct/>
        <w:topLinePunct w:val="0"/>
        <w:autoSpaceDE/>
        <w:autoSpaceDN/>
        <w:bidi w:val="0"/>
        <w:spacing w:line="576" w:lineRule="exact"/>
        <w:ind w:right="-342" w:rightChars="-163"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茂县社会保险事业管理局是县政府综合管理全县社会保险工作的职能部门，承担政府职能的管理机构，为副科级财政全额拨款的（参公）事业单位。局内设“五股一室”，即办公室、财务股、机关事业单位养老保险股、职业年金股、退管股、社会保险统一征收股。</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（二）机构职能</w:t>
      </w:r>
    </w:p>
    <w:p>
      <w:pPr>
        <w:pStyle w:val="8"/>
        <w:keepNext w:val="0"/>
        <w:keepLines w:val="0"/>
        <w:pageBreakBefore w:val="0"/>
        <w:kinsoku/>
        <w:wordWrap/>
        <w:overflowPunct/>
        <w:topLinePunct w:val="0"/>
        <w:autoSpaceDE/>
        <w:autoSpaceDN/>
        <w:bidi w:val="0"/>
        <w:adjustRightInd w:val="0"/>
        <w:snapToGrid w:val="0"/>
        <w:spacing w:beforeLines="0" w:line="576" w:lineRule="exact"/>
        <w:ind w:firstLine="672" w:firstLineChars="210"/>
        <w:textAlignment w:val="auto"/>
        <w:outlineLvl w:val="2"/>
        <w:rPr>
          <w:rFonts w:hint="eastAsia" w:ascii="仿宋" w:hAnsi="仿宋" w:eastAsia="仿宋" w:cs="仿宋"/>
          <w:bCs/>
          <w:color w:val="000000"/>
          <w:sz w:val="32"/>
          <w:szCs w:val="32"/>
        </w:rPr>
      </w:pPr>
      <w:r>
        <w:rPr>
          <w:rFonts w:hint="eastAsia" w:ascii="仿宋" w:hAnsi="仿宋" w:eastAsia="仿宋" w:cs="仿宋"/>
          <w:kern w:val="2"/>
          <w:sz w:val="32"/>
          <w:szCs w:val="32"/>
          <w:lang w:val="en-US" w:eastAsia="zh-CN" w:bidi="ar-SA"/>
        </w:rPr>
        <w:t>贯彻执行国家、省、州有关社会保险政策和法律、法规，负责全县企业基本养老保险、机关事业养老保险、职业年金、工伤保险等社会保险工作。</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（三）人员概况</w:t>
      </w:r>
    </w:p>
    <w:p>
      <w:pPr>
        <w:keepNext w:val="0"/>
        <w:keepLines w:val="0"/>
        <w:pageBreakBefore w:val="0"/>
        <w:tabs>
          <w:tab w:val="left" w:pos="284"/>
        </w:tabs>
        <w:kinsoku/>
        <w:wordWrap/>
        <w:overflowPunct/>
        <w:topLinePunct w:val="0"/>
        <w:autoSpaceDE/>
        <w:autoSpaceDN/>
        <w:bidi w:val="0"/>
        <w:spacing w:line="576" w:lineRule="exact"/>
        <w:ind w:right="-340" w:rightChars="-162"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我局为财政全额拨款的一级预算副科级参公事业单位，核定参公编制2</w:t>
      </w:r>
      <w:r>
        <w:rPr>
          <w:rFonts w:hint="eastAsia" w:ascii="仿宋" w:hAnsi="仿宋" w:eastAsia="仿宋" w:cs="仿宋"/>
          <w:sz w:val="32"/>
          <w:szCs w:val="32"/>
          <w:lang w:val="en-US" w:eastAsia="zh-CN"/>
        </w:rPr>
        <w:t>2</w:t>
      </w:r>
      <w:r>
        <w:rPr>
          <w:rFonts w:hint="eastAsia" w:ascii="仿宋" w:hAnsi="仿宋" w:eastAsia="仿宋" w:cs="仿宋"/>
          <w:sz w:val="32"/>
          <w:szCs w:val="32"/>
        </w:rPr>
        <w:t>人。单位内设1名局长，1名副局长；20</w:t>
      </w:r>
      <w:r>
        <w:rPr>
          <w:rFonts w:hint="eastAsia" w:ascii="仿宋" w:hAnsi="仿宋" w:eastAsia="仿宋" w:cs="仿宋"/>
          <w:sz w:val="32"/>
          <w:szCs w:val="32"/>
          <w:lang w:val="en-US" w:eastAsia="zh-CN"/>
        </w:rPr>
        <w:t>21</w:t>
      </w:r>
      <w:r>
        <w:rPr>
          <w:rFonts w:hint="eastAsia" w:ascii="仿宋" w:hAnsi="仿宋" w:eastAsia="仿宋" w:cs="仿宋"/>
          <w:sz w:val="32"/>
          <w:szCs w:val="32"/>
        </w:rPr>
        <w:t>年实有在职人员</w:t>
      </w:r>
      <w:r>
        <w:rPr>
          <w:rFonts w:hint="eastAsia" w:ascii="仿宋" w:hAnsi="仿宋" w:eastAsia="仿宋" w:cs="仿宋"/>
          <w:sz w:val="32"/>
          <w:szCs w:val="32"/>
          <w:lang w:val="en-US" w:eastAsia="zh-CN"/>
        </w:rPr>
        <w:t>15</w:t>
      </w:r>
      <w:r>
        <w:rPr>
          <w:rFonts w:hint="eastAsia" w:ascii="仿宋" w:hAnsi="仿宋" w:eastAsia="仿宋" w:cs="仿宋"/>
          <w:sz w:val="32"/>
          <w:szCs w:val="32"/>
        </w:rPr>
        <w:t>人，退休人员</w:t>
      </w:r>
      <w:r>
        <w:rPr>
          <w:rFonts w:hint="eastAsia" w:ascii="仿宋" w:hAnsi="仿宋" w:eastAsia="仿宋" w:cs="仿宋"/>
          <w:sz w:val="32"/>
          <w:szCs w:val="32"/>
          <w:lang w:val="en-US" w:eastAsia="zh-CN"/>
        </w:rPr>
        <w:t>7</w:t>
      </w:r>
      <w:r>
        <w:rPr>
          <w:rFonts w:hint="eastAsia" w:ascii="仿宋" w:hAnsi="仿宋" w:eastAsia="仿宋" w:cs="仿宋"/>
          <w:sz w:val="32"/>
          <w:szCs w:val="32"/>
        </w:rPr>
        <w:t>人。</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年预算总收入</w:t>
      </w:r>
      <w:r>
        <w:rPr>
          <w:rFonts w:hint="eastAsia" w:ascii="仿宋_GB2312" w:hAnsi="仿宋_GB2312" w:eastAsia="仿宋_GB2312" w:cs="仿宋_GB2312"/>
          <w:color w:val="000000"/>
          <w:sz w:val="32"/>
          <w:szCs w:val="32"/>
        </w:rPr>
        <w:t>375.04</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color w:val="000000"/>
          <w:sz w:val="32"/>
          <w:szCs w:val="32"/>
        </w:rPr>
        <w:t>375.04</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（二）部门财政资金支出情况</w:t>
      </w:r>
    </w:p>
    <w:p>
      <w:pPr>
        <w:keepNext w:val="0"/>
        <w:keepLines w:val="0"/>
        <w:pageBreakBefore w:val="0"/>
        <w:widowControl/>
        <w:suppressLineNumbers w:val="0"/>
        <w:kinsoku/>
        <w:wordWrap/>
        <w:overflowPunct/>
        <w:topLinePunct w:val="0"/>
        <w:autoSpaceDE/>
        <w:autoSpaceDN/>
        <w:bidi w:val="0"/>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年我局预算总支出</w:t>
      </w:r>
      <w:r>
        <w:rPr>
          <w:rFonts w:hint="eastAsia" w:ascii="仿宋_GB2312" w:hAnsi="仿宋_GB2312" w:eastAsia="仿宋_GB2312" w:cs="仿宋_GB2312"/>
          <w:color w:val="000000"/>
          <w:sz w:val="32"/>
          <w:szCs w:val="32"/>
        </w:rPr>
        <w:t>375.04</w:t>
      </w:r>
      <w:r>
        <w:rPr>
          <w:rFonts w:hint="eastAsia" w:ascii="仿宋_GB2312" w:hAnsi="仿宋_GB2312" w:eastAsia="仿宋_GB2312" w:cs="仿宋_GB2312"/>
          <w:sz w:val="32"/>
          <w:szCs w:val="32"/>
        </w:rPr>
        <w:t>万元，按支出功能分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color w:val="000000"/>
          <w:sz w:val="32"/>
          <w:szCs w:val="32"/>
        </w:rPr>
        <w:t>340.85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卫生健康</w:t>
      </w:r>
      <w:r>
        <w:rPr>
          <w:rFonts w:hint="eastAsia" w:ascii="仿宋_GB2312" w:hAnsi="仿宋_GB2312" w:eastAsia="仿宋_GB2312" w:cs="仿宋_GB2312"/>
          <w:sz w:val="32"/>
          <w:szCs w:val="32"/>
        </w:rPr>
        <w:t>支出</w:t>
      </w:r>
      <w:r>
        <w:rPr>
          <w:rFonts w:hint="eastAsia" w:ascii="仿宋_GB2312" w:hAnsi="仿宋_GB2312" w:eastAsia="仿宋_GB2312" w:cs="仿宋_GB2312"/>
          <w:color w:val="000000"/>
          <w:sz w:val="32"/>
          <w:szCs w:val="32"/>
        </w:rPr>
        <w:t>14.01</w:t>
      </w:r>
      <w:r>
        <w:rPr>
          <w:rFonts w:hint="eastAsia" w:ascii="仿宋_GB2312" w:hAnsi="仿宋_GB2312" w:eastAsia="仿宋_GB2312" w:cs="仿宋_GB2312"/>
          <w:sz w:val="32"/>
          <w:szCs w:val="32"/>
        </w:rPr>
        <w:t>万元，农林水支出为0.93万元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color w:val="000000"/>
          <w:sz w:val="32"/>
          <w:szCs w:val="32"/>
        </w:rPr>
        <w:t>19.25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黑体" w:hAnsi="黑体" w:eastAsia="黑体" w:cs="黑体"/>
          <w:b w:val="0"/>
          <w:bCs w:val="0"/>
          <w:color w:val="000000"/>
          <w:kern w:val="0"/>
          <w:sz w:val="32"/>
          <w:szCs w:val="32"/>
          <w:shd w:val="clear" w:color="auto" w:fill="FFFFFF"/>
        </w:rPr>
      </w:pPr>
      <w:r>
        <w:rPr>
          <w:rFonts w:hint="eastAsia" w:ascii="黑体" w:hAnsi="黑体" w:eastAsia="黑体" w:cs="黑体"/>
          <w:b w:val="0"/>
          <w:bCs w:val="0"/>
          <w:color w:val="000000"/>
          <w:kern w:val="0"/>
          <w:sz w:val="32"/>
          <w:szCs w:val="32"/>
          <w:shd w:val="clear" w:color="auto" w:fill="FFFFFF"/>
        </w:rPr>
        <w:t>三、部门整体预算绩效管理情况</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w:t>
      </w:r>
      <w:r>
        <w:rPr>
          <w:rFonts w:hint="eastAsia" w:ascii="楷体" w:hAnsi="楷体" w:eastAsia="楷体" w:cs="楷体"/>
          <w:b/>
          <w:bCs/>
          <w:color w:val="000000"/>
          <w:kern w:val="0"/>
          <w:sz w:val="32"/>
          <w:szCs w:val="32"/>
          <w:lang w:val="zh-CN"/>
        </w:rPr>
        <w:t>预</w:t>
      </w:r>
      <w:r>
        <w:rPr>
          <w:rFonts w:hint="eastAsia" w:ascii="楷体" w:hAnsi="楷体" w:eastAsia="楷体" w:cs="楷体"/>
          <w:b/>
          <w:bCs/>
          <w:color w:val="000000"/>
          <w:kern w:val="0"/>
          <w:sz w:val="32"/>
          <w:szCs w:val="32"/>
          <w:lang w:val="en-US" w:eastAsia="zh-CN"/>
        </w:rPr>
        <w:t>决</w:t>
      </w:r>
      <w:r>
        <w:rPr>
          <w:rFonts w:hint="eastAsia" w:ascii="楷体" w:hAnsi="楷体" w:eastAsia="楷体" w:cs="楷体"/>
          <w:b/>
          <w:bCs/>
          <w:color w:val="000000"/>
          <w:kern w:val="0"/>
          <w:sz w:val="32"/>
          <w:szCs w:val="32"/>
          <w:lang w:val="zh-CN"/>
        </w:rPr>
        <w:t>算编制情况</w:t>
      </w:r>
    </w:p>
    <w:p>
      <w:pPr>
        <w:pStyle w:val="39"/>
        <w:keepNext w:val="0"/>
        <w:keepLines w:val="0"/>
        <w:pageBreakBefore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我局</w:t>
      </w:r>
      <w:r>
        <w:rPr>
          <w:rFonts w:hint="eastAsia" w:ascii="仿宋_GB2312" w:hAnsi="仿宋_GB2312" w:eastAsia="仿宋_GB2312" w:cs="仿宋_GB2312"/>
          <w:color w:val="auto"/>
          <w:sz w:val="32"/>
          <w:szCs w:val="32"/>
        </w:rPr>
        <w:t>严格按照财政部门预</w:t>
      </w:r>
      <w:r>
        <w:rPr>
          <w:rFonts w:hint="eastAsia" w:ascii="仿宋_GB2312" w:hAnsi="仿宋_GB2312" w:eastAsia="仿宋_GB2312" w:cs="仿宋_GB2312"/>
          <w:color w:val="auto"/>
          <w:sz w:val="32"/>
          <w:szCs w:val="32"/>
          <w:lang w:val="en-US" w:eastAsia="zh-CN"/>
        </w:rPr>
        <w:t>决</w:t>
      </w:r>
      <w:r>
        <w:rPr>
          <w:rFonts w:hint="eastAsia" w:ascii="仿宋_GB2312" w:hAnsi="仿宋_GB2312" w:eastAsia="仿宋_GB2312" w:cs="仿宋_GB2312"/>
          <w:color w:val="auto"/>
          <w:sz w:val="32"/>
          <w:szCs w:val="32"/>
        </w:rPr>
        <w:t>算编制通知明确的范围、标准</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kern w:val="0"/>
          <w:sz w:val="32"/>
          <w:szCs w:val="32"/>
        </w:rPr>
        <w:t>单位的实际经费使用情况</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严格按照</w:t>
      </w:r>
      <w:r>
        <w:rPr>
          <w:rFonts w:hint="eastAsia" w:ascii="仿宋_GB2312" w:hAnsi="仿宋_GB2312" w:eastAsia="仿宋_GB2312" w:cs="仿宋_GB2312"/>
          <w:color w:val="auto"/>
          <w:sz w:val="32"/>
          <w:szCs w:val="32"/>
        </w:rPr>
        <w:t>定员定额</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标准编制预</w:t>
      </w:r>
      <w:r>
        <w:rPr>
          <w:rFonts w:hint="eastAsia" w:ascii="仿宋_GB2312" w:hAnsi="仿宋_GB2312" w:eastAsia="仿宋_GB2312" w:cs="仿宋_GB2312"/>
          <w:color w:val="auto"/>
          <w:sz w:val="32"/>
          <w:szCs w:val="32"/>
          <w:lang w:val="en-US" w:eastAsia="zh-CN"/>
        </w:rPr>
        <w:t>决</w:t>
      </w:r>
      <w:r>
        <w:rPr>
          <w:rFonts w:hint="eastAsia" w:ascii="仿宋_GB2312" w:hAnsi="仿宋_GB2312" w:eastAsia="仿宋_GB2312" w:cs="仿宋_GB2312"/>
          <w:color w:val="auto"/>
          <w:sz w:val="32"/>
          <w:szCs w:val="32"/>
        </w:rPr>
        <w:t>算；预算编制完成后报单位领导班子集体决策后再报财政部门。</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w:t>
      </w:r>
      <w:r>
        <w:rPr>
          <w:rFonts w:hint="eastAsia" w:ascii="楷体" w:hAnsi="楷体" w:eastAsia="楷体" w:cs="楷体"/>
          <w:b/>
          <w:bCs/>
          <w:color w:val="000000"/>
          <w:kern w:val="0"/>
          <w:sz w:val="32"/>
          <w:szCs w:val="32"/>
          <w:shd w:val="clear" w:color="auto" w:fill="FFFFFF"/>
          <w:lang w:val="en-US" w:eastAsia="zh-CN"/>
        </w:rPr>
        <w:t>二</w:t>
      </w:r>
      <w:r>
        <w:rPr>
          <w:rFonts w:hint="eastAsia" w:ascii="楷体" w:hAnsi="楷体" w:eastAsia="楷体" w:cs="楷体"/>
          <w:b/>
          <w:bCs/>
          <w:color w:val="000000"/>
          <w:kern w:val="0"/>
          <w:sz w:val="32"/>
          <w:szCs w:val="32"/>
          <w:shd w:val="clear" w:color="auto" w:fill="FFFFFF"/>
          <w:lang w:val="zh-CN"/>
        </w:rPr>
        <w:t>）执行管理情况</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1.20</w:t>
      </w:r>
      <w:r>
        <w:rPr>
          <w:rFonts w:hint="eastAsia" w:ascii="仿宋_GB2312" w:hAnsi="仿宋_GB2312" w:eastAsia="仿宋_GB2312" w:cs="仿宋_GB2312"/>
          <w:b/>
          <w:bCs/>
          <w:color w:val="000000"/>
          <w:kern w:val="0"/>
          <w:sz w:val="32"/>
          <w:szCs w:val="32"/>
          <w:shd w:val="clear" w:color="auto" w:fill="FFFFFF"/>
          <w:lang w:val="en-US" w:eastAsia="zh-CN"/>
        </w:rPr>
        <w:t>21</w:t>
      </w:r>
      <w:r>
        <w:rPr>
          <w:rFonts w:hint="eastAsia" w:ascii="仿宋_GB2312" w:hAnsi="仿宋_GB2312" w:eastAsia="仿宋_GB2312" w:cs="仿宋_GB2312"/>
          <w:b/>
          <w:bCs/>
          <w:color w:val="000000"/>
          <w:kern w:val="0"/>
          <w:sz w:val="32"/>
          <w:szCs w:val="32"/>
          <w:shd w:val="clear" w:color="auto" w:fill="FFFFFF"/>
          <w:lang w:val="zh-CN"/>
        </w:rPr>
        <w:t>年部门预算执行情况</w:t>
      </w:r>
    </w:p>
    <w:p>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年一般公共预算财政拨款支出375.04万元，占本年支出合计的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%。与20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年相比，一般公共预算财政拨款</w:t>
      </w:r>
      <w:r>
        <w:rPr>
          <w:rFonts w:hint="eastAsia" w:ascii="仿宋_GB2312" w:hAnsi="仿宋_GB2312" w:eastAsia="仿宋_GB2312" w:cs="仿宋_GB2312"/>
          <w:color w:val="000000"/>
          <w:sz w:val="32"/>
          <w:szCs w:val="32"/>
          <w:lang w:val="en-US" w:eastAsia="zh-CN"/>
        </w:rPr>
        <w:t>减少33.06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下降8.10</w:t>
      </w:r>
      <w:r>
        <w:rPr>
          <w:rFonts w:hint="eastAsia" w:ascii="仿宋_GB2312" w:hAnsi="仿宋_GB2312" w:eastAsia="仿宋_GB2312" w:cs="仿宋_GB2312"/>
          <w:color w:val="000000"/>
          <w:sz w:val="32"/>
          <w:szCs w:val="32"/>
        </w:rPr>
        <w:t>%。主要变动原因</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lang w:val="en-US" w:eastAsia="zh-CN"/>
        </w:rPr>
        <w:t>今年人员减少</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en-US" w:eastAsia="zh-CN"/>
        </w:rPr>
        <w:t>2</w:t>
      </w:r>
      <w:r>
        <w:rPr>
          <w:rFonts w:hint="eastAsia" w:ascii="仿宋_GB2312" w:hAnsi="仿宋_GB2312" w:eastAsia="仿宋_GB2312" w:cs="仿宋_GB2312"/>
          <w:b/>
          <w:bCs/>
          <w:color w:val="000000"/>
          <w:kern w:val="0"/>
          <w:sz w:val="32"/>
          <w:szCs w:val="32"/>
          <w:shd w:val="clear" w:color="auto" w:fill="FFFFFF"/>
          <w:lang w:val="zh-CN"/>
        </w:rPr>
        <w:t>.“三公”经费预算执行情况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21</w:t>
      </w:r>
      <w:r>
        <w:rPr>
          <w:rFonts w:hint="eastAsia" w:ascii="仿宋_GB2312" w:hAnsi="仿宋_GB2312" w:eastAsia="仿宋_GB2312" w:cs="仿宋_GB2312"/>
          <w:color w:val="000000"/>
          <w:kern w:val="0"/>
          <w:sz w:val="32"/>
          <w:szCs w:val="32"/>
          <w:shd w:val="clear" w:color="auto" w:fill="FFFFFF"/>
          <w:lang w:val="zh-CN"/>
        </w:rPr>
        <w:t>年我单位继续认真贯彻落实中央八项规定、省委省政府十项规定及《党政机关厉行节约反对浪费条例》，加强“三公”经费和会议费、培训费管理，使其支出得到有效控制。全年“三公”经费预算支出</w:t>
      </w:r>
      <w:r>
        <w:rPr>
          <w:rFonts w:hint="eastAsia" w:ascii="仿宋_GB2312" w:hAnsi="仿宋_GB2312" w:eastAsia="仿宋_GB2312" w:cs="仿宋_GB2312"/>
          <w:color w:val="000000"/>
          <w:sz w:val="32"/>
          <w:szCs w:val="32"/>
        </w:rPr>
        <w:t>0.1</w:t>
      </w:r>
      <w:r>
        <w:rPr>
          <w:rFonts w:hint="eastAsia" w:ascii="仿宋_GB2312" w:hAnsi="仿宋_GB2312" w:eastAsia="仿宋_GB2312" w:cs="仿宋_GB2312"/>
          <w:color w:val="000000"/>
          <w:kern w:val="0"/>
          <w:sz w:val="32"/>
          <w:szCs w:val="32"/>
          <w:shd w:val="clear" w:color="auto" w:fill="FFFFFF"/>
          <w:lang w:val="zh-CN"/>
        </w:rPr>
        <w:t>万元，</w:t>
      </w:r>
      <w:r>
        <w:rPr>
          <w:rFonts w:hint="eastAsia" w:ascii="仿宋_GB2312" w:hAnsi="仿宋_GB2312" w:eastAsia="仿宋_GB2312" w:cs="仿宋_GB2312"/>
          <w:color w:val="000000"/>
          <w:kern w:val="0"/>
          <w:sz w:val="32"/>
          <w:szCs w:val="32"/>
          <w:shd w:val="clear" w:color="auto" w:fill="FFFFFF"/>
          <w:lang w:val="en-US" w:eastAsia="zh-CN"/>
        </w:rPr>
        <w:t>其中：</w:t>
      </w:r>
      <w:r>
        <w:rPr>
          <w:rFonts w:hint="eastAsia" w:ascii="仿宋_GB2312" w:hAnsi="仿宋_GB2312" w:eastAsia="仿宋_GB2312" w:cs="仿宋_GB2312"/>
          <w:color w:val="000000"/>
          <w:sz w:val="32"/>
          <w:szCs w:val="32"/>
        </w:rPr>
        <w:t>公务接待费支出决算比20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增加0.1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增长100</w:t>
      </w:r>
      <w:r>
        <w:rPr>
          <w:rFonts w:hint="eastAsia" w:ascii="仿宋_GB2312" w:hAnsi="仿宋_GB2312" w:eastAsia="仿宋_GB2312" w:cs="仿宋_GB2312"/>
          <w:color w:val="000000"/>
          <w:sz w:val="32"/>
          <w:szCs w:val="32"/>
        </w:rPr>
        <w:t>%。</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楷体" w:hAnsi="楷体" w:eastAsia="楷体" w:cs="楷体"/>
          <w:b/>
          <w:bCs/>
          <w:color w:val="000000"/>
          <w:kern w:val="0"/>
          <w:sz w:val="32"/>
          <w:szCs w:val="32"/>
          <w:lang w:val="zh-CN"/>
        </w:rPr>
      </w:pPr>
      <w:r>
        <w:rPr>
          <w:rFonts w:hint="eastAsia" w:ascii="楷体" w:hAnsi="楷体" w:eastAsia="楷体" w:cs="楷体"/>
          <w:b/>
          <w:bCs/>
          <w:color w:val="000000"/>
          <w:kern w:val="0"/>
          <w:sz w:val="32"/>
          <w:szCs w:val="32"/>
          <w:lang w:val="zh-CN"/>
        </w:rPr>
        <w:t>（三）综合管理情况</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1.政府采购实施计划</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我局在20</w:t>
      </w:r>
      <w:r>
        <w:rPr>
          <w:rFonts w:hint="eastAsia" w:ascii="仿宋_GB2312" w:hAnsi="仿宋_GB2312" w:eastAsia="仿宋_GB2312" w:cs="仿宋_GB2312"/>
          <w:color w:val="000000"/>
          <w:kern w:val="0"/>
          <w:sz w:val="32"/>
          <w:szCs w:val="32"/>
          <w:shd w:val="clear" w:color="auto" w:fill="FFFFFF"/>
          <w:lang w:val="en-US" w:eastAsia="zh-CN"/>
        </w:rPr>
        <w:t>21</w:t>
      </w:r>
      <w:r>
        <w:rPr>
          <w:rFonts w:hint="eastAsia" w:ascii="仿宋_GB2312" w:hAnsi="仿宋_GB2312" w:eastAsia="仿宋_GB2312" w:cs="仿宋_GB2312"/>
          <w:color w:val="000000"/>
          <w:kern w:val="0"/>
          <w:sz w:val="32"/>
          <w:szCs w:val="32"/>
          <w:shd w:val="clear" w:color="auto" w:fill="FFFFFF"/>
          <w:lang w:val="zh-CN"/>
        </w:rPr>
        <w:t>年</w:t>
      </w:r>
      <w:r>
        <w:rPr>
          <w:rFonts w:hint="eastAsia" w:ascii="仿宋_GB2312" w:hAnsi="仿宋_GB2312" w:eastAsia="仿宋_GB2312" w:cs="仿宋_GB2312"/>
          <w:color w:val="000000"/>
          <w:kern w:val="0"/>
          <w:sz w:val="32"/>
          <w:szCs w:val="32"/>
          <w:shd w:val="clear" w:color="auto" w:fill="FFFFFF"/>
          <w:lang w:val="en-US" w:eastAsia="zh-CN"/>
        </w:rPr>
        <w:t>按要求自行组织采购办公设备一批</w:t>
      </w:r>
      <w:r>
        <w:rPr>
          <w:rFonts w:hint="eastAsia" w:ascii="仿宋_GB2312" w:hAnsi="仿宋_GB2312" w:eastAsia="仿宋_GB2312" w:cs="仿宋_GB2312"/>
          <w:color w:val="000000"/>
          <w:kern w:val="0"/>
          <w:sz w:val="32"/>
          <w:szCs w:val="32"/>
          <w:shd w:val="clear" w:color="auto" w:fill="FFFFFF"/>
          <w:lang w:val="zh-CN"/>
        </w:rPr>
        <w:t>，为进一步加强我局政府采购监督管理和规范政府采购行为，我局已建立相应的政府采购制度。</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2.资产管理</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 xml:space="preserve">进一步加强机关资产管理，单位所有固定资产由专人负责登记管理，办公室负责对单位固定资产实物情况进行全面管理；单位财务人员负责对固定资产账面价值进行审核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                   </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3.内控制度管理</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局高度重视内部控制制度建设工作，切实加强对内部控制制度建设的组织领导，切实强化内部控制制度的建设工作。自2014年《行政事业单位内部控制规范(试行)》实施以来，在坚持内部控制制度建设全面性、重要性、制衡性、适应性等原则的前提下，我局对内部管理制度进行全面清理，形成了《茂县社会保险事业管理局内部控制制度》。通过强化内部控制制度建设，切实做到有章可行，有据可依。</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4.信息公开</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单位严格按照相关部门的要求保质保量完成年度预决算公开工作，按时在茂县政府信息网站上</w:t>
      </w:r>
      <w:r>
        <w:rPr>
          <w:rFonts w:hint="eastAsia" w:ascii="仿宋_GB2312" w:hAnsi="仿宋_GB2312" w:eastAsia="仿宋_GB2312" w:cs="仿宋_GB2312"/>
          <w:color w:val="333333"/>
          <w:sz w:val="32"/>
          <w:szCs w:val="32"/>
          <w:shd w:val="clear" w:color="auto" w:fill="FFFFFF"/>
        </w:rPr>
        <w:t>向社会主动公开了部门基本情况、财政资金安排情况、“三公”经费具体使用情况、机关运行经费情况。</w:t>
      </w:r>
      <w:r>
        <w:rPr>
          <w:rFonts w:hint="eastAsia" w:ascii="仿宋_GB2312" w:hAnsi="仿宋_GB2312" w:eastAsia="仿宋_GB2312" w:cs="仿宋_GB2312"/>
          <w:color w:val="000000"/>
          <w:kern w:val="0"/>
          <w:sz w:val="32"/>
          <w:szCs w:val="32"/>
          <w:shd w:val="clear" w:color="auto" w:fill="FFFFFF"/>
          <w:lang w:val="zh-CN"/>
        </w:rPr>
        <w:t>按月及时向财政部门报送经费报表、贯彻落实中央八项规定和省委省政府十项规定经费支出情况统计表并由相关股室进行审核。根据财政部门文件要求及时开展单位经费使用情况自查自纠工作，撰写自查自纠报告并及时报送。</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5.绩效评价及依法接受财政监督情况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每年按县财政文件要求，根据自身工作实际做好财政支出绩效评价自评及前期准备工作，同时撰写绩效自评报告及填写绩效评价指标体系并自评分数，说明扣分理由。按时将相应评价资料报送相应的财政部门支出管理股室。单位严格落实工作责任，积极协调配合财政部门绩效评价小组对本单位进行实地评价。同时针对在绩效评价中发现的问题和不足认真整改落实，并将整改情况报送财政部门绩效评价小组，并依法自觉接受财政监督。</w:t>
      </w:r>
    </w:p>
    <w:p>
      <w:pPr>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楷体" w:hAnsi="楷体" w:eastAsia="楷体" w:cs="楷体"/>
          <w:b/>
          <w:bCs/>
          <w:color w:val="000000"/>
          <w:kern w:val="0"/>
          <w:sz w:val="32"/>
          <w:szCs w:val="32"/>
          <w:lang w:val="zh-CN"/>
        </w:rPr>
      </w:pPr>
      <w:r>
        <w:rPr>
          <w:rFonts w:hint="eastAsia" w:ascii="楷体" w:hAnsi="楷体" w:eastAsia="楷体" w:cs="楷体"/>
          <w:b/>
          <w:bCs/>
          <w:color w:val="000000"/>
          <w:kern w:val="0"/>
          <w:sz w:val="32"/>
          <w:szCs w:val="32"/>
          <w:lang w:val="zh-CN"/>
        </w:rPr>
        <w:t>（四）整体绩效</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我局202</w:t>
      </w:r>
      <w:r>
        <w:rPr>
          <w:rFonts w:hint="eastAsia" w:ascii="仿宋_GB2312" w:hAnsi="仿宋_GB2312" w:eastAsia="仿宋_GB2312" w:cs="仿宋_GB2312"/>
          <w:color w:val="000000"/>
          <w:sz w:val="32"/>
          <w:szCs w:val="32"/>
          <w:shd w:val="clear" w:color="auto" w:fill="FFFFFF"/>
          <w:lang w:val="en-US" w:eastAsia="zh-CN"/>
        </w:rPr>
        <w:t>1</w:t>
      </w:r>
      <w:r>
        <w:rPr>
          <w:rFonts w:hint="eastAsia" w:ascii="仿宋_GB2312" w:hAnsi="仿宋_GB2312" w:eastAsia="仿宋_GB2312" w:cs="仿宋_GB2312"/>
          <w:color w:val="000000"/>
          <w:sz w:val="32"/>
          <w:szCs w:val="32"/>
          <w:shd w:val="clear" w:color="auto" w:fill="FFFFFF"/>
        </w:rPr>
        <w:t>年部门整体支出情况良好，</w:t>
      </w:r>
      <w:r>
        <w:rPr>
          <w:rFonts w:hint="eastAsia" w:ascii="仿宋_GB2312" w:hAnsi="仿宋_GB2312" w:eastAsia="仿宋_GB2312" w:cs="仿宋_GB2312"/>
          <w:color w:val="333333"/>
          <w:sz w:val="32"/>
          <w:szCs w:val="32"/>
          <w:shd w:val="clear" w:color="auto" w:fill="FFFFFF"/>
        </w:rPr>
        <w:t>资金</w:t>
      </w:r>
      <w:r>
        <w:rPr>
          <w:rFonts w:hint="eastAsia" w:ascii="仿宋_GB2312" w:hAnsi="仿宋_GB2312" w:eastAsia="仿宋_GB2312" w:cs="仿宋_GB2312"/>
          <w:color w:val="000000"/>
          <w:sz w:val="32"/>
          <w:szCs w:val="32"/>
          <w:shd w:val="clear" w:color="auto" w:fill="FFFFFF"/>
        </w:rPr>
        <w:t>收入、支出管理均严格按照相关要求进行，全年收支平衡，</w:t>
      </w:r>
      <w:r>
        <w:rPr>
          <w:rFonts w:hint="eastAsia" w:ascii="仿宋_GB2312" w:hAnsi="仿宋_GB2312" w:eastAsia="仿宋_GB2312" w:cs="仿宋_GB2312"/>
          <w:sz w:val="32"/>
          <w:szCs w:val="32"/>
          <w:shd w:val="clear" w:color="auto" w:fill="FFFFFF"/>
          <w:lang w:val="zh-CN"/>
        </w:rPr>
        <w:t>达到了预算设定的绩效目标，</w:t>
      </w:r>
      <w:r>
        <w:rPr>
          <w:rFonts w:hint="eastAsia" w:ascii="仿宋_GB2312" w:hAnsi="仿宋_GB2312" w:eastAsia="仿宋_GB2312" w:cs="仿宋_GB2312"/>
          <w:color w:val="000000"/>
          <w:sz w:val="32"/>
          <w:szCs w:val="32"/>
          <w:shd w:val="clear" w:color="auto" w:fill="FFFFFF"/>
        </w:rPr>
        <w:t>有效保障了单位正常运转，圆满完成了单位目标任务。</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（一）评价结论</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sz w:val="32"/>
          <w:szCs w:val="32"/>
          <w:lang w:val="en-US" w:eastAsia="zh-CN"/>
        </w:rPr>
        <w:t>我局2021年</w:t>
      </w:r>
      <w:r>
        <w:rPr>
          <w:rFonts w:hint="eastAsia" w:ascii="仿宋" w:hAnsi="仿宋" w:eastAsia="仿宋" w:cs="仿宋"/>
          <w:sz w:val="32"/>
          <w:szCs w:val="32"/>
        </w:rPr>
        <w:t>部门整体支出绩效评价结果良好，全年基本保证了部门的正常运行和日常工作的正常开展。</w:t>
      </w:r>
    </w:p>
    <w:p>
      <w:pPr>
        <w:keepNext w:val="0"/>
        <w:keepLines w:val="0"/>
        <w:pageBreakBefore w:val="0"/>
        <w:kinsoku/>
        <w:wordWrap/>
        <w:overflowPunct/>
        <w:topLinePunct w:val="0"/>
        <w:autoSpaceDE/>
        <w:autoSpaceDN/>
        <w:bidi w:val="0"/>
        <w:spacing w:line="576" w:lineRule="exact"/>
        <w:ind w:firstLine="642" w:firstLineChars="200"/>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（二）存在问题</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_GB2312" w:hAnsi="仿宋_GB2312" w:eastAsia="仿宋_GB2312" w:cs="仿宋_GB2312"/>
          <w:i w:val="0"/>
          <w:caps w:val="0"/>
          <w:color w:val="111111"/>
          <w:spacing w:val="0"/>
          <w:kern w:val="2"/>
          <w:sz w:val="32"/>
          <w:szCs w:val="32"/>
          <w:shd w:val="clear" w:fill="FFFFFF"/>
          <w:lang w:val="zh-CN" w:eastAsia="zh-CN" w:bidi="ar-SA"/>
        </w:rPr>
        <w:t>预算编制绩效目标设置管理需进一步加强。</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（三）改进建议</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
          <w:color w:val="000000"/>
          <w:sz w:val="32"/>
          <w:szCs w:val="32"/>
        </w:rPr>
      </w:pPr>
      <w:r>
        <w:rPr>
          <w:rFonts w:hint="eastAsia" w:ascii="仿宋" w:hAnsi="仿宋" w:eastAsia="仿宋" w:cs="仿宋"/>
          <w:kern w:val="2"/>
          <w:sz w:val="32"/>
          <w:szCs w:val="32"/>
          <w:lang w:val="en-US" w:eastAsia="zh-CN" w:bidi="ar-SA"/>
        </w:rPr>
        <w:t>在今后工作中要按照有关文件及规章制度的要求，落实岗位职责，坚守职业道德，</w:t>
      </w:r>
      <w:r>
        <w:rPr>
          <w:rFonts w:hint="eastAsia" w:ascii="仿宋" w:hAnsi="仿宋" w:eastAsia="仿宋" w:cs="仿宋"/>
          <w:kern w:val="2"/>
          <w:sz w:val="32"/>
          <w:szCs w:val="32"/>
          <w:lang w:val="zh-CN" w:eastAsia="zh-CN" w:bidi="ar-SA"/>
        </w:rPr>
        <w:t>加强绩效管理工作的学习和培训力度，有效提高部门整体支出绩效管理水平。</w:t>
      </w:r>
    </w:p>
    <w:p>
      <w:pPr>
        <w:keepNext w:val="0"/>
        <w:keepLines w:val="0"/>
        <w:pageBreakBefore w:val="0"/>
        <w:kinsoku/>
        <w:wordWrap/>
        <w:overflowPunct/>
        <w:topLinePunct w:val="0"/>
        <w:autoSpaceDE/>
        <w:autoSpaceDN/>
        <w:bidi w:val="0"/>
        <w:spacing w:line="576" w:lineRule="exact"/>
        <w:jc w:val="center"/>
        <w:textAlignment w:val="auto"/>
        <w:outlineLvl w:val="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lang w:val="en-US" w:eastAsia="zh-CN"/>
        </w:rPr>
      </w:pP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kern w:val="0"/>
          <w:sz w:val="32"/>
          <w:szCs w:val="32"/>
          <w:shd w:val="clear" w:color="auto" w:fill="FFFFFF"/>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lang w:val="zh-CN"/>
        </w:rPr>
      </w:pP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仿宋_GB2312"/>
          <w:sz w:val="32"/>
          <w:szCs w:val="32"/>
        </w:rPr>
      </w:pPr>
    </w:p>
    <w:p>
      <w:pPr>
        <w:pStyle w:val="2"/>
        <w:keepNext w:val="0"/>
        <w:keepLines w:val="0"/>
        <w:pageBreakBefore w:val="0"/>
        <w:kinsoku/>
        <w:wordWrap/>
        <w:overflowPunct/>
        <w:topLinePunct w:val="0"/>
        <w:autoSpaceDE/>
        <w:autoSpaceDN/>
        <w:bidi w:val="0"/>
        <w:spacing w:line="576" w:lineRule="exact"/>
        <w:textAlignment w:val="auto"/>
        <w:rPr>
          <w:rFonts w:ascii="仿宋_GB2312" w:eastAsia="仿宋_GB2312" w:cs="仿宋_GB2312"/>
          <w:sz w:val="32"/>
          <w:szCs w:val="32"/>
        </w:rPr>
      </w:pPr>
    </w:p>
    <w:p>
      <w:pPr>
        <w:spacing w:line="600" w:lineRule="exact"/>
        <w:jc w:val="center"/>
        <w:outlineLvl w:val="0"/>
        <w:rPr>
          <w:rFonts w:hint="eastAsia" w:ascii="黑体" w:eastAsia="黑体"/>
          <w:color w:val="000000"/>
          <w:sz w:val="44"/>
          <w:szCs w:val="44"/>
        </w:rPr>
      </w:pPr>
      <w:bookmarkStart w:id="115" w:name="_Toc15396618"/>
      <w:bookmarkStart w:id="116" w:name="_Toc79163885"/>
      <w:bookmarkStart w:id="117" w:name="_Toc79163635"/>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26"/>
          <w:rFonts w:ascii="黑体" w:eastAsia="黑体"/>
          <w:b w:val="0"/>
        </w:rPr>
      </w:pPr>
      <w:r>
        <w:rPr>
          <w:rFonts w:hint="eastAsia" w:ascii="黑体" w:eastAsia="黑体"/>
          <w:color w:val="000000"/>
          <w:sz w:val="44"/>
          <w:szCs w:val="44"/>
        </w:rPr>
        <w:t>第</w:t>
      </w:r>
      <w:r>
        <w:rPr>
          <w:rStyle w:val="26"/>
          <w:rFonts w:hint="eastAsia" w:ascii="黑体" w:eastAsia="黑体"/>
          <w:b w:val="0"/>
        </w:rPr>
        <w:t>五部分</w:t>
      </w:r>
      <w:r>
        <w:rPr>
          <w:rStyle w:val="26"/>
          <w:rFonts w:ascii="黑体" w:eastAsia="黑体"/>
          <w:b w:val="0"/>
        </w:rPr>
        <w:t xml:space="preserve"> </w:t>
      </w:r>
      <w:r>
        <w:rPr>
          <w:rStyle w:val="26"/>
          <w:rFonts w:hint="eastAsia" w:ascii="黑体" w:eastAsia="黑体"/>
          <w:b w:val="0"/>
        </w:rPr>
        <w:t>附表</w:t>
      </w:r>
      <w:bookmarkEnd w:id="112"/>
      <w:bookmarkEnd w:id="115"/>
      <w:bookmarkEnd w:id="116"/>
      <w:bookmarkEnd w:id="117"/>
    </w:p>
    <w:p>
      <w:pPr>
        <w:pStyle w:val="5"/>
        <w:rPr>
          <w:rFonts w:ascii="仿宋" w:eastAsia="仿宋"/>
          <w:color w:val="000000"/>
        </w:rPr>
      </w:pPr>
      <w:bookmarkStart w:id="118" w:name="_Toc79163636"/>
      <w:bookmarkStart w:id="119" w:name="_Toc79163886"/>
      <w:bookmarkStart w:id="120" w:name="_Toc15396619"/>
      <w:r>
        <w:rPr>
          <w:rFonts w:hint="eastAsia" w:ascii="仿宋" w:eastAsia="仿宋"/>
          <w:b w:val="0"/>
          <w:color w:val="000000"/>
        </w:rPr>
        <w:t>一、收</w:t>
      </w:r>
      <w:r>
        <w:rPr>
          <w:rStyle w:val="27"/>
          <w:rFonts w:hint="eastAsia" w:ascii="仿宋" w:eastAsia="仿宋"/>
          <w:b w:val="0"/>
          <w:bCs w:val="0"/>
        </w:rPr>
        <w:t>入支出决算总表</w:t>
      </w:r>
      <w:bookmarkEnd w:id="118"/>
      <w:bookmarkEnd w:id="119"/>
      <w:bookmarkEnd w:id="120"/>
    </w:p>
    <w:p>
      <w:pPr>
        <w:pStyle w:val="5"/>
        <w:rPr>
          <w:rFonts w:ascii="仿宋" w:eastAsia="仿宋"/>
          <w:color w:val="000000"/>
        </w:rPr>
      </w:pPr>
      <w:bookmarkStart w:id="121" w:name="_Toc15396620"/>
      <w:bookmarkStart w:id="122" w:name="_Toc79163887"/>
      <w:bookmarkStart w:id="123" w:name="_Toc79163637"/>
      <w:r>
        <w:rPr>
          <w:rFonts w:hint="eastAsia" w:ascii="仿宋" w:eastAsia="仿宋"/>
          <w:b w:val="0"/>
          <w:color w:val="000000"/>
        </w:rPr>
        <w:t>二、收</w:t>
      </w:r>
      <w:r>
        <w:rPr>
          <w:rStyle w:val="27"/>
          <w:rFonts w:hint="eastAsia" w:ascii="仿宋" w:eastAsia="仿宋"/>
          <w:b w:val="0"/>
          <w:bCs w:val="0"/>
        </w:rPr>
        <w:t>入决算表</w:t>
      </w:r>
      <w:bookmarkEnd w:id="121"/>
      <w:bookmarkEnd w:id="122"/>
      <w:bookmarkEnd w:id="123"/>
    </w:p>
    <w:p>
      <w:pPr>
        <w:pStyle w:val="5"/>
        <w:rPr>
          <w:rFonts w:ascii="仿宋" w:eastAsia="仿宋"/>
          <w:color w:val="000000"/>
        </w:rPr>
      </w:pPr>
      <w:bookmarkStart w:id="124" w:name="_Toc15396621"/>
      <w:bookmarkStart w:id="125" w:name="_Toc79163638"/>
      <w:bookmarkStart w:id="126" w:name="_Toc79163888"/>
      <w:r>
        <w:rPr>
          <w:rStyle w:val="27"/>
          <w:rFonts w:hint="eastAsia" w:ascii="仿宋" w:eastAsia="仿宋"/>
          <w:b w:val="0"/>
          <w:bCs w:val="0"/>
        </w:rPr>
        <w:t>三、</w:t>
      </w:r>
      <w:r>
        <w:rPr>
          <w:rFonts w:hint="eastAsia" w:ascii="仿宋" w:eastAsia="仿宋"/>
          <w:b w:val="0"/>
          <w:color w:val="000000"/>
        </w:rPr>
        <w:t>支</w:t>
      </w:r>
      <w:r>
        <w:rPr>
          <w:rStyle w:val="27"/>
          <w:rFonts w:hint="eastAsia" w:ascii="仿宋" w:eastAsia="仿宋"/>
          <w:b w:val="0"/>
          <w:bCs w:val="0"/>
        </w:rPr>
        <w:t>出决算表</w:t>
      </w:r>
      <w:bookmarkEnd w:id="124"/>
      <w:bookmarkEnd w:id="125"/>
      <w:bookmarkEnd w:id="126"/>
    </w:p>
    <w:p>
      <w:pPr>
        <w:pStyle w:val="5"/>
        <w:rPr>
          <w:rFonts w:ascii="仿宋" w:eastAsia="仿宋"/>
          <w:b w:val="0"/>
          <w:color w:val="000000"/>
        </w:rPr>
      </w:pPr>
      <w:bookmarkStart w:id="127" w:name="_Toc15396622"/>
      <w:bookmarkStart w:id="128" w:name="_Toc79163639"/>
      <w:bookmarkStart w:id="129" w:name="_Toc79163889"/>
      <w:r>
        <w:rPr>
          <w:rStyle w:val="27"/>
          <w:rFonts w:hint="eastAsia" w:ascii="仿宋" w:eastAsia="仿宋"/>
          <w:b w:val="0"/>
          <w:bCs w:val="0"/>
        </w:rPr>
        <w:t>四、</w:t>
      </w:r>
      <w:r>
        <w:rPr>
          <w:rFonts w:hint="eastAsia" w:ascii="仿宋" w:eastAsia="仿宋"/>
          <w:b w:val="0"/>
          <w:color w:val="000000"/>
        </w:rPr>
        <w:t>财</w:t>
      </w:r>
      <w:r>
        <w:rPr>
          <w:rStyle w:val="27"/>
          <w:rFonts w:hint="eastAsia" w:ascii="仿宋" w:eastAsia="仿宋"/>
          <w:b w:val="0"/>
          <w:bCs w:val="0"/>
        </w:rPr>
        <w:t>政拨款收入支出决算总表</w:t>
      </w:r>
      <w:bookmarkEnd w:id="127"/>
      <w:bookmarkEnd w:id="128"/>
      <w:bookmarkEnd w:id="129"/>
    </w:p>
    <w:p>
      <w:pPr>
        <w:pStyle w:val="5"/>
        <w:rPr>
          <w:rStyle w:val="27"/>
          <w:rFonts w:ascii="仿宋" w:eastAsia="仿宋"/>
          <w:b w:val="0"/>
          <w:bCs w:val="0"/>
        </w:rPr>
      </w:pPr>
      <w:bookmarkStart w:id="130" w:name="_Toc79163890"/>
      <w:bookmarkStart w:id="131" w:name="_Toc15396623"/>
      <w:bookmarkStart w:id="132" w:name="_Toc79163640"/>
      <w:r>
        <w:rPr>
          <w:rStyle w:val="27"/>
          <w:rFonts w:hint="eastAsia" w:ascii="仿宋" w:eastAsia="仿宋"/>
          <w:b w:val="0"/>
          <w:bCs w:val="0"/>
        </w:rPr>
        <w:t>五、</w:t>
      </w:r>
      <w:r>
        <w:rPr>
          <w:rFonts w:hint="eastAsia" w:ascii="仿宋" w:eastAsia="仿宋"/>
          <w:b w:val="0"/>
          <w:color w:val="000000"/>
        </w:rPr>
        <w:t>财</w:t>
      </w:r>
      <w:r>
        <w:rPr>
          <w:rStyle w:val="27"/>
          <w:rFonts w:hint="eastAsia" w:ascii="仿宋" w:eastAsia="仿宋"/>
          <w:b w:val="0"/>
          <w:bCs w:val="0"/>
        </w:rPr>
        <w:t>政拨款支出决算明细表</w:t>
      </w:r>
      <w:bookmarkEnd w:id="130"/>
      <w:bookmarkEnd w:id="131"/>
      <w:bookmarkEnd w:id="132"/>
      <w:bookmarkStart w:id="133" w:name="_Toc15396624"/>
    </w:p>
    <w:p>
      <w:pPr>
        <w:pStyle w:val="5"/>
        <w:rPr>
          <w:rFonts w:ascii="仿宋" w:eastAsia="仿宋"/>
          <w:color w:val="000000"/>
        </w:rPr>
      </w:pPr>
      <w:bookmarkStart w:id="134" w:name="_Toc79163891"/>
      <w:bookmarkStart w:id="135" w:name="_Toc79163641"/>
      <w:r>
        <w:rPr>
          <w:rStyle w:val="27"/>
          <w:rFonts w:hint="eastAsia" w:ascii="仿宋" w:eastAsia="仿宋"/>
          <w:b w:val="0"/>
          <w:bCs w:val="0"/>
        </w:rPr>
        <w:t>六、</w:t>
      </w:r>
      <w:r>
        <w:rPr>
          <w:rFonts w:hint="eastAsia" w:ascii="仿宋" w:eastAsia="仿宋"/>
          <w:b w:val="0"/>
          <w:color w:val="000000"/>
        </w:rPr>
        <w:t>一</w:t>
      </w:r>
      <w:r>
        <w:rPr>
          <w:rStyle w:val="27"/>
          <w:rFonts w:hint="eastAsia" w:ascii="仿宋" w:eastAsia="仿宋"/>
          <w:b w:val="0"/>
          <w:bCs w:val="0"/>
        </w:rPr>
        <w:t>般公共预算财政拨款支出决算表</w:t>
      </w:r>
      <w:bookmarkEnd w:id="133"/>
      <w:bookmarkEnd w:id="134"/>
      <w:bookmarkEnd w:id="135"/>
    </w:p>
    <w:p>
      <w:pPr>
        <w:pStyle w:val="5"/>
        <w:rPr>
          <w:rFonts w:ascii="仿宋" w:eastAsia="仿宋"/>
          <w:color w:val="000000"/>
        </w:rPr>
      </w:pPr>
      <w:bookmarkStart w:id="136" w:name="_Toc79163892"/>
      <w:bookmarkStart w:id="137" w:name="_Toc79163642"/>
      <w:bookmarkStart w:id="138" w:name="_Toc15396625"/>
      <w:r>
        <w:rPr>
          <w:rStyle w:val="27"/>
          <w:rFonts w:hint="eastAsia" w:ascii="仿宋" w:eastAsia="仿宋"/>
          <w:b w:val="0"/>
          <w:bCs w:val="0"/>
        </w:rPr>
        <w:t>七、</w:t>
      </w:r>
      <w:r>
        <w:rPr>
          <w:rFonts w:hint="eastAsia" w:ascii="仿宋" w:eastAsia="仿宋"/>
          <w:b w:val="0"/>
          <w:color w:val="000000"/>
        </w:rPr>
        <w:t>一</w:t>
      </w:r>
      <w:r>
        <w:rPr>
          <w:rStyle w:val="27"/>
          <w:rFonts w:hint="eastAsia" w:ascii="仿宋" w:eastAsia="仿宋"/>
          <w:b w:val="0"/>
          <w:bCs w:val="0"/>
        </w:rPr>
        <w:t>般公共预算财政拨款支出决算明细表</w:t>
      </w:r>
      <w:bookmarkEnd w:id="136"/>
      <w:bookmarkEnd w:id="137"/>
      <w:bookmarkEnd w:id="138"/>
    </w:p>
    <w:p>
      <w:pPr>
        <w:pStyle w:val="5"/>
        <w:rPr>
          <w:rFonts w:ascii="仿宋" w:eastAsia="仿宋"/>
          <w:color w:val="000000"/>
        </w:rPr>
      </w:pPr>
      <w:bookmarkStart w:id="139" w:name="_Toc15396626"/>
      <w:bookmarkStart w:id="140" w:name="_Toc79163893"/>
      <w:bookmarkStart w:id="141" w:name="_Toc79163643"/>
      <w:r>
        <w:rPr>
          <w:rStyle w:val="27"/>
          <w:rFonts w:hint="eastAsia" w:ascii="仿宋" w:eastAsia="仿宋"/>
          <w:b w:val="0"/>
          <w:bCs w:val="0"/>
        </w:rPr>
        <w:t>八、</w:t>
      </w:r>
      <w:r>
        <w:rPr>
          <w:rFonts w:hint="eastAsia" w:ascii="仿宋" w:eastAsia="仿宋"/>
          <w:b w:val="0"/>
          <w:color w:val="000000"/>
        </w:rPr>
        <w:t>一</w:t>
      </w:r>
      <w:r>
        <w:rPr>
          <w:rStyle w:val="27"/>
          <w:rFonts w:hint="eastAsia" w:ascii="仿宋" w:eastAsia="仿宋"/>
          <w:b w:val="0"/>
          <w:bCs w:val="0"/>
        </w:rPr>
        <w:t>般公共预算财政拨款基本支出决算表</w:t>
      </w:r>
      <w:bookmarkEnd w:id="139"/>
      <w:bookmarkEnd w:id="140"/>
      <w:bookmarkEnd w:id="141"/>
    </w:p>
    <w:p>
      <w:pPr>
        <w:pStyle w:val="5"/>
        <w:rPr>
          <w:rFonts w:ascii="仿宋" w:eastAsia="仿宋"/>
          <w:color w:val="000000"/>
        </w:rPr>
      </w:pPr>
      <w:bookmarkStart w:id="142" w:name="_Toc79163894"/>
      <w:bookmarkStart w:id="143" w:name="_Toc15396627"/>
      <w:bookmarkStart w:id="144" w:name="_Toc79163644"/>
      <w:r>
        <w:rPr>
          <w:rStyle w:val="27"/>
          <w:rFonts w:hint="eastAsia" w:ascii="仿宋" w:eastAsia="仿宋"/>
          <w:b w:val="0"/>
          <w:bCs w:val="0"/>
        </w:rPr>
        <w:t>九、</w:t>
      </w:r>
      <w:r>
        <w:rPr>
          <w:rFonts w:hint="eastAsia" w:ascii="仿宋" w:eastAsia="仿宋"/>
          <w:b w:val="0"/>
          <w:color w:val="000000"/>
        </w:rPr>
        <w:t>一</w:t>
      </w:r>
      <w:r>
        <w:rPr>
          <w:rStyle w:val="27"/>
          <w:rFonts w:hint="eastAsia" w:ascii="仿宋" w:eastAsia="仿宋"/>
          <w:b w:val="0"/>
          <w:bCs w:val="0"/>
        </w:rPr>
        <w:t>般公共预算财政拨款项目支出决算表</w:t>
      </w:r>
      <w:bookmarkEnd w:id="142"/>
      <w:bookmarkEnd w:id="143"/>
      <w:bookmarkEnd w:id="144"/>
    </w:p>
    <w:p>
      <w:pPr>
        <w:pStyle w:val="5"/>
        <w:rPr>
          <w:rFonts w:ascii="仿宋" w:eastAsia="仿宋"/>
          <w:color w:val="000000"/>
        </w:rPr>
      </w:pPr>
      <w:bookmarkStart w:id="145" w:name="_Toc79163645"/>
      <w:bookmarkStart w:id="146" w:name="_Toc79163895"/>
      <w:bookmarkStart w:id="147" w:name="_Toc15396628"/>
      <w:r>
        <w:rPr>
          <w:rStyle w:val="27"/>
          <w:rFonts w:hint="eastAsia" w:ascii="仿宋" w:eastAsia="仿宋"/>
          <w:b w:val="0"/>
          <w:bCs w:val="0"/>
        </w:rPr>
        <w:t>十、</w:t>
      </w:r>
      <w:r>
        <w:rPr>
          <w:rFonts w:hint="eastAsia" w:ascii="仿宋" w:eastAsia="仿宋"/>
          <w:b w:val="0"/>
          <w:color w:val="000000"/>
        </w:rPr>
        <w:t>一</w:t>
      </w:r>
      <w:r>
        <w:rPr>
          <w:rStyle w:val="27"/>
          <w:rFonts w:hint="eastAsia" w:ascii="仿宋" w:eastAsia="仿宋"/>
          <w:b w:val="0"/>
          <w:bCs w:val="0"/>
        </w:rPr>
        <w:t>般公共预算财政拨款“三公”经费支出决算表</w:t>
      </w:r>
      <w:bookmarkEnd w:id="145"/>
      <w:bookmarkEnd w:id="146"/>
      <w:bookmarkEnd w:id="147"/>
    </w:p>
    <w:p>
      <w:pPr>
        <w:pStyle w:val="5"/>
        <w:rPr>
          <w:rFonts w:ascii="仿宋" w:eastAsia="仿宋"/>
          <w:color w:val="000000"/>
        </w:rPr>
      </w:pPr>
      <w:bookmarkStart w:id="148" w:name="_Toc15396629"/>
      <w:bookmarkStart w:id="149" w:name="_Toc79163646"/>
      <w:bookmarkStart w:id="150" w:name="_Toc79163896"/>
      <w:r>
        <w:rPr>
          <w:rStyle w:val="27"/>
          <w:rFonts w:hint="eastAsia" w:ascii="仿宋" w:eastAsia="仿宋"/>
          <w:b w:val="0"/>
          <w:bCs w:val="0"/>
        </w:rPr>
        <w:t>十一、</w:t>
      </w:r>
      <w:r>
        <w:rPr>
          <w:rFonts w:hint="eastAsia" w:ascii="仿宋" w:eastAsia="仿宋"/>
          <w:b w:val="0"/>
          <w:color w:val="000000"/>
        </w:rPr>
        <w:t>政</w:t>
      </w:r>
      <w:r>
        <w:rPr>
          <w:rStyle w:val="27"/>
          <w:rFonts w:hint="eastAsia" w:ascii="仿宋" w:eastAsia="仿宋"/>
          <w:b w:val="0"/>
          <w:bCs w:val="0"/>
        </w:rPr>
        <w:t>府性基金预算财政拨款收入支出决算表</w:t>
      </w:r>
      <w:bookmarkEnd w:id="148"/>
      <w:bookmarkEnd w:id="149"/>
      <w:bookmarkEnd w:id="150"/>
    </w:p>
    <w:p>
      <w:pPr>
        <w:pStyle w:val="5"/>
        <w:rPr>
          <w:rFonts w:ascii="仿宋" w:eastAsia="仿宋"/>
          <w:color w:val="000000"/>
        </w:rPr>
      </w:pPr>
      <w:bookmarkStart w:id="151" w:name="_Toc15396630"/>
      <w:bookmarkStart w:id="152" w:name="_Toc79163647"/>
      <w:bookmarkStart w:id="153" w:name="_Toc79163897"/>
      <w:r>
        <w:rPr>
          <w:rStyle w:val="27"/>
          <w:rFonts w:hint="eastAsia" w:ascii="仿宋" w:eastAsia="仿宋"/>
          <w:b w:val="0"/>
          <w:bCs w:val="0"/>
        </w:rPr>
        <w:t>十二、</w:t>
      </w:r>
      <w:r>
        <w:rPr>
          <w:rFonts w:hint="eastAsia" w:ascii="仿宋" w:eastAsia="仿宋"/>
          <w:b w:val="0"/>
          <w:color w:val="000000"/>
        </w:rPr>
        <w:t>政</w:t>
      </w:r>
      <w:r>
        <w:rPr>
          <w:rStyle w:val="27"/>
          <w:rFonts w:hint="eastAsia" w:ascii="仿宋" w:eastAsia="仿宋"/>
          <w:b w:val="0"/>
          <w:bCs w:val="0"/>
        </w:rPr>
        <w:t>府性基金预算财政拨款“三公”经费支出决算表</w:t>
      </w:r>
      <w:bookmarkEnd w:id="151"/>
      <w:bookmarkEnd w:id="152"/>
      <w:bookmarkEnd w:id="153"/>
    </w:p>
    <w:p>
      <w:pPr>
        <w:pStyle w:val="5"/>
        <w:rPr>
          <w:rStyle w:val="27"/>
          <w:rFonts w:ascii="仿宋" w:eastAsia="仿宋"/>
          <w:b w:val="0"/>
          <w:bCs w:val="0"/>
        </w:rPr>
      </w:pPr>
      <w:bookmarkStart w:id="154" w:name="_Toc79163898"/>
      <w:bookmarkStart w:id="155" w:name="_Toc79163648"/>
      <w:bookmarkStart w:id="156" w:name="_Toc15396631"/>
      <w:r>
        <w:rPr>
          <w:rStyle w:val="27"/>
          <w:rFonts w:hint="eastAsia" w:ascii="仿宋" w:eastAsia="仿宋"/>
          <w:b w:val="0"/>
          <w:bCs w:val="0"/>
        </w:rPr>
        <w:t>十三、</w:t>
      </w:r>
      <w:r>
        <w:rPr>
          <w:rFonts w:hint="eastAsia" w:ascii="仿宋" w:eastAsia="仿宋"/>
          <w:b w:val="0"/>
          <w:color w:val="000000"/>
        </w:rPr>
        <w:t>国</w:t>
      </w:r>
      <w:r>
        <w:rPr>
          <w:rStyle w:val="27"/>
          <w:rFonts w:hint="eastAsia" w:ascii="仿宋" w:eastAsia="仿宋"/>
          <w:b w:val="0"/>
          <w:bCs w:val="0"/>
        </w:rPr>
        <w:t>有资本经营预算财政拨款支出决算表</w:t>
      </w:r>
      <w:bookmarkEnd w:id="154"/>
      <w:bookmarkEnd w:id="155"/>
      <w:bookmarkEnd w:id="156"/>
    </w:p>
    <w:p>
      <w:pPr>
        <w:pStyle w:val="5"/>
        <w:rPr>
          <w:rStyle w:val="27"/>
          <w:rFonts w:ascii="仿宋" w:eastAsia="仿宋"/>
          <w:b w:val="0"/>
          <w:bCs w:val="0"/>
        </w:rPr>
      </w:pPr>
      <w:bookmarkStart w:id="157" w:name="_Toc79163899"/>
      <w:bookmarkStart w:id="158" w:name="_Toc79163649"/>
      <w:r>
        <w:rPr>
          <w:rStyle w:val="27"/>
          <w:rFonts w:hint="eastAsia" w:ascii="仿宋" w:eastAsia="仿宋"/>
          <w:b w:val="0"/>
          <w:bCs w:val="0"/>
        </w:rPr>
        <w:t>十四、国有资本经营预算财政拨款支出决算表</w:t>
      </w:r>
      <w:bookmarkEnd w:id="157"/>
      <w:bookmarkEnd w:id="158"/>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3</w:t>
    </w:r>
    <w:r>
      <w:fldChar w:fldCharType="end"/>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DhjOTYyYjJiYTQxNjdmOGE4MTEzNzczMTBiZWM1NjkifQ=="/>
  </w:docVars>
  <w:rsids>
    <w:rsidRoot w:val="00000000"/>
    <w:rsid w:val="00814795"/>
    <w:rsid w:val="00D01278"/>
    <w:rsid w:val="00D50695"/>
    <w:rsid w:val="00DE4D06"/>
    <w:rsid w:val="00EA40E8"/>
    <w:rsid w:val="013C246A"/>
    <w:rsid w:val="01AC65E1"/>
    <w:rsid w:val="01FB48F5"/>
    <w:rsid w:val="021D2D7C"/>
    <w:rsid w:val="029103C8"/>
    <w:rsid w:val="03A82039"/>
    <w:rsid w:val="04621293"/>
    <w:rsid w:val="048A01A6"/>
    <w:rsid w:val="04E3714D"/>
    <w:rsid w:val="057F0CBE"/>
    <w:rsid w:val="05C321A6"/>
    <w:rsid w:val="065E2E82"/>
    <w:rsid w:val="06D62968"/>
    <w:rsid w:val="07245E7A"/>
    <w:rsid w:val="07C96FEC"/>
    <w:rsid w:val="080F2686"/>
    <w:rsid w:val="08346591"/>
    <w:rsid w:val="086504F8"/>
    <w:rsid w:val="08A90D2D"/>
    <w:rsid w:val="08CC0252"/>
    <w:rsid w:val="08CE0793"/>
    <w:rsid w:val="08E92ED7"/>
    <w:rsid w:val="097529BD"/>
    <w:rsid w:val="09845396"/>
    <w:rsid w:val="09CB6ECF"/>
    <w:rsid w:val="0A764C3F"/>
    <w:rsid w:val="0BD25EA5"/>
    <w:rsid w:val="0BE17AE4"/>
    <w:rsid w:val="0C7E33E6"/>
    <w:rsid w:val="0D0F4ED6"/>
    <w:rsid w:val="0D5D3E94"/>
    <w:rsid w:val="0E367F50"/>
    <w:rsid w:val="0E507FD8"/>
    <w:rsid w:val="0EAA1CC9"/>
    <w:rsid w:val="0EFF7EF2"/>
    <w:rsid w:val="0F317386"/>
    <w:rsid w:val="0F9C5147"/>
    <w:rsid w:val="10A97373"/>
    <w:rsid w:val="10C53C9A"/>
    <w:rsid w:val="10EE19D3"/>
    <w:rsid w:val="10F13271"/>
    <w:rsid w:val="110A7E8F"/>
    <w:rsid w:val="111F7DDE"/>
    <w:rsid w:val="11EE155E"/>
    <w:rsid w:val="12A83E03"/>
    <w:rsid w:val="12AA0384"/>
    <w:rsid w:val="1346590F"/>
    <w:rsid w:val="14074B59"/>
    <w:rsid w:val="14551D69"/>
    <w:rsid w:val="149C1746"/>
    <w:rsid w:val="14EA425F"/>
    <w:rsid w:val="14EC3DCF"/>
    <w:rsid w:val="152D4BCF"/>
    <w:rsid w:val="15B207C8"/>
    <w:rsid w:val="1626576B"/>
    <w:rsid w:val="162E0AC3"/>
    <w:rsid w:val="16941BC7"/>
    <w:rsid w:val="16A56C2E"/>
    <w:rsid w:val="17034227"/>
    <w:rsid w:val="17DB2585"/>
    <w:rsid w:val="17FD074D"/>
    <w:rsid w:val="182322BA"/>
    <w:rsid w:val="183D3DB6"/>
    <w:rsid w:val="188C387F"/>
    <w:rsid w:val="18AA0265"/>
    <w:rsid w:val="18D86277"/>
    <w:rsid w:val="19102702"/>
    <w:rsid w:val="1938661F"/>
    <w:rsid w:val="19A52E4A"/>
    <w:rsid w:val="19AA220F"/>
    <w:rsid w:val="1A345F7C"/>
    <w:rsid w:val="1A3911B5"/>
    <w:rsid w:val="1A4E703E"/>
    <w:rsid w:val="1B420EF6"/>
    <w:rsid w:val="1BA333BA"/>
    <w:rsid w:val="1BF3232F"/>
    <w:rsid w:val="1C330BE1"/>
    <w:rsid w:val="1C4D3DA9"/>
    <w:rsid w:val="1C6D7FA7"/>
    <w:rsid w:val="1C99656B"/>
    <w:rsid w:val="1CCB5E6C"/>
    <w:rsid w:val="1D183933"/>
    <w:rsid w:val="1E0A3BC4"/>
    <w:rsid w:val="1E236A34"/>
    <w:rsid w:val="1E3511F3"/>
    <w:rsid w:val="1E877DF0"/>
    <w:rsid w:val="1EA26876"/>
    <w:rsid w:val="1F215001"/>
    <w:rsid w:val="1FCF44DB"/>
    <w:rsid w:val="200E3310"/>
    <w:rsid w:val="20370574"/>
    <w:rsid w:val="205826F8"/>
    <w:rsid w:val="209812E5"/>
    <w:rsid w:val="20E5184B"/>
    <w:rsid w:val="21BC068A"/>
    <w:rsid w:val="222114DC"/>
    <w:rsid w:val="22941CAE"/>
    <w:rsid w:val="230010F2"/>
    <w:rsid w:val="23B73EA6"/>
    <w:rsid w:val="23E75EC1"/>
    <w:rsid w:val="24190E8D"/>
    <w:rsid w:val="24F030F2"/>
    <w:rsid w:val="253E0733"/>
    <w:rsid w:val="26217CFD"/>
    <w:rsid w:val="26FD2518"/>
    <w:rsid w:val="271D560E"/>
    <w:rsid w:val="27B34984"/>
    <w:rsid w:val="27D36DD5"/>
    <w:rsid w:val="27E46226"/>
    <w:rsid w:val="28196AC9"/>
    <w:rsid w:val="28D510D6"/>
    <w:rsid w:val="295F5CB6"/>
    <w:rsid w:val="29B6075C"/>
    <w:rsid w:val="29CD6057"/>
    <w:rsid w:val="2A033A63"/>
    <w:rsid w:val="2A497822"/>
    <w:rsid w:val="2AA9206F"/>
    <w:rsid w:val="2B253DEB"/>
    <w:rsid w:val="2B524298"/>
    <w:rsid w:val="2C250A37"/>
    <w:rsid w:val="2CCE400E"/>
    <w:rsid w:val="2DA137AA"/>
    <w:rsid w:val="2E1343CF"/>
    <w:rsid w:val="2E23384B"/>
    <w:rsid w:val="2E9F70FE"/>
    <w:rsid w:val="2EA65243"/>
    <w:rsid w:val="2EFE0BDB"/>
    <w:rsid w:val="2F177EEF"/>
    <w:rsid w:val="2F642A08"/>
    <w:rsid w:val="301D7787"/>
    <w:rsid w:val="3058256D"/>
    <w:rsid w:val="31411253"/>
    <w:rsid w:val="31F500A1"/>
    <w:rsid w:val="325A6A70"/>
    <w:rsid w:val="329D070B"/>
    <w:rsid w:val="32A001FB"/>
    <w:rsid w:val="32A14F8F"/>
    <w:rsid w:val="32BA750F"/>
    <w:rsid w:val="331838AD"/>
    <w:rsid w:val="339733AC"/>
    <w:rsid w:val="33EA5BD2"/>
    <w:rsid w:val="341644D4"/>
    <w:rsid w:val="34301B8F"/>
    <w:rsid w:val="343230D5"/>
    <w:rsid w:val="346D235F"/>
    <w:rsid w:val="34EA39B0"/>
    <w:rsid w:val="356D6ABA"/>
    <w:rsid w:val="35A818A1"/>
    <w:rsid w:val="36356EAC"/>
    <w:rsid w:val="370C2C56"/>
    <w:rsid w:val="3756532C"/>
    <w:rsid w:val="37713545"/>
    <w:rsid w:val="377C2E05"/>
    <w:rsid w:val="37FD6D6A"/>
    <w:rsid w:val="38DF45FE"/>
    <w:rsid w:val="39253208"/>
    <w:rsid w:val="3AE77F14"/>
    <w:rsid w:val="3B461DC0"/>
    <w:rsid w:val="3B895CD0"/>
    <w:rsid w:val="3B9C1C00"/>
    <w:rsid w:val="3BAC5E63"/>
    <w:rsid w:val="3D22018A"/>
    <w:rsid w:val="3D75100E"/>
    <w:rsid w:val="3D8250CD"/>
    <w:rsid w:val="3D850073"/>
    <w:rsid w:val="3DA43295"/>
    <w:rsid w:val="3DD35929"/>
    <w:rsid w:val="3E05733D"/>
    <w:rsid w:val="3E636CAD"/>
    <w:rsid w:val="3E6963C9"/>
    <w:rsid w:val="3F512FA9"/>
    <w:rsid w:val="3FE3665E"/>
    <w:rsid w:val="40464190"/>
    <w:rsid w:val="40880C4C"/>
    <w:rsid w:val="40B97058"/>
    <w:rsid w:val="40C652D1"/>
    <w:rsid w:val="40F3641E"/>
    <w:rsid w:val="41010B05"/>
    <w:rsid w:val="41114F25"/>
    <w:rsid w:val="41967399"/>
    <w:rsid w:val="41A41AB6"/>
    <w:rsid w:val="41CF1EF3"/>
    <w:rsid w:val="41F67E38"/>
    <w:rsid w:val="42016373"/>
    <w:rsid w:val="42034831"/>
    <w:rsid w:val="420E7B11"/>
    <w:rsid w:val="426254CD"/>
    <w:rsid w:val="42914140"/>
    <w:rsid w:val="430D7208"/>
    <w:rsid w:val="43105186"/>
    <w:rsid w:val="43114193"/>
    <w:rsid w:val="43284021"/>
    <w:rsid w:val="432D5ADB"/>
    <w:rsid w:val="44D75CFE"/>
    <w:rsid w:val="45010FB7"/>
    <w:rsid w:val="451505D5"/>
    <w:rsid w:val="454B36B1"/>
    <w:rsid w:val="45ED00D2"/>
    <w:rsid w:val="463B050F"/>
    <w:rsid w:val="46403EB3"/>
    <w:rsid w:val="469D4ABF"/>
    <w:rsid w:val="470603E8"/>
    <w:rsid w:val="470D32C2"/>
    <w:rsid w:val="472B40E0"/>
    <w:rsid w:val="476F277A"/>
    <w:rsid w:val="47733080"/>
    <w:rsid w:val="47855EE6"/>
    <w:rsid w:val="47B5127A"/>
    <w:rsid w:val="482074E7"/>
    <w:rsid w:val="48552861"/>
    <w:rsid w:val="48D82045"/>
    <w:rsid w:val="49944E39"/>
    <w:rsid w:val="49B93C25"/>
    <w:rsid w:val="49C33FF5"/>
    <w:rsid w:val="49C34AA3"/>
    <w:rsid w:val="49DF11B1"/>
    <w:rsid w:val="4A021E4C"/>
    <w:rsid w:val="4A802994"/>
    <w:rsid w:val="4AA04DE4"/>
    <w:rsid w:val="4AAC5537"/>
    <w:rsid w:val="4ADB5E1D"/>
    <w:rsid w:val="4AE66C9B"/>
    <w:rsid w:val="4B1A264B"/>
    <w:rsid w:val="4B447E66"/>
    <w:rsid w:val="4B880F4B"/>
    <w:rsid w:val="4B9009B5"/>
    <w:rsid w:val="4BBD5522"/>
    <w:rsid w:val="4BCF57F6"/>
    <w:rsid w:val="4C03387D"/>
    <w:rsid w:val="4C0945CB"/>
    <w:rsid w:val="4C6D519A"/>
    <w:rsid w:val="4C934C01"/>
    <w:rsid w:val="4CBA03DF"/>
    <w:rsid w:val="4D097704"/>
    <w:rsid w:val="4D3D618F"/>
    <w:rsid w:val="4D535BC0"/>
    <w:rsid w:val="4E2D698F"/>
    <w:rsid w:val="4E4A29F2"/>
    <w:rsid w:val="4F0A09C7"/>
    <w:rsid w:val="4F405AE9"/>
    <w:rsid w:val="4FA113E3"/>
    <w:rsid w:val="4FFA57DF"/>
    <w:rsid w:val="50850D04"/>
    <w:rsid w:val="5095304D"/>
    <w:rsid w:val="509B00D2"/>
    <w:rsid w:val="50BD049E"/>
    <w:rsid w:val="51330E09"/>
    <w:rsid w:val="51A5108F"/>
    <w:rsid w:val="51C15D6C"/>
    <w:rsid w:val="52157D35"/>
    <w:rsid w:val="52317E52"/>
    <w:rsid w:val="523A3EAC"/>
    <w:rsid w:val="5274168B"/>
    <w:rsid w:val="52E86C1A"/>
    <w:rsid w:val="53065A01"/>
    <w:rsid w:val="53152D68"/>
    <w:rsid w:val="53B86CFB"/>
    <w:rsid w:val="54012FD3"/>
    <w:rsid w:val="55894DF3"/>
    <w:rsid w:val="55EC5382"/>
    <w:rsid w:val="56252770"/>
    <w:rsid w:val="567A298E"/>
    <w:rsid w:val="56F269C8"/>
    <w:rsid w:val="571A0589"/>
    <w:rsid w:val="588F6E1D"/>
    <w:rsid w:val="591E3AA4"/>
    <w:rsid w:val="59CB77D5"/>
    <w:rsid w:val="5A04713E"/>
    <w:rsid w:val="5A81035D"/>
    <w:rsid w:val="5A8262B5"/>
    <w:rsid w:val="5A8B1072"/>
    <w:rsid w:val="5A8E07B6"/>
    <w:rsid w:val="5A9B53F5"/>
    <w:rsid w:val="5AB75AE4"/>
    <w:rsid w:val="5AC57D66"/>
    <w:rsid w:val="5AF50835"/>
    <w:rsid w:val="5B4D0671"/>
    <w:rsid w:val="5B5F7C32"/>
    <w:rsid w:val="5B9B5880"/>
    <w:rsid w:val="5BBE156E"/>
    <w:rsid w:val="5BC86C25"/>
    <w:rsid w:val="5C0218D1"/>
    <w:rsid w:val="5C110814"/>
    <w:rsid w:val="5C6E758E"/>
    <w:rsid w:val="5D706898"/>
    <w:rsid w:val="5D9B1B67"/>
    <w:rsid w:val="5F5A335C"/>
    <w:rsid w:val="5F605F9A"/>
    <w:rsid w:val="5F7A39FE"/>
    <w:rsid w:val="6008100A"/>
    <w:rsid w:val="60365B77"/>
    <w:rsid w:val="60453AA2"/>
    <w:rsid w:val="604C140E"/>
    <w:rsid w:val="606F2E37"/>
    <w:rsid w:val="60F05F24"/>
    <w:rsid w:val="610E7EC5"/>
    <w:rsid w:val="6165296C"/>
    <w:rsid w:val="62080D97"/>
    <w:rsid w:val="6233198D"/>
    <w:rsid w:val="62E80C7F"/>
    <w:rsid w:val="634B7B8C"/>
    <w:rsid w:val="6353259C"/>
    <w:rsid w:val="63610174"/>
    <w:rsid w:val="637152D6"/>
    <w:rsid w:val="64056A90"/>
    <w:rsid w:val="640D4E41"/>
    <w:rsid w:val="646507D9"/>
    <w:rsid w:val="64772BA6"/>
    <w:rsid w:val="647805F8"/>
    <w:rsid w:val="651E4E2C"/>
    <w:rsid w:val="659155FE"/>
    <w:rsid w:val="66546D57"/>
    <w:rsid w:val="66B069B4"/>
    <w:rsid w:val="66DE4873"/>
    <w:rsid w:val="66EC49C6"/>
    <w:rsid w:val="68C36416"/>
    <w:rsid w:val="68E9196C"/>
    <w:rsid w:val="6953779A"/>
    <w:rsid w:val="6979471D"/>
    <w:rsid w:val="69961435"/>
    <w:rsid w:val="6A0E36C1"/>
    <w:rsid w:val="6A54799D"/>
    <w:rsid w:val="6C496C32"/>
    <w:rsid w:val="6CF07C20"/>
    <w:rsid w:val="6D92578D"/>
    <w:rsid w:val="6E13574A"/>
    <w:rsid w:val="6E533D98"/>
    <w:rsid w:val="6E7A30D3"/>
    <w:rsid w:val="6F3F60CB"/>
    <w:rsid w:val="6F487EA1"/>
    <w:rsid w:val="6F7246F2"/>
    <w:rsid w:val="6F9957DB"/>
    <w:rsid w:val="6FB40867"/>
    <w:rsid w:val="718F6E95"/>
    <w:rsid w:val="71AF03CC"/>
    <w:rsid w:val="720B2D18"/>
    <w:rsid w:val="721B697B"/>
    <w:rsid w:val="73426189"/>
    <w:rsid w:val="738642C8"/>
    <w:rsid w:val="73893DB8"/>
    <w:rsid w:val="73FB4CB6"/>
    <w:rsid w:val="74235FBB"/>
    <w:rsid w:val="74505C61"/>
    <w:rsid w:val="74D52EB6"/>
    <w:rsid w:val="74DB1926"/>
    <w:rsid w:val="74EA0887"/>
    <w:rsid w:val="75722D56"/>
    <w:rsid w:val="76A81A23"/>
    <w:rsid w:val="76C30C21"/>
    <w:rsid w:val="779F3BAA"/>
    <w:rsid w:val="77BD2282"/>
    <w:rsid w:val="77E13575"/>
    <w:rsid w:val="78623556"/>
    <w:rsid w:val="794744F9"/>
    <w:rsid w:val="794B4E1C"/>
    <w:rsid w:val="7AFE61F7"/>
    <w:rsid w:val="7BD10A27"/>
    <w:rsid w:val="7C2D5C29"/>
    <w:rsid w:val="7C2F4CB3"/>
    <w:rsid w:val="7CA92035"/>
    <w:rsid w:val="7CE359F9"/>
    <w:rsid w:val="7D6065E3"/>
    <w:rsid w:val="7DC223A1"/>
    <w:rsid w:val="7DC91981"/>
    <w:rsid w:val="7DCC321F"/>
    <w:rsid w:val="7E4D25B2"/>
    <w:rsid w:val="7E97161A"/>
    <w:rsid w:val="7ED22BF9"/>
    <w:rsid w:val="7F512BFF"/>
    <w:rsid w:val="7FA21AA5"/>
    <w:rsid w:val="EFFDA8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7"/>
    <w:qFormat/>
    <w:uiPriority w:val="0"/>
    <w:pPr>
      <w:keepNext/>
      <w:keepLines/>
      <w:widowControl w:val="0"/>
      <w:spacing w:before="260" w:after="260" w:line="415" w:lineRule="auto"/>
      <w:outlineLvl w:val="1"/>
    </w:pPr>
    <w:rPr>
      <w:rFonts w:ascii="Cambria" w:hAnsi="Cambria"/>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3">
    <w:name w:val="Default Paragraph Font"/>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tabs>
        <w:tab w:val="left" w:pos="960"/>
      </w:tabs>
      <w:ind w:firstLine="420" w:firstLineChars="200"/>
    </w:pPr>
  </w:style>
  <w:style w:type="paragraph" w:styleId="3">
    <w:name w:val="Body Text Indent"/>
    <w:basedOn w:val="1"/>
    <w:qFormat/>
    <w:uiPriority w:val="0"/>
    <w:pPr>
      <w:tabs>
        <w:tab w:val="left" w:pos="960"/>
      </w:tabs>
      <w:spacing w:line="540" w:lineRule="exact"/>
      <w:ind w:firstLine="5440" w:firstLineChars="1700"/>
    </w:pPr>
    <w:rPr>
      <w:sz w:val="32"/>
      <w:szCs w:val="32"/>
    </w:rPr>
  </w:style>
  <w:style w:type="paragraph" w:styleId="7">
    <w:name w:val="toc 7"/>
    <w:basedOn w:val="1"/>
    <w:next w:val="1"/>
    <w:qFormat/>
    <w:uiPriority w:val="0"/>
    <w:pPr>
      <w:ind w:left="1260"/>
      <w:jc w:val="left"/>
    </w:pPr>
    <w:rPr>
      <w:rFonts w:ascii="等线" w:eastAsia="等线"/>
      <w:sz w:val="18"/>
      <w:szCs w:val="18"/>
    </w:rPr>
  </w:style>
  <w:style w:type="paragraph" w:styleId="8">
    <w:name w:val="Body Text"/>
    <w:basedOn w:val="1"/>
    <w:next w:val="9"/>
    <w:qFormat/>
    <w:uiPriority w:val="0"/>
    <w:pPr>
      <w:spacing w:before="30" w:beforeLines="30"/>
    </w:pPr>
    <w:rPr>
      <w:rFonts w:ascii="仿宋_GB2312" w:eastAsia="仿宋_GB2312"/>
      <w:kern w:val="0"/>
      <w:sz w:val="24"/>
      <w:szCs w:val="20"/>
    </w:rPr>
  </w:style>
  <w:style w:type="paragraph" w:styleId="9">
    <w:name w:val="Body Text First Indent"/>
    <w:basedOn w:val="8"/>
    <w:qFormat/>
    <w:uiPriority w:val="0"/>
    <w:pPr>
      <w:ind w:firstLine="420" w:firstLineChars="100"/>
    </w:pPr>
    <w:rPr>
      <w:kern w:val="0"/>
      <w:sz w:val="20"/>
      <w:szCs w:val="20"/>
    </w:rPr>
  </w:style>
  <w:style w:type="paragraph" w:styleId="10">
    <w:name w:val="toc 5"/>
    <w:basedOn w:val="1"/>
    <w:next w:val="1"/>
    <w:qFormat/>
    <w:uiPriority w:val="0"/>
    <w:pPr>
      <w:ind w:left="840"/>
      <w:jc w:val="left"/>
    </w:pPr>
    <w:rPr>
      <w:rFonts w:ascii="等线" w:eastAsia="等线"/>
      <w:sz w:val="18"/>
      <w:szCs w:val="18"/>
    </w:rPr>
  </w:style>
  <w:style w:type="paragraph" w:styleId="11">
    <w:name w:val="toc 3"/>
    <w:basedOn w:val="1"/>
    <w:next w:val="1"/>
    <w:qFormat/>
    <w:uiPriority w:val="0"/>
    <w:pPr>
      <w:ind w:left="420"/>
      <w:jc w:val="left"/>
    </w:pPr>
    <w:rPr>
      <w:rFonts w:ascii="等线" w:eastAsia="等线"/>
      <w:i/>
      <w:iCs/>
      <w:sz w:val="20"/>
      <w:szCs w:val="20"/>
    </w:rPr>
  </w:style>
  <w:style w:type="paragraph" w:styleId="12">
    <w:name w:val="toc 8"/>
    <w:basedOn w:val="1"/>
    <w:next w:val="1"/>
    <w:qFormat/>
    <w:uiPriority w:val="0"/>
    <w:pPr>
      <w:ind w:left="1470"/>
      <w:jc w:val="left"/>
    </w:pPr>
    <w:rPr>
      <w:rFonts w:ascii="等线" w:eastAsia="等线"/>
      <w:sz w:val="18"/>
      <w:szCs w:val="18"/>
    </w:rPr>
  </w:style>
  <w:style w:type="paragraph" w:styleId="13">
    <w:name w:val="Balloon Text"/>
    <w:basedOn w:val="1"/>
    <w:qFormat/>
    <w:uiPriority w:val="0"/>
    <w:rPr>
      <w:sz w:val="18"/>
      <w:szCs w:val="18"/>
    </w:rPr>
  </w:style>
  <w:style w:type="paragraph" w:styleId="14">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5">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6">
    <w:name w:val="toc 1"/>
    <w:basedOn w:val="1"/>
    <w:next w:val="1"/>
    <w:qFormat/>
    <w:uiPriority w:val="0"/>
    <w:pPr>
      <w:spacing w:before="120" w:after="120"/>
      <w:jc w:val="left"/>
    </w:pPr>
    <w:rPr>
      <w:rFonts w:ascii="等线" w:eastAsia="等线"/>
      <w:b/>
      <w:bCs/>
      <w:caps/>
      <w:sz w:val="20"/>
      <w:szCs w:val="20"/>
    </w:rPr>
  </w:style>
  <w:style w:type="paragraph" w:styleId="17">
    <w:name w:val="toc 4"/>
    <w:basedOn w:val="1"/>
    <w:next w:val="1"/>
    <w:qFormat/>
    <w:uiPriority w:val="0"/>
    <w:pPr>
      <w:ind w:left="630"/>
      <w:jc w:val="left"/>
    </w:pPr>
    <w:rPr>
      <w:rFonts w:ascii="等线" w:eastAsia="等线"/>
      <w:sz w:val="18"/>
      <w:szCs w:val="18"/>
    </w:rPr>
  </w:style>
  <w:style w:type="paragraph" w:styleId="18">
    <w:name w:val="toc 6"/>
    <w:basedOn w:val="1"/>
    <w:next w:val="1"/>
    <w:qFormat/>
    <w:uiPriority w:val="0"/>
    <w:pPr>
      <w:ind w:left="1050"/>
      <w:jc w:val="left"/>
    </w:pPr>
    <w:rPr>
      <w:rFonts w:ascii="等线" w:eastAsia="等线"/>
      <w:sz w:val="18"/>
      <w:szCs w:val="18"/>
    </w:rPr>
  </w:style>
  <w:style w:type="paragraph" w:styleId="19">
    <w:name w:val="toc 2"/>
    <w:basedOn w:val="1"/>
    <w:next w:val="1"/>
    <w:qFormat/>
    <w:uiPriority w:val="0"/>
    <w:pPr>
      <w:ind w:left="210"/>
      <w:jc w:val="left"/>
    </w:pPr>
    <w:rPr>
      <w:rFonts w:ascii="等线" w:eastAsia="等线"/>
      <w:smallCaps/>
      <w:sz w:val="20"/>
      <w:szCs w:val="20"/>
    </w:rPr>
  </w:style>
  <w:style w:type="paragraph" w:styleId="20">
    <w:name w:val="toc 9"/>
    <w:basedOn w:val="1"/>
    <w:next w:val="1"/>
    <w:qFormat/>
    <w:uiPriority w:val="0"/>
    <w:pPr>
      <w:ind w:left="1680"/>
      <w:jc w:val="left"/>
    </w:pPr>
    <w:rPr>
      <w:rFonts w:ascii="等线" w:eastAsia="等线"/>
      <w:sz w:val="18"/>
      <w:szCs w:val="18"/>
    </w:rPr>
  </w:style>
  <w:style w:type="paragraph" w:styleId="21">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24">
    <w:name w:val="Strong"/>
    <w:basedOn w:val="23"/>
    <w:qFormat/>
    <w:uiPriority w:val="0"/>
    <w:rPr>
      <w:rFonts w:cs="Times New Roman"/>
      <w:b/>
    </w:rPr>
  </w:style>
  <w:style w:type="character" w:styleId="25">
    <w:name w:val="Hyperlink"/>
    <w:basedOn w:val="23"/>
    <w:qFormat/>
    <w:uiPriority w:val="0"/>
    <w:rPr>
      <w:rFonts w:cs="Times New Roman"/>
      <w:color w:val="0000FF"/>
      <w:u w:val="single"/>
    </w:rPr>
  </w:style>
  <w:style w:type="character" w:customStyle="1" w:styleId="26">
    <w:name w:val="heading 1 Char"/>
    <w:basedOn w:val="23"/>
    <w:link w:val="4"/>
    <w:qFormat/>
    <w:uiPriority w:val="0"/>
    <w:rPr>
      <w:rFonts w:ascii="Times New Roman" w:hAnsi="Times New Roman" w:eastAsia="宋体" w:cs="Times New Roman"/>
      <w:b/>
      <w:bCs/>
      <w:kern w:val="44"/>
      <w:sz w:val="44"/>
      <w:szCs w:val="44"/>
      <w:lang w:val="en-US" w:eastAsia="zh-CN" w:bidi="ar-SA"/>
    </w:rPr>
  </w:style>
  <w:style w:type="character" w:customStyle="1" w:styleId="27">
    <w:name w:val="heading 2 Char"/>
    <w:basedOn w:val="23"/>
    <w:link w:val="5"/>
    <w:qFormat/>
    <w:uiPriority w:val="0"/>
    <w:rPr>
      <w:rFonts w:ascii="Cambria" w:hAnsi="Cambria" w:eastAsia="宋体" w:cs="Times New Roman"/>
      <w:b/>
      <w:bCs/>
      <w:kern w:val="2"/>
      <w:sz w:val="32"/>
      <w:szCs w:val="32"/>
      <w:lang w:val="en-US" w:eastAsia="zh-CN" w:bidi="ar-SA"/>
    </w:rPr>
  </w:style>
  <w:style w:type="character" w:customStyle="1" w:styleId="28">
    <w:name w:val="Body Text Char"/>
    <w:basedOn w:val="23"/>
    <w:qFormat/>
    <w:uiPriority w:val="0"/>
    <w:rPr>
      <w:rFonts w:ascii="Times New Roman" w:hAnsi="Times New Roman" w:cs="Times New Roman"/>
      <w:sz w:val="24"/>
      <w:szCs w:val="24"/>
    </w:rPr>
  </w:style>
  <w:style w:type="character" w:customStyle="1" w:styleId="29">
    <w:name w:val="Footer Char"/>
    <w:basedOn w:val="23"/>
    <w:qFormat/>
    <w:uiPriority w:val="0"/>
    <w:rPr>
      <w:rFonts w:ascii="Times New Roman" w:hAnsi="Times New Roman" w:cs="Times New Roman"/>
      <w:sz w:val="18"/>
      <w:szCs w:val="18"/>
    </w:rPr>
  </w:style>
  <w:style w:type="character" w:customStyle="1" w:styleId="30">
    <w:name w:val="Header Char"/>
    <w:basedOn w:val="23"/>
    <w:qFormat/>
    <w:uiPriority w:val="0"/>
    <w:rPr>
      <w:rFonts w:ascii="Times New Roman" w:hAnsi="Times New Roman" w:cs="Times New Roman"/>
      <w:sz w:val="18"/>
      <w:szCs w:val="18"/>
    </w:rPr>
  </w:style>
  <w:style w:type="paragraph" w:customStyle="1" w:styleId="3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2">
    <w:name w:val="列表段落1"/>
    <w:basedOn w:val="1"/>
    <w:qFormat/>
    <w:uiPriority w:val="0"/>
    <w:pPr>
      <w:ind w:firstLine="200" w:firstLineChars="200"/>
    </w:pPr>
  </w:style>
  <w:style w:type="paragraph" w:customStyle="1" w:styleId="33">
    <w:name w:val="TOC 标题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4">
    <w:name w:val="TOC Heading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5">
    <w:name w:val="TOC Heading"/>
    <w:basedOn w:val="4"/>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customStyle="1" w:styleId="36">
    <w:name w:val="正文首行缩进1"/>
    <w:basedOn w:val="8"/>
    <w:qFormat/>
    <w:uiPriority w:val="0"/>
    <w:pPr>
      <w:spacing w:before="100" w:beforeAutospacing="1" w:after="0"/>
      <w:ind w:firstLine="420" w:firstLineChars="100"/>
    </w:pPr>
    <w:rPr>
      <w:rFonts w:ascii="Times New Roman" w:hAnsi="Times New Roman" w:eastAsia="楷体_GB2312"/>
    </w:rPr>
  </w:style>
  <w:style w:type="paragraph" w:customStyle="1" w:styleId="37">
    <w:name w:val="无间隔4"/>
    <w:qFormat/>
    <w:uiPriority w:val="0"/>
    <w:pPr>
      <w:widowControl w:val="0"/>
      <w:jc w:val="both"/>
    </w:pPr>
    <w:rPr>
      <w:rFonts w:ascii="Calibri" w:hAnsi="Calibri" w:eastAsia="宋体" w:cs="Times New Roman"/>
      <w:kern w:val="2"/>
      <w:sz w:val="21"/>
      <w:szCs w:val="22"/>
      <w:lang w:val="en-US" w:eastAsia="zh-CN" w:bidi="ar-SA"/>
    </w:rPr>
  </w:style>
  <w:style w:type="character" w:customStyle="1" w:styleId="38">
    <w:name w:val="apple-converted-space"/>
    <w:basedOn w:val="23"/>
    <w:qFormat/>
    <w:uiPriority w:val="0"/>
  </w:style>
  <w:style w:type="paragraph" w:customStyle="1" w:styleId="39">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40">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1">
    <w:name w:val="四号正文"/>
    <w:basedOn w:val="1"/>
    <w:qFormat/>
    <w:uiPriority w:val="0"/>
    <w:pPr>
      <w:spacing w:line="360" w:lineRule="auto"/>
    </w:pPr>
    <w:rPr>
      <w:rFonts w:ascii="??" w:hAnsi="??" w:eastAsia="宋体"/>
      <w:color w:val="000000"/>
      <w:kern w:val="0"/>
      <w:sz w:val="28"/>
      <w:szCs w:val="21"/>
      <w:lang w:val="zh-CN"/>
    </w:rPr>
  </w:style>
  <w:style w:type="paragraph" w:styleId="42">
    <w:name w:val="List Paragraph"/>
    <w:basedOn w:val="1"/>
    <w:unhideWhenUsed/>
    <w:qFormat/>
    <w:uiPriority w:val="99"/>
    <w:pPr>
      <w:ind w:firstLine="420" w:firstLineChars="200"/>
    </w:pPr>
  </w:style>
  <w:style w:type="paragraph" w:customStyle="1" w:styleId="43">
    <w:name w:val="无间隔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2020</c:v>
                </c:pt>
              </c:strCache>
            </c:strRef>
          </c:tx>
          <c:spPr>
            <a:solidFill>
              <a:schemeClr val="accent1"/>
            </a:solidFill>
            <a:ln>
              <a:noFill/>
            </a:ln>
            <a:effectLst/>
          </c:spPr>
          <c:invertIfNegative val="0"/>
          <c:dLbls>
            <c:delete val="1"/>
          </c:dLbls>
          <c:cat>
            <c:strRef>
              <c:f>Sheet1!$A$2:$A$3</c:f>
              <c:strCache>
                <c:ptCount val="2"/>
                <c:pt idx="0">
                  <c:v>收入总计</c:v>
                </c:pt>
                <c:pt idx="1">
                  <c:v>支出总计</c:v>
                </c:pt>
              </c:strCache>
            </c:strRef>
          </c:cat>
          <c:val>
            <c:numRef>
              <c:f>Sheet1!$B$2:$B$3</c:f>
              <c:numCache>
                <c:formatCode>General</c:formatCode>
                <c:ptCount val="2"/>
                <c:pt idx="0">
                  <c:v>408.1</c:v>
                </c:pt>
                <c:pt idx="1">
                  <c:v>408.1</c:v>
                </c:pt>
              </c:numCache>
            </c:numRef>
          </c:val>
        </c:ser>
        <c:ser>
          <c:idx val="1"/>
          <c:order val="1"/>
          <c:tx>
            <c:strRef>
              <c:f>Sheet1!$C$1</c:f>
              <c:strCache>
                <c:ptCount val="1"/>
                <c:pt idx="0">
                  <c:v>2021</c:v>
                </c:pt>
              </c:strCache>
            </c:strRef>
          </c:tx>
          <c:spPr>
            <a:solidFill>
              <a:schemeClr val="accent2"/>
            </a:solidFill>
            <a:ln>
              <a:noFill/>
            </a:ln>
            <a:effectLst/>
          </c:spPr>
          <c:invertIfNegative val="0"/>
          <c:dLbls>
            <c:delete val="1"/>
          </c:dLbls>
          <c:cat>
            <c:strRef>
              <c:f>Sheet1!$A$2:$A$3</c:f>
              <c:strCache>
                <c:ptCount val="2"/>
                <c:pt idx="0">
                  <c:v>收入总计</c:v>
                </c:pt>
                <c:pt idx="1">
                  <c:v>支出总计</c:v>
                </c:pt>
              </c:strCache>
            </c:strRef>
          </c:cat>
          <c:val>
            <c:numRef>
              <c:f>Sheet1!$C$2:$C$3</c:f>
              <c:numCache>
                <c:formatCode>General</c:formatCode>
                <c:ptCount val="2"/>
                <c:pt idx="0">
                  <c:v>375.04</c:v>
                </c:pt>
                <c:pt idx="1">
                  <c:v>375.04</c:v>
                </c:pt>
              </c:numCache>
            </c:numRef>
          </c:val>
        </c:ser>
        <c:dLbls>
          <c:showLegendKey val="0"/>
          <c:showVal val="0"/>
          <c:showCatName val="0"/>
          <c:showSerName val="0"/>
          <c:showPercent val="0"/>
          <c:showBubbleSize val="0"/>
        </c:dLbls>
        <c:gapWidth val="219"/>
        <c:overlap val="-27"/>
        <c:axId val="627228192"/>
        <c:axId val="156887000"/>
      </c:barChart>
      <c:catAx>
        <c:axId val="62722819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887000"/>
        <c:crosses val="autoZero"/>
        <c:auto val="1"/>
        <c:lblAlgn val="ctr"/>
        <c:lblOffset val="100"/>
        <c:noMultiLvlLbl val="0"/>
      </c:catAx>
      <c:valAx>
        <c:axId val="1568870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72281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列2</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1"/>
              <c:delete val="1"/>
            </c:dLbl>
            <c:dLbl>
              <c:idx val="2"/>
              <c:delete val="1"/>
            </c:dLbl>
            <c:dLbl>
              <c:idx val="3"/>
              <c:delete val="1"/>
            </c:dLbl>
            <c:dLbl>
              <c:idx val="4"/>
              <c:delete val="1"/>
            </c:dLbl>
            <c:dLbl>
              <c:idx val="5"/>
              <c:delete val="1"/>
            </c:dLbl>
            <c:dLbl>
              <c:idx val="6"/>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375.04</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支出情况</c:v>
                </c:pt>
              </c:strCache>
            </c:strRef>
          </c:tx>
          <c:spPr/>
          <c:explosion val="0"/>
          <c:dPt>
            <c:idx val="0"/>
            <c:bubble3D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176966902890616"/>
                  <c:y val="-0.22088312650405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90.40%</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manualLayout>
                      <c:w val="0.16875"/>
                      <c:h val="0.113833333333333"/>
                    </c:manualLayout>
                  </c15:layout>
                </c:ext>
              </c:extLst>
            </c:dLbl>
            <c:dLbl>
              <c:idx val="1"/>
              <c:layout>
                <c:manualLayout>
                  <c:x val="0.0684403834867585"/>
                  <c:y val="0.14464660114468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9.60%</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manualLayout>
                      <c:w val="0.252125"/>
                      <c:h val="0.085"/>
                    </c:manualLayout>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339.03</c:v>
                </c:pt>
                <c:pt idx="1">
                  <c:v>36.01</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4812874251497"/>
          <c:y val="0.3325934579439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2020</c:v>
                </c:pt>
              </c:strCache>
            </c:strRef>
          </c:tx>
          <c:spPr>
            <a:solidFill>
              <a:schemeClr val="accent1"/>
            </a:solidFill>
            <a:ln>
              <a:noFill/>
            </a:ln>
            <a:effectLst/>
          </c:spPr>
          <c:invertIfNegative val="0"/>
          <c:dLbls>
            <c:delete val="1"/>
          </c:dLbls>
          <c:cat>
            <c:strRef>
              <c:f>Sheet1!$A$2:$A$3</c:f>
              <c:strCache>
                <c:ptCount val="2"/>
                <c:pt idx="0">
                  <c:v>财政拨款收入总计</c:v>
                </c:pt>
                <c:pt idx="1">
                  <c:v>财政拨款支出总计</c:v>
                </c:pt>
              </c:strCache>
            </c:strRef>
          </c:cat>
          <c:val>
            <c:numRef>
              <c:f>Sheet1!$B$2:$B$3</c:f>
              <c:numCache>
                <c:formatCode>General</c:formatCode>
                <c:ptCount val="2"/>
                <c:pt idx="0">
                  <c:v>408.1</c:v>
                </c:pt>
                <c:pt idx="1">
                  <c:v>408.1</c:v>
                </c:pt>
              </c:numCache>
            </c:numRef>
          </c:val>
        </c:ser>
        <c:ser>
          <c:idx val="1"/>
          <c:order val="1"/>
          <c:tx>
            <c:strRef>
              <c:f>Sheet1!$C$1</c:f>
              <c:strCache>
                <c:ptCount val="1"/>
                <c:pt idx="0">
                  <c:v>2021</c:v>
                </c:pt>
              </c:strCache>
            </c:strRef>
          </c:tx>
          <c:spPr>
            <a:solidFill>
              <a:schemeClr val="accent2"/>
            </a:solidFill>
            <a:ln>
              <a:noFill/>
            </a:ln>
            <a:effectLst/>
          </c:spPr>
          <c:invertIfNegative val="0"/>
          <c:dLbls>
            <c:delete val="1"/>
          </c:dLbls>
          <c:cat>
            <c:strRef>
              <c:f>Sheet1!$A$2:$A$3</c:f>
              <c:strCache>
                <c:ptCount val="2"/>
                <c:pt idx="0">
                  <c:v>财政拨款收入总计</c:v>
                </c:pt>
                <c:pt idx="1">
                  <c:v>财政拨款支出总计</c:v>
                </c:pt>
              </c:strCache>
            </c:strRef>
          </c:cat>
          <c:val>
            <c:numRef>
              <c:f>Sheet1!$C$2:$C$3</c:f>
              <c:numCache>
                <c:formatCode>General</c:formatCode>
                <c:ptCount val="2"/>
                <c:pt idx="0">
                  <c:v>375.04</c:v>
                </c:pt>
                <c:pt idx="1">
                  <c:v>375.04</c:v>
                </c:pt>
              </c:numCache>
            </c:numRef>
          </c:val>
        </c:ser>
        <c:dLbls>
          <c:showLegendKey val="0"/>
          <c:showVal val="0"/>
          <c:showCatName val="0"/>
          <c:showSerName val="0"/>
          <c:showPercent val="0"/>
          <c:showBubbleSize val="0"/>
        </c:dLbls>
        <c:gapWidth val="219"/>
        <c:overlap val="-27"/>
        <c:axId val="627228192"/>
        <c:axId val="156887000"/>
      </c:barChart>
      <c:catAx>
        <c:axId val="62722819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887000"/>
        <c:crosses val="autoZero"/>
        <c:auto val="1"/>
        <c:lblAlgn val="ctr"/>
        <c:lblOffset val="100"/>
        <c:noMultiLvlLbl val="0"/>
      </c:catAx>
      <c:valAx>
        <c:axId val="1568870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72281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2020</c:v>
                </c:pt>
              </c:strCache>
            </c:strRef>
          </c:tx>
          <c:spPr>
            <a:solidFill>
              <a:schemeClr val="accent1"/>
            </a:solidFill>
            <a:ln>
              <a:noFill/>
            </a:ln>
            <a:effectLst/>
          </c:spPr>
          <c:invertIfNegative val="0"/>
          <c:dLbls>
            <c:delete val="1"/>
          </c:dLbls>
          <c:cat>
            <c:strRef>
              <c:f>Sheet1!$A$2</c:f>
              <c:strCache>
                <c:ptCount val="1"/>
                <c:pt idx="0">
                  <c:v>一般公共预算财政拨款支出</c:v>
                </c:pt>
              </c:strCache>
            </c:strRef>
          </c:cat>
          <c:val>
            <c:numRef>
              <c:f>Sheet1!$B$2</c:f>
              <c:numCache>
                <c:formatCode>General</c:formatCode>
                <c:ptCount val="1"/>
                <c:pt idx="0">
                  <c:v>408.01</c:v>
                </c:pt>
              </c:numCache>
            </c:numRef>
          </c:val>
        </c:ser>
        <c:ser>
          <c:idx val="1"/>
          <c:order val="1"/>
          <c:tx>
            <c:strRef>
              <c:f>Sheet1!$C$1</c:f>
              <c:strCache>
                <c:ptCount val="1"/>
                <c:pt idx="0">
                  <c:v>2021</c:v>
                </c:pt>
              </c:strCache>
            </c:strRef>
          </c:tx>
          <c:spPr>
            <a:solidFill>
              <a:schemeClr val="accent2"/>
            </a:solidFill>
            <a:ln>
              <a:noFill/>
            </a:ln>
            <a:effectLst/>
          </c:spPr>
          <c:invertIfNegative val="0"/>
          <c:dLbls>
            <c:delete val="1"/>
          </c:dLbls>
          <c:cat>
            <c:strRef>
              <c:f>Sheet1!$A$2</c:f>
              <c:strCache>
                <c:ptCount val="1"/>
                <c:pt idx="0">
                  <c:v>一般公共预算财政拨款支出</c:v>
                </c:pt>
              </c:strCache>
            </c:strRef>
          </c:cat>
          <c:val>
            <c:numRef>
              <c:f>Sheet1!$C$2</c:f>
              <c:numCache>
                <c:formatCode>General</c:formatCode>
                <c:ptCount val="1"/>
                <c:pt idx="0">
                  <c:v>375.04</c:v>
                </c:pt>
              </c:numCache>
            </c:numRef>
          </c:val>
        </c:ser>
        <c:dLbls>
          <c:showLegendKey val="0"/>
          <c:showVal val="0"/>
          <c:showCatName val="0"/>
          <c:showSerName val="0"/>
          <c:showPercent val="0"/>
          <c:showBubbleSize val="0"/>
        </c:dLbls>
        <c:gapWidth val="219"/>
        <c:overlap val="-27"/>
        <c:axId val="627228192"/>
        <c:axId val="156887000"/>
      </c:barChart>
      <c:catAx>
        <c:axId val="62722819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887000"/>
        <c:crosses val="autoZero"/>
        <c:auto val="1"/>
        <c:lblAlgn val="ctr"/>
        <c:lblOffset val="100"/>
        <c:noMultiLvlLbl val="0"/>
      </c:catAx>
      <c:valAx>
        <c:axId val="1568870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72281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
        <c:rich>
          <a:bodyPr/>
          <a:lstStyle/>
          <a:p>
            <a:pPr>
              <a:defRPr/>
            </a:pPr>
          </a:p>
        </c:rich>
      </c:tx>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90.88</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manualLayout>
                  <c:x val="0.0539459099112435"/>
                  <c:y val="0.164207589750755"/>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3.74</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878552283344962"/>
                  <c:y val="0.0693673780306616"/>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5.13</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358158792562731"/>
                  <c:y val="0.0674591137107895"/>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0.25</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社会保障和就业支出</c:v>
                </c:pt>
                <c:pt idx="1">
                  <c:v>卫生健康支出</c:v>
                </c:pt>
                <c:pt idx="2">
                  <c:v>农林水支出</c:v>
                </c:pt>
                <c:pt idx="3">
                  <c:v>住房保障支出</c:v>
                </c:pt>
              </c:strCache>
            </c:strRef>
          </c:cat>
          <c:val>
            <c:numRef>
              <c:f>Sheet1!$B$2:$B$5</c:f>
              <c:numCache>
                <c:formatCode>General</c:formatCode>
                <c:ptCount val="4"/>
                <c:pt idx="0">
                  <c:v>340.85</c:v>
                </c:pt>
                <c:pt idx="1">
                  <c:v>14.01</c:v>
                </c:pt>
                <c:pt idx="2">
                  <c:v>0.93</c:v>
                </c:pt>
                <c:pt idx="3">
                  <c:v>19.25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三公”经费财政拨款支出结构</c:v>
                </c:pt>
              </c:strCache>
            </c:strRef>
          </c:tx>
          <c:spPr/>
          <c:explosion val="11"/>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333203499347056"/>
                  <c:y val="0.19235945646977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801691492575399"/>
                  <c:y val="0.20563868922521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因公出国（境）经费支出</c:v>
                </c:pt>
                <c:pt idx="1">
                  <c:v>公务用车购置及运行维护费支出</c:v>
                </c:pt>
                <c:pt idx="2">
                  <c:v>公务接待费支出</c:v>
                </c:pt>
              </c:strCache>
            </c:strRef>
          </c:cat>
          <c:val>
            <c:numRef>
              <c:f>Sheet1!$B$2:$B$4</c:f>
              <c:numCache>
                <c:formatCode>General</c:formatCode>
                <c:ptCount val="3"/>
                <c:pt idx="0">
                  <c:v>0</c:v>
                </c:pt>
                <c:pt idx="1">
                  <c:v>0</c:v>
                </c:pt>
                <c:pt idx="2">
                  <c:v>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22</Pages>
  <Words>6717</Words>
  <Characters>7262</Characters>
  <Lines>596</Lines>
  <Paragraphs>286</Paragraphs>
  <TotalTime>5</TotalTime>
  <ScaleCrop>false</ScaleCrop>
  <LinksUpToDate>false</LinksUpToDate>
  <CharactersWithSpaces>7419</CharactersWithSpaces>
  <Application>WPS Office_11.8.2.1116_F1E327BC-269C-435d-A152-05C5408002CA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2022-09-20T10:51:00Z</cp:lastPrinted>
  <dcterms:modified xsi:type="dcterms:W3CDTF">2022-09-20T15:36:57Z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716EC6B271CC47F89383604371ACE362</vt:lpwstr>
  </property>
</Properties>
</file>