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hint="eastAsia" w:ascii="黑体" w:hAnsi="黑体" w:eastAsia="黑体"/>
          <w:sz w:val="44"/>
          <w:szCs w:val="44"/>
          <w:lang w:eastAsia="zh-CN"/>
        </w:rPr>
      </w:pPr>
      <w:r>
        <w:rPr>
          <w:rFonts w:hint="eastAsia" w:ascii="黑体" w:hAnsi="黑体" w:eastAsia="黑体"/>
          <w:sz w:val="44"/>
          <w:szCs w:val="44"/>
        </w:rPr>
        <w:t>茂县</w:t>
      </w:r>
      <w:r>
        <w:rPr>
          <w:rFonts w:hint="eastAsia" w:ascii="黑体" w:hAnsi="黑体" w:eastAsia="黑体"/>
          <w:sz w:val="44"/>
          <w:szCs w:val="44"/>
          <w:lang w:val="en-US" w:eastAsia="zh-CN"/>
        </w:rPr>
        <w:t>社会保险事业管理局</w:t>
      </w:r>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023年部门预算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11"/>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_GB2312" w:hAnsi="楷体" w:eastAsia="楷体_GB2312"/>
          <w:sz w:val="32"/>
          <w:szCs w:val="32"/>
        </w:rPr>
      </w:pPr>
      <w:r>
        <w:rPr>
          <w:rFonts w:hint="eastAsia" w:ascii="楷体_GB2312" w:hAnsi="楷体" w:eastAsia="楷体_GB2312"/>
          <w:sz w:val="32"/>
          <w:szCs w:val="32"/>
        </w:rPr>
        <w:t>（一）部门职能简介</w:t>
      </w:r>
    </w:p>
    <w:p>
      <w:pPr>
        <w:rPr>
          <w:rFonts w:ascii="楷体_GB2312" w:hAnsi="楷体" w:eastAsia="楷体_GB2312"/>
          <w:sz w:val="32"/>
          <w:szCs w:val="32"/>
        </w:rPr>
      </w:pPr>
      <w:r>
        <w:rPr>
          <w:rFonts w:hint="eastAsia" w:ascii="楷体_GB2312" w:hAnsi="楷体" w:eastAsia="楷体_GB2312"/>
          <w:sz w:val="32"/>
          <w:szCs w:val="32"/>
        </w:rPr>
        <w:t>（二）2023年重点工作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hint="eastAsia" w:ascii="楷体_GB2312" w:hAnsi="楷体" w:eastAsia="楷体_GB2312"/>
          <w:sz w:val="32"/>
          <w:szCs w:val="32"/>
          <w:lang w:eastAsia="zh-CN"/>
        </w:rPr>
      </w:pPr>
      <w:r>
        <w:rPr>
          <w:rFonts w:hint="eastAsia" w:ascii="楷体_GB2312" w:hAnsi="楷体" w:eastAsia="楷体_GB2312"/>
          <w:sz w:val="32"/>
          <w:szCs w:val="32"/>
        </w:rPr>
        <w:t>（一）一般公共预算当年拨款规模变化情况</w:t>
      </w:r>
    </w:p>
    <w:p>
      <w:pPr>
        <w:rPr>
          <w:rFonts w:hint="eastAsia" w:ascii="楷体_GB2312" w:hAnsi="楷体" w:eastAsia="楷体_GB2312"/>
          <w:sz w:val="32"/>
          <w:szCs w:val="32"/>
          <w:lang w:eastAsia="zh-CN"/>
        </w:rPr>
      </w:pPr>
      <w:r>
        <w:rPr>
          <w:rFonts w:hint="eastAsia" w:ascii="楷体_GB2312" w:hAnsi="楷体" w:eastAsia="楷体_GB2312"/>
          <w:sz w:val="32"/>
          <w:szCs w:val="32"/>
        </w:rPr>
        <w:t>（二）一般公共预算当年拨款结构情况</w:t>
      </w:r>
    </w:p>
    <w:p>
      <w:pPr>
        <w:rPr>
          <w:rFonts w:hint="eastAsia" w:ascii="楷体_GB2312" w:hAnsi="楷体" w:eastAsia="楷体_GB2312"/>
          <w:sz w:val="32"/>
          <w:szCs w:val="32"/>
          <w:lang w:eastAsia="zh-CN"/>
        </w:rPr>
      </w:pPr>
      <w:r>
        <w:rPr>
          <w:rFonts w:hint="eastAsia" w:ascii="楷体_GB2312" w:hAnsi="楷体" w:eastAsia="楷体_GB2312"/>
          <w:sz w:val="32"/>
          <w:szCs w:val="32"/>
        </w:rPr>
        <w:t>（三）一般公共预算当年拨款具体使用情况</w:t>
      </w:r>
    </w:p>
    <w:p>
      <w:pPr>
        <w:rPr>
          <w:rFonts w:hint="eastAsia" w:ascii="黑体" w:hAnsi="黑体" w:eastAsia="黑体"/>
          <w:sz w:val="32"/>
          <w:szCs w:val="32"/>
          <w:lang w:eastAsia="zh-CN"/>
        </w:rPr>
      </w:pPr>
      <w:r>
        <w:rPr>
          <w:rFonts w:hint="eastAsia" w:ascii="黑体" w:hAnsi="黑体" w:eastAsia="黑体"/>
          <w:sz w:val="32"/>
          <w:szCs w:val="32"/>
        </w:rPr>
        <w:t>六、一般公共预算基本支出情况说明</w:t>
      </w:r>
    </w:p>
    <w:p>
      <w:pPr>
        <w:rPr>
          <w:rFonts w:hint="eastAsia" w:ascii="黑体" w:hAnsi="黑体" w:eastAsia="黑体"/>
          <w:sz w:val="32"/>
          <w:szCs w:val="32"/>
          <w:lang w:eastAsia="zh-CN"/>
        </w:rPr>
      </w:pPr>
      <w:r>
        <w:rPr>
          <w:rFonts w:hint="eastAsia" w:ascii="黑体" w:hAnsi="黑体" w:eastAsia="黑体"/>
          <w:sz w:val="32"/>
          <w:szCs w:val="32"/>
        </w:rPr>
        <w:t>七、“三公”经费财政拨款预算安排情况说明</w:t>
      </w:r>
    </w:p>
    <w:p>
      <w:pPr>
        <w:rPr>
          <w:rFonts w:hint="eastAsia" w:ascii="黑体" w:hAnsi="黑体" w:eastAsia="黑体"/>
          <w:sz w:val="32"/>
          <w:szCs w:val="32"/>
          <w:lang w:eastAsia="zh-CN"/>
        </w:rPr>
      </w:pPr>
      <w:r>
        <w:rPr>
          <w:rFonts w:hint="eastAsia" w:ascii="黑体" w:hAnsi="黑体" w:eastAsia="黑体"/>
          <w:sz w:val="32"/>
          <w:szCs w:val="32"/>
        </w:rPr>
        <w:t>八、政府性基金预算支出情况说明</w:t>
      </w:r>
    </w:p>
    <w:p>
      <w:pPr>
        <w:rPr>
          <w:rFonts w:hint="eastAsia" w:ascii="黑体" w:hAnsi="黑体" w:eastAsia="黑体"/>
          <w:sz w:val="32"/>
          <w:szCs w:val="32"/>
          <w:lang w:eastAsia="zh-CN"/>
        </w:rPr>
      </w:pPr>
      <w:r>
        <w:rPr>
          <w:rFonts w:hint="eastAsia" w:ascii="黑体" w:hAnsi="黑体" w:eastAsia="黑体"/>
          <w:sz w:val="32"/>
          <w:szCs w:val="32"/>
        </w:rPr>
        <w:t>九、其他重要事项的情况说明</w:t>
      </w:r>
    </w:p>
    <w:p>
      <w:pPr>
        <w:rPr>
          <w:rFonts w:ascii="黑体" w:hAnsi="黑体" w:eastAsia="黑体"/>
          <w:sz w:val="32"/>
          <w:szCs w:val="32"/>
        </w:rPr>
      </w:pPr>
      <w:r>
        <w:rPr>
          <w:rFonts w:hint="eastAsia" w:ascii="黑体" w:hAnsi="黑体" w:eastAsia="黑体"/>
          <w:sz w:val="32"/>
          <w:szCs w:val="32"/>
        </w:rPr>
        <w:t>十、名称解释</w:t>
      </w:r>
    </w:p>
    <w:p>
      <w:pPr>
        <w:rPr>
          <w:rFonts w:ascii="黑体" w:hAnsi="黑体" w:eastAsia="黑体"/>
          <w:sz w:val="32"/>
          <w:szCs w:val="32"/>
        </w:rPr>
      </w:pPr>
    </w:p>
    <w:p>
      <w:pPr>
        <w:pStyle w:val="2"/>
        <w:rPr>
          <w:rFonts w:ascii="黑体" w:hAnsi="黑体" w:eastAsia="黑体"/>
          <w:sz w:val="32"/>
          <w:szCs w:val="32"/>
        </w:rPr>
      </w:pPr>
    </w:p>
    <w:p>
      <w:pPr>
        <w:pStyle w:val="2"/>
        <w:rPr>
          <w:rFonts w:ascii="黑体" w:hAnsi="黑体" w:eastAsia="黑体"/>
          <w:sz w:val="32"/>
          <w:szCs w:val="32"/>
        </w:rPr>
      </w:pPr>
    </w:p>
    <w:p>
      <w:pPr>
        <w:pStyle w:val="11"/>
        <w:ind w:firstLine="640"/>
        <w:rPr>
          <w:rFonts w:ascii="黑体" w:hAnsi="黑体" w:eastAsia="黑体"/>
          <w:sz w:val="32"/>
          <w:szCs w:val="32"/>
        </w:rPr>
      </w:pPr>
      <w:r>
        <w:rPr>
          <w:rFonts w:hint="eastAsia" w:ascii="黑体" w:hAnsi="黑体" w:eastAsia="黑体"/>
          <w:sz w:val="32"/>
          <w:szCs w:val="32"/>
        </w:rPr>
        <w:t>一、基本职能及主要工作</w:t>
      </w:r>
    </w:p>
    <w:p>
      <w:pPr>
        <w:ind w:firstLine="643"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pPr>
        <w:pageBreakBefore w:val="0"/>
        <w:kinsoku/>
        <w:wordWrap/>
        <w:overflowPunct/>
        <w:topLinePunct w:val="0"/>
        <w:autoSpaceDE/>
        <w:autoSpaceDN/>
        <w:bidi w:val="0"/>
        <w:spacing w:line="576" w:lineRule="exact"/>
        <w:ind w:right="-342" w:rightChars="-163" w:firstLine="640" w:firstLineChars="200"/>
        <w:textAlignment w:val="auto"/>
        <w:rPr>
          <w:rFonts w:hint="eastAsia" w:ascii="仿宋" w:hAnsi="仿宋" w:eastAsia="仿宋" w:cs="仿宋_GB2312"/>
          <w:sz w:val="32"/>
          <w:szCs w:val="32"/>
        </w:rPr>
      </w:pPr>
      <w:r>
        <w:rPr>
          <w:rFonts w:hint="eastAsia" w:ascii="仿宋" w:hAnsi="仿宋" w:eastAsia="仿宋" w:cs="仿宋_GB2312"/>
          <w:sz w:val="32"/>
          <w:szCs w:val="32"/>
        </w:rPr>
        <w:t>茂县社会保险事业管理局是县政府综合管理全县社会保险工作的职能部门，承担政府职能</w:t>
      </w:r>
      <w:r>
        <w:rPr>
          <w:rFonts w:hint="eastAsia" w:ascii="仿宋" w:hAnsi="仿宋" w:eastAsia="仿宋" w:cs="仿宋_GB2312"/>
          <w:b w:val="0"/>
          <w:bCs w:val="0"/>
          <w:sz w:val="32"/>
          <w:szCs w:val="32"/>
        </w:rPr>
        <w:t>的管理机构</w:t>
      </w:r>
      <w:r>
        <w:rPr>
          <w:rFonts w:hint="eastAsia" w:ascii="仿宋" w:hAnsi="仿宋" w:eastAsia="仿宋" w:cs="仿宋_GB2312"/>
          <w:sz w:val="32"/>
          <w:szCs w:val="32"/>
        </w:rPr>
        <w:t>，贯彻执行国家、省、州有关社会保险政策和法律、法规，负责全县企业基本养老保险、机关事业养老保险、职业年金、工伤保险等社会保险工作。</w:t>
      </w:r>
    </w:p>
    <w:p>
      <w:pPr>
        <w:ind w:firstLine="643" w:firstLineChars="200"/>
        <w:rPr>
          <w:rFonts w:ascii="楷体_GB2312" w:hAnsi="楷体" w:eastAsia="楷体_GB2312"/>
          <w:b/>
          <w:sz w:val="32"/>
          <w:szCs w:val="32"/>
        </w:rPr>
      </w:pPr>
      <w:r>
        <w:rPr>
          <w:rFonts w:hint="eastAsia" w:ascii="楷体_GB2312" w:hAnsi="楷体" w:eastAsia="楷体_GB2312"/>
          <w:b/>
          <w:sz w:val="32"/>
          <w:szCs w:val="32"/>
        </w:rPr>
        <w:t>（二）2023年重点工作</w:t>
      </w:r>
    </w:p>
    <w:p>
      <w:pPr>
        <w:pageBreakBefore w:val="0"/>
        <w:kinsoku/>
        <w:wordWrap/>
        <w:overflowPunct/>
        <w:topLinePunct w:val="0"/>
        <w:autoSpaceDE/>
        <w:autoSpaceDN/>
        <w:bidi w:val="0"/>
        <w:spacing w:line="576" w:lineRule="exact"/>
        <w:ind w:right="-342" w:rightChars="-163" w:firstLine="640" w:firstLineChars="200"/>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1.加强宣传力度，落实社保政策</w:t>
      </w:r>
      <w:r>
        <w:rPr>
          <w:rFonts w:hint="eastAsia" w:ascii="仿宋" w:hAnsi="仿宋" w:eastAsia="仿宋" w:cs="仿宋_GB2312"/>
          <w:sz w:val="32"/>
          <w:szCs w:val="32"/>
        </w:rPr>
        <w:t>。</w:t>
      </w:r>
    </w:p>
    <w:p>
      <w:pPr>
        <w:pageBreakBefore w:val="0"/>
        <w:kinsoku/>
        <w:wordWrap/>
        <w:overflowPunct/>
        <w:topLinePunct w:val="0"/>
        <w:autoSpaceDE/>
        <w:autoSpaceDN/>
        <w:bidi w:val="0"/>
        <w:spacing w:line="576" w:lineRule="exact"/>
        <w:ind w:right="-342" w:rightChars="-163" w:firstLine="640" w:firstLineChars="200"/>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2.持续推进建筑行业参加工伤保险</w:t>
      </w:r>
      <w:r>
        <w:rPr>
          <w:rFonts w:hint="eastAsia" w:ascii="仿宋" w:hAnsi="仿宋" w:eastAsia="仿宋" w:cs="仿宋_GB2312"/>
          <w:sz w:val="32"/>
          <w:szCs w:val="32"/>
        </w:rPr>
        <w:t>。</w:t>
      </w:r>
    </w:p>
    <w:p>
      <w:pPr>
        <w:pageBreakBefore w:val="0"/>
        <w:kinsoku/>
        <w:wordWrap/>
        <w:overflowPunct/>
        <w:topLinePunct w:val="0"/>
        <w:autoSpaceDE/>
        <w:autoSpaceDN/>
        <w:bidi w:val="0"/>
        <w:spacing w:line="576" w:lineRule="exact"/>
        <w:ind w:right="-342" w:rightChars="-163" w:firstLine="640" w:firstLineChars="200"/>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3.加强拟退休人员信息预审公示力度</w:t>
      </w:r>
      <w:r>
        <w:rPr>
          <w:rFonts w:hint="eastAsia" w:ascii="仿宋" w:hAnsi="仿宋" w:eastAsia="仿宋" w:cs="仿宋_GB2312"/>
          <w:sz w:val="32"/>
          <w:szCs w:val="32"/>
        </w:rPr>
        <w:t>。</w:t>
      </w:r>
    </w:p>
    <w:p>
      <w:pPr>
        <w:pageBreakBefore w:val="0"/>
        <w:kinsoku/>
        <w:wordWrap/>
        <w:overflowPunct/>
        <w:topLinePunct w:val="0"/>
        <w:autoSpaceDE/>
        <w:autoSpaceDN/>
        <w:bidi w:val="0"/>
        <w:spacing w:line="576" w:lineRule="exact"/>
        <w:ind w:right="-342" w:rightChars="-163" w:firstLine="640" w:firstLineChars="200"/>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4.加强生存认证工作，维护基金安全</w:t>
      </w:r>
      <w:r>
        <w:rPr>
          <w:rFonts w:hint="eastAsia" w:ascii="仿宋" w:hAnsi="仿宋" w:eastAsia="仿宋" w:cs="仿宋_GB2312"/>
          <w:sz w:val="32"/>
          <w:szCs w:val="32"/>
        </w:rPr>
        <w:t>。</w:t>
      </w:r>
    </w:p>
    <w:p>
      <w:pPr>
        <w:pageBreakBefore w:val="0"/>
        <w:kinsoku/>
        <w:wordWrap/>
        <w:overflowPunct/>
        <w:topLinePunct w:val="0"/>
        <w:autoSpaceDE/>
        <w:autoSpaceDN/>
        <w:bidi w:val="0"/>
        <w:spacing w:line="576" w:lineRule="exact"/>
        <w:ind w:right="-342" w:rightChars="-163" w:firstLine="640" w:firstLineChars="200"/>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5.落实政风建设，转变服务理念</w:t>
      </w:r>
      <w:r>
        <w:rPr>
          <w:rFonts w:hint="eastAsia" w:ascii="仿宋" w:hAnsi="仿宋" w:eastAsia="仿宋" w:cs="仿宋_GB2312"/>
          <w:sz w:val="32"/>
          <w:szCs w:val="32"/>
        </w:rPr>
        <w:t>。</w:t>
      </w:r>
    </w:p>
    <w:p>
      <w:pPr>
        <w:pStyle w:val="11"/>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pPr>
        <w:pStyle w:val="13"/>
        <w:keepNext w:val="0"/>
        <w:keepLines w:val="0"/>
        <w:pageBreakBefore w:val="0"/>
        <w:widowControl/>
        <w:suppressAutoHyphens w:val="0"/>
        <w:overflowPunct w:val="0"/>
        <w:bidi w:val="0"/>
        <w:snapToGrid/>
        <w:spacing w:line="560" w:lineRule="exact"/>
        <w:ind w:firstLine="640"/>
        <w:jc w:val="both"/>
        <w:textAlignment w:val="auto"/>
        <w:rPr>
          <w:rFonts w:ascii="仿宋_GB2312" w:eastAsia="仿宋_GB2312"/>
          <w:sz w:val="32"/>
          <w:szCs w:val="32"/>
          <w:lang w:eastAsia="zh-CN"/>
        </w:rPr>
      </w:pPr>
      <w:r>
        <w:rPr>
          <w:rFonts w:hint="eastAsia" w:ascii="仿宋" w:hAnsi="仿宋" w:eastAsia="仿宋" w:cs="仿宋_GB2312"/>
          <w:color w:val="auto"/>
          <w:kern w:val="2"/>
          <w:sz w:val="32"/>
          <w:szCs w:val="32"/>
          <w:lang w:val="en-US" w:eastAsia="zh-CN" w:bidi="ar-SA"/>
        </w:rPr>
        <w:t>茂县社会保险事业管理局属一级预算单位。</w:t>
      </w:r>
    </w:p>
    <w:p>
      <w:pPr>
        <w:pStyle w:val="11"/>
        <w:ind w:left="720" w:firstLine="0" w:firstLineChars="0"/>
        <w:rPr>
          <w:rFonts w:ascii="黑体" w:hAnsi="黑体" w:eastAsia="黑体"/>
          <w:sz w:val="32"/>
          <w:szCs w:val="32"/>
        </w:rPr>
      </w:pPr>
      <w:r>
        <w:rPr>
          <w:rFonts w:hint="eastAsia" w:ascii="黑体" w:hAnsi="黑体" w:eastAsia="黑体"/>
          <w:sz w:val="32"/>
          <w:szCs w:val="32"/>
        </w:rPr>
        <w:t>三、收支预算情况说明</w:t>
      </w:r>
    </w:p>
    <w:p>
      <w:pPr>
        <w:pStyle w:val="13"/>
        <w:keepNext w:val="0"/>
        <w:keepLines w:val="0"/>
        <w:pageBreakBefore w:val="0"/>
        <w:widowControl/>
        <w:suppressAutoHyphens w:val="0"/>
        <w:overflowPunct w:val="0"/>
        <w:bidi w:val="0"/>
        <w:snapToGrid/>
        <w:spacing w:line="560" w:lineRule="exact"/>
        <w:ind w:firstLine="640"/>
        <w:jc w:val="both"/>
        <w:textAlignment w:val="auto"/>
        <w:rPr>
          <w:rFonts w:hint="eastAsia" w:ascii="仿宋" w:hAnsi="仿宋" w:eastAsia="仿宋" w:cs="仿宋_GB2312"/>
          <w:color w:val="auto"/>
          <w:kern w:val="2"/>
          <w:sz w:val="32"/>
          <w:szCs w:val="32"/>
          <w:lang w:val="en-US" w:eastAsia="zh-CN" w:bidi="ar-SA"/>
        </w:rPr>
      </w:pPr>
      <w:r>
        <w:rPr>
          <w:rFonts w:hint="eastAsia" w:ascii="仿宋" w:hAnsi="仿宋" w:eastAsia="仿宋" w:cs="仿宋_GB2312"/>
          <w:color w:val="auto"/>
          <w:kern w:val="2"/>
          <w:sz w:val="32"/>
          <w:szCs w:val="32"/>
          <w:lang w:val="en-US" w:eastAsia="zh-CN" w:bidi="ar-SA"/>
        </w:rPr>
        <w:t>按照综合预算的原则，茂县社会保险事业管理局所有收入和支出均纳入部门预算管理。收入包括：一般公共预算拨款收入3365315.10元；支出包括：社会保障和就业支出2954660.82元，卫生健康支出190382.28元，住房保障支出220272.00元。茂县社会保险事业管理局2023年收支总预算3365315.10元,比2022年收支预算总数增加1138897.71元，主要原因:人员变动、职工职务职级变动增资及每年行政事业人员工资正常晋升。</w:t>
      </w:r>
    </w:p>
    <w:p>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pPr>
        <w:rPr>
          <w:rFonts w:ascii="仿宋_GB2312" w:eastAsia="仿宋_GB2312" w:cs="Times New Roman"/>
          <w:sz w:val="32"/>
          <w:szCs w:val="32"/>
        </w:rPr>
      </w:pPr>
      <w:r>
        <w:rPr>
          <w:rFonts w:ascii="仿宋_GB2312" w:eastAsia="仿宋_GB2312"/>
          <w:sz w:val="32"/>
          <w:szCs w:val="32"/>
        </w:rPr>
        <w:t>　　</w:t>
      </w:r>
      <w:r>
        <w:rPr>
          <w:rFonts w:hint="eastAsia" w:ascii="仿宋" w:hAnsi="仿宋" w:eastAsia="仿宋" w:cs="仿宋_GB2312"/>
          <w:color w:val="auto"/>
          <w:kern w:val="2"/>
          <w:sz w:val="32"/>
          <w:szCs w:val="32"/>
          <w:lang w:val="en-US" w:eastAsia="zh-CN" w:bidi="ar-SA"/>
        </w:rPr>
        <w:t>2023年收入预算3365315.10元；一般公共预算拨款收入3365315.10元，占100%。</w:t>
      </w:r>
    </w:p>
    <w:p>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pPr>
        <w:rPr>
          <w:rFonts w:hint="eastAsia" w:ascii="仿宋" w:hAnsi="仿宋" w:eastAsia="仿宋" w:cs="仿宋_GB2312"/>
          <w:color w:val="auto"/>
          <w:kern w:val="2"/>
          <w:sz w:val="32"/>
          <w:szCs w:val="32"/>
          <w:lang w:val="en-US" w:eastAsia="zh-CN" w:bidi="ar-SA"/>
        </w:rPr>
      </w:pPr>
      <w:r>
        <w:rPr>
          <w:rFonts w:ascii="仿宋_GB2312" w:eastAsia="仿宋_GB2312"/>
          <w:sz w:val="32"/>
          <w:szCs w:val="32"/>
        </w:rPr>
        <w:t>　</w:t>
      </w:r>
      <w:r>
        <w:rPr>
          <w:rFonts w:hint="eastAsia" w:ascii="仿宋" w:hAnsi="仿宋" w:eastAsia="仿宋" w:cs="仿宋_GB2312"/>
          <w:color w:val="auto"/>
          <w:kern w:val="2"/>
          <w:sz w:val="32"/>
          <w:szCs w:val="32"/>
          <w:lang w:val="en-US" w:eastAsia="zh-CN" w:bidi="ar-SA"/>
        </w:rPr>
        <w:t>　2023年支出预算3365315.10元，其中：基本支出3365315.10元，占100%。</w:t>
      </w:r>
    </w:p>
    <w:p>
      <w:pPr>
        <w:spacing w:line="560" w:lineRule="exact"/>
        <w:ind w:firstLine="800" w:firstLineChars="250"/>
        <w:jc w:val="left"/>
        <w:rPr>
          <w:rFonts w:ascii="仿宋_GB2312" w:eastAsia="仿宋_GB2312"/>
          <w:sz w:val="32"/>
          <w:szCs w:val="32"/>
        </w:rPr>
      </w:pPr>
      <w:r>
        <w:rPr>
          <w:rFonts w:hint="eastAsia" w:ascii="黑体" w:hAnsi="黑体" w:eastAsia="黑体"/>
          <w:sz w:val="32"/>
          <w:szCs w:val="32"/>
        </w:rPr>
        <w:t>四、财政拨款收支预算情况说明</w:t>
      </w:r>
    </w:p>
    <w:p>
      <w:pPr>
        <w:pStyle w:val="13"/>
        <w:keepNext w:val="0"/>
        <w:keepLines w:val="0"/>
        <w:pageBreakBefore w:val="0"/>
        <w:widowControl/>
        <w:suppressAutoHyphens w:val="0"/>
        <w:overflowPunct w:val="0"/>
        <w:bidi w:val="0"/>
        <w:snapToGrid/>
        <w:spacing w:line="560" w:lineRule="exact"/>
        <w:ind w:firstLine="640"/>
        <w:jc w:val="both"/>
        <w:textAlignment w:val="auto"/>
        <w:rPr>
          <w:rFonts w:hint="eastAsia" w:ascii="仿宋" w:hAnsi="仿宋" w:eastAsia="仿宋" w:cs="仿宋_GB2312"/>
          <w:color w:val="auto"/>
          <w:kern w:val="2"/>
          <w:sz w:val="32"/>
          <w:szCs w:val="32"/>
          <w:lang w:val="en-US" w:eastAsia="zh-CN" w:bidi="ar-SA"/>
        </w:rPr>
      </w:pPr>
      <w:r>
        <w:rPr>
          <w:rFonts w:hint="eastAsia" w:ascii="仿宋" w:hAnsi="仿宋" w:eastAsia="仿宋" w:cs="仿宋_GB2312"/>
          <w:color w:val="auto"/>
          <w:kern w:val="2"/>
          <w:sz w:val="32"/>
          <w:szCs w:val="32"/>
          <w:lang w:val="en-US" w:eastAsia="zh-CN" w:bidi="ar-SA"/>
        </w:rPr>
        <w:t>2023年财政拨款收支总预算3365315.10元,比2022年收支预算总数增加1138897.71元，主要原因:人员变动、职工职务职级变动增资及每年行政事业人员工资正常晋升。</w:t>
      </w:r>
    </w:p>
    <w:p>
      <w:pPr>
        <w:pStyle w:val="13"/>
        <w:keepNext w:val="0"/>
        <w:keepLines w:val="0"/>
        <w:pageBreakBefore w:val="0"/>
        <w:widowControl/>
        <w:suppressAutoHyphens w:val="0"/>
        <w:overflowPunct w:val="0"/>
        <w:bidi w:val="0"/>
        <w:snapToGrid/>
        <w:spacing w:line="560" w:lineRule="exact"/>
        <w:ind w:firstLine="640"/>
        <w:jc w:val="both"/>
        <w:textAlignment w:val="auto"/>
        <w:rPr>
          <w:rFonts w:hint="eastAsia" w:ascii="仿宋" w:hAnsi="仿宋" w:eastAsia="仿宋" w:cs="仿宋_GB2312"/>
          <w:color w:val="auto"/>
          <w:kern w:val="2"/>
          <w:sz w:val="32"/>
          <w:szCs w:val="32"/>
          <w:lang w:val="en-US" w:eastAsia="zh-CN" w:bidi="ar-SA"/>
        </w:rPr>
      </w:pPr>
      <w:r>
        <w:rPr>
          <w:rFonts w:hint="eastAsia" w:ascii="仿宋" w:hAnsi="仿宋" w:eastAsia="仿宋" w:cs="仿宋_GB2312"/>
          <w:color w:val="auto"/>
          <w:kern w:val="2"/>
          <w:sz w:val="32"/>
          <w:szCs w:val="32"/>
          <w:lang w:val="en-US" w:eastAsia="zh-CN" w:bidi="ar-SA"/>
        </w:rPr>
        <w:t>收入包括：本年一般公共预算拨款收入3365315.10元。</w:t>
      </w:r>
    </w:p>
    <w:p>
      <w:pPr>
        <w:pStyle w:val="13"/>
        <w:keepNext w:val="0"/>
        <w:keepLines w:val="0"/>
        <w:pageBreakBefore w:val="0"/>
        <w:widowControl/>
        <w:suppressAutoHyphens w:val="0"/>
        <w:overflowPunct w:val="0"/>
        <w:bidi w:val="0"/>
        <w:snapToGrid/>
        <w:spacing w:line="560" w:lineRule="exact"/>
        <w:ind w:firstLine="640"/>
        <w:jc w:val="both"/>
        <w:textAlignment w:val="auto"/>
        <w:rPr>
          <w:rFonts w:hint="eastAsia" w:ascii="仿宋" w:hAnsi="仿宋" w:eastAsia="仿宋" w:cs="仿宋_GB2312"/>
          <w:color w:val="auto"/>
          <w:kern w:val="2"/>
          <w:sz w:val="32"/>
          <w:szCs w:val="32"/>
          <w:lang w:val="en-US" w:eastAsia="zh-CN" w:bidi="ar-SA"/>
        </w:rPr>
      </w:pPr>
      <w:r>
        <w:rPr>
          <w:rFonts w:hint="eastAsia" w:ascii="仿宋" w:hAnsi="仿宋" w:eastAsia="仿宋" w:cs="仿宋_GB2312"/>
          <w:color w:val="auto"/>
          <w:kern w:val="2"/>
          <w:sz w:val="32"/>
          <w:szCs w:val="32"/>
          <w:lang w:val="en-US" w:eastAsia="zh-CN" w:bidi="ar-SA"/>
        </w:rPr>
        <w:t>支出包括：社会保障和就业支出2954660.82元，卫生健康支出190382.28元，住房保障支出220272.00元。</w:t>
      </w:r>
    </w:p>
    <w:p>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pPr>
        <w:pStyle w:val="12"/>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pPr>
        <w:pStyle w:val="13"/>
        <w:keepNext w:val="0"/>
        <w:keepLines w:val="0"/>
        <w:pageBreakBefore w:val="0"/>
        <w:widowControl/>
        <w:suppressAutoHyphens w:val="0"/>
        <w:overflowPunct w:val="0"/>
        <w:bidi w:val="0"/>
        <w:snapToGrid/>
        <w:spacing w:line="560" w:lineRule="exact"/>
        <w:ind w:firstLine="640"/>
        <w:jc w:val="both"/>
        <w:textAlignment w:val="auto"/>
        <w:rPr>
          <w:rFonts w:hint="eastAsia" w:ascii="仿宋" w:hAnsi="仿宋" w:eastAsia="仿宋" w:cs="仿宋_GB2312"/>
          <w:color w:val="auto"/>
          <w:kern w:val="2"/>
          <w:sz w:val="32"/>
          <w:szCs w:val="32"/>
          <w:lang w:val="en-US" w:eastAsia="zh-CN" w:bidi="ar-SA"/>
        </w:rPr>
      </w:pPr>
      <w:r>
        <w:rPr>
          <w:rFonts w:hint="eastAsia" w:ascii="仿宋" w:hAnsi="仿宋" w:eastAsia="仿宋" w:cs="仿宋_GB2312"/>
          <w:color w:val="auto"/>
          <w:kern w:val="2"/>
          <w:sz w:val="32"/>
          <w:szCs w:val="32"/>
          <w:lang w:val="en-US" w:eastAsia="zh-CN" w:bidi="ar-SA"/>
        </w:rPr>
        <w:t>2023年一般公共预算当年拨款3365315.10元,比2022年预算数增加1138897.71元，主要原因:人员变动、职工职务职级变动增资及每年行政事业人员工资正常晋升。</w:t>
      </w:r>
    </w:p>
    <w:p>
      <w:pPr>
        <w:spacing w:line="560" w:lineRule="exact"/>
        <w:ind w:firstLine="643"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pPr>
        <w:pStyle w:val="13"/>
        <w:keepNext w:val="0"/>
        <w:keepLines w:val="0"/>
        <w:pageBreakBefore w:val="0"/>
        <w:widowControl/>
        <w:suppressAutoHyphens w:val="0"/>
        <w:overflowPunct w:val="0"/>
        <w:bidi w:val="0"/>
        <w:snapToGrid/>
        <w:spacing w:line="560" w:lineRule="exact"/>
        <w:ind w:firstLine="640"/>
        <w:jc w:val="both"/>
        <w:textAlignment w:val="auto"/>
        <w:rPr>
          <w:rFonts w:hint="eastAsia" w:ascii="仿宋" w:hAnsi="仿宋" w:eastAsia="仿宋" w:cs="仿宋_GB2312"/>
          <w:color w:val="auto"/>
          <w:kern w:val="2"/>
          <w:sz w:val="32"/>
          <w:szCs w:val="32"/>
          <w:lang w:val="en-US" w:eastAsia="zh-CN" w:bidi="ar-SA"/>
        </w:rPr>
      </w:pPr>
      <w:r>
        <w:rPr>
          <w:rFonts w:hint="eastAsia" w:ascii="仿宋" w:hAnsi="仿宋" w:eastAsia="仿宋" w:cs="仿宋_GB2312"/>
          <w:color w:val="auto"/>
          <w:kern w:val="2"/>
          <w:sz w:val="32"/>
          <w:szCs w:val="32"/>
          <w:lang w:val="en-US" w:eastAsia="zh-CN" w:bidi="ar-SA"/>
        </w:rPr>
        <w:t>社会保障和就业支出2954660.82元，占87.80%；卫生健康支出190382.28元，占5.66%；住房保障支出220272.00元，占6.54%。</w:t>
      </w:r>
    </w:p>
    <w:p>
      <w:pPr>
        <w:pStyle w:val="12"/>
        <w:spacing w:before="0" w:line="360" w:lineRule="auto"/>
        <w:ind w:left="653" w:leftChars="311"/>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pPr>
        <w:pStyle w:val="13"/>
        <w:keepNext w:val="0"/>
        <w:keepLines w:val="0"/>
        <w:pageBreakBefore w:val="0"/>
        <w:widowControl/>
        <w:suppressAutoHyphens w:val="0"/>
        <w:overflowPunct w:val="0"/>
        <w:bidi w:val="0"/>
        <w:snapToGrid/>
        <w:spacing w:line="560" w:lineRule="exact"/>
        <w:ind w:firstLine="640"/>
        <w:jc w:val="both"/>
        <w:textAlignment w:val="auto"/>
        <w:rPr>
          <w:rFonts w:hint="eastAsia" w:ascii="仿宋" w:hAnsi="仿宋" w:eastAsia="仿宋" w:cs="仿宋_GB2312"/>
          <w:color w:val="auto"/>
          <w:kern w:val="2"/>
          <w:sz w:val="32"/>
          <w:szCs w:val="32"/>
          <w:lang w:val="en-US" w:eastAsia="zh-CN" w:bidi="ar-SA"/>
        </w:rPr>
      </w:pPr>
      <w:r>
        <w:rPr>
          <w:rFonts w:hint="eastAsia" w:ascii="仿宋" w:hAnsi="仿宋" w:eastAsia="仿宋" w:cs="仿宋_GB2312"/>
          <w:color w:val="auto"/>
          <w:kern w:val="2"/>
          <w:sz w:val="32"/>
          <w:szCs w:val="32"/>
          <w:lang w:val="en-US" w:eastAsia="zh-CN" w:bidi="ar-SA"/>
        </w:rPr>
        <w:t>1.社会保障和就业支出（208）人力资源和社会保障管理事务（01）行政运行（01）2023年预算数为2609227.86元，主要用于单位人员经费和日常公用经费等基本支出。</w:t>
      </w:r>
    </w:p>
    <w:p>
      <w:pPr>
        <w:pStyle w:val="13"/>
        <w:keepNext w:val="0"/>
        <w:keepLines w:val="0"/>
        <w:pageBreakBefore w:val="0"/>
        <w:widowControl/>
        <w:suppressAutoHyphens w:val="0"/>
        <w:overflowPunct w:val="0"/>
        <w:bidi w:val="0"/>
        <w:snapToGrid/>
        <w:spacing w:line="560" w:lineRule="exact"/>
        <w:ind w:firstLine="640"/>
        <w:jc w:val="both"/>
        <w:textAlignment w:val="auto"/>
        <w:rPr>
          <w:rFonts w:hint="eastAsia" w:ascii="仿宋" w:hAnsi="仿宋" w:eastAsia="仿宋" w:cs="仿宋_GB2312"/>
          <w:color w:val="auto"/>
          <w:kern w:val="2"/>
          <w:sz w:val="32"/>
          <w:szCs w:val="32"/>
          <w:lang w:val="en-US" w:eastAsia="zh-CN" w:bidi="ar-SA"/>
        </w:rPr>
      </w:pPr>
      <w:r>
        <w:rPr>
          <w:rFonts w:hint="eastAsia" w:ascii="仿宋" w:hAnsi="仿宋" w:eastAsia="仿宋" w:cs="仿宋_GB2312"/>
          <w:color w:val="auto"/>
          <w:kern w:val="2"/>
          <w:sz w:val="32"/>
          <w:szCs w:val="32"/>
          <w:lang w:val="en-US" w:eastAsia="zh-CN" w:bidi="ar-SA"/>
        </w:rPr>
        <w:t>2.社会保障和就业支出（208）行政事业单位养老支出（05）机关事业单位基本养老保险缴费支出（05）2023年预算数为230288.64元，主要用于单位缴纳基本养老保险费。</w:t>
      </w:r>
    </w:p>
    <w:p>
      <w:pPr>
        <w:pStyle w:val="13"/>
        <w:keepNext w:val="0"/>
        <w:keepLines w:val="0"/>
        <w:pageBreakBefore w:val="0"/>
        <w:widowControl/>
        <w:suppressAutoHyphens w:val="0"/>
        <w:overflowPunct w:val="0"/>
        <w:bidi w:val="0"/>
        <w:snapToGrid/>
        <w:spacing w:line="560" w:lineRule="exact"/>
        <w:ind w:firstLine="640"/>
        <w:jc w:val="both"/>
        <w:textAlignment w:val="auto"/>
        <w:rPr>
          <w:rFonts w:hint="eastAsia" w:ascii="仿宋" w:hAnsi="仿宋" w:eastAsia="仿宋" w:cs="仿宋_GB2312"/>
          <w:color w:val="auto"/>
          <w:kern w:val="2"/>
          <w:sz w:val="32"/>
          <w:szCs w:val="32"/>
          <w:lang w:val="en-US" w:eastAsia="zh-CN" w:bidi="ar-SA"/>
        </w:rPr>
      </w:pPr>
      <w:r>
        <w:rPr>
          <w:rFonts w:hint="eastAsia" w:ascii="仿宋" w:hAnsi="仿宋" w:eastAsia="仿宋" w:cs="仿宋_GB2312"/>
          <w:color w:val="auto"/>
          <w:kern w:val="2"/>
          <w:sz w:val="32"/>
          <w:szCs w:val="32"/>
          <w:lang w:val="en-US" w:eastAsia="zh-CN" w:bidi="ar-SA"/>
        </w:rPr>
        <w:t>3.社会保障和就业支出（208）行政事业单位养老支出（05）机关事业单位职业年金缴费支出（06）2023年预算数为115144.32元，主要用于单位缴纳职业年金。</w:t>
      </w:r>
    </w:p>
    <w:p>
      <w:pPr>
        <w:pStyle w:val="13"/>
        <w:keepNext w:val="0"/>
        <w:keepLines w:val="0"/>
        <w:pageBreakBefore w:val="0"/>
        <w:widowControl/>
        <w:suppressAutoHyphens w:val="0"/>
        <w:overflowPunct w:val="0"/>
        <w:bidi w:val="0"/>
        <w:snapToGrid/>
        <w:spacing w:line="560" w:lineRule="exact"/>
        <w:ind w:firstLine="640"/>
        <w:jc w:val="both"/>
        <w:textAlignment w:val="auto"/>
        <w:rPr>
          <w:rFonts w:hint="eastAsia" w:ascii="仿宋" w:hAnsi="仿宋" w:eastAsia="仿宋" w:cs="仿宋_GB2312"/>
          <w:color w:val="auto"/>
          <w:kern w:val="2"/>
          <w:sz w:val="32"/>
          <w:szCs w:val="32"/>
          <w:lang w:val="en-US" w:eastAsia="zh-CN" w:bidi="ar-SA"/>
        </w:rPr>
      </w:pPr>
      <w:r>
        <w:rPr>
          <w:rFonts w:hint="eastAsia" w:ascii="仿宋" w:hAnsi="仿宋" w:eastAsia="仿宋" w:cs="仿宋_GB2312"/>
          <w:color w:val="auto"/>
          <w:kern w:val="2"/>
          <w:sz w:val="32"/>
          <w:szCs w:val="32"/>
          <w:lang w:val="en-US" w:eastAsia="zh-CN" w:bidi="ar-SA"/>
        </w:rPr>
        <w:t>4.卫生健康支出（210）行政事业单位医疗（11）行政单位医疗（01）2023年预算数为190382.28元，主要用于行政单位缴纳基本医疗保险。</w:t>
      </w:r>
    </w:p>
    <w:p>
      <w:pPr>
        <w:pStyle w:val="13"/>
        <w:keepNext w:val="0"/>
        <w:keepLines w:val="0"/>
        <w:pageBreakBefore w:val="0"/>
        <w:widowControl/>
        <w:suppressAutoHyphens w:val="0"/>
        <w:overflowPunct w:val="0"/>
        <w:bidi w:val="0"/>
        <w:snapToGrid/>
        <w:spacing w:line="560" w:lineRule="exact"/>
        <w:ind w:firstLine="640"/>
        <w:jc w:val="both"/>
        <w:textAlignment w:val="auto"/>
        <w:rPr>
          <w:rFonts w:hint="eastAsia" w:ascii="仿宋" w:hAnsi="仿宋" w:eastAsia="仿宋" w:cs="仿宋_GB2312"/>
          <w:color w:val="auto"/>
          <w:kern w:val="2"/>
          <w:sz w:val="32"/>
          <w:szCs w:val="32"/>
          <w:lang w:val="en-US" w:eastAsia="zh-CN" w:bidi="ar-SA"/>
        </w:rPr>
      </w:pPr>
      <w:r>
        <w:rPr>
          <w:rFonts w:hint="eastAsia" w:ascii="仿宋" w:hAnsi="仿宋" w:eastAsia="仿宋" w:cs="仿宋_GB2312"/>
          <w:color w:val="auto"/>
          <w:kern w:val="2"/>
          <w:sz w:val="32"/>
          <w:szCs w:val="32"/>
          <w:lang w:val="en-US" w:eastAsia="zh-CN" w:bidi="ar-SA"/>
        </w:rPr>
        <w:t>5.住房保障支出（221）住房改革支出（02）住房公积金（01）2023年预算数为220272.00元，主要用于单位为职工缴纳住房公积金。</w:t>
      </w:r>
    </w:p>
    <w:p>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pPr>
        <w:pStyle w:val="13"/>
        <w:keepNext w:val="0"/>
        <w:keepLines w:val="0"/>
        <w:pageBreakBefore w:val="0"/>
        <w:widowControl/>
        <w:suppressAutoHyphens w:val="0"/>
        <w:overflowPunct w:val="0"/>
        <w:bidi w:val="0"/>
        <w:snapToGrid/>
        <w:spacing w:line="560" w:lineRule="exact"/>
        <w:ind w:firstLine="640"/>
        <w:jc w:val="both"/>
        <w:textAlignment w:val="auto"/>
        <w:rPr>
          <w:rFonts w:hint="eastAsia" w:ascii="仿宋" w:hAnsi="仿宋" w:eastAsia="仿宋" w:cs="仿宋_GB2312"/>
          <w:color w:val="auto"/>
          <w:kern w:val="2"/>
          <w:sz w:val="32"/>
          <w:szCs w:val="32"/>
          <w:lang w:val="en-US" w:eastAsia="zh-CN" w:bidi="ar-SA"/>
        </w:rPr>
      </w:pPr>
      <w:r>
        <w:rPr>
          <w:rFonts w:hint="eastAsia" w:ascii="仿宋" w:hAnsi="仿宋" w:eastAsia="仿宋" w:cs="仿宋_GB2312"/>
          <w:color w:val="auto"/>
          <w:kern w:val="2"/>
          <w:sz w:val="32"/>
          <w:szCs w:val="32"/>
          <w:lang w:val="en-US" w:eastAsia="zh-CN" w:bidi="ar-SA"/>
        </w:rPr>
        <w:t>2023年一般公共预算基本支出3365315.10元，其中：人员经费3228325.10元，主要包括：基本工资、津贴补贴、奖金、其他社会保障缴费、绩效工资、机关事业单位基本养老保险缴费、职业年金缴费、其他工资福利支出、奖励金、住房公积金、其他对个人和家庭的补助支出。公用经费136990.00元，主要包括：办公费、印刷费、电费、邮电费、差旅费、维修（护）费、租赁费、培训费、劳务费、工会经费、福利费、其他交通工具运行维护费。</w:t>
      </w:r>
    </w:p>
    <w:p>
      <w:pPr>
        <w:spacing w:line="560" w:lineRule="exact"/>
        <w:ind w:firstLine="640" w:firstLineChars="200"/>
        <w:rPr>
          <w:rFonts w:ascii="黑体" w:eastAsia="黑体"/>
          <w:sz w:val="32"/>
          <w:szCs w:val="32"/>
        </w:rPr>
      </w:pPr>
      <w:r>
        <w:rPr>
          <w:rFonts w:hint="eastAsia" w:ascii="黑体" w:hAnsi="黑体" w:eastAsia="黑体"/>
          <w:sz w:val="32"/>
          <w:szCs w:val="32"/>
        </w:rPr>
        <w:t xml:space="preserve">  七、“三公”经费财政拨款预算安排情况说明</w:t>
      </w:r>
    </w:p>
    <w:p>
      <w:pPr>
        <w:pStyle w:val="13"/>
        <w:keepNext w:val="0"/>
        <w:keepLines w:val="0"/>
        <w:pageBreakBefore w:val="0"/>
        <w:widowControl/>
        <w:suppressAutoHyphens w:val="0"/>
        <w:overflowPunct w:val="0"/>
        <w:bidi w:val="0"/>
        <w:snapToGrid/>
        <w:spacing w:line="560" w:lineRule="exact"/>
        <w:ind w:firstLine="640"/>
        <w:jc w:val="both"/>
        <w:textAlignment w:val="auto"/>
        <w:rPr>
          <w:rFonts w:hint="eastAsia" w:ascii="仿宋" w:hAnsi="仿宋" w:eastAsia="仿宋" w:cs="仿宋_GB2312"/>
          <w:color w:val="auto"/>
          <w:kern w:val="2"/>
          <w:sz w:val="32"/>
          <w:szCs w:val="32"/>
          <w:lang w:val="en-US" w:eastAsia="zh-CN" w:bidi="ar-SA"/>
        </w:rPr>
      </w:pPr>
      <w:r>
        <w:rPr>
          <w:rFonts w:hint="eastAsia" w:ascii="仿宋" w:hAnsi="仿宋" w:eastAsia="仿宋" w:cs="仿宋_GB2312"/>
          <w:color w:val="auto"/>
          <w:kern w:val="2"/>
          <w:sz w:val="32"/>
          <w:szCs w:val="32"/>
          <w:lang w:val="en-US" w:eastAsia="zh-CN" w:bidi="ar-SA"/>
        </w:rPr>
        <w:t>2023年“三公”经费财政拨款预算数3040.00元，其中：无因公出国（境）经费，公务接待费3040.00元，无公务用车购置及运行维护费。</w:t>
      </w:r>
    </w:p>
    <w:p>
      <w:pPr>
        <w:pStyle w:val="13"/>
        <w:keepNext w:val="0"/>
        <w:keepLines w:val="0"/>
        <w:pageBreakBefore w:val="0"/>
        <w:widowControl/>
        <w:suppressAutoHyphens w:val="0"/>
        <w:overflowPunct w:val="0"/>
        <w:bidi w:val="0"/>
        <w:snapToGrid/>
        <w:spacing w:line="560" w:lineRule="exact"/>
        <w:ind w:firstLine="640"/>
        <w:jc w:val="both"/>
        <w:textAlignment w:val="auto"/>
        <w:rPr>
          <w:rFonts w:hint="eastAsia" w:ascii="仿宋" w:hAnsi="仿宋" w:eastAsia="仿宋" w:cs="仿宋_GB2312"/>
          <w:color w:val="auto"/>
          <w:kern w:val="2"/>
          <w:sz w:val="32"/>
          <w:szCs w:val="32"/>
          <w:lang w:val="en-US" w:eastAsia="zh-CN" w:bidi="ar-SA"/>
        </w:rPr>
      </w:pPr>
      <w:r>
        <w:rPr>
          <w:rFonts w:hint="eastAsia" w:ascii="仿宋" w:hAnsi="仿宋" w:eastAsia="仿宋" w:cs="仿宋_GB2312"/>
          <w:color w:val="auto"/>
          <w:kern w:val="2"/>
          <w:sz w:val="32"/>
          <w:szCs w:val="32"/>
          <w:lang w:val="en-US" w:eastAsia="zh-CN" w:bidi="ar-SA"/>
        </w:rPr>
        <w:t>（一）2023年无因公出国（境）经费，同比无变化。</w:t>
      </w:r>
    </w:p>
    <w:p>
      <w:pPr>
        <w:pStyle w:val="13"/>
        <w:keepNext w:val="0"/>
        <w:keepLines w:val="0"/>
        <w:pageBreakBefore w:val="0"/>
        <w:widowControl/>
        <w:suppressAutoHyphens w:val="0"/>
        <w:overflowPunct w:val="0"/>
        <w:bidi w:val="0"/>
        <w:snapToGrid/>
        <w:spacing w:line="560" w:lineRule="exact"/>
        <w:ind w:firstLine="640"/>
        <w:jc w:val="both"/>
        <w:textAlignment w:val="auto"/>
        <w:rPr>
          <w:rFonts w:hint="default" w:ascii="仿宋" w:hAnsi="仿宋" w:eastAsia="仿宋" w:cs="仿宋_GB2312"/>
          <w:color w:val="auto"/>
          <w:kern w:val="2"/>
          <w:sz w:val="32"/>
          <w:szCs w:val="32"/>
          <w:lang w:val="en-US" w:eastAsia="zh-CN" w:bidi="ar-SA"/>
        </w:rPr>
      </w:pPr>
      <w:r>
        <w:rPr>
          <w:rFonts w:hint="eastAsia" w:ascii="仿宋" w:hAnsi="仿宋" w:eastAsia="仿宋" w:cs="仿宋_GB2312"/>
          <w:color w:val="auto"/>
          <w:kern w:val="2"/>
          <w:sz w:val="32"/>
          <w:szCs w:val="32"/>
          <w:lang w:val="en-US" w:eastAsia="zh-CN" w:bidi="ar-SA"/>
        </w:rPr>
        <w:t>（二）2023年公务接待经费3040.00元。较2022年预算经费增加640元，增长26.67%，主要原因是：人员增加。</w:t>
      </w:r>
    </w:p>
    <w:p>
      <w:pPr>
        <w:pStyle w:val="13"/>
        <w:keepNext w:val="0"/>
        <w:keepLines w:val="0"/>
        <w:pageBreakBefore w:val="0"/>
        <w:widowControl/>
        <w:suppressAutoHyphens w:val="0"/>
        <w:overflowPunct w:val="0"/>
        <w:bidi w:val="0"/>
        <w:snapToGrid/>
        <w:spacing w:line="560" w:lineRule="exact"/>
        <w:ind w:firstLine="640"/>
        <w:jc w:val="both"/>
        <w:textAlignment w:val="auto"/>
        <w:rPr>
          <w:rFonts w:hint="eastAsia" w:ascii="仿宋" w:hAnsi="仿宋" w:eastAsia="仿宋" w:cs="仿宋_GB2312"/>
          <w:color w:val="auto"/>
          <w:kern w:val="2"/>
          <w:sz w:val="32"/>
          <w:szCs w:val="32"/>
          <w:lang w:val="en-US" w:eastAsia="zh-CN" w:bidi="ar-SA"/>
        </w:rPr>
      </w:pPr>
      <w:r>
        <w:rPr>
          <w:rFonts w:hint="eastAsia" w:ascii="仿宋" w:hAnsi="仿宋" w:eastAsia="仿宋" w:cs="仿宋_GB2312"/>
          <w:color w:val="auto"/>
          <w:kern w:val="2"/>
          <w:sz w:val="32"/>
          <w:szCs w:val="32"/>
          <w:lang w:val="en-US" w:eastAsia="zh-CN" w:bidi="ar-SA"/>
        </w:rPr>
        <w:t>（三）</w:t>
      </w:r>
      <w:r>
        <w:rPr>
          <w:rFonts w:hint="eastAsia" w:ascii="仿宋" w:eastAsia="仿宋" w:cs="仿宋_GB2312"/>
          <w:color w:val="auto"/>
          <w:kern w:val="2"/>
          <w:sz w:val="32"/>
          <w:szCs w:val="32"/>
          <w:lang w:val="en-US" w:eastAsia="zh-CN" w:bidi="ar-SA"/>
        </w:rPr>
        <w:t>2</w:t>
      </w:r>
      <w:r>
        <w:rPr>
          <w:rFonts w:hint="eastAsia" w:ascii="仿宋" w:hAnsi="仿宋" w:eastAsia="仿宋" w:cs="仿宋_GB2312"/>
          <w:color w:val="auto"/>
          <w:kern w:val="2"/>
          <w:sz w:val="32"/>
          <w:szCs w:val="32"/>
          <w:lang w:val="en-US" w:eastAsia="zh-CN" w:bidi="ar-SA"/>
        </w:rPr>
        <w:t>023年公务用车购置及运行费0万元，同比无变化。（其中：公务用车购置0万元，同比无变化；公车运行维护费0万元，同比无变化）；无政府性基金预算安排“三公”经费。</w:t>
      </w:r>
    </w:p>
    <w:p>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pStyle w:val="13"/>
        <w:keepNext w:val="0"/>
        <w:keepLines w:val="0"/>
        <w:pageBreakBefore w:val="0"/>
        <w:widowControl/>
        <w:suppressAutoHyphens w:val="0"/>
        <w:overflowPunct w:val="0"/>
        <w:bidi w:val="0"/>
        <w:snapToGrid/>
        <w:spacing w:line="560" w:lineRule="exact"/>
        <w:ind w:firstLine="640"/>
        <w:jc w:val="both"/>
        <w:textAlignment w:val="auto"/>
        <w:rPr>
          <w:rFonts w:hint="eastAsia" w:ascii="仿宋" w:hAnsi="仿宋" w:eastAsia="仿宋" w:cs="仿宋_GB2312"/>
          <w:color w:val="auto"/>
          <w:kern w:val="2"/>
          <w:sz w:val="32"/>
          <w:szCs w:val="32"/>
          <w:lang w:val="en-US" w:eastAsia="zh-CN" w:bidi="ar-SA"/>
        </w:rPr>
      </w:pPr>
      <w:r>
        <w:rPr>
          <w:rFonts w:hint="eastAsia" w:ascii="仿宋" w:hAnsi="仿宋" w:eastAsia="仿宋" w:cs="仿宋_GB2312"/>
          <w:color w:val="auto"/>
          <w:kern w:val="2"/>
          <w:sz w:val="32"/>
          <w:szCs w:val="32"/>
          <w:lang w:val="en-US" w:eastAsia="zh-CN" w:bidi="ar-SA"/>
        </w:rPr>
        <w:t>2023年无政府性基金预算拨款安排的支出。</w:t>
      </w:r>
    </w:p>
    <w:p>
      <w:pPr>
        <w:pStyle w:val="12"/>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pPr>
        <w:spacing w:line="560" w:lineRule="exact"/>
        <w:ind w:firstLine="643"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pPr>
        <w:pStyle w:val="13"/>
        <w:keepNext w:val="0"/>
        <w:keepLines w:val="0"/>
        <w:pageBreakBefore w:val="0"/>
        <w:widowControl/>
        <w:suppressAutoHyphens w:val="0"/>
        <w:overflowPunct w:val="0"/>
        <w:bidi w:val="0"/>
        <w:snapToGrid/>
        <w:spacing w:line="560" w:lineRule="exact"/>
        <w:ind w:firstLine="640"/>
        <w:jc w:val="both"/>
        <w:textAlignment w:val="auto"/>
        <w:rPr>
          <w:rFonts w:hint="eastAsia" w:ascii="仿宋" w:hAnsi="仿宋" w:eastAsia="仿宋" w:cs="仿宋_GB2312"/>
          <w:color w:val="auto"/>
          <w:kern w:val="2"/>
          <w:sz w:val="32"/>
          <w:szCs w:val="32"/>
          <w:lang w:val="en-US" w:eastAsia="zh-CN" w:bidi="ar-SA"/>
        </w:rPr>
      </w:pPr>
      <w:r>
        <w:rPr>
          <w:rFonts w:hint="eastAsia" w:ascii="仿宋" w:hAnsi="仿宋" w:eastAsia="仿宋" w:cs="仿宋_GB2312"/>
          <w:color w:val="auto"/>
          <w:kern w:val="2"/>
          <w:sz w:val="32"/>
          <w:szCs w:val="32"/>
          <w:lang w:val="en-US" w:eastAsia="zh-CN" w:bidi="ar-SA"/>
        </w:rPr>
        <w:t>2023年机关运行经费财政拨款预算为136990.00元，比2022年预算增加28840.00元，增长26.67%。主要原因是：人员增加，导致相应公用经费增加。</w:t>
      </w:r>
    </w:p>
    <w:p>
      <w:pPr>
        <w:pStyle w:val="12"/>
        <w:spacing w:before="0" w:line="360" w:lineRule="auto"/>
        <w:ind w:firstLine="643" w:firstLineChars="200"/>
        <w:rPr>
          <w:rFonts w:hint="eastAsia" w:ascii="楷体_GB2312" w:hAnsi="楷体" w:eastAsia="楷体_GB2312" w:cs="仿宋_GB2312"/>
          <w:b/>
          <w:kern w:val="2"/>
          <w:sz w:val="32"/>
          <w:szCs w:val="32"/>
          <w:lang w:eastAsia="zh-CN"/>
        </w:rPr>
      </w:pPr>
      <w:r>
        <w:rPr>
          <w:rFonts w:hint="eastAsia" w:ascii="楷体_GB2312" w:hAnsi="楷体" w:eastAsia="楷体_GB2312" w:cs="仿宋_GB2312"/>
          <w:b/>
          <w:kern w:val="2"/>
          <w:sz w:val="32"/>
          <w:szCs w:val="32"/>
        </w:rPr>
        <w:t>（二）政府采购情况</w:t>
      </w:r>
    </w:p>
    <w:p>
      <w:pPr>
        <w:pStyle w:val="13"/>
        <w:keepNext w:val="0"/>
        <w:keepLines w:val="0"/>
        <w:pageBreakBefore w:val="0"/>
        <w:widowControl/>
        <w:suppressAutoHyphens w:val="0"/>
        <w:overflowPunct w:val="0"/>
        <w:bidi w:val="0"/>
        <w:snapToGrid/>
        <w:spacing w:line="560" w:lineRule="exact"/>
        <w:ind w:firstLine="640"/>
        <w:jc w:val="both"/>
        <w:textAlignment w:val="auto"/>
        <w:rPr>
          <w:rFonts w:hint="eastAsia" w:ascii="仿宋" w:hAnsi="仿宋" w:eastAsia="仿宋" w:cs="仿宋_GB2312"/>
          <w:color w:val="auto"/>
          <w:kern w:val="2"/>
          <w:sz w:val="32"/>
          <w:szCs w:val="32"/>
          <w:lang w:val="en-US" w:eastAsia="zh-CN" w:bidi="ar-SA"/>
        </w:rPr>
      </w:pPr>
      <w:r>
        <w:rPr>
          <w:rFonts w:hint="eastAsia" w:ascii="仿宋" w:hAnsi="仿宋" w:eastAsia="仿宋" w:cs="仿宋_GB2312"/>
          <w:color w:val="auto"/>
          <w:kern w:val="2"/>
          <w:sz w:val="32"/>
          <w:szCs w:val="32"/>
          <w:lang w:val="en-US" w:eastAsia="zh-CN" w:bidi="ar-SA"/>
        </w:rPr>
        <w:t>2023年茂县社会保险事业管理局未安排政府采购预算。</w:t>
      </w:r>
    </w:p>
    <w:p>
      <w:pPr>
        <w:pStyle w:val="12"/>
        <w:spacing w:before="0" w:line="360" w:lineRule="auto"/>
        <w:ind w:firstLine="643"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bookmarkStart w:id="0" w:name="_GoBack"/>
      <w:bookmarkEnd w:id="0"/>
    </w:p>
    <w:p>
      <w:pPr>
        <w:pStyle w:val="13"/>
        <w:keepNext w:val="0"/>
        <w:keepLines w:val="0"/>
        <w:pageBreakBefore w:val="0"/>
        <w:widowControl/>
        <w:suppressAutoHyphens w:val="0"/>
        <w:overflowPunct w:val="0"/>
        <w:bidi w:val="0"/>
        <w:snapToGrid/>
        <w:spacing w:line="560" w:lineRule="exact"/>
        <w:ind w:firstLine="640"/>
        <w:jc w:val="both"/>
        <w:textAlignment w:val="auto"/>
        <w:rPr>
          <w:rFonts w:hint="eastAsia" w:ascii="仿宋" w:hAnsi="仿宋" w:eastAsia="仿宋" w:cs="仿宋_GB2312"/>
          <w:color w:val="auto"/>
          <w:kern w:val="2"/>
          <w:sz w:val="32"/>
          <w:szCs w:val="32"/>
          <w:lang w:val="en-US" w:eastAsia="zh-CN" w:bidi="ar-SA"/>
        </w:rPr>
      </w:pPr>
      <w:r>
        <w:rPr>
          <w:rFonts w:hint="eastAsia" w:ascii="仿宋" w:hAnsi="仿宋" w:eastAsia="仿宋" w:cs="仿宋_GB2312"/>
          <w:color w:val="auto"/>
          <w:kern w:val="2"/>
          <w:sz w:val="32"/>
          <w:szCs w:val="32"/>
          <w:lang w:val="en-US" w:eastAsia="zh-CN" w:bidi="ar-SA"/>
        </w:rPr>
        <w:t>截止2022年12月31日，我单位固定资产总额309405.00元，其中：房屋0平方米，价值0元；公务用车0辆，价值 0元；其他固定资产309405.00元。</w:t>
      </w:r>
    </w:p>
    <w:p>
      <w:pPr>
        <w:spacing w:line="560" w:lineRule="exact"/>
        <w:ind w:firstLine="643" w:firstLineChars="200"/>
        <w:rPr>
          <w:rFonts w:hint="eastAsia" w:ascii="楷体_GB2312" w:hAnsi="楷体" w:eastAsia="楷体_GB2312" w:cs="仿宋_GB2312"/>
          <w:b/>
          <w:sz w:val="32"/>
          <w:szCs w:val="32"/>
          <w:lang w:eastAsia="zh-CN"/>
        </w:rPr>
      </w:pPr>
      <w:r>
        <w:rPr>
          <w:rFonts w:hint="eastAsia" w:ascii="楷体_GB2312" w:hAnsi="楷体" w:eastAsia="楷体_GB2312" w:cs="仿宋_GB2312"/>
          <w:b/>
          <w:sz w:val="32"/>
          <w:szCs w:val="32"/>
        </w:rPr>
        <w:t>（四）绩效目标设置情况</w:t>
      </w:r>
    </w:p>
    <w:p>
      <w:pPr>
        <w:pStyle w:val="12"/>
        <w:spacing w:before="0" w:line="360" w:lineRule="auto"/>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202</w:t>
      </w:r>
      <w:r>
        <w:rPr>
          <w:rFonts w:hint="eastAsia"/>
          <w:sz w:val="32"/>
          <w:szCs w:val="32"/>
          <w:lang w:val="en-US" w:eastAsia="zh-CN"/>
        </w:rPr>
        <w:t>3</w:t>
      </w:r>
      <w:r>
        <w:rPr>
          <w:rFonts w:hint="eastAsia" w:ascii="仿宋_GB2312" w:eastAsia="仿宋_GB2312"/>
          <w:sz w:val="32"/>
          <w:szCs w:val="32"/>
        </w:rPr>
        <w:t>年开展绩效目标管理的项目</w:t>
      </w:r>
      <w:r>
        <w:rPr>
          <w:rFonts w:hint="eastAsia"/>
          <w:sz w:val="32"/>
          <w:szCs w:val="32"/>
          <w:lang w:val="en-US" w:eastAsia="zh-CN"/>
        </w:rPr>
        <w:t>11</w:t>
      </w:r>
      <w:r>
        <w:rPr>
          <w:rFonts w:hint="eastAsia" w:ascii="仿宋_GB2312" w:eastAsia="仿宋_GB2312"/>
          <w:sz w:val="32"/>
          <w:szCs w:val="32"/>
        </w:rPr>
        <w:t xml:space="preserve">个，涉及预算 </w:t>
      </w:r>
      <w:r>
        <w:rPr>
          <w:rFonts w:hint="eastAsia"/>
          <w:sz w:val="32"/>
          <w:szCs w:val="32"/>
          <w:lang w:val="en-US" w:eastAsia="zh-CN"/>
        </w:rPr>
        <w:t>336.53</w:t>
      </w:r>
      <w:r>
        <w:rPr>
          <w:rFonts w:hint="eastAsia" w:ascii="仿宋_GB2312" w:eastAsia="仿宋_GB2312"/>
          <w:sz w:val="32"/>
          <w:szCs w:val="32"/>
        </w:rPr>
        <w:t>万元。其中：人员类项目</w:t>
      </w:r>
      <w:r>
        <w:rPr>
          <w:rFonts w:hint="eastAsia" w:ascii="仿宋_GB2312" w:eastAsia="仿宋_GB2312"/>
          <w:sz w:val="32"/>
          <w:szCs w:val="32"/>
          <w:lang w:val="en-US" w:eastAsia="zh-CN"/>
        </w:rPr>
        <w:t>1</w:t>
      </w:r>
      <w:r>
        <w:rPr>
          <w:rFonts w:hint="eastAsia"/>
          <w:sz w:val="32"/>
          <w:szCs w:val="32"/>
          <w:lang w:val="en-US" w:eastAsia="zh-CN"/>
        </w:rPr>
        <w:t>0</w:t>
      </w:r>
      <w:r>
        <w:rPr>
          <w:rFonts w:hint="eastAsia" w:ascii="仿宋_GB2312" w:eastAsia="仿宋_GB2312"/>
          <w:sz w:val="32"/>
          <w:szCs w:val="32"/>
        </w:rPr>
        <w:t>个，涉及预算</w:t>
      </w:r>
      <w:r>
        <w:rPr>
          <w:rFonts w:hint="eastAsia"/>
          <w:sz w:val="32"/>
          <w:szCs w:val="32"/>
          <w:lang w:val="en-US" w:eastAsia="zh-CN"/>
        </w:rPr>
        <w:t>322.83</w:t>
      </w:r>
      <w:r>
        <w:rPr>
          <w:rFonts w:hint="eastAsia" w:ascii="仿宋_GB2312" w:eastAsia="仿宋_GB2312"/>
          <w:sz w:val="32"/>
          <w:szCs w:val="32"/>
        </w:rPr>
        <w:t xml:space="preserve">万元；运转类项目 </w:t>
      </w:r>
      <w:r>
        <w:rPr>
          <w:rFonts w:hint="eastAsia" w:ascii="仿宋_GB2312" w:eastAsia="仿宋_GB2312"/>
          <w:sz w:val="32"/>
          <w:szCs w:val="32"/>
          <w:lang w:val="en-US" w:eastAsia="zh-CN"/>
        </w:rPr>
        <w:t>1</w:t>
      </w:r>
      <w:r>
        <w:rPr>
          <w:rFonts w:hint="eastAsia" w:ascii="仿宋_GB2312" w:eastAsia="仿宋_GB2312"/>
          <w:sz w:val="32"/>
          <w:szCs w:val="32"/>
        </w:rPr>
        <w:t>个，涉及预算</w:t>
      </w:r>
      <w:r>
        <w:rPr>
          <w:rFonts w:hint="eastAsia"/>
          <w:sz w:val="32"/>
          <w:szCs w:val="32"/>
          <w:lang w:val="en-US" w:eastAsia="zh-CN"/>
        </w:rPr>
        <w:t>13.70</w:t>
      </w:r>
      <w:r>
        <w:rPr>
          <w:rFonts w:hint="eastAsia" w:ascii="仿宋_GB2312" w:eastAsia="仿宋_GB2312"/>
          <w:sz w:val="32"/>
          <w:szCs w:val="32"/>
        </w:rPr>
        <w:t>万元；特定目标类项目</w:t>
      </w:r>
      <w:r>
        <w:rPr>
          <w:rFonts w:hint="eastAsia" w:ascii="仿宋_GB2312" w:eastAsia="仿宋_GB2312"/>
          <w:sz w:val="32"/>
          <w:szCs w:val="32"/>
          <w:lang w:val="en-US" w:eastAsia="zh-CN"/>
        </w:rPr>
        <w:t>0</w:t>
      </w:r>
      <w:r>
        <w:rPr>
          <w:rFonts w:hint="eastAsia" w:ascii="仿宋_GB2312" w:eastAsia="仿宋_GB2312"/>
          <w:sz w:val="32"/>
          <w:szCs w:val="32"/>
        </w:rPr>
        <w:t>个，涉及预算</w:t>
      </w:r>
      <w:r>
        <w:rPr>
          <w:rFonts w:hint="eastAsia" w:ascii="仿宋_GB2312" w:eastAsia="仿宋_GB2312"/>
          <w:sz w:val="32"/>
          <w:szCs w:val="32"/>
          <w:lang w:val="en-US" w:eastAsia="zh-CN"/>
        </w:rPr>
        <w:t>0</w:t>
      </w:r>
      <w:r>
        <w:rPr>
          <w:rFonts w:hint="eastAsia" w:ascii="仿宋_GB2312" w:eastAsia="仿宋_GB2312"/>
          <w:sz w:val="32"/>
          <w:szCs w:val="32"/>
        </w:rPr>
        <w:t>万元）</w:t>
      </w:r>
      <w:r>
        <w:rPr>
          <w:rFonts w:hint="eastAsia" w:ascii="仿宋_GB2312" w:eastAsia="仿宋_GB2312"/>
          <w:sz w:val="32"/>
          <w:szCs w:val="32"/>
          <w:lang w:eastAsia="zh-CN"/>
        </w:rPr>
        <w:t>。</w:t>
      </w:r>
    </w:p>
    <w:p>
      <w:pPr>
        <w:pStyle w:val="12"/>
        <w:spacing w:before="0" w:line="360" w:lineRule="auto"/>
        <w:ind w:firstLine="640" w:firstLineChars="200"/>
        <w:rPr>
          <w:rFonts w:hint="eastAsia" w:ascii="黑体" w:hAnsi="黑体" w:eastAsia="黑体"/>
          <w:sz w:val="32"/>
          <w:szCs w:val="32"/>
          <w:lang w:eastAsia="zh-CN"/>
        </w:rPr>
      </w:pPr>
      <w:r>
        <w:rPr>
          <w:rFonts w:hint="eastAsia" w:ascii="黑体" w:hAnsi="黑体" w:eastAsia="黑体"/>
          <w:sz w:val="32"/>
          <w:szCs w:val="32"/>
        </w:rPr>
        <w:t xml:space="preserve">十、名称解释 </w:t>
      </w:r>
    </w:p>
    <w:p>
      <w:pPr>
        <w:pStyle w:val="13"/>
        <w:keepNext w:val="0"/>
        <w:keepLines w:val="0"/>
        <w:pageBreakBefore w:val="0"/>
        <w:widowControl/>
        <w:suppressAutoHyphens w:val="0"/>
        <w:overflowPunct w:val="0"/>
        <w:bidi w:val="0"/>
        <w:snapToGrid/>
        <w:spacing w:line="560" w:lineRule="exact"/>
        <w:ind w:firstLine="640"/>
        <w:jc w:val="both"/>
        <w:textAlignment w:val="auto"/>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ascii="仿宋_GB2312" w:hAnsi="Calibri" w:eastAsia="仿宋_GB2312" w:cs="Times New Roman"/>
          <w:color w:val="auto"/>
          <w:kern w:val="2"/>
          <w:sz w:val="32"/>
          <w:szCs w:val="32"/>
          <w:lang w:val="en-US" w:eastAsia="zh-CN" w:bidi="ar-SA"/>
        </w:rPr>
        <w:t>指由财政拨款形成的部门收入。按现行管理制度，部门预算中反映的财政拨款仅包括一般公共预算拨款和政府性基金预算拨款。</w:t>
      </w:r>
    </w:p>
    <w:p>
      <w:pPr>
        <w:pStyle w:val="12"/>
        <w:spacing w:before="0" w:line="360" w:lineRule="auto"/>
        <w:ind w:firstLine="643" w:firstLineChars="200"/>
        <w:rPr>
          <w:rFonts w:hint="eastAsia" w:ascii="仿宋_GB2312" w:hAnsi="Calibri" w:eastAsia="仿宋_GB2312" w:cs="Times New Roman"/>
          <w:kern w:val="2"/>
          <w:sz w:val="32"/>
          <w:szCs w:val="32"/>
          <w:lang w:val="en-US" w:eastAsia="zh-CN" w:bidi="ar-SA"/>
        </w:rPr>
      </w:pP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ascii="仿宋_GB2312" w:hAnsi="Calibri" w:eastAsia="仿宋_GB2312" w:cs="Times New Roman"/>
          <w:kern w:val="2"/>
          <w:sz w:val="32"/>
          <w:szCs w:val="32"/>
          <w:lang w:val="en-US" w:eastAsia="zh-CN" w:bidi="ar-SA"/>
        </w:rPr>
        <w:t>指所属事业单位开展专业业务活动及辅助活动所取得的收入。</w:t>
      </w:r>
    </w:p>
    <w:p>
      <w:pPr>
        <w:pStyle w:val="12"/>
        <w:spacing w:before="0" w:line="360" w:lineRule="auto"/>
        <w:ind w:firstLine="643" w:firstLineChars="200"/>
        <w:rPr>
          <w:rFonts w:hint="eastAsia" w:ascii="仿宋_GB2312" w:hAnsi="Calibri" w:eastAsia="仿宋_GB2312" w:cs="Times New Roman"/>
          <w:kern w:val="2"/>
          <w:sz w:val="32"/>
          <w:szCs w:val="32"/>
          <w:lang w:val="en-US" w:eastAsia="zh-CN" w:bidi="ar-SA"/>
        </w:rPr>
      </w:pP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ascii="仿宋_GB2312" w:hAnsi="Calibri" w:eastAsia="仿宋_GB2312" w:cs="Times New Roman"/>
          <w:kern w:val="2"/>
          <w:sz w:val="32"/>
          <w:szCs w:val="32"/>
          <w:lang w:val="en-US" w:eastAsia="zh-CN" w:bidi="ar-SA"/>
        </w:rPr>
        <w:t>指所属事业单位在专业业务活动及其辅助活动之外开展非独立核算经营活动取得的收入。</w:t>
      </w:r>
    </w:p>
    <w:p>
      <w:pPr>
        <w:pStyle w:val="12"/>
        <w:spacing w:before="0" w:line="360" w:lineRule="auto"/>
        <w:ind w:firstLine="643" w:firstLineChars="200"/>
        <w:rPr>
          <w:rFonts w:hint="eastAsia" w:ascii="仿宋_GB2312" w:hAnsi="Calibri" w:eastAsia="仿宋_GB2312" w:cs="Times New Roman"/>
          <w:kern w:val="2"/>
          <w:sz w:val="32"/>
          <w:szCs w:val="32"/>
          <w:lang w:val="en-US" w:eastAsia="zh-CN" w:bidi="ar-SA"/>
        </w:rPr>
      </w:pP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ascii="仿宋_GB2312" w:hAnsi="Calibri" w:eastAsia="仿宋_GB2312" w:cs="Times New Roman"/>
          <w:kern w:val="2"/>
          <w:sz w:val="32"/>
          <w:szCs w:val="32"/>
          <w:lang w:val="en-US" w:eastAsia="zh-CN" w:bidi="ar-SA"/>
        </w:rPr>
        <w:t>指除上述“财政拨款收入”、“事业收入”、“事业单位经营收入”等以外的收入，主要是所属行政事业单位按规定动用的售房收入、存款利息收入等。</w:t>
      </w:r>
    </w:p>
    <w:p>
      <w:pPr>
        <w:pStyle w:val="12"/>
        <w:spacing w:before="0" w:line="360" w:lineRule="auto"/>
        <w:ind w:firstLine="643" w:firstLineChars="200"/>
        <w:rPr>
          <w:rFonts w:hint="eastAsia" w:ascii="仿宋_GB2312" w:hAnsi="Calibri" w:eastAsia="仿宋_GB2312" w:cs="Times New Roman"/>
          <w:kern w:val="2"/>
          <w:sz w:val="32"/>
          <w:szCs w:val="32"/>
          <w:lang w:val="en-US" w:eastAsia="zh-CN" w:bidi="ar-SA"/>
        </w:rPr>
      </w:pP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ascii="仿宋_GB2312" w:hAnsi="Calibri" w:eastAsia="仿宋_GB2312" w:cs="Times New Roman"/>
          <w:kern w:val="2"/>
          <w:sz w:val="32"/>
          <w:szCs w:val="32"/>
          <w:lang w:val="en-US" w:eastAsia="zh-CN" w:bidi="ar-SA"/>
        </w:rPr>
        <w:t>指所属事业单位在预计用当年的“财政拨款收入”、“事业收入”、“事业单位经营收入”、“其他收入”不足以安排当年支出的情况下，使用以前年度积累的事业基金弥补本年度收支缺口的资金。</w:t>
      </w:r>
    </w:p>
    <w:p>
      <w:pPr>
        <w:pStyle w:val="12"/>
        <w:spacing w:before="0" w:line="360" w:lineRule="auto"/>
        <w:ind w:firstLine="643" w:firstLineChars="200"/>
        <w:rPr>
          <w:rFonts w:hint="eastAsia" w:ascii="仿宋_GB2312" w:hAnsi="Calibri" w:eastAsia="仿宋_GB2312" w:cs="Times New Roman"/>
          <w:kern w:val="2"/>
          <w:sz w:val="32"/>
          <w:szCs w:val="32"/>
          <w:lang w:val="en-US" w:eastAsia="zh-CN" w:bidi="ar-SA"/>
        </w:rPr>
      </w:pPr>
      <w:r>
        <w:rPr>
          <w:rFonts w:hint="eastAsia" w:ascii="楷体_GB2312" w:hAnsi="楷体" w:eastAsia="楷体_GB2312" w:cs="仿宋_GB2312"/>
          <w:b/>
          <w:kern w:val="2"/>
          <w:sz w:val="32"/>
          <w:szCs w:val="32"/>
        </w:rPr>
        <w:t>（六）上年结转</w:t>
      </w:r>
      <w:r>
        <w:rPr>
          <w:rFonts w:hint="eastAsia" w:ascii="楷体_GB2312" w:eastAsia="楷体_GB2312" w:cs="仿宋_GB2312"/>
          <w:b/>
          <w:kern w:val="2"/>
          <w:sz w:val="32"/>
          <w:szCs w:val="32"/>
        </w:rPr>
        <w:t>：</w:t>
      </w:r>
      <w:r>
        <w:rPr>
          <w:rFonts w:hint="eastAsia" w:ascii="仿宋_GB2312" w:hAnsi="Calibri" w:eastAsia="仿宋_GB2312" w:cs="Times New Roman"/>
          <w:kern w:val="2"/>
          <w:sz w:val="32"/>
          <w:szCs w:val="32"/>
          <w:lang w:val="en-US" w:eastAsia="zh-CN" w:bidi="ar-SA"/>
        </w:rPr>
        <w:t>指所属行政事业单位以前年度尚未完成、结转至本年按原规定用途继续使用的资金和以前年度已完成项目剩余资金经批准用于新用途使用的资金。</w:t>
      </w:r>
    </w:p>
    <w:p>
      <w:pPr>
        <w:spacing w:line="560" w:lineRule="exact"/>
        <w:ind w:firstLine="643" w:firstLineChars="200"/>
        <w:rPr>
          <w:rFonts w:hint="eastAsia" w:ascii="仿宋_GB2312" w:eastAsia="仿宋_GB2312"/>
          <w:sz w:val="32"/>
          <w:szCs w:val="32"/>
          <w:lang w:eastAsia="zh-CN"/>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p>
    <w:p>
      <w:pPr>
        <w:spacing w:line="560" w:lineRule="exact"/>
        <w:ind w:firstLine="643" w:firstLineChars="200"/>
        <w:rPr>
          <w:rFonts w:hint="eastAsia" w:ascii="仿宋_GB2312" w:eastAsia="仿宋_GB2312"/>
          <w:sz w:val="32"/>
          <w:szCs w:val="32"/>
          <w:lang w:eastAsia="zh-CN"/>
        </w:rPr>
      </w:pP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p>
    <w:p>
      <w:pPr>
        <w:spacing w:line="560" w:lineRule="exact"/>
        <w:ind w:firstLine="643" w:firstLineChars="200"/>
        <w:rPr>
          <w:rFonts w:ascii="仿宋_GB2312" w:eastAsia="仿宋_GB2312"/>
          <w:sz w:val="32"/>
          <w:szCs w:val="32"/>
        </w:rPr>
      </w:pP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rPr>
          <w:rFonts w:ascii="仿宋_GB2312" w:hAns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DhjOTYyYjJiYTQxNjdmOGE4MTEzNzczMTBiZWM1NjkifQ=="/>
  </w:docVars>
  <w:rsids>
    <w:rsidRoot w:val="7AE4629A"/>
    <w:rsid w:val="000451C2"/>
    <w:rsid w:val="00053256"/>
    <w:rsid w:val="0006464F"/>
    <w:rsid w:val="000C0283"/>
    <w:rsid w:val="00100BDA"/>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1510B0E"/>
    <w:rsid w:val="026453D2"/>
    <w:rsid w:val="05031CD2"/>
    <w:rsid w:val="05A93B78"/>
    <w:rsid w:val="07674A16"/>
    <w:rsid w:val="07AF3E24"/>
    <w:rsid w:val="081E0B1B"/>
    <w:rsid w:val="0A6F38B0"/>
    <w:rsid w:val="0BC35C62"/>
    <w:rsid w:val="0DAE10A6"/>
    <w:rsid w:val="0E2350DD"/>
    <w:rsid w:val="10A818CA"/>
    <w:rsid w:val="10D80401"/>
    <w:rsid w:val="111331E7"/>
    <w:rsid w:val="1310375B"/>
    <w:rsid w:val="13197D31"/>
    <w:rsid w:val="1347448C"/>
    <w:rsid w:val="13637D2A"/>
    <w:rsid w:val="13B32A60"/>
    <w:rsid w:val="149A21AD"/>
    <w:rsid w:val="15204125"/>
    <w:rsid w:val="156C1118"/>
    <w:rsid w:val="15D942D4"/>
    <w:rsid w:val="15E12DFF"/>
    <w:rsid w:val="164003A4"/>
    <w:rsid w:val="166407D5"/>
    <w:rsid w:val="16AC7D4C"/>
    <w:rsid w:val="16B96DED"/>
    <w:rsid w:val="16C5583A"/>
    <w:rsid w:val="16FF7D6A"/>
    <w:rsid w:val="177904B8"/>
    <w:rsid w:val="17981D0B"/>
    <w:rsid w:val="17A740BC"/>
    <w:rsid w:val="193131D8"/>
    <w:rsid w:val="19497888"/>
    <w:rsid w:val="1B0406D7"/>
    <w:rsid w:val="1C250273"/>
    <w:rsid w:val="1D3B2012"/>
    <w:rsid w:val="1E920355"/>
    <w:rsid w:val="1F3208AA"/>
    <w:rsid w:val="20361CB8"/>
    <w:rsid w:val="205A7FDA"/>
    <w:rsid w:val="220A45EB"/>
    <w:rsid w:val="239C52BE"/>
    <w:rsid w:val="26D8506D"/>
    <w:rsid w:val="28F72F97"/>
    <w:rsid w:val="29566940"/>
    <w:rsid w:val="2A740DBF"/>
    <w:rsid w:val="2C32088E"/>
    <w:rsid w:val="2C46226B"/>
    <w:rsid w:val="2DB651CE"/>
    <w:rsid w:val="306E6BCA"/>
    <w:rsid w:val="327B225B"/>
    <w:rsid w:val="32BF7DF5"/>
    <w:rsid w:val="34D50E3E"/>
    <w:rsid w:val="356D1D1E"/>
    <w:rsid w:val="37E05E4F"/>
    <w:rsid w:val="3B722F28"/>
    <w:rsid w:val="3C756255"/>
    <w:rsid w:val="3C925866"/>
    <w:rsid w:val="3CA27F74"/>
    <w:rsid w:val="3CF248ED"/>
    <w:rsid w:val="3EF77C18"/>
    <w:rsid w:val="3FAF311E"/>
    <w:rsid w:val="400C6ED0"/>
    <w:rsid w:val="420D3F2C"/>
    <w:rsid w:val="423A048D"/>
    <w:rsid w:val="4240289D"/>
    <w:rsid w:val="43C875B2"/>
    <w:rsid w:val="45433394"/>
    <w:rsid w:val="46B765F5"/>
    <w:rsid w:val="47B265AF"/>
    <w:rsid w:val="48EB0A3F"/>
    <w:rsid w:val="4A176B9D"/>
    <w:rsid w:val="4B0D2C88"/>
    <w:rsid w:val="4EBE3A8B"/>
    <w:rsid w:val="4EC54E1A"/>
    <w:rsid w:val="50355D69"/>
    <w:rsid w:val="50593A6B"/>
    <w:rsid w:val="539C00D9"/>
    <w:rsid w:val="54BF230B"/>
    <w:rsid w:val="57343D83"/>
    <w:rsid w:val="596A6CE9"/>
    <w:rsid w:val="598C3104"/>
    <w:rsid w:val="5BAA4591"/>
    <w:rsid w:val="60721FAE"/>
    <w:rsid w:val="6127215B"/>
    <w:rsid w:val="61693C9D"/>
    <w:rsid w:val="64485FA5"/>
    <w:rsid w:val="64CC0F4B"/>
    <w:rsid w:val="6545060B"/>
    <w:rsid w:val="659A6BA8"/>
    <w:rsid w:val="6759214B"/>
    <w:rsid w:val="692A1FF1"/>
    <w:rsid w:val="693B7D5A"/>
    <w:rsid w:val="6D91109F"/>
    <w:rsid w:val="6E4A555D"/>
    <w:rsid w:val="6FCA73A4"/>
    <w:rsid w:val="73AA39A0"/>
    <w:rsid w:val="74A07852"/>
    <w:rsid w:val="764D37C3"/>
    <w:rsid w:val="76F23809"/>
    <w:rsid w:val="777E2694"/>
    <w:rsid w:val="780E2ADE"/>
    <w:rsid w:val="78E57CE3"/>
    <w:rsid w:val="797F26F3"/>
    <w:rsid w:val="7A3525A4"/>
    <w:rsid w:val="7AC04563"/>
    <w:rsid w:val="7AE4629A"/>
    <w:rsid w:val="7C5E4034"/>
    <w:rsid w:val="7C61744E"/>
    <w:rsid w:val="7E0724A9"/>
    <w:rsid w:val="7EE32C29"/>
    <w:rsid w:val="7FA44454"/>
    <w:rsid w:val="7FC20D7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customStyle="1" w:styleId="2">
    <w:name w:val="正文首行缩进1"/>
    <w:basedOn w:val="3"/>
    <w:qFormat/>
    <w:uiPriority w:val="0"/>
    <w:pPr>
      <w:spacing w:before="100" w:beforeAutospacing="1" w:after="0"/>
      <w:ind w:firstLine="100" w:firstLineChars="100"/>
    </w:pPr>
    <w:rPr>
      <w:rFonts w:ascii="Times New Roman" w:hAnsi="Times New Roman" w:eastAsia="楷体_GB2312"/>
    </w:rPr>
  </w:style>
  <w:style w:type="paragraph" w:styleId="3">
    <w:name w:val="Body Text"/>
    <w:basedOn w:val="1"/>
    <w:next w:val="4"/>
    <w:qFormat/>
    <w:uiPriority w:val="0"/>
    <w:pPr>
      <w:spacing w:after="120"/>
    </w:pPr>
    <w:rPr>
      <w:rFonts w:ascii="Calibri" w:hAnsi="Calibri"/>
    </w:rPr>
  </w:style>
  <w:style w:type="paragraph" w:styleId="4">
    <w:name w:val="Body Text First Indent"/>
    <w:basedOn w:val="3"/>
    <w:qFormat/>
    <w:uiPriority w:val="0"/>
    <w:pPr>
      <w:ind w:firstLine="100" w:firstLineChars="100"/>
    </w:pPr>
    <w:rPr>
      <w:kern w:val="0"/>
      <w:sz w:val="20"/>
      <w:szCs w:val="20"/>
    </w:rPr>
  </w:style>
  <w:style w:type="paragraph" w:styleId="5">
    <w:name w:val="Body Text Indent"/>
    <w:basedOn w:val="1"/>
    <w:qFormat/>
    <w:uiPriority w:val="0"/>
    <w:pPr>
      <w:tabs>
        <w:tab w:val="left" w:pos="960"/>
      </w:tabs>
      <w:spacing w:line="540" w:lineRule="exact"/>
      <w:ind w:firstLine="5440" w:firstLineChars="1700"/>
    </w:pPr>
    <w:rPr>
      <w:sz w:val="32"/>
      <w:szCs w:val="32"/>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Body Text First Indent 2"/>
    <w:basedOn w:val="5"/>
    <w:qFormat/>
    <w:uiPriority w:val="0"/>
    <w:pPr>
      <w:ind w:firstLine="420" w:firstLineChars="200"/>
    </w:pPr>
  </w:style>
  <w:style w:type="paragraph" w:styleId="11">
    <w:name w:val="List Paragraph"/>
    <w:basedOn w:val="1"/>
    <w:qFormat/>
    <w:uiPriority w:val="99"/>
    <w:pPr>
      <w:ind w:firstLine="420" w:firstLineChars="200"/>
    </w:pPr>
  </w:style>
  <w:style w:type="paragraph" w:customStyle="1" w:styleId="12">
    <w:name w:val="正文文本1"/>
    <w:basedOn w:val="1"/>
    <w:qFormat/>
    <w:uiPriority w:val="99"/>
    <w:pPr>
      <w:spacing w:before="93"/>
    </w:pPr>
    <w:rPr>
      <w:rFonts w:ascii="仿宋_GB2312" w:hAnsi="仿宋_GB2312" w:eastAsia="仿宋_GB2312"/>
      <w:kern w:val="0"/>
      <w:sz w:val="30"/>
      <w:szCs w:val="20"/>
    </w:rPr>
  </w:style>
  <w:style w:type="paragraph" w:customStyle="1" w:styleId="13">
    <w:name w:val="正文1"/>
    <w:qFormat/>
    <w:uiPriority w:val="0"/>
    <w:pPr>
      <w:widowControl/>
      <w:suppressAutoHyphens w:val="0"/>
      <w:bidi w:val="0"/>
      <w:spacing w:before="0" w:after="0"/>
      <w:ind w:firstLine="360"/>
      <w:jc w:val="left"/>
    </w:pPr>
    <w:rPr>
      <w:rFonts w:ascii="Calibri" w:hAnsi="Calibri" w:eastAsia="宋体" w:cs="Arial"/>
      <w:color w:val="auto"/>
      <w:kern w:val="0"/>
      <w:sz w:val="22"/>
      <w:szCs w:val="22"/>
      <w:lang w:val="en-US" w:eastAsia="zh-CN" w:bidi="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2669</Words>
  <Characters>3131</Characters>
  <Lines>23</Lines>
  <Paragraphs>6</Paragraphs>
  <TotalTime>0</TotalTime>
  <ScaleCrop>false</ScaleCrop>
  <LinksUpToDate>false</LinksUpToDate>
  <CharactersWithSpaces>3141</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Administrator</cp:lastModifiedBy>
  <cp:lastPrinted>2022-03-04T07:40:00Z</cp:lastPrinted>
  <dcterms:modified xsi:type="dcterms:W3CDTF">2024-08-14T01:21:29Z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E55BE357D25548B0A6AE305467EE8F9C</vt:lpwstr>
  </property>
</Properties>
</file>