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13C66">
      <w:pPr>
        <w:pStyle w:val="9"/>
        <w:jc w:val="both"/>
        <w:rPr>
          <w:rFonts w:hint="eastAsia" w:ascii="Times New Roman" w:hAnsi="Times New Roman" w:eastAsia="方正小标宋简体" w:cs="Times New Roman"/>
          <w:color w:val="auto"/>
          <w:kern w:val="2"/>
          <w:sz w:val="44"/>
          <w:szCs w:val="44"/>
          <w:highlight w:val="none"/>
          <w:lang w:val="en-US" w:eastAsia="zh-CN" w:bidi="ar-SA"/>
        </w:rPr>
      </w:pPr>
      <w:bookmarkStart w:id="0" w:name="_Toc15377425"/>
      <w:bookmarkStart w:id="1" w:name="_Toc15396597"/>
      <w:bookmarkStart w:id="2" w:name="_Toc15396475"/>
      <w:bookmarkStart w:id="3" w:name="_Toc15378441"/>
      <w:bookmarkStart w:id="4" w:name="_Toc15377193"/>
      <w:bookmarkStart w:id="5" w:name="_Toc15306267"/>
    </w:p>
    <w:bookmarkEnd w:id="0"/>
    <w:bookmarkEnd w:id="1"/>
    <w:bookmarkEnd w:id="2"/>
    <w:bookmarkEnd w:id="3"/>
    <w:bookmarkEnd w:id="4"/>
    <w:p w14:paraId="0336706B">
      <w:pPr>
        <w:pStyle w:val="9"/>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77194"/>
      <w:bookmarkStart w:id="7" w:name="_Toc15396476"/>
      <w:bookmarkStart w:id="8" w:name="_Toc15377426"/>
      <w:bookmarkStart w:id="9" w:name="_Toc15396598"/>
      <w:bookmarkStart w:id="10" w:name="_Toc15378442"/>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5"/>
      <w:bookmarkStart w:id="11" w:name="_Toc15306268"/>
      <w:r>
        <w:rPr>
          <w:rFonts w:hint="eastAsia" w:ascii="方正小标宋简体" w:eastAsia="方正小标宋简体" w:cs="Times New Roman"/>
          <w:color w:val="auto"/>
          <w:kern w:val="2"/>
          <w:sz w:val="44"/>
          <w:szCs w:val="44"/>
          <w:highlight w:val="none"/>
          <w:lang w:val="en-US" w:eastAsia="zh-CN" w:bidi="ar-SA"/>
        </w:rPr>
        <w:t>阿坝州茂县社会保险事业管理局</w:t>
      </w: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14:paraId="3E721ED2">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5B72A376">
      <w:pPr>
        <w:widowControl/>
        <w:jc w:val="center"/>
        <w:rPr>
          <w:rFonts w:ascii="Times New Roman" w:hAnsi="Times New Roman" w:eastAsia="黑体" w:cs="Arial"/>
          <w:color w:val="auto"/>
          <w:sz w:val="28"/>
          <w:szCs w:val="28"/>
          <w:highlight w:val="none"/>
        </w:rPr>
      </w:pPr>
    </w:p>
    <w:p w14:paraId="18D730C9">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25</w:t>
      </w:r>
      <w:r>
        <w:rPr>
          <w:rFonts w:hint="eastAsia" w:ascii="Times New Roman" w:hAnsi="Times New Roman" w:eastAsia="仿宋_GB2312" w:cs="仿宋_GB2312"/>
          <w:color w:val="auto"/>
          <w:sz w:val="32"/>
          <w:szCs w:val="32"/>
          <w:highlight w:val="none"/>
        </w:rPr>
        <w:t>日</w:t>
      </w:r>
    </w:p>
    <w:p w14:paraId="19A868BE">
      <w:pPr>
        <w:rPr>
          <w:rFonts w:ascii="Times New Roman" w:hAnsi="Times New Roman"/>
          <w:color w:val="auto"/>
          <w:highlight w:val="none"/>
        </w:rPr>
      </w:pPr>
    </w:p>
    <w:p w14:paraId="0ED2D23C">
      <w:pPr>
        <w:pStyle w:val="14"/>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bookmarkStart w:id="12" w:name="_Toc15377196"/>
      <w:bookmarkStart w:id="13" w:name="_Toc15396599"/>
      <w:r>
        <w:rPr>
          <w:rFonts w:hint="eastAsia" w:ascii="仿宋_GB2312" w:hAnsi="仿宋_GB2312" w:eastAsia="仿宋_GB2312" w:cs="仿宋_GB2312"/>
          <w:color w:val="auto"/>
          <w:sz w:val="32"/>
          <w:szCs w:val="32"/>
          <w:highlight w:val="none"/>
        </w:rPr>
        <w:t>第一部分 部门概</w:t>
      </w:r>
      <w:r>
        <w:rPr>
          <w:rFonts w:hint="eastAsia" w:ascii="仿宋_GB2312" w:hAnsi="仿宋_GB2312" w:eastAsia="仿宋_GB2312" w:cs="仿宋_GB2312"/>
          <w:color w:val="auto"/>
          <w:kern w:val="2"/>
          <w:sz w:val="32"/>
          <w:szCs w:val="32"/>
          <w:highlight w:val="none"/>
          <w:lang w:val="en-US" w:eastAsia="zh-CN" w:bidi="ar-SA"/>
        </w:rPr>
        <w:t>况.....</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....4</w:t>
      </w:r>
    </w:p>
    <w:p w14:paraId="0C0CD330">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部门职责..</w:t>
      </w:r>
      <w:r>
        <w:rPr>
          <w:rFonts w:hint="default"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CN"/>
        </w:rPr>
        <w:t>................</w:t>
      </w:r>
      <w:r>
        <w:rPr>
          <w:rFonts w:hint="default"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4</w:t>
      </w:r>
    </w:p>
    <w:p w14:paraId="22B301F2">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二、机构设置.........................</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4</w:t>
      </w:r>
    </w:p>
    <w:p w14:paraId="53354000">
      <w:pPr>
        <w:pStyle w:val="14"/>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rPr>
        <w:t>第二部分</w:t>
      </w:r>
      <w:r>
        <w:rPr>
          <w:rFonts w:hint="eastAsia" w:ascii="仿宋_GB2312" w:hAnsi="仿宋_GB2312" w:eastAsia="仿宋_GB2312" w:cs="仿宋_GB2312"/>
          <w:color w:val="auto"/>
          <w:sz w:val="32"/>
          <w:szCs w:val="32"/>
          <w:highlight w:val="none"/>
          <w:lang w:val="en-US" w:eastAsia="zh-CN"/>
        </w:rPr>
        <w:t xml:space="preserve"> 2024年度</w:t>
      </w:r>
      <w:r>
        <w:rPr>
          <w:rFonts w:hint="eastAsia" w:ascii="仿宋_GB2312" w:hAnsi="仿宋_GB2312" w:eastAsia="仿宋_GB2312" w:cs="仿宋_GB2312"/>
          <w:color w:val="auto"/>
          <w:sz w:val="32"/>
          <w:szCs w:val="32"/>
          <w:highlight w:val="none"/>
        </w:rPr>
        <w:t>部门决算情况</w:t>
      </w:r>
      <w:r>
        <w:rPr>
          <w:rFonts w:hint="eastAsia" w:ascii="仿宋_GB2312" w:hAnsi="仿宋_GB2312" w:eastAsia="仿宋_GB2312" w:cs="仿宋_GB2312"/>
          <w:color w:val="auto"/>
          <w:kern w:val="2"/>
          <w:sz w:val="32"/>
          <w:szCs w:val="32"/>
          <w:highlight w:val="none"/>
          <w:lang w:val="en-US" w:eastAsia="zh-CN" w:bidi="ar-SA"/>
        </w:rPr>
        <w:t>说明..........</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..5</w:t>
      </w:r>
    </w:p>
    <w:p w14:paraId="4C52C97D">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一、收入支出决算总体情况说明..............</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5</w:t>
      </w:r>
    </w:p>
    <w:p w14:paraId="24DF7860">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二、收入决算情况说明.......</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5</w:t>
      </w:r>
    </w:p>
    <w:p w14:paraId="28A8569F">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三、支出决算情况说明.......</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5</w:t>
      </w:r>
    </w:p>
    <w:p w14:paraId="6DCF29E6">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四、财政拨款收入支出决算总体情况说明....</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6</w:t>
      </w:r>
    </w:p>
    <w:p w14:paraId="67A4E568">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五、一般公共预算财政拨款支出决算情况说明...</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6</w:t>
      </w:r>
    </w:p>
    <w:p w14:paraId="23DBE985">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六、一般公共预算财政拨款基本支出决算情况说明.</w:t>
      </w:r>
      <w:r>
        <w:rPr>
          <w:rFonts w:hint="eastAsia" w:ascii="仿宋_GB2312" w:hAnsi="仿宋_GB2312" w:eastAsia="仿宋_GB2312" w:cs="仿宋_GB2312"/>
          <w:color w:val="auto"/>
          <w:sz w:val="32"/>
          <w:szCs w:val="32"/>
          <w:highlight w:val="none"/>
          <w:lang w:val="en-US" w:eastAsia="zh-CN"/>
        </w:rPr>
        <w:t>8</w:t>
      </w:r>
    </w:p>
    <w:p w14:paraId="7E0874D7">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七、</w:t>
      </w:r>
      <w:r>
        <w:rPr>
          <w:rFonts w:hint="eastAsia" w:ascii="仿宋_GB2312" w:hAnsi="仿宋_GB2312" w:eastAsia="仿宋_GB2312" w:cs="仿宋_GB2312"/>
          <w:color w:val="auto"/>
          <w:sz w:val="32"/>
          <w:szCs w:val="32"/>
          <w:highlight w:val="none"/>
          <w:lang w:eastAsia="zh-CN"/>
        </w:rPr>
        <w:t>财政拨款“三公”经费支出决算情况说明......</w:t>
      </w:r>
      <w:r>
        <w:rPr>
          <w:rFonts w:hint="eastAsia" w:ascii="仿宋_GB2312" w:hAnsi="仿宋_GB2312" w:eastAsia="仿宋_GB2312" w:cs="仿宋_GB2312"/>
          <w:color w:val="auto"/>
          <w:sz w:val="32"/>
          <w:szCs w:val="32"/>
          <w:highlight w:val="none"/>
          <w:lang w:val="en-US" w:eastAsia="zh-CN"/>
        </w:rPr>
        <w:t>9</w:t>
      </w:r>
    </w:p>
    <w:p w14:paraId="471E80CC">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八、政府性基金预算支出决算情况说明.........</w:t>
      </w:r>
      <w:r>
        <w:rPr>
          <w:rFonts w:hint="eastAsia" w:ascii="仿宋_GB2312" w:hAnsi="仿宋_GB2312" w:eastAsia="仿宋_GB2312" w:cs="仿宋_GB2312"/>
          <w:color w:val="auto"/>
          <w:sz w:val="32"/>
          <w:szCs w:val="32"/>
          <w:highlight w:val="none"/>
          <w:lang w:val="en-US" w:eastAsia="zh-CN"/>
        </w:rPr>
        <w:t>10</w:t>
      </w:r>
    </w:p>
    <w:p w14:paraId="45056AF8">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九、</w:t>
      </w:r>
      <w:r>
        <w:rPr>
          <w:rFonts w:hint="eastAsia" w:ascii="仿宋_GB2312" w:hAnsi="仿宋_GB2312" w:eastAsia="仿宋_GB2312" w:cs="仿宋_GB2312"/>
          <w:color w:val="auto"/>
          <w:sz w:val="32"/>
          <w:szCs w:val="32"/>
          <w:highlight w:val="none"/>
          <w:lang w:eastAsia="zh-CN"/>
        </w:rPr>
        <w:t>国</w:t>
      </w:r>
      <w:r>
        <w:rPr>
          <w:rFonts w:hint="eastAsia" w:ascii="仿宋_GB2312" w:hAnsi="仿宋_GB2312" w:eastAsia="仿宋_GB2312" w:cs="仿宋_GB2312"/>
          <w:color w:val="auto"/>
          <w:sz w:val="32"/>
          <w:szCs w:val="32"/>
          <w:highlight w:val="none"/>
        </w:rPr>
        <w:t>有资本经营预算支出决算情</w:t>
      </w:r>
      <w:r>
        <w:rPr>
          <w:rFonts w:hint="eastAsia" w:ascii="仿宋_GB2312" w:hAnsi="仿宋_GB2312" w:eastAsia="仿宋_GB2312" w:cs="仿宋_GB2312"/>
          <w:color w:val="auto"/>
          <w:sz w:val="32"/>
          <w:szCs w:val="32"/>
          <w:highlight w:val="none"/>
          <w:lang w:val="en-US" w:eastAsia="zh-CN"/>
        </w:rPr>
        <w:t>况说明.......10</w:t>
      </w:r>
    </w:p>
    <w:p w14:paraId="3C3705FC">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十</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其他重要事项的情况说明.......</w:t>
      </w:r>
      <w:r>
        <w:rPr>
          <w:rFonts w:hint="default"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........10</w:t>
      </w:r>
    </w:p>
    <w:p w14:paraId="6A67D897">
      <w:pPr>
        <w:pStyle w:val="14"/>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rPr>
        <w:t>第三部分 名</w:t>
      </w:r>
      <w:r>
        <w:rPr>
          <w:rFonts w:hint="eastAsia" w:ascii="仿宋_GB2312" w:hAnsi="仿宋_GB2312" w:eastAsia="仿宋_GB2312" w:cs="仿宋_GB2312"/>
          <w:color w:val="auto"/>
          <w:kern w:val="2"/>
          <w:sz w:val="32"/>
          <w:szCs w:val="32"/>
          <w:highlight w:val="none"/>
          <w:lang w:val="en-US" w:eastAsia="zh-CN" w:bidi="ar-SA"/>
        </w:rPr>
        <w:t>词解释......</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......11</w:t>
      </w:r>
    </w:p>
    <w:p w14:paraId="4FC99837">
      <w:pPr>
        <w:pStyle w:val="14"/>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rPr>
        <w:t>第四部分 附</w:t>
      </w:r>
      <w:r>
        <w:rPr>
          <w:rFonts w:hint="eastAsia" w:ascii="仿宋_GB2312" w:hAnsi="仿宋_GB2312" w:eastAsia="仿宋_GB2312" w:cs="仿宋_GB2312"/>
          <w:color w:val="auto"/>
          <w:kern w:val="2"/>
          <w:sz w:val="32"/>
          <w:szCs w:val="32"/>
          <w:highlight w:val="none"/>
          <w:lang w:val="en-US" w:eastAsia="zh-CN" w:bidi="ar-SA"/>
        </w:rPr>
        <w:t>件..</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........14</w:t>
      </w:r>
    </w:p>
    <w:p w14:paraId="7D955B5C">
      <w:pPr>
        <w:pStyle w:val="14"/>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rPr>
        <w:t xml:space="preserve">第五部分 </w:t>
      </w:r>
      <w:r>
        <w:rPr>
          <w:rFonts w:hint="eastAsia" w:ascii="仿宋_GB2312" w:hAnsi="仿宋_GB2312" w:eastAsia="仿宋_GB2312" w:cs="仿宋_GB2312"/>
          <w:color w:val="auto"/>
          <w:kern w:val="2"/>
          <w:sz w:val="32"/>
          <w:szCs w:val="32"/>
          <w:highlight w:val="none"/>
          <w:lang w:val="en-US" w:eastAsia="zh-CN" w:bidi="ar-SA"/>
        </w:rPr>
        <w:t>附表.....</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.......................19</w:t>
      </w:r>
    </w:p>
    <w:p w14:paraId="40B1C185">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一、收入支出决算总表</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...19</w:t>
      </w:r>
    </w:p>
    <w:p w14:paraId="07C66753">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二、收入决算表</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..........19</w:t>
      </w:r>
    </w:p>
    <w:p w14:paraId="3312EE5F">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三、支出决算表</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2"/>
          <w:sz w:val="32"/>
          <w:szCs w:val="32"/>
          <w:highlight w:val="none"/>
          <w:lang w:val="en-US" w:eastAsia="zh-CN" w:bidi="ar-SA"/>
        </w:rPr>
        <w:t>.......................19</w:t>
      </w:r>
    </w:p>
    <w:p w14:paraId="0AD0DDB1">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四、财政拨款收入支出决算总表</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......19</w:t>
      </w:r>
    </w:p>
    <w:p w14:paraId="29701A5A">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五、财政拨款支出决算明细表</w:t>
      </w:r>
      <w:r>
        <w:rPr>
          <w:rFonts w:hint="eastAsia" w:ascii="仿宋_GB2312" w:hAnsi="仿宋_GB2312" w:eastAsia="仿宋_GB2312" w:cs="仿宋_GB2312"/>
          <w:color w:val="auto"/>
          <w:kern w:val="2"/>
          <w:sz w:val="32"/>
          <w:szCs w:val="32"/>
          <w:highlight w:val="none"/>
          <w:lang w:val="en-US" w:eastAsia="zh-CN" w:bidi="ar-SA"/>
        </w:rPr>
        <w:t>..................19</w:t>
      </w:r>
    </w:p>
    <w:p w14:paraId="51AA87B3">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六、一般公共预算财政拨款支出决算表</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....19</w:t>
      </w:r>
    </w:p>
    <w:p w14:paraId="1636CAA1">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七、一般公共预算财政拨款支出决算明细</w:t>
      </w:r>
      <w:r>
        <w:rPr>
          <w:rFonts w:hint="eastAsia" w:ascii="仿宋_GB2312" w:hAnsi="仿宋_GB2312" w:eastAsia="仿宋_GB2312" w:cs="仿宋_GB2312"/>
          <w:color w:val="auto"/>
          <w:kern w:val="2"/>
          <w:sz w:val="32"/>
          <w:szCs w:val="32"/>
          <w:highlight w:val="none"/>
          <w:lang w:val="en-US" w:eastAsia="zh-CN" w:bidi="ar-SA"/>
        </w:rPr>
        <w:t>........19</w:t>
      </w:r>
    </w:p>
    <w:p w14:paraId="671ECEEA">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八、一般公共预算财政拨款基本支出决算</w:t>
      </w:r>
      <w:r>
        <w:rPr>
          <w:rFonts w:hint="eastAsia" w:ascii="仿宋_GB2312" w:hAnsi="仿宋_GB2312" w:eastAsia="仿宋_GB2312" w:cs="仿宋_GB2312"/>
          <w:color w:val="auto"/>
          <w:sz w:val="32"/>
          <w:szCs w:val="32"/>
          <w:highlight w:val="none"/>
          <w:lang w:eastAsia="zh-CN"/>
        </w:rPr>
        <w:t>明细</w:t>
      </w:r>
      <w:r>
        <w:rPr>
          <w:rFonts w:hint="eastAsia" w:ascii="仿宋_GB2312" w:hAnsi="仿宋_GB2312" w:eastAsia="仿宋_GB2312" w:cs="仿宋_GB2312"/>
          <w:color w:val="auto"/>
          <w:sz w:val="32"/>
          <w:szCs w:val="32"/>
          <w:highlight w:val="none"/>
        </w:rPr>
        <w:t>表</w:t>
      </w:r>
      <w:r>
        <w:rPr>
          <w:rFonts w:hint="eastAsia" w:ascii="仿宋_GB2312" w:hAnsi="仿宋_GB2312" w:eastAsia="仿宋_GB2312" w:cs="仿宋_GB2312"/>
          <w:color w:val="auto"/>
          <w:kern w:val="2"/>
          <w:sz w:val="32"/>
          <w:szCs w:val="32"/>
          <w:highlight w:val="none"/>
          <w:lang w:val="en-US" w:eastAsia="zh-CN" w:bidi="ar-SA"/>
        </w:rPr>
        <w:t>..19</w:t>
      </w:r>
    </w:p>
    <w:p w14:paraId="5800A0AF">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九、一般公共预算财政拨款项目支出决算表</w:t>
      </w:r>
      <w:r>
        <w:rPr>
          <w:rFonts w:hint="eastAsia" w:ascii="仿宋_GB2312" w:hAnsi="仿宋_GB2312" w:eastAsia="仿宋_GB2312" w:cs="仿宋_GB2312"/>
          <w:color w:val="auto"/>
          <w:kern w:val="2"/>
          <w:sz w:val="32"/>
          <w:szCs w:val="32"/>
          <w:highlight w:val="none"/>
          <w:lang w:val="en-US" w:eastAsia="zh-CN" w:bidi="ar-SA"/>
        </w:rPr>
        <w:t>......19</w:t>
      </w:r>
    </w:p>
    <w:p w14:paraId="21218E03">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十、政府性基金预算财政拨款收入支出决算表</w:t>
      </w:r>
      <w:r>
        <w:rPr>
          <w:rFonts w:hint="eastAsia" w:ascii="仿宋_GB2312" w:hAnsi="仿宋_GB2312" w:eastAsia="仿宋_GB2312" w:cs="仿宋_GB2312"/>
          <w:color w:val="auto"/>
          <w:kern w:val="2"/>
          <w:sz w:val="32"/>
          <w:szCs w:val="32"/>
          <w:highlight w:val="none"/>
          <w:lang w:val="en-US" w:eastAsia="zh-CN" w:bidi="ar-SA"/>
        </w:rPr>
        <w:t>....19</w:t>
      </w:r>
    </w:p>
    <w:p w14:paraId="44C48AA4">
      <w:pPr>
        <w:pStyle w:val="15"/>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十一、国有资本经营预算财政拨款收入支出决算</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2"/>
          <w:sz w:val="32"/>
          <w:szCs w:val="32"/>
          <w:highlight w:val="none"/>
          <w:lang w:val="en-US" w:eastAsia="zh-CN" w:bidi="ar-SA"/>
        </w:rPr>
        <w:t>19</w:t>
      </w:r>
    </w:p>
    <w:p w14:paraId="2F479289">
      <w:pPr>
        <w:pStyle w:val="15"/>
        <w:keepNext w:val="0"/>
        <w:keepLines w:val="0"/>
        <w:pageBreakBefore w:val="0"/>
        <w:widowControl w:val="0"/>
        <w:kinsoku/>
        <w:wordWrap/>
        <w:overflowPunct/>
        <w:topLinePunct w:val="0"/>
        <w:autoSpaceDE/>
        <w:autoSpaceDN/>
        <w:bidi w:val="0"/>
        <w:adjustRightInd w:val="0"/>
        <w:snapToGrid w:val="0"/>
        <w:spacing w:line="576" w:lineRule="exact"/>
        <w:ind w:left="1058" w:leftChars="504"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highlight w:val="none"/>
        </w:rPr>
        <w:t>十二、</w:t>
      </w:r>
      <w:r>
        <w:rPr>
          <w:rFonts w:hint="eastAsia" w:ascii="仿宋_GB2312" w:hAnsi="仿宋_GB2312" w:eastAsia="仿宋_GB2312" w:cs="仿宋_GB2312"/>
          <w:color w:val="auto"/>
          <w:sz w:val="32"/>
          <w:szCs w:val="32"/>
          <w:highlight w:val="none"/>
          <w:lang w:val="en-US" w:eastAsia="zh-CN"/>
        </w:rPr>
        <w:t>国有资本经营预算财政拨款支出决算表</w:t>
      </w:r>
      <w:r>
        <w:rPr>
          <w:rFonts w:hint="eastAsia" w:ascii="仿宋_GB2312" w:hAnsi="仿宋_GB2312" w:eastAsia="仿宋_GB2312" w:cs="仿宋_GB2312"/>
          <w:color w:val="auto"/>
          <w:kern w:val="2"/>
          <w:sz w:val="32"/>
          <w:szCs w:val="32"/>
          <w:highlight w:val="none"/>
          <w:lang w:val="en-US" w:eastAsia="zh-CN" w:bidi="ar-SA"/>
        </w:rPr>
        <w:t>...19</w:t>
      </w:r>
      <w:r>
        <w:rPr>
          <w:rFonts w:hint="eastAsia" w:ascii="仿宋_GB2312" w:hAnsi="仿宋_GB2312" w:eastAsia="仿宋_GB2312" w:cs="仿宋_GB2312"/>
          <w:color w:val="auto"/>
          <w:sz w:val="32"/>
          <w:szCs w:val="32"/>
          <w:highlight w:val="none"/>
        </w:rPr>
        <w:t>十三、财政拨款“三公”经费支出决算表</w:t>
      </w:r>
      <w:r>
        <w:rPr>
          <w:rFonts w:hint="eastAsia" w:ascii="仿宋_GB2312" w:hAnsi="仿宋_GB2312" w:eastAsia="仿宋_GB2312" w:cs="仿宋_GB2312"/>
          <w:color w:val="auto"/>
          <w:kern w:val="2"/>
          <w:sz w:val="32"/>
          <w:szCs w:val="32"/>
          <w:highlight w:val="none"/>
          <w:lang w:val="en-US" w:eastAsia="zh-CN" w:bidi="ar-SA"/>
        </w:rPr>
        <w:t>.........19</w:t>
      </w:r>
    </w:p>
    <w:p w14:paraId="56FAFF67">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r>
        <w:rPr>
          <w:rFonts w:hint="eastAsia" w:ascii="Times New Roman" w:hAnsi="Times New Roman" w:eastAsia="仿宋_GB2312" w:cs="仿宋_GB2312"/>
          <w:b/>
          <w:color w:val="auto"/>
          <w:sz w:val="32"/>
          <w:szCs w:val="32"/>
          <w:highlight w:val="none"/>
        </w:rPr>
        <w:br w:type="page"/>
      </w:r>
    </w:p>
    <w:p w14:paraId="02BBA524">
      <w:pPr>
        <w:pStyle w:val="5"/>
        <w:jc w:val="center"/>
        <w:rPr>
          <w:rStyle w:val="21"/>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1"/>
          <w:rFonts w:hint="eastAsia" w:ascii="Times New Roman" w:hAnsi="Times New Roman" w:eastAsia="方正小标宋简体" w:cs="方正小标宋简体"/>
          <w:b w:val="0"/>
          <w:bCs w:val="0"/>
          <w:color w:val="auto"/>
          <w:highlight w:val="none"/>
        </w:rPr>
        <w:t>部门概况</w:t>
      </w:r>
      <w:bookmarkEnd w:id="12"/>
      <w:bookmarkEnd w:id="13"/>
    </w:p>
    <w:p w14:paraId="0058A9B5">
      <w:pPr>
        <w:pStyle w:val="28"/>
        <w:numPr>
          <w:ilvl w:val="0"/>
          <w:numId w:val="1"/>
        </w:numPr>
        <w:spacing w:line="600" w:lineRule="exact"/>
        <w:ind w:firstLineChars="0"/>
        <w:outlineLvl w:val="1"/>
        <w:rPr>
          <w:rFonts w:hint="eastAsia" w:ascii="黑体" w:eastAsia="黑体"/>
          <w:color w:val="auto"/>
          <w:sz w:val="32"/>
          <w:szCs w:val="32"/>
          <w:highlight w:val="none"/>
          <w:lang w:eastAsia="zh-CN"/>
        </w:rPr>
      </w:pPr>
      <w:r>
        <w:rPr>
          <w:rFonts w:hint="eastAsia" w:ascii="黑体" w:eastAsia="黑体"/>
          <w:color w:val="auto"/>
          <w:sz w:val="32"/>
          <w:szCs w:val="32"/>
          <w:highlight w:val="none"/>
          <w:lang w:eastAsia="zh-CN"/>
        </w:rPr>
        <w:t>部门职责</w:t>
      </w:r>
    </w:p>
    <w:p w14:paraId="4EEA0ED2">
      <w:pPr>
        <w:pStyle w:val="28"/>
        <w:spacing w:line="600" w:lineRule="exact"/>
        <w:ind w:left="640" w:firstLine="640" w:firstLineChars="200"/>
        <w:outlineLvl w:val="1"/>
        <w:rPr>
          <w:rFonts w:hint="eastAsia" w:ascii="仿宋_GB2312" w:hAnsi="仿宋_GB2312" w:eastAsia="仿宋_GB2312" w:cs="仿宋_GB2312"/>
          <w:color w:val="auto"/>
          <w:kern w:val="2"/>
          <w:sz w:val="32"/>
          <w:szCs w:val="32"/>
          <w:highlight w:val="none"/>
          <w:lang w:eastAsia="zh-CN" w:bidi="ar-SA"/>
        </w:rPr>
      </w:pPr>
      <w:r>
        <w:rPr>
          <w:rFonts w:hint="eastAsia" w:ascii="仿宋_GB2312" w:hAnsi="仿宋_GB2312" w:eastAsia="仿宋_GB2312" w:cs="仿宋_GB2312"/>
          <w:color w:val="auto"/>
          <w:kern w:val="2"/>
          <w:sz w:val="32"/>
          <w:szCs w:val="32"/>
          <w:highlight w:val="none"/>
          <w:lang w:val="en-US" w:eastAsia="zh-CN" w:bidi="ar-SA"/>
        </w:rPr>
        <w:t>茂县社会保险事业管理局是县政府综合管理全县社会保险工作的职能部门，承担政府职能的管理机构，贯彻执行国家、省、州有关社会保险政策和法律、法规，负责全县企业基本养老保险、机关事业养老保险、职业年金、工伤保险等社会保险工作</w:t>
      </w:r>
      <w:r>
        <w:rPr>
          <w:rFonts w:hint="eastAsia" w:ascii="仿宋_GB2312" w:hAnsi="仿宋_GB2312" w:eastAsia="仿宋_GB2312" w:cs="仿宋_GB2312"/>
          <w:color w:val="auto"/>
          <w:kern w:val="2"/>
          <w:sz w:val="32"/>
          <w:szCs w:val="32"/>
          <w:highlight w:val="none"/>
          <w:lang w:eastAsia="zh-CN" w:bidi="ar-SA"/>
        </w:rPr>
        <w:t>。</w:t>
      </w:r>
    </w:p>
    <w:p w14:paraId="6C757991">
      <w:pPr>
        <w:pStyle w:val="28"/>
        <w:spacing w:line="600" w:lineRule="exact"/>
        <w:ind w:left="0" w:firstLine="640" w:firstLineChars="200"/>
        <w:outlineLvl w:val="1"/>
        <w:rPr>
          <w:rFonts w:hint="eastAsia" w:ascii="黑体" w:eastAsia="黑体"/>
          <w:color w:val="auto"/>
          <w:sz w:val="32"/>
          <w:szCs w:val="32"/>
          <w:highlight w:val="none"/>
        </w:rPr>
      </w:pPr>
      <w:r>
        <w:rPr>
          <w:rFonts w:hint="eastAsia" w:ascii="黑体" w:eastAsia="黑体"/>
          <w:color w:val="auto"/>
          <w:sz w:val="32"/>
          <w:szCs w:val="32"/>
          <w:highlight w:val="none"/>
        </w:rPr>
        <w:t>二、机构设置</w:t>
      </w:r>
    </w:p>
    <w:p w14:paraId="0E069D9D">
      <w:pPr>
        <w:pStyle w:val="28"/>
        <w:spacing w:line="600" w:lineRule="exact"/>
        <w:ind w:left="640" w:firstLine="640" w:firstLineChars="200"/>
        <w:outlineLvl w:val="1"/>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茂县社会保险事业管理局下属二级预算单位0个，其中行政单位0个，参照公务员法管理的事业单位0个，其他事业单位0个。</w:t>
      </w:r>
    </w:p>
    <w:p w14:paraId="56EF075F">
      <w:pPr>
        <w:pStyle w:val="28"/>
        <w:spacing w:line="600" w:lineRule="exact"/>
        <w:ind w:left="640" w:firstLine="640" w:firstLineChars="200"/>
        <w:outlineLvl w:val="1"/>
        <w:rPr>
          <w:rFonts w:hint="eastAsia" w:ascii="仿宋_GB2312" w:hAnsi="仿宋_GB2312" w:eastAsia="仿宋_GB2312" w:cs="仿宋_GB2312"/>
          <w:color w:val="auto"/>
          <w:kern w:val="2"/>
          <w:sz w:val="32"/>
          <w:szCs w:val="32"/>
          <w:highlight w:val="none"/>
          <w:lang w:val="en-US" w:eastAsia="zh-CN" w:bidi="ar-SA"/>
        </w:rPr>
      </w:pPr>
    </w:p>
    <w:p w14:paraId="17925805">
      <w:pPr>
        <w:pStyle w:val="28"/>
        <w:spacing w:line="600" w:lineRule="exact"/>
        <w:ind w:left="640" w:firstLine="640" w:firstLineChars="200"/>
        <w:outlineLvl w:val="1"/>
        <w:rPr>
          <w:rFonts w:hint="eastAsia" w:ascii="仿宋" w:eastAsia="仿宋" w:cs="Times New Roman"/>
          <w:color w:val="auto"/>
          <w:kern w:val="2"/>
          <w:sz w:val="32"/>
          <w:szCs w:val="32"/>
          <w:highlight w:val="none"/>
          <w:lang w:val="en-US" w:eastAsia="zh-CN" w:bidi="ar-SA"/>
        </w:rPr>
      </w:pPr>
      <w:r>
        <w:rPr>
          <w:rFonts w:hint="eastAsia" w:ascii="仿宋" w:eastAsia="仿宋" w:cs="Times New Roman"/>
          <w:color w:val="auto"/>
          <w:kern w:val="2"/>
          <w:sz w:val="32"/>
          <w:szCs w:val="32"/>
          <w:highlight w:val="none"/>
          <w:lang w:val="en-US" w:eastAsia="zh-CN" w:bidi="ar-SA"/>
        </w:rPr>
        <w:br w:type="page"/>
      </w:r>
    </w:p>
    <w:p w14:paraId="346DB602">
      <w:pPr>
        <w:pStyle w:val="5"/>
        <w:ind w:right="440"/>
        <w:jc w:val="center"/>
        <w:rPr>
          <w:rStyle w:val="21"/>
          <w:rFonts w:ascii="黑体" w:eastAsia="黑体"/>
          <w:b w:val="0"/>
          <w:bCs/>
          <w:color w:val="auto"/>
          <w:highlight w:val="none"/>
        </w:rPr>
      </w:pPr>
      <w:bookmarkStart w:id="14" w:name="_Toc15377204"/>
      <w:bookmarkStart w:id="15" w:name="_Toc15396602"/>
      <w:bookmarkStart w:id="16" w:name="_Toc15377226"/>
      <w:r>
        <w:rPr>
          <w:rFonts w:hint="eastAsia" w:ascii="黑体" w:eastAsia="黑体"/>
          <w:b w:val="0"/>
          <w:bCs/>
          <w:color w:val="auto"/>
          <w:highlight w:val="none"/>
        </w:rPr>
        <w:t xml:space="preserve">第二部分 </w:t>
      </w:r>
      <w:r>
        <w:rPr>
          <w:rFonts w:hint="eastAsia" w:ascii="黑体" w:eastAsia="黑体"/>
          <w:b w:val="0"/>
          <w:bCs/>
          <w:color w:val="auto"/>
          <w:highlight w:val="none"/>
          <w:lang w:val="en-US" w:eastAsia="zh-CN"/>
        </w:rPr>
        <w:t>2024年度</w:t>
      </w:r>
      <w:r>
        <w:rPr>
          <w:rStyle w:val="21"/>
          <w:rFonts w:hint="eastAsia" w:ascii="黑体" w:eastAsia="黑体"/>
          <w:b w:val="0"/>
          <w:bCs/>
          <w:color w:val="auto"/>
          <w:highlight w:val="none"/>
        </w:rPr>
        <w:t>部门决算情况说明</w:t>
      </w:r>
      <w:bookmarkEnd w:id="14"/>
      <w:bookmarkEnd w:id="15"/>
    </w:p>
    <w:p w14:paraId="05DD2B9F">
      <w:pPr>
        <w:pStyle w:val="28"/>
        <w:numPr>
          <w:ilvl w:val="0"/>
          <w:numId w:val="0"/>
        </w:numPr>
        <w:spacing w:line="600" w:lineRule="exact"/>
        <w:ind w:left="640" w:leftChars="0"/>
        <w:outlineLvl w:val="1"/>
        <w:rPr>
          <w:rStyle w:val="22"/>
          <w:rFonts w:ascii="黑体" w:eastAsia="黑体"/>
          <w:b w:val="0"/>
          <w:color w:val="auto"/>
          <w:highlight w:val="none"/>
        </w:rPr>
      </w:pPr>
      <w:bookmarkStart w:id="17" w:name="_Toc15377205"/>
      <w:bookmarkStart w:id="18" w:name="_Toc15396603"/>
      <w:r>
        <w:rPr>
          <w:rFonts w:hint="eastAsia" w:ascii="黑体" w:eastAsia="黑体"/>
          <w:color w:val="auto"/>
          <w:sz w:val="32"/>
          <w:szCs w:val="32"/>
          <w:highlight w:val="none"/>
          <w:lang w:val="en-US" w:eastAsia="zh-CN"/>
        </w:rPr>
        <w:t>一、</w:t>
      </w:r>
      <w:r>
        <w:rPr>
          <w:rFonts w:hint="eastAsia" w:ascii="黑体" w:eastAsia="黑体"/>
          <w:color w:val="auto"/>
          <w:sz w:val="32"/>
          <w:szCs w:val="32"/>
          <w:highlight w:val="none"/>
        </w:rPr>
        <w:t>收</w:t>
      </w:r>
      <w:r>
        <w:rPr>
          <w:rStyle w:val="22"/>
          <w:rFonts w:hint="eastAsia" w:ascii="黑体" w:eastAsia="黑体"/>
          <w:b w:val="0"/>
          <w:color w:val="auto"/>
          <w:highlight w:val="none"/>
        </w:rPr>
        <w:t>入支出决算总体情况说明</w:t>
      </w:r>
      <w:bookmarkEnd w:id="17"/>
      <w:bookmarkEnd w:id="18"/>
    </w:p>
    <w:p w14:paraId="5EE61183">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2024年度收、支总计均为490.69万元。与2023年度相比，收、支总计各增加72.86万元，增长17.44%。主要变动原因是：人员增加、职务职级变动及每年行政事业人员工资正常晋升导致工资和社会保险费增加。</w:t>
      </w:r>
    </w:p>
    <w:p w14:paraId="70A4FCDB">
      <w:pPr>
        <w:pStyle w:val="23"/>
        <w:ind w:firstLine="643" w:firstLineChars="200"/>
        <w:rPr>
          <w:rFonts w:hint="eastAsia" w:ascii="仿宋" w:eastAsia="仿宋"/>
          <w:color w:val="auto"/>
          <w:sz w:val="32"/>
          <w:szCs w:val="32"/>
          <w:highlight w:val="none"/>
        </w:rPr>
      </w:pPr>
      <w:r>
        <w:rPr>
          <w:rFonts w:hint="eastAsia" w:ascii="仿宋" w:eastAsia="仿宋"/>
          <w:color w:val="000000"/>
          <w:sz w:val="32"/>
          <w:szCs w:val="32"/>
          <w:lang w:eastAsia="zh-CN"/>
        </w:rPr>
        <w:object>
          <v:shape id="_x0000_i1025" o:spt="75" type="#_x0000_t75" style="height:184.45pt;width:346.9pt;" o:ole="t" filled="f" o:preferrelative="t" stroked="f" coordsize="21600,21600">
            <v:path/>
            <v:fill on="f" focussize="0,0"/>
            <v:stroke on="f" color="#000000"/>
            <v:imagedata r:id="rId8" o:title="image1"/>
            <o:lock v:ext="edit" aspectratio="t"/>
            <w10:wrap type="none"/>
            <w10:anchorlock/>
          </v:shape>
          <o:OLEObject Type="Embed" ProgID="Package" ShapeID="_x0000_i1025" DrawAspect="Content" ObjectID="_1468075725" r:id="rId7">
            <o:LockedField>false</o:LockedField>
          </o:OLEObject>
        </w:object>
      </w:r>
    </w:p>
    <w:p w14:paraId="2EF821AB">
      <w:pPr>
        <w:pStyle w:val="28"/>
        <w:numPr>
          <w:ilvl w:val="0"/>
          <w:numId w:val="1"/>
        </w:numPr>
        <w:spacing w:line="600" w:lineRule="exact"/>
        <w:ind w:firstLineChars="0"/>
        <w:outlineLvl w:val="1"/>
        <w:rPr>
          <w:rStyle w:val="22"/>
          <w:rFonts w:ascii="黑体" w:eastAsia="黑体"/>
          <w:b w:val="0"/>
          <w:color w:val="auto"/>
          <w:highlight w:val="none"/>
        </w:rPr>
      </w:pPr>
      <w:bookmarkStart w:id="19" w:name="_Toc15377206"/>
      <w:bookmarkStart w:id="20" w:name="_Toc15396604"/>
      <w:r>
        <w:rPr>
          <w:rFonts w:hint="eastAsia" w:ascii="黑体" w:eastAsia="黑体"/>
          <w:color w:val="auto"/>
          <w:sz w:val="32"/>
          <w:szCs w:val="32"/>
          <w:highlight w:val="none"/>
        </w:rPr>
        <w:t>收</w:t>
      </w:r>
      <w:r>
        <w:rPr>
          <w:rStyle w:val="22"/>
          <w:rFonts w:hint="eastAsia" w:ascii="黑体" w:eastAsia="黑体"/>
          <w:b w:val="0"/>
          <w:color w:val="auto"/>
          <w:highlight w:val="none"/>
        </w:rPr>
        <w:t>入决算情况说明</w:t>
      </w:r>
      <w:bookmarkEnd w:id="19"/>
      <w:bookmarkEnd w:id="20"/>
    </w:p>
    <w:p w14:paraId="1E80B8FC">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2024年度本年收入合计490.69万元，其中：一般公共预算财政拨款收入490.69万元，占100%。</w:t>
      </w:r>
    </w:p>
    <w:p w14:paraId="5274C16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1"/>
        <w:rPr>
          <w:rFonts w:hint="eastAsia" w:ascii="仿宋_GB2312" w:eastAsia="仿宋_GB2312"/>
          <w:color w:val="FF0000"/>
          <w:sz w:val="32"/>
          <w:szCs w:val="32"/>
          <w:lang w:eastAsia="zh-CN"/>
        </w:rPr>
      </w:pPr>
      <w:r>
        <w:rPr>
          <w:rFonts w:hint="eastAsia" w:ascii="仿宋_GB2312" w:eastAsia="仿宋_GB2312"/>
          <w:color w:val="FF0000"/>
          <w:sz w:val="32"/>
          <w:szCs w:val="32"/>
          <w:lang w:val="en-US" w:eastAsia="zh-CN"/>
        </w:rPr>
        <w:t xml:space="preserve">       </w:t>
      </w:r>
      <w:r>
        <w:rPr>
          <w:rFonts w:hint="eastAsia" w:ascii="仿宋_GB2312" w:eastAsia="仿宋_GB2312"/>
          <w:color w:val="FF0000"/>
          <w:sz w:val="32"/>
          <w:szCs w:val="32"/>
          <w:lang w:eastAsia="zh-CN"/>
        </w:rPr>
        <w:object>
          <v:shape id="_x0000_i1026" o:spt="75" type="#_x0000_t75" style="height:119.45pt;width:261.05pt;" o:ole="t" filled="f" o:preferrelative="t" stroked="f" coordsize="21600,21600">
            <v:path/>
            <v:fill on="f" focussize="0,0"/>
            <v:stroke on="f" color="#000000"/>
            <v:imagedata r:id="rId10" o:title="image2"/>
            <o:lock v:ext="edit" aspectratio="t"/>
            <w10:wrap type="none"/>
            <w10:anchorlock/>
          </v:shape>
          <o:OLEObject Type="Embed" ProgID="Package" ShapeID="_x0000_i1026" DrawAspect="Content" ObjectID="_1468075726" r:id="rId9">
            <o:LockedField>false</o:LockedField>
          </o:OLEObject>
        </w:object>
      </w:r>
    </w:p>
    <w:p w14:paraId="6F9D8805">
      <w:pPr>
        <w:pStyle w:val="28"/>
        <w:numPr>
          <w:ilvl w:val="0"/>
          <w:numId w:val="1"/>
        </w:numPr>
        <w:spacing w:line="600" w:lineRule="exact"/>
        <w:ind w:firstLineChars="0"/>
        <w:outlineLvl w:val="1"/>
        <w:rPr>
          <w:rStyle w:val="22"/>
          <w:rFonts w:ascii="黑体" w:eastAsia="黑体"/>
          <w:b w:val="0"/>
          <w:color w:val="auto"/>
          <w:highlight w:val="none"/>
        </w:rPr>
      </w:pPr>
      <w:bookmarkStart w:id="21" w:name="_Toc15396605"/>
      <w:bookmarkStart w:id="22" w:name="_Toc15377207"/>
      <w:r>
        <w:rPr>
          <w:rFonts w:hint="eastAsia" w:ascii="黑体" w:eastAsia="黑体"/>
          <w:color w:val="auto"/>
          <w:sz w:val="32"/>
          <w:szCs w:val="32"/>
          <w:highlight w:val="none"/>
        </w:rPr>
        <w:t>支</w:t>
      </w:r>
      <w:r>
        <w:rPr>
          <w:rStyle w:val="22"/>
          <w:rFonts w:hint="eastAsia" w:ascii="黑体" w:eastAsia="黑体"/>
          <w:b w:val="0"/>
          <w:color w:val="auto"/>
          <w:highlight w:val="none"/>
        </w:rPr>
        <w:t>出决算情况说明</w:t>
      </w:r>
      <w:bookmarkEnd w:id="21"/>
      <w:bookmarkEnd w:id="22"/>
    </w:p>
    <w:p w14:paraId="30B69DF9">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2024年度本年支出合计490.69万元，其中：基本支出490.69万元，占100%。</w:t>
      </w:r>
    </w:p>
    <w:p w14:paraId="5327E831">
      <w:pPr>
        <w:ind w:firstLine="640" w:firstLineChars="200"/>
      </w:pPr>
      <w:r>
        <w:rPr>
          <w:rFonts w:hint="eastAsia" w:ascii="仿宋" w:eastAsia="仿宋"/>
          <w:color w:val="000000"/>
          <w:sz w:val="32"/>
          <w:szCs w:val="32"/>
          <w:shd w:val="pct10" w:color="auto" w:fill="FFFFFF"/>
          <w:lang w:eastAsia="zh-CN"/>
        </w:rPr>
        <w:object>
          <v:shape id="_x0000_i1027" o:spt="75" type="#_x0000_t75" style="height:185.85pt;width:344pt;" o:ole="t" filled="f" o:preferrelative="t" stroked="f" coordsize="21600,21600">
            <v:path/>
            <v:fill on="f" focussize="0,0"/>
            <v:stroke on="f" color="#000000"/>
            <v:imagedata r:id="rId12" o:title="image3"/>
            <o:lock v:ext="edit" aspectratio="t"/>
            <w10:wrap type="none"/>
            <w10:anchorlock/>
          </v:shape>
          <o:OLEObject Type="Embed" ProgID="Package" ShapeID="_x0000_i1027" DrawAspect="Content" ObjectID="_1468075727" r:id="rId11">
            <o:LockedField>false</o:LockedField>
          </o:OLEObject>
        </w:object>
      </w:r>
    </w:p>
    <w:p w14:paraId="1D732723">
      <w:pPr>
        <w:spacing w:line="600" w:lineRule="exact"/>
        <w:ind w:firstLine="640" w:firstLineChars="200"/>
        <w:outlineLvl w:val="1"/>
        <w:rPr>
          <w:rStyle w:val="22"/>
          <w:rFonts w:ascii="黑体" w:eastAsia="黑体"/>
          <w:b w:val="0"/>
          <w:color w:val="auto"/>
          <w:highlight w:val="none"/>
        </w:rPr>
      </w:pPr>
      <w:bookmarkStart w:id="23" w:name="_Toc15377208"/>
      <w:bookmarkStart w:id="24" w:name="_Toc15396606"/>
      <w:r>
        <w:rPr>
          <w:rFonts w:hint="eastAsia" w:ascii="黑体" w:eastAsia="黑体"/>
          <w:color w:val="auto"/>
          <w:sz w:val="32"/>
          <w:szCs w:val="32"/>
          <w:highlight w:val="none"/>
        </w:rPr>
        <w:t>四、财</w:t>
      </w:r>
      <w:r>
        <w:rPr>
          <w:rStyle w:val="22"/>
          <w:rFonts w:hint="eastAsia" w:ascii="黑体" w:eastAsia="黑体"/>
          <w:b w:val="0"/>
          <w:color w:val="auto"/>
          <w:highlight w:val="none"/>
        </w:rPr>
        <w:t>政拨款收入支出决算总体情况说明</w:t>
      </w:r>
      <w:bookmarkEnd w:id="23"/>
      <w:bookmarkEnd w:id="24"/>
    </w:p>
    <w:p w14:paraId="372250DA">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财政拨款收、支总计均为490.69万元。与2023年度相比，财政拨款收、支总计各增加72.86万元，增长17.44%。主要变动原因是：人员增加、职务职级变动及每年行政事业人员工资正常晋升导致工资和社会保险费增加。</w:t>
      </w:r>
    </w:p>
    <w:p w14:paraId="0C9CFAE6">
      <w:pPr>
        <w:keepNext w:val="0"/>
        <w:keepLines w:val="0"/>
        <w:pageBreakBefore w:val="0"/>
        <w:widowControl w:val="0"/>
        <w:kinsoku/>
        <w:wordWrap/>
        <w:overflowPunct/>
        <w:topLinePunct w:val="0"/>
        <w:autoSpaceDE/>
        <w:autoSpaceDN/>
        <w:bidi w:val="0"/>
        <w:adjustRightInd/>
        <w:snapToGrid/>
        <w:spacing w:line="240" w:lineRule="auto"/>
        <w:ind w:firstLine="1280" w:firstLineChars="400"/>
        <w:textAlignment w:val="auto"/>
      </w:pPr>
      <w:r>
        <w:rPr>
          <w:rFonts w:hint="eastAsia" w:ascii="仿宋" w:eastAsia="仿宋"/>
          <w:color w:val="000000"/>
          <w:sz w:val="32"/>
          <w:szCs w:val="32"/>
          <w:lang w:eastAsia="zh-CN"/>
        </w:rPr>
        <w:object>
          <v:shape id="_x0000_i1028" o:spt="75" type="#_x0000_t75" style="height:179.75pt;width:266.6pt;" o:ole="t" filled="f" o:preferrelative="t" stroked="f" coordsize="21600,21600">
            <v:path/>
            <v:fill on="f" focussize="0,0"/>
            <v:stroke on="f" color="#000000"/>
            <v:imagedata r:id="rId14" o:title="image4"/>
            <o:lock v:ext="edit" aspectratio="t"/>
            <w10:wrap type="none"/>
            <w10:anchorlock/>
          </v:shape>
          <o:OLEObject Type="Embed" ProgID="Package" ShapeID="_x0000_i1028" DrawAspect="Content" ObjectID="_1468075728" r:id="rId13">
            <o:LockedField>false</o:LockedField>
          </o:OLEObject>
        </w:object>
      </w:r>
    </w:p>
    <w:p w14:paraId="39687867">
      <w:pPr>
        <w:spacing w:line="600" w:lineRule="exact"/>
        <w:ind w:firstLine="640" w:firstLineChars="200"/>
        <w:outlineLvl w:val="1"/>
        <w:rPr>
          <w:rStyle w:val="22"/>
          <w:rFonts w:ascii="黑体" w:eastAsia="黑体"/>
          <w:b w:val="0"/>
          <w:color w:val="auto"/>
          <w:highlight w:val="none"/>
        </w:rPr>
      </w:pPr>
      <w:bookmarkStart w:id="25" w:name="_Toc15396607"/>
      <w:bookmarkStart w:id="26" w:name="_Toc15377209"/>
      <w:r>
        <w:rPr>
          <w:rFonts w:hint="eastAsia" w:ascii="黑体" w:eastAsia="黑体"/>
          <w:color w:val="auto"/>
          <w:sz w:val="32"/>
          <w:szCs w:val="32"/>
          <w:highlight w:val="none"/>
        </w:rPr>
        <w:t>五、</w:t>
      </w:r>
      <w:r>
        <w:rPr>
          <w:rFonts w:hint="eastAsia" w:ascii="黑体" w:eastAsia="黑体"/>
          <w:b/>
          <w:color w:val="auto"/>
          <w:sz w:val="32"/>
          <w:szCs w:val="32"/>
          <w:highlight w:val="none"/>
        </w:rPr>
        <w:t>一</w:t>
      </w:r>
      <w:r>
        <w:rPr>
          <w:rStyle w:val="22"/>
          <w:rFonts w:hint="eastAsia" w:ascii="黑体" w:eastAsia="黑体"/>
          <w:b w:val="0"/>
          <w:color w:val="auto"/>
          <w:highlight w:val="none"/>
        </w:rPr>
        <w:t>般公共预算财政拨款支出决算情况说明</w:t>
      </w:r>
      <w:bookmarkEnd w:id="25"/>
      <w:bookmarkEnd w:id="26"/>
    </w:p>
    <w:p w14:paraId="6EEBF09D">
      <w:pPr>
        <w:spacing w:line="600" w:lineRule="exact"/>
        <w:ind w:firstLine="643" w:firstLineChars="200"/>
        <w:outlineLvl w:val="2"/>
        <w:rPr>
          <w:rFonts w:hint="eastAsia" w:ascii="仿宋_GB2312" w:hAnsi="仿宋_GB2312" w:eastAsia="仿宋_GB2312" w:cs="仿宋_GB2312"/>
          <w:b/>
          <w:color w:val="auto"/>
          <w:sz w:val="32"/>
          <w:szCs w:val="32"/>
          <w:highlight w:val="none"/>
        </w:rPr>
      </w:pPr>
      <w:bookmarkStart w:id="27" w:name="_Toc15377210"/>
      <w:r>
        <w:rPr>
          <w:rFonts w:hint="eastAsia" w:ascii="仿宋_GB2312" w:hAnsi="仿宋_GB2312" w:eastAsia="仿宋_GB2312" w:cs="仿宋_GB2312"/>
          <w:b/>
          <w:color w:val="auto"/>
          <w:sz w:val="32"/>
          <w:szCs w:val="32"/>
          <w:highlight w:val="none"/>
        </w:rPr>
        <w:t>（一）一般公共预算财政拨款支出决算总体情况</w:t>
      </w:r>
      <w:bookmarkEnd w:id="27"/>
    </w:p>
    <w:p w14:paraId="5611A263">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一般公共预算财政拨款支出490.69万元，占本年支出合计的100%。与2023年度相比，一般公共预算财政拨款支出增加72.86万元，增长17.44%。主要变动原因是：人员增加、职务职级变动及每年行政事业人员工资正常晋升导致工资和社会保险费增加。</w:t>
      </w:r>
    </w:p>
    <w:p w14:paraId="7F67EE25">
      <w:pPr>
        <w:pStyle w:val="23"/>
        <w:ind w:firstLine="1285" w:firstLineChars="400"/>
        <w:rPr>
          <w:rFonts w:hint="eastAsia"/>
        </w:rPr>
      </w:pPr>
      <w:r>
        <w:rPr>
          <w:rFonts w:hint="eastAsia" w:ascii="仿宋" w:eastAsia="仿宋"/>
          <w:color w:val="000000"/>
          <w:sz w:val="32"/>
          <w:szCs w:val="32"/>
          <w:lang w:eastAsia="zh-CN"/>
        </w:rPr>
        <w:object>
          <v:shape id="_x0000_i1029" o:spt="75" type="#_x0000_t75" style="height:125.75pt;width:293.05pt;" o:ole="t" filled="f" o:preferrelative="t" stroked="f" coordsize="21600,21600">
            <v:path/>
            <v:fill on="f" focussize="0,0"/>
            <v:stroke on="f" color="#000000"/>
            <v:imagedata r:id="rId16" o:title="image5"/>
            <o:lock v:ext="edit" aspectratio="t"/>
            <w10:wrap type="none"/>
            <w10:anchorlock/>
          </v:shape>
          <o:OLEObject Type="Embed" ProgID="Package" ShapeID="_x0000_i1029" DrawAspect="Content" ObjectID="_1468075729" r:id="rId15">
            <o:LockedField>false</o:LockedField>
          </o:OLEObject>
        </w:object>
      </w:r>
    </w:p>
    <w:p w14:paraId="085AB047">
      <w:pPr>
        <w:spacing w:line="600" w:lineRule="exact"/>
        <w:ind w:firstLine="643" w:firstLineChars="200"/>
        <w:outlineLvl w:val="2"/>
        <w:rPr>
          <w:rFonts w:hint="eastAsia" w:ascii="仿宋_GB2312" w:hAnsi="仿宋_GB2312" w:eastAsia="仿宋_GB2312" w:cs="仿宋_GB2312"/>
          <w:b/>
          <w:color w:val="auto"/>
          <w:sz w:val="32"/>
          <w:szCs w:val="32"/>
          <w:highlight w:val="none"/>
        </w:rPr>
      </w:pPr>
      <w:bookmarkStart w:id="28" w:name="_Toc15377211"/>
      <w:r>
        <w:rPr>
          <w:rFonts w:hint="eastAsia" w:ascii="仿宋_GB2312" w:hAnsi="仿宋_GB2312" w:eastAsia="仿宋_GB2312" w:cs="仿宋_GB2312"/>
          <w:b/>
          <w:color w:val="auto"/>
          <w:sz w:val="32"/>
          <w:szCs w:val="32"/>
          <w:highlight w:val="none"/>
        </w:rPr>
        <w:t>（二）一般公共预算财政拨款支出决算结构情况</w:t>
      </w:r>
      <w:bookmarkEnd w:id="28"/>
    </w:p>
    <w:p w14:paraId="50D7E9C8">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2024年度一般公共预算财政拨款支出490.69万元，主要用于以下方面:社会保障和就业支出428.33万元，占87.29%；卫生健康支出26.91万元，占5.49%；住房保障支出35.45万元，占7.22%。</w:t>
      </w:r>
    </w:p>
    <w:p w14:paraId="1A883DA2">
      <w:pPr>
        <w:pStyle w:val="8"/>
        <w:ind w:left="0" w:firstLine="1600" w:firstLineChars="500"/>
      </w:pPr>
      <w:r>
        <w:rPr>
          <w:rFonts w:hint="eastAsia" w:ascii="仿宋" w:eastAsia="仿宋"/>
          <w:color w:val="000000"/>
          <w:sz w:val="32"/>
          <w:szCs w:val="32"/>
        </w:rPr>
        <w:object>
          <v:shape id="_x0000_i1030" o:spt="75" type="#_x0000_t75" style="height:136.9pt;width:250.9pt;" o:ole="t" filled="f" o:preferrelative="t" stroked="f" coordsize="21600,21600">
            <v:path/>
            <v:fill on="f" focussize="0,0"/>
            <v:stroke on="f" color="#000000"/>
            <v:imagedata r:id="rId18" o:title="image6"/>
            <o:lock v:ext="edit" aspectratio="t"/>
            <w10:wrap type="none"/>
            <w10:anchorlock/>
          </v:shape>
          <o:OLEObject Type="Embed" ProgID="Package" ShapeID="_x0000_i1030" DrawAspect="Content" ObjectID="_1468075730" r:id="rId17">
            <o:LockedField>false</o:LockedField>
          </o:OLEObject>
        </w:object>
      </w:r>
    </w:p>
    <w:p w14:paraId="4BC6392C">
      <w:pPr>
        <w:spacing w:line="600" w:lineRule="exact"/>
        <w:ind w:firstLine="643" w:firstLineChars="200"/>
        <w:outlineLvl w:val="2"/>
        <w:rPr>
          <w:rFonts w:hint="eastAsia" w:ascii="仿宋_GB2312" w:hAnsi="仿宋_GB2312" w:eastAsia="仿宋_GB2312" w:cs="仿宋_GB2312"/>
          <w:b/>
          <w:color w:val="auto"/>
          <w:sz w:val="32"/>
          <w:szCs w:val="32"/>
          <w:highlight w:val="none"/>
        </w:rPr>
      </w:pPr>
      <w:bookmarkStart w:id="29" w:name="_Toc15377212"/>
      <w:r>
        <w:rPr>
          <w:rFonts w:hint="eastAsia" w:ascii="仿宋_GB2312" w:hAnsi="仿宋_GB2312" w:eastAsia="仿宋_GB2312" w:cs="仿宋_GB2312"/>
          <w:b/>
          <w:color w:val="auto"/>
          <w:sz w:val="32"/>
          <w:szCs w:val="32"/>
          <w:highlight w:val="none"/>
        </w:rPr>
        <w:t>（三）一般公共预算财政拨款支出决算具体情况</w:t>
      </w:r>
      <w:bookmarkEnd w:id="29"/>
    </w:p>
    <w:p w14:paraId="738A4F79">
      <w:pPr>
        <w:spacing w:line="600" w:lineRule="exact"/>
        <w:ind w:firstLine="643" w:firstLineChars="200"/>
        <w:outlineLvl w:val="2"/>
        <w:rPr>
          <w:rFonts w:hint="eastAsia" w:ascii="仿宋_GB2312" w:hAnsi="仿宋_GB2312" w:eastAsia="仿宋_GB2312" w:cs="仿宋_GB2312"/>
          <w:color w:val="auto"/>
          <w:sz w:val="32"/>
          <w:szCs w:val="32"/>
          <w:highlight w:val="none"/>
        </w:rPr>
      </w:pPr>
      <w:bookmarkStart w:id="30" w:name="_Toc15377444"/>
      <w:bookmarkStart w:id="31" w:name="_Toc15378460"/>
      <w:bookmarkStart w:id="32" w:name="_Toc15377213"/>
      <w:r>
        <w:rPr>
          <w:rFonts w:hint="eastAsia" w:ascii="仿宋_GB2312" w:hAnsi="仿宋_GB2312" w:eastAsia="仿宋_GB2312" w:cs="仿宋_GB2312"/>
          <w:b/>
          <w:color w:val="auto"/>
          <w:sz w:val="32"/>
          <w:szCs w:val="32"/>
          <w:highlight w:val="none"/>
          <w:lang w:eastAsia="zh-CN"/>
        </w:rPr>
        <w:t>202</w:t>
      </w:r>
      <w:r>
        <w:rPr>
          <w:rFonts w:hint="eastAsia" w:ascii="仿宋_GB2312" w:hAnsi="仿宋_GB2312" w:eastAsia="仿宋_GB2312" w:cs="仿宋_GB2312"/>
          <w:b/>
          <w:color w:val="auto"/>
          <w:sz w:val="32"/>
          <w:szCs w:val="32"/>
          <w:highlight w:val="none"/>
          <w:lang w:val="en-US" w:eastAsia="zh-CN"/>
        </w:rPr>
        <w:t>4</w:t>
      </w:r>
      <w:r>
        <w:rPr>
          <w:rFonts w:hint="eastAsia" w:ascii="仿宋_GB2312" w:hAnsi="仿宋_GB2312" w:eastAsia="仿宋_GB2312" w:cs="仿宋_GB2312"/>
          <w:b/>
          <w:color w:val="auto"/>
          <w:sz w:val="32"/>
          <w:szCs w:val="32"/>
          <w:highlight w:val="none"/>
        </w:rPr>
        <w:t>年</w:t>
      </w:r>
      <w:r>
        <w:rPr>
          <w:rFonts w:hint="eastAsia" w:ascii="仿宋_GB2312" w:hAnsi="仿宋_GB2312" w:eastAsia="仿宋_GB2312" w:cs="仿宋_GB2312"/>
          <w:b/>
          <w:color w:val="auto"/>
          <w:sz w:val="32"/>
          <w:szCs w:val="32"/>
          <w:highlight w:val="none"/>
          <w:lang w:eastAsia="zh-CN"/>
        </w:rPr>
        <w:t>度一</w:t>
      </w:r>
      <w:r>
        <w:rPr>
          <w:rFonts w:hint="eastAsia" w:ascii="仿宋_GB2312" w:hAnsi="仿宋_GB2312" w:eastAsia="仿宋_GB2312" w:cs="仿宋_GB2312"/>
          <w:b/>
          <w:color w:val="auto"/>
          <w:sz w:val="32"/>
          <w:szCs w:val="32"/>
          <w:highlight w:val="none"/>
        </w:rPr>
        <w:t>般公共预算支出决算数为</w:t>
      </w:r>
      <w:r>
        <w:rPr>
          <w:rFonts w:hint="eastAsia" w:ascii="仿宋_GB2312" w:hAnsi="仿宋_GB2312" w:eastAsia="仿宋_GB2312" w:cs="仿宋_GB2312"/>
          <w:b/>
          <w:color w:val="auto"/>
          <w:sz w:val="32"/>
          <w:szCs w:val="32"/>
          <w:highlight w:val="none"/>
          <w:lang w:val="en-US" w:eastAsia="zh-CN"/>
        </w:rPr>
        <w:t>490.69万元</w:t>
      </w:r>
      <w:r>
        <w:rPr>
          <w:rFonts w:hint="eastAsia" w:ascii="仿宋_GB2312" w:hAnsi="仿宋_GB2312" w:eastAsia="仿宋_GB2312" w:cs="仿宋_GB2312"/>
          <w:color w:val="auto"/>
          <w:sz w:val="32"/>
          <w:szCs w:val="32"/>
          <w:highlight w:val="none"/>
        </w:rPr>
        <w:t>，</w:t>
      </w:r>
      <w:r>
        <w:rPr>
          <w:rStyle w:val="19"/>
          <w:rFonts w:hint="eastAsia" w:ascii="仿宋_GB2312" w:hAnsi="仿宋_GB2312" w:eastAsia="仿宋_GB2312" w:cs="仿宋_GB2312"/>
          <w:bCs/>
          <w:color w:val="auto"/>
          <w:sz w:val="32"/>
          <w:szCs w:val="32"/>
          <w:highlight w:val="none"/>
        </w:rPr>
        <w:t>完成预算</w:t>
      </w:r>
      <w:r>
        <w:rPr>
          <w:rStyle w:val="19"/>
          <w:rFonts w:hint="eastAsia" w:ascii="仿宋_GB2312" w:hAnsi="仿宋_GB2312" w:eastAsia="仿宋_GB2312" w:cs="仿宋_GB2312"/>
          <w:bCs/>
          <w:color w:val="auto"/>
          <w:sz w:val="32"/>
          <w:szCs w:val="32"/>
          <w:highlight w:val="none"/>
          <w:lang w:val="en-US" w:eastAsia="zh-CN"/>
        </w:rPr>
        <w:t>100</w:t>
      </w:r>
      <w:r>
        <w:rPr>
          <w:rStyle w:val="19"/>
          <w:rFonts w:hint="eastAsia" w:ascii="仿宋_GB2312" w:hAnsi="仿宋_GB2312" w:eastAsia="仿宋_GB2312" w:cs="仿宋_GB2312"/>
          <w:bCs/>
          <w:color w:val="auto"/>
          <w:sz w:val="32"/>
          <w:szCs w:val="32"/>
          <w:highlight w:val="none"/>
        </w:rPr>
        <w:t>%。其中：</w:t>
      </w:r>
      <w:bookmarkEnd w:id="30"/>
      <w:bookmarkEnd w:id="31"/>
      <w:bookmarkEnd w:id="32"/>
    </w:p>
    <w:p w14:paraId="10117C0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hint="eastAsia" w:ascii="仿宋_GB2312" w:hAnsi="仿宋_GB2312" w:eastAsia="仿宋_GB2312" w:cs="仿宋_GB2312"/>
          <w:color w:val="000000"/>
          <w:kern w:val="0"/>
          <w:sz w:val="32"/>
          <w:szCs w:val="32"/>
          <w:lang w:val="en-US" w:eastAsia="zh-CN" w:bidi="ar-SA"/>
        </w:rPr>
      </w:pPr>
      <w:r>
        <w:rPr>
          <w:rStyle w:val="19"/>
          <w:rFonts w:hint="eastAsia" w:ascii="仿宋_GB2312" w:hAnsi="仿宋_GB2312" w:eastAsia="仿宋_GB2312" w:cs="仿宋_GB2312"/>
          <w:bCs/>
          <w:color w:val="000000"/>
          <w:sz w:val="32"/>
          <w:szCs w:val="32"/>
        </w:rPr>
        <w:t>1.社会保障和就业</w:t>
      </w:r>
      <w:r>
        <w:rPr>
          <w:rStyle w:val="19"/>
          <w:rFonts w:hint="eastAsia" w:ascii="仿宋_GB2312" w:hAnsi="仿宋_GB2312" w:eastAsia="仿宋_GB2312" w:cs="仿宋_GB2312"/>
          <w:bCs/>
          <w:color w:val="000000"/>
          <w:sz w:val="32"/>
          <w:szCs w:val="32"/>
          <w:lang w:val="en-US" w:eastAsia="zh-CN"/>
        </w:rPr>
        <w:t>支出</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208</w:t>
      </w:r>
      <w:r>
        <w:rPr>
          <w:rStyle w:val="19"/>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sz w:val="32"/>
          <w:szCs w:val="32"/>
        </w:rPr>
        <w:t xml:space="preserve"> 人力资源和社会保障管理事务(</w:t>
      </w:r>
      <w:r>
        <w:rPr>
          <w:rFonts w:hint="eastAsia" w:ascii="仿宋_GB2312" w:hAnsi="仿宋_GB2312" w:eastAsia="仿宋_GB2312" w:cs="仿宋_GB2312"/>
          <w:b/>
          <w:bCs/>
          <w:sz w:val="32"/>
          <w:szCs w:val="32"/>
          <w:lang w:val="en-US" w:eastAsia="zh-CN"/>
        </w:rPr>
        <w:t>01</w:t>
      </w:r>
      <w:r>
        <w:rPr>
          <w:rFonts w:hint="eastAsia" w:ascii="仿宋_GB2312" w:hAnsi="仿宋_GB2312" w:eastAsia="仿宋_GB2312" w:cs="仿宋_GB2312"/>
          <w:b/>
          <w:bCs/>
          <w:sz w:val="32"/>
          <w:szCs w:val="32"/>
        </w:rPr>
        <w:t>)行政运行（</w:t>
      </w:r>
      <w:r>
        <w:rPr>
          <w:rFonts w:hint="eastAsia" w:ascii="仿宋_GB2312" w:hAnsi="仿宋_GB2312" w:eastAsia="仿宋_GB2312" w:cs="仿宋_GB2312"/>
          <w:b/>
          <w:bCs/>
          <w:sz w:val="32"/>
          <w:szCs w:val="32"/>
          <w:lang w:val="en-US" w:eastAsia="zh-CN"/>
        </w:rPr>
        <w:t>01</w:t>
      </w:r>
      <w:r>
        <w:rPr>
          <w:rFonts w:hint="eastAsia" w:ascii="仿宋_GB2312" w:hAnsi="仿宋_GB2312" w:eastAsia="仿宋_GB2312" w:cs="仿宋_GB2312"/>
          <w:b/>
          <w:bCs/>
          <w:sz w:val="32"/>
          <w:szCs w:val="32"/>
        </w:rPr>
        <w:t>）</w:t>
      </w:r>
      <w:r>
        <w:rPr>
          <w:rStyle w:val="19"/>
          <w:rFonts w:hint="eastAsia" w:ascii="仿宋_GB2312" w:hAnsi="仿宋_GB2312" w:eastAsia="仿宋_GB2312" w:cs="仿宋_GB2312"/>
          <w:bCs/>
          <w:color w:val="000000"/>
          <w:sz w:val="32"/>
          <w:szCs w:val="32"/>
        </w:rPr>
        <w:t>:</w:t>
      </w:r>
      <w:r>
        <w:rPr>
          <w:rFonts w:hint="eastAsia" w:ascii="仿宋_GB2312" w:hAnsi="仿宋_GB2312" w:eastAsia="仿宋_GB2312" w:cs="仿宋_GB2312"/>
          <w:color w:val="000000"/>
          <w:kern w:val="0"/>
          <w:sz w:val="32"/>
          <w:szCs w:val="32"/>
          <w:lang w:val="en-US" w:eastAsia="zh-CN" w:bidi="ar-SA"/>
        </w:rPr>
        <w:t>支出决算为365.90万元，完成预算100%，决算数与预算数持平。</w:t>
      </w:r>
    </w:p>
    <w:p w14:paraId="393C66D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color w:val="000000"/>
          <w:sz w:val="32"/>
          <w:szCs w:val="32"/>
        </w:rPr>
        <w:t>2.</w:t>
      </w:r>
      <w:r>
        <w:rPr>
          <w:rStyle w:val="19"/>
          <w:rFonts w:hint="eastAsia" w:ascii="仿宋_GB2312" w:hAnsi="仿宋_GB2312" w:eastAsia="仿宋_GB2312" w:cs="仿宋_GB2312"/>
          <w:bCs/>
          <w:color w:val="000000"/>
          <w:sz w:val="32"/>
          <w:szCs w:val="32"/>
        </w:rPr>
        <w:t>社会保障和就业</w:t>
      </w:r>
      <w:r>
        <w:rPr>
          <w:rStyle w:val="19"/>
          <w:rFonts w:hint="eastAsia" w:ascii="仿宋_GB2312" w:hAnsi="仿宋_GB2312" w:eastAsia="仿宋_GB2312" w:cs="仿宋_GB2312"/>
          <w:bCs/>
          <w:color w:val="000000"/>
          <w:sz w:val="32"/>
          <w:szCs w:val="32"/>
          <w:lang w:val="en-US" w:eastAsia="zh-CN"/>
        </w:rPr>
        <w:t>支出</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208</w:t>
      </w:r>
      <w:r>
        <w:rPr>
          <w:rStyle w:val="19"/>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sz w:val="32"/>
          <w:szCs w:val="32"/>
        </w:rPr>
        <w:t>行政事业单位养老支出(</w:t>
      </w:r>
      <w:r>
        <w:rPr>
          <w:rFonts w:hint="eastAsia" w:ascii="仿宋_GB2312" w:hAnsi="仿宋_GB2312" w:eastAsia="仿宋_GB2312" w:cs="仿宋_GB2312"/>
          <w:b/>
          <w:bCs/>
          <w:sz w:val="32"/>
          <w:szCs w:val="32"/>
          <w:lang w:val="en-US" w:eastAsia="zh-CN"/>
        </w:rPr>
        <w:t>05</w:t>
      </w:r>
      <w:r>
        <w:rPr>
          <w:rFonts w:hint="eastAsia" w:ascii="仿宋_GB2312" w:hAnsi="仿宋_GB2312" w:eastAsia="仿宋_GB2312" w:cs="仿宋_GB2312"/>
          <w:b/>
          <w:bCs/>
          <w:sz w:val="32"/>
          <w:szCs w:val="32"/>
        </w:rPr>
        <w:t>) 机关事业单位基本养老保险缴费支出（</w:t>
      </w:r>
      <w:r>
        <w:rPr>
          <w:rFonts w:hint="eastAsia" w:ascii="仿宋_GB2312" w:hAnsi="仿宋_GB2312" w:eastAsia="仿宋_GB2312" w:cs="仿宋_GB2312"/>
          <w:b/>
          <w:bCs/>
          <w:sz w:val="32"/>
          <w:szCs w:val="32"/>
          <w:lang w:val="en-US" w:eastAsia="zh-CN"/>
        </w:rPr>
        <w:t>05</w:t>
      </w:r>
      <w:r>
        <w:rPr>
          <w:rFonts w:hint="eastAsia" w:ascii="仿宋_GB2312" w:hAnsi="仿宋_GB2312" w:eastAsia="仿宋_GB2312" w:cs="仿宋_GB2312"/>
          <w:b/>
          <w:bCs/>
          <w:sz w:val="32"/>
          <w:szCs w:val="32"/>
        </w:rPr>
        <w:t>）</w:t>
      </w:r>
      <w:r>
        <w:rPr>
          <w:rStyle w:val="19"/>
          <w:rFonts w:hint="eastAsia" w:ascii="仿宋_GB2312" w:hAnsi="仿宋_GB2312" w:eastAsia="仿宋_GB2312" w:cs="仿宋_GB2312"/>
          <w:bCs/>
          <w:color w:val="000000"/>
          <w:sz w:val="32"/>
          <w:szCs w:val="32"/>
        </w:rPr>
        <w:t>:</w:t>
      </w:r>
      <w:r>
        <w:rPr>
          <w:rFonts w:hint="eastAsia" w:ascii="仿宋_GB2312" w:hAnsi="仿宋_GB2312" w:eastAsia="仿宋_GB2312" w:cs="仿宋_GB2312"/>
          <w:color w:val="000000"/>
          <w:kern w:val="0"/>
          <w:sz w:val="32"/>
          <w:szCs w:val="32"/>
          <w:lang w:val="en-US" w:eastAsia="zh-CN" w:bidi="ar-SA"/>
        </w:rPr>
        <w:t>支出决算为41.62万元，完成预算100%，决算数与预算数持平。</w:t>
      </w:r>
    </w:p>
    <w:p w14:paraId="013F7A3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color w:val="000000"/>
          <w:sz w:val="32"/>
          <w:szCs w:val="32"/>
          <w:lang w:val="en-US" w:eastAsia="zh-CN"/>
        </w:rPr>
        <w:t>3</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b/>
          <w:bCs/>
          <w:sz w:val="32"/>
          <w:szCs w:val="32"/>
          <w:lang w:val="en-US" w:eastAsia="zh-CN"/>
        </w:rPr>
        <w:t>208</w:t>
      </w:r>
      <w:r>
        <w:rPr>
          <w:rFonts w:hint="eastAsia" w:ascii="仿宋_GB2312" w:hAnsi="仿宋_GB2312" w:eastAsia="仿宋_GB2312" w:cs="仿宋_GB2312"/>
          <w:b/>
          <w:bCs/>
          <w:sz w:val="32"/>
          <w:szCs w:val="32"/>
        </w:rPr>
        <w:t>）行政事业单位养老支出（</w:t>
      </w:r>
      <w:r>
        <w:rPr>
          <w:rFonts w:hint="eastAsia" w:ascii="仿宋_GB2312" w:hAnsi="仿宋_GB2312" w:eastAsia="仿宋_GB2312" w:cs="仿宋_GB2312"/>
          <w:b/>
          <w:bCs/>
          <w:sz w:val="32"/>
          <w:szCs w:val="32"/>
          <w:lang w:val="en-US" w:eastAsia="zh-CN"/>
        </w:rPr>
        <w:t>05</w:t>
      </w:r>
      <w:r>
        <w:rPr>
          <w:rFonts w:hint="eastAsia" w:ascii="仿宋_GB2312" w:hAnsi="仿宋_GB2312" w:eastAsia="仿宋_GB2312" w:cs="仿宋_GB2312"/>
          <w:b/>
          <w:bCs/>
          <w:sz w:val="32"/>
          <w:szCs w:val="32"/>
        </w:rPr>
        <w:t>）机关事业单位职业年金缴费支出（</w:t>
      </w:r>
      <w:r>
        <w:rPr>
          <w:rFonts w:hint="eastAsia" w:ascii="仿宋_GB2312" w:hAnsi="仿宋_GB2312" w:eastAsia="仿宋_GB2312" w:cs="仿宋_GB2312"/>
          <w:b/>
          <w:bCs/>
          <w:sz w:val="32"/>
          <w:szCs w:val="32"/>
          <w:lang w:val="en-US" w:eastAsia="zh-CN"/>
        </w:rPr>
        <w:t>06</w:t>
      </w:r>
      <w:r>
        <w:rPr>
          <w:rFonts w:hint="eastAsia" w:ascii="仿宋_GB2312" w:hAnsi="仿宋_GB2312" w:eastAsia="仿宋_GB2312" w:cs="仿宋_GB2312"/>
          <w:b/>
          <w:bCs/>
          <w:sz w:val="32"/>
          <w:szCs w:val="32"/>
        </w:rPr>
        <w:t>）</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 w:val="0"/>
          <w:bCs/>
          <w:color w:val="000000"/>
          <w:sz w:val="32"/>
          <w:szCs w:val="32"/>
        </w:rPr>
        <w:t>支</w:t>
      </w:r>
      <w:r>
        <w:rPr>
          <w:rFonts w:hint="eastAsia" w:ascii="仿宋_GB2312" w:hAnsi="仿宋_GB2312" w:eastAsia="仿宋_GB2312" w:cs="仿宋_GB2312"/>
          <w:color w:val="000000"/>
          <w:kern w:val="0"/>
          <w:sz w:val="32"/>
          <w:szCs w:val="32"/>
          <w:lang w:val="en-US" w:eastAsia="zh-CN" w:bidi="ar-SA"/>
        </w:rPr>
        <w:t>出决算为20.81万元，完成预算100%，决算数与预算数持平。</w:t>
      </w:r>
    </w:p>
    <w:p w14:paraId="31CC275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color w:val="000000"/>
          <w:sz w:val="32"/>
          <w:szCs w:val="32"/>
          <w:lang w:val="en-US" w:eastAsia="zh-CN"/>
        </w:rPr>
        <w:t>4</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b/>
          <w:bCs/>
          <w:sz w:val="32"/>
          <w:szCs w:val="32"/>
          <w:lang w:val="en-US" w:eastAsia="zh-CN"/>
        </w:rPr>
        <w:t>（210</w:t>
      </w:r>
      <w:r>
        <w:rPr>
          <w:rFonts w:hint="eastAsia" w:ascii="仿宋_GB2312" w:hAnsi="仿宋_GB2312" w:eastAsia="仿宋_GB2312" w:cs="仿宋_GB2312"/>
          <w:b/>
          <w:bCs/>
          <w:sz w:val="32"/>
          <w:szCs w:val="32"/>
        </w:rPr>
        <w:t>）行政事业单位医疗（</w:t>
      </w:r>
      <w:r>
        <w:rPr>
          <w:rFonts w:hint="eastAsia" w:ascii="仿宋_GB2312" w:hAnsi="仿宋_GB2312" w:eastAsia="仿宋_GB2312" w:cs="仿宋_GB2312"/>
          <w:b/>
          <w:bCs/>
          <w:sz w:val="32"/>
          <w:szCs w:val="32"/>
          <w:lang w:val="en-US" w:eastAsia="zh-CN"/>
        </w:rPr>
        <w:t>11</w:t>
      </w:r>
      <w:r>
        <w:rPr>
          <w:rFonts w:hint="eastAsia" w:ascii="仿宋_GB2312" w:hAnsi="仿宋_GB2312" w:eastAsia="仿宋_GB2312" w:cs="仿宋_GB2312"/>
          <w:b/>
          <w:bCs/>
          <w:sz w:val="32"/>
          <w:szCs w:val="32"/>
        </w:rPr>
        <w:t>）行政单位医疗（</w:t>
      </w:r>
      <w:r>
        <w:rPr>
          <w:rFonts w:hint="eastAsia" w:ascii="仿宋_GB2312" w:hAnsi="仿宋_GB2312" w:eastAsia="仿宋_GB2312" w:cs="仿宋_GB2312"/>
          <w:b/>
          <w:bCs/>
          <w:sz w:val="32"/>
          <w:szCs w:val="32"/>
          <w:lang w:val="en-US" w:eastAsia="zh-CN"/>
        </w:rPr>
        <w:t>01</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lang w:val="en-US" w:eastAsia="zh-CN" w:bidi="ar-SA"/>
        </w:rPr>
        <w:t>支出决算数为26.91万元，完成预算100%，决算数与预算数持平。</w:t>
      </w:r>
    </w:p>
    <w:p w14:paraId="320EBDA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color w:val="000000"/>
          <w:kern w:val="0"/>
          <w:sz w:val="32"/>
          <w:szCs w:val="32"/>
          <w:lang w:val="en-US" w:eastAsia="zh-CN" w:bidi="ar-SA"/>
        </w:rPr>
      </w:pPr>
      <w:r>
        <w:rPr>
          <w:rStyle w:val="19"/>
          <w:rFonts w:hint="eastAsia" w:ascii="仿宋_GB2312" w:hAnsi="仿宋_GB2312" w:eastAsia="仿宋_GB2312" w:cs="仿宋_GB2312"/>
          <w:bCs/>
          <w:color w:val="000000"/>
          <w:sz w:val="32"/>
          <w:szCs w:val="32"/>
          <w:lang w:val="en-US" w:eastAsia="zh-CN"/>
        </w:rPr>
        <w:t>5</w:t>
      </w:r>
      <w:r>
        <w:rPr>
          <w:rStyle w:val="19"/>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b/>
          <w:bCs/>
          <w:sz w:val="32"/>
          <w:szCs w:val="32"/>
          <w:lang w:val="en-US" w:eastAsia="zh-CN"/>
        </w:rPr>
        <w:t>221</w:t>
      </w:r>
      <w:r>
        <w:rPr>
          <w:rFonts w:hint="eastAsia" w:ascii="仿宋_GB2312" w:hAnsi="仿宋_GB2312" w:eastAsia="仿宋_GB2312" w:cs="仿宋_GB2312"/>
          <w:b/>
          <w:bCs/>
          <w:sz w:val="32"/>
          <w:szCs w:val="32"/>
        </w:rPr>
        <w:t>）住房改革支出（</w:t>
      </w:r>
      <w:r>
        <w:rPr>
          <w:rFonts w:hint="eastAsia" w:ascii="仿宋_GB2312" w:hAnsi="仿宋_GB2312" w:eastAsia="仿宋_GB2312" w:cs="仿宋_GB2312"/>
          <w:b/>
          <w:bCs/>
          <w:sz w:val="32"/>
          <w:szCs w:val="32"/>
          <w:lang w:val="en-US" w:eastAsia="zh-CN"/>
        </w:rPr>
        <w:t>02</w:t>
      </w:r>
      <w:r>
        <w:rPr>
          <w:rFonts w:hint="eastAsia" w:ascii="仿宋_GB2312" w:hAnsi="仿宋_GB2312" w:eastAsia="仿宋_GB2312" w:cs="仿宋_GB2312"/>
          <w:b/>
          <w:bCs/>
          <w:sz w:val="32"/>
          <w:szCs w:val="32"/>
        </w:rPr>
        <w:t>）住房公积金（</w:t>
      </w:r>
      <w:r>
        <w:rPr>
          <w:rFonts w:hint="eastAsia" w:ascii="仿宋_GB2312" w:hAnsi="仿宋_GB2312" w:eastAsia="仿宋_GB2312" w:cs="仿宋_GB2312"/>
          <w:b/>
          <w:bCs/>
          <w:sz w:val="32"/>
          <w:szCs w:val="32"/>
          <w:lang w:val="en-US" w:eastAsia="zh-CN"/>
        </w:rPr>
        <w:t>01</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lang w:val="en-US" w:eastAsia="zh-CN" w:bidi="ar-SA"/>
        </w:rPr>
        <w:t>支出决算数为34.45万元，完成预算100%，决算数与预算数持平。</w:t>
      </w:r>
    </w:p>
    <w:p w14:paraId="284A7FB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color w:val="000000"/>
          <w:kern w:val="0"/>
          <w:sz w:val="32"/>
          <w:szCs w:val="32"/>
          <w:lang w:val="en-US" w:eastAsia="zh-CN" w:bidi="ar-SA"/>
        </w:rPr>
      </w:pPr>
      <w:r>
        <w:rPr>
          <w:rStyle w:val="19"/>
          <w:rFonts w:hint="eastAsia" w:ascii="仿宋_GB2312" w:hAnsi="仿宋_GB2312" w:eastAsia="仿宋_GB2312" w:cs="仿宋_GB2312"/>
          <w:bCs/>
          <w:color w:val="000000"/>
          <w:kern w:val="2"/>
          <w:sz w:val="32"/>
          <w:szCs w:val="32"/>
          <w:lang w:val="en-US" w:eastAsia="zh-CN" w:bidi="ar-SA"/>
        </w:rPr>
        <w:t>6.</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b/>
          <w:bCs/>
          <w:sz w:val="32"/>
          <w:szCs w:val="32"/>
          <w:lang w:val="en-US" w:eastAsia="zh-CN"/>
        </w:rPr>
        <w:t>221</w:t>
      </w:r>
      <w:r>
        <w:rPr>
          <w:rFonts w:hint="eastAsia" w:ascii="仿宋_GB2312" w:hAnsi="仿宋_GB2312" w:eastAsia="仿宋_GB2312" w:cs="仿宋_GB2312"/>
          <w:b/>
          <w:bCs/>
          <w:sz w:val="32"/>
          <w:szCs w:val="32"/>
        </w:rPr>
        <w:t>）住房改革支出（</w:t>
      </w:r>
      <w:r>
        <w:rPr>
          <w:rFonts w:hint="eastAsia" w:ascii="仿宋_GB2312" w:hAnsi="仿宋_GB2312" w:eastAsia="仿宋_GB2312" w:cs="仿宋_GB2312"/>
          <w:b/>
          <w:bCs/>
          <w:sz w:val="32"/>
          <w:szCs w:val="32"/>
          <w:lang w:val="en-US" w:eastAsia="zh-CN"/>
        </w:rPr>
        <w:t>02</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购房补贴</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03</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lang w:val="en-US" w:eastAsia="zh-CN" w:bidi="ar-SA"/>
        </w:rPr>
        <w:t>支出决算数为1.00万元，完成预算100%，决算数与预算数持平。</w:t>
      </w:r>
    </w:p>
    <w:p w14:paraId="574E78CF">
      <w:pPr>
        <w:tabs>
          <w:tab w:val="right" w:pos="8306"/>
        </w:tabs>
        <w:spacing w:line="600" w:lineRule="exact"/>
        <w:ind w:firstLine="640"/>
        <w:outlineLvl w:val="1"/>
        <w:rPr>
          <w:rStyle w:val="22"/>
          <w:color w:val="auto"/>
          <w:highlight w:val="none"/>
        </w:rPr>
      </w:pPr>
      <w:bookmarkStart w:id="33" w:name="_Toc15396608"/>
      <w:bookmarkStart w:id="34" w:name="_Toc15377214"/>
      <w:r>
        <w:rPr>
          <w:rFonts w:hint="eastAsia" w:ascii="黑体" w:eastAsia="黑体"/>
          <w:color w:val="auto"/>
          <w:sz w:val="32"/>
          <w:szCs w:val="32"/>
          <w:highlight w:val="none"/>
        </w:rPr>
        <w:t>六</w:t>
      </w:r>
      <w:r>
        <w:rPr>
          <w:rFonts w:hint="eastAsia" w:ascii="黑体" w:eastAsia="黑体"/>
          <w:b/>
          <w:color w:val="auto"/>
          <w:sz w:val="32"/>
          <w:szCs w:val="32"/>
          <w:highlight w:val="none"/>
        </w:rPr>
        <w:t>、一</w:t>
      </w:r>
      <w:r>
        <w:rPr>
          <w:rStyle w:val="22"/>
          <w:rFonts w:hint="eastAsia" w:ascii="黑体" w:eastAsia="黑体"/>
          <w:b w:val="0"/>
          <w:color w:val="auto"/>
          <w:highlight w:val="none"/>
        </w:rPr>
        <w:t>般公共预算财政拨款基本支出决算情况说明</w:t>
      </w:r>
      <w:bookmarkEnd w:id="33"/>
      <w:bookmarkEnd w:id="34"/>
      <w:r>
        <w:rPr>
          <w:rStyle w:val="22"/>
          <w:rFonts w:ascii="黑体" w:eastAsia="黑体"/>
          <w:b w:val="0"/>
          <w:color w:val="auto"/>
          <w:highlight w:val="none"/>
        </w:rPr>
        <w:tab/>
      </w:r>
    </w:p>
    <w:p w14:paraId="7B0CCA1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2024年度一般公共预算财政拨款基本支出490.69万元，其中：</w:t>
      </w:r>
    </w:p>
    <w:p w14:paraId="3A77F6D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人员经费479.79万元，主要包括：基本工资、津贴补贴、奖金、伙食补助费、绩效工资、机关事业单位基本养老保险缴费、职业年金缴费、其他社会保障缴费、其他工资福利支出、离休费、退休费、生活补助、医疗费补助、奖励金、住房公积金、其他对个人和家庭的补助支出等。</w:t>
      </w:r>
      <w:r>
        <w:rPr>
          <w:rFonts w:hint="eastAsia" w:ascii="仿宋_GB2312" w:hAnsi="Times New Roman" w:eastAsia="仿宋_GB2312" w:cs="仿宋"/>
          <w:color w:val="000000"/>
          <w:kern w:val="0"/>
          <w:sz w:val="32"/>
          <w:szCs w:val="32"/>
          <w:lang w:val="en-US" w:eastAsia="zh-CN" w:bidi="ar-SA"/>
        </w:rPr>
        <w:br w:type="textWrapping"/>
      </w:r>
      <w:r>
        <w:rPr>
          <w:rFonts w:hint="eastAsia" w:ascii="仿宋_GB2312" w:hAnsi="Times New Roman" w:eastAsia="仿宋_GB2312" w:cs="仿宋"/>
          <w:color w:val="000000"/>
          <w:kern w:val="0"/>
          <w:sz w:val="32"/>
          <w:szCs w:val="32"/>
          <w:lang w:val="en-US" w:eastAsia="zh-CN" w:bidi="ar-SA"/>
        </w:rPr>
        <w:t>　　公用经费10.90万元，主要包括：办公费、邮电费、差旅费、培训费、其他交通费等。</w:t>
      </w:r>
    </w:p>
    <w:p w14:paraId="6A7D1F37">
      <w:pPr>
        <w:spacing w:line="600" w:lineRule="exact"/>
        <w:ind w:firstLine="640"/>
        <w:outlineLvl w:val="1"/>
        <w:rPr>
          <w:rStyle w:val="22"/>
          <w:rFonts w:ascii="黑体" w:eastAsia="黑体"/>
          <w:b w:val="0"/>
          <w:color w:val="auto"/>
          <w:highlight w:val="none"/>
        </w:rPr>
      </w:pPr>
      <w:bookmarkStart w:id="35" w:name="_Toc15377215"/>
      <w:bookmarkStart w:id="36" w:name="_Toc15396609"/>
      <w:r>
        <w:rPr>
          <w:rFonts w:hint="eastAsia" w:ascii="黑体" w:eastAsia="黑体"/>
          <w:color w:val="auto"/>
          <w:sz w:val="32"/>
          <w:szCs w:val="32"/>
          <w:highlight w:val="none"/>
        </w:rPr>
        <w:t>七、</w:t>
      </w:r>
      <w:r>
        <w:rPr>
          <w:rStyle w:val="22"/>
          <w:rFonts w:hint="eastAsia" w:ascii="黑体" w:eastAsia="黑体"/>
          <w:b w:val="0"/>
          <w:color w:val="auto"/>
          <w:highlight w:val="none"/>
        </w:rPr>
        <w:t>财政拨款</w:t>
      </w:r>
      <w:r>
        <w:rPr>
          <w:rStyle w:val="22"/>
          <w:rFonts w:hint="eastAsia" w:ascii="黑体" w:eastAsia="黑体"/>
          <w:color w:val="auto"/>
          <w:highlight w:val="none"/>
        </w:rPr>
        <w:t>“</w:t>
      </w:r>
      <w:r>
        <w:rPr>
          <w:rStyle w:val="22"/>
          <w:rFonts w:hint="eastAsia" w:ascii="黑体" w:eastAsia="黑体"/>
          <w:b w:val="0"/>
          <w:color w:val="auto"/>
          <w:highlight w:val="none"/>
        </w:rPr>
        <w:t>三公”经费支出决算情况说明</w:t>
      </w:r>
      <w:bookmarkEnd w:id="35"/>
      <w:bookmarkEnd w:id="36"/>
    </w:p>
    <w:p w14:paraId="6D819086">
      <w:pPr>
        <w:spacing w:line="600" w:lineRule="exact"/>
        <w:ind w:firstLine="640"/>
        <w:outlineLvl w:val="2"/>
        <w:rPr>
          <w:rFonts w:hint="eastAsia" w:ascii="仿宋_GB2312" w:hAnsi="仿宋_GB2312" w:eastAsia="仿宋_GB2312" w:cs="仿宋_GB2312"/>
          <w:b/>
          <w:color w:val="auto"/>
          <w:sz w:val="32"/>
          <w:szCs w:val="32"/>
          <w:highlight w:val="none"/>
        </w:rPr>
      </w:pPr>
      <w:bookmarkStart w:id="37" w:name="_Toc15377216"/>
      <w:r>
        <w:rPr>
          <w:rFonts w:hint="eastAsia" w:ascii="仿宋_GB2312" w:hAnsi="仿宋_GB2312" w:eastAsia="仿宋_GB2312" w:cs="仿宋_GB2312"/>
          <w:b/>
          <w:color w:val="auto"/>
          <w:sz w:val="32"/>
          <w:szCs w:val="32"/>
          <w:highlight w:val="none"/>
        </w:rPr>
        <w:t>（一）“三公”经费财政拨款支出决算总体情况说明</w:t>
      </w:r>
      <w:bookmarkEnd w:id="37"/>
    </w:p>
    <w:p w14:paraId="498FF4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2024年度“三公”经费财政拨款支出决算为0.03万元，完成预算100%，较上年度增加0.03万元，增长100%。决算数与预算数持平。</w:t>
      </w:r>
    </w:p>
    <w:p w14:paraId="3E878C84">
      <w:pPr>
        <w:spacing w:line="600" w:lineRule="exact"/>
        <w:ind w:firstLine="640"/>
        <w:outlineLvl w:val="2"/>
        <w:rPr>
          <w:rFonts w:hint="eastAsia" w:ascii="仿宋_GB2312" w:hAnsi="仿宋_GB2312" w:eastAsia="仿宋_GB2312" w:cs="仿宋_GB2312"/>
          <w:b/>
          <w:color w:val="auto"/>
          <w:sz w:val="32"/>
          <w:szCs w:val="32"/>
          <w:highlight w:val="none"/>
        </w:rPr>
      </w:pPr>
      <w:bookmarkStart w:id="38" w:name="_Toc15377217"/>
      <w:r>
        <w:rPr>
          <w:rFonts w:hint="eastAsia" w:ascii="仿宋_GB2312" w:hAnsi="仿宋_GB2312" w:eastAsia="仿宋_GB2312" w:cs="仿宋_GB2312"/>
          <w:b/>
          <w:color w:val="auto"/>
          <w:sz w:val="32"/>
          <w:szCs w:val="32"/>
          <w:highlight w:val="none"/>
        </w:rPr>
        <w:t>（二）“三公”经费财政拨款支出决算具体情况说明</w:t>
      </w:r>
      <w:bookmarkEnd w:id="38"/>
    </w:p>
    <w:p w14:paraId="09A870C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2024年度“三公”经费财政拨款支出决算中，因公出国（境）费支出决算0万元，占0%；公务用车购置及运行维护费支出决算0万元，占0%；公务接待费支出决算0.03万元，占100%。具体情况如下：</w:t>
      </w:r>
    </w:p>
    <w:p w14:paraId="7CC70DA0">
      <w:pPr>
        <w:spacing w:line="600" w:lineRule="exact"/>
        <w:ind w:firstLine="64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color w:val="auto"/>
          <w:sz w:val="32"/>
          <w:szCs w:val="32"/>
          <w:highlight w:val="none"/>
        </w:rPr>
        <w:t>1.因公出国（境）经费支出</w:t>
      </w:r>
      <w:r>
        <w:rPr>
          <w:rFonts w:hint="eastAsia" w:ascii="仿宋_GB2312" w:hAnsi="仿宋_GB2312" w:eastAsia="仿宋_GB2312" w:cs="仿宋_GB2312"/>
          <w:color w:val="000000"/>
          <w:kern w:val="0"/>
          <w:sz w:val="32"/>
          <w:szCs w:val="32"/>
          <w:lang w:val="en-US" w:eastAsia="zh-CN" w:bidi="ar-SA"/>
        </w:rPr>
        <w:t>0万元，2024年未安排国公出国（境）经费预算，无相应支出，同比无变化。</w:t>
      </w:r>
    </w:p>
    <w:p w14:paraId="3363E18C">
      <w:pPr>
        <w:spacing w:line="600" w:lineRule="exact"/>
        <w:ind w:firstLine="64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color w:val="auto"/>
          <w:sz w:val="32"/>
          <w:szCs w:val="32"/>
          <w:highlight w:val="none"/>
        </w:rPr>
        <w:t>2.公务用车购置及运行维护费支出</w:t>
      </w:r>
      <w:r>
        <w:rPr>
          <w:rFonts w:hint="eastAsia" w:ascii="仿宋_GB2312" w:hAnsi="仿宋_GB2312" w:eastAsia="仿宋_GB2312" w:cs="仿宋_GB2312"/>
          <w:color w:val="000000"/>
          <w:kern w:val="0"/>
          <w:sz w:val="32"/>
          <w:szCs w:val="32"/>
          <w:lang w:val="en-US" w:eastAsia="zh-CN" w:bidi="ar-SA"/>
        </w:rPr>
        <w:t>0万元,同比无变化。（其中：公务用车购置支出0万元，同比无变化；公车运行维护费支出0万元，同比无变化）。</w:t>
      </w:r>
    </w:p>
    <w:p w14:paraId="64E90B3C">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color w:val="auto"/>
          <w:sz w:val="32"/>
          <w:szCs w:val="32"/>
          <w:highlight w:val="none"/>
        </w:rPr>
        <w:t>3.公务接待费支出</w:t>
      </w:r>
      <w:r>
        <w:rPr>
          <w:rFonts w:hint="eastAsia" w:ascii="仿宋_GB2312" w:hAnsi="仿宋_GB2312" w:eastAsia="仿宋_GB2312" w:cs="仿宋_GB2312"/>
          <w:color w:val="000000"/>
          <w:kern w:val="0"/>
          <w:sz w:val="32"/>
          <w:szCs w:val="32"/>
          <w:lang w:val="en-US" w:eastAsia="zh-CN" w:bidi="ar-SA"/>
        </w:rPr>
        <w:t>0.03万元，完成预算100%。公务接待费支出决算比2023年度增加0.03万元，增长100%。主要原因是上级部门到我局开展社保基金智能化监督平台上线运行调试工作。其中：</w:t>
      </w:r>
    </w:p>
    <w:p w14:paraId="3CA73C2F">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国内公务接待支出0.03万元，主要用于开展业务活动开支的用餐费。国内公务接待1批次，5人次（不包括陪同人员），共计支出0.03万元，具体内容包括：开展业务活动开支的用餐费0.03万元。</w:t>
      </w:r>
    </w:p>
    <w:p w14:paraId="4FE002A1">
      <w:pPr>
        <w:spacing w:line="600" w:lineRule="exact"/>
        <w:ind w:firstLine="643"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color w:val="auto"/>
          <w:sz w:val="32"/>
          <w:szCs w:val="32"/>
          <w:highlight w:val="none"/>
        </w:rPr>
        <w:t>外事接待支出</w:t>
      </w:r>
      <w:r>
        <w:rPr>
          <w:rFonts w:hint="eastAsia" w:ascii="仿宋_GB2312" w:hAnsi="仿宋_GB2312" w:eastAsia="仿宋_GB2312" w:cs="仿宋_GB2312"/>
          <w:color w:val="000000"/>
          <w:kern w:val="0"/>
          <w:sz w:val="32"/>
          <w:szCs w:val="32"/>
          <w:lang w:val="en-US" w:eastAsia="zh-CN" w:bidi="ar-SA"/>
        </w:rPr>
        <w:t>0万元，同比无变化。</w:t>
      </w:r>
    </w:p>
    <w:p w14:paraId="13965CB3">
      <w:pPr>
        <w:spacing w:line="600" w:lineRule="exact"/>
        <w:ind w:firstLine="640"/>
        <w:outlineLvl w:val="1"/>
        <w:rPr>
          <w:rStyle w:val="22"/>
          <w:rFonts w:ascii="黑体" w:eastAsia="黑体"/>
          <w:color w:val="auto"/>
          <w:highlight w:val="none"/>
        </w:rPr>
      </w:pPr>
      <w:bookmarkStart w:id="39" w:name="_Toc15396610"/>
      <w:bookmarkStart w:id="40" w:name="_Toc15377218"/>
      <w:r>
        <w:rPr>
          <w:rFonts w:hint="eastAsia" w:ascii="黑体" w:eastAsia="黑体"/>
          <w:color w:val="auto"/>
          <w:sz w:val="32"/>
          <w:szCs w:val="32"/>
          <w:highlight w:val="none"/>
        </w:rPr>
        <w:t>八、</w:t>
      </w:r>
      <w:r>
        <w:rPr>
          <w:rStyle w:val="22"/>
          <w:rFonts w:hint="eastAsia" w:ascii="黑体" w:eastAsia="黑体"/>
          <w:b w:val="0"/>
          <w:color w:val="auto"/>
          <w:highlight w:val="none"/>
        </w:rPr>
        <w:t>政府性基金预算支出决算情况说明</w:t>
      </w:r>
      <w:bookmarkEnd w:id="39"/>
      <w:bookmarkEnd w:id="40"/>
    </w:p>
    <w:p w14:paraId="5E8961C0">
      <w:pPr>
        <w:spacing w:line="60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2024年度政府性基金预算财政拨款支出0万元。</w:t>
      </w:r>
    </w:p>
    <w:p w14:paraId="6D37EBBD">
      <w:pPr>
        <w:numPr>
          <w:ilvl w:val="0"/>
          <w:numId w:val="2"/>
        </w:numPr>
        <w:spacing w:line="600" w:lineRule="exact"/>
        <w:ind w:left="0" w:firstLine="640"/>
        <w:outlineLvl w:val="1"/>
        <w:rPr>
          <w:rStyle w:val="22"/>
          <w:rFonts w:ascii="黑体" w:eastAsia="黑体"/>
          <w:b w:val="0"/>
          <w:color w:val="auto"/>
          <w:highlight w:val="none"/>
        </w:rPr>
      </w:pPr>
      <w:bookmarkStart w:id="41" w:name="_Toc15396611"/>
      <w:bookmarkStart w:id="42" w:name="_Toc15377219"/>
      <w:r>
        <w:rPr>
          <w:rStyle w:val="22"/>
          <w:rFonts w:hint="eastAsia" w:ascii="黑体" w:eastAsia="黑体"/>
          <w:b w:val="0"/>
          <w:color w:val="auto"/>
          <w:highlight w:val="none"/>
        </w:rPr>
        <w:t>国有资本经营预算支出决算情况说明</w:t>
      </w:r>
      <w:bookmarkEnd w:id="41"/>
      <w:bookmarkEnd w:id="42"/>
    </w:p>
    <w:p w14:paraId="4E5E74FD">
      <w:pPr>
        <w:spacing w:line="600" w:lineRule="exact"/>
        <w:ind w:firstLine="640" w:firstLineChars="200"/>
        <w:rPr>
          <w:rFonts w:hint="eastAsia" w:ascii="仿宋_GB2312" w:hAnsi="Times New Roman" w:eastAsia="仿宋_GB2312" w:cs="仿宋"/>
          <w:color w:val="000000"/>
          <w:kern w:val="0"/>
          <w:sz w:val="30"/>
          <w:szCs w:val="30"/>
          <w:lang w:val="en-US" w:eastAsia="zh-CN" w:bidi="ar-SA"/>
        </w:rPr>
      </w:pPr>
      <w:r>
        <w:rPr>
          <w:rFonts w:hint="eastAsia" w:ascii="仿宋_GB2312" w:hAnsi="Times New Roman" w:eastAsia="仿宋_GB2312" w:cs="仿宋"/>
          <w:color w:val="000000"/>
          <w:kern w:val="0"/>
          <w:sz w:val="32"/>
          <w:szCs w:val="32"/>
          <w:lang w:val="en-US" w:eastAsia="zh-CN" w:bidi="ar-SA"/>
        </w:rPr>
        <w:t>2024年度国有资本经营预算财政拨款支出0万元。</w:t>
      </w:r>
    </w:p>
    <w:p w14:paraId="2D017D61">
      <w:pPr>
        <w:numPr>
          <w:ilvl w:val="0"/>
          <w:numId w:val="2"/>
        </w:numPr>
        <w:spacing w:line="600" w:lineRule="exact"/>
        <w:ind w:left="0" w:firstLine="640"/>
        <w:outlineLvl w:val="1"/>
        <w:rPr>
          <w:rStyle w:val="22"/>
          <w:rFonts w:hint="eastAsia" w:ascii="黑体" w:eastAsia="黑体"/>
          <w:b w:val="0"/>
          <w:color w:val="auto"/>
          <w:highlight w:val="none"/>
        </w:rPr>
      </w:pPr>
      <w:bookmarkStart w:id="43" w:name="_Toc15377221"/>
      <w:bookmarkStart w:id="44" w:name="_Toc15396612"/>
      <w:r>
        <w:rPr>
          <w:rStyle w:val="22"/>
          <w:rFonts w:hint="eastAsia" w:ascii="黑体" w:eastAsia="黑体"/>
          <w:b w:val="0"/>
          <w:color w:val="auto"/>
          <w:highlight w:val="none"/>
        </w:rPr>
        <w:t>其他重要事项的情况说明</w:t>
      </w:r>
      <w:bookmarkEnd w:id="43"/>
      <w:bookmarkEnd w:id="44"/>
    </w:p>
    <w:p w14:paraId="6D2AC781">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auto"/>
          <w:sz w:val="32"/>
          <w:szCs w:val="32"/>
          <w:highlight w:val="none"/>
          <w:lang w:val="en-US" w:eastAsia="zh-CN"/>
        </w:rPr>
      </w:pPr>
      <w:bookmarkStart w:id="45" w:name="_Toc15377222"/>
      <w:r>
        <w:rPr>
          <w:rFonts w:hint="eastAsia" w:ascii="仿宋_GB2312" w:hAnsi="仿宋_GB2312" w:eastAsia="仿宋_GB2312" w:cs="仿宋_GB2312"/>
          <w:b/>
          <w:color w:val="auto"/>
          <w:sz w:val="32"/>
          <w:szCs w:val="32"/>
          <w:highlight w:val="none"/>
          <w:lang w:val="en-US" w:eastAsia="zh-CN"/>
        </w:rPr>
        <w:t>（一）机关运行经费支出情况</w:t>
      </w:r>
      <w:bookmarkEnd w:id="45"/>
    </w:p>
    <w:p w14:paraId="13A80A89">
      <w:pPr>
        <w:spacing w:line="60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2024年度，茂县社会保险事业管理局机关运行经费支出9.17万元，比2023年度增加1.73万元，增长18.86%，主要原因是：人员增加及办公运行经费增加。</w:t>
      </w:r>
    </w:p>
    <w:p w14:paraId="4F5C7F71">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auto"/>
          <w:sz w:val="32"/>
          <w:szCs w:val="32"/>
          <w:highlight w:val="none"/>
        </w:rPr>
      </w:pPr>
      <w:bookmarkStart w:id="46" w:name="_Toc15377223"/>
      <w:r>
        <w:rPr>
          <w:rFonts w:hint="eastAsia" w:ascii="仿宋_GB2312" w:hAnsi="仿宋_GB2312" w:eastAsia="仿宋_GB2312" w:cs="仿宋_GB2312"/>
          <w:b/>
          <w:color w:val="auto"/>
          <w:sz w:val="32"/>
          <w:szCs w:val="32"/>
          <w:highlight w:val="none"/>
        </w:rPr>
        <w:t>（二）政府采购支出情况</w:t>
      </w:r>
      <w:bookmarkEnd w:id="46"/>
    </w:p>
    <w:p w14:paraId="30B2D0B2">
      <w:pPr>
        <w:spacing w:line="60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2024年度，茂县社会保险事业管理局政府采购支出总额0万元。</w:t>
      </w:r>
    </w:p>
    <w:p w14:paraId="2DD3632D">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auto"/>
          <w:sz w:val="32"/>
          <w:szCs w:val="32"/>
          <w:highlight w:val="none"/>
        </w:rPr>
      </w:pPr>
      <w:bookmarkStart w:id="47" w:name="_Toc15377224"/>
      <w:r>
        <w:rPr>
          <w:rFonts w:hint="eastAsia" w:ascii="仿宋_GB2312" w:hAnsi="仿宋_GB2312" w:eastAsia="仿宋_GB2312" w:cs="仿宋_GB2312"/>
          <w:b/>
          <w:color w:val="auto"/>
          <w:sz w:val="32"/>
          <w:szCs w:val="32"/>
          <w:highlight w:val="none"/>
        </w:rPr>
        <w:t>（三）国有资产占有使用情况</w:t>
      </w:r>
      <w:bookmarkEnd w:id="47"/>
    </w:p>
    <w:p w14:paraId="1024CAD3">
      <w:pPr>
        <w:spacing w:line="60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截至2024年12月31日，我局共有车辆0辆。单价100万元以上专用设备0台（套）。</w:t>
      </w:r>
    </w:p>
    <w:p w14:paraId="3A98BBD0">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（四）预算绩效管理情况</w:t>
      </w:r>
      <w:bookmarkStart w:id="66" w:name="_GoBack"/>
      <w:bookmarkEnd w:id="66"/>
    </w:p>
    <w:p w14:paraId="5D1590B2">
      <w:pPr>
        <w:spacing w:line="60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根据预算绩效管理要求，2024年度茂县社会保险事业管理局无预算绩效管理。</w:t>
      </w:r>
    </w:p>
    <w:p w14:paraId="52EB5351">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560" w:firstLineChars="200"/>
        <w:textAlignment w:val="auto"/>
        <w:rPr>
          <w:rFonts w:hint="eastAsia" w:ascii="仿宋_GB2312" w:hAnsi="Times New Roman" w:eastAsia="仿宋_GB2312" w:cs="仿宋"/>
          <w:color w:val="000000"/>
          <w:kern w:val="0"/>
          <w:sz w:val="28"/>
          <w:szCs w:val="28"/>
          <w:lang w:val="en-US" w:eastAsia="zh-CN" w:bidi="ar-SA"/>
        </w:rPr>
      </w:pPr>
    </w:p>
    <w:p w14:paraId="4889D9D5">
      <w:pPr>
        <w:spacing w:line="600" w:lineRule="exact"/>
        <w:jc w:val="center"/>
        <w:outlineLvl w:val="0"/>
        <w:rPr>
          <w:rFonts w:hint="eastAsia" w:ascii="黑体" w:eastAsia="黑体"/>
          <w:color w:val="auto"/>
          <w:sz w:val="44"/>
          <w:szCs w:val="44"/>
          <w:highlight w:val="none"/>
          <w:lang w:eastAsia="zh-CN"/>
        </w:rPr>
      </w:pPr>
    </w:p>
    <w:p w14:paraId="701D7760">
      <w:pPr>
        <w:pStyle w:val="2"/>
        <w:rPr>
          <w:rFonts w:hint="eastAsia"/>
          <w:lang w:eastAsia="zh-CN"/>
        </w:rPr>
      </w:pPr>
    </w:p>
    <w:p w14:paraId="36CD2970">
      <w:pPr>
        <w:spacing w:line="600" w:lineRule="exact"/>
        <w:jc w:val="center"/>
        <w:outlineLvl w:val="0"/>
        <w:rPr>
          <w:rStyle w:val="21"/>
          <w:rFonts w:ascii="黑体" w:eastAsia="黑体"/>
          <w:b w:val="0"/>
          <w:color w:val="auto"/>
          <w:highlight w:val="none"/>
        </w:rPr>
      </w:pPr>
      <w:r>
        <w:rPr>
          <w:rFonts w:hint="eastAsia" w:ascii="黑体" w:eastAsia="黑体"/>
          <w:color w:val="auto"/>
          <w:sz w:val="44"/>
          <w:szCs w:val="44"/>
          <w:highlight w:val="none"/>
          <w:lang w:eastAsia="zh-CN"/>
        </w:rPr>
        <w:t>第三部分</w:t>
      </w:r>
      <w:r>
        <w:rPr>
          <w:rFonts w:hint="eastAsia" w:ascii="黑体" w:eastAsia="黑体"/>
          <w:color w:val="auto"/>
          <w:sz w:val="44"/>
          <w:szCs w:val="44"/>
          <w:highlight w:val="none"/>
          <w:lang w:val="en-US" w:eastAsia="zh-CN"/>
        </w:rPr>
        <w:t xml:space="preserve">  </w:t>
      </w:r>
      <w:r>
        <w:rPr>
          <w:rFonts w:hint="eastAsia" w:ascii="黑体" w:eastAsia="黑体"/>
          <w:color w:val="auto"/>
          <w:sz w:val="44"/>
          <w:szCs w:val="44"/>
          <w:highlight w:val="none"/>
        </w:rPr>
        <w:t>名</w:t>
      </w:r>
      <w:r>
        <w:rPr>
          <w:rStyle w:val="21"/>
          <w:rFonts w:hint="eastAsia" w:ascii="黑体" w:eastAsia="黑体"/>
          <w:b w:val="0"/>
          <w:color w:val="auto"/>
          <w:highlight w:val="none"/>
        </w:rPr>
        <w:t>词解释</w:t>
      </w:r>
    </w:p>
    <w:p w14:paraId="48DC6AB8">
      <w:pPr>
        <w:spacing w:line="600" w:lineRule="exact"/>
        <w:jc w:val="left"/>
        <w:rPr>
          <w:rFonts w:ascii="宋体"/>
          <w:b/>
          <w:color w:val="auto"/>
          <w:sz w:val="44"/>
          <w:szCs w:val="44"/>
          <w:highlight w:val="none"/>
        </w:rPr>
      </w:pPr>
    </w:p>
    <w:p w14:paraId="7C07A243">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7B8C409D">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14:paraId="7DD750EA">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21AB9022">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14:paraId="49A7A081">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5.使用非财政拨款结余：指事业单位使用以前年度积累的非财政拨款结余弥补当年收支差额的金额。 </w:t>
      </w:r>
    </w:p>
    <w:p w14:paraId="0020061A">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71EEC183">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14:paraId="48BF388A">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3FF513F0">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9.社会保障和就业</w:t>
      </w:r>
      <w:r>
        <w:rPr>
          <w:rFonts w:hint="eastAsia" w:ascii="仿宋_GB2312" w:eastAsia="仿宋_GB2312"/>
          <w:sz w:val="32"/>
          <w:szCs w:val="32"/>
          <w:lang w:val="en-US" w:eastAsia="zh-CN"/>
        </w:rPr>
        <w:t>支出</w:t>
      </w:r>
      <w:r>
        <w:rPr>
          <w:rFonts w:hint="eastAsia" w:ascii="仿宋_GB2312" w:eastAsia="仿宋_GB2312"/>
          <w:sz w:val="32"/>
          <w:szCs w:val="32"/>
        </w:rPr>
        <w:t>(类) 人力资源和社会保障管理事务(款)行政运行（项）：</w:t>
      </w:r>
      <w:r>
        <w:rPr>
          <w:rFonts w:hint="eastAsia" w:ascii="仿宋_GB2312" w:eastAsia="仿宋_GB2312"/>
          <w:sz w:val="32"/>
          <w:szCs w:val="32"/>
          <w:lang w:val="en-US" w:eastAsia="zh-CN"/>
        </w:rPr>
        <w:t>指</w:t>
      </w:r>
      <w:r>
        <w:rPr>
          <w:rFonts w:hint="eastAsia" w:ascii="仿宋_GB2312" w:eastAsia="仿宋_GB2312"/>
          <w:sz w:val="32"/>
          <w:szCs w:val="32"/>
        </w:rPr>
        <w:t>机关单位用于保障机构正常运行、开展日常工作的基本支出。</w:t>
      </w:r>
    </w:p>
    <w:p w14:paraId="563B77FF">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10.社会保障和就业</w:t>
      </w:r>
      <w:r>
        <w:rPr>
          <w:rFonts w:hint="eastAsia" w:ascii="仿宋_GB2312" w:eastAsia="仿宋_GB2312"/>
          <w:sz w:val="32"/>
          <w:szCs w:val="32"/>
          <w:lang w:val="en-US" w:eastAsia="zh-CN"/>
        </w:rPr>
        <w:t>支出</w:t>
      </w:r>
      <w:r>
        <w:rPr>
          <w:rFonts w:hint="eastAsia" w:ascii="仿宋_GB2312" w:eastAsia="仿宋_GB2312"/>
          <w:sz w:val="32"/>
          <w:szCs w:val="32"/>
        </w:rPr>
        <w:t>(类) 人力资源和社会保障管理事务(款)社会保险经办机构（项）：指社会保险经办机构开展业务工作的支出。</w:t>
      </w:r>
    </w:p>
    <w:p w14:paraId="378935B2">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11.</w:t>
      </w:r>
      <w:r>
        <w:rPr>
          <w:rFonts w:hint="eastAsia" w:ascii="仿宋_GB2312" w:eastAsia="仿宋_GB2312"/>
          <w:sz w:val="32"/>
          <w:szCs w:val="32"/>
        </w:rPr>
        <w:t>社会保障和就业</w:t>
      </w:r>
      <w:r>
        <w:rPr>
          <w:rFonts w:hint="eastAsia" w:ascii="仿宋_GB2312" w:eastAsia="仿宋_GB2312"/>
          <w:sz w:val="32"/>
          <w:szCs w:val="32"/>
          <w:lang w:val="en-US" w:eastAsia="zh-CN"/>
        </w:rPr>
        <w:t>支出</w:t>
      </w:r>
      <w:r>
        <w:rPr>
          <w:rFonts w:hint="eastAsia" w:ascii="仿宋_GB2312" w:eastAsia="仿宋_GB2312"/>
          <w:sz w:val="32"/>
          <w:szCs w:val="32"/>
        </w:rPr>
        <w:t>(类) 人力资源和社会保障管理事务(款)</w:t>
      </w:r>
      <w:r>
        <w:rPr>
          <w:rFonts w:hint="eastAsia" w:ascii="仿宋_GB2312" w:eastAsia="仿宋_GB2312"/>
          <w:sz w:val="32"/>
          <w:szCs w:val="32"/>
          <w:lang w:val="en-US" w:eastAsia="zh-CN"/>
        </w:rPr>
        <w:t>其他人力资源和社会保障管理事务支出</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指用于其他人力资源和社会保障管理事务方面支出。</w:t>
      </w:r>
    </w:p>
    <w:p w14:paraId="2824654F">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hint="eastAsia" w:ascii="仿宋_GB2312" w:eastAsia="仿宋_GB2312"/>
          <w:sz w:val="32"/>
          <w:szCs w:val="32"/>
        </w:rPr>
        <w:t>.社会保障和就业</w:t>
      </w:r>
      <w:r>
        <w:rPr>
          <w:rFonts w:hint="eastAsia" w:ascii="仿宋_GB2312" w:eastAsia="仿宋_GB2312"/>
          <w:sz w:val="32"/>
          <w:szCs w:val="32"/>
          <w:lang w:val="en-US" w:eastAsia="zh-CN"/>
        </w:rPr>
        <w:t>支出</w:t>
      </w:r>
      <w:r>
        <w:rPr>
          <w:rFonts w:hint="eastAsia" w:ascii="仿宋_GB2312" w:eastAsia="仿宋_GB2312"/>
          <w:sz w:val="32"/>
          <w:szCs w:val="32"/>
        </w:rPr>
        <w:t>(类)行政事业单位养老支出(款) 机关事业单位基本养老保险缴费支出（项）：指机关事业单位实施养老保险制度由单位缴纳的基本养老保险费支出。</w:t>
      </w:r>
    </w:p>
    <w:p w14:paraId="65574C28">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社会保障和就业支出（类）行政事业单位养老支出（款）机关事业单位职业年金缴费支出（项）</w:t>
      </w:r>
      <w:r>
        <w:rPr>
          <w:rFonts w:hint="eastAsia" w:ascii="仿宋_GB2312" w:eastAsia="仿宋_GB2312"/>
          <w:sz w:val="32"/>
          <w:szCs w:val="32"/>
          <w:lang w:eastAsia="zh-CN"/>
        </w:rPr>
        <w:t>：</w:t>
      </w:r>
      <w:r>
        <w:rPr>
          <w:rFonts w:hint="eastAsia" w:ascii="仿宋_GB2312" w:eastAsia="仿宋_GB2312"/>
          <w:sz w:val="32"/>
          <w:szCs w:val="32"/>
        </w:rPr>
        <w:t>指机关事业单位养老保险制度由单位缴纳的职业年金支出。</w:t>
      </w:r>
    </w:p>
    <w:p w14:paraId="7051B7CA">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olor w:val="0000FF"/>
          <w:sz w:val="32"/>
          <w:szCs w:val="32"/>
        </w:rPr>
      </w:pPr>
      <w:r>
        <w:rPr>
          <w:rFonts w:hint="eastAsia" w:ascii="仿宋_GB2312" w:eastAsia="仿宋_GB2312"/>
          <w:sz w:val="32"/>
          <w:szCs w:val="32"/>
        </w:rPr>
        <w:t>1</w:t>
      </w:r>
      <w:r>
        <w:rPr>
          <w:rFonts w:hint="eastAsia" w:ascii="仿宋_GB2312" w:eastAsia="仿宋_GB2312"/>
          <w:sz w:val="32"/>
          <w:szCs w:val="32"/>
          <w:lang w:val="en-US" w:eastAsia="zh-CN"/>
        </w:rPr>
        <w:t>4</w:t>
      </w:r>
      <w:r>
        <w:rPr>
          <w:rFonts w:hint="eastAsia" w:ascii="仿宋_GB2312" w:eastAsia="仿宋_GB2312"/>
          <w:sz w:val="32"/>
          <w:szCs w:val="32"/>
        </w:rPr>
        <w:t>.卫生健康支出（类）行政事业单位医疗（款）行政单位医疗（项）：指财政部门集中安排的行政单位基本医疗保险缴费。</w:t>
      </w:r>
    </w:p>
    <w:p w14:paraId="19425106">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1</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.农林水（类）</w:t>
      </w:r>
      <w:r>
        <w:rPr>
          <w:rFonts w:hint="eastAsia" w:ascii="仿宋_GB2312" w:eastAsia="仿宋_GB2312"/>
          <w:color w:val="auto"/>
          <w:sz w:val="32"/>
          <w:szCs w:val="32"/>
          <w:lang w:val="en-US" w:eastAsia="zh-CN"/>
        </w:rPr>
        <w:t>扶贫</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其他扶贫支出</w:t>
      </w:r>
      <w:r>
        <w:rPr>
          <w:rFonts w:hint="eastAsia" w:ascii="仿宋_GB2312" w:eastAsia="仿宋_GB2312"/>
          <w:color w:val="auto"/>
          <w:sz w:val="32"/>
          <w:szCs w:val="32"/>
        </w:rPr>
        <w:t>（项）：指用于扶贫方面的支出。</w:t>
      </w:r>
    </w:p>
    <w:p w14:paraId="0BD247A2">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6.</w:t>
      </w:r>
      <w:r>
        <w:rPr>
          <w:rFonts w:hint="eastAsia" w:ascii="仿宋_GB2312" w:eastAsia="仿宋_GB2312"/>
          <w:sz w:val="32"/>
          <w:szCs w:val="32"/>
        </w:rPr>
        <w:t>住房保障支出（类）住房改革支出（款）住房公积金（项）：指行政事业单位按规定的标准和比例为职工缴纳的住房公积金。</w:t>
      </w:r>
    </w:p>
    <w:p w14:paraId="5DFAB102">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17.</w:t>
      </w:r>
      <w:r>
        <w:rPr>
          <w:rFonts w:hint="eastAsia" w:ascii="仿宋_GB2312" w:eastAsia="仿宋_GB2312"/>
          <w:sz w:val="32"/>
          <w:szCs w:val="32"/>
        </w:rPr>
        <w:t>住房保障支出（类）住房改革支出（款）</w:t>
      </w:r>
      <w:r>
        <w:rPr>
          <w:rFonts w:hint="eastAsia" w:ascii="仿宋_GB2312" w:eastAsia="仿宋_GB2312"/>
          <w:sz w:val="32"/>
          <w:szCs w:val="32"/>
          <w:lang w:val="en-US" w:eastAsia="zh-CN"/>
        </w:rPr>
        <w:t>购房补贴</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rPr>
        <w:t>反映按房改政策规定，行政事业单位向符合条件职工（含退休人员）、军队（含武警）向转役复员离退休人员发放的于购买住房的补贴。</w:t>
      </w:r>
    </w:p>
    <w:p w14:paraId="178C5DCB">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18</w:t>
      </w:r>
      <w:r>
        <w:rPr>
          <w:rFonts w:hint="eastAsia" w:ascii="仿宋_GB2312" w:eastAsia="仿宋_GB2312"/>
          <w:sz w:val="32"/>
          <w:szCs w:val="32"/>
        </w:rPr>
        <w:t>.基本支出：指为保障机构正常运转、完成日常工作任务而发生的人员支出和公用支出。</w:t>
      </w:r>
    </w:p>
    <w:p w14:paraId="2B75AB40">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19</w:t>
      </w:r>
      <w:r>
        <w:rPr>
          <w:rFonts w:hint="eastAsia" w:ascii="仿宋_GB2312" w:eastAsia="仿宋_GB2312"/>
          <w:sz w:val="32"/>
          <w:szCs w:val="32"/>
        </w:rPr>
        <w:t xml:space="preserve">.项目支出：指在基本支出之外为完成特定行政任务和事业发展目标所发生的支出。 </w:t>
      </w:r>
    </w:p>
    <w:p w14:paraId="1043525D">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D2D1D0B">
      <w:pPr>
        <w:pStyle w:val="27"/>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0B10864">
      <w:pPr>
        <w:spacing w:line="600" w:lineRule="exact"/>
        <w:jc w:val="center"/>
        <w:rPr>
          <w:rStyle w:val="21"/>
          <w:rFonts w:hint="eastAsia" w:ascii="Times New Roman" w:hAnsi="Times New Roman" w:eastAsia="黑体"/>
          <w:b w:val="0"/>
          <w:color w:val="auto"/>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br w:type="page"/>
      </w:r>
      <w:bookmarkStart w:id="48"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8"/>
    </w:p>
    <w:p w14:paraId="135F5FA1">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58300B82">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1CA7DB7E">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简体" w:cs="Times New Roman"/>
          <w:b w:val="0"/>
          <w:bCs/>
          <w:sz w:val="44"/>
          <w:szCs w:val="44"/>
          <w:highlight w:val="none"/>
          <w:shd w:val="clear" w:color="auto" w:fill="FFFFFF"/>
        </w:rPr>
      </w:pPr>
    </w:p>
    <w:p w14:paraId="141A7A94">
      <w:pPr>
        <w:keepNext w:val="0"/>
        <w:keepLines w:val="0"/>
        <w:pageBreakBefore w:val="0"/>
        <w:widowControl w:val="0"/>
        <w:kinsoku/>
        <w:wordWrap/>
        <w:overflowPunct/>
        <w:topLinePunct w:val="0"/>
        <w:autoSpaceDE/>
        <w:autoSpaceDN/>
        <w:bidi w:val="0"/>
        <w:spacing w:line="536" w:lineRule="exact"/>
        <w:jc w:val="center"/>
        <w:textAlignment w:val="auto"/>
        <w:outlineLvl w:val="0"/>
        <w:rPr>
          <w:rFonts w:hint="eastAsia" w:ascii="方正小标宋简体" w:eastAsia="方正小标宋简体" w:cs="黑体"/>
          <w:sz w:val="44"/>
          <w:szCs w:val="44"/>
          <w:lang w:val="en-US" w:eastAsia="zh-CN"/>
        </w:rPr>
      </w:pPr>
      <w:bookmarkStart w:id="49" w:name="_Toc79163882"/>
      <w:bookmarkStart w:id="50" w:name="_Toc79163632"/>
      <w:bookmarkStart w:id="51" w:name="_Toc15396618"/>
      <w:r>
        <w:rPr>
          <w:rFonts w:hint="eastAsia" w:ascii="方正小标宋简体" w:eastAsia="方正小标宋简体" w:cs="黑体"/>
          <w:sz w:val="44"/>
          <w:szCs w:val="44"/>
          <w:lang w:val="en-US" w:eastAsia="zh-CN"/>
        </w:rPr>
        <w:t>茂县社会保险事业管理局</w:t>
      </w:r>
    </w:p>
    <w:p w14:paraId="0C03055D">
      <w:pPr>
        <w:keepNext w:val="0"/>
        <w:keepLines w:val="0"/>
        <w:pageBreakBefore w:val="0"/>
        <w:widowControl w:val="0"/>
        <w:kinsoku/>
        <w:wordWrap/>
        <w:overflowPunct/>
        <w:topLinePunct w:val="0"/>
        <w:autoSpaceDE/>
        <w:autoSpaceDN/>
        <w:bidi w:val="0"/>
        <w:spacing w:line="536" w:lineRule="exact"/>
        <w:jc w:val="center"/>
        <w:textAlignment w:val="auto"/>
        <w:outlineLvl w:val="0"/>
        <w:rPr>
          <w:rFonts w:ascii="方正小标宋简体" w:eastAsia="方正小标宋简体" w:cs="黑体"/>
          <w:sz w:val="44"/>
          <w:szCs w:val="44"/>
        </w:rPr>
      </w:pPr>
      <w:r>
        <w:rPr>
          <w:rFonts w:ascii="方正小标宋简体" w:eastAsia="方正小标宋简体" w:cs="黑体"/>
          <w:sz w:val="44"/>
          <w:szCs w:val="44"/>
        </w:rPr>
        <w:t>202</w:t>
      </w:r>
      <w:r>
        <w:rPr>
          <w:rFonts w:hint="eastAsia" w:ascii="方正小标宋简体" w:eastAsia="方正小标宋简体" w:cs="黑体"/>
          <w:sz w:val="44"/>
          <w:szCs w:val="44"/>
          <w:lang w:val="en-US" w:eastAsia="zh-CN"/>
        </w:rPr>
        <w:t>4</w:t>
      </w:r>
      <w:r>
        <w:rPr>
          <w:rFonts w:hint="eastAsia" w:ascii="方正小标宋简体" w:eastAsia="方正小标宋简体" w:cs="黑体"/>
          <w:sz w:val="44"/>
          <w:szCs w:val="44"/>
        </w:rPr>
        <w:t>年部门整体支出绩效</w:t>
      </w:r>
      <w:r>
        <w:rPr>
          <w:rFonts w:hint="eastAsia" w:ascii="方正小标宋简体" w:eastAsia="方正小标宋简体" w:cs="黑体"/>
          <w:sz w:val="44"/>
          <w:szCs w:val="44"/>
          <w:lang w:val="en-US" w:eastAsia="zh-CN"/>
        </w:rPr>
        <w:t>自</w:t>
      </w:r>
      <w:r>
        <w:rPr>
          <w:rFonts w:hint="eastAsia" w:ascii="方正小标宋简体" w:eastAsia="方正小标宋简体" w:cs="黑体"/>
          <w:sz w:val="44"/>
          <w:szCs w:val="44"/>
        </w:rPr>
        <w:t>评报告</w:t>
      </w:r>
      <w:bookmarkEnd w:id="49"/>
      <w:bookmarkEnd w:id="50"/>
    </w:p>
    <w:p w14:paraId="090BD428">
      <w:pPr>
        <w:keepNext w:val="0"/>
        <w:keepLines w:val="0"/>
        <w:pageBreakBefore w:val="0"/>
        <w:widowControl/>
        <w:kinsoku/>
        <w:wordWrap/>
        <w:overflowPunct/>
        <w:topLinePunct w:val="0"/>
        <w:autoSpaceDE/>
        <w:autoSpaceDN/>
        <w:bidi w:val="0"/>
        <w:adjustRightInd w:val="0"/>
        <w:snapToGrid w:val="0"/>
        <w:spacing w:line="536" w:lineRule="exact"/>
        <w:ind w:firstLine="640" w:firstLineChars="200"/>
        <w:contextualSpacing/>
        <w:jc w:val="left"/>
        <w:textAlignment w:val="auto"/>
        <w:rPr>
          <w:rFonts w:hint="eastAsia" w:ascii="黑体" w:eastAsia="黑体" w:cs="宋体"/>
          <w:color w:val="000000"/>
          <w:kern w:val="0"/>
          <w:sz w:val="32"/>
          <w:szCs w:val="32"/>
          <w:shd w:val="clear" w:color="auto" w:fill="FFFFFF"/>
        </w:rPr>
      </w:pPr>
    </w:p>
    <w:p w14:paraId="02331849">
      <w:pPr>
        <w:keepNext w:val="0"/>
        <w:keepLines w:val="0"/>
        <w:pageBreakBefore w:val="0"/>
        <w:widowControl/>
        <w:kinsoku/>
        <w:wordWrap/>
        <w:overflowPunct/>
        <w:topLinePunct w:val="0"/>
        <w:autoSpaceDE/>
        <w:autoSpaceDN/>
        <w:bidi w:val="0"/>
        <w:adjustRightInd w:val="0"/>
        <w:snapToGrid w:val="0"/>
        <w:spacing w:line="536" w:lineRule="exact"/>
        <w:ind w:firstLine="640" w:firstLineChars="200"/>
        <w:contextualSpacing/>
        <w:jc w:val="left"/>
        <w:textAlignment w:val="auto"/>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en-US" w:eastAsia="zh-CN"/>
        </w:rPr>
        <w:t>部门</w:t>
      </w:r>
      <w:r>
        <w:rPr>
          <w:rFonts w:hint="eastAsia" w:ascii="黑体" w:eastAsia="黑体" w:cs="宋体"/>
          <w:color w:val="000000"/>
          <w:kern w:val="0"/>
          <w:sz w:val="32"/>
          <w:szCs w:val="32"/>
          <w:shd w:val="clear" w:color="auto" w:fill="FFFFFF"/>
          <w:lang w:val="zh-CN"/>
        </w:rPr>
        <w:t>概况</w:t>
      </w:r>
    </w:p>
    <w:p w14:paraId="4D2186BC">
      <w:pPr>
        <w:keepNext w:val="0"/>
        <w:keepLines w:val="0"/>
        <w:pageBreakBefore w:val="0"/>
        <w:widowControl/>
        <w:kinsoku/>
        <w:wordWrap/>
        <w:overflowPunct/>
        <w:topLinePunct w:val="0"/>
        <w:autoSpaceDE/>
        <w:autoSpaceDN/>
        <w:bidi w:val="0"/>
        <w:adjustRightInd w:val="0"/>
        <w:snapToGrid w:val="0"/>
        <w:spacing w:line="536" w:lineRule="exact"/>
        <w:ind w:firstLine="643" w:firstLineChars="200"/>
        <w:jc w:val="left"/>
        <w:textAlignment w:val="auto"/>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（一）机构组成</w:t>
      </w:r>
    </w:p>
    <w:p w14:paraId="12CACD60">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茂县社会保险事业管理局是县政府综合管理全县社会保险工作的职能部门，承担政府职能的管理机构，为副科级财政全额拨款的（参公）事业单位。局内设“七个股室”，即综合办公室、稽核股、财务股、机关事业单位养老保险股、职业年金股、退管股、社会保险统一征收股。</w:t>
      </w:r>
    </w:p>
    <w:p w14:paraId="05E81975">
      <w:pPr>
        <w:keepNext w:val="0"/>
        <w:keepLines w:val="0"/>
        <w:pageBreakBefore w:val="0"/>
        <w:widowControl/>
        <w:kinsoku/>
        <w:wordWrap/>
        <w:overflowPunct/>
        <w:topLinePunct w:val="0"/>
        <w:autoSpaceDE/>
        <w:autoSpaceDN/>
        <w:bidi w:val="0"/>
        <w:adjustRightInd w:val="0"/>
        <w:snapToGrid w:val="0"/>
        <w:spacing w:line="536" w:lineRule="exact"/>
        <w:ind w:firstLine="643" w:firstLineChars="200"/>
        <w:jc w:val="left"/>
        <w:textAlignment w:val="auto"/>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（二）机构职能</w:t>
      </w:r>
    </w:p>
    <w:p w14:paraId="6046A796">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贯彻执行国家、省、州有关社会保险政策和法律、法规，负责全县企业基本养老保险、机关事业养老保险、职业年金、工伤保险等社会保险工作。</w:t>
      </w:r>
    </w:p>
    <w:p w14:paraId="2CA2A262">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1.负责辖区内参保单位和个人社会保险基金的征收、管理、审核等工作。</w:t>
      </w:r>
    </w:p>
    <w:p w14:paraId="10CC3986">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2.承办辖区参保单位社会保险登记、变更、注销。职工养老保险关系转移，灵活就业人员参保、续保工作。</w:t>
      </w:r>
    </w:p>
    <w:p w14:paraId="26C3261E">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3.审核参保职工养老、工伤申报资料，计算其待遇，按时足额发放待遇。</w:t>
      </w:r>
    </w:p>
    <w:p w14:paraId="484DEF30">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4.负责参保单位和个人养老、工伤保险的日常管理工作；负责社会保险数据、信息的处理和管理，参保个人帐户的建立和管理。</w:t>
      </w:r>
    </w:p>
    <w:p w14:paraId="07C4C6EE">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5.为参保单位和个人、提供有关养老、工伤保险的政策宣传咨询服务，受理群众来信来访。</w:t>
      </w:r>
    </w:p>
    <w:p w14:paraId="3A7B4D1F">
      <w:pPr>
        <w:keepNext w:val="0"/>
        <w:keepLines w:val="0"/>
        <w:pageBreakBefore w:val="0"/>
        <w:widowControl/>
        <w:kinsoku/>
        <w:wordWrap/>
        <w:overflowPunct/>
        <w:topLinePunct w:val="0"/>
        <w:autoSpaceDE/>
        <w:autoSpaceDN/>
        <w:bidi w:val="0"/>
        <w:adjustRightInd w:val="0"/>
        <w:snapToGrid w:val="0"/>
        <w:spacing w:line="536" w:lineRule="exact"/>
        <w:ind w:firstLine="643" w:firstLineChars="200"/>
        <w:jc w:val="left"/>
        <w:textAlignment w:val="auto"/>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（三）人员概况</w:t>
      </w:r>
    </w:p>
    <w:p w14:paraId="527FC883">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我局为财政全额拨款的一级预算副科级参公事业单位，核定参公编制33人。单位内设1名局长，7名股长；2024年实有在职人员29人，退休人员8人。</w:t>
      </w:r>
    </w:p>
    <w:p w14:paraId="6D32C029">
      <w:pPr>
        <w:keepNext w:val="0"/>
        <w:keepLines w:val="0"/>
        <w:pageBreakBefore w:val="0"/>
        <w:widowControl/>
        <w:kinsoku/>
        <w:wordWrap/>
        <w:overflowPunct/>
        <w:topLinePunct w:val="0"/>
        <w:autoSpaceDE/>
        <w:autoSpaceDN/>
        <w:bidi w:val="0"/>
        <w:adjustRightInd w:val="0"/>
        <w:snapToGrid w:val="0"/>
        <w:spacing w:line="536" w:lineRule="exact"/>
        <w:ind w:firstLine="640" w:firstLineChars="200"/>
        <w:contextualSpacing/>
        <w:jc w:val="left"/>
        <w:textAlignment w:val="auto"/>
        <w:rPr>
          <w:rFonts w:hint="eastAsia" w:ascii="黑体" w:eastAsia="黑体" w:cs="黑体"/>
          <w:color w:val="000000"/>
          <w:kern w:val="0"/>
          <w:sz w:val="32"/>
          <w:szCs w:val="32"/>
          <w:shd w:val="clear" w:color="auto" w:fill="FFFFFF"/>
        </w:rPr>
      </w:pPr>
      <w:r>
        <w:rPr>
          <w:rFonts w:hint="eastAsia" w:ascii="黑体" w:eastAsia="黑体" w:cs="黑体"/>
          <w:color w:val="000000"/>
          <w:kern w:val="0"/>
          <w:sz w:val="32"/>
          <w:szCs w:val="32"/>
          <w:shd w:val="clear" w:color="auto" w:fill="FFFFFF"/>
        </w:rPr>
        <w:t>二、部门资金收支情况</w:t>
      </w:r>
    </w:p>
    <w:p w14:paraId="5CC108FD">
      <w:pPr>
        <w:keepNext w:val="0"/>
        <w:keepLines w:val="0"/>
        <w:pageBreakBefore w:val="0"/>
        <w:widowControl/>
        <w:kinsoku/>
        <w:wordWrap/>
        <w:overflowPunct/>
        <w:topLinePunct w:val="0"/>
        <w:autoSpaceDE/>
        <w:autoSpaceDN/>
        <w:bidi w:val="0"/>
        <w:adjustRightInd w:val="0"/>
        <w:snapToGrid w:val="0"/>
        <w:spacing w:line="536" w:lineRule="exact"/>
        <w:ind w:firstLine="643" w:firstLineChars="200"/>
        <w:jc w:val="left"/>
        <w:textAlignment w:val="auto"/>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（一）收入情况</w:t>
      </w:r>
    </w:p>
    <w:p w14:paraId="30362090">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我局2024年年初预算收入377.03万元，上年年初预算收入336.53万元，比去年增加40.50万元；年末预算收入490.69万元。</w:t>
      </w:r>
    </w:p>
    <w:p w14:paraId="6926A6E0">
      <w:pPr>
        <w:keepNext w:val="0"/>
        <w:keepLines w:val="0"/>
        <w:pageBreakBefore w:val="0"/>
        <w:widowControl/>
        <w:kinsoku/>
        <w:wordWrap/>
        <w:overflowPunct/>
        <w:topLinePunct w:val="0"/>
        <w:autoSpaceDE/>
        <w:autoSpaceDN/>
        <w:bidi w:val="0"/>
        <w:adjustRightInd w:val="0"/>
        <w:snapToGrid w:val="0"/>
        <w:spacing w:line="536" w:lineRule="exact"/>
        <w:ind w:firstLine="643" w:firstLineChars="200"/>
        <w:jc w:val="left"/>
        <w:textAlignment w:val="auto"/>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（二）支出情况</w:t>
      </w:r>
    </w:p>
    <w:p w14:paraId="5698A2F7">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我局2024年年初预算支出数为377.03万元，上年支出预算数为336.53万元，比去年增加40.50万元。年末预算支出490.69万元。</w:t>
      </w:r>
    </w:p>
    <w:p w14:paraId="4884C816">
      <w:pPr>
        <w:keepNext w:val="0"/>
        <w:keepLines w:val="0"/>
        <w:pageBreakBefore w:val="0"/>
        <w:widowControl/>
        <w:kinsoku/>
        <w:wordWrap/>
        <w:overflowPunct/>
        <w:topLinePunct w:val="0"/>
        <w:autoSpaceDE/>
        <w:autoSpaceDN/>
        <w:bidi w:val="0"/>
        <w:adjustRightInd w:val="0"/>
        <w:snapToGrid w:val="0"/>
        <w:spacing w:line="536" w:lineRule="exact"/>
        <w:ind w:firstLine="643" w:firstLineChars="200"/>
        <w:jc w:val="left"/>
        <w:textAlignment w:val="auto"/>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w:t>
      </w:r>
      <w:r>
        <w:rPr>
          <w:rFonts w:hint="eastAsia" w:ascii="楷体" w:eastAsia="楷体" w:cs="楷体"/>
          <w:b/>
          <w:bCs/>
          <w:color w:val="000000"/>
          <w:kern w:val="0"/>
          <w:sz w:val="32"/>
          <w:szCs w:val="32"/>
          <w:shd w:val="clear" w:color="auto" w:fill="FFFFFF"/>
          <w:lang w:val="en-US" w:eastAsia="zh-CN"/>
        </w:rPr>
        <w:t>三</w:t>
      </w:r>
      <w:r>
        <w:rPr>
          <w:rFonts w:hint="eastAsia" w:ascii="楷体" w:eastAsia="楷体" w:cs="楷体"/>
          <w:b/>
          <w:bCs/>
          <w:color w:val="000000"/>
          <w:kern w:val="0"/>
          <w:sz w:val="32"/>
          <w:szCs w:val="32"/>
          <w:shd w:val="clear" w:color="auto" w:fill="FFFFFF"/>
          <w:lang w:val="zh-CN"/>
        </w:rPr>
        <w:t>）结余分配和结转结余情况</w:t>
      </w:r>
    </w:p>
    <w:p w14:paraId="7CC2931B">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2024年我局部门资金无结转结余。</w:t>
      </w:r>
    </w:p>
    <w:p w14:paraId="71365DF1">
      <w:pPr>
        <w:keepNext w:val="0"/>
        <w:keepLines w:val="0"/>
        <w:pageBreakBefore w:val="0"/>
        <w:widowControl/>
        <w:kinsoku/>
        <w:wordWrap/>
        <w:overflowPunct/>
        <w:topLinePunct w:val="0"/>
        <w:autoSpaceDE/>
        <w:autoSpaceDN/>
        <w:bidi w:val="0"/>
        <w:adjustRightInd w:val="0"/>
        <w:snapToGrid w:val="0"/>
        <w:spacing w:line="536" w:lineRule="exact"/>
        <w:ind w:firstLine="640" w:firstLineChars="200"/>
        <w:jc w:val="left"/>
        <w:textAlignment w:val="auto"/>
        <w:rPr>
          <w:rFonts w:hint="eastAsia" w:ascii="黑体" w:eastAsia="黑体" w:cs="黑体"/>
          <w:b w:val="0"/>
          <w:bCs w:val="0"/>
          <w:color w:val="000000"/>
          <w:kern w:val="0"/>
          <w:sz w:val="32"/>
          <w:szCs w:val="32"/>
          <w:shd w:val="clear" w:color="auto" w:fill="FFFFFF"/>
        </w:rPr>
      </w:pPr>
      <w:r>
        <w:rPr>
          <w:rFonts w:hint="eastAsia" w:ascii="黑体" w:eastAsia="黑体" w:cs="黑体"/>
          <w:b w:val="0"/>
          <w:bCs w:val="0"/>
          <w:color w:val="000000"/>
          <w:kern w:val="0"/>
          <w:sz w:val="32"/>
          <w:szCs w:val="32"/>
          <w:shd w:val="clear" w:color="auto" w:fill="FFFFFF"/>
        </w:rPr>
        <w:t>三、</w:t>
      </w:r>
      <w:r>
        <w:rPr>
          <w:rFonts w:hint="eastAsia" w:ascii="黑体" w:eastAsia="黑体" w:cs="黑体"/>
          <w:color w:val="000000"/>
          <w:kern w:val="0"/>
          <w:sz w:val="32"/>
          <w:szCs w:val="32"/>
          <w:shd w:val="clear" w:color="auto" w:fill="FFFFFF"/>
        </w:rPr>
        <w:t>部门预算绩效分析</w:t>
      </w:r>
    </w:p>
    <w:p w14:paraId="281B3E08">
      <w:pPr>
        <w:keepNext w:val="0"/>
        <w:keepLines w:val="0"/>
        <w:pageBreakBefore w:val="0"/>
        <w:widowControl/>
        <w:kinsoku/>
        <w:wordWrap/>
        <w:overflowPunct/>
        <w:topLinePunct w:val="0"/>
        <w:autoSpaceDE/>
        <w:autoSpaceDN/>
        <w:bidi w:val="0"/>
        <w:adjustRightInd w:val="0"/>
        <w:snapToGrid w:val="0"/>
        <w:spacing w:line="536" w:lineRule="exact"/>
        <w:ind w:firstLine="643" w:firstLineChars="200"/>
        <w:jc w:val="left"/>
        <w:textAlignment w:val="auto"/>
        <w:rPr>
          <w:rFonts w:hint="eastAsia" w:ascii="楷体" w:eastAsia="楷体" w:cs="楷体"/>
          <w:b/>
          <w:bCs/>
          <w:color w:val="000000"/>
          <w:kern w:val="0"/>
          <w:sz w:val="32"/>
          <w:szCs w:val="32"/>
          <w:shd w:val="clear" w:color="auto" w:fill="FFFFFF"/>
          <w:lang w:val="zh-CN" w:eastAsia="zh-CN"/>
        </w:rPr>
      </w:pPr>
      <w:r>
        <w:rPr>
          <w:rFonts w:hint="eastAsia" w:ascii="楷体" w:eastAsia="楷体" w:cs="楷体"/>
          <w:b/>
          <w:bCs/>
          <w:color w:val="000000"/>
          <w:kern w:val="0"/>
          <w:sz w:val="32"/>
          <w:szCs w:val="32"/>
          <w:shd w:val="clear" w:color="auto" w:fill="FFFFFF"/>
          <w:lang w:val="zh-CN" w:eastAsia="zh-CN"/>
        </w:rPr>
        <w:t>（一）部门预算总体绩效分析</w:t>
      </w:r>
    </w:p>
    <w:p w14:paraId="09BD17E6">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zh-CN" w:eastAsia="zh-CN" w:bidi="ar-SA"/>
        </w:rPr>
        <w:t>履职效能。</w:t>
      </w:r>
      <w:r>
        <w:rPr>
          <w:rFonts w:hint="eastAsia" w:ascii="仿宋_GB2312" w:hAnsi="Times New Roman" w:eastAsia="仿宋_GB2312" w:cs="仿宋"/>
          <w:color w:val="000000"/>
          <w:kern w:val="0"/>
          <w:sz w:val="32"/>
          <w:szCs w:val="32"/>
          <w:lang w:val="en-US" w:eastAsia="zh-CN" w:bidi="ar-SA"/>
        </w:rPr>
        <w:t>我局2024年认真贯彻执行国家、省、州有关社会保险政策和法律、法规，负责全县企业基本养老保险、机关事业养老保险、职业年金、工伤保险等社会保险工作。2024年企业职工养老保险参保13803人，完成年度扩面任务13700人的101%。工伤保险参保13179人，完成目标任务12600人的105%。</w:t>
      </w:r>
    </w:p>
    <w:p w14:paraId="21FDC823">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2.</w:t>
      </w:r>
      <w:r>
        <w:rPr>
          <w:rFonts w:hint="eastAsia" w:ascii="仿宋_GB2312" w:hAnsi="Times New Roman" w:eastAsia="仿宋_GB2312" w:cs="仿宋"/>
          <w:color w:val="000000"/>
          <w:kern w:val="0"/>
          <w:sz w:val="32"/>
          <w:szCs w:val="32"/>
          <w:lang w:val="zh-CN" w:eastAsia="zh-CN" w:bidi="ar-SA"/>
        </w:rPr>
        <w:t>预算管理</w:t>
      </w:r>
    </w:p>
    <w:p w14:paraId="0955C5FF">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1）我局严格按照财政部门预决算编制通知明确的范围、标准和单位的实际经费使用情况，严格按照定员定额的标准编制预决算，及时上报审核；（2）我局1至12月预算收入490.69万元，支出预算数为490.69万元，完成预算100%；（3）我局年终无预算结余；（4）</w:t>
      </w:r>
      <w:r>
        <w:rPr>
          <w:rFonts w:hint="eastAsia" w:ascii="仿宋_GB2312" w:hAnsi="Times New Roman" w:eastAsia="仿宋_GB2312" w:cs="仿宋"/>
          <w:color w:val="000000"/>
          <w:kern w:val="0"/>
          <w:sz w:val="32"/>
          <w:szCs w:val="32"/>
          <w:lang w:val="zh-CN" w:eastAsia="zh-CN" w:bidi="ar-SA"/>
        </w:rPr>
        <w:t>20</w:t>
      </w:r>
      <w:r>
        <w:rPr>
          <w:rFonts w:hint="eastAsia" w:ascii="仿宋_GB2312" w:hAnsi="Times New Roman" w:eastAsia="仿宋_GB2312" w:cs="仿宋"/>
          <w:color w:val="000000"/>
          <w:kern w:val="0"/>
          <w:sz w:val="32"/>
          <w:szCs w:val="32"/>
          <w:lang w:val="en-US" w:eastAsia="zh-CN" w:bidi="ar-SA"/>
        </w:rPr>
        <w:t>24</w:t>
      </w:r>
      <w:r>
        <w:rPr>
          <w:rFonts w:hint="eastAsia" w:ascii="仿宋_GB2312" w:hAnsi="Times New Roman" w:eastAsia="仿宋_GB2312" w:cs="仿宋"/>
          <w:color w:val="000000"/>
          <w:kern w:val="0"/>
          <w:sz w:val="32"/>
          <w:szCs w:val="32"/>
          <w:lang w:val="zh-CN" w:eastAsia="zh-CN" w:bidi="ar-SA"/>
        </w:rPr>
        <w:t>年我</w:t>
      </w:r>
      <w:r>
        <w:rPr>
          <w:rFonts w:hint="eastAsia" w:ascii="仿宋_GB2312" w:hAnsi="Times New Roman" w:eastAsia="仿宋_GB2312" w:cs="仿宋"/>
          <w:color w:val="000000"/>
          <w:kern w:val="0"/>
          <w:sz w:val="32"/>
          <w:szCs w:val="32"/>
          <w:lang w:val="en-US" w:eastAsia="zh-CN" w:bidi="ar-SA"/>
        </w:rPr>
        <w:t>局</w:t>
      </w:r>
      <w:r>
        <w:rPr>
          <w:rFonts w:hint="eastAsia" w:ascii="仿宋_GB2312" w:hAnsi="Times New Roman" w:eastAsia="仿宋_GB2312" w:cs="仿宋"/>
          <w:color w:val="000000"/>
          <w:kern w:val="0"/>
          <w:sz w:val="32"/>
          <w:szCs w:val="32"/>
          <w:lang w:val="zh-CN" w:eastAsia="zh-CN" w:bidi="ar-SA"/>
        </w:rPr>
        <w:t>继续</w:t>
      </w:r>
      <w:r>
        <w:rPr>
          <w:rFonts w:hint="eastAsia" w:ascii="仿宋_GB2312" w:hAnsi="Times New Roman" w:eastAsia="仿宋_GB2312" w:cs="仿宋"/>
          <w:color w:val="000000"/>
          <w:kern w:val="0"/>
          <w:sz w:val="32"/>
          <w:szCs w:val="32"/>
          <w:lang w:val="en-US" w:eastAsia="zh-CN" w:bidi="ar-SA"/>
        </w:rPr>
        <w:t>规范预算支出管理。坚持预算刚性原则，严格执行先有预算后有支出，未经批准不得调整预算；严控执行中央出台新的增支政策和预算追加事项，严把支出关，</w:t>
      </w:r>
      <w:r>
        <w:rPr>
          <w:rFonts w:hint="eastAsia" w:ascii="仿宋_GB2312" w:hAnsi="Times New Roman" w:eastAsia="仿宋_GB2312" w:cs="仿宋"/>
          <w:color w:val="000000"/>
          <w:kern w:val="0"/>
          <w:sz w:val="32"/>
          <w:szCs w:val="32"/>
          <w:lang w:val="zh-CN" w:eastAsia="zh-CN" w:bidi="ar-SA"/>
        </w:rPr>
        <w:t>20</w:t>
      </w:r>
      <w:r>
        <w:rPr>
          <w:rFonts w:hint="eastAsia" w:ascii="仿宋_GB2312" w:hAnsi="Times New Roman" w:eastAsia="仿宋_GB2312" w:cs="仿宋"/>
          <w:color w:val="000000"/>
          <w:kern w:val="0"/>
          <w:sz w:val="32"/>
          <w:szCs w:val="32"/>
          <w:lang w:val="en-US" w:eastAsia="zh-CN" w:bidi="ar-SA"/>
        </w:rPr>
        <w:t>24</w:t>
      </w:r>
      <w:r>
        <w:rPr>
          <w:rFonts w:hint="eastAsia" w:ascii="仿宋_GB2312" w:hAnsi="Times New Roman" w:eastAsia="仿宋_GB2312" w:cs="仿宋"/>
          <w:color w:val="000000"/>
          <w:kern w:val="0"/>
          <w:sz w:val="32"/>
          <w:szCs w:val="32"/>
          <w:lang w:val="zh-CN" w:eastAsia="zh-CN" w:bidi="ar-SA"/>
        </w:rPr>
        <w:t>年我单位全年“三公”经费、会议、办节办展、信息网络及软件购置更新、课题经费预算支出</w:t>
      </w:r>
      <w:r>
        <w:rPr>
          <w:rFonts w:hint="eastAsia" w:ascii="仿宋_GB2312" w:hAnsi="Times New Roman" w:eastAsia="仿宋_GB2312" w:cs="仿宋"/>
          <w:color w:val="000000"/>
          <w:kern w:val="0"/>
          <w:sz w:val="32"/>
          <w:szCs w:val="32"/>
          <w:lang w:val="en-US" w:eastAsia="zh-CN" w:bidi="ar-SA"/>
        </w:rPr>
        <w:t>0.03万</w:t>
      </w:r>
      <w:r>
        <w:rPr>
          <w:rFonts w:hint="eastAsia" w:ascii="仿宋_GB2312" w:hAnsi="Times New Roman" w:eastAsia="仿宋_GB2312" w:cs="仿宋"/>
          <w:color w:val="000000"/>
          <w:kern w:val="0"/>
          <w:sz w:val="32"/>
          <w:szCs w:val="32"/>
          <w:lang w:val="zh-CN" w:eastAsia="zh-CN" w:bidi="ar-SA"/>
        </w:rPr>
        <w:t>元、</w:t>
      </w:r>
      <w:r>
        <w:rPr>
          <w:rFonts w:hint="eastAsia" w:ascii="仿宋_GB2312" w:hAnsi="Times New Roman" w:eastAsia="仿宋_GB2312" w:cs="仿宋"/>
          <w:color w:val="000000"/>
          <w:kern w:val="0"/>
          <w:sz w:val="32"/>
          <w:szCs w:val="32"/>
          <w:lang w:val="en-US" w:eastAsia="zh-CN" w:bidi="ar-SA"/>
        </w:rPr>
        <w:t>培训费支出0.07万元、差旅费支出3.29万元</w:t>
      </w:r>
      <w:r>
        <w:rPr>
          <w:rFonts w:hint="eastAsia" w:ascii="仿宋_GB2312" w:hAnsi="Times New Roman" w:eastAsia="仿宋_GB2312" w:cs="仿宋"/>
          <w:color w:val="000000"/>
          <w:kern w:val="0"/>
          <w:sz w:val="32"/>
          <w:szCs w:val="32"/>
          <w:lang w:val="zh-CN" w:eastAsia="zh-CN" w:bidi="ar-SA"/>
        </w:rPr>
        <w:t>。</w:t>
      </w:r>
    </w:p>
    <w:p w14:paraId="48BA1C3E">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3.</w:t>
      </w:r>
      <w:r>
        <w:rPr>
          <w:rFonts w:hint="eastAsia" w:ascii="仿宋_GB2312" w:hAnsi="Times New Roman" w:eastAsia="仿宋_GB2312" w:cs="仿宋"/>
          <w:color w:val="000000"/>
          <w:kern w:val="0"/>
          <w:sz w:val="32"/>
          <w:szCs w:val="32"/>
          <w:lang w:val="zh-CN" w:eastAsia="zh-CN" w:bidi="ar-SA"/>
        </w:rPr>
        <w:t>财务管理</w:t>
      </w:r>
    </w:p>
    <w:p w14:paraId="0F4EA30A">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我局财务管理制度健全，建立完善的部门经费相关制度以及详细的财务管理工作制度。部门财务岗位设置符合相关财务管理制度要求，部门资金使用符合相关财务管理制度规定，做到了账证、账账、账表和账实一致</w:t>
      </w:r>
    </w:p>
    <w:p w14:paraId="4A234C51">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zh-CN" w:eastAsia="zh-CN" w:bidi="ar-SA"/>
        </w:rPr>
        <w:t>资产管理</w:t>
      </w:r>
    </w:p>
    <w:p w14:paraId="4D41091E">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进一步加强机关资产管理，单位所有固定资产由专人负责登记管理，办公室负责对单位固定资产实物情况进行全面管理；单位财务人员负责对固定资产账面价值进行审核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w:t>
      </w:r>
    </w:p>
    <w:p w14:paraId="19B8F423">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5.</w:t>
      </w:r>
      <w:r>
        <w:rPr>
          <w:rFonts w:hint="eastAsia" w:ascii="仿宋_GB2312" w:hAnsi="Times New Roman" w:eastAsia="仿宋_GB2312" w:cs="仿宋"/>
          <w:color w:val="000000"/>
          <w:kern w:val="0"/>
          <w:sz w:val="32"/>
          <w:szCs w:val="32"/>
          <w:lang w:val="zh-CN" w:eastAsia="zh-CN" w:bidi="ar-SA"/>
        </w:rPr>
        <w:t>采购管理</w:t>
      </w:r>
    </w:p>
    <w:p w14:paraId="4AAD2F98">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我局在20</w:t>
      </w:r>
      <w:r>
        <w:rPr>
          <w:rFonts w:hint="eastAsia" w:ascii="仿宋_GB2312" w:hAnsi="Times New Roman" w:eastAsia="仿宋_GB2312" w:cs="仿宋"/>
          <w:color w:val="000000"/>
          <w:kern w:val="0"/>
          <w:sz w:val="32"/>
          <w:szCs w:val="32"/>
          <w:lang w:val="en-US" w:eastAsia="zh-CN" w:bidi="ar-SA"/>
        </w:rPr>
        <w:t>24</w:t>
      </w:r>
      <w:r>
        <w:rPr>
          <w:rFonts w:hint="eastAsia" w:ascii="仿宋_GB2312" w:hAnsi="Times New Roman" w:eastAsia="仿宋_GB2312" w:cs="仿宋"/>
          <w:color w:val="000000"/>
          <w:kern w:val="0"/>
          <w:sz w:val="32"/>
          <w:szCs w:val="32"/>
          <w:lang w:val="zh-CN" w:eastAsia="zh-CN" w:bidi="ar-SA"/>
        </w:rPr>
        <w:t>年</w:t>
      </w:r>
      <w:r>
        <w:rPr>
          <w:rFonts w:hint="eastAsia" w:ascii="仿宋_GB2312" w:hAnsi="Times New Roman" w:eastAsia="仿宋_GB2312" w:cs="仿宋"/>
          <w:color w:val="000000"/>
          <w:kern w:val="0"/>
          <w:sz w:val="32"/>
          <w:szCs w:val="32"/>
          <w:lang w:val="en-US" w:eastAsia="zh-CN" w:bidi="ar-SA"/>
        </w:rPr>
        <w:t>我局未进行采购</w:t>
      </w:r>
      <w:r>
        <w:rPr>
          <w:rFonts w:hint="eastAsia" w:ascii="仿宋_GB2312" w:hAnsi="Times New Roman" w:eastAsia="仿宋_GB2312" w:cs="仿宋"/>
          <w:color w:val="000000"/>
          <w:kern w:val="0"/>
          <w:sz w:val="32"/>
          <w:szCs w:val="32"/>
          <w:lang w:val="zh-CN" w:eastAsia="zh-CN" w:bidi="ar-SA"/>
        </w:rPr>
        <w:t>。</w:t>
      </w:r>
    </w:p>
    <w:p w14:paraId="152BE090">
      <w:pPr>
        <w:keepNext w:val="0"/>
        <w:keepLines w:val="0"/>
        <w:pageBreakBefore w:val="0"/>
        <w:widowControl/>
        <w:kinsoku/>
        <w:wordWrap/>
        <w:overflowPunct/>
        <w:topLinePunct w:val="0"/>
        <w:autoSpaceDE/>
        <w:autoSpaceDN/>
        <w:bidi w:val="0"/>
        <w:adjustRightInd w:val="0"/>
        <w:snapToGrid w:val="0"/>
        <w:spacing w:line="536" w:lineRule="exact"/>
        <w:ind w:firstLine="643" w:firstLineChars="200"/>
        <w:jc w:val="left"/>
        <w:textAlignment w:val="auto"/>
        <w:rPr>
          <w:rFonts w:hint="eastAsia" w:ascii="楷体" w:eastAsia="楷体" w:cs="楷体"/>
          <w:b/>
          <w:bCs/>
          <w:color w:val="000000"/>
          <w:kern w:val="0"/>
          <w:sz w:val="32"/>
          <w:szCs w:val="32"/>
          <w:shd w:val="clear" w:color="auto" w:fill="FFFFFF"/>
          <w:lang w:val="zh-CN" w:eastAsia="zh-CN"/>
        </w:rPr>
      </w:pPr>
      <w:r>
        <w:rPr>
          <w:rFonts w:hint="eastAsia" w:ascii="楷体" w:eastAsia="楷体" w:cs="楷体"/>
          <w:b/>
          <w:bCs/>
          <w:color w:val="000000"/>
          <w:kern w:val="0"/>
          <w:sz w:val="32"/>
          <w:szCs w:val="32"/>
          <w:shd w:val="clear" w:color="auto" w:fill="FFFFFF"/>
          <w:lang w:val="zh-CN" w:eastAsia="zh-CN"/>
        </w:rPr>
        <w:t>（二）部门预算项目绩效分析</w:t>
      </w:r>
    </w:p>
    <w:p w14:paraId="19422215">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常年项目绩效分析。该类项目总数</w:t>
      </w:r>
      <w:r>
        <w:rPr>
          <w:rFonts w:hint="eastAsia" w:ascii="仿宋_GB2312" w:hAnsi="Times New Roman" w:eastAsia="仿宋_GB2312" w:cs="仿宋"/>
          <w:color w:val="000000"/>
          <w:kern w:val="0"/>
          <w:sz w:val="32"/>
          <w:szCs w:val="32"/>
          <w:lang w:val="en-US" w:eastAsia="zh-CN" w:bidi="ar-SA"/>
        </w:rPr>
        <w:t>22</w:t>
      </w:r>
      <w:r>
        <w:rPr>
          <w:rFonts w:hint="eastAsia" w:ascii="仿宋_GB2312" w:hAnsi="Times New Roman" w:eastAsia="仿宋_GB2312" w:cs="仿宋"/>
          <w:color w:val="000000"/>
          <w:kern w:val="0"/>
          <w:sz w:val="32"/>
          <w:szCs w:val="32"/>
          <w:lang w:val="zh-CN" w:eastAsia="zh-CN" w:bidi="ar-SA"/>
        </w:rPr>
        <w:t>个，涉及预算总金额</w:t>
      </w:r>
      <w:r>
        <w:rPr>
          <w:rFonts w:hint="eastAsia" w:ascii="仿宋_GB2312" w:hAnsi="Times New Roman" w:eastAsia="仿宋_GB2312" w:cs="仿宋"/>
          <w:color w:val="000000"/>
          <w:kern w:val="0"/>
          <w:sz w:val="32"/>
          <w:szCs w:val="32"/>
          <w:lang w:val="en-US" w:eastAsia="zh-CN" w:bidi="ar-SA"/>
        </w:rPr>
        <w:t>490.69</w:t>
      </w:r>
      <w:r>
        <w:rPr>
          <w:rFonts w:hint="eastAsia" w:ascii="仿宋_GB2312" w:hAnsi="Times New Roman" w:eastAsia="仿宋_GB2312" w:cs="仿宋"/>
          <w:color w:val="000000"/>
          <w:kern w:val="0"/>
          <w:sz w:val="32"/>
          <w:szCs w:val="32"/>
          <w:lang w:val="zh-CN" w:eastAsia="zh-CN" w:bidi="ar-SA"/>
        </w:rPr>
        <w:t>万元，1—12月预算执行总体进度为</w:t>
      </w:r>
      <w:r>
        <w:rPr>
          <w:rFonts w:hint="eastAsia" w:ascii="仿宋_GB2312" w:hAnsi="Times New Roman" w:eastAsia="仿宋_GB2312" w:cs="仿宋"/>
          <w:color w:val="000000"/>
          <w:kern w:val="0"/>
          <w:sz w:val="32"/>
          <w:szCs w:val="32"/>
          <w:lang w:val="en-US" w:eastAsia="zh-CN" w:bidi="ar-SA"/>
        </w:rPr>
        <w:t>100</w:t>
      </w:r>
      <w:r>
        <w:rPr>
          <w:rFonts w:hint="eastAsia" w:ascii="仿宋_GB2312" w:hAnsi="Times New Roman" w:eastAsia="仿宋_GB2312" w:cs="仿宋"/>
          <w:color w:val="000000"/>
          <w:kern w:val="0"/>
          <w:sz w:val="32"/>
          <w:szCs w:val="32"/>
          <w:lang w:val="zh-CN" w:eastAsia="zh-CN" w:bidi="ar-SA"/>
        </w:rPr>
        <w:t>%，其中：预算结余率大于10%的项目共计</w:t>
      </w:r>
      <w:r>
        <w:rPr>
          <w:rFonts w:hint="eastAsia" w:ascii="仿宋_GB2312" w:hAnsi="Times New Roman" w:eastAsia="仿宋_GB2312" w:cs="仿宋"/>
          <w:color w:val="000000"/>
          <w:kern w:val="0"/>
          <w:sz w:val="32"/>
          <w:szCs w:val="32"/>
          <w:lang w:val="en-US" w:eastAsia="zh-CN" w:bidi="ar-SA"/>
        </w:rPr>
        <w:t>0</w:t>
      </w:r>
      <w:r>
        <w:rPr>
          <w:rFonts w:hint="eastAsia" w:ascii="仿宋_GB2312" w:hAnsi="Times New Roman" w:eastAsia="仿宋_GB2312" w:cs="仿宋"/>
          <w:color w:val="000000"/>
          <w:kern w:val="0"/>
          <w:sz w:val="32"/>
          <w:szCs w:val="32"/>
          <w:lang w:val="zh-CN" w:eastAsia="zh-CN" w:bidi="ar-SA"/>
        </w:rPr>
        <w:t>个。</w:t>
      </w:r>
    </w:p>
    <w:p w14:paraId="53E3F19E">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阶段（一次性）项目绩效分析。</w:t>
      </w:r>
      <w:r>
        <w:rPr>
          <w:rFonts w:hint="eastAsia" w:ascii="仿宋_GB2312" w:hAnsi="Times New Roman" w:eastAsia="仿宋_GB2312" w:cs="仿宋"/>
          <w:color w:val="000000"/>
          <w:kern w:val="0"/>
          <w:sz w:val="32"/>
          <w:szCs w:val="32"/>
          <w:lang w:val="en-US" w:eastAsia="zh-CN" w:bidi="ar-SA"/>
        </w:rPr>
        <w:t>我局2024年不涉及</w:t>
      </w:r>
      <w:r>
        <w:rPr>
          <w:rFonts w:hint="eastAsia" w:ascii="仿宋_GB2312" w:hAnsi="Times New Roman" w:eastAsia="仿宋_GB2312" w:cs="仿宋"/>
          <w:color w:val="000000"/>
          <w:kern w:val="0"/>
          <w:sz w:val="32"/>
          <w:szCs w:val="32"/>
          <w:lang w:val="zh-CN" w:eastAsia="zh-CN" w:bidi="ar-SA"/>
        </w:rPr>
        <w:t>阶段（一次性）项目。</w:t>
      </w:r>
    </w:p>
    <w:p w14:paraId="6B3E4C69">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zh-CN" w:eastAsia="zh-CN" w:bidi="ar-SA"/>
        </w:rPr>
        <w:t>项目决策</w:t>
      </w:r>
    </w:p>
    <w:p w14:paraId="6C5549B6">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部门预算项目设立按规定履行评估论证、申报程序，部门预算项目绩效目标与计划期内的任务量、预算安排的资金</w:t>
      </w:r>
      <w:r>
        <w:rPr>
          <w:rFonts w:hint="eastAsia" w:ascii="仿宋_GB2312" w:hAnsi="Times New Roman" w:eastAsia="仿宋_GB2312" w:cs="仿宋"/>
          <w:color w:val="000000"/>
          <w:kern w:val="0"/>
          <w:sz w:val="32"/>
          <w:szCs w:val="32"/>
          <w:lang w:val="en-US" w:eastAsia="zh-CN" w:bidi="ar-SA"/>
        </w:rPr>
        <w:t>一致</w:t>
      </w:r>
      <w:r>
        <w:rPr>
          <w:rFonts w:hint="eastAsia" w:ascii="仿宋_GB2312" w:hAnsi="Times New Roman" w:eastAsia="仿宋_GB2312" w:cs="仿宋"/>
          <w:color w:val="000000"/>
          <w:kern w:val="0"/>
          <w:sz w:val="32"/>
          <w:szCs w:val="32"/>
          <w:lang w:val="zh-CN" w:eastAsia="zh-CN" w:bidi="ar-SA"/>
        </w:rPr>
        <w:t>，绩效目标设置科学合理、规范完整、量化细化、预算匹配，部门预算项目</w:t>
      </w:r>
      <w:r>
        <w:rPr>
          <w:rFonts w:hint="eastAsia" w:ascii="仿宋_GB2312" w:hAnsi="Times New Roman" w:eastAsia="仿宋_GB2312" w:cs="仿宋"/>
          <w:color w:val="000000"/>
          <w:kern w:val="0"/>
          <w:sz w:val="32"/>
          <w:szCs w:val="32"/>
          <w:lang w:val="en-US" w:eastAsia="zh-CN" w:bidi="ar-SA"/>
        </w:rPr>
        <w:t>均</w:t>
      </w:r>
      <w:r>
        <w:rPr>
          <w:rFonts w:hint="eastAsia" w:ascii="仿宋_GB2312" w:hAnsi="Times New Roman" w:eastAsia="仿宋_GB2312" w:cs="仿宋"/>
          <w:color w:val="000000"/>
          <w:kern w:val="0"/>
          <w:sz w:val="32"/>
          <w:szCs w:val="32"/>
          <w:lang w:val="zh-CN" w:eastAsia="zh-CN" w:bidi="ar-SA"/>
        </w:rPr>
        <w:t>在规定时间完成项目入库。</w:t>
      </w:r>
    </w:p>
    <w:p w14:paraId="0862D34D">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2.项目执行</w:t>
      </w:r>
    </w:p>
    <w:p w14:paraId="2CBA8BA6">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部门预算项目实际列支内容与绩效目标设置方向相符，部门预算项目</w:t>
      </w:r>
      <w:r>
        <w:rPr>
          <w:rFonts w:hint="eastAsia" w:ascii="仿宋_GB2312" w:hAnsi="Times New Roman" w:eastAsia="仿宋_GB2312" w:cs="仿宋"/>
          <w:color w:val="000000"/>
          <w:kern w:val="0"/>
          <w:sz w:val="32"/>
          <w:szCs w:val="32"/>
          <w:lang w:val="en-US" w:eastAsia="zh-CN" w:bidi="ar-SA"/>
        </w:rPr>
        <w:t>没有</w:t>
      </w:r>
      <w:r>
        <w:rPr>
          <w:rFonts w:hint="eastAsia" w:ascii="仿宋_GB2312" w:hAnsi="Times New Roman" w:eastAsia="仿宋_GB2312" w:cs="仿宋"/>
          <w:color w:val="000000"/>
          <w:kern w:val="0"/>
          <w:sz w:val="32"/>
          <w:szCs w:val="32"/>
          <w:lang w:val="zh-CN" w:eastAsia="zh-CN" w:bidi="ar-SA"/>
        </w:rPr>
        <w:t>采取对应调整措施。</w:t>
      </w:r>
    </w:p>
    <w:p w14:paraId="144F4AD9">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3.</w:t>
      </w:r>
      <w:r>
        <w:rPr>
          <w:rFonts w:hint="eastAsia" w:ascii="仿宋_GB2312" w:hAnsi="Times New Roman" w:eastAsia="仿宋_GB2312" w:cs="仿宋"/>
          <w:color w:val="000000"/>
          <w:kern w:val="0"/>
          <w:sz w:val="32"/>
          <w:szCs w:val="32"/>
          <w:lang w:val="zh-CN" w:eastAsia="zh-CN" w:bidi="ar-SA"/>
        </w:rPr>
        <w:t>目标实现</w:t>
      </w:r>
    </w:p>
    <w:p w14:paraId="3E07649F">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项目支出绩效自评结果良好，项目如期完成了预定的绩效目标。</w:t>
      </w:r>
    </w:p>
    <w:p w14:paraId="31B54E3E">
      <w:pPr>
        <w:keepNext w:val="0"/>
        <w:keepLines w:val="0"/>
        <w:pageBreakBefore w:val="0"/>
        <w:widowControl/>
        <w:numPr>
          <w:ilvl w:val="0"/>
          <w:numId w:val="3"/>
        </w:numPr>
        <w:kinsoku/>
        <w:wordWrap/>
        <w:overflowPunct/>
        <w:topLinePunct w:val="0"/>
        <w:autoSpaceDE/>
        <w:autoSpaceDN/>
        <w:bidi w:val="0"/>
        <w:adjustRightInd w:val="0"/>
        <w:snapToGrid w:val="0"/>
        <w:spacing w:line="536" w:lineRule="exact"/>
        <w:ind w:left="0" w:firstLine="643" w:firstLineChars="200"/>
        <w:contextualSpacing/>
        <w:jc w:val="left"/>
        <w:textAlignment w:val="auto"/>
        <w:rPr>
          <w:rFonts w:hint="eastAsia" w:ascii="楷体" w:eastAsia="楷体" w:cs="楷体"/>
          <w:b/>
          <w:bCs/>
          <w:color w:val="000000"/>
          <w:kern w:val="0"/>
          <w:sz w:val="32"/>
          <w:szCs w:val="32"/>
          <w:shd w:val="clear" w:color="auto" w:fill="FFFFFF"/>
          <w:lang w:val="zh-CN" w:eastAsia="zh-CN"/>
        </w:rPr>
      </w:pPr>
      <w:r>
        <w:rPr>
          <w:rFonts w:hint="eastAsia" w:ascii="楷体" w:eastAsia="楷体" w:cs="楷体"/>
          <w:b/>
          <w:bCs/>
          <w:color w:val="000000"/>
          <w:kern w:val="0"/>
          <w:sz w:val="32"/>
          <w:szCs w:val="32"/>
          <w:shd w:val="clear" w:color="auto" w:fill="FFFFFF"/>
          <w:lang w:val="zh-CN" w:eastAsia="zh-CN"/>
        </w:rPr>
        <w:t>重点领域绩效分析</w:t>
      </w:r>
    </w:p>
    <w:p w14:paraId="06B83D86">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我局</w:t>
      </w:r>
      <w:r>
        <w:rPr>
          <w:rFonts w:hint="eastAsia" w:ascii="仿宋_GB2312" w:hAnsi="Times New Roman" w:eastAsia="仿宋_GB2312" w:cs="仿宋"/>
          <w:color w:val="000000"/>
          <w:kern w:val="0"/>
          <w:sz w:val="32"/>
          <w:szCs w:val="32"/>
          <w:lang w:val="zh-CN" w:eastAsia="zh-CN" w:bidi="ar-SA"/>
        </w:rPr>
        <w:t>202</w:t>
      </w:r>
      <w:r>
        <w:rPr>
          <w:rFonts w:hint="eastAsia" w:ascii="仿宋_GB2312" w:hAnsi="Times New Roman"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zh-CN" w:eastAsia="zh-CN" w:bidi="ar-SA"/>
        </w:rPr>
        <w:t>年度</w:t>
      </w:r>
      <w:r>
        <w:rPr>
          <w:rFonts w:hint="eastAsia" w:ascii="仿宋_GB2312" w:hAnsi="Times New Roman" w:eastAsia="仿宋_GB2312" w:cs="仿宋"/>
          <w:color w:val="000000"/>
          <w:kern w:val="0"/>
          <w:sz w:val="32"/>
          <w:szCs w:val="32"/>
          <w:lang w:val="en-US" w:eastAsia="zh-CN" w:bidi="ar-SA"/>
        </w:rPr>
        <w:t>不</w:t>
      </w:r>
      <w:r>
        <w:rPr>
          <w:rFonts w:hint="eastAsia" w:ascii="仿宋_GB2312" w:hAnsi="Times New Roman" w:eastAsia="仿宋_GB2312" w:cs="仿宋"/>
          <w:color w:val="000000"/>
          <w:kern w:val="0"/>
          <w:sz w:val="32"/>
          <w:szCs w:val="32"/>
          <w:lang w:val="zh-CN" w:eastAsia="zh-CN" w:bidi="ar-SA"/>
        </w:rPr>
        <w:t>涉及国有资本、行政事业性国有资产、债券资金、政府采购和政府购买服务。</w:t>
      </w:r>
    </w:p>
    <w:p w14:paraId="736106A0">
      <w:pPr>
        <w:keepNext w:val="0"/>
        <w:keepLines w:val="0"/>
        <w:pageBreakBefore w:val="0"/>
        <w:widowControl/>
        <w:kinsoku/>
        <w:wordWrap/>
        <w:overflowPunct/>
        <w:topLinePunct w:val="0"/>
        <w:autoSpaceDE/>
        <w:autoSpaceDN/>
        <w:bidi w:val="0"/>
        <w:adjustRightInd w:val="0"/>
        <w:snapToGrid w:val="0"/>
        <w:spacing w:line="536" w:lineRule="exact"/>
        <w:ind w:firstLine="643" w:firstLineChars="200"/>
        <w:contextualSpacing/>
        <w:jc w:val="left"/>
        <w:textAlignment w:val="auto"/>
        <w:rPr>
          <w:rFonts w:hint="eastAsia" w:ascii="楷体" w:eastAsia="楷体" w:cs="楷体"/>
          <w:b/>
          <w:bCs/>
          <w:color w:val="000000"/>
          <w:kern w:val="0"/>
          <w:sz w:val="32"/>
          <w:szCs w:val="32"/>
          <w:shd w:val="clear" w:color="auto" w:fill="FFFFFF"/>
          <w:lang w:val="zh-CN" w:eastAsia="zh-CN"/>
        </w:rPr>
      </w:pPr>
      <w:r>
        <w:rPr>
          <w:rFonts w:hint="eastAsia" w:ascii="楷体" w:eastAsia="楷体" w:cs="楷体"/>
          <w:b/>
          <w:bCs/>
          <w:color w:val="000000"/>
          <w:kern w:val="0"/>
          <w:sz w:val="32"/>
          <w:szCs w:val="32"/>
          <w:shd w:val="clear" w:color="auto" w:fill="FFFFFF"/>
          <w:lang w:val="zh-CN" w:eastAsia="zh-CN"/>
        </w:rPr>
        <w:t>（四）绩效结果应用情况</w:t>
      </w:r>
    </w:p>
    <w:p w14:paraId="1C258DB7">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财政支出绩效评价结果的运用是判断评价工作能否取得成效的主要依据，也是保证这项工作持续、深入发展的基本前提。结合202</w:t>
      </w:r>
      <w:r>
        <w:rPr>
          <w:rFonts w:hint="eastAsia" w:ascii="仿宋_GB2312" w:hAnsi="Times New Roman"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zh-CN" w:eastAsia="zh-CN" w:bidi="ar-SA"/>
        </w:rPr>
        <w:t>年度绩效自评结果，一是对评价结果优秀且绩效突出的，总结相关工作经验，并在安排后续资金时给与充分保障。二是对下一步需要进一步改进的工作，在对存在的问题整改后，转变相关工作思路，提升工作效率。</w:t>
      </w:r>
    </w:p>
    <w:p w14:paraId="3064B389">
      <w:pPr>
        <w:keepNext w:val="0"/>
        <w:keepLines w:val="0"/>
        <w:pageBreakBefore w:val="0"/>
        <w:widowControl/>
        <w:kinsoku/>
        <w:wordWrap/>
        <w:overflowPunct/>
        <w:topLinePunct w:val="0"/>
        <w:autoSpaceDE/>
        <w:autoSpaceDN/>
        <w:bidi w:val="0"/>
        <w:adjustRightInd w:val="0"/>
        <w:snapToGrid w:val="0"/>
        <w:spacing w:line="536" w:lineRule="exact"/>
        <w:ind w:firstLine="640" w:firstLineChars="200"/>
        <w:jc w:val="left"/>
        <w:textAlignment w:val="auto"/>
        <w:rPr>
          <w:rFonts w:hint="eastAsia" w:ascii="黑体" w:eastAsia="黑体" w:cs="黑体"/>
          <w:b w:val="0"/>
          <w:bCs w:val="0"/>
          <w:color w:val="000000"/>
          <w:kern w:val="0"/>
          <w:sz w:val="32"/>
          <w:szCs w:val="32"/>
          <w:shd w:val="clear" w:color="auto" w:fill="FFFFFF"/>
        </w:rPr>
      </w:pPr>
      <w:r>
        <w:rPr>
          <w:rFonts w:hint="eastAsia" w:ascii="黑体" w:eastAsia="黑体" w:cs="黑体"/>
          <w:b w:val="0"/>
          <w:bCs w:val="0"/>
          <w:color w:val="000000"/>
          <w:kern w:val="0"/>
          <w:sz w:val="32"/>
          <w:szCs w:val="32"/>
          <w:shd w:val="clear" w:color="auto" w:fill="FFFFFF"/>
        </w:rPr>
        <w:t>四、评价结论及建议</w:t>
      </w:r>
    </w:p>
    <w:p w14:paraId="148EA93B">
      <w:pPr>
        <w:keepNext w:val="0"/>
        <w:keepLines w:val="0"/>
        <w:pageBreakBefore w:val="0"/>
        <w:widowControl/>
        <w:kinsoku/>
        <w:wordWrap/>
        <w:overflowPunct/>
        <w:topLinePunct w:val="0"/>
        <w:autoSpaceDE/>
        <w:autoSpaceDN/>
        <w:bidi w:val="0"/>
        <w:adjustRightInd w:val="0"/>
        <w:snapToGrid w:val="0"/>
        <w:spacing w:line="536" w:lineRule="exact"/>
        <w:ind w:firstLine="643" w:firstLineChars="200"/>
        <w:jc w:val="left"/>
        <w:textAlignment w:val="auto"/>
        <w:rPr>
          <w:rFonts w:hint="eastAsia" w:ascii="楷体" w:eastAsia="楷体" w:cs="楷体"/>
          <w:b/>
          <w:bCs/>
          <w:color w:val="000000"/>
          <w:kern w:val="0"/>
          <w:sz w:val="32"/>
          <w:szCs w:val="32"/>
          <w:shd w:val="clear" w:color="auto" w:fill="FFFFFF"/>
          <w:lang w:val="zh-CN"/>
        </w:rPr>
      </w:pPr>
      <w:bookmarkStart w:id="52" w:name="_Hlk110546638"/>
      <w:r>
        <w:rPr>
          <w:rFonts w:hint="eastAsia" w:ascii="楷体" w:eastAsia="楷体" w:cs="楷体"/>
          <w:b/>
          <w:bCs/>
          <w:color w:val="000000"/>
          <w:kern w:val="0"/>
          <w:sz w:val="32"/>
          <w:szCs w:val="32"/>
          <w:shd w:val="clear" w:color="auto" w:fill="FFFFFF"/>
          <w:lang w:val="zh-CN"/>
        </w:rPr>
        <w:t>（一）评价结论</w:t>
      </w:r>
    </w:p>
    <w:p w14:paraId="660A3CE7">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我局2024年</w:t>
      </w:r>
      <w:r>
        <w:rPr>
          <w:rFonts w:hint="eastAsia" w:ascii="仿宋_GB2312" w:hAnsi="Times New Roman" w:eastAsia="仿宋_GB2312" w:cs="仿宋"/>
          <w:color w:val="000000"/>
          <w:kern w:val="0"/>
          <w:sz w:val="32"/>
          <w:szCs w:val="32"/>
          <w:lang w:val="zh-CN" w:eastAsia="zh-CN" w:bidi="ar-SA"/>
        </w:rPr>
        <w:t>部门整体支出绩效评价自查自评结果良好，全年基本保证了部门的正常运行和日常工作的正常开展。</w:t>
      </w:r>
    </w:p>
    <w:p w14:paraId="7F238B0B">
      <w:pPr>
        <w:keepNext w:val="0"/>
        <w:keepLines w:val="0"/>
        <w:pageBreakBefore w:val="0"/>
        <w:widowControl w:val="0"/>
        <w:kinsoku/>
        <w:wordWrap/>
        <w:overflowPunct/>
        <w:topLinePunct w:val="0"/>
        <w:autoSpaceDE/>
        <w:autoSpaceDN/>
        <w:bidi w:val="0"/>
        <w:spacing w:line="536" w:lineRule="exact"/>
        <w:ind w:firstLine="643" w:firstLineChars="200"/>
        <w:textAlignment w:val="auto"/>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（二）存在问题</w:t>
      </w:r>
    </w:p>
    <w:p w14:paraId="7700BA5A">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我局在2024年</w:t>
      </w:r>
      <w:r>
        <w:rPr>
          <w:rFonts w:hint="eastAsia" w:ascii="仿宋_GB2312" w:hAnsi="Times New Roman" w:eastAsia="仿宋_GB2312" w:cs="仿宋"/>
          <w:color w:val="000000"/>
          <w:kern w:val="0"/>
          <w:sz w:val="32"/>
          <w:szCs w:val="32"/>
          <w:lang w:val="zh-CN" w:eastAsia="zh-CN" w:bidi="ar-SA"/>
        </w:rPr>
        <w:t>部门整体支出绩效</w:t>
      </w:r>
      <w:r>
        <w:rPr>
          <w:rFonts w:hint="eastAsia" w:ascii="仿宋_GB2312" w:hAnsi="Times New Roman" w:eastAsia="仿宋_GB2312" w:cs="仿宋"/>
          <w:color w:val="000000"/>
          <w:kern w:val="0"/>
          <w:sz w:val="32"/>
          <w:szCs w:val="32"/>
          <w:lang w:val="en-US" w:eastAsia="zh-CN" w:bidi="ar-SA"/>
        </w:rPr>
        <w:t>自评中暂未发现主要问题。</w:t>
      </w:r>
    </w:p>
    <w:p w14:paraId="33A17862">
      <w:pPr>
        <w:keepNext w:val="0"/>
        <w:keepLines w:val="0"/>
        <w:pageBreakBefore w:val="0"/>
        <w:widowControl/>
        <w:kinsoku/>
        <w:wordWrap/>
        <w:overflowPunct/>
        <w:topLinePunct w:val="0"/>
        <w:autoSpaceDE/>
        <w:autoSpaceDN/>
        <w:bidi w:val="0"/>
        <w:adjustRightInd w:val="0"/>
        <w:snapToGrid w:val="0"/>
        <w:spacing w:line="536" w:lineRule="exact"/>
        <w:ind w:firstLine="643" w:firstLineChars="200"/>
        <w:jc w:val="left"/>
        <w:textAlignment w:val="auto"/>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（三）改进建议</w:t>
      </w:r>
    </w:p>
    <w:p w14:paraId="35CCA72B">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在今后工作中要按照有关文件及规章制度的要求，落实岗位职责，坚守职业道德，</w:t>
      </w:r>
      <w:r>
        <w:rPr>
          <w:rFonts w:hint="eastAsia" w:ascii="仿宋_GB2312" w:hAnsi="Times New Roman" w:eastAsia="仿宋_GB2312" w:cs="仿宋"/>
          <w:color w:val="000000"/>
          <w:kern w:val="0"/>
          <w:sz w:val="32"/>
          <w:szCs w:val="32"/>
          <w:lang w:val="zh-CN" w:eastAsia="zh-CN" w:bidi="ar-SA"/>
        </w:rPr>
        <w:t>加强绩效管理工作的学习和培训力度，有效提高部门整体支出绩效管理水平。</w:t>
      </w:r>
    </w:p>
    <w:p w14:paraId="5F67778D">
      <w:pPr>
        <w:keepNext w:val="0"/>
        <w:keepLines w:val="0"/>
        <w:pageBreakBefore w:val="0"/>
        <w:widowControl w:val="0"/>
        <w:kinsoku/>
        <w:wordWrap/>
        <w:overflowPunct/>
        <w:topLinePunct w:val="0"/>
        <w:autoSpaceDE/>
        <w:autoSpaceDN/>
        <w:bidi w:val="0"/>
        <w:spacing w:line="536" w:lineRule="exact"/>
        <w:ind w:right="-342" w:rightChars="-163" w:firstLine="640" w:firstLineChars="200"/>
        <w:textAlignment w:val="auto"/>
        <w:rPr>
          <w:rFonts w:hint="eastAsia" w:ascii="仿宋_GB2312" w:hAnsi="Times New Roman" w:eastAsia="仿宋_GB2312" w:cs="仿宋"/>
          <w:color w:val="000000"/>
          <w:kern w:val="0"/>
          <w:sz w:val="32"/>
          <w:szCs w:val="32"/>
          <w:lang w:val="en-US" w:eastAsia="zh-CN" w:bidi="ar-SA"/>
        </w:rPr>
      </w:pPr>
    </w:p>
    <w:p w14:paraId="4D498680">
      <w:pPr>
        <w:keepNext w:val="0"/>
        <w:keepLines w:val="0"/>
        <w:pageBreakBefore w:val="0"/>
        <w:widowControl/>
        <w:kinsoku/>
        <w:wordWrap/>
        <w:overflowPunct/>
        <w:topLinePunct w:val="0"/>
        <w:autoSpaceDE/>
        <w:autoSpaceDN/>
        <w:bidi w:val="0"/>
        <w:adjustRightInd w:val="0"/>
        <w:snapToGrid w:val="0"/>
        <w:spacing w:line="536" w:lineRule="exact"/>
        <w:ind w:firstLine="1600" w:firstLineChars="500"/>
        <w:contextualSpacing/>
        <w:jc w:val="left"/>
        <w:textAlignment w:val="auto"/>
        <w:rPr>
          <w:rFonts w:hint="eastAsia" w:ascii="仿宋" w:eastAsia="仿宋" w:cs="仿宋"/>
          <w:color w:val="000000"/>
          <w:sz w:val="32"/>
          <w:szCs w:val="32"/>
          <w:lang w:val="en-US" w:eastAsia="zh-CN"/>
        </w:rPr>
      </w:pPr>
    </w:p>
    <w:p w14:paraId="21A8244B">
      <w:pPr>
        <w:keepNext w:val="0"/>
        <w:keepLines w:val="0"/>
        <w:pageBreakBefore w:val="0"/>
        <w:widowControl/>
        <w:kinsoku/>
        <w:wordWrap/>
        <w:overflowPunct/>
        <w:topLinePunct w:val="0"/>
        <w:autoSpaceDE/>
        <w:autoSpaceDN/>
        <w:bidi w:val="0"/>
        <w:adjustRightInd w:val="0"/>
        <w:snapToGrid w:val="0"/>
        <w:spacing w:line="536" w:lineRule="exact"/>
        <w:ind w:firstLine="1600" w:firstLineChars="500"/>
        <w:contextualSpacing/>
        <w:jc w:val="left"/>
        <w:textAlignment w:val="auto"/>
        <w:rPr>
          <w:rFonts w:hint="eastAsia" w:ascii="仿宋" w:eastAsia="仿宋" w:cs="仿宋"/>
          <w:color w:val="000000"/>
          <w:sz w:val="32"/>
          <w:szCs w:val="32"/>
          <w:lang w:val="en-US" w:eastAsia="zh-CN"/>
        </w:rPr>
      </w:pPr>
      <w:r>
        <w:rPr>
          <w:rFonts w:hint="eastAsia" w:ascii="仿宋" w:eastAsia="仿宋" w:cs="仿宋"/>
          <w:color w:val="000000"/>
          <w:sz w:val="32"/>
          <w:szCs w:val="32"/>
          <w:lang w:val="en-US" w:eastAsia="zh-CN"/>
        </w:rPr>
        <w:t xml:space="preserve">                 </w:t>
      </w:r>
    </w:p>
    <w:p w14:paraId="5ECBF0FC">
      <w:pPr>
        <w:keepNext w:val="0"/>
        <w:keepLines w:val="0"/>
        <w:pageBreakBefore w:val="0"/>
        <w:widowControl/>
        <w:kinsoku/>
        <w:wordWrap/>
        <w:overflowPunct/>
        <w:topLinePunct w:val="0"/>
        <w:autoSpaceDE/>
        <w:autoSpaceDN/>
        <w:bidi w:val="0"/>
        <w:adjustRightInd w:val="0"/>
        <w:snapToGrid w:val="0"/>
        <w:spacing w:line="536" w:lineRule="exact"/>
        <w:ind w:firstLine="640" w:firstLineChars="200"/>
        <w:contextualSpacing/>
        <w:jc w:val="left"/>
        <w:textAlignment w:val="auto"/>
        <w:rPr>
          <w:rFonts w:hint="eastAsia" w:ascii="仿宋" w:eastAsia="仿宋" w:cs="仿宋"/>
          <w:color w:val="000000"/>
          <w:kern w:val="0"/>
          <w:sz w:val="32"/>
          <w:szCs w:val="32"/>
          <w:shd w:val="clear" w:color="auto" w:fill="FFFFFF"/>
          <w:lang w:val="en-US" w:eastAsia="zh-CN"/>
        </w:rPr>
      </w:pPr>
      <w:r>
        <w:rPr>
          <w:rFonts w:hint="eastAsia" w:ascii="仿宋" w:eastAsia="仿宋" w:cs="仿宋"/>
          <w:color w:val="000000"/>
          <w:sz w:val="32"/>
          <w:szCs w:val="32"/>
          <w:lang w:val="en-US" w:eastAsia="zh-CN"/>
        </w:rPr>
        <w:t xml:space="preserve">                   </w:t>
      </w:r>
      <w:r>
        <w:rPr>
          <w:rFonts w:hint="eastAsia" w:ascii="仿宋" w:eastAsia="仿宋" w:cs="仿宋"/>
          <w:color w:val="000000"/>
          <w:kern w:val="0"/>
          <w:sz w:val="32"/>
          <w:szCs w:val="32"/>
          <w:shd w:val="clear" w:color="auto" w:fill="FFFFFF"/>
          <w:lang w:val="en-US" w:eastAsia="zh-CN"/>
        </w:rPr>
        <w:t xml:space="preserve">  </w:t>
      </w:r>
    </w:p>
    <w:p w14:paraId="4850E78F">
      <w:pPr>
        <w:keepNext w:val="0"/>
        <w:keepLines w:val="0"/>
        <w:pageBreakBefore w:val="0"/>
        <w:widowControl/>
        <w:kinsoku/>
        <w:wordWrap/>
        <w:overflowPunct/>
        <w:topLinePunct w:val="0"/>
        <w:autoSpaceDE/>
        <w:autoSpaceDN/>
        <w:bidi w:val="0"/>
        <w:adjustRightInd w:val="0"/>
        <w:snapToGrid w:val="0"/>
        <w:spacing w:line="536" w:lineRule="exact"/>
        <w:ind w:firstLine="640" w:firstLineChars="200"/>
        <w:contextualSpacing/>
        <w:jc w:val="left"/>
        <w:textAlignment w:val="auto"/>
        <w:rPr>
          <w:rFonts w:hint="eastAsia" w:ascii="仿宋" w:eastAsia="仿宋" w:cs="仿宋"/>
          <w:color w:val="000000"/>
          <w:kern w:val="0"/>
          <w:sz w:val="32"/>
          <w:szCs w:val="32"/>
          <w:shd w:val="clear" w:color="auto" w:fill="FFFFFF"/>
          <w:lang w:val="en-US" w:eastAsia="zh-CN"/>
        </w:rPr>
      </w:pPr>
      <w:r>
        <w:rPr>
          <w:rFonts w:hint="eastAsia" w:ascii="仿宋" w:eastAsia="仿宋" w:cs="仿宋"/>
          <w:color w:val="000000"/>
          <w:kern w:val="0"/>
          <w:sz w:val="32"/>
          <w:szCs w:val="32"/>
          <w:shd w:val="clear" w:color="auto" w:fill="FFFFFF"/>
          <w:lang w:val="en-US" w:eastAsia="zh-CN"/>
        </w:rPr>
        <w:t xml:space="preserve">      </w:t>
      </w:r>
    </w:p>
    <w:p w14:paraId="23EAC586">
      <w:pPr>
        <w:keepNext w:val="0"/>
        <w:keepLines w:val="0"/>
        <w:pageBreakBefore w:val="0"/>
        <w:widowControl/>
        <w:kinsoku/>
        <w:wordWrap/>
        <w:overflowPunct/>
        <w:topLinePunct w:val="0"/>
        <w:autoSpaceDE/>
        <w:autoSpaceDN/>
        <w:bidi w:val="0"/>
        <w:adjustRightInd w:val="0"/>
        <w:snapToGrid w:val="0"/>
        <w:spacing w:line="536" w:lineRule="exact"/>
        <w:ind w:firstLine="640" w:firstLineChars="200"/>
        <w:contextualSpacing/>
        <w:jc w:val="left"/>
        <w:textAlignment w:val="auto"/>
        <w:rPr>
          <w:rFonts w:hint="eastAsia" w:ascii="仿宋" w:eastAsia="仿宋" w:cs="仿宋"/>
          <w:color w:val="000000"/>
          <w:kern w:val="0"/>
          <w:sz w:val="32"/>
          <w:szCs w:val="32"/>
          <w:shd w:val="clear" w:color="auto" w:fill="FFFFFF"/>
          <w:lang w:val="en-US" w:eastAsia="zh-CN"/>
        </w:rPr>
      </w:pPr>
    </w:p>
    <w:p w14:paraId="598A0D41">
      <w:pPr>
        <w:pStyle w:val="2"/>
        <w:rPr>
          <w:rFonts w:hint="eastAsia" w:ascii="仿宋" w:eastAsia="仿宋" w:cs="仿宋"/>
          <w:color w:val="000000"/>
          <w:kern w:val="0"/>
          <w:sz w:val="32"/>
          <w:szCs w:val="32"/>
          <w:shd w:val="clear" w:color="auto" w:fill="FFFFFF"/>
          <w:lang w:val="en-US" w:eastAsia="zh-CN"/>
        </w:rPr>
      </w:pPr>
    </w:p>
    <w:p w14:paraId="75EEBCB3">
      <w:pPr>
        <w:pStyle w:val="3"/>
        <w:rPr>
          <w:rFonts w:hint="eastAsia" w:ascii="仿宋" w:eastAsia="仿宋" w:cs="仿宋"/>
          <w:color w:val="000000"/>
          <w:kern w:val="0"/>
          <w:sz w:val="32"/>
          <w:szCs w:val="32"/>
          <w:shd w:val="clear" w:color="auto" w:fill="FFFFFF"/>
          <w:lang w:val="en-US" w:eastAsia="zh-CN"/>
        </w:rPr>
      </w:pPr>
    </w:p>
    <w:p w14:paraId="03C6BEA8">
      <w:pPr>
        <w:pStyle w:val="3"/>
        <w:rPr>
          <w:rFonts w:hint="eastAsia" w:ascii="仿宋" w:eastAsia="仿宋" w:cs="仿宋"/>
          <w:color w:val="000000"/>
          <w:kern w:val="0"/>
          <w:sz w:val="32"/>
          <w:szCs w:val="32"/>
          <w:shd w:val="clear" w:color="auto" w:fill="FFFFFF"/>
          <w:lang w:val="en-US" w:eastAsia="zh-CN"/>
        </w:rPr>
      </w:pPr>
    </w:p>
    <w:p w14:paraId="47EA3CCE">
      <w:pPr>
        <w:pStyle w:val="3"/>
        <w:rPr>
          <w:rFonts w:hint="eastAsia" w:ascii="仿宋" w:eastAsia="仿宋" w:cs="仿宋"/>
          <w:color w:val="000000"/>
          <w:kern w:val="0"/>
          <w:sz w:val="32"/>
          <w:szCs w:val="32"/>
          <w:shd w:val="clear" w:color="auto" w:fill="FFFFFF"/>
          <w:lang w:val="en-US" w:eastAsia="zh-CN"/>
        </w:rPr>
      </w:pPr>
    </w:p>
    <w:p w14:paraId="032B41C7">
      <w:pPr>
        <w:keepNext w:val="0"/>
        <w:keepLines w:val="0"/>
        <w:pageBreakBefore w:val="0"/>
        <w:widowControl/>
        <w:kinsoku/>
        <w:wordWrap/>
        <w:overflowPunct/>
        <w:topLinePunct w:val="0"/>
        <w:autoSpaceDE/>
        <w:autoSpaceDN/>
        <w:bidi w:val="0"/>
        <w:adjustRightInd w:val="0"/>
        <w:snapToGrid w:val="0"/>
        <w:spacing w:line="536" w:lineRule="exact"/>
        <w:ind w:left="4108" w:leftChars="1956" w:firstLine="0"/>
        <w:contextualSpacing/>
        <w:jc w:val="left"/>
        <w:textAlignment w:val="auto"/>
        <w:rPr>
          <w:rFonts w:eastAsia="黑体"/>
        </w:rPr>
      </w:pPr>
      <w:r>
        <w:rPr>
          <w:rFonts w:hint="eastAsia" w:ascii="仿宋" w:eastAsia="仿宋" w:cs="仿宋"/>
          <w:color w:val="000000"/>
          <w:kern w:val="0"/>
          <w:sz w:val="32"/>
          <w:szCs w:val="32"/>
          <w:shd w:val="clear" w:color="auto" w:fill="FFFFFF"/>
          <w:lang w:val="en-US" w:eastAsia="zh-CN"/>
        </w:rPr>
        <w:t xml:space="preserve"> </w:t>
      </w:r>
      <w:bookmarkEnd w:id="52"/>
    </w:p>
    <w:tbl>
      <w:tblPr>
        <w:tblStyle w:val="17"/>
        <w:tblpPr w:leftFromText="180" w:rightFromText="180" w:vertAnchor="text" w:horzAnchor="page" w:tblpX="1400" w:tblpY="515"/>
        <w:tblOverlap w:val="never"/>
        <w:tblW w:w="9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67"/>
        <w:gridCol w:w="1343"/>
        <w:gridCol w:w="1344"/>
        <w:gridCol w:w="2061"/>
        <w:gridCol w:w="1075"/>
        <w:gridCol w:w="1254"/>
        <w:gridCol w:w="806"/>
        <w:gridCol w:w="630"/>
      </w:tblGrid>
      <w:tr w14:paraId="78D31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9580" w:type="dxa"/>
            <w:gridSpan w:val="8"/>
            <w:tcBorders>
              <w:top w:val="nil"/>
              <w:left w:val="nil"/>
              <w:bottom w:val="nil"/>
              <w:right w:val="nil"/>
            </w:tcBorders>
            <w:noWrap/>
            <w:vAlign w:val="center"/>
          </w:tcPr>
          <w:p w14:paraId="17022D0F">
            <w:pPr>
              <w:keepNext w:val="0"/>
              <w:keepLines w:val="0"/>
              <w:widowControl/>
              <w:suppressLineNumbers w:val="0"/>
              <w:ind w:firstLine="840" w:firstLineChars="400"/>
              <w:jc w:val="both"/>
              <w:textAlignment w:val="center"/>
              <w:rPr>
                <w:rFonts w:ascii="黑体" w:eastAsia="黑体" w:cs="黑体"/>
                <w:i w:val="0"/>
                <w:iCs w:val="0"/>
                <w:color w:val="000000"/>
                <w:sz w:val="30"/>
                <w:szCs w:val="30"/>
                <w:u w:val="none"/>
              </w:rPr>
            </w:pPr>
            <w:r>
              <w:rPr>
                <w:rFonts w:hint="eastAsia" w:eastAsia="黑体"/>
                <w:lang w:val="en-US" w:eastAsia="zh-CN"/>
              </w:rPr>
              <w:t xml:space="preserve">                   </w:t>
            </w:r>
            <w:r>
              <w:rPr>
                <w:rFonts w:hint="eastAsia" w:ascii="黑体" w:eastAsia="黑体" w:cs="黑体"/>
                <w:i w:val="0"/>
                <w:iCs w:val="0"/>
                <w:color w:val="000000"/>
                <w:kern w:val="0"/>
                <w:sz w:val="30"/>
                <w:szCs w:val="30"/>
                <w:u w:val="none"/>
                <w:lang w:val="en-US" w:eastAsia="zh-CN"/>
              </w:rPr>
              <w:t>部门整体支出绩效目标表</w:t>
            </w:r>
          </w:p>
        </w:tc>
      </w:tr>
      <w:tr w14:paraId="1D5FA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9580" w:type="dxa"/>
            <w:gridSpan w:val="8"/>
            <w:tcBorders>
              <w:top w:val="nil"/>
              <w:left w:val="nil"/>
              <w:bottom w:val="nil"/>
              <w:right w:val="nil"/>
            </w:tcBorders>
            <w:noWrap/>
            <w:vAlign w:val="center"/>
          </w:tcPr>
          <w:p w14:paraId="2B16115C">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（2024年度）</w:t>
            </w:r>
          </w:p>
        </w:tc>
      </w:tr>
      <w:tr w14:paraId="58160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9580" w:type="dxa"/>
            <w:gridSpan w:val="8"/>
            <w:tcBorders>
              <w:top w:val="nil"/>
              <w:left w:val="nil"/>
              <w:bottom w:val="single" w:color="000000" w:sz="4" w:space="0"/>
              <w:right w:val="nil"/>
            </w:tcBorders>
            <w:noWrap/>
            <w:vAlign w:val="center"/>
          </w:tcPr>
          <w:p w14:paraId="6B72E8B1">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金额单位：万元</w:t>
            </w:r>
          </w:p>
        </w:tc>
      </w:tr>
      <w:tr w14:paraId="3E6D9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3754" w:type="dxa"/>
            <w:gridSpan w:val="3"/>
            <w:tcBorders>
              <w:top w:val="single" w:color="000000" w:sz="4" w:space="0"/>
              <w:left w:val="single" w:color="000000" w:sz="4" w:space="0"/>
              <w:bottom w:val="single" w:color="000000" w:sz="4" w:space="0"/>
              <w:right w:val="single" w:color="000000" w:sz="4" w:space="0"/>
            </w:tcBorders>
            <w:noWrap/>
            <w:vAlign w:val="center"/>
          </w:tcPr>
          <w:p w14:paraId="1C1A9ED9">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部门名称</w:t>
            </w:r>
          </w:p>
        </w:tc>
        <w:tc>
          <w:tcPr>
            <w:tcW w:w="5826" w:type="dxa"/>
            <w:gridSpan w:val="5"/>
            <w:tcBorders>
              <w:top w:val="single" w:color="000000" w:sz="4" w:space="0"/>
              <w:left w:val="single" w:color="000000" w:sz="4" w:space="0"/>
              <w:bottom w:val="single" w:color="000000" w:sz="4" w:space="0"/>
              <w:right w:val="single" w:color="000000" w:sz="4" w:space="0"/>
            </w:tcBorders>
            <w:noWrap/>
            <w:vAlign w:val="center"/>
          </w:tcPr>
          <w:p w14:paraId="395CDC45">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茂县社会保险事业管理局本级</w:t>
            </w:r>
          </w:p>
        </w:tc>
      </w:tr>
      <w:tr w14:paraId="28E89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67" w:type="dxa"/>
            <w:vMerge w:val="restart"/>
            <w:tcBorders>
              <w:top w:val="single" w:color="000000" w:sz="4" w:space="0"/>
              <w:left w:val="single" w:color="000000" w:sz="4" w:space="0"/>
              <w:bottom w:val="single" w:color="000000" w:sz="4" w:space="0"/>
              <w:right w:val="single" w:color="000000" w:sz="4" w:space="0"/>
            </w:tcBorders>
            <w:noWrap/>
            <w:vAlign w:val="center"/>
          </w:tcPr>
          <w:p w14:paraId="2320C68E">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年度部门整体支出预算</w:t>
            </w:r>
          </w:p>
        </w:tc>
        <w:tc>
          <w:tcPr>
            <w:tcW w:w="2687" w:type="dxa"/>
            <w:gridSpan w:val="2"/>
            <w:tcBorders>
              <w:top w:val="single" w:color="000000" w:sz="4" w:space="0"/>
              <w:left w:val="single" w:color="000000" w:sz="4" w:space="0"/>
              <w:bottom w:val="single" w:color="000000" w:sz="4" w:space="0"/>
              <w:right w:val="single" w:color="000000" w:sz="4" w:space="0"/>
            </w:tcBorders>
            <w:noWrap/>
            <w:vAlign w:val="center"/>
          </w:tcPr>
          <w:p w14:paraId="26335A9A">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资金总额</w:t>
            </w:r>
          </w:p>
        </w:tc>
        <w:tc>
          <w:tcPr>
            <w:tcW w:w="3136" w:type="dxa"/>
            <w:gridSpan w:val="2"/>
            <w:tcBorders>
              <w:top w:val="single" w:color="000000" w:sz="4" w:space="0"/>
              <w:left w:val="single" w:color="000000" w:sz="4" w:space="0"/>
              <w:bottom w:val="single" w:color="000000" w:sz="4" w:space="0"/>
              <w:right w:val="single" w:color="000000" w:sz="4" w:space="0"/>
            </w:tcBorders>
            <w:noWrap/>
            <w:vAlign w:val="center"/>
          </w:tcPr>
          <w:p w14:paraId="28073301">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财政拨款</w:t>
            </w:r>
          </w:p>
        </w:tc>
        <w:tc>
          <w:tcPr>
            <w:tcW w:w="2690" w:type="dxa"/>
            <w:gridSpan w:val="3"/>
            <w:tcBorders>
              <w:top w:val="single" w:color="000000" w:sz="4" w:space="0"/>
              <w:left w:val="single" w:color="000000" w:sz="4" w:space="0"/>
              <w:bottom w:val="single" w:color="000000" w:sz="4" w:space="0"/>
              <w:right w:val="single" w:color="000000" w:sz="4" w:space="0"/>
            </w:tcBorders>
            <w:noWrap/>
            <w:vAlign w:val="center"/>
          </w:tcPr>
          <w:p w14:paraId="57F23254">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r>
      <w:tr w14:paraId="287D9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420C2D7E"/>
        </w:tc>
        <w:tc>
          <w:tcPr>
            <w:tcW w:w="2687" w:type="dxa"/>
            <w:gridSpan w:val="2"/>
            <w:tcBorders>
              <w:top w:val="single" w:color="000000" w:sz="4" w:space="0"/>
              <w:left w:val="single" w:color="000000" w:sz="4" w:space="0"/>
              <w:bottom w:val="single" w:color="000000" w:sz="4" w:space="0"/>
              <w:right w:val="single" w:color="000000" w:sz="4" w:space="0"/>
            </w:tcBorders>
            <w:noWrap/>
            <w:vAlign w:val="center"/>
          </w:tcPr>
          <w:p w14:paraId="17650E91">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490.69</w:t>
            </w:r>
          </w:p>
        </w:tc>
        <w:tc>
          <w:tcPr>
            <w:tcW w:w="3136" w:type="dxa"/>
            <w:gridSpan w:val="2"/>
            <w:tcBorders>
              <w:top w:val="single" w:color="000000" w:sz="4" w:space="0"/>
              <w:left w:val="single" w:color="000000" w:sz="4" w:space="0"/>
              <w:bottom w:val="single" w:color="000000" w:sz="4" w:space="0"/>
              <w:right w:val="single" w:color="000000" w:sz="4" w:space="0"/>
            </w:tcBorders>
            <w:noWrap/>
            <w:vAlign w:val="center"/>
          </w:tcPr>
          <w:p w14:paraId="01252E13">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490.69</w:t>
            </w:r>
          </w:p>
        </w:tc>
        <w:tc>
          <w:tcPr>
            <w:tcW w:w="2690" w:type="dxa"/>
            <w:gridSpan w:val="3"/>
            <w:tcBorders>
              <w:top w:val="single" w:color="000000" w:sz="4" w:space="0"/>
              <w:left w:val="single" w:color="000000" w:sz="4" w:space="0"/>
              <w:bottom w:val="single" w:color="000000" w:sz="4" w:space="0"/>
              <w:right w:val="single" w:color="000000" w:sz="4" w:space="0"/>
            </w:tcBorders>
            <w:noWrap/>
            <w:vAlign w:val="center"/>
          </w:tcPr>
          <w:p w14:paraId="4CFB86C9">
            <w:pPr>
              <w:jc w:val="right"/>
              <w:rPr>
                <w:rFonts w:hint="eastAsia" w:ascii="宋体" w:eastAsia="宋体" w:cs="宋体"/>
                <w:i w:val="0"/>
                <w:iCs w:val="0"/>
                <w:color w:val="000000"/>
                <w:sz w:val="18"/>
                <w:szCs w:val="18"/>
                <w:u w:val="none"/>
              </w:rPr>
            </w:pPr>
          </w:p>
        </w:tc>
      </w:tr>
      <w:tr w14:paraId="21936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3"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1977D136">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年度总体目标</w:t>
            </w:r>
          </w:p>
        </w:tc>
        <w:tc>
          <w:tcPr>
            <w:tcW w:w="8513" w:type="dxa"/>
            <w:gridSpan w:val="7"/>
            <w:tcBorders>
              <w:top w:val="single" w:color="000000" w:sz="4" w:space="0"/>
              <w:left w:val="single" w:color="000000" w:sz="4" w:space="0"/>
              <w:bottom w:val="single" w:color="000000" w:sz="4" w:space="0"/>
              <w:right w:val="single" w:color="000000" w:sz="4" w:space="0"/>
            </w:tcBorders>
            <w:noWrap/>
            <w:vAlign w:val="center"/>
          </w:tcPr>
          <w:p w14:paraId="622861DD">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贯彻执行国家、省、州有关社会保险政策和法律、法规，负责全县企业基本养老保险、机关事业养老保险、职业年金、工伤保险等社会保险工作。1.负责辖区内参保单位和个人社会保险基金的征收、管理、审核等工作;2\保障机构日常运转和职工劳动报酬，为圆满完成工作目标任务提供资金保障。</w:t>
            </w:r>
          </w:p>
        </w:tc>
      </w:tr>
      <w:tr w14:paraId="0812B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67" w:type="dxa"/>
            <w:vMerge w:val="restart"/>
            <w:tcBorders>
              <w:top w:val="single" w:color="000000" w:sz="4" w:space="0"/>
              <w:left w:val="single" w:color="000000" w:sz="4" w:space="0"/>
              <w:bottom w:val="single" w:color="000000" w:sz="4" w:space="0"/>
              <w:right w:val="single" w:color="000000" w:sz="4" w:space="0"/>
            </w:tcBorders>
            <w:noWrap/>
            <w:vAlign w:val="center"/>
          </w:tcPr>
          <w:p w14:paraId="77129D41">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年度主要任务</w:t>
            </w:r>
          </w:p>
        </w:tc>
        <w:tc>
          <w:tcPr>
            <w:tcW w:w="2687" w:type="dxa"/>
            <w:gridSpan w:val="2"/>
            <w:tcBorders>
              <w:top w:val="single" w:color="000000" w:sz="4" w:space="0"/>
              <w:left w:val="single" w:color="000000" w:sz="4" w:space="0"/>
              <w:bottom w:val="single" w:color="000000" w:sz="4" w:space="0"/>
              <w:right w:val="single" w:color="000000" w:sz="4" w:space="0"/>
            </w:tcBorders>
            <w:noWrap/>
            <w:vAlign w:val="center"/>
          </w:tcPr>
          <w:p w14:paraId="39366C09">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任务名称</w:t>
            </w:r>
          </w:p>
        </w:tc>
        <w:tc>
          <w:tcPr>
            <w:tcW w:w="5826" w:type="dxa"/>
            <w:gridSpan w:val="5"/>
            <w:tcBorders>
              <w:top w:val="single" w:color="000000" w:sz="4" w:space="0"/>
              <w:left w:val="single" w:color="000000" w:sz="4" w:space="0"/>
              <w:bottom w:val="single" w:color="000000" w:sz="4" w:space="0"/>
              <w:right w:val="single" w:color="000000" w:sz="4" w:space="0"/>
            </w:tcBorders>
            <w:noWrap/>
            <w:vAlign w:val="center"/>
          </w:tcPr>
          <w:p w14:paraId="0A962C90">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主要内容</w:t>
            </w:r>
          </w:p>
        </w:tc>
      </w:tr>
      <w:tr w14:paraId="3AB38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5"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654E7F04"/>
        </w:tc>
        <w:tc>
          <w:tcPr>
            <w:tcW w:w="2687" w:type="dxa"/>
            <w:gridSpan w:val="2"/>
            <w:tcBorders>
              <w:top w:val="single" w:color="000000" w:sz="4" w:space="0"/>
              <w:left w:val="single" w:color="000000" w:sz="4" w:space="0"/>
              <w:bottom w:val="single" w:color="000000" w:sz="4" w:space="0"/>
              <w:right w:val="single" w:color="000000" w:sz="4" w:space="0"/>
            </w:tcBorders>
            <w:noWrap/>
            <w:vAlign w:val="center"/>
          </w:tcPr>
          <w:p w14:paraId="1735C8E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强化内部控制，筑牢安全防线</w:t>
            </w:r>
          </w:p>
        </w:tc>
        <w:tc>
          <w:tcPr>
            <w:tcW w:w="5826" w:type="dxa"/>
            <w:gridSpan w:val="5"/>
            <w:tcBorders>
              <w:top w:val="single" w:color="000000" w:sz="4" w:space="0"/>
              <w:left w:val="single" w:color="000000" w:sz="4" w:space="0"/>
              <w:bottom w:val="single" w:color="000000" w:sz="4" w:space="0"/>
              <w:right w:val="single" w:color="000000" w:sz="4" w:space="0"/>
            </w:tcBorders>
            <w:noWrap/>
            <w:vAlign w:val="center"/>
          </w:tcPr>
          <w:p w14:paraId="59F8C76C">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 结合党风廉政工作，以打造清正廉洁、群众满意的社保队伍为基础，加强内部控制力度，筑牢基金安全防线。</w:t>
            </w:r>
          </w:p>
        </w:tc>
      </w:tr>
      <w:tr w14:paraId="24D6B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15BC57D1"/>
        </w:tc>
        <w:tc>
          <w:tcPr>
            <w:tcW w:w="2687" w:type="dxa"/>
            <w:gridSpan w:val="2"/>
            <w:tcBorders>
              <w:top w:val="single" w:color="000000" w:sz="4" w:space="0"/>
              <w:left w:val="single" w:color="000000" w:sz="4" w:space="0"/>
              <w:bottom w:val="single" w:color="000000" w:sz="4" w:space="0"/>
              <w:right w:val="single" w:color="000000" w:sz="4" w:space="0"/>
            </w:tcBorders>
            <w:noWrap/>
            <w:vAlign w:val="center"/>
          </w:tcPr>
          <w:p w14:paraId="24104338">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高公共服务能力和水平</w:t>
            </w:r>
          </w:p>
        </w:tc>
        <w:tc>
          <w:tcPr>
            <w:tcW w:w="5826" w:type="dxa"/>
            <w:gridSpan w:val="5"/>
            <w:tcBorders>
              <w:top w:val="single" w:color="000000" w:sz="4" w:space="0"/>
              <w:left w:val="single" w:color="000000" w:sz="4" w:space="0"/>
              <w:bottom w:val="single" w:color="000000" w:sz="4" w:space="0"/>
              <w:right w:val="single" w:color="000000" w:sz="4" w:space="0"/>
            </w:tcBorders>
            <w:noWrap/>
            <w:vAlign w:val="center"/>
          </w:tcPr>
          <w:p w14:paraId="33D39EC3">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深化社会保险公共服务体系建设，全面提升服务水平和质量。</w:t>
            </w:r>
          </w:p>
        </w:tc>
      </w:tr>
      <w:tr w14:paraId="03AE3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17DFA002"/>
        </w:tc>
        <w:tc>
          <w:tcPr>
            <w:tcW w:w="2687" w:type="dxa"/>
            <w:gridSpan w:val="2"/>
            <w:tcBorders>
              <w:top w:val="single" w:color="000000" w:sz="4" w:space="0"/>
              <w:left w:val="single" w:color="000000" w:sz="4" w:space="0"/>
              <w:bottom w:val="single" w:color="000000" w:sz="4" w:space="0"/>
              <w:right w:val="single" w:color="000000" w:sz="4" w:space="0"/>
            </w:tcBorders>
            <w:noWrap/>
            <w:vAlign w:val="center"/>
          </w:tcPr>
          <w:p w14:paraId="7CF2201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保障单位日常运转、职工队伍稳定</w:t>
            </w:r>
          </w:p>
        </w:tc>
        <w:tc>
          <w:tcPr>
            <w:tcW w:w="5826" w:type="dxa"/>
            <w:gridSpan w:val="5"/>
            <w:tcBorders>
              <w:top w:val="single" w:color="000000" w:sz="4" w:space="0"/>
              <w:left w:val="single" w:color="000000" w:sz="4" w:space="0"/>
              <w:bottom w:val="single" w:color="000000" w:sz="4" w:space="0"/>
              <w:right w:val="single" w:color="000000" w:sz="4" w:space="0"/>
            </w:tcBorders>
            <w:noWrap/>
            <w:vAlign w:val="center"/>
          </w:tcPr>
          <w:p w14:paraId="310AA20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保障职工工资按时足额发放到位，按时足额为职工缴纳五险一金，职工权益得到保障</w:t>
            </w:r>
          </w:p>
        </w:tc>
      </w:tr>
      <w:tr w14:paraId="5AC2B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127E8E9B"/>
        </w:tc>
        <w:tc>
          <w:tcPr>
            <w:tcW w:w="2687" w:type="dxa"/>
            <w:gridSpan w:val="2"/>
            <w:tcBorders>
              <w:top w:val="single" w:color="000000" w:sz="4" w:space="0"/>
              <w:left w:val="single" w:color="000000" w:sz="4" w:space="0"/>
              <w:bottom w:val="single" w:color="000000" w:sz="4" w:space="0"/>
              <w:right w:val="single" w:color="000000" w:sz="4" w:space="0"/>
            </w:tcBorders>
            <w:noWrap/>
            <w:vAlign w:val="center"/>
          </w:tcPr>
          <w:p w14:paraId="0BDBEBBE">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继续推进养老保险扩面</w:t>
            </w:r>
          </w:p>
        </w:tc>
        <w:tc>
          <w:tcPr>
            <w:tcW w:w="5826" w:type="dxa"/>
            <w:gridSpan w:val="5"/>
            <w:tcBorders>
              <w:top w:val="single" w:color="000000" w:sz="4" w:space="0"/>
              <w:left w:val="single" w:color="000000" w:sz="4" w:space="0"/>
              <w:bottom w:val="single" w:color="000000" w:sz="4" w:space="0"/>
              <w:right w:val="single" w:color="000000" w:sz="4" w:space="0"/>
            </w:tcBorders>
            <w:noWrap/>
            <w:vAlign w:val="center"/>
          </w:tcPr>
          <w:p w14:paraId="347AEB48">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进一步扩大社会保险覆盖面，加强政策宣传力度，提高全面参保意识。</w:t>
            </w:r>
          </w:p>
        </w:tc>
      </w:tr>
      <w:tr w14:paraId="0D75E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5"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6E57A1BF"/>
        </w:tc>
        <w:tc>
          <w:tcPr>
            <w:tcW w:w="2687" w:type="dxa"/>
            <w:gridSpan w:val="2"/>
            <w:tcBorders>
              <w:top w:val="single" w:color="000000" w:sz="4" w:space="0"/>
              <w:left w:val="single" w:color="000000" w:sz="4" w:space="0"/>
              <w:bottom w:val="single" w:color="000000" w:sz="4" w:space="0"/>
              <w:right w:val="single" w:color="000000" w:sz="4" w:space="0"/>
            </w:tcBorders>
            <w:noWrap/>
            <w:vAlign w:val="center"/>
          </w:tcPr>
          <w:p w14:paraId="1B67C3D7">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加强工伤保险管理</w:t>
            </w:r>
          </w:p>
        </w:tc>
        <w:tc>
          <w:tcPr>
            <w:tcW w:w="5826" w:type="dxa"/>
            <w:gridSpan w:val="5"/>
            <w:tcBorders>
              <w:top w:val="single" w:color="000000" w:sz="4" w:space="0"/>
              <w:left w:val="single" w:color="000000" w:sz="4" w:space="0"/>
              <w:bottom w:val="single" w:color="000000" w:sz="4" w:space="0"/>
              <w:right w:val="single" w:color="000000" w:sz="4" w:space="0"/>
            </w:tcBorders>
            <w:noWrap/>
            <w:vAlign w:val="center"/>
          </w:tcPr>
          <w:p w14:paraId="55D0AB4D">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统筹范围用人单位工伤保险参保登记、审核和工伤保险基金的管理、兑付工伤保险待遇完成全年工作任务</w:t>
            </w:r>
          </w:p>
        </w:tc>
      </w:tr>
      <w:tr w14:paraId="01D9F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5" w:hRule="atLeast"/>
        </w:trPr>
        <w:tc>
          <w:tcPr>
            <w:tcW w:w="1067" w:type="dxa"/>
            <w:vMerge w:val="restart"/>
            <w:tcBorders>
              <w:top w:val="single" w:color="000000" w:sz="4" w:space="0"/>
              <w:left w:val="single" w:color="000000" w:sz="4" w:space="0"/>
              <w:bottom w:val="single" w:color="000000" w:sz="4" w:space="0"/>
              <w:right w:val="single" w:color="000000" w:sz="4" w:space="0"/>
            </w:tcBorders>
            <w:noWrap/>
            <w:vAlign w:val="center"/>
          </w:tcPr>
          <w:p w14:paraId="53FB7AD7">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年度绩效指标</w:t>
            </w:r>
          </w:p>
        </w:tc>
        <w:tc>
          <w:tcPr>
            <w:tcW w:w="1343" w:type="dxa"/>
            <w:tcBorders>
              <w:top w:val="single" w:color="000000" w:sz="4" w:space="0"/>
              <w:left w:val="single" w:color="000000" w:sz="4" w:space="0"/>
              <w:bottom w:val="single" w:color="000000" w:sz="4" w:space="0"/>
              <w:right w:val="single" w:color="000000" w:sz="4" w:space="0"/>
            </w:tcBorders>
            <w:noWrap/>
            <w:vAlign w:val="center"/>
          </w:tcPr>
          <w:p w14:paraId="449762F0">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73B86C44">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7806DE94">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1075" w:type="dxa"/>
            <w:tcBorders>
              <w:top w:val="single" w:color="000000" w:sz="4" w:space="0"/>
              <w:left w:val="single" w:color="000000" w:sz="4" w:space="0"/>
              <w:bottom w:val="single" w:color="000000" w:sz="4" w:space="0"/>
              <w:right w:val="single" w:color="000000" w:sz="4" w:space="0"/>
            </w:tcBorders>
            <w:noWrap/>
            <w:vAlign w:val="center"/>
          </w:tcPr>
          <w:p w14:paraId="7FBCC62F">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绩效指标性质</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49819964">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绩效指标值</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58BF93F">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绩效度量单位</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1285C19">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r>
      <w:tr w14:paraId="5C9B9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6C688D4B"/>
        </w:tc>
        <w:tc>
          <w:tcPr>
            <w:tcW w:w="1343" w:type="dxa"/>
            <w:vMerge w:val="restart"/>
            <w:tcBorders>
              <w:top w:val="single" w:color="000000" w:sz="4" w:space="0"/>
              <w:left w:val="single" w:color="000000" w:sz="4" w:space="0"/>
              <w:bottom w:val="single" w:color="000000" w:sz="4" w:space="0"/>
              <w:right w:val="single" w:color="000000" w:sz="4" w:space="0"/>
            </w:tcBorders>
            <w:noWrap/>
            <w:vAlign w:val="center"/>
          </w:tcPr>
          <w:p w14:paraId="4CC29A9C">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344" w:type="dxa"/>
            <w:vMerge w:val="restart"/>
            <w:tcBorders>
              <w:top w:val="single" w:color="000000" w:sz="4" w:space="0"/>
              <w:left w:val="single" w:color="000000" w:sz="4" w:space="0"/>
              <w:bottom w:val="single" w:color="000000" w:sz="4" w:space="0"/>
              <w:right w:val="single" w:color="000000" w:sz="4" w:space="0"/>
            </w:tcBorders>
            <w:noWrap/>
            <w:vAlign w:val="center"/>
          </w:tcPr>
          <w:p w14:paraId="35A42588">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5FB9C687">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工伤保险参保人数</w:t>
            </w:r>
          </w:p>
        </w:tc>
        <w:tc>
          <w:tcPr>
            <w:tcW w:w="1075" w:type="dxa"/>
            <w:tcBorders>
              <w:top w:val="single" w:color="000000" w:sz="4" w:space="0"/>
              <w:left w:val="single" w:color="000000" w:sz="4" w:space="0"/>
              <w:bottom w:val="single" w:color="000000" w:sz="4" w:space="0"/>
              <w:right w:val="single" w:color="000000" w:sz="4" w:space="0"/>
            </w:tcBorders>
            <w:noWrap/>
            <w:vAlign w:val="center"/>
          </w:tcPr>
          <w:p w14:paraId="016C1DD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577DD953">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13179</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9860D59">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1F6DED8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14:paraId="37DE5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219FF856"/>
        </w:tc>
        <w:tc>
          <w:tcPr>
            <w:tcW w:w="1343" w:type="dxa"/>
            <w:vMerge w:val="continue"/>
            <w:tcBorders>
              <w:top w:val="single" w:color="000000" w:sz="4" w:space="0"/>
              <w:left w:val="single" w:color="000000" w:sz="4" w:space="0"/>
              <w:bottom w:val="single" w:color="000000" w:sz="4" w:space="0"/>
              <w:right w:val="single" w:color="000000" w:sz="4" w:space="0"/>
            </w:tcBorders>
            <w:noWrap/>
            <w:vAlign w:val="center"/>
          </w:tcPr>
          <w:p w14:paraId="6952A1CB"/>
        </w:tc>
        <w:tc>
          <w:tcPr>
            <w:tcW w:w="1344" w:type="dxa"/>
            <w:vMerge w:val="continue"/>
            <w:tcBorders>
              <w:top w:val="single" w:color="000000" w:sz="4" w:space="0"/>
              <w:left w:val="single" w:color="000000" w:sz="4" w:space="0"/>
              <w:bottom w:val="single" w:color="000000" w:sz="4" w:space="0"/>
              <w:right w:val="single" w:color="000000" w:sz="4" w:space="0"/>
            </w:tcBorders>
            <w:noWrap/>
            <w:vAlign w:val="center"/>
          </w:tcPr>
          <w:p w14:paraId="16E24382"/>
        </w:tc>
        <w:tc>
          <w:tcPr>
            <w:tcW w:w="2061" w:type="dxa"/>
            <w:tcBorders>
              <w:top w:val="single" w:color="000000" w:sz="4" w:space="0"/>
              <w:left w:val="single" w:color="000000" w:sz="4" w:space="0"/>
              <w:bottom w:val="single" w:color="000000" w:sz="4" w:space="0"/>
              <w:right w:val="single" w:color="000000" w:sz="4" w:space="0"/>
            </w:tcBorders>
            <w:noWrap/>
            <w:vAlign w:val="center"/>
          </w:tcPr>
          <w:p w14:paraId="0E70FB8D">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1075" w:type="dxa"/>
            <w:tcBorders>
              <w:top w:val="single" w:color="000000" w:sz="4" w:space="0"/>
              <w:left w:val="single" w:color="000000" w:sz="4" w:space="0"/>
              <w:bottom w:val="single" w:color="000000" w:sz="4" w:space="0"/>
              <w:right w:val="single" w:color="000000" w:sz="4" w:space="0"/>
            </w:tcBorders>
            <w:noWrap/>
            <w:vAlign w:val="center"/>
          </w:tcPr>
          <w:p w14:paraId="0DA837C4">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3175831F">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BB418C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45CBE90F">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14:paraId="1A4B3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26F2F46A"/>
        </w:tc>
        <w:tc>
          <w:tcPr>
            <w:tcW w:w="1343" w:type="dxa"/>
            <w:vMerge w:val="continue"/>
            <w:tcBorders>
              <w:top w:val="single" w:color="000000" w:sz="4" w:space="0"/>
              <w:left w:val="single" w:color="000000" w:sz="4" w:space="0"/>
              <w:bottom w:val="single" w:color="000000" w:sz="4" w:space="0"/>
              <w:right w:val="single" w:color="000000" w:sz="4" w:space="0"/>
            </w:tcBorders>
            <w:noWrap/>
            <w:vAlign w:val="center"/>
          </w:tcPr>
          <w:p w14:paraId="7F672680"/>
        </w:tc>
        <w:tc>
          <w:tcPr>
            <w:tcW w:w="1344" w:type="dxa"/>
            <w:vMerge w:val="continue"/>
            <w:tcBorders>
              <w:top w:val="single" w:color="000000" w:sz="4" w:space="0"/>
              <w:left w:val="single" w:color="000000" w:sz="4" w:space="0"/>
              <w:bottom w:val="single" w:color="000000" w:sz="4" w:space="0"/>
              <w:right w:val="single" w:color="000000" w:sz="4" w:space="0"/>
            </w:tcBorders>
            <w:noWrap/>
            <w:vAlign w:val="center"/>
          </w:tcPr>
          <w:p w14:paraId="28A7A59A"/>
        </w:tc>
        <w:tc>
          <w:tcPr>
            <w:tcW w:w="2061" w:type="dxa"/>
            <w:tcBorders>
              <w:top w:val="single" w:color="000000" w:sz="4" w:space="0"/>
              <w:left w:val="single" w:color="000000" w:sz="4" w:space="0"/>
              <w:bottom w:val="single" w:color="000000" w:sz="4" w:space="0"/>
              <w:right w:val="single" w:color="000000" w:sz="4" w:space="0"/>
            </w:tcBorders>
            <w:noWrap/>
            <w:vAlign w:val="center"/>
          </w:tcPr>
          <w:p w14:paraId="6AD52274">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企业保险参保人数</w:t>
            </w:r>
          </w:p>
        </w:tc>
        <w:tc>
          <w:tcPr>
            <w:tcW w:w="1075" w:type="dxa"/>
            <w:tcBorders>
              <w:top w:val="single" w:color="000000" w:sz="4" w:space="0"/>
              <w:left w:val="single" w:color="000000" w:sz="4" w:space="0"/>
              <w:bottom w:val="single" w:color="000000" w:sz="4" w:space="0"/>
              <w:right w:val="single" w:color="000000" w:sz="4" w:space="0"/>
            </w:tcBorders>
            <w:noWrap/>
            <w:vAlign w:val="center"/>
          </w:tcPr>
          <w:p w14:paraId="2EA43BDE">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427C717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13803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F08A8C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188AD78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14:paraId="3D576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29E884E0"/>
        </w:tc>
        <w:tc>
          <w:tcPr>
            <w:tcW w:w="1343" w:type="dxa"/>
            <w:vMerge w:val="continue"/>
            <w:tcBorders>
              <w:top w:val="single" w:color="000000" w:sz="4" w:space="0"/>
              <w:left w:val="single" w:color="000000" w:sz="4" w:space="0"/>
              <w:bottom w:val="single" w:color="000000" w:sz="4" w:space="0"/>
              <w:right w:val="single" w:color="000000" w:sz="4" w:space="0"/>
            </w:tcBorders>
            <w:noWrap/>
            <w:vAlign w:val="center"/>
          </w:tcPr>
          <w:p w14:paraId="1D71B86E"/>
        </w:tc>
        <w:tc>
          <w:tcPr>
            <w:tcW w:w="1344" w:type="dxa"/>
            <w:tcBorders>
              <w:top w:val="single" w:color="000000" w:sz="4" w:space="0"/>
              <w:left w:val="single" w:color="000000" w:sz="4" w:space="0"/>
              <w:bottom w:val="single" w:color="000000" w:sz="4" w:space="0"/>
              <w:right w:val="single" w:color="000000" w:sz="4" w:space="0"/>
            </w:tcBorders>
            <w:noWrap/>
            <w:vAlign w:val="center"/>
          </w:tcPr>
          <w:p w14:paraId="266737FE">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71702AB2">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养老保险发放率</w:t>
            </w:r>
          </w:p>
        </w:tc>
        <w:tc>
          <w:tcPr>
            <w:tcW w:w="1075" w:type="dxa"/>
            <w:tcBorders>
              <w:top w:val="single" w:color="000000" w:sz="4" w:space="0"/>
              <w:left w:val="single" w:color="000000" w:sz="4" w:space="0"/>
              <w:bottom w:val="single" w:color="000000" w:sz="4" w:space="0"/>
              <w:right w:val="single" w:color="000000" w:sz="4" w:space="0"/>
            </w:tcBorders>
            <w:noWrap/>
            <w:vAlign w:val="center"/>
          </w:tcPr>
          <w:p w14:paraId="1B76512D">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13C6186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9F383E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277B17B4">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14:paraId="044B8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57D4A434"/>
        </w:tc>
        <w:tc>
          <w:tcPr>
            <w:tcW w:w="1343" w:type="dxa"/>
            <w:vMerge w:val="restart"/>
            <w:tcBorders>
              <w:top w:val="single" w:color="000000" w:sz="4" w:space="0"/>
              <w:left w:val="single" w:color="000000" w:sz="4" w:space="0"/>
              <w:bottom w:val="single" w:color="000000" w:sz="4" w:space="0"/>
              <w:right w:val="single" w:color="000000" w:sz="4" w:space="0"/>
            </w:tcBorders>
            <w:noWrap/>
            <w:vAlign w:val="center"/>
          </w:tcPr>
          <w:p w14:paraId="6590639D">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344" w:type="dxa"/>
            <w:vMerge w:val="restart"/>
            <w:tcBorders>
              <w:top w:val="single" w:color="000000" w:sz="4" w:space="0"/>
              <w:left w:val="single" w:color="000000" w:sz="4" w:space="0"/>
              <w:bottom w:val="single" w:color="000000" w:sz="4" w:space="0"/>
              <w:right w:val="single" w:color="000000" w:sz="4" w:space="0"/>
            </w:tcBorders>
            <w:noWrap/>
            <w:vAlign w:val="center"/>
          </w:tcPr>
          <w:p w14:paraId="46FF119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71F8AAA3">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运转保障率</w:t>
            </w:r>
          </w:p>
        </w:tc>
        <w:tc>
          <w:tcPr>
            <w:tcW w:w="1075" w:type="dxa"/>
            <w:tcBorders>
              <w:top w:val="single" w:color="000000" w:sz="4" w:space="0"/>
              <w:left w:val="single" w:color="000000" w:sz="4" w:space="0"/>
              <w:bottom w:val="single" w:color="000000" w:sz="4" w:space="0"/>
              <w:right w:val="single" w:color="000000" w:sz="4" w:space="0"/>
            </w:tcBorders>
            <w:noWrap/>
            <w:vAlign w:val="center"/>
          </w:tcPr>
          <w:p w14:paraId="19AE4E8B">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2869B88D">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C8BC4E2">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4ED36F4C">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14:paraId="2220B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337509D2"/>
        </w:tc>
        <w:tc>
          <w:tcPr>
            <w:tcW w:w="1343" w:type="dxa"/>
            <w:vMerge w:val="continue"/>
            <w:tcBorders>
              <w:top w:val="single" w:color="000000" w:sz="4" w:space="0"/>
              <w:left w:val="single" w:color="000000" w:sz="4" w:space="0"/>
              <w:bottom w:val="single" w:color="000000" w:sz="4" w:space="0"/>
              <w:right w:val="single" w:color="000000" w:sz="4" w:space="0"/>
            </w:tcBorders>
            <w:noWrap/>
            <w:vAlign w:val="center"/>
          </w:tcPr>
          <w:p w14:paraId="735A9999"/>
        </w:tc>
        <w:tc>
          <w:tcPr>
            <w:tcW w:w="1344" w:type="dxa"/>
            <w:vMerge w:val="continue"/>
            <w:tcBorders>
              <w:top w:val="single" w:color="000000" w:sz="4" w:space="0"/>
              <w:left w:val="single" w:color="000000" w:sz="4" w:space="0"/>
              <w:bottom w:val="single" w:color="000000" w:sz="4" w:space="0"/>
              <w:right w:val="single" w:color="000000" w:sz="4" w:space="0"/>
            </w:tcBorders>
            <w:noWrap/>
            <w:vAlign w:val="center"/>
          </w:tcPr>
          <w:p w14:paraId="18EBFA06"/>
        </w:tc>
        <w:tc>
          <w:tcPr>
            <w:tcW w:w="2061" w:type="dxa"/>
            <w:tcBorders>
              <w:top w:val="single" w:color="000000" w:sz="4" w:space="0"/>
              <w:left w:val="single" w:color="000000" w:sz="4" w:space="0"/>
              <w:bottom w:val="single" w:color="000000" w:sz="4" w:space="0"/>
              <w:right w:val="single" w:color="000000" w:sz="4" w:space="0"/>
            </w:tcBorders>
            <w:noWrap/>
            <w:vAlign w:val="center"/>
          </w:tcPr>
          <w:p w14:paraId="3C25EC32">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足额保障率（参保率）</w:t>
            </w:r>
          </w:p>
        </w:tc>
        <w:tc>
          <w:tcPr>
            <w:tcW w:w="1075" w:type="dxa"/>
            <w:tcBorders>
              <w:top w:val="single" w:color="000000" w:sz="4" w:space="0"/>
              <w:left w:val="single" w:color="000000" w:sz="4" w:space="0"/>
              <w:bottom w:val="single" w:color="000000" w:sz="4" w:space="0"/>
              <w:right w:val="single" w:color="000000" w:sz="4" w:space="0"/>
            </w:tcBorders>
            <w:noWrap/>
            <w:vAlign w:val="center"/>
          </w:tcPr>
          <w:p w14:paraId="218906EB">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7FFF137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F6952D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3ECC1A7">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14:paraId="07158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3" w:hRule="atLeast"/>
        </w:trPr>
        <w:tc>
          <w:tcPr>
            <w:tcW w:w="1067" w:type="dxa"/>
            <w:vMerge w:val="continue"/>
            <w:tcBorders>
              <w:top w:val="single" w:color="000000" w:sz="4" w:space="0"/>
              <w:left w:val="single" w:color="000000" w:sz="4" w:space="0"/>
              <w:bottom w:val="single" w:color="000000" w:sz="4" w:space="0"/>
              <w:right w:val="single" w:color="000000" w:sz="4" w:space="0"/>
            </w:tcBorders>
            <w:noWrap/>
            <w:vAlign w:val="center"/>
          </w:tcPr>
          <w:p w14:paraId="18029EF4"/>
        </w:tc>
        <w:tc>
          <w:tcPr>
            <w:tcW w:w="1343" w:type="dxa"/>
            <w:tcBorders>
              <w:top w:val="single" w:color="000000" w:sz="4" w:space="0"/>
              <w:left w:val="single" w:color="000000" w:sz="4" w:space="0"/>
              <w:bottom w:val="single" w:color="000000" w:sz="4" w:space="0"/>
              <w:right w:val="single" w:color="000000" w:sz="4" w:space="0"/>
            </w:tcBorders>
            <w:noWrap/>
            <w:vAlign w:val="center"/>
          </w:tcPr>
          <w:p w14:paraId="2423E1B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57DA7B84">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2061" w:type="dxa"/>
            <w:tcBorders>
              <w:top w:val="single" w:color="000000" w:sz="4" w:space="0"/>
              <w:left w:val="single" w:color="000000" w:sz="4" w:space="0"/>
              <w:bottom w:val="single" w:color="000000" w:sz="4" w:space="0"/>
              <w:right w:val="single" w:color="000000" w:sz="4" w:space="0"/>
            </w:tcBorders>
            <w:noWrap/>
            <w:vAlign w:val="center"/>
          </w:tcPr>
          <w:p w14:paraId="47D7FC4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提升参保职工和退休人员满意度</w:t>
            </w:r>
          </w:p>
        </w:tc>
        <w:tc>
          <w:tcPr>
            <w:tcW w:w="1075" w:type="dxa"/>
            <w:tcBorders>
              <w:top w:val="single" w:color="000000" w:sz="4" w:space="0"/>
              <w:left w:val="single" w:color="000000" w:sz="4" w:space="0"/>
              <w:bottom w:val="single" w:color="000000" w:sz="4" w:space="0"/>
              <w:right w:val="single" w:color="000000" w:sz="4" w:space="0"/>
            </w:tcBorders>
            <w:noWrap/>
            <w:vAlign w:val="center"/>
          </w:tcPr>
          <w:p w14:paraId="4B8A1C50">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0F9A8C45">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C00E1FD">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30F553A">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bl>
    <w:p w14:paraId="02E70E07">
      <w:pPr>
        <w:pStyle w:val="12"/>
        <w:keepNext w:val="0"/>
        <w:keepLines w:val="0"/>
        <w:pageBreakBefore w:val="0"/>
        <w:widowControl w:val="0"/>
        <w:kinsoku/>
        <w:wordWrap/>
        <w:overflowPunct/>
        <w:topLinePunct w:val="0"/>
        <w:autoSpaceDE/>
        <w:autoSpaceDN/>
        <w:bidi w:val="0"/>
        <w:adjustRightInd/>
        <w:snapToGrid w:val="0"/>
        <w:spacing w:line="576" w:lineRule="exact"/>
        <w:jc w:val="both"/>
        <w:textAlignment w:val="auto"/>
        <w:rPr>
          <w:rFonts w:hint="eastAsia" w:ascii="仿宋_GB2312" w:eastAsia="仿宋_GB2312" w:cs="仿宋_GB2312"/>
          <w:sz w:val="32"/>
          <w:szCs w:val="32"/>
          <w:lang w:val="en-US" w:eastAsia="zh-CN"/>
        </w:rPr>
      </w:pPr>
    </w:p>
    <w:p w14:paraId="4B6063F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DD542C8">
      <w:pPr>
        <w:pStyle w:val="23"/>
        <w:rPr>
          <w:rFonts w:hint="eastAsia" w:ascii="Times New Roman" w:hAnsi="Times New Roman" w:eastAsia="仿宋_GB2312" w:cs="仿宋_GB2312"/>
          <w:b w:val="0"/>
          <w:bCs w:val="0"/>
          <w:kern w:val="0"/>
          <w:position w:val="0"/>
          <w:sz w:val="32"/>
          <w:szCs w:val="32"/>
          <w:highlight w:val="none"/>
          <w:lang w:val="en-US" w:eastAsia="zh-CN" w:bidi="ar-SA"/>
        </w:rPr>
      </w:pPr>
    </w:p>
    <w:p w14:paraId="24582D12">
      <w:pPr>
        <w:rPr>
          <w:rFonts w:hint="eastAsia" w:ascii="Times New Roman" w:hAnsi="Times New Roman" w:eastAsia="仿宋_GB2312" w:cs="仿宋_GB2312"/>
          <w:b w:val="0"/>
          <w:bCs w:val="0"/>
          <w:kern w:val="0"/>
          <w:position w:val="0"/>
          <w:sz w:val="32"/>
          <w:szCs w:val="32"/>
          <w:highlight w:val="none"/>
          <w:lang w:val="en-US" w:eastAsia="zh-CN" w:bidi="ar-SA"/>
        </w:rPr>
      </w:pPr>
    </w:p>
    <w:p w14:paraId="10A3E286">
      <w:pPr>
        <w:pStyle w:val="23"/>
        <w:rPr>
          <w:rFonts w:hint="eastAsia" w:ascii="Times New Roman" w:hAnsi="Times New Roman" w:eastAsia="仿宋_GB2312" w:cs="仿宋_GB2312"/>
          <w:b w:val="0"/>
          <w:bCs w:val="0"/>
          <w:kern w:val="0"/>
          <w:position w:val="0"/>
          <w:sz w:val="32"/>
          <w:szCs w:val="32"/>
          <w:highlight w:val="none"/>
          <w:lang w:val="en-US" w:eastAsia="zh-CN" w:bidi="ar-SA"/>
        </w:rPr>
      </w:pPr>
    </w:p>
    <w:p w14:paraId="06482ABF">
      <w:pPr>
        <w:rPr>
          <w:rFonts w:hint="eastAsia" w:ascii="Times New Roman" w:hAnsi="Times New Roman" w:eastAsia="仿宋_GB2312" w:cs="仿宋_GB2312"/>
          <w:b w:val="0"/>
          <w:bCs w:val="0"/>
          <w:kern w:val="0"/>
          <w:position w:val="0"/>
          <w:sz w:val="32"/>
          <w:szCs w:val="32"/>
          <w:highlight w:val="none"/>
          <w:lang w:val="en-US" w:eastAsia="zh-CN" w:bidi="ar-SA"/>
        </w:rPr>
      </w:pPr>
    </w:p>
    <w:p w14:paraId="32870C6C">
      <w:pPr>
        <w:pStyle w:val="23"/>
        <w:rPr>
          <w:rFonts w:hint="eastAsia" w:ascii="Times New Roman" w:hAnsi="Times New Roman" w:eastAsia="仿宋_GB2312" w:cs="仿宋_GB2312"/>
          <w:b w:val="0"/>
          <w:bCs w:val="0"/>
          <w:kern w:val="0"/>
          <w:position w:val="0"/>
          <w:sz w:val="32"/>
          <w:szCs w:val="32"/>
          <w:highlight w:val="none"/>
          <w:lang w:val="en-US" w:eastAsia="zh-CN" w:bidi="ar-SA"/>
        </w:rPr>
      </w:pPr>
    </w:p>
    <w:p w14:paraId="0A60D38C">
      <w:pPr>
        <w:rPr>
          <w:rFonts w:hint="eastAsia" w:ascii="Times New Roman" w:hAnsi="Times New Roman" w:eastAsia="仿宋_GB2312" w:cs="仿宋_GB2312"/>
          <w:b w:val="0"/>
          <w:bCs w:val="0"/>
          <w:kern w:val="0"/>
          <w:position w:val="0"/>
          <w:sz w:val="32"/>
          <w:szCs w:val="32"/>
          <w:highlight w:val="none"/>
          <w:lang w:val="en-US" w:eastAsia="zh-CN" w:bidi="ar-SA"/>
        </w:rPr>
      </w:pPr>
    </w:p>
    <w:p w14:paraId="51A6DAD8">
      <w:pPr>
        <w:pStyle w:val="23"/>
        <w:rPr>
          <w:rFonts w:hint="eastAsia" w:ascii="Times New Roman" w:hAnsi="Times New Roman" w:eastAsia="仿宋_GB2312" w:cs="仿宋_GB2312"/>
          <w:b w:val="0"/>
          <w:bCs w:val="0"/>
          <w:kern w:val="0"/>
          <w:position w:val="0"/>
          <w:sz w:val="32"/>
          <w:szCs w:val="32"/>
          <w:highlight w:val="none"/>
          <w:lang w:val="en-US" w:eastAsia="zh-CN" w:bidi="ar-SA"/>
        </w:rPr>
      </w:pPr>
    </w:p>
    <w:p w14:paraId="77513DA9">
      <w:pPr>
        <w:rPr>
          <w:rFonts w:hint="eastAsia" w:ascii="Times New Roman" w:hAnsi="Times New Roman" w:eastAsia="仿宋_GB2312" w:cs="仿宋_GB2312"/>
          <w:b w:val="0"/>
          <w:bCs w:val="0"/>
          <w:kern w:val="0"/>
          <w:position w:val="0"/>
          <w:sz w:val="32"/>
          <w:szCs w:val="32"/>
          <w:highlight w:val="none"/>
          <w:lang w:val="en-US" w:eastAsia="zh-CN" w:bidi="ar-SA"/>
        </w:rPr>
      </w:pPr>
    </w:p>
    <w:p w14:paraId="280B117F">
      <w:pPr>
        <w:pStyle w:val="23"/>
        <w:rPr>
          <w:rFonts w:hint="eastAsia" w:ascii="Times New Roman" w:hAnsi="Times New Roman" w:eastAsia="仿宋_GB2312" w:cs="仿宋_GB2312"/>
          <w:b w:val="0"/>
          <w:bCs w:val="0"/>
          <w:kern w:val="0"/>
          <w:position w:val="0"/>
          <w:sz w:val="32"/>
          <w:szCs w:val="32"/>
          <w:highlight w:val="none"/>
          <w:lang w:val="en-US" w:eastAsia="zh-CN" w:bidi="ar-SA"/>
        </w:rPr>
      </w:pPr>
    </w:p>
    <w:p w14:paraId="1B85A934">
      <w:pPr>
        <w:rPr>
          <w:rFonts w:hint="eastAsia" w:ascii="Times New Roman" w:hAnsi="Times New Roman" w:eastAsia="仿宋_GB2312" w:cs="仿宋_GB2312"/>
          <w:b w:val="0"/>
          <w:bCs w:val="0"/>
          <w:kern w:val="0"/>
          <w:position w:val="0"/>
          <w:sz w:val="32"/>
          <w:szCs w:val="32"/>
          <w:highlight w:val="none"/>
          <w:lang w:val="en-US" w:eastAsia="zh-CN" w:bidi="ar-SA"/>
        </w:rPr>
      </w:pPr>
    </w:p>
    <w:p w14:paraId="7DEEA9C9">
      <w:pPr>
        <w:pStyle w:val="23"/>
        <w:rPr>
          <w:rFonts w:hint="eastAsia" w:ascii="Times New Roman" w:hAnsi="Times New Roman" w:eastAsia="仿宋_GB2312" w:cs="仿宋_GB2312"/>
          <w:b w:val="0"/>
          <w:bCs w:val="0"/>
          <w:kern w:val="0"/>
          <w:position w:val="0"/>
          <w:sz w:val="32"/>
          <w:szCs w:val="32"/>
          <w:highlight w:val="none"/>
          <w:lang w:val="en-US" w:eastAsia="zh-CN" w:bidi="ar-SA"/>
        </w:rPr>
      </w:pPr>
    </w:p>
    <w:p w14:paraId="0847C605">
      <w:pPr>
        <w:pStyle w:val="23"/>
        <w:rPr>
          <w:rFonts w:hint="eastAsia"/>
          <w:lang w:val="en-US" w:eastAsia="zh-CN"/>
        </w:rPr>
      </w:pPr>
    </w:p>
    <w:p w14:paraId="2AF518B9">
      <w:pPr>
        <w:pStyle w:val="23"/>
        <w:rPr>
          <w:rFonts w:hint="eastAsia"/>
          <w:lang w:val="en-US" w:eastAsia="zh-CN"/>
        </w:rPr>
      </w:pPr>
    </w:p>
    <w:p w14:paraId="0EDB3904">
      <w:pPr>
        <w:rPr>
          <w:rFonts w:hint="eastAsia"/>
          <w:lang w:val="en-US" w:eastAsia="zh-CN"/>
        </w:rPr>
      </w:pPr>
    </w:p>
    <w:p w14:paraId="787CC82C">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1"/>
          <w:rFonts w:hint="eastAsia" w:ascii="Times New Roman" w:hAnsi="Times New Roman" w:eastAsia="黑体"/>
          <w:b w:val="0"/>
          <w:color w:val="auto"/>
          <w:highlight w:val="none"/>
        </w:rPr>
        <w:t>五部分 附表</w:t>
      </w:r>
      <w:bookmarkEnd w:id="16"/>
      <w:bookmarkEnd w:id="51"/>
      <w:bookmarkStart w:id="53" w:name="_Toc15396619"/>
    </w:p>
    <w:p w14:paraId="23D62DAC">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2FB52C01">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3"/>
    </w:p>
    <w:p w14:paraId="7B0C3458">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0"/>
      <w:r>
        <w:rPr>
          <w:rFonts w:hint="eastAsia" w:ascii="Times New Roman" w:hAnsi="Times New Roman" w:eastAsia="仿宋_GB2312" w:cs="仿宋_GB2312"/>
          <w:color w:val="auto"/>
          <w:sz w:val="32"/>
          <w:szCs w:val="32"/>
          <w:highlight w:val="none"/>
        </w:rPr>
        <w:t>二、收入决算表</w:t>
      </w:r>
      <w:bookmarkEnd w:id="54"/>
    </w:p>
    <w:p w14:paraId="46A912E5">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1"/>
      <w:r>
        <w:rPr>
          <w:rFonts w:hint="eastAsia" w:ascii="Times New Roman" w:hAnsi="Times New Roman" w:eastAsia="仿宋_GB2312" w:cs="仿宋_GB2312"/>
          <w:color w:val="auto"/>
          <w:sz w:val="32"/>
          <w:szCs w:val="32"/>
          <w:highlight w:val="none"/>
        </w:rPr>
        <w:t>三、支出决算表</w:t>
      </w:r>
      <w:bookmarkEnd w:id="55"/>
    </w:p>
    <w:p w14:paraId="1722A9AF">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2"/>
      <w:r>
        <w:rPr>
          <w:rFonts w:hint="eastAsia" w:ascii="Times New Roman" w:hAnsi="Times New Roman" w:eastAsia="仿宋_GB2312" w:cs="仿宋_GB2312"/>
          <w:color w:val="auto"/>
          <w:sz w:val="32"/>
          <w:szCs w:val="32"/>
          <w:highlight w:val="none"/>
        </w:rPr>
        <w:t>四、财政拨款收入支出决算总表</w:t>
      </w:r>
      <w:bookmarkEnd w:id="56"/>
    </w:p>
    <w:p w14:paraId="4E4D4808">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3"/>
      <w:r>
        <w:rPr>
          <w:rFonts w:hint="eastAsia" w:ascii="Times New Roman" w:hAnsi="Times New Roman" w:eastAsia="仿宋_GB2312" w:cs="仿宋_GB2312"/>
          <w:color w:val="auto"/>
          <w:sz w:val="32"/>
          <w:szCs w:val="32"/>
          <w:highlight w:val="none"/>
        </w:rPr>
        <w:t>五、财政拨款支出决算明细表</w:t>
      </w:r>
      <w:bookmarkEnd w:id="57"/>
      <w:bookmarkStart w:id="58" w:name="_Toc15396624"/>
    </w:p>
    <w:p w14:paraId="698884D4">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8"/>
    </w:p>
    <w:p w14:paraId="7E26D244">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5"/>
      <w:r>
        <w:rPr>
          <w:rFonts w:hint="eastAsia" w:ascii="Times New Roman" w:hAnsi="Times New Roman" w:eastAsia="仿宋_GB2312" w:cs="仿宋_GB2312"/>
          <w:color w:val="auto"/>
          <w:sz w:val="32"/>
          <w:szCs w:val="32"/>
          <w:highlight w:val="none"/>
        </w:rPr>
        <w:t>七、一般公共预算财政拨款支出决算明细表</w:t>
      </w:r>
      <w:bookmarkEnd w:id="59"/>
    </w:p>
    <w:p w14:paraId="407A2209">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6"/>
      <w:r>
        <w:rPr>
          <w:rFonts w:hint="eastAsia" w:ascii="Times New Roman" w:hAnsi="Times New Roman" w:eastAsia="仿宋_GB2312" w:cs="仿宋_GB2312"/>
          <w:color w:val="auto"/>
          <w:sz w:val="32"/>
          <w:szCs w:val="32"/>
          <w:highlight w:val="none"/>
        </w:rPr>
        <w:t>八、一般公共预算财政拨款基本支出决算表</w:t>
      </w:r>
      <w:bookmarkEnd w:id="60"/>
    </w:p>
    <w:p w14:paraId="7FA005A6">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7"/>
      <w:r>
        <w:rPr>
          <w:rFonts w:hint="eastAsia" w:ascii="Times New Roman" w:hAnsi="Times New Roman" w:eastAsia="仿宋_GB2312" w:cs="仿宋_GB2312"/>
          <w:color w:val="auto"/>
          <w:sz w:val="32"/>
          <w:szCs w:val="32"/>
          <w:highlight w:val="none"/>
        </w:rPr>
        <w:t>九、一般公共预算财政拨款项目支出决算表</w:t>
      </w:r>
      <w:bookmarkEnd w:id="61"/>
    </w:p>
    <w:p w14:paraId="14519B3B">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8"/>
      <w:r>
        <w:rPr>
          <w:rFonts w:hint="eastAsia" w:ascii="Times New Roman" w:hAnsi="Times New Roman" w:eastAsia="仿宋_GB2312" w:cs="仿宋_GB2312"/>
          <w:color w:val="auto"/>
          <w:sz w:val="32"/>
          <w:szCs w:val="32"/>
          <w:highlight w:val="none"/>
        </w:rPr>
        <w:t>十、</w:t>
      </w:r>
      <w:bookmarkEnd w:id="62"/>
      <w:r>
        <w:rPr>
          <w:rFonts w:hint="eastAsia" w:ascii="Times New Roman" w:hAnsi="Times New Roman" w:eastAsia="仿宋_GB2312" w:cs="仿宋_GB2312"/>
          <w:color w:val="auto"/>
          <w:sz w:val="32"/>
          <w:szCs w:val="32"/>
          <w:highlight w:val="none"/>
        </w:rPr>
        <w:t>政府性基金预算财政拨款收入支出决算表</w:t>
      </w:r>
    </w:p>
    <w:p w14:paraId="55C955FB">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9"/>
      <w:r>
        <w:rPr>
          <w:rFonts w:hint="eastAsia" w:ascii="Times New Roman" w:hAnsi="Times New Roman" w:eastAsia="仿宋_GB2312" w:cs="仿宋_GB2312"/>
          <w:color w:val="auto"/>
          <w:sz w:val="32"/>
          <w:szCs w:val="32"/>
          <w:highlight w:val="none"/>
        </w:rPr>
        <w:t>十一、</w:t>
      </w:r>
      <w:bookmarkEnd w:id="63"/>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2917F2FD">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30"/>
      <w:r>
        <w:rPr>
          <w:rFonts w:hint="eastAsia" w:ascii="Times New Roman" w:hAnsi="Times New Roman" w:eastAsia="仿宋_GB2312" w:cs="仿宋_GB2312"/>
          <w:color w:val="auto"/>
          <w:sz w:val="32"/>
          <w:szCs w:val="32"/>
          <w:highlight w:val="none"/>
        </w:rPr>
        <w:t>十二、</w:t>
      </w:r>
      <w:bookmarkEnd w:id="64"/>
      <w:r>
        <w:rPr>
          <w:rFonts w:hint="eastAsia" w:ascii="Times New Roman" w:hAnsi="Times New Roman" w:eastAsia="仿宋_GB2312" w:cs="仿宋_GB2312"/>
          <w:color w:val="auto"/>
          <w:sz w:val="32"/>
          <w:szCs w:val="32"/>
          <w:highlight w:val="none"/>
          <w:lang w:eastAsia="zh-CN"/>
        </w:rPr>
        <w:t>国有资本经营预算财政拨款支出决算表</w:t>
      </w:r>
    </w:p>
    <w:p w14:paraId="1F8B0417">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5" w:name="_Toc15396631"/>
      <w:r>
        <w:rPr>
          <w:rFonts w:hint="eastAsia" w:ascii="Times New Roman" w:hAnsi="Times New Roman" w:eastAsia="仿宋_GB2312" w:cs="仿宋_GB2312"/>
          <w:color w:val="auto"/>
          <w:sz w:val="32"/>
          <w:szCs w:val="32"/>
          <w:highlight w:val="none"/>
        </w:rPr>
        <w:t>十三、</w:t>
      </w:r>
      <w:bookmarkEnd w:id="65"/>
      <w:r>
        <w:rPr>
          <w:rFonts w:hint="eastAsia" w:ascii="Times New Roman" w:hAnsi="Times New Roman" w:eastAsia="仿宋_GB2312" w:cs="仿宋_GB2312"/>
          <w:color w:val="auto"/>
          <w:sz w:val="32"/>
          <w:szCs w:val="32"/>
          <w:highlight w:val="none"/>
          <w:lang w:eastAsia="zh-CN"/>
        </w:rPr>
        <w:t>财政拨款“三公”经费支出决算表</w:t>
      </w:r>
    </w:p>
    <w:p w14:paraId="20397169">
      <w:pPr>
        <w:rPr>
          <w:rFonts w:hint="eastAsia" w:ascii="Times New Roman" w:hAnsi="Times New Roman"/>
          <w:lang w:eastAsia="zh-CN"/>
        </w:rPr>
      </w:pPr>
    </w:p>
    <w:sectPr>
      <w:footerReference r:id="rId5" w:type="first"/>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AFBCA">
    <w:pPr>
      <w:pStyle w:val="12"/>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47650" cy="131445"/>
              <wp:effectExtent l="0" t="0" r="0" b="0"/>
              <wp:wrapNone/>
              <wp:docPr id="1" name="文本框 1"/>
              <wp:cNvGraphicFramePr/>
              <a:graphic xmlns:a="http://schemas.openxmlformats.org/drawingml/2006/main">
                <a:graphicData uri="http://schemas.microsoft.com/office/word/2010/wordprocessingShape">
                  <wps:wsp>
                    <wps:cNvSpPr/>
                    <wps:spPr>
                      <a:xfrm>
                        <a:off x="0" y="0"/>
                        <a:ext cx="247573" cy="131559"/>
                      </a:xfrm>
                      <a:prstGeom prst="rect">
                        <a:avLst/>
                      </a:prstGeom>
                      <a:noFill/>
                      <a:ln w="6350" cap="flat" cmpd="sng">
                        <a:noFill/>
                        <a:prstDash val="solid"/>
                        <a:round/>
                      </a:ln>
                    </wps:spPr>
                    <wps:txbx>
                      <w:txbxContent>
                        <w:p w14:paraId="3E1A2F00">
                          <w:pPr>
                            <w:pStyle w:val="12"/>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0.35pt;width:19.5pt;mso-position-horizontal:center;mso-position-horizontal-relative:margin;mso-wrap-style:none;z-index:251659264;mso-width-relative:page;mso-height-relative:page;" filled="f" stroked="f" coordsize="21600,21600" o:gfxdata="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Knw7WAAAAAwEAAA8AAAAAAAAAAQAgAAAAIgAAAGRycy9k&#10;b3ducmV2LnhtbFBLAQIUABQAAAAIAIdO4kDcvAn+BAIAAPQDAAAOAAAAAAAAAAEAIAAAACUBAABk&#10;cnMvZTJvRG9jLnhtbFBLBQYAAAAABgAGAFkBAACbBQAAAAA=&#10;">
              <v:fill on="f" focussize="0,0"/>
              <v:stroke on="f" weight="0.5pt" joinstyle="round"/>
              <v:imagedata o:title=""/>
              <o:lock v:ext="edit" aspectratio="f"/>
              <v:textbox inset="0mm,0mm,0mm,0mm" style="mso-fit-shape-to-text:t;">
                <w:txbxContent>
                  <w:p w14:paraId="3E1A2F00">
                    <w:pPr>
                      <w:pStyle w:val="12"/>
                    </w:pPr>
                    <w:r>
                      <w:fldChar w:fldCharType="begin"/>
                    </w:r>
                    <w:r>
                      <w:instrText xml:space="preserve"> PAGE  \* MERGEFORMAT </w:instrText>
                    </w:r>
                    <w:r>
                      <w:fldChar w:fldCharType="separate"/>
                    </w:r>
                    <w:r>
                      <w:t>- 2 -</w:t>
                    </w:r>
                    <w:r>
                      <w:fldChar w:fldCharType="end"/>
                    </w:r>
                  </w:p>
                </w:txbxContent>
              </v:textbox>
            </v:rect>
          </w:pict>
        </mc:Fallback>
      </mc:AlternateContent>
    </w:r>
  </w:p>
  <w:p w14:paraId="5C5C8F95">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0768D">
    <w:pPr>
      <w:pStyle w:val="12"/>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4" name="文本框 2"/>
              <wp:cNvGraphicFramePr/>
              <a:graphic xmlns:a="http://schemas.openxmlformats.org/drawingml/2006/main">
                <a:graphicData uri="http://schemas.microsoft.com/office/word/2010/wordprocessingShape">
                  <wps:wsp>
                    <wps:cNvSpPr/>
                    <wps:spPr>
                      <a:xfrm>
                        <a:off x="0" y="0"/>
                        <a:ext cx="190423" cy="131559"/>
                      </a:xfrm>
                      <a:prstGeom prst="rect">
                        <a:avLst/>
                      </a:prstGeom>
                      <a:noFill/>
                      <a:ln w="6350" cap="flat" cmpd="sng">
                        <a:noFill/>
                        <a:prstDash val="solid"/>
                        <a:round/>
                      </a:ln>
                    </wps:spPr>
                    <wps:txbx>
                      <w:txbxContent>
                        <w:p w14:paraId="42A993AA">
                          <w:pPr>
                            <w:pStyle w:val="12"/>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cfhQLVAAAAAwEAAA8AAAAAAAAAAQAgAAAAIgAAAGRycy9k&#10;b3ducmV2LnhtbFBLAQIUABQAAAAIAIdO4kDuAIqLBQIAAPQDAAAOAAAAAAAAAAEAIAAAACQBAABk&#10;cnMvZTJvRG9jLnhtbFBLBQYAAAAABgAGAFkBAACbBQAAAAA=&#10;">
              <v:fill on="f" focussize="0,0"/>
              <v:stroke on="f" weight="0.5pt" joinstyle="round"/>
              <v:imagedata o:title=""/>
              <o:lock v:ext="edit" aspectratio="f"/>
              <v:textbox inset="0mm,0mm,0mm,0mm" style="mso-fit-shape-to-text:t;">
                <w:txbxContent>
                  <w:p w14:paraId="42A993AA">
                    <w:pPr>
                      <w:pStyle w:val="12"/>
                    </w:pPr>
                    <w:r>
                      <w:fldChar w:fldCharType="begin"/>
                    </w:r>
                    <w:r>
                      <w:instrText xml:space="preserve"> PAGE  \* MERGEFORMAT </w:instrText>
                    </w:r>
                    <w:r>
                      <w:fldChar w:fldCharType="separate"/>
                    </w:r>
                    <w:r>
                      <w:t>- 1 -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C0DBA">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293EEE"/>
    <w:multiLevelType w:val="singleLevel"/>
    <w:tmpl w:val="9D293EEE"/>
    <w:lvl w:ilvl="0" w:tentative="0">
      <w:start w:val="3"/>
      <w:numFmt w:val="chineseCounting"/>
      <w:suff w:val="nothing"/>
      <w:lvlText w:val="（%1）"/>
      <w:lvlJc w:val="left"/>
      <w:pPr>
        <w:ind w:left="0" w:firstLine="0"/>
      </w:pPr>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E7C0D6A"/>
    <w:rsid w:val="16AC5E91"/>
    <w:rsid w:val="22037D12"/>
    <w:rsid w:val="226A69DF"/>
    <w:rsid w:val="272D447F"/>
    <w:rsid w:val="333C43C8"/>
    <w:rsid w:val="33F66C16"/>
    <w:rsid w:val="34E72409"/>
    <w:rsid w:val="3951760D"/>
    <w:rsid w:val="3E3A7756"/>
    <w:rsid w:val="43792ACE"/>
    <w:rsid w:val="44EB3558"/>
    <w:rsid w:val="452758AE"/>
    <w:rsid w:val="45A57BAB"/>
    <w:rsid w:val="4C17236E"/>
    <w:rsid w:val="541357CD"/>
    <w:rsid w:val="54A92AE8"/>
    <w:rsid w:val="5C7943BC"/>
    <w:rsid w:val="637F3391"/>
    <w:rsid w:val="65091AAC"/>
    <w:rsid w:val="679118E5"/>
    <w:rsid w:val="73F25E01"/>
    <w:rsid w:val="75DA08FB"/>
    <w:rsid w:val="78544995"/>
    <w:rsid w:val="78C435DA"/>
    <w:rsid w:val="7B7D06A6"/>
    <w:rsid w:val="7F410507"/>
    <w:rsid w:val="EA7685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1"/>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2"/>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qFormat/>
    <w:uiPriority w:val="0"/>
    <w:pPr>
      <w:ind w:firstLine="200" w:firstLineChars="200"/>
    </w:pPr>
  </w:style>
  <w:style w:type="paragraph" w:styleId="4">
    <w:name w:val="Body Text Indent"/>
    <w:basedOn w:val="1"/>
    <w:next w:val="3"/>
    <w:qFormat/>
    <w:uiPriority w:val="0"/>
    <w:pPr>
      <w:spacing w:after="120"/>
      <w:ind w:left="200" w:leftChars="200"/>
    </w:pPr>
    <w:rPr>
      <w:rFonts w:ascii="仿宋_GB2312" w:hAnsi="仿宋_GB2312"/>
      <w:szCs w:val="32"/>
    </w:rPr>
  </w:style>
  <w:style w:type="paragraph" w:styleId="8">
    <w:name w:val="index 5"/>
    <w:basedOn w:val="1"/>
    <w:next w:val="1"/>
    <w:qFormat/>
    <w:uiPriority w:val="0"/>
    <w:pPr>
      <w:ind w:left="1680"/>
    </w:pPr>
  </w:style>
  <w:style w:type="paragraph" w:styleId="9">
    <w:name w:val="Body Text"/>
    <w:basedOn w:val="1"/>
    <w:next w:val="1"/>
    <w:qFormat/>
    <w:uiPriority w:val="0"/>
    <w:pPr>
      <w:spacing w:before="30" w:beforeLines="30"/>
    </w:pPr>
    <w:rPr>
      <w:rFonts w:ascii="仿宋_GB2312" w:eastAsia="仿宋_GB2312"/>
      <w:kern w:val="0"/>
      <w:sz w:val="30"/>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next w:val="8"/>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toc 2"/>
    <w:basedOn w:val="1"/>
    <w:next w:val="1"/>
    <w:qFormat/>
    <w:uiPriority w:val="0"/>
    <w:pPr>
      <w:tabs>
        <w:tab w:val="right" w:leader="dot" w:pos="8296"/>
      </w:tabs>
      <w:ind w:left="200" w:leftChars="200"/>
    </w:pPr>
  </w:style>
  <w:style w:type="paragraph" w:styleId="16">
    <w:name w:val="Body Text First Indent"/>
    <w:basedOn w:val="9"/>
    <w:qFormat/>
    <w:uiPriority w:val="0"/>
    <w:pPr>
      <w:ind w:firstLine="100" w:firstLineChars="100"/>
    </w:pPr>
    <w:rPr>
      <w:kern w:val="0"/>
      <w:sz w:val="20"/>
      <w:szCs w:val="20"/>
    </w:r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customStyle="1" w:styleId="21">
    <w:name w:val="heading 1 Char"/>
    <w:basedOn w:val="18"/>
    <w:link w:val="5"/>
    <w:qFormat/>
    <w:uiPriority w:val="0"/>
    <w:rPr>
      <w:rFonts w:ascii="Times New Roman" w:hAnsi="Times New Roman" w:eastAsia="宋体" w:cs="Times New Roman"/>
      <w:b/>
      <w:bCs/>
      <w:kern w:val="44"/>
      <w:sz w:val="44"/>
      <w:szCs w:val="44"/>
      <w:lang w:val="en-US" w:eastAsia="zh-CN" w:bidi="ar-SA"/>
    </w:rPr>
  </w:style>
  <w:style w:type="character" w:customStyle="1" w:styleId="22">
    <w:name w:val="heading 2 Char"/>
    <w:basedOn w:val="18"/>
    <w:link w:val="6"/>
    <w:qFormat/>
    <w:uiPriority w:val="0"/>
    <w:rPr>
      <w:rFonts w:ascii="Cambria" w:hAnsi="Cambria" w:eastAsia="宋体" w:cs="Times New Roman"/>
      <w:b/>
      <w:bCs/>
      <w:kern w:val="2"/>
      <w:sz w:val="32"/>
      <w:szCs w:val="32"/>
      <w:lang w:val="en-US" w:eastAsia="zh-CN" w:bidi="ar-SA"/>
    </w:rPr>
  </w:style>
  <w:style w:type="paragraph" w:customStyle="1" w:styleId="23">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4">
    <w:name w:val="Header Char"/>
    <w:basedOn w:val="18"/>
    <w:qFormat/>
    <w:uiPriority w:val="0"/>
    <w:rPr>
      <w:rFonts w:ascii="Times New Roman" w:hAnsi="Times New Roman"/>
      <w:sz w:val="18"/>
      <w:szCs w:val="18"/>
    </w:rPr>
  </w:style>
  <w:style w:type="character" w:customStyle="1" w:styleId="25">
    <w:name w:val="Footer Char"/>
    <w:basedOn w:val="18"/>
    <w:qFormat/>
    <w:uiPriority w:val="0"/>
    <w:rPr>
      <w:rFonts w:ascii="Times New Roman" w:hAnsi="Times New Roman"/>
      <w:sz w:val="18"/>
      <w:szCs w:val="18"/>
    </w:rPr>
  </w:style>
  <w:style w:type="character" w:customStyle="1" w:styleId="26">
    <w:name w:val="Body Text Char"/>
    <w:basedOn w:val="18"/>
    <w:qFormat/>
    <w:uiPriority w:val="0"/>
    <w:rPr>
      <w:rFonts w:ascii="Times New Roman" w:hAnsi="Times New Roman"/>
      <w:szCs w:val="24"/>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8">
    <w:name w:val="List Paragraph"/>
    <w:basedOn w:val="1"/>
    <w:qFormat/>
    <w:uiPriority w:val="0"/>
    <w:pPr>
      <w:ind w:firstLine="200" w:firstLineChars="200"/>
    </w:pPr>
  </w:style>
  <w:style w:type="paragraph" w:customStyle="1" w:styleId="29">
    <w:name w:val="TOC 标题1"/>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TOC Heading"/>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1">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2">
    <w:name w:val="正文首行缩进1"/>
    <w:basedOn w:val="9"/>
    <w:qFormat/>
    <w:uiPriority w:val="0"/>
    <w:pPr>
      <w:spacing w:before="100" w:beforeLines="0" w:beforeAutospacing="1" w:after="0"/>
      <w:ind w:firstLine="100" w:firstLineChars="100"/>
    </w:pPr>
    <w:rPr>
      <w:rFonts w:ascii="Times New Roman" w:hAnsi="Times New Roman" w:eastAsia="楷体_GB2312"/>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21</Pages>
  <Words>37</Words>
  <Characters>44</Characters>
  <Lines>468</Lines>
  <Paragraphs>251</Paragraphs>
  <TotalTime>43</TotalTime>
  <ScaleCrop>false</ScaleCrop>
  <LinksUpToDate>false</LinksUpToDate>
  <CharactersWithSpaces>47</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Administrator</cp:lastModifiedBy>
  <cp:lastPrinted>2025-09-19T15:05:00Z</cp:lastPrinted>
  <dcterms:modified xsi:type="dcterms:W3CDTF">2025-09-22T07:10:03Z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5517CEA3217B43998AFAD9469F3CBFE5_13</vt:lpwstr>
  </property>
  <property fmtid="{D5CDD505-2E9C-101B-9397-08002B2CF9AE}" pid="4" name="KSOTemplateDocerSaveRecord">
    <vt:lpwstr>eyJoZGlkIjoiZDhjOTYyYjJiYTQxNjdmOGE4MTEzNzczMTBiZWM1NjkifQ==</vt:lpwstr>
  </property>
</Properties>
</file>