
<file path=[Content_Types].xml><?xml version="1.0" encoding="utf-8"?>
<Types xmlns="http://schemas.openxmlformats.org/package/2006/content-types">
  <Default Extension="rels" ContentType="application/vnd.openxmlformats-package.relationships+xml"/>
  <Default Extension="xml" ContentType="application/xml"/>
  <Default Extension="xlsx" ContentType="application/vnd.openxmlformats-officedocument.spreadsheetml.sheet"/>
  <Override PartName="/word/settings.xml" ContentType="application/vnd.openxmlformats-officedocument.wordprocessingml.settings+xml"/>
  <Override PartName="/word/header1.xml" ContentType="application/vnd.openxmlformats-officedocument.wordprocessingml.header+xml"/>
  <Override PartName="/word/footer1.xml" ContentType="application/vnd.openxmlformats-officedocument.wordprocessingml.footer+xml"/>
  <Override PartName="/word/charts/chart1.xml" ContentType="application/vnd.openxmlformats-officedocument.drawingml.chart+xml"/>
  <Override PartName="/word/charts/chart2.xml" ContentType="application/vnd.openxmlformats-officedocument.drawingml.chart+xml"/>
  <Override PartName="/word/charts/chart3.xml" ContentType="application/vnd.openxmlformats-officedocument.drawingml.chart+xml"/>
  <Override PartName="/word/charts/chart4.xml" ContentType="application/vnd.openxmlformats-officedocument.drawingml.chart+xml"/>
  <Override PartName="/word/charts/chart5.xml" ContentType="application/vnd.openxmlformats-officedocument.drawingml.chart+xml"/>
  <Override PartName="/word/charts/chart6.xml" ContentType="application/vnd.openxmlformats-officedocument.drawingml.chart+xml"/>
  <Override PartName="/word/charts/chart7.xml" ContentType="application/vnd.openxmlformats-officedocument.drawingml.chart+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http://schemas.openxmlformats.org/wordprocessingml/2006/main" xmlns:o="urn:schemas-microsoft-com:office:office" xmlns:r="http://schemas.openxmlformats.org/officeDocument/2006/relationships" xmlns:m="http://schemas.openxmlformats.org/officeDocument/2006/math" xmlns:v="urn:schemas-microsoft-com:vml" xmlns:a="http://schemas.openxmlformats.org/drawingml/2006/main" xmlns:wps="http://schemas.microsoft.com/office/word/2010/wordprocessingShape" xmlns:wp="http://schemas.openxmlformats.org/drawingml/2006/wordprocessingDrawing" xmlns:pic="http://schemas.openxmlformats.org/drawingml/2006/picture" xmlns:mc="http://schemas.openxmlformats.org/markup-compatibility/2006" xmlns:wpg="http://schemas.microsoft.com/office/word/2010/wordprocessingGroup" xmlns:wpc="http://schemas.microsoft.com/office/word/2010/wordprocessingCanvas" xmlns:w10="urn:schemas-microsoft-com:office:word" xmlns:w14="http://schemas.microsoft.com/office/word/2010/wordml" xmlns:w15="http://schemas.microsoft.com/office/word/2012/wordml" xmlns:a14="http://schemas.microsoft.com/office/drawing/2010/main" mc:Ignorable="w14 w15">
  <w:body>
    <w:p>
      <w:pPr>
        <w:keepNext w:val="0"/>
        <w:keepLines w:val="0"/>
        <w:pageBreakBefore w:val="0"/>
        <w:widowControl w:val="0"/>
        <w:kinsoku/>
        <w:wordWrap/>
        <w:overflowPunct/>
        <w:topLinePunct w:val="0"/>
        <w:autoSpaceDE/>
        <w:autoSpaceDN/>
        <w:bidi w:val="0"/>
        <w:adjustRightInd/>
        <w:snapToGrid/>
        <w:spacing w:line="576" w:lineRule="exact"/>
        <w:jc w:val="center"/>
        <w:textAlignment w:val="auto"/>
        <w:rPr>
          <w:rFonts w:ascii="方正小标宋简体" w:eastAsia="方正小标宋简体" w:cs="方正小标宋简体" w:hint="eastAsia"/>
          <w:sz w:val="48"/>
          <w:szCs w:val="48"/>
        </w:rPr>
      </w:pPr>
      <w:r>
        <w:rPr>
          <w:rFonts w:ascii="方正小标宋简体" w:eastAsia="方正小标宋简体" w:cs="方正小标宋简体" w:hint="eastAsia"/>
          <w:sz w:val="48"/>
          <w:szCs w:val="48"/>
        </w:rPr>
        <w:t>2022年度</w:t>
      </w:r>
    </w:p>
    <w:p>
      <w:pPr>
        <w:keepNext w:val="0"/>
        <w:keepLines w:val="0"/>
        <w:pageBreakBefore w:val="0"/>
        <w:widowControl w:val="0"/>
        <w:kinsoku/>
        <w:wordWrap/>
        <w:overflowPunct/>
        <w:topLinePunct w:val="0"/>
        <w:autoSpaceDE/>
        <w:autoSpaceDN/>
        <w:bidi w:val="0"/>
        <w:adjustRightInd/>
        <w:snapToGrid/>
        <w:spacing w:line="576" w:lineRule="exact"/>
        <w:jc w:val="center"/>
        <w:textAlignment w:val="auto"/>
        <w:rPr>
          <w:rFonts w:ascii="方正小标宋简体" w:eastAsia="方正小标宋简体" w:cs="方正小标宋简体" w:hint="eastAsia"/>
          <w:sz w:val="48"/>
          <w:szCs w:val="48"/>
        </w:rPr>
      </w:pPr>
      <w:r>
        <w:rPr>
          <w:rFonts w:ascii="方正小标宋简体" w:eastAsia="方正小标宋简体" w:cs="方正小标宋简体" w:hint="eastAsia"/>
          <w:sz w:val="48"/>
          <w:szCs w:val="48"/>
        </w:rPr>
        <w:t>四川省阿坝州茂县</w:t>
      </w:r>
      <w:r>
        <w:rPr>
          <w:rFonts w:ascii="方正小标宋简体" w:eastAsia="方正小标宋简体" w:cs="方正小标宋简体" w:hint="eastAsia"/>
          <w:sz w:val="48"/>
          <w:szCs w:val="48"/>
          <w:lang w:val="en-US" w:eastAsia="zh-CN"/>
        </w:rPr>
        <w:t>公共就业和人才交流服务局</w:t>
      </w:r>
      <w:r>
        <w:rPr>
          <w:rFonts w:ascii="方正小标宋简体" w:eastAsia="方正小标宋简体" w:cs="方正小标宋简体" w:hint="eastAsia"/>
          <w:sz w:val="48"/>
          <w:szCs w:val="48"/>
        </w:rPr>
        <w:t>2022年度部门决算</w:t>
      </w:r>
    </w:p>
    <w:p>
      <w:pPr>
        <w:keepNext w:val="0"/>
        <w:keepLines w:val="0"/>
        <w:pageBreakBefore w:val="0"/>
        <w:widowControl w:val="0"/>
        <w:kinsoku/>
        <w:wordWrap/>
        <w:overflowPunct/>
        <w:topLinePunct w:val="0"/>
        <w:autoSpaceDE/>
        <w:autoSpaceDN/>
        <w:bidi w:val="0"/>
        <w:adjustRightInd/>
        <w:snapToGrid/>
        <w:spacing w:line="576" w:lineRule="exact"/>
        <w:jc w:val="center"/>
        <w:textAlignment w:val="auto"/>
        <w:rPr>
          <w:rFonts w:ascii="方正小标宋简体" w:eastAsia="方正小标宋简体" w:cs="方正小标宋简体" w:hint="eastAsia"/>
          <w:sz w:val="48"/>
          <w:szCs w:val="48"/>
        </w:rPr>
      </w:pPr>
      <w:r>
        <w:rPr>
          <w:rFonts w:ascii="方正小标宋简体" w:eastAsia="方正小标宋简体" w:cs="方正小标宋简体" w:hint="eastAsia"/>
          <w:sz w:val="48"/>
          <w:szCs w:val="48"/>
        </w:rPr>
        <w:t>汇总单位决算</w:t>
      </w:r>
    </w:p>
    <w:p>
      <w:pPr>
        <w:pStyle w:val="25"/>
        <w:keepNext w:val="0"/>
        <w:keepLines w:val="0"/>
        <w:pageBreakBefore w:val="0"/>
        <w:widowControl/>
        <w:suppressLineNumbers w:val="0"/>
        <w:kinsoku/>
        <w:wordWrap/>
        <w:overflowPunct/>
        <w:topLinePunct w:val="0"/>
        <w:bidi w:val="0"/>
        <w:spacing w:line="576" w:lineRule="exact"/>
        <w:jc w:val="center"/>
        <w:textAlignment w:val="auto"/>
      </w:pPr>
    </w:p>
    <w:p>
      <w:pPr>
        <w:pStyle w:val="25"/>
        <w:keepNext w:val="0"/>
        <w:keepLines w:val="0"/>
        <w:pageBreakBefore w:val="0"/>
        <w:widowControl/>
        <w:suppressLineNumbers w:val="0"/>
        <w:kinsoku/>
        <w:wordWrap/>
        <w:overflowPunct/>
        <w:topLinePunct w:val="0"/>
        <w:bidi w:val="0"/>
        <w:spacing w:line="576" w:lineRule="exact"/>
        <w:jc w:val="center"/>
        <w:textAlignment w:val="auto"/>
      </w:pPr>
      <w:r>
        <w:t> </w:t>
      </w:r>
    </w:p>
    <w:p>
      <w:pPr>
        <w:pStyle w:val="25"/>
        <w:keepNext w:val="0"/>
        <w:keepLines w:val="0"/>
        <w:pageBreakBefore w:val="0"/>
        <w:widowControl/>
        <w:suppressLineNumbers w:val="0"/>
        <w:kinsoku/>
        <w:wordWrap/>
        <w:overflowPunct/>
        <w:topLinePunct w:val="0"/>
        <w:bidi w:val="0"/>
        <w:spacing w:line="576" w:lineRule="exact"/>
        <w:jc w:val="center"/>
        <w:textAlignment w:val="auto"/>
      </w:pPr>
      <w:r>
        <w:t> </w:t>
      </w:r>
    </w:p>
    <w:p>
      <w:pPr>
        <w:pStyle w:val="25"/>
        <w:keepNext w:val="0"/>
        <w:keepLines w:val="0"/>
        <w:pageBreakBefore w:val="0"/>
        <w:widowControl/>
        <w:suppressLineNumbers w:val="0"/>
        <w:kinsoku/>
        <w:wordWrap/>
        <w:overflowPunct/>
        <w:topLinePunct w:val="0"/>
        <w:bidi w:val="0"/>
        <w:spacing w:line="576" w:lineRule="exact"/>
        <w:jc w:val="center"/>
        <w:textAlignment w:val="auto"/>
      </w:pPr>
      <w:r>
        <w:t> </w:t>
      </w:r>
    </w:p>
    <w:p>
      <w:pPr>
        <w:pStyle w:val="25"/>
        <w:keepNext w:val="0"/>
        <w:keepLines w:val="0"/>
        <w:pageBreakBefore w:val="0"/>
        <w:widowControl/>
        <w:suppressLineNumbers w:val="0"/>
        <w:kinsoku/>
        <w:wordWrap/>
        <w:overflowPunct/>
        <w:topLinePunct w:val="0"/>
        <w:bidi w:val="0"/>
        <w:spacing w:line="576" w:lineRule="exact"/>
        <w:jc w:val="center"/>
        <w:textAlignment w:val="auto"/>
      </w:pPr>
      <w:r>
        <w:t> </w:t>
      </w:r>
    </w:p>
    <w:p>
      <w:pPr>
        <w:pStyle w:val="25"/>
        <w:keepNext w:val="0"/>
        <w:keepLines w:val="0"/>
        <w:pageBreakBefore w:val="0"/>
        <w:widowControl/>
        <w:suppressLineNumbers w:val="0"/>
        <w:kinsoku/>
        <w:wordWrap/>
        <w:overflowPunct/>
        <w:topLinePunct w:val="0"/>
        <w:bidi w:val="0"/>
        <w:spacing w:line="576" w:lineRule="exact"/>
        <w:jc w:val="center"/>
        <w:textAlignment w:val="auto"/>
      </w:pPr>
      <w:r>
        <w:t> </w:t>
      </w:r>
    </w:p>
    <w:p>
      <w:pPr>
        <w:pStyle w:val="25"/>
        <w:keepNext w:val="0"/>
        <w:keepLines w:val="0"/>
        <w:pageBreakBefore w:val="0"/>
        <w:widowControl/>
        <w:suppressLineNumbers w:val="0"/>
        <w:kinsoku/>
        <w:wordWrap/>
        <w:overflowPunct/>
        <w:topLinePunct w:val="0"/>
        <w:bidi w:val="0"/>
        <w:spacing w:line="576" w:lineRule="exact"/>
        <w:jc w:val="center"/>
        <w:textAlignment w:val="auto"/>
      </w:pPr>
      <w:r>
        <w:t> </w:t>
      </w:r>
    </w:p>
    <w:p>
      <w:pPr>
        <w:pageBreakBefore w:val="0"/>
        <w:widowControl w:val="0"/>
        <w:kinsoku/>
        <w:wordWrap/>
        <w:overflowPunct/>
        <w:topLinePunct w:val="0"/>
        <w:autoSpaceDE w:val="0"/>
        <w:autoSpaceDN w:val="0"/>
        <w:bidi w:val="0"/>
        <w:adjustRightInd w:val="0"/>
        <w:spacing w:line="576" w:lineRule="exact"/>
        <w:ind w:leftChars="200" w:left="420"/>
        <w:jc w:val="left"/>
        <w:textAlignment w:val="auto"/>
        <w:rPr>
          <w:rFonts w:ascii="宋体" w:eastAsia="宋体" w:cs="仿宋_GB2312" w:hint="eastAsia"/>
          <w:sz w:val="32"/>
          <w:szCs w:val="32"/>
        </w:rPr>
      </w:pPr>
      <w:r>
        <w:rPr>
          <w:rFonts w:ascii="宋体" w:eastAsia="宋体" w:cs="仿宋_GB2312" w:hint="eastAsia"/>
          <w:sz w:val="32"/>
          <w:szCs w:val="32"/>
        </w:rPr>
        <w:t> </w:t>
      </w:r>
    </w:p>
    <w:p>
      <w:pPr>
        <w:pageBreakBefore w:val="0"/>
        <w:widowControl w:val="0"/>
        <w:kinsoku/>
        <w:wordWrap/>
        <w:overflowPunct/>
        <w:topLinePunct w:val="0"/>
        <w:autoSpaceDE w:val="0"/>
        <w:autoSpaceDN w:val="0"/>
        <w:bidi w:val="0"/>
        <w:adjustRightInd w:val="0"/>
        <w:spacing w:line="576" w:lineRule="exact"/>
        <w:ind w:leftChars="200" w:left="420"/>
        <w:jc w:val="left"/>
        <w:textAlignment w:val="auto"/>
        <w:rPr>
          <w:rFonts w:ascii="宋体" w:eastAsia="宋体" w:cs="仿宋_GB2312" w:hint="eastAsia"/>
          <w:sz w:val="32"/>
          <w:szCs w:val="32"/>
        </w:rPr>
      </w:pPr>
      <w:r>
        <w:rPr>
          <w:rFonts w:ascii="宋体" w:eastAsia="宋体" w:cs="仿宋_GB2312" w:hint="eastAsia"/>
          <w:sz w:val="32"/>
          <w:szCs w:val="32"/>
        </w:rPr>
        <w:t>已经保密审查、内容审定，同意对外公开</w:t>
      </w:r>
    </w:p>
    <w:p>
      <w:pPr>
        <w:pStyle w:val="25"/>
        <w:keepNext w:val="0"/>
        <w:keepLines w:val="0"/>
        <w:pageBreakBefore w:val="0"/>
        <w:widowControl/>
        <w:suppressLineNumbers w:val="0"/>
        <w:kinsoku/>
        <w:wordWrap/>
        <w:overflowPunct/>
        <w:topLinePunct w:val="0"/>
        <w:bidi w:val="0"/>
        <w:spacing w:line="576" w:lineRule="exact"/>
        <w:textAlignment w:val="auto"/>
      </w:pPr>
      <w:r>
        <w:t> </w:t>
      </w:r>
    </w:p>
    <w:p>
      <w:pPr>
        <w:pStyle w:val="25"/>
        <w:keepNext w:val="0"/>
        <w:keepLines w:val="0"/>
        <w:pageBreakBefore w:val="0"/>
        <w:widowControl/>
        <w:suppressLineNumbers w:val="0"/>
        <w:kinsoku/>
        <w:wordWrap/>
        <w:overflowPunct/>
        <w:topLinePunct w:val="0"/>
        <w:bidi w:val="0"/>
        <w:spacing w:line="576" w:lineRule="exact"/>
        <w:textAlignment w:val="auto"/>
      </w:pPr>
      <w:r>
        <w:t> </w:t>
      </w:r>
    </w:p>
    <w:p>
      <w:pPr>
        <w:pStyle w:val="25"/>
        <w:keepNext w:val="0"/>
        <w:keepLines w:val="0"/>
        <w:pageBreakBefore w:val="0"/>
        <w:widowControl/>
        <w:suppressLineNumbers w:val="0"/>
        <w:kinsoku/>
        <w:wordWrap/>
        <w:overflowPunct/>
        <w:topLinePunct w:val="0"/>
        <w:bidi w:val="0"/>
        <w:spacing w:line="576" w:lineRule="exact"/>
        <w:jc w:val="center"/>
        <w:textAlignment w:val="auto"/>
      </w:pPr>
      <w:r>
        <w:t> </w:t>
      </w:r>
    </w:p>
    <w:p>
      <w:pPr>
        <w:pStyle w:val="25"/>
        <w:keepNext w:val="0"/>
        <w:keepLines w:val="0"/>
        <w:pageBreakBefore w:val="0"/>
        <w:widowControl/>
        <w:suppressLineNumbers w:val="0"/>
        <w:kinsoku/>
        <w:wordWrap/>
        <w:overflowPunct/>
        <w:topLinePunct w:val="0"/>
        <w:bidi w:val="0"/>
        <w:spacing w:line="576" w:lineRule="exact"/>
        <w:textAlignment w:val="auto"/>
        <w:rPr>
          <w:rFonts w:ascii="方正小标宋简体" w:eastAsia="方正小标宋简体"/>
          <w:color w:val="000000"/>
          <w:sz w:val="36"/>
          <w:szCs w:val="36"/>
        </w:rPr>
      </w:pPr>
      <w:r>
        <w:t> </w:t>
      </w:r>
    </w:p>
    <w:p>
      <w:pPr>
        <w:pStyle w:val="25"/>
        <w:widowControl/>
        <w:spacing w:line="576" w:lineRule="exact"/>
      </w:pPr>
      <w:r>
        <w:rPr>
          <w:rFonts w:ascii="方正小标宋简体" w:eastAsia="方正小标宋简体"/>
          <w:sz w:val="36"/>
          <w:szCs w:val="36"/>
        </w:rPr>
        <w:br w:type="page"/>
      </w:r>
    </w:p>
    <w:p>
      <w:pPr>
        <w:pStyle w:val="25"/>
        <w:widowControl/>
        <w:spacing w:line="576" w:lineRule="exact"/>
        <w:jc w:val="center"/>
        <w:rPr>
          <w:rFonts w:ascii="黑体" w:eastAsia="黑体"/>
          <w:color w:val="000000"/>
          <w:sz w:val="48"/>
          <w:szCs w:val="48"/>
        </w:rPr>
      </w:pPr>
      <w:bookmarkStart w:id="0" w:name="_Toc15377196"/>
      <w:r>
        <w:rPr>
          <w:rFonts w:ascii="黑体" w:eastAsia="黑体" w:hint="eastAsia"/>
          <w:color w:val="000000"/>
          <w:sz w:val="48"/>
          <w:szCs w:val="48"/>
        </w:rPr>
        <w:t>目录</w:t>
      </w:r>
    </w:p>
    <w:p>
      <w:pPr>
        <w:pStyle w:val="22"/>
        <w:tabs>
          <w:tab w:val="right" w:leader="dot" w:pos="8296"/>
        </w:tabs>
        <w:spacing w:line="576" w:lineRule="exact"/>
      </w:pPr>
      <w:r>
        <w:rPr>
          <w:rFonts w:hint="eastAsia"/>
          <w:sz w:val="24"/>
          <w:szCs w:val="24"/>
        </w:rPr>
        <w:t>公开时间：2023年9月12日</w:t>
      </w:r>
    </w:p>
    <w:p>
      <w:pPr>
        <w:pStyle w:val="37"/>
        <w:tabs>
          <w:tab w:val="right" w:leader="dot" w:pos="8306"/>
        </w:tabs>
        <w:spacing w:line="576" w:lineRule="exact"/>
      </w:pPr>
      <w:r>
        <w:rPr>
          <w:rFonts w:ascii="黑体" w:eastAsia="黑体" w:hint="eastAsia"/>
          <w:szCs w:val="44"/>
        </w:rPr>
        <w:t>第一部分 部门概况</w:t>
      </w:r>
      <w:r>
        <w:tab/>
        <w:t>5</w:t>
      </w:r>
    </w:p>
    <w:p>
      <w:pPr>
        <w:pStyle w:val="38"/>
        <w:tabs>
          <w:tab w:val="right" w:leader="dot" w:pos="8306"/>
        </w:tabs>
        <w:spacing w:line="576" w:lineRule="exact"/>
      </w:pPr>
      <w:r>
        <w:rPr>
          <w:rFonts w:ascii="黑体" w:eastAsia="黑体" w:hint="eastAsia"/>
          <w:kern w:val="2"/>
          <w:szCs w:val="32"/>
        </w:rPr>
        <w:t>一、基本职能及主要工作</w:t>
      </w:r>
      <w:r>
        <w:tab/>
        <w:t>5</w:t>
      </w:r>
    </w:p>
    <w:p>
      <w:pPr>
        <w:pStyle w:val="39"/>
        <w:tabs>
          <w:tab w:val="right" w:leader="dot" w:pos="8306"/>
        </w:tabs>
        <w:spacing w:line="576" w:lineRule="exact"/>
      </w:pPr>
      <w:r>
        <w:rPr>
          <w:rFonts w:ascii="仿宋" w:eastAsia="仿宋" w:hint="eastAsia"/>
          <w:bCs/>
          <w:szCs w:val="32"/>
        </w:rPr>
        <w:t>（一）主要职能</w:t>
      </w:r>
      <w:r>
        <w:tab/>
        <w:t>5</w:t>
      </w:r>
    </w:p>
    <w:p>
      <w:pPr>
        <w:pStyle w:val="39"/>
        <w:tabs>
          <w:tab w:val="right" w:leader="dot" w:pos="8306"/>
        </w:tabs>
        <w:spacing w:line="576" w:lineRule="exact"/>
      </w:pPr>
      <w:r>
        <w:rPr>
          <w:rFonts w:ascii="仿宋" w:eastAsia="仿宋" w:hint="eastAsia"/>
          <w:bCs/>
          <w:szCs w:val="32"/>
        </w:rPr>
        <w:t>（二）</w:t>
      </w:r>
      <w:r>
        <w:rPr>
          <w:rFonts w:ascii="仿宋" w:eastAsia="仿宋"/>
          <w:bCs/>
          <w:szCs w:val="32"/>
        </w:rPr>
        <w:t>2022</w:t>
      </w:r>
      <w:r>
        <w:rPr>
          <w:rFonts w:ascii="仿宋" w:eastAsia="仿宋" w:hint="eastAsia"/>
          <w:bCs/>
          <w:szCs w:val="32"/>
        </w:rPr>
        <w:t>年重点工作完成情况</w:t>
      </w:r>
      <w:r>
        <w:tab/>
      </w:r>
      <w:r>
        <w:rPr>
          <w:rFonts w:hint="eastAsia"/>
        </w:rPr>
        <w:t>6</w:t>
      </w:r>
    </w:p>
    <w:p>
      <w:pPr>
        <w:pStyle w:val="38"/>
        <w:tabs>
          <w:tab w:val="right" w:leader="dot" w:pos="8306"/>
        </w:tabs>
        <w:spacing w:line="576" w:lineRule="exact"/>
      </w:pPr>
      <w:r>
        <w:rPr>
          <w:rFonts w:ascii="黑体" w:eastAsia="黑体" w:hint="eastAsia"/>
          <w:kern w:val="2"/>
          <w:szCs w:val="32"/>
        </w:rPr>
        <w:t>二、机构设置</w:t>
      </w:r>
      <w:r>
        <w:tab/>
      </w:r>
      <w:r>
        <w:rPr>
          <w:rFonts w:hint="eastAsia"/>
        </w:rPr>
        <w:t>7</w:t>
      </w:r>
    </w:p>
    <w:p>
      <w:pPr>
        <w:pStyle w:val="37"/>
        <w:tabs>
          <w:tab w:val="right" w:leader="dot" w:pos="8306"/>
        </w:tabs>
        <w:spacing w:line="576" w:lineRule="exact"/>
      </w:pPr>
      <w:r>
        <w:rPr>
          <w:rFonts w:ascii="黑体" w:eastAsia="黑体" w:hint="eastAsia"/>
          <w:szCs w:val="44"/>
        </w:rPr>
        <w:t>第二部分 2022年度部门决算情况说明</w:t>
      </w:r>
      <w:r>
        <w:tab/>
      </w:r>
      <w:r>
        <w:rPr>
          <w:rFonts w:hint="eastAsia"/>
        </w:rPr>
        <w:t>8</w:t>
      </w:r>
    </w:p>
    <w:p>
      <w:pPr>
        <w:pStyle w:val="38"/>
        <w:tabs>
          <w:tab w:val="right" w:leader="dot" w:pos="8306"/>
        </w:tabs>
        <w:spacing w:line="576" w:lineRule="exact"/>
      </w:pPr>
      <w:r>
        <w:rPr>
          <w:rFonts w:ascii="黑体" w:eastAsia="黑体"/>
          <w:szCs w:val="32"/>
        </w:rPr>
        <w:t xml:space="preserve">一、 </w:t>
      </w:r>
      <w:r>
        <w:rPr>
          <w:rFonts w:ascii="黑体" w:eastAsia="黑体" w:hint="eastAsia"/>
          <w:szCs w:val="32"/>
        </w:rPr>
        <w:t>收入支出决算总体情况说明</w:t>
      </w:r>
      <w:r>
        <w:tab/>
      </w:r>
      <w:r>
        <w:rPr>
          <w:rFonts w:hint="eastAsia"/>
        </w:rPr>
        <w:t>8</w:t>
      </w:r>
    </w:p>
    <w:p>
      <w:pPr>
        <w:pStyle w:val="38"/>
        <w:tabs>
          <w:tab w:val="right" w:leader="dot" w:pos="8306"/>
        </w:tabs>
        <w:spacing w:line="576" w:lineRule="exact"/>
      </w:pPr>
      <w:r>
        <w:rPr>
          <w:rFonts w:ascii="黑体" w:eastAsia="黑体"/>
          <w:szCs w:val="32"/>
        </w:rPr>
        <w:t xml:space="preserve">二、 </w:t>
      </w:r>
      <w:r>
        <w:rPr>
          <w:rFonts w:ascii="黑体" w:eastAsia="黑体" w:hint="eastAsia"/>
          <w:szCs w:val="32"/>
        </w:rPr>
        <w:t>收入决算情况说明</w:t>
      </w:r>
      <w:r>
        <w:tab/>
      </w:r>
      <w:r>
        <w:rPr>
          <w:rFonts w:hint="eastAsia"/>
        </w:rPr>
        <w:t>8</w:t>
      </w:r>
    </w:p>
    <w:p>
      <w:pPr>
        <w:pStyle w:val="38"/>
        <w:tabs>
          <w:tab w:val="right" w:leader="dot" w:pos="8306"/>
        </w:tabs>
        <w:spacing w:line="576" w:lineRule="exact"/>
      </w:pPr>
      <w:r>
        <w:rPr>
          <w:rFonts w:ascii="黑体" w:eastAsia="黑体"/>
          <w:szCs w:val="32"/>
        </w:rPr>
        <w:t xml:space="preserve">三、 </w:t>
      </w:r>
      <w:r>
        <w:rPr>
          <w:rFonts w:ascii="黑体" w:eastAsia="黑体" w:hint="eastAsia"/>
          <w:szCs w:val="32"/>
        </w:rPr>
        <w:t>支出决算情况说明</w:t>
      </w:r>
      <w:r>
        <w:tab/>
      </w:r>
      <w:r>
        <w:rPr>
          <w:rFonts w:hint="eastAsia"/>
        </w:rPr>
        <w:t>9</w:t>
      </w:r>
    </w:p>
    <w:p>
      <w:pPr>
        <w:pStyle w:val="38"/>
        <w:tabs>
          <w:tab w:val="right" w:leader="dot" w:pos="8306"/>
        </w:tabs>
        <w:spacing w:line="576" w:lineRule="exact"/>
      </w:pPr>
      <w:r>
        <w:rPr>
          <w:rFonts w:ascii="黑体" w:eastAsia="黑体" w:hint="eastAsia"/>
          <w:kern w:val="2"/>
          <w:szCs w:val="32"/>
        </w:rPr>
        <w:t>四、财政拨款收入支出决算总体情况说明</w:t>
      </w:r>
      <w:r>
        <w:tab/>
      </w:r>
      <w:r>
        <w:rPr>
          <w:rFonts w:hint="eastAsia"/>
        </w:rPr>
        <w:t>10</w:t>
      </w:r>
    </w:p>
    <w:p>
      <w:pPr>
        <w:pStyle w:val="38"/>
        <w:tabs>
          <w:tab w:val="right" w:leader="dot" w:pos="8306"/>
        </w:tabs>
        <w:spacing w:line="576" w:lineRule="exact"/>
      </w:pPr>
      <w:r>
        <w:rPr>
          <w:rFonts w:ascii="黑体" w:eastAsia="黑体" w:hint="eastAsia"/>
          <w:kern w:val="2"/>
          <w:szCs w:val="32"/>
        </w:rPr>
        <w:t>五、一般公共预算财政拨款支出决算情况说明</w:t>
      </w:r>
      <w:r>
        <w:tab/>
      </w:r>
      <w:r>
        <w:rPr>
          <w:rFonts w:hint="eastAsia"/>
        </w:rPr>
        <w:t>11</w:t>
      </w:r>
    </w:p>
    <w:p>
      <w:pPr>
        <w:pStyle w:val="39"/>
        <w:tabs>
          <w:tab w:val="right" w:leader="dot" w:pos="8306"/>
        </w:tabs>
        <w:spacing w:line="576" w:lineRule="exact"/>
      </w:pPr>
      <w:r>
        <w:rPr>
          <w:rFonts w:ascii="仿宋" w:eastAsia="仿宋" w:hint="eastAsia"/>
          <w:szCs w:val="32"/>
        </w:rPr>
        <w:t>（一）一般公共预算财政拨款支出决算总体情况</w:t>
      </w:r>
      <w:r>
        <w:tab/>
      </w:r>
      <w:r>
        <w:rPr>
          <w:rFonts w:hint="eastAsia"/>
        </w:rPr>
        <w:t>11</w:t>
      </w:r>
    </w:p>
    <w:p>
      <w:pPr>
        <w:pStyle w:val="39"/>
        <w:tabs>
          <w:tab w:val="right" w:leader="dot" w:pos="8306"/>
        </w:tabs>
        <w:spacing w:line="576" w:lineRule="exact"/>
      </w:pPr>
      <w:r>
        <w:rPr>
          <w:rFonts w:ascii="仿宋" w:eastAsia="仿宋" w:hint="eastAsia"/>
          <w:szCs w:val="32"/>
        </w:rPr>
        <w:t>（二）一般公共预算财政拨款支出决算结构情况</w:t>
      </w:r>
      <w:r>
        <w:tab/>
      </w:r>
      <w:r>
        <w:rPr>
          <w:rFonts w:hint="eastAsia"/>
        </w:rPr>
        <w:t>12</w:t>
      </w:r>
    </w:p>
    <w:p>
      <w:pPr>
        <w:pStyle w:val="39"/>
        <w:tabs>
          <w:tab w:val="right" w:leader="dot" w:pos="8306"/>
        </w:tabs>
        <w:spacing w:line="576" w:lineRule="exact"/>
      </w:pPr>
      <w:r>
        <w:t>（</w:t>
      </w:r>
      <w:r>
        <w:rPr>
          <w:rFonts w:ascii="仿宋" w:eastAsia="仿宋" w:hint="eastAsia"/>
          <w:kern w:val="2"/>
          <w:szCs w:val="32"/>
        </w:rPr>
        <w:t>三）一般公共预算财政拨款支出决算具体情况</w:t>
      </w:r>
      <w:r>
        <w:tab/>
      </w:r>
      <w:r>
        <w:rPr>
          <w:rFonts w:hint="eastAsia"/>
        </w:rPr>
        <w:t>13</w:t>
      </w:r>
    </w:p>
    <w:p>
      <w:pPr>
        <w:pStyle w:val="38"/>
        <w:tabs>
          <w:tab w:val="right" w:leader="dot" w:pos="8306"/>
        </w:tabs>
        <w:spacing w:line="576" w:lineRule="exact"/>
      </w:pPr>
      <w:r>
        <w:rPr>
          <w:rFonts w:ascii="黑体" w:eastAsia="黑体" w:hint="eastAsia"/>
          <w:kern w:val="2"/>
          <w:szCs w:val="32"/>
        </w:rPr>
        <w:t>六、一般公共预算财政拨款基本支出决算情况说明   </w:t>
      </w:r>
      <w:r>
        <w:tab/>
      </w:r>
      <w:r>
        <w:rPr>
          <w:rFonts w:hint="eastAsia"/>
        </w:rPr>
        <w:t>14</w:t>
      </w:r>
    </w:p>
    <w:p>
      <w:pPr>
        <w:pStyle w:val="38"/>
        <w:tabs>
          <w:tab w:val="right" w:leader="dot" w:pos="8306"/>
        </w:tabs>
        <w:spacing w:line="576" w:lineRule="exact"/>
      </w:pPr>
      <w:r>
        <w:rPr>
          <w:rFonts w:ascii="黑体" w:eastAsia="黑体" w:hint="eastAsia"/>
          <w:szCs w:val="32"/>
        </w:rPr>
        <w:t>七、“三公”经费财政拨款支出决算情况说明</w:t>
      </w:r>
      <w:r>
        <w:tab/>
      </w:r>
      <w:r>
        <w:rPr>
          <w:rFonts w:hint="eastAsia"/>
        </w:rPr>
        <w:t>15</w:t>
      </w:r>
    </w:p>
    <w:p>
      <w:pPr>
        <w:pStyle w:val="39"/>
        <w:tabs>
          <w:tab w:val="right" w:leader="dot" w:pos="8306"/>
        </w:tabs>
        <w:spacing w:line="576" w:lineRule="exact"/>
      </w:pPr>
      <w:r>
        <w:rPr>
          <w:rFonts w:ascii="仿宋" w:eastAsia="仿宋" w:hint="eastAsia"/>
          <w:szCs w:val="32"/>
        </w:rPr>
        <w:t>（一）“三公”经费财政拨款支出决算总体情况说明</w:t>
      </w:r>
      <w:r>
        <w:tab/>
      </w:r>
      <w:r>
        <w:rPr>
          <w:rFonts w:hint="eastAsia"/>
        </w:rPr>
        <w:t>15</w:t>
      </w:r>
    </w:p>
    <w:p>
      <w:pPr>
        <w:pStyle w:val="39"/>
        <w:tabs>
          <w:tab w:val="right" w:leader="dot" w:pos="8306"/>
        </w:tabs>
        <w:spacing w:line="576" w:lineRule="exact"/>
      </w:pPr>
      <w:r>
        <w:rPr>
          <w:rFonts w:ascii="仿宋" w:eastAsia="仿宋" w:hint="eastAsia"/>
          <w:szCs w:val="32"/>
        </w:rPr>
        <w:t>（二）“三公”经费财政拨款支出决算具体情况说明</w:t>
      </w:r>
      <w:r>
        <w:tab/>
      </w:r>
      <w:r>
        <w:rPr>
          <w:rFonts w:hint="eastAsia"/>
        </w:rPr>
        <w:t>15</w:t>
      </w:r>
    </w:p>
    <w:p>
      <w:pPr>
        <w:pStyle w:val="38"/>
        <w:tabs>
          <w:tab w:val="right" w:leader="dot" w:pos="8306"/>
        </w:tabs>
        <w:spacing w:line="576" w:lineRule="exact"/>
      </w:pPr>
      <w:r>
        <w:rPr>
          <w:rFonts w:ascii="黑体" w:eastAsia="黑体" w:hint="eastAsia"/>
          <w:szCs w:val="32"/>
        </w:rPr>
        <w:t>八、政府性基金预算支出决算情况说明</w:t>
      </w:r>
      <w:r>
        <w:tab/>
        <w:t>1</w:t>
      </w:r>
      <w:r>
        <w:rPr>
          <w:rFonts w:hint="eastAsia"/>
        </w:rPr>
        <w:t>6</w:t>
      </w:r>
    </w:p>
    <w:p>
      <w:pPr>
        <w:pStyle w:val="38"/>
        <w:tabs>
          <w:tab w:val="right" w:leader="dot" w:pos="8306"/>
        </w:tabs>
        <w:spacing w:line="576" w:lineRule="exact"/>
      </w:pPr>
      <w:r>
        <w:rPr>
          <w:rFonts w:ascii="黑体" w:eastAsia="黑体" w:hint="eastAsia"/>
          <w:kern w:val="2"/>
          <w:szCs w:val="32"/>
        </w:rPr>
        <w:t>九、 国有资本经营预算支出决算情况说明</w:t>
      </w:r>
      <w:r>
        <w:tab/>
        <w:t>1</w:t>
      </w:r>
      <w:r>
        <w:rPr>
          <w:rFonts w:hint="eastAsia"/>
        </w:rPr>
        <w:t>7</w:t>
      </w:r>
    </w:p>
    <w:p>
      <w:pPr>
        <w:pStyle w:val="38"/>
        <w:tabs>
          <w:tab w:val="right" w:leader="dot" w:pos="8306"/>
        </w:tabs>
        <w:spacing w:line="576" w:lineRule="exact"/>
      </w:pPr>
      <w:r>
        <w:rPr>
          <w:rFonts w:ascii="黑体" w:eastAsia="黑体" w:hint="eastAsia"/>
          <w:szCs w:val="32"/>
        </w:rPr>
        <w:t>十、其他重要事项的情况说明</w:t>
      </w:r>
      <w:r>
        <w:tab/>
        <w:t>1</w:t>
      </w:r>
      <w:r>
        <w:rPr>
          <w:rFonts w:hint="eastAsia"/>
        </w:rPr>
        <w:t>7</w:t>
      </w:r>
    </w:p>
    <w:p>
      <w:pPr>
        <w:pStyle w:val="39"/>
        <w:tabs>
          <w:tab w:val="right" w:leader="dot" w:pos="8306"/>
        </w:tabs>
        <w:spacing w:line="576" w:lineRule="exact"/>
      </w:pPr>
      <w:r>
        <w:rPr>
          <w:rFonts w:ascii="仿宋" w:eastAsia="仿宋" w:hint="eastAsia"/>
          <w:szCs w:val="32"/>
        </w:rPr>
        <w:t>（一）机关运行经费支出情况</w:t>
      </w:r>
      <w:r>
        <w:tab/>
        <w:t>1</w:t>
      </w:r>
      <w:r>
        <w:rPr>
          <w:rFonts w:hint="eastAsia"/>
        </w:rPr>
        <w:t>7</w:t>
      </w:r>
    </w:p>
    <w:p>
      <w:pPr>
        <w:pStyle w:val="39"/>
        <w:tabs>
          <w:tab w:val="right" w:leader="dot" w:pos="8306"/>
        </w:tabs>
        <w:spacing w:line="576" w:lineRule="exact"/>
      </w:pPr>
      <w:r>
        <w:rPr>
          <w:rFonts w:ascii="仿宋" w:eastAsia="仿宋" w:hint="eastAsia"/>
          <w:szCs w:val="32"/>
        </w:rPr>
        <w:t>（二）政府采购支出情况</w:t>
      </w:r>
      <w:r>
        <w:tab/>
        <w:t>1</w:t>
      </w:r>
      <w:r>
        <w:rPr>
          <w:rFonts w:hint="eastAsia"/>
        </w:rPr>
        <w:t>7</w:t>
      </w:r>
    </w:p>
    <w:p>
      <w:pPr>
        <w:pStyle w:val="39"/>
        <w:tabs>
          <w:tab w:val="right" w:leader="dot" w:pos="8306"/>
        </w:tabs>
        <w:spacing w:line="576" w:lineRule="exact"/>
      </w:pPr>
      <w:r>
        <w:rPr>
          <w:rFonts w:ascii="仿宋" w:eastAsia="仿宋" w:hint="eastAsia"/>
          <w:szCs w:val="32"/>
        </w:rPr>
        <w:t>（三）国有资产占有使用情况</w:t>
      </w:r>
      <w:r>
        <w:tab/>
        <w:t>1</w:t>
      </w:r>
      <w:r>
        <w:rPr>
          <w:rFonts w:hint="eastAsia"/>
        </w:rPr>
        <w:t>7</w:t>
      </w:r>
    </w:p>
    <w:p>
      <w:pPr>
        <w:pStyle w:val="37"/>
        <w:tabs>
          <w:tab w:val="right" w:leader="dot" w:pos="8306"/>
        </w:tabs>
        <w:spacing w:line="576" w:lineRule="exact"/>
      </w:pPr>
      <w:r>
        <w:rPr>
          <w:rFonts w:ascii="黑体" w:eastAsia="黑体" w:hint="eastAsia"/>
          <w:szCs w:val="44"/>
        </w:rPr>
        <w:t>第三部分 名词解释</w:t>
      </w:r>
      <w:r>
        <w:tab/>
        <w:t>1</w:t>
      </w:r>
      <w:r>
        <w:rPr>
          <w:rFonts w:hint="eastAsia"/>
        </w:rPr>
        <w:t>8</w:t>
      </w:r>
    </w:p>
    <w:p>
      <w:pPr>
        <w:pStyle w:val="37"/>
        <w:tabs>
          <w:tab w:val="right" w:leader="dot" w:pos="8306"/>
        </w:tabs>
        <w:spacing w:line="576" w:lineRule="exact"/>
        <w:rPr>
          <w:rFonts w:eastAsia="宋体" w:hint="eastAsia"/>
          <w:lang w:eastAsia="zh-CN"/>
        </w:rPr>
      </w:pPr>
      <w:r>
        <w:rPr>
          <w:rFonts w:ascii="黑体" w:eastAsia="黑体" w:hint="eastAsia"/>
          <w:kern w:val="2"/>
          <w:szCs w:val="44"/>
        </w:rPr>
        <w:t>第四部分 附件</w:t>
      </w:r>
      <w:r>
        <w:tab/>
      </w:r>
      <w:r>
        <w:rPr>
          <w:rFonts w:hint="eastAsia"/>
        </w:rPr>
        <w:t>2</w:t>
      </w:r>
      <w:r>
        <w:rPr>
          <w:rFonts w:hint="eastAsia"/>
          <w:lang w:val="en-US" w:eastAsia="zh-CN"/>
        </w:rPr>
        <w:t>3</w:t>
      </w:r>
    </w:p>
    <w:p>
      <w:pPr>
        <w:pStyle w:val="37"/>
        <w:tabs>
          <w:tab w:val="right" w:leader="dot" w:pos="8306"/>
        </w:tabs>
        <w:spacing w:line="576" w:lineRule="exact"/>
        <w:rPr>
          <w:rFonts w:eastAsia="宋体" w:hint="eastAsia"/>
          <w:lang w:eastAsia="zh-CN"/>
        </w:rPr>
      </w:pPr>
      <w:r>
        <w:rPr>
          <w:rFonts w:ascii="黑体" w:eastAsia="黑体" w:cs="黑体" w:hint="eastAsia"/>
          <w:szCs w:val="32"/>
        </w:rPr>
        <w:t>附件1</w:t>
      </w:r>
      <w:r>
        <w:tab/>
      </w:r>
      <w:r>
        <w:rPr>
          <w:rFonts w:hint="eastAsia"/>
        </w:rPr>
        <w:t>2</w:t>
      </w:r>
      <w:r>
        <w:rPr>
          <w:rFonts w:hint="eastAsia"/>
          <w:lang w:val="en-US" w:eastAsia="zh-CN"/>
        </w:rPr>
        <w:t>3</w:t>
      </w:r>
    </w:p>
    <w:p>
      <w:pPr>
        <w:pStyle w:val="39"/>
        <w:tabs>
          <w:tab w:val="right" w:leader="dot" w:pos="8306"/>
        </w:tabs>
        <w:spacing w:line="576" w:lineRule="exact"/>
        <w:ind w:leftChars="0" w:left="0" w:firstLine="0"/>
        <w:rPr>
          <w:rFonts w:eastAsia="宋体" w:hint="eastAsia"/>
          <w:lang w:val="en-US" w:eastAsia="zh-CN"/>
        </w:rPr>
      </w:pPr>
      <w:r>
        <w:rPr>
          <w:rFonts w:ascii="仿宋" w:eastAsia="仿宋" w:hint="eastAsia"/>
          <w:szCs w:val="32"/>
        </w:rPr>
        <w:t>茂县公共就业和人才交流服务局2022年部门整体支出绩效报告</w:t>
      </w:r>
      <w:r>
        <w:tab/>
      </w:r>
      <w:r>
        <w:rPr>
          <w:rFonts w:hint="eastAsia"/>
          <w:lang w:val="en-US" w:eastAsia="zh-CN"/>
        </w:rPr>
        <w:t>23</w:t>
      </w:r>
    </w:p>
    <w:p>
      <w:pPr>
        <w:pStyle w:val="37"/>
        <w:tabs>
          <w:tab w:val="right" w:leader="dot" w:pos="8306"/>
        </w:tabs>
        <w:spacing w:line="576" w:lineRule="exact"/>
        <w:rPr>
          <w:rFonts w:eastAsia="宋体" w:hint="eastAsia"/>
          <w:lang w:eastAsia="zh-CN"/>
        </w:rPr>
      </w:pPr>
      <w:r>
        <w:rPr>
          <w:rFonts w:ascii="黑体" w:eastAsia="黑体" w:cs="黑体" w:hint="eastAsia"/>
          <w:szCs w:val="32"/>
        </w:rPr>
        <w:t>附件</w:t>
      </w:r>
      <w:r>
        <w:rPr>
          <w:rFonts w:ascii="黑体" w:eastAsia="黑体" w:cs="黑体" w:hint="eastAsia"/>
          <w:szCs w:val="32"/>
          <w:lang w:val="en-US" w:eastAsia="zh-CN"/>
        </w:rPr>
        <w:t>2</w:t>
      </w:r>
      <w:r>
        <w:tab/>
      </w:r>
      <w:r>
        <w:rPr>
          <w:rFonts w:hint="eastAsia"/>
        </w:rPr>
        <w:t>2</w:t>
      </w:r>
      <w:r>
        <w:rPr>
          <w:rFonts w:hint="eastAsia"/>
          <w:lang w:val="en-US" w:eastAsia="zh-CN"/>
        </w:rPr>
        <w:t>9</w:t>
      </w:r>
    </w:p>
    <w:p>
      <w:pPr>
        <w:pStyle w:val="39"/>
        <w:tabs>
          <w:tab w:val="right" w:leader="dot" w:pos="8306"/>
        </w:tabs>
        <w:spacing w:line="576" w:lineRule="exact"/>
        <w:ind w:leftChars="0" w:left="0" w:firstLine="0"/>
        <w:rPr>
          <w:rFonts w:ascii="仿宋" w:eastAsia="宋体" w:cs="Times New Roman" w:hAnsi="仿宋" w:hint="eastAsia"/>
          <w:kern w:val="0"/>
          <w:sz w:val="20"/>
          <w:szCs w:val="32"/>
          <w:lang w:val="en-US" w:eastAsia="zh-CN" w:bidi="ar-SA"/>
        </w:rPr>
      </w:pPr>
      <w:r>
        <w:rPr>
          <w:rFonts w:ascii="仿宋" w:eastAsia="仿宋" w:hint="eastAsia"/>
          <w:szCs w:val="32"/>
        </w:rPr>
        <w:t>茂县公共就业和人才交流服务局2022年</w:t>
      </w:r>
      <w:r>
        <w:rPr>
          <w:rFonts w:ascii="仿宋" w:eastAsia="仿宋" w:hint="eastAsia"/>
          <w:szCs w:val="32"/>
          <w:lang w:val="en-US" w:eastAsia="zh-CN"/>
        </w:rPr>
        <w:t>就业创业资金项目绩效自评报告</w:t>
      </w:r>
      <w:r>
        <w:tab/>
      </w:r>
      <w:r>
        <w:rPr>
          <w:rFonts w:hint="eastAsia"/>
          <w:lang w:val="en-US" w:eastAsia="zh-CN"/>
        </w:rPr>
        <w:t>29</w:t>
      </w:r>
    </w:p>
    <w:p>
      <w:pPr>
        <w:pStyle w:val="37"/>
        <w:tabs>
          <w:tab w:val="right" w:leader="dot" w:pos="8306"/>
        </w:tabs>
        <w:spacing w:line="576" w:lineRule="exact"/>
        <w:rPr>
          <w:rFonts w:eastAsia="宋体" w:hint="eastAsia"/>
          <w:lang w:eastAsia="zh-CN"/>
        </w:rPr>
      </w:pPr>
      <w:r>
        <w:rPr>
          <w:rFonts w:ascii="黑体" w:eastAsia="黑体" w:cs="黑体" w:hint="eastAsia"/>
          <w:szCs w:val="32"/>
        </w:rPr>
        <w:t>附件</w:t>
      </w:r>
      <w:r>
        <w:rPr>
          <w:rFonts w:ascii="黑体" w:eastAsia="黑体" w:cs="黑体" w:hint="eastAsia"/>
          <w:szCs w:val="32"/>
          <w:lang w:val="en-US" w:eastAsia="zh-CN"/>
        </w:rPr>
        <w:t>3</w:t>
      </w:r>
      <w:r>
        <w:tab/>
      </w:r>
      <w:r>
        <w:rPr>
          <w:rFonts w:hint="eastAsia"/>
          <w:lang w:val="en-US" w:eastAsia="zh-CN"/>
        </w:rPr>
        <w:t>41</w:t>
      </w:r>
    </w:p>
    <w:p>
      <w:pPr>
        <w:pStyle w:val="39"/>
        <w:tabs>
          <w:tab w:val="right" w:leader="dot" w:pos="8306"/>
        </w:tabs>
        <w:spacing w:line="576" w:lineRule="exact"/>
        <w:ind w:leftChars="0" w:left="0" w:firstLine="0"/>
        <w:rPr>
          <w:rFonts w:eastAsia="宋体" w:hint="eastAsia"/>
          <w:lang w:val="en-US" w:eastAsia="zh-CN"/>
        </w:rPr>
      </w:pPr>
      <w:r>
        <w:rPr>
          <w:rFonts w:ascii="仿宋" w:eastAsia="仿宋" w:hint="eastAsia"/>
          <w:szCs w:val="32"/>
        </w:rPr>
        <w:t>2022年浙江对口支援茂县创业能力提升培训项目</w:t>
      </w:r>
      <w:r>
        <w:rPr>
          <w:rFonts w:ascii="仿宋" w:eastAsia="仿宋" w:hint="eastAsia"/>
          <w:szCs w:val="32"/>
          <w:lang w:val="en-US" w:eastAsia="zh-CN"/>
        </w:rPr>
        <w:t>绩效自评报告</w:t>
      </w:r>
      <w:r>
        <w:tab/>
      </w:r>
      <w:r>
        <w:rPr>
          <w:rFonts w:hint="eastAsia"/>
          <w:lang w:val="en-US" w:eastAsia="zh-CN"/>
        </w:rPr>
        <w:t>41</w:t>
      </w:r>
    </w:p>
    <w:p>
      <w:pPr>
        <w:pStyle w:val="37"/>
        <w:tabs>
          <w:tab w:val="right" w:leader="dot" w:pos="8306"/>
        </w:tabs>
        <w:spacing w:line="576" w:lineRule="exact"/>
      </w:pPr>
      <w:r>
        <w:rPr>
          <w:rFonts w:ascii="黑体" w:eastAsia="黑体" w:hint="eastAsia"/>
          <w:szCs w:val="44"/>
        </w:rPr>
        <w:t>第五部分 附表</w:t>
      </w:r>
      <w:r>
        <w:tab/>
      </w:r>
      <w:r>
        <w:rPr>
          <w:rFonts w:hint="eastAsia"/>
          <w:lang w:val="en-US" w:eastAsia="zh-CN"/>
        </w:rPr>
        <w:t>44</w:t>
      </w:r>
    </w:p>
    <w:p>
      <w:pPr>
        <w:pStyle w:val="38"/>
        <w:tabs>
          <w:tab w:val="right" w:leader="dot" w:pos="8306"/>
        </w:tabs>
        <w:spacing w:line="576" w:lineRule="exact"/>
      </w:pPr>
      <w:r>
        <w:rPr>
          <w:rFonts w:ascii="仿宋" w:eastAsia="仿宋" w:hint="eastAsia"/>
          <w:kern w:val="2"/>
          <w:szCs w:val="32"/>
        </w:rPr>
        <w:t>一、收入支出决算总表</w:t>
      </w:r>
      <w:r>
        <w:tab/>
      </w:r>
      <w:r>
        <w:rPr>
          <w:rFonts w:hint="eastAsia"/>
          <w:lang w:val="en-US" w:eastAsia="zh-CN"/>
        </w:rPr>
        <w:t>44</w:t>
      </w:r>
    </w:p>
    <w:p>
      <w:pPr>
        <w:pStyle w:val="38"/>
        <w:tabs>
          <w:tab w:val="right" w:leader="dot" w:pos="8306"/>
        </w:tabs>
        <w:spacing w:line="576" w:lineRule="exact"/>
        <w:rPr>
          <w:rFonts w:eastAsia="宋体" w:hint="eastAsia"/>
          <w:lang w:eastAsia="zh-CN"/>
        </w:rPr>
      </w:pPr>
      <w:r>
        <w:rPr>
          <w:rFonts w:ascii="仿宋" w:eastAsia="仿宋" w:hint="eastAsia"/>
          <w:kern w:val="2"/>
          <w:szCs w:val="32"/>
        </w:rPr>
        <w:t>二、收入决算表</w:t>
      </w:r>
      <w:r>
        <w:tab/>
      </w:r>
      <w:r>
        <w:rPr>
          <w:rFonts w:hint="eastAsia"/>
          <w:lang w:val="en-US" w:eastAsia="zh-CN"/>
        </w:rPr>
        <w:t>44</w:t>
      </w:r>
    </w:p>
    <w:p>
      <w:pPr>
        <w:pStyle w:val="38"/>
        <w:tabs>
          <w:tab w:val="right" w:leader="dot" w:pos="8306"/>
        </w:tabs>
        <w:spacing w:line="576" w:lineRule="exact"/>
        <w:rPr>
          <w:rFonts w:eastAsia="宋体" w:hint="eastAsia"/>
          <w:lang w:eastAsia="zh-CN"/>
        </w:rPr>
      </w:pPr>
      <w:r>
        <w:rPr>
          <w:rFonts w:ascii="仿宋" w:eastAsia="仿宋" w:hint="eastAsia"/>
          <w:kern w:val="2"/>
          <w:szCs w:val="32"/>
        </w:rPr>
        <w:t>三、支出决算表</w:t>
      </w:r>
      <w:r>
        <w:tab/>
      </w:r>
      <w:r>
        <w:rPr>
          <w:rFonts w:hint="eastAsia"/>
          <w:lang w:val="en-US" w:eastAsia="zh-CN"/>
        </w:rPr>
        <w:t>44</w:t>
      </w:r>
    </w:p>
    <w:p>
      <w:pPr>
        <w:pStyle w:val="38"/>
        <w:tabs>
          <w:tab w:val="right" w:leader="dot" w:pos="8306"/>
        </w:tabs>
        <w:spacing w:line="576" w:lineRule="exact"/>
        <w:rPr>
          <w:rFonts w:eastAsia="宋体" w:hint="eastAsia"/>
          <w:lang w:eastAsia="zh-CN"/>
        </w:rPr>
      </w:pPr>
      <w:r>
        <w:rPr>
          <w:rFonts w:ascii="仿宋" w:eastAsia="仿宋" w:hint="eastAsia"/>
          <w:kern w:val="2"/>
          <w:szCs w:val="32"/>
        </w:rPr>
        <w:t>四、财政拨款收入支出决算总表</w:t>
      </w:r>
      <w:r>
        <w:tab/>
      </w:r>
      <w:r>
        <w:rPr>
          <w:rFonts w:hint="eastAsia"/>
          <w:lang w:val="en-US" w:eastAsia="zh-CN"/>
        </w:rPr>
        <w:t>44</w:t>
      </w:r>
    </w:p>
    <w:p>
      <w:pPr>
        <w:pStyle w:val="38"/>
        <w:tabs>
          <w:tab w:val="right" w:leader="dot" w:pos="8306"/>
        </w:tabs>
        <w:spacing w:line="576" w:lineRule="exact"/>
        <w:rPr>
          <w:rFonts w:eastAsia="宋体" w:hint="eastAsia"/>
          <w:lang w:eastAsia="zh-CN"/>
        </w:rPr>
      </w:pPr>
      <w:r>
        <w:rPr>
          <w:rFonts w:ascii="仿宋" w:eastAsia="仿宋" w:hint="eastAsia"/>
          <w:kern w:val="2"/>
          <w:szCs w:val="32"/>
        </w:rPr>
        <w:t>五、财政拨款支出决算明细表</w:t>
      </w:r>
      <w:r>
        <w:tab/>
      </w:r>
      <w:r>
        <w:rPr>
          <w:rFonts w:hint="eastAsia"/>
          <w:lang w:val="en-US" w:eastAsia="zh-CN"/>
        </w:rPr>
        <w:t>44</w:t>
      </w:r>
    </w:p>
    <w:p>
      <w:pPr>
        <w:pStyle w:val="38"/>
        <w:tabs>
          <w:tab w:val="right" w:leader="dot" w:pos="8306"/>
        </w:tabs>
        <w:spacing w:line="576" w:lineRule="exact"/>
        <w:rPr>
          <w:rFonts w:eastAsia="宋体" w:hint="eastAsia"/>
          <w:lang w:eastAsia="zh-CN"/>
        </w:rPr>
      </w:pPr>
      <w:r>
        <w:rPr>
          <w:rFonts w:ascii="仿宋" w:eastAsia="仿宋" w:hint="eastAsia"/>
          <w:kern w:val="2"/>
          <w:szCs w:val="32"/>
        </w:rPr>
        <w:t>六、一般公共预算财政拨款支出决算表</w:t>
      </w:r>
      <w:r>
        <w:tab/>
      </w:r>
      <w:r>
        <w:rPr>
          <w:rFonts w:hint="eastAsia"/>
          <w:lang w:val="en-US" w:eastAsia="zh-CN"/>
        </w:rPr>
        <w:t>44</w:t>
      </w:r>
    </w:p>
    <w:p>
      <w:pPr>
        <w:pStyle w:val="38"/>
        <w:tabs>
          <w:tab w:val="right" w:leader="dot" w:pos="8306"/>
        </w:tabs>
        <w:spacing w:line="576" w:lineRule="exact"/>
        <w:rPr>
          <w:rFonts w:eastAsia="宋体" w:hint="eastAsia"/>
          <w:lang w:eastAsia="zh-CN"/>
        </w:rPr>
      </w:pPr>
      <w:r>
        <w:rPr>
          <w:rFonts w:ascii="仿宋" w:eastAsia="仿宋" w:hint="eastAsia"/>
          <w:kern w:val="2"/>
          <w:szCs w:val="32"/>
        </w:rPr>
        <w:t>七、一般公共预算财政拨款支出决算明细表</w:t>
      </w:r>
      <w:r>
        <w:tab/>
      </w:r>
      <w:r>
        <w:rPr>
          <w:rFonts w:hint="eastAsia"/>
          <w:lang w:val="en-US" w:eastAsia="zh-CN"/>
        </w:rPr>
        <w:t>44</w:t>
      </w:r>
    </w:p>
    <w:p>
      <w:pPr>
        <w:pStyle w:val="38"/>
        <w:tabs>
          <w:tab w:val="right" w:leader="dot" w:pos="8306"/>
        </w:tabs>
        <w:spacing w:line="576" w:lineRule="exact"/>
        <w:rPr>
          <w:rFonts w:eastAsia="宋体" w:hint="eastAsia"/>
          <w:lang w:eastAsia="zh-CN"/>
        </w:rPr>
      </w:pPr>
      <w:r>
        <w:rPr>
          <w:rFonts w:ascii="仿宋" w:eastAsia="仿宋" w:hint="eastAsia"/>
          <w:kern w:val="2"/>
          <w:szCs w:val="32"/>
        </w:rPr>
        <w:t>八、一般公共预算财政拨款基本支出决算表</w:t>
      </w:r>
      <w:r>
        <w:tab/>
      </w:r>
      <w:r>
        <w:rPr>
          <w:rFonts w:hint="eastAsia"/>
          <w:lang w:val="en-US" w:eastAsia="zh-CN"/>
        </w:rPr>
        <w:t>44</w:t>
      </w:r>
    </w:p>
    <w:p>
      <w:pPr>
        <w:pStyle w:val="38"/>
        <w:tabs>
          <w:tab w:val="right" w:leader="dot" w:pos="8306"/>
        </w:tabs>
        <w:spacing w:line="576" w:lineRule="exact"/>
        <w:rPr>
          <w:rFonts w:eastAsia="宋体" w:hint="eastAsia"/>
          <w:lang w:eastAsia="zh-CN"/>
        </w:rPr>
      </w:pPr>
      <w:r>
        <w:rPr>
          <w:rFonts w:ascii="仿宋" w:eastAsia="仿宋" w:hint="eastAsia"/>
          <w:kern w:val="2"/>
          <w:szCs w:val="32"/>
        </w:rPr>
        <w:t>九、一般公共预算财政拨款项目支出决算表</w:t>
      </w:r>
      <w:r>
        <w:tab/>
      </w:r>
      <w:r>
        <w:rPr>
          <w:rFonts w:hint="eastAsia"/>
          <w:lang w:val="en-US" w:eastAsia="zh-CN"/>
        </w:rPr>
        <w:t>44</w:t>
      </w:r>
    </w:p>
    <w:p>
      <w:pPr>
        <w:pStyle w:val="38"/>
        <w:tabs>
          <w:tab w:val="right" w:leader="dot" w:pos="8306"/>
        </w:tabs>
        <w:spacing w:line="576" w:lineRule="exact"/>
        <w:rPr>
          <w:rFonts w:eastAsia="宋体" w:hint="eastAsia"/>
          <w:lang w:eastAsia="zh-CN"/>
        </w:rPr>
      </w:pPr>
      <w:r>
        <w:rPr>
          <w:rFonts w:ascii="仿宋" w:eastAsia="仿宋" w:hint="eastAsia"/>
          <w:kern w:val="2"/>
          <w:szCs w:val="32"/>
        </w:rPr>
        <w:t>十、政府性基金预算财政拨款收入支出决算表</w:t>
      </w:r>
      <w:r>
        <w:tab/>
      </w:r>
      <w:r>
        <w:rPr>
          <w:rFonts w:hint="eastAsia"/>
          <w:lang w:val="en-US" w:eastAsia="zh-CN"/>
        </w:rPr>
        <w:t>44</w:t>
      </w:r>
    </w:p>
    <w:p>
      <w:pPr>
        <w:pStyle w:val="38"/>
        <w:tabs>
          <w:tab w:val="right" w:leader="dot" w:pos="8306"/>
        </w:tabs>
        <w:spacing w:line="576" w:lineRule="exact"/>
        <w:rPr>
          <w:rFonts w:eastAsia="宋体" w:hint="eastAsia"/>
          <w:lang w:eastAsia="zh-CN"/>
        </w:rPr>
      </w:pPr>
      <w:r>
        <w:rPr>
          <w:rFonts w:ascii="仿宋" w:eastAsia="仿宋" w:hint="eastAsia"/>
          <w:kern w:val="2"/>
          <w:szCs w:val="32"/>
        </w:rPr>
        <w:t>十一、国有资本经营预算财政拨款收入支出决算表</w:t>
      </w:r>
      <w:r>
        <w:tab/>
      </w:r>
      <w:r>
        <w:rPr>
          <w:rFonts w:hint="eastAsia"/>
          <w:lang w:val="en-US" w:eastAsia="zh-CN"/>
        </w:rPr>
        <w:t>44</w:t>
      </w:r>
    </w:p>
    <w:p>
      <w:pPr>
        <w:pStyle w:val="38"/>
        <w:tabs>
          <w:tab w:val="right" w:leader="dot" w:pos="8306"/>
        </w:tabs>
        <w:spacing w:line="576" w:lineRule="exact"/>
        <w:rPr>
          <w:rFonts w:eastAsia="宋体" w:hint="eastAsia"/>
          <w:lang w:eastAsia="zh-CN"/>
        </w:rPr>
      </w:pPr>
      <w:r>
        <w:rPr>
          <w:rFonts w:ascii="仿宋" w:eastAsia="仿宋" w:hint="eastAsia"/>
          <w:kern w:val="2"/>
          <w:szCs w:val="32"/>
        </w:rPr>
        <w:t>十二、国有资本经营预算财政拨款支出决算表</w:t>
      </w:r>
      <w:r>
        <w:tab/>
      </w:r>
      <w:r>
        <w:rPr>
          <w:rFonts w:hint="eastAsia"/>
          <w:lang w:val="en-US" w:eastAsia="zh-CN"/>
        </w:rPr>
        <w:t>44</w:t>
      </w:r>
    </w:p>
    <w:p>
      <w:pPr>
        <w:pStyle w:val="38"/>
        <w:tabs>
          <w:tab w:val="right" w:leader="dot" w:pos="8306"/>
        </w:tabs>
        <w:spacing w:line="576" w:lineRule="exact"/>
        <w:rPr>
          <w:rFonts w:eastAsia="宋体" w:hint="eastAsia"/>
          <w:lang w:eastAsia="zh-CN"/>
        </w:rPr>
      </w:pPr>
      <w:r>
        <w:rPr>
          <w:rFonts w:ascii="仿宋" w:eastAsia="仿宋" w:hint="eastAsia"/>
          <w:kern w:val="2"/>
          <w:szCs w:val="32"/>
        </w:rPr>
        <w:t>十三、财政拨款“三公”经费支出决算表</w:t>
      </w:r>
      <w:r>
        <w:tab/>
      </w:r>
      <w:r>
        <w:rPr>
          <w:rFonts w:hint="eastAsia"/>
          <w:lang w:val="en-US" w:eastAsia="zh-CN"/>
        </w:rPr>
        <w:t>44</w:t>
      </w:r>
    </w:p>
    <w:p>
      <w:pPr>
        <w:pStyle w:val="15"/>
      </w:pPr>
    </w:p>
    <w:p>
      <w:pPr>
        <w:pStyle w:val="15"/>
      </w:pPr>
    </w:p>
    <w:p>
      <w:pPr>
        <w:pStyle w:val="15"/>
      </w:pPr>
    </w:p>
    <w:p>
      <w:pPr>
        <w:pStyle w:val="15"/>
      </w:pPr>
    </w:p>
    <w:p>
      <w:pPr>
        <w:pStyle w:val="15"/>
      </w:pPr>
    </w:p>
    <w:p>
      <w:pPr>
        <w:pStyle w:val="15"/>
      </w:pPr>
    </w:p>
    <w:p>
      <w:pPr>
        <w:pStyle w:val="15"/>
      </w:pPr>
    </w:p>
    <w:p>
      <w:pPr>
        <w:pStyle w:val="15"/>
      </w:pPr>
    </w:p>
    <w:p>
      <w:pPr>
        <w:pStyle w:val="15"/>
      </w:pPr>
    </w:p>
    <w:p>
      <w:pPr>
        <w:pStyle w:val="15"/>
      </w:pPr>
    </w:p>
    <w:p>
      <w:pPr>
        <w:pStyle w:val="15"/>
      </w:pPr>
    </w:p>
    <w:p>
      <w:pPr>
        <w:pStyle w:val="15"/>
      </w:pPr>
    </w:p>
    <w:p>
      <w:pPr>
        <w:pStyle w:val="15"/>
      </w:pPr>
    </w:p>
    <w:p>
      <w:pPr>
        <w:pStyle w:val="15"/>
      </w:pPr>
    </w:p>
    <w:p>
      <w:pPr>
        <w:pStyle w:val="15"/>
      </w:pPr>
    </w:p>
    <w:p>
      <w:pPr>
        <w:pStyle w:val="15"/>
      </w:pPr>
    </w:p>
    <w:p>
      <w:pPr>
        <w:pStyle w:val="15"/>
      </w:pPr>
    </w:p>
    <w:p>
      <w:pPr>
        <w:pStyle w:val="15"/>
      </w:pPr>
    </w:p>
    <w:p>
      <w:pPr>
        <w:pStyle w:val="15"/>
      </w:pPr>
    </w:p>
    <w:p>
      <w:pPr>
        <w:pStyle w:val="15"/>
      </w:pPr>
    </w:p>
    <w:p>
      <w:pPr>
        <w:pStyle w:val="15"/>
      </w:pPr>
    </w:p>
    <w:p>
      <w:pPr>
        <w:pStyle w:val="15"/>
      </w:pPr>
    </w:p>
    <w:p>
      <w:pPr>
        <w:pStyle w:val="15"/>
      </w:pPr>
    </w:p>
    <w:p>
      <w:pPr>
        <w:pStyle w:val="15"/>
      </w:pPr>
    </w:p>
    <w:p>
      <w:pPr>
        <w:pStyle w:val="15"/>
      </w:pPr>
    </w:p>
    <w:p>
      <w:pPr>
        <w:pStyle w:val="15"/>
      </w:pPr>
    </w:p>
    <w:p>
      <w:pPr>
        <w:pStyle w:val="15"/>
      </w:pPr>
    </w:p>
    <w:p>
      <w:pPr>
        <w:pStyle w:val="15"/>
      </w:pPr>
    </w:p>
    <w:p>
      <w:pPr>
        <w:pStyle w:val="15"/>
      </w:pPr>
    </w:p>
    <w:p>
      <w:pPr>
        <w:pStyle w:val="15"/>
      </w:pPr>
    </w:p>
    <w:p>
      <w:pPr>
        <w:pStyle w:val="15"/>
      </w:pPr>
    </w:p>
    <w:p>
      <w:pPr>
        <w:pStyle w:val="15"/>
      </w:pPr>
    </w:p>
    <w:p>
      <w:pPr>
        <w:pStyle w:val="15"/>
      </w:pPr>
    </w:p>
    <w:p>
      <w:pPr>
        <w:pStyle w:val="15"/>
      </w:pPr>
    </w:p>
    <w:p>
      <w:pPr>
        <w:pStyle w:val="15"/>
      </w:pPr>
    </w:p>
    <w:p>
      <w:pPr>
        <w:pStyle w:val="15"/>
      </w:pPr>
    </w:p>
    <w:p>
      <w:pPr>
        <w:pStyle w:val="1"/>
        <w:spacing w:line="576" w:lineRule="exact"/>
        <w:jc w:val="center"/>
        <w:rPr>
          <w:rFonts w:ascii="黑体" w:eastAsia="黑体"/>
          <w:b w:val="0"/>
        </w:rPr>
      </w:pPr>
      <w:bookmarkStart w:id="1" w:name="_Toc15377204"/>
      <w:bookmarkStart w:id="2" w:name="_Toc111208498"/>
      <w:bookmarkStart w:id="3" w:name="_Toc3119"/>
      <w:bookmarkEnd w:id="0"/>
      <w:r>
        <w:rPr>
          <w:rFonts w:ascii="黑体" w:eastAsia="黑体" w:hint="eastAsia"/>
          <w:b w:val="0"/>
        </w:rPr>
        <w:t>第一部分 部门概况</w:t>
      </w:r>
    </w:p>
    <w:p>
      <w:pPr>
        <w:pStyle w:val="2"/>
        <w:spacing w:line="576" w:lineRule="exact"/>
        <w:rPr>
          <w:rFonts w:ascii="黑体" w:eastAsia="黑体" w:cs="Times New Roman"/>
          <w:b w:val="0"/>
          <w:color w:val="000000"/>
        </w:rPr>
      </w:pPr>
      <w:bookmarkStart w:id="4" w:name="_Toc15377197"/>
      <w:bookmarkStart w:id="5" w:name="_Toc111208496"/>
      <w:bookmarkStart w:id="6" w:name="_Toc29382"/>
      <w:r>
        <w:rPr>
          <w:rFonts w:ascii="黑体" w:eastAsia="黑体" w:cs="Times New Roman" w:hint="eastAsia"/>
          <w:b w:val="0"/>
          <w:color w:val="000000"/>
        </w:rPr>
        <w:t>一、</w:t>
      </w:r>
      <w:bookmarkStart w:id="7" w:name="_Toc15378445"/>
      <w:bookmarkStart w:id="8" w:name="_Toc15377198"/>
      <w:bookmarkEnd w:id="4"/>
      <w:bookmarkEnd w:id="5"/>
      <w:bookmarkEnd w:id="6"/>
      <w:r>
        <w:rPr>
          <w:rFonts w:ascii="黑体" w:eastAsia="黑体" w:cs="Times New Roman" w:hint="eastAsia"/>
          <w:b w:val="0"/>
          <w:color w:val="000000"/>
        </w:rPr>
        <w:t>基本职能及主要工作</w:t>
      </w:r>
    </w:p>
    <w:p>
      <w:pPr>
        <w:spacing w:line="600" w:lineRule="exact"/>
        <w:ind w:firstLineChars="200" w:firstLine="640"/>
        <w:outlineLvl w:val="2"/>
        <w:rPr>
          <w:rFonts w:ascii="仿宋" w:eastAsia="仿宋"/>
          <w:b/>
          <w:color w:val="000000"/>
          <w:sz w:val="32"/>
          <w:szCs w:val="32"/>
        </w:rPr>
      </w:pPr>
      <w:r>
        <w:rPr>
          <w:rFonts w:ascii="仿宋" w:eastAsia="仿宋" w:hint="eastAsia"/>
          <w:b/>
          <w:color w:val="000000"/>
          <w:sz w:val="32"/>
          <w:szCs w:val="32"/>
        </w:rPr>
        <w:t>（一）主要职能</w:t>
      </w:r>
    </w:p>
    <w:p>
      <w:pPr>
        <w:ind w:left="0" w:firstLineChars="200" w:firstLine="640"/>
        <w:rPr>
          <w:rFonts w:ascii="仿宋_GB2312" w:eastAsia="仿宋_GB2312" w:cs="仿宋_GB2312"/>
          <w:color w:val="000000"/>
          <w:sz w:val="32"/>
          <w:szCs w:val="32"/>
        </w:rPr>
      </w:pPr>
      <w:bookmarkEnd w:id="7"/>
      <w:bookmarkEnd w:id="8"/>
      <w:r>
        <w:rPr>
          <w:rFonts w:ascii="仿宋_GB2312" w:eastAsia="仿宋_GB2312" w:cs="仿宋_GB2312" w:hint="eastAsia"/>
          <w:color w:val="000000"/>
          <w:sz w:val="32"/>
          <w:szCs w:val="32"/>
          <w:lang w:val="en-US" w:eastAsia="zh-CN"/>
        </w:rPr>
        <w:t>1.</w:t>
      </w:r>
      <w:r>
        <w:rPr>
          <w:rFonts w:ascii="仿宋_GB2312" w:eastAsia="仿宋_GB2312" w:cs="仿宋_GB2312" w:hint="eastAsia"/>
          <w:color w:val="000000"/>
          <w:sz w:val="32"/>
          <w:szCs w:val="32"/>
        </w:rPr>
        <w:t>负责宣传和贯彻落实国家就业创业和失业保险有关的方针政策和法律法规。</w:t>
      </w:r>
    </w:p>
    <w:p>
      <w:pPr>
        <w:ind w:firstLineChars="200" w:firstLine="640"/>
        <w:rPr>
          <w:rFonts w:ascii="仿宋_GB2312" w:eastAsia="仿宋_GB2312" w:cs="仿宋_GB2312"/>
          <w:color w:val="000000"/>
          <w:sz w:val="32"/>
          <w:szCs w:val="32"/>
        </w:rPr>
      </w:pPr>
      <w:r>
        <w:rPr>
          <w:rFonts w:ascii="仿宋_GB2312" w:eastAsia="仿宋_GB2312" w:cs="仿宋_GB2312" w:hint="eastAsia"/>
          <w:color w:val="000000"/>
          <w:sz w:val="32"/>
          <w:szCs w:val="32"/>
        </w:rPr>
        <w:t>2.组织实施全县城乡就业创业工作，负责城乡就业创业工作目标管理及考核，为城乡劳动者提供就业创业服务。加强对就业困难人员、“零就业家庭”成员等群体的就业援助工作， 促进有劳动能力、有就业愿望的所有劳动者实现充分就业。</w:t>
        <w:cr/>
        <w:t xml:space="preserve">    3.按规定使用就业专项资金和失业保险基金承担失业保险政策宣传及失业保险基金的管理、失业保险待遇的审核、发放及有关经办服务工作。</w:t>
        <w:cr/>
        <w:t xml:space="preserve">    4.建立农村劳动力资源数据库，为城乡劳动者提供就业政策法规咨询，发布职业供求信息以及职业培训信息，办理求职登记，就业登记、失业登记等事务，开展职业指导和职业介绍，组织实施劳务转移。</w:t>
        <w:cr/>
        <w:t xml:space="preserve">    5.负责拟定全县就业创业培训和品牌培训工作发展规划和年度计划；负责牵头组织各类就业培训和管理；统一管理培训资金；承担职业能力建设相关业务经办工作。</w:t>
        <w:cr/>
        <w:t xml:space="preserve">    6.以创业带动就业，全面落实小额担保贷款贴息、社保补贴等扶持政策，促使各类失业人员通过从事个体经营、自谋职业、灵活就业、创办企业带动和吸纳就业。 </w:t>
        <w:cr/>
        <w:t xml:space="preserve">    7.做好未就业高校毕业生参加就业见习和自主创业工作，落实好高校毕业生创业补贴政策。</w:t>
      </w:r>
    </w:p>
    <w:p>
      <w:pPr>
        <w:ind w:firstLineChars="200" w:firstLine="640"/>
        <w:rPr>
          <w:rFonts w:ascii="仿宋_GB2312" w:eastAsia="仿宋_GB2312" w:cs="仿宋_GB2312"/>
          <w:color w:val="000000"/>
          <w:sz w:val="32"/>
          <w:szCs w:val="32"/>
        </w:rPr>
      </w:pPr>
      <w:r>
        <w:rPr>
          <w:rFonts w:ascii="仿宋_GB2312" w:eastAsia="仿宋_GB2312" w:cs="仿宋_GB2312" w:hint="eastAsia"/>
          <w:color w:val="000000"/>
          <w:sz w:val="32"/>
          <w:szCs w:val="32"/>
        </w:rPr>
        <w:t>8.大力开发公益性岗位，落实岗位补贴及社保补贴。</w:t>
      </w:r>
    </w:p>
    <w:p>
      <w:pPr>
        <w:spacing w:line="600" w:lineRule="exact"/>
        <w:ind w:firstLineChars="200" w:firstLine="640"/>
        <w:outlineLvl w:val="2"/>
        <w:rPr>
          <w:rFonts w:ascii="仿宋_GB2312" w:eastAsia="仿宋_GB2312" w:cs="仿宋_GB2312"/>
          <w:color w:val="000000"/>
          <w:sz w:val="32"/>
          <w:szCs w:val="32"/>
        </w:rPr>
      </w:pPr>
      <w:r>
        <w:rPr>
          <w:rFonts w:ascii="仿宋_GB2312" w:eastAsia="仿宋_GB2312" w:cs="仿宋_GB2312" w:hint="eastAsia"/>
          <w:color w:val="000000"/>
          <w:sz w:val="32"/>
          <w:szCs w:val="32"/>
        </w:rPr>
        <w:t>9.承担全县就业培训、创业指导、失业保险、农村劳动力转移、劳服企业经营情况等各方面统计数据的汇总、分析和统计工作。</w:t>
      </w:r>
      <w:bookmarkStart w:id="9" w:name="_Toc15377200"/>
    </w:p>
    <w:p>
      <w:pPr>
        <w:spacing w:line="576" w:lineRule="exact"/>
        <w:ind w:firstLineChars="200" w:firstLine="640"/>
        <w:rPr>
          <w:rFonts w:ascii="仿宋" w:eastAsia="仿宋"/>
          <w:b/>
          <w:color w:val="000000"/>
          <w:sz w:val="32"/>
          <w:szCs w:val="32"/>
        </w:rPr>
      </w:pPr>
      <w:r>
        <w:rPr>
          <w:rFonts w:ascii="仿宋" w:eastAsia="仿宋" w:hint="eastAsia"/>
          <w:b/>
          <w:color w:val="000000"/>
          <w:sz w:val="32"/>
          <w:szCs w:val="32"/>
        </w:rPr>
        <w:t>（二）2022年重点工作完成情况</w:t>
      </w:r>
    </w:p>
    <w:p>
      <w:pPr>
        <w:spacing w:line="576" w:lineRule="exact"/>
        <w:ind w:firstLineChars="200" w:firstLine="640"/>
        <w:rPr>
          <w:rFonts w:ascii="仿宋_GB2312" w:eastAsia="仿宋_GB2312" w:cs="仿宋_GB2312"/>
          <w:b/>
          <w:bCs/>
          <w:sz w:val="32"/>
          <w:szCs w:val="32"/>
        </w:rPr>
      </w:pPr>
      <w:r>
        <w:rPr>
          <w:rFonts w:ascii="仿宋_GB2312" w:eastAsia="仿宋_GB2312" w:hint="eastAsia"/>
          <w:color w:val="000000"/>
          <w:sz w:val="32"/>
          <w:szCs w:val="32"/>
        </w:rPr>
        <w:t>认真贯彻落实</w:t>
      </w:r>
      <w:r>
        <w:rPr>
          <w:rFonts w:ascii="仿宋_GB2312" w:eastAsia="仿宋_GB2312" w:cs="仿宋_GB2312" w:hint="eastAsia"/>
          <w:color w:val="000000"/>
          <w:kern w:val="0"/>
          <w:sz w:val="32"/>
          <w:szCs w:val="32"/>
        </w:rPr>
        <w:t>就业创业各项政策，</w:t>
      </w:r>
      <w:r>
        <w:rPr>
          <w:rFonts w:ascii="仿宋_GB2312" w:eastAsia="仿宋_GB2312" w:hint="eastAsia"/>
          <w:color w:val="000000"/>
          <w:sz w:val="32"/>
          <w:szCs w:val="32"/>
        </w:rPr>
        <w:t>通过实施“春风行动”“公共就业服务进校园”、开展线上、线下招聘会</w:t>
      </w:r>
      <w:r>
        <w:rPr>
          <w:rFonts w:ascii="仿宋_GB2312" w:eastAsia="仿宋_GB2312" w:cs="仿宋_GB2312" w:hint="eastAsia"/>
          <w:color w:val="000000"/>
          <w:kern w:val="0"/>
          <w:sz w:val="32"/>
          <w:szCs w:val="32"/>
        </w:rPr>
        <w:t>、转发、</w:t>
      </w:r>
      <w:r>
        <w:rPr>
          <w:rFonts w:ascii="仿宋_GB2312" w:eastAsia="仿宋_GB2312" w:hint="eastAsia"/>
          <w:color w:val="000000"/>
          <w:sz w:val="32"/>
          <w:szCs w:val="32"/>
        </w:rPr>
        <w:t>张贴及发放相关宣传资料等方式，</w:t>
      </w:r>
      <w:r>
        <w:rPr>
          <w:rFonts w:ascii="仿宋_GB2312" w:eastAsia="仿宋_GB2312" w:cs="仿宋_GB2312" w:hint="eastAsia"/>
          <w:sz w:val="32"/>
          <w:szCs w:val="32"/>
        </w:rPr>
        <w:t>推荐360家企业11200个岗位。积极开展各类创业就业培训，启动“羌山果匠”，培育“一县一品”，打造就业“金字招牌”。</w:t>
      </w:r>
      <w:r>
        <w:rPr>
          <w:rFonts w:ascii="仿宋_GB2312" w:eastAsia="仿宋_GB2312" w:hint="eastAsia"/>
          <w:color w:val="000000"/>
          <w:sz w:val="32"/>
          <w:szCs w:val="32"/>
        </w:rPr>
        <w:t>2022年全县城镇新增就业880人、城镇失业人员再就业75人、就业困难人员再就业10人、劳务品牌培训300人、均完成目标任务100%；城镇登记失业率3.74%，控制在3.9%以内；全县青年见习86人，完成目标任务245.14%；全县劳务转移20552人次，完成年度目标102.1%；实现劳务收入6.0亿元，完成年度目标任务5.95亿元的100.8%；申请返乡创业担保贷款265万元，完成目标任务101.92%。</w:t>
      </w:r>
      <w:r>
        <w:rPr>
          <w:rFonts w:ascii="仿宋_GB2312" w:eastAsia="仿宋_GB2312" w:cs="仿宋_GB2312" w:hint="eastAsia"/>
          <w:sz w:val="32"/>
          <w:szCs w:val="32"/>
          <w:lang w:val="zh-CN"/>
        </w:rPr>
        <w:t>全年实现</w:t>
      </w:r>
      <w:r>
        <w:rPr>
          <w:rFonts w:ascii="仿宋_GB2312" w:eastAsia="仿宋_GB2312" w:cs="仿宋_GB2312" w:hint="eastAsia"/>
          <w:sz w:val="32"/>
          <w:szCs w:val="32"/>
        </w:rPr>
        <w:t>脱</w:t>
      </w:r>
      <w:r>
        <w:rPr>
          <w:rFonts w:ascii="仿宋_GB2312" w:eastAsia="仿宋_GB2312" w:cs="仿宋" w:hint="eastAsia"/>
          <w:color w:val="000000"/>
          <w:sz w:val="32"/>
          <w:szCs w:val="32"/>
        </w:rPr>
        <w:t>贫劳动力转移就业3518人，建立茂县来料加工车间，形成“1+N”来料加工模式，吸纳劳动力50余人。</w:t>
      </w:r>
    </w:p>
    <w:p>
      <w:pPr>
        <w:pStyle w:val="2"/>
        <w:spacing w:line="576" w:lineRule="exact"/>
        <w:rPr>
          <w:rFonts w:ascii="黑体" w:eastAsia="黑体" w:cs="Times New Roman"/>
          <w:b w:val="0"/>
          <w:color w:val="000000"/>
        </w:rPr>
      </w:pPr>
      <w:bookmarkStart w:id="10" w:name="_Toc7982"/>
      <w:bookmarkStart w:id="11" w:name="_Toc111208497"/>
      <w:r>
        <w:rPr>
          <w:rFonts w:ascii="黑体" w:eastAsia="黑体" w:cs="Times New Roman" w:hint="eastAsia"/>
          <w:b w:val="0"/>
          <w:color w:val="000000"/>
        </w:rPr>
        <w:t>二、机构设置</w:t>
      </w:r>
      <w:bookmarkEnd w:id="9"/>
      <w:bookmarkEnd w:id="10"/>
      <w:bookmarkEnd w:id="11"/>
    </w:p>
    <w:p>
      <w:pPr>
        <w:ind w:firstLineChars="200" w:firstLine="640"/>
        <w:rPr>
          <w:rFonts w:ascii="仿宋_GB2312" w:eastAsia="仿宋_GB2312" w:cs="仿宋_GB2312"/>
          <w:color w:val="000000"/>
          <w:sz w:val="32"/>
          <w:szCs w:val="32"/>
        </w:rPr>
      </w:pPr>
      <w:r>
        <w:rPr>
          <w:rFonts w:ascii="仿宋_GB2312" w:eastAsia="仿宋_GB2312" w:cs="仿宋_GB2312" w:hint="eastAsia"/>
          <w:color w:val="000000"/>
          <w:sz w:val="32"/>
          <w:szCs w:val="32"/>
        </w:rPr>
        <w:t>茂县公共就业和人才交流服务局下属二级单位0个，其中行政单位0个，参照公务员法管理的事业单位0个，其他事业单位0个。</w:t>
      </w:r>
    </w:p>
    <w:p>
      <w:pPr>
        <w:widowControl/>
        <w:jc w:val="left"/>
        <w:rPr>
          <w:rFonts w:ascii="仿宋_GB2312" w:eastAsia="仿宋_GB2312"/>
          <w:b/>
          <w:bCs/>
          <w:color w:val="000000"/>
          <w:kern w:val="44"/>
          <w:sz w:val="44"/>
          <w:szCs w:val="44"/>
        </w:rPr>
      </w:pPr>
      <w:r>
        <w:rPr>
          <w:rFonts w:ascii="仿宋_GB2312" w:eastAsia="仿宋_GB2312"/>
          <w:color w:val="000000"/>
        </w:rPr>
        <w:br w:type="page"/>
      </w:r>
    </w:p>
    <w:p>
      <w:pPr>
        <w:pStyle w:val="1"/>
        <w:jc w:val="center"/>
        <w:rPr>
          <w:rFonts w:ascii="黑体" w:eastAsia="黑体" w:cs="黑体"/>
        </w:rPr>
      </w:pPr>
      <w:r>
        <w:rPr>
          <w:rFonts w:ascii="黑体" w:eastAsia="黑体" w:cs="黑体" w:hint="eastAsia"/>
          <w:b w:val="0"/>
          <w:bCs w:val="0"/>
        </w:rPr>
        <w:t>第二部分</w:t>
      </w:r>
      <w:r>
        <w:rPr>
          <w:rFonts w:ascii="黑体" w:eastAsia="黑体" w:cs="黑体"/>
          <w:b w:val="0"/>
          <w:bCs w:val="0"/>
        </w:rPr>
        <w:t xml:space="preserve"> </w:t>
      </w:r>
      <w:r>
        <w:rPr>
          <w:rFonts w:ascii="黑体" w:eastAsia="黑体" w:cs="黑体" w:hint="eastAsia"/>
          <w:b w:val="0"/>
          <w:bCs w:val="0"/>
        </w:rPr>
        <w:t>2022</w:t>
      </w:r>
      <w:r>
        <w:rPr>
          <w:rFonts w:ascii="黑体" w:eastAsia="黑体" w:cs="黑体"/>
          <w:b w:val="0"/>
          <w:bCs w:val="0"/>
        </w:rPr>
        <w:t>年度部门决算情况说明</w:t>
      </w:r>
      <w:bookmarkEnd w:id="1"/>
      <w:bookmarkEnd w:id="2"/>
      <w:bookmarkEnd w:id="3"/>
    </w:p>
    <w:p>
      <w:pPr>
        <w:pStyle w:val="2"/>
        <w:ind w:firstLineChars="200" w:firstLine="640"/>
        <w:rPr>
          <w:rFonts w:ascii="黑体" w:eastAsia="黑体" w:cs="Times New Roman"/>
          <w:b w:val="0"/>
          <w:color w:val="000000"/>
        </w:rPr>
      </w:pPr>
      <w:bookmarkStart w:id="12" w:name="_Toc15377205"/>
      <w:bookmarkStart w:id="13" w:name="_Toc21486"/>
      <w:bookmarkStart w:id="14" w:name="_Toc111208499"/>
      <w:r>
        <w:rPr>
          <w:rFonts w:ascii="黑体" w:eastAsia="黑体" w:cs="Times New Roman" w:hint="eastAsia"/>
          <w:b w:val="0"/>
          <w:color w:val="000000"/>
        </w:rPr>
        <w:t>一、收入支出决算总体情况说</w:t>
      </w:r>
      <w:bookmarkEnd w:id="12"/>
      <w:r>
        <w:rPr>
          <w:rFonts w:ascii="黑体" w:eastAsia="黑体" w:cs="Times New Roman" w:hint="eastAsia"/>
          <w:b w:val="0"/>
          <w:color w:val="000000"/>
        </w:rPr>
        <w:t>明</w:t>
      </w:r>
      <w:bookmarkEnd w:id="13"/>
      <w:bookmarkEnd w:id="14"/>
    </w:p>
    <w:p>
      <w:pPr>
        <w:spacing w:line="600" w:lineRule="exact"/>
        <w:ind w:firstLineChars="200" w:firstLine="640"/>
        <w:rPr>
          <w:rFonts w:ascii="仿宋_GB2312" w:eastAsia="仿宋_GB2312" w:cs="仿宋_GB2312"/>
          <w:color w:val="00B0F0"/>
          <w:sz w:val="32"/>
          <w:szCs w:val="32"/>
        </w:rPr>
      </w:pPr>
      <w:r>
        <w:rPr>
          <w:rFonts w:ascii="仿宋_GB2312" w:eastAsia="仿宋_GB2312" w:cs="仿宋_GB2312" w:hint="eastAsia"/>
          <w:color w:val="000000"/>
          <w:sz w:val="32"/>
          <w:szCs w:val="32"/>
        </w:rPr>
        <w:t>2022年度收、支总计1725.06万元。与2021年相比，收、支总计各增加1207.37万元，增加233.22%。</w:t>
      </w:r>
      <w:r>
        <w:rPr>
          <w:rFonts w:ascii="仿宋_GB2312" w:eastAsia="仿宋_GB2312" w:cs="仿宋_GB2312" w:hint="eastAsia"/>
          <w:color w:val="000000"/>
          <w:sz w:val="32"/>
        </w:rPr>
        <w:t xml:space="preserve"> </w:t>
      </w:r>
    </w:p>
    <w:p>
      <w:pPr>
        <w:spacing w:line="600" w:lineRule="exact"/>
        <w:ind w:firstLineChars="200" w:firstLine="640"/>
        <w:jc w:val="center"/>
        <w:rPr>
          <w:rFonts w:ascii="仿宋_GB2312" w:eastAsia="仿宋_GB2312"/>
          <w:color w:val="000000"/>
          <w:sz w:val="28"/>
          <w:szCs w:val="28"/>
        </w:rPr>
      </w:pPr>
      <w:r>
        <w:rPr>
          <w:rFonts w:ascii="仿宋_GB2312" w:eastAsia="仿宋_GB2312" w:cs="仿宋_GB2312" w:hint="eastAsia"/>
          <w:color w:val="000000"/>
          <w:sz w:val="32"/>
          <w:szCs w:val="32"/>
        </w:rPr>
        <w:t>（图1：收、支决算总计变动情况图）</w:t>
      </w:r>
    </w:p>
    <w:p>
      <w:pPr>
        <w:pStyle w:val="15"/>
      </w:pPr>
      <w:r>
        <w:drawing>
          <wp:inline distT="0" distB="0" distL="114300" distR="114300">
            <wp:extent cx="5343525" cy="2933700"/>
            <wp:effectExtent l="0" t="0" r="0" b="0"/>
            <wp:docPr id="1" name="图表 1"/>
            <wp:cNvGraphicFramePr>
              <a:graphicFrameLocks noChangeAspect="0"/>
            </wp:cNvGraphicFramePr>
            <a:graphic>
              <a:graphicData uri="http://schemas.openxmlformats.org/drawingml/2006/chart">
                <c:chart xmlns:c="http://schemas.openxmlformats.org/drawingml/2006/chart" r:id="rId4"/>
              </a:graphicData>
            </a:graphic>
          </wp:inline>
        </w:drawing>
      </w:r>
    </w:p>
    <w:p>
      <w:pPr>
        <w:pStyle w:val="2"/>
        <w:ind w:firstLineChars="200" w:firstLine="640"/>
        <w:rPr>
          <w:rFonts w:ascii="黑体" w:eastAsia="黑体" w:cs="Times New Roman"/>
          <w:b w:val="0"/>
          <w:color w:val="000000"/>
        </w:rPr>
      </w:pPr>
      <w:bookmarkStart w:id="15" w:name="_Toc24609"/>
      <w:bookmarkStart w:id="16" w:name="_Toc111208500"/>
      <w:bookmarkStart w:id="17" w:name="_Toc15377206"/>
      <w:r>
        <w:rPr>
          <w:rFonts w:ascii="黑体" w:eastAsia="黑体" w:cs="Times New Roman" w:hint="eastAsia"/>
          <w:b w:val="0"/>
          <w:color w:val="000000"/>
        </w:rPr>
        <w:t>二、收入决算情况说明</w:t>
      </w:r>
      <w:bookmarkEnd w:id="15"/>
      <w:bookmarkEnd w:id="16"/>
      <w:bookmarkEnd w:id="17"/>
    </w:p>
    <w:p>
      <w:pPr>
        <w:spacing w:line="600" w:lineRule="exact"/>
        <w:ind w:firstLineChars="200" w:firstLine="640"/>
        <w:rPr>
          <w:rFonts w:ascii="仿宋_GB2312" w:eastAsia="仿宋_GB2312" w:cs="仿宋_GB2312"/>
          <w:color w:val="000000"/>
          <w:sz w:val="32"/>
          <w:szCs w:val="32"/>
        </w:rPr>
      </w:pPr>
      <w:r>
        <w:rPr>
          <w:rFonts w:ascii="仿宋_GB2312" w:eastAsia="仿宋_GB2312" w:cs="仿宋_GB2312" w:hint="eastAsia"/>
          <w:color w:val="000000"/>
          <w:sz w:val="32"/>
          <w:szCs w:val="32"/>
        </w:rPr>
        <w:t>2022</w:t>
      </w:r>
      <w:r>
        <w:rPr>
          <w:rFonts w:ascii="仿宋_GB2312" w:eastAsia="仿宋_GB2312" w:cs="仿宋_GB2312" w:hint="eastAsia"/>
          <w:color w:val="000000"/>
          <w:sz w:val="32"/>
        </w:rPr>
        <w:t>年本年收入合计1725.06万元，其中：一般公共预算财政拨款收入1725.06万元，占10</w:t>
      </w:r>
      <w:r>
        <w:rPr>
          <w:rFonts w:ascii="仿宋_GB2312" w:eastAsia="仿宋_GB2312" w:cs="仿宋_GB2312" w:hint="eastAsia"/>
          <w:color w:val="000000"/>
          <w:sz w:val="32"/>
          <w:lang w:eastAsia="zh-CN"/>
        </w:rPr>
        <w:t>0</w:t>
      </w:r>
      <w:r>
        <w:rPr>
          <w:rFonts w:ascii="仿宋_GB2312" w:eastAsia="仿宋_GB2312" w:cs="仿宋_GB2312" w:hint="eastAsia"/>
          <w:color w:val="000000"/>
          <w:sz w:val="32"/>
        </w:rPr>
        <w:t>%；政府性基金预算财政拨款收入</w:t>
      </w:r>
      <w:r>
        <w:rPr>
          <w:rFonts w:ascii="仿宋_GB2312" w:eastAsia="仿宋_GB2312" w:cs="仿宋_GB2312" w:hint="eastAsia"/>
          <w:color w:val="000000"/>
          <w:sz w:val="32"/>
          <w:lang w:eastAsia="zh-CN"/>
        </w:rPr>
        <w:t>0</w:t>
      </w:r>
      <w:r>
        <w:rPr>
          <w:rFonts w:ascii="仿宋_GB2312" w:eastAsia="仿宋_GB2312" w:cs="仿宋_GB2312" w:hint="eastAsia"/>
          <w:color w:val="000000"/>
          <w:sz w:val="32"/>
        </w:rPr>
        <w:t>万元；国有资本经营预算财政拨款收入</w:t>
      </w:r>
      <w:r>
        <w:rPr>
          <w:rFonts w:ascii="仿宋_GB2312" w:eastAsia="仿宋_GB2312" w:cs="仿宋_GB2312" w:hint="eastAsia"/>
          <w:color w:val="000000"/>
          <w:sz w:val="32"/>
          <w:lang w:eastAsia="zh-CN"/>
        </w:rPr>
        <w:t>0</w:t>
      </w:r>
      <w:r>
        <w:rPr>
          <w:rFonts w:ascii="仿宋_GB2312" w:eastAsia="仿宋_GB2312" w:cs="仿宋_GB2312" w:hint="eastAsia"/>
          <w:color w:val="000000"/>
          <w:sz w:val="32"/>
        </w:rPr>
        <w:t>万元；上级补助收入</w:t>
      </w:r>
      <w:r>
        <w:rPr>
          <w:rFonts w:ascii="仿宋_GB2312" w:eastAsia="仿宋_GB2312" w:cs="仿宋_GB2312" w:hint="eastAsia"/>
          <w:color w:val="000000"/>
          <w:sz w:val="32"/>
          <w:lang w:eastAsia="zh-CN"/>
        </w:rPr>
        <w:t>0</w:t>
      </w:r>
      <w:r>
        <w:rPr>
          <w:rFonts w:ascii="仿宋_GB2312" w:eastAsia="仿宋_GB2312" w:cs="仿宋_GB2312" w:hint="eastAsia"/>
          <w:color w:val="000000"/>
          <w:sz w:val="32"/>
        </w:rPr>
        <w:t>万元；事业收入</w:t>
      </w:r>
      <w:r>
        <w:rPr>
          <w:rFonts w:ascii="仿宋_GB2312" w:eastAsia="仿宋_GB2312" w:cs="仿宋_GB2312" w:hint="eastAsia"/>
          <w:color w:val="000000"/>
          <w:sz w:val="32"/>
          <w:lang w:eastAsia="zh-CN"/>
        </w:rPr>
        <w:t>0</w:t>
      </w:r>
      <w:r>
        <w:rPr>
          <w:rFonts w:ascii="仿宋_GB2312" w:eastAsia="仿宋_GB2312" w:cs="仿宋_GB2312" w:hint="eastAsia"/>
          <w:color w:val="000000"/>
          <w:sz w:val="32"/>
        </w:rPr>
        <w:t>万元；经营收入</w:t>
      </w:r>
      <w:r>
        <w:rPr>
          <w:rFonts w:ascii="仿宋_GB2312" w:eastAsia="仿宋_GB2312" w:cs="仿宋_GB2312" w:hint="eastAsia"/>
          <w:color w:val="000000"/>
          <w:sz w:val="32"/>
          <w:lang w:eastAsia="zh-CN"/>
        </w:rPr>
        <w:t>0</w:t>
      </w:r>
      <w:r>
        <w:rPr>
          <w:rFonts w:ascii="仿宋_GB2312" w:eastAsia="仿宋_GB2312" w:cs="仿宋_GB2312" w:hint="eastAsia"/>
          <w:color w:val="000000"/>
          <w:sz w:val="32"/>
        </w:rPr>
        <w:t>万元；附属单位上缴收入</w:t>
      </w:r>
      <w:r>
        <w:rPr>
          <w:rFonts w:ascii="仿宋_GB2312" w:eastAsia="仿宋_GB2312" w:cs="仿宋_GB2312" w:hint="eastAsia"/>
          <w:color w:val="000000"/>
          <w:sz w:val="32"/>
          <w:lang w:eastAsia="zh-CN"/>
        </w:rPr>
        <w:t>0</w:t>
      </w:r>
      <w:r>
        <w:rPr>
          <w:rFonts w:ascii="仿宋_GB2312" w:eastAsia="仿宋_GB2312" w:cs="仿宋_GB2312" w:hint="eastAsia"/>
          <w:color w:val="000000"/>
          <w:sz w:val="32"/>
        </w:rPr>
        <w:t>万元；其他收入</w:t>
      </w:r>
      <w:r>
        <w:rPr>
          <w:rFonts w:ascii="仿宋_GB2312" w:eastAsia="仿宋_GB2312" w:cs="仿宋_GB2312" w:hint="eastAsia"/>
          <w:color w:val="000000"/>
          <w:sz w:val="32"/>
          <w:lang w:eastAsia="zh-CN"/>
        </w:rPr>
        <w:t>0</w:t>
      </w:r>
      <w:r>
        <w:rPr>
          <w:rFonts w:ascii="仿宋_GB2312" w:eastAsia="仿宋_GB2312" w:cs="仿宋_GB2312" w:hint="eastAsia"/>
          <w:color w:val="000000"/>
          <w:sz w:val="32"/>
        </w:rPr>
        <w:t>万元。</w:t>
      </w:r>
    </w:p>
    <w:p>
      <w:pPr>
        <w:spacing w:line="600" w:lineRule="exact"/>
        <w:ind w:firstLineChars="800" w:firstLine="2560"/>
        <w:rPr>
          <w:rFonts w:ascii="仿宋_GB2312" w:eastAsia="仿宋_GB2312" w:cs="仿宋_GB2312"/>
          <w:color w:val="000000"/>
          <w:sz w:val="32"/>
          <w:szCs w:val="32"/>
        </w:rPr>
      </w:pPr>
      <w:r>
        <w:rPr>
          <w:rFonts w:ascii="仿宋_GB2312" w:eastAsia="仿宋_GB2312" w:cs="仿宋_GB2312" w:hint="eastAsia"/>
          <w:color w:val="000000"/>
          <w:sz w:val="32"/>
          <w:szCs w:val="32"/>
        </w:rPr>
        <w:t>（图2：收入决算结构图）</w:t>
      </w:r>
    </w:p>
    <w:p>
      <w:pPr>
        <w:pStyle w:val="23"/>
        <w:jc w:val="center"/>
      </w:pPr>
      <w:r>
        <w:rPr>
          <w:rFonts w:ascii="仿宋_GB2312" w:eastAsia="仿宋_GB2312" w:hint="eastAsia"/>
          <w:color w:val="FF0000"/>
          <w:sz w:val="32"/>
          <w:szCs w:val="32"/>
        </w:rPr>
        <w:drawing>
          <wp:inline distT="0" distB="0" distL="114300" distR="114300">
            <wp:extent cx="5332730" cy="3400425"/>
            <wp:effectExtent l="0" t="0" r="0" b="0"/>
            <wp:docPr id="2" name="图表 2"/>
            <wp:cNvGraphicFramePr>
              <a:graphicFrameLocks noChangeAspect="0"/>
            </wp:cNvGraphicFramePr>
            <a:graphic>
              <a:graphicData uri="http://schemas.openxmlformats.org/drawingml/2006/chart">
                <c:chart xmlns:c="http://schemas.openxmlformats.org/drawingml/2006/chart" r:id="rId5"/>
              </a:graphicData>
            </a:graphic>
          </wp:inline>
        </w:drawing>
      </w:r>
    </w:p>
    <w:p>
      <w:pPr>
        <w:pStyle w:val="2"/>
        <w:ind w:firstLineChars="200" w:firstLine="640"/>
        <w:rPr>
          <w:rFonts w:ascii="黑体" w:eastAsia="黑体" w:cs="Times New Roman"/>
          <w:b w:val="0"/>
          <w:color w:val="000000"/>
        </w:rPr>
      </w:pPr>
      <w:bookmarkStart w:id="18" w:name="_Toc15377207"/>
      <w:bookmarkStart w:id="19" w:name="_Toc111208501"/>
      <w:bookmarkStart w:id="20" w:name="_Toc8745"/>
      <w:r>
        <w:rPr>
          <w:rFonts w:ascii="黑体" w:eastAsia="黑体" w:cs="Times New Roman" w:hint="eastAsia"/>
          <w:b w:val="0"/>
          <w:color w:val="000000"/>
        </w:rPr>
        <w:t>三、支出决算情况说明</w:t>
      </w:r>
      <w:bookmarkEnd w:id="18"/>
      <w:bookmarkEnd w:id="19"/>
      <w:bookmarkEnd w:id="20"/>
    </w:p>
    <w:p>
      <w:pPr>
        <w:pStyle w:val="15"/>
        <w:rPr>
          <w:rFonts w:ascii="仿宋_GB2312" w:eastAsia="仿宋_GB2312" w:cs="仿宋_GB2312"/>
          <w:color w:val="000000"/>
          <w:sz w:val="32"/>
          <w:szCs w:val="32"/>
        </w:rPr>
      </w:pPr>
      <w:r>
        <w:rPr>
          <w:rFonts w:ascii="仿宋_GB2312" w:eastAsia="仿宋_GB2312" w:cs="仿宋_GB2312" w:hint="eastAsia"/>
          <w:color w:val="000000"/>
          <w:sz w:val="32"/>
          <w:szCs w:val="32"/>
        </w:rPr>
        <w:t>2022年本年支出合计1725.06万元，其中：基本支出299.51万元，占17.36%；项目支出1425.56万元，占82.64%；上缴上级支出</w:t>
      </w:r>
      <w:r>
        <w:rPr>
          <w:rFonts w:ascii="仿宋_GB2312" w:eastAsia="仿宋_GB2312" w:cs="仿宋_GB2312" w:hint="eastAsia"/>
          <w:color w:val="000000"/>
          <w:sz w:val="32"/>
          <w:szCs w:val="32"/>
          <w:lang w:eastAsia="zh-CN"/>
        </w:rPr>
        <w:t>0</w:t>
      </w:r>
      <w:r>
        <w:rPr>
          <w:rFonts w:ascii="仿宋_GB2312" w:eastAsia="仿宋_GB2312" w:cs="仿宋_GB2312" w:hint="eastAsia"/>
          <w:color w:val="000000"/>
          <w:sz w:val="32"/>
          <w:szCs w:val="32"/>
        </w:rPr>
        <w:t>万元；经营支出</w:t>
      </w:r>
      <w:r>
        <w:rPr>
          <w:rFonts w:ascii="仿宋_GB2312" w:eastAsia="仿宋_GB2312" w:cs="仿宋_GB2312" w:hint="eastAsia"/>
          <w:color w:val="000000"/>
          <w:sz w:val="32"/>
          <w:szCs w:val="32"/>
          <w:lang w:eastAsia="zh-CN"/>
        </w:rPr>
        <w:t>0</w:t>
      </w:r>
      <w:r>
        <w:rPr>
          <w:rFonts w:ascii="仿宋_GB2312" w:eastAsia="仿宋_GB2312" w:cs="仿宋_GB2312" w:hint="eastAsia"/>
          <w:color w:val="000000"/>
          <w:sz w:val="32"/>
          <w:szCs w:val="32"/>
        </w:rPr>
        <w:t>万元；对附属单位补助支出</w:t>
      </w:r>
      <w:r>
        <w:rPr>
          <w:rFonts w:ascii="仿宋_GB2312" w:eastAsia="仿宋_GB2312" w:cs="仿宋_GB2312" w:hint="eastAsia"/>
          <w:color w:val="000000"/>
          <w:sz w:val="32"/>
          <w:szCs w:val="32"/>
          <w:lang w:eastAsia="zh-CN"/>
        </w:rPr>
        <w:t>0</w:t>
      </w:r>
      <w:r>
        <w:rPr>
          <w:rFonts w:ascii="仿宋_GB2312" w:eastAsia="仿宋_GB2312" w:cs="仿宋_GB2312" w:hint="eastAsia"/>
          <w:color w:val="000000"/>
          <w:sz w:val="32"/>
          <w:szCs w:val="32"/>
        </w:rPr>
        <w:t>万元。</w:t>
      </w:r>
    </w:p>
    <w:p>
      <w:pPr>
        <w:spacing w:line="600" w:lineRule="exact"/>
        <w:ind w:firstLineChars="700" w:firstLine="2240"/>
        <w:rPr>
          <w:rFonts w:ascii="仿宋_GB2312" w:eastAsia="仿宋_GB2312" w:cs="仿宋_GB2312"/>
          <w:color w:val="000000"/>
          <w:sz w:val="32"/>
          <w:szCs w:val="32"/>
        </w:rPr>
      </w:pPr>
      <w:r>
        <w:rPr>
          <w:rFonts w:ascii="仿宋_GB2312" w:eastAsia="仿宋_GB2312" w:cs="仿宋_GB2312" w:hint="eastAsia"/>
          <w:color w:val="000000"/>
          <w:sz w:val="32"/>
          <w:szCs w:val="32"/>
        </w:rPr>
        <w:t>（图3：支出决算结构图）</w:t>
      </w:r>
    </w:p>
    <w:p>
      <w:pPr>
        <w:jc w:val="center"/>
        <w:rPr>
          <w:rFonts w:ascii="仿宋_GB2312" w:eastAsia="仿宋_GB2312"/>
          <w:color w:val="FF0000"/>
          <w:sz w:val="32"/>
          <w:szCs w:val="32"/>
        </w:rPr>
      </w:pPr>
      <w:r>
        <w:rPr>
          <w:rFonts w:ascii="仿宋_GB2312" w:eastAsia="仿宋_GB2312" w:hint="eastAsia"/>
          <w:color w:val="FF0000"/>
          <w:sz w:val="32"/>
          <w:szCs w:val="32"/>
        </w:rPr>
        <w:drawing>
          <wp:inline distT="0" distB="0" distL="114300" distR="114300">
            <wp:extent cx="5304154" cy="3429000"/>
            <wp:effectExtent l="0" t="0" r="0" b="0"/>
            <wp:docPr id="3" name="图表 3"/>
            <wp:cNvGraphicFramePr>
              <a:graphicFrameLocks noChangeAspect="0"/>
            </wp:cNvGraphicFramePr>
            <a:graphic>
              <a:graphicData uri="http://schemas.openxmlformats.org/drawingml/2006/chart">
                <c:chart xmlns:c="http://schemas.openxmlformats.org/drawingml/2006/chart" r:id="rId6"/>
              </a:graphicData>
            </a:graphic>
          </wp:inline>
        </w:drawing>
      </w:r>
    </w:p>
    <w:p>
      <w:pPr>
        <w:pStyle w:val="15"/>
      </w:pPr>
    </w:p>
    <w:p>
      <w:pPr>
        <w:pStyle w:val="2"/>
        <w:ind w:firstLineChars="200" w:firstLine="640"/>
        <w:rPr>
          <w:rFonts w:ascii="黑体" w:eastAsia="黑体" w:cs="Times New Roman"/>
          <w:b w:val="0"/>
          <w:color w:val="000000"/>
        </w:rPr>
      </w:pPr>
      <w:bookmarkStart w:id="21" w:name="_Toc13661"/>
      <w:bookmarkStart w:id="22" w:name="_Toc15377208"/>
      <w:bookmarkStart w:id="23" w:name="_Toc111208502"/>
      <w:r>
        <w:rPr>
          <w:rFonts w:ascii="黑体" w:eastAsia="黑体" w:cs="Times New Roman" w:hint="eastAsia"/>
          <w:b w:val="0"/>
          <w:color w:val="000000"/>
        </w:rPr>
        <w:t>四、财政拨款收入支出决算总体情况说明</w:t>
      </w:r>
      <w:bookmarkEnd w:id="21"/>
      <w:bookmarkEnd w:id="22"/>
      <w:bookmarkEnd w:id="23"/>
    </w:p>
    <w:p>
      <w:pPr>
        <w:spacing w:line="600" w:lineRule="exact"/>
        <w:ind w:firstLineChars="200" w:firstLine="640"/>
        <w:rPr>
          <w:rFonts w:ascii="仿宋_GB2312" w:eastAsia="仿宋_GB2312" w:cs="仿宋_GB2312"/>
          <w:color w:val="000000"/>
          <w:sz w:val="32"/>
          <w:szCs w:val="32"/>
        </w:rPr>
      </w:pPr>
      <w:r>
        <w:rPr>
          <w:rFonts w:ascii="仿宋_GB2312" w:eastAsia="仿宋_GB2312" w:cs="仿宋_GB2312" w:hint="eastAsia"/>
          <w:color w:val="000000"/>
          <w:sz w:val="32"/>
          <w:szCs w:val="32"/>
        </w:rPr>
        <w:t>2022</w:t>
      </w:r>
      <w:r>
        <w:rPr>
          <w:rFonts w:ascii="仿宋_GB2312" w:eastAsia="仿宋_GB2312" w:cs="仿宋_GB2312" w:hint="eastAsia"/>
          <w:color w:val="000000"/>
          <w:sz w:val="32"/>
        </w:rPr>
        <w:t xml:space="preserve">年财政拨款收、支总计1725.06万元。与2021年相比，财政拨款收、支总计各增加1207.37万元，增加233.22%。 </w:t>
      </w:r>
    </w:p>
    <w:p>
      <w:pPr>
        <w:spacing w:line="600" w:lineRule="exact"/>
        <w:ind w:firstLineChars="400" w:firstLine="1280"/>
        <w:rPr>
          <w:rFonts w:ascii="仿宋_GB2312" w:eastAsia="仿宋_GB2312" w:cs="仿宋_GB2312"/>
          <w:color w:val="000000"/>
          <w:sz w:val="32"/>
          <w:szCs w:val="32"/>
        </w:rPr>
      </w:pPr>
      <w:r>
        <w:rPr>
          <w:rFonts w:ascii="仿宋_GB2312" w:eastAsia="仿宋_GB2312" w:cs="仿宋_GB2312" w:hint="eastAsia"/>
          <w:color w:val="000000"/>
          <w:sz w:val="32"/>
          <w:szCs w:val="32"/>
        </w:rPr>
        <w:t>（图4：财政拨款收、支决算总计变动情况）</w:t>
      </w:r>
    </w:p>
    <w:p>
      <w:pPr>
        <w:pStyle w:val="15"/>
        <w:ind w:firstLine="0"/>
        <w:rPr>
          <w:rFonts w:ascii="仿宋_GB2312" w:eastAsia="仿宋_GB2312" w:cs="仿宋_GB2312"/>
        </w:rPr>
      </w:pPr>
    </w:p>
    <w:p>
      <w:pPr>
        <w:pStyle w:val="15"/>
        <w:jc w:val="left"/>
      </w:pPr>
      <w:r>
        <w:rPr>
          <w:rFonts w:ascii="仿宋_GB2312" w:eastAsia="仿宋_GB2312" w:hint="eastAsia"/>
          <w:color w:val="000000"/>
          <w:sz w:val="32"/>
          <w:szCs w:val="32"/>
        </w:rPr>
        <w:drawing>
          <wp:inline distT="0" distB="0" distL="0" distR="0">
            <wp:extent cx="4981575" cy="3171825"/>
            <wp:effectExtent l="0" t="0" r="0" b="0"/>
            <wp:docPr id="4" name="图表 12"/>
            <wp:cNvGraphicFramePr>
              <a:graphicFrameLocks noChangeAspect="0"/>
            </wp:cNvGraphicFramePr>
            <a:graphic>
              <a:graphicData uri="http://schemas.openxmlformats.org/drawingml/2006/chart">
                <c:chart xmlns:c="http://schemas.openxmlformats.org/drawingml/2006/chart" r:id="rId7"/>
              </a:graphicData>
            </a:graphic>
          </wp:inline>
        </w:drawing>
      </w:r>
    </w:p>
    <w:p>
      <w:pPr>
        <w:pStyle w:val="15"/>
        <w:jc w:val="center"/>
      </w:pPr>
    </w:p>
    <w:p>
      <w:pPr>
        <w:pStyle w:val="2"/>
        <w:ind w:firstLineChars="200" w:firstLine="640"/>
        <w:rPr>
          <w:rFonts w:ascii="黑体" w:eastAsia="黑体" w:cs="Times New Roman"/>
          <w:b w:val="0"/>
          <w:color w:val="000000"/>
        </w:rPr>
      </w:pPr>
      <w:bookmarkStart w:id="24" w:name="_Toc15377209"/>
      <w:bookmarkStart w:id="25" w:name="_Toc2126"/>
      <w:bookmarkStart w:id="26" w:name="_Toc111208503"/>
      <w:r>
        <w:rPr>
          <w:rFonts w:ascii="黑体" w:eastAsia="黑体" w:cs="Times New Roman" w:hint="eastAsia"/>
          <w:b w:val="0"/>
          <w:color w:val="000000"/>
        </w:rPr>
        <w:t>五、一般公共预算财政拨款支出决算情况说</w:t>
      </w:r>
      <w:bookmarkEnd w:id="24"/>
      <w:r>
        <w:rPr>
          <w:rFonts w:ascii="黑体" w:eastAsia="黑体" w:cs="Times New Roman" w:hint="eastAsia"/>
          <w:b w:val="0"/>
          <w:color w:val="000000"/>
        </w:rPr>
        <w:t>明</w:t>
      </w:r>
      <w:bookmarkEnd w:id="25"/>
      <w:bookmarkEnd w:id="26"/>
    </w:p>
    <w:p>
      <w:pPr>
        <w:spacing w:line="600" w:lineRule="exact"/>
        <w:ind w:firstLineChars="200" w:firstLine="640"/>
        <w:outlineLvl w:val="2"/>
        <w:rPr>
          <w:rFonts w:ascii="仿宋" w:eastAsia="仿宋"/>
          <w:b/>
          <w:color w:val="000000"/>
          <w:sz w:val="32"/>
          <w:szCs w:val="32"/>
        </w:rPr>
      </w:pPr>
      <w:bookmarkStart w:id="27" w:name="_Toc15377210"/>
      <w:r>
        <w:rPr>
          <w:rFonts w:ascii="仿宋" w:eastAsia="仿宋" w:hint="eastAsia"/>
          <w:b/>
          <w:color w:val="000000"/>
          <w:sz w:val="32"/>
          <w:szCs w:val="32"/>
        </w:rPr>
        <w:t>（一）一般公共预算财政拨款支出决算总体情况</w:t>
      </w:r>
      <w:bookmarkEnd w:id="27"/>
    </w:p>
    <w:p>
      <w:pPr>
        <w:spacing w:line="600" w:lineRule="exact"/>
        <w:ind w:firstLineChars="200" w:firstLine="640"/>
        <w:rPr>
          <w:rFonts w:ascii="仿宋_GB2312" w:eastAsia="仿宋_GB2312" w:cs="仿宋_GB2312"/>
          <w:color w:val="000000"/>
          <w:sz w:val="32"/>
          <w:szCs w:val="32"/>
        </w:rPr>
      </w:pPr>
      <w:bookmarkStart w:id="28" w:name="_Toc15377211"/>
      <w:r>
        <w:rPr>
          <w:rFonts w:ascii="仿宋_GB2312" w:eastAsia="仿宋_GB2312" w:cs="仿宋_GB2312" w:hint="eastAsia"/>
          <w:color w:val="000000"/>
          <w:sz w:val="32"/>
          <w:szCs w:val="32"/>
        </w:rPr>
        <w:t>2022</w:t>
      </w:r>
      <w:r>
        <w:rPr>
          <w:rFonts w:ascii="仿宋_GB2312" w:eastAsia="仿宋_GB2312" w:cs="仿宋_GB2312" w:hint="eastAsia"/>
          <w:color w:val="000000"/>
          <w:sz w:val="32"/>
        </w:rPr>
        <w:t>年一般公共预算财政拨款支出1725.06</w:t>
      </w:r>
      <w:r>
        <w:rPr>
          <w:rFonts w:ascii="仿宋_GB2312" w:eastAsia="仿宋_GB2312" w:cs="仿宋_GB2312" w:hint="eastAsia"/>
          <w:color w:val="000000"/>
          <w:sz w:val="32"/>
          <w:szCs w:val="32"/>
        </w:rPr>
        <w:t>万元，占本年支出合计的</w:t>
      </w:r>
      <w:r>
        <w:rPr>
          <w:rFonts w:ascii="仿宋_GB2312" w:eastAsia="仿宋_GB2312" w:cs="仿宋_GB2312" w:hint="eastAsia"/>
          <w:color w:val="000000"/>
          <w:sz w:val="32"/>
        </w:rPr>
        <w:t>10</w:t>
      </w:r>
      <w:r>
        <w:rPr>
          <w:rFonts w:ascii="仿宋_GB2312" w:eastAsia="仿宋_GB2312" w:cs="仿宋_GB2312" w:hint="eastAsia"/>
          <w:color w:val="000000"/>
          <w:sz w:val="32"/>
          <w:lang w:eastAsia="zh-CN"/>
        </w:rPr>
        <w:t>0</w:t>
      </w:r>
      <w:r>
        <w:rPr>
          <w:rFonts w:ascii="仿宋_GB2312" w:eastAsia="仿宋_GB2312" w:cs="仿宋_GB2312" w:hint="eastAsia"/>
          <w:color w:val="000000"/>
          <w:sz w:val="32"/>
          <w:szCs w:val="32"/>
        </w:rPr>
        <w:t>%。与</w:t>
      </w:r>
      <w:r>
        <w:rPr>
          <w:rFonts w:ascii="仿宋_GB2312" w:eastAsia="仿宋_GB2312" w:cs="仿宋_GB2312" w:hint="eastAsia"/>
          <w:color w:val="000000"/>
          <w:sz w:val="32"/>
        </w:rPr>
        <w:t>2021相比，一般公共预算财政拨款增加1207.37</w:t>
      </w:r>
      <w:r>
        <w:rPr>
          <w:rFonts w:ascii="仿宋_GB2312" w:eastAsia="仿宋_GB2312" w:cs="仿宋_GB2312" w:hint="eastAsia"/>
          <w:color w:val="000000"/>
          <w:sz w:val="32"/>
          <w:szCs w:val="32"/>
        </w:rPr>
        <w:t>万元，</w:t>
      </w:r>
      <w:r>
        <w:rPr>
          <w:rFonts w:ascii="仿宋_GB2312" w:eastAsia="仿宋_GB2312" w:cs="仿宋_GB2312" w:hint="eastAsia"/>
          <w:color w:val="000000"/>
          <w:sz w:val="32"/>
        </w:rPr>
        <w:t>增加233.22</w:t>
      </w:r>
      <w:r>
        <w:rPr>
          <w:rFonts w:ascii="仿宋_GB2312" w:eastAsia="仿宋_GB2312" w:cs="仿宋_GB2312" w:hint="eastAsia"/>
          <w:color w:val="000000"/>
          <w:sz w:val="32"/>
          <w:szCs w:val="32"/>
        </w:rPr>
        <w:t>%。</w:t>
      </w:r>
      <w:r>
        <w:rPr>
          <w:rFonts w:ascii="仿宋_GB2312" w:eastAsia="仿宋_GB2312" w:cs="仿宋_GB2312" w:hint="eastAsia"/>
          <w:color w:val="000000"/>
          <w:sz w:val="32"/>
        </w:rPr>
        <w:t xml:space="preserve"> </w:t>
      </w:r>
    </w:p>
    <w:p>
      <w:pPr>
        <w:spacing w:line="600" w:lineRule="exact"/>
        <w:ind w:firstLineChars="200" w:firstLine="640"/>
        <w:rPr>
          <w:rFonts w:ascii="仿宋_GB2312" w:eastAsia="仿宋_GB2312" w:cs="仿宋_GB2312"/>
          <w:color w:val="000000"/>
          <w:sz w:val="32"/>
          <w:szCs w:val="32"/>
        </w:rPr>
      </w:pPr>
      <w:r>
        <w:rPr>
          <w:rFonts w:ascii="仿宋_GB2312" w:eastAsia="仿宋_GB2312" w:cs="仿宋_GB2312" w:hint="eastAsia"/>
          <w:color w:val="000000"/>
          <w:sz w:val="32"/>
          <w:szCs w:val="32"/>
        </w:rPr>
        <w:t>（图5：一般公共预算财政拨款支出决算变动情况）</w:t>
      </w:r>
    </w:p>
    <w:p>
      <w:pPr>
        <w:pStyle w:val="15"/>
        <w:ind w:firstLine="0"/>
        <w:rPr>
          <w:rFonts w:ascii="仿宋_GB2312" w:eastAsia="仿宋_GB2312" w:cs="仿宋_GB2312"/>
          <w:b/>
          <w:color w:val="000000"/>
          <w:sz w:val="32"/>
          <w:szCs w:val="32"/>
        </w:rPr>
      </w:pPr>
    </w:p>
    <w:p>
      <w:pPr>
        <w:pStyle w:val="15"/>
        <w:ind w:firstLine="0"/>
        <w:rPr>
          <w:rFonts w:ascii="仿宋_GB2312" w:eastAsia="仿宋_GB2312"/>
          <w:b/>
          <w:color w:val="000000"/>
          <w:sz w:val="32"/>
          <w:szCs w:val="32"/>
        </w:rPr>
      </w:pPr>
      <w:r>
        <w:rPr>
          <w:rFonts w:ascii="仿宋_GB2312" w:eastAsia="仿宋_GB2312" w:hint="eastAsia"/>
          <w:b/>
          <w:color w:val="000000"/>
          <w:sz w:val="32"/>
          <w:szCs w:val="32"/>
        </w:rPr>
        <w:drawing>
          <wp:inline distT="0" distB="0" distL="0" distR="0">
            <wp:extent cx="4905374" cy="3569970"/>
            <wp:effectExtent l="0" t="0" r="0" b="0"/>
            <wp:docPr id="5" name="图表 4"/>
            <wp:cNvGraphicFramePr>
              <a:graphicFrameLocks noChangeAspect="0"/>
            </wp:cNvGraphicFramePr>
            <a:graphic>
              <a:graphicData uri="http://schemas.openxmlformats.org/drawingml/2006/chart">
                <c:chart xmlns:c="http://schemas.openxmlformats.org/drawingml/2006/chart" r:id="rId8"/>
              </a:graphicData>
            </a:graphic>
          </wp:inline>
        </w:drawing>
      </w:r>
    </w:p>
    <w:p>
      <w:pPr>
        <w:pStyle w:val="15"/>
        <w:ind w:firstLine="0"/>
        <w:rPr>
          <w:rFonts w:ascii="仿宋_GB2312" w:eastAsia="仿宋_GB2312"/>
          <w:b/>
          <w:color w:val="000000"/>
          <w:sz w:val="32"/>
          <w:szCs w:val="32"/>
        </w:rPr>
      </w:pPr>
    </w:p>
    <w:p>
      <w:pPr>
        <w:spacing w:line="600" w:lineRule="exact"/>
        <w:ind w:firstLineChars="200" w:firstLine="640"/>
        <w:outlineLvl w:val="2"/>
        <w:rPr>
          <w:rFonts w:ascii="仿宋" w:eastAsia="仿宋"/>
          <w:b/>
          <w:color w:val="000000"/>
          <w:sz w:val="32"/>
          <w:szCs w:val="32"/>
        </w:rPr>
      </w:pPr>
      <w:r>
        <w:rPr>
          <w:rFonts w:ascii="仿宋" w:eastAsia="仿宋" w:hint="eastAsia"/>
          <w:b/>
          <w:color w:val="000000"/>
          <w:sz w:val="32"/>
          <w:szCs w:val="32"/>
        </w:rPr>
        <w:t>（二）一般公共预算财政拨款支出决算结构情况</w:t>
      </w:r>
      <w:bookmarkEnd w:id="28"/>
      <w:r>
        <w:rPr>
          <w:rFonts w:ascii="仿宋" w:eastAsia="仿宋" w:hint="eastAsia"/>
          <w:b/>
          <w:color w:val="000000"/>
          <w:sz w:val="32"/>
          <w:szCs w:val="32"/>
        </w:rPr>
        <w:t>（一般公共预算收支表）</w:t>
      </w:r>
    </w:p>
    <w:p>
      <w:pPr>
        <w:spacing w:line="600" w:lineRule="exact"/>
        <w:ind w:firstLineChars="200" w:firstLine="640"/>
        <w:rPr>
          <w:rFonts w:ascii="仿宋_GB2312" w:eastAsia="仿宋_GB2312" w:cs="仿宋_GB2312"/>
          <w:color w:val="000000"/>
          <w:sz w:val="32"/>
          <w:szCs w:val="32"/>
        </w:rPr>
      </w:pPr>
      <w:r>
        <w:rPr>
          <w:rFonts w:ascii="仿宋_GB2312" w:eastAsia="仿宋_GB2312" w:cs="仿宋_GB2312" w:hint="eastAsia"/>
          <w:color w:val="000000"/>
          <w:sz w:val="32"/>
          <w:szCs w:val="32"/>
        </w:rPr>
        <w:t>2022</w:t>
      </w:r>
      <w:r>
        <w:rPr>
          <w:rFonts w:ascii="仿宋_GB2312" w:eastAsia="仿宋_GB2312" w:cs="仿宋_GB2312" w:hint="eastAsia"/>
          <w:color w:val="000000"/>
          <w:sz w:val="32"/>
        </w:rPr>
        <w:t>年一般公共预算财政拨款支出1725.06</w:t>
      </w:r>
      <w:r>
        <w:rPr>
          <w:rFonts w:ascii="仿宋_GB2312" w:eastAsia="仿宋_GB2312" w:cs="仿宋_GB2312" w:hint="eastAsia"/>
          <w:color w:val="000000"/>
          <w:sz w:val="32"/>
          <w:szCs w:val="32"/>
        </w:rPr>
        <w:t xml:space="preserve">万元，主要用于以下方面: </w:t>
      </w:r>
      <w:r>
        <w:rPr>
          <w:rFonts w:ascii="仿宋_GB2312" w:eastAsia="仿宋_GB2312" w:cs="仿宋_GB2312" w:hint="eastAsia"/>
          <w:color w:val="000000"/>
          <w:sz w:val="32"/>
        </w:rPr>
        <w:t>社会保障和就业支出1569.27万元，占90.97%；卫生健康支出14.49万元，占0.84%；农林水支出121.56万元，占7.05%；住房保障支出19.75万元，占1.14%。</w:t>
      </w:r>
    </w:p>
    <w:p>
      <w:pPr>
        <w:spacing w:line="600" w:lineRule="exact"/>
        <w:jc w:val="center"/>
        <w:rPr>
          <w:rFonts w:ascii="仿宋_GB2312" w:eastAsia="仿宋_GB2312" w:cs="仿宋_GB2312"/>
          <w:color w:val="000000"/>
          <w:sz w:val="32"/>
          <w:szCs w:val="32"/>
        </w:rPr>
      </w:pPr>
      <w:r>
        <w:rPr>
          <w:rFonts w:ascii="仿宋_GB2312" w:eastAsia="仿宋_GB2312" w:cs="仿宋_GB2312" w:hint="eastAsia"/>
          <w:color w:val="000000"/>
          <w:sz w:val="32"/>
          <w:szCs w:val="32"/>
        </w:rPr>
        <w:t>（图6：一般公共预算财政拨款支出决算结构）</w:t>
      </w:r>
      <w:bookmarkStart w:id="29" w:name="_Toc15377212"/>
    </w:p>
    <w:p>
      <w:pPr>
        <w:pStyle w:val="15"/>
      </w:pPr>
      <w:r>
        <w:drawing>
          <wp:inline distT="0" distB="0" distL="0" distR="0">
            <wp:extent cx="4333240" cy="2886075"/>
            <wp:effectExtent l="0" t="0" r="0" b="0"/>
            <wp:docPr id="6" name="图表 1"/>
            <wp:cNvGraphicFramePr>
              <a:graphicFrameLocks noChangeAspect="0"/>
            </wp:cNvGraphicFramePr>
            <a:graphic>
              <a:graphicData uri="http://schemas.openxmlformats.org/drawingml/2006/chart">
                <c:chart xmlns:c="http://schemas.openxmlformats.org/drawingml/2006/chart" r:id="rId9"/>
              </a:graphicData>
            </a:graphic>
          </wp:inline>
        </w:drawing>
      </w:r>
    </w:p>
    <w:p>
      <w:pPr>
        <w:spacing w:line="600" w:lineRule="exact"/>
        <w:ind w:firstLineChars="200" w:firstLine="640"/>
        <w:outlineLvl w:val="2"/>
        <w:rPr>
          <w:rFonts w:ascii="仿宋" w:eastAsia="仿宋"/>
          <w:b/>
          <w:color w:val="000000"/>
          <w:sz w:val="32"/>
          <w:szCs w:val="32"/>
        </w:rPr>
      </w:pPr>
      <w:r>
        <w:rPr>
          <w:rFonts w:ascii="仿宋" w:eastAsia="仿宋" w:hint="eastAsia"/>
          <w:b/>
          <w:color w:val="000000"/>
          <w:sz w:val="32"/>
          <w:szCs w:val="32"/>
        </w:rPr>
        <w:t>（三）一般公共预算财政拨款支出决算具体情况</w:t>
      </w:r>
      <w:bookmarkEnd w:id="29"/>
    </w:p>
    <w:p>
      <w:pPr>
        <w:spacing w:line="600" w:lineRule="exact"/>
        <w:ind w:firstLine="640"/>
        <w:rPr>
          <w:rFonts w:ascii="仿宋_GB2312" w:eastAsia="仿宋_GB2312" w:cs="仿宋_GB2312"/>
          <w:color w:val="000000"/>
          <w:sz w:val="32"/>
          <w:szCs w:val="32"/>
        </w:rPr>
      </w:pPr>
      <w:bookmarkStart w:id="30" w:name="_Toc15378460"/>
      <w:bookmarkStart w:id="31" w:name="_Toc15377213"/>
      <w:bookmarkStart w:id="32" w:name="_Toc15377444"/>
      <w:r>
        <w:rPr>
          <w:rFonts w:ascii="仿宋_GB2312" w:eastAsia="仿宋_GB2312" w:cs="仿宋_GB2312" w:hint="eastAsia"/>
          <w:color w:val="000000"/>
          <w:sz w:val="32"/>
          <w:szCs w:val="32"/>
        </w:rPr>
        <w:t>2022</w:t>
      </w:r>
      <w:r>
        <w:rPr>
          <w:rFonts w:ascii="仿宋_GB2312" w:eastAsia="仿宋_GB2312" w:cs="仿宋_GB2312" w:hint="eastAsia"/>
          <w:color w:val="000000"/>
          <w:sz w:val="32"/>
        </w:rPr>
        <w:t>年一般公共预算支出决算数为1725.06</w:t>
      </w:r>
      <w:r>
        <w:rPr>
          <w:rFonts w:ascii="仿宋_GB2312" w:eastAsia="仿宋_GB2312" w:cs="仿宋_GB2312" w:hint="eastAsia"/>
          <w:color w:val="000000"/>
          <w:sz w:val="32"/>
          <w:szCs w:val="32"/>
        </w:rPr>
        <w:t>万</w:t>
      </w:r>
      <w:r>
        <w:rPr>
          <w:rFonts w:ascii="仿宋_GB2312" w:eastAsia="仿宋_GB2312" w:cs="仿宋_GB2312" w:hint="eastAsia"/>
          <w:color w:val="000000"/>
          <w:sz w:val="32"/>
          <w:szCs w:val="32"/>
          <w:lang w:val="en-US" w:eastAsia="zh-CN"/>
        </w:rPr>
        <w:t>元</w:t>
      </w:r>
      <w:r>
        <w:rPr>
          <w:rFonts w:ascii="仿宋_GB2312" w:eastAsia="仿宋_GB2312" w:cs="仿宋_GB2312" w:hint="eastAsia"/>
          <w:color w:val="000000"/>
          <w:sz w:val="32"/>
          <w:szCs w:val="32"/>
        </w:rPr>
        <w:t>，完成预算100%。其中：</w:t>
      </w:r>
      <w:bookmarkEnd w:id="30"/>
      <w:bookmarkEnd w:id="31"/>
      <w:bookmarkEnd w:id="32"/>
    </w:p>
    <w:p>
      <w:pPr>
        <w:spacing w:line="600" w:lineRule="exact"/>
        <w:ind w:firstLineChars="200" w:firstLine="640"/>
        <w:rPr>
          <w:rFonts w:ascii="仿宋_GB2312" w:eastAsia="仿宋_GB2312" w:cs="仿宋_GB2312"/>
          <w:color w:val="000000"/>
          <w:sz w:val="32"/>
          <w:szCs w:val="32"/>
        </w:rPr>
      </w:pPr>
      <w:r>
        <w:rPr>
          <w:rFonts w:ascii="仿宋_GB2312" w:eastAsia="仿宋_GB2312" w:cs="仿宋_GB2312" w:hint="eastAsia"/>
          <w:color w:val="000000"/>
          <w:sz w:val="32"/>
          <w:szCs w:val="32"/>
        </w:rPr>
        <w:t>1.社会保障和就业支出（208）人力资源和社会保障管理事务（20801）行政运行（2080101）支出决算162.59万元，完成预算100%。</w:t>
      </w:r>
    </w:p>
    <w:p>
      <w:pPr>
        <w:spacing w:line="600" w:lineRule="exact"/>
        <w:ind w:firstLineChars="200" w:firstLine="640"/>
        <w:rPr>
          <w:rFonts w:ascii="仿宋_GB2312" w:eastAsia="仿宋_GB2312" w:cs="仿宋_GB2312"/>
          <w:color w:val="000000"/>
          <w:sz w:val="32"/>
          <w:szCs w:val="32"/>
        </w:rPr>
      </w:pPr>
      <w:r>
        <w:rPr>
          <w:rFonts w:ascii="仿宋_GB2312" w:eastAsia="仿宋_GB2312" w:cs="仿宋_GB2312" w:hint="eastAsia"/>
          <w:color w:val="000000"/>
          <w:sz w:val="32"/>
          <w:szCs w:val="32"/>
        </w:rPr>
        <w:t>2.社会保障和就业支出（208）人力资源和社会保障管理事务（20801）社会保险经办机构（2080109）支出决算68.64万元，完成预算100%。</w:t>
      </w:r>
    </w:p>
    <w:p>
      <w:pPr>
        <w:spacing w:line="600" w:lineRule="exact"/>
        <w:ind w:firstLineChars="200" w:firstLine="640"/>
        <w:rPr>
          <w:rFonts w:ascii="仿宋_GB2312" w:eastAsia="仿宋_GB2312" w:cs="仿宋_GB2312" w:hint="eastAsia"/>
          <w:color w:val="000000"/>
          <w:sz w:val="32"/>
          <w:szCs w:val="32"/>
        </w:rPr>
      </w:pPr>
      <w:r>
        <w:rPr>
          <w:rFonts w:ascii="仿宋_GB2312" w:eastAsia="仿宋_GB2312" w:cs="仿宋_GB2312" w:hint="eastAsia"/>
          <w:color w:val="000000"/>
          <w:sz w:val="32"/>
          <w:szCs w:val="32"/>
        </w:rPr>
        <w:t>3.社会保障和就业支出（208）行政事业单位养老支出（20805）机关事业单位基本养老保险缴费支出（2080505）支出决算22.70万元，完成预算100%。</w:t>
        <w:cr/>
        <w:t xml:space="preserve">   4.社会保障和就业支出（208）行政事业单位养老支出（20805）机关事业单位职业年金缴费支出（2080506）支出决算11.35万元，完成预算100%。</w:t>
      </w:r>
    </w:p>
    <w:p>
      <w:pPr>
        <w:spacing w:line="600" w:lineRule="exact"/>
        <w:ind w:firstLineChars="200" w:firstLine="640"/>
        <w:rPr>
          <w:rFonts w:ascii="仿宋_GB2312" w:eastAsia="仿宋_GB2312" w:cs="仿宋_GB2312"/>
          <w:color w:val="000000"/>
          <w:sz w:val="32"/>
          <w:szCs w:val="32"/>
        </w:rPr>
      </w:pPr>
      <w:r>
        <w:rPr>
          <w:rFonts w:ascii="仿宋_GB2312" w:eastAsia="仿宋_GB2312" w:cs="仿宋_GB2312" w:hint="eastAsia"/>
          <w:color w:val="000000"/>
          <w:sz w:val="32"/>
          <w:szCs w:val="32"/>
        </w:rPr>
        <w:t>5.社会保障和就业支出（208）就业补助（20807）其他就业补助支出（2080799）支出决算1304.00万元，完成预算100%。</w:t>
      </w:r>
    </w:p>
    <w:p>
      <w:pPr>
        <w:spacing w:line="600" w:lineRule="exact"/>
        <w:ind w:firstLineChars="200" w:firstLine="640"/>
        <w:rPr>
          <w:rFonts w:ascii="仿宋_GB2312" w:eastAsia="仿宋_GB2312" w:cs="仿宋_GB2312"/>
          <w:color w:val="000000"/>
          <w:sz w:val="32"/>
          <w:szCs w:val="32"/>
        </w:rPr>
      </w:pPr>
      <w:r>
        <w:rPr>
          <w:rFonts w:ascii="仿宋_GB2312" w:eastAsia="仿宋_GB2312" w:cs="仿宋_GB2312" w:hint="eastAsia"/>
          <w:color w:val="000000"/>
          <w:sz w:val="32"/>
          <w:szCs w:val="32"/>
        </w:rPr>
        <w:t>6.卫生健康支出（210）行政事业单位医疗（21011）行政单位医疗（2101101）支出决算8.80万元，完成预算100%。</w:t>
      </w:r>
    </w:p>
    <w:p>
      <w:pPr>
        <w:spacing w:line="600" w:lineRule="exact"/>
        <w:ind w:firstLineChars="200" w:firstLine="640"/>
        <w:rPr>
          <w:rFonts w:ascii="仿宋_GB2312" w:eastAsia="仿宋_GB2312" w:cs="仿宋_GB2312"/>
          <w:color w:val="000000"/>
          <w:sz w:val="32"/>
          <w:szCs w:val="32"/>
        </w:rPr>
      </w:pPr>
      <w:r>
        <w:rPr>
          <w:rFonts w:ascii="仿宋_GB2312" w:eastAsia="仿宋_GB2312" w:cs="仿宋_GB2312" w:hint="eastAsia"/>
          <w:color w:val="000000"/>
          <w:sz w:val="32"/>
          <w:szCs w:val="32"/>
        </w:rPr>
        <w:t>7.卫生健康支出（210）行政事业单位医疗（21011）事业单位医疗（2101102）支出决算5.69万元，完成预算100%。</w:t>
      </w:r>
    </w:p>
    <w:p>
      <w:pPr>
        <w:spacing w:line="600" w:lineRule="exact"/>
        <w:ind w:firstLineChars="200" w:firstLine="640"/>
        <w:jc w:val="left"/>
        <w:rPr>
          <w:rFonts w:ascii="仿宋_GB2312" w:eastAsia="仿宋_GB2312" w:cs="仿宋_GB2312"/>
          <w:color w:val="000000"/>
          <w:sz w:val="32"/>
          <w:szCs w:val="32"/>
        </w:rPr>
      </w:pPr>
      <w:r>
        <w:rPr>
          <w:rFonts w:ascii="仿宋_GB2312" w:eastAsia="仿宋_GB2312" w:cs="仿宋_GB2312" w:hint="eastAsia"/>
          <w:color w:val="000000"/>
          <w:sz w:val="32"/>
          <w:szCs w:val="32"/>
        </w:rPr>
        <w:t>8.农林水支出（213）巩固脱贫衔接乡村振兴（21305）其他巩固脱贫衔接乡村振兴支出（2130599）支出决算115.56万元，完成预算100%。</w:t>
      </w:r>
    </w:p>
    <w:p>
      <w:pPr>
        <w:spacing w:line="600" w:lineRule="exact"/>
        <w:ind w:firstLineChars="200" w:firstLine="640"/>
        <w:jc w:val="left"/>
        <w:rPr>
          <w:rFonts w:ascii="仿宋_GB2312" w:eastAsia="仿宋_GB2312" w:cs="仿宋_GB2312"/>
          <w:color w:val="000000"/>
          <w:sz w:val="32"/>
          <w:szCs w:val="32"/>
        </w:rPr>
      </w:pPr>
      <w:r>
        <w:rPr>
          <w:rFonts w:ascii="仿宋_GB2312" w:eastAsia="仿宋_GB2312" w:cs="仿宋_GB2312" w:hint="eastAsia"/>
          <w:color w:val="000000"/>
          <w:sz w:val="32"/>
          <w:szCs w:val="32"/>
        </w:rPr>
        <w:t>9.农林水支出（213）普惠金融发展支出（21308）创业担保贷款贴息及奖补（2130804）支出决算6.00万元，完成预算100%。</w:t>
      </w:r>
    </w:p>
    <w:p>
      <w:pPr>
        <w:spacing w:line="600" w:lineRule="exact"/>
        <w:ind w:firstLineChars="200" w:firstLine="640"/>
        <w:jc w:val="left"/>
        <w:rPr>
          <w:rFonts w:ascii="仿宋_GB2312" w:eastAsia="仿宋_GB2312" w:cs="仿宋_GB2312"/>
          <w:color w:val="000000"/>
          <w:sz w:val="32"/>
          <w:szCs w:val="32"/>
        </w:rPr>
      </w:pPr>
      <w:r>
        <w:rPr>
          <w:rFonts w:ascii="仿宋_GB2312" w:eastAsia="仿宋_GB2312" w:cs="仿宋_GB2312" w:hint="eastAsia"/>
          <w:color w:val="000000"/>
          <w:sz w:val="32"/>
          <w:szCs w:val="32"/>
        </w:rPr>
        <w:t>10.住房保障支出（221）住房改革支出（22102）住房公积金（2210201）支出决算19.75万元，完成预算100%。</w:t>
      </w:r>
    </w:p>
    <w:p>
      <w:pPr>
        <w:pStyle w:val="2"/>
        <w:ind w:firstLineChars="200" w:firstLine="640"/>
        <w:rPr>
          <w:rFonts w:ascii="黑体" w:eastAsia="黑体" w:cs="Times New Roman"/>
          <w:b w:val="0"/>
          <w:color w:val="000000"/>
        </w:rPr>
      </w:pPr>
      <w:bookmarkStart w:id="33" w:name="_Toc15377214"/>
      <w:bookmarkStart w:id="34" w:name="_Toc111208504"/>
      <w:bookmarkStart w:id="35" w:name="_Toc24703"/>
      <w:r>
        <w:rPr>
          <w:rFonts w:ascii="黑体" w:eastAsia="黑体" w:cs="Times New Roman" w:hint="eastAsia"/>
          <w:b w:val="0"/>
          <w:color w:val="000000"/>
        </w:rPr>
        <w:t>六、一般公共预算财政拨款基本支出决算情况说</w:t>
      </w:r>
      <w:bookmarkEnd w:id="33"/>
      <w:r>
        <w:rPr>
          <w:rFonts w:ascii="黑体" w:eastAsia="黑体" w:cs="Times New Roman" w:hint="eastAsia"/>
          <w:b w:val="0"/>
          <w:color w:val="000000"/>
        </w:rPr>
        <w:t>明</w:t>
      </w:r>
      <w:bookmarkEnd w:id="34"/>
      <w:bookmarkEnd w:id="35"/>
    </w:p>
    <w:p>
      <w:pPr>
        <w:spacing w:line="600" w:lineRule="exact"/>
        <w:ind w:firstLine="640"/>
        <w:rPr>
          <w:rFonts w:ascii="仿宋_GB2312" w:eastAsia="仿宋_GB2312" w:cs="仿宋_GB2312"/>
          <w:color w:val="000000"/>
          <w:sz w:val="32"/>
          <w:szCs w:val="32"/>
        </w:rPr>
      </w:pPr>
      <w:r>
        <w:rPr>
          <w:rFonts w:ascii="仿宋_GB2312" w:eastAsia="仿宋_GB2312" w:cs="仿宋_GB2312" w:hint="eastAsia"/>
          <w:color w:val="000000"/>
          <w:sz w:val="32"/>
          <w:szCs w:val="32"/>
        </w:rPr>
        <w:t>2022</w:t>
      </w:r>
      <w:r>
        <w:rPr>
          <w:rFonts w:ascii="仿宋_GB2312" w:eastAsia="仿宋_GB2312" w:cs="仿宋_GB2312" w:hint="eastAsia"/>
          <w:color w:val="000000"/>
          <w:sz w:val="32"/>
        </w:rPr>
        <w:t>年一般公共预算财政拨款基本支出299.51</w:t>
      </w:r>
      <w:r>
        <w:rPr>
          <w:rFonts w:ascii="仿宋_GB2312" w:eastAsia="仿宋_GB2312" w:cs="仿宋_GB2312" w:hint="eastAsia"/>
          <w:color w:val="000000"/>
          <w:sz w:val="32"/>
          <w:szCs w:val="32"/>
        </w:rPr>
        <w:t>万元，其中：</w:t>
      </w:r>
    </w:p>
    <w:p>
      <w:pPr>
        <w:spacing w:line="600" w:lineRule="exact"/>
        <w:ind w:firstLine="640"/>
        <w:rPr>
          <w:rFonts w:ascii="仿宋_GB2312" w:eastAsia="仿宋_GB2312" w:cs="仿宋_GB2312"/>
          <w:color w:val="000000"/>
          <w:sz w:val="32"/>
          <w:szCs w:val="32"/>
        </w:rPr>
      </w:pPr>
      <w:r>
        <w:rPr>
          <w:rFonts w:ascii="仿宋_GB2312" w:eastAsia="仿宋_GB2312" w:cs="仿宋_GB2312" w:hint="eastAsia"/>
          <w:color w:val="000000"/>
          <w:sz w:val="32"/>
          <w:szCs w:val="32"/>
        </w:rPr>
        <w:t>人员经费</w:t>
      </w:r>
      <w:r>
        <w:rPr>
          <w:rFonts w:ascii="仿宋_GB2312" w:eastAsia="仿宋_GB2312" w:cs="仿宋_GB2312" w:hint="eastAsia"/>
          <w:color w:val="000000"/>
          <w:sz w:val="32"/>
        </w:rPr>
        <w:t>264.17</w:t>
      </w:r>
      <w:r>
        <w:rPr>
          <w:rFonts w:ascii="仿宋_GB2312" w:eastAsia="仿宋_GB2312" w:cs="仿宋_GB2312" w:hint="eastAsia"/>
          <w:color w:val="000000"/>
          <w:sz w:val="32"/>
          <w:szCs w:val="32"/>
        </w:rPr>
        <w:t>万元，主要包括：</w:t>
      </w:r>
      <w:r>
        <w:rPr>
          <w:rFonts w:ascii="仿宋_GB2312" w:eastAsia="仿宋_GB2312" w:cs="仿宋_GB2312" w:hint="eastAsia"/>
          <w:color w:val="000000"/>
          <w:sz w:val="32"/>
        </w:rPr>
        <w:t>基本工资60.06万元、津贴补贴40.45万元、奖金47.14万元、绩效工资40.29万元、机关事业单位基本养老保险缴费22.70万元、职业年金缴费11.35万元、职工基本医疗保险缴费14.49万元、其他社会保障缴费3.89万元、住房公积金19.75万元、医疗费1.90万元、生活补助2.16万元、奖励金0.01万元。</w:t>
      </w:r>
    </w:p>
    <w:p>
      <w:pPr>
        <w:spacing w:line="600" w:lineRule="exact"/>
        <w:ind w:firstLine="640"/>
        <w:rPr>
          <w:rFonts w:ascii="仿宋_GB2312" w:eastAsia="仿宋_GB2312" w:cs="仿宋_GB2312"/>
          <w:color w:val="000000"/>
          <w:sz w:val="32"/>
          <w:szCs w:val="32"/>
        </w:rPr>
      </w:pPr>
      <w:r>
        <w:rPr>
          <w:rFonts w:ascii="仿宋_GB2312" w:eastAsia="仿宋_GB2312" w:cs="仿宋_GB2312" w:hint="eastAsia"/>
          <w:color w:val="000000"/>
          <w:sz w:val="32"/>
          <w:szCs w:val="32"/>
        </w:rPr>
        <w:t>公用经费</w:t>
      </w:r>
      <w:r>
        <w:rPr>
          <w:rFonts w:ascii="仿宋_GB2312" w:eastAsia="仿宋_GB2312" w:cs="仿宋_GB2312" w:hint="eastAsia"/>
          <w:color w:val="000000"/>
          <w:sz w:val="32"/>
        </w:rPr>
        <w:t>35.34</w:t>
      </w:r>
      <w:r>
        <w:rPr>
          <w:rFonts w:ascii="仿宋_GB2312" w:eastAsia="仿宋_GB2312" w:cs="仿宋_GB2312" w:hint="eastAsia"/>
          <w:color w:val="000000"/>
          <w:sz w:val="32"/>
          <w:szCs w:val="32"/>
        </w:rPr>
        <w:t>万元，主要包括：</w:t>
      </w:r>
      <w:r>
        <w:rPr>
          <w:rFonts w:ascii="仿宋_GB2312" w:eastAsia="仿宋_GB2312" w:cs="仿宋_GB2312" w:hint="eastAsia"/>
          <w:color w:val="000000"/>
          <w:sz w:val="32"/>
        </w:rPr>
        <w:t>办公费4.02万元、邮电费0.12万元、差旅费3.92万元、公务用车运行维护费</w:t>
      </w:r>
      <w:r>
        <w:rPr>
          <w:rFonts w:ascii="仿宋_GB2312" w:eastAsia="仿宋_GB2312" w:cs="仿宋_GB2312" w:hint="eastAsia"/>
          <w:color w:val="000000"/>
          <w:sz w:val="32"/>
          <w:lang w:val="en-US" w:eastAsia="zh-CN"/>
        </w:rPr>
        <w:t>27.28</w:t>
      </w:r>
      <w:r>
        <w:rPr>
          <w:rFonts w:ascii="仿宋_GB2312" w:eastAsia="仿宋_GB2312" w:cs="仿宋_GB2312" w:hint="eastAsia"/>
          <w:color w:val="000000"/>
          <w:sz w:val="32"/>
        </w:rPr>
        <w:t>万元</w:t>
      </w:r>
      <w:r>
        <w:rPr>
          <w:rFonts w:ascii="仿宋_GB2312" w:eastAsia="仿宋_GB2312" w:cs="仿宋_GB2312" w:hint="eastAsia"/>
          <w:color w:val="000000"/>
          <w:sz w:val="32"/>
          <w:szCs w:val="32"/>
        </w:rPr>
        <w:t>。</w:t>
      </w:r>
    </w:p>
    <w:p>
      <w:pPr>
        <w:pStyle w:val="2"/>
        <w:ind w:firstLineChars="200" w:firstLine="640"/>
        <w:rPr>
          <w:rFonts w:ascii="黑体" w:eastAsia="黑体" w:cs="Times New Roman"/>
          <w:b w:val="0"/>
          <w:color w:val="000000"/>
        </w:rPr>
      </w:pPr>
      <w:bookmarkStart w:id="36" w:name="_Toc111208505"/>
      <w:bookmarkStart w:id="37" w:name="_Toc15377215"/>
      <w:bookmarkStart w:id="38" w:name="_Toc16585"/>
      <w:r>
        <w:rPr>
          <w:rFonts w:ascii="黑体" w:eastAsia="黑体" w:cs="Times New Roman" w:hint="eastAsia"/>
          <w:b w:val="0"/>
          <w:color w:val="000000"/>
        </w:rPr>
        <w:t>七、“三公”经费财政拨款支出决算情况说明</w:t>
      </w:r>
      <w:bookmarkEnd w:id="36"/>
      <w:bookmarkEnd w:id="37"/>
      <w:bookmarkEnd w:id="38"/>
    </w:p>
    <w:p>
      <w:pPr>
        <w:spacing w:line="600" w:lineRule="exact"/>
        <w:ind w:firstLineChars="200" w:firstLine="640"/>
        <w:outlineLvl w:val="2"/>
        <w:rPr>
          <w:rFonts w:ascii="仿宋" w:eastAsia="仿宋"/>
          <w:b/>
          <w:color w:val="000000"/>
          <w:sz w:val="32"/>
          <w:szCs w:val="32"/>
        </w:rPr>
      </w:pPr>
      <w:bookmarkStart w:id="39" w:name="_Toc15377216"/>
      <w:r>
        <w:rPr>
          <w:rFonts w:ascii="仿宋" w:eastAsia="仿宋" w:hint="eastAsia"/>
          <w:b/>
          <w:color w:val="000000"/>
          <w:sz w:val="32"/>
          <w:szCs w:val="32"/>
        </w:rPr>
        <w:t>（一）“三公”经费财政拨款支出决算总体情况说明</w:t>
      </w:r>
      <w:bookmarkEnd w:id="39"/>
    </w:p>
    <w:p>
      <w:pPr>
        <w:spacing w:line="600" w:lineRule="exact"/>
        <w:ind w:firstLine="640"/>
        <w:rPr>
          <w:rFonts w:ascii="仿宋_GB2312" w:eastAsia="仿宋_GB2312" w:cs="仿宋_GB2312"/>
          <w:color w:val="000000"/>
          <w:sz w:val="32"/>
          <w:szCs w:val="32"/>
        </w:rPr>
      </w:pPr>
      <w:r>
        <w:rPr>
          <w:rFonts w:ascii="仿宋_GB2312" w:eastAsia="仿宋_GB2312" w:cs="仿宋_GB2312" w:hint="eastAsia"/>
          <w:color w:val="000000"/>
          <w:sz w:val="32"/>
          <w:szCs w:val="32"/>
        </w:rPr>
        <w:t>2022年“三公”经费财政拨款支出决算为27.28万元，完成预算10</w:t>
      </w:r>
      <w:r>
        <w:rPr>
          <w:rFonts w:ascii="仿宋_GB2312" w:eastAsia="仿宋_GB2312" w:cs="仿宋_GB2312" w:hint="eastAsia"/>
          <w:color w:val="000000"/>
          <w:sz w:val="32"/>
          <w:szCs w:val="32"/>
          <w:lang w:eastAsia="zh-CN"/>
        </w:rPr>
        <w:t>0</w:t>
      </w:r>
      <w:r>
        <w:rPr>
          <w:rFonts w:ascii="仿宋_GB2312" w:eastAsia="仿宋_GB2312" w:cs="仿宋_GB2312" w:hint="eastAsia"/>
          <w:color w:val="000000"/>
          <w:sz w:val="32"/>
          <w:szCs w:val="32"/>
        </w:rPr>
        <w:t>%。</w:t>
      </w:r>
      <w:bookmarkStart w:id="40" w:name="_Toc15377217"/>
    </w:p>
    <w:p>
      <w:pPr>
        <w:spacing w:line="600" w:lineRule="exact"/>
        <w:ind w:firstLineChars="200" w:firstLine="640"/>
        <w:outlineLvl w:val="2"/>
        <w:rPr>
          <w:rFonts w:ascii="仿宋" w:eastAsia="仿宋"/>
          <w:b/>
          <w:color w:val="000000"/>
          <w:sz w:val="32"/>
          <w:szCs w:val="32"/>
        </w:rPr>
      </w:pPr>
      <w:r>
        <w:rPr>
          <w:rFonts w:ascii="仿宋" w:eastAsia="仿宋" w:hint="eastAsia"/>
          <w:b/>
          <w:color w:val="000000"/>
          <w:sz w:val="32"/>
          <w:szCs w:val="32"/>
        </w:rPr>
        <w:t>（二）“三公”经费财政拨款支出决算具体情况说明</w:t>
      </w:r>
      <w:bookmarkEnd w:id="40"/>
    </w:p>
    <w:p>
      <w:pPr>
        <w:spacing w:line="600" w:lineRule="exact"/>
        <w:ind w:firstLine="640"/>
        <w:rPr>
          <w:rFonts w:ascii="仿宋_GB2312" w:eastAsia="仿宋_GB2312" w:cs="仿宋_GB2312"/>
          <w:color w:val="000000"/>
          <w:sz w:val="32"/>
          <w:szCs w:val="32"/>
        </w:rPr>
      </w:pPr>
      <w:r>
        <w:rPr>
          <w:rFonts w:ascii="仿宋_GB2312" w:eastAsia="仿宋_GB2312" w:cs="仿宋_GB2312" w:hint="eastAsia"/>
          <w:color w:val="000000"/>
          <w:sz w:val="32"/>
          <w:szCs w:val="32"/>
        </w:rPr>
        <w:t>2022年“三公”经费财政拨款支出27.28万</w:t>
      </w:r>
      <w:r>
        <w:rPr>
          <w:rFonts w:ascii="仿宋_GB2312" w:eastAsia="仿宋_GB2312" w:cs="仿宋_GB2312" w:hint="eastAsia"/>
          <w:color w:val="000000"/>
          <w:sz w:val="32"/>
          <w:szCs w:val="32"/>
          <w:lang w:val="en-US" w:eastAsia="zh-CN"/>
        </w:rPr>
        <w:t>元</w:t>
      </w:r>
      <w:r>
        <w:rPr>
          <w:rFonts w:ascii="仿宋_GB2312" w:eastAsia="仿宋_GB2312" w:cs="仿宋_GB2312" w:hint="eastAsia"/>
          <w:color w:val="000000"/>
          <w:sz w:val="32"/>
          <w:szCs w:val="32"/>
        </w:rPr>
        <w:t>，因公出国（境）费支出决算</w:t>
      </w:r>
      <w:r>
        <w:rPr>
          <w:rFonts w:ascii="仿宋_GB2312" w:eastAsia="仿宋_GB2312" w:cs="仿宋_GB2312" w:hint="eastAsia"/>
          <w:color w:val="000000"/>
          <w:sz w:val="32"/>
          <w:szCs w:val="32"/>
          <w:lang w:eastAsia="zh-CN"/>
        </w:rPr>
        <w:t>0</w:t>
      </w:r>
      <w:r>
        <w:rPr>
          <w:rFonts w:ascii="仿宋_GB2312" w:eastAsia="仿宋_GB2312" w:cs="仿宋_GB2312" w:hint="eastAsia"/>
          <w:color w:val="000000"/>
          <w:sz w:val="32"/>
          <w:szCs w:val="32"/>
        </w:rPr>
        <w:t>万元；公务用车购置及运行维护费支出决算27.28万元，占10</w:t>
      </w:r>
      <w:r>
        <w:rPr>
          <w:rFonts w:ascii="仿宋_GB2312" w:eastAsia="仿宋_GB2312" w:cs="仿宋_GB2312" w:hint="eastAsia"/>
          <w:color w:val="000000"/>
          <w:sz w:val="32"/>
          <w:szCs w:val="32"/>
          <w:lang w:eastAsia="zh-CN"/>
        </w:rPr>
        <w:t>0</w:t>
      </w:r>
      <w:r>
        <w:rPr>
          <w:rFonts w:ascii="仿宋_GB2312" w:eastAsia="仿宋_GB2312" w:cs="仿宋_GB2312" w:hint="eastAsia"/>
          <w:color w:val="000000"/>
          <w:sz w:val="32"/>
          <w:szCs w:val="32"/>
        </w:rPr>
        <w:t>%；公务接待费支出决算</w:t>
      </w:r>
      <w:r>
        <w:rPr>
          <w:rFonts w:ascii="仿宋_GB2312" w:eastAsia="仿宋_GB2312" w:cs="仿宋_GB2312" w:hint="eastAsia"/>
          <w:color w:val="000000"/>
          <w:sz w:val="32"/>
          <w:szCs w:val="32"/>
          <w:lang w:eastAsia="zh-CN"/>
        </w:rPr>
        <w:t>0</w:t>
      </w:r>
      <w:r>
        <w:rPr>
          <w:rFonts w:ascii="仿宋_GB2312" w:eastAsia="仿宋_GB2312" w:cs="仿宋_GB2312" w:hint="eastAsia"/>
          <w:color w:val="000000"/>
          <w:sz w:val="32"/>
          <w:szCs w:val="32"/>
        </w:rPr>
        <w:t>万元。具体情况如下：</w:t>
      </w:r>
    </w:p>
    <w:p>
      <w:pPr>
        <w:spacing w:line="600" w:lineRule="exact"/>
        <w:ind w:firstLineChars="404" w:firstLine="1293"/>
        <w:rPr>
          <w:rFonts w:ascii="仿宋_GB2312" w:eastAsia="仿宋_GB2312" w:cs="仿宋_GB2312"/>
          <w:color w:val="000000"/>
          <w:sz w:val="32"/>
          <w:szCs w:val="32"/>
        </w:rPr>
      </w:pPr>
      <w:r>
        <w:rPr>
          <w:rFonts w:ascii="仿宋_GB2312" w:eastAsia="仿宋_GB2312" w:cs="仿宋_GB2312" w:hint="eastAsia"/>
          <w:color w:val="000000"/>
          <w:sz w:val="32"/>
          <w:szCs w:val="32"/>
        </w:rPr>
        <w:t>（图7：“三公”经费财政拨款支出结构）</w:t>
      </w:r>
    </w:p>
    <w:p>
      <w:pPr>
        <w:pStyle w:val="15"/>
        <w:rPr>
          <w:rFonts w:ascii="仿宋_GB2312" w:eastAsia="仿宋_GB2312"/>
          <w:color w:val="000000"/>
          <w:sz w:val="32"/>
          <w:szCs w:val="32"/>
        </w:rPr>
      </w:pPr>
      <w:r>
        <w:drawing>
          <wp:inline distT="0" distB="0" distL="0" distR="0">
            <wp:extent cx="4333240" cy="2886075"/>
            <wp:effectExtent l="0" t="0" r="0" b="0"/>
            <wp:docPr id="7" name="图表 6"/>
            <wp:cNvGraphicFramePr>
              <a:graphicFrameLocks noChangeAspect="0"/>
            </wp:cNvGraphicFramePr>
            <a:graphic>
              <a:graphicData uri="http://schemas.openxmlformats.org/drawingml/2006/chart">
                <c:chart xmlns:c="http://schemas.openxmlformats.org/drawingml/2006/chart" r:id="rId10"/>
              </a:graphicData>
            </a:graphic>
          </wp:inline>
        </w:drawing>
      </w:r>
    </w:p>
    <w:p>
      <w:pPr>
        <w:spacing w:line="600" w:lineRule="exact"/>
        <w:ind w:firstLine="640"/>
        <w:rPr>
          <w:rFonts w:ascii="仿宋_GB2312" w:eastAsia="仿宋_GB2312" w:cs="仿宋_GB2312"/>
          <w:color w:val="000000"/>
          <w:sz w:val="32"/>
          <w:szCs w:val="32"/>
        </w:rPr>
      </w:pPr>
      <w:r>
        <w:rPr>
          <w:rFonts w:ascii="仿宋_GB2312" w:eastAsia="仿宋_GB2312" w:cs="仿宋_GB2312" w:hint="eastAsia"/>
          <w:color w:val="000000"/>
          <w:sz w:val="32"/>
          <w:szCs w:val="32"/>
        </w:rPr>
        <w:t>1.因公出国（境）经费支出</w:t>
      </w:r>
      <w:r>
        <w:rPr>
          <w:rFonts w:ascii="仿宋_GB2312" w:eastAsia="仿宋_GB2312" w:cs="仿宋_GB2312" w:hint="eastAsia"/>
          <w:color w:val="000000"/>
          <w:sz w:val="32"/>
          <w:szCs w:val="32"/>
          <w:lang w:eastAsia="zh-CN"/>
        </w:rPr>
        <w:t>0</w:t>
      </w:r>
      <w:r>
        <w:rPr>
          <w:rFonts w:ascii="仿宋_GB2312" w:eastAsia="仿宋_GB2312" w:cs="仿宋_GB2312" w:hint="eastAsia"/>
          <w:color w:val="000000"/>
          <w:sz w:val="32"/>
          <w:szCs w:val="32"/>
        </w:rPr>
        <w:t>万元。全年安排因公出国（境）团组0次，出国（境）0人。因公出国（境）支出决算比2021年增加</w:t>
      </w:r>
      <w:r>
        <w:rPr>
          <w:rFonts w:ascii="仿宋_GB2312" w:eastAsia="仿宋_GB2312" w:cs="仿宋_GB2312" w:hint="eastAsia"/>
          <w:color w:val="000000"/>
          <w:sz w:val="32"/>
          <w:szCs w:val="32"/>
          <w:lang w:eastAsia="zh-CN"/>
        </w:rPr>
        <w:t>0</w:t>
      </w:r>
      <w:r>
        <w:rPr>
          <w:rFonts w:ascii="仿宋_GB2312" w:eastAsia="仿宋_GB2312" w:cs="仿宋_GB2312" w:hint="eastAsia"/>
          <w:color w:val="000000"/>
          <w:sz w:val="32"/>
          <w:szCs w:val="32"/>
        </w:rPr>
        <w:t xml:space="preserve">万元。 </w:t>
      </w:r>
    </w:p>
    <w:p>
      <w:pPr>
        <w:spacing w:line="600" w:lineRule="exact"/>
        <w:ind w:firstLine="640"/>
        <w:rPr>
          <w:rFonts w:ascii="仿宋_GB2312" w:eastAsia="仿宋_GB2312" w:cs="仿宋_GB2312"/>
          <w:color w:val="000000"/>
          <w:sz w:val="32"/>
          <w:szCs w:val="32"/>
        </w:rPr>
      </w:pPr>
      <w:r>
        <w:rPr>
          <w:rFonts w:ascii="仿宋_GB2312" w:eastAsia="仿宋_GB2312" w:cs="仿宋_GB2312" w:hint="eastAsia"/>
          <w:color w:val="000000"/>
          <w:sz w:val="32"/>
          <w:szCs w:val="32"/>
        </w:rPr>
        <w:t>2.公务用车购置及运行维护费支出27.28万元,完成预算10</w:t>
      </w:r>
      <w:r>
        <w:rPr>
          <w:rFonts w:ascii="仿宋_GB2312" w:eastAsia="仿宋_GB2312" w:cs="仿宋_GB2312" w:hint="eastAsia"/>
          <w:color w:val="000000"/>
          <w:sz w:val="32"/>
          <w:szCs w:val="32"/>
          <w:lang w:eastAsia="zh-CN"/>
        </w:rPr>
        <w:t>0</w:t>
      </w:r>
      <w:r>
        <w:rPr>
          <w:rFonts w:ascii="仿宋_GB2312" w:eastAsia="仿宋_GB2312" w:cs="仿宋_GB2312" w:hint="eastAsia"/>
          <w:color w:val="000000"/>
          <w:sz w:val="32"/>
          <w:szCs w:val="32"/>
        </w:rPr>
        <w:t>%。公务用车购置及运行维护费支出决算比2021年增加25.31万元，增加</w:t>
      </w:r>
      <w:r>
        <w:rPr>
          <w:rFonts w:ascii="仿宋_GB2312" w:eastAsia="仿宋_GB2312" w:cs="仿宋_GB2312" w:hint="eastAsia"/>
          <w:color w:val="000000"/>
          <w:sz w:val="32"/>
          <w:szCs w:val="32"/>
          <w:lang w:val="en-US" w:eastAsia="zh-CN"/>
        </w:rPr>
        <w:t>1284.77</w:t>
      </w:r>
      <w:r>
        <w:rPr>
          <w:rFonts w:ascii="仿宋_GB2312" w:eastAsia="仿宋_GB2312" w:cs="仿宋_GB2312" w:hint="eastAsia"/>
          <w:color w:val="000000"/>
          <w:sz w:val="32"/>
          <w:szCs w:val="32"/>
        </w:rPr>
        <w:t xml:space="preserve">%。 </w:t>
      </w:r>
    </w:p>
    <w:p>
      <w:pPr>
        <w:spacing w:line="600" w:lineRule="exact"/>
        <w:ind w:firstLine="640"/>
        <w:rPr>
          <w:rFonts w:ascii="仿宋_GB2312" w:eastAsia="仿宋_GB2312" w:cs="仿宋_GB2312"/>
          <w:color w:val="000000"/>
          <w:sz w:val="32"/>
          <w:szCs w:val="32"/>
        </w:rPr>
      </w:pPr>
      <w:r>
        <w:rPr>
          <w:rFonts w:ascii="仿宋_GB2312" w:eastAsia="仿宋_GB2312" w:cs="仿宋_GB2312" w:hint="eastAsia"/>
          <w:color w:val="000000"/>
          <w:sz w:val="32"/>
          <w:szCs w:val="32"/>
        </w:rPr>
        <w:t>其中：公务用车购置支出24.67万元。全年按规定更新购置公务用车1辆，其中：轿车0辆、金额</w:t>
      </w:r>
      <w:r>
        <w:rPr>
          <w:rFonts w:ascii="仿宋_GB2312" w:eastAsia="仿宋_GB2312" w:cs="仿宋_GB2312" w:hint="eastAsia"/>
          <w:color w:val="000000"/>
          <w:sz w:val="32"/>
          <w:szCs w:val="32"/>
          <w:lang w:eastAsia="zh-CN"/>
        </w:rPr>
        <w:t>0</w:t>
      </w:r>
      <w:r>
        <w:rPr>
          <w:rFonts w:ascii="仿宋_GB2312" w:eastAsia="仿宋_GB2312" w:cs="仿宋_GB2312" w:hint="eastAsia"/>
          <w:color w:val="000000"/>
          <w:sz w:val="32"/>
          <w:szCs w:val="32"/>
        </w:rPr>
        <w:t>万元，越野车</w:t>
      </w:r>
      <w:r>
        <w:rPr>
          <w:rFonts w:ascii="仿宋_GB2312" w:eastAsia="仿宋_GB2312" w:cs="仿宋_GB2312" w:hint="eastAsia"/>
          <w:color w:val="000000"/>
          <w:sz w:val="32"/>
          <w:szCs w:val="32"/>
          <w:lang w:val="en-US" w:eastAsia="zh-CN"/>
        </w:rPr>
        <w:t>1</w:t>
      </w:r>
      <w:r>
        <w:rPr>
          <w:rFonts w:ascii="仿宋_GB2312" w:eastAsia="仿宋_GB2312" w:cs="仿宋_GB2312" w:hint="eastAsia"/>
          <w:color w:val="000000"/>
          <w:sz w:val="32"/>
          <w:szCs w:val="32"/>
        </w:rPr>
        <w:t>辆、金额</w:t>
      </w:r>
      <w:r>
        <w:rPr>
          <w:rFonts w:ascii="仿宋_GB2312" w:eastAsia="仿宋_GB2312" w:cs="仿宋_GB2312" w:hint="eastAsia"/>
          <w:color w:val="000000"/>
          <w:sz w:val="32"/>
          <w:szCs w:val="32"/>
          <w:lang w:val="en-US" w:eastAsia="zh-CN"/>
        </w:rPr>
        <w:t>24.67</w:t>
      </w:r>
      <w:r>
        <w:rPr>
          <w:rFonts w:ascii="仿宋_GB2312" w:eastAsia="仿宋_GB2312" w:cs="仿宋_GB2312" w:hint="eastAsia"/>
          <w:color w:val="000000"/>
          <w:sz w:val="32"/>
          <w:szCs w:val="32"/>
        </w:rPr>
        <w:t>万元，载客汽车0辆、金额</w:t>
      </w:r>
      <w:r>
        <w:rPr>
          <w:rFonts w:ascii="仿宋_GB2312" w:eastAsia="仿宋_GB2312" w:cs="仿宋_GB2312" w:hint="eastAsia"/>
          <w:color w:val="000000"/>
          <w:sz w:val="32"/>
          <w:szCs w:val="32"/>
          <w:lang w:eastAsia="zh-CN"/>
        </w:rPr>
        <w:t>0</w:t>
      </w:r>
      <w:r>
        <w:rPr>
          <w:rFonts w:ascii="仿宋_GB2312" w:eastAsia="仿宋_GB2312" w:cs="仿宋_GB2312" w:hint="eastAsia"/>
          <w:color w:val="000000"/>
          <w:sz w:val="32"/>
          <w:szCs w:val="32"/>
        </w:rPr>
        <w:t>万元。截至202</w:t>
      </w:r>
      <w:r>
        <w:rPr>
          <w:rFonts w:ascii="仿宋_GB2312" w:eastAsia="仿宋_GB2312" w:cs="仿宋_GB2312" w:hint="eastAsia"/>
          <w:color w:val="000000"/>
          <w:sz w:val="32"/>
          <w:szCs w:val="32"/>
          <w:lang w:val="en-US" w:eastAsia="zh-CN"/>
        </w:rPr>
        <w:t>2</w:t>
      </w:r>
      <w:r>
        <w:rPr>
          <w:rFonts w:ascii="仿宋_GB2312" w:eastAsia="仿宋_GB2312" w:cs="仿宋_GB2312" w:hint="eastAsia"/>
          <w:color w:val="000000"/>
          <w:sz w:val="32"/>
          <w:szCs w:val="32"/>
        </w:rPr>
        <w:t>年12月底，单位共有公务用车1辆，其中：轿车0辆、越野车1辆、载客汽车0辆。</w:t>
      </w:r>
    </w:p>
    <w:p>
      <w:pPr>
        <w:spacing w:line="600" w:lineRule="exact"/>
        <w:ind w:firstLine="640"/>
        <w:rPr>
          <w:rFonts w:ascii="仿宋_GB2312" w:eastAsia="仿宋_GB2312" w:cs="仿宋_GB2312"/>
          <w:color w:val="000000"/>
          <w:sz w:val="32"/>
          <w:szCs w:val="32"/>
        </w:rPr>
      </w:pPr>
      <w:r>
        <w:rPr>
          <w:rFonts w:ascii="仿宋_GB2312" w:eastAsia="仿宋_GB2312" w:cs="仿宋_GB2312" w:hint="eastAsia"/>
          <w:color w:val="000000"/>
          <w:sz w:val="32"/>
          <w:szCs w:val="32"/>
        </w:rPr>
        <w:t xml:space="preserve">公务用车运行维护费支出27.28万元。 </w:t>
      </w:r>
    </w:p>
    <w:p>
      <w:pPr>
        <w:spacing w:line="600" w:lineRule="exact"/>
        <w:ind w:firstLine="640"/>
        <w:rPr>
          <w:rFonts w:ascii="仿宋_GB2312" w:eastAsia="仿宋_GB2312" w:cs="仿宋_GB2312"/>
          <w:color w:val="000000"/>
          <w:sz w:val="32"/>
          <w:szCs w:val="32"/>
        </w:rPr>
      </w:pPr>
      <w:r>
        <w:rPr>
          <w:rFonts w:ascii="仿宋_GB2312" w:eastAsia="仿宋_GB2312" w:cs="仿宋_GB2312" w:hint="eastAsia"/>
          <w:color w:val="000000"/>
          <w:sz w:val="32"/>
          <w:szCs w:val="32"/>
        </w:rPr>
        <w:t>3.公务接待费支出</w:t>
      </w:r>
      <w:r>
        <w:rPr>
          <w:rFonts w:ascii="仿宋_GB2312" w:eastAsia="仿宋_GB2312" w:cs="仿宋_GB2312" w:hint="eastAsia"/>
          <w:color w:val="000000"/>
          <w:sz w:val="32"/>
          <w:szCs w:val="32"/>
          <w:lang w:eastAsia="zh-CN"/>
        </w:rPr>
        <w:t>0</w:t>
      </w:r>
      <w:r>
        <w:rPr>
          <w:rFonts w:ascii="仿宋_GB2312" w:eastAsia="仿宋_GB2312" w:cs="仿宋_GB2312" w:hint="eastAsia"/>
          <w:color w:val="000000"/>
          <w:sz w:val="32"/>
          <w:szCs w:val="32"/>
        </w:rPr>
        <w:t>万元。公务接待费支出决算比2021年增加</w:t>
      </w:r>
      <w:r>
        <w:rPr>
          <w:rFonts w:ascii="仿宋_GB2312" w:eastAsia="仿宋_GB2312" w:cs="仿宋_GB2312" w:hint="eastAsia"/>
          <w:color w:val="000000"/>
          <w:sz w:val="32"/>
          <w:szCs w:val="32"/>
          <w:lang w:eastAsia="zh-CN"/>
        </w:rPr>
        <w:t>0</w:t>
      </w:r>
      <w:r>
        <w:rPr>
          <w:rFonts w:ascii="仿宋_GB2312" w:eastAsia="仿宋_GB2312" w:cs="仿宋_GB2312" w:hint="eastAsia"/>
          <w:color w:val="000000"/>
          <w:sz w:val="32"/>
          <w:szCs w:val="32"/>
        </w:rPr>
        <w:t>万元。</w:t>
      </w:r>
      <w:bookmarkStart w:id="41" w:name="_Toc15377218"/>
      <w:r>
        <w:rPr>
          <w:rFonts w:ascii="仿宋_GB2312" w:eastAsia="仿宋_GB2312" w:cs="仿宋_GB2312" w:hint="eastAsia"/>
          <w:color w:val="000000"/>
          <w:sz w:val="32"/>
          <w:szCs w:val="32"/>
        </w:rPr>
        <w:t xml:space="preserve"> </w:t>
      </w:r>
    </w:p>
    <w:p>
      <w:pPr>
        <w:spacing w:line="600" w:lineRule="exact"/>
        <w:ind w:firstLine="640"/>
        <w:rPr>
          <w:rFonts w:ascii="仿宋_GB2312" w:eastAsia="仿宋_GB2312" w:cs="仿宋_GB2312"/>
          <w:color w:val="000000"/>
          <w:sz w:val="32"/>
          <w:szCs w:val="32"/>
        </w:rPr>
      </w:pPr>
      <w:r>
        <w:rPr>
          <w:rFonts w:ascii="仿宋_GB2312" w:eastAsia="仿宋_GB2312" w:cs="仿宋_GB2312" w:hint="eastAsia"/>
          <w:color w:val="000000"/>
          <w:sz w:val="32"/>
          <w:szCs w:val="32"/>
        </w:rPr>
        <w:t>国内公务接待支出</w:t>
      </w:r>
      <w:r>
        <w:rPr>
          <w:rFonts w:ascii="仿宋_GB2312" w:eastAsia="仿宋_GB2312" w:cs="仿宋_GB2312" w:hint="eastAsia"/>
          <w:color w:val="000000"/>
          <w:sz w:val="32"/>
          <w:szCs w:val="32"/>
          <w:lang w:eastAsia="zh-CN"/>
        </w:rPr>
        <w:t>0</w:t>
      </w:r>
      <w:r>
        <w:rPr>
          <w:rFonts w:ascii="仿宋_GB2312" w:eastAsia="仿宋_GB2312" w:cs="仿宋_GB2312" w:hint="eastAsia"/>
          <w:color w:val="000000"/>
          <w:sz w:val="32"/>
          <w:szCs w:val="32"/>
        </w:rPr>
        <w:t>万元。国内公务接待0批次，0人次（不包括陪同人员），共计支出</w:t>
      </w:r>
      <w:r>
        <w:rPr>
          <w:rFonts w:ascii="仿宋_GB2312" w:eastAsia="仿宋_GB2312" w:cs="仿宋_GB2312" w:hint="eastAsia"/>
          <w:color w:val="000000"/>
          <w:sz w:val="32"/>
          <w:szCs w:val="32"/>
          <w:lang w:eastAsia="zh-CN"/>
        </w:rPr>
        <w:t>0</w:t>
      </w:r>
      <w:r>
        <w:rPr>
          <w:rFonts w:ascii="仿宋_GB2312" w:eastAsia="仿宋_GB2312" w:cs="仿宋_GB2312" w:hint="eastAsia"/>
          <w:color w:val="000000"/>
          <w:sz w:val="32"/>
          <w:szCs w:val="32"/>
        </w:rPr>
        <w:t>万元。</w:t>
      </w:r>
    </w:p>
    <w:p>
      <w:pPr>
        <w:spacing w:line="600" w:lineRule="exact"/>
        <w:ind w:firstLine="640"/>
        <w:rPr>
          <w:rFonts w:ascii="仿宋_GB2312" w:eastAsia="仿宋_GB2312" w:cs="仿宋_GB2312"/>
          <w:color w:val="000000"/>
          <w:sz w:val="32"/>
          <w:szCs w:val="32"/>
        </w:rPr>
      </w:pPr>
      <w:r>
        <w:rPr>
          <w:rFonts w:ascii="仿宋_GB2312" w:eastAsia="仿宋_GB2312" w:cs="仿宋_GB2312" w:hint="eastAsia"/>
          <w:color w:val="000000"/>
          <w:sz w:val="32"/>
          <w:szCs w:val="32"/>
        </w:rPr>
        <w:t>外事接待支出</w:t>
      </w:r>
      <w:r>
        <w:rPr>
          <w:rFonts w:ascii="仿宋_GB2312" w:eastAsia="仿宋_GB2312" w:cs="仿宋_GB2312" w:hint="eastAsia"/>
          <w:color w:val="000000"/>
          <w:sz w:val="32"/>
          <w:szCs w:val="32"/>
          <w:lang w:eastAsia="zh-CN"/>
        </w:rPr>
        <w:t>0</w:t>
      </w:r>
      <w:r>
        <w:rPr>
          <w:rFonts w:ascii="仿宋_GB2312" w:eastAsia="仿宋_GB2312" w:cs="仿宋_GB2312" w:hint="eastAsia"/>
          <w:color w:val="000000"/>
          <w:sz w:val="32"/>
          <w:szCs w:val="32"/>
        </w:rPr>
        <w:t>万元，外事接待0批次，0人，共计支出</w:t>
      </w:r>
      <w:r>
        <w:rPr>
          <w:rFonts w:ascii="仿宋_GB2312" w:eastAsia="仿宋_GB2312" w:cs="仿宋_GB2312" w:hint="eastAsia"/>
          <w:color w:val="000000"/>
          <w:sz w:val="32"/>
          <w:szCs w:val="32"/>
          <w:lang w:eastAsia="zh-CN"/>
        </w:rPr>
        <w:t>0</w:t>
      </w:r>
      <w:r>
        <w:rPr>
          <w:rFonts w:ascii="仿宋_GB2312" w:eastAsia="仿宋_GB2312" w:cs="仿宋_GB2312" w:hint="eastAsia"/>
          <w:color w:val="000000"/>
          <w:sz w:val="32"/>
          <w:szCs w:val="32"/>
        </w:rPr>
        <w:t>万元。</w:t>
      </w:r>
    </w:p>
    <w:p>
      <w:pPr>
        <w:pStyle w:val="2"/>
        <w:ind w:firstLineChars="200" w:firstLine="640"/>
        <w:rPr>
          <w:rFonts w:ascii="黑体" w:eastAsia="黑体" w:cs="Times New Roman"/>
          <w:b w:val="0"/>
          <w:color w:val="000000"/>
        </w:rPr>
      </w:pPr>
      <w:bookmarkStart w:id="42" w:name="_Toc111208506"/>
      <w:bookmarkStart w:id="43" w:name="_Toc4484"/>
      <w:r>
        <w:rPr>
          <w:rFonts w:ascii="黑体" w:eastAsia="黑体" w:cs="Times New Roman" w:hint="eastAsia"/>
          <w:b w:val="0"/>
          <w:color w:val="000000"/>
        </w:rPr>
        <w:t>八、政府性基金预算支出决算情况说明</w:t>
      </w:r>
      <w:bookmarkEnd w:id="41"/>
      <w:bookmarkEnd w:id="42"/>
      <w:bookmarkEnd w:id="43"/>
    </w:p>
    <w:p>
      <w:pPr>
        <w:spacing w:line="600" w:lineRule="exact"/>
        <w:ind w:firstLine="640"/>
        <w:rPr>
          <w:rFonts w:ascii="仿宋_GB2312" w:eastAsia="仿宋_GB2312" w:cs="仿宋_GB2312"/>
          <w:color w:val="000000"/>
          <w:sz w:val="32"/>
          <w:szCs w:val="32"/>
        </w:rPr>
      </w:pPr>
      <w:r>
        <w:rPr>
          <w:rFonts w:ascii="仿宋_GB2312" w:eastAsia="仿宋_GB2312" w:cs="仿宋_GB2312" w:hint="eastAsia"/>
          <w:color w:val="000000"/>
          <w:sz w:val="32"/>
          <w:szCs w:val="32"/>
        </w:rPr>
        <w:t>2022年政府性基金预算拨款支出</w:t>
      </w:r>
      <w:r>
        <w:rPr>
          <w:rFonts w:ascii="仿宋_GB2312" w:eastAsia="仿宋_GB2312" w:cs="仿宋_GB2312" w:hint="eastAsia"/>
          <w:color w:val="000000"/>
          <w:sz w:val="32"/>
          <w:szCs w:val="32"/>
          <w:lang w:eastAsia="zh-CN"/>
        </w:rPr>
        <w:t>0</w:t>
      </w:r>
      <w:r>
        <w:rPr>
          <w:rFonts w:ascii="仿宋_GB2312" w:eastAsia="仿宋_GB2312" w:cs="仿宋_GB2312" w:hint="eastAsia"/>
          <w:color w:val="000000"/>
          <w:sz w:val="32"/>
          <w:szCs w:val="32"/>
        </w:rPr>
        <w:t>万元。</w:t>
      </w:r>
      <w:bookmarkStart w:id="44" w:name="_Toc15377219"/>
    </w:p>
    <w:p>
      <w:pPr>
        <w:pStyle w:val="2"/>
        <w:ind w:firstLineChars="200" w:firstLine="640"/>
        <w:rPr>
          <w:rFonts w:ascii="黑体" w:eastAsia="黑体" w:cs="Times New Roman"/>
          <w:b w:val="0"/>
          <w:color w:val="000000"/>
        </w:rPr>
      </w:pPr>
      <w:bookmarkStart w:id="45" w:name="_Toc1532"/>
      <w:bookmarkStart w:id="46" w:name="_Toc111208507"/>
      <w:r>
        <w:rPr>
          <w:rFonts w:ascii="黑体" w:eastAsia="黑体" w:cs="Times New Roman" w:hint="eastAsia"/>
          <w:b w:val="0"/>
          <w:color w:val="000000"/>
        </w:rPr>
        <w:t>九、国有资本经营预算支出决算情况说明</w:t>
      </w:r>
      <w:bookmarkEnd w:id="44"/>
      <w:bookmarkEnd w:id="45"/>
      <w:bookmarkEnd w:id="46"/>
    </w:p>
    <w:p>
      <w:pPr>
        <w:spacing w:line="600" w:lineRule="exact"/>
        <w:ind w:firstLine="640"/>
        <w:rPr>
          <w:rFonts w:ascii="仿宋_GB2312" w:eastAsia="仿宋_GB2312" w:cs="仿宋_GB2312"/>
          <w:color w:val="000000"/>
          <w:sz w:val="32"/>
          <w:szCs w:val="32"/>
        </w:rPr>
      </w:pPr>
      <w:r>
        <w:rPr>
          <w:rFonts w:ascii="仿宋_GB2312" w:eastAsia="仿宋_GB2312" w:cs="仿宋_GB2312" w:hint="eastAsia"/>
          <w:color w:val="000000"/>
          <w:sz w:val="32"/>
          <w:szCs w:val="32"/>
        </w:rPr>
        <w:t>2022年国有资本经营预算拨款支出</w:t>
      </w:r>
      <w:r>
        <w:rPr>
          <w:rFonts w:ascii="仿宋_GB2312" w:eastAsia="仿宋_GB2312" w:cs="仿宋_GB2312" w:hint="eastAsia"/>
          <w:color w:val="000000"/>
          <w:sz w:val="32"/>
          <w:szCs w:val="32"/>
          <w:lang w:eastAsia="zh-CN"/>
        </w:rPr>
        <w:t>0</w:t>
      </w:r>
      <w:r>
        <w:rPr>
          <w:rFonts w:ascii="仿宋_GB2312" w:eastAsia="仿宋_GB2312" w:cs="仿宋_GB2312" w:hint="eastAsia"/>
          <w:color w:val="000000"/>
          <w:sz w:val="32"/>
          <w:szCs w:val="32"/>
        </w:rPr>
        <w:t>万元。</w:t>
      </w:r>
    </w:p>
    <w:p>
      <w:pPr>
        <w:pStyle w:val="2"/>
        <w:ind w:firstLineChars="200" w:firstLine="640"/>
        <w:rPr>
          <w:rFonts w:ascii="黑体" w:eastAsia="黑体" w:cs="Times New Roman"/>
          <w:b w:val="0"/>
          <w:color w:val="000000"/>
        </w:rPr>
      </w:pPr>
      <w:bookmarkStart w:id="47" w:name="_Toc15377221"/>
      <w:bookmarkStart w:id="48" w:name="_Toc111208508"/>
      <w:bookmarkStart w:id="49" w:name="_Toc587"/>
      <w:r>
        <w:rPr>
          <w:rFonts w:ascii="黑体" w:eastAsia="黑体" w:cs="Times New Roman" w:hint="eastAsia"/>
          <w:b w:val="0"/>
          <w:color w:val="000000"/>
        </w:rPr>
        <w:t>十、其他重要事项的情况说明</w:t>
      </w:r>
      <w:bookmarkEnd w:id="47"/>
      <w:bookmarkEnd w:id="48"/>
      <w:bookmarkEnd w:id="49"/>
    </w:p>
    <w:p>
      <w:pPr>
        <w:spacing w:line="600" w:lineRule="exact"/>
        <w:ind w:firstLineChars="200" w:firstLine="640"/>
        <w:outlineLvl w:val="2"/>
        <w:rPr>
          <w:rFonts w:ascii="仿宋" w:eastAsia="仿宋"/>
          <w:b/>
          <w:color w:val="000000"/>
          <w:sz w:val="32"/>
          <w:szCs w:val="32"/>
        </w:rPr>
      </w:pPr>
      <w:bookmarkStart w:id="50" w:name="_Toc15377222"/>
      <w:r>
        <w:rPr>
          <w:rFonts w:ascii="仿宋" w:eastAsia="仿宋" w:hint="eastAsia"/>
          <w:b/>
          <w:color w:val="000000"/>
          <w:sz w:val="32"/>
          <w:szCs w:val="32"/>
        </w:rPr>
        <w:t>（一）机关运行经费支出情况</w:t>
      </w:r>
      <w:bookmarkEnd w:id="50"/>
    </w:p>
    <w:p>
      <w:pPr>
        <w:spacing w:line="600" w:lineRule="exact"/>
        <w:ind w:firstLine="640"/>
        <w:rPr>
          <w:rFonts w:ascii="仿宋_GB2312" w:eastAsia="仿宋_GB2312" w:cs="仿宋_GB2312"/>
          <w:color w:val="000000"/>
          <w:sz w:val="32"/>
          <w:szCs w:val="32"/>
        </w:rPr>
      </w:pPr>
      <w:r>
        <w:rPr>
          <w:rFonts w:ascii="仿宋_GB2312" w:eastAsia="仿宋_GB2312" w:cs="仿宋_GB2312" w:hint="eastAsia"/>
          <w:color w:val="000000"/>
          <w:sz w:val="32"/>
          <w:szCs w:val="32"/>
        </w:rPr>
        <w:t xml:space="preserve">2022年，机关运行经费支出31.62万元，比2021年增加22.69万元，增加254.18%。 </w:t>
      </w:r>
    </w:p>
    <w:p>
      <w:pPr>
        <w:spacing w:line="600" w:lineRule="exact"/>
        <w:ind w:firstLineChars="200" w:firstLine="640"/>
        <w:outlineLvl w:val="2"/>
        <w:rPr>
          <w:rFonts w:ascii="仿宋" w:eastAsia="仿宋"/>
          <w:b/>
          <w:color w:val="000000"/>
          <w:sz w:val="32"/>
          <w:szCs w:val="32"/>
        </w:rPr>
      </w:pPr>
      <w:bookmarkStart w:id="51" w:name="_Toc15377223"/>
      <w:r>
        <w:rPr>
          <w:rFonts w:ascii="仿宋" w:eastAsia="仿宋" w:hint="eastAsia"/>
          <w:b/>
          <w:color w:val="000000"/>
          <w:sz w:val="32"/>
          <w:szCs w:val="32"/>
        </w:rPr>
        <w:t>（二）政府采购支出情况</w:t>
      </w:r>
      <w:bookmarkEnd w:id="51"/>
      <w:r>
        <w:rPr>
          <w:rFonts w:ascii="仿宋" w:eastAsia="仿宋" w:hint="eastAsia"/>
          <w:b/>
          <w:color w:val="000000"/>
          <w:sz w:val="32"/>
          <w:szCs w:val="32"/>
        </w:rPr>
        <w:t>(机构运行信息表)</w:t>
      </w:r>
    </w:p>
    <w:p>
      <w:pPr>
        <w:spacing w:line="600" w:lineRule="exact"/>
        <w:ind w:firstLine="640"/>
        <w:rPr>
          <w:rFonts w:ascii="仿宋_GB2312" w:eastAsia="仿宋_GB2312" w:cs="仿宋_GB2312"/>
          <w:color w:val="000000"/>
          <w:sz w:val="32"/>
          <w:szCs w:val="32"/>
        </w:rPr>
      </w:pPr>
      <w:r>
        <w:rPr>
          <w:rFonts w:ascii="仿宋_GB2312" w:eastAsia="仿宋_GB2312" w:cs="仿宋_GB2312" w:hint="eastAsia"/>
          <w:color w:val="000000"/>
          <w:sz w:val="32"/>
          <w:szCs w:val="32"/>
        </w:rPr>
        <w:t>2022年，政府采购支出总额24.67万元，其中：政府采购货物支出24.67万元、政府采购工程支出</w:t>
      </w:r>
      <w:r>
        <w:rPr>
          <w:rFonts w:ascii="仿宋_GB2312" w:eastAsia="仿宋_GB2312" w:cs="仿宋_GB2312" w:hint="eastAsia"/>
          <w:color w:val="000000"/>
          <w:sz w:val="32"/>
          <w:szCs w:val="32"/>
          <w:lang w:val="en-US" w:eastAsia="zh-CN"/>
        </w:rPr>
        <w:t>0</w:t>
      </w:r>
      <w:r>
        <w:rPr>
          <w:rFonts w:ascii="仿宋_GB2312" w:eastAsia="仿宋_GB2312" w:cs="仿宋_GB2312" w:hint="eastAsia"/>
          <w:color w:val="000000"/>
          <w:sz w:val="32"/>
          <w:szCs w:val="32"/>
        </w:rPr>
        <w:t>万元、政府采购服务支出</w:t>
      </w:r>
      <w:r>
        <w:rPr>
          <w:rFonts w:ascii="仿宋_GB2312" w:eastAsia="仿宋_GB2312" w:cs="仿宋_GB2312" w:hint="eastAsia"/>
          <w:color w:val="000000"/>
          <w:sz w:val="32"/>
          <w:szCs w:val="32"/>
          <w:lang w:val="en-US" w:eastAsia="zh-CN"/>
        </w:rPr>
        <w:t>0</w:t>
      </w:r>
      <w:r>
        <w:rPr>
          <w:rFonts w:ascii="仿宋_GB2312" w:eastAsia="仿宋_GB2312" w:cs="仿宋_GB2312" w:hint="eastAsia"/>
          <w:color w:val="000000"/>
          <w:sz w:val="32"/>
          <w:szCs w:val="32"/>
        </w:rPr>
        <w:t>万元。授予中小企业合同金额</w:t>
      </w:r>
      <w:r>
        <w:rPr>
          <w:rFonts w:ascii="仿宋_GB2312" w:eastAsia="仿宋_GB2312" w:cs="仿宋_GB2312" w:hint="eastAsia"/>
          <w:color w:val="000000"/>
          <w:sz w:val="32"/>
          <w:szCs w:val="32"/>
          <w:lang w:eastAsia="zh-CN"/>
        </w:rPr>
        <w:t>0</w:t>
      </w:r>
      <w:r>
        <w:rPr>
          <w:rFonts w:ascii="仿宋_GB2312" w:eastAsia="仿宋_GB2312" w:cs="仿宋_GB2312" w:hint="eastAsia"/>
          <w:color w:val="000000"/>
          <w:sz w:val="32"/>
          <w:szCs w:val="32"/>
        </w:rPr>
        <w:t>万元，其中：授予小微企业合同金额</w:t>
      </w:r>
      <w:r>
        <w:rPr>
          <w:rFonts w:ascii="仿宋_GB2312" w:eastAsia="仿宋_GB2312" w:cs="仿宋_GB2312" w:hint="eastAsia"/>
          <w:color w:val="000000"/>
          <w:sz w:val="32"/>
          <w:szCs w:val="32"/>
          <w:lang w:eastAsia="zh-CN"/>
        </w:rPr>
        <w:t>0</w:t>
      </w:r>
      <w:r>
        <w:rPr>
          <w:rFonts w:ascii="仿宋_GB2312" w:eastAsia="仿宋_GB2312" w:cs="仿宋_GB2312" w:hint="eastAsia"/>
          <w:color w:val="000000"/>
          <w:sz w:val="32"/>
          <w:szCs w:val="32"/>
        </w:rPr>
        <w:t>万元。</w:t>
      </w:r>
    </w:p>
    <w:p>
      <w:pPr>
        <w:spacing w:line="600" w:lineRule="exact"/>
        <w:ind w:firstLineChars="200" w:firstLine="640"/>
        <w:outlineLvl w:val="2"/>
        <w:rPr>
          <w:rFonts w:ascii="仿宋" w:eastAsia="仿宋"/>
          <w:b/>
          <w:color w:val="000000"/>
          <w:sz w:val="32"/>
          <w:szCs w:val="32"/>
        </w:rPr>
      </w:pPr>
      <w:bookmarkStart w:id="52" w:name="_Toc15377224"/>
      <w:r>
        <w:rPr>
          <w:rFonts w:ascii="仿宋" w:eastAsia="仿宋" w:hint="eastAsia"/>
          <w:b/>
          <w:color w:val="000000"/>
          <w:sz w:val="32"/>
          <w:szCs w:val="32"/>
        </w:rPr>
        <w:t>（三）国有资产占有使用情况</w:t>
      </w:r>
      <w:bookmarkEnd w:id="52"/>
    </w:p>
    <w:p>
      <w:pPr>
        <w:spacing w:line="600" w:lineRule="exact"/>
        <w:ind w:firstLine="640"/>
        <w:rPr>
          <w:rFonts w:ascii="仿宋_GB2312" w:eastAsia="仿宋_GB2312" w:cs="仿宋_GB2312"/>
          <w:color w:val="000000"/>
          <w:sz w:val="32"/>
          <w:szCs w:val="32"/>
        </w:rPr>
      </w:pPr>
      <w:r>
        <w:rPr>
          <w:rFonts w:ascii="仿宋_GB2312" w:eastAsia="仿宋_GB2312" w:cs="仿宋_GB2312" w:hint="eastAsia"/>
          <w:color w:val="000000"/>
          <w:sz w:val="32"/>
          <w:szCs w:val="32"/>
        </w:rPr>
        <w:t>截至2022年12月31日，共有车辆1辆，其中：主要领导干部用车0辆、机要通信用车0辆、应急保障用车1辆、其他用车0辆。单价50万元以上通用设备0台（套），单价100万元以上专用设备—台（套）。</w:t>
      </w:r>
      <w:bookmarkStart w:id="53" w:name="_Toc15377225"/>
      <w:bookmarkStart w:id="54" w:name="_Toc111208509"/>
      <w:bookmarkStart w:id="55" w:name="_Toc5924"/>
    </w:p>
    <w:p>
      <w:pPr>
        <w:pStyle w:val="17"/>
        <w:spacing w:beforeLines="0" w:before="93"/>
        <w:rPr>
          <w:rFonts w:ascii="仿宋" w:eastAsia="仿宋"/>
          <w:color w:val="000000"/>
          <w:sz w:val="32"/>
          <w:szCs w:val="32"/>
        </w:rPr>
      </w:pPr>
    </w:p>
    <w:p/>
    <w:p/>
    <w:p/>
    <w:p/>
    <w:p/>
    <w:p/>
    <w:p/>
    <w:p/>
    <w:p/>
    <w:p/>
    <w:p/>
    <w:p/>
    <w:p/>
    <w:p/>
    <w:p/>
    <w:p/>
    <w:p/>
    <w:p/>
    <w:p/>
    <w:p/>
    <w:p/>
    <w:p/>
    <w:p/>
    <w:p/>
    <w:p/>
    <w:p/>
    <w:p/>
    <w:p/>
    <w:p/>
    <w:p/>
    <w:p/>
    <w:p/>
    <w:p/>
    <w:p/>
    <w:p/>
    <w:p>
      <w:pPr>
        <w:pStyle w:val="1"/>
        <w:jc w:val="center"/>
        <w:rPr>
          <w:rFonts w:ascii="黑体" w:eastAsia="黑体" w:cs="黑体"/>
          <w:b w:val="0"/>
          <w:bCs w:val="0"/>
        </w:rPr>
      </w:pPr>
      <w:r>
        <w:rPr>
          <w:rFonts w:ascii="黑体" w:eastAsia="黑体" w:cs="黑体" w:hint="eastAsia"/>
          <w:b w:val="0"/>
          <w:bCs w:val="0"/>
        </w:rPr>
        <w:t>第三部分 名词解释</w:t>
      </w:r>
      <w:bookmarkEnd w:id="53"/>
      <w:bookmarkEnd w:id="54"/>
      <w:bookmarkEnd w:id="55"/>
    </w:p>
    <w:p>
      <w:pPr>
        <w:spacing w:line="600" w:lineRule="exact"/>
        <w:ind w:firstLine="640"/>
        <w:rPr>
          <w:rFonts w:ascii="仿宋_GB2312" w:eastAsia="仿宋_GB2312" w:cs="仿宋_GB2312"/>
          <w:color w:val="000000"/>
          <w:sz w:val="32"/>
          <w:szCs w:val="32"/>
        </w:rPr>
      </w:pPr>
      <w:r>
        <w:rPr>
          <w:rFonts w:ascii="仿宋_GB2312" w:eastAsia="仿宋_GB2312" w:cs="仿宋_GB2312" w:hint="eastAsia"/>
          <w:color w:val="000000"/>
          <w:sz w:val="32"/>
          <w:szCs w:val="32"/>
        </w:rPr>
        <w:t>1.财政拨款收入：指单位从同级财政部门取得的财政预算资金。</w:t>
      </w:r>
    </w:p>
    <w:p>
      <w:pPr>
        <w:spacing w:line="600" w:lineRule="exact"/>
        <w:ind w:firstLine="640"/>
        <w:rPr>
          <w:rFonts w:ascii="仿宋_GB2312" w:eastAsia="仿宋_GB2312" w:cs="仿宋_GB2312"/>
          <w:color w:val="000000"/>
          <w:sz w:val="32"/>
          <w:szCs w:val="32"/>
        </w:rPr>
      </w:pPr>
      <w:r>
        <w:rPr>
          <w:rFonts w:ascii="仿宋_GB2312" w:eastAsia="仿宋_GB2312" w:cs="仿宋_GB2312" w:hint="eastAsia"/>
          <w:color w:val="000000"/>
          <w:sz w:val="32"/>
          <w:szCs w:val="32"/>
        </w:rPr>
        <w:t>2.事业收入：指事业单位开展专业业务活动及辅助活动取得的收入。</w:t>
      </w:r>
    </w:p>
    <w:p>
      <w:pPr>
        <w:spacing w:line="600" w:lineRule="exact"/>
        <w:ind w:firstLine="640"/>
        <w:rPr>
          <w:rFonts w:ascii="仿宋_GB2312" w:eastAsia="仿宋_GB2312" w:cs="仿宋_GB2312"/>
          <w:color w:val="000000"/>
          <w:sz w:val="32"/>
          <w:szCs w:val="32"/>
        </w:rPr>
      </w:pPr>
      <w:r>
        <w:rPr>
          <w:rFonts w:ascii="仿宋_GB2312" w:eastAsia="仿宋_GB2312" w:cs="仿宋_GB2312" w:hint="eastAsia"/>
          <w:color w:val="000000"/>
          <w:sz w:val="32"/>
          <w:szCs w:val="32"/>
        </w:rPr>
        <w:t>3.经营收入：指事业单位在专业业务活动及其辅助活动之外开展非独立核算经营活动取得的收入</w:t>
      </w:r>
    </w:p>
    <w:p>
      <w:pPr>
        <w:spacing w:line="600" w:lineRule="exact"/>
        <w:ind w:firstLine="640"/>
        <w:rPr>
          <w:rFonts w:ascii="仿宋_GB2312" w:eastAsia="仿宋_GB2312" w:cs="仿宋_GB2312"/>
          <w:color w:val="000000"/>
          <w:sz w:val="32"/>
          <w:szCs w:val="32"/>
        </w:rPr>
      </w:pPr>
      <w:r>
        <w:rPr>
          <w:rFonts w:ascii="仿宋_GB2312" w:eastAsia="仿宋_GB2312" w:cs="仿宋_GB2312" w:hint="eastAsia"/>
          <w:color w:val="000000"/>
          <w:sz w:val="32"/>
          <w:szCs w:val="32"/>
        </w:rPr>
        <w:t>4.其他收入：指单位取得的除上述收入以外的各项收入。</w:t>
      </w:r>
    </w:p>
    <w:p>
      <w:pPr>
        <w:spacing w:line="600" w:lineRule="exact"/>
        <w:ind w:firstLine="640"/>
        <w:rPr>
          <w:rFonts w:ascii="仿宋_GB2312" w:eastAsia="仿宋_GB2312" w:cs="仿宋_GB2312"/>
          <w:color w:val="000000"/>
          <w:sz w:val="32"/>
          <w:szCs w:val="32"/>
        </w:rPr>
      </w:pPr>
      <w:r>
        <w:rPr>
          <w:rFonts w:ascii="仿宋_GB2312" w:eastAsia="仿宋_GB2312" w:cs="仿宋_GB2312" w:hint="eastAsia"/>
          <w:color w:val="000000"/>
          <w:sz w:val="32"/>
          <w:szCs w:val="32"/>
        </w:rPr>
        <w:t xml:space="preserve">5.用事业基金弥补收支差额：指事业单位在当年的财政拨款收入、事业收入、经营收入、其他收入不足以安排当年支出的情况下，使用以前年度积累的事业基金（事业单位当年收支相抵后按国家规定提取、用于弥补以后年度收支差额的基金）弥补本年度收支缺口的资金。 </w:t>
      </w:r>
    </w:p>
    <w:p>
      <w:pPr>
        <w:spacing w:line="600" w:lineRule="exact"/>
        <w:ind w:firstLine="640"/>
        <w:rPr>
          <w:rFonts w:ascii="仿宋_GB2312" w:eastAsia="仿宋_GB2312" w:cs="仿宋_GB2312"/>
          <w:color w:val="000000"/>
          <w:sz w:val="32"/>
          <w:szCs w:val="32"/>
        </w:rPr>
      </w:pPr>
      <w:r>
        <w:rPr>
          <w:rFonts w:ascii="仿宋_GB2312" w:eastAsia="仿宋_GB2312" w:cs="仿宋_GB2312" w:hint="eastAsia"/>
          <w:color w:val="000000"/>
          <w:sz w:val="32"/>
          <w:szCs w:val="32"/>
        </w:rPr>
        <w:t xml:space="preserve">6.年初结转和结余：指以前年度尚未完成、结转到本年按有关规定继续使用的资金。 </w:t>
      </w:r>
    </w:p>
    <w:p>
      <w:pPr>
        <w:spacing w:line="600" w:lineRule="exact"/>
        <w:ind w:firstLine="640"/>
        <w:rPr>
          <w:rFonts w:ascii="仿宋_GB2312" w:eastAsia="仿宋_GB2312" w:cs="仿宋_GB2312"/>
          <w:color w:val="000000"/>
          <w:sz w:val="32"/>
          <w:szCs w:val="32"/>
        </w:rPr>
      </w:pPr>
      <w:r>
        <w:rPr>
          <w:rFonts w:ascii="仿宋_GB2312" w:eastAsia="仿宋_GB2312" w:cs="仿宋_GB2312" w:hint="eastAsia"/>
          <w:color w:val="000000"/>
          <w:sz w:val="32"/>
          <w:szCs w:val="32"/>
        </w:rPr>
        <w:t>7.结余分配：指事业单位按照事业单位会计制度的规定从非财政补助结余中分配的事业基金和职工福利基金等。</w:t>
      </w:r>
    </w:p>
    <w:p>
      <w:pPr>
        <w:spacing w:line="600" w:lineRule="exact"/>
        <w:ind w:firstLine="640"/>
        <w:rPr>
          <w:rFonts w:ascii="仿宋_GB2312" w:eastAsia="仿宋_GB2312" w:cs="仿宋_GB2312"/>
          <w:color w:val="000000"/>
          <w:sz w:val="32"/>
          <w:szCs w:val="32"/>
        </w:rPr>
      </w:pPr>
      <w:r>
        <w:rPr>
          <w:rFonts w:ascii="仿宋_GB2312" w:eastAsia="仿宋_GB2312" w:cs="仿宋_GB2312" w:hint="eastAsia"/>
          <w:color w:val="000000"/>
          <w:sz w:val="32"/>
          <w:szCs w:val="32"/>
        </w:rPr>
        <w:t>8.年末结转和结余：指单位按有关规定结转到下年或以后年度继续使用的资金。</w:t>
      </w:r>
    </w:p>
    <w:p>
      <w:pPr>
        <w:spacing w:line="600" w:lineRule="exact"/>
        <w:ind w:firstLine="640"/>
        <w:rPr>
          <w:rFonts w:ascii="仿宋_GB2312" w:eastAsia="仿宋_GB2312" w:cs="仿宋_GB2312"/>
          <w:color w:val="000000"/>
          <w:sz w:val="32"/>
          <w:szCs w:val="32"/>
        </w:rPr>
      </w:pPr>
      <w:r>
        <w:rPr>
          <w:rFonts w:ascii="仿宋_GB2312" w:eastAsia="仿宋_GB2312" w:cs="仿宋_GB2312" w:hint="eastAsia"/>
          <w:color w:val="000000"/>
          <w:sz w:val="32"/>
          <w:szCs w:val="32"/>
        </w:rPr>
        <w:t>9.社会保障和就业支出（208）人力资源和社会保障管理事务（20801）行政运行（2080101）：反映行政单位（包括实行公务员管理的事业单位）的基本支出。</w:t>
      </w:r>
    </w:p>
    <w:p>
      <w:pPr>
        <w:spacing w:line="600" w:lineRule="exact"/>
        <w:ind w:firstLine="640"/>
        <w:rPr>
          <w:rFonts w:ascii="仿宋_GB2312" w:eastAsia="仿宋_GB2312" w:cs="仿宋_GB2312"/>
          <w:color w:val="000000"/>
          <w:sz w:val="32"/>
          <w:szCs w:val="32"/>
        </w:rPr>
      </w:pPr>
      <w:r>
        <w:rPr>
          <w:rFonts w:ascii="仿宋_GB2312" w:eastAsia="仿宋_GB2312" w:cs="仿宋_GB2312" w:hint="eastAsia"/>
          <w:color w:val="000000"/>
          <w:sz w:val="32"/>
          <w:szCs w:val="32"/>
        </w:rPr>
        <w:t>10.社会保障和就业支出（208）人力资源和社会保障管理事务（20801）社会保险经办机构（2080109）：反映社会保险经办机构开展业务工作的支出。</w:t>
      </w:r>
    </w:p>
    <w:p>
      <w:pPr>
        <w:spacing w:line="600" w:lineRule="exact"/>
        <w:ind w:firstLine="640"/>
        <w:rPr>
          <w:rFonts w:ascii="仿宋_GB2312" w:eastAsia="仿宋_GB2312" w:cs="仿宋_GB2312"/>
          <w:color w:val="000000"/>
          <w:sz w:val="32"/>
          <w:szCs w:val="32"/>
        </w:rPr>
      </w:pPr>
      <w:r>
        <w:rPr>
          <w:rFonts w:ascii="仿宋_GB2312" w:eastAsia="仿宋_GB2312" w:cs="仿宋_GB2312" w:hint="eastAsia"/>
          <w:color w:val="000000"/>
          <w:sz w:val="32"/>
          <w:szCs w:val="32"/>
        </w:rPr>
        <w:t>11.社会保障和就业支出（208）行政事业单位养老支出（20805）机关事业单位基本养老保险缴费支出（2080505）：反映机关事业单位实施养老保险制度由单位缴纳的基本养老保险费支出。</w:t>
      </w:r>
    </w:p>
    <w:p>
      <w:pPr>
        <w:spacing w:line="600" w:lineRule="exact"/>
        <w:ind w:firstLine="640"/>
        <w:rPr>
          <w:rFonts w:ascii="仿宋_GB2312" w:eastAsia="仿宋_GB2312" w:cs="仿宋_GB2312"/>
          <w:color w:val="000000"/>
          <w:sz w:val="32"/>
          <w:szCs w:val="32"/>
        </w:rPr>
      </w:pPr>
      <w:r>
        <w:rPr>
          <w:rFonts w:ascii="仿宋_GB2312" w:eastAsia="仿宋_GB2312" w:cs="仿宋_GB2312" w:hint="eastAsia"/>
          <w:color w:val="000000"/>
          <w:sz w:val="32"/>
          <w:szCs w:val="32"/>
        </w:rPr>
        <w:t>12.社会保障和就业支出（208）行政事业单位养老支出（20805）机关事业单位职业年金缴费支出（2080506）：反映机关事业单位实施养老保险制度由单位实际缴纳的职业年金支出。</w:t>
      </w:r>
    </w:p>
    <w:p>
      <w:pPr>
        <w:spacing w:line="600" w:lineRule="exact"/>
        <w:ind w:firstLine="640"/>
        <w:rPr>
          <w:rFonts w:ascii="仿宋_GB2312" w:eastAsia="仿宋_GB2312" w:cs="仿宋_GB2312"/>
          <w:color w:val="000000"/>
          <w:sz w:val="32"/>
          <w:szCs w:val="32"/>
        </w:rPr>
      </w:pPr>
      <w:r>
        <w:rPr>
          <w:rFonts w:ascii="仿宋_GB2312" w:eastAsia="仿宋_GB2312" w:cs="仿宋_GB2312" w:hint="eastAsia"/>
          <w:color w:val="000000"/>
          <w:sz w:val="32"/>
          <w:szCs w:val="32"/>
        </w:rPr>
        <w:t>13.社会保障和就业支出（208）就业补助（20807）其他就业补助支出（2080799）：反映除上述项目以外按规定确定的其他用于促进就业的补助支出。</w:t>
      </w:r>
    </w:p>
    <w:p>
      <w:pPr>
        <w:spacing w:line="600" w:lineRule="exact"/>
        <w:ind w:firstLine="640"/>
        <w:rPr>
          <w:rFonts w:ascii="仿宋_GB2312" w:eastAsia="仿宋_GB2312" w:cs="仿宋_GB2312"/>
          <w:color w:val="000000"/>
          <w:sz w:val="32"/>
          <w:szCs w:val="32"/>
        </w:rPr>
      </w:pPr>
      <w:r>
        <w:rPr>
          <w:rFonts w:ascii="仿宋_GB2312" w:eastAsia="仿宋_GB2312" w:cs="仿宋_GB2312" w:hint="eastAsia"/>
          <w:color w:val="000000"/>
          <w:sz w:val="32"/>
          <w:szCs w:val="32"/>
        </w:rPr>
        <w:t>14.卫生健康支出（210）行政事业单位医疗（21011）行政单位医疗（2101101）：反映财政部门安排的行政单位（包括实行公务员管理的事业单位，下同）基本医疗保险缴费经费，未参加医疗保险的行政单位的公费医疗经费，按国家规定享受离休人员、红军老战士待遇人员的医疗经费。</w:t>
      </w:r>
    </w:p>
    <w:p>
      <w:pPr>
        <w:spacing w:line="600" w:lineRule="exact"/>
        <w:ind w:firstLine="640"/>
        <w:rPr>
          <w:rFonts w:ascii="仿宋_GB2312" w:eastAsia="仿宋_GB2312" w:cs="仿宋_GB2312"/>
          <w:color w:val="000000"/>
          <w:sz w:val="32"/>
          <w:szCs w:val="32"/>
        </w:rPr>
      </w:pPr>
      <w:r>
        <w:rPr>
          <w:rFonts w:ascii="仿宋_GB2312" w:eastAsia="仿宋_GB2312" w:cs="仿宋_GB2312" w:hint="eastAsia"/>
          <w:color w:val="000000"/>
          <w:sz w:val="32"/>
          <w:szCs w:val="32"/>
        </w:rPr>
        <w:t>15.卫生健康支出（210）行政事业单位医疗（21011）事业单位医疗（2101102）：反映财政部门安排的事业单位基本医疗保险缴费经费，未参加医疗保险的事业单位的公费医疗经费，按国家规定享受离休人员待遇的医疗经费。</w:t>
      </w:r>
    </w:p>
    <w:p>
      <w:pPr>
        <w:spacing w:line="600" w:lineRule="exact"/>
        <w:ind w:firstLine="640"/>
        <w:rPr>
          <w:rFonts w:ascii="仿宋_GB2312" w:eastAsia="仿宋_GB2312" w:cs="仿宋_GB2312"/>
          <w:color w:val="000000"/>
          <w:sz w:val="32"/>
          <w:szCs w:val="32"/>
        </w:rPr>
      </w:pPr>
      <w:r>
        <w:rPr>
          <w:rFonts w:ascii="仿宋_GB2312" w:eastAsia="仿宋_GB2312" w:cs="仿宋_GB2312" w:hint="eastAsia"/>
          <w:color w:val="000000"/>
          <w:sz w:val="32"/>
          <w:szCs w:val="32"/>
        </w:rPr>
        <w:t>16.农林水支出（213）巩固脱贫衔接乡村振兴（21305）其他巩固脱贫衔接乡村振兴支出（2130599）：反映除上述项目以外其他用于扶贫方面的支出。</w:t>
      </w:r>
    </w:p>
    <w:p>
      <w:pPr>
        <w:spacing w:line="600" w:lineRule="exact"/>
        <w:ind w:firstLine="640"/>
        <w:rPr>
          <w:rFonts w:ascii="仿宋_GB2312" w:eastAsia="仿宋_GB2312" w:cs="仿宋_GB2312"/>
          <w:color w:val="000000"/>
          <w:sz w:val="32"/>
          <w:szCs w:val="32"/>
        </w:rPr>
      </w:pPr>
      <w:r>
        <w:rPr>
          <w:rFonts w:ascii="仿宋_GB2312" w:eastAsia="仿宋_GB2312" w:cs="仿宋_GB2312" w:hint="eastAsia"/>
          <w:color w:val="000000"/>
          <w:sz w:val="32"/>
          <w:szCs w:val="32"/>
        </w:rPr>
        <w:t>17.农林水支出（213）普惠金融发展支出（21308）创业担保贷款贴息及奖补（2130804）：反映财政用于符合条件的人员从事微利项目创业担保贷款的贴息支出。</w:t>
      </w:r>
    </w:p>
    <w:p>
      <w:pPr>
        <w:spacing w:line="600" w:lineRule="exact"/>
        <w:ind w:firstLine="640"/>
        <w:rPr>
          <w:rFonts w:ascii="仿宋_GB2312" w:eastAsia="仿宋_GB2312" w:cs="仿宋_GB2312"/>
          <w:color w:val="000000"/>
          <w:sz w:val="32"/>
          <w:szCs w:val="32"/>
        </w:rPr>
      </w:pPr>
      <w:r>
        <w:rPr>
          <w:rFonts w:ascii="仿宋_GB2312" w:eastAsia="仿宋_GB2312" w:cs="仿宋_GB2312" w:hint="eastAsia"/>
          <w:color w:val="000000"/>
          <w:sz w:val="32"/>
          <w:szCs w:val="32"/>
        </w:rPr>
        <w:t>18.住房保障支出（221）住房改革支出（22102）住房公积金（2210201）：反映行政事业单位按人力资源和社会保障部、财政部规定的基本工资和津贴补贴以及规定比例为职工缴纳的住房公积金。</w:t>
      </w:r>
    </w:p>
    <w:p>
      <w:pPr>
        <w:spacing w:line="600" w:lineRule="exact"/>
        <w:ind w:firstLine="640"/>
        <w:rPr>
          <w:rFonts w:ascii="仿宋_GB2312" w:eastAsia="仿宋_GB2312" w:cs="仿宋_GB2312"/>
          <w:color w:val="000000"/>
          <w:sz w:val="32"/>
          <w:szCs w:val="32"/>
        </w:rPr>
      </w:pPr>
      <w:r>
        <w:rPr>
          <w:rFonts w:ascii="仿宋_GB2312" w:eastAsia="仿宋_GB2312" w:cs="仿宋_GB2312" w:hint="eastAsia"/>
          <w:color w:val="000000"/>
          <w:sz w:val="32"/>
          <w:szCs w:val="32"/>
        </w:rPr>
        <w:t>19.基本支出：指为保障机构正常运转、完成日常工作任务而发生的人员支出和公用支出。</w:t>
      </w:r>
    </w:p>
    <w:p>
      <w:pPr>
        <w:spacing w:line="600" w:lineRule="exact"/>
        <w:ind w:firstLine="640"/>
        <w:rPr>
          <w:rFonts w:ascii="仿宋_GB2312" w:eastAsia="仿宋_GB2312" w:cs="仿宋_GB2312"/>
          <w:color w:val="000000"/>
          <w:sz w:val="32"/>
          <w:szCs w:val="32"/>
        </w:rPr>
      </w:pPr>
      <w:r>
        <w:rPr>
          <w:rFonts w:ascii="仿宋_GB2312" w:eastAsia="仿宋_GB2312" w:cs="仿宋_GB2312" w:hint="eastAsia"/>
          <w:color w:val="000000"/>
          <w:sz w:val="32"/>
          <w:szCs w:val="32"/>
        </w:rPr>
        <w:t xml:space="preserve">25.项目支出：指在基本支出之外为完成特定行政任务和事业发展目标所发生的支出。 </w:t>
      </w:r>
    </w:p>
    <w:p>
      <w:pPr>
        <w:spacing w:line="600" w:lineRule="exact"/>
        <w:ind w:firstLine="640"/>
        <w:rPr>
          <w:rFonts w:ascii="仿宋_GB2312" w:eastAsia="仿宋_GB2312" w:cs="仿宋_GB2312"/>
          <w:color w:val="000000"/>
          <w:sz w:val="32"/>
          <w:szCs w:val="32"/>
        </w:rPr>
      </w:pPr>
      <w:r>
        <w:rPr>
          <w:rFonts w:ascii="仿宋_GB2312" w:eastAsia="仿宋_GB2312" w:cs="仿宋_GB2312" w:hint="eastAsia"/>
          <w:color w:val="000000"/>
          <w:sz w:val="32"/>
          <w:szCs w:val="32"/>
        </w:rPr>
        <w:t>20.经营支出：指事业单位在专业业务活动及其辅助活动之外开展非独立核算经营活动发生的支出。</w:t>
      </w:r>
    </w:p>
    <w:p>
      <w:pPr>
        <w:spacing w:line="600" w:lineRule="exact"/>
        <w:ind w:firstLine="640"/>
        <w:rPr>
          <w:rFonts w:ascii="仿宋_GB2312" w:eastAsia="仿宋_GB2312" w:cs="仿宋_GB2312"/>
          <w:color w:val="000000"/>
          <w:sz w:val="32"/>
          <w:szCs w:val="32"/>
        </w:rPr>
      </w:pPr>
      <w:r>
        <w:rPr>
          <w:rFonts w:ascii="仿宋_GB2312" w:eastAsia="仿宋_GB2312" w:cs="仿宋_GB2312" w:hint="eastAsia"/>
          <w:color w:val="000000"/>
          <w:sz w:val="32"/>
          <w:szCs w:val="32"/>
        </w:rPr>
        <w:t>21.“三公”经费：指部门用财政拨款安排的因公出国（境）费、公务用车购置及运行费和公务接待费。其中，因公出国（境）费反映单位公务出国（境）的国际旅费、国外城市间交通费、住宿费、伙食费、培训费、公杂费等支出；公务用车购置及运行费反映单位公务用车车辆购置支出（含车辆购置税）及租用费、燃料费、维修费、过路过桥费、保险费等支出；公务接待费反映单位按规定开支的各类公务接待（含外宾接待）支出。</w:t>
      </w:r>
    </w:p>
    <w:p>
      <w:pPr>
        <w:spacing w:line="600" w:lineRule="exact"/>
        <w:ind w:firstLine="640"/>
        <w:rPr>
          <w:rFonts w:ascii="仿宋_GB2312" w:eastAsia="仿宋_GB2312" w:cs="仿宋_GB2312"/>
          <w:color w:val="000000"/>
          <w:sz w:val="32"/>
          <w:szCs w:val="32"/>
        </w:rPr>
      </w:pPr>
      <w:r>
        <w:rPr>
          <w:rFonts w:ascii="仿宋_GB2312" w:eastAsia="仿宋_GB2312" w:cs="仿宋_GB2312" w:hint="eastAsia"/>
          <w:color w:val="000000"/>
          <w:sz w:val="32"/>
          <w:szCs w:val="32"/>
        </w:rPr>
        <w:t>22.机关运行经费：为保障行政单位（含参照公务员法管理的事业单位）运行用于购买货物和服务的各项资金，包括办公及印刷费、邮电费、差旅费、会议费、福利费、日常维修费、专用材料及一般设备购置费、办公用房水电费、办公用房取暖费、办公用房物业管理费、公务用车运行维护费以及其他费用。</w:t>
      </w:r>
    </w:p>
    <w:p>
      <w:pPr>
        <w:spacing w:line="600" w:lineRule="exact"/>
        <w:ind w:firstLine="640"/>
        <w:rPr>
          <w:rFonts w:ascii="仿宋_GB2312" w:eastAsia="仿宋_GB2312" w:cs="仿宋_GB2312"/>
          <w:color w:val="000000"/>
          <w:sz w:val="32"/>
          <w:szCs w:val="32"/>
        </w:rPr>
      </w:pPr>
      <w:r>
        <w:rPr>
          <w:rFonts w:ascii="仿宋_GB2312" w:eastAsia="仿宋_GB2312" w:cs="仿宋_GB2312" w:hint="eastAsia"/>
          <w:color w:val="000000"/>
          <w:sz w:val="32"/>
          <w:szCs w:val="32"/>
        </w:rPr>
        <w:t>23.财政应返还额度：为行政事业单位会计核算科目，用于核算实行国库集中支付的行政事业单位应收财政返还的资金额度。</w:t>
      </w:r>
    </w:p>
    <w:p>
      <w:pPr>
        <w:spacing w:line="600" w:lineRule="exact"/>
        <w:ind w:firstLine="640"/>
        <w:rPr>
          <w:rFonts w:ascii="仿宋_GB2312" w:eastAsia="仿宋_GB2312" w:cs="仿宋_GB2312"/>
          <w:color w:val="000000"/>
          <w:sz w:val="32"/>
          <w:szCs w:val="32"/>
        </w:rPr>
      </w:pPr>
      <w:r>
        <w:rPr>
          <w:rFonts w:ascii="仿宋_GB2312" w:eastAsia="仿宋_GB2312" w:cs="仿宋_GB2312" w:hint="eastAsia"/>
          <w:color w:val="000000"/>
          <w:sz w:val="32"/>
          <w:szCs w:val="32"/>
        </w:rPr>
        <w:br w:type="page"/>
      </w:r>
    </w:p>
    <w:p>
      <w:pPr>
        <w:pStyle w:val="25"/>
        <w:widowControl/>
        <w:spacing w:line="576" w:lineRule="exact"/>
        <w:jc w:val="center"/>
        <w:outlineLvl w:val="0"/>
        <w:rPr>
          <w:rFonts w:ascii="黑体" w:eastAsia="黑体"/>
          <w:color w:val="000000"/>
          <w:kern w:val="2"/>
          <w:sz w:val="44"/>
          <w:szCs w:val="44"/>
        </w:rPr>
      </w:pPr>
      <w:bookmarkStart w:id="56" w:name="_Toc7978"/>
      <w:bookmarkStart w:id="57" w:name="_Toc19088"/>
      <w:r>
        <w:rPr>
          <w:rFonts w:ascii="黑体" w:eastAsia="黑体" w:hint="eastAsia"/>
          <w:color w:val="000000"/>
          <w:kern w:val="2"/>
          <w:sz w:val="44"/>
          <w:szCs w:val="44"/>
        </w:rPr>
        <w:t>第四部分 附件</w:t>
      </w:r>
      <w:bookmarkEnd w:id="56"/>
      <w:bookmarkEnd w:id="57"/>
    </w:p>
    <w:p>
      <w:pPr>
        <w:spacing w:line="576" w:lineRule="exact"/>
        <w:jc w:val="left"/>
        <w:outlineLvl w:val="0"/>
        <w:rPr>
          <w:rFonts w:ascii="黑体" w:eastAsia="黑体" w:cs="黑体"/>
          <w:sz w:val="32"/>
          <w:szCs w:val="32"/>
        </w:rPr>
      </w:pPr>
      <w:bookmarkStart w:id="58" w:name="_Toc79163635"/>
      <w:bookmarkStart w:id="59" w:name="_Toc3397"/>
      <w:bookmarkStart w:id="60" w:name="_Toc111208512"/>
      <w:bookmarkStart w:id="61" w:name="_Toc79163885"/>
      <w:r>
        <w:rPr>
          <w:rFonts w:ascii="黑体" w:eastAsia="黑体" w:cs="黑体" w:hint="eastAsia"/>
          <w:sz w:val="32"/>
          <w:szCs w:val="32"/>
        </w:rPr>
        <w:t>附件1</w:t>
      </w:r>
    </w:p>
    <w:p>
      <w:pPr>
        <w:pStyle w:val="35"/>
        <w:spacing w:line="576" w:lineRule="exact"/>
        <w:rPr>
          <w:rFonts w:ascii="仿宋_GB2312" w:eastAsia="仿宋_GB2312"/>
          <w:sz w:val="32"/>
          <w:szCs w:val="32"/>
        </w:rPr>
      </w:pPr>
    </w:p>
    <w:p>
      <w:pPr>
        <w:spacing w:line="576" w:lineRule="exact"/>
        <w:ind w:firstLineChars="250" w:firstLine="1100"/>
        <w:rPr>
          <w:rFonts w:ascii="方正小标宋简体" w:eastAsia="方正小标宋简体"/>
          <w:sz w:val="44"/>
          <w:szCs w:val="44"/>
        </w:rPr>
      </w:pPr>
      <w:r>
        <w:rPr>
          <w:rFonts w:ascii="方正小标宋简体" w:eastAsia="方正小标宋简体" w:hint="eastAsia"/>
          <w:sz w:val="44"/>
          <w:szCs w:val="44"/>
        </w:rPr>
        <w:t>茂县公共就业和人才交流服务局</w:t>
      </w:r>
    </w:p>
    <w:p>
      <w:pPr>
        <w:spacing w:line="576" w:lineRule="exact"/>
        <w:ind w:firstLineChars="300" w:firstLine="1320"/>
        <w:rPr>
          <w:rFonts w:ascii="方正小标宋简体" w:eastAsia="方正小标宋简体"/>
          <w:sz w:val="44"/>
          <w:szCs w:val="44"/>
          <w:shd w:val="clear" w:color="auto" w:fill="FFFFFF"/>
        </w:rPr>
      </w:pPr>
      <w:r>
        <w:rPr>
          <w:rFonts w:ascii="方正小标宋简体" w:eastAsia="方正小标宋简体" w:hint="eastAsia"/>
          <w:sz w:val="44"/>
          <w:szCs w:val="44"/>
          <w:shd w:val="clear" w:color="auto" w:fill="FFFFFF"/>
        </w:rPr>
        <w:t>20</w:t>
      </w:r>
      <w:r>
        <w:rPr>
          <w:rFonts w:ascii="方正小标宋简体" w:eastAsia="方正小标宋简体"/>
          <w:sz w:val="44"/>
          <w:szCs w:val="44"/>
          <w:shd w:val="clear" w:color="auto" w:fill="FFFFFF"/>
        </w:rPr>
        <w:t>2</w:t>
      </w:r>
      <w:r>
        <w:rPr>
          <w:rFonts w:ascii="方正小标宋简体" w:eastAsia="方正小标宋简体" w:hint="eastAsia"/>
          <w:sz w:val="44"/>
          <w:szCs w:val="44"/>
          <w:shd w:val="clear" w:color="auto" w:fill="FFFFFF"/>
        </w:rPr>
        <w:t>2年部门整体支出绩效报告</w:t>
      </w:r>
    </w:p>
    <w:p>
      <w:pPr>
        <w:spacing w:line="576" w:lineRule="exact"/>
        <w:rPr>
          <w:rFonts w:ascii="方正小标宋简体" w:eastAsia="方正小标宋简体"/>
          <w:sz w:val="44"/>
          <w:szCs w:val="44"/>
        </w:rPr>
      </w:pPr>
    </w:p>
    <w:p>
      <w:pPr>
        <w:pStyle w:val="35"/>
        <w:spacing w:line="576" w:lineRule="exact"/>
        <w:ind w:firstLineChars="200" w:firstLine="640"/>
        <w:rPr>
          <w:rFonts w:ascii="黑体" w:eastAsia="黑体"/>
          <w:sz w:val="32"/>
          <w:szCs w:val="32"/>
        </w:rPr>
      </w:pPr>
      <w:r>
        <w:rPr>
          <w:rFonts w:ascii="黑体" w:eastAsia="黑体" w:hint="eastAsia"/>
          <w:sz w:val="32"/>
          <w:szCs w:val="32"/>
        </w:rPr>
        <w:t>一、单位概况</w:t>
      </w:r>
    </w:p>
    <w:p>
      <w:pPr>
        <w:pStyle w:val="35"/>
        <w:spacing w:line="576" w:lineRule="exact"/>
        <w:ind w:firstLineChars="200" w:firstLine="640"/>
        <w:rPr>
          <w:rFonts w:ascii="楷体_GB2312" w:eastAsia="楷体_GB2312"/>
          <w:b/>
          <w:sz w:val="32"/>
          <w:szCs w:val="32"/>
        </w:rPr>
      </w:pPr>
      <w:r>
        <w:rPr>
          <w:rFonts w:ascii="楷体_GB2312" w:eastAsia="楷体_GB2312" w:hint="eastAsia"/>
          <w:b/>
          <w:sz w:val="32"/>
          <w:szCs w:val="32"/>
        </w:rPr>
        <w:t>（一）机构组成</w:t>
      </w:r>
    </w:p>
    <w:p>
      <w:pPr>
        <w:spacing w:line="600" w:lineRule="exact"/>
        <w:ind w:firstLine="640"/>
        <w:rPr>
          <w:rFonts w:ascii="仿宋_GB2312" w:eastAsia="仿宋_GB2312" w:cs="仿宋_GB2312"/>
          <w:color w:val="000000"/>
          <w:sz w:val="32"/>
          <w:szCs w:val="32"/>
        </w:rPr>
      </w:pPr>
      <w:r>
        <w:rPr>
          <w:rFonts w:ascii="仿宋_GB2312" w:eastAsia="仿宋_GB2312" w:cs="仿宋_GB2312" w:hint="eastAsia"/>
          <w:color w:val="000000"/>
          <w:sz w:val="32"/>
          <w:szCs w:val="32"/>
        </w:rPr>
        <w:t>　</w:t>
      </w:r>
      <w:r>
        <w:rPr>
          <w:rFonts w:ascii="仿宋_GB2312" w:eastAsia="仿宋_GB2312" w:cs="仿宋_GB2312" w:hint="eastAsia"/>
          <w:color w:val="000000"/>
          <w:sz w:val="32"/>
          <w:szCs w:val="32"/>
        </w:rPr>
        <w:fldChar w:fldCharType="begin"/>
      </w:r>
      <w:r>
        <w:instrText>HYPERLINK "http://baike.so.com/doc/6291240.html"</w:instrText>
      </w:r>
      <w:r>
        <w:rPr>
          <w:rFonts w:ascii="仿宋_GB2312" w:eastAsia="仿宋_GB2312" w:cs="仿宋_GB2312" w:hint="eastAsia"/>
          <w:color w:val="000000"/>
          <w:sz w:val="32"/>
          <w:szCs w:val="32"/>
        </w:rPr>
        <w:fldChar w:fldCharType="separate"/>
      </w:r>
      <w:r>
        <w:rPr>
          <w:rFonts w:ascii="仿宋_GB2312" w:eastAsia="仿宋_GB2312" w:cs="仿宋_GB2312" w:hint="eastAsia"/>
          <w:color w:val="000000"/>
          <w:sz w:val="32"/>
          <w:szCs w:val="32"/>
        </w:rPr>
        <w:t>茂县</w:t>
      </w:r>
      <w:r>
        <w:rPr>
          <w:rFonts w:ascii="仿宋_GB2312" w:eastAsia="仿宋_GB2312" w:cs="仿宋_GB2312" w:hint="eastAsia"/>
          <w:color w:val="000000"/>
          <w:sz w:val="32"/>
          <w:szCs w:val="32"/>
        </w:rPr>
        <w:fldChar w:fldCharType="end"/>
      </w:r>
      <w:r>
        <w:rPr>
          <w:rFonts w:ascii="仿宋_GB2312" w:eastAsia="仿宋_GB2312" w:cs="仿宋_GB2312" w:hint="eastAsia"/>
          <w:color w:val="000000"/>
          <w:sz w:val="32"/>
          <w:szCs w:val="32"/>
        </w:rPr>
        <w:t>公共就业和人才交流服务局前身为“茂县就业服务管理局”，2014年7月经上级部门批准，更名为“茂县公共就业和人才交流服务局”，是县政府综合管理全县就业工作的</w:t>
      </w:r>
      <w:r>
        <w:rPr>
          <w:rFonts w:ascii="仿宋_GB2312" w:eastAsia="仿宋_GB2312" w:cs="仿宋_GB2312" w:hint="eastAsia"/>
          <w:color w:val="000000"/>
          <w:sz w:val="32"/>
          <w:szCs w:val="32"/>
        </w:rPr>
        <w:fldChar w:fldCharType="begin"/>
      </w:r>
      <w:r>
        <w:instrText>HYPERLINK "http://baike.so.com/doc/5536019.html"</w:instrText>
      </w:r>
      <w:r>
        <w:rPr>
          <w:rFonts w:ascii="仿宋_GB2312" w:eastAsia="仿宋_GB2312" w:cs="仿宋_GB2312" w:hint="eastAsia"/>
          <w:color w:val="000000"/>
          <w:sz w:val="32"/>
          <w:szCs w:val="32"/>
        </w:rPr>
        <w:fldChar w:fldCharType="separate"/>
      </w:r>
      <w:r>
        <w:rPr>
          <w:rFonts w:ascii="仿宋_GB2312" w:eastAsia="仿宋_GB2312" w:cs="仿宋_GB2312" w:hint="eastAsia"/>
          <w:color w:val="000000"/>
          <w:sz w:val="32"/>
          <w:szCs w:val="32"/>
        </w:rPr>
        <w:t>职能部门</w:t>
      </w:r>
      <w:r>
        <w:rPr>
          <w:rFonts w:ascii="仿宋_GB2312" w:eastAsia="仿宋_GB2312" w:cs="仿宋_GB2312" w:hint="eastAsia"/>
          <w:color w:val="000000"/>
          <w:sz w:val="32"/>
          <w:szCs w:val="32"/>
        </w:rPr>
        <w:fldChar w:fldCharType="end"/>
      </w:r>
      <w:r>
        <w:rPr>
          <w:rFonts w:ascii="仿宋_GB2312" w:eastAsia="仿宋_GB2312" w:cs="仿宋_GB2312" w:hint="eastAsia"/>
          <w:color w:val="000000"/>
          <w:sz w:val="32"/>
          <w:szCs w:val="32"/>
        </w:rPr>
        <w:t>，承担</w:t>
      </w:r>
      <w:r>
        <w:rPr>
          <w:rFonts w:ascii="仿宋_GB2312" w:eastAsia="仿宋_GB2312" w:cs="仿宋_GB2312" w:hint="eastAsia"/>
          <w:color w:val="000000"/>
          <w:sz w:val="32"/>
          <w:szCs w:val="32"/>
        </w:rPr>
        <w:fldChar w:fldCharType="begin"/>
      </w:r>
      <w:r>
        <w:instrText>HYPERLINK "http://baike.so.com/doc/271223.html"</w:instrText>
      </w:r>
      <w:r>
        <w:rPr>
          <w:rFonts w:ascii="仿宋_GB2312" w:eastAsia="仿宋_GB2312" w:cs="仿宋_GB2312" w:hint="eastAsia"/>
          <w:color w:val="000000"/>
          <w:sz w:val="32"/>
          <w:szCs w:val="32"/>
        </w:rPr>
        <w:fldChar w:fldCharType="separate"/>
      </w:r>
      <w:r>
        <w:rPr>
          <w:rFonts w:ascii="仿宋_GB2312" w:eastAsia="仿宋_GB2312" w:cs="仿宋_GB2312" w:hint="eastAsia"/>
          <w:color w:val="000000"/>
          <w:sz w:val="32"/>
          <w:szCs w:val="32"/>
        </w:rPr>
        <w:t>政府职能</w:t>
      </w:r>
      <w:r>
        <w:rPr>
          <w:rFonts w:ascii="仿宋_GB2312" w:eastAsia="仿宋_GB2312" w:cs="仿宋_GB2312" w:hint="eastAsia"/>
          <w:color w:val="000000"/>
          <w:sz w:val="32"/>
          <w:szCs w:val="32"/>
        </w:rPr>
        <w:fldChar w:fldCharType="end"/>
      </w:r>
      <w:r>
        <w:rPr>
          <w:rFonts w:ascii="仿宋_GB2312" w:eastAsia="仿宋_GB2312" w:cs="仿宋_GB2312" w:hint="eastAsia"/>
          <w:color w:val="000000"/>
          <w:sz w:val="32"/>
          <w:szCs w:val="32"/>
        </w:rPr>
        <w:t>的管理机构，为副科级财政全额拨款的（参公）事业单位，归口县人力资源和社会保障局管理。</w:t>
      </w:r>
    </w:p>
    <w:p>
      <w:pPr>
        <w:spacing w:line="600" w:lineRule="exact"/>
        <w:ind w:firstLine="640"/>
        <w:rPr>
          <w:rFonts w:ascii="仿宋_GB2312" w:eastAsia="仿宋_GB2312" w:cs="仿宋_GB2312"/>
          <w:color w:val="000000"/>
          <w:sz w:val="32"/>
          <w:szCs w:val="32"/>
        </w:rPr>
      </w:pPr>
      <w:r>
        <w:rPr>
          <w:rFonts w:ascii="仿宋_GB2312" w:eastAsia="仿宋_GB2312" w:cs="仿宋_GB2312" w:hint="eastAsia"/>
          <w:color w:val="000000"/>
          <w:sz w:val="32"/>
          <w:szCs w:val="32"/>
        </w:rPr>
        <w:t>我局主要负责全县职业介绍、就业和创业培训、创业服务、公益性岗位开发、小额担保贷款、困难群体就业援助、社区劳动保障平台建设与管理工作。全局编制19人。内设办公室、职业指导股、就业培训股、劳务开发股、失业保险股等。</w:t>
      </w:r>
    </w:p>
    <w:p>
      <w:pPr>
        <w:spacing w:line="576" w:lineRule="exact"/>
        <w:ind w:firstLineChars="200" w:firstLine="640"/>
        <w:rPr>
          <w:rFonts w:ascii="楷体_GB2312" w:eastAsia="楷体_GB2312"/>
          <w:b/>
          <w:sz w:val="32"/>
          <w:szCs w:val="32"/>
        </w:rPr>
      </w:pPr>
      <w:r>
        <w:rPr>
          <w:rFonts w:ascii="楷体_GB2312" w:eastAsia="楷体_GB2312" w:hint="eastAsia"/>
          <w:b/>
          <w:sz w:val="32"/>
          <w:szCs w:val="32"/>
        </w:rPr>
        <w:t>（二）</w:t>
      </w:r>
      <w:r>
        <w:rPr>
          <w:rFonts w:ascii="楷体_GB2312" w:eastAsia="楷体_GB2312" w:hint="eastAsia"/>
          <w:b/>
          <w:sz w:val="32"/>
          <w:szCs w:val="32"/>
          <w:lang w:val="zh-CN"/>
        </w:rPr>
        <w:t>机构职能和人员概况</w:t>
      </w:r>
    </w:p>
    <w:p>
      <w:pPr>
        <w:spacing w:line="600" w:lineRule="exact"/>
        <w:ind w:firstLine="640"/>
        <w:rPr>
          <w:rFonts w:ascii="仿宋_GB2312" w:eastAsia="仿宋_GB2312" w:cs="仿宋_GB2312"/>
          <w:color w:val="000000"/>
          <w:sz w:val="32"/>
          <w:szCs w:val="32"/>
        </w:rPr>
      </w:pPr>
      <w:r>
        <w:rPr>
          <w:rFonts w:ascii="仿宋_GB2312" w:eastAsia="仿宋_GB2312" w:cs="仿宋_GB2312" w:hint="eastAsia"/>
          <w:color w:val="000000"/>
          <w:sz w:val="32"/>
          <w:szCs w:val="32"/>
        </w:rPr>
        <w:t>全面贯彻落实党和政府促进就业创业的方针政策及各项扶持政策，为城乡劳动者提供就业政策法规咨询，职业供求信息以及职业培训信息发布，职业指导和职业介绍。免费为城乡劳动者开展就业培训、创业培训、农村劳动力技能培训等职业技能培训。</w:t>
      </w:r>
    </w:p>
    <w:p>
      <w:pPr>
        <w:spacing w:line="600" w:lineRule="exact"/>
        <w:ind w:firstLine="640"/>
        <w:rPr>
          <w:rFonts w:ascii="仿宋_GB2312" w:eastAsia="仿宋_GB2312" w:cs="仿宋_GB2312"/>
          <w:color w:val="000000"/>
          <w:sz w:val="32"/>
          <w:szCs w:val="32"/>
        </w:rPr>
      </w:pPr>
      <w:r>
        <w:rPr>
          <w:rFonts w:ascii="仿宋_GB2312" w:eastAsia="仿宋_GB2312" w:cs="仿宋_GB2312" w:hint="eastAsia"/>
          <w:color w:val="000000"/>
          <w:sz w:val="32"/>
          <w:szCs w:val="32"/>
        </w:rPr>
        <w:t>我局为一级预算财政全额拨款参公单位，核定编制人数为19名（参公13人，事业6人）。单位现设局长1名、副局长2名。实有人数19人，其中：参公12人，事业6人，参公工勤1人。</w:t>
      </w:r>
    </w:p>
    <w:p>
      <w:pPr>
        <w:spacing w:line="576" w:lineRule="exact"/>
        <w:ind w:firstLineChars="200" w:firstLine="640"/>
        <w:rPr>
          <w:rFonts w:ascii="楷体_GB2312" w:eastAsia="楷体_GB2312"/>
          <w:b/>
          <w:sz w:val="32"/>
          <w:szCs w:val="32"/>
          <w:lang w:val="zh-CN"/>
        </w:rPr>
      </w:pPr>
      <w:r>
        <w:rPr>
          <w:rFonts w:ascii="楷体_GB2312" w:eastAsia="楷体_GB2312" w:hint="eastAsia"/>
          <w:b/>
          <w:sz w:val="32"/>
          <w:szCs w:val="32"/>
          <w:lang w:val="zh-CN"/>
        </w:rPr>
        <w:t>（</w:t>
      </w:r>
      <w:r>
        <w:rPr>
          <w:rFonts w:ascii="楷体_GB2312" w:eastAsia="楷体_GB2312" w:hint="eastAsia"/>
          <w:b/>
          <w:sz w:val="32"/>
          <w:szCs w:val="32"/>
        </w:rPr>
        <w:t>三</w:t>
      </w:r>
      <w:r>
        <w:rPr>
          <w:rFonts w:ascii="楷体_GB2312" w:eastAsia="楷体_GB2312" w:hint="eastAsia"/>
          <w:b/>
          <w:sz w:val="32"/>
          <w:szCs w:val="32"/>
          <w:lang w:val="zh-CN"/>
        </w:rPr>
        <w:t>）年度主要工作任务</w:t>
      </w:r>
    </w:p>
    <w:p>
      <w:pPr>
        <w:spacing w:line="576" w:lineRule="exact"/>
        <w:ind w:firstLine="640"/>
        <w:rPr>
          <w:rFonts w:ascii="仿宋_GB2312" w:eastAsia="仿宋_GB2312" w:cs="宋体"/>
          <w:color w:val="000000"/>
          <w:kern w:val="0"/>
          <w:sz w:val="32"/>
          <w:szCs w:val="32"/>
          <w:shd w:val="clear" w:color="auto" w:fill="FFFFFF"/>
          <w:lang w:val="zh-CN"/>
        </w:rPr>
      </w:pPr>
      <w:r>
        <w:rPr>
          <w:rFonts w:ascii="仿宋_GB2312" w:eastAsia="仿宋_GB2312" w:cs="仿宋_GB2312" w:hint="eastAsia"/>
          <w:color w:val="000000"/>
          <w:sz w:val="32"/>
          <w:szCs w:val="32"/>
        </w:rPr>
        <w:t>发挥县人力资源市场公共职业介绍机构的主导职能和对其他非公共职业中介机构的指导作用，免费为各类城乡求职者提供求职登记、职业介绍。以创业带动就业，全面落实小额担保贷款贴息、社保补贴等扶持政策，促使各类失业人员通过从事个体经营、自谋职业、灵活就业、创办企业带动和吸纳就业。做好未就业高校毕业生参加就业见习和自主创业工作，落实好高校毕业生创业补贴政策。按照中央关于推动家庭服务业发展促进就业的方针政策，落实各项扶持政策，促进和带动更多的城乡劳动者通过从事家庭服务业实现就业，大力开发公益性岗位，落实岗位补贴及社保补贴。加强对“零就业家庭”成员的就业援助工作。促进有劳动能力、有就业愿望的所有劳动者实现充分就业。对就业困难人员实施就业援助，办理就业、失业登记等各项公共就业服务。</w:t>
      </w:r>
    </w:p>
    <w:p>
      <w:pPr>
        <w:spacing w:line="576" w:lineRule="exact"/>
        <w:ind w:firstLineChars="200" w:firstLine="640"/>
        <w:rPr>
          <w:rFonts w:ascii="楷体_GB2312" w:eastAsia="楷体_GB2312"/>
          <w:b/>
          <w:sz w:val="32"/>
          <w:szCs w:val="32"/>
          <w:lang w:val="zh-CN"/>
        </w:rPr>
      </w:pPr>
      <w:r>
        <w:rPr>
          <w:rFonts w:ascii="楷体_GB2312" w:eastAsia="楷体_GB2312" w:hint="eastAsia"/>
          <w:b/>
          <w:sz w:val="32"/>
          <w:szCs w:val="32"/>
          <w:lang w:val="zh-CN"/>
        </w:rPr>
        <w:t>（四）部门整体支出绩效目标</w:t>
      </w:r>
    </w:p>
    <w:p>
      <w:pPr>
        <w:spacing w:line="576" w:lineRule="exact"/>
        <w:ind w:firstLineChars="200" w:firstLine="640"/>
        <w:rPr>
          <w:rFonts w:ascii="仿宋_GB2312" w:eastAsia="仿宋_GB2312"/>
          <w:sz w:val="32"/>
          <w:szCs w:val="32"/>
          <w:shd w:val="clear" w:color="auto" w:fill="FFFFFF"/>
        </w:rPr>
      </w:pPr>
      <w:r>
        <w:rPr>
          <w:rFonts w:ascii="仿宋_GB2312" w:eastAsia="仿宋_GB2312" w:hint="eastAsia"/>
          <w:color w:val="000000"/>
          <w:sz w:val="32"/>
          <w:szCs w:val="32"/>
        </w:rPr>
        <w:t>认真贯彻落实</w:t>
      </w:r>
      <w:r>
        <w:rPr>
          <w:rFonts w:ascii="仿宋_GB2312" w:eastAsia="仿宋_GB2312" w:cs="仿宋_GB2312" w:hint="eastAsia"/>
          <w:color w:val="000000"/>
          <w:kern w:val="0"/>
          <w:sz w:val="32"/>
          <w:szCs w:val="32"/>
        </w:rPr>
        <w:t>就业创业各项政策，</w:t>
      </w:r>
      <w:r>
        <w:rPr>
          <w:rFonts w:ascii="仿宋_GB2312" w:eastAsia="仿宋_GB2312" w:hint="eastAsia"/>
          <w:color w:val="000000"/>
          <w:sz w:val="32"/>
          <w:szCs w:val="32"/>
        </w:rPr>
        <w:t>通过实施“春风行动”、“公共就业服务进校园”、开展线上、线下招聘会</w:t>
      </w:r>
      <w:r>
        <w:rPr>
          <w:rFonts w:ascii="仿宋_GB2312" w:eastAsia="仿宋_GB2312" w:cs="仿宋_GB2312" w:hint="eastAsia"/>
          <w:color w:val="000000"/>
          <w:kern w:val="0"/>
          <w:sz w:val="32"/>
          <w:szCs w:val="32"/>
        </w:rPr>
        <w:t>、转发、</w:t>
      </w:r>
      <w:r>
        <w:rPr>
          <w:rFonts w:ascii="仿宋_GB2312" w:eastAsia="仿宋_GB2312" w:hint="eastAsia"/>
          <w:color w:val="000000"/>
          <w:sz w:val="32"/>
          <w:szCs w:val="32"/>
        </w:rPr>
        <w:t>张贴及发放相关宣传资料等方式，</w:t>
      </w:r>
      <w:r>
        <w:rPr>
          <w:rFonts w:ascii="仿宋_GB2312" w:eastAsia="仿宋_GB2312" w:cs="仿宋_GB2312" w:hint="eastAsia"/>
          <w:sz w:val="32"/>
          <w:szCs w:val="32"/>
        </w:rPr>
        <w:t>推荐360家企业11200个岗位。积极开展各类创业就业培训，启动“羌山果匠”，培育“一县一品”，打造就业“金字招牌”。</w:t>
      </w:r>
      <w:r>
        <w:rPr>
          <w:rFonts w:ascii="仿宋_GB2312" w:eastAsia="仿宋_GB2312" w:hint="eastAsia"/>
          <w:color w:val="000000"/>
          <w:sz w:val="32"/>
          <w:szCs w:val="32"/>
        </w:rPr>
        <w:t>2022年全县城镇新增就业880人、城镇失业人员再就业75人、就业困难人员再就业10人、劳务品牌培训300人、均完成目标任务100%；城镇登记失业率3.74%，控制在3.9%以内；全县青年见习86人，完成目标任务245.14%；全县劳务转移20552人次，完成年度目标102.1%；实现劳务收入6.0亿元，完成年度目标任务5.95亿元的100.8%；申请返乡创业担保贷款265万元，完成目标任务101.92%。</w:t>
      </w:r>
      <w:r>
        <w:rPr>
          <w:rFonts w:ascii="仿宋_GB2312" w:eastAsia="仿宋_GB2312" w:cs="仿宋_GB2312" w:hint="eastAsia"/>
          <w:sz w:val="32"/>
          <w:szCs w:val="32"/>
          <w:lang w:val="zh-CN"/>
        </w:rPr>
        <w:t>全年实现</w:t>
      </w:r>
      <w:r>
        <w:rPr>
          <w:rFonts w:ascii="仿宋_GB2312" w:eastAsia="仿宋_GB2312" w:cs="仿宋_GB2312" w:hint="eastAsia"/>
          <w:sz w:val="32"/>
          <w:szCs w:val="32"/>
        </w:rPr>
        <w:t>脱</w:t>
      </w:r>
      <w:r>
        <w:rPr>
          <w:rFonts w:ascii="仿宋_GB2312" w:eastAsia="仿宋_GB2312" w:cs="仿宋" w:hint="eastAsia"/>
          <w:color w:val="000000"/>
          <w:sz w:val="32"/>
          <w:szCs w:val="32"/>
        </w:rPr>
        <w:t>贫劳动力转移就业3518人，建立茂县来料加工车间，形成“1+N”来料加工模式，吸纳劳动力50余人。</w:t>
      </w:r>
      <w:r>
        <w:rPr>
          <w:color w:val="333333"/>
          <w:sz w:val="32"/>
          <w:szCs w:val="32"/>
          <w:shd w:val="clear" w:color="auto" w:fill="FFFFFF"/>
        </w:rPr>
        <w:t> </w:t>
      </w:r>
    </w:p>
    <w:p>
      <w:pPr>
        <w:spacing w:line="576" w:lineRule="exact"/>
        <w:ind w:firstLineChars="200" w:firstLine="640"/>
        <w:rPr>
          <w:rFonts w:ascii="黑体" w:eastAsia="黑体" w:cs="宋体"/>
          <w:kern w:val="0"/>
          <w:sz w:val="32"/>
          <w:szCs w:val="32"/>
          <w:shd w:val="clear" w:color="auto" w:fill="FFFFFF"/>
        </w:rPr>
      </w:pPr>
      <w:r>
        <w:rPr>
          <w:rFonts w:ascii="黑体" w:eastAsia="黑体" w:cs="宋体" w:hint="eastAsia"/>
          <w:kern w:val="0"/>
          <w:sz w:val="32"/>
          <w:szCs w:val="32"/>
          <w:shd w:val="clear" w:color="auto" w:fill="FFFFFF"/>
        </w:rPr>
        <w:t>二、部门财政资金收支情况</w:t>
      </w:r>
    </w:p>
    <w:p>
      <w:pPr>
        <w:widowControl/>
        <w:adjustRightInd w:val="0"/>
        <w:snapToGrid w:val="0"/>
        <w:spacing w:line="540" w:lineRule="exact"/>
        <w:ind w:firstLine="720"/>
        <w:jc w:val="left"/>
        <w:rPr>
          <w:rFonts w:ascii="楷体_GB2312" w:eastAsia="楷体_GB2312" w:cs="宋体"/>
          <w:b/>
          <w:kern w:val="0"/>
          <w:sz w:val="32"/>
          <w:szCs w:val="32"/>
          <w:shd w:val="clear" w:color="auto" w:fill="FFFFFF"/>
          <w:lang w:val="zh-CN"/>
        </w:rPr>
      </w:pPr>
      <w:r>
        <w:rPr>
          <w:rFonts w:ascii="楷体_GB2312" w:eastAsia="楷体_GB2312" w:cs="宋体" w:hint="eastAsia"/>
          <w:b/>
          <w:kern w:val="0"/>
          <w:sz w:val="32"/>
          <w:szCs w:val="32"/>
          <w:shd w:val="clear" w:color="auto" w:fill="FFFFFF"/>
          <w:lang w:val="zh-CN"/>
        </w:rPr>
        <w:t>（一）部门财政资金收入情况</w:t>
      </w:r>
    </w:p>
    <w:p>
      <w:pPr>
        <w:snapToGrid w:val="0"/>
        <w:spacing w:line="576" w:lineRule="exact"/>
        <w:ind w:firstLineChars="200" w:firstLine="640"/>
        <w:rPr>
          <w:rFonts w:ascii="仿宋_GB2312" w:eastAsia="仿宋_GB2312"/>
          <w:sz w:val="32"/>
          <w:szCs w:val="32"/>
        </w:rPr>
      </w:pPr>
      <w:r>
        <w:rPr>
          <w:rFonts w:ascii="仿宋_GB2312" w:eastAsia="仿宋_GB2312" w:cs="宋体" w:hint="eastAsia"/>
          <w:kern w:val="0"/>
          <w:sz w:val="32"/>
          <w:szCs w:val="32"/>
          <w:shd w:val="clear" w:color="auto" w:fill="FFFFFF"/>
        </w:rPr>
        <w:t>（1）20</w:t>
      </w:r>
      <w:r>
        <w:rPr>
          <w:rFonts w:ascii="仿宋_GB2312" w:eastAsia="仿宋_GB2312" w:cs="宋体"/>
          <w:kern w:val="0"/>
          <w:sz w:val="32"/>
          <w:szCs w:val="32"/>
          <w:shd w:val="clear" w:color="auto" w:fill="FFFFFF"/>
        </w:rPr>
        <w:t>2</w:t>
      </w:r>
      <w:r>
        <w:rPr>
          <w:rFonts w:ascii="仿宋_GB2312" w:eastAsia="仿宋_GB2312" w:cs="宋体" w:hint="eastAsia"/>
          <w:kern w:val="0"/>
          <w:sz w:val="32"/>
          <w:szCs w:val="32"/>
          <w:shd w:val="clear" w:color="auto" w:fill="FFFFFF"/>
        </w:rPr>
        <w:t>2</w:t>
      </w:r>
      <w:r>
        <w:rPr>
          <w:rFonts w:ascii="仿宋_GB2312" w:eastAsia="仿宋_GB2312" w:cs="宋体" w:hint="eastAsia"/>
          <w:bCs/>
          <w:kern w:val="0"/>
          <w:sz w:val="32"/>
          <w:szCs w:val="32"/>
          <w:shd w:val="clear" w:color="auto" w:fill="FFFFFF"/>
        </w:rPr>
        <w:t>年</w:t>
      </w:r>
      <w:r>
        <w:rPr>
          <w:rFonts w:ascii="仿宋_GB2312" w:eastAsia="仿宋_GB2312" w:hint="eastAsia"/>
          <w:sz w:val="32"/>
          <w:szCs w:val="32"/>
        </w:rPr>
        <w:t>单位财政资金收入共计</w:t>
      </w:r>
      <w:r>
        <w:rPr>
          <w:rFonts w:ascii="仿宋_GB2312" w:eastAsia="仿宋_GB2312" w:cs="宋体" w:hint="eastAsia"/>
          <w:kern w:val="0"/>
          <w:sz w:val="32"/>
          <w:szCs w:val="32"/>
        </w:rPr>
        <w:t>17250611.68</w:t>
      </w:r>
      <w:r>
        <w:rPr>
          <w:rFonts w:ascii="仿宋_GB2312" w:eastAsia="仿宋_GB2312" w:hint="eastAsia"/>
          <w:sz w:val="32"/>
          <w:szCs w:val="32"/>
        </w:rPr>
        <w:t>元，均为一般公共预算财政拨款收入，单位无上级补助收入、事业收入、经营收入等其他性质的经费收入。</w:t>
      </w:r>
    </w:p>
    <w:p>
      <w:pPr>
        <w:widowControl/>
        <w:adjustRightInd w:val="0"/>
        <w:snapToGrid w:val="0"/>
        <w:spacing w:line="540" w:lineRule="exact"/>
        <w:ind w:firstLine="720"/>
        <w:jc w:val="left"/>
        <w:rPr>
          <w:rFonts w:ascii="楷体_GB2312" w:eastAsia="楷体_GB2312" w:cs="宋体"/>
          <w:b/>
          <w:kern w:val="0"/>
          <w:sz w:val="32"/>
          <w:szCs w:val="32"/>
          <w:shd w:val="clear" w:color="auto" w:fill="FFFFFF"/>
          <w:lang w:val="zh-CN"/>
        </w:rPr>
      </w:pPr>
      <w:r>
        <w:rPr>
          <w:rFonts w:ascii="楷体_GB2312" w:eastAsia="楷体_GB2312" w:cs="宋体" w:hint="eastAsia"/>
          <w:b/>
          <w:kern w:val="0"/>
          <w:sz w:val="32"/>
          <w:szCs w:val="32"/>
          <w:shd w:val="clear" w:color="auto" w:fill="FFFFFF"/>
          <w:lang w:val="zh-CN"/>
        </w:rPr>
        <w:t>（二）部门财政资金支出情况</w:t>
      </w:r>
    </w:p>
    <w:p>
      <w:pPr>
        <w:widowControl/>
        <w:adjustRightInd w:val="0"/>
        <w:snapToGrid w:val="0"/>
        <w:spacing w:line="576" w:lineRule="exact"/>
        <w:ind w:firstLineChars="200" w:firstLine="640"/>
        <w:rPr>
          <w:rFonts w:ascii="仿宋_GB2312" w:cs="宋体" w:hAnsi="仿宋_GB2312"/>
          <w:kern w:val="0"/>
          <w:szCs w:val="32"/>
          <w:shd w:val="clear" w:color="auto" w:fill="FFFFFF"/>
          <w:lang w:val="zh-CN"/>
        </w:rPr>
      </w:pPr>
      <w:r>
        <w:rPr>
          <w:rFonts w:ascii="仿宋_GB2312" w:eastAsia="仿宋_GB2312" w:cs="宋体" w:hint="eastAsia"/>
          <w:kern w:val="0"/>
          <w:sz w:val="32"/>
          <w:szCs w:val="32"/>
          <w:shd w:val="clear" w:color="auto" w:fill="FFFFFF"/>
          <w:lang w:val="zh-CN"/>
        </w:rPr>
        <w:t>（1）20</w:t>
      </w:r>
      <w:r>
        <w:rPr>
          <w:rFonts w:ascii="仿宋_GB2312" w:eastAsia="仿宋_GB2312" w:cs="宋体" w:hint="eastAsia"/>
          <w:kern w:val="0"/>
          <w:sz w:val="32"/>
          <w:szCs w:val="32"/>
          <w:shd w:val="clear" w:color="auto" w:fill="FFFFFF"/>
        </w:rPr>
        <w:t>22</w:t>
      </w:r>
      <w:r>
        <w:rPr>
          <w:rFonts w:ascii="仿宋_GB2312" w:eastAsia="仿宋_GB2312" w:cs="宋体" w:hint="eastAsia"/>
          <w:kern w:val="0"/>
          <w:sz w:val="32"/>
          <w:szCs w:val="32"/>
          <w:shd w:val="clear" w:color="auto" w:fill="FFFFFF"/>
          <w:lang w:val="zh-CN"/>
        </w:rPr>
        <w:t>年我单位财政总</w:t>
      </w:r>
      <w:r>
        <w:rPr>
          <w:rFonts w:ascii="仿宋_GB2312" w:eastAsia="仿宋_GB2312" w:cs="仿宋" w:hint="eastAsia"/>
          <w:kern w:val="0"/>
          <w:sz w:val="32"/>
          <w:szCs w:val="32"/>
        </w:rPr>
        <w:t>支出总额为</w:t>
      </w:r>
      <w:r>
        <w:rPr>
          <w:rFonts w:ascii="仿宋_GB2312" w:eastAsia="仿宋_GB2312" w:cs="宋体" w:hint="eastAsia"/>
          <w:kern w:val="0"/>
          <w:sz w:val="32"/>
          <w:szCs w:val="32"/>
        </w:rPr>
        <w:t>17250611.68</w:t>
      </w:r>
      <w:r>
        <w:rPr>
          <w:rFonts w:ascii="仿宋_GB2312" w:eastAsia="仿宋_GB2312" w:cs="仿宋" w:hint="eastAsia"/>
          <w:kern w:val="0"/>
          <w:sz w:val="32"/>
          <w:szCs w:val="32"/>
        </w:rPr>
        <w:t>元，其中：当年财政基本支出2995056.78元，项目支出14255554.9。按功能分：社会保障和就业支</w:t>
      </w:r>
      <w:r>
        <w:rPr>
          <w:rFonts w:ascii="仿宋_GB2312" w:eastAsia="仿宋_GB2312" w:hint="eastAsia"/>
          <w:sz w:val="32"/>
          <w:szCs w:val="32"/>
        </w:rPr>
        <w:t>15692745.02</w:t>
      </w:r>
      <w:r>
        <w:rPr>
          <w:rFonts w:ascii="仿宋_GB2312" w:eastAsia="仿宋_GB2312" w:cs="仿宋" w:hint="eastAsia"/>
          <w:kern w:val="0"/>
          <w:sz w:val="32"/>
          <w:szCs w:val="32"/>
        </w:rPr>
        <w:t>元，医疗卫生与计划生育支出</w:t>
      </w:r>
      <w:r>
        <w:rPr>
          <w:rFonts w:ascii="仿宋_GB2312" w:eastAsia="仿宋_GB2312" w:hint="eastAsia"/>
          <w:sz w:val="32"/>
          <w:szCs w:val="32"/>
        </w:rPr>
        <w:t>144854.76</w:t>
      </w:r>
      <w:r>
        <w:rPr>
          <w:rFonts w:ascii="仿宋_GB2312" w:eastAsia="仿宋_GB2312" w:cs="仿宋" w:hint="eastAsia"/>
          <w:kern w:val="0"/>
          <w:sz w:val="32"/>
          <w:szCs w:val="32"/>
        </w:rPr>
        <w:t>元，农林水事务支出</w:t>
      </w:r>
      <w:r>
        <w:rPr>
          <w:rFonts w:ascii="仿宋_GB2312" w:eastAsia="仿宋_GB2312" w:hint="eastAsia"/>
          <w:sz w:val="32"/>
          <w:szCs w:val="32"/>
        </w:rPr>
        <w:t>1215554.9</w:t>
      </w:r>
      <w:r>
        <w:rPr>
          <w:rFonts w:ascii="仿宋_GB2312" w:eastAsia="仿宋_GB2312" w:cs="仿宋" w:hint="eastAsia"/>
          <w:kern w:val="0"/>
          <w:sz w:val="32"/>
          <w:szCs w:val="32"/>
        </w:rPr>
        <w:t>元，住房保障支出</w:t>
      </w:r>
      <w:r>
        <w:rPr>
          <w:rFonts w:ascii="仿宋_GB2312" w:eastAsia="仿宋_GB2312" w:hint="eastAsia"/>
          <w:sz w:val="32"/>
          <w:szCs w:val="32"/>
        </w:rPr>
        <w:t>197457</w:t>
      </w:r>
      <w:r>
        <w:rPr>
          <w:rFonts w:ascii="仿宋_GB2312" w:eastAsia="仿宋_GB2312" w:cs="仿宋" w:hint="eastAsia"/>
          <w:kern w:val="0"/>
          <w:sz w:val="32"/>
          <w:szCs w:val="32"/>
        </w:rPr>
        <w:t>元。</w:t>
      </w:r>
      <w:r>
        <w:rPr>
          <w:rFonts w:ascii="仿宋_GB2312" w:cs="宋体" w:hAnsi="仿宋_GB2312" w:hint="eastAsia"/>
          <w:kern w:val="0"/>
          <w:szCs w:val="32"/>
          <w:shd w:val="clear" w:color="auto" w:fill="FFFFFF"/>
          <w:lang w:val="zh-CN"/>
        </w:rPr>
        <w:t xml:space="preserve"> </w:t>
      </w:r>
    </w:p>
    <w:p>
      <w:pPr>
        <w:widowControl/>
        <w:adjustRightInd w:val="0"/>
        <w:snapToGrid w:val="0"/>
        <w:spacing w:line="540" w:lineRule="exact"/>
        <w:ind w:firstLine="720"/>
        <w:jc w:val="left"/>
        <w:rPr>
          <w:rFonts w:ascii="楷体_GB2312" w:eastAsia="楷体_GB2312" w:cs="宋体"/>
          <w:b/>
          <w:kern w:val="0"/>
          <w:sz w:val="32"/>
          <w:szCs w:val="32"/>
          <w:shd w:val="clear" w:color="auto" w:fill="FFFFFF"/>
          <w:lang w:val="zh-CN"/>
        </w:rPr>
      </w:pPr>
      <w:r>
        <w:rPr>
          <w:rFonts w:ascii="楷体_GB2312" w:eastAsia="楷体_GB2312" w:cs="宋体" w:hint="eastAsia"/>
          <w:b/>
          <w:kern w:val="0"/>
          <w:sz w:val="32"/>
          <w:szCs w:val="32"/>
          <w:shd w:val="clear" w:color="auto" w:fill="FFFFFF"/>
          <w:lang w:val="zh-CN"/>
        </w:rPr>
        <w:t>（三）部门财政资金收支结转情况</w:t>
      </w:r>
    </w:p>
    <w:p>
      <w:pPr>
        <w:widowControl/>
        <w:adjustRightInd w:val="0"/>
        <w:snapToGrid w:val="0"/>
        <w:spacing w:line="540" w:lineRule="exact"/>
        <w:ind w:firstLine="720"/>
        <w:jc w:val="left"/>
        <w:rPr>
          <w:rFonts w:ascii="仿宋_GB2312" w:eastAsia="仿宋_GB2312"/>
          <w:sz w:val="32"/>
          <w:szCs w:val="32"/>
        </w:rPr>
      </w:pPr>
      <w:r>
        <w:rPr>
          <w:rFonts w:ascii="仿宋_GB2312" w:eastAsia="仿宋_GB2312" w:cs="宋体" w:hint="eastAsia"/>
          <w:kern w:val="0"/>
          <w:sz w:val="32"/>
          <w:szCs w:val="32"/>
          <w:shd w:val="clear" w:color="auto" w:fill="FFFFFF"/>
        </w:rPr>
        <w:t>20</w:t>
      </w:r>
      <w:r>
        <w:rPr>
          <w:rFonts w:ascii="仿宋_GB2312" w:eastAsia="仿宋_GB2312" w:cs="宋体"/>
          <w:kern w:val="0"/>
          <w:sz w:val="32"/>
          <w:szCs w:val="32"/>
          <w:shd w:val="clear" w:color="auto" w:fill="FFFFFF"/>
        </w:rPr>
        <w:t>2</w:t>
      </w:r>
      <w:r>
        <w:rPr>
          <w:rFonts w:ascii="仿宋_GB2312" w:eastAsia="仿宋_GB2312" w:cs="宋体" w:hint="eastAsia"/>
          <w:kern w:val="0"/>
          <w:sz w:val="32"/>
          <w:szCs w:val="32"/>
          <w:shd w:val="clear" w:color="auto" w:fill="FFFFFF"/>
        </w:rPr>
        <w:t>2年年末无结转结余</w:t>
      </w:r>
      <w:r>
        <w:rPr>
          <w:rFonts w:ascii="仿宋_GB2312" w:eastAsia="仿宋_GB2312" w:cs="宋体" w:hint="eastAsia"/>
          <w:kern w:val="0"/>
          <w:sz w:val="32"/>
          <w:szCs w:val="32"/>
          <w:shd w:val="clear" w:color="auto" w:fill="FFFFFF"/>
          <w:lang w:val="zh-CN"/>
        </w:rPr>
        <w:t>。</w:t>
      </w:r>
    </w:p>
    <w:p>
      <w:pPr>
        <w:widowControl/>
        <w:adjustRightInd w:val="0"/>
        <w:snapToGrid w:val="0"/>
        <w:spacing w:line="540" w:lineRule="exact"/>
        <w:ind w:firstLine="720"/>
        <w:jc w:val="left"/>
        <w:rPr>
          <w:rFonts w:ascii="黑体" w:eastAsia="黑体" w:cs="宋体"/>
          <w:kern w:val="0"/>
          <w:sz w:val="32"/>
          <w:szCs w:val="32"/>
          <w:shd w:val="clear" w:color="auto" w:fill="FFFFFF"/>
        </w:rPr>
      </w:pPr>
      <w:r>
        <w:rPr>
          <w:rFonts w:ascii="黑体" w:eastAsia="黑体" w:cs="宋体" w:hint="eastAsia"/>
          <w:kern w:val="0"/>
          <w:sz w:val="32"/>
          <w:szCs w:val="32"/>
          <w:shd w:val="clear" w:color="auto" w:fill="FFFFFF"/>
        </w:rPr>
        <w:t>三、部门财政支出管理情况</w:t>
      </w:r>
    </w:p>
    <w:p>
      <w:pPr>
        <w:widowControl/>
        <w:adjustRightInd w:val="0"/>
        <w:snapToGrid w:val="0"/>
        <w:spacing w:line="540" w:lineRule="exact"/>
        <w:ind w:firstLine="720"/>
        <w:jc w:val="left"/>
        <w:rPr>
          <w:rFonts w:ascii="楷体_GB2312" w:eastAsia="楷体_GB2312" w:cs="宋体"/>
          <w:b/>
          <w:kern w:val="0"/>
          <w:sz w:val="32"/>
          <w:szCs w:val="32"/>
          <w:shd w:val="clear" w:color="auto" w:fill="FFFFFF"/>
          <w:lang w:val="zh-CN"/>
        </w:rPr>
      </w:pPr>
      <w:r>
        <w:rPr>
          <w:rFonts w:ascii="楷体_GB2312" w:eastAsia="楷体_GB2312" w:cs="宋体" w:hint="eastAsia"/>
          <w:b/>
          <w:kern w:val="0"/>
          <w:sz w:val="32"/>
          <w:szCs w:val="32"/>
          <w:shd w:val="clear" w:color="auto" w:fill="FFFFFF"/>
          <w:lang w:val="zh-CN"/>
        </w:rPr>
        <w:t>（一）预决算编制情况</w:t>
      </w:r>
    </w:p>
    <w:p>
      <w:pPr>
        <w:pStyle w:val="35"/>
        <w:spacing w:line="576" w:lineRule="exact"/>
        <w:ind w:firstLineChars="200" w:firstLine="640"/>
        <w:rPr>
          <w:rFonts w:ascii="仿宋_GB2312" w:eastAsia="仿宋_GB2312"/>
          <w:sz w:val="32"/>
          <w:szCs w:val="32"/>
        </w:rPr>
      </w:pPr>
      <w:r>
        <w:rPr>
          <w:rFonts w:ascii="仿宋_GB2312" w:eastAsia="仿宋_GB2312" w:hint="eastAsia"/>
          <w:sz w:val="32"/>
          <w:szCs w:val="32"/>
        </w:rPr>
        <w:t>1.预算编制情况</w:t>
      </w:r>
    </w:p>
    <w:p>
      <w:pPr>
        <w:pStyle w:val="35"/>
        <w:spacing w:line="576" w:lineRule="exact"/>
        <w:ind w:firstLineChars="200" w:firstLine="640"/>
        <w:rPr>
          <w:rFonts w:ascii="仿宋_GB2312" w:eastAsia="仿宋_GB2312"/>
          <w:sz w:val="32"/>
          <w:szCs w:val="32"/>
        </w:rPr>
      </w:pPr>
      <w:r>
        <w:rPr>
          <w:rFonts w:ascii="仿宋_GB2312" w:eastAsia="仿宋_GB2312" w:hint="eastAsia"/>
          <w:sz w:val="32"/>
          <w:szCs w:val="32"/>
        </w:rPr>
        <w:t>单位严格按照县财政部门预算编制通知和有关文件要求，秉承强化规划约束、坚持限额控制、实时滚动管理、强化绩效管理的基本编制原则在县财政部门规定的时间内于部门预算管理系统中以上年度10月份单位人员情况完成单位基本信息表及基础资料表。同时，根据“定员定额”标准并结合本单位实际项目安排批准情况填制收支总表及支出项目录入表。单位预算编制工作完成后按“二上二下”的编制程序提交县财政支出管理股室进行审核后下达批复。</w:t>
      </w:r>
    </w:p>
    <w:p>
      <w:pPr>
        <w:pStyle w:val="35"/>
        <w:spacing w:line="576" w:lineRule="exact"/>
        <w:ind w:firstLineChars="200" w:firstLine="640"/>
        <w:rPr>
          <w:rFonts w:ascii="仿宋_GB2312" w:eastAsia="仿宋_GB2312"/>
          <w:sz w:val="32"/>
          <w:szCs w:val="32"/>
        </w:rPr>
      </w:pPr>
      <w:r>
        <w:rPr>
          <w:rFonts w:ascii="仿宋_GB2312" w:eastAsia="仿宋_GB2312" w:hint="eastAsia"/>
          <w:sz w:val="32"/>
          <w:szCs w:val="32"/>
        </w:rPr>
        <w:t>2.决算编制情况</w:t>
      </w:r>
    </w:p>
    <w:p>
      <w:pPr>
        <w:pStyle w:val="35"/>
        <w:spacing w:line="576" w:lineRule="exact"/>
        <w:ind w:firstLineChars="200" w:firstLine="640"/>
        <w:rPr>
          <w:rFonts w:ascii="仿宋_GB2312" w:eastAsia="仿宋_GB2312"/>
          <w:sz w:val="32"/>
          <w:szCs w:val="32"/>
          <w:shd w:val="clear" w:color="auto" w:fill="FFFFFF"/>
        </w:rPr>
      </w:pPr>
      <w:r>
        <w:rPr>
          <w:rFonts w:ascii="仿宋_GB2312" w:eastAsia="仿宋_GB2312" w:hint="eastAsia"/>
          <w:sz w:val="32"/>
          <w:szCs w:val="32"/>
          <w:shd w:val="clear" w:color="auto" w:fill="FFFFFF"/>
        </w:rPr>
        <w:t>严格按照县级部门决算编制通知和有关文件要求，在部门决算报表软件中按时按质完成报送及决算编制等工作，并提交部门决算编制说明及决算分析报告，县财政局根据单位提交的决算编制数据进行审核。决算数据全面真实地反映了本单位全年财政资金收支及使用情况，不存在应编未编、错误列编、重现调整决算资金总额度的现象。</w:t>
      </w:r>
    </w:p>
    <w:p>
      <w:pPr>
        <w:widowControl/>
        <w:adjustRightInd w:val="0"/>
        <w:snapToGrid w:val="0"/>
        <w:spacing w:line="540" w:lineRule="exact"/>
        <w:ind w:firstLine="720"/>
        <w:jc w:val="left"/>
        <w:rPr>
          <w:rFonts w:ascii="楷体_GB2312" w:eastAsia="楷体_GB2312" w:cs="宋体"/>
          <w:b/>
          <w:kern w:val="0"/>
          <w:sz w:val="32"/>
          <w:szCs w:val="32"/>
          <w:shd w:val="clear" w:color="auto" w:fill="FFFFFF"/>
          <w:lang w:val="zh-CN"/>
        </w:rPr>
      </w:pPr>
      <w:r>
        <w:rPr>
          <w:rFonts w:ascii="楷体_GB2312" w:eastAsia="楷体_GB2312" w:cs="宋体" w:hint="eastAsia"/>
          <w:b/>
          <w:kern w:val="0"/>
          <w:sz w:val="32"/>
          <w:szCs w:val="32"/>
          <w:shd w:val="clear" w:color="auto" w:fill="FFFFFF"/>
          <w:lang w:val="zh-CN"/>
        </w:rPr>
        <w:t>（二）执行管理情况</w:t>
      </w:r>
    </w:p>
    <w:p>
      <w:pPr>
        <w:widowControl/>
        <w:adjustRightInd w:val="0"/>
        <w:snapToGrid w:val="0"/>
        <w:spacing w:line="576" w:lineRule="exact"/>
        <w:ind w:firstLineChars="200" w:firstLine="640"/>
        <w:jc w:val="left"/>
        <w:rPr>
          <w:rFonts w:ascii="仿宋_GB2312" w:eastAsia="仿宋_GB2312" w:cs="宋体"/>
          <w:kern w:val="0"/>
          <w:sz w:val="32"/>
          <w:szCs w:val="32"/>
          <w:shd w:val="clear" w:color="auto" w:fill="FFFFFF"/>
        </w:rPr>
      </w:pPr>
      <w:r>
        <w:rPr>
          <w:rFonts w:ascii="仿宋_GB2312" w:eastAsia="仿宋_GB2312" w:cs="宋体" w:hint="eastAsia"/>
          <w:kern w:val="0"/>
          <w:sz w:val="32"/>
          <w:szCs w:val="32"/>
          <w:shd w:val="clear" w:color="auto" w:fill="FFFFFF"/>
        </w:rPr>
        <w:t>（1）20</w:t>
      </w:r>
      <w:r>
        <w:rPr>
          <w:rFonts w:ascii="仿宋_GB2312" w:eastAsia="仿宋_GB2312" w:cs="宋体"/>
          <w:kern w:val="0"/>
          <w:sz w:val="32"/>
          <w:szCs w:val="32"/>
          <w:shd w:val="clear" w:color="auto" w:fill="FFFFFF"/>
        </w:rPr>
        <w:t>2</w:t>
      </w:r>
      <w:r>
        <w:rPr>
          <w:rFonts w:ascii="仿宋_GB2312" w:eastAsia="仿宋_GB2312" w:cs="宋体" w:hint="eastAsia"/>
          <w:kern w:val="0"/>
          <w:sz w:val="32"/>
          <w:szCs w:val="32"/>
          <w:shd w:val="clear" w:color="auto" w:fill="FFFFFF"/>
        </w:rPr>
        <w:t>2年部门预算执行情况</w:t>
      </w:r>
    </w:p>
    <w:p>
      <w:pPr>
        <w:spacing w:line="576" w:lineRule="exact"/>
        <w:ind w:firstLineChars="200" w:firstLine="640"/>
        <w:rPr>
          <w:rFonts w:ascii="仿宋_GB2312" w:eastAsia="仿宋_GB2312" w:cs="仿宋"/>
          <w:sz w:val="32"/>
          <w:szCs w:val="32"/>
        </w:rPr>
      </w:pPr>
      <w:r>
        <w:rPr>
          <w:rFonts w:ascii="仿宋_GB2312" w:eastAsia="仿宋_GB2312" w:cs="仿宋" w:hint="eastAsia"/>
          <w:sz w:val="32"/>
          <w:szCs w:val="32"/>
        </w:rPr>
        <w:t>20</w:t>
      </w:r>
      <w:r>
        <w:rPr>
          <w:rFonts w:ascii="仿宋_GB2312" w:eastAsia="仿宋_GB2312" w:cs="仿宋"/>
          <w:sz w:val="32"/>
          <w:szCs w:val="32"/>
        </w:rPr>
        <w:t>2</w:t>
      </w:r>
      <w:r>
        <w:rPr>
          <w:rFonts w:ascii="仿宋_GB2312" w:eastAsia="仿宋_GB2312" w:cs="仿宋" w:hint="eastAsia"/>
          <w:sz w:val="32"/>
          <w:szCs w:val="32"/>
        </w:rPr>
        <w:t>2年收入预算执行数（收入决算数）为</w:t>
      </w:r>
      <w:r>
        <w:rPr>
          <w:rFonts w:ascii="仿宋_GB2312" w:eastAsia="仿宋_GB2312" w:cs="宋体" w:hint="eastAsia"/>
          <w:kern w:val="0"/>
          <w:sz w:val="32"/>
          <w:szCs w:val="32"/>
        </w:rPr>
        <w:t>17250611.68</w:t>
      </w:r>
      <w:r>
        <w:rPr>
          <w:rFonts w:ascii="仿宋_GB2312" w:eastAsia="仿宋_GB2312" w:cs="仿宋" w:hint="eastAsia"/>
          <w:sz w:val="32"/>
          <w:szCs w:val="32"/>
        </w:rPr>
        <w:t>元，预算执行进度100%。</w:t>
      </w:r>
      <w:r>
        <w:rPr>
          <w:rFonts w:ascii="仿宋_GB2312" w:eastAsia="仿宋_GB2312" w:cs="仿宋"/>
          <w:sz w:val="32"/>
          <w:szCs w:val="32"/>
        </w:rPr>
        <w:t xml:space="preserve"> </w:t>
      </w:r>
    </w:p>
    <w:p>
      <w:pPr>
        <w:spacing w:line="576" w:lineRule="exact"/>
        <w:ind w:firstLineChars="200" w:firstLine="640"/>
        <w:rPr>
          <w:rFonts w:ascii="仿宋_GB2312" w:eastAsia="仿宋_GB2312" w:cs="仿宋"/>
          <w:sz w:val="32"/>
          <w:szCs w:val="32"/>
        </w:rPr>
      </w:pPr>
      <w:r>
        <w:rPr>
          <w:rFonts w:ascii="仿宋_GB2312" w:eastAsia="仿宋_GB2312" w:cs="仿宋" w:hint="eastAsia"/>
          <w:sz w:val="32"/>
          <w:szCs w:val="32"/>
        </w:rPr>
        <w:t>20</w:t>
      </w:r>
      <w:r>
        <w:rPr>
          <w:rFonts w:ascii="仿宋_GB2312" w:eastAsia="仿宋_GB2312" w:cs="仿宋"/>
          <w:sz w:val="32"/>
          <w:szCs w:val="32"/>
        </w:rPr>
        <w:t>2</w:t>
      </w:r>
      <w:r>
        <w:rPr>
          <w:rFonts w:ascii="仿宋_GB2312" w:eastAsia="仿宋_GB2312" w:cs="仿宋" w:hint="eastAsia"/>
          <w:sz w:val="32"/>
          <w:szCs w:val="32"/>
        </w:rPr>
        <w:t>2年支出预算执行数（支出决算数）为</w:t>
      </w:r>
      <w:r>
        <w:rPr>
          <w:rFonts w:ascii="仿宋_GB2312" w:eastAsia="仿宋_GB2312" w:cs="宋体" w:hint="eastAsia"/>
          <w:kern w:val="0"/>
          <w:sz w:val="32"/>
          <w:szCs w:val="32"/>
        </w:rPr>
        <w:t>17250611.68</w:t>
      </w:r>
      <w:r>
        <w:rPr>
          <w:rFonts w:ascii="仿宋_GB2312" w:eastAsia="仿宋_GB2312" w:cs="仿宋" w:hint="eastAsia"/>
          <w:sz w:val="32"/>
          <w:szCs w:val="32"/>
        </w:rPr>
        <w:t>元，预算执行进度100%。</w:t>
      </w:r>
      <w:r>
        <w:rPr>
          <w:rFonts w:ascii="仿宋_GB2312" w:eastAsia="仿宋_GB2312" w:cs="仿宋"/>
          <w:sz w:val="32"/>
          <w:szCs w:val="32"/>
        </w:rPr>
        <w:t xml:space="preserve"> </w:t>
      </w:r>
    </w:p>
    <w:p>
      <w:pPr>
        <w:snapToGrid w:val="0"/>
        <w:spacing w:line="576" w:lineRule="exact"/>
        <w:ind w:firstLineChars="200" w:firstLine="640"/>
        <w:rPr>
          <w:rFonts w:ascii="仿宋_GB2312" w:eastAsia="仿宋_GB2312"/>
          <w:sz w:val="32"/>
          <w:szCs w:val="32"/>
        </w:rPr>
      </w:pPr>
      <w:r>
        <w:rPr>
          <w:rFonts w:ascii="仿宋_GB2312" w:eastAsia="仿宋_GB2312" w:hint="eastAsia"/>
          <w:sz w:val="32"/>
          <w:szCs w:val="32"/>
        </w:rPr>
        <w:t>（</w:t>
      </w:r>
      <w:r>
        <w:rPr>
          <w:rFonts w:ascii="仿宋_GB2312" w:eastAsia="仿宋_GB2312"/>
          <w:sz w:val="32"/>
          <w:szCs w:val="32"/>
        </w:rPr>
        <w:t>2</w:t>
      </w:r>
      <w:r>
        <w:rPr>
          <w:rFonts w:ascii="仿宋_GB2312" w:eastAsia="仿宋_GB2312" w:hint="eastAsia"/>
          <w:sz w:val="32"/>
          <w:szCs w:val="32"/>
        </w:rPr>
        <w:t>）“三公”经费预算执行情况</w:t>
      </w:r>
    </w:p>
    <w:p>
      <w:pPr>
        <w:snapToGrid w:val="0"/>
        <w:spacing w:line="576" w:lineRule="exact"/>
        <w:ind w:firstLineChars="200" w:firstLine="640"/>
        <w:rPr>
          <w:rFonts w:ascii="仿宋_GB2312" w:eastAsia="仿宋_GB2312"/>
          <w:sz w:val="32"/>
          <w:szCs w:val="32"/>
        </w:rPr>
      </w:pPr>
      <w:r>
        <w:rPr>
          <w:rFonts w:ascii="仿宋_GB2312" w:eastAsia="仿宋_GB2312" w:hint="eastAsia"/>
          <w:sz w:val="32"/>
          <w:szCs w:val="32"/>
        </w:rPr>
        <w:t>1.20</w:t>
      </w:r>
      <w:r>
        <w:rPr>
          <w:rFonts w:ascii="仿宋_GB2312" w:eastAsia="仿宋_GB2312"/>
          <w:sz w:val="32"/>
          <w:szCs w:val="32"/>
        </w:rPr>
        <w:t>2</w:t>
      </w:r>
      <w:r>
        <w:rPr>
          <w:rFonts w:ascii="仿宋_GB2312" w:eastAsia="仿宋_GB2312" w:hint="eastAsia"/>
          <w:sz w:val="32"/>
          <w:szCs w:val="32"/>
        </w:rPr>
        <w:t>2年“三公”经费预算执行情况</w:t>
      </w:r>
    </w:p>
    <w:p>
      <w:pPr>
        <w:snapToGrid w:val="0"/>
        <w:spacing w:line="576" w:lineRule="exact"/>
        <w:ind w:firstLineChars="200" w:firstLine="640"/>
        <w:rPr>
          <w:rFonts w:ascii="仿宋_GB2312" w:eastAsia="仿宋_GB2312"/>
          <w:sz w:val="32"/>
          <w:szCs w:val="32"/>
        </w:rPr>
      </w:pPr>
      <w:r>
        <w:rPr>
          <w:rFonts w:ascii="仿宋_GB2312" w:eastAsia="仿宋_GB2312" w:hint="eastAsia"/>
          <w:sz w:val="32"/>
          <w:szCs w:val="32"/>
        </w:rPr>
        <w:t>20</w:t>
      </w:r>
      <w:r>
        <w:rPr>
          <w:rFonts w:ascii="仿宋_GB2312" w:eastAsia="仿宋_GB2312"/>
          <w:sz w:val="32"/>
          <w:szCs w:val="32"/>
        </w:rPr>
        <w:t>2</w:t>
      </w:r>
      <w:r>
        <w:rPr>
          <w:rFonts w:ascii="仿宋_GB2312" w:eastAsia="仿宋_GB2312" w:hint="eastAsia"/>
          <w:sz w:val="32"/>
          <w:szCs w:val="32"/>
        </w:rPr>
        <w:t>2年“三公”经费支出共计272765.24元。</w:t>
      </w:r>
      <w:r>
        <w:rPr>
          <w:rFonts w:ascii="仿宋_GB2312" w:eastAsia="仿宋_GB2312"/>
          <w:sz w:val="32"/>
          <w:szCs w:val="32"/>
        </w:rPr>
        <w:t xml:space="preserve"> </w:t>
      </w:r>
    </w:p>
    <w:p>
      <w:pPr>
        <w:widowControl/>
        <w:adjustRightInd w:val="0"/>
        <w:snapToGrid w:val="0"/>
        <w:spacing w:line="580" w:lineRule="exact"/>
        <w:ind w:firstLineChars="200" w:firstLine="640"/>
        <w:contextualSpacing/>
        <w:jc w:val="left"/>
        <w:rPr>
          <w:rFonts w:ascii="黑体" w:eastAsia="黑体" w:cs="宋体"/>
          <w:color w:val="000000"/>
          <w:kern w:val="0"/>
          <w:sz w:val="32"/>
          <w:szCs w:val="32"/>
          <w:shd w:val="clear" w:color="auto" w:fill="FFFFFF"/>
        </w:rPr>
      </w:pPr>
      <w:r>
        <w:rPr>
          <w:rFonts w:ascii="黑体" w:eastAsia="黑体" w:cs="宋体" w:hint="eastAsia"/>
          <w:color w:val="000000"/>
          <w:kern w:val="0"/>
          <w:sz w:val="32"/>
          <w:szCs w:val="32"/>
          <w:shd w:val="clear" w:color="auto" w:fill="FFFFFF"/>
        </w:rPr>
        <w:t>三、部门整体预算绩效管理情况</w:t>
      </w:r>
    </w:p>
    <w:p>
      <w:pPr>
        <w:widowControl/>
        <w:adjustRightInd w:val="0"/>
        <w:snapToGrid w:val="0"/>
        <w:spacing w:line="540" w:lineRule="exact"/>
        <w:ind w:firstLine="720"/>
        <w:jc w:val="left"/>
        <w:rPr>
          <w:rFonts w:ascii="楷体_GB2312" w:eastAsia="楷体_GB2312" w:cs="宋体"/>
          <w:b/>
          <w:kern w:val="0"/>
          <w:sz w:val="32"/>
          <w:szCs w:val="32"/>
          <w:shd w:val="clear" w:color="auto" w:fill="FFFFFF"/>
          <w:lang w:val="zh-CN"/>
        </w:rPr>
      </w:pPr>
      <w:r>
        <w:rPr>
          <w:rFonts w:ascii="楷体_GB2312" w:eastAsia="楷体_GB2312" w:cs="宋体" w:hint="eastAsia"/>
          <w:b/>
          <w:kern w:val="0"/>
          <w:sz w:val="32"/>
          <w:szCs w:val="32"/>
          <w:shd w:val="clear" w:color="auto" w:fill="FFFFFF"/>
          <w:lang w:val="zh-CN"/>
        </w:rPr>
        <w:t>（一）部门预算管理</w:t>
      </w:r>
    </w:p>
    <w:p>
      <w:pPr>
        <w:spacing w:line="576" w:lineRule="exact"/>
        <w:ind w:firstLineChars="200" w:firstLine="640"/>
        <w:rPr>
          <w:rFonts w:ascii="仿宋_GB2312" w:eastAsia="仿宋_GB2312" w:cs="仿宋_GB2312"/>
          <w:sz w:val="32"/>
          <w:szCs w:val="32"/>
        </w:rPr>
      </w:pPr>
      <w:r>
        <w:rPr>
          <w:rFonts w:ascii="仿宋_GB2312" w:eastAsia="仿宋_GB2312" w:cs="仿宋_GB2312" w:hint="eastAsia"/>
          <w:sz w:val="32"/>
          <w:szCs w:val="32"/>
        </w:rPr>
        <w:t>我单位严格按照县财政部门预算编制通知和有关文件要求，秉承强化规划约束、坚持限额控制、实时滚动管理、强化绩效管理的基本编制原则，确定目标任务，积极发挥公共财政职能作用，推动落实稳增长、促改革、调结构、惠民生、防风险各项工作。</w:t>
      </w:r>
    </w:p>
    <w:p>
      <w:pPr>
        <w:spacing w:line="576" w:lineRule="exact"/>
        <w:ind w:firstLineChars="200" w:firstLine="640"/>
        <w:rPr>
          <w:rFonts w:ascii="仿宋_GB2312" w:eastAsia="仿宋_GB2312" w:cs="仿宋_GB2312"/>
          <w:sz w:val="32"/>
          <w:szCs w:val="32"/>
        </w:rPr>
      </w:pPr>
      <w:r>
        <w:rPr>
          <w:rFonts w:ascii="仿宋_GB2312" w:eastAsia="仿宋_GB2312" w:cs="仿宋_GB2312" w:hint="eastAsia"/>
          <w:sz w:val="32"/>
          <w:szCs w:val="32"/>
        </w:rPr>
        <w:t>一是按照 2022年部门预算编审要求，根据我单位职能职责，结合中长期规划和年度工作计划，明确了年度主要工作任务及年度内履职所要达到的总体产出和效果，认真填报了我单位整体支出绩效目标。</w:t>
      </w:r>
    </w:p>
    <w:p>
      <w:pPr>
        <w:pStyle w:val="17"/>
        <w:spacing w:beforeLines="0" w:before="93"/>
        <w:ind w:firstLineChars="200" w:firstLine="640"/>
        <w:rPr>
          <w:lang w:val="zh-CN"/>
        </w:rPr>
      </w:pPr>
      <w:r>
        <w:rPr>
          <w:rFonts w:cs="仿宋_GB2312" w:hint="eastAsia"/>
          <w:sz w:val="32"/>
          <w:szCs w:val="32"/>
        </w:rPr>
        <w:t>二是按照《四川省省级预算绩效运行监控管理暂行办法》要求，认真组织开展所属单位的绩效监控工作，对项目进度、预算执行、投入产出、各项效益的阶段完成情况进行动态跟踪监控，填报《项目预算绩效监控分析表》，进一步明确项目完成目标可能性及时间。为有效使用财政资金，我单位根据全单位实际工作开展情况，提高财政资金使用效益，保障了全单位专项工作顺利开展</w:t>
      </w:r>
    </w:p>
    <w:p>
      <w:pPr>
        <w:widowControl/>
        <w:adjustRightInd w:val="0"/>
        <w:snapToGrid w:val="0"/>
        <w:spacing w:line="540" w:lineRule="exact"/>
        <w:ind w:firstLine="720"/>
        <w:jc w:val="left"/>
        <w:rPr>
          <w:rFonts w:ascii="楷体_GB2312" w:eastAsia="楷体_GB2312" w:cs="宋体"/>
          <w:b/>
          <w:kern w:val="0"/>
          <w:sz w:val="32"/>
          <w:szCs w:val="32"/>
          <w:shd w:val="clear" w:color="auto" w:fill="FFFFFF"/>
          <w:lang w:val="zh-CN"/>
        </w:rPr>
      </w:pPr>
      <w:r>
        <w:rPr>
          <w:rFonts w:ascii="楷体_GB2312" w:eastAsia="楷体_GB2312" w:cs="宋体" w:hint="eastAsia"/>
          <w:b/>
          <w:kern w:val="0"/>
          <w:sz w:val="32"/>
          <w:szCs w:val="32"/>
          <w:shd w:val="clear" w:color="auto" w:fill="FFFFFF"/>
          <w:lang w:val="zh-CN"/>
        </w:rPr>
        <w:t>（二）结果应用情况</w:t>
      </w:r>
    </w:p>
    <w:p>
      <w:pPr>
        <w:spacing w:line="576" w:lineRule="exact"/>
        <w:ind w:firstLineChars="200" w:firstLine="640"/>
      </w:pPr>
      <w:r>
        <w:rPr>
          <w:rFonts w:ascii="仿宋_GB2312" w:eastAsia="仿宋_GB2312" w:hint="eastAsia"/>
          <w:sz w:val="32"/>
          <w:szCs w:val="32"/>
        </w:rPr>
        <w:t>我单位对部门预算绩效管理工作开展情况认真进行了自查自评。绩效评价自查开展覆盖全单位及重点支出，将评价结果作为预算安排的重要依据，参照项目年度预算执行情况、“三年滚动规划”执行情况统筹项目支出需求，保障重点支出，调整支出结构，优化财政资金配置，不断强化绩效理念，推动我单位部门整体绩效管理水平不断提升。</w:t>
      </w:r>
    </w:p>
    <w:p>
      <w:pPr>
        <w:widowControl/>
        <w:adjustRightInd w:val="0"/>
        <w:snapToGrid w:val="0"/>
        <w:spacing w:line="580" w:lineRule="exact"/>
        <w:ind w:firstLineChars="200" w:firstLine="640"/>
        <w:contextualSpacing/>
        <w:jc w:val="left"/>
        <w:rPr>
          <w:rFonts w:ascii="黑体" w:eastAsia="黑体" w:cs="宋体"/>
          <w:color w:val="000000"/>
          <w:kern w:val="0"/>
          <w:sz w:val="32"/>
          <w:szCs w:val="32"/>
          <w:shd w:val="clear" w:color="auto" w:fill="FFFFFF"/>
        </w:rPr>
      </w:pPr>
      <w:r>
        <w:rPr>
          <w:rFonts w:ascii="黑体" w:eastAsia="黑体" w:cs="宋体" w:hint="eastAsia"/>
          <w:color w:val="000000"/>
          <w:kern w:val="0"/>
          <w:sz w:val="32"/>
          <w:szCs w:val="32"/>
          <w:shd w:val="clear" w:color="auto" w:fill="FFFFFF"/>
        </w:rPr>
        <w:t>四、评价结论及建议</w:t>
      </w:r>
    </w:p>
    <w:p>
      <w:pPr>
        <w:widowControl/>
        <w:adjustRightInd w:val="0"/>
        <w:snapToGrid w:val="0"/>
        <w:spacing w:line="540" w:lineRule="exact"/>
        <w:ind w:firstLine="720"/>
        <w:jc w:val="left"/>
        <w:rPr>
          <w:rFonts w:ascii="楷体_GB2312" w:eastAsia="楷体_GB2312" w:cs="宋体"/>
          <w:b/>
          <w:kern w:val="0"/>
          <w:sz w:val="32"/>
          <w:szCs w:val="32"/>
          <w:shd w:val="clear" w:color="auto" w:fill="FFFFFF"/>
          <w:lang w:val="zh-CN"/>
        </w:rPr>
      </w:pPr>
      <w:r>
        <w:rPr>
          <w:rFonts w:ascii="楷体_GB2312" w:eastAsia="楷体_GB2312" w:cs="宋体" w:hint="eastAsia"/>
          <w:b/>
          <w:kern w:val="0"/>
          <w:sz w:val="32"/>
          <w:szCs w:val="32"/>
          <w:shd w:val="clear" w:color="auto" w:fill="FFFFFF"/>
          <w:lang w:val="zh-CN"/>
        </w:rPr>
        <w:t>（一）评价结论</w:t>
      </w:r>
    </w:p>
    <w:p>
      <w:pPr>
        <w:pStyle w:val="35"/>
        <w:spacing w:line="576" w:lineRule="exact"/>
        <w:ind w:firstLineChars="200" w:firstLine="640"/>
        <w:rPr>
          <w:lang w:val="zh-CN"/>
        </w:rPr>
      </w:pPr>
      <w:r>
        <w:rPr>
          <w:rFonts w:ascii="仿宋_GB2312" w:eastAsia="仿宋_GB2312" w:cs="仿宋_GB2312" w:hint="eastAsia"/>
          <w:sz w:val="32"/>
          <w:szCs w:val="32"/>
          <w:shd w:val="clear" w:color="auto" w:fill="FFFFFF"/>
        </w:rPr>
        <w:t>2022年我单位整体支出绩效评价自查自评结果良好，全年基本支出支出保证了部门的正常运行和日常工作的正常开展，项目支出保障了重点工作的开展，达到预期绩效目标。按照《县级部门整体支出绩效评价指标体系表》中各项具体指标认真开展自评工作，经自评，单位部门整体支出均按照相应的规章制度和要求执行办理。</w:t>
      </w:r>
    </w:p>
    <w:p>
      <w:pPr>
        <w:widowControl/>
        <w:numPr>
          <w:ilvl w:val="0"/>
          <w:numId w:val="1"/>
        </w:numPr>
        <w:adjustRightInd w:val="0"/>
        <w:snapToGrid w:val="0"/>
        <w:spacing w:line="540" w:lineRule="exact"/>
        <w:ind w:left="0" w:firstLineChars="200" w:firstLine="640"/>
        <w:jc w:val="left"/>
        <w:rPr>
          <w:rFonts w:ascii="楷体_GB2312" w:eastAsia="楷体_GB2312" w:cs="宋体"/>
          <w:b/>
          <w:kern w:val="0"/>
          <w:sz w:val="32"/>
          <w:szCs w:val="32"/>
          <w:shd w:val="clear" w:color="auto" w:fill="FFFFFF"/>
          <w:lang w:val="zh-CN"/>
        </w:rPr>
      </w:pPr>
      <w:r>
        <w:rPr>
          <w:rFonts w:ascii="楷体_GB2312" w:eastAsia="楷体_GB2312" w:cs="宋体" w:hint="eastAsia"/>
          <w:b/>
          <w:kern w:val="0"/>
          <w:sz w:val="32"/>
          <w:szCs w:val="32"/>
          <w:shd w:val="clear" w:color="auto" w:fill="FFFFFF"/>
          <w:lang w:val="zh-CN"/>
        </w:rPr>
        <w:t>存在问题</w:t>
      </w:r>
    </w:p>
    <w:p>
      <w:pPr>
        <w:widowControl/>
        <w:adjustRightInd w:val="0"/>
        <w:snapToGrid w:val="0"/>
        <w:spacing w:line="540" w:lineRule="exact"/>
        <w:ind w:firstLineChars="200" w:firstLine="640"/>
        <w:jc w:val="left"/>
        <w:rPr>
          <w:rFonts w:ascii="仿宋_GB2312" w:eastAsia="仿宋_GB2312" w:cs="仿宋_GB2312"/>
          <w:sz w:val="32"/>
          <w:szCs w:val="32"/>
          <w:shd w:val="clear" w:color="auto" w:fill="FFFFFF"/>
        </w:rPr>
      </w:pPr>
      <w:r>
        <w:rPr>
          <w:rFonts w:ascii="仿宋_GB2312" w:eastAsia="仿宋_GB2312" w:cs="仿宋_GB2312" w:hint="eastAsia"/>
          <w:sz w:val="32"/>
          <w:szCs w:val="32"/>
          <w:shd w:val="clear" w:color="auto" w:fill="FFFFFF"/>
        </w:rPr>
        <w:t>绩效目标设定有待更科学更合理，提高效益性、效率性。</w:t>
      </w:r>
    </w:p>
    <w:p>
      <w:pPr>
        <w:widowControl/>
        <w:adjustRightInd w:val="0"/>
        <w:snapToGrid w:val="0"/>
        <w:spacing w:line="540" w:lineRule="exact"/>
        <w:ind w:firstLine="720"/>
        <w:jc w:val="left"/>
        <w:rPr>
          <w:rFonts w:ascii="楷体_GB2312" w:eastAsia="楷体_GB2312" w:cs="宋体"/>
          <w:b/>
          <w:kern w:val="0"/>
          <w:sz w:val="32"/>
          <w:szCs w:val="32"/>
          <w:shd w:val="clear" w:color="auto" w:fill="FFFFFF"/>
          <w:lang w:val="zh-CN"/>
        </w:rPr>
      </w:pPr>
      <w:r>
        <w:rPr>
          <w:rFonts w:ascii="楷体_GB2312" w:eastAsia="楷体_GB2312" w:cs="宋体" w:hint="eastAsia"/>
          <w:b/>
          <w:kern w:val="0"/>
          <w:sz w:val="32"/>
          <w:szCs w:val="32"/>
          <w:shd w:val="clear" w:color="auto" w:fill="FFFFFF"/>
          <w:lang w:val="zh-CN"/>
        </w:rPr>
        <w:t>（</w:t>
      </w:r>
      <w:r>
        <w:rPr>
          <w:rFonts w:ascii="楷体_GB2312" w:eastAsia="楷体_GB2312" w:cs="宋体" w:hint="eastAsia"/>
          <w:b/>
          <w:kern w:val="0"/>
          <w:sz w:val="32"/>
          <w:szCs w:val="32"/>
          <w:shd w:val="clear" w:color="auto" w:fill="FFFFFF"/>
        </w:rPr>
        <w:t>三</w:t>
      </w:r>
      <w:r>
        <w:rPr>
          <w:rFonts w:ascii="楷体_GB2312" w:eastAsia="楷体_GB2312" w:cs="宋体" w:hint="eastAsia"/>
          <w:b/>
          <w:kern w:val="0"/>
          <w:sz w:val="32"/>
          <w:szCs w:val="32"/>
          <w:shd w:val="clear" w:color="auto" w:fill="FFFFFF"/>
          <w:lang w:val="zh-CN"/>
        </w:rPr>
        <w:t>）改进建议</w:t>
      </w:r>
    </w:p>
    <w:p>
      <w:pPr>
        <w:spacing w:line="576" w:lineRule="exact"/>
        <w:ind w:firstLineChars="200" w:firstLine="640"/>
        <w:rPr>
          <w:rFonts w:ascii="仿宋_GB2312" w:eastAsia="仿宋_GB2312" w:cs="仿宋_GB2312"/>
          <w:sz w:val="32"/>
          <w:szCs w:val="32"/>
        </w:rPr>
      </w:pPr>
      <w:r>
        <w:rPr>
          <w:rFonts w:ascii="仿宋_GB2312" w:eastAsia="仿宋_GB2312" w:cs="仿宋_GB2312" w:hint="eastAsia"/>
          <w:sz w:val="32"/>
          <w:szCs w:val="32"/>
        </w:rPr>
        <w:t>针对存在的问题，我们将进一步科学设定绩效目标，加</w:t>
      </w:r>
    </w:p>
    <w:p>
      <w:pPr>
        <w:spacing w:line="576" w:lineRule="exact"/>
        <w:rPr>
          <w:rFonts w:ascii="仿宋_GB2312" w:eastAsia="仿宋_GB2312" w:cs="仿宋_GB2312"/>
          <w:sz w:val="32"/>
          <w:szCs w:val="32"/>
        </w:rPr>
      </w:pPr>
      <w:r>
        <w:rPr>
          <w:rFonts w:ascii="仿宋_GB2312" w:eastAsia="仿宋_GB2312" w:cs="仿宋_GB2312" w:hint="eastAsia"/>
          <w:sz w:val="32"/>
          <w:szCs w:val="32"/>
        </w:rPr>
        <w:t>强预算执行管理。一是改进部门收支预算编制，夯实预算基础工作，提高预算编制质量；二是认真研究政策，加强项目绩效目标审核，力求科学合理；三是认真研究重点项目的执行，特别是涉及政府采购的项目，提早规划，提前实施，确保项目顺利实施，提高财政资金的使用效益。</w:t>
      </w:r>
    </w:p>
    <w:p>
      <w:pPr>
        <w:spacing w:line="576" w:lineRule="exact"/>
        <w:jc w:val="left"/>
        <w:outlineLvl w:val="0"/>
        <w:rPr>
          <w:rFonts w:ascii="黑体" w:eastAsia="黑体" w:cs="黑体"/>
          <w:sz w:val="32"/>
          <w:szCs w:val="32"/>
        </w:rPr>
      </w:pPr>
      <w:bookmarkStart w:id="62" w:name="_Toc18944"/>
    </w:p>
    <w:p>
      <w:pPr>
        <w:spacing w:line="576" w:lineRule="exact"/>
        <w:jc w:val="left"/>
        <w:outlineLvl w:val="0"/>
        <w:rPr>
          <w:rFonts w:ascii="黑体" w:eastAsia="黑体" w:cs="黑体"/>
          <w:sz w:val="32"/>
          <w:szCs w:val="32"/>
        </w:rPr>
      </w:pPr>
      <w:r>
        <w:rPr>
          <w:rFonts w:ascii="黑体" w:eastAsia="黑体" w:cs="黑体" w:hint="eastAsia"/>
          <w:sz w:val="32"/>
          <w:szCs w:val="32"/>
        </w:rPr>
        <w:t>附件2</w:t>
      </w:r>
      <w:bookmarkStart w:id="63" w:name="_Toc7627"/>
      <w:bookmarkEnd w:id="62"/>
    </w:p>
    <w:p>
      <w:pPr>
        <w:spacing w:line="576" w:lineRule="exact"/>
        <w:jc w:val="left"/>
        <w:outlineLvl w:val="0"/>
        <w:rPr>
          <w:rFonts w:ascii="黑体" w:eastAsia="黑体" w:cs="黑体"/>
          <w:sz w:val="32"/>
          <w:szCs w:val="32"/>
        </w:rPr>
      </w:pPr>
    </w:p>
    <w:p>
      <w:pPr>
        <w:spacing w:line="576" w:lineRule="exact"/>
        <w:jc w:val="center"/>
        <w:rPr>
          <w:rFonts w:ascii="方正小标宋简体" w:eastAsia="方正小标宋简体" w:cs="Times New Roman" w:hint="eastAsia"/>
          <w:color w:val="auto"/>
          <w:sz w:val="44"/>
          <w:szCs w:val="44"/>
          <w:lang w:val="en-US" w:eastAsia="zh-CN"/>
        </w:rPr>
      </w:pPr>
      <w:bookmarkEnd w:id="63"/>
      <w:r>
        <w:rPr>
          <w:rFonts w:ascii="方正小标宋简体" w:eastAsia="方正小标宋简体" w:cs="Times New Roman" w:hint="eastAsia"/>
          <w:color w:val="auto"/>
          <w:sz w:val="44"/>
          <w:szCs w:val="44"/>
          <w:lang w:val="en-US" w:eastAsia="zh-CN"/>
        </w:rPr>
        <w:t>茂县公共就业和人才交流服务局</w:t>
      </w:r>
    </w:p>
    <w:p>
      <w:pPr>
        <w:spacing w:line="576" w:lineRule="exact"/>
        <w:jc w:val="center"/>
        <w:rPr>
          <w:rFonts w:ascii="方正小标宋简体" w:eastAsia="方正小标宋简体" w:cs="Times New Roman" w:hint="eastAsia"/>
          <w:color w:val="auto"/>
          <w:sz w:val="44"/>
          <w:szCs w:val="44"/>
          <w:lang w:val="en-US" w:eastAsia="zh-CN"/>
        </w:rPr>
      </w:pPr>
      <w:r>
        <w:rPr>
          <w:rFonts w:ascii="方正小标宋简体" w:eastAsia="方正小标宋简体" w:cs="Times New Roman" w:hint="eastAsia"/>
          <w:color w:val="auto"/>
          <w:sz w:val="44"/>
          <w:szCs w:val="44"/>
          <w:lang w:val="en-US" w:eastAsia="zh-CN"/>
        </w:rPr>
        <w:t>2022年就业创业资金项目支出绩效</w:t>
      </w:r>
    </w:p>
    <w:p>
      <w:pPr>
        <w:spacing w:line="576" w:lineRule="exact"/>
        <w:jc w:val="center"/>
        <w:rPr>
          <w:rFonts w:ascii="方正小标宋简体" w:eastAsia="方正小标宋简体" w:cs="Times New Roman" w:hint="eastAsia"/>
          <w:color w:val="auto"/>
          <w:sz w:val="44"/>
          <w:szCs w:val="44"/>
          <w:lang w:val="en-US" w:eastAsia="zh-CN"/>
        </w:rPr>
      </w:pPr>
      <w:r>
        <w:rPr>
          <w:rFonts w:ascii="方正小标宋简体" w:eastAsia="方正小标宋简体" w:cs="Times New Roman" w:hint="eastAsia"/>
          <w:color w:val="auto"/>
          <w:sz w:val="44"/>
          <w:szCs w:val="44"/>
          <w:lang w:val="en-US" w:eastAsia="zh-CN"/>
        </w:rPr>
        <w:t>自评价报告</w:t>
      </w:r>
    </w:p>
    <w:p>
      <w:pPr>
        <w:spacing w:line="576" w:lineRule="exact"/>
        <w:jc w:val="center"/>
        <w:rPr>
          <w:rFonts w:ascii="方正小标宋简体" w:eastAsia="方正小标宋简体" w:cs="Times New Roman" w:hint="eastAsia"/>
          <w:color w:val="auto"/>
          <w:sz w:val="44"/>
          <w:szCs w:val="44"/>
          <w:lang w:val="en-US" w:eastAsia="zh-CN"/>
        </w:rPr>
      </w:pPr>
    </w:p>
    <w:p>
      <w:pPr>
        <w:spacing w:line="576" w:lineRule="exact"/>
        <w:ind w:rightChars="155" w:right="326" w:firstLineChars="200" w:firstLine="640"/>
        <w:rPr>
          <w:rFonts w:ascii="黑体" w:eastAsia="黑体" w:cs="黑体"/>
          <w:b/>
          <w:bCs/>
          <w:sz w:val="32"/>
          <w:szCs w:val="32"/>
        </w:rPr>
      </w:pPr>
      <w:r>
        <w:rPr>
          <w:rFonts w:ascii="黑体" w:eastAsia="黑体" w:cs="黑体" w:hint="eastAsia"/>
          <w:b/>
          <w:bCs/>
          <w:sz w:val="32"/>
          <w:szCs w:val="32"/>
        </w:rPr>
        <w:t>一、项目概况</w:t>
      </w:r>
    </w:p>
    <w:p>
      <w:pPr>
        <w:spacing w:line="576" w:lineRule="exact"/>
        <w:ind w:rightChars="155" w:right="326" w:firstLineChars="200" w:firstLine="640"/>
        <w:rPr>
          <w:rFonts w:ascii="仿宋_GB2312" w:eastAsia="仿宋_GB2312" w:cs="仿宋_GB2312"/>
          <w:sz w:val="32"/>
          <w:szCs w:val="32"/>
        </w:rPr>
      </w:pPr>
      <w:r>
        <w:rPr>
          <w:rFonts w:ascii="仿宋_GB2312" w:eastAsia="仿宋_GB2312" w:cs="仿宋_GB2312" w:hint="eastAsia"/>
          <w:sz w:val="32"/>
          <w:szCs w:val="32"/>
        </w:rPr>
        <w:t>就业专项资金属民生项目，我县就业资金主要用于公益性岗位补贴、社保补贴、职业培训补贴、创业补贴、见习补贴、扶持公共就业服务等项目，实施更加积极的就业政策，健全就业公共服务体系，提升就业服务能力，优化就业服务质量，扎实做好脱贫人口、高校毕业生、城镇失业人员、就业困难人员、农村劳动力等群体就业再就业工作，大力推进城乡劳动力转移就业，实施创业带动就业战略，加大创业扶持，积极落实好就业、创业等相关政策。</w:t>
      </w:r>
    </w:p>
    <w:p>
      <w:pPr>
        <w:spacing w:line="576" w:lineRule="exact"/>
        <w:ind w:rightChars="155" w:right="326" w:firstLineChars="200" w:firstLine="640"/>
        <w:rPr>
          <w:rFonts w:ascii="黑体" w:eastAsia="黑体" w:cs="黑体"/>
          <w:b/>
          <w:bCs/>
          <w:sz w:val="32"/>
          <w:szCs w:val="32"/>
        </w:rPr>
      </w:pPr>
      <w:r>
        <w:rPr>
          <w:rFonts w:ascii="黑体" w:eastAsia="黑体" w:cs="黑体" w:hint="eastAsia"/>
          <w:b/>
          <w:bCs/>
          <w:sz w:val="32"/>
          <w:szCs w:val="32"/>
        </w:rPr>
        <w:t>二、资金收支情况</w:t>
      </w:r>
    </w:p>
    <w:p>
      <w:pPr>
        <w:spacing w:line="576" w:lineRule="exact"/>
        <w:ind w:rightChars="155" w:right="326" w:firstLineChars="150" w:firstLine="480"/>
        <w:rPr>
          <w:rFonts w:ascii="楷体_GB2312" w:eastAsia="楷体_GB2312" w:cs="楷体_GB2312"/>
          <w:b/>
          <w:sz w:val="32"/>
          <w:szCs w:val="32"/>
        </w:rPr>
      </w:pPr>
      <w:r>
        <w:rPr>
          <w:rFonts w:ascii="楷体_GB2312" w:eastAsia="楷体_GB2312" w:cs="楷体_GB2312" w:hint="eastAsia"/>
          <w:b/>
          <w:sz w:val="32"/>
          <w:szCs w:val="32"/>
        </w:rPr>
        <w:t>（一）资金收入情况</w:t>
      </w:r>
    </w:p>
    <w:p>
      <w:pPr>
        <w:spacing w:line="576" w:lineRule="exact"/>
        <w:ind w:rightChars="155" w:right="326" w:firstLineChars="150" w:firstLine="480"/>
        <w:rPr>
          <w:rFonts w:ascii="仿宋_GB2312" w:eastAsia="仿宋_GB2312" w:cs="仿宋_GB2312"/>
          <w:sz w:val="32"/>
          <w:szCs w:val="32"/>
        </w:rPr>
      </w:pPr>
      <w:r>
        <w:rPr>
          <w:rFonts w:ascii="仿宋_GB2312" w:eastAsia="仿宋_GB2312" w:cs="仿宋_GB2312" w:hint="eastAsia"/>
          <w:sz w:val="32"/>
          <w:szCs w:val="32"/>
        </w:rPr>
        <w:t>2022年财政安排就业专项资金共计1304</w:t>
      </w:r>
      <w:r>
        <w:rPr>
          <w:rFonts w:ascii="仿宋_GB2312" w:eastAsia="仿宋_GB2312" w:cs="仿宋_GB2312" w:hint="eastAsia"/>
          <w:sz w:val="32"/>
          <w:szCs w:val="32"/>
          <w:lang w:val="en-US" w:eastAsia="zh-CN"/>
        </w:rPr>
        <w:t>0000</w:t>
      </w:r>
      <w:r>
        <w:rPr>
          <w:rFonts w:ascii="仿宋_GB2312" w:eastAsia="仿宋_GB2312" w:cs="仿宋_GB2312" w:hint="eastAsia"/>
          <w:sz w:val="32"/>
          <w:szCs w:val="32"/>
        </w:rPr>
        <w:t>元，阿州财社[2022]8号安排就业专项资金596</w:t>
      </w:r>
      <w:r>
        <w:rPr>
          <w:rFonts w:ascii="仿宋_GB2312" w:eastAsia="仿宋_GB2312" w:cs="仿宋_GB2312" w:hint="eastAsia"/>
          <w:sz w:val="32"/>
          <w:szCs w:val="32"/>
          <w:lang w:val="en-US" w:eastAsia="zh-CN"/>
        </w:rPr>
        <w:t>0000</w:t>
      </w:r>
      <w:r>
        <w:rPr>
          <w:rFonts w:ascii="仿宋_GB2312" w:eastAsia="仿宋_GB2312" w:cs="仿宋_GB2312" w:hint="eastAsia"/>
          <w:sz w:val="32"/>
          <w:szCs w:val="32"/>
        </w:rPr>
        <w:t>元，阿州财社[2022]38号安排就业专项资金15</w:t>
      </w:r>
      <w:r>
        <w:rPr>
          <w:rFonts w:ascii="仿宋_GB2312" w:eastAsia="仿宋_GB2312" w:cs="仿宋_GB2312" w:hint="eastAsia"/>
          <w:sz w:val="32"/>
          <w:szCs w:val="32"/>
          <w:lang w:val="en-US" w:eastAsia="zh-CN"/>
        </w:rPr>
        <w:t>0000</w:t>
      </w:r>
      <w:r>
        <w:rPr>
          <w:rFonts w:ascii="仿宋_GB2312" w:eastAsia="仿宋_GB2312" w:cs="仿宋_GB2312" w:hint="eastAsia"/>
          <w:sz w:val="32"/>
          <w:szCs w:val="32"/>
        </w:rPr>
        <w:t>元，阿州财社[2022]79号安排就业专项资金693</w:t>
      </w:r>
      <w:r>
        <w:rPr>
          <w:rFonts w:ascii="仿宋_GB2312" w:eastAsia="仿宋_GB2312" w:cs="仿宋_GB2312" w:hint="eastAsia"/>
          <w:sz w:val="32"/>
          <w:szCs w:val="32"/>
          <w:lang w:val="en-US" w:eastAsia="zh-CN"/>
        </w:rPr>
        <w:t>0000</w:t>
      </w:r>
      <w:r>
        <w:rPr>
          <w:rFonts w:ascii="仿宋_GB2312" w:eastAsia="仿宋_GB2312" w:cs="仿宋_GB2312" w:hint="eastAsia"/>
          <w:sz w:val="32"/>
          <w:szCs w:val="32"/>
        </w:rPr>
        <w:t>元。</w:t>
      </w:r>
    </w:p>
    <w:p>
      <w:pPr>
        <w:numPr>
          <w:ilvl w:val="0"/>
          <w:numId w:val="2"/>
        </w:numPr>
        <w:spacing w:line="576" w:lineRule="exact"/>
        <w:ind w:left="0" w:rightChars="155" w:right="326" w:firstLineChars="150" w:firstLine="480"/>
        <w:rPr>
          <w:rFonts w:ascii="楷体_GB2312" w:eastAsia="楷体_GB2312" w:cs="楷体_GB2312"/>
          <w:b/>
          <w:bCs/>
          <w:sz w:val="32"/>
          <w:szCs w:val="32"/>
        </w:rPr>
      </w:pPr>
      <w:r>
        <w:rPr>
          <w:rFonts w:ascii="楷体_GB2312" w:eastAsia="楷体_GB2312" w:cs="楷体_GB2312" w:hint="eastAsia"/>
          <w:b/>
          <w:bCs/>
          <w:sz w:val="32"/>
          <w:szCs w:val="32"/>
        </w:rPr>
        <w:t>资金使用情况</w:t>
      </w:r>
    </w:p>
    <w:p>
      <w:pPr>
        <w:spacing w:line="576" w:lineRule="exact"/>
        <w:ind w:rightChars="155" w:right="326"/>
        <w:rPr>
          <w:rFonts w:ascii="仿宋_GB2312" w:eastAsia="仿宋_GB2312" w:cs="仿宋_GB2312" w:hint="eastAsia"/>
          <w:sz w:val="32"/>
          <w:szCs w:val="32"/>
        </w:rPr>
      </w:pPr>
      <w:r>
        <w:rPr>
          <w:rFonts w:ascii="楷体_GB2312" w:eastAsia="楷体_GB2312" w:cs="楷体_GB2312" w:hint="eastAsia"/>
          <w:b/>
          <w:bCs/>
          <w:sz w:val="32"/>
          <w:szCs w:val="32"/>
        </w:rPr>
        <w:t xml:space="preserve">    </w:t>
      </w:r>
      <w:r>
        <w:rPr>
          <w:rFonts w:ascii="仿宋_GB2312" w:eastAsia="仿宋_GB2312" w:cs="仿宋_GB2312" w:hint="eastAsia"/>
          <w:sz w:val="32"/>
          <w:szCs w:val="32"/>
        </w:rPr>
        <w:t xml:space="preserve"> 截止2022年12月共计支出1304</w:t>
      </w:r>
      <w:r>
        <w:rPr>
          <w:rFonts w:ascii="仿宋_GB2312" w:eastAsia="仿宋_GB2312" w:cs="仿宋_GB2312" w:hint="eastAsia"/>
          <w:sz w:val="32"/>
          <w:szCs w:val="32"/>
          <w:lang w:val="en-US" w:eastAsia="zh-CN"/>
        </w:rPr>
        <w:t>0000</w:t>
      </w:r>
      <w:r>
        <w:rPr>
          <w:rFonts w:ascii="仿宋_GB2312" w:eastAsia="仿宋_GB2312" w:cs="仿宋_GB2312" w:hint="eastAsia"/>
          <w:sz w:val="32"/>
          <w:szCs w:val="32"/>
        </w:rPr>
        <w:t>元，分别如下：</w:t>
      </w:r>
    </w:p>
    <w:p>
      <w:pPr>
        <w:numPr>
          <w:ilvl w:val="0"/>
          <w:numId w:val="3"/>
        </w:numPr>
        <w:spacing w:line="576" w:lineRule="exact"/>
        <w:ind w:left="0" w:rightChars="155" w:right="326" w:firstLineChars="200" w:firstLine="640"/>
        <w:rPr>
          <w:rFonts w:ascii="仿宋_GB2312" w:eastAsia="仿宋_GB2312" w:cs="仿宋_GB2312"/>
          <w:sz w:val="32"/>
          <w:szCs w:val="32"/>
        </w:rPr>
      </w:pPr>
      <w:r>
        <w:rPr>
          <w:rFonts w:ascii="仿宋_GB2312" w:eastAsia="仿宋_GB2312" w:cs="仿宋_GB2312" w:hint="eastAsia"/>
          <w:sz w:val="32"/>
          <w:szCs w:val="32"/>
        </w:rPr>
        <w:t>职业培训补贴2229844</w:t>
      </w:r>
      <w:r>
        <w:rPr>
          <w:rFonts w:ascii="仿宋_GB2312" w:eastAsia="仿宋_GB2312" w:cs="仿宋_GB2312" w:hint="eastAsia"/>
          <w:sz w:val="32"/>
          <w:szCs w:val="32"/>
          <w:lang w:val="en-US" w:eastAsia="zh-CN"/>
        </w:rPr>
        <w:t>.</w:t>
      </w:r>
      <w:r>
        <w:rPr>
          <w:rFonts w:ascii="仿宋_GB2312" w:eastAsia="仿宋_GB2312" w:cs="仿宋_GB2312" w:hint="eastAsia"/>
          <w:sz w:val="32"/>
          <w:szCs w:val="32"/>
        </w:rPr>
        <w:t>6元（1085人次）；</w:t>
      </w:r>
    </w:p>
    <w:p>
      <w:pPr>
        <w:numPr>
          <w:ilvl w:val="0"/>
          <w:numId w:val="3"/>
        </w:numPr>
        <w:spacing w:line="576" w:lineRule="exact"/>
        <w:ind w:left="0" w:rightChars="155" w:right="326" w:firstLineChars="200" w:firstLine="640"/>
        <w:rPr>
          <w:rFonts w:ascii="仿宋_GB2312" w:eastAsia="仿宋_GB2312" w:cs="仿宋_GB2312"/>
          <w:sz w:val="32"/>
          <w:szCs w:val="32"/>
        </w:rPr>
      </w:pPr>
      <w:r>
        <w:rPr>
          <w:rFonts w:ascii="仿宋_GB2312" w:eastAsia="仿宋_GB2312" w:cs="仿宋_GB2312"/>
          <w:sz w:val="32"/>
          <w:szCs w:val="32"/>
        </w:rPr>
        <w:t>社会保险补贴</w:t>
      </w:r>
      <w:r>
        <w:rPr>
          <w:rFonts w:ascii="仿宋_GB2312" w:eastAsia="仿宋_GB2312" w:cs="仿宋_GB2312" w:hint="eastAsia"/>
          <w:sz w:val="32"/>
          <w:szCs w:val="32"/>
        </w:rPr>
        <w:t>112198</w:t>
      </w:r>
      <w:r>
        <w:rPr>
          <w:rFonts w:ascii="仿宋_GB2312" w:eastAsia="仿宋_GB2312" w:cs="仿宋_GB2312" w:hint="eastAsia"/>
          <w:sz w:val="32"/>
          <w:szCs w:val="32"/>
          <w:lang w:val="en-US" w:eastAsia="zh-CN"/>
        </w:rPr>
        <w:t>.</w:t>
      </w:r>
      <w:r>
        <w:rPr>
          <w:rFonts w:ascii="仿宋_GB2312" w:eastAsia="仿宋_GB2312" w:cs="仿宋_GB2312" w:hint="eastAsia"/>
          <w:sz w:val="32"/>
          <w:szCs w:val="32"/>
        </w:rPr>
        <w:t>09元（12人）；</w:t>
      </w:r>
    </w:p>
    <w:p>
      <w:pPr>
        <w:numPr>
          <w:ilvl w:val="0"/>
          <w:numId w:val="3"/>
        </w:numPr>
        <w:spacing w:line="576" w:lineRule="exact"/>
        <w:ind w:left="0" w:rightChars="155" w:right="326" w:firstLineChars="200" w:firstLine="640"/>
        <w:rPr>
          <w:rFonts w:ascii="仿宋_GB2312" w:eastAsia="仿宋_GB2312" w:cs="仿宋_GB2312"/>
          <w:sz w:val="32"/>
          <w:szCs w:val="32"/>
        </w:rPr>
      </w:pPr>
      <w:r>
        <w:rPr>
          <w:rFonts w:ascii="仿宋_GB2312" w:eastAsia="仿宋_GB2312" w:cs="仿宋_GB2312"/>
          <w:sz w:val="32"/>
          <w:szCs w:val="32"/>
        </w:rPr>
        <w:t>一次性创业补贴</w:t>
      </w:r>
      <w:r>
        <w:rPr>
          <w:rFonts w:ascii="仿宋_GB2312" w:eastAsia="仿宋_GB2312" w:cs="仿宋_GB2312" w:hint="eastAsia"/>
          <w:sz w:val="32"/>
          <w:szCs w:val="32"/>
        </w:rPr>
        <w:t>10</w:t>
      </w:r>
      <w:r>
        <w:rPr>
          <w:rFonts w:ascii="仿宋_GB2312" w:eastAsia="仿宋_GB2312" w:cs="仿宋_GB2312" w:hint="eastAsia"/>
          <w:sz w:val="32"/>
          <w:szCs w:val="32"/>
          <w:lang w:val="en-US" w:eastAsia="zh-CN"/>
        </w:rPr>
        <w:t>0000</w:t>
      </w:r>
      <w:r>
        <w:rPr>
          <w:rFonts w:ascii="仿宋_GB2312" w:eastAsia="仿宋_GB2312" w:cs="仿宋_GB2312" w:hint="eastAsia"/>
          <w:sz w:val="32"/>
          <w:szCs w:val="32"/>
        </w:rPr>
        <w:t>元（10人）；</w:t>
      </w:r>
    </w:p>
    <w:p>
      <w:pPr>
        <w:numPr>
          <w:ilvl w:val="0"/>
          <w:numId w:val="3"/>
        </w:numPr>
        <w:spacing w:line="576" w:lineRule="exact"/>
        <w:ind w:left="0" w:rightChars="155" w:right="326" w:firstLineChars="200" w:firstLine="640"/>
        <w:rPr>
          <w:rFonts w:ascii="仿宋_GB2312" w:eastAsia="仿宋_GB2312" w:cs="仿宋_GB2312"/>
          <w:sz w:val="32"/>
          <w:szCs w:val="32"/>
        </w:rPr>
      </w:pPr>
      <w:r>
        <w:rPr>
          <w:rFonts w:ascii="仿宋_GB2312" w:eastAsia="仿宋_GB2312" w:cs="仿宋_GB2312"/>
          <w:sz w:val="32"/>
          <w:szCs w:val="32"/>
        </w:rPr>
        <w:t>一次性吸纳就业补贴</w:t>
      </w:r>
      <w:r>
        <w:rPr>
          <w:rFonts w:ascii="仿宋_GB2312" w:eastAsia="仿宋_GB2312" w:cs="仿宋_GB2312" w:hint="eastAsia"/>
          <w:sz w:val="32"/>
          <w:szCs w:val="32"/>
        </w:rPr>
        <w:t>191572</w:t>
      </w:r>
      <w:r>
        <w:rPr>
          <w:rFonts w:ascii="仿宋_GB2312" w:eastAsia="仿宋_GB2312" w:cs="仿宋_GB2312" w:hint="eastAsia"/>
          <w:sz w:val="32"/>
          <w:szCs w:val="32"/>
          <w:lang w:val="en-US" w:eastAsia="zh-CN"/>
        </w:rPr>
        <w:t>.</w:t>
      </w:r>
      <w:r>
        <w:rPr>
          <w:rFonts w:ascii="仿宋_GB2312" w:eastAsia="仿宋_GB2312" w:cs="仿宋_GB2312" w:hint="eastAsia"/>
          <w:sz w:val="32"/>
          <w:szCs w:val="32"/>
        </w:rPr>
        <w:t>43元（48人）；</w:t>
      </w:r>
    </w:p>
    <w:p>
      <w:pPr>
        <w:numPr>
          <w:ilvl w:val="0"/>
          <w:numId w:val="3"/>
        </w:numPr>
        <w:spacing w:line="576" w:lineRule="exact"/>
        <w:ind w:left="0" w:rightChars="155" w:right="326" w:firstLineChars="200" w:firstLine="640"/>
        <w:rPr>
          <w:rFonts w:ascii="仿宋_GB2312" w:eastAsia="仿宋_GB2312" w:cs="仿宋_GB2312"/>
          <w:sz w:val="32"/>
          <w:szCs w:val="32"/>
        </w:rPr>
      </w:pPr>
      <w:r>
        <w:rPr>
          <w:rFonts w:ascii="仿宋_GB2312" w:eastAsia="仿宋_GB2312" w:cs="仿宋_GB2312"/>
          <w:sz w:val="32"/>
          <w:szCs w:val="32"/>
        </w:rPr>
        <w:t>求职创业补贴</w:t>
      </w:r>
      <w:r>
        <w:rPr>
          <w:rFonts w:ascii="仿宋_GB2312" w:eastAsia="仿宋_GB2312" w:cs="仿宋_GB2312" w:hint="eastAsia"/>
          <w:sz w:val="32"/>
          <w:szCs w:val="32"/>
        </w:rPr>
        <w:t>4695</w:t>
      </w:r>
      <w:r>
        <w:rPr>
          <w:rFonts w:ascii="仿宋_GB2312" w:eastAsia="仿宋_GB2312" w:cs="仿宋_GB2312" w:hint="eastAsia"/>
          <w:sz w:val="32"/>
          <w:szCs w:val="32"/>
          <w:lang w:val="en-US" w:eastAsia="zh-CN"/>
        </w:rPr>
        <w:t>00</w:t>
      </w:r>
      <w:r>
        <w:rPr>
          <w:rFonts w:ascii="仿宋_GB2312" w:eastAsia="仿宋_GB2312" w:cs="仿宋_GB2312" w:hint="eastAsia"/>
          <w:sz w:val="32"/>
          <w:szCs w:val="32"/>
        </w:rPr>
        <w:t>元（313人）；</w:t>
      </w:r>
    </w:p>
    <w:p>
      <w:pPr>
        <w:numPr>
          <w:ilvl w:val="0"/>
          <w:numId w:val="3"/>
        </w:numPr>
        <w:spacing w:line="576" w:lineRule="exact"/>
        <w:ind w:left="0" w:rightChars="155" w:right="326" w:firstLineChars="200" w:firstLine="640"/>
        <w:rPr>
          <w:rFonts w:ascii="仿宋_GB2312" w:eastAsia="仿宋_GB2312" w:cs="仿宋_GB2312"/>
          <w:sz w:val="32"/>
          <w:szCs w:val="32"/>
        </w:rPr>
      </w:pPr>
      <w:r>
        <w:rPr>
          <w:rFonts w:ascii="仿宋_GB2312" w:eastAsia="仿宋_GB2312" w:cs="仿宋_GB2312"/>
          <w:sz w:val="32"/>
          <w:szCs w:val="32"/>
        </w:rPr>
        <w:t>其他就业补助</w:t>
      </w:r>
      <w:r>
        <w:rPr>
          <w:rFonts w:ascii="仿宋_GB2312" w:eastAsia="仿宋_GB2312" w:cs="仿宋_GB2312" w:hint="eastAsia"/>
          <w:sz w:val="32"/>
          <w:szCs w:val="32"/>
        </w:rPr>
        <w:t>1420434</w:t>
      </w:r>
      <w:r>
        <w:rPr>
          <w:rFonts w:ascii="仿宋_GB2312" w:eastAsia="仿宋_GB2312" w:cs="仿宋_GB2312" w:hint="eastAsia"/>
          <w:sz w:val="32"/>
          <w:szCs w:val="32"/>
          <w:lang w:val="en-US" w:eastAsia="zh-CN"/>
        </w:rPr>
        <w:t>.</w:t>
      </w:r>
      <w:r>
        <w:rPr>
          <w:rFonts w:ascii="仿宋_GB2312" w:eastAsia="仿宋_GB2312" w:cs="仿宋_GB2312" w:hint="eastAsia"/>
          <w:sz w:val="32"/>
          <w:szCs w:val="32"/>
        </w:rPr>
        <w:t>88元（201人）；</w:t>
      </w:r>
    </w:p>
    <w:p>
      <w:pPr>
        <w:numPr>
          <w:ilvl w:val="0"/>
          <w:numId w:val="3"/>
        </w:numPr>
        <w:spacing w:line="576" w:lineRule="exact"/>
        <w:ind w:left="0" w:rightChars="155" w:right="326" w:firstLineChars="200" w:firstLine="640"/>
        <w:rPr>
          <w:rFonts w:ascii="仿宋_GB2312" w:eastAsia="仿宋_GB2312" w:cs="仿宋_GB2312"/>
          <w:sz w:val="32"/>
          <w:szCs w:val="32"/>
        </w:rPr>
      </w:pPr>
      <w:r>
        <w:rPr>
          <w:rFonts w:ascii="仿宋_GB2312" w:eastAsia="仿宋_GB2312" w:cs="仿宋_GB2312"/>
          <w:sz w:val="32"/>
          <w:szCs w:val="32"/>
        </w:rPr>
        <w:t>公益性</w:t>
      </w:r>
      <w:r>
        <w:rPr>
          <w:rFonts w:ascii="仿宋_GB2312" w:eastAsia="仿宋_GB2312" w:cs="仿宋_GB2312" w:hint="eastAsia"/>
          <w:sz w:val="32"/>
          <w:szCs w:val="32"/>
        </w:rPr>
        <w:t>岗位补贴75947</w:t>
      </w:r>
      <w:r>
        <w:rPr>
          <w:rFonts w:ascii="仿宋_GB2312" w:eastAsia="仿宋_GB2312" w:cs="仿宋_GB2312" w:hint="eastAsia"/>
          <w:sz w:val="32"/>
          <w:szCs w:val="32"/>
          <w:lang w:val="en-US" w:eastAsia="zh-CN"/>
        </w:rPr>
        <w:t>00</w:t>
      </w:r>
      <w:r>
        <w:rPr>
          <w:rFonts w:ascii="仿宋_GB2312" w:eastAsia="仿宋_GB2312" w:cs="仿宋_GB2312" w:hint="eastAsia"/>
          <w:sz w:val="32"/>
          <w:szCs w:val="32"/>
        </w:rPr>
        <w:t>元（共计发放1359人，其中补发2021年10月-12月799人）；</w:t>
      </w:r>
    </w:p>
    <w:p>
      <w:pPr>
        <w:numPr>
          <w:ilvl w:val="0"/>
          <w:numId w:val="3"/>
        </w:numPr>
        <w:spacing w:line="576" w:lineRule="exact"/>
        <w:ind w:left="0" w:rightChars="155" w:right="326" w:firstLineChars="200" w:firstLine="640"/>
        <w:rPr>
          <w:rFonts w:ascii="仿宋_GB2312" w:eastAsia="仿宋_GB2312" w:cs="仿宋_GB2312"/>
          <w:sz w:val="32"/>
          <w:szCs w:val="32"/>
        </w:rPr>
      </w:pPr>
      <w:r>
        <w:rPr>
          <w:rFonts w:ascii="仿宋_GB2312" w:eastAsia="仿宋_GB2312" w:cs="仿宋_GB2312"/>
          <w:sz w:val="32"/>
          <w:szCs w:val="32"/>
        </w:rPr>
        <w:t>见习</w:t>
      </w:r>
      <w:r>
        <w:rPr>
          <w:rFonts w:ascii="仿宋_GB2312" w:eastAsia="仿宋_GB2312" w:cs="仿宋_GB2312" w:hint="eastAsia"/>
          <w:sz w:val="32"/>
          <w:szCs w:val="32"/>
        </w:rPr>
        <w:t>补贴92175</w:t>
      </w:r>
      <w:r>
        <w:rPr>
          <w:rFonts w:ascii="仿宋_GB2312" w:eastAsia="仿宋_GB2312" w:cs="仿宋_GB2312" w:hint="eastAsia"/>
          <w:sz w:val="32"/>
          <w:szCs w:val="32"/>
          <w:lang w:val="en-US" w:eastAsia="zh-CN"/>
        </w:rPr>
        <w:t>0</w:t>
      </w:r>
      <w:r>
        <w:rPr>
          <w:rFonts w:ascii="仿宋_GB2312" w:eastAsia="仿宋_GB2312" w:cs="仿宋_GB2312" w:hint="eastAsia"/>
          <w:sz w:val="32"/>
          <w:szCs w:val="32"/>
        </w:rPr>
        <w:t>元（107人）。</w:t>
      </w:r>
    </w:p>
    <w:p>
      <w:pPr>
        <w:spacing w:line="576" w:lineRule="exact"/>
        <w:ind w:rightChars="155" w:right="326" w:firstLineChars="200" w:firstLine="640"/>
        <w:rPr>
          <w:rFonts w:ascii="黑体" w:eastAsia="黑体" w:cs="黑体"/>
          <w:b/>
          <w:bCs/>
          <w:sz w:val="32"/>
          <w:szCs w:val="32"/>
        </w:rPr>
      </w:pPr>
      <w:r>
        <w:rPr>
          <w:rFonts w:ascii="黑体" w:eastAsia="黑体" w:cs="黑体" w:hint="eastAsia"/>
          <w:b/>
          <w:bCs/>
          <w:sz w:val="32"/>
          <w:szCs w:val="32"/>
        </w:rPr>
        <w:t>三、项目支出管理情况</w:t>
      </w:r>
    </w:p>
    <w:p>
      <w:pPr>
        <w:spacing w:line="560" w:lineRule="atLeast"/>
        <w:ind w:firstLine="600"/>
        <w:jc w:val="left"/>
        <w:rPr>
          <w:rFonts w:ascii="仿宋" w:eastAsia="仿宋" w:cs="仿宋"/>
          <w:b/>
          <w:bCs/>
          <w:color w:val="000000"/>
          <w:sz w:val="32"/>
          <w:szCs w:val="32"/>
        </w:rPr>
      </w:pPr>
      <w:r>
        <w:rPr>
          <w:rFonts w:ascii="仿宋" w:eastAsia="仿宋" w:cs="仿宋" w:hint="eastAsia"/>
          <w:b/>
          <w:bCs/>
          <w:color w:val="000000"/>
          <w:sz w:val="32"/>
          <w:szCs w:val="32"/>
        </w:rPr>
        <w:t>（一）坚持“三个坚持”</w:t>
      </w:r>
    </w:p>
    <w:p>
      <w:pPr>
        <w:spacing w:line="576" w:lineRule="exact"/>
        <w:ind w:rightChars="155" w:right="326" w:firstLineChars="200" w:firstLine="640"/>
        <w:rPr>
          <w:rFonts w:ascii="仿宋_GB2312" w:eastAsia="仿宋_GB2312" w:cs="仿宋_GB2312"/>
          <w:sz w:val="32"/>
          <w:szCs w:val="32"/>
        </w:rPr>
      </w:pPr>
      <w:r>
        <w:rPr>
          <w:rFonts w:ascii="仿宋_GB2312" w:eastAsia="仿宋_GB2312" w:cs="仿宋_GB2312" w:hint="eastAsia"/>
          <w:sz w:val="32"/>
          <w:szCs w:val="32"/>
        </w:rPr>
        <w:t>按照单位内控制度、岗位工作责任分工，我局分别由办公室、农劳开发股、职业培训股、就业指导股、失业保险股共同完成就业促进工作。严格执行相关管理制度及监管措施，保证资金用到实处。在组织实施过程中，保证“三个”坚持。</w:t>
      </w:r>
    </w:p>
    <w:p>
      <w:pPr>
        <w:spacing w:line="576" w:lineRule="exact"/>
        <w:ind w:rightChars="155" w:right="326" w:firstLineChars="250" w:firstLine="800"/>
        <w:rPr>
          <w:rFonts w:ascii="仿宋_GB2312" w:eastAsia="仿宋_GB2312" w:cs="仿宋_GB2312"/>
          <w:sz w:val="32"/>
          <w:szCs w:val="32"/>
        </w:rPr>
      </w:pPr>
      <w:r>
        <w:rPr>
          <w:rFonts w:ascii="仿宋_GB2312" w:eastAsia="仿宋_GB2312" w:cs="仿宋_GB2312" w:hint="eastAsia"/>
          <w:b/>
          <w:bCs/>
          <w:sz w:val="32"/>
          <w:szCs w:val="32"/>
        </w:rPr>
        <w:t>1、坚持专户管理原则。</w:t>
      </w:r>
      <w:r>
        <w:rPr>
          <w:rFonts w:ascii="仿宋_GB2312" w:eastAsia="仿宋_GB2312" w:cs="仿宋_GB2312" w:hint="eastAsia"/>
          <w:sz w:val="32"/>
          <w:szCs w:val="32"/>
        </w:rPr>
        <w:t>就业专项资金由县财政局设立专户统一管理，所有的专户资金必须先进专户，严格执行收支两条线，确保资金的安全。</w:t>
      </w:r>
    </w:p>
    <w:p>
      <w:pPr>
        <w:spacing w:line="576" w:lineRule="exact"/>
        <w:ind w:rightChars="155" w:right="326" w:firstLineChars="250" w:firstLine="800"/>
        <w:rPr>
          <w:rFonts w:ascii="仿宋_GB2312" w:eastAsia="仿宋_GB2312" w:cs="仿宋_GB2312"/>
          <w:sz w:val="32"/>
          <w:szCs w:val="32"/>
        </w:rPr>
      </w:pPr>
      <w:r>
        <w:rPr>
          <w:rFonts w:ascii="仿宋_GB2312" w:eastAsia="仿宋_GB2312" w:cs="仿宋_GB2312" w:hint="eastAsia"/>
          <w:b/>
          <w:bCs/>
          <w:sz w:val="32"/>
          <w:szCs w:val="32"/>
        </w:rPr>
        <w:t>2、坚持严格使用程序。</w:t>
      </w:r>
      <w:r>
        <w:rPr>
          <w:rFonts w:ascii="仿宋_GB2312" w:eastAsia="仿宋_GB2312" w:cs="仿宋_GB2312" w:hint="eastAsia"/>
          <w:sz w:val="32"/>
          <w:szCs w:val="32"/>
        </w:rPr>
        <w:t>对每个预算项目的支出都要提前申请，填写《就业服务专项资金审批表》，大额资金都经“三重一大”会议讨论并报送规定的资料，由县就业局初审、县人社局复审并签署意见，最后报送县财政局审批拨付资金，以确保资金使用安全。</w:t>
      </w:r>
    </w:p>
    <w:p>
      <w:pPr>
        <w:spacing w:line="576" w:lineRule="exact"/>
        <w:ind w:rightChars="155" w:right="326" w:firstLineChars="250" w:firstLine="800"/>
        <w:rPr>
          <w:rFonts w:ascii="仿宋_GB2312" w:eastAsia="仿宋_GB2312" w:cs="仿宋_GB2312"/>
          <w:sz w:val="32"/>
          <w:szCs w:val="32"/>
        </w:rPr>
      </w:pPr>
      <w:r>
        <w:rPr>
          <w:rFonts w:ascii="仿宋_GB2312" w:eastAsia="仿宋_GB2312" w:cs="仿宋_GB2312" w:hint="eastAsia"/>
          <w:b/>
          <w:bCs/>
          <w:sz w:val="32"/>
          <w:szCs w:val="32"/>
        </w:rPr>
        <w:t>3、坚持公开公示到位。</w:t>
      </w:r>
      <w:r>
        <w:rPr>
          <w:rFonts w:ascii="仿宋_GB2312" w:eastAsia="仿宋_GB2312" w:cs="仿宋_GB2312" w:hint="eastAsia"/>
          <w:sz w:val="32"/>
          <w:szCs w:val="32"/>
        </w:rPr>
        <w:t>县人社局在受理专项资金拨付申请后通过采取适当地核查、电话抽查等手段，确保申请资料的真实、完整；审核完成后进行不少于7天的公示，在公示无异议后，出具审核意见报县财政局，财政局还要进一步抽查核实后才进行拨款。确保每一笔资金的支付公开透明，充分接受社会监督。</w:t>
      </w:r>
    </w:p>
    <w:p>
      <w:pPr>
        <w:spacing w:line="576" w:lineRule="exact"/>
        <w:ind w:firstLineChars="200" w:firstLine="640"/>
        <w:rPr>
          <w:rFonts w:ascii="仿宋_GB2312" w:eastAsia="仿宋_GB2312" w:cs="仿宋_GB2312"/>
          <w:sz w:val="32"/>
          <w:szCs w:val="32"/>
        </w:rPr>
      </w:pPr>
      <w:r>
        <w:rPr>
          <w:rFonts w:ascii="仿宋_GB2312" w:eastAsia="仿宋_GB2312" w:cs="仿宋_GB2312" w:hint="eastAsia"/>
          <w:sz w:val="32"/>
          <w:szCs w:val="32"/>
        </w:rPr>
        <w:t>我县就业专项资金实行专户储存，专账管理，专款专用。无虚列项目支出、截留、挤占、挪用项目资金和超标准开支情况。有完善的资金管理使用制度，所有资金通过国库申请，拨付到就业资金支出专户进行支付，资金拨付程序规范、透明。</w:t>
      </w:r>
    </w:p>
    <w:p>
      <w:pPr>
        <w:spacing w:line="560" w:lineRule="atLeast"/>
        <w:ind w:firstLine="600"/>
        <w:jc w:val="left"/>
        <w:rPr>
          <w:rFonts w:ascii="仿宋_GB2312" w:eastAsia="仿宋_GB2312" w:cs="仿宋_GB2312"/>
          <w:sz w:val="32"/>
          <w:szCs w:val="32"/>
        </w:rPr>
      </w:pPr>
      <w:r>
        <w:rPr>
          <w:rFonts w:ascii="仿宋" w:eastAsia="仿宋" w:cs="仿宋" w:hint="eastAsia"/>
          <w:b/>
          <w:bCs/>
          <w:color w:val="000000"/>
          <w:sz w:val="32"/>
          <w:szCs w:val="32"/>
        </w:rPr>
        <w:t>（二）完善管理制度，促进规范管理。</w:t>
      </w:r>
      <w:r>
        <w:rPr>
          <w:rFonts w:ascii="仿宋_GB2312" w:eastAsia="仿宋_GB2312" w:cs="仿宋_GB2312" w:hint="eastAsia"/>
          <w:sz w:val="32"/>
          <w:szCs w:val="32"/>
        </w:rPr>
        <w:t>一是建立和完善风险防范制度。立足实际工作，认真梳理岗位职责，查找岗位廉政风险点，就业专项资金经办、管理、监督等风险等级较高的岗位，制定风险防范措施，并以廉政讲坛、现身说法等活动为载体开展廉政教育、警示教育，从思想上筑牢抵御腐蚀的道德防线。二是严格执行省州县等相关各项资金管理制度，单独设置就业创业专项资金出纳，规范操作流程，确保资金运行安全。</w:t>
      </w:r>
    </w:p>
    <w:p>
      <w:pPr>
        <w:spacing w:line="360" w:lineRule="auto"/>
        <w:ind w:firstLine="600"/>
        <w:jc w:val="left"/>
        <w:rPr>
          <w:rFonts w:ascii="仿宋_GB2312" w:eastAsia="仿宋_GB2312" w:cs="仿宋_GB2312"/>
          <w:sz w:val="32"/>
          <w:szCs w:val="32"/>
        </w:rPr>
      </w:pPr>
      <w:r>
        <w:rPr>
          <w:rFonts w:ascii="仿宋" w:eastAsia="仿宋" w:cs="仿宋" w:hint="eastAsia"/>
          <w:b/>
          <w:bCs/>
          <w:color w:val="000000"/>
          <w:sz w:val="32"/>
          <w:szCs w:val="32"/>
        </w:rPr>
        <w:t>（三）加强信息化管理，夯实资金管理基础。</w:t>
      </w:r>
      <w:r>
        <w:rPr>
          <w:rFonts w:ascii="仿宋_GB2312" w:eastAsia="仿宋_GB2312" w:cs="仿宋_GB2312" w:hint="eastAsia"/>
          <w:sz w:val="32"/>
          <w:szCs w:val="32"/>
        </w:rPr>
        <w:t>对各类补贴的申报办理实行</w:t>
      </w:r>
      <w:r>
        <w:rPr>
          <w:rFonts w:ascii="仿宋_GB2312" w:eastAsia="仿宋_GB2312" w:cs="仿宋_GB2312"/>
          <w:sz w:val="32"/>
          <w:szCs w:val="32"/>
        </w:rPr>
        <w:t>台账</w:t>
      </w:r>
      <w:r>
        <w:rPr>
          <w:rFonts w:ascii="仿宋_GB2312" w:eastAsia="仿宋_GB2312" w:cs="仿宋_GB2312" w:hint="eastAsia"/>
          <w:sz w:val="32"/>
          <w:szCs w:val="32"/>
        </w:rPr>
        <w:t>化管理，要求申报单位对各类资料实行专业归档，分类管理。建立了完善的资金使用基础</w:t>
      </w:r>
      <w:r>
        <w:rPr>
          <w:rFonts w:ascii="仿宋_GB2312" w:eastAsia="仿宋_GB2312" w:cs="仿宋_GB2312"/>
          <w:sz w:val="32"/>
          <w:szCs w:val="32"/>
        </w:rPr>
        <w:t>台账</w:t>
      </w:r>
      <w:r>
        <w:rPr>
          <w:rFonts w:ascii="仿宋_GB2312" w:eastAsia="仿宋_GB2312" w:cs="仿宋_GB2312" w:hint="eastAsia"/>
          <w:sz w:val="32"/>
          <w:szCs w:val="32"/>
        </w:rPr>
        <w:t>，资金财务</w:t>
      </w:r>
      <w:r>
        <w:rPr>
          <w:rFonts w:ascii="仿宋_GB2312" w:eastAsia="仿宋_GB2312" w:cs="仿宋_GB2312"/>
          <w:sz w:val="32"/>
          <w:szCs w:val="32"/>
        </w:rPr>
        <w:t>账</w:t>
      </w:r>
      <w:r>
        <w:rPr>
          <w:rFonts w:ascii="仿宋_GB2312" w:eastAsia="仿宋_GB2312" w:cs="仿宋_GB2312" w:hint="eastAsia"/>
          <w:sz w:val="32"/>
          <w:szCs w:val="32"/>
        </w:rPr>
        <w:t>簿、凭证做到了合法、真实</w:t>
      </w:r>
      <w:bookmarkStart w:id="64" w:name="_GoBack"/>
      <w:bookmarkEnd w:id="64"/>
      <w:r>
        <w:rPr>
          <w:rFonts w:ascii="仿宋_GB2312" w:eastAsia="仿宋_GB2312" w:cs="仿宋_GB2312" w:hint="eastAsia"/>
          <w:sz w:val="32"/>
          <w:szCs w:val="32"/>
        </w:rPr>
        <w:t>，</w:t>
      </w:r>
      <w:r>
        <w:rPr>
          <w:rFonts w:ascii="仿宋_GB2312" w:eastAsia="仿宋_GB2312" w:cs="仿宋_GB2312"/>
          <w:sz w:val="32"/>
          <w:szCs w:val="32"/>
        </w:rPr>
        <w:t>账</w:t>
      </w:r>
      <w:r>
        <w:rPr>
          <w:rFonts w:ascii="仿宋_GB2312" w:eastAsia="仿宋_GB2312" w:cs="仿宋_GB2312" w:hint="eastAsia"/>
          <w:sz w:val="32"/>
          <w:szCs w:val="32"/>
        </w:rPr>
        <w:t>表相符、</w:t>
      </w:r>
      <w:r>
        <w:rPr>
          <w:rFonts w:ascii="仿宋_GB2312" w:eastAsia="仿宋_GB2312" w:cs="仿宋_GB2312"/>
          <w:sz w:val="32"/>
          <w:szCs w:val="32"/>
        </w:rPr>
        <w:t>账</w:t>
      </w:r>
      <w:r>
        <w:rPr>
          <w:rFonts w:ascii="仿宋_GB2312" w:eastAsia="仿宋_GB2312" w:cs="仿宋_GB2312" w:hint="eastAsia"/>
          <w:sz w:val="32"/>
          <w:szCs w:val="32"/>
        </w:rPr>
        <w:t>证相符、</w:t>
      </w:r>
      <w:r>
        <w:rPr>
          <w:rFonts w:ascii="仿宋_GB2312" w:eastAsia="仿宋_GB2312" w:cs="仿宋_GB2312"/>
          <w:sz w:val="32"/>
          <w:szCs w:val="32"/>
        </w:rPr>
        <w:t>账</w:t>
      </w:r>
      <w:r>
        <w:rPr>
          <w:rFonts w:ascii="仿宋_GB2312" w:eastAsia="仿宋_GB2312" w:cs="仿宋_GB2312" w:hint="eastAsia"/>
          <w:sz w:val="32"/>
          <w:szCs w:val="32"/>
        </w:rPr>
        <w:t>实相符。</w:t>
      </w:r>
    </w:p>
    <w:p>
      <w:pPr>
        <w:spacing w:line="360" w:lineRule="auto"/>
        <w:ind w:firstLine="600"/>
        <w:jc w:val="left"/>
        <w:rPr>
          <w:rFonts w:ascii="仿宋_GB2312" w:eastAsia="仿宋_GB2312" w:cs="仿宋_GB2312"/>
          <w:sz w:val="32"/>
          <w:szCs w:val="32"/>
        </w:rPr>
      </w:pPr>
      <w:r>
        <w:rPr>
          <w:rFonts w:ascii="仿宋" w:eastAsia="仿宋" w:cs="仿宋" w:hint="eastAsia"/>
          <w:b/>
          <w:bCs/>
          <w:color w:val="000000"/>
          <w:sz w:val="32"/>
          <w:szCs w:val="32"/>
        </w:rPr>
        <w:t>（四）强化责任，完善监督机制。</w:t>
      </w:r>
      <w:r>
        <w:rPr>
          <w:rFonts w:ascii="仿宋_GB2312" w:eastAsia="仿宋_GB2312" w:cs="仿宋_GB2312" w:hint="eastAsia"/>
          <w:sz w:val="32"/>
          <w:szCs w:val="32"/>
        </w:rPr>
        <w:t>强化对资金使用全过程的严格监管，确保有限的资金用在刀刃上。一是建立了常规检查与不定期抽查相结合的监督检查机制，采取内部与外部检查相结合的多种检查方式，确保了资金管理和使用情况的公开透明。二是实行“一表一帐一单”管理，完善申报各股室各项目申请审批表、填写申请人详细信息、记录初核、复核、审批各环节的办理意见和审定的补助金额。落实审核签字制度，“谁审批，谁负责；谁实施，谁负责”。三是实行月月财务业务对账制度，做到财务业务月月清。</w:t>
      </w:r>
    </w:p>
    <w:p>
      <w:pPr>
        <w:spacing w:line="360" w:lineRule="auto"/>
        <w:ind w:firstLine="600"/>
        <w:jc w:val="left"/>
        <w:rPr>
          <w:rFonts w:ascii="仿宋" w:eastAsia="仿宋" w:cs="仿宋"/>
          <w:color w:val="000000"/>
          <w:sz w:val="32"/>
          <w:szCs w:val="32"/>
        </w:rPr>
      </w:pPr>
    </w:p>
    <w:p>
      <w:pPr>
        <w:spacing w:line="360" w:lineRule="auto"/>
        <w:ind w:firstLine="600"/>
        <w:jc w:val="left"/>
        <w:rPr>
          <w:rFonts w:ascii="仿宋" w:eastAsia="仿宋" w:cs="仿宋"/>
          <w:color w:val="000000"/>
          <w:sz w:val="32"/>
          <w:szCs w:val="32"/>
        </w:rPr>
      </w:pPr>
    </w:p>
    <w:p>
      <w:pPr>
        <w:spacing w:line="360" w:lineRule="auto"/>
        <w:ind w:firstLine="600"/>
        <w:jc w:val="left"/>
        <w:rPr>
          <w:rFonts w:ascii="仿宋" w:eastAsia="仿宋" w:cs="仿宋"/>
          <w:color w:val="000000"/>
          <w:sz w:val="32"/>
          <w:szCs w:val="32"/>
        </w:rPr>
      </w:pPr>
    </w:p>
    <w:p>
      <w:pPr>
        <w:spacing w:line="360" w:lineRule="auto"/>
        <w:ind w:firstLine="600"/>
        <w:jc w:val="left"/>
        <w:rPr>
          <w:rFonts w:ascii="仿宋" w:eastAsia="仿宋" w:cs="仿宋"/>
          <w:color w:val="000000"/>
          <w:sz w:val="32"/>
          <w:szCs w:val="32"/>
        </w:rPr>
      </w:pPr>
    </w:p>
    <w:p>
      <w:pPr>
        <w:spacing w:line="360" w:lineRule="auto"/>
        <w:ind w:firstLine="600"/>
        <w:jc w:val="left"/>
        <w:rPr>
          <w:rFonts w:ascii="仿宋" w:eastAsia="仿宋" w:cs="仿宋"/>
          <w:color w:val="000000"/>
          <w:sz w:val="32"/>
          <w:szCs w:val="32"/>
        </w:rPr>
      </w:pPr>
    </w:p>
    <w:p>
      <w:pPr>
        <w:spacing w:line="360" w:lineRule="auto"/>
        <w:ind w:firstLine="600"/>
        <w:jc w:val="left"/>
        <w:rPr>
          <w:rFonts w:ascii="仿宋" w:eastAsia="仿宋" w:cs="仿宋"/>
          <w:color w:val="000000"/>
          <w:sz w:val="32"/>
          <w:szCs w:val="32"/>
        </w:rPr>
      </w:pPr>
    </w:p>
    <w:p>
      <w:pPr>
        <w:spacing w:line="360" w:lineRule="auto"/>
        <w:ind w:firstLine="600"/>
        <w:jc w:val="left"/>
        <w:rPr>
          <w:rFonts w:ascii="仿宋" w:eastAsia="仿宋" w:cs="仿宋"/>
          <w:color w:val="000000"/>
          <w:sz w:val="32"/>
          <w:szCs w:val="32"/>
        </w:rPr>
      </w:pPr>
    </w:p>
    <w:p>
      <w:pPr>
        <w:spacing w:line="360" w:lineRule="auto"/>
        <w:ind w:firstLine="600"/>
        <w:jc w:val="left"/>
        <w:rPr>
          <w:rFonts w:ascii="仿宋" w:eastAsia="仿宋" w:cs="仿宋"/>
          <w:color w:val="000000"/>
          <w:sz w:val="32"/>
          <w:szCs w:val="32"/>
        </w:rPr>
      </w:pPr>
    </w:p>
    <w:p>
      <w:pPr>
        <w:spacing w:line="360" w:lineRule="auto"/>
        <w:ind w:firstLine="600"/>
        <w:jc w:val="left"/>
        <w:rPr>
          <w:rFonts w:ascii="仿宋" w:eastAsia="仿宋" w:cs="仿宋"/>
          <w:color w:val="000000"/>
          <w:sz w:val="32"/>
          <w:szCs w:val="32"/>
        </w:rPr>
      </w:pPr>
    </w:p>
    <w:p>
      <w:pPr>
        <w:spacing w:line="360" w:lineRule="auto"/>
        <w:ind w:firstLine="600"/>
        <w:jc w:val="left"/>
        <w:rPr>
          <w:rFonts w:ascii="仿宋" w:eastAsia="仿宋" w:cs="仿宋"/>
          <w:color w:val="000000"/>
          <w:sz w:val="32"/>
          <w:szCs w:val="32"/>
        </w:rPr>
      </w:pPr>
    </w:p>
    <w:p>
      <w:pPr>
        <w:spacing w:line="360" w:lineRule="auto"/>
        <w:ind w:firstLine="600"/>
        <w:jc w:val="left"/>
        <w:rPr>
          <w:rFonts w:ascii="仿宋" w:eastAsia="仿宋" w:cs="仿宋"/>
          <w:color w:val="000000"/>
          <w:sz w:val="32"/>
          <w:szCs w:val="32"/>
        </w:rPr>
      </w:pPr>
    </w:p>
    <w:p>
      <w:pPr>
        <w:spacing w:line="360" w:lineRule="auto"/>
        <w:ind w:firstLine="600"/>
        <w:jc w:val="left"/>
        <w:rPr>
          <w:rFonts w:ascii="仿宋" w:eastAsia="仿宋" w:cs="仿宋"/>
          <w:color w:val="000000"/>
          <w:sz w:val="32"/>
          <w:szCs w:val="32"/>
        </w:rPr>
      </w:pPr>
    </w:p>
    <w:p>
      <w:pPr>
        <w:spacing w:line="360" w:lineRule="auto"/>
        <w:ind w:firstLine="600"/>
        <w:jc w:val="left"/>
        <w:rPr>
          <w:rFonts w:ascii="仿宋" w:eastAsia="仿宋" w:cs="仿宋"/>
          <w:color w:val="000000"/>
          <w:sz w:val="32"/>
          <w:szCs w:val="32"/>
        </w:rPr>
      </w:pPr>
    </w:p>
    <w:p>
      <w:pPr>
        <w:pageBreakBefore w:val="0"/>
        <w:widowControl w:val="0"/>
        <w:kinsoku/>
        <w:wordWrap/>
        <w:overflowPunct/>
        <w:topLinePunct w:val="0"/>
        <w:bidi w:val="0"/>
        <w:spacing w:line="576" w:lineRule="exact"/>
        <w:jc w:val="center"/>
        <w:textAlignment w:val="auto"/>
        <w:outlineLvl w:val="0"/>
        <w:rPr>
          <w:rFonts w:ascii="方正小标宋简体" w:eastAsia="方正小标宋简体" w:cs="黑体"/>
          <w:sz w:val="44"/>
          <w:szCs w:val="44"/>
        </w:rPr>
      </w:pPr>
      <w:bookmarkStart w:id="65" w:name="_Toc983"/>
      <w:r>
        <w:rPr>
          <w:rFonts w:ascii="方正小标宋简体" w:eastAsia="方正小标宋简体" w:cs="Times New Roman" w:hint="eastAsia"/>
          <w:color w:val="auto"/>
          <w:sz w:val="44"/>
          <w:szCs w:val="44"/>
          <w:lang w:val="en-US" w:eastAsia="zh-CN"/>
        </w:rPr>
        <w:t>2022年就业创业资金项目</w:t>
      </w:r>
      <w:r>
        <w:rPr>
          <w:rFonts w:ascii="方正小标宋简体" w:eastAsia="方正小标宋简体" w:cs="黑体"/>
          <w:sz w:val="44"/>
          <w:szCs w:val="44"/>
        </w:rPr>
        <w:t>支出绩效自评表（2022年度）</w:t>
      </w:r>
      <w:bookmarkEnd w:id="65"/>
    </w:p>
    <w:p>
      <w:pPr>
        <w:pStyle w:val="25"/>
        <w:widowControl/>
        <w:spacing w:line="576" w:lineRule="exact"/>
      </w:pPr>
      <w:r>
        <w:t>附表</w:t>
      </w:r>
    </w:p>
    <w:tbl>
      <w:tblPr>
        <w:jc w:val="left"/>
        <w:tblInd w:w="15" w:type="dxa"/>
        <w:tblW w:w="8321" w:type="dxa"/>
        <w:tblCellSpacing w:w="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CellMar>
          <w:top w:w="0" w:type="dxa"/>
          <w:left w:w="0" w:type="dxa"/>
          <w:bottom w:w="0" w:type="dxa"/>
          <w:right w:w="0" w:type="dxa"/>
        </w:tblCellMar>
      </w:tblPr>
      <w:tblGrid>
        <w:gridCol w:w="1699"/>
        <w:gridCol w:w="1014"/>
        <w:gridCol w:w="1417"/>
        <w:gridCol w:w="1051"/>
        <w:gridCol w:w="1089"/>
        <w:gridCol w:w="2051"/>
      </w:tblGrid>
      <w:tr>
        <w:trPr>
          <w:trHeight w:val="675"/>
        </w:trPr>
        <w:tc>
          <w:tcPr>
            <w:tcW w:w="8321" w:type="dxa"/>
            <w:gridSpan w:val="6"/>
            <w:tcBorders>
              <w:top w:val="outset" w:sz="6" w:space="0" w:color="auto"/>
              <w:left w:val="outset" w:sz="6" w:space="0" w:color="auto"/>
              <w:bottom w:val="outset" w:sz="6" w:space="0" w:color="auto"/>
              <w:right w:val="outset" w:sz="6" w:space="0" w:color="auto"/>
            </w:tcBorders>
            <w:noWrap/>
            <w:vAlign w:val="center"/>
          </w:tcPr>
          <w:p>
            <w:pPr>
              <w:pStyle w:val="25"/>
              <w:widowControl/>
              <w:spacing w:line="576" w:lineRule="exact"/>
              <w:jc w:val="center"/>
            </w:pPr>
            <w:r>
              <w:rPr>
                <w:rStyle w:val="26"/>
              </w:rPr>
              <w:t>2022年100万元以上（含）特定目标类部门预算项目绩效目标自评</w:t>
            </w:r>
          </w:p>
        </w:tc>
      </w:tr>
      <w:tr>
        <w:trPr>
          <w:trHeight w:val="256"/>
        </w:trPr>
        <w:tc>
          <w:tcPr>
            <w:tcW w:w="2713" w:type="dxa"/>
            <w:gridSpan w:val="2"/>
            <w:tcBorders>
              <w:top w:val="outset" w:sz="6" w:space="0" w:color="auto"/>
              <w:left w:val="outset" w:sz="6" w:space="0" w:color="auto"/>
              <w:bottom w:val="outset" w:sz="6" w:space="0" w:color="auto"/>
              <w:right w:val="outset" w:sz="6" w:space="0" w:color="auto"/>
            </w:tcBorders>
            <w:noWrap/>
            <w:vAlign w:val="center"/>
          </w:tcPr>
          <w:p>
            <w:pPr>
              <w:pStyle w:val="25"/>
              <w:widowControl/>
              <w:spacing w:line="576" w:lineRule="exact"/>
              <w:jc w:val="center"/>
            </w:pPr>
            <w:r>
              <w:t>主管部门及代码</w:t>
            </w:r>
          </w:p>
        </w:tc>
        <w:tc>
          <w:tcPr>
            <w:tcW w:w="2468" w:type="dxa"/>
            <w:gridSpan w:val="2"/>
            <w:tcBorders>
              <w:top w:val="outset" w:sz="6" w:space="0" w:color="auto"/>
              <w:left w:val="outset" w:sz="6" w:space="0" w:color="auto"/>
              <w:bottom w:val="outset" w:sz="6" w:space="0" w:color="auto"/>
              <w:right w:val="outset" w:sz="6" w:space="0" w:color="auto"/>
            </w:tcBorders>
            <w:noWrap/>
            <w:vAlign w:val="center"/>
          </w:tcPr>
          <w:p>
            <w:pPr>
              <w:pStyle w:val="25"/>
              <w:widowControl/>
              <w:spacing w:line="576" w:lineRule="exact"/>
              <w:jc w:val="center"/>
            </w:pPr>
            <w:r>
              <w:rPr>
                <w:rFonts w:hint="eastAsia"/>
              </w:rPr>
              <w:t>茂县人力资源和社会保障局</w:t>
            </w:r>
            <w:r>
              <w:t> </w:t>
            </w:r>
          </w:p>
        </w:tc>
        <w:tc>
          <w:tcPr>
            <w:tcW w:w="1089" w:type="dxa"/>
            <w:tcBorders>
              <w:top w:val="outset" w:sz="6" w:space="0" w:color="auto"/>
              <w:left w:val="outset" w:sz="6" w:space="0" w:color="auto"/>
              <w:bottom w:val="outset" w:sz="6" w:space="0" w:color="auto"/>
              <w:right w:val="outset" w:sz="6" w:space="0" w:color="auto"/>
            </w:tcBorders>
            <w:noWrap/>
            <w:vAlign w:val="center"/>
          </w:tcPr>
          <w:p>
            <w:pPr>
              <w:pStyle w:val="25"/>
              <w:widowControl/>
              <w:spacing w:line="576" w:lineRule="exact"/>
              <w:jc w:val="center"/>
            </w:pPr>
            <w:r>
              <w:t>实施单位</w:t>
            </w:r>
          </w:p>
        </w:tc>
        <w:tc>
          <w:tcPr>
            <w:tcW w:w="2051" w:type="dxa"/>
            <w:tcBorders>
              <w:top w:val="outset" w:sz="6" w:space="0" w:color="auto"/>
              <w:left w:val="outset" w:sz="6" w:space="0" w:color="auto"/>
              <w:bottom w:val="outset" w:sz="6" w:space="0" w:color="auto"/>
              <w:right w:val="outset" w:sz="6" w:space="0" w:color="auto"/>
            </w:tcBorders>
            <w:noWrap/>
            <w:vAlign w:val="center"/>
          </w:tcPr>
          <w:p>
            <w:pPr>
              <w:pStyle w:val="25"/>
              <w:widowControl/>
              <w:spacing w:line="576" w:lineRule="exact"/>
              <w:jc w:val="center"/>
            </w:pPr>
            <w:r>
              <w:rPr>
                <w:rFonts w:hint="eastAsia"/>
              </w:rPr>
              <w:t>茂县公共就业和人才交流服务局</w:t>
            </w:r>
            <w:r>
              <w:t> </w:t>
            </w:r>
          </w:p>
        </w:tc>
      </w:tr>
      <w:tr>
        <w:trPr>
          <w:trHeight w:val="345"/>
        </w:trPr>
        <w:tc>
          <w:tcPr>
            <w:tcW w:w="2713" w:type="dxa"/>
            <w:gridSpan w:val="2"/>
            <w:vMerge w:val="restart"/>
            <w:tcBorders>
              <w:top w:val="outset" w:sz="6" w:space="0" w:color="auto"/>
              <w:left w:val="outset" w:sz="6" w:space="0" w:color="auto"/>
              <w:bottom w:val="outset" w:sz="6" w:space="0" w:color="auto"/>
              <w:right w:val="outset" w:sz="6" w:space="0" w:color="auto"/>
            </w:tcBorders>
            <w:noWrap/>
            <w:vAlign w:val="center"/>
          </w:tcPr>
          <w:p>
            <w:pPr>
              <w:pStyle w:val="25"/>
              <w:widowControl/>
              <w:spacing w:line="576" w:lineRule="exact"/>
              <w:jc w:val="center"/>
            </w:pPr>
            <w:r>
              <w:t>项目预算</w:t>
            </w:r>
          </w:p>
          <w:p>
            <w:pPr>
              <w:pStyle w:val="25"/>
              <w:widowControl/>
              <w:spacing w:line="576" w:lineRule="exact"/>
              <w:jc w:val="center"/>
            </w:pPr>
            <w:r>
              <w:t>执行情况</w:t>
            </w:r>
          </w:p>
          <w:p>
            <w:pPr>
              <w:pStyle w:val="25"/>
              <w:widowControl/>
              <w:spacing w:line="576" w:lineRule="exact"/>
              <w:jc w:val="center"/>
            </w:pPr>
            <w:r>
              <w:t>（万元）</w:t>
            </w:r>
          </w:p>
        </w:tc>
        <w:tc>
          <w:tcPr>
            <w:tcW w:w="1417" w:type="dxa"/>
            <w:tcBorders>
              <w:top w:val="outset" w:sz="6" w:space="0" w:color="auto"/>
              <w:left w:val="outset" w:sz="6" w:space="0" w:color="auto"/>
              <w:bottom w:val="outset" w:sz="6" w:space="0" w:color="auto"/>
              <w:right w:val="outset" w:sz="6" w:space="0" w:color="auto"/>
            </w:tcBorders>
            <w:noWrap/>
            <w:vAlign w:val="center"/>
          </w:tcPr>
          <w:p>
            <w:pPr>
              <w:pStyle w:val="25"/>
              <w:widowControl/>
              <w:spacing w:line="576" w:lineRule="exact"/>
              <w:jc w:val="center"/>
            </w:pPr>
            <w:r>
              <w:t> 预算数：</w:t>
            </w:r>
          </w:p>
        </w:tc>
        <w:tc>
          <w:tcPr>
            <w:tcW w:w="1051" w:type="dxa"/>
            <w:tcBorders>
              <w:top w:val="outset" w:sz="6" w:space="0" w:color="auto"/>
              <w:left w:val="outset" w:sz="6" w:space="0" w:color="auto"/>
              <w:bottom w:val="outset" w:sz="6" w:space="0" w:color="auto"/>
              <w:right w:val="outset" w:sz="6" w:space="0" w:color="auto"/>
            </w:tcBorders>
            <w:noWrap/>
            <w:vAlign w:val="center"/>
          </w:tcPr>
          <w:p>
            <w:pPr>
              <w:pStyle w:val="25"/>
              <w:widowControl/>
              <w:spacing w:line="576" w:lineRule="exact"/>
              <w:jc w:val="center"/>
            </w:pPr>
            <w:r>
              <w:t> </w:t>
            </w:r>
            <w:r>
              <w:rPr>
                <w:rFonts w:hint="eastAsia"/>
              </w:rPr>
              <w:t>1304</w:t>
            </w:r>
          </w:p>
        </w:tc>
        <w:tc>
          <w:tcPr>
            <w:tcW w:w="1089" w:type="dxa"/>
            <w:tcBorders>
              <w:top w:val="outset" w:sz="6" w:space="0" w:color="auto"/>
              <w:left w:val="outset" w:sz="6" w:space="0" w:color="auto"/>
              <w:bottom w:val="outset" w:sz="6" w:space="0" w:color="auto"/>
              <w:right w:val="outset" w:sz="6" w:space="0" w:color="auto"/>
            </w:tcBorders>
            <w:noWrap/>
            <w:vAlign w:val="center"/>
          </w:tcPr>
          <w:p>
            <w:pPr>
              <w:pStyle w:val="25"/>
              <w:widowControl/>
              <w:spacing w:line="576" w:lineRule="exact"/>
              <w:jc w:val="center"/>
            </w:pPr>
            <w:r>
              <w:t> 执行数：</w:t>
            </w:r>
          </w:p>
        </w:tc>
        <w:tc>
          <w:tcPr>
            <w:tcW w:w="2051" w:type="dxa"/>
            <w:tcBorders>
              <w:top w:val="outset" w:sz="6" w:space="0" w:color="auto"/>
              <w:left w:val="outset" w:sz="6" w:space="0" w:color="auto"/>
              <w:bottom w:val="outset" w:sz="6" w:space="0" w:color="auto"/>
              <w:right w:val="outset" w:sz="6" w:space="0" w:color="auto"/>
            </w:tcBorders>
            <w:noWrap/>
            <w:vAlign w:val="center"/>
          </w:tcPr>
          <w:p>
            <w:pPr>
              <w:pStyle w:val="25"/>
              <w:widowControl/>
              <w:spacing w:line="576" w:lineRule="exact"/>
              <w:jc w:val="center"/>
            </w:pPr>
            <w:r>
              <w:rPr>
                <w:rFonts w:hint="eastAsia"/>
              </w:rPr>
              <w:t>1304</w:t>
            </w:r>
            <w:r>
              <w:t> </w:t>
            </w:r>
          </w:p>
        </w:tc>
      </w:tr>
      <w:tr>
        <w:trPr>
          <w:trHeight w:val="555"/>
        </w:trPr>
        <w:tc>
          <w:tcPr>
            <w:tcW w:w="2713" w:type="dxa"/>
            <w:gridSpan w:val="2"/>
            <w:vMerge/>
            <w:tcBorders>
              <w:top w:val="outset" w:sz="6" w:space="0" w:color="auto"/>
              <w:left w:val="outset" w:sz="6" w:space="0" w:color="auto"/>
              <w:bottom w:val="outset" w:sz="6" w:space="0" w:color="auto"/>
              <w:right w:val="outset" w:sz="6" w:space="0" w:color="auto"/>
            </w:tcBorders>
            <w:noWrap/>
            <w:vAlign w:val="center"/>
          </w:tcPr>
          <w:p/>
        </w:tc>
        <w:tc>
          <w:tcPr>
            <w:tcW w:w="1417" w:type="dxa"/>
            <w:tcBorders>
              <w:top w:val="outset" w:sz="6" w:space="0" w:color="auto"/>
              <w:left w:val="outset" w:sz="6" w:space="0" w:color="auto"/>
              <w:bottom w:val="outset" w:sz="6" w:space="0" w:color="auto"/>
              <w:right w:val="outset" w:sz="6" w:space="0" w:color="auto"/>
            </w:tcBorders>
            <w:noWrap/>
            <w:vAlign w:val="center"/>
          </w:tcPr>
          <w:p>
            <w:pPr>
              <w:pStyle w:val="25"/>
              <w:widowControl/>
              <w:spacing w:line="576" w:lineRule="exact"/>
              <w:jc w:val="center"/>
              <w:rPr>
                <w:rFonts w:ascii="宋体"/>
                <w:sz w:val="24"/>
              </w:rPr>
            </w:pPr>
            <w:r>
              <w:t>其中：</w:t>
            </w:r>
          </w:p>
          <w:p>
            <w:pPr>
              <w:pStyle w:val="25"/>
              <w:widowControl/>
              <w:spacing w:line="576" w:lineRule="exact"/>
              <w:jc w:val="center"/>
            </w:pPr>
            <w:r>
              <w:t>财政拨款</w:t>
            </w:r>
          </w:p>
        </w:tc>
        <w:tc>
          <w:tcPr>
            <w:tcW w:w="1051" w:type="dxa"/>
            <w:tcBorders>
              <w:top w:val="outset" w:sz="6" w:space="0" w:color="auto"/>
              <w:left w:val="outset" w:sz="6" w:space="0" w:color="auto"/>
              <w:bottom w:val="outset" w:sz="6" w:space="0" w:color="auto"/>
              <w:right w:val="outset" w:sz="6" w:space="0" w:color="auto"/>
            </w:tcBorders>
            <w:noWrap/>
            <w:vAlign w:val="center"/>
          </w:tcPr>
          <w:p>
            <w:pPr>
              <w:pStyle w:val="25"/>
              <w:widowControl/>
              <w:spacing w:line="576" w:lineRule="exact"/>
              <w:jc w:val="center"/>
            </w:pPr>
            <w:r>
              <w:rPr>
                <w:rFonts w:hint="eastAsia"/>
              </w:rPr>
              <w:t>1304</w:t>
            </w:r>
            <w:r>
              <w:t> </w:t>
            </w:r>
          </w:p>
        </w:tc>
        <w:tc>
          <w:tcPr>
            <w:tcW w:w="1089" w:type="dxa"/>
            <w:tcBorders>
              <w:top w:val="outset" w:sz="6" w:space="0" w:color="auto"/>
              <w:left w:val="outset" w:sz="6" w:space="0" w:color="auto"/>
              <w:bottom w:val="outset" w:sz="6" w:space="0" w:color="auto"/>
              <w:right w:val="outset" w:sz="6" w:space="0" w:color="auto"/>
            </w:tcBorders>
            <w:noWrap/>
            <w:vAlign w:val="center"/>
          </w:tcPr>
          <w:p>
            <w:pPr>
              <w:pStyle w:val="25"/>
              <w:widowControl/>
              <w:spacing w:line="576" w:lineRule="exact"/>
              <w:jc w:val="center"/>
            </w:pPr>
            <w:r>
              <w:t>其中：</w:t>
            </w:r>
          </w:p>
          <w:p>
            <w:pPr>
              <w:pStyle w:val="25"/>
              <w:widowControl/>
              <w:spacing w:line="576" w:lineRule="exact"/>
              <w:jc w:val="center"/>
            </w:pPr>
            <w:r>
              <w:t>财政拨款</w:t>
            </w:r>
          </w:p>
        </w:tc>
        <w:tc>
          <w:tcPr>
            <w:tcW w:w="2051" w:type="dxa"/>
            <w:tcBorders>
              <w:top w:val="outset" w:sz="6" w:space="0" w:color="auto"/>
              <w:left w:val="outset" w:sz="6" w:space="0" w:color="auto"/>
              <w:bottom w:val="outset" w:sz="6" w:space="0" w:color="auto"/>
              <w:right w:val="outset" w:sz="6" w:space="0" w:color="auto"/>
            </w:tcBorders>
            <w:noWrap/>
            <w:vAlign w:val="center"/>
          </w:tcPr>
          <w:p>
            <w:pPr>
              <w:pStyle w:val="25"/>
              <w:widowControl/>
              <w:spacing w:line="576" w:lineRule="exact"/>
              <w:jc w:val="center"/>
            </w:pPr>
            <w:r>
              <w:t> </w:t>
            </w:r>
            <w:r>
              <w:rPr>
                <w:rFonts w:hint="eastAsia"/>
              </w:rPr>
              <w:t>1304</w:t>
            </w:r>
          </w:p>
        </w:tc>
      </w:tr>
      <w:tr>
        <w:trPr>
          <w:trHeight w:val="345"/>
        </w:trPr>
        <w:tc>
          <w:tcPr>
            <w:tcW w:w="2713" w:type="dxa"/>
            <w:gridSpan w:val="2"/>
            <w:vMerge/>
            <w:tcBorders>
              <w:top w:val="outset" w:sz="6" w:space="0" w:color="auto"/>
              <w:left w:val="outset" w:sz="6" w:space="0" w:color="auto"/>
              <w:bottom w:val="outset" w:sz="6" w:space="0" w:color="auto"/>
              <w:right w:val="outset" w:sz="6" w:space="0" w:color="auto"/>
            </w:tcBorders>
            <w:noWrap/>
            <w:vAlign w:val="center"/>
          </w:tcPr>
          <w:p/>
        </w:tc>
        <w:tc>
          <w:tcPr>
            <w:tcW w:w="1417" w:type="dxa"/>
            <w:tcBorders>
              <w:top w:val="outset" w:sz="6" w:space="0" w:color="auto"/>
              <w:left w:val="outset" w:sz="6" w:space="0" w:color="auto"/>
              <w:bottom w:val="outset" w:sz="6" w:space="0" w:color="auto"/>
              <w:right w:val="outset" w:sz="6" w:space="0" w:color="auto"/>
            </w:tcBorders>
            <w:noWrap/>
            <w:vAlign w:val="center"/>
          </w:tcPr>
          <w:p>
            <w:pPr>
              <w:pStyle w:val="25"/>
              <w:widowControl/>
              <w:spacing w:line="576" w:lineRule="exact"/>
              <w:jc w:val="center"/>
              <w:rPr>
                <w:rFonts w:ascii="宋体"/>
                <w:sz w:val="24"/>
              </w:rPr>
            </w:pPr>
            <w:r>
              <w:t>其他资金</w:t>
            </w:r>
          </w:p>
        </w:tc>
        <w:tc>
          <w:tcPr>
            <w:tcW w:w="1051" w:type="dxa"/>
            <w:tcBorders>
              <w:top w:val="outset" w:sz="6" w:space="0" w:color="auto"/>
              <w:left w:val="outset" w:sz="6" w:space="0" w:color="auto"/>
              <w:bottom w:val="outset" w:sz="6" w:space="0" w:color="auto"/>
              <w:right w:val="outset" w:sz="6" w:space="0" w:color="auto"/>
            </w:tcBorders>
            <w:noWrap/>
            <w:vAlign w:val="center"/>
          </w:tcPr>
          <w:p>
            <w:pPr>
              <w:pStyle w:val="25"/>
              <w:widowControl/>
              <w:spacing w:line="576" w:lineRule="exact"/>
              <w:jc w:val="center"/>
            </w:pPr>
            <w:r>
              <w:t> </w:t>
            </w:r>
          </w:p>
        </w:tc>
        <w:tc>
          <w:tcPr>
            <w:tcW w:w="1089" w:type="dxa"/>
            <w:tcBorders>
              <w:top w:val="outset" w:sz="6" w:space="0" w:color="auto"/>
              <w:left w:val="outset" w:sz="6" w:space="0" w:color="auto"/>
              <w:bottom w:val="outset" w:sz="6" w:space="0" w:color="auto"/>
              <w:right w:val="outset" w:sz="6" w:space="0" w:color="auto"/>
            </w:tcBorders>
            <w:noWrap/>
            <w:vAlign w:val="center"/>
          </w:tcPr>
          <w:p>
            <w:pPr>
              <w:pStyle w:val="25"/>
              <w:widowControl/>
              <w:spacing w:line="576" w:lineRule="exact"/>
              <w:jc w:val="center"/>
            </w:pPr>
            <w:r>
              <w:t>其他资金</w:t>
            </w:r>
          </w:p>
        </w:tc>
        <w:tc>
          <w:tcPr>
            <w:tcW w:w="2051" w:type="dxa"/>
            <w:tcBorders>
              <w:top w:val="outset" w:sz="6" w:space="0" w:color="auto"/>
              <w:left w:val="outset" w:sz="6" w:space="0" w:color="auto"/>
              <w:bottom w:val="outset" w:sz="6" w:space="0" w:color="auto"/>
              <w:right w:val="outset" w:sz="6" w:space="0" w:color="auto"/>
            </w:tcBorders>
            <w:noWrap/>
            <w:vAlign w:val="center"/>
          </w:tcPr>
          <w:p>
            <w:pPr>
              <w:pStyle w:val="25"/>
              <w:widowControl/>
              <w:spacing w:line="576" w:lineRule="exact"/>
              <w:jc w:val="center"/>
            </w:pPr>
            <w:r>
              <w:t> </w:t>
            </w:r>
          </w:p>
        </w:tc>
      </w:tr>
      <w:tr>
        <w:trPr>
          <w:trHeight w:val="211"/>
        </w:trPr>
        <w:tc>
          <w:tcPr>
            <w:tcW w:w="1699" w:type="dxa"/>
            <w:vMerge w:val="restart"/>
            <w:tcBorders>
              <w:top w:val="outset" w:sz="6" w:space="0" w:color="auto"/>
              <w:left w:val="outset" w:sz="6" w:space="0" w:color="auto"/>
              <w:bottom w:val="outset" w:sz="6" w:space="0" w:color="auto"/>
              <w:right w:val="outset" w:sz="6" w:space="0" w:color="auto"/>
            </w:tcBorders>
            <w:noWrap/>
            <w:vAlign w:val="center"/>
          </w:tcPr>
          <w:p>
            <w:pPr>
              <w:pStyle w:val="25"/>
              <w:widowControl/>
              <w:spacing w:line="576" w:lineRule="exact"/>
              <w:jc w:val="center"/>
            </w:pPr>
            <w:r>
              <w:t>年度总体目标</w:t>
            </w:r>
          </w:p>
          <w:p>
            <w:pPr>
              <w:pStyle w:val="25"/>
              <w:widowControl/>
              <w:spacing w:line="576" w:lineRule="exact"/>
              <w:jc w:val="center"/>
            </w:pPr>
            <w:r>
              <w:t>完成情况</w:t>
            </w:r>
          </w:p>
        </w:tc>
        <w:tc>
          <w:tcPr>
            <w:tcW w:w="3482" w:type="dxa"/>
            <w:gridSpan w:val="3"/>
            <w:tcBorders>
              <w:top w:val="outset" w:sz="6" w:space="0" w:color="auto"/>
              <w:left w:val="outset" w:sz="6" w:space="0" w:color="auto"/>
              <w:bottom w:val="outset" w:sz="6" w:space="0" w:color="auto"/>
              <w:right w:val="outset" w:sz="6" w:space="0" w:color="auto"/>
            </w:tcBorders>
            <w:noWrap/>
            <w:vAlign w:val="center"/>
          </w:tcPr>
          <w:p>
            <w:pPr>
              <w:pStyle w:val="25"/>
              <w:widowControl/>
              <w:spacing w:line="576" w:lineRule="exact"/>
              <w:jc w:val="center"/>
            </w:pPr>
            <w:r>
              <w:t>预期目标</w:t>
            </w:r>
          </w:p>
        </w:tc>
        <w:tc>
          <w:tcPr>
            <w:tcW w:w="3140" w:type="dxa"/>
            <w:gridSpan w:val="2"/>
            <w:tcBorders>
              <w:top w:val="outset" w:sz="6" w:space="0" w:color="auto"/>
              <w:left w:val="outset" w:sz="6" w:space="0" w:color="auto"/>
              <w:bottom w:val="outset" w:sz="6" w:space="0" w:color="auto"/>
              <w:right w:val="outset" w:sz="6" w:space="0" w:color="auto"/>
            </w:tcBorders>
            <w:noWrap/>
            <w:vAlign w:val="center"/>
          </w:tcPr>
          <w:p>
            <w:pPr>
              <w:pStyle w:val="25"/>
              <w:widowControl/>
              <w:spacing w:line="576" w:lineRule="exact"/>
              <w:jc w:val="center"/>
            </w:pPr>
            <w:r>
              <w:t>目标实际完成情况</w:t>
            </w:r>
          </w:p>
        </w:tc>
      </w:tr>
      <w:tr>
        <w:trPr>
          <w:trHeight w:val="795"/>
        </w:trPr>
        <w:tc>
          <w:tcPr>
            <w:tcW w:w="1699" w:type="dxa"/>
            <w:vMerge/>
            <w:tcBorders>
              <w:top w:val="outset" w:sz="6" w:space="0" w:color="auto"/>
              <w:left w:val="outset" w:sz="6" w:space="0" w:color="auto"/>
              <w:bottom w:val="outset" w:sz="6" w:space="0" w:color="auto"/>
              <w:right w:val="outset" w:sz="6" w:space="0" w:color="auto"/>
            </w:tcBorders>
            <w:noWrap/>
            <w:vAlign w:val="center"/>
          </w:tcPr>
          <w:p/>
        </w:tc>
        <w:tc>
          <w:tcPr>
            <w:tcW w:w="3482" w:type="dxa"/>
            <w:gridSpan w:val="3"/>
            <w:tcBorders>
              <w:top w:val="outset" w:sz="6" w:space="0" w:color="auto"/>
              <w:left w:val="outset" w:sz="6" w:space="0" w:color="auto"/>
              <w:bottom w:val="outset" w:sz="6" w:space="0" w:color="auto"/>
              <w:right w:val="outset" w:sz="6" w:space="0" w:color="auto"/>
            </w:tcBorders>
            <w:noWrap/>
            <w:vAlign w:val="center"/>
          </w:tcPr>
          <w:p>
            <w:pPr>
              <w:pStyle w:val="25"/>
              <w:widowControl/>
              <w:spacing w:line="576" w:lineRule="exact"/>
              <w:jc w:val="center"/>
              <w:rPr>
                <w:rFonts w:ascii="宋体"/>
                <w:sz w:val="24"/>
              </w:rPr>
            </w:pPr>
            <w:r>
              <w:t> </w:t>
            </w:r>
            <w:r>
              <w:rPr>
                <w:rFonts w:hint="eastAsia"/>
              </w:rPr>
              <w:t>资金按规定用于职业培训补贴、社会保险补贴、公益性岗位补贴、就业见习补贴、求职创业服务补助等支出。</w:t>
            </w:r>
          </w:p>
        </w:tc>
        <w:tc>
          <w:tcPr>
            <w:tcW w:w="3140" w:type="dxa"/>
            <w:gridSpan w:val="2"/>
            <w:tcBorders>
              <w:top w:val="outset" w:sz="6" w:space="0" w:color="auto"/>
              <w:left w:val="outset" w:sz="6" w:space="0" w:color="auto"/>
              <w:bottom w:val="outset" w:sz="6" w:space="0" w:color="auto"/>
              <w:right w:val="outset" w:sz="6" w:space="0" w:color="auto"/>
            </w:tcBorders>
            <w:noWrap/>
            <w:vAlign w:val="center"/>
          </w:tcPr>
          <w:p>
            <w:pPr>
              <w:pStyle w:val="25"/>
              <w:widowControl/>
              <w:spacing w:line="576" w:lineRule="exact"/>
              <w:jc w:val="center"/>
            </w:pPr>
            <w:r>
              <w:rPr>
                <w:rFonts w:hint="eastAsia"/>
              </w:rPr>
              <w:t>资金按规定用于职业培训补贴、社会保险补贴、公益性岗位补贴、就业见习补贴、求职创业服务补助等支出。</w:t>
            </w:r>
            <w:r>
              <w:t> </w:t>
            </w:r>
          </w:p>
        </w:tc>
      </w:tr>
      <w:tr>
        <w:trPr>
          <w:trHeight w:val="690"/>
        </w:trPr>
        <w:tc>
          <w:tcPr>
            <w:tcW w:w="1699" w:type="dxa"/>
            <w:vMerge w:val="restart"/>
            <w:tcBorders>
              <w:top w:val="outset" w:sz="6" w:space="0" w:color="auto"/>
              <w:left w:val="outset" w:sz="6" w:space="0" w:color="auto"/>
              <w:bottom w:val="outset" w:sz="6" w:space="0" w:color="auto"/>
              <w:right w:val="outset" w:sz="6" w:space="0" w:color="auto"/>
            </w:tcBorders>
            <w:noWrap/>
            <w:vAlign w:val="center"/>
          </w:tcPr>
          <w:p>
            <w:pPr>
              <w:pStyle w:val="25"/>
              <w:widowControl/>
              <w:spacing w:line="576" w:lineRule="exact"/>
              <w:jc w:val="center"/>
            </w:pPr>
            <w:r>
              <w:t>年度绩效指标完成情况</w:t>
            </w:r>
          </w:p>
        </w:tc>
        <w:tc>
          <w:tcPr>
            <w:tcW w:w="1014" w:type="dxa"/>
            <w:tcBorders>
              <w:top w:val="outset" w:sz="6" w:space="0" w:color="auto"/>
              <w:left w:val="outset" w:sz="6" w:space="0" w:color="auto"/>
              <w:bottom w:val="outset" w:sz="6" w:space="0" w:color="auto"/>
              <w:right w:val="outset" w:sz="6" w:space="0" w:color="auto"/>
            </w:tcBorders>
            <w:noWrap/>
            <w:vAlign w:val="center"/>
          </w:tcPr>
          <w:p>
            <w:pPr>
              <w:pStyle w:val="25"/>
              <w:widowControl/>
              <w:spacing w:line="576" w:lineRule="exact"/>
              <w:jc w:val="center"/>
            </w:pPr>
            <w:r>
              <w:t>一级</w:t>
            </w:r>
          </w:p>
          <w:p>
            <w:pPr>
              <w:pStyle w:val="25"/>
              <w:widowControl/>
              <w:spacing w:line="576" w:lineRule="exact"/>
              <w:jc w:val="center"/>
            </w:pPr>
            <w:r>
              <w:t>指标</w:t>
            </w:r>
          </w:p>
        </w:tc>
        <w:tc>
          <w:tcPr>
            <w:tcW w:w="1417" w:type="dxa"/>
            <w:tcBorders>
              <w:top w:val="outset" w:sz="6" w:space="0" w:color="auto"/>
              <w:left w:val="outset" w:sz="6" w:space="0" w:color="auto"/>
              <w:bottom w:val="outset" w:sz="6" w:space="0" w:color="auto"/>
              <w:right w:val="outset" w:sz="6" w:space="0" w:color="auto"/>
            </w:tcBorders>
            <w:noWrap/>
            <w:vAlign w:val="center"/>
          </w:tcPr>
          <w:p>
            <w:pPr>
              <w:pStyle w:val="25"/>
              <w:widowControl/>
              <w:spacing w:line="576" w:lineRule="exact"/>
              <w:jc w:val="center"/>
            </w:pPr>
            <w:r>
              <w:t>二级</w:t>
            </w:r>
          </w:p>
          <w:p>
            <w:pPr>
              <w:pStyle w:val="25"/>
              <w:widowControl/>
              <w:spacing w:line="576" w:lineRule="exact"/>
              <w:jc w:val="center"/>
            </w:pPr>
            <w:r>
              <w:t>指标</w:t>
            </w:r>
          </w:p>
        </w:tc>
        <w:tc>
          <w:tcPr>
            <w:tcW w:w="1051" w:type="dxa"/>
            <w:tcBorders>
              <w:top w:val="outset" w:sz="6" w:space="0" w:color="auto"/>
              <w:left w:val="outset" w:sz="6" w:space="0" w:color="auto"/>
              <w:bottom w:val="outset" w:sz="6" w:space="0" w:color="auto"/>
              <w:right w:val="outset" w:sz="6" w:space="0" w:color="auto"/>
            </w:tcBorders>
            <w:noWrap/>
            <w:vAlign w:val="center"/>
          </w:tcPr>
          <w:p>
            <w:pPr>
              <w:pStyle w:val="25"/>
              <w:widowControl/>
              <w:spacing w:line="576" w:lineRule="exact"/>
              <w:jc w:val="center"/>
            </w:pPr>
            <w:r>
              <w:t>三级</w:t>
            </w:r>
          </w:p>
          <w:p>
            <w:pPr>
              <w:pStyle w:val="25"/>
              <w:widowControl/>
              <w:spacing w:line="576" w:lineRule="exact"/>
              <w:jc w:val="center"/>
            </w:pPr>
            <w:r>
              <w:t>指标</w:t>
            </w:r>
          </w:p>
        </w:tc>
        <w:tc>
          <w:tcPr>
            <w:tcW w:w="1089" w:type="dxa"/>
            <w:tcBorders>
              <w:top w:val="outset" w:sz="6" w:space="0" w:color="auto"/>
              <w:left w:val="outset" w:sz="6" w:space="0" w:color="auto"/>
              <w:bottom w:val="outset" w:sz="6" w:space="0" w:color="auto"/>
              <w:right w:val="outset" w:sz="6" w:space="0" w:color="auto"/>
            </w:tcBorders>
            <w:noWrap/>
            <w:vAlign w:val="center"/>
          </w:tcPr>
          <w:p>
            <w:pPr>
              <w:pStyle w:val="25"/>
              <w:widowControl/>
              <w:spacing w:line="576" w:lineRule="exact"/>
              <w:jc w:val="center"/>
            </w:pPr>
            <w:r>
              <w:t>预期指标值</w:t>
            </w:r>
          </w:p>
        </w:tc>
        <w:tc>
          <w:tcPr>
            <w:tcW w:w="2051" w:type="dxa"/>
            <w:tcBorders>
              <w:top w:val="outset" w:sz="6" w:space="0" w:color="auto"/>
              <w:left w:val="outset" w:sz="6" w:space="0" w:color="auto"/>
              <w:bottom w:val="outset" w:sz="6" w:space="0" w:color="auto"/>
              <w:right w:val="outset" w:sz="6" w:space="0" w:color="auto"/>
            </w:tcBorders>
            <w:noWrap/>
            <w:vAlign w:val="center"/>
          </w:tcPr>
          <w:p>
            <w:pPr>
              <w:pStyle w:val="25"/>
              <w:widowControl/>
              <w:spacing w:line="576" w:lineRule="exact"/>
              <w:jc w:val="center"/>
            </w:pPr>
            <w:r>
              <w:t>实际完成指标值</w:t>
            </w:r>
          </w:p>
        </w:tc>
      </w:tr>
      <w:tr>
        <w:trPr>
          <w:trHeight w:val="420"/>
        </w:trPr>
        <w:tc>
          <w:tcPr>
            <w:tcW w:w="1699" w:type="dxa"/>
            <w:vMerge/>
            <w:tcBorders>
              <w:top w:val="outset" w:sz="6" w:space="0" w:color="auto"/>
              <w:left w:val="outset" w:sz="6" w:space="0" w:color="auto"/>
              <w:bottom w:val="outset" w:sz="6" w:space="0" w:color="auto"/>
              <w:right w:val="outset" w:sz="6" w:space="0" w:color="auto"/>
            </w:tcBorders>
            <w:noWrap/>
            <w:vAlign w:val="center"/>
          </w:tcPr>
          <w:p/>
        </w:tc>
        <w:tc>
          <w:tcPr>
            <w:tcW w:w="1014" w:type="dxa"/>
            <w:vMerge w:val="restart"/>
            <w:tcBorders>
              <w:top w:val="outset" w:sz="6" w:space="0" w:color="auto"/>
              <w:left w:val="outset" w:sz="6" w:space="0" w:color="auto"/>
              <w:bottom w:val="outset" w:sz="6" w:space="0" w:color="auto"/>
              <w:right w:val="outset" w:sz="6" w:space="0" w:color="auto"/>
            </w:tcBorders>
            <w:noWrap/>
            <w:vAlign w:val="center"/>
          </w:tcPr>
          <w:p>
            <w:pPr>
              <w:pStyle w:val="25"/>
              <w:widowControl/>
              <w:spacing w:line="576" w:lineRule="exact"/>
              <w:jc w:val="center"/>
              <w:rPr>
                <w:rFonts w:ascii="宋体"/>
                <w:sz w:val="24"/>
              </w:rPr>
            </w:pPr>
            <w:r>
              <w:t>完成</w:t>
            </w:r>
          </w:p>
          <w:p>
            <w:pPr>
              <w:pStyle w:val="25"/>
              <w:widowControl/>
              <w:spacing w:line="576" w:lineRule="exact"/>
              <w:jc w:val="center"/>
            </w:pPr>
            <w:r>
              <w:t>指标</w:t>
            </w:r>
          </w:p>
        </w:tc>
        <w:tc>
          <w:tcPr>
            <w:tcW w:w="1417" w:type="dxa"/>
            <w:tcBorders>
              <w:top w:val="outset" w:sz="6" w:space="0" w:color="auto"/>
              <w:left w:val="outset" w:sz="6" w:space="0" w:color="auto"/>
              <w:bottom w:val="outset" w:sz="6" w:space="0" w:color="auto"/>
              <w:right w:val="outset" w:sz="6" w:space="0" w:color="auto"/>
            </w:tcBorders>
            <w:noWrap/>
            <w:vAlign w:val="center"/>
          </w:tcPr>
          <w:p>
            <w:pPr>
              <w:pStyle w:val="25"/>
              <w:widowControl/>
              <w:spacing w:line="576" w:lineRule="exact"/>
              <w:jc w:val="center"/>
            </w:pPr>
            <w:r>
              <w:t>数量指标</w:t>
            </w:r>
          </w:p>
        </w:tc>
        <w:tc>
          <w:tcPr>
            <w:tcW w:w="1051" w:type="dxa"/>
            <w:tcBorders>
              <w:top w:val="outset" w:sz="6" w:space="0" w:color="auto"/>
              <w:left w:val="outset" w:sz="6" w:space="0" w:color="auto"/>
              <w:bottom w:val="outset" w:sz="6" w:space="0" w:color="auto"/>
              <w:right w:val="outset" w:sz="6" w:space="0" w:color="auto"/>
            </w:tcBorders>
            <w:noWrap/>
            <w:vAlign w:val="center"/>
          </w:tcPr>
          <w:p>
            <w:pPr>
              <w:pStyle w:val="25"/>
              <w:widowControl/>
              <w:spacing w:line="576" w:lineRule="exact"/>
            </w:pPr>
            <w:r>
              <w:rPr>
                <w:rFonts w:hint="eastAsia"/>
              </w:rPr>
              <w:t>公益性补贴人数</w:t>
            </w:r>
          </w:p>
        </w:tc>
        <w:tc>
          <w:tcPr>
            <w:tcW w:w="1089" w:type="dxa"/>
            <w:tcBorders>
              <w:top w:val="outset" w:sz="6" w:space="0" w:color="auto"/>
              <w:left w:val="outset" w:sz="6" w:space="0" w:color="auto"/>
              <w:bottom w:val="outset" w:sz="6" w:space="0" w:color="auto"/>
              <w:right w:val="outset" w:sz="6" w:space="0" w:color="auto"/>
            </w:tcBorders>
            <w:noWrap/>
            <w:vAlign w:val="center"/>
          </w:tcPr>
          <w:p>
            <w:pPr>
              <w:pStyle w:val="25"/>
              <w:widowControl/>
              <w:spacing w:line="576" w:lineRule="exact"/>
              <w:jc w:val="center"/>
            </w:pPr>
            <w:r>
              <w:rPr>
                <w:rFonts w:hint="eastAsia"/>
              </w:rPr>
              <w:t>800人</w:t>
            </w:r>
            <w:r>
              <w:t> </w:t>
            </w:r>
          </w:p>
        </w:tc>
        <w:tc>
          <w:tcPr>
            <w:tcW w:w="2051" w:type="dxa"/>
            <w:tcBorders>
              <w:top w:val="outset" w:sz="6" w:space="0" w:color="auto"/>
              <w:left w:val="outset" w:sz="6" w:space="0" w:color="auto"/>
              <w:bottom w:val="outset" w:sz="6" w:space="0" w:color="auto"/>
              <w:right w:val="outset" w:sz="6" w:space="0" w:color="auto"/>
            </w:tcBorders>
            <w:noWrap/>
            <w:vAlign w:val="center"/>
          </w:tcPr>
          <w:p>
            <w:pPr>
              <w:pStyle w:val="25"/>
              <w:widowControl/>
              <w:spacing w:line="576" w:lineRule="exact"/>
              <w:jc w:val="center"/>
            </w:pPr>
            <w:r>
              <w:t> </w:t>
            </w:r>
            <w:r>
              <w:rPr>
                <w:rFonts w:hint="eastAsia"/>
              </w:rPr>
              <w:t>1359人</w:t>
            </w:r>
          </w:p>
        </w:tc>
      </w:tr>
      <w:tr>
        <w:trPr>
          <w:trHeight w:val="420"/>
        </w:trPr>
        <w:tc>
          <w:tcPr>
            <w:tcW w:w="1699" w:type="dxa"/>
            <w:vMerge/>
            <w:tcBorders>
              <w:top w:val="outset" w:sz="6" w:space="0" w:color="auto"/>
              <w:left w:val="outset" w:sz="6" w:space="0" w:color="auto"/>
              <w:bottom w:val="outset" w:sz="6" w:space="0" w:color="auto"/>
              <w:right w:val="outset" w:sz="6" w:space="0" w:color="auto"/>
            </w:tcBorders>
            <w:noWrap/>
            <w:vAlign w:val="center"/>
          </w:tcPr>
          <w:p/>
        </w:tc>
        <w:tc>
          <w:tcPr>
            <w:tcW w:w="1014" w:type="dxa"/>
            <w:vMerge/>
            <w:tcBorders>
              <w:top w:val="outset" w:sz="6" w:space="0" w:color="auto"/>
              <w:left w:val="outset" w:sz="6" w:space="0" w:color="auto"/>
              <w:bottom w:val="outset" w:sz="6" w:space="0" w:color="auto"/>
              <w:right w:val="outset" w:sz="6" w:space="0" w:color="auto"/>
            </w:tcBorders>
            <w:noWrap/>
            <w:vAlign w:val="center"/>
          </w:tcPr>
          <w:p/>
        </w:tc>
        <w:tc>
          <w:tcPr>
            <w:tcW w:w="1417" w:type="dxa"/>
            <w:tcBorders>
              <w:top w:val="outset" w:sz="6" w:space="0" w:color="auto"/>
              <w:left w:val="outset" w:sz="6" w:space="0" w:color="auto"/>
              <w:bottom w:val="outset" w:sz="6" w:space="0" w:color="auto"/>
              <w:right w:val="outset" w:sz="6" w:space="0" w:color="auto"/>
            </w:tcBorders>
            <w:noWrap/>
            <w:vAlign w:val="center"/>
          </w:tcPr>
          <w:p>
            <w:pPr>
              <w:pStyle w:val="25"/>
              <w:widowControl/>
              <w:spacing w:line="576" w:lineRule="exact"/>
              <w:jc w:val="center"/>
              <w:rPr>
                <w:rFonts w:ascii="宋体"/>
                <w:sz w:val="24"/>
              </w:rPr>
            </w:pPr>
            <w:r>
              <w:t>数量指标</w:t>
            </w:r>
          </w:p>
        </w:tc>
        <w:tc>
          <w:tcPr>
            <w:tcW w:w="1051" w:type="dxa"/>
            <w:tcBorders>
              <w:top w:val="outset" w:sz="6" w:space="0" w:color="auto"/>
              <w:left w:val="outset" w:sz="6" w:space="0" w:color="auto"/>
              <w:bottom w:val="outset" w:sz="6" w:space="0" w:color="auto"/>
              <w:right w:val="outset" w:sz="6" w:space="0" w:color="auto"/>
            </w:tcBorders>
            <w:noWrap/>
            <w:vAlign w:val="center"/>
          </w:tcPr>
          <w:p>
            <w:pPr>
              <w:pStyle w:val="25"/>
              <w:widowControl/>
              <w:spacing w:line="576" w:lineRule="exact"/>
            </w:pPr>
            <w:r>
              <w:rPr>
                <w:rFonts w:hint="eastAsia"/>
              </w:rPr>
              <w:t>见习补贴人数</w:t>
            </w:r>
          </w:p>
        </w:tc>
        <w:tc>
          <w:tcPr>
            <w:tcW w:w="1089" w:type="dxa"/>
            <w:tcBorders>
              <w:top w:val="outset" w:sz="6" w:space="0" w:color="auto"/>
              <w:left w:val="outset" w:sz="6" w:space="0" w:color="auto"/>
              <w:bottom w:val="outset" w:sz="6" w:space="0" w:color="auto"/>
              <w:right w:val="outset" w:sz="6" w:space="0" w:color="auto"/>
            </w:tcBorders>
            <w:noWrap/>
            <w:vAlign w:val="center"/>
          </w:tcPr>
          <w:p>
            <w:pPr>
              <w:pStyle w:val="25"/>
              <w:widowControl/>
              <w:spacing w:line="576" w:lineRule="exact"/>
              <w:jc w:val="center"/>
            </w:pPr>
            <w:r>
              <w:rPr>
                <w:rFonts w:hint="eastAsia"/>
              </w:rPr>
              <w:t>107人</w:t>
            </w:r>
          </w:p>
        </w:tc>
        <w:tc>
          <w:tcPr>
            <w:tcW w:w="2051" w:type="dxa"/>
            <w:tcBorders>
              <w:top w:val="outset" w:sz="6" w:space="0" w:color="auto"/>
              <w:left w:val="outset" w:sz="6" w:space="0" w:color="auto"/>
              <w:bottom w:val="outset" w:sz="6" w:space="0" w:color="auto"/>
              <w:right w:val="outset" w:sz="6" w:space="0" w:color="auto"/>
            </w:tcBorders>
            <w:noWrap/>
            <w:vAlign w:val="center"/>
          </w:tcPr>
          <w:p>
            <w:pPr>
              <w:pStyle w:val="25"/>
              <w:widowControl/>
              <w:spacing w:line="576" w:lineRule="exact"/>
              <w:jc w:val="center"/>
              <w:rPr>
                <w:rFonts w:eastAsia="宋体"/>
                <w:lang w:val="en-US" w:eastAsia="zh-CN"/>
              </w:rPr>
            </w:pPr>
            <w:r>
              <w:rPr>
                <w:rFonts w:hint="eastAsia"/>
                <w:lang w:val="en-US" w:eastAsia="zh-CN"/>
              </w:rPr>
              <w:t>107人</w:t>
            </w:r>
          </w:p>
        </w:tc>
      </w:tr>
      <w:tr>
        <w:trPr>
          <w:trHeight w:val="420"/>
        </w:trPr>
        <w:tc>
          <w:tcPr>
            <w:tcW w:w="1699" w:type="dxa"/>
            <w:vMerge/>
            <w:tcBorders>
              <w:top w:val="outset" w:sz="6" w:space="0" w:color="auto"/>
              <w:left w:val="outset" w:sz="6" w:space="0" w:color="auto"/>
              <w:bottom w:val="outset" w:sz="6" w:space="0" w:color="auto"/>
              <w:right w:val="outset" w:sz="6" w:space="0" w:color="auto"/>
            </w:tcBorders>
            <w:noWrap/>
            <w:vAlign w:val="center"/>
          </w:tcPr>
          <w:p/>
        </w:tc>
        <w:tc>
          <w:tcPr>
            <w:tcW w:w="1014" w:type="dxa"/>
            <w:vMerge/>
            <w:tcBorders>
              <w:top w:val="outset" w:sz="6" w:space="0" w:color="auto"/>
              <w:left w:val="outset" w:sz="6" w:space="0" w:color="auto"/>
              <w:bottom w:val="outset" w:sz="6" w:space="0" w:color="auto"/>
              <w:right w:val="outset" w:sz="6" w:space="0" w:color="auto"/>
            </w:tcBorders>
            <w:noWrap/>
            <w:vAlign w:val="center"/>
          </w:tcPr>
          <w:p/>
        </w:tc>
        <w:tc>
          <w:tcPr>
            <w:tcW w:w="1417" w:type="dxa"/>
            <w:tcBorders>
              <w:top w:val="outset" w:sz="6" w:space="0" w:color="auto"/>
              <w:left w:val="outset" w:sz="6" w:space="0" w:color="auto"/>
              <w:bottom w:val="outset" w:sz="6" w:space="0" w:color="auto"/>
              <w:right w:val="outset" w:sz="6" w:space="0" w:color="auto"/>
            </w:tcBorders>
            <w:noWrap/>
            <w:vAlign w:val="center"/>
          </w:tcPr>
          <w:p>
            <w:pPr>
              <w:pStyle w:val="25"/>
              <w:widowControl/>
              <w:spacing w:line="576" w:lineRule="exact"/>
              <w:jc w:val="center"/>
              <w:rPr>
                <w:rFonts w:ascii="宋体"/>
                <w:sz w:val="24"/>
              </w:rPr>
            </w:pPr>
            <w:r>
              <w:t>数量指标</w:t>
            </w:r>
          </w:p>
        </w:tc>
        <w:tc>
          <w:tcPr>
            <w:tcW w:w="1051" w:type="dxa"/>
            <w:tcBorders>
              <w:top w:val="outset" w:sz="6" w:space="0" w:color="auto"/>
              <w:left w:val="outset" w:sz="6" w:space="0" w:color="auto"/>
              <w:bottom w:val="outset" w:sz="6" w:space="0" w:color="auto"/>
              <w:right w:val="outset" w:sz="6" w:space="0" w:color="auto"/>
            </w:tcBorders>
            <w:noWrap/>
            <w:vAlign w:val="center"/>
          </w:tcPr>
          <w:p>
            <w:pPr>
              <w:pStyle w:val="25"/>
              <w:widowControl/>
              <w:spacing w:line="576" w:lineRule="exact"/>
            </w:pPr>
            <w:r>
              <w:rPr>
                <w:rFonts w:hint="eastAsia"/>
              </w:rPr>
              <w:t>职业培训人数</w:t>
            </w:r>
          </w:p>
        </w:tc>
        <w:tc>
          <w:tcPr>
            <w:tcW w:w="1089" w:type="dxa"/>
            <w:tcBorders>
              <w:top w:val="outset" w:sz="6" w:space="0" w:color="auto"/>
              <w:left w:val="outset" w:sz="6" w:space="0" w:color="auto"/>
              <w:bottom w:val="outset" w:sz="6" w:space="0" w:color="auto"/>
              <w:right w:val="outset" w:sz="6" w:space="0" w:color="auto"/>
            </w:tcBorders>
            <w:noWrap/>
            <w:vAlign w:val="center"/>
          </w:tcPr>
          <w:p>
            <w:pPr>
              <w:pStyle w:val="25"/>
              <w:widowControl/>
              <w:spacing w:line="576" w:lineRule="exact"/>
              <w:jc w:val="center"/>
            </w:pPr>
            <w:r>
              <w:rPr>
                <w:rFonts w:hint="eastAsia"/>
              </w:rPr>
              <w:t>300人</w:t>
            </w:r>
          </w:p>
        </w:tc>
        <w:tc>
          <w:tcPr>
            <w:tcW w:w="2051" w:type="dxa"/>
            <w:tcBorders>
              <w:top w:val="outset" w:sz="6" w:space="0" w:color="auto"/>
              <w:left w:val="outset" w:sz="6" w:space="0" w:color="auto"/>
              <w:bottom w:val="outset" w:sz="6" w:space="0" w:color="auto"/>
              <w:right w:val="outset" w:sz="6" w:space="0" w:color="auto"/>
            </w:tcBorders>
            <w:noWrap/>
            <w:vAlign w:val="center"/>
          </w:tcPr>
          <w:p>
            <w:pPr>
              <w:pStyle w:val="25"/>
              <w:widowControl/>
              <w:spacing w:line="576" w:lineRule="exact"/>
              <w:jc w:val="center"/>
            </w:pPr>
            <w:r>
              <w:rPr>
                <w:rFonts w:hint="eastAsia"/>
              </w:rPr>
              <w:t>1142人</w:t>
            </w:r>
          </w:p>
        </w:tc>
      </w:tr>
      <w:tr>
        <w:trPr>
          <w:trHeight w:val="420"/>
        </w:trPr>
        <w:tc>
          <w:tcPr>
            <w:tcW w:w="1699" w:type="dxa"/>
            <w:vMerge/>
            <w:tcBorders>
              <w:top w:val="outset" w:sz="6" w:space="0" w:color="auto"/>
              <w:left w:val="outset" w:sz="6" w:space="0" w:color="auto"/>
              <w:bottom w:val="outset" w:sz="6" w:space="0" w:color="auto"/>
              <w:right w:val="outset" w:sz="6" w:space="0" w:color="auto"/>
            </w:tcBorders>
            <w:noWrap/>
            <w:vAlign w:val="center"/>
          </w:tcPr>
          <w:p/>
        </w:tc>
        <w:tc>
          <w:tcPr>
            <w:tcW w:w="1014" w:type="dxa"/>
            <w:vMerge/>
            <w:tcBorders>
              <w:top w:val="outset" w:sz="6" w:space="0" w:color="auto"/>
              <w:left w:val="outset" w:sz="6" w:space="0" w:color="auto"/>
              <w:bottom w:val="outset" w:sz="6" w:space="0" w:color="auto"/>
              <w:right w:val="outset" w:sz="6" w:space="0" w:color="auto"/>
            </w:tcBorders>
            <w:noWrap/>
            <w:vAlign w:val="center"/>
          </w:tcPr>
          <w:p/>
        </w:tc>
        <w:tc>
          <w:tcPr>
            <w:tcW w:w="1417" w:type="dxa"/>
            <w:tcBorders>
              <w:top w:val="outset" w:sz="6" w:space="0" w:color="auto"/>
              <w:left w:val="outset" w:sz="6" w:space="0" w:color="auto"/>
              <w:bottom w:val="outset" w:sz="6" w:space="0" w:color="auto"/>
              <w:right w:val="outset" w:sz="6" w:space="0" w:color="auto"/>
            </w:tcBorders>
            <w:noWrap/>
            <w:vAlign w:val="center"/>
          </w:tcPr>
          <w:p>
            <w:pPr>
              <w:pStyle w:val="25"/>
              <w:widowControl/>
              <w:spacing w:line="576" w:lineRule="exact"/>
              <w:jc w:val="center"/>
              <w:rPr>
                <w:rFonts w:ascii="宋体"/>
                <w:sz w:val="24"/>
              </w:rPr>
            </w:pPr>
            <w:r>
              <w:t>数量指标</w:t>
            </w:r>
          </w:p>
        </w:tc>
        <w:tc>
          <w:tcPr>
            <w:tcW w:w="1051" w:type="dxa"/>
            <w:tcBorders>
              <w:top w:val="outset" w:sz="6" w:space="0" w:color="auto"/>
              <w:left w:val="outset" w:sz="6" w:space="0" w:color="auto"/>
              <w:bottom w:val="outset" w:sz="6" w:space="0" w:color="auto"/>
              <w:right w:val="outset" w:sz="6" w:space="0" w:color="auto"/>
            </w:tcBorders>
            <w:noWrap/>
            <w:vAlign w:val="center"/>
          </w:tcPr>
          <w:p>
            <w:pPr>
              <w:pStyle w:val="25"/>
              <w:widowControl/>
              <w:spacing w:line="576" w:lineRule="exact"/>
            </w:pPr>
            <w:r>
              <w:rPr>
                <w:rFonts w:hint="eastAsia"/>
              </w:rPr>
              <w:t>扶贫车间补贴人数</w:t>
            </w:r>
          </w:p>
        </w:tc>
        <w:tc>
          <w:tcPr>
            <w:tcW w:w="1089" w:type="dxa"/>
            <w:tcBorders>
              <w:top w:val="outset" w:sz="6" w:space="0" w:color="auto"/>
              <w:left w:val="outset" w:sz="6" w:space="0" w:color="auto"/>
              <w:bottom w:val="outset" w:sz="6" w:space="0" w:color="auto"/>
              <w:right w:val="outset" w:sz="6" w:space="0" w:color="auto"/>
            </w:tcBorders>
            <w:noWrap/>
            <w:vAlign w:val="center"/>
          </w:tcPr>
          <w:p>
            <w:pPr>
              <w:pStyle w:val="25"/>
              <w:widowControl/>
              <w:spacing w:line="576" w:lineRule="exact"/>
              <w:jc w:val="center"/>
            </w:pPr>
            <w:r>
              <w:rPr>
                <w:rFonts w:hint="eastAsia"/>
              </w:rPr>
              <w:t>90人</w:t>
            </w:r>
          </w:p>
        </w:tc>
        <w:tc>
          <w:tcPr>
            <w:tcW w:w="2051" w:type="dxa"/>
            <w:tcBorders>
              <w:top w:val="outset" w:sz="6" w:space="0" w:color="auto"/>
              <w:left w:val="outset" w:sz="6" w:space="0" w:color="auto"/>
              <w:bottom w:val="outset" w:sz="6" w:space="0" w:color="auto"/>
              <w:right w:val="outset" w:sz="6" w:space="0" w:color="auto"/>
            </w:tcBorders>
            <w:noWrap/>
            <w:vAlign w:val="center"/>
          </w:tcPr>
          <w:p>
            <w:pPr>
              <w:pStyle w:val="25"/>
              <w:widowControl/>
              <w:spacing w:line="576" w:lineRule="exact"/>
              <w:jc w:val="center"/>
            </w:pPr>
            <w:r>
              <w:rPr>
                <w:rFonts w:hint="eastAsia"/>
              </w:rPr>
              <w:t>113人</w:t>
            </w:r>
          </w:p>
        </w:tc>
      </w:tr>
      <w:tr>
        <w:trPr>
          <w:trHeight w:val="420"/>
        </w:trPr>
        <w:tc>
          <w:tcPr>
            <w:tcW w:w="1699" w:type="dxa"/>
            <w:vMerge/>
            <w:tcBorders>
              <w:top w:val="outset" w:sz="6" w:space="0" w:color="auto"/>
              <w:left w:val="outset" w:sz="6" w:space="0" w:color="auto"/>
              <w:bottom w:val="outset" w:sz="6" w:space="0" w:color="auto"/>
              <w:right w:val="outset" w:sz="6" w:space="0" w:color="auto"/>
            </w:tcBorders>
            <w:noWrap/>
            <w:vAlign w:val="center"/>
          </w:tcPr>
          <w:p/>
        </w:tc>
        <w:tc>
          <w:tcPr>
            <w:tcW w:w="1014" w:type="dxa"/>
            <w:vMerge/>
            <w:tcBorders>
              <w:top w:val="outset" w:sz="6" w:space="0" w:color="auto"/>
              <w:left w:val="outset" w:sz="6" w:space="0" w:color="auto"/>
              <w:bottom w:val="outset" w:sz="6" w:space="0" w:color="auto"/>
              <w:right w:val="outset" w:sz="6" w:space="0" w:color="auto"/>
            </w:tcBorders>
            <w:noWrap/>
            <w:vAlign w:val="center"/>
          </w:tcPr>
          <w:p/>
        </w:tc>
        <w:tc>
          <w:tcPr>
            <w:tcW w:w="1417" w:type="dxa"/>
            <w:tcBorders>
              <w:top w:val="outset" w:sz="6" w:space="0" w:color="auto"/>
              <w:left w:val="outset" w:sz="6" w:space="0" w:color="auto"/>
              <w:bottom w:val="outset" w:sz="6" w:space="0" w:color="auto"/>
              <w:right w:val="outset" w:sz="6" w:space="0" w:color="auto"/>
            </w:tcBorders>
            <w:noWrap/>
            <w:vAlign w:val="center"/>
          </w:tcPr>
          <w:p>
            <w:pPr>
              <w:pStyle w:val="25"/>
              <w:widowControl/>
              <w:spacing w:line="576" w:lineRule="exact"/>
              <w:jc w:val="center"/>
              <w:rPr>
                <w:rFonts w:ascii="宋体"/>
                <w:sz w:val="24"/>
              </w:rPr>
            </w:pPr>
            <w:r>
              <w:t>质量指标</w:t>
            </w:r>
          </w:p>
        </w:tc>
        <w:tc>
          <w:tcPr>
            <w:tcW w:w="1051" w:type="dxa"/>
            <w:tcBorders>
              <w:top w:val="outset" w:sz="6" w:space="0" w:color="auto"/>
              <w:left w:val="outset" w:sz="6" w:space="0" w:color="auto"/>
              <w:bottom w:val="outset" w:sz="6" w:space="0" w:color="auto"/>
              <w:right w:val="outset" w:sz="6" w:space="0" w:color="auto"/>
            </w:tcBorders>
            <w:noWrap/>
            <w:vAlign w:val="center"/>
          </w:tcPr>
          <w:p>
            <w:pPr>
              <w:pStyle w:val="25"/>
              <w:widowControl/>
              <w:spacing w:line="576" w:lineRule="exact"/>
            </w:pPr>
            <w:r>
              <w:rPr>
                <w:rFonts w:hint="eastAsia"/>
              </w:rPr>
              <w:t>公益性补贴人数(%)\见习补贴人数（%）</w:t>
            </w:r>
          </w:p>
        </w:tc>
        <w:tc>
          <w:tcPr>
            <w:tcW w:w="1089" w:type="dxa"/>
            <w:tcBorders>
              <w:top w:val="outset" w:sz="6" w:space="0" w:color="auto"/>
              <w:left w:val="outset" w:sz="6" w:space="0" w:color="auto"/>
              <w:bottom w:val="outset" w:sz="6" w:space="0" w:color="auto"/>
              <w:right w:val="outset" w:sz="6" w:space="0" w:color="auto"/>
            </w:tcBorders>
            <w:noWrap/>
            <w:vAlign w:val="center"/>
          </w:tcPr>
          <w:p>
            <w:pPr>
              <w:pStyle w:val="25"/>
              <w:widowControl/>
              <w:spacing w:line="576" w:lineRule="exact"/>
              <w:jc w:val="center"/>
            </w:pPr>
            <w:r>
              <w:t>≥ </w:t>
            </w:r>
            <w:r>
              <w:rPr>
                <w:rFonts w:hint="eastAsia"/>
              </w:rPr>
              <w:t>95%</w:t>
            </w:r>
          </w:p>
        </w:tc>
        <w:tc>
          <w:tcPr>
            <w:tcW w:w="2051" w:type="dxa"/>
            <w:tcBorders>
              <w:top w:val="outset" w:sz="6" w:space="0" w:color="auto"/>
              <w:left w:val="outset" w:sz="6" w:space="0" w:color="auto"/>
              <w:bottom w:val="outset" w:sz="6" w:space="0" w:color="auto"/>
              <w:right w:val="outset" w:sz="6" w:space="0" w:color="auto"/>
            </w:tcBorders>
            <w:noWrap/>
            <w:vAlign w:val="center"/>
          </w:tcPr>
          <w:p>
            <w:pPr>
              <w:pStyle w:val="25"/>
              <w:widowControl/>
              <w:spacing w:before="240" w:line="576" w:lineRule="exact"/>
              <w:jc w:val="center"/>
            </w:pPr>
            <w:r>
              <w:rPr>
                <w:rFonts w:hint="eastAsia"/>
              </w:rPr>
              <w:t>100%</w:t>
            </w:r>
          </w:p>
        </w:tc>
      </w:tr>
      <w:tr>
        <w:trPr>
          <w:trHeight w:val="420"/>
        </w:trPr>
        <w:tc>
          <w:tcPr>
            <w:tcW w:w="1699" w:type="dxa"/>
            <w:vMerge/>
            <w:tcBorders>
              <w:top w:val="outset" w:sz="6" w:space="0" w:color="auto"/>
              <w:left w:val="outset" w:sz="6" w:space="0" w:color="auto"/>
              <w:bottom w:val="outset" w:sz="6" w:space="0" w:color="auto"/>
              <w:right w:val="outset" w:sz="6" w:space="0" w:color="auto"/>
            </w:tcBorders>
            <w:noWrap/>
            <w:vAlign w:val="center"/>
          </w:tcPr>
          <w:p/>
        </w:tc>
        <w:tc>
          <w:tcPr>
            <w:tcW w:w="1014" w:type="dxa"/>
            <w:vMerge/>
            <w:tcBorders>
              <w:top w:val="outset" w:sz="6" w:space="0" w:color="auto"/>
              <w:left w:val="outset" w:sz="6" w:space="0" w:color="auto"/>
              <w:bottom w:val="outset" w:sz="6" w:space="0" w:color="auto"/>
              <w:right w:val="outset" w:sz="6" w:space="0" w:color="auto"/>
            </w:tcBorders>
            <w:noWrap/>
            <w:vAlign w:val="center"/>
          </w:tcPr>
          <w:p/>
        </w:tc>
        <w:tc>
          <w:tcPr>
            <w:tcW w:w="1417" w:type="dxa"/>
            <w:tcBorders>
              <w:top w:val="outset" w:sz="6" w:space="0" w:color="auto"/>
              <w:left w:val="outset" w:sz="6" w:space="0" w:color="auto"/>
              <w:bottom w:val="outset" w:sz="6" w:space="0" w:color="auto"/>
              <w:right w:val="outset" w:sz="6" w:space="0" w:color="auto"/>
            </w:tcBorders>
            <w:noWrap/>
            <w:vAlign w:val="center"/>
          </w:tcPr>
          <w:p>
            <w:pPr>
              <w:pStyle w:val="25"/>
              <w:widowControl/>
              <w:spacing w:line="576" w:lineRule="exact"/>
              <w:jc w:val="center"/>
              <w:rPr>
                <w:rFonts w:ascii="宋体"/>
                <w:sz w:val="24"/>
              </w:rPr>
            </w:pPr>
            <w:r>
              <w:t>时效指标</w:t>
            </w:r>
          </w:p>
        </w:tc>
        <w:tc>
          <w:tcPr>
            <w:tcW w:w="1051" w:type="dxa"/>
            <w:tcBorders>
              <w:top w:val="outset" w:sz="6" w:space="0" w:color="auto"/>
              <w:left w:val="outset" w:sz="6" w:space="0" w:color="auto"/>
              <w:bottom w:val="outset" w:sz="6" w:space="0" w:color="auto"/>
              <w:right w:val="outset" w:sz="6" w:space="0" w:color="auto"/>
            </w:tcBorders>
            <w:noWrap/>
            <w:vAlign w:val="center"/>
          </w:tcPr>
          <w:p>
            <w:pPr>
              <w:pStyle w:val="25"/>
              <w:widowControl/>
              <w:spacing w:line="576" w:lineRule="exact"/>
              <w:jc w:val="center"/>
            </w:pPr>
            <w:r>
              <w:t> </w:t>
            </w:r>
            <w:r>
              <w:rPr>
                <w:rFonts w:hint="eastAsia"/>
              </w:rPr>
              <w:t>补贴资金在2022年12月31日前支付率（%）</w:t>
            </w:r>
          </w:p>
        </w:tc>
        <w:tc>
          <w:tcPr>
            <w:tcW w:w="1089" w:type="dxa"/>
            <w:tcBorders>
              <w:top w:val="outset" w:sz="6" w:space="0" w:color="auto"/>
              <w:left w:val="outset" w:sz="6" w:space="0" w:color="auto"/>
              <w:bottom w:val="outset" w:sz="6" w:space="0" w:color="auto"/>
              <w:right w:val="outset" w:sz="6" w:space="0" w:color="auto"/>
            </w:tcBorders>
            <w:noWrap/>
            <w:vAlign w:val="center"/>
          </w:tcPr>
          <w:p>
            <w:pPr>
              <w:pStyle w:val="25"/>
              <w:widowControl/>
              <w:spacing w:line="576" w:lineRule="exact"/>
              <w:jc w:val="center"/>
            </w:pPr>
            <w:r>
              <w:t> </w:t>
            </w:r>
            <w:r>
              <w:rPr>
                <w:rFonts w:hint="eastAsia"/>
              </w:rPr>
              <w:t>90%</w:t>
            </w:r>
          </w:p>
        </w:tc>
        <w:tc>
          <w:tcPr>
            <w:tcW w:w="2051" w:type="dxa"/>
            <w:tcBorders>
              <w:top w:val="outset" w:sz="6" w:space="0" w:color="auto"/>
              <w:left w:val="outset" w:sz="6" w:space="0" w:color="auto"/>
              <w:bottom w:val="outset" w:sz="6" w:space="0" w:color="auto"/>
              <w:right w:val="outset" w:sz="6" w:space="0" w:color="auto"/>
            </w:tcBorders>
            <w:noWrap/>
            <w:vAlign w:val="center"/>
          </w:tcPr>
          <w:p>
            <w:pPr>
              <w:pStyle w:val="25"/>
              <w:widowControl/>
              <w:spacing w:line="576" w:lineRule="exact"/>
              <w:jc w:val="center"/>
            </w:pPr>
            <w:r>
              <w:t> </w:t>
            </w:r>
            <w:r>
              <w:rPr>
                <w:rFonts w:hint="eastAsia"/>
              </w:rPr>
              <w:t>100%</w:t>
            </w:r>
          </w:p>
        </w:tc>
      </w:tr>
      <w:tr>
        <w:trPr>
          <w:trHeight w:val="480"/>
        </w:trPr>
        <w:tc>
          <w:tcPr>
            <w:tcW w:w="1699" w:type="dxa"/>
            <w:vMerge/>
            <w:tcBorders>
              <w:top w:val="outset" w:sz="6" w:space="0" w:color="auto"/>
              <w:left w:val="outset" w:sz="6" w:space="0" w:color="auto"/>
              <w:bottom w:val="outset" w:sz="6" w:space="0" w:color="auto"/>
              <w:right w:val="outset" w:sz="6" w:space="0" w:color="auto"/>
            </w:tcBorders>
            <w:noWrap/>
            <w:vAlign w:val="center"/>
          </w:tcPr>
          <w:p/>
        </w:tc>
        <w:tc>
          <w:tcPr>
            <w:tcW w:w="1014" w:type="dxa"/>
            <w:vMerge/>
            <w:tcBorders>
              <w:top w:val="outset" w:sz="6" w:space="0" w:color="auto"/>
              <w:left w:val="outset" w:sz="6" w:space="0" w:color="auto"/>
              <w:bottom w:val="outset" w:sz="6" w:space="0" w:color="auto"/>
              <w:right w:val="outset" w:sz="6" w:space="0" w:color="auto"/>
            </w:tcBorders>
            <w:noWrap/>
            <w:vAlign w:val="center"/>
          </w:tcPr>
          <w:p/>
        </w:tc>
        <w:tc>
          <w:tcPr>
            <w:tcW w:w="1417" w:type="dxa"/>
            <w:tcBorders>
              <w:top w:val="outset" w:sz="6" w:space="0" w:color="auto"/>
              <w:left w:val="outset" w:sz="6" w:space="0" w:color="auto"/>
              <w:bottom w:val="outset" w:sz="6" w:space="0" w:color="auto"/>
              <w:right w:val="outset" w:sz="6" w:space="0" w:color="auto"/>
            </w:tcBorders>
            <w:noWrap/>
            <w:vAlign w:val="center"/>
          </w:tcPr>
          <w:p>
            <w:pPr>
              <w:pStyle w:val="25"/>
              <w:widowControl/>
              <w:spacing w:line="576" w:lineRule="exact"/>
              <w:jc w:val="center"/>
              <w:rPr>
                <w:rFonts w:ascii="宋体"/>
                <w:sz w:val="24"/>
              </w:rPr>
            </w:pPr>
            <w:r>
              <w:t>成本指标</w:t>
            </w:r>
          </w:p>
        </w:tc>
        <w:tc>
          <w:tcPr>
            <w:tcW w:w="1051" w:type="dxa"/>
            <w:tcBorders>
              <w:top w:val="outset" w:sz="6" w:space="0" w:color="auto"/>
              <w:left w:val="outset" w:sz="6" w:space="0" w:color="auto"/>
              <w:bottom w:val="outset" w:sz="6" w:space="0" w:color="auto"/>
              <w:right w:val="outset" w:sz="6" w:space="0" w:color="auto"/>
            </w:tcBorders>
            <w:noWrap/>
            <w:vAlign w:val="center"/>
          </w:tcPr>
          <w:p>
            <w:pPr>
              <w:pStyle w:val="25"/>
              <w:widowControl/>
              <w:spacing w:line="576" w:lineRule="exact"/>
              <w:jc w:val="center"/>
            </w:pPr>
            <w:r>
              <w:t> </w:t>
            </w:r>
            <w:r>
              <w:rPr>
                <w:rFonts w:hint="eastAsia"/>
              </w:rPr>
              <w:t>公益性岗位补贴人均标准</w:t>
            </w:r>
          </w:p>
        </w:tc>
        <w:tc>
          <w:tcPr>
            <w:tcW w:w="1089" w:type="dxa"/>
            <w:tcBorders>
              <w:top w:val="outset" w:sz="6" w:space="0" w:color="auto"/>
              <w:left w:val="outset" w:sz="6" w:space="0" w:color="auto"/>
              <w:bottom w:val="outset" w:sz="6" w:space="0" w:color="auto"/>
              <w:right w:val="outset" w:sz="6" w:space="0" w:color="auto"/>
            </w:tcBorders>
            <w:noWrap/>
            <w:vAlign w:val="center"/>
          </w:tcPr>
          <w:p>
            <w:pPr>
              <w:pStyle w:val="25"/>
              <w:widowControl/>
              <w:spacing w:line="576" w:lineRule="exact"/>
              <w:jc w:val="center"/>
            </w:pPr>
            <w:r>
              <w:t> </w:t>
            </w:r>
            <w:r>
              <w:rPr>
                <w:rFonts w:hint="eastAsia"/>
              </w:rPr>
              <w:t>1143元/人</w:t>
            </w:r>
          </w:p>
        </w:tc>
        <w:tc>
          <w:tcPr>
            <w:tcW w:w="2051" w:type="dxa"/>
            <w:tcBorders>
              <w:top w:val="outset" w:sz="6" w:space="0" w:color="auto"/>
              <w:left w:val="outset" w:sz="6" w:space="0" w:color="auto"/>
              <w:bottom w:val="outset" w:sz="6" w:space="0" w:color="auto"/>
              <w:right w:val="outset" w:sz="6" w:space="0" w:color="auto"/>
            </w:tcBorders>
            <w:noWrap/>
            <w:vAlign w:val="center"/>
          </w:tcPr>
          <w:p>
            <w:pPr>
              <w:pStyle w:val="25"/>
              <w:widowControl/>
              <w:spacing w:line="576" w:lineRule="exact"/>
              <w:jc w:val="center"/>
            </w:pPr>
            <w:r>
              <w:t> </w:t>
            </w:r>
            <w:r>
              <w:rPr>
                <w:rFonts w:hint="eastAsia"/>
              </w:rPr>
              <w:t>1143元/人</w:t>
            </w:r>
          </w:p>
        </w:tc>
      </w:tr>
      <w:tr>
        <w:trPr>
          <w:trHeight w:val="480"/>
        </w:trPr>
        <w:tc>
          <w:tcPr>
            <w:tcW w:w="1699" w:type="dxa"/>
            <w:vMerge/>
            <w:tcBorders>
              <w:top w:val="outset" w:sz="6" w:space="0" w:color="auto"/>
              <w:left w:val="outset" w:sz="6" w:space="0" w:color="auto"/>
              <w:bottom w:val="outset" w:sz="6" w:space="0" w:color="auto"/>
              <w:right w:val="outset" w:sz="6" w:space="0" w:color="auto"/>
            </w:tcBorders>
            <w:noWrap/>
            <w:vAlign w:val="center"/>
          </w:tcPr>
          <w:p/>
        </w:tc>
        <w:tc>
          <w:tcPr>
            <w:tcW w:w="1014" w:type="dxa"/>
            <w:vMerge/>
            <w:tcBorders>
              <w:top w:val="outset" w:sz="6" w:space="0" w:color="auto"/>
              <w:left w:val="outset" w:sz="6" w:space="0" w:color="auto"/>
              <w:bottom w:val="outset" w:sz="6" w:space="0" w:color="auto"/>
              <w:right w:val="outset" w:sz="6" w:space="0" w:color="auto"/>
            </w:tcBorders>
            <w:noWrap/>
            <w:vAlign w:val="center"/>
          </w:tcPr>
          <w:p/>
        </w:tc>
        <w:tc>
          <w:tcPr>
            <w:tcW w:w="1417" w:type="dxa"/>
            <w:tcBorders>
              <w:top w:val="outset" w:sz="6" w:space="0" w:color="auto"/>
              <w:left w:val="outset" w:sz="6" w:space="0" w:color="auto"/>
              <w:bottom w:val="outset" w:sz="6" w:space="0" w:color="auto"/>
              <w:right w:val="outset" w:sz="6" w:space="0" w:color="auto"/>
            </w:tcBorders>
            <w:noWrap/>
            <w:vAlign w:val="center"/>
          </w:tcPr>
          <w:p>
            <w:pPr>
              <w:pStyle w:val="25"/>
              <w:widowControl/>
              <w:spacing w:line="576" w:lineRule="exact"/>
              <w:jc w:val="center"/>
              <w:rPr>
                <w:rFonts w:ascii="宋体"/>
                <w:sz w:val="24"/>
              </w:rPr>
            </w:pPr>
            <w:r>
              <w:t>成本指标</w:t>
            </w:r>
          </w:p>
        </w:tc>
        <w:tc>
          <w:tcPr>
            <w:tcW w:w="1051" w:type="dxa"/>
            <w:tcBorders>
              <w:top w:val="outset" w:sz="6" w:space="0" w:color="auto"/>
              <w:left w:val="outset" w:sz="6" w:space="0" w:color="auto"/>
              <w:bottom w:val="outset" w:sz="6" w:space="0" w:color="auto"/>
              <w:right w:val="outset" w:sz="6" w:space="0" w:color="auto"/>
            </w:tcBorders>
            <w:noWrap/>
            <w:vAlign w:val="center"/>
          </w:tcPr>
          <w:p>
            <w:pPr>
              <w:pStyle w:val="25"/>
              <w:widowControl/>
              <w:spacing w:line="576" w:lineRule="exact"/>
              <w:jc w:val="center"/>
            </w:pPr>
            <w:r>
              <w:rPr>
                <w:rFonts w:hint="eastAsia"/>
              </w:rPr>
              <w:t>见习补贴人均标准</w:t>
            </w:r>
          </w:p>
        </w:tc>
        <w:tc>
          <w:tcPr>
            <w:tcW w:w="1089" w:type="dxa"/>
            <w:tcBorders>
              <w:top w:val="outset" w:sz="6" w:space="0" w:color="auto"/>
              <w:left w:val="outset" w:sz="6" w:space="0" w:color="auto"/>
              <w:bottom w:val="outset" w:sz="6" w:space="0" w:color="auto"/>
              <w:right w:val="outset" w:sz="6" w:space="0" w:color="auto"/>
            </w:tcBorders>
            <w:noWrap/>
            <w:vAlign w:val="center"/>
          </w:tcPr>
          <w:p>
            <w:pPr>
              <w:pStyle w:val="25"/>
              <w:widowControl/>
              <w:spacing w:line="576" w:lineRule="exact"/>
              <w:jc w:val="center"/>
            </w:pPr>
            <w:r>
              <w:rPr>
                <w:rFonts w:hint="eastAsia"/>
              </w:rPr>
              <w:t>1320元/人</w:t>
            </w:r>
          </w:p>
        </w:tc>
        <w:tc>
          <w:tcPr>
            <w:tcW w:w="2051" w:type="dxa"/>
            <w:tcBorders>
              <w:top w:val="outset" w:sz="6" w:space="0" w:color="auto"/>
              <w:left w:val="outset" w:sz="6" w:space="0" w:color="auto"/>
              <w:bottom w:val="outset" w:sz="6" w:space="0" w:color="auto"/>
              <w:right w:val="outset" w:sz="6" w:space="0" w:color="auto"/>
            </w:tcBorders>
            <w:noWrap/>
            <w:vAlign w:val="center"/>
          </w:tcPr>
          <w:p>
            <w:pPr>
              <w:pStyle w:val="25"/>
              <w:widowControl/>
              <w:spacing w:line="576" w:lineRule="exact"/>
              <w:jc w:val="center"/>
            </w:pPr>
            <w:r>
              <w:rPr>
                <w:rFonts w:hint="eastAsia"/>
              </w:rPr>
              <w:t>1320元/人</w:t>
            </w:r>
          </w:p>
        </w:tc>
      </w:tr>
      <w:tr>
        <w:trPr>
          <w:trHeight w:val="480"/>
        </w:trPr>
        <w:tc>
          <w:tcPr>
            <w:tcW w:w="1699" w:type="dxa"/>
            <w:vMerge/>
            <w:tcBorders>
              <w:top w:val="outset" w:sz="6" w:space="0" w:color="auto"/>
              <w:left w:val="outset" w:sz="6" w:space="0" w:color="auto"/>
              <w:bottom w:val="outset" w:sz="6" w:space="0" w:color="auto"/>
              <w:right w:val="outset" w:sz="6" w:space="0" w:color="auto"/>
            </w:tcBorders>
            <w:noWrap/>
            <w:vAlign w:val="center"/>
          </w:tcPr>
          <w:p/>
        </w:tc>
        <w:tc>
          <w:tcPr>
            <w:tcW w:w="1014" w:type="dxa"/>
            <w:vMerge/>
            <w:tcBorders>
              <w:top w:val="outset" w:sz="6" w:space="0" w:color="auto"/>
              <w:left w:val="outset" w:sz="6" w:space="0" w:color="auto"/>
              <w:bottom w:val="outset" w:sz="6" w:space="0" w:color="auto"/>
              <w:right w:val="outset" w:sz="6" w:space="0" w:color="auto"/>
            </w:tcBorders>
            <w:noWrap/>
            <w:vAlign w:val="center"/>
          </w:tcPr>
          <w:p/>
        </w:tc>
        <w:tc>
          <w:tcPr>
            <w:tcW w:w="1417" w:type="dxa"/>
            <w:tcBorders>
              <w:top w:val="outset" w:sz="6" w:space="0" w:color="auto"/>
              <w:left w:val="outset" w:sz="6" w:space="0" w:color="auto"/>
              <w:bottom w:val="outset" w:sz="6" w:space="0" w:color="auto"/>
              <w:right w:val="outset" w:sz="6" w:space="0" w:color="auto"/>
            </w:tcBorders>
            <w:noWrap/>
            <w:vAlign w:val="center"/>
          </w:tcPr>
          <w:p>
            <w:pPr>
              <w:pStyle w:val="25"/>
              <w:widowControl/>
              <w:spacing w:line="576" w:lineRule="exact"/>
              <w:jc w:val="center"/>
              <w:rPr>
                <w:rFonts w:ascii="宋体"/>
                <w:sz w:val="24"/>
              </w:rPr>
            </w:pPr>
            <w:r>
              <w:t>社会效益指标</w:t>
            </w:r>
          </w:p>
        </w:tc>
        <w:tc>
          <w:tcPr>
            <w:tcW w:w="1051" w:type="dxa"/>
            <w:tcBorders>
              <w:top w:val="outset" w:sz="6" w:space="0" w:color="auto"/>
              <w:left w:val="outset" w:sz="6" w:space="0" w:color="auto"/>
              <w:bottom w:val="outset" w:sz="6" w:space="0" w:color="auto"/>
              <w:right w:val="outset" w:sz="6" w:space="0" w:color="auto"/>
            </w:tcBorders>
            <w:noWrap/>
            <w:vAlign w:val="center"/>
          </w:tcPr>
          <w:p>
            <w:pPr>
              <w:pStyle w:val="25"/>
              <w:widowControl/>
              <w:spacing w:line="576" w:lineRule="exact"/>
              <w:jc w:val="center"/>
            </w:pPr>
            <w:r>
              <w:t> </w:t>
            </w:r>
            <w:r>
              <w:rPr>
                <w:rFonts w:hint="eastAsia"/>
              </w:rPr>
              <w:t>政策知晓率（%）</w:t>
            </w:r>
          </w:p>
        </w:tc>
        <w:tc>
          <w:tcPr>
            <w:tcW w:w="1089" w:type="dxa"/>
            <w:tcBorders>
              <w:top w:val="outset" w:sz="6" w:space="0" w:color="auto"/>
              <w:left w:val="outset" w:sz="6" w:space="0" w:color="auto"/>
              <w:bottom w:val="outset" w:sz="6" w:space="0" w:color="auto"/>
              <w:right w:val="outset" w:sz="6" w:space="0" w:color="auto"/>
            </w:tcBorders>
            <w:noWrap/>
            <w:vAlign w:val="center"/>
          </w:tcPr>
          <w:p>
            <w:pPr>
              <w:pStyle w:val="25"/>
              <w:widowControl/>
              <w:spacing w:line="576" w:lineRule="exact"/>
              <w:jc w:val="center"/>
            </w:pPr>
            <w:r>
              <w:t> ≥</w:t>
            </w:r>
            <w:r>
              <w:rPr>
                <w:rFonts w:hint="eastAsia"/>
              </w:rPr>
              <w:t>90%</w:t>
            </w:r>
          </w:p>
        </w:tc>
        <w:tc>
          <w:tcPr>
            <w:tcW w:w="2051" w:type="dxa"/>
            <w:tcBorders>
              <w:top w:val="outset" w:sz="6" w:space="0" w:color="auto"/>
              <w:left w:val="outset" w:sz="6" w:space="0" w:color="auto"/>
              <w:bottom w:val="outset" w:sz="6" w:space="0" w:color="auto"/>
              <w:right w:val="outset" w:sz="6" w:space="0" w:color="auto"/>
            </w:tcBorders>
            <w:noWrap/>
            <w:vAlign w:val="center"/>
          </w:tcPr>
          <w:p>
            <w:pPr>
              <w:pStyle w:val="25"/>
              <w:widowControl/>
              <w:spacing w:line="576" w:lineRule="exact"/>
              <w:jc w:val="center"/>
            </w:pPr>
            <w:r>
              <w:t>  ≥</w:t>
            </w:r>
            <w:r>
              <w:rPr>
                <w:rFonts w:hint="eastAsia"/>
              </w:rPr>
              <w:t>95%</w:t>
            </w:r>
          </w:p>
        </w:tc>
      </w:tr>
      <w:tr>
        <w:trPr>
          <w:trHeight w:val="525"/>
        </w:trPr>
        <w:tc>
          <w:tcPr>
            <w:tcW w:w="1699" w:type="dxa"/>
            <w:vMerge/>
            <w:tcBorders>
              <w:top w:val="outset" w:sz="6" w:space="0" w:color="auto"/>
              <w:left w:val="outset" w:sz="6" w:space="0" w:color="auto"/>
              <w:bottom w:val="outset" w:sz="6" w:space="0" w:color="auto"/>
              <w:right w:val="outset" w:sz="6" w:space="0" w:color="auto"/>
            </w:tcBorders>
            <w:noWrap/>
            <w:vAlign w:val="center"/>
          </w:tcPr>
          <w:p/>
        </w:tc>
        <w:tc>
          <w:tcPr>
            <w:tcW w:w="1014" w:type="dxa"/>
            <w:tcBorders>
              <w:top w:val="outset" w:sz="6" w:space="0" w:color="auto"/>
              <w:left w:val="outset" w:sz="6" w:space="0" w:color="auto"/>
              <w:bottom w:val="outset" w:sz="6" w:space="0" w:color="auto"/>
              <w:right w:val="outset" w:sz="6" w:space="0" w:color="auto"/>
            </w:tcBorders>
            <w:noWrap/>
            <w:vAlign w:val="center"/>
          </w:tcPr>
          <w:p>
            <w:pPr>
              <w:pStyle w:val="25"/>
              <w:widowControl/>
              <w:spacing w:line="576" w:lineRule="exact"/>
              <w:jc w:val="center"/>
              <w:rPr>
                <w:rFonts w:ascii="宋体"/>
                <w:sz w:val="24"/>
              </w:rPr>
            </w:pPr>
            <w:r>
              <w:t>满意</w:t>
            </w:r>
          </w:p>
          <w:p>
            <w:pPr>
              <w:pStyle w:val="25"/>
              <w:widowControl/>
              <w:spacing w:line="576" w:lineRule="exact"/>
              <w:jc w:val="center"/>
            </w:pPr>
            <w:r>
              <w:t>度指标</w:t>
            </w:r>
          </w:p>
        </w:tc>
        <w:tc>
          <w:tcPr>
            <w:tcW w:w="1417" w:type="dxa"/>
            <w:tcBorders>
              <w:top w:val="outset" w:sz="6" w:space="0" w:color="auto"/>
              <w:left w:val="outset" w:sz="6" w:space="0" w:color="auto"/>
              <w:bottom w:val="outset" w:sz="6" w:space="0" w:color="auto"/>
              <w:right w:val="outset" w:sz="6" w:space="0" w:color="auto"/>
            </w:tcBorders>
            <w:noWrap/>
            <w:vAlign w:val="center"/>
          </w:tcPr>
          <w:p>
            <w:pPr>
              <w:pStyle w:val="25"/>
              <w:widowControl/>
              <w:spacing w:line="576" w:lineRule="exact"/>
              <w:jc w:val="center"/>
            </w:pPr>
            <w:r>
              <w:t>满意度</w:t>
            </w:r>
          </w:p>
          <w:p>
            <w:pPr>
              <w:pStyle w:val="25"/>
              <w:widowControl/>
              <w:spacing w:line="576" w:lineRule="exact"/>
              <w:jc w:val="center"/>
            </w:pPr>
            <w:r>
              <w:t>指标</w:t>
            </w:r>
          </w:p>
        </w:tc>
        <w:tc>
          <w:tcPr>
            <w:tcW w:w="1051" w:type="dxa"/>
            <w:tcBorders>
              <w:top w:val="outset" w:sz="6" w:space="0" w:color="auto"/>
              <w:left w:val="outset" w:sz="6" w:space="0" w:color="auto"/>
              <w:bottom w:val="outset" w:sz="6" w:space="0" w:color="auto"/>
              <w:right w:val="outset" w:sz="6" w:space="0" w:color="auto"/>
            </w:tcBorders>
            <w:noWrap/>
            <w:vAlign w:val="center"/>
          </w:tcPr>
          <w:p>
            <w:pPr>
              <w:pStyle w:val="25"/>
              <w:widowControl/>
              <w:spacing w:line="576" w:lineRule="exact"/>
              <w:jc w:val="center"/>
            </w:pPr>
            <w:r>
              <w:rPr>
                <w:rFonts w:hint="eastAsia"/>
              </w:rPr>
              <w:t>就业创业政策经办服务满意度</w:t>
            </w:r>
            <w:r>
              <w:t> </w:t>
            </w:r>
            <w:r>
              <w:rPr>
                <w:rFonts w:hint="eastAsia"/>
              </w:rPr>
              <w:t>（%）</w:t>
            </w:r>
          </w:p>
        </w:tc>
        <w:tc>
          <w:tcPr>
            <w:tcW w:w="1089" w:type="dxa"/>
            <w:tcBorders>
              <w:top w:val="outset" w:sz="6" w:space="0" w:color="auto"/>
              <w:left w:val="outset" w:sz="6" w:space="0" w:color="auto"/>
              <w:bottom w:val="outset" w:sz="6" w:space="0" w:color="auto"/>
              <w:right w:val="outset" w:sz="6" w:space="0" w:color="auto"/>
            </w:tcBorders>
            <w:noWrap/>
            <w:vAlign w:val="center"/>
          </w:tcPr>
          <w:p>
            <w:pPr>
              <w:pStyle w:val="25"/>
              <w:widowControl/>
              <w:spacing w:line="576" w:lineRule="exact"/>
              <w:jc w:val="center"/>
            </w:pPr>
            <w:r>
              <w:t>  ≥</w:t>
            </w:r>
            <w:r>
              <w:rPr>
                <w:rFonts w:hint="eastAsia"/>
              </w:rPr>
              <w:t>90%</w:t>
            </w:r>
          </w:p>
        </w:tc>
        <w:tc>
          <w:tcPr>
            <w:tcW w:w="2051" w:type="dxa"/>
            <w:tcBorders>
              <w:top w:val="outset" w:sz="6" w:space="0" w:color="auto"/>
              <w:left w:val="outset" w:sz="6" w:space="0" w:color="auto"/>
              <w:bottom w:val="outset" w:sz="6" w:space="0" w:color="auto"/>
              <w:right w:val="outset" w:sz="6" w:space="0" w:color="auto"/>
            </w:tcBorders>
            <w:noWrap/>
            <w:vAlign w:val="center"/>
          </w:tcPr>
          <w:p>
            <w:pPr>
              <w:pStyle w:val="25"/>
              <w:widowControl/>
              <w:spacing w:line="576" w:lineRule="exact"/>
              <w:jc w:val="center"/>
            </w:pPr>
            <w:r>
              <w:t> ≥</w:t>
            </w:r>
            <w:r>
              <w:rPr>
                <w:rFonts w:hint="eastAsia"/>
              </w:rPr>
              <w:t>98%</w:t>
            </w:r>
            <w:r>
              <w:t> </w:t>
            </w:r>
          </w:p>
        </w:tc>
      </w:tr>
    </w:tbl>
    <w:p>
      <w:pPr>
        <w:pStyle w:val="25"/>
        <w:widowControl/>
        <w:spacing w:line="576" w:lineRule="exact"/>
      </w:pPr>
      <w:r>
        <w:t>（注：有两个及以上100万元以上（含）特定目标类部门预算项目的，需分别开展绩效目标自评并填写附表）</w:t>
      </w:r>
    </w:p>
    <w:p>
      <w:pPr>
        <w:pStyle w:val="25"/>
        <w:widowControl/>
        <w:spacing w:line="576" w:lineRule="exact"/>
      </w:pPr>
      <w:r>
        <w:t> </w:t>
      </w:r>
    </w:p>
    <w:p>
      <w:pPr>
        <w:spacing w:line="360" w:lineRule="auto"/>
        <w:ind w:firstLine="600"/>
        <w:jc w:val="left"/>
        <w:rPr>
          <w:rFonts w:ascii="仿宋" w:eastAsia="仿宋" w:cs="仿宋"/>
          <w:color w:val="000000"/>
          <w:sz w:val="32"/>
          <w:szCs w:val="32"/>
        </w:rPr>
      </w:pPr>
    </w:p>
    <w:p>
      <w:pPr>
        <w:pStyle w:val="20"/>
        <w:tabs>
          <w:tab w:val="center" w:pos="4153"/>
          <w:tab w:val="right" w:pos="8306"/>
        </w:tabs>
        <w:rPr>
          <w:rFonts w:ascii="仿宋" w:eastAsia="仿宋" w:cs="仿宋"/>
          <w:color w:val="000000"/>
          <w:sz w:val="32"/>
          <w:szCs w:val="32"/>
        </w:rPr>
      </w:pPr>
    </w:p>
    <w:p>
      <w:pPr>
        <w:pStyle w:val="20"/>
        <w:tabs>
          <w:tab w:val="center" w:pos="4153"/>
          <w:tab w:val="right" w:pos="8306"/>
        </w:tabs>
        <w:rPr>
          <w:rFonts w:ascii="仿宋" w:eastAsia="仿宋" w:cs="仿宋"/>
          <w:color w:val="000000"/>
          <w:sz w:val="32"/>
          <w:szCs w:val="32"/>
        </w:rPr>
      </w:pPr>
    </w:p>
    <w:p>
      <w:pPr>
        <w:pStyle w:val="20"/>
        <w:tabs>
          <w:tab w:val="center" w:pos="4153"/>
          <w:tab w:val="right" w:pos="8306"/>
        </w:tabs>
        <w:rPr>
          <w:rFonts w:ascii="仿宋" w:eastAsia="仿宋" w:cs="仿宋"/>
          <w:color w:val="000000"/>
          <w:sz w:val="32"/>
          <w:szCs w:val="32"/>
        </w:rPr>
      </w:pPr>
    </w:p>
    <w:p>
      <w:pPr>
        <w:pStyle w:val="20"/>
        <w:tabs>
          <w:tab w:val="center" w:pos="4153"/>
          <w:tab w:val="right" w:pos="8306"/>
        </w:tabs>
        <w:rPr>
          <w:rFonts w:ascii="仿宋" w:eastAsia="仿宋" w:cs="仿宋"/>
          <w:color w:val="000000"/>
          <w:sz w:val="32"/>
          <w:szCs w:val="32"/>
        </w:rPr>
      </w:pPr>
    </w:p>
    <w:p>
      <w:pPr>
        <w:pStyle w:val="20"/>
        <w:tabs>
          <w:tab w:val="center" w:pos="4153"/>
          <w:tab w:val="right" w:pos="8306"/>
        </w:tabs>
        <w:rPr>
          <w:rFonts w:ascii="仿宋" w:eastAsia="仿宋" w:cs="仿宋"/>
          <w:color w:val="000000"/>
          <w:sz w:val="32"/>
          <w:szCs w:val="32"/>
        </w:rPr>
      </w:pPr>
    </w:p>
    <w:p>
      <w:pPr>
        <w:pStyle w:val="20"/>
        <w:tabs>
          <w:tab w:val="center" w:pos="4153"/>
          <w:tab w:val="right" w:pos="8306"/>
        </w:tabs>
        <w:rPr>
          <w:rFonts w:ascii="仿宋" w:eastAsia="仿宋" w:cs="仿宋"/>
          <w:color w:val="000000"/>
          <w:sz w:val="32"/>
          <w:szCs w:val="32"/>
        </w:rPr>
      </w:pPr>
    </w:p>
    <w:p>
      <w:pPr>
        <w:pStyle w:val="20"/>
        <w:tabs>
          <w:tab w:val="center" w:pos="4153"/>
          <w:tab w:val="right" w:pos="8306"/>
        </w:tabs>
        <w:rPr>
          <w:rFonts w:ascii="仿宋" w:eastAsia="仿宋" w:cs="仿宋"/>
          <w:color w:val="000000"/>
          <w:sz w:val="32"/>
          <w:szCs w:val="32"/>
        </w:rPr>
      </w:pPr>
    </w:p>
    <w:p>
      <w:pPr>
        <w:pStyle w:val="20"/>
        <w:tabs>
          <w:tab w:val="center" w:pos="4153"/>
          <w:tab w:val="right" w:pos="8306"/>
        </w:tabs>
        <w:rPr>
          <w:rFonts w:ascii="仿宋" w:eastAsia="仿宋" w:cs="仿宋"/>
          <w:color w:val="000000"/>
          <w:sz w:val="32"/>
          <w:szCs w:val="32"/>
        </w:rPr>
      </w:pPr>
    </w:p>
    <w:p>
      <w:pPr>
        <w:pStyle w:val="20"/>
        <w:tabs>
          <w:tab w:val="center" w:pos="4153"/>
          <w:tab w:val="right" w:pos="8306"/>
        </w:tabs>
        <w:rPr>
          <w:rFonts w:ascii="仿宋" w:eastAsia="仿宋" w:cs="仿宋"/>
          <w:color w:val="000000"/>
          <w:sz w:val="32"/>
          <w:szCs w:val="32"/>
        </w:rPr>
      </w:pPr>
    </w:p>
    <w:p>
      <w:pPr>
        <w:pStyle w:val="20"/>
        <w:tabs>
          <w:tab w:val="center" w:pos="4153"/>
          <w:tab w:val="right" w:pos="8306"/>
        </w:tabs>
        <w:rPr>
          <w:rFonts w:ascii="仿宋" w:eastAsia="仿宋" w:cs="仿宋"/>
          <w:color w:val="000000"/>
          <w:sz w:val="32"/>
          <w:szCs w:val="32"/>
        </w:rPr>
      </w:pPr>
    </w:p>
    <w:p>
      <w:pPr>
        <w:pStyle w:val="20"/>
        <w:tabs>
          <w:tab w:val="center" w:pos="4153"/>
          <w:tab w:val="right" w:pos="8306"/>
        </w:tabs>
        <w:rPr>
          <w:rFonts w:ascii="仿宋" w:eastAsia="仿宋" w:cs="仿宋"/>
          <w:color w:val="000000"/>
          <w:sz w:val="32"/>
          <w:szCs w:val="32"/>
        </w:rPr>
      </w:pPr>
    </w:p>
    <w:p>
      <w:pPr>
        <w:pStyle w:val="20"/>
        <w:tabs>
          <w:tab w:val="center" w:pos="4153"/>
          <w:tab w:val="right" w:pos="8306"/>
        </w:tabs>
        <w:rPr>
          <w:rFonts w:ascii="仿宋" w:eastAsia="仿宋" w:cs="仿宋"/>
          <w:color w:val="000000"/>
          <w:sz w:val="32"/>
          <w:szCs w:val="32"/>
        </w:rPr>
      </w:pPr>
    </w:p>
    <w:p>
      <w:pPr>
        <w:pStyle w:val="20"/>
        <w:tabs>
          <w:tab w:val="center" w:pos="4153"/>
          <w:tab w:val="right" w:pos="8306"/>
        </w:tabs>
        <w:rPr>
          <w:rFonts w:ascii="仿宋" w:eastAsia="仿宋" w:cs="仿宋"/>
          <w:color w:val="000000"/>
          <w:sz w:val="32"/>
          <w:szCs w:val="32"/>
        </w:rPr>
      </w:pPr>
    </w:p>
    <w:p>
      <w:pPr>
        <w:pStyle w:val="20"/>
        <w:tabs>
          <w:tab w:val="center" w:pos="4153"/>
          <w:tab w:val="right" w:pos="8306"/>
        </w:tabs>
        <w:rPr>
          <w:rFonts w:ascii="仿宋" w:eastAsia="仿宋" w:cs="仿宋"/>
          <w:color w:val="000000"/>
          <w:sz w:val="32"/>
          <w:szCs w:val="32"/>
        </w:rPr>
      </w:pPr>
    </w:p>
    <w:p>
      <w:pPr>
        <w:pStyle w:val="20"/>
        <w:tabs>
          <w:tab w:val="center" w:pos="4153"/>
          <w:tab w:val="right" w:pos="8306"/>
        </w:tabs>
        <w:rPr>
          <w:rFonts w:ascii="仿宋" w:eastAsia="仿宋" w:cs="仿宋"/>
          <w:color w:val="000000"/>
          <w:sz w:val="32"/>
          <w:szCs w:val="32"/>
        </w:rPr>
      </w:pPr>
    </w:p>
    <w:p>
      <w:pPr>
        <w:pStyle w:val="20"/>
        <w:tabs>
          <w:tab w:val="center" w:pos="4153"/>
          <w:tab w:val="right" w:pos="8306"/>
        </w:tabs>
        <w:rPr>
          <w:rFonts w:ascii="仿宋" w:eastAsia="仿宋" w:cs="仿宋"/>
          <w:color w:val="000000"/>
          <w:sz w:val="32"/>
          <w:szCs w:val="32"/>
        </w:rPr>
      </w:pPr>
    </w:p>
    <w:p>
      <w:pPr>
        <w:pStyle w:val="20"/>
        <w:tabs>
          <w:tab w:val="center" w:pos="4153"/>
          <w:tab w:val="right" w:pos="8306"/>
        </w:tabs>
        <w:rPr>
          <w:rFonts w:ascii="仿宋" w:eastAsia="仿宋" w:cs="仿宋"/>
          <w:color w:val="000000"/>
          <w:sz w:val="32"/>
          <w:szCs w:val="32"/>
        </w:rPr>
      </w:pPr>
    </w:p>
    <w:p>
      <w:pPr>
        <w:pStyle w:val="20"/>
        <w:tabs>
          <w:tab w:val="center" w:pos="4153"/>
          <w:tab w:val="right" w:pos="8306"/>
        </w:tabs>
        <w:rPr>
          <w:rFonts w:ascii="仿宋" w:eastAsia="仿宋" w:cs="仿宋"/>
          <w:color w:val="000000"/>
          <w:sz w:val="32"/>
          <w:szCs w:val="32"/>
        </w:rPr>
      </w:pPr>
    </w:p>
    <w:p>
      <w:pPr>
        <w:pStyle w:val="20"/>
        <w:tabs>
          <w:tab w:val="center" w:pos="4153"/>
          <w:tab w:val="right" w:pos="8306"/>
        </w:tabs>
        <w:rPr>
          <w:rFonts w:ascii="仿宋" w:eastAsia="仿宋" w:cs="仿宋"/>
          <w:color w:val="000000"/>
          <w:sz w:val="32"/>
          <w:szCs w:val="32"/>
        </w:rPr>
      </w:pPr>
    </w:p>
    <w:p>
      <w:pPr>
        <w:pStyle w:val="20"/>
        <w:tabs>
          <w:tab w:val="center" w:pos="4153"/>
          <w:tab w:val="right" w:pos="8306"/>
        </w:tabs>
        <w:rPr>
          <w:rFonts w:ascii="仿宋" w:eastAsia="仿宋" w:cs="仿宋"/>
          <w:color w:val="000000"/>
          <w:sz w:val="32"/>
          <w:szCs w:val="32"/>
        </w:rPr>
      </w:pPr>
    </w:p>
    <w:p>
      <w:pPr>
        <w:pStyle w:val="20"/>
        <w:tabs>
          <w:tab w:val="center" w:pos="4153"/>
          <w:tab w:val="right" w:pos="8306"/>
        </w:tabs>
        <w:rPr>
          <w:rFonts w:ascii="仿宋" w:eastAsia="仿宋" w:cs="仿宋"/>
          <w:color w:val="000000"/>
          <w:sz w:val="32"/>
          <w:szCs w:val="32"/>
        </w:rPr>
      </w:pPr>
    </w:p>
    <w:p>
      <w:pPr>
        <w:pStyle w:val="20"/>
        <w:tabs>
          <w:tab w:val="center" w:pos="4153"/>
          <w:tab w:val="right" w:pos="8306"/>
        </w:tabs>
        <w:rPr>
          <w:rFonts w:ascii="仿宋" w:eastAsia="仿宋" w:cs="仿宋"/>
          <w:color w:val="000000"/>
          <w:sz w:val="32"/>
          <w:szCs w:val="32"/>
        </w:rPr>
      </w:pPr>
    </w:p>
    <w:p>
      <w:pPr>
        <w:pStyle w:val="20"/>
        <w:tabs>
          <w:tab w:val="center" w:pos="4153"/>
          <w:tab w:val="right" w:pos="8306"/>
        </w:tabs>
        <w:rPr>
          <w:rFonts w:ascii="仿宋" w:eastAsia="仿宋" w:cs="仿宋"/>
          <w:color w:val="000000"/>
          <w:sz w:val="32"/>
          <w:szCs w:val="32"/>
        </w:rPr>
      </w:pPr>
    </w:p>
    <w:p>
      <w:pPr>
        <w:spacing w:line="576" w:lineRule="exact"/>
        <w:jc w:val="left"/>
        <w:outlineLvl w:val="0"/>
        <w:rPr>
          <w:rFonts w:ascii="黑体" w:eastAsia="黑体" w:cs="黑体" w:hint="eastAsia"/>
          <w:sz w:val="32"/>
          <w:szCs w:val="32"/>
          <w:lang w:val="en-US" w:eastAsia="zh-CN"/>
        </w:rPr>
      </w:pPr>
      <w:r>
        <w:rPr>
          <w:rFonts w:ascii="黑体" w:eastAsia="黑体" w:cs="黑体" w:hint="eastAsia"/>
          <w:sz w:val="32"/>
          <w:szCs w:val="32"/>
        </w:rPr>
        <w:t>附件</w:t>
      </w:r>
      <w:r>
        <w:rPr>
          <w:rFonts w:ascii="黑体" w:eastAsia="黑体" w:cs="黑体" w:hint="eastAsia"/>
          <w:sz w:val="32"/>
          <w:szCs w:val="32"/>
          <w:lang w:val="en-US" w:eastAsia="zh-CN"/>
        </w:rPr>
        <w:t>3</w:t>
      </w:r>
    </w:p>
    <w:p>
      <w:pPr>
        <w:spacing w:line="576" w:lineRule="exact"/>
        <w:jc w:val="center"/>
        <w:rPr>
          <w:rFonts w:ascii="方正小标宋简体" w:eastAsia="方正小标宋简体"/>
          <w:sz w:val="44"/>
          <w:szCs w:val="44"/>
        </w:rPr>
      </w:pPr>
    </w:p>
    <w:p>
      <w:pPr>
        <w:spacing w:line="576" w:lineRule="exact"/>
        <w:jc w:val="center"/>
        <w:rPr>
          <w:rFonts w:ascii="方正小标宋简体" w:eastAsia="方正小标宋简体"/>
          <w:sz w:val="44"/>
          <w:szCs w:val="44"/>
        </w:rPr>
      </w:pPr>
      <w:r>
        <w:rPr>
          <w:rFonts w:ascii="方正小标宋简体" w:eastAsia="方正小标宋简体" w:hint="eastAsia"/>
          <w:sz w:val="44"/>
          <w:szCs w:val="44"/>
        </w:rPr>
        <w:t>茂县公共就业和人才交流服务局</w:t>
      </w:r>
    </w:p>
    <w:p>
      <w:pPr>
        <w:spacing w:line="576" w:lineRule="exact"/>
        <w:jc w:val="center"/>
        <w:rPr>
          <w:rFonts w:ascii="方正小标宋简体" w:eastAsia="方正小标宋简体"/>
          <w:sz w:val="44"/>
          <w:szCs w:val="44"/>
        </w:rPr>
      </w:pPr>
      <w:r>
        <w:rPr>
          <w:rFonts w:ascii="方正小标宋简体" w:eastAsia="方正小标宋简体" w:hint="eastAsia"/>
          <w:sz w:val="44"/>
          <w:szCs w:val="44"/>
        </w:rPr>
        <w:t>浙江对口支援茂县创业能力提升培训项目支出绩效自评价报告</w:t>
      </w:r>
    </w:p>
    <w:p>
      <w:pPr>
        <w:spacing w:line="576" w:lineRule="exact"/>
        <w:rPr>
          <w:rFonts w:ascii="方正小标宋简体" w:eastAsia="方正小标宋简体"/>
          <w:sz w:val="44"/>
          <w:szCs w:val="44"/>
        </w:rPr>
      </w:pPr>
      <w:r>
        <w:rPr>
          <w:rFonts w:ascii="方正小标宋简体" w:eastAsia="方正小标宋简体" w:hint="eastAsia"/>
          <w:sz w:val="44"/>
          <w:szCs w:val="44"/>
        </w:rPr>
        <w:t xml:space="preserve">  </w:t>
      </w:r>
    </w:p>
    <w:p>
      <w:pPr>
        <w:numPr>
          <w:ilvl w:val="0"/>
          <w:numId w:val="4"/>
        </w:numPr>
        <w:spacing w:line="576" w:lineRule="exact"/>
        <w:ind w:left="0" w:rightChars="155" w:right="326" w:firstLineChars="200" w:firstLine="640"/>
        <w:rPr>
          <w:rFonts w:ascii="楷体_GB2312" w:eastAsia="楷体_GB2312" w:cs="楷体_GB2312"/>
          <w:b/>
          <w:sz w:val="32"/>
          <w:szCs w:val="32"/>
        </w:rPr>
      </w:pPr>
      <w:r>
        <w:rPr>
          <w:rFonts w:ascii="黑体" w:eastAsia="黑体" w:cs="黑体" w:hint="eastAsia"/>
          <w:b/>
          <w:bCs/>
          <w:sz w:val="32"/>
          <w:szCs w:val="32"/>
        </w:rPr>
        <w:t>项目概况</w:t>
      </w:r>
    </w:p>
    <w:p>
      <w:pPr>
        <w:spacing w:line="576" w:lineRule="exact"/>
        <w:ind w:rightChars="155" w:right="326" w:firstLineChars="150" w:firstLine="480"/>
        <w:rPr>
          <w:rFonts w:ascii="楷体_GB2312" w:eastAsia="楷体_GB2312" w:cs="楷体_GB2312"/>
          <w:b/>
          <w:sz w:val="32"/>
          <w:szCs w:val="32"/>
        </w:rPr>
      </w:pPr>
      <w:r>
        <w:rPr>
          <w:rFonts w:ascii="楷体_GB2312" w:eastAsia="楷体_GB2312" w:cs="楷体_GB2312" w:hint="eastAsia"/>
          <w:b/>
          <w:sz w:val="32"/>
          <w:szCs w:val="32"/>
        </w:rPr>
        <w:t>（一）项目基本情况</w:t>
      </w:r>
    </w:p>
    <w:p>
      <w:pPr>
        <w:spacing w:line="360" w:lineRule="auto"/>
        <w:ind w:firstLineChars="200" w:firstLine="640"/>
        <w:rPr>
          <w:rFonts w:ascii="仿宋_GB2312" w:eastAsia="仿宋_GB2312" w:cs="仿宋_GB2312"/>
          <w:sz w:val="32"/>
          <w:szCs w:val="32"/>
        </w:rPr>
      </w:pPr>
      <w:r>
        <w:rPr>
          <w:rFonts w:ascii="仿宋_GB2312" w:eastAsia="仿宋_GB2312" w:cs="仿宋_GB2312" w:hint="eastAsia"/>
          <w:sz w:val="32"/>
          <w:szCs w:val="32"/>
        </w:rPr>
        <w:t>2022年浙江对口支援茂县创业能力提升培训项目包括：浙江省对口支援茂县政策宣传，创业能力提升培训、招聘活动、劳务输出、稳定就业补助等相关工作。</w:t>
      </w:r>
    </w:p>
    <w:p>
      <w:pPr>
        <w:numPr>
          <w:ilvl w:val="0"/>
          <w:numId w:val="5"/>
        </w:numPr>
        <w:spacing w:line="576" w:lineRule="exact"/>
        <w:ind w:left="0" w:rightChars="155" w:right="326" w:firstLineChars="150" w:firstLine="480"/>
        <w:rPr>
          <w:rFonts w:ascii="楷体_GB2312" w:eastAsia="楷体_GB2312" w:cs="楷体_GB2312"/>
          <w:b/>
          <w:sz w:val="32"/>
          <w:szCs w:val="32"/>
        </w:rPr>
      </w:pPr>
      <w:r>
        <w:rPr>
          <w:rFonts w:ascii="楷体_GB2312" w:eastAsia="楷体_GB2312" w:cs="楷体_GB2312" w:hint="eastAsia"/>
          <w:b/>
          <w:sz w:val="32"/>
          <w:szCs w:val="32"/>
        </w:rPr>
        <w:t>项目绩效目标</w:t>
      </w:r>
    </w:p>
    <w:p>
      <w:pPr>
        <w:numPr>
          <w:ilvl w:val="0"/>
          <w:numId w:val="6"/>
        </w:numPr>
        <w:spacing w:line="360" w:lineRule="auto"/>
        <w:ind w:left="0" w:rightChars="155" w:right="326" w:firstLineChars="200" w:firstLine="640"/>
        <w:rPr>
          <w:rFonts w:ascii="仿宋_GB2312" w:eastAsia="仿宋_GB2312" w:cs="仿宋_GB2312"/>
          <w:sz w:val="32"/>
          <w:szCs w:val="32"/>
        </w:rPr>
      </w:pPr>
      <w:r>
        <w:rPr>
          <w:rFonts w:ascii="仿宋_GB2312" w:eastAsia="仿宋_GB2312" w:cs="仿宋_GB2312" w:hint="eastAsia"/>
          <w:sz w:val="32"/>
          <w:szCs w:val="32"/>
        </w:rPr>
        <w:t>项目主要内容包括：浙江省对口支援茂县政策宣传、创业能力提升培训、招聘活动、劳务输出、稳定就业补助等相关工作。</w:t>
      </w:r>
    </w:p>
    <w:p>
      <w:pPr>
        <w:pStyle w:val="20"/>
        <w:numPr>
          <w:ilvl w:val="0"/>
          <w:numId w:val="6"/>
        </w:numPr>
        <w:tabs>
          <w:tab w:val="center" w:pos="4153"/>
          <w:tab w:val="right" w:pos="8306"/>
        </w:tabs>
        <w:snapToGrid/>
        <w:spacing w:line="360" w:lineRule="auto"/>
        <w:ind w:left="0" w:firstLineChars="200" w:firstLine="640"/>
        <w:rPr>
          <w:rFonts w:ascii="仿宋_GB2312" w:eastAsia="仿宋_GB2312" w:cs="仿宋_GB2312"/>
          <w:kern w:val="2"/>
          <w:sz w:val="32"/>
          <w:szCs w:val="32"/>
        </w:rPr>
      </w:pPr>
      <w:r>
        <w:rPr>
          <w:rFonts w:ascii="仿宋_GB2312" w:eastAsia="仿宋_GB2312" w:cs="仿宋_GB2312" w:hint="eastAsia"/>
          <w:kern w:val="2"/>
          <w:sz w:val="32"/>
          <w:szCs w:val="32"/>
        </w:rPr>
        <w:t>项目应实现对城乡劳动者提供技术培训、对2022年继续托底安置在公益性岗位已脱贫人员购买人身意外伤害保险、通过宣传提高群众的政策知晓率。</w:t>
      </w:r>
    </w:p>
    <w:p>
      <w:pPr>
        <w:pStyle w:val="20"/>
        <w:numPr>
          <w:ilvl w:val="0"/>
          <w:numId w:val="6"/>
        </w:numPr>
        <w:tabs>
          <w:tab w:val="center" w:pos="4153"/>
          <w:tab w:val="right" w:pos="8306"/>
        </w:tabs>
        <w:snapToGrid/>
        <w:spacing w:line="360" w:lineRule="auto"/>
        <w:ind w:left="0" w:firstLineChars="200" w:firstLine="640"/>
        <w:rPr>
          <w:rFonts w:ascii="仿宋_GB2312" w:eastAsia="仿宋_GB2312" w:cs="仿宋_GB2312"/>
          <w:kern w:val="2"/>
          <w:sz w:val="32"/>
          <w:szCs w:val="32"/>
        </w:rPr>
      </w:pPr>
      <w:r>
        <w:rPr>
          <w:rFonts w:ascii="仿宋_GB2312" w:eastAsia="仿宋_GB2312" w:cs="仿宋_GB2312" w:hint="eastAsia"/>
          <w:kern w:val="2"/>
          <w:sz w:val="32"/>
          <w:szCs w:val="32"/>
        </w:rPr>
        <w:t>项目申报内容余实际相符，申报目标合理可行。</w:t>
      </w:r>
    </w:p>
    <w:p>
      <w:pPr>
        <w:spacing w:line="576" w:lineRule="exact"/>
        <w:ind w:rightChars="155" w:right="326" w:firstLineChars="150" w:firstLine="480"/>
        <w:rPr>
          <w:rFonts w:ascii="楷体_GB2312" w:eastAsia="楷体_GB2312" w:cs="楷体_GB2312"/>
          <w:b/>
          <w:sz w:val="32"/>
          <w:szCs w:val="32"/>
        </w:rPr>
      </w:pPr>
      <w:r>
        <w:rPr>
          <w:rFonts w:ascii="楷体_GB2312" w:eastAsia="楷体_GB2312" w:cs="楷体_GB2312" w:hint="eastAsia"/>
          <w:b/>
          <w:sz w:val="32"/>
          <w:szCs w:val="32"/>
        </w:rPr>
        <w:t>（三）项目自评步骤及方法</w:t>
      </w:r>
    </w:p>
    <w:p>
      <w:pPr>
        <w:spacing w:line="360" w:lineRule="auto"/>
        <w:ind w:rightChars="155" w:right="326" w:firstLineChars="200" w:firstLine="640"/>
        <w:rPr>
          <w:rFonts w:ascii="仿宋_GB2312" w:eastAsia="仿宋_GB2312" w:cs="仿宋_GB2312"/>
          <w:sz w:val="32"/>
          <w:szCs w:val="32"/>
        </w:rPr>
      </w:pPr>
      <w:r>
        <w:rPr>
          <w:rFonts w:ascii="仿宋_GB2312" w:eastAsia="仿宋_GB2312" w:cs="仿宋_GB2312" w:hint="eastAsia"/>
          <w:sz w:val="32"/>
          <w:szCs w:val="32"/>
        </w:rPr>
        <w:t>成立项目自评小组，结合评价内容，做到有计划，有安排，扎实开展本次自评工作。按照上级下达的项目支出绩效评价指标体系，自评小组针对申报内容、实施情况、资金兑现、财务管理、社会效益等做出自我评价。</w:t>
      </w:r>
    </w:p>
    <w:p>
      <w:pPr>
        <w:spacing w:line="576" w:lineRule="exact"/>
        <w:ind w:rightChars="155" w:right="326" w:firstLineChars="200" w:firstLine="640"/>
        <w:rPr>
          <w:rFonts w:ascii="黑体" w:eastAsia="黑体" w:cs="黑体"/>
          <w:b/>
          <w:bCs/>
          <w:sz w:val="32"/>
          <w:szCs w:val="32"/>
        </w:rPr>
      </w:pPr>
      <w:r>
        <w:rPr>
          <w:rFonts w:ascii="黑体" w:eastAsia="黑体" w:cs="黑体" w:hint="eastAsia"/>
          <w:b/>
          <w:bCs/>
          <w:sz w:val="32"/>
          <w:szCs w:val="32"/>
        </w:rPr>
        <w:t>二、项目资金使用情况</w:t>
      </w:r>
    </w:p>
    <w:p>
      <w:pPr>
        <w:spacing w:line="576" w:lineRule="exact"/>
        <w:ind w:rightChars="155" w:right="326" w:firstLineChars="150" w:firstLine="480"/>
        <w:rPr>
          <w:rFonts w:ascii="楷体_GB2312" w:eastAsia="楷体_GB2312" w:cs="楷体_GB2312"/>
          <w:b/>
          <w:sz w:val="32"/>
          <w:szCs w:val="32"/>
        </w:rPr>
      </w:pPr>
      <w:r>
        <w:rPr>
          <w:rFonts w:ascii="楷体_GB2312" w:eastAsia="楷体_GB2312" w:cs="楷体_GB2312" w:hint="eastAsia"/>
          <w:b/>
          <w:sz w:val="32"/>
          <w:szCs w:val="32"/>
        </w:rPr>
        <w:t>（一）资金计划、到位及使用情况</w:t>
      </w:r>
    </w:p>
    <w:p>
      <w:pPr>
        <w:spacing w:line="360" w:lineRule="auto"/>
        <w:ind w:rightChars="155" w:right="326" w:firstLineChars="200" w:firstLine="640"/>
        <w:rPr>
          <w:rFonts w:ascii="仿宋_GB2312" w:eastAsia="仿宋_GB2312" w:cs="仿宋_GB2312"/>
          <w:sz w:val="32"/>
          <w:szCs w:val="32"/>
        </w:rPr>
      </w:pPr>
      <w:r>
        <w:rPr>
          <w:rFonts w:ascii="仿宋_GB2312" w:eastAsia="仿宋_GB2312" w:cs="仿宋_GB2312" w:hint="eastAsia"/>
          <w:sz w:val="32"/>
          <w:szCs w:val="32"/>
        </w:rPr>
        <w:t>2022年财政安排浙江对口支援项目资金共计100万元，对口援建（2022）00003号安排2022年浙江对口支援项目资金100万元。项目资金到位率100%，完成预算的100%。</w:t>
      </w:r>
    </w:p>
    <w:p>
      <w:pPr>
        <w:numPr>
          <w:ilvl w:val="0"/>
          <w:numId w:val="2"/>
        </w:numPr>
        <w:spacing w:line="576" w:lineRule="exact"/>
        <w:ind w:left="0" w:rightChars="155" w:right="326" w:firstLineChars="150" w:firstLine="480"/>
        <w:rPr>
          <w:rFonts w:ascii="楷体_GB2312" w:eastAsia="楷体_GB2312" w:cs="楷体_GB2312"/>
          <w:b/>
          <w:bCs/>
          <w:sz w:val="32"/>
          <w:szCs w:val="32"/>
        </w:rPr>
      </w:pPr>
      <w:r>
        <w:rPr>
          <w:rFonts w:ascii="楷体_GB2312" w:eastAsia="楷体_GB2312" w:cs="楷体_GB2312" w:hint="eastAsia"/>
          <w:b/>
          <w:bCs/>
          <w:sz w:val="32"/>
          <w:szCs w:val="32"/>
        </w:rPr>
        <w:t>资金使用情况</w:t>
      </w:r>
    </w:p>
    <w:p>
      <w:pPr>
        <w:spacing w:line="360" w:lineRule="auto"/>
        <w:ind w:firstLineChars="200" w:firstLine="640"/>
        <w:rPr>
          <w:rFonts w:ascii="仿宋_GB2312" w:eastAsia="仿宋_GB2312" w:cs="仿宋_GB2312" w:hint="eastAsia"/>
          <w:sz w:val="32"/>
          <w:szCs w:val="32"/>
        </w:rPr>
      </w:pPr>
      <w:r>
        <w:rPr>
          <w:rFonts w:ascii="仿宋_GB2312" w:eastAsia="仿宋_GB2312" w:cs="仿宋_GB2312" w:hint="eastAsia"/>
          <w:sz w:val="32"/>
          <w:szCs w:val="32"/>
        </w:rPr>
        <w:t>截止2022年12月共计支出100万元，分别如下：</w:t>
      </w:r>
    </w:p>
    <w:p>
      <w:pPr>
        <w:numPr>
          <w:ilvl w:val="0"/>
          <w:numId w:val="7"/>
        </w:numPr>
        <w:spacing w:line="360" w:lineRule="auto"/>
        <w:ind w:left="0" w:firstLineChars="200" w:firstLine="640"/>
        <w:rPr>
          <w:rFonts w:ascii="仿宋_GB2312" w:eastAsia="仿宋_GB2312" w:cs="仿宋_GB2312" w:hint="eastAsia"/>
          <w:sz w:val="32"/>
          <w:szCs w:val="32"/>
        </w:rPr>
      </w:pPr>
      <w:r>
        <w:rPr>
          <w:rFonts w:ascii="仿宋_GB2312" w:eastAsia="仿宋_GB2312" w:cs="仿宋_GB2312" w:hint="eastAsia"/>
          <w:sz w:val="32"/>
          <w:szCs w:val="32"/>
        </w:rPr>
        <w:t>政策宣传45942.5元；</w:t>
      </w:r>
    </w:p>
    <w:p>
      <w:pPr>
        <w:numPr>
          <w:ilvl w:val="0"/>
          <w:numId w:val="7"/>
        </w:numPr>
        <w:spacing w:line="360" w:lineRule="auto"/>
        <w:ind w:left="0" w:firstLineChars="200" w:firstLine="640"/>
        <w:rPr>
          <w:rFonts w:ascii="仿宋_GB2312" w:eastAsia="仿宋_GB2312" w:cs="仿宋_GB2312" w:hint="eastAsia"/>
          <w:sz w:val="32"/>
          <w:szCs w:val="32"/>
        </w:rPr>
      </w:pPr>
      <w:r>
        <w:rPr>
          <w:rFonts w:ascii="仿宋_GB2312" w:eastAsia="仿宋_GB2312" w:cs="仿宋_GB2312" w:hint="eastAsia"/>
          <w:sz w:val="32"/>
          <w:szCs w:val="32"/>
        </w:rPr>
        <w:t>培训费259700元；</w:t>
      </w:r>
    </w:p>
    <w:p>
      <w:pPr>
        <w:numPr>
          <w:ilvl w:val="0"/>
          <w:numId w:val="7"/>
        </w:numPr>
        <w:spacing w:line="360" w:lineRule="auto"/>
        <w:ind w:left="0" w:firstLineChars="200" w:firstLine="640"/>
        <w:rPr>
          <w:rFonts w:ascii="仿宋_GB2312" w:eastAsia="仿宋_GB2312" w:cs="仿宋_GB2312" w:hint="eastAsia"/>
          <w:sz w:val="32"/>
          <w:szCs w:val="32"/>
        </w:rPr>
      </w:pPr>
      <w:r>
        <w:rPr>
          <w:rFonts w:ascii="仿宋_GB2312" w:eastAsia="仿宋_GB2312" w:cs="仿宋_GB2312" w:hint="eastAsia"/>
          <w:sz w:val="32"/>
          <w:szCs w:val="32"/>
        </w:rPr>
        <w:t>招聘活动62697.5元；</w:t>
      </w:r>
    </w:p>
    <w:p>
      <w:pPr>
        <w:numPr>
          <w:ilvl w:val="0"/>
          <w:numId w:val="7"/>
        </w:numPr>
        <w:spacing w:line="360" w:lineRule="auto"/>
        <w:ind w:left="0" w:firstLineChars="200" w:firstLine="640"/>
        <w:rPr>
          <w:rFonts w:ascii="仿宋_GB2312" w:eastAsia="仿宋_GB2312" w:cs="仿宋_GB2312" w:hint="eastAsia"/>
          <w:sz w:val="32"/>
          <w:szCs w:val="32"/>
        </w:rPr>
      </w:pPr>
      <w:r>
        <w:rPr>
          <w:rFonts w:ascii="仿宋_GB2312" w:eastAsia="仿宋_GB2312" w:cs="仿宋_GB2312" w:hint="eastAsia"/>
          <w:sz w:val="32"/>
          <w:szCs w:val="32"/>
        </w:rPr>
        <w:t>劳务输出566260元；</w:t>
      </w:r>
    </w:p>
    <w:p>
      <w:pPr>
        <w:numPr>
          <w:ilvl w:val="0"/>
          <w:numId w:val="7"/>
        </w:numPr>
        <w:spacing w:line="360" w:lineRule="auto"/>
        <w:ind w:left="0" w:firstLineChars="200" w:firstLine="640"/>
        <w:rPr>
          <w:rFonts w:ascii="仿宋_GB2312" w:eastAsia="仿宋_GB2312" w:cs="仿宋_GB2312" w:hint="eastAsia"/>
          <w:b/>
          <w:sz w:val="32"/>
          <w:szCs w:val="32"/>
          <w:lang w:val="zh-CN"/>
        </w:rPr>
      </w:pPr>
      <w:r>
        <w:rPr>
          <w:rFonts w:ascii="仿宋_GB2312" w:eastAsia="仿宋_GB2312" w:cs="仿宋_GB2312" w:hint="eastAsia"/>
          <w:sz w:val="32"/>
          <w:szCs w:val="32"/>
        </w:rPr>
        <w:t>公益性岗位意外险65400元。</w:t>
      </w:r>
    </w:p>
    <w:p>
      <w:pPr>
        <w:spacing w:line="576" w:lineRule="exact"/>
        <w:ind w:rightChars="155" w:right="326" w:firstLineChars="150" w:firstLine="480"/>
        <w:rPr>
          <w:rFonts w:ascii="楷体_GB2312" w:eastAsia="楷体_GB2312" w:cs="楷体_GB2312"/>
          <w:b/>
          <w:sz w:val="32"/>
          <w:szCs w:val="32"/>
          <w:lang w:val="zh-CN"/>
        </w:rPr>
      </w:pPr>
      <w:r>
        <w:rPr>
          <w:rFonts w:ascii="楷体_GB2312" w:eastAsia="楷体_GB2312" w:cs="楷体_GB2312" w:hint="eastAsia"/>
          <w:b/>
          <w:sz w:val="32"/>
          <w:szCs w:val="32"/>
          <w:lang w:val="zh-CN"/>
        </w:rPr>
        <w:t>（</w:t>
      </w:r>
      <w:r>
        <w:rPr>
          <w:rFonts w:ascii="楷体_GB2312" w:eastAsia="楷体_GB2312" w:cs="楷体_GB2312" w:hint="eastAsia"/>
          <w:b/>
          <w:sz w:val="32"/>
          <w:szCs w:val="32"/>
        </w:rPr>
        <w:t>三</w:t>
      </w:r>
      <w:r>
        <w:rPr>
          <w:rFonts w:ascii="楷体_GB2312" w:eastAsia="楷体_GB2312" w:cs="楷体_GB2312" w:hint="eastAsia"/>
          <w:b/>
          <w:sz w:val="32"/>
          <w:szCs w:val="32"/>
          <w:lang w:val="zh-CN"/>
        </w:rPr>
        <w:t>）项目财务管理情况。</w:t>
      </w:r>
    </w:p>
    <w:p>
      <w:pPr>
        <w:spacing w:line="360" w:lineRule="auto"/>
        <w:ind w:left="140" w:firstLineChars="200" w:firstLine="640"/>
        <w:rPr>
          <w:rFonts w:ascii="仿宋_GB2312" w:eastAsia="仿宋_GB2312" w:cs="仿宋_GB2312"/>
          <w:sz w:val="32"/>
          <w:szCs w:val="32"/>
        </w:rPr>
      </w:pPr>
      <w:r>
        <w:rPr>
          <w:rFonts w:ascii="仿宋_GB2312" w:eastAsia="仿宋_GB2312" w:cs="仿宋_GB2312" w:hint="eastAsia"/>
          <w:sz w:val="32"/>
          <w:szCs w:val="32"/>
        </w:rPr>
        <w:t>本单位严格按照文件要求对专项资金进行使用，切实加强中央对地方专项转移支付的资金管理，提高财政资金使用的规范性、安全性和有效性。</w:t>
      </w:r>
    </w:p>
    <w:p>
      <w:pPr>
        <w:spacing w:line="576" w:lineRule="exact"/>
        <w:ind w:rightChars="155" w:right="326" w:firstLineChars="150" w:firstLine="480"/>
        <w:rPr>
          <w:rFonts w:ascii="楷体_GB2312" w:eastAsia="楷体_GB2312" w:cs="楷体_GB2312"/>
          <w:b/>
          <w:sz w:val="32"/>
          <w:szCs w:val="32"/>
          <w:lang w:val="zh-CN"/>
        </w:rPr>
      </w:pPr>
      <w:r>
        <w:rPr>
          <w:rFonts w:ascii="楷体_GB2312" w:eastAsia="楷体_GB2312" w:cs="楷体_GB2312" w:hint="eastAsia"/>
          <w:b/>
          <w:sz w:val="32"/>
          <w:szCs w:val="32"/>
          <w:lang w:val="zh-CN"/>
        </w:rPr>
        <w:t>（</w:t>
      </w:r>
      <w:r>
        <w:rPr>
          <w:rFonts w:ascii="楷体_GB2312" w:eastAsia="楷体_GB2312" w:cs="楷体_GB2312" w:hint="eastAsia"/>
          <w:b/>
          <w:sz w:val="32"/>
          <w:szCs w:val="32"/>
        </w:rPr>
        <w:t>四</w:t>
      </w:r>
      <w:r>
        <w:rPr>
          <w:rFonts w:ascii="楷体_GB2312" w:eastAsia="楷体_GB2312" w:cs="楷体_GB2312" w:hint="eastAsia"/>
          <w:b/>
          <w:sz w:val="32"/>
          <w:szCs w:val="32"/>
          <w:lang w:val="zh-CN"/>
        </w:rPr>
        <w:t>）项目组织实施情况。</w:t>
      </w:r>
    </w:p>
    <w:p>
      <w:pPr>
        <w:spacing w:line="360" w:lineRule="auto"/>
        <w:ind w:firstLineChars="200" w:firstLine="640"/>
        <w:rPr>
          <w:rFonts w:ascii="仿宋_GB2312" w:eastAsia="仿宋_GB2312" w:cs="仿宋_GB2312"/>
          <w:sz w:val="32"/>
          <w:szCs w:val="32"/>
          <w:lang w:val="zh-CN"/>
        </w:rPr>
      </w:pPr>
      <w:r>
        <w:rPr>
          <w:rFonts w:ascii="仿宋_GB2312" w:eastAsia="仿宋_GB2312" w:cs="仿宋_GB2312" w:hint="eastAsia"/>
          <w:sz w:val="32"/>
          <w:szCs w:val="32"/>
          <w:lang w:val="zh-CN"/>
        </w:rPr>
        <w:t>县级财政部门</w:t>
      </w:r>
      <w:r>
        <w:rPr>
          <w:rFonts w:ascii="仿宋_GB2312" w:eastAsia="仿宋_GB2312" w:cs="仿宋_GB2312" w:hint="eastAsia"/>
          <w:sz w:val="32"/>
          <w:szCs w:val="32"/>
        </w:rPr>
        <w:t>预算资金按时足额划拨至我单位，我局严格按照资金管理办法做好预算执行情况统计。</w:t>
      </w:r>
    </w:p>
    <w:p>
      <w:pPr>
        <w:spacing w:line="360" w:lineRule="auto"/>
        <w:ind w:firstLineChars="200" w:firstLine="640"/>
        <w:rPr>
          <w:rFonts w:ascii="仿宋_GB2312" w:eastAsia="仿宋_GB2312" w:cs="仿宋_GB2312"/>
          <w:sz w:val="32"/>
          <w:szCs w:val="32"/>
          <w:lang w:val="zh-CN"/>
        </w:rPr>
      </w:pPr>
      <w:r>
        <w:rPr>
          <w:rFonts w:ascii="仿宋_GB2312" w:eastAsia="仿宋_GB2312" w:cs="仿宋_GB2312" w:hint="eastAsia"/>
          <w:sz w:val="32"/>
          <w:szCs w:val="32"/>
        </w:rPr>
        <w:t>单位在项目资金管理过程中严格按照 “收支两条线”管理；严格按照《会计法》规定的会计科目进行核算。</w:t>
      </w:r>
    </w:p>
    <w:p>
      <w:pPr>
        <w:spacing w:line="360" w:lineRule="auto"/>
        <w:ind w:firstLineChars="200" w:firstLine="640"/>
        <w:rPr>
          <w:rFonts w:ascii="仿宋_GB2312" w:eastAsia="仿宋_GB2312" w:cs="仿宋_GB2312"/>
          <w:sz w:val="32"/>
          <w:szCs w:val="32"/>
        </w:rPr>
      </w:pPr>
      <w:r>
        <w:rPr>
          <w:rFonts w:ascii="仿宋_GB2312" w:eastAsia="仿宋_GB2312" w:cs="仿宋_GB2312" w:hint="eastAsia"/>
          <w:sz w:val="32"/>
          <w:szCs w:val="32"/>
        </w:rPr>
        <w:t>单位按时向县级财政部门报送资金使用支付进度情况，同时做好与财政部门、金融机构的对账工作，切实加强资金监管，确保专款专用。</w:t>
      </w:r>
    </w:p>
    <w:p>
      <w:pPr>
        <w:numPr>
          <w:ilvl w:val="0"/>
          <w:numId w:val="8"/>
        </w:numPr>
        <w:spacing w:line="576" w:lineRule="exact"/>
        <w:ind w:leftChars="152" w:left="319" w:firstLineChars="100" w:firstLine="320"/>
        <w:rPr>
          <w:rFonts w:ascii="黑体" w:eastAsia="黑体" w:cs="黑体"/>
          <w:b/>
          <w:bCs/>
          <w:sz w:val="32"/>
          <w:szCs w:val="32"/>
        </w:rPr>
      </w:pPr>
      <w:r>
        <w:rPr>
          <w:rFonts w:ascii="黑体" w:eastAsia="黑体" w:cs="黑体" w:hint="eastAsia"/>
          <w:b/>
          <w:bCs/>
          <w:sz w:val="32"/>
          <w:szCs w:val="32"/>
        </w:rPr>
        <w:t>项目绩效情况</w:t>
      </w:r>
    </w:p>
    <w:p>
      <w:pPr>
        <w:numPr>
          <w:ilvl w:val="0"/>
          <w:numId w:val="9"/>
        </w:numPr>
        <w:spacing w:line="576" w:lineRule="exact"/>
        <w:ind w:leftChars="252" w:left="529"/>
        <w:rPr>
          <w:rFonts w:ascii="楷体_GB2312" w:eastAsia="楷体_GB2312" w:cs="楷体_GB2312"/>
          <w:b/>
          <w:sz w:val="32"/>
          <w:szCs w:val="32"/>
        </w:rPr>
      </w:pPr>
      <w:r>
        <w:rPr>
          <w:rFonts w:ascii="楷体_GB2312" w:eastAsia="楷体_GB2312" w:cs="楷体_GB2312" w:hint="eastAsia"/>
          <w:b/>
          <w:sz w:val="32"/>
          <w:szCs w:val="32"/>
          <w:lang w:val="zh-CN"/>
        </w:rPr>
        <w:t>项目完成情况。</w:t>
      </w:r>
    </w:p>
    <w:p>
      <w:pPr>
        <w:spacing w:line="360" w:lineRule="auto"/>
        <w:ind w:left="140" w:firstLineChars="200" w:firstLine="640"/>
        <w:rPr>
          <w:rFonts w:ascii="仿宋_GB2312" w:eastAsia="仿宋_GB2312" w:cs="仿宋_GB2312"/>
          <w:sz w:val="32"/>
          <w:szCs w:val="32"/>
        </w:rPr>
      </w:pPr>
      <w:r>
        <w:rPr>
          <w:rFonts w:ascii="仿宋_GB2312" w:eastAsia="仿宋_GB2312" w:cs="仿宋_GB2312" w:hint="eastAsia"/>
          <w:sz w:val="32"/>
          <w:szCs w:val="32"/>
        </w:rPr>
        <w:t>上级拨付我局100万元浙江对口支援项目资金，</w:t>
      </w:r>
      <w:r>
        <w:rPr>
          <w:rFonts w:ascii="仿宋_GB2312" w:eastAsia="仿宋_GB2312" w:cs="仿宋_GB2312" w:hint="eastAsia"/>
          <w:sz w:val="32"/>
          <w:szCs w:val="32"/>
          <w:lang w:val="zh-CN"/>
        </w:rPr>
        <w:t>按照专项资金管理办法，做到专款专用，完成各项</w:t>
      </w:r>
      <w:r>
        <w:rPr>
          <w:rFonts w:ascii="仿宋_GB2312" w:eastAsia="仿宋_GB2312" w:cs="仿宋_GB2312" w:hint="eastAsia"/>
          <w:sz w:val="32"/>
          <w:szCs w:val="32"/>
        </w:rPr>
        <w:t>预定绩效</w:t>
      </w:r>
      <w:r>
        <w:rPr>
          <w:rFonts w:ascii="仿宋_GB2312" w:eastAsia="仿宋_GB2312" w:cs="仿宋_GB2312" w:hint="eastAsia"/>
          <w:sz w:val="32"/>
          <w:szCs w:val="32"/>
          <w:lang w:val="zh-CN"/>
        </w:rPr>
        <w:t>目标。</w:t>
      </w:r>
      <w:r>
        <w:rPr>
          <w:rFonts w:ascii="仿宋_GB2312" w:eastAsia="仿宋_GB2312" w:cs="仿宋_GB2312" w:hint="eastAsia"/>
          <w:sz w:val="32"/>
          <w:szCs w:val="32"/>
        </w:rPr>
        <w:t xml:space="preserve">   </w:t>
      </w:r>
    </w:p>
    <w:p>
      <w:pPr>
        <w:numPr>
          <w:ilvl w:val="0"/>
          <w:numId w:val="9"/>
        </w:numPr>
        <w:spacing w:line="576" w:lineRule="exact"/>
        <w:ind w:leftChars="252" w:left="529"/>
        <w:rPr>
          <w:rFonts w:ascii="楷体_GB2312" w:eastAsia="楷体_GB2312" w:cs="楷体_GB2312"/>
          <w:b/>
          <w:sz w:val="32"/>
          <w:szCs w:val="32"/>
        </w:rPr>
      </w:pPr>
      <w:r>
        <w:rPr>
          <w:rFonts w:ascii="楷体_GB2312" w:eastAsia="楷体_GB2312" w:cs="楷体_GB2312" w:hint="eastAsia"/>
          <w:b/>
          <w:sz w:val="32"/>
          <w:szCs w:val="32"/>
        </w:rPr>
        <w:t>项目效益情况</w:t>
      </w:r>
    </w:p>
    <w:p>
      <w:pPr>
        <w:spacing w:line="360" w:lineRule="auto"/>
        <w:ind w:left="140" w:firstLineChars="200" w:firstLine="640"/>
        <w:rPr>
          <w:rFonts w:ascii="仿宋_GB2312" w:eastAsia="仿宋_GB2312" w:cs="仿宋_GB2312"/>
          <w:sz w:val="32"/>
          <w:szCs w:val="32"/>
        </w:rPr>
      </w:pPr>
      <w:r>
        <w:rPr>
          <w:rFonts w:ascii="仿宋_GB2312" w:eastAsia="仿宋_GB2312" w:cs="仿宋_GB2312" w:hint="eastAsia"/>
          <w:sz w:val="32"/>
          <w:szCs w:val="32"/>
        </w:rPr>
        <w:t>此次政策宣传，提高了城乡劳动者的政策知晓率，提升了就业创业意识；通过开展的技术培训、购买公益性岗位人身意外险等方式，使其掌握了产业技能，享受了应有保障；招聘活动的开展，整合企业资源信息，提供就业岗位，便于求职者积累求职经验、提升就业能力，同时使其获得更多就业机会。此次专项资金项目的实施，获得城乡劳动者的一致好评。</w:t>
      </w:r>
    </w:p>
    <w:p>
      <w:pPr>
        <w:spacing w:line="360" w:lineRule="auto"/>
        <w:ind w:left="140" w:firstLineChars="200" w:firstLine="640"/>
        <w:rPr>
          <w:rFonts w:ascii="仿宋_GB2312" w:eastAsia="仿宋_GB2312" w:cs="仿宋_GB2312"/>
          <w:sz w:val="32"/>
          <w:szCs w:val="32"/>
        </w:rPr>
      </w:pPr>
    </w:p>
    <w:p>
      <w:pPr>
        <w:spacing w:line="360" w:lineRule="auto"/>
        <w:ind w:left="140" w:firstLineChars="200" w:firstLine="640"/>
        <w:rPr>
          <w:rFonts w:ascii="仿宋_GB2312" w:eastAsia="仿宋_GB2312" w:cs="仿宋_GB2312"/>
          <w:sz w:val="32"/>
          <w:szCs w:val="32"/>
        </w:rPr>
      </w:pPr>
    </w:p>
    <w:p>
      <w:pPr>
        <w:spacing w:line="360" w:lineRule="auto"/>
        <w:ind w:left="140" w:firstLineChars="200" w:firstLine="640"/>
        <w:rPr>
          <w:rFonts w:ascii="仿宋_GB2312" w:eastAsia="仿宋_GB2312" w:cs="仿宋_GB2312"/>
          <w:sz w:val="32"/>
          <w:szCs w:val="32"/>
        </w:rPr>
      </w:pPr>
    </w:p>
    <w:p>
      <w:pPr>
        <w:spacing w:line="360" w:lineRule="auto"/>
        <w:ind w:left="140" w:firstLineChars="200" w:firstLine="640"/>
        <w:rPr>
          <w:rFonts w:ascii="仿宋_GB2312" w:eastAsia="仿宋_GB2312" w:cs="仿宋_GB2312"/>
          <w:sz w:val="32"/>
          <w:szCs w:val="32"/>
        </w:rPr>
      </w:pPr>
    </w:p>
    <w:p>
      <w:pPr>
        <w:spacing w:line="360" w:lineRule="auto"/>
        <w:ind w:left="140" w:firstLineChars="200" w:firstLine="640"/>
        <w:rPr>
          <w:rFonts w:ascii="仿宋_GB2312" w:eastAsia="仿宋_GB2312" w:cs="仿宋_GB2312"/>
          <w:sz w:val="32"/>
          <w:szCs w:val="32"/>
        </w:rPr>
      </w:pPr>
    </w:p>
    <w:p>
      <w:pPr>
        <w:spacing w:line="360" w:lineRule="auto"/>
        <w:ind w:left="140" w:firstLineChars="200" w:firstLine="640"/>
        <w:rPr>
          <w:rFonts w:ascii="仿宋_GB2312" w:eastAsia="仿宋_GB2312" w:cs="仿宋_GB2312"/>
          <w:sz w:val="32"/>
          <w:szCs w:val="32"/>
        </w:rPr>
      </w:pPr>
    </w:p>
    <w:p>
      <w:pPr>
        <w:spacing w:line="360" w:lineRule="auto"/>
        <w:ind w:left="140" w:firstLineChars="200" w:firstLine="640"/>
        <w:rPr>
          <w:rFonts w:ascii="仿宋_GB2312" w:eastAsia="仿宋_GB2312" w:cs="仿宋_GB2312"/>
          <w:sz w:val="32"/>
          <w:szCs w:val="32"/>
        </w:rPr>
      </w:pPr>
    </w:p>
    <w:p>
      <w:pPr>
        <w:spacing w:line="576" w:lineRule="exact"/>
        <w:jc w:val="center"/>
        <w:rPr>
          <w:rFonts w:ascii="方正小标宋简体" w:eastAsia="方正小标宋简体" w:hint="eastAsia"/>
          <w:sz w:val="44"/>
          <w:szCs w:val="44"/>
        </w:rPr>
      </w:pPr>
      <w:r>
        <w:rPr>
          <w:rFonts w:ascii="方正小标宋简体" w:eastAsia="方正小标宋简体" w:hint="eastAsia"/>
          <w:sz w:val="44"/>
          <w:szCs w:val="44"/>
        </w:rPr>
        <w:t>浙江对口支援茂县创业能力提升培训项目支出绩效自评表</w:t>
      </w:r>
    </w:p>
    <w:p>
      <w:pPr>
        <w:spacing w:line="576" w:lineRule="exact"/>
        <w:jc w:val="center"/>
        <w:rPr>
          <w:rFonts w:ascii="方正小标宋简体" w:eastAsia="方正小标宋简体" w:hint="eastAsia"/>
          <w:sz w:val="44"/>
          <w:szCs w:val="44"/>
        </w:rPr>
      </w:pPr>
      <w:r>
        <w:rPr>
          <w:rFonts w:ascii="方正小标宋简体" w:eastAsia="方正小标宋简体" w:hint="eastAsia"/>
          <w:sz w:val="44"/>
          <w:szCs w:val="44"/>
        </w:rPr>
        <w:t>（2022年度）</w:t>
      </w:r>
    </w:p>
    <w:p>
      <w:pPr>
        <w:pStyle w:val="25"/>
        <w:widowControl/>
        <w:spacing w:line="576" w:lineRule="exact"/>
        <w:rPr>
          <w:rFonts w:ascii="仿宋_GB2312" w:eastAsia="仿宋_GB2312" w:cs="仿宋_GB2312"/>
          <w:sz w:val="32"/>
          <w:szCs w:val="32"/>
        </w:rPr>
      </w:pPr>
      <w:r>
        <w:t>附表</w:t>
      </w:r>
    </w:p>
    <w:tbl>
      <w:tblPr>
        <w:jc w:val="left"/>
        <w:tblInd w:w="15" w:type="dxa"/>
        <w:tblW w:w="8321" w:type="dxa"/>
        <w:tblCellSpacing w:w="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Layout w:type="fixed"/>
        <w:tblCellMar>
          <w:top w:w="0" w:type="dxa"/>
          <w:left w:w="0" w:type="dxa"/>
          <w:bottom w:w="0" w:type="dxa"/>
          <w:right w:w="0" w:type="dxa"/>
        </w:tblCellMar>
      </w:tblPr>
      <w:tblGrid>
        <w:gridCol w:w="1672"/>
        <w:gridCol w:w="1046"/>
        <w:gridCol w:w="1413"/>
        <w:gridCol w:w="1079"/>
        <w:gridCol w:w="1113"/>
        <w:gridCol w:w="1998"/>
      </w:tblGrid>
      <w:tr>
        <w:trPr>
          <w:trHeight w:val="675"/>
        </w:trPr>
        <w:tc>
          <w:tcPr>
            <w:tcW w:w="8321" w:type="dxa"/>
            <w:gridSpan w:val="6"/>
            <w:tcBorders>
              <w:top w:val="outset" w:sz="6" w:space="0" w:color="auto"/>
              <w:left w:val="outset" w:sz="6" w:space="0" w:color="auto"/>
              <w:bottom w:val="outset" w:sz="6" w:space="0" w:color="auto"/>
              <w:right w:val="outset" w:sz="6" w:space="0" w:color="auto"/>
            </w:tcBorders>
            <w:noWrap/>
            <w:vAlign w:val="center"/>
          </w:tcPr>
          <w:p>
            <w:pPr>
              <w:pStyle w:val="25"/>
              <w:keepNext w:val="0"/>
              <w:keepLines w:val="0"/>
              <w:pageBreakBefore w:val="0"/>
              <w:widowControl/>
              <w:suppressLineNumbers w:val="0"/>
              <w:kinsoku/>
              <w:wordWrap/>
              <w:overflowPunct/>
              <w:topLinePunct w:val="0"/>
              <w:bidi w:val="0"/>
              <w:spacing w:line="576" w:lineRule="exact"/>
              <w:jc w:val="center"/>
              <w:textAlignment w:val="auto"/>
            </w:pPr>
            <w:r>
              <w:rPr>
                <w:rStyle w:val="26"/>
              </w:rPr>
              <w:t>2022年100万元以上（含）特定目标类部门预算项目绩效目标自评</w:t>
            </w:r>
          </w:p>
        </w:tc>
      </w:tr>
      <w:tr>
        <w:trPr>
          <w:trHeight w:val="256"/>
        </w:trPr>
        <w:tc>
          <w:tcPr>
            <w:tcW w:w="2718" w:type="dxa"/>
            <w:gridSpan w:val="2"/>
            <w:tcBorders>
              <w:top w:val="outset" w:sz="6" w:space="0" w:color="auto"/>
              <w:left w:val="outset" w:sz="6" w:space="0" w:color="auto"/>
              <w:bottom w:val="outset" w:sz="6" w:space="0" w:color="auto"/>
              <w:right w:val="outset" w:sz="6" w:space="0" w:color="auto"/>
            </w:tcBorders>
            <w:noWrap/>
            <w:vAlign w:val="center"/>
          </w:tcPr>
          <w:p>
            <w:pPr>
              <w:pStyle w:val="25"/>
              <w:keepNext w:val="0"/>
              <w:keepLines w:val="0"/>
              <w:pageBreakBefore w:val="0"/>
              <w:widowControl/>
              <w:suppressLineNumbers w:val="0"/>
              <w:kinsoku/>
              <w:wordWrap/>
              <w:overflowPunct/>
              <w:topLinePunct w:val="0"/>
              <w:bidi w:val="0"/>
              <w:spacing w:line="576" w:lineRule="exact"/>
              <w:jc w:val="center"/>
              <w:textAlignment w:val="auto"/>
            </w:pPr>
            <w:r>
              <w:t>主管部门及代码</w:t>
            </w:r>
          </w:p>
        </w:tc>
        <w:tc>
          <w:tcPr>
            <w:tcW w:w="2492" w:type="dxa"/>
            <w:gridSpan w:val="2"/>
            <w:tcBorders>
              <w:top w:val="outset" w:sz="6" w:space="0" w:color="auto"/>
              <w:left w:val="outset" w:sz="6" w:space="0" w:color="auto"/>
              <w:bottom w:val="outset" w:sz="6" w:space="0" w:color="auto"/>
              <w:right w:val="outset" w:sz="6" w:space="0" w:color="auto"/>
            </w:tcBorders>
            <w:noWrap/>
            <w:vAlign w:val="center"/>
          </w:tcPr>
          <w:p>
            <w:pPr>
              <w:pStyle w:val="25"/>
              <w:keepNext w:val="0"/>
              <w:keepLines w:val="0"/>
              <w:pageBreakBefore w:val="0"/>
              <w:widowControl/>
              <w:suppressLineNumbers w:val="0"/>
              <w:kinsoku/>
              <w:wordWrap/>
              <w:overflowPunct/>
              <w:topLinePunct w:val="0"/>
              <w:bidi w:val="0"/>
              <w:spacing w:line="576" w:lineRule="exact"/>
              <w:jc w:val="center"/>
              <w:textAlignment w:val="auto"/>
            </w:pPr>
            <w:r>
              <w:t> </w:t>
            </w:r>
            <w:r>
              <w:rPr>
                <w:rFonts w:hint="eastAsia"/>
              </w:rPr>
              <w:t>茂县人力资源和社会保障局</w:t>
            </w:r>
            <w:r>
              <w:t> </w:t>
            </w:r>
          </w:p>
        </w:tc>
        <w:tc>
          <w:tcPr>
            <w:tcW w:w="1113" w:type="dxa"/>
            <w:tcBorders>
              <w:top w:val="outset" w:sz="6" w:space="0" w:color="auto"/>
              <w:left w:val="outset" w:sz="6" w:space="0" w:color="auto"/>
              <w:bottom w:val="outset" w:sz="6" w:space="0" w:color="auto"/>
              <w:right w:val="outset" w:sz="6" w:space="0" w:color="auto"/>
            </w:tcBorders>
            <w:noWrap/>
            <w:vAlign w:val="center"/>
          </w:tcPr>
          <w:p>
            <w:pPr>
              <w:pStyle w:val="25"/>
              <w:keepNext w:val="0"/>
              <w:keepLines w:val="0"/>
              <w:pageBreakBefore w:val="0"/>
              <w:widowControl/>
              <w:suppressLineNumbers w:val="0"/>
              <w:kinsoku/>
              <w:wordWrap/>
              <w:overflowPunct/>
              <w:topLinePunct w:val="0"/>
              <w:bidi w:val="0"/>
              <w:spacing w:line="576" w:lineRule="exact"/>
              <w:jc w:val="center"/>
              <w:textAlignment w:val="auto"/>
            </w:pPr>
            <w:r>
              <w:t>实施单位</w:t>
            </w:r>
          </w:p>
        </w:tc>
        <w:tc>
          <w:tcPr>
            <w:tcW w:w="1998" w:type="dxa"/>
            <w:tcBorders>
              <w:top w:val="outset" w:sz="6" w:space="0" w:color="auto"/>
              <w:left w:val="outset" w:sz="6" w:space="0" w:color="auto"/>
              <w:bottom w:val="outset" w:sz="6" w:space="0" w:color="auto"/>
              <w:right w:val="outset" w:sz="6" w:space="0" w:color="auto"/>
            </w:tcBorders>
            <w:noWrap/>
            <w:vAlign w:val="center"/>
          </w:tcPr>
          <w:p>
            <w:pPr>
              <w:pStyle w:val="25"/>
              <w:keepNext w:val="0"/>
              <w:keepLines w:val="0"/>
              <w:pageBreakBefore w:val="0"/>
              <w:widowControl/>
              <w:suppressLineNumbers w:val="0"/>
              <w:kinsoku/>
              <w:wordWrap/>
              <w:overflowPunct/>
              <w:topLinePunct w:val="0"/>
              <w:bidi w:val="0"/>
              <w:spacing w:line="576" w:lineRule="exact"/>
              <w:jc w:val="center"/>
              <w:textAlignment w:val="auto"/>
            </w:pPr>
            <w:r>
              <w:t> </w:t>
            </w:r>
            <w:r>
              <w:rPr>
                <w:rFonts w:hint="eastAsia"/>
              </w:rPr>
              <w:t>茂县公共就业和人才交流服务局</w:t>
            </w:r>
            <w:r>
              <w:t> </w:t>
            </w:r>
          </w:p>
        </w:tc>
      </w:tr>
      <w:tr>
        <w:trPr>
          <w:trHeight w:val="345"/>
        </w:trPr>
        <w:tc>
          <w:tcPr>
            <w:tcW w:w="2718" w:type="dxa"/>
            <w:gridSpan w:val="2"/>
            <w:vMerge w:val="restart"/>
            <w:tcBorders>
              <w:top w:val="outset" w:sz="6" w:space="0" w:color="auto"/>
              <w:left w:val="outset" w:sz="6" w:space="0" w:color="auto"/>
              <w:bottom w:val="outset" w:sz="6" w:space="0" w:color="auto"/>
              <w:right w:val="outset" w:sz="6" w:space="0" w:color="auto"/>
            </w:tcBorders>
            <w:noWrap/>
            <w:vAlign w:val="center"/>
          </w:tcPr>
          <w:p>
            <w:pPr>
              <w:pStyle w:val="25"/>
              <w:keepNext w:val="0"/>
              <w:keepLines w:val="0"/>
              <w:pageBreakBefore w:val="0"/>
              <w:widowControl/>
              <w:suppressLineNumbers w:val="0"/>
              <w:kinsoku/>
              <w:wordWrap/>
              <w:overflowPunct/>
              <w:topLinePunct w:val="0"/>
              <w:bidi w:val="0"/>
              <w:spacing w:line="576" w:lineRule="exact"/>
              <w:jc w:val="center"/>
              <w:textAlignment w:val="auto"/>
            </w:pPr>
            <w:r>
              <w:t>项目预算</w:t>
            </w:r>
          </w:p>
          <w:p>
            <w:pPr>
              <w:pStyle w:val="25"/>
              <w:keepNext w:val="0"/>
              <w:keepLines w:val="0"/>
              <w:pageBreakBefore w:val="0"/>
              <w:widowControl/>
              <w:suppressLineNumbers w:val="0"/>
              <w:kinsoku/>
              <w:wordWrap/>
              <w:overflowPunct/>
              <w:topLinePunct w:val="0"/>
              <w:bidi w:val="0"/>
              <w:spacing w:line="576" w:lineRule="exact"/>
              <w:jc w:val="center"/>
              <w:textAlignment w:val="auto"/>
            </w:pPr>
            <w:r>
              <w:t>执行情况</w:t>
            </w:r>
          </w:p>
          <w:p>
            <w:pPr>
              <w:pStyle w:val="25"/>
              <w:keepNext w:val="0"/>
              <w:keepLines w:val="0"/>
              <w:pageBreakBefore w:val="0"/>
              <w:widowControl/>
              <w:suppressLineNumbers w:val="0"/>
              <w:kinsoku/>
              <w:wordWrap/>
              <w:overflowPunct/>
              <w:topLinePunct w:val="0"/>
              <w:bidi w:val="0"/>
              <w:spacing w:line="576" w:lineRule="exact"/>
              <w:jc w:val="center"/>
              <w:textAlignment w:val="auto"/>
            </w:pPr>
            <w:r>
              <w:t>（万元）</w:t>
            </w:r>
          </w:p>
        </w:tc>
        <w:tc>
          <w:tcPr>
            <w:tcW w:w="1413" w:type="dxa"/>
            <w:tcBorders>
              <w:top w:val="outset" w:sz="6" w:space="0" w:color="auto"/>
              <w:left w:val="outset" w:sz="6" w:space="0" w:color="auto"/>
              <w:bottom w:val="outset" w:sz="6" w:space="0" w:color="auto"/>
              <w:right w:val="outset" w:sz="6" w:space="0" w:color="auto"/>
            </w:tcBorders>
            <w:noWrap/>
            <w:vAlign w:val="center"/>
          </w:tcPr>
          <w:p>
            <w:pPr>
              <w:pStyle w:val="25"/>
              <w:keepNext w:val="0"/>
              <w:keepLines w:val="0"/>
              <w:pageBreakBefore w:val="0"/>
              <w:widowControl/>
              <w:suppressLineNumbers w:val="0"/>
              <w:kinsoku/>
              <w:wordWrap/>
              <w:overflowPunct/>
              <w:topLinePunct w:val="0"/>
              <w:bidi w:val="0"/>
              <w:spacing w:line="576" w:lineRule="exact"/>
              <w:jc w:val="center"/>
              <w:textAlignment w:val="auto"/>
            </w:pPr>
            <w:r>
              <w:t> 预算数：</w:t>
            </w:r>
          </w:p>
        </w:tc>
        <w:tc>
          <w:tcPr>
            <w:tcW w:w="1079" w:type="dxa"/>
            <w:tcBorders>
              <w:top w:val="outset" w:sz="6" w:space="0" w:color="auto"/>
              <w:left w:val="outset" w:sz="6" w:space="0" w:color="auto"/>
              <w:bottom w:val="outset" w:sz="6" w:space="0" w:color="auto"/>
              <w:right w:val="outset" w:sz="6" w:space="0" w:color="auto"/>
            </w:tcBorders>
            <w:noWrap/>
            <w:vAlign w:val="center"/>
          </w:tcPr>
          <w:p>
            <w:pPr>
              <w:pStyle w:val="25"/>
              <w:keepNext w:val="0"/>
              <w:keepLines w:val="0"/>
              <w:pageBreakBefore w:val="0"/>
              <w:widowControl/>
              <w:suppressLineNumbers w:val="0"/>
              <w:kinsoku/>
              <w:wordWrap/>
              <w:overflowPunct/>
              <w:topLinePunct w:val="0"/>
              <w:bidi w:val="0"/>
              <w:spacing w:line="576" w:lineRule="exact"/>
              <w:jc w:val="center"/>
              <w:textAlignment w:val="auto"/>
              <w:rPr>
                <w:rFonts w:eastAsia="宋体"/>
                <w:lang w:val="en-US" w:eastAsia="zh-CN"/>
              </w:rPr>
            </w:pPr>
            <w:r>
              <w:t> </w:t>
            </w:r>
            <w:r>
              <w:rPr>
                <w:rFonts w:hint="eastAsia"/>
                <w:lang w:val="en-US" w:eastAsia="zh-CN"/>
              </w:rPr>
              <w:t>100</w:t>
            </w:r>
          </w:p>
        </w:tc>
        <w:tc>
          <w:tcPr>
            <w:tcW w:w="1113" w:type="dxa"/>
            <w:tcBorders>
              <w:top w:val="outset" w:sz="6" w:space="0" w:color="auto"/>
              <w:left w:val="outset" w:sz="6" w:space="0" w:color="auto"/>
              <w:bottom w:val="outset" w:sz="6" w:space="0" w:color="auto"/>
              <w:right w:val="outset" w:sz="6" w:space="0" w:color="auto"/>
            </w:tcBorders>
            <w:noWrap/>
            <w:vAlign w:val="center"/>
          </w:tcPr>
          <w:p>
            <w:pPr>
              <w:pStyle w:val="25"/>
              <w:keepNext w:val="0"/>
              <w:keepLines w:val="0"/>
              <w:pageBreakBefore w:val="0"/>
              <w:widowControl/>
              <w:suppressLineNumbers w:val="0"/>
              <w:kinsoku/>
              <w:wordWrap/>
              <w:overflowPunct/>
              <w:topLinePunct w:val="0"/>
              <w:bidi w:val="0"/>
              <w:spacing w:line="576" w:lineRule="exact"/>
              <w:jc w:val="center"/>
              <w:textAlignment w:val="auto"/>
            </w:pPr>
            <w:r>
              <w:t> 执行数：</w:t>
            </w:r>
          </w:p>
        </w:tc>
        <w:tc>
          <w:tcPr>
            <w:tcW w:w="1998" w:type="dxa"/>
            <w:tcBorders>
              <w:top w:val="outset" w:sz="6" w:space="0" w:color="auto"/>
              <w:left w:val="outset" w:sz="6" w:space="0" w:color="auto"/>
              <w:bottom w:val="outset" w:sz="6" w:space="0" w:color="auto"/>
              <w:right w:val="outset" w:sz="6" w:space="0" w:color="auto"/>
            </w:tcBorders>
            <w:noWrap/>
            <w:vAlign w:val="center"/>
          </w:tcPr>
          <w:p>
            <w:pPr>
              <w:pStyle w:val="25"/>
              <w:keepNext w:val="0"/>
              <w:keepLines w:val="0"/>
              <w:pageBreakBefore w:val="0"/>
              <w:widowControl/>
              <w:suppressLineNumbers w:val="0"/>
              <w:kinsoku/>
              <w:wordWrap/>
              <w:overflowPunct/>
              <w:topLinePunct w:val="0"/>
              <w:bidi w:val="0"/>
              <w:spacing w:line="576" w:lineRule="exact"/>
              <w:jc w:val="center"/>
              <w:textAlignment w:val="auto"/>
              <w:rPr>
                <w:rFonts w:eastAsia="宋体"/>
                <w:lang w:val="en-US" w:eastAsia="zh-CN"/>
              </w:rPr>
            </w:pPr>
            <w:r>
              <w:t> </w:t>
            </w:r>
            <w:r>
              <w:rPr>
                <w:rFonts w:hint="eastAsia"/>
                <w:lang w:val="en-US" w:eastAsia="zh-CN"/>
              </w:rPr>
              <w:t>100</w:t>
            </w:r>
          </w:p>
        </w:tc>
      </w:tr>
      <w:tr>
        <w:trPr>
          <w:trHeight w:val="555"/>
        </w:trPr>
        <w:tc>
          <w:tcPr>
            <w:tcW w:w="2718" w:type="dxa"/>
            <w:gridSpan w:val="2"/>
            <w:vMerge/>
            <w:tcBorders>
              <w:top w:val="outset" w:sz="6" w:space="0" w:color="auto"/>
              <w:left w:val="outset" w:sz="6" w:space="0" w:color="auto"/>
              <w:bottom w:val="outset" w:sz="6" w:space="0" w:color="auto"/>
              <w:right w:val="outset" w:sz="6" w:space="0" w:color="auto"/>
            </w:tcBorders>
            <w:noWrap/>
            <w:vAlign w:val="center"/>
          </w:tcPr>
          <w:p/>
        </w:tc>
        <w:tc>
          <w:tcPr>
            <w:tcW w:w="1413" w:type="dxa"/>
            <w:tcBorders>
              <w:top w:val="outset" w:sz="6" w:space="0" w:color="auto"/>
              <w:left w:val="outset" w:sz="6" w:space="0" w:color="auto"/>
              <w:bottom w:val="outset" w:sz="6" w:space="0" w:color="auto"/>
              <w:right w:val="outset" w:sz="6" w:space="0" w:color="auto"/>
            </w:tcBorders>
            <w:noWrap/>
            <w:vAlign w:val="center"/>
          </w:tcPr>
          <w:p>
            <w:pPr>
              <w:pStyle w:val="25"/>
              <w:keepNext w:val="0"/>
              <w:keepLines w:val="0"/>
              <w:pageBreakBefore w:val="0"/>
              <w:widowControl/>
              <w:suppressLineNumbers w:val="0"/>
              <w:kinsoku/>
              <w:wordWrap/>
              <w:overflowPunct/>
              <w:topLinePunct w:val="0"/>
              <w:bidi w:val="0"/>
              <w:spacing w:line="576" w:lineRule="exact"/>
              <w:jc w:val="center"/>
              <w:textAlignment w:val="auto"/>
              <w:rPr>
                <w:rFonts w:ascii="宋体" w:hint="eastAsia"/>
                <w:sz w:val="24"/>
                <w:szCs w:val="24"/>
              </w:rPr>
            </w:pPr>
            <w:r>
              <w:t>其中：</w:t>
            </w:r>
          </w:p>
          <w:p>
            <w:pPr>
              <w:pStyle w:val="25"/>
              <w:keepNext w:val="0"/>
              <w:keepLines w:val="0"/>
              <w:pageBreakBefore w:val="0"/>
              <w:widowControl/>
              <w:suppressLineNumbers w:val="0"/>
              <w:kinsoku/>
              <w:wordWrap/>
              <w:overflowPunct/>
              <w:topLinePunct w:val="0"/>
              <w:bidi w:val="0"/>
              <w:spacing w:line="576" w:lineRule="exact"/>
              <w:jc w:val="center"/>
              <w:textAlignment w:val="auto"/>
            </w:pPr>
            <w:r>
              <w:t>财政拨款</w:t>
            </w:r>
          </w:p>
        </w:tc>
        <w:tc>
          <w:tcPr>
            <w:tcW w:w="1079" w:type="dxa"/>
            <w:tcBorders>
              <w:top w:val="outset" w:sz="6" w:space="0" w:color="auto"/>
              <w:left w:val="outset" w:sz="6" w:space="0" w:color="auto"/>
              <w:bottom w:val="outset" w:sz="6" w:space="0" w:color="auto"/>
              <w:right w:val="outset" w:sz="6" w:space="0" w:color="auto"/>
            </w:tcBorders>
            <w:noWrap/>
            <w:vAlign w:val="center"/>
          </w:tcPr>
          <w:p>
            <w:pPr>
              <w:pStyle w:val="25"/>
              <w:keepNext w:val="0"/>
              <w:keepLines w:val="0"/>
              <w:pageBreakBefore w:val="0"/>
              <w:widowControl/>
              <w:suppressLineNumbers w:val="0"/>
              <w:kinsoku/>
              <w:wordWrap/>
              <w:overflowPunct/>
              <w:topLinePunct w:val="0"/>
              <w:bidi w:val="0"/>
              <w:spacing w:line="576" w:lineRule="exact"/>
              <w:jc w:val="center"/>
              <w:textAlignment w:val="auto"/>
              <w:rPr>
                <w:rFonts w:eastAsia="宋体"/>
                <w:lang w:val="en-US" w:eastAsia="zh-CN"/>
              </w:rPr>
            </w:pPr>
            <w:r>
              <w:t> </w:t>
            </w:r>
            <w:r>
              <w:rPr>
                <w:rFonts w:hint="eastAsia"/>
                <w:lang w:val="en-US" w:eastAsia="zh-CN"/>
              </w:rPr>
              <w:t>100</w:t>
            </w:r>
          </w:p>
        </w:tc>
        <w:tc>
          <w:tcPr>
            <w:tcW w:w="1113" w:type="dxa"/>
            <w:tcBorders>
              <w:top w:val="outset" w:sz="6" w:space="0" w:color="auto"/>
              <w:left w:val="outset" w:sz="6" w:space="0" w:color="auto"/>
              <w:bottom w:val="outset" w:sz="6" w:space="0" w:color="auto"/>
              <w:right w:val="outset" w:sz="6" w:space="0" w:color="auto"/>
            </w:tcBorders>
            <w:noWrap/>
            <w:vAlign w:val="center"/>
          </w:tcPr>
          <w:p>
            <w:pPr>
              <w:pStyle w:val="25"/>
              <w:keepNext w:val="0"/>
              <w:keepLines w:val="0"/>
              <w:pageBreakBefore w:val="0"/>
              <w:widowControl/>
              <w:suppressLineNumbers w:val="0"/>
              <w:kinsoku/>
              <w:wordWrap/>
              <w:overflowPunct/>
              <w:topLinePunct w:val="0"/>
              <w:bidi w:val="0"/>
              <w:spacing w:line="576" w:lineRule="exact"/>
              <w:jc w:val="center"/>
              <w:textAlignment w:val="auto"/>
            </w:pPr>
            <w:r>
              <w:t>其中：</w:t>
            </w:r>
          </w:p>
          <w:p>
            <w:pPr>
              <w:pStyle w:val="25"/>
              <w:keepNext w:val="0"/>
              <w:keepLines w:val="0"/>
              <w:pageBreakBefore w:val="0"/>
              <w:widowControl/>
              <w:suppressLineNumbers w:val="0"/>
              <w:kinsoku/>
              <w:wordWrap/>
              <w:overflowPunct/>
              <w:topLinePunct w:val="0"/>
              <w:bidi w:val="0"/>
              <w:spacing w:line="576" w:lineRule="exact"/>
              <w:jc w:val="center"/>
              <w:textAlignment w:val="auto"/>
            </w:pPr>
            <w:r>
              <w:t>财政拨款</w:t>
            </w:r>
          </w:p>
        </w:tc>
        <w:tc>
          <w:tcPr>
            <w:tcW w:w="1998" w:type="dxa"/>
            <w:tcBorders>
              <w:top w:val="outset" w:sz="6" w:space="0" w:color="auto"/>
              <w:left w:val="outset" w:sz="6" w:space="0" w:color="auto"/>
              <w:bottom w:val="outset" w:sz="6" w:space="0" w:color="auto"/>
              <w:right w:val="outset" w:sz="6" w:space="0" w:color="auto"/>
            </w:tcBorders>
            <w:noWrap/>
            <w:vAlign w:val="center"/>
          </w:tcPr>
          <w:p>
            <w:pPr>
              <w:pStyle w:val="25"/>
              <w:keepNext w:val="0"/>
              <w:keepLines w:val="0"/>
              <w:pageBreakBefore w:val="0"/>
              <w:widowControl/>
              <w:suppressLineNumbers w:val="0"/>
              <w:kinsoku/>
              <w:wordWrap/>
              <w:overflowPunct/>
              <w:topLinePunct w:val="0"/>
              <w:bidi w:val="0"/>
              <w:spacing w:line="576" w:lineRule="exact"/>
              <w:jc w:val="center"/>
              <w:textAlignment w:val="auto"/>
              <w:rPr>
                <w:rFonts w:eastAsia="宋体"/>
                <w:lang w:val="en-US" w:eastAsia="zh-CN"/>
              </w:rPr>
            </w:pPr>
            <w:r>
              <w:t> </w:t>
            </w:r>
            <w:r>
              <w:rPr>
                <w:rFonts w:hint="eastAsia"/>
                <w:lang w:val="en-US" w:eastAsia="zh-CN"/>
              </w:rPr>
              <w:t>100</w:t>
            </w:r>
          </w:p>
        </w:tc>
      </w:tr>
      <w:tr>
        <w:trPr>
          <w:trHeight w:val="345"/>
        </w:trPr>
        <w:tc>
          <w:tcPr>
            <w:tcW w:w="2718" w:type="dxa"/>
            <w:gridSpan w:val="2"/>
            <w:vMerge/>
            <w:tcBorders>
              <w:top w:val="outset" w:sz="6" w:space="0" w:color="auto"/>
              <w:left w:val="outset" w:sz="6" w:space="0" w:color="auto"/>
              <w:bottom w:val="outset" w:sz="6" w:space="0" w:color="auto"/>
              <w:right w:val="outset" w:sz="6" w:space="0" w:color="auto"/>
            </w:tcBorders>
            <w:noWrap/>
            <w:vAlign w:val="center"/>
          </w:tcPr>
          <w:p/>
        </w:tc>
        <w:tc>
          <w:tcPr>
            <w:tcW w:w="1413" w:type="dxa"/>
            <w:tcBorders>
              <w:top w:val="outset" w:sz="6" w:space="0" w:color="auto"/>
              <w:left w:val="outset" w:sz="6" w:space="0" w:color="auto"/>
              <w:bottom w:val="outset" w:sz="6" w:space="0" w:color="auto"/>
              <w:right w:val="outset" w:sz="6" w:space="0" w:color="auto"/>
            </w:tcBorders>
            <w:noWrap/>
            <w:vAlign w:val="center"/>
          </w:tcPr>
          <w:p>
            <w:pPr>
              <w:pStyle w:val="25"/>
              <w:keepNext w:val="0"/>
              <w:keepLines w:val="0"/>
              <w:pageBreakBefore w:val="0"/>
              <w:widowControl/>
              <w:suppressLineNumbers w:val="0"/>
              <w:kinsoku/>
              <w:wordWrap/>
              <w:overflowPunct/>
              <w:topLinePunct w:val="0"/>
              <w:bidi w:val="0"/>
              <w:spacing w:line="576" w:lineRule="exact"/>
              <w:jc w:val="center"/>
              <w:textAlignment w:val="auto"/>
              <w:rPr>
                <w:rFonts w:ascii="宋体" w:hint="eastAsia"/>
                <w:sz w:val="24"/>
                <w:szCs w:val="24"/>
              </w:rPr>
            </w:pPr>
            <w:r>
              <w:t>其他资金</w:t>
            </w:r>
          </w:p>
        </w:tc>
        <w:tc>
          <w:tcPr>
            <w:tcW w:w="1079" w:type="dxa"/>
            <w:tcBorders>
              <w:top w:val="outset" w:sz="6" w:space="0" w:color="auto"/>
              <w:left w:val="outset" w:sz="6" w:space="0" w:color="auto"/>
              <w:bottom w:val="outset" w:sz="6" w:space="0" w:color="auto"/>
              <w:right w:val="outset" w:sz="6" w:space="0" w:color="auto"/>
            </w:tcBorders>
            <w:noWrap/>
            <w:vAlign w:val="center"/>
          </w:tcPr>
          <w:p>
            <w:pPr>
              <w:pStyle w:val="25"/>
              <w:keepNext w:val="0"/>
              <w:keepLines w:val="0"/>
              <w:pageBreakBefore w:val="0"/>
              <w:widowControl/>
              <w:suppressLineNumbers w:val="0"/>
              <w:kinsoku/>
              <w:wordWrap/>
              <w:overflowPunct/>
              <w:topLinePunct w:val="0"/>
              <w:bidi w:val="0"/>
              <w:spacing w:line="576" w:lineRule="exact"/>
              <w:jc w:val="center"/>
              <w:textAlignment w:val="auto"/>
            </w:pPr>
            <w:r>
              <w:t> </w:t>
            </w:r>
          </w:p>
        </w:tc>
        <w:tc>
          <w:tcPr>
            <w:tcW w:w="1113" w:type="dxa"/>
            <w:tcBorders>
              <w:top w:val="outset" w:sz="6" w:space="0" w:color="auto"/>
              <w:left w:val="outset" w:sz="6" w:space="0" w:color="auto"/>
              <w:bottom w:val="outset" w:sz="6" w:space="0" w:color="auto"/>
              <w:right w:val="outset" w:sz="6" w:space="0" w:color="auto"/>
            </w:tcBorders>
            <w:noWrap/>
            <w:vAlign w:val="center"/>
          </w:tcPr>
          <w:p>
            <w:pPr>
              <w:pStyle w:val="25"/>
              <w:keepNext w:val="0"/>
              <w:keepLines w:val="0"/>
              <w:pageBreakBefore w:val="0"/>
              <w:widowControl/>
              <w:suppressLineNumbers w:val="0"/>
              <w:kinsoku/>
              <w:wordWrap/>
              <w:overflowPunct/>
              <w:topLinePunct w:val="0"/>
              <w:bidi w:val="0"/>
              <w:spacing w:line="576" w:lineRule="exact"/>
              <w:jc w:val="center"/>
              <w:textAlignment w:val="auto"/>
            </w:pPr>
            <w:r>
              <w:t>其他资金</w:t>
            </w:r>
          </w:p>
        </w:tc>
        <w:tc>
          <w:tcPr>
            <w:tcW w:w="1998" w:type="dxa"/>
            <w:tcBorders>
              <w:top w:val="outset" w:sz="6" w:space="0" w:color="auto"/>
              <w:left w:val="outset" w:sz="6" w:space="0" w:color="auto"/>
              <w:bottom w:val="outset" w:sz="6" w:space="0" w:color="auto"/>
              <w:right w:val="outset" w:sz="6" w:space="0" w:color="auto"/>
            </w:tcBorders>
            <w:noWrap/>
            <w:vAlign w:val="center"/>
          </w:tcPr>
          <w:p>
            <w:pPr>
              <w:pStyle w:val="25"/>
              <w:keepNext w:val="0"/>
              <w:keepLines w:val="0"/>
              <w:pageBreakBefore w:val="0"/>
              <w:widowControl/>
              <w:suppressLineNumbers w:val="0"/>
              <w:kinsoku/>
              <w:wordWrap/>
              <w:overflowPunct/>
              <w:topLinePunct w:val="0"/>
              <w:bidi w:val="0"/>
              <w:spacing w:line="576" w:lineRule="exact"/>
              <w:jc w:val="center"/>
              <w:textAlignment w:val="auto"/>
            </w:pPr>
            <w:r>
              <w:t> </w:t>
            </w:r>
          </w:p>
        </w:tc>
      </w:tr>
      <w:tr>
        <w:trPr>
          <w:trHeight w:val="211"/>
        </w:trPr>
        <w:tc>
          <w:tcPr>
            <w:tcW w:w="1672" w:type="dxa"/>
            <w:vMerge w:val="restart"/>
            <w:tcBorders>
              <w:top w:val="outset" w:sz="6" w:space="0" w:color="auto"/>
              <w:left w:val="outset" w:sz="6" w:space="0" w:color="auto"/>
              <w:bottom w:val="outset" w:sz="6" w:space="0" w:color="auto"/>
              <w:right w:val="outset" w:sz="6" w:space="0" w:color="auto"/>
            </w:tcBorders>
            <w:noWrap/>
            <w:vAlign w:val="center"/>
          </w:tcPr>
          <w:p>
            <w:pPr>
              <w:pStyle w:val="25"/>
              <w:keepNext w:val="0"/>
              <w:keepLines w:val="0"/>
              <w:pageBreakBefore w:val="0"/>
              <w:widowControl/>
              <w:suppressLineNumbers w:val="0"/>
              <w:kinsoku/>
              <w:wordWrap/>
              <w:overflowPunct/>
              <w:topLinePunct w:val="0"/>
              <w:bidi w:val="0"/>
              <w:spacing w:line="576" w:lineRule="exact"/>
              <w:jc w:val="center"/>
              <w:textAlignment w:val="auto"/>
            </w:pPr>
            <w:r>
              <w:t>年度总体目标</w:t>
            </w:r>
          </w:p>
          <w:p>
            <w:pPr>
              <w:pStyle w:val="25"/>
              <w:keepNext w:val="0"/>
              <w:keepLines w:val="0"/>
              <w:pageBreakBefore w:val="0"/>
              <w:widowControl/>
              <w:suppressLineNumbers w:val="0"/>
              <w:kinsoku/>
              <w:wordWrap/>
              <w:overflowPunct/>
              <w:topLinePunct w:val="0"/>
              <w:bidi w:val="0"/>
              <w:spacing w:line="576" w:lineRule="exact"/>
              <w:jc w:val="center"/>
              <w:textAlignment w:val="auto"/>
            </w:pPr>
            <w:r>
              <w:t>完成情况</w:t>
            </w:r>
          </w:p>
        </w:tc>
        <w:tc>
          <w:tcPr>
            <w:tcW w:w="3538" w:type="dxa"/>
            <w:gridSpan w:val="3"/>
            <w:tcBorders>
              <w:top w:val="outset" w:sz="6" w:space="0" w:color="auto"/>
              <w:left w:val="outset" w:sz="6" w:space="0" w:color="auto"/>
              <w:bottom w:val="outset" w:sz="6" w:space="0" w:color="auto"/>
              <w:right w:val="outset" w:sz="6" w:space="0" w:color="auto"/>
            </w:tcBorders>
            <w:noWrap/>
            <w:vAlign w:val="center"/>
          </w:tcPr>
          <w:p>
            <w:pPr>
              <w:pStyle w:val="25"/>
              <w:keepNext w:val="0"/>
              <w:keepLines w:val="0"/>
              <w:pageBreakBefore w:val="0"/>
              <w:widowControl/>
              <w:suppressLineNumbers w:val="0"/>
              <w:kinsoku/>
              <w:wordWrap/>
              <w:overflowPunct/>
              <w:topLinePunct w:val="0"/>
              <w:bidi w:val="0"/>
              <w:spacing w:line="576" w:lineRule="exact"/>
              <w:jc w:val="center"/>
              <w:textAlignment w:val="auto"/>
            </w:pPr>
            <w:r>
              <w:t>预期目标</w:t>
            </w:r>
          </w:p>
        </w:tc>
        <w:tc>
          <w:tcPr>
            <w:tcW w:w="3111" w:type="dxa"/>
            <w:gridSpan w:val="2"/>
            <w:tcBorders>
              <w:top w:val="outset" w:sz="6" w:space="0" w:color="auto"/>
              <w:left w:val="outset" w:sz="6" w:space="0" w:color="auto"/>
              <w:bottom w:val="outset" w:sz="6" w:space="0" w:color="auto"/>
              <w:right w:val="outset" w:sz="6" w:space="0" w:color="auto"/>
            </w:tcBorders>
            <w:noWrap/>
            <w:vAlign w:val="center"/>
          </w:tcPr>
          <w:p>
            <w:pPr>
              <w:pStyle w:val="25"/>
              <w:keepNext w:val="0"/>
              <w:keepLines w:val="0"/>
              <w:pageBreakBefore w:val="0"/>
              <w:widowControl/>
              <w:suppressLineNumbers w:val="0"/>
              <w:kinsoku/>
              <w:wordWrap/>
              <w:overflowPunct/>
              <w:topLinePunct w:val="0"/>
              <w:bidi w:val="0"/>
              <w:spacing w:line="576" w:lineRule="exact"/>
              <w:jc w:val="center"/>
              <w:textAlignment w:val="auto"/>
            </w:pPr>
            <w:r>
              <w:t>目标实际完成情况</w:t>
            </w:r>
          </w:p>
        </w:tc>
      </w:tr>
      <w:tr>
        <w:trPr>
          <w:trHeight w:val="795"/>
        </w:trPr>
        <w:tc>
          <w:tcPr>
            <w:tcW w:w="1672" w:type="dxa"/>
            <w:vMerge/>
            <w:tcBorders>
              <w:top w:val="outset" w:sz="6" w:space="0" w:color="auto"/>
              <w:left w:val="outset" w:sz="6" w:space="0" w:color="auto"/>
              <w:bottom w:val="outset" w:sz="6" w:space="0" w:color="auto"/>
              <w:right w:val="outset" w:sz="6" w:space="0" w:color="auto"/>
            </w:tcBorders>
            <w:noWrap/>
            <w:vAlign w:val="center"/>
          </w:tcPr>
          <w:p/>
        </w:tc>
        <w:tc>
          <w:tcPr>
            <w:tcW w:w="3538" w:type="dxa"/>
            <w:gridSpan w:val="3"/>
            <w:tcBorders>
              <w:top w:val="outset" w:sz="6" w:space="0" w:color="auto"/>
              <w:left w:val="outset" w:sz="6" w:space="0" w:color="auto"/>
              <w:bottom w:val="outset" w:sz="6" w:space="0" w:color="auto"/>
              <w:right w:val="outset" w:sz="6" w:space="0" w:color="auto"/>
            </w:tcBorders>
            <w:noWrap/>
            <w:vAlign w:val="center"/>
          </w:tcPr>
          <w:p>
            <w:pPr>
              <w:pStyle w:val="25"/>
              <w:keepNext w:val="0"/>
              <w:keepLines w:val="0"/>
              <w:pageBreakBefore w:val="0"/>
              <w:widowControl/>
              <w:suppressLineNumbers w:val="0"/>
              <w:kinsoku/>
              <w:wordWrap/>
              <w:overflowPunct/>
              <w:topLinePunct w:val="0"/>
              <w:bidi w:val="0"/>
              <w:spacing w:line="576" w:lineRule="exact"/>
              <w:jc w:val="center"/>
              <w:textAlignment w:val="auto"/>
              <w:rPr>
                <w:rFonts w:ascii="宋体" w:hint="eastAsia"/>
                <w:sz w:val="24"/>
                <w:szCs w:val="24"/>
              </w:rPr>
            </w:pPr>
            <w:r>
              <w:t> </w:t>
            </w:r>
            <w:r>
              <w:rPr>
                <w:rFonts w:hint="eastAsia"/>
              </w:rPr>
              <w:t>浙江省对口支援茂县政策宣传、创业能力培训、招聘活动、劳务输出、稳定就业等相关工作。</w:t>
            </w:r>
          </w:p>
        </w:tc>
        <w:tc>
          <w:tcPr>
            <w:tcW w:w="3111" w:type="dxa"/>
            <w:gridSpan w:val="2"/>
            <w:tcBorders>
              <w:top w:val="outset" w:sz="6" w:space="0" w:color="auto"/>
              <w:left w:val="outset" w:sz="6" w:space="0" w:color="auto"/>
              <w:bottom w:val="outset" w:sz="6" w:space="0" w:color="auto"/>
              <w:right w:val="outset" w:sz="6" w:space="0" w:color="auto"/>
            </w:tcBorders>
            <w:noWrap/>
            <w:vAlign w:val="center"/>
          </w:tcPr>
          <w:p>
            <w:pPr>
              <w:pStyle w:val="25"/>
              <w:keepNext w:val="0"/>
              <w:keepLines w:val="0"/>
              <w:pageBreakBefore w:val="0"/>
              <w:widowControl/>
              <w:suppressLineNumbers w:val="0"/>
              <w:kinsoku/>
              <w:wordWrap/>
              <w:overflowPunct/>
              <w:topLinePunct w:val="0"/>
              <w:bidi w:val="0"/>
              <w:spacing w:line="576" w:lineRule="exact"/>
              <w:jc w:val="center"/>
              <w:textAlignment w:val="auto"/>
            </w:pPr>
            <w:r>
              <w:t> </w:t>
            </w:r>
            <w:r>
              <w:rPr>
                <w:rFonts w:hint="eastAsia"/>
              </w:rPr>
              <w:t>浙江省对口支援茂县政策宣传、创业能力培训、招聘活动、劳务输出、稳定就业等相关工作。</w:t>
            </w:r>
          </w:p>
        </w:tc>
      </w:tr>
      <w:tr>
        <w:trPr>
          <w:trHeight w:val="690"/>
        </w:trPr>
        <w:tc>
          <w:tcPr>
            <w:tcW w:w="1672" w:type="dxa"/>
            <w:vMerge w:val="restart"/>
            <w:tcBorders>
              <w:top w:val="outset" w:sz="6" w:space="0" w:color="auto"/>
              <w:left w:val="outset" w:sz="6" w:space="0" w:color="auto"/>
              <w:bottom w:val="outset" w:sz="6" w:space="0" w:color="auto"/>
              <w:right w:val="outset" w:sz="6" w:space="0" w:color="auto"/>
            </w:tcBorders>
            <w:noWrap/>
            <w:vAlign w:val="center"/>
          </w:tcPr>
          <w:p>
            <w:pPr>
              <w:pStyle w:val="25"/>
              <w:keepNext w:val="0"/>
              <w:keepLines w:val="0"/>
              <w:pageBreakBefore w:val="0"/>
              <w:widowControl/>
              <w:suppressLineNumbers w:val="0"/>
              <w:kinsoku/>
              <w:wordWrap/>
              <w:overflowPunct/>
              <w:topLinePunct w:val="0"/>
              <w:bidi w:val="0"/>
              <w:spacing w:line="576" w:lineRule="exact"/>
              <w:jc w:val="center"/>
              <w:textAlignment w:val="auto"/>
            </w:pPr>
            <w:r>
              <w:t>年度绩效指标完成情况</w:t>
            </w:r>
          </w:p>
        </w:tc>
        <w:tc>
          <w:tcPr>
            <w:tcW w:w="1046" w:type="dxa"/>
            <w:tcBorders>
              <w:top w:val="outset" w:sz="6" w:space="0" w:color="auto"/>
              <w:left w:val="outset" w:sz="6" w:space="0" w:color="auto"/>
              <w:bottom w:val="outset" w:sz="6" w:space="0" w:color="auto"/>
              <w:right w:val="outset" w:sz="6" w:space="0" w:color="auto"/>
            </w:tcBorders>
            <w:noWrap/>
            <w:vAlign w:val="center"/>
          </w:tcPr>
          <w:p>
            <w:pPr>
              <w:pStyle w:val="25"/>
              <w:keepNext w:val="0"/>
              <w:keepLines w:val="0"/>
              <w:pageBreakBefore w:val="0"/>
              <w:widowControl/>
              <w:suppressLineNumbers w:val="0"/>
              <w:kinsoku/>
              <w:wordWrap/>
              <w:overflowPunct/>
              <w:topLinePunct w:val="0"/>
              <w:bidi w:val="0"/>
              <w:spacing w:line="576" w:lineRule="exact"/>
              <w:jc w:val="center"/>
              <w:textAlignment w:val="auto"/>
            </w:pPr>
            <w:r>
              <w:t>一级</w:t>
            </w:r>
          </w:p>
          <w:p>
            <w:pPr>
              <w:pStyle w:val="25"/>
              <w:keepNext w:val="0"/>
              <w:keepLines w:val="0"/>
              <w:pageBreakBefore w:val="0"/>
              <w:widowControl/>
              <w:suppressLineNumbers w:val="0"/>
              <w:kinsoku/>
              <w:wordWrap/>
              <w:overflowPunct/>
              <w:topLinePunct w:val="0"/>
              <w:bidi w:val="0"/>
              <w:spacing w:line="576" w:lineRule="exact"/>
              <w:jc w:val="center"/>
              <w:textAlignment w:val="auto"/>
            </w:pPr>
            <w:r>
              <w:t>指标</w:t>
            </w:r>
          </w:p>
        </w:tc>
        <w:tc>
          <w:tcPr>
            <w:tcW w:w="1413" w:type="dxa"/>
            <w:tcBorders>
              <w:top w:val="outset" w:sz="6" w:space="0" w:color="auto"/>
              <w:left w:val="outset" w:sz="6" w:space="0" w:color="auto"/>
              <w:bottom w:val="outset" w:sz="6" w:space="0" w:color="auto"/>
              <w:right w:val="outset" w:sz="6" w:space="0" w:color="auto"/>
            </w:tcBorders>
            <w:noWrap/>
            <w:vAlign w:val="center"/>
          </w:tcPr>
          <w:p>
            <w:pPr>
              <w:pStyle w:val="25"/>
              <w:keepNext w:val="0"/>
              <w:keepLines w:val="0"/>
              <w:pageBreakBefore w:val="0"/>
              <w:widowControl/>
              <w:suppressLineNumbers w:val="0"/>
              <w:kinsoku/>
              <w:wordWrap/>
              <w:overflowPunct/>
              <w:topLinePunct w:val="0"/>
              <w:bidi w:val="0"/>
              <w:spacing w:line="576" w:lineRule="exact"/>
              <w:jc w:val="center"/>
              <w:textAlignment w:val="auto"/>
            </w:pPr>
            <w:r>
              <w:t>二级</w:t>
            </w:r>
          </w:p>
          <w:p>
            <w:pPr>
              <w:pStyle w:val="25"/>
              <w:keepNext w:val="0"/>
              <w:keepLines w:val="0"/>
              <w:pageBreakBefore w:val="0"/>
              <w:widowControl/>
              <w:suppressLineNumbers w:val="0"/>
              <w:kinsoku/>
              <w:wordWrap/>
              <w:overflowPunct/>
              <w:topLinePunct w:val="0"/>
              <w:bidi w:val="0"/>
              <w:spacing w:line="576" w:lineRule="exact"/>
              <w:jc w:val="center"/>
              <w:textAlignment w:val="auto"/>
            </w:pPr>
            <w:r>
              <w:t>指标</w:t>
            </w:r>
          </w:p>
        </w:tc>
        <w:tc>
          <w:tcPr>
            <w:tcW w:w="1079" w:type="dxa"/>
            <w:tcBorders>
              <w:top w:val="outset" w:sz="6" w:space="0" w:color="auto"/>
              <w:left w:val="outset" w:sz="6" w:space="0" w:color="auto"/>
              <w:bottom w:val="outset" w:sz="6" w:space="0" w:color="auto"/>
              <w:right w:val="outset" w:sz="6" w:space="0" w:color="auto"/>
            </w:tcBorders>
            <w:noWrap/>
            <w:vAlign w:val="center"/>
          </w:tcPr>
          <w:p>
            <w:pPr>
              <w:pStyle w:val="25"/>
              <w:keepNext w:val="0"/>
              <w:keepLines w:val="0"/>
              <w:pageBreakBefore w:val="0"/>
              <w:widowControl/>
              <w:suppressLineNumbers w:val="0"/>
              <w:kinsoku/>
              <w:wordWrap/>
              <w:overflowPunct/>
              <w:topLinePunct w:val="0"/>
              <w:bidi w:val="0"/>
              <w:spacing w:line="576" w:lineRule="exact"/>
              <w:jc w:val="center"/>
              <w:textAlignment w:val="auto"/>
            </w:pPr>
            <w:r>
              <w:t>三级</w:t>
            </w:r>
          </w:p>
          <w:p>
            <w:pPr>
              <w:pStyle w:val="25"/>
              <w:keepNext w:val="0"/>
              <w:keepLines w:val="0"/>
              <w:pageBreakBefore w:val="0"/>
              <w:widowControl/>
              <w:suppressLineNumbers w:val="0"/>
              <w:kinsoku/>
              <w:wordWrap/>
              <w:overflowPunct/>
              <w:topLinePunct w:val="0"/>
              <w:bidi w:val="0"/>
              <w:spacing w:line="576" w:lineRule="exact"/>
              <w:jc w:val="center"/>
              <w:textAlignment w:val="auto"/>
            </w:pPr>
            <w:r>
              <w:t>指标</w:t>
            </w:r>
          </w:p>
        </w:tc>
        <w:tc>
          <w:tcPr>
            <w:tcW w:w="1113" w:type="dxa"/>
            <w:tcBorders>
              <w:top w:val="outset" w:sz="6" w:space="0" w:color="auto"/>
              <w:left w:val="outset" w:sz="6" w:space="0" w:color="auto"/>
              <w:bottom w:val="outset" w:sz="6" w:space="0" w:color="auto"/>
              <w:right w:val="outset" w:sz="6" w:space="0" w:color="auto"/>
            </w:tcBorders>
            <w:noWrap/>
            <w:vAlign w:val="center"/>
          </w:tcPr>
          <w:p>
            <w:pPr>
              <w:pStyle w:val="25"/>
              <w:keepNext w:val="0"/>
              <w:keepLines w:val="0"/>
              <w:pageBreakBefore w:val="0"/>
              <w:widowControl/>
              <w:suppressLineNumbers w:val="0"/>
              <w:kinsoku/>
              <w:wordWrap/>
              <w:overflowPunct/>
              <w:topLinePunct w:val="0"/>
              <w:bidi w:val="0"/>
              <w:spacing w:line="576" w:lineRule="exact"/>
              <w:jc w:val="center"/>
              <w:textAlignment w:val="auto"/>
            </w:pPr>
            <w:r>
              <w:t>预期指标值</w:t>
            </w:r>
          </w:p>
        </w:tc>
        <w:tc>
          <w:tcPr>
            <w:tcW w:w="1998" w:type="dxa"/>
            <w:tcBorders>
              <w:top w:val="outset" w:sz="6" w:space="0" w:color="auto"/>
              <w:left w:val="outset" w:sz="6" w:space="0" w:color="auto"/>
              <w:bottom w:val="outset" w:sz="6" w:space="0" w:color="auto"/>
              <w:right w:val="outset" w:sz="6" w:space="0" w:color="auto"/>
            </w:tcBorders>
            <w:noWrap/>
            <w:vAlign w:val="center"/>
          </w:tcPr>
          <w:p>
            <w:pPr>
              <w:pStyle w:val="25"/>
              <w:keepNext w:val="0"/>
              <w:keepLines w:val="0"/>
              <w:pageBreakBefore w:val="0"/>
              <w:widowControl/>
              <w:suppressLineNumbers w:val="0"/>
              <w:kinsoku/>
              <w:wordWrap/>
              <w:overflowPunct/>
              <w:topLinePunct w:val="0"/>
              <w:bidi w:val="0"/>
              <w:spacing w:line="576" w:lineRule="exact"/>
              <w:jc w:val="center"/>
              <w:textAlignment w:val="auto"/>
            </w:pPr>
            <w:r>
              <w:t>实际完成指标值</w:t>
            </w:r>
          </w:p>
        </w:tc>
      </w:tr>
      <w:tr>
        <w:trPr>
          <w:trHeight w:val="420"/>
        </w:trPr>
        <w:tc>
          <w:tcPr>
            <w:tcW w:w="1672" w:type="dxa"/>
            <w:vMerge/>
            <w:tcBorders>
              <w:top w:val="outset" w:sz="6" w:space="0" w:color="auto"/>
              <w:left w:val="outset" w:sz="6" w:space="0" w:color="auto"/>
              <w:bottom w:val="outset" w:sz="6" w:space="0" w:color="auto"/>
              <w:right w:val="outset" w:sz="6" w:space="0" w:color="auto"/>
            </w:tcBorders>
            <w:noWrap/>
            <w:vAlign w:val="center"/>
          </w:tcPr>
          <w:p/>
        </w:tc>
        <w:tc>
          <w:tcPr>
            <w:tcW w:w="1046" w:type="dxa"/>
            <w:vMerge w:val="restart"/>
            <w:tcBorders>
              <w:top w:val="outset" w:sz="6" w:space="0" w:color="auto"/>
              <w:left w:val="outset" w:sz="6" w:space="0" w:color="auto"/>
              <w:bottom w:val="outset" w:sz="6" w:space="0" w:color="auto"/>
              <w:right w:val="outset" w:sz="6" w:space="0" w:color="auto"/>
            </w:tcBorders>
            <w:noWrap/>
            <w:vAlign w:val="center"/>
          </w:tcPr>
          <w:p>
            <w:pPr>
              <w:pStyle w:val="25"/>
              <w:keepNext w:val="0"/>
              <w:keepLines w:val="0"/>
              <w:pageBreakBefore w:val="0"/>
              <w:widowControl/>
              <w:suppressLineNumbers w:val="0"/>
              <w:kinsoku/>
              <w:wordWrap/>
              <w:overflowPunct/>
              <w:topLinePunct w:val="0"/>
              <w:bidi w:val="0"/>
              <w:spacing w:line="576" w:lineRule="exact"/>
              <w:jc w:val="center"/>
              <w:textAlignment w:val="auto"/>
              <w:rPr>
                <w:rFonts w:ascii="宋体" w:hint="eastAsia"/>
                <w:sz w:val="24"/>
                <w:szCs w:val="24"/>
              </w:rPr>
            </w:pPr>
            <w:r>
              <w:t>完成</w:t>
            </w:r>
          </w:p>
          <w:p>
            <w:pPr>
              <w:pStyle w:val="25"/>
              <w:keepNext w:val="0"/>
              <w:keepLines w:val="0"/>
              <w:pageBreakBefore w:val="0"/>
              <w:widowControl/>
              <w:suppressLineNumbers w:val="0"/>
              <w:kinsoku/>
              <w:wordWrap/>
              <w:overflowPunct/>
              <w:topLinePunct w:val="0"/>
              <w:bidi w:val="0"/>
              <w:spacing w:line="576" w:lineRule="exact"/>
              <w:jc w:val="center"/>
              <w:textAlignment w:val="auto"/>
            </w:pPr>
            <w:r>
              <w:t>指标</w:t>
            </w:r>
          </w:p>
        </w:tc>
        <w:tc>
          <w:tcPr>
            <w:tcW w:w="1413" w:type="dxa"/>
            <w:tcBorders>
              <w:top w:val="outset" w:sz="6" w:space="0" w:color="auto"/>
              <w:left w:val="outset" w:sz="6" w:space="0" w:color="auto"/>
              <w:bottom w:val="outset" w:sz="6" w:space="0" w:color="auto"/>
              <w:right w:val="outset" w:sz="6" w:space="0" w:color="auto"/>
            </w:tcBorders>
            <w:noWrap/>
            <w:vAlign w:val="center"/>
          </w:tcPr>
          <w:p>
            <w:pPr>
              <w:pStyle w:val="25"/>
              <w:keepNext w:val="0"/>
              <w:keepLines w:val="0"/>
              <w:pageBreakBefore w:val="0"/>
              <w:widowControl/>
              <w:suppressLineNumbers w:val="0"/>
              <w:kinsoku/>
              <w:wordWrap/>
              <w:overflowPunct/>
              <w:topLinePunct w:val="0"/>
              <w:bidi w:val="0"/>
              <w:spacing w:line="576" w:lineRule="exact"/>
              <w:jc w:val="center"/>
              <w:textAlignment w:val="auto"/>
            </w:pPr>
            <w:r>
              <w:t>数量指标</w:t>
            </w:r>
          </w:p>
        </w:tc>
        <w:tc>
          <w:tcPr>
            <w:tcW w:w="1079" w:type="dxa"/>
            <w:tcBorders>
              <w:top w:val="outset" w:sz="6" w:space="0" w:color="auto"/>
              <w:left w:val="outset" w:sz="6" w:space="0" w:color="auto"/>
              <w:bottom w:val="outset" w:sz="6" w:space="0" w:color="auto"/>
              <w:right w:val="outset" w:sz="6" w:space="0" w:color="auto"/>
            </w:tcBorders>
            <w:noWrap/>
            <w:vAlign w:val="center"/>
          </w:tcPr>
          <w:p>
            <w:pPr>
              <w:pStyle w:val="25"/>
              <w:keepNext w:val="0"/>
              <w:keepLines w:val="0"/>
              <w:pageBreakBefore w:val="0"/>
              <w:widowControl/>
              <w:suppressLineNumbers w:val="0"/>
              <w:kinsoku/>
              <w:wordWrap/>
              <w:overflowPunct/>
              <w:topLinePunct w:val="0"/>
              <w:bidi w:val="0"/>
              <w:spacing w:line="576" w:lineRule="exact"/>
              <w:jc w:val="center"/>
              <w:textAlignment w:val="auto"/>
              <w:rPr>
                <w:rFonts w:eastAsia="宋体"/>
                <w:lang w:val="en-US" w:eastAsia="zh-CN"/>
              </w:rPr>
            </w:pPr>
            <w:r>
              <w:t> </w:t>
            </w:r>
            <w:r>
              <w:rPr>
                <w:rFonts w:hint="eastAsia"/>
                <w:lang w:val="en-US" w:eastAsia="zh-CN"/>
              </w:rPr>
              <w:t>劳务输出人数</w:t>
            </w:r>
          </w:p>
        </w:tc>
        <w:tc>
          <w:tcPr>
            <w:tcW w:w="1113" w:type="dxa"/>
            <w:tcBorders>
              <w:top w:val="outset" w:sz="6" w:space="0" w:color="auto"/>
              <w:left w:val="outset" w:sz="6" w:space="0" w:color="auto"/>
              <w:bottom w:val="outset" w:sz="6" w:space="0" w:color="auto"/>
              <w:right w:val="outset" w:sz="6" w:space="0" w:color="auto"/>
            </w:tcBorders>
            <w:noWrap/>
            <w:vAlign w:val="center"/>
          </w:tcPr>
          <w:p>
            <w:pPr>
              <w:pStyle w:val="25"/>
              <w:keepNext w:val="0"/>
              <w:keepLines w:val="0"/>
              <w:pageBreakBefore w:val="0"/>
              <w:widowControl/>
              <w:suppressLineNumbers w:val="0"/>
              <w:kinsoku/>
              <w:wordWrap/>
              <w:overflowPunct/>
              <w:topLinePunct w:val="0"/>
              <w:bidi w:val="0"/>
              <w:spacing w:line="576" w:lineRule="exact"/>
              <w:jc w:val="center"/>
              <w:textAlignment w:val="auto"/>
            </w:pPr>
            <w:r>
              <w:t>≥</w:t>
            </w:r>
            <w:r>
              <w:rPr>
                <w:rFonts w:hint="eastAsia"/>
                <w:lang w:val="en-US" w:eastAsia="zh-CN"/>
              </w:rPr>
              <w:t>50人</w:t>
            </w:r>
            <w:r>
              <w:t> </w:t>
            </w:r>
          </w:p>
        </w:tc>
        <w:tc>
          <w:tcPr>
            <w:tcW w:w="1998" w:type="dxa"/>
            <w:tcBorders>
              <w:top w:val="outset" w:sz="6" w:space="0" w:color="auto"/>
              <w:left w:val="outset" w:sz="6" w:space="0" w:color="auto"/>
              <w:bottom w:val="outset" w:sz="6" w:space="0" w:color="auto"/>
              <w:right w:val="outset" w:sz="6" w:space="0" w:color="auto"/>
            </w:tcBorders>
            <w:noWrap/>
            <w:vAlign w:val="center"/>
          </w:tcPr>
          <w:p>
            <w:pPr>
              <w:pStyle w:val="25"/>
              <w:keepNext w:val="0"/>
              <w:keepLines w:val="0"/>
              <w:pageBreakBefore w:val="0"/>
              <w:widowControl/>
              <w:suppressLineNumbers w:val="0"/>
              <w:kinsoku/>
              <w:wordWrap/>
              <w:overflowPunct/>
              <w:topLinePunct w:val="0"/>
              <w:bidi w:val="0"/>
              <w:spacing w:line="576" w:lineRule="exact"/>
              <w:jc w:val="center"/>
              <w:textAlignment w:val="auto"/>
              <w:rPr>
                <w:rFonts w:eastAsia="宋体"/>
                <w:lang w:val="en-US" w:eastAsia="zh-CN"/>
              </w:rPr>
            </w:pPr>
            <w:r>
              <w:t> </w:t>
            </w:r>
            <w:r>
              <w:rPr>
                <w:rFonts w:hint="eastAsia"/>
                <w:lang w:val="en-US" w:eastAsia="zh-CN"/>
              </w:rPr>
              <w:t>167人</w:t>
            </w:r>
          </w:p>
        </w:tc>
      </w:tr>
      <w:tr>
        <w:trPr>
          <w:trHeight w:val="420"/>
        </w:trPr>
        <w:tc>
          <w:tcPr>
            <w:tcW w:w="1672" w:type="dxa"/>
            <w:vMerge/>
            <w:tcBorders>
              <w:top w:val="outset" w:sz="6" w:space="0" w:color="auto"/>
              <w:left w:val="outset" w:sz="6" w:space="0" w:color="auto"/>
              <w:bottom w:val="outset" w:sz="6" w:space="0" w:color="auto"/>
              <w:right w:val="outset" w:sz="6" w:space="0" w:color="auto"/>
            </w:tcBorders>
            <w:noWrap/>
            <w:vAlign w:val="center"/>
          </w:tcPr>
          <w:p/>
        </w:tc>
        <w:tc>
          <w:tcPr>
            <w:tcW w:w="1046" w:type="dxa"/>
            <w:vMerge/>
            <w:tcBorders>
              <w:top w:val="outset" w:sz="6" w:space="0" w:color="auto"/>
              <w:left w:val="outset" w:sz="6" w:space="0" w:color="auto"/>
              <w:bottom w:val="outset" w:sz="6" w:space="0" w:color="auto"/>
              <w:right w:val="outset" w:sz="6" w:space="0" w:color="auto"/>
            </w:tcBorders>
            <w:noWrap/>
            <w:vAlign w:val="center"/>
          </w:tcPr>
          <w:p/>
        </w:tc>
        <w:tc>
          <w:tcPr>
            <w:tcW w:w="1413" w:type="dxa"/>
            <w:tcBorders>
              <w:top w:val="outset" w:sz="6" w:space="0" w:color="auto"/>
              <w:left w:val="outset" w:sz="6" w:space="0" w:color="auto"/>
              <w:bottom w:val="outset" w:sz="6" w:space="0" w:color="auto"/>
              <w:right w:val="outset" w:sz="6" w:space="0" w:color="auto"/>
            </w:tcBorders>
            <w:noWrap/>
            <w:vAlign w:val="center"/>
          </w:tcPr>
          <w:p>
            <w:pPr>
              <w:pStyle w:val="25"/>
              <w:keepNext w:val="0"/>
              <w:keepLines w:val="0"/>
              <w:pageBreakBefore w:val="0"/>
              <w:widowControl/>
              <w:suppressLineNumbers w:val="0"/>
              <w:kinsoku/>
              <w:wordWrap/>
              <w:overflowPunct/>
              <w:topLinePunct w:val="0"/>
              <w:bidi w:val="0"/>
              <w:spacing w:line="576" w:lineRule="exact"/>
              <w:jc w:val="center"/>
              <w:textAlignment w:val="auto"/>
              <w:rPr>
                <w:rFonts w:ascii="宋体" w:hint="eastAsia"/>
                <w:sz w:val="24"/>
                <w:szCs w:val="24"/>
              </w:rPr>
            </w:pPr>
            <w:r>
              <w:t>数量指标</w:t>
            </w:r>
          </w:p>
        </w:tc>
        <w:tc>
          <w:tcPr>
            <w:tcW w:w="1079" w:type="dxa"/>
            <w:tcBorders>
              <w:top w:val="outset" w:sz="6" w:space="0" w:color="auto"/>
              <w:left w:val="outset" w:sz="6" w:space="0" w:color="auto"/>
              <w:bottom w:val="outset" w:sz="6" w:space="0" w:color="auto"/>
              <w:right w:val="outset" w:sz="6" w:space="0" w:color="auto"/>
            </w:tcBorders>
            <w:noWrap/>
            <w:vAlign w:val="center"/>
          </w:tcPr>
          <w:p>
            <w:pPr>
              <w:pStyle w:val="25"/>
              <w:keepNext w:val="0"/>
              <w:keepLines w:val="0"/>
              <w:pageBreakBefore w:val="0"/>
              <w:widowControl/>
              <w:suppressLineNumbers w:val="0"/>
              <w:kinsoku/>
              <w:wordWrap/>
              <w:overflowPunct/>
              <w:topLinePunct w:val="0"/>
              <w:bidi w:val="0"/>
              <w:spacing w:line="576" w:lineRule="exact"/>
              <w:jc w:val="center"/>
              <w:textAlignment w:val="auto"/>
              <w:rPr>
                <w:rFonts w:eastAsia="宋体"/>
                <w:lang w:val="en-US" w:eastAsia="zh-CN"/>
              </w:rPr>
            </w:pPr>
            <w:r>
              <w:rPr>
                <w:rFonts w:hint="eastAsia"/>
                <w:lang w:val="en-US" w:eastAsia="zh-CN"/>
              </w:rPr>
              <w:t>技术培训</w:t>
            </w:r>
          </w:p>
        </w:tc>
        <w:tc>
          <w:tcPr>
            <w:tcW w:w="1113" w:type="dxa"/>
            <w:tcBorders>
              <w:top w:val="outset" w:sz="6" w:space="0" w:color="auto"/>
              <w:left w:val="outset" w:sz="6" w:space="0" w:color="auto"/>
              <w:bottom w:val="outset" w:sz="6" w:space="0" w:color="auto"/>
              <w:right w:val="outset" w:sz="6" w:space="0" w:color="auto"/>
            </w:tcBorders>
            <w:noWrap/>
            <w:vAlign w:val="center"/>
          </w:tcPr>
          <w:p>
            <w:pPr>
              <w:pStyle w:val="25"/>
              <w:keepNext w:val="0"/>
              <w:keepLines w:val="0"/>
              <w:pageBreakBefore w:val="0"/>
              <w:widowControl/>
              <w:suppressLineNumbers w:val="0"/>
              <w:kinsoku/>
              <w:wordWrap/>
              <w:overflowPunct/>
              <w:topLinePunct w:val="0"/>
              <w:bidi w:val="0"/>
              <w:spacing w:line="576" w:lineRule="exact"/>
              <w:jc w:val="center"/>
              <w:textAlignment w:val="auto"/>
            </w:pPr>
            <w:r>
              <w:t>≥</w:t>
            </w:r>
            <w:r>
              <w:rPr>
                <w:rFonts w:hint="eastAsia"/>
                <w:lang w:val="en-US" w:eastAsia="zh-CN"/>
              </w:rPr>
              <w:t>400人</w:t>
            </w:r>
            <w:r>
              <w:t> </w:t>
            </w:r>
          </w:p>
        </w:tc>
        <w:tc>
          <w:tcPr>
            <w:tcW w:w="1998" w:type="dxa"/>
            <w:tcBorders>
              <w:top w:val="outset" w:sz="6" w:space="0" w:color="auto"/>
              <w:left w:val="outset" w:sz="6" w:space="0" w:color="auto"/>
              <w:bottom w:val="outset" w:sz="6" w:space="0" w:color="auto"/>
              <w:right w:val="outset" w:sz="6" w:space="0" w:color="auto"/>
            </w:tcBorders>
            <w:noWrap/>
            <w:vAlign w:val="center"/>
          </w:tcPr>
          <w:p>
            <w:pPr>
              <w:pStyle w:val="25"/>
              <w:keepNext w:val="0"/>
              <w:keepLines w:val="0"/>
              <w:pageBreakBefore w:val="0"/>
              <w:widowControl/>
              <w:suppressLineNumbers w:val="0"/>
              <w:kinsoku/>
              <w:wordWrap/>
              <w:overflowPunct/>
              <w:topLinePunct w:val="0"/>
              <w:bidi w:val="0"/>
              <w:spacing w:line="576" w:lineRule="exact"/>
              <w:jc w:val="center"/>
              <w:textAlignment w:val="auto"/>
              <w:rPr>
                <w:rFonts w:eastAsia="宋体"/>
                <w:lang w:val="en-US" w:eastAsia="zh-CN"/>
              </w:rPr>
            </w:pPr>
            <w:r>
              <w:rPr>
                <w:rFonts w:hint="eastAsia"/>
                <w:lang w:val="en-US" w:eastAsia="zh-CN"/>
              </w:rPr>
              <w:t>400人</w:t>
            </w:r>
          </w:p>
        </w:tc>
      </w:tr>
      <w:tr>
        <w:trPr>
          <w:trHeight w:val="420"/>
        </w:trPr>
        <w:tc>
          <w:tcPr>
            <w:tcW w:w="1672" w:type="dxa"/>
            <w:vMerge/>
            <w:tcBorders>
              <w:top w:val="outset" w:sz="6" w:space="0" w:color="auto"/>
              <w:left w:val="outset" w:sz="6" w:space="0" w:color="auto"/>
              <w:bottom w:val="outset" w:sz="6" w:space="0" w:color="auto"/>
              <w:right w:val="outset" w:sz="6" w:space="0" w:color="auto"/>
            </w:tcBorders>
            <w:noWrap/>
            <w:vAlign w:val="center"/>
          </w:tcPr>
          <w:p/>
        </w:tc>
        <w:tc>
          <w:tcPr>
            <w:tcW w:w="1046" w:type="dxa"/>
            <w:vMerge/>
            <w:tcBorders>
              <w:top w:val="outset" w:sz="6" w:space="0" w:color="auto"/>
              <w:left w:val="outset" w:sz="6" w:space="0" w:color="auto"/>
              <w:bottom w:val="outset" w:sz="6" w:space="0" w:color="auto"/>
              <w:right w:val="outset" w:sz="6" w:space="0" w:color="auto"/>
            </w:tcBorders>
            <w:noWrap/>
            <w:vAlign w:val="center"/>
          </w:tcPr>
          <w:p/>
        </w:tc>
        <w:tc>
          <w:tcPr>
            <w:tcW w:w="1413" w:type="dxa"/>
            <w:tcBorders>
              <w:top w:val="outset" w:sz="6" w:space="0" w:color="auto"/>
              <w:left w:val="outset" w:sz="6" w:space="0" w:color="auto"/>
              <w:bottom w:val="outset" w:sz="6" w:space="0" w:color="auto"/>
              <w:right w:val="outset" w:sz="6" w:space="0" w:color="auto"/>
            </w:tcBorders>
            <w:noWrap/>
            <w:vAlign w:val="center"/>
          </w:tcPr>
          <w:p>
            <w:pPr>
              <w:pStyle w:val="25"/>
              <w:keepNext w:val="0"/>
              <w:keepLines w:val="0"/>
              <w:pageBreakBefore w:val="0"/>
              <w:widowControl/>
              <w:suppressLineNumbers w:val="0"/>
              <w:kinsoku/>
              <w:wordWrap/>
              <w:overflowPunct/>
              <w:topLinePunct w:val="0"/>
              <w:bidi w:val="0"/>
              <w:spacing w:line="576" w:lineRule="exact"/>
              <w:jc w:val="center"/>
              <w:textAlignment w:val="auto"/>
              <w:rPr>
                <w:rFonts w:ascii="宋体" w:hint="eastAsia"/>
                <w:sz w:val="24"/>
                <w:szCs w:val="24"/>
              </w:rPr>
            </w:pPr>
            <w:r>
              <w:t>数量指标</w:t>
            </w:r>
          </w:p>
        </w:tc>
        <w:tc>
          <w:tcPr>
            <w:tcW w:w="1079" w:type="dxa"/>
            <w:tcBorders>
              <w:top w:val="outset" w:sz="6" w:space="0" w:color="auto"/>
              <w:left w:val="outset" w:sz="6" w:space="0" w:color="auto"/>
              <w:bottom w:val="outset" w:sz="6" w:space="0" w:color="auto"/>
              <w:right w:val="outset" w:sz="6" w:space="0" w:color="auto"/>
            </w:tcBorders>
            <w:noWrap/>
            <w:vAlign w:val="center"/>
          </w:tcPr>
          <w:p>
            <w:pPr>
              <w:pStyle w:val="25"/>
              <w:keepNext w:val="0"/>
              <w:keepLines w:val="0"/>
              <w:pageBreakBefore w:val="0"/>
              <w:widowControl/>
              <w:suppressLineNumbers w:val="0"/>
              <w:kinsoku/>
              <w:wordWrap/>
              <w:overflowPunct/>
              <w:topLinePunct w:val="0"/>
              <w:bidi w:val="0"/>
              <w:spacing w:line="576" w:lineRule="exact"/>
              <w:jc w:val="center"/>
              <w:textAlignment w:val="auto"/>
              <w:rPr>
                <w:lang w:val="en-US" w:eastAsia="zh-CN"/>
              </w:rPr>
            </w:pPr>
            <w:r>
              <w:rPr>
                <w:rFonts w:hint="eastAsia"/>
                <w:lang w:val="en-US" w:eastAsia="zh-CN"/>
              </w:rPr>
              <w:t>购买已脱贫公益性岗位意外险</w:t>
            </w:r>
          </w:p>
        </w:tc>
        <w:tc>
          <w:tcPr>
            <w:tcW w:w="1113" w:type="dxa"/>
            <w:tcBorders>
              <w:top w:val="outset" w:sz="6" w:space="0" w:color="auto"/>
              <w:left w:val="outset" w:sz="6" w:space="0" w:color="auto"/>
              <w:bottom w:val="outset" w:sz="6" w:space="0" w:color="auto"/>
              <w:right w:val="outset" w:sz="6" w:space="0" w:color="auto"/>
            </w:tcBorders>
            <w:noWrap/>
            <w:vAlign w:val="center"/>
          </w:tcPr>
          <w:p>
            <w:pPr>
              <w:pStyle w:val="25"/>
              <w:keepNext w:val="0"/>
              <w:keepLines w:val="0"/>
              <w:pageBreakBefore w:val="0"/>
              <w:widowControl/>
              <w:suppressLineNumbers w:val="0"/>
              <w:kinsoku/>
              <w:wordWrap/>
              <w:overflowPunct/>
              <w:topLinePunct w:val="0"/>
              <w:bidi w:val="0"/>
              <w:spacing w:line="576" w:lineRule="exact"/>
              <w:jc w:val="center"/>
              <w:textAlignment w:val="auto"/>
            </w:pPr>
            <w:r>
              <w:t>≥</w:t>
            </w:r>
            <w:r>
              <w:rPr>
                <w:rFonts w:hint="eastAsia"/>
                <w:lang w:val="en-US" w:eastAsia="zh-CN"/>
              </w:rPr>
              <w:t>300人</w:t>
            </w:r>
            <w:r>
              <w:t> </w:t>
            </w:r>
          </w:p>
        </w:tc>
        <w:tc>
          <w:tcPr>
            <w:tcW w:w="1998" w:type="dxa"/>
            <w:tcBorders>
              <w:top w:val="outset" w:sz="6" w:space="0" w:color="auto"/>
              <w:left w:val="outset" w:sz="6" w:space="0" w:color="auto"/>
              <w:bottom w:val="outset" w:sz="6" w:space="0" w:color="auto"/>
              <w:right w:val="outset" w:sz="6" w:space="0" w:color="auto"/>
            </w:tcBorders>
            <w:noWrap/>
            <w:vAlign w:val="center"/>
          </w:tcPr>
          <w:p>
            <w:pPr>
              <w:pStyle w:val="25"/>
              <w:keepNext w:val="0"/>
              <w:keepLines w:val="0"/>
              <w:pageBreakBefore w:val="0"/>
              <w:widowControl/>
              <w:suppressLineNumbers w:val="0"/>
              <w:kinsoku/>
              <w:wordWrap/>
              <w:overflowPunct/>
              <w:topLinePunct w:val="0"/>
              <w:bidi w:val="0"/>
              <w:spacing w:line="576" w:lineRule="exact"/>
              <w:jc w:val="center"/>
              <w:textAlignment w:val="auto"/>
              <w:rPr>
                <w:rFonts w:eastAsia="宋体"/>
                <w:lang w:val="en-US" w:eastAsia="zh-CN"/>
              </w:rPr>
            </w:pPr>
            <w:r>
              <w:rPr>
                <w:rFonts w:hint="eastAsia"/>
                <w:lang w:val="en-US" w:eastAsia="zh-CN"/>
              </w:rPr>
              <w:t>300人</w:t>
            </w:r>
          </w:p>
        </w:tc>
      </w:tr>
      <w:tr>
        <w:trPr>
          <w:trHeight w:val="420"/>
        </w:trPr>
        <w:tc>
          <w:tcPr>
            <w:tcW w:w="1672" w:type="dxa"/>
            <w:vMerge/>
            <w:tcBorders>
              <w:top w:val="outset" w:sz="6" w:space="0" w:color="auto"/>
              <w:left w:val="outset" w:sz="6" w:space="0" w:color="auto"/>
              <w:bottom w:val="outset" w:sz="6" w:space="0" w:color="auto"/>
              <w:right w:val="outset" w:sz="6" w:space="0" w:color="auto"/>
            </w:tcBorders>
            <w:noWrap/>
            <w:vAlign w:val="center"/>
          </w:tcPr>
          <w:p/>
        </w:tc>
        <w:tc>
          <w:tcPr>
            <w:tcW w:w="1046" w:type="dxa"/>
            <w:vMerge/>
            <w:tcBorders>
              <w:top w:val="outset" w:sz="6" w:space="0" w:color="auto"/>
              <w:left w:val="outset" w:sz="6" w:space="0" w:color="auto"/>
              <w:bottom w:val="outset" w:sz="6" w:space="0" w:color="auto"/>
              <w:right w:val="outset" w:sz="6" w:space="0" w:color="auto"/>
            </w:tcBorders>
            <w:noWrap/>
            <w:vAlign w:val="center"/>
          </w:tcPr>
          <w:p/>
        </w:tc>
        <w:tc>
          <w:tcPr>
            <w:tcW w:w="1413" w:type="dxa"/>
            <w:tcBorders>
              <w:top w:val="outset" w:sz="6" w:space="0" w:color="auto"/>
              <w:left w:val="outset" w:sz="6" w:space="0" w:color="auto"/>
              <w:bottom w:val="outset" w:sz="6" w:space="0" w:color="auto"/>
              <w:right w:val="outset" w:sz="6" w:space="0" w:color="auto"/>
            </w:tcBorders>
            <w:noWrap/>
            <w:vAlign w:val="center"/>
          </w:tcPr>
          <w:p>
            <w:pPr>
              <w:pStyle w:val="25"/>
              <w:keepNext w:val="0"/>
              <w:keepLines w:val="0"/>
              <w:pageBreakBefore w:val="0"/>
              <w:widowControl/>
              <w:suppressLineNumbers w:val="0"/>
              <w:kinsoku/>
              <w:wordWrap/>
              <w:overflowPunct/>
              <w:topLinePunct w:val="0"/>
              <w:bidi w:val="0"/>
              <w:spacing w:line="576" w:lineRule="exact"/>
              <w:jc w:val="center"/>
              <w:textAlignment w:val="auto"/>
              <w:rPr>
                <w:rFonts w:ascii="宋体" w:hint="eastAsia"/>
                <w:sz w:val="24"/>
                <w:szCs w:val="24"/>
              </w:rPr>
            </w:pPr>
            <w:r>
              <w:t>时效指标</w:t>
            </w:r>
          </w:p>
        </w:tc>
        <w:tc>
          <w:tcPr>
            <w:tcW w:w="1079" w:type="dxa"/>
            <w:tcBorders>
              <w:top w:val="outset" w:sz="6" w:space="0" w:color="auto"/>
              <w:left w:val="outset" w:sz="6" w:space="0" w:color="auto"/>
              <w:bottom w:val="outset" w:sz="6" w:space="0" w:color="auto"/>
              <w:right w:val="outset" w:sz="6" w:space="0" w:color="auto"/>
            </w:tcBorders>
            <w:noWrap/>
            <w:vAlign w:val="center"/>
          </w:tcPr>
          <w:p>
            <w:pPr>
              <w:pStyle w:val="25"/>
              <w:keepNext w:val="0"/>
              <w:keepLines w:val="0"/>
              <w:pageBreakBefore w:val="0"/>
              <w:widowControl/>
              <w:suppressLineNumbers w:val="0"/>
              <w:kinsoku/>
              <w:wordWrap/>
              <w:overflowPunct/>
              <w:topLinePunct w:val="0"/>
              <w:bidi w:val="0"/>
              <w:spacing w:line="576" w:lineRule="exact"/>
              <w:jc w:val="center"/>
              <w:textAlignment w:val="auto"/>
            </w:pPr>
            <w:r>
              <w:rPr>
                <w:rFonts w:hint="eastAsia"/>
                <w:lang w:val="en-US" w:eastAsia="zh-CN"/>
              </w:rPr>
              <w:t>项目资金在2022年12月前完成</w:t>
            </w:r>
            <w:r>
              <w:t> </w:t>
            </w:r>
          </w:p>
        </w:tc>
        <w:tc>
          <w:tcPr>
            <w:tcW w:w="1113" w:type="dxa"/>
            <w:tcBorders>
              <w:top w:val="outset" w:sz="6" w:space="0" w:color="auto"/>
              <w:left w:val="outset" w:sz="6" w:space="0" w:color="auto"/>
              <w:bottom w:val="outset" w:sz="6" w:space="0" w:color="auto"/>
              <w:right w:val="outset" w:sz="6" w:space="0" w:color="auto"/>
            </w:tcBorders>
            <w:noWrap/>
            <w:vAlign w:val="center"/>
          </w:tcPr>
          <w:p>
            <w:pPr>
              <w:pStyle w:val="25"/>
              <w:keepNext w:val="0"/>
              <w:keepLines w:val="0"/>
              <w:pageBreakBefore w:val="0"/>
              <w:widowControl/>
              <w:suppressLineNumbers w:val="0"/>
              <w:kinsoku/>
              <w:wordWrap/>
              <w:overflowPunct/>
              <w:topLinePunct w:val="0"/>
              <w:bidi w:val="0"/>
              <w:spacing w:line="576" w:lineRule="exact"/>
              <w:jc w:val="center"/>
              <w:textAlignment w:val="auto"/>
              <w:rPr>
                <w:lang w:val="en-US"/>
              </w:rPr>
            </w:pPr>
            <w:r>
              <w:t> ≥</w:t>
            </w:r>
            <w:r>
              <w:rPr>
                <w:rFonts w:hint="eastAsia"/>
                <w:lang w:val="en-US" w:eastAsia="zh-CN"/>
              </w:rPr>
              <w:t>95%</w:t>
            </w:r>
          </w:p>
        </w:tc>
        <w:tc>
          <w:tcPr>
            <w:tcW w:w="1998" w:type="dxa"/>
            <w:tcBorders>
              <w:top w:val="outset" w:sz="6" w:space="0" w:color="auto"/>
              <w:left w:val="outset" w:sz="6" w:space="0" w:color="auto"/>
              <w:bottom w:val="outset" w:sz="6" w:space="0" w:color="auto"/>
              <w:right w:val="outset" w:sz="6" w:space="0" w:color="auto"/>
            </w:tcBorders>
            <w:noWrap/>
            <w:vAlign w:val="center"/>
          </w:tcPr>
          <w:p>
            <w:pPr>
              <w:pStyle w:val="25"/>
              <w:keepNext w:val="0"/>
              <w:keepLines w:val="0"/>
              <w:pageBreakBefore w:val="0"/>
              <w:widowControl/>
              <w:suppressLineNumbers w:val="0"/>
              <w:kinsoku/>
              <w:wordWrap/>
              <w:overflowPunct/>
              <w:topLinePunct w:val="0"/>
              <w:bidi w:val="0"/>
              <w:spacing w:line="576" w:lineRule="exact"/>
              <w:jc w:val="center"/>
              <w:textAlignment w:val="auto"/>
            </w:pPr>
            <w:r>
              <w:rPr>
                <w:rFonts w:hint="eastAsia"/>
                <w:lang w:val="en-US" w:eastAsia="zh-CN"/>
              </w:rPr>
              <w:t>100%</w:t>
            </w:r>
            <w:r>
              <w:t> </w:t>
            </w:r>
          </w:p>
        </w:tc>
      </w:tr>
      <w:tr>
        <w:trPr>
          <w:trHeight w:val="480"/>
        </w:trPr>
        <w:tc>
          <w:tcPr>
            <w:tcW w:w="1672" w:type="dxa"/>
            <w:vMerge/>
            <w:tcBorders>
              <w:top w:val="outset" w:sz="6" w:space="0" w:color="auto"/>
              <w:left w:val="outset" w:sz="6" w:space="0" w:color="auto"/>
              <w:bottom w:val="outset" w:sz="6" w:space="0" w:color="auto"/>
              <w:right w:val="outset" w:sz="6" w:space="0" w:color="auto"/>
            </w:tcBorders>
            <w:noWrap/>
            <w:vAlign w:val="center"/>
          </w:tcPr>
          <w:p/>
        </w:tc>
        <w:tc>
          <w:tcPr>
            <w:tcW w:w="1046" w:type="dxa"/>
            <w:vMerge/>
            <w:tcBorders>
              <w:top w:val="outset" w:sz="6" w:space="0" w:color="auto"/>
              <w:left w:val="outset" w:sz="6" w:space="0" w:color="auto"/>
              <w:bottom w:val="outset" w:sz="6" w:space="0" w:color="auto"/>
              <w:right w:val="outset" w:sz="6" w:space="0" w:color="auto"/>
            </w:tcBorders>
            <w:noWrap/>
            <w:vAlign w:val="center"/>
          </w:tcPr>
          <w:p/>
        </w:tc>
        <w:tc>
          <w:tcPr>
            <w:tcW w:w="1413" w:type="dxa"/>
            <w:tcBorders>
              <w:top w:val="outset" w:sz="6" w:space="0" w:color="auto"/>
              <w:left w:val="outset" w:sz="6" w:space="0" w:color="auto"/>
              <w:bottom w:val="outset" w:sz="6" w:space="0" w:color="auto"/>
              <w:right w:val="outset" w:sz="6" w:space="0" w:color="auto"/>
            </w:tcBorders>
            <w:noWrap/>
            <w:vAlign w:val="center"/>
          </w:tcPr>
          <w:p>
            <w:pPr>
              <w:pStyle w:val="25"/>
              <w:keepNext w:val="0"/>
              <w:keepLines w:val="0"/>
              <w:pageBreakBefore w:val="0"/>
              <w:widowControl/>
              <w:suppressLineNumbers w:val="0"/>
              <w:kinsoku/>
              <w:wordWrap/>
              <w:overflowPunct/>
              <w:topLinePunct w:val="0"/>
              <w:bidi w:val="0"/>
              <w:spacing w:line="576" w:lineRule="exact"/>
              <w:jc w:val="center"/>
              <w:textAlignment w:val="auto"/>
              <w:rPr>
                <w:rFonts w:ascii="宋体" w:hint="eastAsia"/>
                <w:sz w:val="24"/>
                <w:szCs w:val="24"/>
              </w:rPr>
            </w:pPr>
            <w:r>
              <w:t>社会效益指标</w:t>
            </w:r>
          </w:p>
        </w:tc>
        <w:tc>
          <w:tcPr>
            <w:tcW w:w="1079" w:type="dxa"/>
            <w:tcBorders>
              <w:top w:val="outset" w:sz="6" w:space="0" w:color="auto"/>
              <w:left w:val="outset" w:sz="6" w:space="0" w:color="auto"/>
              <w:bottom w:val="outset" w:sz="6" w:space="0" w:color="auto"/>
              <w:right w:val="outset" w:sz="6" w:space="0" w:color="auto"/>
            </w:tcBorders>
            <w:noWrap/>
            <w:vAlign w:val="center"/>
          </w:tcPr>
          <w:p>
            <w:pPr>
              <w:pStyle w:val="25"/>
              <w:keepNext w:val="0"/>
              <w:keepLines w:val="0"/>
              <w:pageBreakBefore w:val="0"/>
              <w:widowControl/>
              <w:suppressLineNumbers w:val="0"/>
              <w:kinsoku/>
              <w:wordWrap/>
              <w:overflowPunct/>
              <w:topLinePunct w:val="0"/>
              <w:bidi w:val="0"/>
              <w:spacing w:line="576" w:lineRule="exact"/>
              <w:jc w:val="center"/>
              <w:textAlignment w:val="auto"/>
              <w:rPr>
                <w:rFonts w:eastAsia="宋体"/>
                <w:lang w:val="en-US" w:eastAsia="zh-CN"/>
              </w:rPr>
            </w:pPr>
            <w:r>
              <w:t> </w:t>
            </w:r>
            <w:r>
              <w:rPr>
                <w:rFonts w:hint="eastAsia"/>
                <w:lang w:val="en-US" w:eastAsia="zh-CN"/>
              </w:rPr>
              <w:t>政策知晓率</w:t>
            </w:r>
          </w:p>
        </w:tc>
        <w:tc>
          <w:tcPr>
            <w:tcW w:w="1113" w:type="dxa"/>
            <w:tcBorders>
              <w:top w:val="outset" w:sz="6" w:space="0" w:color="auto"/>
              <w:left w:val="outset" w:sz="6" w:space="0" w:color="auto"/>
              <w:bottom w:val="outset" w:sz="6" w:space="0" w:color="auto"/>
              <w:right w:val="outset" w:sz="6" w:space="0" w:color="auto"/>
            </w:tcBorders>
            <w:noWrap/>
            <w:vAlign w:val="center"/>
          </w:tcPr>
          <w:p>
            <w:pPr>
              <w:pStyle w:val="25"/>
              <w:keepNext w:val="0"/>
              <w:keepLines w:val="0"/>
              <w:pageBreakBefore w:val="0"/>
              <w:widowControl/>
              <w:suppressLineNumbers w:val="0"/>
              <w:kinsoku/>
              <w:wordWrap/>
              <w:overflowPunct/>
              <w:topLinePunct w:val="0"/>
              <w:bidi w:val="0"/>
              <w:spacing w:line="576" w:lineRule="exact"/>
              <w:jc w:val="center"/>
              <w:textAlignment w:val="auto"/>
            </w:pPr>
            <w:r>
              <w:t> ≥</w:t>
            </w:r>
            <w:r>
              <w:rPr>
                <w:rFonts w:hint="eastAsia"/>
                <w:lang w:val="en-US" w:eastAsia="zh-CN"/>
              </w:rPr>
              <w:t>98%</w:t>
            </w:r>
            <w:r>
              <w:t> </w:t>
            </w:r>
          </w:p>
        </w:tc>
        <w:tc>
          <w:tcPr>
            <w:tcW w:w="1998" w:type="dxa"/>
            <w:tcBorders>
              <w:top w:val="outset" w:sz="6" w:space="0" w:color="auto"/>
              <w:left w:val="outset" w:sz="6" w:space="0" w:color="auto"/>
              <w:bottom w:val="outset" w:sz="6" w:space="0" w:color="auto"/>
              <w:right w:val="outset" w:sz="6" w:space="0" w:color="auto"/>
            </w:tcBorders>
            <w:noWrap/>
            <w:vAlign w:val="center"/>
          </w:tcPr>
          <w:p>
            <w:pPr>
              <w:pStyle w:val="25"/>
              <w:keepNext w:val="0"/>
              <w:keepLines w:val="0"/>
              <w:pageBreakBefore w:val="0"/>
              <w:widowControl/>
              <w:suppressLineNumbers w:val="0"/>
              <w:kinsoku/>
              <w:wordWrap/>
              <w:overflowPunct/>
              <w:topLinePunct w:val="0"/>
              <w:bidi w:val="0"/>
              <w:spacing w:line="576" w:lineRule="exact"/>
              <w:jc w:val="center"/>
              <w:textAlignment w:val="auto"/>
            </w:pPr>
            <w:r>
              <w:t> ≥</w:t>
            </w:r>
            <w:r>
              <w:rPr>
                <w:rFonts w:hint="eastAsia"/>
                <w:lang w:val="en-US" w:eastAsia="zh-CN"/>
              </w:rPr>
              <w:t>98%</w:t>
            </w:r>
            <w:r>
              <w:t> </w:t>
            </w:r>
          </w:p>
        </w:tc>
      </w:tr>
      <w:tr>
        <w:trPr>
          <w:trHeight w:val="525"/>
        </w:trPr>
        <w:tc>
          <w:tcPr>
            <w:tcW w:w="1672" w:type="dxa"/>
            <w:vMerge/>
            <w:tcBorders>
              <w:top w:val="outset" w:sz="6" w:space="0" w:color="auto"/>
              <w:left w:val="outset" w:sz="6" w:space="0" w:color="auto"/>
              <w:bottom w:val="outset" w:sz="6" w:space="0" w:color="auto"/>
              <w:right w:val="outset" w:sz="6" w:space="0" w:color="auto"/>
            </w:tcBorders>
            <w:noWrap/>
            <w:vAlign w:val="center"/>
          </w:tcPr>
          <w:p/>
        </w:tc>
        <w:tc>
          <w:tcPr>
            <w:tcW w:w="1046" w:type="dxa"/>
            <w:tcBorders>
              <w:top w:val="outset" w:sz="6" w:space="0" w:color="auto"/>
              <w:left w:val="outset" w:sz="6" w:space="0" w:color="auto"/>
              <w:bottom w:val="outset" w:sz="6" w:space="0" w:color="auto"/>
              <w:right w:val="outset" w:sz="6" w:space="0" w:color="auto"/>
            </w:tcBorders>
            <w:noWrap/>
            <w:vAlign w:val="center"/>
          </w:tcPr>
          <w:p>
            <w:pPr>
              <w:pStyle w:val="25"/>
              <w:keepNext w:val="0"/>
              <w:keepLines w:val="0"/>
              <w:pageBreakBefore w:val="0"/>
              <w:widowControl/>
              <w:suppressLineNumbers w:val="0"/>
              <w:kinsoku/>
              <w:wordWrap/>
              <w:overflowPunct/>
              <w:topLinePunct w:val="0"/>
              <w:bidi w:val="0"/>
              <w:spacing w:line="576" w:lineRule="exact"/>
              <w:jc w:val="center"/>
              <w:textAlignment w:val="auto"/>
              <w:rPr>
                <w:rFonts w:ascii="宋体" w:hint="eastAsia"/>
                <w:sz w:val="24"/>
                <w:szCs w:val="24"/>
              </w:rPr>
            </w:pPr>
            <w:r>
              <w:t>满意</w:t>
            </w:r>
          </w:p>
          <w:p>
            <w:pPr>
              <w:pStyle w:val="25"/>
              <w:keepNext w:val="0"/>
              <w:keepLines w:val="0"/>
              <w:pageBreakBefore w:val="0"/>
              <w:widowControl/>
              <w:suppressLineNumbers w:val="0"/>
              <w:kinsoku/>
              <w:wordWrap/>
              <w:overflowPunct/>
              <w:topLinePunct w:val="0"/>
              <w:bidi w:val="0"/>
              <w:spacing w:line="576" w:lineRule="exact"/>
              <w:jc w:val="center"/>
              <w:textAlignment w:val="auto"/>
            </w:pPr>
            <w:r>
              <w:t>度指标</w:t>
            </w:r>
          </w:p>
        </w:tc>
        <w:tc>
          <w:tcPr>
            <w:tcW w:w="1413" w:type="dxa"/>
            <w:tcBorders>
              <w:top w:val="outset" w:sz="6" w:space="0" w:color="auto"/>
              <w:left w:val="outset" w:sz="6" w:space="0" w:color="auto"/>
              <w:bottom w:val="outset" w:sz="6" w:space="0" w:color="auto"/>
              <w:right w:val="outset" w:sz="6" w:space="0" w:color="auto"/>
            </w:tcBorders>
            <w:noWrap/>
            <w:vAlign w:val="center"/>
          </w:tcPr>
          <w:p>
            <w:pPr>
              <w:pStyle w:val="25"/>
              <w:keepNext w:val="0"/>
              <w:keepLines w:val="0"/>
              <w:pageBreakBefore w:val="0"/>
              <w:widowControl/>
              <w:suppressLineNumbers w:val="0"/>
              <w:kinsoku/>
              <w:wordWrap/>
              <w:overflowPunct/>
              <w:topLinePunct w:val="0"/>
              <w:bidi w:val="0"/>
              <w:spacing w:line="576" w:lineRule="exact"/>
              <w:jc w:val="center"/>
              <w:textAlignment w:val="auto"/>
            </w:pPr>
            <w:r>
              <w:t>满意度</w:t>
            </w:r>
          </w:p>
          <w:p>
            <w:pPr>
              <w:pStyle w:val="25"/>
              <w:keepNext w:val="0"/>
              <w:keepLines w:val="0"/>
              <w:pageBreakBefore w:val="0"/>
              <w:widowControl/>
              <w:suppressLineNumbers w:val="0"/>
              <w:kinsoku/>
              <w:wordWrap/>
              <w:overflowPunct/>
              <w:topLinePunct w:val="0"/>
              <w:bidi w:val="0"/>
              <w:spacing w:line="576" w:lineRule="exact"/>
              <w:jc w:val="center"/>
              <w:textAlignment w:val="auto"/>
            </w:pPr>
            <w:r>
              <w:t>指标</w:t>
            </w:r>
          </w:p>
        </w:tc>
        <w:tc>
          <w:tcPr>
            <w:tcW w:w="1079" w:type="dxa"/>
            <w:tcBorders>
              <w:top w:val="outset" w:sz="6" w:space="0" w:color="auto"/>
              <w:left w:val="outset" w:sz="6" w:space="0" w:color="auto"/>
              <w:bottom w:val="outset" w:sz="6" w:space="0" w:color="auto"/>
              <w:right w:val="outset" w:sz="6" w:space="0" w:color="auto"/>
            </w:tcBorders>
            <w:noWrap/>
            <w:vAlign w:val="center"/>
          </w:tcPr>
          <w:p>
            <w:pPr>
              <w:pStyle w:val="25"/>
              <w:keepNext w:val="0"/>
              <w:keepLines w:val="0"/>
              <w:pageBreakBefore w:val="0"/>
              <w:widowControl/>
              <w:suppressLineNumbers w:val="0"/>
              <w:kinsoku/>
              <w:wordWrap/>
              <w:overflowPunct/>
              <w:topLinePunct w:val="0"/>
              <w:bidi w:val="0"/>
              <w:spacing w:line="576" w:lineRule="exact"/>
              <w:jc w:val="center"/>
              <w:textAlignment w:val="auto"/>
            </w:pPr>
            <w:r>
              <w:rPr>
                <w:rFonts w:hint="eastAsia"/>
                <w:lang w:val="en-US" w:eastAsia="zh-CN"/>
              </w:rPr>
              <w:t>通过宣传资料、宣传海报等形式向城乡劳动者宣传培训政策</w:t>
            </w:r>
            <w:r>
              <w:t> </w:t>
            </w:r>
          </w:p>
        </w:tc>
        <w:tc>
          <w:tcPr>
            <w:tcW w:w="1113" w:type="dxa"/>
            <w:tcBorders>
              <w:top w:val="outset" w:sz="6" w:space="0" w:color="auto"/>
              <w:left w:val="outset" w:sz="6" w:space="0" w:color="auto"/>
              <w:bottom w:val="outset" w:sz="6" w:space="0" w:color="auto"/>
              <w:right w:val="outset" w:sz="6" w:space="0" w:color="auto"/>
            </w:tcBorders>
            <w:noWrap/>
            <w:vAlign w:val="center"/>
          </w:tcPr>
          <w:p>
            <w:pPr>
              <w:pStyle w:val="25"/>
              <w:keepNext w:val="0"/>
              <w:keepLines w:val="0"/>
              <w:pageBreakBefore w:val="0"/>
              <w:widowControl/>
              <w:suppressLineNumbers w:val="0"/>
              <w:kinsoku/>
              <w:wordWrap/>
              <w:overflowPunct/>
              <w:topLinePunct w:val="0"/>
              <w:bidi w:val="0"/>
              <w:spacing w:line="576" w:lineRule="exact"/>
              <w:jc w:val="center"/>
              <w:textAlignment w:val="auto"/>
              <w:rPr>
                <w:lang w:val="en-US"/>
              </w:rPr>
            </w:pPr>
            <w:r>
              <w:t> ≥</w:t>
            </w:r>
            <w:r>
              <w:rPr>
                <w:rFonts w:hint="eastAsia"/>
                <w:lang w:val="en-US" w:eastAsia="zh-CN"/>
              </w:rPr>
              <w:t>98%</w:t>
            </w:r>
          </w:p>
        </w:tc>
        <w:tc>
          <w:tcPr>
            <w:tcW w:w="1998" w:type="dxa"/>
            <w:tcBorders>
              <w:top w:val="outset" w:sz="6" w:space="0" w:color="auto"/>
              <w:left w:val="outset" w:sz="6" w:space="0" w:color="auto"/>
              <w:bottom w:val="outset" w:sz="6" w:space="0" w:color="auto"/>
              <w:right w:val="outset" w:sz="6" w:space="0" w:color="auto"/>
            </w:tcBorders>
            <w:noWrap/>
            <w:vAlign w:val="center"/>
          </w:tcPr>
          <w:p>
            <w:pPr>
              <w:pStyle w:val="25"/>
              <w:keepNext w:val="0"/>
              <w:keepLines w:val="0"/>
              <w:pageBreakBefore w:val="0"/>
              <w:widowControl/>
              <w:suppressLineNumbers w:val="0"/>
              <w:kinsoku/>
              <w:wordWrap/>
              <w:overflowPunct/>
              <w:topLinePunct w:val="0"/>
              <w:bidi w:val="0"/>
              <w:spacing w:line="576" w:lineRule="exact"/>
              <w:jc w:val="center"/>
              <w:textAlignment w:val="auto"/>
            </w:pPr>
            <w:r>
              <w:t> ≥</w:t>
            </w:r>
            <w:r>
              <w:rPr>
                <w:rFonts w:hint="eastAsia"/>
                <w:lang w:val="en-US" w:eastAsia="zh-CN"/>
              </w:rPr>
              <w:t>98%</w:t>
            </w:r>
            <w:r>
              <w:t> </w:t>
            </w:r>
          </w:p>
        </w:tc>
      </w:tr>
    </w:tbl>
    <w:p>
      <w:pPr>
        <w:pStyle w:val="25"/>
        <w:widowControl/>
        <w:spacing w:line="576" w:lineRule="exact"/>
      </w:pPr>
      <w:r>
        <w:t>（注：有两个及以上100万元以上（含）特定目标类部门预算项目的，需分别开展绩效目标自评并填写附表）</w:t>
      </w:r>
    </w:p>
    <w:p>
      <w:pPr>
        <w:pStyle w:val="25"/>
        <w:widowControl/>
        <w:spacing w:line="576" w:lineRule="exact"/>
      </w:pPr>
    </w:p>
    <w:p>
      <w:pPr>
        <w:pStyle w:val="25"/>
        <w:widowControl/>
        <w:spacing w:line="576" w:lineRule="exact"/>
      </w:pPr>
    </w:p>
    <w:p>
      <w:pPr>
        <w:pStyle w:val="25"/>
        <w:widowControl/>
        <w:spacing w:line="576" w:lineRule="exact"/>
      </w:pPr>
    </w:p>
    <w:p>
      <w:pPr>
        <w:spacing w:line="576" w:lineRule="exact"/>
        <w:jc w:val="left"/>
        <w:outlineLvl w:val="0"/>
        <w:rPr>
          <w:rFonts w:ascii="黑体" w:eastAsia="黑体" w:cs="黑体"/>
          <w:sz w:val="32"/>
          <w:szCs w:val="32"/>
        </w:rPr>
      </w:pPr>
      <w:r>
        <w:rPr>
          <w:rFonts w:ascii="黑体" w:eastAsia="黑体" w:cs="黑体" w:hint="eastAsia"/>
          <w:sz w:val="32"/>
          <w:szCs w:val="32"/>
        </w:rPr>
        <w:t>附件3</w:t>
      </w:r>
    </w:p>
    <w:p>
      <w:pPr>
        <w:pStyle w:val="20"/>
        <w:tabs>
          <w:tab w:val="center" w:pos="4153"/>
          <w:tab w:val="right" w:pos="8306"/>
        </w:tabs>
      </w:pPr>
    </w:p>
    <w:p>
      <w:pPr>
        <w:spacing w:line="576" w:lineRule="exact"/>
        <w:jc w:val="center"/>
        <w:rPr>
          <w:rFonts w:ascii="方正小标宋简体" w:eastAsia="方正小标宋简体"/>
          <w:sz w:val="44"/>
          <w:szCs w:val="44"/>
        </w:rPr>
      </w:pPr>
      <w:r>
        <w:t> </w:t>
      </w:r>
      <w:r>
        <w:rPr>
          <w:rFonts w:ascii="方正小标宋简体" w:eastAsia="方正小标宋简体" w:hint="eastAsia"/>
          <w:sz w:val="44"/>
          <w:szCs w:val="44"/>
        </w:rPr>
        <w:t>茂县公共就业和人才交流服务局</w:t>
      </w:r>
    </w:p>
    <w:p>
      <w:pPr>
        <w:spacing w:line="576" w:lineRule="exact"/>
        <w:jc w:val="center"/>
        <w:rPr>
          <w:rFonts w:ascii="方正小标宋简体" w:eastAsia="方正小标宋简体"/>
          <w:sz w:val="44"/>
          <w:szCs w:val="44"/>
        </w:rPr>
      </w:pPr>
      <w:r>
        <w:rPr>
          <w:rFonts w:ascii="方正小标宋简体" w:eastAsia="方正小标宋简体" w:hint="eastAsia"/>
          <w:sz w:val="44"/>
          <w:szCs w:val="44"/>
        </w:rPr>
        <w:t>2022年省内对口帮扶劳务协作项目</w:t>
      </w:r>
    </w:p>
    <w:p>
      <w:pPr>
        <w:spacing w:line="576" w:lineRule="exact"/>
        <w:jc w:val="center"/>
        <w:rPr>
          <w:rFonts w:ascii="方正小标宋简体" w:eastAsia="方正小标宋简体"/>
          <w:sz w:val="44"/>
          <w:szCs w:val="44"/>
        </w:rPr>
      </w:pPr>
      <w:r>
        <w:rPr>
          <w:rFonts w:ascii="方正小标宋简体" w:eastAsia="方正小标宋简体" w:hint="eastAsia"/>
          <w:sz w:val="44"/>
          <w:szCs w:val="44"/>
        </w:rPr>
        <w:t>支出绩效自评价报告</w:t>
      </w:r>
    </w:p>
    <w:p>
      <w:pPr>
        <w:pStyle w:val="20"/>
        <w:tabs>
          <w:tab w:val="center" w:pos="4153"/>
          <w:tab w:val="right" w:pos="8306"/>
        </w:tabs>
        <w:rPr>
          <w:rFonts w:ascii="方正小标宋简体" w:eastAsia="方正小标宋简体"/>
          <w:sz w:val="44"/>
          <w:szCs w:val="44"/>
        </w:rPr>
      </w:pPr>
    </w:p>
    <w:p>
      <w:pPr>
        <w:numPr>
          <w:ilvl w:val="0"/>
          <w:numId w:val="4"/>
        </w:numPr>
        <w:spacing w:line="576" w:lineRule="exact"/>
        <w:ind w:left="0" w:rightChars="155" w:right="326" w:firstLineChars="200" w:firstLine="640"/>
        <w:rPr>
          <w:rFonts w:ascii="楷体_GB2312" w:eastAsia="楷体_GB2312" w:cs="楷体_GB2312"/>
          <w:b/>
          <w:sz w:val="32"/>
          <w:szCs w:val="32"/>
        </w:rPr>
      </w:pPr>
      <w:r>
        <w:rPr>
          <w:rFonts w:ascii="黑体" w:eastAsia="黑体" w:cs="黑体" w:hint="eastAsia"/>
          <w:b/>
          <w:bCs/>
          <w:sz w:val="32"/>
          <w:szCs w:val="32"/>
        </w:rPr>
        <w:t>项目概况</w:t>
      </w:r>
    </w:p>
    <w:p>
      <w:pPr>
        <w:spacing w:line="576" w:lineRule="exact"/>
        <w:ind w:rightChars="155" w:right="326" w:firstLineChars="150" w:firstLine="480"/>
        <w:rPr>
          <w:rFonts w:ascii="楷体_GB2312" w:eastAsia="楷体_GB2312" w:cs="楷体_GB2312"/>
          <w:b/>
          <w:sz w:val="32"/>
          <w:szCs w:val="32"/>
        </w:rPr>
      </w:pPr>
      <w:r>
        <w:rPr>
          <w:rFonts w:ascii="楷体_GB2312" w:eastAsia="楷体_GB2312" w:cs="楷体_GB2312" w:hint="eastAsia"/>
          <w:b/>
          <w:sz w:val="32"/>
          <w:szCs w:val="32"/>
        </w:rPr>
        <w:t>（一）项目基本情况</w:t>
      </w:r>
    </w:p>
    <w:p>
      <w:pPr>
        <w:spacing w:line="360" w:lineRule="auto"/>
        <w:ind w:firstLineChars="200" w:firstLine="640"/>
        <w:rPr>
          <w:rFonts w:ascii="仿宋_GB2312" w:eastAsia="仿宋_GB2312" w:cs="仿宋_GB2312"/>
          <w:sz w:val="32"/>
          <w:szCs w:val="32"/>
        </w:rPr>
      </w:pPr>
      <w:r>
        <w:rPr>
          <w:rFonts w:ascii="仿宋_GB2312" w:eastAsia="仿宋_GB2312" w:cs="仿宋_GB2312" w:hint="eastAsia"/>
          <w:sz w:val="32"/>
          <w:szCs w:val="32"/>
        </w:rPr>
        <w:t>2022年省内对口帮扶劳务协作项目包括：省内对口帮扶政策宣传，技能提升培训、招聘活动、稳定就业补助等相关工作。</w:t>
      </w:r>
    </w:p>
    <w:p>
      <w:pPr>
        <w:numPr>
          <w:ilvl w:val="0"/>
          <w:numId w:val="5"/>
        </w:numPr>
        <w:spacing w:line="576" w:lineRule="exact"/>
        <w:ind w:left="0" w:rightChars="155" w:right="326" w:firstLineChars="150" w:firstLine="480"/>
        <w:rPr>
          <w:rFonts w:ascii="楷体_GB2312" w:eastAsia="楷体_GB2312" w:cs="楷体_GB2312"/>
          <w:b/>
          <w:sz w:val="32"/>
          <w:szCs w:val="32"/>
        </w:rPr>
      </w:pPr>
      <w:r>
        <w:rPr>
          <w:rFonts w:ascii="楷体_GB2312" w:eastAsia="楷体_GB2312" w:cs="楷体_GB2312" w:hint="eastAsia"/>
          <w:b/>
          <w:sz w:val="32"/>
          <w:szCs w:val="32"/>
        </w:rPr>
        <w:t>项目绩效目标</w:t>
      </w:r>
    </w:p>
    <w:p>
      <w:pPr>
        <w:spacing w:line="360" w:lineRule="auto"/>
        <w:ind w:firstLineChars="200" w:firstLine="640"/>
        <w:rPr>
          <w:rFonts w:ascii="仿宋_GB2312" w:eastAsia="仿宋_GB2312" w:cs="仿宋_GB2312"/>
          <w:sz w:val="32"/>
          <w:szCs w:val="32"/>
        </w:rPr>
      </w:pPr>
      <w:r>
        <w:rPr>
          <w:rFonts w:ascii="仿宋_GB2312" w:eastAsia="仿宋_GB2312" w:cs="仿宋_GB2312" w:hint="eastAsia"/>
          <w:sz w:val="32"/>
          <w:szCs w:val="32"/>
        </w:rPr>
        <w:t>1、项目主要内容包括：省内对口帮扶政策宣传，技能提升培训、招聘活动、稳定就业补助等相关工作。</w:t>
      </w:r>
    </w:p>
    <w:p>
      <w:pPr>
        <w:pStyle w:val="20"/>
        <w:tabs>
          <w:tab w:val="center" w:pos="4153"/>
          <w:tab w:val="right" w:pos="8306"/>
        </w:tabs>
        <w:snapToGrid/>
        <w:spacing w:line="360" w:lineRule="auto"/>
        <w:ind w:firstLineChars="200" w:firstLine="640"/>
        <w:rPr>
          <w:rFonts w:ascii="仿宋_GB2312" w:eastAsia="仿宋_GB2312" w:cs="仿宋_GB2312"/>
          <w:kern w:val="2"/>
          <w:sz w:val="32"/>
          <w:szCs w:val="32"/>
        </w:rPr>
      </w:pPr>
      <w:r>
        <w:rPr>
          <w:rFonts w:ascii="仿宋_GB2312" w:eastAsia="仿宋_GB2312" w:cs="仿宋_GB2312" w:hint="eastAsia"/>
          <w:kern w:val="2"/>
          <w:sz w:val="32"/>
          <w:szCs w:val="32"/>
        </w:rPr>
        <w:t>2、项目应实现对城乡劳动者提供技术培训、对茂县籍外出务工人员实行稳定就业补助、通过宣传提高群众的政策知晓率。</w:t>
      </w:r>
    </w:p>
    <w:p>
      <w:pPr>
        <w:pStyle w:val="20"/>
        <w:tabs>
          <w:tab w:val="center" w:pos="4153"/>
          <w:tab w:val="right" w:pos="8306"/>
        </w:tabs>
        <w:snapToGrid/>
        <w:spacing w:line="360" w:lineRule="auto"/>
        <w:ind w:leftChars="200" w:left="420" w:firstLineChars="100" w:firstLine="320"/>
        <w:rPr>
          <w:rFonts w:ascii="仿宋_GB2312" w:eastAsia="仿宋_GB2312" w:cs="仿宋_GB2312"/>
          <w:kern w:val="2"/>
          <w:sz w:val="32"/>
          <w:szCs w:val="32"/>
        </w:rPr>
      </w:pPr>
      <w:r>
        <w:rPr>
          <w:rFonts w:ascii="仿宋_GB2312" w:eastAsia="仿宋_GB2312" w:cs="仿宋_GB2312" w:hint="eastAsia"/>
          <w:kern w:val="2"/>
          <w:sz w:val="32"/>
          <w:szCs w:val="32"/>
        </w:rPr>
        <w:t>3、项目申报内容余实际相符，申报目标合理可行。</w:t>
      </w:r>
    </w:p>
    <w:p>
      <w:pPr>
        <w:spacing w:line="576" w:lineRule="exact"/>
        <w:ind w:rightChars="155" w:right="326" w:firstLineChars="150" w:firstLine="480"/>
        <w:rPr>
          <w:rFonts w:ascii="楷体_GB2312" w:eastAsia="楷体_GB2312" w:cs="楷体_GB2312"/>
          <w:b/>
          <w:sz w:val="32"/>
          <w:szCs w:val="32"/>
        </w:rPr>
      </w:pPr>
      <w:r>
        <w:rPr>
          <w:rFonts w:ascii="楷体_GB2312" w:eastAsia="楷体_GB2312" w:cs="楷体_GB2312" w:hint="eastAsia"/>
          <w:b/>
          <w:sz w:val="32"/>
          <w:szCs w:val="32"/>
        </w:rPr>
        <w:t>（三）项目自评步骤及方法</w:t>
      </w:r>
    </w:p>
    <w:p>
      <w:pPr>
        <w:spacing w:line="360" w:lineRule="auto"/>
        <w:ind w:rightChars="155" w:right="326" w:firstLineChars="200" w:firstLine="640"/>
        <w:rPr>
          <w:rFonts w:ascii="仿宋_GB2312" w:eastAsia="仿宋_GB2312" w:cs="仿宋_GB2312"/>
          <w:sz w:val="32"/>
          <w:szCs w:val="32"/>
        </w:rPr>
      </w:pPr>
      <w:r>
        <w:rPr>
          <w:rFonts w:ascii="仿宋_GB2312" w:eastAsia="仿宋_GB2312" w:cs="仿宋_GB2312" w:hint="eastAsia"/>
          <w:sz w:val="32"/>
          <w:szCs w:val="32"/>
        </w:rPr>
        <w:t>成立项目自评小组，结合评价内容，做到有计划，有安排，扎实开展本次自评工作。按照上级下达的项目支出绩效评价指标体系，自评小组针对申报内容、实施情况、资金兑现、财务管理、社会效益等做出自我评价。</w:t>
      </w:r>
    </w:p>
    <w:p>
      <w:pPr>
        <w:spacing w:line="576" w:lineRule="exact"/>
        <w:ind w:rightChars="155" w:right="326" w:firstLineChars="200" w:firstLine="640"/>
        <w:rPr>
          <w:rFonts w:ascii="黑体" w:eastAsia="黑体" w:cs="黑体"/>
          <w:b/>
          <w:bCs/>
          <w:sz w:val="32"/>
          <w:szCs w:val="32"/>
        </w:rPr>
      </w:pPr>
      <w:r>
        <w:rPr>
          <w:rFonts w:ascii="黑体" w:eastAsia="黑体" w:cs="黑体" w:hint="eastAsia"/>
          <w:b/>
          <w:bCs/>
          <w:sz w:val="32"/>
          <w:szCs w:val="32"/>
        </w:rPr>
        <w:t>二、项目资金使用情况</w:t>
      </w:r>
    </w:p>
    <w:p>
      <w:pPr>
        <w:spacing w:line="576" w:lineRule="exact"/>
        <w:ind w:rightChars="155" w:right="326" w:firstLineChars="150" w:firstLine="480"/>
        <w:rPr>
          <w:rFonts w:ascii="楷体_GB2312" w:eastAsia="楷体_GB2312" w:cs="楷体_GB2312"/>
          <w:b/>
          <w:sz w:val="32"/>
          <w:szCs w:val="32"/>
        </w:rPr>
      </w:pPr>
      <w:r>
        <w:rPr>
          <w:rFonts w:ascii="楷体_GB2312" w:eastAsia="楷体_GB2312" w:cs="楷体_GB2312" w:hint="eastAsia"/>
          <w:b/>
          <w:sz w:val="32"/>
          <w:szCs w:val="32"/>
        </w:rPr>
        <w:t>（一）资金计划、到位及使用情况</w:t>
      </w:r>
    </w:p>
    <w:p>
      <w:pPr>
        <w:spacing w:line="360" w:lineRule="auto"/>
        <w:ind w:rightChars="155" w:right="326" w:firstLineChars="200" w:firstLine="640"/>
        <w:rPr>
          <w:rFonts w:ascii="仿宋_GB2312" w:eastAsia="仿宋_GB2312" w:cs="仿宋_GB2312"/>
          <w:sz w:val="32"/>
          <w:szCs w:val="32"/>
        </w:rPr>
      </w:pPr>
      <w:r>
        <w:rPr>
          <w:rFonts w:ascii="仿宋_GB2312" w:eastAsia="仿宋_GB2312" w:cs="仿宋_GB2312" w:hint="eastAsia"/>
          <w:sz w:val="32"/>
          <w:szCs w:val="32"/>
        </w:rPr>
        <w:t>2022年财政安排省内对口帮扶劳务协作项目资金共计70万元，2022年11月28日，茂财国代（2022）234号安排2022年省内对口帮扶劳务协作项目资金70万元。项目资金到位率100%。</w:t>
      </w:r>
    </w:p>
    <w:p>
      <w:pPr>
        <w:pStyle w:val="20"/>
        <w:tabs>
          <w:tab w:val="center" w:pos="4153"/>
          <w:tab w:val="right" w:pos="8306"/>
        </w:tabs>
        <w:snapToGrid/>
        <w:spacing w:line="360" w:lineRule="auto"/>
        <w:rPr>
          <w:rFonts w:ascii="仿宋_GB2312" w:eastAsia="仿宋_GB2312" w:cs="仿宋_GB2312"/>
          <w:sz w:val="32"/>
          <w:szCs w:val="32"/>
        </w:rPr>
      </w:pPr>
      <w:r>
        <w:rPr>
          <w:rFonts w:ascii="仿宋_GB2312" w:eastAsia="仿宋_GB2312" w:cs="仿宋_GB2312" w:hint="eastAsia"/>
          <w:sz w:val="32"/>
          <w:szCs w:val="32"/>
        </w:rPr>
        <w:t xml:space="preserve">    因疫情防控管理要求，县域内城乡劳动者职业技能培训无法开展，于2022年12月2日退还资金160500元，项目资金使用完成预算100%。</w:t>
      </w:r>
    </w:p>
    <w:p>
      <w:pPr>
        <w:numPr>
          <w:ilvl w:val="0"/>
          <w:numId w:val="2"/>
        </w:numPr>
        <w:spacing w:line="576" w:lineRule="exact"/>
        <w:ind w:left="0" w:rightChars="155" w:right="326" w:firstLineChars="150" w:firstLine="480"/>
        <w:rPr>
          <w:rFonts w:ascii="楷体_GB2312" w:eastAsia="楷体_GB2312" w:cs="楷体_GB2312"/>
          <w:b/>
          <w:bCs/>
          <w:sz w:val="32"/>
          <w:szCs w:val="32"/>
        </w:rPr>
      </w:pPr>
      <w:r>
        <w:rPr>
          <w:rFonts w:ascii="楷体_GB2312" w:eastAsia="楷体_GB2312" w:cs="楷体_GB2312" w:hint="eastAsia"/>
          <w:b/>
          <w:bCs/>
          <w:sz w:val="32"/>
          <w:szCs w:val="32"/>
        </w:rPr>
        <w:t>资金使用情况</w:t>
      </w:r>
    </w:p>
    <w:p>
      <w:pPr>
        <w:spacing w:line="360" w:lineRule="auto"/>
        <w:ind w:firstLineChars="200" w:firstLine="640"/>
        <w:rPr>
          <w:rFonts w:ascii="仿宋_GB2312" w:eastAsia="仿宋_GB2312" w:cs="仿宋_GB2312"/>
          <w:sz w:val="32"/>
          <w:szCs w:val="32"/>
        </w:rPr>
      </w:pPr>
      <w:r>
        <w:rPr>
          <w:rFonts w:ascii="仿宋_GB2312" w:eastAsia="仿宋_GB2312" w:cs="仿宋_GB2312" w:hint="eastAsia"/>
          <w:sz w:val="32"/>
          <w:szCs w:val="32"/>
        </w:rPr>
        <w:t>截止2022年12月共计支出539500万元，分别如下：</w:t>
      </w:r>
    </w:p>
    <w:p>
      <w:pPr>
        <w:numPr>
          <w:ilvl w:val="0"/>
          <w:numId w:val="7"/>
        </w:numPr>
        <w:spacing w:line="360" w:lineRule="auto"/>
        <w:ind w:left="0" w:firstLineChars="200" w:firstLine="640"/>
        <w:rPr>
          <w:rFonts w:ascii="仿宋_GB2312" w:eastAsia="仿宋_GB2312" w:cs="仿宋_GB2312"/>
          <w:sz w:val="32"/>
          <w:szCs w:val="32"/>
        </w:rPr>
      </w:pPr>
      <w:r>
        <w:rPr>
          <w:rFonts w:ascii="仿宋_GB2312" w:eastAsia="仿宋_GB2312" w:cs="仿宋_GB2312" w:hint="eastAsia"/>
          <w:sz w:val="32"/>
          <w:szCs w:val="32"/>
        </w:rPr>
        <w:t>驾驶培训补贴118500元；</w:t>
      </w:r>
    </w:p>
    <w:p>
      <w:pPr>
        <w:numPr>
          <w:ilvl w:val="0"/>
          <w:numId w:val="7"/>
        </w:numPr>
        <w:spacing w:line="360" w:lineRule="auto"/>
        <w:ind w:left="0" w:firstLineChars="200" w:firstLine="640"/>
        <w:rPr>
          <w:rFonts w:ascii="仿宋_GB2312" w:eastAsia="仿宋_GB2312" w:cs="仿宋_GB2312"/>
          <w:sz w:val="32"/>
          <w:szCs w:val="32"/>
        </w:rPr>
      </w:pPr>
      <w:r>
        <w:rPr>
          <w:rFonts w:ascii="仿宋_GB2312" w:eastAsia="仿宋_GB2312" w:cs="仿宋_GB2312" w:hint="eastAsia"/>
          <w:sz w:val="32"/>
          <w:szCs w:val="32"/>
        </w:rPr>
        <w:t>实用技术培训费116900元；</w:t>
      </w:r>
    </w:p>
    <w:p>
      <w:pPr>
        <w:numPr>
          <w:ilvl w:val="0"/>
          <w:numId w:val="7"/>
        </w:numPr>
        <w:spacing w:line="360" w:lineRule="auto"/>
        <w:ind w:left="0" w:firstLineChars="200" w:firstLine="640"/>
        <w:rPr>
          <w:rFonts w:ascii="仿宋_GB2312" w:eastAsia="仿宋_GB2312" w:cs="仿宋_GB2312"/>
          <w:sz w:val="32"/>
          <w:szCs w:val="32"/>
        </w:rPr>
      </w:pPr>
      <w:r>
        <w:rPr>
          <w:rFonts w:ascii="仿宋_GB2312" w:eastAsia="仿宋_GB2312" w:cs="仿宋_GB2312" w:hint="eastAsia"/>
          <w:sz w:val="32"/>
          <w:szCs w:val="32"/>
        </w:rPr>
        <w:t>招聘活动10000元；</w:t>
      </w:r>
    </w:p>
    <w:p>
      <w:pPr>
        <w:numPr>
          <w:ilvl w:val="0"/>
          <w:numId w:val="7"/>
        </w:numPr>
        <w:spacing w:line="360" w:lineRule="auto"/>
        <w:ind w:left="0" w:firstLineChars="200" w:firstLine="640"/>
        <w:rPr>
          <w:rFonts w:ascii="楷体_GB2312" w:eastAsia="楷体_GB2312" w:cs="楷体_GB2312"/>
          <w:sz w:val="32"/>
          <w:szCs w:val="32"/>
        </w:rPr>
      </w:pPr>
      <w:r>
        <w:rPr>
          <w:rFonts w:ascii="仿宋_GB2312" w:eastAsia="仿宋_GB2312" w:cs="仿宋_GB2312" w:hint="eastAsia"/>
          <w:sz w:val="32"/>
          <w:szCs w:val="32"/>
        </w:rPr>
        <w:t>劳务输出294100元；</w:t>
      </w:r>
    </w:p>
    <w:p>
      <w:pPr>
        <w:spacing w:line="576" w:lineRule="exact"/>
        <w:ind w:rightChars="155" w:right="326" w:firstLineChars="150" w:firstLine="480"/>
        <w:rPr>
          <w:rFonts w:ascii="楷体_GB2312" w:eastAsia="楷体_GB2312" w:cs="楷体_GB2312"/>
          <w:b/>
          <w:sz w:val="32"/>
          <w:szCs w:val="32"/>
          <w:lang w:val="zh-CN"/>
        </w:rPr>
      </w:pPr>
      <w:r>
        <w:rPr>
          <w:rFonts w:ascii="楷体_GB2312" w:eastAsia="楷体_GB2312" w:cs="楷体_GB2312" w:hint="eastAsia"/>
          <w:b/>
          <w:sz w:val="32"/>
          <w:szCs w:val="32"/>
          <w:lang w:val="zh-CN"/>
        </w:rPr>
        <w:t>（</w:t>
      </w:r>
      <w:r>
        <w:rPr>
          <w:rFonts w:ascii="楷体_GB2312" w:eastAsia="楷体_GB2312" w:cs="楷体_GB2312" w:hint="eastAsia"/>
          <w:b/>
          <w:sz w:val="32"/>
          <w:szCs w:val="32"/>
        </w:rPr>
        <w:t>三</w:t>
      </w:r>
      <w:r>
        <w:rPr>
          <w:rFonts w:ascii="楷体_GB2312" w:eastAsia="楷体_GB2312" w:cs="楷体_GB2312" w:hint="eastAsia"/>
          <w:b/>
          <w:sz w:val="32"/>
          <w:szCs w:val="32"/>
          <w:lang w:val="zh-CN"/>
        </w:rPr>
        <w:t>）项目财务管理情况。</w:t>
      </w:r>
    </w:p>
    <w:p>
      <w:pPr>
        <w:spacing w:line="360" w:lineRule="auto"/>
        <w:ind w:left="142" w:firstLineChars="200" w:firstLine="640"/>
        <w:rPr>
          <w:rFonts w:ascii="仿宋_GB2312" w:eastAsia="仿宋_GB2312" w:cs="仿宋_GB2312"/>
          <w:sz w:val="32"/>
          <w:szCs w:val="32"/>
        </w:rPr>
      </w:pPr>
      <w:r>
        <w:rPr>
          <w:rFonts w:ascii="仿宋_GB2312" w:eastAsia="仿宋_GB2312" w:cs="仿宋_GB2312" w:hint="eastAsia"/>
          <w:sz w:val="32"/>
          <w:szCs w:val="32"/>
        </w:rPr>
        <w:t>本单位严格按照文件要求对专项资金进行使用，切实加强中央对地方专项转移支付的资金管理，提高财政资金使用的规范性、安全性和有效性。</w:t>
      </w:r>
    </w:p>
    <w:p>
      <w:pPr>
        <w:spacing w:line="576" w:lineRule="exact"/>
        <w:ind w:rightChars="155" w:right="326" w:firstLineChars="150" w:firstLine="480"/>
        <w:rPr>
          <w:rFonts w:ascii="楷体_GB2312" w:eastAsia="楷体_GB2312" w:cs="楷体_GB2312"/>
          <w:b/>
          <w:sz w:val="32"/>
          <w:szCs w:val="32"/>
          <w:lang w:val="zh-CN"/>
        </w:rPr>
      </w:pPr>
      <w:r>
        <w:rPr>
          <w:rFonts w:ascii="楷体_GB2312" w:eastAsia="楷体_GB2312" w:cs="楷体_GB2312" w:hint="eastAsia"/>
          <w:b/>
          <w:sz w:val="32"/>
          <w:szCs w:val="32"/>
          <w:lang w:val="zh-CN"/>
        </w:rPr>
        <w:t>（</w:t>
      </w:r>
      <w:r>
        <w:rPr>
          <w:rFonts w:ascii="楷体_GB2312" w:eastAsia="楷体_GB2312" w:cs="楷体_GB2312" w:hint="eastAsia"/>
          <w:b/>
          <w:sz w:val="32"/>
          <w:szCs w:val="32"/>
        </w:rPr>
        <w:t>四</w:t>
      </w:r>
      <w:r>
        <w:rPr>
          <w:rFonts w:ascii="楷体_GB2312" w:eastAsia="楷体_GB2312" w:cs="楷体_GB2312" w:hint="eastAsia"/>
          <w:b/>
          <w:sz w:val="32"/>
          <w:szCs w:val="32"/>
          <w:lang w:val="zh-CN"/>
        </w:rPr>
        <w:t>）项目组织实施情况。</w:t>
      </w:r>
    </w:p>
    <w:p>
      <w:pPr>
        <w:spacing w:line="360" w:lineRule="auto"/>
        <w:ind w:firstLineChars="200" w:firstLine="640"/>
        <w:rPr>
          <w:rFonts w:ascii="仿宋_GB2312" w:eastAsia="仿宋_GB2312" w:cs="仿宋_GB2312"/>
          <w:sz w:val="32"/>
          <w:szCs w:val="32"/>
          <w:lang w:val="zh-CN"/>
        </w:rPr>
      </w:pPr>
      <w:r>
        <w:rPr>
          <w:rFonts w:ascii="仿宋_GB2312" w:eastAsia="仿宋_GB2312" w:cs="仿宋_GB2312" w:hint="eastAsia"/>
          <w:sz w:val="32"/>
          <w:szCs w:val="32"/>
          <w:lang w:val="zh-CN"/>
        </w:rPr>
        <w:t>县级财政部门</w:t>
      </w:r>
      <w:r>
        <w:rPr>
          <w:rFonts w:ascii="仿宋_GB2312" w:eastAsia="仿宋_GB2312" w:cs="仿宋_GB2312" w:hint="eastAsia"/>
          <w:sz w:val="32"/>
          <w:szCs w:val="32"/>
        </w:rPr>
        <w:t>预算资金按时足额划拨至我单位，我局严格按照资金管理办法做好预算执行情况统计。</w:t>
      </w:r>
    </w:p>
    <w:p>
      <w:pPr>
        <w:spacing w:line="360" w:lineRule="auto"/>
        <w:ind w:firstLineChars="200" w:firstLine="640"/>
        <w:rPr>
          <w:rFonts w:ascii="仿宋_GB2312" w:eastAsia="仿宋_GB2312" w:cs="仿宋_GB2312"/>
          <w:sz w:val="32"/>
          <w:szCs w:val="32"/>
          <w:lang w:val="zh-CN"/>
        </w:rPr>
      </w:pPr>
      <w:r>
        <w:rPr>
          <w:rFonts w:ascii="仿宋_GB2312" w:eastAsia="仿宋_GB2312" w:cs="仿宋_GB2312" w:hint="eastAsia"/>
          <w:sz w:val="32"/>
          <w:szCs w:val="32"/>
        </w:rPr>
        <w:t>单位在项目资金管理过程中严格按照 “收支两条线”管理；严格按照《会计法》规定的会计科目进行核算。</w:t>
      </w:r>
    </w:p>
    <w:p>
      <w:pPr>
        <w:spacing w:line="360" w:lineRule="auto"/>
        <w:ind w:firstLineChars="200" w:firstLine="640"/>
        <w:rPr>
          <w:rFonts w:ascii="仿宋_GB2312" w:eastAsia="仿宋_GB2312" w:cs="仿宋_GB2312"/>
          <w:sz w:val="32"/>
          <w:szCs w:val="32"/>
        </w:rPr>
      </w:pPr>
      <w:r>
        <w:rPr>
          <w:rFonts w:ascii="仿宋_GB2312" w:eastAsia="仿宋_GB2312" w:cs="仿宋_GB2312" w:hint="eastAsia"/>
          <w:sz w:val="32"/>
          <w:szCs w:val="32"/>
        </w:rPr>
        <w:t>单位按时向县级财政部门报送资金使用支付进度情况，同时做好与财政部门、金融机构的对账工作，切实加强资金监管，确保专款专用。</w:t>
      </w:r>
    </w:p>
    <w:p>
      <w:pPr>
        <w:numPr>
          <w:ilvl w:val="0"/>
          <w:numId w:val="8"/>
        </w:numPr>
        <w:spacing w:line="576" w:lineRule="exact"/>
        <w:ind w:leftChars="152" w:left="319" w:firstLineChars="100" w:firstLine="320"/>
        <w:rPr>
          <w:rFonts w:ascii="黑体" w:eastAsia="黑体" w:cs="黑体"/>
          <w:b/>
          <w:bCs/>
          <w:sz w:val="32"/>
          <w:szCs w:val="32"/>
        </w:rPr>
      </w:pPr>
      <w:r>
        <w:rPr>
          <w:rFonts w:ascii="黑体" w:eastAsia="黑体" w:cs="黑体" w:hint="eastAsia"/>
          <w:b/>
          <w:bCs/>
          <w:sz w:val="32"/>
          <w:szCs w:val="32"/>
        </w:rPr>
        <w:t>项目绩效情况</w:t>
      </w:r>
    </w:p>
    <w:p>
      <w:pPr>
        <w:numPr>
          <w:ilvl w:val="0"/>
          <w:numId w:val="9"/>
        </w:numPr>
        <w:spacing w:line="576" w:lineRule="exact"/>
        <w:ind w:leftChars="252" w:left="529"/>
        <w:rPr>
          <w:rFonts w:ascii="楷体_GB2312" w:eastAsia="楷体_GB2312" w:cs="楷体_GB2312"/>
          <w:b/>
          <w:sz w:val="32"/>
          <w:szCs w:val="32"/>
        </w:rPr>
      </w:pPr>
      <w:r>
        <w:rPr>
          <w:rFonts w:ascii="楷体_GB2312" w:eastAsia="楷体_GB2312" w:cs="楷体_GB2312" w:hint="eastAsia"/>
          <w:b/>
          <w:sz w:val="32"/>
          <w:szCs w:val="32"/>
          <w:lang w:val="zh-CN"/>
        </w:rPr>
        <w:t>项目完成情况。</w:t>
      </w:r>
    </w:p>
    <w:p>
      <w:pPr>
        <w:spacing w:line="360" w:lineRule="auto"/>
        <w:ind w:left="140" w:firstLineChars="200" w:firstLine="640"/>
        <w:rPr>
          <w:rFonts w:ascii="仿宋_GB2312" w:eastAsia="仿宋_GB2312" w:cs="仿宋_GB2312"/>
          <w:sz w:val="32"/>
          <w:szCs w:val="32"/>
        </w:rPr>
      </w:pPr>
      <w:r>
        <w:rPr>
          <w:rFonts w:ascii="仿宋_GB2312" w:eastAsia="仿宋_GB2312" w:cs="仿宋_GB2312" w:hint="eastAsia"/>
          <w:sz w:val="32"/>
          <w:szCs w:val="32"/>
        </w:rPr>
        <w:t>上级拨付我局省内对口帮扶劳务协作项目资金，</w:t>
      </w:r>
      <w:r>
        <w:rPr>
          <w:rFonts w:ascii="仿宋_GB2312" w:eastAsia="仿宋_GB2312" w:cs="仿宋_GB2312" w:hint="eastAsia"/>
          <w:sz w:val="32"/>
          <w:szCs w:val="32"/>
          <w:lang w:val="zh-CN"/>
        </w:rPr>
        <w:t>按照专项资金管理办法，做到专款专用，完成各项</w:t>
      </w:r>
      <w:r>
        <w:rPr>
          <w:rFonts w:ascii="仿宋_GB2312" w:eastAsia="仿宋_GB2312" w:cs="仿宋_GB2312" w:hint="eastAsia"/>
          <w:sz w:val="32"/>
          <w:szCs w:val="32"/>
        </w:rPr>
        <w:t>预定绩效</w:t>
      </w:r>
      <w:r>
        <w:rPr>
          <w:rFonts w:ascii="仿宋_GB2312" w:eastAsia="仿宋_GB2312" w:cs="仿宋_GB2312" w:hint="eastAsia"/>
          <w:sz w:val="32"/>
          <w:szCs w:val="32"/>
          <w:lang w:val="zh-CN"/>
        </w:rPr>
        <w:t>目标。</w:t>
      </w:r>
      <w:r>
        <w:rPr>
          <w:rFonts w:ascii="仿宋_GB2312" w:eastAsia="仿宋_GB2312" w:cs="仿宋_GB2312" w:hint="eastAsia"/>
          <w:sz w:val="32"/>
          <w:szCs w:val="32"/>
        </w:rPr>
        <w:t xml:space="preserve">   </w:t>
      </w:r>
    </w:p>
    <w:p>
      <w:pPr>
        <w:numPr>
          <w:ilvl w:val="0"/>
          <w:numId w:val="9"/>
        </w:numPr>
        <w:spacing w:line="576" w:lineRule="exact"/>
        <w:ind w:leftChars="252" w:left="529"/>
        <w:rPr>
          <w:rFonts w:ascii="楷体_GB2312" w:eastAsia="楷体_GB2312" w:cs="楷体_GB2312"/>
          <w:b/>
          <w:sz w:val="32"/>
          <w:szCs w:val="32"/>
        </w:rPr>
      </w:pPr>
      <w:r>
        <w:rPr>
          <w:rFonts w:ascii="楷体_GB2312" w:eastAsia="楷体_GB2312" w:cs="楷体_GB2312" w:hint="eastAsia"/>
          <w:b/>
          <w:sz w:val="32"/>
          <w:szCs w:val="32"/>
        </w:rPr>
        <w:t>项目效益情况</w:t>
      </w:r>
    </w:p>
    <w:p>
      <w:pPr>
        <w:spacing w:line="360" w:lineRule="auto"/>
        <w:ind w:left="140" w:firstLineChars="200" w:firstLine="640"/>
        <w:rPr>
          <w:rFonts w:ascii="仿宋_GB2312" w:eastAsia="仿宋_GB2312" w:cs="仿宋_GB2312"/>
          <w:sz w:val="32"/>
          <w:szCs w:val="32"/>
        </w:rPr>
      </w:pPr>
      <w:r>
        <w:rPr>
          <w:rFonts w:ascii="仿宋_GB2312" w:eastAsia="仿宋_GB2312" w:cs="仿宋_GB2312" w:hint="eastAsia"/>
          <w:sz w:val="32"/>
          <w:szCs w:val="32"/>
        </w:rPr>
        <w:t>通过开展的技术培训、发放稳定就业补助等方式，提升了茂县籍城乡劳动者职业技能水平，增加务工人员收入；招聘活动的开展，整合企业资源信息，提供就业岗位，便于求职者积累求职经验、提升就业能力，同时使其获得更多就业机会。此次专项资金项目的实施，获得城乡劳动者的一致好评。</w:t>
      </w:r>
    </w:p>
    <w:p>
      <w:pPr>
        <w:spacing w:line="360" w:lineRule="auto"/>
        <w:ind w:firstLineChars="200" w:firstLine="640"/>
        <w:rPr>
          <w:rFonts w:ascii="仿宋_GB2312" w:eastAsia="仿宋_GB2312" w:cs="仿宋_GB2312"/>
          <w:sz w:val="32"/>
          <w:szCs w:val="32"/>
        </w:rPr>
      </w:pPr>
      <w:r>
        <w:rPr>
          <w:rFonts w:ascii="仿宋_GB2312" w:eastAsia="仿宋_GB2312" w:cs="仿宋_GB2312" w:hint="eastAsia"/>
          <w:sz w:val="32"/>
          <w:szCs w:val="32"/>
        </w:rPr>
        <w:t>此次协作项目的实施，有助于加强眉山、茂县两地人民群众文化交流，增进汉、羌民族之间的相互了解，对于维护民族团结和国家统一，建设长治久安的新农村有很大的推进作用。</w:t>
      </w:r>
    </w:p>
    <w:p>
      <w:pPr>
        <w:pStyle w:val="20"/>
        <w:tabs>
          <w:tab w:val="center" w:pos="4153"/>
          <w:tab w:val="right" w:pos="8306"/>
        </w:tabs>
        <w:rPr>
          <w:rFonts w:ascii="仿宋_GB2312" w:eastAsia="仿宋_GB2312" w:cs="仿宋_GB2312"/>
          <w:sz w:val="32"/>
          <w:szCs w:val="32"/>
        </w:rPr>
      </w:pPr>
    </w:p>
    <w:p>
      <w:pPr>
        <w:pStyle w:val="25"/>
        <w:widowControl/>
        <w:spacing w:line="576" w:lineRule="exact"/>
        <w:rPr>
          <w:rFonts w:ascii="黑体" w:eastAsia="黑体" w:cs="黑体"/>
        </w:rPr>
      </w:pPr>
    </w:p>
    <w:p>
      <w:pPr>
        <w:spacing w:line="576" w:lineRule="exact"/>
        <w:jc w:val="center"/>
        <w:outlineLvl w:val="0"/>
        <w:rPr>
          <w:rFonts w:ascii="黑体" w:eastAsia="黑体"/>
          <w:color w:val="000000"/>
          <w:sz w:val="44"/>
          <w:szCs w:val="44"/>
        </w:rPr>
      </w:pPr>
      <w:bookmarkStart w:id="66" w:name="_Toc7045"/>
      <w:bookmarkEnd w:id="58"/>
      <w:bookmarkEnd w:id="59"/>
      <w:bookmarkEnd w:id="60"/>
      <w:bookmarkEnd w:id="61"/>
      <w:r>
        <w:rPr>
          <w:rFonts w:ascii="黑体" w:eastAsia="黑体" w:hint="eastAsia"/>
          <w:color w:val="000000"/>
          <w:sz w:val="44"/>
          <w:szCs w:val="44"/>
        </w:rPr>
        <w:t>第五部分 附表</w:t>
      </w:r>
      <w:bookmarkEnd w:id="66"/>
    </w:p>
    <w:p>
      <w:pPr>
        <w:pStyle w:val="2"/>
        <w:spacing w:line="576" w:lineRule="exact"/>
        <w:rPr>
          <w:rFonts w:ascii="仿宋" w:eastAsia="仿宋" w:cs="Times New Roman"/>
          <w:b w:val="0"/>
          <w:color w:val="000000"/>
        </w:rPr>
      </w:pPr>
      <w:bookmarkStart w:id="67" w:name="_Toc28912"/>
      <w:r>
        <w:rPr>
          <w:rFonts w:ascii="仿宋" w:eastAsia="仿宋" w:cs="Times New Roman" w:hint="eastAsia"/>
          <w:b w:val="0"/>
          <w:color w:val="000000"/>
        </w:rPr>
        <w:t>一、收入支出决算总表</w:t>
      </w:r>
      <w:bookmarkEnd w:id="67"/>
    </w:p>
    <w:p>
      <w:pPr>
        <w:pStyle w:val="2"/>
        <w:spacing w:line="576" w:lineRule="exact"/>
        <w:rPr>
          <w:rFonts w:ascii="仿宋" w:eastAsia="仿宋" w:cs="Times New Roman"/>
          <w:b w:val="0"/>
          <w:color w:val="000000"/>
        </w:rPr>
      </w:pPr>
      <w:bookmarkStart w:id="68" w:name="_Toc15691"/>
      <w:r>
        <w:rPr>
          <w:rFonts w:ascii="仿宋" w:eastAsia="仿宋" w:cs="Times New Roman" w:hint="eastAsia"/>
          <w:b w:val="0"/>
          <w:color w:val="000000"/>
        </w:rPr>
        <w:t>二、收入决算表</w:t>
      </w:r>
      <w:bookmarkEnd w:id="68"/>
    </w:p>
    <w:p>
      <w:pPr>
        <w:pStyle w:val="2"/>
        <w:spacing w:line="576" w:lineRule="exact"/>
        <w:rPr>
          <w:rFonts w:ascii="仿宋" w:eastAsia="仿宋" w:cs="Times New Roman"/>
          <w:b w:val="0"/>
          <w:color w:val="000000"/>
        </w:rPr>
      </w:pPr>
      <w:bookmarkStart w:id="69" w:name="_Toc11856"/>
      <w:r>
        <w:rPr>
          <w:rFonts w:ascii="仿宋" w:eastAsia="仿宋" w:cs="Times New Roman" w:hint="eastAsia"/>
          <w:b w:val="0"/>
          <w:color w:val="000000"/>
        </w:rPr>
        <w:t>三、支出决算表</w:t>
      </w:r>
      <w:bookmarkEnd w:id="69"/>
    </w:p>
    <w:p>
      <w:pPr>
        <w:pStyle w:val="2"/>
        <w:spacing w:line="576" w:lineRule="exact"/>
        <w:rPr>
          <w:rFonts w:ascii="仿宋" w:eastAsia="仿宋" w:cs="Times New Roman"/>
          <w:b w:val="0"/>
          <w:color w:val="000000"/>
        </w:rPr>
      </w:pPr>
      <w:bookmarkStart w:id="70" w:name="_Toc25907"/>
      <w:r>
        <w:rPr>
          <w:rFonts w:ascii="仿宋" w:eastAsia="仿宋" w:cs="Times New Roman" w:hint="eastAsia"/>
          <w:b w:val="0"/>
          <w:color w:val="000000"/>
        </w:rPr>
        <w:t>四、财政拨款收入支出决算总表</w:t>
      </w:r>
      <w:bookmarkEnd w:id="70"/>
    </w:p>
    <w:p>
      <w:pPr>
        <w:pStyle w:val="2"/>
        <w:spacing w:line="576" w:lineRule="exact"/>
        <w:rPr>
          <w:rFonts w:ascii="仿宋" w:eastAsia="仿宋" w:cs="Times New Roman"/>
          <w:b w:val="0"/>
          <w:color w:val="000000"/>
        </w:rPr>
      </w:pPr>
      <w:bookmarkStart w:id="71" w:name="_Toc15912"/>
      <w:r>
        <w:rPr>
          <w:rFonts w:ascii="仿宋" w:eastAsia="仿宋" w:cs="Times New Roman" w:hint="eastAsia"/>
          <w:b w:val="0"/>
          <w:color w:val="000000"/>
        </w:rPr>
        <w:t>五、财政拨款支出决算明细表</w:t>
      </w:r>
      <w:bookmarkEnd w:id="71"/>
    </w:p>
    <w:p>
      <w:pPr>
        <w:pStyle w:val="2"/>
        <w:spacing w:line="576" w:lineRule="exact"/>
        <w:rPr>
          <w:rFonts w:ascii="仿宋" w:eastAsia="仿宋" w:cs="Times New Roman"/>
          <w:b w:val="0"/>
          <w:color w:val="000000"/>
        </w:rPr>
      </w:pPr>
      <w:bookmarkStart w:id="72" w:name="_Toc10267"/>
      <w:r>
        <w:rPr>
          <w:rFonts w:ascii="仿宋" w:eastAsia="仿宋" w:cs="Times New Roman" w:hint="eastAsia"/>
          <w:b w:val="0"/>
          <w:color w:val="000000"/>
        </w:rPr>
        <w:t>六、一般公共预算财政拨款支出决算表</w:t>
      </w:r>
      <w:bookmarkEnd w:id="72"/>
    </w:p>
    <w:p>
      <w:pPr>
        <w:pStyle w:val="2"/>
        <w:spacing w:line="576" w:lineRule="exact"/>
        <w:rPr>
          <w:rFonts w:ascii="仿宋" w:eastAsia="仿宋" w:cs="Times New Roman"/>
          <w:b w:val="0"/>
          <w:color w:val="000000"/>
        </w:rPr>
      </w:pPr>
      <w:bookmarkStart w:id="73" w:name="_Toc703"/>
      <w:r>
        <w:rPr>
          <w:rFonts w:ascii="仿宋" w:eastAsia="仿宋" w:cs="Times New Roman" w:hint="eastAsia"/>
          <w:b w:val="0"/>
          <w:color w:val="000000"/>
        </w:rPr>
        <w:t>七、一般公共预算财政拨款支出决算明细表</w:t>
      </w:r>
      <w:bookmarkEnd w:id="73"/>
    </w:p>
    <w:p>
      <w:pPr>
        <w:pStyle w:val="2"/>
        <w:spacing w:line="576" w:lineRule="exact"/>
        <w:rPr>
          <w:rFonts w:ascii="仿宋" w:eastAsia="仿宋" w:cs="Times New Roman"/>
          <w:b w:val="0"/>
          <w:color w:val="000000"/>
        </w:rPr>
      </w:pPr>
      <w:bookmarkStart w:id="74" w:name="_Toc1164"/>
      <w:r>
        <w:rPr>
          <w:rFonts w:ascii="仿宋" w:eastAsia="仿宋" w:cs="Times New Roman" w:hint="eastAsia"/>
          <w:b w:val="0"/>
          <w:color w:val="000000"/>
        </w:rPr>
        <w:t>八、一般公共预算财政拨款基本支出决算表</w:t>
      </w:r>
      <w:bookmarkEnd w:id="74"/>
    </w:p>
    <w:p>
      <w:pPr>
        <w:pStyle w:val="2"/>
        <w:spacing w:line="576" w:lineRule="exact"/>
        <w:rPr>
          <w:rFonts w:ascii="仿宋" w:eastAsia="仿宋" w:cs="Times New Roman"/>
          <w:b w:val="0"/>
          <w:color w:val="000000"/>
        </w:rPr>
      </w:pPr>
      <w:bookmarkStart w:id="75" w:name="_Toc30827"/>
      <w:r>
        <w:rPr>
          <w:rFonts w:ascii="仿宋" w:eastAsia="仿宋" w:cs="Times New Roman" w:hint="eastAsia"/>
          <w:b w:val="0"/>
          <w:color w:val="000000"/>
        </w:rPr>
        <w:t>九、一般公共预算财政拨款项目支出决算表</w:t>
      </w:r>
      <w:bookmarkEnd w:id="75"/>
    </w:p>
    <w:p>
      <w:pPr>
        <w:pStyle w:val="2"/>
        <w:spacing w:line="576" w:lineRule="exact"/>
        <w:rPr>
          <w:rFonts w:ascii="仿宋" w:eastAsia="仿宋" w:cs="Times New Roman"/>
          <w:b w:val="0"/>
          <w:color w:val="000000"/>
        </w:rPr>
      </w:pPr>
      <w:bookmarkStart w:id="76" w:name="_Toc26030"/>
      <w:r>
        <w:rPr>
          <w:rFonts w:ascii="仿宋" w:eastAsia="仿宋" w:cs="Times New Roman" w:hint="eastAsia"/>
          <w:b w:val="0"/>
          <w:color w:val="000000"/>
        </w:rPr>
        <w:t>十、政府性基金预算财政拨款收入支出决算表</w:t>
      </w:r>
      <w:bookmarkEnd w:id="76"/>
    </w:p>
    <w:p>
      <w:pPr>
        <w:pStyle w:val="2"/>
        <w:spacing w:line="576" w:lineRule="exact"/>
        <w:rPr>
          <w:rFonts w:ascii="仿宋" w:eastAsia="仿宋" w:cs="Times New Roman"/>
          <w:b w:val="0"/>
          <w:color w:val="000000"/>
        </w:rPr>
      </w:pPr>
      <w:bookmarkStart w:id="77" w:name="_Toc25909"/>
      <w:r>
        <w:rPr>
          <w:rFonts w:ascii="仿宋" w:eastAsia="仿宋" w:cs="Times New Roman" w:hint="eastAsia"/>
          <w:b w:val="0"/>
          <w:color w:val="000000"/>
        </w:rPr>
        <w:t>十一、国有资本经营预算财政拨款收入支出决算表</w:t>
      </w:r>
      <w:bookmarkEnd w:id="77"/>
    </w:p>
    <w:p>
      <w:pPr>
        <w:pStyle w:val="2"/>
        <w:spacing w:line="576" w:lineRule="exact"/>
        <w:rPr>
          <w:rFonts w:ascii="仿宋" w:eastAsia="仿宋" w:cs="Times New Roman"/>
          <w:b w:val="0"/>
          <w:color w:val="000000"/>
        </w:rPr>
      </w:pPr>
      <w:bookmarkStart w:id="78" w:name="_Toc27357"/>
      <w:r>
        <w:rPr>
          <w:rFonts w:ascii="仿宋" w:eastAsia="仿宋" w:cs="Times New Roman" w:hint="eastAsia"/>
          <w:b w:val="0"/>
          <w:color w:val="000000"/>
        </w:rPr>
        <w:t>十二、国有资本经营预算财政拨款支出决算表</w:t>
      </w:r>
      <w:bookmarkEnd w:id="78"/>
    </w:p>
    <w:p>
      <w:pPr>
        <w:pStyle w:val="2"/>
        <w:spacing w:line="576" w:lineRule="exact"/>
        <w:rPr>
          <w:rFonts w:ascii="仿宋" w:eastAsia="仿宋" w:cs="Times New Roman"/>
          <w:b w:val="0"/>
          <w:color w:val="000000"/>
        </w:rPr>
      </w:pPr>
      <w:bookmarkStart w:id="79" w:name="_Toc32413"/>
      <w:r>
        <w:rPr>
          <w:rFonts w:ascii="仿宋" w:eastAsia="仿宋" w:cs="Times New Roman" w:hint="eastAsia"/>
          <w:b w:val="0"/>
          <w:color w:val="000000"/>
        </w:rPr>
        <w:t>十三、财政拨款“三公”经费支出决算表</w:t>
      </w:r>
      <w:bookmarkEnd w:id="79"/>
    </w:p>
    <w:p>
      <w:pPr>
        <w:pStyle w:val="2"/>
        <w:ind w:firstLineChars="200" w:firstLine="640"/>
        <w:rPr>
          <w:rFonts w:ascii="黑体" w:eastAsia="黑体" w:cs="黑体"/>
          <w:b w:val="0"/>
          <w:color w:val="000000"/>
        </w:rPr>
      </w:pPr>
    </w:p>
    <w:sectPr>
      <w:headerReference w:type="default" r:id="rId2"/>
      <w:footerReference w:type="default" r:id="rId3"/>
      <w:pgSz w:w="11906" w:h="16838"/>
      <w:pgMar w:top="1440" w:right="1800" w:bottom="1440" w:left="1800" w:header="851" w:footer="992" w:gutter="0"/>
      <w:pgNumType w:start="1"/>
      <w:titlePg/>
      <w:docGrid w:type="lines" w:linePitch="312" w:charSpace="0"/>
    </w:sectPr>
  </w:body>
</w:document>
</file>

<file path=word/fontTable.xml><?xml version="1.0" encoding="utf-8"?>
<w:fonts xmlns:w="http://schemas.openxmlformats.org/wordprocessingml/2006/main" xmlns:r="http://schemas.openxmlformats.org/officeDocument/2006/relationships">
  <w:font w:name="方正小标宋简体">
    <w:panose1 w:val="03000509000000000000"/>
    <w:charset w:val="86"/>
    <w:family w:val="script"/>
    <w:pitch w:val="variable"/>
    <w:sig w:usb0="00000001" w:usb1="080E0000" w:usb2="00000000" w:usb3="00000000" w:csb0="00040000" w:csb1="00000000"/>
  </w:font>
  <w:font w:name="宋体">
    <w:panose1 w:val="02010600030101010101"/>
    <w:charset w:val="7A"/>
    <w:family w:val="auto"/>
    <w:pitch w:val="variable"/>
    <w:sig w:usb0="00000003" w:usb1="288F0000" w:usb2="00000006" w:usb3="00000000" w:csb0="00040001" w:csb1="00000000"/>
  </w:font>
  <w:font w:name="仿宋_GB2312">
    <w:panose1 w:val="02010609030101010101"/>
    <w:charset w:val="86"/>
    <w:family w:val="modern"/>
    <w:pitch w:val="variable"/>
    <w:sig w:usb0="00000001" w:usb1="080E0000" w:usb2="00000000" w:usb3="00000000" w:csb0="00040000" w:csb1="00000000"/>
  </w:font>
  <w:font w:name="黑体">
    <w:panose1 w:val="02010609060101010101"/>
    <w:charset w:val="86"/>
    <w:family w:val="auto"/>
    <w:pitch w:val="variable"/>
    <w:sig w:usb0="800002BF" w:usb1="38CF7CFA" w:usb2="00000016" w:usb3="00000000" w:csb0="00040001" w:csb1="00000000"/>
  </w:font>
  <w:font w:name="仿宋">
    <w:panose1 w:val="02010609060101010101"/>
    <w:charset w:val="86"/>
    <w:family w:val="modern"/>
    <w:pitch w:val="variable"/>
    <w:sig w:usb0="800002BF" w:usb1="38CF7CFA" w:usb2="00000016" w:usb3="00000000" w:csb0="00040001" w:csb1="00000000"/>
  </w:font>
  <w:font w:name="Times New Roman">
    <w:panose1 w:val="02020603050405020304"/>
    <w:charset w:val="CC"/>
    <w:family w:val="roman"/>
    <w:pitch w:val="variable"/>
    <w:sig w:usb0="E0002EFF" w:usb1="C000785B" w:usb2="00000009" w:usb3="00000000" w:csb0="400001FF" w:csb1="FFFF0000"/>
  </w:font>
  <w:font w:name="楷体_GB2312">
    <w:altName w:val="楷体"/>
    <w:panose1 w:val="00000000000000000000"/>
    <w:charset w:val="00"/>
    <w:family w:val="auto"/>
    <w:pitch w:val="variable"/>
    <w:sig w:usb0="00000000" w:usb1="00000000" w:usb2="00000000" w:usb3="00000000" w:csb0="00000000" w:csb1="00000000"/>
  </w:font>
  <w:font w:name="Cambria">
    <w:altName w:val="DejaVu Sans"/>
    <w:panose1 w:val="02040503050406030204"/>
    <w:charset w:val="00"/>
    <w:family w:val="roman"/>
    <w:pitch w:val="variable"/>
    <w:sig w:usb0="E00006FF" w:usb1="420024FF" w:usb2="02000000" w:usb3="00000000" w:csb0="2000019F" w:csb1="00000000"/>
  </w:font>
  <w:font w:name="Calibri">
    <w:altName w:val="Times New Roman"/>
    <w:panose1 w:val="020F0502020204030204"/>
    <w:charset w:val="00"/>
    <w:family w:val="swiss"/>
    <w:pitch w:val="variable"/>
    <w:sig w:usb0="E4002EFF" w:usb1="C000247B" w:usb2="00000009" w:usb3="00000000" w:csb0="200001FF" w:csb1="00000000"/>
  </w:font>
  <w:font w:name="Arial">
    <w:altName w:val="DejaVu Sans"/>
    <w:panose1 w:val="020B0604020202020204"/>
    <w:charset w:val="01"/>
    <w:family w:val="swiss"/>
    <w:pitch w:val="variable"/>
    <w:sig w:usb0="E0002EFF" w:usb1="C000785B" w:usb2="00000009" w:usb3="00000000" w:csb0="400001FF" w:csb1="FFFF0000"/>
  </w:font>
</w:fonts>
</file>

<file path=word/footer1.xml><?xml version="1.0" encoding="utf-8"?>
<w:ftr xmlns:w="http://schemas.openxmlformats.org/wordprocessingml/2006/main" xmlns:o="urn:schemas-microsoft-com:office:office" xmlns:r="http://schemas.openxmlformats.org/officeDocument/2006/relationships" xmlns:m="http://schemas.openxmlformats.org/officeDocument/2006/math" xmlns:v="urn:schemas-microsoft-com:vml" xmlns:a="http://schemas.openxmlformats.org/drawingml/2006/main" xmlns:wps="http://schemas.microsoft.com/office/word/2010/wordprocessingShape" xmlns:wp="http://schemas.openxmlformats.org/drawingml/2006/wordprocessingDrawing" xmlns:pic="http://schemas.openxmlformats.org/drawingml/2006/picture" xmlns:mc="http://schemas.openxmlformats.org/markup-compatibility/2006" xmlns:wpg="http://schemas.microsoft.com/office/word/2010/wordprocessingGroup" xmlns:wpc="http://schemas.microsoft.com/office/word/2010/wordprocessingCanvas" xmlns:w10="urn:schemas-microsoft-com:office:word" xmlns:w14="http://schemas.microsoft.com/office/word/2010/wordml" xmlns:w15="http://schemas.microsoft.com/office/word/2012/wordml" xmlns:a14="http://schemas.microsoft.com/office/drawing/2010/main" mc:Ignorable="w14 w15">
  <w:sdt>
    <w:sdtPr>
      <w:id w:val="294347041"/>
    </w:sdtPr>
    <w:sdtContent>
      <w:p>
        <w:pPr>
          <w:pStyle w:val="20"/>
          <w:tabs>
            <w:tab w:val="center" w:pos="4153"/>
            <w:tab w:val="right" w:pos="8306"/>
          </w:tabs>
          <w:jc w:val="center"/>
        </w:pPr>
        <w:r>
          <w:fldChar w:fldCharType="begin"/>
        </w:r>
        <w:r>
          <w:instrText>PAGE   \* MERGEFORMAT</w:instrText>
        </w:r>
        <w:r>
          <w:fldChar w:fldCharType="separate"/>
        </w:r>
        <w:r>
          <w:rPr>
            <w:lang w:val="zh-CN"/>
          </w:rPr>
          <w:t>39</w:t>
        </w:r>
        <w:r>
          <w:rPr>
            <w:lang w:val="zh-CN"/>
          </w:rPr>
          <w:fldChar w:fldCharType="end"/>
        </w:r>
      </w:p>
    </w:sdtContent>
  </w:sdt>
  <w:p>
    <w:pPr>
      <w:pStyle w:val="20"/>
      <w:tabs>
        <w:tab w:val="center" w:pos="4153"/>
        <w:tab w:val="right" w:pos="8306"/>
      </w:tabs>
    </w:pPr>
  </w:p>
</w:ftr>
</file>

<file path=word/header1.xml><?xml version="1.0" encoding="utf-8"?>
<w:hdr xmlns:w="http://schemas.openxmlformats.org/wordprocessingml/2006/main" xmlns:o="urn:schemas-microsoft-com:office:office" xmlns:r="http://schemas.openxmlformats.org/officeDocument/2006/relationships" xmlns:m="http://schemas.openxmlformats.org/officeDocument/2006/math" xmlns:v="urn:schemas-microsoft-com:vml" xmlns:a="http://schemas.openxmlformats.org/drawingml/2006/main" xmlns:wps="http://schemas.microsoft.com/office/word/2010/wordprocessingShape" xmlns:wp="http://schemas.openxmlformats.org/drawingml/2006/wordprocessingDrawing" xmlns:pic="http://schemas.openxmlformats.org/drawingml/2006/picture" xmlns:mc="http://schemas.openxmlformats.org/markup-compatibility/2006" xmlns:wpg="http://schemas.microsoft.com/office/word/2010/wordprocessingGroup" xmlns:wpc="http://schemas.microsoft.com/office/word/2010/wordprocessingCanvas" xmlns:w10="urn:schemas-microsoft-com:office:word" xmlns:w14="http://schemas.microsoft.com/office/word/2010/wordml" xmlns:w15="http://schemas.microsoft.com/office/word/2012/wordml" xmlns:a14="http://schemas.microsoft.com/office/drawing/2010/main" mc:Ignorable="w14 w15">
  <w:p>
    <w:pPr>
      <w:pStyle w:val="21"/>
      <w:pBdr>
        <w:bottom w:val="none" w:sz="0" w:space="0" w:color="auto"/>
      </w:pBdr>
      <w:tabs>
        <w:tab w:val="center" w:pos="4153"/>
        <w:tab w:val="right" w:pos="8306"/>
      </w:tabs>
    </w:pPr>
  </w:p>
</w:hdr>
</file>

<file path=word/numbering.xml><?xml version="1.0" encoding="utf-8"?>
<w:numbering xmlns:w="http://schemas.openxmlformats.org/wordprocessingml/2006/main" xmlns:o="urn:schemas-microsoft-com:office:office" xmlns:r="http://schemas.openxmlformats.org/officeDocument/2006/relationships" xmlns:m="http://schemas.openxmlformats.org/officeDocument/2006/math" xmlns:v="urn:schemas-microsoft-com:vml" xmlns:mc="http://schemas.openxmlformats.org/markup-compatibility/2006" xmlns:w14="http://schemas.microsoft.com/office/word/2010/wordml">
  <w:abstractNum w:abstractNumId="0">
    <w:nsid w:val="40B7B42C"/>
    <w:multiLevelType w:val="singleLevel"/>
    <w:tmpl w:val="40B7B42C"/>
    <w:lvl w:ilvl="0">
      <w:start w:val="2"/>
      <w:numFmt w:val="chineseCounting"/>
      <w:lvlRestart w:val="0"/>
      <w:suff w:val="nothing"/>
      <w:lvlText w:val="（%1）"/>
      <w:lvlJc w:val="left"/>
      <w:pPr>
        <w:ind w:left="0" w:hanging="0"/>
      </w:pPr>
      <w:rPr>
        <w:rFonts w:hint="eastAsia"/>
      </w:rPr>
    </w:lvl>
  </w:abstractNum>
  <w:abstractNum w:abstractNumId="1">
    <w:nsid w:val="9841E215"/>
    <w:multiLevelType w:val="singleLevel"/>
    <w:tmpl w:val="9841E215"/>
    <w:lvl w:ilvl="0">
      <w:start w:val="2"/>
      <w:numFmt w:val="chineseCounting"/>
      <w:lvlRestart w:val="0"/>
      <w:suff w:val="nothing"/>
      <w:lvlText w:val="（%1）"/>
      <w:lvlJc w:val="left"/>
      <w:pPr>
        <w:ind w:left="0" w:hanging="0"/>
      </w:pPr>
      <w:rPr>
        <w:rFonts w:hint="eastAsia"/>
      </w:rPr>
    </w:lvl>
  </w:abstractNum>
  <w:abstractNum w:abstractNumId="2">
    <w:nsid w:val="C1495209"/>
    <w:multiLevelType w:val="singleLevel"/>
    <w:tmpl w:val="C1495209"/>
    <w:lvl w:ilvl="0">
      <w:start w:val="1"/>
      <w:numFmt w:val="decimal"/>
      <w:lvlRestart w:val="0"/>
      <w:suff w:val="nothing"/>
      <w:lvlText w:val="%1、"/>
      <w:lvlJc w:val="left"/>
      <w:pPr>
        <w:ind w:left="0" w:hanging="0"/>
      </w:pPr>
    </w:lvl>
  </w:abstractNum>
  <w:abstractNum w:abstractNumId="3">
    <w:nsid w:val="8E8B0CB1"/>
    <w:multiLevelType w:val="singleLevel"/>
    <w:tmpl w:val="8E8B0CB1"/>
    <w:lvl w:ilvl="0">
      <w:start w:val="1"/>
      <w:numFmt w:val="chineseCounting"/>
      <w:lvlRestart w:val="0"/>
      <w:suff w:val="nothing"/>
      <w:lvlText w:val="%1、"/>
      <w:lvlJc w:val="left"/>
      <w:pPr>
        <w:ind w:left="0" w:hanging="0"/>
      </w:pPr>
      <w:rPr>
        <w:rFonts w:hint="eastAsia"/>
      </w:rPr>
    </w:lvl>
  </w:abstractNum>
  <w:abstractNum w:abstractNumId="4">
    <w:nsid w:val="2D4AF057"/>
    <w:multiLevelType w:val="singleLevel"/>
    <w:tmpl w:val="2D4AF057"/>
    <w:lvl w:ilvl="0">
      <w:start w:val="2"/>
      <w:numFmt w:val="chineseCounting"/>
      <w:lvlRestart w:val="0"/>
      <w:suff w:val="nothing"/>
      <w:lvlText w:val="（%1）"/>
      <w:lvlJc w:val="left"/>
      <w:pPr>
        <w:ind w:left="0" w:hanging="0"/>
      </w:pPr>
      <w:rPr>
        <w:rFonts w:hint="eastAsia"/>
      </w:rPr>
    </w:lvl>
  </w:abstractNum>
  <w:abstractNum w:abstractNumId="5">
    <w:nsid w:val="571333A6"/>
    <w:multiLevelType w:val="singleLevel"/>
    <w:tmpl w:val="571333A6"/>
    <w:lvl w:ilvl="0">
      <w:start w:val="1"/>
      <w:numFmt w:val="decimal"/>
      <w:lvlRestart w:val="0"/>
      <w:suff w:val="nothing"/>
      <w:lvlText w:val="%1、"/>
      <w:lvlJc w:val="left"/>
      <w:pPr>
        <w:ind w:left="0" w:hanging="0"/>
      </w:pPr>
    </w:lvl>
  </w:abstractNum>
  <w:abstractNum w:abstractNumId="6">
    <w:nsid w:val="8FA88BAA"/>
    <w:multiLevelType w:val="singleLevel"/>
    <w:tmpl w:val="8FA88BAA"/>
    <w:lvl w:ilvl="0">
      <w:start w:val="1"/>
      <w:numFmt w:val="decimal"/>
      <w:lvlRestart w:val="0"/>
      <w:suff w:val="nothing"/>
      <w:lvlText w:val="%1、"/>
      <w:lvlJc w:val="left"/>
      <w:pPr>
        <w:ind w:left="0" w:hanging="0"/>
      </w:pPr>
    </w:lvl>
  </w:abstractNum>
  <w:abstractNum w:abstractNumId="7">
    <w:nsid w:val="09FC38FB"/>
    <w:multiLevelType w:val="singleLevel"/>
    <w:tmpl w:val="09FC38FB"/>
    <w:lvl w:ilvl="0">
      <w:start w:val="3"/>
      <w:numFmt w:val="chineseCounting"/>
      <w:lvlRestart w:val="0"/>
      <w:suff w:val="nothing"/>
      <w:lvlText w:val="%1、"/>
      <w:lvlJc w:val="left"/>
      <w:pPr>
        <w:ind w:left="0" w:hanging="0"/>
      </w:pPr>
      <w:rPr>
        <w:rFonts w:hint="eastAsia"/>
      </w:rPr>
    </w:lvl>
  </w:abstractNum>
  <w:abstractNum w:abstractNumId="8">
    <w:nsid w:val="5D2523A8"/>
    <w:multiLevelType w:val="singleLevel"/>
    <w:tmpl w:val="5D2523A8"/>
    <w:lvl w:ilvl="0">
      <w:start w:val="1"/>
      <w:numFmt w:val="chineseCounting"/>
      <w:lvlRestart w:val="0"/>
      <w:suff w:val="nothing"/>
      <w:lvlText w:val="（%1）"/>
      <w:lvlJc w:val="left"/>
      <w:pPr>
        <w:ind w:left="0" w:hanging="0"/>
      </w:pPr>
      <w:rPr>
        <w:rFonts w:hint="eastAsia"/>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bering>
</file>

<file path=word/settings.xml><?xml version="1.0" encoding="utf-8"?>
<w:settings xmlns:w="http://schemas.openxmlformats.org/wordprocessingml/2006/main" xmlns:o="urn:schemas-microsoft-com:office:office" xmlns:r="http://schemas.openxmlformats.org/officeDocument/2006/relationships" xmlns:m="http://schemas.openxmlformats.org/officeDocument/2006/math" xmlns:v="urn:schemas-microsoft-com:vml">
  <w:zoom w:percent="120"/>
  <w:bordersDoNotSurroundHeader/>
  <w:bordersDoNotSurroundFooter/>
  <w:documentProtection w:edit="readOnly" w:enforcement="0"/>
  <w:defaultTabStop w:val="420"/>
  <w:drawingGridHorizontalSpacing w:val="105"/>
  <w:drawingGridVerticalSpacing w:val="156"/>
  <w:displayHorizontalDrawingGridEvery w:val="0"/>
  <w:displayVerticalDrawingGridEvery w:val="1"/>
  <w:noPunctuationKerning/>
  <w:characterSpacingControl w:val="compressPunctuation"/>
  <w:compat>
    <w:spaceForUL/>
    <w:balanceSingleByteDoubleByteWidth/>
    <w:ulTrailSpace/>
    <w:doNotExpandShiftReturn/>
    <w:adjustLineHeightInTable/>
    <w:doNotUseIndentAsNumberingTabStop/>
    <w:compatSetting w:name="compatibilityMode" w:uri="http://schemas.microsoft.com/office/word" w:val="12"/>
  </w:compat>
  <w:docVars>
    <w:docVar w:name="commondata" w:val="eyJoZGlkIjoiMGY0ZDQ0NjI3YzliYmI5ZDliOWFiZmIzNDA0OWI0MmYifQ=="/>
  </w:docVars>
</w:settings>
</file>

<file path=word/styles.xml><?xml version="1.0" encoding="utf-8"?>
<w:styles xmlns:w="http://schemas.openxmlformats.org/wordprocessingml/2006/main" xmlns:r="http://schemas.openxmlformats.org/officeDocument/2006/relationships">
  <w:docDefaults>
    <w:rPrDefault>
      <w:rPr>
        <w:rFonts w:ascii="Times New Roman" w:eastAsia="宋体" w:hAnsi="Times New Roman" w:cs="Times New Roman"/>
        <w:lang w:val="en-US" w:eastAsia="zh-CN" w:bidi="ar-SA"/>
      </w:rPr>
    </w:rPrDefault>
    <w:pPrDefault/>
  </w:docDefaults>
  <w:style w:type="paragraph" w:default="1" w:styleId="0">
    <w:name w:val="Normal"/>
    <w:pPr>
      <w:widowControl w:val="0"/>
      <w:jc w:val="both"/>
    </w:pPr>
    <w:rPr>
      <w:rFonts w:ascii="Times New Roman" w:eastAsia="宋体" w:cs="Times New Roman" w:hAnsi="Times New Roman"/>
      <w:kern w:val="2"/>
      <w:sz w:val="21"/>
      <w:szCs w:val="24"/>
      <w:lang w:val="en-US" w:eastAsia="zh-CN" w:bidi="ar-SA"/>
    </w:rPr>
  </w:style>
  <w:style w:type="paragraph" w:styleId="1">
    <w:name w:val="heading 1"/>
    <w:basedOn w:val="0"/>
    <w:next w:val="0"/>
    <w:pPr>
      <w:keepNext/>
      <w:keepLines/>
      <w:widowControl w:val="0"/>
      <w:spacing w:before="340" w:after="330" w:line="578" w:lineRule="auto"/>
      <w:outlineLvl w:val="0"/>
    </w:pPr>
    <w:rPr>
      <w:b/>
      <w:bCs/>
      <w:kern w:val="44"/>
      <w:sz w:val="44"/>
      <w:szCs w:val="44"/>
    </w:rPr>
  </w:style>
  <w:style w:type="paragraph" w:styleId="2">
    <w:name w:val="heading 2"/>
    <w:basedOn w:val="0"/>
    <w:next w:val="0"/>
    <w:pPr>
      <w:keepNext/>
      <w:keepLines/>
      <w:widowControl w:val="0"/>
      <w:spacing w:before="260" w:after="260" w:line="415" w:lineRule="auto"/>
      <w:outlineLvl w:val="1"/>
    </w:pPr>
    <w:rPr>
      <w:rFonts w:ascii="Cambria" w:eastAsia="宋体" w:cs="Times New Roman" w:hAnsi="Cambria"/>
      <w:b/>
      <w:bCs/>
      <w:sz w:val="32"/>
      <w:szCs w:val="32"/>
    </w:rPr>
  </w:style>
  <w:style w:type="paragraph" w:styleId="3">
    <w:name w:val="heading 3"/>
    <w:basedOn w:val="0"/>
    <w:next w:val="0"/>
    <w:pPr>
      <w:keepNext/>
      <w:keepLines/>
      <w:widowControl w:val="0"/>
      <w:spacing w:before="260" w:after="260" w:line="415" w:lineRule="auto"/>
      <w:outlineLvl w:val="2"/>
    </w:pPr>
    <w:rPr>
      <w:b/>
      <w:bCs/>
      <w:sz w:val="32"/>
      <w:szCs w:val="32"/>
    </w:rPr>
  </w:style>
  <w:style w:type="character" w:default="1" w:styleId="10">
    <w:name w:val="Default Paragraph Font"/>
  </w:style>
  <w:style w:type="paragraph" w:styleId="15">
    <w:name w:val="Normal Indent"/>
    <w:basedOn w:val="0"/>
    <w:pPr>
      <w:ind w:firstLine="680"/>
    </w:pPr>
  </w:style>
  <w:style w:type="paragraph" w:styleId="16">
    <w:name w:val="annotation text"/>
    <w:basedOn w:val="0"/>
    <w:pPr>
      <w:jc w:val="left"/>
    </w:pPr>
  </w:style>
  <w:style w:type="paragraph" w:styleId="17">
    <w:name w:val="Body Text"/>
    <w:basedOn w:val="0"/>
    <w:next w:val="0"/>
    <w:pPr>
      <w:spacing w:beforeLines="30" w:before="30"/>
    </w:pPr>
    <w:rPr>
      <w:rFonts w:ascii="仿宋_GB2312" w:eastAsia="仿宋_GB2312"/>
      <w:kern w:val="0"/>
      <w:sz w:val="30"/>
    </w:rPr>
  </w:style>
  <w:style w:type="paragraph" w:styleId="18">
    <w:name w:val="toc 3"/>
    <w:basedOn w:val="0"/>
    <w:next w:val="0"/>
    <w:pPr>
      <w:tabs>
        <w:tab w:val="right" w:leader="dot" w:pos="8296"/>
      </w:tabs>
      <w:ind w:leftChars="400" w:left="400"/>
    </w:pPr>
  </w:style>
  <w:style w:type="paragraph" w:styleId="19">
    <w:name w:val="Balloon Text"/>
    <w:basedOn w:val="0"/>
    <w:rPr>
      <w:sz w:val="18"/>
      <w:szCs w:val="18"/>
    </w:rPr>
  </w:style>
  <w:style w:type="paragraph" w:styleId="20">
    <w:name w:val="footer"/>
    <w:basedOn w:val="0"/>
    <w:pPr>
      <w:tabs>
        <w:tab w:val="center" w:pos="4153"/>
        <w:tab w:val="right" w:pos="8306"/>
      </w:tabs>
      <w:snapToGrid w:val="0"/>
      <w:jc w:val="left"/>
    </w:pPr>
    <w:rPr>
      <w:rFonts w:ascii="Calibri" w:hAnsi="Calibri"/>
      <w:kern w:val="0"/>
      <w:sz w:val="18"/>
      <w:szCs w:val="18"/>
    </w:rPr>
  </w:style>
  <w:style w:type="paragraph" w:styleId="21">
    <w:name w:val="header"/>
    <w:basedOn w:val="0"/>
    <w:pPr>
      <w:pBdr>
        <w:bottom w:val="single" w:sz="6" w:space="1" w:color="auto"/>
      </w:pBdr>
      <w:tabs>
        <w:tab w:val="center" w:pos="4153"/>
        <w:tab w:val="right" w:pos="8306"/>
      </w:tabs>
      <w:snapToGrid w:val="0"/>
      <w:jc w:val="center"/>
    </w:pPr>
    <w:rPr>
      <w:rFonts w:ascii="Calibri" w:hAnsi="Calibri"/>
      <w:kern w:val="0"/>
      <w:sz w:val="18"/>
      <w:szCs w:val="18"/>
    </w:rPr>
  </w:style>
  <w:style w:type="paragraph" w:styleId="22">
    <w:name w:val="toc 1"/>
    <w:basedOn w:val="0"/>
    <w:next w:val="0"/>
    <w:pPr>
      <w:tabs>
        <w:tab w:val="right" w:leader="dot" w:pos="8296"/>
      </w:tabs>
      <w:spacing w:before="93"/>
      <w:jc w:val="center"/>
    </w:pPr>
    <w:rPr>
      <w:rFonts w:ascii="仿宋" w:eastAsia="仿宋"/>
      <w:sz w:val="28"/>
      <w:szCs w:val="28"/>
    </w:rPr>
  </w:style>
  <w:style w:type="paragraph" w:styleId="23">
    <w:name w:val="table of figures"/>
    <w:basedOn w:val="0"/>
    <w:next w:val="0"/>
    <w:pPr>
      <w:ind w:leftChars="200" w:left="400" w:hangingChars="200" w:hanging="200"/>
    </w:pPr>
  </w:style>
  <w:style w:type="paragraph" w:styleId="24">
    <w:name w:val="toc 2"/>
    <w:basedOn w:val="0"/>
    <w:next w:val="0"/>
    <w:pPr>
      <w:tabs>
        <w:tab w:val="right" w:leader="dot" w:pos="8296"/>
      </w:tabs>
      <w:ind w:leftChars="200" w:left="200"/>
    </w:pPr>
  </w:style>
  <w:style w:type="paragraph" w:styleId="25">
    <w:name w:val="Normal (Web)"/>
    <w:basedOn w:val="0"/>
    <w:pPr>
      <w:spacing w:before="100" w:beforeAutospacing="1" w:after="100" w:afterAutospacing="1"/>
      <w:jc w:val="left"/>
    </w:pPr>
    <w:rPr>
      <w:kern w:val="0"/>
      <w:sz w:val="24"/>
    </w:rPr>
  </w:style>
  <w:style w:type="character" w:styleId="26">
    <w:name w:val="Strong"/>
    <w:basedOn w:val="10"/>
    <w:rPr>
      <w:b/>
    </w:rPr>
  </w:style>
  <w:style w:type="character" w:styleId="27">
    <w:name w:val="Hyperlink"/>
    <w:basedOn w:val="10"/>
    <w:rPr>
      <w:color w:val="0000FF"/>
      <w:u w:val="single"/>
    </w:rPr>
  </w:style>
  <w:style w:type="character" w:styleId="28">
    <w:name w:val="annotation reference"/>
    <w:basedOn w:val="10"/>
    <w:rPr>
      <w:sz w:val="21"/>
      <w:szCs w:val="21"/>
    </w:rPr>
  </w:style>
  <w:style w:type="paragraph" w:customStyle="1" w:styleId="29">
    <w:name w:val="Default"/>
    <w:pPr>
      <w:widowControl w:val="0"/>
      <w:autoSpaceDE w:val="0"/>
      <w:autoSpaceDN w:val="0"/>
      <w:adjustRightInd w:val="0"/>
    </w:pPr>
    <w:rPr>
      <w:rFonts w:ascii="仿宋" w:eastAsia="仿宋" w:cs="仿宋"/>
      <w:color w:val="000000"/>
      <w:sz w:val="24"/>
      <w:szCs w:val="24"/>
      <w:lang w:val="en-US" w:eastAsia="zh-CN" w:bidi="ar-SA"/>
    </w:rPr>
  </w:style>
  <w:style w:type="character" w:customStyle="1" w:styleId="30">
    <w:name w:val="Header Char"/>
    <w:basedOn w:val="10"/>
    <w:rPr>
      <w:rFonts w:ascii="Times New Roman" w:hAnsi="Times New Roman"/>
      <w:sz w:val="18"/>
      <w:szCs w:val="18"/>
    </w:rPr>
  </w:style>
  <w:style w:type="character" w:customStyle="1" w:styleId="31">
    <w:name w:val="Footer Char"/>
    <w:basedOn w:val="10"/>
    <w:rPr>
      <w:rFonts w:ascii="Times New Roman" w:hAnsi="Times New Roman"/>
      <w:sz w:val="18"/>
      <w:szCs w:val="18"/>
    </w:rPr>
  </w:style>
  <w:style w:type="character" w:customStyle="1" w:styleId="32">
    <w:name w:val="Body Text Char"/>
    <w:basedOn w:val="10"/>
    <w:rPr>
      <w:rFonts w:ascii="Times New Roman" w:hAnsi="Times New Roman"/>
      <w:szCs w:val="24"/>
    </w:rPr>
  </w:style>
  <w:style w:type="paragraph" w:styleId="33">
    <w:name w:val="List Paragraph"/>
    <w:basedOn w:val="0"/>
    <w:pPr>
      <w:ind w:firstLineChars="200" w:firstLine="200"/>
    </w:pPr>
  </w:style>
  <w:style w:type="paragraph" w:customStyle="1" w:styleId="34">
    <w:name w:val="TOC 标题1"/>
    <w:basedOn w:val="1"/>
    <w:next w:val="0"/>
    <w:pPr>
      <w:keepNext/>
      <w:keepLines/>
      <w:widowControl/>
      <w:spacing w:before="480" w:after="0" w:line="276" w:lineRule="auto"/>
      <w:jc w:val="left"/>
      <w:outlineLvl w:val="9"/>
    </w:pPr>
    <w:rPr>
      <w:rFonts w:ascii="Cambria" w:eastAsia="宋体" w:cs="Times New Roman" w:hAnsi="Cambria"/>
      <w:color w:val="366091"/>
      <w:kern w:val="0"/>
      <w:sz w:val="28"/>
      <w:szCs w:val="28"/>
    </w:rPr>
  </w:style>
  <w:style w:type="paragraph" w:styleId="35">
    <w:name w:val="No Spacing"/>
    <w:pPr>
      <w:widowControl w:val="0"/>
      <w:jc w:val="both"/>
    </w:pPr>
    <w:rPr>
      <w:rFonts w:ascii="Calibri" w:eastAsia="宋体" w:cs="Arial" w:hAnsi="Calibri"/>
      <w:kern w:val="2"/>
      <w:sz w:val="21"/>
      <w:szCs w:val="22"/>
      <w:lang w:val="en-US" w:eastAsia="zh-CN" w:bidi="ar-SA"/>
    </w:rPr>
  </w:style>
  <w:style w:type="character" w:customStyle="1" w:styleId="36">
    <w:name w:val="apple-converted-space"/>
    <w:basedOn w:val="10"/>
  </w:style>
  <w:style w:type="paragraph" w:customStyle="1" w:styleId="37">
    <w:name w:val="WPSOffice手动目录 1"/>
    <w:rPr>
      <w:rFonts w:ascii="Times New Roman" w:eastAsia="宋体" w:cs="Times New Roman" w:hAnsi="Times New Roman"/>
      <w:sz w:val="20"/>
      <w:szCs w:val="20"/>
      <w:lang w:val="en-US" w:eastAsia="zh-CN" w:bidi="ar-SA"/>
    </w:rPr>
  </w:style>
  <w:style w:type="paragraph" w:customStyle="1" w:styleId="38">
    <w:name w:val="WPSOffice手动目录 2"/>
    <w:pPr>
      <w:ind w:leftChars="200" w:left="200"/>
    </w:pPr>
    <w:rPr>
      <w:rFonts w:ascii="Times New Roman" w:eastAsia="宋体" w:cs="Times New Roman" w:hAnsi="Times New Roman"/>
      <w:sz w:val="20"/>
      <w:szCs w:val="20"/>
      <w:lang w:val="en-US" w:eastAsia="zh-CN" w:bidi="ar-SA"/>
    </w:rPr>
  </w:style>
  <w:style w:type="paragraph" w:customStyle="1" w:styleId="39">
    <w:name w:val="WPSOffice手动目录 3"/>
    <w:pPr>
      <w:ind w:leftChars="400" w:left="400"/>
    </w:pPr>
    <w:rPr>
      <w:rFonts w:ascii="Times New Roman" w:eastAsia="宋体" w:cs="Times New Roman" w:hAnsi="Times New Roman"/>
      <w:sz w:val="20"/>
      <w:szCs w:val="20"/>
      <w:lang w:val="en-US" w:eastAsia="zh-CN" w:bidi="ar-SA"/>
    </w:rPr>
  </w:style>
</w:styles>
</file>

<file path=word/_rels/document.xml.rels><?xml version="1.0" encoding="UTF-8" standalone="yes"?>
<Relationships xmlns="http://schemas.openxmlformats.org/package/2006/relationships"><Relationship Id="rId1" Type="http://schemas.openxmlformats.org/officeDocument/2006/relationships/settings" Target="settings.xml"/><Relationship Id="rId2" Type="http://schemas.openxmlformats.org/officeDocument/2006/relationships/header" Target="header1.xml"/><Relationship Id="rId3" Type="http://schemas.openxmlformats.org/officeDocument/2006/relationships/footer" Target="footer1.xml"/><Relationship Id="rId4" Type="http://schemas.openxmlformats.org/officeDocument/2006/relationships/chart" Target="charts/chart1.xml"/><Relationship Id="rId5" Type="http://schemas.openxmlformats.org/officeDocument/2006/relationships/chart" Target="charts/chart2.xml"/><Relationship Id="rId6" Type="http://schemas.openxmlformats.org/officeDocument/2006/relationships/chart" Target="charts/chart3.xml"/><Relationship Id="rId7" Type="http://schemas.openxmlformats.org/officeDocument/2006/relationships/chart" Target="charts/chart4.xml"/><Relationship Id="rId8" Type="http://schemas.openxmlformats.org/officeDocument/2006/relationships/chart" Target="charts/chart5.xml"/><Relationship Id="rId9" Type="http://schemas.openxmlformats.org/officeDocument/2006/relationships/chart" Target="charts/chart6.xml"/><Relationship Id="rId10" Type="http://schemas.openxmlformats.org/officeDocument/2006/relationships/chart" Target="charts/chart7.xml"/><Relationship Id="rId11" Type="http://schemas.openxmlformats.org/officeDocument/2006/relationships/styles" Target="styles.xml"/><Relationship Id="rId12" Type="http://schemas.openxmlformats.org/officeDocument/2006/relationships/numbering" Target="numbering.xml"/><Relationship Id="rId13" Type="http://schemas.openxmlformats.org/officeDocument/2006/relationships/fontTable" Target="fontTable.xml"/></Relationships>
</file>

<file path=word/charts/_rels/chart1.xml.rels><?xml version="1.0" encoding="UTF-8" standalone="yes"?>
<Relationships xmlns="http://schemas.openxmlformats.org/package/2006/relationships"><Relationship Id="rId1" Type="http://schemas.openxmlformats.org/officeDocument/2006/relationships/package" Target="../embeddings/chart1.xlsx"/></Relationships>
</file>

<file path=word/charts/_rels/chart2.xml.rels><?xml version="1.0" encoding="UTF-8" standalone="yes"?>
<Relationships xmlns="http://schemas.openxmlformats.org/package/2006/relationships"><Relationship Id="rId1" Type="http://schemas.openxmlformats.org/officeDocument/2006/relationships/package" Target="../embeddings/chart2.xlsx"/></Relationships>
</file>

<file path=word/charts/_rels/chart3.xml.rels><?xml version="1.0" encoding="UTF-8" standalone="yes"?>
<Relationships xmlns="http://schemas.openxmlformats.org/package/2006/relationships"><Relationship Id="rId1" Type="http://schemas.openxmlformats.org/officeDocument/2006/relationships/package" Target="../embeddings/chart3.xlsx"/></Relationships>
</file>

<file path=word/charts/_rels/chart4.xml.rels><?xml version="1.0" encoding="UTF-8" standalone="yes"?>
<Relationships xmlns="http://schemas.openxmlformats.org/package/2006/relationships"><Relationship Id="rId1" Type="http://schemas.openxmlformats.org/officeDocument/2006/relationships/package" Target="../embeddings/chart4.xlsx"/></Relationships>
</file>

<file path=word/charts/_rels/chart5.xml.rels><?xml version="1.0" encoding="UTF-8" standalone="yes"?>
<Relationships xmlns="http://schemas.openxmlformats.org/package/2006/relationships"><Relationship Id="rId1" Type="http://schemas.openxmlformats.org/officeDocument/2006/relationships/package" Target="../embeddings/chart5.xlsx"/></Relationships>
</file>

<file path=word/charts/_rels/chart6.xml.rels><?xml version="1.0" encoding="UTF-8" standalone="yes"?>
<Relationships xmlns="http://schemas.openxmlformats.org/package/2006/relationships"><Relationship Id="rId1" Type="http://schemas.openxmlformats.org/officeDocument/2006/relationships/package" Target="../embeddings/chart6.xlsx"/></Relationships>
</file>

<file path=word/charts/_rels/chart7.xml.rels><?xml version="1.0" encoding="UTF-8" standalone="yes"?>
<Relationships xmlns="http://schemas.openxmlformats.org/package/2006/relationships"><Relationship Id="rId1" Type="http://schemas.openxmlformats.org/officeDocument/2006/relationships/package" Target="../embeddings/chart7.xlsx"/></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vert="horz" anchor="t" anchorCtr="0"/>
          <a:lstStyle/>
          <a:p>
            <a:pPr>
              <a:defRPr sz="1800" b="1" i="0" u="none" strike="noStrike" baseline="0">
                <a:solidFill>
                  <a:srgbClr val="000000"/>
                </a:solidFill>
                <a:latin typeface="Times New Roman"/>
                <a:ea typeface="宋体"/>
                <a:cs typeface="Lucida Sans"/>
              </a:defRPr>
            </a:pPr>
            <a:r>
              <a:rPr lang="zh-CN"/>
              <a:t>收、支决算总计变动情况图</a:t>
            </a:r>
          </a:p>
        </c:rich>
      </c:tx>
      <c:layout/>
      <c:overlay val="0"/>
      <c:spPr>
        <a:ln>
          <a:noFill/>
        </a:ln>
      </c:spPr>
    </c:title>
    <c:autoTitleDeleted val="1"/>
    <c:plotArea>
      <c:layout>
        <c:manualLayout>
          <c:layoutTarget val="inner"/>
          <c:xMode val="edge"/>
          <c:yMode val="edge"/>
          <c:x val="0.05598162"/>
          <c:y val="0.24786511"/>
          <c:w val="0.800713"/>
          <c:h val="0.65402776"/>
        </c:manualLayout>
      </c:layout>
      <c:barChart>
        <c:barDir val="col"/>
        <c:grouping val="clustered"/>
        <c:varyColors val="0"/>
        <c:ser>
          <c:idx val="1"/>
          <c:order val="0"/>
          <c:tx>
            <c:v>收入</c:v>
          </c:tx>
          <c:spPr>
            <a:solidFill>
              <a:srgbClr val="C0504D"/>
            </a:solidFill>
            <a:ln>
              <a:noFill/>
            </a:ln>
          </c:spPr>
          <c:invertIfNegative val="0"/>
          <c:dLbls>
            <c:spPr>
              <a:noFill/>
              <a:ln>
                <a:noFill/>
              </a:ln>
            </c:spPr>
            <c:txPr>
              <a:bodyPr vert="horz"/>
              <a:lstStyle/>
              <a:p>
                <a:pPr>
                  <a:defRPr sz="1000" b="0" i="0" u="none" strike="noStrike" baseline="0">
                    <a:solidFill>
                      <a:srgbClr val="000000"/>
                    </a:solidFill>
                    <a:latin typeface="Times New Roman"/>
                    <a:ea typeface="宋体"/>
                    <a:cs typeface="Lucida Sans"/>
                  </a:defRPr>
                </a:pPr>
                <a:endParaRPr lang="zh-CN"/>
              </a:p>
            </c:txPr>
            <c:numFmt formatCode="General" sourceLinked="0"/>
            <c:dLblPos val="outEnd"/>
            <c:showLegendKey val="0"/>
            <c:showVal val="1"/>
            <c:showCatName val="0"/>
            <c:showSerName val="0"/>
            <c:showPercent val="0"/>
            <c:showBubbleSize val="0"/>
            <c:showLeaderLines val="0"/>
          </c:dLbls>
          <c:cat>
            <c:numRef>
              <c:numCache>
                <c:ptCount val="2"/>
                <c:pt idx="0">
                  <c:v>2021</c:v>
                </c:pt>
                <c:pt idx="1">
                  <c:v>2022</c:v>
                </c:pt>
              </c:numCache>
            </c:numRef>
          </c:cat>
          <c:val>
            <c:numRef>
              <c:f/>
              <c:numCache>
                <c:formatCode>General</c:formatCode>
                <c:ptCount val="2"/>
                <c:pt idx="0">
                  <c:v>517.69</c:v>
                </c:pt>
                <c:pt idx="1">
                  <c:v>1725.06</c:v>
                </c:pt>
              </c:numCache>
            </c:numRef>
          </c:val>
        </c:ser>
        <c:ser>
          <c:idx val="2"/>
          <c:order val="1"/>
          <c:tx>
            <c:v>支出</c:v>
          </c:tx>
          <c:spPr>
            <a:solidFill>
              <a:srgbClr val="9BBB59"/>
            </a:solidFill>
            <a:ln>
              <a:noFill/>
            </a:ln>
          </c:spPr>
          <c:invertIfNegative val="0"/>
          <c:dLbls>
            <c:spPr>
              <a:noFill/>
              <a:ln>
                <a:noFill/>
              </a:ln>
            </c:spPr>
            <c:txPr>
              <a:bodyPr vert="horz"/>
              <a:lstStyle/>
              <a:p>
                <a:pPr>
                  <a:defRPr sz="1000" b="0" i="0" u="none" strike="noStrike" baseline="0">
                    <a:solidFill>
                      <a:srgbClr val="000000"/>
                    </a:solidFill>
                    <a:latin typeface="Times New Roman"/>
                    <a:ea typeface="宋体"/>
                    <a:cs typeface="Lucida Sans"/>
                  </a:defRPr>
                </a:pPr>
                <a:endParaRPr lang="zh-CN"/>
              </a:p>
            </c:txPr>
            <c:numFmt formatCode="General" sourceLinked="0"/>
            <c:dLblPos val="outEnd"/>
            <c:showLegendKey val="0"/>
            <c:showVal val="1"/>
            <c:showCatName val="0"/>
            <c:showSerName val="0"/>
            <c:showPercent val="0"/>
            <c:showBubbleSize val="0"/>
            <c:showLeaderLines val="0"/>
          </c:dLbls>
          <c:cat>
            <c:numRef>
              <c:numCache>
                <c:ptCount val="2"/>
                <c:pt idx="0">
                  <c:v>2021</c:v>
                </c:pt>
                <c:pt idx="1">
                  <c:v>2022</c:v>
                </c:pt>
              </c:numCache>
            </c:numRef>
          </c:cat>
          <c:val>
            <c:numRef>
              <c:f/>
              <c:numCache>
                <c:formatCode>General</c:formatCode>
                <c:ptCount val="2"/>
                <c:pt idx="0">
                  <c:v>517.69</c:v>
                </c:pt>
                <c:pt idx="1">
                  <c:v>1725.06</c:v>
                </c:pt>
              </c:numCache>
            </c:numRef>
          </c:val>
        </c:ser>
        <c:gapWidth val="41"/>
        <c:axId val="0"/>
        <c:axId val="1"/>
      </c:barChart>
      <c:catAx>
        <c:axId val="0"/>
        <c:scaling>
          <c:orientation val="minMax"/>
        </c:scaling>
        <c:delete val="0"/>
        <c:axPos val="b"/>
        <c:numFmt formatCode="General" sourceLinked="0"/>
        <c:title>
          <c:tx>
            <c:rich>
              <a:bodyPr rot="0" vert="horz" anchor="t" anchorCtr="0"/>
              <a:lstStyle/>
              <a:p>
                <a:pPr>
                  <a:defRPr sz="1000" b="1" i="0" u="none" strike="noStrike" baseline="0">
                    <a:solidFill>
                      <a:srgbClr val="000000"/>
                    </a:solidFill>
                    <a:latin typeface="Times New Roman"/>
                    <a:ea typeface="宋体"/>
                    <a:cs typeface="Lucida Sans"/>
                  </a:defRPr>
                </a:pPr>
                <a:r>
                  <a:rPr lang="zh-CN"/>
                  <a:t>单位：万元</a:t>
                </a:r>
              </a:p>
            </c:rich>
          </c:tx>
          <c:layout/>
          <c:overlay val="0"/>
          <c:spPr>
            <a:ln>
              <a:noFill/>
            </a:ln>
          </c:spPr>
        </c:title>
        <c:majorTickMark val="none"/>
        <c:minorTickMark val="none"/>
        <c:tickLblPos val="nextTo"/>
        <c:spPr>
          <a:ln>
            <a:noFill/>
          </a:ln>
        </c:spPr>
        <c:txPr>
          <a:bodyPr/>
          <a:lstStyle/>
          <a:p>
            <a:pPr>
              <a:defRPr sz="900" b="0" i="0" u="none" strike="noStrike" baseline="0">
                <a:solidFill>
                  <a:srgbClr val="595959"/>
                </a:solidFill>
                <a:latin typeface="Times New Roman"/>
                <a:ea typeface="宋体"/>
                <a:cs typeface="Lucida Sans"/>
              </a:defRPr>
            </a:pPr>
            <a:endParaRPr lang="zh-CN"/>
          </a:p>
        </c:txPr>
        <c:crosses val="autoZero"/>
        <c:auto val="1"/>
        <c:lblOffset val="100"/>
        <c:lblAlgn val="ctr"/>
        <c:noMultiLvlLbl val="0"/>
        <c:crossAx val="1"/>
      </c:catAx>
      <c:valAx>
        <c:axId val="1"/>
        <c:scaling>
          <c:orientation val="minMax"/>
        </c:scaling>
        <c:delete val="1"/>
        <c:axPos val="l"/>
        <c:title>
          <c:tx>
            <c:rich>
              <a:bodyPr rot="-5400000" vert="horz" anchor="t" anchorCtr="0"/>
              <a:lstStyle/>
              <a:p>
                <a:pPr>
                  <a:defRPr sz="1000" b="1" i="0" u="none" strike="noStrike" baseline="0">
                    <a:solidFill>
                      <a:srgbClr val="000000"/>
                    </a:solidFill>
                    <a:latin typeface="Times New Roman"/>
                    <a:ea typeface="宋体"/>
                    <a:cs typeface="Lucida Sans"/>
                  </a:defRPr>
                </a:pPr>
                <a:r>
                  <a:rPr lang="zh-CN"/>
                  <a:t> </a:t>
                </a:r>
              </a:p>
            </c:rich>
          </c:tx>
          <c:layout/>
          <c:overlay val="0"/>
          <c:spPr>
            <a:ln>
              <a:noFill/>
            </a:ln>
          </c:spPr>
        </c:title>
        <c:numFmt formatCode="General" sourceLinked="1"/>
        <c:majorTickMark val="none"/>
        <c:minorTickMark val="none"/>
        <c:tickLblPos val="none"/>
        <c:txPr>
          <a:bodyPr/>
          <a:lstStyle/>
          <a:p>
            <a:pPr>
              <a:defRPr sz="1000" b="0" i="0" u="none" strike="noStrike" baseline="0">
                <a:solidFill>
                  <a:srgbClr val="000000"/>
                </a:solidFill>
                <a:latin typeface="Times New Roman"/>
                <a:ea typeface="宋体"/>
                <a:cs typeface="Lucida Sans"/>
              </a:defRPr>
            </a:pPr>
            <a:endParaRPr lang="zh-CN"/>
          </a:p>
        </c:txPr>
        <c:crossesAt val="1.0"/>
        <c:crossBetween val="between"/>
        <c:crossAx val="0"/>
      </c:valAx>
      <c:spPr>
        <a:noFill/>
        <a:ln>
          <a:noFill/>
        </a:ln>
      </c:spPr>
    </c:plotArea>
    <c:legend>
      <c:legendPos val="r"/>
      <c:layout/>
      <c:overlay val="0"/>
      <c:spPr>
        <a:noFill/>
        <a:ln>
          <a:noFill/>
        </a:ln>
      </c:spPr>
      <c:txPr>
        <a:bodyPr/>
        <a:lstStyle/>
        <a:p>
          <a:pPr>
            <a:defRPr sz="900" b="0" i="0" u="none" strike="noStrike" baseline="0">
              <a:solidFill>
                <a:srgbClr val="595959"/>
              </a:solidFill>
              <a:latin typeface="Times New Roman"/>
              <a:ea typeface="宋体"/>
              <a:cs typeface="Lucida Sans"/>
            </a:defRPr>
          </a:pPr>
          <a:endParaRPr lang="zh-CN"/>
        </a:p>
      </c:txPr>
    </c:legend>
    <c:plotVisOnly val="1"/>
    <c:dispBlanksAs val="gap"/>
    <c:showDLblsOverMax val="0"/>
  </c:chart>
  <c:spPr>
    <a:gradFill rotWithShape="1">
      <a:gsLst>
        <a:gs pos="0">
          <a:srgbClr val="FFFFFF">
            <a:alpha val="100000"/>
          </a:srgbClr>
        </a:gs>
        <a:gs pos="68000">
          <a:srgbClr val="D9D9D9">
            <a:alpha val="100000"/>
          </a:srgbClr>
        </a:gs>
        <a:gs pos="100000">
          <a:srgbClr val="FFFFFF">
            <a:alpha val="100000"/>
          </a:srgbClr>
        </a:gs>
      </a:gsLst>
      <a:lin ang="5400000" scaled="1"/>
    </a:gradFill>
    <a:ln w="6350">
      <a:solidFill>
        <a:srgbClr val="D9D9D9"/>
      </a:solidFill>
      <a:prstDash val="solid"/>
    </a:ln>
  </c:spPr>
  <c:txPr>
    <a:bodyPr/>
    <a:lstStyle/>
    <a:p>
      <a:pPr>
        <a:defRPr sz="1000" b="0" i="0" u="none" strike="noStrike" baseline="0">
          <a:solidFill>
            <a:srgbClr val="000000"/>
          </a:solidFill>
          <a:latin typeface="Times New Roman"/>
          <a:ea typeface="宋体"/>
          <a:cs typeface="Lucida Sans"/>
        </a:defRPr>
      </a:pPr>
      <a:endParaRPr lang="zh-CN"/>
    </a:p>
  </c:txPr>
  <c:printSettings>
    <c:headerFooter/>
    <c:pageMargins b="0.75" l="0.7" r="0.7" t="0.75" header="0.3" footer="0.3"/>
    <c:pageSetup/>
  </c:printSettings>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vert="horz" anchor="t" anchorCtr="0"/>
          <a:lstStyle/>
          <a:p>
            <a:pPr>
              <a:defRPr sz="1800" b="1" i="0" u="none" strike="noStrike" baseline="0">
                <a:solidFill>
                  <a:srgbClr val="000000"/>
                </a:solidFill>
                <a:latin typeface="Times New Roman"/>
                <a:ea typeface="宋体"/>
                <a:cs typeface="Lucida Sans"/>
              </a:defRPr>
            </a:pPr>
            <a:r>
              <a:rPr lang="zh-CN"/>
              <a:t>收入决算结构图</a:t>
            </a:r>
          </a:p>
        </c:rich>
      </c:tx>
      <c:layout/>
      <c:overlay val="0"/>
      <c:spPr>
        <a:ln>
          <a:noFill/>
        </a:ln>
      </c:spPr>
    </c:title>
    <c:autoTitleDeleted val="1"/>
    <c:plotArea>
      <c:layout/>
      <c:pieChart>
        <c:varyColors val="1"/>
        <c:ser>
          <c:idx val="1"/>
          <c:order val="0"/>
          <c:spPr>
            <a:ln>
              <a:noFill/>
            </a:ln>
          </c:spPr>
          <c:dPt>
            <c:idx val="0"/>
            <c:bubble3D val="0"/>
            <c:spPr>
              <a:solidFill>
                <a:srgbClr val="4572A7"/>
              </a:solidFill>
            </c:spPr>
          </c:dPt>
          <c:dPt>
            <c:idx val="1"/>
            <c:bubble3D val="0"/>
            <c:spPr>
              <a:solidFill>
                <a:srgbClr val="AA4643"/>
              </a:solidFill>
            </c:spPr>
          </c:dPt>
          <c:dPt>
            <c:idx val="2"/>
            <c:bubble3D val="0"/>
            <c:spPr>
              <a:solidFill>
                <a:srgbClr val="89A54E"/>
              </a:solidFill>
            </c:spPr>
          </c:dPt>
          <c:dPt>
            <c:idx val="3"/>
            <c:bubble3D val="0"/>
            <c:spPr>
              <a:solidFill>
                <a:srgbClr val="71588F"/>
              </a:solidFill>
            </c:spPr>
          </c:dPt>
          <c:dPt>
            <c:idx val="4"/>
            <c:bubble3D val="0"/>
            <c:spPr>
              <a:solidFill>
                <a:srgbClr val="4198AF"/>
              </a:solidFill>
            </c:spPr>
          </c:dPt>
          <c:dPt>
            <c:idx val="5"/>
            <c:bubble3D val="0"/>
            <c:spPr>
              <a:solidFill>
                <a:srgbClr val="DB843D"/>
              </a:solidFill>
            </c:spPr>
          </c:dPt>
          <c:dPt>
            <c:idx val="6"/>
            <c:bubble3D val="0"/>
            <c:spPr>
              <a:solidFill>
                <a:srgbClr val="93A9CF"/>
              </a:solidFill>
            </c:spPr>
          </c:dPt>
          <c:dPt>
            <c:idx val="7"/>
            <c:bubble3D val="0"/>
            <c:spPr>
              <a:solidFill>
                <a:srgbClr val="D19392"/>
              </a:solidFill>
            </c:spPr>
          </c:dPt>
          <c:dLbls>
            <c:spPr>
              <a:noFill/>
              <a:ln>
                <a:noFill/>
              </a:ln>
            </c:spPr>
            <c:txPr>
              <a:bodyPr vert="horz"/>
              <a:lstStyle/>
              <a:p>
                <a:pPr>
                  <a:defRPr sz="1000" b="0" i="0" u="none" strike="noStrike" baseline="0">
                    <a:solidFill>
                      <a:srgbClr val="000000"/>
                    </a:solidFill>
                    <a:latin typeface="Times New Roman"/>
                    <a:ea typeface="宋体"/>
                    <a:cs typeface="Lucida Sans"/>
                  </a:defRPr>
                </a:pPr>
                <a:endParaRPr lang="zh-CN"/>
              </a:p>
            </c:txPr>
            <c:numFmt formatCode="0%" sourceLinked="0"/>
            <c:showLegendKey val="0"/>
            <c:showVal val="0"/>
            <c:showCatName val="0"/>
            <c:showSerName val="0"/>
            <c:showPercent val="1"/>
            <c:showBubbleSize val="0"/>
            <c:showLeaderLines val="1"/>
          </c:dLbls>
          <c:cat>
            <c:strLit>
              <c:ptCount val="8"/>
              <c:pt idx="0">
                <c:v>一般公共预算财政拨款收入</c:v>
              </c:pt>
              <c:pt idx="1">
                <c:v>政府性基金预算财政拨款收入</c:v>
              </c:pt>
              <c:pt idx="2">
                <c:v>国有资本经营预算财政拨款收入</c:v>
              </c:pt>
              <c:pt idx="3">
                <c:v>上级补助收入</c:v>
              </c:pt>
              <c:pt idx="4">
                <c:v>事业收入</c:v>
              </c:pt>
              <c:pt idx="5">
                <c:v>经营收入</c:v>
              </c:pt>
              <c:pt idx="6">
                <c:v>附属单位上缴收入</c:v>
              </c:pt>
              <c:pt idx="7">
                <c:v>其他收入</c:v>
              </c:pt>
            </c:strLit>
          </c:cat>
          <c:val>
            <c:numRef>
              <c:f/>
              <c:numCache>
                <c:formatCode>General</c:formatCode>
                <c:ptCount val="8"/>
                <c:pt idx="0">
                  <c:v>1.725061168E7</c:v>
                </c:pt>
                <c:pt idx="1">
                  <c:v>0.0</c:v>
                </c:pt>
                <c:pt idx="2">
                  <c:v>0.0</c:v>
                </c:pt>
                <c:pt idx="3">
                  <c:v>0.0</c:v>
                </c:pt>
                <c:pt idx="4">
                  <c:v>0.0</c:v>
                </c:pt>
                <c:pt idx="5">
                  <c:v>0.0</c:v>
                </c:pt>
                <c:pt idx="6">
                  <c:v>0.0</c:v>
                </c:pt>
                <c:pt idx="7">
                  <c:v>0.0</c:v>
                </c:pt>
              </c:numCache>
            </c:numRef>
          </c:val>
        </c:ser>
        <c:firstSliceAng val="0"/>
      </c:pieChart>
      <c:spPr>
        <a:noFill/>
        <a:ln>
          <a:noFill/>
        </a:ln>
      </c:spPr>
    </c:plotArea>
    <c:legend>
      <c:legendPos val="r"/>
      <c:layout/>
      <c:overlay val="0"/>
      <c:spPr>
        <a:solidFill>
          <a:srgbClr val="F2F2F2">
            <a:alpha val="39000"/>
          </a:srgbClr>
        </a:solidFill>
        <a:ln>
          <a:noFill/>
        </a:ln>
      </c:spPr>
      <c:txPr>
        <a:bodyPr/>
        <a:lstStyle/>
        <a:p>
          <a:pPr>
            <a:defRPr sz="900" b="0" i="0" u="none" strike="noStrike" baseline="0">
              <a:solidFill>
                <a:srgbClr val="404040"/>
              </a:solidFill>
              <a:latin typeface="Times New Roman"/>
              <a:ea typeface="宋体"/>
              <a:cs typeface="Lucida Sans"/>
            </a:defRPr>
          </a:pPr>
          <a:endParaRPr lang="zh-CN"/>
        </a:p>
      </c:txPr>
    </c:legend>
    <c:plotVisOnly val="1"/>
    <c:dispBlanksAs val="zero"/>
    <c:showDLblsOverMax val="0"/>
  </c:chart>
  <c:spPr>
    <a:gradFill rotWithShape="1">
      <a:gsLst>
        <a:gs pos="0">
          <a:srgbClr val="FFFFFF">
            <a:alpha val="100000"/>
          </a:srgbClr>
        </a:gs>
        <a:gs pos="39000">
          <a:srgbClr val="FFFFFF">
            <a:alpha val="100000"/>
          </a:srgbClr>
        </a:gs>
        <a:gs pos="100000">
          <a:srgbClr val="BFBFBF">
            <a:alpha val="100000"/>
          </a:srgbClr>
        </a:gs>
      </a:gsLst>
      <a:path path="circle">
        <a:fillToRect l="100000" t="100000"/>
      </a:path>
      <a:tileRect r="-100000" b="-100000"/>
    </a:gradFill>
    <a:ln w="6350">
      <a:solidFill>
        <a:srgbClr val="BFBFBF"/>
      </a:solidFill>
      <a:prstDash val="solid"/>
    </a:ln>
  </c:spPr>
  <c:txPr>
    <a:bodyPr/>
    <a:lstStyle/>
    <a:p>
      <a:pPr>
        <a:defRPr sz="1000" b="0" i="0" u="none" strike="noStrike" baseline="0">
          <a:solidFill>
            <a:srgbClr val="000000"/>
          </a:solidFill>
          <a:latin typeface="Times New Roman"/>
          <a:ea typeface="宋体"/>
          <a:cs typeface="Lucida Sans"/>
        </a:defRPr>
      </a:pPr>
      <a:endParaRPr lang="zh-CN"/>
    </a:p>
  </c:txPr>
  <c:printSettings>
    <c:headerFooter/>
    <c:pageMargins b="0.75" l="0.7" r="0.7" t="0.75" header="0.3" footer="0.3"/>
    <c:pageSetup/>
  </c:printSettings>
  <c:externalData r:id="rId1">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vert="horz" anchor="t" anchorCtr="0"/>
          <a:lstStyle/>
          <a:p>
            <a:pPr>
              <a:defRPr sz="1800" b="1" i="0" u="none" strike="noStrike" baseline="0">
                <a:solidFill>
                  <a:srgbClr val="000000"/>
                </a:solidFill>
                <a:latin typeface="Times New Roman"/>
                <a:ea typeface="宋体"/>
                <a:cs typeface="Lucida Sans"/>
              </a:defRPr>
            </a:pPr>
            <a:r>
              <a:rPr lang="zh-CN"/>
              <a:t>支出决算结构图</a:t>
            </a:r>
          </a:p>
        </c:rich>
      </c:tx>
      <c:layout/>
      <c:overlay val="0"/>
      <c:spPr>
        <a:ln>
          <a:noFill/>
        </a:ln>
      </c:spPr>
    </c:title>
    <c:autoTitleDeleted val="1"/>
    <c:plotArea>
      <c:layout/>
      <c:pieChart>
        <c:varyColors val="1"/>
        <c:ser>
          <c:idx val="1"/>
          <c:order val="0"/>
          <c:spPr>
            <a:ln>
              <a:noFill/>
            </a:ln>
          </c:spPr>
          <c:dPt>
            <c:idx val="0"/>
            <c:bubble3D val="0"/>
            <c:spPr>
              <a:solidFill>
                <a:srgbClr val="4F81BD"/>
              </a:solidFill>
            </c:spPr>
          </c:dPt>
          <c:dPt>
            <c:idx val="1"/>
            <c:bubble3D val="0"/>
            <c:spPr>
              <a:solidFill>
                <a:srgbClr val="C0504D"/>
              </a:solidFill>
            </c:spPr>
          </c:dPt>
          <c:dPt>
            <c:idx val="2"/>
            <c:bubble3D val="0"/>
            <c:spPr>
              <a:solidFill>
                <a:srgbClr val="9BBB59"/>
              </a:solidFill>
            </c:spPr>
          </c:dPt>
          <c:dPt>
            <c:idx val="3"/>
            <c:bubble3D val="0"/>
            <c:spPr>
              <a:solidFill>
                <a:srgbClr val="8064A2"/>
              </a:solidFill>
            </c:spPr>
          </c:dPt>
          <c:dPt>
            <c:idx val="4"/>
            <c:bubble3D val="0"/>
            <c:spPr>
              <a:solidFill>
                <a:srgbClr val="4BACC6"/>
              </a:solidFill>
            </c:spPr>
          </c:dPt>
          <c:dLbls>
            <c:spPr>
              <a:noFill/>
              <a:ln>
                <a:noFill/>
              </a:ln>
            </c:spPr>
            <c:txPr>
              <a:bodyPr vert="horz"/>
              <a:lstStyle/>
              <a:p>
                <a:pPr>
                  <a:defRPr sz="1000" b="0" i="0" u="none" strike="noStrike" baseline="0">
                    <a:solidFill>
                      <a:srgbClr val="000000"/>
                    </a:solidFill>
                    <a:latin typeface="Times New Roman"/>
                    <a:ea typeface="宋体"/>
                    <a:cs typeface="Lucida Sans"/>
                  </a:defRPr>
                </a:pPr>
                <a:endParaRPr lang="zh-CN"/>
              </a:p>
            </c:txPr>
            <c:numFmt formatCode="0%" sourceLinked="0"/>
            <c:showLegendKey val="0"/>
            <c:showVal val="0"/>
            <c:showCatName val="0"/>
            <c:showSerName val="0"/>
            <c:showPercent val="1"/>
            <c:showBubbleSize val="0"/>
            <c:showLeaderLines val="1"/>
          </c:dLbls>
          <c:cat>
            <c:strLit>
              <c:ptCount val="5"/>
              <c:pt idx="0">
                <c:v>基本支出</c:v>
              </c:pt>
              <c:pt idx="1">
                <c:v>项目支出</c:v>
              </c:pt>
              <c:pt idx="2">
                <c:v>上缴上级支出</c:v>
              </c:pt>
              <c:pt idx="3">
                <c:v>经营支出</c:v>
              </c:pt>
              <c:pt idx="4">
                <c:v>对附属单位补助支出</c:v>
              </c:pt>
            </c:strLit>
          </c:cat>
          <c:val>
            <c:numRef>
              <c:f/>
              <c:numCache>
                <c:formatCode>General</c:formatCode>
                <c:ptCount val="5"/>
                <c:pt idx="0">
                  <c:v>2995056.78</c:v>
                </c:pt>
                <c:pt idx="1">
                  <c:v>1.42555549E7</c:v>
                </c:pt>
                <c:pt idx="2">
                  <c:v>0.0</c:v>
                </c:pt>
                <c:pt idx="3">
                  <c:v>0.0</c:v>
                </c:pt>
                <c:pt idx="4">
                  <c:v>0.0</c:v>
                </c:pt>
              </c:numCache>
            </c:numRef>
          </c:val>
        </c:ser>
        <c:firstSliceAng val="0"/>
      </c:pieChart>
      <c:spPr>
        <a:noFill/>
        <a:ln>
          <a:noFill/>
        </a:ln>
      </c:spPr>
    </c:plotArea>
    <c:legend>
      <c:legendPos val="r"/>
      <c:layout/>
      <c:overlay val="0"/>
      <c:spPr>
        <a:solidFill>
          <a:srgbClr val="F2F2F2">
            <a:alpha val="39000"/>
          </a:srgbClr>
        </a:solidFill>
        <a:ln>
          <a:noFill/>
        </a:ln>
      </c:spPr>
      <c:txPr>
        <a:bodyPr/>
        <a:lstStyle/>
        <a:p>
          <a:pPr>
            <a:defRPr sz="900" b="0" i="0" u="none" strike="noStrike" baseline="0">
              <a:solidFill>
                <a:srgbClr val="404040"/>
              </a:solidFill>
              <a:latin typeface="Times New Roman"/>
              <a:ea typeface="宋体"/>
              <a:cs typeface="Lucida Sans"/>
            </a:defRPr>
          </a:pPr>
          <a:endParaRPr lang="zh-CN"/>
        </a:p>
      </c:txPr>
    </c:legend>
    <c:plotVisOnly val="1"/>
    <c:dispBlanksAs val="zero"/>
    <c:showDLblsOverMax val="0"/>
  </c:chart>
  <c:spPr>
    <a:gradFill rotWithShape="1">
      <a:gsLst>
        <a:gs pos="0">
          <a:srgbClr val="FFFFFF">
            <a:alpha val="100000"/>
          </a:srgbClr>
        </a:gs>
        <a:gs pos="39000">
          <a:srgbClr val="FFFFFF">
            <a:alpha val="100000"/>
          </a:srgbClr>
        </a:gs>
        <a:gs pos="100000">
          <a:srgbClr val="BFBFBF">
            <a:alpha val="100000"/>
          </a:srgbClr>
        </a:gs>
      </a:gsLst>
      <a:path path="circle">
        <a:fillToRect l="100000" t="100000"/>
      </a:path>
      <a:tileRect r="-100000" b="-100000"/>
    </a:gradFill>
    <a:ln w="6350">
      <a:solidFill>
        <a:srgbClr val="BFBFBF"/>
      </a:solidFill>
      <a:prstDash val="solid"/>
    </a:ln>
  </c:spPr>
  <c:txPr>
    <a:bodyPr/>
    <a:lstStyle/>
    <a:p>
      <a:pPr>
        <a:defRPr sz="1000" b="0" i="0" u="none" strike="noStrike" baseline="0">
          <a:solidFill>
            <a:srgbClr val="000000"/>
          </a:solidFill>
          <a:latin typeface="Times New Roman"/>
          <a:ea typeface="宋体"/>
          <a:cs typeface="Lucida Sans"/>
        </a:defRPr>
      </a:pPr>
      <a:endParaRPr lang="zh-CN"/>
    </a:p>
  </c:txPr>
  <c:printSettings>
    <c:headerFooter/>
    <c:pageMargins b="0.75" l="0.7" r="0.7" t="0.75" header="0.3" footer="0.3"/>
    <c:pageSetup/>
  </c:printSettings>
  <c:externalData r:id="rId1">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sz="1600" b="1" i="0" u="none" strike="noStrike" baseline="0">
                <a:solidFill>
                  <a:srgbClr val="1F497D"/>
                </a:solidFill>
                <a:latin typeface="Times New Roman"/>
                <a:ea typeface="宋体"/>
                <a:cs typeface="Lucida Sans"/>
              </a:defRPr>
            </a:pPr>
            <a:r>
              <a:rPr lang="zh-CN"/>
              <a:t>财政拨款收、支决算总计变动情况</a:t>
            </a:r>
          </a:p>
        </c:rich>
      </c:tx>
      <c:layout/>
      <c:overlay val="0"/>
      <c:spPr>
        <a:noFill/>
        <a:ln>
          <a:noFill/>
        </a:ln>
      </c:spPr>
    </c:title>
    <c:autoTitleDeleted val="1"/>
    <c:plotArea>
      <c:layout/>
      <c:barChart>
        <c:barDir val="col"/>
        <c:grouping val="clustered"/>
        <c:varyColors val="0"/>
        <c:ser>
          <c:idx val="1"/>
          <c:order val="0"/>
          <c:tx>
            <c:v>收入</c:v>
          </c:tx>
          <c:spPr>
            <a:solidFill>
              <a:srgbClr val="C0504D"/>
            </a:solidFill>
            <a:ln>
              <a:noFill/>
            </a:ln>
          </c:spPr>
          <c:invertIfNegative val="0"/>
          <c:dLbls>
            <c:spPr>
              <a:noFill/>
              <a:ln>
                <a:noFill/>
              </a:ln>
            </c:spPr>
            <c:txPr>
              <a:bodyPr vert="horz"/>
              <a:lstStyle/>
              <a:p>
                <a:pPr>
                  <a:defRPr sz="1000" b="0" i="0" u="none" strike="noStrike" baseline="0">
                    <a:solidFill>
                      <a:srgbClr val="000000"/>
                    </a:solidFill>
                    <a:latin typeface="Times New Roman"/>
                    <a:ea typeface="宋体"/>
                    <a:cs typeface="Lucida Sans"/>
                  </a:defRPr>
                </a:pPr>
                <a:endParaRPr lang="zh-CN"/>
              </a:p>
            </c:txPr>
            <c:numFmt formatCode="General" sourceLinked="0"/>
            <c:dLblPos val="outEnd"/>
            <c:showLegendKey val="0"/>
            <c:showVal val="1"/>
            <c:showCatName val="0"/>
            <c:showSerName val="0"/>
            <c:showPercent val="0"/>
            <c:showBubbleSize val="0"/>
            <c:showLeaderLines val="0"/>
          </c:dLbls>
          <c:cat>
            <c:numRef>
              <c:numCache>
                <c:ptCount val="2"/>
                <c:pt idx="0">
                  <c:v>2021</c:v>
                </c:pt>
                <c:pt idx="1">
                  <c:v>2022</c:v>
                </c:pt>
              </c:numCache>
            </c:numRef>
          </c:cat>
          <c:val>
            <c:numRef>
              <c:f/>
              <c:numCache>
                <c:formatCode>General</c:formatCode>
                <c:ptCount val="2"/>
                <c:pt idx="0">
                  <c:v>517.69</c:v>
                </c:pt>
                <c:pt idx="1">
                  <c:v>1725.06</c:v>
                </c:pt>
              </c:numCache>
            </c:numRef>
          </c:val>
        </c:ser>
        <c:ser>
          <c:idx val="2"/>
          <c:order val="1"/>
          <c:tx>
            <c:v>支出</c:v>
          </c:tx>
          <c:spPr>
            <a:solidFill>
              <a:srgbClr val="9BBB59"/>
            </a:solidFill>
            <a:ln>
              <a:noFill/>
            </a:ln>
          </c:spPr>
          <c:invertIfNegative val="0"/>
          <c:dLbls>
            <c:spPr>
              <a:noFill/>
              <a:ln>
                <a:noFill/>
              </a:ln>
            </c:spPr>
            <c:txPr>
              <a:bodyPr vert="horz"/>
              <a:lstStyle/>
              <a:p>
                <a:pPr>
                  <a:defRPr sz="1000" b="0" i="0" u="none" strike="noStrike" baseline="0">
                    <a:solidFill>
                      <a:srgbClr val="000000"/>
                    </a:solidFill>
                    <a:latin typeface="Times New Roman"/>
                    <a:ea typeface="宋体"/>
                    <a:cs typeface="Lucida Sans"/>
                  </a:defRPr>
                </a:pPr>
                <a:endParaRPr lang="zh-CN"/>
              </a:p>
            </c:txPr>
            <c:numFmt formatCode="General" sourceLinked="0"/>
            <c:dLblPos val="outEnd"/>
            <c:showLegendKey val="0"/>
            <c:showVal val="1"/>
            <c:showCatName val="0"/>
            <c:showSerName val="0"/>
            <c:showPercent val="0"/>
            <c:showBubbleSize val="0"/>
            <c:showLeaderLines val="0"/>
          </c:dLbls>
          <c:cat>
            <c:numRef>
              <c:numCache>
                <c:ptCount val="2"/>
                <c:pt idx="0">
                  <c:v>2021</c:v>
                </c:pt>
                <c:pt idx="1">
                  <c:v>2022</c:v>
                </c:pt>
              </c:numCache>
            </c:numRef>
          </c:cat>
          <c:val>
            <c:numRef>
              <c:f/>
              <c:numCache>
                <c:formatCode>General</c:formatCode>
                <c:ptCount val="2"/>
                <c:pt idx="0">
                  <c:v>517.69</c:v>
                </c:pt>
                <c:pt idx="1">
                  <c:v>1725.06</c:v>
                </c:pt>
              </c:numCache>
            </c:numRef>
          </c:val>
        </c:ser>
        <c:overlap val="-24"/>
        <c:gapWidth val="100"/>
        <c:axId val="0"/>
        <c:axId val="1"/>
      </c:barChart>
      <c:catAx>
        <c:axId val="0"/>
        <c:scaling>
          <c:orientation val="minMax"/>
        </c:scaling>
        <c:delete val="0"/>
        <c:axPos val="b"/>
        <c:numFmt formatCode="General" sourceLinked="0"/>
        <c:title>
          <c:tx>
            <c:rich>
              <a:bodyPr rot="0" vert="horz" anchor="t" anchorCtr="0"/>
              <a:lstStyle/>
              <a:p>
                <a:pPr>
                  <a:defRPr sz="1000" b="1" i="0" u="none" strike="noStrike" baseline="0">
                    <a:solidFill>
                      <a:srgbClr val="000000"/>
                    </a:solidFill>
                    <a:latin typeface="Times New Roman"/>
                    <a:ea typeface="宋体"/>
                    <a:cs typeface="Lucida Sans"/>
                  </a:defRPr>
                </a:pPr>
                <a:r>
                  <a:rPr lang="zh-CN"/>
                  <a:t>单位：万元</a:t>
                </a:r>
              </a:p>
            </c:rich>
          </c:tx>
          <c:layout/>
          <c:overlay val="0"/>
          <c:spPr>
            <a:ln>
              <a:noFill/>
            </a:ln>
          </c:spPr>
        </c:title>
        <c:majorTickMark val="none"/>
        <c:minorTickMark val="none"/>
        <c:tickLblPos val="nextTo"/>
        <c:spPr>
          <a:ln w="6350">
            <a:solidFill>
              <a:srgbClr val="D4E3F4"/>
            </a:solidFill>
            <a:prstDash val="solid"/>
          </a:ln>
        </c:spPr>
        <c:txPr>
          <a:bodyPr/>
          <a:lstStyle/>
          <a:p>
            <a:pPr>
              <a:defRPr sz="900" b="0" i="0" u="none" strike="noStrike" baseline="0">
                <a:solidFill>
                  <a:srgbClr val="1F497D"/>
                </a:solidFill>
                <a:latin typeface="Times New Roman"/>
                <a:ea typeface="宋体"/>
                <a:cs typeface="Lucida Sans"/>
              </a:defRPr>
            </a:pPr>
            <a:endParaRPr lang="zh-CN"/>
          </a:p>
        </c:txPr>
        <c:crosses val="autoZero"/>
        <c:auto val="1"/>
        <c:lblOffset val="100"/>
        <c:lblAlgn val="ctr"/>
        <c:noMultiLvlLbl val="0"/>
        <c:crossAx val="1"/>
      </c:catAx>
      <c:valAx>
        <c:axId val="1"/>
        <c:scaling>
          <c:orientation val="minMax"/>
        </c:scaling>
        <c:delete val="0"/>
        <c:axPos val="l"/>
        <c:majorGridlines>
          <c:spPr>
            <a:ln w="6350">
              <a:solidFill>
                <a:srgbClr val="D4E3F4"/>
              </a:solidFill>
              <a:prstDash val="solid"/>
            </a:ln>
          </c:spPr>
        </c:majorGridlines>
        <c:title>
          <c:tx>
            <c:rich>
              <a:bodyPr rot="-5400000" vert="horz" anchor="t" anchorCtr="0"/>
              <a:lstStyle/>
              <a:p>
                <a:pPr>
                  <a:defRPr sz="1000" b="1" i="0" u="none" strike="noStrike" baseline="0">
                    <a:solidFill>
                      <a:srgbClr val="000000"/>
                    </a:solidFill>
                    <a:latin typeface="Times New Roman"/>
                    <a:ea typeface="宋体"/>
                    <a:cs typeface="Lucida Sans"/>
                  </a:defRPr>
                </a:pPr>
                <a:r>
                  <a:rPr lang="zh-CN"/>
                  <a:t> </a:t>
                </a:r>
              </a:p>
            </c:rich>
          </c:tx>
          <c:layout/>
          <c:overlay val="0"/>
          <c:spPr>
            <a:ln>
              <a:noFill/>
            </a:ln>
          </c:spPr>
        </c:title>
        <c:numFmt formatCode="General" sourceLinked="1"/>
        <c:majorTickMark val="none"/>
        <c:minorTickMark val="none"/>
        <c:tickLblPos val="nextTo"/>
        <c:spPr>
          <a:ln>
            <a:noFill/>
          </a:ln>
        </c:spPr>
        <c:txPr>
          <a:bodyPr/>
          <a:lstStyle/>
          <a:p>
            <a:pPr>
              <a:defRPr sz="900" b="0" i="0" u="none" strike="noStrike" baseline="0">
                <a:solidFill>
                  <a:srgbClr val="1F497D"/>
                </a:solidFill>
                <a:latin typeface="Times New Roman"/>
                <a:ea typeface="宋体"/>
                <a:cs typeface="Lucida Sans"/>
              </a:defRPr>
            </a:pPr>
            <a:endParaRPr lang="zh-CN"/>
          </a:p>
        </c:txPr>
        <c:crossesAt val="1.0"/>
        <c:crossBetween val="between"/>
        <c:crossAx val="0"/>
      </c:valAx>
      <c:spPr>
        <a:noFill/>
        <a:ln>
          <a:noFill/>
        </a:ln>
      </c:spPr>
    </c:plotArea>
    <c:legend>
      <c:legendPos val="r"/>
      <c:layout/>
      <c:overlay val="0"/>
      <c:spPr>
        <a:noFill/>
        <a:ln>
          <a:noFill/>
        </a:ln>
      </c:spPr>
      <c:txPr>
        <a:bodyPr/>
        <a:lstStyle/>
        <a:p>
          <a:pPr>
            <a:defRPr sz="900" b="0" i="0" u="none" strike="noStrike" baseline="0">
              <a:solidFill>
                <a:srgbClr val="1F497D"/>
              </a:solidFill>
              <a:latin typeface="Times New Roman"/>
              <a:ea typeface="宋体"/>
              <a:cs typeface="Lucida Sans"/>
            </a:defRPr>
          </a:pPr>
          <a:endParaRPr lang="zh-CN"/>
        </a:p>
      </c:txPr>
    </c:legend>
    <c:plotVisOnly val="1"/>
    <c:dispBlanksAs val="gap"/>
    <c:showDLblsOverMax val="0"/>
  </c:chart>
  <c:spPr>
    <a:solidFill>
      <a:srgbClr val="FFFFFF"/>
    </a:solidFill>
    <a:ln w="6350">
      <a:solidFill>
        <a:srgbClr val="D4E3F4"/>
      </a:solidFill>
      <a:prstDash val="solid"/>
    </a:ln>
  </c:spPr>
  <c:txPr>
    <a:bodyPr/>
    <a:lstStyle/>
    <a:p>
      <a:pPr>
        <a:defRPr sz="1000" b="0" i="0" u="none" strike="noStrike" baseline="0">
          <a:solidFill>
            <a:srgbClr val="000000"/>
          </a:solidFill>
          <a:latin typeface="Times New Roman"/>
          <a:ea typeface="宋体"/>
          <a:cs typeface="Lucida Sans"/>
        </a:defRPr>
      </a:pPr>
      <a:endParaRPr lang="zh-CN"/>
    </a:p>
  </c:txPr>
  <c:printSettings>
    <c:headerFooter/>
    <c:pageMargins b="0.75" l="0.7" r="0.7" t="0.75" header="0.3" footer="0.3"/>
    <c:pageSetup/>
  </c:printSettings>
  <c:externalData r:id="rId1">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sz="1200" b="1" i="0" u="none" strike="noStrike" baseline="0">
                <a:solidFill>
                  <a:srgbClr val="595959"/>
                </a:solidFill>
                <a:latin typeface="Times New Roman"/>
                <a:ea typeface="宋体"/>
                <a:cs typeface="Lucida Sans"/>
              </a:defRPr>
            </a:pPr>
            <a:r>
              <a:rPr lang="zh-CN"/>
              <a:t>一般公共预算财政拨款支出</a:t>
            </a:r>
          </a:p>
        </c:rich>
      </c:tx>
      <c:layout/>
      <c:overlay val="0"/>
      <c:spPr>
        <a:noFill/>
        <a:ln>
          <a:noFill/>
        </a:ln>
      </c:spPr>
    </c:title>
    <c:autoTitleDeleted val="1"/>
    <c:plotArea>
      <c:layout>
        <c:manualLayout>
          <c:layoutTarget val="inner"/>
          <c:xMode val="edge"/>
          <c:yMode val="edge"/>
          <c:x val="0.07363331"/>
          <c:y val="0.19958287"/>
          <c:w val="0.76762366"/>
          <c:h val="0.7085065"/>
        </c:manualLayout>
      </c:layout>
      <c:barChart>
        <c:barDir val="col"/>
        <c:grouping val="clustered"/>
        <c:varyColors val="0"/>
        <c:ser>
          <c:idx val="1"/>
          <c:order val="0"/>
          <c:tx>
            <c:v>2021</c:v>
          </c:tx>
          <c:spPr>
            <a:solidFill>
              <a:srgbClr val="C0504D"/>
            </a:solidFill>
            <a:ln>
              <a:noFill/>
            </a:ln>
          </c:spPr>
          <c:invertIfNegative val="0"/>
          <c:dLbls>
            <c:spPr>
              <a:noFill/>
              <a:ln>
                <a:noFill/>
              </a:ln>
            </c:spPr>
            <c:txPr>
              <a:bodyPr vert="horz"/>
              <a:lstStyle/>
              <a:p>
                <a:pPr>
                  <a:defRPr sz="1000" b="0" i="0" u="none" strike="noStrike" baseline="0">
                    <a:solidFill>
                      <a:srgbClr val="000000"/>
                    </a:solidFill>
                    <a:latin typeface="Times New Roman"/>
                    <a:ea typeface="宋体"/>
                    <a:cs typeface="Lucida Sans"/>
                  </a:defRPr>
                </a:pPr>
                <a:endParaRPr lang="zh-CN"/>
              </a:p>
            </c:txPr>
            <c:numFmt formatCode="General" sourceLinked="0"/>
            <c:dLblPos val="outEnd"/>
            <c:showLegendKey val="0"/>
            <c:showVal val="1"/>
            <c:showCatName val="0"/>
            <c:showSerName val="0"/>
            <c:showPercent val="0"/>
            <c:showBubbleSize val="0"/>
            <c:showLeaderLines val="0"/>
          </c:dLbls>
          <c:cat>
            <c:strLit>
              <c:ptCount val="1"/>
              <c:pt idx="0">
                <c:v>一般公共预算财政拨款支出</c:v>
              </c:pt>
            </c:strLit>
          </c:cat>
          <c:val>
            <c:numRef>
              <c:f/>
              <c:numCache>
                <c:formatCode>General</c:formatCode>
                <c:ptCount val="1"/>
                <c:pt idx="0">
                  <c:v>517.69</c:v>
                </c:pt>
              </c:numCache>
            </c:numRef>
          </c:val>
        </c:ser>
        <c:ser>
          <c:idx val="2"/>
          <c:order val="1"/>
          <c:tx>
            <c:v>2022</c:v>
          </c:tx>
          <c:spPr>
            <a:solidFill>
              <a:srgbClr val="9BBB59"/>
            </a:solidFill>
            <a:ln>
              <a:noFill/>
            </a:ln>
          </c:spPr>
          <c:invertIfNegative val="0"/>
          <c:dLbls>
            <c:spPr>
              <a:noFill/>
              <a:ln>
                <a:noFill/>
              </a:ln>
            </c:spPr>
            <c:txPr>
              <a:bodyPr vert="horz"/>
              <a:lstStyle/>
              <a:p>
                <a:pPr>
                  <a:defRPr sz="1000" b="0" i="0" u="none" strike="noStrike" baseline="0">
                    <a:solidFill>
                      <a:srgbClr val="000000"/>
                    </a:solidFill>
                    <a:latin typeface="Times New Roman"/>
                    <a:ea typeface="宋体"/>
                    <a:cs typeface="Lucida Sans"/>
                  </a:defRPr>
                </a:pPr>
                <a:endParaRPr lang="zh-CN"/>
              </a:p>
            </c:txPr>
            <c:numFmt formatCode="General" sourceLinked="0"/>
            <c:dLblPos val="outEnd"/>
            <c:showLegendKey val="0"/>
            <c:showVal val="1"/>
            <c:showCatName val="0"/>
            <c:showSerName val="0"/>
            <c:showPercent val="0"/>
            <c:showBubbleSize val="0"/>
            <c:showLeaderLines val="0"/>
          </c:dLbls>
          <c:cat>
            <c:strLit>
              <c:ptCount val="1"/>
              <c:pt idx="0">
                <c:v>一般公共预算财政拨款支出</c:v>
              </c:pt>
            </c:strLit>
          </c:cat>
          <c:val>
            <c:numRef>
              <c:f/>
              <c:numCache>
                <c:formatCode>General</c:formatCode>
                <c:ptCount val="1"/>
                <c:pt idx="0">
                  <c:v>1725.06</c:v>
                </c:pt>
              </c:numCache>
            </c:numRef>
          </c:val>
        </c:ser>
        <c:overlap val="-24"/>
        <c:gapWidth val="100"/>
        <c:axId val="0"/>
        <c:axId val="1"/>
      </c:barChart>
      <c:catAx>
        <c:axId val="0"/>
        <c:scaling>
          <c:orientation val="minMax"/>
        </c:scaling>
        <c:delete val="1"/>
        <c:axPos val="b"/>
        <c:numFmt formatCode="General" sourceLinked="0"/>
        <c:title>
          <c:tx>
            <c:rich>
              <a:bodyPr rot="0" vert="horz" anchor="t" anchorCtr="0"/>
              <a:lstStyle/>
              <a:p>
                <a:pPr>
                  <a:defRPr sz="1000" b="1" i="0" u="none" strike="noStrike" baseline="0">
                    <a:solidFill>
                      <a:srgbClr val="000000"/>
                    </a:solidFill>
                    <a:latin typeface="Times New Roman"/>
                    <a:ea typeface="宋体"/>
                    <a:cs typeface="Lucida Sans"/>
                  </a:defRPr>
                </a:pPr>
                <a:r>
                  <a:rPr lang="zh-CN"/>
                  <a:t>单位：万元</a:t>
                </a:r>
              </a:p>
            </c:rich>
          </c:tx>
          <c:layout/>
          <c:overlay val="0"/>
          <c:spPr>
            <a:ln>
              <a:noFill/>
            </a:ln>
          </c:spPr>
        </c:title>
        <c:majorTickMark val="none"/>
        <c:minorTickMark val="none"/>
        <c:tickLblPos val="none"/>
        <c:txPr>
          <a:bodyPr/>
          <a:lstStyle/>
          <a:p>
            <a:pPr>
              <a:defRPr sz="1000" b="0" i="0" u="none" strike="noStrike" baseline="0">
                <a:solidFill>
                  <a:srgbClr val="000000"/>
                </a:solidFill>
                <a:latin typeface="Times New Roman"/>
                <a:ea typeface="宋体"/>
                <a:cs typeface="Lucida Sans"/>
              </a:defRPr>
            </a:pPr>
            <a:endParaRPr lang="zh-CN"/>
          </a:p>
        </c:txPr>
        <c:crosses val="autoZero"/>
        <c:auto val="1"/>
        <c:lblOffset val="100"/>
        <c:lblAlgn val="ctr"/>
        <c:noMultiLvlLbl val="0"/>
        <c:crossAx val="1"/>
      </c:catAx>
      <c:valAx>
        <c:axId val="1"/>
        <c:scaling>
          <c:orientation val="minMax"/>
        </c:scaling>
        <c:delete val="0"/>
        <c:axPos val="l"/>
        <c:majorGridlines>
          <c:spPr>
            <a:ln w="6350">
              <a:solidFill>
                <a:srgbClr val="D9D9D9"/>
              </a:solidFill>
              <a:prstDash val="solid"/>
            </a:ln>
          </c:spPr>
        </c:majorGridlines>
        <c:title>
          <c:tx>
            <c:rich>
              <a:bodyPr rot="-5400000" vert="horz" anchor="t" anchorCtr="0"/>
              <a:lstStyle/>
              <a:p>
                <a:pPr>
                  <a:defRPr sz="1000" b="1" i="0" u="none" strike="noStrike" baseline="0">
                    <a:solidFill>
                      <a:srgbClr val="000000"/>
                    </a:solidFill>
                    <a:latin typeface="Times New Roman"/>
                    <a:ea typeface="宋体"/>
                    <a:cs typeface="Lucida Sans"/>
                  </a:defRPr>
                </a:pPr>
                <a:r>
                  <a:rPr lang="zh-CN"/>
                  <a:t> </a:t>
                </a:r>
              </a:p>
            </c:rich>
          </c:tx>
          <c:layout/>
          <c:overlay val="0"/>
          <c:spPr>
            <a:ln>
              <a:noFill/>
            </a:ln>
          </c:spPr>
        </c:title>
        <c:numFmt formatCode="General" sourceLinked="1"/>
        <c:majorTickMark val="none"/>
        <c:minorTickMark val="none"/>
        <c:tickLblPos val="nextTo"/>
        <c:spPr>
          <a:ln>
            <a:noFill/>
          </a:ln>
        </c:spPr>
        <c:txPr>
          <a:bodyPr/>
          <a:lstStyle/>
          <a:p>
            <a:pPr>
              <a:defRPr sz="900" b="0" i="0" u="none" strike="noStrike" baseline="0">
                <a:solidFill>
                  <a:srgbClr val="595959"/>
                </a:solidFill>
                <a:latin typeface="Times New Roman"/>
                <a:ea typeface="宋体"/>
                <a:cs typeface="Lucida Sans"/>
              </a:defRPr>
            </a:pPr>
            <a:endParaRPr lang="zh-CN"/>
          </a:p>
        </c:txPr>
        <c:crossesAt val="1.0"/>
        <c:crossBetween val="between"/>
        <c:crossAx val="0"/>
      </c:valAx>
      <c:spPr>
        <a:noFill/>
        <a:ln>
          <a:noFill/>
        </a:ln>
      </c:spPr>
    </c:plotArea>
    <c:legend>
      <c:legendPos val="r"/>
      <c:layout/>
      <c:overlay val="0"/>
      <c:spPr>
        <a:noFill/>
        <a:ln>
          <a:noFill/>
        </a:ln>
      </c:spPr>
      <c:txPr>
        <a:bodyPr/>
        <a:lstStyle/>
        <a:p>
          <a:pPr>
            <a:defRPr sz="900" b="0" i="0" u="none" strike="noStrike" baseline="0">
              <a:solidFill>
                <a:srgbClr val="595959"/>
              </a:solidFill>
              <a:latin typeface="Times New Roman"/>
              <a:ea typeface="宋体"/>
              <a:cs typeface="Lucida Sans"/>
            </a:defRPr>
          </a:pPr>
          <a:endParaRPr lang="zh-CN"/>
        </a:p>
      </c:txPr>
    </c:legend>
    <c:plotVisOnly val="1"/>
    <c:dispBlanksAs val="gap"/>
    <c:showDLblsOverMax val="0"/>
  </c:chart>
  <c:spPr>
    <a:solidFill>
      <a:srgbClr val="FFFFFF"/>
    </a:solidFill>
    <a:ln w="6350">
      <a:solidFill>
        <a:srgbClr val="D9D9D9"/>
      </a:solidFill>
      <a:prstDash val="solid"/>
    </a:ln>
  </c:spPr>
  <c:txPr>
    <a:bodyPr/>
    <a:lstStyle/>
    <a:p>
      <a:pPr>
        <a:defRPr sz="1000" b="0" i="0" u="none" strike="noStrike" baseline="0">
          <a:solidFill>
            <a:srgbClr val="000000"/>
          </a:solidFill>
          <a:latin typeface="Times New Roman"/>
          <a:ea typeface="宋体"/>
          <a:cs typeface="Lucida Sans"/>
        </a:defRPr>
      </a:pPr>
      <a:endParaRPr lang="zh-CN"/>
    </a:p>
  </c:txPr>
  <c:printSettings>
    <c:headerFooter/>
    <c:pageMargins b="0.75" l="0.7" r="0.7" t="0.75" header="0.3" footer="0.3"/>
    <c:pageSetup/>
  </c:printSettings>
  <c:externalData r:id="rId1">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vert="horz" anchor="t" anchorCtr="0"/>
          <a:lstStyle/>
          <a:p>
            <a:pPr>
              <a:defRPr sz="1800" b="1" i="0" u="none" strike="noStrike" baseline="0">
                <a:solidFill>
                  <a:srgbClr val="000000"/>
                </a:solidFill>
                <a:latin typeface="Times New Roman"/>
                <a:ea typeface="宋体"/>
                <a:cs typeface="Lucida Sans"/>
              </a:defRPr>
            </a:pPr>
            <a:r>
              <a:rPr lang="zh-CN"/>
              <a:t>一般公共预算财政拨款支出</a:t>
            </a:r>
          </a:p>
        </c:rich>
      </c:tx>
      <c:layout/>
      <c:overlay val="0"/>
      <c:spPr>
        <a:ln>
          <a:noFill/>
        </a:ln>
      </c:spPr>
    </c:title>
    <c:autoTitleDeleted val="1"/>
    <c:plotArea>
      <c:layout/>
      <c:pieChart>
        <c:varyColors val="1"/>
        <c:ser>
          <c:idx val="1"/>
          <c:order val="0"/>
          <c:spPr>
            <a:ln>
              <a:noFill/>
            </a:ln>
          </c:spPr>
          <c:dPt>
            <c:idx val="0"/>
            <c:bubble3D val="0"/>
            <c:spPr>
              <a:solidFill>
                <a:srgbClr val="4F81BD"/>
              </a:solidFill>
            </c:spPr>
          </c:dPt>
          <c:dPt>
            <c:idx val="1"/>
            <c:bubble3D val="0"/>
            <c:spPr>
              <a:solidFill>
                <a:srgbClr val="C0504D"/>
              </a:solidFill>
            </c:spPr>
          </c:dPt>
          <c:dPt>
            <c:idx val="2"/>
            <c:bubble3D val="0"/>
            <c:spPr>
              <a:solidFill>
                <a:srgbClr val="9BBB59"/>
              </a:solidFill>
            </c:spPr>
          </c:dPt>
          <c:dPt>
            <c:idx val="3"/>
            <c:bubble3D val="0"/>
            <c:spPr>
              <a:solidFill>
                <a:srgbClr val="8064A2"/>
              </a:solidFill>
            </c:spPr>
          </c:dPt>
          <c:dLbls>
            <c:spPr>
              <a:noFill/>
              <a:ln>
                <a:noFill/>
              </a:ln>
            </c:spPr>
            <c:txPr>
              <a:bodyPr vert="horz"/>
              <a:lstStyle/>
              <a:p>
                <a:pPr>
                  <a:defRPr sz="1000" b="0" i="0" u="none" strike="noStrike" baseline="0">
                    <a:solidFill>
                      <a:srgbClr val="000000"/>
                    </a:solidFill>
                    <a:latin typeface="Times New Roman"/>
                    <a:ea typeface="宋体"/>
                    <a:cs typeface="Lucida Sans"/>
                  </a:defRPr>
                </a:pPr>
                <a:endParaRPr lang="zh-CN"/>
              </a:p>
            </c:txPr>
            <c:numFmt formatCode="General" sourceLinked="0"/>
            <c:showLegendKey val="0"/>
            <c:showVal val="1"/>
            <c:showCatName val="0"/>
            <c:showSerName val="0"/>
            <c:showPercent val="0"/>
            <c:showBubbleSize val="0"/>
            <c:showLeaderLines val="1"/>
          </c:dLbls>
          <c:cat>
            <c:strLit>
              <c:ptCount val="4"/>
              <c:pt idx="0">
                <c:v>社会保障和就业支出</c:v>
              </c:pt>
              <c:pt idx="1">
                <c:v>卫生健康支出</c:v>
              </c:pt>
              <c:pt idx="2">
                <c:v>农林水支出</c:v>
              </c:pt>
              <c:pt idx="3">
                <c:v>住房保障支出</c:v>
              </c:pt>
            </c:strLit>
          </c:cat>
          <c:val>
            <c:numRef>
              <c:f/>
              <c:numCache>
                <c:formatCode>General</c:formatCode>
                <c:ptCount val="4"/>
                <c:pt idx="0">
                  <c:v>1569.27</c:v>
                </c:pt>
                <c:pt idx="1">
                  <c:v>14.49</c:v>
                </c:pt>
                <c:pt idx="2">
                  <c:v>121.56</c:v>
                </c:pt>
                <c:pt idx="3">
                  <c:v>19.75</c:v>
                </c:pt>
              </c:numCache>
            </c:numRef>
          </c:val>
        </c:ser>
        <c:firstSliceAng val="0"/>
      </c:pieChart>
      <c:spPr>
        <a:noFill/>
      </c:spPr>
    </c:plotArea>
    <c:legend>
      <c:legendPos val="r"/>
      <c:layout/>
      <c:overlay val="0"/>
      <c:spPr>
        <a:noFill/>
        <a:ln>
          <a:noFill/>
        </a:ln>
      </c:spPr>
      <c:txPr>
        <a:bodyPr/>
        <a:lstStyle/>
        <a:p>
          <a:pPr>
            <a:defRPr sz="1000" b="0" i="0" u="none" strike="noStrike" baseline="0">
              <a:solidFill>
                <a:srgbClr val="000000"/>
              </a:solidFill>
              <a:latin typeface="Times New Roman"/>
              <a:ea typeface="宋体"/>
              <a:cs typeface="Lucida Sans"/>
            </a:defRPr>
          </a:pPr>
          <a:endParaRPr lang="zh-CN"/>
        </a:p>
      </c:txPr>
    </c:legend>
    <c:plotVisOnly val="1"/>
    <c:dispBlanksAs val="zero"/>
    <c:showDLblsOverMax val="0"/>
  </c:chart>
  <c:spPr/>
  <c:txPr>
    <a:bodyPr/>
    <a:lstStyle/>
    <a:p>
      <a:pPr>
        <a:defRPr sz="1000" b="0" i="0" u="none" strike="noStrike" baseline="0">
          <a:solidFill>
            <a:srgbClr val="000000"/>
          </a:solidFill>
          <a:latin typeface="Times New Roman"/>
          <a:ea typeface="宋体"/>
          <a:cs typeface="Lucida Sans"/>
        </a:defRPr>
      </a:pPr>
      <a:endParaRPr lang="zh-CN"/>
    </a:p>
  </c:txPr>
  <c:printSettings>
    <c:headerFooter/>
    <c:pageMargins b="0.75" l="0.7" r="0.7" t="0.75" header="0.3" footer="0.3"/>
    <c:pageSetup/>
  </c:printSettings>
  <c:externalData r:id="rId1">
    <c:autoUpdate val="0"/>
  </c:externalData>
</c:chartSpace>
</file>

<file path=word/charts/chart7.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vert="horz" anchor="t" anchorCtr="0"/>
          <a:lstStyle/>
          <a:p>
            <a:pPr>
              <a:defRPr sz="1800" b="1" i="0" u="none" strike="noStrike" baseline="0">
                <a:solidFill>
                  <a:srgbClr val="000000"/>
                </a:solidFill>
                <a:latin typeface="Times New Roman"/>
                <a:ea typeface="宋体"/>
                <a:cs typeface="Lucida Sans"/>
              </a:defRPr>
            </a:pPr>
            <a:r>
              <a:rPr lang="zh-CN"/>
              <a:t>三公经费</a:t>
            </a:r>
          </a:p>
        </c:rich>
      </c:tx>
      <c:layout/>
      <c:overlay val="0"/>
      <c:spPr>
        <a:ln>
          <a:noFill/>
        </a:ln>
      </c:spPr>
    </c:title>
    <c:autoTitleDeleted val="1"/>
    <c:plotArea>
      <c:layout/>
      <c:pieChart>
        <c:varyColors val="1"/>
        <c:ser>
          <c:idx val="1"/>
          <c:order val="0"/>
          <c:spPr>
            <a:ln>
              <a:noFill/>
            </a:ln>
          </c:spPr>
          <c:dPt>
            <c:idx val="0"/>
            <c:bubble3D val="0"/>
            <c:spPr>
              <a:solidFill>
                <a:srgbClr val="4F81BD"/>
              </a:solidFill>
            </c:spPr>
          </c:dPt>
          <c:dPt>
            <c:idx val="1"/>
            <c:bubble3D val="0"/>
            <c:spPr>
              <a:solidFill>
                <a:srgbClr val="C0504D"/>
              </a:solidFill>
            </c:spPr>
          </c:dPt>
          <c:dPt>
            <c:idx val="2"/>
            <c:bubble3D val="0"/>
            <c:spPr>
              <a:solidFill>
                <a:srgbClr val="9BBB59"/>
              </a:solidFill>
            </c:spPr>
          </c:dPt>
          <c:dLbls>
            <c:spPr>
              <a:noFill/>
              <a:ln>
                <a:noFill/>
              </a:ln>
            </c:spPr>
            <c:txPr>
              <a:bodyPr vert="horz"/>
              <a:lstStyle/>
              <a:p>
                <a:pPr>
                  <a:defRPr sz="1000" b="0" i="0" u="none" strike="noStrike" baseline="0">
                    <a:solidFill>
                      <a:srgbClr val="000000"/>
                    </a:solidFill>
                    <a:latin typeface="Times New Roman"/>
                    <a:ea typeface="宋体"/>
                    <a:cs typeface="Lucida Sans"/>
                  </a:defRPr>
                </a:pPr>
                <a:endParaRPr lang="zh-CN"/>
              </a:p>
            </c:txPr>
            <c:numFmt formatCode="General" sourceLinked="0"/>
            <c:showLegendKey val="0"/>
            <c:showVal val="1"/>
            <c:showCatName val="0"/>
            <c:showSerName val="0"/>
            <c:showPercent val="0"/>
            <c:showBubbleSize val="0"/>
            <c:showLeaderLines val="1"/>
          </c:dLbls>
          <c:cat>
            <c:strLit>
              <c:ptCount val="3"/>
              <c:pt idx="0">
                <c:v>因公出国（境）费</c:v>
              </c:pt>
              <c:pt idx="1">
                <c:v>公务用车购置及运行维护费</c:v>
              </c:pt>
              <c:pt idx="2">
                <c:v>公务接待费</c:v>
              </c:pt>
            </c:strLit>
          </c:cat>
          <c:val>
            <c:numRef>
              <c:f/>
              <c:numCache>
                <c:formatCode>General</c:formatCode>
                <c:ptCount val="3"/>
                <c:pt idx="0">
                  <c:v>0.0</c:v>
                </c:pt>
                <c:pt idx="1">
                  <c:v>27.28</c:v>
                </c:pt>
                <c:pt idx="2">
                  <c:v>0.0</c:v>
                </c:pt>
              </c:numCache>
            </c:numRef>
          </c:val>
        </c:ser>
        <c:firstSliceAng val="0"/>
      </c:pieChart>
      <c:spPr>
        <a:noFill/>
      </c:spPr>
    </c:plotArea>
    <c:legend>
      <c:legendPos val="r"/>
      <c:layout/>
      <c:overlay val="0"/>
      <c:spPr>
        <a:noFill/>
        <a:ln>
          <a:noFill/>
        </a:ln>
      </c:spPr>
      <c:txPr>
        <a:bodyPr/>
        <a:lstStyle/>
        <a:p>
          <a:pPr>
            <a:defRPr sz="1000" b="0" i="0" u="none" strike="noStrike" baseline="0">
              <a:solidFill>
                <a:srgbClr val="000000"/>
              </a:solidFill>
              <a:latin typeface="Times New Roman"/>
              <a:ea typeface="宋体"/>
              <a:cs typeface="Lucida Sans"/>
            </a:defRPr>
          </a:pPr>
          <a:endParaRPr lang="zh-CN"/>
        </a:p>
      </c:txPr>
    </c:legend>
    <c:plotVisOnly val="1"/>
    <c:dispBlanksAs val="zero"/>
    <c:showDLblsOverMax val="0"/>
  </c:chart>
  <c:spPr/>
  <c:txPr>
    <a:bodyPr/>
    <a:lstStyle/>
    <a:p>
      <a:pPr>
        <a:defRPr sz="1000" b="0" i="0" u="none" strike="noStrike" baseline="0">
          <a:solidFill>
            <a:srgbClr val="000000"/>
          </a:solidFill>
          <a:latin typeface="Times New Roman"/>
          <a:ea typeface="宋体"/>
          <a:cs typeface="Lucida Sans"/>
        </a:defRPr>
      </a:pPr>
      <a:endParaRPr lang="zh-CN"/>
    </a:p>
  </c:txPr>
  <c:printSettings>
    <c:headerFooter/>
    <c:pageMargins b="0.75" l="0.7" r="0.7" t="0.75" header="0.3" footer="0.3"/>
    <c:pageSetup/>
  </c:printSettings>
  <c:externalData r:id="rId1">
    <c:autoUpdate val="0"/>
  </c:externalData>
</c:chartSpace>
</file>

<file path=docProps/app.xml><?xml version="1.0" encoding="utf-8"?>
<Properties xmlns="http://schemas.openxmlformats.org/officeDocument/2006/extended-properties">
  <Template>Normal.eit</Template>
  <TotalTime>3</TotalTime>
  <Application>Yozo_Office27021597764231179</Application>
  <Pages>44</Pages>
  <Words>13319</Words>
  <Characters>14799</Characters>
  <Lines>1025</Lines>
  <Paragraphs>459</Paragraphs>
  <CharactersWithSpaces>14999</CharactersWithSpaces>
  <Company>四川省财政厅</Company>
</Properties>
</file>

<file path=docProps/core.xml><?xml version="1.0" encoding="utf-8"?>
<cp:coreProperties xmlns:cp="http://schemas.openxmlformats.org/package/2006/metadata/core-properties" xmlns:dc="http://purl.org/dc/elements/1.1/" xmlns:dcterms="http://purl.org/dc/terms/" xmlns:xsi="http://www.w3.org/2001/XMLSchema-instance">
  <dc:title>四川省决算编制说明</dc:title>
  <dc:creator>pjf</dc:creator>
  <cp:lastModifiedBy>user</cp:lastModifiedBy>
  <cp:revision>44</cp:revision>
  <cp:lastPrinted>2023-09-10T09:15:00Z</cp:lastPrinted>
  <dcterms:created xsi:type="dcterms:W3CDTF">2023-08-18T07:28:00Z</dcterms:created>
  <dcterms:modified xsi:type="dcterms:W3CDTF">2023-09-12T07:46:44Z</dcterms:modified>
</cp:coreProperties>
</file>

<file path=docProps/custom.xml><?xml version="1.0" encoding="utf-8"?>
<Properties xmlns:vt="http://schemas.openxmlformats.org/officeDocument/2006/docPropsVTypes" xmlns="http://schemas.openxmlformats.org/officeDocument/2006/custom-properties">
  <property fmtid="{D5CDD505-2E9C-101B-9397-08002B2CF9AE}" pid="2" name="KSOProductBuildVer">
    <vt:lpwstr>2052-12.1.0.15374</vt:lpwstr>
  </property>
  <property fmtid="{D5CDD505-2E9C-101B-9397-08002B2CF9AE}" pid="3" name="ICV">
    <vt:lpwstr>B93CA6F4BEAD4F359769D1203595D585</vt:lpwstr>
  </property>
</Properties>
</file>