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96597"/>
      <w:bookmarkStart w:id="1" w:name="_Toc15378441"/>
      <w:bookmarkStart w:id="2" w:name="_Toc15377425"/>
      <w:bookmarkStart w:id="3" w:name="_Toc15396475"/>
      <w:bookmarkStart w:id="4" w:name="_Toc15377193"/>
      <w:bookmarkStart w:id="5" w:name="_Toc15306267"/>
    </w:p>
    <w:p>
      <w:pPr>
        <w:pStyle w:val="5"/>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77194"/>
      <w:bookmarkStart w:id="7" w:name="_Toc15396476"/>
      <w:bookmarkStart w:id="8" w:name="_Toc15378442"/>
      <w:bookmarkStart w:id="9" w:name="_Toc15377426"/>
      <w:bookmarkStart w:id="10" w:name="_Toc15396598"/>
      <w:bookmarkStart w:id="11" w:name="_Toc15306268"/>
      <w:r>
        <w:rPr>
          <w:rFonts w:asciiTheme="minorEastAsia" w:hAnsiTheme="minorEastAsia" w:eastAsiaTheme="minorEastAsia"/>
          <w:b/>
          <w:sz w:val="72"/>
          <w:szCs w:val="72"/>
        </w:rPr>
        <w:t>阿坝州茂县公共就业和</w:t>
      </w:r>
    </w:p>
    <w:p>
      <w:pPr>
        <w:jc w:val="center"/>
        <w:rPr>
          <w:rFonts w:asciiTheme="minorEastAsia" w:hAnsiTheme="minorEastAsia" w:eastAsiaTheme="minorEastAsia"/>
          <w:b/>
          <w:sz w:val="72"/>
          <w:szCs w:val="72"/>
        </w:rPr>
      </w:pPr>
      <w:r>
        <w:rPr>
          <w:rFonts w:asciiTheme="minorEastAsia" w:hAnsiTheme="minorEastAsia" w:eastAsiaTheme="minorEastAsia"/>
          <w:b/>
          <w:sz w:val="72"/>
          <w:szCs w:val="72"/>
        </w:rPr>
        <w:t>人才交流服务局</w:t>
      </w:r>
      <w:r>
        <w:rPr>
          <w:rFonts w:hint="eastAsia" w:asciiTheme="minorEastAsia" w:hAnsiTheme="minorEastAsia" w:eastAsiaTheme="minorEastAsia"/>
          <w:b/>
          <w:sz w:val="72"/>
          <w:szCs w:val="72"/>
        </w:rPr>
        <w:t>部门决算</w:t>
      </w:r>
      <w:bookmarkEnd w:id="6"/>
      <w:bookmarkEnd w:id="7"/>
      <w:bookmarkEnd w:id="8"/>
      <w:bookmarkEnd w:id="9"/>
      <w:bookmarkEnd w:id="10"/>
      <w:bookmarkEnd w:id="11"/>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tabs>
          <w:tab w:val="left" w:pos="3600"/>
        </w:tabs>
      </w:pPr>
      <w:r>
        <w:tab/>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8"/>
          <w:rFonts w:ascii="黑体" w:hAnsi="黑体" w:eastAsia="黑体" w:cs="黑体"/>
        </w:rPr>
        <w:t>第一部分 部门概况</w:t>
      </w:r>
      <w:r>
        <w:tab/>
      </w:r>
      <w:r>
        <w:fldChar w:fldCharType="begin"/>
      </w:r>
      <w:r>
        <w:instrText xml:space="preserve"> PAGEREF _Toc113981009 \h </w:instrText>
      </w:r>
      <w:r>
        <w:fldChar w:fldCharType="separate"/>
      </w:r>
      <w:r>
        <w:t>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8"/>
          <w:rFonts w:ascii="黑体" w:eastAsia="黑体"/>
        </w:rPr>
        <w:t>一、基本职能及主要工作</w:t>
      </w:r>
      <w:r>
        <w:tab/>
      </w:r>
      <w:r>
        <w:fldChar w:fldCharType="begin"/>
      </w:r>
      <w:r>
        <w:instrText xml:space="preserve"> PAGEREF _Toc113981010 \h </w:instrText>
      </w:r>
      <w:r>
        <w:fldChar w:fldCharType="separate"/>
      </w:r>
      <w:r>
        <w:t>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8"/>
          <w:rFonts w:ascii="黑体" w:eastAsia="黑体"/>
        </w:rPr>
        <w:t>二、机构设置</w:t>
      </w:r>
      <w:r>
        <w:tab/>
      </w:r>
      <w:r>
        <w:fldChar w:fldCharType="begin"/>
      </w:r>
      <w:r>
        <w:instrText xml:space="preserve"> PAGEREF _Toc113981011 \h </w:instrText>
      </w:r>
      <w:r>
        <w:fldChar w:fldCharType="separate"/>
      </w:r>
      <w:r>
        <w:t>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8"/>
          <w:rFonts w:hint="eastAsia" w:ascii="黑体" w:hAnsi="黑体" w:eastAsia="黑体" w:cs="黑体"/>
        </w:rPr>
        <w:t>第二部分</w:t>
      </w:r>
      <w:r>
        <w:rPr>
          <w:rStyle w:val="18"/>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8"/>
          <w:rFonts w:ascii="黑体" w:eastAsia="黑体"/>
        </w:rPr>
        <w:t>一、收入支出决算总体情况说明</w:t>
      </w:r>
      <w:r>
        <w:tab/>
      </w:r>
      <w:r>
        <w:fldChar w:fldCharType="begin"/>
      </w:r>
      <w:r>
        <w:instrText xml:space="preserve"> PAGEREF _Toc113981013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8"/>
          <w:rFonts w:ascii="黑体" w:eastAsia="黑体"/>
        </w:rPr>
        <w:t>二、收入决算情况说明</w:t>
      </w:r>
      <w:r>
        <w:tab/>
      </w:r>
      <w:r>
        <w:fldChar w:fldCharType="begin"/>
      </w:r>
      <w:r>
        <w:instrText xml:space="preserve"> PAGEREF _Toc113981014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8"/>
          <w:rFonts w:ascii="黑体" w:eastAsia="黑体"/>
        </w:rPr>
        <w:t>三、支出决算情况说明</w:t>
      </w:r>
      <w:r>
        <w:tab/>
      </w:r>
      <w:r>
        <w:fldChar w:fldCharType="begin"/>
      </w:r>
      <w:r>
        <w:instrText xml:space="preserve"> PAGEREF _Toc113981015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8"/>
          <w:rFonts w:ascii="黑体" w:eastAsia="黑体"/>
        </w:rPr>
        <w:t>四、财政拨款收入支出决算总体情况说明</w:t>
      </w:r>
      <w:r>
        <w:tab/>
      </w:r>
      <w:r>
        <w:fldChar w:fldCharType="begin"/>
      </w:r>
      <w:r>
        <w:instrText xml:space="preserve"> PAGEREF _Toc113981016 \h </w:instrText>
      </w:r>
      <w:r>
        <w:fldChar w:fldCharType="separate"/>
      </w:r>
      <w:r>
        <w:t>5</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8"/>
          <w:rFonts w:ascii="黑体" w:eastAsia="黑体"/>
        </w:rPr>
        <w:t>五、一般公共预算财政拨款支出决算情况说明</w:t>
      </w:r>
      <w:r>
        <w:tab/>
      </w:r>
      <w:r>
        <w:fldChar w:fldCharType="begin"/>
      </w:r>
      <w:r>
        <w:instrText xml:space="preserve"> PAGEREF _Toc113981017 \h </w:instrText>
      </w:r>
      <w:r>
        <w:fldChar w:fldCharType="separate"/>
      </w:r>
      <w:r>
        <w:t>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8"/>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8"/>
          <w:rFonts w:ascii="黑体" w:eastAsia="黑体"/>
        </w:rPr>
        <w:t>七、“三公”经费财政拨款支出决算情况说明</w:t>
      </w:r>
      <w:r>
        <w:tab/>
      </w:r>
      <w:r>
        <w:fldChar w:fldCharType="begin"/>
      </w:r>
      <w:r>
        <w:instrText xml:space="preserve"> PAGEREF _Toc113981019 \h </w:instrText>
      </w:r>
      <w:r>
        <w:fldChar w:fldCharType="separate"/>
      </w:r>
      <w:r>
        <w:t>10</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8"/>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8"/>
          <w:rFonts w:ascii="黑体" w:eastAsia="黑体"/>
        </w:rPr>
        <w:t>九、国有资本经营预算支出决算情况说明</w:t>
      </w:r>
      <w:r>
        <w:tab/>
      </w:r>
      <w:r>
        <w:fldChar w:fldCharType="begin"/>
      </w:r>
      <w:r>
        <w:instrText xml:space="preserve"> PAGEREF _Toc113981021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8"/>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8"/>
          <w:rFonts w:ascii="黑体" w:hAnsi="黑体" w:eastAsia="黑体" w:cs="黑体"/>
        </w:rPr>
        <w:t>第三部分 名词解释</w:t>
      </w:r>
      <w:r>
        <w:tab/>
      </w:r>
      <w:r>
        <w:fldChar w:fldCharType="begin"/>
      </w:r>
      <w:r>
        <w:instrText xml:space="preserve"> PAGEREF _Toc113981023 \h </w:instrText>
      </w:r>
      <w:r>
        <w:fldChar w:fldCharType="separate"/>
      </w:r>
      <w:r>
        <w:t>13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8"/>
          <w:rFonts w:ascii="黑体" w:hAnsi="黑体" w:eastAsia="黑体" w:cs="黑体"/>
        </w:rPr>
        <w:t>第四部分 附件</w:t>
      </w:r>
      <w:r>
        <w:tab/>
      </w:r>
      <w:r>
        <w:fldChar w:fldCharType="begin"/>
      </w:r>
      <w:r>
        <w:instrText xml:space="preserve"> PAGEREF _Toc113981024 \h </w:instrText>
      </w:r>
      <w:r>
        <w:fldChar w:fldCharType="separate"/>
      </w:r>
      <w:r>
        <w:t>17</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8"/>
          <w:rFonts w:ascii="黑体" w:hAnsi="黑体" w:eastAsia="黑体" w:cs="黑体"/>
        </w:rPr>
        <w:t>第五部分 附表</w:t>
      </w:r>
      <w:r>
        <w:tab/>
      </w:r>
      <w:r>
        <w:fldChar w:fldCharType="begin"/>
      </w:r>
      <w:r>
        <w:instrText xml:space="preserve"> PAGEREF _Toc113981025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8"/>
          <w:rFonts w:ascii="黑体" w:eastAsia="黑体"/>
        </w:rPr>
        <w:t>一、收入支出决算总表</w:t>
      </w:r>
      <w:r>
        <w:tab/>
      </w:r>
      <w:r>
        <w:fldChar w:fldCharType="begin"/>
      </w:r>
      <w:r>
        <w:instrText xml:space="preserve"> PAGEREF _Toc113981026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8"/>
          <w:rFonts w:ascii="黑体" w:eastAsia="黑体"/>
        </w:rPr>
        <w:t>二、收入决算表</w:t>
      </w:r>
      <w:r>
        <w:tab/>
      </w:r>
      <w:r>
        <w:fldChar w:fldCharType="begin"/>
      </w:r>
      <w:r>
        <w:instrText xml:space="preserve"> PAGEREF _Toc113981027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8"/>
          <w:rFonts w:ascii="黑体" w:eastAsia="黑体"/>
        </w:rPr>
        <w:t>三、支出决算表</w:t>
      </w:r>
      <w:r>
        <w:tab/>
      </w:r>
      <w:r>
        <w:fldChar w:fldCharType="begin"/>
      </w:r>
      <w:r>
        <w:instrText xml:space="preserve"> PAGEREF _Toc113981028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8"/>
          <w:rFonts w:ascii="黑体" w:eastAsia="黑体"/>
        </w:rPr>
        <w:t>四、财政拨款收入支出决算总表</w:t>
      </w:r>
      <w:r>
        <w:tab/>
      </w:r>
      <w:r>
        <w:fldChar w:fldCharType="begin"/>
      </w:r>
      <w:r>
        <w:instrText xml:space="preserve"> PAGEREF _Toc113981029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8"/>
          <w:rFonts w:ascii="黑体" w:eastAsia="黑体"/>
        </w:rPr>
        <w:t>五、财政拨款支出决算明细表</w:t>
      </w:r>
      <w:r>
        <w:tab/>
      </w:r>
      <w:r>
        <w:fldChar w:fldCharType="begin"/>
      </w:r>
      <w:r>
        <w:instrText xml:space="preserve"> PAGEREF _Toc113981030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8"/>
          <w:rFonts w:ascii="黑体" w:eastAsia="黑体"/>
        </w:rPr>
        <w:t>六、一般公共预算财政拨款支出决算表</w:t>
      </w:r>
      <w:r>
        <w:tab/>
      </w:r>
      <w:r>
        <w:fldChar w:fldCharType="begin"/>
      </w:r>
      <w:r>
        <w:instrText xml:space="preserve"> PAGEREF _Toc113981031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8"/>
          <w:rFonts w:ascii="黑体" w:eastAsia="黑体"/>
        </w:rPr>
        <w:t>七、一般公共预算财政拨款支出决算明细表</w:t>
      </w:r>
      <w:r>
        <w:tab/>
      </w:r>
      <w:r>
        <w:fldChar w:fldCharType="begin"/>
      </w:r>
      <w:r>
        <w:instrText xml:space="preserve"> PAGEREF _Toc113981032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8"/>
          <w:rFonts w:ascii="黑体" w:eastAsia="黑体"/>
        </w:rPr>
        <w:t>八、一般公共预算财政拨款基本支出决算表</w:t>
      </w:r>
      <w:r>
        <w:tab/>
      </w:r>
      <w:r>
        <w:fldChar w:fldCharType="begin"/>
      </w:r>
      <w:r>
        <w:instrText xml:space="preserve"> PAGEREF _Toc113981033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8"/>
          <w:rFonts w:ascii="黑体" w:eastAsia="黑体"/>
        </w:rPr>
        <w:t>九、一般公共预算财政拨款项目支出决算表</w:t>
      </w:r>
      <w:r>
        <w:tab/>
      </w:r>
      <w:r>
        <w:fldChar w:fldCharType="begin"/>
      </w:r>
      <w:r>
        <w:instrText xml:space="preserve"> PAGEREF _Toc113981034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8"/>
          <w:rFonts w:ascii="黑体" w:eastAsia="黑体"/>
        </w:rPr>
        <w:t>十、一般公共预算财政拨款“三公”经费支出决算表</w:t>
      </w:r>
      <w:r>
        <w:tab/>
      </w:r>
      <w:r>
        <w:fldChar w:fldCharType="begin"/>
      </w:r>
      <w:r>
        <w:instrText xml:space="preserve"> PAGEREF _Toc113981035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8"/>
          <w:rFonts w:ascii="黑体" w:eastAsia="黑体"/>
        </w:rPr>
        <w:t>十一、政府性基金预算财政拨款收入支出决算表</w:t>
      </w:r>
      <w:r>
        <w:tab/>
      </w:r>
      <w:r>
        <w:fldChar w:fldCharType="begin"/>
      </w:r>
      <w:r>
        <w:instrText xml:space="preserve"> PAGEREF _Toc113981036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8"/>
          <w:rFonts w:ascii="黑体" w:eastAsia="黑体"/>
        </w:rPr>
        <w:t>十二、政府性基金预算财政拨款“三公”经费支出决算表</w:t>
      </w:r>
      <w:r>
        <w:tab/>
      </w:r>
      <w:r>
        <w:fldChar w:fldCharType="begin"/>
      </w:r>
      <w:r>
        <w:instrText xml:space="preserve"> PAGEREF _Toc113981037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8"/>
          <w:rFonts w:ascii="黑体" w:eastAsia="黑体"/>
        </w:rPr>
        <w:t>十三、国有资本经营预算财政拨款收入支出决算表</w:t>
      </w:r>
      <w:r>
        <w:tab/>
      </w:r>
      <w:r>
        <w:fldChar w:fldCharType="begin"/>
      </w:r>
      <w:r>
        <w:instrText xml:space="preserve"> PAGEREF _Toc113981038 \h </w:instrText>
      </w:r>
      <w:r>
        <w:fldChar w:fldCharType="separate"/>
      </w:r>
      <w:r>
        <w:t>27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8"/>
          <w:rFonts w:ascii="黑体" w:eastAsia="黑体"/>
        </w:rPr>
        <w:t>十四、国有资本经营预算财政拨款支出决算表</w:t>
      </w:r>
      <w:r>
        <w:tab/>
      </w:r>
      <w:r>
        <w:fldChar w:fldCharType="begin"/>
      </w:r>
      <w:r>
        <w:instrText xml:space="preserve"> PAGEREF _Toc113981039 \h </w:instrText>
      </w:r>
      <w:r>
        <w:fldChar w:fldCharType="separate"/>
      </w:r>
      <w:r>
        <w:t>27</w:t>
      </w:r>
      <w:r>
        <w:fldChar w:fldCharType="end"/>
      </w:r>
      <w:r>
        <w:fldChar w:fldCharType="end"/>
      </w:r>
    </w:p>
    <w:p>
      <w:pPr>
        <w:pStyle w:val="5"/>
      </w:pPr>
      <w:r>
        <w:rPr>
          <w:smallCaps/>
          <w:szCs w:val="20"/>
        </w:rPr>
        <w:fldChar w:fldCharType="end"/>
      </w:r>
    </w:p>
    <w:p>
      <w:pPr>
        <w:pStyle w:val="2"/>
        <w:jc w:val="center"/>
        <w:rPr>
          <w:rFonts w:hint="eastAsia" w:ascii="黑体" w:hAnsi="黑体" w:eastAsia="黑体" w:cs="黑体"/>
        </w:rPr>
        <w:sectPr>
          <w:footerReference r:id="rId3" w:type="first"/>
          <w:pgSz w:w="11906" w:h="16838"/>
          <w:pgMar w:top="1440" w:right="1800" w:bottom="1440" w:left="1800" w:header="851" w:footer="992" w:gutter="0"/>
          <w:cols w:space="425" w:num="1"/>
          <w:docGrid w:type="lines" w:linePitch="312" w:charSpace="0"/>
        </w:sectPr>
      </w:pPr>
      <w:bookmarkStart w:id="13" w:name="_Toc111208495"/>
      <w:bookmarkStart w:id="14" w:name="_Toc113981009"/>
    </w:p>
    <w:p>
      <w:pPr>
        <w:pStyle w:val="2"/>
        <w:jc w:val="center"/>
        <w:rPr>
          <w:rFonts w:ascii="黑体" w:hAnsi="黑体" w:eastAsia="黑体" w:cs="黑体"/>
          <w:b w:val="0"/>
          <w:bCs w:val="0"/>
        </w:rPr>
      </w:pPr>
      <w:r>
        <w:rPr>
          <w:rFonts w:hint="eastAsia" w:ascii="黑体" w:hAnsi="黑体" w:eastAsia="黑体" w:cs="黑体"/>
        </w:rPr>
        <w:t xml:space="preserve">第一部分 </w:t>
      </w:r>
      <w:r>
        <w:rPr>
          <w:rStyle w:val="28"/>
          <w:rFonts w:hint="eastAsia" w:ascii="黑体" w:hAnsi="黑体" w:eastAsia="黑体" w:cs="黑体"/>
          <w:b/>
          <w:bCs w:val="0"/>
        </w:rPr>
        <w:t>部门概况</w:t>
      </w:r>
      <w:bookmarkEnd w:id="12"/>
      <w:bookmarkEnd w:id="13"/>
      <w:bookmarkEnd w:id="14"/>
    </w:p>
    <w:p>
      <w:pPr>
        <w:pStyle w:val="3"/>
        <w:ind w:firstLine="643" w:firstLineChars="200"/>
        <w:rPr>
          <w:rFonts w:ascii="黑体" w:eastAsia="黑体" w:cs="Times New Roman"/>
          <w:bCs w:val="0"/>
          <w:color w:val="000000"/>
        </w:rPr>
      </w:pPr>
      <w:bookmarkStart w:id="15" w:name="_Toc111208496"/>
      <w:bookmarkStart w:id="16" w:name="_Toc15377197"/>
      <w:bookmarkStart w:id="17" w:name="_Toc113981010"/>
      <w:r>
        <w:rPr>
          <w:rFonts w:hint="eastAsia" w:ascii="黑体" w:eastAsia="黑体" w:cs="Times New Roman"/>
          <w:bCs w:val="0"/>
          <w:color w:val="000000"/>
        </w:rPr>
        <w:t>一、基本职能及主要工作</w:t>
      </w:r>
      <w:bookmarkEnd w:id="15"/>
      <w:bookmarkEnd w:id="16"/>
      <w:bookmarkEnd w:id="17"/>
      <w:bookmarkStart w:id="18" w:name="_Toc15378445"/>
      <w:bookmarkStart w:id="19" w:name="_Toc15377198"/>
    </w:p>
    <w:p>
      <w:pPr>
        <w:spacing w:line="600" w:lineRule="exact"/>
        <w:ind w:firstLine="643" w:firstLineChars="200"/>
        <w:outlineLvl w:val="2"/>
        <w:rPr>
          <w:rFonts w:hint="eastAsia" w:ascii="仿宋" w:hAnsi="仿宋" w:eastAsia="仿宋"/>
          <w:b/>
          <w:color w:val="000000"/>
          <w:sz w:val="32"/>
          <w:szCs w:val="32"/>
        </w:rPr>
      </w:pPr>
      <w:r>
        <w:rPr>
          <w:rFonts w:hint="eastAsia" w:ascii="仿宋" w:hAnsi="仿宋" w:eastAsia="仿宋"/>
          <w:b/>
          <w:color w:val="000000"/>
          <w:sz w:val="32"/>
          <w:szCs w:val="32"/>
        </w:rPr>
        <w:t>（一）主要职能</w:t>
      </w:r>
      <w:bookmarkEnd w:id="18"/>
      <w:bookmarkEnd w:id="19"/>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1.负责宣传和贯彻落实国家就业创业和失业保险有关的方针政策和法律法规。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2.组织实施全县城乡就业创业工作，负责城乡就业创业工作目标管理及考核，为城乡劳动者提供就业创业服务。加强对就业困难人员、“零就业家庭”成员等群体的就业援助工作， 促进有劳动能力、有就业愿望的所有劳动者实现充分就业。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3.按规定使用就业专项资金和失业保险基金承担失业保险政策宣传及失业保险基金的管理、失业保险待遇的审核、发放及有关经办服务工作。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4.建立农村劳动力资源数据库，为城乡劳动者提供就业政策法规咨询，发布职业供求信息以及职业培训信息，办理求职登记，就业登记、失业登记等事务，开展职业指导和职业介绍，组织实施劳务转移。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5.负责拟定全县就业创业培训和品牌培训工作发展规划和年度计划；负责牵头组织各类就业培训和管理；统一管理培训资金；承担职业能力建设相关业务经办工作。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6.以创业带动就业，全面落实小额担保贷款贴息、社保补贴等扶持政策，促使各类失业人员通过从事个体经营、自谋职业、灵活就业、创办企业带动和吸纳就业。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7.做好未就业高校毕业生参加就业见习和自主创业工作，落实好高校毕业生创业补贴政策。
</w:t>
      </w:r>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8.大力开发公益性岗位，落实岗位补贴及社保补贴。
</w:t>
      </w:r>
    </w:p>
    <w:p>
      <w:pPr>
        <w:spacing w:line="600" w:lineRule="exact"/>
        <w:ind w:firstLine="640" w:firstLineChars="200"/>
        <w:outlineLvl w:val="2"/>
      </w:pPr>
      <w:r>
        <w:rPr>
          <w:rFonts w:ascii="仿宋" w:hAnsi="仿宋" w:eastAsia="仿宋"/>
          <w:color w:val="000000"/>
          <w:sz w:val="32"/>
          <w:szCs w:val="32"/>
        </w:rPr>
        <w:t>9.承担全县就业培训、创业指导、失业保险、农村劳动力转移、劳服企业经营情况等各方面统计数据的汇总、分析和统计工作。</w:t>
      </w:r>
    </w:p>
    <w:p>
      <w:pPr>
        <w:spacing w:line="600" w:lineRule="exact"/>
        <w:ind w:left="319" w:leftChars="152" w:firstLine="321" w:firstLineChars="100"/>
        <w:outlineLvl w:val="2"/>
        <w:rPr>
          <w:rFonts w:hint="eastAsia" w:ascii="仿宋" w:hAnsi="仿宋" w:eastAsia="仿宋"/>
          <w:b/>
          <w:color w:val="000000"/>
          <w:sz w:val="32"/>
          <w:szCs w:val="32"/>
        </w:rPr>
      </w:pPr>
      <w:bookmarkStart w:id="20" w:name="_Toc15377199"/>
      <w:bookmarkStart w:id="21" w:name="_Toc15378446"/>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p>
    <w:p>
      <w:pPr>
        <w:spacing w:line="600" w:lineRule="exact"/>
        <w:ind w:firstLine="640" w:firstLineChars="200"/>
        <w:outlineLvl w:val="2"/>
        <w:rPr>
          <w:rFonts w:ascii="仿宋" w:hAnsi="仿宋" w:eastAsia="仿宋"/>
          <w:color w:val="000000"/>
          <w:sz w:val="32"/>
          <w:szCs w:val="32"/>
        </w:rPr>
      </w:pPr>
      <w:r>
        <w:rPr>
          <w:rFonts w:ascii="仿宋" w:hAnsi="仿宋" w:eastAsia="仿宋"/>
          <w:color w:val="000000"/>
          <w:sz w:val="32"/>
          <w:szCs w:val="32"/>
        </w:rPr>
        <w:t>完成2021年城镇新增就业832人，完成年度目标104%；城镇失业人员再就业79人，完成年度目标112.86%；就业困难人员再就业10人，完成年度目标100%；城镇登记失业率3.7%，控制在3.9%以内；离校未就业毕业生已实现就业或处于就业准备活动中的比例达到99%；新增青年就业见习32人，完成年度目标106.67%。发放小额担保贷款230万元，完成年度目标100%。转移输出农村劳动力1.9979万人，实现劳务收入5.83亿元。全县参加失业保险人数9136人。</w:t>
      </w:r>
    </w:p>
    <w:p>
      <w:pPr>
        <w:pStyle w:val="3"/>
        <w:ind w:firstLine="643" w:firstLineChars="200"/>
        <w:rPr>
          <w:rFonts w:hint="default" w:ascii="仿宋_GB2312" w:hAnsi="仿宋_GB2312" w:eastAsia="仿宋_GB2312" w:cs="仿宋_GB2312"/>
          <w:b w:val="0"/>
          <w:bCs w:val="0"/>
          <w:color w:val="000000"/>
          <w:kern w:val="2"/>
          <w:sz w:val="32"/>
          <w:szCs w:val="32"/>
          <w:lang w:val="en-US" w:eastAsia="zh-CN" w:bidi="ar-SA"/>
        </w:rPr>
      </w:pPr>
      <w:bookmarkStart w:id="23" w:name="_Toc111208497"/>
      <w:bookmarkStart w:id="24" w:name="_Toc113981011"/>
      <w:r>
        <w:rPr>
          <w:rFonts w:hint="eastAsia" w:ascii="黑体" w:eastAsia="黑体" w:cs="Times New Roman"/>
          <w:bCs w:val="0"/>
          <w:color w:val="000000"/>
        </w:rPr>
        <w:t>二、机构设置</w:t>
      </w:r>
      <w:bookmarkEnd w:id="22"/>
      <w:bookmarkEnd w:id="23"/>
      <w:bookmarkEnd w:id="24"/>
      <w:r>
        <w:rPr>
          <w:rFonts w:ascii="仿宋" w:hAnsi="仿宋" w:eastAsia="仿宋"/>
          <w:color w:val="000000"/>
          <w:sz w:val="32"/>
          <w:szCs w:val="32"/>
        </w:rPr>
        <w:br w:type="textWrapping"/>
      </w:r>
      <w:r>
        <w:rPr>
          <w:rFonts w:ascii="仿宋" w:hAnsi="仿宋" w:eastAsia="仿宋"/>
          <w:color w:val="000000"/>
          <w:sz w:val="32"/>
          <w:szCs w:val="32"/>
        </w:rPr>
        <w:tab/>
      </w:r>
      <w:r>
        <w:rPr>
          <w:rFonts w:ascii="仿宋" w:hAnsi="仿宋" w:eastAsia="仿宋"/>
          <w:color w:val="000000"/>
          <w:sz w:val="32"/>
          <w:szCs w:val="32"/>
        </w:rPr>
        <w:t xml:space="preserve"> </w:t>
      </w:r>
      <w:r>
        <w:rPr>
          <w:rFonts w:hint="eastAsia" w:ascii="仿宋_GB2312" w:hAnsi="仿宋_GB2312" w:eastAsia="仿宋_GB2312" w:cs="仿宋_GB2312"/>
          <w:b w:val="0"/>
          <w:bCs w:val="0"/>
          <w:color w:val="000000"/>
          <w:kern w:val="2"/>
          <w:sz w:val="32"/>
          <w:szCs w:val="32"/>
          <w:lang w:val="en-US" w:eastAsia="zh-CN" w:bidi="ar-SA"/>
        </w:rPr>
        <w:t>茂县公共就业和人才交流服务局是参照公务法管理的事业单位，属于一级预算单位，下属二级预算单位0个。</w:t>
      </w:r>
      <w:bookmarkStart w:id="132" w:name="_GoBack"/>
      <w:bookmarkEnd w:id="132"/>
    </w:p>
    <w:p>
      <w:pPr>
        <w:widowControl/>
        <w:jc w:val="left"/>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2"/>
        <w:jc w:val="center"/>
        <w:rPr>
          <w:rFonts w:ascii="黑体" w:hAnsi="黑体" w:eastAsia="黑体" w:cs="黑体"/>
        </w:rPr>
      </w:pPr>
      <w:bookmarkStart w:id="26" w:name="_Toc113981012"/>
      <w:bookmarkStart w:id="27" w:name="_Toc111208498"/>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3"/>
        <w:ind w:firstLine="643" w:firstLineChars="200"/>
        <w:rPr>
          <w:rFonts w:ascii="黑体" w:eastAsia="黑体" w:cs="Times New Roman"/>
          <w:bCs w:val="0"/>
          <w:color w:val="000000"/>
        </w:rPr>
      </w:pPr>
      <w:bookmarkStart w:id="28" w:name="_Toc15377205"/>
      <w:bookmarkStart w:id="29" w:name="_Toc111208499"/>
      <w:bookmarkStart w:id="30" w:name="_Toc113981013"/>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517.69</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年相比，收、支总计各</w:t>
      </w:r>
      <w:r>
        <w:rPr>
          <w:rFonts w:ascii="仿宋" w:hAnsi="仿宋" w:eastAsia="仿宋"/>
          <w:color w:val="000000"/>
          <w:sz w:val="32"/>
          <w:szCs w:val="32"/>
        </w:rPr>
        <w:t>增加94.46</w:t>
      </w:r>
      <w:r>
        <w:rPr>
          <w:rFonts w:hint="eastAsia" w:ascii="仿宋" w:hAnsi="仿宋" w:eastAsia="仿宋"/>
          <w:color w:val="000000"/>
          <w:sz w:val="32"/>
          <w:szCs w:val="32"/>
        </w:rPr>
        <w:t>万元，</w:t>
      </w:r>
      <w:r>
        <w:rPr>
          <w:rFonts w:ascii="仿宋" w:hAnsi="仿宋" w:eastAsia="仿宋"/>
          <w:color w:val="000000"/>
          <w:sz w:val="32"/>
          <w:szCs w:val="32"/>
        </w:rPr>
        <w:t>增加22.32</w:t>
      </w:r>
      <w:r>
        <w:rPr>
          <w:rFonts w:hint="eastAsia" w:ascii="仿宋" w:hAnsi="仿宋" w:eastAsia="仿宋"/>
          <w:color w:val="000000"/>
          <w:sz w:val="32"/>
          <w:szCs w:val="32"/>
        </w:rPr>
        <w:t xml:space="preserve">%。 </w:t>
      </w:r>
    </w:p>
    <w:p>
      <w:pPr>
        <w:spacing w:line="600" w:lineRule="exact"/>
        <w:ind w:firstLine="640" w:firstLineChars="200"/>
        <w:jc w:val="center"/>
        <w:rPr>
          <w:rFonts w:ascii="仿宋_GB2312" w:hAnsi="仿宋" w:eastAsia="仿宋_GB2312"/>
          <w:color w:val="000000" w:themeColor="text1"/>
          <w:sz w:val="28"/>
          <w:szCs w:val="28"/>
        </w:rPr>
      </w:pPr>
      <w:r>
        <w:rPr>
          <w:rFonts w:hint="eastAsia" w:ascii="仿宋" w:hAns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5"/>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ind w:firstLine="643" w:firstLineChars="200"/>
        <w:rPr>
          <w:rFonts w:ascii="黑体" w:eastAsia="黑体" w:cs="Times New Roman"/>
          <w:bCs w:val="0"/>
          <w:color w:val="000000"/>
        </w:rPr>
      </w:pPr>
      <w:bookmarkStart w:id="31" w:name="_Toc111208500"/>
      <w:bookmarkStart w:id="32" w:name="_Toc113981014"/>
      <w:bookmarkStart w:id="33" w:name="_Toc15377206"/>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2021年本年收入合计517.69万元，其中：一般公共预算财政拨款收入517.69万元；政府性基金预算财政拨款收入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万元；国有资本经营预算财政拨款收入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万元；上级补助收入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3"/>
        <w:ind w:firstLine="643" w:firstLineChars="200"/>
        <w:rPr>
          <w:rFonts w:ascii="黑体" w:eastAsia="黑体" w:cs="Times New Roman"/>
          <w:bCs w:val="0"/>
          <w:color w:val="000000"/>
        </w:rPr>
      </w:pPr>
      <w:bookmarkStart w:id="34" w:name="_Toc15377207"/>
      <w:bookmarkStart w:id="35" w:name="_Toc111208501"/>
      <w:bookmarkStart w:id="36" w:name="_Toc113981015"/>
      <w:r>
        <w:rPr>
          <w:rFonts w:hint="eastAsia" w:ascii="黑体" w:eastAsia="黑体" w:cs="Times New Roman"/>
          <w:bCs w:val="0"/>
          <w:color w:val="000000"/>
        </w:rPr>
        <w:t>三、支出决算情况说明</w:t>
      </w:r>
      <w:bookmarkEnd w:id="34"/>
      <w:bookmarkEnd w:id="35"/>
      <w:bookmarkEnd w:id="36"/>
    </w:p>
    <w:p>
      <w:pPr>
        <w:pStyle w:val="5"/>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517.69</w:t>
      </w:r>
      <w:r>
        <w:rPr>
          <w:rFonts w:ascii="仿宋" w:hAnsi="仿宋" w:eastAsia="仿宋"/>
          <w:color w:val="000000"/>
          <w:sz w:val="32"/>
          <w:szCs w:val="32"/>
        </w:rPr>
        <w:t>万元，其中：基本支出</w:t>
      </w:r>
      <w:r>
        <w:rPr>
          <w:rFonts w:hint="eastAsia" w:ascii="仿宋" w:hAnsi="仿宋" w:eastAsia="仿宋"/>
          <w:color w:val="000000"/>
          <w:sz w:val="32"/>
          <w:szCs w:val="32"/>
        </w:rPr>
        <w:t>265.12</w:t>
      </w:r>
      <w:r>
        <w:rPr>
          <w:rFonts w:ascii="仿宋" w:hAnsi="仿宋" w:eastAsia="仿宋"/>
          <w:color w:val="000000"/>
          <w:sz w:val="32"/>
          <w:szCs w:val="32"/>
        </w:rPr>
        <w:t>万元，占</w:t>
      </w:r>
      <w:r>
        <w:rPr>
          <w:rFonts w:hint="eastAsia" w:ascii="仿宋" w:hAnsi="仿宋" w:eastAsia="仿宋"/>
          <w:color w:val="000000"/>
          <w:sz w:val="32"/>
          <w:szCs w:val="32"/>
        </w:rPr>
        <w:t>51.21</w:t>
      </w:r>
      <w:r>
        <w:rPr>
          <w:rFonts w:ascii="仿宋" w:hAnsi="仿宋" w:eastAsia="仿宋"/>
          <w:color w:val="000000"/>
          <w:sz w:val="32"/>
          <w:szCs w:val="32"/>
        </w:rPr>
        <w:t>%；项目支出</w:t>
      </w:r>
      <w:r>
        <w:rPr>
          <w:rFonts w:hint="eastAsia" w:ascii="仿宋" w:hAnsi="仿宋" w:eastAsia="仿宋"/>
          <w:color w:val="000000"/>
          <w:sz w:val="32"/>
          <w:szCs w:val="32"/>
        </w:rPr>
        <w:t>252.57</w:t>
      </w:r>
      <w:r>
        <w:rPr>
          <w:rFonts w:ascii="仿宋" w:hAnsi="仿宋" w:eastAsia="仿宋"/>
          <w:color w:val="000000"/>
          <w:sz w:val="32"/>
          <w:szCs w:val="32"/>
        </w:rPr>
        <w:t>万元，占</w:t>
      </w:r>
      <w:r>
        <w:rPr>
          <w:rFonts w:hint="eastAsia" w:ascii="仿宋" w:hAnsi="仿宋" w:eastAsia="仿宋"/>
          <w:color w:val="000000"/>
          <w:sz w:val="32"/>
          <w:szCs w:val="32"/>
        </w:rPr>
        <w:t>48.79</w:t>
      </w:r>
      <w:r>
        <w:rPr>
          <w:rFonts w:ascii="仿宋" w:hAnsi="仿宋" w:eastAsia="仿宋"/>
          <w:color w:val="000000"/>
          <w:sz w:val="32"/>
          <w:szCs w:val="32"/>
        </w:rPr>
        <w:t>%；上缴上级支出</w:t>
      </w:r>
      <w:r>
        <w:rPr>
          <w:rFonts w:hint="eastAsia" w:ascii="仿宋" w:hAnsi="仿宋" w:eastAsia="仿宋"/>
          <w:color w:val="000000"/>
          <w:sz w:val="32"/>
          <w:szCs w:val="32"/>
          <w:lang w:eastAsia="zh-CN"/>
        </w:rPr>
        <w:t>0</w:t>
      </w:r>
      <w:r>
        <w:rPr>
          <w:rFonts w:ascii="仿宋" w:hAnsi="仿宋" w:eastAsia="仿宋"/>
          <w:color w:val="000000"/>
          <w:sz w:val="32"/>
          <w:szCs w:val="32"/>
        </w:rPr>
        <w:t>万元；经营支出</w:t>
      </w:r>
      <w:r>
        <w:rPr>
          <w:rFonts w:hint="eastAsia" w:ascii="仿宋" w:hAnsi="仿宋" w:eastAsia="仿宋"/>
          <w:color w:val="000000"/>
          <w:sz w:val="32"/>
          <w:szCs w:val="32"/>
          <w:lang w:eastAsia="zh-CN"/>
        </w:rPr>
        <w:t>0</w:t>
      </w:r>
      <w:r>
        <w:rPr>
          <w:rFonts w:ascii="仿宋" w:hAnsi="仿宋" w:eastAsia="仿宋"/>
          <w:color w:val="000000"/>
          <w:sz w:val="32"/>
          <w:szCs w:val="32"/>
        </w:rPr>
        <w:t>万元；对附属单位补助支出</w:t>
      </w:r>
      <w:r>
        <w:rPr>
          <w:rFonts w:hint="eastAsia" w:ascii="仿宋" w:hAnsi="仿宋" w:eastAsia="仿宋"/>
          <w:color w:val="000000"/>
          <w:sz w:val="32"/>
          <w:szCs w:val="32"/>
          <w:lang w:eastAsia="zh-CN"/>
        </w:rPr>
        <w:t>0</w:t>
      </w:r>
      <w:r>
        <w:rPr>
          <w:rFonts w:ascii="仿宋" w:hAnsi="仿宋" w:eastAsia="仿宋"/>
          <w:color w:val="000000"/>
          <w:sz w:val="32"/>
          <w:szCs w:val="32"/>
        </w:rPr>
        <w:t>万元。</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5"/>
      </w:pPr>
    </w:p>
    <w:p>
      <w:pPr>
        <w:pStyle w:val="3"/>
        <w:ind w:firstLine="643" w:firstLineChars="200"/>
        <w:rPr>
          <w:rFonts w:ascii="黑体" w:eastAsia="黑体" w:cs="Times New Roman"/>
          <w:bCs w:val="0"/>
          <w:color w:val="000000"/>
        </w:rPr>
      </w:pPr>
      <w:bookmarkStart w:id="37" w:name="_Toc113981016"/>
      <w:bookmarkStart w:id="38" w:name="_Toc15377208"/>
      <w:bookmarkStart w:id="39" w:name="_Toc111208502"/>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 xml:space="preserve">2021年财政拨款收、支总计517.69万元。与2020年相比，财政拨款收、支总计各增加94.46万元，增加22.32 %。 </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5"/>
        <w:ind w:firstLine="0"/>
      </w:pPr>
    </w:p>
    <w:p>
      <w:pPr>
        <w:pStyle w:val="5"/>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5"/>
        <w:jc w:val="center"/>
      </w:pPr>
    </w:p>
    <w:p>
      <w:pPr>
        <w:pStyle w:val="3"/>
        <w:ind w:firstLine="643" w:firstLineChars="200"/>
        <w:rPr>
          <w:rFonts w:ascii="黑体" w:eastAsia="黑体" w:cs="Times New Roman"/>
          <w:bCs w:val="0"/>
          <w:color w:val="000000"/>
        </w:rPr>
      </w:pPr>
      <w:bookmarkStart w:id="40" w:name="_Toc15377209"/>
      <w:bookmarkStart w:id="41" w:name="_Toc113981017"/>
      <w:bookmarkStart w:id="42" w:name="_Toc111208503"/>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3"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rPr>
          <w:rFonts w:ascii="仿宋_GB2312" w:hAnsi="仿宋" w:eastAsia="仿宋_GB2312"/>
          <w:color w:val="000000"/>
          <w:sz w:val="32"/>
          <w:szCs w:val="32"/>
        </w:rPr>
      </w:pPr>
      <w:bookmarkStart w:id="44" w:name="_Toc15377211"/>
      <w:r>
        <w:rPr>
          <w:rFonts w:hint="eastAsia" w:ascii="仿宋" w:hAnsi="仿宋" w:eastAsia="仿宋"/>
          <w:color w:val="000000"/>
          <w:sz w:val="32"/>
          <w:szCs w:val="32"/>
        </w:rPr>
        <w:t>2021年一般公共预算财政拨款支出517.69万元，占本年支出合计的10</w:t>
      </w:r>
      <w:r>
        <w:rPr>
          <w:rFonts w:hint="eastAsia" w:ascii="仿宋" w:hAnsi="仿宋" w:eastAsia="仿宋"/>
          <w:color w:val="000000"/>
          <w:sz w:val="32"/>
          <w:szCs w:val="32"/>
          <w:lang w:eastAsia="zh-CN"/>
        </w:rPr>
        <w:t>0</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 xml:space="preserve">与2020相比，一般公共预算财政拨款增加94.46万元，增加22.32%。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5"/>
        <w:ind w:firstLine="0"/>
        <w:rPr>
          <w:rFonts w:ascii="仿宋_GB2312" w:hAnsi="仿宋" w:eastAsia="仿宋_GB2312"/>
          <w:b/>
          <w:color w:val="000000"/>
          <w:sz w:val="32"/>
          <w:szCs w:val="32"/>
        </w:rPr>
      </w:pPr>
    </w:p>
    <w:p>
      <w:pPr>
        <w:pStyle w:val="5"/>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5"/>
        <w:ind w:firstLine="0"/>
        <w:rPr>
          <w:rFonts w:ascii="仿宋_GB2312" w:hAnsi="仿宋" w:eastAsia="仿宋_GB2312"/>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2021年一般公共预算财政拨款支出517.69万元，主要用于以下方面:社会保障和就业支出404.28万元，占78.09%；卫生健康支出13.29万元，占2.57%；农林水支出80.87万元，占15.62%；住房保障支出19.25万元，占3.72%。</w:t>
      </w:r>
    </w:p>
    <w:p>
      <w:pPr>
        <w:spacing w:line="600" w:lineRule="exact"/>
        <w:jc w:val="center"/>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5"/>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spacing w:line="600" w:lineRule="exact"/>
        <w:ind w:firstLine="640"/>
        <w:rPr>
          <w:rFonts w:ascii="仿宋" w:hAnsi="仿宋" w:eastAsia="仿宋"/>
          <w:color w:val="000000"/>
          <w:sz w:val="32"/>
          <w:szCs w:val="32"/>
        </w:rPr>
      </w:pPr>
      <w:bookmarkStart w:id="46" w:name="_Toc15378460"/>
      <w:bookmarkStart w:id="47" w:name="_Toc15377213"/>
      <w:bookmarkStart w:id="48" w:name="_Toc15377444"/>
      <w:r>
        <w:rPr>
          <w:rFonts w:hint="eastAsia" w:ascii="仿宋" w:hAnsi="仿宋" w:eastAsia="仿宋"/>
          <w:color w:val="000000"/>
          <w:sz w:val="32"/>
          <w:szCs w:val="32"/>
        </w:rPr>
        <w:t>2021年一般公共预算支出决算数为517.69万</w:t>
      </w:r>
      <w:r>
        <w:rPr>
          <w:rFonts w:hint="eastAsia" w:ascii="仿宋" w:hAnsi="仿宋" w:eastAsia="仿宋"/>
          <w:color w:val="000000"/>
          <w:sz w:val="32"/>
          <w:szCs w:val="32"/>
          <w:lang w:val="en-US" w:eastAsia="zh-CN"/>
        </w:rPr>
        <w:t>元</w:t>
      </w:r>
      <w:r>
        <w:rPr>
          <w:rFonts w:hint="eastAsia" w:ascii="仿宋" w:hAnsi="仿宋" w:eastAsia="仿宋"/>
          <w:color w:val="000000"/>
          <w:sz w:val="32"/>
          <w:szCs w:val="32"/>
        </w:rPr>
        <w:t>，完成预算100%。其中：</w:t>
      </w:r>
      <w:bookmarkEnd w:id="46"/>
      <w:bookmarkEnd w:id="47"/>
      <w:bookmarkEnd w:id="48"/>
    </w:p>
    <w:p>
      <w:pPr>
        <w:numPr>
          <w:ilvl w:val="0"/>
          <w:numId w:val="0"/>
        </w:num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社会保障和就业支出（208）人力资源和社会保障管理事务（20801）行政运行（2080101）支出决算130.17万元，完成预算100%。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2.社会保障和就业支出（208）人力资源和社会保障管理事务（20801）社会保险经办机构（2080109）支出决算73.90万元，完成预算100%。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3.社会保障和就业支出（208）行政事业单位养老支出（20805）机关事业单位基本养老保险缴费支出（2080505）支出决算19.01万元，完成预算100%。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4.社会保障和就业支出（208）行政事业单位养老支出（20805）机关事业单位职业年金缴费支出（2080506）支出决算9.50万元，完成预算100%。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5.社会保障和就业支出（208）就业补助（20807）其他就业补助支出（2080799）支出决算171.70万元，完成预算100%。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6.卫生健康支出（210）行政事业单位医疗（21011）行政单位医疗（2101101）支出决算8.47万元，完成预算100%。</w:t>
      </w:r>
    </w:p>
    <w:p>
      <w:pPr>
        <w:numPr>
          <w:ilvl w:val="0"/>
          <w:numId w:val="0"/>
        </w:num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7.卫生健康支出（210）行政事业单位医疗（21011）事业单位医疗（2101102）支出决算4.82万元，完成预算100%。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8.农林水支出（213）扶贫（21305）其他扶贫支出（2130599）支出决算80.87万元，完成预算100%。</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9.住房保障支出（221）住房改革支出（22102）住房公积金（2210201）支出决算19.25万元，完成预算100%。</w:t>
      </w:r>
    </w:p>
    <w:p>
      <w:pPr>
        <w:pStyle w:val="3"/>
        <w:ind w:firstLine="643" w:firstLineChars="200"/>
        <w:rPr>
          <w:rFonts w:ascii="黑体" w:eastAsia="黑体" w:cs="Times New Roman"/>
          <w:b w:val="0"/>
          <w:color w:val="000000"/>
        </w:rPr>
      </w:pPr>
      <w:bookmarkStart w:id="49" w:name="_Toc15377214"/>
      <w:bookmarkStart w:id="50" w:name="_Toc111208504"/>
      <w:bookmarkStart w:id="51" w:name="_Toc113981018"/>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2021年一般公共预算财政拨款基本支出265.12万元，其中：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253.66万元，主要包括：基本工资56.01万元、津贴补贴40.90万元、奖金41.54万元、绩效工资46.93万元、机关事业单位基本养老保险缴费19.01万元、职业年金缴费9.50万元、职工基本医疗保险缴费13.29万元、其他社会保障缴费0.71万元、住房公积金19.25万元、医疗费1.92万元、生活补助4.60万元、奖励金0.02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公用经费11.46万元，主要包括：办公费2.87万元、邮电费1.26万元、差旅费4.71万元、培训费0.04万元、公务用车运行维护费1.96万元、其他交通费用0.62万元。</w:t>
      </w:r>
    </w:p>
    <w:p>
      <w:pPr>
        <w:pStyle w:val="3"/>
        <w:ind w:firstLine="643" w:firstLineChars="200"/>
        <w:rPr>
          <w:rFonts w:ascii="黑体" w:eastAsia="黑体" w:cs="Times New Roman"/>
          <w:bCs w:val="0"/>
          <w:color w:val="000000"/>
        </w:rPr>
      </w:pPr>
      <w:bookmarkStart w:id="52" w:name="_Toc113981019"/>
      <w:bookmarkStart w:id="53" w:name="_Toc15377215"/>
      <w:bookmarkStart w:id="54" w:name="_Toc111208505"/>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3" w:firstLineChars="200"/>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2021年“三公”经费财政拨款支出决算为1.96万元，完成预算10</w:t>
      </w:r>
      <w:r>
        <w:rPr>
          <w:rFonts w:hint="eastAsia" w:ascii="仿宋" w:hAnsi="仿宋" w:eastAsia="仿宋"/>
          <w:color w:val="000000"/>
          <w:sz w:val="32"/>
          <w:szCs w:val="32"/>
          <w:lang w:eastAsia="zh-CN"/>
        </w:rPr>
        <w:t>0</w:t>
      </w:r>
      <w:r>
        <w:rPr>
          <w:rFonts w:hint="eastAsia" w:ascii="仿宋" w:hAnsi="仿宋" w:eastAsia="仿宋"/>
          <w:color w:val="000000"/>
          <w:sz w:val="32"/>
          <w:szCs w:val="32"/>
        </w:rPr>
        <w:t>%。</w:t>
      </w:r>
      <w:bookmarkStart w:id="56" w:name="_Toc15377217"/>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2021年“三公”经费财政拨款支出1.96万</w:t>
      </w:r>
      <w:r>
        <w:rPr>
          <w:rFonts w:hint="eastAsia" w:ascii="仿宋" w:hAnsi="仿宋" w:eastAsia="仿宋"/>
          <w:color w:val="000000"/>
          <w:sz w:val="32"/>
          <w:szCs w:val="32"/>
          <w:lang w:val="en-US" w:eastAsia="zh-CN"/>
        </w:rPr>
        <w:t>元</w:t>
      </w:r>
      <w:r>
        <w:rPr>
          <w:rFonts w:hint="eastAsia" w:ascii="仿宋" w:hAnsi="仿宋" w:eastAsia="仿宋"/>
          <w:color w:val="000000"/>
          <w:sz w:val="32"/>
          <w:szCs w:val="32"/>
        </w:rPr>
        <w:t>，因公出国（境）费支出决算</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万元；公务用车购置及运行维护费支出决算1.96万元；公务接待费支出决算</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万元。具体情况如下：</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5"/>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1.因公出国（境）经费支出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万元。全年安排因公出国（境）团组0次，出国（境）0人。因公出国（境）支出决算比2020年增加</w:t>
      </w:r>
      <w:r>
        <w:rPr>
          <w:rFonts w:hint="eastAsia" w:ascii="仿宋" w:hAnsi="仿宋" w:eastAsia="仿宋"/>
          <w:color w:val="000000"/>
          <w:sz w:val="32"/>
          <w:szCs w:val="32"/>
          <w:lang w:eastAsia="zh-CN"/>
        </w:rPr>
        <w:t>0</w:t>
      </w:r>
      <w:r>
        <w:rPr>
          <w:rFonts w:hint="eastAsia" w:ascii="仿宋" w:hAnsi="仿宋" w:eastAsia="仿宋"/>
          <w:color w:val="000000"/>
          <w:sz w:val="32"/>
          <w:szCs w:val="32"/>
        </w:rPr>
        <w:t xml:space="preserve">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2.公务用车购置及运行维护费支出1.96万元,完成预算10</w:t>
      </w:r>
      <w:r>
        <w:rPr>
          <w:rFonts w:hint="eastAsia" w:ascii="仿宋" w:hAnsi="仿宋" w:eastAsia="仿宋"/>
          <w:color w:val="000000"/>
          <w:sz w:val="32"/>
          <w:szCs w:val="32"/>
          <w:lang w:eastAsia="zh-CN"/>
        </w:rPr>
        <w:t>0</w:t>
      </w:r>
      <w:r>
        <w:rPr>
          <w:rFonts w:hint="eastAsia" w:ascii="仿宋" w:hAnsi="仿宋" w:eastAsia="仿宋"/>
          <w:color w:val="000000"/>
          <w:sz w:val="32"/>
          <w:szCs w:val="32"/>
        </w:rPr>
        <w:t xml:space="preserve">%。公务用车购置及运行维护费支出决算比2020年减少1.85万元，减少48.53%。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万元。全年按规定更新购置公务用车</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辆，其中：轿车</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辆、</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越野车0辆、金额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万元，载客汽车0辆、金额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月底，单位共有公务用车0辆，其中：轿车0辆、越野车0辆、载客汽车0辆。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公务用车运行维护费支出1.96万元。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万元。公务接待费支出决算比2020年增加</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bookmarkStart w:id="57" w:name="_Toc15377218"/>
      <w:r>
        <w:rPr>
          <w:rFonts w:hint="eastAsia"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万元。国内公务接待0批次，0人次（不包括陪同人员），共计支出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pStyle w:val="5"/>
        <w:rPr>
          <w:rFonts w:ascii="仿宋" w:hAnsi="仿宋" w:eastAsia="仿宋"/>
          <w:color w:val="000000"/>
          <w:sz w:val="32"/>
          <w:szCs w:val="32"/>
        </w:rPr>
      </w:pPr>
      <w:r>
        <w:rPr>
          <w:rFonts w:hint="eastAsia" w:ascii="仿宋" w:hAnsi="仿宋" w:eastAsia="仿宋"/>
          <w:color w:val="000000"/>
          <w:sz w:val="32"/>
          <w:szCs w:val="32"/>
        </w:rPr>
        <w:t>外事接待支出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万元，外事接待0批次，0人，共计支出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pStyle w:val="3"/>
        <w:ind w:firstLine="643" w:firstLineChars="200"/>
        <w:rPr>
          <w:rFonts w:ascii="黑体" w:eastAsia="黑体" w:cs="Times New Roman"/>
          <w:bCs w:val="0"/>
          <w:color w:val="000000"/>
        </w:rPr>
      </w:pPr>
      <w:bookmarkStart w:id="58" w:name="_Toc113981020"/>
      <w:bookmarkStart w:id="59" w:name="_Toc111208506"/>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hAnsi="仿宋" w:eastAsia="仿宋"/>
        </w:rPr>
      </w:pPr>
      <w:r>
        <w:rPr>
          <w:rFonts w:hint="eastAsia" w:ascii="仿宋" w:hAnsi="仿宋" w:eastAsia="仿宋"/>
          <w:color w:val="000000"/>
          <w:sz w:val="32"/>
          <w:szCs w:val="32"/>
        </w:rPr>
        <w:t>2021年政府性基金预算拨款支出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bookmarkStart w:id="60" w:name="_Toc15377219"/>
    </w:p>
    <w:p>
      <w:pPr>
        <w:pStyle w:val="3"/>
        <w:ind w:firstLine="643" w:firstLineChars="200"/>
        <w:rPr>
          <w:rFonts w:ascii="黑体" w:eastAsia="黑体" w:cs="Times New Roman"/>
          <w:bCs w:val="0"/>
          <w:color w:val="000000"/>
        </w:rPr>
      </w:pPr>
      <w:bookmarkStart w:id="61" w:name="_Toc111208507"/>
      <w:bookmarkStart w:id="62" w:name="_Toc113981021"/>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hAnsi="仿宋" w:eastAsia="仿宋"/>
        </w:rPr>
      </w:pPr>
      <w:r>
        <w:rPr>
          <w:rFonts w:hint="eastAsia" w:ascii="仿宋" w:hAnsi="仿宋" w:eastAsia="仿宋"/>
          <w:color w:val="000000"/>
          <w:sz w:val="32"/>
          <w:szCs w:val="32"/>
        </w:rPr>
        <w:t>2021年国有资本经营预算拨款支出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pStyle w:val="3"/>
        <w:ind w:firstLine="643" w:firstLineChars="200"/>
        <w:rPr>
          <w:rFonts w:ascii="黑体" w:eastAsia="黑体" w:cs="Times New Roman"/>
          <w:bCs w:val="0"/>
          <w:color w:val="000000"/>
        </w:rPr>
      </w:pPr>
      <w:bookmarkStart w:id="63" w:name="_Toc111208508"/>
      <w:bookmarkStart w:id="64" w:name="_Toc15377221"/>
      <w:bookmarkStart w:id="65" w:name="_Toc113981022"/>
      <w:r>
        <w:rPr>
          <w:rFonts w:hint="eastAsia" w:ascii="黑体" w:eastAsia="黑体" w:cs="Times New Roman"/>
          <w:bCs w:val="0"/>
          <w:color w:val="000000"/>
        </w:rPr>
        <w:t>十、其他重要事项的情况说明</w:t>
      </w:r>
      <w:bookmarkEnd w:id="63"/>
      <w:bookmarkEnd w:id="64"/>
      <w:bookmarkEnd w:id="65"/>
    </w:p>
    <w:p>
      <w:pPr>
        <w:spacing w:line="600" w:lineRule="exact"/>
        <w:ind w:firstLine="643" w:firstLineChars="200"/>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2021年，机关运行经费支出8.93万元，比2020年减少2.37万元，减少21.0%。 </w:t>
      </w:r>
    </w:p>
    <w:p>
      <w:pPr>
        <w:spacing w:line="600" w:lineRule="exact"/>
        <w:ind w:firstLine="643" w:firstLineChars="200"/>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2021年，政府采购支出总额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万元，其中：政府采购货物支出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万元、政府采购工程支出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万元、政府采购服务支出</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万元。授予中小企业合同金额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万元，其中：授予小微企业合同金额</w:t>
      </w:r>
      <w:r>
        <w:rPr>
          <w:rFonts w:hint="eastAsia" w:ascii="仿宋" w:hAnsi="仿宋" w:eastAsia="仿宋"/>
          <w:color w:val="000000"/>
          <w:sz w:val="32"/>
          <w:szCs w:val="32"/>
          <w:lang w:eastAsia="zh-CN"/>
        </w:rPr>
        <w:t>0</w:t>
      </w:r>
      <w:r>
        <w:rPr>
          <w:rFonts w:hint="eastAsia" w:ascii="仿宋" w:hAnsi="仿宋" w:eastAsia="仿宋"/>
          <w:color w:val="000000"/>
          <w:sz w:val="32"/>
          <w:szCs w:val="32"/>
        </w:rPr>
        <w:t>万元。</w:t>
      </w:r>
    </w:p>
    <w:p>
      <w:pPr>
        <w:spacing w:line="600" w:lineRule="exact"/>
        <w:ind w:firstLine="643" w:firstLineChars="200"/>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日，共有车辆0辆，其中：主要领导干部用车0辆、机要通信用车0辆、应急保障用车0辆、其他用车0辆。单价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pStyle w:val="5"/>
      </w:pPr>
      <w:r>
        <w:rPr>
          <w:rFonts w:hint="eastAsia"/>
        </w:rPr>
        <w:t xml:space="preserve"> </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2"/>
        <w:jc w:val="center"/>
        <w:rPr>
          <w:rFonts w:ascii="黑体" w:hAnsi="黑体" w:eastAsia="黑体" w:cs="黑体"/>
        </w:rPr>
      </w:pPr>
      <w:bookmarkStart w:id="69" w:name="_Toc111208509"/>
      <w:bookmarkStart w:id="70" w:name="_Toc113981023"/>
      <w:bookmarkStart w:id="71" w:name="_Toc15377225"/>
      <w:r>
        <w:rPr>
          <w:rFonts w:hint="eastAsia" w:ascii="黑体" w:hAnsi="黑体" w:eastAsia="黑体" w:cs="黑体"/>
        </w:rPr>
        <w:t>第三部分 名词解释</w:t>
      </w:r>
      <w:bookmarkEnd w:id="69"/>
      <w:bookmarkEnd w:id="70"/>
      <w:bookmarkEnd w:id="71"/>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9.社会保障和就业支出（208）人力资源和社会保障管理事务（20801）行政运行（2080101）：反映行政单位（包括实行公务员管理的事业单位）的基本支出。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10.社会保障和就业支出（208）人力资源和社会保障管理事务（20801）社会保险经办机构（2080109）：反映社会保险经办机构开展业务工作的支出。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11.社会保障和就业支出（208）行政事业单位养老支出（20805）机关事业单位基本养老保险缴费支出（2080505）：反映机关事业单位实施养老保险制度由单位缴纳的基本养老保险费支出。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12.社会保障和就业支出（208）行政事业单位养老支出（20805）机关事业单位职业年金缴费支出（2080506）：反映机关事业单位实施养老保险制度由单位实际缴纳的职业年金支出。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13.社会保障和就业支出（208）就业补助（20807）其他就业补助支出（2080799）：反映除上述项目以外按规定确定的其他用于促进就业的补助支出。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14.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15.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16.农林水支出（213）扶贫（21305）其他扶贫支出（2130599）：反映除上述项目以外其他用于扶贫方面的支出。</w:t>
      </w:r>
      <w:r>
        <w:rPr>
          <w:rFonts w:hint="eastAsia" w:ascii="仿宋" w:hAnsi="仿宋" w:eastAsia="仿宋"/>
          <w:color w:val="000000"/>
          <w:sz w:val="32"/>
          <w:szCs w:val="32"/>
        </w:rPr>
        <w:br w:type="textWrapping"/>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17.住房保障支出（221）住房改革支出（22102）住房公积金（2210201）：反映行政事业单位按人力资源和社会保障部、财政部规定的基本工资和津贴补贴以及规定比例为职工缴纳的住房公积金。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18.基本支出：指为保障机构正常运转、完成日常工作任务而发生的人员支出和公用支出。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19.经营支出：指事业单位在专业业务活动及其辅助活动之外开展非独立核算经营活动发生的支出。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22.财政应返还额度：为行政事业单位会计核算科目，用于核算实行国库集中支付的行政事业单位应收财政返还的资金额度。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pStyle w:val="2"/>
        <w:jc w:val="center"/>
        <w:rPr>
          <w:rFonts w:ascii="黑体" w:hAnsi="黑体" w:eastAsia="黑体" w:cs="黑体"/>
        </w:rPr>
      </w:pPr>
      <w:bookmarkStart w:id="72" w:name="_Toc111208510"/>
      <w:bookmarkStart w:id="73" w:name="_Toc113981024"/>
      <w:r>
        <w:rPr>
          <w:rFonts w:hint="eastAsia" w:ascii="黑体" w:hAnsi="黑体" w:eastAsia="黑体" w:cs="黑体"/>
        </w:rPr>
        <w:t>第四部分 附件</w:t>
      </w:r>
      <w:bookmarkEnd w:id="72"/>
      <w:bookmarkEnd w:id="73"/>
    </w:p>
    <w:p>
      <w:pPr>
        <w:pStyle w:val="33"/>
        <w:spacing w:line="576" w:lineRule="exact"/>
        <w:ind w:firstLine="1100" w:firstLineChars="250"/>
        <w:rPr>
          <w:rFonts w:ascii="方正小标宋简体" w:eastAsia="方正小标宋简体"/>
          <w:sz w:val="44"/>
          <w:szCs w:val="44"/>
        </w:rPr>
      </w:pPr>
      <w:r>
        <w:rPr>
          <w:rFonts w:hint="eastAsia" w:ascii="方正小标宋简体" w:eastAsia="方正小标宋简体"/>
          <w:sz w:val="44"/>
          <w:szCs w:val="44"/>
        </w:rPr>
        <w:t>茂县公共就业和人才交流服务局</w:t>
      </w:r>
    </w:p>
    <w:p>
      <w:pPr>
        <w:pStyle w:val="33"/>
        <w:spacing w:line="576" w:lineRule="exact"/>
        <w:ind w:firstLine="1320" w:firstLineChars="300"/>
        <w:rPr>
          <w:rFonts w:ascii="方正小标宋简体" w:hAnsi="宋体" w:eastAsia="方正小标宋简体"/>
          <w:sz w:val="44"/>
          <w:szCs w:val="44"/>
          <w:shd w:val="clear" w:color="auto" w:fill="FFFFFF"/>
        </w:rPr>
      </w:pPr>
      <w:r>
        <w:rPr>
          <w:rFonts w:hint="eastAsia" w:ascii="方正小标宋简体" w:hAnsi="宋体" w:eastAsia="方正小标宋简体"/>
          <w:sz w:val="44"/>
          <w:szCs w:val="44"/>
          <w:shd w:val="clear" w:color="auto" w:fill="FFFFFF"/>
        </w:rPr>
        <w:t>20</w:t>
      </w:r>
      <w:r>
        <w:rPr>
          <w:rFonts w:ascii="方正小标宋简体" w:hAnsi="宋体" w:eastAsia="方正小标宋简体"/>
          <w:sz w:val="44"/>
          <w:szCs w:val="44"/>
          <w:shd w:val="clear" w:color="auto" w:fill="FFFFFF"/>
        </w:rPr>
        <w:t>21</w:t>
      </w:r>
      <w:r>
        <w:rPr>
          <w:rFonts w:hint="eastAsia" w:ascii="方正小标宋简体" w:hAnsi="宋体" w:eastAsia="方正小标宋简体"/>
          <w:sz w:val="44"/>
          <w:szCs w:val="44"/>
          <w:shd w:val="clear" w:color="auto" w:fill="FFFFFF"/>
        </w:rPr>
        <w:t>年部门整体支出绩效报告</w:t>
      </w:r>
    </w:p>
    <w:p>
      <w:pPr>
        <w:pStyle w:val="33"/>
        <w:spacing w:line="576" w:lineRule="exact"/>
        <w:rPr>
          <w:rFonts w:ascii="方正小标宋简体" w:eastAsia="方正小标宋简体"/>
          <w:sz w:val="44"/>
          <w:szCs w:val="44"/>
        </w:rPr>
      </w:pPr>
    </w:p>
    <w:p>
      <w:pPr>
        <w:pStyle w:val="39"/>
        <w:spacing w:line="576" w:lineRule="exact"/>
        <w:ind w:firstLine="640" w:firstLineChars="200"/>
        <w:rPr>
          <w:rFonts w:ascii="黑体" w:hAnsi="黑体" w:eastAsia="黑体"/>
          <w:sz w:val="32"/>
          <w:szCs w:val="32"/>
        </w:rPr>
      </w:pPr>
      <w:r>
        <w:rPr>
          <w:rFonts w:hint="eastAsia" w:ascii="黑体" w:hAnsi="黑体" w:eastAsia="黑体"/>
          <w:sz w:val="32"/>
          <w:szCs w:val="32"/>
        </w:rPr>
        <w:t>一、单位概况</w:t>
      </w:r>
    </w:p>
    <w:p>
      <w:pPr>
        <w:pStyle w:val="39"/>
        <w:spacing w:line="576"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（一）机构组成</w:t>
      </w:r>
    </w:p>
    <w:p>
      <w:pPr>
        <w:pStyle w:val="33"/>
        <w:ind w:firstLine="420" w:firstLineChars="200"/>
        <w:rPr>
          <w:rFonts w:ascii="仿宋_GB2312" w:eastAsia="仿宋_GB2312"/>
          <w:sz w:val="32"/>
          <w:szCs w:val="32"/>
        </w:rPr>
      </w:pPr>
      <w:r>
        <w:rPr>
          <w:rFonts w:hint="eastAsia"/>
        </w:rPr>
        <w:t>　</w:t>
      </w:r>
      <w:r>
        <w:fldChar w:fldCharType="begin"/>
      </w:r>
      <w:r>
        <w:instrText xml:space="preserve"> HYPERLINK "http://baike.so.com/doc/6291240.html" \t "_blank" </w:instrText>
      </w:r>
      <w:r>
        <w:fldChar w:fldCharType="separate"/>
      </w:r>
      <w:r>
        <w:rPr>
          <w:rStyle w:val="38"/>
          <w:rFonts w:hint="eastAsia" w:ascii="仿宋_GB2312" w:eastAsia="仿宋_GB2312" w:cs="Arial"/>
          <w:color w:val="auto"/>
          <w:sz w:val="32"/>
          <w:szCs w:val="32"/>
        </w:rPr>
        <w:t>茂县</w:t>
      </w:r>
      <w:r>
        <w:rPr>
          <w:rStyle w:val="38"/>
          <w:rFonts w:hint="eastAsia" w:ascii="仿宋_GB2312" w:eastAsia="仿宋_GB2312" w:cs="Arial"/>
          <w:color w:val="auto"/>
          <w:sz w:val="32"/>
          <w:szCs w:val="32"/>
        </w:rPr>
        <w:fldChar w:fldCharType="end"/>
      </w:r>
      <w:r>
        <w:rPr>
          <w:rFonts w:hint="eastAsia" w:ascii="仿宋_GB2312" w:eastAsia="仿宋_GB2312"/>
          <w:sz w:val="32"/>
          <w:szCs w:val="32"/>
        </w:rPr>
        <w:t>公共就业和人才交流服务局前身为“茂县就业服务管理局”，</w:t>
      </w:r>
      <w:r>
        <w:rPr>
          <w:rFonts w:ascii="仿宋_GB2312" w:eastAsia="仿宋_GB2312"/>
          <w:sz w:val="32"/>
          <w:szCs w:val="32"/>
        </w:rPr>
        <w:t>2014</w:t>
      </w:r>
      <w:r>
        <w:rPr>
          <w:rFonts w:hint="eastAsia" w:ascii="仿宋_GB2312" w:eastAsia="仿宋_GB2312"/>
          <w:sz w:val="32"/>
          <w:szCs w:val="32"/>
        </w:rPr>
        <w:t>年</w:t>
      </w:r>
      <w:r>
        <w:rPr>
          <w:rFonts w:ascii="仿宋_GB2312" w:eastAsia="仿宋_GB2312"/>
          <w:sz w:val="32"/>
          <w:szCs w:val="32"/>
        </w:rPr>
        <w:t>7</w:t>
      </w:r>
      <w:r>
        <w:rPr>
          <w:rFonts w:hint="eastAsia" w:ascii="仿宋_GB2312" w:eastAsia="仿宋_GB2312"/>
          <w:sz w:val="32"/>
          <w:szCs w:val="32"/>
        </w:rPr>
        <w:t>月经上级部门批准，更名为“茂县公共就业和人才交流服务局”，是县政府综合管理全县就业工作的</w:t>
      </w:r>
      <w:r>
        <w:fldChar w:fldCharType="begin"/>
      </w:r>
      <w:r>
        <w:instrText xml:space="preserve"> HYPERLINK "http://baike.so.com/doc/5536019.html" \t "_blank" </w:instrText>
      </w:r>
      <w:r>
        <w:fldChar w:fldCharType="separate"/>
      </w:r>
      <w:r>
        <w:rPr>
          <w:rStyle w:val="38"/>
          <w:rFonts w:hint="eastAsia" w:ascii="仿宋_GB2312" w:eastAsia="仿宋_GB2312" w:cs="Arial"/>
          <w:color w:val="auto"/>
          <w:sz w:val="32"/>
          <w:szCs w:val="32"/>
        </w:rPr>
        <w:t>职能部门</w:t>
      </w:r>
      <w:r>
        <w:rPr>
          <w:rStyle w:val="38"/>
          <w:rFonts w:hint="eastAsia" w:ascii="仿宋_GB2312" w:eastAsia="仿宋_GB2312" w:cs="Arial"/>
          <w:color w:val="auto"/>
          <w:sz w:val="32"/>
          <w:szCs w:val="32"/>
        </w:rPr>
        <w:fldChar w:fldCharType="end"/>
      </w:r>
      <w:r>
        <w:rPr>
          <w:rFonts w:hint="eastAsia" w:ascii="仿宋_GB2312" w:eastAsia="仿宋_GB2312"/>
          <w:sz w:val="32"/>
          <w:szCs w:val="32"/>
        </w:rPr>
        <w:t>，承担</w:t>
      </w:r>
      <w:r>
        <w:fldChar w:fldCharType="begin"/>
      </w:r>
      <w:r>
        <w:instrText xml:space="preserve"> HYPERLINK "http://baike.so.com/doc/271223.html" \t "_blank" </w:instrText>
      </w:r>
      <w:r>
        <w:fldChar w:fldCharType="separate"/>
      </w:r>
      <w:r>
        <w:rPr>
          <w:rStyle w:val="38"/>
          <w:rFonts w:hint="eastAsia" w:ascii="仿宋_GB2312" w:eastAsia="仿宋_GB2312" w:cs="Arial"/>
          <w:color w:val="auto"/>
          <w:sz w:val="32"/>
          <w:szCs w:val="32"/>
        </w:rPr>
        <w:t>政府职能</w:t>
      </w:r>
      <w:r>
        <w:rPr>
          <w:rStyle w:val="38"/>
          <w:rFonts w:hint="eastAsia" w:ascii="仿宋_GB2312" w:eastAsia="仿宋_GB2312" w:cs="Arial"/>
          <w:color w:val="auto"/>
          <w:sz w:val="32"/>
          <w:szCs w:val="32"/>
        </w:rPr>
        <w:fldChar w:fldCharType="end"/>
      </w:r>
      <w:r>
        <w:rPr>
          <w:rFonts w:hint="eastAsia" w:ascii="仿宋_GB2312" w:eastAsia="仿宋_GB2312"/>
          <w:sz w:val="32"/>
          <w:szCs w:val="32"/>
        </w:rPr>
        <w:t>的管理机构，为副科级财政全额拨款的（参公）事业单位，归口县人力资源和社会保障局管理。</w:t>
      </w:r>
    </w:p>
    <w:p>
      <w:pPr>
        <w:pStyle w:val="33"/>
        <w:ind w:firstLine="640" w:firstLineChars="200"/>
        <w:rPr>
          <w:rFonts w:ascii="仿宋_GB2312" w:eastAsia="仿宋_GB2312"/>
          <w:sz w:val="32"/>
          <w:szCs w:val="32"/>
        </w:rPr>
      </w:pPr>
      <w:r>
        <w:rPr>
          <w:rFonts w:hint="eastAsia" w:ascii="仿宋_GB2312" w:eastAsia="仿宋_GB2312"/>
          <w:sz w:val="32"/>
          <w:szCs w:val="32"/>
        </w:rPr>
        <w:t>我局主要负责全县职业介绍、就业和创业培训、创业服务、公益性岗位开发、小额担保贷款、困难群体就业援助、社区劳动保障平台建设与管理工作。全局编制</w:t>
      </w:r>
      <w:r>
        <w:rPr>
          <w:rFonts w:hint="eastAsia" w:ascii="仿宋_GB2312" w:eastAsia="仿宋_GB2312"/>
          <w:sz w:val="32"/>
          <w:szCs w:val="32"/>
          <w:lang w:val="en-US" w:eastAsia="zh-CN"/>
        </w:rPr>
        <w:t>19</w:t>
      </w:r>
      <w:r>
        <w:rPr>
          <w:rFonts w:hint="eastAsia" w:ascii="仿宋_GB2312" w:eastAsia="仿宋_GB2312"/>
          <w:sz w:val="32"/>
          <w:szCs w:val="32"/>
        </w:rPr>
        <w:t>人。内设办公室、职业指导股、就业培训股、劳务开发股、失业保险股等。</w:t>
      </w:r>
    </w:p>
    <w:p>
      <w:pPr>
        <w:pStyle w:val="33"/>
        <w:spacing w:line="576" w:lineRule="exact"/>
        <w:ind w:firstLine="643" w:firstLineChars="200"/>
        <w:rPr>
          <w:rFonts w:ascii="楷体_GB2312" w:eastAsia="楷体_GB2312"/>
          <w:b/>
          <w:sz w:val="32"/>
          <w:szCs w:val="32"/>
        </w:rPr>
      </w:pPr>
      <w:r>
        <w:rPr>
          <w:rFonts w:hint="eastAsia" w:ascii="楷体_GB2312" w:eastAsia="楷体_GB2312"/>
          <w:b/>
          <w:sz w:val="32"/>
          <w:szCs w:val="32"/>
        </w:rPr>
        <w:t>（二）机构职能</w:t>
      </w:r>
    </w:p>
    <w:p>
      <w:pPr>
        <w:pStyle w:val="33"/>
        <w:spacing w:line="576" w:lineRule="exact"/>
        <w:ind w:firstLine="640"/>
        <w:rPr>
          <w:rFonts w:ascii="楷体_GB2312" w:eastAsia="楷体_GB2312"/>
          <w:b/>
          <w:sz w:val="32"/>
          <w:szCs w:val="32"/>
        </w:rPr>
      </w:pPr>
      <w:r>
        <w:rPr>
          <w:rFonts w:hint="eastAsia" w:ascii="仿宋_GB2312" w:eastAsia="仿宋_GB2312"/>
          <w:sz w:val="32"/>
          <w:szCs w:val="32"/>
        </w:rPr>
        <w:t>全面贯彻落实党和政府促进就业创业的方针政策及各项扶持政策，为城乡劳动者提供就业政策法规咨询，职业供求信息以及职业培训信息发布，职业指导和职业介绍。</w:t>
      </w:r>
      <w:r>
        <w:rPr>
          <w:rFonts w:hint="eastAsia" w:ascii="仿宋_GB2312" w:eastAsia="仿宋_GB2312"/>
          <w:sz w:val="32"/>
          <w:szCs w:val="32"/>
          <w:shd w:val="clear" w:color="auto" w:fill="FFFFFF"/>
        </w:rPr>
        <w:t>免费为城乡劳动者开展就业培训、创业培训、农村劳动力技能培训等职业技能培训。发挥县人力资源市场公共职业介绍机构的主导职能和对其他非公共职业中介机构的指导作用，免费为各类城乡求职者提供求职登记、职业介绍。以创业带动就业，全面落实小额担保贷款贴息、社保补贴等扶持政策，促使各类失业人员通过从事个体经营、自谋职业、灵活就业、创办企业带动和吸纳就业。做好未就业高校毕业生参加就业见习和自主创业工作，落实好高校毕业生创业补贴政策。按照中央关于推动家庭服务业发展促进就业的方针政策，落实各项扶持政策，促进和带动更多的城乡劳动者通过从事家庭服务业实现就业，大力开发公益性岗位，落实岗位补贴及社保补贴。加强对“零就业家庭”成员的就业援助工作。促进有劳动能力、有就业愿望的所有劳动者实现充分就业。</w:t>
      </w:r>
      <w:r>
        <w:rPr>
          <w:rFonts w:hint="eastAsia" w:ascii="仿宋_GB2312" w:eastAsia="仿宋_GB2312"/>
          <w:sz w:val="32"/>
          <w:szCs w:val="32"/>
        </w:rPr>
        <w:t>对就业困难人员实施就业援助，办理就业、失业登记等各项公共就业服务。</w:t>
      </w:r>
    </w:p>
    <w:p>
      <w:pPr>
        <w:pStyle w:val="33"/>
        <w:spacing w:line="576" w:lineRule="exact"/>
        <w:ind w:firstLine="643" w:firstLineChars="200"/>
        <w:rPr>
          <w:rFonts w:ascii="楷体_GB2312" w:eastAsia="楷体_GB2312"/>
          <w:b/>
          <w:sz w:val="32"/>
          <w:szCs w:val="32"/>
        </w:rPr>
      </w:pPr>
      <w:r>
        <w:rPr>
          <w:rFonts w:hint="eastAsia" w:ascii="楷体_GB2312" w:eastAsia="楷体_GB2312"/>
          <w:b/>
          <w:sz w:val="32"/>
          <w:szCs w:val="32"/>
        </w:rPr>
        <w:t>（三）人员概况</w:t>
      </w:r>
    </w:p>
    <w:p>
      <w:pPr>
        <w:pStyle w:val="33"/>
        <w:spacing w:line="576"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我局为一级预算财政全额拨款参公单位，核定编制人数为19名（参公13人，事业6人）。单位现设局长1名、副局长2名。实有人数16人，其中：参公9人，事业5人，事业工勤1人，参公工勤1人。</w:t>
      </w:r>
    </w:p>
    <w:p>
      <w:pPr>
        <w:pStyle w:val="33"/>
        <w:spacing w:line="576" w:lineRule="exact"/>
        <w:ind w:firstLine="640" w:firstLineChars="200"/>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二、部门财政资金收支情况</w:t>
      </w:r>
    </w:p>
    <w:p>
      <w:pPr>
        <w:pStyle w:val="33"/>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（一）部门财政资金收入情况</w:t>
      </w:r>
    </w:p>
    <w:p>
      <w:pPr>
        <w:pStyle w:val="33"/>
        <w:snapToGrid w:val="0"/>
        <w:spacing w:line="576" w:lineRule="exact"/>
        <w:ind w:firstLine="640" w:firstLineChars="200"/>
        <w:rPr>
          <w:rFonts w:ascii="仿宋_GB2312" w:hAnsi="仿宋" w:eastAsia="仿宋_GB2312"/>
          <w:sz w:val="32"/>
          <w:szCs w:val="32"/>
        </w:rPr>
      </w:pPr>
      <w:r>
        <w:rPr>
          <w:rFonts w:hint="eastAsia" w:ascii="仿宋_GB2312" w:hAnsi="宋体" w:eastAsia="仿宋_GB2312" w:cs="宋体"/>
          <w:kern w:val="0"/>
          <w:sz w:val="32"/>
          <w:szCs w:val="32"/>
          <w:shd w:val="clear" w:color="auto" w:fill="FFFFFF"/>
        </w:rPr>
        <w:t>（1）20</w:t>
      </w:r>
      <w:r>
        <w:rPr>
          <w:rFonts w:ascii="仿宋_GB2312" w:hAnsi="宋体" w:eastAsia="仿宋_GB2312" w:cs="宋体"/>
          <w:kern w:val="0"/>
          <w:sz w:val="32"/>
          <w:szCs w:val="32"/>
          <w:shd w:val="clear" w:color="auto" w:fill="FFFFFF"/>
        </w:rPr>
        <w:t>21</w:t>
      </w:r>
      <w:r>
        <w:rPr>
          <w:rFonts w:hint="eastAsia" w:ascii="仿宋_GB2312" w:hAnsi="宋体" w:eastAsia="仿宋_GB2312" w:cs="宋体"/>
          <w:bCs/>
          <w:kern w:val="0"/>
          <w:sz w:val="32"/>
          <w:szCs w:val="32"/>
          <w:shd w:val="clear" w:color="auto" w:fill="FFFFFF"/>
        </w:rPr>
        <w:t>年</w:t>
      </w:r>
      <w:r>
        <w:rPr>
          <w:rFonts w:hint="eastAsia" w:ascii="仿宋_GB2312" w:hAnsi="黑体" w:eastAsia="仿宋_GB2312"/>
          <w:sz w:val="32"/>
          <w:szCs w:val="32"/>
        </w:rPr>
        <w:t>单位财政资金收入共计</w:t>
      </w:r>
      <w:r>
        <w:rPr>
          <w:rFonts w:ascii="仿宋_GB2312" w:hAnsi="仿宋" w:eastAsia="仿宋_GB2312" w:cs="仿宋"/>
          <w:sz w:val="32"/>
          <w:szCs w:val="32"/>
        </w:rPr>
        <w:t>4219695.76</w:t>
      </w:r>
      <w:r>
        <w:rPr>
          <w:rFonts w:hint="eastAsia" w:ascii="仿宋_GB2312" w:hAnsi="黑体" w:eastAsia="仿宋_GB2312"/>
          <w:sz w:val="32"/>
          <w:szCs w:val="32"/>
        </w:rPr>
        <w:t>元，</w:t>
      </w:r>
      <w:r>
        <w:rPr>
          <w:rFonts w:hint="eastAsia" w:ascii="仿宋_GB2312" w:hAnsi="仿宋" w:eastAsia="仿宋_GB2312"/>
          <w:sz w:val="32"/>
          <w:szCs w:val="32"/>
        </w:rPr>
        <w:t>均为一般公共预算财政拨款收入，单位无上级补助收入、事业收入、经营收入等其他性质的经费收入。</w:t>
      </w:r>
    </w:p>
    <w:p>
      <w:pPr>
        <w:pStyle w:val="33"/>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（二）部门财政资金支出情况</w:t>
      </w:r>
    </w:p>
    <w:p>
      <w:pPr>
        <w:pStyle w:val="33"/>
        <w:widowControl/>
        <w:adjustRightInd w:val="0"/>
        <w:snapToGrid w:val="0"/>
        <w:spacing w:line="576" w:lineRule="exact"/>
        <w:ind w:firstLine="640" w:firstLineChars="200"/>
        <w:rPr>
          <w:rFonts w:hint="eastAsia" w:ascii="仿宋_GB2312" w:hAnsi="宋体" w:cs="宋体"/>
          <w:kern w:val="0"/>
          <w:szCs w:val="32"/>
          <w:shd w:val="clear" w:color="auto" w:fill="FFFFFF"/>
          <w:lang w:val="zh-CN"/>
        </w:rPr>
      </w:pPr>
      <w:r>
        <w:rPr>
          <w:rFonts w:hint="eastAsia" w:ascii="仿宋_GB2312" w:hAnsi="宋体" w:eastAsia="仿宋_GB2312" w:cs="宋体"/>
          <w:kern w:val="0"/>
          <w:sz w:val="32"/>
          <w:szCs w:val="32"/>
          <w:shd w:val="clear" w:color="auto" w:fill="FFFFFF"/>
          <w:lang w:val="zh-CN"/>
        </w:rPr>
        <w:t>（1）20</w:t>
      </w:r>
      <w:r>
        <w:rPr>
          <w:rFonts w:hint="eastAsia" w:ascii="仿宋_GB2312" w:hAnsi="宋体" w:eastAsia="仿宋_GB2312" w:cs="宋体"/>
          <w:kern w:val="0"/>
          <w:sz w:val="32"/>
          <w:szCs w:val="32"/>
          <w:shd w:val="clear" w:color="auto" w:fill="FFFFFF"/>
        </w:rPr>
        <w:t>2</w:t>
      </w:r>
      <w:r>
        <w:rPr>
          <w:rFonts w:ascii="仿宋_GB2312" w:hAnsi="宋体" w:eastAsia="仿宋_GB2312" w:cs="宋体"/>
          <w:kern w:val="0"/>
          <w:sz w:val="32"/>
          <w:szCs w:val="32"/>
          <w:shd w:val="clear" w:color="auto" w:fill="FFFFFF"/>
        </w:rPr>
        <w:t>1</w:t>
      </w:r>
      <w:r>
        <w:rPr>
          <w:rFonts w:hint="eastAsia" w:ascii="仿宋_GB2312" w:hAnsi="宋体" w:eastAsia="仿宋_GB2312" w:cs="宋体"/>
          <w:kern w:val="0"/>
          <w:sz w:val="32"/>
          <w:szCs w:val="32"/>
          <w:shd w:val="clear" w:color="auto" w:fill="FFFFFF"/>
          <w:lang w:val="zh-CN"/>
        </w:rPr>
        <w:t>年我单位财政总</w:t>
      </w:r>
      <w:r>
        <w:rPr>
          <w:rFonts w:hint="eastAsia" w:ascii="仿宋_GB2312" w:hAnsi="Calibri" w:eastAsia="仿宋_GB2312" w:cs="仿宋"/>
          <w:kern w:val="0"/>
          <w:sz w:val="32"/>
          <w:szCs w:val="32"/>
        </w:rPr>
        <w:t>支出总额为</w:t>
      </w:r>
      <w:r>
        <w:rPr>
          <w:rFonts w:ascii="仿宋_GB2312" w:hAnsi="Calibri" w:cs="仿宋"/>
          <w:kern w:val="0"/>
          <w:sz w:val="32"/>
          <w:szCs w:val="32"/>
        </w:rPr>
        <w:t>4219695.76</w:t>
      </w:r>
      <w:r>
        <w:rPr>
          <w:rFonts w:hint="eastAsia" w:ascii="仿宋_GB2312" w:hAnsi="Calibri" w:eastAsia="仿宋_GB2312" w:cs="仿宋"/>
          <w:kern w:val="0"/>
          <w:sz w:val="32"/>
          <w:szCs w:val="32"/>
        </w:rPr>
        <w:t>元，其中：当年财政基本支出</w:t>
      </w:r>
      <w:r>
        <w:rPr>
          <w:rFonts w:ascii="仿宋_GB2312" w:hAnsi="Calibri" w:cs="仿宋"/>
          <w:kern w:val="0"/>
          <w:sz w:val="32"/>
          <w:szCs w:val="32"/>
        </w:rPr>
        <w:t>1693995.76</w:t>
      </w:r>
      <w:r>
        <w:rPr>
          <w:rFonts w:hint="eastAsia" w:ascii="仿宋_GB2312" w:hAnsi="Calibri" w:eastAsia="仿宋_GB2312" w:cs="仿宋"/>
          <w:kern w:val="0"/>
          <w:sz w:val="32"/>
          <w:szCs w:val="32"/>
        </w:rPr>
        <w:t>元，项目支出</w:t>
      </w:r>
      <w:r>
        <w:rPr>
          <w:rFonts w:ascii="仿宋_GB2312" w:hAnsi="Calibri" w:cs="仿宋"/>
          <w:kern w:val="0"/>
          <w:sz w:val="32"/>
          <w:szCs w:val="32"/>
        </w:rPr>
        <w:t>2525700</w:t>
      </w:r>
      <w:r>
        <w:rPr>
          <w:rFonts w:hint="eastAsia" w:ascii="仿宋_GB2312" w:hAnsi="Calibri" w:eastAsia="仿宋_GB2312" w:cs="仿宋"/>
          <w:kern w:val="0"/>
          <w:sz w:val="32"/>
          <w:szCs w:val="32"/>
        </w:rPr>
        <w:t>。按功能分：社会保障和就业支</w:t>
      </w:r>
      <w:r>
        <w:rPr>
          <w:rFonts w:hint="eastAsia" w:ascii="仿宋_GB2312" w:hAnsi="Calibri" w:cs="仿宋"/>
          <w:kern w:val="0"/>
          <w:sz w:val="32"/>
          <w:szCs w:val="32"/>
        </w:rPr>
        <w:t>3</w:t>
      </w:r>
      <w:r>
        <w:rPr>
          <w:rFonts w:ascii="仿宋_GB2312" w:hAnsi="Calibri" w:cs="仿宋"/>
          <w:kern w:val="0"/>
          <w:sz w:val="32"/>
          <w:szCs w:val="32"/>
        </w:rPr>
        <w:t>202279.51</w:t>
      </w:r>
      <w:r>
        <w:rPr>
          <w:rFonts w:hint="eastAsia" w:ascii="仿宋_GB2312" w:hAnsi="Calibri" w:eastAsia="仿宋_GB2312" w:cs="仿宋"/>
          <w:kern w:val="0"/>
          <w:sz w:val="32"/>
          <w:szCs w:val="32"/>
        </w:rPr>
        <w:t>元，医疗卫生与计划生育支出</w:t>
      </w:r>
      <w:r>
        <w:rPr>
          <w:rFonts w:ascii="仿宋_GB2312" w:hAnsi="Calibri" w:cs="仿宋"/>
          <w:kern w:val="0"/>
          <w:sz w:val="32"/>
          <w:szCs w:val="32"/>
        </w:rPr>
        <w:t>84719.25</w:t>
      </w:r>
      <w:r>
        <w:rPr>
          <w:rFonts w:hint="eastAsia" w:ascii="仿宋_GB2312" w:hAnsi="Calibri" w:eastAsia="仿宋_GB2312" w:cs="仿宋"/>
          <w:kern w:val="0"/>
          <w:sz w:val="32"/>
          <w:szCs w:val="32"/>
        </w:rPr>
        <w:t>元，农林水事务支出</w:t>
      </w:r>
      <w:r>
        <w:rPr>
          <w:rFonts w:hint="eastAsia" w:ascii="仿宋_GB2312" w:hAnsi="Calibri" w:cs="仿宋"/>
          <w:kern w:val="0"/>
          <w:sz w:val="32"/>
          <w:szCs w:val="32"/>
        </w:rPr>
        <w:t>8</w:t>
      </w:r>
      <w:r>
        <w:rPr>
          <w:rFonts w:ascii="仿宋_GB2312" w:hAnsi="Calibri" w:cs="仿宋"/>
          <w:kern w:val="0"/>
          <w:sz w:val="32"/>
          <w:szCs w:val="32"/>
        </w:rPr>
        <w:t>08700</w:t>
      </w:r>
      <w:r>
        <w:rPr>
          <w:rFonts w:hint="eastAsia" w:ascii="仿宋_GB2312" w:hAnsi="Calibri" w:eastAsia="仿宋_GB2312" w:cs="仿宋"/>
          <w:kern w:val="0"/>
          <w:sz w:val="32"/>
          <w:szCs w:val="32"/>
        </w:rPr>
        <w:t>元，住房保障支出</w:t>
      </w:r>
      <w:r>
        <w:rPr>
          <w:rFonts w:hint="eastAsia" w:ascii="仿宋_GB2312" w:hAnsi="Calibri" w:cs="仿宋"/>
          <w:kern w:val="0"/>
          <w:sz w:val="32"/>
          <w:szCs w:val="32"/>
        </w:rPr>
        <w:t>1</w:t>
      </w:r>
      <w:r>
        <w:rPr>
          <w:rFonts w:ascii="仿宋_GB2312" w:hAnsi="Calibri" w:cs="仿宋"/>
          <w:kern w:val="0"/>
          <w:sz w:val="32"/>
          <w:szCs w:val="32"/>
        </w:rPr>
        <w:t>23997</w:t>
      </w:r>
      <w:r>
        <w:rPr>
          <w:rFonts w:hint="eastAsia" w:ascii="仿宋_GB2312" w:hAnsi="Calibri" w:eastAsia="仿宋_GB2312" w:cs="仿宋"/>
          <w:kern w:val="0"/>
          <w:sz w:val="32"/>
          <w:szCs w:val="32"/>
        </w:rPr>
        <w:t>元。</w:t>
      </w:r>
      <w:r>
        <w:rPr>
          <w:rFonts w:hint="eastAsia" w:ascii="仿宋_GB2312" w:hAnsi="宋体" w:cs="宋体"/>
          <w:kern w:val="0"/>
          <w:szCs w:val="32"/>
          <w:shd w:val="clear" w:color="auto" w:fill="FFFFFF"/>
          <w:lang w:val="zh-CN"/>
        </w:rPr>
        <w:t xml:space="preserve"> </w:t>
      </w:r>
    </w:p>
    <w:p>
      <w:pPr>
        <w:pStyle w:val="33"/>
        <w:widowControl/>
        <w:adjustRightInd w:val="0"/>
        <w:snapToGrid w:val="0"/>
        <w:spacing w:line="540" w:lineRule="exact"/>
        <w:ind w:firstLine="720"/>
        <w:jc w:val="left"/>
        <w:rPr>
          <w:rFonts w:ascii="楷体_GB2312" w:hAnsi="宋体" w:eastAsia="楷体_GB2312" w:cs="宋体"/>
          <w:b/>
          <w:kern w:val="0"/>
          <w:sz w:val="32"/>
          <w:szCs w:val="32"/>
          <w:shd w:val="clear" w:color="auto" w:fill="FFFFFF"/>
          <w:lang w:val="zh-CN"/>
        </w:rPr>
      </w:pPr>
      <w:r>
        <w:rPr>
          <w:rFonts w:hint="eastAsia" w:ascii="楷体_GB2312" w:hAnsi="宋体" w:eastAsia="楷体_GB2312" w:cs="宋体"/>
          <w:b/>
          <w:kern w:val="0"/>
          <w:sz w:val="32"/>
          <w:szCs w:val="32"/>
          <w:shd w:val="clear" w:color="auto" w:fill="FFFFFF"/>
          <w:lang w:val="zh-CN"/>
        </w:rPr>
        <w:t>（三）部门财政资金收支结转情况</w:t>
      </w:r>
    </w:p>
    <w:p>
      <w:pPr>
        <w:pStyle w:val="33"/>
        <w:widowControl/>
        <w:adjustRightInd w:val="0"/>
        <w:snapToGrid w:val="0"/>
        <w:spacing w:line="540" w:lineRule="exact"/>
        <w:ind w:firstLine="720"/>
        <w:jc w:val="left"/>
        <w:rPr>
          <w:rFonts w:hint="eastAsia" w:ascii="仿宋_GB2312" w:hAnsi="仿宋" w:eastAsia="仿宋_GB2312"/>
          <w:sz w:val="32"/>
          <w:szCs w:val="32"/>
        </w:rPr>
      </w:pPr>
      <w:r>
        <w:rPr>
          <w:rFonts w:hint="eastAsia" w:ascii="仿宋_GB2312" w:hAnsi="宋体" w:eastAsia="仿宋_GB2312" w:cs="宋体"/>
          <w:kern w:val="0"/>
          <w:sz w:val="32"/>
          <w:szCs w:val="32"/>
          <w:shd w:val="clear" w:color="auto" w:fill="FFFFFF"/>
        </w:rPr>
        <w:t>20</w:t>
      </w:r>
      <w:r>
        <w:rPr>
          <w:rFonts w:ascii="仿宋_GB2312" w:hAnsi="宋体" w:eastAsia="仿宋_GB2312" w:cs="宋体"/>
          <w:kern w:val="0"/>
          <w:sz w:val="32"/>
          <w:szCs w:val="32"/>
          <w:shd w:val="clear" w:color="auto" w:fill="FFFFFF"/>
        </w:rPr>
        <w:t>21</w:t>
      </w:r>
      <w:r>
        <w:rPr>
          <w:rFonts w:hint="eastAsia" w:ascii="仿宋_GB2312" w:hAnsi="宋体" w:eastAsia="仿宋_GB2312" w:cs="宋体"/>
          <w:kern w:val="0"/>
          <w:sz w:val="32"/>
          <w:szCs w:val="32"/>
          <w:shd w:val="clear" w:color="auto" w:fill="FFFFFF"/>
        </w:rPr>
        <w:t>年年末无结转结余</w:t>
      </w:r>
      <w:r>
        <w:rPr>
          <w:rFonts w:hint="eastAsia" w:ascii="仿宋_GB2312" w:hAnsi="宋体" w:eastAsia="仿宋_GB2312" w:cs="宋体"/>
          <w:kern w:val="0"/>
          <w:sz w:val="32"/>
          <w:szCs w:val="32"/>
          <w:shd w:val="clear" w:color="auto" w:fill="FFFFFF"/>
          <w:lang w:val="zh-CN"/>
        </w:rPr>
        <w:t>。</w:t>
      </w:r>
    </w:p>
    <w:p>
      <w:pPr>
        <w:pStyle w:val="33"/>
        <w:widowControl/>
        <w:adjustRightInd w:val="0"/>
        <w:snapToGrid w:val="0"/>
        <w:spacing w:line="540" w:lineRule="exact"/>
        <w:ind w:firstLine="720"/>
        <w:jc w:val="left"/>
        <w:rPr>
          <w:rFonts w:ascii="黑体" w:hAnsi="黑体" w:eastAsia="黑体" w:cs="宋体"/>
          <w:kern w:val="0"/>
          <w:sz w:val="32"/>
          <w:szCs w:val="32"/>
          <w:shd w:val="clear" w:color="auto" w:fill="FFFFFF"/>
        </w:rPr>
      </w:pPr>
      <w:r>
        <w:rPr>
          <w:rFonts w:hint="eastAsia" w:ascii="黑体" w:hAnsi="黑体" w:eastAsia="黑体" w:cs="宋体"/>
          <w:kern w:val="0"/>
          <w:sz w:val="32"/>
          <w:szCs w:val="32"/>
          <w:shd w:val="clear" w:color="auto" w:fill="FFFFFF"/>
        </w:rPr>
        <w:t>三、部门财政支出管理情况</w:t>
      </w:r>
    </w:p>
    <w:p>
      <w:pPr>
        <w:pStyle w:val="33"/>
        <w:widowControl/>
        <w:adjustRightInd w:val="0"/>
        <w:snapToGrid w:val="0"/>
        <w:spacing w:line="540" w:lineRule="exact"/>
        <w:ind w:firstLine="720"/>
        <w:jc w:val="left"/>
        <w:rPr>
          <w:rFonts w:ascii="黑体" w:hAnsi="黑体" w:eastAsia="黑体" w:cs="宋体"/>
          <w:kern w:val="0"/>
          <w:sz w:val="32"/>
          <w:szCs w:val="32"/>
          <w:shd w:val="clear" w:color="auto" w:fill="FFFFFF"/>
          <w:lang w:val="zh-CN"/>
        </w:rPr>
      </w:pPr>
      <w:r>
        <w:rPr>
          <w:rFonts w:hint="eastAsia" w:ascii="黑体" w:hAnsi="黑体" w:eastAsia="黑体" w:cs="宋体"/>
          <w:kern w:val="0"/>
          <w:sz w:val="32"/>
          <w:szCs w:val="32"/>
          <w:shd w:val="clear" w:color="auto" w:fill="FFFFFF"/>
          <w:lang w:val="zh-CN"/>
        </w:rPr>
        <w:t>（一）预决算编制情况</w:t>
      </w:r>
    </w:p>
    <w:p>
      <w:pPr>
        <w:pStyle w:val="39"/>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1.预算编制情况</w:t>
      </w:r>
    </w:p>
    <w:p>
      <w:pPr>
        <w:pStyle w:val="39"/>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39"/>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2.决算编制情况</w:t>
      </w:r>
    </w:p>
    <w:p>
      <w:pPr>
        <w:pStyle w:val="39"/>
        <w:spacing w:line="576" w:lineRule="exact"/>
        <w:ind w:firstLine="640" w:firstLineChars="200"/>
        <w:rPr>
          <w:rFonts w:hint="eastAsia" w:ascii="仿宋_GB2312" w:eastAsia="仿宋_GB2312" w:hAnsiTheme="minorEastAsia"/>
          <w:sz w:val="32"/>
          <w:szCs w:val="32"/>
          <w:shd w:val="clear" w:color="auto" w:fill="FFFFFF"/>
        </w:rPr>
      </w:pPr>
      <w:r>
        <w:rPr>
          <w:rFonts w:hint="eastAsia" w:ascii="仿宋_GB2312" w:eastAsia="仿宋_GB2312" w:hAnsiTheme="minorEastAsia"/>
          <w:sz w:val="32"/>
          <w:szCs w:val="32"/>
          <w:shd w:val="clear" w:color="auto" w:fill="FFFFFF"/>
        </w:rPr>
        <w:t>严格按照县级部门决算编制通知和有关文件要求，在部门决算报表软件中按时按质完成报送及决算编制等工作，并提交部门决算编制说明及决算分析报告，县财政局根据单位提交的决算编制数据进行审核。决算数据全面真实地反映了本单位全年财政资金收支及使用情况，不存在应编未编、错误列编、重现调整决算资金总额度的现象。</w:t>
      </w:r>
    </w:p>
    <w:p>
      <w:pPr>
        <w:pStyle w:val="39"/>
        <w:spacing w:line="576" w:lineRule="exact"/>
        <w:ind w:firstLine="640" w:firstLineChars="200"/>
        <w:rPr>
          <w:rFonts w:ascii="黑体" w:hAnsi="黑体" w:eastAsia="黑体" w:cs="宋体"/>
          <w:kern w:val="0"/>
          <w:sz w:val="32"/>
          <w:szCs w:val="32"/>
          <w:shd w:val="clear" w:color="auto" w:fill="FFFFFF"/>
          <w:lang w:val="zh-CN"/>
        </w:rPr>
      </w:pPr>
      <w:r>
        <w:rPr>
          <w:rFonts w:hint="eastAsia" w:ascii="黑体" w:hAnsi="黑体" w:eastAsia="黑体" w:cs="宋体"/>
          <w:kern w:val="0"/>
          <w:sz w:val="32"/>
          <w:szCs w:val="32"/>
          <w:shd w:val="clear" w:color="auto" w:fill="FFFFFF"/>
          <w:lang w:val="zh-CN"/>
        </w:rPr>
        <w:t>（二）执行管理情况</w:t>
      </w:r>
    </w:p>
    <w:p>
      <w:pPr>
        <w:pStyle w:val="33"/>
        <w:widowControl/>
        <w:adjustRightInd w:val="0"/>
        <w:snapToGrid w:val="0"/>
        <w:spacing w:line="576" w:lineRule="exact"/>
        <w:ind w:firstLine="640" w:firstLineChars="200"/>
        <w:jc w:val="left"/>
        <w:rPr>
          <w:rFonts w:ascii="仿宋_GB2312" w:hAnsi="黑体" w:eastAsia="仿宋_GB2312" w:cs="宋体"/>
          <w:kern w:val="0"/>
          <w:sz w:val="32"/>
          <w:szCs w:val="32"/>
          <w:shd w:val="clear" w:color="auto" w:fill="FFFFFF"/>
        </w:rPr>
      </w:pPr>
      <w:r>
        <w:rPr>
          <w:rFonts w:hint="eastAsia" w:ascii="仿宋_GB2312" w:hAnsi="黑体" w:eastAsia="仿宋_GB2312" w:cs="宋体"/>
          <w:kern w:val="0"/>
          <w:sz w:val="32"/>
          <w:szCs w:val="32"/>
          <w:shd w:val="clear" w:color="auto" w:fill="FFFFFF"/>
        </w:rPr>
        <w:t>（1）20</w:t>
      </w:r>
      <w:r>
        <w:rPr>
          <w:rFonts w:ascii="仿宋_GB2312" w:hAnsi="黑体" w:eastAsia="仿宋_GB2312" w:cs="宋体"/>
          <w:kern w:val="0"/>
          <w:sz w:val="32"/>
          <w:szCs w:val="32"/>
          <w:shd w:val="clear" w:color="auto" w:fill="FFFFFF"/>
        </w:rPr>
        <w:t>21</w:t>
      </w:r>
      <w:r>
        <w:rPr>
          <w:rFonts w:hint="eastAsia" w:ascii="仿宋_GB2312" w:hAnsi="黑体" w:eastAsia="仿宋_GB2312" w:cs="宋体"/>
          <w:kern w:val="0"/>
          <w:sz w:val="32"/>
          <w:szCs w:val="32"/>
          <w:shd w:val="clear" w:color="auto" w:fill="FFFFFF"/>
        </w:rPr>
        <w:t>年部门预算执行情况</w:t>
      </w:r>
    </w:p>
    <w:p>
      <w:pPr>
        <w:pStyle w:val="33"/>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w:t>
      </w:r>
      <w:r>
        <w:rPr>
          <w:rFonts w:ascii="仿宋_GB2312" w:hAnsi="仿宋" w:eastAsia="仿宋_GB2312" w:cs="仿宋"/>
          <w:sz w:val="32"/>
          <w:szCs w:val="32"/>
        </w:rPr>
        <w:t>21</w:t>
      </w:r>
      <w:r>
        <w:rPr>
          <w:rFonts w:hint="eastAsia" w:ascii="仿宋_GB2312" w:hAnsi="仿宋" w:eastAsia="仿宋_GB2312" w:cs="仿宋"/>
          <w:sz w:val="32"/>
          <w:szCs w:val="32"/>
        </w:rPr>
        <w:t>年收入预算执行数（收入决算数）为</w:t>
      </w:r>
      <w:r>
        <w:rPr>
          <w:rFonts w:ascii="仿宋_GB2312" w:hAnsi="仿宋" w:eastAsia="仿宋_GB2312" w:cs="仿宋"/>
          <w:sz w:val="32"/>
          <w:szCs w:val="32"/>
        </w:rPr>
        <w:t>4219695.76</w:t>
      </w:r>
      <w:r>
        <w:rPr>
          <w:rFonts w:hint="eastAsia" w:ascii="仿宋_GB2312" w:hAnsi="仿宋" w:eastAsia="仿宋_GB2312" w:cs="仿宋"/>
          <w:sz w:val="32"/>
          <w:szCs w:val="32"/>
        </w:rPr>
        <w:t>元，预算执行进度100%。</w:t>
      </w:r>
      <w:r>
        <w:rPr>
          <w:rFonts w:ascii="仿宋_GB2312" w:hAnsi="仿宋" w:eastAsia="仿宋_GB2312" w:cs="仿宋"/>
          <w:sz w:val="32"/>
          <w:szCs w:val="32"/>
        </w:rPr>
        <w:t xml:space="preserve"> </w:t>
      </w:r>
    </w:p>
    <w:p>
      <w:pPr>
        <w:pStyle w:val="33"/>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w:t>
      </w:r>
      <w:r>
        <w:rPr>
          <w:rFonts w:ascii="仿宋_GB2312" w:hAnsi="仿宋" w:eastAsia="仿宋_GB2312" w:cs="仿宋"/>
          <w:sz w:val="32"/>
          <w:szCs w:val="32"/>
        </w:rPr>
        <w:t>21</w:t>
      </w:r>
      <w:r>
        <w:rPr>
          <w:rFonts w:hint="eastAsia" w:ascii="仿宋_GB2312" w:hAnsi="仿宋" w:eastAsia="仿宋_GB2312" w:cs="仿宋"/>
          <w:sz w:val="32"/>
          <w:szCs w:val="32"/>
        </w:rPr>
        <w:t>年支出预算执行数（支出决算数）为</w:t>
      </w:r>
      <w:r>
        <w:rPr>
          <w:rFonts w:ascii="仿宋_GB2312" w:hAnsi="仿宋" w:eastAsia="仿宋_GB2312" w:cs="仿宋"/>
          <w:sz w:val="32"/>
          <w:szCs w:val="32"/>
        </w:rPr>
        <w:t>4219695.76</w:t>
      </w:r>
      <w:r>
        <w:rPr>
          <w:rFonts w:hint="eastAsia" w:ascii="仿宋_GB2312" w:hAnsi="仿宋" w:eastAsia="仿宋_GB2312" w:cs="仿宋"/>
          <w:sz w:val="32"/>
          <w:szCs w:val="32"/>
        </w:rPr>
        <w:t>元，预算执行进度100%。</w:t>
      </w:r>
      <w:r>
        <w:rPr>
          <w:rFonts w:ascii="仿宋_GB2312" w:hAnsi="仿宋" w:eastAsia="仿宋_GB2312" w:cs="仿宋"/>
          <w:sz w:val="32"/>
          <w:szCs w:val="32"/>
        </w:rPr>
        <w:t xml:space="preserve"> </w:t>
      </w:r>
    </w:p>
    <w:p>
      <w:pPr>
        <w:pStyle w:val="33"/>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w:t>
      </w:r>
      <w:r>
        <w:rPr>
          <w:rFonts w:ascii="仿宋_GB2312" w:hAnsi="仿宋" w:eastAsia="仿宋_GB2312"/>
          <w:sz w:val="32"/>
          <w:szCs w:val="32"/>
        </w:rPr>
        <w:t>2</w:t>
      </w:r>
      <w:r>
        <w:rPr>
          <w:rFonts w:hint="eastAsia" w:ascii="仿宋_GB2312" w:hAnsi="仿宋" w:eastAsia="仿宋_GB2312"/>
          <w:sz w:val="32"/>
          <w:szCs w:val="32"/>
        </w:rPr>
        <w:t>）“三公”经费预算执行情况</w:t>
      </w:r>
    </w:p>
    <w:p>
      <w:pPr>
        <w:pStyle w:val="33"/>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1.20</w:t>
      </w:r>
      <w:r>
        <w:rPr>
          <w:rFonts w:ascii="仿宋_GB2312" w:hAnsi="仿宋" w:eastAsia="仿宋_GB2312"/>
          <w:sz w:val="32"/>
          <w:szCs w:val="32"/>
        </w:rPr>
        <w:t>21</w:t>
      </w:r>
      <w:r>
        <w:rPr>
          <w:rFonts w:hint="eastAsia" w:ascii="仿宋_GB2312" w:hAnsi="仿宋" w:eastAsia="仿宋_GB2312"/>
          <w:sz w:val="32"/>
          <w:szCs w:val="32"/>
        </w:rPr>
        <w:t>年“三公”经费预算执行情况</w:t>
      </w:r>
    </w:p>
    <w:p>
      <w:pPr>
        <w:pStyle w:val="33"/>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20</w:t>
      </w:r>
      <w:r>
        <w:rPr>
          <w:rFonts w:ascii="仿宋_GB2312" w:hAnsi="仿宋" w:eastAsia="仿宋_GB2312"/>
          <w:sz w:val="32"/>
          <w:szCs w:val="32"/>
        </w:rPr>
        <w:t>21</w:t>
      </w:r>
      <w:r>
        <w:rPr>
          <w:rFonts w:hint="eastAsia" w:ascii="仿宋_GB2312" w:hAnsi="仿宋" w:eastAsia="仿宋_GB2312"/>
          <w:sz w:val="32"/>
          <w:szCs w:val="32"/>
        </w:rPr>
        <w:t>年“三公”经费支出共计</w:t>
      </w:r>
      <w:r>
        <w:rPr>
          <w:rFonts w:ascii="仿宋_GB2312" w:hAnsi="仿宋" w:eastAsia="仿宋_GB2312"/>
          <w:sz w:val="32"/>
          <w:szCs w:val="32"/>
        </w:rPr>
        <w:t>19643.2</w:t>
      </w:r>
      <w:r>
        <w:rPr>
          <w:rFonts w:hint="eastAsia" w:ascii="仿宋_GB2312" w:hAnsi="仿宋" w:eastAsia="仿宋_GB2312"/>
          <w:sz w:val="32"/>
          <w:szCs w:val="32"/>
        </w:rPr>
        <w:t>元。</w:t>
      </w:r>
      <w:r>
        <w:rPr>
          <w:rFonts w:ascii="仿宋_GB2312" w:hAnsi="仿宋" w:eastAsia="仿宋_GB2312"/>
          <w:sz w:val="32"/>
          <w:szCs w:val="32"/>
        </w:rPr>
        <w:t xml:space="preserve"> </w:t>
      </w:r>
    </w:p>
    <w:p>
      <w:pPr>
        <w:pStyle w:val="33"/>
        <w:widowControl/>
        <w:adjustRightInd w:val="0"/>
        <w:snapToGrid w:val="0"/>
        <w:spacing w:line="570" w:lineRule="exact"/>
        <w:ind w:firstLine="640" w:firstLineChars="200"/>
        <w:jc w:val="left"/>
        <w:rPr>
          <w:rFonts w:ascii="黑体" w:hAnsi="黑体" w:eastAsia="黑体" w:cs="宋体"/>
          <w:kern w:val="0"/>
          <w:sz w:val="32"/>
          <w:szCs w:val="32"/>
          <w:shd w:val="clear" w:color="auto" w:fill="FFFFFF"/>
          <w:lang w:val="zh-CN"/>
        </w:rPr>
      </w:pPr>
      <w:r>
        <w:rPr>
          <w:rFonts w:hint="eastAsia" w:ascii="黑体" w:hAnsi="黑体" w:eastAsia="黑体" w:cs="宋体"/>
          <w:kern w:val="0"/>
          <w:sz w:val="32"/>
          <w:szCs w:val="32"/>
          <w:shd w:val="clear" w:color="auto" w:fill="FFFFFF"/>
          <w:lang w:val="zh-CN"/>
        </w:rPr>
        <w:t>（三）综合管理情况</w:t>
      </w:r>
    </w:p>
    <w:p>
      <w:pPr>
        <w:pStyle w:val="33"/>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（1）政府采购实施计划</w:t>
      </w:r>
    </w:p>
    <w:p>
      <w:pPr>
        <w:pStyle w:val="33"/>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单位在20</w:t>
      </w:r>
      <w:r>
        <w:rPr>
          <w:rFonts w:ascii="仿宋_GB2312" w:hAnsi="宋体" w:eastAsia="仿宋_GB2312" w:cs="宋体"/>
          <w:kern w:val="0"/>
          <w:sz w:val="32"/>
          <w:szCs w:val="32"/>
          <w:lang w:val="zh-CN"/>
        </w:rPr>
        <w:t>21</w:t>
      </w:r>
      <w:r>
        <w:rPr>
          <w:rFonts w:hint="eastAsia" w:ascii="仿宋_GB2312" w:hAnsi="宋体" w:eastAsia="仿宋_GB2312" w:cs="宋体"/>
          <w:kern w:val="0"/>
          <w:sz w:val="32"/>
          <w:szCs w:val="32"/>
          <w:lang w:val="zh-CN"/>
        </w:rPr>
        <w:t>年</w:t>
      </w:r>
      <w:r>
        <w:rPr>
          <w:rFonts w:hint="eastAsia" w:ascii="仿宋_GB2312" w:hAnsi="宋体" w:eastAsia="仿宋_GB2312" w:cs="宋体"/>
          <w:kern w:val="0"/>
          <w:sz w:val="32"/>
          <w:szCs w:val="32"/>
        </w:rPr>
        <w:t>发生的资产采购均为</w:t>
      </w:r>
      <w:r>
        <w:rPr>
          <w:rFonts w:hint="eastAsia" w:ascii="仿宋_GB2312" w:hAnsi="宋体" w:eastAsia="仿宋_GB2312" w:cs="宋体"/>
          <w:kern w:val="0"/>
          <w:sz w:val="32"/>
          <w:szCs w:val="32"/>
          <w:lang w:val="zh-CN"/>
        </w:rPr>
        <w:t>政府采购行为，为</w:t>
      </w:r>
      <w:r>
        <w:rPr>
          <w:rFonts w:hint="eastAsia" w:ascii="仿宋_GB2312" w:hAnsi="宋体" w:eastAsia="仿宋_GB2312" w:cs="宋体"/>
          <w:kern w:val="0"/>
          <w:sz w:val="32"/>
          <w:szCs w:val="32"/>
        </w:rPr>
        <w:t>了</w:t>
      </w:r>
      <w:r>
        <w:rPr>
          <w:rFonts w:hint="eastAsia" w:ascii="仿宋_GB2312" w:hAnsi="宋体" w:eastAsia="仿宋_GB2312" w:cs="宋体"/>
          <w:kern w:val="0"/>
          <w:sz w:val="32"/>
          <w:szCs w:val="32"/>
          <w:lang w:val="zh-CN"/>
        </w:rPr>
        <w:t>进一步加强我局政府采购监督管理和规范政府采购行为，我局已建立相应的政府采购制度。</w:t>
      </w:r>
    </w:p>
    <w:p>
      <w:pPr>
        <w:pStyle w:val="33"/>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（2）资产管理</w:t>
      </w:r>
    </w:p>
    <w:p>
      <w:pPr>
        <w:pStyle w:val="33"/>
        <w:spacing w:line="576" w:lineRule="exact"/>
        <w:ind w:firstLine="640" w:firstLineChars="200"/>
        <w:rPr>
          <w:rFonts w:ascii="仿宋_GB2312" w:hAnsi="宋体" w:eastAsia="仿宋_GB2312" w:cs="宋体"/>
          <w:color w:val="000000" w:themeColor="text1"/>
          <w:sz w:val="32"/>
          <w:szCs w:val="32"/>
        </w:rPr>
      </w:pPr>
      <w:r>
        <w:rPr>
          <w:rFonts w:hint="eastAsia" w:ascii="仿宋_GB2312" w:hAnsi="宋体" w:eastAsia="仿宋_GB2312" w:cs="宋体"/>
          <w:color w:val="000000" w:themeColor="text1"/>
          <w:sz w:val="32"/>
          <w:szCs w:val="32"/>
        </w:rPr>
        <w:t>单位所有固定资产由专人负责登记管理，办公室负责对单位固定资产实物情况进行全面管理；单位财务人员负责对固定资产账面价值进行审合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r>
        <w:rPr>
          <w:rFonts w:hint="eastAsia" w:ascii="仿宋_GB2312" w:hAnsi="仿宋" w:eastAsia="仿宋_GB2312"/>
          <w:color w:val="000000" w:themeColor="text1"/>
          <w:sz w:val="32"/>
          <w:szCs w:val="32"/>
        </w:rPr>
        <w:t>20</w:t>
      </w:r>
      <w:r>
        <w:rPr>
          <w:rFonts w:ascii="仿宋_GB2312" w:hAnsi="仿宋" w:eastAsia="仿宋_GB2312"/>
          <w:color w:val="000000" w:themeColor="text1"/>
          <w:sz w:val="32"/>
          <w:szCs w:val="32"/>
        </w:rPr>
        <w:t>21</w:t>
      </w:r>
      <w:r>
        <w:rPr>
          <w:rFonts w:hint="eastAsia" w:ascii="仿宋_GB2312" w:hAnsi="仿宋" w:eastAsia="仿宋_GB2312"/>
          <w:color w:val="000000" w:themeColor="text1"/>
          <w:sz w:val="32"/>
          <w:szCs w:val="32"/>
        </w:rPr>
        <w:t>年度固定资产</w:t>
      </w:r>
      <w:r>
        <w:rPr>
          <w:rFonts w:hint="eastAsia" w:ascii="仿宋_GB2312" w:hAnsi="仿宋" w:eastAsia="仿宋_GB2312"/>
          <w:color w:val="000000" w:themeColor="text1"/>
          <w:sz w:val="32"/>
          <w:szCs w:val="32"/>
          <w:lang w:val="en-US" w:eastAsia="zh-CN"/>
        </w:rPr>
        <w:t>原值395961</w:t>
      </w:r>
      <w:r>
        <w:rPr>
          <w:rFonts w:hint="eastAsia" w:ascii="仿宋_GB2312" w:hAnsi="仿宋" w:eastAsia="仿宋_GB2312"/>
          <w:color w:val="000000" w:themeColor="text1"/>
          <w:sz w:val="32"/>
          <w:szCs w:val="32"/>
        </w:rPr>
        <w:t>元，报废</w:t>
      </w:r>
      <w:r>
        <w:rPr>
          <w:rFonts w:hint="eastAsia" w:ascii="仿宋_GB2312" w:hAnsi="仿宋" w:eastAsia="仿宋_GB2312"/>
          <w:color w:val="000000" w:themeColor="text1"/>
          <w:sz w:val="32"/>
          <w:szCs w:val="32"/>
          <w:lang w:val="en-US" w:eastAsia="zh-CN"/>
        </w:rPr>
        <w:t>223800元（一辆车）、22376（电脑）。</w:t>
      </w:r>
      <w:r>
        <w:rPr>
          <w:rFonts w:hint="eastAsia" w:ascii="仿宋_GB2312" w:hAnsi="宋体" w:eastAsia="仿宋_GB2312" w:cs="宋体"/>
          <w:color w:val="000000" w:themeColor="text1"/>
          <w:sz w:val="32"/>
          <w:szCs w:val="32"/>
        </w:rPr>
        <w:t>未存在盘盈、盘亏、损毁的现象。</w:t>
      </w:r>
    </w:p>
    <w:p>
      <w:pPr>
        <w:pStyle w:val="33"/>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(3)内控制度管理</w:t>
      </w:r>
    </w:p>
    <w:p>
      <w:pPr>
        <w:pStyle w:val="33"/>
        <w:widowControl/>
        <w:adjustRightInd w:val="0"/>
        <w:snapToGrid w:val="0"/>
        <w:spacing w:line="570" w:lineRule="exact"/>
        <w:ind w:firstLine="640" w:firstLineChars="200"/>
        <w:jc w:val="left"/>
        <w:rPr>
          <w:rFonts w:ascii="仿宋_GB2312" w:hAnsi="黑体" w:eastAsia="仿宋_GB2312" w:cs="宋体"/>
          <w:kern w:val="0"/>
          <w:sz w:val="32"/>
          <w:szCs w:val="32"/>
          <w:shd w:val="clear" w:color="auto" w:fill="FFFFFF"/>
        </w:rPr>
      </w:pPr>
      <w:r>
        <w:rPr>
          <w:rFonts w:hint="eastAsia" w:ascii="仿宋_GB2312" w:hAnsi="黑体" w:eastAsia="仿宋_GB2312" w:cs="宋体"/>
          <w:kern w:val="0"/>
          <w:sz w:val="32"/>
          <w:szCs w:val="32"/>
          <w:shd w:val="clear" w:color="auto" w:fill="FFFFFF"/>
        </w:rPr>
        <w:t>我局高度重视内部控制制度建设工作，切实加强对内部控制制度建设的组织领导，切实强化内部控制制度的建设工作。自2014年《行政事业单位内部控制规范(试行)》实施以来，在坚持内部控制制度建设全面性、重要性、制衡性、适应性等原则的前提下，我局对内部管理制度进行全面清理，形成了《茂县公共就业和人才交流服务局内部控制制度》，分总则、工作守则、规章制度、管理办法和工作程序共五章，内容涵盖了预算管理情况、收支管理情况、政府采购情况、资产管理情况等单位经济业务内部控制管理制度和办法。通过强化内部控制制度建设，切实做到有章可行，有据可依。</w:t>
      </w:r>
    </w:p>
    <w:p>
      <w:pPr>
        <w:pStyle w:val="33"/>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宋体" w:eastAsia="仿宋_GB2312" w:cs="宋体"/>
          <w:kern w:val="0"/>
          <w:sz w:val="32"/>
          <w:szCs w:val="32"/>
          <w:lang w:val="zh-CN"/>
        </w:rPr>
        <w:t>(4)信息公开</w:t>
      </w:r>
    </w:p>
    <w:p>
      <w:pPr>
        <w:pStyle w:val="39"/>
        <w:spacing w:line="57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单位严格按照相关部门的要求保质保量完成年度预决算公开工作，按时将公开材料数据报送县委宣传部并在茂县政府信息网站上公布。</w:t>
      </w:r>
      <w:r>
        <w:rPr>
          <w:rFonts w:hint="eastAsia" w:ascii="仿宋_GB2312" w:hAnsi="黑体" w:eastAsia="仿宋_GB2312"/>
          <w:sz w:val="32"/>
          <w:szCs w:val="32"/>
        </w:rPr>
        <w:t>按月及时向财政部门报送经费报表、贯彻落实中央八项规定和省委省政府十项规定经费支出情况统计表并由相关股室进行审核。根据财政部门文件要求及时开展单位经费使用情况自查自纠工作，撰写自查自纠报告并及时报送。</w:t>
      </w:r>
    </w:p>
    <w:p>
      <w:pPr>
        <w:pStyle w:val="33"/>
        <w:widowControl/>
        <w:adjustRightInd w:val="0"/>
        <w:snapToGrid w:val="0"/>
        <w:spacing w:line="570" w:lineRule="exact"/>
        <w:ind w:firstLine="640" w:firstLineChars="200"/>
        <w:jc w:val="left"/>
        <w:rPr>
          <w:rFonts w:ascii="仿宋_GB2312" w:hAnsi="宋体" w:eastAsia="仿宋_GB2312" w:cs="宋体"/>
          <w:kern w:val="0"/>
          <w:sz w:val="32"/>
          <w:szCs w:val="32"/>
          <w:lang w:val="zh-CN"/>
        </w:rPr>
      </w:pPr>
      <w:r>
        <w:rPr>
          <w:rFonts w:hint="eastAsia" w:ascii="仿宋_GB2312" w:hAnsi="黑体" w:eastAsia="仿宋_GB2312" w:cs="宋体"/>
          <w:kern w:val="0"/>
          <w:sz w:val="32"/>
          <w:szCs w:val="32"/>
          <w:shd w:val="clear" w:color="auto" w:fill="FFFFFF"/>
        </w:rPr>
        <w:t>(5)</w:t>
      </w:r>
      <w:r>
        <w:rPr>
          <w:rFonts w:hint="eastAsia" w:ascii="仿宋_GB2312" w:hAnsi="宋体" w:eastAsia="仿宋_GB2312" w:cs="宋体"/>
          <w:kern w:val="0"/>
          <w:sz w:val="32"/>
          <w:szCs w:val="32"/>
          <w:lang w:val="zh-CN"/>
        </w:rPr>
        <w:t xml:space="preserve"> 绩效评价及依法接受财政监督情况等</w:t>
      </w:r>
    </w:p>
    <w:p>
      <w:pPr>
        <w:pStyle w:val="39"/>
        <w:spacing w:line="570" w:lineRule="exact"/>
        <w:ind w:firstLine="640" w:firstLineChars="200"/>
        <w:rPr>
          <w:rFonts w:ascii="仿宋_GB2312" w:hAnsi="宋体" w:eastAsia="仿宋_GB2312" w:cs="宋体"/>
          <w:sz w:val="32"/>
          <w:szCs w:val="32"/>
        </w:rPr>
      </w:pPr>
      <w:r>
        <w:rPr>
          <w:rFonts w:hint="eastAsia" w:ascii="仿宋_GB2312" w:hAnsi="黑体" w:eastAsia="仿宋_GB2312"/>
          <w:sz w:val="32"/>
          <w:szCs w:val="32"/>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p>
    <w:p>
      <w:pPr>
        <w:pStyle w:val="39"/>
        <w:spacing w:line="576" w:lineRule="exact"/>
        <w:ind w:firstLine="643" w:firstLineChars="200"/>
        <w:rPr>
          <w:rFonts w:ascii="楷体_GB2312" w:hAnsi="黑体" w:eastAsia="楷体_GB2312"/>
          <w:b/>
          <w:sz w:val="32"/>
          <w:szCs w:val="32"/>
        </w:rPr>
      </w:pPr>
      <w:r>
        <w:rPr>
          <w:rFonts w:hint="eastAsia" w:ascii="楷体_GB2312" w:hAnsi="黑体" w:eastAsia="楷体_GB2312"/>
          <w:b/>
          <w:sz w:val="32"/>
          <w:szCs w:val="32"/>
        </w:rPr>
        <w:t>（四）整体绩效</w:t>
      </w:r>
    </w:p>
    <w:p>
      <w:pPr>
        <w:pStyle w:val="39"/>
        <w:spacing w:line="576" w:lineRule="exact"/>
        <w:ind w:firstLine="640" w:firstLineChars="200"/>
        <w:rPr>
          <w:rFonts w:ascii="仿宋_GB2312" w:eastAsia="仿宋_GB2312"/>
          <w:sz w:val="32"/>
          <w:szCs w:val="32"/>
        </w:rPr>
      </w:pPr>
      <w:r>
        <w:rPr>
          <w:rFonts w:hint="eastAsia" w:ascii="仿宋_GB2312" w:eastAsia="仿宋_GB2312"/>
          <w:sz w:val="32"/>
          <w:szCs w:val="32"/>
          <w:shd w:val="clear" w:color="auto" w:fill="FFFFFF"/>
        </w:rPr>
        <w:t>我局所有财政资金支出主要用于保障本单位机构正常运转、完成日常工作任务以及其他发展相关工作。</w:t>
      </w:r>
      <w:r>
        <w:rPr>
          <w:rStyle w:val="40"/>
          <w:rFonts w:hint="eastAsia" w:eastAsia="仿宋_GB2312"/>
          <w:sz w:val="32"/>
          <w:szCs w:val="32"/>
          <w:shd w:val="clear" w:color="auto" w:fill="FFFFFF"/>
        </w:rPr>
        <w:t> </w:t>
      </w:r>
      <w:r>
        <w:rPr>
          <w:rFonts w:hint="eastAsia" w:ascii="仿宋_GB2312" w:eastAsia="仿宋_GB2312"/>
          <w:sz w:val="32"/>
          <w:szCs w:val="32"/>
        </w:rPr>
        <w:br w:type="textWrapping"/>
      </w:r>
      <w:r>
        <w:rPr>
          <w:rFonts w:hint="eastAsia" w:ascii="仿宋_GB2312" w:eastAsia="仿宋_GB2312"/>
          <w:sz w:val="32"/>
          <w:szCs w:val="32"/>
          <w:shd w:val="clear" w:color="auto" w:fill="FFFFFF"/>
        </w:rPr>
        <w:t xml:space="preserve">  （1）基本支出，是用于单位正常运转的日常支出，包括基本工资、津贴补贴等人员经费以及办公费、邮电费、培训费、差旅费、等日常公用经费。在日常工作中，</w:t>
      </w:r>
      <w:r>
        <w:rPr>
          <w:rFonts w:hint="eastAsia" w:ascii="仿宋_GB2312" w:eastAsia="仿宋_GB2312"/>
          <w:sz w:val="32"/>
          <w:szCs w:val="32"/>
        </w:rPr>
        <w:t>单位所有日常公用经费开支范围和标准均符合相关规定并按相应支付审批程序办理。</w:t>
      </w:r>
    </w:p>
    <w:p>
      <w:pPr>
        <w:pStyle w:val="33"/>
        <w:ind w:firstLine="640" w:firstLineChars="200"/>
        <w:rPr>
          <w:rFonts w:ascii="仿宋_GB2312" w:hAnsi="仿宋_GB2312" w:eastAsia="仿宋_GB2312" w:cs="仿宋_GB2312"/>
          <w:sz w:val="32"/>
          <w:szCs w:val="32"/>
        </w:rPr>
      </w:pPr>
      <w:r>
        <w:rPr>
          <w:rFonts w:hint="eastAsia" w:ascii="仿宋_GB2312" w:eastAsia="仿宋_GB2312"/>
          <w:sz w:val="32"/>
          <w:szCs w:val="32"/>
        </w:rPr>
        <w:t>（2）项目支出，单位20</w:t>
      </w:r>
      <w:r>
        <w:rPr>
          <w:rFonts w:ascii="仿宋_GB2312" w:eastAsia="仿宋_GB2312"/>
          <w:sz w:val="32"/>
          <w:szCs w:val="32"/>
        </w:rPr>
        <w:t>21</w:t>
      </w:r>
      <w:r>
        <w:rPr>
          <w:rFonts w:hint="eastAsia" w:ascii="仿宋_GB2312" w:eastAsia="仿宋_GB2312"/>
          <w:sz w:val="32"/>
          <w:szCs w:val="32"/>
        </w:rPr>
        <w:t>年度支出</w:t>
      </w:r>
      <w:r>
        <w:rPr>
          <w:rFonts w:ascii="仿宋_GB2312" w:hAnsi="仿宋" w:eastAsia="仿宋_GB2312"/>
          <w:sz w:val="32"/>
          <w:szCs w:val="32"/>
        </w:rPr>
        <w:t>2525700</w:t>
      </w:r>
      <w:r>
        <w:rPr>
          <w:rFonts w:hint="eastAsia" w:ascii="仿宋_GB2312" w:hAnsi="仿宋" w:eastAsia="仿宋_GB2312"/>
          <w:sz w:val="32"/>
          <w:szCs w:val="32"/>
        </w:rPr>
        <w:t>元，</w:t>
      </w:r>
      <w:r>
        <w:rPr>
          <w:rFonts w:hint="eastAsia" w:ascii="仿宋_GB2312" w:hAnsi="仿宋" w:eastAsia="仿宋_GB2312" w:cs="仿宋"/>
          <w:sz w:val="32"/>
          <w:szCs w:val="32"/>
        </w:rPr>
        <w:t>其中东西部协作资金1</w:t>
      </w:r>
      <w:r>
        <w:rPr>
          <w:rFonts w:ascii="仿宋_GB2312" w:hAnsi="仿宋" w:eastAsia="仿宋_GB2312" w:cs="仿宋"/>
          <w:sz w:val="32"/>
          <w:szCs w:val="32"/>
        </w:rPr>
        <w:t>717000</w:t>
      </w:r>
      <w:r>
        <w:rPr>
          <w:rFonts w:hint="eastAsia" w:ascii="仿宋_GB2312" w:hAnsi="仿宋" w:eastAsia="仿宋_GB2312" w:cs="仿宋"/>
          <w:sz w:val="32"/>
          <w:szCs w:val="32"/>
        </w:rPr>
        <w:t>元；扶贫资金8</w:t>
      </w:r>
      <w:r>
        <w:rPr>
          <w:rFonts w:ascii="仿宋_GB2312" w:hAnsi="仿宋" w:eastAsia="仿宋_GB2312" w:cs="仿宋"/>
          <w:sz w:val="32"/>
          <w:szCs w:val="32"/>
        </w:rPr>
        <w:t>08700</w:t>
      </w:r>
      <w:r>
        <w:rPr>
          <w:rFonts w:hint="eastAsia" w:ascii="仿宋_GB2312" w:hAnsi="仿宋" w:eastAsia="仿宋_GB2312" w:cs="仿宋"/>
          <w:sz w:val="32"/>
          <w:szCs w:val="32"/>
        </w:rPr>
        <w:t>元。</w:t>
      </w:r>
    </w:p>
    <w:p>
      <w:pPr>
        <w:pStyle w:val="39"/>
        <w:spacing w:line="576" w:lineRule="exact"/>
        <w:ind w:firstLine="643" w:firstLineChars="200"/>
        <w:rPr>
          <w:rFonts w:ascii="黑体" w:hAnsi="黑体" w:eastAsia="黑体"/>
          <w:b/>
          <w:sz w:val="32"/>
          <w:szCs w:val="32"/>
        </w:rPr>
      </w:pPr>
      <w:r>
        <w:rPr>
          <w:rFonts w:hint="eastAsia" w:ascii="黑体" w:hAnsi="黑体" w:eastAsia="黑体"/>
          <w:b/>
          <w:sz w:val="32"/>
          <w:szCs w:val="32"/>
        </w:rPr>
        <w:t>四、评价结论及建议</w:t>
      </w:r>
    </w:p>
    <w:p>
      <w:pPr>
        <w:pStyle w:val="39"/>
        <w:spacing w:line="576" w:lineRule="exact"/>
        <w:ind w:firstLine="626" w:firstLineChars="195"/>
        <w:rPr>
          <w:rFonts w:ascii="楷体_GB2312" w:hAnsi="黑体" w:eastAsia="楷体_GB2312"/>
          <w:b/>
          <w:sz w:val="32"/>
          <w:szCs w:val="32"/>
          <w:shd w:val="clear" w:color="auto" w:fill="FFFFFF"/>
        </w:rPr>
      </w:pPr>
      <w:r>
        <w:rPr>
          <w:rFonts w:hint="eastAsia" w:ascii="楷体_GB2312" w:hAnsi="黑体" w:eastAsia="楷体_GB2312"/>
          <w:b/>
          <w:sz w:val="32"/>
          <w:szCs w:val="32"/>
          <w:shd w:val="clear" w:color="auto" w:fill="FFFFFF"/>
        </w:rPr>
        <w:t>（一）评价结论</w:t>
      </w:r>
    </w:p>
    <w:p>
      <w:pPr>
        <w:pStyle w:val="39"/>
        <w:spacing w:line="576" w:lineRule="exact"/>
        <w:ind w:firstLine="640" w:firstLineChars="200"/>
        <w:rPr>
          <w:rFonts w:ascii="仿宋_GB2312" w:eastAsia="仿宋_GB2312" w:hAnsiTheme="minorEastAsia"/>
          <w:sz w:val="32"/>
          <w:szCs w:val="32"/>
          <w:shd w:val="clear" w:color="auto" w:fill="FFFFFF"/>
        </w:rPr>
      </w:pPr>
      <w:r>
        <w:rPr>
          <w:rFonts w:hint="eastAsia" w:ascii="仿宋_GB2312" w:eastAsia="仿宋_GB2312" w:hAnsiTheme="minorEastAsia"/>
          <w:sz w:val="32"/>
          <w:szCs w:val="32"/>
          <w:shd w:val="clear" w:color="auto" w:fill="FFFFFF"/>
        </w:rPr>
        <w:t>单位对照《县级部门整体支出绩效评价指标体系表》中各项具体指标认真开展自评工作，经自评，单位部门整体支出均按照相应的规章制度和要求执行办理，暂未发现扣分事项。</w:t>
      </w:r>
    </w:p>
    <w:p>
      <w:pPr>
        <w:pStyle w:val="39"/>
        <w:ind w:firstLine="630" w:firstLineChars="196"/>
        <w:rPr>
          <w:rFonts w:ascii="楷体_GB2312" w:eastAsia="楷体_GB2312" w:hAnsiTheme="minorEastAsia"/>
          <w:b/>
          <w:sz w:val="32"/>
          <w:szCs w:val="32"/>
          <w:shd w:val="clear" w:color="auto" w:fill="FFFFFF"/>
        </w:rPr>
      </w:pPr>
      <w:r>
        <w:rPr>
          <w:rFonts w:hint="eastAsia" w:ascii="楷体_GB2312" w:eastAsia="楷体_GB2312" w:hAnsiTheme="minorEastAsia"/>
          <w:b/>
          <w:sz w:val="32"/>
          <w:szCs w:val="32"/>
          <w:shd w:val="clear" w:color="auto" w:fill="FFFFFF"/>
        </w:rPr>
        <w:t>（二）存在的问题</w:t>
      </w:r>
    </w:p>
    <w:p>
      <w:pPr>
        <w:pStyle w:val="39"/>
        <w:spacing w:line="576" w:lineRule="exact"/>
        <w:ind w:firstLine="640" w:firstLineChars="200"/>
        <w:rPr>
          <w:rFonts w:ascii="仿宋_GB2312" w:eastAsia="仿宋_GB2312" w:hAnsiTheme="minorEastAsia"/>
          <w:sz w:val="32"/>
          <w:szCs w:val="32"/>
          <w:shd w:val="clear" w:color="auto" w:fill="FFFFFF"/>
        </w:rPr>
      </w:pPr>
      <w:r>
        <w:rPr>
          <w:rFonts w:hint="eastAsia" w:ascii="仿宋_GB2312" w:eastAsia="仿宋_GB2312" w:hAnsiTheme="minorEastAsia"/>
          <w:sz w:val="32"/>
          <w:szCs w:val="32"/>
          <w:shd w:val="clear" w:color="auto" w:fill="FFFFFF"/>
        </w:rPr>
        <w:t>单位对部门支出相关规章制度落实力度不够，执行能力不强，在票据报销规范性方面的管理及账务处理上不及时、细致。</w:t>
      </w:r>
    </w:p>
    <w:p>
      <w:pPr>
        <w:pStyle w:val="39"/>
        <w:spacing w:line="576" w:lineRule="exact"/>
        <w:ind w:firstLine="643" w:firstLineChars="200"/>
        <w:rPr>
          <w:rFonts w:ascii="楷体_GB2312" w:eastAsia="楷体_GB2312" w:hAnsiTheme="minorEastAsia"/>
          <w:b/>
          <w:sz w:val="32"/>
          <w:szCs w:val="32"/>
          <w:shd w:val="clear" w:color="auto" w:fill="FFFFFF"/>
        </w:rPr>
      </w:pPr>
      <w:r>
        <w:rPr>
          <w:rFonts w:hint="eastAsia" w:ascii="楷体_GB2312" w:eastAsia="楷体_GB2312" w:hAnsiTheme="minorEastAsia"/>
          <w:b/>
          <w:sz w:val="32"/>
          <w:szCs w:val="32"/>
          <w:shd w:val="clear" w:color="auto" w:fill="FFFFFF"/>
        </w:rPr>
        <w:t>（三）改进建议</w:t>
      </w:r>
    </w:p>
    <w:p>
      <w:pPr>
        <w:pStyle w:val="39"/>
        <w:spacing w:line="576" w:lineRule="exact"/>
        <w:ind w:firstLine="640" w:firstLineChars="200"/>
        <w:rPr>
          <w:rFonts w:ascii="仿宋_GB2312" w:hAnsi="黑体" w:eastAsia="仿宋_GB2312" w:cs="宋体"/>
          <w:kern w:val="0"/>
          <w:sz w:val="32"/>
          <w:szCs w:val="32"/>
          <w:shd w:val="clear" w:color="auto" w:fill="FFFFFF"/>
        </w:rPr>
      </w:pPr>
      <w:r>
        <w:rPr>
          <w:rFonts w:hint="eastAsia" w:ascii="仿宋_GB2312" w:eastAsia="仿宋_GB2312" w:hAnsiTheme="minorEastAsia"/>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pStyle w:val="39"/>
        <w:spacing w:line="576" w:lineRule="exact"/>
        <w:ind w:firstLine="3200" w:firstLineChars="1000"/>
        <w:rPr>
          <w:rFonts w:ascii="仿宋_GB2312" w:hAnsi="黑体" w:eastAsia="仿宋_GB2312" w:cs="宋体"/>
          <w:kern w:val="0"/>
          <w:sz w:val="32"/>
          <w:szCs w:val="32"/>
          <w:shd w:val="clear" w:color="auto" w:fill="FFFFFF"/>
        </w:rPr>
      </w:pPr>
      <w:r>
        <w:rPr>
          <w:rFonts w:hint="eastAsia" w:ascii="仿宋_GB2312" w:hAnsi="黑体" w:eastAsia="仿宋_GB2312" w:cs="宋体"/>
          <w:kern w:val="0"/>
          <w:sz w:val="32"/>
          <w:szCs w:val="32"/>
          <w:shd w:val="clear" w:color="auto" w:fill="FFFFFF"/>
        </w:rPr>
        <w:t>茂县公共就业和人才交流服务局</w:t>
      </w:r>
    </w:p>
    <w:p>
      <w:pPr>
        <w:pStyle w:val="39"/>
        <w:spacing w:line="576" w:lineRule="exact"/>
        <w:ind w:firstLine="4160" w:firstLineChars="1300"/>
        <w:rPr>
          <w:rFonts w:ascii="仿宋_GB2312" w:hAnsi="黑体" w:eastAsia="仿宋_GB2312"/>
          <w:sz w:val="32"/>
          <w:szCs w:val="32"/>
        </w:rPr>
      </w:pPr>
      <w:r>
        <w:rPr>
          <w:rFonts w:hint="eastAsia" w:ascii="仿宋_GB2312" w:hAnsi="黑体" w:eastAsia="仿宋_GB2312" w:cs="宋体"/>
          <w:kern w:val="0"/>
          <w:sz w:val="32"/>
          <w:szCs w:val="32"/>
          <w:shd w:val="clear" w:color="auto" w:fill="FFFFFF"/>
        </w:rPr>
        <w:t>20</w:t>
      </w:r>
      <w:r>
        <w:rPr>
          <w:rFonts w:ascii="仿宋_GB2312" w:hAnsi="黑体" w:eastAsia="仿宋_GB2312" w:cs="宋体"/>
          <w:kern w:val="0"/>
          <w:sz w:val="32"/>
          <w:szCs w:val="32"/>
          <w:shd w:val="clear" w:color="auto" w:fill="FFFFFF"/>
        </w:rPr>
        <w:t>22</w:t>
      </w:r>
      <w:r>
        <w:rPr>
          <w:rFonts w:hint="eastAsia" w:ascii="仿宋_GB2312" w:hAnsi="黑体" w:eastAsia="仿宋_GB2312" w:cs="宋体"/>
          <w:kern w:val="0"/>
          <w:sz w:val="32"/>
          <w:szCs w:val="32"/>
          <w:shd w:val="clear" w:color="auto" w:fill="FFFFFF"/>
        </w:rPr>
        <w:t>年</w:t>
      </w:r>
      <w:r>
        <w:rPr>
          <w:rFonts w:ascii="仿宋_GB2312" w:hAnsi="黑体" w:eastAsia="仿宋_GB2312" w:cs="宋体"/>
          <w:kern w:val="0"/>
          <w:sz w:val="32"/>
          <w:szCs w:val="32"/>
          <w:shd w:val="clear" w:color="auto" w:fill="FFFFFF"/>
        </w:rPr>
        <w:t>8</w:t>
      </w:r>
      <w:r>
        <w:rPr>
          <w:rFonts w:hint="eastAsia" w:ascii="仿宋_GB2312" w:hAnsi="黑体" w:eastAsia="仿宋_GB2312" w:cs="宋体"/>
          <w:kern w:val="0"/>
          <w:sz w:val="32"/>
          <w:szCs w:val="32"/>
          <w:shd w:val="clear" w:color="auto" w:fill="FFFFFF"/>
        </w:rPr>
        <w:t>月</w:t>
      </w:r>
      <w:r>
        <w:rPr>
          <w:rFonts w:ascii="仿宋_GB2312" w:hAnsi="黑体" w:eastAsia="仿宋_GB2312" w:cs="宋体"/>
          <w:kern w:val="0"/>
          <w:sz w:val="32"/>
          <w:szCs w:val="32"/>
          <w:shd w:val="clear" w:color="auto" w:fill="FFFFFF"/>
        </w:rPr>
        <w:t>11</w:t>
      </w:r>
      <w:r>
        <w:rPr>
          <w:rFonts w:hint="eastAsia" w:ascii="仿宋_GB2312" w:hAnsi="黑体" w:eastAsia="仿宋_GB2312" w:cs="宋体"/>
          <w:kern w:val="0"/>
          <w:sz w:val="32"/>
          <w:szCs w:val="32"/>
          <w:shd w:val="clear" w:color="auto" w:fill="FFFFFF"/>
        </w:rPr>
        <w:t>日</w:t>
      </w:r>
    </w:p>
    <w:p>
      <w:pPr>
        <w:pStyle w:val="33"/>
        <w:widowControl/>
        <w:adjustRightInd w:val="0"/>
        <w:snapToGrid w:val="0"/>
        <w:spacing w:line="540" w:lineRule="exact"/>
        <w:ind w:firstLine="720"/>
        <w:jc w:val="left"/>
        <w:rPr>
          <w:rFonts w:ascii="楷体_GB2312" w:hAnsi="宋体" w:eastAsia="楷体_GB2312" w:cs="宋体"/>
          <w:b/>
          <w:kern w:val="0"/>
          <w:sz w:val="32"/>
          <w:szCs w:val="32"/>
          <w:shd w:val="clear" w:color="auto" w:fill="FFFFFF"/>
        </w:rPr>
      </w:pPr>
    </w:p>
    <w:p>
      <w:pPr>
        <w:pStyle w:val="33"/>
        <w:spacing w:line="576" w:lineRule="exact"/>
        <w:rPr>
          <w:rFonts w:ascii="方正小标宋简体" w:eastAsia="方正小标宋简体"/>
          <w:sz w:val="44"/>
          <w:szCs w:val="44"/>
        </w:rPr>
      </w:pPr>
    </w:p>
    <w:p>
      <w:pPr>
        <w:pStyle w:val="33"/>
        <w:sectPr>
          <w:footerReference r:id="rId4" w:type="default"/>
          <w:pgSz w:w="11906" w:h="16838"/>
          <w:pgMar w:top="1440" w:right="1800" w:bottom="1440" w:left="1800" w:header="851" w:footer="992" w:gutter="0"/>
          <w:pgNumType w:fmt="decimal" w:start="1"/>
          <w:cols w:space="425" w:num="1"/>
          <w:docGrid w:type="lines" w:linePitch="312" w:charSpace="0"/>
        </w:sectPr>
      </w:pPr>
    </w:p>
    <w:p>
      <w:pPr>
        <w:pStyle w:val="33"/>
        <w:keepNext w:val="0"/>
        <w:keepLines w:val="0"/>
        <w:pageBreakBefore w:val="0"/>
        <w:widowControl w:val="0"/>
        <w:kinsoku/>
        <w:wordWrap/>
        <w:overflowPunct/>
        <w:topLinePunct w:val="0"/>
        <w:autoSpaceDE/>
        <w:autoSpaceDN/>
        <w:bidi w:val="0"/>
        <w:spacing w:line="360" w:lineRule="auto"/>
        <w:jc w:val="center"/>
        <w:textAlignment w:val="auto"/>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2021年乡村振兴补助资金及使用涉农</w:t>
      </w:r>
    </w:p>
    <w:p>
      <w:pPr>
        <w:pStyle w:val="33"/>
        <w:keepNext w:val="0"/>
        <w:keepLines w:val="0"/>
        <w:pageBreakBefore w:val="0"/>
        <w:widowControl w:val="0"/>
        <w:kinsoku/>
        <w:wordWrap/>
        <w:overflowPunct/>
        <w:topLinePunct w:val="0"/>
        <w:autoSpaceDE/>
        <w:autoSpaceDN/>
        <w:bidi w:val="0"/>
        <w:spacing w:line="360" w:lineRule="auto"/>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val="en-US" w:eastAsia="zh-CN"/>
        </w:rPr>
        <w:t>资金</w:t>
      </w:r>
      <w:r>
        <w:rPr>
          <w:rFonts w:hint="eastAsia" w:ascii="方正小标宋简体" w:eastAsia="方正小标宋简体"/>
          <w:sz w:val="44"/>
          <w:szCs w:val="44"/>
        </w:rPr>
        <w:t>项目支出绩效自评报告</w:t>
      </w:r>
    </w:p>
    <w:p>
      <w:pPr>
        <w:pStyle w:val="33"/>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rPr>
      </w:pPr>
      <w:r>
        <w:rPr>
          <w:rFonts w:hint="eastAsia" w:ascii="黑体" w:hAnsi="宋体" w:eastAsia="黑体" w:cs="Times New Roman"/>
          <w:sz w:val="32"/>
          <w:szCs w:val="32"/>
          <w:lang w:val="en-US" w:eastAsia="zh-CN"/>
        </w:rPr>
        <w:t>一、</w:t>
      </w:r>
      <w:r>
        <w:rPr>
          <w:rFonts w:hint="eastAsia" w:ascii="黑体" w:hAnsi="宋体" w:eastAsia="黑体" w:cs="Times New Roman"/>
          <w:sz w:val="32"/>
          <w:szCs w:val="32"/>
        </w:rPr>
        <w:t>项目概况</w:t>
      </w:r>
    </w:p>
    <w:p>
      <w:pPr>
        <w:pStyle w:val="33"/>
        <w:keepNext w:val="0"/>
        <w:keepLines w:val="0"/>
        <w:pageBreakBefore w:val="0"/>
        <w:tabs>
          <w:tab w:val="left" w:pos="279"/>
        </w:tabs>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en-US" w:eastAsia="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一</w:t>
      </w:r>
      <w:r>
        <w:rPr>
          <w:rFonts w:hint="eastAsia" w:ascii="楷体_GB2312" w:hAnsi="宋体" w:eastAsia="楷体_GB2312" w:cs="Times New Roman"/>
          <w:b/>
          <w:sz w:val="32"/>
          <w:szCs w:val="32"/>
          <w:lang w:val="zh-CN"/>
        </w:rPr>
        <w:t>）项目</w:t>
      </w:r>
      <w:r>
        <w:rPr>
          <w:rFonts w:hint="eastAsia" w:ascii="楷体_GB2312" w:hAnsi="宋体" w:eastAsia="楷体_GB2312" w:cs="Times New Roman"/>
          <w:b/>
          <w:sz w:val="32"/>
          <w:szCs w:val="32"/>
          <w:lang w:val="en-US" w:eastAsia="zh-CN"/>
        </w:rPr>
        <w:t>基本情况。</w:t>
      </w:r>
    </w:p>
    <w:p>
      <w:pPr>
        <w:pStyle w:val="33"/>
        <w:keepNext w:val="0"/>
        <w:keepLines w:val="0"/>
        <w:pageBreakBefore w:val="0"/>
        <w:kinsoku/>
        <w:wordWrap/>
        <w:overflowPunct/>
        <w:topLinePunct w:val="0"/>
        <w:autoSpaceDE/>
        <w:autoSpaceDN/>
        <w:bidi w:val="0"/>
        <w:adjustRightInd w:val="0"/>
        <w:snapToGrid w:val="0"/>
        <w:spacing w:line="576" w:lineRule="exact"/>
        <w:ind w:left="210" w:leftChars="100" w:firstLine="720" w:firstLineChars="225"/>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根据脱贫攻坚成果同乡村振兴衔接目标任务，我局计划入库项目1个，主要包括巩固脱贫户居家灵活就业产业扶持、稳岗就业、技能培训、劳务输出项目，计划安排资金80万元。</w:t>
      </w:r>
    </w:p>
    <w:p>
      <w:pPr>
        <w:pStyle w:val="33"/>
        <w:keepNext w:val="0"/>
        <w:keepLines w:val="0"/>
        <w:pageBreakBefore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二</w:t>
      </w:r>
      <w:r>
        <w:rPr>
          <w:rFonts w:hint="eastAsia" w:ascii="楷体_GB2312" w:hAnsi="宋体" w:eastAsia="楷体_GB2312" w:cs="Times New Roman"/>
          <w:b/>
          <w:sz w:val="32"/>
          <w:szCs w:val="32"/>
          <w:lang w:val="zh-CN"/>
        </w:rPr>
        <w:t>）项目绩效目标。</w:t>
      </w:r>
    </w:p>
    <w:p>
      <w:pPr>
        <w:pStyle w:val="33"/>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宋体" w:hAnsi="宋体" w:eastAsia="宋体" w:cs="宋体"/>
          <w:sz w:val="30"/>
          <w:szCs w:val="30"/>
          <w:lang w:val="en-US" w:eastAsia="zh-CN"/>
        </w:rPr>
      </w:pPr>
      <w:r>
        <w:rPr>
          <w:rFonts w:hint="eastAsia" w:ascii="仿宋_GB2312" w:hAnsi="仿宋_GB2312" w:eastAsia="仿宋_GB2312" w:cs="仿宋_GB2312"/>
          <w:b w:val="0"/>
          <w:bCs w:val="0"/>
          <w:i w:val="0"/>
          <w:iCs w:val="0"/>
          <w:sz w:val="32"/>
          <w:szCs w:val="32"/>
          <w:lang w:val="en-US" w:eastAsia="zh-CN"/>
        </w:rPr>
        <w:t xml:space="preserve">对2021年继续托底安置在公益性岗位的已脱贫人员购买人身意外伤害保险；同意组织输送外出务工脱贫户产生的费用；围绕技能提升活动，对脱贫户进行短期的产业发展培训；对我县已认定的扶贫车间，继续吸纳已脱贫劳动力的，按照文件要求给予奖补、岗位补贴、社保补贴等。项目的执行达到了预期绩效。             </w:t>
      </w:r>
      <w:r>
        <w:rPr>
          <w:rFonts w:hint="eastAsia" w:ascii="宋体" w:hAnsi="宋体" w:eastAsia="宋体" w:cs="宋体"/>
          <w:sz w:val="30"/>
          <w:szCs w:val="30"/>
          <w:lang w:val="en-US" w:eastAsia="zh-CN"/>
        </w:rPr>
        <w:t xml:space="preserve">                                                                                                                                                                                                                                                                                                                                                                                                                                                                                                                                                                                                          </w:t>
      </w:r>
    </w:p>
    <w:p>
      <w:pPr>
        <w:pStyle w:val="33"/>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lang w:val="en-US" w:eastAsia="zh-CN"/>
        </w:rPr>
      </w:pPr>
      <w:r>
        <w:rPr>
          <w:rFonts w:hint="eastAsia" w:ascii="黑体" w:hAnsi="宋体" w:eastAsia="黑体" w:cs="Times New Roman"/>
          <w:sz w:val="32"/>
          <w:szCs w:val="32"/>
          <w:lang w:val="en-US" w:eastAsia="zh-CN"/>
        </w:rPr>
        <w:t>二、项目实施及管理情况</w:t>
      </w:r>
    </w:p>
    <w:p>
      <w:pPr>
        <w:pStyle w:val="33"/>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楷体_GB2312" w:hAnsi="宋体" w:eastAsia="楷体_GB2312" w:cs="Times New Roman"/>
          <w:b/>
          <w:sz w:val="32"/>
          <w:szCs w:val="32"/>
          <w:lang w:val="en-US" w:eastAsia="zh-CN"/>
        </w:rPr>
      </w:pPr>
      <w:r>
        <w:rPr>
          <w:rFonts w:hint="eastAsia" w:ascii="楷体_GB2312" w:hAnsi="宋体" w:eastAsia="楷体_GB2312" w:cs="Times New Roman"/>
          <w:b/>
          <w:sz w:val="32"/>
          <w:szCs w:val="32"/>
          <w:lang w:val="zh-CN"/>
        </w:rPr>
        <w:t>（一）资金计划、到位及使用情况。</w:t>
      </w:r>
      <w:r>
        <w:rPr>
          <w:rFonts w:hint="eastAsia" w:ascii="楷体_GB2312" w:hAnsi="宋体" w:eastAsia="楷体_GB2312" w:cs="Times New Roman"/>
          <w:b/>
          <w:sz w:val="32"/>
          <w:szCs w:val="32"/>
          <w:lang w:val="en-US" w:eastAsia="zh-CN"/>
        </w:rPr>
        <w:t xml:space="preserve"> </w:t>
      </w:r>
    </w:p>
    <w:p>
      <w:pPr>
        <w:pStyle w:val="33"/>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 xml:space="preserve">1．资金计划及到位。2021年3月19日，茂财农（2021）21-6号关于下达2021年第一批中央财政专项扶贫资金80万元，资金到位80万元，截止2021年11月29日，共计支出80万元。项目资金到位率100%，完成预算的100%。 </w:t>
      </w:r>
    </w:p>
    <w:p>
      <w:pPr>
        <w:pStyle w:val="33"/>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2.资金使用。截止2021年11月29日，共计支出80万元，资金使用合法合规。具体如下：</w:t>
      </w:r>
    </w:p>
    <w:p>
      <w:pPr>
        <w:pStyle w:val="33"/>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（1）公益性岗位人身意外险123000元</w:t>
      </w:r>
    </w:p>
    <w:p>
      <w:pPr>
        <w:pStyle w:val="33"/>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（2）劳务输出28400元</w:t>
      </w:r>
    </w:p>
    <w:p>
      <w:pPr>
        <w:pStyle w:val="33"/>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（3）产业发展培训153955元</w:t>
      </w:r>
    </w:p>
    <w:p>
      <w:pPr>
        <w:pStyle w:val="33"/>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（4）扶贫车间奖补493723.23元</w:t>
      </w:r>
    </w:p>
    <w:p>
      <w:pPr>
        <w:pStyle w:val="33"/>
        <w:keepNext w:val="0"/>
        <w:keepLines w:val="0"/>
        <w:pageBreakBefore w:val="0"/>
        <w:widowControl w:val="0"/>
        <w:numPr>
          <w:ilvl w:val="0"/>
          <w:numId w:val="0"/>
        </w:numPr>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（5）购买书籍921.77元</w:t>
      </w:r>
    </w:p>
    <w:p>
      <w:pPr>
        <w:pStyle w:val="33"/>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二</w:t>
      </w:r>
      <w:r>
        <w:rPr>
          <w:rFonts w:hint="eastAsia" w:ascii="楷体_GB2312" w:hAnsi="宋体" w:eastAsia="楷体_GB2312" w:cs="Times New Roman"/>
          <w:b/>
          <w:sz w:val="32"/>
          <w:szCs w:val="32"/>
          <w:lang w:val="zh-CN"/>
        </w:rPr>
        <w:t>）项目财务管理情况。</w:t>
      </w:r>
    </w:p>
    <w:p>
      <w:pPr>
        <w:pStyle w:val="33"/>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本单位严格按照文件要求对专项资金进行使用，切实加强中央对地方专项转移支付的资金管理，提高财政资金使用的规范性、安全性和有效性。</w:t>
      </w:r>
    </w:p>
    <w:p>
      <w:pPr>
        <w:pStyle w:val="33"/>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三</w:t>
      </w:r>
      <w:r>
        <w:rPr>
          <w:rFonts w:hint="eastAsia" w:ascii="楷体_GB2312" w:hAnsi="宋体" w:eastAsia="楷体_GB2312" w:cs="Times New Roman"/>
          <w:b/>
          <w:sz w:val="32"/>
          <w:szCs w:val="32"/>
          <w:lang w:val="zh-CN"/>
        </w:rPr>
        <w:t>）项目组织实施情况。</w:t>
      </w:r>
    </w:p>
    <w:p>
      <w:pPr>
        <w:pStyle w:val="33"/>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zh-CN" w:eastAsia="zh-CN"/>
        </w:rPr>
      </w:pPr>
      <w:r>
        <w:rPr>
          <w:rFonts w:hint="eastAsia" w:ascii="仿宋_GB2312" w:hAnsi="仿宋_GB2312" w:eastAsia="仿宋_GB2312" w:cs="仿宋_GB2312"/>
          <w:b w:val="0"/>
          <w:bCs w:val="0"/>
          <w:i w:val="0"/>
          <w:iCs w:val="0"/>
          <w:sz w:val="32"/>
          <w:szCs w:val="32"/>
          <w:lang w:val="zh-CN" w:eastAsia="zh-CN"/>
        </w:rPr>
        <w:t>县级财政部门</w:t>
      </w:r>
      <w:r>
        <w:rPr>
          <w:rFonts w:hint="eastAsia" w:ascii="仿宋_GB2312" w:hAnsi="仿宋_GB2312" w:eastAsia="仿宋_GB2312" w:cs="仿宋_GB2312"/>
          <w:b w:val="0"/>
          <w:bCs w:val="0"/>
          <w:i w:val="0"/>
          <w:iCs w:val="0"/>
          <w:sz w:val="32"/>
          <w:szCs w:val="32"/>
          <w:lang w:val="en-US" w:eastAsia="zh-CN"/>
        </w:rPr>
        <w:t>预算资金按时足额划拨至我单位，我局严格按照资金管理办法做好预算执行情况统计。</w:t>
      </w:r>
    </w:p>
    <w:p>
      <w:pPr>
        <w:pStyle w:val="33"/>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zh-CN" w:eastAsia="zh-CN"/>
        </w:rPr>
      </w:pPr>
      <w:r>
        <w:rPr>
          <w:rFonts w:hint="eastAsia" w:ascii="仿宋_GB2312" w:hAnsi="仿宋_GB2312" w:eastAsia="仿宋_GB2312" w:cs="仿宋_GB2312"/>
          <w:b w:val="0"/>
          <w:bCs w:val="0"/>
          <w:i w:val="0"/>
          <w:iCs w:val="0"/>
          <w:sz w:val="32"/>
          <w:szCs w:val="32"/>
          <w:lang w:val="en-US" w:eastAsia="zh-CN"/>
        </w:rPr>
        <w:t>单位在项目资金管理过程中严格按照 “收支两条线”管理；严格按照《会计法》规定的会计科目进行核算。</w:t>
      </w:r>
    </w:p>
    <w:p>
      <w:pPr>
        <w:pStyle w:val="33"/>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eastAsia"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单位按时向县级财政部门报送资金使用支付进度情况，同时做好与财政部门、金融机构的对账工作，切实加强资金监管，确保专款专用。</w:t>
      </w:r>
    </w:p>
    <w:p>
      <w:pPr>
        <w:pStyle w:val="33"/>
        <w:keepNext w:val="0"/>
        <w:keepLines w:val="0"/>
        <w:pageBreakBefore w:val="0"/>
        <w:widowControl w:val="0"/>
        <w:numPr>
          <w:ilvl w:val="0"/>
          <w:numId w:val="1"/>
        </w:numPr>
        <w:kinsoku/>
        <w:wordWrap/>
        <w:overflowPunct/>
        <w:topLinePunct w:val="0"/>
        <w:autoSpaceDE/>
        <w:autoSpaceDN/>
        <w:bidi w:val="0"/>
        <w:spacing w:line="360" w:lineRule="auto"/>
        <w:ind w:firstLine="640" w:firstLineChars="200"/>
        <w:textAlignment w:val="auto"/>
        <w:rPr>
          <w:rFonts w:hint="eastAsia" w:ascii="黑体" w:hAnsi="宋体" w:eastAsia="黑体" w:cs="Times New Roman"/>
          <w:sz w:val="32"/>
          <w:szCs w:val="32"/>
          <w:lang w:val="en-US" w:eastAsia="zh-CN"/>
        </w:rPr>
      </w:pPr>
      <w:r>
        <w:rPr>
          <w:rFonts w:hint="eastAsia" w:ascii="黑体" w:hAnsi="宋体" w:eastAsia="黑体" w:cs="Times New Roman"/>
          <w:sz w:val="32"/>
          <w:szCs w:val="32"/>
          <w:lang w:val="en-US" w:eastAsia="zh-CN"/>
        </w:rPr>
        <w:t>项目绩效情况</w:t>
      </w:r>
    </w:p>
    <w:p>
      <w:pPr>
        <w:pStyle w:val="33"/>
        <w:keepNext w:val="0"/>
        <w:keepLines w:val="0"/>
        <w:pageBreakBefore w:val="0"/>
        <w:widowControl w:val="0"/>
        <w:numPr>
          <w:ilvl w:val="0"/>
          <w:numId w:val="0"/>
        </w:numPr>
        <w:kinsoku/>
        <w:wordWrap/>
        <w:overflowPunct/>
        <w:topLinePunct w:val="0"/>
        <w:autoSpaceDE/>
        <w:autoSpaceDN/>
        <w:bidi w:val="0"/>
        <w:spacing w:line="360" w:lineRule="auto"/>
        <w:ind w:firstLine="643" w:firstLineChars="200"/>
        <w:textAlignment w:val="auto"/>
        <w:rPr>
          <w:rFonts w:hint="default"/>
          <w:sz w:val="30"/>
          <w:szCs w:val="30"/>
          <w:lang w:val="en-US" w:eastAsia="zh-CN"/>
        </w:rPr>
      </w:pPr>
      <w:r>
        <w:rPr>
          <w:rFonts w:hint="eastAsia" w:ascii="楷体_GB2312" w:hAnsi="宋体" w:eastAsia="楷体_GB2312" w:cs="Times New Roman"/>
          <w:b/>
          <w:sz w:val="32"/>
          <w:szCs w:val="32"/>
          <w:lang w:val="zh-CN"/>
        </w:rPr>
        <w:t>（一）项目完成情况。</w:t>
      </w:r>
      <w:r>
        <w:rPr>
          <w:rFonts w:hint="eastAsia" w:ascii="仿宋_GB2312" w:hAnsi="宋体" w:eastAsia="仿宋_GB2312" w:cs="宋体"/>
          <w:color w:val="000000"/>
          <w:kern w:val="0"/>
          <w:sz w:val="32"/>
          <w:szCs w:val="32"/>
          <w:shd w:val="clear" w:color="auto" w:fill="FFFFFF"/>
          <w:lang w:val="zh-CN"/>
        </w:rPr>
        <w:br w:type="textWrapping"/>
      </w: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_GB2312" w:eastAsia="仿宋_GB2312" w:cs="仿宋_GB2312"/>
          <w:b w:val="0"/>
          <w:bCs w:val="0"/>
          <w:i w:val="0"/>
          <w:iCs w:val="0"/>
          <w:sz w:val="32"/>
          <w:szCs w:val="32"/>
          <w:lang w:val="en-US" w:eastAsia="zh-CN"/>
        </w:rPr>
        <w:t>上级拨付我局80万元专项扶贫资金，</w:t>
      </w:r>
      <w:r>
        <w:rPr>
          <w:rFonts w:hint="eastAsia" w:ascii="仿宋_GB2312" w:hAnsi="仿宋_GB2312" w:eastAsia="仿宋_GB2312" w:cs="仿宋_GB2312"/>
          <w:b w:val="0"/>
          <w:bCs w:val="0"/>
          <w:i w:val="0"/>
          <w:iCs w:val="0"/>
          <w:sz w:val="32"/>
          <w:szCs w:val="32"/>
          <w:lang w:val="zh-CN" w:eastAsia="zh-CN"/>
        </w:rPr>
        <w:t>按照专项资金管理办法，做到专款专用，完成各项</w:t>
      </w:r>
      <w:r>
        <w:rPr>
          <w:rFonts w:hint="eastAsia" w:ascii="仿宋_GB2312" w:hAnsi="仿宋_GB2312" w:eastAsia="仿宋_GB2312" w:cs="仿宋_GB2312"/>
          <w:b w:val="0"/>
          <w:bCs w:val="0"/>
          <w:i w:val="0"/>
          <w:iCs w:val="0"/>
          <w:sz w:val="32"/>
          <w:szCs w:val="32"/>
          <w:lang w:val="en-US" w:eastAsia="zh-CN"/>
        </w:rPr>
        <w:t>预定绩效</w:t>
      </w:r>
      <w:r>
        <w:rPr>
          <w:rFonts w:hint="eastAsia" w:ascii="仿宋_GB2312" w:hAnsi="仿宋_GB2312" w:eastAsia="仿宋_GB2312" w:cs="仿宋_GB2312"/>
          <w:b w:val="0"/>
          <w:bCs w:val="0"/>
          <w:i w:val="0"/>
          <w:iCs w:val="0"/>
          <w:sz w:val="32"/>
          <w:szCs w:val="32"/>
          <w:lang w:val="zh-CN" w:eastAsia="zh-CN"/>
        </w:rPr>
        <w:t>目标。</w:t>
      </w:r>
      <w:r>
        <w:rPr>
          <w:rFonts w:hint="eastAsia" w:ascii="仿宋_GB2312" w:hAnsi="仿宋_GB2312" w:eastAsia="仿宋_GB2312" w:cs="仿宋_GB2312"/>
          <w:b w:val="0"/>
          <w:bCs w:val="0"/>
          <w:i w:val="0"/>
          <w:iCs w:val="0"/>
          <w:sz w:val="32"/>
          <w:szCs w:val="32"/>
          <w:lang w:val="zh-CN" w:eastAsia="zh-CN"/>
        </w:rPr>
        <w:br w:type="textWrapping"/>
      </w:r>
      <w:r>
        <w:rPr>
          <w:rFonts w:hint="eastAsia" w:ascii="仿宋_GB2312" w:hAnsi="仿宋_GB2312" w:eastAsia="仿宋_GB2312" w:cs="仿宋_GB2312"/>
          <w:b w:val="0"/>
          <w:bCs w:val="0"/>
          <w:i w:val="0"/>
          <w:iCs w:val="0"/>
          <w:sz w:val="32"/>
          <w:szCs w:val="32"/>
          <w:lang w:val="en-US" w:eastAsia="zh-CN"/>
        </w:rPr>
        <w:t xml:space="preserve">    </w:t>
      </w:r>
      <w:r>
        <w:rPr>
          <w:rFonts w:hint="eastAsia" w:ascii="楷体_GB2312" w:hAnsi="宋体" w:eastAsia="楷体_GB2312" w:cs="Times New Roman"/>
          <w:b/>
          <w:sz w:val="32"/>
          <w:szCs w:val="32"/>
          <w:lang w:val="zh-CN"/>
        </w:rPr>
        <w:t>（二）项目效益情况。</w:t>
      </w:r>
    </w:p>
    <w:p>
      <w:pPr>
        <w:pStyle w:val="33"/>
        <w:keepNext w:val="0"/>
        <w:keepLines w:val="0"/>
        <w:pageBreakBefore w:val="0"/>
        <w:widowControl w:val="0"/>
        <w:numPr>
          <w:ilvl w:val="0"/>
          <w:numId w:val="0"/>
        </w:numPr>
        <w:kinsoku/>
        <w:wordWrap/>
        <w:overflowPunct/>
        <w:topLinePunct w:val="0"/>
        <w:autoSpaceDE/>
        <w:autoSpaceDN/>
        <w:bidi w:val="0"/>
        <w:spacing w:line="360" w:lineRule="auto"/>
        <w:ind w:left="140" w:leftChars="0" w:firstLine="640" w:firstLineChars="200"/>
        <w:textAlignment w:val="auto"/>
        <w:rPr>
          <w:rFonts w:hint="default" w:ascii="仿宋_GB2312" w:hAnsi="仿宋_GB2312" w:eastAsia="仿宋_GB2312" w:cs="仿宋_GB2312"/>
          <w:b w:val="0"/>
          <w:bCs w:val="0"/>
          <w:i w:val="0"/>
          <w:iCs w:val="0"/>
          <w:sz w:val="32"/>
          <w:szCs w:val="32"/>
          <w:lang w:val="en-US" w:eastAsia="zh-CN"/>
        </w:rPr>
      </w:pPr>
      <w:r>
        <w:rPr>
          <w:rFonts w:hint="eastAsia" w:ascii="仿宋_GB2312" w:hAnsi="仿宋_GB2312" w:eastAsia="仿宋_GB2312" w:cs="仿宋_GB2312"/>
          <w:b w:val="0"/>
          <w:bCs w:val="0"/>
          <w:i w:val="0"/>
          <w:iCs w:val="0"/>
          <w:sz w:val="32"/>
          <w:szCs w:val="32"/>
          <w:lang w:val="en-US" w:eastAsia="zh-CN"/>
        </w:rPr>
        <w:t>通过发展产业培训、购买公益性岗位人身意外险等方式，使其掌握了产业技能，享受了应有保障，激发了脱贫户的内生动力，增强了致富决心；通过扶贫车间奖补方式，带动了社会资本参与脱贫成果巩固，提供更多就业岗位，实现已脱贫人员增收。此次专项资金项目的实施，获得已脱贫人员的一致好评。</w:t>
      </w:r>
    </w:p>
    <w:p>
      <w:pPr>
        <w:pStyle w:val="33"/>
        <w:keepNext w:val="0"/>
        <w:keepLines w:val="0"/>
        <w:pageBreakBefore w:val="0"/>
        <w:widowControl w:val="0"/>
        <w:numPr>
          <w:ilvl w:val="0"/>
          <w:numId w:val="0"/>
        </w:numPr>
        <w:kinsoku/>
        <w:wordWrap/>
        <w:overflowPunct/>
        <w:topLinePunct w:val="0"/>
        <w:autoSpaceDE/>
        <w:autoSpaceDN/>
        <w:bidi w:val="0"/>
        <w:spacing w:line="360" w:lineRule="auto"/>
        <w:ind w:left="638" w:leftChars="304" w:firstLine="0" w:firstLineChars="0"/>
        <w:textAlignment w:val="auto"/>
        <w:rPr>
          <w:rFonts w:hint="eastAsia" w:ascii="仿宋_GB2312" w:hAnsi="宋体" w:eastAsia="仿宋_GB2312" w:cs="宋体"/>
          <w:color w:val="000000"/>
          <w:kern w:val="0"/>
          <w:sz w:val="32"/>
          <w:szCs w:val="32"/>
          <w:shd w:val="clear" w:color="auto" w:fill="FFFFFF"/>
          <w:lang w:val="zh-CN"/>
        </w:rPr>
      </w:pPr>
      <w:r>
        <w:rPr>
          <w:rFonts w:hint="eastAsia" w:ascii="黑体" w:hAnsi="宋体" w:eastAsia="黑体" w:cs="Times New Roman"/>
          <w:sz w:val="32"/>
          <w:szCs w:val="32"/>
          <w:lang w:val="en-US" w:eastAsia="zh-CN"/>
        </w:rPr>
        <w:t>四、问题及建议</w:t>
      </w:r>
      <w:r>
        <w:rPr>
          <w:rFonts w:hint="eastAsia" w:ascii="黑体" w:hAnsi="宋体" w:eastAsia="黑体" w:cs="Times New Roman"/>
          <w:sz w:val="32"/>
          <w:szCs w:val="32"/>
          <w:lang w:val="en-US" w:eastAsia="zh-CN"/>
        </w:rPr>
        <w:br w:type="textWrapping"/>
      </w:r>
      <w:r>
        <w:rPr>
          <w:rFonts w:hint="eastAsia" w:ascii="楷体_GB2312" w:hAnsi="宋体" w:eastAsia="楷体_GB2312" w:cs="Times New Roman"/>
          <w:b/>
          <w:sz w:val="32"/>
          <w:szCs w:val="32"/>
          <w:lang w:val="zh-CN"/>
        </w:rPr>
        <w:t>（一）存在的问题。</w:t>
      </w:r>
    </w:p>
    <w:p>
      <w:pPr>
        <w:pStyle w:val="33"/>
        <w:keepNext w:val="0"/>
        <w:keepLines w:val="0"/>
        <w:pageBreakBefore w:val="0"/>
        <w:widowControl w:val="0"/>
        <w:kinsoku/>
        <w:wordWrap/>
        <w:overflowPunct/>
        <w:topLinePunct w:val="0"/>
        <w:autoSpaceDE/>
        <w:autoSpaceDN/>
        <w:bidi w:val="0"/>
        <w:spacing w:line="360" w:lineRule="auto"/>
        <w:ind w:left="638" w:leftChars="304" w:firstLine="0" w:firstLineChars="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 w:val="0"/>
          <w:bCs w:val="0"/>
          <w:i w:val="0"/>
          <w:iCs w:val="0"/>
          <w:sz w:val="32"/>
          <w:szCs w:val="32"/>
          <w:lang w:val="en-US" w:eastAsia="zh-CN"/>
        </w:rPr>
        <w:t>单位在绩效目标自评过程中暂未发现相关问题。</w:t>
      </w:r>
      <w:r>
        <w:rPr>
          <w:rFonts w:ascii="宋体" w:hAnsi="宋体" w:eastAsia="宋体" w:cs="宋体"/>
          <w:sz w:val="30"/>
          <w:szCs w:val="30"/>
        </w:rPr>
        <w:br w:type="textWrapping"/>
      </w:r>
      <w:r>
        <w:rPr>
          <w:rFonts w:hint="eastAsia" w:ascii="楷体_GB2312" w:hAnsi="宋体" w:eastAsia="楷体_GB2312" w:cs="Times New Roman"/>
          <w:b/>
          <w:sz w:val="32"/>
          <w:szCs w:val="32"/>
          <w:lang w:val="zh-CN"/>
        </w:rPr>
        <w:t>（二）相关建议。</w:t>
      </w:r>
    </w:p>
    <w:p>
      <w:pPr>
        <w:pStyle w:val="36"/>
        <w:keepNext w:val="0"/>
        <w:keepLines w:val="0"/>
        <w:pageBreakBefore w:val="0"/>
        <w:widowControl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b w:val="0"/>
          <w:bCs w:val="0"/>
          <w:i w:val="0"/>
          <w:iCs w:val="0"/>
          <w:kern w:val="2"/>
          <w:sz w:val="32"/>
          <w:szCs w:val="32"/>
          <w:lang w:val="en-US" w:eastAsia="zh-CN" w:bidi="ar-SA"/>
        </w:rPr>
      </w:pPr>
      <w:r>
        <w:rPr>
          <w:rFonts w:hint="eastAsia" w:ascii="仿宋_GB2312" w:hAnsi="仿宋_GB2312" w:eastAsia="仿宋_GB2312" w:cs="仿宋_GB2312"/>
          <w:b w:val="0"/>
          <w:bCs w:val="0"/>
          <w:i w:val="0"/>
          <w:iCs w:val="0"/>
          <w:kern w:val="2"/>
          <w:sz w:val="32"/>
          <w:szCs w:val="32"/>
          <w:lang w:val="en-US" w:eastAsia="zh-CN" w:bidi="ar-SA"/>
        </w:rPr>
        <w:t>进一步做好脱贫户产业及稳岗就业。加强对脱贫产业发展的研判，动态监测已脱贫人口就业情况，确保已脱贫人口发展产业及就业规模总体稳定。</w:t>
      </w:r>
    </w:p>
    <w:p>
      <w:pPr>
        <w:pStyle w:val="39"/>
        <w:keepNext w:val="0"/>
        <w:keepLines w:val="0"/>
        <w:pageBreakBefore w:val="0"/>
        <w:widowControl w:val="0"/>
        <w:kinsoku/>
        <w:wordWrap/>
        <w:overflowPunct/>
        <w:topLinePunct w:val="0"/>
        <w:autoSpaceDE/>
        <w:autoSpaceDN/>
        <w:bidi w:val="0"/>
        <w:spacing w:line="360" w:lineRule="auto"/>
        <w:ind w:firstLine="3200" w:firstLineChars="1000"/>
        <w:textAlignment w:val="auto"/>
        <w:rPr>
          <w:rFonts w:hint="eastAsia" w:ascii="仿宋_GB2312" w:hAnsi="仿宋_GB2312" w:eastAsia="仿宋_GB2312" w:cs="仿宋_GB2312"/>
          <w:b w:val="0"/>
          <w:bCs w:val="0"/>
          <w:i w:val="0"/>
          <w:iCs w:val="0"/>
          <w:kern w:val="2"/>
          <w:sz w:val="32"/>
          <w:szCs w:val="32"/>
          <w:lang w:val="en-US" w:eastAsia="zh-CN" w:bidi="ar-SA"/>
        </w:rPr>
      </w:pPr>
      <w:r>
        <w:rPr>
          <w:rFonts w:hint="eastAsia" w:ascii="仿宋_GB2312" w:hAnsi="仿宋_GB2312" w:eastAsia="仿宋_GB2312" w:cs="仿宋_GB2312"/>
          <w:b w:val="0"/>
          <w:bCs w:val="0"/>
          <w:i w:val="0"/>
          <w:iCs w:val="0"/>
          <w:kern w:val="2"/>
          <w:sz w:val="32"/>
          <w:szCs w:val="32"/>
          <w:lang w:val="en-US" w:eastAsia="zh-CN" w:bidi="ar-SA"/>
        </w:rPr>
        <w:t>茂县公共就业和人才交流服务局</w:t>
      </w:r>
    </w:p>
    <w:p>
      <w:pPr>
        <w:pStyle w:val="39"/>
        <w:keepNext w:val="0"/>
        <w:keepLines w:val="0"/>
        <w:pageBreakBefore w:val="0"/>
        <w:widowControl w:val="0"/>
        <w:kinsoku/>
        <w:wordWrap/>
        <w:overflowPunct/>
        <w:topLinePunct w:val="0"/>
        <w:autoSpaceDE/>
        <w:autoSpaceDN/>
        <w:bidi w:val="0"/>
        <w:spacing w:line="360" w:lineRule="auto"/>
        <w:ind w:firstLine="4160" w:firstLineChars="1300"/>
        <w:jc w:val="both"/>
        <w:textAlignment w:val="auto"/>
        <w:rPr>
          <w:rFonts w:hint="default" w:ascii="仿宋_GB2312" w:hAnsi="仿宋_GB2312" w:eastAsia="仿宋_GB2312" w:cs="仿宋_GB2312"/>
          <w:b w:val="0"/>
          <w:bCs w:val="0"/>
          <w:i w:val="0"/>
          <w:iCs w:val="0"/>
          <w:kern w:val="2"/>
          <w:sz w:val="32"/>
          <w:szCs w:val="32"/>
          <w:lang w:val="en-US" w:eastAsia="zh-CN" w:bidi="ar-SA"/>
        </w:rPr>
      </w:pPr>
      <w:r>
        <w:rPr>
          <w:rFonts w:hint="eastAsia" w:ascii="仿宋_GB2312" w:hAnsi="仿宋_GB2312" w:eastAsia="仿宋_GB2312" w:cs="仿宋_GB2312"/>
          <w:b w:val="0"/>
          <w:bCs w:val="0"/>
          <w:i w:val="0"/>
          <w:iCs w:val="0"/>
          <w:kern w:val="2"/>
          <w:sz w:val="32"/>
          <w:szCs w:val="32"/>
          <w:lang w:val="en-US" w:eastAsia="zh-CN" w:bidi="ar-SA"/>
        </w:rPr>
        <w:t>2022年8月30日</w:t>
      </w:r>
    </w:p>
    <w:p>
      <w:pPr>
        <w:pStyle w:val="36"/>
        <w:rPr>
          <w:rFonts w:hint="eastAsia" w:ascii="仿宋_GB2312" w:hAnsi="仿宋_GB2312" w:eastAsia="仿宋_GB2312" w:cs="仿宋_GB2312"/>
          <w:kern w:val="2"/>
          <w:sz w:val="32"/>
          <w:szCs w:val="32"/>
          <w:lang w:val="en-US" w:eastAsia="zh-CN" w:bidi="ar-SA"/>
        </w:rPr>
      </w:pPr>
    </w:p>
    <w:p>
      <w:pPr>
        <w:pStyle w:val="33"/>
      </w:pPr>
    </w:p>
    <w:p>
      <w:pPr>
        <w:pStyle w:val="2"/>
        <w:jc w:val="center"/>
        <w:rPr>
          <w:rFonts w:ascii="黑体" w:hAnsi="黑体" w:eastAsia="黑体" w:cs="黑体"/>
        </w:rPr>
      </w:pPr>
      <w:bookmarkStart w:id="74" w:name="_Toc111208512"/>
      <w:bookmarkStart w:id="75" w:name="_Toc79163635"/>
      <w:bookmarkStart w:id="76" w:name="_Toc113981025"/>
      <w:bookmarkStart w:id="77" w:name="_Toc79163885"/>
      <w:r>
        <w:rPr>
          <w:rFonts w:hint="eastAsia" w:ascii="黑体" w:hAnsi="黑体" w:eastAsia="黑体" w:cs="黑体"/>
        </w:rPr>
        <w:t>第五部分 附表</w:t>
      </w:r>
      <w:bookmarkEnd w:id="74"/>
      <w:bookmarkEnd w:id="75"/>
      <w:bookmarkEnd w:id="76"/>
      <w:bookmarkEnd w:id="77"/>
    </w:p>
    <w:p>
      <w:pPr>
        <w:pStyle w:val="3"/>
        <w:spacing w:line="576" w:lineRule="exact"/>
        <w:rPr>
          <w:rFonts w:hint="eastAsia" w:ascii="仿宋" w:hAnsi="Cambria" w:eastAsia="仿宋" w:cs="Times New Roman"/>
          <w:b w:val="0"/>
          <w:color w:val="000000"/>
        </w:rPr>
      </w:pPr>
      <w:bookmarkStart w:id="78" w:name="_Toc79163636"/>
      <w:bookmarkStart w:id="79" w:name="_Toc79163886"/>
      <w:bookmarkStart w:id="80" w:name="_Toc111208513"/>
      <w:bookmarkStart w:id="81" w:name="_Toc113981026"/>
      <w:r>
        <w:rPr>
          <w:rFonts w:hint="eastAsia" w:ascii="仿宋" w:hAnsi="Cambria" w:eastAsia="仿宋" w:cs="Times New Roman"/>
          <w:b w:val="0"/>
          <w:color w:val="000000"/>
        </w:rPr>
        <w:t>一、收入支出决算总表</w:t>
      </w:r>
      <w:bookmarkEnd w:id="78"/>
      <w:bookmarkEnd w:id="79"/>
      <w:bookmarkEnd w:id="80"/>
      <w:bookmarkEnd w:id="81"/>
    </w:p>
    <w:p>
      <w:pPr>
        <w:pStyle w:val="3"/>
        <w:spacing w:line="576" w:lineRule="exact"/>
        <w:rPr>
          <w:rFonts w:hint="eastAsia" w:ascii="仿宋" w:hAnsi="Cambria" w:eastAsia="仿宋" w:cs="Times New Roman"/>
          <w:b w:val="0"/>
          <w:color w:val="000000"/>
        </w:rPr>
      </w:pPr>
      <w:bookmarkStart w:id="82" w:name="_Toc113981027"/>
      <w:bookmarkStart w:id="83" w:name="_Toc111208514"/>
      <w:bookmarkStart w:id="84" w:name="_Toc79163887"/>
      <w:bookmarkStart w:id="85" w:name="_Toc79163637"/>
      <w:r>
        <w:rPr>
          <w:rFonts w:hint="eastAsia" w:ascii="仿宋" w:hAnsi="Cambria" w:eastAsia="仿宋" w:cs="Times New Roman"/>
          <w:b w:val="0"/>
          <w:color w:val="000000"/>
        </w:rPr>
        <w:t>二、收入决算表</w:t>
      </w:r>
      <w:bookmarkEnd w:id="82"/>
      <w:bookmarkEnd w:id="83"/>
      <w:bookmarkEnd w:id="84"/>
      <w:bookmarkEnd w:id="85"/>
    </w:p>
    <w:p>
      <w:pPr>
        <w:pStyle w:val="3"/>
        <w:spacing w:line="576" w:lineRule="exact"/>
        <w:rPr>
          <w:rFonts w:hint="eastAsia" w:ascii="仿宋" w:hAnsi="Cambria" w:eastAsia="仿宋" w:cs="Times New Roman"/>
          <w:b w:val="0"/>
          <w:color w:val="000000"/>
        </w:rPr>
      </w:pPr>
      <w:bookmarkStart w:id="86" w:name="_Toc113981028"/>
      <w:bookmarkStart w:id="87" w:name="_Toc79163888"/>
      <w:bookmarkStart w:id="88" w:name="_Toc79163638"/>
      <w:bookmarkStart w:id="89" w:name="_Toc111208515"/>
      <w:r>
        <w:rPr>
          <w:rFonts w:hint="eastAsia" w:ascii="仿宋" w:hAnsi="Cambria" w:eastAsia="仿宋" w:cs="Times New Roman"/>
          <w:b w:val="0"/>
          <w:color w:val="000000"/>
        </w:rPr>
        <w:t>三、支出决算表</w:t>
      </w:r>
      <w:bookmarkEnd w:id="86"/>
      <w:bookmarkEnd w:id="87"/>
      <w:bookmarkEnd w:id="88"/>
      <w:bookmarkEnd w:id="89"/>
    </w:p>
    <w:p>
      <w:pPr>
        <w:pStyle w:val="3"/>
        <w:spacing w:line="576" w:lineRule="exact"/>
        <w:rPr>
          <w:rFonts w:hint="eastAsia" w:ascii="仿宋" w:hAnsi="Cambria" w:eastAsia="仿宋" w:cs="Times New Roman"/>
          <w:b w:val="0"/>
          <w:color w:val="000000"/>
        </w:rPr>
      </w:pPr>
      <w:bookmarkStart w:id="90" w:name="_Toc79163889"/>
      <w:bookmarkStart w:id="91" w:name="_Toc111208516"/>
      <w:bookmarkStart w:id="92" w:name="_Toc113981029"/>
      <w:bookmarkStart w:id="93" w:name="_Toc79163639"/>
      <w:r>
        <w:rPr>
          <w:rFonts w:hint="eastAsia" w:ascii="仿宋" w:hAnsi="Cambria" w:eastAsia="仿宋" w:cs="Times New Roman"/>
          <w:b w:val="0"/>
          <w:color w:val="000000"/>
        </w:rPr>
        <w:t>四、财政拨款收入支出决算总表</w:t>
      </w:r>
      <w:bookmarkEnd w:id="90"/>
      <w:bookmarkEnd w:id="91"/>
      <w:bookmarkEnd w:id="92"/>
      <w:bookmarkEnd w:id="93"/>
    </w:p>
    <w:p>
      <w:pPr>
        <w:pStyle w:val="3"/>
        <w:spacing w:line="576" w:lineRule="exact"/>
        <w:rPr>
          <w:rFonts w:hint="eastAsia" w:ascii="仿宋" w:hAnsi="Cambria" w:eastAsia="仿宋" w:cs="Times New Roman"/>
          <w:b w:val="0"/>
          <w:color w:val="000000"/>
        </w:rPr>
      </w:pPr>
      <w:bookmarkStart w:id="94" w:name="_Toc111208517"/>
      <w:bookmarkStart w:id="95" w:name="_Toc113981030"/>
      <w:bookmarkStart w:id="96" w:name="_Toc79163640"/>
      <w:bookmarkStart w:id="97" w:name="_Toc79163890"/>
      <w:r>
        <w:rPr>
          <w:rFonts w:hint="eastAsia" w:ascii="仿宋" w:hAnsi="Cambria" w:eastAsia="仿宋" w:cs="Times New Roman"/>
          <w:b w:val="0"/>
          <w:color w:val="000000"/>
        </w:rPr>
        <w:t>五、财政拨款支出决算明细表</w:t>
      </w:r>
      <w:bookmarkEnd w:id="94"/>
      <w:bookmarkEnd w:id="95"/>
      <w:bookmarkEnd w:id="96"/>
      <w:bookmarkEnd w:id="97"/>
    </w:p>
    <w:p>
      <w:pPr>
        <w:pStyle w:val="3"/>
        <w:spacing w:line="576" w:lineRule="exact"/>
        <w:rPr>
          <w:rFonts w:hint="eastAsia" w:ascii="仿宋" w:hAnsi="Cambria" w:eastAsia="仿宋" w:cs="Times New Roman"/>
          <w:b w:val="0"/>
          <w:color w:val="000000"/>
        </w:rPr>
      </w:pPr>
      <w:bookmarkStart w:id="98" w:name="_Toc79163641"/>
      <w:bookmarkStart w:id="99" w:name="_Toc113981031"/>
      <w:bookmarkStart w:id="100" w:name="_Toc79163891"/>
      <w:bookmarkStart w:id="101" w:name="_Toc111208518"/>
      <w:r>
        <w:rPr>
          <w:rFonts w:hint="eastAsia" w:ascii="仿宋" w:hAnsi="Cambria" w:eastAsia="仿宋" w:cs="Times New Roman"/>
          <w:b w:val="0"/>
          <w:color w:val="000000"/>
        </w:rPr>
        <w:t>六、一般公共预算财政拨款支出决算表</w:t>
      </w:r>
      <w:bookmarkEnd w:id="98"/>
      <w:bookmarkEnd w:id="99"/>
      <w:bookmarkEnd w:id="100"/>
      <w:bookmarkEnd w:id="101"/>
    </w:p>
    <w:p>
      <w:pPr>
        <w:pStyle w:val="3"/>
        <w:spacing w:line="576" w:lineRule="exact"/>
        <w:rPr>
          <w:rFonts w:hint="eastAsia" w:ascii="仿宋" w:hAnsi="Cambria" w:eastAsia="仿宋" w:cs="Times New Roman"/>
          <w:b w:val="0"/>
          <w:color w:val="000000"/>
        </w:rPr>
      </w:pPr>
      <w:bookmarkStart w:id="102" w:name="_Toc79163892"/>
      <w:bookmarkStart w:id="103" w:name="_Toc113981032"/>
      <w:bookmarkStart w:id="104" w:name="_Toc111208519"/>
      <w:bookmarkStart w:id="105" w:name="_Toc79163642"/>
      <w:r>
        <w:rPr>
          <w:rFonts w:hint="eastAsia" w:ascii="仿宋" w:hAnsi="Cambria" w:eastAsia="仿宋" w:cs="Times New Roman"/>
          <w:b w:val="0"/>
          <w:color w:val="000000"/>
        </w:rPr>
        <w:t>七、一般公共预算财政拨款支出决算明细表</w:t>
      </w:r>
      <w:bookmarkEnd w:id="102"/>
      <w:bookmarkEnd w:id="103"/>
      <w:bookmarkEnd w:id="104"/>
      <w:bookmarkEnd w:id="105"/>
    </w:p>
    <w:p>
      <w:pPr>
        <w:pStyle w:val="3"/>
        <w:spacing w:line="576" w:lineRule="exact"/>
        <w:rPr>
          <w:rFonts w:hint="eastAsia" w:ascii="仿宋" w:hAnsi="Cambria" w:eastAsia="仿宋" w:cs="Times New Roman"/>
          <w:b w:val="0"/>
          <w:color w:val="000000"/>
        </w:rPr>
      </w:pPr>
      <w:bookmarkStart w:id="106" w:name="_Toc113981033"/>
      <w:bookmarkStart w:id="107" w:name="_Toc79163643"/>
      <w:bookmarkStart w:id="108" w:name="_Toc111208520"/>
      <w:bookmarkStart w:id="109" w:name="_Toc79163893"/>
      <w:r>
        <w:rPr>
          <w:rFonts w:hint="eastAsia" w:ascii="仿宋" w:hAnsi="Cambria" w:eastAsia="仿宋" w:cs="Times New Roman"/>
          <w:b w:val="0"/>
          <w:color w:val="000000"/>
        </w:rPr>
        <w:t>八、一般公共预算财政拨款基本支出决算表</w:t>
      </w:r>
      <w:bookmarkEnd w:id="106"/>
      <w:bookmarkEnd w:id="107"/>
      <w:bookmarkEnd w:id="108"/>
      <w:bookmarkEnd w:id="109"/>
    </w:p>
    <w:p>
      <w:pPr>
        <w:pStyle w:val="3"/>
        <w:spacing w:line="576" w:lineRule="exact"/>
        <w:rPr>
          <w:rFonts w:hint="eastAsia" w:ascii="仿宋" w:hAnsi="Cambria" w:eastAsia="仿宋" w:cs="Times New Roman"/>
          <w:b w:val="0"/>
          <w:color w:val="000000"/>
        </w:rPr>
      </w:pPr>
      <w:bookmarkStart w:id="110" w:name="_Toc113981034"/>
      <w:bookmarkStart w:id="111" w:name="_Toc79163894"/>
      <w:bookmarkStart w:id="112" w:name="_Toc111208521"/>
      <w:bookmarkStart w:id="113" w:name="_Toc79163644"/>
      <w:r>
        <w:rPr>
          <w:rFonts w:hint="eastAsia" w:ascii="仿宋" w:hAnsi="Cambria" w:eastAsia="仿宋" w:cs="Times New Roman"/>
          <w:b w:val="0"/>
          <w:color w:val="000000"/>
        </w:rPr>
        <w:t>九、一般公共预算财政拨款项目支出决算表</w:t>
      </w:r>
      <w:bookmarkEnd w:id="110"/>
      <w:bookmarkEnd w:id="111"/>
      <w:bookmarkEnd w:id="112"/>
      <w:bookmarkEnd w:id="113"/>
    </w:p>
    <w:p>
      <w:pPr>
        <w:pStyle w:val="3"/>
        <w:spacing w:line="576" w:lineRule="exact"/>
        <w:rPr>
          <w:rFonts w:hint="eastAsia" w:ascii="仿宋" w:hAnsi="Cambria" w:eastAsia="仿宋" w:cs="Times New Roman"/>
          <w:b w:val="0"/>
          <w:color w:val="000000"/>
        </w:rPr>
      </w:pPr>
      <w:bookmarkStart w:id="114" w:name="_Toc111208522"/>
      <w:bookmarkStart w:id="115" w:name="_Toc113981035"/>
      <w:bookmarkStart w:id="116" w:name="_Toc79163895"/>
      <w:bookmarkStart w:id="117" w:name="_Toc79163645"/>
      <w:r>
        <w:rPr>
          <w:rFonts w:hint="eastAsia" w:ascii="仿宋" w:hAnsi="Cambria" w:eastAsia="仿宋" w:cs="Times New Roman"/>
          <w:b w:val="0"/>
          <w:color w:val="000000"/>
        </w:rPr>
        <w:t>十、一般公共预算财政拨款“三公”经费支出决算表</w:t>
      </w:r>
      <w:bookmarkEnd w:id="114"/>
      <w:bookmarkEnd w:id="115"/>
      <w:bookmarkEnd w:id="116"/>
      <w:bookmarkEnd w:id="117"/>
    </w:p>
    <w:p>
      <w:pPr>
        <w:pStyle w:val="3"/>
        <w:spacing w:line="576" w:lineRule="exact"/>
        <w:rPr>
          <w:rFonts w:hint="eastAsia" w:ascii="仿宋" w:hAnsi="Cambria" w:eastAsia="仿宋" w:cs="Times New Roman"/>
          <w:b w:val="0"/>
          <w:color w:val="000000"/>
        </w:rPr>
      </w:pPr>
      <w:bookmarkStart w:id="118" w:name="_Toc79163896"/>
      <w:bookmarkStart w:id="119" w:name="_Toc79163646"/>
      <w:bookmarkStart w:id="120" w:name="_Toc111208523"/>
      <w:bookmarkStart w:id="121" w:name="_Toc113981036"/>
      <w:r>
        <w:rPr>
          <w:rFonts w:hint="eastAsia" w:ascii="仿宋" w:hAnsi="Cambria" w:eastAsia="仿宋" w:cs="Times New Roman"/>
          <w:b w:val="0"/>
          <w:color w:val="000000"/>
        </w:rPr>
        <w:t>十一、政府性基金预算财政拨款收入支出决算表</w:t>
      </w:r>
      <w:bookmarkEnd w:id="118"/>
      <w:bookmarkEnd w:id="119"/>
      <w:bookmarkEnd w:id="120"/>
      <w:bookmarkEnd w:id="121"/>
    </w:p>
    <w:p>
      <w:pPr>
        <w:pStyle w:val="3"/>
        <w:spacing w:line="576" w:lineRule="exact"/>
        <w:rPr>
          <w:rFonts w:hint="eastAsia" w:ascii="仿宋" w:hAnsi="Cambria" w:eastAsia="仿宋" w:cs="Times New Roman"/>
          <w:b w:val="0"/>
          <w:color w:val="000000"/>
        </w:rPr>
      </w:pPr>
      <w:bookmarkStart w:id="122" w:name="_Toc79163647"/>
      <w:bookmarkStart w:id="123" w:name="_Toc111208524"/>
      <w:bookmarkStart w:id="124" w:name="_Toc113981037"/>
      <w:bookmarkStart w:id="125" w:name="_Toc79163897"/>
      <w:r>
        <w:rPr>
          <w:rFonts w:hint="eastAsia" w:ascii="仿宋" w:hAnsi="Cambria" w:eastAsia="仿宋" w:cs="Times New Roman"/>
          <w:b w:val="0"/>
          <w:color w:val="000000"/>
        </w:rPr>
        <w:t>十二、政府性基金预算财政拨款“三公”经费支出决算表</w:t>
      </w:r>
      <w:bookmarkEnd w:id="122"/>
      <w:bookmarkEnd w:id="123"/>
      <w:bookmarkEnd w:id="124"/>
      <w:bookmarkEnd w:id="125"/>
    </w:p>
    <w:p>
      <w:pPr>
        <w:pStyle w:val="3"/>
        <w:spacing w:line="576" w:lineRule="exact"/>
        <w:rPr>
          <w:rFonts w:hint="eastAsia" w:ascii="仿宋" w:hAnsi="Cambria" w:eastAsia="仿宋" w:cs="Times New Roman"/>
          <w:b w:val="0"/>
          <w:color w:val="000000"/>
        </w:rPr>
      </w:pPr>
      <w:bookmarkStart w:id="126" w:name="_Toc79163648"/>
      <w:bookmarkStart w:id="127" w:name="_Toc79163898"/>
      <w:bookmarkStart w:id="128" w:name="_Toc113981038"/>
      <w:bookmarkStart w:id="129" w:name="_Toc111208525"/>
      <w:r>
        <w:rPr>
          <w:rFonts w:hint="eastAsia" w:ascii="仿宋" w:hAnsi="Cambria" w:eastAsia="仿宋" w:cs="Times New Roman"/>
          <w:b w:val="0"/>
          <w:color w:val="000000"/>
        </w:rPr>
        <w:t>十三、</w:t>
      </w:r>
      <w:bookmarkEnd w:id="126"/>
      <w:bookmarkEnd w:id="127"/>
      <w:r>
        <w:rPr>
          <w:rFonts w:hint="eastAsia" w:ascii="仿宋" w:hAnsi="Cambria" w:eastAsia="仿宋" w:cs="Times New Roman"/>
          <w:b w:val="0"/>
          <w:color w:val="000000"/>
        </w:rPr>
        <w:t>国有资本经营预算财政拨款收入支出决算表</w:t>
      </w:r>
      <w:bookmarkEnd w:id="128"/>
      <w:bookmarkEnd w:id="129"/>
    </w:p>
    <w:p>
      <w:pPr>
        <w:pStyle w:val="3"/>
        <w:spacing w:line="576" w:lineRule="exact"/>
        <w:rPr>
          <w:rFonts w:hint="eastAsia" w:ascii="仿宋" w:hAnsi="Cambria" w:eastAsia="仿宋" w:cs="Times New Roman"/>
          <w:b w:val="0"/>
          <w:color w:val="000000"/>
        </w:rPr>
      </w:pPr>
      <w:bookmarkStart w:id="130" w:name="_Toc113981039"/>
      <w:bookmarkStart w:id="131" w:name="_Toc111208526"/>
      <w:r>
        <w:rPr>
          <w:rFonts w:hint="eastAsia" w:ascii="仿宋" w:hAnsi="Cambria" w:eastAsia="仿宋" w:cs="Times New Roman"/>
          <w:b w:val="0"/>
          <w:color w:val="000000"/>
        </w:rPr>
        <w:t>十四、国有资本经营预算财政拨款支出决算表</w:t>
      </w:r>
      <w:bookmarkEnd w:id="130"/>
      <w:bookmarkEnd w:id="131"/>
    </w:p>
    <w:sectPr>
      <w:footerReference r:id="rId7" w:type="first"/>
      <w:headerReference r:id="rId5" w:type="default"/>
      <w:footerReference r:id="rId6" w:type="default"/>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3</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5"/>
                </w:pPr>
              </w:p>
            </w:txbxContent>
          </v:textbox>
        </v:shape>
      </w:pict>
    </w: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3075" o:spid="_x0000_s307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24</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F02B98"/>
    <w:multiLevelType w:val="singleLevel"/>
    <w:tmpl w:val="E1F02B9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k5NTNhYTUwYmE0NGNiNmE0MjM0MzdmZGI3NjM1Nzk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1B0745"/>
    <w:rsid w:val="01CF32DE"/>
    <w:rsid w:val="01D74DB7"/>
    <w:rsid w:val="01D86637"/>
    <w:rsid w:val="01F04616"/>
    <w:rsid w:val="03980991"/>
    <w:rsid w:val="03F359AA"/>
    <w:rsid w:val="0463543B"/>
    <w:rsid w:val="04A56E6E"/>
    <w:rsid w:val="051A6F96"/>
    <w:rsid w:val="06951176"/>
    <w:rsid w:val="07001BE1"/>
    <w:rsid w:val="07267DE7"/>
    <w:rsid w:val="089C4B49"/>
    <w:rsid w:val="09081517"/>
    <w:rsid w:val="091B747D"/>
    <w:rsid w:val="0A19737C"/>
    <w:rsid w:val="0B7218AA"/>
    <w:rsid w:val="0B99373B"/>
    <w:rsid w:val="0BA37CB5"/>
    <w:rsid w:val="0D0429D6"/>
    <w:rsid w:val="0D093B48"/>
    <w:rsid w:val="0D322E51"/>
    <w:rsid w:val="0D6C338E"/>
    <w:rsid w:val="0DB37F58"/>
    <w:rsid w:val="0DFF4F4B"/>
    <w:rsid w:val="0EDB1514"/>
    <w:rsid w:val="0F5E6610"/>
    <w:rsid w:val="10C055FF"/>
    <w:rsid w:val="11D56DF6"/>
    <w:rsid w:val="11ED6591"/>
    <w:rsid w:val="13367661"/>
    <w:rsid w:val="16BB723D"/>
    <w:rsid w:val="17BC7656"/>
    <w:rsid w:val="17EA348C"/>
    <w:rsid w:val="1840212F"/>
    <w:rsid w:val="19943114"/>
    <w:rsid w:val="1AB026BC"/>
    <w:rsid w:val="1ABB32B6"/>
    <w:rsid w:val="1AC13CB4"/>
    <w:rsid w:val="1BF70747"/>
    <w:rsid w:val="1C06153F"/>
    <w:rsid w:val="1C986C96"/>
    <w:rsid w:val="1D7371C3"/>
    <w:rsid w:val="1DDC2BB3"/>
    <w:rsid w:val="1E34479D"/>
    <w:rsid w:val="1EF81F78"/>
    <w:rsid w:val="1F620905"/>
    <w:rsid w:val="201A6AB0"/>
    <w:rsid w:val="203B66A0"/>
    <w:rsid w:val="211A679A"/>
    <w:rsid w:val="219167AB"/>
    <w:rsid w:val="230E6479"/>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7F531EF"/>
    <w:rsid w:val="28513369"/>
    <w:rsid w:val="28A075FF"/>
    <w:rsid w:val="28BF6D42"/>
    <w:rsid w:val="28D1006F"/>
    <w:rsid w:val="29FD04D3"/>
    <w:rsid w:val="2C5F157F"/>
    <w:rsid w:val="2CAE1BBE"/>
    <w:rsid w:val="2CCF04B2"/>
    <w:rsid w:val="2DF465F7"/>
    <w:rsid w:val="2E4C04E0"/>
    <w:rsid w:val="2E5D1AEE"/>
    <w:rsid w:val="2E620EB2"/>
    <w:rsid w:val="2F803D16"/>
    <w:rsid w:val="315145E3"/>
    <w:rsid w:val="31810DA9"/>
    <w:rsid w:val="31903F88"/>
    <w:rsid w:val="319F7F4E"/>
    <w:rsid w:val="329448A6"/>
    <w:rsid w:val="32F45598"/>
    <w:rsid w:val="33550FE6"/>
    <w:rsid w:val="338813BB"/>
    <w:rsid w:val="33B93160"/>
    <w:rsid w:val="35244754"/>
    <w:rsid w:val="364D41F6"/>
    <w:rsid w:val="36FD0156"/>
    <w:rsid w:val="38F8371D"/>
    <w:rsid w:val="39226F5F"/>
    <w:rsid w:val="39902098"/>
    <w:rsid w:val="3A3A0F35"/>
    <w:rsid w:val="3A4E1148"/>
    <w:rsid w:val="3AFA0DF0"/>
    <w:rsid w:val="3C8D2F9D"/>
    <w:rsid w:val="3CE0510E"/>
    <w:rsid w:val="3D1E4B3E"/>
    <w:rsid w:val="3D8C1AA8"/>
    <w:rsid w:val="3E03620E"/>
    <w:rsid w:val="3E343C22"/>
    <w:rsid w:val="3F512FA9"/>
    <w:rsid w:val="3FAC4683"/>
    <w:rsid w:val="3FEA5DFB"/>
    <w:rsid w:val="401C35B7"/>
    <w:rsid w:val="4119235A"/>
    <w:rsid w:val="414965F0"/>
    <w:rsid w:val="41677310"/>
    <w:rsid w:val="422C2C46"/>
    <w:rsid w:val="4251506E"/>
    <w:rsid w:val="43684120"/>
    <w:rsid w:val="444F07DA"/>
    <w:rsid w:val="44601E28"/>
    <w:rsid w:val="45182811"/>
    <w:rsid w:val="475E72DC"/>
    <w:rsid w:val="47F514AF"/>
    <w:rsid w:val="48256D81"/>
    <w:rsid w:val="4839282C"/>
    <w:rsid w:val="48DD398F"/>
    <w:rsid w:val="48FD75BD"/>
    <w:rsid w:val="49A07007"/>
    <w:rsid w:val="4A745623"/>
    <w:rsid w:val="4A8E1084"/>
    <w:rsid w:val="4B577B99"/>
    <w:rsid w:val="4C5650B4"/>
    <w:rsid w:val="4D135D42"/>
    <w:rsid w:val="4D846266"/>
    <w:rsid w:val="4D8D78A2"/>
    <w:rsid w:val="4DF123A8"/>
    <w:rsid w:val="4E832A53"/>
    <w:rsid w:val="4F6F7A34"/>
    <w:rsid w:val="4FD74194"/>
    <w:rsid w:val="4FDA49F5"/>
    <w:rsid w:val="50AE413E"/>
    <w:rsid w:val="50B9665B"/>
    <w:rsid w:val="50E27F05"/>
    <w:rsid w:val="51E1640E"/>
    <w:rsid w:val="51EE42CA"/>
    <w:rsid w:val="52302EF2"/>
    <w:rsid w:val="52CD24EF"/>
    <w:rsid w:val="52ED6284"/>
    <w:rsid w:val="5322283B"/>
    <w:rsid w:val="532B0C13"/>
    <w:rsid w:val="53BE2B80"/>
    <w:rsid w:val="541505F1"/>
    <w:rsid w:val="545B499A"/>
    <w:rsid w:val="54992FD0"/>
    <w:rsid w:val="55872E29"/>
    <w:rsid w:val="55976227"/>
    <w:rsid w:val="56D0674C"/>
    <w:rsid w:val="57641582"/>
    <w:rsid w:val="58BA52C3"/>
    <w:rsid w:val="59E11CD3"/>
    <w:rsid w:val="5BE202EA"/>
    <w:rsid w:val="5CFA7F1D"/>
    <w:rsid w:val="5DA165E2"/>
    <w:rsid w:val="5E2506F8"/>
    <w:rsid w:val="5EA316D6"/>
    <w:rsid w:val="5F2931A3"/>
    <w:rsid w:val="5F3A07D2"/>
    <w:rsid w:val="5F593A88"/>
    <w:rsid w:val="60651EAC"/>
    <w:rsid w:val="60BB3927"/>
    <w:rsid w:val="62A42EE2"/>
    <w:rsid w:val="630D013F"/>
    <w:rsid w:val="63347FC4"/>
    <w:rsid w:val="63604CB9"/>
    <w:rsid w:val="64A36D0B"/>
    <w:rsid w:val="64C656C1"/>
    <w:rsid w:val="65D272DB"/>
    <w:rsid w:val="65DF63C9"/>
    <w:rsid w:val="66124991"/>
    <w:rsid w:val="662A7F2C"/>
    <w:rsid w:val="686314D3"/>
    <w:rsid w:val="68DA2DB6"/>
    <w:rsid w:val="69725134"/>
    <w:rsid w:val="6A022F6E"/>
    <w:rsid w:val="6B183114"/>
    <w:rsid w:val="6B4666B6"/>
    <w:rsid w:val="6CC85DA9"/>
    <w:rsid w:val="6D8F2D6B"/>
    <w:rsid w:val="6DC31436"/>
    <w:rsid w:val="6ECB49CF"/>
    <w:rsid w:val="6ECB5A2B"/>
    <w:rsid w:val="70202A42"/>
    <w:rsid w:val="71C70D25"/>
    <w:rsid w:val="72227D09"/>
    <w:rsid w:val="72B62B48"/>
    <w:rsid w:val="72E476B5"/>
    <w:rsid w:val="73BE3A62"/>
    <w:rsid w:val="746C7E4B"/>
    <w:rsid w:val="750E6C6B"/>
    <w:rsid w:val="755E374E"/>
    <w:rsid w:val="76377F56"/>
    <w:rsid w:val="764B35A7"/>
    <w:rsid w:val="78A4106B"/>
    <w:rsid w:val="79975481"/>
    <w:rsid w:val="7A1B4027"/>
    <w:rsid w:val="7A965738"/>
    <w:rsid w:val="7ABC1C9C"/>
    <w:rsid w:val="7B022DCE"/>
    <w:rsid w:val="7B272834"/>
    <w:rsid w:val="7B8F71DF"/>
    <w:rsid w:val="7C677A10"/>
    <w:rsid w:val="7CB2612E"/>
    <w:rsid w:val="7CC25607"/>
    <w:rsid w:val="7DE859ED"/>
    <w:rsid w:val="7E4C610E"/>
    <w:rsid w:val="7F245867"/>
    <w:rsid w:val="7FC26C1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2"/>
    <w:qFormat/>
    <w:uiPriority w:val="9"/>
    <w:rPr>
      <w:rFonts w:ascii="Times New Roman" w:hAnsi="Times New Roman"/>
      <w:b/>
      <w:bCs/>
      <w:kern w:val="44"/>
      <w:sz w:val="44"/>
      <w:szCs w:val="44"/>
    </w:rPr>
  </w:style>
  <w:style w:type="character" w:customStyle="1" w:styleId="29">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4"/>
    <w:qFormat/>
    <w:uiPriority w:val="9"/>
    <w:rPr>
      <w:rFonts w:ascii="Times New Roman" w:hAnsi="Times New Roman"/>
      <w:b/>
      <w:bCs/>
      <w:kern w:val="2"/>
      <w:sz w:val="32"/>
      <w:szCs w:val="32"/>
    </w:rPr>
  </w:style>
  <w:style w:type="paragraph" w:customStyle="1" w:styleId="33">
    <w:name w:val="Normalb9dca846"/>
    <w:next w:val="3"/>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34">
    <w:name w:val="Default Paragraph Font5"/>
    <w:semiHidden/>
    <w:qFormat/>
    <w:uiPriority w:val="0"/>
  </w:style>
  <w:style w:type="table" w:customStyle="1" w:styleId="35">
    <w:name w:val="Normal Table4"/>
    <w:semiHidden/>
    <w:qFormat/>
    <w:uiPriority w:val="0"/>
    <w:tblPr>
      <w:tblCellMar>
        <w:top w:w="0" w:type="dxa"/>
        <w:left w:w="108" w:type="dxa"/>
        <w:bottom w:w="0" w:type="dxa"/>
        <w:right w:w="108" w:type="dxa"/>
      </w:tblCellMar>
    </w:tblPr>
  </w:style>
  <w:style w:type="paragraph" w:customStyle="1" w:styleId="36">
    <w:name w:val="footer6d787f3e"/>
    <w:basedOn w:val="33"/>
    <w:unhideWhenUsed/>
    <w:qFormat/>
    <w:uiPriority w:val="99"/>
    <w:pPr>
      <w:tabs>
        <w:tab w:val="center" w:pos="4153"/>
        <w:tab w:val="right" w:pos="8306"/>
      </w:tabs>
      <w:snapToGrid w:val="0"/>
      <w:jc w:val="left"/>
    </w:pPr>
    <w:rPr>
      <w:sz w:val="18"/>
      <w:szCs w:val="18"/>
    </w:rPr>
  </w:style>
  <w:style w:type="paragraph" w:customStyle="1" w:styleId="37">
    <w:name w:val="header03e0366b"/>
    <w:basedOn w:val="33"/>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38">
    <w:name w:val="Hyperlink6"/>
    <w:basedOn w:val="34"/>
    <w:qFormat/>
    <w:uiPriority w:val="99"/>
    <w:rPr>
      <w:rFonts w:cs="Times New Roman"/>
      <w:color w:val="323232"/>
      <w:u w:val="none"/>
    </w:rPr>
  </w:style>
  <w:style w:type="paragraph" w:customStyle="1" w:styleId="39">
    <w:name w:val="No Spacing7"/>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40">
    <w:name w:val="apple-converted-space8"/>
    <w:basedOn w:val="34"/>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{423.23,517.69}</c:f>
              <c:numCache>
                <c:formatCode>General</c:formatCode>
                <c:ptCount val="2"/>
                <c:pt idx="0">
                  <c:v>423.23</c:v>
                </c:pt>
                <c:pt idx="1">
                  <c:v>517.69</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{423.23,517.69}</c:f>
              <c:numCache>
                <c:formatCode>General</c:formatCode>
                <c:ptCount val="2"/>
                <c:pt idx="0">
                  <c:v>423.23</c:v>
                </c:pt>
                <c:pt idx="1">
                  <c:v>517.69</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{5176871.62,0,0,0,0,0,0,0}</c:f>
              <c:numCache>
                <c:formatCode>General</c:formatCode>
                <c:ptCount val="8"/>
                <c:pt idx="0">
                  <c:v>5176871.62</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{2651171.62,2525700,0,0,0}</c:f>
              <c:numCache>
                <c:formatCode>General</c:formatCode>
                <c:ptCount val="5"/>
                <c:pt idx="0">
                  <c:v>2651171.62</c:v>
                </c:pt>
                <c:pt idx="1">
                  <c:v>2525700</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{423.23,517.69}</c:f>
              <c:numCache>
                <c:formatCode>General</c:formatCode>
                <c:ptCount val="2"/>
                <c:pt idx="0">
                  <c:v>423.23</c:v>
                </c:pt>
                <c:pt idx="1">
                  <c:v>517.69</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{423.23,517.69}</c:f>
              <c:numCache>
                <c:formatCode>General</c:formatCode>
                <c:ptCount val="2"/>
                <c:pt idx="0">
                  <c:v>423.23</c:v>
                </c:pt>
                <c:pt idx="1">
                  <c:v>517.69</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{423.23}</c:f>
              <c:numCache>
                <c:formatCode>General</c:formatCode>
                <c:ptCount val="1"/>
                <c:pt idx="0">
                  <c:v>423.23</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{517.69}</c:f>
              <c:numCache>
                <c:formatCode>General</c:formatCode>
                <c:ptCount val="1"/>
                <c:pt idx="0">
                  <c:v>517.69</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{"社会保障和就业支出","卫生健康支出","农林水支出","住房保障支出"}</c:f>
              <c:strCache>
                <c:ptCount val="4"/>
                <c:pt idx="0">
                  <c:v>社会保障和就业支出</c:v>
                </c:pt>
                <c:pt idx="1">
                  <c:v>卫生健康支出</c:v>
                </c:pt>
                <c:pt idx="2">
                  <c:v>农林水支出</c:v>
                </c:pt>
                <c:pt idx="3">
                  <c:v>住房保障支出</c:v>
                </c:pt>
              </c:strCache>
            </c:strRef>
          </c:cat>
          <c:val>
            <c:numRef>
              <c:f>{404.28,13.29,80.87,19.25}</c:f>
              <c:numCache>
                <c:formatCode>General</c:formatCode>
                <c:ptCount val="4"/>
                <c:pt idx="0">
                  <c:v>404.28</c:v>
                </c:pt>
                <c:pt idx="1">
                  <c:v>13.29</c:v>
                </c:pt>
                <c:pt idx="2">
                  <c:v>80.87</c:v>
                </c:pt>
                <c:pt idx="3">
                  <c:v>19.25</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{0,1.96,0}</c:f>
              <c:numCache>
                <c:formatCode>General</c:formatCode>
                <c:ptCount val="3"/>
                <c:pt idx="0">
                  <c:v>0</c:v>
                </c:pt>
                <c:pt idx="1">
                  <c:v>1.96</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textRotate="1"/>
    <customShpInfo spid="_x0000_s3074" textRotate="1"/>
    <customShpInfo spid="_x0000_s3075"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29</Pages>
  <Words>9504</Words>
  <Characters>10682</Characters>
  <Lines>51</Lines>
  <Paragraphs>14</Paragraphs>
  <TotalTime>190</TotalTime>
  <ScaleCrop>false</ScaleCrop>
  <LinksUpToDate>false</LinksUpToDate>
  <CharactersWithSpaces>11378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2022-08-17T01:31:00Z</dcterms:created>
  <dc:creator>lgk</dc:creator>
  <cp:lastModifiedBy>Administrator</cp:lastModifiedBy>
  <cp:lastPrinted>2023-09-12T09:31:35Z</cp:lastPrinted>
  <dcterms:modified xsi:type="dcterms:W3CDTF">2023-09-12T09:34:35Z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B93CA6F4BEAD4F359769D1203595D585</vt:lpwstr>
  </property>
</Properties>
</file>