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bookmarkStart w:id="0" w:name="_Toc111208495"/>
      <w:bookmarkStart w:id="1" w:name="_Toc15377196"/>
      <w:bookmarkStart w:id="2" w:name="_Toc28280"/>
      <w:r>
        <w:rPr>
          <w:rFonts w:hint="eastAsia" w:ascii="方正小标宋简体" w:hAnsi="方正小标宋简体" w:eastAsia="方正小标宋简体" w:cs="方正小标宋简体"/>
          <w:sz w:val="48"/>
          <w:szCs w:val="48"/>
        </w:rPr>
        <w:t>2022年度</w:t>
      </w:r>
    </w:p>
    <w:p>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w:t>
      </w:r>
      <w:r>
        <w:rPr>
          <w:rFonts w:hint="eastAsia" w:ascii="方正小标宋简体" w:hAnsi="方正小标宋简体" w:eastAsia="方正小标宋简体" w:cs="方正小标宋简体"/>
          <w:sz w:val="48"/>
          <w:szCs w:val="48"/>
          <w:lang w:val="en-US" w:eastAsia="zh-CN"/>
        </w:rPr>
        <w:t>农民工服务中心</w:t>
      </w:r>
      <w:r>
        <w:rPr>
          <w:rFonts w:hint="eastAsia" w:ascii="方正小标宋简体" w:hAnsi="方正小标宋简体" w:eastAsia="方正小标宋简体" w:cs="方正小标宋简体"/>
          <w:sz w:val="48"/>
          <w:szCs w:val="48"/>
        </w:rPr>
        <w:t>2022年度部门决算</w:t>
      </w:r>
    </w:p>
    <w:p>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汇总部门决算</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Style w:val="2"/>
        <w:rPr>
          <w:rFonts w:ascii="黑体" w:hAnsi="Times New Roman" w:eastAsia="黑体" w:cs="Times New Roman"/>
          <w:sz w:val="72"/>
          <w:szCs w:val="72"/>
        </w:rPr>
      </w:pPr>
    </w:p>
    <w:p>
      <w:pPr>
        <w:pStyle w:val="2"/>
        <w:ind w:left="0" w:leftChars="0" w:firstLine="0" w:firstLineChars="0"/>
        <w:rPr>
          <w:rFonts w:ascii="黑体" w:hAnsi="Times New Roman" w:eastAsia="黑体" w:cs="Times New Roman"/>
          <w:sz w:val="72"/>
          <w:szCs w:val="72"/>
        </w:rPr>
      </w:pPr>
    </w:p>
    <w:p/>
    <w:p>
      <w:pPr>
        <w:pageBreakBefore w:val="0"/>
        <w:kinsoku/>
        <w:wordWrap/>
        <w:overflowPunct/>
        <w:topLinePunct w:val="0"/>
        <w:bidi w:val="0"/>
        <w:spacing w:line="576" w:lineRule="exact"/>
        <w:jc w:val="both"/>
        <w:textAlignment w:val="auto"/>
        <w:rPr>
          <w:rFonts w:ascii="黑体" w:hAnsi="Times New Roman" w:eastAsia="黑体" w:cs="Times New Roman"/>
          <w:sz w:val="72"/>
          <w:szCs w:val="72"/>
        </w:rPr>
      </w:pP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pStyle w:val="15"/>
        <w:keepNext w:val="0"/>
        <w:keepLines w:val="0"/>
        <w:pageBreakBefore w:val="0"/>
        <w:widowControl/>
        <w:suppressLineNumbers w:val="0"/>
        <w:kinsoku/>
        <w:wordWrap/>
        <w:overflowPunct/>
        <w:topLinePunct w:val="0"/>
        <w:bidi w:val="0"/>
        <w:spacing w:line="576" w:lineRule="exact"/>
        <w:textAlignment w:val="auto"/>
      </w:pPr>
      <w:r>
        <w:t> </w:t>
      </w:r>
    </w:p>
    <w:p>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r>
        <w:t> </w:t>
      </w:r>
    </w:p>
    <w:p>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pPr>
        <w:pStyle w:val="15"/>
        <w:keepNext w:val="0"/>
        <w:keepLines w:val="0"/>
        <w:pageBreakBefore w:val="0"/>
        <w:widowControl/>
        <w:suppressLineNumbers w:val="0"/>
        <w:kinsoku/>
        <w:wordWrap/>
        <w:overflowPunct/>
        <w:topLinePunct w:val="0"/>
        <w:bidi w:val="0"/>
        <w:spacing w:line="576" w:lineRule="exact"/>
        <w:jc w:val="center"/>
        <w:textAlignment w:val="auto"/>
        <w:rPr>
          <w:rFonts w:hint="default" w:ascii="黑体" w:hAnsi="Times New Roman" w:eastAsia="黑体" w:cs="Times New Roman"/>
          <w:color w:val="000000"/>
          <w:sz w:val="48"/>
          <w:szCs w:val="48"/>
          <w:lang w:val="en-US" w:eastAsia="zh-CN"/>
        </w:rPr>
      </w:pPr>
      <w:r>
        <w:rPr>
          <w:rFonts w:hint="eastAsia" w:ascii="黑体" w:hAnsi="Times New Roman" w:eastAsia="黑体" w:cs="Times New Roman"/>
          <w:color w:val="000000"/>
          <w:sz w:val="48"/>
          <w:szCs w:val="48"/>
          <w:lang w:val="en-US" w:eastAsia="zh-CN"/>
        </w:rPr>
        <w:t>目录</w:t>
      </w:r>
    </w:p>
    <w:p>
      <w:pPr>
        <w:pStyle w:val="13"/>
        <w:pageBreakBefore w:val="0"/>
        <w:kinsoku/>
        <w:wordWrap/>
        <w:overflowPunct/>
        <w:topLinePunct w:val="0"/>
        <w:bidi w:val="0"/>
        <w:spacing w:line="576" w:lineRule="exact"/>
        <w:jc w:val="center"/>
        <w:textAlignment w:val="auto"/>
      </w:pPr>
      <w:r>
        <w:rPr>
          <w:rFonts w:hint="eastAsia" w:hAnsi="Times New Roman" w:cs="Times New Roman"/>
          <w:b w:val="0"/>
          <w:bCs w:val="0"/>
          <w:sz w:val="24"/>
          <w:szCs w:val="24"/>
        </w:rPr>
        <w:t>公开时间：2023年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hAnsi="Times New Roman" w:cs="Times New Roman"/>
          <w:b w:val="0"/>
          <w:bCs w:val="0"/>
          <w:sz w:val="24"/>
          <w:szCs w:val="24"/>
          <w:lang w:val="en-US" w:eastAsia="zh-CN"/>
        </w:rPr>
        <w:t>12</w:t>
      </w:r>
      <w:r>
        <w:rPr>
          <w:rFonts w:hint="eastAsia" w:hAnsi="Times New Roman" w:cs="Times New Roman"/>
          <w:b w:val="0"/>
          <w:bCs w:val="0"/>
          <w:sz w:val="24"/>
          <w:szCs w:val="24"/>
        </w:rPr>
        <w:t>日</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lang w:bidi="ar-SA"/>
        </w:rPr>
        <w:t>第一部分 部门概况</w:t>
      </w:r>
      <w:r>
        <w:tab/>
      </w:r>
      <w:r>
        <w:rPr>
          <w:rFonts w:hint="eastAsia"/>
          <w:lang w:val="en-US" w:eastAsia="zh-CN"/>
        </w:rPr>
        <w:t>4</w:t>
      </w:r>
    </w:p>
    <w:p>
      <w:pPr>
        <w:pStyle w:val="40"/>
        <w:pageBreakBefore w:val="0"/>
        <w:tabs>
          <w:tab w:val="right" w:leader="dot" w:pos="8306"/>
        </w:tabs>
        <w:kinsoku/>
        <w:wordWrap/>
        <w:overflowPunct/>
        <w:topLinePunct w:val="0"/>
        <w:bidi w:val="0"/>
        <w:spacing w:line="576" w:lineRule="exact"/>
        <w:textAlignment w:val="auto"/>
      </w:pPr>
      <w:r>
        <w:rPr>
          <w:rFonts w:hint="eastAsia" w:ascii="黑体" w:hAnsi="Cambria" w:eastAsia="黑体" w:cs="Times New Roman"/>
          <w:kern w:val="2"/>
          <w:szCs w:val="32"/>
          <w:lang w:bidi="ar-SA"/>
        </w:rPr>
        <w:t>一、基本职能及主要工作</w:t>
      </w:r>
      <w:r>
        <w:tab/>
      </w:r>
      <w:r>
        <w:rPr>
          <w:rFonts w:hint="eastAsia"/>
          <w:lang w:val="en-US" w:eastAsia="zh-CN"/>
        </w:rPr>
        <w:t>4</w:t>
      </w:r>
    </w:p>
    <w:p>
      <w:pPr>
        <w:pStyle w:val="41"/>
        <w:pageBreakBefore w:val="0"/>
        <w:tabs>
          <w:tab w:val="right" w:leader="dot" w:pos="8306"/>
        </w:tabs>
        <w:kinsoku/>
        <w:wordWrap/>
        <w:overflowPunct/>
        <w:topLinePunct w:val="0"/>
        <w:bidi w:val="0"/>
        <w:spacing w:line="576" w:lineRule="exact"/>
        <w:textAlignment w:val="auto"/>
      </w:pPr>
      <w:r>
        <w:rPr>
          <w:rFonts w:hint="eastAsia" w:ascii="仿宋" w:eastAsia="仿宋"/>
          <w:bCs/>
          <w:szCs w:val="32"/>
        </w:rPr>
        <w:t>（一）主要职能</w:t>
      </w:r>
      <w:r>
        <w:tab/>
      </w:r>
      <w:r>
        <w:rPr>
          <w:rFonts w:hint="eastAsia"/>
          <w:lang w:val="en-US" w:eastAsia="zh-CN"/>
        </w:rPr>
        <w:t>4</w:t>
      </w:r>
    </w:p>
    <w:p>
      <w:pPr>
        <w:pStyle w:val="41"/>
        <w:pageBreakBefore w:val="0"/>
        <w:tabs>
          <w:tab w:val="right" w:leader="dot" w:pos="8306"/>
        </w:tabs>
        <w:kinsoku/>
        <w:wordWrap/>
        <w:overflowPunct/>
        <w:topLinePunct w:val="0"/>
        <w:bidi w:val="0"/>
        <w:spacing w:line="576" w:lineRule="exact"/>
        <w:textAlignment w:val="auto"/>
      </w:pPr>
      <w:r>
        <w:rPr>
          <w:rFonts w:hint="eastAsia" w:ascii="仿宋" w:eastAsia="仿宋"/>
          <w:bCs/>
          <w:szCs w:val="32"/>
        </w:rPr>
        <w:t>（二）</w:t>
      </w:r>
      <w:r>
        <w:rPr>
          <w:rFonts w:ascii="仿宋" w:eastAsia="仿宋"/>
          <w:bCs/>
          <w:szCs w:val="32"/>
        </w:rPr>
        <w:t>2022</w:t>
      </w:r>
      <w:r>
        <w:rPr>
          <w:rFonts w:hint="eastAsia" w:ascii="仿宋" w:eastAsia="仿宋"/>
          <w:bCs/>
          <w:szCs w:val="32"/>
        </w:rPr>
        <w:t>年重点工作完成情况</w:t>
      </w:r>
      <w:r>
        <w:tab/>
      </w:r>
      <w:r>
        <w:rPr>
          <w:rFonts w:hint="eastAsia"/>
          <w:lang w:val="en-US" w:eastAsia="zh-CN"/>
        </w:rPr>
        <w:t>5</w:t>
      </w:r>
    </w:p>
    <w:p>
      <w:pPr>
        <w:pStyle w:val="40"/>
        <w:pageBreakBefore w:val="0"/>
        <w:tabs>
          <w:tab w:val="right" w:leader="dot" w:pos="8306"/>
        </w:tabs>
        <w:kinsoku/>
        <w:wordWrap/>
        <w:overflowPunct/>
        <w:topLinePunct w:val="0"/>
        <w:bidi w:val="0"/>
        <w:spacing w:line="576" w:lineRule="exact"/>
        <w:textAlignment w:val="auto"/>
      </w:pPr>
      <w:r>
        <w:rPr>
          <w:rFonts w:hint="eastAsia" w:ascii="黑体" w:hAnsi="Cambria" w:eastAsia="黑体" w:cs="Times New Roman"/>
          <w:kern w:val="2"/>
          <w:szCs w:val="32"/>
          <w:lang w:bidi="ar-SA"/>
        </w:rPr>
        <w:t>二、机构设置</w:t>
      </w:r>
      <w:r>
        <w:tab/>
      </w:r>
      <w:r>
        <w:rPr>
          <w:rFonts w:hint="eastAsia"/>
          <w:lang w:val="en-US" w:eastAsia="zh-CN"/>
        </w:rPr>
        <w:t>6</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lang w:bidi="ar-SA"/>
        </w:rPr>
        <w:t>第二部分 2022年度部门决算情况说明</w:t>
      </w:r>
      <w:r>
        <w:tab/>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8</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kern w:val="2"/>
          <w:szCs w:val="32"/>
          <w:lang w:val="en-US" w:eastAsia="zh-CN" w:bidi="ar-SA"/>
        </w:rPr>
        <w:t>四、财政拨款收入支出决算总体情况说明</w:t>
      </w:r>
      <w:r>
        <w:tab/>
      </w:r>
      <w:r>
        <w:rPr>
          <w:rFonts w:hint="eastAsia"/>
          <w:lang w:val="en-US" w:eastAsia="zh-CN"/>
        </w:rPr>
        <w:t>9</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kern w:val="2"/>
          <w:szCs w:val="32"/>
          <w:lang w:val="en-US" w:eastAsia="zh-CN" w:bidi="ar-SA"/>
        </w:rPr>
        <w:t>五、一般公共预算财政拨款支出决算情况说明</w:t>
      </w:r>
      <w:r>
        <w:tab/>
      </w:r>
      <w:r>
        <w:rPr>
          <w:rFonts w:hint="eastAsia"/>
          <w:lang w:val="en-US" w:eastAsia="zh-CN"/>
        </w:rPr>
        <w:t>10</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（一）一般公共预算财政拨款支出决算总体情况</w:t>
      </w:r>
      <w:r>
        <w:tab/>
      </w:r>
      <w:r>
        <w:rPr>
          <w:rFonts w:hint="eastAsia"/>
          <w:lang w:val="en-US" w:eastAsia="zh-CN"/>
        </w:rPr>
        <w:t>10</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（二）一般公共预算财政拨款支出决算结构情况</w:t>
      </w:r>
      <w:r>
        <w:tab/>
      </w:r>
      <w:r>
        <w:rPr>
          <w:rFonts w:hint="eastAsia"/>
          <w:lang w:val="en-US" w:eastAsia="zh-CN"/>
        </w:rPr>
        <w:t>11</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t>（</w:t>
      </w:r>
      <w:r>
        <w:rPr>
          <w:rFonts w:hint="eastAsia" w:ascii="仿宋" w:hAnsi="Times New Roman" w:eastAsia="仿宋" w:cs="Times New Roman"/>
          <w:kern w:val="2"/>
          <w:szCs w:val="32"/>
          <w:lang w:val="en-US" w:eastAsia="zh-CN" w:bidi="ar-SA"/>
        </w:rPr>
        <w:t>三）一般公共预算财政拨款支出决算具体情况</w:t>
      </w:r>
      <w:r>
        <w:tab/>
      </w:r>
      <w:r>
        <w:rPr>
          <w:rFonts w:hint="eastAsia"/>
          <w:lang w:val="en-US" w:eastAsia="zh-CN"/>
        </w:rPr>
        <w:t>12</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kern w:val="2"/>
          <w:szCs w:val="32"/>
          <w:lang w:val="en-US" w:eastAsia="zh-CN" w:bidi="ar-SA"/>
        </w:rPr>
        <w:t>六、一般公共预算财政拨款基本支出决算情况说明   </w:t>
      </w:r>
      <w:r>
        <w:tab/>
      </w:r>
      <w:r>
        <w:rPr>
          <w:rFonts w:hint="eastAsia"/>
          <w:lang w:val="en-US" w:eastAsia="zh-CN"/>
        </w:rPr>
        <w:t>13</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szCs w:val="32"/>
        </w:rPr>
        <w:t>七、“三公”经费财政拨款支出决算情况说明</w:t>
      </w:r>
      <w:r>
        <w:tab/>
      </w:r>
      <w:r>
        <w:rPr>
          <w:rFonts w:hint="eastAsia"/>
          <w:lang w:val="en-US" w:eastAsia="zh-CN"/>
        </w:rPr>
        <w:t>13</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（一）“三公”经费财政拨款支出决算总体情况说明</w:t>
      </w:r>
      <w:r>
        <w:tab/>
      </w:r>
      <w:r>
        <w:rPr>
          <w:rFonts w:hint="eastAsia"/>
          <w:lang w:val="en-US" w:eastAsia="zh-CN"/>
        </w:rPr>
        <w:t>13</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（二）“三公”经费财政拨款支出决算具体情况说明</w:t>
      </w:r>
      <w:r>
        <w:tab/>
      </w:r>
      <w:r>
        <w:rPr>
          <w:rFonts w:hint="eastAsia"/>
          <w:lang w:val="en-US" w:eastAsia="zh-CN"/>
        </w:rPr>
        <w:t>13</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szCs w:val="32"/>
        </w:rPr>
        <w:t>八、政府性基金预算支出决算情况说明</w:t>
      </w:r>
      <w:r>
        <w:tab/>
      </w:r>
      <w:r>
        <w:rPr>
          <w:rFonts w:hint="eastAsia"/>
          <w:lang w:val="en-US" w:eastAsia="zh-CN"/>
        </w:rPr>
        <w:t>15</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Cambria" w:eastAsia="黑体" w:cs="Times New Roman"/>
          <w:kern w:val="2"/>
          <w:szCs w:val="32"/>
          <w:lang w:bidi="ar-SA"/>
        </w:rPr>
        <w:t>九、 国有资本经营预算支出决算情况说明</w:t>
      </w:r>
      <w:r>
        <w:tab/>
      </w:r>
      <w:r>
        <w:rPr>
          <w:rFonts w:hint="eastAsia"/>
          <w:lang w:val="en-US" w:eastAsia="zh-CN"/>
        </w:rPr>
        <w:t>15</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szCs w:val="32"/>
        </w:rPr>
        <w:t>十、其他重要事项的情况说明</w:t>
      </w:r>
      <w:r>
        <w:tab/>
      </w:r>
      <w:r>
        <w:rPr>
          <w:rFonts w:hint="eastAsia"/>
          <w:lang w:val="en-US" w:eastAsia="zh-CN"/>
        </w:rPr>
        <w:t>15</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（一）机关运行经费支出情况</w:t>
      </w:r>
      <w:r>
        <w:tab/>
      </w:r>
      <w:r>
        <w:rPr>
          <w:rFonts w:hint="eastAsia"/>
          <w:lang w:val="en-US" w:eastAsia="zh-CN"/>
        </w:rPr>
        <w:t>15</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（二）政府采购支出情况</w:t>
      </w:r>
      <w:r>
        <w:tab/>
      </w:r>
      <w:r>
        <w:rPr>
          <w:rFonts w:hint="eastAsia"/>
          <w:lang w:val="en-US" w:eastAsia="zh-CN"/>
        </w:rPr>
        <w:t>15</w:t>
      </w:r>
    </w:p>
    <w:p>
      <w:pPr>
        <w:pStyle w:val="41"/>
        <w:pageBreakBefore w:val="0"/>
        <w:tabs>
          <w:tab w:val="right" w:leader="dot" w:pos="8306"/>
        </w:tabs>
        <w:kinsoku/>
        <w:wordWrap/>
        <w:overflowPunct/>
        <w:topLinePunct w:val="0"/>
        <w:bidi w:val="0"/>
        <w:spacing w:line="576" w:lineRule="exact"/>
        <w:textAlignment w:val="auto"/>
      </w:pPr>
      <w:r>
        <w:rPr>
          <w:rFonts w:hint="eastAsia" w:ascii="仿宋" w:hAnsi="Times New Roman" w:eastAsia="仿宋" w:cs="Times New Roman"/>
          <w:szCs w:val="32"/>
        </w:rPr>
        <w:t>（三）国有资产占有使用情况</w:t>
      </w:r>
      <w:r>
        <w:tab/>
      </w:r>
      <w:r>
        <w:t>1</w:t>
      </w:r>
      <w:r>
        <w:rPr>
          <w:rFonts w:hint="eastAsia"/>
          <w:lang w:val="en-US" w:eastAsia="zh-CN"/>
        </w:rPr>
        <w:t>6</w:t>
      </w:r>
    </w:p>
    <w:p>
      <w:pPr>
        <w:pStyle w:val="39"/>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szCs w:val="44"/>
        </w:rPr>
        <w:t>第三部分 名词解释</w:t>
      </w:r>
      <w:r>
        <w:tab/>
      </w:r>
      <w:r>
        <w:t>1</w:t>
      </w:r>
      <w:r>
        <w:rPr>
          <w:rFonts w:hint="eastAsia"/>
          <w:lang w:val="en-US" w:eastAsia="zh-CN"/>
        </w:rPr>
        <w:t>7</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rPr>
        <w:t>第</w:t>
      </w:r>
      <w:r>
        <w:rPr>
          <w:rFonts w:hint="eastAsia" w:ascii="黑体" w:eastAsia="黑体" w:cs="Times New Roman"/>
          <w:szCs w:val="44"/>
          <w:lang w:val="en-US" w:eastAsia="zh-CN"/>
        </w:rPr>
        <w:t>四</w:t>
      </w:r>
      <w:r>
        <w:rPr>
          <w:rFonts w:hint="eastAsia" w:ascii="黑体" w:hAnsi="Times New Roman" w:eastAsia="黑体" w:cs="Times New Roman"/>
          <w:szCs w:val="44"/>
        </w:rPr>
        <w:t>部分 附表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一、收入支出决算总表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二、收入决算表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Cambria" w:eastAsia="仿宋" w:cs="Times New Roman"/>
          <w:kern w:val="2"/>
          <w:szCs w:val="32"/>
          <w:lang w:bidi="ar-SA"/>
        </w:rPr>
        <w:t>三、支出决算表</w:t>
      </w:r>
      <w:r>
        <w:tab/>
      </w:r>
      <w:r>
        <w:rPr>
          <w:rFonts w:hint="eastAsia"/>
          <w:lang w:val="en-US" w:eastAsia="zh-CN"/>
        </w:rPr>
        <w:t>20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四、财政拨款收入支出决算总表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五、财政拨款支出决算明细表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六、一般公共预算财政拨款支出决算表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七、一般公共预算财政拨款支出决算明细表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八、一般公共预算财政拨款基本支出决算表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九、一般公共预算财政拨款项目支出决算表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十、政府性基金预算财政拨款收入支出决算表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十一、国有资本经营预算财政拨款收入支出决算表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十二、国有资本经营预算财政拨款支出决算表</w:t>
      </w:r>
      <w:r>
        <w:tab/>
      </w:r>
      <w:r>
        <w:t>2</w:t>
      </w:r>
      <w:r>
        <w:rPr>
          <w:rFonts w:hint="eastAsia"/>
          <w:lang w:val="en-US" w:eastAsia="zh-CN"/>
        </w:rPr>
        <w:t>0</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十三、财政拨款“三公”经费支出决算表</w:t>
      </w:r>
      <w:r>
        <w:tab/>
      </w:r>
      <w:r>
        <w:t>2</w:t>
      </w:r>
      <w:r>
        <w:rPr>
          <w:rFonts w:hint="eastAsia"/>
          <w:lang w:val="en-US" w:eastAsia="zh-CN"/>
        </w:rPr>
        <w:t>0</w:t>
      </w:r>
    </w:p>
    <w:p>
      <w:pPr>
        <w:pageBreakBefore w:val="0"/>
        <w:kinsoku/>
        <w:wordWrap/>
        <w:overflowPunct/>
        <w:topLinePunct w:val="0"/>
        <w:bidi w:val="0"/>
        <w:spacing w:line="576" w:lineRule="exac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3"/>
        <w:keepNext/>
        <w:keepLines/>
        <w:pageBreakBefore w:val="0"/>
        <w:kinsoku/>
        <w:wordWrap/>
        <w:overflowPunct/>
        <w:topLinePunct w:val="0"/>
        <w:bidi w:val="0"/>
        <w:spacing w:before="340" w:beforeAutospacing="0" w:after="330" w:afterAutospacing="0" w:line="576" w:lineRule="exact"/>
        <w:jc w:val="center"/>
        <w:textAlignment w:val="auto"/>
        <w:outlineLvl w:val="0"/>
        <w:rPr>
          <w:rFonts w:hint="eastAsia" w:ascii="黑体" w:hAnsi="Times New Roman" w:eastAsia="黑体" w:cs="Times New Roman"/>
          <w:b w:val="0"/>
          <w:sz w:val="44"/>
          <w:szCs w:val="44"/>
          <w:lang w:bidi="ar-SA"/>
        </w:rPr>
      </w:pPr>
      <w:r>
        <w:rPr>
          <w:rFonts w:hint="eastAsia" w:ascii="黑体" w:hAnsi="Times New Roman" w:eastAsia="黑体" w:cs="Times New Roman"/>
          <w:b w:val="0"/>
          <w:sz w:val="44"/>
          <w:szCs w:val="44"/>
          <w:lang w:bidi="ar-SA"/>
        </w:rPr>
        <w:t>第一部分 部门概况</w:t>
      </w:r>
      <w:bookmarkEnd w:id="0"/>
      <w:bookmarkEnd w:id="1"/>
      <w:bookmarkEnd w:id="2"/>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黑体" w:hAnsi="Cambria" w:eastAsia="黑体" w:cs="Times New Roman"/>
          <w:b w:val="0"/>
          <w:color w:val="000000"/>
          <w:kern w:val="2"/>
          <w:sz w:val="32"/>
          <w:szCs w:val="32"/>
          <w:lang w:bidi="ar-SA"/>
        </w:rPr>
      </w:pPr>
      <w:bookmarkStart w:id="3" w:name="_Toc111208496"/>
      <w:bookmarkStart w:id="4" w:name="_Toc29382"/>
      <w:bookmarkStart w:id="5" w:name="_Toc15377197"/>
      <w:r>
        <w:rPr>
          <w:rFonts w:hint="eastAsia" w:ascii="黑体" w:hAnsi="Cambria" w:eastAsia="黑体" w:cs="Times New Roman"/>
          <w:b w:val="0"/>
          <w:color w:val="000000"/>
          <w:kern w:val="2"/>
          <w:sz w:val="32"/>
          <w:szCs w:val="32"/>
          <w:lang w:bidi="ar-SA"/>
        </w:rPr>
        <w:t>一、</w:t>
      </w:r>
      <w:bookmarkEnd w:id="3"/>
      <w:bookmarkEnd w:id="4"/>
      <w:bookmarkEnd w:id="5"/>
      <w:bookmarkStart w:id="6" w:name="_Toc15377198"/>
      <w:bookmarkStart w:id="7" w:name="_Toc15378445"/>
      <w:r>
        <w:rPr>
          <w:rFonts w:hint="eastAsia" w:ascii="黑体" w:hAnsi="Cambria" w:eastAsia="黑体" w:cs="Times New Roman"/>
          <w:b w:val="0"/>
          <w:color w:val="000000"/>
          <w:kern w:val="2"/>
          <w:sz w:val="32"/>
          <w:szCs w:val="32"/>
          <w:lang w:bidi="ar-SA"/>
        </w:rPr>
        <w:t>基本职能及主要工作</w:t>
      </w:r>
    </w:p>
    <w:p>
      <w:pPr>
        <w:spacing w:line="600" w:lineRule="exact"/>
        <w:ind w:firstLine="643" w:firstLineChars="200"/>
        <w:outlineLvl w:val="2"/>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（一）主要职能</w:t>
      </w:r>
    </w:p>
    <w:p/>
    <w:bookmarkEnd w:id="6"/>
    <w:bookmarkEnd w:id="7"/>
    <w:p>
      <w:pPr>
        <w:spacing w:line="576"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val="en-US" w:eastAsia="zh-CN"/>
        </w:rPr>
        <w:t>1.</w:t>
      </w:r>
      <w:r>
        <w:rPr>
          <w:rFonts w:hint="eastAsia" w:ascii="仿宋_GB2312" w:hAnsi="Times New Roman" w:eastAsia="仿宋_GB2312"/>
          <w:color w:val="000000"/>
          <w:sz w:val="32"/>
          <w:szCs w:val="32"/>
        </w:rPr>
        <w:t>负责宣传和贯彻落实国家就业创业和失业保险有关的方针政策和法律法规。</w:t>
      </w:r>
    </w:p>
    <w:p>
      <w:pPr>
        <w:spacing w:line="576"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val="en-US" w:eastAsia="zh-CN"/>
        </w:rPr>
        <w:t>2.</w:t>
      </w:r>
      <w:r>
        <w:rPr>
          <w:rFonts w:hint="eastAsia" w:ascii="仿宋_GB2312" w:hAnsi="Times New Roman" w:eastAsia="仿宋_GB2312"/>
          <w:color w:val="000000"/>
          <w:sz w:val="32"/>
          <w:szCs w:val="32"/>
        </w:rPr>
        <w:t>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w:t>
      </w:r>
      <w:r>
        <w:rPr>
          <w:rFonts w:hint="eastAsia" w:ascii="仿宋_GB2312" w:hAnsi="Times New Roman" w:eastAsia="仿宋_GB2312"/>
          <w:color w:val="000000"/>
          <w:sz w:val="32"/>
          <w:szCs w:val="32"/>
        </w:rPr>
        <w:cr/>
      </w:r>
      <w:r>
        <w:rPr>
          <w:rFonts w:hint="eastAsia" w:ascii="仿宋_GB2312" w:hAnsi="Times New Roman" w:eastAsia="仿宋_GB2312"/>
          <w:color w:val="000000"/>
          <w:sz w:val="32"/>
          <w:szCs w:val="32"/>
          <w:lang w:val="en-US" w:eastAsia="zh-CN"/>
        </w:rPr>
        <w:t xml:space="preserve">    </w:t>
      </w:r>
      <w:r>
        <w:rPr>
          <w:rFonts w:hint="eastAsia" w:ascii="仿宋_GB2312" w:hAnsi="Times New Roman" w:eastAsia="仿宋_GB2312"/>
          <w:color w:val="000000"/>
          <w:sz w:val="32"/>
          <w:szCs w:val="32"/>
        </w:rPr>
        <w:t>3.按规定使用就业专项资金和失业保险基金承担失业保险政策宣传及失业保险基金的管理、失业保险待遇的审核、发放及有关经办服务工作。</w:t>
      </w:r>
      <w:r>
        <w:rPr>
          <w:rFonts w:hint="eastAsia" w:ascii="仿宋_GB2312" w:hAnsi="Times New Roman" w:eastAsia="仿宋_GB2312"/>
          <w:color w:val="000000"/>
          <w:sz w:val="32"/>
          <w:szCs w:val="32"/>
        </w:rPr>
        <w:cr/>
      </w:r>
      <w:r>
        <w:rPr>
          <w:rFonts w:hint="eastAsia" w:ascii="仿宋_GB2312" w:hAnsi="Times New Roman" w:eastAsia="仿宋_GB2312"/>
          <w:color w:val="000000"/>
          <w:sz w:val="32"/>
          <w:szCs w:val="32"/>
          <w:lang w:val="en-US" w:eastAsia="zh-CN"/>
        </w:rPr>
        <w:t xml:space="preserve">    </w:t>
      </w:r>
      <w:r>
        <w:rPr>
          <w:rFonts w:hint="eastAsia" w:ascii="仿宋_GB2312" w:hAnsi="Times New Roman" w:eastAsia="仿宋_GB2312"/>
          <w:color w:val="000000"/>
          <w:sz w:val="32"/>
          <w:szCs w:val="32"/>
        </w:rPr>
        <w:t>4.建立农村劳动力资源数据库，为城乡劳动者提供就业政策法规咨询，发布职业供求信息以及职业培训信息，办理求职登记，就业登记、失业登记等事务，开展职业指导和职业介绍，组织实施劳务转移。</w:t>
      </w:r>
      <w:r>
        <w:rPr>
          <w:rFonts w:hint="eastAsia" w:ascii="仿宋_GB2312" w:hAnsi="Times New Roman" w:eastAsia="仿宋_GB2312"/>
          <w:color w:val="000000"/>
          <w:sz w:val="32"/>
          <w:szCs w:val="32"/>
        </w:rPr>
        <w:cr/>
      </w:r>
      <w:r>
        <w:rPr>
          <w:rFonts w:hint="eastAsia" w:ascii="仿宋_GB2312" w:hAnsi="Times New Roman" w:eastAsia="仿宋_GB2312"/>
          <w:color w:val="000000"/>
          <w:sz w:val="32"/>
          <w:szCs w:val="32"/>
          <w:lang w:val="en-US" w:eastAsia="zh-CN"/>
        </w:rPr>
        <w:t xml:space="preserve">    </w:t>
      </w:r>
      <w:r>
        <w:rPr>
          <w:rFonts w:hint="eastAsia" w:ascii="仿宋_GB2312" w:hAnsi="Times New Roman" w:eastAsia="仿宋_GB2312"/>
          <w:color w:val="000000"/>
          <w:sz w:val="32"/>
          <w:szCs w:val="32"/>
        </w:rPr>
        <w:t>5.负责拟定全县就业创业培训和品牌培训工作发展规划和年度计划；负责牵头组织各类就业培训和管理；统一管理培训资金；承担职业能力建设相关业务经办工作。</w:t>
      </w:r>
      <w:r>
        <w:rPr>
          <w:rFonts w:hint="eastAsia" w:ascii="仿宋_GB2312" w:hAnsi="Times New Roman" w:eastAsia="仿宋_GB2312"/>
          <w:color w:val="000000"/>
          <w:sz w:val="32"/>
          <w:szCs w:val="32"/>
        </w:rPr>
        <w:cr/>
      </w:r>
      <w:r>
        <w:rPr>
          <w:rFonts w:hint="eastAsia" w:ascii="仿宋_GB2312" w:hAnsi="Times New Roman" w:eastAsia="仿宋_GB2312"/>
          <w:color w:val="000000"/>
          <w:sz w:val="32"/>
          <w:szCs w:val="32"/>
          <w:lang w:val="en-US" w:eastAsia="zh-CN"/>
        </w:rPr>
        <w:t xml:space="preserve">    </w:t>
      </w:r>
      <w:r>
        <w:rPr>
          <w:rFonts w:hint="eastAsia" w:ascii="仿宋_GB2312" w:hAnsi="Times New Roman" w:eastAsia="仿宋_GB2312"/>
          <w:color w:val="000000"/>
          <w:sz w:val="32"/>
          <w:szCs w:val="32"/>
        </w:rPr>
        <w:t>6.以创业带动就业，全面落实小额担保贷款贴息、社保补贴等扶持政策，促使各类失业人员通过从事个体经营、自谋职业、灵活就业、创办企业带动和吸纳就业。 </w:t>
      </w:r>
      <w:r>
        <w:rPr>
          <w:rFonts w:hint="eastAsia" w:ascii="仿宋_GB2312" w:hAnsi="Times New Roman" w:eastAsia="仿宋_GB2312"/>
          <w:color w:val="000000"/>
          <w:sz w:val="32"/>
          <w:szCs w:val="32"/>
        </w:rPr>
        <w:cr/>
      </w:r>
      <w:r>
        <w:rPr>
          <w:rFonts w:hint="eastAsia" w:ascii="仿宋_GB2312" w:hAnsi="Times New Roman" w:eastAsia="仿宋_GB2312"/>
          <w:color w:val="000000"/>
          <w:sz w:val="32"/>
          <w:szCs w:val="32"/>
          <w:lang w:val="en-US" w:eastAsia="zh-CN"/>
        </w:rPr>
        <w:t xml:space="preserve">    </w:t>
      </w:r>
      <w:r>
        <w:rPr>
          <w:rFonts w:hint="eastAsia" w:ascii="仿宋_GB2312" w:hAnsi="Times New Roman" w:eastAsia="仿宋_GB2312"/>
          <w:color w:val="000000"/>
          <w:sz w:val="32"/>
          <w:szCs w:val="32"/>
        </w:rPr>
        <w:t>7.做好未就业高校毕业生参加就业见习和自主创业工作，落实好高校毕业生创业补贴政策。</w:t>
      </w:r>
    </w:p>
    <w:p>
      <w:pPr>
        <w:spacing w:line="576" w:lineRule="exact"/>
        <w:ind w:firstLine="640" w:firstLineChars="200"/>
        <w:rPr>
          <w:rFonts w:hint="eastAsia" w:ascii="仿宋_GB2312" w:hAnsi="Times New Roman" w:eastAsia="仿宋_GB2312"/>
          <w:color w:val="000000"/>
          <w:sz w:val="32"/>
          <w:szCs w:val="32"/>
          <w:lang w:val="en-US" w:eastAsia="zh-CN"/>
        </w:rPr>
      </w:pPr>
      <w:r>
        <w:rPr>
          <w:rFonts w:hint="eastAsia" w:ascii="仿宋_GB2312" w:hAnsi="Times New Roman" w:eastAsia="仿宋_GB2312"/>
          <w:color w:val="000000"/>
          <w:sz w:val="32"/>
          <w:szCs w:val="32"/>
          <w:lang w:val="en-US" w:eastAsia="zh-CN"/>
        </w:rPr>
        <w:t>8.大力开发公益性岗位，落实岗位补贴及社保补贴。</w:t>
      </w:r>
    </w:p>
    <w:p>
      <w:pPr>
        <w:spacing w:line="576" w:lineRule="exact"/>
        <w:ind w:firstLine="640" w:firstLineChars="200"/>
        <w:rPr>
          <w:rFonts w:hint="eastAsia" w:ascii="仿宋_GB2312" w:hAnsi="Times New Roman" w:eastAsia="仿宋_GB2312"/>
          <w:color w:val="000000"/>
          <w:sz w:val="32"/>
          <w:szCs w:val="32"/>
          <w:lang w:val="en-US" w:eastAsia="zh-CN"/>
        </w:rPr>
      </w:pPr>
      <w:r>
        <w:rPr>
          <w:rFonts w:hint="eastAsia" w:ascii="仿宋_GB2312" w:hAnsi="Times New Roman" w:eastAsia="仿宋_GB2312"/>
          <w:color w:val="000000"/>
          <w:sz w:val="32"/>
          <w:szCs w:val="32"/>
          <w:lang w:val="en-US" w:eastAsia="zh-CN"/>
        </w:rPr>
        <w:t>9.承担全县就业培训、创业指导、失业保险、农村劳动力转移、劳服企业经营情况等各方面统计数据的汇总、分析和统计工作。</w:t>
      </w:r>
      <w:bookmarkStart w:id="8" w:name="_Toc15377200"/>
    </w:p>
    <w:p>
      <w:pPr>
        <w:spacing w:line="576" w:lineRule="exact"/>
        <w:ind w:firstLine="643" w:firstLineChars="200"/>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（二）2022年重点工作完成情况</w:t>
      </w:r>
    </w:p>
    <w:p>
      <w:pPr>
        <w:spacing w:line="576" w:lineRule="exact"/>
        <w:ind w:firstLine="640" w:firstLineChars="200"/>
        <w:rPr>
          <w:rFonts w:hint="eastAsia" w:ascii="仿宋_GB2312" w:hAnsi="仿宋_GB2312" w:eastAsia="仿宋_GB2312" w:cs="仿宋_GB2312"/>
          <w:b/>
          <w:bCs/>
          <w:sz w:val="32"/>
          <w:szCs w:val="32"/>
        </w:rPr>
      </w:pPr>
      <w:r>
        <w:rPr>
          <w:rFonts w:hint="eastAsia" w:ascii="仿宋_GB2312" w:eastAsia="仿宋_GB2312"/>
          <w:color w:val="000000"/>
          <w:sz w:val="32"/>
          <w:szCs w:val="32"/>
        </w:rPr>
        <w:t>认真贯彻落实</w:t>
      </w:r>
      <w:r>
        <w:rPr>
          <w:rFonts w:hint="eastAsia" w:ascii="仿宋_GB2312" w:hAnsi="仿宋_GB2312" w:eastAsia="仿宋_GB2312" w:cs="仿宋_GB2312"/>
          <w:color w:val="000000"/>
          <w:kern w:val="0"/>
          <w:sz w:val="32"/>
          <w:szCs w:val="32"/>
        </w:rPr>
        <w:t>就业创业各项政策，</w:t>
      </w:r>
      <w:r>
        <w:rPr>
          <w:rFonts w:hint="eastAsia" w:ascii="仿宋_GB2312" w:hAnsi="Times New Roman" w:eastAsia="仿宋_GB2312"/>
          <w:color w:val="000000"/>
          <w:sz w:val="32"/>
          <w:szCs w:val="32"/>
        </w:rPr>
        <w:t>通过实施“春风行动”“公共就业服务进校园”、开展线上、线下招聘会</w:t>
      </w:r>
      <w:r>
        <w:rPr>
          <w:rFonts w:hint="eastAsia" w:ascii="仿宋_GB2312" w:hAnsi="仿宋_GB2312" w:eastAsia="仿宋_GB2312" w:cs="仿宋_GB2312"/>
          <w:color w:val="000000"/>
          <w:kern w:val="0"/>
          <w:sz w:val="32"/>
          <w:szCs w:val="32"/>
        </w:rPr>
        <w:t>、转发、</w:t>
      </w:r>
      <w:r>
        <w:rPr>
          <w:rFonts w:hint="eastAsia" w:ascii="仿宋_GB2312" w:hAnsi="Times New Roman" w:eastAsia="仿宋_GB2312"/>
          <w:color w:val="000000"/>
          <w:sz w:val="32"/>
          <w:szCs w:val="32"/>
        </w:rPr>
        <w:t>张贴及发放相关宣传资料等方式，</w:t>
      </w:r>
      <w:r>
        <w:rPr>
          <w:rFonts w:hint="eastAsia" w:ascii="仿宋_GB2312" w:hAnsi="仿宋_GB2312" w:eastAsia="仿宋_GB2312" w:cs="仿宋_GB2312"/>
          <w:sz w:val="32"/>
          <w:szCs w:val="32"/>
        </w:rPr>
        <w:t>推荐360家企业11200个岗位。积极开展各类创业就业培训，启动“羌山果匠”，培育“一县一品”，打造就业“金字招牌”。</w:t>
      </w:r>
      <w:r>
        <w:rPr>
          <w:rFonts w:hint="eastAsia" w:ascii="仿宋_GB2312" w:hAnsi="Times New Roman" w:eastAsia="仿宋_GB2312"/>
          <w:color w:val="000000"/>
          <w:sz w:val="32"/>
          <w:szCs w:val="32"/>
        </w:rPr>
        <w:t>2022年全县城镇新增就业880人、城镇失业人员再就业75人、就业困难人员再就业10人、劳务品牌培训300人、均完成目标任务100%；城镇登记失业率3.74%，控制在3.9%以内；全县青年见习86人，完成目标任务245.14%；全县劳务转移20552人次，完成年度目标102.1%；实现劳务收入6.0亿元，完成年度目标任务5.95亿元的100.8%；申请返乡创业担保贷款265万元，完成目标任务101.92%。</w:t>
      </w:r>
      <w:r>
        <w:rPr>
          <w:rFonts w:hint="eastAsia" w:ascii="仿宋_GB2312" w:hAnsi="仿宋_GB2312" w:eastAsia="仿宋_GB2312" w:cs="仿宋_GB2312"/>
          <w:sz w:val="32"/>
          <w:szCs w:val="32"/>
          <w:lang w:val="zh-CN"/>
        </w:rPr>
        <w:t>全年实现</w:t>
      </w:r>
      <w:r>
        <w:rPr>
          <w:rFonts w:hint="eastAsia" w:ascii="仿宋_GB2312" w:hAnsi="仿宋_GB2312" w:eastAsia="仿宋_GB2312" w:cs="仿宋_GB2312"/>
          <w:sz w:val="32"/>
          <w:szCs w:val="32"/>
        </w:rPr>
        <w:t>脱</w:t>
      </w:r>
      <w:r>
        <w:rPr>
          <w:rFonts w:hint="eastAsia" w:ascii="仿宋_GB2312" w:hAnsi="仿宋" w:eastAsia="仿宋_GB2312" w:cs="仿宋"/>
          <w:color w:val="000000"/>
          <w:sz w:val="32"/>
          <w:szCs w:val="32"/>
        </w:rPr>
        <w:t>贫劳动力转移就业3518人，建立茂县来料加工车间，形成“1+N”来料加工模式，吸纳劳动力50余人。</w:t>
      </w:r>
    </w:p>
    <w:p>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黑体" w:hAnsi="Cambria" w:eastAsia="黑体" w:cs="Times New Roman"/>
          <w:b w:val="0"/>
          <w:color w:val="000000"/>
          <w:kern w:val="2"/>
          <w:sz w:val="32"/>
          <w:szCs w:val="32"/>
          <w:lang w:bidi="ar-SA"/>
        </w:rPr>
      </w:pPr>
      <w:bookmarkStart w:id="9" w:name="_Toc7982"/>
      <w:bookmarkStart w:id="10" w:name="_Toc111208497"/>
      <w:r>
        <w:rPr>
          <w:rFonts w:hint="eastAsia" w:ascii="黑体" w:hAnsi="Cambria" w:eastAsia="黑体" w:cs="Times New Roman"/>
          <w:b w:val="0"/>
          <w:color w:val="000000"/>
          <w:kern w:val="2"/>
          <w:sz w:val="32"/>
          <w:szCs w:val="32"/>
          <w:lang w:bidi="ar-SA"/>
        </w:rPr>
        <w:t>二、机构设置</w:t>
      </w:r>
      <w:bookmarkEnd w:id="8"/>
      <w:bookmarkEnd w:id="9"/>
      <w:bookmarkEnd w:id="10"/>
    </w:p>
    <w:p>
      <w:pPr>
        <w:spacing w:line="576"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茂县</w:t>
      </w:r>
      <w:r>
        <w:rPr>
          <w:rFonts w:hint="eastAsia" w:ascii="仿宋_GB2312" w:hAnsi="仿宋" w:eastAsia="仿宋_GB2312" w:cs="仿宋"/>
          <w:color w:val="000000"/>
          <w:sz w:val="32"/>
          <w:szCs w:val="32"/>
          <w:lang w:val="en-US" w:eastAsia="zh-CN"/>
        </w:rPr>
        <w:t>农民工服务中心</w:t>
      </w:r>
      <w:r>
        <w:rPr>
          <w:rFonts w:hint="eastAsia" w:ascii="仿宋_GB2312" w:hAnsi="仿宋" w:eastAsia="仿宋_GB2312" w:cs="仿宋"/>
          <w:color w:val="000000"/>
          <w:sz w:val="32"/>
          <w:szCs w:val="32"/>
        </w:rPr>
        <w:t>下属二级单位0个，其中行政单位0个，参照公务员法管理的事业单位0个，其他事业单位0个。</w:t>
      </w:r>
    </w:p>
    <w:p>
      <w:pPr>
        <w:widowControl/>
        <w:jc w:val="left"/>
        <w:rPr>
          <w:rFonts w:ascii="仿宋_GB2312" w:hAnsi="黑体" w:eastAsia="仿宋_GB2312"/>
          <w:b/>
          <w:bCs/>
          <w:color w:val="000000"/>
          <w:kern w:val="44"/>
          <w:sz w:val="44"/>
          <w:szCs w:val="44"/>
        </w:rPr>
      </w:pPr>
      <w:bookmarkStart w:id="11" w:name="_Toc15377204"/>
      <w:r>
        <w:rPr>
          <w:rFonts w:ascii="仿宋_GB2312" w:hAnsi="黑体" w:eastAsia="仿宋_GB2312"/>
          <w:color w:val="000000"/>
        </w:rPr>
        <w:br w:type="page"/>
      </w:r>
    </w:p>
    <w:p>
      <w:pPr>
        <w:pStyle w:val="3"/>
        <w:keepNext w:val="0"/>
        <w:keepLines w:val="0"/>
        <w:pageBreakBefore w:val="0"/>
        <w:widowControl/>
        <w:suppressLineNumbers w:val="0"/>
        <w:kinsoku/>
        <w:wordWrap/>
        <w:overflowPunct/>
        <w:topLinePunct w:val="0"/>
        <w:bidi w:val="0"/>
        <w:spacing w:before="100" w:beforeAutospacing="1" w:after="100" w:afterAutospacing="1" w:line="576" w:lineRule="exact"/>
        <w:jc w:val="center"/>
        <w:textAlignment w:val="auto"/>
        <w:rPr>
          <w:rFonts w:hint="eastAsia" w:ascii="宋体" w:hAnsi="宋体" w:eastAsia="宋体" w:cs="宋体"/>
          <w:sz w:val="48"/>
          <w:szCs w:val="48"/>
          <w:lang w:bidi="ar"/>
        </w:rPr>
      </w:pPr>
      <w:bookmarkStart w:id="12" w:name="_Toc111208498"/>
      <w:bookmarkStart w:id="13" w:name="_Toc3119"/>
      <w:r>
        <w:rPr>
          <w:rFonts w:hint="eastAsia" w:ascii="宋体" w:hAnsi="宋体" w:eastAsia="宋体" w:cs="宋体"/>
          <w:sz w:val="48"/>
          <w:szCs w:val="48"/>
          <w:lang w:bidi="ar"/>
        </w:rPr>
        <w:t>第二部分 2022年度部门决算情况说明</w:t>
      </w:r>
      <w:bookmarkEnd w:id="11"/>
      <w:bookmarkEnd w:id="12"/>
      <w:bookmarkEnd w:id="13"/>
    </w:p>
    <w:p>
      <w:pPr>
        <w:pStyle w:val="4"/>
        <w:ind w:firstLine="640" w:firstLineChars="200"/>
        <w:rPr>
          <w:rFonts w:ascii="黑体" w:eastAsia="黑体" w:cs="Times New Roman"/>
          <w:b w:val="0"/>
          <w:bCs w:val="0"/>
          <w:color w:val="000000"/>
        </w:rPr>
      </w:pPr>
      <w:bookmarkStart w:id="14" w:name="_Toc15377205"/>
      <w:bookmarkStart w:id="15" w:name="_Toc111208499"/>
      <w:bookmarkStart w:id="16" w:name="_Toc21486"/>
      <w:r>
        <w:rPr>
          <w:rFonts w:hint="eastAsia" w:ascii="黑体" w:eastAsia="黑体" w:cs="Times New Roman"/>
          <w:b w:val="0"/>
          <w:bCs w:val="0"/>
          <w:color w:val="000000"/>
        </w:rPr>
        <w:t>一、收入支出决算总体情况说</w:t>
      </w:r>
      <w:bookmarkEnd w:id="14"/>
      <w:r>
        <w:rPr>
          <w:rFonts w:hint="eastAsia" w:ascii="黑体" w:eastAsia="黑体" w:cs="Times New Roman"/>
          <w:b w:val="0"/>
          <w:bCs w:val="0"/>
          <w:color w:val="000000"/>
        </w:rPr>
        <w:t>明</w:t>
      </w:r>
      <w:bookmarkEnd w:id="15"/>
      <w:bookmarkEnd w:id="16"/>
    </w:p>
    <w:p>
      <w:pPr>
        <w:spacing w:line="576"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2022年度收、支总计93.87万元。与2021年相比，收、支总计各减少1.85万元，减少1.93%。 </w:t>
      </w:r>
    </w:p>
    <w:p>
      <w:pPr>
        <w:spacing w:line="576" w:lineRule="exact"/>
        <w:ind w:firstLine="1920" w:firstLineChars="600"/>
        <w:rPr>
          <w:rFonts w:ascii="仿宋_GB2312" w:eastAsia="仿宋_GB2312"/>
          <w:color w:val="000000"/>
          <w:sz w:val="28"/>
          <w:szCs w:val="28"/>
        </w:rPr>
      </w:pPr>
      <w:r>
        <w:rPr>
          <w:rFonts w:hint="eastAsia" w:ascii="仿宋_GB2312" w:hAnsi="仿宋" w:eastAsia="仿宋_GB2312" w:cs="仿宋"/>
          <w:color w:val="000000"/>
          <w:sz w:val="32"/>
          <w:szCs w:val="32"/>
        </w:rPr>
        <w:t>（图1：收、支决算总计变动情况图）</w:t>
      </w:r>
    </w:p>
    <w:p>
      <w:pPr>
        <w:pStyle w:val="6"/>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0" w:firstLineChars="200"/>
        <w:rPr>
          <w:rFonts w:ascii="黑体" w:eastAsia="黑体" w:cs="Times New Roman"/>
          <w:b w:val="0"/>
          <w:bCs/>
          <w:color w:val="000000"/>
        </w:rPr>
      </w:pPr>
      <w:bookmarkStart w:id="17" w:name="_Toc111208500"/>
      <w:bookmarkStart w:id="18" w:name="_Toc15377206"/>
      <w:bookmarkStart w:id="19" w:name="_Toc24609"/>
      <w:r>
        <w:rPr>
          <w:rFonts w:hint="eastAsia" w:ascii="黑体" w:eastAsia="黑体" w:cs="Times New Roman"/>
          <w:b w:val="0"/>
          <w:bCs/>
          <w:color w:val="000000"/>
        </w:rPr>
        <w:t>二、收入决算情况说明</w:t>
      </w:r>
      <w:bookmarkEnd w:id="17"/>
      <w:bookmarkEnd w:id="18"/>
      <w:bookmarkEnd w:id="19"/>
    </w:p>
    <w:p>
      <w:pPr>
        <w:spacing w:line="576"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2022年本年收入合计93.87万元，其中：一般公共预算财政拨款收入93.87万元，占10</w:t>
      </w:r>
      <w:r>
        <w:rPr>
          <w:rFonts w:hint="eastAsia" w:ascii="仿宋_GB2312" w:hAnsi="仿宋" w:eastAsia="仿宋_GB2312" w:cs="仿宋"/>
          <w:color w:val="000000"/>
          <w:sz w:val="32"/>
          <w:szCs w:val="32"/>
          <w:lang w:eastAsia="zh-CN"/>
        </w:rPr>
        <w:t>0</w:t>
      </w:r>
      <w:r>
        <w:rPr>
          <w:rFonts w:hint="eastAsia" w:ascii="仿宋_GB2312" w:hAnsi="仿宋" w:eastAsia="仿宋_GB2312" w:cs="仿宋"/>
          <w:color w:val="000000"/>
          <w:sz w:val="32"/>
          <w:szCs w:val="32"/>
        </w:rPr>
        <w:t>%；政府性基金预算财政拨款收入</w:t>
      </w:r>
      <w:r>
        <w:rPr>
          <w:rFonts w:hint="eastAsia" w:ascii="仿宋_GB2312" w:hAnsi="仿宋" w:eastAsia="仿宋_GB2312" w:cs="仿宋"/>
          <w:color w:val="000000"/>
          <w:sz w:val="32"/>
          <w:szCs w:val="32"/>
          <w:lang w:eastAsia="zh-CN"/>
        </w:rPr>
        <w:t>0</w:t>
      </w:r>
      <w:r>
        <w:rPr>
          <w:rFonts w:hint="eastAsia" w:ascii="仿宋_GB2312" w:hAnsi="仿宋" w:eastAsia="仿宋_GB2312" w:cs="仿宋"/>
          <w:color w:val="000000"/>
          <w:sz w:val="32"/>
          <w:szCs w:val="32"/>
        </w:rPr>
        <w:t>万元；国有资本经营预算财政拨款收入</w:t>
      </w:r>
      <w:r>
        <w:rPr>
          <w:rFonts w:hint="eastAsia" w:ascii="仿宋_GB2312" w:hAnsi="仿宋" w:eastAsia="仿宋_GB2312" w:cs="仿宋"/>
          <w:color w:val="000000"/>
          <w:sz w:val="32"/>
          <w:szCs w:val="32"/>
          <w:lang w:eastAsia="zh-CN"/>
        </w:rPr>
        <w:t>0</w:t>
      </w:r>
      <w:r>
        <w:rPr>
          <w:rFonts w:hint="eastAsia" w:ascii="仿宋_GB2312" w:hAnsi="仿宋" w:eastAsia="仿宋_GB2312" w:cs="仿宋"/>
          <w:color w:val="000000"/>
          <w:sz w:val="32"/>
          <w:szCs w:val="32"/>
        </w:rPr>
        <w:t>万元；上级补助收入0万元；事业收入</w:t>
      </w:r>
      <w:r>
        <w:rPr>
          <w:rFonts w:hint="eastAsia" w:ascii="仿宋_GB2312" w:hAnsi="仿宋" w:eastAsia="仿宋_GB2312" w:cs="仿宋"/>
          <w:color w:val="000000"/>
          <w:sz w:val="32"/>
          <w:szCs w:val="32"/>
          <w:lang w:eastAsia="zh-CN"/>
        </w:rPr>
        <w:t>0</w:t>
      </w:r>
      <w:r>
        <w:rPr>
          <w:rFonts w:hint="eastAsia" w:ascii="仿宋_GB2312" w:hAnsi="仿宋" w:eastAsia="仿宋_GB2312" w:cs="仿宋"/>
          <w:color w:val="000000"/>
          <w:sz w:val="32"/>
          <w:szCs w:val="32"/>
        </w:rPr>
        <w:t>万元；经营收入0万元；附属单位上缴收入</w:t>
      </w:r>
      <w:r>
        <w:rPr>
          <w:rFonts w:hint="eastAsia" w:ascii="仿宋_GB2312" w:hAnsi="仿宋" w:eastAsia="仿宋_GB2312" w:cs="仿宋"/>
          <w:color w:val="000000"/>
          <w:sz w:val="32"/>
          <w:szCs w:val="32"/>
          <w:lang w:eastAsia="zh-CN"/>
        </w:rPr>
        <w:t>0</w:t>
      </w:r>
      <w:r>
        <w:rPr>
          <w:rFonts w:hint="eastAsia" w:ascii="仿宋_GB2312" w:hAnsi="仿宋" w:eastAsia="仿宋_GB2312" w:cs="仿宋"/>
          <w:color w:val="000000"/>
          <w:sz w:val="32"/>
          <w:szCs w:val="32"/>
        </w:rPr>
        <w:t>万元；其他收入0万元。</w:t>
      </w:r>
    </w:p>
    <w:p>
      <w:pPr>
        <w:spacing w:line="576" w:lineRule="exact"/>
        <w:ind w:firstLine="2560" w:firstLineChars="8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（图2：收入决算结构图）</w:t>
      </w:r>
    </w:p>
    <w:p>
      <w:pPr>
        <w:pStyle w:val="2"/>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0" w:firstLineChars="200"/>
        <w:rPr>
          <w:rFonts w:ascii="黑体" w:eastAsia="黑体" w:cs="Times New Roman"/>
          <w:b w:val="0"/>
          <w:bCs/>
          <w:color w:val="000000"/>
        </w:rPr>
      </w:pPr>
      <w:bookmarkStart w:id="20" w:name="_Toc8745"/>
      <w:bookmarkStart w:id="21" w:name="_Toc111208501"/>
      <w:bookmarkStart w:id="22" w:name="_Toc15377207"/>
      <w:r>
        <w:rPr>
          <w:rFonts w:hint="eastAsia" w:ascii="黑体" w:eastAsia="黑体" w:cs="Times New Roman"/>
          <w:b w:val="0"/>
          <w:bCs/>
          <w:color w:val="000000"/>
        </w:rPr>
        <w:t>三、支出决算情况说明</w:t>
      </w:r>
      <w:bookmarkEnd w:id="20"/>
      <w:bookmarkEnd w:id="21"/>
      <w:bookmarkEnd w:id="22"/>
    </w:p>
    <w:p>
      <w:pPr>
        <w:pStyle w:val="6"/>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2022年本年支出合计93.87万元，其中：基本支出93.31万元，占99.40%；项目支出0.56万元，占0.60%；上缴上级支出0万元；经营支出0万元；对附属单位补助支出0万元。</w:t>
      </w:r>
    </w:p>
    <w:p>
      <w:pPr>
        <w:spacing w:line="600" w:lineRule="exact"/>
        <w:ind w:firstLine="2240" w:firstLineChars="7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pPr>
    </w:p>
    <w:p>
      <w:pPr>
        <w:pStyle w:val="4"/>
        <w:ind w:firstLine="640" w:firstLineChars="200"/>
        <w:rPr>
          <w:rFonts w:ascii="黑体" w:eastAsia="黑体" w:cs="Times New Roman"/>
          <w:b w:val="0"/>
          <w:bCs/>
          <w:color w:val="000000"/>
        </w:rPr>
      </w:pPr>
      <w:bookmarkStart w:id="23" w:name="_Toc15377208"/>
      <w:bookmarkStart w:id="24" w:name="_Toc111208502"/>
      <w:bookmarkStart w:id="25" w:name="_Toc13661"/>
      <w:r>
        <w:rPr>
          <w:rFonts w:hint="eastAsia" w:ascii="黑体" w:eastAsia="黑体" w:cs="Times New Roman"/>
          <w:b w:val="0"/>
          <w:bCs/>
          <w:color w:val="000000"/>
        </w:rPr>
        <w:t>四、财政拨款收入支出决算总体情况说明</w:t>
      </w:r>
      <w:bookmarkEnd w:id="23"/>
      <w:bookmarkEnd w:id="24"/>
      <w:bookmarkEnd w:id="25"/>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2022年财政拨款收、支总计93.87万元。与2021年相比，财政拨款收、支总计各减少1.85万元，减少1.93</w:t>
      </w:r>
      <w:bookmarkStart w:id="62" w:name="_GoBack"/>
      <w:bookmarkEnd w:id="62"/>
      <w:r>
        <w:rPr>
          <w:rFonts w:hint="eastAsia" w:ascii="仿宋_GB2312" w:hAnsi="仿宋" w:eastAsia="仿宋_GB2312" w:cs="仿宋"/>
          <w:color w:val="000000"/>
          <w:kern w:val="2"/>
          <w:sz w:val="32"/>
          <w:szCs w:val="32"/>
          <w:lang w:val="en-US" w:eastAsia="zh-CN" w:bidi="ar-SA"/>
        </w:rPr>
        <w:t xml:space="preserve">%。 </w:t>
      </w:r>
    </w:p>
    <w:p>
      <w:pPr>
        <w:spacing w:line="600" w:lineRule="exact"/>
        <w:ind w:firstLine="1280" w:firstLineChars="4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（图4：财政拨款收、支决算总计变动情况）</w:t>
      </w:r>
    </w:p>
    <w:p>
      <w:pPr>
        <w:pStyle w:val="6"/>
        <w:ind w:firstLine="0"/>
        <w:rPr>
          <w:rFonts w:hint="eastAsia" w:ascii="仿宋_GB2312" w:hAnsi="仿宋" w:eastAsia="仿宋_GB2312" w:cs="仿宋"/>
          <w:color w:val="000000"/>
          <w:kern w:val="2"/>
          <w:sz w:val="32"/>
          <w:szCs w:val="32"/>
          <w:lang w:val="en-US" w:eastAsia="zh-CN" w:bidi="ar-SA"/>
        </w:rPr>
      </w:pPr>
    </w:p>
    <w:p>
      <w:pPr>
        <w:pStyle w:val="6"/>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6"/>
        <w:jc w:val="center"/>
      </w:pPr>
    </w:p>
    <w:p>
      <w:pPr>
        <w:pStyle w:val="4"/>
        <w:ind w:firstLine="640" w:firstLineChars="200"/>
        <w:rPr>
          <w:rFonts w:ascii="黑体" w:eastAsia="黑体" w:cs="Times New Roman"/>
          <w:b w:val="0"/>
          <w:bCs/>
          <w:color w:val="000000"/>
        </w:rPr>
      </w:pPr>
      <w:bookmarkStart w:id="26" w:name="_Toc15377209"/>
      <w:bookmarkStart w:id="27" w:name="_Toc111208503"/>
      <w:bookmarkStart w:id="28" w:name="_Toc2126"/>
      <w:r>
        <w:rPr>
          <w:rFonts w:hint="eastAsia" w:ascii="黑体" w:eastAsia="黑体" w:cs="Times New Roman"/>
          <w:b w:val="0"/>
          <w:bCs/>
          <w:color w:val="000000"/>
        </w:rPr>
        <w:t>五、一般公共预算财政拨款支出决算情况说</w:t>
      </w:r>
      <w:bookmarkEnd w:id="26"/>
      <w:r>
        <w:rPr>
          <w:rFonts w:hint="eastAsia" w:ascii="黑体" w:eastAsia="黑体" w:cs="Times New Roman"/>
          <w:b w:val="0"/>
          <w:bCs/>
          <w:color w:val="000000"/>
        </w:rPr>
        <w:t>明</w:t>
      </w:r>
      <w:bookmarkEnd w:id="27"/>
      <w:bookmarkEnd w:id="28"/>
    </w:p>
    <w:p>
      <w:pPr>
        <w:spacing w:line="600" w:lineRule="exact"/>
        <w:ind w:firstLine="643" w:firstLineChars="200"/>
        <w:outlineLvl w:val="2"/>
        <w:rPr>
          <w:rFonts w:ascii="仿宋" w:hAnsi="仿宋" w:eastAsia="仿宋"/>
          <w:b/>
          <w:color w:val="000000"/>
          <w:sz w:val="32"/>
          <w:szCs w:val="32"/>
        </w:rPr>
      </w:pPr>
      <w:bookmarkStart w:id="29" w:name="_Toc15377210"/>
      <w:r>
        <w:rPr>
          <w:rFonts w:hint="eastAsia" w:ascii="仿宋" w:hAnsi="仿宋" w:eastAsia="仿宋"/>
          <w:b/>
          <w:color w:val="000000"/>
          <w:sz w:val="32"/>
          <w:szCs w:val="32"/>
        </w:rPr>
        <w:t>（一）一般公共预算财政拨款支出决算总体情况</w:t>
      </w:r>
      <w:bookmarkEnd w:id="29"/>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bookmarkStart w:id="30" w:name="_Toc15377211"/>
      <w:r>
        <w:rPr>
          <w:rFonts w:hint="eastAsia" w:ascii="仿宋_GB2312" w:hAnsi="仿宋" w:eastAsia="仿宋_GB2312" w:cs="仿宋"/>
          <w:color w:val="000000"/>
          <w:kern w:val="2"/>
          <w:sz w:val="32"/>
          <w:szCs w:val="32"/>
          <w:lang w:val="en-US" w:eastAsia="zh-CN" w:bidi="ar-SA"/>
        </w:rPr>
        <w:t xml:space="preserve">2022年一般公共预算财政拨款支出93.87万元，占本年支出合计的100%。与2021相比，一般公共预算财政拨款减少1.85万元，减少1.93%。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（图5：一般公共预算财政拨款支出决算变动情况）</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p>
    <w:p>
      <w:pPr>
        <w:pStyle w:val="6"/>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0"/>
      <w:r>
        <w:rPr>
          <w:rFonts w:hint="eastAsia" w:ascii="仿宋" w:hAnsi="仿宋" w:eastAsia="仿宋"/>
          <w:b/>
          <w:color w:val="000000"/>
          <w:sz w:val="32"/>
          <w:szCs w:val="32"/>
        </w:rPr>
        <w:t>（一般公共预算收支表）</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2022年一般公共预算财政拨款支出93.87万元，主要用于以下方面: 社会保障和就业支出80.59万元，占85.85%；卫生健康支出5.69万元，占6.06%；农林水支出0.56万元，占0.60%；住房保障支出7.03万元，占7.49%。</w:t>
      </w:r>
    </w:p>
    <w:p>
      <w:pPr>
        <w:spacing w:line="600" w:lineRule="exact"/>
        <w:ind w:firstLine="960" w:firstLineChars="3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（图6：一般公共预算财政拨款支出决算结构）</w:t>
      </w:r>
      <w:bookmarkStart w:id="31" w:name="_Toc15377212"/>
    </w:p>
    <w:p>
      <w:pPr>
        <w:pStyle w:val="6"/>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1"/>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bookmarkStart w:id="32" w:name="_Toc15377444"/>
      <w:bookmarkStart w:id="33" w:name="_Toc15377213"/>
      <w:bookmarkStart w:id="34" w:name="_Toc15378460"/>
      <w:r>
        <w:rPr>
          <w:rFonts w:hint="eastAsia" w:ascii="仿宋_GB2312" w:hAnsi="仿宋" w:eastAsia="仿宋_GB2312" w:cs="仿宋"/>
          <w:color w:val="000000"/>
          <w:kern w:val="2"/>
          <w:sz w:val="32"/>
          <w:szCs w:val="32"/>
          <w:lang w:val="en-US" w:eastAsia="zh-CN" w:bidi="ar-SA"/>
        </w:rPr>
        <w:t>2022年一般公共预算支出决算数为93.87万元，完成预算100%。其中：</w:t>
      </w:r>
      <w:bookmarkEnd w:id="32"/>
      <w:bookmarkEnd w:id="33"/>
      <w:bookmarkEnd w:id="34"/>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1.社会保障和就业支出（208）人力资源和社会保障管理事务（20801）社会保险经办机构（2080109）支出决算68.64万元，完成预算100%。</w:t>
      </w:r>
      <w:r>
        <w:rPr>
          <w:rFonts w:hint="eastAsia" w:ascii="仿宋_GB2312" w:hAnsi="仿宋" w:eastAsia="仿宋_GB2312" w:cs="仿宋"/>
          <w:color w:val="000000"/>
          <w:kern w:val="2"/>
          <w:sz w:val="32"/>
          <w:szCs w:val="32"/>
          <w:lang w:val="en-US" w:eastAsia="zh-CN" w:bidi="ar-SA"/>
        </w:rPr>
        <w:cr/>
      </w:r>
      <w:r>
        <w:rPr>
          <w:rFonts w:hint="eastAsia" w:ascii="仿宋_GB2312" w:hAnsi="仿宋" w:eastAsia="仿宋_GB2312" w:cs="仿宋"/>
          <w:color w:val="000000"/>
          <w:kern w:val="2"/>
          <w:sz w:val="32"/>
          <w:szCs w:val="32"/>
          <w:lang w:val="en-US" w:eastAsia="zh-CN" w:bidi="ar-SA"/>
        </w:rPr>
        <w:t xml:space="preserve">   2.社会保障和就业支出（208）行政事业单位养老支出（20805）机关事业单位基本养老保险缴费支出（2080505）支出决算7.97万元，完成预算100%。</w:t>
      </w:r>
      <w:r>
        <w:rPr>
          <w:rFonts w:hint="eastAsia" w:ascii="仿宋_GB2312" w:hAnsi="仿宋" w:eastAsia="仿宋_GB2312" w:cs="仿宋"/>
          <w:color w:val="000000"/>
          <w:kern w:val="2"/>
          <w:sz w:val="32"/>
          <w:szCs w:val="32"/>
          <w:lang w:val="en-US" w:eastAsia="zh-CN" w:bidi="ar-SA"/>
        </w:rPr>
        <w:cr/>
      </w:r>
      <w:r>
        <w:rPr>
          <w:rFonts w:hint="eastAsia" w:ascii="仿宋_GB2312" w:hAnsi="仿宋" w:eastAsia="仿宋_GB2312" w:cs="仿宋"/>
          <w:color w:val="000000"/>
          <w:kern w:val="2"/>
          <w:sz w:val="32"/>
          <w:szCs w:val="32"/>
          <w:lang w:val="en-US" w:eastAsia="zh-CN" w:bidi="ar-SA"/>
        </w:rPr>
        <w:t xml:space="preserve">   3.社会保障和就业支出（208）行政事业单位养老支出（20805）机关事业单位职业年金缴费支出（2080506）支出决算3.98万元，完成预算100%。</w:t>
      </w:r>
      <w:r>
        <w:rPr>
          <w:rFonts w:hint="eastAsia" w:ascii="仿宋_GB2312" w:hAnsi="仿宋" w:eastAsia="仿宋_GB2312" w:cs="仿宋"/>
          <w:color w:val="000000"/>
          <w:kern w:val="2"/>
          <w:sz w:val="32"/>
          <w:szCs w:val="32"/>
          <w:lang w:val="en-US" w:eastAsia="zh-CN" w:bidi="ar-SA"/>
        </w:rPr>
        <w:cr/>
      </w:r>
      <w:r>
        <w:rPr>
          <w:rFonts w:hint="eastAsia" w:ascii="仿宋_GB2312" w:hAnsi="仿宋" w:eastAsia="仿宋_GB2312" w:cs="仿宋"/>
          <w:color w:val="000000"/>
          <w:kern w:val="2"/>
          <w:sz w:val="32"/>
          <w:szCs w:val="32"/>
          <w:lang w:val="en-US" w:eastAsia="zh-CN" w:bidi="ar-SA"/>
        </w:rPr>
        <w:t xml:space="preserve">   4.卫生健康支出（210）行政事业单位医疗（21011）事业单位医疗（2101102）支出决算5.69万元，完成预算100%。</w:t>
      </w:r>
      <w:r>
        <w:rPr>
          <w:rFonts w:hint="eastAsia" w:ascii="仿宋_GB2312" w:hAnsi="仿宋" w:eastAsia="仿宋_GB2312" w:cs="仿宋"/>
          <w:color w:val="000000"/>
          <w:kern w:val="2"/>
          <w:sz w:val="32"/>
          <w:szCs w:val="32"/>
          <w:lang w:val="en-US" w:eastAsia="zh-CN" w:bidi="ar-SA"/>
        </w:rPr>
        <w:cr/>
      </w:r>
      <w:r>
        <w:rPr>
          <w:rFonts w:hint="eastAsia" w:ascii="仿宋_GB2312" w:hAnsi="仿宋" w:eastAsia="仿宋_GB2312" w:cs="仿宋"/>
          <w:color w:val="000000"/>
          <w:kern w:val="2"/>
          <w:sz w:val="32"/>
          <w:szCs w:val="32"/>
          <w:lang w:val="en-US" w:eastAsia="zh-CN" w:bidi="ar-SA"/>
        </w:rPr>
        <w:t xml:space="preserve">   5.农林水支出（213）巩固脱贫衔接乡村振兴（21305）其他巩固脱贫衔接乡村振兴支出（2130599）支出决算0.56万元，完成预算100%。</w:t>
      </w:r>
      <w:r>
        <w:rPr>
          <w:rFonts w:hint="eastAsia" w:ascii="仿宋_GB2312" w:hAnsi="仿宋" w:eastAsia="仿宋_GB2312" w:cs="仿宋"/>
          <w:color w:val="000000"/>
          <w:kern w:val="2"/>
          <w:sz w:val="32"/>
          <w:szCs w:val="32"/>
          <w:lang w:val="en-US" w:eastAsia="zh-CN" w:bidi="ar-SA"/>
        </w:rPr>
        <w:cr/>
      </w:r>
      <w:r>
        <w:rPr>
          <w:rFonts w:hint="eastAsia" w:ascii="仿宋_GB2312" w:hAnsi="仿宋" w:eastAsia="仿宋_GB2312" w:cs="仿宋"/>
          <w:color w:val="000000"/>
          <w:kern w:val="2"/>
          <w:sz w:val="32"/>
          <w:szCs w:val="32"/>
          <w:lang w:val="en-US" w:eastAsia="zh-CN" w:bidi="ar-SA"/>
        </w:rPr>
        <w:t xml:space="preserve">   6.住房保障支出（221）住房改革支出（22102）住房公积金（2210201）支出决算7.03万元，完成预算100%。</w:t>
      </w:r>
    </w:p>
    <w:p>
      <w:pPr>
        <w:pStyle w:val="4"/>
        <w:ind w:firstLine="640" w:firstLineChars="200"/>
        <w:rPr>
          <w:rFonts w:ascii="黑体" w:eastAsia="黑体" w:cs="Times New Roman"/>
          <w:b w:val="0"/>
          <w:bCs/>
          <w:color w:val="000000"/>
        </w:rPr>
      </w:pPr>
      <w:bookmarkStart w:id="35" w:name="_Toc15377214"/>
      <w:bookmarkStart w:id="36" w:name="_Toc111208504"/>
      <w:bookmarkStart w:id="37" w:name="_Toc24703"/>
      <w:r>
        <w:rPr>
          <w:rFonts w:hint="eastAsia" w:ascii="黑体" w:eastAsia="黑体" w:cs="Times New Roman"/>
          <w:b w:val="0"/>
          <w:bCs/>
          <w:color w:val="000000"/>
        </w:rPr>
        <w:t>六、一般公共预算财政拨款基本支出决算情况说</w:t>
      </w:r>
      <w:bookmarkEnd w:id="35"/>
      <w:r>
        <w:rPr>
          <w:rFonts w:hint="eastAsia" w:ascii="黑体" w:eastAsia="黑体" w:cs="Times New Roman"/>
          <w:b w:val="0"/>
          <w:bCs/>
          <w:color w:val="000000"/>
        </w:rPr>
        <w:t>明</w:t>
      </w:r>
      <w:bookmarkEnd w:id="36"/>
      <w:bookmarkEnd w:id="37"/>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2022年一般公共预算财政拨款基本支出93.31万元，其中：</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人员经费89.59万元，主要包括：基本工资19.98万元、津贴补贴3.18万元、绩效工资40.29万元、机关事业单位基本养老保险缴费7.97万元、职业年金缴费3.98万元、职工基本医疗保险缴费5.69万元、其他社会保障缴费0.34万元、住房公积金7.03万元、医疗费1.12万元、奖励金0.01万元。</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公用经费3.72万元，主要包括：办公费2.01万元、差旅费1.71万元。</w:t>
      </w:r>
    </w:p>
    <w:p>
      <w:pPr>
        <w:pStyle w:val="4"/>
        <w:ind w:firstLine="640" w:firstLineChars="200"/>
        <w:rPr>
          <w:rFonts w:ascii="黑体" w:eastAsia="黑体" w:cs="Times New Roman"/>
          <w:b w:val="0"/>
          <w:bCs/>
          <w:color w:val="000000"/>
        </w:rPr>
      </w:pPr>
      <w:bookmarkStart w:id="38" w:name="_Toc111208505"/>
      <w:bookmarkStart w:id="39" w:name="_Toc16585"/>
      <w:bookmarkStart w:id="40" w:name="_Toc15377215"/>
      <w:r>
        <w:rPr>
          <w:rFonts w:hint="eastAsia" w:ascii="黑体" w:eastAsia="黑体" w:cs="Times New Roman"/>
          <w:b w:val="0"/>
          <w:bCs/>
          <w:color w:val="000000"/>
        </w:rPr>
        <w:t>七、“三公”经费财政拨款支出决算情况说明</w:t>
      </w:r>
      <w:bookmarkEnd w:id="38"/>
      <w:bookmarkEnd w:id="39"/>
      <w:bookmarkEnd w:id="40"/>
    </w:p>
    <w:p>
      <w:pPr>
        <w:spacing w:line="600" w:lineRule="exact"/>
        <w:ind w:firstLine="643" w:firstLineChars="20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2022年“三公”经费财政拨款支出决算为0万元。</w:t>
      </w:r>
      <w:bookmarkStart w:id="42"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42"/>
    </w:p>
    <w:p>
      <w:pPr>
        <w:pStyle w:val="6"/>
        <w:rPr>
          <w:rFonts w:ascii="仿宋_GB2312" w:hAnsi="仿宋" w:eastAsia="仿宋_GB2312"/>
          <w:color w:val="000000"/>
          <w:sz w:val="32"/>
          <w:szCs w:val="32"/>
        </w:rPr>
      </w:pPr>
      <w:r>
        <w:rPr>
          <w:rFonts w:hint="eastAsia" w:ascii="仿宋_GB2312" w:hAnsi="仿宋" w:eastAsia="仿宋_GB2312" w:cs="仿宋"/>
          <w:color w:val="000000"/>
          <w:kern w:val="2"/>
          <w:sz w:val="32"/>
          <w:szCs w:val="32"/>
          <w:lang w:val="en-US" w:eastAsia="zh-CN" w:bidi="ar-SA"/>
        </w:rPr>
        <w:t>2022年“三公”经费财政拨款支出0万元，因公出国（境）费支出决算0万元；公务用车购置及运行维护费支出决算0万元；公务接待费支出决算0万元。</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1.因公出国（境）经费支出0万元。全年安排因公出国（境）团组0次，出国（境）0人。因公出国（境）支出决算比2021年增加0万元。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2.公务用车购置及运行维护费支出0万元。公务用车购置及运行维护费支出决算比2021年增加0万元。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其中：公务用车购置支出0万元。全年按规定更新购置公务用车0辆，其中：轿车0辆、金额0万元，越野车0辆、金额0万元，载客汽车0辆、金额0万元。截至2022年12月底，单位共有公务用车0辆，其中：轿车0辆、越野车0辆、载客汽车0辆。</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公务用车运行维护费支出0万元。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3.公务接待费支出0万元。公务接待费支出决算比2021年增加0万元。</w:t>
      </w:r>
      <w:bookmarkStart w:id="43" w:name="_Toc15377218"/>
      <w:r>
        <w:rPr>
          <w:rFonts w:hint="eastAsia" w:ascii="仿宋_GB2312" w:hAnsi="仿宋" w:eastAsia="仿宋_GB2312" w:cs="仿宋"/>
          <w:color w:val="000000"/>
          <w:kern w:val="2"/>
          <w:sz w:val="32"/>
          <w:szCs w:val="32"/>
          <w:lang w:val="en-US" w:eastAsia="zh-CN" w:bidi="ar-SA"/>
        </w:rPr>
        <w:t xml:space="preserve">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国内公务接待支出0万元。国内公务接待0批次，0人次（不包括陪同人员），共计支出0万元。</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外事接待支出0万元，外事接待0批次，0人，共计支出0万元。</w:t>
      </w:r>
    </w:p>
    <w:p>
      <w:pPr>
        <w:pStyle w:val="4"/>
        <w:ind w:firstLine="640" w:firstLineChars="200"/>
        <w:rPr>
          <w:rFonts w:ascii="黑体" w:eastAsia="黑体" w:cs="Times New Roman"/>
          <w:b w:val="0"/>
          <w:bCs/>
          <w:color w:val="000000"/>
        </w:rPr>
      </w:pPr>
      <w:bookmarkStart w:id="44" w:name="_Toc111208506"/>
      <w:bookmarkStart w:id="45" w:name="_Toc4484"/>
      <w:r>
        <w:rPr>
          <w:rFonts w:hint="eastAsia" w:ascii="黑体" w:eastAsia="黑体" w:cs="Times New Roman"/>
          <w:b w:val="0"/>
          <w:bCs/>
          <w:color w:val="000000"/>
        </w:rPr>
        <w:t>八、政府性基金预算支出决算情况说明</w:t>
      </w:r>
      <w:bookmarkEnd w:id="43"/>
      <w:bookmarkEnd w:id="44"/>
      <w:bookmarkEnd w:id="45"/>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2022年政府性基金预算拨款支出0万元。</w:t>
      </w:r>
      <w:bookmarkStart w:id="46" w:name="_Toc15377219"/>
    </w:p>
    <w:p>
      <w:pPr>
        <w:pStyle w:val="4"/>
        <w:ind w:firstLine="640" w:firstLineChars="200"/>
        <w:rPr>
          <w:rFonts w:ascii="黑体" w:eastAsia="黑体" w:cs="Times New Roman"/>
          <w:b w:val="0"/>
          <w:bCs/>
          <w:color w:val="000000"/>
        </w:rPr>
      </w:pPr>
      <w:bookmarkStart w:id="47" w:name="_Toc1532"/>
      <w:bookmarkStart w:id="48" w:name="_Toc111208507"/>
      <w:r>
        <w:rPr>
          <w:rFonts w:hint="eastAsia" w:ascii="黑体" w:eastAsia="黑体" w:cs="Times New Roman"/>
          <w:b w:val="0"/>
          <w:bCs/>
          <w:color w:val="000000"/>
        </w:rPr>
        <w:t>九、国有资本经营预算支出决算情况说明</w:t>
      </w:r>
      <w:bookmarkEnd w:id="46"/>
      <w:bookmarkEnd w:id="47"/>
      <w:bookmarkEnd w:id="48"/>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2022年国有资本经营预算拨款支出0万元。</w:t>
      </w:r>
    </w:p>
    <w:p>
      <w:pPr>
        <w:pStyle w:val="4"/>
        <w:ind w:firstLine="640" w:firstLineChars="200"/>
        <w:rPr>
          <w:rFonts w:ascii="黑体" w:eastAsia="黑体" w:cs="Times New Roman"/>
          <w:b w:val="0"/>
          <w:bCs/>
          <w:color w:val="000000"/>
        </w:rPr>
      </w:pPr>
      <w:bookmarkStart w:id="49" w:name="_Toc15377221"/>
      <w:bookmarkStart w:id="50" w:name="_Toc111208508"/>
      <w:bookmarkStart w:id="51" w:name="_Toc587"/>
      <w:r>
        <w:rPr>
          <w:rFonts w:hint="eastAsia" w:ascii="黑体" w:eastAsia="黑体" w:cs="Times New Roman"/>
          <w:b w:val="0"/>
          <w:bCs/>
          <w:color w:val="000000"/>
        </w:rPr>
        <w:t>十、其他重要事项的情况说明</w:t>
      </w:r>
      <w:bookmarkEnd w:id="49"/>
      <w:bookmarkEnd w:id="50"/>
      <w:bookmarkEnd w:id="51"/>
    </w:p>
    <w:p>
      <w:pPr>
        <w:spacing w:line="600" w:lineRule="exact"/>
        <w:ind w:firstLine="643" w:firstLineChars="200"/>
        <w:outlineLvl w:val="2"/>
        <w:rPr>
          <w:rFonts w:ascii="仿宋" w:hAnsi="仿宋" w:eastAsia="仿宋"/>
          <w:b/>
          <w:bCs w:val="0"/>
          <w:color w:val="000000"/>
          <w:sz w:val="32"/>
          <w:szCs w:val="32"/>
        </w:rPr>
      </w:pPr>
      <w:bookmarkStart w:id="52" w:name="_Toc15377222"/>
      <w:r>
        <w:rPr>
          <w:rFonts w:hint="eastAsia" w:ascii="仿宋" w:hAnsi="仿宋" w:eastAsia="仿宋"/>
          <w:b/>
          <w:bCs w:val="0"/>
          <w:color w:val="000000"/>
          <w:sz w:val="32"/>
          <w:szCs w:val="32"/>
        </w:rPr>
        <w:t>（一）机关运行经费支出情况</w:t>
      </w:r>
      <w:bookmarkEnd w:id="52"/>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2022年，机关运行经费支出0万元，比2021年增加0万元。 </w:t>
      </w:r>
    </w:p>
    <w:p>
      <w:pPr>
        <w:spacing w:line="600" w:lineRule="exact"/>
        <w:ind w:firstLine="643" w:firstLineChars="200"/>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r>
        <w:rPr>
          <w:rFonts w:hint="eastAsia" w:ascii="仿宋" w:hAnsi="仿宋" w:eastAsia="仿宋"/>
          <w:b/>
          <w:color w:val="000000"/>
          <w:sz w:val="32"/>
          <w:szCs w:val="32"/>
        </w:rPr>
        <w:t>(机构运行信息表)</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2022年，政府采购支出总额0万元，其中：政府采购货物支出0万元、政府采购工程支出0万元、政府采购服务支出0万元。授予中小企业合同金额0万元，其中：授予小微企业合同金额0万元。</w:t>
      </w:r>
    </w:p>
    <w:p>
      <w:pPr>
        <w:spacing w:line="600" w:lineRule="exact"/>
        <w:ind w:firstLine="643" w:firstLineChars="200"/>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截至2022年12月31日，共有车辆0辆，其中：主要领导干部用车0辆、机要通信用车0辆、应急保障用车0辆、其他用车0辆。单价50万元以上通用设备0台（套），单价100万元以上专用设备—台（套）。</w:t>
      </w:r>
    </w:p>
    <w:p>
      <w:pPr>
        <w:pStyle w:val="6"/>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b w:val="0"/>
          <w:bCs w:val="0"/>
        </w:rPr>
      </w:pPr>
      <w:bookmarkStart w:id="55" w:name="_Toc15377225"/>
      <w:bookmarkStart w:id="56" w:name="_Toc5924"/>
      <w:bookmarkStart w:id="57" w:name="_Toc111208509"/>
      <w:r>
        <w:rPr>
          <w:rFonts w:hint="eastAsia" w:ascii="黑体" w:hAnsi="黑体" w:eastAsia="黑体" w:cs="黑体"/>
          <w:b w:val="0"/>
          <w:bCs w:val="0"/>
        </w:rPr>
        <w:t>第三部分 名词解释</w:t>
      </w:r>
      <w:bookmarkEnd w:id="55"/>
      <w:bookmarkEnd w:id="56"/>
      <w:bookmarkEnd w:id="57"/>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1.财政拨款收入：指单位从同级财政部门取得的财政预算资金。</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2.事业收入：指事业单位开展专业业务活动及辅助活动取得的收入。</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3.经营收入：指事业单位在专业业务活动及其辅助活动之外开展非独立核算经营活动取得的收入</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4.其他收入：指单位取得的除上述收入以外的各项收入。</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6.年初结转和结余：指以前年度尚未完成、结转到本年按有关规定继续使用的资金。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7.结余分配：指事业单位按照事业单位会计制度的规定从非财政补助结余中分配的事业基金和职工福利基金等。</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8.年末结转和结余：指单位按有关规定结转到下年或以后年度继续使用的资金。</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9.社会保障和就业支出（208）人力资源和社会保障管理事务（20801）社会保险经办机构（2080109）：反映社会保险经办机构开展业务工作的支出。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10.社会保障和就业支出（208）行政事业单位养老支出（20805）机关事业单位基本养老保险缴费支出（2080505）：反映机关事业单位实施养老保险制度由单位缴纳的基本养老保险费支出。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11.社会保障和就业支出（208）行政事业单位养老支出（20805）机关事业单位职业年金缴费支出（2080506）：反映机关事业单位实施养老保险制度由单位实际缴纳的职业年金支出。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12.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13.农林水支出（213）巩固脱贫衔接乡村振兴（21305）其他巩固脱贫衔接乡村振兴支出（2130599）：反映除上述项目以外其他用于扶贫方面的支出。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14.住房保障支出（221）住房改革支出（22102）住房公积金（2210201）：反映行政事业单位按人力资源和社会保障部、财政部规定的基本工资和津贴补贴以及规定比例为职工缴纳的住房公积金。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15.基本支出：指为保障机构正常运转、完成日常工作任务而发生的人员支出和公用支出。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16.项目支出：指在基本支出之外为完成特定行政任务和事业发展目标所发生的支出。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17.经营支出：指事业单位在专业业务活动及其辅助活动之外开展非独立核算经营活动发生的支出。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20.财政应返还额度：为行政事业单位会计核算科目，用于核算实行国库集中支付的行政事业单位应收财政返还的资金额度。</w:t>
      </w:r>
    </w:p>
    <w:p>
      <w:pPr>
        <w:spacing w:line="600" w:lineRule="exact"/>
        <w:ind w:firstLine="640" w:firstLineChars="200"/>
        <w:rPr>
          <w:rFonts w:hint="eastAsia" w:ascii="仿宋_GB2312" w:hAnsi="黑体" w:eastAsia="仿宋_GB2312" w:cs="宋体"/>
          <w:kern w:val="0"/>
          <w:sz w:val="32"/>
          <w:szCs w:val="32"/>
          <w:shd w:val="clear" w:color="auto" w:fill="FFFFFF"/>
        </w:rPr>
      </w:pPr>
      <w:r>
        <w:rPr>
          <w:rFonts w:hint="eastAsia" w:ascii="仿宋_GB2312" w:hAnsi="仿宋" w:eastAsia="仿宋_GB2312" w:cs="仿宋"/>
          <w:color w:val="000000"/>
          <w:kern w:val="2"/>
          <w:sz w:val="32"/>
          <w:szCs w:val="32"/>
          <w:lang w:val="en-US" w:eastAsia="zh-CN" w:bidi="ar-SA"/>
        </w:rPr>
        <w:br w:type="page"/>
      </w:r>
    </w:p>
    <w:p>
      <w:pPr>
        <w:pStyle w:val="3"/>
        <w:jc w:val="center"/>
        <w:rPr>
          <w:rStyle w:val="42"/>
          <w:rFonts w:hint="eastAsia" w:ascii="黑体" w:hAnsi="黑体" w:eastAsia="黑体"/>
          <w:b w:val="0"/>
          <w:bCs/>
          <w:lang w:val="en-US" w:eastAsia="zh-CN" w:bidi="ar-SA"/>
        </w:rPr>
      </w:pPr>
      <w:bookmarkStart w:id="58" w:name="_Toc79163885"/>
      <w:bookmarkStart w:id="59" w:name="_Toc111208512"/>
      <w:bookmarkStart w:id="60" w:name="_Toc3397"/>
      <w:bookmarkStart w:id="61" w:name="_Toc79163635"/>
      <w:r>
        <w:rPr>
          <w:rStyle w:val="42"/>
          <w:rFonts w:hint="eastAsia" w:ascii="黑体" w:hAnsi="黑体" w:eastAsia="黑体"/>
          <w:b w:val="0"/>
          <w:bCs/>
          <w:lang w:val="en-US" w:eastAsia="zh-CN" w:bidi="ar-SA"/>
        </w:rPr>
        <w:t>第四部分 附表</w:t>
      </w:r>
      <w:bookmarkEnd w:id="58"/>
      <w:bookmarkEnd w:id="59"/>
      <w:bookmarkEnd w:id="60"/>
      <w:bookmarkEnd w:id="61"/>
    </w:p>
    <w:p>
      <w:pPr>
        <w:pStyle w:val="4"/>
        <w:rPr>
          <w:rFonts w:hint="eastAsia" w:ascii="仿宋" w:hAnsi="仿宋" w:eastAsia="仿宋" w:cs="Times New Roman"/>
          <w:b w:val="0"/>
          <w:color w:val="000000"/>
        </w:rPr>
      </w:pPr>
      <w:r>
        <w:rPr>
          <w:rFonts w:hint="eastAsia" w:ascii="仿宋" w:hAnsi="仿宋" w:eastAsia="仿宋" w:cs="Times New Roman"/>
          <w:b w:val="0"/>
          <w:color w:val="000000"/>
        </w:rPr>
        <w:t>一、收入支出决算总表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二、收入决算表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三、支出决算表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四、财政拨款收入支出决算总表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五、财政拨款支出决算明细表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六、一般公共预算财政拨款支出决算表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七、一般公共预算财政拨款支出决算明细表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八、一般公共预算财政拨款基本支出决算表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九、一般公共预算财政拨款项目支出决算表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十、政府性基金预算财政拨款收入支出决算表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十一、国有资本经营预算财政拨款收入支出决算表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十二、国有资本经营预算财政拨款支出决算表</w:t>
      </w:r>
    </w:p>
    <w:p>
      <w:pPr>
        <w:pStyle w:val="4"/>
        <w:rPr>
          <w:rFonts w:hint="eastAsia" w:ascii="仿宋" w:hAnsi="仿宋" w:eastAsia="仿宋" w:cs="Times New Roman"/>
          <w:b w:val="0"/>
          <w:color w:val="000000"/>
        </w:rPr>
      </w:pPr>
      <w:r>
        <w:rPr>
          <w:rFonts w:hint="eastAsia" w:ascii="仿宋" w:hAnsi="仿宋" w:eastAsia="仿宋" w:cs="Times New Roman"/>
          <w:b w:val="0"/>
          <w:color w:val="000000"/>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0ZDQ0NjI3YzliYmI5ZDliOWFiZmIzNDA0OWI0Mm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6C92"/>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5FA"/>
    <w:rsid w:val="00887A58"/>
    <w:rsid w:val="008918AA"/>
    <w:rsid w:val="008918C9"/>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5AB6207"/>
    <w:rsid w:val="06951176"/>
    <w:rsid w:val="07001BE1"/>
    <w:rsid w:val="07267DE7"/>
    <w:rsid w:val="07BD2895"/>
    <w:rsid w:val="089C4B49"/>
    <w:rsid w:val="09081517"/>
    <w:rsid w:val="091B747D"/>
    <w:rsid w:val="0A19737C"/>
    <w:rsid w:val="0B7218AA"/>
    <w:rsid w:val="0B99373B"/>
    <w:rsid w:val="0BA37CB5"/>
    <w:rsid w:val="0D0429D6"/>
    <w:rsid w:val="0D093B48"/>
    <w:rsid w:val="0D322E51"/>
    <w:rsid w:val="0D6C338E"/>
    <w:rsid w:val="0DB37F58"/>
    <w:rsid w:val="0DD459A4"/>
    <w:rsid w:val="0F5E6610"/>
    <w:rsid w:val="10C055FF"/>
    <w:rsid w:val="11D56DF6"/>
    <w:rsid w:val="11ED6591"/>
    <w:rsid w:val="13367661"/>
    <w:rsid w:val="16BB723D"/>
    <w:rsid w:val="17BC7656"/>
    <w:rsid w:val="17EA348C"/>
    <w:rsid w:val="18394161"/>
    <w:rsid w:val="1840212F"/>
    <w:rsid w:val="184656CF"/>
    <w:rsid w:val="19943114"/>
    <w:rsid w:val="1AB026BC"/>
    <w:rsid w:val="1ABB32B6"/>
    <w:rsid w:val="1B0B13D3"/>
    <w:rsid w:val="1BF70747"/>
    <w:rsid w:val="1C06153F"/>
    <w:rsid w:val="1C986C96"/>
    <w:rsid w:val="1D7371C3"/>
    <w:rsid w:val="1DDC2BB3"/>
    <w:rsid w:val="1E34479D"/>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3D33B6"/>
    <w:rsid w:val="2CAE1BBE"/>
    <w:rsid w:val="2CCF04B2"/>
    <w:rsid w:val="2E4C04E0"/>
    <w:rsid w:val="2F803D16"/>
    <w:rsid w:val="31810DA9"/>
    <w:rsid w:val="31903F88"/>
    <w:rsid w:val="319F7F4E"/>
    <w:rsid w:val="329448A6"/>
    <w:rsid w:val="32F45598"/>
    <w:rsid w:val="32FD0B51"/>
    <w:rsid w:val="35244754"/>
    <w:rsid w:val="364D41F6"/>
    <w:rsid w:val="36FD0156"/>
    <w:rsid w:val="3751103F"/>
    <w:rsid w:val="38F8371D"/>
    <w:rsid w:val="39226F5F"/>
    <w:rsid w:val="39902098"/>
    <w:rsid w:val="3A3A0F35"/>
    <w:rsid w:val="3A4E1148"/>
    <w:rsid w:val="3C8D2F9D"/>
    <w:rsid w:val="3CE0510E"/>
    <w:rsid w:val="3D1927CA"/>
    <w:rsid w:val="3D1E4B3E"/>
    <w:rsid w:val="3D8344ED"/>
    <w:rsid w:val="3E03620E"/>
    <w:rsid w:val="3E343C22"/>
    <w:rsid w:val="3E4A5F35"/>
    <w:rsid w:val="3F512FA9"/>
    <w:rsid w:val="3FAC4683"/>
    <w:rsid w:val="3FEA5DFB"/>
    <w:rsid w:val="401C35B7"/>
    <w:rsid w:val="410C627A"/>
    <w:rsid w:val="4119235A"/>
    <w:rsid w:val="41677310"/>
    <w:rsid w:val="422C2C46"/>
    <w:rsid w:val="4251506E"/>
    <w:rsid w:val="43684120"/>
    <w:rsid w:val="444F07DA"/>
    <w:rsid w:val="44601E28"/>
    <w:rsid w:val="475E72DC"/>
    <w:rsid w:val="47F514AF"/>
    <w:rsid w:val="4839282C"/>
    <w:rsid w:val="48FD75BD"/>
    <w:rsid w:val="4A745623"/>
    <w:rsid w:val="4C3E70F3"/>
    <w:rsid w:val="4C820C46"/>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A137381"/>
    <w:rsid w:val="5AB54D17"/>
    <w:rsid w:val="5AC735ED"/>
    <w:rsid w:val="5BE202EA"/>
    <w:rsid w:val="5CFA7F1D"/>
    <w:rsid w:val="5E2506F8"/>
    <w:rsid w:val="5EA316D6"/>
    <w:rsid w:val="5F3A07D2"/>
    <w:rsid w:val="5F593A88"/>
    <w:rsid w:val="60651EAC"/>
    <w:rsid w:val="60BB3927"/>
    <w:rsid w:val="62A42EE2"/>
    <w:rsid w:val="630D013F"/>
    <w:rsid w:val="63347FC4"/>
    <w:rsid w:val="63604CB9"/>
    <w:rsid w:val="64A36D0B"/>
    <w:rsid w:val="64C656C1"/>
    <w:rsid w:val="65DF63C9"/>
    <w:rsid w:val="662A7F2C"/>
    <w:rsid w:val="66A400AC"/>
    <w:rsid w:val="68DA2DB6"/>
    <w:rsid w:val="69725134"/>
    <w:rsid w:val="6B4666B6"/>
    <w:rsid w:val="6C69620C"/>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9F60BE5"/>
    <w:rsid w:val="7A1B4027"/>
    <w:rsid w:val="7A965738"/>
    <w:rsid w:val="7ABC1C9C"/>
    <w:rsid w:val="7B022DCE"/>
    <w:rsid w:val="7B272834"/>
    <w:rsid w:val="7B8F71DF"/>
    <w:rsid w:val="7BBB6A4C"/>
    <w:rsid w:val="7CB2612E"/>
    <w:rsid w:val="7CC25607"/>
    <w:rsid w:val="7DA10AFE"/>
    <w:rsid w:val="7DE859ED"/>
    <w:rsid w:val="7E4C610E"/>
    <w:rsid w:val="7E6D00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Normal Indent"/>
    <w:basedOn w:val="1"/>
    <w:link w:val="37"/>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next w:val="1"/>
    <w:link w:val="3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5"/>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qFormat/>
    <w:uiPriority w:val="99"/>
    <w:rPr>
      <w:rFonts w:cs="Times New Roman"/>
      <w:color w:val="323232"/>
      <w:u w:val="none"/>
    </w:rPr>
  </w:style>
  <w:style w:type="character" w:styleId="20">
    <w:name w:val="annotation reference"/>
    <w:basedOn w:val="17"/>
    <w:semiHidden/>
    <w:unhideWhenUsed/>
    <w:qFormat/>
    <w:uiPriority w:val="99"/>
    <w:rPr>
      <w:sz w:val="21"/>
      <w:szCs w:val="21"/>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styleId="3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5">
    <w:name w:val="无间隔 字符"/>
    <w:basedOn w:val="17"/>
    <w:link w:val="8"/>
    <w:qFormat/>
    <w:uiPriority w:val="1"/>
  </w:style>
  <w:style w:type="character" w:customStyle="1" w:styleId="36">
    <w:name w:val="页眉 字符1"/>
    <w:basedOn w:val="17"/>
    <w:link w:val="3"/>
    <w:semiHidden/>
    <w:qFormat/>
    <w:uiPriority w:val="99"/>
    <w:rPr>
      <w:sz w:val="18"/>
      <w:szCs w:val="18"/>
    </w:rPr>
  </w:style>
  <w:style w:type="character" w:customStyle="1" w:styleId="37">
    <w:name w:val="页脚 字符1"/>
    <w:basedOn w:val="17"/>
    <w:link w:val="6"/>
    <w:semiHidden/>
    <w:qFormat/>
    <w:uiPriority w:val="99"/>
    <w:rPr>
      <w:sz w:val="18"/>
      <w:szCs w:val="18"/>
    </w:rPr>
  </w:style>
  <w:style w:type="character" w:customStyle="1" w:styleId="38">
    <w:name w:val="apple-converted-space"/>
    <w:basedOn w:val="17"/>
    <w:qFormat/>
    <w:uiPriority w:val="0"/>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 w:type="character" w:customStyle="1" w:styleId="42">
    <w:name w:val="标题 1 Char"/>
    <w:basedOn w:val="17"/>
    <w:link w:val="3"/>
    <w:qFormat/>
    <w:locked/>
    <w:uiPriority w:val="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{95.72,93.87}</c:f>
              <c:numCache>
                <c:formatCode>General</c:formatCode>
                <c:ptCount val="2"/>
                <c:pt idx="0">
                  <c:v>95.72</c:v>
                </c:pt>
                <c:pt idx="1">
                  <c:v>93.87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{95.72,93.87}</c:f>
              <c:numCache>
                <c:formatCode>General</c:formatCode>
                <c:ptCount val="2"/>
                <c:pt idx="0">
                  <c:v>95.72</c:v>
                </c:pt>
                <c:pt idx="1">
                  <c:v>93.87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{938667.34,0,0,0,0,0,0,0}</c:f>
              <c:numCache>
                <c:formatCode>General</c:formatCode>
                <c:ptCount val="8"/>
                <c:pt idx="0">
                  <c:v>938667.34</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{933067.34,5600,0,0,0}</c:f>
              <c:numCache>
                <c:formatCode>General</c:formatCode>
                <c:ptCount val="5"/>
                <c:pt idx="0">
                  <c:v>933067.34</c:v>
                </c:pt>
                <c:pt idx="1">
                  <c:v>5600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{95.72,93.87}</c:f>
              <c:numCache>
                <c:formatCode>General</c:formatCode>
                <c:ptCount val="2"/>
                <c:pt idx="0">
                  <c:v>95.72</c:v>
                </c:pt>
                <c:pt idx="1">
                  <c:v>93.87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{95.72,93.87}</c:f>
              <c:numCache>
                <c:formatCode>General</c:formatCode>
                <c:ptCount val="2"/>
                <c:pt idx="0">
                  <c:v>95.72</c:v>
                </c:pt>
                <c:pt idx="1">
                  <c:v>93.87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{95.72}</c:f>
              <c:numCache>
                <c:formatCode>General</c:formatCode>
                <c:ptCount val="1"/>
                <c:pt idx="0">
                  <c:v>95.72</c:v>
                </c:pt>
              </c:numCache>
            </c:numRef>
          </c:val>
        </c:ser>
        <c:ser>
          <c:idx val="2"/>
          <c:order val="1"/>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{93.87}</c:f>
              <c:numCache>
                <c:formatCode>General</c:formatCode>
                <c:ptCount val="1"/>
                <c:pt idx="0">
                  <c:v>93.87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{80.59,5.69,0.56,7.03}</c:f>
              <c:numCache>
                <c:formatCode>General</c:formatCode>
                <c:ptCount val="4"/>
                <c:pt idx="0">
                  <c:v>80.59</c:v>
                </c:pt>
                <c:pt idx="1">
                  <c:v>5.69</c:v>
                </c:pt>
                <c:pt idx="2">
                  <c:v>0.56</c:v>
                </c:pt>
                <c:pt idx="3">
                  <c:v>7.03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3305</Words>
  <Characters>4960</Characters>
  <Lines>51</Lines>
  <Paragraphs>14</Paragraphs>
  <TotalTime>18</TotalTime>
  <ScaleCrop>false</ScaleCrop>
  <LinksUpToDate>false</LinksUpToDate>
  <CharactersWithSpaces>5011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admin</cp:lastModifiedBy>
  <cp:lastPrinted>2023-09-10T09:12:00Z</cp:lastPrinted>
  <dcterms:modified xsi:type="dcterms:W3CDTF">2023-09-11T02:47:22Z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B93CA6F4BEAD4F359769D1203595D585</vt:lpwstr>
  </property>
</Properties>
</file>