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bookmarkStart w:id="0" w:name="_Toc15377196"/>
      <w:r>
        <w:rPr>
          <w:rFonts w:hint="eastAsia" w:ascii="方正小标宋简体" w:hAnsi="方正小标宋简体" w:eastAsia="方正小标宋简体" w:cs="方正小标宋简体"/>
          <w:sz w:val="48"/>
          <w:szCs w:val="48"/>
        </w:rPr>
        <w:t>2022年度</w:t>
      </w:r>
    </w:p>
    <w:p>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四川省阿坝州茂县</w:t>
      </w:r>
      <w:r>
        <w:rPr>
          <w:rFonts w:hint="eastAsia" w:ascii="方正小标宋简体" w:hAnsi="方正小标宋简体" w:eastAsia="方正小标宋简体" w:cs="方正小标宋简体"/>
          <w:sz w:val="48"/>
          <w:szCs w:val="48"/>
          <w:lang w:val="en-US" w:eastAsia="zh-CN"/>
        </w:rPr>
        <w:t>公共就业和人才交流服务局</w:t>
      </w:r>
      <w:r>
        <w:rPr>
          <w:rFonts w:hint="eastAsia" w:ascii="方正小标宋简体" w:hAnsi="方正小标宋简体" w:eastAsia="方正小标宋简体" w:cs="方正小标宋简体"/>
          <w:sz w:val="48"/>
          <w:szCs w:val="48"/>
        </w:rPr>
        <w:t>2022年度部门决算</w:t>
      </w:r>
    </w:p>
    <w:p>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汇总部门决算</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pPr>
        <w:pageBreakBefore w:val="0"/>
        <w:kinsoku/>
        <w:wordWrap/>
        <w:overflowPunct/>
        <w:topLinePunct w:val="0"/>
        <w:bidi w:val="0"/>
        <w:spacing w:line="576" w:lineRule="exact"/>
        <w:jc w:val="both"/>
        <w:textAlignment w:val="auto"/>
        <w:rPr>
          <w:rFonts w:ascii="黑体" w:hAnsi="Times New Roman" w:eastAsia="黑体" w:cs="Times New Roman"/>
          <w:sz w:val="72"/>
          <w:szCs w:val="72"/>
        </w:rPr>
      </w:pP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pStyle w:val="15"/>
        <w:keepNext w:val="0"/>
        <w:keepLines w:val="0"/>
        <w:pageBreakBefore w:val="0"/>
        <w:widowControl/>
        <w:suppressLineNumbers w:val="0"/>
        <w:kinsoku/>
        <w:wordWrap/>
        <w:overflowPunct/>
        <w:topLinePunct w:val="0"/>
        <w:bidi w:val="0"/>
        <w:spacing w:line="576" w:lineRule="exact"/>
        <w:textAlignment w:val="auto"/>
      </w:pPr>
      <w:r>
        <w:t> </w:t>
      </w:r>
    </w:p>
    <w:p>
      <w:pPr>
        <w:pStyle w:val="15"/>
        <w:keepNext w:val="0"/>
        <w:keepLines w:val="0"/>
        <w:pageBreakBefore w:val="0"/>
        <w:widowControl/>
        <w:suppressLineNumbers w:val="0"/>
        <w:kinsoku/>
        <w:wordWrap/>
        <w:overflowPunct/>
        <w:topLinePunct w:val="0"/>
        <w:bidi w:val="0"/>
        <w:spacing w:line="576" w:lineRule="exact"/>
        <w:textAlignment w:val="auto"/>
      </w:pPr>
      <w:r>
        <w:t> </w:t>
      </w:r>
    </w:p>
    <w:p>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pPr>
        <w:pStyle w:val="15"/>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pPr>
        <w:pStyle w:val="15"/>
        <w:keepNext w:val="0"/>
        <w:keepLines w:val="0"/>
        <w:pageBreakBefore w:val="0"/>
        <w:widowControl/>
        <w:suppressLineNumbers w:val="0"/>
        <w:kinsoku/>
        <w:wordWrap/>
        <w:overflowPunct/>
        <w:topLinePunct w:val="0"/>
        <w:bidi w:val="0"/>
        <w:spacing w:line="576" w:lineRule="exact"/>
        <w:jc w:val="center"/>
        <w:textAlignment w:val="auto"/>
        <w:rPr>
          <w:rFonts w:hint="eastAsia" w:ascii="黑体" w:hAnsi="Times New Roman" w:eastAsia="黑体" w:cs="Times New Roman"/>
          <w:color w:val="000000"/>
          <w:sz w:val="48"/>
          <w:szCs w:val="48"/>
          <w:lang w:val="en-US" w:eastAsia="zh-CN"/>
        </w:rPr>
        <w:sectPr>
          <w:footerReference r:id="rId3" w:type="first"/>
          <w:pgSz w:w="11906" w:h="16838"/>
          <w:pgMar w:top="1440" w:right="1800" w:bottom="1440" w:left="1800" w:header="851" w:footer="992" w:gutter="0"/>
          <w:cols w:space="425" w:num="1"/>
          <w:docGrid w:type="lines" w:linePitch="312" w:charSpace="0"/>
        </w:sectPr>
      </w:pPr>
    </w:p>
    <w:p>
      <w:pPr>
        <w:pStyle w:val="15"/>
        <w:keepNext w:val="0"/>
        <w:keepLines w:val="0"/>
        <w:pageBreakBefore w:val="0"/>
        <w:widowControl/>
        <w:suppressLineNumbers w:val="0"/>
        <w:kinsoku/>
        <w:wordWrap/>
        <w:overflowPunct/>
        <w:topLinePunct w:val="0"/>
        <w:bidi w:val="0"/>
        <w:spacing w:line="576" w:lineRule="exact"/>
        <w:jc w:val="center"/>
        <w:textAlignment w:val="auto"/>
        <w:rPr>
          <w:rFonts w:hint="default" w:ascii="黑体" w:hAnsi="Times New Roman" w:eastAsia="黑体" w:cs="Times New Roman"/>
          <w:color w:val="000000"/>
          <w:sz w:val="48"/>
          <w:szCs w:val="48"/>
          <w:lang w:val="en-US" w:eastAsia="zh-CN"/>
        </w:rPr>
      </w:pPr>
      <w:r>
        <w:rPr>
          <w:rFonts w:hint="eastAsia" w:ascii="黑体" w:hAnsi="Times New Roman" w:eastAsia="黑体" w:cs="Times New Roman"/>
          <w:color w:val="000000"/>
          <w:sz w:val="48"/>
          <w:szCs w:val="48"/>
          <w:lang w:val="en-US" w:eastAsia="zh-CN"/>
        </w:rPr>
        <w:t>目录</w:t>
      </w:r>
    </w:p>
    <w:p>
      <w:pPr>
        <w:pStyle w:val="12"/>
        <w:pageBreakBefore w:val="0"/>
        <w:kinsoku/>
        <w:wordWrap/>
        <w:overflowPunct/>
        <w:topLinePunct w:val="0"/>
        <w:bidi w:val="0"/>
        <w:spacing w:line="576" w:lineRule="exact"/>
        <w:jc w:val="center"/>
        <w:textAlignment w:val="auto"/>
      </w:pPr>
      <w:r>
        <w:rPr>
          <w:rFonts w:hint="eastAsia" w:hAnsi="Times New Roman" w:cs="Times New Roman"/>
          <w:b w:val="0"/>
          <w:bCs w:val="0"/>
          <w:sz w:val="24"/>
          <w:szCs w:val="24"/>
        </w:rPr>
        <w:t>公开时间：2023年</w:t>
      </w:r>
      <w:r>
        <w:rPr>
          <w:rFonts w:hint="eastAsia" w:hAnsi="Times New Roman" w:cs="Times New Roman"/>
          <w:b w:val="0"/>
          <w:bCs w:val="0"/>
          <w:sz w:val="24"/>
          <w:szCs w:val="24"/>
          <w:lang w:val="en-US" w:eastAsia="zh-CN"/>
        </w:rPr>
        <w:t>9</w:t>
      </w:r>
      <w:r>
        <w:rPr>
          <w:rFonts w:hint="eastAsia" w:hAnsi="Times New Roman" w:cs="Times New Roman"/>
          <w:b w:val="0"/>
          <w:bCs w:val="0"/>
          <w:sz w:val="24"/>
          <w:szCs w:val="24"/>
        </w:rPr>
        <w:t>月</w:t>
      </w:r>
      <w:r>
        <w:rPr>
          <w:rFonts w:hint="eastAsia" w:hAnsi="Times New Roman" w:cs="Times New Roman"/>
          <w:b w:val="0"/>
          <w:bCs w:val="0"/>
          <w:sz w:val="24"/>
          <w:szCs w:val="24"/>
          <w:lang w:val="en-US" w:eastAsia="zh-CN"/>
        </w:rPr>
        <w:t>12</w:t>
      </w:r>
      <w:r>
        <w:rPr>
          <w:rFonts w:hint="eastAsia" w:hAnsi="Times New Roman" w:cs="Times New Roman"/>
          <w:b w:val="0"/>
          <w:bCs w:val="0"/>
          <w:sz w:val="24"/>
          <w:szCs w:val="24"/>
        </w:rPr>
        <w:t>日</w:t>
      </w:r>
    </w:p>
    <w:p>
      <w:pPr>
        <w:pStyle w:val="39"/>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44"/>
          <w:lang w:bidi="ar-SA"/>
        </w:rPr>
        <w:t>第一部分 部门概况</w:t>
      </w:r>
      <w:r>
        <w:tab/>
      </w:r>
      <w:r>
        <w:rPr>
          <w:rFonts w:hint="eastAsia"/>
          <w:lang w:val="en-US" w:eastAsia="zh-CN"/>
        </w:rPr>
        <w:t>4</w:t>
      </w:r>
    </w:p>
    <w:p>
      <w:pPr>
        <w:pStyle w:val="40"/>
        <w:pageBreakBefore w:val="0"/>
        <w:tabs>
          <w:tab w:val="right" w:leader="dot" w:pos="8306"/>
        </w:tabs>
        <w:kinsoku/>
        <w:wordWrap/>
        <w:overflowPunct/>
        <w:topLinePunct w:val="0"/>
        <w:bidi w:val="0"/>
        <w:spacing w:line="576" w:lineRule="exact"/>
        <w:textAlignment w:val="auto"/>
      </w:pPr>
      <w:r>
        <w:rPr>
          <w:rFonts w:hint="eastAsia" w:ascii="黑体" w:hAnsi="Cambria" w:eastAsia="黑体" w:cs="Times New Roman"/>
          <w:kern w:val="2"/>
          <w:szCs w:val="32"/>
          <w:lang w:bidi="ar-SA"/>
        </w:rPr>
        <w:t>一、基本职能及主要工作</w:t>
      </w:r>
      <w:r>
        <w:tab/>
      </w:r>
      <w:r>
        <w:rPr>
          <w:rFonts w:hint="eastAsia"/>
          <w:lang w:val="en-US" w:eastAsia="zh-CN"/>
        </w:rPr>
        <w:t>4</w:t>
      </w:r>
    </w:p>
    <w:p>
      <w:pPr>
        <w:pStyle w:val="41"/>
        <w:pageBreakBefore w:val="0"/>
        <w:tabs>
          <w:tab w:val="right" w:leader="dot" w:pos="8306"/>
        </w:tabs>
        <w:kinsoku/>
        <w:wordWrap/>
        <w:overflowPunct/>
        <w:topLinePunct w:val="0"/>
        <w:bidi w:val="0"/>
        <w:spacing w:line="576" w:lineRule="exact"/>
        <w:textAlignment w:val="auto"/>
      </w:pPr>
      <w:r>
        <w:rPr>
          <w:rFonts w:hint="eastAsia" w:ascii="仿宋" w:eastAsia="仿宋"/>
          <w:bCs/>
          <w:szCs w:val="32"/>
        </w:rPr>
        <w:t>（一）主要职能</w:t>
      </w:r>
      <w:r>
        <w:tab/>
      </w:r>
      <w:r>
        <w:rPr>
          <w:rFonts w:hint="eastAsia"/>
          <w:lang w:val="en-US" w:eastAsia="zh-CN"/>
        </w:rPr>
        <w:t>4</w:t>
      </w:r>
    </w:p>
    <w:p>
      <w:pPr>
        <w:pStyle w:val="41"/>
        <w:pageBreakBefore w:val="0"/>
        <w:tabs>
          <w:tab w:val="right" w:leader="dot" w:pos="8306"/>
        </w:tabs>
        <w:kinsoku/>
        <w:wordWrap/>
        <w:overflowPunct/>
        <w:topLinePunct w:val="0"/>
        <w:bidi w:val="0"/>
        <w:spacing w:line="576" w:lineRule="exact"/>
        <w:textAlignment w:val="auto"/>
      </w:pPr>
      <w:r>
        <w:rPr>
          <w:rFonts w:hint="eastAsia" w:ascii="仿宋" w:eastAsia="仿宋"/>
          <w:bCs/>
          <w:szCs w:val="32"/>
        </w:rPr>
        <w:t>（二）</w:t>
      </w:r>
      <w:r>
        <w:rPr>
          <w:rFonts w:ascii="仿宋" w:eastAsia="仿宋"/>
          <w:bCs/>
          <w:szCs w:val="32"/>
        </w:rPr>
        <w:t>2022</w:t>
      </w:r>
      <w:r>
        <w:rPr>
          <w:rFonts w:hint="eastAsia" w:ascii="仿宋" w:eastAsia="仿宋"/>
          <w:bCs/>
          <w:szCs w:val="32"/>
        </w:rPr>
        <w:t>年重点工作完成情况</w:t>
      </w:r>
      <w:r>
        <w:tab/>
      </w:r>
      <w:r>
        <w:t>5</w:t>
      </w:r>
    </w:p>
    <w:p>
      <w:pPr>
        <w:pStyle w:val="40"/>
        <w:pageBreakBefore w:val="0"/>
        <w:tabs>
          <w:tab w:val="right" w:leader="dot" w:pos="8306"/>
        </w:tabs>
        <w:kinsoku/>
        <w:wordWrap/>
        <w:overflowPunct/>
        <w:topLinePunct w:val="0"/>
        <w:bidi w:val="0"/>
        <w:spacing w:line="576" w:lineRule="exact"/>
        <w:textAlignment w:val="auto"/>
      </w:pPr>
      <w:r>
        <w:rPr>
          <w:rFonts w:hint="eastAsia" w:ascii="黑体" w:hAnsi="Cambria" w:eastAsia="黑体" w:cs="Times New Roman"/>
          <w:kern w:val="2"/>
          <w:szCs w:val="32"/>
          <w:lang w:bidi="ar-SA"/>
        </w:rPr>
        <w:t>二、机构设置</w:t>
      </w:r>
      <w:r>
        <w:tab/>
      </w:r>
      <w:r>
        <w:rPr>
          <w:rFonts w:hint="eastAsia"/>
          <w:lang w:val="en-US" w:eastAsia="zh-CN"/>
        </w:rPr>
        <w:t>6</w:t>
      </w:r>
    </w:p>
    <w:p>
      <w:pPr>
        <w:pStyle w:val="39"/>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44"/>
          <w:lang w:bidi="ar-SA"/>
        </w:rPr>
        <w:t>第二部分 2022年度部门决算情况说明</w:t>
      </w:r>
      <w:r>
        <w:tab/>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8</w:t>
      </w:r>
    </w:p>
    <w:p>
      <w:pPr>
        <w:pStyle w:val="40"/>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kern w:val="2"/>
          <w:szCs w:val="32"/>
          <w:lang w:val="en-US" w:eastAsia="zh-CN" w:bidi="ar-SA"/>
        </w:rPr>
        <w:t>四、财政拨款收入支出决算总体情况说明</w:t>
      </w:r>
      <w:r>
        <w:tab/>
      </w:r>
      <w:r>
        <w:rPr>
          <w:rFonts w:hint="eastAsia"/>
          <w:lang w:val="en-US" w:eastAsia="zh-CN"/>
        </w:rPr>
        <w:t>9</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kern w:val="2"/>
          <w:szCs w:val="32"/>
          <w:lang w:val="en-US" w:eastAsia="zh-CN" w:bidi="ar-SA"/>
        </w:rPr>
        <w:t>五、一般公共预算财政拨款支出决算情况说明</w:t>
      </w:r>
      <w:r>
        <w:tab/>
      </w:r>
      <w:r>
        <w:rPr>
          <w:rFonts w:hint="eastAsia"/>
          <w:lang w:val="en-US" w:eastAsia="zh-CN"/>
        </w:rPr>
        <w:t>10</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（一）一般公共预算财政拨款支出决算总体情况</w:t>
      </w:r>
      <w:r>
        <w:tab/>
      </w:r>
      <w:r>
        <w:rPr>
          <w:rFonts w:hint="eastAsia"/>
          <w:lang w:val="en-US" w:eastAsia="zh-CN"/>
        </w:rPr>
        <w:t>10</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（二）一般公共预算财政拨款支出决算结构情况</w:t>
      </w:r>
      <w:r>
        <w:tab/>
      </w:r>
      <w:r>
        <w:rPr>
          <w:rFonts w:hint="eastAsia"/>
          <w:lang w:val="en-US" w:eastAsia="zh-CN"/>
        </w:rPr>
        <w:t>11</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t>（</w:t>
      </w:r>
      <w:r>
        <w:rPr>
          <w:rFonts w:hint="eastAsia" w:ascii="仿宋" w:hAnsi="Times New Roman" w:eastAsia="仿宋" w:cs="Times New Roman"/>
          <w:kern w:val="2"/>
          <w:szCs w:val="32"/>
          <w:lang w:val="en-US" w:eastAsia="zh-CN" w:bidi="ar-SA"/>
        </w:rPr>
        <w:t>三）一般公共预算财政拨款支出决算具体情况</w:t>
      </w:r>
      <w:r>
        <w:tab/>
      </w:r>
      <w:r>
        <w:rPr>
          <w:rFonts w:hint="eastAsia"/>
          <w:lang w:val="en-US" w:eastAsia="zh-CN"/>
        </w:rPr>
        <w:t>12</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kern w:val="2"/>
          <w:szCs w:val="32"/>
          <w:lang w:val="en-US" w:eastAsia="zh-CN" w:bidi="ar-SA"/>
        </w:rPr>
        <w:t>六、一般公共预算财政拨款基本支出决算情况说明   </w:t>
      </w:r>
      <w:r>
        <w:tab/>
      </w:r>
      <w:r>
        <w:rPr>
          <w:rFonts w:hint="eastAsia"/>
          <w:lang w:val="en-US" w:eastAsia="zh-CN"/>
        </w:rPr>
        <w:t>13</w:t>
      </w:r>
    </w:p>
    <w:p>
      <w:pPr>
        <w:pStyle w:val="40"/>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szCs w:val="32"/>
        </w:rPr>
        <w:t>七、“三公”经费财政拨款支出决算情况说明</w:t>
      </w:r>
      <w:r>
        <w:tab/>
      </w:r>
      <w:r>
        <w:rPr>
          <w:rFonts w:hint="eastAsia"/>
          <w:lang w:val="en-US" w:eastAsia="zh-CN"/>
        </w:rPr>
        <w:t>14</w:t>
      </w:r>
    </w:p>
    <w:p>
      <w:pPr>
        <w:pStyle w:val="41"/>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Cs w:val="32"/>
        </w:rPr>
        <w:t>（一）“三公”经费财政拨款支出决算总体情况说明</w:t>
      </w:r>
      <w:r>
        <w:tab/>
      </w:r>
      <w:r>
        <w:rPr>
          <w:rFonts w:hint="eastAsia"/>
          <w:lang w:val="en-US" w:eastAsia="zh-CN"/>
        </w:rPr>
        <w:t>14</w:t>
      </w:r>
    </w:p>
    <w:p>
      <w:pPr>
        <w:pStyle w:val="41"/>
        <w:pageBreakBefore w:val="0"/>
        <w:tabs>
          <w:tab w:val="right" w:leader="dot" w:pos="8306"/>
        </w:tabs>
        <w:kinsoku/>
        <w:wordWrap/>
        <w:overflowPunct/>
        <w:topLinePunct w:val="0"/>
        <w:bidi w:val="0"/>
        <w:spacing w:line="576" w:lineRule="exact"/>
        <w:textAlignment w:val="auto"/>
      </w:pPr>
      <w:r>
        <w:rPr>
          <w:rFonts w:hint="eastAsia" w:ascii="仿宋" w:hAnsi="Times New Roman" w:eastAsia="仿宋" w:cs="Times New Roman"/>
          <w:szCs w:val="32"/>
        </w:rPr>
        <w:t>（二）“三公”经费财政拨款支出决算具体情况说明</w:t>
      </w:r>
      <w:r>
        <w:tab/>
      </w:r>
      <w:r>
        <w:t>1</w:t>
      </w:r>
      <w:r>
        <w:rPr>
          <w:rFonts w:hint="eastAsia"/>
          <w:lang w:val="en-US" w:eastAsia="zh-CN"/>
        </w:rPr>
        <w:t>4</w:t>
      </w:r>
    </w:p>
    <w:p>
      <w:pPr>
        <w:pStyle w:val="40"/>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32"/>
        </w:rPr>
        <w:t>八、政府性基金预算支出决算情况说明</w:t>
      </w:r>
      <w:r>
        <w:tab/>
      </w:r>
      <w:r>
        <w:t>1</w:t>
      </w:r>
      <w:r>
        <w:rPr>
          <w:rFonts w:hint="eastAsia"/>
          <w:lang w:val="en-US" w:eastAsia="zh-CN"/>
        </w:rPr>
        <w:t>5</w:t>
      </w:r>
    </w:p>
    <w:p>
      <w:pPr>
        <w:pStyle w:val="40"/>
        <w:pageBreakBefore w:val="0"/>
        <w:tabs>
          <w:tab w:val="right" w:leader="dot" w:pos="8306"/>
        </w:tabs>
        <w:kinsoku/>
        <w:wordWrap/>
        <w:overflowPunct/>
        <w:topLinePunct w:val="0"/>
        <w:bidi w:val="0"/>
        <w:spacing w:line="576" w:lineRule="exact"/>
        <w:textAlignment w:val="auto"/>
      </w:pPr>
      <w:r>
        <w:rPr>
          <w:rFonts w:hint="eastAsia" w:ascii="黑体" w:hAnsi="Cambria" w:eastAsia="黑体" w:cs="Times New Roman"/>
          <w:kern w:val="2"/>
          <w:szCs w:val="32"/>
          <w:lang w:bidi="ar-SA"/>
        </w:rPr>
        <w:t>九、 国有资本经营预算支出决算情况说明</w:t>
      </w:r>
      <w:r>
        <w:tab/>
      </w:r>
      <w:r>
        <w:t>1</w:t>
      </w:r>
      <w:r>
        <w:rPr>
          <w:rFonts w:hint="eastAsia"/>
          <w:lang w:val="en-US" w:eastAsia="zh-CN"/>
        </w:rPr>
        <w:t>5</w:t>
      </w:r>
    </w:p>
    <w:p>
      <w:pPr>
        <w:pStyle w:val="40"/>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32"/>
        </w:rPr>
        <w:t>十、其他重要事项的情况说明</w:t>
      </w:r>
      <w:r>
        <w:tab/>
      </w:r>
      <w:r>
        <w:t>1</w:t>
      </w:r>
      <w:r>
        <w:rPr>
          <w:rFonts w:hint="eastAsia"/>
          <w:lang w:val="en-US" w:eastAsia="zh-CN"/>
        </w:rPr>
        <w:t>5</w:t>
      </w:r>
    </w:p>
    <w:p>
      <w:pPr>
        <w:pStyle w:val="41"/>
        <w:pageBreakBefore w:val="0"/>
        <w:tabs>
          <w:tab w:val="right" w:leader="dot" w:pos="8306"/>
        </w:tabs>
        <w:kinsoku/>
        <w:wordWrap/>
        <w:overflowPunct/>
        <w:topLinePunct w:val="0"/>
        <w:bidi w:val="0"/>
        <w:spacing w:line="576" w:lineRule="exact"/>
        <w:textAlignment w:val="auto"/>
      </w:pPr>
      <w:r>
        <w:rPr>
          <w:rFonts w:hint="eastAsia" w:ascii="仿宋" w:hAnsi="Times New Roman" w:eastAsia="仿宋" w:cs="Times New Roman"/>
          <w:szCs w:val="32"/>
        </w:rPr>
        <w:t>（一）机关运行经费支出情况</w:t>
      </w:r>
      <w:r>
        <w:tab/>
      </w:r>
      <w:r>
        <w:t>1</w:t>
      </w:r>
      <w:r>
        <w:rPr>
          <w:rFonts w:hint="eastAsia"/>
          <w:lang w:val="en-US" w:eastAsia="zh-CN"/>
        </w:rPr>
        <w:t>5</w:t>
      </w:r>
    </w:p>
    <w:p>
      <w:pPr>
        <w:pStyle w:val="41"/>
        <w:pageBreakBefore w:val="0"/>
        <w:tabs>
          <w:tab w:val="right" w:leader="dot" w:pos="8306"/>
        </w:tabs>
        <w:kinsoku/>
        <w:wordWrap/>
        <w:overflowPunct/>
        <w:topLinePunct w:val="0"/>
        <w:bidi w:val="0"/>
        <w:spacing w:line="576" w:lineRule="exact"/>
        <w:textAlignment w:val="auto"/>
      </w:pPr>
      <w:r>
        <w:rPr>
          <w:rFonts w:hint="eastAsia" w:ascii="仿宋" w:hAnsi="Times New Roman" w:eastAsia="仿宋" w:cs="Times New Roman"/>
          <w:szCs w:val="32"/>
        </w:rPr>
        <w:t>（二）政府采购支出情况</w:t>
      </w:r>
      <w:r>
        <w:tab/>
      </w:r>
      <w:r>
        <w:t>1</w:t>
      </w:r>
      <w:r>
        <w:rPr>
          <w:rFonts w:hint="eastAsia"/>
          <w:lang w:val="en-US" w:eastAsia="zh-CN"/>
        </w:rPr>
        <w:t>6</w:t>
      </w:r>
    </w:p>
    <w:p>
      <w:pPr>
        <w:pStyle w:val="41"/>
        <w:pageBreakBefore w:val="0"/>
        <w:tabs>
          <w:tab w:val="right" w:leader="dot" w:pos="8306"/>
        </w:tabs>
        <w:kinsoku/>
        <w:wordWrap/>
        <w:overflowPunct/>
        <w:topLinePunct w:val="0"/>
        <w:bidi w:val="0"/>
        <w:spacing w:line="576" w:lineRule="exact"/>
        <w:textAlignment w:val="auto"/>
      </w:pPr>
      <w:r>
        <w:rPr>
          <w:rFonts w:hint="eastAsia" w:ascii="仿宋" w:hAnsi="Times New Roman" w:eastAsia="仿宋" w:cs="Times New Roman"/>
          <w:szCs w:val="32"/>
        </w:rPr>
        <w:t>（三）国有资产占有使用情况</w:t>
      </w:r>
      <w:r>
        <w:tab/>
      </w:r>
      <w:r>
        <w:t>1</w:t>
      </w:r>
      <w:r>
        <w:rPr>
          <w:rFonts w:hint="eastAsia"/>
          <w:lang w:val="en-US" w:eastAsia="zh-CN"/>
        </w:rPr>
        <w:t>6</w:t>
      </w:r>
    </w:p>
    <w:p>
      <w:pPr>
        <w:pStyle w:val="41"/>
        <w:pageBreakBefore w:val="0"/>
        <w:tabs>
          <w:tab w:val="right" w:leader="dot" w:pos="8306"/>
        </w:tabs>
        <w:kinsoku/>
        <w:wordWrap/>
        <w:overflowPunct/>
        <w:topLinePunct w:val="0"/>
        <w:bidi w:val="0"/>
        <w:spacing w:line="576" w:lineRule="exact"/>
        <w:textAlignment w:val="auto"/>
      </w:pPr>
      <w:r>
        <w:rPr>
          <w:rFonts w:hint="eastAsia" w:ascii="仿宋" w:hAnsi="Times New Roman" w:eastAsia="仿宋" w:cs="Times New Roman"/>
          <w:szCs w:val="32"/>
        </w:rPr>
        <w:t>（四）预算绩效管理情况</w:t>
      </w:r>
      <w:r>
        <w:tab/>
      </w:r>
      <w:r>
        <w:t>1</w:t>
      </w:r>
      <w:r>
        <w:rPr>
          <w:rFonts w:hint="eastAsia"/>
          <w:lang w:val="en-US" w:eastAsia="zh-CN"/>
        </w:rPr>
        <w:t>7</w:t>
      </w:r>
    </w:p>
    <w:p>
      <w:pPr>
        <w:pStyle w:val="39"/>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44"/>
        </w:rPr>
        <w:t>第三部分 名词解释</w:t>
      </w:r>
      <w:r>
        <w:tab/>
      </w:r>
      <w:r>
        <w:t>14</w:t>
      </w:r>
    </w:p>
    <w:p>
      <w:pPr>
        <w:pStyle w:val="39"/>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Times New Roman"/>
          <w:kern w:val="2"/>
          <w:szCs w:val="44"/>
          <w:lang w:val="en-US" w:eastAsia="zh-CN" w:bidi="ar-SA"/>
        </w:rPr>
        <w:t>第四部分 附件</w:t>
      </w:r>
      <w:r>
        <w:tab/>
      </w:r>
      <w:r>
        <w:rPr>
          <w:rFonts w:hint="eastAsia"/>
          <w:lang w:val="en-US" w:eastAsia="zh-CN"/>
        </w:rPr>
        <w:t>21</w:t>
      </w:r>
    </w:p>
    <w:p>
      <w:pPr>
        <w:pStyle w:val="39"/>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黑体" w:hAnsi="Times New Roman" w:eastAsia="黑体" w:cs="黑体"/>
          <w:szCs w:val="32"/>
        </w:rPr>
        <w:t>附件</w:t>
      </w:r>
      <w:r>
        <w:rPr>
          <w:rFonts w:hint="eastAsia" w:ascii="黑体" w:hAnsi="Times New Roman" w:eastAsia="黑体" w:cs="黑体"/>
          <w:szCs w:val="32"/>
          <w:lang w:val="en-US" w:eastAsia="zh-CN"/>
        </w:rPr>
        <w:t>1</w:t>
      </w:r>
      <w:r>
        <w:tab/>
      </w:r>
      <w:r>
        <w:rPr>
          <w:rFonts w:hint="eastAsia"/>
          <w:lang w:val="en-US" w:eastAsia="zh-CN"/>
        </w:rPr>
        <w:t>21</w:t>
      </w:r>
    </w:p>
    <w:p>
      <w:pPr>
        <w:pStyle w:val="39"/>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rPr>
          <w:rFonts w:hint="eastAsia" w:ascii="仿宋" w:hAnsi="Times New Roman" w:eastAsia="仿宋" w:cs="Times New Roman"/>
          <w:sz w:val="20"/>
          <w:szCs w:val="32"/>
        </w:rPr>
        <w:t>2022年</w:t>
      </w:r>
      <w:r>
        <w:rPr>
          <w:rFonts w:hint="eastAsia" w:ascii="仿宋" w:hAnsi="Times New Roman" w:eastAsia="仿宋" w:cs="Times New Roman"/>
          <w:sz w:val="20"/>
          <w:szCs w:val="32"/>
          <w:lang w:val="en-US" w:eastAsia="zh-CN"/>
        </w:rPr>
        <w:t>茂县公共就业和人才交流服务局</w:t>
      </w:r>
      <w:r>
        <w:rPr>
          <w:rFonts w:hint="eastAsia" w:ascii="仿宋" w:hAnsi="Times New Roman" w:eastAsia="仿宋" w:cs="Times New Roman"/>
          <w:sz w:val="20"/>
          <w:szCs w:val="32"/>
        </w:rPr>
        <w:t>部门整体绩效评价报告</w:t>
      </w:r>
      <w:r>
        <w:tab/>
      </w:r>
      <w:r>
        <w:rPr>
          <w:rFonts w:hint="eastAsia"/>
          <w:lang w:val="en-US" w:eastAsia="zh-CN"/>
        </w:rPr>
        <w:t>21</w:t>
      </w:r>
    </w:p>
    <w:p>
      <w:pPr>
        <w:pStyle w:val="39"/>
        <w:pageBreakBefore w:val="0"/>
        <w:tabs>
          <w:tab w:val="right" w:leader="dot" w:pos="8306"/>
        </w:tabs>
        <w:kinsoku/>
        <w:wordWrap/>
        <w:overflowPunct/>
        <w:topLinePunct w:val="0"/>
        <w:bidi w:val="0"/>
        <w:spacing w:line="576" w:lineRule="exact"/>
        <w:textAlignment w:val="auto"/>
      </w:pPr>
      <w:r>
        <w:rPr>
          <w:rFonts w:hint="eastAsia" w:ascii="黑体" w:hAnsi="Times New Roman" w:eastAsia="黑体" w:cs="Times New Roman"/>
          <w:szCs w:val="44"/>
        </w:rPr>
        <w:t>第五部分 附表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一、收入支出决算总表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二、收入决算表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三、支出决算表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四、财政拨款收入支出决算总表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五、财政拨款支出决算明细表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六、一般公共预算财政拨款支出决算表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七、一般公共预算财政拨款支出决算明细表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八、一般公共预算财政拨款基本支出决算表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九、一般公共预算财政拨款项目支出决算表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十、政府性基金预算财政拨款收入支出决算表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十一、国有资本经营预算财政拨款收入支出决算表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十二、国有资本经营预算财政拨款支出决算表</w:t>
      </w:r>
      <w:r>
        <w:tab/>
      </w:r>
      <w:r>
        <w:t>2</w:t>
      </w:r>
      <w:r>
        <w:rPr>
          <w:rFonts w:hint="eastAsia"/>
          <w:lang w:val="en-US" w:eastAsia="zh-CN"/>
        </w:rPr>
        <w:t>7</w:t>
      </w:r>
    </w:p>
    <w:p>
      <w:pPr>
        <w:pStyle w:val="40"/>
        <w:pageBreakBefore w:val="0"/>
        <w:tabs>
          <w:tab w:val="right" w:leader="dot" w:pos="8306"/>
        </w:tabs>
        <w:kinsoku/>
        <w:wordWrap/>
        <w:overflowPunct/>
        <w:topLinePunct w:val="0"/>
        <w:bidi w:val="0"/>
        <w:spacing w:line="576" w:lineRule="exact"/>
        <w:textAlignment w:val="auto"/>
      </w:pPr>
      <w:r>
        <w:rPr>
          <w:rFonts w:hint="eastAsia" w:ascii="仿宋" w:hAnsi="Cambria" w:eastAsia="仿宋" w:cs="Times New Roman"/>
          <w:kern w:val="2"/>
          <w:szCs w:val="32"/>
          <w:lang w:bidi="ar-SA"/>
        </w:rPr>
        <w:t>十三、财政拨款“三公”经费支出决算表</w:t>
      </w:r>
      <w:r>
        <w:tab/>
      </w:r>
      <w:r>
        <w:t>2</w:t>
      </w:r>
      <w:r>
        <w:rPr>
          <w:rFonts w:hint="eastAsia"/>
          <w:lang w:val="en-US" w:eastAsia="zh-CN"/>
        </w:rPr>
        <w:t>7</w:t>
      </w:r>
    </w:p>
    <w:p>
      <w:pPr>
        <w:pageBreakBefore w:val="0"/>
        <w:kinsoku/>
        <w:wordWrap/>
        <w:overflowPunct/>
        <w:topLinePunct w:val="0"/>
        <w:bidi w:val="0"/>
        <w:spacing w:line="576" w:lineRule="exact"/>
        <w:textAlignment w:val="auto"/>
      </w:pPr>
    </w:p>
    <w:p>
      <w:pPr>
        <w:pageBreakBefore w:val="0"/>
        <w:kinsoku/>
        <w:wordWrap/>
        <w:overflowPunct/>
        <w:topLinePunct w:val="0"/>
        <w:bidi w:val="0"/>
        <w:spacing w:line="576" w:lineRule="exact"/>
        <w:textAlignment w:val="auto"/>
      </w:pPr>
    </w:p>
    <w:p>
      <w:pPr>
        <w:pStyle w:val="2"/>
        <w:keepNext/>
        <w:keepLines/>
        <w:pageBreakBefore w:val="0"/>
        <w:kinsoku/>
        <w:wordWrap/>
        <w:overflowPunct/>
        <w:topLinePunct w:val="0"/>
        <w:bidi w:val="0"/>
        <w:spacing w:before="340" w:beforeAutospacing="0" w:after="330" w:afterAutospacing="0" w:line="576" w:lineRule="exact"/>
        <w:jc w:val="center"/>
        <w:textAlignment w:val="auto"/>
        <w:outlineLvl w:val="0"/>
        <w:rPr>
          <w:rFonts w:hint="eastAsia" w:ascii="黑体" w:hAnsi="Times New Roman" w:eastAsia="黑体" w:cs="Times New Roman"/>
          <w:b w:val="0"/>
          <w:sz w:val="44"/>
          <w:szCs w:val="44"/>
          <w:lang w:bidi="ar-SA"/>
        </w:rPr>
      </w:pPr>
      <w:bookmarkStart w:id="1" w:name="_Toc111208495"/>
      <w:bookmarkStart w:id="2" w:name="_Toc28280"/>
      <w:r>
        <w:rPr>
          <w:rFonts w:hint="eastAsia" w:ascii="黑体" w:hAnsi="Times New Roman" w:eastAsia="黑体" w:cs="Times New Roman"/>
          <w:b w:val="0"/>
          <w:sz w:val="44"/>
          <w:szCs w:val="44"/>
          <w:lang w:bidi="ar-SA"/>
        </w:rPr>
        <w:t>第一部分 部门概况</w:t>
      </w:r>
      <w:bookmarkEnd w:id="0"/>
      <w:bookmarkEnd w:id="1"/>
      <w:bookmarkEnd w:id="2"/>
    </w:p>
    <w:p>
      <w:pPr>
        <w:pStyle w:val="3"/>
        <w:rPr>
          <w:rFonts w:hint="eastAsia" w:ascii="黑体" w:hAnsi="Cambria" w:eastAsia="黑体" w:cs="Times New Roman"/>
          <w:b w:val="0"/>
          <w:bCs w:val="0"/>
          <w:kern w:val="2"/>
          <w:szCs w:val="32"/>
          <w:lang w:bidi="ar-SA"/>
        </w:rPr>
      </w:pPr>
      <w:bookmarkStart w:id="3" w:name="_Toc15378445"/>
      <w:bookmarkStart w:id="4" w:name="_Toc15377198"/>
      <w:r>
        <w:rPr>
          <w:rFonts w:hint="eastAsia" w:ascii="黑体" w:hAnsi="Cambria" w:eastAsia="黑体" w:cs="Times New Roman"/>
          <w:b w:val="0"/>
          <w:bCs w:val="0"/>
          <w:kern w:val="2"/>
          <w:szCs w:val="32"/>
          <w:lang w:bidi="ar-SA"/>
        </w:rPr>
        <w:t>一、基本职能及主要工作</w:t>
      </w:r>
    </w:p>
    <w:p>
      <w:pPr>
        <w:pStyle w:val="3"/>
        <w:ind w:firstLine="643" w:firstLineChars="200"/>
        <w:rPr>
          <w:rFonts w:ascii="黑体" w:eastAsia="黑体" w:cs="Times New Roman"/>
          <w:bCs w:val="0"/>
          <w:color w:val="000000"/>
        </w:rPr>
      </w:pPr>
      <w:r>
        <w:rPr>
          <w:rFonts w:hint="eastAsia" w:ascii="仿宋" w:eastAsia="仿宋"/>
          <w:bCs/>
          <w:szCs w:val="32"/>
        </w:rPr>
        <w:t>（一）主要职能</w:t>
      </w:r>
    </w:p>
    <w:bookmarkEnd w:id="3"/>
    <w:bookmarkEnd w:id="4"/>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1.负责宣传和贯彻落实国家就业创业和失业保险有关的方针政策和法律法规。</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2.组织实施全县城乡就业创业工作，负责城乡就业创业工作目标管理及考核，为城乡劳动者提供就业创业服务。加强对就业困难人员、“零就业家庭”成员等群体的就业援助工作， 促进有劳动能力、有就业愿望的所有劳动者实现充分就业。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3.按规定使用就业专项资金和失业保险基金承担失业保险政策宣传及失业保险基金的管理、失业保险待遇的审核、发放及有关经办服务工作。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4.建立农村劳动力资源数据库，为城乡劳动者提供就业政策法规咨询，发布职业供求信息以及职业培训信息，办理求职登记，就业登记、失业登记等事务，开展职业指导和职业介绍，组织实施劳务转移。</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5.负责拟定全县就业创业培训和品牌培训工作发展规划和年度计划；负责牵头组织各类就业培训和管理；统一管理培训资金；承担职业能力建设相关业务经办工作。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6.以创业带动就业，全面落实小额担保贷款贴息、社保补贴等扶持政策，促使各类失业人员通过从事个体经营、自谋职业、灵活就业、创办企业带动和吸纳就业。 </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7.做好未就业高校毕业生参加就业见习和自主创业工作，落实好高校毕业生创业补贴政策。</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8.大力开发公益性岗位，落实岗位补贴及社保补贴。</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9.承担全县就业培训、创业指导、失业保险、农村劳动力转移、劳服企业经营情况等各方面统计数据的汇总、分析和统计工作。</w:t>
      </w:r>
      <w:bookmarkStart w:id="5" w:name="_Toc15377200"/>
    </w:p>
    <w:p>
      <w:pPr>
        <w:spacing w:line="576" w:lineRule="exact"/>
        <w:ind w:firstLine="643" w:firstLineChars="200"/>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（二）2022年重点工作完成情况</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认真贯彻落实就业创业各项政策，通过实施“春风行动”“公共就业服务进校园”、开展线上、线下招聘会、转发、张贴及发放相关宣传资料等方式，推荐360家企业11200个岗位。积极开展各类创业就业培训，启动“羌山果匠”，培育“一县一品”，打造就业“金字招牌”。2022年全县城镇新增就业880人、城镇失业人员再就业75人、就业困难人员再就业10人、劳务品牌培训300人、均完成目标任务100%；城镇登记失业率3.74%，控制在3.9%以内；全县青年见习86人，完成目标任务245.14%；全县劳务转移20552人次，完成年度目标102.1%；实现劳务收入6.0亿元，完成年度目标任务5.95亿元的100.8%；申请返乡创业担保贷款265万元，完成目标任务101.92%。</w:t>
      </w:r>
      <w:r>
        <w:rPr>
          <w:rFonts w:hint="eastAsia" w:ascii="仿宋_GB2312" w:hAnsi="仿宋_GB2312" w:eastAsia="仿宋_GB2312" w:cs="仿宋_GB2312"/>
          <w:color w:val="000000"/>
          <w:sz w:val="32"/>
          <w:szCs w:val="32"/>
          <w:lang w:val="zh-CN"/>
        </w:rPr>
        <w:t>全年实现</w:t>
      </w:r>
      <w:r>
        <w:rPr>
          <w:rFonts w:hint="eastAsia" w:ascii="仿宋_GB2312" w:hAnsi="仿宋_GB2312" w:eastAsia="仿宋_GB2312" w:cs="仿宋_GB2312"/>
          <w:color w:val="000000"/>
          <w:sz w:val="32"/>
          <w:szCs w:val="32"/>
        </w:rPr>
        <w:t>脱贫劳动力转移就业3518人，建立茂县来料加工车间，形成“1+N”来料加工模式，吸纳劳动力50余人。</w:t>
      </w:r>
    </w:p>
    <w:p>
      <w:pPr>
        <w:ind w:firstLine="640" w:firstLineChars="200"/>
        <w:rPr>
          <w:rFonts w:ascii="仿宋" w:hAnsi="仿宋" w:eastAsia="仿宋"/>
          <w:color w:val="000000"/>
          <w:sz w:val="32"/>
          <w:szCs w:val="32"/>
        </w:rPr>
      </w:pPr>
    </w:p>
    <w:p>
      <w:pPr>
        <w:pStyle w:val="3"/>
        <w:ind w:firstLine="640" w:firstLineChars="200"/>
        <w:rPr>
          <w:rFonts w:ascii="黑体" w:eastAsia="黑体" w:cs="Times New Roman"/>
          <w:b w:val="0"/>
          <w:bCs/>
          <w:color w:val="000000"/>
        </w:rPr>
      </w:pPr>
      <w:bookmarkStart w:id="6" w:name="_Toc7982"/>
      <w:bookmarkStart w:id="7" w:name="_Toc111208497"/>
      <w:r>
        <w:rPr>
          <w:rFonts w:hint="eastAsia" w:ascii="黑体" w:eastAsia="黑体" w:cs="Times New Roman"/>
          <w:b w:val="0"/>
          <w:bCs/>
          <w:color w:val="000000"/>
        </w:rPr>
        <w:t>二、机构设置</w:t>
      </w:r>
      <w:bookmarkEnd w:id="5"/>
      <w:bookmarkEnd w:id="6"/>
      <w:bookmarkEnd w:id="7"/>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茂县公共就业和人才交流服务局下属二级单位0个，其中行政单位0个，参照公务员法管理的事业单位0个，其他事业单位0个。</w:t>
      </w:r>
    </w:p>
    <w:p>
      <w:pPr>
        <w:widowControl/>
        <w:jc w:val="left"/>
        <w:rPr>
          <w:rFonts w:ascii="仿宋_GB2312" w:hAnsi="黑体" w:eastAsia="仿宋_GB2312"/>
          <w:b/>
          <w:bCs/>
          <w:color w:val="000000"/>
          <w:kern w:val="44"/>
          <w:sz w:val="44"/>
          <w:szCs w:val="44"/>
        </w:rPr>
      </w:pPr>
      <w:bookmarkStart w:id="8" w:name="_Toc15377204"/>
      <w:r>
        <w:rPr>
          <w:rFonts w:ascii="仿宋_GB2312" w:hAnsi="黑体" w:eastAsia="仿宋_GB2312"/>
          <w:color w:val="000000"/>
        </w:rPr>
        <w:br w:type="page"/>
      </w:r>
    </w:p>
    <w:p>
      <w:pPr>
        <w:pStyle w:val="2"/>
        <w:keepNext/>
        <w:keepLines/>
        <w:pageBreakBefore w:val="0"/>
        <w:kinsoku/>
        <w:wordWrap/>
        <w:overflowPunct/>
        <w:topLinePunct w:val="0"/>
        <w:bidi w:val="0"/>
        <w:spacing w:before="340" w:beforeAutospacing="0" w:after="330" w:afterAutospacing="0" w:line="576" w:lineRule="exact"/>
        <w:jc w:val="center"/>
        <w:textAlignment w:val="auto"/>
        <w:outlineLvl w:val="0"/>
        <w:rPr>
          <w:rFonts w:hint="eastAsia" w:ascii="黑体" w:hAnsi="Times New Roman" w:eastAsia="黑体" w:cs="Times New Roman"/>
          <w:b w:val="0"/>
          <w:sz w:val="44"/>
          <w:szCs w:val="44"/>
          <w:lang w:bidi="ar-SA"/>
        </w:rPr>
      </w:pPr>
      <w:bookmarkStart w:id="9" w:name="_Toc3119"/>
      <w:bookmarkStart w:id="10" w:name="_Toc111208498"/>
      <w:r>
        <w:rPr>
          <w:rFonts w:hint="eastAsia" w:ascii="黑体" w:hAnsi="Times New Roman" w:eastAsia="黑体" w:cs="Times New Roman"/>
          <w:b w:val="0"/>
          <w:sz w:val="44"/>
          <w:szCs w:val="44"/>
          <w:lang w:bidi="ar-SA"/>
        </w:rPr>
        <w:t>第二部分 2022年度部门决算情况说明</w:t>
      </w:r>
      <w:bookmarkEnd w:id="8"/>
      <w:bookmarkEnd w:id="9"/>
      <w:bookmarkEnd w:id="10"/>
    </w:p>
    <w:p>
      <w:pPr>
        <w:pStyle w:val="3"/>
        <w:ind w:firstLine="640" w:firstLineChars="200"/>
        <w:rPr>
          <w:rFonts w:hint="eastAsia" w:ascii="黑体" w:eastAsia="黑体" w:cs="Times New Roman"/>
          <w:b w:val="0"/>
          <w:bCs/>
          <w:color w:val="000000"/>
        </w:rPr>
      </w:pPr>
      <w:bookmarkStart w:id="11" w:name="_Toc15377205"/>
      <w:bookmarkStart w:id="12" w:name="_Toc111208499"/>
      <w:bookmarkStart w:id="13" w:name="_Toc21486"/>
      <w:r>
        <w:rPr>
          <w:rFonts w:hint="eastAsia" w:ascii="黑体" w:eastAsia="黑体" w:cs="Times New Roman"/>
          <w:b w:val="0"/>
          <w:bCs/>
          <w:color w:val="000000"/>
        </w:rPr>
        <w:t>一、收入支出决算总体情况说</w:t>
      </w:r>
      <w:bookmarkEnd w:id="11"/>
      <w:r>
        <w:rPr>
          <w:rFonts w:hint="eastAsia" w:ascii="黑体" w:eastAsia="黑体" w:cs="Times New Roman"/>
          <w:b w:val="0"/>
          <w:bCs/>
          <w:color w:val="000000"/>
        </w:rPr>
        <w:t>明</w:t>
      </w:r>
      <w:bookmarkEnd w:id="12"/>
      <w:bookmarkEnd w:id="13"/>
    </w:p>
    <w:p>
      <w:pPr>
        <w:pStyle w:val="3"/>
        <w:ind w:firstLine="640" w:firstLineChars="200"/>
        <w:rPr>
          <w:rFonts w:hint="eastAsia" w:ascii="仿宋_GB2312" w:hAnsi="仿宋_GB2312" w:eastAsia="仿宋_GB2312" w:cs="仿宋_GB2312"/>
          <w:b w:val="0"/>
          <w:bCs w:val="0"/>
          <w:color w:val="000000"/>
          <w:kern w:val="2"/>
          <w:sz w:val="32"/>
          <w:szCs w:val="32"/>
          <w:lang w:val="en-US" w:eastAsia="zh-CN" w:bidi="ar-SA"/>
        </w:rPr>
      </w:pPr>
      <w:r>
        <w:rPr>
          <w:rFonts w:hint="eastAsia" w:ascii="仿宋_GB2312" w:hAnsi="仿宋_GB2312" w:eastAsia="仿宋_GB2312" w:cs="仿宋_GB2312"/>
          <w:b w:val="0"/>
          <w:bCs w:val="0"/>
          <w:color w:val="000000"/>
          <w:kern w:val="2"/>
          <w:sz w:val="32"/>
          <w:szCs w:val="32"/>
          <w:lang w:val="en-US" w:eastAsia="zh-CN" w:bidi="ar-SA"/>
        </w:rPr>
        <w:t>2022年度收、支总计1631.19万元。与2021年相比，收、支总计各增加1209.22万元，增加286.57 %。主要变动原因是本年新增就业创业资金。</w:t>
      </w:r>
    </w:p>
    <w:p>
      <w:pPr>
        <w:spacing w:line="576" w:lineRule="exact"/>
        <w:ind w:firstLine="1920" w:firstLineChars="600"/>
        <w:rPr>
          <w:rFonts w:ascii="仿宋_GB2312" w:eastAsia="仿宋_GB2312"/>
          <w:color w:val="000000"/>
          <w:sz w:val="28"/>
          <w:szCs w:val="28"/>
        </w:rPr>
      </w:pPr>
      <w:r>
        <w:rPr>
          <w:rFonts w:hint="eastAsia" w:ascii="仿宋_GB2312" w:hAnsi="仿宋_GB2312" w:eastAsia="仿宋_GB2312" w:cs="仿宋_GB2312"/>
          <w:color w:val="000000"/>
          <w:sz w:val="32"/>
          <w:szCs w:val="32"/>
        </w:rPr>
        <w:t>（图1：收、支决算总计变动情况图）</w:t>
      </w:r>
      <w:bookmarkStart w:id="61" w:name="_GoBack"/>
      <w:bookmarkEnd w:id="61"/>
    </w:p>
    <w:p>
      <w:pPr>
        <w:pStyle w:val="5"/>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ind w:firstLine="640" w:firstLineChars="200"/>
        <w:rPr>
          <w:rFonts w:ascii="黑体" w:eastAsia="黑体" w:cs="Times New Roman"/>
          <w:b w:val="0"/>
          <w:bCs/>
          <w:color w:val="000000"/>
        </w:rPr>
      </w:pPr>
      <w:bookmarkStart w:id="14" w:name="_Toc15377206"/>
      <w:bookmarkStart w:id="15" w:name="_Toc24609"/>
      <w:bookmarkStart w:id="16" w:name="_Toc111208500"/>
      <w:r>
        <w:rPr>
          <w:rFonts w:hint="eastAsia" w:ascii="黑体" w:eastAsia="黑体" w:cs="Times New Roman"/>
          <w:b w:val="0"/>
          <w:bCs/>
          <w:color w:val="000000"/>
        </w:rPr>
        <w:t>二、收入决算情况说明</w:t>
      </w:r>
      <w:bookmarkEnd w:id="14"/>
      <w:bookmarkEnd w:id="15"/>
      <w:bookmarkEnd w:id="16"/>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2022年本年收入合计1631.19万元，其中：一般公共预算财政拨款收入1631.19万元，占10</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%；政府性基金预算财政拨款收入0万元；国有资本经营预算财政拨款收入0万元；上级补助收入0万元；事业收入0万元；经营收入0万元；附属单位上缴收入0万元；其他收入0万元。</w:t>
      </w:r>
    </w:p>
    <w:p>
      <w:pPr>
        <w:spacing w:line="576" w:lineRule="exact"/>
        <w:ind w:firstLine="2560" w:firstLineChars="8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ind w:firstLine="640" w:firstLineChars="200"/>
        <w:rPr>
          <w:rFonts w:ascii="黑体" w:eastAsia="黑体" w:cs="Times New Roman"/>
          <w:b w:val="0"/>
          <w:bCs/>
          <w:color w:val="000000"/>
        </w:rPr>
      </w:pPr>
      <w:bookmarkStart w:id="17" w:name="_Toc111208501"/>
      <w:bookmarkStart w:id="18" w:name="_Toc8745"/>
      <w:bookmarkStart w:id="19" w:name="_Toc15377207"/>
      <w:r>
        <w:rPr>
          <w:rFonts w:hint="eastAsia" w:ascii="黑体" w:eastAsia="黑体" w:cs="Times New Roman"/>
          <w:b w:val="0"/>
          <w:bCs/>
          <w:color w:val="000000"/>
        </w:rPr>
        <w:t>三、支出决算情况说明</w:t>
      </w:r>
      <w:bookmarkEnd w:id="17"/>
      <w:bookmarkEnd w:id="18"/>
      <w:bookmarkEnd w:id="19"/>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2022年本年支出合计1631.19万元，其中：基本支出206.20万元，占12.64%；项目支出1425.00万元，占87.36%；上缴上级支出0万元；经营支出0万元；对附属单位补助支出0万元。</w:t>
      </w:r>
    </w:p>
    <w:p>
      <w:pPr>
        <w:spacing w:line="576" w:lineRule="exact"/>
        <w:ind w:firstLine="2240" w:firstLineChars="7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5"/>
      </w:pPr>
    </w:p>
    <w:p>
      <w:pPr>
        <w:pStyle w:val="3"/>
        <w:ind w:firstLine="640" w:firstLineChars="200"/>
        <w:rPr>
          <w:rFonts w:ascii="黑体" w:eastAsia="黑体" w:cs="Times New Roman"/>
          <w:b w:val="0"/>
          <w:bCs/>
          <w:color w:val="000000"/>
        </w:rPr>
      </w:pPr>
      <w:bookmarkStart w:id="20" w:name="_Toc15377208"/>
      <w:bookmarkStart w:id="21" w:name="_Toc13661"/>
      <w:bookmarkStart w:id="22" w:name="_Toc111208502"/>
      <w:r>
        <w:rPr>
          <w:rFonts w:hint="eastAsia" w:ascii="黑体" w:eastAsia="黑体" w:cs="Times New Roman"/>
          <w:b w:val="0"/>
          <w:bCs/>
          <w:color w:val="000000"/>
        </w:rPr>
        <w:t>四、财政拨款收入支出决算总体情况说明</w:t>
      </w:r>
      <w:bookmarkEnd w:id="20"/>
      <w:bookmarkEnd w:id="21"/>
      <w:bookmarkEnd w:id="22"/>
    </w:p>
    <w:p>
      <w:pPr>
        <w:spacing w:line="576"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2022年财政拨款收、支总计1631.19万元。与2021年相比，财政拨款收、支总计各增加1209.22万元，增加286.57%。主要变动原因是本年新增就业创业资金</w:t>
      </w:r>
      <w:r>
        <w:rPr>
          <w:rFonts w:hint="eastAsia" w:ascii="仿宋_GB2312" w:hAnsi="仿宋_GB2312" w:eastAsia="仿宋_GB2312" w:cs="仿宋_GB2312"/>
          <w:color w:val="000000"/>
          <w:sz w:val="32"/>
          <w:szCs w:val="32"/>
          <w:lang w:eastAsia="zh-CN"/>
        </w:rPr>
        <w:t>。</w:t>
      </w:r>
    </w:p>
    <w:p>
      <w:pPr>
        <w:spacing w:line="576" w:lineRule="exact"/>
        <w:ind w:firstLine="960" w:firstLineChars="3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（图4：财政拨款收、支决算总计变动情况）</w:t>
      </w:r>
    </w:p>
    <w:p>
      <w:pPr>
        <w:pStyle w:val="5"/>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5"/>
        <w:jc w:val="center"/>
      </w:pPr>
    </w:p>
    <w:p>
      <w:pPr>
        <w:pStyle w:val="3"/>
        <w:ind w:firstLine="640" w:firstLineChars="200"/>
        <w:rPr>
          <w:rFonts w:ascii="黑体" w:eastAsia="黑体" w:cs="Times New Roman"/>
          <w:b w:val="0"/>
          <w:bCs/>
          <w:color w:val="000000"/>
        </w:rPr>
      </w:pPr>
      <w:bookmarkStart w:id="23" w:name="_Toc15377209"/>
      <w:bookmarkStart w:id="24" w:name="_Toc2126"/>
      <w:bookmarkStart w:id="25" w:name="_Toc111208503"/>
      <w:r>
        <w:rPr>
          <w:rFonts w:hint="eastAsia" w:ascii="黑体" w:eastAsia="黑体" w:cs="Times New Roman"/>
          <w:b w:val="0"/>
          <w:bCs/>
          <w:color w:val="000000"/>
        </w:rPr>
        <w:t>五、一般公共预算财政拨款支出决算情况说</w:t>
      </w:r>
      <w:bookmarkEnd w:id="23"/>
      <w:r>
        <w:rPr>
          <w:rFonts w:hint="eastAsia" w:ascii="黑体" w:eastAsia="黑体" w:cs="Times New Roman"/>
          <w:b w:val="0"/>
          <w:bCs/>
          <w:color w:val="000000"/>
        </w:rPr>
        <w:t>明</w:t>
      </w:r>
      <w:bookmarkEnd w:id="24"/>
      <w:bookmarkEnd w:id="25"/>
    </w:p>
    <w:p>
      <w:pPr>
        <w:spacing w:line="600" w:lineRule="exact"/>
        <w:ind w:firstLine="643" w:firstLineChars="200"/>
        <w:outlineLvl w:val="2"/>
        <w:rPr>
          <w:rFonts w:ascii="仿宋" w:hAnsi="仿宋" w:eastAsia="仿宋"/>
          <w:b/>
          <w:color w:val="000000"/>
          <w:sz w:val="32"/>
          <w:szCs w:val="32"/>
        </w:rPr>
      </w:pPr>
      <w:bookmarkStart w:id="26" w:name="_Toc15377210"/>
      <w:r>
        <w:rPr>
          <w:rFonts w:hint="eastAsia" w:ascii="仿宋" w:hAnsi="仿宋" w:eastAsia="仿宋"/>
          <w:b/>
          <w:color w:val="000000"/>
          <w:sz w:val="32"/>
          <w:szCs w:val="32"/>
        </w:rPr>
        <w:t>（一）一般公共预算财政拨款支出决算总体情况</w:t>
      </w:r>
      <w:bookmarkEnd w:id="26"/>
    </w:p>
    <w:p>
      <w:pPr>
        <w:spacing w:line="576" w:lineRule="exact"/>
        <w:ind w:firstLine="640" w:firstLineChars="200"/>
        <w:rPr>
          <w:rFonts w:hint="eastAsia" w:ascii="仿宋_GB2312" w:hAnsi="仿宋_GB2312" w:eastAsia="仿宋_GB2312" w:cs="仿宋_GB2312"/>
          <w:color w:val="000000"/>
          <w:sz w:val="32"/>
          <w:szCs w:val="32"/>
          <w:lang w:eastAsia="zh-CN"/>
        </w:rPr>
      </w:pPr>
      <w:bookmarkStart w:id="27" w:name="_Toc15377211"/>
      <w:r>
        <w:rPr>
          <w:rFonts w:hint="eastAsia" w:ascii="仿宋_GB2312" w:hAnsi="仿宋_GB2312" w:eastAsia="仿宋_GB2312" w:cs="仿宋_GB2312"/>
          <w:color w:val="000000"/>
          <w:sz w:val="32"/>
          <w:szCs w:val="32"/>
        </w:rPr>
        <w:t>2022年一般公共预算财政拨款支出1631.19万元，占本年支出合计的10</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%。与2021相比，一般公共预算财政拨款增加1209.22万元，增加286.57 %。主要变动原因是本年新增就业创业资金</w:t>
      </w:r>
      <w:r>
        <w:rPr>
          <w:rFonts w:hint="eastAsia" w:ascii="仿宋_GB2312" w:hAnsi="仿宋_GB2312" w:eastAsia="仿宋_GB2312" w:cs="仿宋_GB2312"/>
          <w:color w:val="000000"/>
          <w:sz w:val="32"/>
          <w:szCs w:val="32"/>
          <w:lang w:eastAsia="zh-CN"/>
        </w:rPr>
        <w:t>。</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（图5：一般公共预算财政拨款支出决算变动情况）</w:t>
      </w:r>
    </w:p>
    <w:p>
      <w:pPr>
        <w:pStyle w:val="5"/>
        <w:ind w:firstLine="0"/>
        <w:rPr>
          <w:rFonts w:ascii="仿宋_GB2312" w:hAnsi="仿宋" w:eastAsia="仿宋_GB2312"/>
          <w:b/>
          <w:color w:val="000000"/>
          <w:sz w:val="32"/>
          <w:szCs w:val="32"/>
        </w:rPr>
      </w:pPr>
    </w:p>
    <w:p>
      <w:pPr>
        <w:pStyle w:val="5"/>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5"/>
        <w:ind w:firstLine="0"/>
        <w:rPr>
          <w:rFonts w:ascii="仿宋_GB2312" w:hAnsi="仿宋" w:eastAsia="仿宋_GB2312"/>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27"/>
      <w:r>
        <w:rPr>
          <w:rFonts w:hint="eastAsia" w:ascii="仿宋" w:hAnsi="仿宋" w:eastAsia="仿宋"/>
          <w:b/>
          <w:color w:val="000000"/>
          <w:sz w:val="32"/>
          <w:szCs w:val="32"/>
        </w:rPr>
        <w:t>（一般公共预算收支表）</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2022年一般公共预算财政拨款支出1631.19万元，主要用于以下方面: 社会保障和就业支出1488.69万元，占91.26%；卫生健康支出8.80万元，占0.54%；农林水支出121.00万元，占7.42%；住房保障支出12.71万元，占0.78%。</w:t>
      </w:r>
    </w:p>
    <w:p>
      <w:pPr>
        <w:spacing w:line="576"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w:t>
      </w:r>
      <w:bookmarkStart w:id="28" w:name="_Toc15377212"/>
    </w:p>
    <w:p>
      <w:pPr>
        <w:pStyle w:val="5"/>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28"/>
    </w:p>
    <w:p>
      <w:pPr>
        <w:spacing w:line="576" w:lineRule="exact"/>
        <w:ind w:firstLine="640" w:firstLineChars="200"/>
        <w:rPr>
          <w:rFonts w:hint="eastAsia" w:ascii="仿宋_GB2312" w:hAnsi="仿宋_GB2312" w:eastAsia="仿宋_GB2312" w:cs="仿宋_GB2312"/>
          <w:color w:val="000000"/>
          <w:sz w:val="32"/>
          <w:szCs w:val="32"/>
        </w:rPr>
      </w:pPr>
      <w:bookmarkStart w:id="29" w:name="_Toc15377213"/>
      <w:bookmarkStart w:id="30" w:name="_Toc15378460"/>
      <w:bookmarkStart w:id="31" w:name="_Toc15377444"/>
      <w:r>
        <w:rPr>
          <w:rFonts w:hint="eastAsia" w:ascii="仿宋_GB2312" w:hAnsi="仿宋_GB2312" w:eastAsia="仿宋_GB2312" w:cs="仿宋_GB2312"/>
          <w:color w:val="000000"/>
          <w:sz w:val="32"/>
          <w:szCs w:val="32"/>
        </w:rPr>
        <w:t>2022年一般公共预算支出决算数为1631.19万</w:t>
      </w:r>
      <w:r>
        <w:rPr>
          <w:rFonts w:hint="eastAsia" w:ascii="仿宋_GB2312" w:hAnsi="仿宋_GB2312" w:eastAsia="仿宋_GB2312" w:cs="仿宋_GB2312"/>
          <w:color w:val="000000"/>
          <w:sz w:val="32"/>
          <w:szCs w:val="32"/>
          <w:lang w:val="en-US" w:eastAsia="zh-CN"/>
        </w:rPr>
        <w:t>元</w:t>
      </w:r>
      <w:r>
        <w:rPr>
          <w:rFonts w:hint="eastAsia" w:ascii="仿宋_GB2312" w:hAnsi="仿宋_GB2312" w:eastAsia="仿宋_GB2312" w:cs="仿宋_GB2312"/>
          <w:color w:val="000000"/>
          <w:sz w:val="32"/>
          <w:szCs w:val="32"/>
        </w:rPr>
        <w:t>，完成预算100%。其中：</w:t>
      </w:r>
      <w:bookmarkEnd w:id="29"/>
      <w:bookmarkEnd w:id="30"/>
      <w:bookmarkEnd w:id="31"/>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社会保障和就业支出（208）人力资源和社会保障管理事务（20801）行政运行（2080101）支出决算162.59万元，完成预算100%。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2.社会保障和就业支出（208）行政事业单位养老支出（20805）机关事业单位基本养老保险缴费支出（2080505）支出决算14.73万元，完成预算100%。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3.社会保障和就业支出（208）行政事业单位养老支出（20805）机关事业单位职业年金缴费支出（2080506）支出决算7.37万元，完成预算100%。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4.社会保障和就业支出（208）就业补助（20807）其他就业补助支出（2080799）支出决算1304.00万元，完成预算100%。</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5.卫生健康支出（210）行政事业单位医疗（21011）行政单位医疗（2101101）支出决算8.80万元，完成预算100%。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6.农林水支出（213）巩固脱贫衔接乡村振兴（21305）其他巩固脱贫衔接乡村振兴支出（2130599）支出决算115.00万元，完成预算100%。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7.农林水支出（213）普惠金融发展支出（21308）创业担保贷款贴息及奖补（2130804）支出决算6.00万元，完成预算100%。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8.住房保障支出（221）住房改革支出（22102）住房公积金（2210201）支出决算12.71万元，完成预算100%。</w:t>
      </w:r>
    </w:p>
    <w:p>
      <w:pPr>
        <w:pStyle w:val="3"/>
        <w:ind w:firstLine="640" w:firstLineChars="200"/>
        <w:rPr>
          <w:rFonts w:ascii="黑体" w:eastAsia="黑体" w:cs="Times New Roman"/>
          <w:b w:val="0"/>
          <w:bCs/>
          <w:color w:val="000000"/>
        </w:rPr>
      </w:pPr>
      <w:bookmarkStart w:id="32" w:name="_Toc15377214"/>
      <w:bookmarkStart w:id="33" w:name="_Toc24703"/>
      <w:bookmarkStart w:id="34" w:name="_Toc111208504"/>
      <w:r>
        <w:rPr>
          <w:rFonts w:hint="eastAsia" w:ascii="黑体" w:eastAsia="黑体" w:cs="Times New Roman"/>
          <w:b w:val="0"/>
          <w:bCs/>
          <w:color w:val="000000"/>
        </w:rPr>
        <w:t>六、一般公共预算财政拨款基本支出决算情况说</w:t>
      </w:r>
      <w:bookmarkEnd w:id="32"/>
      <w:r>
        <w:rPr>
          <w:rFonts w:hint="eastAsia" w:ascii="黑体" w:eastAsia="黑体" w:cs="Times New Roman"/>
          <w:b w:val="0"/>
          <w:bCs/>
          <w:color w:val="000000"/>
        </w:rPr>
        <w:t>明</w:t>
      </w:r>
      <w:bookmarkEnd w:id="33"/>
      <w:bookmarkEnd w:id="34"/>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2022年一般公共预算财政拨款基本支出206.20万元，其中：</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174.58万元，主要包括：基本工资40.08万元、津贴补贴37.27万元、奖金47.14万元、机关事业单位基本养老保险缴费14.73万元、职业年金缴费7.37万元、职工基本医疗保险缴费8.80万元、其他社会保障缴费3.54万元、住房公积金12.71万元、医疗费0.78万元、生活补助2.16万元。</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公用经费31.62万元，主要包括：办公费2.01万元、邮电费0.12万元、差旅费2.21万元、公务用车运行维护费2.61万元。</w:t>
      </w:r>
    </w:p>
    <w:p>
      <w:pPr>
        <w:pStyle w:val="3"/>
        <w:ind w:firstLine="640" w:firstLineChars="200"/>
        <w:rPr>
          <w:rFonts w:ascii="黑体" w:eastAsia="黑体" w:cs="Times New Roman"/>
          <w:b w:val="0"/>
          <w:bCs/>
          <w:color w:val="000000"/>
        </w:rPr>
      </w:pPr>
      <w:bookmarkStart w:id="35" w:name="_Toc15377215"/>
      <w:bookmarkStart w:id="36" w:name="_Toc16585"/>
      <w:bookmarkStart w:id="37" w:name="_Toc111208505"/>
      <w:r>
        <w:rPr>
          <w:rFonts w:hint="eastAsia" w:ascii="黑体" w:eastAsia="黑体" w:cs="Times New Roman"/>
          <w:b w:val="0"/>
          <w:bCs/>
          <w:color w:val="000000"/>
        </w:rPr>
        <w:t>七、“三公”经费财政拨款支出决算情况说明</w:t>
      </w:r>
      <w:bookmarkEnd w:id="35"/>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6"/>
      <w:r>
        <w:rPr>
          <w:rFonts w:hint="eastAsia" w:ascii="仿宋" w:hAnsi="仿宋" w:eastAsia="仿宋"/>
          <w:b/>
          <w:color w:val="000000"/>
          <w:sz w:val="32"/>
          <w:szCs w:val="32"/>
        </w:rPr>
        <w:t>（一）“三公”经费财政拨款支出决算总体情况说明</w:t>
      </w:r>
      <w:bookmarkEnd w:id="38"/>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2022年“三公”经费财政拨款支出决算为27.28万元，完成预算10</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w:t>
      </w:r>
      <w:bookmarkStart w:id="39"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39"/>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2022年“三公”经费财政拨款支出27.28万</w:t>
      </w:r>
      <w:r>
        <w:rPr>
          <w:rFonts w:hint="eastAsia" w:ascii="仿宋_GB2312" w:hAnsi="仿宋_GB2312" w:eastAsia="仿宋_GB2312" w:cs="仿宋_GB2312"/>
          <w:color w:val="000000"/>
          <w:sz w:val="32"/>
          <w:szCs w:val="32"/>
          <w:lang w:val="en-US" w:eastAsia="zh-CN"/>
        </w:rPr>
        <w:t>元</w:t>
      </w:r>
      <w:r>
        <w:rPr>
          <w:rFonts w:hint="eastAsia" w:ascii="仿宋_GB2312" w:hAnsi="仿宋_GB2312" w:eastAsia="仿宋_GB2312" w:cs="仿宋_GB2312"/>
          <w:color w:val="000000"/>
          <w:sz w:val="32"/>
          <w:szCs w:val="32"/>
        </w:rPr>
        <w:t>，因公出国（境）费支出决算</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万元；公务用车购置及运行维护费支出决算27.28万元，占10</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万元。具体情况如下：</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w:t>
      </w:r>
    </w:p>
    <w:p>
      <w:pPr>
        <w:pStyle w:val="5"/>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1.因公出国（境）经费支出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万元。全年安排因公出国（境）团组0次，出国（境）0人。因公出国（境）支出决算比2021年增加</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 xml:space="preserve">万元。 </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2.公务用车购置及运行维护费支出27.28万元,完成预算10</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%。公务用车购置及运行维护费支出决算比2021年增加25.31万元，增加128</w:t>
      </w:r>
      <w:r>
        <w:rPr>
          <w:rFonts w:hint="eastAsia" w:ascii="仿宋_GB2312" w:hAnsi="仿宋_GB2312" w:eastAsia="仿宋_GB2312" w:cs="仿宋_GB2312"/>
          <w:color w:val="000000"/>
          <w:sz w:val="32"/>
          <w:szCs w:val="32"/>
          <w:lang w:val="en-US" w:eastAsia="zh-CN"/>
        </w:rPr>
        <w:t>4.77</w:t>
      </w:r>
      <w:r>
        <w:rPr>
          <w:rFonts w:hint="eastAsia" w:ascii="仿宋_GB2312" w:hAnsi="仿宋_GB2312" w:eastAsia="仿宋_GB2312" w:cs="仿宋_GB2312"/>
          <w:color w:val="000000"/>
          <w:sz w:val="32"/>
          <w:szCs w:val="32"/>
        </w:rPr>
        <w:t xml:space="preserve">%。主要原因是本年购置公务用车。 </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其中：公务用车购置支出24.67万元。全年按规定更新购置公务用车1辆，其中：轿车0辆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金额</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万元，越野车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金额24</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67万元，载客汽车0辆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金额</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万元。截至202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年12月底，单位共有公务用车1辆，其中：轿车0辆、越野车1辆、载客汽车0辆。</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公务用车运行维护费支出24.67万元。主要用于本年购置公务用车。 </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3.公务接待费支出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万元。公务接待费支出决算比2021年增加</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w:t>
      </w:r>
      <w:bookmarkStart w:id="40" w:name="_Toc15377218"/>
      <w:r>
        <w:rPr>
          <w:rFonts w:hint="eastAsia" w:ascii="仿宋_GB2312" w:hAnsi="仿宋_GB2312" w:eastAsia="仿宋_GB2312" w:cs="仿宋_GB2312"/>
          <w:color w:val="000000"/>
          <w:sz w:val="32"/>
          <w:szCs w:val="32"/>
        </w:rPr>
        <w:t xml:space="preserve"> </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国内公务接待支出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万元。国内公务接待0批次，0人次（不包括陪同人员），共计支出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外事接待支出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万元，外事接待0批次，0人，共计支出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w:t>
      </w:r>
    </w:p>
    <w:p>
      <w:pPr>
        <w:pStyle w:val="3"/>
        <w:ind w:firstLine="640" w:firstLineChars="200"/>
        <w:rPr>
          <w:rFonts w:ascii="黑体" w:eastAsia="黑体" w:cs="Times New Roman"/>
          <w:b w:val="0"/>
          <w:bCs/>
          <w:color w:val="000000"/>
        </w:rPr>
      </w:pPr>
      <w:bookmarkStart w:id="41" w:name="_Toc111208506"/>
      <w:bookmarkStart w:id="42" w:name="_Toc4484"/>
      <w:r>
        <w:rPr>
          <w:rFonts w:hint="eastAsia" w:ascii="黑体" w:eastAsia="黑体" w:cs="Times New Roman"/>
          <w:b w:val="0"/>
          <w:bCs/>
          <w:color w:val="000000"/>
        </w:rPr>
        <w:t>八、政府性基金预算支出决算情况说明</w:t>
      </w:r>
      <w:bookmarkEnd w:id="40"/>
      <w:bookmarkEnd w:id="41"/>
      <w:bookmarkEnd w:id="42"/>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2022年政府性基金预算拨款支出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w:t>
      </w:r>
      <w:bookmarkStart w:id="43" w:name="_Toc15377219"/>
    </w:p>
    <w:p>
      <w:pPr>
        <w:pStyle w:val="3"/>
        <w:ind w:firstLine="640" w:firstLineChars="200"/>
        <w:rPr>
          <w:rFonts w:ascii="黑体" w:eastAsia="黑体" w:cs="Times New Roman"/>
          <w:b w:val="0"/>
          <w:bCs/>
          <w:color w:val="000000"/>
        </w:rPr>
      </w:pPr>
      <w:bookmarkStart w:id="44" w:name="_Toc1532"/>
      <w:bookmarkStart w:id="45" w:name="_Toc111208507"/>
      <w:r>
        <w:rPr>
          <w:rFonts w:hint="eastAsia" w:ascii="黑体" w:eastAsia="黑体" w:cs="Times New Roman"/>
          <w:b w:val="0"/>
          <w:bCs/>
          <w:color w:val="000000"/>
        </w:rPr>
        <w:t>九、国有资本经营预算支出决算情况说明</w:t>
      </w:r>
      <w:bookmarkEnd w:id="43"/>
      <w:bookmarkEnd w:id="44"/>
      <w:bookmarkEnd w:id="45"/>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2022年国有资本经营预算拨款支出</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w:t>
      </w:r>
    </w:p>
    <w:p>
      <w:pPr>
        <w:pStyle w:val="3"/>
        <w:ind w:firstLine="640" w:firstLineChars="200"/>
        <w:rPr>
          <w:rFonts w:ascii="黑体" w:eastAsia="黑体" w:cs="Times New Roman"/>
          <w:b w:val="0"/>
          <w:bCs/>
          <w:color w:val="000000"/>
        </w:rPr>
      </w:pPr>
      <w:bookmarkStart w:id="46" w:name="_Toc15377221"/>
      <w:bookmarkStart w:id="47" w:name="_Toc587"/>
      <w:bookmarkStart w:id="48" w:name="_Toc111208508"/>
      <w:r>
        <w:rPr>
          <w:rFonts w:hint="eastAsia" w:ascii="黑体" w:eastAsia="黑体" w:cs="Times New Roman"/>
          <w:b w:val="0"/>
          <w:bCs/>
          <w:color w:val="000000"/>
        </w:rPr>
        <w:t>十、其他重要事项的情况说明</w:t>
      </w:r>
      <w:bookmarkEnd w:id="46"/>
      <w:bookmarkEnd w:id="47"/>
      <w:bookmarkEnd w:id="48"/>
    </w:p>
    <w:p>
      <w:pPr>
        <w:spacing w:line="600" w:lineRule="exact"/>
        <w:ind w:firstLine="643" w:firstLineChars="200"/>
        <w:outlineLvl w:val="2"/>
        <w:rPr>
          <w:rFonts w:ascii="仿宋" w:hAnsi="仿宋" w:eastAsia="仿宋"/>
          <w:b/>
          <w:color w:val="000000"/>
          <w:sz w:val="32"/>
          <w:szCs w:val="32"/>
        </w:rPr>
      </w:pPr>
      <w:bookmarkStart w:id="49" w:name="_Toc15377222"/>
      <w:r>
        <w:rPr>
          <w:rFonts w:hint="eastAsia" w:ascii="仿宋" w:hAnsi="仿宋" w:eastAsia="仿宋"/>
          <w:b/>
          <w:color w:val="000000"/>
          <w:sz w:val="32"/>
          <w:szCs w:val="32"/>
        </w:rPr>
        <w:t>（一）机关运行经费支出情况</w:t>
      </w:r>
      <w:bookmarkEnd w:id="49"/>
    </w:p>
    <w:p>
      <w:pPr>
        <w:spacing w:line="600" w:lineRule="exact"/>
        <w:ind w:firstLine="640"/>
        <w:rPr>
          <w:rFonts w:ascii="仿宋" w:hAnsi="仿宋" w:eastAsia="仿宋"/>
          <w:color w:val="000000"/>
          <w:sz w:val="32"/>
          <w:szCs w:val="32"/>
        </w:rPr>
      </w:pPr>
      <w:r>
        <w:rPr>
          <w:rFonts w:hint="eastAsia" w:ascii="仿宋_GB2312" w:hAnsi="仿宋_GB2312" w:eastAsia="仿宋_GB2312" w:cs="仿宋_GB2312"/>
          <w:color w:val="000000"/>
          <w:sz w:val="32"/>
          <w:szCs w:val="32"/>
        </w:rPr>
        <w:t>2022年，机关运行经费支出31.62万元，比2021年增加22.69万元，增加254.</w:t>
      </w:r>
      <w:r>
        <w:rPr>
          <w:rFonts w:hint="eastAsia" w:ascii="仿宋_GB2312" w:hAnsi="仿宋_GB2312" w:eastAsia="仿宋_GB2312" w:cs="仿宋_GB2312"/>
          <w:color w:val="000000"/>
          <w:sz w:val="32"/>
          <w:szCs w:val="32"/>
          <w:lang w:val="en-US" w:eastAsia="zh-CN"/>
        </w:rPr>
        <w:t>09</w:t>
      </w:r>
      <w:r>
        <w:rPr>
          <w:rFonts w:hint="eastAsia" w:ascii="仿宋_GB2312" w:hAnsi="仿宋_GB2312" w:eastAsia="仿宋_GB2312" w:cs="仿宋_GB2312"/>
          <w:color w:val="000000"/>
          <w:sz w:val="32"/>
          <w:szCs w:val="32"/>
        </w:rPr>
        <w:t xml:space="preserve"> %。主要原因是人员变动。 </w:t>
      </w:r>
    </w:p>
    <w:p>
      <w:pPr>
        <w:spacing w:line="600" w:lineRule="exact"/>
        <w:ind w:firstLine="643" w:firstLineChars="200"/>
        <w:outlineLvl w:val="2"/>
        <w:rPr>
          <w:rFonts w:ascii="仿宋" w:hAnsi="仿宋" w:eastAsia="仿宋"/>
          <w:b/>
          <w:color w:val="000000"/>
          <w:sz w:val="32"/>
          <w:szCs w:val="32"/>
        </w:rPr>
      </w:pPr>
      <w:bookmarkStart w:id="50" w:name="_Toc15377223"/>
      <w:r>
        <w:rPr>
          <w:rFonts w:hint="eastAsia" w:ascii="仿宋" w:hAnsi="仿宋" w:eastAsia="仿宋"/>
          <w:b/>
          <w:color w:val="000000"/>
          <w:sz w:val="32"/>
          <w:szCs w:val="32"/>
        </w:rPr>
        <w:t>（二）政府采购支出情况</w:t>
      </w:r>
      <w:bookmarkEnd w:id="50"/>
      <w:r>
        <w:rPr>
          <w:rFonts w:hint="eastAsia" w:ascii="仿宋" w:hAnsi="仿宋" w:eastAsia="仿宋"/>
          <w:b/>
          <w:color w:val="000000"/>
          <w:sz w:val="32"/>
          <w:szCs w:val="32"/>
        </w:rPr>
        <w:t>(机构运行信息表)</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2022年，政府采购支出总额24.67万元，其中：政府采购货物支出24.67万元、政府采购工程支出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万元、政府采购服务支出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万元。授予中小企业合同金额</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万元，其中：授予小微企业合同金额</w:t>
      </w:r>
      <w:r>
        <w:rPr>
          <w:rFonts w:hint="eastAsia" w:ascii="仿宋_GB2312" w:hAnsi="仿宋_GB2312" w:eastAsia="仿宋_GB2312" w:cs="仿宋_GB2312"/>
          <w:color w:val="000000"/>
          <w:sz w:val="32"/>
          <w:szCs w:val="32"/>
          <w:lang w:eastAsia="zh-CN"/>
        </w:rPr>
        <w:t>0</w:t>
      </w:r>
      <w:r>
        <w:rPr>
          <w:rFonts w:hint="eastAsia" w:ascii="仿宋_GB2312" w:hAnsi="仿宋_GB2312" w:eastAsia="仿宋_GB2312" w:cs="仿宋_GB2312"/>
          <w:color w:val="000000"/>
          <w:sz w:val="32"/>
          <w:szCs w:val="32"/>
        </w:rPr>
        <w:t>万元。</w:t>
      </w:r>
    </w:p>
    <w:p>
      <w:pPr>
        <w:spacing w:line="600" w:lineRule="exact"/>
        <w:ind w:firstLine="643" w:firstLineChars="200"/>
        <w:outlineLvl w:val="2"/>
        <w:rPr>
          <w:rFonts w:ascii="仿宋" w:hAnsi="仿宋" w:eastAsia="仿宋"/>
          <w:b/>
          <w:color w:val="000000"/>
          <w:sz w:val="32"/>
          <w:szCs w:val="32"/>
        </w:rPr>
      </w:pPr>
      <w:bookmarkStart w:id="51" w:name="_Toc15377224"/>
      <w:r>
        <w:rPr>
          <w:rFonts w:hint="eastAsia" w:ascii="仿宋" w:hAnsi="仿宋" w:eastAsia="仿宋"/>
          <w:b/>
          <w:color w:val="000000"/>
          <w:sz w:val="32"/>
          <w:szCs w:val="32"/>
        </w:rPr>
        <w:t>（三）国有资产占有使用情况</w:t>
      </w:r>
      <w:bookmarkEnd w:id="51"/>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截至2022年12月31日，共有车辆1辆，其中：主要领导干部用车0辆、机要通信用车0辆、应急保障用车1辆、其他用车0辆。单价50万元以上通用设备0台（套），单价100万元以上专用设备—台（套）。</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2"/>
        <w:jc w:val="center"/>
        <w:rPr>
          <w:rFonts w:ascii="黑体" w:hAnsi="黑体" w:eastAsia="黑体" w:cs="黑体"/>
          <w:b w:val="0"/>
          <w:bCs w:val="0"/>
        </w:rPr>
      </w:pPr>
      <w:bookmarkStart w:id="52" w:name="_Toc5924"/>
      <w:bookmarkStart w:id="53" w:name="_Toc15377225"/>
      <w:bookmarkStart w:id="54" w:name="_Toc111208509"/>
      <w:r>
        <w:rPr>
          <w:rFonts w:hint="eastAsia" w:ascii="黑体" w:hAnsi="黑体" w:eastAsia="黑体" w:cs="黑体"/>
          <w:b w:val="0"/>
          <w:bCs w:val="0"/>
        </w:rPr>
        <w:t>第三部分 名词解释</w:t>
      </w:r>
      <w:bookmarkEnd w:id="52"/>
      <w:bookmarkEnd w:id="53"/>
      <w:bookmarkEnd w:id="54"/>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7.结余分配：指事业单位按照事业单位会计制度的规定从非财政补助结余中分配的事业基金和职工福利基金等。</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9.社会保障和就业支出（208）人力资源和社会保障管理事务（20801）行政运行（2080101）：反映行政单位（包括实行公务员管理的事业单位）的基本支出。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10.社会保障和就业支出（208）行政事业单位养老支出（20805）机关事业单位基本养老保险缴费支出（2080505）：反映机关事业单位实施养老保险制度由单位缴纳的基本养老保险费支出。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11.社会保障和就业支出（208）行政事业单位养老支出（20805）机关事业单位职业年金缴费支出（2080506）：反映机关事业单位实施养老保险制度由单位实际缴纳的职业年金支出。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12.社会保障和就业支出（208）就业补助（20807）其他就业补助支出（2080799）：反映除上述项目以外按规定确定的其他用于促进就业的补助支出。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13.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14.农林水支出（213）巩固脱贫衔接乡村振兴（21305）其他巩固脱贫衔接乡村振兴支出（2130599）：反映除上述项目以外其他用于扶贫方面的支出。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15.农林水支出（213）普惠金融发展支出（21308）创业担保贷款贴息及奖补（2130804）：反映财政用于符合条件的人员从事微利项目创业担保贷款的贴息支出。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16.住房保障支出（221）住房改</w:t>
      </w:r>
      <w:r>
        <w:rPr>
          <w:rFonts w:hint="eastAsia" w:ascii="仿宋_GB2312" w:hAnsi="仿宋_GB2312" w:eastAsia="仿宋_GB2312" w:cs="仿宋_GB2312"/>
          <w:color w:val="000000"/>
          <w:sz w:val="32"/>
          <w:szCs w:val="32"/>
        </w:rPr>
        <w:t>革支出（22102）住房公积金（2210201）：反映行政事业单位按人力资源和社会保障部、财政部规定的基本工资和津贴补贴以及规定比例为职工缴纳的住房公积金。</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.经营支出：指事业单位在专业业务活动及其辅助活动之外开展非独立核算经营活动发生的支出。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.财政应返还额度：为行政事业单位会计核算科目，用于核算实行国库集中支付的行政事业单位应收财政返还的资金额度。</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pPr>
        <w:pStyle w:val="2"/>
        <w:numPr>
          <w:ilvl w:val="0"/>
          <w:numId w:val="1"/>
        </w:numPr>
        <w:jc w:val="center"/>
        <w:rPr>
          <w:rFonts w:hint="eastAsia"/>
        </w:rPr>
      </w:pPr>
      <w:bookmarkStart w:id="55" w:name="_Toc111208510"/>
      <w:bookmarkStart w:id="56" w:name="_Toc13946"/>
      <w:r>
        <w:rPr>
          <w:rFonts w:hint="eastAsia" w:ascii="黑体" w:hAnsi="黑体" w:eastAsia="黑体" w:cs="黑体"/>
          <w:b w:val="0"/>
          <w:bCs w:val="0"/>
        </w:rPr>
        <w:t>附件</w:t>
      </w:r>
      <w:bookmarkEnd w:id="55"/>
      <w:bookmarkEnd w:id="56"/>
    </w:p>
    <w:p>
      <w:pPr>
        <w:pStyle w:val="34"/>
        <w:spacing w:line="576" w:lineRule="exact"/>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附件1</w:t>
      </w:r>
    </w:p>
    <w:p>
      <w:pPr>
        <w:pStyle w:val="34"/>
        <w:spacing w:line="576" w:lineRule="exact"/>
        <w:rPr>
          <w:rFonts w:hint="eastAsia" w:ascii="仿宋_GB2312" w:eastAsia="仿宋_GB2312" w:hAnsiTheme="minorHAnsi" w:cstheme="minorBidi"/>
          <w:kern w:val="2"/>
          <w:sz w:val="32"/>
          <w:szCs w:val="32"/>
          <w:lang w:val="en-US" w:eastAsia="zh-CN" w:bidi="ar-SA"/>
        </w:rPr>
      </w:pPr>
    </w:p>
    <w:p>
      <w:pPr>
        <w:spacing w:line="576" w:lineRule="exact"/>
        <w:ind w:firstLine="1100" w:firstLineChars="250"/>
        <w:rPr>
          <w:rFonts w:ascii="方正小标宋简体" w:eastAsia="方正小标宋简体"/>
          <w:sz w:val="44"/>
          <w:szCs w:val="44"/>
        </w:rPr>
      </w:pPr>
      <w:r>
        <w:rPr>
          <w:rFonts w:hint="eastAsia" w:ascii="方正小标宋简体" w:eastAsia="方正小标宋简体"/>
          <w:sz w:val="44"/>
          <w:szCs w:val="44"/>
        </w:rPr>
        <w:t>茂县公共就业和人才交流服务局</w:t>
      </w:r>
    </w:p>
    <w:p>
      <w:pPr>
        <w:spacing w:line="576" w:lineRule="exact"/>
        <w:ind w:firstLine="1320" w:firstLineChars="300"/>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rPr>
        <w:t>20</w:t>
      </w:r>
      <w:r>
        <w:rPr>
          <w:rFonts w:ascii="方正小标宋简体" w:hAnsi="宋体" w:eastAsia="方正小标宋简体"/>
          <w:sz w:val="44"/>
          <w:szCs w:val="44"/>
          <w:shd w:val="clear" w:color="auto" w:fill="FFFFFF"/>
        </w:rPr>
        <w:t>2</w:t>
      </w:r>
      <w:r>
        <w:rPr>
          <w:rFonts w:hint="eastAsia" w:ascii="方正小标宋简体" w:hAnsi="宋体" w:eastAsia="方正小标宋简体"/>
          <w:sz w:val="44"/>
          <w:szCs w:val="44"/>
          <w:shd w:val="clear" w:color="auto" w:fill="FFFFFF"/>
          <w:lang w:val="en-US" w:eastAsia="zh-CN"/>
        </w:rPr>
        <w:t>2</w:t>
      </w:r>
      <w:r>
        <w:rPr>
          <w:rFonts w:hint="eastAsia" w:ascii="方正小标宋简体" w:hAnsi="宋体" w:eastAsia="方正小标宋简体"/>
          <w:sz w:val="44"/>
          <w:szCs w:val="44"/>
          <w:shd w:val="clear" w:color="auto" w:fill="FFFFFF"/>
        </w:rPr>
        <w:t>年部门整体支出绩效报告</w:t>
      </w:r>
    </w:p>
    <w:p>
      <w:pPr>
        <w:spacing w:line="576" w:lineRule="exact"/>
        <w:rPr>
          <w:rFonts w:ascii="方正小标宋简体" w:eastAsia="方正小标宋简体"/>
          <w:sz w:val="44"/>
          <w:szCs w:val="44"/>
        </w:rPr>
      </w:pPr>
    </w:p>
    <w:p>
      <w:pPr>
        <w:pStyle w:val="34"/>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34"/>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（一）机构组成</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HYPERLINK "http://baike.so.com/doc/6291240.html" \t "_blank"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公共就业和人才交流服务局前身为“茂县就业服务管理局”，2014年7月经上级部门批准，更名为“茂县公共就业和人才交流服务局”，是县政府综合管理全县就业工作的</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HYPERLINK "http://baike.so.com/doc/5536019.html" \t "_blank"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职能部门</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，承担</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HYPERLINK "http://baike.so.com/doc/271223.html" \t "_blank" </w:instrText>
      </w:r>
      <w:r>
        <w:rPr>
          <w:rFonts w:hint="eastAsia" w:ascii="仿宋_GB2312" w:hAnsi="仿宋_GB2312" w:eastAsia="仿宋_GB2312" w:cs="仿宋_GB2312"/>
          <w:color w:val="000000"/>
          <w:sz w:val="32"/>
          <w:szCs w:val="32"/>
        </w:rPr>
        <w:fldChar w:fldCharType="separate"/>
      </w:r>
      <w:r>
        <w:rPr>
          <w:rFonts w:hint="eastAsia" w:ascii="仿宋_GB2312" w:hAnsi="仿宋_GB2312" w:eastAsia="仿宋_GB2312" w:cs="仿宋_GB2312"/>
          <w:color w:val="000000"/>
          <w:sz w:val="32"/>
          <w:szCs w:val="32"/>
        </w:rPr>
        <w:t>政府职能</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的管理机构，为副科级财政全额拨款的（参公）事业单位，归口县人力资源和社会保障局管理。</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我局主要负责全县职业介绍、就业和创业培训、创业服务、公益性岗位开发、小额担保贷款、困难群体就业援助、社区劳动保障平台建设与管理工作。全局编制</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人。内设办公室、职业指导股、就业培训股、劳务开发股、失业保险股等。</w:t>
      </w:r>
    </w:p>
    <w:p>
      <w:pPr>
        <w:spacing w:line="576" w:lineRule="exact"/>
        <w:ind w:firstLine="643" w:firstLineChars="200"/>
        <w:rPr>
          <w:rFonts w:ascii="楷体_GB2312" w:eastAsia="楷体_GB2312"/>
          <w:b/>
          <w:sz w:val="32"/>
          <w:szCs w:val="32"/>
        </w:rPr>
      </w:pPr>
      <w:r>
        <w:rPr>
          <w:rFonts w:hint="eastAsia" w:ascii="楷体_GB2312" w:eastAsia="楷体_GB2312"/>
          <w:b/>
          <w:sz w:val="32"/>
          <w:szCs w:val="32"/>
        </w:rPr>
        <w:t>（二）</w:t>
      </w:r>
      <w:r>
        <w:rPr>
          <w:rFonts w:hint="eastAsia" w:ascii="楷体_GB2312" w:eastAsia="楷体_GB2312"/>
          <w:b/>
          <w:sz w:val="32"/>
          <w:szCs w:val="32"/>
          <w:lang w:val="zh-CN"/>
        </w:rPr>
        <w:t>机构职能和人员概况</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全面贯彻落实党和政府促进就业创业的方针政策及各项扶持政策，为城乡劳动者提供就业政策法规咨询，职业供求信息以及职业培训信息发布，职业指导和职业介绍。免费为城乡劳动者开展就业培训、创业培训、农村劳动力技能培训等职业技能培训。</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我局为一级预算财政全额拨款参公单位，核定编制人数为19名（参公13人，事业6人）。单位现设局长1名、副局长2名。实有人数1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人，其中：参公</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人，事业</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人，参公工勤1人。</w:t>
      </w:r>
    </w:p>
    <w:p>
      <w:pPr>
        <w:spacing w:line="576" w:lineRule="exact"/>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三</w:t>
      </w:r>
      <w:r>
        <w:rPr>
          <w:rFonts w:hint="eastAsia" w:ascii="楷体_GB2312" w:eastAsia="楷体_GB2312"/>
          <w:b/>
          <w:sz w:val="32"/>
          <w:szCs w:val="32"/>
          <w:lang w:val="zh-CN"/>
        </w:rPr>
        <w:t>）年度主要工作任务</w:t>
      </w:r>
    </w:p>
    <w:p>
      <w:pPr>
        <w:spacing w:line="576" w:lineRule="exact"/>
        <w:ind w:firstLine="640"/>
        <w:rPr>
          <w:rFonts w:hint="eastAsia" w:ascii="仿宋_GB2312" w:hAnsi="Times New Roman"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sz w:val="32"/>
          <w:szCs w:val="32"/>
        </w:rPr>
        <w:t>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对就业困难人员实施就业援助，办理就业、失业登记等各项公共就业服务。</w:t>
      </w:r>
    </w:p>
    <w:p>
      <w:pPr>
        <w:spacing w:line="576" w:lineRule="exact"/>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（四）部门整体支出绩效目标</w:t>
      </w:r>
    </w:p>
    <w:p>
      <w:pPr>
        <w:spacing w:line="576" w:lineRule="exact"/>
        <w:ind w:firstLine="640" w:firstLineChars="200"/>
        <w:rPr>
          <w:rFonts w:ascii="仿宋_GB2312" w:eastAsia="仿宋_GB2312"/>
          <w:sz w:val="32"/>
          <w:szCs w:val="32"/>
          <w:shd w:val="clear" w:color="auto" w:fill="FFFFFF"/>
        </w:rPr>
      </w:pPr>
      <w:r>
        <w:rPr>
          <w:rFonts w:hint="eastAsia" w:ascii="仿宋_GB2312" w:eastAsia="仿宋_GB2312"/>
          <w:color w:val="000000"/>
          <w:sz w:val="32"/>
          <w:szCs w:val="32"/>
        </w:rPr>
        <w:t>认真贯彻落实</w:t>
      </w:r>
      <w:r>
        <w:rPr>
          <w:rFonts w:hint="eastAsia" w:ascii="仿宋_GB2312" w:hAnsi="仿宋_GB2312" w:eastAsia="仿宋_GB2312" w:cs="仿宋_GB2312"/>
          <w:color w:val="000000"/>
          <w:kern w:val="0"/>
          <w:sz w:val="32"/>
          <w:szCs w:val="32"/>
        </w:rPr>
        <w:t>就业创业各项政策，</w:t>
      </w:r>
      <w:r>
        <w:rPr>
          <w:rFonts w:hint="eastAsia" w:ascii="仿宋_GB2312" w:hAnsi="Times New Roman" w:eastAsia="仿宋_GB2312"/>
          <w:color w:val="000000"/>
          <w:sz w:val="32"/>
          <w:szCs w:val="32"/>
        </w:rPr>
        <w:t>通过实施“春风行动”、“公共就业服务进校园”、开展线上、线下招聘会</w:t>
      </w:r>
      <w:r>
        <w:rPr>
          <w:rFonts w:hint="eastAsia" w:ascii="仿宋_GB2312" w:hAnsi="仿宋_GB2312" w:eastAsia="仿宋_GB2312" w:cs="仿宋_GB2312"/>
          <w:color w:val="000000"/>
          <w:kern w:val="0"/>
          <w:sz w:val="32"/>
          <w:szCs w:val="32"/>
        </w:rPr>
        <w:t>、转发、</w:t>
      </w:r>
      <w:r>
        <w:rPr>
          <w:rFonts w:hint="eastAsia" w:ascii="仿宋_GB2312" w:hAnsi="Times New Roman" w:eastAsia="仿宋_GB2312"/>
          <w:color w:val="000000"/>
          <w:sz w:val="32"/>
          <w:szCs w:val="32"/>
        </w:rPr>
        <w:t>张贴及发放相关宣传资料等方式，</w:t>
      </w:r>
      <w:r>
        <w:rPr>
          <w:rFonts w:hint="eastAsia" w:ascii="仿宋_GB2312" w:hAnsi="仿宋_GB2312" w:eastAsia="仿宋_GB2312" w:cs="仿宋_GB2312"/>
          <w:sz w:val="32"/>
          <w:szCs w:val="32"/>
        </w:rPr>
        <w:t>推荐360家企业11200个岗位。积极开展各类创业就业培训，启动“羌山果匠”，培育“一县一品”，打造就业“金字招牌”。</w:t>
      </w:r>
      <w:r>
        <w:rPr>
          <w:rFonts w:hint="eastAsia" w:ascii="仿宋_GB2312" w:hAnsi="Times New Roman" w:eastAsia="仿宋_GB2312"/>
          <w:color w:val="000000"/>
          <w:sz w:val="32"/>
          <w:szCs w:val="32"/>
        </w:rPr>
        <w:t>2022年全县城镇新增就业880人、城镇失业人员再就业75人、就业困难人员再就业10人、劳务品牌培训300人、均完成目标任务100%；城镇登记失业率3.74%，控制在3.9%以内；全县青年见习86人，完成目标任务245.14%；全县劳务转移20552人次，完成年度目标102.1%；实现劳务收入6.0亿元，完成年度目标任务5.95亿元的100.8%；申请返乡创业担保贷款265万元，完成目标任务101.92%。</w:t>
      </w:r>
      <w:r>
        <w:rPr>
          <w:rFonts w:hint="eastAsia" w:ascii="仿宋_GB2312" w:hAnsi="仿宋_GB2312" w:eastAsia="仿宋_GB2312" w:cs="仿宋_GB2312"/>
          <w:sz w:val="32"/>
          <w:szCs w:val="32"/>
          <w:lang w:val="zh-CN"/>
        </w:rPr>
        <w:t>全年实现</w:t>
      </w:r>
      <w:r>
        <w:rPr>
          <w:rFonts w:hint="eastAsia" w:ascii="仿宋_GB2312" w:hAnsi="仿宋_GB2312" w:eastAsia="仿宋_GB2312" w:cs="仿宋_GB2312"/>
          <w:sz w:val="32"/>
          <w:szCs w:val="32"/>
        </w:rPr>
        <w:t>脱</w:t>
      </w:r>
      <w:r>
        <w:rPr>
          <w:rFonts w:hint="eastAsia" w:ascii="仿宋_GB2312" w:hAnsi="仿宋" w:eastAsia="仿宋_GB2312" w:cs="仿宋"/>
          <w:color w:val="000000"/>
          <w:sz w:val="32"/>
          <w:szCs w:val="32"/>
        </w:rPr>
        <w:t>贫劳动力转移就业3518人，建立茂县来料加工车间，形成“1+N”来料加工模式，吸纳劳动力50余人。</w:t>
      </w:r>
      <w:r>
        <w:rPr>
          <w:rFonts w:hint="default" w:ascii="Times New Roman" w:hAnsi="Times New Roman" w:eastAsia="宋体" w:cs="Times New Roman"/>
          <w:i w:val="0"/>
          <w:iCs w:val="0"/>
          <w:caps w:val="0"/>
          <w:color w:val="333333"/>
          <w:spacing w:val="0"/>
          <w:sz w:val="32"/>
          <w:szCs w:val="32"/>
          <w:shd w:val="clear" w:fill="FFFFFF"/>
        </w:rPr>
        <w:t> </w:t>
      </w:r>
    </w:p>
    <w:p>
      <w:pPr>
        <w:spacing w:line="576" w:lineRule="exact"/>
        <w:ind w:firstLine="640" w:firstLineChars="200"/>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pPr>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（一）部门财政资金收入情况</w:t>
      </w:r>
    </w:p>
    <w:p>
      <w:pPr>
        <w:snapToGrid w:val="0"/>
        <w:spacing w:line="576" w:lineRule="exact"/>
        <w:ind w:firstLine="640" w:firstLineChars="200"/>
        <w:rPr>
          <w:rFonts w:ascii="仿宋_GB2312" w:hAnsi="仿宋" w:eastAsia="仿宋_GB2312"/>
          <w:sz w:val="32"/>
          <w:szCs w:val="32"/>
        </w:rPr>
      </w:pPr>
      <w:r>
        <w:rPr>
          <w:rFonts w:hint="eastAsia" w:ascii="仿宋_GB2312" w:hAnsi="宋体" w:eastAsia="仿宋_GB2312" w:cs="宋体"/>
          <w:kern w:val="0"/>
          <w:sz w:val="32"/>
          <w:szCs w:val="32"/>
          <w:shd w:val="clear" w:color="auto" w:fill="FFFFFF"/>
        </w:rPr>
        <w:t>（1）20</w:t>
      </w:r>
      <w:r>
        <w:rPr>
          <w:rFonts w:ascii="仿宋_GB2312" w:hAnsi="宋体" w:eastAsia="仿宋_GB2312" w:cs="宋体"/>
          <w:kern w:val="0"/>
          <w:sz w:val="32"/>
          <w:szCs w:val="32"/>
          <w:shd w:val="clear" w:color="auto" w:fill="FFFFFF"/>
        </w:rPr>
        <w:t>2</w:t>
      </w:r>
      <w:r>
        <w:rPr>
          <w:rFonts w:hint="eastAsia" w:ascii="仿宋_GB2312" w:hAnsi="宋体" w:eastAsia="仿宋_GB2312" w:cs="宋体"/>
          <w:kern w:val="0"/>
          <w:sz w:val="32"/>
          <w:szCs w:val="32"/>
          <w:shd w:val="clear" w:color="auto" w:fill="FFFFFF"/>
          <w:lang w:val="en-US" w:eastAsia="zh-CN"/>
        </w:rPr>
        <w:t>2</w:t>
      </w:r>
      <w:r>
        <w:rPr>
          <w:rFonts w:hint="eastAsia" w:ascii="仿宋_GB2312" w:hAnsi="宋体" w:eastAsia="仿宋_GB2312" w:cs="宋体"/>
          <w:bCs/>
          <w:kern w:val="0"/>
          <w:sz w:val="32"/>
          <w:szCs w:val="32"/>
          <w:shd w:val="clear" w:color="auto" w:fill="FFFFFF"/>
        </w:rPr>
        <w:t>年</w:t>
      </w:r>
      <w:r>
        <w:rPr>
          <w:rFonts w:hint="eastAsia" w:ascii="仿宋_GB2312" w:hAnsi="黑体" w:eastAsia="仿宋_GB2312"/>
          <w:sz w:val="32"/>
          <w:szCs w:val="32"/>
        </w:rPr>
        <w:t>单位财政资金收入共计</w:t>
      </w:r>
      <w:r>
        <w:rPr>
          <w:rFonts w:hint="eastAsia" w:ascii="仿宋_GB2312" w:hAnsi="宋体" w:eastAsia="仿宋_GB2312" w:cs="宋体"/>
          <w:color w:val="auto"/>
          <w:kern w:val="0"/>
          <w:sz w:val="32"/>
          <w:szCs w:val="32"/>
          <w:lang w:val="en-US" w:eastAsia="zh-CN"/>
        </w:rPr>
        <w:t>17250611.68</w:t>
      </w:r>
      <w:r>
        <w:rPr>
          <w:rFonts w:hint="eastAsia" w:ascii="仿宋_GB2312" w:hAnsi="黑体" w:eastAsia="仿宋_GB2312"/>
          <w:sz w:val="32"/>
          <w:szCs w:val="32"/>
        </w:rPr>
        <w:t>元，</w:t>
      </w:r>
      <w:r>
        <w:rPr>
          <w:rFonts w:hint="eastAsia" w:ascii="仿宋_GB2312" w:hAnsi="仿宋" w:eastAsia="仿宋_GB2312"/>
          <w:sz w:val="32"/>
          <w:szCs w:val="32"/>
        </w:rPr>
        <w:t>均为一般公共预算财政拨款收入，单位无上级补助收入、事业收入、经营收入等其他性质的经费收入。</w:t>
      </w:r>
    </w:p>
    <w:p>
      <w:pPr>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（二）部门财政资金支出情况</w:t>
      </w:r>
    </w:p>
    <w:p>
      <w:pPr>
        <w:widowControl/>
        <w:adjustRightInd w:val="0"/>
        <w:snapToGrid w:val="0"/>
        <w:spacing w:line="576" w:lineRule="exact"/>
        <w:ind w:firstLine="640" w:firstLineChars="200"/>
        <w:rPr>
          <w:rFonts w:hint="eastAsia" w:ascii="仿宋_GB2312" w:hAnsi="宋体" w:cs="宋体"/>
          <w:kern w:val="0"/>
          <w:szCs w:val="32"/>
          <w:shd w:val="clear" w:color="auto" w:fill="FFFFFF"/>
          <w:lang w:val="zh-CN"/>
        </w:rPr>
      </w:pPr>
      <w:r>
        <w:rPr>
          <w:rFonts w:hint="eastAsia" w:ascii="仿宋_GB2312" w:hAnsi="宋体" w:eastAsia="仿宋_GB2312" w:cs="宋体"/>
          <w:kern w:val="0"/>
          <w:sz w:val="32"/>
          <w:szCs w:val="32"/>
          <w:shd w:val="clear" w:color="auto" w:fill="FFFFFF"/>
          <w:lang w:val="zh-CN"/>
        </w:rPr>
        <w:t>（1）20</w:t>
      </w:r>
      <w:r>
        <w:rPr>
          <w:rFonts w:hint="eastAsia" w:ascii="仿宋_GB2312" w:hAnsi="宋体" w:eastAsia="仿宋_GB2312" w:cs="宋体"/>
          <w:kern w:val="0"/>
          <w:sz w:val="32"/>
          <w:szCs w:val="32"/>
          <w:shd w:val="clear" w:color="auto" w:fill="FFFFFF"/>
        </w:rPr>
        <w:t>2</w:t>
      </w:r>
      <w:r>
        <w:rPr>
          <w:rFonts w:hint="eastAsia" w:ascii="仿宋_GB2312" w:hAnsi="宋体" w:eastAsia="仿宋_GB2312" w:cs="宋体"/>
          <w:kern w:val="0"/>
          <w:sz w:val="32"/>
          <w:szCs w:val="32"/>
          <w:shd w:val="clear" w:color="auto" w:fill="FFFFFF"/>
          <w:lang w:val="en-US" w:eastAsia="zh-CN"/>
        </w:rPr>
        <w:t>2</w:t>
      </w:r>
      <w:r>
        <w:rPr>
          <w:rFonts w:hint="eastAsia" w:ascii="仿宋_GB2312" w:hAnsi="宋体" w:eastAsia="仿宋_GB2312" w:cs="宋体"/>
          <w:kern w:val="0"/>
          <w:sz w:val="32"/>
          <w:szCs w:val="32"/>
          <w:shd w:val="clear" w:color="auto" w:fill="FFFFFF"/>
          <w:lang w:val="zh-CN"/>
        </w:rPr>
        <w:t>年我单位财政总</w:t>
      </w:r>
      <w:r>
        <w:rPr>
          <w:rFonts w:hint="eastAsia" w:ascii="仿宋_GB2312" w:hAnsi="Calibri" w:eastAsia="仿宋_GB2312" w:cs="仿宋"/>
          <w:kern w:val="0"/>
          <w:sz w:val="32"/>
          <w:szCs w:val="32"/>
        </w:rPr>
        <w:t>支出总额为</w:t>
      </w:r>
      <w:r>
        <w:rPr>
          <w:rFonts w:hint="eastAsia" w:ascii="仿宋_GB2312" w:hAnsi="宋体" w:eastAsia="仿宋_GB2312" w:cs="宋体"/>
          <w:color w:val="auto"/>
          <w:kern w:val="0"/>
          <w:sz w:val="32"/>
          <w:szCs w:val="32"/>
          <w:lang w:val="en-US" w:eastAsia="zh-CN"/>
        </w:rPr>
        <w:t>17250611.68</w:t>
      </w:r>
      <w:r>
        <w:rPr>
          <w:rFonts w:hint="eastAsia" w:ascii="仿宋_GB2312" w:hAnsi="Calibri" w:eastAsia="仿宋_GB2312" w:cs="仿宋"/>
          <w:kern w:val="0"/>
          <w:sz w:val="32"/>
          <w:szCs w:val="32"/>
        </w:rPr>
        <w:t>元，其中：当年财政基本支出</w:t>
      </w:r>
      <w:r>
        <w:rPr>
          <w:rFonts w:hint="eastAsia" w:ascii="仿宋_GB2312" w:hAnsi="Calibri" w:eastAsia="仿宋_GB2312" w:cs="仿宋"/>
          <w:kern w:val="0"/>
          <w:sz w:val="32"/>
          <w:szCs w:val="32"/>
          <w:lang w:val="en-US" w:eastAsia="zh-CN"/>
        </w:rPr>
        <w:t>2995056.78</w:t>
      </w:r>
      <w:r>
        <w:rPr>
          <w:rFonts w:hint="eastAsia" w:ascii="仿宋_GB2312" w:hAnsi="Calibri" w:eastAsia="仿宋_GB2312" w:cs="仿宋"/>
          <w:kern w:val="0"/>
          <w:sz w:val="32"/>
          <w:szCs w:val="32"/>
        </w:rPr>
        <w:t>元，项目支出</w:t>
      </w:r>
      <w:r>
        <w:rPr>
          <w:rFonts w:hint="eastAsia" w:ascii="仿宋_GB2312" w:hAnsi="Calibri" w:eastAsia="仿宋_GB2312" w:cs="仿宋"/>
          <w:kern w:val="0"/>
          <w:sz w:val="32"/>
          <w:szCs w:val="32"/>
          <w:lang w:val="en-US" w:eastAsia="zh-CN"/>
        </w:rPr>
        <w:t>14255554.9</w:t>
      </w:r>
      <w:r>
        <w:rPr>
          <w:rFonts w:hint="eastAsia" w:ascii="仿宋_GB2312" w:hAnsi="Calibri" w:eastAsia="仿宋_GB2312" w:cs="仿宋"/>
          <w:kern w:val="0"/>
          <w:sz w:val="32"/>
          <w:szCs w:val="32"/>
        </w:rPr>
        <w:t>。按功能分：社会保障和就业支</w:t>
      </w:r>
      <w:r>
        <w:rPr>
          <w:rFonts w:hint="eastAsia" w:ascii="仿宋_GB2312" w:hAnsi="仿宋" w:eastAsia="仿宋_GB2312"/>
          <w:color w:val="auto"/>
          <w:sz w:val="32"/>
          <w:szCs w:val="32"/>
          <w:lang w:val="en-US" w:eastAsia="zh-CN"/>
        </w:rPr>
        <w:t>15692745.02</w:t>
      </w:r>
      <w:r>
        <w:rPr>
          <w:rFonts w:hint="eastAsia" w:ascii="仿宋_GB2312" w:hAnsi="Calibri" w:eastAsia="仿宋_GB2312" w:cs="仿宋"/>
          <w:kern w:val="0"/>
          <w:sz w:val="32"/>
          <w:szCs w:val="32"/>
        </w:rPr>
        <w:t>元，医疗卫生与计划生育支出</w:t>
      </w:r>
      <w:r>
        <w:rPr>
          <w:rFonts w:hint="eastAsia" w:ascii="仿宋_GB2312" w:hAnsi="仿宋" w:eastAsia="仿宋_GB2312"/>
          <w:color w:val="auto"/>
          <w:sz w:val="32"/>
          <w:szCs w:val="32"/>
          <w:lang w:val="en-US" w:eastAsia="zh-CN"/>
        </w:rPr>
        <w:t>144854.76</w:t>
      </w:r>
      <w:r>
        <w:rPr>
          <w:rFonts w:hint="eastAsia" w:ascii="仿宋_GB2312" w:hAnsi="Calibri" w:eastAsia="仿宋_GB2312" w:cs="仿宋"/>
          <w:kern w:val="0"/>
          <w:sz w:val="32"/>
          <w:szCs w:val="32"/>
        </w:rPr>
        <w:t>元，农林水事务支出</w:t>
      </w:r>
      <w:r>
        <w:rPr>
          <w:rFonts w:hint="eastAsia" w:ascii="仿宋_GB2312" w:hAnsi="仿宋" w:eastAsia="仿宋_GB2312"/>
          <w:color w:val="auto"/>
          <w:sz w:val="32"/>
          <w:szCs w:val="32"/>
          <w:lang w:val="en-US" w:eastAsia="zh-CN"/>
        </w:rPr>
        <w:t>1215554.9</w:t>
      </w:r>
      <w:r>
        <w:rPr>
          <w:rFonts w:hint="eastAsia" w:ascii="仿宋_GB2312" w:hAnsi="Calibri" w:eastAsia="仿宋_GB2312" w:cs="仿宋"/>
          <w:kern w:val="0"/>
          <w:sz w:val="32"/>
          <w:szCs w:val="32"/>
        </w:rPr>
        <w:t>元，住房保障支出</w:t>
      </w:r>
      <w:r>
        <w:rPr>
          <w:rFonts w:hint="eastAsia" w:ascii="仿宋_GB2312" w:hAnsi="仿宋" w:eastAsia="仿宋_GB2312"/>
          <w:color w:val="auto"/>
          <w:sz w:val="32"/>
          <w:szCs w:val="32"/>
          <w:lang w:val="en-US" w:eastAsia="zh-CN"/>
        </w:rPr>
        <w:t>197457</w:t>
      </w:r>
      <w:r>
        <w:rPr>
          <w:rFonts w:hint="eastAsia" w:ascii="仿宋_GB2312" w:hAnsi="Calibri" w:eastAsia="仿宋_GB2312" w:cs="仿宋"/>
          <w:kern w:val="0"/>
          <w:sz w:val="32"/>
          <w:szCs w:val="32"/>
        </w:rPr>
        <w:t>元。</w:t>
      </w:r>
      <w:r>
        <w:rPr>
          <w:rFonts w:hint="eastAsia" w:ascii="仿宋_GB2312" w:hAnsi="宋体" w:cs="宋体"/>
          <w:kern w:val="0"/>
          <w:szCs w:val="32"/>
          <w:shd w:val="clear" w:color="auto" w:fill="FFFFFF"/>
          <w:lang w:val="zh-CN"/>
        </w:rPr>
        <w:t xml:space="preserve"> </w:t>
      </w:r>
    </w:p>
    <w:p>
      <w:pPr>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（三）部门财政资金收支结转情况</w:t>
      </w:r>
    </w:p>
    <w:p>
      <w:pPr>
        <w:widowControl/>
        <w:adjustRightInd w:val="0"/>
        <w:snapToGrid w:val="0"/>
        <w:spacing w:line="540" w:lineRule="exact"/>
        <w:ind w:firstLine="720"/>
        <w:jc w:val="left"/>
        <w:rPr>
          <w:rFonts w:hint="eastAsia" w:ascii="仿宋_GB2312" w:hAnsi="仿宋" w:eastAsia="仿宋_GB2312"/>
          <w:sz w:val="32"/>
          <w:szCs w:val="32"/>
        </w:rPr>
      </w:pPr>
      <w:r>
        <w:rPr>
          <w:rFonts w:hint="eastAsia" w:ascii="仿宋_GB2312" w:hAnsi="宋体" w:eastAsia="仿宋_GB2312" w:cs="宋体"/>
          <w:kern w:val="0"/>
          <w:sz w:val="32"/>
          <w:szCs w:val="32"/>
          <w:shd w:val="clear" w:color="auto" w:fill="FFFFFF"/>
        </w:rPr>
        <w:t>20</w:t>
      </w:r>
      <w:r>
        <w:rPr>
          <w:rFonts w:ascii="仿宋_GB2312" w:hAnsi="宋体" w:eastAsia="仿宋_GB2312" w:cs="宋体"/>
          <w:kern w:val="0"/>
          <w:sz w:val="32"/>
          <w:szCs w:val="32"/>
          <w:shd w:val="clear" w:color="auto" w:fill="FFFFFF"/>
        </w:rPr>
        <w:t>2</w:t>
      </w:r>
      <w:r>
        <w:rPr>
          <w:rFonts w:hint="eastAsia" w:ascii="仿宋_GB2312" w:hAnsi="宋体" w:eastAsia="仿宋_GB2312" w:cs="宋体"/>
          <w:kern w:val="0"/>
          <w:sz w:val="32"/>
          <w:szCs w:val="32"/>
          <w:shd w:val="clear" w:color="auto" w:fill="FFFFFF"/>
          <w:lang w:val="en-US" w:eastAsia="zh-CN"/>
        </w:rPr>
        <w:t>2</w:t>
      </w:r>
      <w:r>
        <w:rPr>
          <w:rFonts w:hint="eastAsia" w:ascii="仿宋_GB2312" w:hAnsi="宋体" w:eastAsia="仿宋_GB2312" w:cs="宋体"/>
          <w:kern w:val="0"/>
          <w:sz w:val="32"/>
          <w:szCs w:val="32"/>
          <w:shd w:val="clear" w:color="auto" w:fill="FFFFFF"/>
        </w:rPr>
        <w:t>年年末无结转结余</w:t>
      </w:r>
      <w:r>
        <w:rPr>
          <w:rFonts w:hint="eastAsia" w:ascii="仿宋_GB2312" w:hAnsi="宋体" w:eastAsia="仿宋_GB2312" w:cs="宋体"/>
          <w:kern w:val="0"/>
          <w:sz w:val="32"/>
          <w:szCs w:val="32"/>
          <w:shd w:val="clear" w:color="auto" w:fill="FFFFFF"/>
          <w:lang w:val="zh-CN"/>
        </w:rPr>
        <w:t>。</w:t>
      </w:r>
    </w:p>
    <w:p>
      <w:pPr>
        <w:widowControl/>
        <w:adjustRightInd w:val="0"/>
        <w:snapToGrid w:val="0"/>
        <w:spacing w:line="540" w:lineRule="exact"/>
        <w:ind w:firstLine="720"/>
        <w:jc w:val="left"/>
        <w:rPr>
          <w:rFonts w:ascii="黑体" w:hAnsi="黑体" w:eastAsia="黑体" w:cs="宋体"/>
          <w:kern w:val="0"/>
          <w:sz w:val="32"/>
          <w:szCs w:val="32"/>
          <w:shd w:val="clear" w:color="auto" w:fill="FFFFFF"/>
        </w:rPr>
      </w:pPr>
      <w:r>
        <w:rPr>
          <w:rFonts w:hint="eastAsia" w:ascii="黑体" w:hAnsi="黑体" w:eastAsia="黑体" w:cs="宋体"/>
          <w:kern w:val="0"/>
          <w:sz w:val="32"/>
          <w:szCs w:val="32"/>
          <w:shd w:val="clear" w:color="auto" w:fill="FFFFFF"/>
        </w:rPr>
        <w:t>三、部门财政支出管理情况</w:t>
      </w:r>
    </w:p>
    <w:p>
      <w:pPr>
        <w:widowControl/>
        <w:adjustRightInd w:val="0"/>
        <w:snapToGrid w:val="0"/>
        <w:spacing w:line="540" w:lineRule="exact"/>
        <w:ind w:firstLine="720"/>
        <w:jc w:val="left"/>
        <w:rPr>
          <w:rFonts w:hint="eastAsia"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（一）预决算编制情况</w:t>
      </w:r>
    </w:p>
    <w:p>
      <w:pPr>
        <w:pStyle w:val="34"/>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1.预算编制情况</w:t>
      </w:r>
    </w:p>
    <w:p>
      <w:pPr>
        <w:pStyle w:val="34"/>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4"/>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2.决算编制情况</w:t>
      </w:r>
    </w:p>
    <w:p>
      <w:pPr>
        <w:pStyle w:val="34"/>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widowControl/>
        <w:adjustRightInd w:val="0"/>
        <w:snapToGrid w:val="0"/>
        <w:spacing w:line="540" w:lineRule="exact"/>
        <w:ind w:firstLine="720"/>
        <w:jc w:val="left"/>
        <w:rPr>
          <w:rFonts w:hint="eastAsia"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（二）执行管理情况</w:t>
      </w:r>
    </w:p>
    <w:p>
      <w:pPr>
        <w:widowControl/>
        <w:adjustRightInd w:val="0"/>
        <w:snapToGrid w:val="0"/>
        <w:spacing w:line="576" w:lineRule="exact"/>
        <w:ind w:firstLine="640" w:firstLineChars="200"/>
        <w:jc w:val="left"/>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（1）20</w:t>
      </w:r>
      <w:r>
        <w:rPr>
          <w:rFonts w:ascii="仿宋_GB2312" w:hAnsi="黑体" w:eastAsia="仿宋_GB2312" w:cs="宋体"/>
          <w:kern w:val="0"/>
          <w:sz w:val="32"/>
          <w:szCs w:val="32"/>
          <w:shd w:val="clear" w:color="auto" w:fill="FFFFFF"/>
        </w:rPr>
        <w:t>2</w:t>
      </w:r>
      <w:r>
        <w:rPr>
          <w:rFonts w:hint="eastAsia" w:ascii="仿宋_GB2312" w:hAnsi="黑体" w:eastAsia="仿宋_GB2312" w:cs="宋体"/>
          <w:kern w:val="0"/>
          <w:sz w:val="32"/>
          <w:szCs w:val="32"/>
          <w:shd w:val="clear" w:color="auto" w:fill="FFFFFF"/>
          <w:lang w:val="en-US" w:eastAsia="zh-CN"/>
        </w:rPr>
        <w:t>2</w:t>
      </w:r>
      <w:r>
        <w:rPr>
          <w:rFonts w:hint="eastAsia" w:ascii="仿宋_GB2312" w:hAnsi="黑体" w:eastAsia="仿宋_GB2312" w:cs="宋体"/>
          <w:kern w:val="0"/>
          <w:sz w:val="32"/>
          <w:szCs w:val="32"/>
          <w:shd w:val="clear" w:color="auto" w:fill="FFFFFF"/>
        </w:rPr>
        <w:t>年部门预算执行情况</w:t>
      </w: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年收入预算执行数（收入决算数）为</w:t>
      </w:r>
      <w:r>
        <w:rPr>
          <w:rFonts w:hint="eastAsia" w:ascii="仿宋_GB2312" w:hAnsi="宋体" w:eastAsia="仿宋_GB2312" w:cs="宋体"/>
          <w:color w:val="auto"/>
          <w:kern w:val="0"/>
          <w:sz w:val="32"/>
          <w:szCs w:val="32"/>
          <w:lang w:val="en-US" w:eastAsia="zh-CN"/>
        </w:rPr>
        <w:t>17250611.68</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年支出预算执行数（支出决算数）为</w:t>
      </w:r>
      <w:r>
        <w:rPr>
          <w:rFonts w:hint="eastAsia" w:ascii="仿宋_GB2312" w:hAnsi="宋体" w:eastAsia="仿宋_GB2312" w:cs="宋体"/>
          <w:color w:val="auto"/>
          <w:kern w:val="0"/>
          <w:sz w:val="32"/>
          <w:szCs w:val="32"/>
          <w:lang w:val="en-US" w:eastAsia="zh-CN"/>
        </w:rPr>
        <w:t>17250611.68</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w:t>
      </w:r>
      <w:r>
        <w:rPr>
          <w:rFonts w:hint="eastAsia" w:ascii="仿宋_GB2312" w:hAnsi="仿宋" w:eastAsia="仿宋_GB2312"/>
          <w:sz w:val="32"/>
          <w:szCs w:val="32"/>
        </w:rPr>
        <w:t>）“三公”经费预算执行情况</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1.20</w:t>
      </w:r>
      <w:r>
        <w:rPr>
          <w:rFonts w:ascii="仿宋_GB2312" w:hAnsi="仿宋" w:eastAsia="仿宋_GB2312"/>
          <w:sz w:val="32"/>
          <w:szCs w:val="32"/>
        </w:rPr>
        <w:t>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年“三公”经费预算执行情况</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w:t>
      </w:r>
      <w:r>
        <w:rPr>
          <w:rFonts w:ascii="仿宋_GB2312" w:hAnsi="仿宋" w:eastAsia="仿宋_GB2312"/>
          <w:sz w:val="32"/>
          <w:szCs w:val="32"/>
        </w:rPr>
        <w:t>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年“三公”经费支出共计</w:t>
      </w:r>
      <w:r>
        <w:rPr>
          <w:rFonts w:hint="eastAsia" w:ascii="仿宋_GB2312" w:hAnsi="仿宋" w:eastAsia="仿宋_GB2312"/>
          <w:color w:val="auto"/>
          <w:sz w:val="32"/>
          <w:szCs w:val="32"/>
          <w:lang w:val="en-US" w:eastAsia="zh-CN"/>
        </w:rPr>
        <w:t>272765.24</w:t>
      </w:r>
      <w:r>
        <w:rPr>
          <w:rFonts w:hint="eastAsia" w:ascii="仿宋_GB2312" w:hAnsi="仿宋" w:eastAsia="仿宋_GB2312"/>
          <w:sz w:val="32"/>
          <w:szCs w:val="32"/>
        </w:rPr>
        <w:t>元。</w:t>
      </w:r>
      <w:r>
        <w:rPr>
          <w:rFonts w:ascii="仿宋_GB2312" w:hAnsi="仿宋" w:eastAsia="仿宋_GB2312"/>
          <w:sz w:val="32"/>
          <w:szCs w:val="32"/>
        </w:rPr>
        <w:t xml:space="preserve"> </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40" w:lineRule="exact"/>
        <w:ind w:firstLine="720"/>
        <w:jc w:val="left"/>
        <w:rPr>
          <w:rFonts w:hint="eastAsia"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（一）部门预算管理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单位严格按照县财政部门预算编制通知和有关文件要求，秉承强化规划约束、坚持限额控制、实时滚动管理、强化绩效管理的基本编制原则，确定目标任务，积极发挥公共财政职能作用，推动落实稳增长、促改革、调结构、惠民生、防风险各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一是按照 20</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年部门预算编审要求，根据我单位职能职责，结合中长期规划和年度工作计划，明确了年度主要工作任务及年度内履职所要达到的总体产出和效果，认真填报了我单位整体支出绩效目标。</w:t>
      </w:r>
    </w:p>
    <w:p>
      <w:pPr>
        <w:pStyle w:val="7"/>
        <w:ind w:firstLine="640" w:firstLineChars="200"/>
        <w:rPr>
          <w:lang w:val="zh-CN"/>
        </w:rPr>
      </w:pPr>
      <w:r>
        <w:rPr>
          <w:rFonts w:hint="eastAsia" w:ascii="仿宋_GB2312" w:hAnsi="仿宋_GB2312" w:eastAsia="仿宋_GB2312" w:cs="仿宋_GB2312"/>
          <w:color w:val="auto"/>
          <w:sz w:val="32"/>
          <w:szCs w:val="32"/>
        </w:rPr>
        <w:t>二是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单位根据全单位实际工作开展情况，提高财政资金使用效益，保障了全单位专项工作顺利开展</w:t>
      </w:r>
    </w:p>
    <w:p>
      <w:pPr>
        <w:widowControl/>
        <w:adjustRightInd w:val="0"/>
        <w:snapToGrid w:val="0"/>
        <w:spacing w:line="540" w:lineRule="exact"/>
        <w:ind w:firstLine="720"/>
        <w:jc w:val="left"/>
        <w:rPr>
          <w:rFonts w:hint="eastAsia"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（二）结果应用情况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color w:val="auto"/>
        </w:rPr>
      </w:pPr>
      <w:r>
        <w:rPr>
          <w:rFonts w:hint="eastAsia" w:ascii="仿宋_GB2312" w:hAnsi="黑体" w:eastAsia="仿宋_GB2312"/>
          <w:color w:val="auto"/>
          <w:sz w:val="32"/>
          <w:szCs w:val="32"/>
        </w:rPr>
        <w:t>我单位对部门预算绩效管理工作开展情况认真进行了自查自评。绩效评价自查开展覆盖全单位及重点支出，将评价结果作为预算安排的重要依据，参照项目年度预算执行情况、“三年滚动规划”执行情况统筹项目支出需求，保障重点支出，调整支出结构，优化财政资金配置，不断强化绩效理念，推动我单位部门整体绩效管理水平不断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40" w:lineRule="exact"/>
        <w:ind w:firstLine="720"/>
        <w:jc w:val="left"/>
        <w:rPr>
          <w:rFonts w:hint="eastAsia"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（一）评价结论</w:t>
      </w:r>
    </w:p>
    <w:p>
      <w:pPr>
        <w:pStyle w:val="34"/>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lang w:val="zh-CN"/>
        </w:rPr>
      </w:pPr>
      <w:r>
        <w:rPr>
          <w:rFonts w:hint="eastAsia" w:ascii="仿宋_GB2312" w:hAnsi="仿宋_GB2312" w:eastAsia="仿宋_GB2312" w:cs="仿宋_GB2312"/>
          <w:color w:val="auto"/>
          <w:sz w:val="32"/>
          <w:szCs w:val="32"/>
          <w:shd w:val="clear" w:color="auto" w:fill="FFFFFF"/>
        </w:rPr>
        <w:t>20</w:t>
      </w:r>
      <w:r>
        <w:rPr>
          <w:rFonts w:hint="eastAsia" w:ascii="仿宋_GB2312" w:hAnsi="仿宋_GB2312" w:eastAsia="仿宋_GB2312" w:cs="仿宋_GB2312"/>
          <w:color w:val="auto"/>
          <w:sz w:val="32"/>
          <w:szCs w:val="32"/>
          <w:shd w:val="clear" w:color="auto" w:fill="FFFFFF"/>
          <w:lang w:val="en-US" w:eastAsia="zh-CN"/>
        </w:rPr>
        <w:t>22</w:t>
      </w:r>
      <w:r>
        <w:rPr>
          <w:rFonts w:hint="eastAsia" w:ascii="仿宋_GB2312" w:hAnsi="仿宋_GB2312" w:eastAsia="仿宋_GB2312" w:cs="仿宋_GB2312"/>
          <w:color w:val="auto"/>
          <w:sz w:val="32"/>
          <w:szCs w:val="32"/>
          <w:shd w:val="clear" w:color="auto" w:fill="FFFFFF"/>
        </w:rPr>
        <w:t>年我单位整体支出绩效评价自查自评结果良好，全年基本支出支出保证了部门的正常运行和日常工作的正常开展，项目支出保障了重点工作的开展，达到预期绩效目标。按照《县级部门整体支出绩效评价指标体系表》中各项具体指标认真开展自评工作，经自评，单位部门整体支出均按照相应的规章制度和要求执行办理。</w:t>
      </w:r>
    </w:p>
    <w:p>
      <w:pPr>
        <w:widowControl/>
        <w:numPr>
          <w:ilvl w:val="0"/>
          <w:numId w:val="2"/>
        </w:numPr>
        <w:adjustRightInd w:val="0"/>
        <w:snapToGrid w:val="0"/>
        <w:spacing w:line="540" w:lineRule="exact"/>
        <w:ind w:firstLine="643" w:firstLineChars="200"/>
        <w:jc w:val="left"/>
        <w:rPr>
          <w:rFonts w:hint="eastAsia"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存在问题</w:t>
      </w:r>
    </w:p>
    <w:p>
      <w:pPr>
        <w:widowControl/>
        <w:numPr>
          <w:ilvl w:val="0"/>
          <w:numId w:val="0"/>
        </w:numPr>
        <w:adjustRightInd w:val="0"/>
        <w:snapToGrid w:val="0"/>
        <w:spacing w:line="540" w:lineRule="exact"/>
        <w:ind w:firstLine="640" w:firstLineChars="200"/>
        <w:jc w:val="left"/>
        <w:rPr>
          <w:rFonts w:hint="default"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绩效目标设定有待更科学更合理，提高效益性、效率性。</w:t>
      </w:r>
    </w:p>
    <w:p>
      <w:pPr>
        <w:widowControl/>
        <w:adjustRightInd w:val="0"/>
        <w:snapToGrid w:val="0"/>
        <w:spacing w:line="540" w:lineRule="exact"/>
        <w:ind w:firstLine="720"/>
        <w:jc w:val="left"/>
        <w:rPr>
          <w:rFonts w:hint="eastAsia"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w:t>
      </w:r>
      <w:r>
        <w:rPr>
          <w:rFonts w:hint="eastAsia" w:ascii="楷体_GB2312" w:hAnsi="宋体" w:eastAsia="楷体_GB2312" w:cs="宋体"/>
          <w:b/>
          <w:kern w:val="0"/>
          <w:sz w:val="32"/>
          <w:szCs w:val="32"/>
          <w:shd w:val="clear" w:color="auto" w:fill="FFFFFF"/>
          <w:lang w:val="en-US" w:eastAsia="zh-CN"/>
        </w:rPr>
        <w:t>三</w:t>
      </w:r>
      <w:r>
        <w:rPr>
          <w:rFonts w:hint="eastAsia" w:ascii="楷体_GB2312" w:hAnsi="宋体" w:eastAsia="楷体_GB2312" w:cs="宋体"/>
          <w:b/>
          <w:kern w:val="0"/>
          <w:sz w:val="32"/>
          <w:szCs w:val="32"/>
          <w:shd w:val="clear" w:color="auto" w:fill="FFFFFF"/>
          <w:lang w:val="zh-CN"/>
        </w:rPr>
        <w:t>）改进建议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针对存在的问题，我们将进一步科学设定绩效目标，加</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r>
        <w:rPr>
          <w:rFonts w:hint="eastAsia" w:ascii="仿宋_GB2312" w:hAnsi="仿宋_GB2312" w:eastAsia="仿宋_GB2312" w:cs="仿宋_GB2312"/>
          <w:color w:val="auto"/>
          <w:sz w:val="32"/>
          <w:szCs w:val="32"/>
          <w:lang w:eastAsia="zh-CN"/>
        </w:rPr>
        <w:t>。</w:t>
      </w:r>
    </w:p>
    <w:p>
      <w:pPr>
        <w:spacing w:line="576" w:lineRule="exact"/>
        <w:rPr>
          <w:rFonts w:ascii="方正小标宋简体" w:eastAsia="方正小标宋简体"/>
          <w:sz w:val="44"/>
          <w:szCs w:val="44"/>
        </w:rPr>
        <w:sectPr>
          <w:footerReference r:id="rId4" w:type="default"/>
          <w:pgSz w:w="11906" w:h="16838"/>
          <w:pgMar w:top="1440" w:right="1800" w:bottom="1440" w:left="1800" w:header="851" w:footer="992" w:gutter="0"/>
          <w:pgNumType w:start="2"/>
          <w:cols w:space="425" w:num="1"/>
          <w:docGrid w:type="lines" w:linePitch="312" w:charSpace="0"/>
        </w:sectPr>
      </w:pPr>
    </w:p>
    <w:p>
      <w:pPr>
        <w:pStyle w:val="2"/>
        <w:jc w:val="center"/>
        <w:rPr>
          <w:rFonts w:ascii="黑体" w:hAnsi="黑体" w:eastAsia="黑体" w:cs="黑体"/>
          <w:b w:val="0"/>
          <w:bCs w:val="0"/>
        </w:rPr>
      </w:pPr>
      <w:bookmarkStart w:id="57" w:name="_Toc79163635"/>
      <w:bookmarkStart w:id="58" w:name="_Toc79163885"/>
      <w:bookmarkStart w:id="59" w:name="_Toc3397"/>
      <w:bookmarkStart w:id="60" w:name="_Toc111208512"/>
      <w:r>
        <w:rPr>
          <w:rFonts w:hint="eastAsia" w:ascii="黑体" w:hAnsi="黑体" w:eastAsia="黑体" w:cs="黑体"/>
          <w:b w:val="0"/>
          <w:bCs w:val="0"/>
        </w:rPr>
        <w:t>第五部分 附表</w:t>
      </w:r>
      <w:bookmarkEnd w:id="57"/>
      <w:bookmarkEnd w:id="58"/>
      <w:bookmarkEnd w:id="59"/>
      <w:bookmarkEnd w:id="60"/>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一、收入支出决算总表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二、收入决算表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三、支出决算表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四、财政拨款收入支出决算总表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五、财政拨款支出决算明细表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六、一般公共预算财政拨款支出决算表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七、一般公共预算财政拨款支出决算明细表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八、一般公共预算财政拨款基本支出决算表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九、一般公共预算财政拨款项目支出决算表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十、政府性基金预算财政拨款收入支出决算表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十一、国有资本经营预算财政拨款收入支出决算表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十二、国有资本经营预算财政拨款支出决算表</w:t>
      </w:r>
    </w:p>
    <w:p>
      <w:pPr>
        <w:pStyle w:val="3"/>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r>
        <w:rPr>
          <w:rFonts w:hint="eastAsia" w:ascii="仿宋" w:hAnsi="Cambria" w:eastAsia="仿宋" w:cs="Times New Roman"/>
          <w:b w:val="0"/>
          <w:color w:val="000000"/>
          <w:kern w:val="2"/>
          <w:sz w:val="32"/>
          <w:szCs w:val="32"/>
          <w:lang w:bidi="ar-SA"/>
        </w:rPr>
        <w:t>十三、财政拨款“三公”经费支出决算表</w:t>
      </w: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hint="default" w:eastAsiaTheme="minorEastAsia"/>
        <w:lang w:val="en-US" w:eastAsia="zh-CN"/>
      </w:rPr>
    </w:pPr>
    <w:r>
      <w:rPr>
        <w:rFonts w:hint="eastAsia"/>
        <w:lang w:val="en-US" w:eastAsia="zh-CN"/>
      </w:rPr>
      <w:t>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3810AB"/>
    <w:multiLevelType w:val="singleLevel"/>
    <w:tmpl w:val="0A3810AB"/>
    <w:lvl w:ilvl="0" w:tentative="0">
      <w:start w:val="4"/>
      <w:numFmt w:val="chineseCounting"/>
      <w:suff w:val="space"/>
      <w:lvlText w:val="第%1部分"/>
      <w:lvlJc w:val="left"/>
      <w:rPr>
        <w:rFonts w:hint="eastAsia"/>
      </w:rPr>
    </w:lvl>
  </w:abstractNum>
  <w:abstractNum w:abstractNumId="1">
    <w:nsid w:val="40B7B42C"/>
    <w:multiLevelType w:val="singleLevel"/>
    <w:tmpl w:val="40B7B42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0ZDQ0NjI3YzliYmI5ZDliOWFiZmIzNDA0OWI0Mm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5FA"/>
    <w:rsid w:val="00887A58"/>
    <w:rsid w:val="008918AA"/>
    <w:rsid w:val="008918C9"/>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12E"/>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27193B"/>
    <w:rsid w:val="06951176"/>
    <w:rsid w:val="07001BE1"/>
    <w:rsid w:val="07267DE7"/>
    <w:rsid w:val="07630750"/>
    <w:rsid w:val="07EE694F"/>
    <w:rsid w:val="07F324B2"/>
    <w:rsid w:val="08167996"/>
    <w:rsid w:val="089C4B49"/>
    <w:rsid w:val="09081517"/>
    <w:rsid w:val="091B747D"/>
    <w:rsid w:val="0A19737C"/>
    <w:rsid w:val="0B7218AA"/>
    <w:rsid w:val="0B99373B"/>
    <w:rsid w:val="0BA37CB5"/>
    <w:rsid w:val="0CF828D2"/>
    <w:rsid w:val="0D0429D6"/>
    <w:rsid w:val="0D093B48"/>
    <w:rsid w:val="0D322E51"/>
    <w:rsid w:val="0D6C338E"/>
    <w:rsid w:val="0DB37F58"/>
    <w:rsid w:val="0E912988"/>
    <w:rsid w:val="0F5E6610"/>
    <w:rsid w:val="10C055FF"/>
    <w:rsid w:val="11D56DF6"/>
    <w:rsid w:val="11ED6591"/>
    <w:rsid w:val="13367661"/>
    <w:rsid w:val="1378739D"/>
    <w:rsid w:val="150434E4"/>
    <w:rsid w:val="15E736F6"/>
    <w:rsid w:val="16BB723D"/>
    <w:rsid w:val="17BC7656"/>
    <w:rsid w:val="17EA348C"/>
    <w:rsid w:val="1840212F"/>
    <w:rsid w:val="184656CF"/>
    <w:rsid w:val="19943114"/>
    <w:rsid w:val="1AB026BC"/>
    <w:rsid w:val="1ABB32B6"/>
    <w:rsid w:val="1BF70747"/>
    <w:rsid w:val="1C06153F"/>
    <w:rsid w:val="1C215798"/>
    <w:rsid w:val="1C986C96"/>
    <w:rsid w:val="1D217B62"/>
    <w:rsid w:val="1D7371C3"/>
    <w:rsid w:val="1DC15647"/>
    <w:rsid w:val="1DDC2BB3"/>
    <w:rsid w:val="1E34479D"/>
    <w:rsid w:val="1EF81F78"/>
    <w:rsid w:val="1F620905"/>
    <w:rsid w:val="1FAF1B86"/>
    <w:rsid w:val="1FBC1997"/>
    <w:rsid w:val="201A6AB0"/>
    <w:rsid w:val="203B66A0"/>
    <w:rsid w:val="211A679A"/>
    <w:rsid w:val="230C2DF2"/>
    <w:rsid w:val="23902475"/>
    <w:rsid w:val="23AE1444"/>
    <w:rsid w:val="240371BF"/>
    <w:rsid w:val="2435534E"/>
    <w:rsid w:val="24534F10"/>
    <w:rsid w:val="24DF6C66"/>
    <w:rsid w:val="253D03DB"/>
    <w:rsid w:val="25A20B86"/>
    <w:rsid w:val="25B1070F"/>
    <w:rsid w:val="25DD571A"/>
    <w:rsid w:val="265C1D1F"/>
    <w:rsid w:val="26BB36DB"/>
    <w:rsid w:val="26C11216"/>
    <w:rsid w:val="271C5A93"/>
    <w:rsid w:val="276F1834"/>
    <w:rsid w:val="27B459F9"/>
    <w:rsid w:val="27C51E91"/>
    <w:rsid w:val="28513369"/>
    <w:rsid w:val="28BF6D42"/>
    <w:rsid w:val="29FD04D3"/>
    <w:rsid w:val="2CAE1BBE"/>
    <w:rsid w:val="2CCF04B2"/>
    <w:rsid w:val="2CF810DD"/>
    <w:rsid w:val="2E4C04E0"/>
    <w:rsid w:val="2F803D16"/>
    <w:rsid w:val="31810DA9"/>
    <w:rsid w:val="31903F88"/>
    <w:rsid w:val="319F7F4E"/>
    <w:rsid w:val="329448A6"/>
    <w:rsid w:val="32F45598"/>
    <w:rsid w:val="35244754"/>
    <w:rsid w:val="364D41F6"/>
    <w:rsid w:val="366B28CE"/>
    <w:rsid w:val="36FD0156"/>
    <w:rsid w:val="37955361"/>
    <w:rsid w:val="389554DB"/>
    <w:rsid w:val="38F8371D"/>
    <w:rsid w:val="39226F5F"/>
    <w:rsid w:val="39902098"/>
    <w:rsid w:val="39B26C5B"/>
    <w:rsid w:val="3A3A0F35"/>
    <w:rsid w:val="3A4E1148"/>
    <w:rsid w:val="3B660F53"/>
    <w:rsid w:val="3C8D2F9D"/>
    <w:rsid w:val="3CE0510E"/>
    <w:rsid w:val="3D1927CA"/>
    <w:rsid w:val="3D1E4B3E"/>
    <w:rsid w:val="3D8344ED"/>
    <w:rsid w:val="3E03620E"/>
    <w:rsid w:val="3E343C22"/>
    <w:rsid w:val="3F512FA9"/>
    <w:rsid w:val="3FAC4683"/>
    <w:rsid w:val="3FEA5DFB"/>
    <w:rsid w:val="401C35B7"/>
    <w:rsid w:val="4119235A"/>
    <w:rsid w:val="41677310"/>
    <w:rsid w:val="422C2C46"/>
    <w:rsid w:val="4251506E"/>
    <w:rsid w:val="43684120"/>
    <w:rsid w:val="43922F00"/>
    <w:rsid w:val="444F07DA"/>
    <w:rsid w:val="44601E28"/>
    <w:rsid w:val="44C550E9"/>
    <w:rsid w:val="45A831F7"/>
    <w:rsid w:val="475E72DC"/>
    <w:rsid w:val="47F514AF"/>
    <w:rsid w:val="4839282C"/>
    <w:rsid w:val="48FD75BD"/>
    <w:rsid w:val="4A5E47CC"/>
    <w:rsid w:val="4A745623"/>
    <w:rsid w:val="4BA75206"/>
    <w:rsid w:val="4C8D6A83"/>
    <w:rsid w:val="4D135D42"/>
    <w:rsid w:val="4D846266"/>
    <w:rsid w:val="4D8D78A2"/>
    <w:rsid w:val="4DF123A8"/>
    <w:rsid w:val="4E832A53"/>
    <w:rsid w:val="4F6F7A34"/>
    <w:rsid w:val="4FD74194"/>
    <w:rsid w:val="4FDA49F5"/>
    <w:rsid w:val="4FF11EB4"/>
    <w:rsid w:val="50AE413E"/>
    <w:rsid w:val="51E1640E"/>
    <w:rsid w:val="51EE42CA"/>
    <w:rsid w:val="52302EF2"/>
    <w:rsid w:val="52915A94"/>
    <w:rsid w:val="52ED6284"/>
    <w:rsid w:val="5322283B"/>
    <w:rsid w:val="532B0C13"/>
    <w:rsid w:val="53711643"/>
    <w:rsid w:val="53BE2B80"/>
    <w:rsid w:val="541505F1"/>
    <w:rsid w:val="54992FD0"/>
    <w:rsid w:val="55872E29"/>
    <w:rsid w:val="56D0674C"/>
    <w:rsid w:val="577E025B"/>
    <w:rsid w:val="58BA52C3"/>
    <w:rsid w:val="59E11CD3"/>
    <w:rsid w:val="5AD85405"/>
    <w:rsid w:val="5BE202EA"/>
    <w:rsid w:val="5CFA7F1D"/>
    <w:rsid w:val="5D6C73D6"/>
    <w:rsid w:val="5E2506F8"/>
    <w:rsid w:val="5E5D6E1D"/>
    <w:rsid w:val="5EA316D6"/>
    <w:rsid w:val="5F3A07D2"/>
    <w:rsid w:val="5F593A88"/>
    <w:rsid w:val="60651EAC"/>
    <w:rsid w:val="60BB3927"/>
    <w:rsid w:val="61461E30"/>
    <w:rsid w:val="62A42EE2"/>
    <w:rsid w:val="630D013F"/>
    <w:rsid w:val="630E4B89"/>
    <w:rsid w:val="63347FC4"/>
    <w:rsid w:val="63604CB9"/>
    <w:rsid w:val="637B10F9"/>
    <w:rsid w:val="63F5016D"/>
    <w:rsid w:val="64A36D0B"/>
    <w:rsid w:val="64C656C1"/>
    <w:rsid w:val="65DF63C9"/>
    <w:rsid w:val="662A7F2C"/>
    <w:rsid w:val="67612A8B"/>
    <w:rsid w:val="67A01CFD"/>
    <w:rsid w:val="68DA2DB6"/>
    <w:rsid w:val="69725134"/>
    <w:rsid w:val="6B4666B6"/>
    <w:rsid w:val="6CA35DD3"/>
    <w:rsid w:val="6CC85DA9"/>
    <w:rsid w:val="6D8F2D6B"/>
    <w:rsid w:val="6DC31436"/>
    <w:rsid w:val="6ECB49CF"/>
    <w:rsid w:val="6ECB5A2B"/>
    <w:rsid w:val="6F6A7D27"/>
    <w:rsid w:val="70202A42"/>
    <w:rsid w:val="72227D09"/>
    <w:rsid w:val="72E476B5"/>
    <w:rsid w:val="73BE3A62"/>
    <w:rsid w:val="746C7E4B"/>
    <w:rsid w:val="750E6C6B"/>
    <w:rsid w:val="755E374E"/>
    <w:rsid w:val="76377F56"/>
    <w:rsid w:val="764B35A7"/>
    <w:rsid w:val="78A4106B"/>
    <w:rsid w:val="79975481"/>
    <w:rsid w:val="79F60BE5"/>
    <w:rsid w:val="7A1B4027"/>
    <w:rsid w:val="7A965738"/>
    <w:rsid w:val="7ABC1C9C"/>
    <w:rsid w:val="7B022DCE"/>
    <w:rsid w:val="7B272834"/>
    <w:rsid w:val="7B8F71DF"/>
    <w:rsid w:val="7CAA54CB"/>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7"/>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next w:val="1"/>
    <w:link w:val="3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5"/>
    <w:semiHidden/>
    <w:unhideWhenUsed/>
    <w:qFormat/>
    <w:uiPriority w:val="99"/>
    <w:pPr>
      <w:tabs>
        <w:tab w:val="center" w:pos="4153"/>
        <w:tab w:val="right" w:pos="8306"/>
      </w:tabs>
      <w:snapToGrid w:val="0"/>
      <w:jc w:val="left"/>
    </w:pPr>
    <w:rPr>
      <w:sz w:val="18"/>
      <w:szCs w:val="18"/>
    </w:rPr>
  </w:style>
  <w:style w:type="paragraph" w:styleId="11">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qFormat/>
    <w:uiPriority w:val="99"/>
    <w:rPr>
      <w:rFonts w:cs="Times New Roman"/>
      <w:color w:val="323232"/>
      <w:u w:val="none"/>
    </w:rPr>
  </w:style>
  <w:style w:type="character" w:styleId="20">
    <w:name w:val="annotation reference"/>
    <w:basedOn w:val="17"/>
    <w:semiHidden/>
    <w:unhideWhenUsed/>
    <w:qFormat/>
    <w:uiPriority w:val="99"/>
    <w:rPr>
      <w:sz w:val="21"/>
      <w:szCs w:val="21"/>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7"/>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7"/>
    <w:semiHidden/>
    <w:qFormat/>
    <w:uiPriority w:val="99"/>
    <w:rPr>
      <w:rFonts w:ascii="Times New Roman" w:hAnsi="Times New Roman"/>
      <w:szCs w:val="24"/>
    </w:rPr>
  </w:style>
  <w:style w:type="character" w:customStyle="1" w:styleId="27">
    <w:name w:val="正文文本 字符"/>
    <w:link w:val="7"/>
    <w:qFormat/>
    <w:locked/>
    <w:uiPriority w:val="99"/>
    <w:rPr>
      <w:rFonts w:ascii="仿宋_GB2312" w:hAnsi="Times New Roman" w:eastAsia="仿宋_GB2312"/>
      <w:sz w:val="24"/>
    </w:rPr>
  </w:style>
  <w:style w:type="paragraph" w:styleId="28">
    <w:name w:val="List Paragraph"/>
    <w:basedOn w:val="1"/>
    <w:qFormat/>
    <w:uiPriority w:val="34"/>
    <w:pPr>
      <w:ind w:firstLine="420" w:firstLineChars="200"/>
    </w:pPr>
  </w:style>
  <w:style w:type="character" w:customStyle="1" w:styleId="29">
    <w:name w:val="标题 1 字符"/>
    <w:basedOn w:val="17"/>
    <w:link w:val="2"/>
    <w:qFormat/>
    <w:uiPriority w:val="9"/>
    <w:rPr>
      <w:rFonts w:ascii="Times New Roman" w:hAnsi="Times New Roman"/>
      <w:b/>
      <w:bCs/>
      <w:kern w:val="44"/>
      <w:sz w:val="44"/>
      <w:szCs w:val="44"/>
    </w:rPr>
  </w:style>
  <w:style w:type="character" w:customStyle="1" w:styleId="30">
    <w:name w:val="标题 2 字符"/>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4"/>
    <w:qFormat/>
    <w:uiPriority w:val="9"/>
    <w:rPr>
      <w:rFonts w:ascii="Times New Roman" w:hAnsi="Times New Roman"/>
      <w:b/>
      <w:bCs/>
      <w:kern w:val="2"/>
      <w:sz w:val="32"/>
      <w:szCs w:val="32"/>
    </w:rPr>
  </w:style>
  <w:style w:type="paragraph" w:styleId="3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5">
    <w:name w:val="无间隔 字符"/>
    <w:basedOn w:val="17"/>
    <w:link w:val="7"/>
    <w:qFormat/>
    <w:uiPriority w:val="1"/>
  </w:style>
  <w:style w:type="character" w:customStyle="1" w:styleId="36">
    <w:name w:val="页眉 字符1"/>
    <w:basedOn w:val="17"/>
    <w:link w:val="2"/>
    <w:semiHidden/>
    <w:qFormat/>
    <w:uiPriority w:val="99"/>
    <w:rPr>
      <w:sz w:val="18"/>
      <w:szCs w:val="18"/>
    </w:rPr>
  </w:style>
  <w:style w:type="character" w:customStyle="1" w:styleId="37">
    <w:name w:val="页脚 字符1"/>
    <w:basedOn w:val="17"/>
    <w:link w:val="5"/>
    <w:semiHidden/>
    <w:qFormat/>
    <w:uiPriority w:val="99"/>
    <w:rPr>
      <w:sz w:val="18"/>
      <w:szCs w:val="18"/>
    </w:rPr>
  </w:style>
  <w:style w:type="character" w:customStyle="1" w:styleId="38">
    <w:name w:val="apple-converted-space"/>
    <w:basedOn w:val="17"/>
    <w:qFormat/>
    <w:uiPriority w:val="0"/>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{421.97,1631.19}</c:f>
              <c:numCache>
                <c:formatCode>General</c:formatCode>
                <c:ptCount val="2"/>
                <c:pt idx="0">
                  <c:v>421.97</c:v>
                </c:pt>
                <c:pt idx="1">
                  <c:v>1631.19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{421.97,1631.19}</c:f>
              <c:numCache>
                <c:formatCode>General</c:formatCode>
                <c:ptCount val="2"/>
                <c:pt idx="0">
                  <c:v>421.97</c:v>
                </c:pt>
                <c:pt idx="1">
                  <c:v>1631.19</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{16311944.34,0,0,0,0,0,0,0}</c:f>
              <c:numCache>
                <c:formatCode>General</c:formatCode>
                <c:ptCount val="8"/>
                <c:pt idx="0">
                  <c:v>16311944.34</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{2061989.44,14249954.9,0,0,0}</c:f>
              <c:numCache>
                <c:formatCode>General</c:formatCode>
                <c:ptCount val="5"/>
                <c:pt idx="0">
                  <c:v>2061989.44</c:v>
                </c:pt>
                <c:pt idx="1">
                  <c:v>14249954.9</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{421.97,1631.19}</c:f>
              <c:numCache>
                <c:formatCode>General</c:formatCode>
                <c:ptCount val="2"/>
                <c:pt idx="0">
                  <c:v>421.97</c:v>
                </c:pt>
                <c:pt idx="1">
                  <c:v>1631.19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{421.97,1631.19}</c:f>
              <c:numCache>
                <c:formatCode>General</c:formatCode>
                <c:ptCount val="2"/>
                <c:pt idx="0">
                  <c:v>421.97</c:v>
                </c:pt>
                <c:pt idx="1">
                  <c:v>1631.19</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{421.97}</c:f>
              <c:numCache>
                <c:formatCode>General</c:formatCode>
                <c:ptCount val="1"/>
                <c:pt idx="0">
                  <c:v>421.97</c:v>
                </c:pt>
              </c:numCache>
            </c:numRef>
          </c:val>
        </c:ser>
        <c:ser>
          <c:idx val="2"/>
          <c:order val="1"/>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{1631.19}</c:f>
              <c:numCache>
                <c:formatCode>General</c:formatCode>
                <c:ptCount val="1"/>
                <c:pt idx="0">
                  <c:v>1631.19</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c:f>
              <c:strCache>
                <c:ptCount val="4"/>
                <c:pt idx="0">
                  <c:v>社会保障和就业支出</c:v>
                </c:pt>
                <c:pt idx="1">
                  <c:v>卫生健康支出</c:v>
                </c:pt>
                <c:pt idx="2">
                  <c:v>农林水支出</c:v>
                </c:pt>
                <c:pt idx="3">
                  <c:v>住房保障支出</c:v>
                </c:pt>
              </c:strCache>
            </c:strRef>
          </c:cat>
          <c:val>
            <c:numRef>
              <c:f>{1488.69,8.8,121,12.71}</c:f>
              <c:numCache>
                <c:formatCode>General</c:formatCode>
                <c:ptCount val="4"/>
                <c:pt idx="0">
                  <c:v>1488.69</c:v>
                </c:pt>
                <c:pt idx="1">
                  <c:v>8.8</c:v>
                </c:pt>
                <c:pt idx="2">
                  <c:v>121</c:v>
                </c:pt>
                <c:pt idx="3">
                  <c:v>12.71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{0,27.28,0}</c:f>
              <c:numCache>
                <c:formatCode>General</c:formatCode>
                <c:ptCount val="3"/>
                <c:pt idx="0">
                  <c:v>0</c:v>
                </c:pt>
                <c:pt idx="1">
                  <c:v>27.28</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16</Pages>
  <Words>3305</Words>
  <Characters>4960</Characters>
  <Lines>51</Lines>
  <Paragraphs>14</Paragraphs>
  <TotalTime>3</TotalTime>
  <ScaleCrop>false</ScaleCrop>
  <LinksUpToDate>false</LinksUpToDate>
  <CharactersWithSpaces>5011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admin</cp:lastModifiedBy>
  <cp:lastPrinted>2023-09-10T09:10:00Z</cp:lastPrinted>
  <dcterms:modified xsi:type="dcterms:W3CDTF">2023-09-11T09:31:12Z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B93CA6F4BEAD4F359769D1203595D585</vt:lpwstr>
  </property>
</Properties>
</file>