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597"/>
      <w:bookmarkStart w:id="1" w:name="_Toc15377425"/>
      <w:bookmarkStart w:id="2" w:name="_Toc15378441"/>
      <w:bookmarkStart w:id="3" w:name="_Toc15377193"/>
      <w:bookmarkStart w:id="4" w:name="_Toc15396475"/>
      <w:bookmarkStart w:id="5" w:name="_Toc15306267"/>
    </w:p>
    <w:p>
      <w:pPr>
        <w:pStyle w:val="5"/>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96598"/>
      <w:bookmarkStart w:id="7" w:name="_Toc15378442"/>
      <w:bookmarkStart w:id="8" w:name="_Toc15396476"/>
      <w:bookmarkStart w:id="9" w:name="_Toc15377426"/>
      <w:bookmarkStart w:id="10" w:name="_Toc15377194"/>
      <w:bookmarkStart w:id="11" w:name="_Toc15306268"/>
      <w:r>
        <w:rPr>
          <w:rFonts w:hint="eastAsia" w:asciiTheme="minorEastAsia" w:hAnsiTheme="minorEastAsia" w:eastAsiaTheme="minorEastAsia"/>
          <w:b/>
          <w:sz w:val="72"/>
          <w:szCs w:val="72"/>
          <w:lang w:val="en-US" w:eastAsia="zh-CN"/>
        </w:rPr>
        <w:t>四川省</w:t>
      </w:r>
      <w:r>
        <w:rPr>
          <w:rFonts w:asciiTheme="minorEastAsia" w:hAnsiTheme="minorEastAsia" w:eastAsiaTheme="minorEastAsia"/>
          <w:b/>
          <w:sz w:val="72"/>
          <w:szCs w:val="72"/>
        </w:rPr>
        <w:t>茂县农民工服务中心（事业）</w:t>
      </w:r>
      <w:r>
        <w:rPr>
          <w:rFonts w:hint="eastAsia" w:asciiTheme="minorEastAsia" w:hAnsiTheme="minorEastAsia" w:eastAsiaTheme="minorEastAsia"/>
          <w:b/>
          <w:sz w:val="72"/>
          <w:szCs w:val="72"/>
        </w:rPr>
        <w:t>部门决算</w:t>
      </w:r>
      <w:bookmarkEnd w:id="6"/>
      <w:bookmarkEnd w:id="7"/>
      <w:bookmarkEnd w:id="8"/>
      <w:bookmarkEnd w:id="9"/>
      <w:bookmarkEnd w:id="10"/>
      <w:bookmarkEnd w:id="11"/>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tabs>
          <w:tab w:val="left" w:pos="3600"/>
        </w:tabs>
      </w:pPr>
      <w:r>
        <w:tab/>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9"/>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9"/>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9"/>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9"/>
          <w:rFonts w:hint="eastAsia" w:ascii="黑体" w:hAnsi="黑体" w:eastAsia="黑体" w:cs="黑体"/>
        </w:rPr>
        <w:t>第二部分</w:t>
      </w:r>
      <w:r>
        <w:rPr>
          <w:rStyle w:val="19"/>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9"/>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9"/>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9"/>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9"/>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9"/>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9"/>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9"/>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9"/>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9"/>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9"/>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9"/>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9"/>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9"/>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9"/>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9"/>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9"/>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9"/>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9"/>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9"/>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9"/>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9"/>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9"/>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9"/>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9"/>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9"/>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9"/>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9"/>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5"/>
      </w:pPr>
      <w:r>
        <w:rPr>
          <w:smallCaps/>
          <w:szCs w:val="20"/>
        </w:rPr>
        <w:fldChar w:fldCharType="end"/>
      </w:r>
    </w:p>
    <w:p>
      <w:pPr>
        <w:pStyle w:val="2"/>
        <w:jc w:val="center"/>
        <w:rPr>
          <w:rFonts w:hint="eastAsia" w:ascii="黑体" w:hAnsi="黑体" w:eastAsia="黑体" w:cs="黑体"/>
        </w:rPr>
        <w:sectPr>
          <w:footerReference r:id="rId4" w:type="first"/>
          <w:headerReference r:id="rId3" w:type="default"/>
          <w:pgSz w:w="11906" w:h="16838"/>
          <w:pgMar w:top="1440" w:right="1800" w:bottom="1440" w:left="1800" w:header="851" w:footer="992" w:gutter="0"/>
          <w:cols w:space="425" w:num="1"/>
          <w:docGrid w:type="lines" w:linePitch="312" w:charSpace="0"/>
        </w:sectPr>
      </w:pPr>
      <w:bookmarkStart w:id="13" w:name="_Toc111208495"/>
      <w:bookmarkStart w:id="14" w:name="_Toc113981009"/>
    </w:p>
    <w:p>
      <w:pPr>
        <w:pStyle w:val="2"/>
        <w:jc w:val="center"/>
        <w:rPr>
          <w:rFonts w:ascii="黑体" w:hAnsi="黑体" w:eastAsia="黑体" w:cs="黑体"/>
          <w:b w:val="0"/>
          <w:bCs w:val="0"/>
        </w:rPr>
      </w:pPr>
      <w:r>
        <w:rPr>
          <w:rFonts w:hint="eastAsia" w:ascii="黑体" w:hAnsi="黑体" w:eastAsia="黑体" w:cs="黑体"/>
        </w:rPr>
        <w:t xml:space="preserve">第一部分 </w:t>
      </w:r>
      <w:r>
        <w:rPr>
          <w:rStyle w:val="29"/>
          <w:rFonts w:hint="eastAsia" w:ascii="黑体" w:hAnsi="黑体" w:eastAsia="黑体" w:cs="黑体"/>
          <w:b/>
          <w:bCs w:val="0"/>
        </w:rPr>
        <w:t>部门概况</w:t>
      </w:r>
      <w:bookmarkEnd w:id="12"/>
      <w:bookmarkEnd w:id="13"/>
      <w:bookmarkEnd w:id="14"/>
    </w:p>
    <w:p>
      <w:pPr>
        <w:pStyle w:val="3"/>
        <w:ind w:firstLine="643" w:firstLineChars="200"/>
        <w:rPr>
          <w:rFonts w:ascii="黑体" w:eastAsia="黑体" w:cs="Times New Roman"/>
          <w:bCs w:val="0"/>
          <w:color w:val="000000"/>
        </w:rPr>
      </w:pPr>
      <w:bookmarkStart w:id="15" w:name="_Toc15377197"/>
      <w:bookmarkStart w:id="16" w:name="_Toc113981010"/>
      <w:bookmarkStart w:id="17" w:name="_Toc111208496"/>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spacing w:line="600" w:lineRule="exact"/>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rPr>
        <w:t>（一）主要职能</w:t>
      </w:r>
      <w:bookmarkEnd w:id="18"/>
      <w:bookmarkEnd w:id="19"/>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1.负责宣传和贯彻落实国家就业创业和失业保险有关的方针政策和法律法规。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2.组织实施全县城乡就业创业工作，负责城乡就业创业工作目标管理及考核，为城乡劳动者提供就业创业服务。加强对就业困难人员、“零就业家庭”成员等群体的就业援助工作，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3.按规定使用就业专项资金和失业保险基金承担失业保险政策宣传及失业保险基金的管理、失业保险待遇的审核、发放及有关经办服务工作。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4.建立农村劳动力资源数据库，为城乡劳动者提供就业政策法规咨询，发布职业供求信息以及职业培训信息，办理求职登记，就业登记、失业登记等事务，开展职业指导和职业介绍，组织实施劳务转移。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5.负责拟定全县就业创业培训和品牌培训工作发展规划和年度计划；负责牵头组织各类就业培训和管理；统一管理培训资金；承担职业能力建设相关业务经办工作。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6.以创业带动就业，全面落实小额担保贷款贴息、社保补贴等扶持政策，促使各类失业人员通过从事个体经营、自谋职业、灵活就业、创办企业带动和吸纳就业。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7.做好未就业高校毕业生参加就业见习和自主创业工作，落实好高校毕业生创业补贴政策。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8.大力开发公益性岗位，落实岗位补贴及社保补贴。
</w:t>
      </w:r>
    </w:p>
    <w:p>
      <w:pPr>
        <w:spacing w:line="600" w:lineRule="exact"/>
        <w:ind w:firstLine="640" w:firstLineChars="200"/>
        <w:outlineLvl w:val="2"/>
      </w:pPr>
      <w:r>
        <w:rPr>
          <w:rFonts w:ascii="仿宋" w:hAnsi="仿宋" w:eastAsia="仿宋"/>
          <w:color w:val="000000"/>
          <w:sz w:val="32"/>
          <w:szCs w:val="32"/>
        </w:rPr>
        <w:t>9.承担全县就业培训、创业指导、失业保险、农村劳动力转移、劳服企业经营情况等各方面统计数据的汇总、分析和统计工作。</w:t>
      </w:r>
    </w:p>
    <w:p>
      <w:pPr>
        <w:spacing w:line="600" w:lineRule="exact"/>
        <w:ind w:firstLine="643" w:firstLineChars="200"/>
        <w:outlineLvl w:val="2"/>
        <w:rPr>
          <w:rFonts w:hint="eastAsia" w:ascii="仿宋" w:hAnsi="仿宋" w:eastAsia="仿宋"/>
          <w:b/>
          <w:color w:val="000000"/>
          <w:sz w:val="32"/>
          <w:szCs w:val="32"/>
        </w:rPr>
      </w:pPr>
      <w:bookmarkStart w:id="20" w:name="_Toc15377199"/>
      <w:bookmarkStart w:id="21" w:name="_Toc15378446"/>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完成2021年城镇新增就业832人，完成年度目标104%；城镇失业人员再就业79人，完成年度目标112.86%；就业困难人员再就业10人，完成年度目标100%；城镇登记失业率3.7%，控制在3.9%以内；离校未就业毕业生已实现就业或处于就业准备活动中的比例达到99%；新增青年就业见习32人，完成年度目标106.67%。发放小额担保贷款230万元，完成年度目标100%。转移输出农村劳动力1.9979万人，实现劳务收入5.83亿元。全县参加失业保险人数9136人。</w:t>
      </w:r>
    </w:p>
    <w:p>
      <w:pPr>
        <w:pStyle w:val="3"/>
        <w:ind w:firstLine="643" w:firstLineChars="200"/>
        <w:rPr>
          <w:rFonts w:ascii="仿宋" w:hAnsi="仿宋" w:eastAsia="仿宋" w:cs="Times New Roman"/>
          <w:b w:val="0"/>
          <w:bCs w:val="0"/>
          <w:color w:val="000000"/>
          <w:kern w:val="2"/>
          <w:sz w:val="32"/>
          <w:szCs w:val="32"/>
          <w:lang w:val="en-US" w:eastAsia="zh-CN" w:bidi="ar-SA"/>
        </w:rPr>
      </w:pPr>
      <w:bookmarkStart w:id="23" w:name="_Toc113981011"/>
      <w:bookmarkStart w:id="24" w:name="_Toc111208497"/>
      <w:r>
        <w:rPr>
          <w:rFonts w:hint="eastAsia" w:ascii="黑体" w:eastAsia="黑体" w:cs="Times New Roman"/>
          <w:bCs w:val="0"/>
          <w:color w:val="000000"/>
        </w:rPr>
        <w:t>二、机构设置</w:t>
      </w:r>
      <w:bookmarkEnd w:id="22"/>
      <w:bookmarkEnd w:id="23"/>
      <w:bookmarkEnd w:id="24"/>
      <w:r>
        <w:rPr>
          <w:rFonts w:ascii="仿宋" w:hAnsi="仿宋" w:eastAsia="仿宋"/>
          <w:color w:val="000000"/>
          <w:sz w:val="32"/>
          <w:szCs w:val="32"/>
        </w:rPr>
        <w:br w:type="textWrapping"/>
      </w:r>
      <w:r>
        <w:rPr>
          <w:rFonts w:ascii="仿宋" w:hAnsi="仿宋" w:eastAsia="仿宋"/>
          <w:color w:val="000000"/>
          <w:sz w:val="32"/>
          <w:szCs w:val="32"/>
        </w:rPr>
        <w:tab/>
      </w:r>
      <w:r>
        <w:rPr>
          <w:rFonts w:ascii="仿宋" w:hAnsi="仿宋" w:eastAsia="仿宋" w:cs="Times New Roman"/>
          <w:b w:val="0"/>
          <w:bCs w:val="0"/>
          <w:color w:val="000000"/>
          <w:kern w:val="2"/>
          <w:sz w:val="32"/>
          <w:szCs w:val="32"/>
          <w:lang w:val="en-US" w:eastAsia="zh-CN" w:bidi="ar-SA"/>
        </w:rPr>
        <w:t xml:space="preserve"> </w:t>
      </w:r>
      <w:r>
        <w:rPr>
          <w:rFonts w:hint="eastAsia" w:ascii="仿宋" w:hAnsi="仿宋" w:eastAsia="仿宋" w:cs="Times New Roman"/>
          <w:b w:val="0"/>
          <w:bCs w:val="0"/>
          <w:color w:val="000000"/>
          <w:kern w:val="2"/>
          <w:sz w:val="32"/>
          <w:szCs w:val="32"/>
          <w:lang w:val="en-US" w:eastAsia="zh-CN" w:bidi="ar-SA"/>
        </w:rPr>
        <w:t>茂县公共就业和人才交流服务局是参照公务员法管理的事业单位，属一级预算单位，下属二级预算单位0个。</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2"/>
        <w:jc w:val="center"/>
        <w:rPr>
          <w:rFonts w:ascii="黑体" w:hAnsi="黑体" w:eastAsia="黑体" w:cs="黑体"/>
        </w:rPr>
      </w:pPr>
      <w:bookmarkStart w:id="26" w:name="_Toc111208498"/>
      <w:bookmarkStart w:id="27" w:name="_Toc11398101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3"/>
        <w:ind w:firstLine="643"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hint="eastAsia" w:ascii="仿宋_GB2312" w:hAnsi="仿宋" w:eastAsia="仿宋"/>
          <w:color w:val="00B0F0"/>
          <w:sz w:val="32"/>
          <w:szCs w:val="32"/>
          <w:lang w:eastAsia="zh-CN"/>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95.72</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增加27.17</w:t>
      </w:r>
      <w:r>
        <w:rPr>
          <w:rFonts w:hint="eastAsia" w:ascii="仿宋" w:hAnsi="仿宋" w:eastAsia="仿宋"/>
          <w:color w:val="000000"/>
          <w:sz w:val="32"/>
          <w:szCs w:val="32"/>
        </w:rPr>
        <w:t>万元，</w:t>
      </w:r>
      <w:r>
        <w:rPr>
          <w:rFonts w:ascii="仿宋" w:hAnsi="仿宋" w:eastAsia="仿宋"/>
          <w:color w:val="000000"/>
          <w:sz w:val="32"/>
          <w:szCs w:val="32"/>
        </w:rPr>
        <w:t>增加39.64</w:t>
      </w:r>
      <w:r>
        <w:rPr>
          <w:rFonts w:hint="eastAsia" w:ascii="仿宋" w:hAnsi="仿宋" w:eastAsia="仿宋"/>
          <w:color w:val="000000"/>
          <w:sz w:val="32"/>
          <w:szCs w:val="32"/>
        </w:rPr>
        <w:t>%。主要变动原因是人员变动</w:t>
      </w:r>
      <w:r>
        <w:rPr>
          <w:rFonts w:hint="eastAsia" w:ascii="仿宋" w:hAnsi="仿宋" w:eastAsia="仿宋"/>
          <w:color w:val="000000"/>
          <w:sz w:val="32"/>
          <w:szCs w:val="32"/>
          <w:lang w:eastAsia="zh-CN"/>
        </w:rPr>
        <w:t>。</w:t>
      </w:r>
    </w:p>
    <w:p>
      <w:pPr>
        <w:spacing w:line="600" w:lineRule="exact"/>
        <w:jc w:val="center"/>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5"/>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3"/>
        <w:ind w:firstLine="643" w:firstLineChars="200"/>
        <w:rPr>
          <w:rFonts w:ascii="黑体" w:eastAsia="黑体" w:cs="Times New Roman"/>
          <w:bCs w:val="0"/>
          <w:color w:val="000000"/>
        </w:rPr>
      </w:pPr>
      <w:bookmarkStart w:id="31" w:name="_Toc111208500"/>
      <w:bookmarkStart w:id="32" w:name="_Toc113981014"/>
      <w:bookmarkStart w:id="33" w:name="_Toc15377206"/>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2021年本年收入合计95.72万元，其中：一般公共预算财政拨款收入95.72万元，占10</w:t>
      </w:r>
      <w:r>
        <w:rPr>
          <w:rFonts w:hint="eastAsia" w:ascii="仿宋" w:hAnsi="仿宋" w:eastAsia="仿宋"/>
          <w:color w:val="000000"/>
          <w:sz w:val="32"/>
          <w:szCs w:val="32"/>
          <w:lang w:eastAsia="zh-CN"/>
        </w:rPr>
        <w:t>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万元；国有资本经营预算财政拨款收入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ind w:firstLine="643" w:firstLineChars="200"/>
        <w:rPr>
          <w:rFonts w:ascii="黑体" w:eastAsia="黑体" w:cs="Times New Roman"/>
          <w:bCs w:val="0"/>
          <w:color w:val="000000"/>
        </w:rPr>
      </w:pPr>
      <w:bookmarkStart w:id="34" w:name="_Toc111208501"/>
      <w:bookmarkStart w:id="35" w:name="_Toc15377207"/>
      <w:bookmarkStart w:id="36" w:name="_Toc113981015"/>
      <w:r>
        <w:rPr>
          <w:rFonts w:hint="eastAsia" w:ascii="黑体" w:eastAsia="黑体" w:cs="Times New Roman"/>
          <w:bCs w:val="0"/>
          <w:color w:val="000000"/>
        </w:rPr>
        <w:t>三、支出决算情况说明</w:t>
      </w:r>
      <w:bookmarkEnd w:id="34"/>
      <w:bookmarkEnd w:id="35"/>
      <w:bookmarkEnd w:id="36"/>
    </w:p>
    <w:p>
      <w:pPr>
        <w:pStyle w:val="5"/>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95.72</w:t>
      </w:r>
      <w:r>
        <w:rPr>
          <w:rFonts w:ascii="仿宋" w:hAnsi="仿宋" w:eastAsia="仿宋"/>
          <w:color w:val="000000"/>
          <w:sz w:val="32"/>
          <w:szCs w:val="32"/>
        </w:rPr>
        <w:t>万元，其中：基本支出</w:t>
      </w:r>
      <w:r>
        <w:rPr>
          <w:rFonts w:hint="eastAsia" w:ascii="仿宋" w:hAnsi="仿宋" w:eastAsia="仿宋"/>
          <w:color w:val="000000"/>
          <w:sz w:val="32"/>
          <w:szCs w:val="32"/>
        </w:rPr>
        <w:t>95.72</w:t>
      </w:r>
      <w:r>
        <w:rPr>
          <w:rFonts w:ascii="仿宋" w:hAnsi="仿宋" w:eastAsia="仿宋"/>
          <w:color w:val="000000"/>
          <w:sz w:val="32"/>
          <w:szCs w:val="32"/>
        </w:rPr>
        <w:t>万元，占</w:t>
      </w:r>
      <w:r>
        <w:rPr>
          <w:rFonts w:hint="eastAsia" w:ascii="仿宋" w:hAnsi="仿宋" w:eastAsia="仿宋"/>
          <w:color w:val="000000"/>
          <w:sz w:val="32"/>
          <w:szCs w:val="32"/>
        </w:rPr>
        <w:t>10</w:t>
      </w:r>
      <w:r>
        <w:rPr>
          <w:rFonts w:hint="eastAsia" w:ascii="仿宋" w:hAnsi="仿宋" w:eastAsia="仿宋"/>
          <w:color w:val="000000"/>
          <w:sz w:val="32"/>
          <w:szCs w:val="32"/>
          <w:lang w:eastAsia="zh-CN"/>
        </w:rPr>
        <w:t>0</w:t>
      </w:r>
      <w:r>
        <w:rPr>
          <w:rFonts w:ascii="仿宋" w:hAnsi="仿宋" w:eastAsia="仿宋"/>
          <w:color w:val="000000"/>
          <w:sz w:val="32"/>
          <w:szCs w:val="32"/>
        </w:rPr>
        <w:t>%；项目支出</w:t>
      </w:r>
      <w:r>
        <w:rPr>
          <w:rFonts w:hint="eastAsia" w:ascii="仿宋" w:hAnsi="仿宋" w:eastAsia="仿宋"/>
          <w:color w:val="000000"/>
          <w:sz w:val="32"/>
          <w:szCs w:val="32"/>
          <w:lang w:eastAsia="zh-CN"/>
        </w:rPr>
        <w:t>0</w:t>
      </w:r>
      <w:r>
        <w:rPr>
          <w:rFonts w:ascii="仿宋" w:hAnsi="仿宋" w:eastAsia="仿宋"/>
          <w:color w:val="000000"/>
          <w:sz w:val="32"/>
          <w:szCs w:val="32"/>
        </w:rPr>
        <w:t>万元；上缴上级支出</w:t>
      </w:r>
      <w:r>
        <w:rPr>
          <w:rFonts w:hint="eastAsia" w:ascii="仿宋" w:hAnsi="仿宋" w:eastAsia="仿宋"/>
          <w:color w:val="000000"/>
          <w:sz w:val="32"/>
          <w:szCs w:val="32"/>
          <w:lang w:eastAsia="zh-CN"/>
        </w:rPr>
        <w:t>0</w:t>
      </w:r>
      <w:r>
        <w:rPr>
          <w:rFonts w:ascii="仿宋" w:hAnsi="仿宋" w:eastAsia="仿宋"/>
          <w:color w:val="000000"/>
          <w:sz w:val="32"/>
          <w:szCs w:val="32"/>
        </w:rPr>
        <w:t>万元；经营支出</w:t>
      </w:r>
      <w:r>
        <w:rPr>
          <w:rFonts w:hint="eastAsia" w:ascii="仿宋" w:hAnsi="仿宋" w:eastAsia="仿宋"/>
          <w:color w:val="000000"/>
          <w:sz w:val="32"/>
          <w:szCs w:val="32"/>
          <w:lang w:eastAsia="zh-CN"/>
        </w:rPr>
        <w:t>0</w:t>
      </w:r>
      <w:r>
        <w:rPr>
          <w:rFonts w:ascii="仿宋" w:hAnsi="仿宋" w:eastAsia="仿宋"/>
          <w:color w:val="000000"/>
          <w:sz w:val="32"/>
          <w:szCs w:val="32"/>
        </w:rPr>
        <w:t>万元；对附属单位补助支出</w:t>
      </w:r>
      <w:r>
        <w:rPr>
          <w:rFonts w:hint="eastAsia" w:ascii="仿宋" w:hAnsi="仿宋" w:eastAsia="仿宋"/>
          <w:color w:val="000000"/>
          <w:sz w:val="32"/>
          <w:szCs w:val="32"/>
          <w:lang w:eastAsia="zh-CN"/>
        </w:rPr>
        <w:t>0</w:t>
      </w:r>
      <w:r>
        <w:rPr>
          <w:rFonts w:ascii="仿宋" w:hAnsi="仿宋" w:eastAsia="仿宋"/>
          <w:color w:val="000000"/>
          <w:sz w:val="32"/>
          <w:szCs w:val="32"/>
        </w:rPr>
        <w:t>万元。</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
      </w:pPr>
    </w:p>
    <w:p>
      <w:pPr>
        <w:pStyle w:val="3"/>
        <w:ind w:firstLine="643" w:firstLineChars="200"/>
        <w:rPr>
          <w:rFonts w:ascii="黑体" w:eastAsia="黑体" w:cs="Times New Roman"/>
          <w:bCs w:val="0"/>
          <w:color w:val="000000"/>
        </w:rPr>
      </w:pPr>
      <w:bookmarkStart w:id="37" w:name="_Toc113981016"/>
      <w:bookmarkStart w:id="38" w:name="_Toc15377208"/>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2021年财政拨款收、支总计95.72万元。与2020年相比，财政拨款收、支总计各增加27.17万元，增加39.64%。主要变动原因是人员变动</w:t>
      </w:r>
      <w:r>
        <w:rPr>
          <w:rFonts w:hint="eastAsia" w:ascii="仿宋" w:hAnsi="仿宋" w:eastAsia="仿宋"/>
          <w:color w:val="000000"/>
          <w:sz w:val="32"/>
          <w:szCs w:val="32"/>
          <w:lang w:eastAsia="zh-CN"/>
        </w:rPr>
        <w:t>。</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5"/>
        <w:ind w:firstLine="0"/>
      </w:pPr>
    </w:p>
    <w:p>
      <w:pPr>
        <w:pStyle w:val="5"/>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5"/>
        <w:jc w:val="center"/>
      </w:pPr>
    </w:p>
    <w:p>
      <w:pPr>
        <w:pStyle w:val="3"/>
        <w:ind w:firstLine="643"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hint="eastAsia" w:ascii="仿宋_GB2312" w:hAnsi="仿宋" w:eastAsia="仿宋"/>
          <w:color w:val="000000"/>
          <w:sz w:val="32"/>
          <w:szCs w:val="32"/>
          <w:lang w:eastAsia="zh-CN"/>
        </w:rPr>
      </w:pPr>
      <w:bookmarkStart w:id="44" w:name="_Toc15377211"/>
      <w:r>
        <w:rPr>
          <w:rFonts w:hint="eastAsia" w:ascii="仿宋" w:hAnsi="仿宋" w:eastAsia="仿宋"/>
          <w:color w:val="000000"/>
          <w:sz w:val="32"/>
          <w:szCs w:val="32"/>
        </w:rPr>
        <w:t>2021年一般公共预算财政拨款支出95.72万元，占本年支出合计的10</w:t>
      </w:r>
      <w:r>
        <w:rPr>
          <w:rFonts w:hint="eastAsia" w:ascii="仿宋" w:hAnsi="仿宋" w:eastAsia="仿宋"/>
          <w:color w:val="000000"/>
          <w:sz w:val="32"/>
          <w:szCs w:val="32"/>
          <w:lang w:eastAsia="zh-CN"/>
        </w:rPr>
        <w:t>0</w:t>
      </w:r>
      <w:r>
        <w:rPr>
          <w:rFonts w:hint="eastAsia" w:ascii="仿宋" w:hAnsi="仿宋" w:eastAsia="仿宋"/>
          <w:color w:val="000000"/>
          <w:sz w:val="32"/>
          <w:szCs w:val="32"/>
        </w:rPr>
        <w:t>%。与2020相比，一般公共预算财政拨款增加27.17万元，增加39.64%。主要变动原因是人员变动</w:t>
      </w:r>
      <w:r>
        <w:rPr>
          <w:rFonts w:hint="eastAsia" w:ascii="仿宋" w:hAnsi="仿宋" w:eastAsia="仿宋"/>
          <w:color w:val="000000"/>
          <w:sz w:val="32"/>
          <w:szCs w:val="32"/>
          <w:lang w:eastAsia="zh-CN"/>
        </w:rPr>
        <w:t>。</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5"/>
        <w:ind w:firstLine="0"/>
        <w:rPr>
          <w:rFonts w:ascii="仿宋_GB2312" w:hAnsi="仿宋" w:eastAsia="仿宋_GB2312"/>
          <w:b/>
          <w:color w:val="000000"/>
          <w:sz w:val="32"/>
          <w:szCs w:val="32"/>
        </w:rPr>
      </w:pPr>
    </w:p>
    <w:p>
      <w:pPr>
        <w:pStyle w:val="5"/>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5"/>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2021年一般公共预算财政拨款支出95.72万元，主要用于以下方面:社会保障和就业支出84.05万元，占87.81%；卫生健康支出4.82万元，占5.04%；住房保障支出6.85万元，占7.15%。</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5"/>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7213"/>
      <w:bookmarkStart w:id="47" w:name="_Toc15378460"/>
      <w:bookmarkStart w:id="48" w:name="_Toc15377444"/>
      <w:r>
        <w:rPr>
          <w:rFonts w:hint="eastAsia" w:ascii="仿宋" w:hAnsi="仿宋" w:eastAsia="仿宋"/>
          <w:color w:val="000000"/>
          <w:sz w:val="32"/>
          <w:szCs w:val="32"/>
        </w:rPr>
        <w:t>2021年一般公共预算支出决算数为95.72万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，完成预算100%。其中：</w:t>
      </w:r>
      <w:bookmarkEnd w:id="46"/>
      <w:bookmarkEnd w:id="47"/>
      <w:bookmarkEnd w:id="4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1.社会保障和就业支出（208）人力资源和社会保障管理事务（20801）社会保险经办机构（2080109）支出决算73.90万元，完成预算100%。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2.社会保障和就业支出（208）行政事业单位养老支出（20805）机关事业单位基本养老保险缴费支出（2080505）支出决算6.77万元，完成预算100%。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3.社会保障和就业支出（208）行政事业单位养老支出（20805）机关事业单位职业年金缴费支出（2080506）支出决算3.38万元，完成预算100%。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4.卫生健康支出（210）行政事业单位医疗（21011）事业单位医疗（2101102）支出决算4.82万元，完成预算100%。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5.住房保障支出（221）住房改革支出（22102）住房公积金（2210201）支出决算6.85万元，完成预算100%。</w:t>
      </w:r>
    </w:p>
    <w:p>
      <w:pPr>
        <w:pStyle w:val="3"/>
        <w:ind w:firstLine="643"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2021年一般公共预算财政拨款基本支出95.72万元，其中：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93.19万元，主要包括：基本工资18.81万元、津贴补贴3.47万元、绩效工资46.93万元、机关事业单位基本养老保险缴费6.77万元、职业年金缴费3.38万元、职工基本医疗保险缴费4.82万元、其他社会保障缴费0.47万元、住房公积金6.85万元、医疗费0.68万元、生活补助1.00万元、奖励金0.02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公用经费2.53万元，主要包括：办公费0.55万元、邮电费0.25万元、差旅费1.72万元、培训费0.02万元。</w:t>
      </w:r>
    </w:p>
    <w:p>
      <w:pPr>
        <w:pStyle w:val="3"/>
        <w:ind w:firstLine="643" w:firstLineChars="200"/>
        <w:rPr>
          <w:rFonts w:ascii="黑体" w:eastAsia="黑体" w:cs="Times New Roman"/>
          <w:bCs w:val="0"/>
          <w:color w:val="000000"/>
        </w:rPr>
      </w:pPr>
      <w:bookmarkStart w:id="52" w:name="_Toc113981019"/>
      <w:bookmarkStart w:id="53" w:name="_Toc15377215"/>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3"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56"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，因公出国（境）费支出决算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万元。具体情况如下：</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5"/>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万元。全年安排因公出国（境）团组0次，出国（境）0人。因公出国（境）支出决算比2020年增加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2.公务用车购置及运行维护费支出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万元。公务用车购置及运行维护费支出决算比2020年增加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万元。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万元。全年按规定更新购置公务用车0辆，其中：轿车0辆、金额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万元，越野车0辆、金额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万元，载客汽车0辆、金额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万元。公务接待费支出决算比2020年增加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万元。国内公务接待0批次，0人次（不包括陪同人员），共计支出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5"/>
        <w:rPr>
          <w:rFonts w:ascii="仿宋" w:hAnsi="仿宋" w:eastAsia="仿宋"/>
          <w:color w:val="000000"/>
          <w:sz w:val="32"/>
          <w:szCs w:val="32"/>
        </w:rPr>
      </w:pPr>
      <w:r>
        <w:rPr>
          <w:rFonts w:hint="eastAsia" w:ascii="仿宋" w:hAnsi="仿宋" w:eastAsia="仿宋"/>
          <w:color w:val="000000"/>
          <w:sz w:val="32"/>
          <w:szCs w:val="32"/>
        </w:rPr>
        <w:t>外事接待支出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万元，外事接待0批次，0人，共计支出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3"/>
        <w:ind w:firstLine="643" w:firstLineChars="200"/>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60" w:name="_Toc15377219"/>
    </w:p>
    <w:p>
      <w:pPr>
        <w:pStyle w:val="3"/>
        <w:ind w:firstLine="643" w:firstLineChars="200"/>
        <w:rPr>
          <w:rFonts w:ascii="黑体" w:eastAsia="黑体" w:cs="Times New Roman"/>
          <w:bCs w:val="0"/>
          <w:color w:val="000000"/>
        </w:rPr>
      </w:pPr>
      <w:bookmarkStart w:id="61" w:name="_Toc111208507"/>
      <w:bookmarkStart w:id="62" w:name="_Toc113981021"/>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3"/>
        <w:ind w:firstLine="643" w:firstLineChars="200"/>
        <w:rPr>
          <w:rFonts w:ascii="黑体" w:eastAsia="黑体" w:cs="Times New Roman"/>
          <w:bCs w:val="0"/>
          <w:color w:val="000000"/>
        </w:rPr>
      </w:pPr>
      <w:bookmarkStart w:id="63" w:name="_Toc111208508"/>
      <w:bookmarkStart w:id="64" w:name="_Toc113981022"/>
      <w:bookmarkStart w:id="65" w:name="_Toc15377221"/>
      <w:r>
        <w:rPr>
          <w:rFonts w:hint="eastAsia" w:ascii="黑体" w:eastAsia="黑体" w:cs="Times New Roman"/>
          <w:bCs w:val="0"/>
          <w:color w:val="000000"/>
        </w:rPr>
        <w:t>十、其他重要事项的情况说明</w:t>
      </w:r>
      <w:bookmarkEnd w:id="63"/>
      <w:bookmarkEnd w:id="64"/>
      <w:bookmarkEnd w:id="65"/>
    </w:p>
    <w:p>
      <w:pPr>
        <w:spacing w:line="600" w:lineRule="exact"/>
        <w:ind w:firstLine="643"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2021年，机关运行经费支出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万元。 </w:t>
      </w:r>
    </w:p>
    <w:p>
      <w:pPr>
        <w:spacing w:line="600" w:lineRule="exact"/>
        <w:ind w:firstLine="643"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万元，其中：政府采购货物支出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万元、政府采购工程支出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万元、政府采购服务支出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万元。授予中小企业合同金额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万元，其中：授予小微企业合同金额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spacing w:line="600" w:lineRule="exact"/>
        <w:ind w:firstLine="643"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2"/>
        <w:jc w:val="center"/>
        <w:rPr>
          <w:rFonts w:ascii="黑体" w:hAnsi="黑体" w:eastAsia="黑体" w:cs="黑体"/>
        </w:rPr>
      </w:pPr>
      <w:bookmarkStart w:id="69" w:name="_Toc113981023"/>
      <w:bookmarkStart w:id="70" w:name="_Toc15377225"/>
      <w:bookmarkStart w:id="71" w:name="_Toc111208509"/>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9.社会保障和就业支出（208）人力资源和社会保障管理事务（20801）社会保险经办机构（2080109）：反映社会保险经办机构开展业务工作的支出。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14.基本支出：指为保障机构正常运转、完成日常工作任务而发生的人员支出和公用支出。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15.经营支出：指事业单位在专业业务活动及其辅助活动之外开展非独立核算经营活动发生的支出。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18.财政应返还额度：为行政事业单位会计核算科目，用于核算实行国库集中支付的行政事业单位应收财政返还的资金额度。</w:t>
      </w:r>
    </w:p>
    <w:p>
      <w:pPr>
        <w:widowControl/>
        <w:jc w:val="left"/>
        <w:rPr>
          <w:rStyle w:val="29"/>
          <w:rFonts w:ascii="黑体" w:hAnsi="黑体" w:eastAsia="黑体"/>
        </w:rPr>
      </w:pPr>
      <w:r>
        <w:rPr>
          <w:rStyle w:val="29"/>
          <w:rFonts w:ascii="黑体" w:hAnsi="黑体" w:eastAsia="黑体"/>
        </w:rPr>
        <w:br w:type="page"/>
      </w:r>
    </w:p>
    <w:p>
      <w:pPr>
        <w:pStyle w:val="2"/>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34"/>
        <w:spacing w:line="576" w:lineRule="exact"/>
        <w:ind w:firstLine="1100" w:firstLineChars="250"/>
        <w:rPr>
          <w:rFonts w:ascii="方正小标宋简体" w:eastAsia="方正小标宋简体"/>
          <w:sz w:val="44"/>
          <w:szCs w:val="44"/>
        </w:rPr>
      </w:pPr>
      <w:r>
        <w:rPr>
          <w:rFonts w:hint="eastAsia" w:ascii="方正小标宋简体" w:eastAsia="方正小标宋简体"/>
          <w:sz w:val="44"/>
          <w:szCs w:val="44"/>
        </w:rPr>
        <w:t>茂县公共就业和人才交流服务局</w:t>
      </w:r>
    </w:p>
    <w:p>
      <w:pPr>
        <w:pStyle w:val="34"/>
        <w:spacing w:line="576" w:lineRule="exact"/>
        <w:ind w:firstLine="1320" w:firstLineChars="300"/>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w:t>
      </w:r>
      <w:r>
        <w:rPr>
          <w:rFonts w:ascii="方正小标宋简体" w:hAnsi="宋体" w:eastAsia="方正小标宋简体"/>
          <w:sz w:val="44"/>
          <w:szCs w:val="44"/>
          <w:shd w:val="clear" w:color="auto" w:fill="FFFFFF"/>
        </w:rPr>
        <w:t>21</w:t>
      </w:r>
      <w:r>
        <w:rPr>
          <w:rFonts w:hint="eastAsia" w:ascii="方正小标宋简体" w:hAnsi="宋体" w:eastAsia="方正小标宋简体"/>
          <w:sz w:val="44"/>
          <w:szCs w:val="44"/>
          <w:shd w:val="clear" w:color="auto" w:fill="FFFFFF"/>
        </w:rPr>
        <w:t>年部门整体支出绩效报告</w:t>
      </w:r>
    </w:p>
    <w:p>
      <w:pPr>
        <w:pStyle w:val="34"/>
        <w:spacing w:line="576" w:lineRule="exact"/>
        <w:rPr>
          <w:rFonts w:ascii="方正小标宋简体" w:eastAsia="方正小标宋简体"/>
          <w:sz w:val="44"/>
          <w:szCs w:val="44"/>
        </w:rPr>
      </w:pPr>
    </w:p>
    <w:p>
      <w:pPr>
        <w:pStyle w:val="40"/>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40"/>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（一）机构组成</w:t>
      </w:r>
    </w:p>
    <w:p>
      <w:pPr>
        <w:pStyle w:val="34"/>
        <w:ind w:firstLine="420" w:firstLineChars="200"/>
        <w:rPr>
          <w:rFonts w:ascii="仿宋_GB2312" w:eastAsia="仿宋_GB2312"/>
          <w:sz w:val="32"/>
          <w:szCs w:val="32"/>
        </w:rPr>
      </w:pPr>
      <w:r>
        <w:rPr>
          <w:rFonts w:hint="eastAsia"/>
        </w:rPr>
        <w:t>　</w:t>
      </w:r>
      <w:r>
        <w:fldChar w:fldCharType="begin"/>
      </w:r>
      <w:r>
        <w:instrText xml:space="preserve"> HYPERLINK "http://baike.so.com/doc/6291240.html" \t "_blank" </w:instrText>
      </w:r>
      <w:r>
        <w:fldChar w:fldCharType="separate"/>
      </w:r>
      <w:r>
        <w:rPr>
          <w:rStyle w:val="39"/>
          <w:rFonts w:hint="eastAsia" w:ascii="仿宋_GB2312" w:eastAsia="仿宋_GB2312" w:cs="Arial"/>
          <w:color w:val="auto"/>
          <w:sz w:val="32"/>
          <w:szCs w:val="32"/>
        </w:rPr>
        <w:t>茂县</w:t>
      </w:r>
      <w:r>
        <w:rPr>
          <w:rStyle w:val="39"/>
          <w:rFonts w:hint="eastAsia" w:ascii="仿宋_GB2312" w:eastAsia="仿宋_GB2312" w:cs="Arial"/>
          <w:color w:val="auto"/>
          <w:sz w:val="32"/>
          <w:szCs w:val="32"/>
        </w:rPr>
        <w:fldChar w:fldCharType="end"/>
      </w:r>
      <w:r>
        <w:rPr>
          <w:rFonts w:hint="eastAsia" w:ascii="仿宋_GB2312" w:eastAsia="仿宋_GB2312"/>
          <w:sz w:val="32"/>
          <w:szCs w:val="32"/>
        </w:rPr>
        <w:t>公共就业和人才交流服务局前身为“茂县就业服务管理局”，</w:t>
      </w:r>
      <w:r>
        <w:rPr>
          <w:rFonts w:ascii="仿宋_GB2312" w:eastAsia="仿宋_GB2312"/>
          <w:sz w:val="32"/>
          <w:szCs w:val="32"/>
        </w:rPr>
        <w:t>2014</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月经上级部门批准，更名为“茂县公共就业和人才交流服务局”，是县政府综合管理全县就业工作的</w:t>
      </w:r>
      <w:r>
        <w:fldChar w:fldCharType="begin"/>
      </w:r>
      <w:r>
        <w:instrText xml:space="preserve"> HYPERLINK "http://baike.so.com/doc/5536019.html" \t "_blank" </w:instrText>
      </w:r>
      <w:r>
        <w:fldChar w:fldCharType="separate"/>
      </w:r>
      <w:r>
        <w:rPr>
          <w:rStyle w:val="39"/>
          <w:rFonts w:hint="eastAsia" w:ascii="仿宋_GB2312" w:eastAsia="仿宋_GB2312" w:cs="Arial"/>
          <w:color w:val="auto"/>
          <w:sz w:val="32"/>
          <w:szCs w:val="32"/>
        </w:rPr>
        <w:t>职能部门</w:t>
      </w:r>
      <w:r>
        <w:rPr>
          <w:rStyle w:val="39"/>
          <w:rFonts w:hint="eastAsia" w:ascii="仿宋_GB2312" w:eastAsia="仿宋_GB2312" w:cs="Arial"/>
          <w:color w:val="auto"/>
          <w:sz w:val="32"/>
          <w:szCs w:val="32"/>
        </w:rPr>
        <w:fldChar w:fldCharType="end"/>
      </w:r>
      <w:r>
        <w:rPr>
          <w:rFonts w:hint="eastAsia" w:ascii="仿宋_GB2312" w:eastAsia="仿宋_GB2312"/>
          <w:sz w:val="32"/>
          <w:szCs w:val="32"/>
        </w:rPr>
        <w:t>，承担</w:t>
      </w:r>
      <w:r>
        <w:fldChar w:fldCharType="begin"/>
      </w:r>
      <w:r>
        <w:instrText xml:space="preserve"> HYPERLINK "http://baike.so.com/doc/271223.html" \t "_blank" </w:instrText>
      </w:r>
      <w:r>
        <w:fldChar w:fldCharType="separate"/>
      </w:r>
      <w:r>
        <w:rPr>
          <w:rStyle w:val="39"/>
          <w:rFonts w:hint="eastAsia" w:ascii="仿宋_GB2312" w:eastAsia="仿宋_GB2312" w:cs="Arial"/>
          <w:color w:val="auto"/>
          <w:sz w:val="32"/>
          <w:szCs w:val="32"/>
        </w:rPr>
        <w:t>政府职能</w:t>
      </w:r>
      <w:r>
        <w:rPr>
          <w:rStyle w:val="39"/>
          <w:rFonts w:hint="eastAsia" w:ascii="仿宋_GB2312" w:eastAsia="仿宋_GB2312" w:cs="Arial"/>
          <w:color w:val="auto"/>
          <w:sz w:val="32"/>
          <w:szCs w:val="32"/>
        </w:rPr>
        <w:fldChar w:fldCharType="end"/>
      </w:r>
      <w:r>
        <w:rPr>
          <w:rFonts w:hint="eastAsia" w:ascii="仿宋_GB2312" w:eastAsia="仿宋_GB2312"/>
          <w:sz w:val="32"/>
          <w:szCs w:val="32"/>
        </w:rPr>
        <w:t>的管理机构，为副科级财政全额拨款的（参公）事业单位，归口县人力资源和社会保障局管理。</w:t>
      </w:r>
    </w:p>
    <w:p>
      <w:pPr>
        <w:pStyle w:val="34"/>
        <w:ind w:firstLine="640" w:firstLineChars="200"/>
        <w:rPr>
          <w:rFonts w:ascii="仿宋_GB2312" w:eastAsia="仿宋_GB2312"/>
          <w:sz w:val="32"/>
          <w:szCs w:val="32"/>
        </w:rPr>
      </w:pPr>
      <w:r>
        <w:rPr>
          <w:rFonts w:hint="eastAsia" w:ascii="仿宋_GB2312" w:eastAsia="仿宋_GB2312"/>
          <w:sz w:val="32"/>
          <w:szCs w:val="32"/>
        </w:rPr>
        <w:t>我局主要负责全县职业介绍、就业和创业培训、创业服务、公益性岗位开发、小额担保贷款、困难群体就业援助、社区劳动保障平台建设与管理工作。全局编制</w:t>
      </w:r>
      <w:r>
        <w:rPr>
          <w:rFonts w:hint="eastAsia" w:ascii="仿宋_GB2312" w:eastAsia="仿宋_GB2312"/>
          <w:sz w:val="32"/>
          <w:szCs w:val="32"/>
          <w:lang w:val="en-US" w:eastAsia="zh-CN"/>
        </w:rPr>
        <w:t>19</w:t>
      </w:r>
      <w:r>
        <w:rPr>
          <w:rFonts w:hint="eastAsia" w:ascii="仿宋_GB2312" w:eastAsia="仿宋_GB2312"/>
          <w:sz w:val="32"/>
          <w:szCs w:val="32"/>
        </w:rPr>
        <w:t>人。内设办公室、职业指导股、就业培训股、劳务开发股、失业保险股等。</w:t>
      </w:r>
    </w:p>
    <w:p>
      <w:pPr>
        <w:pStyle w:val="34"/>
        <w:spacing w:line="576" w:lineRule="exact"/>
        <w:ind w:firstLine="643" w:firstLineChars="200"/>
        <w:rPr>
          <w:rFonts w:ascii="楷体_GB2312" w:eastAsia="楷体_GB2312"/>
          <w:b/>
          <w:sz w:val="32"/>
          <w:szCs w:val="32"/>
        </w:rPr>
      </w:pPr>
      <w:r>
        <w:rPr>
          <w:rFonts w:hint="eastAsia" w:ascii="楷体_GB2312" w:eastAsia="楷体_GB2312"/>
          <w:b/>
          <w:sz w:val="32"/>
          <w:szCs w:val="32"/>
        </w:rPr>
        <w:t>（二）机构职能</w:t>
      </w:r>
    </w:p>
    <w:p>
      <w:pPr>
        <w:pStyle w:val="34"/>
        <w:spacing w:line="576" w:lineRule="exact"/>
        <w:ind w:firstLine="640"/>
        <w:rPr>
          <w:rFonts w:ascii="楷体_GB2312" w:eastAsia="楷体_GB2312"/>
          <w:b/>
          <w:sz w:val="32"/>
          <w:szCs w:val="32"/>
        </w:rPr>
      </w:pPr>
      <w:r>
        <w:rPr>
          <w:rFonts w:hint="eastAsia" w:ascii="仿宋_GB2312" w:eastAsia="仿宋_GB2312"/>
          <w:sz w:val="32"/>
          <w:szCs w:val="32"/>
        </w:rPr>
        <w:t>全面贯彻落实党和政府促进就业创业的方针政策及各项扶持政策，为城乡劳动者提供就业政策法规咨询，职业供求信息以及职业培训信息发布，职业指导和职业介绍。</w:t>
      </w:r>
      <w:r>
        <w:rPr>
          <w:rFonts w:hint="eastAsia" w:ascii="仿宋_GB2312" w:eastAsia="仿宋_GB2312"/>
          <w:sz w:val="32"/>
          <w:szCs w:val="32"/>
          <w:shd w:val="clear" w:color="auto" w:fill="FFFFFF"/>
        </w:rPr>
        <w:t>免费为城乡劳动者开展就业培训、创业培训、农村劳动力技能培训等职业技能培训。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w:t>
      </w:r>
      <w:r>
        <w:rPr>
          <w:rFonts w:hint="eastAsia" w:ascii="仿宋_GB2312" w:eastAsia="仿宋_GB2312"/>
          <w:sz w:val="32"/>
          <w:szCs w:val="32"/>
        </w:rPr>
        <w:t>对就业困难人员实施就业援助，办理就业、失业登记等各项公共就业服务。</w:t>
      </w:r>
    </w:p>
    <w:p>
      <w:pPr>
        <w:pStyle w:val="34"/>
        <w:spacing w:line="576" w:lineRule="exact"/>
        <w:ind w:firstLine="643" w:firstLineChars="200"/>
        <w:rPr>
          <w:rFonts w:ascii="楷体_GB2312" w:eastAsia="楷体_GB2312"/>
          <w:b/>
          <w:sz w:val="32"/>
          <w:szCs w:val="32"/>
        </w:rPr>
      </w:pPr>
      <w:r>
        <w:rPr>
          <w:rFonts w:hint="eastAsia" w:ascii="楷体_GB2312" w:eastAsia="楷体_GB2312"/>
          <w:b/>
          <w:sz w:val="32"/>
          <w:szCs w:val="32"/>
        </w:rPr>
        <w:t>（三）人员概况</w:t>
      </w:r>
    </w:p>
    <w:p>
      <w:pPr>
        <w:pStyle w:val="34"/>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我局为一级预算财政全额拨款参公单位，核定编制人数为19名（参公13人，事业6人）。单位现设局长1名、副局长2名。实有人数16人，其中：参公9人，事业5人，事业工勤1人，参公工勤1人。</w:t>
      </w:r>
    </w:p>
    <w:p>
      <w:pPr>
        <w:pStyle w:val="34"/>
        <w:spacing w:line="576" w:lineRule="exact"/>
        <w:ind w:firstLine="640" w:firstLineChars="200"/>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（一）部门财政资金收入情况</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宋体" w:eastAsia="仿宋_GB2312" w:cs="宋体"/>
          <w:kern w:val="0"/>
          <w:sz w:val="32"/>
          <w:szCs w:val="32"/>
          <w:shd w:val="clear" w:color="auto" w:fill="FFFFFF"/>
        </w:rPr>
        <w:t>（1）20</w:t>
      </w:r>
      <w:r>
        <w:rPr>
          <w:rFonts w:ascii="仿宋_GB2312" w:hAnsi="宋体" w:eastAsia="仿宋_GB2312" w:cs="宋体"/>
          <w:kern w:val="0"/>
          <w:sz w:val="32"/>
          <w:szCs w:val="32"/>
          <w:shd w:val="clear" w:color="auto" w:fill="FFFFFF"/>
        </w:rPr>
        <w:t>21</w:t>
      </w:r>
      <w:r>
        <w:rPr>
          <w:rFonts w:hint="eastAsia" w:ascii="仿宋_GB2312" w:hAnsi="宋体" w:eastAsia="仿宋_GB2312" w:cs="宋体"/>
          <w:bCs/>
          <w:kern w:val="0"/>
          <w:sz w:val="32"/>
          <w:szCs w:val="32"/>
          <w:shd w:val="clear" w:color="auto" w:fill="FFFFFF"/>
        </w:rPr>
        <w:t>年</w:t>
      </w:r>
      <w:r>
        <w:rPr>
          <w:rFonts w:hint="eastAsia" w:ascii="仿宋_GB2312" w:hAnsi="黑体" w:eastAsia="仿宋_GB2312"/>
          <w:sz w:val="32"/>
          <w:szCs w:val="32"/>
        </w:rPr>
        <w:t>单位财政资金收入共计</w:t>
      </w:r>
      <w:r>
        <w:rPr>
          <w:rFonts w:ascii="仿宋_GB2312" w:hAnsi="仿宋" w:eastAsia="仿宋_GB2312" w:cs="仿宋"/>
          <w:sz w:val="32"/>
          <w:szCs w:val="32"/>
        </w:rPr>
        <w:t>4219695.76</w:t>
      </w:r>
      <w:r>
        <w:rPr>
          <w:rFonts w:hint="eastAsia" w:ascii="仿宋_GB2312" w:hAnsi="黑体" w:eastAsia="仿宋_GB2312"/>
          <w:sz w:val="32"/>
          <w:szCs w:val="32"/>
        </w:rPr>
        <w:t>元，</w:t>
      </w:r>
      <w:r>
        <w:rPr>
          <w:rFonts w:hint="eastAsia" w:ascii="仿宋_GB2312" w:hAnsi="仿宋" w:eastAsia="仿宋_GB2312"/>
          <w:sz w:val="32"/>
          <w:szCs w:val="32"/>
        </w:rPr>
        <w:t>均为一般公共预算财政拨款收入，单位无上级补助收入、事业收入、经营收入等其他性质的经费收入。</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（二）部门财政资金支出情况</w:t>
      </w:r>
    </w:p>
    <w:p>
      <w:pPr>
        <w:pStyle w:val="34"/>
        <w:widowControl/>
        <w:adjustRightInd w:val="0"/>
        <w:snapToGrid w:val="0"/>
        <w:spacing w:line="576" w:lineRule="exact"/>
        <w:ind w:firstLine="640" w:firstLineChars="200"/>
        <w:rPr>
          <w:rFonts w:hint="eastAsia" w:ascii="仿宋_GB2312" w:hAnsi="宋体" w:cs="宋体"/>
          <w:kern w:val="0"/>
          <w:szCs w:val="32"/>
          <w:shd w:val="clear" w:color="auto" w:fill="FFFFFF"/>
          <w:lang w:val="zh-CN"/>
        </w:rPr>
      </w:pPr>
      <w:r>
        <w:rPr>
          <w:rFonts w:hint="eastAsia" w:ascii="仿宋_GB2312" w:hAnsi="宋体" w:eastAsia="仿宋_GB2312" w:cs="宋体"/>
          <w:kern w:val="0"/>
          <w:sz w:val="32"/>
          <w:szCs w:val="32"/>
          <w:shd w:val="clear" w:color="auto" w:fill="FFFFFF"/>
          <w:lang w:val="zh-CN"/>
        </w:rPr>
        <w:t>（1）20</w:t>
      </w:r>
      <w:r>
        <w:rPr>
          <w:rFonts w:hint="eastAsia" w:ascii="仿宋_GB2312" w:hAnsi="宋体" w:eastAsia="仿宋_GB2312" w:cs="宋体"/>
          <w:kern w:val="0"/>
          <w:sz w:val="32"/>
          <w:szCs w:val="32"/>
          <w:shd w:val="clear" w:color="auto" w:fill="FFFFFF"/>
        </w:rPr>
        <w:t>2</w:t>
      </w:r>
      <w:r>
        <w:rPr>
          <w:rFonts w:ascii="仿宋_GB2312" w:hAnsi="宋体" w:eastAsia="仿宋_GB2312" w:cs="宋体"/>
          <w:kern w:val="0"/>
          <w:sz w:val="32"/>
          <w:szCs w:val="32"/>
          <w:shd w:val="clear" w:color="auto" w:fill="FFFFFF"/>
        </w:rPr>
        <w:t>1</w:t>
      </w:r>
      <w:r>
        <w:rPr>
          <w:rFonts w:hint="eastAsia" w:ascii="仿宋_GB2312" w:hAnsi="宋体" w:eastAsia="仿宋_GB2312" w:cs="宋体"/>
          <w:kern w:val="0"/>
          <w:sz w:val="32"/>
          <w:szCs w:val="32"/>
          <w:shd w:val="clear" w:color="auto" w:fill="FFFFFF"/>
          <w:lang w:val="zh-CN"/>
        </w:rPr>
        <w:t>年我单位财政总</w:t>
      </w:r>
      <w:r>
        <w:rPr>
          <w:rFonts w:hint="eastAsia" w:ascii="仿宋_GB2312" w:hAnsi="Calibri" w:eastAsia="仿宋_GB2312" w:cs="仿宋"/>
          <w:kern w:val="0"/>
          <w:sz w:val="32"/>
          <w:szCs w:val="32"/>
        </w:rPr>
        <w:t>支出总额为</w:t>
      </w:r>
      <w:r>
        <w:rPr>
          <w:rFonts w:ascii="仿宋_GB2312" w:hAnsi="Calibri" w:cs="仿宋"/>
          <w:kern w:val="0"/>
          <w:sz w:val="32"/>
          <w:szCs w:val="32"/>
        </w:rPr>
        <w:t>4219695.76</w:t>
      </w:r>
      <w:r>
        <w:rPr>
          <w:rFonts w:hint="eastAsia" w:ascii="仿宋_GB2312" w:hAnsi="Calibri" w:eastAsia="仿宋_GB2312" w:cs="仿宋"/>
          <w:kern w:val="0"/>
          <w:sz w:val="32"/>
          <w:szCs w:val="32"/>
        </w:rPr>
        <w:t>元，其中：当年财政基本支出</w:t>
      </w:r>
      <w:r>
        <w:rPr>
          <w:rFonts w:ascii="仿宋_GB2312" w:hAnsi="Calibri" w:cs="仿宋"/>
          <w:kern w:val="0"/>
          <w:sz w:val="32"/>
          <w:szCs w:val="32"/>
        </w:rPr>
        <w:t>1693995.76</w:t>
      </w:r>
      <w:r>
        <w:rPr>
          <w:rFonts w:hint="eastAsia" w:ascii="仿宋_GB2312" w:hAnsi="Calibri" w:eastAsia="仿宋_GB2312" w:cs="仿宋"/>
          <w:kern w:val="0"/>
          <w:sz w:val="32"/>
          <w:szCs w:val="32"/>
        </w:rPr>
        <w:t>元，项目支出</w:t>
      </w:r>
      <w:r>
        <w:rPr>
          <w:rFonts w:ascii="仿宋_GB2312" w:hAnsi="Calibri" w:cs="仿宋"/>
          <w:kern w:val="0"/>
          <w:sz w:val="32"/>
          <w:szCs w:val="32"/>
        </w:rPr>
        <w:t>2525700</w:t>
      </w:r>
      <w:r>
        <w:rPr>
          <w:rFonts w:hint="eastAsia" w:ascii="仿宋_GB2312" w:hAnsi="Calibri" w:cs="仿宋"/>
          <w:kern w:val="0"/>
          <w:sz w:val="32"/>
          <w:szCs w:val="32"/>
          <w:lang w:eastAsia="zh-CN"/>
        </w:rPr>
        <w:t>元</w:t>
      </w:r>
      <w:r>
        <w:rPr>
          <w:rFonts w:hint="eastAsia" w:ascii="仿宋_GB2312" w:hAnsi="Calibri" w:eastAsia="仿宋_GB2312" w:cs="仿宋"/>
          <w:kern w:val="0"/>
          <w:sz w:val="32"/>
          <w:szCs w:val="32"/>
        </w:rPr>
        <w:t>。按功能分：社会保障和就业支</w:t>
      </w:r>
      <w:r>
        <w:rPr>
          <w:rFonts w:hint="eastAsia" w:ascii="仿宋_GB2312" w:hAnsi="Calibri" w:cs="仿宋"/>
          <w:kern w:val="0"/>
          <w:sz w:val="32"/>
          <w:szCs w:val="32"/>
        </w:rPr>
        <w:t>3</w:t>
      </w:r>
      <w:r>
        <w:rPr>
          <w:rFonts w:ascii="仿宋_GB2312" w:hAnsi="Calibri" w:cs="仿宋"/>
          <w:kern w:val="0"/>
          <w:sz w:val="32"/>
          <w:szCs w:val="32"/>
        </w:rPr>
        <w:t>202279.51</w:t>
      </w:r>
      <w:r>
        <w:rPr>
          <w:rFonts w:hint="eastAsia" w:ascii="仿宋_GB2312" w:hAnsi="Calibri" w:eastAsia="仿宋_GB2312" w:cs="仿宋"/>
          <w:kern w:val="0"/>
          <w:sz w:val="32"/>
          <w:szCs w:val="32"/>
        </w:rPr>
        <w:t>元，医疗卫生与计划生育支出</w:t>
      </w:r>
      <w:r>
        <w:rPr>
          <w:rFonts w:ascii="仿宋_GB2312" w:hAnsi="Calibri" w:cs="仿宋"/>
          <w:kern w:val="0"/>
          <w:sz w:val="32"/>
          <w:szCs w:val="32"/>
        </w:rPr>
        <w:t>84719.25</w:t>
      </w:r>
      <w:r>
        <w:rPr>
          <w:rFonts w:hint="eastAsia" w:ascii="仿宋_GB2312" w:hAnsi="Calibri" w:eastAsia="仿宋_GB2312" w:cs="仿宋"/>
          <w:kern w:val="0"/>
          <w:sz w:val="32"/>
          <w:szCs w:val="32"/>
        </w:rPr>
        <w:t>元，农林水事务支出</w:t>
      </w:r>
      <w:r>
        <w:rPr>
          <w:rFonts w:hint="eastAsia" w:ascii="仿宋_GB2312" w:hAnsi="Calibri" w:cs="仿宋"/>
          <w:kern w:val="0"/>
          <w:sz w:val="32"/>
          <w:szCs w:val="32"/>
        </w:rPr>
        <w:t>8</w:t>
      </w:r>
      <w:r>
        <w:rPr>
          <w:rFonts w:ascii="仿宋_GB2312" w:hAnsi="Calibri" w:cs="仿宋"/>
          <w:kern w:val="0"/>
          <w:sz w:val="32"/>
          <w:szCs w:val="32"/>
        </w:rPr>
        <w:t>08700</w:t>
      </w:r>
      <w:r>
        <w:rPr>
          <w:rFonts w:hint="eastAsia" w:ascii="仿宋_GB2312" w:hAnsi="Calibri" w:eastAsia="仿宋_GB2312" w:cs="仿宋"/>
          <w:kern w:val="0"/>
          <w:sz w:val="32"/>
          <w:szCs w:val="32"/>
        </w:rPr>
        <w:t>元，住房保障支出</w:t>
      </w:r>
      <w:r>
        <w:rPr>
          <w:rFonts w:hint="eastAsia" w:ascii="仿宋_GB2312" w:hAnsi="Calibri" w:cs="仿宋"/>
          <w:kern w:val="0"/>
          <w:sz w:val="32"/>
          <w:szCs w:val="32"/>
        </w:rPr>
        <w:t>1</w:t>
      </w:r>
      <w:r>
        <w:rPr>
          <w:rFonts w:ascii="仿宋_GB2312" w:hAnsi="Calibri" w:cs="仿宋"/>
          <w:kern w:val="0"/>
          <w:sz w:val="32"/>
          <w:szCs w:val="32"/>
        </w:rPr>
        <w:t>23997</w:t>
      </w:r>
      <w:r>
        <w:rPr>
          <w:rFonts w:hint="eastAsia" w:ascii="仿宋_GB2312" w:hAnsi="Calibri" w:eastAsia="仿宋_GB2312" w:cs="仿宋"/>
          <w:kern w:val="0"/>
          <w:sz w:val="32"/>
          <w:szCs w:val="32"/>
        </w:rPr>
        <w:t>元。</w:t>
      </w:r>
      <w:r>
        <w:rPr>
          <w:rFonts w:hint="eastAsia" w:ascii="仿宋_GB2312" w:hAnsi="宋体" w:cs="宋体"/>
          <w:kern w:val="0"/>
          <w:szCs w:val="32"/>
          <w:shd w:val="clear" w:color="auto" w:fill="FFFFFF"/>
          <w:lang w:val="zh-CN"/>
        </w:rPr>
        <w:t xml:space="preserve"> </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（三）部门财政资金收支结转情况</w:t>
      </w:r>
    </w:p>
    <w:p>
      <w:pPr>
        <w:pStyle w:val="34"/>
        <w:widowControl/>
        <w:adjustRightInd w:val="0"/>
        <w:snapToGrid w:val="0"/>
        <w:spacing w:line="540" w:lineRule="exact"/>
        <w:ind w:firstLine="720"/>
        <w:jc w:val="left"/>
        <w:rPr>
          <w:rFonts w:hint="eastAsia" w:ascii="仿宋_GB2312" w:hAnsi="仿宋" w:eastAsia="仿宋_GB2312"/>
          <w:sz w:val="32"/>
          <w:szCs w:val="32"/>
        </w:rPr>
      </w:pPr>
      <w:r>
        <w:rPr>
          <w:rFonts w:hint="eastAsia" w:ascii="仿宋_GB2312" w:hAnsi="宋体" w:eastAsia="仿宋_GB2312" w:cs="宋体"/>
          <w:kern w:val="0"/>
          <w:sz w:val="32"/>
          <w:szCs w:val="32"/>
          <w:shd w:val="clear" w:color="auto" w:fill="FFFFFF"/>
        </w:rPr>
        <w:t>20</w:t>
      </w:r>
      <w:r>
        <w:rPr>
          <w:rFonts w:ascii="仿宋_GB2312" w:hAnsi="宋体" w:eastAsia="仿宋_GB2312" w:cs="宋体"/>
          <w:kern w:val="0"/>
          <w:sz w:val="32"/>
          <w:szCs w:val="32"/>
          <w:shd w:val="clear" w:color="auto" w:fill="FFFFFF"/>
        </w:rPr>
        <w:t>21</w:t>
      </w:r>
      <w:r>
        <w:rPr>
          <w:rFonts w:hint="eastAsia" w:ascii="仿宋_GB2312" w:hAnsi="宋体" w:eastAsia="仿宋_GB2312" w:cs="宋体"/>
          <w:kern w:val="0"/>
          <w:sz w:val="32"/>
          <w:szCs w:val="32"/>
          <w:shd w:val="clear" w:color="auto" w:fill="FFFFFF"/>
        </w:rPr>
        <w:t>年年末无结转结余</w:t>
      </w:r>
      <w:r>
        <w:rPr>
          <w:rFonts w:hint="eastAsia" w:ascii="仿宋_GB2312" w:hAnsi="宋体" w:eastAsia="仿宋_GB2312" w:cs="宋体"/>
          <w:kern w:val="0"/>
          <w:sz w:val="32"/>
          <w:szCs w:val="32"/>
          <w:shd w:val="clear" w:color="auto" w:fill="FFFFFF"/>
          <w:lang w:val="zh-CN"/>
        </w:rPr>
        <w:t>。</w:t>
      </w:r>
    </w:p>
    <w:p>
      <w:pPr>
        <w:pStyle w:val="34"/>
        <w:widowControl/>
        <w:adjustRightInd w:val="0"/>
        <w:snapToGrid w:val="0"/>
        <w:spacing w:line="540" w:lineRule="exact"/>
        <w:ind w:firstLine="720"/>
        <w:jc w:val="left"/>
        <w:rPr>
          <w:rFonts w:ascii="黑体" w:hAnsi="黑体" w:eastAsia="黑体" w:cs="宋体"/>
          <w:kern w:val="0"/>
          <w:sz w:val="32"/>
          <w:szCs w:val="32"/>
          <w:shd w:val="clear" w:color="auto" w:fill="FFFFFF"/>
        </w:rPr>
      </w:pPr>
      <w:r>
        <w:rPr>
          <w:rFonts w:hint="eastAsia" w:ascii="黑体" w:hAnsi="黑体" w:eastAsia="黑体" w:cs="宋体"/>
          <w:kern w:val="0"/>
          <w:sz w:val="32"/>
          <w:szCs w:val="32"/>
          <w:shd w:val="clear" w:color="auto" w:fill="FFFFFF"/>
        </w:rPr>
        <w:t>三、部门财政支出管理情况</w:t>
      </w:r>
    </w:p>
    <w:p>
      <w:pPr>
        <w:pStyle w:val="34"/>
        <w:widowControl/>
        <w:adjustRightInd w:val="0"/>
        <w:snapToGrid w:val="0"/>
        <w:spacing w:line="540" w:lineRule="exact"/>
        <w:ind w:firstLine="720"/>
        <w:jc w:val="left"/>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（一）预决算编制情况</w:t>
      </w:r>
    </w:p>
    <w:p>
      <w:pPr>
        <w:pStyle w:val="40"/>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1.预算编制情况</w:t>
      </w:r>
    </w:p>
    <w:p>
      <w:pPr>
        <w:pStyle w:val="40"/>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40"/>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2.决算编制情况</w:t>
      </w:r>
    </w:p>
    <w:p>
      <w:pPr>
        <w:pStyle w:val="40"/>
        <w:spacing w:line="576" w:lineRule="exact"/>
        <w:ind w:firstLine="640" w:firstLineChars="200"/>
        <w:rPr>
          <w:rFonts w:hint="eastAsia"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pStyle w:val="40"/>
        <w:spacing w:line="576" w:lineRule="exact"/>
        <w:ind w:firstLine="640" w:firstLineChars="200"/>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（二）执行管理情况</w:t>
      </w:r>
    </w:p>
    <w:p>
      <w:pPr>
        <w:pStyle w:val="34"/>
        <w:widowControl/>
        <w:adjustRightInd w:val="0"/>
        <w:snapToGrid w:val="0"/>
        <w:spacing w:line="576"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（1）20</w:t>
      </w:r>
      <w:r>
        <w:rPr>
          <w:rFonts w:ascii="仿宋_GB2312" w:hAnsi="黑体" w:eastAsia="仿宋_GB2312" w:cs="宋体"/>
          <w:kern w:val="0"/>
          <w:sz w:val="32"/>
          <w:szCs w:val="32"/>
          <w:shd w:val="clear" w:color="auto" w:fill="FFFFFF"/>
        </w:rPr>
        <w:t>21</w:t>
      </w:r>
      <w:r>
        <w:rPr>
          <w:rFonts w:hint="eastAsia" w:ascii="仿宋_GB2312" w:hAnsi="黑体" w:eastAsia="仿宋_GB2312" w:cs="宋体"/>
          <w:kern w:val="0"/>
          <w:sz w:val="32"/>
          <w:szCs w:val="32"/>
          <w:shd w:val="clear" w:color="auto" w:fill="FFFFFF"/>
        </w:rPr>
        <w:t>年部门预算执行情况</w:t>
      </w:r>
    </w:p>
    <w:p>
      <w:pPr>
        <w:pStyle w:val="34"/>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21</w:t>
      </w:r>
      <w:r>
        <w:rPr>
          <w:rFonts w:hint="eastAsia" w:ascii="仿宋_GB2312" w:hAnsi="仿宋" w:eastAsia="仿宋_GB2312" w:cs="仿宋"/>
          <w:sz w:val="32"/>
          <w:szCs w:val="32"/>
        </w:rPr>
        <w:t>年收入预算执行数（收入决算数）为</w:t>
      </w:r>
      <w:r>
        <w:rPr>
          <w:rFonts w:ascii="仿宋_GB2312" w:hAnsi="仿宋" w:eastAsia="仿宋_GB2312" w:cs="仿宋"/>
          <w:sz w:val="32"/>
          <w:szCs w:val="32"/>
        </w:rPr>
        <w:t>4219695.76</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pStyle w:val="34"/>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21</w:t>
      </w:r>
      <w:r>
        <w:rPr>
          <w:rFonts w:hint="eastAsia" w:ascii="仿宋_GB2312" w:hAnsi="仿宋" w:eastAsia="仿宋_GB2312" w:cs="仿宋"/>
          <w:sz w:val="32"/>
          <w:szCs w:val="32"/>
        </w:rPr>
        <w:t>年支出预算执行数（支出决算数）为</w:t>
      </w:r>
      <w:r>
        <w:rPr>
          <w:rFonts w:ascii="仿宋_GB2312" w:hAnsi="仿宋" w:eastAsia="仿宋_GB2312" w:cs="仿宋"/>
          <w:sz w:val="32"/>
          <w:szCs w:val="32"/>
        </w:rPr>
        <w:t>4219695.76</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w:t>
      </w:r>
      <w:r>
        <w:rPr>
          <w:rFonts w:hint="eastAsia" w:ascii="仿宋_GB2312" w:hAnsi="仿宋" w:eastAsia="仿宋_GB2312"/>
          <w:sz w:val="32"/>
          <w:szCs w:val="32"/>
        </w:rPr>
        <w:t>）“三公”经费预算执行情况</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1.20</w:t>
      </w:r>
      <w:r>
        <w:rPr>
          <w:rFonts w:ascii="仿宋_GB2312" w:hAnsi="仿宋" w:eastAsia="仿宋_GB2312"/>
          <w:sz w:val="32"/>
          <w:szCs w:val="32"/>
        </w:rPr>
        <w:t>21</w:t>
      </w:r>
      <w:r>
        <w:rPr>
          <w:rFonts w:hint="eastAsia" w:ascii="仿宋_GB2312" w:hAnsi="仿宋" w:eastAsia="仿宋_GB2312"/>
          <w:sz w:val="32"/>
          <w:szCs w:val="32"/>
        </w:rPr>
        <w:t>年“三公”经费预算执行情况</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w:t>
      </w:r>
      <w:r>
        <w:rPr>
          <w:rFonts w:ascii="仿宋_GB2312" w:hAnsi="仿宋" w:eastAsia="仿宋_GB2312"/>
          <w:sz w:val="32"/>
          <w:szCs w:val="32"/>
        </w:rPr>
        <w:t>21</w:t>
      </w:r>
      <w:r>
        <w:rPr>
          <w:rFonts w:hint="eastAsia" w:ascii="仿宋_GB2312" w:hAnsi="仿宋" w:eastAsia="仿宋_GB2312"/>
          <w:sz w:val="32"/>
          <w:szCs w:val="32"/>
        </w:rPr>
        <w:t>年“三公”经费支出共计</w:t>
      </w:r>
      <w:r>
        <w:rPr>
          <w:rFonts w:ascii="仿宋_GB2312" w:hAnsi="仿宋" w:eastAsia="仿宋_GB2312"/>
          <w:sz w:val="32"/>
          <w:szCs w:val="32"/>
        </w:rPr>
        <w:t>19643.2</w:t>
      </w:r>
      <w:r>
        <w:rPr>
          <w:rFonts w:hint="eastAsia" w:ascii="仿宋_GB2312" w:hAnsi="仿宋" w:eastAsia="仿宋_GB2312"/>
          <w:sz w:val="32"/>
          <w:szCs w:val="32"/>
        </w:rPr>
        <w:t>元。</w:t>
      </w:r>
      <w:r>
        <w:rPr>
          <w:rFonts w:ascii="仿宋_GB2312" w:hAnsi="仿宋" w:eastAsia="仿宋_GB2312"/>
          <w:sz w:val="32"/>
          <w:szCs w:val="32"/>
        </w:rPr>
        <w:t xml:space="preserve"> </w:t>
      </w:r>
    </w:p>
    <w:p>
      <w:pPr>
        <w:pStyle w:val="34"/>
        <w:widowControl/>
        <w:adjustRightInd w:val="0"/>
        <w:snapToGrid w:val="0"/>
        <w:spacing w:line="570" w:lineRule="exact"/>
        <w:ind w:firstLine="640" w:firstLineChars="200"/>
        <w:jc w:val="left"/>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（三）综合管理情况</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（1）政府采购实施计划</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单位在20</w:t>
      </w:r>
      <w:r>
        <w:rPr>
          <w:rFonts w:ascii="仿宋_GB2312" w:hAnsi="宋体" w:eastAsia="仿宋_GB2312" w:cs="宋体"/>
          <w:kern w:val="0"/>
          <w:sz w:val="32"/>
          <w:szCs w:val="32"/>
          <w:lang w:val="zh-CN"/>
        </w:rPr>
        <w:t>21</w:t>
      </w:r>
      <w:r>
        <w:rPr>
          <w:rFonts w:hint="eastAsia" w:ascii="仿宋_GB2312" w:hAnsi="宋体" w:eastAsia="仿宋_GB2312" w:cs="宋体"/>
          <w:kern w:val="0"/>
          <w:sz w:val="32"/>
          <w:szCs w:val="32"/>
          <w:lang w:val="zh-CN"/>
        </w:rPr>
        <w:t>年</w:t>
      </w:r>
      <w:r>
        <w:rPr>
          <w:rFonts w:hint="eastAsia" w:ascii="仿宋_GB2312" w:hAnsi="宋体" w:eastAsia="仿宋_GB2312" w:cs="宋体"/>
          <w:kern w:val="0"/>
          <w:sz w:val="32"/>
          <w:szCs w:val="32"/>
        </w:rPr>
        <w:t>发生的资产采购均为</w:t>
      </w:r>
      <w:r>
        <w:rPr>
          <w:rFonts w:hint="eastAsia" w:ascii="仿宋_GB2312" w:hAnsi="宋体" w:eastAsia="仿宋_GB2312" w:cs="宋体"/>
          <w:kern w:val="0"/>
          <w:sz w:val="32"/>
          <w:szCs w:val="32"/>
          <w:lang w:val="zh-CN"/>
        </w:rPr>
        <w:t>政府采购行为，为</w:t>
      </w:r>
      <w:r>
        <w:rPr>
          <w:rFonts w:hint="eastAsia" w:ascii="仿宋_GB2312" w:hAnsi="宋体" w:eastAsia="仿宋_GB2312" w:cs="宋体"/>
          <w:kern w:val="0"/>
          <w:sz w:val="32"/>
          <w:szCs w:val="32"/>
        </w:rPr>
        <w:t>了</w:t>
      </w:r>
      <w:r>
        <w:rPr>
          <w:rFonts w:hint="eastAsia" w:ascii="仿宋_GB2312" w:hAnsi="宋体" w:eastAsia="仿宋_GB2312" w:cs="宋体"/>
          <w:kern w:val="0"/>
          <w:sz w:val="32"/>
          <w:szCs w:val="32"/>
          <w:lang w:val="zh-CN"/>
        </w:rPr>
        <w:t>进一步加强我局政府采购监督管理和规范政府采购行为，我局已建立相应的政府采购制度。</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（2）资产管理</w:t>
      </w:r>
    </w:p>
    <w:p>
      <w:pPr>
        <w:pStyle w:val="34"/>
        <w:spacing w:line="576" w:lineRule="exact"/>
        <w:ind w:firstLine="640" w:firstLineChars="200"/>
        <w:rPr>
          <w:rFonts w:ascii="仿宋_GB2312" w:hAnsi="宋体" w:eastAsia="仿宋_GB2312" w:cs="宋体"/>
          <w:color w:val="000000" w:themeColor="text1"/>
          <w:sz w:val="32"/>
          <w:szCs w:val="32"/>
        </w:rPr>
      </w:pPr>
      <w:r>
        <w:rPr>
          <w:rFonts w:hint="eastAsia" w:ascii="仿宋_GB2312" w:hAnsi="宋体" w:eastAsia="仿宋_GB2312" w:cs="宋体"/>
          <w:color w:val="000000" w:themeColor="text1"/>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r>
        <w:rPr>
          <w:rFonts w:hint="eastAsia" w:ascii="仿宋_GB2312" w:hAnsi="仿宋" w:eastAsia="仿宋_GB2312"/>
          <w:color w:val="000000" w:themeColor="text1"/>
          <w:sz w:val="32"/>
          <w:szCs w:val="32"/>
        </w:rPr>
        <w:t>20</w:t>
      </w:r>
      <w:r>
        <w:rPr>
          <w:rFonts w:ascii="仿宋_GB2312" w:hAnsi="仿宋" w:eastAsia="仿宋_GB2312"/>
          <w:color w:val="000000" w:themeColor="text1"/>
          <w:sz w:val="32"/>
          <w:szCs w:val="32"/>
        </w:rPr>
        <w:t>21</w:t>
      </w:r>
      <w:r>
        <w:rPr>
          <w:rFonts w:hint="eastAsia" w:ascii="仿宋_GB2312" w:hAnsi="仿宋" w:eastAsia="仿宋_GB2312"/>
          <w:color w:val="000000" w:themeColor="text1"/>
          <w:sz w:val="32"/>
          <w:szCs w:val="32"/>
        </w:rPr>
        <w:t>年度固定资产</w:t>
      </w:r>
      <w:r>
        <w:rPr>
          <w:rFonts w:hint="eastAsia" w:ascii="仿宋_GB2312" w:hAnsi="仿宋" w:eastAsia="仿宋_GB2312"/>
          <w:color w:val="000000" w:themeColor="text1"/>
          <w:sz w:val="32"/>
          <w:szCs w:val="32"/>
          <w:lang w:val="en-US" w:eastAsia="zh-CN"/>
        </w:rPr>
        <w:t>原值395961</w:t>
      </w:r>
      <w:r>
        <w:rPr>
          <w:rFonts w:hint="eastAsia" w:ascii="仿宋_GB2312" w:hAnsi="仿宋" w:eastAsia="仿宋_GB2312"/>
          <w:color w:val="000000" w:themeColor="text1"/>
          <w:sz w:val="32"/>
          <w:szCs w:val="32"/>
        </w:rPr>
        <w:t>元，报废</w:t>
      </w:r>
      <w:r>
        <w:rPr>
          <w:rFonts w:hint="eastAsia" w:ascii="仿宋_GB2312" w:hAnsi="仿宋" w:eastAsia="仿宋_GB2312"/>
          <w:color w:val="000000" w:themeColor="text1"/>
          <w:sz w:val="32"/>
          <w:szCs w:val="32"/>
          <w:lang w:val="en-US" w:eastAsia="zh-CN"/>
        </w:rPr>
        <w:t>223800元（一辆车）、22376（电脑）。</w:t>
      </w:r>
      <w:r>
        <w:rPr>
          <w:rFonts w:hint="eastAsia" w:ascii="仿宋_GB2312" w:hAnsi="宋体" w:eastAsia="仿宋_GB2312" w:cs="宋体"/>
          <w:color w:val="000000" w:themeColor="text1"/>
          <w:sz w:val="32"/>
          <w:szCs w:val="32"/>
        </w:rPr>
        <w:t>未存在盘盈、盘亏、损毁的现象。</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(3)内控制度管理</w:t>
      </w:r>
    </w:p>
    <w:p>
      <w:pPr>
        <w:pStyle w:val="34"/>
        <w:widowControl/>
        <w:adjustRightInd w:val="0"/>
        <w:snapToGrid w:val="0"/>
        <w:spacing w:line="570"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我局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局对内部管理制度进行全面清理，形成了《茂县公共就业和人才交流服务局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(4)信息公开</w:t>
      </w:r>
    </w:p>
    <w:p>
      <w:pPr>
        <w:pStyle w:val="40"/>
        <w:spacing w:line="57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单位严格按照相关部门的要求保质保量完成年度预决算公开工作，按时将公开材料数据报送县委宣传部并在茂县政府信息网站上公布。</w:t>
      </w:r>
      <w:r>
        <w:rPr>
          <w:rFonts w:hint="eastAsia" w:ascii="仿宋_GB2312" w:hAnsi="黑体" w:eastAsia="仿宋_GB2312"/>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黑体" w:eastAsia="仿宋_GB2312" w:cs="宋体"/>
          <w:kern w:val="0"/>
          <w:sz w:val="32"/>
          <w:szCs w:val="32"/>
          <w:shd w:val="clear" w:color="auto" w:fill="FFFFFF"/>
        </w:rPr>
        <w:t>(5)</w:t>
      </w:r>
      <w:r>
        <w:rPr>
          <w:rFonts w:hint="eastAsia" w:ascii="仿宋_GB2312" w:hAnsi="宋体" w:eastAsia="仿宋_GB2312" w:cs="宋体"/>
          <w:kern w:val="0"/>
          <w:sz w:val="32"/>
          <w:szCs w:val="32"/>
          <w:lang w:val="zh-CN"/>
        </w:rPr>
        <w:t xml:space="preserve"> 绩效评价及依法接受财政监督情况等</w:t>
      </w:r>
    </w:p>
    <w:p>
      <w:pPr>
        <w:pStyle w:val="40"/>
        <w:spacing w:line="570" w:lineRule="exact"/>
        <w:ind w:firstLine="640" w:firstLineChars="200"/>
        <w:rPr>
          <w:rFonts w:ascii="仿宋_GB2312" w:hAnsi="宋体" w:eastAsia="仿宋_GB2312" w:cs="宋体"/>
          <w:sz w:val="32"/>
          <w:szCs w:val="32"/>
        </w:rPr>
      </w:pPr>
      <w:r>
        <w:rPr>
          <w:rFonts w:hint="eastAsia" w:ascii="仿宋_GB2312" w:hAnsi="黑体" w:eastAsia="仿宋_GB2312"/>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40"/>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（四）整体绩效</w:t>
      </w:r>
    </w:p>
    <w:p>
      <w:pPr>
        <w:pStyle w:val="40"/>
        <w:spacing w:line="576" w:lineRule="exact"/>
        <w:ind w:firstLine="640" w:firstLineChars="200"/>
        <w:rPr>
          <w:rFonts w:ascii="仿宋_GB2312" w:eastAsia="仿宋_GB2312"/>
          <w:sz w:val="32"/>
          <w:szCs w:val="32"/>
        </w:rPr>
      </w:pPr>
      <w:r>
        <w:rPr>
          <w:rFonts w:hint="eastAsia" w:ascii="仿宋_GB2312" w:eastAsia="仿宋_GB2312"/>
          <w:sz w:val="32"/>
          <w:szCs w:val="32"/>
          <w:shd w:val="clear" w:color="auto" w:fill="FFFFFF"/>
        </w:rPr>
        <w:t>我局所有财政资金支出主要用于保障本单位机构正常运转、完成日常工作任务以及其他发展相关工作。</w:t>
      </w:r>
      <w:r>
        <w:rPr>
          <w:rStyle w:val="41"/>
          <w:rFonts w:hint="eastAsia" w:eastAsia="仿宋_GB2312"/>
          <w:sz w:val="32"/>
          <w:szCs w:val="32"/>
          <w:shd w:val="clear" w:color="auto" w:fill="FFFFFF"/>
        </w:rPr>
        <w:t> </w:t>
      </w:r>
      <w:r>
        <w:rPr>
          <w:rFonts w:hint="eastAsia" w:ascii="仿宋_GB2312" w:eastAsia="仿宋_GB2312"/>
          <w:sz w:val="32"/>
          <w:szCs w:val="32"/>
        </w:rPr>
        <w:br w:type="textWrapping"/>
      </w:r>
      <w:r>
        <w:rPr>
          <w:rFonts w:hint="eastAsia" w:ascii="仿宋_GB2312" w:eastAsia="仿宋_GB2312"/>
          <w:sz w:val="32"/>
          <w:szCs w:val="32"/>
          <w:shd w:val="clear" w:color="auto" w:fill="FFFFFF"/>
        </w:rPr>
        <w:t xml:space="preserve">  （1）基本支出，是用于单位正常运转的日常支出，包括基本工资、津贴补贴等人员经费以及办公费、邮电费、培训费、差旅费、等日常公用经费。在日常工作中，</w:t>
      </w:r>
      <w:r>
        <w:rPr>
          <w:rFonts w:hint="eastAsia" w:ascii="仿宋_GB2312" w:eastAsia="仿宋_GB2312"/>
          <w:sz w:val="32"/>
          <w:szCs w:val="32"/>
        </w:rPr>
        <w:t>单位所有日常公用经费开支范围和标准均符合相关规定并按相应支付审批程序办理。</w:t>
      </w:r>
    </w:p>
    <w:p>
      <w:pPr>
        <w:pStyle w:val="34"/>
        <w:ind w:firstLine="640" w:firstLineChars="200"/>
        <w:rPr>
          <w:rFonts w:ascii="仿宋_GB2312" w:hAnsi="仿宋_GB2312" w:eastAsia="仿宋_GB2312" w:cs="仿宋_GB2312"/>
          <w:sz w:val="32"/>
          <w:szCs w:val="32"/>
        </w:rPr>
      </w:pPr>
      <w:r>
        <w:rPr>
          <w:rFonts w:hint="eastAsia" w:ascii="仿宋_GB2312" w:eastAsia="仿宋_GB2312"/>
          <w:sz w:val="32"/>
          <w:szCs w:val="32"/>
        </w:rPr>
        <w:t>（2）项目支出，单位20</w:t>
      </w:r>
      <w:r>
        <w:rPr>
          <w:rFonts w:ascii="仿宋_GB2312" w:eastAsia="仿宋_GB2312"/>
          <w:sz w:val="32"/>
          <w:szCs w:val="32"/>
        </w:rPr>
        <w:t>21</w:t>
      </w:r>
      <w:r>
        <w:rPr>
          <w:rFonts w:hint="eastAsia" w:ascii="仿宋_GB2312" w:eastAsia="仿宋_GB2312"/>
          <w:sz w:val="32"/>
          <w:szCs w:val="32"/>
        </w:rPr>
        <w:t>年度支出</w:t>
      </w:r>
      <w:r>
        <w:rPr>
          <w:rFonts w:ascii="仿宋_GB2312" w:hAnsi="仿宋" w:eastAsia="仿宋_GB2312"/>
          <w:sz w:val="32"/>
          <w:szCs w:val="32"/>
        </w:rPr>
        <w:t>2525700</w:t>
      </w:r>
      <w:r>
        <w:rPr>
          <w:rFonts w:hint="eastAsia" w:ascii="仿宋_GB2312" w:hAnsi="仿宋" w:eastAsia="仿宋_GB2312"/>
          <w:sz w:val="32"/>
          <w:szCs w:val="32"/>
        </w:rPr>
        <w:t>元，</w:t>
      </w:r>
      <w:r>
        <w:rPr>
          <w:rFonts w:hint="eastAsia" w:ascii="仿宋_GB2312" w:hAnsi="仿宋" w:eastAsia="仿宋_GB2312" w:cs="仿宋"/>
          <w:sz w:val="32"/>
          <w:szCs w:val="32"/>
        </w:rPr>
        <w:t>其中东西部协作资金1</w:t>
      </w:r>
      <w:r>
        <w:rPr>
          <w:rFonts w:ascii="仿宋_GB2312" w:hAnsi="仿宋" w:eastAsia="仿宋_GB2312" w:cs="仿宋"/>
          <w:sz w:val="32"/>
          <w:szCs w:val="32"/>
        </w:rPr>
        <w:t>717000</w:t>
      </w:r>
      <w:r>
        <w:rPr>
          <w:rFonts w:hint="eastAsia" w:ascii="仿宋_GB2312" w:hAnsi="仿宋" w:eastAsia="仿宋_GB2312" w:cs="仿宋"/>
          <w:sz w:val="32"/>
          <w:szCs w:val="32"/>
        </w:rPr>
        <w:t>元；扶贫资金8</w:t>
      </w:r>
      <w:r>
        <w:rPr>
          <w:rFonts w:ascii="仿宋_GB2312" w:hAnsi="仿宋" w:eastAsia="仿宋_GB2312" w:cs="仿宋"/>
          <w:sz w:val="32"/>
          <w:szCs w:val="32"/>
        </w:rPr>
        <w:t>08700</w:t>
      </w:r>
      <w:r>
        <w:rPr>
          <w:rFonts w:hint="eastAsia" w:ascii="仿宋_GB2312" w:hAnsi="仿宋" w:eastAsia="仿宋_GB2312" w:cs="仿宋"/>
          <w:sz w:val="32"/>
          <w:szCs w:val="32"/>
        </w:rPr>
        <w:t>元。</w:t>
      </w:r>
    </w:p>
    <w:p>
      <w:pPr>
        <w:pStyle w:val="40"/>
        <w:spacing w:line="576" w:lineRule="exact"/>
        <w:ind w:firstLine="643" w:firstLineChars="200"/>
        <w:rPr>
          <w:rFonts w:ascii="黑体" w:hAnsi="黑体" w:eastAsia="黑体"/>
          <w:b/>
          <w:sz w:val="32"/>
          <w:szCs w:val="32"/>
        </w:rPr>
      </w:pPr>
      <w:r>
        <w:rPr>
          <w:rFonts w:hint="eastAsia" w:ascii="黑体" w:hAnsi="黑体" w:eastAsia="黑体"/>
          <w:b/>
          <w:sz w:val="32"/>
          <w:szCs w:val="32"/>
        </w:rPr>
        <w:t>四、评价结论及建议</w:t>
      </w:r>
    </w:p>
    <w:p>
      <w:pPr>
        <w:pStyle w:val="40"/>
        <w:spacing w:line="576" w:lineRule="exact"/>
        <w:ind w:firstLine="626" w:firstLineChars="195"/>
        <w:rPr>
          <w:rFonts w:ascii="楷体_GB2312" w:hAnsi="黑体" w:eastAsia="楷体_GB2312"/>
          <w:b/>
          <w:sz w:val="32"/>
          <w:szCs w:val="32"/>
          <w:shd w:val="clear" w:color="auto" w:fill="FFFFFF"/>
        </w:rPr>
      </w:pPr>
      <w:r>
        <w:rPr>
          <w:rFonts w:hint="eastAsia" w:ascii="楷体_GB2312" w:hAnsi="黑体" w:eastAsia="楷体_GB2312"/>
          <w:b/>
          <w:sz w:val="32"/>
          <w:szCs w:val="32"/>
          <w:shd w:val="clear" w:color="auto" w:fill="FFFFFF"/>
        </w:rPr>
        <w:t>（一）评价结论</w:t>
      </w:r>
    </w:p>
    <w:p>
      <w:pPr>
        <w:pStyle w:val="40"/>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单位对照《县级部门整体支出绩效评价指标体系表》中各项具体指标认真开展自评工作，经自评，单位部门整体支出均按照相应的规章制度和要求执行办理，暂未发现扣分事项。</w:t>
      </w:r>
    </w:p>
    <w:p>
      <w:pPr>
        <w:pStyle w:val="40"/>
        <w:ind w:firstLine="630" w:firstLineChars="196"/>
        <w:rPr>
          <w:rFonts w:ascii="楷体_GB2312" w:eastAsia="楷体_GB2312" w:hAnsiTheme="minorEastAsia"/>
          <w:b/>
          <w:sz w:val="32"/>
          <w:szCs w:val="32"/>
          <w:shd w:val="clear" w:color="auto" w:fill="FFFFFF"/>
        </w:rPr>
      </w:pPr>
      <w:r>
        <w:rPr>
          <w:rFonts w:hint="eastAsia" w:ascii="楷体_GB2312" w:eastAsia="楷体_GB2312" w:hAnsiTheme="minorEastAsia"/>
          <w:b/>
          <w:sz w:val="32"/>
          <w:szCs w:val="32"/>
          <w:shd w:val="clear" w:color="auto" w:fill="FFFFFF"/>
        </w:rPr>
        <w:t>（二）存在的问题</w:t>
      </w:r>
    </w:p>
    <w:p>
      <w:pPr>
        <w:pStyle w:val="40"/>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单位对部门支出相关规章制度落实力度不够，执行能力不强，在票据报销规范性方面的管理及账务处理上不及时、细致。</w:t>
      </w:r>
    </w:p>
    <w:p>
      <w:pPr>
        <w:pStyle w:val="40"/>
        <w:spacing w:line="576" w:lineRule="exact"/>
        <w:ind w:firstLine="643" w:firstLineChars="200"/>
        <w:rPr>
          <w:rFonts w:ascii="楷体_GB2312" w:eastAsia="楷体_GB2312" w:hAnsiTheme="minorEastAsia"/>
          <w:b/>
          <w:sz w:val="32"/>
          <w:szCs w:val="32"/>
          <w:shd w:val="clear" w:color="auto" w:fill="FFFFFF"/>
        </w:rPr>
      </w:pPr>
      <w:r>
        <w:rPr>
          <w:rFonts w:hint="eastAsia" w:ascii="楷体_GB2312" w:eastAsia="楷体_GB2312" w:hAnsiTheme="minorEastAsia"/>
          <w:b/>
          <w:sz w:val="32"/>
          <w:szCs w:val="32"/>
          <w:shd w:val="clear" w:color="auto" w:fill="FFFFFF"/>
        </w:rPr>
        <w:t>（三）改进建议</w:t>
      </w:r>
    </w:p>
    <w:p>
      <w:pPr>
        <w:pStyle w:val="40"/>
        <w:spacing w:line="576" w:lineRule="exact"/>
        <w:ind w:firstLine="640" w:firstLineChars="200"/>
        <w:rPr>
          <w:rFonts w:ascii="仿宋_GB2312" w:hAnsi="黑体" w:eastAsia="仿宋_GB2312" w:cs="宋体"/>
          <w:kern w:val="0"/>
          <w:sz w:val="32"/>
          <w:szCs w:val="32"/>
          <w:shd w:val="clear" w:color="auto" w:fill="FFFFFF"/>
        </w:rPr>
      </w:pPr>
      <w:r>
        <w:rPr>
          <w:rFonts w:hint="eastAsia" w:ascii="仿宋_GB2312" w:eastAsia="仿宋_GB2312" w:hAnsiTheme="minorEastAsia"/>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pStyle w:val="40"/>
        <w:spacing w:line="576" w:lineRule="exact"/>
        <w:ind w:firstLine="4160" w:firstLineChars="1300"/>
        <w:rPr>
          <w:rFonts w:ascii="仿宋_GB2312" w:hAnsi="黑体" w:eastAsia="仿宋_GB2312"/>
          <w:sz w:val="32"/>
          <w:szCs w:val="32"/>
        </w:rPr>
      </w:pP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rPr>
      </w:pPr>
    </w:p>
    <w:p>
      <w:pPr>
        <w:pStyle w:val="34"/>
        <w:spacing w:line="576" w:lineRule="exact"/>
        <w:rPr>
          <w:rFonts w:ascii="方正小标宋简体" w:eastAsia="方正小标宋简体"/>
          <w:sz w:val="44"/>
          <w:szCs w:val="44"/>
        </w:rPr>
      </w:pPr>
    </w:p>
    <w:p>
      <w:pPr>
        <w:pStyle w:val="34"/>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4"/>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2021年乡村振兴补助资金及使用涉农</w:t>
      </w:r>
    </w:p>
    <w:p>
      <w:pPr>
        <w:pStyle w:val="34"/>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资金</w:t>
      </w:r>
      <w:r>
        <w:rPr>
          <w:rFonts w:hint="eastAsia" w:ascii="方正小标宋简体" w:eastAsia="方正小标宋简体"/>
          <w:sz w:val="44"/>
          <w:szCs w:val="44"/>
        </w:rPr>
        <w:t>项目支出绩效自评报告</w:t>
      </w:r>
    </w:p>
    <w:p>
      <w:pPr>
        <w:pStyle w:val="34"/>
        <w:keepNext w:val="0"/>
        <w:keepLines w:val="0"/>
        <w:pageBreakBefore w:val="0"/>
        <w:numPr>
          <w:ilvl w:val="0"/>
          <w:numId w:val="1"/>
        </w:numPr>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Times New Roman"/>
          <w:b/>
          <w:sz w:val="32"/>
          <w:szCs w:val="32"/>
          <w:lang w:val="en-US" w:eastAsia="zh-CN"/>
        </w:rPr>
      </w:pPr>
      <w:r>
        <w:rPr>
          <w:rFonts w:hint="eastAsia" w:ascii="黑体" w:hAnsi="宋体" w:eastAsia="黑体" w:cs="Times New Roman"/>
          <w:sz w:val="32"/>
          <w:szCs w:val="32"/>
        </w:rPr>
        <w:t>项目概况</w:t>
      </w:r>
    </w:p>
    <w:p>
      <w:pPr>
        <w:pStyle w:val="34"/>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一</w:t>
      </w:r>
      <w:r>
        <w:rPr>
          <w:rFonts w:hint="eastAsia" w:ascii="楷体_GB2312" w:hAnsi="宋体" w:eastAsia="楷体_GB2312" w:cs="Times New Roman"/>
          <w:b/>
          <w:sz w:val="32"/>
          <w:szCs w:val="32"/>
          <w:lang w:val="zh-CN"/>
        </w:rPr>
        <w:t>）项目</w:t>
      </w:r>
      <w:r>
        <w:rPr>
          <w:rFonts w:hint="eastAsia" w:ascii="楷体_GB2312" w:hAnsi="宋体" w:eastAsia="楷体_GB2312" w:cs="Times New Roman"/>
          <w:b/>
          <w:sz w:val="32"/>
          <w:szCs w:val="32"/>
          <w:lang w:val="en-US" w:eastAsia="zh-CN"/>
        </w:rPr>
        <w:t>基本情况。</w:t>
      </w:r>
    </w:p>
    <w:p>
      <w:pPr>
        <w:pStyle w:val="34"/>
        <w:keepNext w:val="0"/>
        <w:keepLines w:val="0"/>
        <w:pageBreakBefore w:val="0"/>
        <w:kinsoku/>
        <w:wordWrap/>
        <w:overflowPunct/>
        <w:topLinePunct w:val="0"/>
        <w:autoSpaceDE/>
        <w:autoSpaceDN/>
        <w:bidi w:val="0"/>
        <w:adjustRightInd w:val="0"/>
        <w:snapToGrid w:val="0"/>
        <w:spacing w:line="576" w:lineRule="exact"/>
        <w:ind w:left="210" w:leftChars="100" w:firstLine="720" w:firstLineChars="225"/>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根据脱贫攻坚成果同乡村振兴衔接目标任务，我局计划入库项目1个，主要包括巩固脱贫户居家灵活就业产业扶持、稳岗就业、技能培训、劳务输出项目，计划安排资金80万元。</w:t>
      </w:r>
    </w:p>
    <w:p>
      <w:pPr>
        <w:pStyle w:val="34"/>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）项目绩效目标。</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宋体" w:hAnsi="宋体" w:eastAsia="宋体" w:cs="宋体"/>
          <w:sz w:val="30"/>
          <w:szCs w:val="30"/>
          <w:lang w:val="en-US" w:eastAsia="zh-CN"/>
        </w:rPr>
      </w:pPr>
      <w:r>
        <w:rPr>
          <w:rFonts w:hint="eastAsia" w:ascii="仿宋_GB2312" w:hAnsi="仿宋_GB2312" w:eastAsia="仿宋_GB2312" w:cs="仿宋_GB2312"/>
          <w:b w:val="0"/>
          <w:bCs w:val="0"/>
          <w:i w:val="0"/>
          <w:iCs w:val="0"/>
          <w:sz w:val="32"/>
          <w:szCs w:val="32"/>
          <w:lang w:val="en-US" w:eastAsia="zh-CN"/>
        </w:rPr>
        <w:t xml:space="preserve">对2021年继续托底安置在公益性岗位的已脱贫人员购买人身意外伤害保险；同意组织输送外出务工脱贫户产生的费用；围绕技能提升活动，对脱贫户进行短期的产业发展培训；对我县已认定的扶贫车间，继续吸纳已脱贫劳动力的，按照文件要求给予奖补、岗位补贴、社保补贴等。项目的执行达到了预期绩效。             </w:t>
      </w:r>
      <w:r>
        <w:rPr>
          <w:rFonts w:hint="eastAsia" w:ascii="宋体" w:hAnsi="宋体" w:eastAsia="宋体" w:cs="宋体"/>
          <w:sz w:val="30"/>
          <w:szCs w:val="30"/>
          <w:lang w:val="en-US" w:eastAsia="zh-CN"/>
        </w:rPr>
        <w:t xml:space="preserve">                                                                                                                                                                                                                                                                                                                                                                                                                                                                                                                                                                                                          </w:t>
      </w:r>
    </w:p>
    <w:p>
      <w:pPr>
        <w:pStyle w:val="34"/>
        <w:keepNext w:val="0"/>
        <w:keepLines w:val="0"/>
        <w:pageBreakBefore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项目实施及管理情况</w:t>
      </w:r>
    </w:p>
    <w:p>
      <w:pPr>
        <w:pStyle w:val="34"/>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（一）资金计划、到位及使用情况。</w:t>
      </w:r>
      <w:r>
        <w:rPr>
          <w:rFonts w:hint="eastAsia" w:ascii="楷体_GB2312" w:hAnsi="宋体" w:eastAsia="楷体_GB2312" w:cs="Times New Roman"/>
          <w:b/>
          <w:sz w:val="32"/>
          <w:szCs w:val="32"/>
          <w:lang w:val="en-US" w:eastAsia="zh-CN"/>
        </w:rPr>
        <w:t xml:space="preserve"> </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 xml:space="preserve">1．资金计划及到位。2021年3月19日，茂财农（2021）21-6号关于下达2021年第一批中央财政专项扶贫资金80万元，资金到位80万元，截止2021年11月29日，共计支出80万元。项目资金到位率100%，完成预算的100%。 </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2.资金使用。截止2021年11月29日，共计支出80万元，资金使用合法合规。具体如下：</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（1）公益性岗位人身意外险123000元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（2）劳务输出28400元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（3）产业发展培训153955元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（4）扶贫车间奖补493723.23元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（5）购买书籍921.77元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）项目财务管理情况。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本单位严格按照文件要求对专项资金进行使用，切实加强中央对地方专项转移支付的资金管理，提高财政资金使用的规范性、安全性和有效性。</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三</w:t>
      </w:r>
      <w:r>
        <w:rPr>
          <w:rFonts w:hint="eastAsia" w:ascii="楷体_GB2312" w:hAnsi="宋体" w:eastAsia="楷体_GB2312" w:cs="Times New Roman"/>
          <w:b/>
          <w:sz w:val="32"/>
          <w:szCs w:val="32"/>
          <w:lang w:val="zh-CN"/>
        </w:rPr>
        <w:t>）项目组织实施情况。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仿宋_GB2312" w:hAnsi="仿宋_GB2312" w:eastAsia="仿宋_GB2312" w:cs="仿宋_GB2312"/>
          <w:b w:val="0"/>
          <w:bCs w:val="0"/>
          <w:i w:val="0"/>
          <w:iCs w:val="0"/>
          <w:sz w:val="32"/>
          <w:szCs w:val="32"/>
          <w:lang w:val="zh-CN" w:eastAsia="zh-CN"/>
        </w:rPr>
        <w:t>县级财政部门</w:t>
      </w:r>
      <w:r>
        <w:rPr>
          <w:rFonts w:hint="eastAsia" w:ascii="仿宋_GB2312" w:hAnsi="仿宋_GB2312" w:eastAsia="仿宋_GB2312" w:cs="仿宋_GB2312"/>
          <w:b w:val="0"/>
          <w:bCs w:val="0"/>
          <w:i w:val="0"/>
          <w:iCs w:val="0"/>
          <w:sz w:val="32"/>
          <w:szCs w:val="32"/>
          <w:lang w:val="en-US" w:eastAsia="zh-CN"/>
        </w:rPr>
        <w:t>预算资金按时足额划拨至我单位，我局严格按照资金管理办法做好预算执行情况统计。</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仿宋_GB2312" w:hAnsi="仿宋_GB2312" w:eastAsia="仿宋_GB2312" w:cs="仿宋_GB2312"/>
          <w:b w:val="0"/>
          <w:bCs w:val="0"/>
          <w:i w:val="0"/>
          <w:iCs w:val="0"/>
          <w:sz w:val="32"/>
          <w:szCs w:val="32"/>
          <w:lang w:val="en-US" w:eastAsia="zh-CN"/>
        </w:rPr>
        <w:t>单位在项目资金管理过程中严格按照 “收支两条线”管理；严格按</w:t>
      </w:r>
      <w:bookmarkStart w:id="132" w:name="_GoBack"/>
      <w:r>
        <w:rPr>
          <w:rFonts w:hint="eastAsia" w:ascii="仿宋_GB2312" w:hAnsi="仿宋_GB2312" w:eastAsia="仿宋_GB2312" w:cs="仿宋_GB2312"/>
          <w:b w:val="0"/>
          <w:bCs w:val="0"/>
          <w:i w:val="0"/>
          <w:iCs w:val="0"/>
          <w:sz w:val="32"/>
          <w:szCs w:val="32"/>
          <w:lang w:val="en-US" w:eastAsia="zh-CN"/>
        </w:rPr>
        <w:t>照《中华人民共和国</w:t>
      </w:r>
      <w:r>
        <w:rPr>
          <w:rFonts w:hint="eastAsia" w:ascii="仿宋_GB2312" w:hAnsi="仿宋_GB2312" w:eastAsia="仿宋_GB2312" w:cs="仿宋_GB2312"/>
          <w:b w:val="0"/>
          <w:bCs w:val="0"/>
          <w:i w:val="0"/>
          <w:iCs w:val="0"/>
          <w:sz w:val="32"/>
          <w:szCs w:val="32"/>
          <w:lang w:val="en-US" w:eastAsia="zh-CN"/>
        </w:rPr>
        <w:t>会计法》规定的</w:t>
      </w:r>
      <w:bookmarkEnd w:id="132"/>
      <w:r>
        <w:rPr>
          <w:rFonts w:hint="eastAsia" w:ascii="仿宋_GB2312" w:hAnsi="仿宋_GB2312" w:eastAsia="仿宋_GB2312" w:cs="仿宋_GB2312"/>
          <w:b w:val="0"/>
          <w:bCs w:val="0"/>
          <w:i w:val="0"/>
          <w:iCs w:val="0"/>
          <w:sz w:val="32"/>
          <w:szCs w:val="32"/>
          <w:lang w:val="en-US" w:eastAsia="zh-CN"/>
        </w:rPr>
        <w:t>会计科目进行核算。</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单位按时向县级财政部门报送资金使用支付进度情况，同时做好与财政部门、金融机构的对账工作，切实加强资金监管，确保专款专用。</w:t>
      </w:r>
    </w:p>
    <w:p>
      <w:pPr>
        <w:pStyle w:val="34"/>
        <w:keepNext w:val="0"/>
        <w:keepLines w:val="0"/>
        <w:pageBreakBefore w:val="0"/>
        <w:widowControl w:val="0"/>
        <w:numPr>
          <w:ilvl w:val="0"/>
          <w:numId w:val="1"/>
        </w:numPr>
        <w:kinsoku/>
        <w:wordWrap/>
        <w:overflowPunct/>
        <w:topLinePunct w:val="0"/>
        <w:autoSpaceDE/>
        <w:autoSpaceDN/>
        <w:bidi w:val="0"/>
        <w:spacing w:line="360" w:lineRule="auto"/>
        <w:ind w:left="0" w:leftChars="0" w:firstLine="640" w:firstLineChars="20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项目绩效情况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一</w:t>
      </w:r>
      <w:r>
        <w:rPr>
          <w:rFonts w:hint="eastAsia" w:ascii="楷体_GB2312" w:hAnsi="宋体" w:eastAsia="楷体_GB2312" w:cs="Times New Roman"/>
          <w:b/>
          <w:sz w:val="32"/>
          <w:szCs w:val="32"/>
          <w:lang w:val="zh-CN"/>
        </w:rPr>
        <w:t>）项目完成情况。</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_GB2312" w:eastAsia="仿宋_GB2312" w:cs="仿宋_GB2312"/>
          <w:b w:val="0"/>
          <w:bCs w:val="0"/>
          <w:i w:val="0"/>
          <w:iCs w:val="0"/>
          <w:sz w:val="32"/>
          <w:szCs w:val="32"/>
          <w:lang w:val="en-US" w:eastAsia="zh-CN"/>
        </w:rPr>
        <w:t>上级拨付我局80万元专项扶贫资金，</w:t>
      </w:r>
      <w:r>
        <w:rPr>
          <w:rFonts w:hint="eastAsia" w:ascii="仿宋_GB2312" w:hAnsi="仿宋_GB2312" w:eastAsia="仿宋_GB2312" w:cs="仿宋_GB2312"/>
          <w:b w:val="0"/>
          <w:bCs w:val="0"/>
          <w:i w:val="0"/>
          <w:iCs w:val="0"/>
          <w:sz w:val="32"/>
          <w:szCs w:val="32"/>
          <w:lang w:val="zh-CN" w:eastAsia="zh-CN"/>
        </w:rPr>
        <w:t>按照专项资金管理办法，做到专款专用，完成各项</w:t>
      </w:r>
      <w:r>
        <w:rPr>
          <w:rFonts w:hint="eastAsia" w:ascii="仿宋_GB2312" w:hAnsi="仿宋_GB2312" w:eastAsia="仿宋_GB2312" w:cs="仿宋_GB2312"/>
          <w:b w:val="0"/>
          <w:bCs w:val="0"/>
          <w:i w:val="0"/>
          <w:iCs w:val="0"/>
          <w:sz w:val="32"/>
          <w:szCs w:val="32"/>
          <w:lang w:val="en-US" w:eastAsia="zh-CN"/>
        </w:rPr>
        <w:t>预定绩效</w:t>
      </w:r>
      <w:r>
        <w:rPr>
          <w:rFonts w:hint="eastAsia" w:ascii="仿宋_GB2312" w:hAnsi="仿宋_GB2312" w:eastAsia="仿宋_GB2312" w:cs="仿宋_GB2312"/>
          <w:b w:val="0"/>
          <w:bCs w:val="0"/>
          <w:i w:val="0"/>
          <w:iCs w:val="0"/>
          <w:sz w:val="32"/>
          <w:szCs w:val="32"/>
          <w:lang w:val="zh-CN" w:eastAsia="zh-CN"/>
        </w:rPr>
        <w:t>目标。</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default"/>
          <w:sz w:val="30"/>
          <w:szCs w:val="30"/>
          <w:lang w:val="en-US" w:eastAsia="zh-CN"/>
        </w:rPr>
      </w:pPr>
      <w:r>
        <w:rPr>
          <w:rFonts w:hint="eastAsia" w:ascii="楷体_GB2312" w:hAnsi="宋体" w:eastAsia="楷体_GB2312" w:cs="Times New Roman"/>
          <w:b/>
          <w:sz w:val="32"/>
          <w:szCs w:val="32"/>
          <w:lang w:val="zh-CN"/>
        </w:rPr>
        <w:t>（二）项目效益情况。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通过发展产业培训、购买公益性岗位人身意外险等方式，使其掌握了产业技能，享受了应有保障，激发了脱贫户的内生动力，增强了致富决心；通过扶贫车间奖补方式，带动了社会资本参与脱贫成果巩固，提供更多就业岗位，实现已脱贫人员增收。此次专项资金项目的实施，获得已脱贫人员的一致好评。</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黑体" w:hAnsi="宋体" w:eastAsia="黑体" w:cs="Times New Roman"/>
          <w:sz w:val="32"/>
          <w:szCs w:val="32"/>
          <w:lang w:val="en-US" w:eastAsia="zh-CN"/>
        </w:rPr>
        <w:t>四、问题及建议</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楷体_GB2312" w:hAnsi="宋体" w:eastAsia="楷体_GB2312" w:cs="Times New Roman"/>
          <w:b/>
          <w:sz w:val="32"/>
          <w:szCs w:val="32"/>
          <w:lang w:val="zh-CN"/>
        </w:rPr>
        <w:t>（一）存在的问题。</w:t>
      </w:r>
    </w:p>
    <w:p>
      <w:pPr>
        <w:pStyle w:val="34"/>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单位在绩效目标自评过程中暂未发现相关问题。</w:t>
      </w:r>
    </w:p>
    <w:p>
      <w:pPr>
        <w:pStyle w:val="34"/>
        <w:keepNext w:val="0"/>
        <w:keepLines w:val="0"/>
        <w:pageBreakBefore w:val="0"/>
        <w:widowControl w:val="0"/>
        <w:kinsoku/>
        <w:wordWrap/>
        <w:overflowPunct/>
        <w:topLinePunct w:val="0"/>
        <w:autoSpaceDE/>
        <w:autoSpaceDN/>
        <w:bidi w:val="0"/>
        <w:spacing w:line="360" w:lineRule="auto"/>
        <w:ind w:firstLine="643"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楷体_GB2312" w:hAnsi="宋体" w:eastAsia="楷体_GB2312" w:cs="Times New Roman"/>
          <w:b/>
          <w:sz w:val="32"/>
          <w:szCs w:val="32"/>
          <w:lang w:val="zh-CN"/>
        </w:rPr>
        <w:t>（二）相关建议。</w:t>
      </w:r>
    </w:p>
    <w:p>
      <w:pPr>
        <w:pStyle w:val="37"/>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进一步做好脱贫户产业及稳岗就业。加强对脱贫产业发展的研判，动态监测已脱贫人口就业情况，确保已脱贫人口发展产业及就业规模总体稳定。</w:t>
      </w:r>
    </w:p>
    <w:p>
      <w:pPr>
        <w:pStyle w:val="40"/>
        <w:keepNext w:val="0"/>
        <w:keepLines w:val="0"/>
        <w:pageBreakBefore w:val="0"/>
        <w:widowControl w:val="0"/>
        <w:kinsoku/>
        <w:wordWrap/>
        <w:overflowPunct/>
        <w:topLinePunct w:val="0"/>
        <w:autoSpaceDE/>
        <w:autoSpaceDN/>
        <w:bidi w:val="0"/>
        <w:spacing w:line="360" w:lineRule="auto"/>
        <w:ind w:firstLine="3200" w:firstLineChars="1000"/>
        <w:textAlignment w:val="auto"/>
        <w:rPr>
          <w:rFonts w:hint="eastAsia"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茂县公共就业和人才交流服务局</w:t>
      </w:r>
    </w:p>
    <w:p>
      <w:pPr>
        <w:pStyle w:val="40"/>
        <w:keepNext w:val="0"/>
        <w:keepLines w:val="0"/>
        <w:pageBreakBefore w:val="0"/>
        <w:widowControl w:val="0"/>
        <w:kinsoku/>
        <w:wordWrap/>
        <w:overflowPunct/>
        <w:topLinePunct w:val="0"/>
        <w:autoSpaceDE/>
        <w:autoSpaceDN/>
        <w:bidi w:val="0"/>
        <w:spacing w:line="360" w:lineRule="auto"/>
        <w:ind w:firstLine="4160" w:firstLineChars="1300"/>
        <w:jc w:val="both"/>
        <w:textAlignment w:val="auto"/>
        <w:rPr>
          <w:rFonts w:hint="default"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2022年8月30日</w:t>
      </w:r>
    </w:p>
    <w:p>
      <w:pPr>
        <w:pStyle w:val="37"/>
        <w:rPr>
          <w:rFonts w:hint="eastAsia" w:ascii="仿宋_GB2312" w:hAnsi="仿宋_GB2312" w:eastAsia="仿宋_GB2312" w:cs="仿宋_GB2312"/>
          <w:kern w:val="2"/>
          <w:sz w:val="32"/>
          <w:szCs w:val="32"/>
          <w:lang w:val="en-US" w:eastAsia="zh-CN" w:bidi="ar-SA"/>
        </w:rPr>
      </w:pPr>
    </w:p>
    <w:p>
      <w:pPr>
        <w:pStyle w:val="34"/>
      </w:pPr>
    </w:p>
    <w:p>
      <w:pPr>
        <w:pStyle w:val="2"/>
        <w:jc w:val="center"/>
        <w:rPr>
          <w:rFonts w:ascii="黑体" w:hAnsi="黑体" w:eastAsia="黑体" w:cs="黑体"/>
        </w:rPr>
      </w:pPr>
      <w:bookmarkStart w:id="74" w:name="_Toc79163885"/>
      <w:bookmarkStart w:id="75" w:name="_Toc79163635"/>
      <w:bookmarkStart w:id="76" w:name="_Toc113981025"/>
      <w:bookmarkStart w:id="77" w:name="_Toc111208512"/>
      <w:r>
        <w:rPr>
          <w:rFonts w:hint="eastAsia" w:ascii="黑体" w:hAnsi="黑体" w:eastAsia="黑体" w:cs="黑体"/>
        </w:rPr>
        <w:t>第五部分 附表</w:t>
      </w:r>
      <w:bookmarkEnd w:id="74"/>
      <w:bookmarkEnd w:id="75"/>
      <w:bookmarkEnd w:id="76"/>
      <w:bookmarkEnd w:id="77"/>
    </w:p>
    <w:p>
      <w:pPr>
        <w:pStyle w:val="3"/>
        <w:spacing w:line="576" w:lineRule="exact"/>
        <w:rPr>
          <w:rFonts w:hint="eastAsia" w:ascii="仿宋" w:hAnsi="Cambria" w:eastAsia="仿宋" w:cs="Times New Roman"/>
          <w:b w:val="0"/>
          <w:color w:val="000000"/>
        </w:rPr>
      </w:pPr>
      <w:bookmarkStart w:id="78" w:name="_Toc113981026"/>
      <w:bookmarkStart w:id="79" w:name="_Toc111208513"/>
      <w:bookmarkStart w:id="80" w:name="_Toc79163886"/>
      <w:bookmarkStart w:id="81" w:name="_Toc79163636"/>
      <w:r>
        <w:rPr>
          <w:rFonts w:hint="eastAsia" w:ascii="仿宋" w:hAnsi="Cambria" w:eastAsia="仿宋" w:cs="Times New Roman"/>
          <w:b w:val="0"/>
          <w:color w:val="000000"/>
        </w:rPr>
        <w:t>一、收入支出决算总表</w:t>
      </w:r>
      <w:bookmarkEnd w:id="78"/>
      <w:bookmarkEnd w:id="79"/>
      <w:bookmarkEnd w:id="80"/>
      <w:bookmarkEnd w:id="81"/>
    </w:p>
    <w:p>
      <w:pPr>
        <w:pStyle w:val="3"/>
        <w:spacing w:line="576" w:lineRule="exact"/>
        <w:rPr>
          <w:rFonts w:hint="eastAsia" w:ascii="仿宋" w:hAnsi="Cambria" w:eastAsia="仿宋" w:cs="Times New Roman"/>
          <w:b w:val="0"/>
          <w:color w:val="000000"/>
        </w:rPr>
      </w:pPr>
      <w:bookmarkStart w:id="82" w:name="_Toc79163637"/>
      <w:bookmarkStart w:id="83" w:name="_Toc111208514"/>
      <w:bookmarkStart w:id="84" w:name="_Toc113981027"/>
      <w:bookmarkStart w:id="85" w:name="_Toc79163887"/>
      <w:r>
        <w:rPr>
          <w:rFonts w:hint="eastAsia" w:ascii="仿宋" w:hAnsi="Cambria" w:eastAsia="仿宋" w:cs="Times New Roman"/>
          <w:b w:val="0"/>
          <w:color w:val="000000"/>
        </w:rPr>
        <w:t>二、收入决算表</w:t>
      </w:r>
      <w:bookmarkEnd w:id="82"/>
      <w:bookmarkEnd w:id="83"/>
      <w:bookmarkEnd w:id="84"/>
      <w:bookmarkEnd w:id="85"/>
    </w:p>
    <w:p>
      <w:pPr>
        <w:pStyle w:val="3"/>
        <w:spacing w:line="576" w:lineRule="exact"/>
        <w:rPr>
          <w:rFonts w:hint="eastAsia" w:ascii="仿宋" w:hAnsi="Cambria" w:eastAsia="仿宋" w:cs="Times New Roman"/>
          <w:b w:val="0"/>
          <w:color w:val="000000"/>
        </w:rPr>
      </w:pPr>
      <w:bookmarkStart w:id="86" w:name="_Toc79163638"/>
      <w:bookmarkStart w:id="87" w:name="_Toc111208515"/>
      <w:bookmarkStart w:id="88" w:name="_Toc113981028"/>
      <w:bookmarkStart w:id="89" w:name="_Toc79163888"/>
      <w:r>
        <w:rPr>
          <w:rFonts w:hint="eastAsia" w:ascii="仿宋" w:hAnsi="Cambria" w:eastAsia="仿宋" w:cs="Times New Roman"/>
          <w:b w:val="0"/>
          <w:color w:val="000000"/>
        </w:rPr>
        <w:t>三、支出决算表</w:t>
      </w:r>
      <w:bookmarkEnd w:id="86"/>
      <w:bookmarkEnd w:id="87"/>
      <w:bookmarkEnd w:id="88"/>
      <w:bookmarkEnd w:id="89"/>
    </w:p>
    <w:p>
      <w:pPr>
        <w:pStyle w:val="3"/>
        <w:spacing w:line="576" w:lineRule="exact"/>
        <w:rPr>
          <w:rFonts w:hint="eastAsia" w:ascii="仿宋" w:hAnsi="Cambria" w:eastAsia="仿宋" w:cs="Times New Roman"/>
          <w:b w:val="0"/>
          <w:color w:val="000000"/>
        </w:rPr>
      </w:pPr>
      <w:bookmarkStart w:id="90" w:name="_Toc111208516"/>
      <w:bookmarkStart w:id="91" w:name="_Toc79163639"/>
      <w:bookmarkStart w:id="92" w:name="_Toc113981029"/>
      <w:bookmarkStart w:id="93" w:name="_Toc79163889"/>
      <w:r>
        <w:rPr>
          <w:rFonts w:hint="eastAsia" w:ascii="仿宋" w:hAnsi="Cambria" w:eastAsia="仿宋" w:cs="Times New Roman"/>
          <w:b w:val="0"/>
          <w:color w:val="000000"/>
        </w:rPr>
        <w:t>四、财政拨款收入支出决算总表</w:t>
      </w:r>
      <w:bookmarkEnd w:id="90"/>
      <w:bookmarkEnd w:id="91"/>
      <w:bookmarkEnd w:id="92"/>
      <w:bookmarkEnd w:id="93"/>
    </w:p>
    <w:p>
      <w:pPr>
        <w:pStyle w:val="3"/>
        <w:spacing w:line="576" w:lineRule="exact"/>
        <w:rPr>
          <w:rFonts w:hint="eastAsia" w:ascii="仿宋" w:hAnsi="Cambria" w:eastAsia="仿宋" w:cs="Times New Roman"/>
          <w:b w:val="0"/>
          <w:color w:val="000000"/>
        </w:rPr>
      </w:pPr>
      <w:bookmarkStart w:id="94" w:name="_Toc111208517"/>
      <w:bookmarkStart w:id="95" w:name="_Toc113981030"/>
      <w:bookmarkStart w:id="96" w:name="_Toc79163640"/>
      <w:bookmarkStart w:id="97" w:name="_Toc79163890"/>
      <w:r>
        <w:rPr>
          <w:rFonts w:hint="eastAsia" w:ascii="仿宋" w:hAnsi="Cambria" w:eastAsia="仿宋" w:cs="Times New Roman"/>
          <w:b w:val="0"/>
          <w:color w:val="000000"/>
        </w:rPr>
        <w:t>五、财政拨款支出决算明细表</w:t>
      </w:r>
      <w:bookmarkEnd w:id="94"/>
      <w:bookmarkEnd w:id="95"/>
      <w:bookmarkEnd w:id="96"/>
      <w:bookmarkEnd w:id="97"/>
    </w:p>
    <w:p>
      <w:pPr>
        <w:pStyle w:val="3"/>
        <w:spacing w:line="576" w:lineRule="exact"/>
        <w:rPr>
          <w:rFonts w:hint="eastAsia" w:ascii="仿宋" w:hAnsi="Cambria" w:eastAsia="仿宋" w:cs="Times New Roman"/>
          <w:b w:val="0"/>
          <w:color w:val="000000"/>
        </w:rPr>
      </w:pPr>
      <w:bookmarkStart w:id="98" w:name="_Toc113981031"/>
      <w:bookmarkStart w:id="99" w:name="_Toc79163641"/>
      <w:bookmarkStart w:id="100" w:name="_Toc79163891"/>
      <w:bookmarkStart w:id="101" w:name="_Toc111208518"/>
      <w:r>
        <w:rPr>
          <w:rFonts w:hint="eastAsia" w:ascii="仿宋" w:hAnsi="Cambria" w:eastAsia="仿宋" w:cs="Times New Roman"/>
          <w:b w:val="0"/>
          <w:color w:val="000000"/>
        </w:rPr>
        <w:t>六、一般公共预算财政拨款支出决算表</w:t>
      </w:r>
      <w:bookmarkEnd w:id="98"/>
      <w:bookmarkEnd w:id="99"/>
      <w:bookmarkEnd w:id="100"/>
      <w:bookmarkEnd w:id="101"/>
    </w:p>
    <w:p>
      <w:pPr>
        <w:pStyle w:val="3"/>
        <w:spacing w:line="576" w:lineRule="exact"/>
        <w:rPr>
          <w:rFonts w:hint="eastAsia" w:ascii="仿宋" w:hAnsi="Cambria" w:eastAsia="仿宋" w:cs="Times New Roman"/>
          <w:b w:val="0"/>
          <w:color w:val="000000"/>
        </w:rPr>
      </w:pPr>
      <w:bookmarkStart w:id="102" w:name="_Toc79163642"/>
      <w:bookmarkStart w:id="103" w:name="_Toc113981032"/>
      <w:bookmarkStart w:id="104" w:name="_Toc111208519"/>
      <w:bookmarkStart w:id="105" w:name="_Toc79163892"/>
      <w:r>
        <w:rPr>
          <w:rFonts w:hint="eastAsia" w:ascii="仿宋" w:hAnsi="Cambria" w:eastAsia="仿宋" w:cs="Times New Roman"/>
          <w:b w:val="0"/>
          <w:color w:val="000000"/>
        </w:rPr>
        <w:t>七、一般公共预算财政拨款支出决算明细表</w:t>
      </w:r>
      <w:bookmarkEnd w:id="102"/>
      <w:bookmarkEnd w:id="103"/>
      <w:bookmarkEnd w:id="104"/>
      <w:bookmarkEnd w:id="105"/>
    </w:p>
    <w:p>
      <w:pPr>
        <w:pStyle w:val="3"/>
        <w:spacing w:line="576" w:lineRule="exact"/>
        <w:rPr>
          <w:rFonts w:hint="eastAsia" w:ascii="仿宋" w:hAnsi="Cambria" w:eastAsia="仿宋" w:cs="Times New Roman"/>
          <w:b w:val="0"/>
          <w:color w:val="000000"/>
        </w:rPr>
      </w:pPr>
      <w:bookmarkStart w:id="106" w:name="_Toc79163893"/>
      <w:bookmarkStart w:id="107" w:name="_Toc111208520"/>
      <w:bookmarkStart w:id="108" w:name="_Toc79163643"/>
      <w:bookmarkStart w:id="109" w:name="_Toc113981033"/>
      <w:r>
        <w:rPr>
          <w:rFonts w:hint="eastAsia" w:ascii="仿宋" w:hAnsi="Cambria" w:eastAsia="仿宋" w:cs="Times New Roman"/>
          <w:b w:val="0"/>
          <w:color w:val="000000"/>
        </w:rPr>
        <w:t>八、一般公共预算财政拨款基本支出决算表</w:t>
      </w:r>
      <w:bookmarkEnd w:id="106"/>
      <w:bookmarkEnd w:id="107"/>
      <w:bookmarkEnd w:id="108"/>
      <w:bookmarkEnd w:id="109"/>
    </w:p>
    <w:p>
      <w:pPr>
        <w:pStyle w:val="3"/>
        <w:spacing w:line="576" w:lineRule="exact"/>
        <w:rPr>
          <w:rFonts w:hint="eastAsia" w:ascii="仿宋" w:hAnsi="Cambria" w:eastAsia="仿宋" w:cs="Times New Roman"/>
          <w:b w:val="0"/>
          <w:color w:val="000000"/>
        </w:rPr>
      </w:pPr>
      <w:bookmarkStart w:id="110" w:name="_Toc113981034"/>
      <w:bookmarkStart w:id="111" w:name="_Toc79163894"/>
      <w:bookmarkStart w:id="112" w:name="_Toc79163644"/>
      <w:bookmarkStart w:id="113" w:name="_Toc111208521"/>
      <w:r>
        <w:rPr>
          <w:rFonts w:hint="eastAsia" w:ascii="仿宋" w:hAnsi="Cambria" w:eastAsia="仿宋" w:cs="Times New Roman"/>
          <w:b w:val="0"/>
          <w:color w:val="000000"/>
        </w:rPr>
        <w:t>九、一般公共预算财政拨款项目支出决算表</w:t>
      </w:r>
      <w:bookmarkEnd w:id="110"/>
      <w:bookmarkEnd w:id="111"/>
      <w:bookmarkEnd w:id="112"/>
      <w:bookmarkEnd w:id="113"/>
    </w:p>
    <w:p>
      <w:pPr>
        <w:pStyle w:val="3"/>
        <w:spacing w:line="576" w:lineRule="exact"/>
        <w:rPr>
          <w:rFonts w:hint="eastAsia" w:ascii="仿宋" w:hAnsi="Cambria" w:eastAsia="仿宋" w:cs="Times New Roman"/>
          <w:b w:val="0"/>
          <w:color w:val="000000"/>
        </w:rPr>
      </w:pPr>
      <w:bookmarkStart w:id="114" w:name="_Toc113981035"/>
      <w:bookmarkStart w:id="115" w:name="_Toc79163645"/>
      <w:bookmarkStart w:id="116" w:name="_Toc111208522"/>
      <w:bookmarkStart w:id="117" w:name="_Toc79163895"/>
      <w:r>
        <w:rPr>
          <w:rFonts w:hint="eastAsia" w:ascii="仿宋" w:hAnsi="Cambria" w:eastAsia="仿宋" w:cs="Times New Roman"/>
          <w:b w:val="0"/>
          <w:color w:val="000000"/>
        </w:rPr>
        <w:t>十、一般公共预算财政拨款“三公”经费支出决算表</w:t>
      </w:r>
      <w:bookmarkEnd w:id="114"/>
      <w:bookmarkEnd w:id="115"/>
      <w:bookmarkEnd w:id="116"/>
      <w:bookmarkEnd w:id="117"/>
    </w:p>
    <w:p>
      <w:pPr>
        <w:pStyle w:val="3"/>
        <w:spacing w:line="576" w:lineRule="exact"/>
        <w:rPr>
          <w:rFonts w:hint="eastAsia" w:ascii="仿宋" w:hAnsi="Cambria" w:eastAsia="仿宋" w:cs="Times New Roman"/>
          <w:b w:val="0"/>
          <w:color w:val="000000"/>
        </w:rPr>
      </w:pPr>
      <w:bookmarkStart w:id="118" w:name="_Toc111208523"/>
      <w:bookmarkStart w:id="119" w:name="_Toc113981036"/>
      <w:bookmarkStart w:id="120" w:name="_Toc79163646"/>
      <w:bookmarkStart w:id="121" w:name="_Toc79163896"/>
      <w:r>
        <w:rPr>
          <w:rFonts w:hint="eastAsia" w:ascii="仿宋" w:hAnsi="Cambria" w:eastAsia="仿宋" w:cs="Times New Roman"/>
          <w:b w:val="0"/>
          <w:color w:val="000000"/>
        </w:rPr>
        <w:t>十一、政府性基金预算财政拨款收入支出决算表</w:t>
      </w:r>
      <w:bookmarkEnd w:id="118"/>
      <w:bookmarkEnd w:id="119"/>
      <w:bookmarkEnd w:id="120"/>
      <w:bookmarkEnd w:id="121"/>
    </w:p>
    <w:p>
      <w:pPr>
        <w:pStyle w:val="3"/>
        <w:spacing w:line="576" w:lineRule="exact"/>
        <w:rPr>
          <w:rFonts w:hint="eastAsia" w:ascii="仿宋" w:hAnsi="Cambria" w:eastAsia="仿宋" w:cs="Times New Roman"/>
          <w:b w:val="0"/>
          <w:color w:val="000000"/>
        </w:rPr>
      </w:pPr>
      <w:bookmarkStart w:id="122" w:name="_Toc111208524"/>
      <w:bookmarkStart w:id="123" w:name="_Toc113981037"/>
      <w:bookmarkStart w:id="124" w:name="_Toc79163897"/>
      <w:bookmarkStart w:id="125" w:name="_Toc79163647"/>
      <w:r>
        <w:rPr>
          <w:rFonts w:hint="eastAsia" w:ascii="仿宋" w:hAnsi="Cambria" w:eastAsia="仿宋" w:cs="Times New Roman"/>
          <w:b w:val="0"/>
          <w:color w:val="000000"/>
        </w:rPr>
        <w:t>十二、政府性基金预算财政拨款“三公”经费支出决算表</w:t>
      </w:r>
      <w:bookmarkEnd w:id="122"/>
      <w:bookmarkEnd w:id="123"/>
      <w:bookmarkEnd w:id="124"/>
      <w:bookmarkEnd w:id="125"/>
    </w:p>
    <w:p>
      <w:pPr>
        <w:pStyle w:val="3"/>
        <w:spacing w:line="576" w:lineRule="exact"/>
        <w:rPr>
          <w:rFonts w:hint="eastAsia" w:ascii="仿宋" w:hAnsi="Cambria" w:eastAsia="仿宋" w:cs="Times New Roman"/>
          <w:b w:val="0"/>
          <w:color w:val="000000"/>
        </w:rPr>
      </w:pPr>
      <w:bookmarkStart w:id="126" w:name="_Toc79163898"/>
      <w:bookmarkStart w:id="127" w:name="_Toc79163648"/>
      <w:bookmarkStart w:id="128" w:name="_Toc113981038"/>
      <w:bookmarkStart w:id="129" w:name="_Toc111208525"/>
      <w:r>
        <w:rPr>
          <w:rFonts w:hint="eastAsia" w:ascii="仿宋" w:hAnsi="Cambria" w:eastAsia="仿宋" w:cs="Times New Roman"/>
          <w:b w:val="0"/>
          <w:color w:val="000000"/>
        </w:rPr>
        <w:t>十三、</w:t>
      </w:r>
      <w:bookmarkEnd w:id="126"/>
      <w:bookmarkEnd w:id="127"/>
      <w:r>
        <w:rPr>
          <w:rFonts w:hint="eastAsia" w:ascii="仿宋" w:hAnsi="Cambria" w:eastAsia="仿宋" w:cs="Times New Roman"/>
          <w:b w:val="0"/>
          <w:color w:val="000000"/>
        </w:rPr>
        <w:t>国有资本经营预算财政拨款收入支出决算表</w:t>
      </w:r>
      <w:bookmarkEnd w:id="128"/>
      <w:bookmarkEnd w:id="129"/>
    </w:p>
    <w:p>
      <w:pPr>
        <w:pStyle w:val="3"/>
        <w:spacing w:line="576" w:lineRule="exact"/>
        <w:rPr>
          <w:rFonts w:hint="eastAsia" w:ascii="仿宋" w:hAnsi="Cambria" w:eastAsia="仿宋" w:cs="Times New Roman"/>
          <w:b w:val="0"/>
          <w:color w:val="000000"/>
        </w:rPr>
      </w:pPr>
      <w:bookmarkStart w:id="130" w:name="_Toc113981039"/>
      <w:bookmarkStart w:id="131" w:name="_Toc111208526"/>
      <w:r>
        <w:rPr>
          <w:rFonts w:hint="eastAsia" w:ascii="仿宋" w:hAnsi="Cambria" w:eastAsia="仿宋" w:cs="Times New Roman"/>
          <w:b w:val="0"/>
          <w:color w:val="000000"/>
        </w:rPr>
        <w:t>十四、国有资本经营预算财政拨款支出决算表</w:t>
      </w:r>
      <w:bookmarkEnd w:id="130"/>
      <w:bookmarkEnd w:id="131"/>
    </w:p>
    <w:sectPr>
      <w:footerReference r:id="rId8" w:type="first"/>
      <w:headerReference r:id="rId6" w:type="default"/>
      <w:footerReference r:id="rId7"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5"/>
                </w:pPr>
              </w:p>
            </w:txbxContent>
          </v:textbox>
        </v:shape>
      </w:pic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3075" o:spid="_x0000_s307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1F2CBE"/>
    <w:multiLevelType w:val="singleLevel"/>
    <w:tmpl w:val="F41F2CB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k5NTNhYTUwYmE0NGNiNmE0MjM0MzdmZGI3NjM1Nzk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7218AA"/>
    <w:rsid w:val="0B99373B"/>
    <w:rsid w:val="0BA37CB5"/>
    <w:rsid w:val="0CD57281"/>
    <w:rsid w:val="0CF64684"/>
    <w:rsid w:val="0D0429D6"/>
    <w:rsid w:val="0D093B48"/>
    <w:rsid w:val="0D322E51"/>
    <w:rsid w:val="0D6C338E"/>
    <w:rsid w:val="0DB37F58"/>
    <w:rsid w:val="0F5E6610"/>
    <w:rsid w:val="10C055FF"/>
    <w:rsid w:val="11D56DF6"/>
    <w:rsid w:val="11ED6591"/>
    <w:rsid w:val="13367661"/>
    <w:rsid w:val="16BB723D"/>
    <w:rsid w:val="17BC7656"/>
    <w:rsid w:val="17E14EFB"/>
    <w:rsid w:val="17EA348C"/>
    <w:rsid w:val="1840212F"/>
    <w:rsid w:val="18496705"/>
    <w:rsid w:val="19943114"/>
    <w:rsid w:val="1AB026BC"/>
    <w:rsid w:val="1ABB32B6"/>
    <w:rsid w:val="1BF70747"/>
    <w:rsid w:val="1C06153F"/>
    <w:rsid w:val="1C986C96"/>
    <w:rsid w:val="1D7371C3"/>
    <w:rsid w:val="1DDC2BB3"/>
    <w:rsid w:val="1E34479D"/>
    <w:rsid w:val="1EF81F78"/>
    <w:rsid w:val="1F620905"/>
    <w:rsid w:val="201A6AB0"/>
    <w:rsid w:val="203B66A0"/>
    <w:rsid w:val="209D0EE3"/>
    <w:rsid w:val="211A679A"/>
    <w:rsid w:val="23902475"/>
    <w:rsid w:val="240371BF"/>
    <w:rsid w:val="2435534E"/>
    <w:rsid w:val="24534F10"/>
    <w:rsid w:val="24DF6C66"/>
    <w:rsid w:val="24ED01B9"/>
    <w:rsid w:val="253D03DB"/>
    <w:rsid w:val="25A20B86"/>
    <w:rsid w:val="25B1070F"/>
    <w:rsid w:val="25DD571A"/>
    <w:rsid w:val="265C1D1F"/>
    <w:rsid w:val="26BB36DB"/>
    <w:rsid w:val="271C5A93"/>
    <w:rsid w:val="276F1834"/>
    <w:rsid w:val="27B459F9"/>
    <w:rsid w:val="27C51E91"/>
    <w:rsid w:val="28513369"/>
    <w:rsid w:val="28BF6D42"/>
    <w:rsid w:val="29FD04D3"/>
    <w:rsid w:val="2A8F792B"/>
    <w:rsid w:val="2CAE1BBE"/>
    <w:rsid w:val="2CCF04B2"/>
    <w:rsid w:val="2E4C04E0"/>
    <w:rsid w:val="2F803D16"/>
    <w:rsid w:val="31810DA9"/>
    <w:rsid w:val="31903F88"/>
    <w:rsid w:val="319F7F4E"/>
    <w:rsid w:val="321626E0"/>
    <w:rsid w:val="329448A6"/>
    <w:rsid w:val="32F45598"/>
    <w:rsid w:val="33411D32"/>
    <w:rsid w:val="35244754"/>
    <w:rsid w:val="364D41F6"/>
    <w:rsid w:val="36FD0156"/>
    <w:rsid w:val="38F8371D"/>
    <w:rsid w:val="39226F5F"/>
    <w:rsid w:val="39902098"/>
    <w:rsid w:val="3A3A0F35"/>
    <w:rsid w:val="3A4E1148"/>
    <w:rsid w:val="3A613FE2"/>
    <w:rsid w:val="3C8D2F9D"/>
    <w:rsid w:val="3CE0510E"/>
    <w:rsid w:val="3D1E4B3E"/>
    <w:rsid w:val="3E03620E"/>
    <w:rsid w:val="3E343C22"/>
    <w:rsid w:val="3F4A1C1A"/>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9543DC1"/>
    <w:rsid w:val="4A745623"/>
    <w:rsid w:val="4AE729B3"/>
    <w:rsid w:val="4D135D42"/>
    <w:rsid w:val="4D6B3F77"/>
    <w:rsid w:val="4D846266"/>
    <w:rsid w:val="4D8D78A2"/>
    <w:rsid w:val="4DF123A8"/>
    <w:rsid w:val="4E832A53"/>
    <w:rsid w:val="4F6F7A34"/>
    <w:rsid w:val="4FD74194"/>
    <w:rsid w:val="4FDA49F5"/>
    <w:rsid w:val="50AE413E"/>
    <w:rsid w:val="51CF1BF7"/>
    <w:rsid w:val="51E1640E"/>
    <w:rsid w:val="51EE42CA"/>
    <w:rsid w:val="52302EF2"/>
    <w:rsid w:val="52ED6284"/>
    <w:rsid w:val="5322283B"/>
    <w:rsid w:val="532B0C13"/>
    <w:rsid w:val="53BE2B80"/>
    <w:rsid w:val="541505F1"/>
    <w:rsid w:val="54992FD0"/>
    <w:rsid w:val="55872E29"/>
    <w:rsid w:val="56D0674C"/>
    <w:rsid w:val="58BA52C3"/>
    <w:rsid w:val="59385CF6"/>
    <w:rsid w:val="59E11CD3"/>
    <w:rsid w:val="5AF70A51"/>
    <w:rsid w:val="5BE202EA"/>
    <w:rsid w:val="5CFA7F1D"/>
    <w:rsid w:val="5E2506F8"/>
    <w:rsid w:val="5EA316D6"/>
    <w:rsid w:val="5F3A07D2"/>
    <w:rsid w:val="5F593A88"/>
    <w:rsid w:val="60651EAC"/>
    <w:rsid w:val="60866FE9"/>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790393"/>
    <w:rsid w:val="6ECB49CF"/>
    <w:rsid w:val="6ECB5A2B"/>
    <w:rsid w:val="6FB22D40"/>
    <w:rsid w:val="70202A42"/>
    <w:rsid w:val="72227D09"/>
    <w:rsid w:val="72E476B5"/>
    <w:rsid w:val="73BE3A62"/>
    <w:rsid w:val="746C7E4B"/>
    <w:rsid w:val="750E6C6B"/>
    <w:rsid w:val="755E374E"/>
    <w:rsid w:val="76377F56"/>
    <w:rsid w:val="764B35A7"/>
    <w:rsid w:val="7831514A"/>
    <w:rsid w:val="78A4106B"/>
    <w:rsid w:val="79975481"/>
    <w:rsid w:val="7A1B4027"/>
    <w:rsid w:val="7A965738"/>
    <w:rsid w:val="7ABC1C9C"/>
    <w:rsid w:val="7B022DCE"/>
    <w:rsid w:val="7B272834"/>
    <w:rsid w:val="7B8F71DF"/>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Emphasis"/>
    <w:basedOn w:val="16"/>
    <w:qFormat/>
    <w:uiPriority w:val="20"/>
    <w:rPr>
      <w:i/>
    </w:rPr>
  </w:style>
  <w:style w:type="character" w:styleId="19">
    <w:name w:val="Hyperlink"/>
    <w:basedOn w:val="16"/>
    <w:unhideWhenUsed/>
    <w:qFormat/>
    <w:uiPriority w:val="99"/>
    <w:rPr>
      <w:color w:val="0000FF" w:themeColor="hyperlink"/>
      <w:u w:val="single"/>
    </w:rPr>
  </w:style>
  <w:style w:type="character" w:styleId="20">
    <w:name w:val="annotation reference"/>
    <w:basedOn w:val="16"/>
    <w:semiHidden/>
    <w:unhideWhenUsed/>
    <w:qFormat/>
    <w:uiPriority w:val="99"/>
    <w:rPr>
      <w:sz w:val="21"/>
      <w:szCs w:val="21"/>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Header Char"/>
    <w:basedOn w:val="16"/>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6"/>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6"/>
    <w:semiHidden/>
    <w:qFormat/>
    <w:uiPriority w:val="99"/>
    <w:rPr>
      <w:rFonts w:ascii="Times New Roman" w:hAnsi="Times New Roman"/>
      <w:szCs w:val="24"/>
    </w:rPr>
  </w:style>
  <w:style w:type="character" w:customStyle="1" w:styleId="27">
    <w:name w:val="正文文本 字符"/>
    <w:link w:val="7"/>
    <w:qFormat/>
    <w:locked/>
    <w:uiPriority w:val="99"/>
    <w:rPr>
      <w:rFonts w:ascii="仿宋_GB2312" w:hAnsi="Times New Roman" w:eastAsia="仿宋_GB2312"/>
      <w:sz w:val="24"/>
    </w:rPr>
  </w:style>
  <w:style w:type="paragraph" w:styleId="28">
    <w:name w:val="List Paragraph"/>
    <w:basedOn w:val="1"/>
    <w:qFormat/>
    <w:uiPriority w:val="34"/>
    <w:pPr>
      <w:ind w:firstLine="420" w:firstLineChars="200"/>
    </w:pPr>
  </w:style>
  <w:style w:type="character" w:customStyle="1" w:styleId="29">
    <w:name w:val="标题 1 字符"/>
    <w:basedOn w:val="16"/>
    <w:link w:val="2"/>
    <w:qFormat/>
    <w:uiPriority w:val="9"/>
    <w:rPr>
      <w:rFonts w:ascii="Times New Roman" w:hAnsi="Times New Roman"/>
      <w:b/>
      <w:bCs/>
      <w:kern w:val="44"/>
      <w:sz w:val="44"/>
      <w:szCs w:val="44"/>
    </w:rPr>
  </w:style>
  <w:style w:type="character" w:customStyle="1" w:styleId="30">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字符"/>
    <w:basedOn w:val="16"/>
    <w:link w:val="9"/>
    <w:semiHidden/>
    <w:qFormat/>
    <w:uiPriority w:val="99"/>
    <w:rPr>
      <w:rFonts w:ascii="Times New Roman" w:hAnsi="Times New Roman"/>
      <w:kern w:val="2"/>
      <w:sz w:val="18"/>
      <w:szCs w:val="18"/>
    </w:rPr>
  </w:style>
  <w:style w:type="character" w:customStyle="1" w:styleId="33">
    <w:name w:val="标题 3 字符"/>
    <w:basedOn w:val="16"/>
    <w:link w:val="4"/>
    <w:qFormat/>
    <w:uiPriority w:val="9"/>
    <w:rPr>
      <w:rFonts w:ascii="Times New Roman" w:hAnsi="Times New Roman"/>
      <w:b/>
      <w:bCs/>
      <w:kern w:val="2"/>
      <w:sz w:val="32"/>
      <w:szCs w:val="32"/>
    </w:rPr>
  </w:style>
  <w:style w:type="paragraph" w:customStyle="1" w:styleId="34">
    <w:name w:val="Normal419cfdde"/>
    <w:next w:val="3"/>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35">
    <w:name w:val="Default Paragraph Font5"/>
    <w:semiHidden/>
    <w:qFormat/>
    <w:uiPriority w:val="0"/>
  </w:style>
  <w:style w:type="table" w:customStyle="1" w:styleId="36">
    <w:name w:val="Normal Table4"/>
    <w:semiHidden/>
    <w:qFormat/>
    <w:uiPriority w:val="0"/>
    <w:tblPr>
      <w:tblCellMar>
        <w:top w:w="0" w:type="dxa"/>
        <w:left w:w="108" w:type="dxa"/>
        <w:bottom w:w="0" w:type="dxa"/>
        <w:right w:w="108" w:type="dxa"/>
      </w:tblCellMar>
    </w:tblPr>
  </w:style>
  <w:style w:type="paragraph" w:customStyle="1" w:styleId="37">
    <w:name w:val="footer023e36b8"/>
    <w:basedOn w:val="34"/>
    <w:unhideWhenUsed/>
    <w:qFormat/>
    <w:uiPriority w:val="99"/>
    <w:pPr>
      <w:tabs>
        <w:tab w:val="center" w:pos="4153"/>
        <w:tab w:val="right" w:pos="8306"/>
      </w:tabs>
      <w:snapToGrid w:val="0"/>
      <w:jc w:val="left"/>
    </w:pPr>
    <w:rPr>
      <w:sz w:val="18"/>
      <w:szCs w:val="18"/>
    </w:rPr>
  </w:style>
  <w:style w:type="paragraph" w:customStyle="1" w:styleId="38">
    <w:name w:val="header456f5ec6"/>
    <w:basedOn w:val="3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39">
    <w:name w:val="Hyperlink6"/>
    <w:basedOn w:val="35"/>
    <w:qFormat/>
    <w:uiPriority w:val="99"/>
    <w:rPr>
      <w:rFonts w:cs="Times New Roman"/>
      <w:color w:val="323232"/>
      <w:u w:val="none"/>
    </w:rPr>
  </w:style>
  <w:style w:type="paragraph" w:customStyle="1" w:styleId="40">
    <w:name w:val="No Spacing7"/>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41">
    <w:name w:val="apple-converted-space8"/>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{68.54,95.72}</c:f>
              <c:numCache>
                <c:formatCode>General</c:formatCode>
                <c:ptCount val="2"/>
                <c:pt idx="0">
                  <c:v>68.54</c:v>
                </c:pt>
                <c:pt idx="1">
                  <c:v>95.72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{68.54,95.72}</c:f>
              <c:numCache>
                <c:formatCode>General</c:formatCode>
                <c:ptCount val="2"/>
                <c:pt idx="0">
                  <c:v>68.54</c:v>
                </c:pt>
                <c:pt idx="1">
                  <c:v>95.72</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{957175.86,0,0,0,0,0,0,0}</c:f>
              <c:numCache>
                <c:formatCode>General</c:formatCode>
                <c:ptCount val="8"/>
                <c:pt idx="0">
                  <c:v>957175.86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{957175.86,0,0,0,0}</c:f>
              <c:numCache>
                <c:formatCode>General</c:formatCode>
                <c:ptCount val="5"/>
                <c:pt idx="0">
                  <c:v>957175.86</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{68.54,95.72}</c:f>
              <c:numCache>
                <c:formatCode>General</c:formatCode>
                <c:ptCount val="2"/>
                <c:pt idx="0">
                  <c:v>68.54</c:v>
                </c:pt>
                <c:pt idx="1">
                  <c:v>95.72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{68.54,95.72}</c:f>
              <c:numCache>
                <c:formatCode>General</c:formatCode>
                <c:ptCount val="2"/>
                <c:pt idx="0">
                  <c:v>68.54</c:v>
                </c:pt>
                <c:pt idx="1">
                  <c:v>95.72</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{68.54}</c:f>
              <c:numCache>
                <c:formatCode>General</c:formatCode>
                <c:ptCount val="1"/>
                <c:pt idx="0">
                  <c:v>68.54</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{95.72}</c:f>
              <c:numCache>
                <c:formatCode>General</c:formatCode>
                <c:ptCount val="1"/>
                <c:pt idx="0">
                  <c:v>95.72</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{"社会保障和就业支出","卫生健康支出","住房保障支出"}</c:f>
              <c:strCache>
                <c:ptCount val="3"/>
                <c:pt idx="0">
                  <c:v>社会保障和就业支出</c:v>
                </c:pt>
                <c:pt idx="1">
                  <c:v>卫生健康支出</c:v>
                </c:pt>
                <c:pt idx="2">
                  <c:v>住房保障支出</c:v>
                </c:pt>
              </c:strCache>
            </c:strRef>
          </c:cat>
          <c:val>
            <c:numRef>
              <c:f>{84.05,4.82,6.85}</c:f>
              <c:numCache>
                <c:formatCode>General</c:formatCode>
                <c:ptCount val="3"/>
                <c:pt idx="0">
                  <c:v>84.05</c:v>
                </c:pt>
                <c:pt idx="1">
                  <c:v>4.82</c:v>
                </c:pt>
                <c:pt idx="2">
                  <c:v>6.85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textRotate="1"/>
    <customShpInfo spid="_x0000_s3074" textRotate="1"/>
    <customShpInfo spid="_x0000_s3075"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9027</Words>
  <Characters>10009</Characters>
  <Lines>51</Lines>
  <Paragraphs>14</Paragraphs>
  <TotalTime>3</TotalTime>
  <ScaleCrop>false</ScaleCrop>
  <LinksUpToDate>false</LinksUpToDate>
  <CharactersWithSpaces>10694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Administrator</cp:lastModifiedBy>
  <cp:lastPrinted>2021-09-26T08:39:00Z</cp:lastPrinted>
  <dcterms:modified xsi:type="dcterms:W3CDTF">2023-09-13T09:47:23Z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B93CA6F4BEAD4F359769D1203595D585</vt:lpwstr>
  </property>
</Properties>
</file>