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outlineLvl w:val="0"/>
        <w:rPr>
          <w:rFonts w:ascii="黑体" w:hAnsi="黑体" w:eastAsia="黑体"/>
          <w:color w:val="000000"/>
          <w:sz w:val="72"/>
          <w:szCs w:val="72"/>
        </w:rPr>
      </w:pPr>
      <w:bookmarkStart w:id="0" w:name="_Toc15377193"/>
      <w:bookmarkStart w:id="1" w:name="_Toc15396475"/>
      <w:bookmarkStart w:id="2" w:name="_Toc15377425"/>
      <w:bookmarkStart w:id="3" w:name="_Toc15378441"/>
      <w:bookmarkStart w:id="4" w:name="_Toc15396597"/>
    </w:p>
    <w:p>
      <w:pPr>
        <w:adjustRightInd w:val="0"/>
        <w:snapToGrid w:val="0"/>
        <w:spacing w:line="360" w:lineRule="auto"/>
        <w:jc w:val="center"/>
        <w:outlineLvl w:val="0"/>
        <w:rPr>
          <w:rFonts w:ascii="黑体" w:hAnsi="黑体" w:eastAsia="黑体"/>
          <w:color w:val="000000"/>
          <w:sz w:val="72"/>
          <w:szCs w:val="72"/>
        </w:rPr>
      </w:pPr>
    </w:p>
    <w:p>
      <w:pPr>
        <w:adjustRightInd w:val="0"/>
        <w:snapToGrid w:val="0"/>
        <w:spacing w:line="360" w:lineRule="auto"/>
        <w:jc w:val="center"/>
        <w:outlineLvl w:val="0"/>
        <w:rPr>
          <w:rFonts w:ascii="黑体" w:hAnsi="黑体" w:eastAsia="黑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2018年度</w:t>
      </w:r>
      <w:bookmarkEnd w:id="0"/>
      <w:bookmarkEnd w:id="1"/>
      <w:bookmarkEnd w:id="2"/>
      <w:bookmarkEnd w:id="3"/>
      <w:bookmarkEnd w:id="4"/>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5" w:name="_Toc15377426"/>
      <w:bookmarkStart w:id="6" w:name="_Toc15378442"/>
      <w:bookmarkStart w:id="7" w:name="_Toc15396476"/>
      <w:bookmarkStart w:id="8" w:name="_Toc15377194"/>
      <w:bookmarkStart w:id="9" w:name="_Toc15396598"/>
      <w:r>
        <w:rPr>
          <w:rFonts w:hint="eastAsia" w:ascii="方正小标宋简体" w:hAnsi="方正小标宋简体" w:eastAsia="方正小标宋简体" w:cs="方正小标宋简体"/>
          <w:color w:val="000000"/>
          <w:sz w:val="44"/>
          <w:szCs w:val="44"/>
        </w:rPr>
        <w:t>四川省</w:t>
      </w:r>
      <w:bookmarkStart w:id="10" w:name="_Toc15306268"/>
      <w:r>
        <w:rPr>
          <w:rFonts w:hint="eastAsia" w:ascii="方正小标宋简体" w:hAnsi="方正小标宋简体" w:eastAsia="方正小标宋简体" w:cs="方正小标宋简体"/>
          <w:color w:val="000000"/>
          <w:sz w:val="44"/>
          <w:szCs w:val="44"/>
        </w:rPr>
        <w:t>茂县城乡居民养老保险事业管理局部门决算</w:t>
      </w:r>
      <w:bookmarkEnd w:id="5"/>
      <w:bookmarkEnd w:id="6"/>
      <w:bookmarkEnd w:id="7"/>
      <w:bookmarkEnd w:id="8"/>
      <w:bookmarkEnd w:id="9"/>
      <w:bookmarkEnd w:id="10"/>
    </w:p>
    <w:p>
      <w:pPr>
        <w:rPr>
          <w:sz w:val="44"/>
          <w:szCs w:val="44"/>
        </w:rPr>
      </w:pPr>
    </w:p>
    <w:p>
      <w:pPr>
        <w:rPr>
          <w:sz w:val="44"/>
          <w:szCs w:val="44"/>
        </w:rPr>
      </w:pPr>
    </w:p>
    <w:p/>
    <w:p/>
    <w:p/>
    <w:p/>
    <w:p/>
    <w:p/>
    <w:p/>
    <w:p/>
    <w:p/>
    <w:p/>
    <w:p/>
    <w:p/>
    <w:p/>
    <w:p/>
    <w:p/>
    <w:p/>
    <w:p/>
    <w:p/>
    <w:p/>
    <w:p/>
    <w:p/>
    <w:p/>
    <w:p/>
    <w:p>
      <w:pPr>
        <w:ind w:firstLine="3960" w:firstLineChars="900"/>
        <w:rPr>
          <w:rFonts w:ascii="方正小标宋简体" w:hAnsi="方正小标宋简体" w:eastAsia="方正小标宋简体" w:cs="方正小标宋简体"/>
          <w:color w:val="000000"/>
          <w:sz w:val="44"/>
          <w:szCs w:val="44"/>
        </w:rPr>
        <w:sectPr>
          <w:pgSz w:w="11906" w:h="16838"/>
          <w:pgMar w:top="1440" w:right="1800" w:bottom="1440" w:left="1800" w:header="851" w:footer="992" w:gutter="0"/>
          <w:cols w:space="720" w:num="1"/>
          <w:docGrid w:type="lines" w:linePitch="312" w:charSpace="0"/>
        </w:sectPr>
      </w:pPr>
    </w:p>
    <w:p>
      <w:pPr>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目 录</w:t>
      </w:r>
    </w:p>
    <w:p>
      <w:pPr>
        <w:ind w:firstLine="2240" w:firstLineChars="700"/>
        <w:rPr>
          <w:rFonts w:ascii="仿宋_GB2312" w:hAnsi="仿宋_GB2312" w:eastAsia="仿宋_GB2312" w:cs="仿宋_GB2312"/>
          <w:color w:val="000000"/>
          <w:sz w:val="32"/>
          <w:szCs w:val="32"/>
        </w:rPr>
      </w:pPr>
    </w:p>
    <w:p>
      <w:pPr>
        <w:ind w:firstLine="2240" w:firstLineChars="7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公开时间：2019年9月25日</w:t>
      </w:r>
    </w:p>
    <w:p>
      <w:pPr>
        <w:tabs>
          <w:tab w:val="right" w:leader="dot" w:pos="8296"/>
        </w:tabs>
        <w:spacing w:before="93" w:line="576" w:lineRule="exact"/>
        <w:jc w:val="both"/>
        <w:rPr>
          <w:rFonts w:ascii="仿宋_GB2312" w:hAnsi="仿宋_GB2312" w:eastAsia="仿宋_GB2312" w:cs="仿宋_GB2312"/>
          <w:sz w:val="32"/>
          <w:szCs w:val="32"/>
        </w:rPr>
      </w:pPr>
      <w:r>
        <w:fldChar w:fldCharType="begin"/>
      </w:r>
      <w:r>
        <w:instrText xml:space="preserve"> HYPERLINK \l "_Toc15396599" </w:instrText>
      </w:r>
      <w:r>
        <w:fldChar w:fldCharType="separate"/>
      </w:r>
      <w:r>
        <w:rPr>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both"/>
        <w:rPr>
          <w:rFonts w:ascii="仿宋_GB2312" w:hAnsi="仿宋_GB2312" w:eastAsia="仿宋_GB2312" w:cs="仿宋_GB2312"/>
          <w:sz w:val="32"/>
          <w:szCs w:val="32"/>
        </w:rPr>
      </w:pPr>
      <w:r>
        <w:fldChar w:fldCharType="begin"/>
      </w:r>
      <w:r>
        <w:instrText xml:space="preserve"> HYPERLINK \l "_Toc15396600" </w:instrText>
      </w:r>
      <w:r>
        <w:fldChar w:fldCharType="separate"/>
      </w: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p>
    <w:p>
      <w:pPr>
        <w:tabs>
          <w:tab w:val="right" w:leader="dot" w:pos="8296"/>
        </w:tabs>
        <w:spacing w:line="576" w:lineRule="exact"/>
        <w:ind w:firstLine="210" w:firstLineChars="100"/>
        <w:jc w:val="both"/>
        <w:rPr>
          <w:rFonts w:ascii="仿宋_GB2312" w:hAnsi="仿宋_GB2312" w:eastAsia="仿宋_GB2312" w:cs="仿宋_GB2312"/>
          <w:sz w:val="32"/>
          <w:szCs w:val="32"/>
        </w:rPr>
      </w:pPr>
      <w:r>
        <w:fldChar w:fldCharType="begin"/>
      </w:r>
      <w:r>
        <w:instrText xml:space="preserve"> HYPERLINK \l "_Toc15396601" </w:instrText>
      </w:r>
      <w:r>
        <w:fldChar w:fldCharType="separate"/>
      </w:r>
      <w:r>
        <w:rPr>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p>
    <w:p>
      <w:pPr>
        <w:tabs>
          <w:tab w:val="right" w:leader="dot" w:pos="8296"/>
        </w:tabs>
        <w:spacing w:before="93" w:line="576" w:lineRule="exact"/>
        <w:jc w:val="both"/>
        <w:rPr>
          <w:rFonts w:ascii="仿宋_GB2312" w:hAnsi="仿宋_GB2312" w:eastAsia="仿宋_GB2312" w:cs="仿宋_GB2312"/>
          <w:sz w:val="32"/>
          <w:szCs w:val="32"/>
        </w:rPr>
      </w:pPr>
      <w:r>
        <w:fldChar w:fldCharType="begin"/>
      </w:r>
      <w:r>
        <w:instrText xml:space="preserve"> HYPERLINK \l "_Toc15396602" </w:instrText>
      </w:r>
      <w:r>
        <w:fldChar w:fldCharType="separate"/>
      </w:r>
      <w:r>
        <w:rPr>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"_Toc15396603" </w:instrText>
      </w:r>
      <w:r>
        <w:fldChar w:fldCharType="separate"/>
      </w:r>
      <w:r>
        <w:rPr>
          <w:rFonts w:hint="eastAsia" w:ascii="仿宋_GB2312" w:hAnsi="仿宋_GB2312" w:eastAsia="仿宋_GB2312" w:cs="仿宋_GB2312"/>
          <w:bCs/>
          <w:sz w:val="32"/>
          <w:szCs w:val="32"/>
        </w:rPr>
        <w:t>一、</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"_Toc15396604" </w:instrText>
      </w:r>
      <w:r>
        <w:fldChar w:fldCharType="separate"/>
      </w:r>
      <w:r>
        <w:rPr>
          <w:rFonts w:hint="eastAsia" w:ascii="仿宋_GB2312" w:hAnsi="仿宋_GB2312" w:eastAsia="仿宋_GB2312" w:cs="仿宋_GB2312"/>
          <w:bCs/>
          <w:sz w:val="32"/>
          <w:szCs w:val="32"/>
        </w:rPr>
        <w:t>二、</w:t>
      </w:r>
      <w:r>
        <w:rPr>
          <w:rFonts w:hint="eastAsia" w:ascii="仿宋_GB2312" w:hAnsi="仿宋_GB2312" w:eastAsia="仿宋_GB2312" w:cs="仿宋_GB2312"/>
          <w:sz w:val="32"/>
          <w:szCs w:val="32"/>
        </w:rPr>
        <w:t>收</w:t>
      </w:r>
      <w:r>
        <w:rPr>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"_Toc15396605" </w:instrText>
      </w:r>
      <w:r>
        <w:fldChar w:fldCharType="separate"/>
      </w:r>
      <w:r>
        <w:rPr>
          <w:rFonts w:hint="eastAsia" w:ascii="仿宋_GB2312" w:hAnsi="仿宋_GB2312" w:eastAsia="仿宋_GB2312" w:cs="仿宋_GB2312"/>
          <w:bCs/>
          <w:sz w:val="32"/>
          <w:szCs w:val="32"/>
        </w:rPr>
        <w:t>三、</w:t>
      </w:r>
      <w:r>
        <w:rPr>
          <w:rFonts w:hint="eastAsia" w:ascii="仿宋_GB2312" w:hAnsi="仿宋_GB2312" w:eastAsia="仿宋_GB2312" w:cs="仿宋_GB2312"/>
          <w:sz w:val="32"/>
          <w:szCs w:val="32"/>
        </w:rPr>
        <w:t>支</w:t>
      </w:r>
      <w:r>
        <w:rPr>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5</w:t>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"_Toc15396606" </w:instrText>
      </w:r>
      <w:r>
        <w:fldChar w:fldCharType="separate"/>
      </w:r>
      <w:r>
        <w:rPr>
          <w:rFonts w:hint="eastAsia" w:ascii="仿宋_GB2312" w:hAnsi="仿宋_GB2312" w:eastAsia="仿宋_GB2312" w:cs="仿宋_GB2312"/>
          <w:sz w:val="32"/>
          <w:szCs w:val="32"/>
        </w:rPr>
        <w:t>四、财</w:t>
      </w:r>
      <w:r>
        <w:rPr>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"_Toc15396607" </w:instrText>
      </w:r>
      <w:r>
        <w:fldChar w:fldCharType="separate"/>
      </w:r>
      <w:r>
        <w:rPr>
          <w:rFonts w:hint="eastAsia" w:ascii="仿宋_GB2312" w:hAnsi="仿宋_GB2312" w:eastAsia="仿宋_GB2312" w:cs="仿宋_GB2312"/>
          <w:sz w:val="32"/>
          <w:szCs w:val="32"/>
        </w:rPr>
        <w:t>五、一</w:t>
      </w:r>
      <w:r>
        <w:rPr>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"_Toc15396608" </w:instrText>
      </w:r>
      <w:r>
        <w:fldChar w:fldCharType="separate"/>
      </w:r>
      <w:r>
        <w:rPr>
          <w:rFonts w:hint="eastAsia" w:ascii="仿宋_GB2312" w:hAnsi="仿宋_GB2312" w:eastAsia="仿宋_GB2312" w:cs="仿宋_GB2312"/>
          <w:sz w:val="32"/>
          <w:szCs w:val="32"/>
        </w:rPr>
        <w:t>六、一</w:t>
      </w:r>
      <w:r>
        <w:rPr>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"_Toc15396609" </w:instrText>
      </w:r>
      <w:r>
        <w:fldChar w:fldCharType="separate"/>
      </w:r>
      <w:r>
        <w:rPr>
          <w:rFonts w:hint="eastAsia" w:ascii="仿宋_GB2312" w:hAnsi="仿宋_GB2312" w:eastAsia="仿宋_GB2312" w:cs="仿宋_GB2312"/>
          <w:sz w:val="32"/>
          <w:szCs w:val="32"/>
        </w:rPr>
        <w:t>七、“</w:t>
      </w:r>
      <w:r>
        <w:rPr>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"_Toc15396610" </w:instrText>
      </w:r>
      <w:r>
        <w:fldChar w:fldCharType="separate"/>
      </w:r>
      <w:r>
        <w:rPr>
          <w:rFonts w:hint="eastAsia" w:ascii="仿宋_GB2312" w:hAnsi="仿宋_GB2312" w:eastAsia="仿宋_GB2312" w:cs="仿宋_GB2312"/>
          <w:sz w:val="32"/>
          <w:szCs w:val="32"/>
        </w:rPr>
        <w:t>八、</w:t>
      </w:r>
      <w:r>
        <w:rPr>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"_Toc15396611" </w:instrText>
      </w:r>
      <w:r>
        <w:fldChar w:fldCharType="separate"/>
      </w:r>
      <w:r>
        <w:rPr>
          <w:rFonts w:hint="eastAsia" w:ascii="仿宋_GB2312" w:hAnsi="仿宋_GB2312" w:eastAsia="仿宋_GB2312" w:cs="仿宋_GB2312"/>
          <w:bCs/>
          <w:sz w:val="32"/>
          <w:szCs w:val="32"/>
        </w:rPr>
        <w:t>九、</w:t>
      </w:r>
      <w:r>
        <w:rPr>
          <w:rFonts w:hint="eastAsia" w:ascii="仿宋_GB2312" w:hAnsi="仿宋_GB2312" w:eastAsia="仿宋_GB2312" w:cs="仿宋_GB2312"/>
          <w:sz w:val="32"/>
          <w:szCs w:val="32"/>
        </w:rPr>
        <w:t>国</w:t>
      </w:r>
      <w:r>
        <w:rPr>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tabs>
          <w:tab w:val="right" w:leader="dot" w:pos="8296"/>
        </w:tabs>
        <w:spacing w:line="576" w:lineRule="exact"/>
        <w:ind w:left="420" w:leftChars="200"/>
        <w:jc w:val="both"/>
        <w:rPr>
          <w:rFonts w:ascii="仿宋_GB2312" w:hAnsi="仿宋_GB2312" w:eastAsia="仿宋_GB2312" w:cs="仿宋_GB2312"/>
          <w:sz w:val="32"/>
          <w:szCs w:val="32"/>
        </w:rPr>
      </w:pPr>
      <w:r>
        <w:fldChar w:fldCharType="begin"/>
      </w:r>
      <w:r>
        <w:instrText xml:space="preserve"> HYPERLINK \l "_Toc15396612" </w:instrText>
      </w:r>
      <w:r>
        <w:fldChar w:fldCharType="separate"/>
      </w:r>
      <w:r>
        <w:rPr>
          <w:rFonts w:hint="eastAsia" w:ascii="仿宋_GB2312" w:hAnsi="仿宋_GB2312" w:eastAsia="仿宋_GB2312" w:cs="仿宋_GB2312"/>
          <w:sz w:val="32"/>
          <w:szCs w:val="32"/>
        </w:rPr>
        <w:t>十</w:t>
      </w:r>
      <w:r>
        <w:rPr>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0</w:t>
      </w:r>
    </w:p>
    <w:p>
      <w:pPr>
        <w:tabs>
          <w:tab w:val="right" w:leader="dot" w:pos="8296"/>
        </w:tabs>
        <w:spacing w:before="93" w:line="576"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\l "_Toc15396613" </w:instrText>
      </w:r>
      <w:r>
        <w:fldChar w:fldCharType="separate"/>
      </w:r>
      <w:r>
        <w:rPr>
          <w:rFonts w:hint="eastAsia" w:ascii="仿宋_GB2312" w:hAnsi="仿宋_GB2312" w:eastAsia="仿宋_GB2312" w:cs="仿宋_GB2312"/>
          <w:bCs/>
          <w:kern w:val="44"/>
          <w:sz w:val="32"/>
          <w:szCs w:val="32"/>
        </w:rPr>
        <w:t>第三部分</w:t>
      </w:r>
      <w:r>
        <w:rPr>
          <w:rFonts w:hint="eastAsia" w:ascii="仿宋_GB2312" w:hAnsi="仿宋_GB2312" w:eastAsia="仿宋_GB2312" w:cs="仿宋_GB2312"/>
          <w:sz w:val="32"/>
          <w:szCs w:val="32"/>
        </w:rPr>
        <w:t xml:space="preserve"> 名</w:t>
      </w:r>
      <w:r>
        <w:rPr>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p>
    <w:p>
      <w:pPr>
        <w:tabs>
          <w:tab w:val="right" w:leader="dot" w:pos="8296"/>
        </w:tabs>
        <w:spacing w:before="93" w:line="576"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\l "_Toc15396614"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4</w:t>
      </w:r>
    </w:p>
    <w:p>
      <w:pPr>
        <w:tabs>
          <w:tab w:val="right" w:leader="dot" w:pos="8296"/>
        </w:tabs>
        <w:spacing w:before="93" w:line="576" w:lineRule="exact"/>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fldChar w:fldCharType="begin"/>
      </w:r>
      <w:r>
        <w:instrText xml:space="preserve"> HYPERLINK \l "_Toc15396618" </w:instrText>
      </w:r>
      <w:r>
        <w:fldChar w:fldCharType="separate"/>
      </w:r>
      <w:r>
        <w:rPr>
          <w:rFonts w:hint="eastAsia" w:ascii="仿宋_GB2312" w:hAnsi="仿宋_GB2312" w:eastAsia="仿宋_GB2312" w:cs="仿宋_GB2312"/>
          <w:sz w:val="32"/>
          <w:szCs w:val="32"/>
        </w:rPr>
        <w:t>第</w:t>
      </w:r>
      <w:r>
        <w:rPr>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firstLine="412" w:firstLineChars="129"/>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tabs>
          <w:tab w:val="right" w:leader="dot" w:pos="8296"/>
        </w:tabs>
        <w:spacing w:line="576" w:lineRule="exact"/>
        <w:ind w:left="420" w:left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2</w:t>
      </w:r>
    </w:p>
    <w:p>
      <w:pPr>
        <w:spacing w:line="576" w:lineRule="exact"/>
        <w:jc w:val="both"/>
        <w:rPr>
          <w:rFonts w:ascii="仿宋_GB2312" w:hAnsi="仿宋_GB2312" w:eastAsia="仿宋_GB2312" w:cs="仿宋_GB2312"/>
          <w:sz w:val="32"/>
          <w:szCs w:val="32"/>
        </w:rPr>
      </w:pPr>
    </w:p>
    <w:p>
      <w:pPr>
        <w:spacing w:line="576" w:lineRule="exact"/>
        <w:jc w:val="both"/>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Fonts w:ascii="仿宋_GB2312" w:hAnsi="仿宋_GB2312" w:eastAsia="仿宋_GB2312" w:cs="仿宋_GB2312"/>
          <w:sz w:val="32"/>
          <w:szCs w:val="32"/>
        </w:rPr>
      </w:pPr>
    </w:p>
    <w:p>
      <w:pPr>
        <w:spacing w:line="576" w:lineRule="exact"/>
        <w:rPr>
          <w:rStyle w:val="10"/>
          <w:rFonts w:ascii="方正小标宋简体" w:hAnsi="方正小标宋简体" w:eastAsia="方正小标宋简体" w:cs="方正小标宋简体"/>
          <w:b w:val="0"/>
          <w:bCs w:val="0"/>
        </w:rPr>
      </w:pPr>
    </w:p>
    <w:p>
      <w:pPr>
        <w:spacing w:line="576" w:lineRule="exact"/>
        <w:rPr>
          <w:rStyle w:val="10"/>
          <w:rFonts w:ascii="方正小标宋简体" w:hAnsi="方正小标宋简体" w:eastAsia="方正小标宋简体" w:cs="方正小标宋简体"/>
          <w:b w:val="0"/>
          <w:bCs w:val="0"/>
        </w:rPr>
      </w:pPr>
    </w:p>
    <w:p>
      <w:pPr>
        <w:spacing w:line="576" w:lineRule="exact"/>
        <w:rPr>
          <w:rStyle w:val="10"/>
          <w:rFonts w:ascii="方正小标宋简体" w:hAnsi="方正小标宋简体" w:eastAsia="方正小标宋简体" w:cs="方正小标宋简体"/>
          <w:b w:val="0"/>
          <w:bCs w:val="0"/>
        </w:rPr>
      </w:pPr>
    </w:p>
    <w:p>
      <w:pPr>
        <w:numPr>
          <w:ilvl w:val="0"/>
          <w:numId w:val="1"/>
        </w:numPr>
        <w:spacing w:line="576" w:lineRule="exact"/>
        <w:jc w:val="center"/>
        <w:rPr>
          <w:rStyle w:val="10"/>
          <w:rFonts w:ascii="方正小标宋简体" w:hAnsi="方正小标宋简体" w:eastAsia="方正小标宋简体" w:cs="方正小标宋简体"/>
          <w:b w:val="0"/>
          <w:bCs w:val="0"/>
        </w:rPr>
      </w:pPr>
      <w:r>
        <w:rPr>
          <w:rStyle w:val="10"/>
          <w:rFonts w:hint="eastAsia" w:ascii="方正小标宋简体" w:hAnsi="方正小标宋简体" w:eastAsia="方正小标宋简体" w:cs="方正小标宋简体"/>
          <w:b w:val="0"/>
          <w:bCs w:val="0"/>
        </w:rPr>
        <w:t>部门概况</w:t>
      </w:r>
    </w:p>
    <w:p>
      <w:pPr>
        <w:adjustRightInd w:val="0"/>
        <w:spacing w:line="576" w:lineRule="exact"/>
        <w:ind w:firstLine="640" w:firstLineChars="200"/>
        <w:rPr>
          <w:rFonts w:ascii="楷体" w:hAnsi="楷体" w:eastAsia="楷体" w:cs="楷体"/>
          <w:bCs/>
          <w:sz w:val="32"/>
          <w:szCs w:val="32"/>
        </w:rPr>
      </w:pPr>
      <w:bookmarkStart w:id="11" w:name="_Toc15377197"/>
      <w:bookmarkStart w:id="12" w:name="_Toc15396600"/>
      <w:r>
        <w:rPr>
          <w:rFonts w:hint="eastAsia" w:ascii="黑体" w:hAnsi="黑体" w:eastAsia="黑体"/>
          <w:color w:val="000000"/>
          <w:sz w:val="32"/>
          <w:szCs w:val="32"/>
        </w:rPr>
        <w:t>一、基</w:t>
      </w:r>
      <w:r>
        <w:rPr>
          <w:rStyle w:val="11"/>
          <w:rFonts w:hint="eastAsia" w:ascii="黑体" w:hAnsi="黑体" w:eastAsia="黑体"/>
          <w:b w:val="0"/>
          <w:bCs w:val="0"/>
        </w:rPr>
        <w:t>本职能及主要工</w:t>
      </w:r>
      <w:bookmarkEnd w:id="11"/>
      <w:bookmarkEnd w:id="12"/>
      <w:r>
        <w:rPr>
          <w:rStyle w:val="11"/>
          <w:rFonts w:hint="eastAsia" w:ascii="黑体" w:hAnsi="黑体" w:eastAsia="黑体"/>
          <w:b w:val="0"/>
          <w:bCs w:val="0"/>
        </w:rPr>
        <w:t>作</w:t>
      </w:r>
    </w:p>
    <w:p>
      <w:pPr>
        <w:adjustRightInd w:val="0"/>
        <w:spacing w:line="576" w:lineRule="exact"/>
        <w:ind w:firstLine="425" w:firstLineChars="133"/>
        <w:rPr>
          <w:rFonts w:ascii="楷体" w:hAnsi="楷体" w:eastAsia="楷体" w:cs="楷体"/>
          <w:bCs/>
          <w:sz w:val="32"/>
          <w:szCs w:val="32"/>
        </w:rPr>
      </w:pPr>
      <w:r>
        <w:rPr>
          <w:rFonts w:hint="eastAsia" w:ascii="楷体" w:hAnsi="楷体" w:eastAsia="楷体" w:cs="楷体"/>
          <w:bCs/>
          <w:sz w:val="32"/>
          <w:szCs w:val="32"/>
        </w:rPr>
        <w:t>（一）主要职能</w:t>
      </w:r>
    </w:p>
    <w:p>
      <w:pPr>
        <w:adjustRightInd w:val="0"/>
        <w:spacing w:line="576" w:lineRule="exact"/>
        <w:ind w:firstLine="640" w:firstLineChars="200"/>
        <w:rPr>
          <w:rFonts w:ascii="仿宋_GB2312" w:eastAsia="仿宋_GB2312"/>
          <w:sz w:val="32"/>
          <w:szCs w:val="32"/>
        </w:rPr>
      </w:pPr>
      <w:r>
        <w:rPr>
          <w:rFonts w:hint="eastAsia" w:ascii="仿宋_GB2312" w:eastAsia="仿宋_GB2312"/>
          <w:sz w:val="32"/>
          <w:szCs w:val="32"/>
        </w:rPr>
        <w:t>我局负责宣传和贯彻执行城乡居民社会保险的有关政策；负责城乡居民养老保险基金的收缴、汇集、存储及保险基金运营管理，建立业务台账，统计有关数据；负责为参保人员建立个人账户，办理保险关系转移、退保的等手续；负责养老金领取人员的资格审查，核算养老金给付标准和拨付养老金；负责跟踪监督养老金发放情况，掌握领取养老金人员动态，提出养老金的处理意见；负责指导各乡镇开展城乡居民养老保险业务。</w:t>
      </w:r>
    </w:p>
    <w:p>
      <w:pPr>
        <w:spacing w:line="576" w:lineRule="exact"/>
        <w:ind w:firstLine="425" w:firstLineChars="133"/>
        <w:rPr>
          <w:rFonts w:ascii="楷体" w:hAnsi="楷体" w:eastAsia="楷体" w:cs="楷体"/>
          <w:sz w:val="32"/>
          <w:szCs w:val="32"/>
        </w:rPr>
      </w:pPr>
      <w:r>
        <w:rPr>
          <w:rFonts w:hint="eastAsia" w:ascii="楷体" w:hAnsi="楷体" w:eastAsia="楷体" w:cs="楷体"/>
          <w:bCs/>
          <w:color w:val="000000"/>
          <w:sz w:val="32"/>
          <w:szCs w:val="32"/>
        </w:rPr>
        <w:t>（二）2018年重点工作完成情况</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2018年，我局在州县人社局的领导下认真贯彻执行国家、省有关城乡居民养老保险新政策，通过各乡镇的大力支持和职工们的共同努力，全面完成全年民生目标任务，确保全年养老金按时足额发放。</w:t>
      </w:r>
    </w:p>
    <w:p>
      <w:pPr>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二、机构设置</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茂县城乡居民养老保险事业管理局下属二级单位0个，其中行政单位0个，参照公务员法管理的事业单位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p>
    <w:p>
      <w:pPr>
        <w:spacing w:line="576" w:lineRule="exact"/>
        <w:rPr>
          <w:rStyle w:val="11"/>
          <w:rFonts w:ascii="黑体" w:hAnsi="黑体" w:eastAsia="黑体"/>
          <w:b w:val="0"/>
          <w:bCs w:val="0"/>
        </w:rPr>
      </w:pPr>
    </w:p>
    <w:p>
      <w:pPr>
        <w:adjustRightInd w:val="0"/>
        <w:snapToGrid w:val="0"/>
        <w:spacing w:line="360" w:lineRule="auto"/>
        <w:jc w:val="center"/>
        <w:outlineLvl w:val="0"/>
        <w:rPr>
          <w:rStyle w:val="11"/>
          <w:rFonts w:ascii="方正小标宋简体" w:hAnsi="方正小标宋简体" w:eastAsia="方正小标宋简体" w:cs="方正小标宋简体"/>
          <w:b w:val="0"/>
          <w:bCs w:val="0"/>
          <w:sz w:val="44"/>
          <w:szCs w:val="44"/>
        </w:rPr>
      </w:pPr>
    </w:p>
    <w:p>
      <w:pPr>
        <w:numPr>
          <w:ilvl w:val="0"/>
          <w:numId w:val="1"/>
        </w:numPr>
        <w:adjustRightInd w:val="0"/>
        <w:snapToGrid w:val="0"/>
        <w:spacing w:line="576" w:lineRule="exact"/>
        <w:jc w:val="center"/>
        <w:outlineLvl w:val="0"/>
        <w:rPr>
          <w:rStyle w:val="10"/>
          <w:rFonts w:ascii="方正小标宋简体" w:hAnsi="方正小标宋简体" w:eastAsia="方正小标宋简体" w:cs="方正小标宋简体"/>
          <w:b w:val="0"/>
          <w:bCs w:val="0"/>
        </w:rPr>
      </w:pPr>
      <w:bookmarkStart w:id="13" w:name="_Toc15377204"/>
      <w:bookmarkStart w:id="14" w:name="_Toc15396602"/>
      <w:r>
        <w:rPr>
          <w:rStyle w:val="10"/>
          <w:rFonts w:hint="eastAsia" w:ascii="方正小标宋简体" w:hAnsi="方正小标宋简体" w:eastAsia="方正小标宋简体" w:cs="方正小标宋简体"/>
          <w:b w:val="0"/>
          <w:bCs w:val="0"/>
        </w:rPr>
        <w:t>2018年度部门决算情况说明</w:t>
      </w:r>
      <w:bookmarkEnd w:id="13"/>
      <w:bookmarkEnd w:id="14"/>
    </w:p>
    <w:p>
      <w:pPr>
        <w:adjustRightInd w:val="0"/>
        <w:snapToGrid w:val="0"/>
        <w:spacing w:line="576" w:lineRule="exact"/>
        <w:ind w:firstLine="640" w:firstLineChars="200"/>
        <w:outlineLvl w:val="0"/>
        <w:rPr>
          <w:rStyle w:val="11"/>
          <w:rFonts w:ascii="黑体" w:hAnsi="黑体" w:eastAsia="黑体"/>
          <w:b w:val="0"/>
          <w:bCs w:val="0"/>
        </w:rPr>
      </w:pPr>
      <w:r>
        <w:rPr>
          <w:rStyle w:val="11"/>
          <w:rFonts w:hint="eastAsia" w:ascii="黑体" w:hAnsi="黑体" w:eastAsia="黑体"/>
          <w:b w:val="0"/>
          <w:bCs w:val="0"/>
        </w:rPr>
        <w:t>一、收入支出决算总体情况说明</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2018年度收、支总计184.92万元。与2017年相比，收、支总计各增加16万元，增长9.47%。主要变动原因是</w:t>
      </w:r>
      <w:r>
        <w:rPr>
          <w:rFonts w:hint="eastAsia" w:ascii="仿宋_GB2312" w:hAnsi="仿宋" w:eastAsia="仿宋_GB2312" w:cs="仿宋"/>
          <w:sz w:val="32"/>
          <w:szCs w:val="32"/>
        </w:rPr>
        <w:t>1.本年职工工资标准正常上调。2.职工“五险一金”缴费基数较去年上涨。</w:t>
      </w:r>
    </w:p>
    <w:p>
      <w:r>
        <w:drawing>
          <wp:inline distT="0" distB="0" distL="0" distR="0">
            <wp:extent cx="5257800" cy="2019300"/>
            <wp:effectExtent l="19050" t="0" r="19050" b="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13"/>
        <w:spacing w:line="576" w:lineRule="exact"/>
        <w:ind w:firstLine="640"/>
        <w:outlineLvl w:val="1"/>
        <w:rPr>
          <w:rStyle w:val="14"/>
          <w:rFonts w:ascii="黑体" w:hAnsi="黑体" w:eastAsia="黑体"/>
          <w:b w:val="0"/>
          <w:bCs w:val="0"/>
        </w:rPr>
      </w:pPr>
      <w:r>
        <w:rPr>
          <w:rFonts w:hint="eastAsia" w:ascii="黑体" w:hAnsi="黑体" w:eastAsia="黑体"/>
          <w:color w:val="000000"/>
          <w:sz w:val="32"/>
          <w:szCs w:val="32"/>
        </w:rPr>
        <w:t>二、收</w:t>
      </w:r>
      <w:r>
        <w:rPr>
          <w:rStyle w:val="14"/>
          <w:rFonts w:hint="eastAsia" w:ascii="黑体" w:hAnsi="黑体" w:eastAsia="黑体"/>
          <w:b w:val="0"/>
          <w:bCs w:val="0"/>
        </w:rPr>
        <w:t>入决算情况说明</w:t>
      </w:r>
    </w:p>
    <w:p>
      <w:pPr>
        <w:spacing w:line="576" w:lineRule="exact"/>
        <w:ind w:firstLine="640" w:firstLineChars="200"/>
        <w:outlineLvl w:val="1"/>
        <w:rPr>
          <w:rFonts w:ascii="仿宋_GB2312" w:hAnsi="仿宋" w:eastAsia="仿宋_GB2312"/>
          <w:color w:val="000000"/>
        </w:rPr>
      </w:pPr>
      <w:r>
        <w:rPr>
          <w:rFonts w:hint="eastAsia" w:ascii="仿宋_GB2312" w:hAnsi="仿宋" w:eastAsia="仿宋_GB2312"/>
          <w:color w:val="000000"/>
          <w:sz w:val="32"/>
          <w:szCs w:val="32"/>
        </w:rPr>
        <w:t>2018年本年收入合计184.92万元，其中：一般公共预算财政拨款收入184.92万元，占100%；政府性基金预算财政拨款收入0万元，占0%；国有资本经营预算财政拨款收入0万元，占0%；事业收入0万元，占0%；经营收入0万元，占0%；附属单位上缴收入0万元，占0%；其他收入0万元，占0%。</w:t>
      </w:r>
    </w:p>
    <w:p>
      <w:pPr>
        <w:tabs>
          <w:tab w:val="left" w:pos="2355"/>
        </w:tabs>
      </w:pPr>
      <w:r>
        <w:drawing>
          <wp:inline distT="0" distB="0" distL="0" distR="0">
            <wp:extent cx="5086350" cy="1390650"/>
            <wp:effectExtent l="19050" t="0" r="1905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15"/>
        <w:spacing w:line="576" w:lineRule="exact"/>
        <w:ind w:left="640" w:firstLine="0" w:firstLineChars="0"/>
        <w:outlineLvl w:val="1"/>
        <w:rPr>
          <w:rStyle w:val="14"/>
          <w:rFonts w:ascii="黑体" w:hAnsi="黑体" w:eastAsia="黑体"/>
          <w:b w:val="0"/>
          <w:bCs w:val="0"/>
        </w:rPr>
      </w:pPr>
      <w:r>
        <w:rPr>
          <w:rFonts w:hint="eastAsia" w:ascii="黑体" w:hAnsi="黑体" w:eastAsia="黑体"/>
          <w:color w:val="000000"/>
          <w:sz w:val="32"/>
          <w:szCs w:val="32"/>
        </w:rPr>
        <w:t>三、支</w:t>
      </w:r>
      <w:r>
        <w:rPr>
          <w:rStyle w:val="14"/>
          <w:rFonts w:hint="eastAsia" w:ascii="黑体" w:hAnsi="黑体" w:eastAsia="黑体"/>
          <w:b w:val="0"/>
          <w:bCs w:val="0"/>
        </w:rPr>
        <w:t>出决算情况说明</w:t>
      </w:r>
    </w:p>
    <w:p>
      <w:pPr>
        <w:spacing w:line="576" w:lineRule="exact"/>
        <w:ind w:firstLine="640" w:firstLineChars="200"/>
        <w:rPr>
          <w:rFonts w:ascii="仿宋_GB2312" w:hAnsi="仿宋" w:eastAsia="仿宋_GB2312"/>
          <w:color w:val="000000"/>
          <w:shd w:val="clear" w:color="auto" w:fill="7F7F7F"/>
        </w:rPr>
      </w:pPr>
      <w:r>
        <w:rPr>
          <w:rFonts w:hint="eastAsia" w:ascii="仿宋_GB2312" w:hAnsi="仿宋" w:eastAsia="仿宋_GB2312"/>
          <w:color w:val="000000"/>
          <w:sz w:val="32"/>
          <w:szCs w:val="32"/>
        </w:rPr>
        <w:t>2018年本年支出合计184.92万元，其中：基本支出184.92万元，占100%；项目支出0万元，占0%；上缴上级支出0万元，占0%；经营支出0万元，占0%；对附属单位补助支出0万元，占0%。</w:t>
      </w:r>
    </w:p>
    <w:p>
      <w:pPr>
        <w:tabs>
          <w:tab w:val="left" w:pos="1560"/>
        </w:tabs>
        <w:rPr>
          <w:rFonts w:ascii="黑体" w:hAnsi="黑体" w:eastAsia="黑体"/>
          <w:color w:val="000000"/>
          <w:sz w:val="32"/>
          <w:szCs w:val="32"/>
        </w:rPr>
      </w:pPr>
      <w:r>
        <w:drawing>
          <wp:inline distT="0" distB="0" distL="0" distR="0">
            <wp:extent cx="5172075" cy="1866900"/>
            <wp:effectExtent l="19050" t="0" r="9525" b="0"/>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tabs>
          <w:tab w:val="left" w:pos="1560"/>
        </w:tabs>
        <w:spacing w:line="576" w:lineRule="exact"/>
        <w:ind w:firstLine="640" w:firstLineChars="200"/>
      </w:pPr>
      <w:r>
        <w:rPr>
          <w:rFonts w:hint="eastAsia" w:ascii="黑体" w:hAnsi="黑体" w:eastAsia="黑体"/>
          <w:color w:val="000000"/>
          <w:sz w:val="32"/>
          <w:szCs w:val="32"/>
        </w:rPr>
        <w:t>四、财</w:t>
      </w:r>
      <w:r>
        <w:rPr>
          <w:rStyle w:val="14"/>
          <w:rFonts w:hint="eastAsia" w:ascii="黑体" w:hAnsi="黑体" w:eastAsia="黑体"/>
          <w:b w:val="0"/>
          <w:bCs w:val="0"/>
        </w:rPr>
        <w:t>政拨款收入支出决算总体情况说明</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2018年度财政拨款收、支总计184.92万元。与2017年相比，财政拨款收、支总计各增加16万元，增长9.47%。主要变动原因是</w:t>
      </w:r>
      <w:r>
        <w:rPr>
          <w:rFonts w:hint="eastAsia" w:ascii="仿宋_GB2312" w:hAnsi="仿宋" w:eastAsia="仿宋_GB2312" w:cs="仿宋"/>
          <w:sz w:val="32"/>
          <w:szCs w:val="32"/>
        </w:rPr>
        <w:t>1.本年职工工资标准正常上调。2.职工“五险一金”缴费基数较去年上涨。</w:t>
      </w:r>
    </w:p>
    <w:p>
      <w:r>
        <w:drawing>
          <wp:inline distT="0" distB="0" distL="0" distR="0">
            <wp:extent cx="5257800" cy="1990725"/>
            <wp:effectExtent l="19050" t="0" r="19050"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exact"/>
        <w:ind w:firstLine="640" w:firstLineChars="200"/>
      </w:pPr>
      <w:r>
        <w:rPr>
          <w:rFonts w:hint="eastAsia" w:ascii="黑体" w:hAnsi="黑体" w:eastAsia="黑体"/>
          <w:color w:val="000000"/>
          <w:sz w:val="32"/>
          <w:szCs w:val="32"/>
        </w:rPr>
        <w:t>五、</w:t>
      </w:r>
      <w:r>
        <w:rPr>
          <w:rFonts w:hint="eastAsia" w:ascii="黑体" w:hAnsi="黑体" w:eastAsia="黑体"/>
          <w:b/>
          <w:bCs/>
          <w:color w:val="000000"/>
          <w:sz w:val="32"/>
          <w:szCs w:val="32"/>
        </w:rPr>
        <w:t>一</w:t>
      </w:r>
      <w:r>
        <w:rPr>
          <w:rStyle w:val="14"/>
          <w:rFonts w:hint="eastAsia" w:ascii="黑体" w:hAnsi="黑体" w:eastAsia="黑体"/>
          <w:b w:val="0"/>
          <w:bCs w:val="0"/>
        </w:rPr>
        <w:t>般公共预算财政拨款支出决算情况说明</w:t>
      </w: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（一）一般公共预算财政拨款支出决算总体情况</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 w:eastAsia="仿宋_GB2312"/>
          <w:sz w:val="32"/>
          <w:szCs w:val="32"/>
        </w:rPr>
        <w:t>2018年一般公共预算财政拨款支出184.92万元，占本年支出合计的100%。与2017年相比，一般公共预算财政拨款增加16万元，增长9.47%。主要变动原因是</w:t>
      </w:r>
      <w:r>
        <w:rPr>
          <w:rFonts w:hint="eastAsia" w:ascii="仿宋_GB2312" w:hAnsi="仿宋" w:eastAsia="仿宋_GB2312" w:cs="仿宋"/>
          <w:sz w:val="32"/>
          <w:szCs w:val="32"/>
        </w:rPr>
        <w:t>1.本年职工工资标准正常上调。2.职工“五险一金”缴费基数较去年上涨。</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drawing>
          <wp:anchor distT="0" distB="0" distL="114300" distR="114300" simplePos="0" relativeHeight="251659264" behindDoc="1" locked="0" layoutInCell="1" allowOverlap="1">
            <wp:simplePos x="0" y="0"/>
            <wp:positionH relativeFrom="column">
              <wp:align>left</wp:align>
            </wp:positionH>
            <wp:positionV relativeFrom="paragraph">
              <wp:align>top</wp:align>
            </wp:positionV>
            <wp:extent cx="5362575" cy="2181225"/>
            <wp:effectExtent l="19050" t="0" r="9525" b="0"/>
            <wp:wrapNone/>
            <wp:docPr id="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hAnsi="仿宋" w:eastAsia="仿宋_GB2312"/>
          <w:sz w:val="32"/>
          <w:szCs w:val="32"/>
        </w:rPr>
      </w:pPr>
    </w:p>
    <w:p>
      <w:pPr>
        <w:spacing w:line="576" w:lineRule="exact"/>
        <w:ind w:firstLine="420" w:firstLineChars="200"/>
        <w:rPr>
          <w:rFonts w:ascii="楷体_GB2312" w:eastAsia="楷体_GB2312"/>
        </w:rPr>
      </w:pPr>
    </w:p>
    <w:p>
      <w:pPr>
        <w:spacing w:line="576" w:lineRule="exac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（二）一般公共预算财政拨款支出决算结构情况</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2018年一般公共预算财政拨款支出184.92万元，主要用于以下方面:</w:t>
      </w:r>
      <w:r>
        <w:rPr>
          <w:rFonts w:hint="eastAsia" w:ascii="仿宋_GB2312" w:eastAsia="仿宋_GB2312"/>
          <w:b/>
          <w:bCs/>
          <w:color w:val="000000"/>
          <w:sz w:val="32"/>
          <w:szCs w:val="32"/>
        </w:rPr>
        <w:t>社会保障和就业支出（类）</w:t>
      </w:r>
      <w:r>
        <w:rPr>
          <w:rFonts w:hint="eastAsia" w:ascii="仿宋_GB2312" w:eastAsia="仿宋_GB2312"/>
          <w:color w:val="000000"/>
          <w:sz w:val="32"/>
          <w:szCs w:val="32"/>
        </w:rPr>
        <w:t>160.44万元，占86.76%；</w:t>
      </w:r>
      <w:r>
        <w:rPr>
          <w:rFonts w:hint="eastAsia" w:ascii="仿宋_GB2312" w:eastAsia="仿宋_GB2312"/>
          <w:b/>
          <w:bCs/>
          <w:color w:val="000000"/>
          <w:sz w:val="32"/>
          <w:szCs w:val="32"/>
        </w:rPr>
        <w:t>医疗卫生与计划生育支出（类）</w:t>
      </w:r>
      <w:r>
        <w:rPr>
          <w:rFonts w:hint="eastAsia" w:ascii="仿宋_GB2312" w:eastAsia="仿宋_GB2312"/>
          <w:color w:val="000000"/>
          <w:sz w:val="32"/>
          <w:szCs w:val="32"/>
        </w:rPr>
        <w:t>10.19万元，占5.51%；</w:t>
      </w:r>
      <w:r>
        <w:rPr>
          <w:rFonts w:hint="eastAsia" w:ascii="仿宋_GB2312" w:eastAsia="仿宋_GB2312"/>
          <w:b/>
          <w:bCs/>
          <w:color w:val="000000"/>
          <w:sz w:val="32"/>
          <w:szCs w:val="32"/>
        </w:rPr>
        <w:t>住房保障支出（类）</w:t>
      </w:r>
      <w:r>
        <w:rPr>
          <w:rFonts w:hint="eastAsia" w:ascii="仿宋_GB2312" w:eastAsia="仿宋_GB2312"/>
          <w:color w:val="000000"/>
          <w:sz w:val="32"/>
          <w:szCs w:val="32"/>
        </w:rPr>
        <w:t>14.29万元，占7.73%。</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5362575" cy="2447925"/>
            <wp:effectExtent l="4445" t="4445" r="5080" b="5080"/>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exact"/>
        <w:ind w:firstLine="640" w:firstLineChars="200"/>
        <w:rPr>
          <w:rFonts w:ascii="楷体" w:hAnsi="楷体" w:eastAsia="楷体" w:cs="楷体"/>
          <w:bCs/>
          <w:color w:val="000000"/>
          <w:sz w:val="32"/>
          <w:szCs w:val="32"/>
        </w:rPr>
      </w:pPr>
    </w:p>
    <w:p>
      <w:pPr>
        <w:spacing w:line="576" w:lineRule="exact"/>
        <w:ind w:firstLine="425" w:firstLineChars="133"/>
        <w:rPr>
          <w:rFonts w:ascii="楷体" w:hAnsi="楷体" w:eastAsia="楷体" w:cs="楷体"/>
        </w:rPr>
      </w:pPr>
      <w:r>
        <w:rPr>
          <w:rFonts w:hint="eastAsia" w:ascii="楷体" w:hAnsi="楷体" w:eastAsia="楷体" w:cs="楷体"/>
          <w:bCs/>
          <w:color w:val="000000"/>
          <w:sz w:val="32"/>
          <w:szCs w:val="32"/>
        </w:rPr>
        <w:t>（三）一般公共预算财政拨款支出决算具体情况</w:t>
      </w:r>
    </w:p>
    <w:p>
      <w:pPr>
        <w:spacing w:line="576" w:lineRule="exact"/>
        <w:ind w:firstLine="640" w:firstLineChars="200"/>
        <w:rPr>
          <w:rFonts w:ascii="仿宋_GB2312" w:hAnsi="仿宋" w:eastAsia="仿宋_GB2312"/>
          <w:bCs/>
          <w:sz w:val="32"/>
          <w:szCs w:val="32"/>
        </w:rPr>
      </w:pPr>
      <w:r>
        <w:rPr>
          <w:rFonts w:hint="eastAsia" w:ascii="仿宋_GB2312" w:hAnsi="仿宋" w:eastAsia="仿宋_GB2312"/>
          <w:bCs/>
          <w:sz w:val="32"/>
          <w:szCs w:val="32"/>
        </w:rPr>
        <w:t>2018年一般公共预算支出决算数为184.92万元，完成预算100%。其中：</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b/>
          <w:bCs/>
          <w:sz w:val="32"/>
          <w:szCs w:val="32"/>
        </w:rPr>
        <w:t>社会保障和就业支出（类）人力资源和社会保障管理事务（款）社会保险经办机构（项）</w:t>
      </w:r>
      <w:r>
        <w:rPr>
          <w:rFonts w:hint="eastAsia" w:ascii="仿宋_GB2312" w:eastAsia="仿宋_GB2312"/>
          <w:sz w:val="32"/>
          <w:szCs w:val="32"/>
        </w:rPr>
        <w:t>：2018年决算数为134.34万元，完成预算100%。</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eastAsia="仿宋_GB2312"/>
          <w:b/>
          <w:bCs/>
          <w:sz w:val="32"/>
          <w:szCs w:val="32"/>
        </w:rPr>
        <w:t>社会保障和就业支出（类）行政事业单位离退休（款）机关事业单位基本养老保险缴费支出（项）</w:t>
      </w:r>
      <w:r>
        <w:rPr>
          <w:rFonts w:hint="eastAsia" w:ascii="仿宋_GB2312" w:eastAsia="仿宋_GB2312"/>
          <w:sz w:val="32"/>
          <w:szCs w:val="32"/>
        </w:rPr>
        <w:t>：2018年决算数为18.64万元，完成预算100%。</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b/>
          <w:bCs/>
          <w:sz w:val="32"/>
          <w:szCs w:val="32"/>
        </w:rPr>
        <w:t>社会保障和就业支出（类）行政事业单位离退休（款）机关事业单位职业年金缴费支出（项）</w:t>
      </w:r>
      <w:r>
        <w:rPr>
          <w:rFonts w:hint="eastAsia" w:ascii="仿宋_GB2312" w:eastAsia="仿宋_GB2312"/>
          <w:sz w:val="32"/>
          <w:szCs w:val="32"/>
        </w:rPr>
        <w:t>：2018年决算数为7.46万元，完成预算100%。</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b/>
          <w:bCs/>
          <w:sz w:val="32"/>
          <w:szCs w:val="32"/>
        </w:rPr>
        <w:t>医疗卫生与计划生育支出（类）行政事业单位医疗（款）事业单位医疗（项）</w:t>
      </w:r>
      <w:r>
        <w:rPr>
          <w:rFonts w:hint="eastAsia" w:ascii="仿宋_GB2312" w:eastAsia="仿宋_GB2312"/>
          <w:sz w:val="32"/>
          <w:szCs w:val="32"/>
        </w:rPr>
        <w:t>：2018年决算数为10.19万元，完成预算100%。</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b/>
          <w:bCs/>
          <w:sz w:val="32"/>
          <w:szCs w:val="32"/>
        </w:rPr>
        <w:t>住房保障支出（类）住房改革支出（款）住房公积金（项）</w:t>
      </w:r>
      <w:r>
        <w:rPr>
          <w:rFonts w:hint="eastAsia" w:ascii="仿宋_GB2312" w:eastAsia="仿宋_GB2312"/>
          <w:sz w:val="32"/>
          <w:szCs w:val="32"/>
        </w:rPr>
        <w:t>：2018年决算数为14.29万元，完成预算100%。</w:t>
      </w:r>
    </w:p>
    <w:p>
      <w:pPr>
        <w:spacing w:line="576" w:lineRule="exact"/>
        <w:ind w:firstLine="640" w:firstLineChars="200"/>
        <w:rPr>
          <w:rStyle w:val="14"/>
          <w:rFonts w:ascii="黑体" w:hAnsi="黑体" w:eastAsia="黑体"/>
          <w:b w:val="0"/>
          <w:bCs w:val="0"/>
        </w:rPr>
      </w:pPr>
      <w:r>
        <w:rPr>
          <w:rFonts w:hint="eastAsia" w:ascii="黑体" w:hAnsi="黑体" w:eastAsia="黑体"/>
          <w:color w:val="000000"/>
          <w:sz w:val="32"/>
          <w:szCs w:val="32"/>
        </w:rPr>
        <w:t>六</w:t>
      </w:r>
      <w:r>
        <w:rPr>
          <w:rFonts w:hint="eastAsia" w:ascii="黑体" w:hAnsi="黑体" w:eastAsia="黑体"/>
          <w:b/>
          <w:bCs/>
          <w:color w:val="000000"/>
          <w:sz w:val="32"/>
          <w:szCs w:val="32"/>
        </w:rPr>
        <w:t>、一</w:t>
      </w:r>
      <w:r>
        <w:rPr>
          <w:rStyle w:val="14"/>
          <w:rFonts w:hint="eastAsia" w:ascii="黑体" w:hAnsi="黑体" w:eastAsia="黑体"/>
          <w:b w:val="0"/>
          <w:bCs w:val="0"/>
        </w:rPr>
        <w:t>般公共预算财政拨款基本支出决算情况说明</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2018年一般公共预算财政拨款基本支出184.92万元，其中：</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人员经费172.17万元，主要包括：基本工资、津贴补贴、奖金、绩效工资、机关事业单位基本养老保险缴费、职业年金缴费、职工基本医疗保险缴费、其他社会保障缴费、医疗费、医疗费补助、住房公积金。</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 公用经费12.75万元，主要包括：办公费、邮电费、取暖费、差旅费、培训费、公务接待费、其他交通费。</w:t>
      </w:r>
    </w:p>
    <w:p>
      <w:pPr>
        <w:spacing w:line="576" w:lineRule="exact"/>
        <w:ind w:firstLine="640" w:firstLineChars="200"/>
      </w:pPr>
      <w:r>
        <w:rPr>
          <w:rFonts w:hint="eastAsia" w:ascii="黑体" w:hAnsi="黑体" w:eastAsia="黑体"/>
          <w:color w:val="000000"/>
          <w:sz w:val="32"/>
          <w:szCs w:val="32"/>
        </w:rPr>
        <w:t>七、</w:t>
      </w:r>
      <w:r>
        <w:rPr>
          <w:rStyle w:val="14"/>
          <w:rFonts w:hint="eastAsia" w:ascii="黑体" w:hAnsi="黑体" w:eastAsia="黑体"/>
        </w:rPr>
        <w:t>“</w:t>
      </w:r>
      <w:r>
        <w:rPr>
          <w:rStyle w:val="14"/>
          <w:rFonts w:hint="eastAsia" w:ascii="黑体" w:hAnsi="黑体" w:eastAsia="黑体"/>
          <w:b w:val="0"/>
          <w:bCs w:val="0"/>
        </w:rPr>
        <w:t>三公”经费财政拨款支出决算情况说明</w:t>
      </w: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（一）“三公”经费财政拨款支出决算总体情况说明</w:t>
      </w:r>
    </w:p>
    <w:p>
      <w:pPr>
        <w:spacing w:line="576" w:lineRule="exact"/>
        <w:ind w:firstLine="640" w:firstLineChars="200"/>
        <w:rPr>
          <w:rFonts w:ascii="仿宋_GB2312" w:eastAsia="仿宋_GB2312"/>
          <w:sz w:val="32"/>
          <w:szCs w:val="32"/>
        </w:rPr>
      </w:pPr>
      <w:r>
        <w:rPr>
          <w:rFonts w:hint="eastAsia" w:ascii="仿宋_GB2312" w:hAnsi="黑体" w:eastAsia="仿宋_GB2312"/>
          <w:sz w:val="32"/>
          <w:szCs w:val="32"/>
        </w:rPr>
        <w:t>2018年度“三公”经费财政拨款支出决算为0.02万元，完成预算100%。</w:t>
      </w:r>
      <w:r>
        <w:rPr>
          <w:rFonts w:hint="eastAsia" w:ascii="仿宋_GB2312" w:eastAsia="仿宋_GB2312"/>
          <w:sz w:val="32"/>
          <w:szCs w:val="32"/>
        </w:rPr>
        <w:t>2018年度“三公”经费与预算数持平的主要原因为单位在年底及时将的“三公”经费指标余额退回财政，故决算数与调整预算数一致。</w:t>
      </w: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（二）“三公”经费财政拨款支出决算具体情况说明</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2018年“三公”经费财政拨款支出决算中，因公出国（境）费支出决算0万元，占0%；公务用车购置及运行维护费支出决算0万元，占0%；公务接待费支出决算0.02万元，占100%。具体情况如下：</w:t>
      </w:r>
    </w:p>
    <w:p>
      <w:pPr>
        <w:tabs>
          <w:tab w:val="left" w:pos="1905"/>
        </w:tabs>
      </w:pPr>
      <w:r>
        <w:drawing>
          <wp:inline distT="0" distB="0" distL="0" distR="0">
            <wp:extent cx="5173345" cy="1170940"/>
            <wp:effectExtent l="4445" t="4445" r="22860" b="5715"/>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bCs/>
          <w:color w:val="000000"/>
          <w:sz w:val="32"/>
          <w:szCs w:val="32"/>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rPr>
        <w:t>0万元，完成预算0%</w:t>
      </w:r>
      <w:r>
        <w:rPr>
          <w:rStyle w:val="9"/>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因公出国（境）支出决算与2017年一致。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公务用车购置及运行维护费支出</w:t>
      </w:r>
      <w:r>
        <w:rPr>
          <w:rFonts w:hint="eastAsia" w:ascii="仿宋_GB2312" w:hAnsi="仿宋_GB2312" w:eastAsia="仿宋_GB2312" w:cs="仿宋_GB2312"/>
          <w:color w:val="000000"/>
          <w:sz w:val="32"/>
          <w:szCs w:val="32"/>
        </w:rPr>
        <w:t>0万元,</w:t>
      </w:r>
      <w:r>
        <w:rPr>
          <w:rStyle w:val="9"/>
          <w:rFonts w:hint="eastAsia" w:ascii="仿宋_GB2312" w:hAnsi="仿宋_GB2312" w:eastAsia="仿宋_GB2312" w:cs="仿宋_GB2312"/>
          <w:b w:val="0"/>
          <w:color w:val="000000"/>
          <w:sz w:val="32"/>
          <w:szCs w:val="32"/>
        </w:rPr>
        <w:t>完成预算0%。</w:t>
      </w:r>
      <w:r>
        <w:rPr>
          <w:rFonts w:hint="eastAsia" w:ascii="仿宋_GB2312" w:hAnsi="仿宋_GB2312" w:eastAsia="仿宋_GB2312" w:cs="仿宋_GB2312"/>
          <w:color w:val="000000"/>
          <w:sz w:val="32"/>
          <w:szCs w:val="32"/>
        </w:rPr>
        <w:t>公务用车购置及运行维护费支出决算与2017年一致。</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0万元。</w:t>
      </w:r>
    </w:p>
    <w:p>
      <w:pPr>
        <w:spacing w:line="576" w:lineRule="exact"/>
        <w:ind w:firstLine="643" w:firstLineChars="200"/>
        <w:rPr>
          <w:rFonts w:ascii="仿宋_GB2312" w:eastAsia="仿宋_GB2312"/>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0.02万元，</w:t>
      </w:r>
      <w:r>
        <w:rPr>
          <w:rStyle w:val="14"/>
          <w:rFonts w:hint="eastAsia" w:ascii="仿宋_GB2312" w:hAnsi="仿宋" w:eastAsia="仿宋_GB2312"/>
          <w:b w:val="0"/>
          <w:bCs w:val="0"/>
          <w:color w:val="000000"/>
        </w:rPr>
        <w:t>完成预算100%</w:t>
      </w:r>
      <w:r>
        <w:rPr>
          <w:rStyle w:val="14"/>
          <w:rFonts w:hint="eastAsia" w:ascii="仿宋_GB2312" w:hAnsi="仿宋" w:eastAsia="仿宋_GB2312"/>
          <w:bCs w:val="0"/>
          <w:color w:val="000000"/>
        </w:rPr>
        <w:t>。</w:t>
      </w:r>
      <w:r>
        <w:rPr>
          <w:rFonts w:hint="eastAsia" w:ascii="仿宋_GB2312" w:eastAsia="仿宋_GB2312"/>
          <w:color w:val="000000"/>
          <w:sz w:val="32"/>
          <w:szCs w:val="32"/>
        </w:rPr>
        <w:t>公务接待费支出决算比2017年减少0.16万元，下降88.88%。主要原因是</w:t>
      </w:r>
      <w:r>
        <w:rPr>
          <w:rFonts w:hint="eastAsia" w:ascii="仿宋_GB2312" w:hAnsi="黑体" w:eastAsia="仿宋_GB2312"/>
          <w:sz w:val="32"/>
          <w:szCs w:val="32"/>
        </w:rPr>
        <w:t>单位在部门经费预算执行过程中严格贯彻落实中央八项规定、省委省政府十项规定、州委州政府八条意见，厉行节约，切实减少不必要的公务接待开支。</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主要用于执行公务、开展业务活动开支的交通费、住宿费、用餐费等。国内公务接待1批次，2人次</w:t>
      </w:r>
      <w:r>
        <w:rPr>
          <w:rFonts w:hint="eastAsia" w:ascii="仿宋_GB2312" w:eastAsia="仿宋_GB2312"/>
          <w:color w:val="000000"/>
          <w:sz w:val="32"/>
          <w:szCs w:val="32"/>
          <w:lang w:eastAsia="zh-CN"/>
        </w:rPr>
        <w:t>（不包括陪同人员</w:t>
      </w:r>
      <w:bookmarkStart w:id="37" w:name="_GoBack"/>
      <w:bookmarkEnd w:id="37"/>
      <w:r>
        <w:rPr>
          <w:rFonts w:hint="eastAsia" w:ascii="仿宋_GB2312" w:eastAsia="仿宋_GB2312"/>
          <w:color w:val="000000"/>
          <w:sz w:val="32"/>
          <w:szCs w:val="32"/>
          <w:lang w:eastAsia="zh-CN"/>
        </w:rPr>
        <w:t>）</w:t>
      </w:r>
      <w:r>
        <w:rPr>
          <w:rFonts w:hint="eastAsia" w:ascii="仿宋_GB2312" w:eastAsia="仿宋_GB2312"/>
          <w:color w:val="000000"/>
          <w:sz w:val="32"/>
          <w:szCs w:val="32"/>
        </w:rPr>
        <w:t>，共计支出0.02万元，具体内容包括：州人社局基金监督科科长、州社保局城乡居保科科长于2018年6月来我县开展城乡居民养老保险疑点信息核查、重复领取待遇和死亡冒领待遇整改核查专项检查，期间我局发生用餐费0.02万元。其中：无外事接待支出和其他国内公务接待支出。</w:t>
      </w:r>
    </w:p>
    <w:p>
      <w:pPr>
        <w:spacing w:line="576" w:lineRule="exact"/>
        <w:ind w:firstLine="640" w:firstLineChars="200"/>
      </w:pPr>
      <w:r>
        <w:rPr>
          <w:rFonts w:hint="eastAsia" w:ascii="黑体" w:hAnsi="黑体" w:eastAsia="黑体"/>
          <w:color w:val="000000"/>
          <w:sz w:val="32"/>
          <w:szCs w:val="32"/>
        </w:rPr>
        <w:t>八、</w:t>
      </w:r>
      <w:r>
        <w:rPr>
          <w:rStyle w:val="14"/>
          <w:rFonts w:hint="eastAsia" w:ascii="黑体" w:hAnsi="黑体" w:eastAsia="黑体"/>
          <w:b w:val="0"/>
          <w:bCs w:val="0"/>
        </w:rPr>
        <w:t>政府性基金预算支出决算情况说明</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2018年政府性基金预算拨款支出0万元。</w:t>
      </w:r>
    </w:p>
    <w:p>
      <w:pPr>
        <w:spacing w:line="576"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九、国有资本经营预算支出决算情况说明</w:t>
      </w:r>
    </w:p>
    <w:p>
      <w:pPr>
        <w:spacing w:line="576" w:lineRule="exact"/>
        <w:ind w:firstLine="640" w:firstLineChars="200"/>
        <w:rPr>
          <w:rFonts w:ascii="仿宋_GB2312" w:hAnsi="黑体" w:eastAsia="仿宋_GB2312"/>
          <w:color w:val="000000"/>
          <w:sz w:val="32"/>
          <w:szCs w:val="32"/>
        </w:rPr>
      </w:pPr>
      <w:r>
        <w:rPr>
          <w:rFonts w:hint="eastAsia" w:ascii="仿宋_GB2312" w:hAnsi="黑体" w:eastAsia="仿宋_GB2312"/>
          <w:color w:val="000000"/>
          <w:sz w:val="32"/>
          <w:szCs w:val="32"/>
        </w:rPr>
        <w:t>2018年国有资本经营预算拨款支出0万元。</w:t>
      </w:r>
    </w:p>
    <w:p>
      <w:pPr>
        <w:spacing w:line="576" w:lineRule="exact"/>
        <w:ind w:firstLine="640" w:firstLineChars="200"/>
        <w:rPr>
          <w:rStyle w:val="14"/>
          <w:rFonts w:ascii="黑体" w:hAnsi="黑体" w:eastAsia="黑体"/>
          <w:b w:val="0"/>
          <w:bCs w:val="0"/>
        </w:rPr>
      </w:pPr>
      <w:r>
        <w:rPr>
          <w:rStyle w:val="14"/>
          <w:rFonts w:hint="eastAsia" w:ascii="黑体" w:hAnsi="黑体" w:eastAsia="黑体"/>
          <w:b w:val="0"/>
          <w:bCs w:val="0"/>
        </w:rPr>
        <w:t>十、预算绩效情况说明</w:t>
      </w:r>
    </w:p>
    <w:p>
      <w:pPr>
        <w:spacing w:line="576" w:lineRule="exact"/>
        <w:ind w:firstLine="640" w:firstLineChars="200"/>
        <w:rPr>
          <w:rFonts w:ascii="楷体" w:hAnsi="楷体" w:eastAsia="楷体" w:cs="楷体"/>
        </w:rPr>
      </w:pPr>
      <w:r>
        <w:rPr>
          <w:rFonts w:hint="eastAsia" w:ascii="楷体" w:hAnsi="楷体" w:eastAsia="楷体" w:cs="楷体"/>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0个项目开展了预算事前绩效评估，对0个项目编制了绩效目标，预算执行过程中，选取0个项目开展绩效监控，年终执行完毕后，对0个项目开展了绩效目标完成情况梳理填报。</w:t>
      </w:r>
    </w:p>
    <w:p>
      <w:pPr>
        <w:pStyle w:val="16"/>
        <w:spacing w:line="576" w:lineRule="exact"/>
        <w:ind w:firstLine="640" w:firstLineChars="200"/>
        <w:rPr>
          <w:rFonts w:ascii="仿宋_GB2312" w:eastAsia="仿宋_GB2312"/>
          <w:color w:val="000000"/>
          <w:sz w:val="32"/>
          <w:szCs w:val="32"/>
          <w:shd w:val="clear" w:color="auto" w:fill="FFFFFF"/>
        </w:rPr>
      </w:pPr>
      <w:r>
        <w:rPr>
          <w:rFonts w:hint="eastAsia" w:ascii="仿宋_GB2312" w:eastAsia="仿宋_GB2312"/>
          <w:sz w:val="32"/>
          <w:szCs w:val="32"/>
        </w:rPr>
        <w:t>本部门按要求对2018年部门整体支出开展绩效自评，从评价情况来看</w:t>
      </w:r>
      <w:r>
        <w:rPr>
          <w:rFonts w:hint="eastAsia" w:ascii="仿宋_GB2312" w:eastAsia="仿宋_GB2312"/>
          <w:color w:val="000000"/>
          <w:sz w:val="32"/>
          <w:szCs w:val="32"/>
          <w:shd w:val="clear" w:color="auto" w:fill="FFFFFF"/>
        </w:rPr>
        <w:t>我局2018年部门整体支出情况良好，从预算到执行和收入、支出管理均严格按照相关要求进行，全年收支平衡，有效保障了单位正常运转，圆满完成了单位目标任务。</w:t>
      </w:r>
    </w:p>
    <w:p>
      <w:pPr>
        <w:pStyle w:val="16"/>
        <w:spacing w:line="576" w:lineRule="exact"/>
        <w:ind w:firstLine="640" w:firstLineChars="200"/>
        <w:rPr>
          <w:rFonts w:ascii="楷体" w:hAnsi="楷体" w:eastAsia="楷体" w:cs="楷体"/>
          <w:sz w:val="32"/>
          <w:szCs w:val="32"/>
        </w:rPr>
      </w:pPr>
      <w:r>
        <w:rPr>
          <w:rFonts w:hint="eastAsia" w:ascii="楷体" w:hAnsi="楷体" w:eastAsia="楷体" w:cs="楷体"/>
          <w:sz w:val="32"/>
          <w:szCs w:val="32"/>
        </w:rPr>
        <w:t>项目绩效目标完成情况</w:t>
      </w:r>
    </w:p>
    <w:p>
      <w:pPr>
        <w:pStyle w:val="16"/>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本部门在2018年度部门决算中反映0个项目绩效目标实际完成情况。</w:t>
      </w:r>
    </w:p>
    <w:p>
      <w:pPr>
        <w:spacing w:line="576"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本部门按要求对2018年部门整体支出绩效评价情况开展自评，《茂县城乡居民养老保险事业管理局2018年部门整体支出绩效评价报告》见附件。</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本部门2018年不涉及项目绩效评价。</w:t>
      </w:r>
    </w:p>
    <w:p>
      <w:pPr>
        <w:spacing w:line="576" w:lineRule="exact"/>
        <w:ind w:firstLine="640" w:firstLineChars="200"/>
        <w:outlineLvl w:val="1"/>
        <w:rPr>
          <w:rStyle w:val="11"/>
          <w:rFonts w:ascii="黑体" w:hAnsi="黑体" w:eastAsia="黑体"/>
        </w:rPr>
      </w:pPr>
      <w:bookmarkStart w:id="15" w:name="_Toc15396612"/>
      <w:bookmarkStart w:id="16" w:name="_Toc15377221"/>
      <w:r>
        <w:rPr>
          <w:rFonts w:hint="eastAsia" w:ascii="黑体" w:hAnsi="黑体" w:eastAsia="黑体"/>
          <w:color w:val="000000"/>
          <w:sz w:val="32"/>
          <w:szCs w:val="32"/>
        </w:rPr>
        <w:t>十</w:t>
      </w:r>
      <w:r>
        <w:rPr>
          <w:rStyle w:val="11"/>
          <w:rFonts w:hint="eastAsia" w:ascii="黑体" w:hAnsi="黑体" w:eastAsia="黑体"/>
        </w:rPr>
        <w:t>一、</w:t>
      </w:r>
      <w:r>
        <w:rPr>
          <w:rStyle w:val="11"/>
          <w:rFonts w:hint="eastAsia" w:ascii="黑体" w:hAnsi="黑体" w:eastAsia="黑体"/>
          <w:b w:val="0"/>
        </w:rPr>
        <w:t>其他重要事项的情况说明</w:t>
      </w:r>
      <w:bookmarkEnd w:id="15"/>
      <w:bookmarkEnd w:id="16"/>
    </w:p>
    <w:p>
      <w:pPr>
        <w:spacing w:line="576" w:lineRule="exact"/>
        <w:ind w:firstLine="425" w:firstLineChars="133"/>
        <w:outlineLvl w:val="2"/>
        <w:rPr>
          <w:rFonts w:ascii="楷体" w:hAnsi="楷体" w:eastAsia="楷体" w:cs="楷体"/>
          <w:bCs/>
          <w:color w:val="000000"/>
          <w:sz w:val="32"/>
          <w:szCs w:val="32"/>
        </w:rPr>
      </w:pPr>
      <w:bookmarkStart w:id="17" w:name="_Toc15377222"/>
      <w:r>
        <w:rPr>
          <w:rFonts w:hint="eastAsia" w:ascii="楷体" w:hAnsi="楷体" w:eastAsia="楷体" w:cs="楷体"/>
          <w:bCs/>
          <w:color w:val="000000"/>
          <w:sz w:val="32"/>
          <w:szCs w:val="32"/>
        </w:rPr>
        <w:t>（一）机关运行经费支出情况</w:t>
      </w:r>
      <w:bookmarkEnd w:id="17"/>
    </w:p>
    <w:p>
      <w:pPr>
        <w:spacing w:line="576" w:lineRule="exact"/>
        <w:ind w:firstLine="640" w:firstLineChars="200"/>
        <w:rPr>
          <w:rFonts w:ascii="仿宋_GB2312" w:hAnsi="黑体" w:eastAsia="仿宋_GB2312"/>
          <w:sz w:val="32"/>
          <w:szCs w:val="32"/>
        </w:rPr>
      </w:pPr>
      <w:r>
        <w:rPr>
          <w:rFonts w:hint="eastAsia" w:ascii="仿宋_GB2312" w:hAnsi="黑体" w:eastAsia="仿宋_GB2312"/>
          <w:sz w:val="32"/>
          <w:szCs w:val="32"/>
        </w:rPr>
        <w:t>2018年，茂县城乡居民养老保险事业管理局机关运行经费支出0万元，与2017年决算数持平。主要原因是本单位基本性质为财政补助事业单位，不涉及机关运行经费支出。</w:t>
      </w:r>
    </w:p>
    <w:p>
      <w:pPr>
        <w:spacing w:line="576" w:lineRule="exact"/>
        <w:ind w:firstLine="425" w:firstLineChars="133"/>
        <w:outlineLvl w:val="1"/>
        <w:rPr>
          <w:rFonts w:ascii="楷体" w:hAnsi="楷体" w:eastAsia="楷体" w:cs="楷体"/>
          <w:bCs/>
          <w:color w:val="000000"/>
          <w:sz w:val="32"/>
          <w:szCs w:val="32"/>
        </w:rPr>
      </w:pPr>
      <w:bookmarkStart w:id="18" w:name="_Toc15377223"/>
      <w:r>
        <w:rPr>
          <w:rFonts w:hint="eastAsia" w:ascii="楷体" w:hAnsi="楷体" w:eastAsia="楷体" w:cs="楷体"/>
          <w:bCs/>
          <w:color w:val="000000"/>
          <w:sz w:val="32"/>
          <w:szCs w:val="32"/>
        </w:rPr>
        <w:t>（二）政府采购支出情况</w:t>
      </w:r>
      <w:bookmarkEnd w:id="18"/>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w:t>
      </w:r>
    </w:p>
    <w:p>
      <w:pPr>
        <w:spacing w:line="576" w:lineRule="exact"/>
        <w:ind w:firstLine="425" w:firstLineChars="133"/>
        <w:outlineLvl w:val="1"/>
        <w:rPr>
          <w:rFonts w:ascii="楷体" w:hAnsi="楷体" w:eastAsia="楷体" w:cs="楷体"/>
          <w:bCs/>
          <w:color w:val="000000"/>
          <w:sz w:val="32"/>
          <w:szCs w:val="32"/>
        </w:rPr>
      </w:pPr>
      <w:bookmarkStart w:id="19" w:name="_Toc15377224"/>
      <w:r>
        <w:rPr>
          <w:rFonts w:hint="eastAsia" w:ascii="楷体" w:hAnsi="楷体" w:eastAsia="楷体" w:cs="楷体"/>
          <w:bCs/>
          <w:color w:val="000000"/>
          <w:sz w:val="32"/>
          <w:szCs w:val="32"/>
        </w:rPr>
        <w:t>（三）国有资产占有使用情况</w:t>
      </w:r>
      <w:bookmarkEnd w:id="19"/>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日，茂县城乡居民养老保险事业管理局共有车辆0辆，</w:t>
      </w:r>
      <w:r>
        <w:rPr>
          <w:rFonts w:hint="eastAsia" w:ascii="仿宋_GB2312" w:eastAsia="仿宋_GB2312"/>
          <w:color w:val="444444" w:themeColor="text1"/>
          <w:sz w:val="32"/>
          <w:szCs w:val="32"/>
        </w:rPr>
        <w:t>单价</w:t>
      </w:r>
      <w:r>
        <w:rPr>
          <w:rFonts w:ascii="仿宋_GB2312" w:eastAsia="仿宋_GB2312"/>
          <w:color w:val="444444" w:themeColor="text1"/>
          <w:sz w:val="32"/>
          <w:szCs w:val="32"/>
        </w:rPr>
        <w:t>50</w:t>
      </w:r>
      <w:r>
        <w:rPr>
          <w:rFonts w:hint="eastAsia" w:ascii="仿宋_GB2312" w:eastAsia="仿宋_GB2312"/>
          <w:color w:val="444444" w:themeColor="text1"/>
          <w:sz w:val="32"/>
          <w:szCs w:val="32"/>
        </w:rPr>
        <w:t>万元以上通用设备0台（套），单价</w:t>
      </w:r>
      <w:r>
        <w:rPr>
          <w:rFonts w:ascii="仿宋_GB2312" w:eastAsia="仿宋_GB2312"/>
          <w:color w:val="444444" w:themeColor="text1"/>
          <w:sz w:val="32"/>
          <w:szCs w:val="32"/>
        </w:rPr>
        <w:t>100</w:t>
      </w:r>
      <w:r>
        <w:rPr>
          <w:rFonts w:hint="eastAsia" w:ascii="仿宋_GB2312" w:eastAsia="仿宋_GB2312"/>
          <w:color w:val="000000"/>
          <w:sz w:val="32"/>
          <w:szCs w:val="32"/>
        </w:rPr>
        <w:t>万元以上专用设备0台（套）。</w:t>
      </w:r>
      <w:bookmarkStart w:id="20" w:name="_Toc15377225"/>
      <w:bookmarkStart w:id="21" w:name="_Toc15396613"/>
    </w:p>
    <w:p>
      <w:pPr>
        <w:autoSpaceDE w:val="0"/>
        <w:autoSpaceDN w:val="0"/>
        <w:adjustRightInd w:val="0"/>
        <w:spacing w:line="576" w:lineRule="exact"/>
        <w:ind w:firstLine="880" w:firstLineChars="200"/>
        <w:jc w:val="left"/>
        <w:rPr>
          <w:rFonts w:ascii="方正小标宋简体" w:hAnsi="方正小标宋简体" w:eastAsia="方正小标宋简体" w:cs="方正小标宋简体"/>
          <w:bCs/>
          <w:color w:val="000000"/>
          <w:sz w:val="44"/>
          <w:szCs w:val="44"/>
        </w:rPr>
      </w:pPr>
    </w:p>
    <w:p>
      <w:pPr>
        <w:autoSpaceDE w:val="0"/>
        <w:autoSpaceDN w:val="0"/>
        <w:adjustRightInd w:val="0"/>
        <w:spacing w:line="576" w:lineRule="exact"/>
        <w:ind w:firstLine="2200" w:firstLineChars="500"/>
        <w:jc w:val="left"/>
        <w:rPr>
          <w:rFonts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第三部分 名</w:t>
      </w:r>
      <w:r>
        <w:rPr>
          <w:rStyle w:val="10"/>
          <w:rFonts w:hint="eastAsia" w:ascii="方正小标宋简体" w:hAnsi="方正小标宋简体" w:eastAsia="方正小标宋简体" w:cs="方正小标宋简体"/>
          <w:b w:val="0"/>
        </w:rPr>
        <w:t>词解释</w:t>
      </w:r>
      <w:bookmarkEnd w:id="20"/>
      <w:bookmarkEnd w:id="21"/>
    </w:p>
    <w:p>
      <w:pPr>
        <w:pStyle w:val="17"/>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r>
        <w:rPr>
          <w:rFonts w:ascii="仿宋_GB2312" w:eastAsia="仿宋_GB2312"/>
          <w:sz w:val="32"/>
          <w:szCs w:val="32"/>
        </w:rPr>
        <w:t xml:space="preserve"> </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7"/>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9.社会保障和就业支出（类）人力资源和社会保障管理事务（款）社会保险经办机构（项）：指社会保险经办机构开展业务工作的支出。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w:t>
      </w:r>
      <w:r>
        <w:rPr>
          <w:rFonts w:hint="eastAsia" w:ascii="仿宋_GB2312" w:hAnsi="楷体_GB2312" w:eastAsia="仿宋_GB2312" w:cs="楷体_GB2312"/>
          <w:bCs/>
          <w:sz w:val="32"/>
          <w:szCs w:val="32"/>
        </w:rPr>
        <w:t>社会保障和就业支出（类）行政事业单位离退休（款）机关事业单位基本养老保险缴费支出（项）：指机关事业单位实施养老保险制度由单位缴纳的基本养老保险费支出。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w:t>
      </w:r>
      <w:r>
        <w:rPr>
          <w:rFonts w:hint="eastAsia" w:ascii="仿宋_GB2312" w:hAnsi="楷体_GB2312" w:eastAsia="仿宋_GB2312" w:cs="楷体_GB2312"/>
          <w:bCs/>
          <w:sz w:val="32"/>
          <w:szCs w:val="32"/>
        </w:rPr>
        <w:t>社会保障和就业支出（类）行政事业单位离退休（款）机关事业单位职业年金缴费支出（项）指：</w:t>
      </w:r>
      <w:r>
        <w:rPr>
          <w:rFonts w:hint="eastAsia" w:ascii="仿宋_GB2312" w:eastAsia="仿宋_GB2312"/>
          <w:sz w:val="32"/>
          <w:szCs w:val="32"/>
        </w:rPr>
        <w:t>机关事业单位</w:t>
      </w:r>
      <w:r>
        <w:rPr>
          <w:rFonts w:hint="eastAsia" w:ascii="仿宋_GB2312" w:hAnsi="楷体_GB2312" w:eastAsia="仿宋_GB2312" w:cs="楷体_GB2312"/>
          <w:bCs/>
          <w:sz w:val="32"/>
          <w:szCs w:val="32"/>
        </w:rPr>
        <w:t>养老保险制度由单位缴纳的职业年金支出。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12.医疗卫生与计划生育支出</w:t>
      </w:r>
      <w:r>
        <w:rPr>
          <w:rFonts w:ascii="仿宋_GB2312" w:eastAsia="仿宋_GB2312"/>
          <w:sz w:val="32"/>
          <w:szCs w:val="32"/>
        </w:rPr>
        <w:t>（</w:t>
      </w:r>
      <w:r>
        <w:rPr>
          <w:rFonts w:hint="eastAsia" w:ascii="仿宋_GB2312" w:eastAsia="仿宋_GB2312"/>
          <w:sz w:val="32"/>
          <w:szCs w:val="32"/>
        </w:rPr>
        <w:t>类</w:t>
      </w:r>
      <w:r>
        <w:rPr>
          <w:rFonts w:ascii="仿宋_GB2312" w:eastAsia="仿宋_GB2312"/>
          <w:sz w:val="32"/>
          <w:szCs w:val="32"/>
        </w:rPr>
        <w:t>）行政事业单位医疗（</w:t>
      </w:r>
      <w:r>
        <w:rPr>
          <w:rFonts w:hint="eastAsia" w:ascii="仿宋_GB2312" w:eastAsia="仿宋_GB2312"/>
          <w:sz w:val="32"/>
          <w:szCs w:val="32"/>
        </w:rPr>
        <w:t>款</w:t>
      </w:r>
      <w:r>
        <w:rPr>
          <w:rFonts w:ascii="仿宋_GB2312" w:eastAsia="仿宋_GB2312"/>
          <w:sz w:val="32"/>
          <w:szCs w:val="32"/>
        </w:rPr>
        <w:t>）</w:t>
      </w:r>
      <w:r>
        <w:rPr>
          <w:rFonts w:hint="eastAsia" w:ascii="仿宋_GB2312" w:eastAsia="仿宋_GB2312"/>
          <w:sz w:val="32"/>
          <w:szCs w:val="32"/>
        </w:rPr>
        <w:t>事业</w:t>
      </w:r>
      <w:r>
        <w:rPr>
          <w:rFonts w:ascii="仿宋_GB2312" w:eastAsia="仿宋_GB2312"/>
          <w:sz w:val="32"/>
          <w:szCs w:val="32"/>
        </w:rPr>
        <w:t>单位医疗（</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：指财政部门集中安排的事业单位基本医疗保险缴费。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住房保障（</w:t>
      </w:r>
      <w:r>
        <w:rPr>
          <w:rFonts w:hint="eastAsia" w:ascii="仿宋_GB2312" w:eastAsia="仿宋_GB2312"/>
          <w:sz w:val="32"/>
          <w:szCs w:val="32"/>
        </w:rPr>
        <w:t>类</w:t>
      </w:r>
      <w:r>
        <w:rPr>
          <w:rFonts w:ascii="仿宋_GB2312" w:eastAsia="仿宋_GB2312"/>
          <w:sz w:val="32"/>
          <w:szCs w:val="32"/>
        </w:rPr>
        <w:t>）住房改革（</w:t>
      </w:r>
      <w:r>
        <w:rPr>
          <w:rFonts w:hint="eastAsia" w:ascii="仿宋_GB2312" w:eastAsia="仿宋_GB2312"/>
          <w:sz w:val="32"/>
          <w:szCs w:val="32"/>
        </w:rPr>
        <w:t>款</w:t>
      </w:r>
      <w:r>
        <w:rPr>
          <w:rFonts w:ascii="仿宋_GB2312" w:eastAsia="仿宋_GB2312"/>
          <w:sz w:val="32"/>
          <w:szCs w:val="32"/>
        </w:rPr>
        <w:t>）住房公积金（</w:t>
      </w:r>
      <w:r>
        <w:rPr>
          <w:rFonts w:hint="eastAsia" w:ascii="仿宋_GB2312" w:eastAsia="仿宋_GB2312"/>
          <w:sz w:val="32"/>
          <w:szCs w:val="32"/>
        </w:rPr>
        <w:t>项</w:t>
      </w:r>
      <w:r>
        <w:rPr>
          <w:rFonts w:ascii="仿宋_GB2312" w:eastAsia="仿宋_GB2312"/>
          <w:sz w:val="32"/>
          <w:szCs w:val="32"/>
        </w:rPr>
        <w:t>）</w:t>
      </w:r>
      <w:r>
        <w:rPr>
          <w:rFonts w:hint="eastAsia" w:ascii="仿宋_GB2312" w:eastAsia="仿宋_GB2312"/>
          <w:sz w:val="32"/>
          <w:szCs w:val="32"/>
        </w:rPr>
        <w:t>：指行政事业单位按规定的标准和比例</w:t>
      </w:r>
      <w:r>
        <w:rPr>
          <w:rFonts w:ascii="仿宋_GB2312" w:eastAsia="仿宋_GB2312"/>
          <w:sz w:val="32"/>
          <w:szCs w:val="32"/>
        </w:rPr>
        <w:t>为职工缴纳</w:t>
      </w:r>
      <w:r>
        <w:rPr>
          <w:rFonts w:hint="eastAsia" w:ascii="仿宋_GB2312" w:eastAsia="仿宋_GB2312"/>
          <w:sz w:val="32"/>
          <w:szCs w:val="32"/>
        </w:rPr>
        <w:t>的</w:t>
      </w:r>
      <w:r>
        <w:rPr>
          <w:rFonts w:ascii="仿宋_GB2312" w:eastAsia="仿宋_GB2312"/>
          <w:sz w:val="32"/>
          <w:szCs w:val="32"/>
        </w:rPr>
        <w:t>住房公积金。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17"/>
        <w:spacing w:line="576"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spacing w:line="576"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bookmarkStart w:id="22" w:name="_Toc15396614"/>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p>
    <w:p>
      <w:pPr>
        <w:autoSpaceDE w:val="0"/>
        <w:autoSpaceDN w:val="0"/>
        <w:adjustRightInd w:val="0"/>
        <w:spacing w:line="576" w:lineRule="exact"/>
        <w:jc w:val="center"/>
        <w:rPr>
          <w:rStyle w:val="10"/>
          <w:rFonts w:ascii="方正小标宋简体" w:hAnsi="方正小标宋简体" w:eastAsia="方正小标宋简体" w:cs="方正小标宋简体"/>
          <w:b w:val="0"/>
        </w:rPr>
      </w:pPr>
      <w:r>
        <w:rPr>
          <w:rStyle w:val="10"/>
          <w:rFonts w:hint="eastAsia" w:ascii="方正小标宋简体" w:hAnsi="方正小标宋简体" w:eastAsia="方正小标宋简体" w:cs="方正小标宋简体"/>
          <w:b w:val="0"/>
        </w:rPr>
        <w:t>第四部分 附件</w:t>
      </w:r>
      <w:bookmarkEnd w:id="22"/>
    </w:p>
    <w:p>
      <w:pPr>
        <w:spacing w:line="576" w:lineRule="exact"/>
        <w:jc w:val="center"/>
        <w:outlineLvl w:val="0"/>
        <w:rPr>
          <w:rFonts w:ascii="方正小标宋简体" w:hAnsi="方正小标宋简体" w:eastAsia="方正小标宋简体" w:cs="方正小标宋简体"/>
          <w:sz w:val="44"/>
          <w:szCs w:val="44"/>
        </w:rPr>
      </w:pPr>
      <w:bookmarkStart w:id="23" w:name="_Toc15396616"/>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茂县城乡居民养老保险事业管理局</w:t>
      </w:r>
    </w:p>
    <w:p>
      <w:pPr>
        <w:spacing w:line="576"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2018年部门整体支出绩效评价报告</w:t>
      </w:r>
      <w:bookmarkEnd w:id="23"/>
    </w:p>
    <w:p>
      <w:pPr>
        <w:pStyle w:val="18"/>
        <w:spacing w:line="576" w:lineRule="exact"/>
        <w:ind w:firstLine="640" w:firstLineChars="200"/>
        <w:rPr>
          <w:rFonts w:ascii="黑体" w:hAnsi="黑体" w:eastAsia="黑体"/>
          <w:sz w:val="32"/>
          <w:szCs w:val="32"/>
        </w:rPr>
      </w:pPr>
      <w:r>
        <w:rPr>
          <w:rFonts w:hint="eastAsia" w:ascii="黑体" w:hAnsi="黑体" w:eastAsia="黑体"/>
          <w:sz w:val="32"/>
          <w:szCs w:val="32"/>
        </w:rPr>
        <w:t>一、单位概况</w:t>
      </w:r>
    </w:p>
    <w:p>
      <w:pPr>
        <w:pStyle w:val="18"/>
        <w:spacing w:line="576" w:lineRule="exact"/>
        <w:ind w:firstLine="425" w:firstLineChars="133"/>
        <w:rPr>
          <w:rFonts w:ascii="楷体" w:hAnsi="楷体" w:eastAsia="楷体" w:cs="楷体"/>
          <w:bCs/>
          <w:sz w:val="32"/>
          <w:szCs w:val="32"/>
        </w:rPr>
      </w:pPr>
      <w:r>
        <w:rPr>
          <w:rFonts w:hint="eastAsia" w:ascii="楷体" w:hAnsi="楷体" w:eastAsia="楷体" w:cs="楷体"/>
          <w:bCs/>
          <w:sz w:val="32"/>
          <w:szCs w:val="32"/>
        </w:rPr>
        <w:t>（一）机构组成</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于2010年7月1日被国务院确定为第二批农村养老保险试点县，为确保我县新农保试点工作顺利实施，经县编委研究，根据茂编发[2010]7号文件精神正式设立“茂县新型农村社会养老保险事业管理局”，为县人力资源和社会保障局直属股级事业单位；根据茂编发[2010]9号文件同意我局升格为副科级事业机构；2011年7月1日启动城镇居民养老保险后，经县委机构编制委员会研究同意并下文（茂编发[2012]35号）决定本单位更名为“茂县城乡居民养老保险事业管理局”。单位内设办公室、财务股、统筹计划股、待遇审核股4个股室，单位事业编制16名。</w:t>
      </w: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（二）机构职能</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负责宣传和贯彻执行城乡居民养老保险的有关政策；负责城乡居民养老保险基金的收缴、汇集、存储及保险基金运营管理，建立业务台账，统计有关数据；负责为参保人员建立个人账户，办理保险关系转移、退保的等手续；负责养老金领取人员的资格审查，核算养老金领取标准和拨付养老金；负责跟踪监督养老金发放情况，掌握领取养老金人员动态，提出养老金的处理意见；负责指导各乡镇开展城乡居民养老保险业务。</w:t>
      </w:r>
    </w:p>
    <w:p>
      <w:pPr>
        <w:spacing w:line="576" w:lineRule="exact"/>
        <w:ind w:firstLine="425" w:firstLineChars="133"/>
        <w:rPr>
          <w:rFonts w:ascii="楷体" w:hAnsi="楷体" w:eastAsia="楷体" w:cs="楷体"/>
          <w:bCs/>
          <w:color w:val="000000"/>
          <w:sz w:val="32"/>
          <w:szCs w:val="32"/>
        </w:rPr>
      </w:pPr>
      <w:r>
        <w:rPr>
          <w:rFonts w:hint="eastAsia" w:ascii="楷体" w:hAnsi="楷体" w:eastAsia="楷体" w:cs="楷体"/>
          <w:bCs/>
          <w:color w:val="000000"/>
          <w:sz w:val="32"/>
          <w:szCs w:val="32"/>
        </w:rPr>
        <w:t>（三）人员概况</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我局为一级预算财政全额拨款事业单位，核定事业编制人数为16名。在职总人数15名，其中在职事管理业人员11名，事业专技人员3名，事业工勤人员1名。</w:t>
      </w:r>
    </w:p>
    <w:p>
      <w:pPr>
        <w:widowControl/>
        <w:adjustRightInd w:val="0"/>
        <w:snapToGrid w:val="0"/>
        <w:spacing w:line="576" w:lineRule="exact"/>
        <w:ind w:firstLine="720"/>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425" w:firstLineChars="133"/>
        <w:jc w:val="left"/>
        <w:rPr>
          <w:rFonts w:ascii="楷体" w:hAnsi="楷体" w:eastAsia="楷体" w:cs="楷体"/>
          <w:bCs/>
          <w:color w:val="000000"/>
          <w:kern w:val="0"/>
          <w:sz w:val="32"/>
          <w:szCs w:val="32"/>
          <w:shd w:val="clear" w:color="auto" w:fill="FFFFFF"/>
          <w:lang w:val="zh-CN"/>
        </w:rPr>
      </w:pPr>
      <w:r>
        <w:rPr>
          <w:rFonts w:hint="eastAsia" w:ascii="楷体" w:hAnsi="楷体" w:eastAsia="楷体" w:cs="楷体"/>
          <w:bCs/>
          <w:color w:val="000000"/>
          <w:kern w:val="0"/>
          <w:sz w:val="32"/>
          <w:szCs w:val="32"/>
          <w:shd w:val="clear" w:color="auto" w:fill="FFFFFF"/>
          <w:lang w:val="zh-CN"/>
        </w:rPr>
        <w:t>（一）部门财政资金收入情况</w:t>
      </w:r>
    </w:p>
    <w:p>
      <w:pPr>
        <w:snapToGrid w:val="0"/>
        <w:spacing w:line="576" w:lineRule="exact"/>
        <w:ind w:firstLine="640" w:firstLineChars="200"/>
        <w:rPr>
          <w:rFonts w:ascii="仿宋_GB2312" w:hAnsi="仿宋" w:eastAsia="仿宋_GB2312"/>
          <w:sz w:val="32"/>
          <w:szCs w:val="32"/>
        </w:rPr>
      </w:pPr>
      <w:r>
        <w:rPr>
          <w:rFonts w:hint="eastAsia" w:ascii="仿宋_GB2312" w:hAnsi="宋体" w:eastAsia="仿宋_GB2312" w:cs="宋体"/>
          <w:color w:val="000000"/>
          <w:kern w:val="0"/>
          <w:sz w:val="32"/>
          <w:szCs w:val="32"/>
          <w:shd w:val="clear" w:color="auto" w:fill="FFFFFF"/>
        </w:rPr>
        <w:t>2018年</w:t>
      </w:r>
      <w:r>
        <w:rPr>
          <w:rFonts w:hint="eastAsia" w:ascii="仿宋_GB2312" w:hAnsi="黑体" w:eastAsia="仿宋_GB2312"/>
          <w:color w:val="000000"/>
          <w:sz w:val="32"/>
          <w:szCs w:val="32"/>
        </w:rPr>
        <w:t>单位财政资金收入共计184.92万元，</w:t>
      </w:r>
      <w:r>
        <w:rPr>
          <w:rFonts w:hint="eastAsia" w:ascii="仿宋_GB2312" w:hAnsi="仿宋" w:eastAsia="仿宋_GB2312"/>
          <w:sz w:val="32"/>
          <w:szCs w:val="32"/>
        </w:rPr>
        <w:t>均为一般公共预算财政拨款收入，单位无上级补助收入、事业收入、经营收入等其他性质的经费收入。</w:t>
      </w:r>
    </w:p>
    <w:p>
      <w:pPr>
        <w:widowControl/>
        <w:adjustRightInd w:val="0"/>
        <w:snapToGrid w:val="0"/>
        <w:spacing w:line="540" w:lineRule="exact"/>
        <w:ind w:firstLine="425" w:firstLineChars="133"/>
        <w:jc w:val="left"/>
        <w:rPr>
          <w:rFonts w:ascii="楷体" w:hAnsi="楷体" w:eastAsia="楷体" w:cs="楷体"/>
          <w:bCs/>
          <w:color w:val="000000"/>
          <w:kern w:val="0"/>
          <w:sz w:val="32"/>
          <w:szCs w:val="32"/>
          <w:shd w:val="clear" w:color="auto" w:fill="FFFFFF"/>
          <w:lang w:val="zh-CN"/>
        </w:rPr>
      </w:pPr>
      <w:r>
        <w:rPr>
          <w:rFonts w:hint="eastAsia" w:ascii="楷体" w:hAnsi="楷体" w:eastAsia="楷体" w:cs="楷体"/>
          <w:bCs/>
          <w:color w:val="000000"/>
          <w:kern w:val="0"/>
          <w:sz w:val="32"/>
          <w:szCs w:val="32"/>
          <w:shd w:val="clear" w:color="auto" w:fill="FFFFFF"/>
          <w:lang w:val="zh-CN"/>
        </w:rPr>
        <w:t>（二）部门财政资金支出情况</w:t>
      </w:r>
    </w:p>
    <w:p>
      <w:pPr>
        <w:widowControl/>
        <w:adjustRightInd w:val="0"/>
        <w:snapToGrid w:val="0"/>
        <w:spacing w:line="540" w:lineRule="exact"/>
        <w:ind w:firstLine="640" w:firstLineChars="200"/>
        <w:jc w:val="left"/>
        <w:rPr>
          <w:rFonts w:ascii="仿宋_GB2312" w:eastAsia="仿宋_GB2312"/>
          <w:sz w:val="32"/>
          <w:szCs w:val="32"/>
        </w:rPr>
      </w:pPr>
      <w:r>
        <w:rPr>
          <w:rFonts w:hint="eastAsia" w:ascii="仿宋_GB2312" w:hAnsi="宋体" w:eastAsia="仿宋_GB2312" w:cs="宋体"/>
          <w:color w:val="000000"/>
          <w:kern w:val="0"/>
          <w:sz w:val="32"/>
          <w:szCs w:val="32"/>
          <w:shd w:val="clear" w:color="auto" w:fill="FFFFFF"/>
          <w:lang w:val="zh-CN"/>
        </w:rPr>
        <w:t>201</w:t>
      </w:r>
      <w:r>
        <w:rPr>
          <w:rFonts w:hint="eastAsia" w:ascii="仿宋_GB2312" w:hAnsi="宋体" w:eastAsia="仿宋_GB2312" w:cs="宋体"/>
          <w:color w:val="000000"/>
          <w:kern w:val="0"/>
          <w:sz w:val="32"/>
          <w:szCs w:val="32"/>
          <w:shd w:val="clear" w:color="auto" w:fill="FFFFFF"/>
        </w:rPr>
        <w:t>8</w:t>
      </w:r>
      <w:r>
        <w:rPr>
          <w:rFonts w:hint="eastAsia" w:ascii="仿宋_GB2312" w:hAnsi="宋体" w:eastAsia="仿宋_GB2312" w:cs="宋体"/>
          <w:color w:val="000000"/>
          <w:kern w:val="0"/>
          <w:sz w:val="32"/>
          <w:szCs w:val="32"/>
          <w:shd w:val="clear" w:color="auto" w:fill="FFFFFF"/>
          <w:lang w:val="zh-CN"/>
        </w:rPr>
        <w:t>年单位财政资金支出决算数为</w:t>
      </w:r>
      <w:r>
        <w:rPr>
          <w:rFonts w:hint="eastAsia" w:ascii="仿宋_GB2312" w:hAnsi="仿宋" w:eastAsia="仿宋_GB2312" w:cs="仿宋"/>
          <w:sz w:val="32"/>
          <w:szCs w:val="32"/>
        </w:rPr>
        <w:t>184.92万</w:t>
      </w:r>
      <w:r>
        <w:rPr>
          <w:rFonts w:hint="eastAsia" w:ascii="仿宋_GB2312" w:hAnsi="黑体" w:eastAsia="仿宋_GB2312"/>
          <w:color w:val="000000"/>
          <w:sz w:val="32"/>
          <w:szCs w:val="32"/>
        </w:rPr>
        <w:t>元，均为财政补助支出，</w:t>
      </w:r>
      <w:r>
        <w:rPr>
          <w:rFonts w:hint="eastAsia" w:ascii="仿宋_GB2312" w:hAnsi="仿宋" w:eastAsia="仿宋_GB2312"/>
          <w:sz w:val="32"/>
          <w:szCs w:val="32"/>
        </w:rPr>
        <w:t>其中：社会保障和就业支出160.44万元，</w:t>
      </w:r>
      <w:r>
        <w:rPr>
          <w:rFonts w:hint="eastAsia" w:ascii="仿宋_GB2312" w:eastAsia="仿宋_GB2312"/>
          <w:sz w:val="32"/>
          <w:szCs w:val="32"/>
        </w:rPr>
        <w:t>主要用于本单位人员工资、照规定标准为职工缴纳的机关事业单位养老保险和职业年金、保障日常运转以及为完成特定行政工作任务和事业发展目标而安排的年度项目支出；</w:t>
      </w:r>
      <w:r>
        <w:rPr>
          <w:rFonts w:hint="eastAsia" w:ascii="仿宋_GB2312" w:hAnsi="仿宋" w:eastAsia="仿宋_GB2312"/>
          <w:sz w:val="32"/>
          <w:szCs w:val="32"/>
        </w:rPr>
        <w:t>医疗卫生与计划生育支出10.19万元，</w:t>
      </w:r>
      <w:r>
        <w:rPr>
          <w:rFonts w:hint="eastAsia" w:ascii="仿宋_GB2312" w:eastAsia="仿宋_GB2312"/>
          <w:sz w:val="32"/>
          <w:szCs w:val="32"/>
        </w:rPr>
        <w:t>主要用于事业单位按照规定标准为职工缴纳的基本医疗保险及公务员医疗补助等支出；</w:t>
      </w:r>
      <w:r>
        <w:rPr>
          <w:rFonts w:hint="eastAsia" w:ascii="仿宋_GB2312" w:hAnsi="仿宋" w:eastAsia="仿宋_GB2312"/>
          <w:sz w:val="32"/>
          <w:szCs w:val="32"/>
        </w:rPr>
        <w:t>住房保障支出14.29万元，</w:t>
      </w:r>
      <w:r>
        <w:rPr>
          <w:rFonts w:hint="eastAsia" w:ascii="仿宋_GB2312" w:eastAsia="仿宋_GB2312"/>
          <w:sz w:val="32"/>
          <w:szCs w:val="32"/>
        </w:rPr>
        <w:t>用于机关事业单位按照规定标准为职工缴纳住房公积金等支出。</w:t>
      </w:r>
    </w:p>
    <w:p>
      <w:pPr>
        <w:widowControl/>
        <w:adjustRightInd w:val="0"/>
        <w:snapToGrid w:val="0"/>
        <w:spacing w:line="540" w:lineRule="exact"/>
        <w:ind w:firstLine="640" w:firstLineChars="200"/>
        <w:jc w:val="left"/>
        <w:rPr>
          <w:rFonts w:ascii="仿宋_GB2312" w:eastAsia="仿宋_GB2312"/>
          <w:sz w:val="32"/>
          <w:szCs w:val="32"/>
        </w:rPr>
      </w:pPr>
      <w:r>
        <w:rPr>
          <w:rFonts w:ascii="黑体" w:hAnsi="黑体" w:eastAsia="黑体" w:cs="黑体"/>
          <w:sz w:val="32"/>
          <w:szCs w:val="32"/>
        </w:rPr>
        <w:t>三、部门整体预算绩效管理情况</w:t>
      </w:r>
    </w:p>
    <w:p>
      <w:pPr>
        <w:snapToGrid w:val="0"/>
        <w:spacing w:line="576" w:lineRule="exact"/>
        <w:ind w:firstLine="425" w:firstLineChars="133"/>
        <w:rPr>
          <w:rFonts w:ascii="楷体" w:hAnsi="楷体" w:eastAsia="楷体" w:cs="楷体"/>
          <w:sz w:val="32"/>
          <w:szCs w:val="32"/>
        </w:rPr>
      </w:pPr>
      <w:r>
        <w:rPr>
          <w:rFonts w:hint="eastAsia" w:ascii="楷体" w:hAnsi="楷体" w:eastAsia="楷体" w:cs="楷体"/>
          <w:sz w:val="32"/>
          <w:szCs w:val="32"/>
        </w:rPr>
        <w:t>（一）部门预算管理</w:t>
      </w:r>
    </w:p>
    <w:p>
      <w:pPr>
        <w:pStyle w:val="18"/>
        <w:spacing w:line="570" w:lineRule="exact"/>
        <w:ind w:firstLine="640" w:firstLineChars="200"/>
        <w:rPr>
          <w:rFonts w:ascii="仿宋_GB2312" w:hAnsi="宋体" w:eastAsia="仿宋_GB2312" w:cs="宋体"/>
          <w:color w:val="000000"/>
          <w:sz w:val="32"/>
          <w:szCs w:val="32"/>
        </w:rPr>
      </w:pPr>
      <w:r>
        <w:rPr>
          <w:rFonts w:hint="eastAsia" w:ascii="仿宋_GB2312" w:hAnsi="仿宋_GB2312" w:eastAsia="仿宋_GB2312" w:cs="仿宋_GB2312"/>
          <w:sz w:val="32"/>
          <w:szCs w:val="32"/>
        </w:rPr>
        <w:t>1.部门绩效目标制定及完成情况。单按在编制2018年预算时按照</w:t>
      </w:r>
      <w:r>
        <w:rPr>
          <w:rFonts w:hint="eastAsia" w:ascii="仿宋_GB2312" w:hAnsi="黑体" w:eastAsia="仿宋_GB2312"/>
          <w:color w:val="000000"/>
          <w:sz w:val="32"/>
          <w:szCs w:val="32"/>
        </w:rPr>
        <w:t>县级财政部门要求同时结合自身工作实际制定了部门整体支出绩效总体目标及绩效指标，同时扎实推进预算绩效管理工作，采用前期控制、中期监控、后期评价、结果运用的绩效管理办法，着力构建“全方位、全过程、全覆盖”的预算绩效规范化管理体系。经自评，单位2018年部门整体支出绩效总体上达到既定目标，有效保障了单位正常运转及开展部门职能工作。</w:t>
      </w:r>
    </w:p>
    <w:p>
      <w:pPr>
        <w:pStyle w:val="18"/>
        <w:spacing w:line="576" w:lineRule="exact"/>
        <w:ind w:firstLine="640" w:firstLineChars="200"/>
        <w:rPr>
          <w:rFonts w:ascii="仿宋_GB2312" w:hAnsi="黑体" w:eastAsia="仿宋_GB2312"/>
          <w:color w:val="000000"/>
          <w:sz w:val="32"/>
          <w:szCs w:val="32"/>
        </w:rPr>
      </w:pPr>
      <w:r>
        <w:rPr>
          <w:rFonts w:hint="eastAsia" w:ascii="仿宋_GB2312" w:hAnsi="仿宋_GB2312" w:eastAsia="仿宋_GB2312" w:cs="仿宋_GB2312"/>
          <w:sz w:val="32"/>
          <w:szCs w:val="32"/>
        </w:rPr>
        <w:t>2.预算编制情况。</w:t>
      </w:r>
      <w:r>
        <w:rPr>
          <w:rFonts w:hint="eastAsia" w:ascii="仿宋_GB2312" w:hAnsi="黑体" w:eastAsia="仿宋_GB2312"/>
          <w:color w:val="000000"/>
          <w:sz w:val="32"/>
          <w:szCs w:val="32"/>
        </w:rPr>
        <w:t>单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_GB2312" w:eastAsia="仿宋_GB2312" w:cs="仿宋_GB2312"/>
          <w:sz w:val="32"/>
          <w:szCs w:val="32"/>
        </w:rPr>
        <w:t>3.预算执行及支出控制情况。单位在预算执行及支出管理过程中严格贯彻落实</w:t>
      </w:r>
      <w:r>
        <w:rPr>
          <w:rFonts w:hint="eastAsia" w:ascii="仿宋_GB2312" w:hAnsi="仿宋" w:eastAsia="仿宋_GB2312"/>
          <w:sz w:val="32"/>
          <w:szCs w:val="32"/>
        </w:rPr>
        <w:t>中央八项规定、省委省政府十项规定、州委州政府八条意见，严肃财经纪律、加强财务管理、强化制度执行，对各项资金的管理、经费支出的使用标准、范围以及审批程序作了明确的规定，杜绝了无预算、超预算、超标准、超范围支出的情况，坚持厉行节约、降低行政成本。2018年单位在压减日常公用经费支出方面取得了较为显著的成果，2018年</w:t>
      </w:r>
      <w:r>
        <w:rPr>
          <w:rFonts w:hint="eastAsia" w:ascii="仿宋_GB2312" w:hAnsi="仿宋" w:eastAsia="仿宋_GB2312" w:cs="仿宋"/>
          <w:sz w:val="32"/>
          <w:szCs w:val="32"/>
        </w:rPr>
        <w:t>日常公用经费支出12.75万元，较上年同比下降8.9%。</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4.预算调整情况。2018年部门预算中工资福利支出和对个人和家庭补助支出等指标的预算数是以2017年10月编制内实有在职人员的当月工资标准为基础进行编制并测算的，2018年因单位职工工资标准上调，单位缴纳部分的机关事业单位养老保险、城镇职工医疗保险、住房公积金等受职工缴费基数上涨因素影响缴纳金额逐年上涨。为保障部门机构正常运转，完成单位日常工作及事业发展任务，结合单位2018年度人员经费支出需求，我局于本年度内向财政部门申请追加各类人员经费预算指标共计2.02万元。</w:t>
      </w:r>
    </w:p>
    <w:p>
      <w:pPr>
        <w:snapToGrid w:val="0"/>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5.预算完成情况。2018年一般公共预算财政拨款支出预算执行数184.92万元，占支出总额的100%，预算完成率100%。</w:t>
      </w:r>
    </w:p>
    <w:p>
      <w:pPr>
        <w:snapToGrid w:val="0"/>
        <w:spacing w:line="576" w:lineRule="exact"/>
        <w:ind w:firstLine="425" w:firstLineChars="133"/>
        <w:rPr>
          <w:rFonts w:ascii="楷体" w:hAnsi="楷体" w:eastAsia="楷体" w:cs="楷体"/>
          <w:sz w:val="32"/>
          <w:szCs w:val="32"/>
        </w:rPr>
      </w:pPr>
      <w:r>
        <w:rPr>
          <w:rFonts w:hint="eastAsia" w:ascii="楷体" w:hAnsi="楷体" w:eastAsia="楷体" w:cs="楷体"/>
          <w:sz w:val="32"/>
          <w:szCs w:val="32"/>
        </w:rPr>
        <w:t>（二）专项预算管理</w:t>
      </w:r>
    </w:p>
    <w:p>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专项预算管理本单位不涉及。</w:t>
      </w:r>
    </w:p>
    <w:p>
      <w:pPr>
        <w:snapToGrid w:val="0"/>
        <w:spacing w:line="576" w:lineRule="exact"/>
        <w:ind w:firstLine="425" w:firstLineChars="133"/>
        <w:rPr>
          <w:rFonts w:ascii="楷体" w:hAnsi="楷体" w:eastAsia="楷体" w:cs="楷体"/>
          <w:sz w:val="32"/>
          <w:szCs w:val="32"/>
        </w:rPr>
      </w:pPr>
      <w:r>
        <w:rPr>
          <w:rFonts w:hint="eastAsia" w:ascii="楷体" w:hAnsi="楷体" w:eastAsia="楷体" w:cs="楷体"/>
          <w:sz w:val="32"/>
          <w:szCs w:val="32"/>
        </w:rPr>
        <w:t>（三）结果应用情况</w:t>
      </w:r>
    </w:p>
    <w:p>
      <w:pPr>
        <w:pStyle w:val="18"/>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hAnsi="黑体" w:eastAsia="仿宋_GB2312"/>
          <w:color w:val="000000"/>
          <w:sz w:val="32"/>
          <w:szCs w:val="32"/>
        </w:rPr>
        <w:t>单位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r>
        <w:rPr>
          <w:rFonts w:hint="eastAsia" w:ascii="仿宋_GB2312" w:hAnsi="宋体" w:eastAsia="仿宋_GB2312"/>
          <w:color w:val="000000"/>
          <w:sz w:val="32"/>
          <w:szCs w:val="32"/>
          <w:shd w:val="clear" w:color="auto" w:fill="FFFFFF"/>
        </w:rPr>
        <w:t>单位对照《县级部门整体支出绩效评价指标体系表》中各项具体指标认真开展了2018年部门整体支出绩效自评工作。经自评，单位部门整体支出均按照相应的规章制度和要求执行办理。</w:t>
      </w:r>
    </w:p>
    <w:p>
      <w:pPr>
        <w:pStyle w:val="18"/>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评价结论及建议</w:t>
      </w:r>
    </w:p>
    <w:p>
      <w:pPr>
        <w:pStyle w:val="18"/>
        <w:spacing w:line="576" w:lineRule="exact"/>
        <w:ind w:firstLine="425" w:firstLineChars="133"/>
        <w:rPr>
          <w:rFonts w:ascii="楷体" w:hAnsi="楷体" w:eastAsia="楷体" w:cs="楷体"/>
          <w:sz w:val="32"/>
          <w:szCs w:val="32"/>
        </w:rPr>
      </w:pPr>
      <w:r>
        <w:rPr>
          <w:rFonts w:hint="eastAsia" w:ascii="楷体" w:hAnsi="楷体" w:eastAsia="楷体" w:cs="楷体"/>
          <w:sz w:val="32"/>
          <w:szCs w:val="32"/>
        </w:rPr>
        <w:t>（一）评价结论</w:t>
      </w:r>
    </w:p>
    <w:p>
      <w:pPr>
        <w:pStyle w:val="16"/>
        <w:spacing w:line="576" w:lineRule="exact"/>
        <w:ind w:firstLine="640" w:firstLineChars="200"/>
        <w:rPr>
          <w:rFonts w:ascii="仿宋_GB2312" w:eastAsia="仿宋_GB2312"/>
          <w:color w:val="000000"/>
          <w:sz w:val="32"/>
          <w:szCs w:val="32"/>
          <w:shd w:val="clear" w:color="auto" w:fill="FFFFFF"/>
        </w:rPr>
      </w:pPr>
      <w:r>
        <w:rPr>
          <w:rFonts w:hint="eastAsia" w:ascii="仿宋_GB2312" w:eastAsia="仿宋_GB2312"/>
          <w:color w:val="000000"/>
          <w:sz w:val="32"/>
          <w:szCs w:val="32"/>
          <w:shd w:val="clear" w:color="auto" w:fill="FFFFFF"/>
        </w:rPr>
        <w:t>我局2018年部门整体支出情况良好，从预算到执行和收入、支出管理均严格按照相关要求进行，全年收支平衡，有效保障了单位正常运转，圆满完成了单位目标任务。单位对照2018年县级部门整体支出绩效评价体系自评得分98分。</w:t>
      </w:r>
    </w:p>
    <w:tbl>
      <w:tblPr>
        <w:tblStyle w:val="7"/>
        <w:tblW w:w="10140" w:type="dxa"/>
        <w:tblInd w:w="-639" w:type="dxa"/>
        <w:tblLayout w:type="fixed"/>
        <w:tblCellMar>
          <w:top w:w="0" w:type="dxa"/>
          <w:left w:w="0" w:type="dxa"/>
          <w:bottom w:w="0" w:type="dxa"/>
          <w:right w:w="0" w:type="dxa"/>
        </w:tblCellMar>
      </w:tblPr>
      <w:tblGrid>
        <w:gridCol w:w="1207"/>
        <w:gridCol w:w="1281"/>
        <w:gridCol w:w="1415"/>
        <w:gridCol w:w="2399"/>
        <w:gridCol w:w="724"/>
        <w:gridCol w:w="715"/>
        <w:gridCol w:w="2399"/>
      </w:tblGrid>
      <w:tr>
        <w:tblPrEx>
          <w:tblLayout w:type="fixed"/>
          <w:tblCellMar>
            <w:top w:w="0" w:type="dxa"/>
            <w:left w:w="0" w:type="dxa"/>
            <w:bottom w:w="0" w:type="dxa"/>
            <w:right w:w="0" w:type="dxa"/>
          </w:tblCellMar>
        </w:tblPrEx>
        <w:trPr>
          <w:trHeight w:val="624" w:hRule="atLeast"/>
        </w:trPr>
        <w:tc>
          <w:tcPr>
            <w:tcW w:w="10140"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Layout w:type="fixed"/>
          <w:tblCellMar>
            <w:top w:w="0" w:type="dxa"/>
            <w:left w:w="0" w:type="dxa"/>
            <w:bottom w:w="0" w:type="dxa"/>
            <w:right w:w="0" w:type="dxa"/>
          </w:tblCellMar>
        </w:tblPrEx>
        <w:trPr>
          <w:trHeight w:val="634" w:hRule="atLeast"/>
        </w:trPr>
        <w:tc>
          <w:tcPr>
            <w:tcW w:w="12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blPrEx>
          <w:tblLayout w:type="fixed"/>
          <w:tblCellMar>
            <w:top w:w="0" w:type="dxa"/>
            <w:left w:w="0" w:type="dxa"/>
            <w:bottom w:w="0" w:type="dxa"/>
            <w:right w:w="0" w:type="dxa"/>
          </w:tblCellMar>
        </w:tblPrEx>
        <w:trPr>
          <w:trHeight w:val="938" w:hRule="atLeast"/>
        </w:trPr>
        <w:tc>
          <w:tcPr>
            <w:tcW w:w="120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预算编制（10分）</w:t>
            </w:r>
          </w:p>
        </w:tc>
        <w:tc>
          <w:tcPr>
            <w:tcW w:w="12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报送时效（1分）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基础信息更新（1分）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编制质量（2分）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预算编制准确（1分）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w:t>
            </w: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绩效目标编制不够全面细致</w:t>
            </w: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Layout w:type="fixed"/>
          <w:tblCellMar>
            <w:top w:w="0" w:type="dxa"/>
            <w:left w:w="0" w:type="dxa"/>
            <w:bottom w:w="0" w:type="dxa"/>
            <w:right w:w="0" w:type="dxa"/>
          </w:tblCellMar>
        </w:tblPrEx>
        <w:trPr>
          <w:trHeight w:val="634" w:hRule="atLeast"/>
        </w:trPr>
        <w:tc>
          <w:tcPr>
            <w:tcW w:w="12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预算执行（20分）</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Layout w:type="fixed"/>
          <w:tblCellMar>
            <w:top w:w="0" w:type="dxa"/>
            <w:left w:w="0" w:type="dxa"/>
            <w:bottom w:w="0" w:type="dxa"/>
            <w:right w:w="0" w:type="dxa"/>
          </w:tblCellMar>
        </w:tblPrEx>
        <w:trPr>
          <w:trHeight w:val="634" w:hRule="atLeast"/>
        </w:trPr>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Layout w:type="fixed"/>
          <w:tblCellMar>
            <w:top w:w="0" w:type="dxa"/>
            <w:left w:w="0" w:type="dxa"/>
            <w:bottom w:w="0" w:type="dxa"/>
            <w:right w:w="0" w:type="dxa"/>
          </w:tblCellMar>
        </w:tblPrEx>
        <w:trPr>
          <w:trHeight w:val="1023" w:hRule="atLeast"/>
        </w:trPr>
        <w:tc>
          <w:tcPr>
            <w:tcW w:w="1207" w:type="dxa"/>
            <w:vMerge w:val="continue"/>
            <w:tcBorders>
              <w:top w:val="single" w:color="000000" w:sz="4" w:space="0"/>
              <w:left w:val="single" w:color="000000"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415"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39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724"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Layout w:type="fixed"/>
          <w:tblCellMar>
            <w:top w:w="0" w:type="dxa"/>
            <w:left w:w="0" w:type="dxa"/>
            <w:bottom w:w="0" w:type="dxa"/>
            <w:right w:w="0" w:type="dxa"/>
          </w:tblCellMar>
        </w:tblPrEx>
        <w:trPr>
          <w:trHeight w:val="634" w:hRule="atLeast"/>
        </w:trPr>
        <w:tc>
          <w:tcPr>
            <w:tcW w:w="1207" w:type="dxa"/>
            <w:vMerge w:val="restart"/>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综合管理（40分）</w:t>
            </w:r>
          </w:p>
        </w:tc>
        <w:tc>
          <w:tcPr>
            <w:tcW w:w="128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415"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399" w:type="dxa"/>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724"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auto"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auto" w:sz="4" w:space="0"/>
              <w:left w:val="single" w:color="000000"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Layout w:type="fixed"/>
          <w:tblCellMar>
            <w:top w:w="0" w:type="dxa"/>
            <w:left w:w="0" w:type="dxa"/>
            <w:bottom w:w="0" w:type="dxa"/>
            <w:right w:w="0" w:type="dxa"/>
          </w:tblCellMar>
        </w:tblPrEx>
        <w:trPr>
          <w:trHeight w:val="938" w:hRule="atLeast"/>
        </w:trPr>
        <w:tc>
          <w:tcPr>
            <w:tcW w:w="1207" w:type="dxa"/>
            <w:vMerge w:val="continue"/>
            <w:tcBorders>
              <w:top w:val="single" w:color="auto"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399"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724"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auto"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Layout w:type="fixed"/>
          <w:tblCellMar>
            <w:top w:w="0" w:type="dxa"/>
            <w:left w:w="0" w:type="dxa"/>
            <w:bottom w:w="0" w:type="dxa"/>
            <w:right w:w="0" w:type="dxa"/>
          </w:tblCellMar>
        </w:tblPrEx>
        <w:trPr>
          <w:trHeight w:val="1547"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Layout w:type="fixed"/>
          <w:tblCellMar>
            <w:top w:w="0" w:type="dxa"/>
            <w:left w:w="0" w:type="dxa"/>
            <w:bottom w:w="0" w:type="dxa"/>
            <w:right w:w="0" w:type="dxa"/>
          </w:tblCellMar>
        </w:tblPrEx>
        <w:trPr>
          <w:trHeight w:val="2461"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Layout w:type="fixed"/>
          <w:tblCellMar>
            <w:top w:w="0" w:type="dxa"/>
            <w:left w:w="0" w:type="dxa"/>
            <w:bottom w:w="0" w:type="dxa"/>
            <w:right w:w="0" w:type="dxa"/>
          </w:tblCellMar>
        </w:tblPrEx>
        <w:trPr>
          <w:trHeight w:val="1852"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auto"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Layout w:type="fixed"/>
          <w:tblCellMar>
            <w:top w:w="0" w:type="dxa"/>
            <w:left w:w="0" w:type="dxa"/>
            <w:bottom w:w="0" w:type="dxa"/>
            <w:right w:w="0" w:type="dxa"/>
          </w:tblCellMar>
        </w:tblPrEx>
        <w:trPr>
          <w:trHeight w:val="1547"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tcBorders>
              <w:top w:val="single" w:color="auto"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Layout w:type="fixed"/>
          <w:tblCellMar>
            <w:top w:w="0" w:type="dxa"/>
            <w:left w:w="0" w:type="dxa"/>
            <w:bottom w:w="0" w:type="dxa"/>
            <w:right w:w="0" w:type="dxa"/>
          </w:tblCellMar>
        </w:tblPrEx>
        <w:trPr>
          <w:trHeight w:val="1547"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Layout w:type="fixed"/>
          <w:tblCellMar>
            <w:top w:w="0" w:type="dxa"/>
            <w:left w:w="0" w:type="dxa"/>
            <w:bottom w:w="0" w:type="dxa"/>
            <w:right w:w="0" w:type="dxa"/>
          </w:tblCellMar>
        </w:tblPrEx>
        <w:trPr>
          <w:trHeight w:val="1547"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399"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Layout w:type="fixed"/>
          <w:tblCellMar>
            <w:top w:w="0" w:type="dxa"/>
            <w:left w:w="0" w:type="dxa"/>
            <w:bottom w:w="0" w:type="dxa"/>
            <w:right w:w="0" w:type="dxa"/>
          </w:tblCellMar>
        </w:tblPrEx>
        <w:trPr>
          <w:trHeight w:val="1547"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415"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Layout w:type="fixed"/>
          <w:tblCellMar>
            <w:top w:w="0" w:type="dxa"/>
            <w:left w:w="0" w:type="dxa"/>
            <w:bottom w:w="0" w:type="dxa"/>
            <w:right w:w="0" w:type="dxa"/>
          </w:tblCellMar>
        </w:tblPrEx>
        <w:trPr>
          <w:trHeight w:val="634"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Layout w:type="fixed"/>
          <w:tblCellMar>
            <w:top w:w="0" w:type="dxa"/>
            <w:left w:w="0" w:type="dxa"/>
            <w:bottom w:w="0" w:type="dxa"/>
            <w:right w:w="0" w:type="dxa"/>
          </w:tblCellMar>
        </w:tblPrEx>
        <w:trPr>
          <w:trHeight w:val="708"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Layout w:type="fixed"/>
          <w:tblCellMar>
            <w:top w:w="0" w:type="dxa"/>
            <w:left w:w="0" w:type="dxa"/>
            <w:bottom w:w="0" w:type="dxa"/>
            <w:right w:w="0" w:type="dxa"/>
          </w:tblCellMar>
        </w:tblPrEx>
        <w:trPr>
          <w:trHeight w:val="1852"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Layout w:type="fixed"/>
          <w:tblCellMar>
            <w:top w:w="0" w:type="dxa"/>
            <w:left w:w="0" w:type="dxa"/>
            <w:bottom w:w="0" w:type="dxa"/>
            <w:right w:w="0" w:type="dxa"/>
          </w:tblCellMar>
        </w:tblPrEx>
        <w:trPr>
          <w:trHeight w:val="634"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Layout w:type="fixed"/>
          <w:tblCellMar>
            <w:top w:w="0" w:type="dxa"/>
            <w:left w:w="0" w:type="dxa"/>
            <w:bottom w:w="0" w:type="dxa"/>
            <w:right w:w="0" w:type="dxa"/>
          </w:tblCellMar>
        </w:tblPrEx>
        <w:trPr>
          <w:trHeight w:val="938" w:hRule="atLeast"/>
        </w:trPr>
        <w:tc>
          <w:tcPr>
            <w:tcW w:w="1207" w:type="dxa"/>
            <w:vMerge w:val="continue"/>
            <w:tcBorders>
              <w:top w:val="nil"/>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Layout w:type="fixed"/>
          <w:tblCellMar>
            <w:top w:w="0" w:type="dxa"/>
            <w:left w:w="0" w:type="dxa"/>
            <w:bottom w:w="0" w:type="dxa"/>
            <w:right w:w="0" w:type="dxa"/>
          </w:tblCellMar>
        </w:tblPrEx>
        <w:trPr>
          <w:trHeight w:val="634" w:hRule="atLeast"/>
        </w:trPr>
        <w:tc>
          <w:tcPr>
            <w:tcW w:w="120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整体效益（30分）</w:t>
            </w:r>
          </w:p>
        </w:tc>
        <w:tc>
          <w:tcPr>
            <w:tcW w:w="12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39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72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1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3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Layout w:type="fixed"/>
          <w:tblCellMar>
            <w:top w:w="0" w:type="dxa"/>
            <w:left w:w="0" w:type="dxa"/>
            <w:bottom w:w="0" w:type="dxa"/>
            <w:right w:w="0" w:type="dxa"/>
          </w:tblCellMar>
        </w:tblPrEx>
        <w:trPr>
          <w:trHeight w:val="435" w:hRule="atLeast"/>
        </w:trPr>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72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1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3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Layout w:type="fixed"/>
          <w:tblCellMar>
            <w:top w:w="0" w:type="dxa"/>
            <w:left w:w="0" w:type="dxa"/>
            <w:bottom w:w="0" w:type="dxa"/>
            <w:right w:w="0" w:type="dxa"/>
          </w:tblCellMar>
        </w:tblPrEx>
        <w:trPr>
          <w:trHeight w:val="1418" w:hRule="atLeast"/>
        </w:trPr>
        <w:tc>
          <w:tcPr>
            <w:tcW w:w="120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72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1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3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6"/>
                <w:szCs w:val="16"/>
              </w:rPr>
            </w:pPr>
          </w:p>
        </w:tc>
      </w:tr>
      <w:tr>
        <w:tblPrEx>
          <w:tblLayout w:type="fixed"/>
          <w:tblCellMar>
            <w:top w:w="0" w:type="dxa"/>
            <w:left w:w="0" w:type="dxa"/>
            <w:bottom w:w="0" w:type="dxa"/>
            <w:right w:w="0" w:type="dxa"/>
          </w:tblCellMar>
        </w:tblPrEx>
        <w:trPr>
          <w:trHeight w:val="634" w:hRule="atLeast"/>
        </w:trPr>
        <w:tc>
          <w:tcPr>
            <w:tcW w:w="10140"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pStyle w:val="16"/>
        <w:spacing w:line="576" w:lineRule="exact"/>
        <w:rPr>
          <w:rFonts w:ascii="仿宋_GB2312" w:eastAsia="仿宋_GB2312"/>
          <w:color w:val="000000"/>
          <w:sz w:val="32"/>
          <w:szCs w:val="32"/>
          <w:shd w:val="clear" w:color="auto" w:fill="FFFFFF"/>
        </w:rPr>
      </w:pPr>
    </w:p>
    <w:p>
      <w:pPr>
        <w:pStyle w:val="16"/>
        <w:spacing w:line="576" w:lineRule="exact"/>
        <w:rPr>
          <w:rFonts w:ascii="仿宋_GB2312" w:eastAsia="仿宋_GB2312"/>
          <w:color w:val="000000"/>
          <w:sz w:val="32"/>
          <w:szCs w:val="32"/>
          <w:shd w:val="clear" w:color="auto" w:fill="FFFFFF"/>
        </w:rPr>
      </w:pPr>
    </w:p>
    <w:p>
      <w:pPr>
        <w:pStyle w:val="16"/>
        <w:spacing w:line="576" w:lineRule="exact"/>
        <w:rPr>
          <w:rFonts w:ascii="仿宋_GB2312" w:eastAsia="仿宋_GB2312"/>
          <w:color w:val="000000"/>
          <w:sz w:val="32"/>
          <w:szCs w:val="32"/>
          <w:shd w:val="clear" w:color="auto" w:fill="FFFFFF"/>
        </w:rPr>
      </w:pPr>
    </w:p>
    <w:p>
      <w:pPr>
        <w:pStyle w:val="16"/>
        <w:spacing w:line="576" w:lineRule="exact"/>
        <w:rPr>
          <w:rFonts w:ascii="仿宋_GB2312" w:eastAsia="仿宋_GB2312"/>
          <w:color w:val="000000"/>
          <w:sz w:val="32"/>
          <w:szCs w:val="32"/>
          <w:shd w:val="clear" w:color="auto" w:fill="FFFFFF"/>
        </w:rPr>
      </w:pPr>
    </w:p>
    <w:p>
      <w:pPr>
        <w:pStyle w:val="16"/>
        <w:spacing w:line="576" w:lineRule="exact"/>
        <w:ind w:left="2" w:firstLine="422" w:firstLineChars="132"/>
        <w:rPr>
          <w:rFonts w:ascii="楷体" w:hAnsi="楷体" w:eastAsia="楷体" w:cs="楷体"/>
          <w:sz w:val="32"/>
          <w:szCs w:val="32"/>
        </w:rPr>
      </w:pPr>
      <w:r>
        <w:rPr>
          <w:rFonts w:hint="eastAsia" w:ascii="楷体" w:hAnsi="楷体" w:eastAsia="楷体" w:cs="楷体"/>
          <w:sz w:val="32"/>
          <w:szCs w:val="32"/>
        </w:rPr>
        <w:t>（二）存在问题</w:t>
      </w:r>
    </w:p>
    <w:p>
      <w:pPr>
        <w:pStyle w:val="18"/>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1.单位的财务管理力度及相关规章制度执行力度还需加强。2.单位整体绩效目标编制不够全面细致。</w:t>
      </w:r>
    </w:p>
    <w:p>
      <w:pPr>
        <w:pStyle w:val="18"/>
        <w:spacing w:line="576" w:lineRule="exact"/>
        <w:ind w:firstLine="425" w:firstLineChars="133"/>
        <w:rPr>
          <w:rFonts w:ascii="楷体" w:hAnsi="楷体" w:eastAsia="楷体" w:cs="楷体"/>
          <w:bCs/>
          <w:color w:val="000000"/>
          <w:sz w:val="32"/>
          <w:szCs w:val="32"/>
          <w:shd w:val="clear" w:color="auto" w:fill="FFFFFF"/>
        </w:rPr>
      </w:pPr>
      <w:r>
        <w:rPr>
          <w:rFonts w:hint="eastAsia" w:ascii="楷体" w:hAnsi="楷体" w:eastAsia="楷体" w:cs="楷体"/>
          <w:bCs/>
          <w:color w:val="000000"/>
          <w:sz w:val="32"/>
          <w:szCs w:val="32"/>
          <w:shd w:val="clear" w:color="auto" w:fill="FFFFFF"/>
        </w:rPr>
        <w:t>（三）改进建议</w:t>
      </w:r>
    </w:p>
    <w:p>
      <w:pPr>
        <w:pStyle w:val="18"/>
        <w:spacing w:line="576" w:lineRule="exact"/>
        <w:ind w:firstLine="640" w:firstLineChars="200"/>
        <w:rPr>
          <w:rFonts w:ascii="仿宋_GB2312" w:hAnsi="宋体" w:eastAsia="仿宋_GB2312"/>
          <w:color w:val="000000"/>
          <w:sz w:val="32"/>
          <w:szCs w:val="32"/>
          <w:shd w:val="clear" w:color="auto" w:fill="FFFFFF"/>
        </w:rPr>
      </w:pPr>
      <w:r>
        <w:rPr>
          <w:rFonts w:hint="eastAsia" w:ascii="仿宋_GB2312" w:hAnsi="宋体" w:eastAsia="仿宋_GB2312"/>
          <w:color w:val="000000"/>
          <w:sz w:val="32"/>
          <w:szCs w:val="32"/>
          <w:shd w:val="clear" w:color="auto" w:fill="FFFFFF"/>
        </w:rPr>
        <w:t>1.单位财务人员在今后工作中要按照有关文件及规章制度的要求严格规范各项经费支出，细化各项经费指标的收支管理及审批程序，加大对经费支出的审核把关力度，落实岗位职责，坚守职业道德，提高财务管理水平。2.认真学习《预算法》及其实施条例，掌握预算编制的相关政策，加强预算编制的科学性、合理性，提高单位整体绩效目标的编制质量。</w:t>
      </w:r>
    </w:p>
    <w:p>
      <w:pPr>
        <w:spacing w:line="576" w:lineRule="exact"/>
        <w:ind w:left="315" w:leftChars="150"/>
        <w:jc w:val="center"/>
        <w:rPr>
          <w:rStyle w:val="10"/>
          <w:rFonts w:ascii="方正小标宋简体" w:hAnsi="方正小标宋简体" w:eastAsia="方正小标宋简体" w:cs="方正小标宋简体"/>
          <w:b w:val="0"/>
          <w:bCs w:val="0"/>
        </w:rPr>
      </w:pPr>
    </w:p>
    <w:p>
      <w:pPr>
        <w:spacing w:line="576" w:lineRule="exact"/>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p>
    <w:p>
      <w:pPr>
        <w:spacing w:line="576" w:lineRule="exact"/>
        <w:jc w:val="center"/>
        <w:rPr>
          <w:rStyle w:val="10"/>
          <w:rFonts w:ascii="方正小标宋简体" w:hAnsi="方正小标宋简体" w:eastAsia="方正小标宋简体" w:cs="方正小标宋简体"/>
          <w:b w:val="0"/>
          <w:bCs w:val="0"/>
        </w:rPr>
      </w:pPr>
      <w:r>
        <w:rPr>
          <w:rStyle w:val="10"/>
          <w:rFonts w:hint="eastAsia" w:ascii="方正小标宋简体" w:hAnsi="方正小标宋简体" w:eastAsia="方正小标宋简体" w:cs="方正小标宋简体"/>
          <w:b w:val="0"/>
          <w:bCs w:val="0"/>
        </w:rPr>
        <w:t>第五部分 附表</w:t>
      </w:r>
      <w:bookmarkStart w:id="24" w:name="_Toc15396619"/>
    </w:p>
    <w:p>
      <w:pPr>
        <w:spacing w:line="576" w:lineRule="exact"/>
        <w:jc w:val="center"/>
        <w:rPr>
          <w:rStyle w:val="10"/>
          <w:rFonts w:ascii="方正小标宋简体" w:hAnsi="方正小标宋简体" w:eastAsia="方正小标宋简体" w:cs="方正小标宋简体"/>
          <w:b w:val="0"/>
          <w:bCs w:val="0"/>
        </w:rPr>
      </w:pPr>
    </w:p>
    <w:p>
      <w:pPr>
        <w:spacing w:line="576" w:lineRule="exact"/>
        <w:ind w:left="315" w:leftChars="150" w:firstLine="640" w:firstLineChars="200"/>
        <w:rPr>
          <w:rStyle w:val="11"/>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11"/>
          <w:rFonts w:hint="eastAsia" w:ascii="仿宋_GB2312" w:hAnsi="仿宋_GB2312" w:eastAsia="仿宋_GB2312" w:cs="仿宋_GB2312"/>
          <w:b w:val="0"/>
          <w:bCs w:val="0"/>
        </w:rPr>
        <w:t>入支出决算总表</w:t>
      </w:r>
      <w:bookmarkEnd w:id="24"/>
      <w:bookmarkStart w:id="25" w:name="_Toc15396620"/>
    </w:p>
    <w:p>
      <w:pPr>
        <w:spacing w:line="576" w:lineRule="exact"/>
        <w:ind w:left="315" w:leftChars="150" w:firstLine="640" w:firstLineChars="200"/>
        <w:rPr>
          <w:rStyle w:val="11"/>
          <w:rFonts w:ascii="仿宋_GB2312" w:hAnsi="仿宋_GB2312" w:eastAsia="仿宋_GB2312" w:cs="仿宋_GB2312"/>
          <w:b w:val="0"/>
          <w:bCs w:val="0"/>
        </w:rPr>
      </w:pPr>
      <w:r>
        <w:rPr>
          <w:rFonts w:hint="eastAsia" w:ascii="仿宋_GB2312" w:hAnsi="仿宋_GB2312" w:eastAsia="仿宋_GB2312" w:cs="仿宋_GB2312"/>
          <w:color w:val="000000"/>
          <w:sz w:val="32"/>
          <w:szCs w:val="32"/>
        </w:rPr>
        <w:t>二、收</w:t>
      </w:r>
      <w:r>
        <w:rPr>
          <w:rStyle w:val="11"/>
          <w:rFonts w:hint="eastAsia" w:ascii="仿宋_GB2312" w:hAnsi="仿宋_GB2312" w:eastAsia="仿宋_GB2312" w:cs="仿宋_GB2312"/>
          <w:b w:val="0"/>
          <w:bCs w:val="0"/>
        </w:rPr>
        <w:t>入总表</w:t>
      </w:r>
      <w:bookmarkEnd w:id="25"/>
      <w:bookmarkStart w:id="26" w:name="_Toc15396621"/>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三、</w:t>
      </w:r>
      <w:r>
        <w:rPr>
          <w:rFonts w:hint="eastAsia" w:ascii="仿宋_GB2312" w:hAnsi="仿宋_GB2312" w:eastAsia="仿宋_GB2312" w:cs="仿宋_GB2312"/>
          <w:color w:val="000000"/>
          <w:sz w:val="32"/>
          <w:szCs w:val="32"/>
        </w:rPr>
        <w:t>支</w:t>
      </w:r>
      <w:r>
        <w:rPr>
          <w:rStyle w:val="11"/>
          <w:rFonts w:hint="eastAsia" w:ascii="仿宋_GB2312" w:hAnsi="仿宋_GB2312" w:eastAsia="仿宋_GB2312" w:cs="仿宋_GB2312"/>
          <w:b w:val="0"/>
          <w:bCs w:val="0"/>
        </w:rPr>
        <w:t>出总表</w:t>
      </w:r>
      <w:bookmarkEnd w:id="26"/>
      <w:bookmarkStart w:id="27" w:name="_Toc15396622"/>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四、</w:t>
      </w:r>
      <w:r>
        <w:rPr>
          <w:rFonts w:hint="eastAsia" w:ascii="仿宋_GB2312" w:hAnsi="仿宋_GB2312" w:eastAsia="仿宋_GB2312" w:cs="仿宋_GB2312"/>
          <w:color w:val="000000"/>
          <w:sz w:val="32"/>
          <w:szCs w:val="32"/>
        </w:rPr>
        <w:t>财</w:t>
      </w:r>
      <w:r>
        <w:rPr>
          <w:rStyle w:val="11"/>
          <w:rFonts w:hint="eastAsia" w:ascii="仿宋_GB2312" w:hAnsi="仿宋_GB2312" w:eastAsia="仿宋_GB2312" w:cs="仿宋_GB2312"/>
          <w:b w:val="0"/>
          <w:bCs w:val="0"/>
        </w:rPr>
        <w:t>政拨款收入支出决算总表</w:t>
      </w:r>
      <w:bookmarkEnd w:id="27"/>
      <w:bookmarkStart w:id="28" w:name="_Toc15396623"/>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五、</w:t>
      </w:r>
      <w:r>
        <w:rPr>
          <w:rFonts w:hint="eastAsia" w:ascii="仿宋_GB2312" w:hAnsi="仿宋_GB2312" w:eastAsia="仿宋_GB2312" w:cs="仿宋_GB2312"/>
          <w:color w:val="000000"/>
          <w:sz w:val="32"/>
          <w:szCs w:val="32"/>
        </w:rPr>
        <w:t>财</w:t>
      </w:r>
      <w:r>
        <w:rPr>
          <w:rStyle w:val="11"/>
          <w:rFonts w:hint="eastAsia" w:ascii="仿宋_GB2312" w:hAnsi="仿宋_GB2312" w:eastAsia="仿宋_GB2312" w:cs="仿宋_GB2312"/>
          <w:b w:val="0"/>
          <w:bCs w:val="0"/>
        </w:rPr>
        <w:t>政拨款支出决算明细表（政府经济分类科目）</w:t>
      </w:r>
      <w:bookmarkEnd w:id="28"/>
      <w:bookmarkStart w:id="29" w:name="_Toc15396624"/>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六、</w:t>
      </w:r>
      <w:r>
        <w:rPr>
          <w:rFonts w:hint="eastAsia" w:ascii="仿宋_GB2312" w:hAnsi="仿宋_GB2312" w:eastAsia="仿宋_GB2312" w:cs="仿宋_GB2312"/>
          <w:color w:val="000000"/>
          <w:sz w:val="32"/>
          <w:szCs w:val="32"/>
        </w:rPr>
        <w:t>一</w:t>
      </w:r>
      <w:r>
        <w:rPr>
          <w:rStyle w:val="11"/>
          <w:rFonts w:hint="eastAsia" w:ascii="仿宋_GB2312" w:hAnsi="仿宋_GB2312" w:eastAsia="仿宋_GB2312" w:cs="仿宋_GB2312"/>
          <w:b w:val="0"/>
          <w:bCs w:val="0"/>
        </w:rPr>
        <w:t>般公共预算财政拨款支出决算表</w:t>
      </w:r>
      <w:bookmarkEnd w:id="29"/>
      <w:bookmarkStart w:id="30" w:name="_Toc15396625"/>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七、</w:t>
      </w:r>
      <w:r>
        <w:rPr>
          <w:rFonts w:hint="eastAsia" w:ascii="仿宋_GB2312" w:hAnsi="仿宋_GB2312" w:eastAsia="仿宋_GB2312" w:cs="仿宋_GB2312"/>
          <w:color w:val="000000"/>
          <w:sz w:val="32"/>
          <w:szCs w:val="32"/>
        </w:rPr>
        <w:t>一</w:t>
      </w:r>
      <w:r>
        <w:rPr>
          <w:rStyle w:val="11"/>
          <w:rFonts w:hint="eastAsia" w:ascii="仿宋_GB2312" w:hAnsi="仿宋_GB2312" w:eastAsia="仿宋_GB2312" w:cs="仿宋_GB2312"/>
          <w:b w:val="0"/>
          <w:bCs w:val="0"/>
        </w:rPr>
        <w:t>般公共预算财政拨款支出决算明细表</w:t>
      </w:r>
      <w:bookmarkEnd w:id="30"/>
      <w:bookmarkStart w:id="31" w:name="_Toc15396626"/>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八、</w:t>
      </w:r>
      <w:r>
        <w:rPr>
          <w:rFonts w:hint="eastAsia" w:ascii="仿宋_GB2312" w:hAnsi="仿宋_GB2312" w:eastAsia="仿宋_GB2312" w:cs="仿宋_GB2312"/>
          <w:color w:val="000000"/>
          <w:sz w:val="32"/>
          <w:szCs w:val="32"/>
        </w:rPr>
        <w:t>一</w:t>
      </w:r>
      <w:r>
        <w:rPr>
          <w:rStyle w:val="11"/>
          <w:rFonts w:hint="eastAsia" w:ascii="仿宋_GB2312" w:hAnsi="仿宋_GB2312" w:eastAsia="仿宋_GB2312" w:cs="仿宋_GB2312"/>
          <w:b w:val="0"/>
          <w:bCs w:val="0"/>
        </w:rPr>
        <w:t>般公共预算财政拨款基本支出决算表</w:t>
      </w:r>
      <w:bookmarkEnd w:id="31"/>
      <w:bookmarkStart w:id="32" w:name="_Toc15396627"/>
    </w:p>
    <w:p>
      <w:pPr>
        <w:spacing w:line="576" w:lineRule="exact"/>
        <w:ind w:left="315" w:leftChars="150" w:firstLine="640" w:firstLineChars="200"/>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九、</w:t>
      </w:r>
      <w:r>
        <w:rPr>
          <w:rFonts w:hint="eastAsia" w:ascii="仿宋_GB2312" w:hAnsi="仿宋_GB2312" w:eastAsia="仿宋_GB2312" w:cs="仿宋_GB2312"/>
          <w:color w:val="000000"/>
          <w:sz w:val="32"/>
          <w:szCs w:val="32"/>
        </w:rPr>
        <w:t>一</w:t>
      </w:r>
      <w:r>
        <w:rPr>
          <w:rStyle w:val="11"/>
          <w:rFonts w:hint="eastAsia" w:ascii="仿宋_GB2312" w:hAnsi="仿宋_GB2312" w:eastAsia="仿宋_GB2312" w:cs="仿宋_GB2312"/>
          <w:b w:val="0"/>
          <w:bCs w:val="0"/>
        </w:rPr>
        <w:t>般公共预算财政拨款项目支出决算表</w:t>
      </w:r>
      <w:bookmarkEnd w:id="32"/>
      <w:bookmarkStart w:id="33" w:name="_Toc15396628"/>
    </w:p>
    <w:p>
      <w:pPr>
        <w:spacing w:line="576" w:lineRule="exact"/>
        <w:ind w:left="953" w:leftChars="454"/>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十、</w:t>
      </w:r>
      <w:r>
        <w:rPr>
          <w:rFonts w:hint="eastAsia" w:ascii="仿宋_GB2312" w:hAnsi="仿宋_GB2312" w:eastAsia="仿宋_GB2312" w:cs="仿宋_GB2312"/>
          <w:color w:val="000000"/>
          <w:sz w:val="32"/>
          <w:szCs w:val="32"/>
        </w:rPr>
        <w:t>一</w:t>
      </w:r>
      <w:r>
        <w:rPr>
          <w:rStyle w:val="11"/>
          <w:rFonts w:hint="eastAsia" w:ascii="仿宋_GB2312" w:hAnsi="仿宋_GB2312" w:eastAsia="仿宋_GB2312" w:cs="仿宋_GB2312"/>
          <w:b w:val="0"/>
          <w:bCs w:val="0"/>
        </w:rPr>
        <w:t>般公共预算财政拨款“三公”经费支出决算表</w:t>
      </w:r>
      <w:bookmarkEnd w:id="33"/>
      <w:bookmarkStart w:id="34" w:name="_Toc15396629"/>
      <w:r>
        <w:rPr>
          <w:rStyle w:val="11"/>
          <w:rFonts w:hint="eastAsia" w:ascii="仿宋_GB2312" w:hAnsi="仿宋_GB2312" w:eastAsia="仿宋_GB2312" w:cs="仿宋_GB2312"/>
          <w:b w:val="0"/>
          <w:bCs w:val="0"/>
        </w:rPr>
        <w:t>十一、</w:t>
      </w:r>
      <w:r>
        <w:rPr>
          <w:rFonts w:hint="eastAsia" w:ascii="仿宋_GB2312" w:hAnsi="仿宋_GB2312" w:eastAsia="仿宋_GB2312" w:cs="仿宋_GB2312"/>
          <w:color w:val="000000"/>
          <w:sz w:val="32"/>
          <w:szCs w:val="32"/>
        </w:rPr>
        <w:t>政</w:t>
      </w:r>
      <w:r>
        <w:rPr>
          <w:rStyle w:val="11"/>
          <w:rFonts w:hint="eastAsia" w:ascii="仿宋_GB2312" w:hAnsi="仿宋_GB2312" w:eastAsia="仿宋_GB2312" w:cs="仿宋_GB2312"/>
          <w:b w:val="0"/>
          <w:bCs w:val="0"/>
        </w:rPr>
        <w:t>府性基金预算财政拨款收入支出决算表</w:t>
      </w:r>
      <w:bookmarkEnd w:id="34"/>
      <w:bookmarkStart w:id="35" w:name="_Toc15396630"/>
    </w:p>
    <w:p>
      <w:pPr>
        <w:spacing w:line="576" w:lineRule="exact"/>
        <w:ind w:left="953" w:leftChars="454"/>
        <w:rPr>
          <w:rStyle w:val="11"/>
          <w:rFonts w:ascii="仿宋_GB2312" w:hAnsi="仿宋_GB2312" w:eastAsia="仿宋_GB2312" w:cs="仿宋_GB2312"/>
          <w:b w:val="0"/>
          <w:bCs w:val="0"/>
        </w:rPr>
      </w:pPr>
      <w:r>
        <w:rPr>
          <w:rStyle w:val="11"/>
          <w:rFonts w:hint="eastAsia" w:ascii="仿宋_GB2312" w:hAnsi="仿宋_GB2312" w:eastAsia="仿宋_GB2312" w:cs="仿宋_GB2312"/>
          <w:b w:val="0"/>
          <w:bCs w:val="0"/>
        </w:rPr>
        <w:t>十二、</w:t>
      </w:r>
      <w:r>
        <w:rPr>
          <w:rFonts w:hint="eastAsia" w:ascii="仿宋_GB2312" w:hAnsi="仿宋_GB2312" w:eastAsia="仿宋_GB2312" w:cs="仿宋_GB2312"/>
          <w:color w:val="000000"/>
          <w:sz w:val="32"/>
          <w:szCs w:val="32"/>
        </w:rPr>
        <w:t>政</w:t>
      </w:r>
      <w:r>
        <w:rPr>
          <w:rStyle w:val="11"/>
          <w:rFonts w:hint="eastAsia" w:ascii="仿宋_GB2312" w:hAnsi="仿宋_GB2312" w:eastAsia="仿宋_GB2312" w:cs="仿宋_GB2312"/>
          <w:b w:val="0"/>
          <w:bCs w:val="0"/>
        </w:rPr>
        <w:t>府性基金预算财政拨款“三公”经费支出决算表</w:t>
      </w:r>
      <w:bookmarkEnd w:id="35"/>
      <w:bookmarkStart w:id="36" w:name="_Toc15396631"/>
    </w:p>
    <w:p>
      <w:pPr>
        <w:spacing w:line="576" w:lineRule="exact"/>
        <w:ind w:left="953" w:leftChars="454"/>
        <w:rPr>
          <w:rFonts w:ascii="仿宋_GB2312" w:eastAsia="仿宋_GB2312"/>
          <w:color w:val="000000"/>
          <w:sz w:val="32"/>
          <w:szCs w:val="32"/>
        </w:rPr>
      </w:pPr>
      <w:r>
        <w:rPr>
          <w:rStyle w:val="11"/>
          <w:rFonts w:hint="eastAsia" w:ascii="仿宋_GB2312" w:hAnsi="仿宋_GB2312" w:eastAsia="仿宋_GB2312" w:cs="仿宋_GB2312"/>
          <w:b w:val="0"/>
          <w:bCs w:val="0"/>
        </w:rPr>
        <w:t>十三、</w:t>
      </w:r>
      <w:r>
        <w:rPr>
          <w:rFonts w:hint="eastAsia" w:ascii="仿宋_GB2312" w:hAnsi="仿宋_GB2312" w:eastAsia="仿宋_GB2312" w:cs="仿宋_GB2312"/>
          <w:color w:val="000000"/>
          <w:sz w:val="32"/>
          <w:szCs w:val="32"/>
        </w:rPr>
        <w:t>国</w:t>
      </w:r>
      <w:r>
        <w:rPr>
          <w:rStyle w:val="11"/>
          <w:rFonts w:hint="eastAsia" w:ascii="仿宋_GB2312" w:hAnsi="仿宋_GB2312" w:eastAsia="仿宋_GB2312" w:cs="仿宋_GB2312"/>
          <w:b w:val="0"/>
          <w:bCs w:val="0"/>
        </w:rPr>
        <w:t>有资本经营预算支出决算表</w:t>
      </w:r>
      <w:bookmarkEnd w:id="36"/>
    </w:p>
    <w:p>
      <w:pPr>
        <w:widowControl/>
        <w:spacing w:line="576" w:lineRule="exact"/>
        <w:jc w:val="left"/>
        <w:rPr>
          <w:rStyle w:val="11"/>
          <w:rFonts w:ascii="黑体" w:hAnsi="黑体" w:eastAsia="黑体"/>
          <w:b w:val="0"/>
          <w:bCs w:val="0"/>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2052" o:spid="_x0000_s2052"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5"/>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428457B"/>
    <w:multiLevelType w:val="singleLevel"/>
    <w:tmpl w:val="F428457B"/>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rsids>
    <w:rsidRoot w:val="30F768B7"/>
    <w:rsid w:val="0000665A"/>
    <w:rsid w:val="000158D7"/>
    <w:rsid w:val="001147B0"/>
    <w:rsid w:val="001871E5"/>
    <w:rsid w:val="001A4E6F"/>
    <w:rsid w:val="00226682"/>
    <w:rsid w:val="0025221A"/>
    <w:rsid w:val="00252FF1"/>
    <w:rsid w:val="00302D04"/>
    <w:rsid w:val="00356FED"/>
    <w:rsid w:val="00394071"/>
    <w:rsid w:val="00441D6D"/>
    <w:rsid w:val="004763BD"/>
    <w:rsid w:val="004B600A"/>
    <w:rsid w:val="005253E4"/>
    <w:rsid w:val="005554D4"/>
    <w:rsid w:val="0058233D"/>
    <w:rsid w:val="005E44FA"/>
    <w:rsid w:val="00615F6F"/>
    <w:rsid w:val="006249B4"/>
    <w:rsid w:val="006E7102"/>
    <w:rsid w:val="00746604"/>
    <w:rsid w:val="00816916"/>
    <w:rsid w:val="008473D3"/>
    <w:rsid w:val="00876BE2"/>
    <w:rsid w:val="008921CE"/>
    <w:rsid w:val="008C0840"/>
    <w:rsid w:val="008D1390"/>
    <w:rsid w:val="008D4E4D"/>
    <w:rsid w:val="00933BFA"/>
    <w:rsid w:val="00A56BCA"/>
    <w:rsid w:val="00AA560D"/>
    <w:rsid w:val="00B67AA5"/>
    <w:rsid w:val="00BD117D"/>
    <w:rsid w:val="00C0510C"/>
    <w:rsid w:val="00C86F9E"/>
    <w:rsid w:val="00CB6E07"/>
    <w:rsid w:val="00CE42E8"/>
    <w:rsid w:val="00D96CA8"/>
    <w:rsid w:val="00E04C99"/>
    <w:rsid w:val="00EB6BB0"/>
    <w:rsid w:val="00EB7B63"/>
    <w:rsid w:val="00EC6EA9"/>
    <w:rsid w:val="00F33149"/>
    <w:rsid w:val="00FF5E8D"/>
    <w:rsid w:val="03E0737F"/>
    <w:rsid w:val="05A225F2"/>
    <w:rsid w:val="0D127407"/>
    <w:rsid w:val="0E7377CB"/>
    <w:rsid w:val="0FA27ED2"/>
    <w:rsid w:val="0FD50580"/>
    <w:rsid w:val="10FB491D"/>
    <w:rsid w:val="164D3434"/>
    <w:rsid w:val="1794562A"/>
    <w:rsid w:val="1BFC7014"/>
    <w:rsid w:val="1F1B011C"/>
    <w:rsid w:val="20A42874"/>
    <w:rsid w:val="26367BF6"/>
    <w:rsid w:val="291D114B"/>
    <w:rsid w:val="30156105"/>
    <w:rsid w:val="30F768B7"/>
    <w:rsid w:val="33716CDC"/>
    <w:rsid w:val="379B0A1F"/>
    <w:rsid w:val="37C22278"/>
    <w:rsid w:val="37C3603B"/>
    <w:rsid w:val="38593B8C"/>
    <w:rsid w:val="3D994615"/>
    <w:rsid w:val="3E3830E6"/>
    <w:rsid w:val="3E692226"/>
    <w:rsid w:val="3FD35E05"/>
    <w:rsid w:val="43236368"/>
    <w:rsid w:val="451859D4"/>
    <w:rsid w:val="48700D9F"/>
    <w:rsid w:val="48B96DC0"/>
    <w:rsid w:val="4DA72D27"/>
    <w:rsid w:val="4E0E1829"/>
    <w:rsid w:val="528B5B3E"/>
    <w:rsid w:val="5ADE4100"/>
    <w:rsid w:val="5E945E24"/>
    <w:rsid w:val="5FB711E3"/>
    <w:rsid w:val="60440A12"/>
    <w:rsid w:val="60FD6567"/>
    <w:rsid w:val="68DF4A9B"/>
    <w:rsid w:val="69CC2AD7"/>
    <w:rsid w:val="6AFB412C"/>
    <w:rsid w:val="6C1F676C"/>
    <w:rsid w:val="70896ECA"/>
    <w:rsid w:val="739C5B17"/>
    <w:rsid w:val="746C0C94"/>
    <w:rsid w:val="776D54AE"/>
    <w:rsid w:val="783B39A2"/>
    <w:rsid w:val="7950271F"/>
    <w:rsid w:val="7D1510FD"/>
    <w:rsid w:val="7F144F66"/>
    <w:rsid w:val="7F6F1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1"/>
    <w:qFormat/>
    <w:uiPriority w:val="9"/>
    <w:pPr>
      <w:keepNext/>
      <w:keepLines/>
      <w:spacing w:before="260" w:after="260" w:line="416" w:lineRule="auto"/>
      <w:outlineLvl w:val="1"/>
    </w:pPr>
    <w:rPr>
      <w:rFonts w:ascii="Calibri Light" w:hAnsi="Calibri Light"/>
      <w:b/>
      <w:bCs/>
      <w:sz w:val="32"/>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2"/>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Strong"/>
    <w:basedOn w:val="8"/>
    <w:qFormat/>
    <w:uiPriority w:val="99"/>
    <w:rPr>
      <w:b/>
    </w:rPr>
  </w:style>
  <w:style w:type="character" w:customStyle="1" w:styleId="10">
    <w:name w:val="标题 1 Char"/>
    <w:basedOn w:val="8"/>
    <w:link w:val="2"/>
    <w:qFormat/>
    <w:uiPriority w:val="9"/>
    <w:rPr>
      <w:b/>
      <w:bCs/>
      <w:kern w:val="44"/>
      <w:sz w:val="44"/>
      <w:szCs w:val="44"/>
    </w:rPr>
  </w:style>
  <w:style w:type="character" w:customStyle="1" w:styleId="11">
    <w:name w:val="标题 2 Char"/>
    <w:basedOn w:val="8"/>
    <w:link w:val="3"/>
    <w:qFormat/>
    <w:uiPriority w:val="9"/>
    <w:rPr>
      <w:rFonts w:ascii="Calibri Light" w:hAnsi="Calibri Light" w:eastAsia="宋体" w:cs="Times New Roman"/>
      <w:b/>
      <w:bCs/>
      <w:sz w:val="32"/>
      <w:szCs w:val="32"/>
    </w:rPr>
  </w:style>
  <w:style w:type="character" w:customStyle="1" w:styleId="12">
    <w:name w:val="批注框文本 Char"/>
    <w:basedOn w:val="8"/>
    <w:link w:val="4"/>
    <w:qFormat/>
    <w:uiPriority w:val="0"/>
    <w:rPr>
      <w:rFonts w:ascii="Times New Roman" w:hAnsi="Times New Roman"/>
      <w:kern w:val="2"/>
      <w:sz w:val="18"/>
      <w:szCs w:val="18"/>
    </w:rPr>
  </w:style>
  <w:style w:type="paragraph" w:customStyle="1" w:styleId="13">
    <w:name w:val="列出段落1"/>
    <w:basedOn w:val="1"/>
    <w:qFormat/>
    <w:uiPriority w:val="0"/>
    <w:pPr>
      <w:ind w:firstLine="420" w:firstLineChars="200"/>
    </w:pPr>
    <w:rPr>
      <w:szCs w:val="21"/>
    </w:rPr>
  </w:style>
  <w:style w:type="character" w:customStyle="1" w:styleId="14">
    <w:name w:val="15"/>
    <w:basedOn w:val="8"/>
    <w:qFormat/>
    <w:uiPriority w:val="0"/>
    <w:rPr>
      <w:rFonts w:hint="default" w:ascii="Cambria" w:hAnsi="Cambria" w:eastAsia="宋体" w:cs="Times New Roman"/>
      <w:b/>
      <w:bCs/>
      <w:kern w:val="2"/>
      <w:sz w:val="32"/>
      <w:szCs w:val="32"/>
    </w:rPr>
  </w:style>
  <w:style w:type="paragraph" w:customStyle="1" w:styleId="15">
    <w:name w:val="列出段落2"/>
    <w:basedOn w:val="1"/>
    <w:qFormat/>
    <w:uiPriority w:val="0"/>
    <w:pPr>
      <w:ind w:firstLine="420" w:firstLineChars="200"/>
    </w:pPr>
    <w:rPr>
      <w:szCs w:val="21"/>
    </w:rPr>
  </w:style>
  <w:style w:type="paragraph" w:customStyle="1" w:styleId="1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18">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5.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7.xml"/><Relationship Id="rId10" Type="http://schemas.openxmlformats.org/officeDocument/2006/relationships/chart" Target="charts/chart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5"/>
        </c:manualLayout>
      </c:layout>
      <c:overlay val="0"/>
    </c:title>
    <c:autoTitleDeleted val="0"/>
    <c:plotArea>
      <c:layout>
        <c:manualLayout>
          <c:layoutTarget val="inner"/>
          <c:xMode val="edge"/>
          <c:yMode val="edge"/>
          <c:x val="0.0769356344423429"/>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168.92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184.92</c:v>
                </c:pt>
              </c:numCache>
            </c:numRef>
          </c:val>
        </c:ser>
        <c:dLbls>
          <c:showLegendKey val="0"/>
          <c:showVal val="1"/>
          <c:showCatName val="0"/>
          <c:showSerName val="0"/>
          <c:showPercent val="0"/>
          <c:showBubbleSize val="0"/>
        </c:dLbls>
        <c:gapWidth val="150"/>
        <c:axId val="108126592"/>
        <c:axId val="108128128"/>
      </c:barChart>
      <c:catAx>
        <c:axId val="10812659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128128"/>
        <c:crosses val="autoZero"/>
        <c:auto val="1"/>
        <c:lblAlgn val="ctr"/>
        <c:lblOffset val="100"/>
        <c:noMultiLvlLbl val="0"/>
      </c:catAx>
      <c:valAx>
        <c:axId val="10812812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81265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2018</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1"/>
          <c:y val="0.217391304347826"/>
          <c:w val="0.296150696150696"/>
          <c:h val="0.655072463768117"/>
        </c:manualLayout>
      </c:layout>
      <c:pieChart>
        <c:varyColors val="1"/>
        <c:ser>
          <c:idx val="0"/>
          <c:order val="0"/>
          <c:tx>
            <c:strRef>
              <c:f>Sheet1!$B$1</c:f>
              <c:strCache>
                <c:ptCount val="1"/>
                <c:pt idx="0">
                  <c:v>2017年部门决算收入结构图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527981755089603"/>
                  <c:y val="-0.34695619569293"/>
                </c:manualLayout>
              </c:layout>
              <c:tx>
                <c:rich>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r>
                      <a:rPr altLang="en-US" sz="1600"/>
                      <a:t>1</a:t>
                    </a:r>
                    <a:r>
                      <a:rPr altLang="en-US"/>
                      <a:t>00</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6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
          <c:y val="0.192746260074381"/>
          <c:w val="0.342222222222222"/>
          <c:h val="0.738888734314572"/>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2018</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Pt>
            <c:idx val="2"/>
            <c:bubble3D val="0"/>
          </c:dPt>
          <c:dPt>
            <c:idx val="3"/>
            <c:bubble3D val="0"/>
          </c:dPt>
          <c:dPt>
            <c:idx val="4"/>
            <c:bubble3D val="0"/>
          </c:dPt>
          <c:dLbls>
            <c:dLbl>
              <c:idx val="0"/>
              <c:layout>
                <c:manualLayout>
                  <c:x val="0.00383325218676024"/>
                  <c:y val="-0.292429696287964"/>
                </c:manualLayout>
              </c:layout>
              <c:tx>
                <c:rich>
                  <a:bodyPr rot="0" spcFirstLastPara="0" vertOverflow="ellipsis" vert="horz" wrap="square" lIns="38100" tIns="19050" rIns="38100" bIns="19050" anchor="ctr" anchorCtr="1"/>
                  <a:lstStyle/>
                  <a:p>
                    <a:pPr>
                      <a:defRPr lang="zh-CN" sz="2000" b="0" i="0" u="none" strike="noStrike" kern="1200" baseline="0">
                        <a:solidFill>
                          <a:schemeClr val="tx1"/>
                        </a:solidFill>
                        <a:latin typeface="+mn-lt"/>
                        <a:ea typeface="+mn-ea"/>
                        <a:cs typeface="+mn-cs"/>
                      </a:defRPr>
                    </a:pPr>
                    <a:r>
                      <a:rPr lang="en-US" altLang="en-US" sz="2000"/>
                      <a:t>1</a:t>
                    </a:r>
                    <a:r>
                      <a:rPr lang="en-US" altLang="en-US"/>
                      <a:t>00</a:t>
                    </a:r>
                    <a:r>
                      <a:rPr lang="en-US" altLang="zh-CN"/>
                      <a:t>%</a:t>
                    </a:r>
                    <a:endParaRPr lang="en-US"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2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100</c:v>
                </c:pt>
                <c:pt idx="1">
                  <c:v>0</c:v>
                </c:pt>
                <c:pt idx="2">
                  <c:v>0</c:v>
                </c:pt>
                <c:pt idx="3">
                  <c:v>0</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8"/>
          <c:y val="0.0521624031445831"/>
        </c:manualLayout>
      </c:layout>
      <c:overlay val="0"/>
    </c:title>
    <c:autoTitleDeleted val="0"/>
    <c:plotArea>
      <c:layout>
        <c:manualLayout>
          <c:layoutTarget val="inner"/>
          <c:xMode val="edge"/>
          <c:yMode val="edge"/>
          <c:x val="0.076935634442343"/>
          <c:y val="0.212981143314532"/>
          <c:w val="0.763500149073545"/>
          <c:h val="0.68032464027103"/>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168.92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184.92</c:v>
                </c:pt>
              </c:numCache>
            </c:numRef>
          </c:val>
        </c:ser>
        <c:dLbls>
          <c:showLegendKey val="0"/>
          <c:showVal val="1"/>
          <c:showCatName val="0"/>
          <c:showSerName val="0"/>
          <c:showPercent val="0"/>
          <c:showBubbleSize val="0"/>
        </c:dLbls>
        <c:gapWidth val="150"/>
        <c:axId val="111407872"/>
        <c:axId val="111409408"/>
      </c:barChart>
      <c:catAx>
        <c:axId val="11140787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409408"/>
        <c:crosses val="autoZero"/>
        <c:auto val="1"/>
        <c:lblAlgn val="ctr"/>
        <c:lblOffset val="100"/>
        <c:noMultiLvlLbl val="0"/>
      </c:catAx>
      <c:valAx>
        <c:axId val="11140940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40787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2"/>
          <c:y val="0.209319129226494"/>
          <c:w val="0.770646966143439"/>
          <c:h val="0.683986901018178"/>
        </c:manualLayout>
      </c:layout>
      <c:barChart>
        <c:barDir val="col"/>
        <c:grouping val="clustered"/>
        <c:varyColors val="0"/>
        <c:ser>
          <c:idx val="0"/>
          <c:order val="0"/>
          <c:tx>
            <c:strRef>
              <c:f>Sheet1!$B$1</c:f>
              <c:strCache>
                <c:ptCount val="1"/>
                <c:pt idx="0">
                  <c:v>2017年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168.92</c:v>
                </c:pt>
              </c:numCache>
            </c:numRef>
          </c:val>
        </c:ser>
        <c:ser>
          <c:idx val="1"/>
          <c:order val="1"/>
          <c:tx>
            <c:strRef>
              <c:f>Sheet1!$C$1</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184.92</c:v>
                </c:pt>
              </c:numCache>
            </c:numRef>
          </c:val>
        </c:ser>
        <c:dLbls>
          <c:showLegendKey val="0"/>
          <c:showVal val="1"/>
          <c:showCatName val="0"/>
          <c:showSerName val="0"/>
          <c:showPercent val="0"/>
          <c:showBubbleSize val="0"/>
        </c:dLbls>
        <c:gapWidth val="150"/>
        <c:axId val="111730048"/>
        <c:axId val="111740032"/>
      </c:barChart>
      <c:catAx>
        <c:axId val="11173004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740032"/>
        <c:crosses val="autoZero"/>
        <c:auto val="1"/>
        <c:lblAlgn val="ctr"/>
        <c:lblOffset val="100"/>
        <c:noMultiLvlLbl val="0"/>
      </c:catAx>
      <c:valAx>
        <c:axId val="11174003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173004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201</a:t>
            </a:r>
            <a:r>
              <a:rPr lang="en-US" altLang="en-US" sz="1400"/>
              <a:t>8</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overlay val="0"/>
    </c:title>
    <c:autoTitleDeleted val="0"/>
    <c:plotArea>
      <c:layout/>
      <c:pieChart>
        <c:varyColors val="1"/>
        <c:ser>
          <c:idx val="0"/>
          <c:order val="0"/>
          <c:tx>
            <c:strRef>
              <c:f>Sheet1!$B$1</c:f>
              <c:strCache>
                <c:ptCount val="1"/>
                <c:pt idx="0">
                  <c:v>2017年部门决算支出结构图</c:v>
                </c:pt>
              </c:strCache>
            </c:strRef>
          </c:tx>
          <c:explosion val="0"/>
          <c:dPt>
            <c:idx val="0"/>
            <c:bubble3D val="0"/>
          </c:dPt>
          <c:dPt>
            <c:idx val="1"/>
            <c:bubble3D val="0"/>
          </c:dPt>
          <c:dPt>
            <c:idx val="2"/>
            <c:bubble3D val="0"/>
          </c:dPt>
          <c:dLbls>
            <c:dLbl>
              <c:idx val="0"/>
              <c:layout>
                <c:manualLayout>
                  <c:x val="-0.107381290930867"/>
                  <c:y val="-0.282813907520819"/>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86.76</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5.51</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altLang="en-US"/>
                      <a:t>7.73</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社会保障和就业支出</c:v>
                </c:pt>
                <c:pt idx="1">
                  <c:v>医疗卫生与计划生育支出</c:v>
                </c:pt>
                <c:pt idx="2">
                  <c:v>住房保障支出</c:v>
                </c:pt>
              </c:strCache>
            </c:strRef>
          </c:cat>
          <c:val>
            <c:numRef>
              <c:f>Sheet1!$B$2:$B$4</c:f>
              <c:numCache>
                <c:formatCode>General</c:formatCode>
                <c:ptCount val="3"/>
                <c:pt idx="0">
                  <c:v>86.76</c:v>
                </c:pt>
                <c:pt idx="1">
                  <c:v>5.51</c:v>
                </c:pt>
                <c:pt idx="2">
                  <c:v>7.73</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1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Lbl>
              <c:idx val="0"/>
              <c:delete val="1"/>
            </c:dLbl>
            <c:dLbl>
              <c:idx val="1"/>
              <c:delete val="1"/>
            </c:dLbl>
            <c:dLbl>
              <c:idx val="2"/>
              <c:layout>
                <c:manualLayout>
                  <c:x val="-0.000181233085014227"/>
                  <c:y val="-0.284369193714317"/>
                </c:manualLayout>
              </c:layout>
              <c:tx>
                <c:rich>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r>
                      <a:rPr lang="en-US" altLang="en-US" sz="900"/>
                      <a:t>100%</a:t>
                    </a:r>
                    <a:endParaRPr lang="en-US" altLang="en-US" sz="900"/>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因公出国（经）经费支出</c:v>
                </c:pt>
                <c:pt idx="1">
                  <c:v>公务用车购置及运行维护费支出</c:v>
                </c:pt>
                <c:pt idx="2">
                  <c:v>公务接待支出</c:v>
                </c:pt>
              </c:strCache>
            </c:strRef>
          </c:cat>
          <c:val>
            <c:numRef>
              <c:f>Sheet1!$B$2:$B$4</c:f>
              <c:numCache>
                <c:formatCode>General</c:formatCode>
                <c:ptCount val="3"/>
                <c:pt idx="2">
                  <c:v>100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主题">
  <a:themeElements>
    <a:clrScheme name="Office">
      <a:dk1>
        <a:sysClr val="windowText" lastClr="444444"/>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9492</Words>
  <Characters>2067</Characters>
  <Lines>17</Lines>
  <Paragraphs>23</Paragraphs>
  <TotalTime>47</TotalTime>
  <ScaleCrop>false</ScaleCrop>
  <LinksUpToDate>false</LinksUpToDate>
  <CharactersWithSpaces>11536</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2019-09-09T09:38:00Z</dcterms:created>
  <dc:creator>二次元的SIS控</dc:creator>
  <cp:lastModifiedBy>胖纸小舒新</cp:lastModifiedBy>
  <cp:lastPrinted>2019-09-20T08:56:00Z</cp:lastPrinted>
  <dcterms:modified xsi:type="dcterms:W3CDTF">2019-09-23T03:31:08Z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