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黑体" w:hAnsi="黑体" w:eastAsia="黑体"/>
          <w:color w:val="000000"/>
          <w:sz w:val="72"/>
          <w:szCs w:val="72"/>
        </w:rPr>
      </w:pPr>
      <w:bookmarkStart w:id="0" w:name="_Toc15378441"/>
      <w:bookmarkStart w:id="1" w:name="_Toc15377425"/>
      <w:bookmarkStart w:id="2" w:name="_Toc15396597"/>
      <w:bookmarkStart w:id="3" w:name="_Toc15396475"/>
      <w:bookmarkStart w:id="4" w:name="_Toc15377193"/>
    </w:p>
    <w:p>
      <w:pPr>
        <w:adjustRightInd w:val="0"/>
        <w:snapToGrid w:val="0"/>
        <w:spacing w:line="360" w:lineRule="auto"/>
        <w:jc w:val="center"/>
        <w:outlineLvl w:val="0"/>
        <w:rPr>
          <w:rFonts w:ascii="方正小标宋简体" w:hAnsi="宋体" w:eastAsia="方正小标宋简体"/>
          <w:color w:val="000000"/>
          <w:sz w:val="44"/>
          <w:szCs w:val="44"/>
        </w:rPr>
      </w:pPr>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0"/>
      <w:bookmarkEnd w:id="1"/>
      <w:bookmarkEnd w:id="2"/>
      <w:bookmarkEnd w:id="3"/>
      <w:bookmarkEnd w:id="4"/>
    </w:p>
    <w:p>
      <w:pPr>
        <w:adjustRightInd w:val="0"/>
        <w:snapToGrid w:val="0"/>
        <w:spacing w:line="360" w:lineRule="auto"/>
        <w:jc w:val="center"/>
        <w:outlineLvl w:val="0"/>
        <w:rPr>
          <w:rFonts w:ascii="方正小标宋简体" w:hAnsi="宋体" w:eastAsia="方正小标宋简体"/>
          <w:color w:val="000000"/>
          <w:sz w:val="44"/>
          <w:szCs w:val="44"/>
        </w:rPr>
      </w:pPr>
      <w:bookmarkStart w:id="5" w:name="_Toc15396476"/>
      <w:bookmarkStart w:id="6" w:name="_Toc15377194"/>
      <w:bookmarkStart w:id="7" w:name="_Toc15378442"/>
      <w:bookmarkStart w:id="8" w:name="_Toc15396598"/>
      <w:bookmarkStart w:id="9" w:name="_Toc15377426"/>
      <w:r>
        <w:rPr>
          <w:rFonts w:hint="eastAsia" w:ascii="方正小标宋简体" w:hAnsi="宋体" w:eastAsia="方正小标宋简体"/>
          <w:color w:val="000000"/>
          <w:sz w:val="44"/>
          <w:szCs w:val="44"/>
        </w:rPr>
        <w:t>四川省阿坝州</w:t>
      </w:r>
      <w:bookmarkStart w:id="10" w:name="_Toc15306268"/>
      <w:r>
        <w:rPr>
          <w:rFonts w:hint="eastAsia" w:ascii="方正小标宋简体" w:hAnsi="宋体" w:eastAsia="方正小标宋简体"/>
          <w:color w:val="000000"/>
          <w:sz w:val="44"/>
          <w:szCs w:val="44"/>
          <w:lang w:eastAsia="zh-CN"/>
        </w:rPr>
        <w:t>茂县城乡居民养老保险事务中心</w:t>
      </w:r>
      <w:r>
        <w:rPr>
          <w:rFonts w:hint="eastAsia" w:ascii="方正小标宋简体" w:hAnsi="宋体" w:eastAsia="方正小标宋简体"/>
          <w:color w:val="000000"/>
          <w:sz w:val="44"/>
          <w:szCs w:val="44"/>
        </w:rPr>
        <w:t>部门决算</w:t>
      </w:r>
      <w:bookmarkEnd w:id="5"/>
      <w:bookmarkEnd w:id="6"/>
      <w:bookmarkEnd w:id="7"/>
      <w:bookmarkEnd w:id="8"/>
      <w:bookmarkEnd w:id="9"/>
      <w:bookmarkEnd w:id="10"/>
    </w:p>
    <w:p>
      <w:pPr/>
    </w:p>
    <w:p>
      <w:pPr/>
    </w:p>
    <w:p>
      <w:pPr/>
    </w:p>
    <w:p>
      <w:pPr/>
    </w:p>
    <w:p>
      <w:pPr/>
    </w:p>
    <w:p>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hint="eastAsia" w:ascii="仿宋_GB2312" w:hAnsi="Calibri" w:eastAsia="仿宋_GB2312" w:cs="仿宋_GB2312"/>
          <w:sz w:val="32"/>
          <w:szCs w:val="32"/>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ind w:firstLine="1280" w:firstLineChars="400"/>
      </w:pPr>
      <w:r>
        <w:rPr>
          <w:rFonts w:hint="eastAsia" w:ascii="仿宋_GB2312" w:eastAsia="仿宋_GB2312" w:cs="仿宋_GB2312"/>
          <w:sz w:val="32"/>
          <w:szCs w:val="32"/>
        </w:rPr>
        <w:t>部门主要负责人审签情况：</w:t>
      </w:r>
    </w:p>
    <w:p>
      <w:pPr/>
    </w:p>
    <w:p>
      <w:pPr/>
    </w:p>
    <w:p>
      <w:pPr/>
    </w:p>
    <w:p>
      <w:pPr>
        <w:widowControl/>
        <w:jc w:val="center"/>
        <w:rPr>
          <w:rFonts w:hint="eastAsia" w:ascii="黑体" w:hAnsi="黑体" w:eastAsia="黑体"/>
          <w:color w:val="000000"/>
          <w:sz w:val="48"/>
          <w:szCs w:val="48"/>
          <w:lang w:val="en-US" w:eastAsia="zh-CN"/>
        </w:rPr>
      </w:pPr>
      <w:r>
        <w:rPr>
          <w:rFonts w:hint="eastAsia" w:ascii="黑体" w:hAnsi="黑体" w:eastAsia="黑体"/>
          <w:color w:val="000000"/>
          <w:sz w:val="48"/>
          <w:szCs w:val="48"/>
          <w:lang w:val="en-US" w:eastAsia="zh-CN"/>
        </w:rPr>
        <w:t xml:space="preserve">   </w:t>
      </w:r>
    </w:p>
    <w:p>
      <w:pPr>
        <w:widowControl/>
        <w:jc w:val="center"/>
        <w:rPr>
          <w:rFonts w:hint="eastAsia" w:ascii="黑体" w:hAnsi="黑体" w:eastAsia="黑体"/>
          <w:color w:val="000000"/>
          <w:sz w:val="48"/>
          <w:szCs w:val="48"/>
          <w:lang w:val="en-US" w:eastAsia="zh-CN"/>
        </w:rPr>
      </w:pPr>
    </w:p>
    <w:p>
      <w:pPr>
        <w:widowControl/>
        <w:jc w:val="center"/>
        <w:rPr>
          <w:rFonts w:hint="eastAsia" w:ascii="黑体" w:hAnsi="黑体" w:eastAsia="黑体"/>
          <w:color w:val="000000"/>
          <w:sz w:val="48"/>
          <w:szCs w:val="48"/>
          <w:lang w:val="en-US" w:eastAsia="zh-CN"/>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widowControl/>
        <w:jc w:val="center"/>
        <w:rPr>
          <w:rFonts w:ascii="黑体" w:hAnsi="黑体" w:eastAsia="黑体" w:cstheme="minorBidi"/>
          <w:sz w:val="28"/>
          <w:szCs w:val="28"/>
        </w:rPr>
      </w:pPr>
    </w:p>
    <w:p>
      <w:pPr/>
    </w:p>
    <w:p>
      <w:pPr>
        <w:pStyle w:val="7"/>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p>
    <w:p>
      <w:pPr>
        <w:pStyle w:val="7"/>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第二部分</w:t>
      </w:r>
      <w:r>
        <w:rPr>
          <w:rFonts w:hint="eastAsia" w:ascii="仿宋_GB2312" w:hAnsi="仿宋_GB2312" w:eastAsia="仿宋_GB2312" w:cs="仿宋_GB2312"/>
          <w:sz w:val="32"/>
          <w:szCs w:val="32"/>
          <w:lang w:val="en-US" w:eastAsia="zh-CN"/>
        </w:rPr>
        <w:t xml:space="preserve"> 2019年</w:t>
      </w:r>
      <w:r>
        <w:rPr>
          <w:rFonts w:hint="eastAsia" w:ascii="仿宋_GB2312" w:hAnsi="仿宋_GB2312" w:eastAsia="仿宋_GB2312" w:cs="仿宋_GB2312"/>
          <w:sz w:val="32"/>
          <w:szCs w:val="32"/>
        </w:rPr>
        <w:t>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p>
    <w:p>
      <w:pPr>
        <w:pStyle w:val="8"/>
        <w:keepNext w:val="0"/>
        <w:keepLines w:val="0"/>
        <w:pageBreakBefore w:val="0"/>
        <w:widowControl w:val="0"/>
        <w:kinsoku/>
        <w:wordWrap/>
        <w:overflowPunct/>
        <w:topLinePunct w:val="0"/>
        <w:autoSpaceDE/>
        <w:autoSpaceDN/>
        <w:bidi w:val="0"/>
        <w:adjustRightInd w:val="0"/>
        <w:snapToGrid w:val="0"/>
        <w:spacing w:line="576" w:lineRule="exact"/>
        <w:ind w:left="0" w:leftChars="0" w:firstLine="419" w:firstLineChars="131"/>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p>
    <w:p>
      <w:pPr>
        <w:pStyle w:val="8"/>
        <w:keepNext w:val="0"/>
        <w:keepLines w:val="0"/>
        <w:pageBreakBefore w:val="0"/>
        <w:widowControl w:val="0"/>
        <w:kinsoku/>
        <w:wordWrap/>
        <w:overflowPunct/>
        <w:topLinePunct w:val="0"/>
        <w:autoSpaceDE/>
        <w:autoSpaceDN/>
        <w:bidi w:val="0"/>
        <w:adjustRightInd w:val="0"/>
        <w:snapToGrid w:val="0"/>
        <w:spacing w:line="576" w:lineRule="exact"/>
        <w:ind w:left="0" w:leftChars="0" w:firstLine="419" w:firstLineChars="131"/>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p>
    <w:p>
      <w:pPr>
        <w:pStyle w:val="8"/>
        <w:keepNext w:val="0"/>
        <w:keepLines w:val="0"/>
        <w:pageBreakBefore w:val="0"/>
        <w:widowControl w:val="0"/>
        <w:kinsoku/>
        <w:wordWrap/>
        <w:overflowPunct/>
        <w:topLinePunct w:val="0"/>
        <w:autoSpaceDE/>
        <w:autoSpaceDN/>
        <w:bidi w:val="0"/>
        <w:adjustRightInd w:val="0"/>
        <w:snapToGrid w:val="0"/>
        <w:spacing w:line="576" w:lineRule="exact"/>
        <w:ind w:left="0" w:leftChars="0" w:firstLine="419" w:firstLineChars="131"/>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p>
    <w:p>
      <w:pPr>
        <w:pStyle w:val="8"/>
        <w:keepNext w:val="0"/>
        <w:keepLines w:val="0"/>
        <w:pageBreakBefore w:val="0"/>
        <w:widowControl w:val="0"/>
        <w:kinsoku/>
        <w:wordWrap/>
        <w:overflowPunct/>
        <w:topLinePunct w:val="0"/>
        <w:autoSpaceDE/>
        <w:autoSpaceDN/>
        <w:bidi w:val="0"/>
        <w:adjustRightInd w:val="0"/>
        <w:snapToGrid w:val="0"/>
        <w:spacing w:line="576" w:lineRule="exact"/>
        <w:ind w:left="0" w:leftChars="0" w:firstLine="419" w:firstLineChars="131"/>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p>
    <w:p>
      <w:pPr>
        <w:pStyle w:val="8"/>
        <w:keepNext w:val="0"/>
        <w:keepLines w:val="0"/>
        <w:pageBreakBefore w:val="0"/>
        <w:widowControl w:val="0"/>
        <w:kinsoku/>
        <w:wordWrap/>
        <w:overflowPunct/>
        <w:topLinePunct w:val="0"/>
        <w:autoSpaceDE/>
        <w:autoSpaceDN/>
        <w:bidi w:val="0"/>
        <w:adjustRightInd w:val="0"/>
        <w:snapToGrid w:val="0"/>
        <w:spacing w:line="576" w:lineRule="exact"/>
        <w:ind w:left="0" w:leftChars="0" w:firstLine="419" w:firstLineChars="131"/>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p>
    <w:p>
      <w:pPr>
        <w:pStyle w:val="8"/>
        <w:keepNext w:val="0"/>
        <w:keepLines w:val="0"/>
        <w:pageBreakBefore w:val="0"/>
        <w:widowControl w:val="0"/>
        <w:kinsoku/>
        <w:wordWrap/>
        <w:overflowPunct/>
        <w:topLinePunct w:val="0"/>
        <w:autoSpaceDE/>
        <w:autoSpaceDN/>
        <w:bidi w:val="0"/>
        <w:adjustRightInd w:val="0"/>
        <w:snapToGrid w:val="0"/>
        <w:spacing w:line="576" w:lineRule="exact"/>
        <w:ind w:left="0" w:leftChars="0" w:firstLine="419" w:firstLineChars="131"/>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8"/>
        <w:keepNext w:val="0"/>
        <w:keepLines w:val="0"/>
        <w:pageBreakBefore w:val="0"/>
        <w:widowControl w:val="0"/>
        <w:kinsoku/>
        <w:wordWrap/>
        <w:overflowPunct/>
        <w:topLinePunct w:val="0"/>
        <w:autoSpaceDE/>
        <w:autoSpaceDN/>
        <w:bidi w:val="0"/>
        <w:adjustRightInd w:val="0"/>
        <w:snapToGrid w:val="0"/>
        <w:spacing w:line="576" w:lineRule="exact"/>
        <w:ind w:left="0" w:leftChars="0" w:firstLine="419" w:firstLineChars="131"/>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8"/>
        <w:keepNext w:val="0"/>
        <w:keepLines w:val="0"/>
        <w:pageBreakBefore w:val="0"/>
        <w:widowControl w:val="0"/>
        <w:kinsoku/>
        <w:wordWrap/>
        <w:overflowPunct/>
        <w:topLinePunct w:val="0"/>
        <w:autoSpaceDE/>
        <w:autoSpaceDN/>
        <w:bidi w:val="0"/>
        <w:adjustRightInd w:val="0"/>
        <w:snapToGrid w:val="0"/>
        <w:spacing w:line="576" w:lineRule="exact"/>
        <w:ind w:left="0" w:leftChars="0" w:firstLine="419" w:firstLineChars="131"/>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8"/>
        <w:keepNext w:val="0"/>
        <w:keepLines w:val="0"/>
        <w:pageBreakBefore w:val="0"/>
        <w:widowControl w:val="0"/>
        <w:kinsoku/>
        <w:wordWrap/>
        <w:overflowPunct/>
        <w:topLinePunct w:val="0"/>
        <w:autoSpaceDE/>
        <w:autoSpaceDN/>
        <w:bidi w:val="0"/>
        <w:adjustRightInd w:val="0"/>
        <w:snapToGrid w:val="0"/>
        <w:spacing w:line="576" w:lineRule="exact"/>
        <w:ind w:left="0" w:leftChars="0" w:firstLine="419" w:firstLineChars="131"/>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8"/>
        <w:keepNext w:val="0"/>
        <w:keepLines w:val="0"/>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sz w:val="32"/>
          <w:szCs w:val="32"/>
          <w:lang w:val="en-US" w:eastAsia="zh-CN"/>
        </w:rPr>
      </w:pPr>
      <w:r>
        <w:rPr>
          <w:rStyle w:val="11"/>
          <w:rFonts w:hint="eastAsia" w:ascii="仿宋_GB2312" w:hAnsi="仿宋_GB2312" w:eastAsia="仿宋_GB2312" w:cs="仿宋_GB2312"/>
          <w:color w:val="000000" w:themeColor="text1"/>
          <w:sz w:val="32"/>
          <w:szCs w:val="32"/>
          <w:u w:val="none"/>
          <w14:textFill>
            <w14:solidFill>
              <w14:schemeClr w14:val="tx1"/>
            </w14:solidFill>
          </w14:textFill>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p>
    <w:p>
      <w:pPr>
        <w:pStyle w:val="7"/>
        <w:keepNext w:val="0"/>
        <w:keepLines w:val="0"/>
        <w:pageBreakBefore w:val="0"/>
        <w:widowControl w:val="0"/>
        <w:kinsoku/>
        <w:wordWrap/>
        <w:overflowPunct/>
        <w:topLinePunct w:val="0"/>
        <w:autoSpaceDE/>
        <w:autoSpaceDN/>
        <w:bidi w:val="0"/>
        <w:spacing w:line="576"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12</w:t>
      </w:r>
    </w:p>
    <w:p>
      <w:pPr>
        <w:pStyle w:val="7"/>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茂县城乡居民养老保险事务中心</w:t>
      </w:r>
      <w:r>
        <w:rPr>
          <w:rFonts w:hint="eastAsia" w:ascii="仿宋_GB2312" w:hAnsi="仿宋_GB2312" w:eastAsia="仿宋_GB2312" w:cs="仿宋_GB2312"/>
          <w:sz w:val="32"/>
          <w:szCs w:val="32"/>
          <w:lang w:val="en-US" w:eastAsia="zh-CN"/>
        </w:rPr>
        <w:t>2019年部门整体支出绩效评价报告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省级财政代缴资金项目</w:t>
      </w:r>
      <w:r>
        <w:rPr>
          <w:rFonts w:hint="eastAsia" w:ascii="仿宋_GB2312" w:hAnsi="仿宋_GB2312" w:eastAsia="仿宋_GB2312" w:cs="仿宋_GB2312"/>
          <w:sz w:val="32"/>
          <w:szCs w:val="32"/>
          <w:lang w:val="en-US" w:eastAsia="zh-CN"/>
        </w:rPr>
        <w:t>2019年绩效评价报告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20</w:t>
      </w:r>
    </w:p>
    <w:p>
      <w:pPr>
        <w:pStyle w:val="7"/>
        <w:keepNext w:val="0"/>
        <w:keepLines w:val="0"/>
        <w:pageBreakBefore w:val="0"/>
        <w:widowControl w:val="0"/>
        <w:kinsoku/>
        <w:wordWrap/>
        <w:overflowPunct/>
        <w:topLinePunct w:val="0"/>
        <w:autoSpaceDE/>
        <w:autoSpaceDN/>
        <w:bidi w:val="0"/>
        <w:adjustRightInd w:val="0"/>
        <w:snapToGrid w:val="0"/>
        <w:spacing w:before="0" w:line="576"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pStyle w:val="8"/>
        <w:keepNext w:val="0"/>
        <w:keepLines w:val="0"/>
        <w:pageBreakBefore w:val="0"/>
        <w:widowControl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25</w:t>
      </w:r>
    </w:p>
    <w:p>
      <w:pPr>
        <w:keepNext w:val="0"/>
        <w:keepLines w:val="0"/>
        <w:pageBreakBefore w:val="0"/>
        <w:widowControl w:val="0"/>
        <w:kinsoku/>
        <w:wordWrap/>
        <w:overflowPunct/>
        <w:topLinePunct w:val="0"/>
        <w:autoSpaceDE/>
        <w:autoSpaceDN/>
        <w:bidi w:val="0"/>
        <w:spacing w:line="576" w:lineRule="exact"/>
        <w:textAlignment w:val="auto"/>
      </w:pPr>
    </w:p>
    <w:p>
      <w:pPr>
        <w:keepNext w:val="0"/>
        <w:keepLines w:val="0"/>
        <w:pageBreakBefore w:val="0"/>
        <w:widowControl w:val="0"/>
        <w:kinsoku/>
        <w:wordWrap/>
        <w:overflowPunct/>
        <w:topLinePunct w:val="0"/>
        <w:autoSpaceDE/>
        <w:autoSpaceDN/>
        <w:bidi w:val="0"/>
        <w:spacing w:line="576" w:lineRule="exact"/>
        <w:textAlignment w:val="auto"/>
      </w:pPr>
    </w:p>
    <w:p>
      <w:pPr>
        <w:keepNext w:val="0"/>
        <w:keepLines w:val="0"/>
        <w:pageBreakBefore w:val="0"/>
        <w:widowControl w:val="0"/>
        <w:kinsoku/>
        <w:wordWrap/>
        <w:overflowPunct/>
        <w:topLinePunct w:val="0"/>
        <w:autoSpaceDE/>
        <w:autoSpaceDN/>
        <w:bidi w:val="0"/>
        <w:spacing w:line="576" w:lineRule="exact"/>
        <w:textAlignment w:val="auto"/>
      </w:pPr>
    </w:p>
    <w:p>
      <w:pPr>
        <w:keepNext w:val="0"/>
        <w:keepLines w:val="0"/>
        <w:pageBreakBefore w:val="0"/>
        <w:widowControl w:val="0"/>
        <w:kinsoku/>
        <w:wordWrap/>
        <w:overflowPunct/>
        <w:topLinePunct w:val="0"/>
        <w:autoSpaceDE/>
        <w:autoSpaceDN/>
        <w:bidi w:val="0"/>
        <w:spacing w:line="576" w:lineRule="exact"/>
        <w:textAlignment w:val="auto"/>
      </w:pPr>
    </w:p>
    <w:p>
      <w:pPr>
        <w:keepNext w:val="0"/>
        <w:keepLines w:val="0"/>
        <w:pageBreakBefore w:val="0"/>
        <w:widowControl w:val="0"/>
        <w:kinsoku/>
        <w:wordWrap/>
        <w:overflowPunct/>
        <w:topLinePunct w:val="0"/>
        <w:autoSpaceDE/>
        <w:autoSpaceDN/>
        <w:bidi w:val="0"/>
        <w:spacing w:line="576" w:lineRule="exact"/>
        <w:textAlignment w:val="auto"/>
      </w:pPr>
    </w:p>
    <w:p>
      <w:pPr>
        <w:keepNext w:val="0"/>
        <w:keepLines w:val="0"/>
        <w:pageBreakBefore w:val="0"/>
        <w:widowControl w:val="0"/>
        <w:kinsoku/>
        <w:wordWrap/>
        <w:overflowPunct/>
        <w:topLinePunct w:val="0"/>
        <w:autoSpaceDE/>
        <w:autoSpaceDN/>
        <w:bidi w:val="0"/>
        <w:spacing w:line="576" w:lineRule="exact"/>
        <w:textAlignment w:val="auto"/>
      </w:pPr>
    </w:p>
    <w:p>
      <w:pPr>
        <w:keepNext w:val="0"/>
        <w:keepLines w:val="0"/>
        <w:pageBreakBefore w:val="0"/>
        <w:widowControl w:val="0"/>
        <w:kinsoku/>
        <w:wordWrap/>
        <w:overflowPunct/>
        <w:topLinePunct w:val="0"/>
        <w:autoSpaceDE/>
        <w:autoSpaceDN/>
        <w:bidi w:val="0"/>
        <w:spacing w:line="576" w:lineRule="exact"/>
        <w:textAlignment w:val="auto"/>
      </w:pPr>
    </w:p>
    <w:p>
      <w:pPr>
        <w:keepNext w:val="0"/>
        <w:keepLines w:val="0"/>
        <w:pageBreakBefore w:val="0"/>
        <w:widowControl w:val="0"/>
        <w:kinsoku/>
        <w:wordWrap/>
        <w:overflowPunct/>
        <w:topLinePunct w:val="0"/>
        <w:autoSpaceDE/>
        <w:autoSpaceDN/>
        <w:bidi w:val="0"/>
        <w:spacing w:line="576" w:lineRule="exact"/>
        <w:textAlignment w:val="auto"/>
      </w:pPr>
    </w:p>
    <w:p>
      <w:pPr>
        <w:keepNext w:val="0"/>
        <w:keepLines w:val="0"/>
        <w:pageBreakBefore w:val="0"/>
        <w:widowControl w:val="0"/>
        <w:kinsoku/>
        <w:wordWrap/>
        <w:overflowPunct/>
        <w:topLinePunct w:val="0"/>
        <w:autoSpaceDE/>
        <w:autoSpaceDN/>
        <w:bidi w:val="0"/>
        <w:spacing w:line="576" w:lineRule="exact"/>
        <w:textAlignment w:val="auto"/>
      </w:pPr>
    </w:p>
    <w:p>
      <w:pPr>
        <w:keepNext w:val="0"/>
        <w:keepLines w:val="0"/>
        <w:pageBreakBefore w:val="0"/>
        <w:widowControl w:val="0"/>
        <w:kinsoku/>
        <w:wordWrap/>
        <w:overflowPunct/>
        <w:topLinePunct w:val="0"/>
        <w:autoSpaceDE/>
        <w:autoSpaceDN/>
        <w:bidi w:val="0"/>
        <w:spacing w:line="576" w:lineRule="exact"/>
        <w:textAlignment w:val="auto"/>
      </w:pPr>
    </w:p>
    <w:p>
      <w:pPr/>
    </w:p>
    <w:p>
      <w:pPr>
        <w:numPr>
          <w:ilvl w:val="0"/>
          <w:numId w:val="1"/>
        </w:numPr>
        <w:spacing w:line="576" w:lineRule="exact"/>
        <w:jc w:val="center"/>
        <w:rPr>
          <w:rStyle w:val="13"/>
          <w:rFonts w:hint="eastAsia" w:ascii="黑体" w:hAnsi="黑体" w:eastAsia="黑体" w:cs="黑体"/>
          <w:b w:val="0"/>
          <w:bCs w:val="0"/>
        </w:rPr>
      </w:pPr>
      <w:r>
        <w:rPr>
          <w:rStyle w:val="13"/>
          <w:rFonts w:hint="eastAsia" w:ascii="黑体" w:hAnsi="黑体" w:eastAsia="黑体" w:cs="黑体"/>
          <w:b w:val="0"/>
          <w:bCs w:val="0"/>
        </w:rPr>
        <w:t>部门概况</w:t>
      </w:r>
    </w:p>
    <w:p>
      <w:pPr>
        <w:numPr>
          <w:ilvl w:val="0"/>
          <w:numId w:val="0"/>
        </w:numPr>
        <w:spacing w:line="576" w:lineRule="exact"/>
        <w:jc w:val="both"/>
        <w:rPr>
          <w:rStyle w:val="13"/>
          <w:rFonts w:hint="eastAsia" w:ascii="黑体" w:hAnsi="黑体" w:eastAsia="黑体" w:cs="黑体"/>
          <w:b w:val="0"/>
          <w:bCs w:val="0"/>
        </w:rPr>
      </w:pP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ascii="楷体" w:hAnsi="楷体" w:eastAsia="楷体" w:cs="楷体"/>
          <w:bCs/>
          <w:sz w:val="32"/>
          <w:szCs w:val="32"/>
        </w:rPr>
      </w:pPr>
      <w:bookmarkStart w:id="11" w:name="_Toc15396600"/>
      <w:bookmarkStart w:id="12" w:name="_Toc15377197"/>
      <w:r>
        <w:rPr>
          <w:rFonts w:hint="eastAsia" w:ascii="黑体" w:hAnsi="黑体" w:eastAsia="黑体"/>
          <w:color w:val="000000"/>
          <w:sz w:val="32"/>
          <w:szCs w:val="32"/>
        </w:rPr>
        <w:t>一、基</w:t>
      </w:r>
      <w:r>
        <w:rPr>
          <w:rStyle w:val="14"/>
          <w:rFonts w:hint="eastAsia" w:ascii="黑体" w:hAnsi="黑体" w:eastAsia="黑体"/>
          <w:b w:val="0"/>
          <w:bCs w:val="0"/>
        </w:rPr>
        <w:t>本职能及主要工</w:t>
      </w:r>
      <w:bookmarkEnd w:id="11"/>
      <w:bookmarkEnd w:id="12"/>
      <w:r>
        <w:rPr>
          <w:rStyle w:val="14"/>
          <w:rFonts w:hint="eastAsia" w:ascii="黑体" w:hAnsi="黑体" w:eastAsia="黑体"/>
          <w:b w:val="0"/>
          <w:bCs w:val="0"/>
        </w:rPr>
        <w:t>作</w:t>
      </w:r>
    </w:p>
    <w:p>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textAlignment w:val="auto"/>
        <w:rPr>
          <w:rFonts w:ascii="楷体" w:hAnsi="楷体" w:eastAsia="楷体" w:cs="楷体"/>
          <w:b/>
          <w:bCs w:val="0"/>
          <w:sz w:val="32"/>
          <w:szCs w:val="32"/>
        </w:rPr>
      </w:pPr>
      <w:r>
        <w:rPr>
          <w:rFonts w:hint="eastAsia" w:ascii="楷体" w:hAnsi="楷体" w:eastAsia="楷体" w:cs="楷体"/>
          <w:b/>
          <w:bCs w:val="0"/>
          <w:sz w:val="32"/>
          <w:szCs w:val="32"/>
        </w:rPr>
        <w:t>（一）主要职能</w:t>
      </w:r>
    </w:p>
    <w:p>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我</w:t>
      </w:r>
      <w:r>
        <w:rPr>
          <w:rFonts w:hint="eastAsia" w:ascii="仿宋_GB2312" w:eastAsia="仿宋_GB2312"/>
          <w:sz w:val="32"/>
          <w:szCs w:val="32"/>
          <w:lang w:eastAsia="zh-CN"/>
        </w:rPr>
        <w:t>中心</w:t>
      </w:r>
      <w:r>
        <w:rPr>
          <w:rFonts w:hint="eastAsia" w:ascii="仿宋_GB2312" w:eastAsia="仿宋_GB2312"/>
          <w:sz w:val="32"/>
          <w:szCs w:val="32"/>
        </w:rPr>
        <w:t>负责宣传和贯彻执行城乡居民社会保险的有关政策；负责城乡居民养老保险基金</w:t>
      </w:r>
      <w:r>
        <w:rPr>
          <w:rFonts w:hint="eastAsia" w:ascii="仿宋_GB2312" w:eastAsia="仿宋_GB2312"/>
          <w:sz w:val="32"/>
          <w:szCs w:val="32"/>
          <w:lang w:eastAsia="zh-CN"/>
        </w:rPr>
        <w:t>的</w:t>
      </w:r>
      <w:r>
        <w:rPr>
          <w:rFonts w:hint="eastAsia" w:ascii="仿宋_GB2312" w:eastAsia="仿宋_GB2312"/>
          <w:sz w:val="32"/>
          <w:szCs w:val="32"/>
        </w:rPr>
        <w:t>运营管理，建立业务台账，统计</w:t>
      </w:r>
      <w:r>
        <w:rPr>
          <w:rFonts w:hint="eastAsia" w:ascii="仿宋_GB2312" w:eastAsia="仿宋_GB2312"/>
          <w:sz w:val="32"/>
          <w:szCs w:val="32"/>
          <w:lang w:eastAsia="zh-CN"/>
        </w:rPr>
        <w:t>相关</w:t>
      </w:r>
      <w:r>
        <w:rPr>
          <w:rFonts w:hint="eastAsia" w:ascii="仿宋_GB2312" w:eastAsia="仿宋_GB2312"/>
          <w:sz w:val="32"/>
          <w:szCs w:val="32"/>
        </w:rPr>
        <w:t>数据；负责为参保人员建立个人账户，办理保险关系转移、退保的等手续；负责养老金领取人员的资格审查，核算养老金给付标准和拨付养老金；负责跟踪监督养老金发放情况，掌握领取养老金人员动态，提出养老金的处理意见；负责指导各乡镇开展城乡居民养老保险业务。</w:t>
      </w:r>
    </w:p>
    <w:p>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（二）201</w:t>
      </w:r>
      <w:r>
        <w:rPr>
          <w:rFonts w:hint="eastAsia" w:ascii="楷体" w:hAnsi="楷体" w:eastAsia="楷体" w:cs="楷体"/>
          <w:b/>
          <w:bCs w:val="0"/>
          <w:sz w:val="32"/>
          <w:szCs w:val="32"/>
          <w:lang w:val="en-US" w:eastAsia="zh-CN"/>
        </w:rPr>
        <w:t>9</w:t>
      </w:r>
      <w:r>
        <w:rPr>
          <w:rFonts w:hint="eastAsia" w:ascii="楷体" w:hAnsi="楷体" w:eastAsia="楷体" w:cs="楷体"/>
          <w:b/>
          <w:bCs w:val="0"/>
          <w:sz w:val="32"/>
          <w:szCs w:val="32"/>
        </w:rPr>
        <w:t>年重点工作完成情况</w:t>
      </w:r>
    </w:p>
    <w:p>
      <w:pPr>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201</w:t>
      </w:r>
      <w:r>
        <w:rPr>
          <w:rFonts w:hint="eastAsia" w:ascii="仿宋_GB2312" w:hAnsi="仿宋" w:eastAsia="仿宋_GB2312" w:cs="仿宋"/>
          <w:sz w:val="32"/>
          <w:szCs w:val="32"/>
          <w:lang w:val="en-US" w:eastAsia="zh-CN"/>
        </w:rPr>
        <w:t>9</w:t>
      </w:r>
      <w:r>
        <w:rPr>
          <w:rFonts w:hint="eastAsia" w:ascii="仿宋_GB2312" w:hAnsi="仿宋" w:eastAsia="仿宋_GB2312" w:cs="仿宋"/>
          <w:sz w:val="32"/>
          <w:szCs w:val="32"/>
        </w:rPr>
        <w:t>年，我</w:t>
      </w:r>
      <w:r>
        <w:rPr>
          <w:rFonts w:hint="eastAsia" w:ascii="仿宋_GB2312" w:hAnsi="仿宋" w:eastAsia="仿宋_GB2312" w:cs="仿宋"/>
          <w:sz w:val="32"/>
          <w:szCs w:val="32"/>
          <w:lang w:eastAsia="zh-CN"/>
        </w:rPr>
        <w:t>中心</w:t>
      </w:r>
      <w:r>
        <w:rPr>
          <w:rFonts w:hint="eastAsia" w:ascii="仿宋_GB2312" w:hAnsi="仿宋" w:eastAsia="仿宋_GB2312" w:cs="仿宋"/>
          <w:sz w:val="32"/>
          <w:szCs w:val="32"/>
        </w:rPr>
        <w:t>在</w:t>
      </w:r>
      <w:r>
        <w:rPr>
          <w:rFonts w:hint="eastAsia" w:ascii="仿宋_GB2312" w:hAnsi="仿宋" w:eastAsia="仿宋_GB2312" w:cs="仿宋"/>
          <w:sz w:val="32"/>
          <w:szCs w:val="32"/>
          <w:lang w:eastAsia="zh-CN"/>
        </w:rPr>
        <w:t>县人民政府的领导下，州县</w:t>
      </w:r>
      <w:r>
        <w:rPr>
          <w:rFonts w:hint="eastAsia" w:ascii="仿宋_GB2312" w:hAnsi="仿宋" w:eastAsia="仿宋_GB2312" w:cs="仿宋"/>
          <w:sz w:val="32"/>
          <w:szCs w:val="32"/>
        </w:rPr>
        <w:t>人社局的</w:t>
      </w:r>
      <w:r>
        <w:rPr>
          <w:rFonts w:hint="eastAsia" w:ascii="仿宋_GB2312" w:hAnsi="仿宋" w:eastAsia="仿宋_GB2312" w:cs="仿宋"/>
          <w:sz w:val="32"/>
          <w:szCs w:val="32"/>
          <w:lang w:eastAsia="zh-CN"/>
        </w:rPr>
        <w:t>业务指导</w:t>
      </w:r>
      <w:r>
        <w:rPr>
          <w:rFonts w:hint="eastAsia" w:ascii="仿宋_GB2312" w:hAnsi="仿宋" w:eastAsia="仿宋_GB2312" w:cs="仿宋"/>
          <w:sz w:val="32"/>
          <w:szCs w:val="32"/>
        </w:rPr>
        <w:t>下认真贯彻执行国家、省有关城乡居民养老保险政策，完成</w:t>
      </w:r>
      <w:r>
        <w:rPr>
          <w:rFonts w:hint="eastAsia" w:ascii="仿宋_GB2312" w:hAnsi="仿宋" w:eastAsia="仿宋_GB2312" w:cs="仿宋"/>
          <w:sz w:val="32"/>
          <w:szCs w:val="32"/>
          <w:lang w:eastAsia="zh-CN"/>
        </w:rPr>
        <w:t>了</w:t>
      </w:r>
      <w:r>
        <w:rPr>
          <w:rFonts w:hint="eastAsia" w:ascii="仿宋_GB2312" w:hAnsi="仿宋" w:eastAsia="仿宋_GB2312" w:cs="仿宋"/>
          <w:sz w:val="32"/>
          <w:szCs w:val="32"/>
        </w:rPr>
        <w:t>全年民生目标任务，确保</w:t>
      </w:r>
      <w:r>
        <w:rPr>
          <w:rFonts w:hint="eastAsia" w:ascii="仿宋_GB2312" w:hAnsi="仿宋" w:eastAsia="仿宋_GB2312" w:cs="仿宋"/>
          <w:sz w:val="32"/>
          <w:szCs w:val="32"/>
          <w:lang w:eastAsia="zh-CN"/>
        </w:rPr>
        <w:t>城乡居民</w:t>
      </w:r>
      <w:r>
        <w:rPr>
          <w:rFonts w:hint="eastAsia" w:ascii="仿宋_GB2312" w:hAnsi="仿宋" w:eastAsia="仿宋_GB2312" w:cs="仿宋"/>
          <w:sz w:val="32"/>
          <w:szCs w:val="32"/>
        </w:rPr>
        <w:t>养老金按时足额发放。</w:t>
      </w:r>
    </w:p>
    <w:p>
      <w:pPr>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二、机构设置</w:t>
      </w:r>
    </w:p>
    <w:p>
      <w:pPr>
        <w:pStyle w:val="4"/>
        <w:keepNext w:val="0"/>
        <w:keepLines w:val="0"/>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茂县城乡居民养老保险</w:t>
      </w:r>
      <w:r>
        <w:rPr>
          <w:rFonts w:hint="eastAsia" w:ascii="仿宋_GB2312" w:hAnsi="仿宋_GB2312" w:eastAsia="仿宋_GB2312" w:cs="仿宋_GB2312"/>
          <w:sz w:val="32"/>
          <w:szCs w:val="32"/>
          <w:lang w:eastAsia="zh-CN"/>
        </w:rPr>
        <w:t>事务中心</w:t>
      </w:r>
      <w:r>
        <w:rPr>
          <w:rFonts w:hint="eastAsia" w:ascii="仿宋_GB2312" w:hAnsi="仿宋_GB2312" w:eastAsia="仿宋_GB2312" w:cs="仿宋_GB2312"/>
          <w:sz w:val="32"/>
          <w:szCs w:val="32"/>
        </w:rPr>
        <w:t>下属二级单位0个，其中行政单位0个，参照公务员法管理的事业单位</w:t>
      </w:r>
      <w:r>
        <w:rPr>
          <w:rFonts w:hint="eastAsia" w:ascii="仿宋_GB2312" w:hAnsi="仿宋_GB2312" w:eastAsia="仿宋_GB2312" w:cs="仿宋_GB2312"/>
          <w:bCs/>
          <w:sz w:val="32"/>
          <w:szCs w:val="32"/>
        </w:rPr>
        <w:t>0</w:t>
      </w:r>
      <w:r>
        <w:rPr>
          <w:rFonts w:hint="eastAsia" w:ascii="仿宋_GB2312" w:hAnsi="仿宋_GB2312" w:eastAsia="仿宋_GB2312" w:cs="仿宋_GB2312"/>
          <w:sz w:val="32"/>
          <w:szCs w:val="32"/>
        </w:rPr>
        <w:t>个，其他事业单位0个。</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color w:val="000000"/>
          <w:sz w:val="32"/>
          <w:szCs w:val="32"/>
        </w:rPr>
        <w:t>纳入</w:t>
      </w:r>
      <w:r>
        <w:rPr>
          <w:rFonts w:hint="eastAsia" w:ascii="仿宋_GB2312" w:hAnsi="仿宋_GB2312" w:eastAsia="仿宋_GB2312" w:cs="仿宋_GB2312"/>
          <w:color w:val="000000"/>
          <w:sz w:val="32"/>
          <w:szCs w:val="32"/>
          <w:lang w:eastAsia="zh-CN"/>
        </w:rPr>
        <w:t>我中心</w:t>
      </w:r>
      <w:r>
        <w:rPr>
          <w:rFonts w:hint="eastAsia" w:ascii="仿宋_GB2312" w:hAnsi="仿宋_GB2312" w:eastAsia="仿宋_GB2312" w:cs="仿宋_GB2312"/>
          <w:color w:val="000000"/>
          <w:sz w:val="32"/>
          <w:szCs w:val="32"/>
        </w:rPr>
        <w:t>2019年度部门决算编制范围的二级预算单位</w:t>
      </w:r>
      <w:bookmarkStart w:id="13" w:name="_Toc15396602"/>
      <w:bookmarkStart w:id="14" w:name="_Toc15377204"/>
      <w:r>
        <w:rPr>
          <w:rFonts w:hint="eastAsia" w:hAnsi="仿宋_GB2312" w:cs="仿宋_GB2312"/>
          <w:color w:val="000000"/>
          <w:sz w:val="32"/>
          <w:szCs w:val="32"/>
          <w:lang w:eastAsia="zh-CN"/>
        </w:rPr>
        <w:t>。</w:t>
      </w:r>
      <w:bookmarkStart w:id="35" w:name="_GoBack"/>
      <w:bookmarkEnd w:id="35"/>
    </w:p>
    <w:p>
      <w:pPr>
        <w:pStyle w:val="4"/>
        <w:keepNext w:val="0"/>
        <w:keepLines w:val="0"/>
        <w:pageBreakBefore w:val="0"/>
        <w:widowControl w:val="0"/>
        <w:kinsoku/>
        <w:wordWrap/>
        <w:overflowPunct/>
        <w:topLinePunct w:val="0"/>
        <w:autoSpaceDE/>
        <w:autoSpaceDN/>
        <w:bidi w:val="0"/>
        <w:adjustRightInd w:val="0"/>
        <w:snapToGrid w:val="0"/>
        <w:spacing w:before="93" w:line="576" w:lineRule="exact"/>
        <w:ind w:firstLine="440" w:firstLineChars="100"/>
        <w:jc w:val="center"/>
        <w:textAlignment w:val="auto"/>
        <w:rPr>
          <w:rStyle w:val="15"/>
          <w:rFonts w:hint="eastAsia" w:ascii="黑体" w:hAnsi="黑体" w:eastAsia="黑体"/>
          <w:b w:val="0"/>
          <w:bCs w:val="0"/>
        </w:rPr>
      </w:pPr>
      <w:r>
        <w:rPr>
          <w:rStyle w:val="15"/>
          <w:rFonts w:hint="eastAsia" w:ascii="黑体" w:hAnsi="黑体" w:eastAsia="黑体"/>
          <w:b w:val="0"/>
          <w:bCs w:val="0"/>
          <w:lang w:val="en-US" w:eastAsia="zh-CN"/>
        </w:rPr>
        <w:t xml:space="preserve">第二部分 </w:t>
      </w:r>
      <w:r>
        <w:rPr>
          <w:rStyle w:val="15"/>
          <w:rFonts w:hint="eastAsia" w:ascii="黑体" w:hAnsi="黑体" w:eastAsia="黑体"/>
          <w:b w:val="0"/>
          <w:bCs w:val="0"/>
        </w:rPr>
        <w:t>2019年度部门决算情况说明</w:t>
      </w:r>
      <w:bookmarkEnd w:id="13"/>
      <w:bookmarkEnd w:id="14"/>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0"/>
        <w:rPr>
          <w:rStyle w:val="14"/>
          <w:rFonts w:ascii="黑体" w:hAnsi="黑体" w:eastAsia="黑体"/>
          <w:b w:val="0"/>
          <w:bCs w:val="0"/>
        </w:rPr>
      </w:pPr>
      <w:r>
        <w:rPr>
          <w:rStyle w:val="14"/>
          <w:rFonts w:hint="eastAsia" w:ascii="黑体" w:hAnsi="黑体" w:eastAsia="黑体"/>
          <w:b w:val="0"/>
          <w:bCs w:val="0"/>
        </w:rPr>
        <w:t>一、收入支出决算总体情况说明</w:t>
      </w:r>
    </w:p>
    <w:p>
      <w:pPr>
        <w:pStyle w:val="4"/>
        <w:keepNext w:val="0"/>
        <w:keepLines w:val="0"/>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271.80</w:t>
      </w:r>
      <w:r>
        <w:rPr>
          <w:rFonts w:hint="eastAsia" w:ascii="仿宋_GB2312" w:hAnsi="仿宋_GB2312" w:eastAsia="仿宋_GB2312" w:cs="仿宋_GB2312"/>
          <w:sz w:val="32"/>
          <w:szCs w:val="32"/>
        </w:rPr>
        <w:t>万元。与201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年相比，收、支总计各增加</w:t>
      </w:r>
      <w:r>
        <w:rPr>
          <w:rFonts w:hint="eastAsia" w:ascii="仿宋_GB2312" w:hAnsi="仿宋_GB2312" w:eastAsia="仿宋_GB2312" w:cs="仿宋_GB2312"/>
          <w:sz w:val="32"/>
          <w:szCs w:val="32"/>
          <w:lang w:val="en-US" w:eastAsia="zh-CN"/>
        </w:rPr>
        <w:t>86.88</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46.98</w:t>
      </w:r>
      <w:r>
        <w:rPr>
          <w:rFonts w:hint="eastAsia" w:ascii="仿宋_GB2312" w:hAnsi="仿宋_GB2312" w:eastAsia="仿宋_GB2312" w:cs="仿宋_GB2312"/>
          <w:sz w:val="32"/>
          <w:szCs w:val="32"/>
        </w:rPr>
        <w:t>%。主要变动原因是</w:t>
      </w:r>
      <w:r>
        <w:rPr>
          <w:rFonts w:hint="eastAsia" w:hAnsi="仿宋_GB2312" w:cs="仿宋_GB2312"/>
          <w:sz w:val="32"/>
          <w:szCs w:val="32"/>
          <w:lang w:val="en-US" w:eastAsia="zh-CN"/>
        </w:rPr>
        <w:t>2019年存在项目支出101.58万元，2018年无项目支出。</w:t>
      </w:r>
    </w:p>
    <w:p>
      <w:pPr/>
      <w:r>
        <w:drawing>
          <wp:inline distT="0" distB="0" distL="0" distR="0">
            <wp:extent cx="5257800" cy="20193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16"/>
        <w:spacing w:line="576" w:lineRule="exact"/>
        <w:ind w:firstLine="640"/>
        <w:outlineLvl w:val="1"/>
        <w:rPr>
          <w:rStyle w:val="17"/>
          <w:rFonts w:ascii="黑体" w:hAnsi="黑体" w:eastAsia="黑体"/>
          <w:b w:val="0"/>
          <w:bCs w:val="0"/>
        </w:rPr>
      </w:pPr>
      <w:r>
        <w:rPr>
          <w:rFonts w:hint="eastAsia" w:ascii="黑体" w:hAnsi="黑体" w:eastAsia="黑体"/>
          <w:color w:val="000000"/>
          <w:sz w:val="32"/>
          <w:szCs w:val="32"/>
        </w:rPr>
        <w:t>二、收</w:t>
      </w:r>
      <w:r>
        <w:rPr>
          <w:rStyle w:val="17"/>
          <w:rFonts w:hint="eastAsia" w:ascii="黑体" w:hAnsi="黑体" w:eastAsia="黑体"/>
          <w:b w:val="0"/>
          <w:bCs w:val="0"/>
        </w:rPr>
        <w:t>入决算情况说明</w:t>
      </w:r>
    </w:p>
    <w:p>
      <w:pPr>
        <w:spacing w:line="576" w:lineRule="exact"/>
        <w:ind w:firstLine="640" w:firstLineChars="200"/>
        <w:outlineLvl w:val="1"/>
        <w:rPr>
          <w:rFonts w:hint="eastAsia" w:ascii="仿宋_GB2312" w:hAnsi="仿宋" w:eastAsia="仿宋_GB2312"/>
          <w:color w:val="000000"/>
          <w:sz w:val="32"/>
          <w:szCs w:val="32"/>
        </w:rPr>
      </w:pPr>
      <w:r>
        <w:rPr>
          <w:rFonts w:hint="eastAsia" w:ascii="仿宋_GB2312" w:hAnsi="仿宋" w:eastAsia="仿宋_GB2312"/>
          <w:color w:val="000000"/>
          <w:sz w:val="32"/>
          <w:szCs w:val="32"/>
        </w:rPr>
        <w:t>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年本年收入合计</w:t>
      </w:r>
      <w:r>
        <w:rPr>
          <w:rFonts w:hint="eastAsia" w:ascii="仿宋_GB2312" w:hAnsi="仿宋" w:eastAsia="仿宋_GB2312"/>
          <w:color w:val="000000"/>
          <w:sz w:val="32"/>
          <w:szCs w:val="32"/>
          <w:lang w:val="en-US" w:eastAsia="zh-CN"/>
        </w:rPr>
        <w:t>271.8</w:t>
      </w:r>
      <w:r>
        <w:rPr>
          <w:rFonts w:hint="eastAsia" w:ascii="仿宋_GB2312" w:hAnsi="仿宋" w:eastAsia="仿宋_GB2312"/>
          <w:color w:val="000000"/>
          <w:sz w:val="32"/>
          <w:szCs w:val="32"/>
        </w:rPr>
        <w:t>万元，其中：一般公共预算财政拨款收入</w:t>
      </w:r>
      <w:r>
        <w:rPr>
          <w:rFonts w:hint="eastAsia" w:ascii="仿宋_GB2312" w:hAnsi="仿宋" w:eastAsia="仿宋_GB2312"/>
          <w:color w:val="000000"/>
          <w:sz w:val="32"/>
          <w:szCs w:val="32"/>
          <w:lang w:val="en-US" w:eastAsia="zh-CN"/>
        </w:rPr>
        <w:t>271.8</w:t>
      </w:r>
      <w:r>
        <w:rPr>
          <w:rFonts w:hint="eastAsia" w:ascii="仿宋_GB2312" w:hAnsi="仿宋" w:eastAsia="仿宋_GB2312"/>
          <w:color w:val="000000"/>
          <w:sz w:val="32"/>
          <w:szCs w:val="32"/>
        </w:rPr>
        <w:t>万元，占100%；政府性基金预算财政拨款收入0万元，占0%</w:t>
      </w:r>
      <w:r>
        <w:rPr>
          <w:rFonts w:hint="eastAsia" w:ascii="仿宋_GB2312" w:hAnsi="仿宋" w:eastAsia="仿宋_GB2312"/>
          <w:color w:val="000000"/>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上级补助收入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 w:eastAsia="仿宋_GB2312"/>
          <w:color w:val="000000"/>
          <w:sz w:val="32"/>
          <w:szCs w:val="32"/>
        </w:rPr>
        <w:t>事业收入0万元，占0%；经营收入0万元，占0%；附属单位上缴收入0万元，占0%；其他收入0万元，占0%。</w:t>
      </w:r>
    </w:p>
    <w:p>
      <w:pPr/>
      <w:r>
        <w:drawing>
          <wp:inline distT="0" distB="0" distL="0" distR="0">
            <wp:extent cx="5086350" cy="139065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1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outlineLvl w:val="1"/>
        <w:rPr>
          <w:rStyle w:val="17"/>
          <w:rFonts w:ascii="黑体" w:hAnsi="黑体" w:eastAsia="黑体"/>
          <w:b w:val="0"/>
          <w:bCs w:val="0"/>
        </w:rPr>
      </w:pPr>
      <w:r>
        <w:rPr>
          <w:rFonts w:hint="eastAsia" w:ascii="黑体" w:hAnsi="黑体" w:eastAsia="黑体"/>
          <w:color w:val="000000"/>
          <w:sz w:val="32"/>
          <w:szCs w:val="32"/>
        </w:rPr>
        <w:t>三、支</w:t>
      </w:r>
      <w:r>
        <w:rPr>
          <w:rStyle w:val="17"/>
          <w:rFonts w:hint="eastAsia" w:ascii="黑体" w:hAnsi="黑体" w:eastAsia="黑体"/>
          <w:b w:val="0"/>
          <w:bCs w:val="0"/>
        </w:rPr>
        <w:t>出决算情况说明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pPr>
      <w:r>
        <w:rPr>
          <w:rFonts w:hint="eastAsia" w:ascii="仿宋_GB2312" w:hAnsi="仿宋" w:eastAsia="仿宋_GB2312"/>
          <w:color w:val="000000"/>
          <w:sz w:val="32"/>
          <w:szCs w:val="32"/>
        </w:rPr>
        <w:t>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年本年支出合计</w:t>
      </w:r>
      <w:r>
        <w:rPr>
          <w:rFonts w:hint="eastAsia" w:ascii="仿宋_GB2312" w:hAnsi="仿宋" w:eastAsia="仿宋_GB2312"/>
          <w:color w:val="000000"/>
          <w:sz w:val="32"/>
          <w:szCs w:val="32"/>
          <w:lang w:val="en-US" w:eastAsia="zh-CN"/>
        </w:rPr>
        <w:t>254.41</w:t>
      </w:r>
      <w:r>
        <w:rPr>
          <w:rFonts w:hint="eastAsia" w:ascii="仿宋_GB2312" w:hAnsi="仿宋" w:eastAsia="仿宋_GB2312"/>
          <w:color w:val="000000"/>
          <w:sz w:val="32"/>
          <w:szCs w:val="32"/>
        </w:rPr>
        <w:t>万元，其中：基本支出</w:t>
      </w:r>
      <w:r>
        <w:rPr>
          <w:rFonts w:hint="eastAsia" w:ascii="仿宋_GB2312" w:hAnsi="仿宋" w:eastAsia="仿宋_GB2312"/>
          <w:color w:val="000000"/>
          <w:sz w:val="32"/>
          <w:szCs w:val="32"/>
          <w:lang w:val="en-US" w:eastAsia="zh-CN"/>
        </w:rPr>
        <w:t>152.83</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60.07</w:t>
      </w: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101.58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39.93</w:t>
      </w:r>
      <w:r>
        <w:rPr>
          <w:rFonts w:hint="eastAsia" w:ascii="仿宋_GB2312" w:hAnsi="仿宋" w:eastAsia="仿宋_GB2312"/>
          <w:color w:val="000000"/>
          <w:sz w:val="32"/>
          <w:szCs w:val="32"/>
        </w:rPr>
        <w:t>%；上缴上级支出0万元，占0%；经营支出0万元，占0%；对附属单位补助支出0万元，占0%。</w:t>
      </w:r>
    </w:p>
    <w:p>
      <w:pPr/>
      <w:r>
        <w:drawing>
          <wp:inline distT="0" distB="0" distL="0" distR="0">
            <wp:extent cx="5153025" cy="1866900"/>
            <wp:effectExtent l="4445" t="4445" r="5080" b="14605"/>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tabs>
          <w:tab w:val="left" w:pos="1560"/>
        </w:tabs>
        <w:spacing w:line="576" w:lineRule="exact"/>
        <w:ind w:firstLine="640" w:firstLineChars="200"/>
      </w:pPr>
      <w:r>
        <w:rPr>
          <w:rFonts w:hint="eastAsia" w:ascii="黑体" w:hAnsi="黑体" w:eastAsia="黑体"/>
          <w:color w:val="000000"/>
          <w:sz w:val="32"/>
          <w:szCs w:val="32"/>
        </w:rPr>
        <w:t>四、财</w:t>
      </w:r>
      <w:r>
        <w:rPr>
          <w:rStyle w:val="17"/>
          <w:rFonts w:hint="eastAsia" w:ascii="黑体" w:hAnsi="黑体" w:eastAsia="黑体"/>
          <w:b w:val="0"/>
          <w:bCs w:val="0"/>
        </w:rPr>
        <w:t>政拨款收入支出决算总体情况说明</w:t>
      </w:r>
    </w:p>
    <w:p>
      <w:pPr>
        <w:pStyle w:val="4"/>
        <w:keepNext w:val="0"/>
        <w:keepLines w:val="0"/>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年度财政拨款收、支总计</w:t>
      </w:r>
      <w:r>
        <w:rPr>
          <w:rFonts w:hint="eastAsia" w:ascii="仿宋_GB2312" w:hAnsi="仿宋_GB2312" w:eastAsia="仿宋_GB2312" w:cs="仿宋_GB2312"/>
          <w:sz w:val="32"/>
          <w:szCs w:val="32"/>
          <w:lang w:val="en-US" w:eastAsia="zh-CN"/>
        </w:rPr>
        <w:t>271.8</w:t>
      </w:r>
      <w:r>
        <w:rPr>
          <w:rFonts w:hint="eastAsia" w:ascii="仿宋_GB2312" w:hAnsi="仿宋_GB2312" w:eastAsia="仿宋_GB2312" w:cs="仿宋_GB2312"/>
          <w:sz w:val="32"/>
          <w:szCs w:val="32"/>
        </w:rPr>
        <w:t>万元。与201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年相比，财政拨款收、支总计各增加</w:t>
      </w:r>
      <w:r>
        <w:rPr>
          <w:rFonts w:hint="eastAsia" w:ascii="仿宋_GB2312" w:hAnsi="仿宋_GB2312" w:eastAsia="仿宋_GB2312" w:cs="仿宋_GB2312"/>
          <w:sz w:val="32"/>
          <w:szCs w:val="32"/>
          <w:lang w:val="en-US" w:eastAsia="zh-CN"/>
        </w:rPr>
        <w:t>86.88</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46.98</w:t>
      </w:r>
      <w:r>
        <w:rPr>
          <w:rFonts w:hint="eastAsia" w:ascii="仿宋_GB2312" w:hAnsi="仿宋_GB2312" w:eastAsia="仿宋_GB2312" w:cs="仿宋_GB2312"/>
          <w:sz w:val="32"/>
          <w:szCs w:val="32"/>
        </w:rPr>
        <w:t>%。主要变动原因是</w:t>
      </w:r>
      <w:r>
        <w:rPr>
          <w:rFonts w:hint="eastAsia" w:hAnsi="仿宋_GB2312" w:cs="仿宋_GB2312"/>
          <w:sz w:val="32"/>
          <w:szCs w:val="32"/>
          <w:lang w:val="en-US" w:eastAsia="zh-CN"/>
        </w:rPr>
        <w:t>2019年存在项目支出101.58万元，2018年无项目支出。</w:t>
      </w:r>
    </w:p>
    <w:p>
      <w:pPr>
        <w:snapToGrid w:val="0"/>
        <w:spacing w:line="240" w:lineRule="auto"/>
        <w:ind w:firstLine="0" w:firstLineChars="0"/>
        <w:rPr>
          <w:rFonts w:ascii="仿宋_GB2312" w:hAnsi="仿宋" w:eastAsia="仿宋_GB2312" w:cs="仿宋"/>
          <w:sz w:val="32"/>
          <w:szCs w:val="32"/>
        </w:rPr>
      </w:pPr>
      <w:r>
        <w:drawing>
          <wp:inline distT="0" distB="0" distL="0" distR="0">
            <wp:extent cx="5257800" cy="1990725"/>
            <wp:effectExtent l="4445" t="4445" r="14605" b="508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kinsoku/>
        <w:wordWrap/>
        <w:overflowPunct/>
        <w:topLinePunct w:val="0"/>
        <w:autoSpaceDE/>
        <w:autoSpaceDN/>
        <w:bidi w:val="0"/>
        <w:spacing w:line="576" w:lineRule="exact"/>
        <w:ind w:firstLine="640" w:firstLineChars="200"/>
        <w:textAlignment w:val="auto"/>
      </w:pPr>
      <w:r>
        <w:rPr>
          <w:rFonts w:hint="eastAsia" w:ascii="黑体" w:hAnsi="黑体" w:eastAsia="黑体"/>
          <w:color w:val="000000"/>
          <w:sz w:val="32"/>
          <w:szCs w:val="32"/>
        </w:rPr>
        <w:t>五、</w:t>
      </w:r>
      <w:r>
        <w:rPr>
          <w:rFonts w:hint="eastAsia" w:ascii="黑体" w:hAnsi="黑体" w:eastAsia="黑体"/>
          <w:b/>
          <w:bCs/>
          <w:color w:val="000000"/>
          <w:sz w:val="32"/>
          <w:szCs w:val="32"/>
        </w:rPr>
        <w:t>一</w:t>
      </w:r>
      <w:r>
        <w:rPr>
          <w:rStyle w:val="17"/>
          <w:rFonts w:hint="eastAsia" w:ascii="黑体" w:hAnsi="黑体" w:eastAsia="黑体"/>
          <w:b w:val="0"/>
          <w:bCs w:val="0"/>
        </w:rPr>
        <w:t>般公共预算财政拨款支出决算情况说明</w:t>
      </w:r>
    </w:p>
    <w:p>
      <w:pPr>
        <w:keepNext w:val="0"/>
        <w:keepLines w:val="0"/>
        <w:pageBreakBefore w:val="0"/>
        <w:widowControl w:val="0"/>
        <w:kinsoku/>
        <w:wordWrap/>
        <w:overflowPunct/>
        <w:topLinePunct w:val="0"/>
        <w:autoSpaceDE/>
        <w:autoSpaceDN/>
        <w:bidi w:val="0"/>
        <w:spacing w:line="576" w:lineRule="exact"/>
        <w:ind w:firstLine="643" w:firstLineChars="200"/>
        <w:textAlignment w:val="auto"/>
        <w:rPr>
          <w:rFonts w:ascii="楷体" w:hAnsi="楷体" w:eastAsia="楷体" w:cs="楷体"/>
          <w:bCs/>
          <w:color w:val="000000"/>
          <w:sz w:val="32"/>
          <w:szCs w:val="32"/>
        </w:rPr>
      </w:pPr>
      <w:r>
        <w:rPr>
          <w:rFonts w:hint="eastAsia" w:ascii="楷体" w:hAnsi="楷体" w:eastAsia="楷体" w:cs="楷体"/>
          <w:b/>
          <w:bCs w:val="0"/>
          <w:sz w:val="32"/>
          <w:szCs w:val="32"/>
        </w:rPr>
        <w:t>（一）一般公共预算财政拨款支出决算总体情况</w:t>
      </w:r>
    </w:p>
    <w:p>
      <w:pPr>
        <w:pStyle w:val="4"/>
        <w:keepNext w:val="0"/>
        <w:keepLines w:val="0"/>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rPr>
          <w:rFonts w:hint="eastAsia" w:hAnsi="仿宋_GB2312" w:cs="仿宋_GB2312"/>
          <w:sz w:val="32"/>
          <w:szCs w:val="32"/>
          <w:lang w:val="en-US" w:eastAsia="zh-CN"/>
        </w:rPr>
      </w:pPr>
      <w:r>
        <w:rPr>
          <w:rFonts w:hint="eastAsia" w:ascii="仿宋_GB2312" w:hAnsi="仿宋" w:eastAsia="仿宋_GB2312"/>
          <w:sz w:val="32"/>
          <w:szCs w:val="32"/>
        </w:rPr>
        <w:t>201</w:t>
      </w:r>
      <w:r>
        <w:rPr>
          <w:rFonts w:hint="eastAsia" w:ascii="仿宋_GB2312" w:hAnsi="仿宋" w:eastAsia="仿宋_GB2312"/>
          <w:sz w:val="32"/>
          <w:szCs w:val="32"/>
          <w:lang w:val="en-US" w:eastAsia="zh-CN"/>
        </w:rPr>
        <w:t>9</w:t>
      </w:r>
      <w:r>
        <w:rPr>
          <w:rFonts w:hint="eastAsia" w:ascii="仿宋_GB2312" w:hAnsi="仿宋" w:eastAsia="仿宋_GB2312"/>
          <w:sz w:val="32"/>
          <w:szCs w:val="32"/>
        </w:rPr>
        <w:t>年一般公共预算财政拨款支出</w:t>
      </w:r>
      <w:r>
        <w:rPr>
          <w:rFonts w:hint="eastAsia" w:ascii="仿宋_GB2312" w:hAnsi="仿宋" w:eastAsia="仿宋_GB2312"/>
          <w:sz w:val="32"/>
          <w:szCs w:val="32"/>
          <w:lang w:val="en-US" w:eastAsia="zh-CN"/>
        </w:rPr>
        <w:t>254.41</w:t>
      </w:r>
      <w:r>
        <w:rPr>
          <w:rFonts w:hint="eastAsia" w:ascii="仿宋_GB2312" w:hAnsi="仿宋" w:eastAsia="仿宋_GB2312"/>
          <w:sz w:val="32"/>
          <w:szCs w:val="32"/>
        </w:rPr>
        <w:t>万元，占本年支出合计的100%。与201</w:t>
      </w:r>
      <w:r>
        <w:rPr>
          <w:rFonts w:hint="eastAsia" w:ascii="仿宋_GB2312" w:hAnsi="仿宋" w:eastAsia="仿宋_GB2312"/>
          <w:sz w:val="32"/>
          <w:szCs w:val="32"/>
          <w:lang w:val="en-US" w:eastAsia="zh-CN"/>
        </w:rPr>
        <w:t>8</w:t>
      </w:r>
      <w:r>
        <w:rPr>
          <w:rFonts w:hint="eastAsia" w:ascii="仿宋_GB2312" w:hAnsi="仿宋" w:eastAsia="仿宋_GB2312"/>
          <w:sz w:val="32"/>
          <w:szCs w:val="32"/>
        </w:rPr>
        <w:t>年相比，一般公共预算财政拨款</w:t>
      </w:r>
      <w:r>
        <w:rPr>
          <w:rFonts w:hint="eastAsia" w:ascii="仿宋_GB2312" w:hAnsi="仿宋_GB2312" w:eastAsia="仿宋_GB2312" w:cs="仿宋_GB2312"/>
          <w:sz w:val="32"/>
          <w:szCs w:val="32"/>
        </w:rPr>
        <w:t>增加</w:t>
      </w:r>
      <w:r>
        <w:rPr>
          <w:rFonts w:hint="eastAsia" w:ascii="仿宋_GB2312" w:hAnsi="仿宋_GB2312" w:eastAsia="仿宋_GB2312" w:cs="仿宋_GB2312"/>
          <w:sz w:val="32"/>
          <w:szCs w:val="32"/>
          <w:lang w:val="en-US" w:eastAsia="zh-CN"/>
        </w:rPr>
        <w:t>86.88</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46.98</w:t>
      </w:r>
      <w:r>
        <w:rPr>
          <w:rFonts w:hint="eastAsia" w:ascii="仿宋_GB2312" w:hAnsi="仿宋_GB2312" w:eastAsia="仿宋_GB2312" w:cs="仿宋_GB2312"/>
          <w:sz w:val="32"/>
          <w:szCs w:val="32"/>
        </w:rPr>
        <w:t>%。主要变动原因是</w:t>
      </w:r>
      <w:r>
        <w:rPr>
          <w:rFonts w:hint="eastAsia" w:hAnsi="仿宋_GB2312" w:cs="仿宋_GB2312"/>
          <w:sz w:val="32"/>
          <w:szCs w:val="32"/>
          <w:lang w:val="en-US" w:eastAsia="zh-CN"/>
        </w:rPr>
        <w:t>2019年存在项目支出101.58万元，2018年无项目支出。</w:t>
      </w:r>
    </w:p>
    <w:p>
      <w:pPr>
        <w:pStyle w:val="4"/>
        <w:keepNext w:val="0"/>
        <w:keepLines w:val="0"/>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rPr>
          <w:rFonts w:hint="eastAsia" w:hAnsi="仿宋_GB2312" w:cs="仿宋_GB2312"/>
          <w:sz w:val="32"/>
          <w:szCs w:val="32"/>
          <w:lang w:val="en-US" w:eastAsia="zh-CN"/>
        </w:rPr>
      </w:pPr>
    </w:p>
    <w:p>
      <w:pPr>
        <w:pStyle w:val="4"/>
        <w:keepNext w:val="0"/>
        <w:keepLines w:val="0"/>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rPr>
          <w:rFonts w:hint="default" w:hAnsi="仿宋_GB2312" w:cs="仿宋_GB2312"/>
          <w:sz w:val="32"/>
          <w:szCs w:val="32"/>
          <w:lang w:val="en-US" w:eastAsia="zh-CN"/>
        </w:rPr>
      </w:pPr>
      <w:r>
        <w:rPr>
          <w:rFonts w:hint="eastAsia" w:ascii="仿宋_GB2312" w:hAnsi="仿宋" w:eastAsia="仿宋_GB2312"/>
          <w:sz w:val="32"/>
          <w:szCs w:val="32"/>
        </w:rPr>
        <w:drawing>
          <wp:anchor distT="0" distB="0" distL="114300" distR="114300" simplePos="0" relativeHeight="251659264" behindDoc="1" locked="0" layoutInCell="1" allowOverlap="1">
            <wp:simplePos x="0" y="0"/>
            <wp:positionH relativeFrom="column">
              <wp:posOffset>247650</wp:posOffset>
            </wp:positionH>
            <wp:positionV relativeFrom="paragraph">
              <wp:posOffset>85725</wp:posOffset>
            </wp:positionV>
            <wp:extent cx="4942840" cy="1904365"/>
            <wp:effectExtent l="4445" t="4445" r="5715" b="15240"/>
            <wp:wrapNone/>
            <wp:docPr id="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cs="仿宋"/>
          <w:sz w:val="32"/>
          <w:szCs w:val="32"/>
        </w:rPr>
      </w:pPr>
    </w:p>
    <w:p>
      <w:pPr>
        <w:snapToGrid w:val="0"/>
        <w:spacing w:line="576" w:lineRule="exact"/>
        <w:ind w:firstLine="640" w:firstLineChars="200"/>
        <w:rPr>
          <w:rFonts w:ascii="仿宋_GB2312" w:hAnsi="仿宋" w:eastAsia="仿宋_GB2312" w:cs="仿宋"/>
          <w:sz w:val="32"/>
          <w:szCs w:val="32"/>
        </w:rPr>
      </w:pPr>
    </w:p>
    <w:p>
      <w:pPr>
        <w:snapToGrid w:val="0"/>
        <w:spacing w:line="576" w:lineRule="exact"/>
        <w:ind w:firstLine="640" w:firstLineChars="200"/>
        <w:rPr>
          <w:rFonts w:ascii="仿宋_GB2312" w:hAnsi="仿宋" w:eastAsia="仿宋_GB2312" w:cs="仿宋"/>
          <w:sz w:val="32"/>
          <w:szCs w:val="32"/>
        </w:rPr>
      </w:pPr>
    </w:p>
    <w:p>
      <w:pPr>
        <w:snapToGrid w:val="0"/>
        <w:spacing w:line="576" w:lineRule="exact"/>
        <w:ind w:firstLine="640" w:firstLineChars="200"/>
        <w:rPr>
          <w:rFonts w:ascii="仿宋_GB2312" w:hAnsi="仿宋" w:eastAsia="仿宋_GB2312" w:cs="仿宋"/>
          <w:sz w:val="32"/>
          <w:szCs w:val="32"/>
        </w:rPr>
      </w:pPr>
    </w:p>
    <w:p>
      <w:pPr/>
    </w:p>
    <w:p>
      <w:pPr/>
    </w:p>
    <w:p>
      <w:pPr>
        <w:keepNext w:val="0"/>
        <w:keepLines w:val="0"/>
        <w:pageBreakBefore w:val="0"/>
        <w:widowControl w:val="0"/>
        <w:kinsoku/>
        <w:wordWrap/>
        <w:overflowPunct/>
        <w:topLinePunct w:val="0"/>
        <w:autoSpaceDE/>
        <w:autoSpaceDN/>
        <w:bidi w:val="0"/>
        <w:spacing w:line="576"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（二）一般公共预算财政拨款支出决算结构情况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b w:val="0"/>
          <w:bCs w:val="0"/>
          <w:color w:val="000000"/>
          <w:sz w:val="32"/>
          <w:szCs w:val="32"/>
          <w:lang w:val="en-US" w:eastAsia="zh-CN"/>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年一般公共预算财政拨款支出</w:t>
      </w:r>
      <w:r>
        <w:rPr>
          <w:rFonts w:hint="eastAsia" w:ascii="仿宋_GB2312" w:eastAsia="仿宋_GB2312"/>
          <w:color w:val="000000"/>
          <w:sz w:val="32"/>
          <w:szCs w:val="32"/>
          <w:lang w:val="en-US" w:eastAsia="zh-CN"/>
        </w:rPr>
        <w:t>254.41</w:t>
      </w:r>
      <w:r>
        <w:rPr>
          <w:rFonts w:hint="eastAsia" w:ascii="仿宋_GB2312" w:eastAsia="仿宋_GB2312"/>
          <w:color w:val="000000"/>
          <w:sz w:val="32"/>
          <w:szCs w:val="32"/>
        </w:rPr>
        <w:t>万元，主要用于以下方面:</w:t>
      </w:r>
      <w:r>
        <w:rPr>
          <w:rFonts w:hint="eastAsia" w:ascii="仿宋_GB2312" w:eastAsia="仿宋_GB2312"/>
          <w:b/>
          <w:bCs/>
          <w:color w:val="000000"/>
          <w:sz w:val="32"/>
          <w:szCs w:val="32"/>
        </w:rPr>
        <w:t>社会保障和就业支出（</w:t>
      </w:r>
      <w:r>
        <w:rPr>
          <w:rFonts w:hint="eastAsia" w:ascii="仿宋_GB2312" w:eastAsia="仿宋_GB2312"/>
          <w:b/>
          <w:bCs/>
          <w:color w:val="000000"/>
          <w:sz w:val="32"/>
          <w:szCs w:val="32"/>
          <w:lang w:val="en-US" w:eastAsia="zh-CN"/>
        </w:rPr>
        <w:t>208</w:t>
      </w:r>
      <w:r>
        <w:rPr>
          <w:rFonts w:hint="eastAsia" w:ascii="仿宋_GB2312" w:eastAsia="仿宋_GB2312"/>
          <w:b/>
          <w:bCs/>
          <w:color w:val="000000"/>
          <w:sz w:val="32"/>
          <w:szCs w:val="32"/>
        </w:rPr>
        <w:t>）</w:t>
      </w:r>
      <w:r>
        <w:rPr>
          <w:rFonts w:hint="eastAsia" w:ascii="仿宋_GB2312" w:eastAsia="仿宋_GB2312"/>
          <w:b w:val="0"/>
          <w:bCs w:val="0"/>
          <w:color w:val="000000"/>
          <w:sz w:val="32"/>
          <w:szCs w:val="32"/>
          <w:lang w:val="en-US" w:eastAsia="zh-CN"/>
        </w:rPr>
        <w:t>123.96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48.72</w:t>
      </w:r>
      <w:r>
        <w:rPr>
          <w:rFonts w:hint="eastAsia" w:ascii="仿宋_GB2312" w:eastAsia="仿宋_GB2312"/>
          <w:color w:val="000000"/>
          <w:sz w:val="32"/>
          <w:szCs w:val="32"/>
        </w:rPr>
        <w:t>%；</w:t>
      </w:r>
      <w:r>
        <w:rPr>
          <w:rFonts w:hint="eastAsia" w:ascii="仿宋_GB2312" w:eastAsia="仿宋_GB2312"/>
          <w:b/>
          <w:bCs/>
          <w:color w:val="000000"/>
          <w:sz w:val="32"/>
          <w:szCs w:val="32"/>
        </w:rPr>
        <w:t>医疗卫生与计划生育支出（</w:t>
      </w:r>
      <w:r>
        <w:rPr>
          <w:rFonts w:hint="eastAsia" w:ascii="仿宋_GB2312" w:eastAsia="仿宋_GB2312"/>
          <w:b/>
          <w:bCs/>
          <w:color w:val="000000"/>
          <w:sz w:val="32"/>
          <w:szCs w:val="32"/>
          <w:lang w:val="en-US" w:eastAsia="zh-CN"/>
        </w:rPr>
        <w:t>210</w:t>
      </w:r>
      <w:r>
        <w:rPr>
          <w:rFonts w:hint="eastAsia" w:ascii="仿宋_GB2312" w:eastAsia="仿宋_GB2312"/>
          <w:b/>
          <w:bCs/>
          <w:color w:val="000000"/>
          <w:sz w:val="32"/>
          <w:szCs w:val="32"/>
        </w:rPr>
        <w:t>）</w:t>
      </w:r>
      <w:r>
        <w:rPr>
          <w:rFonts w:hint="eastAsia" w:ascii="仿宋_GB2312" w:eastAsia="仿宋_GB2312"/>
          <w:color w:val="000000"/>
          <w:sz w:val="32"/>
          <w:szCs w:val="32"/>
          <w:lang w:val="en-US" w:eastAsia="zh-CN"/>
        </w:rPr>
        <w:t>11.95</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4.70</w:t>
      </w:r>
      <w:r>
        <w:rPr>
          <w:rFonts w:hint="eastAsia" w:ascii="仿宋_GB2312" w:eastAsia="仿宋_GB2312"/>
          <w:color w:val="000000"/>
          <w:sz w:val="32"/>
          <w:szCs w:val="32"/>
        </w:rPr>
        <w:t>%；</w:t>
      </w:r>
      <w:r>
        <w:rPr>
          <w:rFonts w:hint="eastAsia" w:ascii="仿宋_GB2312" w:eastAsia="仿宋_GB2312"/>
          <w:b/>
          <w:bCs/>
          <w:color w:val="000000"/>
          <w:sz w:val="32"/>
          <w:szCs w:val="32"/>
        </w:rPr>
        <w:t>住房保障支出（</w:t>
      </w:r>
      <w:r>
        <w:rPr>
          <w:rFonts w:hint="eastAsia" w:ascii="仿宋_GB2312" w:eastAsia="仿宋_GB2312"/>
          <w:b/>
          <w:bCs/>
          <w:color w:val="000000"/>
          <w:sz w:val="32"/>
          <w:szCs w:val="32"/>
          <w:lang w:val="en-US" w:eastAsia="zh-CN"/>
        </w:rPr>
        <w:t>221</w:t>
      </w:r>
      <w:r>
        <w:rPr>
          <w:rFonts w:hint="eastAsia" w:ascii="仿宋_GB2312" w:eastAsia="仿宋_GB2312"/>
          <w:b/>
          <w:bCs/>
          <w:color w:val="000000"/>
          <w:sz w:val="32"/>
          <w:szCs w:val="32"/>
        </w:rPr>
        <w:t>）</w:t>
      </w:r>
      <w:r>
        <w:rPr>
          <w:rFonts w:hint="eastAsia" w:ascii="仿宋_GB2312" w:eastAsia="仿宋_GB2312"/>
          <w:color w:val="000000"/>
          <w:sz w:val="32"/>
          <w:szCs w:val="32"/>
          <w:lang w:val="en-US" w:eastAsia="zh-CN"/>
        </w:rPr>
        <w:t>16.92</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6.65</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b/>
          <w:bCs/>
          <w:color w:val="000000"/>
          <w:sz w:val="32"/>
          <w:szCs w:val="32"/>
          <w:lang w:eastAsia="zh-CN"/>
        </w:rPr>
        <w:t>农林水支出（</w:t>
      </w:r>
      <w:r>
        <w:rPr>
          <w:rFonts w:hint="eastAsia" w:ascii="仿宋_GB2312" w:eastAsia="仿宋_GB2312"/>
          <w:b/>
          <w:bCs/>
          <w:color w:val="000000"/>
          <w:sz w:val="32"/>
          <w:szCs w:val="32"/>
          <w:lang w:val="en-US" w:eastAsia="zh-CN"/>
        </w:rPr>
        <w:t>213</w:t>
      </w:r>
      <w:r>
        <w:rPr>
          <w:rFonts w:hint="eastAsia" w:ascii="仿宋_GB2312" w:eastAsia="仿宋_GB2312"/>
          <w:b/>
          <w:bCs/>
          <w:color w:val="000000"/>
          <w:sz w:val="32"/>
          <w:szCs w:val="32"/>
          <w:lang w:eastAsia="zh-CN"/>
        </w:rPr>
        <w:t>）</w:t>
      </w:r>
      <w:r>
        <w:rPr>
          <w:rFonts w:hint="eastAsia" w:ascii="仿宋_GB2312" w:eastAsia="仿宋_GB2312"/>
          <w:b w:val="0"/>
          <w:bCs w:val="0"/>
          <w:color w:val="000000"/>
          <w:sz w:val="32"/>
          <w:szCs w:val="32"/>
          <w:lang w:val="en-US" w:eastAsia="zh-CN"/>
        </w:rPr>
        <w:t>101.58万元，占39.93%。</w:t>
      </w:r>
    </w:p>
    <w:p>
      <w:pPr>
        <w:spacing w:line="240" w:lineRule="auto"/>
        <w:ind w:firstLine="0" w:firstLineChars="0"/>
        <w:rPr>
          <w:rFonts w:hint="default" w:ascii="仿宋_GB2312" w:eastAsia="仿宋_GB2312"/>
          <w:b w:val="0"/>
          <w:bCs w:val="0"/>
          <w:color w:val="000000"/>
          <w:sz w:val="32"/>
          <w:szCs w:val="32"/>
          <w:lang w:val="en-US" w:eastAsia="zh-CN"/>
        </w:rPr>
      </w:pPr>
      <w:r>
        <w:rPr>
          <w:rFonts w:ascii="仿宋_GB2312" w:hAnsi="仿宋_GB2312" w:eastAsia="仿宋_GB2312" w:cs="仿宋_GB2312"/>
          <w:sz w:val="32"/>
          <w:szCs w:val="32"/>
        </w:rPr>
        <w:drawing>
          <wp:inline distT="0" distB="0" distL="0" distR="0">
            <wp:extent cx="5362575" cy="2334260"/>
            <wp:effectExtent l="5080" t="4445" r="4445" b="23495"/>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sz w:val="32"/>
          <w:szCs w:val="32"/>
        </w:rPr>
      </w:pPr>
      <w:r>
        <w:rPr>
          <w:rFonts w:hint="eastAsia" w:ascii="楷体" w:hAnsi="楷体" w:eastAsia="楷体" w:cs="楷体"/>
          <w:b/>
          <w:bCs w:val="0"/>
          <w:sz w:val="32"/>
          <w:szCs w:val="32"/>
        </w:rPr>
        <w:t>（三）一般公共预算财政拨款支出决算具体情况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 w:eastAsia="仿宋_GB2312"/>
          <w:bCs/>
          <w:sz w:val="32"/>
          <w:szCs w:val="32"/>
        </w:rPr>
      </w:pPr>
      <w:r>
        <w:rPr>
          <w:rFonts w:hint="eastAsia" w:ascii="仿宋_GB2312" w:hAnsi="仿宋" w:eastAsia="仿宋_GB2312"/>
          <w:bCs/>
          <w:sz w:val="32"/>
          <w:szCs w:val="32"/>
        </w:rPr>
        <w:t>201</w:t>
      </w:r>
      <w:r>
        <w:rPr>
          <w:rFonts w:hint="eastAsia" w:ascii="仿宋_GB2312" w:hAnsi="仿宋" w:eastAsia="仿宋_GB2312"/>
          <w:bCs/>
          <w:sz w:val="32"/>
          <w:szCs w:val="32"/>
          <w:lang w:val="en-US" w:eastAsia="zh-CN"/>
        </w:rPr>
        <w:t>9</w:t>
      </w:r>
      <w:r>
        <w:rPr>
          <w:rFonts w:hint="eastAsia" w:ascii="仿宋_GB2312" w:hAnsi="仿宋" w:eastAsia="仿宋_GB2312"/>
          <w:bCs/>
          <w:sz w:val="32"/>
          <w:szCs w:val="32"/>
        </w:rPr>
        <w:t>年一般公共预算支出决算数为</w:t>
      </w:r>
      <w:r>
        <w:rPr>
          <w:rFonts w:hint="eastAsia" w:ascii="仿宋_GB2312" w:hAnsi="仿宋" w:eastAsia="仿宋_GB2312"/>
          <w:bCs/>
          <w:sz w:val="32"/>
          <w:szCs w:val="32"/>
          <w:lang w:val="en-US" w:eastAsia="zh-CN"/>
        </w:rPr>
        <w:t>254.41</w:t>
      </w:r>
      <w:r>
        <w:rPr>
          <w:rFonts w:hint="eastAsia" w:ascii="仿宋_GB2312" w:hAnsi="仿宋" w:eastAsia="仿宋_GB2312"/>
          <w:bCs/>
          <w:sz w:val="32"/>
          <w:szCs w:val="32"/>
        </w:rPr>
        <w:t>万元，完成预算</w:t>
      </w:r>
      <w:r>
        <w:rPr>
          <w:rFonts w:hint="eastAsia" w:ascii="仿宋_GB2312" w:hAnsi="仿宋" w:eastAsia="仿宋_GB2312"/>
          <w:bCs/>
          <w:sz w:val="32"/>
          <w:szCs w:val="32"/>
          <w:lang w:val="en-US" w:eastAsia="zh-CN"/>
        </w:rPr>
        <w:t>93.6</w:t>
      </w:r>
      <w:r>
        <w:rPr>
          <w:rFonts w:hint="eastAsia" w:ascii="仿宋_GB2312" w:hAnsi="仿宋" w:eastAsia="仿宋_GB2312"/>
          <w:bCs/>
          <w:sz w:val="32"/>
          <w:szCs w:val="32"/>
        </w:rPr>
        <w:t>%。其中：</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仿宋_GB2312" w:eastAsia="仿宋_GB2312"/>
          <w:sz w:val="32"/>
          <w:szCs w:val="32"/>
          <w:lang w:val="en-US" w:eastAsia="zh-CN"/>
        </w:rPr>
      </w:pPr>
      <w:r>
        <w:rPr>
          <w:rFonts w:hint="eastAsia" w:ascii="仿宋_GB2312" w:eastAsia="仿宋_GB2312"/>
          <w:b/>
          <w:bCs/>
          <w:sz w:val="32"/>
          <w:szCs w:val="32"/>
          <w:lang w:val="en-US" w:eastAsia="zh-CN"/>
        </w:rPr>
        <w:t>1.</w:t>
      </w:r>
      <w:r>
        <w:rPr>
          <w:rFonts w:hint="eastAsia" w:ascii="仿宋_GB2312" w:eastAsia="仿宋_GB2312"/>
          <w:b/>
          <w:bCs/>
          <w:sz w:val="32"/>
          <w:szCs w:val="32"/>
        </w:rPr>
        <w:t>社会保障和就业支出（</w:t>
      </w:r>
      <w:r>
        <w:rPr>
          <w:rFonts w:hint="eastAsia" w:ascii="仿宋_GB2312" w:eastAsia="仿宋_GB2312"/>
          <w:b/>
          <w:bCs/>
          <w:sz w:val="32"/>
          <w:szCs w:val="32"/>
          <w:lang w:val="en-US" w:eastAsia="zh-CN"/>
        </w:rPr>
        <w:t>208</w:t>
      </w:r>
      <w:r>
        <w:rPr>
          <w:rFonts w:hint="eastAsia" w:ascii="仿宋_GB2312" w:eastAsia="仿宋_GB2312"/>
          <w:b/>
          <w:bCs/>
          <w:sz w:val="32"/>
          <w:szCs w:val="32"/>
        </w:rPr>
        <w:t>）人力资源和社会保障管理事务（</w:t>
      </w:r>
      <w:r>
        <w:rPr>
          <w:rFonts w:hint="eastAsia" w:ascii="仿宋_GB2312" w:eastAsia="仿宋_GB2312"/>
          <w:b/>
          <w:bCs/>
          <w:sz w:val="32"/>
          <w:szCs w:val="32"/>
          <w:lang w:val="en-US" w:eastAsia="zh-CN"/>
        </w:rPr>
        <w:t>01</w:t>
      </w:r>
      <w:r>
        <w:rPr>
          <w:rFonts w:hint="eastAsia" w:ascii="仿宋_GB2312" w:eastAsia="仿宋_GB2312"/>
          <w:b/>
          <w:bCs/>
          <w:sz w:val="32"/>
          <w:szCs w:val="32"/>
        </w:rPr>
        <w:t>）社会保险经办机构（</w:t>
      </w:r>
      <w:r>
        <w:rPr>
          <w:rFonts w:hint="eastAsia" w:ascii="仿宋_GB2312" w:eastAsia="仿宋_GB2312"/>
          <w:b/>
          <w:bCs/>
          <w:sz w:val="32"/>
          <w:szCs w:val="32"/>
          <w:lang w:val="en-US" w:eastAsia="zh-CN"/>
        </w:rPr>
        <w:t>09</w:t>
      </w:r>
      <w:r>
        <w:rPr>
          <w:rFonts w:hint="eastAsia" w:ascii="仿宋_GB2312" w:eastAsia="仿宋_GB2312"/>
          <w:b/>
          <w:bCs/>
          <w:sz w:val="32"/>
          <w:szCs w:val="32"/>
        </w:rPr>
        <w:t>）</w:t>
      </w:r>
      <w:r>
        <w:rPr>
          <w:rFonts w:hint="eastAsia" w:ascii="仿宋_GB2312" w:eastAsia="仿宋_GB2312"/>
          <w:sz w:val="32"/>
          <w:szCs w:val="32"/>
        </w:rPr>
        <w:t>：</w:t>
      </w:r>
      <w:r>
        <w:rPr>
          <w:rFonts w:hint="eastAsia" w:ascii="仿宋_GB2312" w:eastAsia="仿宋_GB2312"/>
          <w:sz w:val="32"/>
          <w:szCs w:val="32"/>
          <w:lang w:eastAsia="zh-CN"/>
        </w:rPr>
        <w:t>支出</w:t>
      </w:r>
      <w:r>
        <w:rPr>
          <w:rFonts w:hint="eastAsia" w:ascii="仿宋_GB2312" w:eastAsia="仿宋_GB2312"/>
          <w:sz w:val="32"/>
          <w:szCs w:val="32"/>
        </w:rPr>
        <w:t>决算数为</w:t>
      </w:r>
      <w:r>
        <w:rPr>
          <w:rFonts w:hint="eastAsia" w:ascii="仿宋_GB2312" w:eastAsia="仿宋_GB2312"/>
          <w:sz w:val="32"/>
          <w:szCs w:val="32"/>
          <w:lang w:val="en-US" w:eastAsia="zh-CN"/>
        </w:rPr>
        <w:t>98.78</w:t>
      </w:r>
      <w:r>
        <w:rPr>
          <w:rFonts w:hint="eastAsia" w:ascii="仿宋_GB2312" w:eastAsia="仿宋_GB2312"/>
          <w:sz w:val="32"/>
          <w:szCs w:val="32"/>
        </w:rPr>
        <w:t>万元，完成预算</w:t>
      </w:r>
      <w:r>
        <w:rPr>
          <w:rFonts w:hint="eastAsia" w:ascii="仿宋_GB2312" w:eastAsia="仿宋_GB2312"/>
          <w:sz w:val="32"/>
          <w:szCs w:val="32"/>
          <w:lang w:val="en-US" w:eastAsia="zh-CN"/>
        </w:rPr>
        <w:t>85.03</w:t>
      </w:r>
      <w:r>
        <w:rPr>
          <w:rFonts w:hint="eastAsia" w:ascii="仿宋_GB2312" w:eastAsia="仿宋_GB2312"/>
          <w:sz w:val="32"/>
          <w:szCs w:val="32"/>
        </w:rPr>
        <w:t>%。</w:t>
      </w:r>
      <w:r>
        <w:rPr>
          <w:rFonts w:hint="eastAsia" w:ascii="仿宋_GB2312" w:eastAsia="仿宋_GB2312"/>
          <w:sz w:val="32"/>
          <w:szCs w:val="32"/>
          <w:lang w:eastAsia="zh-CN"/>
        </w:rPr>
        <w:t>决算数小于预算数的主要原因是</w:t>
      </w:r>
      <w:r>
        <w:rPr>
          <w:rFonts w:hint="eastAsia" w:ascii="仿宋_GB2312" w:eastAsia="仿宋_GB2312"/>
          <w:sz w:val="32"/>
          <w:szCs w:val="32"/>
          <w:lang w:val="en-US" w:eastAsia="zh-CN"/>
        </w:rPr>
        <w:t>2019年12月因支付系统原因导致单位基本支出17.39万元当年未能支付。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w:t>
      </w:r>
      <w:r>
        <w:rPr>
          <w:rFonts w:hint="eastAsia" w:ascii="仿宋_GB2312" w:eastAsia="仿宋_GB2312"/>
          <w:b/>
          <w:bCs/>
          <w:sz w:val="32"/>
          <w:szCs w:val="32"/>
        </w:rPr>
        <w:t>社会保障和就业支出（</w:t>
      </w:r>
      <w:r>
        <w:rPr>
          <w:rFonts w:hint="eastAsia" w:ascii="仿宋_GB2312" w:eastAsia="仿宋_GB2312"/>
          <w:b/>
          <w:bCs/>
          <w:sz w:val="32"/>
          <w:szCs w:val="32"/>
          <w:lang w:val="en-US" w:eastAsia="zh-CN"/>
        </w:rPr>
        <w:t>208</w:t>
      </w:r>
      <w:r>
        <w:rPr>
          <w:rFonts w:hint="eastAsia" w:ascii="仿宋_GB2312" w:eastAsia="仿宋_GB2312"/>
          <w:b/>
          <w:bCs/>
          <w:sz w:val="32"/>
          <w:szCs w:val="32"/>
        </w:rPr>
        <w:t>）行政事业单位离退休（</w:t>
      </w:r>
      <w:r>
        <w:rPr>
          <w:rFonts w:hint="eastAsia" w:ascii="仿宋_GB2312" w:eastAsia="仿宋_GB2312"/>
          <w:b/>
          <w:bCs/>
          <w:sz w:val="32"/>
          <w:szCs w:val="32"/>
          <w:lang w:val="en-US" w:eastAsia="zh-CN"/>
        </w:rPr>
        <w:t>05</w:t>
      </w:r>
      <w:r>
        <w:rPr>
          <w:rFonts w:hint="eastAsia" w:ascii="仿宋_GB2312" w:eastAsia="仿宋_GB2312"/>
          <w:b/>
          <w:bCs/>
          <w:sz w:val="32"/>
          <w:szCs w:val="32"/>
        </w:rPr>
        <w:t>）机关事业单位基本养老保险缴费支出（</w:t>
      </w:r>
      <w:r>
        <w:rPr>
          <w:rFonts w:hint="eastAsia" w:ascii="仿宋_GB2312" w:eastAsia="仿宋_GB2312"/>
          <w:b/>
          <w:bCs/>
          <w:sz w:val="32"/>
          <w:szCs w:val="32"/>
          <w:lang w:val="en-US" w:eastAsia="zh-CN"/>
        </w:rPr>
        <w:t>05</w:t>
      </w:r>
      <w:r>
        <w:rPr>
          <w:rFonts w:hint="eastAsia" w:ascii="仿宋_GB2312" w:eastAsia="仿宋_GB2312"/>
          <w:b/>
          <w:bCs/>
          <w:sz w:val="32"/>
          <w:szCs w:val="32"/>
        </w:rPr>
        <w:t>）</w:t>
      </w:r>
      <w:r>
        <w:rPr>
          <w:rFonts w:hint="eastAsia" w:ascii="仿宋_GB2312" w:eastAsia="仿宋_GB2312"/>
          <w:sz w:val="32"/>
          <w:szCs w:val="32"/>
        </w:rPr>
        <w:t>：</w:t>
      </w:r>
      <w:r>
        <w:rPr>
          <w:rFonts w:hint="eastAsia" w:ascii="仿宋_GB2312" w:eastAsia="仿宋_GB2312"/>
          <w:sz w:val="32"/>
          <w:szCs w:val="32"/>
          <w:lang w:eastAsia="zh-CN"/>
        </w:rPr>
        <w:t>支出</w:t>
      </w:r>
      <w:r>
        <w:rPr>
          <w:rFonts w:hint="eastAsia" w:ascii="仿宋_GB2312" w:eastAsia="仿宋_GB2312"/>
          <w:sz w:val="32"/>
          <w:szCs w:val="32"/>
        </w:rPr>
        <w:t>决算数为</w:t>
      </w:r>
      <w:r>
        <w:rPr>
          <w:rFonts w:hint="eastAsia" w:ascii="仿宋_GB2312" w:eastAsia="仿宋_GB2312"/>
          <w:sz w:val="32"/>
          <w:szCs w:val="32"/>
          <w:lang w:val="en-US" w:eastAsia="zh-CN"/>
        </w:rPr>
        <w:t>17.23</w:t>
      </w:r>
      <w:r>
        <w:rPr>
          <w:rFonts w:hint="eastAsia" w:ascii="仿宋_GB2312" w:eastAsia="仿宋_GB2312"/>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hint="eastAsia" w:ascii="仿宋_GB2312" w:eastAsia="仿宋_GB2312"/>
          <w:b/>
          <w:bCs/>
          <w:sz w:val="32"/>
          <w:szCs w:val="32"/>
        </w:rPr>
        <w:t>社会保障和就业支出（</w:t>
      </w:r>
      <w:r>
        <w:rPr>
          <w:rFonts w:hint="eastAsia" w:ascii="仿宋_GB2312" w:eastAsia="仿宋_GB2312"/>
          <w:b/>
          <w:bCs/>
          <w:sz w:val="32"/>
          <w:szCs w:val="32"/>
          <w:lang w:val="en-US" w:eastAsia="zh-CN"/>
        </w:rPr>
        <w:t>208</w:t>
      </w:r>
      <w:r>
        <w:rPr>
          <w:rFonts w:hint="eastAsia" w:ascii="仿宋_GB2312" w:eastAsia="仿宋_GB2312"/>
          <w:b/>
          <w:bCs/>
          <w:sz w:val="32"/>
          <w:szCs w:val="32"/>
        </w:rPr>
        <w:t>）行政事业单位离退休（</w:t>
      </w:r>
      <w:r>
        <w:rPr>
          <w:rFonts w:hint="eastAsia" w:ascii="仿宋_GB2312" w:eastAsia="仿宋_GB2312"/>
          <w:b/>
          <w:bCs/>
          <w:sz w:val="32"/>
          <w:szCs w:val="32"/>
          <w:lang w:val="en-US" w:eastAsia="zh-CN"/>
        </w:rPr>
        <w:t>05</w:t>
      </w:r>
      <w:r>
        <w:rPr>
          <w:rFonts w:hint="eastAsia" w:ascii="仿宋_GB2312" w:eastAsia="仿宋_GB2312"/>
          <w:b/>
          <w:bCs/>
          <w:sz w:val="32"/>
          <w:szCs w:val="32"/>
        </w:rPr>
        <w:t>）机关事业单位职业年金缴费支出（</w:t>
      </w:r>
      <w:r>
        <w:rPr>
          <w:rFonts w:hint="eastAsia" w:ascii="仿宋_GB2312" w:eastAsia="仿宋_GB2312"/>
          <w:b/>
          <w:bCs/>
          <w:sz w:val="32"/>
          <w:szCs w:val="32"/>
          <w:lang w:val="en-US" w:eastAsia="zh-CN"/>
        </w:rPr>
        <w:t>06</w:t>
      </w:r>
      <w:r>
        <w:rPr>
          <w:rFonts w:hint="eastAsia" w:ascii="仿宋_GB2312" w:eastAsia="仿宋_GB2312"/>
          <w:b/>
          <w:bCs/>
          <w:sz w:val="32"/>
          <w:szCs w:val="32"/>
        </w:rPr>
        <w:t>）</w:t>
      </w:r>
      <w:r>
        <w:rPr>
          <w:rFonts w:hint="eastAsia" w:ascii="仿宋_GB2312" w:eastAsia="仿宋_GB2312"/>
          <w:sz w:val="32"/>
          <w:szCs w:val="32"/>
        </w:rPr>
        <w:t>：</w:t>
      </w:r>
      <w:r>
        <w:rPr>
          <w:rFonts w:hint="eastAsia" w:ascii="仿宋_GB2312" w:eastAsia="仿宋_GB2312"/>
          <w:sz w:val="32"/>
          <w:szCs w:val="32"/>
          <w:lang w:eastAsia="zh-CN"/>
        </w:rPr>
        <w:t>支出</w:t>
      </w:r>
      <w:r>
        <w:rPr>
          <w:rFonts w:hint="eastAsia" w:ascii="仿宋_GB2312" w:eastAsia="仿宋_GB2312"/>
          <w:sz w:val="32"/>
          <w:szCs w:val="32"/>
        </w:rPr>
        <w:t>决算数为</w:t>
      </w:r>
      <w:r>
        <w:rPr>
          <w:rFonts w:hint="eastAsia" w:ascii="仿宋_GB2312" w:eastAsia="仿宋_GB2312"/>
          <w:sz w:val="32"/>
          <w:szCs w:val="32"/>
          <w:lang w:val="en-US" w:eastAsia="zh-CN"/>
        </w:rPr>
        <w:t>7.95</w:t>
      </w:r>
      <w:r>
        <w:rPr>
          <w:rFonts w:hint="eastAsia" w:ascii="仿宋_GB2312" w:eastAsia="仿宋_GB2312"/>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hint="eastAsia" w:ascii="仿宋_GB2312" w:eastAsia="仿宋_GB2312"/>
          <w:b/>
          <w:bCs/>
          <w:sz w:val="32"/>
          <w:szCs w:val="32"/>
        </w:rPr>
        <w:t>医疗卫生与计划生育支出（</w:t>
      </w:r>
      <w:r>
        <w:rPr>
          <w:rFonts w:hint="eastAsia" w:ascii="仿宋_GB2312" w:eastAsia="仿宋_GB2312"/>
          <w:b/>
          <w:bCs/>
          <w:sz w:val="32"/>
          <w:szCs w:val="32"/>
          <w:lang w:val="en-US" w:eastAsia="zh-CN"/>
        </w:rPr>
        <w:t>210</w:t>
      </w:r>
      <w:r>
        <w:rPr>
          <w:rFonts w:hint="eastAsia" w:ascii="仿宋_GB2312" w:eastAsia="仿宋_GB2312"/>
          <w:b/>
          <w:bCs/>
          <w:sz w:val="32"/>
          <w:szCs w:val="32"/>
        </w:rPr>
        <w:t>）行政事业单位医疗（</w:t>
      </w:r>
      <w:r>
        <w:rPr>
          <w:rFonts w:hint="eastAsia" w:ascii="仿宋_GB2312" w:eastAsia="仿宋_GB2312"/>
          <w:b/>
          <w:bCs/>
          <w:sz w:val="32"/>
          <w:szCs w:val="32"/>
          <w:lang w:val="en-US" w:eastAsia="zh-CN"/>
        </w:rPr>
        <w:t>11</w:t>
      </w:r>
      <w:r>
        <w:rPr>
          <w:rFonts w:hint="eastAsia" w:ascii="仿宋_GB2312" w:eastAsia="仿宋_GB2312"/>
          <w:b/>
          <w:bCs/>
          <w:sz w:val="32"/>
          <w:szCs w:val="32"/>
        </w:rPr>
        <w:t>）事业单位医疗（</w:t>
      </w:r>
      <w:r>
        <w:rPr>
          <w:rFonts w:hint="eastAsia" w:ascii="仿宋_GB2312" w:eastAsia="仿宋_GB2312"/>
          <w:b/>
          <w:bCs/>
          <w:sz w:val="32"/>
          <w:szCs w:val="32"/>
          <w:lang w:val="en-US" w:eastAsia="zh-CN"/>
        </w:rPr>
        <w:t>02</w:t>
      </w:r>
      <w:r>
        <w:rPr>
          <w:rFonts w:hint="eastAsia" w:ascii="仿宋_GB2312" w:eastAsia="仿宋_GB2312"/>
          <w:b/>
          <w:bCs/>
          <w:sz w:val="32"/>
          <w:szCs w:val="32"/>
        </w:rPr>
        <w:t>）</w:t>
      </w:r>
      <w:r>
        <w:rPr>
          <w:rFonts w:hint="eastAsia" w:ascii="仿宋_GB2312" w:eastAsia="仿宋_GB2312"/>
          <w:sz w:val="32"/>
          <w:szCs w:val="32"/>
        </w:rPr>
        <w:t>：</w:t>
      </w:r>
      <w:r>
        <w:rPr>
          <w:rFonts w:hint="eastAsia" w:ascii="仿宋_GB2312" w:eastAsia="仿宋_GB2312"/>
          <w:sz w:val="32"/>
          <w:szCs w:val="32"/>
          <w:lang w:eastAsia="zh-CN"/>
        </w:rPr>
        <w:t>支出</w:t>
      </w:r>
      <w:r>
        <w:rPr>
          <w:rFonts w:hint="eastAsia" w:ascii="仿宋_GB2312" w:eastAsia="仿宋_GB2312"/>
          <w:sz w:val="32"/>
          <w:szCs w:val="32"/>
        </w:rPr>
        <w:t>决算数为</w:t>
      </w:r>
      <w:r>
        <w:rPr>
          <w:rFonts w:hint="eastAsia" w:ascii="仿宋_GB2312" w:eastAsia="仿宋_GB2312"/>
          <w:sz w:val="32"/>
          <w:szCs w:val="32"/>
          <w:lang w:val="en-US" w:eastAsia="zh-CN"/>
        </w:rPr>
        <w:t>11.95</w:t>
      </w:r>
      <w:r>
        <w:rPr>
          <w:rFonts w:hint="eastAsia" w:ascii="仿宋_GB2312" w:eastAsia="仿宋_GB2312"/>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5.</w:t>
      </w:r>
      <w:r>
        <w:rPr>
          <w:rFonts w:hint="eastAsia" w:ascii="仿宋_GB2312" w:eastAsia="仿宋_GB2312"/>
          <w:b/>
          <w:bCs/>
          <w:sz w:val="32"/>
          <w:szCs w:val="32"/>
        </w:rPr>
        <w:t>住房保障支出（</w:t>
      </w:r>
      <w:r>
        <w:rPr>
          <w:rFonts w:hint="eastAsia" w:ascii="仿宋_GB2312" w:eastAsia="仿宋_GB2312"/>
          <w:b/>
          <w:bCs/>
          <w:sz w:val="32"/>
          <w:szCs w:val="32"/>
          <w:lang w:val="en-US" w:eastAsia="zh-CN"/>
        </w:rPr>
        <w:t>221</w:t>
      </w:r>
      <w:r>
        <w:rPr>
          <w:rFonts w:hint="eastAsia" w:ascii="仿宋_GB2312" w:eastAsia="仿宋_GB2312"/>
          <w:b/>
          <w:bCs/>
          <w:sz w:val="32"/>
          <w:szCs w:val="32"/>
        </w:rPr>
        <w:t>）住房改革支出（</w:t>
      </w:r>
      <w:r>
        <w:rPr>
          <w:rFonts w:hint="eastAsia" w:ascii="仿宋_GB2312" w:eastAsia="仿宋_GB2312"/>
          <w:b/>
          <w:bCs/>
          <w:sz w:val="32"/>
          <w:szCs w:val="32"/>
          <w:lang w:val="en-US" w:eastAsia="zh-CN"/>
        </w:rPr>
        <w:t>02</w:t>
      </w:r>
      <w:r>
        <w:rPr>
          <w:rFonts w:hint="eastAsia" w:ascii="仿宋_GB2312" w:eastAsia="仿宋_GB2312"/>
          <w:b/>
          <w:bCs/>
          <w:sz w:val="32"/>
          <w:szCs w:val="32"/>
        </w:rPr>
        <w:t>）住房公积金（</w:t>
      </w:r>
      <w:r>
        <w:rPr>
          <w:rFonts w:hint="eastAsia" w:ascii="仿宋_GB2312" w:eastAsia="仿宋_GB2312"/>
          <w:b/>
          <w:bCs/>
          <w:sz w:val="32"/>
          <w:szCs w:val="32"/>
          <w:lang w:val="en-US" w:eastAsia="zh-CN"/>
        </w:rPr>
        <w:t>01</w:t>
      </w:r>
      <w:r>
        <w:rPr>
          <w:rFonts w:hint="eastAsia" w:ascii="仿宋_GB2312" w:eastAsia="仿宋_GB2312"/>
          <w:b/>
          <w:bCs/>
          <w:sz w:val="32"/>
          <w:szCs w:val="32"/>
        </w:rPr>
        <w:t>）</w:t>
      </w:r>
      <w:r>
        <w:rPr>
          <w:rFonts w:hint="eastAsia" w:ascii="仿宋_GB2312" w:eastAsia="仿宋_GB2312"/>
          <w:sz w:val="32"/>
          <w:szCs w:val="32"/>
        </w:rPr>
        <w:t>：</w:t>
      </w:r>
      <w:r>
        <w:rPr>
          <w:rFonts w:hint="eastAsia" w:ascii="仿宋_GB2312" w:eastAsia="仿宋_GB2312"/>
          <w:sz w:val="32"/>
          <w:szCs w:val="32"/>
          <w:lang w:eastAsia="zh-CN"/>
        </w:rPr>
        <w:t>支出</w:t>
      </w:r>
      <w:r>
        <w:rPr>
          <w:rFonts w:hint="eastAsia" w:ascii="仿宋_GB2312" w:eastAsia="仿宋_GB2312"/>
          <w:sz w:val="32"/>
          <w:szCs w:val="32"/>
        </w:rPr>
        <w:t>决算数为</w:t>
      </w:r>
      <w:r>
        <w:rPr>
          <w:rFonts w:hint="eastAsia" w:ascii="仿宋_GB2312" w:eastAsia="仿宋_GB2312"/>
          <w:sz w:val="32"/>
          <w:szCs w:val="32"/>
          <w:lang w:val="en-US" w:eastAsia="zh-CN"/>
        </w:rPr>
        <w:t>16.92</w:t>
      </w:r>
      <w:r>
        <w:rPr>
          <w:rFonts w:hint="eastAsia" w:ascii="仿宋_GB2312" w:eastAsia="仿宋_GB2312"/>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eastAsia="仿宋_GB2312"/>
          <w:b/>
          <w:bCs/>
          <w:sz w:val="32"/>
          <w:szCs w:val="32"/>
          <w:lang w:eastAsia="zh-CN"/>
        </w:rPr>
        <w:t>农林水支出</w:t>
      </w:r>
      <w:r>
        <w:rPr>
          <w:rFonts w:hint="eastAsia" w:ascii="仿宋_GB2312" w:eastAsia="仿宋_GB2312"/>
          <w:b/>
          <w:bCs/>
          <w:sz w:val="32"/>
          <w:szCs w:val="32"/>
        </w:rPr>
        <w:t>（</w:t>
      </w:r>
      <w:r>
        <w:rPr>
          <w:rFonts w:hint="eastAsia" w:ascii="仿宋_GB2312" w:eastAsia="仿宋_GB2312"/>
          <w:b/>
          <w:bCs/>
          <w:sz w:val="32"/>
          <w:szCs w:val="32"/>
          <w:lang w:val="en-US" w:eastAsia="zh-CN"/>
        </w:rPr>
        <w:t>213</w:t>
      </w:r>
      <w:r>
        <w:rPr>
          <w:rFonts w:hint="eastAsia" w:ascii="仿宋_GB2312" w:eastAsia="仿宋_GB2312"/>
          <w:b/>
          <w:bCs/>
          <w:sz w:val="32"/>
          <w:szCs w:val="32"/>
        </w:rPr>
        <w:t>）</w:t>
      </w:r>
      <w:r>
        <w:rPr>
          <w:rFonts w:hint="eastAsia" w:ascii="仿宋_GB2312" w:eastAsia="仿宋_GB2312"/>
          <w:b/>
          <w:bCs/>
          <w:sz w:val="32"/>
          <w:szCs w:val="32"/>
          <w:lang w:eastAsia="zh-CN"/>
        </w:rPr>
        <w:t>扶贫</w:t>
      </w:r>
      <w:r>
        <w:rPr>
          <w:rFonts w:hint="eastAsia" w:ascii="仿宋_GB2312" w:eastAsia="仿宋_GB2312"/>
          <w:b/>
          <w:bCs/>
          <w:sz w:val="32"/>
          <w:szCs w:val="32"/>
        </w:rPr>
        <w:t>（</w:t>
      </w:r>
      <w:r>
        <w:rPr>
          <w:rFonts w:hint="eastAsia" w:ascii="仿宋_GB2312" w:eastAsia="仿宋_GB2312"/>
          <w:b/>
          <w:bCs/>
          <w:sz w:val="32"/>
          <w:szCs w:val="32"/>
          <w:lang w:val="en-US" w:eastAsia="zh-CN"/>
        </w:rPr>
        <w:t>05</w:t>
      </w:r>
      <w:r>
        <w:rPr>
          <w:rFonts w:hint="eastAsia" w:ascii="仿宋_GB2312" w:eastAsia="仿宋_GB2312"/>
          <w:b/>
          <w:bCs/>
          <w:sz w:val="32"/>
          <w:szCs w:val="32"/>
        </w:rPr>
        <w:t>）</w:t>
      </w:r>
      <w:r>
        <w:rPr>
          <w:rFonts w:hint="eastAsia" w:ascii="仿宋_GB2312" w:eastAsia="仿宋_GB2312"/>
          <w:b/>
          <w:bCs/>
          <w:sz w:val="32"/>
          <w:szCs w:val="32"/>
          <w:lang w:eastAsia="zh-CN"/>
        </w:rPr>
        <w:t>社会发展</w:t>
      </w:r>
      <w:r>
        <w:rPr>
          <w:rFonts w:hint="eastAsia" w:ascii="仿宋_GB2312" w:eastAsia="仿宋_GB2312"/>
          <w:b/>
          <w:bCs/>
          <w:sz w:val="32"/>
          <w:szCs w:val="32"/>
        </w:rPr>
        <w:t>（</w:t>
      </w:r>
      <w:r>
        <w:rPr>
          <w:rFonts w:hint="eastAsia" w:ascii="仿宋_GB2312" w:eastAsia="仿宋_GB2312"/>
          <w:b/>
          <w:bCs/>
          <w:sz w:val="32"/>
          <w:szCs w:val="32"/>
          <w:lang w:val="en-US" w:eastAsia="zh-CN"/>
        </w:rPr>
        <w:t>06</w:t>
      </w:r>
      <w:r>
        <w:rPr>
          <w:rFonts w:hint="eastAsia" w:ascii="仿宋_GB2312" w:eastAsia="仿宋_GB2312"/>
          <w:b/>
          <w:bCs/>
          <w:sz w:val="32"/>
          <w:szCs w:val="32"/>
        </w:rPr>
        <w:t>）</w:t>
      </w:r>
      <w:r>
        <w:rPr>
          <w:rFonts w:hint="eastAsia" w:ascii="仿宋_GB2312" w:eastAsia="仿宋_GB2312"/>
          <w:sz w:val="32"/>
          <w:szCs w:val="32"/>
        </w:rPr>
        <w:t>：</w:t>
      </w:r>
      <w:r>
        <w:rPr>
          <w:rFonts w:hint="eastAsia" w:ascii="仿宋_GB2312" w:eastAsia="仿宋_GB2312"/>
          <w:sz w:val="32"/>
          <w:szCs w:val="32"/>
          <w:lang w:eastAsia="zh-CN"/>
        </w:rPr>
        <w:t>支出</w:t>
      </w:r>
      <w:r>
        <w:rPr>
          <w:rFonts w:hint="eastAsia" w:ascii="仿宋_GB2312" w:eastAsia="仿宋_GB2312"/>
          <w:sz w:val="32"/>
          <w:szCs w:val="32"/>
        </w:rPr>
        <w:t>决算数为</w:t>
      </w:r>
      <w:r>
        <w:rPr>
          <w:rFonts w:hint="eastAsia" w:ascii="仿宋_GB2312" w:eastAsia="仿宋_GB2312"/>
          <w:sz w:val="32"/>
          <w:szCs w:val="32"/>
          <w:lang w:val="en-US" w:eastAsia="zh-CN"/>
        </w:rPr>
        <w:t>101.58</w:t>
      </w:r>
      <w:r>
        <w:rPr>
          <w:rFonts w:hint="eastAsia" w:ascii="仿宋_GB2312" w:eastAsia="仿宋_GB2312"/>
          <w:sz w:val="32"/>
          <w:szCs w:val="32"/>
        </w:rPr>
        <w:t>万元，完成预算100%。</w:t>
      </w:r>
    </w:p>
    <w:p>
      <w:pPr>
        <w:spacing w:line="576" w:lineRule="exact"/>
        <w:ind w:firstLine="640" w:firstLineChars="200"/>
        <w:rPr>
          <w:rStyle w:val="17"/>
          <w:rFonts w:ascii="黑体" w:hAnsi="黑体" w:eastAsia="黑体"/>
          <w:b w:val="0"/>
          <w:bCs w:val="0"/>
        </w:rPr>
      </w:pPr>
      <w:r>
        <w:rPr>
          <w:rFonts w:hint="eastAsia" w:ascii="黑体" w:hAnsi="黑体" w:eastAsia="黑体"/>
          <w:color w:val="000000"/>
          <w:sz w:val="32"/>
          <w:szCs w:val="32"/>
        </w:rPr>
        <w:t>六</w:t>
      </w:r>
      <w:r>
        <w:rPr>
          <w:rFonts w:hint="eastAsia" w:ascii="黑体" w:hAnsi="黑体" w:eastAsia="黑体"/>
          <w:b/>
          <w:bCs/>
          <w:color w:val="000000"/>
          <w:sz w:val="32"/>
          <w:szCs w:val="32"/>
        </w:rPr>
        <w:t>、一</w:t>
      </w:r>
      <w:r>
        <w:rPr>
          <w:rStyle w:val="17"/>
          <w:rFonts w:hint="eastAsia" w:ascii="黑体" w:hAnsi="黑体" w:eastAsia="黑体"/>
          <w:b w:val="0"/>
          <w:bCs w:val="0"/>
        </w:rPr>
        <w:t>般公共预算财政拨款基本支出决算情况说明</w:t>
      </w:r>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年一般公共预算财政拨款基本支出</w:t>
      </w:r>
      <w:r>
        <w:rPr>
          <w:rFonts w:hint="eastAsia" w:ascii="仿宋_GB2312" w:hAnsi="仿宋" w:eastAsia="仿宋_GB2312"/>
          <w:color w:val="000000"/>
          <w:sz w:val="32"/>
          <w:szCs w:val="32"/>
          <w:lang w:val="en-US" w:eastAsia="zh-CN"/>
        </w:rPr>
        <w:t>152.83</w:t>
      </w:r>
      <w:r>
        <w:rPr>
          <w:rFonts w:hint="eastAsia" w:ascii="仿宋_GB2312" w:hAnsi="仿宋" w:eastAsia="仿宋_GB2312"/>
          <w:color w:val="000000"/>
          <w:sz w:val="32"/>
          <w:szCs w:val="32"/>
        </w:rPr>
        <w:t>万元，其中：</w:t>
      </w:r>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人员经费</w:t>
      </w:r>
      <w:r>
        <w:rPr>
          <w:rFonts w:hint="eastAsia" w:ascii="仿宋_GB2312" w:hAnsi="仿宋" w:eastAsia="仿宋_GB2312"/>
          <w:color w:val="000000"/>
          <w:sz w:val="32"/>
          <w:szCs w:val="32"/>
          <w:lang w:val="en-US" w:eastAsia="zh-CN"/>
        </w:rPr>
        <w:t>141.97</w:t>
      </w:r>
      <w:r>
        <w:rPr>
          <w:rFonts w:hint="eastAsia" w:ascii="仿宋_GB2312" w:hAnsi="仿宋" w:eastAsia="仿宋_GB2312"/>
          <w:color w:val="000000"/>
          <w:sz w:val="32"/>
          <w:szCs w:val="32"/>
        </w:rPr>
        <w:t>万元，主要包括：基本工资、津贴补贴、奖金、绩效工资、机关事业单位基本养老保险缴费、职业年金缴费、职工基本医疗保险缴费、其他社会保障缴费、医疗费、医疗费补助、住房公积金。</w:t>
      </w:r>
    </w:p>
    <w:p>
      <w:pPr>
        <w:spacing w:line="576"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 </w:t>
      </w:r>
      <w:r>
        <w:rPr>
          <w:rFonts w:hint="eastAsia" w:ascii="仿宋_GB2312" w:hAnsi="仿宋" w:eastAsia="仿宋_GB2312"/>
          <w:color w:val="000000"/>
          <w:sz w:val="32"/>
          <w:szCs w:val="32"/>
          <w:lang w:eastAsia="zh-CN"/>
        </w:rPr>
        <w:t>日常</w:t>
      </w:r>
      <w:r>
        <w:rPr>
          <w:rFonts w:hint="eastAsia" w:ascii="仿宋_GB2312" w:hAnsi="仿宋" w:eastAsia="仿宋_GB2312"/>
          <w:color w:val="000000"/>
          <w:sz w:val="32"/>
          <w:szCs w:val="32"/>
        </w:rPr>
        <w:t>公用经费</w:t>
      </w:r>
      <w:r>
        <w:rPr>
          <w:rFonts w:hint="eastAsia" w:ascii="仿宋_GB2312" w:hAnsi="仿宋" w:eastAsia="仿宋_GB2312"/>
          <w:color w:val="000000"/>
          <w:sz w:val="32"/>
          <w:szCs w:val="32"/>
          <w:lang w:val="en-US" w:eastAsia="zh-CN"/>
        </w:rPr>
        <w:t>10.86</w:t>
      </w:r>
      <w:r>
        <w:rPr>
          <w:rFonts w:hint="eastAsia" w:ascii="仿宋_GB2312" w:hAnsi="仿宋" w:eastAsia="仿宋_GB2312"/>
          <w:color w:val="000000"/>
          <w:sz w:val="32"/>
          <w:szCs w:val="32"/>
        </w:rPr>
        <w:t>万元，主要包括：办公费、邮电费、差旅费、培训费、其他交通费。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pPr>
      <w:r>
        <w:rPr>
          <w:rFonts w:hint="eastAsia" w:ascii="黑体" w:hAnsi="黑体" w:eastAsia="黑体"/>
          <w:color w:val="000000"/>
          <w:sz w:val="32"/>
          <w:szCs w:val="32"/>
        </w:rPr>
        <w:t>七、</w:t>
      </w:r>
      <w:r>
        <w:rPr>
          <w:rStyle w:val="17"/>
          <w:rFonts w:hint="eastAsia" w:ascii="黑体" w:hAnsi="黑体" w:eastAsia="黑体"/>
        </w:rPr>
        <w:t>“</w:t>
      </w:r>
      <w:r>
        <w:rPr>
          <w:rStyle w:val="17"/>
          <w:rFonts w:hint="eastAsia" w:ascii="黑体" w:hAnsi="黑体" w:eastAsia="黑体"/>
          <w:b w:val="0"/>
          <w:bCs w:val="0"/>
        </w:rPr>
        <w:t>三公”经费财政拨款支出决算情况说明</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rPr>
        <w:t>201</w:t>
      </w:r>
      <w:r>
        <w:rPr>
          <w:rFonts w:hint="eastAsia" w:ascii="仿宋_GB2312" w:hAnsi="黑体" w:eastAsia="仿宋_GB2312"/>
          <w:sz w:val="32"/>
          <w:szCs w:val="32"/>
          <w:lang w:val="en-US" w:eastAsia="zh-CN"/>
        </w:rPr>
        <w:t>9</w:t>
      </w:r>
      <w:r>
        <w:rPr>
          <w:rFonts w:hint="eastAsia" w:ascii="仿宋_GB2312" w:hAnsi="黑体" w:eastAsia="仿宋_GB2312"/>
          <w:sz w:val="32"/>
          <w:szCs w:val="32"/>
        </w:rPr>
        <w:t>年度</w:t>
      </w:r>
      <w:r>
        <w:rPr>
          <w:rFonts w:hint="eastAsia" w:ascii="仿宋_GB2312" w:hAnsi="黑体" w:eastAsia="仿宋_GB2312"/>
          <w:sz w:val="32"/>
          <w:szCs w:val="32"/>
          <w:lang w:eastAsia="zh-CN"/>
        </w:rPr>
        <w:t>无</w:t>
      </w:r>
      <w:r>
        <w:rPr>
          <w:rFonts w:hint="eastAsia" w:ascii="仿宋_GB2312" w:hAnsi="黑体" w:eastAsia="仿宋_GB2312"/>
          <w:sz w:val="32"/>
          <w:szCs w:val="32"/>
        </w:rPr>
        <w:t>“三公”经费财政拨款支出</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年“三公”经费财政拨款支出决算中，因公出国（境）费支出决算0万元，占0%；公务用车购置及运行维护费支出决算0万元，占0%；公务接待费支出决算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具体情况如下：</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rPr>
        <w:t>1.</w:t>
      </w:r>
      <w:r>
        <w:rPr>
          <w:rFonts w:hint="eastAsia" w:ascii="仿宋_GB2312" w:hAnsi="仿宋_GB2312" w:eastAsia="仿宋_GB2312" w:cs="仿宋_GB2312"/>
          <w:b/>
          <w:color w:val="000000"/>
          <w:sz w:val="32"/>
          <w:szCs w:val="32"/>
        </w:rPr>
        <w:t>因公出国（境）经费支出</w:t>
      </w:r>
      <w:r>
        <w:rPr>
          <w:rFonts w:hint="eastAsia" w:ascii="仿宋_GB2312" w:hAnsi="仿宋_GB2312" w:eastAsia="仿宋_GB2312" w:cs="仿宋_GB2312"/>
          <w:color w:val="000000"/>
          <w:sz w:val="32"/>
          <w:szCs w:val="32"/>
        </w:rPr>
        <w:t>0万元，完成预算0%</w:t>
      </w:r>
      <w:r>
        <w:rPr>
          <w:rStyle w:val="10"/>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因公出国（境）支出决算与201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年一致。</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b/>
          <w:bCs/>
          <w:color w:val="000000"/>
          <w:sz w:val="32"/>
          <w:szCs w:val="32"/>
        </w:rPr>
        <w:t>公务用车购置及运行维护费支出</w:t>
      </w:r>
      <w:r>
        <w:rPr>
          <w:rFonts w:hint="eastAsia" w:ascii="仿宋_GB2312" w:hAnsi="仿宋_GB2312" w:eastAsia="仿宋_GB2312" w:cs="仿宋_GB2312"/>
          <w:color w:val="000000"/>
          <w:sz w:val="32"/>
          <w:szCs w:val="32"/>
        </w:rPr>
        <w:t>0万元,</w:t>
      </w:r>
      <w:r>
        <w:rPr>
          <w:rStyle w:val="10"/>
          <w:rFonts w:hint="eastAsia" w:ascii="仿宋_GB2312" w:hAnsi="仿宋_GB2312" w:eastAsia="仿宋_GB2312" w:cs="仿宋_GB2312"/>
          <w:b w:val="0"/>
          <w:color w:val="000000"/>
          <w:sz w:val="32"/>
          <w:szCs w:val="32"/>
        </w:rPr>
        <w:t>完成预算0%。</w:t>
      </w:r>
      <w:r>
        <w:rPr>
          <w:rFonts w:hint="eastAsia" w:ascii="仿宋_GB2312" w:hAnsi="仿宋_GB2312" w:eastAsia="仿宋_GB2312" w:cs="仿宋_GB2312"/>
          <w:color w:val="000000"/>
          <w:sz w:val="32"/>
          <w:szCs w:val="32"/>
        </w:rPr>
        <w:t>公务用车购置及运行维护费支出决算与201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年一致。</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color w:val="000000"/>
          <w:sz w:val="32"/>
          <w:szCs w:val="32"/>
        </w:rPr>
        <w:t>0万元。</w:t>
      </w:r>
    </w:p>
    <w:p>
      <w:pPr>
        <w:spacing w:line="576"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公务用车运行维护费支出</w:t>
      </w:r>
      <w:r>
        <w:rPr>
          <w:rFonts w:hint="eastAsia" w:ascii="仿宋_GB2312" w:hAnsi="仿宋_GB2312" w:eastAsia="仿宋_GB2312" w:cs="仿宋_GB2312"/>
          <w:color w:val="000000"/>
          <w:sz w:val="32"/>
          <w:szCs w:val="32"/>
        </w:rPr>
        <w:t>0万元。</w:t>
      </w:r>
    </w:p>
    <w:p>
      <w:pPr>
        <w:spacing w:line="576" w:lineRule="exact"/>
        <w:ind w:firstLine="643" w:firstLineChars="200"/>
        <w:rPr>
          <w:rFonts w:hint="eastAsia" w:ascii="仿宋_GB2312" w:eastAsia="仿宋_GB2312"/>
          <w:sz w:val="32"/>
          <w:szCs w:val="32"/>
          <w:lang w:eastAsia="zh-CN"/>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_GB2312" w:hAnsi="仿宋" w:eastAsia="仿宋_GB2312"/>
          <w:b w:val="0"/>
          <w:bCs w:val="0"/>
          <w:color w:val="000000"/>
        </w:rPr>
        <w:t>完成预算</w:t>
      </w:r>
      <w:r>
        <w:rPr>
          <w:rStyle w:val="17"/>
          <w:rFonts w:hint="eastAsia" w:ascii="仿宋_GB2312" w:hAnsi="仿宋" w:eastAsia="仿宋_GB2312"/>
          <w:b w:val="0"/>
          <w:bCs w:val="0"/>
          <w:color w:val="000000"/>
          <w:lang w:val="en-US" w:eastAsia="zh-CN"/>
        </w:rPr>
        <w:t>0</w:t>
      </w:r>
      <w:r>
        <w:rPr>
          <w:rStyle w:val="17"/>
          <w:rFonts w:hint="eastAsia" w:ascii="仿宋_GB2312" w:hAnsi="仿宋" w:eastAsia="仿宋_GB2312"/>
          <w:b w:val="0"/>
          <w:bCs w:val="0"/>
          <w:color w:val="000000"/>
        </w:rPr>
        <w:t>%</w:t>
      </w:r>
      <w:r>
        <w:rPr>
          <w:rStyle w:val="17"/>
          <w:rFonts w:hint="eastAsia" w:ascii="仿宋_GB2312" w:hAnsi="仿宋" w:eastAsia="仿宋_GB2312"/>
          <w:bCs w:val="0"/>
          <w:color w:val="000000"/>
        </w:rPr>
        <w:t>。</w:t>
      </w:r>
      <w:r>
        <w:rPr>
          <w:rFonts w:hint="eastAsia" w:ascii="仿宋_GB2312" w:eastAsia="仿宋_GB2312"/>
          <w:color w:val="000000"/>
          <w:sz w:val="32"/>
          <w:szCs w:val="32"/>
        </w:rPr>
        <w:t>公务接待费支出决算比201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0.02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%。主要原因是</w:t>
      </w:r>
      <w:r>
        <w:rPr>
          <w:rFonts w:hint="eastAsia" w:ascii="仿宋_GB2312" w:hAnsi="黑体" w:eastAsia="仿宋_GB2312"/>
          <w:sz w:val="32"/>
          <w:szCs w:val="32"/>
        </w:rPr>
        <w:t>单位在部门经费预算执行过程中严格贯彻落实中央八项规定、省委省政府十项规定、州委州政府八条意见，厉行节约，</w:t>
      </w:r>
      <w:r>
        <w:rPr>
          <w:rFonts w:hint="eastAsia" w:ascii="仿宋_GB2312" w:hAnsi="黑体" w:eastAsia="仿宋_GB2312"/>
          <w:sz w:val="32"/>
          <w:szCs w:val="32"/>
          <w:lang w:eastAsia="zh-CN"/>
        </w:rPr>
        <w:t>本年未发生</w:t>
      </w:r>
      <w:r>
        <w:rPr>
          <w:rFonts w:hint="eastAsia" w:ascii="仿宋_GB2312" w:eastAsia="仿宋_GB2312"/>
          <w:b w:val="0"/>
          <w:bCs/>
          <w:color w:val="000000"/>
          <w:sz w:val="32"/>
          <w:szCs w:val="32"/>
        </w:rPr>
        <w:t>公务接待费支出</w:t>
      </w:r>
      <w:r>
        <w:rPr>
          <w:rFonts w:hint="eastAsia" w:ascii="仿宋_GB2312" w:eastAsia="仿宋_GB2312"/>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pPr>
      <w:r>
        <w:rPr>
          <w:rFonts w:hint="eastAsia" w:ascii="黑体" w:hAnsi="黑体" w:eastAsia="黑体"/>
          <w:color w:val="000000"/>
          <w:sz w:val="32"/>
          <w:szCs w:val="32"/>
        </w:rPr>
        <w:t>八、</w:t>
      </w:r>
      <w:r>
        <w:rPr>
          <w:rStyle w:val="17"/>
          <w:rFonts w:hint="eastAsia" w:ascii="黑体" w:hAnsi="黑体" w:eastAsia="黑体"/>
          <w:b w:val="0"/>
          <w:bCs w:val="0"/>
        </w:rPr>
        <w:t>政府性基金预算支出决算情况说明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年政府性基金预算拨款支出0万元。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九、国有资本经营预算支出决算情况说明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color w:val="000000"/>
          <w:sz w:val="32"/>
          <w:szCs w:val="32"/>
        </w:rPr>
      </w:pPr>
      <w:r>
        <w:rPr>
          <w:rFonts w:hint="eastAsia" w:ascii="仿宋_GB2312" w:hAnsi="黑体" w:eastAsia="仿宋_GB2312"/>
          <w:color w:val="000000"/>
          <w:sz w:val="32"/>
          <w:szCs w:val="32"/>
        </w:rPr>
        <w:t>201</w:t>
      </w:r>
      <w:r>
        <w:rPr>
          <w:rFonts w:hint="eastAsia" w:ascii="仿宋_GB2312" w:hAnsi="黑体" w:eastAsia="仿宋_GB2312"/>
          <w:color w:val="000000"/>
          <w:sz w:val="32"/>
          <w:szCs w:val="32"/>
          <w:lang w:val="en-US" w:eastAsia="zh-CN"/>
        </w:rPr>
        <w:t>9</w:t>
      </w:r>
      <w:r>
        <w:rPr>
          <w:rFonts w:hint="eastAsia" w:ascii="仿宋_GB2312" w:hAnsi="黑体" w:eastAsia="仿宋_GB2312"/>
          <w:color w:val="000000"/>
          <w:sz w:val="32"/>
          <w:szCs w:val="32"/>
        </w:rPr>
        <w:t>年国有资本经营预算拨款支出0万元。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14"/>
          <w:rFonts w:ascii="黑体" w:hAnsi="黑体" w:eastAsia="黑体"/>
        </w:rPr>
      </w:pPr>
      <w:bookmarkStart w:id="15" w:name="_Toc15377221"/>
      <w:bookmarkStart w:id="16" w:name="_Toc15396612"/>
      <w:r>
        <w:rPr>
          <w:rFonts w:hint="eastAsia" w:ascii="黑体" w:hAnsi="黑体" w:eastAsia="黑体"/>
          <w:color w:val="000000"/>
          <w:sz w:val="32"/>
          <w:szCs w:val="32"/>
        </w:rPr>
        <w:t>十</w:t>
      </w:r>
      <w:r>
        <w:rPr>
          <w:rStyle w:val="14"/>
          <w:rFonts w:hint="eastAsia" w:ascii="黑体" w:hAnsi="黑体" w:eastAsia="黑体"/>
        </w:rPr>
        <w:t>、</w:t>
      </w:r>
      <w:r>
        <w:rPr>
          <w:rStyle w:val="14"/>
          <w:rFonts w:hint="eastAsia" w:ascii="黑体" w:hAnsi="黑体" w:eastAsia="黑体"/>
          <w:b w:val="0"/>
        </w:rPr>
        <w:t>其他重要事项的情况说明</w:t>
      </w:r>
      <w:bookmarkEnd w:id="15"/>
      <w:bookmarkEnd w:id="16"/>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val="0"/>
          <w:sz w:val="32"/>
          <w:szCs w:val="32"/>
        </w:rPr>
      </w:pPr>
      <w:bookmarkStart w:id="17" w:name="_Toc15377222"/>
      <w:r>
        <w:rPr>
          <w:rFonts w:hint="eastAsia" w:ascii="楷体" w:hAnsi="楷体" w:eastAsia="楷体" w:cs="楷体"/>
          <w:b/>
          <w:bCs w:val="0"/>
          <w:sz w:val="32"/>
          <w:szCs w:val="32"/>
        </w:rPr>
        <w:t>（一）机关运行经费支出情况</w:t>
      </w:r>
      <w:bookmarkEnd w:id="17"/>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sz w:val="32"/>
          <w:szCs w:val="32"/>
        </w:rPr>
        <w:t>201</w:t>
      </w:r>
      <w:r>
        <w:rPr>
          <w:rFonts w:hint="eastAsia" w:ascii="仿宋_GB2312" w:hAnsi="黑体" w:eastAsia="仿宋_GB2312"/>
          <w:sz w:val="32"/>
          <w:szCs w:val="32"/>
          <w:lang w:val="en-US" w:eastAsia="zh-CN"/>
        </w:rPr>
        <w:t>9</w:t>
      </w:r>
      <w:r>
        <w:rPr>
          <w:rFonts w:hint="eastAsia" w:ascii="仿宋_GB2312" w:hAnsi="黑体" w:eastAsia="仿宋_GB2312"/>
          <w:sz w:val="32"/>
          <w:szCs w:val="32"/>
        </w:rPr>
        <w:t>年，</w:t>
      </w:r>
      <w:r>
        <w:rPr>
          <w:rFonts w:hint="eastAsia" w:ascii="仿宋_GB2312" w:hAnsi="黑体" w:eastAsia="仿宋_GB2312"/>
          <w:sz w:val="32"/>
          <w:szCs w:val="32"/>
          <w:lang w:eastAsia="zh-CN"/>
        </w:rPr>
        <w:t>本单位</w:t>
      </w:r>
      <w:r>
        <w:rPr>
          <w:rFonts w:hint="eastAsia" w:ascii="仿宋_GB2312" w:hAnsi="黑体" w:eastAsia="仿宋_GB2312"/>
          <w:sz w:val="32"/>
          <w:szCs w:val="32"/>
        </w:rPr>
        <w:t>机关运行经费支出0万元，与201</w:t>
      </w:r>
      <w:r>
        <w:rPr>
          <w:rFonts w:hint="eastAsia" w:ascii="仿宋_GB2312" w:hAnsi="黑体" w:eastAsia="仿宋_GB2312"/>
          <w:sz w:val="32"/>
          <w:szCs w:val="32"/>
          <w:lang w:val="en-US" w:eastAsia="zh-CN"/>
        </w:rPr>
        <w:t>8</w:t>
      </w:r>
      <w:r>
        <w:rPr>
          <w:rFonts w:hint="eastAsia" w:ascii="仿宋_GB2312" w:hAnsi="黑体" w:eastAsia="仿宋_GB2312"/>
          <w:sz w:val="32"/>
          <w:szCs w:val="32"/>
        </w:rPr>
        <w:t>年决算数持平。主要原因是本单位基本性质为财政补助事业单位，不涉及机关运行经费支出。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val="0"/>
          <w:sz w:val="32"/>
          <w:szCs w:val="32"/>
        </w:rPr>
      </w:pPr>
      <w:bookmarkStart w:id="18" w:name="_Toc15377223"/>
      <w:r>
        <w:rPr>
          <w:rFonts w:hint="eastAsia" w:ascii="楷体" w:hAnsi="楷体" w:eastAsia="楷体" w:cs="楷体"/>
          <w:b/>
          <w:bCs w:val="0"/>
          <w:sz w:val="32"/>
          <w:szCs w:val="32"/>
        </w:rPr>
        <w:t>（二）政府采购支出情况</w:t>
      </w:r>
      <w:bookmarkEnd w:id="1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年，政府采购支出总额0万元。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val="0"/>
          <w:sz w:val="32"/>
          <w:szCs w:val="32"/>
        </w:rPr>
      </w:pPr>
      <w:bookmarkStart w:id="19" w:name="_Toc15377224"/>
      <w:r>
        <w:rPr>
          <w:rFonts w:hint="eastAsia" w:ascii="楷体" w:hAnsi="楷体" w:eastAsia="楷体" w:cs="楷体"/>
          <w:b/>
          <w:bCs w:val="0"/>
          <w:sz w:val="32"/>
          <w:szCs w:val="32"/>
        </w:rPr>
        <w:t>（三）国有资产占有使用情况</w:t>
      </w:r>
      <w:bookmarkEnd w:id="19"/>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共有车辆0辆，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（四）预算绩效管理情况</w:t>
      </w:r>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在年初预算编制阶段，组织对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省级财政代缴资金专项拨款</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pStyle w:val="19"/>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eastAsia="仿宋_GB2312"/>
          <w:sz w:val="32"/>
          <w:szCs w:val="32"/>
        </w:rPr>
        <w:t>本部门按要求对201</w:t>
      </w:r>
      <w:r>
        <w:rPr>
          <w:rFonts w:hint="eastAsia" w:ascii="仿宋_GB2312" w:eastAsia="仿宋_GB2312"/>
          <w:sz w:val="32"/>
          <w:szCs w:val="32"/>
          <w:lang w:val="en-US" w:eastAsia="zh-CN"/>
        </w:rPr>
        <w:t>9</w:t>
      </w:r>
      <w:r>
        <w:rPr>
          <w:rFonts w:hint="eastAsia" w:ascii="仿宋_GB2312" w:eastAsia="仿宋_GB2312"/>
          <w:sz w:val="32"/>
          <w:szCs w:val="32"/>
        </w:rPr>
        <w:t>年部门整体支出开展绩效自评，从评价情况来看</w:t>
      </w:r>
      <w:r>
        <w:rPr>
          <w:rFonts w:hint="eastAsia" w:ascii="仿宋_GB2312" w:eastAsia="仿宋_GB2312"/>
          <w:color w:val="000000"/>
          <w:sz w:val="32"/>
          <w:szCs w:val="32"/>
          <w:shd w:val="clear" w:color="auto" w:fill="FFFFFF"/>
        </w:rPr>
        <w:t>我局201</w:t>
      </w:r>
      <w:r>
        <w:rPr>
          <w:rFonts w:hint="eastAsia" w:ascii="仿宋_GB2312" w:eastAsia="仿宋_GB2312"/>
          <w:color w:val="000000"/>
          <w:sz w:val="32"/>
          <w:szCs w:val="32"/>
          <w:shd w:val="clear" w:color="auto" w:fill="FFFFFF"/>
          <w:lang w:val="en-US" w:eastAsia="zh-CN"/>
        </w:rPr>
        <w:t>9</w:t>
      </w:r>
      <w:r>
        <w:rPr>
          <w:rFonts w:hint="eastAsia" w:ascii="仿宋_GB2312" w:eastAsia="仿宋_GB2312"/>
          <w:color w:val="000000"/>
          <w:sz w:val="32"/>
          <w:szCs w:val="32"/>
          <w:shd w:val="clear" w:color="auto" w:fill="FFFFFF"/>
        </w:rPr>
        <w:t>年部门整体支出情况良好，从预算到执行和收入、支出管理均严格按照相关要求进行，全年收支平衡，有效保障了单位正常运转，圆满完成了单位目标任务。</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w:t>
      </w:r>
      <w:r>
        <w:rPr>
          <w:rFonts w:hint="eastAsia" w:ascii="仿宋_GB2312" w:hAnsi="仿宋_GB2312" w:eastAsia="仿宋_GB2312" w:cs="仿宋_GB2312"/>
          <w:sz w:val="32"/>
          <w:szCs w:val="32"/>
          <w:lang w:eastAsia="zh-CN"/>
        </w:rPr>
        <w:t>看，本单位严格贯彻落实《四川省省级财政困难群众社会保险个人缴费代缴资金管理办法》文件精神，代缴资金已于下达当月全部划拨至城乡居民养老保险基金财政专户进行管理，确保专款专用。</w:t>
      </w:r>
    </w:p>
    <w:p>
      <w:pPr>
        <w:pStyle w:val="19"/>
        <w:keepNext w:val="0"/>
        <w:keepLines w:val="0"/>
        <w:pageBreakBefore w:val="0"/>
        <w:numPr>
          <w:ilvl w:val="0"/>
          <w:numId w:val="0"/>
        </w:numPr>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省级财政代缴资金专项拨款”</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pStyle w:val="19"/>
        <w:keepNext w:val="0"/>
        <w:keepLines w:val="0"/>
        <w:pageBreakBefore w:val="0"/>
        <w:widowControl/>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省级财政代缴资金专项拨款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101.58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101.58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，我单位完成了对</w:t>
      </w:r>
      <w:r>
        <w:rPr>
          <w:rFonts w:hint="eastAsia" w:ascii="仿宋_GB2312" w:hAnsi="仿宋" w:eastAsia="仿宋_GB2312"/>
          <w:sz w:val="32"/>
          <w:szCs w:val="32"/>
        </w:rPr>
        <w:t>本县符合代缴政策（扣除身份重叠人员）的</w:t>
      </w:r>
      <w:r>
        <w:rPr>
          <w:rFonts w:hint="eastAsia" w:ascii="仿宋_GB2312" w:hAnsi="仿宋" w:eastAsia="仿宋_GB2312"/>
          <w:sz w:val="32"/>
          <w:szCs w:val="32"/>
          <w:lang w:eastAsia="zh-CN"/>
        </w:rPr>
        <w:t>“三类人员”</w:t>
      </w:r>
      <w:r>
        <w:rPr>
          <w:rFonts w:hint="eastAsia" w:ascii="仿宋_GB2312" w:hAnsi="仿宋" w:eastAsia="仿宋_GB2312"/>
          <w:sz w:val="32"/>
          <w:szCs w:val="32"/>
        </w:rPr>
        <w:t>代缴2019年城乡居民养老保险费</w:t>
      </w:r>
      <w:r>
        <w:rPr>
          <w:rFonts w:hint="eastAsia" w:ascii="仿宋_GB2312" w:hAnsi="仿宋_GB2312" w:eastAsia="仿宋_GB2312" w:cs="仿宋_GB2312"/>
          <w:sz w:val="32"/>
          <w:szCs w:val="32"/>
        </w:rPr>
        <w:t>，促进</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我县困难</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脱贫</w:t>
      </w:r>
      <w:r>
        <w:rPr>
          <w:rFonts w:hint="eastAsia" w:ascii="仿宋_GB2312" w:hAnsi="仿宋_GB2312" w:eastAsia="仿宋_GB2312" w:cs="仿宋_GB2312"/>
          <w:sz w:val="32"/>
          <w:szCs w:val="32"/>
          <w:lang w:eastAsia="zh-CN"/>
        </w:rPr>
        <w:t>。专项资金管理过程中能够未发现问题。</w:t>
      </w:r>
    </w:p>
    <w:tbl>
      <w:tblPr>
        <w:tblStyle w:val="12"/>
        <w:tblpPr w:leftFromText="180" w:rightFromText="180" w:vertAnchor="text" w:horzAnchor="page" w:tblpXSpec="center" w:tblpY="423"/>
        <w:tblOverlap w:val="never"/>
        <w:tblW w:w="9960" w:type="dxa"/>
        <w:jc w:val="center"/>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2019年度省级财政代缴资金</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茂县城乡居民养老保险事务中心</w:t>
            </w: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101.58万元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101.58万元</w:t>
            </w:r>
          </w:p>
        </w:tc>
      </w:tr>
      <w:tr>
        <w:tblPrEx>
          <w:tblLayout w:type="fixed"/>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101.58万元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101.58万元</w:t>
            </w:r>
          </w:p>
        </w:tc>
      </w:tr>
      <w:tr>
        <w:tblPrEx>
          <w:tblLayout w:type="fixed"/>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sz w:val="24"/>
                <w:lang w:eastAsia="zh-CN"/>
              </w:rPr>
            </w:pPr>
            <w:r>
              <w:rPr>
                <w:rFonts w:hint="eastAsia" w:ascii="仿宋_GB2312" w:hAnsi="仿宋_GB2312" w:eastAsia="仿宋_GB2312" w:cs="仿宋_GB2312"/>
                <w:color w:val="000000"/>
                <w:sz w:val="21"/>
                <w:szCs w:val="21"/>
                <w:lang w:eastAsia="zh-CN"/>
              </w:rPr>
              <w:t>省级财政对全县符合条件建档立卡未标注脱贫的人员、低保对象、特困人员按100元</w:t>
            </w:r>
            <w:r>
              <w:rPr>
                <w:rFonts w:hint="eastAsia" w:ascii="仿宋_GB2312" w:hAnsi="仿宋_GB2312" w:eastAsia="仿宋_GB2312" w:cs="仿宋_GB2312"/>
                <w:color w:val="000000"/>
                <w:sz w:val="21"/>
                <w:szCs w:val="21"/>
                <w:lang w:val="en-US" w:eastAsia="zh-CN"/>
              </w:rPr>
              <w:t>/人的</w:t>
            </w:r>
            <w:r>
              <w:rPr>
                <w:rFonts w:hint="eastAsia" w:ascii="仿宋_GB2312" w:hAnsi="仿宋_GB2312" w:eastAsia="仿宋_GB2312" w:cs="仿宋_GB2312"/>
                <w:color w:val="000000"/>
                <w:sz w:val="21"/>
                <w:szCs w:val="21"/>
                <w:lang w:eastAsia="zh-CN"/>
              </w:rPr>
              <w:t>标准代缴</w:t>
            </w:r>
            <w:r>
              <w:rPr>
                <w:rFonts w:hint="eastAsia" w:ascii="仿宋_GB2312" w:hAnsi="仿宋_GB2312" w:eastAsia="仿宋_GB2312" w:cs="仿宋_GB2312"/>
                <w:color w:val="000000"/>
                <w:sz w:val="21"/>
                <w:szCs w:val="21"/>
                <w:lang w:val="en-US" w:eastAsia="zh-CN"/>
              </w:rPr>
              <w:t>2019年</w:t>
            </w:r>
            <w:r>
              <w:rPr>
                <w:rFonts w:hint="eastAsia" w:ascii="仿宋_GB2312" w:hAnsi="仿宋_GB2312" w:eastAsia="仿宋_GB2312" w:cs="仿宋_GB2312"/>
                <w:color w:val="000000"/>
                <w:sz w:val="21"/>
                <w:szCs w:val="21"/>
                <w:lang w:eastAsia="zh-CN"/>
              </w:rPr>
              <w:t>城乡居民基本养老保险费，助力参保贫困人员精准脱贫。</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仿宋_GB2312" w:cs="宋体"/>
                <w:color w:val="000000"/>
                <w:sz w:val="24"/>
                <w:lang w:val="en-US" w:eastAsia="zh-CN"/>
              </w:rPr>
            </w:pPr>
            <w:r>
              <w:rPr>
                <w:rFonts w:hint="eastAsia" w:ascii="仿宋_GB2312" w:hAnsi="仿宋_GB2312" w:eastAsia="仿宋_GB2312" w:cs="仿宋_GB2312"/>
                <w:color w:val="000000"/>
                <w:sz w:val="21"/>
                <w:szCs w:val="21"/>
              </w:rPr>
              <w:t>省级代缴资金已足额划拨至城乡居民养老保险基金财政专户，同时我</w:t>
            </w:r>
            <w:r>
              <w:rPr>
                <w:rFonts w:hint="eastAsia" w:ascii="仿宋_GB2312" w:hAnsi="仿宋_GB2312" w:eastAsia="仿宋_GB2312" w:cs="仿宋_GB2312"/>
                <w:color w:val="000000"/>
                <w:sz w:val="21"/>
                <w:szCs w:val="21"/>
                <w:lang w:eastAsia="zh-CN"/>
              </w:rPr>
              <w:t>单位</w:t>
            </w:r>
            <w:r>
              <w:rPr>
                <w:rFonts w:hint="eastAsia" w:ascii="仿宋_GB2312" w:hAnsi="仿宋_GB2312" w:eastAsia="仿宋_GB2312" w:cs="仿宋_GB2312"/>
                <w:color w:val="000000"/>
                <w:sz w:val="21"/>
                <w:szCs w:val="21"/>
              </w:rPr>
              <w:t>根据县扶贫移民局提供未标注脱贫人员名单及县民政局提供的低保对象、特困人员名单，</w:t>
            </w:r>
            <w:r>
              <w:rPr>
                <w:rFonts w:hint="eastAsia" w:ascii="仿宋_GB2312" w:hAnsi="仿宋_GB2312" w:eastAsia="仿宋_GB2312" w:cs="仿宋_GB2312"/>
                <w:color w:val="000000"/>
                <w:sz w:val="21"/>
                <w:szCs w:val="21"/>
                <w:lang w:eastAsia="zh-CN"/>
              </w:rPr>
              <w:t>为我县符合条件的“三类人员”按照100元</w:t>
            </w:r>
            <w:r>
              <w:rPr>
                <w:rFonts w:hint="eastAsia" w:ascii="仿宋_GB2312" w:hAnsi="仿宋_GB2312" w:eastAsia="仿宋_GB2312" w:cs="仿宋_GB2312"/>
                <w:color w:val="000000"/>
                <w:sz w:val="21"/>
                <w:szCs w:val="21"/>
                <w:lang w:val="en-US" w:eastAsia="zh-CN"/>
              </w:rPr>
              <w:t>/人的</w:t>
            </w:r>
            <w:r>
              <w:rPr>
                <w:rFonts w:hint="eastAsia" w:ascii="仿宋_GB2312" w:hAnsi="仿宋_GB2312" w:eastAsia="仿宋_GB2312" w:cs="仿宋_GB2312"/>
                <w:color w:val="000000"/>
                <w:sz w:val="21"/>
                <w:szCs w:val="21"/>
                <w:lang w:eastAsia="zh-CN"/>
              </w:rPr>
              <w:t>代缴</w:t>
            </w:r>
            <w:r>
              <w:rPr>
                <w:rFonts w:hint="eastAsia" w:ascii="仿宋_GB2312" w:hAnsi="仿宋_GB2312" w:eastAsia="仿宋_GB2312" w:cs="仿宋_GB2312"/>
                <w:color w:val="000000"/>
                <w:sz w:val="21"/>
                <w:szCs w:val="21"/>
                <w:lang w:val="en-US" w:eastAsia="zh-CN"/>
              </w:rPr>
              <w:t>2019年城乡居民保险费。</w:t>
            </w:r>
          </w:p>
        </w:tc>
      </w:tr>
      <w:tr>
        <w:tblPrEx>
          <w:tblLayout w:type="fixed"/>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eastAsia="zh-CN"/>
              </w:rPr>
            </w:pPr>
            <w:r>
              <w:rPr>
                <w:rFonts w:hint="eastAsia" w:asciiTheme="minorEastAsia" w:hAnsiTheme="minorEastAsia" w:eastAsiaTheme="minorEastAsia" w:cstheme="minorEastAsia"/>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代缴城乡居民基本养老保险费人数完成率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100%</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建档立卡未标注脱贫的贫困人口、低保对象、特困人员等困难群体参保率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eastAsia="zh-CN"/>
              </w:rPr>
            </w:pPr>
            <w:r>
              <w:rPr>
                <w:rFonts w:hint="eastAsia" w:asciiTheme="minorEastAsia" w:hAnsiTheme="minorEastAsia" w:eastAsiaTheme="minorEastAsia" w:cstheme="minorEastAsia"/>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资金在规定时间下达率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100%，资金在当年全额划拨至城乡居民养老保险基金财政专户，确保专款专用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100%，资金在当年全额划拨至城乡居民养老保险基金财政专户，确保专款专用</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 xml:space="preserve"> 代缴城乡居民基本养老保险最低标准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100元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100元</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社会效益</w:t>
            </w:r>
          </w:p>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eastAsia="zh-CN"/>
              </w:rPr>
            </w:pPr>
            <w:r>
              <w:rPr>
                <w:rFonts w:hint="eastAsia" w:asciiTheme="minorEastAsia" w:hAnsiTheme="minorEastAsia" w:eastAsiaTheme="minorEastAsia" w:cstheme="minorEastAsia"/>
                <w:color w:val="000000"/>
                <w:sz w:val="24"/>
                <w:lang w:eastAsia="zh-CN"/>
              </w:rPr>
              <w:t>对脱贫攻坚促进作用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0"/>
                <w:szCs w:val="20"/>
                <w:u w:val="none"/>
                <w:lang w:val="en-US" w:eastAsia="zh-CN" w:bidi="ar-SA"/>
              </w:rPr>
            </w:pPr>
            <w:r>
              <w:rPr>
                <w:rFonts w:hint="eastAsia" w:asciiTheme="minorEastAsia" w:hAnsiTheme="minorEastAsia" w:eastAsiaTheme="minorEastAsia" w:cstheme="minorEastAsia"/>
                <w:i w:val="0"/>
                <w:color w:val="000000"/>
                <w:kern w:val="0"/>
                <w:sz w:val="24"/>
                <w:szCs w:val="24"/>
                <w:u w:val="none"/>
                <w:lang w:val="en-US" w:eastAsia="zh-CN" w:bidi="ar"/>
              </w:rPr>
              <w:t>助力我县</w:t>
            </w:r>
            <w:r>
              <w:rPr>
                <w:rFonts w:hint="eastAsia" w:asciiTheme="minorEastAsia" w:hAnsiTheme="minorEastAsia" w:eastAsiaTheme="minorEastAsia" w:cstheme="minorEastAsia"/>
                <w:color w:val="000000"/>
                <w:sz w:val="24"/>
                <w:szCs w:val="24"/>
              </w:rPr>
              <w:t>建档立卡未标注脱贫的贫困人口、低保对象、特困人员</w:t>
            </w:r>
            <w:r>
              <w:rPr>
                <w:rFonts w:hint="eastAsia" w:asciiTheme="minorEastAsia" w:hAnsiTheme="minorEastAsia" w:eastAsiaTheme="minorEastAsia" w:cstheme="minorEastAsia"/>
                <w:i w:val="0"/>
                <w:color w:val="000000"/>
                <w:kern w:val="0"/>
                <w:sz w:val="24"/>
                <w:szCs w:val="24"/>
                <w:u w:val="none"/>
                <w:lang w:val="en-US" w:eastAsia="zh-CN" w:bidi="ar"/>
              </w:rPr>
              <w:t>脱贫</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i w:val="0"/>
                <w:color w:val="000000"/>
                <w:kern w:val="0"/>
                <w:sz w:val="24"/>
                <w:szCs w:val="24"/>
                <w:u w:val="none"/>
                <w:lang w:val="en-US" w:eastAsia="zh-CN" w:bidi="ar"/>
              </w:rPr>
              <w:t>助力我县</w:t>
            </w:r>
            <w:r>
              <w:rPr>
                <w:rFonts w:hint="eastAsia" w:asciiTheme="minorEastAsia" w:hAnsiTheme="minorEastAsia" w:eastAsiaTheme="minorEastAsia" w:cstheme="minorEastAsia"/>
                <w:color w:val="000000"/>
                <w:sz w:val="24"/>
                <w:szCs w:val="24"/>
              </w:rPr>
              <w:t>建档立卡未标注脱贫的贫困人口、低保对象、特困人员</w:t>
            </w:r>
            <w:r>
              <w:rPr>
                <w:rFonts w:hint="eastAsia" w:asciiTheme="minorEastAsia" w:hAnsiTheme="minorEastAsia" w:eastAsiaTheme="minorEastAsia" w:cstheme="minorEastAsia"/>
                <w:i w:val="0"/>
                <w:color w:val="000000"/>
                <w:kern w:val="0"/>
                <w:sz w:val="24"/>
                <w:szCs w:val="24"/>
                <w:u w:val="none"/>
                <w:lang w:val="en-US" w:eastAsia="zh-CN" w:bidi="ar"/>
              </w:rPr>
              <w:t>脱贫</w:t>
            </w:r>
          </w:p>
        </w:tc>
      </w:tr>
      <w:tr>
        <w:tblPrEx>
          <w:tblLayout w:type="fixed"/>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建档立卡未标注脱贫的贫困人口、低保对象、特困人员等困难群体满意度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bl>
    <w:p>
      <w:pPr>
        <w:spacing w:line="580" w:lineRule="exact"/>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茂县城乡居民养老保险事务中心</w:t>
      </w:r>
      <w:r>
        <w:rPr>
          <w:rFonts w:hint="eastAsia" w:ascii="仿宋_GB2312" w:hAnsi="仿宋_GB2312" w:eastAsia="仿宋_GB2312" w:cs="仿宋_GB2312"/>
          <w:sz w:val="32"/>
          <w:szCs w:val="32"/>
        </w:rPr>
        <w:t>2019年部门整体支出绩效评价报告》见附件（附件1）。</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left"/>
        <w:textAlignment w:val="auto"/>
        <w:rPr>
          <w:rFonts w:hint="eastAsia" w:ascii="仿宋_GB2312" w:hAnsi="黑体" w:eastAsia="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省级财政代缴资金</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省级财政代缴资金</w:t>
      </w:r>
      <w:r>
        <w:rPr>
          <w:rFonts w:hint="eastAsia" w:ascii="仿宋_GB2312" w:hAnsi="仿宋_GB2312" w:eastAsia="仿宋_GB2312" w:cs="仿宋_GB2312"/>
          <w:sz w:val="32"/>
          <w:szCs w:val="32"/>
        </w:rPr>
        <w:t>项目2019年绩效评价报告》见附件（附件2）。</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（五）关于单位更名的情况说明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 w:eastAsia="仿宋_GB2312"/>
          <w:color w:val="000000"/>
          <w:sz w:val="32"/>
          <w:szCs w:val="32"/>
          <w:lang w:eastAsia="zh-CN"/>
        </w:rPr>
        <w:t>根据茂编发</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41号文件精神，我单位名称由“茂县城乡居民养老保险事业管理局</w:t>
      </w: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更名为“茂县城乡居民养老保险事务中心”，属公益一类事业单位。</w:t>
      </w:r>
    </w:p>
    <w:p>
      <w:pPr>
        <w:keepNext w:val="0"/>
        <w:keepLines w:val="0"/>
        <w:pageBreakBefore w:val="0"/>
        <w:widowControl w:val="0"/>
        <w:kinsoku/>
        <w:wordWrap/>
        <w:overflowPunct/>
        <w:topLinePunct w:val="0"/>
        <w:autoSpaceDE w:val="0"/>
        <w:autoSpaceDN w:val="0"/>
        <w:bidi w:val="0"/>
        <w:adjustRightInd w:val="0"/>
        <w:snapToGrid/>
        <w:spacing w:line="576" w:lineRule="exact"/>
        <w:ind w:firstLine="2640" w:firstLineChars="600"/>
        <w:jc w:val="both"/>
        <w:textAlignment w:val="auto"/>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第三部分 名</w:t>
      </w:r>
      <w:r>
        <w:rPr>
          <w:rStyle w:val="13"/>
          <w:rFonts w:hint="eastAsia" w:ascii="方正小标宋简体" w:hAnsi="方正小标宋简体" w:eastAsia="方正小标宋简体" w:cs="方正小标宋简体"/>
          <w:b w:val="0"/>
        </w:rPr>
        <w:t>词解释</w:t>
      </w:r>
    </w:p>
    <w:p>
      <w:pPr>
        <w:pStyle w:val="2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楷体_GB2312" w:eastAsia="仿宋_GB2312" w:cs="楷体_GB2312"/>
          <w:bCs/>
          <w:sz w:val="32"/>
          <w:szCs w:val="32"/>
        </w:rPr>
      </w:pPr>
      <w:r>
        <w:rPr>
          <w:rFonts w:hint="eastAsia" w:ascii="仿宋_GB2312" w:hAnsi="楷体_GB2312" w:eastAsia="仿宋_GB2312" w:cs="楷体_GB2312"/>
          <w:bCs/>
          <w:sz w:val="32"/>
          <w:szCs w:val="32"/>
        </w:rPr>
        <w:t>9.社会保障和就业支出（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）人力资源和社会保障管理事务（</w:t>
      </w:r>
      <w:r>
        <w:rPr>
          <w:rFonts w:hint="eastAsia" w:ascii="仿宋_GB2312" w:hAnsi="楷体_GB2312" w:eastAsia="仿宋_GB2312" w:cs="楷体_GB2312"/>
          <w:bCs/>
          <w:sz w:val="32"/>
          <w:szCs w:val="32"/>
          <w:lang w:val="en-US" w:eastAsia="zh-CN"/>
        </w:rPr>
        <w:t>01</w:t>
      </w:r>
      <w:r>
        <w:rPr>
          <w:rFonts w:hint="eastAsia" w:ascii="仿宋_GB2312" w:hAnsi="楷体_GB2312" w:eastAsia="仿宋_GB2312" w:cs="楷体_GB2312"/>
          <w:bCs/>
          <w:sz w:val="32"/>
          <w:szCs w:val="32"/>
        </w:rPr>
        <w:t>）社会保险经办机构（</w:t>
      </w:r>
      <w:r>
        <w:rPr>
          <w:rFonts w:hint="eastAsia" w:ascii="仿宋_GB2312" w:hAnsi="楷体_GB2312" w:eastAsia="仿宋_GB2312" w:cs="楷体_GB2312"/>
          <w:bCs/>
          <w:sz w:val="32"/>
          <w:szCs w:val="32"/>
          <w:lang w:val="en-US" w:eastAsia="zh-CN"/>
        </w:rPr>
        <w:t>09</w:t>
      </w:r>
      <w:r>
        <w:rPr>
          <w:rFonts w:hint="eastAsia" w:ascii="仿宋_GB2312" w:hAnsi="楷体_GB2312" w:eastAsia="仿宋_GB2312" w:cs="楷体_GB2312"/>
          <w:bCs/>
          <w:sz w:val="32"/>
          <w:szCs w:val="32"/>
        </w:rPr>
        <w:t>）：指社会保险经办机构开展业务工作的支出。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10.</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05</w:t>
      </w:r>
      <w:r>
        <w:rPr>
          <w:rFonts w:hint="eastAsia" w:ascii="仿宋_GB2312" w:hAnsi="楷体_GB2312" w:eastAsia="仿宋_GB2312" w:cs="楷体_GB2312"/>
          <w:bCs/>
          <w:sz w:val="32"/>
          <w:szCs w:val="32"/>
        </w:rPr>
        <w:t>）机关事业单位基本养老保险缴费支出（</w:t>
      </w:r>
      <w:r>
        <w:rPr>
          <w:rFonts w:hint="eastAsia" w:ascii="仿宋_GB2312" w:hAnsi="楷体_GB2312" w:eastAsia="仿宋_GB2312" w:cs="楷体_GB2312"/>
          <w:bCs/>
          <w:sz w:val="32"/>
          <w:szCs w:val="32"/>
          <w:lang w:val="en-US" w:eastAsia="zh-CN"/>
        </w:rPr>
        <w:t>05</w:t>
      </w:r>
      <w:r>
        <w:rPr>
          <w:rFonts w:hint="eastAsia" w:ascii="仿宋_GB2312" w:hAnsi="楷体_GB2312" w:eastAsia="仿宋_GB2312" w:cs="楷体_GB2312"/>
          <w:bCs/>
          <w:sz w:val="32"/>
          <w:szCs w:val="32"/>
        </w:rPr>
        <w:t>）：指机关事业单位实施养老保险制度由单位缴纳的基本养老保险费支出。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11.</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05</w:t>
      </w:r>
      <w:r>
        <w:rPr>
          <w:rFonts w:hint="eastAsia" w:ascii="仿宋_GB2312" w:hAnsi="楷体_GB2312" w:eastAsia="仿宋_GB2312" w:cs="楷体_GB2312"/>
          <w:bCs/>
          <w:sz w:val="32"/>
          <w:szCs w:val="32"/>
        </w:rPr>
        <w:t>）机关事业单位职业年金缴费支出（</w:t>
      </w:r>
      <w:r>
        <w:rPr>
          <w:rFonts w:hint="eastAsia" w:ascii="仿宋_GB2312" w:hAnsi="楷体_GB2312" w:eastAsia="仿宋_GB2312" w:cs="楷体_GB2312"/>
          <w:bCs/>
          <w:sz w:val="32"/>
          <w:szCs w:val="32"/>
          <w:lang w:val="en-US" w:eastAsia="zh-CN"/>
        </w:rPr>
        <w:t>06</w:t>
      </w:r>
      <w:r>
        <w:rPr>
          <w:rFonts w:hint="eastAsia" w:ascii="仿宋_GB2312" w:hAnsi="楷体_GB2312" w:eastAsia="仿宋_GB2312" w:cs="楷体_GB2312"/>
          <w:bCs/>
          <w:sz w:val="32"/>
          <w:szCs w:val="32"/>
        </w:rPr>
        <w:t>）指：</w:t>
      </w:r>
      <w:r>
        <w:rPr>
          <w:rFonts w:hint="eastAsia" w:ascii="仿宋_GB2312" w:eastAsia="仿宋_GB2312"/>
          <w:sz w:val="32"/>
          <w:szCs w:val="32"/>
        </w:rPr>
        <w:t>机关事业单位</w:t>
      </w:r>
      <w:r>
        <w:rPr>
          <w:rFonts w:hint="eastAsia" w:ascii="仿宋_GB2312" w:hAnsi="楷体_GB2312" w:eastAsia="仿宋_GB2312" w:cs="楷体_GB2312"/>
          <w:bCs/>
          <w:sz w:val="32"/>
          <w:szCs w:val="32"/>
        </w:rPr>
        <w:t>养老保险制度由单位缴纳的职业年金支出。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12.医疗卫生与计划生育支出</w:t>
      </w:r>
      <w:r>
        <w:rPr>
          <w:rFonts w:ascii="仿宋_GB2312" w:eastAsia="仿宋_GB2312"/>
          <w:sz w:val="32"/>
          <w:szCs w:val="32"/>
        </w:rPr>
        <w:t>（</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rPr>
        <w:t>：指财政部门集中安排的事业单位基本医疗保险缴费。</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住房保障（</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rPr>
        <w:t>：指行政事业单位按规定的标准和比例</w:t>
      </w:r>
      <w:r>
        <w:rPr>
          <w:rFonts w:ascii="仿宋_GB2312" w:eastAsia="仿宋_GB2312"/>
          <w:sz w:val="32"/>
          <w:szCs w:val="32"/>
        </w:rPr>
        <w:t>为职工缴纳</w:t>
      </w:r>
      <w:r>
        <w:rPr>
          <w:rFonts w:hint="eastAsia" w:ascii="仿宋_GB2312" w:eastAsia="仿宋_GB2312"/>
          <w:sz w:val="32"/>
          <w:szCs w:val="32"/>
        </w:rPr>
        <w:t>的</w:t>
      </w:r>
      <w:r>
        <w:rPr>
          <w:rFonts w:ascii="仿宋_GB2312" w:eastAsia="仿宋_GB2312"/>
          <w:sz w:val="32"/>
          <w:szCs w:val="32"/>
        </w:rPr>
        <w:t>住房公积金。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14.农林水支出（213）扶贫（05）社会发展（06）：指用于农村贫困地区中小学教育、文化、广播、电视、医疗、卫生等方面的项目支出。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val="0"/>
        <w:autoSpaceDN w:val="0"/>
        <w:bidi w:val="0"/>
        <w:adjustRightInd w:val="0"/>
        <w:snapToGrid/>
        <w:spacing w:line="576" w:lineRule="exact"/>
        <w:ind w:firstLine="880" w:firstLineChars="200"/>
        <w:jc w:val="center"/>
        <w:textAlignment w:val="auto"/>
        <w:rPr>
          <w:rStyle w:val="13"/>
          <w:rFonts w:ascii="方正小标宋简体" w:hAnsi="方正小标宋简体" w:eastAsia="方正小标宋简体" w:cs="方正小标宋简体"/>
          <w:b w:val="0"/>
        </w:rPr>
      </w:pPr>
    </w:p>
    <w:p>
      <w:pPr>
        <w:keepNext w:val="0"/>
        <w:keepLines w:val="0"/>
        <w:pageBreakBefore w:val="0"/>
        <w:widowControl w:val="0"/>
        <w:kinsoku/>
        <w:wordWrap/>
        <w:overflowPunct/>
        <w:topLinePunct w:val="0"/>
        <w:autoSpaceDE w:val="0"/>
        <w:autoSpaceDN w:val="0"/>
        <w:bidi w:val="0"/>
        <w:adjustRightInd w:val="0"/>
        <w:snapToGrid/>
        <w:spacing w:line="576" w:lineRule="exact"/>
        <w:ind w:firstLine="880" w:firstLineChars="200"/>
        <w:jc w:val="center"/>
        <w:textAlignment w:val="auto"/>
        <w:rPr>
          <w:rStyle w:val="13"/>
          <w:rFonts w:ascii="方正小标宋简体" w:hAnsi="方正小标宋简体" w:eastAsia="方正小标宋简体" w:cs="方正小标宋简体"/>
          <w:b w:val="0"/>
        </w:rPr>
      </w:pPr>
    </w:p>
    <w:p>
      <w:pPr>
        <w:keepNext w:val="0"/>
        <w:keepLines w:val="0"/>
        <w:pageBreakBefore w:val="0"/>
        <w:widowControl w:val="0"/>
        <w:kinsoku/>
        <w:wordWrap/>
        <w:overflowPunct/>
        <w:topLinePunct w:val="0"/>
        <w:autoSpaceDE w:val="0"/>
        <w:autoSpaceDN w:val="0"/>
        <w:bidi w:val="0"/>
        <w:adjustRightInd w:val="0"/>
        <w:snapToGrid/>
        <w:spacing w:line="576" w:lineRule="exact"/>
        <w:ind w:firstLine="880" w:firstLineChars="200"/>
        <w:jc w:val="center"/>
        <w:textAlignment w:val="auto"/>
        <w:rPr>
          <w:rStyle w:val="13"/>
          <w:rFonts w:ascii="方正小标宋简体" w:hAnsi="方正小标宋简体" w:eastAsia="方正小标宋简体" w:cs="方正小标宋简体"/>
          <w:b w:val="0"/>
        </w:rPr>
      </w:pPr>
    </w:p>
    <w:p>
      <w:pPr>
        <w:keepNext w:val="0"/>
        <w:keepLines w:val="0"/>
        <w:pageBreakBefore w:val="0"/>
        <w:widowControl w:val="0"/>
        <w:kinsoku/>
        <w:wordWrap/>
        <w:overflowPunct/>
        <w:topLinePunct w:val="0"/>
        <w:autoSpaceDE w:val="0"/>
        <w:autoSpaceDN w:val="0"/>
        <w:bidi w:val="0"/>
        <w:adjustRightInd w:val="0"/>
        <w:snapToGrid/>
        <w:spacing w:line="576" w:lineRule="exact"/>
        <w:ind w:firstLine="880" w:firstLineChars="200"/>
        <w:jc w:val="center"/>
        <w:textAlignment w:val="auto"/>
        <w:rPr>
          <w:rStyle w:val="13"/>
          <w:rFonts w:ascii="方正小标宋简体" w:hAnsi="方正小标宋简体" w:eastAsia="方正小标宋简体" w:cs="方正小标宋简体"/>
          <w:b w:val="0"/>
        </w:rPr>
      </w:pPr>
    </w:p>
    <w:p>
      <w:pPr>
        <w:keepNext w:val="0"/>
        <w:keepLines w:val="0"/>
        <w:pageBreakBefore w:val="0"/>
        <w:widowControl w:val="0"/>
        <w:kinsoku/>
        <w:wordWrap/>
        <w:overflowPunct/>
        <w:topLinePunct w:val="0"/>
        <w:autoSpaceDE w:val="0"/>
        <w:autoSpaceDN w:val="0"/>
        <w:bidi w:val="0"/>
        <w:adjustRightInd w:val="0"/>
        <w:snapToGrid/>
        <w:spacing w:line="576" w:lineRule="exact"/>
        <w:ind w:firstLine="880" w:firstLineChars="200"/>
        <w:jc w:val="center"/>
        <w:textAlignment w:val="auto"/>
        <w:rPr>
          <w:rStyle w:val="13"/>
          <w:rFonts w:ascii="方正小标宋简体" w:hAnsi="方正小标宋简体" w:eastAsia="方正小标宋简体" w:cs="方正小标宋简体"/>
          <w:b w:val="0"/>
        </w:rPr>
      </w:pPr>
    </w:p>
    <w:p>
      <w:pPr>
        <w:keepNext w:val="0"/>
        <w:keepLines w:val="0"/>
        <w:pageBreakBefore w:val="0"/>
        <w:widowControl w:val="0"/>
        <w:kinsoku/>
        <w:wordWrap/>
        <w:overflowPunct/>
        <w:topLinePunct w:val="0"/>
        <w:autoSpaceDE w:val="0"/>
        <w:autoSpaceDN w:val="0"/>
        <w:bidi w:val="0"/>
        <w:adjustRightInd w:val="0"/>
        <w:snapToGrid/>
        <w:spacing w:line="576" w:lineRule="exact"/>
        <w:ind w:firstLine="880" w:firstLineChars="200"/>
        <w:jc w:val="center"/>
        <w:textAlignment w:val="auto"/>
        <w:rPr>
          <w:rStyle w:val="13"/>
          <w:rFonts w:ascii="方正小标宋简体" w:hAnsi="方正小标宋简体" w:eastAsia="方正小标宋简体" w:cs="方正小标宋简体"/>
          <w:b w:val="0"/>
        </w:rPr>
      </w:pPr>
    </w:p>
    <w:p>
      <w:pPr>
        <w:keepNext w:val="0"/>
        <w:keepLines w:val="0"/>
        <w:pageBreakBefore w:val="0"/>
        <w:widowControl w:val="0"/>
        <w:kinsoku/>
        <w:wordWrap/>
        <w:overflowPunct/>
        <w:topLinePunct w:val="0"/>
        <w:autoSpaceDE w:val="0"/>
        <w:autoSpaceDN w:val="0"/>
        <w:bidi w:val="0"/>
        <w:adjustRightInd w:val="0"/>
        <w:snapToGrid/>
        <w:spacing w:line="576" w:lineRule="exact"/>
        <w:ind w:firstLine="880" w:firstLineChars="200"/>
        <w:jc w:val="center"/>
        <w:textAlignment w:val="auto"/>
        <w:rPr>
          <w:rStyle w:val="13"/>
          <w:rFonts w:ascii="方正小标宋简体" w:hAnsi="方正小标宋简体" w:eastAsia="方正小标宋简体" w:cs="方正小标宋简体"/>
          <w:b w:val="0"/>
        </w:rPr>
      </w:pPr>
    </w:p>
    <w:p>
      <w:pPr>
        <w:keepNext w:val="0"/>
        <w:keepLines w:val="0"/>
        <w:pageBreakBefore w:val="0"/>
        <w:widowControl w:val="0"/>
        <w:kinsoku/>
        <w:wordWrap/>
        <w:overflowPunct/>
        <w:topLinePunct w:val="0"/>
        <w:autoSpaceDE w:val="0"/>
        <w:autoSpaceDN w:val="0"/>
        <w:bidi w:val="0"/>
        <w:adjustRightInd w:val="0"/>
        <w:snapToGrid/>
        <w:spacing w:line="576" w:lineRule="exact"/>
        <w:ind w:firstLine="880" w:firstLineChars="200"/>
        <w:jc w:val="center"/>
        <w:textAlignment w:val="auto"/>
        <w:rPr>
          <w:rStyle w:val="13"/>
          <w:rFonts w:ascii="方正小标宋简体" w:hAnsi="方正小标宋简体" w:eastAsia="方正小标宋简体" w:cs="方正小标宋简体"/>
          <w:b w:val="0"/>
        </w:rPr>
      </w:pPr>
    </w:p>
    <w:p>
      <w:pPr>
        <w:keepNext w:val="0"/>
        <w:keepLines w:val="0"/>
        <w:pageBreakBefore w:val="0"/>
        <w:widowControl w:val="0"/>
        <w:kinsoku/>
        <w:wordWrap/>
        <w:overflowPunct/>
        <w:topLinePunct w:val="0"/>
        <w:autoSpaceDE w:val="0"/>
        <w:autoSpaceDN w:val="0"/>
        <w:bidi w:val="0"/>
        <w:adjustRightInd w:val="0"/>
        <w:snapToGrid/>
        <w:spacing w:line="576" w:lineRule="exact"/>
        <w:ind w:firstLine="880" w:firstLineChars="200"/>
        <w:jc w:val="center"/>
        <w:textAlignment w:val="auto"/>
        <w:rPr>
          <w:rStyle w:val="13"/>
          <w:rFonts w:ascii="方正小标宋简体" w:hAnsi="方正小标宋简体" w:eastAsia="方正小标宋简体" w:cs="方正小标宋简体"/>
          <w:b w:val="0"/>
        </w:rPr>
      </w:pPr>
    </w:p>
    <w:p>
      <w:pPr>
        <w:autoSpaceDE w:val="0"/>
        <w:autoSpaceDN w:val="0"/>
        <w:adjustRightInd w:val="0"/>
        <w:spacing w:line="576" w:lineRule="exact"/>
        <w:jc w:val="center"/>
        <w:rPr>
          <w:rStyle w:val="13"/>
          <w:rFonts w:ascii="方正小标宋简体" w:hAnsi="方正小标宋简体" w:eastAsia="方正小标宋简体" w:cs="方正小标宋简体"/>
          <w:b w:val="0"/>
        </w:rPr>
      </w:pPr>
    </w:p>
    <w:p>
      <w:pPr>
        <w:spacing w:line="600" w:lineRule="exact"/>
        <w:jc w:val="center"/>
        <w:outlineLvl w:val="0"/>
        <w:rPr>
          <w:rStyle w:val="15"/>
          <w:rFonts w:ascii="黑体" w:hAnsi="黑体" w:eastAsia="黑体"/>
          <w:b w:val="0"/>
        </w:rPr>
      </w:pPr>
      <w:bookmarkStart w:id="20" w:name="_Toc15396614"/>
      <w:r>
        <w:rPr>
          <w:rFonts w:hint="eastAsia" w:ascii="黑体" w:hAnsi="黑体" w:eastAsia="黑体"/>
          <w:color w:val="000000"/>
          <w:sz w:val="44"/>
          <w:szCs w:val="44"/>
        </w:rPr>
        <w:t>第</w:t>
      </w:r>
      <w:r>
        <w:rPr>
          <w:rStyle w:val="15"/>
          <w:rFonts w:hint="eastAsia" w:ascii="黑体" w:hAnsi="黑体" w:eastAsia="黑体"/>
          <w:b w:val="0"/>
        </w:rPr>
        <w:t>四部分 附件</w:t>
      </w:r>
      <w:bookmarkEnd w:id="20"/>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autoSpaceDE w:val="0"/>
        <w:autoSpaceDN w:val="0"/>
        <w:adjustRightInd w:val="0"/>
        <w:spacing w:line="576" w:lineRule="exact"/>
        <w:jc w:val="center"/>
        <w:rPr>
          <w:rStyle w:val="13"/>
          <w:rFonts w:ascii="方正小标宋简体" w:hAnsi="方正小标宋简体" w:eastAsia="方正小标宋简体" w:cs="方正小标宋简体"/>
          <w:b w:val="0"/>
        </w:rPr>
      </w:pPr>
    </w:p>
    <w:p>
      <w:pPr>
        <w:spacing w:line="576" w:lineRule="exact"/>
        <w:jc w:val="center"/>
        <w:outlineLvl w:val="0"/>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茂县城乡居民养老保险</w:t>
      </w:r>
      <w:r>
        <w:rPr>
          <w:rFonts w:hint="eastAsia" w:ascii="方正小标宋简体" w:hAnsi="方正小标宋简体" w:eastAsia="方正小标宋简体" w:cs="方正小标宋简体"/>
          <w:sz w:val="44"/>
          <w:szCs w:val="44"/>
          <w:lang w:eastAsia="zh-CN"/>
        </w:rPr>
        <w:t>事务中心</w:t>
      </w:r>
    </w:p>
    <w:p>
      <w:pPr>
        <w:spacing w:line="576"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lang w:val="en-US" w:eastAsia="zh-CN"/>
        </w:rPr>
        <w:t>9</w:t>
      </w:r>
      <w:r>
        <w:rPr>
          <w:rFonts w:hint="eastAsia" w:ascii="方正小标宋简体" w:hAnsi="方正小标宋简体" w:eastAsia="方正小标宋简体" w:cs="方正小标宋简体"/>
          <w:sz w:val="44"/>
          <w:szCs w:val="44"/>
        </w:rPr>
        <w:t>年部门整体支出绩效评价报告</w:t>
      </w:r>
    </w:p>
    <w:p>
      <w:pPr>
        <w:autoSpaceDE w:val="0"/>
        <w:autoSpaceDN w:val="0"/>
        <w:adjustRightInd w:val="0"/>
        <w:spacing w:line="576" w:lineRule="exact"/>
        <w:jc w:val="center"/>
        <w:rPr>
          <w:rStyle w:val="13"/>
          <w:rFonts w:ascii="方正小标宋简体" w:hAnsi="方正小标宋简体" w:eastAsia="方正小标宋简体" w:cs="方正小标宋简体"/>
          <w:b w:val="0"/>
        </w:rPr>
      </w:pP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ascii="黑体" w:hAnsi="黑体" w:eastAsia="黑体"/>
          <w:sz w:val="32"/>
          <w:szCs w:val="32"/>
        </w:rPr>
      </w:pPr>
      <w:r>
        <w:rPr>
          <w:rFonts w:hint="eastAsia" w:ascii="黑体" w:hAnsi="黑体" w:eastAsia="黑体"/>
          <w:sz w:val="32"/>
          <w:szCs w:val="32"/>
        </w:rPr>
        <w:t>一、单位概况</w:t>
      </w:r>
    </w:p>
    <w:p>
      <w:pPr>
        <w:pStyle w:val="21"/>
        <w:keepNext w:val="0"/>
        <w:keepLines w:val="0"/>
        <w:pageBreakBefore w:val="0"/>
        <w:kinsoku/>
        <w:wordWrap/>
        <w:overflowPunct/>
        <w:topLinePunct w:val="0"/>
        <w:autoSpaceDE/>
        <w:autoSpaceDN/>
        <w:bidi w:val="0"/>
        <w:spacing w:line="576" w:lineRule="exact"/>
        <w:ind w:firstLine="643" w:firstLineChars="200"/>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（一）机构组成</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茂县于2010年7月1日被国务院确定为第二批农村养老保险试点县，为确保我县新农保试点工作顺利实施，经县编委研究，根据茂编发</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2010</w:t>
      </w:r>
      <w:r>
        <w:rPr>
          <w:rFonts w:hint="eastAsia" w:ascii="仿宋_GB2312" w:hAnsi="仿宋_GB2312" w:eastAsia="仿宋_GB2312" w:cs="仿宋_GB2312"/>
          <w:color w:val="000000"/>
          <w:sz w:val="32"/>
          <w:szCs w:val="32"/>
          <w:lang w:eastAsia="zh-CN"/>
        </w:rPr>
        <w:t>〕</w:t>
      </w:r>
      <w:r>
        <w:rPr>
          <w:rFonts w:hint="eastAsia" w:ascii="仿宋_GB2312" w:eastAsia="仿宋_GB2312"/>
          <w:color w:val="000000"/>
          <w:sz w:val="32"/>
          <w:szCs w:val="32"/>
        </w:rPr>
        <w:t>7号文件精神正式设立“茂县新型农村社会养老保险事业管理局”，为县人力资源和社会保障局直属股级事业单位；根据茂编发</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2010</w:t>
      </w:r>
      <w:r>
        <w:rPr>
          <w:rFonts w:hint="eastAsia" w:ascii="仿宋_GB2312" w:hAnsi="仿宋_GB2312" w:eastAsia="仿宋_GB2312" w:cs="仿宋_GB2312"/>
          <w:color w:val="000000"/>
          <w:sz w:val="32"/>
          <w:szCs w:val="32"/>
          <w:lang w:eastAsia="zh-CN"/>
        </w:rPr>
        <w:t>〕</w:t>
      </w:r>
      <w:r>
        <w:rPr>
          <w:rFonts w:hint="eastAsia" w:ascii="仿宋_GB2312" w:eastAsia="仿宋_GB2312"/>
          <w:color w:val="000000"/>
          <w:sz w:val="32"/>
          <w:szCs w:val="32"/>
        </w:rPr>
        <w:t>9号文件同意我局升格为副科级事业机构；2011年7月1日启动城镇居民养老保险后，经县委机构编制委员会研究同意并下文（茂编发[2012]35号）决定本单位更名为“茂县城乡居民养老保险事业管理局”。</w:t>
      </w:r>
      <w:r>
        <w:rPr>
          <w:rFonts w:hint="eastAsia" w:ascii="仿宋_GB2312" w:eastAsia="仿宋_GB2312"/>
          <w:color w:val="000000"/>
          <w:sz w:val="32"/>
          <w:szCs w:val="32"/>
          <w:lang w:val="en-US" w:eastAsia="zh-CN"/>
        </w:rPr>
        <w:t>2020年4月根据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41号文件精神，单位名称变更为“茂县城乡居民养老保险事务中心”。</w:t>
      </w:r>
      <w:r>
        <w:rPr>
          <w:rFonts w:hint="eastAsia" w:ascii="仿宋_GB2312" w:eastAsia="仿宋_GB2312"/>
          <w:color w:val="000000"/>
          <w:sz w:val="32"/>
          <w:szCs w:val="32"/>
        </w:rPr>
        <w:t>单位内设办公室、财务股、统筹计划股、待遇审核股4个股室，单位事业编制16名</w:t>
      </w:r>
      <w:r>
        <w:rPr>
          <w:rFonts w:hint="eastAsia" w:ascii="仿宋_GB2312" w:eastAsia="仿宋_GB2312"/>
          <w:color w:val="000000"/>
          <w:sz w:val="32"/>
          <w:szCs w:val="32"/>
          <w:lang w:eastAsia="zh-CN"/>
        </w:rPr>
        <w:t>。</w:t>
      </w:r>
    </w:p>
    <w:p>
      <w:pPr>
        <w:pStyle w:val="21"/>
        <w:keepNext w:val="0"/>
        <w:keepLines w:val="0"/>
        <w:pageBreakBefore w:val="0"/>
        <w:kinsoku/>
        <w:wordWrap/>
        <w:overflowPunct/>
        <w:topLinePunct w:val="0"/>
        <w:autoSpaceDE/>
        <w:autoSpaceDN/>
        <w:bidi w:val="0"/>
        <w:spacing w:line="576" w:lineRule="exact"/>
        <w:ind w:firstLine="643" w:firstLineChars="200"/>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（二）机构职能</w:t>
      </w:r>
    </w:p>
    <w:p>
      <w:pPr>
        <w:keepNext w:val="0"/>
        <w:keepLines w:val="0"/>
        <w:pageBreakBefore w:val="0"/>
        <w:kinsoku/>
        <w:wordWrap/>
        <w:overflowPunct/>
        <w:topLinePunct w:val="0"/>
        <w:autoSpaceDE/>
        <w:autoSpaceDN/>
        <w:bidi w:val="0"/>
        <w:adjustRightInd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我</w:t>
      </w:r>
      <w:r>
        <w:rPr>
          <w:rFonts w:hint="eastAsia" w:ascii="仿宋_GB2312" w:eastAsia="仿宋_GB2312"/>
          <w:sz w:val="32"/>
          <w:szCs w:val="32"/>
          <w:lang w:eastAsia="zh-CN"/>
        </w:rPr>
        <w:t>中心</w:t>
      </w:r>
      <w:r>
        <w:rPr>
          <w:rFonts w:hint="eastAsia" w:ascii="仿宋_GB2312" w:eastAsia="仿宋_GB2312"/>
          <w:sz w:val="32"/>
          <w:szCs w:val="32"/>
        </w:rPr>
        <w:t>负责宣传和贯彻执行城乡居民社会保险的有关政策；负责城乡居民养老保险基金</w:t>
      </w:r>
      <w:r>
        <w:rPr>
          <w:rFonts w:hint="eastAsia" w:ascii="仿宋_GB2312" w:eastAsia="仿宋_GB2312"/>
          <w:sz w:val="32"/>
          <w:szCs w:val="32"/>
          <w:lang w:eastAsia="zh-CN"/>
        </w:rPr>
        <w:t>的</w:t>
      </w:r>
      <w:r>
        <w:rPr>
          <w:rFonts w:hint="eastAsia" w:ascii="仿宋_GB2312" w:eastAsia="仿宋_GB2312"/>
          <w:sz w:val="32"/>
          <w:szCs w:val="32"/>
        </w:rPr>
        <w:t>运营管理，建立业务台账，统计</w:t>
      </w:r>
      <w:r>
        <w:rPr>
          <w:rFonts w:hint="eastAsia" w:ascii="仿宋_GB2312" w:eastAsia="仿宋_GB2312"/>
          <w:sz w:val="32"/>
          <w:szCs w:val="32"/>
          <w:lang w:eastAsia="zh-CN"/>
        </w:rPr>
        <w:t>相关</w:t>
      </w:r>
      <w:r>
        <w:rPr>
          <w:rFonts w:hint="eastAsia" w:ascii="仿宋_GB2312" w:eastAsia="仿宋_GB2312"/>
          <w:sz w:val="32"/>
          <w:szCs w:val="32"/>
        </w:rPr>
        <w:t>数据；负责为参保人员建立个人账户，办理保险关系转移、退保的等手续；负责养老金领取人员的资格审查，核算养老金给付标准和拨付养老金；负责跟踪监督养老金发放情况，掌握领取养老金人员动态，提出养老金的处理意见；负责指导各乡镇开展城乡居民养老保险业务。</w:t>
      </w:r>
    </w:p>
    <w:p>
      <w:pPr>
        <w:pStyle w:val="21"/>
        <w:keepNext w:val="0"/>
        <w:keepLines w:val="0"/>
        <w:pageBreakBefore w:val="0"/>
        <w:kinsoku/>
        <w:wordWrap/>
        <w:overflowPunct/>
        <w:topLinePunct w:val="0"/>
        <w:autoSpaceDE/>
        <w:autoSpaceDN/>
        <w:bidi w:val="0"/>
        <w:spacing w:line="576" w:lineRule="exact"/>
        <w:ind w:firstLine="643" w:firstLineChars="200"/>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（三）人员概况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我局为一级预算财政全额拨款事业单位，核定事业编制人数为16名。在职总人数15名，其中在职事管理业人员11名，事业专技人员3名，事业工勤人员1名。</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pStyle w:val="21"/>
        <w:keepNext w:val="0"/>
        <w:keepLines w:val="0"/>
        <w:pageBreakBefore w:val="0"/>
        <w:kinsoku/>
        <w:wordWrap/>
        <w:overflowPunct/>
        <w:topLinePunct w:val="0"/>
        <w:autoSpaceDE/>
        <w:autoSpaceDN/>
        <w:bidi w:val="0"/>
        <w:spacing w:line="576" w:lineRule="exact"/>
        <w:ind w:firstLine="643" w:firstLineChars="200"/>
        <w:textAlignment w:val="auto"/>
        <w:rPr>
          <w:rFonts w:hint="eastAsia" w:ascii="楷体_GB2312" w:hAnsi="楷体_GB2312" w:eastAsia="楷体_GB2312" w:cs="楷体_GB2312"/>
          <w:b/>
          <w:bCs w:val="0"/>
          <w:sz w:val="32"/>
          <w:szCs w:val="32"/>
          <w:lang w:val="zh-CN"/>
        </w:rPr>
      </w:pPr>
      <w:r>
        <w:rPr>
          <w:rFonts w:hint="eastAsia" w:ascii="楷体_GB2312" w:hAnsi="楷体_GB2312" w:eastAsia="楷体_GB2312" w:cs="楷体_GB2312"/>
          <w:b/>
          <w:bCs w:val="0"/>
          <w:sz w:val="32"/>
          <w:szCs w:val="32"/>
          <w:lang w:val="zh-CN"/>
        </w:rPr>
        <w:t>（一）部门财政资金收入情况</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sz w:val="32"/>
          <w:szCs w:val="32"/>
        </w:rPr>
      </w:pPr>
      <w:r>
        <w:rPr>
          <w:rFonts w:hint="eastAsia" w:ascii="仿宋_GB2312" w:hAnsi="宋体" w:eastAsia="仿宋_GB2312" w:cs="宋体"/>
          <w:color w:val="000000"/>
          <w:kern w:val="0"/>
          <w:sz w:val="32"/>
          <w:szCs w:val="32"/>
          <w:shd w:val="clear" w:color="auto" w:fill="FFFFFF"/>
        </w:rPr>
        <w:t>201</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rPr>
        <w:t>年</w:t>
      </w:r>
      <w:r>
        <w:rPr>
          <w:rFonts w:hint="eastAsia" w:ascii="仿宋_GB2312" w:hAnsi="黑体" w:eastAsia="仿宋_GB2312"/>
          <w:color w:val="000000"/>
          <w:sz w:val="32"/>
          <w:szCs w:val="32"/>
        </w:rPr>
        <w:t>单位财政资金收入共计</w:t>
      </w:r>
      <w:r>
        <w:rPr>
          <w:rFonts w:hint="eastAsia" w:ascii="仿宋_GB2312" w:hAnsi="黑体" w:eastAsia="仿宋_GB2312"/>
          <w:color w:val="000000"/>
          <w:sz w:val="32"/>
          <w:szCs w:val="32"/>
          <w:lang w:val="en-US" w:eastAsia="zh-CN"/>
        </w:rPr>
        <w:t>271.8</w:t>
      </w:r>
      <w:r>
        <w:rPr>
          <w:rFonts w:hint="eastAsia" w:ascii="仿宋_GB2312" w:hAnsi="黑体" w:eastAsia="仿宋_GB2312"/>
          <w:color w:val="000000"/>
          <w:sz w:val="32"/>
          <w:szCs w:val="32"/>
        </w:rPr>
        <w:t>万元，</w:t>
      </w:r>
      <w:r>
        <w:rPr>
          <w:rFonts w:hint="eastAsia" w:ascii="仿宋_GB2312" w:hAnsi="仿宋" w:eastAsia="仿宋_GB2312"/>
          <w:sz w:val="32"/>
          <w:szCs w:val="32"/>
        </w:rPr>
        <w:t>均为一般公共预算财政拨款收入，单位无上级补助收入、事业收入、经营收入等其他性质的经费收入。</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ascii="楷体" w:hAnsi="楷体" w:eastAsia="楷体" w:cs="楷体"/>
          <w:bCs/>
          <w:color w:val="000000"/>
          <w:kern w:val="0"/>
          <w:sz w:val="32"/>
          <w:szCs w:val="32"/>
          <w:shd w:val="clear" w:color="auto" w:fill="FFFFFF"/>
          <w:lang w:val="zh-CN"/>
        </w:rPr>
      </w:pPr>
      <w:r>
        <w:rPr>
          <w:rFonts w:hint="eastAsia" w:ascii="楷体_GB2312" w:hAnsi="楷体_GB2312" w:eastAsia="楷体_GB2312" w:cs="楷体_GB2312"/>
          <w:b/>
          <w:bCs w:val="0"/>
          <w:kern w:val="2"/>
          <w:sz w:val="32"/>
          <w:szCs w:val="32"/>
          <w:lang w:val="zh-CN" w:eastAsia="zh-CN" w:bidi="ar-SA"/>
        </w:rPr>
        <w:t>（二）部门财政资金支出情况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eastAsia="仿宋_GB2312"/>
          <w:sz w:val="32"/>
          <w:szCs w:val="32"/>
          <w:lang w:val="en-US" w:eastAsia="zh-CN"/>
        </w:rPr>
      </w:pPr>
      <w:r>
        <w:rPr>
          <w:rFonts w:hint="eastAsia" w:ascii="仿宋_GB2312" w:hAnsi="宋体" w:eastAsia="仿宋_GB2312" w:cs="宋体"/>
          <w:color w:val="000000"/>
          <w:kern w:val="0"/>
          <w:sz w:val="32"/>
          <w:szCs w:val="32"/>
          <w:shd w:val="clear" w:color="auto" w:fill="FFFFFF"/>
          <w:lang w:val="zh-CN"/>
        </w:rPr>
        <w:t>201</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年单位财政资金支出决算数为</w:t>
      </w:r>
      <w:r>
        <w:rPr>
          <w:rFonts w:hint="eastAsia" w:ascii="仿宋_GB2312" w:hAnsi="仿宋" w:eastAsia="仿宋_GB2312" w:cs="仿宋"/>
          <w:sz w:val="32"/>
          <w:szCs w:val="32"/>
          <w:lang w:val="en-US" w:eastAsia="zh-CN"/>
        </w:rPr>
        <w:t>254.41</w:t>
      </w:r>
      <w:r>
        <w:rPr>
          <w:rFonts w:hint="eastAsia" w:ascii="仿宋_GB2312" w:hAnsi="仿宋" w:eastAsia="仿宋_GB2312" w:cs="仿宋"/>
          <w:sz w:val="32"/>
          <w:szCs w:val="32"/>
        </w:rPr>
        <w:t>万</w:t>
      </w:r>
      <w:r>
        <w:rPr>
          <w:rFonts w:hint="eastAsia" w:ascii="仿宋_GB2312" w:hAnsi="黑体" w:eastAsia="仿宋_GB2312"/>
          <w:color w:val="000000"/>
          <w:sz w:val="32"/>
          <w:szCs w:val="32"/>
        </w:rPr>
        <w:t>元，均为财政补助支出，</w:t>
      </w:r>
      <w:r>
        <w:rPr>
          <w:rFonts w:hint="eastAsia" w:ascii="仿宋_GB2312" w:hAnsi="仿宋" w:eastAsia="仿宋_GB2312"/>
          <w:sz w:val="32"/>
          <w:szCs w:val="32"/>
        </w:rPr>
        <w:t>其中：社会保障和就业支出</w:t>
      </w:r>
      <w:r>
        <w:rPr>
          <w:rFonts w:hint="eastAsia" w:ascii="仿宋_GB2312" w:hAnsi="仿宋" w:eastAsia="仿宋_GB2312"/>
          <w:sz w:val="32"/>
          <w:szCs w:val="32"/>
          <w:lang w:val="en-US" w:eastAsia="zh-CN"/>
        </w:rPr>
        <w:t>123.96</w:t>
      </w:r>
      <w:r>
        <w:rPr>
          <w:rFonts w:hint="eastAsia" w:ascii="仿宋_GB2312" w:hAnsi="仿宋" w:eastAsia="仿宋_GB2312"/>
          <w:sz w:val="32"/>
          <w:szCs w:val="32"/>
        </w:rPr>
        <w:t>万元，</w:t>
      </w:r>
      <w:r>
        <w:rPr>
          <w:rFonts w:hint="eastAsia" w:ascii="仿宋_GB2312" w:eastAsia="仿宋_GB2312"/>
          <w:sz w:val="32"/>
          <w:szCs w:val="32"/>
        </w:rPr>
        <w:t>主要用于本单位人员工资、照规定标准为职工缴纳的机关事业单位养老保险和职业年金、保障日常运转以及为完成特定行政工作任务和事业发展目标而安排的年度项目支出；</w:t>
      </w:r>
      <w:r>
        <w:rPr>
          <w:rFonts w:hint="eastAsia" w:ascii="仿宋_GB2312" w:hAnsi="仿宋" w:eastAsia="仿宋_GB2312"/>
          <w:sz w:val="32"/>
          <w:szCs w:val="32"/>
        </w:rPr>
        <w:t>医疗</w:t>
      </w:r>
      <w:r>
        <w:rPr>
          <w:rFonts w:hint="eastAsia" w:ascii="仿宋_GB2312" w:hAnsi="仿宋" w:eastAsia="仿宋_GB2312"/>
          <w:sz w:val="32"/>
          <w:szCs w:val="32"/>
          <w:lang w:eastAsia="zh-CN"/>
        </w:rPr>
        <w:t>健康</w:t>
      </w:r>
      <w:r>
        <w:rPr>
          <w:rFonts w:hint="eastAsia" w:ascii="仿宋_GB2312" w:hAnsi="仿宋" w:eastAsia="仿宋_GB2312"/>
          <w:sz w:val="32"/>
          <w:szCs w:val="32"/>
        </w:rPr>
        <w:t>支出</w:t>
      </w:r>
      <w:r>
        <w:rPr>
          <w:rFonts w:hint="eastAsia" w:ascii="仿宋_GB2312" w:hAnsi="仿宋" w:eastAsia="仿宋_GB2312"/>
          <w:sz w:val="32"/>
          <w:szCs w:val="32"/>
          <w:lang w:val="en-US" w:eastAsia="zh-CN"/>
        </w:rPr>
        <w:t>11.95</w:t>
      </w:r>
      <w:r>
        <w:rPr>
          <w:rFonts w:hint="eastAsia" w:ascii="仿宋_GB2312" w:hAnsi="仿宋" w:eastAsia="仿宋_GB2312"/>
          <w:sz w:val="32"/>
          <w:szCs w:val="32"/>
        </w:rPr>
        <w:t>万元，</w:t>
      </w:r>
      <w:r>
        <w:rPr>
          <w:rFonts w:hint="eastAsia" w:ascii="仿宋_GB2312" w:eastAsia="仿宋_GB2312"/>
          <w:sz w:val="32"/>
          <w:szCs w:val="32"/>
        </w:rPr>
        <w:t>主要用于事业单位按照规定标准为职工缴纳的基本医疗保险及公务员医疗补助等支出；</w:t>
      </w:r>
      <w:r>
        <w:rPr>
          <w:rFonts w:hint="eastAsia" w:ascii="仿宋_GB2312" w:hAnsi="仿宋" w:eastAsia="仿宋_GB2312"/>
          <w:sz w:val="32"/>
          <w:szCs w:val="32"/>
        </w:rPr>
        <w:t>住房保障支出</w:t>
      </w:r>
      <w:r>
        <w:rPr>
          <w:rFonts w:hint="eastAsia" w:ascii="仿宋_GB2312" w:hAnsi="仿宋" w:eastAsia="仿宋_GB2312"/>
          <w:sz w:val="32"/>
          <w:szCs w:val="32"/>
          <w:lang w:val="en-US" w:eastAsia="zh-CN"/>
        </w:rPr>
        <w:t>16.92</w:t>
      </w:r>
      <w:r>
        <w:rPr>
          <w:rFonts w:hint="eastAsia" w:ascii="仿宋_GB2312" w:hAnsi="仿宋" w:eastAsia="仿宋_GB2312"/>
          <w:sz w:val="32"/>
          <w:szCs w:val="32"/>
        </w:rPr>
        <w:t>万元，</w:t>
      </w:r>
      <w:r>
        <w:rPr>
          <w:rFonts w:hint="eastAsia" w:ascii="仿宋_GB2312" w:eastAsia="仿宋_GB2312"/>
          <w:sz w:val="32"/>
          <w:szCs w:val="32"/>
        </w:rPr>
        <w:t>用于机关事业单位按照规定标准为职工缴纳住房公积金等支出。</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101.58万元，为省级财政下达的2019年度困难群体城乡居民养老保险个人缴费代缴资金。</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eastAsia="仿宋_GB2312"/>
          <w:sz w:val="32"/>
          <w:szCs w:val="32"/>
        </w:rPr>
      </w:pPr>
      <w:r>
        <w:rPr>
          <w:rFonts w:ascii="黑体" w:hAnsi="黑体" w:eastAsia="黑体" w:cs="黑体"/>
          <w:sz w:val="32"/>
          <w:szCs w:val="32"/>
        </w:rPr>
        <w:t>三、部门整体预算绩效管理情况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（一）部门预算管理</w:t>
      </w: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宋体" w:eastAsia="仿宋_GB2312" w:cs="宋体"/>
          <w:color w:val="000000"/>
          <w:sz w:val="32"/>
          <w:szCs w:val="32"/>
        </w:rPr>
      </w:pPr>
      <w:r>
        <w:rPr>
          <w:rFonts w:hint="eastAsia" w:ascii="仿宋_GB2312" w:hAnsi="仿宋_GB2312" w:eastAsia="仿宋_GB2312" w:cs="仿宋_GB2312"/>
          <w:sz w:val="32"/>
          <w:szCs w:val="32"/>
        </w:rPr>
        <w:t>1.部门绩效目标制定及完成情况。单按在编制201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年预算时按照</w:t>
      </w:r>
      <w:r>
        <w:rPr>
          <w:rFonts w:hint="eastAsia" w:ascii="仿宋_GB2312" w:hAnsi="黑体" w:eastAsia="仿宋_GB2312"/>
          <w:color w:val="000000"/>
          <w:sz w:val="32"/>
          <w:szCs w:val="32"/>
        </w:rPr>
        <w:t>县级财政部门要求同时结合自身工作实际制定了部门整体支出绩效总体目标及绩效指标，同时扎实推进预算绩效管理工作，采用前期控制、中期监控、后期评价、结果运用的绩效管理办法，着力构建“全方位、全过程、全覆盖”的预算绩效规范化管理体系。经自评，单位201</w:t>
      </w:r>
      <w:r>
        <w:rPr>
          <w:rFonts w:hint="eastAsia" w:ascii="仿宋_GB2312" w:hAnsi="黑体" w:eastAsia="仿宋_GB2312"/>
          <w:color w:val="000000"/>
          <w:sz w:val="32"/>
          <w:szCs w:val="32"/>
          <w:lang w:val="en-US" w:eastAsia="zh-CN"/>
        </w:rPr>
        <w:t>9</w:t>
      </w:r>
      <w:r>
        <w:rPr>
          <w:rFonts w:hint="eastAsia" w:ascii="仿宋_GB2312" w:hAnsi="黑体" w:eastAsia="仿宋_GB2312"/>
          <w:color w:val="000000"/>
          <w:sz w:val="32"/>
          <w:szCs w:val="32"/>
        </w:rPr>
        <w:t>年部门整体支出绩效总体上达到既定目标，有效保障了单位正常运转及开展部门职能工作。</w:t>
      </w: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黑体" w:eastAsia="仿宋_GB2312"/>
          <w:color w:val="000000"/>
          <w:sz w:val="32"/>
          <w:szCs w:val="32"/>
        </w:rPr>
      </w:pPr>
      <w:r>
        <w:rPr>
          <w:rFonts w:hint="eastAsia" w:ascii="仿宋_GB2312" w:hAnsi="仿宋_GB2312" w:eastAsia="仿宋_GB2312" w:cs="仿宋_GB2312"/>
          <w:sz w:val="32"/>
          <w:szCs w:val="32"/>
        </w:rPr>
        <w:t>2.预算编制情况。</w:t>
      </w:r>
      <w:r>
        <w:rPr>
          <w:rFonts w:hint="eastAsia" w:ascii="仿宋_GB2312" w:hAnsi="黑体" w:eastAsia="仿宋_GB2312"/>
          <w:color w:val="000000"/>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cs="仿宋"/>
          <w:sz w:val="32"/>
          <w:szCs w:val="32"/>
        </w:rPr>
      </w:pPr>
      <w:r>
        <w:rPr>
          <w:rFonts w:hint="eastAsia" w:ascii="仿宋_GB2312" w:hAnsi="仿宋_GB2312" w:eastAsia="仿宋_GB2312" w:cs="仿宋_GB2312"/>
          <w:sz w:val="32"/>
          <w:szCs w:val="32"/>
        </w:rPr>
        <w:t>3.预算执行及支出控制情况。单位在预算执行及支出管理过程中严格贯彻落实</w:t>
      </w:r>
      <w:r>
        <w:rPr>
          <w:rFonts w:hint="eastAsia" w:ascii="仿宋_GB2312" w:hAnsi="仿宋" w:eastAsia="仿宋_GB2312"/>
          <w:sz w:val="32"/>
          <w:szCs w:val="32"/>
        </w:rPr>
        <w:t>中央八项规定、省委省政府十项规定、州委州政府八条意见，严肃财经纪律、加强财务管理、强化制度执行，对各项资金的管理、经费支出的使用标准、范围以及审批程序作了明确的规定，杜绝了无预算、超预算、超标准、超范围支出的情况，坚持厉行节约、降低行政成本。201</w:t>
      </w:r>
      <w:r>
        <w:rPr>
          <w:rFonts w:hint="eastAsia" w:ascii="仿宋_GB2312" w:hAnsi="仿宋" w:eastAsia="仿宋_GB2312"/>
          <w:sz w:val="32"/>
          <w:szCs w:val="32"/>
          <w:lang w:val="en-US" w:eastAsia="zh-CN"/>
        </w:rPr>
        <w:t>9</w:t>
      </w:r>
      <w:r>
        <w:rPr>
          <w:rFonts w:hint="eastAsia" w:ascii="仿宋_GB2312" w:hAnsi="仿宋" w:eastAsia="仿宋_GB2312"/>
          <w:sz w:val="32"/>
          <w:szCs w:val="32"/>
        </w:rPr>
        <w:t>年单位在压减日常公用经费支出方面取得了较为显著的成果，201</w:t>
      </w:r>
      <w:r>
        <w:rPr>
          <w:rFonts w:hint="eastAsia" w:ascii="仿宋_GB2312" w:hAnsi="仿宋" w:eastAsia="仿宋_GB2312"/>
          <w:sz w:val="32"/>
          <w:szCs w:val="32"/>
          <w:lang w:val="en-US" w:eastAsia="zh-CN"/>
        </w:rPr>
        <w:t>9</w:t>
      </w:r>
      <w:r>
        <w:rPr>
          <w:rFonts w:hint="eastAsia" w:ascii="仿宋_GB2312" w:hAnsi="仿宋" w:eastAsia="仿宋_GB2312"/>
          <w:sz w:val="32"/>
          <w:szCs w:val="32"/>
        </w:rPr>
        <w:t>年</w:t>
      </w:r>
      <w:r>
        <w:rPr>
          <w:rFonts w:hint="eastAsia" w:ascii="仿宋_GB2312" w:hAnsi="仿宋" w:eastAsia="仿宋_GB2312" w:cs="仿宋"/>
          <w:sz w:val="32"/>
          <w:szCs w:val="32"/>
        </w:rPr>
        <w:t>日常公用经费支出较上年</w:t>
      </w:r>
      <w:r>
        <w:rPr>
          <w:rFonts w:hint="eastAsia" w:ascii="仿宋_GB2312" w:hAnsi="仿宋" w:eastAsia="仿宋_GB2312" w:cs="仿宋"/>
          <w:sz w:val="32"/>
          <w:szCs w:val="32"/>
          <w:lang w:eastAsia="zh-CN"/>
        </w:rPr>
        <w:t>同期</w:t>
      </w:r>
      <w:r>
        <w:rPr>
          <w:rFonts w:hint="eastAsia" w:ascii="仿宋_GB2312" w:hAnsi="仿宋" w:eastAsia="仿宋_GB2312" w:cs="仿宋"/>
          <w:sz w:val="32"/>
          <w:szCs w:val="32"/>
        </w:rPr>
        <w:t>同比下降</w:t>
      </w:r>
      <w:r>
        <w:rPr>
          <w:rFonts w:hint="eastAsia" w:ascii="仿宋_GB2312" w:hAnsi="仿宋" w:eastAsia="仿宋_GB2312" w:cs="仿宋"/>
          <w:sz w:val="32"/>
          <w:szCs w:val="32"/>
          <w:lang w:val="en-US" w:eastAsia="zh-CN"/>
        </w:rPr>
        <w:t>14.81</w:t>
      </w:r>
      <w:r>
        <w:rPr>
          <w:rFonts w:hint="eastAsia" w:ascii="仿宋_GB2312" w:hAnsi="仿宋" w:eastAsia="仿宋_GB2312" w:cs="仿宋"/>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eastAsia="仿宋_GB2312"/>
          <w:sz w:val="32"/>
          <w:szCs w:val="32"/>
          <w:lang w:val="en-US" w:eastAsia="zh-CN"/>
        </w:rPr>
      </w:pP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.预算完成情况。201</w:t>
      </w:r>
      <w:r>
        <w:rPr>
          <w:rFonts w:hint="eastAsia" w:ascii="仿宋_GB2312" w:hAnsi="仿宋" w:eastAsia="仿宋_GB2312" w:cs="仿宋"/>
          <w:sz w:val="32"/>
          <w:szCs w:val="32"/>
          <w:lang w:val="en-US" w:eastAsia="zh-CN"/>
        </w:rPr>
        <w:t>9</w:t>
      </w:r>
      <w:r>
        <w:rPr>
          <w:rFonts w:hint="eastAsia" w:ascii="仿宋_GB2312" w:hAnsi="仿宋" w:eastAsia="仿宋_GB2312" w:cs="仿宋"/>
          <w:sz w:val="32"/>
          <w:szCs w:val="32"/>
        </w:rPr>
        <w:t>年一般公共预算财政拨款支出预算执行数</w:t>
      </w:r>
      <w:r>
        <w:rPr>
          <w:rFonts w:hint="eastAsia" w:ascii="仿宋_GB2312" w:hAnsi="仿宋" w:eastAsia="仿宋_GB2312" w:cs="仿宋"/>
          <w:sz w:val="32"/>
          <w:szCs w:val="32"/>
          <w:lang w:val="en-US" w:eastAsia="zh-CN"/>
        </w:rPr>
        <w:t>254.41</w:t>
      </w:r>
      <w:r>
        <w:rPr>
          <w:rFonts w:hint="eastAsia" w:ascii="仿宋_GB2312" w:hAnsi="仿宋" w:eastAsia="仿宋_GB2312" w:cs="仿宋"/>
          <w:sz w:val="32"/>
          <w:szCs w:val="32"/>
        </w:rPr>
        <w:t>万元，占支出总额的100%，预算完成率</w:t>
      </w:r>
      <w:r>
        <w:rPr>
          <w:rFonts w:hint="eastAsia" w:ascii="仿宋_GB2312" w:hAnsi="仿宋" w:eastAsia="仿宋_GB2312" w:cs="仿宋"/>
          <w:sz w:val="32"/>
          <w:szCs w:val="32"/>
          <w:lang w:val="en-US" w:eastAsia="zh-CN"/>
        </w:rPr>
        <w:t>93.6</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，预算未完成原因为</w:t>
      </w:r>
      <w:r>
        <w:rPr>
          <w:rFonts w:hint="eastAsia" w:ascii="仿宋_GB2312" w:eastAsia="仿宋_GB2312"/>
          <w:sz w:val="32"/>
          <w:szCs w:val="32"/>
          <w:lang w:val="en-US" w:eastAsia="zh-CN"/>
        </w:rPr>
        <w:t>2019年12月因支付系统原因导致单位基本支出17.39万元当年未能支付。上述资金作为年末结转和结余处理并于次年支付。</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（二）结果应用情况</w:t>
      </w: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宋体" w:eastAsia="仿宋_GB2312"/>
          <w:color w:val="000000"/>
          <w:sz w:val="32"/>
          <w:szCs w:val="32"/>
          <w:shd w:val="clear" w:color="auto" w:fill="FFFFFF"/>
        </w:rPr>
      </w:pPr>
      <w:r>
        <w:rPr>
          <w:rFonts w:hint="eastAsia" w:ascii="仿宋_GB2312" w:hAnsi="黑体" w:eastAsia="仿宋_GB2312"/>
          <w:color w:val="000000"/>
          <w:sz w:val="32"/>
          <w:szCs w:val="32"/>
        </w:rPr>
        <w:t>单位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r>
        <w:rPr>
          <w:rFonts w:hint="eastAsia" w:ascii="仿宋_GB2312" w:hAnsi="宋体" w:eastAsia="仿宋_GB2312"/>
          <w:color w:val="000000"/>
          <w:sz w:val="32"/>
          <w:szCs w:val="32"/>
          <w:shd w:val="clear" w:color="auto" w:fill="FFFFFF"/>
        </w:rPr>
        <w:t>单位对照《县级部门整体支出绩效评价指标体系表》中各项具体指标认真开展了201</w:t>
      </w:r>
      <w:r>
        <w:rPr>
          <w:rFonts w:hint="eastAsia" w:ascii="仿宋_GB2312" w:hAnsi="宋体" w:eastAsia="仿宋_GB2312"/>
          <w:color w:val="000000"/>
          <w:sz w:val="32"/>
          <w:szCs w:val="32"/>
          <w:shd w:val="clear" w:color="auto" w:fill="FFFFFF"/>
          <w:lang w:val="en-US" w:eastAsia="zh-CN"/>
        </w:rPr>
        <w:t>9</w:t>
      </w:r>
      <w:r>
        <w:rPr>
          <w:rFonts w:hint="eastAsia" w:ascii="仿宋_GB2312" w:hAnsi="宋体" w:eastAsia="仿宋_GB2312"/>
          <w:color w:val="000000"/>
          <w:sz w:val="32"/>
          <w:szCs w:val="32"/>
          <w:shd w:val="clear" w:color="auto" w:fill="FFFFFF"/>
        </w:rPr>
        <w:t>年部门整体支出绩效自评工作。经自评，单位部门整体支出均按照相应的规章制度和要求执行办理。</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cs="仿宋"/>
          <w:sz w:val="32"/>
          <w:szCs w:val="32"/>
          <w:lang w:eastAsia="zh-CN"/>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default" w:ascii="仿宋_GB2312" w:eastAsia="仿宋_GB2312"/>
          <w:sz w:val="32"/>
          <w:szCs w:val="32"/>
          <w:lang w:val="en-US" w:eastAsia="zh-CN"/>
        </w:rPr>
      </w:pP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cs="黑体"/>
          <w:sz w:val="32"/>
          <w:szCs w:val="32"/>
        </w:rPr>
      </w:pP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四、</w:t>
      </w:r>
      <w:r>
        <w:rPr>
          <w:rFonts w:ascii="黑体" w:hAnsi="黑体" w:eastAsia="黑体" w:cs="黑体"/>
          <w:sz w:val="32"/>
          <w:szCs w:val="32"/>
        </w:rPr>
        <w:t>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（一）评价结论</w:t>
      </w:r>
    </w:p>
    <w:p>
      <w:pPr>
        <w:pStyle w:val="19"/>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color w:val="000000"/>
          <w:sz w:val="32"/>
          <w:szCs w:val="32"/>
          <w:shd w:val="clear" w:color="auto" w:fill="FFFFFF"/>
          <w:lang w:eastAsia="zh-CN"/>
        </w:rPr>
      </w:pPr>
      <w:r>
        <w:rPr>
          <w:rFonts w:hint="eastAsia" w:ascii="仿宋_GB2312" w:eastAsia="仿宋_GB2312"/>
          <w:color w:val="000000"/>
          <w:sz w:val="32"/>
          <w:szCs w:val="32"/>
          <w:shd w:val="clear" w:color="auto" w:fill="FFFFFF"/>
        </w:rPr>
        <w:t>我局201</w:t>
      </w:r>
      <w:r>
        <w:rPr>
          <w:rFonts w:hint="eastAsia" w:ascii="仿宋_GB2312" w:eastAsia="仿宋_GB2312"/>
          <w:color w:val="000000"/>
          <w:sz w:val="32"/>
          <w:szCs w:val="32"/>
          <w:shd w:val="clear" w:color="auto" w:fill="FFFFFF"/>
          <w:lang w:val="en-US" w:eastAsia="zh-CN"/>
        </w:rPr>
        <w:t>9</w:t>
      </w:r>
      <w:r>
        <w:rPr>
          <w:rFonts w:hint="eastAsia" w:ascii="仿宋_GB2312" w:eastAsia="仿宋_GB2312"/>
          <w:color w:val="000000"/>
          <w:sz w:val="32"/>
          <w:szCs w:val="32"/>
          <w:shd w:val="clear" w:color="auto" w:fill="FFFFFF"/>
        </w:rPr>
        <w:t>年部门整体支出情况良好，从预算到执行和收入、支出管理均严格按照相关要求进行，全年收支平衡，有效保障了单位正常运转，圆满完成了单位目标任务</w:t>
      </w:r>
      <w:r>
        <w:rPr>
          <w:rFonts w:hint="eastAsia" w:ascii="仿宋_GB2312" w:eastAsia="仿宋_GB2312"/>
          <w:color w:val="000000"/>
          <w:sz w:val="32"/>
          <w:szCs w:val="32"/>
          <w:shd w:val="clear" w:color="auto" w:fill="FFFFFF"/>
          <w:lang w:eastAsia="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（二）存在问题</w:t>
      </w: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1.单位的财务管理力度及相关规章制度执行力度还需加强。2.单位整体绩效目标编制不够全面细致。</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（三）改进建议</w:t>
      </w: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1.单位财务人员在今后工作中要按照有关文件及规章制度的要求严格规范各项经费支出，细化各项经费指标的收支管理及审批程序，加大对经费支出的审核把关力度，落实岗位职责，坚守职业道德，提高财务管理水平。2.认真学习《预算法》及其实施条例，掌握预算编制的相关政策，加强预算编制的科学性、合理性，提高单位整体绩效目标的编制质量。</w:t>
      </w: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olor w:val="000000"/>
          <w:sz w:val="32"/>
          <w:szCs w:val="32"/>
          <w:shd w:val="clear" w:color="auto" w:fill="FFFFFF"/>
        </w:rPr>
      </w:pP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olor w:val="000000"/>
          <w:sz w:val="32"/>
          <w:szCs w:val="32"/>
          <w:shd w:val="clear" w:color="auto" w:fill="FFFFFF"/>
        </w:rPr>
      </w:pP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olor w:val="000000"/>
          <w:sz w:val="32"/>
          <w:szCs w:val="32"/>
          <w:shd w:val="clear" w:color="auto" w:fill="FFFFFF"/>
        </w:rPr>
      </w:pP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olor w:val="000000"/>
          <w:sz w:val="32"/>
          <w:szCs w:val="32"/>
          <w:shd w:val="clear" w:color="auto" w:fill="FFFFFF"/>
        </w:rPr>
      </w:pPr>
    </w:p>
    <w:p>
      <w:pPr>
        <w:pStyle w:val="21"/>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olor w:val="000000"/>
          <w:sz w:val="32"/>
          <w:szCs w:val="32"/>
          <w:shd w:val="clear" w:color="auto" w:fill="FFFFFF"/>
        </w:rPr>
      </w:pPr>
    </w:p>
    <w:p>
      <w:pPr>
        <w:keepNext w:val="0"/>
        <w:keepLines w:val="0"/>
        <w:pageBreakBefore w:val="0"/>
        <w:kinsoku/>
        <w:wordWrap/>
        <w:overflowPunct/>
        <w:topLinePunct w:val="0"/>
        <w:autoSpaceDE/>
        <w:autoSpaceDN/>
        <w:bidi w:val="0"/>
        <w:spacing w:line="576" w:lineRule="exact"/>
        <w:textAlignment w:val="auto"/>
        <w:rPr>
          <w:rFonts w:hint="eastAsia" w:ascii="黑体" w:hAnsi="黑体" w:eastAsia="黑体" w:cs="黑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省级财政代缴资金项目</w:t>
      </w:r>
    </w:p>
    <w:p>
      <w:pPr>
        <w:spacing w:line="600" w:lineRule="exact"/>
        <w:jc w:val="center"/>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jc w:val="center"/>
        <w:rPr>
          <w:rFonts w:hint="eastAsia" w:ascii="方正小标宋简体" w:hAnsi="宋体" w:eastAsia="方正小标宋简体"/>
          <w:color w:val="000000"/>
          <w:kern w:val="0"/>
          <w:sz w:val="44"/>
          <w:szCs w:val="44"/>
          <w:lang w:val="zh-CN"/>
        </w:rPr>
      </w:pP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b w:val="0"/>
          <w:bCs/>
          <w:sz w:val="32"/>
          <w:szCs w:val="32"/>
          <w:lang w:val="zh-CN"/>
        </w:rPr>
      </w:pPr>
      <w:r>
        <w:rPr>
          <w:rFonts w:hint="eastAsia" w:ascii="楷体_GB2312" w:hAnsi="楷体_GB2312" w:eastAsia="楷体_GB2312" w:cs="楷体_GB2312"/>
          <w:b/>
          <w:bCs w:val="0"/>
          <w:kern w:val="2"/>
          <w:sz w:val="32"/>
          <w:szCs w:val="32"/>
          <w:lang w:val="zh-CN" w:eastAsia="zh-CN" w:bidi="ar-SA"/>
        </w:rPr>
        <w:t>（一）项目基本情况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1.本单位负责完成按照100元/人的标准为我县符合代缴条件的三类人员按代缴2019年城乡居民养老保险保费工作，同时负责省级财政代缴资金的核算、管理及结算工作。</w:t>
      </w:r>
    </w:p>
    <w:p>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2.根据《阿坝州财政局 阿坝州人力资源和社会保障局 阿坝州医疗保障局关于下达2019年度省级财政困难群众社会保险个人缴费代缴资金的通知》（阿州财社〔2019〕43号）文件精神，省级财政预拨2019年代缴资金101.58万元。</w:t>
      </w:r>
    </w:p>
    <w:p>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为加强资金监管，确保专款专用，省财政厅、省人力资源和社会保障厅研究制定了《四川省升级财政困难群众社会保险个人缴费代缴资金管理办法》，对资金通途、代缴范围、代缴标准、资金分配及管理等方面做出了明确要求。</w:t>
      </w:r>
    </w:p>
    <w:p>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4.根据《四川省升级财政困难群众社会保险个人缴费代缴资金管理办法》，资金分配原则为按照据实据效法，依据当年符合代缴条件的参保人数、代缴标准等相关因素进行预拨，次年根据实际代缴情况据实结算。</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b w:val="0"/>
          <w:bCs/>
          <w:sz w:val="32"/>
          <w:szCs w:val="32"/>
          <w:lang w:val="zh-CN"/>
        </w:rPr>
      </w:pPr>
      <w:r>
        <w:rPr>
          <w:rFonts w:hint="eastAsia" w:ascii="楷体_GB2312" w:hAnsi="楷体_GB2312" w:eastAsia="楷体_GB2312" w:cs="楷体_GB2312"/>
          <w:b/>
          <w:bCs w:val="0"/>
          <w:kern w:val="2"/>
          <w:sz w:val="32"/>
          <w:szCs w:val="32"/>
          <w:lang w:val="zh-CN" w:eastAsia="zh-CN" w:bidi="ar-SA"/>
        </w:rPr>
        <w:t>（二）项目绩效目标</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val="0"/>
          <w:bCs/>
          <w:sz w:val="32"/>
          <w:szCs w:val="32"/>
          <w:lang w:val="zh-CN"/>
        </w:rPr>
        <w:t>省级财政代缴资金是指省级财政通过专项转移支付方式下达市县，为参加城乡居民养老保险的困难群众代缴的个人缴费资金。同时，为进一步加强预算绩效管理，切实提高资金使用效益，我单位参照《四川省困难群众社会保险个人缴费财政代缴资金整体绩效目标表》，结合自身实际合理确定绩效目标。</w:t>
      </w:r>
      <w:r>
        <w:rPr>
          <w:rFonts w:hint="eastAsia" w:ascii="仿宋_GB2312" w:hAnsi="仿宋_GB2312" w:eastAsia="仿宋_GB2312" w:cs="仿宋_GB2312"/>
          <w:b w:val="0"/>
          <w:bCs/>
          <w:sz w:val="32"/>
          <w:szCs w:val="32"/>
          <w:lang w:val="en-US" w:eastAsia="zh-CN"/>
        </w:rPr>
        <w:t>2019年度省级财政代缴资金目标为对本县</w:t>
      </w:r>
      <w:r>
        <w:rPr>
          <w:rFonts w:hint="eastAsia" w:ascii="仿宋_GB2312" w:hAnsi="仿宋_GB2312" w:eastAsia="仿宋_GB2312" w:cs="仿宋_GB2312"/>
          <w:color w:val="000000"/>
          <w:sz w:val="32"/>
          <w:szCs w:val="32"/>
          <w:lang w:eastAsia="zh-CN"/>
        </w:rPr>
        <w:t>符合条件建档立卡未标注脱贫的人员、低保对象、特困人员按100元</w:t>
      </w:r>
      <w:r>
        <w:rPr>
          <w:rFonts w:hint="eastAsia" w:ascii="仿宋_GB2312" w:hAnsi="仿宋_GB2312" w:eastAsia="仿宋_GB2312" w:cs="仿宋_GB2312"/>
          <w:color w:val="000000"/>
          <w:sz w:val="32"/>
          <w:szCs w:val="32"/>
          <w:lang w:val="en-US" w:eastAsia="zh-CN"/>
        </w:rPr>
        <w:t>/人的</w:t>
      </w:r>
      <w:r>
        <w:rPr>
          <w:rFonts w:hint="eastAsia" w:ascii="仿宋_GB2312" w:hAnsi="仿宋_GB2312" w:eastAsia="仿宋_GB2312" w:cs="仿宋_GB2312"/>
          <w:color w:val="000000"/>
          <w:sz w:val="32"/>
          <w:szCs w:val="32"/>
          <w:lang w:eastAsia="zh-CN"/>
        </w:rPr>
        <w:t>标准代缴</w:t>
      </w:r>
      <w:r>
        <w:rPr>
          <w:rFonts w:hint="eastAsia" w:ascii="仿宋_GB2312" w:hAnsi="仿宋_GB2312" w:eastAsia="仿宋_GB2312" w:cs="仿宋_GB2312"/>
          <w:color w:val="000000"/>
          <w:sz w:val="32"/>
          <w:szCs w:val="32"/>
          <w:lang w:val="en-US" w:eastAsia="zh-CN"/>
        </w:rPr>
        <w:t>2019年</w:t>
      </w:r>
      <w:r>
        <w:rPr>
          <w:rFonts w:hint="eastAsia" w:ascii="仿宋_GB2312" w:hAnsi="仿宋_GB2312" w:eastAsia="仿宋_GB2312" w:cs="仿宋_GB2312"/>
          <w:color w:val="000000"/>
          <w:sz w:val="32"/>
          <w:szCs w:val="32"/>
          <w:lang w:eastAsia="zh-CN"/>
        </w:rPr>
        <w:t>城乡居民基本养老保险费，助力参保贫困人员精准脱贫。截至</w:t>
      </w:r>
      <w:r>
        <w:rPr>
          <w:rFonts w:hint="eastAsia" w:ascii="仿宋_GB2312" w:hAnsi="仿宋_GB2312" w:eastAsia="仿宋_GB2312" w:cs="仿宋_GB2312"/>
          <w:color w:val="000000"/>
          <w:sz w:val="32"/>
          <w:szCs w:val="32"/>
          <w:lang w:val="en-US" w:eastAsia="zh-CN"/>
        </w:rPr>
        <w:t>2019年年末，我单位已完成全县0.8万余名“三类”人员参加城乡居居民养老保险保费代缴工作，如期实现年度绩效目标。</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（三）项目自评步骤及方法</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b w:val="0"/>
          <w:bCs/>
          <w:sz w:val="32"/>
          <w:szCs w:val="32"/>
          <w:lang w:val="zh-CN"/>
        </w:rPr>
      </w:pPr>
      <w:r>
        <w:rPr>
          <w:rFonts w:hint="eastAsia" w:ascii="仿宋_GB2312" w:hAnsi="仿宋_GB2312" w:eastAsia="仿宋_GB2312" w:cs="仿宋_GB2312"/>
          <w:b w:val="0"/>
          <w:bCs/>
          <w:sz w:val="32"/>
          <w:szCs w:val="32"/>
          <w:lang w:val="zh-CN"/>
        </w:rPr>
        <w:t>我单位参照《四川省困难群众社会保险个人缴费财政代缴资金整体绩效目标表》，结合自身实际合理确定绩效目标并在预算执行期间对绩效目标做好绩效监控，年末根据</w:t>
      </w:r>
      <w:r>
        <w:rPr>
          <w:rFonts w:hint="eastAsia" w:ascii="仿宋_GB2312" w:hAnsi="仿宋_GB2312" w:eastAsia="仿宋_GB2312" w:cs="仿宋_GB2312"/>
          <w:b w:val="0"/>
          <w:bCs/>
          <w:sz w:val="32"/>
          <w:szCs w:val="32"/>
          <w:lang w:val="en-US" w:eastAsia="zh-CN"/>
        </w:rPr>
        <w:t>2019年度代缴完成情况及资金管理使用情况对照制定的绩效目标</w:t>
      </w:r>
      <w:r>
        <w:rPr>
          <w:rFonts w:hint="eastAsia" w:ascii="仿宋_GB2312" w:hAnsi="仿宋_GB2312" w:eastAsia="仿宋_GB2312" w:cs="仿宋_GB2312"/>
          <w:b w:val="0"/>
          <w:bCs/>
          <w:sz w:val="32"/>
          <w:szCs w:val="32"/>
          <w:lang w:val="zh-CN"/>
        </w:rPr>
        <w:t>逐项进行自评并将自评结果形成《绩效目标表自评申报表》报送相关部门。</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rPr>
      </w:pPr>
      <w:r>
        <w:rPr>
          <w:rFonts w:hint="eastAsia" w:ascii="黑体" w:hAnsi="宋体" w:eastAsia="黑体"/>
          <w:sz w:val="32"/>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根据《阿坝州财政局 阿坝州人力资源和社会保障局 阿坝州医疗保障局关于下达2019年度省级财政困难群众社会保险个人缴费代缴资金的通知》（阿州财社〔2019〕43号）文件精神，省级财政预拨2019年代缴资金101.58万元。</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楷体_GB2312" w:hAnsi="楷体_GB2312" w:eastAsia="楷体_GB2312" w:cs="楷体_GB2312"/>
          <w:b w:val="0"/>
          <w:bCs/>
          <w:sz w:val="32"/>
          <w:szCs w:val="32"/>
          <w:lang w:val="en-US" w:eastAsia="zh-CN"/>
        </w:rPr>
        <w:t>1.资金计划。</w:t>
      </w:r>
      <w:r>
        <w:rPr>
          <w:rFonts w:hint="eastAsia" w:ascii="仿宋_GB2312" w:hAnsi="仿宋_GB2312" w:eastAsia="仿宋_GB2312" w:cs="仿宋_GB2312"/>
          <w:color w:val="000000"/>
          <w:kern w:val="0"/>
          <w:sz w:val="32"/>
          <w:szCs w:val="32"/>
          <w:lang w:val="en-US" w:eastAsia="zh-CN"/>
        </w:rPr>
        <w:t>根据《阿坝州财政局 阿坝州人力资源和社会保障局 阿坝州医疗保障局关于下达2019年度省级财政困难群众社会保险个人缴费代缴资金的通知》（阿州财社〔2019〕43号）文件精神，省级财政预拨2019年代缴资金101.58万元。</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color w:val="000000"/>
          <w:kern w:val="0"/>
          <w:sz w:val="32"/>
          <w:szCs w:val="32"/>
          <w:lang w:val="en-US" w:eastAsia="zh-CN"/>
        </w:rPr>
        <w:t>2.</w:t>
      </w:r>
      <w:r>
        <w:rPr>
          <w:rFonts w:hint="eastAsia" w:ascii="楷体_GB2312" w:hAnsi="楷体_GB2312" w:eastAsia="楷体_GB2312" w:cs="楷体_GB2312"/>
          <w:sz w:val="32"/>
          <w:szCs w:val="32"/>
          <w:lang w:val="zh-CN"/>
        </w:rPr>
        <w:t>资金到位。</w:t>
      </w:r>
      <w:r>
        <w:rPr>
          <w:rFonts w:hint="eastAsia" w:ascii="仿宋_GB2312" w:hAnsi="仿宋_GB2312" w:eastAsia="仿宋_GB2312" w:cs="仿宋_GB2312"/>
          <w:sz w:val="32"/>
          <w:szCs w:val="32"/>
          <w:lang w:val="zh-CN"/>
        </w:rPr>
        <w:t>县级财政部门在确认收到省级财政通过专项转移支付的代缴资金后于当月将代缴资金</w:t>
      </w:r>
      <w:r>
        <w:rPr>
          <w:rFonts w:hint="eastAsia" w:ascii="仿宋_GB2312" w:hAnsi="仿宋_GB2312" w:eastAsia="仿宋_GB2312" w:cs="仿宋_GB2312"/>
          <w:sz w:val="32"/>
          <w:szCs w:val="32"/>
          <w:lang w:val="en-US" w:eastAsia="zh-CN"/>
        </w:rPr>
        <w:t>足额划拨至我单位基金收入户，在由我单位于月末将代缴资金足额从基金收入户划转至城乡居民养老保险基金财政专户。</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宋体" w:eastAsia="楷体_GB2312"/>
          <w:sz w:val="32"/>
          <w:szCs w:val="32"/>
          <w:lang w:val="zh-CN"/>
        </w:rPr>
        <w:t>3．资金使用。</w:t>
      </w:r>
      <w:r>
        <w:rPr>
          <w:rFonts w:hint="eastAsia" w:ascii="仿宋_GB2312" w:hAnsi="仿宋_GB2312" w:eastAsia="仿宋_GB2312" w:cs="仿宋_GB2312"/>
          <w:sz w:val="32"/>
          <w:szCs w:val="32"/>
          <w:lang w:val="en-US" w:eastAsia="zh-CN"/>
        </w:rPr>
        <w:t>根据《四川省省级财政困难群众社会保险个人缴费代缴资金管理办法》对资金使用的要求，代缴资金用于按规定标准为参加城乡居民养老保险的困难群众个人缴费的代缴支出，县级财政部门收到上级补助资金后，拨入同级社保经办机构基金收入户，最终纳入至社会保险基金财政专户管理，资金使用范围及标准完全符合代缴资金管理办法的要求。</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（三）项目财务管理情况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单位在省级财政代缴资金财务管理过程中严格落实城乡居民养老保险“收支两条线”、纳入财政专户统一管理的要求；严格按照《社保基金财务制度》要求的会计科目进行核算。</w:t>
      </w:r>
    </w:p>
    <w:p>
      <w:pPr>
        <w:keepNext w:val="0"/>
        <w:keepLines w:val="0"/>
        <w:pageBreakBefore w:val="0"/>
        <w:widowControl w:val="0"/>
        <w:numPr>
          <w:ilvl w:val="0"/>
          <w:numId w:val="2"/>
        </w:numPr>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sz w:val="32"/>
          <w:szCs w:val="32"/>
        </w:rPr>
      </w:pPr>
      <w:r>
        <w:rPr>
          <w:rFonts w:hint="eastAsia" w:ascii="黑体" w:hAnsi="宋体" w:eastAsia="黑体"/>
          <w:sz w:val="32"/>
          <w:szCs w:val="32"/>
        </w:rPr>
        <w:t>项目实施及管理情况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县级财政部门在确认收到省级财政通过专项转移支付的代缴资金后于当月将代缴资金</w:t>
      </w:r>
      <w:r>
        <w:rPr>
          <w:rFonts w:hint="eastAsia" w:ascii="仿宋_GB2312" w:hAnsi="仿宋_GB2312" w:eastAsia="仿宋_GB2312" w:cs="仿宋_GB2312"/>
          <w:sz w:val="32"/>
          <w:szCs w:val="32"/>
          <w:lang w:val="en-US" w:eastAsia="zh-CN"/>
        </w:rPr>
        <w:t>足额划拨至我单位基金收入户，在由我单位于月末将代缴资金足额从基金收入户划转至城乡居民养老保险基金财政专户。</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val="0"/>
          <w:kern w:val="2"/>
          <w:sz w:val="32"/>
          <w:szCs w:val="32"/>
          <w:lang w:val="en-US" w:eastAsia="zh-CN" w:bidi="ar-SA"/>
        </w:rPr>
      </w:pPr>
      <w:r>
        <w:rPr>
          <w:rFonts w:hint="eastAsia" w:ascii="楷体_GB2312" w:hAnsi="楷体_GB2312" w:eastAsia="楷体_GB2312" w:cs="楷体_GB2312"/>
          <w:b/>
          <w:bCs w:val="0"/>
          <w:kern w:val="2"/>
          <w:sz w:val="32"/>
          <w:szCs w:val="32"/>
          <w:lang w:val="zh-CN" w:eastAsia="zh-CN" w:bidi="ar-SA"/>
        </w:rPr>
        <w:t>（二）项目管理情况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单位在省级财政代缴资金管理过程中严格落实城乡居民养老保险“收支两条线”、纳入财政专户统一管理的要求；严格按照《社保基金财务制度》规定的会计科目进行核算。</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（三）项目监管情况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单位每月按时向县级财政部门报送代缴资金使用支付进度情况，同时做好与财政部门、金融机构的对账工作，切实加强资金监管，确保专款专用。</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（一）项目完成情况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截至</w:t>
      </w:r>
      <w:r>
        <w:rPr>
          <w:rFonts w:hint="eastAsia" w:ascii="仿宋_GB2312" w:hAnsi="仿宋_GB2312" w:eastAsia="仿宋_GB2312" w:cs="仿宋_GB2312"/>
          <w:color w:val="000000"/>
          <w:sz w:val="32"/>
          <w:szCs w:val="32"/>
          <w:lang w:val="en-US" w:eastAsia="zh-CN"/>
        </w:rPr>
        <w:t>2019年年末，我单位已完成全县0.8万余名“三类”人员参加城乡居居民养老保险保费代缴工作，如期实现年度绩效目标。</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（二）项目效益情况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宋体" w:eastAsia="仿宋_GB2312"/>
          <w:sz w:val="32"/>
          <w:szCs w:val="32"/>
          <w:lang w:val="zh-CN"/>
        </w:rPr>
        <w:t>城乡居民养老保险代缴工作作为一项民生工作，其绩效目标如期实现将</w:t>
      </w:r>
      <w:r>
        <w:rPr>
          <w:rFonts w:hint="eastAsia" w:ascii="仿宋_GB2312" w:hAnsi="仿宋_GB2312" w:eastAsia="仿宋_GB2312" w:cs="仿宋_GB2312"/>
          <w:color w:val="000000"/>
          <w:sz w:val="32"/>
          <w:szCs w:val="32"/>
          <w:lang w:eastAsia="zh-CN"/>
        </w:rPr>
        <w:t>促进我县参保贫困人员精准脱贫。</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rPr>
      </w:pPr>
      <w:r>
        <w:rPr>
          <w:rFonts w:hint="eastAsia" w:ascii="黑体" w:hAnsi="宋体" w:eastAsia="黑体"/>
          <w:sz w:val="32"/>
          <w:szCs w:val="32"/>
        </w:rPr>
        <w:t>五、评价结论及建议</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（一）评价结论</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楷体_GB2312" w:hAnsi="宋体" w:eastAsia="楷体_GB2312"/>
          <w:b w:val="0"/>
          <w:bCs/>
          <w:sz w:val="32"/>
          <w:szCs w:val="32"/>
          <w:lang w:val="zh-CN"/>
        </w:rPr>
      </w:pPr>
      <w:r>
        <w:rPr>
          <w:rFonts w:hint="eastAsia" w:ascii="仿宋_GB2312" w:hAnsi="仿宋_GB2312" w:eastAsia="仿宋_GB2312" w:cs="仿宋_GB2312"/>
          <w:color w:val="000000"/>
          <w:sz w:val="32"/>
          <w:szCs w:val="32"/>
          <w:lang w:eastAsia="zh-CN"/>
        </w:rPr>
        <w:t>截至</w:t>
      </w:r>
      <w:r>
        <w:rPr>
          <w:rFonts w:hint="eastAsia" w:ascii="仿宋_GB2312" w:hAnsi="仿宋_GB2312" w:eastAsia="仿宋_GB2312" w:cs="仿宋_GB2312"/>
          <w:color w:val="000000"/>
          <w:sz w:val="32"/>
          <w:szCs w:val="32"/>
          <w:lang w:val="en-US" w:eastAsia="zh-CN"/>
        </w:rPr>
        <w:t>2019年年末，我单位已完成全县0.8万余名“三类”人员参加城乡居居民养老保险保费代缴工作，如期实现年度绩效目标。</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（二）存在的问题</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单位在绩效目标自评过程中暂未发现相关问题。</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楷体_GB2312" w:eastAsia="楷体_GB2312" w:cs="楷体_GB2312"/>
          <w:b/>
          <w:bCs w:val="0"/>
          <w:kern w:val="2"/>
          <w:sz w:val="32"/>
          <w:szCs w:val="32"/>
          <w:lang w:val="zh-CN" w:eastAsia="zh-CN" w:bidi="ar-SA"/>
        </w:rPr>
      </w:pPr>
      <w:r>
        <w:rPr>
          <w:rFonts w:hint="eastAsia" w:ascii="楷体_GB2312" w:hAnsi="楷体_GB2312" w:eastAsia="楷体_GB2312" w:cs="楷体_GB2312"/>
          <w:b/>
          <w:bCs w:val="0"/>
          <w:kern w:val="2"/>
          <w:sz w:val="32"/>
          <w:szCs w:val="32"/>
          <w:lang w:val="zh-CN" w:eastAsia="zh-CN" w:bidi="ar-SA"/>
        </w:rPr>
        <w:t>（三）相关建议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9FCFE"/>
        </w:rPr>
      </w:pPr>
      <w:r>
        <w:rPr>
          <w:rFonts w:hint="eastAsia" w:ascii="仿宋_GB2312" w:hAnsi="仿宋_GB2312" w:eastAsia="仿宋_GB2312" w:cs="仿宋_GB2312"/>
          <w:sz w:val="32"/>
          <w:szCs w:val="32"/>
          <w:lang w:eastAsia="zh-CN"/>
        </w:rPr>
        <w:t>我单位</w:t>
      </w:r>
      <w:r>
        <w:rPr>
          <w:rFonts w:hint="eastAsia" w:ascii="仿宋_GB2312" w:hAnsi="仿宋_GB2312" w:eastAsia="仿宋_GB2312" w:cs="仿宋_GB2312"/>
          <w:sz w:val="32"/>
          <w:szCs w:val="32"/>
        </w:rPr>
        <w:t>在以后的工作中还需按照相关文件</w:t>
      </w:r>
      <w:r>
        <w:rPr>
          <w:rFonts w:hint="eastAsia" w:ascii="仿宋_GB2312" w:hAnsi="仿宋_GB2312" w:eastAsia="仿宋_GB2312" w:cs="仿宋_GB2312"/>
          <w:sz w:val="32"/>
          <w:szCs w:val="32"/>
          <w:lang w:eastAsia="zh-CN"/>
        </w:rPr>
        <w:t>、制度</w:t>
      </w:r>
      <w:r>
        <w:rPr>
          <w:rFonts w:hint="eastAsia" w:ascii="仿宋_GB2312" w:hAnsi="仿宋_GB2312" w:eastAsia="仿宋_GB2312" w:cs="仿宋_GB2312"/>
          <w:sz w:val="32"/>
          <w:szCs w:val="32"/>
        </w:rPr>
        <w:t>的规范和要求不断完善加强制度建设。建立健全单位经办机构内部控制制度；建立和完善严格的授权审批制度，明确审批人对基金和业务的授权批准方式、权限、程序、责任和相关控制措施；建立长效性的监督检查制度；做好代缴资金的绩效管理结算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9FCF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9FCF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9FCF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9FCF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9FCF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9FCF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9FCF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9FCF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9FCF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9FCF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shd w:val="clear" w:color="auto" w:fill="F9FCFE"/>
        </w:rPr>
      </w:pPr>
    </w:p>
    <w:p>
      <w:pPr>
        <w:spacing w:line="600" w:lineRule="exact"/>
        <w:ind w:firstLine="2640" w:firstLineChars="600"/>
        <w:jc w:val="both"/>
        <w:outlineLvl w:val="0"/>
        <w:rPr>
          <w:rFonts w:hint="eastAsia" w:ascii="黑体" w:hAnsi="黑体" w:eastAsia="黑体"/>
          <w:color w:val="000000"/>
          <w:sz w:val="44"/>
          <w:szCs w:val="44"/>
        </w:rPr>
      </w:pPr>
      <w:bookmarkStart w:id="21" w:name="_Toc15396618"/>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ind w:firstLine="2640" w:firstLineChars="600"/>
        <w:jc w:val="both"/>
        <w:outlineLvl w:val="0"/>
        <w:rPr>
          <w:rFonts w:hint="eastAsia" w:ascii="黑体" w:hAnsi="黑体" w:eastAsia="黑体"/>
          <w:color w:val="000000"/>
          <w:sz w:val="44"/>
          <w:szCs w:val="44"/>
        </w:rPr>
      </w:pPr>
    </w:p>
    <w:p>
      <w:pPr>
        <w:spacing w:line="600" w:lineRule="exact"/>
        <w:ind w:firstLine="2640" w:firstLineChars="600"/>
        <w:jc w:val="both"/>
        <w:outlineLvl w:val="0"/>
        <w:rPr>
          <w:rStyle w:val="15"/>
          <w:rFonts w:ascii="黑体" w:hAnsi="黑体" w:eastAsia="黑体"/>
          <w:b w:val="0"/>
        </w:rPr>
      </w:pPr>
      <w:r>
        <w:rPr>
          <w:rFonts w:hint="eastAsia" w:ascii="黑体" w:hAnsi="黑体" w:eastAsia="黑体"/>
          <w:color w:val="000000"/>
          <w:sz w:val="44"/>
          <w:szCs w:val="44"/>
        </w:rPr>
        <w:t>第</w:t>
      </w:r>
      <w:r>
        <w:rPr>
          <w:rStyle w:val="15"/>
          <w:rFonts w:hint="eastAsia" w:ascii="黑体" w:hAnsi="黑体" w:eastAsia="黑体"/>
          <w:b w:val="0"/>
        </w:rPr>
        <w:t>五部分 附表</w:t>
      </w:r>
      <w:bookmarkEnd w:id="21"/>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color w:val="000000"/>
        </w:rPr>
      </w:pPr>
      <w:bookmarkStart w:id="22" w:name="_Toc15396619"/>
      <w:r>
        <w:rPr>
          <w:rFonts w:hint="eastAsia" w:ascii="仿宋_GB2312" w:hAnsi="仿宋_GB2312" w:eastAsia="仿宋_GB2312" w:cs="仿宋_GB2312"/>
          <w:b w:val="0"/>
          <w:color w:val="000000"/>
        </w:rPr>
        <w:t>一、收</w:t>
      </w:r>
      <w:r>
        <w:rPr>
          <w:rStyle w:val="22"/>
          <w:rFonts w:hint="eastAsia" w:ascii="仿宋_GB2312" w:hAnsi="仿宋_GB2312" w:eastAsia="仿宋_GB2312" w:cs="仿宋_GB2312"/>
          <w:b w:val="0"/>
          <w:bCs w:val="0"/>
        </w:rPr>
        <w:t>入支出决算总表</w:t>
      </w:r>
      <w:bookmarkEnd w:id="22"/>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color w:val="000000"/>
        </w:rPr>
      </w:pPr>
      <w:bookmarkStart w:id="23" w:name="_Toc15396620"/>
      <w:r>
        <w:rPr>
          <w:rFonts w:hint="eastAsia" w:ascii="仿宋_GB2312" w:hAnsi="仿宋_GB2312" w:eastAsia="仿宋_GB2312" w:cs="仿宋_GB2312"/>
          <w:b w:val="0"/>
          <w:color w:val="000000"/>
        </w:rPr>
        <w:t>二、收</w:t>
      </w:r>
      <w:r>
        <w:rPr>
          <w:rStyle w:val="22"/>
          <w:rFonts w:hint="eastAsia" w:ascii="仿宋_GB2312" w:hAnsi="仿宋_GB2312" w:eastAsia="仿宋_GB2312" w:cs="仿宋_GB2312"/>
          <w:b w:val="0"/>
          <w:bCs w:val="0"/>
        </w:rPr>
        <w:t>入决算表</w:t>
      </w:r>
      <w:bookmarkEnd w:id="23"/>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color w:val="000000"/>
        </w:rPr>
      </w:pPr>
      <w:bookmarkStart w:id="24" w:name="_Toc15396621"/>
      <w:r>
        <w:rPr>
          <w:rStyle w:val="22"/>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2"/>
          <w:rFonts w:hint="eastAsia" w:ascii="仿宋_GB2312" w:hAnsi="仿宋_GB2312" w:eastAsia="仿宋_GB2312" w:cs="仿宋_GB2312"/>
          <w:b w:val="0"/>
          <w:bCs w:val="0"/>
        </w:rPr>
        <w:t>出决算表</w:t>
      </w:r>
      <w:bookmarkEnd w:id="24"/>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b w:val="0"/>
          <w:color w:val="000000"/>
        </w:rPr>
      </w:pPr>
      <w:bookmarkStart w:id="25" w:name="_Toc15396622"/>
      <w:r>
        <w:rPr>
          <w:rStyle w:val="22"/>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2"/>
          <w:rFonts w:hint="eastAsia" w:ascii="仿宋_GB2312" w:hAnsi="仿宋_GB2312" w:eastAsia="仿宋_GB2312" w:cs="仿宋_GB2312"/>
          <w:b w:val="0"/>
          <w:bCs w:val="0"/>
        </w:rPr>
        <w:t>政拨款收入支出决算总表</w:t>
      </w:r>
      <w:bookmarkEnd w:id="25"/>
    </w:p>
    <w:p>
      <w:pPr>
        <w:pStyle w:val="3"/>
        <w:pageBreakBefore w:val="0"/>
        <w:widowControl w:val="0"/>
        <w:kinsoku/>
        <w:wordWrap/>
        <w:overflowPunct/>
        <w:topLinePunct w:val="0"/>
        <w:autoSpaceDE/>
        <w:autoSpaceDN/>
        <w:bidi w:val="0"/>
        <w:spacing w:line="576" w:lineRule="exact"/>
        <w:textAlignment w:val="auto"/>
        <w:rPr>
          <w:rStyle w:val="22"/>
          <w:rFonts w:hint="eastAsia" w:ascii="仿宋_GB2312" w:hAnsi="仿宋_GB2312" w:eastAsia="仿宋_GB2312" w:cs="仿宋_GB2312"/>
          <w:b w:val="0"/>
          <w:bCs w:val="0"/>
        </w:rPr>
      </w:pPr>
      <w:bookmarkStart w:id="26" w:name="_Toc15396623"/>
      <w:r>
        <w:rPr>
          <w:rStyle w:val="22"/>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2"/>
          <w:rFonts w:hint="eastAsia" w:ascii="仿宋_GB2312" w:hAnsi="仿宋_GB2312" w:eastAsia="仿宋_GB2312" w:cs="仿宋_GB2312"/>
          <w:b w:val="0"/>
          <w:bCs w:val="0"/>
        </w:rPr>
        <w:t>政拨款支出决算明细表</w:t>
      </w:r>
      <w:bookmarkEnd w:id="26"/>
      <w:bookmarkStart w:id="27" w:name="_Toc15396624"/>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color w:val="000000"/>
        </w:rPr>
      </w:pPr>
      <w:r>
        <w:rPr>
          <w:rStyle w:val="22"/>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2"/>
          <w:rFonts w:hint="eastAsia" w:ascii="仿宋_GB2312" w:hAnsi="仿宋_GB2312" w:eastAsia="仿宋_GB2312" w:cs="仿宋_GB2312"/>
          <w:b w:val="0"/>
          <w:bCs w:val="0"/>
        </w:rPr>
        <w:t>般公共预算财政拨款支出决算表</w:t>
      </w:r>
      <w:bookmarkEnd w:id="27"/>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color w:val="000000"/>
        </w:rPr>
      </w:pPr>
      <w:bookmarkStart w:id="28" w:name="_Toc15396625"/>
      <w:r>
        <w:rPr>
          <w:rStyle w:val="22"/>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2"/>
          <w:rFonts w:hint="eastAsia" w:ascii="仿宋_GB2312" w:hAnsi="仿宋_GB2312" w:eastAsia="仿宋_GB2312" w:cs="仿宋_GB2312"/>
          <w:b w:val="0"/>
          <w:bCs w:val="0"/>
        </w:rPr>
        <w:t>般公共预算财政拨款支出决算明细表</w:t>
      </w:r>
      <w:bookmarkEnd w:id="28"/>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color w:val="000000"/>
        </w:rPr>
      </w:pPr>
      <w:bookmarkStart w:id="29" w:name="_Toc15396626"/>
      <w:r>
        <w:rPr>
          <w:rStyle w:val="22"/>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2"/>
          <w:rFonts w:hint="eastAsia" w:ascii="仿宋_GB2312" w:hAnsi="仿宋_GB2312" w:eastAsia="仿宋_GB2312" w:cs="仿宋_GB2312"/>
          <w:b w:val="0"/>
          <w:bCs w:val="0"/>
        </w:rPr>
        <w:t>般公共预算财政拨款基本支出决算表</w:t>
      </w:r>
      <w:bookmarkEnd w:id="29"/>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color w:val="000000"/>
        </w:rPr>
      </w:pPr>
      <w:bookmarkStart w:id="30" w:name="_Toc15396627"/>
      <w:r>
        <w:rPr>
          <w:rStyle w:val="22"/>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2"/>
          <w:rFonts w:hint="eastAsia" w:ascii="仿宋_GB2312" w:hAnsi="仿宋_GB2312" w:eastAsia="仿宋_GB2312" w:cs="仿宋_GB2312"/>
          <w:b w:val="0"/>
          <w:bCs w:val="0"/>
        </w:rPr>
        <w:t>般公共预算财政拨款项目支出决算表</w:t>
      </w:r>
      <w:bookmarkEnd w:id="30"/>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color w:val="000000"/>
        </w:rPr>
      </w:pPr>
      <w:bookmarkStart w:id="31" w:name="_Toc15396628"/>
      <w:r>
        <w:rPr>
          <w:rStyle w:val="22"/>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2"/>
          <w:rFonts w:hint="eastAsia" w:ascii="仿宋_GB2312" w:hAnsi="仿宋_GB2312" w:eastAsia="仿宋_GB2312" w:cs="仿宋_GB2312"/>
          <w:b w:val="0"/>
          <w:bCs w:val="0"/>
        </w:rPr>
        <w:t>般公共预算财政拨款“三公”经费支出决算表</w:t>
      </w:r>
      <w:bookmarkEnd w:id="31"/>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color w:val="000000"/>
        </w:rPr>
      </w:pPr>
      <w:bookmarkStart w:id="32" w:name="_Toc15396629"/>
      <w:r>
        <w:rPr>
          <w:rStyle w:val="22"/>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2"/>
          <w:rFonts w:hint="eastAsia" w:ascii="仿宋_GB2312" w:hAnsi="仿宋_GB2312" w:eastAsia="仿宋_GB2312" w:cs="仿宋_GB2312"/>
          <w:b w:val="0"/>
          <w:bCs w:val="0"/>
        </w:rPr>
        <w:t>府性基金预算财政拨款收入支出决算表</w:t>
      </w:r>
      <w:bookmarkEnd w:id="32"/>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color w:val="000000"/>
        </w:rPr>
      </w:pPr>
      <w:bookmarkStart w:id="33" w:name="_Toc15396630"/>
      <w:r>
        <w:rPr>
          <w:rStyle w:val="22"/>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2"/>
          <w:rFonts w:hint="eastAsia" w:ascii="仿宋_GB2312" w:hAnsi="仿宋_GB2312" w:eastAsia="仿宋_GB2312" w:cs="仿宋_GB2312"/>
          <w:b w:val="0"/>
          <w:bCs w:val="0"/>
        </w:rPr>
        <w:t>府性基金预算财政拨款“三公”经费支出决算表</w:t>
      </w:r>
      <w:bookmarkEnd w:id="33"/>
    </w:p>
    <w:p>
      <w:pPr>
        <w:pStyle w:val="3"/>
        <w:pageBreakBefore w:val="0"/>
        <w:widowControl w:val="0"/>
        <w:kinsoku/>
        <w:wordWrap/>
        <w:overflowPunct/>
        <w:topLinePunct w:val="0"/>
        <w:autoSpaceDE/>
        <w:autoSpaceDN/>
        <w:bidi w:val="0"/>
        <w:spacing w:line="576" w:lineRule="exact"/>
        <w:textAlignment w:val="auto"/>
        <w:rPr>
          <w:rFonts w:hint="eastAsia" w:ascii="仿宋_GB2312" w:hAnsi="仿宋_GB2312" w:eastAsia="仿宋_GB2312" w:cs="仿宋_GB2312"/>
          <w:color w:val="000000" w:themeColor="text1"/>
          <w14:textFill>
            <w14:solidFill>
              <w14:schemeClr w14:val="tx1"/>
            </w14:solidFill>
          </w14:textFill>
        </w:rPr>
      </w:pPr>
      <w:bookmarkStart w:id="34" w:name="_Toc15396631"/>
      <w:r>
        <w:rPr>
          <w:rStyle w:val="22"/>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2"/>
          <w:rFonts w:hint="eastAsia" w:ascii="仿宋_GB2312" w:hAnsi="仿宋_GB2312" w:eastAsia="仿宋_GB2312" w:cs="仿宋_GB2312"/>
          <w:b w:val="0"/>
          <w:bCs w:val="0"/>
        </w:rPr>
        <w:t>有资本经营预算支出决算表</w:t>
      </w:r>
      <w:bookmarkEnd w:id="34"/>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default" w:ascii="仿宋_GB2312" w:hAnsi="仿宋_GB2312" w:eastAsia="仿宋_GB2312" w:cs="仿宋_GB2312"/>
          <w:sz w:val="32"/>
          <w:szCs w:val="32"/>
          <w:lang w:val="en-US" w:eastAsia="zh-CN"/>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4096279931">
    <w:nsid w:val="F428457B"/>
    <w:multiLevelType w:val="singleLevel"/>
    <w:tmpl w:val="F428457B"/>
    <w:lvl w:ilvl="0" w:tentative="1">
      <w:start w:val="1"/>
      <w:numFmt w:val="chineseCounting"/>
      <w:suff w:val="space"/>
      <w:lvlText w:val="第%1部分"/>
      <w:lvlJc w:val="left"/>
      <w:rPr>
        <w:rFonts w:hint="eastAsia"/>
      </w:rPr>
    </w:lvl>
  </w:abstractNum>
  <w:abstractNum w:abstractNumId="731410684">
    <w:nsid w:val="2B9870FC"/>
    <w:multiLevelType w:val="singleLevel"/>
    <w:tmpl w:val="2B9870FC"/>
    <w:lvl w:ilvl="0" w:tentative="1">
      <w:start w:val="3"/>
      <w:numFmt w:val="chineseCounting"/>
      <w:suff w:val="nothing"/>
      <w:lvlText w:val="%1、"/>
      <w:lvlJc w:val="left"/>
      <w:rPr>
        <w:rFonts w:hint="eastAsia"/>
      </w:rPr>
    </w:lvl>
  </w:abstractNum>
  <w:num w:numId="1">
    <w:abstractNumId w:val="4096279931"/>
  </w:num>
  <w:num w:numId="2">
    <w:abstractNumId w:val="7314106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986EBF"/>
    <w:rsid w:val="007F28A5"/>
    <w:rsid w:val="00F35157"/>
    <w:rsid w:val="016924F3"/>
    <w:rsid w:val="022F4CC1"/>
    <w:rsid w:val="071E08F9"/>
    <w:rsid w:val="08417E6A"/>
    <w:rsid w:val="0A440390"/>
    <w:rsid w:val="0B6C2CFC"/>
    <w:rsid w:val="0B800B07"/>
    <w:rsid w:val="0C9F2EDB"/>
    <w:rsid w:val="0D2D0355"/>
    <w:rsid w:val="0DB71150"/>
    <w:rsid w:val="0E5A7A1E"/>
    <w:rsid w:val="0E9F3CC0"/>
    <w:rsid w:val="10A575B1"/>
    <w:rsid w:val="141A35FB"/>
    <w:rsid w:val="196875AF"/>
    <w:rsid w:val="19E619AA"/>
    <w:rsid w:val="1FEB672C"/>
    <w:rsid w:val="202346E3"/>
    <w:rsid w:val="236E2DC3"/>
    <w:rsid w:val="24191475"/>
    <w:rsid w:val="24415972"/>
    <w:rsid w:val="24E46BD5"/>
    <w:rsid w:val="263B1A03"/>
    <w:rsid w:val="280D1788"/>
    <w:rsid w:val="2D044E7F"/>
    <w:rsid w:val="2D270CF6"/>
    <w:rsid w:val="2E0630D7"/>
    <w:rsid w:val="2E494BF4"/>
    <w:rsid w:val="2F3D4D23"/>
    <w:rsid w:val="353D7AC8"/>
    <w:rsid w:val="353F5C40"/>
    <w:rsid w:val="37754BD6"/>
    <w:rsid w:val="387214FD"/>
    <w:rsid w:val="3908068A"/>
    <w:rsid w:val="39246691"/>
    <w:rsid w:val="396A2504"/>
    <w:rsid w:val="3B583D61"/>
    <w:rsid w:val="3D5A403A"/>
    <w:rsid w:val="3E05138B"/>
    <w:rsid w:val="3F6C6D8F"/>
    <w:rsid w:val="42BA3FB9"/>
    <w:rsid w:val="441E4509"/>
    <w:rsid w:val="474E4439"/>
    <w:rsid w:val="47A46D37"/>
    <w:rsid w:val="49101064"/>
    <w:rsid w:val="4961637F"/>
    <w:rsid w:val="49BC3C9F"/>
    <w:rsid w:val="4BCA2F37"/>
    <w:rsid w:val="4C2C4B2D"/>
    <w:rsid w:val="4FD248BA"/>
    <w:rsid w:val="521755E0"/>
    <w:rsid w:val="52294751"/>
    <w:rsid w:val="52F87B5F"/>
    <w:rsid w:val="539B0AB4"/>
    <w:rsid w:val="55926CA2"/>
    <w:rsid w:val="56880D5A"/>
    <w:rsid w:val="56E004E2"/>
    <w:rsid w:val="56F76D14"/>
    <w:rsid w:val="57D06351"/>
    <w:rsid w:val="583E502D"/>
    <w:rsid w:val="5A5B6771"/>
    <w:rsid w:val="5BF11D94"/>
    <w:rsid w:val="5D6C3253"/>
    <w:rsid w:val="5D950EA6"/>
    <w:rsid w:val="5E5A6A65"/>
    <w:rsid w:val="5FB77AE0"/>
    <w:rsid w:val="60622543"/>
    <w:rsid w:val="61716522"/>
    <w:rsid w:val="63544344"/>
    <w:rsid w:val="63C971E5"/>
    <w:rsid w:val="642F2384"/>
    <w:rsid w:val="64D048E0"/>
    <w:rsid w:val="65475469"/>
    <w:rsid w:val="65D36E55"/>
    <w:rsid w:val="67411F57"/>
    <w:rsid w:val="677A5C25"/>
    <w:rsid w:val="67D207E4"/>
    <w:rsid w:val="684E60A2"/>
    <w:rsid w:val="689636CF"/>
    <w:rsid w:val="6A973550"/>
    <w:rsid w:val="6AF06138"/>
    <w:rsid w:val="6B0618B0"/>
    <w:rsid w:val="6B986EBF"/>
    <w:rsid w:val="6D3A3238"/>
    <w:rsid w:val="6E32277E"/>
    <w:rsid w:val="6EF94A6C"/>
    <w:rsid w:val="70BE6C09"/>
    <w:rsid w:val="73822D57"/>
    <w:rsid w:val="73BD5568"/>
    <w:rsid w:val="742228FA"/>
    <w:rsid w:val="75693555"/>
    <w:rsid w:val="75EA7278"/>
    <w:rsid w:val="77424BD0"/>
    <w:rsid w:val="78050A11"/>
    <w:rsid w:val="7A8E2C7F"/>
    <w:rsid w:val="7DC927C3"/>
    <w:rsid w:val="7E751AA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9"/>
    <w:pPr>
      <w:keepNext/>
      <w:keepLines/>
      <w:spacing w:before="260" w:after="260" w:line="416" w:lineRule="auto"/>
      <w:outlineLvl w:val="1"/>
    </w:pPr>
    <w:rPr>
      <w:rFonts w:ascii="Calibri Light" w:hAnsi="Calibri Light"/>
      <w:b/>
      <w:bCs/>
      <w:sz w:val="32"/>
      <w:szCs w:val="32"/>
    </w:rPr>
  </w:style>
  <w:style w:type="character" w:default="1" w:styleId="9">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qFormat/>
    <w:uiPriority w:val="99"/>
    <w:pPr>
      <w:spacing w:beforeLines="30"/>
    </w:pPr>
    <w:rPr>
      <w:rFonts w:ascii="仿宋_GB2312" w:eastAsia="仿宋_GB2312"/>
      <w:kern w:val="0"/>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8">
    <w:name w:val="toc 2"/>
    <w:basedOn w:val="1"/>
    <w:next w:val="1"/>
    <w:unhideWhenUsed/>
    <w:qFormat/>
    <w:uiPriority w:val="39"/>
    <w:pPr>
      <w:tabs>
        <w:tab w:val="right" w:leader="dot" w:pos="8296"/>
      </w:tabs>
      <w:ind w:left="420" w:leftChars="200"/>
    </w:pPr>
  </w:style>
  <w:style w:type="character" w:styleId="10">
    <w:name w:val="Strong"/>
    <w:basedOn w:val="9"/>
    <w:qFormat/>
    <w:uiPriority w:val="99"/>
    <w:rPr>
      <w:b/>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3">
    <w:name w:val="标题 1 Char"/>
    <w:basedOn w:val="9"/>
    <w:link w:val="2"/>
    <w:qFormat/>
    <w:uiPriority w:val="9"/>
    <w:rPr>
      <w:b/>
      <w:bCs/>
      <w:kern w:val="44"/>
      <w:sz w:val="44"/>
      <w:szCs w:val="44"/>
    </w:rPr>
  </w:style>
  <w:style w:type="character" w:customStyle="1" w:styleId="14">
    <w:name w:val="标题 2 Char"/>
    <w:basedOn w:val="9"/>
    <w:link w:val="3"/>
    <w:qFormat/>
    <w:uiPriority w:val="9"/>
    <w:rPr>
      <w:rFonts w:ascii="Calibri Light" w:hAnsi="Calibri Light"/>
      <w:b/>
      <w:bCs/>
      <w:sz w:val="32"/>
      <w:szCs w:val="32"/>
    </w:rPr>
  </w:style>
  <w:style w:type="character" w:customStyle="1" w:styleId="15">
    <w:name w:val="标题 1 字符"/>
    <w:basedOn w:val="9"/>
    <w:link w:val="2"/>
    <w:qFormat/>
    <w:uiPriority w:val="9"/>
    <w:rPr>
      <w:rFonts w:ascii="Times New Roman" w:hAnsi="Times New Roman"/>
      <w:b/>
      <w:bCs/>
      <w:kern w:val="44"/>
      <w:sz w:val="44"/>
      <w:szCs w:val="44"/>
    </w:rPr>
  </w:style>
  <w:style w:type="paragraph" w:customStyle="1" w:styleId="16">
    <w:name w:val="列出段落1"/>
    <w:basedOn w:val="1"/>
    <w:qFormat/>
    <w:uiPriority w:val="0"/>
    <w:pPr>
      <w:ind w:firstLine="420" w:firstLineChars="200"/>
    </w:pPr>
    <w:rPr>
      <w:szCs w:val="21"/>
    </w:rPr>
  </w:style>
  <w:style w:type="character" w:customStyle="1" w:styleId="17">
    <w:name w:val="15"/>
    <w:basedOn w:val="9"/>
    <w:qFormat/>
    <w:uiPriority w:val="0"/>
    <w:rPr>
      <w:rFonts w:hint="default" w:ascii="Cambria" w:hAnsi="Cambria" w:eastAsia="宋体" w:cs="Times New Roman"/>
      <w:b/>
      <w:bCs/>
      <w:kern w:val="2"/>
      <w:sz w:val="32"/>
      <w:szCs w:val="32"/>
    </w:rPr>
  </w:style>
  <w:style w:type="paragraph" w:customStyle="1" w:styleId="18">
    <w:name w:val="列出段落2"/>
    <w:basedOn w:val="1"/>
    <w:qFormat/>
    <w:uiPriority w:val="0"/>
    <w:pPr>
      <w:ind w:firstLine="420" w:firstLineChars="200"/>
    </w:pPr>
    <w:rPr>
      <w:szCs w:val="21"/>
    </w:rPr>
  </w:style>
  <w:style w:type="paragraph" w:customStyle="1" w:styleId="19">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22">
    <w:name w:val="标题 2 字符"/>
    <w:basedOn w:val="9"/>
    <w:link w:val="3"/>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5"/>
        </c:manualLayout>
      </c:layout>
      <c:overlay val="0"/>
      <c:spPr>
        <a:noFill/>
        <a:ln>
          <a:noFill/>
        </a:ln>
        <a:effectLst/>
      </c:spPr>
    </c:title>
    <c:autoTitleDeleted val="0"/>
    <c:plotArea>
      <c:layout>
        <c:manualLayout>
          <c:layoutTarget val="inner"/>
          <c:xMode val="edge"/>
          <c:yMode val="edge"/>
          <c:x val="0.0769356344423429"/>
          <c:y val="0.212981143314532"/>
          <c:w val="0.763500149073545"/>
          <c:h val="0.68032464027103"/>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numRef>
              <c:f>Sheet1!$A$2</c:f>
              <c:numCache>
                <c:formatCode>General</c:formatCode>
                <c:ptCount val="1"/>
              </c:numCache>
            </c:numRef>
          </c:cat>
          <c:val>
            <c:numRef>
              <c:f>Sheet1!$B$2</c:f>
              <c:numCache>
                <c:formatCode>General</c:formatCode>
                <c:ptCount val="1"/>
                <c:pt idx="0" c:formatCode="General">
                  <c:v>184.92</c:v>
                </c:pt>
              </c:numCache>
            </c:numRef>
          </c:val>
        </c:ser>
        <c:ser>
          <c:idx val="1"/>
          <c:order val="1"/>
          <c:tx>
            <c:strRef>
              <c:f>Sheet1!$C$1</c:f>
              <c:strCache>
                <c:ptCount val="1"/>
                <c:pt idx="0">
                  <c:v>2019年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numRef>
              <c:f>Sheet1!$A$2</c:f>
              <c:numCache>
                <c:formatCode>General</c:formatCode>
                <c:ptCount val="1"/>
              </c:numCache>
            </c:numRef>
          </c:cat>
          <c:val>
            <c:numRef>
              <c:f>Sheet1!$C$2</c:f>
              <c:numCache>
                <c:formatCode>General</c:formatCode>
                <c:ptCount val="1"/>
                <c:pt idx="0" c:formatCode="General">
                  <c:v>271.8</c:v>
                </c:pt>
              </c:numCache>
            </c:numRef>
          </c:val>
        </c:ser>
        <c:dLbls>
          <c:dLblPos val="outEnd"/>
          <c:showLegendKey val="0"/>
          <c:showVal val="1"/>
          <c:showCatName val="0"/>
          <c:showSerName val="0"/>
          <c:showPercent val="0"/>
          <c:showBubbleSize val="0"/>
        </c:dLbls>
        <c:gapWidth val="150"/>
        <c:axId val="108126592"/>
        <c:axId val="108128128"/>
      </c:barChart>
      <c:catAx>
        <c:axId val="108126592"/>
        <c:scaling>
          <c:orientation val="minMax"/>
        </c:scaling>
        <c:delete val="0"/>
        <c:axPos val="b"/>
        <c:numFmt formatCode="General" sourceLinked="1"/>
        <c:majorTickMark val="none"/>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08128128"/>
        <c:crosses val="autoZero"/>
        <c:auto val="1"/>
        <c:lblAlgn val="ctr"/>
        <c:lblOffset val="100"/>
        <c:tickMarkSkip val="1"/>
        <c:noMultiLvlLbl val="0"/>
      </c:catAx>
      <c:valAx>
        <c:axId val="108128128"/>
        <c:scaling>
          <c:orientation val="minMax"/>
        </c:scaling>
        <c:delete val="0"/>
        <c:axPos val="l"/>
        <c:majorGridlines>
          <c:spPr>
            <a:noFill/>
            <a:ln>
              <a:solidFill>
                <a:schemeClr val="tx1">
                  <a:lumMod val="50000"/>
                  <a:lumOff val="50000"/>
                </a:schemeClr>
              </a:solidFill>
            </a:ln>
            <a:effectLst/>
          </c:spPr>
        </c:majorGridlines>
        <c:numFmt formatCode="General" sourceLinked="1"/>
        <c:majorTickMark val="none"/>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08126592"/>
        <c:crosses val="autoZero"/>
        <c:crossBetween val="between"/>
      </c:valAx>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200" b="1" i="0" u="none" strike="noStrike" kern="1200" baseline="0">
                <a:solidFill>
                  <a:schemeClr val="tx1"/>
                </a:solidFill>
                <a:latin typeface="+mn-lt"/>
                <a:ea typeface="+mn-ea"/>
                <a:cs typeface="+mn-cs"/>
              </a:defRPr>
            </a:pPr>
            <a:r>
              <a:rPr lang="en-US" altLang="zh-CN" sz="1200"/>
              <a:t>2019</a:t>
            </a:r>
            <a:r>
              <a:rPr lang="zh-CN" altLang="en-US" sz="1200"/>
              <a:t>年收入决算结构图</a:t>
            </a:r>
            <a:endParaRPr lang="zh-CN" altLang="en-US" sz="1200"/>
          </a:p>
        </c:rich>
      </c:tx>
      <c:layout/>
      <c:overlay val="0"/>
      <c:spPr>
        <a:noFill/>
        <a:ln>
          <a:noFill/>
        </a:ln>
        <a:effectLst/>
      </c:spPr>
    </c:title>
    <c:autoTitleDeleted val="0"/>
    <c:plotArea>
      <c:layout>
        <c:manualLayout>
          <c:layoutTarget val="inner"/>
          <c:xMode val="edge"/>
          <c:yMode val="edge"/>
          <c:x val="0.215995924342381"/>
          <c:y val="0.217391304347826"/>
          <c:w val="0.296150696150696"/>
          <c:h val="0.655072463768117"/>
        </c:manualLayout>
      </c:layout>
      <c:pieChart>
        <c:varyColors val="1"/>
        <c:ser>
          <c:idx val="0"/>
          <c:order val="0"/>
          <c:tx>
            <c:strRef>
              <c:f>Sheet1!$B$1</c:f>
              <c:strCache>
                <c:ptCount val="1"/>
                <c:pt idx="0">
                  <c:v>2019年部门决算收入结构图</c:v>
                </c:pt>
              </c:strCache>
            </c:strRef>
          </c:tx>
          <c:spPr>
            <a:effectLst/>
          </c:spPr>
          <c:explosion val="0"/>
          <c:dPt>
            <c:idx val="0"/>
            <c:bubble3D val="0"/>
            <c:explosion val="0"/>
            <c:spPr>
              <a:solidFill>
                <a:schemeClr val="accent1">
                  <a:shade val="76667"/>
                </a:schemeClr>
              </a:solidFill>
              <a:ln>
                <a:noFill/>
              </a:ln>
              <a:effectLst/>
            </c:spPr>
          </c:dPt>
          <c:dPt>
            <c:idx val="1"/>
            <c:bubble3D val="0"/>
            <c:explosion val="0"/>
            <c:spPr>
              <a:solidFill>
                <a:schemeClr val="accent2">
                  <a:shade val="76667"/>
                </a:schemeClr>
              </a:solidFill>
              <a:ln>
                <a:noFill/>
              </a:ln>
              <a:effectLst/>
            </c:spPr>
          </c:dPt>
          <c:dPt>
            <c:idx val="2"/>
            <c:bubble3D val="0"/>
            <c:explosion val="0"/>
            <c:spPr>
              <a:solidFill>
                <a:schemeClr val="accent3">
                  <a:shade val="76667"/>
                </a:schemeClr>
              </a:solidFill>
              <a:ln>
                <a:noFill/>
              </a:ln>
              <a:effectLst/>
            </c:spPr>
          </c:dPt>
          <c:dPt>
            <c:idx val="3"/>
            <c:bubble3D val="0"/>
            <c:explosion val="0"/>
            <c:spPr>
              <a:solidFill>
                <a:schemeClr val="accent4">
                  <a:shade val="76667"/>
                </a:schemeClr>
              </a:solidFill>
              <a:ln>
                <a:noFill/>
              </a:ln>
              <a:effectLst/>
            </c:spPr>
          </c:dPt>
          <c:dPt>
            <c:idx val="4"/>
            <c:bubble3D val="0"/>
            <c:explosion val="0"/>
            <c:spPr>
              <a:solidFill>
                <a:schemeClr val="accent5">
                  <a:shade val="76667"/>
                </a:schemeClr>
              </a:solidFill>
              <a:ln>
                <a:noFill/>
              </a:ln>
              <a:effectLst/>
            </c:spPr>
          </c:dPt>
          <c:dPt>
            <c:idx val="5"/>
            <c:bubble3D val="0"/>
            <c:explosion val="0"/>
            <c:spPr>
              <a:solidFill>
                <a:schemeClr val="accent6">
                  <a:shade val="76667"/>
                </a:schemeClr>
              </a:solidFill>
              <a:ln>
                <a:noFill/>
              </a:ln>
              <a:effectLst/>
            </c:spPr>
          </c:dPt>
          <c:dPt>
            <c:idx val="6"/>
            <c:bubble3D val="0"/>
            <c:explosion val="0"/>
            <c:spPr>
              <a:solidFill>
                <a:schemeClr val="accent1">
                  <a:tint val="76667"/>
                </a:schemeClr>
              </a:solidFill>
              <a:ln>
                <a:noFill/>
              </a:ln>
              <a:effectLst/>
            </c:spPr>
          </c:dPt>
          <c:dLbls>
            <c:dLbl>
              <c:idx val="0"/>
              <c:layout>
                <c:manualLayout>
                  <c:x val="0.00527981755089603"/>
                  <c:y val="-0.34695619569293"/>
                </c:manualLayout>
              </c:layout>
              <c:tx>
                <c:rich>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r>
                      <a:rPr altLang="en-US" sz="1600"/>
                      <a:t>1</a:t>
                    </a:r>
                    <a:r>
                      <a:rPr altLang="en-US"/>
                      <a:t>00</a:t>
                    </a:r>
                    <a:r>
                      <a:rPr lang="en-US" altLang="zh-CN"/>
                      <a:t>%</a:t>
                    </a:r>
                    <a:endParaRPr altLang="en-US"/>
                  </a:p>
                </c:rich>
              </c:tx>
              <c:numFmt formatCode="General" sourceLinked="1"/>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6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solidFill>
                      <a:prstDash val="soli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formatCode="General">
                  <c:v>100</c:v>
                </c:pt>
                <c:pt idx="6" c:formatCode="General">
                  <c:v>0</c:v>
                </c:pt>
              </c:numCache>
            </c:numRef>
          </c:val>
        </c:ser>
        <c:dLbls>
          <c:dLblPos val="bestFit"/>
          <c:showLegendKey val="0"/>
          <c:showVal val="1"/>
          <c:showCatName val="0"/>
          <c:showSerName val="0"/>
          <c:showPercent val="0"/>
          <c:showBubbleSize val="0"/>
          <c:showLeaderLines val="1"/>
        </c:dLbls>
        <c:firstSliceAng val="0"/>
      </c:pieChart>
      <c:spPr>
        <a:solidFill>
          <a:schemeClr val="bg1"/>
        </a:solidFill>
        <a:ln>
          <a:noFill/>
        </a:ln>
        <a:effectLst/>
      </c:spPr>
    </c:plotArea>
    <c:legend>
      <c:legendPos val="r"/>
      <c:layout>
        <c:manualLayout>
          <c:xMode val="edge"/>
          <c:yMode val="edge"/>
          <c:x val="0.64"/>
          <c:y val="0.192746260074381"/>
          <c:w val="0.342222222222222"/>
          <c:h val="0.738888734314572"/>
        </c:manualLayout>
      </c:layout>
      <c:overlay val="0"/>
      <c:spPr>
        <a:noFill/>
        <a:ln>
          <a:noFill/>
        </a:ln>
        <a:effectLst/>
      </c:spPr>
      <c:txPr>
        <a:bodyPr rot="0" spcFirstLastPara="0" vertOverflow="ellipsis" horzOverflow="overflow"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800" b="1" i="0" u="none" strike="noStrike" kern="1200" baseline="0">
                <a:solidFill>
                  <a:schemeClr val="tx1"/>
                </a:solidFill>
                <a:latin typeface="+mn-lt"/>
                <a:ea typeface="+mn-ea"/>
                <a:cs typeface="+mn-cs"/>
              </a:defRPr>
            </a:pPr>
            <a:r>
              <a:rPr lang="en-US" altLang="zh-CN"/>
              <a:t>2019</a:t>
            </a:r>
            <a:r>
              <a:rPr lang="zh-CN" altLang="en-US"/>
              <a:t>年支出决算结构图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a:effectLst/>
          </c:spPr>
          <c:explosion val="0"/>
          <c:dPt>
            <c:idx val="0"/>
            <c:bubble3D val="0"/>
            <c:explosion val="0"/>
            <c:spPr>
              <a:solidFill>
                <a:schemeClr val="accent1"/>
              </a:solidFill>
              <a:ln>
                <a:noFill/>
              </a:ln>
              <a:effectLst/>
            </c:spPr>
          </c:dPt>
          <c:dPt>
            <c:idx val="1"/>
            <c:bubble3D val="0"/>
            <c:explosion val="0"/>
            <c:spPr>
              <a:solidFill>
                <a:schemeClr val="accent2"/>
              </a:solidFill>
              <a:ln>
                <a:noFill/>
              </a:ln>
              <a:effectLst/>
            </c:spPr>
          </c:dPt>
          <c:dPt>
            <c:idx val="2"/>
            <c:bubble3D val="0"/>
            <c:explosion val="0"/>
            <c:spPr>
              <a:solidFill>
                <a:schemeClr val="accent3"/>
              </a:solidFill>
              <a:ln>
                <a:noFill/>
              </a:ln>
              <a:effectLst/>
            </c:spPr>
          </c:dPt>
          <c:dPt>
            <c:idx val="3"/>
            <c:bubble3D val="0"/>
            <c:explosion val="0"/>
            <c:spPr>
              <a:solidFill>
                <a:schemeClr val="accent4"/>
              </a:solidFill>
              <a:ln>
                <a:noFill/>
              </a:ln>
              <a:effectLst/>
            </c:spPr>
          </c:dPt>
          <c:dPt>
            <c:idx val="4"/>
            <c:bubble3D val="0"/>
            <c:explosion val="0"/>
            <c:spPr>
              <a:solidFill>
                <a:schemeClr val="accent5"/>
              </a:solidFill>
              <a:ln>
                <a:no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60.07</a:t>
                    </a:r>
                    <a:r>
                      <a:rPr lang="en-US" altLang="zh-CN"/>
                      <a:t>%</a:t>
                    </a:r>
                    <a:endParaRPr lang="en-US" altLang="zh-CN"/>
                  </a:p>
                </c:rich>
              </c:tx>
              <c:numFmt formatCode="General" sourceLinked="1"/>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0819943075202652"/>
                  <c:y val="0.038174965145467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39.93</a:t>
                    </a:r>
                    <a:r>
                      <a:rPr lang="en-US" altLang="zh-CN"/>
                      <a:t>%</a:t>
                    </a:r>
                    <a:endParaRPr lang="en-US" altLang="zh-CN"/>
                  </a:p>
                </c:rich>
              </c:tx>
              <c:numFmt formatCode="General" sourceLinked="1"/>
              <c:dLblPos val="bestFit"/>
              <c:showLegendKey val="0"/>
              <c:showVal val="1"/>
              <c:showCatName val="0"/>
              <c:showSerName val="0"/>
              <c:showPercent val="0"/>
              <c:showBubbleSize val="0"/>
              <c:extLst>
                <c:ext xmlns:c15="http://schemas.microsoft.com/office/drawing/2012/chart" uri="{CE6537A1-D6FC-4f65-9D91-7224C49458BB}">
                  <c15:layout/>
                </c:ext>
              </c:extLst>
            </c:dLbl>
            <c:dLbl>
              <c:idx val="4"/>
              <c:delete val="1"/>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solidFill>
                      <a:prstDash val="soli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formatCode="General">
                  <c:v>60.07</c:v>
                </c:pt>
                <c:pt idx="1" c:formatCode="General">
                  <c:v>39.93</c:v>
                </c:pt>
              </c:numCache>
            </c:numRef>
          </c:val>
        </c:ser>
        <c:dLbls>
          <c:dLblPos val="bestFit"/>
          <c:showLegendKey val="0"/>
          <c:showVal val="1"/>
          <c:showCatName val="0"/>
          <c:showSerName val="0"/>
          <c:showPercent val="0"/>
          <c:showBubbleSize val="0"/>
          <c:showLeaderLines val="1"/>
        </c:dLbls>
        <c:firstSliceAng val="0"/>
      </c:pieChart>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88"/>
          <c:y val="0.0521624031445831"/>
        </c:manualLayout>
      </c:layout>
      <c:overlay val="0"/>
      <c:spPr>
        <a:noFill/>
        <a:ln>
          <a:noFill/>
        </a:ln>
        <a:effectLst/>
      </c:spPr>
    </c:title>
    <c:autoTitleDeleted val="0"/>
    <c:plotArea>
      <c:layout>
        <c:manualLayout>
          <c:layoutTarget val="inner"/>
          <c:xMode val="edge"/>
          <c:yMode val="edge"/>
          <c:x val="0.076935634442343"/>
          <c:y val="0.212981143314532"/>
          <c:w val="0.763500149073545"/>
          <c:h val="0.68032464027103"/>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numRef>
              <c:f>Sheet1!$A$2</c:f>
              <c:numCache>
                <c:formatCode>General</c:formatCode>
                <c:ptCount val="1"/>
              </c:numCache>
            </c:numRef>
          </c:cat>
          <c:val>
            <c:numRef>
              <c:f>Sheet1!$B$2</c:f>
              <c:numCache>
                <c:formatCode>General</c:formatCode>
                <c:ptCount val="1"/>
                <c:pt idx="0" c:formatCode="General">
                  <c:v>184.92</c:v>
                </c:pt>
              </c:numCache>
            </c:numRef>
          </c:val>
        </c:ser>
        <c:ser>
          <c:idx val="1"/>
          <c:order val="1"/>
          <c:tx>
            <c:strRef>
              <c:f>Sheet1!$C$1</c:f>
              <c:strCache>
                <c:ptCount val="1"/>
                <c:pt idx="0">
                  <c:v>2019年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numRef>
              <c:f>Sheet1!$A$2</c:f>
              <c:numCache>
                <c:formatCode>General</c:formatCode>
                <c:ptCount val="1"/>
              </c:numCache>
            </c:numRef>
          </c:cat>
          <c:val>
            <c:numRef>
              <c:f>Sheet1!$C$2</c:f>
              <c:numCache>
                <c:formatCode>General</c:formatCode>
                <c:ptCount val="1"/>
                <c:pt idx="0" c:formatCode="General">
                  <c:v>271.8</c:v>
                </c:pt>
              </c:numCache>
            </c:numRef>
          </c:val>
        </c:ser>
        <c:dLbls>
          <c:dLblPos val="outEnd"/>
          <c:showLegendKey val="0"/>
          <c:showVal val="1"/>
          <c:showCatName val="0"/>
          <c:showSerName val="0"/>
          <c:showPercent val="0"/>
          <c:showBubbleSize val="0"/>
        </c:dLbls>
        <c:gapWidth val="150"/>
        <c:axId val="111407872"/>
        <c:axId val="111409408"/>
      </c:barChart>
      <c:catAx>
        <c:axId val="111407872"/>
        <c:scaling>
          <c:orientation val="minMax"/>
        </c:scaling>
        <c:delete val="0"/>
        <c:axPos val="b"/>
        <c:numFmt formatCode="General" sourceLinked="1"/>
        <c:majorTickMark val="none"/>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11409408"/>
        <c:crosses val="autoZero"/>
        <c:auto val="1"/>
        <c:lblAlgn val="ctr"/>
        <c:lblOffset val="100"/>
        <c:tickMarkSkip val="1"/>
        <c:noMultiLvlLbl val="0"/>
      </c:catAx>
      <c:valAx>
        <c:axId val="111409408"/>
        <c:scaling>
          <c:orientation val="minMax"/>
        </c:scaling>
        <c:delete val="0"/>
        <c:axPos val="l"/>
        <c:majorGridlines>
          <c:spPr>
            <a:noFill/>
            <a:ln>
              <a:solidFill>
                <a:schemeClr val="tx1">
                  <a:lumMod val="50000"/>
                  <a:lumOff val="50000"/>
                </a:schemeClr>
              </a:solidFill>
            </a:ln>
            <a:effectLst/>
          </c:spPr>
        </c:majorGridlines>
        <c:numFmt formatCode="General" sourceLinked="1"/>
        <c:majorTickMark val="none"/>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11407872"/>
        <c:crosses val="autoZero"/>
        <c:crossBetween val="between"/>
      </c:valAx>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spPr>
        <a:noFill/>
        <a:ln>
          <a:noFill/>
        </a:ln>
        <a:effectLst/>
      </c:spPr>
    </c:title>
    <c:autoTitleDeleted val="0"/>
    <c:plotArea>
      <c:layout>
        <c:manualLayout>
          <c:layoutTarget val="inner"/>
          <c:xMode val="edge"/>
          <c:yMode val="edge"/>
          <c:x val="0.0746107073721492"/>
          <c:y val="0.209319129226494"/>
          <c:w val="0.770646966143439"/>
          <c:h val="0.683986901018178"/>
        </c:manualLayout>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strRef>
              <c:f>Sheet1!$A$2</c:f>
              <c:strCache>
                <c:ptCount val="1"/>
                <c:pt idx="0">
                  <c:v>一般公共预算财政拨款支出</c:v>
                </c:pt>
              </c:strCache>
            </c:strRef>
          </c:cat>
          <c:val>
            <c:numRef>
              <c:f>Sheet1!$B$2</c:f>
              <c:numCache>
                <c:formatCode>General</c:formatCode>
                <c:ptCount val="1"/>
                <c:pt idx="0" c:formatCode="General">
                  <c:v>184.92</c:v>
                </c:pt>
              </c:numCache>
            </c:numRef>
          </c:val>
        </c:ser>
        <c:ser>
          <c:idx val="1"/>
          <c:order val="1"/>
          <c:tx>
            <c:strRef>
              <c:f>Sheet1!$C$1</c:f>
              <c:strCache>
                <c:ptCount val="1"/>
                <c:pt idx="0">
                  <c:v>2019年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strRef>
              <c:f>Sheet1!$A$2</c:f>
              <c:strCache>
                <c:ptCount val="1"/>
                <c:pt idx="0">
                  <c:v>一般公共预算财政拨款支出</c:v>
                </c:pt>
              </c:strCache>
            </c:strRef>
          </c:cat>
          <c:val>
            <c:numRef>
              <c:f>Sheet1!$C$2</c:f>
              <c:numCache>
                <c:formatCode>General</c:formatCode>
                <c:ptCount val="1"/>
                <c:pt idx="0" c:formatCode="General">
                  <c:v>254.41</c:v>
                </c:pt>
              </c:numCache>
            </c:numRef>
          </c:val>
        </c:ser>
        <c:dLbls>
          <c:dLblPos val="outEnd"/>
          <c:showLegendKey val="0"/>
          <c:showVal val="1"/>
          <c:showCatName val="0"/>
          <c:showSerName val="0"/>
          <c:showPercent val="0"/>
          <c:showBubbleSize val="0"/>
        </c:dLbls>
        <c:gapWidth val="150"/>
        <c:axId val="111730048"/>
        <c:axId val="111740032"/>
      </c:barChart>
      <c:catAx>
        <c:axId val="111730048"/>
        <c:scaling>
          <c:orientation val="minMax"/>
        </c:scaling>
        <c:delete val="0"/>
        <c:axPos val="b"/>
        <c:numFmt formatCode="General"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11740032"/>
        <c:crosses val="autoZero"/>
        <c:auto val="1"/>
        <c:lblAlgn val="ctr"/>
        <c:lblOffset val="100"/>
        <c:tickMarkSkip val="1"/>
        <c:noMultiLvlLbl val="0"/>
      </c:catAx>
      <c:valAx>
        <c:axId val="111740032"/>
        <c:scaling>
          <c:orientation val="minMax"/>
        </c:scaling>
        <c:delete val="0"/>
        <c:axPos val="l"/>
        <c:majorGridlines>
          <c:spPr>
            <a:noFill/>
            <a:ln>
              <a:solidFill>
                <a:schemeClr val="tx1">
                  <a:lumMod val="50000"/>
                  <a:lumOff val="50000"/>
                </a:schemeClr>
              </a:solidFill>
            </a:ln>
            <a:effectLst/>
          </c:spPr>
        </c:majorGridlines>
        <c:numFmt formatCode="General"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11730048"/>
        <c:crosses val="autoZero"/>
        <c:crossBetween val="between"/>
      </c:valAx>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800" b="1" i="0" u="none" strike="noStrike" kern="1200" baseline="0">
                <a:solidFill>
                  <a:schemeClr val="tx1"/>
                </a:solidFill>
                <a:latin typeface="+mn-lt"/>
                <a:ea typeface="+mn-ea"/>
                <a:cs typeface="+mn-cs"/>
              </a:defRPr>
            </a:pPr>
            <a:r>
              <a:rPr altLang="en-US" sz="1400"/>
              <a:t>201</a:t>
            </a:r>
            <a:r>
              <a:rPr lang="en-US" altLang="en-US" sz="1400"/>
              <a:t>9</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manualLayout>
          <c:xMode val="edge"/>
          <c:yMode val="edge"/>
          <c:x val="0.157430432208407"/>
          <c:y val="0.0326441784548422"/>
        </c:manualLayout>
      </c:layout>
      <c:overlay val="0"/>
      <c:spPr>
        <a:noFill/>
        <a:ln>
          <a:noFill/>
        </a:ln>
        <a:effectLst/>
      </c:spPr>
    </c:title>
    <c:autoTitleDeleted val="0"/>
    <c:plotArea>
      <c:layout/>
      <c:pieChart>
        <c:varyColors val="1"/>
        <c:ser>
          <c:idx val="0"/>
          <c:order val="0"/>
          <c:tx>
            <c:strRef>
              <c:f>Sheet1!$B$1</c:f>
              <c:strCache>
                <c:ptCount val="1"/>
                <c:pt idx="0">
                  <c:v>2019年部门决算支出结构图</c:v>
                </c:pt>
              </c:strCache>
            </c:strRef>
          </c:tx>
          <c:spPr>
            <a:effectLst/>
          </c:spPr>
          <c:explosion val="0"/>
          <c:dPt>
            <c:idx val="0"/>
            <c:bubble3D val="0"/>
            <c:explosion val="0"/>
            <c:spPr>
              <a:solidFill>
                <a:schemeClr val="accent1"/>
              </a:solidFill>
              <a:ln>
                <a:noFill/>
              </a:ln>
              <a:effectLst/>
            </c:spPr>
          </c:dPt>
          <c:dPt>
            <c:idx val="1"/>
            <c:bubble3D val="0"/>
            <c:explosion val="0"/>
            <c:spPr>
              <a:solidFill>
                <a:schemeClr val="accent2"/>
              </a:solidFill>
              <a:ln>
                <a:noFill/>
              </a:ln>
              <a:effectLst/>
            </c:spPr>
          </c:dPt>
          <c:dPt>
            <c:idx val="2"/>
            <c:bubble3D val="0"/>
            <c:explosion val="0"/>
            <c:spPr>
              <a:solidFill>
                <a:schemeClr val="accent3"/>
              </a:solidFill>
              <a:ln>
                <a:noFill/>
              </a:ln>
              <a:effectLst/>
            </c:spPr>
          </c:dPt>
          <c:dPt>
            <c:idx val="3"/>
            <c:bubble3D val="0"/>
            <c:explosion val="0"/>
            <c:spPr>
              <a:solidFill>
                <a:schemeClr val="accent4"/>
              </a:solidFill>
              <a:ln>
                <a:no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48.72</a:t>
                    </a:r>
                    <a:r>
                      <a:rPr lang="en-US" altLang="zh-CN"/>
                      <a:t>%</a:t>
                    </a:r>
                    <a:endParaRPr lang="en-US" altLang="zh-CN"/>
                  </a:p>
                </c:rich>
              </c:tx>
              <c:numFmt formatCode="General" sourceLinked="1"/>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4.7</a:t>
                    </a:r>
                    <a:r>
                      <a:rPr lang="en-US" altLang="zh-CN"/>
                      <a:t>%</a:t>
                    </a:r>
                    <a:endParaRPr lang="en-US" altLang="zh-CN"/>
                  </a:p>
                </c:rich>
              </c:tx>
              <c:numFmt formatCode="General" sourceLinked="1"/>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6.65</a:t>
                    </a:r>
                    <a:r>
                      <a:rPr lang="en-US" altLang="zh-CN"/>
                      <a:t>%</a:t>
                    </a:r>
                    <a:endParaRPr lang="en-US" altLang="zh-CN"/>
                  </a:p>
                </c:rich>
              </c:tx>
              <c:numFmt formatCode="General" sourceLinked="1"/>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39.93</a:t>
                    </a:r>
                    <a:r>
                      <a:rPr lang="en-US" altLang="zh-CN"/>
                      <a:t>%</a:t>
                    </a:r>
                    <a:endParaRPr lang="en-US" altLang="zh-CN"/>
                  </a:p>
                </c:rich>
              </c:tx>
              <c:numFmt formatCode="General" sourceLinked="1"/>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solidFill>
                      <a:prstDash val="solid"/>
                    </a:ln>
                    <a:effectLst/>
                  </c:spPr>
                </c15:leaderLines>
              </c:ext>
            </c:extLst>
          </c:dLbls>
          <c:cat>
            <c:strRef>
              <c:f>Sheet1!$A$2:$A$5</c:f>
              <c:strCache>
                <c:ptCount val="4"/>
                <c:pt idx="0">
                  <c:v>社会保障和就业支出</c:v>
                </c:pt>
                <c:pt idx="1">
                  <c:v>卫生健康支出</c:v>
                </c:pt>
                <c:pt idx="2">
                  <c:v>住房保障支出</c:v>
                </c:pt>
                <c:pt idx="3">
                  <c:v>农林水支出</c:v>
                </c:pt>
              </c:strCache>
            </c:strRef>
          </c:cat>
          <c:val>
            <c:numRef>
              <c:f>Sheet1!$B$2:$B$5</c:f>
              <c:numCache>
                <c:formatCode>General</c:formatCode>
                <c:ptCount val="4"/>
                <c:pt idx="0" c:formatCode="General">
                  <c:v>48.72</c:v>
                </c:pt>
                <c:pt idx="1" c:formatCode="General">
                  <c:v>4.7</c:v>
                </c:pt>
                <c:pt idx="2" c:formatCode="General">
                  <c:v>6.65</c:v>
                </c:pt>
                <c:pt idx="3" c:formatCode="General">
                  <c:v>39.93</c:v>
                </c:pt>
              </c:numCache>
            </c:numRef>
          </c:val>
        </c:ser>
        <c:dLbls>
          <c:dLblPos val="bestFit"/>
          <c:showLegendKey val="0"/>
          <c:showVal val="1"/>
          <c:showCatName val="0"/>
          <c:showSerName val="0"/>
          <c:showPercent val="0"/>
          <c:showBubbleSize val="0"/>
          <c:showLeaderLines val="1"/>
        </c:dLbls>
        <c:firstSliceAng val="0"/>
      </c:pieChart>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2020-09-15T09:17:00Z</dcterms:created>
  <dc:creator>二次元的SIS控</dc:creator>
  <cp:lastModifiedBy>Administrator</cp:lastModifiedBy>
  <cp:lastPrinted>2020-09-22T01:20:00Z</cp:lastPrinted>
  <dcterms:modified xsi:type="dcterms:W3CDTF">2021-06-08T10:33:43Z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