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eastAsia"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96597"/>
      <w:bookmarkStart w:id="2" w:name="_Toc15377425"/>
      <w:bookmarkStart w:id="3" w:name="_Toc15378441"/>
      <w:bookmarkStart w:id="4" w:name="_Toc15377193"/>
      <w:bookmarkStart w:id="5" w:name="_Toc15396475"/>
      <w:r>
        <w:rPr>
          <w:rFonts w:ascii="黑体" w:hAnsi="黑体" w:eastAsia="黑体"/>
          <w:sz w:val="72"/>
          <w:szCs w:val="72"/>
        </w:rPr>
        <w:t>2020</w:t>
      </w:r>
      <w:r>
        <w:rPr>
          <w:rFonts w:hint="eastAsia" w:ascii="黑体" w:hAnsi="黑体" w:eastAsia="黑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77194"/>
      <w:bookmarkStart w:id="7" w:name="_Toc15378442"/>
      <w:bookmarkStart w:id="8" w:name="_Toc15396476"/>
      <w:bookmarkStart w:id="9" w:name="_Toc15377426"/>
      <w:bookmarkStart w:id="10" w:name="_Toc15396598"/>
      <w:r>
        <w:rPr>
          <w:rFonts w:hint="eastAsia" w:ascii="方正小标宋简体" w:eastAsia="方正小标宋简体"/>
          <w:sz w:val="72"/>
          <w:szCs w:val="72"/>
        </w:rPr>
        <w:t>四川省茂县</w:t>
      </w:r>
      <w:bookmarkEnd w:id="0"/>
      <w:bookmarkStart w:id="11" w:name="_Toc15306268"/>
      <w:r>
        <w:rPr>
          <w:rFonts w:hint="eastAsia" w:ascii="方正小标宋简体" w:eastAsia="方正小标宋简体"/>
          <w:sz w:val="72"/>
          <w:szCs w:val="72"/>
          <w:lang w:eastAsia="zh-CN"/>
        </w:rPr>
        <w:t>城乡居民养老保险事务中心</w:t>
      </w:r>
      <w:r>
        <w:rPr>
          <w:rFonts w:hint="eastAsia" w:ascii="方正小标宋简体" w:eastAsia="方正小标宋简体"/>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w:t>
      </w:r>
    </w:p>
    <w:p>
      <w:pPr>
        <w:widowControl/>
        <w:jc w:val="center"/>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3"/>
        <w:jc w:val="center"/>
        <w:rPr>
          <w:rFonts w:hAnsiTheme="minorHAnsi"/>
          <w:b w:val="0"/>
          <w:bCs w:val="0"/>
          <w:sz w:val="24"/>
          <w:szCs w:val="24"/>
        </w:rPr>
      </w:pPr>
      <w:r>
        <w:rPr>
          <w:rFonts w:hint="eastAsia" w:hAnsiTheme="minorHAnsi"/>
          <w:b w:val="0"/>
          <w:bCs w:val="0"/>
          <w:sz w:val="24"/>
          <w:szCs w:val="24"/>
        </w:rPr>
        <w:t>公开时间：2021年</w:t>
      </w:r>
      <w:r>
        <w:rPr>
          <w:rFonts w:hint="eastAsia" w:hAnsiTheme="minorHAnsi"/>
          <w:b w:val="0"/>
          <w:bCs w:val="0"/>
          <w:sz w:val="24"/>
          <w:szCs w:val="24"/>
          <w:lang w:val="en-US" w:eastAsia="zh-CN"/>
        </w:rPr>
        <w:t>9</w:t>
      </w:r>
      <w:r>
        <w:rPr>
          <w:rFonts w:hint="eastAsia" w:hAnsiTheme="minorHAnsi"/>
          <w:b w:val="0"/>
          <w:bCs w:val="0"/>
          <w:sz w:val="24"/>
          <w:szCs w:val="24"/>
        </w:rPr>
        <w:t xml:space="preserve"> 月 </w:t>
      </w:r>
      <w:r>
        <w:rPr>
          <w:rFonts w:hint="eastAsia" w:hAnsiTheme="minorHAnsi"/>
          <w:b w:val="0"/>
          <w:bCs w:val="0"/>
          <w:sz w:val="24"/>
          <w:szCs w:val="24"/>
          <w:lang w:val="en-US" w:eastAsia="zh-CN"/>
        </w:rPr>
        <w:t>27</w:t>
      </w:r>
      <w:r>
        <w:rPr>
          <w:rFonts w:hint="eastAsia" w:hAnsiTheme="minorHAnsi"/>
          <w:b w:val="0"/>
          <w:bCs w:val="0"/>
          <w:sz w:val="24"/>
          <w:szCs w:val="24"/>
        </w:rPr>
        <w:t>日</w:t>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TOC \o "1-3" \h \u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_Toc17077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第一部分 部门概况</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4</w:t>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_Toc19555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一、基本职能及主要工作</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4</w:t>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_Toc11733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（一）主要职能</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4</w:t>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_Toc12862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（二）2020年重点工作完成情况</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4</w:t>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_Toc32311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二、机构设置</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4</w:t>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_Toc21596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第二部分 2020年度部门决算情况说明</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5</w:t>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_Toc4785 </w:instrText>
      </w:r>
      <w:r>
        <w:rPr>
          <w:rFonts w:hint="eastAsia" w:ascii="仿宋_GB2312" w:hAnsi="仿宋_GB2312" w:eastAsia="仿宋_GB2312" w:cs="仿宋_GB2312"/>
          <w:b w:val="0"/>
          <w:bCs w:val="0"/>
          <w:caps w:val="0"/>
          <w:sz w:val="32"/>
          <w:szCs w:val="32"/>
        </w:rPr>
        <w:fldChar w:fldCharType="separate"/>
      </w:r>
      <w:r>
        <w:rPr>
          <w:rFonts w:hint="default" w:ascii="仿宋_GB2312" w:hAnsi="仿宋_GB2312" w:eastAsia="仿宋_GB2312" w:cs="仿宋_GB2312"/>
          <w:b w:val="0"/>
          <w:bCs w:val="0"/>
          <w:caps w:val="0"/>
          <w:sz w:val="32"/>
          <w:szCs w:val="32"/>
        </w:rPr>
        <w:t xml:space="preserve">一、 </w:t>
      </w:r>
      <w:r>
        <w:rPr>
          <w:rFonts w:hint="eastAsia" w:ascii="仿宋_GB2312" w:hAnsi="仿宋_GB2312" w:eastAsia="仿宋_GB2312" w:cs="仿宋_GB2312"/>
          <w:b w:val="0"/>
          <w:bCs w:val="0"/>
          <w:caps w:val="0"/>
          <w:sz w:val="32"/>
          <w:szCs w:val="32"/>
        </w:rPr>
        <w:t>收入支出决算总体情</w:t>
      </w:r>
      <w:r>
        <w:rPr>
          <w:rFonts w:hint="eastAsia" w:ascii="仿宋_GB2312" w:hAnsi="仿宋_GB2312" w:eastAsia="仿宋_GB2312" w:cs="仿宋_GB2312"/>
          <w:b w:val="0"/>
          <w:bCs w:val="0"/>
          <w:caps w:val="0"/>
          <w:sz w:val="32"/>
          <w:szCs w:val="32"/>
          <w:lang w:eastAsia="zh-CN"/>
        </w:rPr>
        <w:t>况</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5</w:t>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_Toc2198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二、收入决算情况说明</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5</w:t>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_Toc31395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lang w:eastAsia="zh-CN"/>
        </w:rPr>
        <w:t>三、</w:t>
      </w:r>
      <w:r>
        <w:rPr>
          <w:rFonts w:hint="eastAsia" w:ascii="仿宋_GB2312" w:hAnsi="仿宋_GB2312" w:eastAsia="仿宋_GB2312" w:cs="仿宋_GB2312"/>
          <w:b w:val="0"/>
          <w:bCs w:val="0"/>
          <w:caps w:val="0"/>
          <w:sz w:val="32"/>
          <w:szCs w:val="32"/>
        </w:rPr>
        <w:t>支出决算情况说明</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6</w:t>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_Toc13819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四、财政拨款收入支出决算总体情况说明</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6</w:t>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_Toc26985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五、一般公共预算财政拨款支出决算情况说明</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7</w:t>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_Toc4332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7</w:t>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_Toc15983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lang w:eastAsia="zh-CN"/>
        </w:rPr>
        <w:t>（</w:t>
      </w:r>
      <w:r>
        <w:rPr>
          <w:rFonts w:hint="eastAsia" w:ascii="仿宋_GB2312" w:hAnsi="仿宋_GB2312" w:eastAsia="仿宋_GB2312" w:cs="仿宋_GB2312"/>
          <w:b w:val="0"/>
          <w:bCs w:val="0"/>
          <w:caps w:val="0"/>
          <w:sz w:val="32"/>
          <w:szCs w:val="32"/>
        </w:rPr>
        <w:t>二）一般公共预算财政拨款支出决算结构情况</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7</w:t>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_Toc19823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（三）一般公共预算财政拨款支出决算具体情况</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8</w:t>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_Toc3782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六、一般公共预算财政拨款基本支出决算情况说明</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9</w:t>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_Toc8428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七、“三公”经费财政拨款支出决算情况说明</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9</w:t>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_Toc17510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（一）“三公”经费财政拨款支出决算总体情况说明</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9</w:t>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_Toc30440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（二）“三公”经费财政拨款支出决算具体情况说明</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9</w:t>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lang w:val="en-US" w:eastAsia="zh-CN"/>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_Toc18563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八、政府性基金预算支出决算情况说明</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1</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lang w:val="en-US" w:eastAsia="zh-CN"/>
        </w:rPr>
        <w:t>0</w:t>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lang w:val="en-US" w:eastAsia="zh-CN"/>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_Toc6267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九、 国有资本经营预算支出决算情况说明</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1</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lang w:val="en-US" w:eastAsia="zh-CN"/>
        </w:rPr>
        <w:t>0</w:t>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lang w:val="en-US" w:eastAsia="zh-CN"/>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_Toc6568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十、其他重要事项的情况说明</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1</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lang w:val="en-US" w:eastAsia="zh-CN"/>
        </w:rPr>
        <w:t>0</w:t>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lang w:val="en-US" w:eastAsia="zh-CN"/>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_Toc17556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（一）机关运行经费支出情况</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1</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lang w:val="en-US" w:eastAsia="zh-CN"/>
        </w:rPr>
        <w:t>0</w:t>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_Toc29546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（二）政府采购支出情况</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PAGEREF _Toc29546 \h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11</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_Toc26443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（三）国有资产占有使用情况</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PAGEREF _Toc26443 \h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11</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_Toc7410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（四）预算绩效管理情况</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PAGEREF _Toc7410 \h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11</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_Toc20685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第三部分 名词解释</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PAGEREF _Toc20685 \h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11</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_Toc23737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第四部分 附件</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PAGEREF _Toc23737 \h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14</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_Toc4268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附件1</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PAGEREF _Toc4268 \h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14</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_Toc17183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第五部分 附表</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PAGEREF _Toc17183 \h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22</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_Toc145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一、收入支出决算总表</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PAGEREF _Toc145 \h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22</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_Toc19146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二、收入决算表</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PAGEREF _Toc19146 \h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22</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_Toc8613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三、支出决算表</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PAGEREF _Toc8613 \h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22</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_Toc1263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四、财政拨款收入支出决算总表</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PAGEREF _Toc1263 \h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22</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_Toc18994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五、财政拨款支出决算明细表</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PAGEREF _Toc18994 \h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22</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_Toc30963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六、一般公共预算财政拨款支出决算表</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PAGEREF _Toc30963 \h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22</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_Toc19779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七、一般公共预算财政拨款支出决算明细表</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PAGEREF _Toc19779 \h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22</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_Toc23048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八、一般公共预算财政拨款基本支出决算表</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PAGEREF _Toc23048 \h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22</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_Toc21582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九、一般公共预算财政拨款项目支出决算表</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PAGEREF _Toc21582 \h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22</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_Toc2732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十、一般公共预算财政拨款“三公”经费支出决算表</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PAGEREF _Toc2732 \h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22</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_Toc9009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十一、政府性基金预算财政拨款收入支出决算表</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PAGEREF _Toc9009 \h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22</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_Toc25914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十二、政府性基金预算财政拨款“三公”经费支出决算表</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PAGEREF _Toc25914 \h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22</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_Toc258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十三、国有资本经营预算财政拨款支出决算表</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PAGEREF _Toc258 \h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22</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_Toc14831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十四、国有资本经营预算财政拨款支出决算表</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PAGEREF _Toc14831 \h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22</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Cs w:val="0"/>
          <w:caps w:val="0"/>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bookmarkStart w:id="12" w:name="_Toc15377196"/>
      <w:bookmarkStart w:id="13" w:name="_Toc15396599"/>
      <w:r>
        <w:rPr>
          <w:rFonts w:hint="eastAsia" w:ascii="仿宋_GB2312" w:hAnsi="仿宋_GB2312" w:eastAsia="仿宋_GB2312" w:cs="仿宋_GB2312"/>
          <w:b w:val="0"/>
          <w:bCs w:val="0"/>
          <w:caps w:val="0"/>
          <w:sz w:val="32"/>
          <w:szCs w:val="32"/>
        </w:rPr>
        <w:br w:type="page"/>
      </w:r>
    </w:p>
    <w:p>
      <w:pPr>
        <w:pStyle w:val="2"/>
        <w:jc w:val="center"/>
        <w:rPr>
          <w:rStyle w:val="22"/>
          <w:rFonts w:ascii="黑体" w:hAnsi="黑体" w:eastAsia="黑体"/>
          <w:b/>
          <w:bCs w:val="0"/>
        </w:rPr>
      </w:pPr>
      <w:bookmarkStart w:id="14" w:name="_Toc79163601"/>
      <w:bookmarkStart w:id="15" w:name="_Toc79163851"/>
      <w:bookmarkStart w:id="16" w:name="_Toc14293"/>
      <w:bookmarkStart w:id="17" w:name="_Toc27588"/>
      <w:bookmarkStart w:id="18" w:name="_Toc17077"/>
      <w:r>
        <w:rPr>
          <w:rFonts w:hint="eastAsia" w:ascii="黑体" w:hAnsi="黑体" w:eastAsia="黑体"/>
          <w:b w:val="0"/>
        </w:rPr>
        <w:t>第一部分</w:t>
      </w:r>
      <w:r>
        <w:rPr>
          <w:rFonts w:ascii="黑体" w:hAnsi="黑体" w:eastAsia="黑体"/>
          <w:b w:val="0"/>
        </w:rPr>
        <w:t xml:space="preserve"> </w:t>
      </w:r>
      <w:r>
        <w:rPr>
          <w:rStyle w:val="22"/>
          <w:rFonts w:hint="eastAsia" w:ascii="黑体" w:hAnsi="黑体" w:eastAsia="黑体"/>
          <w:b w:val="0"/>
          <w:bCs w:val="0"/>
        </w:rPr>
        <w:t>部门概况</w:t>
      </w:r>
      <w:bookmarkEnd w:id="12"/>
      <w:bookmarkEnd w:id="13"/>
      <w:bookmarkEnd w:id="14"/>
      <w:bookmarkEnd w:id="15"/>
      <w:bookmarkEnd w:id="16"/>
      <w:bookmarkEnd w:id="17"/>
      <w:bookmarkEnd w:id="18"/>
    </w:p>
    <w:p>
      <w:pPr>
        <w:widowControl/>
        <w:jc w:val="left"/>
        <w:rPr>
          <w:rFonts w:ascii="黑体" w:eastAsia="黑体"/>
          <w:color w:val="000000"/>
          <w:sz w:val="32"/>
          <w:szCs w:val="32"/>
        </w:rPr>
      </w:pPr>
    </w:p>
    <w:p>
      <w:pPr>
        <w:pStyle w:val="3"/>
        <w:rPr>
          <w:rStyle w:val="23"/>
          <w:rFonts w:ascii="仿宋" w:hAnsi="仿宋" w:eastAsia="仿宋"/>
          <w:b w:val="0"/>
          <w:bCs w:val="0"/>
        </w:rPr>
      </w:pPr>
      <w:bookmarkStart w:id="19" w:name="_Toc79163852"/>
      <w:bookmarkStart w:id="20" w:name="_Toc79163602"/>
      <w:bookmarkStart w:id="21" w:name="_Toc15377197"/>
      <w:bookmarkStart w:id="22" w:name="_Toc15396600"/>
      <w:bookmarkStart w:id="23" w:name="_Toc25155"/>
      <w:bookmarkStart w:id="24" w:name="_Toc33"/>
      <w:bookmarkStart w:id="25" w:name="_Toc19555"/>
      <w:r>
        <w:rPr>
          <w:rFonts w:hint="eastAsia" w:ascii="黑体" w:hAnsi="黑体" w:eastAsia="黑体"/>
          <w:b w:val="0"/>
          <w:color w:val="000000"/>
        </w:rPr>
        <w:t>一、基</w:t>
      </w:r>
      <w:r>
        <w:rPr>
          <w:rStyle w:val="23"/>
          <w:rFonts w:hint="eastAsia" w:ascii="黑体" w:hAnsi="黑体" w:eastAsia="黑体"/>
          <w:b w:val="0"/>
          <w:bCs w:val="0"/>
        </w:rPr>
        <w:t>本职能及主要工作</w:t>
      </w:r>
      <w:bookmarkEnd w:id="19"/>
      <w:bookmarkEnd w:id="20"/>
      <w:bookmarkEnd w:id="21"/>
      <w:bookmarkEnd w:id="22"/>
      <w:bookmarkEnd w:id="23"/>
      <w:bookmarkEnd w:id="24"/>
      <w:bookmarkEnd w:id="25"/>
    </w:p>
    <w:p>
      <w:pPr>
        <w:pStyle w:val="6"/>
        <w:adjustRightInd w:val="0"/>
        <w:snapToGrid w:val="0"/>
        <w:spacing w:before="93" w:line="600" w:lineRule="exact"/>
        <w:ind w:firstLine="672" w:firstLineChars="210"/>
        <w:outlineLvl w:val="2"/>
        <w:rPr>
          <w:rFonts w:ascii="仿宋" w:hAnsi="仿宋" w:eastAsia="仿宋"/>
          <w:bCs/>
          <w:color w:val="000000"/>
          <w:sz w:val="32"/>
          <w:szCs w:val="32"/>
        </w:rPr>
      </w:pPr>
      <w:bookmarkStart w:id="26" w:name="_Toc79163603"/>
      <w:bookmarkStart w:id="27" w:name="_Toc79163853"/>
      <w:bookmarkStart w:id="28" w:name="_Toc27229"/>
      <w:bookmarkStart w:id="29" w:name="_Toc32450"/>
      <w:bookmarkStart w:id="30" w:name="_Toc11733"/>
      <w:bookmarkStart w:id="31" w:name="_Toc15378445"/>
      <w:bookmarkStart w:id="32" w:name="_Toc15377198"/>
      <w:r>
        <w:rPr>
          <w:rFonts w:hint="eastAsia" w:ascii="仿宋" w:hAnsi="仿宋" w:eastAsia="仿宋"/>
          <w:bCs/>
          <w:color w:val="000000"/>
          <w:sz w:val="32"/>
          <w:szCs w:val="32"/>
        </w:rPr>
        <w:t>（一）主要职能</w:t>
      </w:r>
      <w:bookmarkEnd w:id="26"/>
      <w:bookmarkEnd w:id="27"/>
      <w:bookmarkEnd w:id="28"/>
      <w:bookmarkEnd w:id="29"/>
      <w:bookmarkEnd w:id="30"/>
    </w:p>
    <w:bookmarkEnd w:id="31"/>
    <w:bookmarkEnd w:id="32"/>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rPr>
      </w:pPr>
      <w:bookmarkStart w:id="33" w:name="_Toc79163604"/>
      <w:bookmarkStart w:id="34" w:name="_Toc15378446"/>
      <w:bookmarkStart w:id="35" w:name="_Toc79163854"/>
      <w:bookmarkStart w:id="36" w:name="_Toc15377199"/>
      <w:r>
        <w:rPr>
          <w:rFonts w:hint="eastAsia" w:ascii="仿宋_GB2312" w:eastAsia="仿宋_GB2312"/>
          <w:sz w:val="32"/>
          <w:szCs w:val="32"/>
        </w:rPr>
        <w:t>我</w:t>
      </w:r>
      <w:r>
        <w:rPr>
          <w:rFonts w:hint="eastAsia" w:ascii="仿宋_GB2312" w:eastAsia="仿宋_GB2312"/>
          <w:sz w:val="32"/>
          <w:szCs w:val="32"/>
          <w:lang w:eastAsia="zh-CN"/>
        </w:rPr>
        <w:t>中心</w:t>
      </w:r>
      <w:r>
        <w:rPr>
          <w:rFonts w:hint="eastAsia" w:ascii="仿宋_GB2312" w:eastAsia="仿宋_GB2312"/>
          <w:sz w:val="32"/>
          <w:szCs w:val="32"/>
        </w:rPr>
        <w:t>负责宣传和贯彻执行城乡居民社会保险的有关政策；负责城乡居民养老保险基金的收缴、汇集、存储及保险基金运营管理，建立业务台账，统计有关数据；负责为参保人员建立个人账户，办理保险关系转移、退保的等手续；负责养老金领取人员的资格审查，核算养老金给付标准和拨付养老金；负责跟踪监督养老金发放情况，掌握领取养老金人员动态，提出养老金的处理意见；负责指导各乡镇开展城乡居民养老保险业务。</w:t>
      </w:r>
    </w:p>
    <w:p>
      <w:pPr>
        <w:pStyle w:val="6"/>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37" w:name="_Toc26772"/>
      <w:bookmarkStart w:id="38" w:name="_Toc4196"/>
      <w:bookmarkStart w:id="39" w:name="_Toc12862"/>
      <w:r>
        <w:rPr>
          <w:rFonts w:hint="eastAsia" w:ascii="仿宋" w:hAnsi="仿宋" w:eastAsia="仿宋"/>
          <w:bCs/>
          <w:color w:val="000000"/>
          <w:sz w:val="32"/>
          <w:szCs w:val="32"/>
        </w:rPr>
        <w:t>（二）</w:t>
      </w:r>
      <w:r>
        <w:rPr>
          <w:rFonts w:ascii="仿宋" w:hAnsi="仿宋" w:eastAsia="仿宋"/>
          <w:bCs/>
          <w:color w:val="000000"/>
          <w:sz w:val="32"/>
          <w:szCs w:val="32"/>
        </w:rPr>
        <w:t>2020</w:t>
      </w:r>
      <w:r>
        <w:rPr>
          <w:rFonts w:hint="eastAsia" w:ascii="仿宋" w:hAnsi="仿宋" w:eastAsia="仿宋"/>
          <w:bCs/>
          <w:color w:val="000000"/>
          <w:sz w:val="32"/>
          <w:szCs w:val="32"/>
        </w:rPr>
        <w:t>年重点工作完成情况</w:t>
      </w:r>
      <w:bookmarkEnd w:id="33"/>
      <w:bookmarkEnd w:id="34"/>
      <w:bookmarkEnd w:id="35"/>
      <w:bookmarkEnd w:id="36"/>
      <w:bookmarkEnd w:id="37"/>
      <w:bookmarkEnd w:id="38"/>
      <w:bookmarkEnd w:id="39"/>
    </w:p>
    <w:p>
      <w:pPr>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ascii="仿宋_GB2312" w:hAnsi="仿宋" w:eastAsia="仿宋_GB2312" w:cs="仿宋"/>
          <w:sz w:val="32"/>
          <w:szCs w:val="32"/>
        </w:rPr>
      </w:pPr>
      <w:bookmarkStart w:id="40" w:name="_Toc79163855"/>
      <w:bookmarkStart w:id="41" w:name="_Toc15377200"/>
      <w:bookmarkStart w:id="42" w:name="_Toc15396601"/>
      <w:bookmarkStart w:id="43" w:name="_Toc79163605"/>
      <w:r>
        <w:rPr>
          <w:rFonts w:hint="eastAsia" w:ascii="仿宋_GB2312" w:hAnsi="仿宋" w:eastAsia="仿宋_GB2312" w:cs="仿宋"/>
          <w:sz w:val="32"/>
          <w:szCs w:val="32"/>
          <w:lang w:val="en-US" w:eastAsia="zh-CN"/>
        </w:rPr>
        <w:t>2020</w:t>
      </w:r>
      <w:r>
        <w:rPr>
          <w:rFonts w:hint="eastAsia" w:ascii="仿宋_GB2312" w:hAnsi="仿宋" w:eastAsia="仿宋_GB2312" w:cs="仿宋"/>
          <w:sz w:val="32"/>
          <w:szCs w:val="32"/>
        </w:rPr>
        <w:t>年，我</w:t>
      </w:r>
      <w:r>
        <w:rPr>
          <w:rFonts w:hint="eastAsia" w:ascii="仿宋_GB2312" w:hAnsi="仿宋" w:eastAsia="仿宋_GB2312" w:cs="仿宋"/>
          <w:sz w:val="32"/>
          <w:szCs w:val="32"/>
          <w:lang w:eastAsia="zh-CN"/>
        </w:rPr>
        <w:t>中心</w:t>
      </w:r>
      <w:r>
        <w:rPr>
          <w:rFonts w:hint="eastAsia" w:ascii="仿宋_GB2312" w:hAnsi="仿宋" w:eastAsia="仿宋_GB2312" w:cs="仿宋"/>
          <w:sz w:val="32"/>
          <w:szCs w:val="32"/>
        </w:rPr>
        <w:t>在</w:t>
      </w:r>
      <w:r>
        <w:rPr>
          <w:rFonts w:hint="eastAsia" w:ascii="仿宋_GB2312" w:hAnsi="仿宋" w:eastAsia="仿宋_GB2312" w:cs="仿宋"/>
          <w:sz w:val="32"/>
          <w:szCs w:val="32"/>
          <w:lang w:eastAsia="zh-CN"/>
        </w:rPr>
        <w:t>县人民政府的领导下，州县</w:t>
      </w:r>
      <w:r>
        <w:rPr>
          <w:rFonts w:hint="eastAsia" w:ascii="仿宋_GB2312" w:hAnsi="仿宋" w:eastAsia="仿宋_GB2312" w:cs="仿宋"/>
          <w:sz w:val="32"/>
          <w:szCs w:val="32"/>
        </w:rPr>
        <w:t>人社局的</w:t>
      </w:r>
      <w:r>
        <w:rPr>
          <w:rFonts w:hint="eastAsia" w:ascii="仿宋_GB2312" w:hAnsi="仿宋" w:eastAsia="仿宋_GB2312" w:cs="仿宋"/>
          <w:sz w:val="32"/>
          <w:szCs w:val="32"/>
          <w:lang w:eastAsia="zh-CN"/>
        </w:rPr>
        <w:t>业务指导</w:t>
      </w:r>
      <w:r>
        <w:rPr>
          <w:rFonts w:hint="eastAsia" w:ascii="仿宋_GB2312" w:hAnsi="仿宋" w:eastAsia="仿宋_GB2312" w:cs="仿宋"/>
          <w:sz w:val="32"/>
          <w:szCs w:val="32"/>
        </w:rPr>
        <w:t>下认真贯彻执行国家、省有关城乡居民养老保险政策，完成</w:t>
      </w:r>
      <w:r>
        <w:rPr>
          <w:rFonts w:hint="eastAsia" w:ascii="仿宋_GB2312" w:hAnsi="仿宋" w:eastAsia="仿宋_GB2312" w:cs="仿宋"/>
          <w:sz w:val="32"/>
          <w:szCs w:val="32"/>
          <w:lang w:eastAsia="zh-CN"/>
        </w:rPr>
        <w:t>了</w:t>
      </w:r>
      <w:r>
        <w:rPr>
          <w:rFonts w:hint="eastAsia" w:ascii="仿宋_GB2312" w:hAnsi="仿宋" w:eastAsia="仿宋_GB2312" w:cs="仿宋"/>
          <w:sz w:val="32"/>
          <w:szCs w:val="32"/>
        </w:rPr>
        <w:t>全年民生目标任务，确保</w:t>
      </w:r>
      <w:r>
        <w:rPr>
          <w:rFonts w:hint="eastAsia" w:ascii="仿宋_GB2312" w:hAnsi="仿宋" w:eastAsia="仿宋_GB2312" w:cs="仿宋"/>
          <w:sz w:val="32"/>
          <w:szCs w:val="32"/>
          <w:lang w:eastAsia="zh-CN"/>
        </w:rPr>
        <w:t>城乡居民</w:t>
      </w:r>
      <w:r>
        <w:rPr>
          <w:rFonts w:hint="eastAsia" w:ascii="仿宋_GB2312" w:hAnsi="仿宋" w:eastAsia="仿宋_GB2312" w:cs="仿宋"/>
          <w:sz w:val="32"/>
          <w:szCs w:val="32"/>
        </w:rPr>
        <w:t>养老金按时足额发放。</w:t>
      </w:r>
    </w:p>
    <w:p>
      <w:pPr>
        <w:pStyle w:val="3"/>
        <w:rPr>
          <w:rStyle w:val="23"/>
          <w:b w:val="0"/>
          <w:bCs w:val="0"/>
        </w:rPr>
      </w:pPr>
      <w:bookmarkStart w:id="44" w:name="_Toc25676"/>
      <w:bookmarkStart w:id="45" w:name="_Toc12508"/>
      <w:bookmarkStart w:id="46" w:name="_Toc32311"/>
      <w:r>
        <w:rPr>
          <w:rFonts w:hint="eastAsia" w:ascii="黑体" w:eastAsia="黑体"/>
          <w:b w:val="0"/>
          <w:color w:val="000000"/>
        </w:rPr>
        <w:t>二、</w:t>
      </w:r>
      <w:r>
        <w:rPr>
          <w:rFonts w:hint="eastAsia" w:ascii="黑体" w:hAnsi="黑体" w:eastAsia="黑体"/>
          <w:b w:val="0"/>
          <w:color w:val="000000"/>
        </w:rPr>
        <w:t>机</w:t>
      </w:r>
      <w:r>
        <w:rPr>
          <w:rStyle w:val="23"/>
          <w:rFonts w:hint="eastAsia" w:ascii="黑体" w:hAnsi="黑体" w:eastAsia="黑体"/>
          <w:b w:val="0"/>
          <w:bCs w:val="0"/>
        </w:rPr>
        <w:t>构设置</w:t>
      </w:r>
      <w:bookmarkEnd w:id="40"/>
      <w:bookmarkEnd w:id="41"/>
      <w:bookmarkEnd w:id="42"/>
      <w:bookmarkEnd w:id="43"/>
      <w:bookmarkEnd w:id="44"/>
      <w:bookmarkEnd w:id="45"/>
      <w:bookmarkEnd w:id="46"/>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宋体" w:eastAsia="仿宋_GB2312" w:cs="Arial"/>
          <w:kern w:val="0"/>
          <w:sz w:val="32"/>
          <w:szCs w:val="32"/>
        </w:rPr>
      </w:pPr>
      <w:bookmarkStart w:id="47" w:name="_Toc15377204"/>
      <w:bookmarkStart w:id="48" w:name="_Toc79163859"/>
      <w:bookmarkStart w:id="49" w:name="_Toc79163609"/>
      <w:bookmarkStart w:id="50" w:name="_Toc15396602"/>
      <w:r>
        <w:rPr>
          <w:rFonts w:hint="eastAsia" w:ascii="仿宋_GB2312" w:hAnsi="宋体" w:eastAsia="仿宋_GB2312" w:cs="Arial"/>
          <w:kern w:val="0"/>
          <w:sz w:val="32"/>
          <w:szCs w:val="32"/>
        </w:rPr>
        <w:t>单位属一级预算单位，下属二级预算单位</w:t>
      </w:r>
      <w:r>
        <w:rPr>
          <w:rFonts w:hint="eastAsia" w:ascii="仿宋_GB2312" w:hAnsi="宋体" w:eastAsia="仿宋_GB2312" w:cs="Arial"/>
          <w:kern w:val="0"/>
          <w:sz w:val="32"/>
          <w:szCs w:val="32"/>
          <w:lang w:val="en-US" w:eastAsia="zh-CN"/>
        </w:rPr>
        <w:t>0</w:t>
      </w:r>
      <w:r>
        <w:rPr>
          <w:rFonts w:hint="eastAsia" w:ascii="仿宋_GB2312" w:hAnsi="宋体" w:eastAsia="仿宋_GB2312" w:cs="Arial"/>
          <w:kern w:val="0"/>
          <w:sz w:val="32"/>
          <w:szCs w:val="32"/>
        </w:rPr>
        <w:t>个，其中：参照公务员法管理的事业单位</w:t>
      </w:r>
      <w:r>
        <w:rPr>
          <w:rFonts w:hint="eastAsia" w:ascii="仿宋_GB2312" w:hAnsi="宋体" w:eastAsia="仿宋_GB2312" w:cs="Arial"/>
          <w:kern w:val="0"/>
          <w:sz w:val="32"/>
          <w:szCs w:val="32"/>
          <w:lang w:val="en-US" w:eastAsia="zh-CN"/>
        </w:rPr>
        <w:t>0</w:t>
      </w:r>
      <w:r>
        <w:rPr>
          <w:rFonts w:hint="eastAsia" w:ascii="仿宋_GB2312" w:hAnsi="宋体" w:eastAsia="仿宋_GB2312" w:cs="Arial"/>
          <w:kern w:val="0"/>
          <w:sz w:val="32"/>
          <w:szCs w:val="32"/>
        </w:rPr>
        <w:t>个，其他事业单位</w:t>
      </w:r>
      <w:r>
        <w:rPr>
          <w:rFonts w:hint="eastAsia" w:ascii="仿宋_GB2312" w:hAnsi="宋体" w:eastAsia="仿宋_GB2312" w:cs="Arial"/>
          <w:kern w:val="0"/>
          <w:sz w:val="32"/>
          <w:szCs w:val="32"/>
          <w:lang w:val="en-US" w:eastAsia="zh-CN"/>
        </w:rPr>
        <w:t>0</w:t>
      </w:r>
      <w:r>
        <w:rPr>
          <w:rFonts w:hint="eastAsia" w:ascii="仿宋_GB2312" w:hAnsi="宋体" w:eastAsia="仿宋_GB2312" w:cs="Arial"/>
          <w:kern w:val="0"/>
          <w:sz w:val="32"/>
          <w:szCs w:val="32"/>
        </w:rPr>
        <w:t>个。</w:t>
      </w:r>
    </w:p>
    <w:p>
      <w:pPr>
        <w:pStyle w:val="2"/>
        <w:ind w:right="440"/>
        <w:jc w:val="right"/>
        <w:rPr>
          <w:rStyle w:val="22"/>
          <w:rFonts w:ascii="黑体" w:hAnsi="黑体" w:eastAsia="黑体"/>
          <w:b w:val="0"/>
          <w:bCs w:val="0"/>
        </w:rPr>
      </w:pPr>
      <w:bookmarkStart w:id="51" w:name="_Toc8248"/>
      <w:bookmarkStart w:id="52" w:name="_Toc5520"/>
      <w:bookmarkStart w:id="53" w:name="_Toc21596"/>
      <w:r>
        <w:rPr>
          <w:rFonts w:hint="eastAsia" w:ascii="黑体" w:hAnsi="黑体" w:eastAsia="黑体"/>
          <w:b w:val="0"/>
          <w:color w:val="000000"/>
        </w:rPr>
        <w:t>第二部分</w:t>
      </w:r>
      <w:r>
        <w:rPr>
          <w:rFonts w:ascii="黑体" w:hAnsi="黑体" w:eastAsia="黑体"/>
          <w:color w:val="000000"/>
        </w:rPr>
        <w:t xml:space="preserve"> </w:t>
      </w:r>
      <w:r>
        <w:rPr>
          <w:rStyle w:val="22"/>
          <w:rFonts w:ascii="黑体" w:hAnsi="黑体" w:eastAsia="黑体"/>
          <w:b w:val="0"/>
          <w:bCs w:val="0"/>
        </w:rPr>
        <w:t>2020</w:t>
      </w:r>
      <w:r>
        <w:rPr>
          <w:rStyle w:val="22"/>
          <w:rFonts w:hint="eastAsia" w:ascii="黑体" w:hAnsi="黑体" w:eastAsia="黑体"/>
          <w:b w:val="0"/>
          <w:bCs w:val="0"/>
        </w:rPr>
        <w:t>年度部门决算情况说明</w:t>
      </w:r>
      <w:bookmarkEnd w:id="47"/>
      <w:bookmarkEnd w:id="48"/>
      <w:bookmarkEnd w:id="49"/>
      <w:bookmarkEnd w:id="50"/>
      <w:bookmarkEnd w:id="51"/>
      <w:bookmarkEnd w:id="52"/>
      <w:bookmarkEnd w:id="53"/>
    </w:p>
    <w:p/>
    <w:p>
      <w:pPr>
        <w:pStyle w:val="33"/>
        <w:numPr>
          <w:ilvl w:val="0"/>
          <w:numId w:val="1"/>
        </w:numPr>
        <w:spacing w:line="600" w:lineRule="exact"/>
        <w:ind w:left="1350" w:leftChars="0" w:firstLineChars="0"/>
        <w:outlineLvl w:val="1"/>
        <w:rPr>
          <w:rStyle w:val="23"/>
          <w:rFonts w:ascii="黑体" w:hAnsi="黑体" w:eastAsia="黑体"/>
          <w:b w:val="0"/>
        </w:rPr>
      </w:pPr>
      <w:bookmarkStart w:id="54" w:name="_Toc15396603"/>
      <w:bookmarkStart w:id="55" w:name="_Toc79163860"/>
      <w:bookmarkStart w:id="56" w:name="_Toc15377205"/>
      <w:bookmarkStart w:id="57" w:name="_Toc79163610"/>
      <w:bookmarkStart w:id="58" w:name="_Toc654"/>
      <w:bookmarkStart w:id="59" w:name="_Toc26795"/>
      <w:bookmarkStart w:id="60" w:name="_Toc4785"/>
      <w:r>
        <w:rPr>
          <w:rFonts w:hint="eastAsia" w:ascii="黑体" w:hAnsi="黑体" w:eastAsia="黑体"/>
          <w:color w:val="000000"/>
          <w:sz w:val="32"/>
          <w:szCs w:val="32"/>
        </w:rPr>
        <w:t>收</w:t>
      </w:r>
      <w:r>
        <w:rPr>
          <w:rStyle w:val="23"/>
          <w:rFonts w:hint="eastAsia" w:ascii="黑体" w:hAnsi="黑体" w:eastAsia="黑体"/>
          <w:b w:val="0"/>
        </w:rPr>
        <w:t>入支出决算总体情</w:t>
      </w:r>
      <w:bookmarkEnd w:id="54"/>
      <w:bookmarkEnd w:id="55"/>
      <w:bookmarkEnd w:id="56"/>
      <w:bookmarkEnd w:id="57"/>
      <w:r>
        <w:rPr>
          <w:rStyle w:val="23"/>
          <w:rFonts w:hint="eastAsia" w:ascii="黑体" w:hAnsi="黑体" w:eastAsia="黑体"/>
          <w:b w:val="0"/>
          <w:lang w:eastAsia="zh-CN"/>
        </w:rPr>
        <w:t>况</w:t>
      </w:r>
      <w:bookmarkEnd w:id="58"/>
      <w:bookmarkEnd w:id="59"/>
      <w:bookmarkEnd w:id="60"/>
    </w:p>
    <w:p>
      <w:pPr>
        <w:spacing w:line="600" w:lineRule="exact"/>
        <w:ind w:firstLine="640" w:firstLineChars="200"/>
        <w:rPr>
          <w:rFonts w:hint="eastAsia" w:ascii="仿宋_GB2312" w:eastAsia="仿宋"/>
          <w:color w:val="000000"/>
          <w:sz w:val="32"/>
          <w:szCs w:val="32"/>
          <w:lang w:eastAsia="zh-CN"/>
        </w:rPr>
      </w:pPr>
      <w:r>
        <w:rPr>
          <w:rFonts w:ascii="仿宋" w:hAnsi="仿宋" w:eastAsia="仿宋"/>
          <w:color w:val="000000"/>
          <w:sz w:val="32"/>
          <w:szCs w:val="32"/>
        </w:rPr>
        <w:t>2020</w:t>
      </w:r>
      <w:r>
        <w:rPr>
          <w:rFonts w:hint="eastAsia" w:ascii="仿宋" w:hAnsi="仿宋" w:eastAsia="仿宋"/>
          <w:color w:val="000000"/>
          <w:sz w:val="32"/>
          <w:szCs w:val="32"/>
        </w:rPr>
        <w:t>年度收、支总计</w:t>
      </w:r>
      <w:r>
        <w:rPr>
          <w:rFonts w:hint="eastAsia" w:ascii="仿宋" w:hAnsi="仿宋" w:eastAsia="仿宋"/>
          <w:color w:val="000000"/>
          <w:sz w:val="32"/>
          <w:szCs w:val="32"/>
          <w:lang w:val="en-US" w:eastAsia="zh-CN"/>
        </w:rPr>
        <w:t>198.99</w:t>
      </w:r>
      <w:r>
        <w:rPr>
          <w:rFonts w:hint="eastAsia" w:ascii="仿宋" w:hAnsi="仿宋" w:eastAsia="仿宋"/>
          <w:color w:val="000000"/>
          <w:sz w:val="32"/>
          <w:szCs w:val="32"/>
        </w:rPr>
        <w:t>万元。与</w:t>
      </w:r>
      <w:r>
        <w:rPr>
          <w:rFonts w:ascii="仿宋" w:hAnsi="仿宋" w:eastAsia="仿宋"/>
          <w:color w:val="000000"/>
          <w:sz w:val="32"/>
          <w:szCs w:val="32"/>
        </w:rPr>
        <w:t>2019</w:t>
      </w:r>
      <w:r>
        <w:rPr>
          <w:rFonts w:hint="eastAsia" w:ascii="仿宋" w:hAnsi="仿宋" w:eastAsia="仿宋"/>
          <w:color w:val="000000"/>
          <w:sz w:val="32"/>
          <w:szCs w:val="32"/>
        </w:rPr>
        <w:t>年相比，收、支总计各减少</w:t>
      </w:r>
      <w:r>
        <w:rPr>
          <w:rFonts w:hint="eastAsia" w:ascii="仿宋" w:hAnsi="仿宋" w:eastAsia="仿宋"/>
          <w:color w:val="000000"/>
          <w:sz w:val="32"/>
          <w:szCs w:val="32"/>
          <w:lang w:val="en-US" w:eastAsia="zh-CN"/>
        </w:rPr>
        <w:t>72.81</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26.79</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hAnsi="仿宋_GB2312" w:cs="仿宋_GB2312"/>
          <w:sz w:val="32"/>
          <w:szCs w:val="32"/>
          <w:lang w:val="en-US" w:eastAsia="zh-CN"/>
        </w:rPr>
        <w:t>2020年项目支出减少，2020年人员减少一人</w:t>
      </w: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r>
        <w:rPr>
          <w:rFonts w:hint="eastAsia" w:ascii="仿宋" w:hAnsi="仿宋" w:eastAsia="仿宋"/>
          <w:color w:val="000000"/>
          <w:sz w:val="32"/>
          <w:szCs w:val="32"/>
          <w:lang w:eastAsia="zh-CN"/>
        </w:rPr>
        <w:t>）</w:t>
      </w:r>
    </w:p>
    <w:p>
      <w:pPr>
        <w:spacing w:line="600" w:lineRule="exact"/>
        <w:ind w:firstLine="420" w:firstLineChars="200"/>
        <w:jc w:val="left"/>
        <w:rPr>
          <w:rFonts w:hint="eastAsia" w:ascii="仿宋_GB2312" w:eastAsia="仿宋_GB2312"/>
          <w:color w:val="000000"/>
          <w:sz w:val="32"/>
          <w:szCs w:val="32"/>
          <w:lang w:eastAsia="zh-CN"/>
        </w:rPr>
      </w:pPr>
      <w:r>
        <w:drawing>
          <wp:anchor distT="0" distB="0" distL="114300" distR="114300" simplePos="0" relativeHeight="251660288" behindDoc="0" locked="0" layoutInCell="1" allowOverlap="1">
            <wp:simplePos x="0" y="0"/>
            <wp:positionH relativeFrom="column">
              <wp:posOffset>280035</wp:posOffset>
            </wp:positionH>
            <wp:positionV relativeFrom="paragraph">
              <wp:posOffset>271780</wp:posOffset>
            </wp:positionV>
            <wp:extent cx="4572000" cy="1929130"/>
            <wp:effectExtent l="5080" t="4445" r="13970" b="9525"/>
            <wp:wrapSquare wrapText="bothSides"/>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pStyle w:val="40"/>
        <w:spacing w:line="576" w:lineRule="exact"/>
        <w:ind w:firstLine="640"/>
        <w:outlineLvl w:val="1"/>
        <w:rPr>
          <w:rStyle w:val="41"/>
          <w:rFonts w:ascii="黑体" w:hAnsi="黑体" w:eastAsia="黑体"/>
          <w:b w:val="0"/>
          <w:bCs w:val="0"/>
        </w:rPr>
      </w:pPr>
      <w:bookmarkStart w:id="61" w:name="_Toc15970"/>
      <w:bookmarkStart w:id="62" w:name="_Toc25075"/>
      <w:bookmarkStart w:id="63" w:name="_Toc2198"/>
      <w:r>
        <w:rPr>
          <w:rFonts w:hint="eastAsia" w:ascii="黑体" w:hAnsi="黑体" w:eastAsia="黑体"/>
          <w:color w:val="000000"/>
          <w:sz w:val="32"/>
          <w:szCs w:val="32"/>
        </w:rPr>
        <w:t>二、收</w:t>
      </w:r>
      <w:r>
        <w:rPr>
          <w:rStyle w:val="41"/>
          <w:rFonts w:hint="eastAsia" w:ascii="黑体" w:hAnsi="黑体" w:eastAsia="黑体"/>
          <w:b w:val="0"/>
          <w:bCs w:val="0"/>
        </w:rPr>
        <w:t>入决算情况说明</w:t>
      </w:r>
      <w:bookmarkEnd w:id="61"/>
      <w:bookmarkEnd w:id="62"/>
      <w:bookmarkEnd w:id="63"/>
    </w:p>
    <w:p>
      <w:pPr>
        <w:spacing w:line="600" w:lineRule="exact"/>
        <w:ind w:firstLine="640" w:firstLineChars="200"/>
        <w:rPr>
          <w:rFonts w:ascii="仿宋_GB2312" w:eastAsia="仿宋_GB2312"/>
          <w:color w:val="FF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198.99</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198.99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420" w:firstLineChars="200"/>
        <w:rPr>
          <w:rFonts w:ascii="仿宋" w:hAnsi="仿宋" w:eastAsia="仿宋"/>
          <w:color w:val="000000"/>
          <w:sz w:val="32"/>
          <w:szCs w:val="32"/>
        </w:rPr>
      </w:pPr>
      <w:r>
        <w:drawing>
          <wp:anchor distT="0" distB="0" distL="0" distR="0" simplePos="0" relativeHeight="251661312" behindDoc="0" locked="0" layoutInCell="1" allowOverlap="1">
            <wp:simplePos x="0" y="0"/>
            <wp:positionH relativeFrom="column">
              <wp:posOffset>148590</wp:posOffset>
            </wp:positionH>
            <wp:positionV relativeFrom="paragraph">
              <wp:posOffset>728345</wp:posOffset>
            </wp:positionV>
            <wp:extent cx="5086350" cy="1390650"/>
            <wp:effectExtent l="4445" t="4445" r="14605" b="14605"/>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pPr>
        <w:spacing w:line="600" w:lineRule="exact"/>
        <w:ind w:firstLine="640" w:firstLineChars="200"/>
        <w:rPr>
          <w:rFonts w:ascii="仿宋_GB2312" w:eastAsia="仿宋_GB2312"/>
          <w:color w:val="FF0000"/>
          <w:sz w:val="32"/>
          <w:szCs w:val="32"/>
        </w:rPr>
      </w:pPr>
    </w:p>
    <w:p>
      <w:pPr>
        <w:pStyle w:val="33"/>
        <w:numPr>
          <w:ilvl w:val="0"/>
          <w:numId w:val="0"/>
        </w:numPr>
        <w:spacing w:line="600" w:lineRule="exact"/>
        <w:ind w:left="630" w:leftChars="0"/>
        <w:outlineLvl w:val="1"/>
        <w:rPr>
          <w:rStyle w:val="23"/>
          <w:rFonts w:ascii="黑体" w:hAnsi="黑体" w:eastAsia="黑体"/>
          <w:b w:val="0"/>
        </w:rPr>
      </w:pPr>
      <w:bookmarkStart w:id="64" w:name="_Toc15377207"/>
      <w:bookmarkStart w:id="65" w:name="_Toc15396605"/>
      <w:bookmarkStart w:id="66" w:name="_Toc79163612"/>
      <w:bookmarkStart w:id="67" w:name="_Toc79163862"/>
      <w:bookmarkStart w:id="68" w:name="_Toc1276"/>
      <w:bookmarkStart w:id="69" w:name="_Toc10640"/>
      <w:bookmarkStart w:id="70" w:name="_Toc31395"/>
      <w:r>
        <w:rPr>
          <w:rFonts w:hint="eastAsia" w:ascii="黑体" w:hAnsi="黑体" w:eastAsia="黑体"/>
          <w:color w:val="000000"/>
          <w:sz w:val="32"/>
          <w:szCs w:val="32"/>
          <w:lang w:eastAsia="zh-CN"/>
        </w:rPr>
        <w:t>三、</w:t>
      </w:r>
      <w:r>
        <w:rPr>
          <w:rFonts w:hint="eastAsia" w:ascii="黑体" w:hAnsi="黑体" w:eastAsia="黑体"/>
          <w:color w:val="000000"/>
          <w:sz w:val="32"/>
          <w:szCs w:val="32"/>
        </w:rPr>
        <w:t>支</w:t>
      </w:r>
      <w:r>
        <w:rPr>
          <w:rStyle w:val="23"/>
          <w:rFonts w:hint="eastAsia" w:ascii="黑体" w:hAnsi="黑体" w:eastAsia="黑体"/>
          <w:b w:val="0"/>
        </w:rPr>
        <w:t>出决算情况说明</w:t>
      </w:r>
      <w:bookmarkEnd w:id="64"/>
      <w:bookmarkEnd w:id="65"/>
      <w:bookmarkEnd w:id="66"/>
      <w:bookmarkEnd w:id="67"/>
      <w:bookmarkEnd w:id="68"/>
      <w:bookmarkEnd w:id="69"/>
      <w:bookmarkEnd w:id="70"/>
    </w:p>
    <w:p>
      <w:pPr>
        <w:spacing w:line="600" w:lineRule="exact"/>
        <w:ind w:firstLine="640" w:firstLineChars="200"/>
        <w:rPr>
          <w:rFonts w:hint="eastAsia" w:ascii="仿宋_GB2312" w:eastAsia="仿宋_GB2312"/>
          <w:sz w:val="32"/>
          <w:szCs w:val="32"/>
          <w:lang w:val="en-US" w:eastAsia="zh-CN"/>
        </w:rPr>
      </w:pPr>
      <w:r>
        <w:rPr>
          <w:rFonts w:ascii="仿宋_GB2312" w:eastAsia="仿宋_GB2312"/>
          <w:sz w:val="32"/>
          <w:szCs w:val="32"/>
        </w:rPr>
        <w:t>2020</w:t>
      </w:r>
      <w:r>
        <w:rPr>
          <w:rFonts w:hint="eastAsia" w:ascii="仿宋_GB2312" w:eastAsia="仿宋_GB2312"/>
          <w:sz w:val="32"/>
          <w:szCs w:val="32"/>
        </w:rPr>
        <w:t>年本年支出合计</w:t>
      </w:r>
      <w:r>
        <w:rPr>
          <w:rFonts w:hint="eastAsia" w:ascii="仿宋_GB2312" w:eastAsia="仿宋_GB2312"/>
          <w:sz w:val="32"/>
          <w:szCs w:val="32"/>
          <w:lang w:val="en-US" w:eastAsia="zh-CN"/>
        </w:rPr>
        <w:t>216.37</w:t>
      </w:r>
      <w:r>
        <w:rPr>
          <w:rFonts w:hint="eastAsia" w:ascii="仿宋_GB2312" w:eastAsia="仿宋_GB2312"/>
          <w:sz w:val="32"/>
          <w:szCs w:val="32"/>
        </w:rPr>
        <w:t>万元，其中：基本支出</w:t>
      </w:r>
      <w:r>
        <w:rPr>
          <w:rFonts w:hint="eastAsia" w:ascii="仿宋_GB2312" w:eastAsia="仿宋_GB2312"/>
          <w:sz w:val="32"/>
          <w:szCs w:val="32"/>
          <w:lang w:val="en-US" w:eastAsia="zh-CN"/>
        </w:rPr>
        <w:t>215.89</w:t>
      </w:r>
      <w:r>
        <w:rPr>
          <w:rFonts w:hint="eastAsia" w:ascii="仿宋_GB2312" w:eastAsia="仿宋_GB2312"/>
          <w:sz w:val="32"/>
          <w:szCs w:val="32"/>
        </w:rPr>
        <w:t>万元，占</w:t>
      </w:r>
      <w:r>
        <w:rPr>
          <w:rFonts w:hint="eastAsia" w:ascii="仿宋_GB2312" w:eastAsia="仿宋_GB2312"/>
          <w:sz w:val="32"/>
          <w:szCs w:val="32"/>
          <w:lang w:val="en-US" w:eastAsia="zh-CN"/>
        </w:rPr>
        <w:t>99.78</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0.48</w:t>
      </w:r>
      <w:r>
        <w:rPr>
          <w:rFonts w:hint="eastAsia" w:ascii="仿宋_GB2312" w:eastAsia="仿宋_GB2312"/>
          <w:sz w:val="32"/>
          <w:szCs w:val="32"/>
        </w:rPr>
        <w:t>万元，占</w:t>
      </w:r>
      <w:r>
        <w:rPr>
          <w:rFonts w:hint="eastAsia" w:ascii="仿宋_GB2312" w:eastAsia="仿宋_GB2312"/>
          <w:sz w:val="32"/>
          <w:szCs w:val="32"/>
          <w:lang w:val="en-US" w:eastAsia="zh-CN"/>
        </w:rPr>
        <w:t>0.22</w:t>
      </w:r>
      <w:r>
        <w:rPr>
          <w:rFonts w:ascii="仿宋_GB2312" w:eastAsia="仿宋_GB2312"/>
          <w:sz w:val="32"/>
          <w:szCs w:val="32"/>
        </w:rPr>
        <w:t>%</w:t>
      </w:r>
      <w:r>
        <w:rPr>
          <w:rFonts w:hint="eastAsia" w:ascii="仿宋_GB2312" w:eastAsia="仿宋_GB2312"/>
          <w:sz w:val="32"/>
          <w:szCs w:val="32"/>
          <w:lang w:val="en-US" w:eastAsia="zh-CN"/>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pPr>
        <w:spacing w:line="600" w:lineRule="exact"/>
        <w:ind w:firstLine="420" w:firstLineChars="200"/>
        <w:rPr>
          <w:rFonts w:ascii="仿宋_GB2312" w:eastAsia="仿宋_GB2312"/>
          <w:color w:val="FF0000"/>
          <w:sz w:val="32"/>
          <w:szCs w:val="32"/>
        </w:rPr>
      </w:pPr>
      <w:r>
        <w:drawing>
          <wp:anchor distT="0" distB="0" distL="114300" distR="114300" simplePos="0" relativeHeight="251662336" behindDoc="0" locked="0" layoutInCell="1" allowOverlap="1">
            <wp:simplePos x="0" y="0"/>
            <wp:positionH relativeFrom="column">
              <wp:posOffset>99060</wp:posOffset>
            </wp:positionH>
            <wp:positionV relativeFrom="paragraph">
              <wp:posOffset>126365</wp:posOffset>
            </wp:positionV>
            <wp:extent cx="4572000" cy="2160905"/>
            <wp:effectExtent l="4445" t="4445" r="14605" b="6350"/>
            <wp:wrapSquare wrapText="bothSides"/>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outlineLvl w:val="1"/>
        <w:rPr>
          <w:rStyle w:val="23"/>
          <w:rFonts w:ascii="黑体" w:hAnsi="黑体" w:eastAsia="黑体"/>
          <w:b w:val="0"/>
        </w:rPr>
      </w:pPr>
      <w:bookmarkStart w:id="71" w:name="_Toc15396606"/>
      <w:bookmarkStart w:id="72" w:name="_Toc15377208"/>
      <w:bookmarkStart w:id="73" w:name="_Toc79163863"/>
      <w:bookmarkStart w:id="74" w:name="_Toc79163613"/>
      <w:r>
        <w:rPr>
          <w:rFonts w:hint="eastAsia" w:ascii="黑体" w:hAnsi="黑体" w:eastAsia="黑体"/>
          <w:color w:val="000000"/>
          <w:sz w:val="32"/>
          <w:szCs w:val="32"/>
          <w:lang w:val="en-US" w:eastAsia="zh-CN"/>
        </w:rPr>
        <w:t xml:space="preserve">          </w:t>
      </w:r>
      <w:bookmarkEnd w:id="71"/>
      <w:bookmarkEnd w:id="72"/>
      <w:bookmarkEnd w:id="73"/>
      <w:bookmarkEnd w:id="74"/>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ind w:firstLine="640" w:firstLineChars="200"/>
        <w:outlineLvl w:val="1"/>
        <w:rPr>
          <w:rStyle w:val="23"/>
          <w:rFonts w:ascii="黑体" w:hAnsi="黑体" w:eastAsia="黑体"/>
          <w:b w:val="0"/>
        </w:rPr>
      </w:pPr>
      <w:bookmarkStart w:id="75" w:name="_Toc13819"/>
      <w:bookmarkStart w:id="76" w:name="_Toc6946"/>
      <w:bookmarkStart w:id="77" w:name="_Toc22152"/>
      <w:r>
        <w:rPr>
          <w:rFonts w:hint="eastAsia" w:ascii="黑体" w:hAnsi="黑体" w:eastAsia="黑体"/>
          <w:color w:val="000000"/>
          <w:sz w:val="32"/>
          <w:szCs w:val="32"/>
        </w:rPr>
        <w:t>四、财</w:t>
      </w:r>
      <w:r>
        <w:rPr>
          <w:rStyle w:val="23"/>
          <w:rFonts w:hint="eastAsia" w:ascii="黑体" w:hAnsi="黑体" w:eastAsia="黑体"/>
          <w:b w:val="0"/>
        </w:rPr>
        <w:t>政拨款收入支出决算总体情况说明</w:t>
      </w:r>
      <w:bookmarkEnd w:id="75"/>
      <w:bookmarkEnd w:id="76"/>
      <w:bookmarkEnd w:id="77"/>
    </w:p>
    <w:p>
      <w:pPr>
        <w:spacing w:line="600" w:lineRule="exact"/>
        <w:ind w:firstLine="640" w:firstLineChars="200"/>
        <w:rPr>
          <w:rFonts w:ascii="仿宋" w:hAnsi="仿宋" w:eastAsia="仿宋"/>
          <w:b/>
          <w:color w:val="FF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年度收、支总计</w:t>
      </w:r>
      <w:r>
        <w:rPr>
          <w:rFonts w:hint="eastAsia" w:ascii="仿宋" w:hAnsi="仿宋" w:eastAsia="仿宋"/>
          <w:color w:val="000000"/>
          <w:sz w:val="32"/>
          <w:szCs w:val="32"/>
          <w:lang w:val="en-US" w:eastAsia="zh-CN"/>
        </w:rPr>
        <w:t>198.99</w:t>
      </w:r>
      <w:r>
        <w:rPr>
          <w:rFonts w:hint="eastAsia" w:ascii="仿宋" w:hAnsi="仿宋" w:eastAsia="仿宋"/>
          <w:color w:val="000000"/>
          <w:sz w:val="32"/>
          <w:szCs w:val="32"/>
        </w:rPr>
        <w:t>万元。与</w:t>
      </w:r>
      <w:r>
        <w:rPr>
          <w:rFonts w:ascii="仿宋" w:hAnsi="仿宋" w:eastAsia="仿宋"/>
          <w:color w:val="000000"/>
          <w:sz w:val="32"/>
          <w:szCs w:val="32"/>
        </w:rPr>
        <w:t>2019</w:t>
      </w:r>
      <w:r>
        <w:rPr>
          <w:rFonts w:hint="eastAsia" w:ascii="仿宋" w:hAnsi="仿宋" w:eastAsia="仿宋"/>
          <w:color w:val="000000"/>
          <w:sz w:val="32"/>
          <w:szCs w:val="32"/>
        </w:rPr>
        <w:t>年相比，收、支总计各减少</w:t>
      </w:r>
      <w:r>
        <w:rPr>
          <w:rFonts w:hint="eastAsia" w:ascii="仿宋" w:hAnsi="仿宋" w:eastAsia="仿宋"/>
          <w:color w:val="000000"/>
          <w:sz w:val="32"/>
          <w:szCs w:val="32"/>
          <w:lang w:val="en-US" w:eastAsia="zh-CN"/>
        </w:rPr>
        <w:t>72.81</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26.79</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2020年项目支出减少，2020年人员减少一人。</w:t>
      </w:r>
    </w:p>
    <w:p>
      <w:pPr>
        <w:spacing w:line="600" w:lineRule="exact"/>
        <w:rPr>
          <w:rFonts w:ascii="仿宋" w:hAnsi="仿宋" w:eastAsia="仿宋"/>
          <w:color w:val="000000"/>
          <w:sz w:val="32"/>
          <w:szCs w:val="32"/>
        </w:rPr>
      </w:pPr>
      <w:r>
        <w:drawing>
          <wp:anchor distT="0" distB="0" distL="114300" distR="114300" simplePos="0" relativeHeight="251659264" behindDoc="0" locked="0" layoutInCell="1" allowOverlap="1">
            <wp:simplePos x="0" y="0"/>
            <wp:positionH relativeFrom="column">
              <wp:posOffset>240665</wp:posOffset>
            </wp:positionH>
            <wp:positionV relativeFrom="paragraph">
              <wp:posOffset>527050</wp:posOffset>
            </wp:positionV>
            <wp:extent cx="4485640" cy="1465580"/>
            <wp:effectExtent l="4445" t="4445" r="5715" b="15875"/>
            <wp:wrapSquare wrapText="bothSides"/>
            <wp:docPr id="4"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pPr>
        <w:spacing w:line="600" w:lineRule="exact"/>
        <w:ind w:firstLine="640"/>
        <w:rPr>
          <w:rFonts w:ascii="仿宋" w:hAnsi="仿宋" w:eastAsia="仿宋"/>
          <w:b/>
          <w:color w:val="00B050"/>
          <w:sz w:val="32"/>
          <w:szCs w:val="32"/>
        </w:rPr>
      </w:pPr>
    </w:p>
    <w:p>
      <w:pPr>
        <w:spacing w:line="600" w:lineRule="exact"/>
        <w:outlineLvl w:val="2"/>
        <w:rPr>
          <w:rFonts w:ascii="仿宋" w:hAnsi="仿宋" w:eastAsia="仿宋"/>
          <w:b/>
          <w:color w:val="000000"/>
          <w:sz w:val="32"/>
          <w:szCs w:val="32"/>
        </w:rPr>
      </w:pPr>
    </w:p>
    <w:p>
      <w:pPr>
        <w:spacing w:line="600" w:lineRule="exact"/>
        <w:outlineLvl w:val="2"/>
        <w:rPr>
          <w:rFonts w:ascii="仿宋" w:hAnsi="仿宋" w:eastAsia="仿宋"/>
          <w:b/>
          <w:color w:val="000000"/>
          <w:sz w:val="32"/>
          <w:szCs w:val="32"/>
        </w:rPr>
      </w:pPr>
    </w:p>
    <w:p>
      <w:pPr>
        <w:spacing w:line="600" w:lineRule="exact"/>
        <w:outlineLvl w:val="2"/>
        <w:rPr>
          <w:rFonts w:ascii="仿宋" w:hAnsi="仿宋" w:eastAsia="仿宋"/>
          <w:b/>
          <w:color w:val="000000"/>
          <w:sz w:val="32"/>
          <w:szCs w:val="32"/>
        </w:rPr>
      </w:pPr>
    </w:p>
    <w:p>
      <w:pPr>
        <w:spacing w:line="600" w:lineRule="exact"/>
        <w:ind w:firstLine="640" w:firstLineChars="200"/>
        <w:outlineLvl w:val="1"/>
        <w:rPr>
          <w:rFonts w:ascii="仿宋" w:hAnsi="仿宋" w:eastAsia="仿宋"/>
          <w:color w:val="000000"/>
          <w:sz w:val="32"/>
          <w:szCs w:val="32"/>
        </w:rPr>
      </w:pPr>
      <w:bookmarkStart w:id="78" w:name="_Toc25768"/>
      <w:bookmarkStart w:id="79" w:name="_Toc26985"/>
      <w:bookmarkStart w:id="80" w:name="_Toc5953"/>
      <w:bookmarkStart w:id="81" w:name="_Toc15377209"/>
      <w:bookmarkStart w:id="82" w:name="_Toc79163614"/>
      <w:bookmarkStart w:id="83" w:name="_Toc79163864"/>
      <w:bookmarkStart w:id="84"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3"/>
          <w:rFonts w:hint="eastAsia" w:ascii="黑体" w:hAnsi="黑体" w:eastAsia="黑体"/>
          <w:b w:val="0"/>
        </w:rPr>
        <w:t>般公共预算财政拨款支出决算情况说明</w:t>
      </w:r>
      <w:bookmarkEnd w:id="78"/>
      <w:bookmarkEnd w:id="79"/>
      <w:bookmarkEnd w:id="80"/>
      <w:bookmarkEnd w:id="81"/>
      <w:bookmarkEnd w:id="82"/>
      <w:bookmarkEnd w:id="83"/>
      <w:bookmarkEnd w:id="84"/>
    </w:p>
    <w:p>
      <w:pPr>
        <w:spacing w:line="600" w:lineRule="exact"/>
        <w:ind w:firstLine="640" w:firstLineChars="200"/>
        <w:rPr>
          <w:rFonts w:hint="eastAsia" w:ascii="仿宋" w:hAnsi="仿宋" w:eastAsia="仿宋"/>
          <w:color w:val="000000"/>
          <w:sz w:val="32"/>
          <w:szCs w:val="32"/>
          <w:lang w:val="en-US" w:eastAsia="zh-CN"/>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216.37</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年相比，一般公共预算财政拨款减少</w:t>
      </w:r>
      <w:r>
        <w:rPr>
          <w:rFonts w:hint="eastAsia" w:ascii="仿宋" w:hAnsi="仿宋" w:eastAsia="仿宋"/>
          <w:color w:val="000000"/>
          <w:sz w:val="32"/>
          <w:szCs w:val="32"/>
          <w:lang w:val="en-US" w:eastAsia="zh-CN"/>
        </w:rPr>
        <w:t>38.04</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14.95</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:2020年项目支出减少，2020年人员减少一人。</w:t>
      </w:r>
    </w:p>
    <w:p>
      <w:pPr>
        <w:spacing w:line="600" w:lineRule="exact"/>
        <w:ind w:firstLine="420" w:firstLineChars="200"/>
        <w:rPr>
          <w:rFonts w:ascii="仿宋" w:hAnsi="仿宋" w:eastAsia="仿宋"/>
          <w:color w:val="000000"/>
          <w:sz w:val="32"/>
          <w:szCs w:val="32"/>
        </w:rPr>
      </w:pPr>
      <w:r>
        <w:drawing>
          <wp:anchor distT="0" distB="0" distL="114300" distR="114300" simplePos="0" relativeHeight="251663360" behindDoc="0" locked="0" layoutInCell="1" allowOverlap="1">
            <wp:simplePos x="0" y="0"/>
            <wp:positionH relativeFrom="column">
              <wp:posOffset>614045</wp:posOffset>
            </wp:positionH>
            <wp:positionV relativeFrom="paragraph">
              <wp:posOffset>845820</wp:posOffset>
            </wp:positionV>
            <wp:extent cx="4572000" cy="2034540"/>
            <wp:effectExtent l="4445" t="4445" r="14605" b="18415"/>
            <wp:wrapSquare wrapText="bothSides"/>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w:t>
      </w:r>
      <w:r>
        <w:rPr>
          <w:rFonts w:hint="eastAsia" w:ascii="仿宋" w:hAnsi="仿宋" w:eastAsia="仿宋"/>
          <w:color w:val="000000"/>
          <w:sz w:val="32"/>
          <w:szCs w:val="32"/>
          <w:lang w:eastAsia="zh-CN"/>
        </w:rPr>
        <w:t>）</w:t>
      </w:r>
      <w:r>
        <w:rPr>
          <w:rFonts w:hint="eastAsia" w:ascii="仿宋" w:hAnsi="仿宋" w:eastAsia="仿宋"/>
          <w:color w:val="000000"/>
          <w:sz w:val="32"/>
          <w:szCs w:val="32"/>
        </w:rPr>
        <w:t>（柱状图）</w:t>
      </w: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85" w:name="_Toc12765"/>
      <w:bookmarkStart w:id="86" w:name="_Toc79163616"/>
      <w:bookmarkStart w:id="87" w:name="_Toc23008"/>
      <w:bookmarkStart w:id="88" w:name="_Toc4332"/>
      <w:bookmarkStart w:id="89" w:name="_Toc79163866"/>
      <w:bookmarkStart w:id="90" w:name="_Toc15377211"/>
      <w:r>
        <w:rPr>
          <w:rFonts w:hint="eastAsia" w:ascii="仿宋" w:hAnsi="仿宋" w:eastAsia="仿宋"/>
          <w:b/>
          <w:color w:val="000000"/>
          <w:sz w:val="32"/>
          <w:szCs w:val="32"/>
        </w:rPr>
        <w:t>（</w:t>
      </w:r>
      <w:bookmarkEnd w:id="85"/>
      <w:bookmarkEnd w:id="86"/>
      <w:bookmarkEnd w:id="87"/>
      <w:bookmarkEnd w:id="88"/>
      <w:bookmarkEnd w:id="89"/>
      <w:bookmarkEnd w:id="90"/>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91" w:name="_Toc5396"/>
      <w:bookmarkStart w:id="92" w:name="_Toc16224"/>
      <w:bookmarkStart w:id="93" w:name="_Toc15983"/>
      <w:r>
        <w:rPr>
          <w:rFonts w:hint="eastAsia" w:ascii="仿宋" w:hAnsi="仿宋" w:eastAsia="仿宋"/>
          <w:b/>
          <w:color w:val="000000"/>
          <w:sz w:val="32"/>
          <w:szCs w:val="32"/>
          <w:lang w:eastAsia="zh-CN"/>
        </w:rPr>
        <w:t>（</w:t>
      </w:r>
      <w:r>
        <w:rPr>
          <w:rFonts w:hint="eastAsia" w:ascii="仿宋" w:hAnsi="仿宋" w:eastAsia="仿宋"/>
          <w:b/>
          <w:color w:val="000000"/>
          <w:sz w:val="32"/>
          <w:szCs w:val="32"/>
        </w:rPr>
        <w:t>二）一般公共预算财政拨款支出决算结构情况</w:t>
      </w:r>
      <w:bookmarkEnd w:id="91"/>
      <w:bookmarkEnd w:id="92"/>
      <w:bookmarkEnd w:id="93"/>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216.37</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rPr>
        <w:t>社会保障和就业（</w:t>
      </w:r>
      <w:r>
        <w:rPr>
          <w:rFonts w:hint="eastAsia" w:ascii="仿宋" w:hAnsi="仿宋" w:eastAsia="仿宋"/>
          <w:b/>
          <w:color w:val="000000"/>
          <w:sz w:val="32"/>
          <w:szCs w:val="32"/>
          <w:lang w:val="en-US" w:eastAsia="zh-CN"/>
        </w:rPr>
        <w:t>208</w:t>
      </w:r>
      <w:r>
        <w:rPr>
          <w:rFonts w:hint="eastAsia" w:ascii="仿宋" w:hAnsi="仿宋" w:eastAsia="仿宋"/>
          <w:b/>
          <w:color w:val="000000"/>
          <w:sz w:val="32"/>
          <w:szCs w:val="32"/>
        </w:rPr>
        <w:t>）</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186.44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86.17</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卫生健康支出</w:t>
      </w:r>
      <w:r>
        <w:rPr>
          <w:rFonts w:hint="eastAsia" w:ascii="仿宋" w:hAnsi="仿宋" w:eastAsia="仿宋"/>
          <w:b/>
          <w:bCs/>
          <w:color w:val="000000"/>
          <w:sz w:val="32"/>
          <w:szCs w:val="32"/>
          <w:lang w:val="en-US" w:eastAsia="zh-CN"/>
        </w:rPr>
        <w:t>(210)</w:t>
      </w:r>
      <w:r>
        <w:rPr>
          <w:rFonts w:hint="eastAsia" w:ascii="仿宋" w:hAnsi="仿宋" w:eastAsia="仿宋"/>
          <w:color w:val="000000"/>
          <w:sz w:val="32"/>
          <w:szCs w:val="32"/>
          <w:lang w:val="en-US" w:eastAsia="zh-CN"/>
        </w:rPr>
        <w:t>12.14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5.61</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住房保障支出</w:t>
      </w:r>
      <w:r>
        <w:rPr>
          <w:rFonts w:hint="eastAsia" w:ascii="仿宋" w:hAnsi="仿宋" w:eastAsia="仿宋"/>
          <w:b/>
          <w:bCs/>
          <w:color w:val="000000"/>
          <w:sz w:val="32"/>
          <w:szCs w:val="32"/>
          <w:lang w:val="en-US" w:eastAsia="zh-CN"/>
        </w:rPr>
        <w:t>(</w:t>
      </w:r>
      <w:r>
        <w:rPr>
          <w:rFonts w:hint="eastAsia" w:ascii="仿宋_GB2312" w:eastAsia="仿宋_GB2312"/>
          <w:b/>
          <w:bCs/>
          <w:color w:val="000000"/>
          <w:sz w:val="32"/>
          <w:szCs w:val="32"/>
          <w:lang w:val="en-US" w:eastAsia="zh-CN"/>
        </w:rPr>
        <w:t>22</w:t>
      </w:r>
      <w:r>
        <w:rPr>
          <w:rFonts w:hint="eastAsia" w:ascii="仿宋" w:hAnsi="仿宋" w:eastAsia="仿宋"/>
          <w:b/>
          <w:bCs/>
          <w:color w:val="000000"/>
          <w:sz w:val="32"/>
          <w:szCs w:val="32"/>
          <w:lang w:val="en-US" w:eastAsia="zh-CN"/>
        </w:rPr>
        <w:t>1)</w:t>
      </w:r>
      <w:r>
        <w:rPr>
          <w:rFonts w:hint="eastAsia" w:ascii="仿宋" w:hAnsi="仿宋" w:eastAsia="仿宋"/>
          <w:color w:val="000000"/>
          <w:sz w:val="32"/>
          <w:szCs w:val="32"/>
          <w:lang w:val="en-US" w:eastAsia="zh-CN"/>
        </w:rPr>
        <w:t>17.31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_GB2312" w:eastAsia="仿宋_GB2312"/>
          <w:b/>
          <w:bCs/>
          <w:color w:val="000000"/>
          <w:sz w:val="32"/>
          <w:szCs w:val="32"/>
          <w:lang w:eastAsia="zh-CN"/>
        </w:rPr>
        <w:t>农林水支出（</w:t>
      </w:r>
      <w:r>
        <w:rPr>
          <w:rFonts w:hint="eastAsia" w:ascii="仿宋_GB2312" w:eastAsia="仿宋_GB2312"/>
          <w:b/>
          <w:bCs/>
          <w:color w:val="000000"/>
          <w:sz w:val="32"/>
          <w:szCs w:val="32"/>
          <w:lang w:val="en-US" w:eastAsia="zh-CN"/>
        </w:rPr>
        <w:t>213</w:t>
      </w:r>
      <w:r>
        <w:rPr>
          <w:rFonts w:hint="eastAsia" w:ascii="仿宋_GB2312" w:eastAsia="仿宋_GB2312"/>
          <w:b/>
          <w:bCs/>
          <w:color w:val="000000"/>
          <w:sz w:val="32"/>
          <w:szCs w:val="32"/>
          <w:lang w:eastAsia="zh-CN"/>
        </w:rPr>
        <w:t>）</w:t>
      </w:r>
      <w:r>
        <w:rPr>
          <w:rFonts w:hint="eastAsia" w:ascii="仿宋_GB2312" w:eastAsia="仿宋_GB2312"/>
          <w:b/>
          <w:bCs/>
          <w:color w:val="000000"/>
          <w:sz w:val="32"/>
          <w:szCs w:val="32"/>
          <w:lang w:val="en-US" w:eastAsia="zh-CN"/>
        </w:rPr>
        <w:t>0.48</w:t>
      </w:r>
      <w:r>
        <w:rPr>
          <w:rFonts w:hint="eastAsia" w:ascii="仿宋" w:hAnsi="仿宋" w:eastAsia="仿宋"/>
          <w:color w:val="000000"/>
          <w:sz w:val="32"/>
          <w:szCs w:val="32"/>
          <w:lang w:val="en-US" w:eastAsia="zh-CN"/>
        </w:rPr>
        <w:t>万元，占0.22%</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pPr>
        <w:spacing w:line="600" w:lineRule="exact"/>
        <w:ind w:firstLine="420" w:firstLineChars="200"/>
        <w:rPr>
          <w:rFonts w:ascii="仿宋" w:hAnsi="仿宋" w:eastAsia="仿宋"/>
          <w:color w:val="000000"/>
          <w:sz w:val="32"/>
          <w:szCs w:val="32"/>
        </w:rPr>
      </w:pPr>
      <w:r>
        <w:drawing>
          <wp:anchor distT="0" distB="0" distL="114300" distR="114300" simplePos="0" relativeHeight="251664384" behindDoc="0" locked="0" layoutInCell="1" allowOverlap="1">
            <wp:simplePos x="0" y="0"/>
            <wp:positionH relativeFrom="column">
              <wp:posOffset>271145</wp:posOffset>
            </wp:positionH>
            <wp:positionV relativeFrom="paragraph">
              <wp:posOffset>-9451975</wp:posOffset>
            </wp:positionV>
            <wp:extent cx="4572000" cy="2444115"/>
            <wp:effectExtent l="4445" t="4445" r="14605" b="8890"/>
            <wp:wrapSquare wrapText="bothSides"/>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3" w:firstLineChars="200"/>
        <w:outlineLvl w:val="2"/>
        <w:rPr>
          <w:rFonts w:hint="eastAsia" w:ascii="仿宋" w:hAnsi="仿宋" w:eastAsia="仿宋"/>
          <w:b/>
          <w:color w:val="000000"/>
          <w:sz w:val="32"/>
          <w:szCs w:val="32"/>
        </w:rPr>
      </w:pPr>
      <w:bookmarkStart w:id="94" w:name="_Toc15377212"/>
      <w:bookmarkStart w:id="95" w:name="_Toc79163867"/>
      <w:bookmarkStart w:id="96" w:name="_Toc79163617"/>
    </w:p>
    <w:p>
      <w:pPr>
        <w:spacing w:line="600" w:lineRule="exact"/>
        <w:ind w:firstLine="643" w:firstLineChars="200"/>
        <w:outlineLvl w:val="2"/>
        <w:rPr>
          <w:rFonts w:hint="eastAsia" w:ascii="仿宋" w:hAnsi="仿宋" w:eastAsia="仿宋"/>
          <w:b/>
          <w:color w:val="000000"/>
          <w:sz w:val="32"/>
          <w:szCs w:val="32"/>
        </w:rPr>
      </w:pPr>
    </w:p>
    <w:p>
      <w:pPr>
        <w:spacing w:line="600" w:lineRule="exact"/>
        <w:ind w:firstLine="643" w:firstLineChars="200"/>
        <w:outlineLvl w:val="2"/>
        <w:rPr>
          <w:rFonts w:hint="eastAsia" w:ascii="仿宋" w:hAnsi="仿宋" w:eastAsia="仿宋"/>
          <w:b/>
          <w:color w:val="000000"/>
          <w:sz w:val="32"/>
          <w:szCs w:val="32"/>
        </w:rPr>
      </w:pPr>
    </w:p>
    <w:p>
      <w:pPr>
        <w:spacing w:line="600" w:lineRule="exact"/>
        <w:ind w:firstLine="643" w:firstLineChars="200"/>
        <w:outlineLvl w:val="2"/>
        <w:rPr>
          <w:rFonts w:hint="eastAsia" w:ascii="仿宋" w:hAnsi="仿宋" w:eastAsia="仿宋"/>
          <w:b/>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97" w:name="_Toc5017"/>
      <w:bookmarkStart w:id="98" w:name="_Toc19823"/>
      <w:bookmarkStart w:id="99" w:name="_Toc29312"/>
      <w:r>
        <w:rPr>
          <w:rFonts w:hint="eastAsia" w:ascii="仿宋" w:hAnsi="仿宋" w:eastAsia="仿宋"/>
          <w:b/>
          <w:color w:val="000000"/>
          <w:sz w:val="32"/>
          <w:szCs w:val="32"/>
        </w:rPr>
        <w:t>（三）一般公共预算财政拨款支出决算具体情况</w:t>
      </w:r>
      <w:bookmarkEnd w:id="94"/>
      <w:bookmarkEnd w:id="95"/>
      <w:bookmarkEnd w:id="96"/>
      <w:bookmarkEnd w:id="97"/>
      <w:bookmarkEnd w:id="98"/>
      <w:bookmarkEnd w:id="99"/>
    </w:p>
    <w:p>
      <w:pPr>
        <w:spacing w:line="600" w:lineRule="exact"/>
        <w:ind w:firstLine="643" w:firstLineChars="200"/>
        <w:rPr>
          <w:rFonts w:ascii="仿宋_GB2312" w:eastAsia="仿宋_GB2312"/>
          <w:b/>
          <w:bCs/>
          <w:sz w:val="32"/>
          <w:szCs w:val="32"/>
        </w:rPr>
      </w:pPr>
      <w:bookmarkStart w:id="100" w:name="_Toc15378460"/>
      <w:bookmarkStart w:id="101" w:name="_Toc15377213"/>
      <w:bookmarkStart w:id="102" w:name="_Toc15377444"/>
      <w:r>
        <w:rPr>
          <w:rFonts w:ascii="仿宋_GB2312" w:eastAsia="仿宋_GB2312"/>
          <w:b/>
          <w:bCs/>
          <w:sz w:val="32"/>
          <w:szCs w:val="32"/>
        </w:rPr>
        <w:t>2020</w:t>
      </w:r>
      <w:r>
        <w:rPr>
          <w:rFonts w:hint="eastAsia" w:ascii="仿宋_GB2312" w:eastAsia="仿宋_GB2312"/>
          <w:b/>
          <w:bCs/>
          <w:sz w:val="32"/>
          <w:szCs w:val="32"/>
        </w:rPr>
        <w:t>年一般公共预算支出决算数为</w:t>
      </w:r>
      <w:r>
        <w:rPr>
          <w:rFonts w:hint="eastAsia" w:ascii="仿宋_GB2312" w:eastAsia="仿宋_GB2312"/>
          <w:b/>
          <w:bCs/>
          <w:sz w:val="32"/>
          <w:szCs w:val="32"/>
          <w:lang w:val="en-US" w:eastAsia="zh-CN"/>
        </w:rPr>
        <w:t>216.37万元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100"/>
      <w:bookmarkEnd w:id="101"/>
      <w:bookmarkEnd w:id="102"/>
    </w:p>
    <w:p>
      <w:pPr>
        <w:spacing w:line="600" w:lineRule="exact"/>
        <w:ind w:firstLine="643" w:firstLineChars="200"/>
        <w:rPr>
          <w:rFonts w:ascii="仿宋" w:hAnsi="仿宋" w:eastAsia="仿宋"/>
          <w:b/>
          <w:color w:val="000000"/>
          <w:sz w:val="32"/>
          <w:szCs w:val="32"/>
        </w:rPr>
      </w:pPr>
      <w:r>
        <w:rPr>
          <w:rStyle w:val="20"/>
          <w:rFonts w:hint="eastAsia" w:ascii="仿宋" w:hAnsi="仿宋" w:eastAsia="仿宋"/>
          <w:bCs/>
          <w:color w:val="000000"/>
          <w:sz w:val="32"/>
          <w:szCs w:val="32"/>
          <w:lang w:val="en-US" w:eastAsia="zh-CN"/>
        </w:rPr>
        <w:t>1</w:t>
      </w:r>
      <w:r>
        <w:rPr>
          <w:rStyle w:val="20"/>
          <w:rFonts w:ascii="仿宋" w:hAnsi="仿宋" w:eastAsia="仿宋"/>
          <w:bCs/>
          <w:color w:val="000000"/>
          <w:sz w:val="32"/>
          <w:szCs w:val="32"/>
        </w:rPr>
        <w:t>.</w:t>
      </w:r>
      <w:r>
        <w:rPr>
          <w:rStyle w:val="20"/>
          <w:rFonts w:hint="eastAsia" w:ascii="仿宋" w:hAnsi="仿宋" w:eastAsia="仿宋"/>
          <w:bCs/>
          <w:color w:val="000000"/>
          <w:sz w:val="32"/>
          <w:szCs w:val="32"/>
        </w:rPr>
        <w:t>社会保障和就业（</w:t>
      </w:r>
      <w:r>
        <w:rPr>
          <w:rStyle w:val="20"/>
          <w:rFonts w:hint="eastAsia" w:ascii="仿宋" w:hAnsi="仿宋" w:eastAsia="仿宋"/>
          <w:bCs/>
          <w:color w:val="000000"/>
          <w:sz w:val="32"/>
          <w:szCs w:val="32"/>
          <w:lang w:val="en-US" w:eastAsia="zh-CN"/>
        </w:rPr>
        <w:t>类</w:t>
      </w:r>
      <w:r>
        <w:rPr>
          <w:rStyle w:val="20"/>
          <w:rFonts w:hint="eastAsia" w:ascii="仿宋" w:hAnsi="仿宋" w:eastAsia="仿宋"/>
          <w:bCs/>
          <w:color w:val="000000"/>
          <w:sz w:val="32"/>
          <w:szCs w:val="32"/>
        </w:rPr>
        <w:t>）</w:t>
      </w:r>
      <w:r>
        <w:rPr>
          <w:rFonts w:hint="eastAsia" w:ascii="仿宋_GB2312" w:eastAsia="仿宋_GB2312"/>
          <w:b/>
          <w:bCs/>
          <w:sz w:val="32"/>
          <w:szCs w:val="32"/>
        </w:rPr>
        <w:t>人力资源和社会保障管理事务（</w:t>
      </w:r>
      <w:r>
        <w:rPr>
          <w:rFonts w:hint="eastAsia" w:ascii="仿宋_GB2312" w:eastAsia="仿宋_GB2312"/>
          <w:b/>
          <w:bCs/>
          <w:sz w:val="32"/>
          <w:szCs w:val="32"/>
          <w:lang w:val="en-US" w:eastAsia="zh-CN"/>
        </w:rPr>
        <w:t>款</w:t>
      </w:r>
      <w:r>
        <w:rPr>
          <w:rFonts w:hint="eastAsia" w:ascii="仿宋_GB2312" w:eastAsia="仿宋_GB2312"/>
          <w:b/>
          <w:bCs/>
          <w:sz w:val="32"/>
          <w:szCs w:val="32"/>
        </w:rPr>
        <w:t>）社会保险经办机构（</w:t>
      </w:r>
      <w:r>
        <w:rPr>
          <w:rFonts w:hint="eastAsia" w:ascii="仿宋_GB2312" w:eastAsia="仿宋_GB2312"/>
          <w:b/>
          <w:bCs/>
          <w:sz w:val="32"/>
          <w:szCs w:val="32"/>
          <w:lang w:val="en-US" w:eastAsia="zh-CN"/>
        </w:rPr>
        <w:t>项</w:t>
      </w:r>
      <w:r>
        <w:rPr>
          <w:rFonts w:hint="eastAsia" w:ascii="仿宋_GB2312" w:eastAsia="仿宋_GB2312"/>
          <w:b/>
          <w:bCs/>
          <w:sz w:val="32"/>
          <w:szCs w:val="32"/>
        </w:rPr>
        <w:t>）</w:t>
      </w:r>
      <w:r>
        <w:rPr>
          <w:rStyle w:val="20"/>
          <w:rFonts w:ascii="仿宋" w:hAnsi="仿宋" w:eastAsia="仿宋"/>
          <w:bCs/>
          <w:color w:val="000000"/>
          <w:sz w:val="32"/>
          <w:szCs w:val="32"/>
        </w:rPr>
        <w:t>:</w:t>
      </w:r>
      <w:r>
        <w:rPr>
          <w:rStyle w:val="20"/>
          <w:rFonts w:ascii="仿宋" w:hAnsi="仿宋" w:eastAsia="仿宋"/>
          <w:b w:val="0"/>
          <w:bCs/>
          <w:color w:val="000000"/>
          <w:sz w:val="32"/>
          <w:szCs w:val="32"/>
        </w:rPr>
        <w:t xml:space="preserve"> </w:t>
      </w:r>
      <w:r>
        <w:rPr>
          <w:rStyle w:val="20"/>
          <w:rFonts w:hint="eastAsia" w:ascii="仿宋" w:hAnsi="仿宋" w:eastAsia="仿宋"/>
          <w:b w:val="0"/>
          <w:bCs/>
          <w:color w:val="000000"/>
          <w:sz w:val="32"/>
          <w:szCs w:val="32"/>
        </w:rPr>
        <w:t>支出决算为</w:t>
      </w:r>
      <w:r>
        <w:rPr>
          <w:rStyle w:val="20"/>
          <w:rFonts w:hint="eastAsia" w:ascii="仿宋" w:hAnsi="仿宋" w:eastAsia="仿宋"/>
          <w:b w:val="0"/>
          <w:bCs/>
          <w:color w:val="000000"/>
          <w:sz w:val="32"/>
          <w:szCs w:val="32"/>
          <w:lang w:val="en-US" w:eastAsia="zh-CN"/>
        </w:rPr>
        <w:t>162.68</w:t>
      </w:r>
      <w:r>
        <w:rPr>
          <w:rStyle w:val="20"/>
          <w:rFonts w:hint="eastAsia" w:ascii="仿宋" w:hAnsi="仿宋" w:eastAsia="仿宋"/>
          <w:b w:val="0"/>
          <w:bCs/>
          <w:color w:val="000000"/>
          <w:sz w:val="32"/>
          <w:szCs w:val="32"/>
        </w:rPr>
        <w:t>万元，完成预算</w:t>
      </w:r>
      <w:r>
        <w:rPr>
          <w:rStyle w:val="20"/>
          <w:rFonts w:hint="eastAsia" w:ascii="仿宋" w:hAnsi="仿宋" w:eastAsia="仿宋"/>
          <w:b w:val="0"/>
          <w:bCs/>
          <w:color w:val="000000"/>
          <w:sz w:val="32"/>
          <w:szCs w:val="32"/>
          <w:lang w:val="en-US" w:eastAsia="zh-CN"/>
        </w:rPr>
        <w:t>100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，决算数等于预算数。</w:t>
      </w:r>
    </w:p>
    <w:p>
      <w:pPr>
        <w:spacing w:line="600" w:lineRule="exact"/>
        <w:ind w:firstLine="643" w:firstLineChars="200"/>
        <w:rPr>
          <w:rStyle w:val="20"/>
          <w:rFonts w:hint="eastAsia" w:ascii="仿宋" w:hAnsi="仿宋" w:eastAsia="仿宋"/>
          <w:b w:val="0"/>
          <w:bCs/>
          <w:color w:val="000000"/>
          <w:sz w:val="32"/>
          <w:szCs w:val="32"/>
        </w:rPr>
      </w:pPr>
      <w:r>
        <w:rPr>
          <w:rStyle w:val="20"/>
          <w:rFonts w:hint="eastAsia" w:ascii="仿宋" w:hAnsi="仿宋" w:eastAsia="仿宋"/>
          <w:bCs/>
          <w:color w:val="000000"/>
          <w:sz w:val="32"/>
          <w:szCs w:val="32"/>
          <w:lang w:val="en-US" w:eastAsia="zh-CN"/>
        </w:rPr>
        <w:t>2</w:t>
      </w:r>
      <w:r>
        <w:rPr>
          <w:rStyle w:val="20"/>
          <w:rFonts w:ascii="仿宋" w:hAnsi="仿宋" w:eastAsia="仿宋"/>
          <w:bCs/>
          <w:color w:val="000000"/>
          <w:sz w:val="32"/>
          <w:szCs w:val="32"/>
        </w:rPr>
        <w:t>.</w:t>
      </w:r>
      <w:r>
        <w:rPr>
          <w:rFonts w:hint="eastAsia" w:ascii="仿宋_GB2312" w:eastAsia="仿宋_GB2312"/>
          <w:b/>
          <w:bCs/>
          <w:sz w:val="32"/>
          <w:szCs w:val="32"/>
        </w:rPr>
        <w:t>社会保障和就业支出（</w:t>
      </w:r>
      <w:r>
        <w:rPr>
          <w:rStyle w:val="20"/>
          <w:rFonts w:hint="eastAsia" w:ascii="仿宋" w:hAnsi="仿宋" w:eastAsia="仿宋"/>
          <w:bCs/>
          <w:color w:val="000000"/>
          <w:sz w:val="32"/>
          <w:szCs w:val="32"/>
          <w:lang w:val="en-US" w:eastAsia="zh-CN"/>
        </w:rPr>
        <w:t>类</w:t>
      </w:r>
      <w:r>
        <w:rPr>
          <w:rFonts w:hint="eastAsia" w:ascii="仿宋_GB2312" w:eastAsia="仿宋_GB2312"/>
          <w:b/>
          <w:bCs/>
          <w:sz w:val="32"/>
          <w:szCs w:val="32"/>
        </w:rPr>
        <w:t>）行政事业单位离退休（</w:t>
      </w:r>
      <w:r>
        <w:rPr>
          <w:rFonts w:hint="eastAsia" w:ascii="仿宋_GB2312" w:eastAsia="仿宋_GB2312"/>
          <w:b/>
          <w:bCs/>
          <w:sz w:val="32"/>
          <w:szCs w:val="32"/>
          <w:lang w:val="en-US" w:eastAsia="zh-CN"/>
        </w:rPr>
        <w:t>款</w:t>
      </w:r>
      <w:r>
        <w:rPr>
          <w:rFonts w:hint="eastAsia" w:ascii="仿宋_GB2312" w:eastAsia="仿宋_GB2312"/>
          <w:b/>
          <w:bCs/>
          <w:sz w:val="32"/>
          <w:szCs w:val="32"/>
        </w:rPr>
        <w:t>）机关事业单位基本养老保险缴费支出（</w:t>
      </w:r>
      <w:r>
        <w:rPr>
          <w:rFonts w:hint="eastAsia" w:ascii="仿宋_GB2312" w:eastAsia="仿宋_GB2312"/>
          <w:b/>
          <w:bCs/>
          <w:sz w:val="32"/>
          <w:szCs w:val="32"/>
          <w:lang w:val="en-US" w:eastAsia="zh-CN"/>
        </w:rPr>
        <w:t>项</w:t>
      </w:r>
      <w:r>
        <w:rPr>
          <w:rFonts w:hint="eastAsia" w:ascii="仿宋_GB2312" w:eastAsia="仿宋_GB2312"/>
          <w:b/>
          <w:bCs/>
          <w:sz w:val="32"/>
          <w:szCs w:val="32"/>
        </w:rPr>
        <w:t>）</w:t>
      </w:r>
      <w:r>
        <w:rPr>
          <w:rStyle w:val="20"/>
          <w:rFonts w:ascii="仿宋" w:hAnsi="仿宋" w:eastAsia="仿宋"/>
          <w:bCs/>
          <w:color w:val="000000"/>
          <w:sz w:val="32"/>
          <w:szCs w:val="32"/>
        </w:rPr>
        <w:t>:</w:t>
      </w:r>
      <w:r>
        <w:rPr>
          <w:rStyle w:val="20"/>
          <w:rFonts w:hint="eastAsia" w:ascii="仿宋" w:hAnsi="仿宋" w:eastAsia="仿宋"/>
          <w:b w:val="0"/>
          <w:bCs/>
          <w:color w:val="000000"/>
          <w:sz w:val="32"/>
          <w:szCs w:val="32"/>
        </w:rPr>
        <w:t>支出决算为</w:t>
      </w:r>
      <w:r>
        <w:rPr>
          <w:rStyle w:val="20"/>
          <w:rFonts w:hint="eastAsia" w:ascii="仿宋" w:hAnsi="仿宋" w:eastAsia="仿宋"/>
          <w:b w:val="0"/>
          <w:bCs/>
          <w:color w:val="000000"/>
          <w:sz w:val="32"/>
          <w:szCs w:val="32"/>
          <w:lang w:val="en-US" w:eastAsia="zh-CN"/>
        </w:rPr>
        <w:t>15.84</w:t>
      </w:r>
      <w:r>
        <w:rPr>
          <w:rStyle w:val="20"/>
          <w:rFonts w:hint="eastAsia" w:ascii="仿宋" w:hAnsi="仿宋" w:eastAsia="仿宋"/>
          <w:b w:val="0"/>
          <w:bCs/>
          <w:color w:val="000000"/>
          <w:sz w:val="32"/>
          <w:szCs w:val="32"/>
        </w:rPr>
        <w:t>万元，完成预算</w:t>
      </w:r>
      <w:r>
        <w:rPr>
          <w:rStyle w:val="20"/>
          <w:rFonts w:hint="eastAsia" w:ascii="仿宋" w:hAnsi="仿宋" w:eastAsia="仿宋"/>
          <w:b w:val="0"/>
          <w:bCs/>
          <w:color w:val="000000"/>
          <w:sz w:val="32"/>
          <w:szCs w:val="32"/>
          <w:lang w:val="en-US" w:eastAsia="zh-CN"/>
        </w:rPr>
        <w:t>100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，决算数等于预算数。</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3.</w:t>
      </w:r>
      <w:r>
        <w:rPr>
          <w:rFonts w:hint="eastAsia" w:ascii="仿宋_GB2312" w:eastAsia="仿宋_GB2312"/>
          <w:b/>
          <w:bCs/>
          <w:sz w:val="32"/>
          <w:szCs w:val="32"/>
        </w:rPr>
        <w:t>社会保障和就业支出（</w:t>
      </w:r>
      <w:r>
        <w:rPr>
          <w:rStyle w:val="20"/>
          <w:rFonts w:hint="eastAsia" w:ascii="仿宋" w:hAnsi="仿宋" w:eastAsia="仿宋"/>
          <w:bCs/>
          <w:color w:val="000000"/>
          <w:sz w:val="32"/>
          <w:szCs w:val="32"/>
          <w:lang w:val="en-US" w:eastAsia="zh-CN"/>
        </w:rPr>
        <w:t>类</w:t>
      </w:r>
      <w:r>
        <w:rPr>
          <w:rFonts w:hint="eastAsia" w:ascii="仿宋_GB2312" w:eastAsia="仿宋_GB2312"/>
          <w:b/>
          <w:bCs/>
          <w:sz w:val="32"/>
          <w:szCs w:val="32"/>
        </w:rPr>
        <w:t>）行政事业单位离退休（</w:t>
      </w:r>
      <w:r>
        <w:rPr>
          <w:rFonts w:hint="eastAsia" w:ascii="仿宋_GB2312" w:eastAsia="仿宋_GB2312"/>
          <w:b/>
          <w:bCs/>
          <w:sz w:val="32"/>
          <w:szCs w:val="32"/>
          <w:lang w:val="en-US" w:eastAsia="zh-CN"/>
        </w:rPr>
        <w:t>款</w:t>
      </w:r>
      <w:r>
        <w:rPr>
          <w:rFonts w:hint="eastAsia" w:ascii="仿宋_GB2312" w:eastAsia="仿宋_GB2312"/>
          <w:b/>
          <w:bCs/>
          <w:sz w:val="32"/>
          <w:szCs w:val="32"/>
        </w:rPr>
        <w:t>）机关事业单位职业年金缴费支出（</w:t>
      </w:r>
      <w:r>
        <w:rPr>
          <w:rFonts w:hint="eastAsia" w:ascii="仿宋_GB2312" w:eastAsia="仿宋_GB2312"/>
          <w:b/>
          <w:bCs/>
          <w:sz w:val="32"/>
          <w:szCs w:val="32"/>
          <w:lang w:val="en-US" w:eastAsia="zh-CN"/>
        </w:rPr>
        <w:t>项</w:t>
      </w:r>
      <w:r>
        <w:rPr>
          <w:rFonts w:hint="eastAsia" w:ascii="仿宋_GB2312" w:eastAsia="仿宋_GB2312"/>
          <w:b/>
          <w:bCs/>
          <w:sz w:val="32"/>
          <w:szCs w:val="32"/>
        </w:rPr>
        <w:t>）</w:t>
      </w:r>
      <w:r>
        <w:rPr>
          <w:rFonts w:hint="eastAsia" w:ascii="仿宋_GB2312" w:eastAsia="仿宋_GB2312"/>
          <w:sz w:val="32"/>
          <w:szCs w:val="32"/>
        </w:rPr>
        <w:t>：</w:t>
      </w:r>
      <w:r>
        <w:rPr>
          <w:rFonts w:hint="eastAsia" w:ascii="仿宋_GB2312" w:eastAsia="仿宋_GB2312"/>
          <w:sz w:val="32"/>
          <w:szCs w:val="32"/>
          <w:lang w:eastAsia="zh-CN"/>
        </w:rPr>
        <w:t>支出</w:t>
      </w:r>
      <w:r>
        <w:rPr>
          <w:rFonts w:hint="eastAsia" w:ascii="仿宋_GB2312" w:eastAsia="仿宋_GB2312"/>
          <w:sz w:val="32"/>
          <w:szCs w:val="32"/>
        </w:rPr>
        <w:t>决算数为</w:t>
      </w:r>
      <w:r>
        <w:rPr>
          <w:rFonts w:hint="eastAsia" w:ascii="仿宋_GB2312" w:eastAsia="仿宋_GB2312"/>
          <w:sz w:val="32"/>
          <w:szCs w:val="32"/>
          <w:lang w:val="en-US" w:eastAsia="zh-CN"/>
        </w:rPr>
        <w:t>7.92</w:t>
      </w:r>
      <w:r>
        <w:rPr>
          <w:rFonts w:hint="eastAsia" w:ascii="仿宋_GB2312" w:eastAsia="仿宋_GB2312"/>
          <w:sz w:val="32"/>
          <w:szCs w:val="32"/>
        </w:rPr>
        <w:t>万元，完成预算100%。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4.</w:t>
      </w:r>
      <w:r>
        <w:rPr>
          <w:rFonts w:hint="eastAsia" w:ascii="仿宋_GB2312" w:eastAsia="仿宋_GB2312"/>
          <w:b/>
          <w:bCs/>
          <w:sz w:val="32"/>
          <w:szCs w:val="32"/>
        </w:rPr>
        <w:t>医疗卫生与计划生育支出（</w:t>
      </w:r>
      <w:r>
        <w:rPr>
          <w:rStyle w:val="20"/>
          <w:rFonts w:hint="eastAsia" w:ascii="仿宋" w:hAnsi="仿宋" w:eastAsia="仿宋"/>
          <w:bCs/>
          <w:color w:val="000000"/>
          <w:sz w:val="32"/>
          <w:szCs w:val="32"/>
          <w:lang w:val="en-US" w:eastAsia="zh-CN"/>
        </w:rPr>
        <w:t>类</w:t>
      </w:r>
      <w:r>
        <w:rPr>
          <w:rFonts w:hint="eastAsia" w:ascii="仿宋_GB2312" w:eastAsia="仿宋_GB2312"/>
          <w:b/>
          <w:bCs/>
          <w:sz w:val="32"/>
          <w:szCs w:val="32"/>
        </w:rPr>
        <w:t>）行政事业单位医疗（</w:t>
      </w:r>
      <w:r>
        <w:rPr>
          <w:rFonts w:hint="eastAsia" w:ascii="仿宋_GB2312" w:eastAsia="仿宋_GB2312"/>
          <w:b/>
          <w:bCs/>
          <w:sz w:val="32"/>
          <w:szCs w:val="32"/>
          <w:lang w:val="en-US" w:eastAsia="zh-CN"/>
        </w:rPr>
        <w:t>款</w:t>
      </w:r>
      <w:r>
        <w:rPr>
          <w:rFonts w:hint="eastAsia" w:ascii="仿宋_GB2312" w:eastAsia="仿宋_GB2312"/>
          <w:b/>
          <w:bCs/>
          <w:sz w:val="32"/>
          <w:szCs w:val="32"/>
        </w:rPr>
        <w:t>）事业单位医疗（</w:t>
      </w:r>
      <w:r>
        <w:rPr>
          <w:rFonts w:hint="eastAsia" w:ascii="仿宋_GB2312" w:eastAsia="仿宋_GB2312"/>
          <w:b/>
          <w:bCs/>
          <w:sz w:val="32"/>
          <w:szCs w:val="32"/>
          <w:lang w:val="en-US" w:eastAsia="zh-CN"/>
        </w:rPr>
        <w:t>项</w:t>
      </w:r>
      <w:r>
        <w:rPr>
          <w:rFonts w:hint="eastAsia" w:ascii="仿宋_GB2312" w:eastAsia="仿宋_GB2312"/>
          <w:b/>
          <w:bCs/>
          <w:sz w:val="32"/>
          <w:szCs w:val="32"/>
        </w:rPr>
        <w:t>）</w:t>
      </w:r>
      <w:r>
        <w:rPr>
          <w:rFonts w:hint="eastAsia" w:ascii="仿宋_GB2312" w:eastAsia="仿宋_GB2312"/>
          <w:sz w:val="32"/>
          <w:szCs w:val="32"/>
        </w:rPr>
        <w:t>：</w:t>
      </w:r>
      <w:r>
        <w:rPr>
          <w:rFonts w:hint="eastAsia" w:ascii="仿宋_GB2312" w:eastAsia="仿宋_GB2312"/>
          <w:sz w:val="32"/>
          <w:szCs w:val="32"/>
          <w:lang w:eastAsia="zh-CN"/>
        </w:rPr>
        <w:t>支出</w:t>
      </w:r>
      <w:r>
        <w:rPr>
          <w:rFonts w:hint="eastAsia" w:ascii="仿宋_GB2312" w:eastAsia="仿宋_GB2312"/>
          <w:sz w:val="32"/>
          <w:szCs w:val="32"/>
        </w:rPr>
        <w:t>决算数为</w:t>
      </w:r>
      <w:r>
        <w:rPr>
          <w:rFonts w:hint="eastAsia" w:ascii="仿宋_GB2312" w:eastAsia="仿宋_GB2312"/>
          <w:sz w:val="32"/>
          <w:szCs w:val="32"/>
          <w:lang w:val="en-US" w:eastAsia="zh-CN"/>
        </w:rPr>
        <w:t>12.14</w:t>
      </w:r>
      <w:r>
        <w:rPr>
          <w:rFonts w:hint="eastAsia" w:ascii="仿宋_GB2312" w:eastAsia="仿宋_GB2312"/>
          <w:sz w:val="32"/>
          <w:szCs w:val="32"/>
        </w:rPr>
        <w:t>万元，完成预算100%。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5.</w:t>
      </w:r>
      <w:r>
        <w:rPr>
          <w:rFonts w:hint="eastAsia" w:ascii="仿宋_GB2312" w:eastAsia="仿宋_GB2312"/>
          <w:b/>
          <w:bCs/>
          <w:sz w:val="32"/>
          <w:szCs w:val="32"/>
        </w:rPr>
        <w:t>住房保障支出（</w:t>
      </w:r>
      <w:r>
        <w:rPr>
          <w:rStyle w:val="20"/>
          <w:rFonts w:hint="eastAsia" w:ascii="仿宋" w:hAnsi="仿宋" w:eastAsia="仿宋"/>
          <w:bCs/>
          <w:color w:val="000000"/>
          <w:sz w:val="32"/>
          <w:szCs w:val="32"/>
          <w:lang w:val="en-US" w:eastAsia="zh-CN"/>
        </w:rPr>
        <w:t>类</w:t>
      </w:r>
      <w:r>
        <w:rPr>
          <w:rFonts w:hint="eastAsia" w:ascii="仿宋_GB2312" w:eastAsia="仿宋_GB2312"/>
          <w:b/>
          <w:bCs/>
          <w:sz w:val="32"/>
          <w:szCs w:val="32"/>
        </w:rPr>
        <w:t>）住房改革支出（</w:t>
      </w:r>
      <w:r>
        <w:rPr>
          <w:rFonts w:hint="eastAsia" w:ascii="仿宋_GB2312" w:eastAsia="仿宋_GB2312"/>
          <w:b/>
          <w:bCs/>
          <w:sz w:val="32"/>
          <w:szCs w:val="32"/>
          <w:lang w:val="en-US" w:eastAsia="zh-CN"/>
        </w:rPr>
        <w:t>款</w:t>
      </w:r>
      <w:r>
        <w:rPr>
          <w:rFonts w:hint="eastAsia" w:ascii="仿宋_GB2312" w:eastAsia="仿宋_GB2312"/>
          <w:b/>
          <w:bCs/>
          <w:sz w:val="32"/>
          <w:szCs w:val="32"/>
        </w:rPr>
        <w:t>）住房公积金（</w:t>
      </w:r>
      <w:r>
        <w:rPr>
          <w:rFonts w:hint="eastAsia" w:ascii="仿宋_GB2312" w:eastAsia="仿宋_GB2312"/>
          <w:b/>
          <w:bCs/>
          <w:sz w:val="32"/>
          <w:szCs w:val="32"/>
          <w:lang w:val="en-US" w:eastAsia="zh-CN"/>
        </w:rPr>
        <w:t>项</w:t>
      </w:r>
      <w:r>
        <w:rPr>
          <w:rFonts w:hint="eastAsia" w:ascii="仿宋_GB2312" w:eastAsia="仿宋_GB2312"/>
          <w:b/>
          <w:bCs/>
          <w:sz w:val="32"/>
          <w:szCs w:val="32"/>
        </w:rPr>
        <w:t>）</w:t>
      </w:r>
      <w:r>
        <w:rPr>
          <w:rFonts w:hint="eastAsia" w:ascii="仿宋_GB2312" w:eastAsia="仿宋_GB2312"/>
          <w:sz w:val="32"/>
          <w:szCs w:val="32"/>
        </w:rPr>
        <w:t>：</w:t>
      </w:r>
      <w:r>
        <w:rPr>
          <w:rFonts w:hint="eastAsia" w:ascii="仿宋_GB2312" w:eastAsia="仿宋_GB2312"/>
          <w:sz w:val="32"/>
          <w:szCs w:val="32"/>
          <w:lang w:eastAsia="zh-CN"/>
        </w:rPr>
        <w:t>支出</w:t>
      </w:r>
      <w:r>
        <w:rPr>
          <w:rFonts w:hint="eastAsia" w:ascii="仿宋_GB2312" w:eastAsia="仿宋_GB2312"/>
          <w:sz w:val="32"/>
          <w:szCs w:val="32"/>
        </w:rPr>
        <w:t>决算数为</w:t>
      </w:r>
      <w:r>
        <w:rPr>
          <w:rFonts w:hint="eastAsia" w:ascii="仿宋_GB2312" w:eastAsia="仿宋_GB2312"/>
          <w:sz w:val="32"/>
          <w:szCs w:val="32"/>
          <w:lang w:val="en-US" w:eastAsia="zh-CN"/>
        </w:rPr>
        <w:t>17.31</w:t>
      </w:r>
      <w:r>
        <w:rPr>
          <w:rFonts w:hint="eastAsia" w:ascii="仿宋_GB2312" w:eastAsia="仿宋_GB2312"/>
          <w:sz w:val="32"/>
          <w:szCs w:val="32"/>
        </w:rPr>
        <w:t>万元，完成预算100%。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6</w:t>
      </w:r>
      <w:r>
        <w:rPr>
          <w:rFonts w:hint="eastAsia" w:ascii="仿宋_GB2312" w:eastAsia="仿宋_GB2312"/>
          <w:sz w:val="32"/>
          <w:szCs w:val="32"/>
        </w:rPr>
        <w:t>.</w:t>
      </w:r>
      <w:r>
        <w:rPr>
          <w:rFonts w:hint="eastAsia" w:ascii="仿宋_GB2312" w:eastAsia="仿宋_GB2312"/>
          <w:b/>
          <w:bCs/>
          <w:sz w:val="32"/>
          <w:szCs w:val="32"/>
          <w:lang w:eastAsia="zh-CN"/>
        </w:rPr>
        <w:t>农林水支出</w:t>
      </w:r>
      <w:r>
        <w:rPr>
          <w:rFonts w:hint="eastAsia" w:ascii="仿宋_GB2312" w:eastAsia="仿宋_GB2312"/>
          <w:b/>
          <w:bCs/>
          <w:sz w:val="32"/>
          <w:szCs w:val="32"/>
        </w:rPr>
        <w:t>（</w:t>
      </w:r>
      <w:r>
        <w:rPr>
          <w:rStyle w:val="20"/>
          <w:rFonts w:hint="eastAsia" w:ascii="仿宋" w:hAnsi="仿宋" w:eastAsia="仿宋"/>
          <w:bCs/>
          <w:color w:val="000000"/>
          <w:sz w:val="32"/>
          <w:szCs w:val="32"/>
          <w:lang w:val="en-US" w:eastAsia="zh-CN"/>
        </w:rPr>
        <w:t>类</w:t>
      </w:r>
      <w:r>
        <w:rPr>
          <w:rFonts w:hint="eastAsia" w:ascii="仿宋_GB2312" w:eastAsia="仿宋_GB2312"/>
          <w:b/>
          <w:bCs/>
          <w:sz w:val="32"/>
          <w:szCs w:val="32"/>
        </w:rPr>
        <w:t>）</w:t>
      </w:r>
      <w:r>
        <w:rPr>
          <w:rFonts w:hint="eastAsia" w:ascii="仿宋_GB2312" w:eastAsia="仿宋_GB2312"/>
          <w:b/>
          <w:bCs/>
          <w:sz w:val="32"/>
          <w:szCs w:val="32"/>
          <w:lang w:eastAsia="zh-CN"/>
        </w:rPr>
        <w:t>扶贫</w:t>
      </w:r>
      <w:r>
        <w:rPr>
          <w:rFonts w:hint="eastAsia" w:ascii="仿宋_GB2312" w:eastAsia="仿宋_GB2312"/>
          <w:b/>
          <w:bCs/>
          <w:sz w:val="32"/>
          <w:szCs w:val="32"/>
        </w:rPr>
        <w:t>（</w:t>
      </w:r>
      <w:r>
        <w:rPr>
          <w:rFonts w:hint="eastAsia" w:ascii="仿宋_GB2312" w:eastAsia="仿宋_GB2312"/>
          <w:b/>
          <w:bCs/>
          <w:sz w:val="32"/>
          <w:szCs w:val="32"/>
          <w:lang w:val="en-US" w:eastAsia="zh-CN"/>
        </w:rPr>
        <w:t>款</w:t>
      </w:r>
      <w:r>
        <w:rPr>
          <w:rFonts w:hint="eastAsia" w:ascii="仿宋_GB2312" w:eastAsia="仿宋_GB2312"/>
          <w:b/>
          <w:bCs/>
          <w:sz w:val="32"/>
          <w:szCs w:val="32"/>
        </w:rPr>
        <w:t>）</w:t>
      </w:r>
      <w:r>
        <w:rPr>
          <w:rFonts w:hint="eastAsia" w:ascii="仿宋_GB2312" w:eastAsia="仿宋_GB2312"/>
          <w:b/>
          <w:bCs/>
          <w:sz w:val="32"/>
          <w:szCs w:val="32"/>
          <w:lang w:eastAsia="zh-CN"/>
        </w:rPr>
        <w:t>社会发展</w:t>
      </w:r>
      <w:r>
        <w:rPr>
          <w:rFonts w:hint="eastAsia" w:ascii="仿宋_GB2312" w:eastAsia="仿宋_GB2312"/>
          <w:b/>
          <w:bCs/>
          <w:sz w:val="32"/>
          <w:szCs w:val="32"/>
        </w:rPr>
        <w:t>（</w:t>
      </w:r>
      <w:r>
        <w:rPr>
          <w:rFonts w:hint="eastAsia" w:ascii="仿宋_GB2312" w:eastAsia="仿宋_GB2312"/>
          <w:b/>
          <w:bCs/>
          <w:sz w:val="32"/>
          <w:szCs w:val="32"/>
          <w:lang w:val="en-US" w:eastAsia="zh-CN"/>
        </w:rPr>
        <w:t>项</w:t>
      </w:r>
      <w:r>
        <w:rPr>
          <w:rFonts w:hint="eastAsia" w:ascii="仿宋_GB2312" w:eastAsia="仿宋_GB2312"/>
          <w:b/>
          <w:bCs/>
          <w:sz w:val="32"/>
          <w:szCs w:val="32"/>
        </w:rPr>
        <w:t>）</w:t>
      </w:r>
      <w:r>
        <w:rPr>
          <w:rFonts w:hint="eastAsia" w:ascii="仿宋_GB2312" w:eastAsia="仿宋_GB2312"/>
          <w:sz w:val="32"/>
          <w:szCs w:val="32"/>
        </w:rPr>
        <w:t>：</w:t>
      </w:r>
      <w:r>
        <w:rPr>
          <w:rFonts w:hint="eastAsia" w:ascii="仿宋_GB2312" w:eastAsia="仿宋_GB2312"/>
          <w:sz w:val="32"/>
          <w:szCs w:val="32"/>
          <w:lang w:eastAsia="zh-CN"/>
        </w:rPr>
        <w:t>支出</w:t>
      </w:r>
      <w:r>
        <w:rPr>
          <w:rFonts w:hint="eastAsia" w:ascii="仿宋_GB2312" w:eastAsia="仿宋_GB2312"/>
          <w:sz w:val="32"/>
          <w:szCs w:val="32"/>
        </w:rPr>
        <w:t>决算数为</w:t>
      </w:r>
      <w:r>
        <w:rPr>
          <w:rFonts w:hint="eastAsia" w:ascii="仿宋_GB2312" w:eastAsia="仿宋_GB2312"/>
          <w:sz w:val="32"/>
          <w:szCs w:val="32"/>
          <w:lang w:val="en-US" w:eastAsia="zh-CN"/>
        </w:rPr>
        <w:t>0.48</w:t>
      </w:r>
      <w:r>
        <w:rPr>
          <w:rFonts w:hint="eastAsia" w:ascii="仿宋_GB2312" w:eastAsia="仿宋_GB2312"/>
          <w:sz w:val="32"/>
          <w:szCs w:val="32"/>
        </w:rPr>
        <w:t>万元，完成预算100%。</w:t>
      </w:r>
    </w:p>
    <w:p>
      <w:pPr>
        <w:spacing w:line="600" w:lineRule="exact"/>
        <w:ind w:firstLine="640"/>
        <w:rPr>
          <w:rFonts w:ascii="仿宋" w:hAnsi="仿宋" w:eastAsia="仿宋"/>
          <w:b/>
          <w:color w:val="000000"/>
          <w:sz w:val="32"/>
          <w:szCs w:val="32"/>
        </w:rPr>
      </w:pPr>
    </w:p>
    <w:p>
      <w:pPr>
        <w:tabs>
          <w:tab w:val="right" w:pos="8306"/>
        </w:tabs>
        <w:spacing w:line="600" w:lineRule="exact"/>
        <w:ind w:firstLine="640"/>
        <w:outlineLvl w:val="1"/>
        <w:rPr>
          <w:rStyle w:val="23"/>
        </w:rPr>
      </w:pPr>
      <w:bookmarkStart w:id="103" w:name="_Toc15396608"/>
      <w:bookmarkStart w:id="104" w:name="_Toc79163618"/>
      <w:bookmarkStart w:id="105" w:name="_Toc15377214"/>
      <w:bookmarkStart w:id="106" w:name="_Toc79163868"/>
      <w:bookmarkStart w:id="107" w:name="_Toc9336"/>
      <w:bookmarkStart w:id="108" w:name="_Toc19503"/>
      <w:bookmarkStart w:id="109" w:name="_Toc3782"/>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3"/>
          <w:rFonts w:hint="eastAsia" w:ascii="黑体" w:hAnsi="黑体" w:eastAsia="黑体"/>
          <w:b w:val="0"/>
        </w:rPr>
        <w:t>般公共预算财政拨款基本支出决算情况说明</w:t>
      </w:r>
      <w:bookmarkEnd w:id="103"/>
      <w:bookmarkEnd w:id="104"/>
      <w:bookmarkEnd w:id="105"/>
      <w:bookmarkEnd w:id="106"/>
      <w:bookmarkEnd w:id="107"/>
      <w:bookmarkEnd w:id="108"/>
      <w:bookmarkEnd w:id="109"/>
      <w:r>
        <w:rPr>
          <w:rStyle w:val="23"/>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215.91</w:t>
      </w:r>
      <w:r>
        <w:rPr>
          <w:rFonts w:hint="eastAsia" w:ascii="仿宋" w:hAnsi="仿宋" w:eastAsia="仿宋"/>
          <w:color w:val="000000"/>
          <w:sz w:val="32"/>
          <w:szCs w:val="32"/>
        </w:rPr>
        <w:t>万元，其中：</w:t>
      </w:r>
    </w:p>
    <w:p>
      <w:pPr>
        <w:spacing w:line="600" w:lineRule="exact"/>
        <w:ind w:firstLine="645"/>
        <w:rPr>
          <w:rFonts w:ascii="仿宋" w:hAnsi="仿宋" w:eastAsia="仿宋"/>
          <w:b/>
          <w:color w:val="FF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206.64</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9.27</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3"/>
          <w:rFonts w:ascii="黑体" w:hAnsi="黑体" w:eastAsia="黑体"/>
          <w:b w:val="0"/>
        </w:rPr>
      </w:pPr>
      <w:bookmarkStart w:id="110" w:name="_Toc15396609"/>
      <w:bookmarkStart w:id="111" w:name="_Toc15377215"/>
      <w:bookmarkStart w:id="112" w:name="_Toc79163619"/>
      <w:bookmarkStart w:id="113" w:name="_Toc79163869"/>
      <w:bookmarkStart w:id="114" w:name="_Toc8428"/>
      <w:bookmarkStart w:id="115" w:name="_Toc30808"/>
      <w:bookmarkStart w:id="116" w:name="_Toc20874"/>
      <w:r>
        <w:rPr>
          <w:rFonts w:hint="eastAsia" w:ascii="黑体" w:eastAsia="黑体"/>
          <w:color w:val="000000"/>
          <w:sz w:val="32"/>
          <w:szCs w:val="32"/>
        </w:rPr>
        <w:t>七、</w:t>
      </w:r>
      <w:r>
        <w:rPr>
          <w:rStyle w:val="23"/>
          <w:rFonts w:hint="eastAsia" w:ascii="黑体" w:hAnsi="黑体" w:eastAsia="黑体"/>
        </w:rPr>
        <w:t>“</w:t>
      </w:r>
      <w:r>
        <w:rPr>
          <w:rStyle w:val="23"/>
          <w:rFonts w:hint="eastAsia" w:ascii="黑体" w:hAnsi="黑体" w:eastAsia="黑体"/>
          <w:b w:val="0"/>
        </w:rPr>
        <w:t>三公”经费财政拨款支出决算情况说明</w:t>
      </w:r>
      <w:bookmarkEnd w:id="110"/>
      <w:bookmarkEnd w:id="111"/>
      <w:bookmarkEnd w:id="112"/>
      <w:bookmarkEnd w:id="113"/>
      <w:bookmarkEnd w:id="114"/>
      <w:bookmarkEnd w:id="115"/>
      <w:bookmarkEnd w:id="116"/>
    </w:p>
    <w:p>
      <w:pPr>
        <w:spacing w:line="600" w:lineRule="exact"/>
        <w:ind w:firstLine="640"/>
        <w:outlineLvl w:val="2"/>
        <w:rPr>
          <w:rFonts w:ascii="仿宋" w:hAnsi="仿宋" w:eastAsia="仿宋"/>
          <w:b/>
          <w:color w:val="000000"/>
          <w:sz w:val="32"/>
          <w:szCs w:val="32"/>
        </w:rPr>
      </w:pPr>
      <w:bookmarkStart w:id="117" w:name="_Toc17510"/>
      <w:bookmarkStart w:id="118" w:name="_Toc20749"/>
      <w:bookmarkStart w:id="119" w:name="_Toc23639"/>
      <w:bookmarkStart w:id="120" w:name="_Toc79163870"/>
      <w:bookmarkStart w:id="121" w:name="_Toc79163620"/>
      <w:bookmarkStart w:id="122" w:name="_Toc15377216"/>
      <w:r>
        <w:rPr>
          <w:rFonts w:hint="eastAsia" w:ascii="仿宋" w:hAnsi="仿宋" w:eastAsia="仿宋"/>
          <w:b/>
          <w:color w:val="000000"/>
          <w:sz w:val="32"/>
          <w:szCs w:val="32"/>
        </w:rPr>
        <w:t>（一）“三公”经费财政拨款支出决算总体情况说明</w:t>
      </w:r>
      <w:bookmarkEnd w:id="117"/>
      <w:bookmarkEnd w:id="118"/>
      <w:bookmarkEnd w:id="119"/>
      <w:bookmarkEnd w:id="120"/>
      <w:bookmarkEnd w:id="121"/>
      <w:bookmarkEnd w:id="122"/>
    </w:p>
    <w:p>
      <w:pPr>
        <w:spacing w:line="600" w:lineRule="exact"/>
        <w:ind w:firstLine="640"/>
        <w:rPr>
          <w:rFonts w:ascii="仿宋" w:hAnsi="仿宋" w:eastAsia="仿宋"/>
          <w:b/>
          <w:color w:val="FF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w:t>
      </w:r>
      <w:r>
        <w:rPr>
          <w:rFonts w:hint="eastAsia" w:ascii="仿宋_GB2312" w:hAnsi="黑体" w:eastAsia="仿宋_GB2312"/>
          <w:sz w:val="32"/>
          <w:szCs w:val="32"/>
        </w:rPr>
        <w:t>度</w:t>
      </w:r>
      <w:r>
        <w:rPr>
          <w:rFonts w:hint="eastAsia" w:ascii="仿宋_GB2312" w:hAnsi="黑体" w:eastAsia="仿宋_GB2312"/>
          <w:sz w:val="32"/>
          <w:szCs w:val="32"/>
          <w:lang w:eastAsia="zh-CN"/>
        </w:rPr>
        <w:t>无</w:t>
      </w:r>
      <w:r>
        <w:rPr>
          <w:rFonts w:hint="eastAsia" w:ascii="仿宋_GB2312" w:hAnsi="黑体" w:eastAsia="仿宋_GB2312"/>
          <w:sz w:val="32"/>
          <w:szCs w:val="32"/>
        </w:rPr>
        <w:t>“三公”经费财政拨款支出</w:t>
      </w:r>
      <w:r>
        <w:rPr>
          <w:rFonts w:hint="eastAsia" w:ascii="仿宋_GB2312" w:hAnsi="黑体" w:eastAsia="仿宋_GB2312"/>
          <w:sz w:val="32"/>
          <w:szCs w:val="32"/>
          <w:lang w:eastAsia="zh-CN"/>
        </w:rPr>
        <w:t>。</w:t>
      </w:r>
    </w:p>
    <w:p>
      <w:pPr>
        <w:spacing w:line="600" w:lineRule="exact"/>
        <w:ind w:firstLine="640"/>
        <w:outlineLvl w:val="2"/>
        <w:rPr>
          <w:rFonts w:ascii="仿宋" w:hAnsi="仿宋" w:eastAsia="仿宋"/>
          <w:b/>
          <w:color w:val="000000"/>
          <w:sz w:val="32"/>
          <w:szCs w:val="32"/>
        </w:rPr>
      </w:pPr>
      <w:bookmarkStart w:id="123" w:name="_Toc15377217"/>
      <w:bookmarkStart w:id="124" w:name="_Toc79163621"/>
      <w:bookmarkStart w:id="125" w:name="_Toc79163871"/>
      <w:bookmarkStart w:id="126" w:name="_Toc13593"/>
      <w:bookmarkStart w:id="127" w:name="_Toc21136"/>
      <w:bookmarkStart w:id="128" w:name="_Toc30440"/>
      <w:r>
        <w:rPr>
          <w:rFonts w:hint="eastAsia" w:ascii="仿宋" w:hAnsi="仿宋" w:eastAsia="仿宋"/>
          <w:b/>
          <w:color w:val="000000"/>
          <w:sz w:val="32"/>
          <w:szCs w:val="32"/>
        </w:rPr>
        <w:t>（二）“三公”经费财政拨款支出决算具体情况说明</w:t>
      </w:r>
      <w:bookmarkEnd w:id="123"/>
      <w:bookmarkEnd w:id="124"/>
      <w:bookmarkEnd w:id="125"/>
      <w:bookmarkEnd w:id="126"/>
      <w:bookmarkEnd w:id="127"/>
      <w:bookmarkEnd w:id="128"/>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w:t>
      </w:r>
      <w:r>
        <w:rPr>
          <w:rFonts w:hint="eastAsia" w:ascii="仿宋_GB2312" w:hAnsi="仿宋" w:eastAsia="仿宋_GB2312"/>
          <w:color w:val="000000"/>
          <w:sz w:val="32"/>
          <w:szCs w:val="32"/>
        </w:rPr>
        <w:t>三公”经费财政拨款支出决算中，因公出国（境）费支出决算0万元</w:t>
      </w:r>
      <w:r>
        <w:rPr>
          <w:rFonts w:hint="eastAsia" w:ascii="仿宋_GB2312" w:hAnsi="仿宋" w:eastAsia="仿宋_GB2312"/>
          <w:color w:val="000000"/>
          <w:sz w:val="32"/>
          <w:szCs w:val="32"/>
          <w:lang w:val="en-US" w:eastAsia="zh-CN"/>
        </w:rPr>
        <w:t>;</w:t>
      </w:r>
      <w:r>
        <w:rPr>
          <w:rFonts w:hint="eastAsia" w:ascii="仿宋_GB2312" w:hAnsi="仿宋" w:eastAsia="仿宋_GB2312"/>
          <w:color w:val="000000"/>
          <w:sz w:val="32"/>
          <w:szCs w:val="32"/>
        </w:rPr>
        <w:t>公务用车购置及运行维护费支出决算0万元；公务接待费支出决算</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万元，</w:t>
      </w:r>
      <w:r>
        <w:rPr>
          <w:rFonts w:hint="eastAsia" w:ascii="仿宋" w:hAnsi="仿宋" w:eastAsia="仿宋"/>
          <w:color w:val="000000"/>
          <w:sz w:val="32"/>
          <w:szCs w:val="32"/>
        </w:rPr>
        <w:t>具体情况如下：</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Cs/>
          <w:color w:val="000000"/>
          <w:sz w:val="32"/>
          <w:szCs w:val="32"/>
        </w:rPr>
        <w:t>1.</w:t>
      </w:r>
      <w:r>
        <w:rPr>
          <w:rFonts w:hint="eastAsia" w:ascii="仿宋_GB2312" w:hAnsi="仿宋_GB2312" w:eastAsia="仿宋_GB2312" w:cs="仿宋_GB2312"/>
          <w:b/>
          <w:color w:val="000000"/>
          <w:sz w:val="32"/>
          <w:szCs w:val="32"/>
        </w:rPr>
        <w:t>因公出国（境）经费支出</w:t>
      </w:r>
      <w:r>
        <w:rPr>
          <w:rFonts w:hint="eastAsia" w:ascii="仿宋_GB2312" w:hAnsi="仿宋_GB2312" w:eastAsia="仿宋_GB2312" w:cs="仿宋_GB2312"/>
          <w:color w:val="000000"/>
          <w:sz w:val="32"/>
          <w:szCs w:val="32"/>
        </w:rPr>
        <w:t>0万元</w:t>
      </w:r>
      <w:r>
        <w:rPr>
          <w:rStyle w:val="20"/>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color w:val="000000"/>
          <w:sz w:val="32"/>
          <w:szCs w:val="32"/>
        </w:rPr>
        <w:t>因公出国（境）支出决算与201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年一致。</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w:t>
      </w:r>
      <w:r>
        <w:rPr>
          <w:rFonts w:hint="eastAsia" w:ascii="仿宋_GB2312" w:hAnsi="仿宋_GB2312" w:eastAsia="仿宋_GB2312" w:cs="仿宋_GB2312"/>
          <w:b/>
          <w:bCs/>
          <w:color w:val="000000"/>
          <w:sz w:val="32"/>
          <w:szCs w:val="32"/>
        </w:rPr>
        <w:t>公务用车购置及运行维护费支出</w:t>
      </w:r>
      <w:r>
        <w:rPr>
          <w:rFonts w:hint="eastAsia" w:ascii="仿宋_GB2312" w:hAnsi="仿宋_GB2312" w:eastAsia="仿宋_GB2312" w:cs="仿宋_GB2312"/>
          <w:color w:val="000000"/>
          <w:sz w:val="32"/>
          <w:szCs w:val="32"/>
        </w:rPr>
        <w:t>0万元</w:t>
      </w:r>
      <w:r>
        <w:rPr>
          <w:rStyle w:val="20"/>
          <w:rFonts w:hint="eastAsia" w:ascii="仿宋_GB2312" w:hAnsi="仿宋_GB2312" w:eastAsia="仿宋_GB2312" w:cs="仿宋_GB2312"/>
          <w:b w:val="0"/>
          <w:color w:val="000000"/>
          <w:sz w:val="32"/>
          <w:szCs w:val="32"/>
        </w:rPr>
        <w:t>。</w:t>
      </w:r>
      <w:r>
        <w:rPr>
          <w:rFonts w:hint="eastAsia" w:ascii="仿宋_GB2312" w:hAnsi="仿宋_GB2312" w:eastAsia="仿宋_GB2312" w:cs="仿宋_GB2312"/>
          <w:color w:val="000000"/>
          <w:sz w:val="32"/>
          <w:szCs w:val="32"/>
        </w:rPr>
        <w:t>公务用车购置及运行维护费支出决算与201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年一致。</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其中：</w:t>
      </w:r>
      <w:r>
        <w:rPr>
          <w:rFonts w:hint="eastAsia" w:ascii="仿宋_GB2312" w:hAnsi="仿宋_GB2312" w:eastAsia="仿宋_GB2312" w:cs="仿宋_GB2312"/>
          <w:b/>
          <w:bCs/>
          <w:color w:val="000000"/>
          <w:sz w:val="32"/>
          <w:szCs w:val="32"/>
        </w:rPr>
        <w:t>公务用车购置支出</w:t>
      </w:r>
      <w:r>
        <w:rPr>
          <w:rFonts w:hint="eastAsia" w:ascii="仿宋_GB2312" w:hAnsi="仿宋_GB2312" w:eastAsia="仿宋_GB2312" w:cs="仿宋_GB2312"/>
          <w:color w:val="000000"/>
          <w:sz w:val="32"/>
          <w:szCs w:val="32"/>
        </w:rPr>
        <w:t>0万元。</w:t>
      </w:r>
    </w:p>
    <w:p>
      <w:pPr>
        <w:spacing w:line="576" w:lineRule="exact"/>
        <w:ind w:firstLine="643"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公务用车运行维护费支出</w:t>
      </w:r>
      <w:r>
        <w:rPr>
          <w:rFonts w:hint="eastAsia" w:ascii="仿宋_GB2312" w:hAnsi="仿宋_GB2312" w:eastAsia="仿宋_GB2312" w:cs="仿宋_GB2312"/>
          <w:color w:val="000000"/>
          <w:sz w:val="32"/>
          <w:szCs w:val="32"/>
        </w:rPr>
        <w:t>0万元。</w:t>
      </w:r>
    </w:p>
    <w:p>
      <w:pPr>
        <w:spacing w:line="576" w:lineRule="exact"/>
        <w:ind w:firstLine="643" w:firstLineChars="200"/>
        <w:rPr>
          <w:rFonts w:hint="eastAsia" w:ascii="仿宋_GB2312" w:eastAsia="仿宋_GB2312"/>
          <w:sz w:val="32"/>
          <w:szCs w:val="32"/>
          <w:lang w:eastAsia="zh-CN"/>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0"/>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一致</w:t>
      </w:r>
      <w:r>
        <w:rPr>
          <w:rFonts w:hint="eastAsia" w:ascii="仿宋_GB2312" w:eastAsia="仿宋_GB2312"/>
          <w:color w:val="000000"/>
          <w:sz w:val="32"/>
          <w:szCs w:val="32"/>
        </w:rPr>
        <w:t>。主要原因是</w:t>
      </w:r>
      <w:r>
        <w:rPr>
          <w:rFonts w:hint="eastAsia" w:ascii="仿宋_GB2312" w:hAnsi="黑体" w:eastAsia="仿宋_GB2312"/>
          <w:sz w:val="32"/>
          <w:szCs w:val="32"/>
        </w:rPr>
        <w:t>单位在部门经费预算执行过程中严格贯彻落实中央八项规定、省委省政府十项规定、州委州政府八条意见，厉行节约，</w:t>
      </w:r>
      <w:r>
        <w:rPr>
          <w:rFonts w:hint="eastAsia" w:ascii="仿宋_GB2312" w:hAnsi="黑体" w:eastAsia="仿宋_GB2312"/>
          <w:sz w:val="32"/>
          <w:szCs w:val="32"/>
          <w:lang w:eastAsia="zh-CN"/>
        </w:rPr>
        <w:t>本年未发生</w:t>
      </w:r>
      <w:r>
        <w:rPr>
          <w:rFonts w:hint="eastAsia" w:ascii="仿宋_GB2312" w:eastAsia="仿宋_GB2312"/>
          <w:b w:val="0"/>
          <w:bCs/>
          <w:color w:val="000000"/>
          <w:sz w:val="32"/>
          <w:szCs w:val="32"/>
        </w:rPr>
        <w:t>公务接待费支出</w:t>
      </w:r>
      <w:r>
        <w:rPr>
          <w:rFonts w:hint="eastAsia" w:ascii="仿宋_GB2312" w:eastAsia="仿宋_GB2312"/>
          <w:b w:val="0"/>
          <w:bCs/>
          <w:color w:val="000000"/>
          <w:sz w:val="32"/>
          <w:szCs w:val="32"/>
          <w:lang w:eastAsia="zh-CN"/>
        </w:rPr>
        <w:t>。</w:t>
      </w:r>
    </w:p>
    <w:p>
      <w:pPr>
        <w:spacing w:line="600" w:lineRule="exact"/>
        <w:ind w:firstLine="640" w:firstLineChars="200"/>
        <w:rPr>
          <w:rFonts w:hint="default" w:ascii="仿宋_GB2312" w:eastAsia="仿宋_GB2312"/>
          <w:color w:val="000000"/>
          <w:sz w:val="32"/>
          <w:szCs w:val="32"/>
          <w:lang w:val="en-US" w:eastAsia="zh-CN"/>
        </w:rPr>
      </w:pPr>
    </w:p>
    <w:p>
      <w:pPr>
        <w:spacing w:line="600" w:lineRule="exact"/>
        <w:ind w:firstLine="640"/>
        <w:outlineLvl w:val="1"/>
        <w:rPr>
          <w:rStyle w:val="23"/>
          <w:rFonts w:ascii="黑体" w:hAnsi="黑体" w:eastAsia="黑体"/>
        </w:rPr>
      </w:pPr>
      <w:bookmarkStart w:id="129" w:name="_Toc15396610"/>
      <w:bookmarkStart w:id="130" w:name="_Toc15377218"/>
      <w:bookmarkStart w:id="131" w:name="_Toc79163622"/>
      <w:bookmarkStart w:id="132" w:name="_Toc79163872"/>
      <w:bookmarkStart w:id="133" w:name="_Toc29124"/>
      <w:bookmarkStart w:id="134" w:name="_Toc400"/>
      <w:bookmarkStart w:id="135" w:name="_Toc18563"/>
      <w:r>
        <w:rPr>
          <w:rFonts w:hint="eastAsia" w:ascii="黑体" w:eastAsia="黑体"/>
          <w:color w:val="000000"/>
          <w:sz w:val="32"/>
          <w:szCs w:val="32"/>
        </w:rPr>
        <w:t>八、</w:t>
      </w:r>
      <w:r>
        <w:rPr>
          <w:rStyle w:val="23"/>
          <w:rFonts w:hint="eastAsia" w:ascii="黑体" w:hAnsi="黑体" w:eastAsia="黑体"/>
          <w:b w:val="0"/>
        </w:rPr>
        <w:t>政府性基金预算支出决算情况说明</w:t>
      </w:r>
      <w:bookmarkEnd w:id="129"/>
      <w:bookmarkEnd w:id="130"/>
      <w:bookmarkEnd w:id="131"/>
      <w:bookmarkEnd w:id="132"/>
      <w:bookmarkEnd w:id="133"/>
      <w:bookmarkEnd w:id="134"/>
      <w:bookmarkEnd w:id="13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p>
    <w:p>
      <w:pPr>
        <w:numPr>
          <w:ilvl w:val="0"/>
          <w:numId w:val="2"/>
        </w:numPr>
        <w:spacing w:line="600" w:lineRule="exact"/>
        <w:ind w:firstLine="640"/>
        <w:outlineLvl w:val="1"/>
        <w:rPr>
          <w:rStyle w:val="23"/>
          <w:rFonts w:ascii="黑体" w:hAnsi="黑体" w:eastAsia="黑体"/>
          <w:b w:val="0"/>
        </w:rPr>
      </w:pPr>
      <w:bookmarkStart w:id="136" w:name="_Toc15377219"/>
      <w:bookmarkStart w:id="137" w:name="_Toc79163623"/>
      <w:bookmarkStart w:id="138" w:name="_Toc3995"/>
      <w:bookmarkStart w:id="139" w:name="_Toc15396611"/>
      <w:bookmarkStart w:id="140" w:name="_Toc6267"/>
      <w:bookmarkStart w:id="141" w:name="_Toc5802"/>
      <w:bookmarkStart w:id="142" w:name="_Toc79163873"/>
      <w:r>
        <w:rPr>
          <w:rStyle w:val="23"/>
          <w:rFonts w:hint="eastAsia" w:ascii="黑体" w:hAnsi="黑体" w:eastAsia="黑体"/>
          <w:b w:val="0"/>
        </w:rPr>
        <w:t>国有资本经营预算支出决算情况说明</w:t>
      </w:r>
      <w:bookmarkEnd w:id="136"/>
      <w:bookmarkEnd w:id="137"/>
      <w:bookmarkEnd w:id="138"/>
      <w:bookmarkEnd w:id="139"/>
      <w:bookmarkEnd w:id="140"/>
      <w:bookmarkEnd w:id="141"/>
      <w:bookmarkEnd w:id="142"/>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23"/>
          <w:rFonts w:ascii="黑体" w:hAnsi="黑体" w:eastAsia="黑体"/>
        </w:rPr>
      </w:pPr>
      <w:bookmarkStart w:id="143" w:name="_Toc15396612"/>
      <w:bookmarkStart w:id="144" w:name="_Toc15377221"/>
      <w:bookmarkStart w:id="145" w:name="_Toc79163624"/>
      <w:bookmarkStart w:id="146" w:name="_Toc79163874"/>
      <w:bookmarkStart w:id="147" w:name="_Toc124"/>
      <w:bookmarkStart w:id="148" w:name="_Toc31486"/>
      <w:bookmarkStart w:id="149" w:name="_Toc6568"/>
      <w:r>
        <w:rPr>
          <w:rFonts w:hint="eastAsia" w:ascii="黑体" w:hAnsi="黑体" w:eastAsia="黑体"/>
          <w:color w:val="000000"/>
          <w:sz w:val="32"/>
          <w:szCs w:val="32"/>
        </w:rPr>
        <w:t>十</w:t>
      </w:r>
      <w:r>
        <w:rPr>
          <w:rStyle w:val="23"/>
          <w:rFonts w:hint="eastAsia" w:ascii="黑体" w:hAnsi="黑体" w:eastAsia="黑体"/>
        </w:rPr>
        <w:t>、</w:t>
      </w:r>
      <w:r>
        <w:rPr>
          <w:rStyle w:val="23"/>
          <w:rFonts w:hint="eastAsia" w:ascii="黑体" w:hAnsi="黑体" w:eastAsia="黑体"/>
          <w:b w:val="0"/>
        </w:rPr>
        <w:t>其他重要事项的情况说明</w:t>
      </w:r>
      <w:bookmarkEnd w:id="143"/>
      <w:bookmarkEnd w:id="144"/>
      <w:bookmarkEnd w:id="145"/>
      <w:bookmarkEnd w:id="146"/>
      <w:bookmarkEnd w:id="147"/>
      <w:bookmarkEnd w:id="148"/>
      <w:bookmarkEnd w:id="149"/>
    </w:p>
    <w:p>
      <w:pPr>
        <w:spacing w:line="600" w:lineRule="exact"/>
        <w:ind w:firstLine="643" w:firstLineChars="200"/>
        <w:outlineLvl w:val="2"/>
        <w:rPr>
          <w:rFonts w:ascii="仿宋" w:hAnsi="仿宋" w:eastAsia="仿宋"/>
          <w:color w:val="000000"/>
          <w:sz w:val="32"/>
          <w:szCs w:val="32"/>
        </w:rPr>
      </w:pPr>
      <w:bookmarkStart w:id="150" w:name="_Toc15377222"/>
      <w:bookmarkStart w:id="151" w:name="_Toc79163625"/>
      <w:bookmarkStart w:id="152" w:name="_Toc79163875"/>
      <w:bookmarkStart w:id="153" w:name="_Toc15576"/>
      <w:bookmarkStart w:id="154" w:name="_Toc1352"/>
      <w:bookmarkStart w:id="155" w:name="_Toc17556"/>
      <w:r>
        <w:rPr>
          <w:rFonts w:hint="eastAsia" w:ascii="仿宋" w:hAnsi="仿宋" w:eastAsia="仿宋"/>
          <w:b/>
          <w:color w:val="000000"/>
          <w:sz w:val="32"/>
          <w:szCs w:val="32"/>
        </w:rPr>
        <w:t>（一）机关运行经费支出情况</w:t>
      </w:r>
      <w:bookmarkEnd w:id="150"/>
      <w:bookmarkEnd w:id="151"/>
      <w:bookmarkEnd w:id="152"/>
      <w:bookmarkEnd w:id="153"/>
      <w:bookmarkEnd w:id="154"/>
      <w:bookmarkEnd w:id="155"/>
    </w:p>
    <w:p>
      <w:pPr>
        <w:keepNext w:val="0"/>
        <w:keepLines w:val="0"/>
        <w:pageBreakBefore w:val="0"/>
        <w:widowControl w:val="0"/>
        <w:kinsoku/>
        <w:wordWrap/>
        <w:overflowPunct/>
        <w:topLinePunct w:val="0"/>
        <w:bidi w:val="0"/>
        <w:snapToGrid/>
        <w:spacing w:line="576" w:lineRule="exact"/>
        <w:ind w:firstLine="640" w:firstLineChars="200"/>
        <w:textAlignment w:val="auto"/>
        <w:rPr>
          <w:rFonts w:hint="eastAsia" w:ascii="仿宋_GB2312" w:hAnsi="黑体" w:eastAsia="仿宋_GB2312"/>
          <w:sz w:val="32"/>
          <w:szCs w:val="32"/>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hAnsi="黑体" w:eastAsia="仿宋_GB2312"/>
          <w:sz w:val="32"/>
          <w:szCs w:val="32"/>
          <w:lang w:eastAsia="zh-CN"/>
        </w:rPr>
        <w:t>本单位</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hAnsi="黑体" w:eastAsia="仿宋_GB2312"/>
          <w:sz w:val="32"/>
          <w:szCs w:val="32"/>
        </w:rPr>
        <w:t>与20</w:t>
      </w:r>
      <w:r>
        <w:rPr>
          <w:rFonts w:hint="eastAsia" w:ascii="仿宋_GB2312" w:hAnsi="黑体" w:eastAsia="仿宋_GB2312"/>
          <w:sz w:val="32"/>
          <w:szCs w:val="32"/>
          <w:lang w:val="en-US" w:eastAsia="zh-CN"/>
        </w:rPr>
        <w:t>19</w:t>
      </w:r>
      <w:r>
        <w:rPr>
          <w:rFonts w:hint="eastAsia" w:ascii="仿宋_GB2312" w:hAnsi="黑体" w:eastAsia="仿宋_GB2312"/>
          <w:sz w:val="32"/>
          <w:szCs w:val="32"/>
        </w:rPr>
        <w:t>年决算数持平。主要原因是本单位基本性质为财政补助事业单位，不涉及机关运行经费支出。</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56" w:name="_Toc15377223"/>
      <w:bookmarkStart w:id="157" w:name="_Toc79163626"/>
      <w:bookmarkStart w:id="158" w:name="_Toc79163876"/>
      <w:bookmarkStart w:id="159" w:name="_Toc20538"/>
      <w:bookmarkStart w:id="160" w:name="_Toc6660"/>
      <w:bookmarkStart w:id="161" w:name="_Toc29546"/>
      <w:r>
        <w:rPr>
          <w:rFonts w:hint="eastAsia" w:ascii="仿宋" w:hAnsi="仿宋" w:eastAsia="仿宋"/>
          <w:b/>
          <w:color w:val="000000"/>
          <w:sz w:val="32"/>
          <w:szCs w:val="32"/>
        </w:rPr>
        <w:t>（二）政府采购支出情况</w:t>
      </w:r>
      <w:bookmarkEnd w:id="156"/>
      <w:bookmarkEnd w:id="157"/>
      <w:bookmarkEnd w:id="158"/>
      <w:bookmarkEnd w:id="159"/>
      <w:bookmarkEnd w:id="160"/>
      <w:bookmarkEnd w:id="161"/>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年，政府采购支出总额0万元</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62" w:name="_Toc15377224"/>
      <w:bookmarkStart w:id="163" w:name="_Toc79163627"/>
      <w:bookmarkStart w:id="164" w:name="_Toc79163877"/>
      <w:bookmarkStart w:id="165" w:name="_Toc7271"/>
      <w:bookmarkStart w:id="166" w:name="_Toc29878"/>
      <w:bookmarkStart w:id="167" w:name="_Toc26443"/>
      <w:r>
        <w:rPr>
          <w:rFonts w:hint="eastAsia" w:ascii="仿宋" w:hAnsi="仿宋" w:eastAsia="仿宋"/>
          <w:b/>
          <w:color w:val="000000"/>
          <w:sz w:val="32"/>
          <w:szCs w:val="32"/>
        </w:rPr>
        <w:t>（三）国有资产占有使用情况</w:t>
      </w:r>
      <w:bookmarkEnd w:id="162"/>
      <w:bookmarkEnd w:id="163"/>
      <w:bookmarkEnd w:id="164"/>
      <w:bookmarkEnd w:id="165"/>
      <w:bookmarkEnd w:id="166"/>
      <w:bookmarkEnd w:id="167"/>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单位</w:t>
      </w:r>
      <w:r>
        <w:rPr>
          <w:rFonts w:hint="eastAsia" w:ascii="仿宋_GB2312" w:eastAsia="仿宋_GB2312"/>
          <w:color w:val="000000"/>
          <w:sz w:val="32"/>
          <w:szCs w:val="32"/>
        </w:rPr>
        <w:t>共有车辆0辆，</w:t>
      </w:r>
      <w:r>
        <w:rPr>
          <w:rFonts w:hint="eastAsia" w:ascii="仿宋_GB2312" w:eastAsia="仿宋_GB2312"/>
          <w:color w:val="000000" w:themeColor="text1"/>
          <w:sz w:val="32"/>
          <w:szCs w:val="32"/>
          <w14:textFill>
            <w14:solidFill>
              <w14:schemeClr w14:val="tx1"/>
            </w14:solidFill>
          </w14:textFill>
        </w:rPr>
        <w:t>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万元以上通用设备0台（套），单价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万元以上专用设备0台（套）。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68" w:name="_Toc79163628"/>
      <w:bookmarkStart w:id="169" w:name="_Toc79163878"/>
      <w:bookmarkStart w:id="170" w:name="_Toc17877"/>
      <w:bookmarkStart w:id="171" w:name="_Toc16099"/>
      <w:bookmarkStart w:id="172" w:name="_Toc7410"/>
      <w:r>
        <w:rPr>
          <w:rFonts w:hint="eastAsia" w:ascii="仿宋" w:hAnsi="仿宋" w:eastAsia="仿宋"/>
          <w:b/>
          <w:color w:val="000000"/>
          <w:sz w:val="32"/>
          <w:szCs w:val="32"/>
        </w:rPr>
        <w:t>（四）预算绩效管理情况</w:t>
      </w:r>
      <w:bookmarkEnd w:id="168"/>
      <w:bookmarkEnd w:id="169"/>
      <w:bookmarkEnd w:id="170"/>
      <w:bookmarkEnd w:id="171"/>
      <w:bookmarkEnd w:id="172"/>
    </w:p>
    <w:p>
      <w:pPr>
        <w:keepNext w:val="0"/>
        <w:keepLines w:val="0"/>
        <w:pageBreakBefore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在年初预算编制阶段，组织对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eastAsia="zh-CN"/>
        </w:rPr>
        <w:t>第一书记临岗补贴</w:t>
      </w:r>
      <w:r>
        <w:rPr>
          <w:rFonts w:hint="eastAsia" w:ascii="仿宋_GB2312" w:hAnsi="仿宋_GB2312" w:eastAsia="仿宋_GB2312" w:cs="仿宋_GB2312"/>
          <w:sz w:val="32"/>
          <w:szCs w:val="32"/>
        </w:rPr>
        <w:t>）开展了预算事前绩效评估，对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个项目开展了绩效目标完成情况自评。</w:t>
      </w:r>
    </w:p>
    <w:p>
      <w:pPr>
        <w:pStyle w:val="37"/>
        <w:keepNext w:val="0"/>
        <w:keepLines w:val="0"/>
        <w:pageBreakBefore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eastAsia="仿宋_GB2312"/>
          <w:sz w:val="32"/>
          <w:szCs w:val="32"/>
        </w:rPr>
        <w:t>本部门按要求对20</w:t>
      </w:r>
      <w:r>
        <w:rPr>
          <w:rFonts w:hint="eastAsia" w:ascii="仿宋_GB2312" w:eastAsia="仿宋_GB2312"/>
          <w:sz w:val="32"/>
          <w:szCs w:val="32"/>
          <w:lang w:val="en-US" w:eastAsia="zh-CN"/>
        </w:rPr>
        <w:t>20</w:t>
      </w:r>
      <w:r>
        <w:rPr>
          <w:rFonts w:hint="eastAsia" w:ascii="仿宋_GB2312" w:eastAsia="仿宋_GB2312"/>
          <w:sz w:val="32"/>
          <w:szCs w:val="32"/>
        </w:rPr>
        <w:t>年部门整体支出开展绩效自评，从评价情况来看</w:t>
      </w:r>
      <w:r>
        <w:rPr>
          <w:rFonts w:hint="eastAsia" w:ascii="仿宋_GB2312" w:eastAsia="仿宋_GB2312"/>
          <w:color w:val="000000"/>
          <w:sz w:val="32"/>
          <w:szCs w:val="32"/>
          <w:shd w:val="clear" w:color="auto" w:fill="FFFFFF"/>
        </w:rPr>
        <w:t>我局</w:t>
      </w:r>
      <w:r>
        <w:rPr>
          <w:rFonts w:hint="eastAsia" w:ascii="仿宋_GB2312" w:eastAsia="仿宋_GB2312"/>
          <w:color w:val="000000"/>
          <w:sz w:val="32"/>
          <w:szCs w:val="32"/>
          <w:shd w:val="clear" w:color="auto" w:fill="FFFFFF"/>
          <w:lang w:val="en-US" w:eastAsia="zh-CN"/>
        </w:rPr>
        <w:t>2020</w:t>
      </w:r>
      <w:r>
        <w:rPr>
          <w:rFonts w:hint="eastAsia" w:ascii="仿宋_GB2312" w:eastAsia="仿宋_GB2312"/>
          <w:color w:val="000000"/>
          <w:sz w:val="32"/>
          <w:szCs w:val="32"/>
          <w:shd w:val="clear" w:color="auto" w:fill="FFFFFF"/>
        </w:rPr>
        <w:t>年部门整体支出情况良好，从预算到执行和收入、支出管理均严格按照相关要求进行，全年收支平衡，有效保障了单位正常运转，圆满完成了单位目标任务。</w:t>
      </w:r>
      <w:r>
        <w:rPr>
          <w:rFonts w:hint="eastAsia" w:ascii="仿宋_GB2312" w:hAnsi="仿宋_GB2312" w:eastAsia="仿宋_GB2312" w:cs="仿宋_GB2312"/>
          <w:sz w:val="32"/>
          <w:szCs w:val="32"/>
        </w:rPr>
        <w:t>本部门还自行组织了</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个项目支出绩效评价，从评价情况来</w:t>
      </w:r>
      <w:r>
        <w:rPr>
          <w:rFonts w:hint="eastAsia" w:ascii="仿宋_GB2312" w:hAnsi="仿宋_GB2312" w:eastAsia="仿宋_GB2312" w:cs="仿宋_GB2312"/>
          <w:sz w:val="32"/>
          <w:szCs w:val="32"/>
          <w:lang w:eastAsia="zh-CN"/>
        </w:rPr>
        <w:t>看，该专项资金及时足额支付完成。</w:t>
      </w:r>
    </w:p>
    <w:p>
      <w:pPr>
        <w:pStyle w:val="37"/>
        <w:keepNext w:val="0"/>
        <w:keepLines w:val="0"/>
        <w:pageBreakBefore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lang w:eastAsia="zh-CN"/>
        </w:rPr>
      </w:pPr>
    </w:p>
    <w:p>
      <w:pPr>
        <w:pStyle w:val="37"/>
        <w:keepNext w:val="0"/>
        <w:keepLines w:val="0"/>
        <w:pageBreakBefore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lang w:eastAsia="zh-CN"/>
        </w:rPr>
      </w:pPr>
    </w:p>
    <w:p>
      <w:pPr>
        <w:pStyle w:val="37"/>
        <w:keepNext w:val="0"/>
        <w:keepLines w:val="0"/>
        <w:pageBreakBefore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lang w:eastAsia="zh-CN"/>
        </w:rPr>
      </w:pPr>
    </w:p>
    <w:p>
      <w:pPr>
        <w:pStyle w:val="37"/>
        <w:keepNext w:val="0"/>
        <w:keepLines w:val="0"/>
        <w:pageBreakBefore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lang w:val="en-US" w:eastAsia="zh-CN"/>
        </w:rPr>
      </w:pPr>
    </w:p>
    <w:p>
      <w:pPr>
        <w:numPr>
          <w:ilvl w:val="0"/>
          <w:numId w:val="3"/>
        </w:numPr>
        <w:spacing w:line="600" w:lineRule="exact"/>
        <w:ind w:firstLine="660" w:firstLineChars="150"/>
        <w:jc w:val="center"/>
        <w:outlineLvl w:val="0"/>
        <w:rPr>
          <w:rStyle w:val="22"/>
          <w:rFonts w:ascii="黑体" w:hAnsi="黑体" w:eastAsia="黑体"/>
          <w:b w:val="0"/>
        </w:rPr>
      </w:pPr>
      <w:bookmarkStart w:id="173" w:name="_Toc15396613"/>
      <w:bookmarkStart w:id="174" w:name="_Toc15377225"/>
      <w:bookmarkStart w:id="175" w:name="_Toc79163629"/>
      <w:bookmarkStart w:id="176" w:name="_Toc79163879"/>
      <w:bookmarkStart w:id="177" w:name="_Toc31961"/>
      <w:bookmarkStart w:id="178" w:name="_Toc8899"/>
      <w:bookmarkStart w:id="179" w:name="_Toc20685"/>
      <w:r>
        <w:rPr>
          <w:rFonts w:hint="eastAsia" w:ascii="黑体" w:hAnsi="黑体" w:eastAsia="黑体"/>
          <w:color w:val="000000"/>
          <w:sz w:val="44"/>
          <w:szCs w:val="44"/>
        </w:rPr>
        <w:t>名</w:t>
      </w:r>
      <w:r>
        <w:rPr>
          <w:rStyle w:val="22"/>
          <w:rFonts w:hint="eastAsia" w:ascii="黑体" w:hAnsi="黑体" w:eastAsia="黑体"/>
          <w:b w:val="0"/>
        </w:rPr>
        <w:t>词解释</w:t>
      </w:r>
      <w:bookmarkEnd w:id="173"/>
      <w:bookmarkEnd w:id="174"/>
      <w:bookmarkEnd w:id="175"/>
      <w:bookmarkEnd w:id="176"/>
      <w:bookmarkEnd w:id="177"/>
      <w:bookmarkEnd w:id="178"/>
      <w:bookmarkEnd w:id="179"/>
    </w:p>
    <w:p>
      <w:pPr>
        <w:spacing w:line="600" w:lineRule="exact"/>
        <w:jc w:val="left"/>
        <w:rPr>
          <w:rFonts w:ascii="宋体"/>
          <w:b/>
          <w:color w:val="000000"/>
          <w:sz w:val="44"/>
          <w:szCs w:val="44"/>
        </w:rPr>
      </w:pPr>
    </w:p>
    <w:p>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楷体_GB2312" w:eastAsia="仿宋_GB2312" w:cs="楷体_GB2312"/>
          <w:bCs/>
          <w:sz w:val="32"/>
          <w:szCs w:val="32"/>
        </w:rPr>
      </w:pPr>
      <w:r>
        <w:rPr>
          <w:rFonts w:hint="eastAsia" w:ascii="仿宋_GB2312" w:hAnsi="楷体_GB2312" w:eastAsia="仿宋_GB2312" w:cs="楷体_GB2312"/>
          <w:bCs/>
          <w:sz w:val="32"/>
          <w:szCs w:val="32"/>
        </w:rPr>
        <w:t>9.社会保障和就业支出（</w:t>
      </w:r>
      <w:r>
        <w:rPr>
          <w:rFonts w:hint="eastAsia" w:ascii="仿宋_GB2312" w:hAnsi="楷体_GB2312" w:eastAsia="仿宋_GB2312" w:cs="楷体_GB2312"/>
          <w:bCs/>
          <w:sz w:val="32"/>
          <w:szCs w:val="32"/>
          <w:lang w:eastAsia="zh-CN"/>
        </w:rPr>
        <w:t>类</w:t>
      </w:r>
      <w:r>
        <w:rPr>
          <w:rFonts w:hint="eastAsia" w:ascii="仿宋_GB2312" w:hAnsi="楷体_GB2312" w:eastAsia="仿宋_GB2312" w:cs="楷体_GB2312"/>
          <w:bCs/>
          <w:sz w:val="32"/>
          <w:szCs w:val="32"/>
        </w:rPr>
        <w:t>）人力资源和社会保障管理事务（</w:t>
      </w:r>
      <w:r>
        <w:rPr>
          <w:rFonts w:hint="eastAsia" w:ascii="仿宋_GB2312" w:hAnsi="楷体_GB2312" w:eastAsia="仿宋_GB2312" w:cs="楷体_GB2312"/>
          <w:bCs/>
          <w:sz w:val="32"/>
          <w:szCs w:val="32"/>
          <w:lang w:val="en-US" w:eastAsia="zh-CN"/>
        </w:rPr>
        <w:t>款</w:t>
      </w:r>
      <w:r>
        <w:rPr>
          <w:rFonts w:hint="eastAsia" w:ascii="仿宋_GB2312" w:hAnsi="楷体_GB2312" w:eastAsia="仿宋_GB2312" w:cs="楷体_GB2312"/>
          <w:bCs/>
          <w:sz w:val="32"/>
          <w:szCs w:val="32"/>
        </w:rPr>
        <w:t>）社会保险经办机构（</w:t>
      </w:r>
      <w:r>
        <w:rPr>
          <w:rFonts w:hint="eastAsia" w:ascii="仿宋_GB2312" w:eastAsia="仿宋_GB2312"/>
          <w:sz w:val="32"/>
          <w:szCs w:val="32"/>
          <w:lang w:val="en-US" w:eastAsia="zh-CN"/>
        </w:rPr>
        <w:t>项</w:t>
      </w:r>
      <w:r>
        <w:rPr>
          <w:rFonts w:hint="eastAsia" w:ascii="仿宋_GB2312" w:hAnsi="楷体_GB2312" w:eastAsia="仿宋_GB2312" w:cs="楷体_GB2312"/>
          <w:bCs/>
          <w:sz w:val="32"/>
          <w:szCs w:val="32"/>
        </w:rPr>
        <w:t>）：指社会保险经办机构开展业务工作的支出。</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10.</w:t>
      </w:r>
      <w:r>
        <w:rPr>
          <w:rFonts w:hint="eastAsia" w:ascii="仿宋_GB2312" w:hAnsi="楷体_GB2312" w:eastAsia="仿宋_GB2312" w:cs="楷体_GB2312"/>
          <w:bCs/>
          <w:sz w:val="32"/>
          <w:szCs w:val="32"/>
        </w:rPr>
        <w:t>社会保障和就业支出（</w:t>
      </w:r>
      <w:r>
        <w:rPr>
          <w:rFonts w:hint="eastAsia" w:ascii="仿宋_GB2312" w:hAnsi="楷体_GB2312" w:eastAsia="仿宋_GB2312" w:cs="楷体_GB2312"/>
          <w:bCs/>
          <w:sz w:val="32"/>
          <w:szCs w:val="32"/>
          <w:lang w:eastAsia="zh-CN"/>
        </w:rPr>
        <w:t>类</w:t>
      </w:r>
      <w:r>
        <w:rPr>
          <w:rFonts w:hint="eastAsia" w:ascii="仿宋_GB2312" w:hAnsi="楷体_GB2312" w:eastAsia="仿宋_GB2312" w:cs="楷体_GB2312"/>
          <w:bCs/>
          <w:sz w:val="32"/>
          <w:szCs w:val="32"/>
        </w:rPr>
        <w:t>）行政事业单位离退休（</w:t>
      </w:r>
      <w:r>
        <w:rPr>
          <w:rFonts w:hint="eastAsia" w:ascii="仿宋_GB2312" w:hAnsi="楷体_GB2312" w:eastAsia="仿宋_GB2312" w:cs="楷体_GB2312"/>
          <w:bCs/>
          <w:sz w:val="32"/>
          <w:szCs w:val="32"/>
          <w:lang w:val="en-US" w:eastAsia="zh-CN"/>
        </w:rPr>
        <w:t>款</w:t>
      </w:r>
      <w:r>
        <w:rPr>
          <w:rFonts w:hint="eastAsia" w:ascii="仿宋_GB2312" w:hAnsi="楷体_GB2312" w:eastAsia="仿宋_GB2312" w:cs="楷体_GB2312"/>
          <w:bCs/>
          <w:sz w:val="32"/>
          <w:szCs w:val="32"/>
        </w:rPr>
        <w:t>机关事业单位基本养老保险缴费支出（</w:t>
      </w:r>
      <w:r>
        <w:rPr>
          <w:rFonts w:hint="eastAsia" w:ascii="仿宋_GB2312" w:eastAsia="仿宋_GB2312"/>
          <w:sz w:val="32"/>
          <w:szCs w:val="32"/>
          <w:lang w:val="en-US" w:eastAsia="zh-CN"/>
        </w:rPr>
        <w:t>项</w:t>
      </w:r>
      <w:r>
        <w:rPr>
          <w:rFonts w:hint="eastAsia" w:ascii="仿宋_GB2312" w:hAnsi="楷体_GB2312" w:eastAsia="仿宋_GB2312" w:cs="楷体_GB2312"/>
          <w:bCs/>
          <w:sz w:val="32"/>
          <w:szCs w:val="32"/>
        </w:rPr>
        <w:t>）：指机关事业单位实施养老保险制度由单位缴纳的基本养老保险费支出。</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11.</w:t>
      </w:r>
      <w:r>
        <w:rPr>
          <w:rFonts w:hint="eastAsia" w:ascii="仿宋_GB2312" w:hAnsi="楷体_GB2312" w:eastAsia="仿宋_GB2312" w:cs="楷体_GB2312"/>
          <w:bCs/>
          <w:sz w:val="32"/>
          <w:szCs w:val="32"/>
        </w:rPr>
        <w:t>社会保障和就业支出（</w:t>
      </w:r>
      <w:r>
        <w:rPr>
          <w:rFonts w:hint="eastAsia" w:ascii="仿宋_GB2312" w:hAnsi="楷体_GB2312" w:eastAsia="仿宋_GB2312" w:cs="楷体_GB2312"/>
          <w:bCs/>
          <w:sz w:val="32"/>
          <w:szCs w:val="32"/>
          <w:lang w:eastAsia="zh-CN"/>
        </w:rPr>
        <w:t>类</w:t>
      </w:r>
      <w:r>
        <w:rPr>
          <w:rFonts w:hint="eastAsia" w:ascii="仿宋_GB2312" w:hAnsi="楷体_GB2312" w:eastAsia="仿宋_GB2312" w:cs="楷体_GB2312"/>
          <w:bCs/>
          <w:sz w:val="32"/>
          <w:szCs w:val="32"/>
        </w:rPr>
        <w:t>）行政事业单位离退休（</w:t>
      </w:r>
      <w:r>
        <w:rPr>
          <w:rFonts w:hint="eastAsia" w:ascii="仿宋_GB2312" w:hAnsi="楷体_GB2312" w:eastAsia="仿宋_GB2312" w:cs="楷体_GB2312"/>
          <w:bCs/>
          <w:sz w:val="32"/>
          <w:szCs w:val="32"/>
          <w:lang w:val="en-US" w:eastAsia="zh-CN"/>
        </w:rPr>
        <w:t>款</w:t>
      </w:r>
      <w:r>
        <w:rPr>
          <w:rFonts w:hint="eastAsia" w:ascii="仿宋_GB2312" w:hAnsi="楷体_GB2312" w:eastAsia="仿宋_GB2312" w:cs="楷体_GB2312"/>
          <w:bCs/>
          <w:sz w:val="32"/>
          <w:szCs w:val="32"/>
        </w:rPr>
        <w:t>）机关事业单位职业年金缴费支出（</w:t>
      </w:r>
      <w:r>
        <w:rPr>
          <w:rFonts w:hint="eastAsia" w:ascii="仿宋_GB2312" w:eastAsia="仿宋_GB2312"/>
          <w:sz w:val="32"/>
          <w:szCs w:val="32"/>
          <w:lang w:val="en-US" w:eastAsia="zh-CN"/>
        </w:rPr>
        <w:t>项</w:t>
      </w:r>
      <w:r>
        <w:rPr>
          <w:rFonts w:hint="eastAsia" w:ascii="仿宋_GB2312" w:hAnsi="楷体_GB2312" w:eastAsia="仿宋_GB2312" w:cs="楷体_GB2312"/>
          <w:bCs/>
          <w:sz w:val="32"/>
          <w:szCs w:val="32"/>
        </w:rPr>
        <w:t>）指：</w:t>
      </w:r>
      <w:r>
        <w:rPr>
          <w:rFonts w:hint="eastAsia" w:ascii="仿宋_GB2312" w:eastAsia="仿宋_GB2312"/>
          <w:sz w:val="32"/>
          <w:szCs w:val="32"/>
        </w:rPr>
        <w:t>机关事业单位</w:t>
      </w:r>
      <w:r>
        <w:rPr>
          <w:rFonts w:hint="eastAsia" w:ascii="仿宋_GB2312" w:hAnsi="楷体_GB2312" w:eastAsia="仿宋_GB2312" w:cs="楷体_GB2312"/>
          <w:bCs/>
          <w:sz w:val="32"/>
          <w:szCs w:val="32"/>
        </w:rPr>
        <w:t>养老保险制度由单位缴纳的职业年金支出。</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12.医疗卫生与计划生育支出</w:t>
      </w:r>
      <w:r>
        <w:rPr>
          <w:rFonts w:ascii="仿宋_GB2312" w:eastAsia="仿宋_GB2312"/>
          <w:sz w:val="32"/>
          <w:szCs w:val="32"/>
        </w:rPr>
        <w:t>（</w:t>
      </w:r>
      <w:r>
        <w:rPr>
          <w:rFonts w:hint="eastAsia" w:ascii="仿宋_GB2312" w:hAnsi="楷体_GB2312" w:eastAsia="仿宋_GB2312" w:cs="楷体_GB2312"/>
          <w:bCs/>
          <w:sz w:val="32"/>
          <w:szCs w:val="32"/>
          <w:lang w:eastAsia="zh-CN"/>
        </w:rPr>
        <w:t>类</w:t>
      </w:r>
      <w:r>
        <w:rPr>
          <w:rFonts w:ascii="仿宋_GB2312" w:eastAsia="仿宋_GB2312"/>
          <w:sz w:val="32"/>
          <w:szCs w:val="32"/>
        </w:rPr>
        <w:t>）行政事业单位医疗（</w:t>
      </w:r>
      <w:r>
        <w:rPr>
          <w:rFonts w:hint="eastAsia" w:ascii="仿宋_GB2312" w:hAnsi="楷体_GB2312" w:eastAsia="仿宋_GB2312" w:cs="楷体_GB2312"/>
          <w:bCs/>
          <w:sz w:val="32"/>
          <w:szCs w:val="32"/>
          <w:lang w:val="en-US" w:eastAsia="zh-CN"/>
        </w:rPr>
        <w:t>款</w:t>
      </w:r>
      <w:r>
        <w:rPr>
          <w:rFonts w:ascii="仿宋_GB2312" w:eastAsia="仿宋_GB2312"/>
          <w:sz w:val="32"/>
          <w:szCs w:val="32"/>
        </w:rPr>
        <w:t>）</w:t>
      </w:r>
      <w:r>
        <w:rPr>
          <w:rFonts w:hint="eastAsia" w:ascii="仿宋_GB2312" w:eastAsia="仿宋_GB2312"/>
          <w:sz w:val="32"/>
          <w:szCs w:val="32"/>
        </w:rPr>
        <w:t>事业</w:t>
      </w:r>
      <w:r>
        <w:rPr>
          <w:rFonts w:ascii="仿宋_GB2312" w:eastAsia="仿宋_GB2312"/>
          <w:sz w:val="32"/>
          <w:szCs w:val="32"/>
        </w:rPr>
        <w:t>单位医疗（</w:t>
      </w:r>
      <w:r>
        <w:rPr>
          <w:rFonts w:hint="eastAsia" w:ascii="仿宋_GB2312" w:eastAsia="仿宋_GB2312"/>
          <w:sz w:val="32"/>
          <w:szCs w:val="32"/>
          <w:lang w:val="en-US" w:eastAsia="zh-CN"/>
        </w:rPr>
        <w:t>项</w:t>
      </w:r>
      <w:r>
        <w:rPr>
          <w:rFonts w:ascii="仿宋_GB2312" w:eastAsia="仿宋_GB2312"/>
          <w:sz w:val="32"/>
          <w:szCs w:val="32"/>
        </w:rPr>
        <w:t>）</w:t>
      </w:r>
      <w:r>
        <w:rPr>
          <w:rFonts w:hint="eastAsia" w:ascii="仿宋_GB2312" w:eastAsia="仿宋_GB2312"/>
          <w:sz w:val="32"/>
          <w:szCs w:val="32"/>
        </w:rPr>
        <w:t>：指财政部门集中安排的事业单位基本医疗保险缴费。</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13.</w:t>
      </w:r>
      <w:r>
        <w:rPr>
          <w:rFonts w:ascii="仿宋_GB2312" w:eastAsia="仿宋_GB2312"/>
          <w:sz w:val="32"/>
          <w:szCs w:val="32"/>
        </w:rPr>
        <w:t>住房保障（</w:t>
      </w:r>
      <w:r>
        <w:rPr>
          <w:rFonts w:hint="eastAsia" w:ascii="仿宋_GB2312" w:hAnsi="楷体_GB2312" w:eastAsia="仿宋_GB2312" w:cs="楷体_GB2312"/>
          <w:bCs/>
          <w:sz w:val="32"/>
          <w:szCs w:val="32"/>
          <w:lang w:eastAsia="zh-CN"/>
        </w:rPr>
        <w:t>类</w:t>
      </w:r>
      <w:r>
        <w:rPr>
          <w:rFonts w:ascii="仿宋_GB2312" w:eastAsia="仿宋_GB2312"/>
          <w:sz w:val="32"/>
          <w:szCs w:val="32"/>
        </w:rPr>
        <w:t>）住房改革（</w:t>
      </w:r>
      <w:r>
        <w:rPr>
          <w:rFonts w:hint="eastAsia" w:ascii="仿宋_GB2312" w:hAnsi="楷体_GB2312" w:eastAsia="仿宋_GB2312" w:cs="楷体_GB2312"/>
          <w:bCs/>
          <w:sz w:val="32"/>
          <w:szCs w:val="32"/>
          <w:lang w:val="en-US" w:eastAsia="zh-CN"/>
        </w:rPr>
        <w:t>款</w:t>
      </w:r>
      <w:r>
        <w:rPr>
          <w:rFonts w:ascii="仿宋_GB2312" w:eastAsia="仿宋_GB2312"/>
          <w:sz w:val="32"/>
          <w:szCs w:val="32"/>
        </w:rPr>
        <w:t>）住房公积金（</w:t>
      </w:r>
      <w:r>
        <w:rPr>
          <w:rFonts w:hint="eastAsia" w:ascii="仿宋_GB2312" w:eastAsia="仿宋_GB2312"/>
          <w:sz w:val="32"/>
          <w:szCs w:val="32"/>
          <w:lang w:val="en-US" w:eastAsia="zh-CN"/>
        </w:rPr>
        <w:t>项</w:t>
      </w:r>
      <w:r>
        <w:rPr>
          <w:rFonts w:ascii="仿宋_GB2312" w:eastAsia="仿宋_GB2312"/>
          <w:sz w:val="32"/>
          <w:szCs w:val="32"/>
        </w:rPr>
        <w:t>）</w:t>
      </w:r>
      <w:r>
        <w:rPr>
          <w:rFonts w:hint="eastAsia" w:ascii="仿宋_GB2312" w:eastAsia="仿宋_GB2312"/>
          <w:sz w:val="32"/>
          <w:szCs w:val="32"/>
        </w:rPr>
        <w:t>：指行政事业单位按规定的标准和比例</w:t>
      </w:r>
      <w:r>
        <w:rPr>
          <w:rFonts w:ascii="仿宋_GB2312" w:eastAsia="仿宋_GB2312"/>
          <w:sz w:val="32"/>
          <w:szCs w:val="32"/>
        </w:rPr>
        <w:t>为职工缴纳</w:t>
      </w:r>
      <w:r>
        <w:rPr>
          <w:rFonts w:hint="eastAsia" w:ascii="仿宋_GB2312" w:eastAsia="仿宋_GB2312"/>
          <w:sz w:val="32"/>
          <w:szCs w:val="32"/>
        </w:rPr>
        <w:t>的</w:t>
      </w:r>
      <w:r>
        <w:rPr>
          <w:rFonts w:ascii="仿宋_GB2312" w:eastAsia="仿宋_GB2312"/>
          <w:sz w:val="32"/>
          <w:szCs w:val="32"/>
        </w:rPr>
        <w:t>住房公积金。</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14.农林水支出（</w:t>
      </w:r>
      <w:r>
        <w:rPr>
          <w:rFonts w:hint="eastAsia" w:ascii="仿宋_GB2312" w:hAnsi="楷体_GB2312" w:eastAsia="仿宋_GB2312" w:cs="楷体_GB2312"/>
          <w:bCs/>
          <w:sz w:val="32"/>
          <w:szCs w:val="32"/>
          <w:lang w:eastAsia="zh-CN"/>
        </w:rPr>
        <w:t>类</w:t>
      </w:r>
      <w:r>
        <w:rPr>
          <w:rFonts w:hint="eastAsia" w:ascii="仿宋_GB2312" w:eastAsia="仿宋_GB2312"/>
          <w:sz w:val="32"/>
          <w:szCs w:val="32"/>
          <w:lang w:val="en-US" w:eastAsia="zh-CN"/>
        </w:rPr>
        <w:t>）扶贫（</w:t>
      </w:r>
      <w:r>
        <w:rPr>
          <w:rFonts w:hint="eastAsia" w:ascii="仿宋_GB2312" w:hAnsi="楷体_GB2312" w:eastAsia="仿宋_GB2312" w:cs="楷体_GB2312"/>
          <w:bCs/>
          <w:sz w:val="32"/>
          <w:szCs w:val="32"/>
          <w:lang w:val="en-US" w:eastAsia="zh-CN"/>
        </w:rPr>
        <w:t>款</w:t>
      </w:r>
      <w:r>
        <w:rPr>
          <w:rFonts w:hint="eastAsia" w:ascii="仿宋_GB2312" w:eastAsia="仿宋_GB2312"/>
          <w:sz w:val="32"/>
          <w:szCs w:val="32"/>
          <w:lang w:val="en-US" w:eastAsia="zh-CN"/>
        </w:rPr>
        <w:t>）社会发展（项）：指用于农村贫困地区中小学教育、文化、广播、电视、医疗、卫生等方面的项目支出。</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5</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6</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7</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hint="eastAsia" w:ascii="黑体" w:hAnsi="黑体" w:eastAsia="黑体"/>
          <w:color w:val="000000"/>
          <w:sz w:val="44"/>
          <w:szCs w:val="44"/>
        </w:rPr>
      </w:pPr>
      <w:bookmarkStart w:id="180" w:name="_Toc15396614"/>
      <w:bookmarkStart w:id="181" w:name="_Toc79163630"/>
      <w:bookmarkStart w:id="182" w:name="_Toc79163880"/>
      <w:bookmarkStart w:id="183" w:name="_Toc15377226"/>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bookmarkStart w:id="184" w:name="_Toc26191"/>
      <w:bookmarkStart w:id="185" w:name="_Toc31834"/>
      <w:bookmarkStart w:id="186" w:name="_Toc23737"/>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Style w:val="22"/>
          <w:rFonts w:ascii="黑体" w:hAnsi="黑体" w:eastAsia="黑体"/>
          <w:b w:val="0"/>
        </w:rPr>
      </w:pPr>
      <w:r>
        <w:rPr>
          <w:rFonts w:hint="eastAsia" w:ascii="黑体" w:hAnsi="黑体" w:eastAsia="黑体"/>
          <w:color w:val="000000"/>
          <w:sz w:val="44"/>
          <w:szCs w:val="44"/>
        </w:rPr>
        <w:t>第</w:t>
      </w:r>
      <w:r>
        <w:rPr>
          <w:rStyle w:val="22"/>
          <w:rFonts w:hint="eastAsia" w:ascii="黑体" w:hAnsi="黑体" w:eastAsia="黑体"/>
          <w:b w:val="0"/>
        </w:rPr>
        <w:t>四部分</w:t>
      </w:r>
      <w:r>
        <w:rPr>
          <w:rStyle w:val="22"/>
          <w:rFonts w:ascii="黑体" w:hAnsi="黑体" w:eastAsia="黑体"/>
          <w:b w:val="0"/>
        </w:rPr>
        <w:t xml:space="preserve"> </w:t>
      </w:r>
      <w:r>
        <w:rPr>
          <w:rStyle w:val="22"/>
          <w:rFonts w:hint="eastAsia" w:ascii="黑体" w:hAnsi="黑体" w:eastAsia="黑体"/>
          <w:b w:val="0"/>
        </w:rPr>
        <w:t>附件</w:t>
      </w:r>
      <w:bookmarkEnd w:id="180"/>
      <w:bookmarkEnd w:id="181"/>
      <w:bookmarkEnd w:id="182"/>
      <w:bookmarkEnd w:id="184"/>
      <w:bookmarkEnd w:id="185"/>
      <w:bookmarkEnd w:id="186"/>
    </w:p>
    <w:p>
      <w:pPr>
        <w:spacing w:line="600" w:lineRule="exact"/>
        <w:jc w:val="left"/>
        <w:outlineLvl w:val="0"/>
        <w:rPr>
          <w:rFonts w:ascii="方正小标宋简体" w:hAnsi="方正小标宋简体" w:eastAsia="方正小标宋简体" w:cs="方正小标宋简体"/>
          <w:sz w:val="32"/>
          <w:szCs w:val="32"/>
        </w:rPr>
      </w:pPr>
      <w:bookmarkStart w:id="187" w:name="_Toc79163631"/>
      <w:bookmarkStart w:id="188" w:name="_Toc79163881"/>
      <w:bookmarkStart w:id="189" w:name="_Toc17688"/>
      <w:bookmarkStart w:id="190" w:name="_Toc15009"/>
      <w:bookmarkStart w:id="191" w:name="_Toc4268"/>
      <w:r>
        <w:rPr>
          <w:rFonts w:hint="eastAsia" w:ascii="黑体" w:hAnsi="黑体" w:eastAsia="黑体" w:cs="黑体"/>
          <w:sz w:val="32"/>
          <w:szCs w:val="32"/>
        </w:rPr>
        <w:t>附件</w:t>
      </w:r>
      <w:r>
        <w:rPr>
          <w:rFonts w:ascii="黑体" w:hAnsi="黑体" w:eastAsia="黑体" w:cs="黑体"/>
          <w:sz w:val="32"/>
          <w:szCs w:val="32"/>
        </w:rPr>
        <w:t>1</w:t>
      </w:r>
      <w:bookmarkEnd w:id="187"/>
      <w:bookmarkEnd w:id="188"/>
      <w:bookmarkEnd w:id="189"/>
      <w:bookmarkEnd w:id="190"/>
      <w:bookmarkEnd w:id="191"/>
    </w:p>
    <w:p>
      <w:pPr>
        <w:spacing w:line="580" w:lineRule="exact"/>
        <w:jc w:val="center"/>
        <w:rPr>
          <w:rFonts w:ascii="方正小标宋简体" w:hAnsi="方正小标宋简体" w:eastAsia="方正小标宋简体" w:cs="方正小标宋简体"/>
          <w:sz w:val="44"/>
          <w:szCs w:val="44"/>
        </w:rPr>
      </w:pPr>
    </w:p>
    <w:p>
      <w:pPr>
        <w:spacing w:line="576" w:lineRule="exact"/>
        <w:ind w:firstLine="1100" w:firstLineChars="250"/>
        <w:jc w:val="both"/>
        <w:rPr>
          <w:rFonts w:hint="eastAsia" w:ascii="方正小标宋简体" w:eastAsia="方正小标宋简体"/>
          <w:sz w:val="44"/>
          <w:szCs w:val="44"/>
          <w:lang w:val="en-US" w:eastAsia="zh-CN"/>
        </w:rPr>
      </w:pPr>
      <w:r>
        <w:rPr>
          <w:rFonts w:hint="eastAsia" w:ascii="方正小标宋简体" w:eastAsia="方正小标宋简体"/>
          <w:sz w:val="44"/>
          <w:szCs w:val="44"/>
        </w:rPr>
        <w:t>茂县城乡居民养老保险</w:t>
      </w:r>
      <w:r>
        <w:rPr>
          <w:rFonts w:hint="eastAsia" w:ascii="方正小标宋简体" w:eastAsia="方正小标宋简体"/>
          <w:sz w:val="44"/>
          <w:szCs w:val="44"/>
          <w:lang w:eastAsia="zh-CN"/>
        </w:rPr>
        <w:t>事务中心</w:t>
      </w:r>
    </w:p>
    <w:p>
      <w:pPr>
        <w:spacing w:line="576" w:lineRule="exact"/>
        <w:ind w:firstLine="1320" w:firstLineChars="300"/>
        <w:jc w:val="both"/>
        <w:rPr>
          <w:rFonts w:ascii="方正小标宋简体" w:hAnsi="宋体" w:eastAsia="方正小标宋简体"/>
          <w:sz w:val="44"/>
          <w:szCs w:val="44"/>
          <w:shd w:val="clear" w:color="auto" w:fill="FFFFFF"/>
        </w:rPr>
      </w:pPr>
      <w:r>
        <w:rPr>
          <w:rFonts w:hint="eastAsia" w:ascii="方正小标宋简体" w:hAnsi="宋体" w:eastAsia="方正小标宋简体"/>
          <w:sz w:val="44"/>
          <w:szCs w:val="44"/>
          <w:shd w:val="clear" w:color="auto" w:fill="FFFFFF"/>
        </w:rPr>
        <w:t>20</w:t>
      </w:r>
      <w:r>
        <w:rPr>
          <w:rFonts w:hint="eastAsia" w:ascii="方正小标宋简体" w:hAnsi="宋体" w:eastAsia="方正小标宋简体"/>
          <w:sz w:val="44"/>
          <w:szCs w:val="44"/>
          <w:shd w:val="clear" w:color="auto" w:fill="FFFFFF"/>
          <w:lang w:val="en-US" w:eastAsia="zh-CN"/>
        </w:rPr>
        <w:t>20</w:t>
      </w:r>
      <w:r>
        <w:rPr>
          <w:rFonts w:hint="eastAsia" w:ascii="方正小标宋简体" w:hAnsi="宋体" w:eastAsia="方正小标宋简体"/>
          <w:sz w:val="44"/>
          <w:szCs w:val="44"/>
          <w:shd w:val="clear" w:color="auto" w:fill="FFFFFF"/>
        </w:rPr>
        <w:t>年部门整体支出绩效报告</w:t>
      </w:r>
    </w:p>
    <w:p>
      <w:pPr>
        <w:pStyle w:val="38"/>
        <w:spacing w:line="576" w:lineRule="exact"/>
        <w:ind w:firstLine="640" w:firstLineChars="200"/>
        <w:rPr>
          <w:rFonts w:ascii="黑体" w:hAnsi="黑体" w:eastAsia="黑体"/>
          <w:sz w:val="32"/>
          <w:szCs w:val="32"/>
        </w:rPr>
      </w:pPr>
      <w:r>
        <w:rPr>
          <w:rFonts w:hint="eastAsia" w:ascii="黑体" w:hAnsi="黑体" w:eastAsia="黑体"/>
          <w:sz w:val="32"/>
          <w:szCs w:val="32"/>
        </w:rPr>
        <w:t>一、单位概况</w:t>
      </w:r>
    </w:p>
    <w:p>
      <w:pPr>
        <w:pStyle w:val="38"/>
        <w:spacing w:line="576" w:lineRule="exact"/>
        <w:ind w:firstLine="643" w:firstLineChars="200"/>
        <w:rPr>
          <w:rFonts w:ascii="楷体_GB2312" w:hAnsi="黑体" w:eastAsia="楷体_GB2312"/>
          <w:b/>
          <w:sz w:val="32"/>
          <w:szCs w:val="32"/>
        </w:rPr>
      </w:pPr>
      <w:r>
        <w:rPr>
          <w:rFonts w:hint="eastAsia" w:ascii="楷体_GB2312" w:hAnsi="黑体" w:eastAsia="楷体_GB2312"/>
          <w:b/>
          <w:sz w:val="32"/>
          <w:szCs w:val="32"/>
        </w:rPr>
        <w:t>（一）机构组成</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eastAsia="仿宋_GB2312"/>
          <w:color w:val="000000"/>
          <w:sz w:val="32"/>
          <w:szCs w:val="32"/>
          <w:lang w:eastAsia="zh-CN"/>
        </w:rPr>
      </w:pPr>
      <w:r>
        <w:rPr>
          <w:rFonts w:hint="eastAsia" w:ascii="仿宋_GB2312" w:eastAsia="仿宋_GB2312"/>
          <w:color w:val="000000"/>
          <w:sz w:val="32"/>
          <w:szCs w:val="32"/>
        </w:rPr>
        <w:t>茂县于2010年7月1日被国务院确定为第二批农村养老保险试点县，为确保我县新农保试点工作顺利实施，经县编委研究，根据茂编发</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2010</w:t>
      </w:r>
      <w:r>
        <w:rPr>
          <w:rFonts w:hint="eastAsia" w:ascii="仿宋_GB2312" w:hAnsi="仿宋_GB2312" w:eastAsia="仿宋_GB2312" w:cs="仿宋_GB2312"/>
          <w:color w:val="000000"/>
          <w:sz w:val="32"/>
          <w:szCs w:val="32"/>
          <w:lang w:eastAsia="zh-CN"/>
        </w:rPr>
        <w:t>〕</w:t>
      </w:r>
      <w:r>
        <w:rPr>
          <w:rFonts w:hint="eastAsia" w:ascii="仿宋_GB2312" w:eastAsia="仿宋_GB2312"/>
          <w:color w:val="000000"/>
          <w:sz w:val="32"/>
          <w:szCs w:val="32"/>
        </w:rPr>
        <w:t>7号文件精神正式设立“茂县新型农村社会养老保险事业管理局”，为县人力资源和社会保障局直属股级事业单位；根据茂编发</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2010</w:t>
      </w:r>
      <w:r>
        <w:rPr>
          <w:rFonts w:hint="eastAsia" w:ascii="仿宋_GB2312" w:hAnsi="仿宋_GB2312" w:eastAsia="仿宋_GB2312" w:cs="仿宋_GB2312"/>
          <w:color w:val="000000"/>
          <w:sz w:val="32"/>
          <w:szCs w:val="32"/>
          <w:lang w:eastAsia="zh-CN"/>
        </w:rPr>
        <w:t>〕</w:t>
      </w:r>
      <w:r>
        <w:rPr>
          <w:rFonts w:hint="eastAsia" w:ascii="仿宋_GB2312" w:eastAsia="仿宋_GB2312"/>
          <w:color w:val="000000"/>
          <w:sz w:val="32"/>
          <w:szCs w:val="32"/>
        </w:rPr>
        <w:t>9号文件同意我局升格为副科级事业机构；2011年7月1日启动城镇居民养老保险后，经县委机构编制委员会研究同意并下文（茂编发[2012]35号）决定本单位更名为“茂县城乡居民养老保险事业管理局”。</w:t>
      </w:r>
      <w:r>
        <w:rPr>
          <w:rFonts w:hint="eastAsia" w:ascii="仿宋_GB2312" w:eastAsia="仿宋_GB2312"/>
          <w:color w:val="000000"/>
          <w:sz w:val="32"/>
          <w:szCs w:val="32"/>
          <w:lang w:val="en-US" w:eastAsia="zh-CN"/>
        </w:rPr>
        <w:t>2020年4月根据</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2020</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41号文件精神，单位名称变更为“茂县城乡居民养老保险事务中心”。</w:t>
      </w:r>
      <w:r>
        <w:rPr>
          <w:rFonts w:hint="eastAsia" w:ascii="仿宋_GB2312" w:eastAsia="仿宋_GB2312"/>
          <w:color w:val="000000"/>
          <w:sz w:val="32"/>
          <w:szCs w:val="32"/>
        </w:rPr>
        <w:t>单位内设办公室、财务股、统筹计划股、待遇审核股4个股室，单位事业编制16名</w:t>
      </w:r>
      <w:r>
        <w:rPr>
          <w:rFonts w:hint="eastAsia" w:ascii="仿宋_GB2312" w:eastAsia="仿宋_GB2312"/>
          <w:color w:val="000000"/>
          <w:sz w:val="32"/>
          <w:szCs w:val="32"/>
          <w:lang w:eastAsia="zh-CN"/>
        </w:rPr>
        <w:t>。</w:t>
      </w:r>
    </w:p>
    <w:p>
      <w:pPr>
        <w:spacing w:line="576" w:lineRule="exact"/>
        <w:ind w:firstLine="643" w:firstLineChars="200"/>
        <w:rPr>
          <w:rFonts w:ascii="楷体_GB2312" w:eastAsia="楷体_GB2312"/>
          <w:b/>
          <w:color w:val="000000"/>
          <w:sz w:val="32"/>
          <w:szCs w:val="32"/>
        </w:rPr>
      </w:pPr>
      <w:r>
        <w:rPr>
          <w:rFonts w:hint="eastAsia" w:ascii="楷体_GB2312" w:eastAsia="楷体_GB2312"/>
          <w:b/>
          <w:color w:val="000000"/>
          <w:sz w:val="32"/>
          <w:szCs w:val="32"/>
        </w:rPr>
        <w:t>（二）机构职能</w:t>
      </w:r>
    </w:p>
    <w:p>
      <w:pPr>
        <w:keepNext w:val="0"/>
        <w:keepLines w:val="0"/>
        <w:pageBreakBefore w:val="0"/>
        <w:widowControl w:val="0"/>
        <w:kinsoku/>
        <w:wordWrap/>
        <w:overflowPunct/>
        <w:topLinePunct w:val="0"/>
        <w:autoSpaceDE/>
        <w:autoSpaceDN/>
        <w:bidi w:val="0"/>
        <w:adjustRightInd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我</w:t>
      </w:r>
      <w:r>
        <w:rPr>
          <w:rFonts w:hint="eastAsia" w:ascii="仿宋_GB2312" w:eastAsia="仿宋_GB2312"/>
          <w:sz w:val="32"/>
          <w:szCs w:val="32"/>
          <w:lang w:eastAsia="zh-CN"/>
        </w:rPr>
        <w:t>中心</w:t>
      </w:r>
      <w:r>
        <w:rPr>
          <w:rFonts w:hint="eastAsia" w:ascii="仿宋_GB2312" w:eastAsia="仿宋_GB2312"/>
          <w:sz w:val="32"/>
          <w:szCs w:val="32"/>
        </w:rPr>
        <w:t>负责宣传和贯彻执行城乡居民社会保险的有关政策；负责城乡居民养老保险基金</w:t>
      </w:r>
      <w:r>
        <w:rPr>
          <w:rFonts w:hint="eastAsia" w:ascii="仿宋_GB2312" w:eastAsia="仿宋_GB2312"/>
          <w:sz w:val="32"/>
          <w:szCs w:val="32"/>
          <w:lang w:eastAsia="zh-CN"/>
        </w:rPr>
        <w:t>的</w:t>
      </w:r>
      <w:r>
        <w:rPr>
          <w:rFonts w:hint="eastAsia" w:ascii="仿宋_GB2312" w:eastAsia="仿宋_GB2312"/>
          <w:sz w:val="32"/>
          <w:szCs w:val="32"/>
        </w:rPr>
        <w:t>运营管理，建立业务台账，统计</w:t>
      </w:r>
      <w:r>
        <w:rPr>
          <w:rFonts w:hint="eastAsia" w:ascii="仿宋_GB2312" w:eastAsia="仿宋_GB2312"/>
          <w:sz w:val="32"/>
          <w:szCs w:val="32"/>
          <w:lang w:eastAsia="zh-CN"/>
        </w:rPr>
        <w:t>相关</w:t>
      </w:r>
      <w:r>
        <w:rPr>
          <w:rFonts w:hint="eastAsia" w:ascii="仿宋_GB2312" w:eastAsia="仿宋_GB2312"/>
          <w:sz w:val="32"/>
          <w:szCs w:val="32"/>
        </w:rPr>
        <w:t>数据；负责为参保人员建立个人账户，办理保险关系转移、退保的等手续；负责养老金领取人员的资格审查，核算养老金给付标准和拨付养老金；负责跟踪监督养老金发放情况，掌握领取养老金人员动态，提出养老金的处理意见；负责指导各乡镇开展城乡居民养老保险业务。</w:t>
      </w:r>
    </w:p>
    <w:p>
      <w:pPr>
        <w:spacing w:line="576" w:lineRule="exact"/>
        <w:ind w:firstLine="643" w:firstLineChars="200"/>
        <w:rPr>
          <w:rFonts w:ascii="楷体_GB2312" w:eastAsia="楷体_GB2312"/>
          <w:b/>
          <w:color w:val="000000"/>
          <w:sz w:val="32"/>
          <w:szCs w:val="32"/>
        </w:rPr>
      </w:pPr>
      <w:r>
        <w:rPr>
          <w:rFonts w:hint="eastAsia" w:ascii="楷体_GB2312" w:eastAsia="楷体_GB2312"/>
          <w:b/>
          <w:color w:val="000000"/>
          <w:sz w:val="32"/>
          <w:szCs w:val="32"/>
        </w:rPr>
        <w:t>（三）人员概况</w:t>
      </w:r>
    </w:p>
    <w:p>
      <w:pPr>
        <w:spacing w:line="576"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我</w:t>
      </w:r>
      <w:r>
        <w:rPr>
          <w:rFonts w:hint="eastAsia" w:ascii="仿宋_GB2312" w:eastAsia="仿宋_GB2312"/>
          <w:color w:val="000000"/>
          <w:sz w:val="32"/>
          <w:szCs w:val="32"/>
          <w:lang w:eastAsia="zh-CN"/>
        </w:rPr>
        <w:t>中心</w:t>
      </w:r>
      <w:r>
        <w:rPr>
          <w:rFonts w:hint="eastAsia" w:ascii="仿宋_GB2312" w:eastAsia="仿宋_GB2312"/>
          <w:color w:val="000000"/>
          <w:sz w:val="32"/>
          <w:szCs w:val="32"/>
        </w:rPr>
        <w:t>为一级预算财政全额拨款事业单位，核定事业编制人数为16名。</w:t>
      </w:r>
      <w:r>
        <w:rPr>
          <w:rFonts w:hint="eastAsia" w:ascii="仿宋_GB2312" w:eastAsia="仿宋_GB2312"/>
          <w:color w:val="000000"/>
          <w:sz w:val="32"/>
          <w:szCs w:val="32"/>
          <w:lang w:eastAsia="zh-CN"/>
        </w:rPr>
        <w:t>截至</w:t>
      </w:r>
      <w:r>
        <w:rPr>
          <w:rFonts w:hint="eastAsia" w:ascii="仿宋_GB2312" w:eastAsia="仿宋_GB2312"/>
          <w:color w:val="000000"/>
          <w:sz w:val="32"/>
          <w:szCs w:val="32"/>
          <w:lang w:val="en-US" w:eastAsia="zh-CN"/>
        </w:rPr>
        <w:t>2020年12月30日，单位</w:t>
      </w:r>
      <w:r>
        <w:rPr>
          <w:rFonts w:hint="eastAsia" w:ascii="仿宋_GB2312" w:eastAsia="仿宋_GB2312"/>
          <w:color w:val="000000"/>
          <w:sz w:val="32"/>
          <w:szCs w:val="32"/>
        </w:rPr>
        <w:t>在职总人数1</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名，其中在职事管理业人员</w:t>
      </w: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名，事业专技人员</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名，事业工勤人员1名。</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jc w:val="left"/>
        <w:textAlignment w:val="auto"/>
        <w:rPr>
          <w:rFonts w:ascii="楷体_GB2312" w:hAnsi="宋体" w:eastAsia="楷体_GB2312" w:cs="宋体"/>
          <w:b/>
          <w:color w:val="000000"/>
          <w:kern w:val="0"/>
          <w:sz w:val="32"/>
          <w:szCs w:val="32"/>
          <w:shd w:val="clear" w:color="auto" w:fill="FFFFFF"/>
          <w:lang w:val="zh-CN"/>
        </w:rPr>
      </w:pPr>
      <w:r>
        <w:rPr>
          <w:rFonts w:hint="eastAsia" w:ascii="楷体_GB2312" w:hAnsi="宋体" w:eastAsia="楷体_GB2312" w:cs="宋体"/>
          <w:b/>
          <w:color w:val="000000"/>
          <w:kern w:val="0"/>
          <w:sz w:val="32"/>
          <w:szCs w:val="32"/>
          <w:shd w:val="clear" w:color="auto" w:fill="FFFFFF"/>
          <w:lang w:val="zh-CN"/>
        </w:rPr>
        <w:t>（一）部门财政资金收入情况</w:t>
      </w:r>
    </w:p>
    <w:p>
      <w:pPr>
        <w:keepNext w:val="0"/>
        <w:keepLines w:val="0"/>
        <w:pageBreakBefore w:val="0"/>
        <w:kinsoku/>
        <w:wordWrap/>
        <w:overflowPunct/>
        <w:topLinePunct w:val="0"/>
        <w:autoSpaceDE/>
        <w:autoSpaceDN/>
        <w:bidi w:val="0"/>
        <w:snapToGrid w:val="0"/>
        <w:spacing w:line="576" w:lineRule="exact"/>
        <w:ind w:firstLine="960" w:firstLineChars="300"/>
        <w:textAlignment w:val="auto"/>
        <w:rPr>
          <w:rFonts w:hint="eastAsia" w:ascii="仿宋_GB2312" w:hAnsi="仿宋" w:eastAsia="仿宋_GB2312"/>
          <w:sz w:val="32"/>
          <w:szCs w:val="32"/>
        </w:rPr>
      </w:pPr>
      <w:r>
        <w:rPr>
          <w:rFonts w:hint="eastAsia" w:ascii="仿宋_GB2312" w:hAnsi="仿宋" w:eastAsia="仿宋_GB2312"/>
          <w:sz w:val="32"/>
          <w:szCs w:val="32"/>
        </w:rPr>
        <w:t>2020年财政资金收入为198.99万元，均为一般公共预算财政拨款收入，单位无上级补助收入、事业收入、经营收入等其他性质的经费收入。</w:t>
      </w:r>
    </w:p>
    <w:p>
      <w:pPr>
        <w:keepNext w:val="0"/>
        <w:keepLines w:val="0"/>
        <w:pageBreakBefore w:val="0"/>
        <w:widowControl/>
        <w:kinsoku/>
        <w:wordWrap/>
        <w:overflowPunct/>
        <w:topLinePunct w:val="0"/>
        <w:autoSpaceDE/>
        <w:autoSpaceDN/>
        <w:bidi w:val="0"/>
        <w:adjustRightInd w:val="0"/>
        <w:snapToGrid w:val="0"/>
        <w:spacing w:line="540" w:lineRule="exact"/>
        <w:ind w:firstLine="643" w:firstLineChars="200"/>
        <w:jc w:val="left"/>
        <w:textAlignment w:val="auto"/>
        <w:rPr>
          <w:rFonts w:ascii="楷体_GB2312" w:hAnsi="宋体" w:eastAsia="楷体_GB2312" w:cs="宋体"/>
          <w:b/>
          <w:color w:val="000000"/>
          <w:kern w:val="0"/>
          <w:sz w:val="32"/>
          <w:szCs w:val="32"/>
          <w:shd w:val="clear" w:color="auto" w:fill="FFFFFF"/>
          <w:lang w:val="zh-CN"/>
        </w:rPr>
      </w:pPr>
      <w:r>
        <w:rPr>
          <w:rFonts w:hint="eastAsia" w:ascii="楷体_GB2312" w:hAnsi="宋体" w:eastAsia="楷体_GB2312" w:cs="宋体"/>
          <w:b/>
          <w:color w:val="000000"/>
          <w:kern w:val="0"/>
          <w:sz w:val="32"/>
          <w:szCs w:val="32"/>
          <w:shd w:val="clear" w:color="auto" w:fill="FFFFFF"/>
          <w:lang w:val="zh-CN"/>
        </w:rPr>
        <w:t>（二）部门财政资金支出情况</w:t>
      </w:r>
    </w:p>
    <w:p>
      <w:pPr>
        <w:keepNext w:val="0"/>
        <w:keepLines w:val="0"/>
        <w:pageBreakBefore w:val="0"/>
        <w:kinsoku/>
        <w:wordWrap/>
        <w:overflowPunct/>
        <w:topLinePunct w:val="0"/>
        <w:autoSpaceDE/>
        <w:autoSpaceDN/>
        <w:bidi w:val="0"/>
        <w:snapToGrid w:val="0"/>
        <w:spacing w:line="576" w:lineRule="exact"/>
        <w:ind w:firstLine="960" w:firstLineChars="300"/>
        <w:textAlignment w:val="auto"/>
        <w:rPr>
          <w:rFonts w:hint="eastAsia" w:ascii="仿宋_GB2312" w:hAnsi="仿宋" w:eastAsia="仿宋_GB2312"/>
          <w:sz w:val="32"/>
          <w:szCs w:val="32"/>
          <w:lang w:eastAsia="zh-CN"/>
        </w:rPr>
      </w:pPr>
      <w:r>
        <w:rPr>
          <w:rFonts w:hint="eastAsia" w:ascii="仿宋_GB2312" w:hAnsi="仿宋" w:eastAsia="仿宋_GB2312"/>
          <w:sz w:val="32"/>
          <w:szCs w:val="32"/>
        </w:rPr>
        <w:t>2020年一般公共预算财政拨款支出216.37万元，主要用于以下方面:社会保障和就业（208）支出186.44万元，占86.17%；卫生健康支出(210)12.14万元，占5.61%；住房保障支出(221)17.31万元，占8%；农林水支出（213）0.48万元，占0.22%。</w:t>
      </w:r>
    </w:p>
    <w:p>
      <w:pPr>
        <w:widowControl/>
        <w:adjustRightInd w:val="0"/>
        <w:snapToGrid w:val="0"/>
        <w:spacing w:line="540" w:lineRule="exact"/>
        <w:ind w:firstLine="720"/>
        <w:jc w:val="left"/>
        <w:rPr>
          <w:rFonts w:ascii="黑体" w:hAnsi="黑体" w:eastAsia="黑体" w:cs="宋体"/>
          <w:color w:val="000000"/>
          <w:kern w:val="0"/>
          <w:sz w:val="32"/>
          <w:szCs w:val="32"/>
          <w:shd w:val="clear" w:color="auto" w:fill="FFFFFF"/>
        </w:rPr>
      </w:pPr>
      <w:r>
        <w:rPr>
          <w:rFonts w:hint="eastAsia" w:ascii="黑体" w:hAnsi="黑体" w:eastAsia="黑体" w:cs="宋体"/>
          <w:color w:val="000000"/>
          <w:kern w:val="0"/>
          <w:sz w:val="32"/>
          <w:szCs w:val="32"/>
          <w:shd w:val="clear" w:color="auto" w:fill="FFFFFF"/>
        </w:rPr>
        <w:t>三、部门财政支出管理情况</w:t>
      </w:r>
    </w:p>
    <w:p>
      <w:pPr>
        <w:widowControl/>
        <w:adjustRightInd w:val="0"/>
        <w:snapToGrid w:val="0"/>
        <w:spacing w:line="540" w:lineRule="exact"/>
        <w:ind w:firstLine="720"/>
        <w:jc w:val="left"/>
        <w:rPr>
          <w:rFonts w:ascii="黑体" w:hAnsi="黑体" w:eastAsia="黑体" w:cs="宋体"/>
          <w:color w:val="000000"/>
          <w:kern w:val="0"/>
          <w:sz w:val="32"/>
          <w:szCs w:val="32"/>
          <w:shd w:val="clear" w:color="auto" w:fill="FFFFFF"/>
          <w:lang w:val="zh-CN"/>
        </w:rPr>
      </w:pPr>
      <w:r>
        <w:rPr>
          <w:rFonts w:hint="eastAsia" w:ascii="黑体" w:hAnsi="黑体" w:eastAsia="黑体" w:cs="宋体"/>
          <w:color w:val="000000"/>
          <w:kern w:val="0"/>
          <w:sz w:val="32"/>
          <w:szCs w:val="32"/>
          <w:shd w:val="clear" w:color="auto" w:fill="FFFFFF"/>
          <w:lang w:val="zh-CN"/>
        </w:rPr>
        <w:t>（一）预决算编制情况</w:t>
      </w:r>
    </w:p>
    <w:p>
      <w:pPr>
        <w:pStyle w:val="38"/>
        <w:spacing w:line="576" w:lineRule="exact"/>
        <w:ind w:firstLine="640" w:firstLineChars="200"/>
        <w:rPr>
          <w:rFonts w:ascii="仿宋_GB2312" w:hAnsi="黑体" w:eastAsia="仿宋_GB2312"/>
          <w:color w:val="000000"/>
          <w:sz w:val="32"/>
          <w:szCs w:val="32"/>
        </w:rPr>
      </w:pPr>
      <w:r>
        <w:rPr>
          <w:rFonts w:hint="eastAsia" w:ascii="仿宋_GB2312" w:hAnsi="黑体" w:eastAsia="仿宋_GB2312"/>
          <w:color w:val="000000"/>
          <w:sz w:val="32"/>
          <w:szCs w:val="32"/>
        </w:rPr>
        <w:t>1.预算编制情况</w:t>
      </w:r>
    </w:p>
    <w:p>
      <w:pPr>
        <w:pStyle w:val="38"/>
        <w:spacing w:line="576" w:lineRule="exact"/>
        <w:ind w:firstLine="640" w:firstLineChars="200"/>
        <w:rPr>
          <w:rFonts w:ascii="仿宋_GB2312" w:hAnsi="黑体" w:eastAsia="仿宋_GB2312"/>
          <w:color w:val="000000"/>
          <w:sz w:val="32"/>
          <w:szCs w:val="32"/>
        </w:rPr>
      </w:pPr>
      <w:r>
        <w:rPr>
          <w:rFonts w:hint="eastAsia" w:ascii="仿宋_GB2312" w:hAnsi="黑体" w:eastAsia="仿宋_GB2312"/>
          <w:color w:val="000000"/>
          <w:sz w:val="32"/>
          <w:szCs w:val="32"/>
        </w:rPr>
        <w:t>单位严格按照县财政部门预算编制通知和有关文件要求，秉承强化规划约束、坚持限额控制、实时滚动管理、强化绩效管理的基本编制原则在县财政部门规定的时间内于部门预算管理系统中以上年度</w:t>
      </w:r>
      <w:r>
        <w:rPr>
          <w:rFonts w:hint="eastAsia" w:ascii="仿宋_GB2312" w:hAnsi="黑体" w:eastAsia="仿宋_GB2312"/>
          <w:color w:val="000000"/>
          <w:sz w:val="32"/>
          <w:szCs w:val="32"/>
          <w:lang w:val="en-US" w:eastAsia="zh-CN"/>
        </w:rPr>
        <w:t>10</w:t>
      </w:r>
      <w:r>
        <w:rPr>
          <w:rFonts w:hint="eastAsia" w:ascii="仿宋_GB2312" w:hAnsi="黑体" w:eastAsia="仿宋_GB2312"/>
          <w:color w:val="000000"/>
          <w:sz w:val="32"/>
          <w:szCs w:val="32"/>
        </w:rPr>
        <w:t>月份单位人员情况完成单位基本信息表及基础资料表。同时，根据“定员定额”标准并结合本单位实际项目安排批准情况填制收支总表及支出项目录入表。单位预算编制工作完成后按“二上二下”的编制程序提交县财政支出管理股室进行审核后下达批复。</w:t>
      </w:r>
    </w:p>
    <w:p>
      <w:pPr>
        <w:pStyle w:val="38"/>
        <w:spacing w:line="576" w:lineRule="exact"/>
        <w:ind w:firstLine="640" w:firstLineChars="200"/>
        <w:rPr>
          <w:rFonts w:ascii="仿宋_GB2312" w:hAnsi="黑体" w:eastAsia="仿宋_GB2312"/>
          <w:color w:val="000000"/>
          <w:sz w:val="32"/>
          <w:szCs w:val="32"/>
        </w:rPr>
      </w:pPr>
      <w:r>
        <w:rPr>
          <w:rFonts w:hint="eastAsia" w:ascii="仿宋_GB2312" w:hAnsi="黑体" w:eastAsia="仿宋_GB2312"/>
          <w:color w:val="000000"/>
          <w:sz w:val="32"/>
          <w:szCs w:val="32"/>
        </w:rPr>
        <w:t>2.决算编制情况</w:t>
      </w:r>
    </w:p>
    <w:p>
      <w:pPr>
        <w:pStyle w:val="38"/>
        <w:spacing w:line="576" w:lineRule="exact"/>
        <w:ind w:firstLine="640" w:firstLineChars="200"/>
        <w:rPr>
          <w:rFonts w:hint="eastAsia" w:ascii="仿宋_GB2312" w:hAnsi="宋体" w:eastAsia="仿宋_GB2312"/>
          <w:color w:val="000000"/>
          <w:sz w:val="32"/>
          <w:szCs w:val="32"/>
          <w:shd w:val="clear" w:color="auto" w:fill="FFFFFF"/>
        </w:rPr>
      </w:pPr>
      <w:r>
        <w:rPr>
          <w:rFonts w:hint="eastAsia" w:ascii="仿宋_GB2312" w:hAnsi="宋体" w:eastAsia="仿宋_GB2312"/>
          <w:color w:val="000000"/>
          <w:sz w:val="32"/>
          <w:szCs w:val="32"/>
          <w:shd w:val="clear" w:color="auto" w:fill="FFFFFF"/>
        </w:rPr>
        <w:t>严格按照县级部门决算编制通知和有关文件要求，在部门决算报表软件中按时按质完成报送及决算编制等工作，并提交部门决算编制说明及决算分析报告，县财政局根据单位提交的决算编制数据进行审核。决算数据全面真实地反映了本单位全年财政资金收支及使用情况，不存在应编未编、错误列编、重现调整决算资金总额度的现象。</w:t>
      </w:r>
    </w:p>
    <w:p>
      <w:pPr>
        <w:keepNext w:val="0"/>
        <w:keepLines w:val="0"/>
        <w:pageBreakBefore w:val="0"/>
        <w:widowControl/>
        <w:numPr>
          <w:ilvl w:val="0"/>
          <w:numId w:val="4"/>
        </w:numPr>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黑体" w:eastAsia="仿宋_GB2312" w:cs="宋体"/>
          <w:color w:val="000000"/>
          <w:kern w:val="0"/>
          <w:sz w:val="32"/>
          <w:szCs w:val="32"/>
          <w:shd w:val="clear" w:color="auto" w:fill="FFFFFF"/>
        </w:rPr>
      </w:pPr>
      <w:r>
        <w:rPr>
          <w:rFonts w:hint="eastAsia" w:ascii="黑体" w:hAnsi="黑体" w:eastAsia="黑体" w:cs="宋体"/>
          <w:color w:val="000000"/>
          <w:kern w:val="0"/>
          <w:sz w:val="32"/>
          <w:szCs w:val="32"/>
          <w:shd w:val="clear" w:color="auto" w:fill="FFFFFF"/>
          <w:lang w:val="zh-CN"/>
        </w:rPr>
        <w:t>执行管理情况</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黑体" w:hAnsi="黑体" w:eastAsia="黑体" w:cs="宋体"/>
          <w:color w:val="000000"/>
          <w:kern w:val="0"/>
          <w:sz w:val="32"/>
          <w:szCs w:val="32"/>
          <w:shd w:val="clear" w:color="auto" w:fill="FFFFFF"/>
          <w:lang w:val="zh-CN"/>
        </w:rPr>
      </w:pPr>
      <w:r>
        <w:rPr>
          <w:rFonts w:hint="eastAsia" w:ascii="仿宋_GB2312" w:hAnsi="黑体" w:eastAsia="仿宋_GB2312" w:cs="宋体"/>
          <w:color w:val="000000"/>
          <w:kern w:val="0"/>
          <w:sz w:val="32"/>
          <w:szCs w:val="32"/>
          <w:shd w:val="clear" w:color="auto" w:fill="FFFFFF"/>
        </w:rPr>
        <w:t>（1）</w:t>
      </w:r>
      <w:r>
        <w:rPr>
          <w:rFonts w:hint="eastAsia" w:ascii="仿宋_GB2312" w:hAnsi="黑体" w:eastAsia="仿宋_GB2312" w:cs="宋体"/>
          <w:color w:val="000000"/>
          <w:kern w:val="0"/>
          <w:sz w:val="32"/>
          <w:szCs w:val="32"/>
          <w:shd w:val="clear" w:color="auto" w:fill="FFFFFF"/>
          <w:lang w:val="en-US" w:eastAsia="zh-CN"/>
        </w:rPr>
        <w:t>2020</w:t>
      </w:r>
      <w:r>
        <w:rPr>
          <w:rFonts w:hint="eastAsia" w:ascii="仿宋_GB2312" w:hAnsi="黑体" w:eastAsia="仿宋_GB2312" w:cs="宋体"/>
          <w:color w:val="000000"/>
          <w:kern w:val="0"/>
          <w:sz w:val="32"/>
          <w:szCs w:val="32"/>
          <w:shd w:val="clear" w:color="auto" w:fill="FFFFFF"/>
        </w:rPr>
        <w:t>年部门预算执行情况</w:t>
      </w:r>
    </w:p>
    <w:p>
      <w:pPr>
        <w:spacing w:line="576"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2020年收入预算执行数（收入决算数）为198.99万元，预算执行进度达100%。较上年度收入预算执行数271.8万元72.81万元，下降26.79%。主要变动原因是2020年项目支出减少，2020年人员减少一人。</w:t>
      </w:r>
    </w:p>
    <w:p>
      <w:pPr>
        <w:spacing w:line="576"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2020年支出预算执行数（支出决算数）为216.37万元，预算执行进度达100%。较2018年同期数1849210.61元增加694923.55元，增长37.58%。增长原因为：2019年存在项目支出1015800元，2018年无项目支出。</w:t>
      </w:r>
    </w:p>
    <w:p>
      <w:pPr>
        <w:snapToGrid w:val="0"/>
        <w:spacing w:line="576" w:lineRule="exact"/>
        <w:ind w:firstLine="640" w:firstLineChars="200"/>
        <w:rPr>
          <w:rFonts w:ascii="仿宋_GB2312" w:hAnsi="仿宋" w:eastAsia="仿宋_GB2312"/>
          <w:sz w:val="32"/>
          <w:szCs w:val="32"/>
        </w:rPr>
      </w:pPr>
      <w:r>
        <w:rPr>
          <w:rFonts w:hint="eastAsia" w:ascii="仿宋_GB2312" w:hAnsi="仿宋" w:eastAsia="仿宋_GB2312"/>
          <w:sz w:val="32"/>
          <w:szCs w:val="32"/>
        </w:rPr>
        <w:t>（</w:t>
      </w:r>
      <w:r>
        <w:rPr>
          <w:rFonts w:hint="eastAsia" w:ascii="仿宋_GB2312" w:hAnsi="仿宋" w:eastAsia="仿宋_GB2312"/>
          <w:sz w:val="32"/>
          <w:szCs w:val="32"/>
          <w:lang w:val="en-US" w:eastAsia="zh-CN"/>
        </w:rPr>
        <w:t>2</w:t>
      </w:r>
      <w:r>
        <w:rPr>
          <w:rFonts w:hint="eastAsia" w:ascii="仿宋_GB2312" w:hAnsi="仿宋" w:eastAsia="仿宋_GB2312"/>
          <w:sz w:val="32"/>
          <w:szCs w:val="32"/>
        </w:rPr>
        <w:t>）“三公”经费预算执行情况</w:t>
      </w:r>
    </w:p>
    <w:p>
      <w:pPr>
        <w:snapToGrid w:val="0"/>
        <w:spacing w:line="576" w:lineRule="exact"/>
        <w:ind w:firstLine="640" w:firstLineChars="200"/>
        <w:rPr>
          <w:rFonts w:hint="eastAsia" w:ascii="黑体" w:hAnsi="黑体" w:eastAsia="黑体" w:cs="宋体"/>
          <w:color w:val="000000"/>
          <w:kern w:val="0"/>
          <w:sz w:val="32"/>
          <w:szCs w:val="32"/>
          <w:shd w:val="clear" w:color="auto" w:fill="FFFFFF"/>
          <w:lang w:val="zh-CN"/>
        </w:rPr>
      </w:pPr>
      <w:r>
        <w:rPr>
          <w:rFonts w:hint="eastAsia" w:ascii="仿宋_GB2312" w:hAnsi="仿宋" w:eastAsia="仿宋_GB2312"/>
          <w:sz w:val="32"/>
          <w:szCs w:val="32"/>
        </w:rPr>
        <w:t>2020年“三公”经费预算执行情况。2020年单位无“三公”经费财政拨款支出。与2019年一致。单位“三公”经费支出下降原因为单位严格贯彻落实中央八项规定、省委省政府十项规定、州委州政府八条意见的要求，进一步规范和加强“三公”经费管理，严格落实“三公”经费年初预算总量控制和总额控制的双控机制。做到厉行节约、从简接待，按照相关制度要求加强对公务用车运行维护费的财务核算工作。</w:t>
      </w:r>
    </w:p>
    <w:p>
      <w:pPr>
        <w:widowControl/>
        <w:adjustRightInd w:val="0"/>
        <w:snapToGrid w:val="0"/>
        <w:spacing w:line="570" w:lineRule="exact"/>
        <w:ind w:firstLine="640" w:firstLineChars="200"/>
        <w:jc w:val="left"/>
        <w:rPr>
          <w:rFonts w:ascii="黑体" w:hAnsi="黑体" w:eastAsia="黑体" w:cs="宋体"/>
          <w:color w:val="000000"/>
          <w:kern w:val="0"/>
          <w:sz w:val="32"/>
          <w:szCs w:val="32"/>
          <w:shd w:val="clear" w:color="auto" w:fill="FFFFFF"/>
          <w:lang w:val="zh-CN"/>
        </w:rPr>
      </w:pPr>
      <w:r>
        <w:rPr>
          <w:rFonts w:hint="eastAsia" w:ascii="黑体" w:hAnsi="黑体" w:eastAsia="黑体" w:cs="宋体"/>
          <w:color w:val="000000"/>
          <w:kern w:val="0"/>
          <w:sz w:val="32"/>
          <w:szCs w:val="32"/>
          <w:shd w:val="clear" w:color="auto" w:fill="FFFFFF"/>
          <w:lang w:val="zh-CN"/>
        </w:rPr>
        <w:t>（三）综合管理情况</w:t>
      </w:r>
    </w:p>
    <w:p>
      <w:pPr>
        <w:widowControl/>
        <w:adjustRightInd w:val="0"/>
        <w:snapToGrid w:val="0"/>
        <w:spacing w:line="570" w:lineRule="exact"/>
        <w:ind w:firstLine="640" w:firstLineChars="200"/>
        <w:jc w:val="left"/>
        <w:rPr>
          <w:rFonts w:ascii="仿宋_GB2312" w:hAnsi="宋体" w:eastAsia="仿宋_GB2312" w:cs="宋体"/>
          <w:color w:val="000000"/>
          <w:kern w:val="0"/>
          <w:sz w:val="32"/>
          <w:szCs w:val="32"/>
          <w:lang w:val="zh-CN"/>
        </w:rPr>
      </w:pPr>
      <w:r>
        <w:rPr>
          <w:rFonts w:hint="eastAsia" w:ascii="仿宋_GB2312" w:hAnsi="宋体" w:eastAsia="仿宋_GB2312" w:cs="宋体"/>
          <w:color w:val="000000"/>
          <w:kern w:val="0"/>
          <w:sz w:val="32"/>
          <w:szCs w:val="32"/>
          <w:lang w:val="zh-CN"/>
        </w:rPr>
        <w:t>（1）政府采购实施计划</w:t>
      </w:r>
    </w:p>
    <w:p>
      <w:pPr>
        <w:widowControl/>
        <w:adjustRightInd w:val="0"/>
        <w:snapToGrid w:val="0"/>
        <w:spacing w:line="570" w:lineRule="exact"/>
        <w:ind w:firstLine="640" w:firstLineChars="200"/>
        <w:jc w:val="left"/>
        <w:rPr>
          <w:rFonts w:ascii="仿宋_GB2312" w:hAnsi="宋体" w:eastAsia="仿宋_GB2312" w:cs="宋体"/>
          <w:color w:val="000000"/>
          <w:kern w:val="0"/>
          <w:sz w:val="32"/>
          <w:szCs w:val="32"/>
          <w:lang w:val="zh-CN"/>
        </w:rPr>
      </w:pPr>
      <w:r>
        <w:rPr>
          <w:rFonts w:hint="eastAsia" w:ascii="仿宋_GB2312" w:hAnsi="宋体" w:eastAsia="仿宋_GB2312" w:cs="宋体"/>
          <w:color w:val="000000"/>
          <w:kern w:val="0"/>
          <w:sz w:val="32"/>
          <w:szCs w:val="32"/>
          <w:lang w:val="zh-CN"/>
        </w:rPr>
        <w:t>单位在</w:t>
      </w:r>
      <w:r>
        <w:rPr>
          <w:rFonts w:hint="eastAsia" w:ascii="仿宋_GB2312" w:hAnsi="宋体" w:eastAsia="仿宋_GB2312" w:cs="宋体"/>
          <w:color w:val="000000"/>
          <w:kern w:val="0"/>
          <w:sz w:val="32"/>
          <w:szCs w:val="32"/>
          <w:lang w:val="en-US" w:eastAsia="zh-CN"/>
        </w:rPr>
        <w:t>2020</w:t>
      </w:r>
      <w:r>
        <w:rPr>
          <w:rFonts w:hint="eastAsia" w:ascii="仿宋_GB2312" w:hAnsi="宋体" w:eastAsia="仿宋_GB2312" w:cs="宋体"/>
          <w:color w:val="000000"/>
          <w:kern w:val="0"/>
          <w:sz w:val="32"/>
          <w:szCs w:val="32"/>
          <w:lang w:val="zh-CN"/>
        </w:rPr>
        <w:t>年未发生政府采购行为，为进一步加强我局政府采购监督管理和规范政府采购行为，我局已建立相应的政府采购制度。</w:t>
      </w:r>
    </w:p>
    <w:p>
      <w:pPr>
        <w:widowControl/>
        <w:numPr>
          <w:ilvl w:val="0"/>
          <w:numId w:val="5"/>
        </w:numPr>
        <w:adjustRightInd w:val="0"/>
        <w:snapToGrid w:val="0"/>
        <w:spacing w:line="570" w:lineRule="exact"/>
        <w:ind w:firstLine="640" w:firstLineChars="200"/>
        <w:jc w:val="left"/>
        <w:rPr>
          <w:rFonts w:hint="eastAsia" w:ascii="仿宋_GB2312" w:hAnsi="宋体" w:eastAsia="仿宋_GB2312" w:cs="宋体"/>
          <w:color w:val="000000"/>
          <w:kern w:val="0"/>
          <w:sz w:val="32"/>
          <w:szCs w:val="32"/>
          <w:lang w:val="zh-CN"/>
        </w:rPr>
      </w:pPr>
      <w:r>
        <w:rPr>
          <w:rFonts w:hint="eastAsia" w:ascii="仿宋_GB2312" w:hAnsi="宋体" w:eastAsia="仿宋_GB2312" w:cs="宋体"/>
          <w:color w:val="000000"/>
          <w:kern w:val="0"/>
          <w:sz w:val="32"/>
          <w:szCs w:val="32"/>
          <w:lang w:val="zh-CN"/>
        </w:rPr>
        <w:t>资产管理</w:t>
      </w:r>
    </w:p>
    <w:p>
      <w:pPr>
        <w:pStyle w:val="38"/>
        <w:spacing w:line="570" w:lineRule="exact"/>
        <w:ind w:firstLine="640" w:firstLineChars="200"/>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单位所有固定资产由专人负责登记管理，办公室负责对单位固定资产实物情况进行全面管理；单位财务人员负责对固定资产账面价值进行审合统计并录入资产管理系统，对资产盘盈、盘亏、报废、清理等处置业务在获得有关部门审核批准后及时办理相应手续。通过对现有固定资产进行账物实物清查盘点，并按要求在四川省资产管理系统中准确、真实、完整地录入相关数据并上报。</w:t>
      </w:r>
      <w:r>
        <w:rPr>
          <w:rFonts w:hint="eastAsia" w:ascii="仿宋_GB2312" w:hAnsi="宋体" w:eastAsia="仿宋_GB2312" w:cs="宋体"/>
          <w:color w:val="000000"/>
          <w:sz w:val="32"/>
          <w:szCs w:val="32"/>
          <w:lang w:eastAsia="zh-CN"/>
        </w:rPr>
        <w:t>截至</w:t>
      </w:r>
      <w:r>
        <w:rPr>
          <w:rFonts w:hint="eastAsia" w:ascii="仿宋_GB2312" w:hAnsi="宋体" w:eastAsia="仿宋_GB2312" w:cs="宋体"/>
          <w:color w:val="000000"/>
          <w:sz w:val="32"/>
          <w:szCs w:val="32"/>
          <w:lang w:val="en-US" w:eastAsia="zh-CN"/>
        </w:rPr>
        <w:t>2020年12月30日</w:t>
      </w:r>
      <w:r>
        <w:rPr>
          <w:rFonts w:hint="eastAsia" w:ascii="仿宋_GB2312" w:hAnsi="宋体" w:eastAsia="仿宋_GB2312" w:cs="宋体"/>
          <w:color w:val="000000"/>
          <w:sz w:val="32"/>
          <w:szCs w:val="32"/>
        </w:rPr>
        <w:t>，</w:t>
      </w:r>
      <w:r>
        <w:rPr>
          <w:rFonts w:hint="eastAsia" w:ascii="仿宋_GB2312" w:hAnsi="宋体" w:eastAsia="仿宋_GB2312" w:cs="宋体"/>
          <w:color w:val="000000"/>
          <w:sz w:val="32"/>
          <w:szCs w:val="32"/>
          <w:lang w:eastAsia="zh-CN"/>
        </w:rPr>
        <w:t>单位</w:t>
      </w:r>
      <w:r>
        <w:rPr>
          <w:rFonts w:hint="eastAsia" w:ascii="仿宋_GB2312" w:hAnsi="宋体" w:eastAsia="仿宋_GB2312" w:cs="宋体"/>
          <w:color w:val="000000"/>
          <w:sz w:val="32"/>
          <w:szCs w:val="32"/>
        </w:rPr>
        <w:t>固定资产</w:t>
      </w:r>
      <w:r>
        <w:rPr>
          <w:rFonts w:hint="eastAsia" w:ascii="仿宋_GB2312" w:hAnsi="宋体" w:eastAsia="仿宋_GB2312" w:cs="宋体"/>
          <w:color w:val="000000"/>
          <w:sz w:val="32"/>
          <w:szCs w:val="32"/>
          <w:lang w:eastAsia="zh-CN"/>
        </w:rPr>
        <w:t>原</w:t>
      </w:r>
      <w:r>
        <w:rPr>
          <w:rFonts w:hint="eastAsia" w:ascii="仿宋_GB2312" w:hAnsi="宋体" w:eastAsia="仿宋_GB2312" w:cs="宋体"/>
          <w:color w:val="000000"/>
          <w:sz w:val="32"/>
          <w:szCs w:val="32"/>
        </w:rPr>
        <w:t>值</w:t>
      </w:r>
      <w:r>
        <w:rPr>
          <w:rFonts w:hint="eastAsia" w:ascii="仿宋_GB2312" w:hAnsi="宋体" w:eastAsia="仿宋_GB2312" w:cs="宋体"/>
          <w:color w:val="000000"/>
          <w:sz w:val="32"/>
          <w:szCs w:val="32"/>
          <w:lang w:val="en-US" w:eastAsia="zh-CN"/>
        </w:rPr>
        <w:t>177330</w:t>
      </w:r>
      <w:r>
        <w:rPr>
          <w:rFonts w:hint="eastAsia" w:ascii="仿宋_GB2312" w:hAnsi="宋体" w:eastAsia="仿宋_GB2312" w:cs="宋体"/>
          <w:color w:val="000000"/>
          <w:sz w:val="32"/>
          <w:szCs w:val="32"/>
        </w:rPr>
        <w:t>元，未存在盘盈、盘亏、损毁的现象。</w:t>
      </w:r>
    </w:p>
    <w:p>
      <w:pPr>
        <w:widowControl/>
        <w:adjustRightInd w:val="0"/>
        <w:snapToGrid w:val="0"/>
        <w:spacing w:line="570" w:lineRule="exact"/>
        <w:ind w:firstLine="640" w:firstLineChars="200"/>
        <w:jc w:val="left"/>
        <w:rPr>
          <w:rFonts w:ascii="仿宋_GB2312" w:hAnsi="宋体" w:eastAsia="仿宋_GB2312" w:cs="宋体"/>
          <w:color w:val="000000"/>
          <w:kern w:val="0"/>
          <w:sz w:val="32"/>
          <w:szCs w:val="32"/>
          <w:lang w:val="zh-CN"/>
        </w:rPr>
      </w:pPr>
      <w:r>
        <w:rPr>
          <w:rFonts w:hint="eastAsia" w:ascii="仿宋_GB2312" w:hAnsi="宋体" w:eastAsia="仿宋_GB2312" w:cs="宋体"/>
          <w:color w:val="000000"/>
          <w:kern w:val="0"/>
          <w:sz w:val="32"/>
          <w:szCs w:val="32"/>
          <w:lang w:val="zh-CN"/>
        </w:rPr>
        <w:t>(3)内控制度管理</w:t>
      </w:r>
    </w:p>
    <w:p>
      <w:pPr>
        <w:widowControl/>
        <w:adjustRightInd w:val="0"/>
        <w:snapToGrid w:val="0"/>
        <w:spacing w:line="570" w:lineRule="exact"/>
        <w:ind w:firstLine="640" w:firstLineChars="200"/>
        <w:jc w:val="left"/>
        <w:rPr>
          <w:rFonts w:ascii="仿宋_GB2312" w:hAnsi="黑体" w:eastAsia="仿宋_GB2312" w:cs="宋体"/>
          <w:color w:val="000000"/>
          <w:kern w:val="0"/>
          <w:sz w:val="32"/>
          <w:szCs w:val="32"/>
          <w:shd w:val="clear" w:color="auto" w:fill="FFFFFF"/>
        </w:rPr>
      </w:pPr>
      <w:r>
        <w:rPr>
          <w:rFonts w:hint="eastAsia" w:ascii="仿宋_GB2312" w:hAnsi="黑体" w:eastAsia="仿宋_GB2312" w:cs="宋体"/>
          <w:color w:val="000000"/>
          <w:kern w:val="0"/>
          <w:sz w:val="32"/>
          <w:szCs w:val="32"/>
          <w:shd w:val="clear" w:color="auto" w:fill="FFFFFF"/>
        </w:rPr>
        <w:t>我</w:t>
      </w:r>
      <w:r>
        <w:rPr>
          <w:rFonts w:hint="eastAsia" w:ascii="仿宋_GB2312" w:hAnsi="黑体" w:eastAsia="仿宋_GB2312" w:cs="宋体"/>
          <w:color w:val="000000"/>
          <w:kern w:val="0"/>
          <w:sz w:val="32"/>
          <w:szCs w:val="32"/>
          <w:shd w:val="clear" w:color="auto" w:fill="FFFFFF"/>
          <w:lang w:eastAsia="zh-CN"/>
        </w:rPr>
        <w:t>中心</w:t>
      </w:r>
      <w:r>
        <w:rPr>
          <w:rFonts w:hint="eastAsia" w:ascii="仿宋_GB2312" w:hAnsi="黑体" w:eastAsia="仿宋_GB2312" w:cs="宋体"/>
          <w:color w:val="000000"/>
          <w:kern w:val="0"/>
          <w:sz w:val="32"/>
          <w:szCs w:val="32"/>
          <w:shd w:val="clear" w:color="auto" w:fill="FFFFFF"/>
        </w:rPr>
        <w:t>高度重视内部控制制度建设工作，切实加强对内部控制制度建设的组织领导，切实强化内部控制制度的建设工作。自2014年《行政事业单位内部控制规范(试行)》实施以来，在坚持内部控制制度建设全面性、重要性、制衡性、适应性等原则的前提下，我局对内部管理制度进行全面清理，形成了《茂县城乡居民养老保险事业管理局内部控制制度》，分总则、工作守则、规章制度、管理办法和工作程序共五章，内容涵盖了预算管理情况、收支管理情况、政府采购情况、资产管理情况等单位经济业务内部控制管理制度和办法。通过强化内部控制制度建设，切实做到有章可行，有据可依。</w:t>
      </w:r>
    </w:p>
    <w:p>
      <w:pPr>
        <w:widowControl/>
        <w:adjustRightInd w:val="0"/>
        <w:snapToGrid w:val="0"/>
        <w:spacing w:line="570" w:lineRule="exact"/>
        <w:ind w:firstLine="640" w:firstLineChars="200"/>
        <w:jc w:val="left"/>
        <w:rPr>
          <w:rFonts w:ascii="仿宋_GB2312" w:hAnsi="宋体" w:eastAsia="仿宋_GB2312" w:cs="宋体"/>
          <w:color w:val="000000"/>
          <w:kern w:val="0"/>
          <w:sz w:val="32"/>
          <w:szCs w:val="32"/>
          <w:lang w:val="zh-CN"/>
        </w:rPr>
      </w:pPr>
      <w:r>
        <w:rPr>
          <w:rFonts w:hint="eastAsia" w:ascii="仿宋_GB2312" w:hAnsi="宋体" w:eastAsia="仿宋_GB2312" w:cs="宋体"/>
          <w:color w:val="000000"/>
          <w:kern w:val="0"/>
          <w:sz w:val="32"/>
          <w:szCs w:val="32"/>
          <w:lang w:val="zh-CN"/>
        </w:rPr>
        <w:t>(4)信息公开</w:t>
      </w:r>
    </w:p>
    <w:p>
      <w:pPr>
        <w:pStyle w:val="38"/>
        <w:spacing w:line="570" w:lineRule="exact"/>
        <w:ind w:firstLine="640" w:firstLineChars="200"/>
        <w:rPr>
          <w:rFonts w:hint="eastAsia" w:ascii="仿宋_GB2312" w:hAnsi="黑体" w:eastAsia="仿宋_GB2312"/>
          <w:color w:val="000000"/>
          <w:sz w:val="32"/>
          <w:szCs w:val="32"/>
        </w:rPr>
      </w:pPr>
      <w:r>
        <w:rPr>
          <w:rFonts w:hint="eastAsia" w:ascii="仿宋_GB2312" w:hAnsi="宋体" w:eastAsia="仿宋_GB2312" w:cs="宋体"/>
          <w:color w:val="000000"/>
          <w:sz w:val="32"/>
          <w:szCs w:val="32"/>
        </w:rPr>
        <w:t>单位严格按照相关部门的要求保质保量完成年度预决算公开工作，按时将公开材料数据报送县委宣传部并在茂县政府信息网站上公布。</w:t>
      </w:r>
      <w:r>
        <w:rPr>
          <w:rFonts w:hint="eastAsia" w:ascii="仿宋_GB2312" w:hAnsi="黑体" w:eastAsia="仿宋_GB2312"/>
          <w:color w:val="000000"/>
          <w:sz w:val="32"/>
          <w:szCs w:val="32"/>
        </w:rPr>
        <w:t>按月及时向财政部门报送经费报表、贯彻落实中央八项规定和省委省政府十项规定经费支出情况统计表并由相关股室进行审核。根据财政部门文件要求及时开展单位经费使用情况自查自纠工作，撰写自查自纠报告并及时报送。</w:t>
      </w:r>
    </w:p>
    <w:p>
      <w:pPr>
        <w:widowControl/>
        <w:adjustRightInd w:val="0"/>
        <w:snapToGrid w:val="0"/>
        <w:spacing w:line="570" w:lineRule="exact"/>
        <w:ind w:firstLine="640" w:firstLineChars="200"/>
        <w:jc w:val="left"/>
        <w:rPr>
          <w:rFonts w:ascii="仿宋_GB2312" w:hAnsi="宋体" w:eastAsia="仿宋_GB2312" w:cs="宋体"/>
          <w:color w:val="000000"/>
          <w:kern w:val="0"/>
          <w:sz w:val="32"/>
          <w:szCs w:val="32"/>
          <w:lang w:val="zh-CN"/>
        </w:rPr>
      </w:pPr>
      <w:r>
        <w:rPr>
          <w:rFonts w:hint="eastAsia" w:ascii="仿宋_GB2312" w:hAnsi="黑体" w:eastAsia="仿宋_GB2312" w:cs="宋体"/>
          <w:color w:val="000000"/>
          <w:kern w:val="0"/>
          <w:sz w:val="32"/>
          <w:szCs w:val="32"/>
          <w:shd w:val="clear" w:color="auto" w:fill="FFFFFF"/>
        </w:rPr>
        <w:t>(5)</w:t>
      </w:r>
      <w:r>
        <w:rPr>
          <w:rFonts w:hint="eastAsia" w:ascii="仿宋_GB2312" w:hAnsi="宋体" w:eastAsia="仿宋_GB2312" w:cs="宋体"/>
          <w:color w:val="000000"/>
          <w:kern w:val="0"/>
          <w:sz w:val="32"/>
          <w:szCs w:val="32"/>
          <w:lang w:val="zh-CN"/>
        </w:rPr>
        <w:t xml:space="preserve"> 绩效评价及依法接受财政监督情况等</w:t>
      </w:r>
    </w:p>
    <w:p>
      <w:pPr>
        <w:pStyle w:val="38"/>
        <w:spacing w:line="570" w:lineRule="exact"/>
        <w:ind w:firstLine="640" w:firstLineChars="200"/>
        <w:rPr>
          <w:rFonts w:ascii="仿宋_GB2312" w:hAnsi="宋体" w:eastAsia="仿宋_GB2312" w:cs="宋体"/>
          <w:color w:val="000000"/>
          <w:sz w:val="32"/>
          <w:szCs w:val="32"/>
        </w:rPr>
      </w:pPr>
      <w:r>
        <w:rPr>
          <w:rFonts w:hint="eastAsia" w:ascii="仿宋_GB2312" w:hAnsi="黑体" w:eastAsia="仿宋_GB2312"/>
          <w:color w:val="000000"/>
          <w:sz w:val="32"/>
          <w:szCs w:val="32"/>
        </w:rPr>
        <w:t>每年按县财政文件要求根据自身工作实际做好财政支出绩效评价自评及前期准备工作，同时撰写绩效自评报告及填写绩效评价指标体系并自评分数，说明扣分理由。按时将相应评价资料报送相应的财政部门支出管理股室。单位严格落实工作责任，积极协调配合财政部门绩效评价小组对本单位进行实地评价。同时针对在绩效评价中发现的问题和不足认真整改落实，并将整改情况报送财政部门绩效评价小组。</w:t>
      </w:r>
    </w:p>
    <w:p>
      <w:pPr>
        <w:pStyle w:val="38"/>
        <w:spacing w:line="576" w:lineRule="exact"/>
        <w:ind w:firstLine="643" w:firstLineChars="200"/>
        <w:rPr>
          <w:rFonts w:ascii="楷体_GB2312" w:hAnsi="黑体" w:eastAsia="楷体_GB2312"/>
          <w:b/>
          <w:color w:val="000000"/>
          <w:sz w:val="32"/>
          <w:szCs w:val="32"/>
        </w:rPr>
      </w:pPr>
      <w:r>
        <w:rPr>
          <w:rFonts w:hint="eastAsia" w:ascii="楷体_GB2312" w:hAnsi="黑体" w:eastAsia="楷体_GB2312"/>
          <w:b/>
          <w:color w:val="000000"/>
          <w:sz w:val="32"/>
          <w:szCs w:val="32"/>
        </w:rPr>
        <w:t>（四）整体绩效</w:t>
      </w:r>
    </w:p>
    <w:p>
      <w:pPr>
        <w:pStyle w:val="38"/>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shd w:val="clear" w:color="auto" w:fill="FFFFFF"/>
        </w:rPr>
        <w:t>我</w:t>
      </w:r>
      <w:r>
        <w:rPr>
          <w:rFonts w:hint="eastAsia" w:ascii="仿宋_GB2312" w:eastAsia="仿宋_GB2312"/>
          <w:color w:val="000000"/>
          <w:sz w:val="32"/>
          <w:szCs w:val="32"/>
          <w:shd w:val="clear" w:color="auto" w:fill="FFFFFF"/>
          <w:lang w:eastAsia="zh-CN"/>
        </w:rPr>
        <w:t>中心</w:t>
      </w:r>
      <w:bookmarkStart w:id="281" w:name="_GoBack"/>
      <w:bookmarkEnd w:id="281"/>
      <w:r>
        <w:rPr>
          <w:rFonts w:hint="eastAsia" w:ascii="仿宋_GB2312" w:eastAsia="仿宋_GB2312"/>
          <w:color w:val="000000"/>
          <w:sz w:val="32"/>
          <w:szCs w:val="32"/>
          <w:shd w:val="clear" w:color="auto" w:fill="FFFFFF"/>
        </w:rPr>
        <w:t>所有财政资金支出主要用于保障本单位机构正常运转、完成日常工作任务以及承担城乡居民养老保险事业发展相关工作。</w:t>
      </w:r>
      <w:r>
        <w:rPr>
          <w:rStyle w:val="39"/>
          <w:rFonts w:hint="eastAsia" w:eastAsia="仿宋_GB2312"/>
          <w:color w:val="000000"/>
          <w:sz w:val="32"/>
          <w:szCs w:val="32"/>
          <w:shd w:val="clear" w:color="auto" w:fill="FFFFFF"/>
        </w:rPr>
        <w:t> </w:t>
      </w:r>
      <w:r>
        <w:rPr>
          <w:rFonts w:hint="eastAsia" w:ascii="仿宋_GB2312" w:eastAsia="仿宋_GB2312"/>
          <w:color w:val="333333"/>
          <w:sz w:val="32"/>
          <w:szCs w:val="32"/>
        </w:rPr>
        <w:br w:type="textWrapping"/>
      </w:r>
      <w:r>
        <w:rPr>
          <w:rFonts w:hint="eastAsia" w:ascii="仿宋_GB2312" w:eastAsia="仿宋_GB2312"/>
          <w:color w:val="000000"/>
          <w:sz w:val="32"/>
          <w:szCs w:val="32"/>
          <w:shd w:val="clear" w:color="auto" w:fill="FFFFFF"/>
        </w:rPr>
        <w:t xml:space="preserve">  （1）基本支出，是用于单位正常运转的日常支出，包括基本工资、津贴补贴等人员经费以及办公费、邮电费、培训费、差旅费、等日常公用经费。在日常工作中，</w:t>
      </w:r>
      <w:r>
        <w:rPr>
          <w:rFonts w:hint="eastAsia" w:ascii="仿宋_GB2312" w:eastAsia="仿宋_GB2312"/>
          <w:color w:val="000000"/>
          <w:sz w:val="32"/>
          <w:szCs w:val="32"/>
        </w:rPr>
        <w:t>单位所有日常公用经费开支范围和标准均符合相关规定并按相应支付审批程序办理。</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lang w:eastAsia="zh-CN"/>
        </w:rPr>
        <w:t>）</w:t>
      </w:r>
      <w:r>
        <w:rPr>
          <w:rFonts w:hint="eastAsia" w:ascii="仿宋_GB2312" w:eastAsia="仿宋_GB2312"/>
          <w:color w:val="000000"/>
          <w:sz w:val="32"/>
          <w:szCs w:val="32"/>
        </w:rPr>
        <w:t>项目支出，是单位为了完成特定的工作任务和事业发展目标所发生的专项支出。单位20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年度项目支出</w:t>
      </w:r>
      <w:r>
        <w:rPr>
          <w:rFonts w:hint="eastAsia" w:ascii="仿宋_GB2312" w:eastAsia="仿宋_GB2312"/>
          <w:color w:val="000000"/>
          <w:sz w:val="32"/>
          <w:szCs w:val="32"/>
          <w:lang w:val="en-US" w:eastAsia="zh-CN"/>
        </w:rPr>
        <w:t>年初预算数为4800元</w:t>
      </w:r>
      <w:r>
        <w:rPr>
          <w:rFonts w:hint="eastAsia" w:ascii="仿宋_GB2312" w:eastAsia="仿宋_GB2312"/>
          <w:color w:val="000000"/>
          <w:sz w:val="32"/>
          <w:szCs w:val="32"/>
        </w:rPr>
        <w:t>，</w:t>
      </w:r>
      <w:r>
        <w:rPr>
          <w:rFonts w:hint="eastAsia" w:ascii="仿宋_GB2312" w:eastAsia="仿宋_GB2312"/>
          <w:sz w:val="32"/>
          <w:szCs w:val="32"/>
          <w:lang w:val="en-US" w:eastAsia="zh-CN"/>
        </w:rPr>
        <w:t>为财政划拨的单位驻村“第一书记”2020年临岗补贴。在当年按时足额支付。</w:t>
      </w:r>
    </w:p>
    <w:p>
      <w:pPr>
        <w:pStyle w:val="38"/>
        <w:keepNext w:val="0"/>
        <w:keepLines w:val="0"/>
        <w:pageBreakBefore w:val="0"/>
        <w:kinsoku/>
        <w:wordWrap/>
        <w:overflowPunct/>
        <w:topLinePunct w:val="0"/>
        <w:autoSpaceDE/>
        <w:autoSpaceDN/>
        <w:bidi w:val="0"/>
        <w:spacing w:line="576" w:lineRule="exact"/>
        <w:ind w:firstLine="643" w:firstLineChars="200"/>
        <w:textAlignment w:val="auto"/>
        <w:rPr>
          <w:rFonts w:ascii="黑体" w:hAnsi="黑体" w:eastAsia="黑体"/>
          <w:b/>
          <w:color w:val="000000"/>
          <w:sz w:val="32"/>
          <w:szCs w:val="32"/>
        </w:rPr>
      </w:pPr>
      <w:r>
        <w:rPr>
          <w:rFonts w:hint="eastAsia" w:ascii="黑体" w:hAnsi="黑体" w:eastAsia="黑体"/>
          <w:b/>
          <w:color w:val="000000"/>
          <w:sz w:val="32"/>
          <w:szCs w:val="32"/>
        </w:rPr>
        <w:t>四、评价结论及建议</w:t>
      </w:r>
    </w:p>
    <w:p>
      <w:pPr>
        <w:pStyle w:val="38"/>
        <w:keepNext w:val="0"/>
        <w:keepLines w:val="0"/>
        <w:pageBreakBefore w:val="0"/>
        <w:kinsoku/>
        <w:wordWrap/>
        <w:overflowPunct/>
        <w:topLinePunct w:val="0"/>
        <w:autoSpaceDE/>
        <w:autoSpaceDN/>
        <w:bidi w:val="0"/>
        <w:spacing w:line="576" w:lineRule="exact"/>
        <w:ind w:firstLine="626" w:firstLineChars="195"/>
        <w:textAlignment w:val="auto"/>
        <w:rPr>
          <w:rFonts w:ascii="楷体_GB2312" w:hAnsi="黑体" w:eastAsia="楷体_GB2312"/>
          <w:b/>
          <w:color w:val="000000"/>
          <w:sz w:val="32"/>
          <w:szCs w:val="32"/>
          <w:shd w:val="clear" w:color="auto" w:fill="FFFFFF"/>
        </w:rPr>
      </w:pPr>
      <w:r>
        <w:rPr>
          <w:rFonts w:hint="eastAsia" w:ascii="楷体_GB2312" w:hAnsi="黑体" w:eastAsia="楷体_GB2312"/>
          <w:b/>
          <w:color w:val="000000"/>
          <w:sz w:val="32"/>
          <w:szCs w:val="32"/>
          <w:shd w:val="clear" w:color="auto" w:fill="FFFFFF"/>
        </w:rPr>
        <w:t>（一）评价结论</w:t>
      </w:r>
    </w:p>
    <w:p>
      <w:pPr>
        <w:pStyle w:val="38"/>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宋体" w:eastAsia="仿宋_GB2312"/>
          <w:color w:val="000000"/>
          <w:sz w:val="32"/>
          <w:szCs w:val="32"/>
          <w:shd w:val="clear" w:color="auto" w:fill="FFFFFF"/>
        </w:rPr>
      </w:pPr>
      <w:r>
        <w:rPr>
          <w:rFonts w:hint="eastAsia" w:ascii="仿宋_GB2312" w:hAnsi="宋体" w:eastAsia="仿宋_GB2312"/>
          <w:color w:val="000000"/>
          <w:sz w:val="32"/>
          <w:szCs w:val="32"/>
          <w:shd w:val="clear" w:color="auto" w:fill="FFFFFF"/>
        </w:rPr>
        <w:t>单位对照《县级部门整体支出绩效评价指标体系表》中各项具体指标认真开展自评工作，经自评，单位部门整体支出均按照相应的规章制度和要求执行办理，暂未发现扣分事项。</w:t>
      </w:r>
    </w:p>
    <w:p>
      <w:pPr>
        <w:pStyle w:val="38"/>
        <w:keepNext w:val="0"/>
        <w:keepLines w:val="0"/>
        <w:pageBreakBefore w:val="0"/>
        <w:kinsoku/>
        <w:wordWrap/>
        <w:overflowPunct/>
        <w:topLinePunct w:val="0"/>
        <w:autoSpaceDE/>
        <w:autoSpaceDN/>
        <w:bidi w:val="0"/>
        <w:spacing w:line="576" w:lineRule="exact"/>
        <w:ind w:firstLine="643" w:firstLineChars="200"/>
        <w:textAlignment w:val="auto"/>
        <w:rPr>
          <w:rFonts w:ascii="楷体_GB2312" w:hAnsi="宋体" w:eastAsia="楷体_GB2312"/>
          <w:b/>
          <w:color w:val="000000"/>
          <w:sz w:val="32"/>
          <w:szCs w:val="32"/>
          <w:shd w:val="clear" w:color="auto" w:fill="FFFFFF"/>
        </w:rPr>
      </w:pPr>
      <w:r>
        <w:rPr>
          <w:rFonts w:hint="eastAsia" w:ascii="楷体_GB2312" w:hAnsi="宋体" w:eastAsia="楷体_GB2312"/>
          <w:b/>
          <w:color w:val="000000"/>
          <w:sz w:val="32"/>
          <w:szCs w:val="32"/>
          <w:shd w:val="clear" w:color="auto" w:fill="FFFFFF"/>
        </w:rPr>
        <w:t>（二）存在的问题</w:t>
      </w:r>
    </w:p>
    <w:p>
      <w:pPr>
        <w:pStyle w:val="38"/>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宋体" w:eastAsia="仿宋_GB2312"/>
          <w:color w:val="000000"/>
          <w:sz w:val="32"/>
          <w:szCs w:val="32"/>
          <w:shd w:val="clear" w:color="auto" w:fill="FFFFFF"/>
        </w:rPr>
      </w:pPr>
      <w:r>
        <w:rPr>
          <w:rFonts w:hint="eastAsia" w:ascii="仿宋_GB2312" w:hAnsi="宋体" w:eastAsia="仿宋_GB2312"/>
          <w:color w:val="000000"/>
          <w:sz w:val="32"/>
          <w:szCs w:val="32"/>
          <w:shd w:val="clear" w:color="auto" w:fill="FFFFFF"/>
        </w:rPr>
        <w:t>单位对部门支出相关规章制度落实力</w:t>
      </w:r>
      <w:r>
        <w:rPr>
          <w:rFonts w:hint="eastAsia" w:ascii="仿宋_GB2312" w:hAnsi="宋体" w:eastAsia="仿宋_GB2312"/>
          <w:color w:val="000000"/>
          <w:sz w:val="32"/>
          <w:szCs w:val="32"/>
          <w:shd w:val="clear" w:color="auto" w:fill="FFFFFF"/>
          <w:lang w:eastAsia="zh-CN"/>
        </w:rPr>
        <w:t>执行力还需加强</w:t>
      </w:r>
      <w:r>
        <w:rPr>
          <w:rFonts w:hint="eastAsia" w:ascii="仿宋_GB2312" w:hAnsi="宋体" w:eastAsia="仿宋_GB2312"/>
          <w:color w:val="000000"/>
          <w:sz w:val="32"/>
          <w:szCs w:val="32"/>
          <w:shd w:val="clear" w:color="auto" w:fill="FFFFFF"/>
        </w:rPr>
        <w:t>，</w:t>
      </w:r>
      <w:r>
        <w:rPr>
          <w:rFonts w:hint="eastAsia" w:ascii="仿宋_GB2312" w:hAnsi="宋体" w:eastAsia="仿宋_GB2312"/>
          <w:color w:val="000000"/>
          <w:sz w:val="32"/>
          <w:szCs w:val="32"/>
          <w:shd w:val="clear" w:color="auto" w:fill="FFFFFF"/>
          <w:lang w:eastAsia="zh-CN"/>
        </w:rPr>
        <w:t>财务管理</w:t>
      </w:r>
      <w:r>
        <w:rPr>
          <w:rFonts w:hint="eastAsia" w:ascii="仿宋_GB2312" w:hAnsi="宋体" w:eastAsia="仿宋_GB2312"/>
          <w:color w:val="000000"/>
          <w:sz w:val="32"/>
          <w:szCs w:val="32"/>
          <w:shd w:val="clear" w:color="auto" w:fill="FFFFFF"/>
        </w:rPr>
        <w:t>不够规范细致。</w:t>
      </w:r>
    </w:p>
    <w:p>
      <w:pPr>
        <w:pStyle w:val="38"/>
        <w:keepNext w:val="0"/>
        <w:keepLines w:val="0"/>
        <w:pageBreakBefore w:val="0"/>
        <w:kinsoku/>
        <w:wordWrap/>
        <w:overflowPunct/>
        <w:topLinePunct w:val="0"/>
        <w:autoSpaceDE/>
        <w:autoSpaceDN/>
        <w:bidi w:val="0"/>
        <w:spacing w:line="576" w:lineRule="exact"/>
        <w:ind w:firstLine="643" w:firstLineChars="200"/>
        <w:textAlignment w:val="auto"/>
        <w:rPr>
          <w:rFonts w:ascii="楷体_GB2312" w:hAnsi="宋体" w:eastAsia="楷体_GB2312"/>
          <w:b/>
          <w:color w:val="000000"/>
          <w:sz w:val="32"/>
          <w:szCs w:val="32"/>
          <w:shd w:val="clear" w:color="auto" w:fill="FFFFFF"/>
        </w:rPr>
      </w:pPr>
      <w:r>
        <w:rPr>
          <w:rFonts w:hint="eastAsia" w:ascii="楷体_GB2312" w:hAnsi="宋体" w:eastAsia="楷体_GB2312"/>
          <w:b/>
          <w:color w:val="000000"/>
          <w:sz w:val="32"/>
          <w:szCs w:val="32"/>
          <w:shd w:val="clear" w:color="auto" w:fill="FFFFFF"/>
        </w:rPr>
        <w:t>（三）改进建议</w:t>
      </w:r>
    </w:p>
    <w:p>
      <w:pPr>
        <w:pStyle w:val="38"/>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宋体" w:eastAsia="仿宋_GB2312"/>
          <w:color w:val="000000"/>
          <w:sz w:val="32"/>
          <w:szCs w:val="32"/>
          <w:shd w:val="clear" w:color="auto" w:fill="FFFFFF"/>
          <w:lang w:val="en-US" w:eastAsia="zh-CN"/>
        </w:rPr>
      </w:pPr>
      <w:r>
        <w:rPr>
          <w:rFonts w:hint="eastAsia" w:ascii="仿宋_GB2312" w:hAnsi="宋体" w:eastAsia="仿宋_GB2312"/>
          <w:color w:val="000000"/>
          <w:sz w:val="32"/>
          <w:szCs w:val="32"/>
          <w:shd w:val="clear" w:color="auto" w:fill="FFFFFF"/>
        </w:rPr>
        <w:t>单位财务人员在今后工作中要按照有关文件及规章制度的要求严格规范各项经费支出，细化各项经费指标的收支管理及审批程序，加大对报销票据的审核把关力度，落实岗位职责，坚守职业道德，重点对“三公”经费开支范围及标准进行准确核算，确保财务原始凭证的规范性</w:t>
      </w:r>
      <w:r>
        <w:rPr>
          <w:rFonts w:hint="eastAsia" w:ascii="仿宋_GB2312" w:hAnsi="宋体" w:eastAsia="仿宋_GB2312"/>
          <w:color w:val="000000"/>
          <w:sz w:val="32"/>
          <w:szCs w:val="32"/>
          <w:shd w:val="clear" w:color="auto" w:fill="FFFFFF"/>
          <w:lang w:eastAsia="zh-CN"/>
        </w:rPr>
        <w:t>、真实性。</w:t>
      </w:r>
    </w:p>
    <w:p>
      <w:pPr>
        <w:pStyle w:val="38"/>
        <w:keepNext w:val="0"/>
        <w:keepLines w:val="0"/>
        <w:pageBreakBefore w:val="0"/>
        <w:kinsoku/>
        <w:wordWrap/>
        <w:overflowPunct/>
        <w:topLinePunct w:val="0"/>
        <w:autoSpaceDE/>
        <w:autoSpaceDN/>
        <w:bidi w:val="0"/>
        <w:spacing w:line="576" w:lineRule="exact"/>
        <w:ind w:firstLine="4160" w:firstLineChars="1300"/>
        <w:textAlignment w:val="auto"/>
        <w:rPr>
          <w:rFonts w:hint="eastAsia" w:ascii="仿宋_GB2312" w:hAnsi="黑体" w:eastAsia="仿宋_GB2312" w:cs="宋体"/>
          <w:color w:val="000000"/>
          <w:kern w:val="0"/>
          <w:sz w:val="32"/>
          <w:szCs w:val="32"/>
          <w:shd w:val="clear" w:color="auto" w:fill="FFFFFF"/>
        </w:rPr>
      </w:pPr>
    </w:p>
    <w:p>
      <w:pPr>
        <w:widowControl/>
        <w:jc w:val="left"/>
        <w:rPr>
          <w:rStyle w:val="22"/>
          <w:rFonts w:ascii="黑体" w:hAnsi="黑体" w:eastAsia="黑体"/>
          <w:b w:val="0"/>
        </w:rPr>
      </w:pPr>
    </w:p>
    <w:p>
      <w:pPr>
        <w:widowControl/>
        <w:jc w:val="left"/>
        <w:rPr>
          <w:rStyle w:val="22"/>
          <w:rFonts w:ascii="黑体" w:hAnsi="黑体" w:eastAsia="黑体"/>
          <w:b w:val="0"/>
        </w:rPr>
      </w:pPr>
      <w:r>
        <w:rPr>
          <w:rStyle w:val="22"/>
          <w:rFonts w:ascii="黑体" w:hAnsi="黑体" w:eastAsia="黑体"/>
          <w:b w:val="0"/>
        </w:rPr>
        <w:br w:type="page"/>
      </w:r>
    </w:p>
    <w:p>
      <w:pPr>
        <w:spacing w:line="600" w:lineRule="exact"/>
        <w:jc w:val="center"/>
        <w:outlineLvl w:val="0"/>
        <w:rPr>
          <w:rStyle w:val="22"/>
          <w:rFonts w:ascii="黑体" w:hAnsi="黑体" w:eastAsia="黑体"/>
          <w:b w:val="0"/>
        </w:rPr>
      </w:pPr>
      <w:bookmarkStart w:id="192" w:name="_Toc15396618"/>
      <w:bookmarkStart w:id="193" w:name="_Toc79163635"/>
      <w:bookmarkStart w:id="194" w:name="_Toc79163885"/>
      <w:bookmarkStart w:id="195" w:name="_Toc17200"/>
      <w:bookmarkStart w:id="196" w:name="_Toc20120"/>
      <w:bookmarkStart w:id="197" w:name="_Toc17183"/>
      <w:r>
        <w:rPr>
          <w:rFonts w:hint="eastAsia" w:ascii="黑体" w:hAnsi="黑体" w:eastAsia="黑体"/>
          <w:color w:val="000000"/>
          <w:sz w:val="44"/>
          <w:szCs w:val="44"/>
        </w:rPr>
        <w:t>第</w:t>
      </w:r>
      <w:r>
        <w:rPr>
          <w:rStyle w:val="22"/>
          <w:rFonts w:hint="eastAsia" w:ascii="黑体" w:hAnsi="黑体" w:eastAsia="黑体"/>
          <w:b w:val="0"/>
        </w:rPr>
        <w:t>五部分</w:t>
      </w:r>
      <w:r>
        <w:rPr>
          <w:rStyle w:val="22"/>
          <w:rFonts w:ascii="黑体" w:hAnsi="黑体" w:eastAsia="黑体"/>
          <w:b w:val="0"/>
        </w:rPr>
        <w:t xml:space="preserve"> </w:t>
      </w:r>
      <w:r>
        <w:rPr>
          <w:rStyle w:val="22"/>
          <w:rFonts w:hint="eastAsia" w:ascii="黑体" w:hAnsi="黑体" w:eastAsia="黑体"/>
          <w:b w:val="0"/>
        </w:rPr>
        <w:t>附表</w:t>
      </w:r>
      <w:bookmarkEnd w:id="183"/>
      <w:bookmarkEnd w:id="192"/>
      <w:bookmarkEnd w:id="193"/>
      <w:bookmarkEnd w:id="194"/>
      <w:bookmarkEnd w:id="195"/>
      <w:bookmarkEnd w:id="196"/>
      <w:bookmarkEnd w:id="197"/>
    </w:p>
    <w:p>
      <w:pPr>
        <w:pStyle w:val="3"/>
        <w:rPr>
          <w:rFonts w:ascii="仿宋" w:hAnsi="仿宋" w:eastAsia="仿宋"/>
          <w:color w:val="000000"/>
        </w:rPr>
      </w:pPr>
      <w:bookmarkStart w:id="198" w:name="_Toc15396619"/>
      <w:bookmarkStart w:id="199" w:name="_Toc79163636"/>
      <w:bookmarkStart w:id="200" w:name="_Toc79163886"/>
      <w:bookmarkStart w:id="201" w:name="_Toc30148"/>
      <w:bookmarkStart w:id="202" w:name="_Toc22137"/>
      <w:bookmarkStart w:id="203" w:name="_Toc145"/>
      <w:r>
        <w:rPr>
          <w:rFonts w:hint="eastAsia" w:ascii="仿宋" w:hAnsi="仿宋" w:eastAsia="仿宋"/>
          <w:b w:val="0"/>
          <w:color w:val="000000"/>
        </w:rPr>
        <w:t>一、收</w:t>
      </w:r>
      <w:r>
        <w:rPr>
          <w:rStyle w:val="23"/>
          <w:rFonts w:hint="eastAsia" w:ascii="仿宋" w:hAnsi="仿宋" w:eastAsia="仿宋"/>
          <w:b w:val="0"/>
          <w:bCs w:val="0"/>
        </w:rPr>
        <w:t>入支出决算总表</w:t>
      </w:r>
      <w:bookmarkEnd w:id="198"/>
      <w:bookmarkEnd w:id="199"/>
      <w:bookmarkEnd w:id="200"/>
      <w:bookmarkEnd w:id="201"/>
      <w:bookmarkEnd w:id="202"/>
      <w:bookmarkEnd w:id="203"/>
    </w:p>
    <w:p>
      <w:pPr>
        <w:pStyle w:val="3"/>
        <w:rPr>
          <w:rFonts w:ascii="仿宋" w:hAnsi="仿宋" w:eastAsia="仿宋"/>
          <w:color w:val="000000"/>
        </w:rPr>
      </w:pPr>
      <w:bookmarkStart w:id="204" w:name="_Toc15396620"/>
      <w:bookmarkStart w:id="205" w:name="_Toc79163637"/>
      <w:bookmarkStart w:id="206" w:name="_Toc79163887"/>
      <w:bookmarkStart w:id="207" w:name="_Toc8931"/>
      <w:bookmarkStart w:id="208" w:name="_Toc8950"/>
      <w:bookmarkStart w:id="209" w:name="_Toc19146"/>
      <w:r>
        <w:rPr>
          <w:rFonts w:hint="eastAsia" w:ascii="仿宋" w:hAnsi="仿宋" w:eastAsia="仿宋"/>
          <w:b w:val="0"/>
          <w:color w:val="000000"/>
        </w:rPr>
        <w:t>二、收</w:t>
      </w:r>
      <w:r>
        <w:rPr>
          <w:rStyle w:val="23"/>
          <w:rFonts w:hint="eastAsia" w:ascii="仿宋" w:hAnsi="仿宋" w:eastAsia="仿宋"/>
          <w:b w:val="0"/>
          <w:bCs w:val="0"/>
        </w:rPr>
        <w:t>入决算表</w:t>
      </w:r>
      <w:bookmarkEnd w:id="204"/>
      <w:bookmarkEnd w:id="205"/>
      <w:bookmarkEnd w:id="206"/>
      <w:bookmarkEnd w:id="207"/>
      <w:bookmarkEnd w:id="208"/>
      <w:bookmarkEnd w:id="209"/>
    </w:p>
    <w:p>
      <w:pPr>
        <w:pStyle w:val="3"/>
        <w:rPr>
          <w:rFonts w:ascii="仿宋" w:hAnsi="仿宋" w:eastAsia="仿宋"/>
          <w:color w:val="000000"/>
        </w:rPr>
      </w:pPr>
      <w:bookmarkStart w:id="210" w:name="_Toc15396621"/>
      <w:bookmarkStart w:id="211" w:name="_Toc79163638"/>
      <w:bookmarkStart w:id="212" w:name="_Toc79163888"/>
      <w:bookmarkStart w:id="213" w:name="_Toc10915"/>
      <w:bookmarkStart w:id="214" w:name="_Toc17102"/>
      <w:bookmarkStart w:id="215" w:name="_Toc8613"/>
      <w:r>
        <w:rPr>
          <w:rStyle w:val="23"/>
          <w:rFonts w:hint="eastAsia" w:ascii="仿宋" w:hAnsi="仿宋" w:eastAsia="仿宋"/>
          <w:b w:val="0"/>
          <w:bCs w:val="0"/>
        </w:rPr>
        <w:t>三、</w:t>
      </w:r>
      <w:r>
        <w:rPr>
          <w:rFonts w:hint="eastAsia" w:ascii="仿宋" w:hAnsi="仿宋" w:eastAsia="仿宋"/>
          <w:b w:val="0"/>
          <w:color w:val="000000"/>
        </w:rPr>
        <w:t>支</w:t>
      </w:r>
      <w:r>
        <w:rPr>
          <w:rStyle w:val="23"/>
          <w:rFonts w:hint="eastAsia" w:ascii="仿宋" w:hAnsi="仿宋" w:eastAsia="仿宋"/>
          <w:b w:val="0"/>
          <w:bCs w:val="0"/>
        </w:rPr>
        <w:t>出决算表</w:t>
      </w:r>
      <w:bookmarkEnd w:id="210"/>
      <w:bookmarkEnd w:id="211"/>
      <w:bookmarkEnd w:id="212"/>
      <w:bookmarkEnd w:id="213"/>
      <w:bookmarkEnd w:id="214"/>
      <w:bookmarkEnd w:id="215"/>
    </w:p>
    <w:p>
      <w:pPr>
        <w:pStyle w:val="3"/>
        <w:rPr>
          <w:rFonts w:ascii="仿宋" w:hAnsi="仿宋" w:eastAsia="仿宋"/>
          <w:b w:val="0"/>
          <w:color w:val="000000"/>
        </w:rPr>
      </w:pPr>
      <w:bookmarkStart w:id="216" w:name="_Toc15396622"/>
      <w:bookmarkStart w:id="217" w:name="_Toc79163639"/>
      <w:bookmarkStart w:id="218" w:name="_Toc79163889"/>
      <w:bookmarkStart w:id="219" w:name="_Toc3323"/>
      <w:bookmarkStart w:id="220" w:name="_Toc32332"/>
      <w:bookmarkStart w:id="221" w:name="_Toc1263"/>
      <w:r>
        <w:rPr>
          <w:rStyle w:val="23"/>
          <w:rFonts w:hint="eastAsia" w:ascii="仿宋" w:hAnsi="仿宋" w:eastAsia="仿宋"/>
          <w:b w:val="0"/>
          <w:bCs w:val="0"/>
        </w:rPr>
        <w:t>四、</w:t>
      </w:r>
      <w:r>
        <w:rPr>
          <w:rFonts w:hint="eastAsia" w:ascii="仿宋" w:hAnsi="仿宋" w:eastAsia="仿宋"/>
          <w:b w:val="0"/>
          <w:color w:val="000000"/>
        </w:rPr>
        <w:t>财</w:t>
      </w:r>
      <w:r>
        <w:rPr>
          <w:rStyle w:val="23"/>
          <w:rFonts w:hint="eastAsia" w:ascii="仿宋" w:hAnsi="仿宋" w:eastAsia="仿宋"/>
          <w:b w:val="0"/>
          <w:bCs w:val="0"/>
        </w:rPr>
        <w:t>政拨款收入支出决算总表</w:t>
      </w:r>
      <w:bookmarkEnd w:id="216"/>
      <w:bookmarkEnd w:id="217"/>
      <w:bookmarkEnd w:id="218"/>
      <w:bookmarkEnd w:id="219"/>
      <w:bookmarkEnd w:id="220"/>
      <w:bookmarkEnd w:id="221"/>
    </w:p>
    <w:p>
      <w:pPr>
        <w:pStyle w:val="3"/>
        <w:rPr>
          <w:rStyle w:val="23"/>
          <w:rFonts w:ascii="仿宋" w:hAnsi="仿宋" w:eastAsia="仿宋"/>
          <w:b w:val="0"/>
          <w:bCs w:val="0"/>
        </w:rPr>
      </w:pPr>
      <w:bookmarkStart w:id="222" w:name="_Toc15396623"/>
      <w:bookmarkStart w:id="223" w:name="_Toc79163640"/>
      <w:bookmarkStart w:id="224" w:name="_Toc79163890"/>
      <w:bookmarkStart w:id="225" w:name="_Toc17498"/>
      <w:bookmarkStart w:id="226" w:name="_Toc14832"/>
      <w:bookmarkStart w:id="227" w:name="_Toc18994"/>
      <w:r>
        <w:rPr>
          <w:rStyle w:val="23"/>
          <w:rFonts w:hint="eastAsia" w:ascii="仿宋" w:hAnsi="仿宋" w:eastAsia="仿宋"/>
          <w:b w:val="0"/>
          <w:bCs w:val="0"/>
        </w:rPr>
        <w:t>五、</w:t>
      </w:r>
      <w:r>
        <w:rPr>
          <w:rFonts w:hint="eastAsia" w:ascii="仿宋" w:hAnsi="仿宋" w:eastAsia="仿宋"/>
          <w:b w:val="0"/>
          <w:color w:val="000000"/>
        </w:rPr>
        <w:t>财</w:t>
      </w:r>
      <w:r>
        <w:rPr>
          <w:rStyle w:val="23"/>
          <w:rFonts w:hint="eastAsia" w:ascii="仿宋" w:hAnsi="仿宋" w:eastAsia="仿宋"/>
          <w:b w:val="0"/>
          <w:bCs w:val="0"/>
        </w:rPr>
        <w:t>政拨款支出决算明细表</w:t>
      </w:r>
      <w:bookmarkEnd w:id="222"/>
      <w:bookmarkEnd w:id="223"/>
      <w:bookmarkEnd w:id="224"/>
      <w:bookmarkEnd w:id="225"/>
      <w:bookmarkEnd w:id="226"/>
      <w:bookmarkEnd w:id="227"/>
      <w:bookmarkStart w:id="228" w:name="_Toc15396624"/>
    </w:p>
    <w:p>
      <w:pPr>
        <w:pStyle w:val="3"/>
        <w:rPr>
          <w:rFonts w:ascii="仿宋" w:hAnsi="仿宋" w:eastAsia="仿宋"/>
          <w:color w:val="000000"/>
        </w:rPr>
      </w:pPr>
      <w:bookmarkStart w:id="229" w:name="_Toc79163641"/>
      <w:bookmarkStart w:id="230" w:name="_Toc79163891"/>
      <w:bookmarkStart w:id="231" w:name="_Toc24958"/>
      <w:bookmarkStart w:id="232" w:name="_Toc16154"/>
      <w:bookmarkStart w:id="233" w:name="_Toc30963"/>
      <w:r>
        <w:rPr>
          <w:rStyle w:val="23"/>
          <w:rFonts w:hint="eastAsia" w:ascii="仿宋" w:hAnsi="仿宋" w:eastAsia="仿宋"/>
          <w:b w:val="0"/>
          <w:bCs w:val="0"/>
        </w:rPr>
        <w:t>六、</w:t>
      </w:r>
      <w:r>
        <w:rPr>
          <w:rFonts w:hint="eastAsia" w:ascii="仿宋" w:hAnsi="仿宋" w:eastAsia="仿宋"/>
          <w:b w:val="0"/>
          <w:color w:val="000000"/>
        </w:rPr>
        <w:t>一</w:t>
      </w:r>
      <w:r>
        <w:rPr>
          <w:rStyle w:val="23"/>
          <w:rFonts w:hint="eastAsia" w:ascii="仿宋" w:hAnsi="仿宋" w:eastAsia="仿宋"/>
          <w:b w:val="0"/>
          <w:bCs w:val="0"/>
        </w:rPr>
        <w:t>般公共预算财政拨款支出决算表</w:t>
      </w:r>
      <w:bookmarkEnd w:id="228"/>
      <w:bookmarkEnd w:id="229"/>
      <w:bookmarkEnd w:id="230"/>
      <w:bookmarkEnd w:id="231"/>
      <w:bookmarkEnd w:id="232"/>
      <w:bookmarkEnd w:id="233"/>
    </w:p>
    <w:p>
      <w:pPr>
        <w:pStyle w:val="3"/>
        <w:rPr>
          <w:rFonts w:ascii="仿宋" w:hAnsi="仿宋" w:eastAsia="仿宋"/>
          <w:color w:val="000000"/>
        </w:rPr>
      </w:pPr>
      <w:bookmarkStart w:id="234" w:name="_Toc15396625"/>
      <w:bookmarkStart w:id="235" w:name="_Toc79163642"/>
      <w:bookmarkStart w:id="236" w:name="_Toc79163892"/>
      <w:bookmarkStart w:id="237" w:name="_Toc25854"/>
      <w:bookmarkStart w:id="238" w:name="_Toc16394"/>
      <w:bookmarkStart w:id="239" w:name="_Toc19779"/>
      <w:r>
        <w:rPr>
          <w:rStyle w:val="23"/>
          <w:rFonts w:hint="eastAsia" w:ascii="仿宋" w:hAnsi="仿宋" w:eastAsia="仿宋"/>
          <w:b w:val="0"/>
          <w:bCs w:val="0"/>
        </w:rPr>
        <w:t>七、</w:t>
      </w:r>
      <w:r>
        <w:rPr>
          <w:rFonts w:hint="eastAsia" w:ascii="仿宋" w:hAnsi="仿宋" w:eastAsia="仿宋"/>
          <w:b w:val="0"/>
          <w:color w:val="000000"/>
        </w:rPr>
        <w:t>一</w:t>
      </w:r>
      <w:r>
        <w:rPr>
          <w:rStyle w:val="23"/>
          <w:rFonts w:hint="eastAsia" w:ascii="仿宋" w:hAnsi="仿宋" w:eastAsia="仿宋"/>
          <w:b w:val="0"/>
          <w:bCs w:val="0"/>
        </w:rPr>
        <w:t>般公共预算财政拨款支出决算明细表</w:t>
      </w:r>
      <w:bookmarkEnd w:id="234"/>
      <w:bookmarkEnd w:id="235"/>
      <w:bookmarkEnd w:id="236"/>
      <w:bookmarkEnd w:id="237"/>
      <w:bookmarkEnd w:id="238"/>
      <w:bookmarkEnd w:id="239"/>
    </w:p>
    <w:p>
      <w:pPr>
        <w:pStyle w:val="3"/>
        <w:rPr>
          <w:rFonts w:ascii="仿宋" w:hAnsi="仿宋" w:eastAsia="仿宋"/>
          <w:color w:val="000000"/>
        </w:rPr>
      </w:pPr>
      <w:bookmarkStart w:id="240" w:name="_Toc15396626"/>
      <w:bookmarkStart w:id="241" w:name="_Toc79163643"/>
      <w:bookmarkStart w:id="242" w:name="_Toc79163893"/>
      <w:bookmarkStart w:id="243" w:name="_Toc7083"/>
      <w:bookmarkStart w:id="244" w:name="_Toc8674"/>
      <w:bookmarkStart w:id="245" w:name="_Toc23048"/>
      <w:r>
        <w:rPr>
          <w:rStyle w:val="23"/>
          <w:rFonts w:hint="eastAsia" w:ascii="仿宋" w:hAnsi="仿宋" w:eastAsia="仿宋"/>
          <w:b w:val="0"/>
          <w:bCs w:val="0"/>
        </w:rPr>
        <w:t>八、</w:t>
      </w:r>
      <w:r>
        <w:rPr>
          <w:rFonts w:hint="eastAsia" w:ascii="仿宋" w:hAnsi="仿宋" w:eastAsia="仿宋"/>
          <w:b w:val="0"/>
          <w:color w:val="000000"/>
        </w:rPr>
        <w:t>一</w:t>
      </w:r>
      <w:r>
        <w:rPr>
          <w:rStyle w:val="23"/>
          <w:rFonts w:hint="eastAsia" w:ascii="仿宋" w:hAnsi="仿宋" w:eastAsia="仿宋"/>
          <w:b w:val="0"/>
          <w:bCs w:val="0"/>
        </w:rPr>
        <w:t>般公共预算财政拨款基本支出决算表</w:t>
      </w:r>
      <w:bookmarkEnd w:id="240"/>
      <w:bookmarkEnd w:id="241"/>
      <w:bookmarkEnd w:id="242"/>
      <w:bookmarkEnd w:id="243"/>
      <w:bookmarkEnd w:id="244"/>
      <w:bookmarkEnd w:id="245"/>
    </w:p>
    <w:p>
      <w:pPr>
        <w:pStyle w:val="3"/>
        <w:rPr>
          <w:rFonts w:ascii="仿宋" w:hAnsi="仿宋" w:eastAsia="仿宋"/>
          <w:color w:val="000000"/>
        </w:rPr>
      </w:pPr>
      <w:bookmarkStart w:id="246" w:name="_Toc15396627"/>
      <w:bookmarkStart w:id="247" w:name="_Toc79163644"/>
      <w:bookmarkStart w:id="248" w:name="_Toc79163894"/>
      <w:bookmarkStart w:id="249" w:name="_Toc32333"/>
      <w:bookmarkStart w:id="250" w:name="_Toc19597"/>
      <w:bookmarkStart w:id="251" w:name="_Toc21582"/>
      <w:r>
        <w:rPr>
          <w:rStyle w:val="23"/>
          <w:rFonts w:hint="eastAsia" w:ascii="仿宋" w:hAnsi="仿宋" w:eastAsia="仿宋"/>
          <w:b w:val="0"/>
          <w:bCs w:val="0"/>
        </w:rPr>
        <w:t>九、</w:t>
      </w:r>
      <w:r>
        <w:rPr>
          <w:rFonts w:hint="eastAsia" w:ascii="仿宋" w:hAnsi="仿宋" w:eastAsia="仿宋"/>
          <w:b w:val="0"/>
          <w:color w:val="000000"/>
        </w:rPr>
        <w:t>一</w:t>
      </w:r>
      <w:r>
        <w:rPr>
          <w:rStyle w:val="23"/>
          <w:rFonts w:hint="eastAsia" w:ascii="仿宋" w:hAnsi="仿宋" w:eastAsia="仿宋"/>
          <w:b w:val="0"/>
          <w:bCs w:val="0"/>
        </w:rPr>
        <w:t>般公共预算财政拨款项目支出决算表</w:t>
      </w:r>
      <w:bookmarkEnd w:id="246"/>
      <w:bookmarkEnd w:id="247"/>
      <w:bookmarkEnd w:id="248"/>
      <w:bookmarkEnd w:id="249"/>
      <w:bookmarkEnd w:id="250"/>
      <w:bookmarkEnd w:id="251"/>
    </w:p>
    <w:p>
      <w:pPr>
        <w:pStyle w:val="3"/>
        <w:rPr>
          <w:rFonts w:ascii="仿宋" w:hAnsi="仿宋" w:eastAsia="仿宋"/>
          <w:color w:val="000000"/>
        </w:rPr>
      </w:pPr>
      <w:bookmarkStart w:id="252" w:name="_Toc79163895"/>
      <w:bookmarkStart w:id="253" w:name="_Toc79163645"/>
      <w:bookmarkStart w:id="254" w:name="_Toc15396628"/>
      <w:bookmarkStart w:id="255" w:name="_Toc9177"/>
      <w:bookmarkStart w:id="256" w:name="_Toc8548"/>
      <w:bookmarkStart w:id="257" w:name="_Toc2732"/>
      <w:r>
        <w:rPr>
          <w:rStyle w:val="23"/>
          <w:rFonts w:hint="eastAsia" w:ascii="仿宋" w:hAnsi="仿宋" w:eastAsia="仿宋"/>
          <w:b w:val="0"/>
          <w:bCs w:val="0"/>
        </w:rPr>
        <w:t>十、</w:t>
      </w:r>
      <w:r>
        <w:rPr>
          <w:rFonts w:hint="eastAsia" w:ascii="仿宋" w:hAnsi="仿宋" w:eastAsia="仿宋"/>
          <w:b w:val="0"/>
          <w:color w:val="000000"/>
        </w:rPr>
        <w:t>一</w:t>
      </w:r>
      <w:r>
        <w:rPr>
          <w:rStyle w:val="23"/>
          <w:rFonts w:hint="eastAsia" w:ascii="仿宋" w:hAnsi="仿宋" w:eastAsia="仿宋"/>
          <w:b w:val="0"/>
          <w:bCs w:val="0"/>
        </w:rPr>
        <w:t>般公共预算财政拨款“三公”经费支出决算表</w:t>
      </w:r>
      <w:bookmarkEnd w:id="252"/>
      <w:bookmarkEnd w:id="253"/>
      <w:bookmarkEnd w:id="254"/>
      <w:bookmarkEnd w:id="255"/>
      <w:bookmarkEnd w:id="256"/>
      <w:bookmarkEnd w:id="257"/>
    </w:p>
    <w:p>
      <w:pPr>
        <w:pStyle w:val="3"/>
        <w:rPr>
          <w:rFonts w:ascii="仿宋" w:hAnsi="仿宋" w:eastAsia="仿宋"/>
          <w:color w:val="000000"/>
        </w:rPr>
      </w:pPr>
      <w:bookmarkStart w:id="258" w:name="_Toc15396629"/>
      <w:bookmarkStart w:id="259" w:name="_Toc79163646"/>
      <w:bookmarkStart w:id="260" w:name="_Toc79163896"/>
      <w:bookmarkStart w:id="261" w:name="_Toc26253"/>
      <w:bookmarkStart w:id="262" w:name="_Toc5127"/>
      <w:bookmarkStart w:id="263" w:name="_Toc9009"/>
      <w:r>
        <w:rPr>
          <w:rStyle w:val="23"/>
          <w:rFonts w:hint="eastAsia" w:ascii="仿宋" w:hAnsi="仿宋" w:eastAsia="仿宋"/>
          <w:b w:val="0"/>
          <w:bCs w:val="0"/>
        </w:rPr>
        <w:t>十一、</w:t>
      </w:r>
      <w:r>
        <w:rPr>
          <w:rFonts w:hint="eastAsia" w:ascii="仿宋" w:hAnsi="仿宋" w:eastAsia="仿宋"/>
          <w:b w:val="0"/>
          <w:color w:val="000000"/>
        </w:rPr>
        <w:t>政</w:t>
      </w:r>
      <w:r>
        <w:rPr>
          <w:rStyle w:val="23"/>
          <w:rFonts w:hint="eastAsia" w:ascii="仿宋" w:hAnsi="仿宋" w:eastAsia="仿宋"/>
          <w:b w:val="0"/>
          <w:bCs w:val="0"/>
        </w:rPr>
        <w:t>府性基金预算财政拨款收入支出决算表</w:t>
      </w:r>
      <w:bookmarkEnd w:id="258"/>
      <w:bookmarkEnd w:id="259"/>
      <w:bookmarkEnd w:id="260"/>
      <w:bookmarkEnd w:id="261"/>
      <w:bookmarkEnd w:id="262"/>
      <w:bookmarkEnd w:id="263"/>
    </w:p>
    <w:p>
      <w:pPr>
        <w:pStyle w:val="3"/>
        <w:rPr>
          <w:rFonts w:ascii="仿宋" w:hAnsi="仿宋" w:eastAsia="仿宋"/>
          <w:color w:val="000000"/>
        </w:rPr>
      </w:pPr>
      <w:bookmarkStart w:id="264" w:name="_Toc15396630"/>
      <w:bookmarkStart w:id="265" w:name="_Toc79163647"/>
      <w:bookmarkStart w:id="266" w:name="_Toc79163897"/>
      <w:bookmarkStart w:id="267" w:name="_Toc29022"/>
      <w:bookmarkStart w:id="268" w:name="_Toc22935"/>
      <w:bookmarkStart w:id="269" w:name="_Toc25914"/>
      <w:r>
        <w:rPr>
          <w:rStyle w:val="23"/>
          <w:rFonts w:hint="eastAsia" w:ascii="仿宋" w:hAnsi="仿宋" w:eastAsia="仿宋"/>
          <w:b w:val="0"/>
          <w:bCs w:val="0"/>
        </w:rPr>
        <w:t>十二、</w:t>
      </w:r>
      <w:r>
        <w:rPr>
          <w:rFonts w:hint="eastAsia" w:ascii="仿宋" w:hAnsi="仿宋" w:eastAsia="仿宋"/>
          <w:b w:val="0"/>
          <w:color w:val="000000"/>
        </w:rPr>
        <w:t>政</w:t>
      </w:r>
      <w:r>
        <w:rPr>
          <w:rStyle w:val="23"/>
          <w:rFonts w:hint="eastAsia" w:ascii="仿宋" w:hAnsi="仿宋" w:eastAsia="仿宋"/>
          <w:b w:val="0"/>
          <w:bCs w:val="0"/>
        </w:rPr>
        <w:t>府性基金预算财政拨款“三公”经费支出决算表</w:t>
      </w:r>
      <w:bookmarkEnd w:id="264"/>
      <w:bookmarkEnd w:id="265"/>
      <w:bookmarkEnd w:id="266"/>
      <w:bookmarkEnd w:id="267"/>
      <w:bookmarkEnd w:id="268"/>
      <w:bookmarkEnd w:id="269"/>
    </w:p>
    <w:p>
      <w:pPr>
        <w:pStyle w:val="3"/>
        <w:rPr>
          <w:rStyle w:val="23"/>
          <w:rFonts w:ascii="仿宋" w:hAnsi="仿宋" w:eastAsia="仿宋"/>
          <w:b w:val="0"/>
          <w:bCs w:val="0"/>
        </w:rPr>
      </w:pPr>
      <w:bookmarkStart w:id="270" w:name="_Toc15396631"/>
      <w:bookmarkStart w:id="271" w:name="_Toc79163648"/>
      <w:bookmarkStart w:id="272" w:name="_Toc79163898"/>
      <w:bookmarkStart w:id="273" w:name="_Toc20821"/>
      <w:bookmarkStart w:id="274" w:name="_Toc7594"/>
      <w:bookmarkStart w:id="275" w:name="_Toc258"/>
      <w:r>
        <w:rPr>
          <w:rStyle w:val="23"/>
          <w:rFonts w:hint="eastAsia" w:ascii="仿宋" w:hAnsi="仿宋" w:eastAsia="仿宋"/>
          <w:b w:val="0"/>
          <w:bCs w:val="0"/>
        </w:rPr>
        <w:t>十三、</w:t>
      </w:r>
      <w:r>
        <w:rPr>
          <w:rFonts w:hint="eastAsia" w:ascii="仿宋" w:hAnsi="仿宋" w:eastAsia="仿宋"/>
          <w:b w:val="0"/>
          <w:color w:val="000000"/>
        </w:rPr>
        <w:t>国</w:t>
      </w:r>
      <w:r>
        <w:rPr>
          <w:rStyle w:val="23"/>
          <w:rFonts w:hint="eastAsia" w:ascii="仿宋" w:hAnsi="仿宋" w:eastAsia="仿宋"/>
          <w:b w:val="0"/>
          <w:bCs w:val="0"/>
        </w:rPr>
        <w:t>有资本经营预算财政拨款支出决算表</w:t>
      </w:r>
      <w:bookmarkEnd w:id="270"/>
      <w:bookmarkEnd w:id="271"/>
      <w:bookmarkEnd w:id="272"/>
      <w:bookmarkEnd w:id="273"/>
      <w:bookmarkEnd w:id="274"/>
      <w:bookmarkEnd w:id="275"/>
    </w:p>
    <w:p>
      <w:pPr>
        <w:pStyle w:val="3"/>
        <w:rPr>
          <w:rStyle w:val="23"/>
          <w:rFonts w:ascii="仿宋" w:hAnsi="仿宋" w:eastAsia="仿宋"/>
          <w:b w:val="0"/>
          <w:bCs w:val="0"/>
        </w:rPr>
      </w:pPr>
      <w:bookmarkStart w:id="276" w:name="_Toc79163649"/>
      <w:bookmarkStart w:id="277" w:name="_Toc79163899"/>
      <w:bookmarkStart w:id="278" w:name="_Toc1184"/>
      <w:bookmarkStart w:id="279" w:name="_Toc2968"/>
      <w:bookmarkStart w:id="280" w:name="_Toc14831"/>
      <w:r>
        <w:rPr>
          <w:rStyle w:val="23"/>
          <w:rFonts w:hint="eastAsia" w:ascii="仿宋" w:hAnsi="仿宋" w:eastAsia="仿宋"/>
          <w:b w:val="0"/>
          <w:bCs w:val="0"/>
        </w:rPr>
        <w:t>十四、国有资本经营预算财政拨款支出决算表</w:t>
      </w:r>
      <w:bookmarkEnd w:id="276"/>
      <w:bookmarkEnd w:id="277"/>
      <w:bookmarkEnd w:id="278"/>
      <w:bookmarkEnd w:id="279"/>
      <w:bookmarkEnd w:id="280"/>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等线">
    <w:altName w:val="微软雅黑"/>
    <w:panose1 w:val="00000000000000000000"/>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0000000000000000000"/>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3</w:t>
    </w:r>
    <w:r>
      <w:fldChar w:fldCharType="end"/>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CA4652C"/>
    <w:multiLevelType w:val="singleLevel"/>
    <w:tmpl w:val="ACA4652C"/>
    <w:lvl w:ilvl="0" w:tentative="0">
      <w:start w:val="2"/>
      <w:numFmt w:val="decimal"/>
      <w:suff w:val="nothing"/>
      <w:lvlText w:val="（%1）"/>
      <w:lvlJc w:val="left"/>
    </w:lvl>
  </w:abstractNum>
  <w:abstractNum w:abstractNumId="1">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2">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3">
    <w:nsid w:val="1272550B"/>
    <w:multiLevelType w:val="multilevel"/>
    <w:tmpl w:val="1272550B"/>
    <w:lvl w:ilvl="0" w:tentative="0">
      <w:start w:val="1"/>
      <w:numFmt w:val="japaneseCounting"/>
      <w:lvlText w:val="%1、"/>
      <w:lvlJc w:val="left"/>
      <w:pPr>
        <w:ind w:left="135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4">
    <w:nsid w:val="3CF4A13E"/>
    <w:multiLevelType w:val="singleLevel"/>
    <w:tmpl w:val="3CF4A13E"/>
    <w:lvl w:ilvl="0" w:tentative="0">
      <w:start w:val="2"/>
      <w:numFmt w:val="chineseCounting"/>
      <w:suff w:val="nothing"/>
      <w:lvlText w:val="（%1）"/>
      <w:lvlJc w:val="left"/>
      <w:rPr>
        <w:rFonts w:hint="eastAsia"/>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91FB4"/>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3AF1"/>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87D"/>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81A47"/>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C2607"/>
    <w:rsid w:val="00FD3CC1"/>
    <w:rsid w:val="00FF1E02"/>
    <w:rsid w:val="00FF30B4"/>
    <w:rsid w:val="032C631C"/>
    <w:rsid w:val="03561D98"/>
    <w:rsid w:val="047F68BE"/>
    <w:rsid w:val="09F71BD3"/>
    <w:rsid w:val="09FC3C48"/>
    <w:rsid w:val="0A01665A"/>
    <w:rsid w:val="0A2032A3"/>
    <w:rsid w:val="0AD565C6"/>
    <w:rsid w:val="0B554CB8"/>
    <w:rsid w:val="0C2541AA"/>
    <w:rsid w:val="0F9575B7"/>
    <w:rsid w:val="104908F1"/>
    <w:rsid w:val="10A07175"/>
    <w:rsid w:val="10C055FF"/>
    <w:rsid w:val="118107EC"/>
    <w:rsid w:val="13136DD7"/>
    <w:rsid w:val="137B6D8D"/>
    <w:rsid w:val="16BB723D"/>
    <w:rsid w:val="194E6DCB"/>
    <w:rsid w:val="1D155CEE"/>
    <w:rsid w:val="1E413BC2"/>
    <w:rsid w:val="1F272A52"/>
    <w:rsid w:val="233E6A67"/>
    <w:rsid w:val="2387532D"/>
    <w:rsid w:val="240371BF"/>
    <w:rsid w:val="24212FE5"/>
    <w:rsid w:val="25BE225F"/>
    <w:rsid w:val="26A41B68"/>
    <w:rsid w:val="290C35FD"/>
    <w:rsid w:val="29FD04D3"/>
    <w:rsid w:val="2DAE6DB1"/>
    <w:rsid w:val="2EA509A6"/>
    <w:rsid w:val="2EF474A9"/>
    <w:rsid w:val="319F2662"/>
    <w:rsid w:val="319F7F4E"/>
    <w:rsid w:val="320B2E4B"/>
    <w:rsid w:val="37C06D19"/>
    <w:rsid w:val="38AF0092"/>
    <w:rsid w:val="3E633A64"/>
    <w:rsid w:val="42087C73"/>
    <w:rsid w:val="4989217A"/>
    <w:rsid w:val="4ECE2238"/>
    <w:rsid w:val="4FA05CE9"/>
    <w:rsid w:val="50D53A17"/>
    <w:rsid w:val="578F14CC"/>
    <w:rsid w:val="5B550240"/>
    <w:rsid w:val="5C5B2A5D"/>
    <w:rsid w:val="5F53371F"/>
    <w:rsid w:val="60F96E92"/>
    <w:rsid w:val="63263993"/>
    <w:rsid w:val="63666053"/>
    <w:rsid w:val="63BA59EB"/>
    <w:rsid w:val="64912A30"/>
    <w:rsid w:val="67C12C05"/>
    <w:rsid w:val="69C94CE0"/>
    <w:rsid w:val="6A804558"/>
    <w:rsid w:val="6AC56813"/>
    <w:rsid w:val="6BB85B43"/>
    <w:rsid w:val="6C4A05C8"/>
    <w:rsid w:val="6ECA7E77"/>
    <w:rsid w:val="70A11322"/>
    <w:rsid w:val="70CC164D"/>
    <w:rsid w:val="72734D90"/>
    <w:rsid w:val="74021EC5"/>
    <w:rsid w:val="744D7CD4"/>
    <w:rsid w:val="74806BBB"/>
    <w:rsid w:val="781D0704"/>
    <w:rsid w:val="78495725"/>
    <w:rsid w:val="7AD45EB1"/>
    <w:rsid w:val="7B4372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3"/>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24"/>
    <w:qFormat/>
    <w:uiPriority w:val="9"/>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1260"/>
      <w:jc w:val="left"/>
    </w:pPr>
    <w:rPr>
      <w:rFonts w:asciiTheme="minorHAnsi" w:eastAsiaTheme="minorHAnsi"/>
      <w:sz w:val="18"/>
      <w:szCs w:val="18"/>
    </w:rPr>
  </w:style>
  <w:style w:type="paragraph" w:styleId="6">
    <w:name w:val="Body Text"/>
    <w:basedOn w:val="1"/>
    <w:link w:val="31"/>
    <w:qFormat/>
    <w:uiPriority w:val="99"/>
    <w:pPr>
      <w:spacing w:beforeLines="30"/>
    </w:pPr>
    <w:rPr>
      <w:rFonts w:ascii="仿宋_GB2312" w:eastAsia="仿宋_GB2312"/>
      <w:kern w:val="0"/>
      <w:sz w:val="24"/>
      <w:szCs w:val="20"/>
      <w:lang w:val="zh-CN" w:eastAsia="zh-CN"/>
    </w:rPr>
  </w:style>
  <w:style w:type="paragraph" w:styleId="7">
    <w:name w:val="toc 5"/>
    <w:basedOn w:val="1"/>
    <w:next w:val="1"/>
    <w:unhideWhenUsed/>
    <w:qFormat/>
    <w:uiPriority w:val="39"/>
    <w:pPr>
      <w:ind w:left="840"/>
      <w:jc w:val="left"/>
    </w:pPr>
    <w:rPr>
      <w:rFonts w:asciiTheme="minorHAnsi" w:eastAsiaTheme="minorHAnsi"/>
      <w:sz w:val="18"/>
      <w:szCs w:val="18"/>
    </w:rPr>
  </w:style>
  <w:style w:type="paragraph" w:styleId="8">
    <w:name w:val="toc 3"/>
    <w:basedOn w:val="1"/>
    <w:next w:val="1"/>
    <w:unhideWhenUsed/>
    <w:qFormat/>
    <w:uiPriority w:val="39"/>
    <w:pPr>
      <w:ind w:left="420"/>
      <w:jc w:val="left"/>
    </w:pPr>
    <w:rPr>
      <w:rFonts w:asciiTheme="minorHAnsi" w:eastAsiaTheme="minorHAnsi"/>
      <w:i/>
      <w:iCs/>
      <w:sz w:val="20"/>
      <w:szCs w:val="20"/>
    </w:rPr>
  </w:style>
  <w:style w:type="paragraph" w:styleId="9">
    <w:name w:val="toc 8"/>
    <w:basedOn w:val="1"/>
    <w:next w:val="1"/>
    <w:unhideWhenUsed/>
    <w:qFormat/>
    <w:uiPriority w:val="39"/>
    <w:pPr>
      <w:ind w:left="1470"/>
      <w:jc w:val="left"/>
    </w:pPr>
    <w:rPr>
      <w:rFonts w:asciiTheme="minorHAnsi" w:eastAsiaTheme="minorHAnsi"/>
      <w:sz w:val="18"/>
      <w:szCs w:val="18"/>
    </w:rPr>
  </w:style>
  <w:style w:type="paragraph" w:styleId="10">
    <w:name w:val="Balloon Text"/>
    <w:basedOn w:val="1"/>
    <w:link w:val="26"/>
    <w:semiHidden/>
    <w:unhideWhenUsed/>
    <w:qFormat/>
    <w:uiPriority w:val="99"/>
    <w:rPr>
      <w:sz w:val="18"/>
      <w:szCs w:val="18"/>
    </w:rPr>
  </w:style>
  <w:style w:type="paragraph" w:styleId="11">
    <w:name w:val="footer"/>
    <w:basedOn w:val="1"/>
    <w:link w:val="30"/>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2">
    <w:name w:val="header"/>
    <w:basedOn w:val="1"/>
    <w:link w:val="29"/>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3">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4">
    <w:name w:val="toc 4"/>
    <w:basedOn w:val="1"/>
    <w:next w:val="1"/>
    <w:unhideWhenUsed/>
    <w:qFormat/>
    <w:uiPriority w:val="39"/>
    <w:pPr>
      <w:ind w:left="630"/>
      <w:jc w:val="left"/>
    </w:pPr>
    <w:rPr>
      <w:rFonts w:asciiTheme="minorHAnsi" w:eastAsiaTheme="minorHAnsi"/>
      <w:sz w:val="18"/>
      <w:szCs w:val="18"/>
    </w:rPr>
  </w:style>
  <w:style w:type="paragraph" w:styleId="15">
    <w:name w:val="toc 6"/>
    <w:basedOn w:val="1"/>
    <w:next w:val="1"/>
    <w:unhideWhenUsed/>
    <w:qFormat/>
    <w:uiPriority w:val="39"/>
    <w:pPr>
      <w:ind w:left="1050"/>
      <w:jc w:val="left"/>
    </w:pPr>
    <w:rPr>
      <w:rFonts w:asciiTheme="minorHAnsi" w:eastAsiaTheme="minorHAnsi"/>
      <w:sz w:val="18"/>
      <w:szCs w:val="18"/>
    </w:rPr>
  </w:style>
  <w:style w:type="paragraph" w:styleId="16">
    <w:name w:val="toc 2"/>
    <w:basedOn w:val="1"/>
    <w:next w:val="1"/>
    <w:unhideWhenUsed/>
    <w:qFormat/>
    <w:uiPriority w:val="39"/>
    <w:pPr>
      <w:ind w:left="210"/>
      <w:jc w:val="left"/>
    </w:pPr>
    <w:rPr>
      <w:rFonts w:asciiTheme="minorHAnsi" w:eastAsiaTheme="minorHAnsi"/>
      <w:smallCaps/>
      <w:sz w:val="20"/>
      <w:szCs w:val="20"/>
    </w:rPr>
  </w:style>
  <w:style w:type="paragraph" w:styleId="17">
    <w:name w:val="toc 9"/>
    <w:basedOn w:val="1"/>
    <w:next w:val="1"/>
    <w:unhideWhenUsed/>
    <w:qFormat/>
    <w:uiPriority w:val="39"/>
    <w:pPr>
      <w:ind w:left="1680"/>
      <w:jc w:val="left"/>
    </w:pPr>
    <w:rPr>
      <w:rFonts w:asciiTheme="minorHAnsi" w:eastAsiaTheme="minorHAnsi"/>
      <w:sz w:val="18"/>
      <w:szCs w:val="18"/>
    </w:rPr>
  </w:style>
  <w:style w:type="character" w:styleId="20">
    <w:name w:val="Strong"/>
    <w:basedOn w:val="19"/>
    <w:qFormat/>
    <w:uiPriority w:val="99"/>
    <w:rPr>
      <w:rFonts w:cs="Times New Roman"/>
      <w:b/>
    </w:rPr>
  </w:style>
  <w:style w:type="character" w:styleId="21">
    <w:name w:val="Hyperlink"/>
    <w:basedOn w:val="19"/>
    <w:unhideWhenUsed/>
    <w:qFormat/>
    <w:uiPriority w:val="99"/>
    <w:rPr>
      <w:rFonts w:cs="Times New Roman"/>
      <w:color w:val="0000FF"/>
      <w:u w:val="single"/>
    </w:rPr>
  </w:style>
  <w:style w:type="character" w:customStyle="1" w:styleId="22">
    <w:name w:val="标题 1 Char"/>
    <w:basedOn w:val="19"/>
    <w:link w:val="2"/>
    <w:qFormat/>
    <w:locked/>
    <w:uiPriority w:val="9"/>
    <w:rPr>
      <w:rFonts w:ascii="Times New Roman" w:hAnsi="Times New Roman" w:cs="Times New Roman"/>
      <w:b/>
      <w:bCs/>
      <w:kern w:val="44"/>
      <w:sz w:val="44"/>
      <w:szCs w:val="44"/>
    </w:rPr>
  </w:style>
  <w:style w:type="character" w:customStyle="1" w:styleId="23">
    <w:name w:val="标题 2 Char"/>
    <w:basedOn w:val="19"/>
    <w:link w:val="3"/>
    <w:qFormat/>
    <w:locked/>
    <w:uiPriority w:val="9"/>
    <w:rPr>
      <w:rFonts w:ascii="Cambria" w:hAnsi="Cambria" w:eastAsia="宋体" w:cs="Times New Roman"/>
      <w:b/>
      <w:bCs/>
      <w:kern w:val="2"/>
      <w:sz w:val="32"/>
      <w:szCs w:val="32"/>
    </w:rPr>
  </w:style>
  <w:style w:type="character" w:customStyle="1" w:styleId="24">
    <w:name w:val="标题 3 Char"/>
    <w:basedOn w:val="19"/>
    <w:link w:val="4"/>
    <w:qFormat/>
    <w:locked/>
    <w:uiPriority w:val="9"/>
    <w:rPr>
      <w:rFonts w:ascii="Times New Roman" w:hAnsi="Times New Roman" w:cs="Times New Roman"/>
      <w:b/>
      <w:bCs/>
      <w:kern w:val="2"/>
      <w:sz w:val="32"/>
      <w:szCs w:val="32"/>
    </w:rPr>
  </w:style>
  <w:style w:type="character" w:customStyle="1" w:styleId="25">
    <w:name w:val="Body Text Char"/>
    <w:basedOn w:val="19"/>
    <w:semiHidden/>
    <w:qFormat/>
    <w:uiPriority w:val="99"/>
    <w:rPr>
      <w:rFonts w:ascii="Times New Roman" w:hAnsi="Times New Roman" w:cs="Times New Roman"/>
      <w:sz w:val="24"/>
      <w:szCs w:val="24"/>
    </w:rPr>
  </w:style>
  <w:style w:type="character" w:customStyle="1" w:styleId="26">
    <w:name w:val="批注框文本 Char"/>
    <w:basedOn w:val="19"/>
    <w:link w:val="10"/>
    <w:semiHidden/>
    <w:qFormat/>
    <w:locked/>
    <w:uiPriority w:val="99"/>
    <w:rPr>
      <w:rFonts w:ascii="Times New Roman" w:hAnsi="Times New Roman" w:cs="Times New Roman"/>
      <w:kern w:val="2"/>
      <w:sz w:val="18"/>
      <w:szCs w:val="18"/>
    </w:rPr>
  </w:style>
  <w:style w:type="character" w:customStyle="1" w:styleId="27">
    <w:name w:val="Footer Char"/>
    <w:basedOn w:val="19"/>
    <w:semiHidden/>
    <w:qFormat/>
    <w:uiPriority w:val="99"/>
    <w:rPr>
      <w:rFonts w:ascii="Times New Roman" w:hAnsi="Times New Roman" w:cs="Times New Roman"/>
      <w:sz w:val="18"/>
      <w:szCs w:val="18"/>
    </w:rPr>
  </w:style>
  <w:style w:type="character" w:customStyle="1" w:styleId="28">
    <w:name w:val="Header Char"/>
    <w:basedOn w:val="19"/>
    <w:semiHidden/>
    <w:qFormat/>
    <w:uiPriority w:val="99"/>
    <w:rPr>
      <w:rFonts w:ascii="Times New Roman" w:hAnsi="Times New Roman" w:cs="Times New Roman"/>
      <w:sz w:val="18"/>
      <w:szCs w:val="18"/>
    </w:rPr>
  </w:style>
  <w:style w:type="character" w:customStyle="1" w:styleId="29">
    <w:name w:val="页眉 Char"/>
    <w:link w:val="12"/>
    <w:semiHidden/>
    <w:qFormat/>
    <w:locked/>
    <w:uiPriority w:val="99"/>
    <w:rPr>
      <w:sz w:val="18"/>
    </w:rPr>
  </w:style>
  <w:style w:type="character" w:customStyle="1" w:styleId="30">
    <w:name w:val="页脚 Char"/>
    <w:link w:val="11"/>
    <w:qFormat/>
    <w:locked/>
    <w:uiPriority w:val="99"/>
    <w:rPr>
      <w:sz w:val="18"/>
    </w:rPr>
  </w:style>
  <w:style w:type="character" w:customStyle="1" w:styleId="31">
    <w:name w:val="正文文本 Char"/>
    <w:link w:val="6"/>
    <w:qFormat/>
    <w:locked/>
    <w:uiPriority w:val="99"/>
    <w:rPr>
      <w:rFonts w:ascii="仿宋_GB2312" w:hAnsi="Times New Roman" w:eastAsia="仿宋_GB2312"/>
      <w:sz w:val="24"/>
    </w:rPr>
  </w:style>
  <w:style w:type="paragraph" w:customStyle="1" w:styleId="3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3">
    <w:name w:val="列表段落1"/>
    <w:basedOn w:val="1"/>
    <w:qFormat/>
    <w:uiPriority w:val="34"/>
    <w:pPr>
      <w:ind w:firstLine="420" w:firstLineChars="200"/>
    </w:pPr>
  </w:style>
  <w:style w:type="paragraph" w:customStyle="1" w:styleId="34">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5">
    <w:name w:val="TOC Heading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6">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37">
    <w:name w:val="正文1"/>
    <w:qFormat/>
    <w:uiPriority w:val="0"/>
    <w:pPr>
      <w:jc w:val="both"/>
    </w:pPr>
    <w:rPr>
      <w:rFonts w:ascii="Times New Roman" w:hAnsi="Times New Roman" w:eastAsia="宋体" w:cs="Times New Roman"/>
      <w:kern w:val="2"/>
      <w:sz w:val="21"/>
      <w:szCs w:val="21"/>
      <w:lang w:val="en-US" w:eastAsia="zh-CN" w:bidi="ar-SA"/>
    </w:rPr>
  </w:style>
  <w:style w:type="paragraph" w:styleId="38">
    <w:name w:val="No Spacing"/>
    <w:qFormat/>
    <w:uiPriority w:val="1"/>
    <w:pPr>
      <w:widowControl w:val="0"/>
      <w:jc w:val="both"/>
    </w:pPr>
    <w:rPr>
      <w:rFonts w:ascii="Calibri" w:hAnsi="Calibri" w:eastAsia="宋体" w:cs="Times New Roman"/>
      <w:kern w:val="2"/>
      <w:sz w:val="21"/>
      <w:szCs w:val="22"/>
      <w:lang w:val="en-US" w:eastAsia="zh-CN" w:bidi="ar-SA"/>
    </w:rPr>
  </w:style>
  <w:style w:type="character" w:customStyle="1" w:styleId="39">
    <w:name w:val="apple-converted-space"/>
    <w:basedOn w:val="19"/>
    <w:qFormat/>
    <w:uiPriority w:val="0"/>
  </w:style>
  <w:style w:type="paragraph" w:customStyle="1" w:styleId="40">
    <w:name w:val="列出段落1"/>
    <w:basedOn w:val="1"/>
    <w:qFormat/>
    <w:uiPriority w:val="0"/>
    <w:pPr>
      <w:ind w:firstLine="420" w:firstLineChars="200"/>
    </w:pPr>
    <w:rPr>
      <w:szCs w:val="21"/>
    </w:rPr>
  </w:style>
  <w:style w:type="character" w:customStyle="1" w:styleId="41">
    <w:name w:val="15"/>
    <w:basedOn w:val="19"/>
    <w:qFormat/>
    <w:uiPriority w:val="0"/>
    <w:rPr>
      <w:rFonts w:hint="default" w:ascii="Cambria" w:hAnsi="Cambria" w:eastAsia="宋体" w:cs="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38468;&#20214;2&#65306;2021&#24180;&#21333;.xls"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Desktop\&#38468;&#20214;2&#65306;2021&#24180;&#21333;.xls"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Administrator\Desktop\&#38468;&#20214;2&#65306;2021&#24180;&#21333;.xls"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Administrator\Desktop\&#38468;&#20214;2&#65306;2021&#24180;&#21333;.xls"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Administrator\Desktop\&#38468;&#20214;2&#65306;2021&#24180;&#21333;.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收、支决算总计变动情况图</a:t>
            </a:r>
          </a:p>
        </c:rich>
      </c:tx>
      <c:layout/>
      <c:overlay val="0"/>
      <c:spPr>
        <a:noFill/>
        <a:ln>
          <a:noFill/>
        </a:ln>
        <a:effectLst/>
      </c:spPr>
    </c:title>
    <c:autoTitleDeleted val="0"/>
    <c:plotArea>
      <c:layout>
        <c:manualLayout>
          <c:layoutTarget val="inner"/>
          <c:xMode val="edge"/>
          <c:yMode val="edge"/>
          <c:x val="0.0691111111111111"/>
          <c:y val="0.273106439773106"/>
          <c:w val="0.890888888888889"/>
          <c:h val="0.557524190857524"/>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'[附件2：2021年单.xls]Sheet2'!$B$1:$B$2</c:f>
              <c:strCache>
                <c:ptCount val="2"/>
                <c:pt idx="0">
                  <c:v>2020年</c:v>
                </c:pt>
                <c:pt idx="1">
                  <c:v>2019年</c:v>
                </c:pt>
              </c:strCache>
            </c:strRef>
          </c:cat>
          <c:val>
            <c:numRef>
              <c:f>'[附件2：2021年单.xls]Sheet2'!$C$1:$C$2</c:f>
              <c:numCache>
                <c:formatCode>General</c:formatCode>
                <c:ptCount val="2"/>
                <c:pt idx="0">
                  <c:v>198.99</c:v>
                </c:pt>
                <c:pt idx="1">
                  <c:v>271.8</c:v>
                </c:pt>
              </c:numCache>
            </c:numRef>
          </c:val>
        </c:ser>
        <c:dLbls>
          <c:showLegendKey val="0"/>
          <c:showVal val="1"/>
          <c:showCatName val="0"/>
          <c:showSerName val="0"/>
          <c:showPercent val="0"/>
          <c:showBubbleSize val="0"/>
        </c:dLbls>
        <c:gapWidth val="219"/>
        <c:overlap val="-27"/>
        <c:axId val="460104882"/>
        <c:axId val="608930369"/>
      </c:barChart>
      <c:catAx>
        <c:axId val="46010488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08930369"/>
        <c:crosses val="autoZero"/>
        <c:auto val="1"/>
        <c:lblAlgn val="ctr"/>
        <c:lblOffset val="100"/>
        <c:noMultiLvlLbl val="0"/>
      </c:catAx>
      <c:valAx>
        <c:axId val="60893036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6010488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a:defRPr lang="zh-CN" sz="1200" b="1" i="0" u="none" strike="noStrike" kern="1200" baseline="0">
                <a:solidFill>
                  <a:schemeClr val="tx1"/>
                </a:solidFill>
                <a:latin typeface="+mn-lt"/>
                <a:ea typeface="+mn-ea"/>
                <a:cs typeface="+mn-cs"/>
              </a:defRPr>
            </a:pPr>
            <a:r>
              <a:rPr lang="en-US" altLang="zh-CN" sz="1200"/>
              <a:t>2020</a:t>
            </a:r>
            <a:r>
              <a:rPr lang="zh-CN" altLang="en-US" sz="1200"/>
              <a:t>年收入决算结构图</a:t>
            </a:r>
            <a:endParaRPr lang="zh-CN" altLang="en-US" sz="1200"/>
          </a:p>
        </c:rich>
      </c:tx>
      <c:layout/>
      <c:overlay val="0"/>
      <c:spPr>
        <a:noFill/>
        <a:ln>
          <a:noFill/>
        </a:ln>
        <a:effectLst/>
      </c:spPr>
    </c:title>
    <c:autoTitleDeleted val="0"/>
    <c:plotArea>
      <c:layout>
        <c:manualLayout>
          <c:layoutTarget val="inner"/>
          <c:xMode val="edge"/>
          <c:yMode val="edge"/>
          <c:x val="0.215995924342381"/>
          <c:y val="0.217391304347826"/>
          <c:w val="0.296150696150696"/>
          <c:h val="0.655072463768117"/>
        </c:manualLayout>
      </c:layout>
      <c:pieChart>
        <c:varyColors val="1"/>
        <c:ser>
          <c:idx val="0"/>
          <c:order val="0"/>
          <c:tx>
            <c:strRef>
              <c:f>Sheet1!$B$1</c:f>
              <c:strCache>
                <c:ptCount val="1"/>
                <c:pt idx="0">
                  <c:v>2019年部门决算收入结构图</c:v>
                </c:pt>
              </c:strCache>
            </c:strRef>
          </c:tx>
          <c:spPr>
            <a:effectLst/>
          </c:spPr>
          <c:explosion val="0"/>
          <c:dPt>
            <c:idx val="0"/>
            <c:bubble3D val="0"/>
            <c:explosion val="0"/>
            <c:spPr>
              <a:solidFill>
                <a:schemeClr val="accent1">
                  <a:shade val="76667"/>
                </a:schemeClr>
              </a:solidFill>
              <a:ln>
                <a:noFill/>
              </a:ln>
              <a:effectLst/>
            </c:spPr>
          </c:dPt>
          <c:dPt>
            <c:idx val="1"/>
            <c:bubble3D val="0"/>
            <c:explosion val="0"/>
            <c:spPr>
              <a:solidFill>
                <a:schemeClr val="accent2">
                  <a:shade val="76667"/>
                </a:schemeClr>
              </a:solidFill>
              <a:ln>
                <a:noFill/>
              </a:ln>
              <a:effectLst/>
            </c:spPr>
          </c:dPt>
          <c:dPt>
            <c:idx val="2"/>
            <c:bubble3D val="0"/>
            <c:explosion val="0"/>
            <c:spPr>
              <a:solidFill>
                <a:schemeClr val="accent3">
                  <a:shade val="76667"/>
                </a:schemeClr>
              </a:solidFill>
              <a:ln>
                <a:noFill/>
              </a:ln>
              <a:effectLst/>
            </c:spPr>
          </c:dPt>
          <c:dPt>
            <c:idx val="3"/>
            <c:bubble3D val="0"/>
            <c:explosion val="0"/>
            <c:spPr>
              <a:solidFill>
                <a:schemeClr val="accent4">
                  <a:shade val="76667"/>
                </a:schemeClr>
              </a:solidFill>
              <a:ln>
                <a:noFill/>
              </a:ln>
              <a:effectLst/>
            </c:spPr>
          </c:dPt>
          <c:dPt>
            <c:idx val="4"/>
            <c:bubble3D val="0"/>
            <c:explosion val="0"/>
            <c:spPr>
              <a:solidFill>
                <a:schemeClr val="accent5">
                  <a:shade val="76667"/>
                </a:schemeClr>
              </a:solidFill>
              <a:ln>
                <a:noFill/>
              </a:ln>
              <a:effectLst/>
            </c:spPr>
          </c:dPt>
          <c:dPt>
            <c:idx val="5"/>
            <c:bubble3D val="0"/>
            <c:explosion val="0"/>
            <c:spPr>
              <a:solidFill>
                <a:schemeClr val="accent6">
                  <a:shade val="76667"/>
                </a:schemeClr>
              </a:solidFill>
              <a:ln>
                <a:noFill/>
              </a:ln>
              <a:effectLst/>
            </c:spPr>
          </c:dPt>
          <c:dPt>
            <c:idx val="6"/>
            <c:bubble3D val="0"/>
            <c:explosion val="0"/>
            <c:spPr>
              <a:solidFill>
                <a:schemeClr val="accent1">
                  <a:tint val="76667"/>
                </a:schemeClr>
              </a:solidFill>
              <a:ln>
                <a:noFill/>
              </a:ln>
              <a:effectLst/>
            </c:spPr>
          </c:dPt>
          <c:dLbls>
            <c:dLbl>
              <c:idx val="0"/>
              <c:layout>
                <c:manualLayout>
                  <c:x val="0.00527981755089603"/>
                  <c:y val="-0.34695619569293"/>
                </c:manualLayout>
              </c:layout>
              <c:tx>
                <c:rich>
                  <a:bodyPr rot="0" spcFirstLastPara="0" vertOverflow="ellipsis" vert="horz" wrap="square" lIns="38100" tIns="19050" rIns="38100" bIns="19050" anchor="ctr" anchorCtr="1"/>
                  <a:lstStyle/>
                  <a:p>
                    <a:pPr>
                      <a:defRPr lang="zh-CN" sz="1600" b="0" i="0" u="none" strike="noStrike" kern="1200" baseline="0">
                        <a:solidFill>
                          <a:schemeClr val="tx1"/>
                        </a:solidFill>
                        <a:latin typeface="+mn-lt"/>
                        <a:ea typeface="+mn-ea"/>
                        <a:cs typeface="+mn-cs"/>
                      </a:defRPr>
                    </a:pPr>
                    <a:r>
                      <a:rPr altLang="en-US" sz="1600"/>
                      <a:t>1</a:t>
                    </a:r>
                    <a:r>
                      <a:rPr altLang="en-US"/>
                      <a:t>00</a:t>
                    </a:r>
                    <a:r>
                      <a:rPr lang="en-US" altLang="zh-CN"/>
                      <a:t>%</a:t>
                    </a:r>
                    <a:endParaRPr altLang="en-US"/>
                  </a:p>
                </c:rich>
              </c:tx>
              <c:numFmt formatCode="General" sourceLinked="1"/>
              <c:spPr>
                <a:noFill/>
                <a:ln>
                  <a:noFill/>
                </a:ln>
                <a:effectLst/>
              </c:spPr>
              <c:txPr>
                <a:bodyPr rot="0" spcFirstLastPara="0" vertOverflow="ellipsis" vert="horz" wrap="square" lIns="38100" tIns="19050" rIns="38100" bIns="19050" anchor="ctr" anchorCtr="1"/>
                <a:lstStyle/>
                <a:p>
                  <a:pPr>
                    <a:defRPr lang="zh-CN" sz="16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1"/>
              <c:delete val="1"/>
            </c:dLbl>
            <c:dLbl>
              <c:idx val="2"/>
              <c:delete val="1"/>
            </c:dLbl>
            <c:dLbl>
              <c:idx val="3"/>
              <c:delete val="1"/>
            </c:dLbl>
            <c:dLbl>
              <c:idx val="4"/>
              <c:delete val="1"/>
            </c:dLbl>
            <c:dLbl>
              <c:idx val="5"/>
              <c:delete val="1"/>
            </c:dLbl>
            <c:dLbl>
              <c:idx val="6"/>
              <c:delete val="1"/>
            </c:dLbl>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1600" b="0" i="0" u="none" strike="noStrike" kern="1200" baseline="0">
                    <a:solidFill>
                      <a:schemeClr val="tx1"/>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solidFill>
                      <a:prstDash val="solid"/>
                      <a:round/>
                    </a:ln>
                    <a:effectLst/>
                  </c:spPr>
                </c15:leaderLines>
              </c:ext>
            </c:extLst>
          </c:dLbls>
          <c:cat>
            <c:strRef>
              <c:f>Sheet1!$A$2:$A$8</c:f>
              <c:strCache>
                <c:ptCount val="7"/>
                <c:pt idx="0">
                  <c:v>一般公共预算财政拨款收入</c:v>
                </c:pt>
                <c:pt idx="1">
                  <c:v>政府性基金预算财政拨款收入</c:v>
                </c:pt>
                <c:pt idx="2">
                  <c:v>上级补助收入</c:v>
                </c:pt>
                <c:pt idx="3">
                  <c:v>事业收入</c:v>
                </c:pt>
                <c:pt idx="4">
                  <c:v>经营收入</c:v>
                </c:pt>
                <c:pt idx="5">
                  <c:v>附属单位上缴收入</c:v>
                </c:pt>
                <c:pt idx="6">
                  <c:v>其他收入</c:v>
                </c:pt>
              </c:strCache>
            </c:strRef>
          </c:cat>
          <c:val>
            <c:numRef>
              <c:f>Sheet1!$B$2:$B$8</c:f>
              <c:numCache>
                <c:formatCode>General</c:formatCode>
                <c:ptCount val="7"/>
                <c:pt idx="0">
                  <c:v>100</c:v>
                </c:pt>
                <c:pt idx="6">
                  <c:v>0</c:v>
                </c:pt>
              </c:numCache>
            </c:numRef>
          </c:val>
        </c:ser>
        <c:dLbls>
          <c:showLegendKey val="0"/>
          <c:showVal val="1"/>
          <c:showCatName val="0"/>
          <c:showSerName val="0"/>
          <c:showPercent val="0"/>
          <c:showBubbleSize val="0"/>
          <c:showLeaderLines val="1"/>
        </c:dLbls>
        <c:firstSliceAng val="0"/>
      </c:pieChart>
      <c:spPr>
        <a:solidFill>
          <a:schemeClr val="bg1"/>
        </a:solidFill>
        <a:ln>
          <a:noFill/>
        </a:ln>
        <a:effectLst/>
      </c:spPr>
    </c:plotArea>
    <c:legend>
      <c:legendPos val="r"/>
      <c:layout>
        <c:manualLayout>
          <c:xMode val="edge"/>
          <c:yMode val="edge"/>
          <c:x val="0.64"/>
          <c:y val="0.192746260074381"/>
          <c:w val="0.342222222222222"/>
          <c:h val="0.738888734314572"/>
        </c:manualLayout>
      </c:layout>
      <c:overlay val="0"/>
      <c:spPr>
        <a:noFill/>
        <a:ln>
          <a:noFill/>
        </a:ln>
        <a:effectLst/>
      </c:spPr>
      <c:txPr>
        <a:bodyPr rot="0" spcFirstLastPara="0" vertOverflow="ellipsis" horzOverflow="overflow" vert="horz" wrap="square" anchor="ctr" anchorCtr="1"/>
        <a:lstStyle/>
        <a:p>
          <a:pPr>
            <a:defRPr lang="zh-CN" sz="800" b="0" i="0" u="none" strike="noStrike" kern="1200" baseline="0">
              <a:solidFill>
                <a:schemeClr val="tx1"/>
              </a:solidFill>
              <a:latin typeface="+mn-lt"/>
              <a:ea typeface="+mn-ea"/>
              <a:cs typeface="+mn-cs"/>
            </a:defRPr>
          </a:pPr>
        </a:p>
      </c:txPr>
    </c:legend>
    <c:plotVisOnly val="1"/>
    <c:dispBlanksAs val="zero"/>
    <c:showDLblsOverMax val="0"/>
  </c:chart>
  <c:spPr>
    <a:solidFill>
      <a:schemeClr val="bg1"/>
    </a:solidFill>
    <a:ln w="9525" cap="flat" cmpd="sng" algn="ctr">
      <a:solidFill>
        <a:schemeClr val="tx1">
          <a:tint val="75000"/>
        </a:schemeClr>
      </a:solidFill>
      <a:prstDash val="solid"/>
      <a:roun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2020</a:t>
            </a:r>
            <a:r>
              <a:rPr altLang="en-US"/>
              <a:t>年支出决算结构图</a:t>
            </a:r>
            <a:endParaRPr altLang="en-US"/>
          </a:p>
        </c:rich>
      </c:tx>
      <c:layout>
        <c:manualLayout>
          <c:xMode val="edge"/>
          <c:yMode val="edge"/>
          <c:x val="0.32"/>
          <c:y val="0.0183038438071995"/>
        </c:manualLayout>
      </c:layout>
      <c:overlay val="0"/>
      <c:spPr>
        <a:noFill/>
        <a:ln>
          <a:noFill/>
        </a:ln>
        <a:effectLst/>
      </c:spPr>
    </c:title>
    <c:autoTitleDeleted val="0"/>
    <c:plotArea>
      <c:layout/>
      <c:pieChart>
        <c:varyColors val="1"/>
        <c:ser>
          <c:idx val="0"/>
          <c:order val="0"/>
          <c:spPr/>
          <c:explosion val="0"/>
          <c:dPt>
            <c:idx val="0"/>
            <c:bubble3D val="0"/>
            <c:explosion val="11"/>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0"/>
              <c:layout/>
              <c:dLblPos val="bestFit"/>
              <c:showLegendKey val="0"/>
              <c:showVal val="1"/>
              <c:showCatName val="0"/>
              <c:showSerName val="0"/>
              <c:showPercent val="0"/>
              <c:showBubbleSize val="0"/>
              <c:extLst>
                <c:ext xmlns:c15="http://schemas.microsoft.com/office/drawing/2012/chart" uri="{CE6537A1-D6FC-4f65-9D91-7224C49458BB}"/>
              </c:extLst>
            </c:dLbl>
            <c:dLbl>
              <c:idx val="1"/>
              <c:layout/>
              <c:dLblPos val="bestFit"/>
              <c:showLegendKey val="0"/>
              <c:showVal val="1"/>
              <c:showCatName val="0"/>
              <c:showSerName val="0"/>
              <c:showPercent val="0"/>
              <c:showBubbleSize val="0"/>
              <c:extLst>
                <c:ext xmlns:c15="http://schemas.microsoft.com/office/drawing/2012/chart" uri="{CE6537A1-D6FC-4f65-9D91-7224C49458BB}"/>
              </c:extLst>
            </c:dLbl>
            <c:dLbl>
              <c:idx val="2"/>
              <c:delete val="1"/>
            </c:dLbl>
            <c:dLbl>
              <c:idx val="3"/>
              <c:delete val="1"/>
            </c:dLbl>
            <c:dLbl>
              <c:idx val="4"/>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Sheet2!$B$9:$B$13</c:f>
              <c:strCache>
                <c:ptCount val="5"/>
                <c:pt idx="0">
                  <c:v>基本支出</c:v>
                </c:pt>
                <c:pt idx="1">
                  <c:v>项目支出</c:v>
                </c:pt>
              </c:strCache>
            </c:strRef>
          </c:cat>
          <c:val>
            <c:numRef>
              <c:f>Sheet2!$C$9:$C$13</c:f>
              <c:numCache>
                <c:formatCode>0.00%</c:formatCode>
                <c:ptCount val="5"/>
                <c:pt idx="0">
                  <c:v>0.9978</c:v>
                </c:pt>
                <c:pt idx="1">
                  <c:v>0.0022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0844444444444444"/>
          <c:y val="0.819745034094278"/>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收、支决算总计变动情况图</a:t>
            </a:r>
          </a:p>
        </c:rich>
      </c:tx>
      <c:layout>
        <c:manualLayout>
          <c:xMode val="edge"/>
          <c:yMode val="edge"/>
          <c:x val="0.264575154146219"/>
          <c:y val="0.0324524812813629"/>
        </c:manualLayout>
      </c:layout>
      <c:overlay val="0"/>
      <c:spPr>
        <a:noFill/>
        <a:ln>
          <a:noFill/>
        </a:ln>
        <a:effectLst/>
      </c:spPr>
    </c:title>
    <c:autoTitleDeleted val="0"/>
    <c:plotArea>
      <c:layout>
        <c:manualLayout>
          <c:layoutTarget val="inner"/>
          <c:xMode val="edge"/>
          <c:yMode val="edge"/>
          <c:x val="0.0691111111111111"/>
          <c:y val="0.273106439773106"/>
          <c:w val="0.890888888888889"/>
          <c:h val="0.557524190857524"/>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'[附件2：2021年单.xls]Sheet2'!$B$1:$B$2</c:f>
              <c:strCache>
                <c:ptCount val="2"/>
                <c:pt idx="0">
                  <c:v>2020年</c:v>
                </c:pt>
                <c:pt idx="1">
                  <c:v>2019年</c:v>
                </c:pt>
              </c:strCache>
            </c:strRef>
          </c:cat>
          <c:val>
            <c:numRef>
              <c:f>'[附件2：2021年单.xls]Sheet2'!$C$1:$C$2</c:f>
              <c:numCache>
                <c:formatCode>General</c:formatCode>
                <c:ptCount val="2"/>
                <c:pt idx="0">
                  <c:v>198.99</c:v>
                </c:pt>
                <c:pt idx="1">
                  <c:v>271.8</c:v>
                </c:pt>
              </c:numCache>
            </c:numRef>
          </c:val>
        </c:ser>
        <c:dLbls>
          <c:showLegendKey val="0"/>
          <c:showVal val="1"/>
          <c:showCatName val="0"/>
          <c:showSerName val="0"/>
          <c:showPercent val="0"/>
          <c:showBubbleSize val="0"/>
        </c:dLbls>
        <c:gapWidth val="219"/>
        <c:overlap val="-27"/>
        <c:axId val="460104882"/>
        <c:axId val="608930369"/>
      </c:barChart>
      <c:catAx>
        <c:axId val="46010488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08930369"/>
        <c:crosses val="autoZero"/>
        <c:auto val="1"/>
        <c:lblAlgn val="ctr"/>
        <c:lblOffset val="100"/>
        <c:noMultiLvlLbl val="0"/>
      </c:catAx>
      <c:valAx>
        <c:axId val="60893036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6010488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p>
        </c:rich>
      </c:tx>
      <c:layout>
        <c:manualLayout>
          <c:xMode val="edge"/>
          <c:yMode val="edge"/>
          <c:x val="0.172777777777778"/>
          <c:y val="0.0208333333333333"/>
        </c:manualLayout>
      </c:layout>
      <c:overlay val="0"/>
      <c:spPr>
        <a:noFill/>
        <a:ln>
          <a:noFill/>
        </a:ln>
        <a:effectLst/>
      </c:spPr>
    </c:title>
    <c:autoTitleDeleted val="0"/>
    <c:plotArea>
      <c:layout>
        <c:manualLayout>
          <c:layoutTarget val="inner"/>
          <c:xMode val="edge"/>
          <c:yMode val="edge"/>
          <c:x val="0.0785555555555556"/>
          <c:y val="0.241885143570537"/>
          <c:w val="0.890888888888889"/>
          <c:h val="0.59812734082397"/>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Sheet2!$B$15:$B$16</c:f>
              <c:strCache>
                <c:ptCount val="2"/>
                <c:pt idx="0">
                  <c:v>2020年</c:v>
                </c:pt>
                <c:pt idx="1">
                  <c:v>2019年</c:v>
                </c:pt>
              </c:strCache>
            </c:strRef>
          </c:cat>
          <c:val>
            <c:numRef>
              <c:f>Sheet2!$C$15:$C$16</c:f>
              <c:numCache>
                <c:formatCode>General</c:formatCode>
                <c:ptCount val="2"/>
                <c:pt idx="0">
                  <c:v>216.37</c:v>
                </c:pt>
                <c:pt idx="1">
                  <c:v>254.41</c:v>
                </c:pt>
              </c:numCache>
            </c:numRef>
          </c:val>
        </c:ser>
        <c:dLbls>
          <c:showLegendKey val="0"/>
          <c:showVal val="0"/>
          <c:showCatName val="0"/>
          <c:showSerName val="0"/>
          <c:showPercent val="0"/>
          <c:showBubbleSize val="0"/>
        </c:dLbls>
        <c:gapWidth val="219"/>
        <c:overlap val="-27"/>
        <c:axId val="800937633"/>
        <c:axId val="937240687"/>
      </c:barChart>
      <c:catAx>
        <c:axId val="80093763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37240687"/>
        <c:crosses val="autoZero"/>
        <c:auto val="1"/>
        <c:lblAlgn val="ctr"/>
        <c:lblOffset val="100"/>
        <c:noMultiLvlLbl val="0"/>
      </c:catAx>
      <c:valAx>
        <c:axId val="9372406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093763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'[附件2：2021年单.xls]Sheet2'!$B$19:$B$22</c:f>
              <c:strCache>
                <c:ptCount val="4"/>
                <c:pt idx="0">
                  <c:v>社会保障和就业支出</c:v>
                </c:pt>
                <c:pt idx="1">
                  <c:v>卫生健康支出</c:v>
                </c:pt>
                <c:pt idx="2">
                  <c:v>住房保障支出</c:v>
                </c:pt>
                <c:pt idx="3">
                  <c:v>农林水支出</c:v>
                </c:pt>
              </c:strCache>
            </c:strRef>
          </c:cat>
          <c:val>
            <c:numRef>
              <c:f>'[附件2：2021年单.xls]Sheet2'!$C$19:$C$22</c:f>
              <c:numCache>
                <c:formatCode>0.00%</c:formatCode>
                <c:ptCount val="4"/>
                <c:pt idx="0">
                  <c:v>0.8617</c:v>
                </c:pt>
                <c:pt idx="1">
                  <c:v>0.0561</c:v>
                </c:pt>
                <c:pt idx="2" c:formatCode="0%">
                  <c:v>0.08</c:v>
                </c:pt>
                <c:pt idx="3">
                  <c:v>0.0022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126597222222222"/>
          <c:y val="0.837259100642398"/>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63ED9FE-9131-4785-936E-BACD3479C407}">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26</Pages>
  <Words>1575</Words>
  <Characters>8981</Characters>
  <Lines>74</Lines>
  <Paragraphs>21</Paragraphs>
  <TotalTime>17</TotalTime>
  <ScaleCrop>false</ScaleCrop>
  <LinksUpToDate>false</LinksUpToDate>
  <CharactersWithSpaces>10535</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wt</cp:lastModifiedBy>
  <cp:lastPrinted>2021-09-22T09:33:00Z</cp:lastPrinted>
  <dcterms:modified xsi:type="dcterms:W3CDTF">2021-09-23T08:29:12Z</dcterms:modified>
  <dc:title>阿坝州部门决算说明</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ECAECA3F4E324EDDAB118BAA0E51492F</vt:lpwstr>
  </property>
</Properties>
</file>