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茂县新华书店</w:t>
      </w:r>
    </w:p>
    <w:p>
      <w:pPr>
        <w:ind w:firstLine="72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2016年部门决算编制说明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一、基本职能及主要工作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（一）主要职能：发放全县和各区乡中小学教材教辅。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（二）2016年圆满完成发放全县及各区乡中小学教材教辅。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二、部门概况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茂县新华书店属一级预算单位1个，无下属单位。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三、收支决算总体情况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2016年新华书店本年收入合计48.97万元，其中：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财政拨款收入48.97万元，占100%. 如下图所示：</w:t>
      </w:r>
    </w:p>
    <w:p>
      <w:pPr>
        <w:pStyle w:val="2"/>
        <w:keepNext/>
      </w:pPr>
    </w:p>
    <w:p>
      <w:pPr>
        <w:keepNext/>
      </w:pPr>
      <w:r>
        <w:drawing>
          <wp:inline distT="0" distB="0" distL="0" distR="0">
            <wp:extent cx="4857750" cy="2514600"/>
            <wp:effectExtent l="19050" t="0" r="1905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/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2016年新华书店本年支出合计90.82万元，其中：基本支出47.97万元，占52.82%；项目支出42.85万元，占47.18 %。如下图所示：</w:t>
      </w:r>
    </w:p>
    <w:p>
      <w:pPr>
        <w:keepNext/>
      </w:pPr>
      <w:r>
        <w:drawing>
          <wp:inline distT="0" distB="0" distL="0" distR="0">
            <wp:extent cx="5274310" cy="3076575"/>
            <wp:effectExtent l="19050" t="0" r="2159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四、财政拨款收支决算情况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茂县新华书店2016年度财政拨款收支总决算90.82万元。与2015年财政</w:t>
      </w:r>
      <w:r>
        <w:rPr>
          <w:rFonts w:hint="eastAsia" w:ascii="仿宋_GB2312" w:eastAsia="仿宋_GB2312"/>
          <w:sz w:val="32"/>
          <w:szCs w:val="32"/>
          <w:lang w:eastAsia="zh-CN"/>
        </w:rPr>
        <w:t>拨款</w:t>
      </w:r>
      <w:r>
        <w:rPr>
          <w:rFonts w:hint="eastAsia" w:ascii="仿宋_GB2312" w:eastAsia="仿宋_GB2312"/>
          <w:sz w:val="32"/>
          <w:szCs w:val="32"/>
        </w:rPr>
        <w:t>收支总决算56.56万元相比，财政拨款收、支总计各增加34.26 万元，增长60.57 %。如下图所示：</w:t>
      </w:r>
    </w:p>
    <w:p>
      <w:pPr>
        <w:keepNext/>
      </w:pPr>
      <w:r>
        <w:rPr>
          <w:rFonts w:hint="eastAsia"/>
        </w:rPr>
        <w:drawing>
          <wp:inline distT="0" distB="0" distL="0" distR="0">
            <wp:extent cx="5274310" cy="2152650"/>
            <wp:effectExtent l="19050" t="0" r="21590" b="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五、一般公共预算财政拨款支出决算情况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（一）一般公共预算财政拨款支出决算总体情况</w:t>
      </w:r>
    </w:p>
    <w:p>
      <w:pPr>
        <w:keepNext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茂县新华书店2016年度一般公共预算财政拨款支出90.82万元，占本年支出合计的100 %。与2015年相比，一般公共预算财政拨款支出增加 34.26万元，增长60.57%。如下图所示：</w:t>
      </w:r>
    </w:p>
    <w:p>
      <w:pPr>
        <w:keepNext/>
      </w:pPr>
      <w:r>
        <w:rPr>
          <w:rFonts w:hint="eastAsia"/>
        </w:rPr>
        <w:drawing>
          <wp:inline distT="0" distB="0" distL="0" distR="0">
            <wp:extent cx="5274310" cy="1990725"/>
            <wp:effectExtent l="19050" t="0" r="21590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（二）一般公共预算财政拨款支出决算结构情况</w:t>
      </w:r>
    </w:p>
    <w:p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  <w:sz w:val="32"/>
          <w:szCs w:val="32"/>
        </w:rPr>
        <w:t>茂县新华书店2016年一般公共预算财政拨款支出90.82万元，主要用于以下方面:一般公共服务支出90.82万元，占100%。如下图所示：</w:t>
      </w:r>
    </w:p>
    <w:p>
      <w:pPr>
        <w:keepNext/>
      </w:pPr>
      <w:r>
        <w:rPr>
          <w:rFonts w:hint="eastAsia"/>
        </w:rPr>
        <w:drawing>
          <wp:inline distT="0" distB="0" distL="0" distR="0">
            <wp:extent cx="5274310" cy="2486025"/>
            <wp:effectExtent l="19050" t="0" r="21590" b="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ind w:firstLine="480" w:firstLine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（三）一般公共预算财政拨款支出决算具体情况</w:t>
      </w:r>
    </w:p>
    <w:tbl>
      <w:tblPr>
        <w:tblStyle w:val="7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shd w:val="clear" w:color="auto" w:fill="FFFFFF"/>
          </w:tcPr>
          <w:tbl>
            <w:tblPr>
              <w:tblStyle w:val="7"/>
              <w:tblW w:w="12000" w:type="dxa"/>
              <w:jc w:val="center"/>
              <w:tblCellSpacing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000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</w:tcPr>
                <w:tbl>
                  <w:tblPr>
                    <w:tblStyle w:val="7"/>
                    <w:tblW w:w="5000" w:type="pct"/>
                    <w:tblCellSpacing w:w="0" w:type="dxa"/>
                    <w:tblInd w:w="0" w:type="dxa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000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>
                        <w:pPr>
                          <w:rPr>
                            <w:rFonts w:hint="eastAsia" w:ascii="仿宋_GB2312" w:eastAsia="仿宋_GB2312"/>
                            <w:kern w:val="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仿宋_GB2312" w:eastAsia="仿宋_GB2312"/>
                      <w:kern w:val="0"/>
                      <w:sz w:val="32"/>
                      <w:szCs w:val="3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" w:hRule="atLeast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rPr>
                      <w:rFonts w:hint="eastAsia" w:ascii="仿宋_GB2312" w:eastAsia="仿宋_GB2312"/>
                      <w:kern w:val="0"/>
                      <w:sz w:val="32"/>
                      <w:szCs w:val="32"/>
                    </w:rPr>
                  </w:pPr>
                </w:p>
              </w:tc>
            </w:tr>
          </w:tbl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</w:tcPr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</w:tr>
    </w:tbl>
    <w:p>
      <w:pPr>
        <w:ind w:firstLine="643"/>
        <w:rPr>
          <w:rFonts w:hint="eastAsia" w:ascii="仿宋_GB2312" w:eastAsia="仿宋_GB2312"/>
          <w:sz w:val="32"/>
          <w:szCs w:val="32"/>
        </w:rPr>
      </w:pPr>
      <w:r>
        <w:rPr>
          <w:rStyle w:val="9"/>
          <w:rFonts w:hint="eastAsia" w:ascii="仿宋_GB2312" w:eastAsia="仿宋_GB2312"/>
          <w:sz w:val="32"/>
          <w:szCs w:val="32"/>
        </w:rPr>
        <w:t>1.教育支出2050299,</w:t>
      </w:r>
      <w:r>
        <w:rPr>
          <w:rFonts w:hint="eastAsia" w:ascii="仿宋_GB2312" w:eastAsia="仿宋_GB2312"/>
          <w:sz w:val="32"/>
          <w:szCs w:val="32"/>
        </w:rPr>
        <w:t>2016年决算数为1.56万元，完成预算数0万元增加1.56万元,增长率100%,决算数大于预算数的主要原因是增加了2015年前的少数民族文字教材运输费的支出.</w:t>
      </w:r>
    </w:p>
    <w:p>
      <w:pPr>
        <w:ind w:firstLine="643"/>
        <w:rPr>
          <w:rFonts w:hint="eastAsia" w:ascii="黑体" w:hAnsi="黑体" w:eastAsia="黑体"/>
          <w:sz w:val="32"/>
          <w:szCs w:val="32"/>
        </w:rPr>
      </w:pPr>
      <w:r>
        <w:rPr>
          <w:rStyle w:val="9"/>
          <w:rFonts w:hint="eastAsia" w:ascii="仿宋_GB2312" w:eastAsia="仿宋_GB2312"/>
          <w:sz w:val="32"/>
          <w:szCs w:val="32"/>
        </w:rPr>
        <w:t>2.文化体育与传媒2070408,</w:t>
      </w:r>
      <w:r>
        <w:rPr>
          <w:rFonts w:hint="eastAsia" w:ascii="仿宋_GB2312" w:eastAsia="仿宋_GB2312"/>
          <w:sz w:val="32"/>
          <w:szCs w:val="32"/>
        </w:rPr>
        <w:t>2016年决算数为89.26万元，完成预算54.27万元增加了34.99万元,增长率64.47 %，决算数大于预算数的主要原因是下半年购买了电子设备和维修库房.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　</w:t>
      </w:r>
      <w:r>
        <w:rPr>
          <w:rFonts w:hint="eastAsia" w:ascii="黑体" w:hAnsi="黑体" w:eastAsia="黑体"/>
          <w:sz w:val="32"/>
          <w:szCs w:val="32"/>
        </w:rPr>
        <w:t xml:space="preserve">  六、一般公共预算财政拨款基本支出决算情况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茂县新华书店2016年一般公共预算财政拨款基本支出47.97万元，其中：人员经费47.97万元，主要包括：基本工资47.93万元、其他对个人和家庭的补助支出0.04万元。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七、“三公”经费财政拨款支出决算情况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（一）“三公”经费财政拨款支出决算总体情况说明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茂县新华书店2016年度“三公”经费财政拨款支出决算为0万元，主要原因是无三公经费。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2016年度“三公”经费财政拨款支出决算数为0,与2015年度三公经费一样.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（二）“三公”经费财政拨款支出决算具体情况说明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无三公经费支出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1.因公出国（境）经费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无因公出国(境)经费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2.公务用车购置及运行维护费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无公务用车购置及运行维护费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3.公务接待费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无公务接待费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七、政府性基金预算财政拨款支出决算情况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茂县新华书店无2016年使用政府性基金预算财政拨款。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八、其他重要事项的情况说明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（一）机关运行经费支出情况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无机关运行经费支出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（二）政府采购支出情况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2016年度，茂县新华书店政府采购支出总额35.3万元，其中：政府采购货物支出35.3万元。主要用于购买办公设备和维修库房。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（三）国有资产占有使用情况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无公务用车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（四）预算绩效情况</w:t>
      </w:r>
    </w:p>
    <w:p>
      <w:pPr>
        <w:keepNext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按照预算绩效管理要求，本部门对2016年开展了项目绩效自评，自评结果得为99分,存在的问题需要进一步规范制度等情况。</w:t>
      </w:r>
    </w:p>
    <w:p>
      <w:pPr>
        <w:keepNext/>
        <w:rPr>
          <w:rFonts w:hint="eastAsia" w:ascii="仿宋_GB2312" w:eastAsia="仿宋_GB2312"/>
        </w:rPr>
      </w:pPr>
    </w:p>
    <w:p>
      <w:pPr>
        <w:keepNext/>
        <w:rPr>
          <w:rFonts w:hint="eastAsia" w:ascii="仿宋_GB2312" w:eastAsia="仿宋_GB2312"/>
        </w:rPr>
      </w:pPr>
    </w:p>
    <w:p>
      <w:pPr>
        <w:keepNext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</w:rPr>
        <w:t xml:space="preserve">                     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  茂县新华书店</w:t>
      </w:r>
    </w:p>
    <w:p>
      <w:pPr>
        <w:keepNext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2017年9月15日</w:t>
      </w:r>
    </w:p>
    <w:p>
      <w:pPr>
        <w:keepNext/>
        <w:rPr>
          <w:rFonts w:hint="eastAsia" w:ascii="仿宋_GB2312" w:eastAsia="仿宋_GB2312"/>
        </w:rPr>
      </w:pPr>
    </w:p>
    <w:p>
      <w:pPr>
        <w:keepNext/>
        <w:rPr>
          <w:rFonts w:hint="eastAsia" w:ascii="仿宋_GB2312" w:eastAsia="仿宋_GB2312"/>
        </w:rPr>
      </w:pPr>
    </w:p>
    <w:p>
      <w:pPr>
        <w:keepNext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0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3B81"/>
    <w:rsid w:val="000032E0"/>
    <w:rsid w:val="000165C8"/>
    <w:rsid w:val="0003266F"/>
    <w:rsid w:val="000441BB"/>
    <w:rsid w:val="000537E1"/>
    <w:rsid w:val="00053D80"/>
    <w:rsid w:val="00063363"/>
    <w:rsid w:val="000924A8"/>
    <w:rsid w:val="000A3885"/>
    <w:rsid w:val="000A4F2C"/>
    <w:rsid w:val="000A7AA9"/>
    <w:rsid w:val="000D270D"/>
    <w:rsid w:val="000D6A7D"/>
    <w:rsid w:val="000D73FE"/>
    <w:rsid w:val="000E6EC7"/>
    <w:rsid w:val="000F7491"/>
    <w:rsid w:val="001057CD"/>
    <w:rsid w:val="0012148F"/>
    <w:rsid w:val="00122AB3"/>
    <w:rsid w:val="0012701F"/>
    <w:rsid w:val="00130721"/>
    <w:rsid w:val="00145D76"/>
    <w:rsid w:val="00164587"/>
    <w:rsid w:val="00167002"/>
    <w:rsid w:val="00167162"/>
    <w:rsid w:val="00175CA7"/>
    <w:rsid w:val="001A321F"/>
    <w:rsid w:val="001A52CB"/>
    <w:rsid w:val="001D63AF"/>
    <w:rsid w:val="001F6EF6"/>
    <w:rsid w:val="001F743E"/>
    <w:rsid w:val="002076F0"/>
    <w:rsid w:val="00210372"/>
    <w:rsid w:val="00223030"/>
    <w:rsid w:val="002252C9"/>
    <w:rsid w:val="00231A92"/>
    <w:rsid w:val="00231B9C"/>
    <w:rsid w:val="002333FF"/>
    <w:rsid w:val="00233F53"/>
    <w:rsid w:val="0026715B"/>
    <w:rsid w:val="002772F5"/>
    <w:rsid w:val="00281021"/>
    <w:rsid w:val="002852BC"/>
    <w:rsid w:val="0029177F"/>
    <w:rsid w:val="002941F0"/>
    <w:rsid w:val="002A4172"/>
    <w:rsid w:val="002A6972"/>
    <w:rsid w:val="002C5463"/>
    <w:rsid w:val="002D27B1"/>
    <w:rsid w:val="002D68AF"/>
    <w:rsid w:val="002F785E"/>
    <w:rsid w:val="0030687A"/>
    <w:rsid w:val="00311B2D"/>
    <w:rsid w:val="0032289A"/>
    <w:rsid w:val="00334C7C"/>
    <w:rsid w:val="003444EB"/>
    <w:rsid w:val="00351659"/>
    <w:rsid w:val="00354B89"/>
    <w:rsid w:val="003600BC"/>
    <w:rsid w:val="00370F5D"/>
    <w:rsid w:val="00385F2C"/>
    <w:rsid w:val="00391B7A"/>
    <w:rsid w:val="003935AB"/>
    <w:rsid w:val="003A0744"/>
    <w:rsid w:val="003A0858"/>
    <w:rsid w:val="003A23EC"/>
    <w:rsid w:val="003B7F02"/>
    <w:rsid w:val="003C1D0F"/>
    <w:rsid w:val="003E5347"/>
    <w:rsid w:val="003F3616"/>
    <w:rsid w:val="003F608E"/>
    <w:rsid w:val="004069C0"/>
    <w:rsid w:val="004123BA"/>
    <w:rsid w:val="00415A7C"/>
    <w:rsid w:val="004166EE"/>
    <w:rsid w:val="00420896"/>
    <w:rsid w:val="00423C6A"/>
    <w:rsid w:val="00430C0F"/>
    <w:rsid w:val="00433C76"/>
    <w:rsid w:val="00446959"/>
    <w:rsid w:val="0045156F"/>
    <w:rsid w:val="004566FF"/>
    <w:rsid w:val="00465233"/>
    <w:rsid w:val="00480F51"/>
    <w:rsid w:val="00490908"/>
    <w:rsid w:val="004B53CD"/>
    <w:rsid w:val="004C410A"/>
    <w:rsid w:val="004D0E9A"/>
    <w:rsid w:val="004E5AA3"/>
    <w:rsid w:val="004E7703"/>
    <w:rsid w:val="004F0F5A"/>
    <w:rsid w:val="004F7ABE"/>
    <w:rsid w:val="005052D9"/>
    <w:rsid w:val="005066E8"/>
    <w:rsid w:val="00512B23"/>
    <w:rsid w:val="00522657"/>
    <w:rsid w:val="00522AE4"/>
    <w:rsid w:val="005477E0"/>
    <w:rsid w:val="00554C80"/>
    <w:rsid w:val="00560764"/>
    <w:rsid w:val="00564820"/>
    <w:rsid w:val="005703F1"/>
    <w:rsid w:val="005719EA"/>
    <w:rsid w:val="00596478"/>
    <w:rsid w:val="005A055F"/>
    <w:rsid w:val="005B0C93"/>
    <w:rsid w:val="005B1E9D"/>
    <w:rsid w:val="005C51F6"/>
    <w:rsid w:val="005E17E8"/>
    <w:rsid w:val="005F4D30"/>
    <w:rsid w:val="00607067"/>
    <w:rsid w:val="00635924"/>
    <w:rsid w:val="0064621E"/>
    <w:rsid w:val="00650131"/>
    <w:rsid w:val="00654538"/>
    <w:rsid w:val="00655A3B"/>
    <w:rsid w:val="00663FA0"/>
    <w:rsid w:val="00675367"/>
    <w:rsid w:val="00680DE6"/>
    <w:rsid w:val="00682223"/>
    <w:rsid w:val="00687806"/>
    <w:rsid w:val="00692944"/>
    <w:rsid w:val="0069546F"/>
    <w:rsid w:val="006971E0"/>
    <w:rsid w:val="006A06C3"/>
    <w:rsid w:val="006A3A57"/>
    <w:rsid w:val="006B5491"/>
    <w:rsid w:val="006C1A85"/>
    <w:rsid w:val="006C5EC4"/>
    <w:rsid w:val="006C71D0"/>
    <w:rsid w:val="00705E5B"/>
    <w:rsid w:val="00714723"/>
    <w:rsid w:val="007159E2"/>
    <w:rsid w:val="007166DB"/>
    <w:rsid w:val="00721D3D"/>
    <w:rsid w:val="007225F8"/>
    <w:rsid w:val="0072505A"/>
    <w:rsid w:val="007311A5"/>
    <w:rsid w:val="007363D5"/>
    <w:rsid w:val="00736EE6"/>
    <w:rsid w:val="007416FB"/>
    <w:rsid w:val="007445C0"/>
    <w:rsid w:val="00744C6A"/>
    <w:rsid w:val="00745230"/>
    <w:rsid w:val="007477D6"/>
    <w:rsid w:val="00747DB4"/>
    <w:rsid w:val="00754239"/>
    <w:rsid w:val="00760EF4"/>
    <w:rsid w:val="00763053"/>
    <w:rsid w:val="00763864"/>
    <w:rsid w:val="0076540C"/>
    <w:rsid w:val="0076636E"/>
    <w:rsid w:val="007768C8"/>
    <w:rsid w:val="00780E4D"/>
    <w:rsid w:val="00785D28"/>
    <w:rsid w:val="00796A3F"/>
    <w:rsid w:val="007A0C90"/>
    <w:rsid w:val="007A14A9"/>
    <w:rsid w:val="007A441B"/>
    <w:rsid w:val="007B7123"/>
    <w:rsid w:val="007C6FB1"/>
    <w:rsid w:val="007C7768"/>
    <w:rsid w:val="007D3DCF"/>
    <w:rsid w:val="007E30A6"/>
    <w:rsid w:val="007F035A"/>
    <w:rsid w:val="00803252"/>
    <w:rsid w:val="00806E1C"/>
    <w:rsid w:val="00810B5F"/>
    <w:rsid w:val="00820E66"/>
    <w:rsid w:val="00820EB5"/>
    <w:rsid w:val="0082128A"/>
    <w:rsid w:val="00822877"/>
    <w:rsid w:val="00823996"/>
    <w:rsid w:val="00825DE9"/>
    <w:rsid w:val="00827E02"/>
    <w:rsid w:val="00834F6D"/>
    <w:rsid w:val="008369B4"/>
    <w:rsid w:val="00841E43"/>
    <w:rsid w:val="0084349B"/>
    <w:rsid w:val="00843532"/>
    <w:rsid w:val="008622E4"/>
    <w:rsid w:val="00863F6F"/>
    <w:rsid w:val="00866DAD"/>
    <w:rsid w:val="0087128D"/>
    <w:rsid w:val="00874F07"/>
    <w:rsid w:val="00882CBB"/>
    <w:rsid w:val="008A0BD3"/>
    <w:rsid w:val="008A0E3A"/>
    <w:rsid w:val="008A519C"/>
    <w:rsid w:val="008B0B23"/>
    <w:rsid w:val="008B0BE3"/>
    <w:rsid w:val="008B322F"/>
    <w:rsid w:val="008B746D"/>
    <w:rsid w:val="008C1386"/>
    <w:rsid w:val="008E2F3F"/>
    <w:rsid w:val="009013CD"/>
    <w:rsid w:val="00905221"/>
    <w:rsid w:val="0091100F"/>
    <w:rsid w:val="00943514"/>
    <w:rsid w:val="00952524"/>
    <w:rsid w:val="00964B5D"/>
    <w:rsid w:val="009658BA"/>
    <w:rsid w:val="0098567F"/>
    <w:rsid w:val="009856EF"/>
    <w:rsid w:val="009A46FE"/>
    <w:rsid w:val="009A47AF"/>
    <w:rsid w:val="009B0046"/>
    <w:rsid w:val="009B5F27"/>
    <w:rsid w:val="009E0343"/>
    <w:rsid w:val="009E0D0A"/>
    <w:rsid w:val="009E0EA3"/>
    <w:rsid w:val="009E2D5F"/>
    <w:rsid w:val="009E6C63"/>
    <w:rsid w:val="00A166AA"/>
    <w:rsid w:val="00A16F93"/>
    <w:rsid w:val="00A22813"/>
    <w:rsid w:val="00A22FD0"/>
    <w:rsid w:val="00A262C2"/>
    <w:rsid w:val="00A27A3A"/>
    <w:rsid w:val="00A30340"/>
    <w:rsid w:val="00A33535"/>
    <w:rsid w:val="00A41296"/>
    <w:rsid w:val="00A51132"/>
    <w:rsid w:val="00A64A53"/>
    <w:rsid w:val="00A75DCB"/>
    <w:rsid w:val="00A82718"/>
    <w:rsid w:val="00A8422E"/>
    <w:rsid w:val="00A90BEF"/>
    <w:rsid w:val="00A93FDA"/>
    <w:rsid w:val="00A96AE1"/>
    <w:rsid w:val="00AB057A"/>
    <w:rsid w:val="00AD0B6C"/>
    <w:rsid w:val="00AD3BA6"/>
    <w:rsid w:val="00AD6674"/>
    <w:rsid w:val="00AE5009"/>
    <w:rsid w:val="00B01332"/>
    <w:rsid w:val="00B063DE"/>
    <w:rsid w:val="00B077FD"/>
    <w:rsid w:val="00B13494"/>
    <w:rsid w:val="00B1630C"/>
    <w:rsid w:val="00B2590C"/>
    <w:rsid w:val="00B37487"/>
    <w:rsid w:val="00B43A0F"/>
    <w:rsid w:val="00B54293"/>
    <w:rsid w:val="00B54F4D"/>
    <w:rsid w:val="00B645D0"/>
    <w:rsid w:val="00B71325"/>
    <w:rsid w:val="00B74036"/>
    <w:rsid w:val="00B747A1"/>
    <w:rsid w:val="00B805E7"/>
    <w:rsid w:val="00B81CB4"/>
    <w:rsid w:val="00B97742"/>
    <w:rsid w:val="00BB0095"/>
    <w:rsid w:val="00BB4C2E"/>
    <w:rsid w:val="00BB5C7E"/>
    <w:rsid w:val="00BE1A84"/>
    <w:rsid w:val="00C01630"/>
    <w:rsid w:val="00C02E78"/>
    <w:rsid w:val="00C10414"/>
    <w:rsid w:val="00C316E2"/>
    <w:rsid w:val="00C31FC8"/>
    <w:rsid w:val="00C350AD"/>
    <w:rsid w:val="00C42B4C"/>
    <w:rsid w:val="00C455C0"/>
    <w:rsid w:val="00C62720"/>
    <w:rsid w:val="00C75CCE"/>
    <w:rsid w:val="00C928E3"/>
    <w:rsid w:val="00CA48F0"/>
    <w:rsid w:val="00CB10CD"/>
    <w:rsid w:val="00CB2E09"/>
    <w:rsid w:val="00CC0C96"/>
    <w:rsid w:val="00CC773C"/>
    <w:rsid w:val="00CF26A7"/>
    <w:rsid w:val="00CF3784"/>
    <w:rsid w:val="00D06759"/>
    <w:rsid w:val="00D10F60"/>
    <w:rsid w:val="00D12404"/>
    <w:rsid w:val="00D141F1"/>
    <w:rsid w:val="00D202B4"/>
    <w:rsid w:val="00D22573"/>
    <w:rsid w:val="00D24396"/>
    <w:rsid w:val="00D37237"/>
    <w:rsid w:val="00D41136"/>
    <w:rsid w:val="00D43CA7"/>
    <w:rsid w:val="00D44115"/>
    <w:rsid w:val="00D55768"/>
    <w:rsid w:val="00D57A1D"/>
    <w:rsid w:val="00D62208"/>
    <w:rsid w:val="00D66D10"/>
    <w:rsid w:val="00D72298"/>
    <w:rsid w:val="00D74B9D"/>
    <w:rsid w:val="00D81F50"/>
    <w:rsid w:val="00D83336"/>
    <w:rsid w:val="00D97A89"/>
    <w:rsid w:val="00DA0B02"/>
    <w:rsid w:val="00DB48F3"/>
    <w:rsid w:val="00DB78ED"/>
    <w:rsid w:val="00DC527C"/>
    <w:rsid w:val="00DD08B4"/>
    <w:rsid w:val="00DD5982"/>
    <w:rsid w:val="00E07243"/>
    <w:rsid w:val="00E13867"/>
    <w:rsid w:val="00E14F92"/>
    <w:rsid w:val="00E23B81"/>
    <w:rsid w:val="00E82951"/>
    <w:rsid w:val="00E85B61"/>
    <w:rsid w:val="00E87DBF"/>
    <w:rsid w:val="00E908C8"/>
    <w:rsid w:val="00E9303D"/>
    <w:rsid w:val="00EC161B"/>
    <w:rsid w:val="00EC1B9D"/>
    <w:rsid w:val="00ED11F7"/>
    <w:rsid w:val="00EF720F"/>
    <w:rsid w:val="00F15C3F"/>
    <w:rsid w:val="00F23765"/>
    <w:rsid w:val="00F33F48"/>
    <w:rsid w:val="00F410CC"/>
    <w:rsid w:val="00F4334A"/>
    <w:rsid w:val="00F435A8"/>
    <w:rsid w:val="00F44E95"/>
    <w:rsid w:val="00F509BA"/>
    <w:rsid w:val="00F6415D"/>
    <w:rsid w:val="00F67719"/>
    <w:rsid w:val="00F72429"/>
    <w:rsid w:val="00F72D1F"/>
    <w:rsid w:val="00F81844"/>
    <w:rsid w:val="00F8779F"/>
    <w:rsid w:val="00F922B2"/>
    <w:rsid w:val="00F922DA"/>
    <w:rsid w:val="00F97C6D"/>
    <w:rsid w:val="00FA168A"/>
    <w:rsid w:val="00FC1F12"/>
    <w:rsid w:val="00FD2D09"/>
    <w:rsid w:val="00FE31F3"/>
    <w:rsid w:val="00FE68D8"/>
    <w:rsid w:val="00FF5BC2"/>
    <w:rsid w:val="6F6F9BC4"/>
    <w:rsid w:val="E3FFD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link w:val="13"/>
    <w:qFormat/>
    <w:uiPriority w:val="0"/>
    <w:pPr>
      <w:spacing w:beforeLines="30" w:line="600" w:lineRule="exact"/>
      <w:ind w:firstLine="640" w:firstLineChars="200"/>
    </w:pPr>
    <w:rPr>
      <w:rFonts w:ascii="仿宋_GB2312" w:hAnsi="Times New Roman" w:eastAsia="仿宋_GB2312" w:cs="Times New Roman"/>
      <w:kern w:val="0"/>
      <w:sz w:val="30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22"/>
    <w:rPr>
      <w:b/>
      <w:bCs/>
    </w:rPr>
  </w:style>
  <w:style w:type="character" w:customStyle="1" w:styleId="10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正文文本 Char"/>
    <w:basedOn w:val="8"/>
    <w:link w:val="3"/>
    <w:qFormat/>
    <w:uiPriority w:val="0"/>
    <w:rPr>
      <w:rFonts w:ascii="仿宋_GB2312" w:hAnsi="Times New Roman" w:eastAsia="仿宋_GB2312" w:cs="Times New Roman"/>
      <w:kern w:val="0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chart" Target="charts/chart5.xml"/><Relationship Id="rId7" Type="http://schemas.openxmlformats.org/officeDocument/2006/relationships/chart" Target="charts/chart4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pieChart>
        <c:varyColors val="true"/>
        <c:ser>
          <c:idx val="0"/>
          <c:order val="0"/>
          <c:tx>
            <c:strRef>
              <c:f>Sheet1!$B$1</c:f>
              <c:strCache>
                <c:ptCount val="1"/>
                <c:pt idx="0">
                  <c:v>2016年度收入</c:v>
                </c:pt>
              </c:strCache>
            </c:strRef>
          </c:tx>
          <c:explosion val="0"/>
          <c:dPt>
            <c:idx val="0"/>
            <c:bubble3D val="false"/>
          </c:dPt>
          <c:dLbls>
            <c:delete val="true"/>
          </c:dLbls>
          <c:cat>
            <c:strRef>
              <c:f>Sheet1!$A$2</c:f>
              <c:strCache>
                <c:ptCount val="1"/>
                <c:pt idx="0">
                  <c:v>财政拨款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  <c:showLeaderLines val="true"/>
        </c:dLbls>
        <c:firstSliceAng val="0"/>
      </c:pieChart>
    </c:plotArea>
    <c:legend>
      <c:legendPos val="r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pieChart>
        <c:varyColors val="true"/>
        <c:ser>
          <c:idx val="0"/>
          <c:order val="0"/>
          <c:tx>
            <c:strRef>
              <c:f>Sheet1!$B$1</c:f>
              <c:strCache>
                <c:ptCount val="1"/>
                <c:pt idx="0">
                  <c:v>2016支出情况</c:v>
                </c:pt>
              </c:strCache>
            </c:strRef>
          </c:tx>
          <c:explosion val="0"/>
          <c:dPt>
            <c:idx val="0"/>
            <c:bubble3D val="false"/>
          </c:dPt>
          <c:dPt>
            <c:idx val="1"/>
            <c:bubble3D val="false"/>
          </c:dPt>
          <c:dLbls>
            <c:delete val="true"/>
          </c:dLbls>
          <c:cat>
            <c:strRef>
              <c:f>Sheet1!$A$2:$A$3</c:f>
              <c:strCache>
                <c:ptCount val="2"/>
                <c:pt idx="0">
                  <c:v>基本支出</c:v>
                </c:pt>
                <c:pt idx="1">
                  <c:v>项目支出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52.82</c:v>
                </c:pt>
                <c:pt idx="1">
                  <c:v>47.18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  <c:showLeaderLines val="true"/>
        </c:dLbls>
        <c:firstSliceAng val="0"/>
      </c:pieChart>
    </c:plotArea>
    <c:legend>
      <c:legendPos val="r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barChart>
        <c:barDir val="col"/>
        <c:grouping val="stacked"/>
        <c:varyColors val="false"/>
        <c:ser>
          <c:idx val="0"/>
          <c:order val="0"/>
          <c:tx>
            <c:strRef>
              <c:f>Sheet1!$B$1</c:f>
              <c:strCache>
                <c:ptCount val="1"/>
                <c:pt idx="0">
                  <c:v>2015和2016收支总决算</c:v>
                </c:pt>
              </c:strCache>
            </c:strRef>
          </c:tx>
          <c:invertIfNegative val="false"/>
          <c:dLbls>
            <c:delete val="true"/>
          </c:dLbls>
          <c:cat>
            <c:strRef>
              <c:f>Sheet1!$A$2:$A$5</c:f>
              <c:strCache>
                <c:ptCount val="4"/>
                <c:pt idx="0">
                  <c:v>2015收入</c:v>
                </c:pt>
                <c:pt idx="1">
                  <c:v>2016收入</c:v>
                </c:pt>
                <c:pt idx="2">
                  <c:v>2015支出</c:v>
                </c:pt>
                <c:pt idx="3">
                  <c:v>2016支出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10</c:v>
                </c:pt>
                <c:pt idx="1">
                  <c:v>16.057</c:v>
                </c:pt>
                <c:pt idx="2">
                  <c:v>10</c:v>
                </c:pt>
                <c:pt idx="3">
                  <c:v>16.057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150"/>
        <c:overlap val="100"/>
        <c:axId val="77093888"/>
        <c:axId val="77099776"/>
      </c:barChart>
      <c:catAx>
        <c:axId val="77093888"/>
        <c:scaling>
          <c:orientation val="minMax"/>
        </c:scaling>
        <c:delete val="fals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7099776"/>
        <c:crosses val="autoZero"/>
        <c:auto val="true"/>
        <c:lblAlgn val="ctr"/>
        <c:lblOffset val="100"/>
        <c:noMultiLvlLbl val="false"/>
      </c:catAx>
      <c:valAx>
        <c:axId val="77099776"/>
        <c:scaling>
          <c:orientation val="minMax"/>
        </c:scaling>
        <c:delete val="false"/>
        <c:axPos val="l"/>
        <c:majorGridlines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7093888"/>
        <c:crosses val="autoZero"/>
        <c:crossBetween val="between"/>
      </c:valAx>
    </c:plotArea>
    <c:legend>
      <c:legendPos val="r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barChart>
        <c:barDir val="col"/>
        <c:grouping val="stacked"/>
        <c:varyColors val="false"/>
        <c:ser>
          <c:idx val="0"/>
          <c:order val="0"/>
          <c:tx>
            <c:strRef>
              <c:f>Sheet1!$B$1</c:f>
              <c:strCache>
                <c:ptCount val="1"/>
                <c:pt idx="0">
                  <c:v>财政拨款支出决算</c:v>
                </c:pt>
              </c:strCache>
            </c:strRef>
          </c:tx>
          <c:invertIfNegative val="false"/>
          <c:dLbls>
            <c:delete val="true"/>
          </c:dLbls>
          <c:cat>
            <c:numRef>
              <c:f>Sheet1!$A$2:$A$3</c:f>
              <c:numCache>
                <c:formatCode>General</c:formatCode>
                <c:ptCount val="2"/>
                <c:pt idx="0">
                  <c:v>2015</c:v>
                </c:pt>
                <c:pt idx="1">
                  <c:v>2016</c:v>
                </c:pt>
              </c:numCache>
            </c:num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</c:v>
                </c:pt>
                <c:pt idx="1">
                  <c:v>16.057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150"/>
        <c:overlap val="100"/>
        <c:axId val="37762176"/>
        <c:axId val="37763712"/>
      </c:barChart>
      <c:catAx>
        <c:axId val="37762176"/>
        <c:scaling>
          <c:orientation val="minMax"/>
        </c:scaling>
        <c:delete val="fals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7763712"/>
        <c:crosses val="autoZero"/>
        <c:auto val="true"/>
        <c:lblAlgn val="ctr"/>
        <c:lblOffset val="100"/>
        <c:noMultiLvlLbl val="false"/>
      </c:catAx>
      <c:valAx>
        <c:axId val="37763712"/>
        <c:scaling>
          <c:orientation val="minMax"/>
        </c:scaling>
        <c:delete val="false"/>
        <c:axPos val="l"/>
        <c:majorGridlines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7762176"/>
        <c:crosses val="autoZero"/>
        <c:crossBetween val="between"/>
      </c:valAx>
    </c:plotArea>
    <c:legend>
      <c:legendPos val="r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pieChart>
        <c:varyColors val="true"/>
        <c:ser>
          <c:idx val="0"/>
          <c:order val="0"/>
          <c:tx>
            <c:strRef>
              <c:f>Sheet1!$B$1</c:f>
              <c:strCache>
                <c:ptCount val="1"/>
                <c:pt idx="0">
                  <c:v>2016财政拔款支出</c:v>
                </c:pt>
              </c:strCache>
            </c:strRef>
          </c:tx>
          <c:explosion val="0"/>
          <c:dPt>
            <c:idx val="0"/>
            <c:bubble3D val="false"/>
          </c:dPt>
          <c:dLbls>
            <c:delete val="true"/>
          </c:dLbls>
          <c:cat>
            <c:strRef>
              <c:f>Sheet1!$A$2</c:f>
              <c:strCache>
                <c:ptCount val="1"/>
                <c:pt idx="0">
                  <c:v>一般公共服务支出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  <c:showLeaderLines val="true"/>
        </c:dLbls>
        <c:firstSliceAng val="0"/>
      </c:pieChart>
    </c:plotArea>
    <c:legend>
      <c:legendPos val="r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226</Words>
  <Characters>1293</Characters>
  <Lines>10</Lines>
  <Paragraphs>3</Paragraphs>
  <TotalTime>0</TotalTime>
  <ScaleCrop>false</ScaleCrop>
  <LinksUpToDate>false</LinksUpToDate>
  <CharactersWithSpaces>1516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2017-09-15T20:30:00Z</dcterms:created>
  <dc:creator>微软用户</dc:creator>
  <cp:lastModifiedBy>user</cp:lastModifiedBy>
  <dcterms:modified xsi:type="dcterms:W3CDTF">2022-05-24T18:10:55Z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