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77425"/>
      <w:bookmarkStart w:id="3" w:name="_Toc15396475"/>
      <w:bookmarkStart w:id="4" w:name="_Toc15377193"/>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7426"/>
      <w:bookmarkStart w:id="8" w:name="_Toc15378442"/>
      <w:bookmarkStart w:id="9" w:name="_Toc15396598"/>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新华书店</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黑体" w:hAnsi="黑体" w:eastAsia="黑体"/>
          <w:color w:val="000000"/>
          <w:sz w:val="48"/>
          <w:szCs w:val="48"/>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公开时间：2021年09月</w:t>
      </w:r>
      <w:r>
        <w:rPr>
          <w:rFonts w:hAnsiTheme="minorHAnsi"/>
          <w:b w:val="0"/>
          <w:bCs w:val="0"/>
          <w:sz w:val="24"/>
          <w:szCs w:val="24"/>
        </w:rPr>
        <w:t>2</w:t>
      </w:r>
      <w:r>
        <w:rPr>
          <w:rFonts w:hint="eastAsia" w:hAnsiTheme="minorHAnsi"/>
          <w:b w:val="0"/>
          <w:bCs w:val="0"/>
          <w:sz w:val="24"/>
          <w:szCs w:val="24"/>
          <w:lang w:val="en-US" w:eastAsia="zh-CN"/>
        </w:rPr>
        <w:t>7</w:t>
      </w:r>
      <w:r>
        <w:rPr>
          <w:rFonts w:hint="eastAsia" w:hAnsiTheme="minorHAnsi"/>
          <w:b w:val="0"/>
          <w:bCs w:val="0"/>
          <w:sz w:val="24"/>
          <w:szCs w:val="24"/>
        </w:rPr>
        <w:t xml:space="preserve"> 日</w:t>
      </w:r>
    </w:p>
    <w:p>
      <w:pPr>
        <w:pStyle w:val="13"/>
        <w:tabs>
          <w:tab w:val="right" w:leader="dot" w:pos="8296"/>
        </w:tabs>
        <w:rPr>
          <w:rFonts w:ascii="仿宋" w:hAnsi="仿宋" w:eastAsia="仿宋"/>
          <w:b w:val="0"/>
          <w:bCs w:val="0"/>
          <w:caps w:val="0"/>
          <w:smallCaps/>
          <w:sz w:val="30"/>
          <w:szCs w:val="30"/>
        </w:rPr>
      </w:pPr>
      <w:r>
        <w:rPr>
          <w:rFonts w:ascii="仿宋" w:hAnsi="仿宋" w:eastAsia="仿宋"/>
          <w:b w:val="0"/>
          <w:bCs w:val="0"/>
          <w:caps w:val="0"/>
          <w:smallCaps/>
          <w:sz w:val="30"/>
          <w:szCs w:val="30"/>
        </w:rPr>
        <w:fldChar w:fldCharType="begin"/>
      </w:r>
      <w:r>
        <w:rPr>
          <w:rFonts w:ascii="仿宋" w:hAnsi="仿宋" w:eastAsia="仿宋"/>
          <w:b w:val="0"/>
          <w:bCs w:val="0"/>
          <w:caps w:val="0"/>
          <w:smallCaps/>
          <w:sz w:val="30"/>
          <w:szCs w:val="30"/>
        </w:rPr>
        <w:instrText xml:space="preserve"> TOC \o \u </w:instrText>
      </w:r>
      <w:r>
        <w:rPr>
          <w:rFonts w:ascii="仿宋" w:hAnsi="仿宋" w:eastAsia="仿宋"/>
          <w:b w:val="0"/>
          <w:bCs w:val="0"/>
          <w:caps w:val="0"/>
          <w:smallCaps/>
          <w:sz w:val="30"/>
          <w:szCs w:val="30"/>
        </w:rPr>
        <w:fldChar w:fldCharType="separate"/>
      </w:r>
      <w:r>
        <w:rPr>
          <w:rFonts w:ascii="仿宋" w:hAnsi="仿宋" w:eastAsia="仿宋"/>
          <w:b w:val="0"/>
          <w:bCs w:val="0"/>
          <w:caps w:val="0"/>
          <w:smallCaps/>
          <w:sz w:val="30"/>
          <w:szCs w:val="30"/>
        </w:rPr>
        <w:t>第一部分 部门概况</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rPr>
        <w:t>6</w:t>
      </w:r>
    </w:p>
    <w:p>
      <w:pPr>
        <w:pStyle w:val="16"/>
        <w:tabs>
          <w:tab w:val="right" w:leader="dot" w:pos="8296"/>
        </w:tabs>
        <w:rPr>
          <w:rFonts w:ascii="仿宋" w:hAnsi="仿宋" w:eastAsia="仿宋"/>
          <w:sz w:val="30"/>
          <w:szCs w:val="30"/>
        </w:rPr>
      </w:pPr>
      <w:r>
        <w:rPr>
          <w:rFonts w:ascii="仿宋" w:hAnsi="仿宋" w:eastAsia="仿宋"/>
          <w:sz w:val="30"/>
          <w:szCs w:val="30"/>
        </w:rPr>
        <w:t>一、基本职能及主要工作</w:t>
      </w:r>
      <w:r>
        <w:rPr>
          <w:rFonts w:ascii="仿宋" w:hAnsi="仿宋" w:eastAsia="仿宋"/>
          <w:sz w:val="30"/>
          <w:szCs w:val="30"/>
        </w:rPr>
        <w:tab/>
      </w:r>
      <w:r>
        <w:rPr>
          <w:rFonts w:hint="eastAsia" w:ascii="仿宋" w:hAnsi="仿宋" w:eastAsia="仿宋"/>
          <w:sz w:val="30"/>
          <w:szCs w:val="30"/>
        </w:rPr>
        <w:t>6</w:t>
      </w:r>
    </w:p>
    <w:p>
      <w:pPr>
        <w:pStyle w:val="8"/>
        <w:tabs>
          <w:tab w:val="right" w:leader="dot" w:pos="8296"/>
        </w:tabs>
        <w:rPr>
          <w:rFonts w:ascii="仿宋" w:hAnsi="仿宋" w:eastAsia="仿宋"/>
          <w:i w:val="0"/>
          <w:iCs w:val="0"/>
          <w:smallCaps/>
          <w:sz w:val="30"/>
          <w:szCs w:val="30"/>
        </w:rPr>
      </w:pPr>
      <w:r>
        <w:rPr>
          <w:rFonts w:ascii="仿宋" w:hAnsi="仿宋" w:eastAsia="仿宋"/>
          <w:i w:val="0"/>
          <w:iCs w:val="0"/>
          <w:smallCaps/>
          <w:sz w:val="30"/>
          <w:szCs w:val="30"/>
        </w:rPr>
        <w:t>（一）主要职能</w:t>
      </w:r>
      <w:r>
        <w:rPr>
          <w:rFonts w:ascii="仿宋" w:hAnsi="仿宋" w:eastAsia="仿宋"/>
          <w:i w:val="0"/>
          <w:iCs w:val="0"/>
          <w:smallCaps/>
          <w:sz w:val="30"/>
          <w:szCs w:val="30"/>
        </w:rPr>
        <w:tab/>
      </w:r>
      <w:r>
        <w:rPr>
          <w:rFonts w:hint="eastAsia" w:ascii="仿宋" w:hAnsi="仿宋" w:eastAsia="仿宋"/>
          <w:i w:val="0"/>
          <w:iCs w:val="0"/>
          <w:smallCaps/>
          <w:sz w:val="30"/>
          <w:szCs w:val="30"/>
        </w:rPr>
        <w:t>6</w:t>
      </w:r>
    </w:p>
    <w:p>
      <w:pPr>
        <w:pStyle w:val="8"/>
        <w:tabs>
          <w:tab w:val="right" w:leader="dot" w:pos="8296"/>
        </w:tabs>
        <w:rPr>
          <w:rFonts w:ascii="仿宋" w:hAnsi="仿宋" w:eastAsia="仿宋"/>
          <w:i w:val="0"/>
          <w:iCs w:val="0"/>
          <w:smallCaps/>
          <w:sz w:val="30"/>
          <w:szCs w:val="30"/>
        </w:rPr>
      </w:pPr>
      <w:r>
        <w:rPr>
          <w:rFonts w:ascii="仿宋" w:hAnsi="仿宋" w:eastAsia="仿宋"/>
          <w:i w:val="0"/>
          <w:iCs w:val="0"/>
          <w:smallCaps/>
          <w:sz w:val="30"/>
          <w:szCs w:val="30"/>
        </w:rPr>
        <w:t>（二）2020年重点工作完成情况</w:t>
      </w:r>
      <w:r>
        <w:rPr>
          <w:rFonts w:ascii="仿宋" w:hAnsi="仿宋" w:eastAsia="仿宋"/>
          <w:i w:val="0"/>
          <w:iCs w:val="0"/>
          <w:smallCaps/>
          <w:sz w:val="30"/>
          <w:szCs w:val="30"/>
        </w:rPr>
        <w:tab/>
      </w:r>
      <w:r>
        <w:rPr>
          <w:rFonts w:hint="eastAsia" w:ascii="仿宋" w:hAnsi="仿宋" w:eastAsia="仿宋"/>
          <w:i w:val="0"/>
          <w:iCs w:val="0"/>
          <w:smallCaps/>
          <w:sz w:val="30"/>
          <w:szCs w:val="30"/>
        </w:rPr>
        <w:t>6</w:t>
      </w:r>
    </w:p>
    <w:p>
      <w:pPr>
        <w:pStyle w:val="16"/>
        <w:tabs>
          <w:tab w:val="right" w:leader="dot" w:pos="8296"/>
        </w:tabs>
        <w:rPr>
          <w:rFonts w:ascii="仿宋" w:hAnsi="仿宋" w:eastAsia="仿宋"/>
          <w:sz w:val="30"/>
          <w:szCs w:val="30"/>
        </w:rPr>
      </w:pPr>
      <w:r>
        <w:rPr>
          <w:rFonts w:ascii="仿宋" w:hAnsi="仿宋" w:eastAsia="仿宋"/>
          <w:sz w:val="30"/>
          <w:szCs w:val="30"/>
        </w:rPr>
        <w:t>二、机构设置</w:t>
      </w:r>
      <w:r>
        <w:rPr>
          <w:rFonts w:ascii="仿宋" w:hAnsi="仿宋" w:eastAsia="仿宋"/>
          <w:sz w:val="30"/>
          <w:szCs w:val="30"/>
        </w:rPr>
        <w:tab/>
      </w:r>
      <w:r>
        <w:rPr>
          <w:rFonts w:hint="eastAsia" w:ascii="仿宋" w:hAnsi="仿宋" w:eastAsia="仿宋"/>
          <w:sz w:val="30"/>
          <w:szCs w:val="30"/>
        </w:rPr>
        <w:t>6</w:t>
      </w:r>
    </w:p>
    <w:p>
      <w:pPr>
        <w:pStyle w:val="13"/>
        <w:tabs>
          <w:tab w:val="right" w:leader="dot" w:pos="8296"/>
        </w:tabs>
        <w:rPr>
          <w:rFonts w:ascii="仿宋" w:hAnsi="仿宋" w:eastAsia="仿宋"/>
          <w:b w:val="0"/>
          <w:bCs w:val="0"/>
          <w:caps w:val="0"/>
          <w:smallCaps/>
          <w:sz w:val="30"/>
          <w:szCs w:val="30"/>
        </w:rPr>
      </w:pPr>
      <w:r>
        <w:rPr>
          <w:rFonts w:ascii="仿宋" w:hAnsi="仿宋" w:eastAsia="仿宋"/>
          <w:b w:val="0"/>
          <w:bCs w:val="0"/>
          <w:caps w:val="0"/>
          <w:smallCaps/>
          <w:sz w:val="30"/>
          <w:szCs w:val="30"/>
        </w:rPr>
        <w:t>第二部分 2020年度部门决算情况说明</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rPr>
        <w:t>7</w:t>
      </w:r>
    </w:p>
    <w:p>
      <w:pPr>
        <w:pStyle w:val="16"/>
        <w:tabs>
          <w:tab w:val="left" w:pos="840"/>
          <w:tab w:val="right" w:leader="dot" w:pos="8296"/>
        </w:tabs>
        <w:rPr>
          <w:rFonts w:ascii="仿宋" w:hAnsi="仿宋" w:eastAsia="仿宋"/>
          <w:sz w:val="30"/>
          <w:szCs w:val="30"/>
        </w:rPr>
      </w:pPr>
      <w:r>
        <w:rPr>
          <w:rFonts w:ascii="仿宋" w:hAnsi="仿宋" w:eastAsia="仿宋"/>
          <w:sz w:val="30"/>
          <w:szCs w:val="30"/>
        </w:rPr>
        <w:t>一、</w:t>
      </w:r>
      <w:r>
        <w:rPr>
          <w:rFonts w:ascii="仿宋" w:hAnsi="仿宋" w:eastAsia="仿宋"/>
          <w:sz w:val="30"/>
          <w:szCs w:val="30"/>
        </w:rPr>
        <w:tab/>
      </w:r>
      <w:r>
        <w:rPr>
          <w:rFonts w:ascii="仿宋" w:hAnsi="仿宋" w:eastAsia="仿宋"/>
          <w:sz w:val="30"/>
          <w:szCs w:val="30"/>
        </w:rPr>
        <w:t>收入支出决算总体情况说明</w:t>
      </w:r>
      <w:r>
        <w:rPr>
          <w:rFonts w:ascii="仿宋" w:hAnsi="仿宋" w:eastAsia="仿宋"/>
          <w:sz w:val="30"/>
          <w:szCs w:val="30"/>
        </w:rPr>
        <w:tab/>
      </w:r>
      <w:r>
        <w:rPr>
          <w:rFonts w:hint="eastAsia" w:ascii="仿宋" w:hAnsi="仿宋" w:eastAsia="仿宋"/>
          <w:sz w:val="30"/>
          <w:szCs w:val="30"/>
        </w:rPr>
        <w:t>7</w:t>
      </w:r>
    </w:p>
    <w:p>
      <w:pPr>
        <w:pStyle w:val="16"/>
        <w:tabs>
          <w:tab w:val="left" w:pos="840"/>
          <w:tab w:val="right" w:leader="dot" w:pos="8296"/>
        </w:tabs>
        <w:rPr>
          <w:rFonts w:ascii="仿宋" w:hAnsi="仿宋" w:eastAsia="仿宋"/>
          <w:sz w:val="30"/>
          <w:szCs w:val="30"/>
        </w:rPr>
      </w:pPr>
      <w:r>
        <w:rPr>
          <w:rFonts w:ascii="仿宋" w:hAnsi="仿宋" w:eastAsia="仿宋"/>
          <w:sz w:val="30"/>
          <w:szCs w:val="30"/>
        </w:rPr>
        <w:t>二、</w:t>
      </w:r>
      <w:r>
        <w:rPr>
          <w:rFonts w:ascii="仿宋" w:hAnsi="仿宋" w:eastAsia="仿宋"/>
          <w:sz w:val="30"/>
          <w:szCs w:val="30"/>
        </w:rPr>
        <w:tab/>
      </w:r>
      <w:r>
        <w:rPr>
          <w:rFonts w:ascii="仿宋" w:hAnsi="仿宋" w:eastAsia="仿宋"/>
          <w:sz w:val="30"/>
          <w:szCs w:val="30"/>
        </w:rPr>
        <w:t>收入决算情况说明</w:t>
      </w:r>
      <w:r>
        <w:rPr>
          <w:rFonts w:ascii="仿宋" w:hAnsi="仿宋" w:eastAsia="仿宋"/>
          <w:sz w:val="30"/>
          <w:szCs w:val="30"/>
        </w:rPr>
        <w:tab/>
      </w:r>
      <w:r>
        <w:rPr>
          <w:rFonts w:hint="eastAsia" w:ascii="仿宋" w:hAnsi="仿宋" w:eastAsia="仿宋"/>
          <w:sz w:val="30"/>
          <w:szCs w:val="30"/>
        </w:rPr>
        <w:t>7</w:t>
      </w:r>
    </w:p>
    <w:p>
      <w:pPr>
        <w:pStyle w:val="16"/>
        <w:tabs>
          <w:tab w:val="left" w:pos="840"/>
          <w:tab w:val="right" w:leader="dot" w:pos="8296"/>
        </w:tabs>
        <w:rPr>
          <w:rFonts w:ascii="仿宋" w:hAnsi="仿宋" w:eastAsia="仿宋"/>
          <w:sz w:val="30"/>
          <w:szCs w:val="30"/>
        </w:rPr>
      </w:pPr>
      <w:r>
        <w:rPr>
          <w:rFonts w:ascii="仿宋" w:hAnsi="仿宋" w:eastAsia="仿宋"/>
          <w:sz w:val="30"/>
          <w:szCs w:val="30"/>
        </w:rPr>
        <w:t>三、</w:t>
      </w:r>
      <w:r>
        <w:rPr>
          <w:rFonts w:ascii="仿宋" w:hAnsi="仿宋" w:eastAsia="仿宋"/>
          <w:sz w:val="30"/>
          <w:szCs w:val="30"/>
        </w:rPr>
        <w:tab/>
      </w:r>
      <w:r>
        <w:rPr>
          <w:rFonts w:ascii="仿宋" w:hAnsi="仿宋" w:eastAsia="仿宋"/>
          <w:sz w:val="30"/>
          <w:szCs w:val="30"/>
        </w:rPr>
        <w:t>支出决算情况说明</w:t>
      </w:r>
      <w:r>
        <w:rPr>
          <w:rFonts w:ascii="仿宋" w:hAnsi="仿宋" w:eastAsia="仿宋"/>
          <w:sz w:val="30"/>
          <w:szCs w:val="30"/>
        </w:rPr>
        <w:tab/>
      </w:r>
      <w:r>
        <w:rPr>
          <w:rFonts w:hint="eastAsia" w:ascii="仿宋" w:hAnsi="仿宋" w:eastAsia="仿宋"/>
          <w:sz w:val="30"/>
          <w:szCs w:val="30"/>
        </w:rPr>
        <w:t>8</w:t>
      </w:r>
    </w:p>
    <w:p>
      <w:pPr>
        <w:pStyle w:val="16"/>
        <w:tabs>
          <w:tab w:val="right" w:leader="dot" w:pos="8296"/>
        </w:tabs>
        <w:rPr>
          <w:rFonts w:ascii="仿宋" w:hAnsi="仿宋" w:eastAsia="仿宋"/>
          <w:sz w:val="30"/>
          <w:szCs w:val="30"/>
        </w:rPr>
      </w:pPr>
      <w:r>
        <w:rPr>
          <w:rFonts w:ascii="仿宋" w:hAnsi="仿宋" w:eastAsia="仿宋"/>
          <w:sz w:val="30"/>
          <w:szCs w:val="30"/>
        </w:rPr>
        <w:t>四、财政拨款收入支出决算总体情况说明</w:t>
      </w:r>
      <w:r>
        <w:rPr>
          <w:rFonts w:ascii="仿宋" w:hAnsi="仿宋" w:eastAsia="仿宋"/>
          <w:sz w:val="30"/>
          <w:szCs w:val="30"/>
        </w:rPr>
        <w:tab/>
      </w:r>
      <w:r>
        <w:rPr>
          <w:rFonts w:hint="eastAsia" w:ascii="仿宋" w:hAnsi="仿宋" w:eastAsia="仿宋"/>
          <w:sz w:val="30"/>
          <w:szCs w:val="30"/>
        </w:rPr>
        <w:t>8</w:t>
      </w:r>
    </w:p>
    <w:p>
      <w:pPr>
        <w:pStyle w:val="16"/>
        <w:tabs>
          <w:tab w:val="right" w:leader="dot" w:pos="8296"/>
        </w:tabs>
        <w:rPr>
          <w:rFonts w:ascii="仿宋" w:hAnsi="仿宋" w:eastAsia="仿宋"/>
          <w:sz w:val="30"/>
          <w:szCs w:val="30"/>
        </w:rPr>
      </w:pPr>
      <w:r>
        <w:rPr>
          <w:rFonts w:ascii="仿宋" w:hAnsi="仿宋" w:eastAsia="仿宋"/>
          <w:sz w:val="30"/>
          <w:szCs w:val="30"/>
        </w:rPr>
        <w:t>五、一般公共预算财政拨款支出决算情况说明</w:t>
      </w:r>
      <w:r>
        <w:rPr>
          <w:rFonts w:ascii="仿宋" w:hAnsi="仿宋" w:eastAsia="仿宋"/>
          <w:sz w:val="30"/>
          <w:szCs w:val="30"/>
        </w:rPr>
        <w:tab/>
      </w:r>
      <w:r>
        <w:rPr>
          <w:rFonts w:hint="eastAsia" w:ascii="仿宋" w:hAnsi="仿宋" w:eastAsia="仿宋"/>
          <w:sz w:val="30"/>
          <w:szCs w:val="30"/>
        </w:rPr>
        <w:t>8</w:t>
      </w:r>
    </w:p>
    <w:p>
      <w:pPr>
        <w:pStyle w:val="8"/>
        <w:tabs>
          <w:tab w:val="right" w:leader="dot" w:pos="8296"/>
        </w:tabs>
        <w:rPr>
          <w:rFonts w:ascii="仿宋" w:hAnsi="仿宋" w:eastAsia="仿宋"/>
          <w:i w:val="0"/>
          <w:iCs w:val="0"/>
          <w:smallCaps/>
          <w:sz w:val="30"/>
          <w:szCs w:val="30"/>
        </w:rPr>
      </w:pPr>
      <w:r>
        <w:rPr>
          <w:rFonts w:ascii="仿宋" w:hAnsi="仿宋" w:eastAsia="仿宋"/>
          <w:i w:val="0"/>
          <w:iCs w:val="0"/>
          <w:smallCaps/>
          <w:sz w:val="30"/>
          <w:szCs w:val="30"/>
        </w:rPr>
        <w:t>（一）一般公共预算财政拨款支出决算总体情况</w:t>
      </w:r>
      <w:r>
        <w:rPr>
          <w:rFonts w:ascii="仿宋" w:hAnsi="仿宋" w:eastAsia="仿宋"/>
          <w:i w:val="0"/>
          <w:iCs w:val="0"/>
          <w:smallCaps/>
          <w:sz w:val="30"/>
          <w:szCs w:val="30"/>
        </w:rPr>
        <w:tab/>
      </w:r>
      <w:r>
        <w:rPr>
          <w:rFonts w:hint="eastAsia" w:ascii="仿宋" w:hAnsi="仿宋" w:eastAsia="仿宋"/>
          <w:i w:val="0"/>
          <w:iCs w:val="0"/>
          <w:smallCaps/>
          <w:sz w:val="30"/>
          <w:szCs w:val="30"/>
        </w:rPr>
        <w:t>8</w:t>
      </w:r>
    </w:p>
    <w:p>
      <w:pPr>
        <w:pStyle w:val="8"/>
        <w:tabs>
          <w:tab w:val="right" w:leader="dot" w:pos="8296"/>
        </w:tabs>
        <w:rPr>
          <w:rFonts w:ascii="仿宋" w:hAnsi="仿宋" w:eastAsia="仿宋"/>
          <w:i w:val="0"/>
          <w:iCs w:val="0"/>
          <w:smallCaps/>
          <w:sz w:val="30"/>
          <w:szCs w:val="30"/>
        </w:rPr>
      </w:pPr>
      <w:r>
        <w:rPr>
          <w:rFonts w:ascii="仿宋" w:hAnsi="仿宋" w:eastAsia="仿宋"/>
          <w:i w:val="0"/>
          <w:iCs w:val="0"/>
          <w:smallCaps/>
          <w:sz w:val="30"/>
          <w:szCs w:val="30"/>
        </w:rPr>
        <w:t>（二）一般公共预算财政拨款支出决算结构情况</w:t>
      </w:r>
      <w:r>
        <w:rPr>
          <w:rFonts w:ascii="仿宋" w:hAnsi="仿宋" w:eastAsia="仿宋"/>
          <w:i w:val="0"/>
          <w:iCs w:val="0"/>
          <w:smallCaps/>
          <w:sz w:val="30"/>
          <w:szCs w:val="30"/>
        </w:rPr>
        <w:tab/>
      </w:r>
      <w:r>
        <w:rPr>
          <w:rFonts w:hint="eastAsia" w:ascii="仿宋" w:hAnsi="仿宋" w:eastAsia="仿宋"/>
          <w:i w:val="0"/>
          <w:iCs w:val="0"/>
          <w:smallCaps/>
          <w:sz w:val="30"/>
          <w:szCs w:val="30"/>
        </w:rPr>
        <w:t>9</w:t>
      </w:r>
    </w:p>
    <w:p>
      <w:pPr>
        <w:pStyle w:val="8"/>
        <w:tabs>
          <w:tab w:val="right" w:leader="dot" w:pos="8296"/>
        </w:tabs>
        <w:rPr>
          <w:rFonts w:ascii="仿宋" w:hAnsi="仿宋" w:eastAsia="仿宋"/>
          <w:i w:val="0"/>
          <w:iCs w:val="0"/>
          <w:smallCaps/>
          <w:sz w:val="30"/>
          <w:szCs w:val="30"/>
        </w:rPr>
      </w:pPr>
      <w:r>
        <w:rPr>
          <w:rFonts w:ascii="仿宋" w:hAnsi="仿宋" w:eastAsia="仿宋"/>
          <w:i w:val="0"/>
          <w:iCs w:val="0"/>
          <w:smallCaps/>
          <w:sz w:val="30"/>
          <w:szCs w:val="30"/>
        </w:rPr>
        <w:t>（三）一般公共预算财政拨款支出决算具体情况</w:t>
      </w:r>
      <w:r>
        <w:rPr>
          <w:rFonts w:ascii="仿宋" w:hAnsi="仿宋" w:eastAsia="仿宋"/>
          <w:i w:val="0"/>
          <w:iCs w:val="0"/>
          <w:smallCaps/>
          <w:sz w:val="30"/>
          <w:szCs w:val="30"/>
        </w:rPr>
        <w:tab/>
      </w:r>
      <w:r>
        <w:rPr>
          <w:rFonts w:hint="eastAsia" w:ascii="仿宋" w:hAnsi="仿宋" w:eastAsia="仿宋"/>
          <w:i w:val="0"/>
          <w:iCs w:val="0"/>
          <w:smallCaps/>
          <w:sz w:val="30"/>
          <w:szCs w:val="30"/>
        </w:rPr>
        <w:t>9</w:t>
      </w:r>
    </w:p>
    <w:p>
      <w:pPr>
        <w:pStyle w:val="16"/>
        <w:tabs>
          <w:tab w:val="right" w:leader="dot" w:pos="8296"/>
        </w:tabs>
        <w:rPr>
          <w:rFonts w:ascii="仿宋" w:hAnsi="仿宋" w:eastAsia="仿宋"/>
          <w:sz w:val="30"/>
          <w:szCs w:val="30"/>
        </w:rPr>
      </w:pPr>
      <w:r>
        <w:rPr>
          <w:rFonts w:ascii="仿宋" w:hAnsi="仿宋" w:eastAsia="仿宋"/>
          <w:sz w:val="30"/>
          <w:szCs w:val="30"/>
        </w:rPr>
        <w:t>六、一般公共预算财政拨款基本支出决算情况说明</w:t>
      </w:r>
      <w:r>
        <w:rPr>
          <w:rFonts w:ascii="仿宋" w:hAnsi="仿宋" w:eastAsia="仿宋"/>
          <w:sz w:val="30"/>
          <w:szCs w:val="30"/>
        </w:rPr>
        <w:tab/>
      </w:r>
      <w:r>
        <w:rPr>
          <w:rFonts w:hint="eastAsia" w:ascii="仿宋" w:hAnsi="仿宋" w:eastAsia="仿宋"/>
          <w:sz w:val="30"/>
          <w:szCs w:val="30"/>
        </w:rPr>
        <w:t>10</w:t>
      </w:r>
    </w:p>
    <w:p>
      <w:pPr>
        <w:pStyle w:val="16"/>
        <w:tabs>
          <w:tab w:val="right" w:leader="dot" w:pos="8296"/>
        </w:tabs>
        <w:rPr>
          <w:rFonts w:ascii="仿宋" w:hAnsi="仿宋" w:eastAsia="仿宋"/>
          <w:sz w:val="30"/>
          <w:szCs w:val="30"/>
        </w:rPr>
      </w:pPr>
      <w:r>
        <w:rPr>
          <w:rFonts w:ascii="仿宋" w:hAnsi="仿宋" w:eastAsia="仿宋"/>
          <w:sz w:val="30"/>
          <w:szCs w:val="30"/>
        </w:rPr>
        <w:t>七、“三公”经费财政拨款支出决算情况说明</w:t>
      </w:r>
      <w:r>
        <w:rPr>
          <w:rFonts w:ascii="仿宋" w:hAnsi="仿宋" w:eastAsia="仿宋"/>
          <w:sz w:val="30"/>
          <w:szCs w:val="30"/>
        </w:rPr>
        <w:tab/>
      </w:r>
      <w:r>
        <w:rPr>
          <w:rFonts w:hint="eastAsia" w:ascii="仿宋" w:hAnsi="仿宋" w:eastAsia="仿宋"/>
          <w:sz w:val="30"/>
          <w:szCs w:val="30"/>
        </w:rPr>
        <w:t>10</w:t>
      </w:r>
    </w:p>
    <w:p>
      <w:pPr>
        <w:pStyle w:val="16"/>
        <w:tabs>
          <w:tab w:val="right" w:leader="dot" w:pos="8296"/>
        </w:tabs>
        <w:rPr>
          <w:rFonts w:ascii="仿宋" w:hAnsi="仿宋" w:eastAsia="仿宋"/>
          <w:sz w:val="30"/>
          <w:szCs w:val="30"/>
        </w:rPr>
      </w:pPr>
      <w:r>
        <w:rPr>
          <w:rFonts w:ascii="仿宋" w:hAnsi="仿宋" w:eastAsia="仿宋"/>
          <w:sz w:val="30"/>
          <w:szCs w:val="30"/>
        </w:rPr>
        <w:t>八、政府性基金预算支出决算情况说明</w:t>
      </w:r>
      <w:r>
        <w:rPr>
          <w:rFonts w:ascii="仿宋" w:hAnsi="仿宋" w:eastAsia="仿宋"/>
          <w:sz w:val="30"/>
          <w:szCs w:val="30"/>
        </w:rPr>
        <w:tab/>
      </w:r>
      <w:r>
        <w:rPr>
          <w:rFonts w:hint="eastAsia" w:ascii="仿宋" w:hAnsi="仿宋" w:eastAsia="仿宋"/>
          <w:sz w:val="30"/>
          <w:szCs w:val="30"/>
        </w:rPr>
        <w:t>10</w:t>
      </w:r>
    </w:p>
    <w:p>
      <w:pPr>
        <w:pStyle w:val="16"/>
        <w:tabs>
          <w:tab w:val="right" w:leader="dot" w:pos="8296"/>
        </w:tabs>
        <w:rPr>
          <w:rFonts w:ascii="仿宋" w:hAnsi="仿宋" w:eastAsia="仿宋"/>
          <w:sz w:val="30"/>
          <w:szCs w:val="30"/>
        </w:rPr>
      </w:pPr>
      <w:r>
        <w:rPr>
          <w:rFonts w:ascii="仿宋" w:hAnsi="仿宋" w:eastAsia="仿宋"/>
          <w:sz w:val="30"/>
          <w:szCs w:val="30"/>
        </w:rPr>
        <w:t>九、 国有资本经营预算支出决算情况说明</w:t>
      </w:r>
      <w:r>
        <w:rPr>
          <w:rFonts w:ascii="仿宋" w:hAnsi="仿宋" w:eastAsia="仿宋"/>
          <w:sz w:val="30"/>
          <w:szCs w:val="30"/>
        </w:rPr>
        <w:tab/>
      </w:r>
      <w:r>
        <w:rPr>
          <w:rFonts w:hint="eastAsia" w:ascii="仿宋" w:hAnsi="仿宋" w:eastAsia="仿宋"/>
          <w:sz w:val="30"/>
          <w:szCs w:val="30"/>
        </w:rPr>
        <w:t>10</w:t>
      </w:r>
    </w:p>
    <w:p>
      <w:pPr>
        <w:pStyle w:val="16"/>
        <w:tabs>
          <w:tab w:val="right" w:leader="dot" w:pos="8296"/>
        </w:tabs>
        <w:rPr>
          <w:rFonts w:ascii="仿宋" w:hAnsi="仿宋" w:eastAsia="仿宋"/>
          <w:sz w:val="30"/>
          <w:szCs w:val="30"/>
        </w:rPr>
      </w:pPr>
      <w:r>
        <w:rPr>
          <w:rFonts w:ascii="仿宋" w:hAnsi="仿宋" w:eastAsia="仿宋"/>
          <w:sz w:val="30"/>
          <w:szCs w:val="30"/>
        </w:rPr>
        <w:t>十、其他重要事项的情况说明</w:t>
      </w:r>
      <w:r>
        <w:rPr>
          <w:rFonts w:ascii="仿宋" w:hAnsi="仿宋" w:eastAsia="仿宋"/>
          <w:sz w:val="30"/>
          <w:szCs w:val="30"/>
        </w:rPr>
        <w:tab/>
      </w:r>
      <w:r>
        <w:rPr>
          <w:rFonts w:hint="eastAsia" w:ascii="仿宋" w:hAnsi="仿宋" w:eastAsia="仿宋"/>
          <w:sz w:val="30"/>
          <w:szCs w:val="30"/>
        </w:rPr>
        <w:t>10</w:t>
      </w:r>
    </w:p>
    <w:p>
      <w:pPr>
        <w:pStyle w:val="8"/>
        <w:tabs>
          <w:tab w:val="right" w:leader="dot" w:pos="8296"/>
        </w:tabs>
        <w:rPr>
          <w:rFonts w:ascii="仿宋" w:hAnsi="仿宋" w:eastAsia="仿宋"/>
          <w:i w:val="0"/>
          <w:iCs w:val="0"/>
          <w:smallCaps/>
          <w:sz w:val="30"/>
          <w:szCs w:val="30"/>
        </w:rPr>
      </w:pPr>
      <w:r>
        <w:rPr>
          <w:rFonts w:ascii="仿宋" w:hAnsi="仿宋" w:eastAsia="仿宋"/>
          <w:i w:val="0"/>
          <w:iCs w:val="0"/>
          <w:smallCaps/>
          <w:sz w:val="30"/>
          <w:szCs w:val="30"/>
        </w:rPr>
        <w:t>（一）机关运行经费支出情况</w:t>
      </w:r>
      <w:r>
        <w:rPr>
          <w:rFonts w:ascii="仿宋" w:hAnsi="仿宋" w:eastAsia="仿宋"/>
          <w:i w:val="0"/>
          <w:iCs w:val="0"/>
          <w:smallCaps/>
          <w:sz w:val="30"/>
          <w:szCs w:val="30"/>
        </w:rPr>
        <w:tab/>
      </w:r>
      <w:r>
        <w:rPr>
          <w:rFonts w:hint="eastAsia" w:ascii="仿宋" w:hAnsi="仿宋" w:eastAsia="仿宋"/>
          <w:i w:val="0"/>
          <w:iCs w:val="0"/>
          <w:smallCaps/>
          <w:sz w:val="30"/>
          <w:szCs w:val="30"/>
        </w:rPr>
        <w:t>10</w:t>
      </w:r>
    </w:p>
    <w:p>
      <w:pPr>
        <w:pStyle w:val="8"/>
        <w:tabs>
          <w:tab w:val="right" w:leader="dot" w:pos="8296"/>
        </w:tabs>
        <w:rPr>
          <w:rFonts w:ascii="仿宋" w:hAnsi="仿宋" w:eastAsia="仿宋"/>
          <w:i w:val="0"/>
          <w:iCs w:val="0"/>
          <w:smallCaps/>
          <w:sz w:val="30"/>
          <w:szCs w:val="30"/>
        </w:rPr>
      </w:pPr>
      <w:r>
        <w:rPr>
          <w:rFonts w:ascii="仿宋" w:hAnsi="仿宋" w:eastAsia="仿宋"/>
          <w:i w:val="0"/>
          <w:iCs w:val="0"/>
          <w:smallCaps/>
          <w:sz w:val="30"/>
          <w:szCs w:val="30"/>
        </w:rPr>
        <w:t>（二）政府采购支出情况</w:t>
      </w:r>
      <w:r>
        <w:rPr>
          <w:rFonts w:ascii="仿宋" w:hAnsi="仿宋" w:eastAsia="仿宋"/>
          <w:i w:val="0"/>
          <w:iCs w:val="0"/>
          <w:smallCaps/>
          <w:sz w:val="30"/>
          <w:szCs w:val="30"/>
        </w:rPr>
        <w:tab/>
      </w:r>
      <w:r>
        <w:rPr>
          <w:rFonts w:hint="eastAsia" w:ascii="仿宋" w:hAnsi="仿宋" w:eastAsia="仿宋"/>
          <w:i w:val="0"/>
          <w:iCs w:val="0"/>
          <w:smallCaps/>
          <w:sz w:val="30"/>
          <w:szCs w:val="30"/>
        </w:rPr>
        <w:t>10</w:t>
      </w:r>
    </w:p>
    <w:p>
      <w:pPr>
        <w:pStyle w:val="8"/>
        <w:tabs>
          <w:tab w:val="right" w:leader="dot" w:pos="8296"/>
        </w:tabs>
        <w:rPr>
          <w:rFonts w:ascii="仿宋" w:hAnsi="仿宋" w:eastAsia="仿宋"/>
          <w:i w:val="0"/>
          <w:iCs w:val="0"/>
          <w:smallCaps/>
          <w:sz w:val="30"/>
          <w:szCs w:val="30"/>
        </w:rPr>
      </w:pPr>
      <w:r>
        <w:rPr>
          <w:rFonts w:ascii="仿宋" w:hAnsi="仿宋" w:eastAsia="仿宋"/>
          <w:i w:val="0"/>
          <w:iCs w:val="0"/>
          <w:smallCaps/>
          <w:sz w:val="30"/>
          <w:szCs w:val="30"/>
        </w:rPr>
        <w:t>（三）国有资产占有使用情况</w:t>
      </w:r>
      <w:r>
        <w:rPr>
          <w:rFonts w:ascii="仿宋" w:hAnsi="仿宋" w:eastAsia="仿宋"/>
          <w:i w:val="0"/>
          <w:iCs w:val="0"/>
          <w:smallCaps/>
          <w:sz w:val="30"/>
          <w:szCs w:val="30"/>
        </w:rPr>
        <w:tab/>
      </w:r>
      <w:r>
        <w:rPr>
          <w:rFonts w:hint="eastAsia" w:ascii="仿宋" w:hAnsi="仿宋" w:eastAsia="仿宋"/>
          <w:i w:val="0"/>
          <w:iCs w:val="0"/>
          <w:smallCaps/>
          <w:sz w:val="30"/>
          <w:szCs w:val="30"/>
        </w:rPr>
        <w:t>10</w:t>
      </w:r>
    </w:p>
    <w:p>
      <w:pPr>
        <w:pStyle w:val="8"/>
        <w:tabs>
          <w:tab w:val="right" w:leader="dot" w:pos="8296"/>
        </w:tabs>
        <w:rPr>
          <w:rFonts w:ascii="仿宋" w:hAnsi="仿宋" w:eastAsia="仿宋"/>
          <w:i w:val="0"/>
          <w:iCs w:val="0"/>
          <w:smallCaps/>
          <w:sz w:val="30"/>
          <w:szCs w:val="30"/>
        </w:rPr>
      </w:pPr>
      <w:r>
        <w:rPr>
          <w:rFonts w:ascii="仿宋" w:hAnsi="仿宋" w:eastAsia="仿宋"/>
          <w:i w:val="0"/>
          <w:iCs w:val="0"/>
          <w:smallCaps/>
          <w:sz w:val="30"/>
          <w:szCs w:val="30"/>
        </w:rPr>
        <w:t>（四）预算绩效管理情况</w:t>
      </w:r>
      <w:r>
        <w:rPr>
          <w:rFonts w:ascii="仿宋" w:hAnsi="仿宋" w:eastAsia="仿宋"/>
          <w:i w:val="0"/>
          <w:iCs w:val="0"/>
          <w:smallCaps/>
          <w:sz w:val="30"/>
          <w:szCs w:val="30"/>
        </w:rPr>
        <w:tab/>
      </w:r>
      <w:r>
        <w:rPr>
          <w:rFonts w:hint="eastAsia" w:ascii="仿宋" w:hAnsi="仿宋" w:eastAsia="仿宋"/>
          <w:i w:val="0"/>
          <w:iCs w:val="0"/>
          <w:smallCaps/>
          <w:sz w:val="30"/>
          <w:szCs w:val="30"/>
        </w:rPr>
        <w:t>11</w:t>
      </w:r>
    </w:p>
    <w:p>
      <w:pPr>
        <w:pStyle w:val="13"/>
        <w:tabs>
          <w:tab w:val="right" w:leader="dot" w:pos="8296"/>
        </w:tabs>
        <w:rPr>
          <w:rFonts w:ascii="仿宋" w:hAnsi="仿宋" w:eastAsia="仿宋"/>
          <w:b w:val="0"/>
          <w:bCs w:val="0"/>
          <w:caps w:val="0"/>
          <w:smallCaps/>
          <w:sz w:val="30"/>
          <w:szCs w:val="30"/>
        </w:rPr>
      </w:pPr>
      <w:r>
        <w:rPr>
          <w:rFonts w:ascii="仿宋" w:hAnsi="仿宋" w:eastAsia="仿宋"/>
          <w:b w:val="0"/>
          <w:bCs w:val="0"/>
          <w:caps w:val="0"/>
          <w:smallCaps/>
          <w:sz w:val="30"/>
          <w:szCs w:val="30"/>
        </w:rPr>
        <w:t>第三部分 名词解释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rPr>
        <w:t>12</w:t>
      </w:r>
    </w:p>
    <w:p>
      <w:pPr>
        <w:pStyle w:val="13"/>
        <w:tabs>
          <w:tab w:val="right" w:leader="dot" w:pos="8296"/>
        </w:tabs>
        <w:rPr>
          <w:rFonts w:ascii="仿宋" w:hAnsi="仿宋" w:eastAsia="仿宋"/>
          <w:b w:val="0"/>
          <w:bCs w:val="0"/>
          <w:caps w:val="0"/>
          <w:smallCaps/>
          <w:sz w:val="30"/>
          <w:szCs w:val="30"/>
        </w:rPr>
      </w:pPr>
      <w:r>
        <w:rPr>
          <w:rFonts w:ascii="仿宋" w:hAnsi="仿宋" w:eastAsia="仿宋"/>
          <w:b w:val="0"/>
          <w:bCs w:val="0"/>
          <w:caps w:val="0"/>
          <w:smallCaps/>
          <w:sz w:val="30"/>
          <w:szCs w:val="30"/>
        </w:rPr>
        <w:t>第四部分 附件</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rPr>
        <w:t>14</w:t>
      </w:r>
    </w:p>
    <w:p>
      <w:pPr>
        <w:pStyle w:val="13"/>
        <w:tabs>
          <w:tab w:val="right" w:leader="dot" w:pos="8296"/>
        </w:tabs>
        <w:rPr>
          <w:rFonts w:ascii="仿宋" w:hAnsi="仿宋" w:eastAsia="仿宋"/>
          <w:b w:val="0"/>
          <w:bCs w:val="0"/>
          <w:caps w:val="0"/>
          <w:smallCaps/>
          <w:sz w:val="30"/>
          <w:szCs w:val="30"/>
        </w:rPr>
      </w:pPr>
      <w:r>
        <w:rPr>
          <w:rFonts w:ascii="仿宋" w:hAnsi="仿宋" w:eastAsia="仿宋"/>
          <w:b w:val="0"/>
          <w:bCs w:val="0"/>
          <w:caps w:val="0"/>
          <w:smallCaps/>
          <w:sz w:val="30"/>
          <w:szCs w:val="30"/>
        </w:rPr>
        <w:t>附件1</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rPr>
        <w:t>14</w:t>
      </w:r>
    </w:p>
    <w:p>
      <w:pPr>
        <w:pStyle w:val="13"/>
        <w:tabs>
          <w:tab w:val="right" w:leader="dot" w:pos="8296"/>
        </w:tabs>
        <w:rPr>
          <w:rFonts w:ascii="仿宋" w:hAnsi="仿宋" w:eastAsia="仿宋"/>
          <w:b w:val="0"/>
          <w:bCs w:val="0"/>
          <w:caps w:val="0"/>
          <w:smallCaps/>
          <w:sz w:val="30"/>
          <w:szCs w:val="30"/>
        </w:rPr>
      </w:pPr>
      <w:r>
        <w:rPr>
          <w:rFonts w:hint="eastAsia" w:ascii="仿宋" w:hAnsi="仿宋" w:eastAsia="仿宋"/>
          <w:b w:val="0"/>
          <w:bCs w:val="0"/>
          <w:caps w:val="0"/>
          <w:smallCaps/>
          <w:sz w:val="30"/>
          <w:szCs w:val="30"/>
        </w:rPr>
        <w:t>茂县新华书店</w:t>
      </w:r>
      <w:r>
        <w:rPr>
          <w:rFonts w:ascii="仿宋" w:hAnsi="仿宋" w:eastAsia="仿宋"/>
          <w:b w:val="0"/>
          <w:bCs w:val="0"/>
          <w:caps w:val="0"/>
          <w:smallCaps/>
          <w:sz w:val="30"/>
          <w:szCs w:val="30"/>
        </w:rPr>
        <w:t>部门2020年部门整体支出绩效评价报告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rPr>
        <w:t>14</w:t>
      </w:r>
    </w:p>
    <w:p>
      <w:pPr>
        <w:pStyle w:val="13"/>
        <w:tabs>
          <w:tab w:val="right" w:leader="dot" w:pos="8296"/>
        </w:tabs>
        <w:rPr>
          <w:rFonts w:ascii="仿宋" w:hAnsi="仿宋" w:eastAsia="仿宋"/>
          <w:b w:val="0"/>
          <w:bCs w:val="0"/>
          <w:caps w:val="0"/>
          <w:smallCaps/>
          <w:sz w:val="30"/>
          <w:szCs w:val="30"/>
        </w:rPr>
      </w:pPr>
      <w:r>
        <w:rPr>
          <w:rFonts w:ascii="仿宋" w:hAnsi="仿宋" w:eastAsia="仿宋"/>
          <w:b w:val="0"/>
          <w:bCs w:val="0"/>
          <w:caps w:val="0"/>
          <w:smallCaps/>
          <w:sz w:val="30"/>
          <w:szCs w:val="30"/>
        </w:rPr>
        <w:t>第五部分 附表</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一、收入支出决算总表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二、收入决算表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三、支出决算表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四、财政拨款收入支出决算总表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五、财政拨款支出决算明细表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六、一般公共预算财政拨款支出决算表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七、一般公共预算财政拨款支出决算明细表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八、一般公共预算财政拨款基本支出决算表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九、一般公共预算财政拨款项目支出决算表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十、一般公共预算财政拨款“三公”经费支出决算表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十一、政府性基金预算财政拨款收入支出决算表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十二、政府性基金预算财政拨款“三公”经费支出决算表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十三、国有资本经营预算财政拨款支出决算表</w:t>
      </w:r>
      <w:r>
        <w:rPr>
          <w:rFonts w:ascii="仿宋" w:hAnsi="仿宋" w:eastAsia="仿宋"/>
          <w:sz w:val="30"/>
          <w:szCs w:val="30"/>
        </w:rPr>
        <w:tab/>
      </w:r>
      <w:r>
        <w:rPr>
          <w:rFonts w:hint="eastAsia" w:ascii="仿宋" w:hAnsi="仿宋" w:eastAsia="仿宋"/>
          <w:sz w:val="30"/>
          <w:szCs w:val="30"/>
        </w:rPr>
        <w:t>17</w:t>
      </w:r>
    </w:p>
    <w:p>
      <w:pPr>
        <w:pStyle w:val="16"/>
        <w:tabs>
          <w:tab w:val="right" w:leader="dot" w:pos="8296"/>
        </w:tabs>
        <w:rPr>
          <w:rFonts w:ascii="仿宋" w:hAnsi="仿宋" w:eastAsia="仿宋"/>
          <w:sz w:val="30"/>
          <w:szCs w:val="30"/>
        </w:rPr>
      </w:pPr>
      <w:r>
        <w:rPr>
          <w:rFonts w:ascii="仿宋" w:hAnsi="仿宋" w:eastAsia="仿宋"/>
          <w:sz w:val="30"/>
          <w:szCs w:val="30"/>
        </w:rPr>
        <w:t>十四、国有资本经营预算财政拨款支出决算表</w:t>
      </w:r>
      <w:r>
        <w:rPr>
          <w:rFonts w:ascii="仿宋" w:hAnsi="仿宋" w:eastAsia="仿宋"/>
          <w:sz w:val="30"/>
          <w:szCs w:val="30"/>
        </w:rPr>
        <w:tab/>
      </w:r>
      <w:r>
        <w:rPr>
          <w:rFonts w:ascii="仿宋" w:hAnsi="仿宋" w:eastAsia="仿宋"/>
          <w:sz w:val="30"/>
          <w:szCs w:val="30"/>
        </w:rPr>
        <w:t>1</w:t>
      </w:r>
      <w:r>
        <w:rPr>
          <w:rFonts w:hint="eastAsia" w:ascii="仿宋" w:hAnsi="仿宋" w:eastAsia="仿宋"/>
          <w:sz w:val="30"/>
          <w:szCs w:val="30"/>
        </w:rPr>
        <w:t>7</w:t>
      </w:r>
    </w:p>
    <w:p>
      <w:r>
        <w:rPr>
          <w:rFonts w:ascii="仿宋" w:hAnsi="仿宋" w:eastAsia="仿宋"/>
          <w:smallCaps/>
          <w:sz w:val="30"/>
          <w:szCs w:val="30"/>
        </w:rPr>
        <w:fldChar w:fldCharType="end"/>
      </w:r>
    </w:p>
    <w:p>
      <w:pPr>
        <w:pStyle w:val="2"/>
        <w:jc w:val="center"/>
        <w:rPr>
          <w:rFonts w:ascii="黑体" w:hAnsi="黑体" w:eastAsia="黑体"/>
          <w:b w:val="0"/>
        </w:rPr>
      </w:pPr>
      <w:bookmarkStart w:id="12" w:name="_Toc79163601"/>
      <w:bookmarkStart w:id="13" w:name="_Toc79163851"/>
      <w:bookmarkStart w:id="14" w:name="_Toc15396599"/>
      <w:bookmarkStart w:id="15" w:name="_Toc15377196"/>
    </w:p>
    <w:p>
      <w:pPr>
        <w:pStyle w:val="2"/>
        <w:jc w:val="center"/>
        <w:rPr>
          <w:rFonts w:ascii="黑体" w:hAnsi="黑体" w:eastAsia="黑体"/>
          <w:b w:val="0"/>
        </w:rPr>
      </w:pPr>
    </w:p>
    <w:p>
      <w:pPr>
        <w:pStyle w:val="2"/>
        <w:jc w:val="center"/>
        <w:rPr>
          <w:rFonts w:ascii="黑体" w:hAnsi="黑体" w:eastAsia="黑体"/>
          <w:b w:val="0"/>
        </w:rPr>
      </w:pPr>
    </w:p>
    <w:p>
      <w:pPr>
        <w:pStyle w:val="2"/>
        <w:jc w:val="center"/>
        <w:rPr>
          <w:rFonts w:ascii="黑体" w:hAnsi="黑体" w:eastAsia="黑体"/>
          <w:b w:val="0"/>
        </w:rPr>
      </w:pPr>
    </w:p>
    <w:p>
      <w:pPr>
        <w:pStyle w:val="2"/>
        <w:jc w:val="center"/>
        <w:rPr>
          <w:rFonts w:ascii="黑体" w:hAnsi="黑体" w:eastAsia="黑体"/>
          <w:b w:val="0"/>
        </w:rPr>
      </w:pPr>
    </w:p>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rPr>
      </w:pPr>
    </w:p>
    <w:p>
      <w:pPr>
        <w:pStyle w:val="2"/>
        <w:jc w:val="center"/>
        <w:rPr>
          <w:rFonts w:ascii="黑体" w:hAnsi="黑体" w:eastAsia="黑体"/>
          <w:b w:val="0"/>
        </w:rPr>
      </w:pPr>
    </w:p>
    <w:p/>
    <w:p/>
    <w:p>
      <w:pPr>
        <w:pStyle w:val="2"/>
        <w:jc w:val="center"/>
        <w:rPr>
          <w:rStyle w:val="22"/>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pStyle w:val="3"/>
        <w:rPr>
          <w:rStyle w:val="23"/>
          <w:rFonts w:ascii="仿宋" w:hAnsi="仿宋" w:eastAsia="仿宋"/>
          <w:b w:val="0"/>
          <w:bCs w:val="0"/>
        </w:rPr>
      </w:pPr>
      <w:bookmarkStart w:id="16" w:name="_Toc79163852"/>
      <w:bookmarkStart w:id="17" w:name="_Toc15396600"/>
      <w:bookmarkStart w:id="18" w:name="_Toc79163602"/>
      <w:bookmarkStart w:id="19" w:name="_Toc15377197"/>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ind w:firstLine="640" w:firstLineChars="200"/>
        <w:rPr>
          <w:rFonts w:ascii="仿宋" w:hAnsi="仿宋" w:eastAsia="仿宋"/>
          <w:sz w:val="32"/>
          <w:szCs w:val="32"/>
        </w:rPr>
      </w:pPr>
      <w:r>
        <w:rPr>
          <w:rFonts w:hint="eastAsia" w:ascii="仿宋" w:hAnsi="仿宋" w:eastAsia="仿宋"/>
          <w:sz w:val="32"/>
          <w:szCs w:val="32"/>
        </w:rPr>
        <w:t>主要职能是图书发行，新华书店作为党和政府的思想、宣传文化阵地，长期以来坚持为人民服务、为社会主义服务</w:t>
      </w:r>
    </w:p>
    <w:p>
      <w:pPr>
        <w:rPr>
          <w:rFonts w:ascii="仿宋_GB2312" w:hAnsi="仿宋_GB2312" w:eastAsia="仿宋_GB2312" w:cs="仿宋_GB2312"/>
          <w:sz w:val="32"/>
          <w:szCs w:val="32"/>
        </w:rPr>
      </w:pPr>
      <w:r>
        <w:rPr>
          <w:rFonts w:hint="eastAsia" w:ascii="仿宋" w:hAnsi="仿宋" w:eastAsia="仿宋"/>
          <w:sz w:val="32"/>
          <w:szCs w:val="32"/>
        </w:rPr>
        <w:t>的根本方针，把社会效益放在首位，是党和政府重要的精神文明窗口和中小学教材发行的主要渠道，为茂县的精神文明建设和教育事业及经济建设服务。</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4" w:name="_Toc79163854"/>
      <w:bookmarkStart w:id="25" w:name="_Toc15378446"/>
      <w:bookmarkStart w:id="26" w:name="_Toc15377199"/>
      <w:bookmarkStart w:id="27" w:name="_Toc79163604"/>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本年度新华书店完成了全县和各区乡中小学校教材教辅的征订和发放工作，保证了课前到书。</w:t>
      </w:r>
    </w:p>
    <w:p>
      <w:pPr>
        <w:pStyle w:val="3"/>
        <w:rPr>
          <w:rStyle w:val="23"/>
          <w:b w:val="0"/>
          <w:bCs w:val="0"/>
        </w:rPr>
      </w:pPr>
      <w:bookmarkStart w:id="28" w:name="_Toc15396601"/>
      <w:bookmarkStart w:id="29" w:name="_Toc79163605"/>
      <w:bookmarkStart w:id="30" w:name="_Toc15377200"/>
      <w:bookmarkStart w:id="31" w:name="_Toc79163855"/>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8"/>
      <w:bookmarkEnd w:id="29"/>
      <w:bookmarkEnd w:id="30"/>
      <w:bookmarkEnd w:id="31"/>
    </w:p>
    <w:p>
      <w:pPr>
        <w:ind w:firstLine="640" w:firstLineChars="200"/>
        <w:rPr>
          <w:rFonts w:ascii="仿宋" w:hAnsi="仿宋" w:eastAsia="仿宋"/>
          <w:sz w:val="32"/>
          <w:szCs w:val="32"/>
        </w:rPr>
      </w:pPr>
      <w:r>
        <w:rPr>
          <w:rFonts w:hint="eastAsia" w:ascii="仿宋" w:hAnsi="仿宋" w:eastAsia="仿宋"/>
          <w:sz w:val="32"/>
          <w:szCs w:val="32"/>
        </w:rPr>
        <w:t>新华书店下属二级单位0个，其中行政单位0个，参照公务员法管理的事业单位0个，其他事业单位0个。</w:t>
      </w:r>
    </w:p>
    <w:p>
      <w:pPr>
        <w:pStyle w:val="6"/>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新华书店</w:t>
      </w:r>
      <w:r>
        <w:rPr>
          <w:rFonts w:ascii="仿宋" w:hAnsi="仿宋" w:eastAsia="仿宋"/>
          <w:color w:val="000000"/>
          <w:sz w:val="32"/>
          <w:szCs w:val="32"/>
        </w:rPr>
        <w:t>2020</w:t>
      </w:r>
      <w:r>
        <w:rPr>
          <w:rFonts w:hint="eastAsia" w:ascii="仿宋" w:hAnsi="仿宋" w:eastAsia="仿宋"/>
          <w:color w:val="000000"/>
          <w:sz w:val="32"/>
          <w:szCs w:val="32"/>
        </w:rPr>
        <w:t>年度无二级预算单位。</w:t>
      </w:r>
    </w:p>
    <w:p>
      <w:pPr>
        <w:pStyle w:val="6"/>
        <w:adjustRightInd w:val="0"/>
        <w:snapToGrid w:val="0"/>
        <w:spacing w:before="93" w:line="600" w:lineRule="exact"/>
        <w:ind w:firstLine="1120" w:firstLineChars="350"/>
        <w:rPr>
          <w:rFonts w:ascii="仿宋" w:hAnsi="仿宋" w:eastAsia="仿宋"/>
          <w:color w:val="00000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pStyle w:val="2"/>
        <w:ind w:right="440"/>
        <w:jc w:val="right"/>
        <w:rPr>
          <w:rStyle w:val="22"/>
          <w:rFonts w:ascii="黑体" w:hAnsi="黑体" w:eastAsia="黑体"/>
          <w:b w:val="0"/>
          <w:bCs w:val="0"/>
        </w:rPr>
      </w:pPr>
      <w:bookmarkStart w:id="32" w:name="_Toc79163859"/>
      <w:bookmarkStart w:id="33" w:name="_Toc15377204"/>
      <w:bookmarkStart w:id="34" w:name="_Toc79163609"/>
      <w:bookmarkStart w:id="35" w:name="_Toc15396602"/>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2020</w:t>
      </w:r>
      <w:r>
        <w:rPr>
          <w:rStyle w:val="22"/>
          <w:rFonts w:hint="eastAsia" w:ascii="黑体" w:hAnsi="黑体" w:eastAsia="黑体"/>
          <w:b w:val="0"/>
          <w:bCs w:val="0"/>
        </w:rPr>
        <w:t>年度部门决算情况说明</w:t>
      </w:r>
      <w:bookmarkEnd w:id="32"/>
      <w:bookmarkEnd w:id="33"/>
      <w:bookmarkEnd w:id="34"/>
      <w:bookmarkEnd w:id="35"/>
    </w:p>
    <w:p>
      <w:pPr>
        <w:pStyle w:val="33"/>
        <w:spacing w:line="600" w:lineRule="exact"/>
        <w:ind w:firstLine="0" w:firstLineChars="0"/>
        <w:outlineLvl w:val="1"/>
        <w:rPr>
          <w:rStyle w:val="23"/>
          <w:rFonts w:ascii="黑体" w:hAnsi="黑体" w:eastAsia="黑体"/>
          <w:b w:val="0"/>
        </w:rPr>
      </w:pPr>
      <w:bookmarkStart w:id="36" w:name="_Toc79163610"/>
      <w:bookmarkStart w:id="37" w:name="_Toc15396603"/>
      <w:bookmarkStart w:id="38" w:name="_Toc79163860"/>
      <w:bookmarkStart w:id="39" w:name="_Toc15377205"/>
      <w:r>
        <w:rPr>
          <w:rFonts w:hint="eastAsia" w:ascii="黑体" w:hAnsi="黑体" w:eastAsia="黑体"/>
          <w:color w:val="000000"/>
          <w:sz w:val="32"/>
          <w:szCs w:val="32"/>
        </w:rPr>
        <w:t>一、收</w:t>
      </w:r>
      <w:r>
        <w:rPr>
          <w:rStyle w:val="23"/>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年度收、支总计73.52万元。与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年相比，收、支总计各增加23.57万元，增长47.19</w:t>
      </w:r>
      <w:r>
        <w:rPr>
          <w:rFonts w:ascii="仿宋" w:hAnsi="仿宋" w:eastAsia="仿宋"/>
          <w:color w:val="000000"/>
          <w:sz w:val="32"/>
          <w:szCs w:val="32"/>
        </w:rPr>
        <w:t>%</w:t>
      </w:r>
      <w:r>
        <w:rPr>
          <w:rFonts w:hint="eastAsia" w:ascii="仿宋" w:hAnsi="仿宋" w:eastAsia="仿宋"/>
          <w:color w:val="000000"/>
          <w:sz w:val="32"/>
          <w:szCs w:val="32"/>
        </w:rPr>
        <w:t>。主要变动原因是本年增加了2019年目标考核奖和退休一次性补贴及2018年2019年残疾人保障金。如下图所示：</w:t>
      </w:r>
    </w:p>
    <w:p>
      <w:pPr>
        <w:ind w:firstLine="642" w:firstLineChars="200"/>
        <w:rPr>
          <w:rFonts w:ascii="仿宋" w:hAnsi="仿宋" w:eastAsia="仿宋"/>
          <w:b/>
          <w:color w:val="000000"/>
          <w:sz w:val="32"/>
          <w:szCs w:val="32"/>
        </w:rPr>
      </w:pPr>
      <w:r>
        <w:rPr>
          <w:rFonts w:hint="eastAsia" w:ascii="仿宋" w:hAnsi="仿宋" w:eastAsia="仿宋"/>
          <w:b/>
          <w:color w:val="000000"/>
          <w:sz w:val="32"/>
          <w:szCs w:val="32"/>
        </w:rPr>
        <w:drawing>
          <wp:inline distT="0" distB="0" distL="114300" distR="114300">
            <wp:extent cx="4816475" cy="751840"/>
            <wp:effectExtent l="0" t="0" r="3175" b="10160"/>
            <wp:docPr id="1" name="图片 1"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1"/>
                    <pic:cNvPicPr>
                      <a:picLocks noChangeAspect="1"/>
                    </pic:cNvPicPr>
                  </pic:nvPicPr>
                  <pic:blipFill>
                    <a:blip r:embed="rId6"/>
                    <a:srcRect t="588" b="25588"/>
                    <a:stretch>
                      <a:fillRect/>
                    </a:stretch>
                  </pic:blipFill>
                  <pic:spPr>
                    <a:xfrm>
                      <a:off x="0" y="0"/>
                      <a:ext cx="4816475" cy="751840"/>
                    </a:xfrm>
                    <a:prstGeom prst="rect">
                      <a:avLst/>
                    </a:prstGeom>
                  </pic:spPr>
                </pic:pic>
              </a:graphicData>
            </a:graphic>
          </wp:inline>
        </w:drawing>
      </w:r>
    </w:p>
    <w:p>
      <w:pPr>
        <w:ind w:firstLine="642" w:firstLineChars="200"/>
        <w:rPr>
          <w:rFonts w:ascii="仿宋" w:hAnsi="仿宋" w:eastAsia="仿宋"/>
          <w:b/>
          <w:color w:val="000000"/>
          <w:sz w:val="32"/>
          <w:szCs w:val="32"/>
        </w:rPr>
      </w:pPr>
      <w:r>
        <w:rPr>
          <w:rFonts w:hint="eastAsia" w:ascii="仿宋" w:hAnsi="仿宋" w:eastAsia="仿宋"/>
          <w:b/>
          <w:color w:val="000000"/>
          <w:sz w:val="32"/>
          <w:szCs w:val="32"/>
        </w:rPr>
        <w:t xml:space="preserve">     </w:t>
      </w:r>
      <w:r>
        <w:rPr>
          <w:rFonts w:hint="eastAsia" w:ascii="仿宋" w:hAnsi="仿宋" w:eastAsia="仿宋"/>
          <w:b/>
          <w:color w:val="000000"/>
          <w:sz w:val="18"/>
          <w:szCs w:val="18"/>
        </w:rPr>
        <w:t>2019年总收入    2020年总收入     2019年总支出     2020年总支出</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spacing w:line="600" w:lineRule="exact"/>
        <w:ind w:firstLine="640" w:firstLineChars="200"/>
        <w:rPr>
          <w:rFonts w:ascii="仿宋" w:hAnsi="仿宋" w:eastAsia="仿宋"/>
          <w:color w:val="000000"/>
          <w:sz w:val="32"/>
          <w:szCs w:val="32"/>
        </w:rPr>
      </w:pPr>
    </w:p>
    <w:p>
      <w:pPr>
        <w:pStyle w:val="33"/>
        <w:spacing w:line="600" w:lineRule="exact"/>
        <w:ind w:firstLine="0" w:firstLineChars="0"/>
        <w:outlineLvl w:val="1"/>
        <w:rPr>
          <w:rStyle w:val="23"/>
          <w:rFonts w:ascii="黑体" w:hAnsi="黑体" w:eastAsia="黑体"/>
          <w:b w:val="0"/>
        </w:rPr>
      </w:pPr>
      <w:bookmarkStart w:id="40" w:name="_Toc79163861"/>
      <w:bookmarkStart w:id="41" w:name="_Toc79163611"/>
      <w:bookmarkStart w:id="42" w:name="_Toc15396604"/>
      <w:bookmarkStart w:id="43" w:name="_Toc15377206"/>
      <w:r>
        <w:rPr>
          <w:rFonts w:hint="eastAsia" w:ascii="黑体" w:hAnsi="黑体" w:eastAsia="黑体"/>
          <w:color w:val="000000"/>
          <w:sz w:val="32"/>
          <w:szCs w:val="32"/>
        </w:rPr>
        <w:t>二、收</w:t>
      </w:r>
      <w:r>
        <w:rPr>
          <w:rStyle w:val="23"/>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bCs/>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年本年收入合计73.52万元，其中：一般公共预算财政拨款收入73.52万元，占100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；政府性基金预算财政拨款收入0万元；上级补助收入0万元；事业收入0万元；经营收入0万元；附属单位上缴收入0万元；其他收入0万元。</w:t>
      </w:r>
      <w:r>
        <w:rPr>
          <w:rFonts w:hint="eastAsia" w:ascii="仿宋" w:hAnsi="仿宋" w:eastAsia="仿宋"/>
          <w:bCs/>
          <w:color w:val="000000"/>
          <w:sz w:val="32"/>
          <w:szCs w:val="32"/>
        </w:rPr>
        <w:t>如下图所示：</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746625" cy="763270"/>
            <wp:effectExtent l="0" t="0" r="15875" b="17780"/>
            <wp:docPr id="2" name="图片 2"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2"/>
                    <pic:cNvPicPr>
                      <a:picLocks noChangeAspect="1"/>
                    </pic:cNvPicPr>
                  </pic:nvPicPr>
                  <pic:blipFill>
                    <a:blip r:embed="rId7"/>
                    <a:stretch>
                      <a:fillRect/>
                    </a:stretch>
                  </pic:blipFill>
                  <pic:spPr>
                    <a:xfrm>
                      <a:off x="0" y="0"/>
                      <a:ext cx="4746625" cy="763270"/>
                    </a:xfrm>
                    <a:prstGeom prst="rect">
                      <a:avLst/>
                    </a:prstGeom>
                  </pic:spPr>
                </pic:pic>
              </a:graphicData>
            </a:graphic>
          </wp:inline>
        </w:drawing>
      </w:r>
    </w:p>
    <w:p>
      <w:pPr>
        <w:spacing w:line="600" w:lineRule="exact"/>
        <w:ind w:firstLine="2800" w:firstLineChars="1400"/>
        <w:rPr>
          <w:rFonts w:ascii="仿宋" w:hAnsi="仿宋" w:eastAsia="仿宋"/>
          <w:color w:val="000000"/>
          <w:sz w:val="20"/>
          <w:szCs w:val="20"/>
        </w:rPr>
      </w:pPr>
      <w:r>
        <w:rPr>
          <w:rFonts w:hint="eastAsia" w:ascii="仿宋" w:hAnsi="仿宋" w:eastAsia="仿宋"/>
          <w:color w:val="000000"/>
          <w:sz w:val="20"/>
          <w:szCs w:val="20"/>
        </w:rPr>
        <w:t>2020年一般公共预算财政拨款收入占100%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3"/>
        <w:spacing w:line="600" w:lineRule="exact"/>
        <w:ind w:firstLine="0" w:firstLineChars="0"/>
        <w:outlineLvl w:val="1"/>
        <w:rPr>
          <w:rStyle w:val="23"/>
          <w:rFonts w:ascii="黑体" w:hAnsi="黑体" w:eastAsia="黑体"/>
          <w:b w:val="0"/>
        </w:rPr>
      </w:pPr>
      <w:bookmarkStart w:id="44" w:name="_Toc79163862"/>
      <w:bookmarkStart w:id="45" w:name="_Toc79163612"/>
      <w:bookmarkStart w:id="46" w:name="_Toc15396605"/>
      <w:bookmarkStart w:id="47" w:name="_Toc15377207"/>
      <w:r>
        <w:rPr>
          <w:rFonts w:hint="eastAsia" w:ascii="黑体" w:hAnsi="黑体" w:eastAsia="黑体"/>
          <w:color w:val="000000"/>
          <w:sz w:val="32"/>
          <w:szCs w:val="32"/>
        </w:rPr>
        <w:t>三、支</w:t>
      </w:r>
      <w:r>
        <w:rPr>
          <w:rStyle w:val="23"/>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年本年支出合计73.52万元，其中：基本支出73.52万元，占100</w:t>
      </w:r>
      <w:r>
        <w:rPr>
          <w:rFonts w:ascii="仿宋" w:hAnsi="仿宋" w:eastAsia="仿宋"/>
          <w:sz w:val="32"/>
          <w:szCs w:val="32"/>
        </w:rPr>
        <w:t>%</w:t>
      </w:r>
      <w:r>
        <w:rPr>
          <w:rFonts w:hint="eastAsia" w:ascii="仿宋" w:hAnsi="仿宋" w:eastAsia="仿宋"/>
          <w:sz w:val="32"/>
          <w:szCs w:val="32"/>
        </w:rPr>
        <w:t>；项目支出0万元；上缴上级支出0万元；经营支出0万元；对附属单位补助支出0万元。如下图所示：</w:t>
      </w:r>
    </w:p>
    <w:p>
      <w:pPr>
        <w:ind w:firstLine="640" w:firstLineChars="200"/>
        <w:rPr>
          <w:rFonts w:ascii="仿宋_GB2312" w:eastAsia="仿宋_GB2312"/>
          <w:sz w:val="32"/>
          <w:szCs w:val="32"/>
        </w:rPr>
      </w:pPr>
      <w:r>
        <w:rPr>
          <w:rFonts w:hint="eastAsia" w:ascii="仿宋_GB2312" w:eastAsia="仿宋_GB2312"/>
          <w:sz w:val="32"/>
          <w:szCs w:val="32"/>
        </w:rPr>
        <w:drawing>
          <wp:inline distT="0" distB="0" distL="114300" distR="114300">
            <wp:extent cx="4774565" cy="671195"/>
            <wp:effectExtent l="0" t="0" r="6985" b="14605"/>
            <wp:docPr id="3" name="图片 3" descr="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3"/>
                    <pic:cNvPicPr>
                      <a:picLocks noChangeAspect="1"/>
                    </pic:cNvPicPr>
                  </pic:nvPicPr>
                  <pic:blipFill>
                    <a:blip r:embed="rId7"/>
                    <a:stretch>
                      <a:fillRect/>
                    </a:stretch>
                  </pic:blipFill>
                  <pic:spPr>
                    <a:xfrm>
                      <a:off x="0" y="0"/>
                      <a:ext cx="4774565" cy="671195"/>
                    </a:xfrm>
                    <a:prstGeom prst="rect">
                      <a:avLst/>
                    </a:prstGeom>
                  </pic:spPr>
                </pic:pic>
              </a:graphicData>
            </a:graphic>
          </wp:inline>
        </w:drawing>
      </w:r>
    </w:p>
    <w:p>
      <w:pPr>
        <w:spacing w:line="600" w:lineRule="exact"/>
        <w:ind w:firstLine="3200" w:firstLineChars="1600"/>
        <w:rPr>
          <w:rFonts w:ascii="仿宋" w:hAnsi="仿宋" w:eastAsia="仿宋"/>
          <w:color w:val="000000"/>
          <w:sz w:val="20"/>
          <w:szCs w:val="20"/>
        </w:rPr>
      </w:pPr>
      <w:r>
        <w:rPr>
          <w:rFonts w:hint="eastAsia" w:ascii="仿宋" w:hAnsi="仿宋" w:eastAsia="仿宋"/>
          <w:color w:val="000000"/>
          <w:sz w:val="20"/>
          <w:szCs w:val="20"/>
        </w:rPr>
        <w:t>2020年基本支出占100%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Fonts w:ascii="黑体" w:hAnsi="黑体" w:eastAsia="黑体"/>
          <w:color w:val="000000"/>
          <w:sz w:val="32"/>
          <w:szCs w:val="32"/>
        </w:rPr>
      </w:pPr>
      <w:bookmarkStart w:id="48" w:name="_Toc79163863"/>
      <w:bookmarkStart w:id="49" w:name="_Toc15396606"/>
      <w:bookmarkStart w:id="50" w:name="_Toc15377208"/>
      <w:bookmarkStart w:id="51" w:name="_Toc79163613"/>
    </w:p>
    <w:p>
      <w:pPr>
        <w:spacing w:line="600" w:lineRule="exact"/>
        <w:outlineLvl w:val="1"/>
        <w:rPr>
          <w:rStyle w:val="23"/>
          <w:rFonts w:ascii="黑体" w:hAnsi="黑体" w:eastAsia="黑体"/>
          <w:b w:val="0"/>
        </w:rPr>
      </w:pPr>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年财政拨款收、支总计73.52万元。与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年相比，财政拨款收、支总计各增加23.57万元，增长47.19</w:t>
      </w:r>
      <w:r>
        <w:rPr>
          <w:rFonts w:ascii="仿宋" w:hAnsi="仿宋" w:eastAsia="仿宋"/>
          <w:color w:val="000000"/>
          <w:sz w:val="32"/>
          <w:szCs w:val="32"/>
        </w:rPr>
        <w:t>%</w:t>
      </w:r>
      <w:r>
        <w:rPr>
          <w:rFonts w:hint="eastAsia" w:ascii="仿宋" w:hAnsi="仿宋" w:eastAsia="仿宋"/>
          <w:color w:val="000000"/>
          <w:sz w:val="32"/>
          <w:szCs w:val="32"/>
        </w:rPr>
        <w:t>。主要变动原因是本年增加了2019年目标考核奖和退休一次性补贴及2018年2019年残疾人保障金。</w:t>
      </w:r>
      <w:r>
        <w:rPr>
          <w:rFonts w:hint="eastAsia" w:ascii="仿宋" w:hAnsi="仿宋" w:eastAsia="仿宋"/>
          <w:bCs/>
          <w:color w:val="000000"/>
          <w:sz w:val="32"/>
          <w:szCs w:val="32"/>
        </w:rPr>
        <w:t>如下图所示：</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695825" cy="963295"/>
            <wp:effectExtent l="0" t="0" r="9525" b="8255"/>
            <wp:docPr id="6" name="图片 6" descr="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4"/>
                    <pic:cNvPicPr>
                      <a:picLocks noChangeAspect="1"/>
                    </pic:cNvPicPr>
                  </pic:nvPicPr>
                  <pic:blipFill>
                    <a:blip r:embed="rId6"/>
                    <a:srcRect b="25637"/>
                    <a:stretch>
                      <a:fillRect/>
                    </a:stretch>
                  </pic:blipFill>
                  <pic:spPr>
                    <a:xfrm>
                      <a:off x="0" y="0"/>
                      <a:ext cx="4695825" cy="963295"/>
                    </a:xfrm>
                    <a:prstGeom prst="rect">
                      <a:avLst/>
                    </a:prstGeom>
                  </pic:spPr>
                </pic:pic>
              </a:graphicData>
            </a:graphic>
          </wp:inline>
        </w:drawing>
      </w:r>
    </w:p>
    <w:p>
      <w:pPr>
        <w:ind w:firstLine="361" w:firstLineChars="200"/>
        <w:rPr>
          <w:rFonts w:ascii="仿宋" w:hAnsi="仿宋" w:eastAsia="仿宋"/>
          <w:b/>
          <w:color w:val="000000"/>
          <w:sz w:val="32"/>
          <w:szCs w:val="32"/>
        </w:rPr>
      </w:pPr>
      <w:r>
        <w:rPr>
          <w:rFonts w:hint="eastAsia" w:ascii="仿宋" w:hAnsi="仿宋" w:eastAsia="仿宋"/>
          <w:b/>
          <w:color w:val="000000"/>
          <w:sz w:val="18"/>
          <w:szCs w:val="18"/>
        </w:rPr>
        <w:t>2019年财政拨款收入  2020年财政拨款收入   2019年财政拨款支出  2020年财政拨款支出</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Fonts w:ascii="黑体" w:hAnsi="黑体" w:eastAsia="黑体"/>
          <w:color w:val="000000"/>
          <w:sz w:val="32"/>
          <w:szCs w:val="32"/>
        </w:rPr>
      </w:pPr>
      <w:bookmarkStart w:id="52" w:name="_Toc15377209"/>
      <w:bookmarkStart w:id="53" w:name="_Toc79163614"/>
      <w:bookmarkStart w:id="54" w:name="_Toc15396607"/>
      <w:bookmarkStart w:id="55" w:name="_Toc79163864"/>
    </w:p>
    <w:p>
      <w:pPr>
        <w:spacing w:line="600" w:lineRule="exact"/>
        <w:outlineLvl w:val="1"/>
        <w:rPr>
          <w:rStyle w:val="23"/>
          <w:rFonts w:ascii="黑体" w:hAnsi="黑体" w:eastAsia="黑体"/>
          <w:b w:val="0"/>
        </w:rPr>
      </w:pPr>
      <w:r>
        <w:rPr>
          <w:rFonts w:hint="eastAsia" w:ascii="黑体" w:hAnsi="黑体" w:eastAsia="黑体"/>
          <w:b/>
          <w:color w:val="000000"/>
          <w:sz w:val="32"/>
          <w:szCs w:val="32"/>
        </w:rPr>
        <w:t>五、一</w:t>
      </w:r>
      <w:r>
        <w:rPr>
          <w:rStyle w:val="23"/>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年一般公共预算财政拨款支出73.52万元，占本年支出合计的100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年相比，一般公共预算财政拨款增加23.57万元，增长4</w:t>
      </w:r>
      <w:r>
        <w:rPr>
          <w:rFonts w:ascii="仿宋" w:hAnsi="仿宋" w:eastAsia="仿宋"/>
          <w:color w:val="000000"/>
          <w:sz w:val="32"/>
          <w:szCs w:val="32"/>
        </w:rPr>
        <w:t>7.19%</w:t>
      </w:r>
      <w:r>
        <w:rPr>
          <w:rFonts w:hint="eastAsia" w:ascii="仿宋" w:hAnsi="仿宋" w:eastAsia="仿宋"/>
          <w:color w:val="000000"/>
          <w:sz w:val="32"/>
          <w:szCs w:val="32"/>
        </w:rPr>
        <w:t>。主要变动原因是本年增加了2019年目标考核奖和退休一次性补贴及2018年2019年残疾人保障金。</w:t>
      </w:r>
      <w:r>
        <w:rPr>
          <w:rFonts w:hint="eastAsia" w:ascii="仿宋" w:hAnsi="仿宋" w:eastAsia="仿宋"/>
          <w:bCs/>
          <w:color w:val="000000"/>
          <w:sz w:val="32"/>
          <w:szCs w:val="32"/>
        </w:rPr>
        <w:t>如下图所示：</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645660" cy="963930"/>
            <wp:effectExtent l="0" t="0" r="2540" b="7620"/>
            <wp:docPr id="5" name="图片 5" descr="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5"/>
                    <pic:cNvPicPr>
                      <a:picLocks noChangeAspect="1"/>
                    </pic:cNvPicPr>
                  </pic:nvPicPr>
                  <pic:blipFill>
                    <a:blip r:embed="rId6"/>
                    <a:srcRect r="49439" b="25588"/>
                    <a:stretch>
                      <a:fillRect/>
                    </a:stretch>
                  </pic:blipFill>
                  <pic:spPr>
                    <a:xfrm>
                      <a:off x="0" y="0"/>
                      <a:ext cx="4645660" cy="963930"/>
                    </a:xfrm>
                    <a:prstGeom prst="rect">
                      <a:avLst/>
                    </a:prstGeom>
                  </pic:spPr>
                </pic:pic>
              </a:graphicData>
            </a:graphic>
          </wp:inline>
        </w:drawing>
      </w:r>
    </w:p>
    <w:p>
      <w:pPr>
        <w:spacing w:line="600" w:lineRule="exact"/>
        <w:ind w:firstLine="1445" w:firstLineChars="800"/>
        <w:rPr>
          <w:rFonts w:ascii="仿宋" w:hAnsi="仿宋" w:eastAsia="仿宋"/>
          <w:color w:val="000000"/>
          <w:sz w:val="32"/>
          <w:szCs w:val="32"/>
        </w:rPr>
      </w:pPr>
      <w:r>
        <w:rPr>
          <w:rFonts w:hint="eastAsia" w:ascii="仿宋" w:hAnsi="仿宋" w:eastAsia="仿宋"/>
          <w:b/>
          <w:color w:val="000000"/>
          <w:sz w:val="18"/>
          <w:szCs w:val="18"/>
        </w:rPr>
        <w:t xml:space="preserve">2019年一般公共预算财政拨款支出       2020年一般公共预算财政拨款支出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2" w:firstLineChars="200"/>
        <w:outlineLvl w:val="2"/>
        <w:rPr>
          <w:rFonts w:ascii="仿宋" w:hAnsi="仿宋" w:eastAsia="仿宋"/>
          <w:b/>
          <w:color w:val="000000"/>
          <w:sz w:val="32"/>
          <w:szCs w:val="32"/>
        </w:rPr>
      </w:pPr>
      <w:bookmarkStart w:id="59" w:name="_Toc79163866"/>
      <w:bookmarkStart w:id="60" w:name="_Toc15377211"/>
      <w:bookmarkStart w:id="61" w:name="_Toc79163616"/>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firstLineChars="20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年一般公共预算财政拨款支出73.52万元，主要用于以下方面</w:t>
      </w:r>
      <w:r>
        <w:rPr>
          <w:rFonts w:ascii="仿宋" w:hAnsi="仿宋" w:eastAsia="仿宋"/>
          <w:color w:val="000000"/>
          <w:sz w:val="32"/>
          <w:szCs w:val="32"/>
        </w:rPr>
        <w:t>:</w:t>
      </w:r>
      <w:r>
        <w:rPr>
          <w:rFonts w:hint="eastAsia" w:ascii="仿宋" w:hAnsi="仿宋" w:eastAsia="仿宋"/>
          <w:color w:val="000000"/>
          <w:sz w:val="32"/>
          <w:szCs w:val="32"/>
        </w:rPr>
        <w:t>文化旅游体育与传媒（类）支出73.52万元，占100</w:t>
      </w:r>
      <w:r>
        <w:rPr>
          <w:rFonts w:ascii="仿宋" w:hAnsi="仿宋" w:eastAsia="仿宋"/>
          <w:color w:val="000000"/>
          <w:sz w:val="32"/>
          <w:szCs w:val="32"/>
        </w:rPr>
        <w:t>%</w:t>
      </w:r>
      <w:r>
        <w:rPr>
          <w:rFonts w:hint="eastAsia" w:ascii="仿宋" w:hAnsi="仿宋" w:eastAsia="仿宋"/>
          <w:color w:val="000000"/>
          <w:sz w:val="32"/>
          <w:szCs w:val="32"/>
        </w:rPr>
        <w:t>。如下图所示：</w:t>
      </w:r>
    </w:p>
    <w:p>
      <w:pPr>
        <w:ind w:firstLine="64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5014595" cy="720090"/>
            <wp:effectExtent l="0" t="0" r="14605" b="3810"/>
            <wp:docPr id="7" name="图片 7" descr="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6"/>
                    <pic:cNvPicPr>
                      <a:picLocks noChangeAspect="1"/>
                    </pic:cNvPicPr>
                  </pic:nvPicPr>
                  <pic:blipFill>
                    <a:blip r:embed="rId7"/>
                    <a:stretch>
                      <a:fillRect/>
                    </a:stretch>
                  </pic:blipFill>
                  <pic:spPr>
                    <a:xfrm>
                      <a:off x="0" y="0"/>
                      <a:ext cx="5014595" cy="720090"/>
                    </a:xfrm>
                    <a:prstGeom prst="rect">
                      <a:avLst/>
                    </a:prstGeom>
                  </pic:spPr>
                </pic:pic>
              </a:graphicData>
            </a:graphic>
          </wp:inline>
        </w:drawing>
      </w:r>
    </w:p>
    <w:p>
      <w:pPr>
        <w:spacing w:line="600" w:lineRule="exact"/>
        <w:ind w:firstLine="2533" w:firstLineChars="1402"/>
        <w:rPr>
          <w:rFonts w:ascii="仿宋" w:hAnsi="仿宋" w:eastAsia="仿宋"/>
          <w:color w:val="000000"/>
          <w:sz w:val="32"/>
          <w:szCs w:val="32"/>
        </w:rPr>
      </w:pPr>
      <w:r>
        <w:rPr>
          <w:rFonts w:hint="eastAsia" w:ascii="仿宋" w:hAnsi="仿宋" w:eastAsia="仿宋"/>
          <w:b/>
          <w:color w:val="000000"/>
          <w:sz w:val="18"/>
          <w:szCs w:val="18"/>
        </w:rPr>
        <w:t>2020年文化体育与传媒(类)支出占100%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2" w:firstLineChars="200"/>
        <w:outlineLvl w:val="2"/>
        <w:rPr>
          <w:rFonts w:ascii="仿宋" w:hAnsi="仿宋" w:eastAsia="仿宋"/>
          <w:b/>
          <w:color w:val="000000"/>
          <w:sz w:val="32"/>
          <w:szCs w:val="32"/>
        </w:rPr>
      </w:pPr>
      <w:bookmarkStart w:id="62" w:name="_Toc79163617"/>
      <w:bookmarkStart w:id="63" w:name="_Toc79163867"/>
      <w:bookmarkStart w:id="64" w:name="_Toc15377212"/>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0" w:firstLineChars="200"/>
        <w:rPr>
          <w:rFonts w:ascii="仿宋" w:hAnsi="仿宋" w:eastAsia="仿宋"/>
          <w:sz w:val="32"/>
          <w:szCs w:val="32"/>
        </w:rPr>
      </w:pPr>
      <w:bookmarkStart w:id="65" w:name="_Toc15378460"/>
      <w:bookmarkStart w:id="66" w:name="_Toc15377444"/>
      <w:bookmarkStart w:id="67" w:name="_Toc15377213"/>
      <w:r>
        <w:rPr>
          <w:rFonts w:ascii="仿宋" w:hAnsi="仿宋" w:eastAsia="仿宋"/>
          <w:sz w:val="32"/>
          <w:szCs w:val="32"/>
        </w:rPr>
        <w:t>2020</w:t>
      </w:r>
      <w:r>
        <w:rPr>
          <w:rFonts w:hint="eastAsia" w:ascii="仿宋" w:hAnsi="仿宋" w:eastAsia="仿宋"/>
          <w:sz w:val="32"/>
          <w:szCs w:val="32"/>
        </w:rPr>
        <w:t>年一般公共预算支出决算数为73.52万元，完成预算100</w:t>
      </w:r>
      <w:r>
        <w:rPr>
          <w:rFonts w:ascii="仿宋" w:hAnsi="仿宋" w:eastAsia="仿宋"/>
          <w:sz w:val="32"/>
          <w:szCs w:val="32"/>
        </w:rPr>
        <w:t>%</w:t>
      </w:r>
      <w:r>
        <w:rPr>
          <w:rFonts w:hint="eastAsia" w:ascii="仿宋" w:hAnsi="仿宋" w:eastAsia="仿宋"/>
          <w:sz w:val="32"/>
          <w:szCs w:val="32"/>
        </w:rPr>
        <w:t>。其中：</w:t>
      </w:r>
      <w:bookmarkEnd w:id="65"/>
      <w:bookmarkEnd w:id="66"/>
      <w:bookmarkEnd w:id="67"/>
    </w:p>
    <w:p>
      <w:pPr>
        <w:spacing w:line="600" w:lineRule="exact"/>
        <w:ind w:firstLine="640" w:firstLineChars="200"/>
        <w:rPr>
          <w:rFonts w:ascii="仿宋" w:hAnsi="仿宋" w:eastAsia="仿宋"/>
          <w:b/>
          <w:color w:val="000000"/>
          <w:sz w:val="32"/>
          <w:szCs w:val="32"/>
        </w:rPr>
      </w:pPr>
      <w:r>
        <w:rPr>
          <w:rStyle w:val="20"/>
          <w:rFonts w:hint="eastAsia" w:ascii="仿宋" w:hAnsi="仿宋" w:eastAsia="仿宋"/>
          <w:b w:val="0"/>
          <w:color w:val="000000"/>
          <w:sz w:val="32"/>
          <w:szCs w:val="32"/>
        </w:rPr>
        <w:t>1</w:t>
      </w:r>
      <w:r>
        <w:rPr>
          <w:rStyle w:val="20"/>
          <w:rFonts w:ascii="仿宋" w:hAnsi="仿宋" w:eastAsia="仿宋"/>
          <w:b w:val="0"/>
          <w:color w:val="000000"/>
          <w:sz w:val="32"/>
          <w:szCs w:val="32"/>
        </w:rPr>
        <w:t>.</w:t>
      </w:r>
      <w:r>
        <w:rPr>
          <w:rStyle w:val="20"/>
          <w:rFonts w:hint="eastAsia" w:ascii="仿宋" w:hAnsi="仿宋" w:eastAsia="仿宋"/>
          <w:b w:val="0"/>
          <w:color w:val="000000"/>
          <w:sz w:val="32"/>
          <w:szCs w:val="32"/>
        </w:rPr>
        <w:t>文化旅游体育与传媒（类）新闻出版广播影视（款）出版发行（项）</w:t>
      </w:r>
      <w:r>
        <w:rPr>
          <w:rStyle w:val="20"/>
          <w:rFonts w:ascii="仿宋" w:hAnsi="仿宋" w:eastAsia="仿宋"/>
          <w:b w:val="0"/>
          <w:color w:val="000000"/>
          <w:sz w:val="32"/>
          <w:szCs w:val="32"/>
        </w:rPr>
        <w:t xml:space="preserve">: </w:t>
      </w:r>
      <w:r>
        <w:rPr>
          <w:rStyle w:val="20"/>
          <w:rFonts w:hint="eastAsia" w:ascii="仿宋" w:hAnsi="仿宋" w:eastAsia="仿宋"/>
          <w:b w:val="0"/>
          <w:color w:val="000000"/>
          <w:sz w:val="32"/>
          <w:szCs w:val="32"/>
        </w:rPr>
        <w:t>支出决算为73.52万元，完成预算100</w:t>
      </w:r>
      <w:r>
        <w:rPr>
          <w:rStyle w:val="20"/>
          <w:rFonts w:ascii="仿宋" w:hAnsi="仿宋" w:eastAsia="仿宋"/>
          <w:b w:val="0"/>
          <w:color w:val="000000"/>
          <w:sz w:val="32"/>
          <w:szCs w:val="32"/>
        </w:rPr>
        <w:t>%</w:t>
      </w:r>
      <w:r>
        <w:rPr>
          <w:rStyle w:val="20"/>
          <w:rFonts w:hint="eastAsia" w:ascii="仿宋" w:hAnsi="仿宋" w:eastAsia="仿宋"/>
          <w:b w:val="0"/>
          <w:color w:val="000000"/>
          <w:sz w:val="32"/>
          <w:szCs w:val="32"/>
        </w:rPr>
        <w:t>，决算数等于预算数。</w:t>
      </w:r>
    </w:p>
    <w:p>
      <w:pPr>
        <w:spacing w:line="600" w:lineRule="exact"/>
        <w:ind w:firstLine="640" w:firstLineChars="200"/>
        <w:rPr>
          <w:rFonts w:ascii="仿宋" w:hAnsi="仿宋" w:eastAsia="仿宋"/>
          <w:b/>
          <w:color w:val="000000"/>
          <w:sz w:val="32"/>
          <w:szCs w:val="32"/>
        </w:rPr>
      </w:pPr>
      <w:r>
        <w:rPr>
          <w:rStyle w:val="20"/>
          <w:rFonts w:hint="eastAsia" w:ascii="仿宋" w:hAnsi="仿宋" w:eastAsia="仿宋"/>
          <w:b w:val="0"/>
          <w:color w:val="000000"/>
          <w:sz w:val="32"/>
          <w:szCs w:val="32"/>
        </w:rPr>
        <w:t>2</w:t>
      </w:r>
      <w:r>
        <w:rPr>
          <w:rStyle w:val="20"/>
          <w:rFonts w:ascii="仿宋" w:hAnsi="仿宋" w:eastAsia="仿宋"/>
          <w:b w:val="0"/>
          <w:color w:val="000000"/>
          <w:sz w:val="32"/>
          <w:szCs w:val="32"/>
        </w:rPr>
        <w:t>.</w:t>
      </w:r>
      <w:r>
        <w:rPr>
          <w:rStyle w:val="20"/>
          <w:rFonts w:hint="eastAsia" w:ascii="仿宋" w:hAnsi="仿宋" w:eastAsia="仿宋"/>
          <w:b w:val="0"/>
          <w:color w:val="000000"/>
          <w:sz w:val="32"/>
          <w:szCs w:val="32"/>
        </w:rPr>
        <w:t>无其他支出。</w:t>
      </w:r>
    </w:p>
    <w:p>
      <w:pPr>
        <w:tabs>
          <w:tab w:val="right" w:pos="8306"/>
        </w:tabs>
        <w:spacing w:line="600" w:lineRule="exact"/>
        <w:outlineLvl w:val="1"/>
        <w:rPr>
          <w:rStyle w:val="23"/>
        </w:rPr>
      </w:pPr>
      <w:bookmarkStart w:id="68" w:name="_Toc15377214"/>
      <w:bookmarkStart w:id="69" w:name="_Toc79163618"/>
      <w:bookmarkStart w:id="70" w:name="_Toc79163868"/>
      <w:bookmarkStart w:id="71" w:name="_Toc15396608"/>
      <w:r>
        <w:rPr>
          <w:rFonts w:hint="eastAsia" w:ascii="黑体" w:hAnsi="黑体" w:eastAsia="黑体"/>
          <w:b/>
          <w:color w:val="000000"/>
          <w:sz w:val="32"/>
          <w:szCs w:val="32"/>
        </w:rPr>
        <w:t>六、一</w:t>
      </w:r>
      <w:r>
        <w:rPr>
          <w:rStyle w:val="23"/>
          <w:rFonts w:hint="eastAsia" w:ascii="黑体" w:hAnsi="黑体" w:eastAsia="黑体"/>
          <w:b w:val="0"/>
        </w:rPr>
        <w:t>般公共预算财政拨款基本支出决算情况说明</w:t>
      </w:r>
      <w:bookmarkEnd w:id="68"/>
      <w:bookmarkEnd w:id="69"/>
      <w:bookmarkEnd w:id="70"/>
      <w:bookmarkEnd w:id="71"/>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年一般公共预算财政拨款基本支出73.52万元，其中：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人员经费73.52万元，主要包括：基本工资、津贴补贴、绩效工资。</w:t>
      </w:r>
    </w:p>
    <w:p>
      <w:pPr>
        <w:spacing w:line="600" w:lineRule="exact"/>
        <w:ind w:firstLine="640"/>
        <w:outlineLvl w:val="1"/>
        <w:rPr>
          <w:rStyle w:val="23"/>
          <w:rFonts w:ascii="黑体" w:hAnsi="黑体" w:eastAsia="黑体"/>
          <w:b w:val="0"/>
        </w:rPr>
      </w:pPr>
      <w:r>
        <w:rPr>
          <w:rFonts w:hint="eastAsia" w:ascii="仿宋" w:hAnsi="仿宋" w:eastAsia="仿宋"/>
          <w:color w:val="000000"/>
          <w:sz w:val="32"/>
          <w:szCs w:val="32"/>
        </w:rPr>
        <w:t>无公用经费支出。</w:t>
      </w:r>
      <w:r>
        <w:rPr>
          <w:rFonts w:ascii="仿宋" w:hAnsi="仿宋" w:eastAsia="仿宋"/>
          <w:color w:val="000000"/>
          <w:sz w:val="32"/>
          <w:szCs w:val="32"/>
        </w:rPr>
        <w:br w:type="textWrapping"/>
      </w:r>
      <w:bookmarkStart w:id="72" w:name="_Toc79163869"/>
      <w:bookmarkStart w:id="73" w:name="_Toc15396609"/>
      <w:bookmarkStart w:id="74" w:name="_Toc79163619"/>
      <w:bookmarkStart w:id="75" w:name="_Toc15377215"/>
      <w:r>
        <w:rPr>
          <w:rFonts w:hint="eastAsia" w:ascii="黑体" w:hAns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1"/>
        <w:rPr>
          <w:rStyle w:val="23"/>
          <w:rFonts w:ascii="黑体" w:hAnsi="黑体" w:eastAsia="黑体"/>
          <w:b w:val="0"/>
        </w:rPr>
      </w:pPr>
      <w:r>
        <w:rPr>
          <w:rFonts w:hint="eastAsia" w:ascii="仿宋" w:hAnsi="仿宋" w:eastAsia="仿宋"/>
          <w:color w:val="000000"/>
          <w:sz w:val="32"/>
          <w:szCs w:val="32"/>
        </w:rPr>
        <w:t>2020年无“三公”经费支出。</w:t>
      </w:r>
    </w:p>
    <w:p>
      <w:pPr>
        <w:spacing w:line="600" w:lineRule="exact"/>
        <w:outlineLvl w:val="1"/>
        <w:rPr>
          <w:rStyle w:val="23"/>
          <w:rFonts w:ascii="黑体" w:hAnsi="黑体" w:eastAsia="黑体"/>
        </w:rPr>
      </w:pPr>
      <w:bookmarkStart w:id="76" w:name="_Toc79163872"/>
      <w:bookmarkStart w:id="77" w:name="_Toc15377218"/>
      <w:bookmarkStart w:id="78" w:name="_Toc15396610"/>
      <w:bookmarkStart w:id="79" w:name="_Toc79163622"/>
      <w:r>
        <w:rPr>
          <w:rStyle w:val="23"/>
          <w:rFonts w:hint="eastAsia" w:ascii="黑体" w:hAnsi="黑体" w:eastAsia="黑体"/>
          <w:b w:val="0"/>
        </w:rPr>
        <w:t>八、政府性基金预算支出决算情况说明</w:t>
      </w:r>
      <w:bookmarkEnd w:id="76"/>
      <w:bookmarkEnd w:id="77"/>
      <w:bookmarkEnd w:id="78"/>
      <w:bookmarkEnd w:id="7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年无政府性基金预算拨款支出。</w:t>
      </w:r>
      <w:bookmarkStart w:id="80" w:name="_Toc79163623"/>
      <w:bookmarkStart w:id="81" w:name="_Toc79163873"/>
      <w:bookmarkStart w:id="82" w:name="_Toc15396611"/>
      <w:bookmarkStart w:id="83" w:name="_Toc15377219"/>
    </w:p>
    <w:p>
      <w:pPr>
        <w:spacing w:line="600" w:lineRule="exact"/>
        <w:rPr>
          <w:rStyle w:val="23"/>
          <w:rFonts w:ascii="黑体" w:hAnsi="黑体" w:eastAsia="黑体"/>
          <w:b w:val="0"/>
        </w:rPr>
      </w:pPr>
      <w:r>
        <w:rPr>
          <w:rFonts w:hint="eastAsia" w:ascii="黑体" w:hAnsi="黑体" w:eastAsia="黑体"/>
          <w:color w:val="000000"/>
          <w:sz w:val="32"/>
          <w:szCs w:val="32"/>
        </w:rPr>
        <w:t>九、</w:t>
      </w:r>
      <w:r>
        <w:rPr>
          <w:rStyle w:val="23"/>
          <w:rFonts w:hint="eastAsia" w:ascii="黑体" w:hAnsi="黑体" w:eastAsia="黑体"/>
          <w:b w:val="0"/>
        </w:rPr>
        <w:t>国有资本经营预算支出决算情况说明</w:t>
      </w:r>
      <w:bookmarkEnd w:id="80"/>
      <w:bookmarkEnd w:id="81"/>
      <w:bookmarkEnd w:id="82"/>
      <w:bookmarkEnd w:id="8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年无国有资本经营预算拨款支出。</w:t>
      </w:r>
    </w:p>
    <w:p>
      <w:pPr>
        <w:spacing w:line="600" w:lineRule="exact"/>
        <w:outlineLvl w:val="1"/>
        <w:rPr>
          <w:rStyle w:val="23"/>
          <w:rFonts w:ascii="黑体" w:hAnsi="黑体" w:eastAsia="黑体"/>
          <w:b w:val="0"/>
        </w:rPr>
      </w:pPr>
      <w:bookmarkStart w:id="84" w:name="_Toc79163624"/>
      <w:bookmarkStart w:id="85" w:name="_Toc79163874"/>
      <w:bookmarkStart w:id="86" w:name="_Toc15396612"/>
      <w:bookmarkStart w:id="87" w:name="_Toc15377221"/>
      <w:r>
        <w:rPr>
          <w:rStyle w:val="23"/>
          <w:rFonts w:hint="eastAsia" w:ascii="黑体" w:hAnsi="黑体" w:eastAsia="黑体"/>
          <w:b w:val="0"/>
        </w:rPr>
        <w:t>十、其他重要事项的情况说明</w:t>
      </w:r>
      <w:bookmarkEnd w:id="84"/>
      <w:bookmarkEnd w:id="85"/>
      <w:bookmarkEnd w:id="86"/>
      <w:bookmarkEnd w:id="87"/>
    </w:p>
    <w:p>
      <w:pPr>
        <w:spacing w:line="600" w:lineRule="exact"/>
        <w:ind w:firstLine="642" w:firstLineChars="200"/>
        <w:outlineLvl w:val="2"/>
        <w:rPr>
          <w:rFonts w:ascii="仿宋" w:hAnsi="仿宋" w:eastAsia="仿宋"/>
          <w:color w:val="000000"/>
          <w:sz w:val="32"/>
          <w:szCs w:val="32"/>
        </w:rPr>
      </w:pPr>
      <w:bookmarkStart w:id="88" w:name="_Toc79163875"/>
      <w:bookmarkStart w:id="89" w:name="_Toc79163625"/>
      <w:bookmarkStart w:id="90" w:name="_Toc15377222"/>
      <w:r>
        <w:rPr>
          <w:rFonts w:hint="eastAsia" w:ascii="仿宋" w:hAnsi="仿宋" w:eastAsia="仿宋"/>
          <w:b/>
          <w:color w:val="000000"/>
          <w:sz w:val="32"/>
          <w:szCs w:val="32"/>
        </w:rPr>
        <w:t>（一）机关运行经费支出情况</w:t>
      </w:r>
      <w:bookmarkEnd w:id="88"/>
      <w:bookmarkEnd w:id="89"/>
      <w:bookmarkEnd w:id="90"/>
    </w:p>
    <w:p>
      <w:pPr>
        <w:spacing w:line="600" w:lineRule="exact"/>
        <w:ind w:firstLine="640" w:firstLineChars="200"/>
        <w:outlineLvl w:val="1"/>
        <w:rPr>
          <w:rStyle w:val="23"/>
          <w:rFonts w:ascii="仿宋" w:hAnsi="仿宋" w:eastAsia="仿宋"/>
          <w:b w:val="0"/>
          <w:bCs w:val="0"/>
        </w:rPr>
      </w:pPr>
      <w:r>
        <w:rPr>
          <w:rFonts w:ascii="仿宋" w:hAnsi="仿宋" w:eastAsia="仿宋"/>
          <w:color w:val="000000"/>
          <w:sz w:val="32"/>
          <w:szCs w:val="32"/>
        </w:rPr>
        <w:t>2020</w:t>
      </w:r>
      <w:r>
        <w:rPr>
          <w:rFonts w:hint="eastAsia" w:ascii="仿宋" w:hAnsi="仿宋" w:eastAsia="仿宋"/>
          <w:color w:val="000000"/>
          <w:sz w:val="32"/>
          <w:szCs w:val="32"/>
        </w:rPr>
        <w:t>年无机关运行经费支出。</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1" w:name="_Toc79163876"/>
      <w:bookmarkStart w:id="92" w:name="_Toc79163626"/>
      <w:bookmarkStart w:id="93" w:name="_Toc15377223"/>
      <w:r>
        <w:rPr>
          <w:rFonts w:hint="eastAsia" w:ascii="仿宋" w:hAnsi="仿宋" w:eastAsia="仿宋"/>
          <w:b/>
          <w:color w:val="000000"/>
          <w:sz w:val="32"/>
          <w:szCs w:val="32"/>
        </w:rPr>
        <w:t>（二）政府采购支出情况</w:t>
      </w:r>
      <w:bookmarkEnd w:id="91"/>
      <w:bookmarkEnd w:id="92"/>
      <w:bookmarkEnd w:id="93"/>
    </w:p>
    <w:p>
      <w:pPr>
        <w:autoSpaceDE w:val="0"/>
        <w:autoSpaceDN w:val="0"/>
        <w:adjustRightInd w:val="0"/>
        <w:spacing w:line="600" w:lineRule="exact"/>
        <w:ind w:firstLine="640" w:firstLineChars="200"/>
        <w:jc w:val="left"/>
        <w:outlineLvl w:val="2"/>
        <w:rPr>
          <w:rFonts w:ascii="仿宋" w:hAnsi="仿宋" w:eastAsia="仿宋"/>
          <w:color w:val="000000"/>
          <w:sz w:val="32"/>
          <w:szCs w:val="32"/>
        </w:rPr>
      </w:pPr>
      <w:bookmarkStart w:id="94" w:name="_Toc79163627"/>
      <w:bookmarkStart w:id="95" w:name="_Toc15377224"/>
      <w:bookmarkStart w:id="96" w:name="_Toc79163877"/>
      <w:r>
        <w:rPr>
          <w:rFonts w:ascii="仿宋" w:hAnsi="仿宋" w:eastAsia="仿宋"/>
          <w:color w:val="000000"/>
          <w:sz w:val="32"/>
          <w:szCs w:val="32"/>
        </w:rPr>
        <w:t>2020</w:t>
      </w:r>
      <w:r>
        <w:rPr>
          <w:rFonts w:hint="eastAsia" w:ascii="仿宋" w:hAnsi="仿宋" w:eastAsia="仿宋"/>
          <w:color w:val="000000"/>
          <w:sz w:val="32"/>
          <w:szCs w:val="32"/>
        </w:rPr>
        <w:t>年无政府采购支出。</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94"/>
      <w:bookmarkEnd w:id="95"/>
      <w:bookmarkEnd w:id="96"/>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2020</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日，新华书店共有车辆2辆，其中：主要领导干部用车0辆、机要通信用车0辆、应急保障用车2辆、其他用车0辆，单价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79163628"/>
      <w:bookmarkStart w:id="98" w:name="_Toc79163878"/>
      <w:r>
        <w:rPr>
          <w:rFonts w:hint="eastAsia" w:ascii="仿宋" w:hAnsi="仿宋" w:eastAsia="仿宋"/>
          <w:b/>
          <w:color w:val="000000"/>
          <w:sz w:val="32"/>
          <w:szCs w:val="32"/>
        </w:rPr>
        <w:t>（四）预算绩效管理情况</w:t>
      </w:r>
      <w:bookmarkEnd w:id="97"/>
      <w:bookmarkEnd w:id="98"/>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根据预算绩效管理要求，本单位2</w:t>
      </w:r>
      <w:r>
        <w:rPr>
          <w:rFonts w:ascii="仿宋" w:hAnsi="仿宋" w:eastAsia="仿宋" w:cs="仿宋_GB2312"/>
          <w:sz w:val="32"/>
          <w:szCs w:val="32"/>
        </w:rPr>
        <w:t>020</w:t>
      </w:r>
      <w:r>
        <w:rPr>
          <w:rFonts w:hint="eastAsia" w:ascii="仿宋" w:hAnsi="仿宋" w:eastAsia="仿宋" w:cs="仿宋_GB2312"/>
          <w:sz w:val="32"/>
          <w:szCs w:val="32"/>
        </w:rPr>
        <w:t>年无预算项目。</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2020</w:t>
      </w:r>
      <w:r>
        <w:rPr>
          <w:rFonts w:hint="eastAsia" w:ascii="仿宋" w:hAnsi="仿宋" w:eastAsia="仿宋" w:cs="仿宋_GB2312"/>
          <w:sz w:val="32"/>
          <w:szCs w:val="32"/>
        </w:rPr>
        <w:t>年部门整体支出开展绩效自评，从评价情况来看本年度更进一度规范了财政资金的管理，强化财政支出绩效理念，提升了单位责任意识，提高了资金使用效益。同时完成了全县及各中小学的教材教辅征订和发放工作，保证了课前到书。</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w:t>
      </w:r>
      <w:r>
        <w:rPr>
          <w:rFonts w:ascii="仿宋" w:hAnsi="仿宋" w:eastAsia="仿宋" w:cs="仿宋_GB2312"/>
          <w:sz w:val="32"/>
          <w:szCs w:val="32"/>
        </w:rPr>
        <w:t>020</w:t>
      </w:r>
      <w:r>
        <w:rPr>
          <w:rFonts w:hint="eastAsia" w:ascii="仿宋" w:hAnsi="仿宋" w:eastAsia="仿宋" w:cs="仿宋_GB2312"/>
          <w:sz w:val="32"/>
          <w:szCs w:val="32"/>
        </w:rPr>
        <w:t>年无预算项目，因此本单位未组织开展项目支出绩效评价。</w:t>
      </w:r>
    </w:p>
    <w:p>
      <w:pPr>
        <w:spacing w:line="580" w:lineRule="exact"/>
        <w:ind w:firstLine="642" w:firstLineChars="200"/>
        <w:rPr>
          <w:rFonts w:ascii="仿宋_GB2312" w:hAnsi="仿宋_GB2312" w:eastAsia="仿宋_GB2312" w:cs="仿宋_GB2312"/>
          <w:sz w:val="32"/>
          <w:szCs w:val="32"/>
        </w:rPr>
      </w:pPr>
      <w:r>
        <w:rPr>
          <w:rFonts w:hint="eastAsia" w:ascii="黑体" w:hAnsi="黑体" w:eastAsia="黑体" w:cs="黑体"/>
          <w:b/>
          <w:bCs/>
          <w:sz w:val="32"/>
          <w:szCs w:val="32"/>
        </w:rPr>
        <w:t>1.项目绩效目标完成情况</w:t>
      </w:r>
      <w:r>
        <w:rPr>
          <w:rFonts w:hint="eastAsia" w:ascii="宋体" w:hAnsi="宋体" w:cs="宋体"/>
          <w:b/>
          <w:bCs/>
          <w:sz w:val="32"/>
          <w:szCs w:val="32"/>
        </w:rPr>
        <w:br w:type="textWrapping"/>
      </w:r>
      <w:r>
        <w:rPr>
          <w:rFonts w:ascii="仿宋_GB2312" w:hAnsi="仿宋_GB2312" w:eastAsia="仿宋_GB2312" w:cs="仿宋_GB2312"/>
          <w:sz w:val="32"/>
          <w:szCs w:val="32"/>
        </w:rPr>
        <w:t xml:space="preserve">    </w:t>
      </w:r>
      <w:r>
        <w:rPr>
          <w:rFonts w:hint="eastAsia" w:ascii="仿宋" w:hAnsi="仿宋" w:eastAsia="仿宋" w:cs="仿宋_GB2312"/>
          <w:sz w:val="32"/>
          <w:szCs w:val="32"/>
        </w:rPr>
        <w:t>本部门在</w:t>
      </w:r>
      <w:r>
        <w:rPr>
          <w:rFonts w:ascii="仿宋" w:hAnsi="仿宋" w:eastAsia="仿宋" w:cs="仿宋_GB2312"/>
          <w:sz w:val="32"/>
          <w:szCs w:val="32"/>
        </w:rPr>
        <w:t>2020</w:t>
      </w:r>
      <w:r>
        <w:rPr>
          <w:rFonts w:hint="eastAsia" w:ascii="仿宋" w:hAnsi="仿宋" w:eastAsia="仿宋" w:cs="仿宋_GB2312"/>
          <w:sz w:val="32"/>
          <w:szCs w:val="32"/>
        </w:rPr>
        <w:t>年度无项目。</w:t>
      </w:r>
    </w:p>
    <w:p>
      <w:pPr>
        <w:spacing w:line="580" w:lineRule="exact"/>
        <w:ind w:left="630"/>
        <w:rPr>
          <w:rFonts w:ascii="黑体" w:hAnsi="黑体" w:eastAsia="黑体" w:cs="黑体"/>
          <w:sz w:val="32"/>
          <w:szCs w:val="32"/>
        </w:rPr>
      </w:pPr>
      <w:r>
        <w:rPr>
          <w:rFonts w:hint="eastAsia" w:ascii="黑体" w:hAnsi="黑体" w:eastAsia="黑体" w:cs="黑体"/>
          <w:b/>
          <w:bCs/>
          <w:sz w:val="32"/>
          <w:szCs w:val="32"/>
        </w:rPr>
        <w:t>2.部门绩效评价结果</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2020</w:t>
      </w:r>
      <w:r>
        <w:rPr>
          <w:rFonts w:hint="eastAsia" w:ascii="仿宋" w:hAnsi="仿宋" w:eastAsia="仿宋" w:cs="仿宋_GB2312"/>
          <w:sz w:val="32"/>
          <w:szCs w:val="32"/>
        </w:rPr>
        <w:t>年部门整体支出绩效评价情况开展自评，《茂县新华书店</w:t>
      </w:r>
      <w:r>
        <w:rPr>
          <w:rFonts w:ascii="仿宋" w:hAnsi="仿宋" w:eastAsia="仿宋" w:cs="仿宋_GB2312"/>
          <w:sz w:val="32"/>
          <w:szCs w:val="32"/>
        </w:rPr>
        <w:t>2020</w:t>
      </w:r>
      <w:r>
        <w:rPr>
          <w:rFonts w:hint="eastAsia" w:ascii="仿宋" w:hAnsi="仿宋" w:eastAsia="仿宋" w:cs="仿宋_GB2312"/>
          <w:sz w:val="32"/>
          <w:szCs w:val="32"/>
        </w:rPr>
        <w:t>年部门整体支出绩效评价报告》见附件（附件</w:t>
      </w:r>
      <w:r>
        <w:rPr>
          <w:rFonts w:ascii="仿宋" w:hAnsi="仿宋" w:eastAsia="仿宋" w:cs="仿宋_GB2312"/>
          <w:sz w:val="32"/>
          <w:szCs w:val="32"/>
        </w:rPr>
        <w:t>1</w:t>
      </w:r>
      <w:r>
        <w:rPr>
          <w:rFonts w:hint="eastAsia" w:ascii="仿宋" w:hAnsi="仿宋" w:eastAsia="仿宋" w:cs="仿宋_GB2312"/>
          <w:sz w:val="32"/>
          <w:szCs w:val="32"/>
        </w:rPr>
        <w:t>）。</w:t>
      </w: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spacing w:line="600" w:lineRule="exact"/>
        <w:jc w:val="left"/>
        <w:rPr>
          <w:rFonts w:ascii="宋体"/>
          <w:b/>
          <w:color w:val="000000"/>
          <w:sz w:val="44"/>
          <w:szCs w:val="44"/>
        </w:rPr>
      </w:pPr>
    </w:p>
    <w:p>
      <w:pPr>
        <w:numPr>
          <w:ilvl w:val="0"/>
          <w:numId w:val="1"/>
        </w:numPr>
        <w:spacing w:line="600" w:lineRule="exact"/>
        <w:ind w:firstLine="660" w:firstLineChars="150"/>
        <w:jc w:val="center"/>
        <w:outlineLvl w:val="0"/>
        <w:rPr>
          <w:rStyle w:val="22"/>
          <w:rFonts w:ascii="黑体" w:hAnsi="黑体" w:eastAsia="黑体"/>
          <w:b w:val="0"/>
        </w:rPr>
      </w:pPr>
      <w:bookmarkStart w:id="99" w:name="_Toc79163879"/>
      <w:bookmarkStart w:id="100" w:name="_Toc15396613"/>
      <w:bookmarkStart w:id="101" w:name="_Toc15377225"/>
      <w:bookmarkStart w:id="102" w:name="_Toc79163629"/>
      <w:r>
        <w:rPr>
          <w:rFonts w:hint="eastAsia" w:ascii="黑体" w:hAnsi="黑体" w:eastAsia="黑体"/>
          <w:color w:val="000000"/>
          <w:sz w:val="44"/>
          <w:szCs w:val="44"/>
        </w:rPr>
        <w:t>名</w:t>
      </w:r>
      <w:r>
        <w:rPr>
          <w:rStyle w:val="22"/>
          <w:rFonts w:hint="eastAsia" w:ascii="黑体" w:hAnsi="黑体" w:eastAsia="黑体"/>
          <w:b w:val="0"/>
        </w:rPr>
        <w:t>词解释</w:t>
      </w:r>
      <w:bookmarkEnd w:id="99"/>
      <w:bookmarkEnd w:id="100"/>
      <w:bookmarkEnd w:id="101"/>
      <w:bookmarkEnd w:id="102"/>
    </w:p>
    <w:p>
      <w:pPr>
        <w:pStyle w:val="32"/>
        <w:spacing w:line="560" w:lineRule="exact"/>
        <w:ind w:firstLine="640" w:firstLineChars="200"/>
        <w:rPr>
          <w:rFonts w:hAnsi="仿宋"/>
          <w:sz w:val="32"/>
          <w:szCs w:val="32"/>
        </w:rPr>
      </w:pPr>
    </w:p>
    <w:p>
      <w:pPr>
        <w:pStyle w:val="32"/>
        <w:spacing w:line="560" w:lineRule="exact"/>
        <w:ind w:firstLine="640" w:firstLineChars="200"/>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pPr>
        <w:pStyle w:val="32"/>
        <w:spacing w:line="560" w:lineRule="exact"/>
        <w:ind w:firstLine="640" w:firstLineChars="200"/>
        <w:rPr>
          <w:rFonts w:hAnsi="仿宋"/>
          <w:sz w:val="32"/>
          <w:szCs w:val="32"/>
        </w:rPr>
      </w:pPr>
      <w:r>
        <w:rPr>
          <w:rFonts w:hAnsi="仿宋"/>
          <w:sz w:val="32"/>
          <w:szCs w:val="32"/>
        </w:rPr>
        <w:t>2.</w:t>
      </w:r>
      <w:r>
        <w:rPr>
          <w:rFonts w:hint="eastAsia" w:hAnsi="仿宋"/>
          <w:sz w:val="32"/>
          <w:szCs w:val="32"/>
        </w:rPr>
        <w:t>使用非财政拨款结余：指事业单位使用以前年度积累的非财政拨款结余弥补当年收支差额的金额。</w:t>
      </w:r>
      <w:r>
        <w:rPr>
          <w:rFonts w:hAnsi="仿宋"/>
          <w:sz w:val="32"/>
          <w:szCs w:val="32"/>
        </w:rPr>
        <w:t xml:space="preserve"> </w:t>
      </w:r>
    </w:p>
    <w:p>
      <w:pPr>
        <w:pStyle w:val="32"/>
        <w:spacing w:line="560" w:lineRule="exact"/>
        <w:ind w:firstLine="640" w:firstLineChars="200"/>
        <w:rPr>
          <w:rFonts w:hAnsi="仿宋"/>
          <w:sz w:val="32"/>
          <w:szCs w:val="32"/>
        </w:rPr>
      </w:pPr>
      <w:r>
        <w:rPr>
          <w:rFonts w:hAnsi="仿宋"/>
          <w:sz w:val="32"/>
          <w:szCs w:val="32"/>
        </w:rPr>
        <w:t>3.</w:t>
      </w:r>
      <w:r>
        <w:rPr>
          <w:rFonts w:hint="eastAsia" w:hAnsi="仿宋"/>
          <w:sz w:val="32"/>
          <w:szCs w:val="32"/>
        </w:rPr>
        <w:t>年初结转和结余：指以前年度尚未完成、结转到本年按有关规定继续使用的资金。</w:t>
      </w:r>
      <w:r>
        <w:rPr>
          <w:rFonts w:hAnsi="仿宋"/>
          <w:sz w:val="32"/>
          <w:szCs w:val="32"/>
        </w:rPr>
        <w:t xml:space="preserve"> </w:t>
      </w:r>
    </w:p>
    <w:p>
      <w:pPr>
        <w:pStyle w:val="32"/>
        <w:spacing w:line="560" w:lineRule="exact"/>
        <w:ind w:firstLine="640" w:firstLineChars="200"/>
        <w:rPr>
          <w:rFonts w:hAnsi="仿宋"/>
          <w:sz w:val="32"/>
          <w:szCs w:val="32"/>
        </w:rPr>
      </w:pPr>
      <w:r>
        <w:rPr>
          <w:rFonts w:hAnsi="仿宋"/>
          <w:sz w:val="32"/>
          <w:szCs w:val="32"/>
        </w:rPr>
        <w:t>4.</w:t>
      </w:r>
      <w:r>
        <w:rPr>
          <w:rFonts w:hint="eastAsia" w:hAnsi="仿宋"/>
          <w:sz w:val="32"/>
          <w:szCs w:val="32"/>
        </w:rPr>
        <w:t>结余分配：指事业单位按照会计制度规定缴纳的所得税、提取的专用结余以及转入非财政拨款结余的金额等。</w:t>
      </w:r>
    </w:p>
    <w:p>
      <w:pPr>
        <w:pStyle w:val="32"/>
        <w:spacing w:line="560" w:lineRule="exact"/>
        <w:ind w:firstLine="640" w:firstLineChars="200"/>
        <w:rPr>
          <w:rFonts w:hAnsi="仿宋"/>
          <w:sz w:val="32"/>
          <w:szCs w:val="32"/>
        </w:rPr>
      </w:pPr>
      <w:r>
        <w:rPr>
          <w:rFonts w:hAnsi="仿宋"/>
          <w:sz w:val="32"/>
          <w:szCs w:val="32"/>
        </w:rPr>
        <w:t>5</w:t>
      </w:r>
      <w:r>
        <w:rPr>
          <w:rFonts w:hint="eastAsia" w:hAnsi="仿宋"/>
          <w:sz w:val="32"/>
          <w:szCs w:val="32"/>
        </w:rPr>
        <w:t>.年末结转和结余：指单位按有关规定结转到下年或以后年度继续使用的资金。</w:t>
      </w:r>
    </w:p>
    <w:p>
      <w:pPr>
        <w:ind w:firstLine="640" w:firstLineChars="20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文化体育与传媒（类）新闻出版广播影视（款）出版发行（项）：指反映图书、报纸、期刊、音像、电子、网络出版物出版、印刷复制和发行等</w:t>
      </w:r>
      <w:r>
        <w:rPr>
          <w:rFonts w:hint="eastAsia" w:ascii="仿宋" w:hAnsi="仿宋" w:eastAsia="仿宋"/>
          <w:color w:val="000000"/>
          <w:sz w:val="30"/>
          <w:szCs w:val="30"/>
        </w:rPr>
        <w:t>方面的支出</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基本支出：指为保障机构正常运转、完成日常工作任务而发生的人员支出和公用支出。</w:t>
      </w:r>
    </w:p>
    <w:p>
      <w:pPr>
        <w:ind w:firstLine="640" w:firstLineChars="20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项目支出：指在基本支出之外为完成特定行政任务和事业发展目标所发生的支出。</w:t>
      </w:r>
      <w:r>
        <w:rPr>
          <w:rFonts w:ascii="仿宋" w:hAnsi="仿宋" w:eastAsia="仿宋"/>
          <w:color w:val="000000"/>
          <w:sz w:val="32"/>
          <w:szCs w:val="32"/>
        </w:rPr>
        <w:t xml:space="preserve"> </w:t>
      </w:r>
    </w:p>
    <w:p>
      <w:pPr>
        <w:ind w:firstLine="640" w:firstLineChars="200"/>
        <w:rPr>
          <w:rFonts w:ascii="仿宋" w:hAnsi="仿宋" w:eastAsia="仿宋"/>
          <w:color w:val="000000"/>
          <w:sz w:val="32"/>
          <w:szCs w:val="32"/>
        </w:rPr>
      </w:pPr>
      <w:r>
        <w:rPr>
          <w:rFonts w:ascii="仿宋" w:hAnsi="仿宋" w:eastAsia="仿宋"/>
          <w:color w:val="000000"/>
          <w:sz w:val="32"/>
          <w:szCs w:val="32"/>
        </w:rPr>
        <w:t>9.</w:t>
      </w:r>
      <w:r>
        <w:rPr>
          <w:rFonts w:hint="eastAsia" w:ascii="仿宋" w:hAnsi="仿宋" w:eastAsia="仿宋"/>
          <w:color w:val="000000"/>
          <w:sz w:val="32"/>
          <w:szCs w:val="32"/>
        </w:rPr>
        <w:t>经营支出：指事业单位在专业业务活动及其辅助活动之外开展非独立核算经营活动发生的支出。</w:t>
      </w:r>
    </w:p>
    <w:p>
      <w:pPr>
        <w:pStyle w:val="32"/>
        <w:spacing w:line="560" w:lineRule="exact"/>
        <w:ind w:firstLine="640" w:firstLineChars="200"/>
        <w:rPr>
          <w:rFonts w:hAnsi="仿宋"/>
          <w:sz w:val="32"/>
          <w:szCs w:val="32"/>
        </w:rPr>
      </w:pPr>
      <w:r>
        <w:rPr>
          <w:rFonts w:hint="eastAsia" w:hAnsi="仿宋"/>
          <w:sz w:val="32"/>
          <w:szCs w:val="32"/>
        </w:rPr>
        <w:t>1</w:t>
      </w:r>
      <w:r>
        <w:rPr>
          <w:rFonts w:hAnsi="仿宋"/>
          <w:sz w:val="32"/>
          <w:szCs w:val="32"/>
        </w:rPr>
        <w:t>0.</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640" w:firstLineChars="200"/>
        <w:rPr>
          <w:rFonts w:hAnsi="仿宋"/>
          <w:sz w:val="32"/>
          <w:szCs w:val="32"/>
        </w:rPr>
      </w:pPr>
      <w:r>
        <w:rPr>
          <w:rFonts w:hint="eastAsia" w:hAnsi="仿宋"/>
          <w:sz w:val="32"/>
          <w:szCs w:val="32"/>
        </w:rPr>
        <w:t>1</w:t>
      </w:r>
      <w:r>
        <w:rPr>
          <w:rFonts w:hAnsi="仿宋"/>
          <w:sz w:val="32"/>
          <w:szCs w:val="32"/>
        </w:rPr>
        <w:t>1.</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bCs/>
          <w:color w:val="000000"/>
          <w:sz w:val="44"/>
          <w:szCs w:val="44"/>
        </w:rPr>
      </w:pPr>
      <w:bookmarkStart w:id="103" w:name="_Toc15396614"/>
      <w:bookmarkStart w:id="104" w:name="_Toc79163880"/>
      <w:bookmarkStart w:id="105" w:name="_Toc79163630"/>
      <w:bookmarkStart w:id="106" w:name="_Toc15377226"/>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Style w:val="22"/>
          <w:rFonts w:ascii="黑体" w:hAnsi="黑体" w:eastAsia="黑体"/>
          <w:b w:val="0"/>
        </w:rPr>
      </w:pPr>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03"/>
      <w:bookmarkEnd w:id="104"/>
      <w:bookmarkEnd w:id="105"/>
    </w:p>
    <w:p>
      <w:pPr>
        <w:spacing w:line="600" w:lineRule="exact"/>
        <w:jc w:val="left"/>
        <w:outlineLvl w:val="0"/>
        <w:rPr>
          <w:rFonts w:ascii="方正小标宋简体" w:hAnsi="方正小标宋简体" w:eastAsia="方正小标宋简体" w:cs="方正小标宋简体"/>
          <w:sz w:val="32"/>
          <w:szCs w:val="32"/>
        </w:rPr>
      </w:pPr>
      <w:bookmarkStart w:id="107" w:name="_Toc79163631"/>
      <w:bookmarkStart w:id="108" w:name="_Toc79163881"/>
      <w:r>
        <w:rPr>
          <w:rFonts w:hint="eastAsia" w:ascii="黑体" w:hAnsi="黑体" w:eastAsia="黑体" w:cs="黑体"/>
          <w:sz w:val="32"/>
          <w:szCs w:val="32"/>
        </w:rPr>
        <w:t>附件</w:t>
      </w:r>
      <w:r>
        <w:rPr>
          <w:rFonts w:ascii="黑体" w:hAnsi="黑体" w:eastAsia="黑体" w:cs="黑体"/>
          <w:sz w:val="32"/>
          <w:szCs w:val="32"/>
        </w:rPr>
        <w:t>1</w:t>
      </w:r>
      <w:bookmarkEnd w:id="107"/>
      <w:bookmarkEnd w:id="108"/>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09" w:name="_Toc79163882"/>
      <w:bookmarkStart w:id="110" w:name="_Toc79163632"/>
      <w:r>
        <w:rPr>
          <w:rFonts w:hint="eastAsia" w:ascii="方正小标宋简体" w:hAnsi="黑体" w:eastAsia="方正小标宋简体" w:cs="黑体"/>
          <w:sz w:val="44"/>
          <w:szCs w:val="44"/>
        </w:rPr>
        <w:t>茂县新华书店</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部门整体支出绩效评价报告</w:t>
      </w:r>
      <w:bookmarkEnd w:id="109"/>
      <w:bookmarkEnd w:id="110"/>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contextualSpacing/>
        <w:jc w:val="left"/>
        <w:rPr>
          <w:rFonts w:ascii="黑体" w:hAnsi="宋体" w:eastAsia="黑体" w:cs="宋体"/>
          <w:b/>
          <w:bCs/>
          <w:color w:val="000000"/>
          <w:kern w:val="0"/>
          <w:sz w:val="32"/>
          <w:szCs w:val="32"/>
          <w:shd w:val="clear" w:color="auto" w:fill="FFFFFF"/>
          <w:lang w:val="zh-CN"/>
        </w:rPr>
      </w:pPr>
      <w:r>
        <w:rPr>
          <w:rFonts w:hint="eastAsia" w:ascii="黑体" w:hAnsi="宋体" w:eastAsia="黑体" w:cs="宋体"/>
          <w:b/>
          <w:bCs/>
          <w:color w:val="000000"/>
          <w:kern w:val="0"/>
          <w:sz w:val="32"/>
          <w:szCs w:val="32"/>
          <w:shd w:val="clear" w:color="auto" w:fill="FFFFFF"/>
          <w:lang w:val="zh-CN"/>
        </w:rPr>
        <w:t>一、部门（单位）概况</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lang w:val="zh-CN"/>
        </w:rPr>
        <w:t>茂县新华书店属于财政差额拨款的一级预算事业单位。</w:t>
      </w:r>
    </w:p>
    <w:p>
      <w:pPr>
        <w:widowControl/>
        <w:numPr>
          <w:ilvl w:val="0"/>
          <w:numId w:val="2"/>
        </w:numPr>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机构职能</w:t>
      </w:r>
    </w:p>
    <w:p>
      <w:pPr>
        <w:widowControl/>
        <w:adjustRightInd w:val="0"/>
        <w:snapToGrid w:val="0"/>
        <w:spacing w:line="580" w:lineRule="exact"/>
        <w:ind w:firstLine="640" w:firstLineChars="200"/>
        <w:contextualSpacing/>
        <w:jc w:val="left"/>
        <w:rPr>
          <w:rFonts w:ascii="仿宋" w:hAnsi="仿宋" w:eastAsia="仿宋" w:cs="宋体"/>
          <w:b/>
          <w:bCs/>
          <w:color w:val="000000"/>
          <w:kern w:val="0"/>
          <w:sz w:val="32"/>
          <w:szCs w:val="32"/>
          <w:shd w:val="clear" w:color="auto" w:fill="FFFFFF"/>
        </w:rPr>
      </w:pPr>
      <w:r>
        <w:rPr>
          <w:rFonts w:hint="eastAsia" w:ascii="仿宋" w:hAnsi="仿宋" w:eastAsia="仿宋" w:cs="宋体"/>
          <w:color w:val="000000"/>
          <w:kern w:val="0"/>
          <w:sz w:val="32"/>
          <w:szCs w:val="32"/>
          <w:shd w:val="clear" w:color="auto" w:fill="FFFFFF"/>
          <w:lang w:val="zh-CN"/>
        </w:rPr>
        <w:t>茂县新华书店</w:t>
      </w:r>
      <w:r>
        <w:rPr>
          <w:rFonts w:hint="eastAsia" w:ascii="仿宋" w:hAnsi="仿宋" w:eastAsia="仿宋" w:cs="宋体"/>
          <w:color w:val="000000"/>
          <w:kern w:val="0"/>
          <w:sz w:val="32"/>
          <w:szCs w:val="32"/>
          <w:shd w:val="clear" w:color="auto" w:fill="FFFFFF"/>
        </w:rPr>
        <w:t>2020年度主要工作任务是征订和发放全县及各区乡中小学校教材教辅，保证课前到书。</w:t>
      </w:r>
    </w:p>
    <w:p>
      <w:pPr>
        <w:widowControl/>
        <w:numPr>
          <w:ilvl w:val="0"/>
          <w:numId w:val="2"/>
        </w:numPr>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人员概况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lang w:val="zh-CN"/>
        </w:rPr>
        <w:t>茂县新华书店总编制是</w:t>
      </w:r>
      <w:r>
        <w:rPr>
          <w:rFonts w:hint="eastAsia" w:ascii="仿宋" w:hAnsi="仿宋" w:eastAsia="仿宋" w:cs="宋体"/>
          <w:color w:val="000000"/>
          <w:kern w:val="0"/>
          <w:sz w:val="32"/>
          <w:szCs w:val="32"/>
          <w:shd w:val="clear" w:color="auto" w:fill="FFFFFF"/>
        </w:rPr>
        <w:t>8人，其中事业管理1人，事业专技1人，事业工勤6人。在职期末人数为6人，其中事业管理1人，事业工勤5人。</w:t>
      </w:r>
    </w:p>
    <w:p>
      <w:pPr>
        <w:widowControl/>
        <w:adjustRightInd w:val="0"/>
        <w:snapToGrid w:val="0"/>
        <w:spacing w:line="580" w:lineRule="exact"/>
        <w:contextualSpacing/>
        <w:jc w:val="left"/>
        <w:rPr>
          <w:rFonts w:ascii="黑体" w:hAnsi="宋体" w:eastAsia="黑体" w:cs="宋体"/>
          <w:b/>
          <w:bCs/>
          <w:color w:val="000000"/>
          <w:kern w:val="0"/>
          <w:sz w:val="32"/>
          <w:szCs w:val="32"/>
          <w:shd w:val="clear" w:color="auto" w:fill="FFFFFF"/>
        </w:rPr>
      </w:pPr>
      <w:r>
        <w:rPr>
          <w:rFonts w:hint="eastAsia" w:ascii="仿宋" w:hAnsi="仿宋" w:eastAsia="仿宋" w:cs="宋体"/>
          <w:b/>
          <w:bCs/>
          <w:color w:val="000000"/>
          <w:kern w:val="0"/>
          <w:sz w:val="32"/>
          <w:szCs w:val="32"/>
          <w:shd w:val="clear" w:color="auto" w:fill="FFFFFF"/>
        </w:rPr>
        <w:t>二、</w:t>
      </w:r>
      <w:r>
        <w:rPr>
          <w:rFonts w:hint="eastAsia" w:ascii="黑体" w:hAnsi="宋体" w:eastAsia="黑体" w:cs="宋体"/>
          <w:b/>
          <w:bCs/>
          <w:color w:val="000000"/>
          <w:kern w:val="0"/>
          <w:sz w:val="32"/>
          <w:szCs w:val="32"/>
          <w:shd w:val="clear" w:color="auto" w:fill="FFFFFF"/>
        </w:rPr>
        <w:t>部门财政资金收支情况</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2020年收入预算总额为73.52万元,其中:当年财政拨款收入73.52万元。</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rPr>
        <w:t>2020年支出预算总额为73.52万元,其中:当年财政拨款支出73.52万元。</w:t>
      </w:r>
    </w:p>
    <w:p>
      <w:pPr>
        <w:widowControl/>
        <w:adjustRightInd w:val="0"/>
        <w:snapToGrid w:val="0"/>
        <w:spacing w:line="580" w:lineRule="exact"/>
        <w:contextualSpacing/>
        <w:jc w:val="left"/>
        <w:rPr>
          <w:rFonts w:ascii="黑体" w:hAnsi="宋体" w:eastAsia="黑体" w:cs="宋体"/>
          <w:b/>
          <w:bCs/>
          <w:color w:val="000000"/>
          <w:kern w:val="0"/>
          <w:sz w:val="32"/>
          <w:szCs w:val="32"/>
          <w:shd w:val="clear" w:color="auto" w:fill="FFFFFF"/>
        </w:rPr>
      </w:pPr>
      <w:r>
        <w:rPr>
          <w:rFonts w:hint="eastAsia" w:ascii="黑体" w:hAnsi="宋体" w:eastAsia="黑体" w:cs="宋体"/>
          <w:b/>
          <w:bCs/>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2020年对本单位的各项工作进行梳理，确定单位的各项具体工作职责。本年度完成了全县及区乡各中小学校教材教辅征订和发放工作。保证了课前到书。</w:t>
      </w:r>
    </w:p>
    <w:p>
      <w:pPr>
        <w:widowControl/>
        <w:adjustRightInd w:val="0"/>
        <w:snapToGrid w:val="0"/>
        <w:spacing w:line="580" w:lineRule="exact"/>
        <w:ind w:firstLine="640" w:firstLineChars="200"/>
        <w:contextualSpacing/>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2020年按时按质报送预决算编制并按规定在网站上进行了公开等。本年度严格执行资产管理，并进行了全面的资产清查，确保各项资产核算准确、帐实相符。更进一步规范了财政资金的管理，强化财政支出绩效理念，对人员工资中的基本工资、津补贴等项目，严格按照有关政策规定执行，不随意提高标准，提升了单位责任意识，提高了资金使用效益。</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2020年无违规记录等情况。</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lang w:val="zh-CN"/>
        </w:rPr>
        <w:t>本年度我单位本着厉行节约</w:t>
      </w:r>
      <w:r>
        <w:rPr>
          <w:rFonts w:hint="eastAsia" w:ascii="仿宋" w:hAnsi="仿宋" w:eastAsia="仿宋" w:cs="宋体"/>
          <w:color w:val="000000"/>
          <w:kern w:val="0"/>
          <w:sz w:val="32"/>
          <w:szCs w:val="32"/>
          <w:shd w:val="clear" w:color="auto" w:fill="FFFFFF"/>
        </w:rPr>
        <w:t>提高资金使用效益，保证完成各项工作为目的，较好的完成了各项工作任务。</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2020年根据有关规定严格执行绩效自评公开，并根据2020年部门整体支出绩效自评结果，看出本年度内控制度还需</w:t>
      </w:r>
      <w:r>
        <w:rPr>
          <w:rFonts w:hint="eastAsia" w:ascii="仿宋" w:hAnsi="仿宋" w:eastAsia="仿宋" w:cs="宋体"/>
          <w:color w:val="000000"/>
          <w:kern w:val="0"/>
          <w:sz w:val="32"/>
          <w:szCs w:val="32"/>
          <w:shd w:val="clear" w:color="auto" w:fill="FFFFFF"/>
          <w:lang w:eastAsia="zh-CN"/>
        </w:rPr>
        <w:t>进</w:t>
      </w:r>
      <w:bookmarkStart w:id="155" w:name="_GoBack"/>
      <w:bookmarkEnd w:id="155"/>
      <w:r>
        <w:rPr>
          <w:rFonts w:hint="eastAsia" w:ascii="仿宋" w:hAnsi="仿宋" w:eastAsia="仿宋" w:cs="宋体"/>
          <w:color w:val="000000"/>
          <w:kern w:val="0"/>
          <w:sz w:val="32"/>
          <w:szCs w:val="32"/>
          <w:shd w:val="clear" w:color="auto" w:fill="FFFFFF"/>
        </w:rPr>
        <w:t>一步的健全，在2021年作为完善内部管理制度的依据，以及绩效考核的重要依据。</w:t>
      </w:r>
    </w:p>
    <w:p>
      <w:pPr>
        <w:widowControl/>
        <w:adjustRightInd w:val="0"/>
        <w:snapToGrid w:val="0"/>
        <w:spacing w:line="580" w:lineRule="exact"/>
        <w:contextualSpacing/>
        <w:jc w:val="left"/>
        <w:rPr>
          <w:rFonts w:ascii="黑体" w:hAnsi="宋体" w:eastAsia="黑体" w:cs="宋体"/>
          <w:b/>
          <w:bCs/>
          <w:color w:val="000000"/>
          <w:kern w:val="0"/>
          <w:sz w:val="32"/>
          <w:szCs w:val="32"/>
          <w:shd w:val="clear" w:color="auto" w:fill="FFFFFF"/>
        </w:rPr>
      </w:pPr>
      <w:r>
        <w:rPr>
          <w:rFonts w:hint="eastAsia" w:ascii="黑体" w:hAnsi="宋体" w:eastAsia="黑体" w:cs="宋体"/>
          <w:b/>
          <w:bCs/>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 w:hAnsi="仿宋" w:eastAsia="仿宋" w:cs="宋体"/>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rPr>
        <w:t>本年度紧紧围绕年度目标任务，团结拼搏，锐意进取，扎实工作，全面完成了各项工作任务。</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rPr>
        <w:t>一是资金使用效益有待进一步提高。二是绩效目标设立不够明确、细化和量化。</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（三）改进建议</w:t>
      </w:r>
    </w:p>
    <w:p>
      <w:pPr>
        <w:spacing w:line="600" w:lineRule="exact"/>
        <w:ind w:firstLine="640" w:firstLineChars="200"/>
        <w:outlineLvl w:val="0"/>
        <w:rPr>
          <w:rFonts w:ascii="仿宋" w:hAnsi="仿宋" w:eastAsia="仿宋" w:cs="宋体"/>
          <w:color w:val="000000"/>
          <w:kern w:val="0"/>
          <w:sz w:val="32"/>
          <w:szCs w:val="32"/>
          <w:shd w:val="clear" w:color="auto" w:fill="FFFFFF"/>
        </w:rPr>
      </w:pPr>
      <w:bookmarkStart w:id="111" w:name="_Toc79163885"/>
      <w:bookmarkStart w:id="112" w:name="_Toc15396618"/>
      <w:bookmarkStart w:id="113" w:name="_Toc79163635"/>
      <w:r>
        <w:rPr>
          <w:rFonts w:hint="eastAsia" w:ascii="仿宋" w:hAnsi="仿宋" w:eastAsia="仿宋" w:cs="宋体"/>
          <w:color w:val="000000"/>
          <w:kern w:val="0"/>
          <w:sz w:val="32"/>
          <w:szCs w:val="32"/>
          <w:shd w:val="clear" w:color="auto" w:fill="FFFFFF"/>
        </w:rPr>
        <w:t>一是进一步提高资金使用效益。二是进一步规范绩效目标编制。使绩效目标设立更加明确、细化和量化并且合理可行。</w:t>
      </w:r>
    </w:p>
    <w:p>
      <w:pPr>
        <w:spacing w:line="600" w:lineRule="exact"/>
        <w:ind w:firstLine="640" w:firstLineChars="200"/>
        <w:outlineLvl w:val="0"/>
        <w:rPr>
          <w:rFonts w:ascii="仿宋" w:hAnsi="仿宋" w:eastAsia="仿宋" w:cs="宋体"/>
          <w:color w:val="000000"/>
          <w:kern w:val="0"/>
          <w:sz w:val="32"/>
          <w:szCs w:val="32"/>
          <w:shd w:val="clear" w:color="auto" w:fill="FFFFFF"/>
        </w:rPr>
      </w:pPr>
    </w:p>
    <w:p>
      <w:pPr>
        <w:spacing w:line="600" w:lineRule="exact"/>
        <w:ind w:firstLine="640" w:firstLineChars="200"/>
        <w:outlineLvl w:val="0"/>
        <w:rPr>
          <w:rFonts w:ascii="仿宋" w:hAnsi="仿宋" w:eastAsia="仿宋" w:cs="宋体"/>
          <w:color w:val="000000"/>
          <w:kern w:val="0"/>
          <w:sz w:val="32"/>
          <w:szCs w:val="32"/>
          <w:shd w:val="clear" w:color="auto" w:fill="FFFFFF"/>
        </w:rPr>
      </w:pPr>
    </w:p>
    <w:p>
      <w:pPr>
        <w:spacing w:line="600" w:lineRule="exact"/>
        <w:ind w:firstLine="640" w:firstLineChars="200"/>
        <w:outlineLvl w:val="0"/>
        <w:rPr>
          <w:rFonts w:ascii="仿宋" w:hAnsi="仿宋" w:eastAsia="仿宋" w:cs="宋体"/>
          <w:color w:val="000000"/>
          <w:kern w:val="0"/>
          <w:sz w:val="32"/>
          <w:szCs w:val="32"/>
          <w:shd w:val="clear" w:color="auto" w:fill="FFFFFF"/>
        </w:rPr>
      </w:pPr>
    </w:p>
    <w:p>
      <w:pPr>
        <w:spacing w:line="600" w:lineRule="exact"/>
        <w:ind w:firstLine="640" w:firstLineChars="200"/>
        <w:outlineLvl w:val="0"/>
        <w:rPr>
          <w:rFonts w:ascii="仿宋" w:hAnsi="仿宋" w:eastAsia="仿宋" w:cs="宋体"/>
          <w:color w:val="000000"/>
          <w:kern w:val="0"/>
          <w:sz w:val="32"/>
          <w:szCs w:val="32"/>
          <w:shd w:val="clear" w:color="auto" w:fill="FFFFFF"/>
        </w:rPr>
      </w:pPr>
    </w:p>
    <w:p>
      <w:pPr>
        <w:spacing w:line="600" w:lineRule="exact"/>
        <w:ind w:firstLine="640" w:firstLineChars="200"/>
        <w:outlineLvl w:val="0"/>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 xml:space="preserve">                             </w:t>
      </w:r>
    </w:p>
    <w:p>
      <w:pPr>
        <w:spacing w:line="600" w:lineRule="exact"/>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2"/>
          <w:rFonts w:ascii="黑体" w:hAnsi="黑体" w:eastAsia="黑体"/>
          <w:b w:val="0"/>
        </w:rPr>
      </w:pPr>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06"/>
      <w:bookmarkEnd w:id="111"/>
      <w:bookmarkEnd w:id="112"/>
      <w:bookmarkEnd w:id="113"/>
    </w:p>
    <w:p>
      <w:pPr>
        <w:pStyle w:val="3"/>
        <w:rPr>
          <w:rFonts w:ascii="仿宋" w:hAnsi="仿宋" w:eastAsia="仿宋"/>
          <w:color w:val="000000"/>
        </w:rPr>
      </w:pPr>
      <w:bookmarkStart w:id="114" w:name="_Toc79163886"/>
      <w:bookmarkStart w:id="115" w:name="_Toc15396619"/>
      <w:bookmarkStart w:id="116" w:name="_Toc79163636"/>
      <w:r>
        <w:rPr>
          <w:rFonts w:hint="eastAsia" w:ascii="仿宋" w:hAnsi="仿宋" w:eastAsia="仿宋"/>
          <w:b w:val="0"/>
          <w:color w:val="000000"/>
        </w:rPr>
        <w:t>一、收</w:t>
      </w:r>
      <w:r>
        <w:rPr>
          <w:rStyle w:val="23"/>
          <w:rFonts w:hint="eastAsia" w:ascii="仿宋" w:hAnsi="仿宋" w:eastAsia="仿宋"/>
          <w:b w:val="0"/>
          <w:bCs w:val="0"/>
        </w:rPr>
        <w:t>入支出决算总表</w:t>
      </w:r>
      <w:bookmarkEnd w:id="114"/>
      <w:bookmarkEnd w:id="115"/>
      <w:bookmarkEnd w:id="116"/>
    </w:p>
    <w:p>
      <w:pPr>
        <w:pStyle w:val="3"/>
        <w:rPr>
          <w:rFonts w:ascii="仿宋" w:hAnsi="仿宋" w:eastAsia="仿宋"/>
          <w:color w:val="000000"/>
        </w:rPr>
      </w:pPr>
      <w:bookmarkStart w:id="117" w:name="_Toc15396620"/>
      <w:bookmarkStart w:id="118" w:name="_Toc79163637"/>
      <w:bookmarkStart w:id="119" w:name="_Toc79163887"/>
      <w:r>
        <w:rPr>
          <w:rFonts w:hint="eastAsia" w:ascii="仿宋" w:hAnsi="仿宋" w:eastAsia="仿宋"/>
          <w:b w:val="0"/>
          <w:color w:val="000000"/>
        </w:rPr>
        <w:t>二、收</w:t>
      </w:r>
      <w:r>
        <w:rPr>
          <w:rStyle w:val="23"/>
          <w:rFonts w:hint="eastAsia" w:ascii="仿宋" w:hAnsi="仿宋" w:eastAsia="仿宋"/>
          <w:b w:val="0"/>
          <w:bCs w:val="0"/>
        </w:rPr>
        <w:t>入决算表</w:t>
      </w:r>
      <w:bookmarkEnd w:id="117"/>
      <w:bookmarkEnd w:id="118"/>
      <w:bookmarkEnd w:id="119"/>
    </w:p>
    <w:p>
      <w:pPr>
        <w:pStyle w:val="3"/>
        <w:rPr>
          <w:rFonts w:ascii="仿宋" w:hAnsi="仿宋" w:eastAsia="仿宋"/>
          <w:color w:val="000000"/>
        </w:rPr>
      </w:pPr>
      <w:bookmarkStart w:id="120" w:name="_Toc15396621"/>
      <w:bookmarkStart w:id="121" w:name="_Toc79163888"/>
      <w:bookmarkStart w:id="122" w:name="_Toc7916363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20"/>
      <w:bookmarkEnd w:id="121"/>
      <w:bookmarkEnd w:id="122"/>
    </w:p>
    <w:p>
      <w:pPr>
        <w:pStyle w:val="3"/>
        <w:rPr>
          <w:rFonts w:ascii="仿宋" w:hAnsi="仿宋" w:eastAsia="仿宋"/>
          <w:b w:val="0"/>
          <w:color w:val="000000"/>
        </w:rPr>
      </w:pPr>
      <w:bookmarkStart w:id="123" w:name="_Toc15396622"/>
      <w:bookmarkStart w:id="124" w:name="_Toc79163889"/>
      <w:bookmarkStart w:id="125" w:name="_Toc79163639"/>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23"/>
      <w:bookmarkEnd w:id="124"/>
      <w:bookmarkEnd w:id="125"/>
    </w:p>
    <w:p>
      <w:pPr>
        <w:pStyle w:val="3"/>
        <w:rPr>
          <w:rStyle w:val="23"/>
          <w:rFonts w:ascii="仿宋" w:hAnsi="仿宋" w:eastAsia="仿宋"/>
          <w:b w:val="0"/>
          <w:bCs w:val="0"/>
        </w:rPr>
      </w:pPr>
      <w:bookmarkStart w:id="126" w:name="_Toc79163640"/>
      <w:bookmarkStart w:id="127" w:name="_Toc15396623"/>
      <w:bookmarkStart w:id="128" w:name="_Toc79163890"/>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26"/>
      <w:bookmarkEnd w:id="127"/>
      <w:bookmarkEnd w:id="128"/>
      <w:bookmarkStart w:id="129" w:name="_Toc15396624"/>
    </w:p>
    <w:p>
      <w:pPr>
        <w:pStyle w:val="3"/>
        <w:rPr>
          <w:rFonts w:ascii="仿宋" w:hAnsi="仿宋" w:eastAsia="仿宋"/>
          <w:color w:val="000000"/>
        </w:rPr>
      </w:pPr>
      <w:bookmarkStart w:id="130" w:name="_Toc79163641"/>
      <w:bookmarkStart w:id="131" w:name="_Toc7916389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29"/>
      <w:bookmarkEnd w:id="130"/>
      <w:bookmarkEnd w:id="131"/>
    </w:p>
    <w:p>
      <w:pPr>
        <w:pStyle w:val="3"/>
        <w:rPr>
          <w:rFonts w:ascii="仿宋" w:hAnsi="仿宋" w:eastAsia="仿宋"/>
          <w:color w:val="000000"/>
        </w:rPr>
      </w:pPr>
      <w:bookmarkStart w:id="132" w:name="_Toc79163642"/>
      <w:bookmarkStart w:id="133" w:name="_Toc15396625"/>
      <w:bookmarkStart w:id="134" w:name="_Toc79163892"/>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32"/>
      <w:bookmarkEnd w:id="133"/>
      <w:bookmarkEnd w:id="134"/>
    </w:p>
    <w:p>
      <w:pPr>
        <w:pStyle w:val="3"/>
        <w:rPr>
          <w:rFonts w:ascii="仿宋" w:hAnsi="仿宋" w:eastAsia="仿宋"/>
          <w:color w:val="000000"/>
        </w:rPr>
      </w:pPr>
      <w:bookmarkStart w:id="135" w:name="_Toc15396626"/>
      <w:bookmarkStart w:id="136" w:name="_Toc79163893"/>
      <w:bookmarkStart w:id="137" w:name="_Toc79163643"/>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35"/>
      <w:bookmarkEnd w:id="136"/>
      <w:bookmarkEnd w:id="137"/>
    </w:p>
    <w:p>
      <w:pPr>
        <w:pStyle w:val="3"/>
        <w:rPr>
          <w:rFonts w:ascii="仿宋" w:hAnsi="仿宋" w:eastAsia="仿宋"/>
          <w:color w:val="000000"/>
        </w:rPr>
      </w:pPr>
      <w:bookmarkStart w:id="138" w:name="_Toc79163894"/>
      <w:bookmarkStart w:id="139" w:name="_Toc79163644"/>
      <w:bookmarkStart w:id="140" w:name="_Toc15396627"/>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38"/>
      <w:bookmarkEnd w:id="139"/>
      <w:bookmarkEnd w:id="140"/>
    </w:p>
    <w:p>
      <w:pPr>
        <w:pStyle w:val="3"/>
        <w:rPr>
          <w:rFonts w:ascii="仿宋" w:hAnsi="仿宋" w:eastAsia="仿宋"/>
          <w:color w:val="000000"/>
        </w:rPr>
      </w:pPr>
      <w:bookmarkStart w:id="141" w:name="_Toc79163895"/>
      <w:bookmarkStart w:id="142" w:name="_Toc79163645"/>
      <w:bookmarkStart w:id="143" w:name="_Toc15396628"/>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41"/>
      <w:bookmarkEnd w:id="142"/>
      <w:bookmarkEnd w:id="143"/>
    </w:p>
    <w:p>
      <w:pPr>
        <w:pStyle w:val="3"/>
        <w:rPr>
          <w:rFonts w:ascii="仿宋" w:hAnsi="仿宋" w:eastAsia="仿宋"/>
          <w:color w:val="000000"/>
        </w:rPr>
      </w:pPr>
      <w:bookmarkStart w:id="144" w:name="_Toc79163646"/>
      <w:bookmarkStart w:id="145" w:name="_Toc79163896"/>
      <w:bookmarkStart w:id="146" w:name="_Toc15396629"/>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44"/>
      <w:bookmarkEnd w:id="145"/>
      <w:bookmarkEnd w:id="146"/>
    </w:p>
    <w:p>
      <w:pPr>
        <w:pStyle w:val="3"/>
        <w:rPr>
          <w:rFonts w:ascii="仿宋" w:hAnsi="仿宋" w:eastAsia="仿宋"/>
          <w:color w:val="000000"/>
        </w:rPr>
      </w:pPr>
      <w:bookmarkStart w:id="147" w:name="_Toc79163897"/>
      <w:bookmarkStart w:id="148" w:name="_Toc79163647"/>
      <w:bookmarkStart w:id="149" w:name="_Toc15396630"/>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47"/>
      <w:bookmarkEnd w:id="148"/>
      <w:bookmarkEnd w:id="149"/>
    </w:p>
    <w:p>
      <w:pPr>
        <w:pStyle w:val="3"/>
        <w:rPr>
          <w:rStyle w:val="23"/>
          <w:rFonts w:ascii="仿宋" w:hAnsi="仿宋" w:eastAsia="仿宋"/>
          <w:b w:val="0"/>
          <w:bCs w:val="0"/>
        </w:rPr>
      </w:pPr>
      <w:bookmarkStart w:id="150" w:name="_Toc79163648"/>
      <w:bookmarkStart w:id="151" w:name="_Toc15396631"/>
      <w:bookmarkStart w:id="152" w:name="_Toc79163898"/>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50"/>
      <w:bookmarkEnd w:id="151"/>
      <w:bookmarkEnd w:id="152"/>
    </w:p>
    <w:p>
      <w:pPr>
        <w:pStyle w:val="3"/>
        <w:rPr>
          <w:rStyle w:val="23"/>
          <w:rFonts w:ascii="仿宋" w:hAnsi="仿宋" w:eastAsia="仿宋"/>
          <w:b w:val="0"/>
          <w:bCs w:val="0"/>
        </w:rPr>
      </w:pPr>
      <w:bookmarkStart w:id="153" w:name="_Toc79163899"/>
      <w:bookmarkStart w:id="154" w:name="_Toc79163649"/>
      <w:r>
        <w:rPr>
          <w:rStyle w:val="23"/>
          <w:rFonts w:hint="eastAsia" w:ascii="仿宋" w:hAnsi="仿宋" w:eastAsia="仿宋"/>
          <w:b w:val="0"/>
          <w:bCs w:val="0"/>
        </w:rPr>
        <w:t>十四、国有资本经营预算财政拨款支出决算表</w:t>
      </w:r>
      <w:bookmarkEnd w:id="153"/>
      <w:bookmarkEnd w:id="15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67EC59E6"/>
    <w:multiLevelType w:val="singleLevel"/>
    <w:tmpl w:val="67EC59E6"/>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5960"/>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05F53"/>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23CE"/>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1A42"/>
    <w:rsid w:val="0027224D"/>
    <w:rsid w:val="00280496"/>
    <w:rsid w:val="00294DC9"/>
    <w:rsid w:val="00295495"/>
    <w:rsid w:val="002A31DE"/>
    <w:rsid w:val="002B2613"/>
    <w:rsid w:val="002C5979"/>
    <w:rsid w:val="002D6D05"/>
    <w:rsid w:val="002F1818"/>
    <w:rsid w:val="002F567B"/>
    <w:rsid w:val="003216A9"/>
    <w:rsid w:val="00325A57"/>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74074"/>
    <w:rsid w:val="0048263A"/>
    <w:rsid w:val="00487E5D"/>
    <w:rsid w:val="004A3C81"/>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96FFF"/>
    <w:rsid w:val="005B5C64"/>
    <w:rsid w:val="005C5337"/>
    <w:rsid w:val="005C6BD0"/>
    <w:rsid w:val="005D1C8B"/>
    <w:rsid w:val="005D468D"/>
    <w:rsid w:val="005D595B"/>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192"/>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3841"/>
    <w:rsid w:val="007770C3"/>
    <w:rsid w:val="00784D24"/>
    <w:rsid w:val="00785FBA"/>
    <w:rsid w:val="00786E4A"/>
    <w:rsid w:val="007875EB"/>
    <w:rsid w:val="0079426B"/>
    <w:rsid w:val="007B4221"/>
    <w:rsid w:val="007D1682"/>
    <w:rsid w:val="007D312A"/>
    <w:rsid w:val="007D3F19"/>
    <w:rsid w:val="007E23B0"/>
    <w:rsid w:val="007E23E5"/>
    <w:rsid w:val="007F1991"/>
    <w:rsid w:val="007F2C2F"/>
    <w:rsid w:val="007F55FC"/>
    <w:rsid w:val="007F5665"/>
    <w:rsid w:val="00800112"/>
    <w:rsid w:val="0080115B"/>
    <w:rsid w:val="008015E2"/>
    <w:rsid w:val="00813348"/>
    <w:rsid w:val="008253BB"/>
    <w:rsid w:val="0083082B"/>
    <w:rsid w:val="0083706E"/>
    <w:rsid w:val="008408F6"/>
    <w:rsid w:val="008423A5"/>
    <w:rsid w:val="00850625"/>
    <w:rsid w:val="00853718"/>
    <w:rsid w:val="00855221"/>
    <w:rsid w:val="00860645"/>
    <w:rsid w:val="00871F71"/>
    <w:rsid w:val="00872FD8"/>
    <w:rsid w:val="00885AF4"/>
    <w:rsid w:val="00892977"/>
    <w:rsid w:val="008939CD"/>
    <w:rsid w:val="008A501A"/>
    <w:rsid w:val="008B768C"/>
    <w:rsid w:val="008C4DB1"/>
    <w:rsid w:val="008C4EAF"/>
    <w:rsid w:val="008C5176"/>
    <w:rsid w:val="008C7FD0"/>
    <w:rsid w:val="008E1DE7"/>
    <w:rsid w:val="008E707C"/>
    <w:rsid w:val="00900B08"/>
    <w:rsid w:val="00902155"/>
    <w:rsid w:val="00902FA3"/>
    <w:rsid w:val="0091462D"/>
    <w:rsid w:val="00922248"/>
    <w:rsid w:val="00923564"/>
    <w:rsid w:val="0092392E"/>
    <w:rsid w:val="009315F9"/>
    <w:rsid w:val="00933499"/>
    <w:rsid w:val="009334D8"/>
    <w:rsid w:val="00935C98"/>
    <w:rsid w:val="00946945"/>
    <w:rsid w:val="00951248"/>
    <w:rsid w:val="0095152F"/>
    <w:rsid w:val="00954C49"/>
    <w:rsid w:val="00955E37"/>
    <w:rsid w:val="00962656"/>
    <w:rsid w:val="00965791"/>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379FD"/>
    <w:rsid w:val="00A40A00"/>
    <w:rsid w:val="00A4142F"/>
    <w:rsid w:val="00A422EB"/>
    <w:rsid w:val="00A45BB7"/>
    <w:rsid w:val="00A56DF2"/>
    <w:rsid w:val="00A56E6E"/>
    <w:rsid w:val="00A6787D"/>
    <w:rsid w:val="00A67AB5"/>
    <w:rsid w:val="00A67CE6"/>
    <w:rsid w:val="00A733B2"/>
    <w:rsid w:val="00A741C2"/>
    <w:rsid w:val="00A831CA"/>
    <w:rsid w:val="00A91760"/>
    <w:rsid w:val="00A93B00"/>
    <w:rsid w:val="00A93C21"/>
    <w:rsid w:val="00A94AA1"/>
    <w:rsid w:val="00A97C14"/>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495C"/>
    <w:rsid w:val="00BC5361"/>
    <w:rsid w:val="00BC5460"/>
    <w:rsid w:val="00BC6B50"/>
    <w:rsid w:val="00BD0E25"/>
    <w:rsid w:val="00BD3CE1"/>
    <w:rsid w:val="00BF5BD6"/>
    <w:rsid w:val="00C03E31"/>
    <w:rsid w:val="00C0664A"/>
    <w:rsid w:val="00C33E72"/>
    <w:rsid w:val="00C354B2"/>
    <w:rsid w:val="00C35554"/>
    <w:rsid w:val="00C40A3D"/>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4ED7"/>
    <w:rsid w:val="00D51276"/>
    <w:rsid w:val="00D7035F"/>
    <w:rsid w:val="00D81A47"/>
    <w:rsid w:val="00DA634F"/>
    <w:rsid w:val="00DA65AC"/>
    <w:rsid w:val="00DA6AEF"/>
    <w:rsid w:val="00DB1913"/>
    <w:rsid w:val="00DC410D"/>
    <w:rsid w:val="00DC5A81"/>
    <w:rsid w:val="00DC68CA"/>
    <w:rsid w:val="00DC74B0"/>
    <w:rsid w:val="00DC7CBA"/>
    <w:rsid w:val="00DD73B7"/>
    <w:rsid w:val="00DF28BC"/>
    <w:rsid w:val="00DF34B9"/>
    <w:rsid w:val="00E0043F"/>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C4C97"/>
    <w:rsid w:val="00FD3CC1"/>
    <w:rsid w:val="00FF132C"/>
    <w:rsid w:val="00FF1E02"/>
    <w:rsid w:val="00FF30B4"/>
    <w:rsid w:val="04B4302C"/>
    <w:rsid w:val="063472E0"/>
    <w:rsid w:val="0A2032A3"/>
    <w:rsid w:val="0D0A5101"/>
    <w:rsid w:val="0F86004F"/>
    <w:rsid w:val="10C055FF"/>
    <w:rsid w:val="118107EC"/>
    <w:rsid w:val="16BB723D"/>
    <w:rsid w:val="1B45415E"/>
    <w:rsid w:val="1CCB4C9E"/>
    <w:rsid w:val="1CCC4AD4"/>
    <w:rsid w:val="1CED1EDA"/>
    <w:rsid w:val="1D155CEE"/>
    <w:rsid w:val="240371BF"/>
    <w:rsid w:val="248C1A1F"/>
    <w:rsid w:val="24DF71CA"/>
    <w:rsid w:val="29E06217"/>
    <w:rsid w:val="29FD04D3"/>
    <w:rsid w:val="305109C1"/>
    <w:rsid w:val="319F7F4E"/>
    <w:rsid w:val="38B90C43"/>
    <w:rsid w:val="39AF279C"/>
    <w:rsid w:val="3B081CD7"/>
    <w:rsid w:val="3FCE3D3D"/>
    <w:rsid w:val="412D5768"/>
    <w:rsid w:val="43AA5AD9"/>
    <w:rsid w:val="46B06070"/>
    <w:rsid w:val="49BB3D23"/>
    <w:rsid w:val="4ECE2238"/>
    <w:rsid w:val="5DF126A0"/>
    <w:rsid w:val="5F50114A"/>
    <w:rsid w:val="68AA1468"/>
    <w:rsid w:val="69CE248B"/>
    <w:rsid w:val="6A384275"/>
    <w:rsid w:val="6C4A05C8"/>
    <w:rsid w:val="6FDF5562"/>
    <w:rsid w:val="72734D90"/>
    <w:rsid w:val="73103035"/>
    <w:rsid w:val="75A46F21"/>
    <w:rsid w:val="7D60250B"/>
    <w:rsid w:val="7DCB3664"/>
    <w:rsid w:val="7F203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字符"/>
    <w:basedOn w:val="19"/>
    <w:link w:val="2"/>
    <w:qFormat/>
    <w:locked/>
    <w:uiPriority w:val="9"/>
    <w:rPr>
      <w:rFonts w:ascii="Times New Roman" w:hAnsi="Times New Roman" w:cs="Times New Roman"/>
      <w:b/>
      <w:bCs/>
      <w:kern w:val="44"/>
      <w:sz w:val="44"/>
      <w:szCs w:val="44"/>
    </w:rPr>
  </w:style>
  <w:style w:type="character" w:customStyle="1" w:styleId="23">
    <w:name w:val="标题 2 字符"/>
    <w:basedOn w:val="19"/>
    <w:link w:val="3"/>
    <w:qFormat/>
    <w:locked/>
    <w:uiPriority w:val="9"/>
    <w:rPr>
      <w:rFonts w:ascii="Cambria" w:hAnsi="Cambria" w:eastAsia="宋体" w:cs="Times New Roman"/>
      <w:b/>
      <w:bCs/>
      <w:kern w:val="2"/>
      <w:sz w:val="32"/>
      <w:szCs w:val="32"/>
    </w:rPr>
  </w:style>
  <w:style w:type="character" w:customStyle="1" w:styleId="24">
    <w:name w:val="标题 3 字符"/>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字符"/>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字符"/>
    <w:link w:val="12"/>
    <w:semiHidden/>
    <w:qFormat/>
    <w:locked/>
    <w:uiPriority w:val="99"/>
    <w:rPr>
      <w:sz w:val="18"/>
    </w:rPr>
  </w:style>
  <w:style w:type="character" w:customStyle="1" w:styleId="30">
    <w:name w:val="页脚 字符"/>
    <w:link w:val="11"/>
    <w:qFormat/>
    <w:locked/>
    <w:uiPriority w:val="99"/>
    <w:rPr>
      <w:sz w:val="18"/>
    </w:rPr>
  </w:style>
  <w:style w:type="character" w:customStyle="1" w:styleId="31">
    <w:name w:val="正文文本 字符"/>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16</Pages>
  <Words>4337</Words>
  <Characters>802</Characters>
  <Lines>6</Lines>
  <Paragraphs>10</Paragraphs>
  <TotalTime>1</TotalTime>
  <ScaleCrop>false</ScaleCrop>
  <LinksUpToDate>false</LinksUpToDate>
  <CharactersWithSpaces>5129</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2021-09-22T17:26:00Z</cp:lastPrinted>
  <dcterms:modified xsi:type="dcterms:W3CDTF">2023-07-13T18:39:31Z</dcterms:modified>
  <dc:title>阿坝州部门决算说明</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08FB14F3FE25D08C63D4AF641A01D8F0</vt:lpwstr>
  </property>
</Properties>
</file>