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方正小标宋简体" w:eastAsia="方正小标宋简体"/>
          <w:color w:val="000000"/>
          <w:sz w:val="44"/>
          <w:szCs w:val="44"/>
        </w:rPr>
      </w:pPr>
      <w:bookmarkStart w:id="1" w:name="_Toc15377425"/>
      <w:bookmarkStart w:id="2" w:name="_Toc15377193"/>
      <w:bookmarkStart w:id="3" w:name="_Toc15396475"/>
      <w:bookmarkStart w:id="4" w:name="_Toc15378441"/>
      <w:bookmarkStart w:id="5" w:name="_Toc15396597"/>
      <w:r>
        <w:rPr>
          <w:rFonts w:ascii="方正小标宋简体" w:hAnsi="方正小标宋简体" w:eastAsia="方正小标宋简体" w:cs="方正小标宋简体"/>
          <w:color w:val="000000"/>
          <w:sz w:val="44"/>
          <w:szCs w:val="44"/>
        </w:rPr>
        <w:t>2018</w:t>
      </w:r>
      <w:r>
        <w:rPr>
          <w:rFonts w:hint="eastAsia" w:ascii="方正小标宋简体" w:hAnsi="方正小标宋简体" w:eastAsia="方正小标宋简体" w:cs="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方正小标宋简体" w:eastAsia="方正小标宋简体"/>
          <w:color w:val="000000"/>
          <w:sz w:val="44"/>
          <w:szCs w:val="44"/>
        </w:rPr>
      </w:pPr>
      <w:bookmarkStart w:id="6" w:name="_Toc15377194"/>
      <w:bookmarkStart w:id="7" w:name="_Toc15396476"/>
      <w:bookmarkStart w:id="8" w:name="_Toc15396598"/>
      <w:bookmarkStart w:id="9" w:name="_Toc15377426"/>
      <w:bookmarkStart w:id="10" w:name="_Toc15378442"/>
      <w:r>
        <w:rPr>
          <w:rFonts w:hint="eastAsia" w:ascii="方正小标宋简体" w:hAnsi="方正小标宋简体" w:eastAsia="方正小标宋简体" w:cs="方正小标宋简体"/>
          <w:color w:val="000000"/>
          <w:sz w:val="44"/>
          <w:szCs w:val="44"/>
        </w:rPr>
        <w:t>四川省</w:t>
      </w:r>
      <w:bookmarkEnd w:id="0"/>
      <w:bookmarkStart w:id="11" w:name="_Toc15306268"/>
      <w:r>
        <w:rPr>
          <w:rFonts w:hint="eastAsia" w:ascii="方正小标宋简体" w:hAnsi="方正小标宋简体" w:eastAsia="方正小标宋简体" w:cs="方正小标宋简体"/>
          <w:color w:val="000000"/>
          <w:sz w:val="44"/>
          <w:szCs w:val="44"/>
        </w:rPr>
        <w:t>茂县粮食局部门决算</w:t>
      </w:r>
      <w:bookmarkEnd w:id="6"/>
      <w:bookmarkEnd w:id="7"/>
      <w:bookmarkEnd w:id="8"/>
      <w:bookmarkEnd w:id="9"/>
      <w:bookmarkEnd w:id="10"/>
      <w:bookmarkEnd w:id="11"/>
    </w:p>
    <w:p>
      <w:pPr>
        <w:adjustRightInd w:val="0"/>
        <w:snapToGrid w:val="0"/>
        <w:spacing w:line="360" w:lineRule="auto"/>
        <w:jc w:val="center"/>
        <w:outlineLvl w:val="0"/>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方正小标宋简体" w:hAnsi="方正小标宋简体" w:eastAsia="方正小标宋简体" w:cs="方正小标宋简体"/>
          <w:color w:val="000000"/>
          <w:sz w:val="48"/>
          <w:szCs w:val="48"/>
        </w:rPr>
        <w:t>目录</w:t>
      </w:r>
    </w:p>
    <w:p>
      <w:pPr>
        <w:widowControl/>
        <w:jc w:val="center"/>
        <w:rPr>
          <w:rFonts w:ascii="黑体" w:hAnsi="黑体" w:eastAsia="黑体"/>
          <w:sz w:val="28"/>
          <w:szCs w:val="28"/>
        </w:rPr>
      </w:pPr>
      <w:r>
        <w:rPr>
          <w:rFonts w:ascii="黑体" w:hAnsi="黑体" w:eastAsia="黑体" w:cs="黑体"/>
          <w:color w:val="000000"/>
          <w:sz w:val="48"/>
          <w:szCs w:val="48"/>
        </w:rPr>
        <w:fldChar w:fldCharType="begin"/>
      </w:r>
      <w:r>
        <w:rPr>
          <w:rFonts w:ascii="黑体" w:hAnsi="黑体" w:eastAsia="黑体" w:cs="黑体"/>
          <w:color w:val="000000"/>
          <w:sz w:val="48"/>
          <w:szCs w:val="48"/>
        </w:rPr>
        <w:instrText xml:space="preserve"> TOC \o "1-2" \h \z \u </w:instrText>
      </w:r>
      <w:r>
        <w:rPr>
          <w:rFonts w:ascii="黑体" w:hAnsi="黑体" w:eastAsia="黑体" w:cs="黑体"/>
          <w:color w:val="000000"/>
          <w:sz w:val="48"/>
          <w:szCs w:val="48"/>
        </w:rPr>
        <w:fldChar w:fldCharType="separate"/>
      </w:r>
    </w:p>
    <w:p/>
    <w:p>
      <w:pPr>
        <w:pStyle w:val="10"/>
        <w:rPr>
          <w:rFonts w:cs="Times New Roman"/>
        </w:rPr>
      </w:pPr>
      <w:r>
        <w:fldChar w:fldCharType="begin"/>
      </w:r>
      <w:r>
        <w:instrText xml:space="preserve"> HYPERLINK \l "_Toc15396599" </w:instrText>
      </w:r>
      <w:r>
        <w:fldChar w:fldCharType="separate"/>
      </w:r>
      <w:r>
        <w:rPr>
          <w:rStyle w:val="16"/>
          <w:rFonts w:hint="eastAsia" w:cs="仿宋"/>
        </w:rPr>
        <w:t>第一部分部门概况</w:t>
      </w:r>
      <w:r>
        <w:rPr>
          <w:rFonts w:cs="Times New Roman"/>
        </w:rPr>
        <w:tab/>
      </w:r>
      <w:r>
        <w:t>4</w:t>
      </w:r>
      <w:r>
        <w:fldChar w:fldCharType="end"/>
      </w:r>
    </w:p>
    <w:p>
      <w:pPr>
        <w:pStyle w:val="11"/>
        <w:rPr>
          <w:rFonts w:ascii="仿宋" w:hAnsi="仿宋" w:eastAsia="仿宋"/>
          <w:sz w:val="28"/>
          <w:szCs w:val="28"/>
        </w:rPr>
      </w:pPr>
      <w:r>
        <w:fldChar w:fldCharType="begin"/>
      </w:r>
      <w:r>
        <w:instrText xml:space="preserve"> HYPERLINK \l "_Toc15396600" </w:instrText>
      </w:r>
      <w:r>
        <w:fldChar w:fldCharType="separate"/>
      </w:r>
      <w:r>
        <w:rPr>
          <w:rStyle w:val="16"/>
          <w:rFonts w:hint="eastAsia" w:ascii="仿宋" w:hAnsi="仿宋" w:eastAsia="仿宋" w:cs="仿宋"/>
          <w:sz w:val="28"/>
          <w:szCs w:val="28"/>
        </w:rPr>
        <w:t>一、基本职能及主要工作</w:t>
      </w:r>
      <w:r>
        <w:rPr>
          <w:rFonts w:ascii="仿宋" w:hAnsi="仿宋" w:eastAsia="仿宋"/>
          <w:sz w:val="28"/>
          <w:szCs w:val="28"/>
        </w:rPr>
        <w:tab/>
      </w:r>
      <w:r>
        <w:rPr>
          <w:rFonts w:ascii="仿宋" w:hAnsi="仿宋" w:eastAsia="仿宋" w:cs="仿宋"/>
          <w:sz w:val="28"/>
          <w:szCs w:val="28"/>
        </w:rPr>
        <w:t>4</w:t>
      </w:r>
      <w:r>
        <w:rPr>
          <w:rFonts w:ascii="仿宋" w:hAnsi="仿宋" w:eastAsia="仿宋" w:cs="仿宋"/>
          <w:sz w:val="28"/>
          <w:szCs w:val="28"/>
        </w:rPr>
        <w:fldChar w:fldCharType="end"/>
      </w:r>
    </w:p>
    <w:p>
      <w:pPr>
        <w:pStyle w:val="11"/>
        <w:rPr>
          <w:rFonts w:ascii="仿宋" w:hAnsi="仿宋" w:eastAsia="仿宋"/>
          <w:sz w:val="28"/>
          <w:szCs w:val="28"/>
        </w:rPr>
      </w:pPr>
      <w:r>
        <w:fldChar w:fldCharType="begin"/>
      </w:r>
      <w:r>
        <w:instrText xml:space="preserve"> HYPERLINK \l "_Toc15396601" </w:instrText>
      </w:r>
      <w:r>
        <w:fldChar w:fldCharType="separate"/>
      </w:r>
      <w:r>
        <w:rPr>
          <w:rStyle w:val="16"/>
          <w:rFonts w:hint="eastAsia" w:ascii="仿宋" w:hAnsi="仿宋" w:eastAsia="仿宋" w:cs="仿宋"/>
          <w:sz w:val="28"/>
          <w:szCs w:val="28"/>
        </w:rPr>
        <w:t>二、机构设置</w:t>
      </w:r>
      <w:r>
        <w:rPr>
          <w:rFonts w:ascii="仿宋" w:hAnsi="仿宋" w:eastAsia="仿宋"/>
          <w:sz w:val="28"/>
          <w:szCs w:val="28"/>
        </w:rPr>
        <w:tab/>
      </w:r>
      <w:r>
        <w:rPr>
          <w:rFonts w:ascii="仿宋" w:hAnsi="仿宋" w:eastAsia="仿宋" w:cs="仿宋"/>
          <w:sz w:val="28"/>
          <w:szCs w:val="28"/>
        </w:rPr>
        <w:t>8</w:t>
      </w:r>
      <w:r>
        <w:rPr>
          <w:rFonts w:ascii="仿宋" w:hAnsi="仿宋" w:eastAsia="仿宋" w:cs="仿宋"/>
          <w:sz w:val="28"/>
          <w:szCs w:val="28"/>
        </w:rPr>
        <w:fldChar w:fldCharType="end"/>
      </w:r>
    </w:p>
    <w:p>
      <w:pPr>
        <w:pStyle w:val="10"/>
        <w:rPr>
          <w:rFonts w:cs="Times New Roman"/>
        </w:rPr>
      </w:pPr>
      <w:r>
        <w:fldChar w:fldCharType="begin"/>
      </w:r>
      <w:r>
        <w:instrText xml:space="preserve"> HYPERLINK \l "_Toc15396602" </w:instrText>
      </w:r>
      <w:r>
        <w:fldChar w:fldCharType="separate"/>
      </w:r>
      <w:r>
        <w:rPr>
          <w:rStyle w:val="16"/>
          <w:rFonts w:hint="eastAsia" w:cs="仿宋"/>
        </w:rPr>
        <w:t>第二部分</w:t>
      </w:r>
      <w:r>
        <w:rPr>
          <w:rStyle w:val="16"/>
          <w:rFonts w:cs="仿宋"/>
        </w:rPr>
        <w:t xml:space="preserve"> 2018</w:t>
      </w:r>
      <w:r>
        <w:rPr>
          <w:rStyle w:val="16"/>
          <w:rFonts w:hint="eastAsia" w:cs="仿宋"/>
        </w:rPr>
        <w:t>年度部门决算情况说明</w:t>
      </w:r>
      <w:r>
        <w:rPr>
          <w:rFonts w:cs="Times New Roman"/>
        </w:rPr>
        <w:tab/>
      </w:r>
      <w:r>
        <w:t>9</w:t>
      </w:r>
      <w:r>
        <w:fldChar w:fldCharType="end"/>
      </w:r>
    </w:p>
    <w:p>
      <w:pPr>
        <w:pStyle w:val="11"/>
        <w:rPr>
          <w:rFonts w:ascii="仿宋" w:hAnsi="仿宋" w:eastAsia="仿宋" w:cs="仿宋"/>
          <w:sz w:val="28"/>
          <w:szCs w:val="28"/>
        </w:rPr>
      </w:pPr>
      <w:r>
        <w:fldChar w:fldCharType="begin"/>
      </w:r>
      <w:r>
        <w:instrText xml:space="preserve"> HYPERLINK \l "_Toc15396603" </w:instrText>
      </w:r>
      <w:r>
        <w:fldChar w:fldCharType="separate"/>
      </w:r>
      <w:r>
        <w:rPr>
          <w:rStyle w:val="16"/>
          <w:rFonts w:hint="eastAsia" w:ascii="仿宋" w:hAnsi="仿宋" w:eastAsia="仿宋" w:cs="仿宋"/>
          <w:sz w:val="28"/>
          <w:szCs w:val="28"/>
        </w:rPr>
        <w:t>一、收入支出决算总体情况说明</w:t>
      </w:r>
      <w:r>
        <w:rPr>
          <w:rFonts w:ascii="仿宋" w:hAnsi="仿宋" w:eastAsia="仿宋"/>
          <w:sz w:val="28"/>
          <w:szCs w:val="28"/>
        </w:rPr>
        <w:tab/>
      </w:r>
      <w:r>
        <w:rPr>
          <w:rFonts w:ascii="仿宋" w:hAnsi="仿宋" w:eastAsia="仿宋"/>
          <w:sz w:val="28"/>
          <w:szCs w:val="28"/>
        </w:rPr>
        <w:fldChar w:fldCharType="end"/>
      </w:r>
      <w:r>
        <w:rPr>
          <w:rFonts w:ascii="仿宋" w:hAnsi="仿宋" w:eastAsia="仿宋" w:cs="仿宋"/>
          <w:sz w:val="28"/>
          <w:szCs w:val="28"/>
        </w:rPr>
        <w:t>9</w:t>
      </w:r>
    </w:p>
    <w:p>
      <w:pPr>
        <w:pStyle w:val="11"/>
        <w:rPr>
          <w:rFonts w:ascii="仿宋" w:hAnsi="仿宋" w:eastAsia="仿宋" w:cs="仿宋"/>
          <w:sz w:val="28"/>
          <w:szCs w:val="28"/>
        </w:rPr>
      </w:pPr>
      <w:r>
        <w:fldChar w:fldCharType="begin"/>
      </w:r>
      <w:r>
        <w:instrText xml:space="preserve"> HYPERLINK \l "_Toc15396604" </w:instrText>
      </w:r>
      <w:r>
        <w:fldChar w:fldCharType="separate"/>
      </w:r>
      <w:r>
        <w:rPr>
          <w:rStyle w:val="16"/>
          <w:rFonts w:hint="eastAsia" w:ascii="仿宋" w:hAnsi="仿宋" w:eastAsia="仿宋" w:cs="仿宋"/>
          <w:sz w:val="28"/>
          <w:szCs w:val="28"/>
        </w:rPr>
        <w:t>二、收入决算情况说明</w:t>
      </w:r>
      <w:r>
        <w:rPr>
          <w:rFonts w:ascii="仿宋" w:hAnsi="仿宋" w:eastAsia="仿宋"/>
          <w:sz w:val="28"/>
          <w:szCs w:val="28"/>
        </w:rPr>
        <w:tab/>
      </w:r>
      <w:r>
        <w:rPr>
          <w:rFonts w:ascii="仿宋" w:hAnsi="仿宋" w:eastAsia="仿宋" w:cs="仿宋"/>
          <w:sz w:val="28"/>
          <w:szCs w:val="28"/>
        </w:rPr>
        <w:t>1</w:t>
      </w:r>
      <w:r>
        <w:rPr>
          <w:rFonts w:ascii="仿宋" w:hAnsi="仿宋" w:eastAsia="仿宋" w:cs="仿宋"/>
          <w:sz w:val="28"/>
          <w:szCs w:val="28"/>
        </w:rPr>
        <w:fldChar w:fldCharType="end"/>
      </w:r>
      <w:r>
        <w:rPr>
          <w:rFonts w:ascii="仿宋" w:hAnsi="仿宋" w:eastAsia="仿宋" w:cs="仿宋"/>
          <w:sz w:val="28"/>
          <w:szCs w:val="28"/>
        </w:rPr>
        <w:t>0</w:t>
      </w:r>
    </w:p>
    <w:p>
      <w:pPr>
        <w:pStyle w:val="11"/>
        <w:rPr>
          <w:rFonts w:ascii="仿宋" w:hAnsi="仿宋" w:eastAsia="仿宋"/>
          <w:sz w:val="28"/>
          <w:szCs w:val="28"/>
        </w:rPr>
      </w:pPr>
      <w:r>
        <w:fldChar w:fldCharType="begin"/>
      </w:r>
      <w:r>
        <w:instrText xml:space="preserve"> HYPERLINK \l "_Toc15396605" </w:instrText>
      </w:r>
      <w:r>
        <w:fldChar w:fldCharType="separate"/>
      </w:r>
      <w:r>
        <w:rPr>
          <w:rStyle w:val="16"/>
          <w:rFonts w:hint="eastAsia" w:ascii="仿宋" w:hAnsi="仿宋" w:eastAsia="仿宋" w:cs="仿宋"/>
          <w:sz w:val="28"/>
          <w:szCs w:val="28"/>
        </w:rPr>
        <w:t>三、支出决算情况说明</w:t>
      </w:r>
      <w:r>
        <w:rPr>
          <w:rFonts w:ascii="仿宋" w:hAnsi="仿宋" w:eastAsia="仿宋"/>
          <w:sz w:val="28"/>
          <w:szCs w:val="28"/>
        </w:rPr>
        <w:tab/>
      </w:r>
      <w:r>
        <w:rPr>
          <w:rFonts w:ascii="仿宋" w:hAnsi="仿宋" w:eastAsia="仿宋" w:cs="仿宋"/>
          <w:sz w:val="28"/>
          <w:szCs w:val="28"/>
        </w:rPr>
        <w:t>10</w:t>
      </w:r>
      <w:r>
        <w:rPr>
          <w:rFonts w:ascii="仿宋" w:hAnsi="仿宋" w:eastAsia="仿宋" w:cs="仿宋"/>
          <w:sz w:val="28"/>
          <w:szCs w:val="28"/>
        </w:rPr>
        <w:fldChar w:fldCharType="end"/>
      </w:r>
    </w:p>
    <w:p>
      <w:pPr>
        <w:pStyle w:val="11"/>
        <w:rPr>
          <w:rFonts w:ascii="仿宋" w:hAnsi="仿宋" w:eastAsia="仿宋" w:cs="仿宋"/>
          <w:sz w:val="28"/>
          <w:szCs w:val="28"/>
        </w:rPr>
      </w:pPr>
      <w:r>
        <w:fldChar w:fldCharType="begin"/>
      </w:r>
      <w:r>
        <w:instrText xml:space="preserve"> HYPERLINK \l "_Toc15396606" </w:instrText>
      </w:r>
      <w:r>
        <w:fldChar w:fldCharType="separate"/>
      </w:r>
      <w:r>
        <w:rPr>
          <w:rStyle w:val="16"/>
          <w:rFonts w:hint="eastAsia" w:ascii="仿宋" w:hAnsi="仿宋" w:eastAsia="仿宋" w:cs="仿宋"/>
          <w:sz w:val="28"/>
          <w:szCs w:val="28"/>
        </w:rPr>
        <w:t>四、财政拨款收入支出决算总体情况说明</w:t>
      </w:r>
      <w:r>
        <w:rPr>
          <w:rFonts w:ascii="仿宋" w:hAnsi="仿宋" w:eastAsia="仿宋"/>
          <w:sz w:val="28"/>
          <w:szCs w:val="28"/>
        </w:rPr>
        <w:tab/>
      </w:r>
      <w:r>
        <w:rPr>
          <w:rFonts w:ascii="仿宋" w:hAnsi="仿宋" w:eastAsia="仿宋" w:cs="仿宋"/>
          <w:sz w:val="28"/>
          <w:szCs w:val="28"/>
        </w:rPr>
        <w:t>1</w:t>
      </w:r>
      <w:r>
        <w:rPr>
          <w:rFonts w:ascii="仿宋" w:hAnsi="仿宋" w:eastAsia="仿宋" w:cs="仿宋"/>
          <w:sz w:val="28"/>
          <w:szCs w:val="28"/>
        </w:rPr>
        <w:fldChar w:fldCharType="end"/>
      </w:r>
      <w:r>
        <w:rPr>
          <w:rFonts w:ascii="仿宋" w:hAnsi="仿宋" w:eastAsia="仿宋" w:cs="仿宋"/>
          <w:sz w:val="28"/>
          <w:szCs w:val="28"/>
        </w:rPr>
        <w:t>0</w:t>
      </w:r>
    </w:p>
    <w:p>
      <w:pPr>
        <w:pStyle w:val="11"/>
        <w:rPr>
          <w:rFonts w:ascii="仿宋" w:hAnsi="仿宋" w:eastAsia="仿宋" w:cs="仿宋"/>
          <w:sz w:val="28"/>
          <w:szCs w:val="28"/>
        </w:rPr>
      </w:pPr>
      <w:r>
        <w:fldChar w:fldCharType="begin"/>
      </w:r>
      <w:r>
        <w:instrText xml:space="preserve"> HYPERLINK \l "_Toc15396607" </w:instrText>
      </w:r>
      <w:r>
        <w:fldChar w:fldCharType="separate"/>
      </w:r>
      <w:r>
        <w:rPr>
          <w:rStyle w:val="16"/>
          <w:rFonts w:hint="eastAsia" w:ascii="仿宋" w:hAnsi="仿宋" w:eastAsia="仿宋" w:cs="仿宋"/>
          <w:sz w:val="28"/>
          <w:szCs w:val="28"/>
        </w:rPr>
        <w:t>五、一般公共预算财政拨款支出决算情况说明</w:t>
      </w:r>
      <w:r>
        <w:rPr>
          <w:rFonts w:ascii="仿宋" w:hAnsi="仿宋" w:eastAsia="仿宋"/>
          <w:sz w:val="28"/>
          <w:szCs w:val="28"/>
        </w:rPr>
        <w:tab/>
      </w:r>
      <w:r>
        <w:rPr>
          <w:rFonts w:ascii="仿宋" w:hAnsi="仿宋" w:eastAsia="仿宋" w:cs="仿宋"/>
          <w:sz w:val="28"/>
          <w:szCs w:val="28"/>
        </w:rPr>
        <w:t>1</w:t>
      </w:r>
      <w:r>
        <w:rPr>
          <w:rFonts w:ascii="仿宋" w:hAnsi="仿宋" w:eastAsia="仿宋" w:cs="仿宋"/>
          <w:sz w:val="28"/>
          <w:szCs w:val="28"/>
        </w:rPr>
        <w:fldChar w:fldCharType="end"/>
      </w:r>
      <w:r>
        <w:rPr>
          <w:rFonts w:ascii="仿宋" w:hAnsi="仿宋" w:eastAsia="仿宋" w:cs="仿宋"/>
          <w:sz w:val="28"/>
          <w:szCs w:val="28"/>
        </w:rPr>
        <w:t>1</w:t>
      </w:r>
    </w:p>
    <w:p>
      <w:pPr>
        <w:pStyle w:val="11"/>
        <w:rPr>
          <w:rFonts w:ascii="仿宋" w:hAnsi="仿宋" w:eastAsia="仿宋" w:cs="仿宋"/>
          <w:sz w:val="28"/>
          <w:szCs w:val="28"/>
        </w:rPr>
      </w:pPr>
      <w:r>
        <w:fldChar w:fldCharType="begin"/>
      </w:r>
      <w:r>
        <w:instrText xml:space="preserve"> HYPERLINK \l "_Toc15396608" </w:instrText>
      </w:r>
      <w:r>
        <w:fldChar w:fldCharType="separate"/>
      </w:r>
      <w:r>
        <w:rPr>
          <w:rStyle w:val="16"/>
          <w:rFonts w:hint="eastAsia" w:ascii="仿宋" w:hAnsi="仿宋" w:eastAsia="仿宋" w:cs="仿宋"/>
          <w:sz w:val="28"/>
          <w:szCs w:val="28"/>
        </w:rPr>
        <w:t>六、一般公共预算财政拨款基本支出决算情况说明</w:t>
      </w:r>
      <w:r>
        <w:rPr>
          <w:rFonts w:ascii="仿宋" w:hAnsi="仿宋" w:eastAsia="仿宋"/>
          <w:sz w:val="28"/>
          <w:szCs w:val="28"/>
        </w:rPr>
        <w:tab/>
      </w:r>
      <w:r>
        <w:rPr>
          <w:rFonts w:ascii="仿宋" w:hAnsi="仿宋" w:eastAsia="仿宋" w:cs="仿宋"/>
          <w:sz w:val="28"/>
          <w:szCs w:val="28"/>
        </w:rPr>
        <w:t>1</w:t>
      </w:r>
      <w:r>
        <w:rPr>
          <w:rFonts w:ascii="仿宋" w:hAnsi="仿宋" w:eastAsia="仿宋" w:cs="仿宋"/>
          <w:sz w:val="28"/>
          <w:szCs w:val="28"/>
        </w:rPr>
        <w:fldChar w:fldCharType="end"/>
      </w:r>
      <w:r>
        <w:rPr>
          <w:rFonts w:ascii="仿宋" w:hAnsi="仿宋" w:eastAsia="仿宋" w:cs="仿宋"/>
          <w:sz w:val="28"/>
          <w:szCs w:val="28"/>
        </w:rPr>
        <w:t>5</w:t>
      </w:r>
    </w:p>
    <w:p>
      <w:pPr>
        <w:pStyle w:val="11"/>
        <w:rPr>
          <w:rFonts w:ascii="仿宋" w:hAnsi="仿宋" w:eastAsia="仿宋" w:cs="仿宋"/>
          <w:sz w:val="28"/>
          <w:szCs w:val="28"/>
        </w:rPr>
      </w:pPr>
      <w:r>
        <w:fldChar w:fldCharType="begin"/>
      </w:r>
      <w:r>
        <w:instrText xml:space="preserve"> HYPERLINK \l "_Toc15396609" </w:instrText>
      </w:r>
      <w:r>
        <w:fldChar w:fldCharType="separate"/>
      </w:r>
      <w:r>
        <w:rPr>
          <w:rStyle w:val="16"/>
          <w:rFonts w:hint="eastAsia" w:ascii="仿宋" w:hAnsi="仿宋" w:eastAsia="仿宋" w:cs="仿宋"/>
          <w:sz w:val="28"/>
          <w:szCs w:val="28"/>
        </w:rPr>
        <w:t>七、“三公”经费财政拨款支出决算情况说明</w:t>
      </w:r>
      <w:r>
        <w:rPr>
          <w:rFonts w:ascii="仿宋" w:hAnsi="仿宋" w:eastAsia="仿宋"/>
          <w:sz w:val="28"/>
          <w:szCs w:val="28"/>
        </w:rPr>
        <w:tab/>
      </w:r>
      <w:r>
        <w:rPr>
          <w:rFonts w:ascii="仿宋" w:hAnsi="仿宋" w:eastAsia="仿宋" w:cs="仿宋"/>
          <w:sz w:val="28"/>
          <w:szCs w:val="28"/>
        </w:rPr>
        <w:t>1</w:t>
      </w:r>
      <w:r>
        <w:rPr>
          <w:rFonts w:ascii="仿宋" w:hAnsi="仿宋" w:eastAsia="仿宋" w:cs="仿宋"/>
          <w:sz w:val="28"/>
          <w:szCs w:val="28"/>
        </w:rPr>
        <w:fldChar w:fldCharType="end"/>
      </w:r>
      <w:r>
        <w:rPr>
          <w:rFonts w:ascii="仿宋" w:hAnsi="仿宋" w:eastAsia="仿宋" w:cs="仿宋"/>
          <w:sz w:val="28"/>
          <w:szCs w:val="28"/>
        </w:rPr>
        <w:t>6</w:t>
      </w:r>
    </w:p>
    <w:p>
      <w:pPr>
        <w:pStyle w:val="11"/>
        <w:rPr>
          <w:rFonts w:ascii="仿宋" w:hAnsi="仿宋" w:eastAsia="仿宋" w:cs="仿宋"/>
          <w:sz w:val="28"/>
          <w:szCs w:val="28"/>
        </w:rPr>
      </w:pPr>
      <w:r>
        <w:fldChar w:fldCharType="begin"/>
      </w:r>
      <w:r>
        <w:instrText xml:space="preserve"> HYPERLINK \l "_Toc15396610" </w:instrText>
      </w:r>
      <w:r>
        <w:fldChar w:fldCharType="separate"/>
      </w:r>
      <w:r>
        <w:rPr>
          <w:rStyle w:val="16"/>
          <w:rFonts w:hint="eastAsia" w:ascii="仿宋" w:hAnsi="仿宋" w:eastAsia="仿宋" w:cs="仿宋"/>
          <w:sz w:val="28"/>
          <w:szCs w:val="28"/>
        </w:rPr>
        <w:t>八、政府性基金预算支出决算情况说明</w:t>
      </w:r>
      <w:r>
        <w:rPr>
          <w:rFonts w:ascii="仿宋" w:hAnsi="仿宋" w:eastAsia="仿宋"/>
          <w:sz w:val="28"/>
          <w:szCs w:val="28"/>
        </w:rPr>
        <w:tab/>
      </w:r>
      <w:r>
        <w:rPr>
          <w:rFonts w:ascii="仿宋" w:hAnsi="仿宋" w:eastAsia="仿宋" w:cs="仿宋"/>
          <w:sz w:val="28"/>
          <w:szCs w:val="28"/>
        </w:rPr>
        <w:t>1</w:t>
      </w:r>
      <w:r>
        <w:rPr>
          <w:rFonts w:ascii="仿宋" w:hAnsi="仿宋" w:eastAsia="仿宋" w:cs="仿宋"/>
          <w:sz w:val="28"/>
          <w:szCs w:val="28"/>
        </w:rPr>
        <w:fldChar w:fldCharType="end"/>
      </w:r>
      <w:r>
        <w:rPr>
          <w:rFonts w:ascii="仿宋" w:hAnsi="仿宋" w:eastAsia="仿宋" w:cs="仿宋"/>
          <w:sz w:val="28"/>
          <w:szCs w:val="28"/>
        </w:rPr>
        <w:t>8</w:t>
      </w:r>
    </w:p>
    <w:p>
      <w:pPr>
        <w:pStyle w:val="11"/>
        <w:rPr>
          <w:rFonts w:ascii="仿宋" w:hAnsi="仿宋" w:eastAsia="仿宋" w:cs="仿宋"/>
          <w:sz w:val="28"/>
          <w:szCs w:val="28"/>
        </w:rPr>
      </w:pPr>
      <w:r>
        <w:fldChar w:fldCharType="begin"/>
      </w:r>
      <w:r>
        <w:instrText xml:space="preserve"> HYPERLINK \l "_Toc15396611" </w:instrText>
      </w:r>
      <w:r>
        <w:fldChar w:fldCharType="separate"/>
      </w:r>
      <w:r>
        <w:rPr>
          <w:rStyle w:val="16"/>
          <w:rFonts w:hint="eastAsia" w:ascii="仿宋" w:hAnsi="仿宋" w:eastAsia="仿宋" w:cs="仿宋"/>
          <w:sz w:val="28"/>
          <w:szCs w:val="28"/>
        </w:rPr>
        <w:t>九、国有资本经营预算支出决算情况说明</w:t>
      </w:r>
      <w:r>
        <w:rPr>
          <w:rFonts w:ascii="仿宋" w:hAnsi="仿宋" w:eastAsia="仿宋"/>
          <w:sz w:val="28"/>
          <w:szCs w:val="28"/>
        </w:rPr>
        <w:tab/>
      </w:r>
      <w:r>
        <w:rPr>
          <w:rFonts w:ascii="仿宋" w:hAnsi="仿宋" w:eastAsia="仿宋" w:cs="仿宋"/>
          <w:sz w:val="28"/>
          <w:szCs w:val="28"/>
        </w:rPr>
        <w:t>1</w:t>
      </w:r>
      <w:r>
        <w:rPr>
          <w:rFonts w:ascii="仿宋" w:hAnsi="仿宋" w:eastAsia="仿宋" w:cs="仿宋"/>
          <w:sz w:val="28"/>
          <w:szCs w:val="28"/>
        </w:rPr>
        <w:fldChar w:fldCharType="end"/>
      </w:r>
      <w:r>
        <w:rPr>
          <w:rFonts w:ascii="仿宋" w:hAnsi="仿宋" w:eastAsia="仿宋" w:cs="仿宋"/>
          <w:sz w:val="28"/>
          <w:szCs w:val="28"/>
        </w:rPr>
        <w:t>8</w:t>
      </w:r>
    </w:p>
    <w:p>
      <w:pPr>
        <w:pStyle w:val="11"/>
        <w:rPr>
          <w:rFonts w:ascii="仿宋" w:hAnsi="仿宋" w:eastAsia="仿宋" w:cs="仿宋"/>
          <w:sz w:val="28"/>
          <w:szCs w:val="28"/>
        </w:rPr>
      </w:pPr>
      <w:r>
        <w:fldChar w:fldCharType="begin"/>
      </w:r>
      <w:r>
        <w:instrText xml:space="preserve"> HYPERLINK \l "_Toc15396611" </w:instrText>
      </w:r>
      <w:r>
        <w:fldChar w:fldCharType="separate"/>
      </w:r>
      <w:r>
        <w:rPr>
          <w:rFonts w:hint="eastAsia" w:ascii="仿宋" w:hAnsi="仿宋" w:eastAsia="仿宋" w:cs="仿宋"/>
          <w:sz w:val="28"/>
          <w:szCs w:val="28"/>
        </w:rPr>
        <w:t>十</w:t>
      </w:r>
      <w:r>
        <w:rPr>
          <w:rStyle w:val="16"/>
          <w:rFonts w:hint="eastAsia" w:ascii="仿宋" w:hAnsi="仿宋" w:eastAsia="仿宋" w:cs="仿宋"/>
          <w:sz w:val="28"/>
          <w:szCs w:val="28"/>
        </w:rPr>
        <w:t>、预算绩效情况说明</w:t>
      </w:r>
      <w:r>
        <w:rPr>
          <w:rFonts w:ascii="仿宋" w:hAnsi="仿宋" w:eastAsia="仿宋"/>
          <w:sz w:val="28"/>
          <w:szCs w:val="28"/>
        </w:rPr>
        <w:tab/>
      </w:r>
      <w:r>
        <w:rPr>
          <w:rFonts w:ascii="仿宋" w:hAnsi="仿宋" w:eastAsia="仿宋" w:cs="仿宋"/>
          <w:sz w:val="28"/>
          <w:szCs w:val="28"/>
        </w:rPr>
        <w:t>1</w:t>
      </w:r>
      <w:r>
        <w:rPr>
          <w:rFonts w:ascii="仿宋" w:hAnsi="仿宋" w:eastAsia="仿宋" w:cs="仿宋"/>
          <w:sz w:val="28"/>
          <w:szCs w:val="28"/>
        </w:rPr>
        <w:fldChar w:fldCharType="end"/>
      </w:r>
      <w:r>
        <w:rPr>
          <w:rFonts w:ascii="仿宋" w:hAnsi="仿宋" w:eastAsia="仿宋" w:cs="仿宋"/>
          <w:sz w:val="28"/>
          <w:szCs w:val="28"/>
        </w:rPr>
        <w:t>8</w:t>
      </w:r>
    </w:p>
    <w:p>
      <w:pPr>
        <w:pStyle w:val="11"/>
        <w:rPr>
          <w:rFonts w:ascii="仿宋" w:hAnsi="仿宋" w:eastAsia="仿宋" w:cs="仿宋"/>
          <w:sz w:val="28"/>
          <w:szCs w:val="28"/>
        </w:rPr>
      </w:pPr>
      <w:r>
        <w:fldChar w:fldCharType="begin"/>
      </w:r>
      <w:r>
        <w:instrText xml:space="preserve"> HYPERLINK \l "_Toc15396612" </w:instrText>
      </w:r>
      <w:r>
        <w:fldChar w:fldCharType="separate"/>
      </w:r>
      <w:r>
        <w:rPr>
          <w:rStyle w:val="16"/>
          <w:rFonts w:hint="eastAsia" w:ascii="仿宋" w:hAnsi="仿宋" w:eastAsia="仿宋" w:cs="仿宋"/>
          <w:sz w:val="28"/>
          <w:szCs w:val="28"/>
        </w:rPr>
        <w:t>十一、其他重要事项的情况说明</w:t>
      </w:r>
      <w:r>
        <w:rPr>
          <w:rFonts w:ascii="仿宋" w:hAnsi="仿宋" w:eastAsia="仿宋"/>
          <w:sz w:val="28"/>
          <w:szCs w:val="28"/>
        </w:rPr>
        <w:tab/>
      </w:r>
      <w:r>
        <w:rPr>
          <w:rFonts w:ascii="仿宋" w:hAnsi="仿宋" w:eastAsia="仿宋" w:cs="仿宋"/>
          <w:sz w:val="28"/>
          <w:szCs w:val="28"/>
        </w:rPr>
        <w:t>2</w:t>
      </w:r>
      <w:r>
        <w:rPr>
          <w:rFonts w:ascii="仿宋" w:hAnsi="仿宋" w:eastAsia="仿宋" w:cs="仿宋"/>
          <w:sz w:val="28"/>
          <w:szCs w:val="28"/>
        </w:rPr>
        <w:fldChar w:fldCharType="end"/>
      </w:r>
      <w:r>
        <w:rPr>
          <w:rFonts w:ascii="仿宋" w:hAnsi="仿宋" w:eastAsia="仿宋" w:cs="仿宋"/>
          <w:sz w:val="28"/>
          <w:szCs w:val="28"/>
        </w:rPr>
        <w:t>5</w:t>
      </w:r>
    </w:p>
    <w:p>
      <w:pPr>
        <w:pStyle w:val="10"/>
      </w:pPr>
      <w:r>
        <w:fldChar w:fldCharType="begin"/>
      </w:r>
      <w:r>
        <w:instrText xml:space="preserve"> HYPERLINK \l "_Toc15396613" </w:instrText>
      </w:r>
      <w:r>
        <w:fldChar w:fldCharType="separate"/>
      </w:r>
      <w:r>
        <w:rPr>
          <w:rStyle w:val="16"/>
          <w:rFonts w:hint="eastAsia" w:cs="仿宋"/>
          <w:kern w:val="44"/>
        </w:rPr>
        <w:t>第三部分</w:t>
      </w:r>
      <w:r>
        <w:rPr>
          <w:rStyle w:val="16"/>
          <w:rFonts w:cs="仿宋"/>
          <w:kern w:val="44"/>
        </w:rPr>
        <w:t xml:space="preserve"> </w:t>
      </w:r>
      <w:r>
        <w:rPr>
          <w:rStyle w:val="16"/>
          <w:rFonts w:hint="eastAsia" w:cs="仿宋"/>
        </w:rPr>
        <w:t>名</w:t>
      </w:r>
      <w:r>
        <w:rPr>
          <w:rStyle w:val="16"/>
          <w:rFonts w:hint="eastAsia" w:cs="仿宋"/>
          <w:kern w:val="44"/>
        </w:rPr>
        <w:t>词解释</w:t>
      </w:r>
      <w:r>
        <w:rPr>
          <w:rFonts w:cs="Times New Roman"/>
        </w:rPr>
        <w:tab/>
      </w:r>
      <w:r>
        <w:t>2</w:t>
      </w:r>
      <w:r>
        <w:fldChar w:fldCharType="end"/>
      </w:r>
      <w:r>
        <w:t>7</w:t>
      </w:r>
    </w:p>
    <w:p>
      <w:pPr>
        <w:pStyle w:val="10"/>
      </w:pPr>
      <w:r>
        <w:fldChar w:fldCharType="begin"/>
      </w:r>
      <w:r>
        <w:instrText xml:space="preserve"> HYPERLINK \l "_Toc15396614" </w:instrText>
      </w:r>
      <w:r>
        <w:fldChar w:fldCharType="separate"/>
      </w:r>
      <w:r>
        <w:rPr>
          <w:rStyle w:val="16"/>
          <w:rFonts w:hint="eastAsia" w:cs="仿宋"/>
        </w:rPr>
        <w:t>第</w:t>
      </w:r>
      <w:r>
        <w:rPr>
          <w:rStyle w:val="16"/>
          <w:rFonts w:hint="eastAsia" w:cs="仿宋"/>
          <w:kern w:val="44"/>
        </w:rPr>
        <w:t>四部分</w:t>
      </w:r>
      <w:r>
        <w:rPr>
          <w:rStyle w:val="16"/>
          <w:rFonts w:cs="仿宋"/>
          <w:kern w:val="44"/>
        </w:rPr>
        <w:t xml:space="preserve"> </w:t>
      </w:r>
      <w:r>
        <w:rPr>
          <w:rStyle w:val="16"/>
          <w:rFonts w:hint="eastAsia" w:cs="仿宋"/>
          <w:kern w:val="44"/>
        </w:rPr>
        <w:t>附件</w:t>
      </w:r>
      <w:r>
        <w:rPr>
          <w:rFonts w:cs="Times New Roman"/>
        </w:rPr>
        <w:tab/>
      </w:r>
      <w:r>
        <w:t>3</w:t>
      </w:r>
      <w:r>
        <w:fldChar w:fldCharType="end"/>
      </w:r>
      <w:r>
        <w:t>3</w:t>
      </w:r>
    </w:p>
    <w:p>
      <w:pPr>
        <w:pStyle w:val="11"/>
        <w:rPr>
          <w:rFonts w:ascii="仿宋" w:hAnsi="仿宋" w:eastAsia="仿宋" w:cs="仿宋"/>
          <w:sz w:val="28"/>
          <w:szCs w:val="28"/>
        </w:rPr>
      </w:pPr>
      <w:r>
        <w:fldChar w:fldCharType="begin"/>
      </w:r>
      <w:r>
        <w:instrText xml:space="preserve"> HYPERLINK \l "_Toc15396615" </w:instrText>
      </w:r>
      <w:r>
        <w:fldChar w:fldCharType="separate"/>
      </w:r>
      <w:r>
        <w:rPr>
          <w:rStyle w:val="16"/>
          <w:rFonts w:hint="eastAsia" w:ascii="仿宋" w:hAnsi="仿宋" w:eastAsia="仿宋" w:cs="仿宋"/>
          <w:kern w:val="44"/>
          <w:sz w:val="28"/>
          <w:szCs w:val="28"/>
        </w:rPr>
        <w:t>附件</w:t>
      </w:r>
      <w:r>
        <w:rPr>
          <w:rStyle w:val="16"/>
          <w:rFonts w:ascii="仿宋" w:hAnsi="仿宋" w:eastAsia="仿宋" w:cs="仿宋"/>
          <w:kern w:val="44"/>
          <w:sz w:val="28"/>
          <w:szCs w:val="28"/>
        </w:rPr>
        <w:t>1</w:t>
      </w:r>
      <w:r>
        <w:rPr>
          <w:rFonts w:ascii="仿宋" w:hAnsi="仿宋" w:eastAsia="仿宋"/>
          <w:sz w:val="28"/>
          <w:szCs w:val="28"/>
        </w:rPr>
        <w:tab/>
      </w:r>
      <w:r>
        <w:rPr>
          <w:rFonts w:ascii="仿宋" w:hAnsi="仿宋" w:eastAsia="仿宋" w:cs="仿宋"/>
          <w:sz w:val="28"/>
          <w:szCs w:val="28"/>
        </w:rPr>
        <w:t>3</w:t>
      </w:r>
      <w:r>
        <w:rPr>
          <w:rFonts w:ascii="仿宋" w:hAnsi="仿宋" w:eastAsia="仿宋" w:cs="仿宋"/>
          <w:sz w:val="28"/>
          <w:szCs w:val="28"/>
        </w:rPr>
        <w:fldChar w:fldCharType="end"/>
      </w:r>
      <w:r>
        <w:rPr>
          <w:rFonts w:ascii="仿宋" w:hAnsi="仿宋" w:eastAsia="仿宋" w:cs="仿宋"/>
          <w:sz w:val="28"/>
          <w:szCs w:val="28"/>
        </w:rPr>
        <w:t>3</w:t>
      </w:r>
    </w:p>
    <w:p>
      <w:pPr>
        <w:pStyle w:val="10"/>
      </w:pPr>
      <w:r>
        <w:fldChar w:fldCharType="begin"/>
      </w:r>
      <w:r>
        <w:instrText xml:space="preserve"> HYPERLINK \l "_Toc15396618" </w:instrText>
      </w:r>
      <w:r>
        <w:fldChar w:fldCharType="separate"/>
      </w:r>
      <w:r>
        <w:rPr>
          <w:rStyle w:val="16"/>
          <w:rFonts w:hint="eastAsia" w:cs="仿宋"/>
        </w:rPr>
        <w:t>第</w:t>
      </w:r>
      <w:r>
        <w:rPr>
          <w:rStyle w:val="16"/>
          <w:rFonts w:hint="eastAsia" w:cs="仿宋"/>
          <w:kern w:val="44"/>
        </w:rPr>
        <w:t>五部分</w:t>
      </w:r>
      <w:r>
        <w:rPr>
          <w:rStyle w:val="16"/>
          <w:rFonts w:cs="仿宋"/>
          <w:kern w:val="44"/>
        </w:rPr>
        <w:t xml:space="preserve"> </w:t>
      </w:r>
      <w:r>
        <w:rPr>
          <w:rStyle w:val="16"/>
          <w:rFonts w:hint="eastAsia" w:cs="仿宋"/>
          <w:kern w:val="44"/>
        </w:rPr>
        <w:t>附表</w:t>
      </w:r>
      <w:r>
        <w:rPr>
          <w:rFonts w:cs="Times New Roman"/>
        </w:rPr>
        <w:tab/>
      </w:r>
      <w:r>
        <w:t>3</w:t>
      </w:r>
      <w:r>
        <w:fldChar w:fldCharType="end"/>
      </w:r>
      <w:r>
        <w:t>8</w:t>
      </w:r>
    </w:p>
    <w:p>
      <w:pPr>
        <w:pStyle w:val="11"/>
        <w:rPr>
          <w:rFonts w:ascii="仿宋" w:hAnsi="仿宋" w:eastAsia="仿宋" w:cs="仿宋"/>
          <w:sz w:val="28"/>
          <w:szCs w:val="28"/>
        </w:rPr>
      </w:pPr>
      <w:r>
        <w:rPr>
          <w:rFonts w:hint="eastAsia" w:ascii="仿宋" w:hAnsi="仿宋" w:eastAsia="仿宋" w:cs="仿宋"/>
          <w:sz w:val="28"/>
          <w:szCs w:val="28"/>
        </w:rPr>
        <w:t>一、</w:t>
      </w:r>
      <w:r>
        <w:fldChar w:fldCharType="begin"/>
      </w:r>
      <w:r>
        <w:instrText xml:space="preserve"> HYPERLINK \l "_Toc15396619" </w:instrText>
      </w:r>
      <w:r>
        <w:fldChar w:fldCharType="separate"/>
      </w:r>
      <w:r>
        <w:rPr>
          <w:rStyle w:val="16"/>
          <w:rFonts w:hint="eastAsia" w:ascii="仿宋" w:hAnsi="仿宋" w:eastAsia="仿宋" w:cs="仿宋"/>
          <w:sz w:val="28"/>
          <w:szCs w:val="28"/>
        </w:rPr>
        <w:t>收入支出决算总表</w:t>
      </w:r>
      <w:r>
        <w:rPr>
          <w:rFonts w:ascii="仿宋" w:hAnsi="仿宋" w:eastAsia="仿宋"/>
          <w:sz w:val="28"/>
          <w:szCs w:val="28"/>
        </w:rPr>
        <w:tab/>
      </w:r>
      <w:r>
        <w:rPr>
          <w:rFonts w:ascii="仿宋" w:hAnsi="仿宋" w:eastAsia="仿宋" w:cs="仿宋"/>
          <w:sz w:val="28"/>
          <w:szCs w:val="28"/>
        </w:rPr>
        <w:t>3</w:t>
      </w:r>
      <w:r>
        <w:rPr>
          <w:rFonts w:ascii="仿宋" w:hAnsi="仿宋" w:eastAsia="仿宋" w:cs="仿宋"/>
          <w:sz w:val="28"/>
          <w:szCs w:val="28"/>
        </w:rPr>
        <w:fldChar w:fldCharType="end"/>
      </w:r>
      <w:r>
        <w:rPr>
          <w:rFonts w:ascii="仿宋" w:hAnsi="仿宋" w:eastAsia="仿宋" w:cs="仿宋"/>
          <w:sz w:val="28"/>
          <w:szCs w:val="28"/>
        </w:rPr>
        <w:t>9</w:t>
      </w:r>
    </w:p>
    <w:p>
      <w:pPr>
        <w:pStyle w:val="11"/>
        <w:rPr>
          <w:rFonts w:ascii="仿宋" w:hAnsi="仿宋" w:eastAsia="仿宋" w:cs="仿宋"/>
          <w:sz w:val="28"/>
          <w:szCs w:val="28"/>
        </w:rPr>
      </w:pPr>
      <w:r>
        <w:rPr>
          <w:rFonts w:hint="eastAsia" w:ascii="仿宋" w:hAnsi="仿宋" w:eastAsia="仿宋" w:cs="仿宋"/>
          <w:sz w:val="28"/>
          <w:szCs w:val="28"/>
        </w:rPr>
        <w:t>二、</w:t>
      </w:r>
      <w:r>
        <w:fldChar w:fldCharType="begin"/>
      </w:r>
      <w:r>
        <w:instrText xml:space="preserve"> HYPERLINK \l "_Toc15396620" </w:instrText>
      </w:r>
      <w:r>
        <w:fldChar w:fldCharType="separate"/>
      </w:r>
      <w:r>
        <w:rPr>
          <w:rStyle w:val="16"/>
          <w:rFonts w:hint="eastAsia" w:ascii="仿宋" w:hAnsi="仿宋" w:eastAsia="仿宋" w:cs="仿宋"/>
          <w:sz w:val="28"/>
          <w:szCs w:val="28"/>
        </w:rPr>
        <w:t>收入总表</w:t>
      </w:r>
      <w:r>
        <w:rPr>
          <w:rFonts w:ascii="仿宋" w:hAnsi="仿宋" w:eastAsia="仿宋"/>
          <w:sz w:val="28"/>
          <w:szCs w:val="28"/>
        </w:rPr>
        <w:tab/>
      </w:r>
      <w:r>
        <w:rPr>
          <w:rFonts w:ascii="仿宋" w:hAnsi="仿宋" w:eastAsia="仿宋" w:cs="仿宋"/>
          <w:sz w:val="28"/>
          <w:szCs w:val="28"/>
        </w:rPr>
        <w:t>4</w:t>
      </w:r>
      <w:r>
        <w:rPr>
          <w:rFonts w:ascii="仿宋" w:hAnsi="仿宋" w:eastAsia="仿宋" w:cs="仿宋"/>
          <w:sz w:val="28"/>
          <w:szCs w:val="28"/>
        </w:rPr>
        <w:fldChar w:fldCharType="end"/>
      </w:r>
      <w:r>
        <w:rPr>
          <w:rFonts w:ascii="仿宋" w:hAnsi="仿宋" w:eastAsia="仿宋" w:cs="仿宋"/>
          <w:sz w:val="28"/>
          <w:szCs w:val="28"/>
        </w:rPr>
        <w:t>0</w:t>
      </w:r>
    </w:p>
    <w:p>
      <w:pPr>
        <w:pStyle w:val="11"/>
        <w:rPr>
          <w:rFonts w:ascii="仿宋" w:hAnsi="仿宋" w:eastAsia="仿宋" w:cs="仿宋"/>
          <w:sz w:val="28"/>
          <w:szCs w:val="28"/>
        </w:rPr>
      </w:pPr>
      <w:r>
        <w:rPr>
          <w:rFonts w:hint="eastAsia" w:ascii="仿宋" w:hAnsi="仿宋" w:eastAsia="仿宋" w:cs="仿宋"/>
          <w:sz w:val="28"/>
          <w:szCs w:val="28"/>
        </w:rPr>
        <w:t>三、</w:t>
      </w:r>
      <w:r>
        <w:fldChar w:fldCharType="begin"/>
      </w:r>
      <w:r>
        <w:instrText xml:space="preserve"> HYPERLINK \l "_Toc15396621" </w:instrText>
      </w:r>
      <w:r>
        <w:fldChar w:fldCharType="separate"/>
      </w:r>
      <w:r>
        <w:rPr>
          <w:rStyle w:val="16"/>
          <w:rFonts w:hint="eastAsia" w:ascii="仿宋" w:hAnsi="仿宋" w:eastAsia="仿宋" w:cs="仿宋"/>
          <w:sz w:val="28"/>
          <w:szCs w:val="28"/>
        </w:rPr>
        <w:t>支出总表</w:t>
      </w:r>
      <w:r>
        <w:rPr>
          <w:rFonts w:ascii="仿宋" w:hAnsi="仿宋" w:eastAsia="仿宋"/>
          <w:sz w:val="28"/>
          <w:szCs w:val="28"/>
        </w:rPr>
        <w:tab/>
      </w:r>
      <w:r>
        <w:rPr>
          <w:rFonts w:ascii="仿宋" w:hAnsi="仿宋" w:eastAsia="仿宋" w:cs="仿宋"/>
          <w:sz w:val="28"/>
          <w:szCs w:val="28"/>
        </w:rPr>
        <w:t>4</w:t>
      </w:r>
      <w:r>
        <w:rPr>
          <w:rFonts w:ascii="仿宋" w:hAnsi="仿宋" w:eastAsia="仿宋" w:cs="仿宋"/>
          <w:sz w:val="28"/>
          <w:szCs w:val="28"/>
        </w:rPr>
        <w:fldChar w:fldCharType="end"/>
      </w:r>
      <w:r>
        <w:rPr>
          <w:rFonts w:ascii="仿宋" w:hAnsi="仿宋" w:eastAsia="仿宋" w:cs="仿宋"/>
          <w:sz w:val="28"/>
          <w:szCs w:val="28"/>
        </w:rPr>
        <w:t>1</w:t>
      </w:r>
    </w:p>
    <w:p>
      <w:pPr>
        <w:pStyle w:val="11"/>
        <w:rPr>
          <w:rFonts w:ascii="仿宋" w:hAnsi="仿宋" w:eastAsia="仿宋" w:cs="仿宋"/>
          <w:sz w:val="28"/>
          <w:szCs w:val="28"/>
        </w:rPr>
      </w:pPr>
      <w:r>
        <w:rPr>
          <w:rFonts w:hint="eastAsia" w:ascii="仿宋" w:hAnsi="仿宋" w:eastAsia="仿宋" w:cs="仿宋"/>
          <w:sz w:val="28"/>
          <w:szCs w:val="28"/>
        </w:rPr>
        <w:t>四、</w:t>
      </w:r>
      <w:r>
        <w:fldChar w:fldCharType="begin"/>
      </w:r>
      <w:r>
        <w:instrText xml:space="preserve"> HYPERLINK \l "_Toc15396622" </w:instrText>
      </w:r>
      <w:r>
        <w:fldChar w:fldCharType="separate"/>
      </w:r>
      <w:r>
        <w:rPr>
          <w:rStyle w:val="16"/>
          <w:rFonts w:hint="eastAsia" w:ascii="仿宋" w:hAnsi="仿宋" w:eastAsia="仿宋" w:cs="仿宋"/>
          <w:sz w:val="28"/>
          <w:szCs w:val="28"/>
        </w:rPr>
        <w:t>财政拨款收入支出决算总表</w:t>
      </w:r>
      <w:r>
        <w:rPr>
          <w:rFonts w:ascii="仿宋" w:hAnsi="仿宋" w:eastAsia="仿宋"/>
          <w:sz w:val="28"/>
          <w:szCs w:val="28"/>
        </w:rPr>
        <w:tab/>
      </w:r>
      <w:r>
        <w:rPr>
          <w:rFonts w:ascii="仿宋" w:hAnsi="仿宋" w:eastAsia="仿宋" w:cs="仿宋"/>
          <w:sz w:val="28"/>
          <w:szCs w:val="28"/>
        </w:rPr>
        <w:t>4</w:t>
      </w:r>
      <w:r>
        <w:rPr>
          <w:rFonts w:ascii="仿宋" w:hAnsi="仿宋" w:eastAsia="仿宋" w:cs="仿宋"/>
          <w:sz w:val="28"/>
          <w:szCs w:val="28"/>
        </w:rPr>
        <w:fldChar w:fldCharType="end"/>
      </w:r>
      <w:r>
        <w:rPr>
          <w:rFonts w:ascii="仿宋" w:hAnsi="仿宋" w:eastAsia="仿宋" w:cs="仿宋"/>
          <w:sz w:val="28"/>
          <w:szCs w:val="28"/>
        </w:rPr>
        <w:t>2</w:t>
      </w:r>
    </w:p>
    <w:p>
      <w:pPr>
        <w:pStyle w:val="11"/>
        <w:rPr>
          <w:rFonts w:ascii="仿宋" w:hAnsi="仿宋" w:eastAsia="仿宋" w:cs="仿宋"/>
          <w:sz w:val="28"/>
          <w:szCs w:val="28"/>
        </w:rPr>
      </w:pPr>
      <w:r>
        <w:rPr>
          <w:rFonts w:hint="eastAsia" w:ascii="仿宋" w:hAnsi="仿宋" w:eastAsia="仿宋" w:cs="仿宋"/>
          <w:sz w:val="28"/>
          <w:szCs w:val="28"/>
        </w:rPr>
        <w:t>五、</w:t>
      </w:r>
      <w:r>
        <w:fldChar w:fldCharType="begin"/>
      </w:r>
      <w:r>
        <w:instrText xml:space="preserve"> HYPERLINK \l "_Toc15396623" </w:instrText>
      </w:r>
      <w:r>
        <w:fldChar w:fldCharType="separate"/>
      </w:r>
      <w:r>
        <w:rPr>
          <w:rFonts w:hint="eastAsia" w:ascii="仿宋" w:hAnsi="仿宋" w:eastAsia="仿宋" w:cs="仿宋"/>
          <w:sz w:val="28"/>
          <w:szCs w:val="28"/>
        </w:rPr>
        <w:t>财政拨款支出决算明细表（政府经济分类科目）</w:t>
      </w:r>
      <w:r>
        <w:rPr>
          <w:rFonts w:ascii="仿宋" w:hAnsi="仿宋" w:eastAsia="仿宋"/>
          <w:sz w:val="28"/>
          <w:szCs w:val="28"/>
        </w:rPr>
        <w:tab/>
      </w:r>
      <w:r>
        <w:rPr>
          <w:rFonts w:ascii="仿宋" w:hAnsi="仿宋" w:eastAsia="仿宋" w:cs="仿宋"/>
          <w:sz w:val="28"/>
          <w:szCs w:val="28"/>
        </w:rPr>
        <w:t>4</w:t>
      </w:r>
      <w:r>
        <w:rPr>
          <w:rFonts w:ascii="仿宋" w:hAnsi="仿宋" w:eastAsia="仿宋" w:cs="仿宋"/>
          <w:sz w:val="28"/>
          <w:szCs w:val="28"/>
        </w:rPr>
        <w:fldChar w:fldCharType="end"/>
      </w:r>
      <w:r>
        <w:rPr>
          <w:rFonts w:ascii="仿宋" w:hAnsi="仿宋" w:eastAsia="仿宋" w:cs="仿宋"/>
          <w:sz w:val="28"/>
          <w:szCs w:val="28"/>
        </w:rPr>
        <w:t>3</w:t>
      </w:r>
    </w:p>
    <w:p>
      <w:pPr>
        <w:pStyle w:val="11"/>
        <w:rPr>
          <w:rFonts w:ascii="仿宋" w:hAnsi="仿宋" w:eastAsia="仿宋" w:cs="仿宋"/>
          <w:sz w:val="28"/>
          <w:szCs w:val="28"/>
        </w:rPr>
      </w:pPr>
      <w:r>
        <w:rPr>
          <w:rFonts w:hint="eastAsia" w:ascii="仿宋" w:hAnsi="仿宋" w:eastAsia="仿宋" w:cs="仿宋"/>
          <w:sz w:val="28"/>
          <w:szCs w:val="28"/>
        </w:rPr>
        <w:t>六、</w:t>
      </w:r>
      <w:r>
        <w:fldChar w:fldCharType="begin"/>
      </w:r>
      <w:r>
        <w:instrText xml:space="preserve"> HYPERLINK \l "_Toc15396624" </w:instrText>
      </w:r>
      <w:r>
        <w:fldChar w:fldCharType="separate"/>
      </w:r>
      <w:r>
        <w:rPr>
          <w:rStyle w:val="16"/>
          <w:rFonts w:hint="eastAsia" w:ascii="仿宋" w:hAnsi="仿宋" w:eastAsia="仿宋" w:cs="仿宋"/>
          <w:sz w:val="28"/>
          <w:szCs w:val="28"/>
        </w:rPr>
        <w:t>一般公共预算财政拨款支出决算表</w:t>
      </w:r>
      <w:r>
        <w:rPr>
          <w:rFonts w:ascii="仿宋" w:hAnsi="仿宋" w:eastAsia="仿宋"/>
          <w:sz w:val="28"/>
          <w:szCs w:val="28"/>
        </w:rPr>
        <w:tab/>
      </w:r>
      <w:r>
        <w:rPr>
          <w:rFonts w:ascii="仿宋" w:hAnsi="仿宋" w:eastAsia="仿宋" w:cs="仿宋"/>
          <w:sz w:val="28"/>
          <w:szCs w:val="28"/>
        </w:rPr>
        <w:t>4</w:t>
      </w:r>
      <w:r>
        <w:rPr>
          <w:rFonts w:ascii="仿宋" w:hAnsi="仿宋" w:eastAsia="仿宋" w:cs="仿宋"/>
          <w:sz w:val="28"/>
          <w:szCs w:val="28"/>
        </w:rPr>
        <w:fldChar w:fldCharType="end"/>
      </w:r>
      <w:r>
        <w:rPr>
          <w:rFonts w:ascii="仿宋" w:hAnsi="仿宋" w:eastAsia="仿宋" w:cs="仿宋"/>
          <w:sz w:val="28"/>
          <w:szCs w:val="28"/>
        </w:rPr>
        <w:t>4</w:t>
      </w:r>
    </w:p>
    <w:p>
      <w:pPr>
        <w:pStyle w:val="11"/>
        <w:rPr>
          <w:rFonts w:ascii="仿宋" w:hAnsi="仿宋" w:eastAsia="仿宋"/>
          <w:sz w:val="28"/>
          <w:szCs w:val="28"/>
        </w:rPr>
      </w:pPr>
      <w:r>
        <w:rPr>
          <w:rFonts w:hint="eastAsia" w:ascii="仿宋" w:hAnsi="仿宋" w:eastAsia="仿宋" w:cs="仿宋"/>
          <w:sz w:val="28"/>
          <w:szCs w:val="28"/>
        </w:rPr>
        <w:t>七、</w:t>
      </w:r>
      <w:r>
        <w:fldChar w:fldCharType="begin"/>
      </w:r>
      <w:r>
        <w:instrText xml:space="preserve"> HYPERLINK \l "_Toc15396625" </w:instrText>
      </w:r>
      <w:r>
        <w:fldChar w:fldCharType="separate"/>
      </w:r>
      <w:r>
        <w:rPr>
          <w:rStyle w:val="16"/>
          <w:rFonts w:hint="eastAsia" w:ascii="仿宋" w:hAnsi="仿宋" w:eastAsia="仿宋" w:cs="仿宋"/>
          <w:sz w:val="28"/>
          <w:szCs w:val="28"/>
        </w:rPr>
        <w:t>一般公共预算财政拨款支出决算明细表</w:t>
      </w:r>
      <w:r>
        <w:rPr>
          <w:rFonts w:ascii="仿宋" w:hAnsi="仿宋" w:eastAsia="仿宋"/>
          <w:sz w:val="28"/>
          <w:szCs w:val="28"/>
        </w:rPr>
        <w:tab/>
      </w:r>
      <w:r>
        <w:rPr>
          <w:rFonts w:ascii="仿宋" w:hAnsi="仿宋" w:eastAsia="仿宋" w:cs="仿宋"/>
          <w:sz w:val="28"/>
          <w:szCs w:val="28"/>
        </w:rPr>
        <w:t>45</w:t>
      </w:r>
      <w:r>
        <w:rPr>
          <w:rFonts w:ascii="仿宋" w:hAnsi="仿宋" w:eastAsia="仿宋" w:cs="仿宋"/>
          <w:sz w:val="28"/>
          <w:szCs w:val="28"/>
        </w:rPr>
        <w:fldChar w:fldCharType="end"/>
      </w:r>
    </w:p>
    <w:p>
      <w:pPr>
        <w:pStyle w:val="11"/>
        <w:rPr>
          <w:rFonts w:ascii="仿宋" w:hAnsi="仿宋" w:eastAsia="仿宋" w:cs="仿宋"/>
          <w:sz w:val="28"/>
          <w:szCs w:val="28"/>
        </w:rPr>
      </w:pPr>
      <w:r>
        <w:rPr>
          <w:rFonts w:hint="eastAsia" w:ascii="仿宋" w:hAnsi="仿宋" w:eastAsia="仿宋" w:cs="仿宋"/>
          <w:sz w:val="28"/>
          <w:szCs w:val="28"/>
        </w:rPr>
        <w:t>八、</w:t>
      </w:r>
      <w:r>
        <w:fldChar w:fldCharType="begin"/>
      </w:r>
      <w:r>
        <w:instrText xml:space="preserve"> HYPERLINK \l "_Toc15396626" </w:instrText>
      </w:r>
      <w:r>
        <w:fldChar w:fldCharType="separate"/>
      </w:r>
      <w:r>
        <w:rPr>
          <w:rStyle w:val="16"/>
          <w:rFonts w:hint="eastAsia" w:ascii="仿宋" w:hAnsi="仿宋" w:eastAsia="仿宋" w:cs="仿宋"/>
          <w:sz w:val="28"/>
          <w:szCs w:val="28"/>
        </w:rPr>
        <w:t>一般公共预算财政拨款基本支出决算表</w:t>
      </w:r>
      <w:r>
        <w:rPr>
          <w:rFonts w:ascii="仿宋" w:hAnsi="仿宋" w:eastAsia="仿宋"/>
          <w:sz w:val="28"/>
          <w:szCs w:val="28"/>
        </w:rPr>
        <w:tab/>
      </w:r>
      <w:r>
        <w:rPr>
          <w:rFonts w:ascii="仿宋" w:hAnsi="仿宋" w:eastAsia="仿宋" w:cs="仿宋"/>
          <w:sz w:val="28"/>
          <w:szCs w:val="28"/>
        </w:rPr>
        <w:t>4</w:t>
      </w:r>
      <w:r>
        <w:rPr>
          <w:rFonts w:ascii="仿宋" w:hAnsi="仿宋" w:eastAsia="仿宋" w:cs="仿宋"/>
          <w:sz w:val="28"/>
          <w:szCs w:val="28"/>
        </w:rPr>
        <w:fldChar w:fldCharType="end"/>
      </w:r>
      <w:r>
        <w:rPr>
          <w:rFonts w:ascii="仿宋" w:hAnsi="仿宋" w:eastAsia="仿宋" w:cs="仿宋"/>
          <w:sz w:val="28"/>
          <w:szCs w:val="28"/>
        </w:rPr>
        <w:t>6</w:t>
      </w:r>
    </w:p>
    <w:p>
      <w:pPr>
        <w:pStyle w:val="11"/>
        <w:rPr>
          <w:rFonts w:ascii="仿宋" w:hAnsi="仿宋" w:eastAsia="仿宋" w:cs="仿宋"/>
          <w:sz w:val="28"/>
          <w:szCs w:val="28"/>
        </w:rPr>
      </w:pPr>
      <w:r>
        <w:rPr>
          <w:rFonts w:hint="eastAsia" w:ascii="仿宋" w:hAnsi="仿宋" w:eastAsia="仿宋" w:cs="仿宋"/>
          <w:sz w:val="28"/>
          <w:szCs w:val="28"/>
        </w:rPr>
        <w:t>九、</w:t>
      </w:r>
      <w:r>
        <w:fldChar w:fldCharType="begin"/>
      </w:r>
      <w:r>
        <w:instrText xml:space="preserve"> HYPERLINK \l "_Toc15396627" </w:instrText>
      </w:r>
      <w:r>
        <w:fldChar w:fldCharType="separate"/>
      </w:r>
      <w:r>
        <w:rPr>
          <w:rStyle w:val="16"/>
          <w:rFonts w:hint="eastAsia" w:ascii="仿宋" w:hAnsi="仿宋" w:eastAsia="仿宋" w:cs="仿宋"/>
          <w:sz w:val="28"/>
          <w:szCs w:val="28"/>
        </w:rPr>
        <w:t>一般公共预算财政拨款项目支出决算表</w:t>
      </w:r>
      <w:r>
        <w:rPr>
          <w:rFonts w:ascii="仿宋" w:hAnsi="仿宋" w:eastAsia="仿宋"/>
          <w:sz w:val="28"/>
          <w:szCs w:val="28"/>
        </w:rPr>
        <w:tab/>
      </w:r>
      <w:r>
        <w:rPr>
          <w:rFonts w:ascii="仿宋" w:hAnsi="仿宋" w:eastAsia="仿宋" w:cs="仿宋"/>
          <w:sz w:val="28"/>
          <w:szCs w:val="28"/>
        </w:rPr>
        <w:t>4</w:t>
      </w:r>
      <w:r>
        <w:rPr>
          <w:rFonts w:ascii="仿宋" w:hAnsi="仿宋" w:eastAsia="仿宋" w:cs="仿宋"/>
          <w:sz w:val="28"/>
          <w:szCs w:val="28"/>
        </w:rPr>
        <w:fldChar w:fldCharType="end"/>
      </w:r>
      <w:r>
        <w:rPr>
          <w:rFonts w:ascii="仿宋" w:hAnsi="仿宋" w:eastAsia="仿宋" w:cs="仿宋"/>
          <w:sz w:val="28"/>
          <w:szCs w:val="28"/>
        </w:rPr>
        <w:t>7</w:t>
      </w:r>
    </w:p>
    <w:p>
      <w:pPr>
        <w:pStyle w:val="11"/>
        <w:rPr>
          <w:rFonts w:ascii="仿宋" w:hAnsi="仿宋" w:eastAsia="仿宋" w:cs="仿宋"/>
          <w:sz w:val="28"/>
          <w:szCs w:val="28"/>
        </w:rPr>
      </w:pPr>
      <w:r>
        <w:rPr>
          <w:rFonts w:hint="eastAsia" w:ascii="仿宋" w:hAnsi="仿宋" w:eastAsia="仿宋" w:cs="仿宋"/>
          <w:sz w:val="28"/>
          <w:szCs w:val="28"/>
        </w:rPr>
        <w:t>十、</w:t>
      </w:r>
      <w:r>
        <w:fldChar w:fldCharType="begin"/>
      </w:r>
      <w:r>
        <w:instrText xml:space="preserve"> HYPERLINK \l "_Toc15396628" </w:instrText>
      </w:r>
      <w:r>
        <w:fldChar w:fldCharType="separate"/>
      </w:r>
      <w:r>
        <w:rPr>
          <w:rStyle w:val="16"/>
          <w:rFonts w:hint="eastAsia" w:ascii="仿宋" w:hAnsi="仿宋" w:eastAsia="仿宋" w:cs="仿宋"/>
          <w:sz w:val="28"/>
          <w:szCs w:val="28"/>
        </w:rPr>
        <w:t>一般公共预算财政拨款“三公”经费支出决算表</w:t>
      </w:r>
      <w:r>
        <w:rPr>
          <w:rFonts w:ascii="仿宋" w:hAnsi="仿宋" w:eastAsia="仿宋"/>
          <w:sz w:val="28"/>
          <w:szCs w:val="28"/>
        </w:rPr>
        <w:tab/>
      </w:r>
      <w:r>
        <w:rPr>
          <w:rFonts w:ascii="仿宋" w:hAnsi="仿宋" w:eastAsia="仿宋" w:cs="仿宋"/>
          <w:sz w:val="28"/>
          <w:szCs w:val="28"/>
        </w:rPr>
        <w:t>4</w:t>
      </w:r>
      <w:r>
        <w:rPr>
          <w:rFonts w:ascii="仿宋" w:hAnsi="仿宋" w:eastAsia="仿宋" w:cs="仿宋"/>
          <w:sz w:val="28"/>
          <w:szCs w:val="28"/>
        </w:rPr>
        <w:fldChar w:fldCharType="end"/>
      </w:r>
      <w:r>
        <w:rPr>
          <w:rFonts w:ascii="仿宋" w:hAnsi="仿宋" w:eastAsia="仿宋" w:cs="仿宋"/>
          <w:sz w:val="28"/>
          <w:szCs w:val="28"/>
        </w:rPr>
        <w:t>8</w:t>
      </w:r>
    </w:p>
    <w:p>
      <w:pPr>
        <w:pStyle w:val="11"/>
        <w:rPr>
          <w:rFonts w:ascii="仿宋" w:hAnsi="仿宋" w:eastAsia="仿宋" w:cs="仿宋"/>
          <w:sz w:val="28"/>
          <w:szCs w:val="28"/>
        </w:rPr>
      </w:pPr>
      <w:r>
        <w:rPr>
          <w:rFonts w:hint="eastAsia" w:ascii="仿宋" w:hAnsi="仿宋" w:eastAsia="仿宋" w:cs="仿宋"/>
          <w:sz w:val="28"/>
          <w:szCs w:val="28"/>
        </w:rPr>
        <w:t>十一、</w:t>
      </w:r>
      <w:r>
        <w:fldChar w:fldCharType="begin"/>
      </w:r>
      <w:r>
        <w:instrText xml:space="preserve"> HYPERLINK \l "_Toc15396629" </w:instrText>
      </w:r>
      <w:r>
        <w:fldChar w:fldCharType="separate"/>
      </w:r>
      <w:r>
        <w:rPr>
          <w:rStyle w:val="16"/>
          <w:rFonts w:hint="eastAsia" w:ascii="仿宋" w:hAnsi="仿宋" w:eastAsia="仿宋" w:cs="仿宋"/>
          <w:sz w:val="28"/>
          <w:szCs w:val="28"/>
        </w:rPr>
        <w:t>政府性基金预算财政拨款收入支出决算表</w:t>
      </w:r>
      <w:r>
        <w:rPr>
          <w:rFonts w:ascii="仿宋" w:hAnsi="仿宋" w:eastAsia="仿宋"/>
          <w:sz w:val="28"/>
          <w:szCs w:val="28"/>
        </w:rPr>
        <w:tab/>
      </w:r>
      <w:r>
        <w:rPr>
          <w:rFonts w:ascii="仿宋" w:hAnsi="仿宋" w:eastAsia="仿宋" w:cs="仿宋"/>
          <w:sz w:val="28"/>
          <w:szCs w:val="28"/>
        </w:rPr>
        <w:t>4</w:t>
      </w:r>
      <w:r>
        <w:rPr>
          <w:rFonts w:ascii="仿宋" w:hAnsi="仿宋" w:eastAsia="仿宋" w:cs="仿宋"/>
          <w:sz w:val="28"/>
          <w:szCs w:val="28"/>
        </w:rPr>
        <w:fldChar w:fldCharType="end"/>
      </w:r>
      <w:r>
        <w:rPr>
          <w:rFonts w:ascii="仿宋" w:hAnsi="仿宋" w:eastAsia="仿宋" w:cs="仿宋"/>
          <w:sz w:val="28"/>
          <w:szCs w:val="28"/>
        </w:rPr>
        <w:t>9</w:t>
      </w:r>
    </w:p>
    <w:p>
      <w:pPr>
        <w:pStyle w:val="11"/>
        <w:rPr>
          <w:rFonts w:ascii="仿宋" w:hAnsi="仿宋" w:eastAsia="仿宋" w:cs="仿宋"/>
          <w:sz w:val="28"/>
          <w:szCs w:val="28"/>
        </w:rPr>
      </w:pPr>
      <w:r>
        <w:rPr>
          <w:rFonts w:hint="eastAsia" w:ascii="仿宋" w:hAnsi="仿宋" w:eastAsia="仿宋" w:cs="仿宋"/>
          <w:sz w:val="28"/>
          <w:szCs w:val="28"/>
        </w:rPr>
        <w:t>十二、</w:t>
      </w:r>
      <w:r>
        <w:fldChar w:fldCharType="begin"/>
      </w:r>
      <w:r>
        <w:instrText xml:space="preserve"> HYPERLINK \l "_Toc15396630" </w:instrText>
      </w:r>
      <w:r>
        <w:fldChar w:fldCharType="separate"/>
      </w:r>
      <w:r>
        <w:rPr>
          <w:rStyle w:val="16"/>
          <w:rFonts w:hint="eastAsia" w:ascii="仿宋" w:hAnsi="仿宋" w:eastAsia="仿宋" w:cs="仿宋"/>
          <w:sz w:val="28"/>
          <w:szCs w:val="28"/>
        </w:rPr>
        <w:t>政府性基金预算财政拨款“三公”经费支出决算表</w:t>
      </w:r>
      <w:r>
        <w:rPr>
          <w:rFonts w:ascii="仿宋" w:hAnsi="仿宋" w:eastAsia="仿宋"/>
          <w:sz w:val="28"/>
          <w:szCs w:val="28"/>
        </w:rPr>
        <w:tab/>
      </w:r>
      <w:r>
        <w:rPr>
          <w:rFonts w:ascii="仿宋" w:hAnsi="仿宋" w:eastAsia="仿宋" w:cs="仿宋"/>
          <w:sz w:val="28"/>
          <w:szCs w:val="28"/>
        </w:rPr>
        <w:t>5</w:t>
      </w:r>
      <w:r>
        <w:rPr>
          <w:rFonts w:ascii="仿宋" w:hAnsi="仿宋" w:eastAsia="仿宋" w:cs="仿宋"/>
          <w:sz w:val="28"/>
          <w:szCs w:val="28"/>
        </w:rPr>
        <w:fldChar w:fldCharType="end"/>
      </w:r>
      <w:r>
        <w:rPr>
          <w:rFonts w:ascii="仿宋" w:hAnsi="仿宋" w:eastAsia="仿宋" w:cs="仿宋"/>
          <w:sz w:val="28"/>
          <w:szCs w:val="28"/>
        </w:rPr>
        <w:t>0</w:t>
      </w:r>
    </w:p>
    <w:p>
      <w:pPr>
        <w:pStyle w:val="11"/>
        <w:rPr>
          <w:rFonts w:ascii="仿宋" w:hAnsi="仿宋" w:eastAsia="仿宋"/>
          <w:sz w:val="24"/>
          <w:szCs w:val="24"/>
        </w:rPr>
      </w:pPr>
      <w:r>
        <w:rPr>
          <w:rFonts w:hint="eastAsia" w:ascii="仿宋" w:hAnsi="仿宋" w:eastAsia="仿宋" w:cs="仿宋"/>
          <w:sz w:val="28"/>
          <w:szCs w:val="28"/>
        </w:rPr>
        <w:t>十三、</w:t>
      </w:r>
      <w:r>
        <w:fldChar w:fldCharType="begin"/>
      </w:r>
      <w:r>
        <w:instrText xml:space="preserve"> HYPERLINK \l "_Toc15396631" </w:instrText>
      </w:r>
      <w:r>
        <w:fldChar w:fldCharType="separate"/>
      </w:r>
      <w:r>
        <w:rPr>
          <w:rStyle w:val="16"/>
          <w:rFonts w:hint="eastAsia" w:ascii="仿宋" w:hAnsi="仿宋" w:eastAsia="仿宋" w:cs="仿宋"/>
          <w:sz w:val="28"/>
          <w:szCs w:val="28"/>
        </w:rPr>
        <w:t>国有资本经营预算支出决算表</w:t>
      </w:r>
      <w:r>
        <w:rPr>
          <w:rFonts w:ascii="仿宋" w:hAnsi="仿宋" w:eastAsia="仿宋"/>
          <w:sz w:val="28"/>
          <w:szCs w:val="28"/>
        </w:rPr>
        <w:tab/>
      </w:r>
      <w:r>
        <w:rPr>
          <w:rFonts w:ascii="仿宋" w:hAnsi="仿宋" w:eastAsia="仿宋" w:cs="仿宋"/>
          <w:sz w:val="28"/>
          <w:szCs w:val="28"/>
        </w:rPr>
        <w:t>5</w:t>
      </w:r>
      <w:r>
        <w:rPr>
          <w:rFonts w:ascii="仿宋" w:hAnsi="仿宋" w:eastAsia="仿宋" w:cs="仿宋"/>
          <w:sz w:val="28"/>
          <w:szCs w:val="28"/>
        </w:rPr>
        <w:fldChar w:fldCharType="end"/>
      </w:r>
      <w:r>
        <w:rPr>
          <w:rFonts w:ascii="仿宋" w:hAnsi="仿宋" w:eastAsia="仿宋" w:cs="仿宋"/>
          <w:sz w:val="28"/>
          <w:szCs w:val="28"/>
        </w:rPr>
        <w:t>1</w:t>
      </w:r>
    </w:p>
    <w:p>
      <w:pPr>
        <w:widowControl/>
        <w:jc w:val="left"/>
        <w:rPr>
          <w:rFonts w:ascii="仿宋" w:hAnsi="仿宋" w:eastAsia="仿宋"/>
          <w:color w:val="000000"/>
          <w:sz w:val="24"/>
          <w:szCs w:val="24"/>
        </w:rPr>
      </w:pPr>
      <w:r>
        <w:rPr>
          <w:rFonts w:ascii="黑体" w:hAnsi="黑体" w:eastAsia="黑体" w:cs="黑体"/>
          <w:color w:val="000000"/>
          <w:sz w:val="48"/>
          <w:szCs w:val="48"/>
        </w:rPr>
        <w:fldChar w:fldCharType="end"/>
      </w:r>
    </w:p>
    <w:p>
      <w:pPr>
        <w:widowControl/>
        <w:jc w:val="left"/>
        <w:rPr>
          <w:rFonts w:ascii="黑体" w:hAnsi="黑体" w:eastAsia="黑体"/>
          <w:kern w:val="44"/>
          <w:sz w:val="44"/>
          <w:szCs w:val="44"/>
        </w:rPr>
      </w:pPr>
      <w:bookmarkStart w:id="12" w:name="_Toc15377196"/>
      <w:bookmarkStart w:id="13" w:name="_Toc15396599"/>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adjustRightInd w:val="0"/>
        <w:snapToGrid w:val="0"/>
        <w:spacing w:line="360" w:lineRule="auto"/>
        <w:jc w:val="center"/>
        <w:outlineLvl w:val="0"/>
        <w:rPr>
          <w:rFonts w:ascii="黑体" w:hAnsi="黑体" w:eastAsia="黑体"/>
          <w:color w:val="000000"/>
          <w:sz w:val="48"/>
          <w:szCs w:val="48"/>
        </w:rPr>
      </w:pPr>
      <w:r>
        <w:rPr>
          <w:rFonts w:hint="eastAsia" w:ascii="方正小标宋简体" w:hAnsi="方正小标宋简体" w:eastAsia="方正小标宋简体" w:cs="方正小标宋简体"/>
          <w:sz w:val="44"/>
          <w:szCs w:val="44"/>
        </w:rPr>
        <w:t>第一部分</w:t>
      </w:r>
      <w:r>
        <w:rPr>
          <w:rFonts w:hint="eastAsia" w:ascii="方正小标宋简体" w:hAnsi="方正小标宋简体" w:eastAsia="方正小标宋简体" w:cs="方正小标宋简体"/>
          <w:sz w:val="44"/>
          <w:szCs w:val="44"/>
          <w:lang w:val="en-US" w:eastAsia="zh-CN"/>
        </w:rPr>
        <w:t xml:space="preserve"> </w:t>
      </w:r>
      <w:r>
        <w:rPr>
          <w:rStyle w:val="17"/>
          <w:rFonts w:hint="eastAsia" w:ascii="方正小标宋简体" w:hAnsi="方正小标宋简体" w:eastAsia="方正小标宋简体" w:cs="方正小标宋简体"/>
          <w:b w:val="0"/>
          <w:bCs w:val="0"/>
        </w:rPr>
        <w:t>部门概况</w:t>
      </w:r>
      <w:bookmarkEnd w:id="12"/>
      <w:bookmarkEnd w:id="13"/>
    </w:p>
    <w:p>
      <w:pPr>
        <w:pStyle w:val="3"/>
        <w:spacing w:line="576" w:lineRule="atLeast"/>
        <w:ind w:firstLine="640" w:firstLineChars="200"/>
        <w:rPr>
          <w:rFonts w:ascii="仿宋" w:hAnsi="仿宋" w:eastAsia="仿宋" w:cs="Times New Roman"/>
          <w:color w:val="000000"/>
        </w:rPr>
      </w:pPr>
      <w:bookmarkStart w:id="14" w:name="_Toc15396600"/>
      <w:bookmarkStart w:id="15" w:name="_Toc15377197"/>
      <w:r>
        <w:rPr>
          <w:rFonts w:hint="eastAsia" w:ascii="黑体" w:hAnsi="Times New Roman" w:eastAsia="黑体" w:cs="Times New Roman"/>
          <w:b w:val="0"/>
          <w:bCs w:val="0"/>
          <w:color w:val="000000"/>
        </w:rPr>
        <w:t>一、</w:t>
      </w:r>
      <w:r>
        <w:rPr>
          <w:rFonts w:hint="eastAsia" w:ascii="黑体" w:hAnsi="黑体" w:eastAsia="黑体" w:cs="黑体"/>
          <w:b w:val="0"/>
          <w:bCs w:val="0"/>
          <w:color w:val="000000"/>
        </w:rPr>
        <w:t>基</w:t>
      </w:r>
      <w:r>
        <w:rPr>
          <w:rStyle w:val="18"/>
          <w:rFonts w:hint="eastAsia" w:ascii="黑体" w:hAnsi="黑体" w:eastAsia="黑体" w:cs="黑体"/>
          <w:b w:val="0"/>
          <w:bCs w:val="0"/>
        </w:rPr>
        <w:t>本职能及主要工作</w:t>
      </w:r>
      <w:bookmarkEnd w:id="14"/>
      <w:bookmarkEnd w:id="15"/>
      <w:bookmarkStart w:id="16" w:name="_Toc15377198"/>
      <w:bookmarkStart w:id="17" w:name="_Toc15378445"/>
    </w:p>
    <w:bookmarkEnd w:id="16"/>
    <w:bookmarkEnd w:id="17"/>
    <w:p>
      <w:pPr>
        <w:spacing w:line="576" w:lineRule="atLeast"/>
        <w:ind w:firstLine="642" w:firstLineChars="200"/>
        <w:outlineLvl w:val="1"/>
        <w:rPr>
          <w:rFonts w:ascii="楷体_GB2312" w:hAnsi="仿宋" w:eastAsia="楷体_GB2312"/>
          <w:b/>
          <w:bCs/>
          <w:color w:val="000000"/>
          <w:sz w:val="32"/>
          <w:szCs w:val="32"/>
        </w:rPr>
      </w:pPr>
      <w:r>
        <w:rPr>
          <w:rFonts w:hint="eastAsia" w:ascii="楷体_GB2312" w:hAnsi="楷体" w:eastAsia="楷体_GB2312" w:cs="楷体"/>
          <w:b/>
          <w:bCs/>
          <w:color w:val="000000"/>
          <w:sz w:val="32"/>
          <w:szCs w:val="32"/>
        </w:rPr>
        <w:t>（一）主要职能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执行《粮食流通管理条例》和储备粮管理的方针、政策及法律、法规；加强粮食行政执法。拟定本县粮食流通和县级储备粮管理办法、粮食应急预案、规章制度和有关政策，并组织执行。拟订全县粮食流通体制改革方案并组织实施，推动国有粮食企业改革。提出发展现代粮食流通产业战略建议。承担粮食行政调解、行政复议、行政应诉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（2）研究提出全县粮食宏观调控、总量平衡以及粮食流通的中长期规划、收购、储存、动用县级储备粮的建议，并组织实施；拟定粮食产业化经营的措施，配合有关部门抓好商品粮油品种结构调整。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省、州、县储备粮管理，指导全县粮食储备体系建设；制定县级储备粮管理的技术规范并监督执行；监督检查省、州、县储备粮库存数量、质量和安全；研究提出县级储备粮的收购、轮换、抛售计划，并组织实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（4）管理社会粮食流通，保障军队、城镇居民、农村群众、应急救灾、缺粮贫困地区、退耕还林、大骨节病人和国家重点建设项目的粮食供应。</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（5）指导和协调全县粮食流通基础设施建设，编制全县粮油仓储、加工设施建设计划并组织实施；指导安全粮油网点建设，负责粮油仓储设施的报废、占用、拆迁等。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(6)指导全县粮食流通市场的行业行政管理、国有粮食企业的改革；指导并推动行业的技术改造、新技术推广应用、安全生产和抢险救灾工作；指导全县农村科学储粮工作；承担行业统计工作。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(7)指导全县粮食财务管理工作；组织实施粮食财务和会计制度工作，负责国有企业资产的监督管理；会同有关部门做好粮食收购资金使用；编报全县粮食系统财务报表，组织编制年度决算。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(8)协同质量技术监督部门做好粮食质量标准的管理工作；制定粮食储存、运输的技术规范，并监督执行。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(9)负责全县各级储备粮轮换工作，并对外地粮食行业进行经济技术合作交流。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(10)制订粮食系统人才发展规划，指导行业的职业教育；负责局机关的人事管理、机构编制管理工作。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(11)承办县政府交办的其他事项。</w:t>
      </w:r>
      <w:r>
        <w:rPr>
          <w:rFonts w:hint="eastAsia" w:ascii="仿宋_GB2312" w:hAnsi="仿宋_GB2312" w:eastAsia="仿宋_GB2312" w:cs="仿宋_GB2312"/>
          <w:sz w:val="32"/>
          <w:szCs w:val="32"/>
        </w:rPr>
        <w:tab/>
      </w:r>
    </w:p>
    <w:p>
      <w:pPr>
        <w:spacing w:line="576" w:lineRule="atLeast"/>
        <w:ind w:firstLine="642" w:firstLineChars="200"/>
        <w:outlineLvl w:val="1"/>
        <w:rPr>
          <w:rStyle w:val="18"/>
          <w:rFonts w:ascii="楷体_GB2312" w:hAnsi="仿宋_GB2312" w:eastAsia="楷体_GB2312" w:cs="Times New Roman"/>
          <w:b/>
          <w:bCs/>
        </w:rPr>
      </w:pPr>
      <w:bookmarkStart w:id="18" w:name="_Toc15378446"/>
      <w:bookmarkStart w:id="19" w:name="_Toc15377199"/>
      <w:r>
        <w:rPr>
          <w:rFonts w:hint="eastAsia" w:ascii="楷体_GB2312" w:hAnsi="楷体" w:eastAsia="楷体_GB2312" w:cs="楷体"/>
          <w:b/>
          <w:bCs/>
          <w:color w:val="000000"/>
          <w:sz w:val="32"/>
          <w:szCs w:val="32"/>
        </w:rPr>
        <w:t>（二）</w:t>
      </w:r>
      <w:r>
        <w:rPr>
          <w:rFonts w:ascii="楷体_GB2312" w:hAnsi="楷体" w:eastAsia="楷体_GB2312" w:cs="楷体"/>
          <w:b/>
          <w:bCs/>
          <w:color w:val="000000"/>
          <w:sz w:val="32"/>
          <w:szCs w:val="32"/>
        </w:rPr>
        <w:t>2018</w:t>
      </w:r>
      <w:r>
        <w:rPr>
          <w:rFonts w:hint="eastAsia" w:ascii="楷体_GB2312" w:hAnsi="楷体" w:eastAsia="楷体_GB2312" w:cs="楷体"/>
          <w:b/>
          <w:bCs/>
          <w:color w:val="000000"/>
          <w:sz w:val="32"/>
          <w:szCs w:val="32"/>
        </w:rPr>
        <w:t>年重点工作完成情况</w:t>
      </w:r>
      <w:bookmarkEnd w:id="18"/>
      <w:bookmarkEnd w:id="19"/>
    </w:p>
    <w:p>
      <w:pPr>
        <w:keepNext w:val="0"/>
        <w:keepLines w:val="0"/>
        <w:pageBreakBefore w:val="0"/>
        <w:widowControl w:val="0"/>
        <w:kinsoku/>
        <w:wordWrap/>
        <w:overflowPunct/>
        <w:topLinePunct w:val="0"/>
        <w:autoSpaceDE/>
        <w:autoSpaceDN/>
        <w:bidi w:val="0"/>
        <w:adjustRightInd/>
        <w:snapToGrid w:val="0"/>
        <w:spacing w:line="576" w:lineRule="exact"/>
        <w:ind w:firstLine="800" w:firstLineChars="2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2018年茂县粮食局指导粮食企业完成了年初下达的目标任务，为政府储备了2450吨粮食，顺利进行了轮换，确保储备粮食保值增值。全面完成了县政府交办的其他任务。</w:t>
      </w:r>
    </w:p>
    <w:p>
      <w:pPr>
        <w:pStyle w:val="3"/>
        <w:spacing w:line="576" w:lineRule="atLeast"/>
        <w:ind w:firstLine="515" w:firstLineChars="161"/>
        <w:rPr>
          <w:rFonts w:hint="eastAsia" w:ascii="黑体" w:eastAsia="黑体" w:cs="黑体"/>
          <w:b w:val="0"/>
          <w:bCs w:val="0"/>
          <w:color w:val="000000"/>
        </w:rPr>
      </w:pPr>
      <w:bookmarkStart w:id="20" w:name="_Toc15396601"/>
      <w:bookmarkStart w:id="21" w:name="_Toc15377200"/>
    </w:p>
    <w:p>
      <w:pPr>
        <w:pStyle w:val="3"/>
        <w:spacing w:line="576" w:lineRule="atLeast"/>
        <w:ind w:firstLine="515" w:firstLineChars="161"/>
        <w:rPr>
          <w:rStyle w:val="18"/>
          <w:rFonts w:cs="Times New Roman"/>
          <w:b w:val="0"/>
          <w:bCs w:val="0"/>
        </w:rPr>
      </w:pPr>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18"/>
          <w:rFonts w:hint="eastAsia" w:ascii="黑体" w:hAnsi="黑体" w:eastAsia="黑体" w:cs="黑体"/>
          <w:b w:val="0"/>
          <w:bCs w:val="0"/>
        </w:rPr>
        <w:t>构设置</w:t>
      </w:r>
      <w:bookmarkEnd w:id="20"/>
      <w:bookmarkEnd w:id="21"/>
    </w:p>
    <w:p>
      <w:pPr>
        <w:spacing w:line="576" w:lineRule="atLeas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茂县粮食局为一级预算单位。</w:t>
      </w:r>
    </w:p>
    <w:p>
      <w:pPr>
        <w:pStyle w:val="5"/>
        <w:adjustRightInd w:val="0"/>
        <w:snapToGrid w:val="0"/>
        <w:spacing w:before="93" w:line="600" w:lineRule="exact"/>
        <w:ind w:firstLine="1120" w:firstLineChars="350"/>
        <w:rPr>
          <w:rFonts w:ascii="仿宋" w:hAnsi="仿宋" w:eastAsia="仿宋"/>
          <w:color w:val="000000"/>
          <w:sz w:val="32"/>
          <w:szCs w:val="32"/>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ascii="仿宋" w:hAnsi="仿宋" w:eastAsia="仿宋"/>
          <w:color w:val="000000"/>
          <w:kern w:val="0"/>
          <w:sz w:val="32"/>
          <w:szCs w:val="32"/>
        </w:rPr>
      </w:pPr>
      <w:r>
        <w:rPr>
          <w:rFonts w:ascii="仿宋" w:hAnsi="仿宋" w:eastAsia="仿宋"/>
          <w:color w:val="000000"/>
          <w:sz w:val="32"/>
          <w:szCs w:val="32"/>
        </w:rPr>
        <w:br w:type="page"/>
      </w:r>
    </w:p>
    <w:p>
      <w:pPr>
        <w:numPr>
          <w:ilvl w:val="0"/>
          <w:numId w:val="1"/>
        </w:numPr>
        <w:adjustRightInd w:val="0"/>
        <w:snapToGrid w:val="0"/>
        <w:spacing w:line="360" w:lineRule="auto"/>
        <w:jc w:val="center"/>
        <w:outlineLvl w:val="0"/>
        <w:rPr>
          <w:rStyle w:val="17"/>
          <w:rFonts w:ascii="方正小标宋简体" w:hAnsi="方正小标宋简体" w:eastAsia="方正小标宋简体"/>
          <w:b w:val="0"/>
          <w:bCs w:val="0"/>
        </w:rPr>
      </w:pPr>
      <w:bookmarkStart w:id="22" w:name="_Toc15396602"/>
      <w:bookmarkStart w:id="23" w:name="_Toc15377204"/>
      <w:r>
        <w:rPr>
          <w:rStyle w:val="17"/>
          <w:rFonts w:ascii="方正小标宋简体" w:hAnsi="方正小标宋简体" w:eastAsia="方正小标宋简体" w:cs="方正小标宋简体"/>
          <w:b w:val="0"/>
          <w:bCs w:val="0"/>
        </w:rPr>
        <w:t>2018</w:t>
      </w:r>
      <w:r>
        <w:rPr>
          <w:rStyle w:val="17"/>
          <w:rFonts w:hint="eastAsia" w:ascii="方正小标宋简体" w:hAnsi="方正小标宋简体" w:eastAsia="方正小标宋简体" w:cs="方正小标宋简体"/>
          <w:b w:val="0"/>
          <w:bCs w:val="0"/>
        </w:rPr>
        <w:t>年度部门决算情况说明</w:t>
      </w:r>
      <w:bookmarkEnd w:id="22"/>
      <w:bookmarkEnd w:id="23"/>
    </w:p>
    <w:p/>
    <w:p>
      <w:pPr>
        <w:pStyle w:val="28"/>
        <w:numPr>
          <w:ilvl w:val="0"/>
          <w:numId w:val="2"/>
        </w:numPr>
        <w:spacing w:line="600" w:lineRule="exact"/>
        <w:ind w:firstLineChars="0"/>
        <w:outlineLvl w:val="1"/>
        <w:rPr>
          <w:rStyle w:val="18"/>
          <w:rFonts w:ascii="黑体" w:hAnsi="黑体" w:eastAsia="黑体" w:cs="Times New Roman"/>
          <w:b w:val="0"/>
          <w:bCs w:val="0"/>
        </w:rPr>
      </w:pPr>
      <w:bookmarkStart w:id="24" w:name="_Toc15377205"/>
      <w:bookmarkStart w:id="25" w:name="_Toc15396603"/>
      <w:r>
        <w:rPr>
          <w:rFonts w:hint="eastAsia" w:ascii="黑体" w:hAnsi="黑体" w:eastAsia="黑体" w:cs="黑体"/>
          <w:color w:val="000000"/>
          <w:sz w:val="32"/>
          <w:szCs w:val="32"/>
        </w:rPr>
        <w:t>收</w:t>
      </w:r>
      <w:r>
        <w:rPr>
          <w:rStyle w:val="18"/>
          <w:rFonts w:hint="eastAsia" w:ascii="黑体" w:hAnsi="黑体" w:eastAsia="黑体" w:cs="黑体"/>
          <w:b w:val="0"/>
          <w:bCs w:val="0"/>
        </w:rPr>
        <w:t>入支出决算总体情况说明</w:t>
      </w:r>
      <w:bookmarkEnd w:id="24"/>
      <w:bookmarkEnd w:id="2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2018年度收、支总计269.85万元。与2017年相比，收、支总计增加了18.59</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，增长6.9%。主要变动原因是2018年新增储备粮（油）库建设项目。</w:t>
      </w:r>
    </w:p>
    <w:p>
      <w:pPr>
        <w:ind w:firstLine="640" w:firstLineChars="200"/>
        <w:jc w:val="left"/>
        <w:rPr>
          <w:rFonts w:ascii="仿宋_GB2312" w:eastAsia="仿宋_GB2312"/>
          <w:color w:val="000000"/>
          <w:sz w:val="32"/>
          <w:szCs w:val="32"/>
        </w:rPr>
      </w:pPr>
      <w:r>
        <w:rPr>
          <w:rFonts w:ascii="仿宋_GB2312" w:eastAsia="仿宋_GB2312"/>
          <w:color w:val="000000"/>
          <w:sz w:val="32"/>
          <w:szCs w:val="32"/>
        </w:rPr>
        <w:object>
          <v:shape id="_x0000_i1025" o:spt="75" type="#_x0000_t75" style="height:144pt;width:216pt;" o:ole="t" filled="f" o:preferrelative="t" stroked="f" coordsize="21600,21600">
            <v:path/>
            <v:fill on="f" focussize="0,0"/>
            <v:stroke on="f" joinstyle="miter"/>
            <v:imagedata r:id="rId7" o:title=""/>
            <o:lock v:ext="edit" aspectratio="t"/>
            <w10:wrap type="none"/>
            <w10:anchorlock/>
          </v:shape>
          <o:OLEObject Type="Embed" ProgID="MSGraph.Chart.8" ShapeID="_x0000_i1025" DrawAspect="Content" ObjectID="_1468075725" r:id="rId6">
            <o:LockedField>false</o:LockedField>
          </o:OLEObject>
        </w:object>
      </w:r>
    </w:p>
    <w:p>
      <w:pPr>
        <w:pStyle w:val="28"/>
        <w:numPr>
          <w:ilvl w:val="0"/>
          <w:numId w:val="2"/>
        </w:numPr>
        <w:ind w:firstLineChars="0"/>
        <w:outlineLvl w:val="1"/>
        <w:rPr>
          <w:rStyle w:val="18"/>
          <w:rFonts w:hint="eastAsia" w:ascii="黑体" w:hAnsi="黑体" w:eastAsia="黑体" w:cs="黑体"/>
          <w:b w:val="0"/>
          <w:bCs w:val="0"/>
        </w:rPr>
      </w:pPr>
      <w:bookmarkStart w:id="26" w:name="_Toc15396604"/>
      <w:bookmarkStart w:id="27" w:name="_Toc15377206"/>
      <w:r>
        <w:rPr>
          <w:rFonts w:hint="eastAsia" w:ascii="黑体" w:hAnsi="黑体" w:eastAsia="黑体" w:cs="黑体"/>
          <w:b w:val="0"/>
          <w:bCs w:val="0"/>
          <w:color w:val="000000"/>
          <w:sz w:val="32"/>
          <w:szCs w:val="32"/>
        </w:rPr>
        <w:t>收</w:t>
      </w:r>
      <w:r>
        <w:rPr>
          <w:rStyle w:val="18"/>
          <w:rFonts w:hint="eastAsia" w:ascii="黑体" w:hAnsi="黑体" w:eastAsia="黑体" w:cs="黑体"/>
          <w:b w:val="0"/>
          <w:bCs w:val="0"/>
        </w:rPr>
        <w:t>入决算情况说明</w:t>
      </w:r>
      <w:bookmarkEnd w:id="26"/>
      <w:bookmarkEnd w:id="2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本年收入合计234.4万元，其中：一般公共预算财政拨款收入234.4万元，占100%；政府性基金预算财政拨款收入0万元，占100%；国有资本经营预算财政拨款收入0万元，占100%；事业收入0万元，占100%；经营收入0万元，占100%；附属单位上缴收入0万元，占100%；其他收入0万元，占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color w:val="FF0000"/>
          <w:sz w:val="32"/>
          <w:szCs w:val="32"/>
        </w:rPr>
      </w:pPr>
    </w:p>
    <w:p>
      <w:pPr>
        <w:ind w:firstLine="640" w:firstLineChars="200"/>
        <w:rPr>
          <w:rFonts w:ascii="仿宋_GB2312" w:eastAsia="仿宋_GB2312"/>
          <w:color w:val="FF0000"/>
          <w:sz w:val="32"/>
          <w:szCs w:val="32"/>
        </w:rPr>
      </w:pPr>
      <w:r>
        <w:rPr>
          <w:rFonts w:ascii="仿宋_GB2312" w:eastAsia="仿宋_GB2312"/>
          <w:color w:val="FF0000"/>
          <w:sz w:val="32"/>
          <w:szCs w:val="32"/>
        </w:rPr>
        <w:object>
          <v:shape id="_x0000_i1026" o:spt="75" type="#_x0000_t75" style="height:144pt;width:216pt;" o:ole="t" filled="f" o:preferrelative="t" stroked="f" coordsize="21600,21600">
            <v:path/>
            <v:fill on="f" focussize="0,0"/>
            <v:stroke on="f" joinstyle="miter"/>
            <v:imagedata r:id="rId9" o:title=""/>
            <o:lock v:ext="edit" aspectratio="t"/>
            <w10:wrap type="none"/>
            <w10:anchorlock/>
          </v:shape>
          <o:OLEObject Type="Embed" ProgID="MSGraph.Chart.8" ShapeID="_x0000_i1026" DrawAspect="Content" ObjectID="_1468075726" r:id="rId8">
            <o:LockedField>false</o:LockedField>
          </o:OLEObject>
        </w:object>
      </w:r>
      <w:r>
        <w:rPr>
          <w:rFonts w:ascii="仿宋_GB2312" w:eastAsia="仿宋_GB2312"/>
          <w:color w:val="FF0000"/>
          <w:sz w:val="32"/>
          <w:szCs w:val="32"/>
        </w:rPr>
        <w:br w:type="textWrapping" w:clear="all"/>
      </w:r>
    </w:p>
    <w:p>
      <w:pPr>
        <w:ind w:firstLine="640" w:firstLineChars="200"/>
        <w:rPr>
          <w:rFonts w:ascii="仿宋_GB2312" w:eastAsia="仿宋_GB2312"/>
          <w:color w:val="FF0000"/>
          <w:sz w:val="32"/>
          <w:szCs w:val="32"/>
        </w:rPr>
      </w:pPr>
    </w:p>
    <w:p>
      <w:pPr>
        <w:pStyle w:val="28"/>
        <w:numPr>
          <w:ilvl w:val="0"/>
          <w:numId w:val="2"/>
        </w:numPr>
        <w:spacing w:line="600" w:lineRule="exact"/>
        <w:ind w:firstLineChars="0"/>
        <w:outlineLvl w:val="1"/>
        <w:rPr>
          <w:rStyle w:val="18"/>
          <w:rFonts w:ascii="黑体" w:hAnsi="黑体" w:eastAsia="黑体" w:cs="Times New Roman"/>
          <w:b w:val="0"/>
          <w:bCs w:val="0"/>
        </w:rPr>
      </w:pPr>
      <w:bookmarkStart w:id="28" w:name="_Toc15396605"/>
      <w:bookmarkStart w:id="29" w:name="_Toc15377207"/>
      <w:r>
        <w:rPr>
          <w:rFonts w:hint="eastAsia" w:ascii="黑体" w:hAnsi="黑体" w:eastAsia="黑体" w:cs="黑体"/>
          <w:b w:val="0"/>
          <w:bCs w:val="0"/>
          <w:color w:val="000000"/>
          <w:sz w:val="32"/>
          <w:szCs w:val="32"/>
        </w:rPr>
        <w:t>支</w:t>
      </w:r>
      <w:r>
        <w:rPr>
          <w:rStyle w:val="18"/>
          <w:rFonts w:hint="eastAsia" w:ascii="黑体" w:hAnsi="黑体" w:eastAsia="黑体" w:cs="黑体"/>
          <w:b w:val="0"/>
          <w:bCs w:val="0"/>
        </w:rPr>
        <w:t>出决算情况说明</w:t>
      </w:r>
      <w:bookmarkEnd w:id="28"/>
      <w:bookmarkEnd w:id="29"/>
    </w:p>
    <w:p>
      <w:pPr>
        <w:keepNext w:val="0"/>
        <w:keepLines w:val="0"/>
        <w:pageBreakBefore w:val="0"/>
        <w:widowControl w:val="0"/>
        <w:kinsoku/>
        <w:wordWrap/>
        <w:overflowPunct/>
        <w:topLinePunct w:val="0"/>
        <w:autoSpaceDE/>
        <w:autoSpaceDN/>
        <w:bidi w:val="0"/>
        <w:adjustRightInd w:val="0"/>
        <w:snapToGrid/>
        <w:spacing w:line="576" w:lineRule="exact"/>
        <w:ind w:firstLine="480" w:firstLineChars="150"/>
        <w:jc w:val="left"/>
        <w:textAlignment w:val="auto"/>
        <w:rPr>
          <w:rFonts w:hint="eastAsia" w:ascii="仿宋_GB2312" w:hAnsi="仿宋_GB2312" w:eastAsia="仿宋_GB2312" w:cs="仿宋_GB2312"/>
          <w:color w:val="000000"/>
          <w:sz w:val="32"/>
          <w:szCs w:val="32"/>
          <w:shd w:val="pct10" w:color="auto" w:fill="FFFFFF"/>
        </w:rPr>
      </w:pPr>
      <w:r>
        <w:rPr>
          <w:rFonts w:hint="eastAsia" w:ascii="仿宋_GB2312" w:hAnsi="仿宋_GB2312" w:eastAsia="仿宋_GB2312" w:cs="仿宋_GB2312"/>
          <w:color w:val="000000"/>
          <w:sz w:val="32"/>
          <w:szCs w:val="32"/>
        </w:rPr>
        <w:t>2018年本年支出合计269.85，其中：基本支出234.4万元，占86.8%；项目支出35.45万元，占13.2%；上缴上级支出0万元，占100%；经营支出0万元，占100%；对附属单位补助支出0万元，占100%。</w:t>
      </w:r>
    </w:p>
    <w:p>
      <w:pPr>
        <w:ind w:firstLine="640" w:firstLineChars="200"/>
        <w:rPr>
          <w:rFonts w:ascii="仿宋_GB2312" w:eastAsia="仿宋_GB2312"/>
          <w:sz w:val="32"/>
          <w:szCs w:val="32"/>
        </w:rPr>
      </w:pPr>
      <w:r>
        <w:rPr>
          <w:rFonts w:ascii="仿宋_GB2312" w:eastAsia="仿宋_GB2312"/>
          <w:sz w:val="32"/>
          <w:szCs w:val="32"/>
        </w:rPr>
        <w:object>
          <v:shape id="_x0000_i1027" o:spt="75" type="#_x0000_t75" style="height:144pt;width:216pt;" o:ole="t" filled="f" o:preferrelative="t" stroked="f" coordsize="21600,21600">
            <v:path/>
            <v:fill on="f" focussize="0,0"/>
            <v:stroke on="f" joinstyle="miter"/>
            <v:imagedata r:id="rId11" o:title=""/>
            <o:lock v:ext="edit" aspectratio="t"/>
            <w10:wrap type="none"/>
            <w10:anchorlock/>
          </v:shape>
          <o:OLEObject Type="Embed" ProgID="MSGraph.Chart.8" ShapeID="_x0000_i1027" DrawAspect="Content" ObjectID="_1468075727" r:id="rId10">
            <o:LockedField>false</o:LockedField>
          </o:OLEObject>
        </w:object>
      </w:r>
    </w:p>
    <w:p>
      <w:pPr>
        <w:rPr>
          <w:rFonts w:ascii="仿宋_GB2312" w:eastAsia="仿宋_GB2312"/>
          <w:sz w:val="32"/>
          <w:szCs w:val="32"/>
        </w:rPr>
      </w:pPr>
    </w:p>
    <w:p>
      <w:pPr>
        <w:ind w:firstLine="640" w:firstLineChars="200"/>
        <w:rPr>
          <w:rFonts w:ascii="仿宋_GB2312" w:eastAsia="仿宋_GB2312"/>
          <w:color w:val="FF0000"/>
          <w:sz w:val="32"/>
          <w:szCs w:val="32"/>
        </w:rPr>
      </w:pPr>
      <w:r>
        <w:rPr>
          <w:rFonts w:ascii="仿宋_GB2312" w:eastAsia="仿宋_GB2312"/>
          <w:color w:val="FF0000"/>
          <w:sz w:val="32"/>
          <w:szCs w:val="32"/>
        </w:rPr>
        <w:br w:type="textWrapping" w:clear="all"/>
      </w:r>
    </w:p>
    <w:p>
      <w:pPr>
        <w:pStyle w:val="3"/>
        <w:pageBreakBefore w:val="0"/>
        <w:widowControl w:val="0"/>
        <w:kinsoku/>
        <w:wordWrap/>
        <w:overflowPunct/>
        <w:topLinePunct w:val="0"/>
        <w:autoSpaceDE/>
        <w:autoSpaceDN/>
        <w:bidi w:val="0"/>
        <w:adjustRightInd/>
        <w:snapToGrid/>
        <w:spacing w:line="576" w:lineRule="exact"/>
        <w:ind w:firstLine="640" w:firstLineChars="200"/>
        <w:jc w:val="left"/>
        <w:textAlignment w:val="auto"/>
        <w:rPr>
          <w:rStyle w:val="18"/>
          <w:rFonts w:hint="eastAsia" w:ascii="黑体" w:hAnsi="黑体" w:eastAsia="黑体" w:cs="黑体"/>
          <w:b/>
          <w:bCs/>
        </w:rPr>
      </w:pPr>
      <w:bookmarkStart w:id="30" w:name="_Toc15377208"/>
      <w:bookmarkStart w:id="31" w:name="_Toc15396606"/>
      <w:r>
        <w:rPr>
          <w:rFonts w:hint="eastAsia" w:ascii="黑体" w:hAnsi="黑体" w:eastAsia="黑体" w:cs="黑体"/>
          <w:b w:val="0"/>
          <w:bCs w:val="0"/>
          <w:color w:val="000000"/>
        </w:rPr>
        <w:t>四、财</w:t>
      </w:r>
      <w:r>
        <w:rPr>
          <w:rStyle w:val="18"/>
          <w:rFonts w:hint="eastAsia" w:ascii="黑体" w:hAnsi="黑体" w:eastAsia="黑体" w:cs="黑体"/>
          <w:b w:val="0"/>
          <w:bCs w:val="0"/>
        </w:rPr>
        <w:t>政拨款收入支出决算总体情况说明</w:t>
      </w:r>
      <w:bookmarkEnd w:id="30"/>
      <w:bookmarkEnd w:id="31"/>
    </w:p>
    <w:p>
      <w:pPr>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度收入234.4万元；支出269.85万元。与2017年相比，收入减少9.22万元，下降3.9%。主要变动原因是对单位新增退休职工1人；与2017年支出增加18.59万元，增长6.9%。主要变动原因是单位新增储备粮（油）库建设项目。</w:t>
      </w:r>
    </w:p>
    <w:p>
      <w:pPr>
        <w:ind w:firstLine="640" w:firstLineChars="200"/>
        <w:rPr>
          <w:rFonts w:ascii="仿宋" w:hAnsi="仿宋" w:eastAsia="仿宋"/>
          <w:color w:val="000000"/>
          <w:sz w:val="32"/>
          <w:szCs w:val="32"/>
        </w:rPr>
      </w:pPr>
      <w:r>
        <w:rPr>
          <w:rFonts w:ascii="仿宋" w:hAnsi="仿宋" w:eastAsia="仿宋"/>
          <w:color w:val="000000"/>
          <w:sz w:val="32"/>
          <w:szCs w:val="32"/>
        </w:rPr>
        <w:object>
          <v:shape id="_x0000_i1028" o:spt="75" type="#_x0000_t75" style="height:144pt;width:216pt;" o:ole="t" filled="f" o:preferrelative="t" stroked="f" coordsize="21600,21600">
            <v:path/>
            <v:fill on="f" focussize="0,0"/>
            <v:stroke on="f" joinstyle="miter"/>
            <v:imagedata r:id="rId13" o:title=""/>
            <o:lock v:ext="edit" aspectratio="t"/>
            <w10:wrap type="none"/>
            <w10:anchorlock/>
          </v:shape>
          <o:OLEObject Type="Embed" ProgID="MSGraph.Chart.8" ShapeID="_x0000_i1028" DrawAspect="Content" ObjectID="_1468075728" r:id="rId12">
            <o:LockedField>false</o:LockedField>
          </o:OLEObject>
        </w:object>
      </w:r>
    </w:p>
    <w:p>
      <w:pPr>
        <w:pStyle w:val="3"/>
        <w:keepNext/>
        <w:keepLines/>
        <w:pageBreakBefore w:val="0"/>
        <w:widowControl w:val="0"/>
        <w:kinsoku/>
        <w:wordWrap/>
        <w:overflowPunct/>
        <w:topLinePunct w:val="0"/>
        <w:autoSpaceDE/>
        <w:autoSpaceDN/>
        <w:bidi w:val="0"/>
        <w:adjustRightInd/>
        <w:snapToGrid/>
        <w:spacing w:line="576" w:lineRule="exact"/>
        <w:ind w:firstLine="640" w:firstLineChars="200"/>
        <w:jc w:val="left"/>
        <w:textAlignment w:val="auto"/>
        <w:rPr>
          <w:rStyle w:val="18"/>
          <w:rFonts w:hint="eastAsia" w:ascii="黑体" w:hAnsi="黑体" w:eastAsia="黑体" w:cs="黑体"/>
          <w:b w:val="0"/>
          <w:bCs w:val="0"/>
        </w:rPr>
      </w:pPr>
      <w:bookmarkStart w:id="32" w:name="_Toc15396607"/>
      <w:bookmarkStart w:id="33" w:name="_Toc15377209"/>
      <w:r>
        <w:rPr>
          <w:rFonts w:hint="eastAsia" w:ascii="黑体" w:hAnsi="黑体" w:eastAsia="黑体" w:cs="黑体"/>
          <w:b w:val="0"/>
          <w:bCs w:val="0"/>
          <w:color w:val="000000"/>
        </w:rPr>
        <w:t>五、一</w:t>
      </w:r>
      <w:r>
        <w:rPr>
          <w:rStyle w:val="18"/>
          <w:rFonts w:hint="eastAsia" w:ascii="黑体" w:hAnsi="黑体" w:eastAsia="黑体" w:cs="黑体"/>
          <w:b w:val="0"/>
          <w:bCs w:val="0"/>
        </w:rPr>
        <w:t>般公共预算财政拨款支出决算情况说明</w:t>
      </w:r>
      <w:bookmarkEnd w:id="32"/>
      <w:bookmarkEnd w:id="33"/>
      <w:bookmarkStart w:id="34" w:name="_Toc15377210"/>
    </w:p>
    <w:p>
      <w:pPr>
        <w:pStyle w:val="3"/>
        <w:keepNext/>
        <w:keepLines/>
        <w:pageBreakBefore w:val="0"/>
        <w:widowControl w:val="0"/>
        <w:kinsoku/>
        <w:wordWrap/>
        <w:overflowPunct/>
        <w:topLinePunct w:val="0"/>
        <w:autoSpaceDE/>
        <w:autoSpaceDN/>
        <w:bidi w:val="0"/>
        <w:adjustRightInd/>
        <w:snapToGrid/>
        <w:spacing w:line="576" w:lineRule="exact"/>
        <w:ind w:firstLine="642" w:firstLineChars="200"/>
        <w:jc w:val="left"/>
        <w:textAlignment w:val="auto"/>
        <w:rPr>
          <w:rFonts w:ascii="楷体_GB2312" w:hAnsi="仿宋" w:eastAsia="楷体_GB2312"/>
          <w:b/>
          <w:bCs/>
          <w:color w:val="000000"/>
          <w:sz w:val="32"/>
          <w:szCs w:val="32"/>
        </w:rPr>
      </w:pPr>
      <w:r>
        <w:rPr>
          <w:rFonts w:hint="eastAsia" w:ascii="楷体_GB2312" w:hAnsi="楷体" w:eastAsia="楷体_GB2312" w:cs="楷体"/>
          <w:b/>
          <w:bCs/>
          <w:color w:val="000000"/>
          <w:sz w:val="32"/>
          <w:szCs w:val="32"/>
        </w:rPr>
        <w:t>（一）一般公共预算财政拨款支出决算总体情况</w:t>
      </w:r>
      <w:bookmarkEnd w:id="34"/>
    </w:p>
    <w:p>
      <w:pPr>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2018年一般公共预算财政拨款支出234.4万元，占本年支出合计的100%。与2017年相比，支出增加18.59万元，增长6.9%。主要变动原因是单位新增储备粮（油）库建设项目。</w:t>
      </w:r>
    </w:p>
    <w:p>
      <w:pPr>
        <w:ind w:firstLine="640" w:firstLineChars="200"/>
        <w:rPr>
          <w:rFonts w:ascii="楷体" w:hAnsi="楷体" w:eastAsia="楷体"/>
          <w:color w:val="000000"/>
          <w:sz w:val="32"/>
          <w:szCs w:val="32"/>
        </w:rPr>
      </w:pPr>
      <w:r>
        <w:rPr>
          <w:rFonts w:ascii="楷体" w:hAnsi="楷体" w:eastAsia="楷体"/>
          <w:color w:val="000000"/>
          <w:sz w:val="32"/>
          <w:szCs w:val="32"/>
        </w:rPr>
        <w:object>
          <v:shape id="_x0000_i1029" o:spt="75" type="#_x0000_t75" style="height:144pt;width:216pt;" o:ole="t" filled="f" o:preferrelative="t" stroked="f" coordsize="21600,21600">
            <v:path/>
            <v:fill on="f" focussize="0,0"/>
            <v:stroke on="f" joinstyle="miter"/>
            <v:imagedata r:id="rId15" o:title=""/>
            <o:lock v:ext="edit" aspectratio="t"/>
            <w10:wrap type="none"/>
            <w10:anchorlock/>
          </v:shape>
          <o:OLEObject Type="Embed" ProgID="MSGraph.Chart.8" ShapeID="_x0000_i1029" DrawAspect="Content" ObjectID="_1468075729" r:id="rId14">
            <o:LockedField>false</o:LockedField>
          </o:OLEObject>
        </w:object>
      </w:r>
      <w:r>
        <w:rPr>
          <w:rFonts w:ascii="楷体" w:hAnsi="楷体" w:eastAsia="楷体"/>
          <w:color w:val="000000"/>
          <w:sz w:val="32"/>
          <w:szCs w:val="32"/>
        </w:rPr>
        <w:br w:type="textWrapping" w:clear="all"/>
      </w:r>
    </w:p>
    <w:p>
      <w:pPr>
        <w:spacing w:line="600" w:lineRule="exact"/>
        <w:ind w:firstLine="642" w:firstLineChars="200"/>
        <w:outlineLvl w:val="1"/>
        <w:rPr>
          <w:rFonts w:ascii="楷体_GB2312" w:hAnsi="仿宋" w:eastAsia="楷体_GB2312"/>
          <w:b/>
          <w:bCs/>
          <w:color w:val="000000"/>
          <w:sz w:val="32"/>
          <w:szCs w:val="32"/>
        </w:rPr>
      </w:pPr>
      <w:bookmarkStart w:id="35" w:name="_Toc15377211"/>
      <w:r>
        <w:rPr>
          <w:rFonts w:hint="eastAsia" w:ascii="楷体_GB2312" w:hAnsi="楷体" w:eastAsia="楷体_GB2312" w:cs="楷体"/>
          <w:b/>
          <w:bCs/>
          <w:color w:val="000000"/>
          <w:sz w:val="32"/>
          <w:szCs w:val="32"/>
        </w:rPr>
        <w:t>（二）一般公共预算财政拨款支出决算结构情况</w:t>
      </w:r>
      <w:bookmarkEnd w:id="35"/>
    </w:p>
    <w:p>
      <w:pPr>
        <w:keepNext w:val="0"/>
        <w:keepLines w:val="0"/>
        <w:pageBreakBefore w:val="0"/>
        <w:widowControl w:val="0"/>
        <w:kinsoku/>
        <w:wordWrap/>
        <w:overflowPunct/>
        <w:topLinePunct w:val="0"/>
        <w:autoSpaceDE/>
        <w:autoSpaceDN/>
        <w:bidi w:val="0"/>
        <w:adjustRightInd/>
        <w:snapToGrid/>
        <w:spacing w:line="576" w:lineRule="exact"/>
        <w:ind w:firstLine="641"/>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一般公共预算财政拨款支出269.85万元，主要用于以下方面:粮油物资储备（类）支出207.75万元，占76.99%；教育支出（类）0万元，占100%；科学技术（类）支出0万元，占100%；社会保障和就业（类）支出30.87，占11.4%；医疗卫生支出14.41万元，占5.34%；住房保障支出16.82万元，占6.24%；农林水支出（类）支出0万元，占100%；资源勘探信息等支出（类）支出0万元，占100%；商业服务业等支出（类）支出0万元，占100%；其他支出（类）支出0万元，占100%。</w:t>
      </w:r>
    </w:p>
    <w:p>
      <w:pPr>
        <w:ind w:firstLine="640" w:firstLineChars="200"/>
        <w:rPr>
          <w:rFonts w:ascii="仿宋" w:hAnsi="仿宋" w:eastAsia="仿宋"/>
          <w:color w:val="000000"/>
          <w:sz w:val="32"/>
          <w:szCs w:val="32"/>
        </w:rPr>
      </w:pPr>
      <w:r>
        <w:rPr>
          <w:rFonts w:ascii="仿宋" w:hAnsi="仿宋" w:eastAsia="仿宋"/>
          <w:color w:val="000000"/>
          <w:sz w:val="32"/>
          <w:szCs w:val="32"/>
        </w:rPr>
        <w:object>
          <v:shape id="_x0000_i1030" o:spt="75" type="#_x0000_t75" style="height:144pt;width:216pt;" o:ole="t" filled="f" o:preferrelative="t" stroked="f" coordsize="21600,21600">
            <v:path/>
            <v:fill on="f" focussize="0,0"/>
            <v:stroke on="f" joinstyle="miter"/>
            <v:imagedata r:id="rId17" o:title=""/>
            <o:lock v:ext="edit" aspectratio="t"/>
            <w10:wrap type="none"/>
            <w10:anchorlock/>
          </v:shape>
          <o:OLEObject Type="Embed" ProgID="MSGraph.Chart.8" ShapeID="_x0000_i1030" DrawAspect="Content" ObjectID="_1468075730" r:id="rId16">
            <o:LockedField>false</o:LockedField>
          </o:OLEObject>
        </w:object>
      </w:r>
    </w:p>
    <w:p>
      <w:pPr>
        <w:ind w:firstLine="321" w:firstLineChars="100"/>
        <w:outlineLvl w:val="1"/>
        <w:rPr>
          <w:rFonts w:ascii="楷体_GB2312" w:hAnsi="仿宋" w:eastAsia="楷体_GB2312"/>
          <w:b/>
          <w:bCs/>
          <w:color w:val="000000"/>
          <w:sz w:val="32"/>
          <w:szCs w:val="32"/>
        </w:rPr>
      </w:pPr>
      <w:bookmarkStart w:id="36" w:name="_Toc15377212"/>
      <w:r>
        <w:rPr>
          <w:rFonts w:hint="eastAsia" w:ascii="楷体_GB2312" w:hAnsi="楷体" w:eastAsia="楷体_GB2312" w:cs="楷体"/>
          <w:b/>
          <w:bCs/>
          <w:color w:val="000000"/>
          <w:sz w:val="32"/>
          <w:szCs w:val="32"/>
        </w:rPr>
        <w:t>（三）一般公共预算财政拨款支出决算具体情况</w:t>
      </w:r>
      <w:bookmarkEnd w:id="3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outlineLvl w:val="2"/>
        <w:rPr>
          <w:rFonts w:hint="eastAsia" w:ascii="仿宋_GB2312" w:hAnsi="仿宋_GB2312" w:eastAsia="仿宋_GB2312" w:cs="仿宋_GB2312"/>
          <w:color w:val="FF0000"/>
          <w:sz w:val="32"/>
          <w:szCs w:val="32"/>
        </w:rPr>
      </w:pPr>
      <w:bookmarkStart w:id="37" w:name="_Toc15377444"/>
      <w:bookmarkStart w:id="38" w:name="_Toc15378460"/>
      <w:bookmarkStart w:id="39" w:name="_Toc15377213"/>
      <w:r>
        <w:rPr>
          <w:rFonts w:hint="eastAsia" w:ascii="仿宋_GB2312" w:hAnsi="仿宋_GB2312" w:eastAsia="仿宋_GB2312" w:cs="仿宋_GB2312"/>
          <w:color w:val="000000"/>
          <w:sz w:val="32"/>
          <w:szCs w:val="32"/>
        </w:rPr>
        <w:t>2018年一般公共预算支出决算数为234.4万元，</w:t>
      </w:r>
      <w:r>
        <w:rPr>
          <w:rStyle w:val="15"/>
          <w:rFonts w:hint="eastAsia" w:ascii="仿宋_GB2312" w:hAnsi="仿宋_GB2312" w:eastAsia="仿宋_GB2312" w:cs="仿宋_GB2312"/>
          <w:b w:val="0"/>
          <w:bCs w:val="0"/>
          <w:color w:val="000000"/>
          <w:sz w:val="32"/>
          <w:szCs w:val="32"/>
        </w:rPr>
        <w:t>完成预算100%。其中：</w:t>
      </w:r>
      <w:bookmarkEnd w:id="37"/>
      <w:bookmarkEnd w:id="38"/>
      <w:bookmarkEnd w:id="3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Style w:val="15"/>
          <w:rFonts w:hint="eastAsia" w:ascii="仿宋_GB2312" w:hAnsi="仿宋_GB2312" w:eastAsia="仿宋_GB2312" w:cs="仿宋_GB2312"/>
          <w:b w:val="0"/>
          <w:bCs w:val="0"/>
          <w:color w:val="000000"/>
          <w:sz w:val="32"/>
          <w:szCs w:val="32"/>
        </w:rPr>
      </w:pPr>
      <w:r>
        <w:rPr>
          <w:rStyle w:val="15"/>
          <w:rFonts w:hint="eastAsia" w:ascii="仿宋_GB2312" w:hAnsi="仿宋_GB2312" w:eastAsia="仿宋_GB2312" w:cs="仿宋_GB2312"/>
          <w:b w:val="0"/>
          <w:bCs w:val="0"/>
          <w:color w:val="000000"/>
          <w:sz w:val="32"/>
          <w:szCs w:val="32"/>
        </w:rPr>
        <w:t>1.社会保障和就业（类）208（款）05（项）：支出决算数为30.87万元，完成预算数100%。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Style w:val="15"/>
          <w:rFonts w:hint="eastAsia" w:ascii="仿宋_GB2312" w:hAnsi="仿宋_GB2312" w:eastAsia="仿宋_GB2312" w:cs="仿宋_GB2312"/>
          <w:b w:val="0"/>
          <w:bCs w:val="0"/>
          <w:color w:val="000000"/>
          <w:sz w:val="32"/>
          <w:szCs w:val="32"/>
        </w:rPr>
      </w:pPr>
      <w:r>
        <w:rPr>
          <w:rStyle w:val="15"/>
          <w:rFonts w:hint="eastAsia" w:ascii="仿宋_GB2312" w:hAnsi="仿宋_GB2312" w:eastAsia="仿宋_GB2312" w:cs="仿宋_GB2312"/>
          <w:b w:val="0"/>
          <w:bCs w:val="0"/>
          <w:color w:val="000000"/>
          <w:sz w:val="32"/>
          <w:szCs w:val="32"/>
        </w:rPr>
        <w:t>2</w:t>
      </w:r>
      <w:r>
        <w:rPr>
          <w:rFonts w:hint="eastAsia" w:ascii="仿宋_GB2312" w:hAnsi="仿宋_GB2312" w:eastAsia="仿宋_GB2312" w:cs="仿宋_GB2312"/>
          <w:color w:val="000000"/>
          <w:sz w:val="32"/>
          <w:szCs w:val="32"/>
        </w:rPr>
        <w:t>粮油物资储备（类）222粮油事务01（款）行政运行（项）：支出决算数为172.28万元</w:t>
      </w:r>
      <w:r>
        <w:rPr>
          <w:rStyle w:val="15"/>
          <w:rFonts w:hint="eastAsia" w:ascii="仿宋_GB2312" w:hAnsi="仿宋_GB2312" w:eastAsia="仿宋_GB2312" w:cs="仿宋_GB2312"/>
          <w:b w:val="0"/>
          <w:bCs w:val="0"/>
          <w:color w:val="000000"/>
          <w:sz w:val="32"/>
          <w:szCs w:val="32"/>
        </w:rPr>
        <w:t>完成预算数100%。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Style w:val="15"/>
          <w:rFonts w:hint="eastAsia" w:ascii="仿宋_GB2312" w:hAnsi="仿宋_GB2312" w:eastAsia="仿宋_GB2312" w:cs="仿宋_GB2312"/>
          <w:b w:val="0"/>
          <w:bCs w:val="0"/>
          <w:color w:val="000000"/>
          <w:sz w:val="32"/>
          <w:szCs w:val="32"/>
        </w:rPr>
      </w:pPr>
      <w:r>
        <w:rPr>
          <w:rStyle w:val="15"/>
          <w:rFonts w:hint="eastAsia" w:ascii="仿宋_GB2312" w:hAnsi="仿宋_GB2312" w:eastAsia="仿宋_GB2312" w:cs="仿宋_GB2312"/>
          <w:b w:val="0"/>
          <w:bCs w:val="0"/>
          <w:color w:val="000000"/>
          <w:sz w:val="32"/>
          <w:szCs w:val="32"/>
        </w:rPr>
        <w:t>3.医疗卫生与计划生育（类）210行政事业单位医疗11（款）:支出决算为14.62万元，完成预算100%。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.住房保障支出（类）221住房改革支出02（款）住房公积金（项）：</w:t>
      </w:r>
      <w:r>
        <w:rPr>
          <w:rStyle w:val="15"/>
          <w:rFonts w:hint="eastAsia" w:ascii="仿宋_GB2312" w:hAnsi="仿宋_GB2312" w:eastAsia="仿宋_GB2312" w:cs="仿宋_GB2312"/>
          <w:b w:val="0"/>
          <w:bCs w:val="0"/>
          <w:color w:val="000000"/>
          <w:sz w:val="32"/>
          <w:szCs w:val="32"/>
        </w:rPr>
        <w:t>支出决算为16.82万元，完成预算100%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.其他支出（类）其他支出（款）其他（项）：</w:t>
      </w:r>
      <w:r>
        <w:rPr>
          <w:rStyle w:val="15"/>
          <w:rFonts w:hint="eastAsia" w:ascii="仿宋_GB2312" w:hAnsi="仿宋_GB2312" w:eastAsia="仿宋_GB2312" w:cs="仿宋_GB2312"/>
          <w:b w:val="0"/>
          <w:bCs w:val="0"/>
          <w:color w:val="000000"/>
          <w:sz w:val="32"/>
          <w:szCs w:val="32"/>
        </w:rPr>
        <w:t>支出决算为0万元，完成预算100%</w:t>
      </w:r>
      <w:r>
        <w:rPr>
          <w:rFonts w:hint="eastAsia" w:ascii="仿宋_GB2312" w:hAnsi="仿宋_GB2312" w:eastAsia="仿宋_GB2312" w:cs="仿宋_GB2312"/>
          <w:color w:val="000000"/>
          <w:sz w:val="32"/>
          <w:szCs w:val="32"/>
        </w:rPr>
        <w:t>。</w:t>
      </w:r>
    </w:p>
    <w:p>
      <w:pPr>
        <w:pStyle w:val="3"/>
        <w:spacing w:line="576" w:lineRule="atLeast"/>
        <w:ind w:firstLine="467" w:firstLineChars="146"/>
        <w:rPr>
          <w:rStyle w:val="18"/>
          <w:rFonts w:hint="eastAsia" w:ascii="黑体" w:hAnsi="黑体" w:eastAsia="黑体" w:cs="黑体"/>
          <w:b w:val="0"/>
          <w:bCs w:val="0"/>
        </w:rPr>
      </w:pPr>
      <w:bookmarkStart w:id="40" w:name="_Toc15396608"/>
      <w:bookmarkStart w:id="41" w:name="_Toc15377214"/>
      <w:r>
        <w:rPr>
          <w:rFonts w:hint="eastAsia" w:ascii="黑体" w:hAnsi="黑体" w:eastAsia="黑体" w:cs="黑体"/>
          <w:b w:val="0"/>
          <w:bCs w:val="0"/>
          <w:color w:val="000000"/>
        </w:rPr>
        <w:t>六、一</w:t>
      </w:r>
      <w:r>
        <w:rPr>
          <w:rStyle w:val="18"/>
          <w:rFonts w:hint="eastAsia" w:ascii="黑体" w:hAnsi="黑体" w:eastAsia="黑体" w:cs="黑体"/>
          <w:b w:val="0"/>
          <w:bCs w:val="0"/>
        </w:rPr>
        <w:t>般公共预算财政拨款基本支出决算情况说明</w:t>
      </w:r>
      <w:bookmarkEnd w:id="40"/>
      <w:bookmarkEnd w:id="41"/>
    </w:p>
    <w:p>
      <w:pPr>
        <w:keepNext w:val="0"/>
        <w:keepLines w:val="0"/>
        <w:pageBreakBefore w:val="0"/>
        <w:widowControl w:val="0"/>
        <w:kinsoku/>
        <w:wordWrap/>
        <w:overflowPunct/>
        <w:topLinePunct w:val="0"/>
        <w:autoSpaceDE/>
        <w:autoSpaceDN/>
        <w:bidi w:val="0"/>
        <w:adjustRightInd/>
        <w:snapToGrid/>
        <w:spacing w:line="576" w:lineRule="exact"/>
        <w:ind w:firstLine="646"/>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2018年一般公共预算财政拨款基本支出234.4万元，其中：</w:t>
      </w:r>
    </w:p>
    <w:p>
      <w:pPr>
        <w:keepNext w:val="0"/>
        <w:keepLines w:val="0"/>
        <w:pageBreakBefore w:val="0"/>
        <w:widowControl w:val="0"/>
        <w:kinsoku/>
        <w:wordWrap/>
        <w:overflowPunct/>
        <w:topLinePunct w:val="0"/>
        <w:autoSpaceDE/>
        <w:autoSpaceDN/>
        <w:bidi w:val="0"/>
        <w:adjustRightInd/>
        <w:snapToGrid/>
        <w:spacing w:line="576" w:lineRule="exact"/>
        <w:ind w:firstLine="646"/>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218.70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公用经费15.70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3"/>
        <w:spacing w:line="576" w:lineRule="atLeast"/>
        <w:ind w:firstLine="470" w:firstLineChars="147"/>
        <w:rPr>
          <w:rStyle w:val="18"/>
          <w:rFonts w:hint="eastAsia" w:ascii="黑体" w:hAnsi="黑体" w:eastAsia="黑体" w:cs="黑体"/>
          <w:b w:val="0"/>
          <w:bCs w:val="0"/>
        </w:rPr>
      </w:pPr>
      <w:bookmarkStart w:id="42" w:name="_Toc15396609"/>
      <w:bookmarkStart w:id="43" w:name="_Toc15377215"/>
      <w:r>
        <w:rPr>
          <w:rFonts w:hint="eastAsia" w:ascii="黑体" w:hAnsi="黑体" w:eastAsia="黑体" w:cs="黑体"/>
          <w:b w:val="0"/>
          <w:bCs w:val="0"/>
          <w:color w:val="000000"/>
        </w:rPr>
        <w:t>七、</w:t>
      </w:r>
      <w:r>
        <w:rPr>
          <w:rStyle w:val="18"/>
          <w:rFonts w:hint="eastAsia" w:ascii="黑体" w:hAnsi="黑体" w:eastAsia="黑体" w:cs="黑体"/>
          <w:b w:val="0"/>
          <w:bCs w:val="0"/>
        </w:rPr>
        <w:t>“三公”经费财政拨款支出决算情况说明</w:t>
      </w:r>
      <w:bookmarkEnd w:id="42"/>
      <w:bookmarkEnd w:id="43"/>
    </w:p>
    <w:p>
      <w:pPr>
        <w:spacing w:line="576" w:lineRule="atLeast"/>
        <w:ind w:firstLine="642" w:firstLineChars="200"/>
        <w:outlineLvl w:val="1"/>
        <w:rPr>
          <w:rFonts w:hint="eastAsia" w:ascii="楷体" w:hAnsi="楷体" w:eastAsia="楷体" w:cs="楷体"/>
          <w:b/>
          <w:bCs/>
          <w:color w:val="000000"/>
          <w:sz w:val="32"/>
          <w:szCs w:val="32"/>
        </w:rPr>
      </w:pPr>
      <w:bookmarkStart w:id="44" w:name="_Toc15377216"/>
      <w:r>
        <w:rPr>
          <w:rFonts w:hint="eastAsia" w:ascii="楷体" w:hAnsi="楷体" w:eastAsia="楷体" w:cs="楷体"/>
          <w:b/>
          <w:bCs/>
          <w:color w:val="000000"/>
          <w:sz w:val="32"/>
          <w:szCs w:val="32"/>
        </w:rPr>
        <w:t>（一）“三公”经费财政拨款支出决算总体情况说明</w:t>
      </w:r>
      <w:bookmarkEnd w:id="44"/>
    </w:p>
    <w:p>
      <w:pPr>
        <w:keepNext w:val="0"/>
        <w:keepLines w:val="0"/>
        <w:pageBreakBefore w:val="0"/>
        <w:widowControl w:val="0"/>
        <w:kinsoku/>
        <w:wordWrap/>
        <w:overflowPunct/>
        <w:topLinePunct w:val="0"/>
        <w:autoSpaceDE/>
        <w:autoSpaceDN/>
        <w:bidi w:val="0"/>
        <w:adjustRightInd/>
        <w:snapToGrid/>
        <w:spacing w:line="576" w:lineRule="exact"/>
        <w:ind w:firstLine="641"/>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2018年“三公”经费财政拨款支出决算为0万元，完成预算100%，决算数与预算数持平。</w:t>
      </w:r>
    </w:p>
    <w:p>
      <w:pPr>
        <w:spacing w:line="576" w:lineRule="atLeast"/>
        <w:ind w:firstLine="642" w:firstLineChars="200"/>
        <w:outlineLvl w:val="1"/>
        <w:rPr>
          <w:rFonts w:hint="eastAsia" w:ascii="楷体" w:hAnsi="楷体" w:eastAsia="楷体" w:cs="楷体"/>
          <w:b/>
          <w:bCs/>
          <w:color w:val="000000"/>
          <w:sz w:val="32"/>
          <w:szCs w:val="32"/>
        </w:rPr>
      </w:pPr>
      <w:bookmarkStart w:id="45" w:name="_Toc15377217"/>
      <w:r>
        <w:rPr>
          <w:rFonts w:hint="eastAsia" w:ascii="楷体" w:hAnsi="楷体" w:eastAsia="楷体" w:cs="楷体"/>
          <w:b/>
          <w:bCs/>
          <w:color w:val="000000"/>
          <w:sz w:val="32"/>
          <w:szCs w:val="32"/>
        </w:rPr>
        <w:t>（二）“三公”经费财政拨款支出决算具体情况说明</w:t>
      </w:r>
      <w:bookmarkEnd w:id="45"/>
    </w:p>
    <w:p>
      <w:pPr>
        <w:keepNext w:val="0"/>
        <w:keepLines w:val="0"/>
        <w:pageBreakBefore w:val="0"/>
        <w:widowControl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2018年“三公”经费财政拨款支出决算中，因公出国（境）费支出决算0万元，占100%；公务用车购置及运行维护费支出决算0万元，占100%；公务接待费支出决算0万元，占100%</w:t>
      </w:r>
    </w:p>
    <w:p>
      <w:pPr>
        <w:keepNext w:val="0"/>
        <w:keepLines w:val="0"/>
        <w:pageBreakBefore w:val="0"/>
        <w:widowControl w:val="0"/>
        <w:kinsoku/>
        <w:wordWrap/>
        <w:overflowPunct/>
        <w:topLinePunct w:val="0"/>
        <w:autoSpaceDE/>
        <w:autoSpaceDN/>
        <w:bidi w:val="0"/>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1.因公出国（境）经费支出0万元</w:t>
      </w:r>
      <w:r>
        <w:rPr>
          <w:rStyle w:val="15"/>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rPr>
        <w:t>2.公务用车购置及运行维护费支出</w:t>
      </w:r>
      <w:r>
        <w:rPr>
          <w:rFonts w:hint="eastAsia" w:ascii="仿宋_GB2312" w:hAnsi="仿宋_GB2312" w:eastAsia="仿宋_GB2312" w:cs="仿宋_GB2312"/>
          <w:sz w:val="32"/>
          <w:szCs w:val="32"/>
        </w:rPr>
        <w:t>0万元，实际支出0万元</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0万元。全年按规定更新购置公务用车0辆，其中：轿车0辆、金额0万元，越野车0辆、金额0万元，载客汽车0辆、金额0万元，我单位不涉及。截至2018年12月底，单位共有公务用车0辆，其中：轿车0辆、越野车0辆、载客汽车0辆。</w:t>
      </w:r>
    </w:p>
    <w:p>
      <w:pPr>
        <w:keepNext w:val="0"/>
        <w:keepLines w:val="0"/>
        <w:pageBreakBefore w:val="0"/>
        <w:widowControl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.公务接待费支出0万元，</w:t>
      </w:r>
      <w:r>
        <w:rPr>
          <w:rStyle w:val="15"/>
          <w:rFonts w:hint="eastAsia" w:ascii="仿宋_GB2312" w:hAnsi="仿宋_GB2312" w:eastAsia="仿宋_GB2312" w:cs="仿宋_GB2312"/>
          <w:b w:val="0"/>
          <w:bCs w:val="0"/>
          <w:color w:val="000000"/>
          <w:sz w:val="32"/>
          <w:szCs w:val="32"/>
        </w:rPr>
        <w:t>完成预算0%。</w:t>
      </w:r>
      <w:r>
        <w:rPr>
          <w:rFonts w:hint="eastAsia" w:ascii="仿宋_GB2312" w:hAnsi="仿宋_GB2312" w:eastAsia="仿宋_GB2312" w:cs="仿宋_GB2312"/>
          <w:color w:val="000000"/>
          <w:sz w:val="32"/>
          <w:szCs w:val="32"/>
        </w:rPr>
        <w:t>公务接待费支出决算比2017年减少2680万元，减少100%。主要原因是单位未进行接待。</w:t>
      </w:r>
    </w:p>
    <w:p>
      <w:pPr>
        <w:keepNext w:val="0"/>
        <w:keepLines w:val="0"/>
        <w:pageBreakBefore w:val="0"/>
        <w:widowControl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其他国内公务接待支出0万元，我单位不涉及此项。</w:t>
      </w:r>
    </w:p>
    <w:p>
      <w:pPr>
        <w:pStyle w:val="3"/>
        <w:pageBreakBefore w:val="0"/>
        <w:kinsoku/>
        <w:wordWrap/>
        <w:overflowPunct/>
        <w:topLinePunct w:val="0"/>
        <w:autoSpaceDE/>
        <w:autoSpaceDN/>
        <w:bidi w:val="0"/>
        <w:adjustRightInd/>
        <w:snapToGrid/>
        <w:spacing w:line="576" w:lineRule="exact"/>
        <w:ind w:firstLine="470" w:firstLineChars="147"/>
        <w:jc w:val="both"/>
        <w:textAlignment w:val="auto"/>
        <w:rPr>
          <w:rStyle w:val="18"/>
          <w:rFonts w:hint="eastAsia" w:ascii="黑体" w:hAnsi="黑体" w:eastAsia="黑体" w:cs="黑体"/>
          <w:b/>
          <w:bCs/>
        </w:rPr>
      </w:pPr>
      <w:bookmarkStart w:id="46" w:name="_Toc15396610"/>
      <w:bookmarkStart w:id="47" w:name="_Toc15377218"/>
      <w:r>
        <w:rPr>
          <w:rFonts w:hint="eastAsia" w:ascii="黑体" w:hAnsi="黑体" w:eastAsia="黑体" w:cs="黑体"/>
          <w:b w:val="0"/>
          <w:bCs w:val="0"/>
          <w:color w:val="000000"/>
        </w:rPr>
        <w:t>八、</w:t>
      </w:r>
      <w:r>
        <w:rPr>
          <w:rStyle w:val="18"/>
          <w:rFonts w:hint="eastAsia" w:ascii="黑体" w:hAnsi="黑体" w:eastAsia="黑体" w:cs="黑体"/>
          <w:b w:val="0"/>
          <w:bCs w:val="0"/>
        </w:rPr>
        <w:t>政府性基金预算支出决算情况说明</w:t>
      </w:r>
      <w:bookmarkEnd w:id="46"/>
      <w:bookmarkEnd w:id="47"/>
    </w:p>
    <w:p>
      <w:pPr>
        <w:pStyle w:val="3"/>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color w:val="000000"/>
        </w:rPr>
      </w:pPr>
      <w:bookmarkStart w:id="48" w:name="_Toc15396611"/>
      <w:bookmarkStart w:id="49" w:name="_Toc15377219"/>
      <w:r>
        <w:rPr>
          <w:rFonts w:hint="eastAsia" w:ascii="仿宋_GB2312" w:hAnsi="仿宋_GB2312" w:eastAsia="仿宋_GB2312" w:cs="仿宋_GB2312"/>
          <w:b w:val="0"/>
          <w:bCs w:val="0"/>
          <w:color w:val="000000"/>
        </w:rPr>
        <w:t>2018年政府性基金预算拨款支出0万元。</w:t>
      </w:r>
    </w:p>
    <w:p>
      <w:pPr>
        <w:pStyle w:val="3"/>
        <w:pageBreakBefore w:val="0"/>
        <w:kinsoku/>
        <w:wordWrap/>
        <w:overflowPunct/>
        <w:topLinePunct w:val="0"/>
        <w:autoSpaceDE/>
        <w:autoSpaceDN/>
        <w:bidi w:val="0"/>
        <w:adjustRightInd/>
        <w:snapToGrid/>
        <w:spacing w:line="576" w:lineRule="exact"/>
        <w:ind w:firstLine="480" w:firstLineChars="150"/>
        <w:jc w:val="both"/>
        <w:textAlignment w:val="auto"/>
        <w:rPr>
          <w:rStyle w:val="18"/>
          <w:rFonts w:ascii="仿宋_GB2312" w:hAnsi="仿宋_GB2312" w:eastAsia="仿宋_GB2312" w:cs="Times New Roman"/>
          <w:b w:val="0"/>
          <w:bCs w:val="0"/>
        </w:rPr>
      </w:pPr>
      <w:r>
        <w:rPr>
          <w:rStyle w:val="18"/>
          <w:rFonts w:hint="eastAsia" w:ascii="黑体" w:hAnsi="黑体" w:eastAsia="黑体" w:cs="黑体"/>
          <w:b w:val="0"/>
          <w:bCs w:val="0"/>
        </w:rPr>
        <w:t>九、国有资本经营预算支出决算情况说明</w:t>
      </w:r>
      <w:bookmarkEnd w:id="48"/>
      <w:bookmarkEnd w:id="49"/>
    </w:p>
    <w:p>
      <w:pPr>
        <w:pageBreakBefore w:val="0"/>
        <w:kinsoku/>
        <w:wordWrap/>
        <w:overflowPunct/>
        <w:topLinePunct w:val="0"/>
        <w:autoSpaceDE/>
        <w:autoSpaceDN/>
        <w:bidi w:val="0"/>
        <w:adjustRightInd/>
        <w:snapToGrid/>
        <w:spacing w:line="576" w:lineRule="exact"/>
        <w:ind w:firstLine="640"/>
        <w:jc w:val="both"/>
        <w:textAlignment w:val="auto"/>
        <w:rPr>
          <w:rFonts w:hint="eastAsia" w:ascii="楷体" w:hAnsi="楷体" w:eastAsia="楷体" w:cs="楷体"/>
          <w:color w:val="000000"/>
          <w:sz w:val="32"/>
          <w:szCs w:val="32"/>
        </w:rPr>
      </w:pPr>
      <w:r>
        <w:rPr>
          <w:rFonts w:hint="eastAsia" w:ascii="仿宋_GB2312" w:hAnsi="仿宋_GB2312" w:eastAsia="仿宋_GB2312" w:cs="仿宋_GB2312"/>
          <w:color w:val="000000"/>
          <w:sz w:val="32"/>
          <w:szCs w:val="32"/>
        </w:rPr>
        <w:t>2018年国有资本经营预算拨款支出0万元。</w:t>
      </w:r>
    </w:p>
    <w:p>
      <w:pPr>
        <w:pStyle w:val="3"/>
        <w:pageBreakBefore w:val="0"/>
        <w:kinsoku/>
        <w:wordWrap/>
        <w:overflowPunct/>
        <w:topLinePunct w:val="0"/>
        <w:autoSpaceDE/>
        <w:autoSpaceDN/>
        <w:bidi w:val="0"/>
        <w:adjustRightInd/>
        <w:snapToGrid/>
        <w:spacing w:line="576" w:lineRule="exact"/>
        <w:ind w:firstLine="480" w:firstLineChars="150"/>
        <w:jc w:val="both"/>
        <w:textAlignment w:val="auto"/>
        <w:rPr>
          <w:rStyle w:val="18"/>
          <w:rFonts w:ascii="仿宋_GB2312" w:hAnsi="仿宋_GB2312" w:eastAsia="仿宋_GB2312" w:cs="Times New Roman"/>
          <w:b w:val="0"/>
          <w:bCs w:val="0"/>
        </w:rPr>
      </w:pPr>
      <w:r>
        <w:rPr>
          <w:rStyle w:val="18"/>
          <w:rFonts w:hint="eastAsia" w:ascii="黑体" w:hAnsi="黑体" w:eastAsia="黑体" w:cs="黑体"/>
          <w:b w:val="0"/>
          <w:bCs w:val="0"/>
        </w:rPr>
        <w:t>十、预算绩效情况说明</w:t>
      </w:r>
    </w:p>
    <w:p>
      <w:pPr>
        <w:pageBreakBefore w:val="0"/>
        <w:kinsoku/>
        <w:wordWrap/>
        <w:overflowPunct/>
        <w:topLinePunct w:val="0"/>
        <w:autoSpaceDE/>
        <w:autoSpaceDN/>
        <w:bidi w:val="0"/>
        <w:adjustRightInd/>
        <w:snapToGrid/>
        <w:spacing w:line="576" w:lineRule="exact"/>
        <w:ind w:firstLine="642" w:firstLineChars="200"/>
        <w:jc w:val="both"/>
        <w:textAlignment w:val="auto"/>
        <w:outlineLvl w:val="1"/>
        <w:rPr>
          <w:rFonts w:hint="eastAsia" w:ascii="楷体" w:hAnsi="楷体" w:eastAsia="楷体" w:cs="楷体"/>
          <w:b/>
          <w:bCs/>
          <w:sz w:val="32"/>
          <w:szCs w:val="32"/>
        </w:rPr>
      </w:pPr>
      <w:r>
        <w:rPr>
          <w:rFonts w:hint="eastAsia" w:ascii="楷体" w:hAnsi="楷体" w:eastAsia="楷体" w:cs="楷体"/>
          <w:b/>
          <w:bCs/>
          <w:sz w:val="32"/>
          <w:szCs w:val="32"/>
          <w:lang w:val="en-US" w:eastAsia="zh-CN"/>
        </w:rPr>
        <w:t>1.</w:t>
      </w:r>
      <w:r>
        <w:rPr>
          <w:rFonts w:hint="eastAsia" w:ascii="楷体" w:hAnsi="楷体" w:eastAsia="楷体" w:cs="楷体"/>
          <w:b/>
          <w:bCs/>
          <w:sz w:val="32"/>
          <w:szCs w:val="32"/>
        </w:rPr>
        <w:t>预算绩效管理工作开展情况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智能库建设项目开展了预算事前绩效评估，对该项目编制了绩效目标，预算执行过程中，选取该项目开展绩效监控，年终执行完毕后，对此项目开展了绩效目标完成情况梳理填报。</w:t>
      </w:r>
    </w:p>
    <w:p>
      <w:pPr>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本部门按要求对 2018 年部门整体支出开展绩效自评，</w:t>
      </w:r>
    </w:p>
    <w:p>
      <w:pPr>
        <w:pageBreakBefore w:val="0"/>
        <w:widowControl/>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从评价情况来看，2018 年我局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pageBreakBefore w:val="0"/>
        <w:kinsoku/>
        <w:wordWrap/>
        <w:overflowPunct/>
        <w:topLinePunct w:val="0"/>
        <w:autoSpaceDE/>
        <w:autoSpaceDN/>
        <w:bidi w:val="0"/>
        <w:adjustRightInd/>
        <w:snapToGrid/>
        <w:spacing w:line="576" w:lineRule="exact"/>
        <w:ind w:left="638" w:leftChars="304"/>
        <w:jc w:val="both"/>
        <w:textAlignment w:val="auto"/>
        <w:outlineLvl w:val="1"/>
        <w:rPr>
          <w:rFonts w:hint="eastAsia" w:ascii="楷体" w:hAnsi="楷体" w:eastAsia="楷体" w:cs="楷体"/>
          <w:b/>
          <w:bCs/>
          <w:sz w:val="32"/>
          <w:szCs w:val="32"/>
        </w:rPr>
      </w:pPr>
      <w:r>
        <w:rPr>
          <w:rFonts w:hint="eastAsia" w:ascii="楷体" w:hAnsi="楷体" w:eastAsia="楷体" w:cs="楷体"/>
          <w:b/>
          <w:bCs/>
          <w:sz w:val="32"/>
          <w:szCs w:val="32"/>
          <w:lang w:val="en-US" w:eastAsia="zh-CN"/>
        </w:rPr>
        <w:t>2.</w:t>
      </w:r>
      <w:r>
        <w:rPr>
          <w:rFonts w:hint="eastAsia" w:ascii="楷体" w:hAnsi="楷体" w:eastAsia="楷体" w:cs="楷体"/>
          <w:b/>
          <w:bCs/>
          <w:sz w:val="32"/>
          <w:szCs w:val="32"/>
        </w:rPr>
        <w:t>项目绩效目标完成情况</w:t>
      </w:r>
    </w:p>
    <w:p>
      <w:pPr>
        <w:pageBreakBefore w:val="0"/>
        <w:kinsoku/>
        <w:wordWrap/>
        <w:overflowPunct/>
        <w:topLinePunct w:val="0"/>
        <w:autoSpaceDE/>
        <w:autoSpaceDN/>
        <w:bidi w:val="0"/>
        <w:adjustRightInd/>
        <w:snapToGrid/>
        <w:spacing w:line="576" w:lineRule="exact"/>
        <w:ind w:firstLine="640" w:firstLineChars="200"/>
        <w:jc w:val="both"/>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本部门在2018年度部门决算中反映储备粮（油）智能库建设项目绩效目标实际完成情况。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8年储备粮（油）智能库建设项目绩效目标完成情况综述。项目全年预算数52万元，执行数为35.45万元，完成预算的68%。通过项目实施，提升了我县粮食储备能力 ，有效的改善储备粮油环境、提高储备粮食品质。减少粮食产后损失。</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仿宋_GB2312" w:hAnsi="仿宋_GB2312" w:eastAsia="仿宋_GB2312"/>
          <w:sz w:val="32"/>
          <w:szCs w:val="32"/>
        </w:rPr>
      </w:pPr>
    </w:p>
    <w:tbl>
      <w:tblPr>
        <w:tblStyle w:val="13"/>
        <w:tblpPr w:leftFromText="180" w:rightFromText="180" w:vertAnchor="text" w:horzAnchor="page" w:tblpX="959" w:tblpY="218"/>
        <w:tblOverlap w:val="never"/>
        <w:tblW w:w="8880" w:type="dxa"/>
        <w:tblInd w:w="0" w:type="dxa"/>
        <w:tblLayout w:type="fixed"/>
        <w:tblCellMar>
          <w:top w:w="0" w:type="dxa"/>
          <w:left w:w="0" w:type="dxa"/>
          <w:bottom w:w="0" w:type="dxa"/>
          <w:right w:w="0" w:type="dxa"/>
        </w:tblCellMar>
      </w:tblPr>
      <w:tblGrid>
        <w:gridCol w:w="347"/>
        <w:gridCol w:w="1218"/>
        <w:gridCol w:w="914"/>
        <w:gridCol w:w="2132"/>
        <w:gridCol w:w="2135"/>
        <w:gridCol w:w="2134"/>
      </w:tblGrid>
      <w:tr>
        <w:tblPrEx>
          <w:tblCellMar>
            <w:top w:w="0" w:type="dxa"/>
            <w:left w:w="0" w:type="dxa"/>
            <w:bottom w:w="0" w:type="dxa"/>
            <w:right w:w="0" w:type="dxa"/>
          </w:tblCellMar>
        </w:tblPrEx>
        <w:trPr>
          <w:trHeight w:val="753" w:hRule="atLeast"/>
        </w:trPr>
        <w:tc>
          <w:tcPr>
            <w:tcW w:w="8880"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11" w:hRule="atLeast"/>
        </w:trPr>
        <w:tc>
          <w:tcPr>
            <w:tcW w:w="24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640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ascii="宋体" w:cs="宋体"/>
                <w:color w:val="000000"/>
                <w:sz w:val="24"/>
                <w:szCs w:val="24"/>
              </w:rPr>
              <w:t>2018</w:t>
            </w:r>
            <w:r>
              <w:rPr>
                <w:rFonts w:hint="eastAsia" w:ascii="宋体" w:cs="宋体"/>
                <w:color w:val="000000"/>
                <w:sz w:val="24"/>
                <w:szCs w:val="24"/>
              </w:rPr>
              <w:t>年智能库建设工程</w:t>
            </w:r>
          </w:p>
        </w:tc>
      </w:tr>
      <w:tr>
        <w:tblPrEx>
          <w:tblCellMar>
            <w:top w:w="0" w:type="dxa"/>
            <w:left w:w="0" w:type="dxa"/>
            <w:bottom w:w="0" w:type="dxa"/>
            <w:right w:w="0" w:type="dxa"/>
          </w:tblCellMar>
        </w:tblPrEx>
        <w:trPr>
          <w:trHeight w:val="211" w:hRule="atLeast"/>
        </w:trPr>
        <w:tc>
          <w:tcPr>
            <w:tcW w:w="24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640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茂县粮食局</w:t>
            </w:r>
          </w:p>
        </w:tc>
      </w:tr>
      <w:tr>
        <w:tblPrEx>
          <w:tblCellMar>
            <w:top w:w="0" w:type="dxa"/>
            <w:left w:w="0" w:type="dxa"/>
            <w:bottom w:w="0" w:type="dxa"/>
            <w:right w:w="0" w:type="dxa"/>
          </w:tblCellMar>
        </w:tblPrEx>
        <w:trPr>
          <w:trHeight w:val="211" w:hRule="atLeast"/>
        </w:trPr>
        <w:tc>
          <w:tcPr>
            <w:tcW w:w="34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13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13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52</w:t>
            </w:r>
          </w:p>
        </w:tc>
        <w:tc>
          <w:tcPr>
            <w:tcW w:w="21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35.45</w:t>
            </w:r>
          </w:p>
        </w:tc>
      </w:tr>
      <w:tr>
        <w:tblPrEx>
          <w:tblCellMar>
            <w:top w:w="0" w:type="dxa"/>
            <w:left w:w="0" w:type="dxa"/>
            <w:bottom w:w="0" w:type="dxa"/>
            <w:right w:w="0" w:type="dxa"/>
          </w:tblCellMar>
        </w:tblPrEx>
        <w:trPr>
          <w:trHeight w:val="211" w:hRule="atLeast"/>
        </w:trPr>
        <w:tc>
          <w:tcPr>
            <w:tcW w:w="34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13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13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52</w:t>
            </w:r>
          </w:p>
        </w:tc>
        <w:tc>
          <w:tcPr>
            <w:tcW w:w="21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35.45</w:t>
            </w:r>
          </w:p>
        </w:tc>
      </w:tr>
      <w:tr>
        <w:tblPrEx>
          <w:tblCellMar>
            <w:top w:w="0" w:type="dxa"/>
            <w:left w:w="0" w:type="dxa"/>
            <w:bottom w:w="0" w:type="dxa"/>
            <w:right w:w="0" w:type="dxa"/>
          </w:tblCellMar>
        </w:tblPrEx>
        <w:trPr>
          <w:trHeight w:val="1452" w:hRule="atLeast"/>
        </w:trPr>
        <w:tc>
          <w:tcPr>
            <w:tcW w:w="34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13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13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1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olor w:val="000000"/>
                <w:sz w:val="24"/>
                <w:szCs w:val="24"/>
              </w:rPr>
            </w:pPr>
          </w:p>
        </w:tc>
      </w:tr>
      <w:tr>
        <w:tblPrEx>
          <w:tblCellMar>
            <w:top w:w="0" w:type="dxa"/>
            <w:left w:w="0" w:type="dxa"/>
            <w:bottom w:w="0" w:type="dxa"/>
            <w:right w:w="0" w:type="dxa"/>
          </w:tblCellMar>
        </w:tblPrEx>
        <w:trPr>
          <w:trHeight w:val="211" w:hRule="atLeast"/>
        </w:trPr>
        <w:tc>
          <w:tcPr>
            <w:tcW w:w="34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26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26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291" w:hRule="atLeast"/>
        </w:trPr>
        <w:tc>
          <w:tcPr>
            <w:tcW w:w="34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26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提升我县粮食储备能力，改善储粮环境，提高粮食品质，减少粮食产后损失</w:t>
            </w: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tc>
        <w:tc>
          <w:tcPr>
            <w:tcW w:w="426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提升我县粮食储备能力，改善储粮环境，提高粮食品质，减少粮食产后损失</w:t>
            </w:r>
          </w:p>
        </w:tc>
      </w:tr>
      <w:tr>
        <w:tblPrEx>
          <w:tblCellMar>
            <w:top w:w="0" w:type="dxa"/>
            <w:left w:w="0" w:type="dxa"/>
            <w:bottom w:w="0" w:type="dxa"/>
            <w:right w:w="0" w:type="dxa"/>
          </w:tblCellMar>
        </w:tblPrEx>
        <w:trPr>
          <w:trHeight w:val="392" w:hRule="atLeast"/>
        </w:trPr>
        <w:tc>
          <w:tcPr>
            <w:tcW w:w="34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2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91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13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p>
        </w:tc>
        <w:tc>
          <w:tcPr>
            <w:tcW w:w="21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45" w:hRule="atLeast"/>
        </w:trPr>
        <w:tc>
          <w:tcPr>
            <w:tcW w:w="34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2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91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rPr>
                <w:rFonts w:ascii="仿宋_GB2312" w:hAnsi="仿宋_GB2312" w:eastAsia="仿宋_GB2312"/>
                <w:sz w:val="24"/>
                <w:szCs w:val="24"/>
              </w:rPr>
            </w:pPr>
            <w:r>
              <w:rPr>
                <w:rFonts w:hint="eastAsia" w:ascii="仿宋_GB2312" w:hAnsi="仿宋_GB2312" w:eastAsia="仿宋_GB2312" w:cs="仿宋_GB2312"/>
                <w:color w:val="000000"/>
                <w:kern w:val="0"/>
                <w:sz w:val="24"/>
                <w:szCs w:val="24"/>
              </w:rPr>
              <w:t>质量指标</w:t>
            </w:r>
          </w:p>
          <w:p>
            <w:pPr>
              <w:widowControl/>
              <w:jc w:val="center"/>
              <w:textAlignment w:val="center"/>
              <w:rPr>
                <w:rFonts w:ascii="宋体"/>
                <w:color w:val="000000"/>
                <w:sz w:val="24"/>
                <w:szCs w:val="24"/>
              </w:rPr>
            </w:pPr>
          </w:p>
        </w:tc>
        <w:tc>
          <w:tcPr>
            <w:tcW w:w="213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建设质量</w:t>
            </w:r>
          </w:p>
        </w:tc>
        <w:tc>
          <w:tcPr>
            <w:tcW w:w="21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rPr>
                <w:rFonts w:ascii="宋体"/>
                <w:sz w:val="24"/>
                <w:szCs w:val="24"/>
              </w:rPr>
            </w:pPr>
            <w:r>
              <w:rPr>
                <w:rFonts w:hint="eastAsia" w:ascii="宋体" w:hAnsi="宋体" w:cs="宋体"/>
                <w:color w:val="000000"/>
                <w:kern w:val="0"/>
                <w:sz w:val="24"/>
                <w:szCs w:val="24"/>
              </w:rPr>
              <w:t>按照相关部门要求，标</w:t>
            </w:r>
          </w:p>
          <w:p>
            <w:pPr>
              <w:widowControl/>
              <w:jc w:val="left"/>
              <w:rPr>
                <w:rFonts w:ascii="宋体"/>
                <w:sz w:val="24"/>
                <w:szCs w:val="24"/>
              </w:rPr>
            </w:pPr>
            <w:r>
              <w:rPr>
                <w:rFonts w:hint="eastAsia" w:ascii="宋体" w:hAnsi="宋体" w:cs="宋体"/>
                <w:color w:val="000000"/>
                <w:kern w:val="0"/>
                <w:sz w:val="24"/>
                <w:szCs w:val="24"/>
              </w:rPr>
              <w:t>准化建设</w:t>
            </w:r>
          </w:p>
          <w:p>
            <w:pPr>
              <w:widowControl/>
              <w:jc w:val="left"/>
              <w:rPr>
                <w:rFonts w:ascii="宋体"/>
                <w:sz w:val="24"/>
                <w:szCs w:val="24"/>
              </w:rPr>
            </w:pPr>
          </w:p>
          <w:p>
            <w:pPr>
              <w:widowControl/>
              <w:jc w:val="center"/>
              <w:textAlignment w:val="center"/>
              <w:rPr>
                <w:rFonts w:ascii="宋体"/>
                <w:color w:val="000000"/>
                <w:sz w:val="24"/>
                <w:szCs w:val="24"/>
              </w:rPr>
            </w:pPr>
          </w:p>
        </w:tc>
        <w:tc>
          <w:tcPr>
            <w:tcW w:w="2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pPr>
          </w:p>
          <w:p>
            <w:pPr>
              <w:widowControl/>
              <w:jc w:val="left"/>
              <w:rPr>
                <w:sz w:val="24"/>
                <w:szCs w:val="24"/>
              </w:rPr>
            </w:pPr>
            <w:r>
              <w:rPr>
                <w:rFonts w:hint="eastAsia" w:ascii="宋体" w:hAnsi="宋体" w:cs="宋体"/>
                <w:color w:val="000000"/>
                <w:kern w:val="0"/>
                <w:sz w:val="24"/>
                <w:szCs w:val="24"/>
              </w:rPr>
              <w:t>标准化建设完成，已</w:t>
            </w:r>
          </w:p>
          <w:p>
            <w:pPr>
              <w:widowControl/>
              <w:jc w:val="left"/>
              <w:rPr>
                <w:sz w:val="24"/>
                <w:szCs w:val="24"/>
              </w:rPr>
            </w:pPr>
            <w:r>
              <w:rPr>
                <w:rFonts w:hint="eastAsia" w:ascii="宋体" w:hAnsi="宋体" w:cs="宋体"/>
                <w:color w:val="000000"/>
                <w:kern w:val="0"/>
                <w:sz w:val="24"/>
                <w:szCs w:val="24"/>
              </w:rPr>
              <w:t>验收</w:t>
            </w:r>
          </w:p>
          <w:p>
            <w:pPr>
              <w:widowControl/>
              <w:jc w:val="center"/>
              <w:textAlignment w:val="center"/>
              <w:rPr>
                <w:rFonts w:ascii="宋体"/>
                <w:color w:val="000000"/>
                <w:sz w:val="24"/>
                <w:szCs w:val="24"/>
              </w:rPr>
            </w:pPr>
          </w:p>
        </w:tc>
      </w:tr>
      <w:tr>
        <w:tblPrEx>
          <w:tblCellMar>
            <w:top w:w="0" w:type="dxa"/>
            <w:left w:w="0" w:type="dxa"/>
            <w:bottom w:w="0" w:type="dxa"/>
            <w:right w:w="0" w:type="dxa"/>
          </w:tblCellMar>
        </w:tblPrEx>
        <w:trPr>
          <w:trHeight w:val="392" w:hRule="atLeast"/>
        </w:trPr>
        <w:tc>
          <w:tcPr>
            <w:tcW w:w="34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2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91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时效指标</w:t>
            </w:r>
          </w:p>
        </w:tc>
        <w:tc>
          <w:tcPr>
            <w:tcW w:w="213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完成时间</w:t>
            </w:r>
          </w:p>
        </w:tc>
        <w:tc>
          <w:tcPr>
            <w:tcW w:w="21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2018</w:t>
            </w:r>
            <w:r>
              <w:rPr>
                <w:rFonts w:hint="eastAsia" w:ascii="宋体" w:cs="宋体"/>
                <w:color w:val="000000"/>
                <w:sz w:val="24"/>
                <w:szCs w:val="24"/>
              </w:rPr>
              <w:t>年年度</w:t>
            </w:r>
          </w:p>
        </w:tc>
        <w:tc>
          <w:tcPr>
            <w:tcW w:w="2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2018</w:t>
            </w:r>
            <w:r>
              <w:rPr>
                <w:rFonts w:hint="eastAsia" w:ascii="宋体" w:cs="宋体"/>
                <w:color w:val="000000"/>
                <w:sz w:val="24"/>
                <w:szCs w:val="24"/>
              </w:rPr>
              <w:t>年</w:t>
            </w:r>
            <w:r>
              <w:rPr>
                <w:rFonts w:ascii="宋体" w:cs="宋体"/>
                <w:color w:val="000000"/>
                <w:sz w:val="24"/>
                <w:szCs w:val="24"/>
              </w:rPr>
              <w:t>11</w:t>
            </w:r>
            <w:r>
              <w:rPr>
                <w:rFonts w:hint="eastAsia" w:ascii="宋体" w:cs="宋体"/>
                <w:color w:val="000000"/>
                <w:sz w:val="24"/>
                <w:szCs w:val="24"/>
              </w:rPr>
              <w:t>月</w:t>
            </w:r>
            <w:r>
              <w:rPr>
                <w:rFonts w:ascii="宋体" w:cs="宋体"/>
                <w:color w:val="000000"/>
                <w:sz w:val="24"/>
                <w:szCs w:val="24"/>
              </w:rPr>
              <w:t>30</w:t>
            </w:r>
            <w:r>
              <w:rPr>
                <w:rFonts w:hint="eastAsia" w:ascii="宋体" w:cs="宋体"/>
                <w:color w:val="000000"/>
                <w:sz w:val="24"/>
                <w:szCs w:val="24"/>
              </w:rPr>
              <w:t>日</w:t>
            </w:r>
          </w:p>
        </w:tc>
      </w:tr>
      <w:tr>
        <w:tblPrEx>
          <w:tblCellMar>
            <w:top w:w="0" w:type="dxa"/>
            <w:left w:w="0" w:type="dxa"/>
            <w:bottom w:w="0" w:type="dxa"/>
            <w:right w:w="0" w:type="dxa"/>
          </w:tblCellMar>
        </w:tblPrEx>
        <w:trPr>
          <w:trHeight w:val="392" w:hRule="atLeast"/>
        </w:trPr>
        <w:tc>
          <w:tcPr>
            <w:tcW w:w="34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2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91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数据指标</w:t>
            </w:r>
          </w:p>
        </w:tc>
        <w:tc>
          <w:tcPr>
            <w:tcW w:w="213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受益人数</w:t>
            </w:r>
          </w:p>
        </w:tc>
        <w:tc>
          <w:tcPr>
            <w:tcW w:w="21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全县群众</w:t>
            </w:r>
          </w:p>
        </w:tc>
        <w:tc>
          <w:tcPr>
            <w:tcW w:w="2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全县群众</w:t>
            </w:r>
          </w:p>
        </w:tc>
      </w:tr>
      <w:tr>
        <w:tblPrEx>
          <w:tblCellMar>
            <w:top w:w="0" w:type="dxa"/>
            <w:left w:w="0" w:type="dxa"/>
            <w:bottom w:w="0" w:type="dxa"/>
            <w:right w:w="0" w:type="dxa"/>
          </w:tblCellMar>
        </w:tblPrEx>
        <w:trPr>
          <w:trHeight w:val="573" w:hRule="atLeast"/>
        </w:trPr>
        <w:tc>
          <w:tcPr>
            <w:tcW w:w="34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2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91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社会效益指标</w:t>
            </w:r>
          </w:p>
        </w:tc>
        <w:tc>
          <w:tcPr>
            <w:tcW w:w="213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rPr>
                <w:rFonts w:ascii="宋体"/>
                <w:sz w:val="24"/>
                <w:szCs w:val="24"/>
              </w:rPr>
            </w:pPr>
            <w:r>
              <w:rPr>
                <w:rFonts w:hint="eastAsia" w:ascii="宋体" w:hAnsi="宋体" w:cs="宋体"/>
                <w:color w:val="000000"/>
                <w:kern w:val="0"/>
                <w:sz w:val="24"/>
                <w:szCs w:val="24"/>
              </w:rPr>
              <w:t>拟达成效</w:t>
            </w:r>
          </w:p>
          <w:p>
            <w:pPr>
              <w:widowControl/>
              <w:jc w:val="center"/>
              <w:textAlignment w:val="center"/>
              <w:rPr>
                <w:rFonts w:ascii="宋体"/>
                <w:color w:val="000000"/>
                <w:sz w:val="24"/>
                <w:szCs w:val="24"/>
              </w:rPr>
            </w:pPr>
          </w:p>
        </w:tc>
        <w:tc>
          <w:tcPr>
            <w:tcW w:w="21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rPr>
                <w:sz w:val="24"/>
                <w:szCs w:val="24"/>
              </w:rPr>
            </w:pPr>
            <w:r>
              <w:rPr>
                <w:rFonts w:hint="eastAsia" w:ascii="宋体" w:hAnsi="宋体" w:cs="宋体"/>
                <w:color w:val="000000"/>
                <w:kern w:val="0"/>
                <w:sz w:val="24"/>
                <w:szCs w:val="24"/>
              </w:rPr>
              <w:t>支撑财政业务开展</w:t>
            </w:r>
          </w:p>
          <w:p>
            <w:pPr>
              <w:widowControl/>
              <w:jc w:val="center"/>
              <w:textAlignment w:val="center"/>
              <w:rPr>
                <w:rFonts w:ascii="宋体"/>
                <w:color w:val="000000"/>
                <w:sz w:val="24"/>
                <w:szCs w:val="24"/>
              </w:rPr>
            </w:pPr>
          </w:p>
        </w:tc>
        <w:tc>
          <w:tcPr>
            <w:tcW w:w="2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rPr>
                <w:sz w:val="24"/>
                <w:szCs w:val="24"/>
              </w:rPr>
            </w:pPr>
            <w:r>
              <w:rPr>
                <w:rFonts w:hint="eastAsia" w:ascii="宋体" w:hAnsi="宋体" w:cs="宋体"/>
                <w:color w:val="000000"/>
                <w:kern w:val="0"/>
                <w:sz w:val="24"/>
                <w:szCs w:val="24"/>
              </w:rPr>
              <w:t>支撑财政业务开展</w:t>
            </w:r>
          </w:p>
          <w:p>
            <w:pPr>
              <w:widowControl/>
              <w:jc w:val="center"/>
              <w:textAlignment w:val="center"/>
              <w:rPr>
                <w:rFonts w:ascii="宋体"/>
                <w:color w:val="000000"/>
                <w:sz w:val="24"/>
                <w:szCs w:val="24"/>
              </w:rPr>
            </w:pPr>
          </w:p>
        </w:tc>
      </w:tr>
      <w:tr>
        <w:tblPrEx>
          <w:tblCellMar>
            <w:top w:w="0" w:type="dxa"/>
            <w:left w:w="0" w:type="dxa"/>
            <w:bottom w:w="0" w:type="dxa"/>
            <w:right w:w="0" w:type="dxa"/>
          </w:tblCellMar>
        </w:tblPrEx>
        <w:trPr>
          <w:trHeight w:val="950" w:hRule="atLeast"/>
        </w:trPr>
        <w:tc>
          <w:tcPr>
            <w:tcW w:w="34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2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91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cs="宋体"/>
                <w:color w:val="000000"/>
                <w:sz w:val="24"/>
                <w:szCs w:val="24"/>
              </w:rPr>
              <w:t>度指标</w:t>
            </w:r>
          </w:p>
        </w:tc>
        <w:tc>
          <w:tcPr>
            <w:tcW w:w="213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用户满意度</w:t>
            </w:r>
          </w:p>
        </w:tc>
        <w:tc>
          <w:tcPr>
            <w:tcW w:w="21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rPr>
                <w:sz w:val="32"/>
                <w:szCs w:val="32"/>
              </w:rPr>
            </w:pPr>
            <w:r>
              <w:rPr>
                <w:rFonts w:ascii="宋体" w:hAnsi="宋体" w:cs="宋体"/>
                <w:color w:val="000000"/>
                <w:kern w:val="0"/>
                <w:sz w:val="32"/>
                <w:szCs w:val="32"/>
              </w:rPr>
              <w:t xml:space="preserve">&gt;90% </w:t>
            </w:r>
          </w:p>
          <w:p>
            <w:pPr>
              <w:widowControl/>
              <w:jc w:val="center"/>
              <w:textAlignment w:val="center"/>
              <w:rPr>
                <w:rFonts w:ascii="宋体"/>
                <w:color w:val="000000"/>
                <w:sz w:val="24"/>
                <w:szCs w:val="24"/>
              </w:rPr>
            </w:pPr>
          </w:p>
        </w:tc>
        <w:tc>
          <w:tcPr>
            <w:tcW w:w="2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rPr>
                <w:sz w:val="32"/>
                <w:szCs w:val="32"/>
              </w:rPr>
            </w:pPr>
            <w:r>
              <w:rPr>
                <w:rFonts w:hint="eastAsia" w:ascii="宋体" w:hAnsi="宋体" w:cs="宋体"/>
                <w:color w:val="000000"/>
                <w:kern w:val="0"/>
                <w:sz w:val="32"/>
                <w:szCs w:val="32"/>
              </w:rPr>
              <w:t>用户满意度达</w:t>
            </w:r>
            <w:r>
              <w:rPr>
                <w:rFonts w:ascii="宋体" w:hAnsi="宋体" w:cs="宋体"/>
                <w:color w:val="000000"/>
                <w:kern w:val="0"/>
                <w:sz w:val="32"/>
                <w:szCs w:val="32"/>
              </w:rPr>
              <w:t xml:space="preserve"> 100%</w:t>
            </w:r>
          </w:p>
          <w:p>
            <w:pPr>
              <w:widowControl/>
              <w:jc w:val="center"/>
              <w:textAlignment w:val="center"/>
              <w:rPr>
                <w:rFonts w:ascii="宋体"/>
                <w:color w:val="000000"/>
                <w:sz w:val="24"/>
                <w:szCs w:val="24"/>
              </w:rPr>
            </w:pPr>
          </w:p>
        </w:tc>
      </w:tr>
    </w:tbl>
    <w:p>
      <w:pPr>
        <w:spacing w:line="580" w:lineRule="exact"/>
        <w:rPr>
          <w:rFonts w:ascii="仿宋_GB2312" w:hAnsi="仿宋_GB2312" w:eastAsia="仿宋_GB2312"/>
          <w:sz w:val="32"/>
          <w:szCs w:val="32"/>
        </w:rPr>
      </w:pPr>
    </w:p>
    <w:p>
      <w:pPr>
        <w:spacing w:line="600" w:lineRule="exact"/>
        <w:ind w:firstLine="642" w:firstLineChars="200"/>
        <w:outlineLvl w:val="1"/>
        <w:rPr>
          <w:rFonts w:ascii="楷体_GB2312" w:hAnsi="楷体" w:eastAsia="楷体_GB2312"/>
          <w:sz w:val="32"/>
          <w:szCs w:val="32"/>
        </w:rPr>
      </w:pPr>
      <w:r>
        <w:rPr>
          <w:rFonts w:hint="eastAsia" w:ascii="楷体_GB2312" w:hAnsi="楷体" w:eastAsia="楷体_GB2312" w:cs="楷体"/>
          <w:b/>
          <w:bCs/>
          <w:sz w:val="32"/>
          <w:szCs w:val="32"/>
          <w:lang w:val="en-US" w:eastAsia="zh-CN"/>
        </w:rPr>
        <w:t>3.</w:t>
      </w:r>
      <w:r>
        <w:rPr>
          <w:rFonts w:hint="eastAsia" w:ascii="楷体_GB2312" w:hAnsi="楷体" w:eastAsia="楷体_GB2312" w:cs="楷体"/>
          <w:b/>
          <w:bCs/>
          <w:sz w:val="32"/>
          <w:szCs w:val="32"/>
        </w:rPr>
        <w:t>部门开展绩效评价结果</w:t>
      </w:r>
    </w:p>
    <w:p>
      <w:pPr>
        <w:keepNext w:val="0"/>
        <w:keepLines w:val="0"/>
        <w:pageBreakBefore w:val="0"/>
        <w:kinsoku/>
        <w:wordWrap/>
        <w:overflowPunct/>
        <w:topLinePunct w:val="0"/>
        <w:bidi w:val="0"/>
        <w:snapToGrid/>
        <w:spacing w:line="576" w:lineRule="exact"/>
        <w:ind w:firstLine="640" w:firstLineChars="200"/>
        <w:jc w:val="left"/>
        <w:textAlignment w:val="auto"/>
        <w:rPr>
          <w:rFonts w:hint="eastAsia" w:ascii="仿宋_GB2312" w:hAnsi="仿宋_GB2312" w:eastAsia="仿宋_GB2312" w:cs="仿宋_GB2312"/>
          <w:sz w:val="44"/>
          <w:szCs w:val="44"/>
        </w:rPr>
      </w:pPr>
      <w:r>
        <w:rPr>
          <w:rFonts w:hint="eastAsia" w:ascii="仿宋_GB2312" w:hAnsi="仿宋_GB2312" w:eastAsia="仿宋_GB2312" w:cs="仿宋_GB2312"/>
          <w:sz w:val="32"/>
          <w:szCs w:val="32"/>
        </w:rPr>
        <w:t>本部门按要求对2018年部门整体支出绩效评价情况开展自评。</w:t>
      </w:r>
    </w:p>
    <w:p>
      <w:pPr>
        <w:keepNext w:val="0"/>
        <w:keepLines w:val="0"/>
        <w:pageBreakBefore w:val="0"/>
        <w:kinsoku/>
        <w:wordWrap/>
        <w:overflowPunct/>
        <w:topLinePunct w:val="0"/>
        <w:bidi w:val="0"/>
        <w:snapToGrid/>
        <w:spacing w:line="576" w:lineRule="exact"/>
        <w:ind w:firstLine="640" w:firstLineChars="200"/>
        <w:jc w:val="left"/>
        <w:textAlignment w:val="auto"/>
        <w:outlineLvl w:val="1"/>
        <w:rPr>
          <w:rStyle w:val="18"/>
          <w:rFonts w:ascii="黑体" w:hAnsi="黑体" w:eastAsia="黑体" w:cs="Times New Roman"/>
          <w:b w:val="0"/>
          <w:bCs w:val="0"/>
        </w:rPr>
      </w:pPr>
      <w:bookmarkStart w:id="50" w:name="_Toc15377221"/>
      <w:bookmarkStart w:id="51" w:name="_Toc15396612"/>
      <w:r>
        <w:rPr>
          <w:rFonts w:hint="eastAsia" w:ascii="黑体" w:hAnsi="黑体" w:eastAsia="黑体" w:cs="黑体"/>
          <w:b w:val="0"/>
          <w:bCs w:val="0"/>
          <w:color w:val="000000"/>
          <w:sz w:val="32"/>
          <w:szCs w:val="32"/>
        </w:rPr>
        <w:t>十</w:t>
      </w:r>
      <w:r>
        <w:rPr>
          <w:rStyle w:val="18"/>
          <w:rFonts w:hint="eastAsia" w:ascii="黑体" w:hAnsi="黑体" w:eastAsia="黑体" w:cs="黑体"/>
          <w:b w:val="0"/>
          <w:bCs w:val="0"/>
        </w:rPr>
        <w:t>一、其他重要事项的情况说明</w:t>
      </w:r>
      <w:bookmarkEnd w:id="50"/>
      <w:bookmarkEnd w:id="51"/>
    </w:p>
    <w:p>
      <w:pPr>
        <w:keepNext w:val="0"/>
        <w:keepLines w:val="0"/>
        <w:pageBreakBefore w:val="0"/>
        <w:kinsoku/>
        <w:wordWrap/>
        <w:overflowPunct/>
        <w:topLinePunct w:val="0"/>
        <w:bidi w:val="0"/>
        <w:snapToGrid/>
        <w:spacing w:line="576" w:lineRule="exact"/>
        <w:ind w:firstLine="642" w:firstLineChars="200"/>
        <w:jc w:val="left"/>
        <w:textAlignment w:val="auto"/>
        <w:outlineLvl w:val="2"/>
        <w:rPr>
          <w:rFonts w:ascii="楷体_GB2312" w:hAnsi="仿宋_GB2312" w:eastAsia="楷体_GB2312"/>
          <w:color w:val="000000"/>
          <w:sz w:val="32"/>
          <w:szCs w:val="32"/>
        </w:rPr>
      </w:pPr>
      <w:bookmarkStart w:id="52" w:name="_Toc15377222"/>
      <w:r>
        <w:rPr>
          <w:rFonts w:hint="eastAsia" w:ascii="楷体_GB2312" w:hAnsi="楷体" w:eastAsia="楷体_GB2312" w:cs="楷体"/>
          <w:b/>
          <w:bCs/>
          <w:color w:val="000000"/>
          <w:sz w:val="32"/>
          <w:szCs w:val="32"/>
        </w:rPr>
        <w:t>（一）机关运行经费支出情况</w:t>
      </w:r>
      <w:bookmarkEnd w:id="52"/>
    </w:p>
    <w:p>
      <w:pPr>
        <w:keepNext w:val="0"/>
        <w:keepLines w:val="0"/>
        <w:pageBreakBefore w:val="0"/>
        <w:kinsoku/>
        <w:wordWrap/>
        <w:overflowPunct/>
        <w:topLinePunct w:val="0"/>
        <w:bidi w:val="0"/>
        <w:snapToGrid/>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2018年，茂县粮食局机关运行经费支出14.41万元，与2017持平。</w:t>
      </w:r>
    </w:p>
    <w:p>
      <w:pPr>
        <w:keepNext w:val="0"/>
        <w:keepLines w:val="0"/>
        <w:pageBreakBefore w:val="0"/>
        <w:kinsoku/>
        <w:wordWrap/>
        <w:overflowPunct/>
        <w:topLinePunct w:val="0"/>
        <w:bidi w:val="0"/>
        <w:snapToGrid/>
        <w:spacing w:line="576" w:lineRule="exact"/>
        <w:ind w:firstLine="642" w:firstLineChars="200"/>
        <w:jc w:val="left"/>
        <w:textAlignment w:val="auto"/>
        <w:outlineLvl w:val="1"/>
        <w:rPr>
          <w:rFonts w:ascii="楷体_GB2312" w:hAnsi="楷体" w:eastAsia="楷体_GB2312"/>
          <w:b/>
          <w:bCs/>
          <w:color w:val="000000"/>
          <w:sz w:val="32"/>
          <w:szCs w:val="32"/>
        </w:rPr>
      </w:pPr>
      <w:bookmarkStart w:id="53" w:name="_Toc15377223"/>
      <w:r>
        <w:rPr>
          <w:rFonts w:hint="eastAsia" w:ascii="楷体_GB2312" w:hAnsi="仿宋" w:eastAsia="楷体_GB2312" w:cs="仿宋"/>
          <w:b/>
          <w:bCs/>
          <w:color w:val="000000"/>
          <w:sz w:val="32"/>
          <w:szCs w:val="32"/>
        </w:rPr>
        <w:t>（二）</w:t>
      </w:r>
      <w:r>
        <w:rPr>
          <w:rFonts w:hint="eastAsia" w:ascii="楷体_GB2312" w:hAnsi="楷体" w:eastAsia="楷体_GB2312" w:cs="楷体"/>
          <w:b/>
          <w:bCs/>
          <w:color w:val="000000"/>
          <w:sz w:val="32"/>
          <w:szCs w:val="32"/>
        </w:rPr>
        <w:t>政府采购支出情况</w:t>
      </w:r>
      <w:bookmarkEnd w:id="53"/>
    </w:p>
    <w:p>
      <w:pPr>
        <w:keepNext w:val="0"/>
        <w:keepLines w:val="0"/>
        <w:pageBreakBefore w:val="0"/>
        <w:kinsoku/>
        <w:wordWrap/>
        <w:overflowPunct/>
        <w:topLinePunct w:val="0"/>
        <w:bidi w:val="0"/>
        <w:snapToGrid/>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2018年，茂县粮食局政府采购支出总额0万元。</w:t>
      </w:r>
    </w:p>
    <w:p>
      <w:pPr>
        <w:keepNext w:val="0"/>
        <w:keepLines w:val="0"/>
        <w:pageBreakBefore w:val="0"/>
        <w:kinsoku/>
        <w:wordWrap/>
        <w:overflowPunct/>
        <w:topLinePunct w:val="0"/>
        <w:bidi w:val="0"/>
        <w:snapToGrid/>
        <w:spacing w:line="576" w:lineRule="exact"/>
        <w:ind w:firstLine="642" w:firstLineChars="200"/>
        <w:jc w:val="left"/>
        <w:textAlignment w:val="auto"/>
        <w:outlineLvl w:val="1"/>
        <w:rPr>
          <w:rFonts w:ascii="楷体_GB2312" w:hAnsi="仿宋" w:eastAsia="楷体_GB2312"/>
          <w:b/>
          <w:bCs/>
          <w:color w:val="000000"/>
          <w:sz w:val="32"/>
          <w:szCs w:val="32"/>
        </w:rPr>
      </w:pPr>
      <w:bookmarkStart w:id="54" w:name="_Toc15377224"/>
      <w:r>
        <w:rPr>
          <w:rFonts w:hint="eastAsia" w:ascii="楷体_GB2312" w:hAnsi="楷体" w:eastAsia="楷体_GB2312" w:cs="楷体"/>
          <w:b/>
          <w:bCs/>
          <w:color w:val="000000"/>
          <w:sz w:val="32"/>
          <w:szCs w:val="32"/>
        </w:rPr>
        <w:t>（三）国有资产占有使用情况</w:t>
      </w:r>
      <w:bookmarkEnd w:id="54"/>
    </w:p>
    <w:p>
      <w:pPr>
        <w:keepNext w:val="0"/>
        <w:keepLines w:val="0"/>
        <w:pageBreakBefore w:val="0"/>
        <w:kinsoku/>
        <w:wordWrap/>
        <w:overflowPunct/>
        <w:topLinePunct w:val="0"/>
        <w:autoSpaceDE w:val="0"/>
        <w:autoSpaceDN w:val="0"/>
        <w:bidi w:val="0"/>
        <w:adjustRightInd w:val="0"/>
        <w:snapToGrid/>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2018年12月31日，茂县粮食局共有车辆0辆，其中：领导干部用车0辆、一般公务用车0辆、一般执法执勤用车0辆、特种专业技术用车0辆、其他用车0辆，单价50万元以上通用设备0台（套），单价100万元以上专用设备0台（套）。</w:t>
      </w:r>
    </w:p>
    <w:p>
      <w:pPr>
        <w:keepNext w:val="0"/>
        <w:keepLines w:val="0"/>
        <w:pageBreakBefore w:val="0"/>
        <w:widowControl/>
        <w:kinsoku/>
        <w:wordWrap/>
        <w:overflowPunct/>
        <w:topLinePunct w:val="0"/>
        <w:bidi w:val="0"/>
        <w:snapToGrid/>
        <w:spacing w:line="576" w:lineRule="exact"/>
        <w:jc w:val="left"/>
        <w:textAlignment w:val="auto"/>
        <w:rPr>
          <w:rFonts w:ascii="仿宋_GB2312" w:eastAsia="仿宋_GB2312"/>
          <w:b/>
          <w:bCs/>
          <w:color w:val="000000"/>
          <w:sz w:val="32"/>
          <w:szCs w:val="32"/>
        </w:rPr>
      </w:pPr>
      <w:r>
        <w:rPr>
          <w:rFonts w:hint="eastAsia" w:ascii="楷体" w:hAnsi="楷体" w:eastAsia="楷体" w:cs="楷体"/>
          <w:b/>
          <w:bCs/>
          <w:color w:val="000000"/>
          <w:sz w:val="32"/>
          <w:szCs w:val="32"/>
        </w:rPr>
        <w:br w:type="page"/>
      </w:r>
    </w:p>
    <w:p>
      <w:pPr>
        <w:keepNext w:val="0"/>
        <w:keepLines w:val="0"/>
        <w:pageBreakBefore w:val="0"/>
        <w:numPr>
          <w:ilvl w:val="0"/>
          <w:numId w:val="0"/>
        </w:numPr>
        <w:kinsoku/>
        <w:wordWrap/>
        <w:overflowPunct/>
        <w:topLinePunct w:val="0"/>
        <w:bidi w:val="0"/>
        <w:snapToGrid/>
        <w:spacing w:line="576" w:lineRule="exact"/>
        <w:ind w:firstLine="2200" w:firstLineChars="500"/>
        <w:jc w:val="both"/>
        <w:textAlignment w:val="auto"/>
        <w:outlineLvl w:val="0"/>
        <w:rPr>
          <w:rStyle w:val="17"/>
          <w:rFonts w:hint="eastAsia" w:ascii="方正小标宋简体" w:hAnsi="方正小标宋简体" w:eastAsia="方正小标宋简体" w:cs="方正小标宋简体"/>
          <w:b w:val="0"/>
          <w:bCs w:val="0"/>
        </w:rPr>
      </w:pPr>
      <w:bookmarkStart w:id="55" w:name="_Toc15377225"/>
      <w:bookmarkStart w:id="56" w:name="_Toc15396613"/>
      <w:r>
        <w:rPr>
          <w:rFonts w:hint="eastAsia" w:ascii="方正小标宋简体" w:hAnsi="方正小标宋简体" w:eastAsia="方正小标宋简体" w:cs="方正小标宋简体"/>
          <w:b w:val="0"/>
          <w:bCs w:val="0"/>
          <w:color w:val="000000"/>
          <w:sz w:val="44"/>
          <w:szCs w:val="44"/>
          <w:lang w:eastAsia="zh-CN"/>
        </w:rPr>
        <w:t>第三部分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Fonts w:hint="eastAsia" w:ascii="方正小标宋简体" w:hAnsi="方正小标宋简体" w:eastAsia="方正小标宋简体" w:cs="方正小标宋简体"/>
          <w:b w:val="0"/>
          <w:bCs w:val="0"/>
          <w:color w:val="000000"/>
          <w:sz w:val="44"/>
          <w:szCs w:val="44"/>
        </w:rPr>
        <w:t>名</w:t>
      </w:r>
      <w:r>
        <w:rPr>
          <w:rStyle w:val="17"/>
          <w:rFonts w:hint="eastAsia" w:ascii="方正小标宋简体" w:hAnsi="方正小标宋简体" w:eastAsia="方正小标宋简体" w:cs="方正小标宋简体"/>
          <w:b w:val="0"/>
          <w:bCs w:val="0"/>
        </w:rPr>
        <w:t>词解释</w:t>
      </w:r>
      <w:bookmarkEnd w:id="55"/>
      <w:bookmarkEnd w:id="56"/>
    </w:p>
    <w:p>
      <w:pPr>
        <w:keepNext w:val="0"/>
        <w:keepLines w:val="0"/>
        <w:pageBreakBefore w:val="0"/>
        <w:kinsoku/>
        <w:wordWrap/>
        <w:overflowPunct/>
        <w:topLinePunct w:val="0"/>
        <w:bidi w:val="0"/>
        <w:snapToGrid/>
        <w:spacing w:line="576" w:lineRule="exact"/>
        <w:jc w:val="both"/>
        <w:textAlignment w:val="auto"/>
        <w:rPr>
          <w:rFonts w:ascii="宋体"/>
          <w:b/>
          <w:bCs/>
          <w:color w:val="000000"/>
          <w:sz w:val="44"/>
          <w:szCs w:val="44"/>
        </w:rPr>
      </w:pPr>
    </w:p>
    <w:p>
      <w:pPr>
        <w:pStyle w:val="27"/>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27"/>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27"/>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27"/>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4.其他收入：指单位取得的除上述收入以外的各项收入。</w:t>
      </w:r>
    </w:p>
    <w:p>
      <w:pPr>
        <w:pStyle w:val="27"/>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7"/>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6.年初结转和结余：指以前年度尚未完成、结转到本年按有关规定继续使用的资金。</w:t>
      </w:r>
    </w:p>
    <w:p>
      <w:pPr>
        <w:pStyle w:val="27"/>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27"/>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keepNext w:val="0"/>
        <w:keepLines w:val="0"/>
        <w:pageBreakBefore w:val="0"/>
        <w:widowControl/>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sz w:val="32"/>
          <w:szCs w:val="32"/>
        </w:rPr>
      </w:pPr>
      <w:r>
        <w:rPr>
          <w:rStyle w:val="15"/>
          <w:rFonts w:hint="eastAsia" w:ascii="仿宋_GB2312" w:hAnsi="仿宋_GB2312" w:eastAsia="仿宋_GB2312" w:cs="仿宋_GB2312"/>
          <w:b w:val="0"/>
          <w:bCs w:val="0"/>
          <w:color w:val="000000"/>
          <w:sz w:val="32"/>
          <w:szCs w:val="32"/>
        </w:rPr>
        <w:t>9.一般公共服务（类）商贸事务（款）行政运行（项）:</w:t>
      </w:r>
      <w:r>
        <w:rPr>
          <w:rFonts w:hint="eastAsia" w:ascii="仿宋_GB2312" w:hAnsi="仿宋_GB2312" w:eastAsia="仿宋_GB2312" w:cs="仿宋_GB2312"/>
          <w:color w:val="000000"/>
          <w:kern w:val="0"/>
          <w:sz w:val="32"/>
          <w:szCs w:val="32"/>
        </w:rPr>
        <w:t>指局机关及参公管理事业单位用于保障机构正常运行、开展</w:t>
      </w:r>
    </w:p>
    <w:p>
      <w:pPr>
        <w:keepNext w:val="0"/>
        <w:keepLines w:val="0"/>
        <w:pageBreakBefore w:val="0"/>
        <w:widowControl/>
        <w:kinsoku/>
        <w:wordWrap/>
        <w:overflowPunct/>
        <w:topLinePunct w:val="0"/>
        <w:bidi w:val="0"/>
        <w:snapToGrid/>
        <w:spacing w:line="576" w:lineRule="exact"/>
        <w:ind w:firstLine="640" w:firstLineChars="200"/>
        <w:jc w:val="both"/>
        <w:textAlignment w:val="auto"/>
        <w:rPr>
          <w:rStyle w:val="15"/>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000000"/>
          <w:kern w:val="0"/>
          <w:sz w:val="32"/>
          <w:szCs w:val="32"/>
        </w:rPr>
        <w:t>日常工作的基本支出。</w:t>
      </w:r>
    </w:p>
    <w:p>
      <w:pPr>
        <w:keepNext w:val="0"/>
        <w:keepLines w:val="0"/>
        <w:pageBreakBefore w:val="0"/>
        <w:widowControl/>
        <w:kinsoku/>
        <w:wordWrap/>
        <w:overflowPunct/>
        <w:topLinePunct w:val="0"/>
        <w:bidi w:val="0"/>
        <w:snapToGrid/>
        <w:spacing w:line="576" w:lineRule="exact"/>
        <w:ind w:firstLine="640" w:firstLineChars="200"/>
        <w:jc w:val="both"/>
        <w:textAlignment w:val="auto"/>
        <w:rPr>
          <w:rStyle w:val="15"/>
          <w:rFonts w:hint="eastAsia" w:ascii="仿宋_GB2312" w:hAnsi="仿宋_GB2312" w:eastAsia="仿宋_GB2312" w:cs="仿宋_GB2312"/>
          <w:b w:val="0"/>
          <w:bCs w:val="0"/>
          <w:color w:val="000000"/>
          <w:sz w:val="32"/>
          <w:szCs w:val="32"/>
        </w:rPr>
      </w:pPr>
      <w:r>
        <w:rPr>
          <w:rStyle w:val="15"/>
          <w:rFonts w:hint="eastAsia" w:ascii="仿宋_GB2312" w:hAnsi="仿宋_GB2312" w:eastAsia="仿宋_GB2312" w:cs="仿宋_GB2312"/>
          <w:b w:val="0"/>
          <w:bCs w:val="0"/>
          <w:color w:val="000000"/>
          <w:sz w:val="32"/>
          <w:szCs w:val="32"/>
        </w:rPr>
        <w:t>10.一般公共服务（类）商贸事务（款）招商引资（项）:</w:t>
      </w:r>
      <w:r>
        <w:rPr>
          <w:rFonts w:hint="eastAsia" w:ascii="仿宋_GB2312" w:hAnsi="仿宋_GB2312" w:eastAsia="仿宋_GB2312" w:cs="仿宋_GB2312"/>
          <w:color w:val="000000"/>
          <w:kern w:val="0"/>
          <w:sz w:val="32"/>
          <w:szCs w:val="32"/>
        </w:rPr>
        <w:t>指局机关及参公管理事业单位开展财政综合业务、预决算编审等未单独设置项级科目的专门性财政管理工作的项目支出。</w:t>
      </w:r>
    </w:p>
    <w:p>
      <w:pPr>
        <w:keepNext w:val="0"/>
        <w:keepLines w:val="0"/>
        <w:pageBreakBefore w:val="0"/>
        <w:widowControl/>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kern w:val="0"/>
          <w:sz w:val="32"/>
          <w:szCs w:val="32"/>
        </w:rPr>
      </w:pPr>
      <w:r>
        <w:rPr>
          <w:rStyle w:val="15"/>
          <w:rFonts w:hint="eastAsia" w:ascii="仿宋_GB2312" w:hAnsi="仿宋_GB2312" w:eastAsia="仿宋_GB2312" w:cs="仿宋_GB2312"/>
          <w:b w:val="0"/>
          <w:bCs w:val="0"/>
          <w:color w:val="000000"/>
          <w:sz w:val="32"/>
          <w:szCs w:val="32"/>
        </w:rPr>
        <w:t>11.一般公共服务（类）商贸事务（款）事业运行（项）:</w:t>
      </w:r>
      <w:r>
        <w:rPr>
          <w:rFonts w:hint="eastAsia" w:ascii="仿宋_GB2312" w:hAnsi="仿宋_GB2312" w:eastAsia="仿宋_GB2312" w:cs="仿宋_GB2312"/>
          <w:color w:val="000000"/>
          <w:kern w:val="0"/>
          <w:sz w:val="32"/>
          <w:szCs w:val="32"/>
        </w:rPr>
        <w:t>指局机关事业单位用于保障机构正常运行、开展日常工作的基本支出。</w:t>
      </w:r>
    </w:p>
    <w:p>
      <w:pPr>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12.外交（类）外交管理事务（款）行政运行（项）：指政府外交管理事务支出。</w:t>
      </w:r>
    </w:p>
    <w:p>
      <w:pPr>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13.公共安全（类）武装警察部队（款）行政运行（项）：指用于武装警察部队的支出。</w:t>
      </w:r>
    </w:p>
    <w:p>
      <w:pPr>
        <w:keepNext w:val="0"/>
        <w:keepLines w:val="0"/>
        <w:pageBreakBefore w:val="0"/>
        <w:widowControl/>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14.</w:t>
      </w:r>
      <w:r>
        <w:rPr>
          <w:rFonts w:hint="eastAsia" w:ascii="仿宋_GB2312" w:hAnsi="仿宋_GB2312" w:eastAsia="仿宋_GB2312" w:cs="仿宋_GB2312"/>
          <w:color w:val="000000"/>
          <w:kern w:val="0"/>
          <w:sz w:val="32"/>
          <w:szCs w:val="32"/>
        </w:rPr>
        <w:t>教育支出（类）进修及培训（款）培训支出（项）：</w:t>
      </w:r>
    </w:p>
    <w:p>
      <w:pPr>
        <w:keepNext w:val="0"/>
        <w:keepLines w:val="0"/>
        <w:pageBreakBefore w:val="0"/>
        <w:widowControl/>
        <w:kinsoku/>
        <w:wordWrap/>
        <w:overflowPunct/>
        <w:topLinePunct w:val="0"/>
        <w:bidi w:val="0"/>
        <w:snapToGrid/>
        <w:spacing w:line="576"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指用于部门财政业务培训等支出。</w:t>
      </w:r>
    </w:p>
    <w:p>
      <w:pPr>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15.科学技术（类）科学技术管理事务（款）行政运行（项）：指各级政府科学技术管理事务方面的支出。</w:t>
      </w:r>
    </w:p>
    <w:p>
      <w:pPr>
        <w:keepNext w:val="0"/>
        <w:keepLines w:val="0"/>
        <w:pageBreakBefore w:val="0"/>
        <w:kinsoku/>
        <w:wordWrap/>
        <w:overflowPunct/>
        <w:topLinePunct w:val="0"/>
        <w:bidi w:val="0"/>
        <w:snapToGrid/>
        <w:spacing w:line="576" w:lineRule="exact"/>
        <w:ind w:firstLine="640" w:firstLineChars="200"/>
        <w:jc w:val="both"/>
        <w:textAlignment w:val="auto"/>
        <w:rPr>
          <w:rStyle w:val="15"/>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000000"/>
          <w:sz w:val="32"/>
          <w:szCs w:val="32"/>
        </w:rPr>
        <w:t>16.文化体育与传媒（类）文化和旅游（款）行政运行（项）：指政府在文化、旅游、文物、体育、广播电视、电影、新闻出版等方面的支出。</w:t>
      </w:r>
    </w:p>
    <w:p>
      <w:pPr>
        <w:keepNext w:val="0"/>
        <w:keepLines w:val="0"/>
        <w:pageBreakBefore w:val="0"/>
        <w:widowControl/>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sz w:val="32"/>
          <w:szCs w:val="32"/>
        </w:rPr>
      </w:pPr>
      <w:r>
        <w:rPr>
          <w:rStyle w:val="15"/>
          <w:rFonts w:hint="eastAsia" w:ascii="仿宋_GB2312" w:hAnsi="仿宋_GB2312" w:eastAsia="仿宋_GB2312" w:cs="仿宋_GB2312"/>
          <w:b w:val="0"/>
          <w:bCs w:val="0"/>
          <w:color w:val="000000"/>
          <w:sz w:val="32"/>
          <w:szCs w:val="32"/>
        </w:rPr>
        <w:t>17.社会保障和就业（类）机关事业单位离退休（款）机关事业单位基本养老保险缴费支出（项）:</w:t>
      </w:r>
      <w:r>
        <w:rPr>
          <w:rFonts w:hint="eastAsia" w:ascii="仿宋_GB2312" w:hAnsi="仿宋_GB2312" w:eastAsia="仿宋_GB2312" w:cs="仿宋_GB2312"/>
          <w:color w:val="000000"/>
          <w:kern w:val="0"/>
          <w:sz w:val="32"/>
          <w:szCs w:val="32"/>
        </w:rPr>
        <w:t>指部门实施养</w:t>
      </w:r>
    </w:p>
    <w:p>
      <w:pPr>
        <w:keepNext w:val="0"/>
        <w:keepLines w:val="0"/>
        <w:pageBreakBefore w:val="0"/>
        <w:widowControl/>
        <w:kinsoku/>
        <w:wordWrap/>
        <w:overflowPunct/>
        <w:topLinePunct w:val="0"/>
        <w:bidi w:val="0"/>
        <w:snapToGrid/>
        <w:spacing w:line="576" w:lineRule="exact"/>
        <w:jc w:val="both"/>
        <w:textAlignment w:val="auto"/>
        <w:rPr>
          <w:rStyle w:val="15"/>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000000"/>
          <w:kern w:val="0"/>
          <w:sz w:val="32"/>
          <w:szCs w:val="32"/>
        </w:rPr>
        <w:t>老保险制度由单位缴纳的养老保险费的支出。</w:t>
      </w:r>
    </w:p>
    <w:p>
      <w:pPr>
        <w:keepNext w:val="0"/>
        <w:keepLines w:val="0"/>
        <w:pageBreakBefore w:val="0"/>
        <w:widowControl/>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sz w:val="32"/>
          <w:szCs w:val="32"/>
        </w:rPr>
      </w:pPr>
      <w:r>
        <w:rPr>
          <w:rStyle w:val="15"/>
          <w:rFonts w:hint="eastAsia" w:ascii="仿宋_GB2312" w:hAnsi="仿宋_GB2312" w:eastAsia="仿宋_GB2312" w:cs="仿宋_GB2312"/>
          <w:b w:val="0"/>
          <w:bCs w:val="0"/>
          <w:color w:val="000000"/>
          <w:sz w:val="32"/>
          <w:szCs w:val="32"/>
        </w:rPr>
        <w:t>18.社会保障和就业（类）机关事业单位离退休（款）机关事业单位职业年金缴费支出（项）：</w:t>
      </w:r>
      <w:r>
        <w:rPr>
          <w:rFonts w:hint="eastAsia" w:ascii="仿宋_GB2312" w:hAnsi="仿宋_GB2312" w:eastAsia="仿宋_GB2312" w:cs="仿宋_GB2312"/>
          <w:color w:val="000000"/>
          <w:kern w:val="0"/>
          <w:sz w:val="32"/>
          <w:szCs w:val="32"/>
        </w:rPr>
        <w:t>指部门实施养老保险制度由单位缴纳的职业年金的支出。</w:t>
      </w:r>
    </w:p>
    <w:p>
      <w:pPr>
        <w:keepNext w:val="0"/>
        <w:keepLines w:val="0"/>
        <w:pageBreakBefore w:val="0"/>
        <w:widowControl/>
        <w:kinsoku/>
        <w:wordWrap/>
        <w:overflowPunct/>
        <w:topLinePunct w:val="0"/>
        <w:bidi w:val="0"/>
        <w:snapToGrid/>
        <w:spacing w:line="576" w:lineRule="exact"/>
        <w:ind w:firstLine="640" w:firstLineChars="200"/>
        <w:jc w:val="both"/>
        <w:textAlignment w:val="auto"/>
        <w:rPr>
          <w:rStyle w:val="15"/>
          <w:rFonts w:hint="eastAsia" w:ascii="仿宋_GB2312" w:hAnsi="仿宋_GB2312" w:eastAsia="仿宋_GB2312" w:cs="仿宋_GB2312"/>
          <w:b w:val="0"/>
          <w:bCs w:val="0"/>
          <w:color w:val="000000"/>
          <w:sz w:val="32"/>
          <w:szCs w:val="32"/>
        </w:rPr>
      </w:pPr>
      <w:r>
        <w:rPr>
          <w:rStyle w:val="15"/>
          <w:rFonts w:hint="eastAsia" w:ascii="仿宋_GB2312" w:hAnsi="仿宋_GB2312" w:eastAsia="仿宋_GB2312" w:cs="仿宋_GB2312"/>
          <w:b w:val="0"/>
          <w:bCs w:val="0"/>
          <w:color w:val="000000"/>
          <w:sz w:val="32"/>
          <w:szCs w:val="32"/>
        </w:rPr>
        <w:t>19.医疗卫生与计划生育（类）行政事业单位医疗（款）行政单位医疗（项）:</w:t>
      </w:r>
      <w:r>
        <w:rPr>
          <w:rFonts w:hint="eastAsia" w:ascii="仿宋_GB2312" w:hAnsi="仿宋_GB2312" w:eastAsia="仿宋_GB2312" w:cs="仿宋_GB2312"/>
          <w:color w:val="000000"/>
          <w:kern w:val="0"/>
          <w:sz w:val="32"/>
          <w:szCs w:val="32"/>
        </w:rPr>
        <w:t>指行政单位用于缴纳单位基本医疗保险支出。</w:t>
      </w:r>
    </w:p>
    <w:p>
      <w:pPr>
        <w:keepNext w:val="0"/>
        <w:keepLines w:val="0"/>
        <w:pageBreakBefore w:val="0"/>
        <w:widowControl/>
        <w:kinsoku/>
        <w:wordWrap/>
        <w:overflowPunct/>
        <w:topLinePunct w:val="0"/>
        <w:bidi w:val="0"/>
        <w:snapToGrid/>
        <w:spacing w:line="576" w:lineRule="exact"/>
        <w:ind w:firstLine="640" w:firstLineChars="200"/>
        <w:jc w:val="both"/>
        <w:textAlignment w:val="auto"/>
        <w:rPr>
          <w:rStyle w:val="15"/>
          <w:rFonts w:hint="eastAsia" w:ascii="仿宋_GB2312" w:hAnsi="仿宋_GB2312" w:eastAsia="仿宋_GB2312" w:cs="仿宋_GB2312"/>
          <w:b w:val="0"/>
          <w:bCs w:val="0"/>
          <w:color w:val="000000"/>
          <w:sz w:val="32"/>
          <w:szCs w:val="32"/>
        </w:rPr>
      </w:pPr>
      <w:r>
        <w:rPr>
          <w:rStyle w:val="15"/>
          <w:rFonts w:hint="eastAsia" w:ascii="仿宋_GB2312" w:hAnsi="仿宋_GB2312" w:eastAsia="仿宋_GB2312" w:cs="仿宋_GB2312"/>
          <w:b w:val="0"/>
          <w:bCs w:val="0"/>
          <w:color w:val="000000"/>
          <w:sz w:val="32"/>
          <w:szCs w:val="32"/>
        </w:rPr>
        <w:t>20.医疗卫生与计划生育（类）医疗卫生与计划生育（款）事业单位医疗（项）:</w:t>
      </w:r>
      <w:r>
        <w:rPr>
          <w:rFonts w:hint="eastAsia" w:ascii="仿宋_GB2312" w:hAnsi="仿宋_GB2312" w:eastAsia="仿宋_GB2312" w:cs="仿宋_GB2312"/>
          <w:color w:val="000000"/>
          <w:kern w:val="0"/>
          <w:sz w:val="32"/>
          <w:szCs w:val="32"/>
        </w:rPr>
        <w:t>指事业单位用于缴纳单位基本医疗保险支出。</w:t>
      </w:r>
    </w:p>
    <w:p>
      <w:pPr>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b w:val="0"/>
          <w:bCs w:val="0"/>
          <w:color w:val="000000"/>
          <w:sz w:val="32"/>
          <w:szCs w:val="32"/>
        </w:rPr>
        <w:t>21</w:t>
      </w:r>
      <w:r>
        <w:rPr>
          <w:rFonts w:hint="eastAsia" w:ascii="仿宋_GB2312" w:hAnsi="仿宋_GB2312" w:eastAsia="仿宋_GB2312" w:cs="仿宋_GB2312"/>
          <w:color w:val="000000"/>
          <w:sz w:val="32"/>
          <w:szCs w:val="32"/>
        </w:rPr>
        <w:t>.节能环保（类）环境保护管理事务（款）行政运行（项）：指政府环境保护管理事务支出。</w:t>
      </w:r>
    </w:p>
    <w:p>
      <w:pPr>
        <w:keepNext w:val="0"/>
        <w:keepLines w:val="0"/>
        <w:pageBreakBefore w:val="0"/>
        <w:widowControl/>
        <w:kinsoku/>
        <w:wordWrap/>
        <w:overflowPunct/>
        <w:topLinePunct w:val="0"/>
        <w:bidi w:val="0"/>
        <w:snapToGrid/>
        <w:spacing w:line="576" w:lineRule="exact"/>
        <w:ind w:firstLine="640" w:firstLineChars="200"/>
        <w:jc w:val="both"/>
        <w:textAlignment w:val="auto"/>
        <w:rPr>
          <w:rStyle w:val="15"/>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000000"/>
          <w:sz w:val="32"/>
          <w:szCs w:val="32"/>
        </w:rPr>
        <w:t>22.城乡社区（类）城乡社区管理事务（款）行政运行（项）：指城乡社区管理事务支出。</w:t>
      </w:r>
    </w:p>
    <w:p>
      <w:pPr>
        <w:keepNext w:val="0"/>
        <w:keepLines w:val="0"/>
        <w:pageBreakBefore w:val="0"/>
        <w:kinsoku/>
        <w:wordWrap/>
        <w:overflowPunct/>
        <w:topLinePunct w:val="0"/>
        <w:bidi w:val="0"/>
        <w:snapToGrid/>
        <w:spacing w:line="576" w:lineRule="exact"/>
        <w:ind w:firstLine="640" w:firstLineChars="200"/>
        <w:jc w:val="both"/>
        <w:textAlignment w:val="auto"/>
        <w:rPr>
          <w:rStyle w:val="15"/>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000000"/>
          <w:sz w:val="32"/>
          <w:szCs w:val="32"/>
        </w:rPr>
        <w:t>23.农林水支出（类）农业（款）科技转化与推广服务（项）：指政府农林水事务支出</w:t>
      </w:r>
      <w:r>
        <w:rPr>
          <w:rStyle w:val="15"/>
          <w:rFonts w:hint="eastAsia" w:ascii="仿宋_GB2312" w:hAnsi="仿宋_GB2312" w:eastAsia="仿宋_GB2312" w:cs="仿宋_GB2312"/>
          <w:b w:val="0"/>
          <w:bCs w:val="0"/>
          <w:color w:val="000000"/>
          <w:sz w:val="32"/>
          <w:szCs w:val="32"/>
        </w:rPr>
        <w:t>。</w:t>
      </w:r>
    </w:p>
    <w:p>
      <w:pPr>
        <w:keepNext w:val="0"/>
        <w:keepLines w:val="0"/>
        <w:pageBreakBefore w:val="0"/>
        <w:kinsoku/>
        <w:wordWrap/>
        <w:overflowPunct/>
        <w:topLinePunct w:val="0"/>
        <w:bidi w:val="0"/>
        <w:snapToGrid/>
        <w:spacing w:line="576" w:lineRule="exact"/>
        <w:ind w:firstLine="640" w:firstLineChars="200"/>
        <w:jc w:val="both"/>
        <w:textAlignment w:val="auto"/>
        <w:rPr>
          <w:rStyle w:val="15"/>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000000"/>
          <w:sz w:val="32"/>
          <w:szCs w:val="32"/>
        </w:rPr>
        <w:t>24.农林水支出（类）扶贫（款）农村基础设施建设（项）：</w:t>
      </w:r>
      <w:r>
        <w:rPr>
          <w:rStyle w:val="15"/>
          <w:rFonts w:hint="eastAsia" w:ascii="仿宋_GB2312" w:hAnsi="仿宋_GB2312" w:eastAsia="仿宋_GB2312" w:cs="仿宋_GB2312"/>
          <w:b w:val="0"/>
          <w:bCs w:val="0"/>
          <w:color w:val="000000"/>
          <w:sz w:val="32"/>
          <w:szCs w:val="32"/>
        </w:rPr>
        <w:t>指农村基础设施建设的支出。</w:t>
      </w:r>
    </w:p>
    <w:p>
      <w:pPr>
        <w:keepNext w:val="0"/>
        <w:keepLines w:val="0"/>
        <w:pageBreakBefore w:val="0"/>
        <w:kinsoku/>
        <w:wordWrap/>
        <w:overflowPunct/>
        <w:topLinePunct w:val="0"/>
        <w:bidi w:val="0"/>
        <w:snapToGrid/>
        <w:spacing w:line="576" w:lineRule="exact"/>
        <w:ind w:firstLine="640" w:firstLineChars="200"/>
        <w:jc w:val="both"/>
        <w:textAlignment w:val="auto"/>
        <w:rPr>
          <w:rStyle w:val="15"/>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000000"/>
          <w:sz w:val="32"/>
          <w:szCs w:val="32"/>
        </w:rPr>
        <w:t>25.农林水支出（类）扶贫（款）其他扶贫支出（项）：指其他扶贫支出。</w:t>
      </w:r>
    </w:p>
    <w:p>
      <w:pPr>
        <w:keepNext w:val="0"/>
        <w:keepLines w:val="0"/>
        <w:pageBreakBefore w:val="0"/>
        <w:kinsoku/>
        <w:wordWrap/>
        <w:overflowPunct/>
        <w:topLinePunct w:val="0"/>
        <w:bidi w:val="0"/>
        <w:snapToGrid/>
        <w:spacing w:line="576" w:lineRule="exact"/>
        <w:ind w:firstLine="640" w:firstLineChars="200"/>
        <w:jc w:val="both"/>
        <w:textAlignment w:val="auto"/>
        <w:rPr>
          <w:rStyle w:val="15"/>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000000"/>
          <w:sz w:val="32"/>
          <w:szCs w:val="32"/>
        </w:rPr>
        <w:t>26.交通运输（类）公路水路运输（款）行政运行（项）：指与水路、公路运输相关的支出。</w:t>
      </w:r>
    </w:p>
    <w:p>
      <w:pPr>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27.资源勘探信息等支出（类）资源勘探开发（款）行政运行（项）：</w:t>
      </w:r>
      <w:r>
        <w:rPr>
          <w:rStyle w:val="15"/>
          <w:rFonts w:hint="eastAsia" w:ascii="仿宋_GB2312" w:hAnsi="仿宋_GB2312" w:eastAsia="仿宋_GB2312" w:cs="仿宋_GB2312"/>
          <w:b w:val="0"/>
          <w:bCs w:val="0"/>
          <w:color w:val="000000"/>
          <w:sz w:val="32"/>
          <w:szCs w:val="32"/>
        </w:rPr>
        <w:t>指行政单位的基本支出。</w:t>
      </w:r>
    </w:p>
    <w:p>
      <w:pPr>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28.资源勘探信息等支出（类）制造业（款）其他制造业支出（项）：</w:t>
      </w:r>
      <w:r>
        <w:rPr>
          <w:rStyle w:val="15"/>
          <w:rFonts w:hint="eastAsia" w:ascii="仿宋_GB2312" w:hAnsi="仿宋_GB2312" w:eastAsia="仿宋_GB2312" w:cs="仿宋_GB2312"/>
          <w:b w:val="0"/>
          <w:bCs w:val="0"/>
          <w:color w:val="000000"/>
          <w:sz w:val="32"/>
          <w:szCs w:val="32"/>
        </w:rPr>
        <w:t>指轻工、冶炼、交通运输及通信设备等制造业支出。</w:t>
      </w:r>
    </w:p>
    <w:p>
      <w:pPr>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29.资源勘探信息等支出（类）工业和信息产业监管（款）无线电监管（项）：</w:t>
      </w:r>
      <w:r>
        <w:rPr>
          <w:rStyle w:val="15"/>
          <w:rFonts w:hint="eastAsia" w:ascii="仿宋_GB2312" w:hAnsi="仿宋_GB2312" w:eastAsia="仿宋_GB2312" w:cs="仿宋_GB2312"/>
          <w:b w:val="0"/>
          <w:bCs w:val="0"/>
          <w:color w:val="000000"/>
          <w:sz w:val="32"/>
          <w:szCs w:val="32"/>
        </w:rPr>
        <w:t>指无线电监管方面的支出。</w:t>
      </w:r>
    </w:p>
    <w:p>
      <w:pPr>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30.资源勘探信息等支出（类）支出中小企业发展和管理支出（款）中小企业发展专项（项）：</w:t>
      </w:r>
      <w:r>
        <w:rPr>
          <w:rStyle w:val="15"/>
          <w:rFonts w:hint="eastAsia" w:ascii="仿宋_GB2312" w:hAnsi="仿宋_GB2312" w:eastAsia="仿宋_GB2312" w:cs="仿宋_GB2312"/>
          <w:b w:val="0"/>
          <w:bCs w:val="0"/>
          <w:color w:val="000000"/>
          <w:sz w:val="32"/>
          <w:szCs w:val="32"/>
        </w:rPr>
        <w:t>指用于中小企业管理及支持中小企业发展方面的支出。</w:t>
      </w:r>
    </w:p>
    <w:p>
      <w:pPr>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31.资源勘探信息等支出（类）其他资源勘探信息等支出（款）其他资源勘探信息等支出（项）：指其他用于资源勘探信息等方面的支出</w:t>
      </w:r>
      <w:r>
        <w:rPr>
          <w:rStyle w:val="15"/>
          <w:rFonts w:hint="eastAsia" w:ascii="仿宋_GB2312" w:hAnsi="仿宋_GB2312" w:eastAsia="仿宋_GB2312" w:cs="仿宋_GB2312"/>
          <w:b w:val="0"/>
          <w:bCs w:val="0"/>
          <w:color w:val="000000"/>
          <w:sz w:val="32"/>
          <w:szCs w:val="32"/>
        </w:rPr>
        <w:t>。</w:t>
      </w:r>
    </w:p>
    <w:p>
      <w:pPr>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32.商业服务业等支出（类）商业流通事务（款）其他商业流通事务（项）：</w:t>
      </w:r>
      <w:r>
        <w:rPr>
          <w:rStyle w:val="15"/>
          <w:rFonts w:hint="eastAsia" w:ascii="仿宋_GB2312" w:hAnsi="仿宋_GB2312" w:eastAsia="仿宋_GB2312" w:cs="仿宋_GB2312"/>
          <w:b w:val="0"/>
          <w:bCs w:val="0"/>
          <w:color w:val="000000"/>
          <w:sz w:val="32"/>
          <w:szCs w:val="32"/>
        </w:rPr>
        <w:t>指其他用于商业流通事务方面的支出。</w:t>
      </w:r>
    </w:p>
    <w:p>
      <w:pPr>
        <w:keepNext w:val="0"/>
        <w:keepLines w:val="0"/>
        <w:pageBreakBefore w:val="0"/>
        <w:kinsoku/>
        <w:wordWrap/>
        <w:overflowPunct/>
        <w:topLinePunct w:val="0"/>
        <w:bidi w:val="0"/>
        <w:snapToGrid/>
        <w:spacing w:line="576" w:lineRule="exact"/>
        <w:ind w:firstLine="640" w:firstLineChars="200"/>
        <w:jc w:val="both"/>
        <w:textAlignment w:val="auto"/>
        <w:rPr>
          <w:rStyle w:val="15"/>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000000"/>
          <w:sz w:val="32"/>
          <w:szCs w:val="32"/>
        </w:rPr>
        <w:t>33.商业服务业等支出（类）涉外发展服务支出（款）其他涉外发展服务支出（项）：</w:t>
      </w:r>
      <w:r>
        <w:rPr>
          <w:rStyle w:val="15"/>
          <w:rFonts w:hint="eastAsia" w:ascii="仿宋_GB2312" w:hAnsi="仿宋_GB2312" w:eastAsia="仿宋_GB2312" w:cs="仿宋_GB2312"/>
          <w:b w:val="0"/>
          <w:bCs w:val="0"/>
          <w:color w:val="000000"/>
          <w:sz w:val="32"/>
          <w:szCs w:val="32"/>
        </w:rPr>
        <w:t>指从事外贸业务单位、外贸投资单位、从事对外经济合作单位和境外单位的资助。</w:t>
      </w:r>
    </w:p>
    <w:p>
      <w:pPr>
        <w:keepNext w:val="0"/>
        <w:keepLines w:val="0"/>
        <w:pageBreakBefore w:val="0"/>
        <w:kinsoku/>
        <w:wordWrap/>
        <w:overflowPunct/>
        <w:topLinePunct w:val="0"/>
        <w:bidi w:val="0"/>
        <w:snapToGrid/>
        <w:spacing w:line="576" w:lineRule="exact"/>
        <w:ind w:firstLine="640" w:firstLineChars="200"/>
        <w:jc w:val="both"/>
        <w:textAlignment w:val="auto"/>
        <w:rPr>
          <w:rStyle w:val="15"/>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000000"/>
          <w:sz w:val="32"/>
          <w:szCs w:val="32"/>
        </w:rPr>
        <w:t>34.商业服务业等支出（类）其他商业服务业等支出（款）其他商业服务业等支出（项）：</w:t>
      </w:r>
      <w:r>
        <w:rPr>
          <w:rStyle w:val="15"/>
          <w:rFonts w:hint="eastAsia" w:ascii="仿宋_GB2312" w:hAnsi="仿宋_GB2312" w:eastAsia="仿宋_GB2312" w:cs="仿宋_GB2312"/>
          <w:b w:val="0"/>
          <w:bCs w:val="0"/>
          <w:color w:val="000000"/>
          <w:sz w:val="32"/>
          <w:szCs w:val="32"/>
        </w:rPr>
        <w:t>指其他用于商业服务业等方面的支出。</w:t>
      </w:r>
    </w:p>
    <w:p>
      <w:pPr>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35.金融（类）金融部门行政支出（款）行政支出（项）：指金融方面的而支出。</w:t>
      </w:r>
    </w:p>
    <w:p>
      <w:pPr>
        <w:keepNext w:val="0"/>
        <w:keepLines w:val="0"/>
        <w:pageBreakBefore w:val="0"/>
        <w:kinsoku/>
        <w:wordWrap/>
        <w:overflowPunct/>
        <w:topLinePunct w:val="0"/>
        <w:bidi w:val="0"/>
        <w:snapToGrid/>
        <w:spacing w:line="576" w:lineRule="exact"/>
        <w:ind w:firstLine="640" w:firstLineChars="200"/>
        <w:jc w:val="both"/>
        <w:textAlignment w:val="auto"/>
        <w:rPr>
          <w:rStyle w:val="15"/>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000000"/>
          <w:sz w:val="32"/>
          <w:szCs w:val="32"/>
        </w:rPr>
        <w:t>36.国土海洋气象等（类）自然资源事务（款）行政运行（项）：指自然资源管理等方面的支出。</w:t>
      </w:r>
    </w:p>
    <w:p>
      <w:pPr>
        <w:keepNext w:val="0"/>
        <w:keepLines w:val="0"/>
        <w:pageBreakBefore w:val="0"/>
        <w:widowControl/>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37.住房保障支出（类）住房改革支出（款）住房公积金（项）：</w:t>
      </w:r>
      <w:r>
        <w:rPr>
          <w:rFonts w:hint="eastAsia" w:ascii="仿宋_GB2312" w:hAnsi="仿宋_GB2312" w:eastAsia="仿宋_GB2312" w:cs="仿宋_GB2312"/>
          <w:color w:val="000000"/>
          <w:kern w:val="0"/>
          <w:sz w:val="32"/>
          <w:szCs w:val="32"/>
        </w:rPr>
        <w:t>反映行政事业单位按规定为职工缴纳的住房公积金。</w:t>
      </w:r>
    </w:p>
    <w:p>
      <w:pPr>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38.粮油物资储备（类）粮油事务（款）行政运行（项）：指粮油事务方面的支出。</w:t>
      </w:r>
    </w:p>
    <w:p>
      <w:pPr>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39.其他支出（类）其他支出（款）其他（项）：</w:t>
      </w:r>
      <w:r>
        <w:rPr>
          <w:rStyle w:val="15"/>
          <w:rFonts w:hint="eastAsia" w:ascii="仿宋_GB2312" w:hAnsi="仿宋_GB2312" w:eastAsia="仿宋_GB2312" w:cs="仿宋_GB2312"/>
          <w:b w:val="0"/>
          <w:bCs w:val="0"/>
          <w:color w:val="000000"/>
          <w:sz w:val="32"/>
          <w:szCs w:val="32"/>
        </w:rPr>
        <w:t>指其他方面支出</w:t>
      </w:r>
      <w:r>
        <w:rPr>
          <w:rFonts w:hint="eastAsia" w:ascii="仿宋_GB2312" w:hAnsi="仿宋_GB2312" w:eastAsia="仿宋_GB2312" w:cs="仿宋_GB2312"/>
          <w:color w:val="000000"/>
          <w:sz w:val="32"/>
          <w:szCs w:val="32"/>
        </w:rPr>
        <w:t>。</w:t>
      </w:r>
    </w:p>
    <w:p>
      <w:pPr>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40.基本支出：指为保障机构正常运转、完成日常工作任务而发生的人员支出和公用支出。</w:t>
      </w:r>
    </w:p>
    <w:p>
      <w:pPr>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41.项目支出：指在基本支出之外为完成特定行政任务和事业发展目标所发生的支出。</w:t>
      </w:r>
    </w:p>
    <w:p>
      <w:pPr>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42.经营支出：指事业单位在专业业务活动及其辅助活动之外开展非独立核算经营活动发生的支出。</w:t>
      </w:r>
    </w:p>
    <w:p>
      <w:pPr>
        <w:pStyle w:val="27"/>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keepNext w:val="0"/>
        <w:keepLines w:val="0"/>
        <w:pageBreakBefore w:val="0"/>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numPr>
          <w:ilvl w:val="0"/>
          <w:numId w:val="0"/>
        </w:numPr>
        <w:kinsoku/>
        <w:wordWrap/>
        <w:overflowPunct/>
        <w:topLinePunct w:val="0"/>
        <w:bidi w:val="0"/>
        <w:snapToGrid/>
        <w:spacing w:line="576" w:lineRule="exact"/>
        <w:jc w:val="both"/>
        <w:textAlignment w:val="auto"/>
        <w:outlineLvl w:val="0"/>
        <w:rPr>
          <w:rStyle w:val="17"/>
          <w:rFonts w:ascii="黑体" w:hAnsi="黑体" w:eastAsia="黑体"/>
          <w:b w:val="0"/>
          <w:bCs w:val="0"/>
        </w:rPr>
      </w:pPr>
      <w:bookmarkStart w:id="57" w:name="_Toc15377226"/>
      <w:r>
        <w:rPr>
          <w:rFonts w:hint="eastAsia" w:ascii="仿宋_GB2312" w:hAnsi="仿宋_GB2312" w:eastAsia="仿宋_GB2312" w:cs="仿宋_GB2312"/>
          <w:b/>
          <w:bCs/>
          <w:color w:val="000000"/>
          <w:sz w:val="44"/>
          <w:szCs w:val="44"/>
        </w:rPr>
        <w:br w:type="page"/>
      </w:r>
      <w:bookmarkStart w:id="58" w:name="_Toc15396614"/>
      <w:r>
        <w:rPr>
          <w:rFonts w:hint="eastAsia" w:ascii="仿宋_GB2312" w:hAnsi="仿宋_GB2312" w:eastAsia="仿宋_GB2312" w:cs="仿宋_GB2312"/>
          <w:b/>
          <w:bCs/>
          <w:color w:val="000000"/>
          <w:sz w:val="44"/>
          <w:szCs w:val="44"/>
          <w:lang w:val="en-US" w:eastAsia="zh-CN"/>
        </w:rPr>
        <w:t xml:space="preserve">           </w:t>
      </w:r>
      <w:r>
        <w:rPr>
          <w:rFonts w:hint="eastAsia" w:ascii="方正小标宋简体" w:hAnsi="方正小标宋简体" w:eastAsia="方正小标宋简体" w:cs="方正小标宋简体"/>
          <w:b w:val="0"/>
          <w:bCs w:val="0"/>
          <w:color w:val="000000"/>
          <w:sz w:val="44"/>
          <w:szCs w:val="44"/>
          <w:lang w:eastAsia="zh-CN"/>
        </w:rPr>
        <w:t>第四部分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Style w:val="17"/>
          <w:rFonts w:hint="eastAsia" w:ascii="方正小标宋简体" w:hAnsi="方正小标宋简体" w:eastAsia="方正小标宋简体" w:cs="方正小标宋简体"/>
          <w:b w:val="0"/>
          <w:bCs w:val="0"/>
        </w:rPr>
        <w:t>附件</w:t>
      </w:r>
      <w:bookmarkEnd w:id="58"/>
    </w:p>
    <w:p>
      <w:pPr>
        <w:spacing w:line="600" w:lineRule="exact"/>
        <w:jc w:val="center"/>
        <w:outlineLvl w:val="0"/>
        <w:rPr>
          <w:rStyle w:val="17"/>
        </w:rPr>
      </w:pPr>
    </w:p>
    <w:p>
      <w:pPr>
        <w:spacing w:line="600" w:lineRule="exact"/>
        <w:jc w:val="center"/>
        <w:outlineLvl w:val="0"/>
        <w:rPr>
          <w:rFonts w:hint="eastAsia" w:ascii="方正小标宋简体" w:hAnsi="方正小标宋简体" w:eastAsia="方正小标宋简体" w:cs="方正小标宋简体"/>
          <w:b w:val="0"/>
          <w:bCs w:val="0"/>
          <w:sz w:val="44"/>
          <w:szCs w:val="44"/>
        </w:rPr>
      </w:pPr>
      <w:bookmarkStart w:id="59" w:name="_Toc15396616"/>
      <w:r>
        <w:rPr>
          <w:rFonts w:hint="eastAsia" w:ascii="方正小标宋简体" w:hAnsi="方正小标宋简体" w:eastAsia="方正小标宋简体" w:cs="方正小标宋简体"/>
          <w:b w:val="0"/>
          <w:bCs w:val="0"/>
          <w:sz w:val="44"/>
          <w:szCs w:val="44"/>
        </w:rPr>
        <w:t>茂县粮食局</w:t>
      </w:r>
    </w:p>
    <w:p>
      <w:pPr>
        <w:spacing w:line="600" w:lineRule="exact"/>
        <w:jc w:val="center"/>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2018年部门整体支出绩效评价报告</w:t>
      </w:r>
      <w:bookmarkEnd w:id="59"/>
    </w:p>
    <w:p>
      <w:pPr>
        <w:pStyle w:val="3"/>
        <w:pageBreakBefore w:val="0"/>
        <w:kinsoku/>
        <w:wordWrap/>
        <w:overflowPunct/>
        <w:topLinePunct w:val="0"/>
        <w:autoSpaceDE/>
        <w:autoSpaceDN/>
        <w:bidi w:val="0"/>
        <w:spacing w:line="576" w:lineRule="exact"/>
        <w:ind w:firstLine="470" w:firstLineChars="147"/>
        <w:jc w:val="both"/>
        <w:textAlignment w:val="auto"/>
        <w:rPr>
          <w:rFonts w:ascii="仿宋" w:hAnsi="仿宋" w:eastAsia="仿宋" w:cs="Times New Roman"/>
          <w:b w:val="0"/>
          <w:bCs w:val="0"/>
          <w:color w:val="000000"/>
        </w:rPr>
      </w:pPr>
      <w:r>
        <w:rPr>
          <w:rFonts w:hint="eastAsia" w:ascii="黑体" w:hAnsi="黑体" w:eastAsia="黑体" w:cs="黑体"/>
          <w:b w:val="0"/>
          <w:bCs w:val="0"/>
        </w:rPr>
        <w:t>一、部门（单位）概况</w:t>
      </w:r>
    </w:p>
    <w:p>
      <w:pPr>
        <w:pageBreakBefore w:val="0"/>
        <w:widowControl/>
        <w:tabs>
          <w:tab w:val="left" w:pos="2880"/>
        </w:tabs>
        <w:kinsoku/>
        <w:wordWrap/>
        <w:overflowPunct/>
        <w:topLinePunct w:val="0"/>
        <w:autoSpaceDE/>
        <w:autoSpaceDN/>
        <w:bidi w:val="0"/>
        <w:adjustRightInd w:val="0"/>
        <w:snapToGrid w:val="0"/>
        <w:spacing w:line="576" w:lineRule="exact"/>
        <w:ind w:firstLine="720"/>
        <w:jc w:val="both"/>
        <w:textAlignment w:val="auto"/>
        <w:rPr>
          <w:rFonts w:ascii="楷体_GB2312" w:hAnsi="宋体" w:eastAsia="楷体_GB2312"/>
          <w:b w:val="0"/>
          <w:bCs w:val="0"/>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（一）机构组成</w:t>
      </w:r>
      <w:r>
        <w:rPr>
          <w:rFonts w:ascii="楷体_GB2312" w:hAnsi="宋体" w:eastAsia="楷体_GB2312"/>
          <w:b w:val="0"/>
          <w:bCs w:val="0"/>
          <w:color w:val="000000"/>
          <w:kern w:val="0"/>
          <w:sz w:val="32"/>
          <w:szCs w:val="32"/>
          <w:shd w:val="clear" w:color="auto" w:fill="FFFFFF"/>
          <w:lang w:val="zh-CN"/>
        </w:rPr>
        <w:tab/>
      </w:r>
    </w:p>
    <w:p>
      <w:pPr>
        <w:pageBreakBefore w:val="0"/>
        <w:widowControl/>
        <w:kinsoku/>
        <w:wordWrap/>
        <w:overflowPunct/>
        <w:topLinePunct w:val="0"/>
        <w:autoSpaceDE/>
        <w:autoSpaceDN/>
        <w:bidi w:val="0"/>
        <w:adjustRightInd w:val="0"/>
        <w:snapToGrid w:val="0"/>
        <w:spacing w:line="576" w:lineRule="exact"/>
        <w:ind w:firstLine="720"/>
        <w:jc w:val="both"/>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粮食局按照“三定方案”</w:t>
      </w:r>
      <w:r>
        <w:rPr>
          <w:rFonts w:hint="eastAsia" w:ascii="仿宋_GB2312" w:hAnsi="仿宋_GB2312" w:eastAsia="仿宋_GB2312" w:cs="仿宋_GB2312"/>
          <w:color w:val="000000"/>
          <w:kern w:val="0"/>
          <w:sz w:val="32"/>
          <w:szCs w:val="32"/>
          <w:shd w:val="clear" w:color="auto" w:fill="FFFFFF"/>
          <w:lang w:val="zh-CN"/>
        </w:rPr>
        <w:t>内设办公室、</w:t>
      </w:r>
      <w:r>
        <w:rPr>
          <w:rFonts w:hint="eastAsia" w:ascii="仿宋_GB2312" w:hAnsi="仿宋_GB2312" w:eastAsia="仿宋_GB2312" w:cs="仿宋_GB2312"/>
          <w:color w:val="000000"/>
          <w:kern w:val="0"/>
          <w:sz w:val="32"/>
          <w:szCs w:val="32"/>
          <w:shd w:val="clear" w:color="auto" w:fill="FFFFFF"/>
        </w:rPr>
        <w:t>财会审计业务股、安全仓储稽查股、粮食流通监督检查股4</w:t>
      </w:r>
      <w:r>
        <w:rPr>
          <w:rFonts w:hint="eastAsia" w:ascii="仿宋_GB2312" w:hAnsi="仿宋_GB2312" w:eastAsia="仿宋_GB2312" w:cs="仿宋_GB2312"/>
          <w:color w:val="000000"/>
          <w:kern w:val="0"/>
          <w:sz w:val="32"/>
          <w:szCs w:val="32"/>
          <w:shd w:val="clear" w:color="auto" w:fill="FFFFFF"/>
          <w:lang w:val="zh-CN"/>
        </w:rPr>
        <w:t>个职能股室。</w:t>
      </w:r>
    </w:p>
    <w:p>
      <w:pPr>
        <w:pageBreakBefore w:val="0"/>
        <w:widowControl/>
        <w:numPr>
          <w:ilvl w:val="0"/>
          <w:numId w:val="3"/>
        </w:numPr>
        <w:kinsoku/>
        <w:wordWrap/>
        <w:overflowPunct/>
        <w:topLinePunct w:val="0"/>
        <w:autoSpaceDE/>
        <w:autoSpaceDN/>
        <w:bidi w:val="0"/>
        <w:adjustRightInd w:val="0"/>
        <w:snapToGrid w:val="0"/>
        <w:spacing w:line="576" w:lineRule="exact"/>
        <w:ind w:firstLine="720"/>
        <w:jc w:val="both"/>
        <w:textAlignment w:val="auto"/>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机构职能</w:t>
      </w:r>
    </w:p>
    <w:p>
      <w:pPr>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sz w:val="32"/>
          <w:szCs w:val="32"/>
        </w:rPr>
        <w:t>.贯彻执行《粮食流通管理条例》和储备粮管理的方针、政策及法律、法规；加强粮食行政执法。拟定本县粮食流通和县级储备粮管理办法、粮食应急预案、规章制度和有关政策，并组织执行。拟订全县粮食流通体制改革方案并组织实施，推动国有粮食企业改革。提出发展现代粮食流通产业战略建议。承担粮食行政调解、行政复议、行政应诉工作。</w:t>
      </w:r>
    </w:p>
    <w:p>
      <w:pPr>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2.研究提出全县粮食宏观调控、总量平衡以及粮食流通的中长期规划、收购、储存、动用县级储备粮的建议，并组织实施；拟定粮食产业化经营的措施，配合有关部门抓好商品粮油品种结构调整。</w:t>
      </w:r>
    </w:p>
    <w:p>
      <w:pPr>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省、州、县储备粮管理，指导全县粮食储备体系建设；制定县级储备粮管理的技术规范并监督执行；监督检查省、州、县储备粮库存数量、质量和安全；研究提出县级储备粮的收购、轮换、抛售计划，并组织实施。</w:t>
      </w:r>
    </w:p>
    <w:p>
      <w:pPr>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4.管理社会粮食流通，保障军队、城镇居民、农村群众、应急救灾、缺粮贫困地区、退耕还林、大骨节病人和国家重点建设项目的粮食供应。</w:t>
      </w:r>
    </w:p>
    <w:p>
      <w:pPr>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5.指导和协调全县粮食流通基础设施建设，编制全县粮油仓储、加工设施建设计划并组织实施；指导安全粮油网点建设，负责粮油仓储设施的报废、占用、拆迁等。</w:t>
      </w:r>
    </w:p>
    <w:p>
      <w:pPr>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6.指导全县粮食流通市场的行业行政管理、国有粮食企业的改革；指导并推动行业的技术改造、新技术推广应用、安全生产和抢险救灾工作；指导全县农村科学储粮工作；承担行业统计工作。 </w:t>
      </w:r>
    </w:p>
    <w:p>
      <w:pPr>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7.指导全县粮食财务管理工作；组织实施粮食财务和会计制度工作，负责国有企业资产的监督管理；会同有关部门做好粮食收购资金使用；编报全县粮食系统财务报表，组织编制年度决算。</w:t>
      </w:r>
    </w:p>
    <w:p>
      <w:pPr>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8.协同质量技术监督部门做好粮食质量标准的管理工作；制定粮食储存、运输的技术规范，并监督执行。</w:t>
      </w:r>
    </w:p>
    <w:p>
      <w:pPr>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9.负责全县各级储备粮轮换工作，并对外地粮食行业进行经济技术合作交流。</w:t>
      </w:r>
    </w:p>
    <w:p>
      <w:pPr>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10.制订粮食系统人才发展规划，指导行业的职业教育；负责局机关的人事管理、机构编制管理工作。</w:t>
      </w:r>
    </w:p>
    <w:p>
      <w:pPr>
        <w:pageBreakBefore w:val="0"/>
        <w:tabs>
          <w:tab w:val="right" w:pos="8306"/>
        </w:tabs>
        <w:kinsoku/>
        <w:wordWrap/>
        <w:overflowPunct/>
        <w:topLinePunct w:val="0"/>
        <w:autoSpaceDE/>
        <w:autoSpaceDN/>
        <w:bidi w:val="0"/>
        <w:spacing w:line="576" w:lineRule="exact"/>
        <w:ind w:firstLine="640" w:firstLineChars="200"/>
        <w:jc w:val="both"/>
        <w:textAlignment w:val="auto"/>
        <w:rPr>
          <w:rFonts w:ascii="楷体_GB2312" w:hAnsi="仿宋" w:eastAsia="楷体_GB2312"/>
          <w:sz w:val="32"/>
          <w:szCs w:val="32"/>
        </w:rPr>
      </w:pPr>
      <w:r>
        <w:rPr>
          <w:rFonts w:hint="eastAsia" w:ascii="仿宋_GB2312" w:hAnsi="仿宋_GB2312" w:eastAsia="仿宋_GB2312" w:cs="仿宋_GB2312"/>
          <w:sz w:val="32"/>
          <w:szCs w:val="32"/>
        </w:rPr>
        <w:t>11.承办县政府交办的其他事项。</w:t>
      </w:r>
      <w:r>
        <w:rPr>
          <w:rFonts w:hint="eastAsia" w:ascii="仿宋_GB2312" w:hAnsi="仿宋_GB2312" w:eastAsia="仿宋_GB2312" w:cs="仿宋_GB2312"/>
          <w:sz w:val="32"/>
          <w:szCs w:val="32"/>
        </w:rPr>
        <w:tab/>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both"/>
        <w:textAlignment w:val="auto"/>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（三）人员概况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总编制 15 名,其中:参照公务员法管理的事业编制15名。在职人员总数 14 名，其中：参照公务员法管理的事业人员12名，工勤人员2名。退休人员 23人；遗属4名。</w:t>
      </w:r>
    </w:p>
    <w:p>
      <w:pPr>
        <w:pStyle w:val="3"/>
        <w:pageBreakBefore w:val="0"/>
        <w:numPr>
          <w:ilvl w:val="0"/>
          <w:numId w:val="0"/>
        </w:numPr>
        <w:kinsoku/>
        <w:wordWrap/>
        <w:overflowPunct/>
        <w:topLinePunct w:val="0"/>
        <w:autoSpaceDE/>
        <w:autoSpaceDN/>
        <w:bidi w:val="0"/>
        <w:spacing w:line="576" w:lineRule="exact"/>
        <w:ind w:firstLine="640" w:firstLineChars="200"/>
        <w:jc w:val="both"/>
        <w:textAlignment w:val="auto"/>
        <w:rPr>
          <w:rFonts w:hint="eastAsia" w:ascii="黑体" w:hAnsi="黑体" w:eastAsia="黑体" w:cs="黑体"/>
          <w:b w:val="0"/>
          <w:bCs w:val="0"/>
        </w:rPr>
      </w:pPr>
      <w:r>
        <w:rPr>
          <w:rFonts w:hint="eastAsia" w:ascii="黑体" w:hAnsi="黑体" w:eastAsia="黑体" w:cs="黑体"/>
          <w:b w:val="0"/>
          <w:bCs w:val="0"/>
          <w:lang w:eastAsia="zh-CN"/>
        </w:rPr>
        <w:t>二、</w:t>
      </w:r>
      <w:r>
        <w:rPr>
          <w:rFonts w:hint="eastAsia" w:ascii="黑体" w:hAnsi="黑体" w:eastAsia="黑体" w:cs="黑体"/>
          <w:b w:val="0"/>
          <w:bCs w:val="0"/>
        </w:rPr>
        <w:t>部门财政资金收支情况</w:t>
      </w:r>
    </w:p>
    <w:p>
      <w:pPr>
        <w:pStyle w:val="3"/>
        <w:pageBreakBefore w:val="0"/>
        <w:numPr>
          <w:ilvl w:val="0"/>
          <w:numId w:val="0"/>
        </w:numPr>
        <w:kinsoku/>
        <w:wordWrap/>
        <w:overflowPunct/>
        <w:topLinePunct w:val="0"/>
        <w:autoSpaceDE/>
        <w:autoSpaceDN/>
        <w:bidi w:val="0"/>
        <w:spacing w:line="576" w:lineRule="exact"/>
        <w:ind w:firstLine="642" w:firstLineChars="200"/>
        <w:jc w:val="both"/>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pageBreakBefore w:val="0"/>
        <w:widowControl/>
        <w:kinsoku/>
        <w:wordWrap/>
        <w:overflowPunct/>
        <w:topLinePunct w:val="0"/>
        <w:autoSpaceDE/>
        <w:autoSpaceDN/>
        <w:bidi w:val="0"/>
        <w:adjustRightInd w:val="0"/>
        <w:snapToGrid w:val="0"/>
        <w:spacing w:line="576" w:lineRule="exact"/>
        <w:ind w:firstLine="7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2018年我单位财政拨款总收入：234.4万元。</w:t>
      </w:r>
    </w:p>
    <w:p>
      <w:pPr>
        <w:pageBreakBefore w:val="0"/>
        <w:widowControl/>
        <w:tabs>
          <w:tab w:val="center" w:pos="4513"/>
        </w:tabs>
        <w:kinsoku/>
        <w:wordWrap/>
        <w:overflowPunct/>
        <w:topLinePunct w:val="0"/>
        <w:autoSpaceDE/>
        <w:autoSpaceDN/>
        <w:bidi w:val="0"/>
        <w:adjustRightInd w:val="0"/>
        <w:snapToGrid w:val="0"/>
        <w:spacing w:line="576" w:lineRule="exact"/>
        <w:ind w:left="720"/>
        <w:jc w:val="both"/>
        <w:textAlignment w:val="auto"/>
        <w:rPr>
          <w:rFonts w:ascii="楷体_GB2312" w:hAnsi="宋体" w:eastAsia="楷体_GB2312"/>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w:t>
      </w:r>
      <w:r>
        <w:rPr>
          <w:rFonts w:hint="eastAsia" w:ascii="楷体" w:hAnsi="楷体" w:eastAsia="楷体" w:cs="楷体"/>
          <w:b/>
          <w:bCs/>
          <w:color w:val="000000"/>
          <w:kern w:val="0"/>
          <w:sz w:val="32"/>
          <w:szCs w:val="32"/>
          <w:shd w:val="clear" w:color="auto" w:fill="FFFFFF"/>
        </w:rPr>
        <w:t>二</w:t>
      </w:r>
      <w:r>
        <w:rPr>
          <w:rFonts w:hint="eastAsia" w:ascii="楷体" w:hAnsi="楷体" w:eastAsia="楷体" w:cs="楷体"/>
          <w:b/>
          <w:bCs/>
          <w:color w:val="000000"/>
          <w:kern w:val="0"/>
          <w:sz w:val="32"/>
          <w:szCs w:val="32"/>
          <w:shd w:val="clear" w:color="auto" w:fill="FFFFFF"/>
          <w:lang w:val="zh-CN"/>
        </w:rPr>
        <w:t>）部门财政资金支出情况</w:t>
      </w:r>
    </w:p>
    <w:p>
      <w:pPr>
        <w:pageBreakBefore w:val="0"/>
        <w:widowControl/>
        <w:kinsoku/>
        <w:wordWrap/>
        <w:overflowPunct/>
        <w:topLinePunct w:val="0"/>
        <w:autoSpaceDE/>
        <w:autoSpaceDN/>
        <w:bidi w:val="0"/>
        <w:adjustRightInd w:val="0"/>
        <w:snapToGrid w:val="0"/>
        <w:spacing w:line="576" w:lineRule="exact"/>
        <w:ind w:firstLine="7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2018年我单位财政资金总支出：269.85万元，其中一般公共财政支出：234.4万元，项目支出35.45万元。</w:t>
      </w:r>
    </w:p>
    <w:p>
      <w:pPr>
        <w:pageBreakBefore w:val="0"/>
        <w:widowControl/>
        <w:numPr>
          <w:ilvl w:val="0"/>
          <w:numId w:val="3"/>
        </w:numPr>
        <w:kinsoku/>
        <w:wordWrap/>
        <w:overflowPunct/>
        <w:topLinePunct w:val="0"/>
        <w:autoSpaceDE/>
        <w:autoSpaceDN/>
        <w:bidi w:val="0"/>
        <w:adjustRightInd w:val="0"/>
        <w:snapToGrid w:val="0"/>
        <w:spacing w:line="576" w:lineRule="exact"/>
        <w:ind w:firstLine="720"/>
        <w:jc w:val="both"/>
        <w:textAlignment w:val="auto"/>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部门财政资金收支结转情况</w:t>
      </w:r>
    </w:p>
    <w:p>
      <w:pPr>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sz w:val="32"/>
          <w:szCs w:val="32"/>
        </w:rPr>
        <w:t>2018年年末无结转和结余资金。</w:t>
      </w:r>
    </w:p>
    <w:p>
      <w:pPr>
        <w:pStyle w:val="3"/>
        <w:pageBreakBefore w:val="0"/>
        <w:kinsoku/>
        <w:wordWrap/>
        <w:overflowPunct/>
        <w:topLinePunct w:val="0"/>
        <w:autoSpaceDE/>
        <w:autoSpaceDN/>
        <w:bidi w:val="0"/>
        <w:spacing w:line="576" w:lineRule="exact"/>
        <w:ind w:firstLine="313" w:firstLineChars="98"/>
        <w:jc w:val="both"/>
        <w:textAlignment w:val="auto"/>
        <w:rPr>
          <w:rFonts w:hint="eastAsia" w:ascii="黑体" w:hAnsi="黑体" w:eastAsia="黑体" w:cs="黑体"/>
          <w:b w:val="0"/>
          <w:bCs w:val="0"/>
        </w:rPr>
      </w:pPr>
      <w:r>
        <w:rPr>
          <w:rFonts w:hint="eastAsia" w:ascii="黑体" w:hAnsi="黑体" w:eastAsia="黑体" w:cs="黑体"/>
          <w:b w:val="0"/>
          <w:bCs w:val="0"/>
        </w:rPr>
        <w:t>三、部门整体预算绩效管理情况</w:t>
      </w:r>
    </w:p>
    <w:p>
      <w:pPr>
        <w:pStyle w:val="3"/>
        <w:pageBreakBefore w:val="0"/>
        <w:kinsoku/>
        <w:wordWrap/>
        <w:overflowPunct/>
        <w:topLinePunct w:val="0"/>
        <w:autoSpaceDE/>
        <w:autoSpaceDN/>
        <w:bidi w:val="0"/>
        <w:spacing w:line="576" w:lineRule="exact"/>
        <w:ind w:left="638" w:leftChars="304"/>
        <w:jc w:val="both"/>
        <w:textAlignment w:val="auto"/>
        <w:rPr>
          <w:rFonts w:ascii="仿宋" w:hAnsi="仿宋" w:eastAsia="仿宋" w:cs="Times New Roman"/>
          <w:b/>
          <w:bCs/>
          <w:color w:val="000000"/>
        </w:rPr>
      </w:pPr>
      <w:r>
        <w:rPr>
          <w:rFonts w:hint="eastAsia" w:ascii="楷体" w:hAnsi="楷体" w:eastAsia="楷体" w:cs="楷体"/>
          <w:b/>
          <w:bCs/>
        </w:rPr>
        <w:t>（一）部门预算管理</w:t>
      </w:r>
    </w:p>
    <w:p>
      <w:pPr>
        <w:pageBreakBefore w:val="0"/>
        <w:widowControl/>
        <w:kinsoku/>
        <w:wordWrap/>
        <w:overflowPunct/>
        <w:topLinePunct w:val="0"/>
        <w:autoSpaceDE/>
        <w:autoSpaceDN/>
        <w:bidi w:val="0"/>
        <w:spacing w:line="576" w:lineRule="exact"/>
        <w:ind w:left="617" w:leftChars="294"/>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我局认真学习贯彻党的十九大、省第十一次党代会和省</w:t>
      </w:r>
    </w:p>
    <w:p>
      <w:pPr>
        <w:pageBreakBefore w:val="0"/>
        <w:widowControl/>
        <w:kinsoku/>
        <w:wordWrap/>
        <w:overflowPunct/>
        <w:topLinePunct w:val="0"/>
        <w:autoSpaceDE/>
        <w:autoSpaceDN/>
        <w:bidi w:val="0"/>
        <w:spacing w:line="576" w:lineRule="exact"/>
        <w:ind w:left="640" w:hanging="640" w:hanging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委十一届三次、四次全会精神，以习近平新时代中国特色社</w:t>
      </w:r>
    </w:p>
    <w:p>
      <w:pPr>
        <w:pageBreakBefore w:val="0"/>
        <w:widowControl/>
        <w:kinsoku/>
        <w:wordWrap/>
        <w:overflowPunct/>
        <w:topLinePunct w:val="0"/>
        <w:autoSpaceDE/>
        <w:autoSpaceDN/>
        <w:bidi w:val="0"/>
        <w:spacing w:line="576" w:lineRule="exact"/>
        <w:ind w:left="640" w:hanging="640" w:hanging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会主义思想为指导，紧紧围绕构建“一干多支、五区协同”</w:t>
      </w:r>
    </w:p>
    <w:p>
      <w:pPr>
        <w:pageBreakBefore w:val="0"/>
        <w:widowControl/>
        <w:kinsoku/>
        <w:wordWrap/>
        <w:overflowPunct/>
        <w:topLinePunct w:val="0"/>
        <w:autoSpaceDE/>
        <w:autoSpaceDN/>
        <w:bidi w:val="0"/>
        <w:spacing w:line="576" w:lineRule="exact"/>
        <w:ind w:left="640" w:hanging="640" w:hanging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的发展战略目标，自觉践行新发展理念，根据职能职责积极</w:t>
      </w:r>
    </w:p>
    <w:p>
      <w:pPr>
        <w:pageBreakBefore w:val="0"/>
        <w:widowControl/>
        <w:kinsoku/>
        <w:wordWrap/>
        <w:overflowPunct/>
        <w:topLinePunct w:val="0"/>
        <w:autoSpaceDE/>
        <w:autoSpaceDN/>
        <w:bidi w:val="0"/>
        <w:spacing w:line="576" w:lineRule="exact"/>
        <w:ind w:left="640" w:hanging="640" w:hanging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谋划，确定目标任务，积极发挥公共财政职能作用，推动落</w:t>
      </w:r>
    </w:p>
    <w:p>
      <w:pPr>
        <w:pageBreakBefore w:val="0"/>
        <w:widowControl/>
        <w:kinsoku/>
        <w:wordWrap/>
        <w:overflowPunct/>
        <w:topLinePunct w:val="0"/>
        <w:autoSpaceDE/>
        <w:autoSpaceDN/>
        <w:bidi w:val="0"/>
        <w:spacing w:line="576" w:lineRule="exact"/>
        <w:ind w:left="640" w:hanging="640" w:hanging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实稳增长、促改革、调结构、惠民生、防风险各项工作。</w:t>
      </w:r>
    </w:p>
    <w:p>
      <w:pPr>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一是按照 2018 年部门预算编审要求，根据我局职能职责，结合中长期规划和年度工作计划，明确了年度主要工作任务及年度内履职所要达到的总体产出和效果，认真填报了我局整体支出绩效目标，设定了年度绩效数量指标、成本指标、效益指标等。</w:t>
      </w:r>
    </w:p>
    <w:p>
      <w:pPr>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二是按照财政部门统一部署，我局于2019年9月25日按要求对2018年部门决算进行公开。</w:t>
      </w:r>
    </w:p>
    <w:p>
      <w:pPr>
        <w:pStyle w:val="3"/>
        <w:pageBreakBefore w:val="0"/>
        <w:tabs>
          <w:tab w:val="right" w:pos="8306"/>
        </w:tabs>
        <w:kinsoku/>
        <w:wordWrap/>
        <w:overflowPunct/>
        <w:topLinePunct w:val="0"/>
        <w:autoSpaceDE/>
        <w:autoSpaceDN/>
        <w:bidi w:val="0"/>
        <w:adjustRightInd/>
        <w:snapToGrid/>
        <w:spacing w:line="576" w:lineRule="exact"/>
        <w:ind w:firstLine="321" w:firstLineChars="100"/>
        <w:jc w:val="both"/>
        <w:textAlignment w:val="auto"/>
        <w:rPr>
          <w:rFonts w:ascii="楷体_GB2312" w:hAnsi="仿宋" w:eastAsia="楷体_GB2312" w:cs="Times New Roman"/>
        </w:rPr>
      </w:pPr>
      <w:r>
        <w:rPr>
          <w:rFonts w:hint="eastAsia" w:ascii="楷体_GB2312" w:hAnsi="楷体" w:eastAsia="楷体_GB2312" w:cs="楷体"/>
          <w:b/>
          <w:bCs/>
        </w:rPr>
        <w:t>（二）专项预算管理</w:t>
      </w:r>
      <w:r>
        <w:rPr>
          <w:rFonts w:ascii="楷体_GB2312" w:hAnsi="楷体" w:eastAsia="楷体_GB2312" w:cs="Times New Roman"/>
        </w:rPr>
        <w:tab/>
      </w:r>
    </w:p>
    <w:p>
      <w:pPr>
        <w:pageBreakBefore w:val="0"/>
        <w:widowControl/>
        <w:tabs>
          <w:tab w:val="right" w:pos="8306"/>
        </w:tabs>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sz w:val="32"/>
          <w:szCs w:val="32"/>
        </w:rPr>
      </w:pPr>
      <w:r>
        <w:rPr>
          <w:rFonts w:hint="eastAsia" w:ascii="仿宋_GB2312" w:hAnsi="仿宋_GB2312" w:eastAsia="仿宋_GB2312" w:cs="仿宋_GB2312"/>
          <w:color w:val="000000"/>
          <w:kern w:val="0"/>
          <w:sz w:val="32"/>
          <w:szCs w:val="32"/>
        </w:rPr>
        <w:t>2018 年，本部门无专项预算。</w:t>
      </w:r>
      <w:r>
        <w:rPr>
          <w:rFonts w:ascii="仿宋_GB2312" w:hAnsi="仿宋_GB2312" w:eastAsia="仿宋_GB2312"/>
          <w:color w:val="000000"/>
          <w:kern w:val="0"/>
          <w:sz w:val="32"/>
          <w:szCs w:val="32"/>
        </w:rPr>
        <w:tab/>
      </w:r>
    </w:p>
    <w:p>
      <w:pPr>
        <w:pStyle w:val="3"/>
        <w:pageBreakBefore w:val="0"/>
        <w:kinsoku/>
        <w:wordWrap/>
        <w:overflowPunct/>
        <w:topLinePunct w:val="0"/>
        <w:autoSpaceDE/>
        <w:autoSpaceDN/>
        <w:bidi w:val="0"/>
        <w:adjustRightInd/>
        <w:snapToGrid/>
        <w:spacing w:line="576" w:lineRule="exact"/>
        <w:ind w:firstLine="321" w:firstLineChars="100"/>
        <w:jc w:val="both"/>
        <w:textAlignment w:val="auto"/>
        <w:rPr>
          <w:rFonts w:ascii="楷体_GB2312" w:hAnsi="仿宋" w:eastAsia="楷体_GB2312" w:cs="Times New Roman"/>
          <w:b/>
          <w:bCs/>
        </w:rPr>
      </w:pPr>
      <w:r>
        <w:rPr>
          <w:rFonts w:hint="eastAsia" w:ascii="楷体_GB2312" w:hAnsi="楷体" w:eastAsia="楷体_GB2312" w:cs="楷体"/>
          <w:b/>
          <w:bCs/>
        </w:rPr>
        <w:t>（三）结果应用情况</w:t>
      </w:r>
    </w:p>
    <w:p>
      <w:pPr>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我局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理念，推动我局部门整体绩效管理水平不断提升。</w:t>
      </w:r>
    </w:p>
    <w:p>
      <w:pPr>
        <w:pStyle w:val="3"/>
        <w:pageBreakBefore w:val="0"/>
        <w:kinsoku/>
        <w:wordWrap/>
        <w:overflowPunct/>
        <w:topLinePunct w:val="0"/>
        <w:autoSpaceDE/>
        <w:autoSpaceDN/>
        <w:bidi w:val="0"/>
        <w:adjustRightInd/>
        <w:snapToGrid/>
        <w:spacing w:line="576" w:lineRule="exact"/>
        <w:ind w:firstLine="313" w:firstLineChars="98"/>
        <w:jc w:val="both"/>
        <w:textAlignment w:val="auto"/>
        <w:rPr>
          <w:rFonts w:hint="eastAsia" w:ascii="黑体" w:hAnsi="黑体" w:eastAsia="黑体" w:cs="黑体"/>
          <w:b w:val="0"/>
          <w:bCs w:val="0"/>
        </w:rPr>
      </w:pPr>
      <w:r>
        <w:rPr>
          <w:rFonts w:hint="eastAsia" w:ascii="黑体" w:hAnsi="黑体" w:eastAsia="黑体" w:cs="黑体"/>
          <w:b w:val="0"/>
          <w:bCs w:val="0"/>
        </w:rPr>
        <w:t>四、评价结论及建议</w:t>
      </w:r>
    </w:p>
    <w:p>
      <w:pPr>
        <w:pStyle w:val="3"/>
        <w:pageBreakBefore w:val="0"/>
        <w:kinsoku/>
        <w:wordWrap/>
        <w:overflowPunct/>
        <w:topLinePunct w:val="0"/>
        <w:autoSpaceDE/>
        <w:autoSpaceDN/>
        <w:bidi w:val="0"/>
        <w:adjustRightInd/>
        <w:snapToGrid/>
        <w:spacing w:line="576" w:lineRule="exact"/>
        <w:ind w:firstLine="481" w:firstLineChars="150"/>
        <w:jc w:val="both"/>
        <w:textAlignment w:val="auto"/>
        <w:rPr>
          <w:rFonts w:ascii="楷体_GB2312" w:hAnsi="楷体" w:eastAsia="楷体_GB2312" w:cs="Times New Roman"/>
          <w:b/>
          <w:bCs/>
        </w:rPr>
      </w:pPr>
      <w:r>
        <w:rPr>
          <w:rFonts w:hint="eastAsia" w:ascii="楷体_GB2312" w:hAnsi="楷体" w:eastAsia="楷体_GB2312" w:cs="楷体"/>
          <w:b/>
          <w:bCs/>
        </w:rPr>
        <w:t>（一）评价结论</w:t>
      </w:r>
    </w:p>
    <w:p>
      <w:pPr>
        <w:pStyle w:val="3"/>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color w:val="000000"/>
          <w:kern w:val="0"/>
        </w:rPr>
        <w:t>2018年我局部门整体支出绩效评价自查自评结果良好，全年基本支出保证了部门的正常运行和日常工作的正常开展，项目支出保障了重点工作的开展，达到预期绩效目标。最终2018年部门整体支出绩效评价得分99分。</w:t>
      </w:r>
    </w:p>
    <w:p>
      <w:pPr>
        <w:pStyle w:val="3"/>
        <w:pageBreakBefore w:val="0"/>
        <w:kinsoku/>
        <w:wordWrap/>
        <w:overflowPunct/>
        <w:topLinePunct w:val="0"/>
        <w:autoSpaceDE/>
        <w:autoSpaceDN/>
        <w:bidi w:val="0"/>
        <w:adjustRightInd/>
        <w:snapToGrid/>
        <w:spacing w:line="576" w:lineRule="exact"/>
        <w:ind w:firstLine="321" w:firstLineChars="100"/>
        <w:jc w:val="both"/>
        <w:textAlignment w:val="auto"/>
        <w:rPr>
          <w:rStyle w:val="18"/>
          <w:rFonts w:ascii="楷体_GB2312" w:hAnsi="楷体" w:eastAsia="楷体_GB2312" w:cs="Times New Roman"/>
          <w:b/>
          <w:bCs/>
        </w:rPr>
      </w:pPr>
      <w:r>
        <w:rPr>
          <w:rFonts w:hint="eastAsia" w:ascii="楷体_GB2312" w:hAnsi="楷体" w:eastAsia="楷体_GB2312" w:cs="楷体"/>
          <w:b/>
          <w:bCs/>
        </w:rPr>
        <w:t>（二）存在问题</w:t>
      </w:r>
    </w:p>
    <w:p>
      <w:pPr>
        <w:pageBreakBefore w:val="0"/>
        <w:widowControl/>
        <w:shd w:val="clear" w:color="auto" w:fill="FFFFFF"/>
        <w:kinsoku/>
        <w:wordWrap/>
        <w:overflowPunct/>
        <w:topLinePunct w:val="0"/>
        <w:autoSpaceDE/>
        <w:autoSpaceDN/>
        <w:bidi w:val="0"/>
        <w:adjustRightInd/>
        <w:snapToGrid/>
        <w:spacing w:line="576" w:lineRule="exact"/>
        <w:ind w:firstLine="320" w:firstLineChars="100"/>
        <w:jc w:val="both"/>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rPr>
        <w:t>基本支出经费保障水平偏低</w:t>
      </w:r>
    </w:p>
    <w:p>
      <w:pPr>
        <w:pageBreakBefore w:val="0"/>
        <w:widowControl/>
        <w:shd w:val="clear" w:color="auto" w:fill="FFFFFF"/>
        <w:kinsoku/>
        <w:wordWrap/>
        <w:overflowPunct/>
        <w:topLinePunct w:val="0"/>
        <w:autoSpaceDE/>
        <w:autoSpaceDN/>
        <w:bidi w:val="0"/>
        <w:adjustRightInd/>
        <w:snapToGrid/>
        <w:spacing w:line="576" w:lineRule="exact"/>
        <w:ind w:firstLine="480"/>
        <w:jc w:val="both"/>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综合近几年我局批复预算看，预算执行基本围绕保人员经费、保正常运转进行。从决算情况看，基本支出比重比较大。</w:t>
      </w:r>
    </w:p>
    <w:p>
      <w:pPr>
        <w:pageBreakBefore w:val="0"/>
        <w:widowControl/>
        <w:shd w:val="clear" w:color="auto" w:fill="FFFFFF"/>
        <w:kinsoku/>
        <w:wordWrap/>
        <w:overflowPunct/>
        <w:topLinePunct w:val="0"/>
        <w:autoSpaceDE/>
        <w:autoSpaceDN/>
        <w:bidi w:val="0"/>
        <w:adjustRightInd/>
        <w:snapToGrid/>
        <w:spacing w:line="576" w:lineRule="exact"/>
        <w:ind w:firstLine="480"/>
        <w:jc w:val="both"/>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lang w:val="en-US" w:eastAsia="zh-CN"/>
        </w:rPr>
        <w:t>2.</w:t>
      </w:r>
      <w:r>
        <w:rPr>
          <w:rFonts w:hint="eastAsia" w:ascii="仿宋_GB2312" w:hAnsi="仿宋_GB2312" w:eastAsia="仿宋_GB2312" w:cs="仿宋_GB2312"/>
          <w:color w:val="333333"/>
          <w:kern w:val="0"/>
          <w:sz w:val="32"/>
          <w:szCs w:val="32"/>
        </w:rPr>
        <w:t>科学合理编制预算，严格执行预算</w:t>
      </w:r>
    </w:p>
    <w:p>
      <w:pPr>
        <w:pageBreakBefore w:val="0"/>
        <w:widowControl/>
        <w:shd w:val="clear" w:color="auto" w:fill="FFFFFF"/>
        <w:kinsoku/>
        <w:wordWrap/>
        <w:overflowPunct/>
        <w:topLinePunct w:val="0"/>
        <w:autoSpaceDE/>
        <w:autoSpaceDN/>
        <w:bidi w:val="0"/>
        <w:adjustRightInd/>
        <w:snapToGrid/>
        <w:spacing w:line="576" w:lineRule="exact"/>
        <w:ind w:firstLine="480"/>
        <w:jc w:val="both"/>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加强预算编制的前瞻性，按照新《预算法》及其实施条例的相关规定，按政策规定及本部门的发展规划，结合上一年度预算执行情况和本年度预算收支变化因素，科学、合理地编制本年预算草案，避免项目支出与基本支出划分不准或预算支出与实际执行出现较大偏差的情况，执行中确需调剂预算的，按规定程序报经批准。</w:t>
      </w:r>
    </w:p>
    <w:p>
      <w:pPr>
        <w:pageBreakBefore w:val="0"/>
        <w:widowControl/>
        <w:shd w:val="clear" w:color="auto" w:fill="FFFFFF"/>
        <w:kinsoku/>
        <w:wordWrap/>
        <w:overflowPunct/>
        <w:topLinePunct w:val="0"/>
        <w:autoSpaceDE/>
        <w:autoSpaceDN/>
        <w:bidi w:val="0"/>
        <w:adjustRightInd/>
        <w:snapToGrid/>
        <w:spacing w:line="576" w:lineRule="exact"/>
        <w:ind w:firstLine="480"/>
        <w:jc w:val="both"/>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lang w:val="en-US" w:eastAsia="zh-CN"/>
        </w:rPr>
        <w:t>3.</w:t>
      </w:r>
      <w:r>
        <w:rPr>
          <w:rFonts w:hint="eastAsia" w:ascii="仿宋_GB2312" w:hAnsi="仿宋_GB2312" w:eastAsia="仿宋_GB2312" w:cs="仿宋_GB2312"/>
          <w:color w:val="333333"/>
          <w:kern w:val="0"/>
          <w:sz w:val="32"/>
          <w:szCs w:val="32"/>
        </w:rPr>
        <w:t>完善管理制度，进一步加强资产管理</w:t>
      </w:r>
    </w:p>
    <w:p>
      <w:pPr>
        <w:pageBreakBefore w:val="0"/>
        <w:widowControl/>
        <w:shd w:val="clear" w:color="auto" w:fill="FFFFFF"/>
        <w:kinsoku/>
        <w:wordWrap/>
        <w:overflowPunct/>
        <w:topLinePunct w:val="0"/>
        <w:autoSpaceDE/>
        <w:autoSpaceDN/>
        <w:bidi w:val="0"/>
        <w:adjustRightInd/>
        <w:snapToGrid/>
        <w:spacing w:line="576" w:lineRule="exact"/>
        <w:ind w:firstLine="480"/>
        <w:jc w:val="both"/>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进一步贯彻落实中央八项规定</w:t>
      </w:r>
      <w:bookmarkStart w:id="74" w:name="_GoBack"/>
      <w:bookmarkEnd w:id="74"/>
      <w:r>
        <w:rPr>
          <w:rFonts w:hint="eastAsia" w:ascii="仿宋_GB2312" w:hAnsi="仿宋_GB2312" w:eastAsia="仿宋_GB2312" w:cs="仿宋_GB2312"/>
          <w:color w:val="333333"/>
          <w:kern w:val="0"/>
          <w:sz w:val="32"/>
          <w:szCs w:val="32"/>
        </w:rPr>
        <w:t>，建立本部门“三公经费”等公务支出管理制度及厉行节约制度，加强经费审批和控制，规范支出标准与范围，并严格执行。严格按照《固定资产管理办法》的规定加强固定资产管理，及时登记、更新台账，加强资产卡片管理，年终前对各类实物资产进行全面盘点，确保账账、账实相符。</w:t>
      </w:r>
    </w:p>
    <w:p>
      <w:pPr>
        <w:pageBreakBefore w:val="0"/>
        <w:widowControl/>
        <w:kinsoku/>
        <w:wordWrap/>
        <w:overflowPunct/>
        <w:topLinePunct w:val="0"/>
        <w:autoSpaceDE/>
        <w:autoSpaceDN/>
        <w:bidi w:val="0"/>
        <w:adjustRightInd/>
        <w:snapToGrid/>
        <w:spacing w:line="576" w:lineRule="exact"/>
        <w:ind w:firstLine="320"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绩效目标设定有待更科学更合理。</w:t>
      </w:r>
    </w:p>
    <w:p>
      <w:pPr>
        <w:pStyle w:val="3"/>
        <w:pageBreakBefore w:val="0"/>
        <w:kinsoku/>
        <w:wordWrap/>
        <w:overflowPunct/>
        <w:topLinePunct w:val="0"/>
        <w:autoSpaceDE/>
        <w:autoSpaceDN/>
        <w:bidi w:val="0"/>
        <w:adjustRightInd/>
        <w:snapToGrid/>
        <w:spacing w:line="576" w:lineRule="exact"/>
        <w:ind w:firstLine="321" w:firstLineChars="100"/>
        <w:jc w:val="both"/>
        <w:textAlignment w:val="auto"/>
        <w:rPr>
          <w:rFonts w:ascii="楷体_GB2312" w:hAnsi="楷体" w:eastAsia="楷体_GB2312" w:cs="Times New Roman"/>
          <w:b/>
          <w:bCs/>
        </w:rPr>
      </w:pPr>
      <w:r>
        <w:rPr>
          <w:rFonts w:hint="eastAsia" w:ascii="楷体_GB2312" w:hAnsi="楷体" w:eastAsia="楷体_GB2312" w:cs="楷体"/>
          <w:b/>
          <w:bCs/>
        </w:rPr>
        <w:t>（三）改进建议</w:t>
      </w:r>
    </w:p>
    <w:p>
      <w:pPr>
        <w:pageBreakBefore w:val="0"/>
        <w:widowControl/>
        <w:shd w:val="clear" w:color="auto" w:fill="FFFFFF"/>
        <w:kinsoku/>
        <w:wordWrap/>
        <w:overflowPunct/>
        <w:topLinePunct w:val="0"/>
        <w:autoSpaceDE/>
        <w:autoSpaceDN/>
        <w:bidi w:val="0"/>
        <w:adjustRightInd/>
        <w:snapToGrid/>
        <w:spacing w:line="576" w:lineRule="exact"/>
        <w:ind w:firstLine="480"/>
        <w:jc w:val="both"/>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加强新《预算法》、《行政单位会计制度》等学习培训，规范部门预算收支核算，一是制定和完善基本支出、项目支出等各项支出标准，严格按项目和进度执行预算，增强预算的约束力和严肃性。二是落实预算执行分析，及时了解预算执行差异，合理调整、纠正预算执行偏差，切实提高部门预算收支管理水平。</w:t>
      </w:r>
    </w:p>
    <w:p>
      <w:pPr>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sz w:val="32"/>
          <w:szCs w:val="32"/>
        </w:rPr>
      </w:pPr>
    </w:p>
    <w:p>
      <w:pPr>
        <w:pageBreakBefore w:val="0"/>
        <w:widowControl/>
        <w:kinsoku/>
        <w:wordWrap/>
        <w:overflowPunct/>
        <w:topLinePunct w:val="0"/>
        <w:autoSpaceDE/>
        <w:autoSpaceDN/>
        <w:bidi w:val="0"/>
        <w:adjustRightInd/>
        <w:snapToGrid/>
        <w:spacing w:line="576" w:lineRule="exact"/>
        <w:jc w:val="both"/>
        <w:textAlignment w:val="auto"/>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tbl>
      <w:tblPr>
        <w:tblStyle w:val="13"/>
        <w:tblW w:w="8504" w:type="dxa"/>
        <w:tblInd w:w="2" w:type="dxa"/>
        <w:tblLayout w:type="fixed"/>
        <w:tblCellMar>
          <w:top w:w="0" w:type="dxa"/>
          <w:left w:w="0" w:type="dxa"/>
          <w:bottom w:w="0" w:type="dxa"/>
          <w:right w:w="0" w:type="dxa"/>
        </w:tblCellMar>
      </w:tblPr>
      <w:tblGrid>
        <w:gridCol w:w="447"/>
        <w:gridCol w:w="678"/>
        <w:gridCol w:w="1105"/>
        <w:gridCol w:w="2509"/>
        <w:gridCol w:w="338"/>
        <w:gridCol w:w="374"/>
        <w:gridCol w:w="3053"/>
      </w:tblGrid>
      <w:tr>
        <w:tblPrEx>
          <w:tblCellMar>
            <w:top w:w="0" w:type="dxa"/>
            <w:left w:w="0" w:type="dxa"/>
            <w:bottom w:w="0" w:type="dxa"/>
            <w:right w:w="0" w:type="dxa"/>
          </w:tblCellMar>
        </w:tblPrEx>
        <w:trPr>
          <w:trHeight w:val="535" w:hRule="atLeast"/>
        </w:trPr>
        <w:tc>
          <w:tcPr>
            <w:tcW w:w="447" w:type="dxa"/>
            <w:tcBorders>
              <w:top w:val="nil"/>
              <w:left w:val="nil"/>
              <w:bottom w:val="nil"/>
              <w:right w:val="nil"/>
            </w:tcBorders>
            <w:noWrap/>
            <w:tcMar>
              <w:top w:w="15" w:type="dxa"/>
              <w:left w:w="15" w:type="dxa"/>
              <w:right w:w="15" w:type="dxa"/>
            </w:tcMar>
            <w:vAlign w:val="center"/>
          </w:tcPr>
          <w:p>
            <w:pPr>
              <w:widowControl/>
              <w:jc w:val="left"/>
              <w:textAlignment w:val="center"/>
              <w:rPr>
                <w:rFonts w:ascii="宋体"/>
                <w:color w:val="000000"/>
                <w:sz w:val="16"/>
                <w:szCs w:val="16"/>
              </w:rPr>
            </w:pPr>
          </w:p>
        </w:tc>
        <w:tc>
          <w:tcPr>
            <w:tcW w:w="678" w:type="dxa"/>
            <w:tcBorders>
              <w:top w:val="nil"/>
              <w:left w:val="nil"/>
              <w:bottom w:val="nil"/>
              <w:right w:val="nil"/>
            </w:tcBorders>
            <w:noWrap/>
            <w:tcMar>
              <w:top w:w="15" w:type="dxa"/>
              <w:left w:w="15" w:type="dxa"/>
              <w:right w:w="15" w:type="dxa"/>
            </w:tcMar>
            <w:vAlign w:val="center"/>
          </w:tcPr>
          <w:p>
            <w:pPr>
              <w:jc w:val="center"/>
              <w:rPr>
                <w:rFonts w:ascii="宋体"/>
                <w:color w:val="000000"/>
                <w:sz w:val="16"/>
                <w:szCs w:val="16"/>
              </w:rPr>
            </w:pPr>
          </w:p>
        </w:tc>
        <w:tc>
          <w:tcPr>
            <w:tcW w:w="1105" w:type="dxa"/>
            <w:tcBorders>
              <w:top w:val="nil"/>
              <w:left w:val="nil"/>
              <w:bottom w:val="nil"/>
              <w:right w:val="nil"/>
            </w:tcBorders>
            <w:noWrap/>
            <w:tcMar>
              <w:top w:w="15" w:type="dxa"/>
              <w:left w:w="15" w:type="dxa"/>
              <w:right w:w="15" w:type="dxa"/>
            </w:tcMar>
            <w:vAlign w:val="center"/>
          </w:tcPr>
          <w:p>
            <w:pPr>
              <w:rPr>
                <w:rFonts w:ascii="宋体"/>
                <w:color w:val="000000"/>
                <w:sz w:val="16"/>
                <w:szCs w:val="16"/>
              </w:rPr>
            </w:pPr>
          </w:p>
        </w:tc>
        <w:tc>
          <w:tcPr>
            <w:tcW w:w="2509" w:type="dxa"/>
            <w:tcBorders>
              <w:top w:val="nil"/>
              <w:left w:val="nil"/>
              <w:bottom w:val="nil"/>
              <w:right w:val="nil"/>
            </w:tcBorders>
            <w:noWrap/>
            <w:tcMar>
              <w:top w:w="15" w:type="dxa"/>
              <w:left w:w="15" w:type="dxa"/>
              <w:right w:w="15" w:type="dxa"/>
            </w:tcMar>
            <w:vAlign w:val="center"/>
          </w:tcPr>
          <w:p>
            <w:pPr>
              <w:rPr>
                <w:rFonts w:ascii="宋体"/>
                <w:color w:val="000000"/>
                <w:sz w:val="16"/>
                <w:szCs w:val="16"/>
              </w:rPr>
            </w:pPr>
          </w:p>
        </w:tc>
        <w:tc>
          <w:tcPr>
            <w:tcW w:w="338" w:type="dxa"/>
            <w:tcBorders>
              <w:top w:val="nil"/>
              <w:left w:val="nil"/>
              <w:bottom w:val="nil"/>
              <w:right w:val="nil"/>
            </w:tcBorders>
            <w:shd w:val="clear" w:color="auto" w:fill="FFFFFF"/>
            <w:noWrap/>
            <w:tcMar>
              <w:top w:w="15" w:type="dxa"/>
              <w:left w:w="15" w:type="dxa"/>
              <w:right w:w="15" w:type="dxa"/>
            </w:tcMar>
            <w:vAlign w:val="center"/>
          </w:tcPr>
          <w:p>
            <w:pPr>
              <w:rPr>
                <w:rFonts w:ascii="宋体"/>
                <w:color w:val="000000"/>
                <w:sz w:val="16"/>
                <w:szCs w:val="16"/>
              </w:rPr>
            </w:pPr>
          </w:p>
        </w:tc>
        <w:tc>
          <w:tcPr>
            <w:tcW w:w="374" w:type="dxa"/>
            <w:tcBorders>
              <w:top w:val="nil"/>
              <w:left w:val="nil"/>
              <w:bottom w:val="nil"/>
              <w:right w:val="nil"/>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nil"/>
              <w:left w:val="nil"/>
              <w:bottom w:val="nil"/>
              <w:right w:val="nil"/>
            </w:tcBorders>
            <w:noWrap/>
            <w:tcMar>
              <w:top w:w="15" w:type="dxa"/>
              <w:left w:w="15" w:type="dxa"/>
              <w:right w:w="15" w:type="dxa"/>
            </w:tcMar>
            <w:vAlign w:val="center"/>
          </w:tcPr>
          <w:p>
            <w:pPr>
              <w:rPr>
                <w:rFonts w:ascii="宋体"/>
                <w:color w:val="000000"/>
                <w:sz w:val="16"/>
                <w:szCs w:val="16"/>
              </w:rPr>
            </w:pPr>
          </w:p>
        </w:tc>
      </w:tr>
      <w:tr>
        <w:tblPrEx>
          <w:tblCellMar>
            <w:top w:w="0" w:type="dxa"/>
            <w:left w:w="0" w:type="dxa"/>
            <w:bottom w:w="0" w:type="dxa"/>
            <w:right w:w="0" w:type="dxa"/>
          </w:tblCellMar>
        </w:tblPrEx>
        <w:trPr>
          <w:trHeight w:val="335" w:hRule="atLeast"/>
        </w:trPr>
        <w:tc>
          <w:tcPr>
            <w:tcW w:w="8504"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ascii="宋体" w:hAnsi="宋体" w:cs="宋体"/>
                <w:b/>
                <w:bCs/>
                <w:color w:val="000000"/>
                <w:kern w:val="0"/>
                <w:sz w:val="16"/>
                <w:szCs w:val="16"/>
              </w:rPr>
              <w:t>2018</w:t>
            </w:r>
            <w:r>
              <w:rPr>
                <w:rFonts w:hint="eastAsia" w:ascii="宋体" w:hAnsi="宋体" w:cs="宋体"/>
                <w:b/>
                <w:bCs/>
                <w:color w:val="000000"/>
                <w:kern w:val="0"/>
                <w:sz w:val="16"/>
                <w:szCs w:val="16"/>
              </w:rPr>
              <w:t>年县级部门整体支出绩效评价指标体系</w:t>
            </w:r>
          </w:p>
        </w:tc>
      </w:tr>
      <w:tr>
        <w:tblPrEx>
          <w:tblCellMar>
            <w:top w:w="0" w:type="dxa"/>
            <w:left w:w="0" w:type="dxa"/>
            <w:bottom w:w="0" w:type="dxa"/>
            <w:right w:w="0" w:type="dxa"/>
          </w:tblCellMar>
        </w:tblPrEx>
        <w:trPr>
          <w:trHeight w:val="665" w:hRule="atLeast"/>
        </w:trPr>
        <w:tc>
          <w:tcPr>
            <w:tcW w:w="4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hint="eastAsia" w:ascii="宋体" w:hAnsi="宋体" w:cs="宋体"/>
                <w:b/>
                <w:bCs/>
                <w:color w:val="000000"/>
                <w:kern w:val="0"/>
                <w:sz w:val="16"/>
                <w:szCs w:val="16"/>
              </w:rPr>
              <w:t>一级指标</w:t>
            </w:r>
          </w:p>
        </w:tc>
        <w:tc>
          <w:tcPr>
            <w:tcW w:w="6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hint="eastAsia" w:ascii="宋体" w:hAnsi="宋体" w:cs="宋体"/>
                <w:b/>
                <w:bCs/>
                <w:color w:val="000000"/>
                <w:kern w:val="0"/>
                <w:sz w:val="16"/>
                <w:szCs w:val="16"/>
              </w:rPr>
              <w:t>二级指标</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hint="eastAsia" w:ascii="宋体" w:hAnsi="宋体" w:cs="宋体"/>
                <w:b/>
                <w:bCs/>
                <w:color w:val="000000"/>
                <w:kern w:val="0"/>
                <w:sz w:val="16"/>
                <w:szCs w:val="16"/>
              </w:rPr>
              <w:t>三级指标</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hint="eastAsia" w:ascii="宋体" w:hAnsi="宋体" w:cs="宋体"/>
                <w:b/>
                <w:bCs/>
                <w:color w:val="000000"/>
                <w:kern w:val="0"/>
                <w:sz w:val="16"/>
                <w:szCs w:val="16"/>
              </w:rPr>
              <w:t>指标解释</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b/>
                <w:bCs/>
                <w:color w:val="000000"/>
                <w:sz w:val="16"/>
                <w:szCs w:val="16"/>
              </w:rPr>
            </w:pPr>
            <w:r>
              <w:rPr>
                <w:rFonts w:hint="eastAsia" w:ascii="宋体" w:hAnsi="宋体" w:cs="宋体"/>
                <w:b/>
                <w:bCs/>
                <w:color w:val="000000"/>
                <w:kern w:val="0"/>
                <w:sz w:val="16"/>
                <w:szCs w:val="16"/>
              </w:rPr>
              <w:t>扣分</w:t>
            </w: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b/>
                <w:bCs/>
                <w:color w:val="000000"/>
                <w:sz w:val="16"/>
                <w:szCs w:val="16"/>
              </w:rPr>
            </w:pPr>
            <w:r>
              <w:rPr>
                <w:rFonts w:hint="eastAsia" w:ascii="宋体" w:hAnsi="宋体" w:cs="宋体"/>
                <w:b/>
                <w:bCs/>
                <w:color w:val="000000"/>
                <w:kern w:val="0"/>
                <w:sz w:val="16"/>
                <w:szCs w:val="16"/>
              </w:rPr>
              <w:t>扣分理由</w:t>
            </w: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hint="eastAsia" w:ascii="宋体" w:hAnsi="宋体" w:cs="宋体"/>
                <w:b/>
                <w:bCs/>
                <w:color w:val="000000"/>
                <w:kern w:val="0"/>
                <w:sz w:val="16"/>
                <w:szCs w:val="16"/>
              </w:rPr>
              <w:t>计分标准（备注）</w:t>
            </w:r>
          </w:p>
        </w:tc>
      </w:tr>
      <w:tr>
        <w:tblPrEx>
          <w:tblCellMar>
            <w:top w:w="0" w:type="dxa"/>
            <w:left w:w="0" w:type="dxa"/>
            <w:bottom w:w="0" w:type="dxa"/>
            <w:right w:w="0" w:type="dxa"/>
          </w:tblCellMar>
        </w:tblPrEx>
        <w:trPr>
          <w:trHeight w:val="884" w:hRule="atLeast"/>
        </w:trPr>
        <w:tc>
          <w:tcPr>
            <w:tcW w:w="447" w:type="dxa"/>
            <w:vMerge w:val="restart"/>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color w:val="000000"/>
                <w:sz w:val="16"/>
                <w:szCs w:val="16"/>
              </w:rPr>
            </w:pPr>
            <w:r>
              <w:rPr>
                <w:rFonts w:hint="eastAsia" w:ascii="宋体" w:hAnsi="宋体" w:cs="宋体"/>
                <w:color w:val="000000"/>
                <w:kern w:val="0"/>
                <w:sz w:val="16"/>
                <w:szCs w:val="16"/>
              </w:rPr>
              <w:t>预算编制（</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6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报送时效（</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基础信息更新（</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部门是否按照县级部门预算编制通知和有关要求，按时完成基础库、项目库报送工作</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超过规定</w:t>
            </w:r>
            <w:r>
              <w:rPr>
                <w:rFonts w:ascii="宋体" w:hAnsi="宋体" w:cs="宋体"/>
                <w:color w:val="000000"/>
                <w:kern w:val="0"/>
                <w:sz w:val="16"/>
                <w:szCs w:val="16"/>
              </w:rPr>
              <w:t>5</w:t>
            </w:r>
            <w:r>
              <w:rPr>
                <w:rFonts w:hint="eastAsia" w:ascii="宋体" w:hAnsi="宋体" w:cs="宋体"/>
                <w:color w:val="000000"/>
                <w:kern w:val="0"/>
                <w:sz w:val="16"/>
                <w:szCs w:val="16"/>
              </w:rPr>
              <w:t>个工作日扣</w:t>
            </w:r>
            <w:r>
              <w:rPr>
                <w:rFonts w:ascii="宋体" w:hAnsi="宋体" w:cs="宋体"/>
                <w:color w:val="000000"/>
                <w:kern w:val="0"/>
                <w:sz w:val="16"/>
                <w:szCs w:val="16"/>
              </w:rPr>
              <w:t>0.5</w:t>
            </w:r>
            <w:r>
              <w:rPr>
                <w:rFonts w:hint="eastAsia" w:ascii="宋体" w:hAnsi="宋体" w:cs="宋体"/>
                <w:color w:val="000000"/>
                <w:kern w:val="0"/>
                <w:sz w:val="16"/>
                <w:szCs w:val="16"/>
              </w:rPr>
              <w:t>分，</w:t>
            </w:r>
            <w:r>
              <w:rPr>
                <w:rFonts w:ascii="宋体" w:hAnsi="宋体" w:cs="宋体"/>
                <w:color w:val="000000"/>
                <w:kern w:val="0"/>
                <w:sz w:val="16"/>
                <w:szCs w:val="16"/>
              </w:rPr>
              <w:t>10</w:t>
            </w:r>
            <w:r>
              <w:rPr>
                <w:rFonts w:hint="eastAsia" w:ascii="宋体" w:hAnsi="宋体" w:cs="宋体"/>
                <w:color w:val="000000"/>
                <w:kern w:val="0"/>
                <w:sz w:val="16"/>
                <w:szCs w:val="16"/>
              </w:rPr>
              <w:t>个工作日扣</w:t>
            </w:r>
            <w:r>
              <w:rPr>
                <w:rFonts w:ascii="宋体" w:hAnsi="宋体" w:cs="宋体"/>
                <w:color w:val="000000"/>
                <w:kern w:val="0"/>
                <w:sz w:val="16"/>
                <w:szCs w:val="16"/>
              </w:rPr>
              <w:t>1</w:t>
            </w:r>
            <w:r>
              <w:rPr>
                <w:rFonts w:hint="eastAsia" w:ascii="宋体" w:hAnsi="宋体" w:cs="宋体"/>
                <w:color w:val="000000"/>
                <w:kern w:val="0"/>
                <w:sz w:val="16"/>
                <w:szCs w:val="16"/>
              </w:rPr>
              <w:t>分，以此类推，直至扣完</w:t>
            </w:r>
          </w:p>
        </w:tc>
      </w:tr>
      <w:tr>
        <w:tblPrEx>
          <w:tblCellMar>
            <w:top w:w="0" w:type="dxa"/>
            <w:left w:w="0" w:type="dxa"/>
            <w:bottom w:w="0" w:type="dxa"/>
            <w:right w:w="0" w:type="dxa"/>
          </w:tblCellMar>
        </w:tblPrEx>
        <w:trPr>
          <w:trHeight w:val="98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编制质量（</w:t>
            </w:r>
            <w:r>
              <w:rPr>
                <w:rFonts w:ascii="宋体" w:hAnsi="宋体" w:cs="宋体"/>
                <w:color w:val="000000"/>
                <w:kern w:val="0"/>
                <w:sz w:val="16"/>
                <w:szCs w:val="16"/>
              </w:rPr>
              <w:t>3</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预算编制准确（</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（预算资金总来源</w:t>
            </w:r>
            <w:r>
              <w:rPr>
                <w:rFonts w:ascii="宋体" w:cs="宋体"/>
                <w:color w:val="000000"/>
                <w:kern w:val="0"/>
                <w:sz w:val="16"/>
                <w:szCs w:val="16"/>
              </w:rPr>
              <w:t>-</w:t>
            </w:r>
            <w:r>
              <w:rPr>
                <w:rFonts w:hint="eastAsia" w:ascii="宋体" w:hAnsi="宋体" w:cs="宋体"/>
                <w:color w:val="000000"/>
                <w:kern w:val="0"/>
                <w:sz w:val="16"/>
                <w:szCs w:val="16"/>
              </w:rPr>
              <w:t>中期评估调整取消资金</w:t>
            </w:r>
            <w:r>
              <w:rPr>
                <w:rFonts w:ascii="宋体" w:cs="宋体"/>
                <w:color w:val="000000"/>
                <w:kern w:val="0"/>
                <w:sz w:val="16"/>
                <w:szCs w:val="16"/>
              </w:rPr>
              <w:t>-</w:t>
            </w:r>
            <w:r>
              <w:rPr>
                <w:rFonts w:hint="eastAsia" w:ascii="宋体" w:hAnsi="宋体" w:cs="宋体"/>
                <w:color w:val="000000"/>
                <w:kern w:val="0"/>
                <w:sz w:val="16"/>
                <w:szCs w:val="16"/>
              </w:rPr>
              <w:t>预算结余注销资金）÷预算资金总来源</w:t>
            </w:r>
            <w:r>
              <w:rPr>
                <w:rFonts w:ascii="宋体" w:hAnsi="宋体" w:cs="宋体"/>
                <w:color w:val="000000"/>
                <w:kern w:val="0"/>
                <w:sz w:val="16"/>
                <w:szCs w:val="16"/>
              </w:rPr>
              <w:t>*</w:t>
            </w:r>
            <w:r>
              <w:rPr>
                <w:rFonts w:hint="eastAsia" w:ascii="宋体" w:hAnsi="宋体" w:cs="宋体"/>
                <w:color w:val="000000"/>
                <w:kern w:val="0"/>
                <w:sz w:val="16"/>
                <w:szCs w:val="16"/>
              </w:rPr>
              <w:t>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其中：预算资金总来源是指县级年初预算与执行中追加预算（不含当年专款）总和</w:t>
            </w:r>
          </w:p>
        </w:tc>
      </w:tr>
      <w:tr>
        <w:tblPrEx>
          <w:tblCellMar>
            <w:top w:w="0" w:type="dxa"/>
            <w:left w:w="0" w:type="dxa"/>
            <w:bottom w:w="0" w:type="dxa"/>
            <w:right w:w="0" w:type="dxa"/>
          </w:tblCellMar>
        </w:tblPrEx>
        <w:trPr>
          <w:trHeight w:val="66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部门预算审查（</w:t>
            </w:r>
            <w:r>
              <w:rPr>
                <w:rFonts w:ascii="宋体" w:hAnsi="宋体" w:cs="宋体"/>
                <w:color w:val="000000"/>
                <w:kern w:val="0"/>
                <w:sz w:val="16"/>
                <w:szCs w:val="16"/>
              </w:rPr>
              <w:t>1</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根据县人大财经委对预算草案审查结果进行考核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对财经委审查后提出并确需修改的问题，每个问题扣</w:t>
            </w:r>
            <w:r>
              <w:rPr>
                <w:rFonts w:ascii="宋体" w:hAnsi="宋体" w:cs="宋体"/>
                <w:color w:val="000000"/>
                <w:kern w:val="0"/>
                <w:sz w:val="16"/>
                <w:szCs w:val="16"/>
              </w:rPr>
              <w:t>0.02</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绩效目标（</w:t>
            </w:r>
            <w:r>
              <w:rPr>
                <w:rFonts w:ascii="宋体" w:hAnsi="宋体" w:cs="宋体"/>
                <w:color w:val="000000"/>
                <w:kern w:val="0"/>
                <w:sz w:val="16"/>
                <w:szCs w:val="16"/>
              </w:rPr>
              <w:t>5</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部门整体绩效目标（</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部门整体绩效目标编制完整、合理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部门整体绩效目标能完整、合理反映部门年度职责履行情况的得分，否则不得分</w:t>
            </w:r>
          </w:p>
        </w:tc>
      </w:tr>
      <w:tr>
        <w:tblPrEx>
          <w:tblCellMar>
            <w:top w:w="0" w:type="dxa"/>
            <w:left w:w="0" w:type="dxa"/>
            <w:bottom w:w="0" w:type="dxa"/>
            <w:right w:w="0" w:type="dxa"/>
          </w:tblCellMar>
        </w:tblPrEx>
        <w:trPr>
          <w:trHeight w:val="77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重点项目绩效目标（</w:t>
            </w:r>
            <w:r>
              <w:rPr>
                <w:rFonts w:ascii="宋体" w:hAnsi="宋体" w:cs="宋体"/>
                <w:color w:val="000000"/>
                <w:kern w:val="0"/>
                <w:sz w:val="16"/>
                <w:szCs w:val="16"/>
              </w:rPr>
              <w:t>3</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项目绩效目标编制明确、量化</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项目支出绩效目标编制不明确和量化的发现一个扣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16"/>
                <w:szCs w:val="16"/>
              </w:rPr>
            </w:pPr>
            <w:r>
              <w:rPr>
                <w:rFonts w:hint="eastAsia" w:ascii="宋体" w:hAnsi="宋体" w:cs="宋体"/>
                <w:color w:val="000000"/>
                <w:kern w:val="0"/>
                <w:sz w:val="16"/>
                <w:szCs w:val="16"/>
              </w:rPr>
              <w:t>预算执行（</w:t>
            </w:r>
            <w:r>
              <w:rPr>
                <w:rFonts w:ascii="宋体" w:hAnsi="宋体" w:cs="宋体"/>
                <w:color w:val="000000"/>
                <w:kern w:val="0"/>
                <w:sz w:val="16"/>
                <w:szCs w:val="16"/>
              </w:rPr>
              <w:t>20</w:t>
            </w:r>
            <w:r>
              <w:rPr>
                <w:rFonts w:hint="eastAsia" w:ascii="宋体" w:hAnsi="宋体" w:cs="宋体"/>
                <w:color w:val="000000"/>
                <w:kern w:val="0"/>
                <w:sz w:val="16"/>
                <w:szCs w:val="16"/>
              </w:rPr>
              <w:t>分）</w:t>
            </w: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执行进度（</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财力专项预算分配时限（</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按规定及时分配财力专项预算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按《预算法》规定时限完成分配的考核得分，否则不得分</w:t>
            </w:r>
          </w:p>
        </w:tc>
      </w:tr>
      <w:tr>
        <w:tblPrEx>
          <w:tblCellMar>
            <w:top w:w="0" w:type="dxa"/>
            <w:left w:w="0" w:type="dxa"/>
            <w:bottom w:w="0" w:type="dxa"/>
            <w:right w:w="0" w:type="dxa"/>
          </w:tblCellMar>
        </w:tblPrEx>
        <w:trPr>
          <w:trHeight w:val="775"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部门预算执行进度（</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部门按要求严格预算执行管理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部门预算实际列支数÷部门预算总额</w:t>
            </w:r>
            <w:r>
              <w:rPr>
                <w:rFonts w:ascii="宋体" w:hAnsi="宋体" w:cs="宋体"/>
                <w:color w:val="000000"/>
                <w:kern w:val="0"/>
                <w:sz w:val="16"/>
                <w:szCs w:val="16"/>
              </w:rPr>
              <w:t>*</w:t>
            </w:r>
            <w:r>
              <w:rPr>
                <w:rFonts w:hint="eastAsia" w:ascii="宋体" w:hAnsi="宋体" w:cs="宋体"/>
                <w:color w:val="000000"/>
                <w:kern w:val="0"/>
                <w:sz w:val="16"/>
                <w:szCs w:val="16"/>
              </w:rPr>
              <w:t>指标分值</w:t>
            </w:r>
          </w:p>
        </w:tc>
      </w:tr>
      <w:tr>
        <w:tblPrEx>
          <w:tblCellMar>
            <w:top w:w="0" w:type="dxa"/>
            <w:left w:w="0" w:type="dxa"/>
            <w:bottom w:w="0" w:type="dxa"/>
            <w:right w:w="0" w:type="dxa"/>
          </w:tblCellMar>
        </w:tblPrEx>
        <w:trPr>
          <w:trHeight w:val="884"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预算调整（</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执行中期评估（</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部门中期评估调整取消资金÷</w:t>
            </w:r>
            <w:r>
              <w:rPr>
                <w:rFonts w:ascii="宋体" w:hAnsi="宋体" w:cs="宋体"/>
                <w:color w:val="000000"/>
                <w:kern w:val="0"/>
                <w:sz w:val="16"/>
                <w:szCs w:val="16"/>
              </w:rPr>
              <w:t>(</w:t>
            </w:r>
            <w:r>
              <w:rPr>
                <w:rFonts w:hint="eastAsia" w:ascii="宋体" w:hAnsi="宋体" w:cs="宋体"/>
                <w:color w:val="000000"/>
                <w:kern w:val="0"/>
                <w:sz w:val="16"/>
                <w:szCs w:val="16"/>
              </w:rPr>
              <w:t>中期评估调整取消资金</w:t>
            </w:r>
            <w:r>
              <w:rPr>
                <w:rFonts w:ascii="宋体" w:hAnsi="宋体" w:cs="宋体"/>
                <w:color w:val="000000"/>
                <w:kern w:val="0"/>
                <w:sz w:val="16"/>
                <w:szCs w:val="16"/>
              </w:rPr>
              <w:t>+</w:t>
            </w:r>
            <w:r>
              <w:rPr>
                <w:rFonts w:hint="eastAsia" w:ascii="宋体" w:hAnsi="宋体" w:cs="宋体"/>
                <w:color w:val="000000"/>
                <w:kern w:val="0"/>
                <w:sz w:val="16"/>
                <w:szCs w:val="16"/>
              </w:rPr>
              <w:t>预算结余注销资金）</w:t>
            </w:r>
            <w:r>
              <w:rPr>
                <w:rFonts w:ascii="宋体" w:hAnsi="宋体" w:cs="宋体"/>
                <w:color w:val="000000"/>
                <w:kern w:val="0"/>
                <w:sz w:val="16"/>
                <w:szCs w:val="16"/>
              </w:rPr>
              <w:t>*</w:t>
            </w:r>
            <w:r>
              <w:rPr>
                <w:rFonts w:hint="eastAsia" w:ascii="宋体" w:hAnsi="宋体" w:cs="宋体"/>
                <w:color w:val="000000"/>
                <w:kern w:val="0"/>
                <w:sz w:val="16"/>
                <w:szCs w:val="16"/>
              </w:rPr>
              <w:t>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当中期评估调整取消资金与结余注销资金之和为零时，得满分</w:t>
            </w:r>
          </w:p>
        </w:tc>
      </w:tr>
      <w:tr>
        <w:tblPrEx>
          <w:tblCellMar>
            <w:top w:w="0" w:type="dxa"/>
            <w:left w:w="0" w:type="dxa"/>
            <w:bottom w:w="0" w:type="dxa"/>
            <w:right w:w="0" w:type="dxa"/>
          </w:tblCellMar>
        </w:tblPrEx>
        <w:trPr>
          <w:trHeight w:val="665"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行政成本（</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三公经费（</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严格执行“三公经费”预算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部门“三公”经费决算数一项超预算扣</w:t>
            </w:r>
            <w:r>
              <w:rPr>
                <w:rFonts w:ascii="宋体" w:hAnsi="宋体" w:cs="宋体"/>
                <w:color w:val="000000"/>
                <w:kern w:val="0"/>
                <w:sz w:val="16"/>
                <w:szCs w:val="16"/>
              </w:rPr>
              <w:t>1</w:t>
            </w:r>
            <w:r>
              <w:rPr>
                <w:rFonts w:hint="eastAsia" w:ascii="宋体" w:hAnsi="宋体" w:cs="宋体"/>
                <w:color w:val="000000"/>
                <w:kern w:val="0"/>
                <w:sz w:val="16"/>
                <w:szCs w:val="16"/>
              </w:rPr>
              <w:t>分，两项超预算扣</w:t>
            </w:r>
            <w:r>
              <w:rPr>
                <w:rFonts w:ascii="宋体" w:hAnsi="宋体" w:cs="宋体"/>
                <w:color w:val="000000"/>
                <w:kern w:val="0"/>
                <w:sz w:val="16"/>
                <w:szCs w:val="16"/>
              </w:rPr>
              <w:t>2</w:t>
            </w:r>
            <w:r>
              <w:rPr>
                <w:rFonts w:hint="eastAsia" w:ascii="宋体" w:hAnsi="宋体" w:cs="宋体"/>
                <w:color w:val="000000"/>
                <w:kern w:val="0"/>
                <w:sz w:val="16"/>
                <w:szCs w:val="16"/>
              </w:rPr>
              <w:t>分，以此类推，直至扣完</w:t>
            </w:r>
          </w:p>
        </w:tc>
      </w:tr>
      <w:tr>
        <w:tblPrEx>
          <w:tblCellMar>
            <w:top w:w="0" w:type="dxa"/>
            <w:left w:w="0" w:type="dxa"/>
            <w:bottom w:w="0" w:type="dxa"/>
            <w:right w:w="0" w:type="dxa"/>
          </w:tblCellMar>
        </w:tblPrEx>
        <w:trPr>
          <w:trHeight w:val="775" w:hRule="atLeast"/>
        </w:trPr>
        <w:tc>
          <w:tcPr>
            <w:tcW w:w="447" w:type="dxa"/>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16"/>
                <w:szCs w:val="16"/>
              </w:rPr>
            </w:pPr>
            <w:r>
              <w:rPr>
                <w:rFonts w:hint="eastAsia" w:ascii="宋体" w:hAnsi="宋体" w:cs="宋体"/>
                <w:color w:val="000000"/>
                <w:kern w:val="0"/>
                <w:sz w:val="16"/>
                <w:szCs w:val="16"/>
              </w:rPr>
              <w:t>综合管理（</w:t>
            </w:r>
            <w:r>
              <w:rPr>
                <w:rFonts w:ascii="宋体" w:hAnsi="宋体" w:cs="宋体"/>
                <w:color w:val="000000"/>
                <w:kern w:val="0"/>
                <w:sz w:val="16"/>
                <w:szCs w:val="16"/>
              </w:rPr>
              <w:t>40</w:t>
            </w:r>
            <w:r>
              <w:rPr>
                <w:rFonts w:hint="eastAsia" w:ascii="宋体" w:hAnsi="宋体" w:cs="宋体"/>
                <w:color w:val="000000"/>
                <w:kern w:val="0"/>
                <w:sz w:val="16"/>
                <w:szCs w:val="16"/>
              </w:rPr>
              <w:t>分）</w:t>
            </w: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政府采购实施计划（</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政府采购实施计划编制（</w:t>
            </w:r>
            <w:r>
              <w:rPr>
                <w:rFonts w:ascii="宋体" w:hAnsi="宋体" w:cs="宋体"/>
                <w:color w:val="000000"/>
                <w:kern w:val="0"/>
                <w:sz w:val="16"/>
                <w:szCs w:val="16"/>
              </w:rPr>
              <w:t>2</w:t>
            </w:r>
            <w:r>
              <w:rPr>
                <w:rFonts w:hint="eastAsia" w:ascii="宋体" w:hAnsi="宋体" w:cs="宋体"/>
                <w:color w:val="000000"/>
                <w:kern w:val="0"/>
                <w:sz w:val="16"/>
                <w:szCs w:val="16"/>
              </w:rPr>
              <w:t>）</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实施计划与政府采购预算的一致性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w:t>
            </w:r>
            <w:r>
              <w:rPr>
                <w:rFonts w:ascii="宋体" w:hAnsi="宋体" w:cs="宋体"/>
                <w:color w:val="000000"/>
                <w:kern w:val="0"/>
                <w:sz w:val="16"/>
                <w:szCs w:val="16"/>
              </w:rPr>
              <w:t>1-</w:t>
            </w:r>
            <w:r>
              <w:rPr>
                <w:rFonts w:hint="eastAsia" w:ascii="宋体" w:hAnsi="宋体" w:cs="宋体"/>
                <w:color w:val="000000"/>
                <w:kern w:val="0"/>
                <w:sz w:val="16"/>
                <w:szCs w:val="16"/>
              </w:rPr>
              <w:t>调整或细化资金</w:t>
            </w:r>
            <w:r>
              <w:rPr>
                <w:rFonts w:ascii="宋体" w:hAnsi="宋体" w:cs="宋体"/>
                <w:color w:val="000000"/>
                <w:kern w:val="0"/>
                <w:sz w:val="16"/>
                <w:szCs w:val="16"/>
              </w:rPr>
              <w:t>/</w:t>
            </w:r>
            <w:r>
              <w:rPr>
                <w:rFonts w:hint="eastAsia" w:ascii="宋体" w:hAnsi="宋体" w:cs="宋体"/>
                <w:color w:val="000000"/>
                <w:kern w:val="0"/>
                <w:sz w:val="16"/>
                <w:szCs w:val="16"/>
              </w:rPr>
              <w:t>政府采购预算资金）</w:t>
            </w:r>
            <w:r>
              <w:rPr>
                <w:rFonts w:ascii="宋体" w:hAnsi="宋体" w:cs="宋体"/>
                <w:color w:val="000000"/>
                <w:kern w:val="0"/>
                <w:sz w:val="16"/>
                <w:szCs w:val="16"/>
              </w:rPr>
              <w:t>*</w:t>
            </w:r>
            <w:r>
              <w:rPr>
                <w:rFonts w:hint="eastAsia" w:ascii="宋体" w:hAnsi="宋体" w:cs="宋体"/>
                <w:color w:val="000000"/>
                <w:kern w:val="0"/>
                <w:sz w:val="16"/>
                <w:szCs w:val="16"/>
              </w:rPr>
              <w:t>分值</w:t>
            </w:r>
          </w:p>
        </w:tc>
      </w:tr>
      <w:tr>
        <w:tblPrEx>
          <w:tblCellMar>
            <w:top w:w="0" w:type="dxa"/>
            <w:left w:w="0" w:type="dxa"/>
            <w:bottom w:w="0" w:type="dxa"/>
            <w:right w:w="0" w:type="dxa"/>
          </w:tblCellMar>
        </w:tblPrEx>
        <w:trPr>
          <w:trHeight w:val="77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政府采购实施计划的执行（</w:t>
            </w:r>
            <w:r>
              <w:rPr>
                <w:rFonts w:ascii="宋体" w:hAnsi="宋体" w:cs="宋体"/>
                <w:color w:val="000000"/>
                <w:kern w:val="0"/>
                <w:sz w:val="16"/>
                <w:szCs w:val="16"/>
              </w:rPr>
              <w:t>2</w:t>
            </w:r>
            <w:r>
              <w:rPr>
                <w:rFonts w:hint="eastAsia" w:ascii="宋体" w:hAnsi="宋体" w:cs="宋体"/>
                <w:color w:val="000000"/>
                <w:kern w:val="0"/>
                <w:sz w:val="16"/>
                <w:szCs w:val="16"/>
              </w:rPr>
              <w:t>）</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执行的实施计划与备案的实施计划的一致性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w:t>
            </w:r>
            <w:r>
              <w:rPr>
                <w:rFonts w:ascii="宋体" w:hAnsi="宋体" w:cs="宋体"/>
                <w:color w:val="000000"/>
                <w:kern w:val="0"/>
                <w:sz w:val="16"/>
                <w:szCs w:val="16"/>
              </w:rPr>
              <w:t>1-</w:t>
            </w:r>
            <w:r>
              <w:rPr>
                <w:rFonts w:hint="eastAsia" w:ascii="宋体" w:hAnsi="宋体" w:cs="宋体"/>
                <w:color w:val="000000"/>
                <w:kern w:val="0"/>
                <w:sz w:val="16"/>
                <w:szCs w:val="16"/>
              </w:rPr>
              <w:t>实施计划备案后的调整或细化资金</w:t>
            </w:r>
            <w:r>
              <w:rPr>
                <w:rFonts w:ascii="宋体" w:hAnsi="宋体" w:cs="宋体"/>
                <w:color w:val="000000"/>
                <w:kern w:val="0"/>
                <w:sz w:val="16"/>
                <w:szCs w:val="16"/>
              </w:rPr>
              <w:t>/</w:t>
            </w:r>
            <w:r>
              <w:rPr>
                <w:rFonts w:hint="eastAsia" w:ascii="宋体" w:hAnsi="宋体" w:cs="宋体"/>
                <w:color w:val="000000"/>
                <w:kern w:val="0"/>
                <w:sz w:val="16"/>
                <w:szCs w:val="16"/>
              </w:rPr>
              <w:t>实施计划备案后的资金）</w:t>
            </w:r>
            <w:r>
              <w:rPr>
                <w:rFonts w:ascii="宋体" w:hAnsi="宋体" w:cs="宋体"/>
                <w:color w:val="000000"/>
                <w:kern w:val="0"/>
                <w:sz w:val="16"/>
                <w:szCs w:val="16"/>
              </w:rPr>
              <w:t>*</w:t>
            </w:r>
            <w:r>
              <w:rPr>
                <w:rFonts w:hint="eastAsia" w:ascii="宋体" w:hAnsi="宋体" w:cs="宋体"/>
                <w:color w:val="000000"/>
                <w:kern w:val="0"/>
                <w:sz w:val="16"/>
                <w:szCs w:val="16"/>
              </w:rPr>
              <w:t>分值</w:t>
            </w:r>
          </w:p>
        </w:tc>
      </w:tr>
      <w:tr>
        <w:tblPrEx>
          <w:tblCellMar>
            <w:top w:w="0" w:type="dxa"/>
            <w:left w:w="0" w:type="dxa"/>
            <w:bottom w:w="0" w:type="dxa"/>
            <w:right w:w="0" w:type="dxa"/>
          </w:tblCellMar>
        </w:tblPrEx>
        <w:trPr>
          <w:trHeight w:val="1057"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资产管理（</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资产管理信息系统建设情况（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考核部门和单位将国有资产纳入资产信息系统管理情况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①未将所属单位国有资产纳入系统管理，每少一个单位扣</w:t>
            </w:r>
            <w:r>
              <w:rPr>
                <w:rFonts w:ascii="宋体" w:hAnsi="宋体" w:cs="宋体"/>
                <w:color w:val="000000"/>
                <w:kern w:val="0"/>
                <w:sz w:val="16"/>
                <w:szCs w:val="16"/>
              </w:rPr>
              <w:t>1</w:t>
            </w:r>
            <w:r>
              <w:rPr>
                <w:rFonts w:hint="eastAsia" w:ascii="宋体" w:hAnsi="宋体" w:cs="宋体"/>
                <w:color w:val="000000"/>
                <w:kern w:val="0"/>
                <w:sz w:val="16"/>
                <w:szCs w:val="16"/>
              </w:rPr>
              <w:t>分。②未将资产变动情况及时录入系统，每次扣</w:t>
            </w:r>
            <w:r>
              <w:rPr>
                <w:rFonts w:ascii="宋体" w:hAnsi="宋体" w:cs="宋体"/>
                <w:color w:val="000000"/>
                <w:kern w:val="0"/>
                <w:sz w:val="16"/>
                <w:szCs w:val="16"/>
              </w:rPr>
              <w:t>0.5</w:t>
            </w:r>
            <w:r>
              <w:rPr>
                <w:rFonts w:hint="eastAsia" w:ascii="宋体" w:hAnsi="宋体" w:cs="宋体"/>
                <w:color w:val="000000"/>
                <w:kern w:val="0"/>
                <w:sz w:val="16"/>
                <w:szCs w:val="16"/>
              </w:rPr>
              <w:t>分。③未落实人员负责管理系统，扣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CellMar>
            <w:top w:w="0" w:type="dxa"/>
            <w:left w:w="0" w:type="dxa"/>
            <w:bottom w:w="0" w:type="dxa"/>
            <w:right w:w="0" w:type="dxa"/>
          </w:tblCellMar>
        </w:tblPrEx>
        <w:trPr>
          <w:trHeight w:val="162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行政事业单位资产清查开展情况（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考核行政事业单位按要求及时、准确、全面开展资产清查工作情况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①未在规定时间内完成资产清查任务扣</w:t>
            </w:r>
            <w:r>
              <w:rPr>
                <w:rFonts w:ascii="宋体" w:hAnsi="宋体" w:cs="宋体"/>
                <w:color w:val="000000"/>
                <w:kern w:val="0"/>
                <w:sz w:val="16"/>
                <w:szCs w:val="16"/>
              </w:rPr>
              <w:t>1</w:t>
            </w:r>
            <w:r>
              <w:rPr>
                <w:rFonts w:hint="eastAsia" w:ascii="宋体" w:hAnsi="宋体" w:cs="宋体"/>
                <w:color w:val="000000"/>
                <w:kern w:val="0"/>
                <w:sz w:val="16"/>
                <w:szCs w:val="16"/>
              </w:rPr>
              <w:t>分。②资产清查结果与财政组织复核的结果误差超过</w:t>
            </w:r>
            <w:r>
              <w:rPr>
                <w:rFonts w:ascii="宋体" w:hAnsi="宋体" w:cs="宋体"/>
                <w:color w:val="000000"/>
                <w:kern w:val="0"/>
                <w:sz w:val="16"/>
                <w:szCs w:val="16"/>
              </w:rPr>
              <w:t>10%</w:t>
            </w:r>
            <w:r>
              <w:rPr>
                <w:rFonts w:hint="eastAsia" w:ascii="宋体" w:hAnsi="宋体" w:cs="宋体"/>
                <w:color w:val="000000"/>
                <w:kern w:val="0"/>
                <w:sz w:val="16"/>
                <w:szCs w:val="16"/>
              </w:rPr>
              <w:t>的扣</w:t>
            </w:r>
            <w:r>
              <w:rPr>
                <w:rFonts w:ascii="宋体" w:hAnsi="宋体" w:cs="宋体"/>
                <w:color w:val="000000"/>
                <w:kern w:val="0"/>
                <w:sz w:val="16"/>
                <w:szCs w:val="16"/>
              </w:rPr>
              <w:t>1</w:t>
            </w:r>
            <w:r>
              <w:rPr>
                <w:rFonts w:hint="eastAsia" w:ascii="宋体" w:hAnsi="宋体" w:cs="宋体"/>
                <w:color w:val="000000"/>
                <w:kern w:val="0"/>
                <w:sz w:val="16"/>
                <w:szCs w:val="16"/>
              </w:rPr>
              <w:t>分。③未及时按批复的清查结果进行账务调整扣</w:t>
            </w:r>
            <w:r>
              <w:rPr>
                <w:rFonts w:ascii="宋体" w:hAnsi="宋体" w:cs="宋体"/>
                <w:color w:val="000000"/>
                <w:kern w:val="0"/>
                <w:sz w:val="16"/>
                <w:szCs w:val="16"/>
              </w:rPr>
              <w:t>1</w:t>
            </w:r>
            <w:r>
              <w:rPr>
                <w:rFonts w:hint="eastAsia" w:ascii="宋体" w:hAnsi="宋体" w:cs="宋体"/>
                <w:color w:val="000000"/>
                <w:kern w:val="0"/>
                <w:sz w:val="16"/>
                <w:szCs w:val="16"/>
              </w:rPr>
              <w:t>分。④未及时更新资产管理信息系统，导致系统资产数据与上报财政的资产清查结果不一致扣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行政事业单位资产报表上报情况（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考核行政事业单位上报国有资产报表数据的真实性、准确性、全面性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①未落实专人负责资产报表，未及时上报资产报表扣</w:t>
            </w:r>
            <w:r>
              <w:rPr>
                <w:rFonts w:ascii="宋体" w:hAnsi="宋体" w:cs="宋体"/>
                <w:color w:val="000000"/>
                <w:kern w:val="0"/>
                <w:sz w:val="16"/>
                <w:szCs w:val="16"/>
              </w:rPr>
              <w:t>1</w:t>
            </w:r>
            <w:r>
              <w:rPr>
                <w:rFonts w:hint="eastAsia" w:ascii="宋体" w:hAnsi="宋体" w:cs="宋体"/>
                <w:color w:val="000000"/>
                <w:kern w:val="0"/>
                <w:sz w:val="16"/>
                <w:szCs w:val="16"/>
              </w:rPr>
              <w:t>分。②报表填报不规范，内容不完整，数据不真实，扣</w:t>
            </w:r>
            <w:r>
              <w:rPr>
                <w:rFonts w:ascii="宋体" w:hAnsi="宋体" w:cs="宋体"/>
                <w:color w:val="000000"/>
                <w:kern w:val="0"/>
                <w:sz w:val="16"/>
                <w:szCs w:val="16"/>
              </w:rPr>
              <w:t>1</w:t>
            </w:r>
            <w:r>
              <w:rPr>
                <w:rFonts w:hint="eastAsia" w:ascii="宋体" w:hAnsi="宋体" w:cs="宋体"/>
                <w:color w:val="000000"/>
                <w:kern w:val="0"/>
                <w:sz w:val="16"/>
                <w:szCs w:val="16"/>
              </w:rPr>
              <w:t>分。③未提交分析报告，对资产变动情况未作分析说明，扣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CellMar>
            <w:top w:w="0" w:type="dxa"/>
            <w:left w:w="0" w:type="dxa"/>
            <w:bottom w:w="0" w:type="dxa"/>
            <w:right w:w="0" w:type="dxa"/>
          </w:tblCellMar>
        </w:tblPrEx>
        <w:trPr>
          <w:trHeight w:val="1057"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内控制度管理（</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内部控制度健全完整（</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考核部门内部控制制度的设置和执行情况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r>
              <w:rPr>
                <w:rFonts w:ascii="宋体" w:hAnsi="宋体" w:cs="宋体"/>
                <w:color w:val="000000"/>
                <w:sz w:val="16"/>
                <w:szCs w:val="16"/>
              </w:rPr>
              <w:t>1</w:t>
            </w: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r>
              <w:rPr>
                <w:rFonts w:hint="eastAsia" w:ascii="宋体" w:hAnsi="宋体" w:cs="宋体"/>
                <w:color w:val="000000"/>
                <w:sz w:val="16"/>
                <w:szCs w:val="16"/>
              </w:rPr>
              <w:t>制度有待进一步完善</w:t>
            </w: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信息公开（</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预算公开（</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除涉密信息外，各部门要在财政部门批复后二十日内向社会公开本部门预算（含所有财政资金安排的“三公”经费、机关运行经费的安排、使用情况等）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按县财政通知要求公开预算，未按要求公开的，发现一处扣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决算公开（</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除涉密信息外，各部门要在财政部门批复二十日内向社会公开本部门决算（含所有财政资金安排的“三公”经费、机关运行经费的安排、使用情况等）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未按要求公开的，发现一处问题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绩效信息公开（</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按要求公开部门整体支出绩效自评报告及其他按要求应公开的绩效信息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未按要求公开的，发现一处问题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绩效评价（</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评价项目覆盖率（</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评价覆盖率</w:t>
            </w:r>
            <w:r>
              <w:rPr>
                <w:rFonts w:ascii="宋体" w:hAnsi="宋体" w:cs="宋体"/>
                <w:color w:val="000000"/>
                <w:kern w:val="0"/>
                <w:sz w:val="16"/>
                <w:szCs w:val="16"/>
              </w:rPr>
              <w:t>=</w:t>
            </w:r>
            <w:r>
              <w:rPr>
                <w:rFonts w:hint="eastAsia" w:ascii="宋体" w:hAnsi="宋体" w:cs="宋体"/>
                <w:color w:val="000000"/>
                <w:kern w:val="0"/>
                <w:sz w:val="16"/>
                <w:szCs w:val="16"/>
              </w:rPr>
              <w:t>实施绩效评价项目数量</w:t>
            </w:r>
            <w:r>
              <w:rPr>
                <w:rFonts w:ascii="宋体" w:hAnsi="宋体" w:cs="宋体"/>
                <w:color w:val="000000"/>
                <w:kern w:val="0"/>
                <w:sz w:val="16"/>
                <w:szCs w:val="16"/>
              </w:rPr>
              <w:t>/</w:t>
            </w:r>
            <w:r>
              <w:rPr>
                <w:rFonts w:hint="eastAsia" w:ascii="宋体" w:hAnsi="宋体" w:cs="宋体"/>
                <w:color w:val="000000"/>
                <w:kern w:val="0"/>
                <w:sz w:val="16"/>
                <w:szCs w:val="16"/>
              </w:rPr>
              <w:t>部门管理专项预算项目数量×</w:t>
            </w:r>
            <w:r>
              <w:rPr>
                <w:rFonts w:ascii="宋体" w:hAnsi="宋体" w:cs="宋体"/>
                <w:color w:val="000000"/>
                <w:kern w:val="0"/>
                <w:sz w:val="16"/>
                <w:szCs w:val="16"/>
              </w:rPr>
              <w:t>100%</w:t>
            </w:r>
          </w:p>
        </w:tc>
      </w:tr>
      <w:tr>
        <w:tblPrEx>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评价层次（</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部门（单位）是否对单位内部股室开展整体绩效评价</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对单位内部实施评价的得分，否则不得分</w:t>
            </w:r>
          </w:p>
        </w:tc>
      </w:tr>
      <w:tr>
        <w:tblPrEx>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评价结果报告（</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部门是否按要求向财政部门报告自评报告等相关绩效信息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未按要求报送的，发现一处扣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整改完成率（</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部门是否按要求针对绩效评价发现问题制定整改措施，并整改落实到位</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完成率</w:t>
            </w:r>
            <w:r>
              <w:rPr>
                <w:rFonts w:ascii="宋体" w:hAnsi="宋体" w:cs="宋体"/>
                <w:color w:val="000000"/>
                <w:kern w:val="0"/>
                <w:sz w:val="16"/>
                <w:szCs w:val="16"/>
              </w:rPr>
              <w:t>=</w:t>
            </w:r>
            <w:r>
              <w:rPr>
                <w:rFonts w:hint="eastAsia" w:ascii="宋体" w:hAnsi="宋体" w:cs="宋体"/>
                <w:color w:val="000000"/>
                <w:kern w:val="0"/>
                <w:sz w:val="16"/>
                <w:szCs w:val="16"/>
              </w:rPr>
              <w:t>应制定整改措施的项目数量</w:t>
            </w:r>
            <w:r>
              <w:rPr>
                <w:rFonts w:ascii="宋体" w:hAnsi="宋体" w:cs="宋体"/>
                <w:color w:val="000000"/>
                <w:kern w:val="0"/>
                <w:sz w:val="16"/>
                <w:szCs w:val="16"/>
              </w:rPr>
              <w:t>/</w:t>
            </w:r>
            <w:r>
              <w:rPr>
                <w:rFonts w:hint="eastAsia" w:ascii="宋体" w:hAnsi="宋体" w:cs="宋体"/>
                <w:color w:val="000000"/>
                <w:kern w:val="0"/>
                <w:sz w:val="16"/>
                <w:szCs w:val="16"/>
              </w:rPr>
              <w:t>部门实际制定整改措施项目数量×</w:t>
            </w:r>
            <w:r>
              <w:rPr>
                <w:rFonts w:ascii="宋体" w:hAnsi="宋体" w:cs="宋体"/>
                <w:color w:val="000000"/>
                <w:kern w:val="0"/>
                <w:sz w:val="16"/>
                <w:szCs w:val="16"/>
              </w:rPr>
              <w:t>100%</w:t>
            </w:r>
            <w:r>
              <w:rPr>
                <w:rFonts w:hint="eastAsia" w:ascii="宋体" w:hAnsi="宋体" w:cs="宋体"/>
                <w:color w:val="000000"/>
                <w:kern w:val="0"/>
                <w:sz w:val="16"/>
                <w:szCs w:val="16"/>
              </w:rPr>
              <w:t>。</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依法接受财政监督（</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是否按要求开展自查自纠（</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根据相关自查自纠报告、报表报送时效和质量进行考核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未在规定时间内报送自查自纠相关材料（包括：纸质和电子版）的，扣</w:t>
            </w:r>
            <w:r>
              <w:rPr>
                <w:rFonts w:ascii="宋体" w:hAnsi="宋体" w:cs="宋体"/>
                <w:color w:val="000000"/>
                <w:kern w:val="0"/>
                <w:sz w:val="16"/>
                <w:szCs w:val="16"/>
              </w:rPr>
              <w:t>0.5</w:t>
            </w:r>
            <w:r>
              <w:rPr>
                <w:rFonts w:hint="eastAsia" w:ascii="宋体" w:hAnsi="宋体" w:cs="宋体"/>
                <w:color w:val="000000"/>
                <w:kern w:val="0"/>
                <w:sz w:val="16"/>
                <w:szCs w:val="16"/>
              </w:rPr>
              <w:t>分；报告内容不完整，扣</w:t>
            </w:r>
            <w:r>
              <w:rPr>
                <w:rFonts w:ascii="宋体" w:hAnsi="宋体" w:cs="宋体"/>
                <w:color w:val="000000"/>
                <w:kern w:val="0"/>
                <w:sz w:val="16"/>
                <w:szCs w:val="16"/>
              </w:rPr>
              <w:t>1</w:t>
            </w:r>
            <w:r>
              <w:rPr>
                <w:rFonts w:hint="eastAsia" w:ascii="宋体" w:hAnsi="宋体" w:cs="宋体"/>
                <w:color w:val="000000"/>
                <w:kern w:val="0"/>
                <w:sz w:val="16"/>
                <w:szCs w:val="16"/>
              </w:rPr>
              <w:t>分；报表质量差（如：数据、逻辑、勾稽关系错误）等扣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重点检查发现违规违纪问题（</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根据检查组提供的工作底稿、检查报告等资料进行考核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专项检查发现的违纪违规问题，每个问题扣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存在问题整改是否到位（</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根据相关整改报告、凭证依据等相关证明材料进行考核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未在规定时间内完成整改，并提供相关证明材料的，每个问题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16"/>
                <w:szCs w:val="16"/>
              </w:rPr>
            </w:pPr>
            <w:r>
              <w:rPr>
                <w:rFonts w:hint="eastAsia" w:ascii="宋体" w:hAnsi="宋体" w:cs="宋体"/>
                <w:color w:val="000000"/>
                <w:kern w:val="0"/>
                <w:sz w:val="16"/>
                <w:szCs w:val="16"/>
              </w:rPr>
              <w:t>整体效益（</w:t>
            </w:r>
            <w:r>
              <w:rPr>
                <w:rFonts w:ascii="宋体" w:hAnsi="宋体" w:cs="宋体"/>
                <w:color w:val="000000"/>
                <w:kern w:val="0"/>
                <w:sz w:val="16"/>
                <w:szCs w:val="16"/>
              </w:rPr>
              <w:t>30</w:t>
            </w:r>
            <w:r>
              <w:rPr>
                <w:rFonts w:hint="eastAsia" w:ascii="宋体" w:hAnsi="宋体" w:cs="宋体"/>
                <w:color w:val="000000"/>
                <w:kern w:val="0"/>
                <w:sz w:val="16"/>
                <w:szCs w:val="16"/>
              </w:rPr>
              <w:t>分）</w:t>
            </w: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部门整体绩效（</w:t>
            </w:r>
            <w:r>
              <w:rPr>
                <w:rFonts w:ascii="宋体" w:hAnsi="宋体" w:cs="宋体"/>
                <w:color w:val="000000"/>
                <w:kern w:val="0"/>
                <w:sz w:val="16"/>
                <w:szCs w:val="16"/>
              </w:rPr>
              <w:t>30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重点项目绩效评价结果（</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部门实施重大项目的经济、社会效益</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根据县财政组织实施项目绩效评价结果换算</w:t>
            </w:r>
          </w:p>
        </w:tc>
      </w:tr>
      <w:tr>
        <w:tblPrEx>
          <w:tblCellMar>
            <w:top w:w="0" w:type="dxa"/>
            <w:left w:w="0" w:type="dxa"/>
            <w:bottom w:w="0" w:type="dxa"/>
            <w:right w:w="0" w:type="dxa"/>
          </w:tblCellMar>
        </w:tblPrEx>
        <w:trPr>
          <w:trHeight w:val="345"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部门职能完成情况特性指标（</w:t>
            </w:r>
            <w:r>
              <w:rPr>
                <w:rFonts w:ascii="宋体" w:hAnsi="宋体" w:cs="宋体"/>
                <w:color w:val="000000"/>
                <w:kern w:val="0"/>
                <w:sz w:val="16"/>
                <w:szCs w:val="16"/>
              </w:rPr>
              <w:t>20</w:t>
            </w:r>
            <w:r>
              <w:rPr>
                <w:rFonts w:hint="eastAsia" w:ascii="宋体" w:hAnsi="宋体" w:cs="宋体"/>
                <w:color w:val="000000"/>
                <w:kern w:val="0"/>
                <w:sz w:val="16"/>
                <w:szCs w:val="16"/>
              </w:rPr>
              <w:t>分）</w:t>
            </w:r>
          </w:p>
        </w:tc>
        <w:tc>
          <w:tcPr>
            <w:tcW w:w="250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338"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053"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部门和评价组根据部门实际设置</w:t>
            </w:r>
          </w:p>
        </w:tc>
      </w:tr>
      <w:tr>
        <w:tblPrEx>
          <w:tblCellMar>
            <w:top w:w="0" w:type="dxa"/>
            <w:left w:w="0" w:type="dxa"/>
            <w:bottom w:w="0" w:type="dxa"/>
            <w:right w:w="0" w:type="dxa"/>
          </w:tblCellMar>
        </w:tblPrEx>
        <w:trPr>
          <w:trHeight w:val="1280"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c>
          <w:tcPr>
            <w:tcW w:w="338"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053"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r>
      <w:tr>
        <w:tblPrEx>
          <w:tblCellMar>
            <w:top w:w="0" w:type="dxa"/>
            <w:left w:w="0" w:type="dxa"/>
            <w:bottom w:w="0" w:type="dxa"/>
            <w:right w:w="0" w:type="dxa"/>
          </w:tblCellMar>
        </w:tblPrEx>
        <w:trPr>
          <w:trHeight w:val="665" w:hRule="atLeast"/>
        </w:trPr>
        <w:tc>
          <w:tcPr>
            <w:tcW w:w="8504" w:type="dxa"/>
            <w:gridSpan w:val="7"/>
            <w:tcBorders>
              <w:top w:val="single" w:color="000000" w:sz="4" w:space="0"/>
              <w:left w:val="nil"/>
              <w:bottom w:val="nil"/>
              <w:right w:val="nil"/>
            </w:tcBorders>
            <w:noWrap/>
            <w:tcMar>
              <w:top w:w="15" w:type="dxa"/>
              <w:left w:w="15" w:type="dxa"/>
              <w:right w:w="15" w:type="dxa"/>
            </w:tcMar>
            <w:vAlign w:val="center"/>
          </w:tcPr>
          <w:p>
            <w:pPr>
              <w:widowControl/>
              <w:jc w:val="left"/>
              <w:textAlignment w:val="center"/>
              <w:rPr>
                <w:rFonts w:ascii="宋体"/>
                <w:b/>
                <w:bCs/>
                <w:color w:val="000000"/>
                <w:sz w:val="16"/>
                <w:szCs w:val="16"/>
              </w:rPr>
            </w:pPr>
            <w:r>
              <w:rPr>
                <w:rFonts w:hint="eastAsia" w:ascii="宋体" w:hAnsi="宋体" w:cs="宋体"/>
                <w:b/>
                <w:bCs/>
                <w:color w:val="000000"/>
                <w:kern w:val="0"/>
                <w:sz w:val="16"/>
                <w:szCs w:val="16"/>
              </w:rPr>
              <w:t>注：若某部门不存在某项评价内容或评价指标，则该评价内容或评价指标不计入该部门考核评价范围，即该部门评价总分＝不含该评价内容或指标的评价总分</w:t>
            </w:r>
            <w:r>
              <w:rPr>
                <w:rFonts w:ascii="宋体" w:hAnsi="宋体" w:cs="宋体"/>
                <w:b/>
                <w:bCs/>
                <w:color w:val="000000"/>
                <w:kern w:val="0"/>
                <w:sz w:val="16"/>
                <w:szCs w:val="16"/>
              </w:rPr>
              <w:t>/</w:t>
            </w:r>
            <w:r>
              <w:rPr>
                <w:rFonts w:hint="eastAsia" w:ascii="宋体" w:hAnsi="宋体" w:cs="宋体"/>
                <w:b/>
                <w:bCs/>
                <w:color w:val="000000"/>
                <w:kern w:val="0"/>
                <w:sz w:val="16"/>
                <w:szCs w:val="16"/>
              </w:rPr>
              <w:t>（</w:t>
            </w:r>
            <w:r>
              <w:rPr>
                <w:rFonts w:ascii="宋体" w:hAnsi="宋体" w:cs="宋体"/>
                <w:b/>
                <w:bCs/>
                <w:color w:val="000000"/>
                <w:kern w:val="0"/>
                <w:sz w:val="16"/>
                <w:szCs w:val="16"/>
              </w:rPr>
              <w:t>100-</w:t>
            </w:r>
            <w:r>
              <w:rPr>
                <w:rFonts w:hint="eastAsia" w:ascii="宋体" w:hAnsi="宋体" w:cs="宋体"/>
                <w:b/>
                <w:bCs/>
                <w:color w:val="000000"/>
                <w:kern w:val="0"/>
                <w:sz w:val="16"/>
                <w:szCs w:val="16"/>
              </w:rPr>
              <w:t>该评价内容或指标所占分值）</w:t>
            </w:r>
            <w:r>
              <w:rPr>
                <w:rFonts w:ascii="宋体" w:hAnsi="宋体" w:cs="宋体"/>
                <w:b/>
                <w:bCs/>
                <w:color w:val="000000"/>
                <w:kern w:val="0"/>
                <w:sz w:val="16"/>
                <w:szCs w:val="16"/>
              </w:rPr>
              <w:t>*100</w:t>
            </w:r>
            <w:r>
              <w:rPr>
                <w:rFonts w:hint="eastAsia" w:ascii="宋体" w:hAnsi="宋体" w:cs="宋体"/>
                <w:b/>
                <w:bCs/>
                <w:color w:val="000000"/>
                <w:kern w:val="0"/>
                <w:sz w:val="16"/>
                <w:szCs w:val="16"/>
              </w:rPr>
              <w:t>。</w:t>
            </w:r>
          </w:p>
        </w:tc>
      </w:tr>
    </w:tbl>
    <w:p>
      <w:pPr>
        <w:widowControl/>
        <w:spacing w:line="576" w:lineRule="atLeast"/>
        <w:jc w:val="left"/>
        <w:rPr>
          <w:rFonts w:ascii="宋体"/>
        </w:rPr>
      </w:pPr>
    </w:p>
    <w:p>
      <w:pPr>
        <w:spacing w:line="576" w:lineRule="atLeast"/>
        <w:ind w:firstLine="2420" w:firstLineChars="550"/>
        <w:rPr>
          <w:rFonts w:hint="eastAsia" w:ascii="方正小标宋简体" w:hAnsi="方正小标宋简体" w:eastAsia="方正小标宋简体" w:cs="方正小标宋简体"/>
          <w:color w:val="000000"/>
          <w:sz w:val="44"/>
          <w:szCs w:val="44"/>
        </w:rPr>
      </w:pPr>
      <w:bookmarkStart w:id="60" w:name="_Toc15396618"/>
    </w:p>
    <w:p>
      <w:pPr>
        <w:spacing w:line="576" w:lineRule="atLeast"/>
        <w:ind w:firstLine="2420" w:firstLineChars="550"/>
        <w:rPr>
          <w:rFonts w:hint="eastAsia" w:ascii="方正小标宋简体" w:hAnsi="方正小标宋简体" w:eastAsia="方正小标宋简体" w:cs="方正小标宋简体"/>
          <w:color w:val="000000"/>
          <w:sz w:val="44"/>
          <w:szCs w:val="44"/>
        </w:rPr>
      </w:pPr>
    </w:p>
    <w:p>
      <w:pPr>
        <w:spacing w:line="576" w:lineRule="atLeast"/>
        <w:ind w:firstLine="2420" w:firstLineChars="550"/>
        <w:rPr>
          <w:rFonts w:hint="eastAsia" w:ascii="方正小标宋简体" w:hAnsi="方正小标宋简体" w:eastAsia="方正小标宋简体" w:cs="方正小标宋简体"/>
          <w:color w:val="000000"/>
          <w:sz w:val="44"/>
          <w:szCs w:val="44"/>
        </w:rPr>
      </w:pPr>
    </w:p>
    <w:p>
      <w:pPr>
        <w:spacing w:line="576" w:lineRule="atLeast"/>
        <w:ind w:firstLine="2420" w:firstLineChars="550"/>
        <w:rPr>
          <w:rFonts w:hint="eastAsia" w:ascii="方正小标宋简体" w:hAnsi="方正小标宋简体" w:eastAsia="方正小标宋简体" w:cs="方正小标宋简体"/>
          <w:color w:val="000000"/>
          <w:sz w:val="44"/>
          <w:szCs w:val="44"/>
        </w:rPr>
      </w:pPr>
    </w:p>
    <w:p>
      <w:pPr>
        <w:spacing w:line="576" w:lineRule="atLeast"/>
        <w:ind w:firstLine="2420" w:firstLineChars="550"/>
        <w:rPr>
          <w:rFonts w:hint="eastAsia" w:ascii="方正小标宋简体" w:hAnsi="方正小标宋简体" w:eastAsia="方正小标宋简体" w:cs="方正小标宋简体"/>
          <w:color w:val="000000"/>
          <w:sz w:val="44"/>
          <w:szCs w:val="44"/>
        </w:rPr>
      </w:pPr>
    </w:p>
    <w:p>
      <w:pPr>
        <w:spacing w:line="576" w:lineRule="atLeast"/>
        <w:ind w:firstLine="2420" w:firstLineChars="550"/>
        <w:rPr>
          <w:rFonts w:hint="eastAsia" w:ascii="方正小标宋简体" w:hAnsi="方正小标宋简体" w:eastAsia="方正小标宋简体" w:cs="方正小标宋简体"/>
          <w:color w:val="000000"/>
          <w:sz w:val="44"/>
          <w:szCs w:val="44"/>
        </w:rPr>
      </w:pPr>
    </w:p>
    <w:p>
      <w:pPr>
        <w:spacing w:line="576" w:lineRule="atLeast"/>
        <w:ind w:firstLine="2420" w:firstLineChars="550"/>
        <w:rPr>
          <w:rFonts w:hint="eastAsia" w:ascii="方正小标宋简体" w:hAnsi="方正小标宋简体" w:eastAsia="方正小标宋简体" w:cs="方正小标宋简体"/>
          <w:color w:val="000000"/>
          <w:sz w:val="44"/>
          <w:szCs w:val="44"/>
        </w:rPr>
      </w:pPr>
    </w:p>
    <w:p>
      <w:pPr>
        <w:spacing w:line="576" w:lineRule="atLeast"/>
        <w:ind w:firstLine="2420" w:firstLineChars="550"/>
        <w:rPr>
          <w:rFonts w:hint="eastAsia" w:ascii="方正小标宋简体" w:hAnsi="方正小标宋简体" w:eastAsia="方正小标宋简体" w:cs="方正小标宋简体"/>
          <w:color w:val="000000"/>
          <w:sz w:val="44"/>
          <w:szCs w:val="44"/>
        </w:rPr>
      </w:pPr>
    </w:p>
    <w:p>
      <w:pPr>
        <w:spacing w:line="576" w:lineRule="atLeast"/>
        <w:ind w:firstLine="2420" w:firstLineChars="550"/>
        <w:rPr>
          <w:rFonts w:hint="eastAsia" w:ascii="方正小标宋简体" w:hAnsi="方正小标宋简体" w:eastAsia="方正小标宋简体" w:cs="方正小标宋简体"/>
          <w:color w:val="000000"/>
          <w:sz w:val="44"/>
          <w:szCs w:val="44"/>
        </w:rPr>
      </w:pPr>
    </w:p>
    <w:bookmarkEnd w:id="57"/>
    <w:bookmarkEnd w:id="60"/>
    <w:p>
      <w:pPr>
        <w:spacing w:line="576" w:lineRule="atLeast"/>
        <w:jc w:val="center"/>
        <w:rPr>
          <w:rFonts w:hint="eastAsia" w:ascii="楷体" w:hAnsi="楷体" w:eastAsia="楷体" w:cs="楷体"/>
          <w:b w:val="0"/>
          <w:bCs w:val="0"/>
          <w:color w:val="000000"/>
          <w:sz w:val="44"/>
          <w:szCs w:val="44"/>
        </w:rPr>
      </w:pPr>
      <w:bookmarkStart w:id="61" w:name="_Toc15396619"/>
      <w:r>
        <w:rPr>
          <w:rFonts w:hint="eastAsia" w:ascii="方正小标宋简体" w:hAnsi="方正小标宋简体" w:eastAsia="方正小标宋简体" w:cs="方正小标宋简体"/>
          <w:color w:val="000000"/>
          <w:sz w:val="44"/>
          <w:szCs w:val="44"/>
        </w:rPr>
        <w:t>第</w:t>
      </w:r>
      <w:r>
        <w:rPr>
          <w:rStyle w:val="17"/>
          <w:rFonts w:hint="eastAsia" w:ascii="方正小标宋简体" w:hAnsi="方正小标宋简体" w:eastAsia="方正小标宋简体" w:cs="方正小标宋简体"/>
          <w:b w:val="0"/>
          <w:bCs w:val="0"/>
          <w:sz w:val="44"/>
          <w:szCs w:val="44"/>
        </w:rPr>
        <w:t>五部分</w:t>
      </w:r>
      <w:r>
        <w:rPr>
          <w:rStyle w:val="17"/>
          <w:rFonts w:hint="eastAsia" w:ascii="方正小标宋简体" w:hAnsi="方正小标宋简体" w:eastAsia="方正小标宋简体" w:cs="方正小标宋简体"/>
          <w:b w:val="0"/>
          <w:bCs w:val="0"/>
          <w:sz w:val="44"/>
          <w:szCs w:val="44"/>
          <w:lang w:val="en-US" w:eastAsia="zh-CN"/>
        </w:rPr>
        <w:t xml:space="preserve"> </w:t>
      </w:r>
      <w:r>
        <w:rPr>
          <w:rStyle w:val="17"/>
          <w:rFonts w:hint="eastAsia" w:ascii="方正小标宋简体" w:hAnsi="方正小标宋简体" w:eastAsia="方正小标宋简体" w:cs="方正小标宋简体"/>
          <w:b w:val="0"/>
          <w:bCs w:val="0"/>
          <w:sz w:val="44"/>
          <w:szCs w:val="44"/>
        </w:rPr>
        <w:t>附表</w:t>
      </w:r>
    </w:p>
    <w:p>
      <w:pPr>
        <w:pStyle w:val="3"/>
        <w:spacing w:line="576" w:lineRule="atLeast"/>
        <w:rPr>
          <w:rFonts w:hint="eastAsia" w:ascii="仿宋_GB2312" w:hAnsi="仿宋_GB2312" w:eastAsia="仿宋_GB2312" w:cs="仿宋_GB2312"/>
          <w:color w:val="000000"/>
        </w:rPr>
      </w:pPr>
      <w:r>
        <w:rPr>
          <w:rFonts w:hint="eastAsia" w:ascii="仿宋_GB2312" w:hAnsi="仿宋_GB2312" w:eastAsia="仿宋_GB2312" w:cs="仿宋_GB2312"/>
          <w:b w:val="0"/>
          <w:bCs w:val="0"/>
          <w:color w:val="000000"/>
        </w:rPr>
        <w:t>一、收</w:t>
      </w:r>
      <w:r>
        <w:rPr>
          <w:rStyle w:val="18"/>
          <w:rFonts w:hint="eastAsia" w:ascii="仿宋_GB2312" w:hAnsi="仿宋_GB2312" w:eastAsia="仿宋_GB2312" w:cs="仿宋_GB2312"/>
          <w:b w:val="0"/>
          <w:bCs w:val="0"/>
        </w:rPr>
        <w:t>入支出决算总表</w:t>
      </w:r>
      <w:bookmarkEnd w:id="61"/>
    </w:p>
    <w:p>
      <w:pPr>
        <w:pStyle w:val="3"/>
        <w:spacing w:line="576" w:lineRule="atLeast"/>
        <w:rPr>
          <w:rFonts w:hint="eastAsia" w:ascii="仿宋_GB2312" w:hAnsi="仿宋_GB2312" w:eastAsia="仿宋_GB2312" w:cs="仿宋_GB2312"/>
          <w:color w:val="000000"/>
        </w:rPr>
      </w:pPr>
      <w:bookmarkStart w:id="62" w:name="_Toc15396620"/>
      <w:r>
        <w:rPr>
          <w:rFonts w:hint="eastAsia" w:ascii="仿宋_GB2312" w:hAnsi="仿宋_GB2312" w:eastAsia="仿宋_GB2312" w:cs="仿宋_GB2312"/>
          <w:b w:val="0"/>
          <w:bCs w:val="0"/>
          <w:color w:val="000000"/>
        </w:rPr>
        <w:t>二、收</w:t>
      </w:r>
      <w:r>
        <w:rPr>
          <w:rStyle w:val="18"/>
          <w:rFonts w:hint="eastAsia" w:ascii="仿宋_GB2312" w:hAnsi="仿宋_GB2312" w:eastAsia="仿宋_GB2312" w:cs="仿宋_GB2312"/>
          <w:b w:val="0"/>
          <w:bCs w:val="0"/>
        </w:rPr>
        <w:t>入总表</w:t>
      </w:r>
      <w:bookmarkEnd w:id="62"/>
    </w:p>
    <w:p>
      <w:pPr>
        <w:pStyle w:val="3"/>
        <w:spacing w:line="576" w:lineRule="atLeast"/>
        <w:rPr>
          <w:rFonts w:hint="eastAsia" w:ascii="仿宋_GB2312" w:hAnsi="仿宋_GB2312" w:eastAsia="仿宋_GB2312" w:cs="仿宋_GB2312"/>
          <w:color w:val="000000"/>
        </w:rPr>
      </w:pPr>
      <w:bookmarkStart w:id="63" w:name="_Toc15396621"/>
      <w:r>
        <w:rPr>
          <w:rStyle w:val="18"/>
          <w:rFonts w:hint="eastAsia" w:ascii="仿宋_GB2312" w:hAnsi="仿宋_GB2312" w:eastAsia="仿宋_GB2312" w:cs="仿宋_GB2312"/>
          <w:b w:val="0"/>
          <w:bCs w:val="0"/>
        </w:rPr>
        <w:t>三、</w:t>
      </w:r>
      <w:r>
        <w:rPr>
          <w:rFonts w:hint="eastAsia" w:ascii="仿宋_GB2312" w:hAnsi="仿宋_GB2312" w:eastAsia="仿宋_GB2312" w:cs="仿宋_GB2312"/>
          <w:b w:val="0"/>
          <w:bCs w:val="0"/>
          <w:color w:val="000000"/>
        </w:rPr>
        <w:t>支</w:t>
      </w:r>
      <w:r>
        <w:rPr>
          <w:rStyle w:val="18"/>
          <w:rFonts w:hint="eastAsia" w:ascii="仿宋_GB2312" w:hAnsi="仿宋_GB2312" w:eastAsia="仿宋_GB2312" w:cs="仿宋_GB2312"/>
          <w:b w:val="0"/>
          <w:bCs w:val="0"/>
        </w:rPr>
        <w:t>出总表</w:t>
      </w:r>
      <w:bookmarkEnd w:id="63"/>
    </w:p>
    <w:p>
      <w:pPr>
        <w:pStyle w:val="3"/>
        <w:spacing w:line="576" w:lineRule="atLeast"/>
        <w:rPr>
          <w:rFonts w:hint="eastAsia" w:ascii="仿宋_GB2312" w:hAnsi="仿宋_GB2312" w:eastAsia="仿宋_GB2312" w:cs="仿宋_GB2312"/>
          <w:b w:val="0"/>
          <w:bCs w:val="0"/>
          <w:color w:val="000000"/>
        </w:rPr>
      </w:pPr>
      <w:bookmarkStart w:id="64" w:name="_Toc15396622"/>
      <w:r>
        <w:rPr>
          <w:rStyle w:val="18"/>
          <w:rFonts w:hint="eastAsia" w:ascii="仿宋_GB2312" w:hAnsi="仿宋_GB2312" w:eastAsia="仿宋_GB2312" w:cs="仿宋_GB2312"/>
          <w:b w:val="0"/>
          <w:bCs w:val="0"/>
        </w:rPr>
        <w:t>四、</w:t>
      </w:r>
      <w:r>
        <w:rPr>
          <w:rFonts w:hint="eastAsia" w:ascii="仿宋_GB2312" w:hAnsi="仿宋_GB2312" w:eastAsia="仿宋_GB2312" w:cs="仿宋_GB2312"/>
          <w:b w:val="0"/>
          <w:bCs w:val="0"/>
          <w:color w:val="000000"/>
        </w:rPr>
        <w:t>财</w:t>
      </w:r>
      <w:r>
        <w:rPr>
          <w:rStyle w:val="18"/>
          <w:rFonts w:hint="eastAsia" w:ascii="仿宋_GB2312" w:hAnsi="仿宋_GB2312" w:eastAsia="仿宋_GB2312" w:cs="仿宋_GB2312"/>
          <w:b w:val="0"/>
          <w:bCs w:val="0"/>
        </w:rPr>
        <w:t>政拨款收入支出决算总表</w:t>
      </w:r>
      <w:bookmarkEnd w:id="64"/>
    </w:p>
    <w:p>
      <w:pPr>
        <w:pStyle w:val="3"/>
        <w:spacing w:line="576" w:lineRule="atLeast"/>
        <w:rPr>
          <w:rFonts w:hint="eastAsia" w:ascii="仿宋_GB2312" w:hAnsi="仿宋_GB2312" w:eastAsia="仿宋_GB2312" w:cs="仿宋_GB2312"/>
          <w:color w:val="000000"/>
        </w:rPr>
      </w:pPr>
      <w:bookmarkStart w:id="65" w:name="_Toc15396623"/>
      <w:r>
        <w:rPr>
          <w:rStyle w:val="18"/>
          <w:rFonts w:hint="eastAsia" w:ascii="仿宋_GB2312" w:hAnsi="仿宋_GB2312" w:eastAsia="仿宋_GB2312" w:cs="仿宋_GB2312"/>
          <w:b w:val="0"/>
          <w:bCs w:val="0"/>
        </w:rPr>
        <w:t>五、</w:t>
      </w:r>
      <w:r>
        <w:rPr>
          <w:rFonts w:hint="eastAsia" w:ascii="仿宋_GB2312" w:hAnsi="仿宋_GB2312" w:eastAsia="仿宋_GB2312" w:cs="仿宋_GB2312"/>
          <w:b w:val="0"/>
          <w:bCs w:val="0"/>
          <w:color w:val="000000"/>
        </w:rPr>
        <w:t>财</w:t>
      </w:r>
      <w:r>
        <w:rPr>
          <w:rStyle w:val="18"/>
          <w:rFonts w:hint="eastAsia" w:ascii="仿宋_GB2312" w:hAnsi="仿宋_GB2312" w:eastAsia="仿宋_GB2312" w:cs="仿宋_GB2312"/>
          <w:b w:val="0"/>
          <w:bCs w:val="0"/>
        </w:rPr>
        <w:t>政拨款支出决算明细表（政府经济分类科目）</w:t>
      </w:r>
      <w:bookmarkEnd w:id="65"/>
    </w:p>
    <w:p>
      <w:pPr>
        <w:pStyle w:val="3"/>
        <w:spacing w:line="576" w:lineRule="atLeast"/>
        <w:rPr>
          <w:rFonts w:hint="eastAsia" w:ascii="仿宋_GB2312" w:hAnsi="仿宋_GB2312" w:eastAsia="仿宋_GB2312" w:cs="仿宋_GB2312"/>
          <w:color w:val="000000"/>
        </w:rPr>
      </w:pPr>
      <w:bookmarkStart w:id="66" w:name="_Toc15396624"/>
      <w:r>
        <w:rPr>
          <w:rStyle w:val="18"/>
          <w:rFonts w:hint="eastAsia" w:ascii="仿宋_GB2312" w:hAnsi="仿宋_GB2312" w:eastAsia="仿宋_GB2312" w:cs="仿宋_GB2312"/>
          <w:b w:val="0"/>
          <w:bCs w:val="0"/>
        </w:rPr>
        <w:t>六、</w:t>
      </w:r>
      <w:r>
        <w:rPr>
          <w:rFonts w:hint="eastAsia" w:ascii="仿宋_GB2312" w:hAnsi="仿宋_GB2312" w:eastAsia="仿宋_GB2312" w:cs="仿宋_GB2312"/>
          <w:b w:val="0"/>
          <w:bCs w:val="0"/>
          <w:color w:val="000000"/>
        </w:rPr>
        <w:t>一</w:t>
      </w:r>
      <w:r>
        <w:rPr>
          <w:rStyle w:val="18"/>
          <w:rFonts w:hint="eastAsia" w:ascii="仿宋_GB2312" w:hAnsi="仿宋_GB2312" w:eastAsia="仿宋_GB2312" w:cs="仿宋_GB2312"/>
          <w:b w:val="0"/>
          <w:bCs w:val="0"/>
        </w:rPr>
        <w:t>般公共预算财政拨款支出决算表</w:t>
      </w:r>
      <w:bookmarkEnd w:id="66"/>
    </w:p>
    <w:p>
      <w:pPr>
        <w:pStyle w:val="3"/>
        <w:spacing w:line="576" w:lineRule="atLeast"/>
        <w:rPr>
          <w:rFonts w:hint="eastAsia" w:ascii="仿宋_GB2312" w:hAnsi="仿宋_GB2312" w:eastAsia="仿宋_GB2312" w:cs="仿宋_GB2312"/>
          <w:color w:val="000000"/>
        </w:rPr>
      </w:pPr>
      <w:bookmarkStart w:id="67" w:name="_Toc15396625"/>
      <w:r>
        <w:rPr>
          <w:rStyle w:val="18"/>
          <w:rFonts w:hint="eastAsia" w:ascii="仿宋_GB2312" w:hAnsi="仿宋_GB2312" w:eastAsia="仿宋_GB2312" w:cs="仿宋_GB2312"/>
          <w:b w:val="0"/>
          <w:bCs w:val="0"/>
        </w:rPr>
        <w:t>七、</w:t>
      </w:r>
      <w:r>
        <w:rPr>
          <w:rFonts w:hint="eastAsia" w:ascii="仿宋_GB2312" w:hAnsi="仿宋_GB2312" w:eastAsia="仿宋_GB2312" w:cs="仿宋_GB2312"/>
          <w:b w:val="0"/>
          <w:bCs w:val="0"/>
          <w:color w:val="000000"/>
        </w:rPr>
        <w:t>一</w:t>
      </w:r>
      <w:r>
        <w:rPr>
          <w:rStyle w:val="18"/>
          <w:rFonts w:hint="eastAsia" w:ascii="仿宋_GB2312" w:hAnsi="仿宋_GB2312" w:eastAsia="仿宋_GB2312" w:cs="仿宋_GB2312"/>
          <w:b w:val="0"/>
          <w:bCs w:val="0"/>
        </w:rPr>
        <w:t>般公共预算财政拨款支出决算明细表</w:t>
      </w:r>
      <w:bookmarkEnd w:id="67"/>
    </w:p>
    <w:p>
      <w:pPr>
        <w:pStyle w:val="3"/>
        <w:spacing w:line="576" w:lineRule="atLeast"/>
        <w:rPr>
          <w:rFonts w:hint="eastAsia" w:ascii="仿宋_GB2312" w:hAnsi="仿宋_GB2312" w:eastAsia="仿宋_GB2312" w:cs="仿宋_GB2312"/>
          <w:color w:val="000000"/>
        </w:rPr>
      </w:pPr>
      <w:bookmarkStart w:id="68" w:name="_Toc15396626"/>
      <w:r>
        <w:rPr>
          <w:rStyle w:val="18"/>
          <w:rFonts w:hint="eastAsia" w:ascii="仿宋_GB2312" w:hAnsi="仿宋_GB2312" w:eastAsia="仿宋_GB2312" w:cs="仿宋_GB2312"/>
          <w:b w:val="0"/>
          <w:bCs w:val="0"/>
        </w:rPr>
        <w:t>八、</w:t>
      </w:r>
      <w:r>
        <w:rPr>
          <w:rFonts w:hint="eastAsia" w:ascii="仿宋_GB2312" w:hAnsi="仿宋_GB2312" w:eastAsia="仿宋_GB2312" w:cs="仿宋_GB2312"/>
          <w:b w:val="0"/>
          <w:bCs w:val="0"/>
          <w:color w:val="000000"/>
        </w:rPr>
        <w:t>一</w:t>
      </w:r>
      <w:r>
        <w:rPr>
          <w:rStyle w:val="18"/>
          <w:rFonts w:hint="eastAsia" w:ascii="仿宋_GB2312" w:hAnsi="仿宋_GB2312" w:eastAsia="仿宋_GB2312" w:cs="仿宋_GB2312"/>
          <w:b w:val="0"/>
          <w:bCs w:val="0"/>
        </w:rPr>
        <w:t>般公共预算财政拨款基本支出决算表</w:t>
      </w:r>
      <w:bookmarkEnd w:id="68"/>
    </w:p>
    <w:p>
      <w:pPr>
        <w:pStyle w:val="3"/>
        <w:spacing w:line="576" w:lineRule="atLeast"/>
        <w:rPr>
          <w:rFonts w:hint="eastAsia" w:ascii="仿宋_GB2312" w:hAnsi="仿宋_GB2312" w:eastAsia="仿宋_GB2312" w:cs="仿宋_GB2312"/>
          <w:color w:val="000000"/>
        </w:rPr>
      </w:pPr>
      <w:bookmarkStart w:id="69" w:name="_Toc15396627"/>
      <w:r>
        <w:rPr>
          <w:rStyle w:val="18"/>
          <w:rFonts w:hint="eastAsia" w:ascii="仿宋_GB2312" w:hAnsi="仿宋_GB2312" w:eastAsia="仿宋_GB2312" w:cs="仿宋_GB2312"/>
          <w:b w:val="0"/>
          <w:bCs w:val="0"/>
        </w:rPr>
        <w:t>九、</w:t>
      </w:r>
      <w:r>
        <w:rPr>
          <w:rFonts w:hint="eastAsia" w:ascii="仿宋_GB2312" w:hAnsi="仿宋_GB2312" w:eastAsia="仿宋_GB2312" w:cs="仿宋_GB2312"/>
          <w:b w:val="0"/>
          <w:bCs w:val="0"/>
          <w:color w:val="000000"/>
        </w:rPr>
        <w:t>一</w:t>
      </w:r>
      <w:r>
        <w:rPr>
          <w:rStyle w:val="18"/>
          <w:rFonts w:hint="eastAsia" w:ascii="仿宋_GB2312" w:hAnsi="仿宋_GB2312" w:eastAsia="仿宋_GB2312" w:cs="仿宋_GB2312"/>
          <w:b w:val="0"/>
          <w:bCs w:val="0"/>
        </w:rPr>
        <w:t>般公共预算财政拨款项目支出决算表</w:t>
      </w:r>
      <w:bookmarkEnd w:id="69"/>
    </w:p>
    <w:p>
      <w:pPr>
        <w:pStyle w:val="3"/>
        <w:spacing w:line="576" w:lineRule="atLeast"/>
        <w:rPr>
          <w:rFonts w:hint="eastAsia" w:ascii="仿宋_GB2312" w:hAnsi="仿宋_GB2312" w:eastAsia="仿宋_GB2312" w:cs="仿宋_GB2312"/>
          <w:color w:val="000000"/>
        </w:rPr>
      </w:pPr>
      <w:bookmarkStart w:id="70" w:name="_Toc15396628"/>
      <w:r>
        <w:rPr>
          <w:rStyle w:val="18"/>
          <w:rFonts w:hint="eastAsia" w:ascii="仿宋_GB2312" w:hAnsi="仿宋_GB2312" w:eastAsia="仿宋_GB2312" w:cs="仿宋_GB2312"/>
          <w:b w:val="0"/>
          <w:bCs w:val="0"/>
        </w:rPr>
        <w:t>十、</w:t>
      </w:r>
      <w:r>
        <w:rPr>
          <w:rFonts w:hint="eastAsia" w:ascii="仿宋_GB2312" w:hAnsi="仿宋_GB2312" w:eastAsia="仿宋_GB2312" w:cs="仿宋_GB2312"/>
          <w:b w:val="0"/>
          <w:bCs w:val="0"/>
          <w:color w:val="000000"/>
        </w:rPr>
        <w:t>一</w:t>
      </w:r>
      <w:r>
        <w:rPr>
          <w:rStyle w:val="18"/>
          <w:rFonts w:hint="eastAsia" w:ascii="仿宋_GB2312" w:hAnsi="仿宋_GB2312" w:eastAsia="仿宋_GB2312" w:cs="仿宋_GB2312"/>
          <w:b w:val="0"/>
          <w:bCs w:val="0"/>
        </w:rPr>
        <w:t>般公共预算财政拨款“三公”经费支出决算表</w:t>
      </w:r>
      <w:bookmarkEnd w:id="70"/>
    </w:p>
    <w:p>
      <w:pPr>
        <w:pStyle w:val="3"/>
        <w:spacing w:line="576" w:lineRule="atLeast"/>
        <w:rPr>
          <w:rFonts w:hint="eastAsia" w:ascii="仿宋_GB2312" w:hAnsi="仿宋_GB2312" w:eastAsia="仿宋_GB2312" w:cs="仿宋_GB2312"/>
          <w:color w:val="000000"/>
        </w:rPr>
      </w:pPr>
      <w:bookmarkStart w:id="71" w:name="_Toc15396629"/>
      <w:r>
        <w:rPr>
          <w:rStyle w:val="18"/>
          <w:rFonts w:hint="eastAsia" w:ascii="仿宋_GB2312" w:hAnsi="仿宋_GB2312" w:eastAsia="仿宋_GB2312" w:cs="仿宋_GB2312"/>
          <w:b w:val="0"/>
          <w:bCs w:val="0"/>
        </w:rPr>
        <w:t>十一、</w:t>
      </w:r>
      <w:r>
        <w:rPr>
          <w:rFonts w:hint="eastAsia" w:ascii="仿宋_GB2312" w:hAnsi="仿宋_GB2312" w:eastAsia="仿宋_GB2312" w:cs="仿宋_GB2312"/>
          <w:b w:val="0"/>
          <w:bCs w:val="0"/>
          <w:color w:val="000000"/>
        </w:rPr>
        <w:t>政</w:t>
      </w:r>
      <w:r>
        <w:rPr>
          <w:rStyle w:val="18"/>
          <w:rFonts w:hint="eastAsia" w:ascii="仿宋_GB2312" w:hAnsi="仿宋_GB2312" w:eastAsia="仿宋_GB2312" w:cs="仿宋_GB2312"/>
          <w:b w:val="0"/>
          <w:bCs w:val="0"/>
        </w:rPr>
        <w:t>府性基金预算财政拨款收入支出决算表</w:t>
      </w:r>
      <w:bookmarkEnd w:id="71"/>
    </w:p>
    <w:p>
      <w:pPr>
        <w:pStyle w:val="3"/>
        <w:spacing w:line="576" w:lineRule="atLeast"/>
        <w:rPr>
          <w:rFonts w:hint="eastAsia" w:ascii="仿宋_GB2312" w:hAnsi="仿宋_GB2312" w:eastAsia="仿宋_GB2312" w:cs="仿宋_GB2312"/>
          <w:color w:val="000000"/>
        </w:rPr>
      </w:pPr>
      <w:bookmarkStart w:id="72" w:name="_Toc15396630"/>
      <w:r>
        <w:rPr>
          <w:rStyle w:val="18"/>
          <w:rFonts w:hint="eastAsia" w:ascii="仿宋_GB2312" w:hAnsi="仿宋_GB2312" w:eastAsia="仿宋_GB2312" w:cs="仿宋_GB2312"/>
          <w:b w:val="0"/>
          <w:bCs w:val="0"/>
        </w:rPr>
        <w:t>十二、</w:t>
      </w:r>
      <w:r>
        <w:rPr>
          <w:rFonts w:hint="eastAsia" w:ascii="仿宋_GB2312" w:hAnsi="仿宋_GB2312" w:eastAsia="仿宋_GB2312" w:cs="仿宋_GB2312"/>
          <w:b w:val="0"/>
          <w:bCs w:val="0"/>
          <w:color w:val="000000"/>
        </w:rPr>
        <w:t>政</w:t>
      </w:r>
      <w:r>
        <w:rPr>
          <w:rStyle w:val="18"/>
          <w:rFonts w:hint="eastAsia" w:ascii="仿宋_GB2312" w:hAnsi="仿宋_GB2312" w:eastAsia="仿宋_GB2312" w:cs="仿宋_GB2312"/>
          <w:b w:val="0"/>
          <w:bCs w:val="0"/>
        </w:rPr>
        <w:t>府性基金预算财政拨款“三公”经费支出决算表</w:t>
      </w:r>
      <w:bookmarkEnd w:id="72"/>
    </w:p>
    <w:p>
      <w:pPr>
        <w:pStyle w:val="3"/>
        <w:spacing w:line="576" w:lineRule="atLeast"/>
        <w:rPr>
          <w:rStyle w:val="18"/>
          <w:rFonts w:hint="eastAsia" w:ascii="仿宋_GB2312" w:hAnsi="仿宋_GB2312" w:eastAsia="仿宋_GB2312" w:cs="仿宋_GB2312"/>
          <w:b w:val="0"/>
          <w:bCs w:val="0"/>
        </w:rPr>
      </w:pPr>
      <w:bookmarkStart w:id="73" w:name="_Toc15396631"/>
      <w:r>
        <w:rPr>
          <w:rStyle w:val="18"/>
          <w:rFonts w:hint="eastAsia" w:ascii="仿宋_GB2312" w:hAnsi="仿宋_GB2312" w:eastAsia="仿宋_GB2312" w:cs="仿宋_GB2312"/>
          <w:b w:val="0"/>
          <w:bCs w:val="0"/>
        </w:rPr>
        <w:t>十三、</w:t>
      </w:r>
      <w:r>
        <w:rPr>
          <w:rFonts w:hint="eastAsia" w:ascii="仿宋_GB2312" w:hAnsi="仿宋_GB2312" w:eastAsia="仿宋_GB2312" w:cs="仿宋_GB2312"/>
          <w:b w:val="0"/>
          <w:bCs w:val="0"/>
          <w:color w:val="000000"/>
        </w:rPr>
        <w:t>国</w:t>
      </w:r>
      <w:r>
        <w:rPr>
          <w:rStyle w:val="18"/>
          <w:rFonts w:hint="eastAsia" w:ascii="仿宋_GB2312" w:hAnsi="仿宋_GB2312" w:eastAsia="仿宋_GB2312" w:cs="仿宋_GB2312"/>
          <w:b w:val="0"/>
          <w:bCs w:val="0"/>
        </w:rPr>
        <w:t>有资本经营预算支出决算表</w:t>
      </w:r>
      <w:bookmarkEnd w:id="73"/>
    </w:p>
    <w:p>
      <w:pPr>
        <w:spacing w:line="576" w:lineRule="atLeast"/>
        <w:rPr>
          <w:rFonts w:hint="eastAsia" w:ascii="楷体" w:hAnsi="楷体" w:eastAsia="楷体" w:cs="楷体"/>
          <w:b/>
          <w:bCs/>
        </w:rPr>
      </w:pPr>
    </w:p>
    <w:p>
      <w:pPr>
        <w:spacing w:line="576" w:lineRule="atLeast"/>
        <w:rPr>
          <w:rFonts w:eastAsia="仿宋"/>
          <w:b/>
          <w:bCs/>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28</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F8C45B"/>
    <w:multiLevelType w:val="singleLevel"/>
    <w:tmpl w:val="ACF8C45B"/>
    <w:lvl w:ilvl="0" w:tentative="0">
      <w:start w:val="2"/>
      <w:numFmt w:val="chineseCounting"/>
      <w:suff w:val="nothing"/>
      <w:lvlText w:val="（%1）"/>
      <w:lvlJc w:val="left"/>
      <w:rPr>
        <w:rFonts w:hint="eastAsia" w:cs="Times New Roman"/>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bCs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2">
    <w:nsid w:val="5C5E7743"/>
    <w:multiLevelType w:val="singleLevel"/>
    <w:tmpl w:val="5C5E7743"/>
    <w:lvl w:ilvl="0" w:tentative="0">
      <w:start w:val="2"/>
      <w:numFmt w:val="chineseCounting"/>
      <w:suff w:val="space"/>
      <w:lvlText w:val="第%1部分"/>
      <w:lvlJc w:val="left"/>
      <w:rPr>
        <w:rFonts w:hint="eastAsia"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222C6"/>
    <w:rsid w:val="0002549F"/>
    <w:rsid w:val="00035DB9"/>
    <w:rsid w:val="0006312A"/>
    <w:rsid w:val="0006487A"/>
    <w:rsid w:val="00065F8F"/>
    <w:rsid w:val="000768F2"/>
    <w:rsid w:val="0009184B"/>
    <w:rsid w:val="0009593C"/>
    <w:rsid w:val="000B047F"/>
    <w:rsid w:val="000B5923"/>
    <w:rsid w:val="000B5A48"/>
    <w:rsid w:val="000B6FF3"/>
    <w:rsid w:val="000C3467"/>
    <w:rsid w:val="000C3CA6"/>
    <w:rsid w:val="000D1267"/>
    <w:rsid w:val="000D1D50"/>
    <w:rsid w:val="000D2AEB"/>
    <w:rsid w:val="000D4938"/>
    <w:rsid w:val="000D5782"/>
    <w:rsid w:val="000E6613"/>
    <w:rsid w:val="000E7119"/>
    <w:rsid w:val="000F7C71"/>
    <w:rsid w:val="00114E9B"/>
    <w:rsid w:val="00122E71"/>
    <w:rsid w:val="0013769B"/>
    <w:rsid w:val="00146583"/>
    <w:rsid w:val="00146AA9"/>
    <w:rsid w:val="0014729F"/>
    <w:rsid w:val="00157BAB"/>
    <w:rsid w:val="001654D1"/>
    <w:rsid w:val="00172A27"/>
    <w:rsid w:val="0018106D"/>
    <w:rsid w:val="001877A7"/>
    <w:rsid w:val="00191536"/>
    <w:rsid w:val="00196038"/>
    <w:rsid w:val="00196687"/>
    <w:rsid w:val="001B0542"/>
    <w:rsid w:val="001C0962"/>
    <w:rsid w:val="001C3C21"/>
    <w:rsid w:val="001D7531"/>
    <w:rsid w:val="001E737D"/>
    <w:rsid w:val="001F0592"/>
    <w:rsid w:val="001F7506"/>
    <w:rsid w:val="002006CD"/>
    <w:rsid w:val="00202B36"/>
    <w:rsid w:val="00204B7A"/>
    <w:rsid w:val="0021101A"/>
    <w:rsid w:val="00220536"/>
    <w:rsid w:val="002327AA"/>
    <w:rsid w:val="00235629"/>
    <w:rsid w:val="00243DB3"/>
    <w:rsid w:val="00260C38"/>
    <w:rsid w:val="002616C0"/>
    <w:rsid w:val="002662AA"/>
    <w:rsid w:val="00280496"/>
    <w:rsid w:val="002933D7"/>
    <w:rsid w:val="00295495"/>
    <w:rsid w:val="00295AD9"/>
    <w:rsid w:val="002A05AF"/>
    <w:rsid w:val="002B2613"/>
    <w:rsid w:val="002C2543"/>
    <w:rsid w:val="002C5C51"/>
    <w:rsid w:val="002F1818"/>
    <w:rsid w:val="002F3F80"/>
    <w:rsid w:val="002F4F6C"/>
    <w:rsid w:val="002F567B"/>
    <w:rsid w:val="002F79AF"/>
    <w:rsid w:val="00312F74"/>
    <w:rsid w:val="003200A1"/>
    <w:rsid w:val="003216A9"/>
    <w:rsid w:val="0033520D"/>
    <w:rsid w:val="0037013F"/>
    <w:rsid w:val="00380C92"/>
    <w:rsid w:val="00390628"/>
    <w:rsid w:val="00391CE4"/>
    <w:rsid w:val="0039749E"/>
    <w:rsid w:val="003A36D6"/>
    <w:rsid w:val="003A484F"/>
    <w:rsid w:val="003B0BE0"/>
    <w:rsid w:val="003B0C1B"/>
    <w:rsid w:val="003B688C"/>
    <w:rsid w:val="003C0291"/>
    <w:rsid w:val="003C1C86"/>
    <w:rsid w:val="003C39AE"/>
    <w:rsid w:val="003C7B60"/>
    <w:rsid w:val="003D1FB2"/>
    <w:rsid w:val="003D66DA"/>
    <w:rsid w:val="003E1310"/>
    <w:rsid w:val="003E4C59"/>
    <w:rsid w:val="003E6F55"/>
    <w:rsid w:val="00406254"/>
    <w:rsid w:val="004223DE"/>
    <w:rsid w:val="00434489"/>
    <w:rsid w:val="00437085"/>
    <w:rsid w:val="00443880"/>
    <w:rsid w:val="004440C6"/>
    <w:rsid w:val="004464F4"/>
    <w:rsid w:val="004709F9"/>
    <w:rsid w:val="00471401"/>
    <w:rsid w:val="00473F31"/>
    <w:rsid w:val="0048263A"/>
    <w:rsid w:val="00487E5D"/>
    <w:rsid w:val="004919CF"/>
    <w:rsid w:val="004A4386"/>
    <w:rsid w:val="004A711F"/>
    <w:rsid w:val="004B199D"/>
    <w:rsid w:val="004B4690"/>
    <w:rsid w:val="004C5D66"/>
    <w:rsid w:val="004D2397"/>
    <w:rsid w:val="004E0A2D"/>
    <w:rsid w:val="004E206B"/>
    <w:rsid w:val="004E6DF7"/>
    <w:rsid w:val="004F0FBD"/>
    <w:rsid w:val="004F4F9F"/>
    <w:rsid w:val="004F5FAC"/>
    <w:rsid w:val="004F7824"/>
    <w:rsid w:val="00502A06"/>
    <w:rsid w:val="00505A47"/>
    <w:rsid w:val="00512FDA"/>
    <w:rsid w:val="00520DA0"/>
    <w:rsid w:val="00525BBD"/>
    <w:rsid w:val="005410A9"/>
    <w:rsid w:val="005509A0"/>
    <w:rsid w:val="005517BF"/>
    <w:rsid w:val="005664BB"/>
    <w:rsid w:val="0057481D"/>
    <w:rsid w:val="0057520B"/>
    <w:rsid w:val="00576406"/>
    <w:rsid w:val="00584030"/>
    <w:rsid w:val="00584662"/>
    <w:rsid w:val="0058486E"/>
    <w:rsid w:val="0058613F"/>
    <w:rsid w:val="005A6DE1"/>
    <w:rsid w:val="005B37F1"/>
    <w:rsid w:val="005C5536"/>
    <w:rsid w:val="005D1C8B"/>
    <w:rsid w:val="005D5C03"/>
    <w:rsid w:val="005D5CED"/>
    <w:rsid w:val="005E57F1"/>
    <w:rsid w:val="005F1A4C"/>
    <w:rsid w:val="006018A5"/>
    <w:rsid w:val="00604651"/>
    <w:rsid w:val="00605688"/>
    <w:rsid w:val="00605EB7"/>
    <w:rsid w:val="006070AF"/>
    <w:rsid w:val="00607E6C"/>
    <w:rsid w:val="006101B1"/>
    <w:rsid w:val="00614E44"/>
    <w:rsid w:val="006161BA"/>
    <w:rsid w:val="00622830"/>
    <w:rsid w:val="00630AEF"/>
    <w:rsid w:val="006325F8"/>
    <w:rsid w:val="00633023"/>
    <w:rsid w:val="00634C9A"/>
    <w:rsid w:val="00642B73"/>
    <w:rsid w:val="00642FA6"/>
    <w:rsid w:val="006440E4"/>
    <w:rsid w:val="00647173"/>
    <w:rsid w:val="00655636"/>
    <w:rsid w:val="0066343B"/>
    <w:rsid w:val="00664777"/>
    <w:rsid w:val="006658FB"/>
    <w:rsid w:val="00670371"/>
    <w:rsid w:val="006748A4"/>
    <w:rsid w:val="00683E73"/>
    <w:rsid w:val="00686A47"/>
    <w:rsid w:val="00697601"/>
    <w:rsid w:val="0069782B"/>
    <w:rsid w:val="006A3141"/>
    <w:rsid w:val="006A5E34"/>
    <w:rsid w:val="006A77F5"/>
    <w:rsid w:val="006B1C63"/>
    <w:rsid w:val="006B2422"/>
    <w:rsid w:val="006B2B9A"/>
    <w:rsid w:val="006B4C94"/>
    <w:rsid w:val="006C1937"/>
    <w:rsid w:val="006E64DD"/>
    <w:rsid w:val="006F020C"/>
    <w:rsid w:val="00702B4A"/>
    <w:rsid w:val="007127B7"/>
    <w:rsid w:val="00731FFF"/>
    <w:rsid w:val="007416B6"/>
    <w:rsid w:val="00746F48"/>
    <w:rsid w:val="0075404D"/>
    <w:rsid w:val="007610C3"/>
    <w:rsid w:val="0076182A"/>
    <w:rsid w:val="00767B7E"/>
    <w:rsid w:val="007770C3"/>
    <w:rsid w:val="00782C56"/>
    <w:rsid w:val="00784D24"/>
    <w:rsid w:val="00785FBA"/>
    <w:rsid w:val="00786E4A"/>
    <w:rsid w:val="007875EB"/>
    <w:rsid w:val="0079426B"/>
    <w:rsid w:val="007A4711"/>
    <w:rsid w:val="007B5768"/>
    <w:rsid w:val="007D312A"/>
    <w:rsid w:val="007D3F19"/>
    <w:rsid w:val="007E23B0"/>
    <w:rsid w:val="007F1991"/>
    <w:rsid w:val="007F2C2F"/>
    <w:rsid w:val="007F55FC"/>
    <w:rsid w:val="007F5665"/>
    <w:rsid w:val="00800112"/>
    <w:rsid w:val="0082190A"/>
    <w:rsid w:val="008253BB"/>
    <w:rsid w:val="00836A84"/>
    <w:rsid w:val="0083706E"/>
    <w:rsid w:val="008423A5"/>
    <w:rsid w:val="00850625"/>
    <w:rsid w:val="008527B3"/>
    <w:rsid w:val="00853718"/>
    <w:rsid w:val="00855221"/>
    <w:rsid w:val="00860645"/>
    <w:rsid w:val="00860F19"/>
    <w:rsid w:val="00861A42"/>
    <w:rsid w:val="00865563"/>
    <w:rsid w:val="00871F71"/>
    <w:rsid w:val="00875FED"/>
    <w:rsid w:val="00882157"/>
    <w:rsid w:val="00885AF4"/>
    <w:rsid w:val="008939CD"/>
    <w:rsid w:val="008A056D"/>
    <w:rsid w:val="008B120A"/>
    <w:rsid w:val="008B768C"/>
    <w:rsid w:val="008C3819"/>
    <w:rsid w:val="008C4DB1"/>
    <w:rsid w:val="008C4EAF"/>
    <w:rsid w:val="008C5176"/>
    <w:rsid w:val="008C7FD0"/>
    <w:rsid w:val="008E1DE7"/>
    <w:rsid w:val="008E707C"/>
    <w:rsid w:val="008F50FD"/>
    <w:rsid w:val="00900B08"/>
    <w:rsid w:val="00902155"/>
    <w:rsid w:val="00902FA3"/>
    <w:rsid w:val="009074FE"/>
    <w:rsid w:val="00917719"/>
    <w:rsid w:val="00923564"/>
    <w:rsid w:val="0092392E"/>
    <w:rsid w:val="00923EF7"/>
    <w:rsid w:val="009315F9"/>
    <w:rsid w:val="00936E9C"/>
    <w:rsid w:val="00937A50"/>
    <w:rsid w:val="00940A10"/>
    <w:rsid w:val="00946945"/>
    <w:rsid w:val="009509DD"/>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9F661D"/>
    <w:rsid w:val="00A04EB0"/>
    <w:rsid w:val="00A06BA3"/>
    <w:rsid w:val="00A13CC1"/>
    <w:rsid w:val="00A16847"/>
    <w:rsid w:val="00A237D8"/>
    <w:rsid w:val="00A268C4"/>
    <w:rsid w:val="00A307CD"/>
    <w:rsid w:val="00A31D4B"/>
    <w:rsid w:val="00A335FB"/>
    <w:rsid w:val="00A40A00"/>
    <w:rsid w:val="00A4142F"/>
    <w:rsid w:val="00A5554C"/>
    <w:rsid w:val="00A56DF2"/>
    <w:rsid w:val="00A5770B"/>
    <w:rsid w:val="00A62332"/>
    <w:rsid w:val="00A67AB5"/>
    <w:rsid w:val="00A703F1"/>
    <w:rsid w:val="00A73CE8"/>
    <w:rsid w:val="00A811F9"/>
    <w:rsid w:val="00A91760"/>
    <w:rsid w:val="00A93B00"/>
    <w:rsid w:val="00A93C21"/>
    <w:rsid w:val="00AA1612"/>
    <w:rsid w:val="00AA70DD"/>
    <w:rsid w:val="00AC07E7"/>
    <w:rsid w:val="00AC3C6A"/>
    <w:rsid w:val="00AC656B"/>
    <w:rsid w:val="00AD5620"/>
    <w:rsid w:val="00AD7C1B"/>
    <w:rsid w:val="00AE16BA"/>
    <w:rsid w:val="00AE1EBE"/>
    <w:rsid w:val="00AF22B5"/>
    <w:rsid w:val="00B00F07"/>
    <w:rsid w:val="00B03737"/>
    <w:rsid w:val="00B03C9D"/>
    <w:rsid w:val="00B060AE"/>
    <w:rsid w:val="00B10517"/>
    <w:rsid w:val="00B14E76"/>
    <w:rsid w:val="00B161B8"/>
    <w:rsid w:val="00B1782F"/>
    <w:rsid w:val="00B2048C"/>
    <w:rsid w:val="00B310B9"/>
    <w:rsid w:val="00B35F3F"/>
    <w:rsid w:val="00B36CBB"/>
    <w:rsid w:val="00B425E0"/>
    <w:rsid w:val="00B440AA"/>
    <w:rsid w:val="00B44B70"/>
    <w:rsid w:val="00B53C56"/>
    <w:rsid w:val="00B72952"/>
    <w:rsid w:val="00B77EA6"/>
    <w:rsid w:val="00B81598"/>
    <w:rsid w:val="00B841B3"/>
    <w:rsid w:val="00B841F1"/>
    <w:rsid w:val="00B944D6"/>
    <w:rsid w:val="00BA0543"/>
    <w:rsid w:val="00BB4DF0"/>
    <w:rsid w:val="00BC289F"/>
    <w:rsid w:val="00BC5361"/>
    <w:rsid w:val="00BC5460"/>
    <w:rsid w:val="00BC6B50"/>
    <w:rsid w:val="00BD0E25"/>
    <w:rsid w:val="00BF07A7"/>
    <w:rsid w:val="00BF5BD6"/>
    <w:rsid w:val="00C03E31"/>
    <w:rsid w:val="00C20133"/>
    <w:rsid w:val="00C33E72"/>
    <w:rsid w:val="00C354B2"/>
    <w:rsid w:val="00C35554"/>
    <w:rsid w:val="00C42709"/>
    <w:rsid w:val="00C533CC"/>
    <w:rsid w:val="00C57216"/>
    <w:rsid w:val="00C5751C"/>
    <w:rsid w:val="00C61BFC"/>
    <w:rsid w:val="00C62B85"/>
    <w:rsid w:val="00C65438"/>
    <w:rsid w:val="00C67CC4"/>
    <w:rsid w:val="00C700D5"/>
    <w:rsid w:val="00C71A72"/>
    <w:rsid w:val="00C759C5"/>
    <w:rsid w:val="00C9082D"/>
    <w:rsid w:val="00C91CBB"/>
    <w:rsid w:val="00CB39FD"/>
    <w:rsid w:val="00CC09B6"/>
    <w:rsid w:val="00CC469E"/>
    <w:rsid w:val="00CC666F"/>
    <w:rsid w:val="00CD1E3F"/>
    <w:rsid w:val="00CE44F6"/>
    <w:rsid w:val="00CE49DA"/>
    <w:rsid w:val="00CE7B61"/>
    <w:rsid w:val="00CF2381"/>
    <w:rsid w:val="00CF3268"/>
    <w:rsid w:val="00D00095"/>
    <w:rsid w:val="00D00842"/>
    <w:rsid w:val="00D01B54"/>
    <w:rsid w:val="00D06B65"/>
    <w:rsid w:val="00D14D59"/>
    <w:rsid w:val="00D20620"/>
    <w:rsid w:val="00D26091"/>
    <w:rsid w:val="00D34E7C"/>
    <w:rsid w:val="00D35489"/>
    <w:rsid w:val="00D376DA"/>
    <w:rsid w:val="00D51276"/>
    <w:rsid w:val="00D7035F"/>
    <w:rsid w:val="00DA65AC"/>
    <w:rsid w:val="00DB1913"/>
    <w:rsid w:val="00DB276F"/>
    <w:rsid w:val="00DC410D"/>
    <w:rsid w:val="00DC68CA"/>
    <w:rsid w:val="00DC7CBA"/>
    <w:rsid w:val="00DD73B7"/>
    <w:rsid w:val="00DE27EE"/>
    <w:rsid w:val="00DF28BC"/>
    <w:rsid w:val="00DF34B9"/>
    <w:rsid w:val="00E0072E"/>
    <w:rsid w:val="00E01053"/>
    <w:rsid w:val="00E072ED"/>
    <w:rsid w:val="00E07ACF"/>
    <w:rsid w:val="00E15CD0"/>
    <w:rsid w:val="00E331A1"/>
    <w:rsid w:val="00E33202"/>
    <w:rsid w:val="00E336A9"/>
    <w:rsid w:val="00E42A00"/>
    <w:rsid w:val="00E50624"/>
    <w:rsid w:val="00E568DF"/>
    <w:rsid w:val="00E64269"/>
    <w:rsid w:val="00E75A34"/>
    <w:rsid w:val="00E82267"/>
    <w:rsid w:val="00EA010F"/>
    <w:rsid w:val="00ED1B63"/>
    <w:rsid w:val="00ED3C1F"/>
    <w:rsid w:val="00ED4085"/>
    <w:rsid w:val="00ED420E"/>
    <w:rsid w:val="00EE1D94"/>
    <w:rsid w:val="00EE2F57"/>
    <w:rsid w:val="00EE4907"/>
    <w:rsid w:val="00EE6CEB"/>
    <w:rsid w:val="00EF4C34"/>
    <w:rsid w:val="00EF75E0"/>
    <w:rsid w:val="00EF77C6"/>
    <w:rsid w:val="00F05438"/>
    <w:rsid w:val="00F1361C"/>
    <w:rsid w:val="00F160C7"/>
    <w:rsid w:val="00F26048"/>
    <w:rsid w:val="00F27C8A"/>
    <w:rsid w:val="00F31226"/>
    <w:rsid w:val="00F36D8F"/>
    <w:rsid w:val="00F417B1"/>
    <w:rsid w:val="00F602DF"/>
    <w:rsid w:val="00F81FD9"/>
    <w:rsid w:val="00F841AA"/>
    <w:rsid w:val="00F84968"/>
    <w:rsid w:val="00F969A4"/>
    <w:rsid w:val="00FA23E8"/>
    <w:rsid w:val="00FB1EE5"/>
    <w:rsid w:val="00FB5EDE"/>
    <w:rsid w:val="00FC4285"/>
    <w:rsid w:val="00FD0981"/>
    <w:rsid w:val="00FD3CC1"/>
    <w:rsid w:val="00FF1E02"/>
    <w:rsid w:val="00FF30B4"/>
    <w:rsid w:val="04805B68"/>
    <w:rsid w:val="05701E85"/>
    <w:rsid w:val="059F59CB"/>
    <w:rsid w:val="0A3A23D2"/>
    <w:rsid w:val="0C9E3D64"/>
    <w:rsid w:val="0E3F0083"/>
    <w:rsid w:val="10C055FF"/>
    <w:rsid w:val="11015646"/>
    <w:rsid w:val="11301F13"/>
    <w:rsid w:val="142236F2"/>
    <w:rsid w:val="15900FC9"/>
    <w:rsid w:val="16BB723D"/>
    <w:rsid w:val="183F1404"/>
    <w:rsid w:val="1A7B30E1"/>
    <w:rsid w:val="223E508F"/>
    <w:rsid w:val="23F96592"/>
    <w:rsid w:val="240371BF"/>
    <w:rsid w:val="2481250F"/>
    <w:rsid w:val="2500724F"/>
    <w:rsid w:val="29D23E1C"/>
    <w:rsid w:val="29FD04D3"/>
    <w:rsid w:val="2D1B7664"/>
    <w:rsid w:val="2D8E7606"/>
    <w:rsid w:val="31855644"/>
    <w:rsid w:val="319F7F4E"/>
    <w:rsid w:val="33D04F2D"/>
    <w:rsid w:val="3B256FCF"/>
    <w:rsid w:val="3CA053DA"/>
    <w:rsid w:val="3D510343"/>
    <w:rsid w:val="41816E6F"/>
    <w:rsid w:val="41A91B52"/>
    <w:rsid w:val="430E5424"/>
    <w:rsid w:val="441F712C"/>
    <w:rsid w:val="45783FC1"/>
    <w:rsid w:val="466E45D1"/>
    <w:rsid w:val="48E051FA"/>
    <w:rsid w:val="49D27AC8"/>
    <w:rsid w:val="4EA318EE"/>
    <w:rsid w:val="4F133F85"/>
    <w:rsid w:val="4FC5520B"/>
    <w:rsid w:val="540F26A3"/>
    <w:rsid w:val="54577756"/>
    <w:rsid w:val="55315813"/>
    <w:rsid w:val="5B813E75"/>
    <w:rsid w:val="65877C72"/>
    <w:rsid w:val="691B4BC0"/>
    <w:rsid w:val="6A905E82"/>
    <w:rsid w:val="6F433A51"/>
    <w:rsid w:val="75490FED"/>
    <w:rsid w:val="77164A80"/>
    <w:rsid w:val="79E666B4"/>
    <w:rsid w:val="7BF559F1"/>
    <w:rsid w:val="7EC27209"/>
    <w:rsid w:val="7F15609C"/>
    <w:rsid w:val="9F7740C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qFormat/>
    <w:uiPriority w:val="99"/>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24"/>
      <w:szCs w:val="20"/>
    </w:rPr>
  </w:style>
  <w:style w:type="paragraph" w:styleId="6">
    <w:name w:val="toc 3"/>
    <w:basedOn w:val="1"/>
    <w:next w:val="1"/>
    <w:semiHidden/>
    <w:qFormat/>
    <w:uiPriority w:val="99"/>
    <w:pPr>
      <w:tabs>
        <w:tab w:val="right" w:leader="dot" w:pos="8296"/>
      </w:tabs>
      <w:ind w:left="840" w:leftChars="400"/>
    </w:pPr>
  </w:style>
  <w:style w:type="paragraph" w:styleId="7">
    <w:name w:val="Balloon Text"/>
    <w:basedOn w:val="1"/>
    <w:link w:val="21"/>
    <w:semiHidden/>
    <w:qFormat/>
    <w:uiPriority w:val="99"/>
    <w:rPr>
      <w:sz w:val="18"/>
      <w:szCs w:val="18"/>
    </w:rPr>
  </w:style>
  <w:style w:type="paragraph" w:styleId="8">
    <w:name w:val="footer"/>
    <w:basedOn w:val="1"/>
    <w:link w:val="25"/>
    <w:qFormat/>
    <w:uiPriority w:val="99"/>
    <w:pPr>
      <w:tabs>
        <w:tab w:val="center" w:pos="4153"/>
        <w:tab w:val="right" w:pos="8306"/>
      </w:tabs>
      <w:snapToGrid w:val="0"/>
      <w:jc w:val="left"/>
    </w:pPr>
    <w:rPr>
      <w:kern w:val="0"/>
      <w:sz w:val="18"/>
      <w:szCs w:val="20"/>
    </w:rPr>
  </w:style>
  <w:style w:type="paragraph" w:styleId="9">
    <w:name w:val="header"/>
    <w:basedOn w:val="1"/>
    <w:link w:val="24"/>
    <w:semiHidden/>
    <w:qFormat/>
    <w:uiPriority w:val="99"/>
    <w:pPr>
      <w:pBdr>
        <w:bottom w:val="single" w:color="auto" w:sz="6" w:space="1"/>
      </w:pBdr>
      <w:tabs>
        <w:tab w:val="center" w:pos="4153"/>
        <w:tab w:val="right" w:pos="8306"/>
      </w:tabs>
      <w:snapToGrid w:val="0"/>
      <w:jc w:val="center"/>
    </w:pPr>
    <w:rPr>
      <w:kern w:val="0"/>
      <w:sz w:val="18"/>
      <w:szCs w:val="20"/>
    </w:rPr>
  </w:style>
  <w:style w:type="paragraph" w:styleId="10">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1">
    <w:name w:val="toc 2"/>
    <w:basedOn w:val="1"/>
    <w:next w:val="1"/>
    <w:semiHidden/>
    <w:qFormat/>
    <w:uiPriority w:val="99"/>
    <w:pPr>
      <w:tabs>
        <w:tab w:val="right" w:leader="dot" w:pos="8296"/>
      </w:tabs>
      <w:ind w:left="420" w:leftChars="200"/>
    </w:pPr>
  </w:style>
  <w:style w:type="paragraph" w:styleId="12">
    <w:name w:val="Normal (Web)"/>
    <w:basedOn w:val="1"/>
    <w:qFormat/>
    <w:locked/>
    <w:uiPriority w:val="99"/>
    <w:pPr>
      <w:widowControl/>
      <w:spacing w:before="100" w:beforeAutospacing="1" w:after="100" w:afterAutospacing="1"/>
      <w:jc w:val="left"/>
    </w:pPr>
    <w:rPr>
      <w:rFonts w:ascii="宋体" w:hAnsi="宋体" w:cs="宋体"/>
      <w:kern w:val="0"/>
      <w:sz w:val="24"/>
      <w:szCs w:val="24"/>
    </w:rPr>
  </w:style>
  <w:style w:type="character" w:styleId="15">
    <w:name w:val="Strong"/>
    <w:basedOn w:val="14"/>
    <w:qFormat/>
    <w:uiPriority w:val="99"/>
    <w:rPr>
      <w:rFonts w:cs="Times New Roman"/>
      <w:b/>
      <w:bCs/>
    </w:rPr>
  </w:style>
  <w:style w:type="character" w:styleId="16">
    <w:name w:val="Hyperlink"/>
    <w:basedOn w:val="14"/>
    <w:qFormat/>
    <w:uiPriority w:val="99"/>
    <w:rPr>
      <w:rFonts w:cs="Times New Roman"/>
      <w:color w:val="0000FF"/>
      <w:u w:val="single"/>
    </w:rPr>
  </w:style>
  <w:style w:type="character" w:customStyle="1" w:styleId="17">
    <w:name w:val="Heading 1 Char"/>
    <w:basedOn w:val="14"/>
    <w:link w:val="2"/>
    <w:qFormat/>
    <w:locked/>
    <w:uiPriority w:val="99"/>
    <w:rPr>
      <w:rFonts w:ascii="Times New Roman" w:hAnsi="Times New Roman" w:cs="Times New Roman"/>
      <w:b/>
      <w:bCs/>
      <w:kern w:val="44"/>
      <w:sz w:val="44"/>
      <w:szCs w:val="44"/>
    </w:rPr>
  </w:style>
  <w:style w:type="character" w:customStyle="1" w:styleId="18">
    <w:name w:val="Heading 2 Char"/>
    <w:basedOn w:val="14"/>
    <w:link w:val="3"/>
    <w:qFormat/>
    <w:locked/>
    <w:uiPriority w:val="99"/>
    <w:rPr>
      <w:rFonts w:ascii="Cambria" w:hAnsi="Cambria" w:eastAsia="宋体" w:cs="Cambria"/>
      <w:b/>
      <w:bCs/>
      <w:kern w:val="2"/>
      <w:sz w:val="32"/>
      <w:szCs w:val="32"/>
    </w:rPr>
  </w:style>
  <w:style w:type="character" w:customStyle="1" w:styleId="19">
    <w:name w:val="Heading 3 Char"/>
    <w:basedOn w:val="14"/>
    <w:link w:val="4"/>
    <w:qFormat/>
    <w:locked/>
    <w:uiPriority w:val="99"/>
    <w:rPr>
      <w:rFonts w:ascii="Times New Roman" w:hAnsi="Times New Roman" w:cs="Times New Roman"/>
      <w:b/>
      <w:bCs/>
      <w:kern w:val="2"/>
      <w:sz w:val="32"/>
      <w:szCs w:val="32"/>
    </w:rPr>
  </w:style>
  <w:style w:type="character" w:customStyle="1" w:styleId="20">
    <w:name w:val="Body Text Char"/>
    <w:basedOn w:val="14"/>
    <w:link w:val="5"/>
    <w:semiHidden/>
    <w:qFormat/>
    <w:locked/>
    <w:uiPriority w:val="99"/>
    <w:rPr>
      <w:rFonts w:ascii="Times New Roman" w:hAnsi="Times New Roman" w:cs="Times New Roman"/>
      <w:sz w:val="24"/>
      <w:szCs w:val="24"/>
    </w:rPr>
  </w:style>
  <w:style w:type="character" w:customStyle="1" w:styleId="21">
    <w:name w:val="Balloon Text Char"/>
    <w:basedOn w:val="14"/>
    <w:link w:val="7"/>
    <w:semiHidden/>
    <w:qFormat/>
    <w:locked/>
    <w:uiPriority w:val="99"/>
    <w:rPr>
      <w:rFonts w:ascii="Times New Roman" w:hAnsi="Times New Roman" w:cs="Times New Roman"/>
      <w:kern w:val="2"/>
      <w:sz w:val="18"/>
      <w:szCs w:val="18"/>
    </w:rPr>
  </w:style>
  <w:style w:type="character" w:customStyle="1" w:styleId="22">
    <w:name w:val="Footer Char"/>
    <w:basedOn w:val="14"/>
    <w:link w:val="8"/>
    <w:semiHidden/>
    <w:qFormat/>
    <w:locked/>
    <w:uiPriority w:val="99"/>
    <w:rPr>
      <w:rFonts w:ascii="Times New Roman" w:hAnsi="Times New Roman" w:cs="Times New Roman"/>
      <w:sz w:val="18"/>
      <w:szCs w:val="18"/>
    </w:rPr>
  </w:style>
  <w:style w:type="character" w:customStyle="1" w:styleId="23">
    <w:name w:val="Header Char"/>
    <w:basedOn w:val="14"/>
    <w:link w:val="9"/>
    <w:semiHidden/>
    <w:qFormat/>
    <w:locked/>
    <w:uiPriority w:val="99"/>
    <w:rPr>
      <w:rFonts w:ascii="Times New Roman" w:hAnsi="Times New Roman" w:cs="Times New Roman"/>
      <w:sz w:val="18"/>
      <w:szCs w:val="18"/>
    </w:rPr>
  </w:style>
  <w:style w:type="character" w:customStyle="1" w:styleId="24">
    <w:name w:val="Header Char1"/>
    <w:link w:val="9"/>
    <w:semiHidden/>
    <w:qFormat/>
    <w:locked/>
    <w:uiPriority w:val="99"/>
    <w:rPr>
      <w:sz w:val="18"/>
    </w:rPr>
  </w:style>
  <w:style w:type="character" w:customStyle="1" w:styleId="25">
    <w:name w:val="Footer Char1"/>
    <w:link w:val="8"/>
    <w:qFormat/>
    <w:locked/>
    <w:uiPriority w:val="99"/>
    <w:rPr>
      <w:sz w:val="18"/>
    </w:rPr>
  </w:style>
  <w:style w:type="character" w:customStyle="1" w:styleId="26">
    <w:name w:val="Body Text Char1"/>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Heading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四川省财政厅</Company>
  <Pages>30</Pages>
  <Words>2088</Words>
  <Characters>11905</Characters>
  <Lines>0</Lines>
  <Paragraphs>0</Paragraphs>
  <TotalTime>16</TotalTime>
  <ScaleCrop>false</ScaleCrop>
  <LinksUpToDate>false</LinksUpToDate>
  <CharactersWithSpaces>0</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2019-09-24T16:55:00Z</dcterms:created>
  <dc:creator>张彬茜</dc:creator>
  <cp:lastModifiedBy>user</cp:lastModifiedBy>
  <cp:lastPrinted>2019-09-20T15:44:00Z</cp:lastPrinted>
  <dcterms:modified xsi:type="dcterms:W3CDTF">2023-07-13T19:34:10Z</dcterms:modified>
  <dc:title>四川省***</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C6B48C541585A18932E1AF6439C3F715</vt:lpwstr>
  </property>
</Properties>
</file>