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77425"/>
      <w:bookmarkStart w:id="4" w:name="_Toc15377193"/>
      <w:bookmarkStart w:id="5" w:name="_Toc15396597"/>
      <w:r>
        <w:rPr>
          <w:rFonts w:ascii="方正小标宋简体" w:hAnsi="方正小标宋简体" w:eastAsia="方正小标宋简体" w:cs="方正小标宋简体"/>
          <w:color w:val="000000"/>
          <w:sz w:val="44"/>
          <w:szCs w:val="44"/>
        </w:rPr>
        <w:t>2019</w:t>
      </w:r>
      <w:r>
        <w:rPr>
          <w:rFonts w:hint="eastAsia" w:ascii="方正小标宋简体" w:hAnsi="方正小标宋简体" w:eastAsia="方正小标宋简体" w:cs="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77426"/>
      <w:bookmarkStart w:id="7" w:name="_Toc15377194"/>
      <w:bookmarkStart w:id="8" w:name="_Toc15396476"/>
      <w:bookmarkStart w:id="9" w:name="_Toc15378442"/>
      <w:bookmarkStart w:id="10" w:name="_Toc15396598"/>
      <w:r>
        <w:rPr>
          <w:rFonts w:hint="eastAsia" w:ascii="方正小标宋简体" w:hAnsi="宋体" w:eastAsia="方正小标宋简体"/>
          <w:color w:val="000000"/>
          <w:sz w:val="44"/>
          <w:szCs w:val="44"/>
        </w:rPr>
        <w:t>四川省</w:t>
      </w:r>
      <w:bookmarkEnd w:id="0"/>
      <w:bookmarkStart w:id="11" w:name="_Toc15306268"/>
      <w:r>
        <w:rPr>
          <w:rFonts w:hint="eastAsia" w:ascii="方正小标宋简体" w:hAnsi="宋体" w:eastAsia="方正小标宋简体"/>
          <w:color w:val="000000"/>
          <w:sz w:val="44"/>
          <w:szCs w:val="44"/>
        </w:rPr>
        <w:t>茂县粮食和物资储备中心部门决算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both"/>
        <w:outlineLvl w:val="0"/>
        <w:rPr>
          <w:rFonts w:ascii="方正小标宋简体" w:hAnsi="宋体" w:eastAsia="方正小标宋简体"/>
          <w:color w:val="000000"/>
          <w:sz w:val="36"/>
          <w:szCs w:val="36"/>
        </w:rPr>
      </w:pPr>
    </w:p>
    <w:p>
      <w:pPr>
        <w:adjustRightInd w:val="0"/>
        <w:snapToGrid w:val="0"/>
        <w:spacing w:line="360" w:lineRule="auto"/>
        <w:jc w:val="both"/>
        <w:outlineLvl w:val="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保密审查情况：</w:t>
      </w:r>
    </w:p>
    <w:p>
      <w:pPr>
        <w:adjustRightInd w:val="0"/>
        <w:snapToGrid w:val="0"/>
        <w:spacing w:line="360" w:lineRule="auto"/>
        <w:jc w:val="center"/>
        <w:outlineLvl w:val="0"/>
        <w:rPr>
          <w:rFonts w:ascii="黑体" w:hAnsi="黑体" w:eastAsia="黑体"/>
          <w:color w:val="000000"/>
          <w:sz w:val="48"/>
          <w:szCs w:val="48"/>
        </w:rPr>
      </w:pPr>
      <w:r>
        <w:rPr>
          <w:rFonts w:hint="eastAsia" w:ascii="黑体" w:hAnsi="黑体" w:eastAsia="黑体" w:cs="黑体"/>
          <w:color w:val="000000"/>
          <w:sz w:val="32"/>
          <w:szCs w:val="32"/>
          <w:lang w:eastAsia="zh-CN"/>
        </w:rPr>
        <w:t>部门主要负责人审签情况：</w:t>
      </w:r>
      <w:r>
        <w:rPr>
          <w:rFonts w:hint="eastAsia" w:ascii="黑体" w:hAnsi="黑体" w:eastAsia="黑体" w:cs="黑体"/>
          <w:color w:val="000000"/>
          <w:sz w:val="32"/>
          <w:szCs w:val="32"/>
        </w:rPr>
        <w:br w:type="page"/>
      </w:r>
      <w:r>
        <w:rPr>
          <w:rFonts w:hint="eastAsia" w:ascii="方正小标宋简体" w:hAnsi="方正小标宋简体" w:eastAsia="方正小标宋简体" w:cs="方正小标宋简体"/>
          <w:color w:val="000000"/>
          <w:sz w:val="44"/>
          <w:szCs w:val="44"/>
        </w:rPr>
        <w:t>目</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录</w:t>
      </w:r>
    </w:p>
    <w:p>
      <w:pPr>
        <w:widowControl/>
        <w:jc w:val="center"/>
        <w:rPr>
          <w:rFonts w:ascii="仿宋_GB2312" w:hAnsi="仿宋_GB2312" w:eastAsia="仿宋_GB2312" w:cs="仿宋_GB2312"/>
          <w:sz w:val="32"/>
          <w:szCs w:val="32"/>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8"/>
        <w:rPr>
          <w:rFonts w:ascii="仿宋_GB2312" w:hAnsi="仿宋_GB2312" w:eastAsia="仿宋_GB2312" w:cs="仿宋_GB2312"/>
          <w:sz w:val="32"/>
          <w:szCs w:val="32"/>
        </w:rPr>
      </w:pPr>
      <w:r>
        <w:fldChar w:fldCharType="begin"/>
      </w:r>
      <w:r>
        <w:instrText xml:space="preserve"> HYPERLINK \l "_Toc15396599" </w:instrText>
      </w:r>
      <w:r>
        <w:fldChar w:fldCharType="separate"/>
      </w:r>
      <w:r>
        <w:rPr>
          <w:rStyle w:val="17"/>
          <w:rFonts w:hint="eastAsia" w:ascii="仿宋_GB2312" w:hAnsi="仿宋_GB2312" w:eastAsia="仿宋_GB2312" w:cs="仿宋_GB2312"/>
          <w:sz w:val="32"/>
          <w:szCs w:val="32"/>
        </w:rPr>
        <w:t>第一部分</w:t>
      </w:r>
      <w:r>
        <w:rPr>
          <w:rStyle w:val="17"/>
          <w:rFonts w:hint="eastAsia" w:ascii="仿宋_GB2312" w:hAnsi="仿宋_GB2312" w:eastAsia="仿宋_GB2312" w:cs="仿宋_GB2312"/>
          <w:sz w:val="32"/>
          <w:szCs w:val="32"/>
          <w:lang w:val="en-US" w:eastAsia="zh-CN"/>
        </w:rPr>
        <w:t xml:space="preserve">  </w:t>
      </w:r>
      <w:r>
        <w:rPr>
          <w:rStyle w:val="17"/>
          <w:rFonts w:hint="eastAsia" w:ascii="仿宋_GB2312" w:hAnsi="仿宋_GB2312" w:eastAsia="仿宋_GB2312" w:cs="仿宋_GB2312"/>
          <w:sz w:val="32"/>
          <w:szCs w:val="32"/>
        </w:rPr>
        <w:t>部门概况</w:t>
      </w:r>
      <w:r>
        <w:rPr>
          <w:rFonts w:ascii="仿宋_GB2312" w:hAnsi="仿宋_GB2312" w:eastAsia="仿宋_GB2312" w:cs="仿宋_GB2312"/>
          <w:sz w:val="32"/>
          <w:szCs w:val="32"/>
        </w:rPr>
        <w:tab/>
      </w:r>
      <w:r>
        <w:rPr>
          <w:rFonts w:ascii="仿宋_GB2312" w:hAnsi="仿宋_GB2312" w:eastAsia="仿宋_GB2312" w:cs="仿宋_GB2312"/>
          <w:sz w:val="32"/>
          <w:szCs w:val="32"/>
        </w:rPr>
        <w:t>1</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"_Toc15396600" </w:instrText>
      </w:r>
      <w:r>
        <w:fldChar w:fldCharType="separate"/>
      </w:r>
      <w:r>
        <w:rPr>
          <w:rStyle w:val="17"/>
          <w:rFonts w:hint="eastAsia" w:ascii="仿宋_GB2312" w:hAnsi="仿宋_GB2312" w:eastAsia="仿宋_GB2312" w:cs="仿宋_GB2312"/>
          <w:sz w:val="32"/>
          <w:szCs w:val="32"/>
        </w:rPr>
        <w:t>一、基本职能及主要工作</w:t>
      </w:r>
      <w:r>
        <w:rPr>
          <w:rFonts w:ascii="仿宋_GB2312" w:hAnsi="仿宋_GB2312" w:eastAsia="仿宋_GB2312" w:cs="仿宋_GB2312"/>
          <w:sz w:val="32"/>
          <w:szCs w:val="32"/>
        </w:rPr>
        <w:tab/>
      </w:r>
      <w:r>
        <w:rPr>
          <w:rFonts w:ascii="仿宋_GB2312" w:hAnsi="仿宋_GB2312" w:eastAsia="仿宋_GB2312" w:cs="仿宋_GB2312"/>
          <w:sz w:val="32"/>
          <w:szCs w:val="32"/>
        </w:rPr>
        <w:t xml:space="preserve"> 1</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"_Toc15396601" </w:instrText>
      </w:r>
      <w:r>
        <w:fldChar w:fldCharType="separate"/>
      </w:r>
      <w:r>
        <w:rPr>
          <w:rStyle w:val="17"/>
          <w:rFonts w:hint="eastAsia" w:ascii="仿宋_GB2312" w:hAnsi="仿宋_GB2312" w:eastAsia="仿宋_GB2312" w:cs="仿宋_GB2312"/>
          <w:sz w:val="32"/>
          <w:szCs w:val="32"/>
        </w:rPr>
        <w:t>二、机构设置</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p>
    <w:p>
      <w:pPr>
        <w:pStyle w:val="8"/>
        <w:rPr>
          <w:rFonts w:ascii="仿宋_GB2312" w:hAnsi="仿宋_GB2312" w:eastAsia="仿宋_GB2312" w:cs="仿宋_GB2312"/>
          <w:sz w:val="32"/>
          <w:szCs w:val="32"/>
        </w:rPr>
      </w:pPr>
      <w:r>
        <w:fldChar w:fldCharType="begin"/>
      </w:r>
      <w:r>
        <w:instrText xml:space="preserve"> HYPERLINK \l "_Toc15396602" </w:instrText>
      </w:r>
      <w:r>
        <w:fldChar w:fldCharType="separate"/>
      </w:r>
      <w:r>
        <w:rPr>
          <w:rStyle w:val="17"/>
          <w:rFonts w:hint="eastAsia" w:ascii="仿宋_GB2312" w:hAnsi="仿宋_GB2312" w:eastAsia="仿宋_GB2312" w:cs="仿宋_GB2312"/>
          <w:sz w:val="32"/>
          <w:szCs w:val="32"/>
        </w:rPr>
        <w:t>第二部分</w:t>
      </w:r>
      <w:r>
        <w:rPr>
          <w:rStyle w:val="17"/>
          <w:rFonts w:ascii="仿宋_GB2312" w:hAnsi="仿宋_GB2312" w:eastAsia="仿宋_GB2312" w:cs="仿宋_GB2312"/>
          <w:sz w:val="32"/>
          <w:szCs w:val="32"/>
        </w:rPr>
        <w:t xml:space="preserve"> 2019</w:t>
      </w:r>
      <w:r>
        <w:rPr>
          <w:rStyle w:val="17"/>
          <w:rFonts w:hint="eastAsia" w:ascii="仿宋_GB2312" w:hAnsi="仿宋_GB2312" w:eastAsia="仿宋_GB2312" w:cs="仿宋_GB2312"/>
          <w:sz w:val="32"/>
          <w:szCs w:val="32"/>
        </w:rPr>
        <w:t>年度部门决算情况说明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t>4</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"_Toc15396603" </w:instrText>
      </w:r>
      <w:r>
        <w:fldChar w:fldCharType="separate"/>
      </w:r>
      <w:r>
        <w:rPr>
          <w:rStyle w:val="17"/>
          <w:rFonts w:hint="eastAsia" w:ascii="仿宋_GB2312" w:hAnsi="仿宋_GB2312" w:eastAsia="仿宋_GB2312" w:cs="仿宋_GB2312"/>
          <w:bCs/>
          <w:sz w:val="32"/>
          <w:szCs w:val="32"/>
        </w:rPr>
        <w:t>一、</w:t>
      </w:r>
      <w:r>
        <w:rPr>
          <w:rStyle w:val="17"/>
          <w:rFonts w:hint="eastAsia" w:ascii="仿宋_GB2312" w:hAnsi="仿宋_GB2312" w:eastAsia="仿宋_GB2312" w:cs="仿宋_GB2312"/>
          <w:sz w:val="32"/>
          <w:szCs w:val="32"/>
        </w:rPr>
        <w:t>收</w:t>
      </w:r>
      <w:r>
        <w:rPr>
          <w:rStyle w:val="17"/>
          <w:rFonts w:hint="eastAsia" w:ascii="仿宋_GB2312" w:hAnsi="仿宋_GB2312" w:eastAsia="仿宋_GB2312" w:cs="仿宋_GB2312"/>
          <w:bCs/>
          <w:sz w:val="32"/>
          <w:szCs w:val="32"/>
        </w:rPr>
        <w:t>入支出决算总体情况说明</w:t>
      </w:r>
      <w:r>
        <w:rPr>
          <w:rFonts w:ascii="仿宋_GB2312" w:hAnsi="仿宋_GB2312" w:eastAsia="仿宋_GB2312" w:cs="仿宋_GB2312"/>
          <w:sz w:val="32"/>
          <w:szCs w:val="32"/>
        </w:rPr>
        <w:tab/>
      </w:r>
      <w:r>
        <w:rPr>
          <w:rFonts w:ascii="仿宋_GB2312" w:hAnsi="仿宋_GB2312" w:eastAsia="仿宋_GB2312" w:cs="仿宋_GB2312"/>
          <w:sz w:val="32"/>
          <w:szCs w:val="32"/>
        </w:rPr>
        <w:t>4</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"_Toc15396604" </w:instrText>
      </w:r>
      <w:r>
        <w:fldChar w:fldCharType="separate"/>
      </w:r>
      <w:r>
        <w:rPr>
          <w:rStyle w:val="17"/>
          <w:rFonts w:hint="eastAsia" w:ascii="仿宋_GB2312" w:hAnsi="仿宋_GB2312" w:eastAsia="仿宋_GB2312" w:cs="仿宋_GB2312"/>
          <w:bCs/>
          <w:sz w:val="32"/>
          <w:szCs w:val="32"/>
        </w:rPr>
        <w:t>二、</w:t>
      </w:r>
      <w:r>
        <w:rPr>
          <w:rStyle w:val="17"/>
          <w:rFonts w:hint="eastAsia" w:ascii="仿宋_GB2312" w:hAnsi="仿宋_GB2312" w:eastAsia="仿宋_GB2312" w:cs="仿宋_GB2312"/>
          <w:sz w:val="32"/>
          <w:szCs w:val="32"/>
        </w:rPr>
        <w:t>收</w:t>
      </w:r>
      <w:r>
        <w:rPr>
          <w:rStyle w:val="17"/>
          <w:rFonts w:hint="eastAsia" w:ascii="仿宋_GB2312" w:hAnsi="仿宋_GB2312" w:eastAsia="仿宋_GB2312" w:cs="仿宋_GB2312"/>
          <w:bCs/>
          <w:sz w:val="32"/>
          <w:szCs w:val="32"/>
        </w:rPr>
        <w:t>入决算情况说明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t>4</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"_Toc15396605" </w:instrText>
      </w:r>
      <w:r>
        <w:fldChar w:fldCharType="separate"/>
      </w:r>
      <w:r>
        <w:rPr>
          <w:rStyle w:val="17"/>
          <w:rFonts w:hint="eastAsia" w:ascii="仿宋_GB2312" w:hAnsi="仿宋_GB2312" w:eastAsia="仿宋_GB2312" w:cs="仿宋_GB2312"/>
          <w:bCs/>
          <w:sz w:val="32"/>
          <w:szCs w:val="32"/>
        </w:rPr>
        <w:t>三、</w:t>
      </w:r>
      <w:r>
        <w:rPr>
          <w:rStyle w:val="17"/>
          <w:rFonts w:hint="eastAsia" w:ascii="仿宋_GB2312" w:hAnsi="仿宋_GB2312" w:eastAsia="仿宋_GB2312" w:cs="仿宋_GB2312"/>
          <w:sz w:val="32"/>
          <w:szCs w:val="32"/>
        </w:rPr>
        <w:t>支</w:t>
      </w:r>
      <w:r>
        <w:rPr>
          <w:rStyle w:val="17"/>
          <w:rFonts w:hint="eastAsia" w:ascii="仿宋_GB2312" w:hAnsi="仿宋_GB2312" w:eastAsia="仿宋_GB2312" w:cs="仿宋_GB2312"/>
          <w:bCs/>
          <w:sz w:val="32"/>
          <w:szCs w:val="32"/>
        </w:rPr>
        <w:t>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_Toc15396605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5</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"_Toc15396606" </w:instrText>
      </w:r>
      <w:r>
        <w:fldChar w:fldCharType="separate"/>
      </w:r>
      <w:r>
        <w:rPr>
          <w:rStyle w:val="17"/>
          <w:rFonts w:hint="eastAsia" w:ascii="仿宋_GB2312" w:hAnsi="仿宋_GB2312" w:eastAsia="仿宋_GB2312" w:cs="仿宋_GB2312"/>
          <w:sz w:val="32"/>
          <w:szCs w:val="32"/>
        </w:rPr>
        <w:t>四、财</w:t>
      </w:r>
      <w:r>
        <w:rPr>
          <w:rStyle w:val="17"/>
          <w:rFonts w:hint="eastAsia" w:ascii="仿宋_GB2312" w:hAnsi="仿宋_GB2312" w:eastAsia="仿宋_GB2312" w:cs="仿宋_GB2312"/>
          <w:bCs/>
          <w:sz w:val="32"/>
          <w:szCs w:val="32"/>
        </w:rPr>
        <w:t>政拨款收入支出决算总体情况说明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_Toc15396606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6</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"_Toc15396607" </w:instrText>
      </w:r>
      <w:r>
        <w:fldChar w:fldCharType="separate"/>
      </w:r>
      <w:r>
        <w:rPr>
          <w:rStyle w:val="17"/>
          <w:rFonts w:hint="eastAsia" w:ascii="仿宋_GB2312" w:hAnsi="仿宋_GB2312" w:eastAsia="仿宋_GB2312" w:cs="仿宋_GB2312"/>
          <w:sz w:val="32"/>
          <w:szCs w:val="32"/>
        </w:rPr>
        <w:t>五、一</w:t>
      </w:r>
      <w:r>
        <w:rPr>
          <w:rStyle w:val="17"/>
          <w:rFonts w:hint="eastAsia" w:ascii="仿宋_GB2312" w:hAnsi="仿宋_GB2312" w:eastAsia="仿宋_GB2312" w:cs="仿宋_GB2312"/>
          <w:bCs/>
          <w:sz w:val="32"/>
          <w:szCs w:val="32"/>
        </w:rPr>
        <w:t>般公共预算财政拨款支出决算情况说明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t>6</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"_Toc15396608" </w:instrText>
      </w:r>
      <w:r>
        <w:fldChar w:fldCharType="separate"/>
      </w:r>
      <w:r>
        <w:rPr>
          <w:rStyle w:val="17"/>
          <w:rFonts w:hint="eastAsia" w:ascii="仿宋_GB2312" w:hAnsi="仿宋_GB2312" w:eastAsia="仿宋_GB2312" w:cs="仿宋_GB2312"/>
          <w:sz w:val="32"/>
          <w:szCs w:val="32"/>
        </w:rPr>
        <w:t>六、一</w:t>
      </w:r>
      <w:r>
        <w:rPr>
          <w:rStyle w:val="17"/>
          <w:rFonts w:hint="eastAsia" w:ascii="仿宋_GB2312" w:hAnsi="仿宋_GB2312" w:eastAsia="仿宋_GB2312" w:cs="仿宋_GB2312"/>
          <w:bCs/>
          <w:sz w:val="32"/>
          <w:szCs w:val="32"/>
        </w:rPr>
        <w:t>般公共预算财政拨款基本支出决算情况说明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t>7</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"_Toc15396609" </w:instrText>
      </w:r>
      <w:r>
        <w:fldChar w:fldCharType="separate"/>
      </w:r>
      <w:r>
        <w:rPr>
          <w:rStyle w:val="17"/>
          <w:rFonts w:hint="eastAsia" w:ascii="仿宋_GB2312" w:hAnsi="仿宋_GB2312" w:eastAsia="仿宋_GB2312" w:cs="仿宋_GB2312"/>
          <w:sz w:val="32"/>
          <w:szCs w:val="32"/>
        </w:rPr>
        <w:t>七、“</w:t>
      </w:r>
      <w:r>
        <w:rPr>
          <w:rStyle w:val="17"/>
          <w:rFonts w:hint="eastAsia" w:ascii="仿宋_GB2312" w:hAnsi="仿宋_GB2312" w:eastAsia="仿宋_GB2312" w:cs="仿宋_GB2312"/>
          <w:bCs/>
          <w:sz w:val="32"/>
          <w:szCs w:val="32"/>
        </w:rPr>
        <w:t>三公”经费财政拨款支出决算情况说明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_Toc15396609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9</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"_Toc15396610" </w:instrText>
      </w:r>
      <w:r>
        <w:fldChar w:fldCharType="separate"/>
      </w:r>
      <w:r>
        <w:rPr>
          <w:rStyle w:val="17"/>
          <w:rFonts w:hint="eastAsia" w:ascii="仿宋_GB2312" w:hAnsi="仿宋_GB2312" w:eastAsia="仿宋_GB2312" w:cs="仿宋_GB2312"/>
          <w:sz w:val="32"/>
          <w:szCs w:val="32"/>
        </w:rPr>
        <w:t>八、</w:t>
      </w:r>
      <w:r>
        <w:rPr>
          <w:rStyle w:val="17"/>
          <w:rFonts w:hint="eastAsia" w:ascii="仿宋_GB2312" w:hAnsi="仿宋_GB2312" w:eastAsia="仿宋_GB2312" w:cs="仿宋_GB2312"/>
          <w:bCs/>
          <w:sz w:val="32"/>
          <w:szCs w:val="32"/>
        </w:rPr>
        <w:t>政府性基金预算支出决算情况说明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_Toc15396610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10</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7"/>
          <w:rFonts w:hint="eastAsia" w:ascii="仿宋_GB2312" w:hAnsi="仿宋_GB2312" w:eastAsia="仿宋_GB2312" w:cs="仿宋_GB2312"/>
          <w:bCs/>
          <w:sz w:val="32"/>
          <w:szCs w:val="32"/>
        </w:rPr>
        <w:t>九、</w:t>
      </w:r>
      <w:r>
        <w:rPr>
          <w:rStyle w:val="17"/>
          <w:rFonts w:hint="eastAsia" w:ascii="仿宋_GB2312" w:hAnsi="仿宋_GB2312" w:eastAsia="仿宋_GB2312" w:cs="仿宋_GB2312"/>
          <w:sz w:val="32"/>
          <w:szCs w:val="32"/>
        </w:rPr>
        <w:t>国</w:t>
      </w:r>
      <w:r>
        <w:rPr>
          <w:rStyle w:val="17"/>
          <w:rFonts w:hint="eastAsia" w:ascii="仿宋_GB2312" w:hAnsi="仿宋_GB2312" w:eastAsia="仿宋_GB2312" w:cs="仿宋_GB2312"/>
          <w:bCs/>
          <w:sz w:val="32"/>
          <w:szCs w:val="32"/>
        </w:rPr>
        <w:t>有资本经营预算支出决算情况说明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_Toc15396611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10</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pPr>
      <w:r>
        <w:fldChar w:fldCharType="begin"/>
      </w:r>
      <w:r>
        <w:instrText xml:space="preserve"> HYPERLINK \l "_Toc15396611" </w:instrText>
      </w:r>
      <w:r>
        <w:fldChar w:fldCharType="separate"/>
      </w:r>
      <w:r>
        <w:rPr>
          <w:rStyle w:val="17"/>
          <w:rFonts w:hint="eastAsia" w:ascii="仿宋_GB2312" w:hAnsi="仿宋_GB2312" w:eastAsia="仿宋_GB2312" w:cs="仿宋_GB2312"/>
          <w:bCs/>
          <w:sz w:val="32"/>
          <w:szCs w:val="32"/>
        </w:rPr>
        <w:t>十、</w:t>
      </w:r>
      <w:r>
        <w:rPr>
          <w:rStyle w:val="17"/>
          <w:rFonts w:hint="eastAsia" w:ascii="仿宋_GB2312" w:hAnsi="仿宋_GB2312" w:eastAsia="仿宋_GB2312" w:cs="仿宋_GB2312"/>
          <w:sz w:val="32"/>
          <w:szCs w:val="32"/>
        </w:rPr>
        <w:t>预算绩效</w:t>
      </w:r>
      <w:r>
        <w:rPr>
          <w:rStyle w:val="17"/>
          <w:rFonts w:hint="eastAsia" w:ascii="仿宋_GB2312" w:hAnsi="仿宋_GB2312" w:eastAsia="仿宋_GB2312" w:cs="仿宋_GB2312"/>
          <w:bCs/>
          <w:sz w:val="32"/>
          <w:szCs w:val="32"/>
        </w:rPr>
        <w:t>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_Toc15396611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10</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fldChar w:fldCharType="begin"/>
      </w:r>
      <w:r>
        <w:instrText xml:space="preserve"> HYPERLINK \l "_Toc15396612" </w:instrText>
      </w:r>
      <w:r>
        <w:fldChar w:fldCharType="separate"/>
      </w:r>
      <w:r>
        <w:rPr>
          <w:rStyle w:val="17"/>
          <w:rFonts w:hint="eastAsia" w:ascii="仿宋_GB2312" w:hAnsi="仿宋_GB2312" w:eastAsia="仿宋_GB2312" w:cs="仿宋_GB2312"/>
          <w:sz w:val="32"/>
          <w:szCs w:val="32"/>
        </w:rPr>
        <w:t>十</w:t>
      </w:r>
      <w:r>
        <w:rPr>
          <w:rStyle w:val="17"/>
          <w:rFonts w:hint="eastAsia" w:ascii="仿宋_GB2312" w:hAnsi="仿宋_GB2312" w:eastAsia="仿宋_GB2312" w:cs="仿宋_GB2312"/>
          <w:bCs/>
          <w:sz w:val="32"/>
          <w:szCs w:val="32"/>
        </w:rPr>
        <w:t>一、其他重要事项的情况说明</w:t>
      </w:r>
      <w:r>
        <w:rPr>
          <w:rFonts w:ascii="仿宋_GB2312" w:hAnsi="仿宋_GB2312" w:eastAsia="仿宋_GB2312" w:cs="仿宋_GB2312"/>
          <w:sz w:val="32"/>
          <w:szCs w:val="32"/>
        </w:rPr>
        <w:tab/>
      </w:r>
      <w:r>
        <w:rPr>
          <w:rFonts w:ascii="仿宋_GB2312" w:hAnsi="仿宋_GB2312" w:eastAsia="仿宋_GB2312" w:cs="仿宋_GB2312"/>
          <w:sz w:val="32"/>
          <w:szCs w:val="32"/>
        </w:rPr>
        <w:t>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3</w:t>
      </w:r>
    </w:p>
    <w:p>
      <w:pPr>
        <w:pStyle w:val="8"/>
        <w:rPr>
          <w:rFonts w:ascii="仿宋_GB2312" w:hAnsi="仿宋_GB2312" w:eastAsia="仿宋_GB2312" w:cs="仿宋_GB2312"/>
          <w:sz w:val="32"/>
          <w:szCs w:val="32"/>
        </w:rPr>
      </w:pPr>
      <w:r>
        <w:fldChar w:fldCharType="begin"/>
      </w:r>
      <w:r>
        <w:instrText xml:space="preserve"> HYPERLINK \l "_Toc15396613" </w:instrText>
      </w:r>
      <w:r>
        <w:fldChar w:fldCharType="separate"/>
      </w:r>
      <w:r>
        <w:rPr>
          <w:rStyle w:val="17"/>
          <w:rFonts w:hint="eastAsia" w:ascii="仿宋_GB2312" w:hAnsi="仿宋_GB2312" w:eastAsia="仿宋_GB2312" w:cs="仿宋_GB2312"/>
          <w:bCs/>
          <w:kern w:val="44"/>
          <w:sz w:val="32"/>
          <w:szCs w:val="32"/>
        </w:rPr>
        <w:t>第三部分</w:t>
      </w:r>
      <w:r>
        <w:rPr>
          <w:rStyle w:val="17"/>
          <w:rFonts w:hint="eastAsia" w:ascii="仿宋_GB2312" w:hAnsi="仿宋_GB2312" w:eastAsia="仿宋_GB2312" w:cs="仿宋_GB2312"/>
          <w:bCs/>
          <w:kern w:val="44"/>
          <w:sz w:val="32"/>
          <w:szCs w:val="32"/>
          <w:lang w:val="en-US" w:eastAsia="zh-CN"/>
        </w:rPr>
        <w:t xml:space="preserve">  </w:t>
      </w:r>
      <w:r>
        <w:rPr>
          <w:rStyle w:val="17"/>
          <w:rFonts w:hint="eastAsia" w:ascii="仿宋_GB2312" w:hAnsi="仿宋_GB2312" w:eastAsia="仿宋_GB2312" w:cs="仿宋_GB2312"/>
          <w:sz w:val="32"/>
          <w:szCs w:val="32"/>
        </w:rPr>
        <w:t>名</w:t>
      </w:r>
      <w:r>
        <w:rPr>
          <w:rStyle w:val="17"/>
          <w:rFonts w:hint="eastAsia" w:ascii="仿宋_GB2312" w:hAnsi="仿宋_GB2312" w:eastAsia="仿宋_GB2312" w:cs="仿宋_GB2312"/>
          <w:bCs/>
          <w:kern w:val="44"/>
          <w:sz w:val="32"/>
          <w:szCs w:val="32"/>
        </w:rPr>
        <w:t>词解释</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_Toc15396613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15</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rPr>
          <w:rFonts w:ascii="仿宋_GB2312" w:hAnsi="仿宋_GB2312" w:eastAsia="仿宋_GB2312" w:cs="仿宋_GB2312"/>
          <w:sz w:val="32"/>
          <w:szCs w:val="32"/>
        </w:rPr>
      </w:pPr>
      <w:r>
        <w:fldChar w:fldCharType="begin"/>
      </w:r>
      <w:r>
        <w:instrText xml:space="preserve"> HYPERLINK \l "_Toc15396614" </w:instrText>
      </w:r>
      <w:r>
        <w:fldChar w:fldCharType="separate"/>
      </w:r>
      <w:r>
        <w:rPr>
          <w:rStyle w:val="17"/>
          <w:rFonts w:hint="eastAsia" w:ascii="仿宋_GB2312" w:hAnsi="仿宋_GB2312" w:eastAsia="仿宋_GB2312" w:cs="仿宋_GB2312"/>
          <w:sz w:val="32"/>
          <w:szCs w:val="32"/>
        </w:rPr>
        <w:t>第</w:t>
      </w:r>
      <w:r>
        <w:rPr>
          <w:rStyle w:val="17"/>
          <w:rFonts w:hint="eastAsia" w:ascii="仿宋_GB2312" w:hAnsi="仿宋_GB2312" w:eastAsia="仿宋_GB2312" w:cs="仿宋_GB2312"/>
          <w:bCs/>
          <w:kern w:val="44"/>
          <w:sz w:val="32"/>
          <w:szCs w:val="32"/>
        </w:rPr>
        <w:t>四部分</w:t>
      </w:r>
      <w:r>
        <w:rPr>
          <w:rStyle w:val="17"/>
          <w:rFonts w:hint="eastAsia" w:ascii="仿宋_GB2312" w:hAnsi="仿宋_GB2312" w:eastAsia="仿宋_GB2312" w:cs="仿宋_GB2312"/>
          <w:bCs/>
          <w:kern w:val="44"/>
          <w:sz w:val="32"/>
          <w:szCs w:val="32"/>
          <w:lang w:val="en-US" w:eastAsia="zh-CN"/>
        </w:rPr>
        <w:t xml:space="preserve">  </w:t>
      </w:r>
      <w:r>
        <w:rPr>
          <w:rStyle w:val="17"/>
          <w:rFonts w:hint="eastAsia" w:ascii="仿宋_GB2312" w:hAnsi="仿宋_GB2312" w:eastAsia="仿宋_GB2312" w:cs="仿宋_GB2312"/>
          <w:bCs/>
          <w:kern w:val="44"/>
          <w:sz w:val="32"/>
          <w:szCs w:val="32"/>
        </w:rPr>
        <w:t>附件</w:t>
      </w:r>
      <w:r>
        <w:rPr>
          <w:rFonts w:ascii="仿宋_GB2312" w:hAnsi="仿宋_GB2312" w:eastAsia="仿宋_GB2312" w:cs="仿宋_GB2312"/>
          <w:sz w:val="32"/>
          <w:szCs w:val="32"/>
        </w:rPr>
        <w:tab/>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p>
    <w:p>
      <w:pPr>
        <w:pStyle w:val="9"/>
        <w:ind w:left="0" w:leftChars="0" w:firstLine="320" w:firstLineChars="100"/>
        <w:rPr>
          <w:rFonts w:eastAsia="仿宋_GB2312"/>
        </w:rPr>
      </w:pPr>
      <w:r>
        <w:rPr>
          <w:rFonts w:hint="eastAsia" w:ascii="仿宋_GB2312" w:hAnsi="仿宋_GB2312" w:eastAsia="仿宋_GB2312" w:cs="仿宋_GB2312"/>
          <w:sz w:val="32"/>
          <w:szCs w:val="32"/>
        </w:rPr>
        <w:t>茂县粮食和物资储备中心</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w:t>
      </w:r>
      <w:r>
        <w:fldChar w:fldCharType="begin"/>
      </w:r>
      <w:r>
        <w:instrText xml:space="preserve"> HYPERLINK \l "_Toc15396612" </w:instrText>
      </w:r>
      <w:r>
        <w:fldChar w:fldCharType="separate"/>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 xml:space="preserve">22 </w:t>
      </w:r>
    </w:p>
    <w:p>
      <w:pPr>
        <w:pStyle w:val="8"/>
        <w:rPr>
          <w:rFonts w:ascii="仿宋_GB2312" w:hAnsi="仿宋_GB2312" w:eastAsia="仿宋_GB2312" w:cs="仿宋_GB2312"/>
          <w:sz w:val="32"/>
          <w:szCs w:val="32"/>
        </w:rPr>
      </w:pPr>
      <w:r>
        <w:fldChar w:fldCharType="begin"/>
      </w:r>
      <w:r>
        <w:instrText xml:space="preserve"> HYPERLINK \l "_Toc15396618" </w:instrText>
      </w:r>
      <w:r>
        <w:fldChar w:fldCharType="separate"/>
      </w:r>
      <w:r>
        <w:rPr>
          <w:rStyle w:val="17"/>
          <w:rFonts w:hint="eastAsia" w:ascii="仿宋_GB2312" w:hAnsi="仿宋_GB2312" w:eastAsia="仿宋_GB2312" w:cs="仿宋_GB2312"/>
          <w:sz w:val="32"/>
          <w:szCs w:val="32"/>
        </w:rPr>
        <w:t>第</w:t>
      </w:r>
      <w:r>
        <w:rPr>
          <w:rStyle w:val="17"/>
          <w:rFonts w:hint="eastAsia" w:ascii="仿宋_GB2312" w:hAnsi="仿宋_GB2312" w:eastAsia="仿宋_GB2312" w:cs="仿宋_GB2312"/>
          <w:bCs/>
          <w:kern w:val="44"/>
          <w:sz w:val="32"/>
          <w:szCs w:val="32"/>
        </w:rPr>
        <w:t>五部分</w:t>
      </w:r>
      <w:r>
        <w:rPr>
          <w:rStyle w:val="17"/>
          <w:rFonts w:hint="eastAsia" w:ascii="仿宋_GB2312" w:hAnsi="仿宋_GB2312" w:eastAsia="仿宋_GB2312" w:cs="仿宋_GB2312"/>
          <w:bCs/>
          <w:kern w:val="44"/>
          <w:sz w:val="32"/>
          <w:szCs w:val="32"/>
          <w:lang w:val="en-US" w:eastAsia="zh-CN"/>
        </w:rPr>
        <w:t xml:space="preserve">  </w:t>
      </w:r>
      <w:r>
        <w:rPr>
          <w:rStyle w:val="17"/>
          <w:rFonts w:hint="eastAsia" w:ascii="仿宋_GB2312" w:hAnsi="仿宋_GB2312" w:eastAsia="仿宋_GB2312" w:cs="仿宋_GB2312"/>
          <w:bCs/>
          <w:kern w:val="44"/>
          <w:sz w:val="32"/>
          <w:szCs w:val="32"/>
        </w:rPr>
        <w:t>附表</w:t>
      </w:r>
      <w:r>
        <w:rPr>
          <w:rFonts w:ascii="仿宋_GB2312" w:hAnsi="仿宋_GB2312" w:eastAsia="仿宋_GB2312" w:cs="仿宋_GB2312"/>
          <w:sz w:val="32"/>
          <w:szCs w:val="32"/>
        </w:rPr>
        <w:tab/>
      </w:r>
      <w:r>
        <w:rPr>
          <w:rFonts w:ascii="仿宋_GB2312" w:hAnsi="仿宋_GB2312" w:eastAsia="仿宋_GB2312" w:cs="仿宋_GB2312"/>
          <w:sz w:val="32"/>
          <w:szCs w:val="32"/>
        </w:rPr>
        <w:t>22</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Style w:val="17"/>
          <w:rFonts w:hint="eastAsia" w:ascii="仿宋_GB2312" w:hAnsi="仿宋_GB2312" w:eastAsia="仿宋_GB2312" w:cs="仿宋_GB2312"/>
          <w:sz w:val="32"/>
          <w:szCs w:val="32"/>
        </w:rPr>
        <w:t>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Style w:val="17"/>
          <w:rFonts w:hint="eastAsia" w:ascii="仿宋_GB2312" w:hAnsi="仿宋_GB2312" w:eastAsia="仿宋_GB2312" w:cs="仿宋_GB2312"/>
          <w:sz w:val="32"/>
          <w:szCs w:val="32"/>
        </w:rPr>
        <w:t>收入总表</w:t>
      </w:r>
      <w:r>
        <w:rPr>
          <w:rFonts w:ascii="仿宋_GB2312" w:hAnsi="仿宋_GB2312" w:eastAsia="仿宋_GB2312" w:cs="仿宋_GB2312"/>
          <w:sz w:val="32"/>
          <w:szCs w:val="32"/>
        </w:rPr>
        <w:tab/>
      </w:r>
      <w:r>
        <w:rPr>
          <w:rFonts w:ascii="仿宋_GB2312" w:hAnsi="仿宋_GB2312" w:eastAsia="仿宋_GB2312" w:cs="仿宋_GB2312"/>
          <w:sz w:val="32"/>
          <w:szCs w:val="32"/>
        </w:rPr>
        <w:t>24</w:t>
      </w:r>
      <w:r>
        <w:rPr>
          <w:rFonts w:ascii="仿宋_GB2312" w:hAnsi="仿宋_GB2312" w:eastAsia="仿宋_GB2312" w:cs="仿宋_GB2312"/>
          <w:sz w:val="32"/>
          <w:szCs w:val="32"/>
        </w:rPr>
        <w:fldChar w:fldCharType="end"/>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Style w:val="17"/>
          <w:rFonts w:hint="eastAsia" w:ascii="仿宋_GB2312" w:hAnsi="仿宋_GB2312" w:eastAsia="仿宋_GB2312" w:cs="仿宋_GB2312"/>
          <w:sz w:val="32"/>
          <w:szCs w:val="32"/>
        </w:rPr>
        <w:t>支出总表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5</w:t>
      </w:r>
    </w:p>
    <w:p>
      <w:pPr>
        <w:pStyle w:val="9"/>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Style w:val="17"/>
          <w:rFonts w:hint="eastAsia" w:ascii="仿宋_GB2312" w:hAnsi="仿宋_GB2312" w:eastAsia="仿宋_GB2312" w:cs="仿宋_GB2312"/>
          <w:sz w:val="32"/>
          <w:szCs w:val="32"/>
        </w:rPr>
        <w:t>财政拨款收入支出决算总表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6</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27</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Style w:val="17"/>
          <w:rFonts w:hint="eastAsia" w:ascii="仿宋_GB2312" w:hAnsi="仿宋_GB2312" w:eastAsia="仿宋_GB2312" w:cs="仿宋_GB2312"/>
          <w:sz w:val="32"/>
          <w:szCs w:val="32"/>
        </w:rPr>
        <w:t>一般公共预算财政拨款支出决算表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8</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Style w:val="17"/>
          <w:rFonts w:hint="eastAsia" w:ascii="仿宋_GB2312" w:hAnsi="仿宋_GB2312" w:eastAsia="仿宋_GB2312" w:cs="仿宋_GB2312"/>
          <w:sz w:val="32"/>
          <w:szCs w:val="32"/>
        </w:rPr>
        <w:t>一般公共预算财政拨款支出决算明细表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9</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Style w:val="17"/>
          <w:rFonts w:hint="eastAsia" w:ascii="仿宋_GB2312" w:hAnsi="仿宋_GB2312" w:eastAsia="仿宋_GB2312" w:cs="仿宋_GB2312"/>
          <w:sz w:val="32"/>
          <w:szCs w:val="32"/>
        </w:rPr>
        <w:t>一般公共预算财政拨款基本支出决算表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0</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Style w:val="17"/>
          <w:rFonts w:hint="eastAsia" w:ascii="仿宋_GB2312" w:hAnsi="仿宋_GB2312" w:eastAsia="仿宋_GB2312" w:cs="仿宋_GB2312"/>
          <w:sz w:val="32"/>
          <w:szCs w:val="32"/>
        </w:rPr>
        <w:t>一般公共预算财政拨款项目支出决算表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1</w:t>
      </w:r>
    </w:p>
    <w:p>
      <w:pPr>
        <w:pStyle w:val="9"/>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Style w:val="17"/>
          <w:rFonts w:hint="eastAsia" w:ascii="仿宋_GB2312" w:hAnsi="仿宋_GB2312" w:eastAsia="仿宋_GB2312" w:cs="仿宋_GB2312"/>
          <w:sz w:val="32"/>
          <w:szCs w:val="32"/>
        </w:rPr>
        <w:t>一般公共预算财政拨款“三公”经费支出决算表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2</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Style w:val="17"/>
          <w:rFonts w:hint="eastAsia" w:ascii="仿宋_GB2312" w:hAnsi="仿宋_GB2312" w:eastAsia="仿宋_GB2312" w:cs="仿宋_GB2312"/>
          <w:sz w:val="32"/>
          <w:szCs w:val="32"/>
        </w:rPr>
        <w:t>政府性基金预算财政拨款收入支出决算表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3</w:t>
      </w:r>
    </w:p>
    <w:p>
      <w:pPr>
        <w:pStyle w:val="9"/>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Style w:val="17"/>
          <w:rFonts w:hint="eastAsia" w:ascii="仿宋_GB2312" w:hAnsi="仿宋_GB2312" w:eastAsia="仿宋_GB2312" w:cs="仿宋_GB2312"/>
          <w:sz w:val="32"/>
          <w:szCs w:val="32"/>
        </w:rPr>
        <w:t>政府性基金预算财政拨款“三公”经费支出决算表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4</w:t>
      </w:r>
    </w:p>
    <w:p>
      <w:pPr>
        <w:pStyle w:val="9"/>
        <w:rPr>
          <w:rFonts w:ascii="仿宋" w:hAnsi="仿宋" w:eastAsia="仿宋_GB2312"/>
          <w:sz w:val="24"/>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Style w:val="17"/>
          <w:rFonts w:hint="eastAsia" w:ascii="仿宋_GB2312" w:hAnsi="仿宋_GB2312" w:eastAsia="仿宋_GB2312" w:cs="仿宋_GB2312"/>
          <w:sz w:val="32"/>
          <w:szCs w:val="32"/>
        </w:rPr>
        <w:t>国有资本经营预算支出决算表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5</w:t>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12" w:name="_Toc15396599"/>
      <w:bookmarkStart w:id="13" w:name="_Toc15377196"/>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widowControl/>
        <w:jc w:val="both"/>
        <w:rPr>
          <w:rFonts w:ascii="黑体" w:hAnsi="黑体" w:eastAsia="黑体"/>
        </w:rPr>
      </w:pPr>
    </w:p>
    <w:p>
      <w:pPr>
        <w:adjustRightInd w:val="0"/>
        <w:snapToGrid w:val="0"/>
        <w:spacing w:line="360" w:lineRule="auto"/>
        <w:jc w:val="center"/>
        <w:outlineLvl w:val="0"/>
        <w:rPr>
          <w:rFonts w:ascii="黑体" w:eastAsia="黑体"/>
          <w:color w:val="000000"/>
          <w:sz w:val="32"/>
          <w:szCs w:val="32"/>
        </w:rPr>
      </w:pPr>
      <w:r>
        <w:rPr>
          <w:rFonts w:hint="eastAsia" w:ascii="方正小标宋简体" w:hAnsi="方正小标宋简体" w:eastAsia="方正小标宋简体" w:cs="方正小标宋简体"/>
          <w:sz w:val="44"/>
          <w:szCs w:val="44"/>
        </w:rPr>
        <w:t>第一部分</w:t>
      </w:r>
      <w:r>
        <w:rPr>
          <w:rStyle w:val="22"/>
          <w:rFonts w:hint="eastAsia" w:ascii="方正小标宋简体" w:hAnsi="方正小标宋简体" w:eastAsia="方正小标宋简体" w:cs="方正小标宋简体"/>
          <w:b w:val="0"/>
          <w:bCs w:val="0"/>
        </w:rPr>
        <w:t>部门概况</w:t>
      </w:r>
      <w:bookmarkEnd w:id="12"/>
      <w:bookmarkEnd w:id="13"/>
    </w:p>
    <w:p>
      <w:pPr>
        <w:pStyle w:val="3"/>
        <w:numPr>
          <w:ilvl w:val="0"/>
          <w:numId w:val="0"/>
        </w:numPr>
        <w:ind w:firstLine="640" w:firstLineChars="200"/>
        <w:rPr>
          <w:rFonts w:ascii="仿宋" w:hAnsi="仿宋" w:eastAsia="仿宋"/>
          <w:b w:val="0"/>
          <w:color w:val="000000"/>
        </w:rPr>
      </w:pPr>
      <w:bookmarkStart w:id="14" w:name="_Toc15396600"/>
      <w:bookmarkStart w:id="15" w:name="_Toc15377197"/>
      <w:bookmarkStart w:id="16" w:name="_Toc15396604"/>
      <w:bookmarkStart w:id="17" w:name="_Toc15377206"/>
      <w:bookmarkStart w:id="18" w:name="_Toc15396607"/>
      <w:bookmarkStart w:id="19" w:name="_Toc15377209"/>
      <w:bookmarkStart w:id="20" w:name="_Toc15377212"/>
      <w:r>
        <w:rPr>
          <w:rFonts w:hint="eastAsia" w:ascii="黑体" w:hAnsi="黑体" w:eastAsia="黑体" w:cs="黑体"/>
          <w:b w:val="0"/>
          <w:color w:val="000000"/>
          <w:lang w:eastAsia="zh-CN"/>
        </w:rPr>
        <w:t>一、</w:t>
      </w:r>
      <w:r>
        <w:rPr>
          <w:rFonts w:hint="eastAsia" w:ascii="黑体" w:hAnsi="黑体" w:eastAsia="黑体" w:cs="黑体"/>
          <w:b w:val="0"/>
          <w:color w:val="000000"/>
        </w:rPr>
        <w:t>基</w:t>
      </w:r>
      <w:r>
        <w:rPr>
          <w:rStyle w:val="23"/>
          <w:rFonts w:hint="eastAsia" w:ascii="黑体" w:hAnsi="黑体" w:eastAsia="黑体" w:cs="黑体"/>
          <w:b/>
          <w:bCs w:val="0"/>
        </w:rPr>
        <w:t>本职能及主要工作</w:t>
      </w:r>
      <w:bookmarkEnd w:id="14"/>
      <w:bookmarkEnd w:id="15"/>
      <w:bookmarkStart w:id="21" w:name="_Toc15377198"/>
      <w:bookmarkStart w:id="22" w:name="_Toc15378445"/>
    </w:p>
    <w:bookmarkEnd w:id="21"/>
    <w:bookmarkEnd w:id="22"/>
    <w:p>
      <w:pPr>
        <w:spacing w:line="576" w:lineRule="atLeast"/>
        <w:ind w:firstLine="643" w:firstLineChars="200"/>
        <w:outlineLvl w:val="1"/>
        <w:rPr>
          <w:rFonts w:ascii="仿宋" w:hAnsi="仿宋" w:eastAsia="仿宋"/>
          <w:color w:val="000000"/>
          <w:sz w:val="32"/>
          <w:szCs w:val="32"/>
        </w:rPr>
      </w:pPr>
      <w:bookmarkStart w:id="23" w:name="_Toc15377200"/>
      <w:bookmarkStart w:id="24" w:name="_Toc15396601"/>
      <w:r>
        <w:rPr>
          <w:rFonts w:hint="eastAsia" w:ascii="楷体" w:hAnsi="楷体" w:eastAsia="楷体" w:cs="楷体"/>
          <w:b/>
          <w:color w:val="000000"/>
          <w:sz w:val="32"/>
          <w:szCs w:val="32"/>
        </w:rPr>
        <w:t>（一）主要职能</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研究提出全县粮食宏观调控、总量平衡以及粮食流通的中长期规划、收购、储存、动用县级储备粮的建议，并组织实施；拟定粮食产业化经营的措施，配合有关部门抓好商品粮油品种结构调整。</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管理社会粮食流通，保障军队、城镇居民、农村群众、应急救灾、缺粮贫困地区、退耕还林、大骨节病人和国家重点建设项目的粮食供应。</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指导全县粮食流通市场的行业行政管理、国有粮食企业的改革；指导并推动行业的技术改造、新技术推广应用、安全生产和抢险救灾工作；指导全县农村科学储粮工作；承担行业统计工作。</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指导全县粮食财务管理工作；组织实施粮食财务和会计制度工作，负责国有企业资产的监督管理；会同有关部门做好粮食收购资金使用；编报全县粮食系统财务报表，组织编制年度决算。</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协同质量技术监督部门做好粮食质量标准的管理工作；制定粮食储存、运输的技术规范，并监督执行。</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负责全县各级储备粮轮换工作，并对外地粮食行业进行经济技术合作交流。</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制订粮食系统人才发展规划，指导行业的职业教育；负责局机关的人事管理、机构编制管理工作。</w:t>
      </w:r>
    </w:p>
    <w:p>
      <w:pPr>
        <w:snapToGrid w:val="0"/>
        <w:spacing w:line="588"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承办县政府交办的其他事项。</w:t>
      </w:r>
    </w:p>
    <w:p>
      <w:pPr>
        <w:pStyle w:val="3"/>
        <w:spacing w:line="576" w:lineRule="atLeast"/>
        <w:ind w:firstLine="626" w:firstLineChars="195"/>
        <w:rPr>
          <w:rStyle w:val="23"/>
          <w:rFonts w:hint="eastAsia" w:ascii="黑体" w:hAnsi="黑体" w:eastAsia="黑体" w:cs="黑体"/>
          <w:b w:val="0"/>
          <w:bCs w:val="0"/>
        </w:rPr>
      </w:pPr>
      <w:r>
        <w:rPr>
          <w:rFonts w:hint="eastAsia" w:ascii="黑体" w:hAnsi="黑体" w:eastAsia="黑体" w:cs="黑体"/>
          <w:bCs w:val="0"/>
          <w:color w:val="000000"/>
        </w:rPr>
        <w:t>二、机</w:t>
      </w:r>
      <w:r>
        <w:rPr>
          <w:rStyle w:val="23"/>
          <w:rFonts w:hint="eastAsia" w:ascii="黑体" w:hAnsi="黑体" w:eastAsia="黑体" w:cs="黑体"/>
          <w:b w:val="0"/>
          <w:bCs w:val="0"/>
        </w:rPr>
        <w:t>构设置</w:t>
      </w:r>
      <w:bookmarkEnd w:id="23"/>
      <w:bookmarkEnd w:id="24"/>
    </w:p>
    <w:p>
      <w:pPr>
        <w:pStyle w:val="4"/>
        <w:adjustRightInd w:val="0"/>
        <w:snapToGrid w:val="0"/>
        <w:spacing w:before="93" w:line="58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茂县粮食局是参照公务员法管理的事业单位。因机构改革，现成为发展改革委员会的下设中心，现更名为茂县物资和储备中心。</w:t>
      </w:r>
    </w:p>
    <w:p>
      <w:pPr>
        <w:pStyle w:val="4"/>
        <w:adjustRightInd w:val="0"/>
        <w:snapToGrid w:val="0"/>
        <w:spacing w:before="93" w:line="580" w:lineRule="exact"/>
        <w:ind w:left="638" w:leftChars="304"/>
        <w:rPr>
          <w:sz w:val="32"/>
          <w:szCs w:val="32"/>
        </w:rPr>
      </w:pPr>
      <w:r>
        <w:rPr>
          <w:rFonts w:ascii="仿宋" w:hAnsi="仿宋" w:eastAsia="仿宋"/>
          <w:sz w:val="32"/>
          <w:szCs w:val="32"/>
        </w:rPr>
        <w:t>2.</w:t>
      </w:r>
      <w:r>
        <w:rPr>
          <w:rFonts w:hint="eastAsia" w:ascii="仿宋" w:hAnsi="仿宋" w:eastAsia="仿宋"/>
          <w:sz w:val="32"/>
          <w:szCs w:val="32"/>
        </w:rPr>
        <w:t>人员情况。编制</w:t>
      </w:r>
      <w:r>
        <w:rPr>
          <w:rFonts w:ascii="仿宋" w:hAnsi="仿宋" w:eastAsia="仿宋"/>
          <w:sz w:val="32"/>
          <w:szCs w:val="32"/>
        </w:rPr>
        <w:t>15</w:t>
      </w:r>
      <w:r>
        <w:rPr>
          <w:rFonts w:hint="eastAsia" w:ascii="仿宋" w:hAnsi="仿宋" w:eastAsia="仿宋"/>
          <w:sz w:val="32"/>
          <w:szCs w:val="32"/>
        </w:rPr>
        <w:t>人，在职职工</w:t>
      </w:r>
      <w:r>
        <w:rPr>
          <w:rFonts w:ascii="仿宋" w:hAnsi="仿宋" w:eastAsia="仿宋"/>
          <w:sz w:val="32"/>
          <w:szCs w:val="32"/>
        </w:rPr>
        <w:t>14</w:t>
      </w:r>
      <w:r>
        <w:rPr>
          <w:rFonts w:hint="eastAsia" w:ascii="仿宋" w:hAnsi="仿宋" w:eastAsia="仿宋"/>
          <w:sz w:val="32"/>
          <w:szCs w:val="32"/>
        </w:rPr>
        <w:t>人；遗属</w:t>
      </w:r>
      <w:r>
        <w:rPr>
          <w:rFonts w:ascii="仿宋" w:hAnsi="仿宋" w:eastAsia="仿宋"/>
          <w:sz w:val="32"/>
          <w:szCs w:val="32"/>
        </w:rPr>
        <w:t>6</w:t>
      </w:r>
      <w:r>
        <w:rPr>
          <w:rFonts w:hint="eastAsia" w:ascii="仿宋" w:hAnsi="仿宋" w:eastAsia="仿宋"/>
          <w:sz w:val="32"/>
          <w:szCs w:val="32"/>
        </w:rPr>
        <w:t>人。</w:t>
      </w:r>
      <w:r>
        <w:rPr>
          <w:rFonts w:ascii="仿宋" w:hAnsi="仿宋" w:eastAsia="仿宋"/>
          <w:sz w:val="32"/>
          <w:szCs w:val="32"/>
        </w:rPr>
        <w:t>2019</w:t>
      </w:r>
      <w:r>
        <w:rPr>
          <w:rFonts w:hint="eastAsia" w:ascii="仿宋" w:hAnsi="仿宋" w:eastAsia="仿宋"/>
          <w:sz w:val="32"/>
          <w:szCs w:val="32"/>
        </w:rPr>
        <w:t>年共调入</w:t>
      </w:r>
      <w:r>
        <w:rPr>
          <w:rFonts w:ascii="仿宋" w:hAnsi="仿宋" w:eastAsia="仿宋"/>
          <w:sz w:val="32"/>
          <w:szCs w:val="32"/>
        </w:rPr>
        <w:t>2</w:t>
      </w:r>
      <w:r>
        <w:rPr>
          <w:rFonts w:hint="eastAsia" w:ascii="仿宋" w:hAnsi="仿宋" w:eastAsia="仿宋"/>
          <w:sz w:val="32"/>
          <w:szCs w:val="32"/>
        </w:rPr>
        <w:t>人，调走</w:t>
      </w:r>
      <w:r>
        <w:rPr>
          <w:rFonts w:ascii="仿宋" w:hAnsi="仿宋" w:eastAsia="仿宋"/>
          <w:sz w:val="32"/>
          <w:szCs w:val="32"/>
        </w:rPr>
        <w:t>2</w:t>
      </w:r>
      <w:r>
        <w:rPr>
          <w:rFonts w:hint="eastAsia" w:ascii="仿宋" w:hAnsi="仿宋" w:eastAsia="仿宋"/>
          <w:sz w:val="32"/>
          <w:szCs w:val="32"/>
        </w:rPr>
        <w:t>人。</w:t>
      </w:r>
    </w:p>
    <w:p>
      <w:pPr>
        <w:adjustRightInd w:val="0"/>
        <w:snapToGrid w:val="0"/>
        <w:spacing w:line="360" w:lineRule="auto"/>
        <w:jc w:val="center"/>
        <w:outlineLvl w:val="0"/>
        <w:rPr>
          <w:sz w:val="44"/>
          <w:szCs w:val="44"/>
        </w:rPr>
      </w:pPr>
      <w:bookmarkStart w:id="25" w:name="_Toc15377204"/>
      <w:bookmarkStart w:id="26" w:name="_Toc15396602"/>
      <w:r>
        <w:rPr>
          <w:rStyle w:val="22"/>
          <w:rFonts w:hint="eastAsia" w:ascii="方正小标宋简体" w:hAnsi="方正小标宋简体" w:eastAsia="方正小标宋简体" w:cs="方正小标宋简体"/>
          <w:b w:val="0"/>
          <w:bCs w:val="0"/>
        </w:rPr>
        <w:t>第二部分</w:t>
      </w:r>
      <w:r>
        <w:rPr>
          <w:rStyle w:val="22"/>
          <w:rFonts w:ascii="方正小标宋简体" w:hAnsi="方正小标宋简体" w:eastAsia="方正小标宋简体" w:cs="方正小标宋简体"/>
          <w:b w:val="0"/>
          <w:bCs w:val="0"/>
        </w:rPr>
        <w:t xml:space="preserve"> 2019</w:t>
      </w:r>
      <w:r>
        <w:rPr>
          <w:rStyle w:val="22"/>
          <w:rFonts w:hint="eastAsia" w:ascii="方正小标宋简体" w:hAnsi="方正小标宋简体" w:eastAsia="方正小标宋简体" w:cs="方正小标宋简体"/>
          <w:b w:val="0"/>
          <w:bCs w:val="0"/>
        </w:rPr>
        <w:t>年度部门决算情况说明</w:t>
      </w:r>
      <w:bookmarkEnd w:id="25"/>
      <w:bookmarkEnd w:id="26"/>
    </w:p>
    <w:p>
      <w:pPr>
        <w:pStyle w:val="27"/>
        <w:numPr>
          <w:ilvl w:val="0"/>
          <w:numId w:val="1"/>
        </w:numPr>
        <w:spacing w:line="600" w:lineRule="exact"/>
        <w:ind w:firstLineChars="0"/>
        <w:outlineLvl w:val="1"/>
        <w:rPr>
          <w:rStyle w:val="23"/>
          <w:rFonts w:hint="eastAsia" w:ascii="黑体" w:hAnsi="黑体" w:eastAsia="黑体" w:cs="黑体"/>
          <w:b w:val="0"/>
          <w:bCs w:val="0"/>
        </w:rPr>
      </w:pPr>
      <w:bookmarkStart w:id="27" w:name="_Toc15396603"/>
      <w:bookmarkStart w:id="28" w:name="_Toc15377205"/>
      <w:r>
        <w:rPr>
          <w:rFonts w:hint="eastAsia" w:ascii="黑体" w:hAnsi="黑体" w:eastAsia="黑体" w:cs="黑体"/>
          <w:b w:val="0"/>
          <w:bCs w:val="0"/>
          <w:color w:val="000000"/>
          <w:sz w:val="32"/>
          <w:szCs w:val="32"/>
        </w:rPr>
        <w:t>收</w:t>
      </w:r>
      <w:r>
        <w:rPr>
          <w:rStyle w:val="23"/>
          <w:rFonts w:hint="eastAsia" w:ascii="黑体" w:hAnsi="黑体" w:eastAsia="黑体" w:cs="黑体"/>
          <w:b w:val="0"/>
          <w:bCs w:val="0"/>
        </w:rPr>
        <w:t>入支出决算总体情况说明</w:t>
      </w:r>
      <w:bookmarkEnd w:id="27"/>
      <w:bookmarkEnd w:id="28"/>
    </w:p>
    <w:p>
      <w:pPr>
        <w:spacing w:line="576" w:lineRule="exact"/>
        <w:ind w:firstLine="601"/>
        <w:rPr>
          <w:rFonts w:ascii="仿宋" w:hAnsi="仿宋" w:eastAsia="仿宋"/>
          <w:color w:val="000000"/>
          <w:sz w:val="32"/>
          <w:szCs w:val="32"/>
        </w:rPr>
      </w:pP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年度收、支总计</w:t>
      </w:r>
      <w:r>
        <w:rPr>
          <w:rFonts w:ascii="仿宋_GB2312" w:hAnsi="仿宋_GB2312" w:eastAsia="仿宋_GB2312" w:cs="仿宋_GB2312"/>
          <w:color w:val="000000"/>
          <w:sz w:val="32"/>
          <w:szCs w:val="32"/>
        </w:rPr>
        <w:t>406.55</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年相比，收、支总计各增加</w:t>
      </w:r>
      <w:r>
        <w:rPr>
          <w:rFonts w:ascii="仿宋_GB2312" w:hAnsi="仿宋_GB2312" w:eastAsia="仿宋_GB2312" w:cs="仿宋_GB2312"/>
          <w:color w:val="000000"/>
          <w:sz w:val="32"/>
          <w:szCs w:val="32"/>
        </w:rPr>
        <w:t>172.15</w:t>
      </w:r>
      <w:r>
        <w:rPr>
          <w:rFonts w:hint="eastAsia" w:ascii="仿宋_GB2312" w:hAnsi="仿宋_GB2312" w:eastAsia="仿宋_GB2312" w:cs="仿宋_GB2312"/>
          <w:color w:val="000000"/>
          <w:sz w:val="32"/>
          <w:szCs w:val="32"/>
        </w:rPr>
        <w:t>万元，增加</w:t>
      </w:r>
      <w:r>
        <w:rPr>
          <w:rFonts w:ascii="仿宋_GB2312" w:hAnsi="仿宋_GB2312" w:eastAsia="仿宋_GB2312" w:cs="仿宋_GB2312"/>
          <w:color w:val="000000"/>
          <w:sz w:val="32"/>
          <w:szCs w:val="32"/>
        </w:rPr>
        <w:t>42.34%</w:t>
      </w:r>
      <w:r>
        <w:rPr>
          <w:rFonts w:hint="eastAsia" w:ascii="仿宋_GB2312" w:hAnsi="仿宋_GB2312" w:eastAsia="仿宋_GB2312" w:cs="仿宋_GB2312"/>
          <w:color w:val="000000"/>
          <w:sz w:val="32"/>
          <w:szCs w:val="32"/>
        </w:rPr>
        <w:t>。主要变动原因是变动原因是年未结转结余资金和项目资金支付增加。</w:t>
      </w:r>
    </w:p>
    <w:p>
      <w:pPr>
        <w:pStyle w:val="27"/>
        <w:numPr>
          <w:ilvl w:val="0"/>
          <w:numId w:val="1"/>
        </w:numPr>
        <w:spacing w:line="600" w:lineRule="exact"/>
        <w:ind w:firstLineChars="0"/>
        <w:outlineLvl w:val="1"/>
        <w:rPr>
          <w:rStyle w:val="23"/>
          <w:rFonts w:ascii="黑体" w:hAnsi="黑体" w:eastAsia="黑体"/>
          <w:b w:val="0"/>
          <w:bCs w:val="0"/>
        </w:rPr>
      </w:pPr>
      <w:r>
        <w:rPr>
          <w:b w:val="0"/>
          <w:bCs w:val="0"/>
        </w:rPr>
        <w:pict>
          <v:shape id="_x0000_s1028" o:spid="_x0000_s1028" o:spt="75" type="#_x0000_t75" style="position:absolute;left:0pt;margin-left:11.4pt;margin-top:8.6pt;height:294.15pt;width:398.2pt;mso-wrap-distance-left:9pt;mso-wrap-distance-right:9pt;z-index:-251661312;mso-width-relative:page;mso-height-relative:page;" o:ole="t" filled="f" o:preferrelative="t" stroked="f" coordsize="21600,21600" wrapcoords="163 331 163 21214 21397 21214 21397 331 163 331">
            <v:path/>
            <v:fill on="f" focussize="0,0"/>
            <v:stroke on="f" joinstyle="miter"/>
            <v:imagedata r:id="rId8" o:title=""/>
            <o:lock v:ext="edit" aspectratio="t"/>
            <w10:wrap type="tight"/>
          </v:shape>
          <o:OLEObject Type="Embed" ProgID="Excel.Sheet.8" ShapeID="_x0000_s1028" DrawAspect="Content" ObjectID="_1468075725" r:id="rId7">
            <o:LockedField>false</o:LockedField>
          </o:OLEObject>
        </w:pict>
      </w:r>
      <w:r>
        <w:rPr>
          <w:rFonts w:hint="eastAsia" w:ascii="黑体" w:hAnsi="黑体" w:eastAsia="黑体"/>
          <w:b w:val="0"/>
          <w:bCs w:val="0"/>
          <w:color w:val="000000"/>
          <w:sz w:val="32"/>
          <w:szCs w:val="32"/>
        </w:rPr>
        <w:t>收</w:t>
      </w:r>
      <w:r>
        <w:rPr>
          <w:rStyle w:val="23"/>
          <w:rFonts w:hint="eastAsia" w:ascii="黑体" w:hAnsi="黑体" w:eastAsia="黑体"/>
          <w:b w:val="0"/>
          <w:bCs w:val="0"/>
        </w:rPr>
        <w:t>入决算情况说明</w:t>
      </w:r>
      <w:bookmarkEnd w:id="16"/>
      <w:bookmarkEnd w:id="17"/>
    </w:p>
    <w:p>
      <w:pPr>
        <w:spacing w:line="576" w:lineRule="exact"/>
        <w:ind w:firstLine="640" w:firstLineChars="200"/>
        <w:outlineLvl w:val="1"/>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年本年收入合计</w:t>
      </w:r>
      <w:r>
        <w:rPr>
          <w:rFonts w:ascii="仿宋_GB2312" w:hAnsi="仿宋_GB2312" w:eastAsia="仿宋_GB2312" w:cs="仿宋_GB2312"/>
          <w:color w:val="000000"/>
          <w:sz w:val="32"/>
          <w:szCs w:val="32"/>
        </w:rPr>
        <w:t>406.55</w:t>
      </w:r>
      <w:r>
        <w:rPr>
          <w:rFonts w:hint="eastAsia" w:ascii="仿宋_GB2312" w:hAnsi="仿宋_GB2312" w:eastAsia="仿宋_GB2312" w:cs="仿宋_GB2312"/>
          <w:color w:val="000000"/>
          <w:sz w:val="32"/>
          <w:szCs w:val="32"/>
        </w:rPr>
        <w:t>万元，其中：一般公共预算财政拨款收入</w:t>
      </w:r>
      <w:r>
        <w:rPr>
          <w:rFonts w:ascii="仿宋_GB2312" w:hAnsi="仿宋_GB2312" w:eastAsia="仿宋_GB2312" w:cs="仿宋_GB2312"/>
          <w:color w:val="000000"/>
          <w:sz w:val="32"/>
          <w:szCs w:val="32"/>
        </w:rPr>
        <w:t>406.55</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；政府性基金预算财政拨款收入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；国有资本经营预算财政拨款收入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；事业收入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；经营收入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；附属单位上缴收入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；其他收入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w:t>
      </w:r>
    </w:p>
    <w:p>
      <w:pPr>
        <w:spacing w:line="576" w:lineRule="exact"/>
        <w:ind w:firstLine="960" w:firstLineChars="300"/>
        <w:outlineLvl w:val="1"/>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pict>
          <v:shape id="_x0000_s1035" o:spid="_x0000_s1035" o:spt="75" type="#_x0000_t75" style="position:absolute;left:0pt;margin-left:15.75pt;margin-top:37.65pt;height:191.05pt;width:405.2pt;mso-wrap-distance-bottom:0pt;mso-wrap-distance-top:0pt;z-index:251661312;mso-width-relative:page;mso-height-relative:page;" o:ole="t" filled="f" o:preferrelative="t" stroked="f" coordsize="21600,21600" o:gfxdata="UEsDBAoAAAAAAIdO4kAAAAAAAAAAAAAAAAAEAAAAZHJzL1BLAwQUAAAACACHTuJARIrNxdgAAAAJ&#10;AQAADwAAAGRycy9kb3ducmV2LnhtbE2PwU7DMBBE70j8g7VI3KidpKrbkE0PlZA4cKEUiaMbb5Oo&#10;sR3Fblr+nuUEx9kZzbyttjc3iJmm2AePkC0UCPJNsL1vEQ4fL09rEDEZb80QPCF8U4RtfX9XmdKG&#10;q3+neZ9awSU+lgahS2kspYxNR87ERRjJs3cKkzOJ5dRKO5krl7tB5kqtpDO954XOjLTrqDnvLw5h&#10;syua4ktHPbeb7PUzezufbK4QHx8y9Qwi0S39heEXn9GhZqZjuHgbxYCwXBacRMi1BsH+Wud8OCIU&#10;K6VB1pX8/0H9A1BLAwQUAAAACACHTuJAmD/q/gUBAAA4AgAADgAAAGRycy9lMm9Eb2MueG1snZHB&#10;TsMwDIbvSLxD5DtLN3UTVGt3mZA4cYEHMInTRmqTyMkovD1mG2ickHb7bUufPtvb3cc0qnfi7GNo&#10;YbmoQFEw0frQt/D68nh3DyoXDBbHGKiFT8qw625vtnNqaBWHOFpiJZCQmzm1MJSSGq2zGWjCvIiJ&#10;ggxd5AmLlNxryzgLfRr1qqo2eo5sE0dDOUt3fxpCd+Q7R6Y8O5epqLGFuq7XoMpPYPF9qNZi/Cap&#10;3lRr0N0Wm54xDd6cpfAKpwl9EIVf1B4LqgP7K1BmQC7CMs0xnaXM1aQzQHb//9LROW9oH81holBO&#10;52Yasciv8+BTBsWNty3wk11+307/2fiylnz58O4LUEsDBAoAAAAAAIdO4kAAAAAAAAAAAAAAAAAP&#10;AAAAZHJzL2VtYmVkZGluZ3MvUEsDBBQAAAAIAIdO4kCcxmUbdCIAANknAAAdAAAAZHJzL2VtYmVk&#10;ZGluZ3MvV29ya2Jvb2sxLnhsc3h9WgVUXMuyheBugwQJ7h4cgrsGd3d3C+7uEJygwUkI7u5uAYJr&#10;cHcLf0juu7nh3f96rTM9a6iqPr27e3dRVbKSYOCwIE8tWGaN7+eXvz5ggL2hjYGsvY2tA70sUAwA&#10;/AH6pxim6UORFCgIiOoLEBDkf4rp2drSuVpZZsSNSoAxIvcc+R2Vbyzl0xLJV6CcIGl3+X11Hxqp&#10;8V0kIVmfuKVyOyFwlYt2K3o7KYDfuQ/pRP2hyZNp+XiYXnD2RylNHGy6ikhB3vJBLHgVc8pEfIJm&#10;1FtOd5ITCkcy2FxCUodjw0wbmy+xTBi4VMfiIWM8pApCXHlTg5QJHS7+Zf7xOCqw8B/TZOO3JDpi&#10;Y9lITfP8tW2SOuD5TWKc9l0IQkM7YR9xUl+qnd2UnCxA6o4gSpsFfjj72jvodtLg4a29SIv1sFsB&#10;ZgFHChFEfMxEmnFC1rvhSpatW2VVoYB8YSUiwDGqFtgJS4Kd5OqE84mJoL/6WNZGWpw0HRW789KN&#10;BiOSrlS0V8UmerD74XY1dHylV5t4PteqzNm19SW0vkM5Yghu+ywJLjVNW+YW8eox0ooXTp1eSB3K&#10;lj6sj51J2ud3drPn1Gk/PGB+wPyJvAvL9r0sEHl1IPIo/0TewMbe6An6yDh+mU4GZOErsQXCU54v&#10;kwSmZSTvQZyESUn8+PZp3OdESKKMcCY+gH9ZQaT5ZouHXNsmPhcDi0HD/TiaxkvcO+mk5hqdJa3d&#10;Dx4Iyv9KTDtUkw7NMWP4nvE0wki+PCcuJgsBi1kaCUn/E8VnZs1dCd8aDqzR2LxsTVJTo7IcLJwW&#10;v7iUNo48NMz3dClOb5u7wk7ca8DfEG1gJemm6CauQm6XfAipEWt3z3MbE4ZDxhUEJRWzsMUKuO61&#10;4E/6Phqk/JJ9cME6Yd4Mx6UPownN/Wpuo/nLp72sqDksOu8Qmy1MlYNiL7o0DTs+Mxr2TezkMsfb&#10;mx/nF6e46/xFHDrtERmNkvT2yAVp5+sXtD2tg4hT3w9NCd4kBTjXuwxIOzp/GJblJFrtIkfjxTXZ&#10;CBAhT4hpNN7V9o4vpU6Y//ZIEBX1GnXcVCD3xKcOLM/q8GE5xgvsT/i/hnca/wDC7g1cArQ/4Hdy&#10;cLSx+rn3Y6QluxgAwld+j4SGmWSRiuQfD3TnUyLhIHq/JTFnwDDjk5hVhzwuJozbHZ3a4Qc72Hx5&#10;kCVODjyb2EbNh/HlM7UGnghSD679ccgX+JyLLrnjOQHhx7Yai0sA+hHVVT/AK6GAS9I3wboOEdy8&#10;cF9vSHo4yfztiuFOHMktg/jtx7F5KLPB8gMWDHhudAEVKrhNx6cc95jfcFrmbtb1vsjVUnmtwGEp&#10;xnjC8M6Xms1HGIYcqvrLx02HLH6BEmINGEtldb+su/Nr+zQKeLFYpPqwc8Ghfxca7BZn4A2gy9mK&#10;ib5chFKRi5NLyBdfYNALsIK9T0K/VsmmOt51Vvt0C/kE17/TCRgQLlfLn0Ty7wJPvwIFHPX0LY2e&#10;Ew4kaUUrLRDzTuDzREO/5X6KMz4BbxQzDCQdQOCV3xHy4ZLxXKDYjtRJsAC/pqqnz2z9JMyGSZ+0&#10;VaOKDl97IEEdsmY9ygJ0i7QGfueQFDqUS38/95UHR/MPTWrn0Kg8FsYqDRQGZoM0CabQ1XvL8kqo&#10;iCaGItlpXXg4km3yeQ1uejpAxQorQPDQc3wzvYfDnJ9WIwuGPsVJ/drWCU0mUDBWPmq7ei2DYm5T&#10;XQxMKp8QIxmF0/LRzQ1mS1E+u2ttI3qDIVyvdZEbmn3JLXt7akSkPgNiGzou9ftYcRFrV4+zuQd8&#10;Rv6SlD6hiKsd82gQKMGLpVm5YWevQmWXo8G9rc3h+dsLrwe7RrcmdR4P1vuDidESCVbkNCfiVll2&#10;5hQjgC7UROxnqIEhCS6Mx7xTi6X+F4KV2VETamleX8NqRyRbQP//dUL8Ba+Ljb2Fg6mRkePzpUjo&#10;NQBJBLJPIyQICNZ/yf5U+bkcke/nrdcJkIOOVOZc+BZmZs3cxAAF5upKGmYqYQ0FFvrRBoqWTXxr&#10;lwcu5XChOCW7ePfwy7jJXzDZ6N+TuI+JFHJ+FAcovHDKt5ezUbi9m+n8xkLac8q5Jf81ZkKF4dz4&#10;5mIwR+n2WwJIIkE2KyVtmdX3iJTSgLA0MRbZdfFsx25a64vEFBGw0UbJ94bx7C2G6JgsBzAODy+D&#10;qGBj25sHnNGnaoJNYxb07/MBkSdVSfcKTZpnGA4XJ7iBrsuZ4NqvuUM/o6Yoi6CzDih2347JVKZ/&#10;+UYwSsUFGgkoWbt9N5NOWNe+wSoAezf3cQ/shftKlRVOdWRoxS1tWO4LUhX4/cURVaVFh8Ed+/Hm&#10;NvXKTSJMVeGrcyHB2Il5wxYJ1DCojH580DIOdbRBNl5+AWPCXu3sros2kSITk+sQ+f2VDF/B06Ew&#10;7gXfBEqtetbbGY52Uk7d9s6TOXf37QbjMnFEiGVx94INndj51x+ZdqvJv3qBfaGlDbJ/pSWb46wc&#10;ht3S+YpE2xblVkpzbTBQmbY9v61NulNrkOwMRiSd42S6aPHlKXzxnVGTrjs8nXulaoY6SbsfIRd7&#10;cgSn7e5YO4nmkYDqO7itN/XJPeNODFjHo6I3Mnino50XH45ocb1TNQMnQT04YV12kXkQZtzrarGU&#10;rX162LApmxSCt8NdTG1OQG/tAQdThLeneHMaHj4t2MJcTiE8U5X0IbXXIAdBa1VoGZxC+LdZou5w&#10;bKK9kcGVe77xghaNsWTZJSbZLx6+eiHfgZpdY3jZNqNXE6LCNqGJJgcdFpRqaHx1pGrpF1G7z7/W&#10;Cs10buMPI7asFKDcY8My9L4cC63rHg0JYJmZjpE6MGdrY7flJ3WjO03Y7W3C0cVAPN5r67AxucH/&#10;//f9k7vzRCumRlZGz9yd6x+4yJHA7Z6M84v1/xb7Kfxztx+oLdvgsOB6i655lx96WkyQaSnQZqQy&#10;q+ntKbN8G3uVEe6w1e3C802msUl6fp2EpIvPnV+g6djHRzwNHHU9M9vAFN7s8YXOvEuSg0P2gbKv&#10;j7CSg4n3/cPDw63F1tpHLhTBOyGxgfV8FW6dE+RQT548u7Fz6/PGrek3JOhRwcknyczNlLFLHyOv&#10;lhtDZpTEiPx0PWlm7Cbh3ktMJyXmIXWqftiCCdWz7hIOQG8K0zWjOAYdi5ydsP9Y0QDQw3an6EGJ&#10;aebBlsvM2uL9cX5aItq64AnivSTSk9vpI1ea9+o4ZdsMsUvNtLzTTol4Q7Emhe8umYVbl20DytNe&#10;9F2IXpFuzo7SUK/GXF1dwMyksBStqobqDEumo1aDLrs26xthhr4U5cbqnsCy9BZQBpboPUfOAxmW&#10;AhOQ2St+BWrJWOOyRmUrI2Y4gjv2t41aRSrmdC183kYy30VKvhazyavRyIFVRFdz3KsbVdfU768g&#10;9K3tOVyrW1QuajsdQxqelDhcHwb2mA9348j2mb75IGgR7NxIeYH7es2yEdACeVwtAZuZTYB9uj1B&#10;I/JGOVyftqO2fvsFH9hLZWYR89QYlEvC5Hl2bOgwFrAmGVu9HsQbe2uxM4EJTGY56aNOcEH9oe1m&#10;r8uDPZO3Y3sm0UhH3NxNV52rD3fBVy21VemB8+yIYXA6ng/9+DoLwq28N6dfO0cHTipCHi8aoUa9&#10;f1ThQr9kjt/u3or2dr+97s6N1vE6KwdvoTzOgj6aDBFzjMTN4n7la93D8GnDkECmNgdff7e0jXCM&#10;jnBRLhusibW7FH6G6NOJNSzFK6O2wfj5qNJmWSkA7aoHaQTuCuJWabdwEegnU20IuCtyO9kRTamw&#10;Ou6Iq0HXWrv9uhom8SxzY/6d2RY8VNEhrSCDQDBUtMBzXHw0+ZxFWgm8xkNZHdt+UdjFnMJAsyLx&#10;W8cV8AnLcdbINvrJ1xntX6OsnK1zMEyM1G1iPTFhYHzVQo89O3CZtHvQAnNfx3nifslp/6yPngjz&#10;LQ22NWRPDOIDIvR6IROJfGJZPR3fst/kZ91ClY/Wy3qTfcKwwr1GzJ/1R8L7aHmsg9klBsq5sYOF&#10;96Hs4QnDxulUjI7xDo1DvKB4V1yzG23k1+rurgVs/SGjxCpBxpnQ5NYGBwO4TubTKlDI8gf4xF2o&#10;nITWW6nmIwQWa3CX3h/k18KkqaqdWuJTTofbPnagNgeSn9D5liYv5ywpbbugz92NqmwL13tcOr1T&#10;DsuW2AvqupzLP4vCYF0iHlB9K/2ynkr6iFYPDNtZT/Yzk8nbOPyuOORXTmRgYFCY0JbTBO1fRRUD&#10;m5HJx2pVuKVJYih3+HICJNnpU1fl57CRmlsrCoYbeIJnBwi/zK0KcjXlBFeui8j0iKEnM1n1mAqj&#10;sVNWvoejlBs7kE5WqpYl/67MkpOSs207qDRNxrplz/DuEzb89+mAEUh+XnBl7cDJVmOELbyhPtn5&#10;xVsKh/CTDrUGsSBXMXl8s+YtT0UWmQF9IxmUsmAESE/nNz3mENYI0pe0dRld4sLO1RD7r4+aI5Mq&#10;oD+8gynEkxbFwIyP797O2mHZHXRCumE3cyNmp+o0SPCZ+WhNxgi3Mtev0hH08KXfssLj+7BIfnIa&#10;uFLdQ7lzpsJsEVhojDnc4FhQUIqEoE93avx773pEY25qCIni8f48VTV/3evePBCuhk+kuSgnSuPf&#10;AlGsuO5SE+V55ITOO1ZBsctDZztXvPCKs0ZjJOpOGND5W9su0mtqUuzDHVIduyUZ/SvXk0kJZQbL&#10;ZMZp4mkXAHmakGfKyEiO1O8XKVzclKQGMmOpuhl+ZBblXKHV+am+NEe6thWnYZhImTivkyUMpkoI&#10;mDqCNcWVOvAx9aXWTg7K8isxP6Pta/lRw2FillwVFJ83lwuKCrgkRocVcM6mSdnmClJlWWykEU9E&#10;fY2ihKxCprwP+o289LPFSvHSPDdAoDDNPC4R1J8L2/vQPZXfn4+No9vDgUqt5WoO97qRCz9tKCtB&#10;I1haMP4bLyajDZJxY7GWTaKJu40cCjejRaW5mjJIZYfymNjkDwRh9k1lC+rp9J7BCyn247WmHoZk&#10;NiEYTRLCB6RLXioPESmsPYTq0ausGqLrBwE0/3LfQh4THKQ8uDw8XL51QygrBjP56SqzvbyyRKtp&#10;k4Wd7x7RWBqSzqjemROz7xy+VzjYn9BEZqjPfqnG0zA1P94fBwRmyznHMEYx8iajew+t+c+vbNNe&#10;f9PtSKiqQjBdf/vn/ywrH5Y2eIHONeJbEBCEX5ecg+M7oI/95DQvampEz/ege9GPPfKNmeL7HUo0&#10;bX8vnb4wT+LzqYLWxaQYwwhSznGGkd1QzolYBAdd4BzJp9TMslWv5ffJh9G8yl6qMRvHNtu/fyk5&#10;zXNBfz4U6BAbBLD6TFFcEkxK+YFj+WbEyJhd0EqL4/BuTtqF4bwjqwgnzUjLwV9m9sLPP/+H/96I&#10;iNZMkBzXds0Dg23abSjX1GdL7zMcjc7tLpfPeA3Wefxo7eVF+CLj45vyZrMcjncHq8auG5DH0vS4&#10;5/Mo6YiIEp25vvOHiLGyy/Qpm/bVUzbuvi3N6BG3MrzY5hm2ACHpReMk5tNhHK06011sszJ0Z9AB&#10;hIN5XrzA8b3Hh1tQDlfpxvMMyaQBtqoZdJ0HV+JNSaJW/h96N0dLY+fyEZLgeiZgX9RkemOvm8E3&#10;B947MkzTYEnwL9xaYLOk6bhmX0YGXDJSTbNzx6tj2CUVutTWuum1ZVgmtg9uD1xOH1sdGM8HXzMh&#10;72SMIUGpg+uBa/eo+Dkvk7pEjHrd7Pdze8zouTMEbBP7JUZ+Wp3NdblsJsDNCifNIVabXNFtLeKS&#10;yVUKChFChfv6Xkf7G1zKBaxboZxurFzPsGaC3F3I1qwOulDABj01mm9PyXW4vGu2MmN4AHQegFPF&#10;ohFTUi/1NZTfsQBt/D2pqqjaULtOgujgl/S5ibNwUofqOKRoP6fEeMprJuPqDfb9fCOyOTEpC0Kp&#10;wncUVBmbKeQUmiK+CYUAR7l1Op7OZkdWC8RbTcNyGlsdvAWV0Y+lXQmc20dEtAkeqqK09OR4x7Z6&#10;0MRoo1fffKYqxlQhPlna4FXn9uGBI6abnl/f9qNEKL7AIiBWJbVf9mtEgjxA6+x6MGH11dt21wpY&#10;ywrsFY3YVi6rDj4/nKRvytp71cig+2mNUU4cJB19oZQuNZ4BM+QNMw+9zTR2pMhi4fTeRZDVS9Vx&#10;1AsFoE/ITU6vUbIwDTs7V74bWQxDlvRlMNGUerOh/UIjq0W5aIpapLMqUoSnZUQ8ElmeOlvN9kzC&#10;FON8K03+jDLj80OpB4dMSfVGjHGDepmIjJ3W+k4jaquycin+q/guLeGWd8MezbWTqs6aw0m7HlYf&#10;by04PkbvtJn0NySL03ic0koqtsbwUI/rDAcbE0qqyH9M5LY2XBoyc00Px862UBOvR7E3IL0NjLVr&#10;4ZdsTCxBP+/n5tf5grgqTiZlcdXJj5noztwwMeHzkrS+qnmzsRmayHUFDzfnUc41YI0jIqccCUrr&#10;sycypBU+ouQXoXteYVTlaN3swqKrxU9su/6sZtMyxoVCvdQl20G5nstGVLNiIK+8Vkx4QHC+Vai+&#10;jeDg7ApXAGe0su4Vwt94QK1InXgv90IhPGWYAoQnRCtGbo3IciO6oGKOQsywUg65zzSXwA6FNadg&#10;fOOdlTIORKglK+yLl1YAkoo5aF8KktLXYqb0YvbSvoZkNnnzOoiQPkR+jB/y9k1y3+Bwv62wcK43&#10;Vhmi6v9c2mBAyuQ8FoDOrkSyL5DyToUeoCZ18qaKWcOsPnBt0c7zEbu4gHf/C6x1LqrXAtp0oR4C&#10;Pq1zDouDIzQS1Q4h5cyGoXvJgTsU/zKCLsxXPCFtKNo255Up0pL83uYU4/7buxzn6svxWO81H6/S&#10;jHRQcK8af3cCLy+Wnnb6ZhZo4lq0VW4Y0/fXwtmw8FnSYAmgYHThAOTCZfyLq0Vf/1pKW/AbvwBC&#10;BDAYi1tcEvgxRn/zGEndkZ47nOmOftaljHIM2a8n0GBmh2Z1pN2TN0HERInf4fPe+jLMuXYONtTj&#10;3uNOwoRqE3AGljMjV+5+IKKly2ii5ipOgLtj9atj94wBVbh0IlAJgXLEckmTR/BhFy9SeL0luZ0J&#10;HiKgnoIqVEcOod/yETBdq/8KVHl6YZS7DFx9hl5ZT9xxUYxVd9FmeO0FArwSHjg8hnyFdNTGJga4&#10;INaeZL8ybojAcMX0J2N+I4qQAghsaVvr6YpUm53g4SEaA93PlT6oKwXI9RskKPXxsps8MwBOPMFt&#10;ctr+3OPugTrU3VBSOQhyyqxTBKbxzLESABNmXAOXLntgnyZXdN4PhCxM8BwGYbDybkdmtx4MJLSx&#10;qoJkiu4uOioRxs+rdcdCqYGR4u3zpgtarmSR1bYuevhGoaFgpJXJhxh8OTsWjPxhoZWI36w6dL8k&#10;S8Eess5kq2hCEY3fFx8vaUOZ5ParrIZqvuvVQsVc7pdvKoe1aZkianJecP/21VXvlAa+flX21HCB&#10;J6Vjf+y9C/F8HGcNliXgEq+vERGLGNutvq4oGp/3A4/HWxNlszvi0WCrlS6RWcBraoaHrc6T9cyH&#10;wvt4VciPzEntOGkmRkOntVUIVvdfkyZbFz/cXzreb/+4McmU8j4JhPTkZsRsoM1GCW+ixjhKz5It&#10;eHsUefQmhHSMwbckMJglVNUAZgrPHqap2hhj+/rwwOTtYRSv6+P9ejQ4WjY1MsmJyLKauHt2KAVO&#10;nRtc6xTD/MD1sgmjumLg9cEYGOU+2mqPfSGDLccp4i587NdA1fHjIDb9kv6HmYwz97fkrfqv2t1Z&#10;6hImgke9HwGzGfcXuVh0hyh1yEu5HKMDmJOVn0ePMrkfr5t30pU5HBOqZH6cbJ1NIqVIcDiC1PjN&#10;CUXx4cGoufrLkPTLB3VvTE6ejXoVtJcpiiGSnhrPljZPinpjP94KiiX0k3vr+dlfj+loJdvRjPcI&#10;bSD7UYZ1jOx0jvqm9pcFM+1uMBRTrIdgQ0H4YJMHI0gtAGCLkHNReI03QUGQCAACoUu6DSdMRkvw&#10;b4pUmAWdzoqJexEdi2GzhRaHivJxZcvxRcfhi7ULdHoUV1PYguG2lYhMvD28nDND+7LB9gpgY/u3&#10;asm8XRla7tJOMubj37bqV9ifg+gGWuq/h9RT/7gZUkzBJCr3vb5ys9xPxRGdXUwppZY/ik5XlpDr&#10;5m5nY9pbv+kapryt4jVYD9KH8rvNliFFyOObskxe9/uQ0D5C8MmXEMVCxu0fA9R0BWjIauQr/dQw&#10;Ho/XcfXB8isQydZWhvv4IcGphsT391yZ7JvaT31yUoSYaTRpOJb6kGKGlAeFmJtSUgoVgvkHtsE5&#10;LWI1fT4yiK7iKRNmQaHj+FjZhkGi3gBtnMA0cqEPk5y2p8UaYDibUqbKJXfmoB/soPZCSQig2R0b&#10;byRXv68iS9RZisCtrHkNgf69vALyG1lK7lCGkANw4CrlBBkZ5mA2YlELCK6UUUNd02Xu7xqh4ySQ&#10;I5tsAmuLXycGkffZIHWH8e6bbeEe9h/OGosV0lT2C2WaeZekh7UVKfUqf2RaCWL4ceWyNr3wrw2p&#10;LMJOCP80bxF9v815V1F0tn60yuZAELmjZfOOrROabXzq5iRtu4zgNaxDdC5b8PF3uPsZEbDPRa2V&#10;tQoW+4cc30WamxSWy2lrK8YL9/etFfenRw4/TVKkbU43jnFn44c1eljOOvBizFxx+ttiXeYMIzYB&#10;z5+bdm/GY32dSBHKoy4us/277U4tMHMaCO9IHYvdDhjfaAN0XcGuHpGEoP3g/ZpHqD89TfL8/F4v&#10;YITWGBge/CtK62CqZ29kqOBob2Zt8tPhjIwblOngwwq8ImsRZHKnbGAISqhgOIE5B8XGyobJ0C/A&#10;WszGsAlcQYiQIEBFwRAiJGCFONfblwp+/3mlMJQkCKLf0njEZeTmzCSvLyoRUJPtq4QX2K5PAA0e&#10;kuMmJXzCMKuqo6EK+oIVHaAQx+mnVw7HGNJ35oDak9/WDB3M38GsQCjXNQ4+BcAdU0C2M1JgY+7e&#10;UCGmW0sAfY8lw2dqLm5HiaWJwSIszBeya2Z4qq2dJrKrjP3pB3cfqrLRTgFJgIJEQtIZAD7SCtqQ&#10;H1VaDbU1FF8iX8Uzriy+89Oj4wESnVk3kYvNI+Fof/k6Rv/p5MsZmqgK7UjtZoVGcQ2bVpRHbk0y&#10;6xRj7LzdqOgRk+rYRhTazHLM8ESNH1ltI7uVnNwzl+nzO533ZNIzPWwYO4piLduRpx8cdpHcJzni&#10;Dtz9Jxwjvzld1vXOQVXNrt8ZXEmrW07eo/XX56lf2NCejhEcdGwx9H7QKdLKuTQlQm/4YFDZ0y1q&#10;7F0hFPuIdgP353oFnfvEMADX6wj4IP0O5erb2Fj8TCXF9j+lkoKOxJr8N7mkJwI/msv7gozDFStS&#10;mKC9TZVr7ncWX915Se5nv8Fcwvtw5v7ljXk3TxtUVf5GN8UWvJQVaapWv47OK/pPHHByWJQJLLKn&#10;b6E91DIyaTn3ro6mD1+CSlG8w8lNM1Er1BgjiigFE4zvcaMleu+VBLHF3zf2Qqiswu6DjrF61iqY&#10;3uFjZ7m0P8vC/G1WexfoGn+o2KlgON2x+XiW34EtCtoIN5x0Q3QYE6mARwwWf6KHwMeDlalku+9I&#10;h4c+Yfls8R5DlbtXfdUFRFqNwtsdRZkS09mxNe6CLzXsj4uTUc23uUEP58TY10g1L6HG7/gKeV5P&#10;hi+Q2MC+ftONvpO1MBqL2hon/Pb6nTKc0mduyWyddBmTdbW5cljWa4ghQYXT+dXxUR2l5f8/tgiM&#10;HYLo2BtZPo+lu7M7Nz0C/7YMPDBwf8vQPUmWAVOoXQw/U6jI31ukXdBRvjnSE+1LG3r6JEs9jpGh&#10;xakdtDTzy9FMNUBFp9x8T1v2MGzEWSTQZsyPavJzkvPjs+lzbpE79nBVXfQTK23+CvZO0bYDvHH3&#10;VP8uwP/7m4Q5OpJYLQ/5sdfBXJTxZuM7irJ8mVwswgUcvAbE/qzN1rLWA6ciPZmvZKXfdC9Rhbg3&#10;QtqxBzbd2NgU742scKfkCo4yUW8oxmY4WcagR/h75M62Il8IQ0JyjNo78QweuUgEl5YZ0yIIawYm&#10;K4QtbGq22tGk9GrK4IeRZg3f8E1ObnW0x45rVA2KcQaQ5uw9krzu7dpIfMfDoiNmf0pb4vL/Y/lX&#10;nPbf4Nw8zsE6AMLYAIQTG9gD47S/xJ6SGf/Z1f9B17yTAb7nyL/Zf9zTbiKSUSRDuydrpswdxIDa&#10;21QfSlIjrTazL1styzFJEz4zoPWIfHB+sf5oConM3IBB1pCDAp7ulnUKsgXxCIk+K8TquCYcFCFC&#10;rJz66KgGf1YtUXKqCozSDsYwS++VdjXZjK4NZTgY5I4i40WicL460jSeVaRb/NYo58OFj/1q0eUS&#10;39wduWywXczGY7OBUjXics7dIePxe2jpSOltXo5+V5Ie1q99kBibUiH8OsHvNNGDemW0HfKTz8uu&#10;h1NPaLg6ODzj3DjDNeC7U+ELkqOmCE6H7ChjLSU5MbGar+02fwaz/z3l9hdJ/yPX82+wFqZfgFQD&#10;4SQF0gTxL1j/S+N33ucnvoHR7bAdDMhCR36PyJfWE27IsfnNIWMl21ClOzUINeJ9IuOtbCvC/MfM&#10;+4h3xgXmr85IDgHf3AqyEyCg7XtcphGwRwo6zeH80BoQyY/EOuOxUt3qC6OY9QZE38y1ESngWmAp&#10;wHJ9nI1gJpbE7zMquLLrSehlL/T5HgZW5CRnqXhvyPfQDbAqIKzRglk7h+e44Z2/amapuvrOGi/J&#10;S6TYMSj0MsQuK49/4CpoWX7gnqawQV5ncxfzT3LkRJOgcADOOBLiV9BfQ9DG2tHI2lFH8Z2tkYPW&#10;E0GWJUjbdDDABx3FX+IXaxawlncySwMQ79itxQx4CSThI03jKVjhfzwsgMTzRSC1f1TCufPU5pJx&#10;8xdWMHEIMW2mFq7dDoFPv+xpEKdsEbG5ye2LSWAqvkSU+AIO8P9xIG1TBe/z0oSLRlgY8CFPSIs/&#10;t/wYFPdzhKcl4MQkvS/rXFGab8mFE0neXXSFokBZ8NydnkG5MrViBuJRmyNUNrfvg4ovbQmAKmDO&#10;XHhfcSTjW/aGhUB7CiUkNc5xlBV0fdLYp3sk1S1PW4sclhgEpTyXr+UIZk2vRPBlK7LXygdepXm9&#10;qcFWNZi2hYM1lWTVPW2LQ+7vyNzytzwgTkdaPi8c5kljFzwdvhnK8HOK40BpKSRVpvK7yetDC8Wc&#10;ZBSShaQGMd/Vl3RnorqbW7rNMkJQYYsRio4R92RSy1e5GsATy+m99ijkl79rws00jALx9kj3cudt&#10;ti8zmwkXUXN5wQtB/Bb/7cCmkk20loYO6tJ1zM7rg8cXspKgLwA/nYtflSjPVwm4PUFAQQiAn3CE&#10;ICD/sma/DPz7cXii6V8NGdhJ4v0m7T8HfU7bTzq/BrX5W+fnMfhfgz3x2K+G/Ff/j2KbP8d7Xm7z&#10;JP9rPHLgt7/V/iq+eQ7R85KR39rZwO39t/Z/Ckieqz8vefitTgBM6f9W/7sA4n9N+qkI4FdDBnZv&#10;wX9y9P9S+BOlpFf/IPXnL/qc/Z/G+YVSyz/V/usueG7nuRf72w4P8FIB3in/5dM+t/A84vrbwhTQ&#10;zXqy8Hf89X/N/dcmfVJGBj62v8D6uzzizy3yvEDiSevX5JP/0PtdLvG/Rv4T9SPony/9n8zonwM/&#10;z43+HhgDaOVfMqXPwXruhP42cAhMtwIN/HPB/tdLPxUu/GrIwO4KSNt/Kf9dxvD05v9+8p8uwl8N&#10;Gdit4z/X/c+1+Ofcn1+MTxZ+gY5O8O8Wnl2Tz7F4Xlvx2yAxkJv+nM5vU7KSED+ZCx0EHQQAnPZn&#10;oie9/wNQSwMECgAAAAAAh07iQAAAAAAAAAAAAAAAAAsAAABkcnMvY2hhcnRzL1BLAwQUAAAACACH&#10;TuJAGX60G9kFAAAKHAAAFQAAAGRycy9jaGFydHMvY2hhcnQxLnhtbO1Z3W8TRxB/r9T/4XrKW5X4&#10;zt+xsFHiNFXVABEG3td36/iUvdtjb53YeeIh9Auhtipt1YKohITaB1QJlSIEBf6Z2An/RWd29xzn&#10;8lES9aGhiaLkdnZmbmZ+s7Oze+fO90NmrVGRBDyq2+6MY1s08rgfRCt1++qVxemqbSWSRD5hPKJ1&#10;e0AT+3zj/ffOeTWvS4RsxcSjFiiJkppXt7tSxrVcLvG6NCTJDI9pBHMdLkIiYShWcr4g66A8ZLm8&#10;45RzSoltFJATKAhJEKXy4m3keacTeHSBe72QRlJbISgjEiKQdIM4sRvgnE8kdWedorVGWN127BwS&#10;GYlWNGGjO928qImC9yKf+k0uIgjjBH/o1eaYpCICVU0eSXib8TN8q0iFRKz24mmPhzEY1w5YIAfK&#10;XDAQdDe7HPywLtPrvUDQpG57bjENBDzuC0UYeIInvCNnQGNORyFFA9VWctVc3uABzrrFWiIHjGqH&#10;XCeP3ubG71UmLBLG2sRbxdhMMI9Zd+dRMBsMlFLw44MMJKP4wMiA9yQ+hSTqEbY0HvcvcN+YQ/0V&#10;qqM/OIjYNyjMFCpuseC4s+VSqVxyy0YknXUK+XzVzTswU5ydzVeVh9n35iZN4rBSwMAJkMHy/rJo&#10;nCO1NvcHy8ISXGK+WEnsLQYikUskkctEQGoDEcTlJfjTYXy9blPGIN2CRNMBMC42bGtdkLhuJ9d7&#10;RFDbIpEHZABXinTQlDB20VhSY4lsIUpqECMl1tb4tHMZrMGMrds6W61kA+TyZbCjjQqsQNnUq9sR&#10;LG1c5iJYhSUe8ZZ6sq1VSF4UcVCEJJQFWAIcyD9SSzgL/MWAMTUQK+0mEyYuDv6oYGbYcJFFlhzE&#10;tANVo25/GEbTTGpPKMlMUKInvCQz4SVGt/YRstJ4jf9hlEKCD2lWkZ7kV3CwQBmV1N+DYMy4nBOU&#10;7KafWu1xQJtY4pC8RsSgyRlPF7gKPyQ9Bei9WuCnGYeWeTUufJoGQ1NkH+kQ4cu0g0+dRqtLqXQ/&#10;mJqfctFkRYX5JoHSiRyxbEJhkdpQ87pYWvAqjQDY1BjdeTq8+XD42R/bv/+4/eK70f3N4d1XqG1N&#10;hSEG02Gwq1UPlAnwqG2ifXAfq/+ekPjLyu2sY+1eu81oYWGCFxQZ5qyMMfpYMqp0eLVjyRR0iI8l&#10;UzyBTOkEMqbkHG3bUpslCLmvcnMCcYxtOukRhchBKTQ3la9NzU1V/zmPKtqFbB5tPbux88Wj4U34&#10;ffzmwSZk086TB6M7r0e3fhs9eqWzbG9aYX7qXHShGuhcfD18fm9049fhL8/ffP7tcdXkjZrh3Zej&#10;e1/u/Lk5uvdo+8XXO988PK6mgtG09fzW1rOfjza+aHj1m47mLRneNz9tDh/fH97+fuvl7a1nX23/&#10;9eRouXLq2c2nWy9+OIhXL0uz8vUgXaMGdWhCMMpRLzygfgD48xPgA9O4iOjGqwn7ZuNjCu0JYSpH&#10;VDumqNlCc0iCuKWiM6Pya7ey7E+Bols5LEtSeJ3DGFLUDmVIoTqUIcUnwwDx3I2IHqTBVVHFeOsq&#10;Pl5qSZevL9EVGvmf0r17Pc5cI9AwTzSFSGsSeZGEpjkxzSLSW1QcSF+mwsN2MKtnXtXXVrCxX9US&#10;JbCpLMEObHpMVV7B+rHZHWw3Wgyawrm0TdW7MCA13spAYM92p9zE3GLqaZkb7UJXCk39KJJigEzZ&#10;/eCU9T5OSfc+8Pfd730y0GWGYyTNLn2GJPSq/9EuNgNdZjhG0vROZ0ieeiRNR3uG5KlH0pwzzpA8&#10;9Uia098ZkqceSXMmP0Py9CA5vgP+F+6Ey+VKsVyqOm4l7xRnTfubHvNm3GpltlpySgW3Utb32O/6&#10;hfD/8FCER1k8BV8LkksRM9ibTPCDJJ6Ha/PVZM4chTeo4Po0jEf6BbyQwzv8C2Ty0hfO1bvfMvZ8&#10;ETjhPT3CAqKH3G17NdpXn5bYApHEEnAyr9viE1/fxuFt99UYP2FN3DCAhZMy6mpYmaw+4TX+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BEAAABkcnMvY2hhcnRzL19yZWxzL1BLAwQUAAAACACH&#10;TuJAIy06Vr8AAAAvAQAAIAAAAGRycy9jaGFydHMvX3JlbHMvY2hhcnQxLnhtbC5yZWxzhY89awMx&#10;EET7QP6D2D7aOxchhNO5CQG3wSa1LO19cCet0Crm/O+tFIEYAimHYd5juv0WVnWhLDNHA61uQFF0&#10;7Oc4Gjgd359eQEmx0duVIxm4ksC+f3zoPmi1pY5kmpOoSoliYColvSKKmyhY0Zwo1mbgHGypMY+Y&#10;rFvsSLhrmmfMvxnQ3zHVwRvIB9+COl5TNf/P5mGYHb2x+woUyx+KH3tF2jxSMaA1UjiT//4r+Ml5&#10;OTMvrd5W2QD7Du9u9jdQSwMECgAAAAAAh07iQAAAAAAAAAAAAAAAAAoAAABkcnMvX3JlbHMvUEsD&#10;BBQAAAAIAIdO4kCrFs1GswAAACIBAAAZAAAAZHJzL19yZWxzL2Uyb0RvYy54bWwucmVsc4WPzQrC&#10;MBCE74LvEPZu03oQkSa9iNCr1AdY0u0PtknIRrFvb9CLguBxdphvdsrqMU/iToFHZxUUWQ6CrHHt&#10;aHsFl+a02YPgiLbFyVlSsBBDpder8kwTxhTiYfQsEsWygiFGf5CSzUAzcuY82eR0LswYkwy99Giu&#10;2JPc5vlOhk8G6C+mqFsFoW4LEM3iU/N/tuu60dDRmdtMNv6okGbAEBMQQ09RwUvy+1pk6VOQupRf&#10;y/QTUEsDBBQAAAAIAIdO4kCtaumHIgEAAMkCAAATAAAAW0NvbnRlbnRfVHlwZXNdLnhtbJVSS08C&#10;MRC+m/gfml4NLXAwxrBwcPGoxuAPaNrZR+grnbIs/95hWS5GRE7NdPq9ZrpY9c6yDhK2wRd8Jqac&#10;gdfBtL4u+NfmdfLEGWbljbLBQ8EPgHy1vL9bbA4RkBHaY8GbnOOzlKgbcApFiOCpU4XkVKYy1TIq&#10;vVU1yPl0+ih18Bl8nuQjB18uSqjUzma27un65KS32HP2cnp41Cq4itG2WmVyKjtvfqhMQlW1GkzQ&#10;O0fcAmMCZbAByM6K4eTyV6kEFm+TGsMIQg52sGkjPlDiCwrHzuUsI+6dtpBaA+xDpfymHCWWJqHU&#10;DdXjMRN/U10fi0lqT7ulkQy8Z9OXxE3Y+wTdP2QdjhsQZcKSYJ/QXWOHeSiDvpV8PaDO3HL4iMtv&#10;UEsBAhQAFAAAAAgAh07iQK1q6YciAQAAyQIAABMAAAAAAAAAAQAgAAAAxS4AAFtDb250ZW50X1R5&#10;cGVzXS54bWxQSwECFAAKAAAAAACHTuJAAAAAAAAAAAAAAAAABgAAAAAAAAAAABAAAABpKwAAX3Jl&#10;bHMvUEsBAhQAFAAAAAgAh07iQIoUZjzRAAAAlAEAAAsAAAAAAAAAAQAgAAAAjSsAAF9yZWxzLy5y&#10;ZWxzUEsBAhQACgAAAAAAh07iQAAAAAAAAAAAAAAAAAQAAAAAAAAAAAAQAAAAAAAAAGRycy9QSwEC&#10;FAAKAAAAAACHTuJAAAAAAAAAAAAAAAAACgAAAAAAAAAAABAAAACzLQAAZHJzL19yZWxzL1BLAQIU&#10;ABQAAAAIAIdO4kCrFs1GswAAACIBAAAZAAAAAAAAAAEAIAAAANstAABkcnMvX3JlbHMvZTJvRG9j&#10;LnhtbC5yZWxzUEsBAhQACgAAAAAAh07iQAAAAAAAAAAAAAAAAAsAAAAAAAAAAAAQAAAANCUAAGRy&#10;cy9jaGFydHMvUEsBAhQACgAAAAAAh07iQAAAAAAAAAAAAAAAABEAAAAAAAAAAAAQAAAAhywAAGRy&#10;cy9jaGFydHMvX3JlbHMvUEsBAhQAFAAAAAgAh07iQCMtOla/AAAALwEAACAAAAAAAAAAAQAgAAAA&#10;tiwAAGRycy9jaGFydHMvX3JlbHMvY2hhcnQxLnhtbC5yZWxzUEsBAhQAFAAAAAgAh07iQBl+tBvZ&#10;BQAAChwAABUAAAAAAAAAAQAgAAAAXSUAAGRycy9jaGFydHMvY2hhcnQxLnhtbFBLAQIUABQAAAAI&#10;AIdO4kBEis3F2AAAAAkBAAAPAAAAAAAAAAEAIAAAACIAAABkcnMvZG93bnJldi54bWxQSwECFAAU&#10;AAAACACHTuJAmD/q/gUBAAA4AgAADgAAAAAAAAABACAAAAAnAQAAZHJzL2Uyb0RvYy54bWxQSwEC&#10;FAAKAAAAAACHTuJAAAAAAAAAAAAAAAAADwAAAAAAAAAAABAAAABYAgAAZHJzL2VtYmVkZGluZ3Mv&#10;UEsBAhQAFAAAAAgAh07iQJzGZRt0IgAA2ScAAB0AAAAAAAAAAQAgAAAAhQIAAGRycy9lbWJlZGRp&#10;bmdzL1dvcmtib29rMS54bHN4UEsFBgAAAAAOAA4AaQMAABgwAAAAAA==&#10;">
            <v:path/>
            <v:fill on="f" focussize="0,0"/>
            <v:stroke on="f" joinstyle="miter"/>
            <v:imagedata r:id="rId10" o:title=""/>
            <o:lock v:ext="edit" aspectratio="t"/>
            <w10:wrap type="topAndBottom"/>
          </v:shape>
          <o:OLEObject Type="Embed" ProgID="Excel.Sheet.8" ShapeID="_x0000_s1035" DrawAspect="Content" ObjectID="_1468075726" r:id="rId9">
            <o:LockedField>false</o:LockedField>
          </o:OLEObject>
        </w:pict>
      </w:r>
    </w:p>
    <w:p>
      <w:pPr>
        <w:spacing w:line="576" w:lineRule="exact"/>
        <w:ind w:firstLine="640" w:firstLineChars="200"/>
        <w:outlineLvl w:val="1"/>
        <w:rPr>
          <w:rFonts w:ascii="仿宋_GB2312" w:hAnsi="仿宋_GB2312" w:eastAsia="仿宋_GB2312" w:cs="仿宋_GB2312"/>
          <w:color w:val="000000"/>
          <w:sz w:val="32"/>
          <w:szCs w:val="32"/>
        </w:rPr>
      </w:pPr>
    </w:p>
    <w:p>
      <w:pPr>
        <w:spacing w:line="576" w:lineRule="exact"/>
        <w:ind w:firstLine="640" w:firstLineChars="200"/>
        <w:outlineLvl w:val="1"/>
        <w:rPr>
          <w:rFonts w:ascii="仿宋_GB2312" w:hAnsi="仿宋_GB2312" w:eastAsia="仿宋_GB2312" w:cs="仿宋_GB2312"/>
          <w:color w:val="000000"/>
          <w:sz w:val="32"/>
          <w:szCs w:val="32"/>
        </w:rPr>
      </w:pPr>
    </w:p>
    <w:p>
      <w:pPr>
        <w:spacing w:line="576" w:lineRule="exact"/>
        <w:ind w:firstLine="640" w:firstLineChars="200"/>
        <w:outlineLvl w:val="1"/>
        <w:rPr>
          <w:rFonts w:ascii="仿宋_GB2312" w:hAnsi="仿宋_GB2312" w:eastAsia="仿宋_GB2312" w:cs="仿宋_GB2312"/>
          <w:color w:val="000000"/>
          <w:sz w:val="32"/>
          <w:szCs w:val="32"/>
        </w:rPr>
      </w:pPr>
    </w:p>
    <w:p>
      <w:pPr>
        <w:spacing w:line="576" w:lineRule="exact"/>
        <w:ind w:firstLine="640" w:firstLineChars="200"/>
        <w:outlineLvl w:val="1"/>
        <w:rPr>
          <w:rFonts w:ascii="仿宋_GB2312" w:hAnsi="仿宋_GB2312" w:eastAsia="仿宋_GB2312" w:cs="仿宋_GB2312"/>
          <w:color w:val="000000"/>
          <w:sz w:val="32"/>
          <w:szCs w:val="32"/>
        </w:rPr>
      </w:pPr>
    </w:p>
    <w:p>
      <w:pPr>
        <w:pStyle w:val="27"/>
        <w:numPr>
          <w:ilvl w:val="0"/>
          <w:numId w:val="1"/>
        </w:numPr>
        <w:tabs>
          <w:tab w:val="left" w:pos="631"/>
        </w:tabs>
        <w:spacing w:line="600" w:lineRule="exact"/>
        <w:ind w:firstLineChars="0"/>
        <w:outlineLvl w:val="1"/>
        <w:rPr>
          <w:rStyle w:val="23"/>
          <w:rFonts w:hint="eastAsia" w:ascii="黑体" w:hAnsi="黑体" w:eastAsia="黑体" w:cs="黑体"/>
          <w:b w:val="0"/>
          <w:bCs w:val="0"/>
        </w:rPr>
      </w:pPr>
      <w:bookmarkStart w:id="29" w:name="_Toc15377207"/>
      <w:bookmarkStart w:id="30" w:name="_Toc15396605"/>
      <w:r>
        <w:rPr>
          <w:rFonts w:hint="eastAsia" w:ascii="黑体" w:hAnsi="黑体" w:eastAsia="黑体" w:cs="黑体"/>
          <w:b w:val="0"/>
          <w:bCs w:val="0"/>
          <w:color w:val="000000"/>
          <w:sz w:val="32"/>
          <w:szCs w:val="32"/>
        </w:rPr>
        <w:t>支</w:t>
      </w:r>
      <w:r>
        <w:rPr>
          <w:rStyle w:val="23"/>
          <w:rFonts w:hint="eastAsia" w:ascii="黑体" w:hAnsi="黑体" w:eastAsia="黑体" w:cs="黑体"/>
          <w:b w:val="0"/>
          <w:bCs w:val="0"/>
        </w:rPr>
        <w:t>出决算情况说明</w:t>
      </w:r>
      <w:bookmarkEnd w:id="29"/>
      <w:bookmarkEnd w:id="30"/>
    </w:p>
    <w:p>
      <w:pPr>
        <w:spacing w:line="576" w:lineRule="exact"/>
        <w:ind w:firstLine="641"/>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年本年支出合计</w:t>
      </w:r>
      <w:r>
        <w:rPr>
          <w:rFonts w:ascii="仿宋_GB2312" w:hAnsi="仿宋_GB2312" w:eastAsia="仿宋_GB2312" w:cs="仿宋_GB2312"/>
          <w:color w:val="000000"/>
          <w:sz w:val="32"/>
          <w:szCs w:val="32"/>
        </w:rPr>
        <w:t>406.55</w:t>
      </w:r>
      <w:r>
        <w:rPr>
          <w:rFonts w:hint="eastAsia" w:ascii="仿宋_GB2312" w:hAnsi="仿宋_GB2312" w:eastAsia="仿宋_GB2312" w:cs="仿宋_GB2312"/>
          <w:color w:val="000000"/>
          <w:sz w:val="32"/>
          <w:szCs w:val="32"/>
        </w:rPr>
        <w:t>万元，其中：基本支出</w:t>
      </w:r>
      <w:r>
        <w:rPr>
          <w:rFonts w:ascii="仿宋_GB2312" w:hAnsi="仿宋_GB2312" w:eastAsia="仿宋_GB2312" w:cs="仿宋_GB2312"/>
          <w:color w:val="000000"/>
          <w:sz w:val="32"/>
          <w:szCs w:val="32"/>
        </w:rPr>
        <w:t>356.16</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87.61%</w:t>
      </w:r>
      <w:r>
        <w:rPr>
          <w:rFonts w:hint="eastAsia" w:ascii="仿宋_GB2312" w:hAnsi="仿宋_GB2312" w:eastAsia="仿宋_GB2312" w:cs="仿宋_GB2312"/>
          <w:color w:val="000000"/>
          <w:sz w:val="32"/>
          <w:szCs w:val="32"/>
        </w:rPr>
        <w:t>；年未结转结余</w:t>
      </w:r>
      <w:r>
        <w:rPr>
          <w:rFonts w:ascii="仿宋_GB2312" w:hAnsi="仿宋_GB2312" w:eastAsia="仿宋_GB2312" w:cs="仿宋_GB2312"/>
          <w:color w:val="000000"/>
          <w:sz w:val="32"/>
          <w:szCs w:val="32"/>
        </w:rPr>
        <w:t>50.39</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12.39%</w:t>
      </w:r>
      <w:r>
        <w:rPr>
          <w:rFonts w:hint="eastAsia" w:ascii="仿宋_GB2312" w:hAnsi="仿宋_GB2312" w:eastAsia="仿宋_GB2312" w:cs="仿宋_GB2312"/>
          <w:color w:val="000000"/>
          <w:sz w:val="32"/>
          <w:szCs w:val="32"/>
        </w:rPr>
        <w:t>。</w:t>
      </w:r>
    </w:p>
    <w:p>
      <w:pPr>
        <w:spacing w:line="600" w:lineRule="exact"/>
        <w:ind w:firstLine="420" w:firstLineChars="200"/>
        <w:rPr>
          <w:rFonts w:ascii="仿宋_GB2312" w:eastAsia="仿宋_GB2312"/>
          <w:color w:val="FF0000"/>
          <w:sz w:val="32"/>
          <w:szCs w:val="32"/>
        </w:rPr>
      </w:pPr>
      <w:r>
        <w:pict>
          <v:shape id="_x0000_s1030" o:spid="_x0000_s1030" o:spt="75" type="#_x0000_t75" style="position:absolute;left:0pt;margin-left:27pt;margin-top:28.9pt;height:211.8pt;width:348.8pt;mso-wrap-distance-left:9pt;mso-wrap-distance-right:9pt;z-index:-251660288;mso-width-relative:page;mso-height-relative:page;" o:ole="t" filled="f" o:preferrelative="t" stroked="f" coordsize="21600,21600" wrapcoords="93 306 93 20911 21507 20911 21507 306 93 306">
            <v:path/>
            <v:fill on="f" focussize="0,0"/>
            <v:stroke on="f" joinstyle="miter"/>
            <v:imagedata r:id="rId12" o:title=""/>
            <o:lock v:ext="edit" aspectratio="t"/>
            <w10:wrap type="through"/>
          </v:shape>
          <o:OLEObject Type="Embed" ProgID="Excel.Sheet.8" ShapeID="_x0000_s1030" DrawAspect="Content" ObjectID="_1468075727" r:id="rId11">
            <o:LockedField>false</o:LockedField>
          </o:OLEObject>
        </w:pict>
      </w:r>
    </w:p>
    <w:p>
      <w:pPr>
        <w:pStyle w:val="27"/>
        <w:numPr>
          <w:ilvl w:val="0"/>
          <w:numId w:val="1"/>
        </w:numPr>
        <w:spacing w:line="600" w:lineRule="exact"/>
        <w:ind w:firstLineChars="0"/>
        <w:outlineLvl w:val="1"/>
        <w:rPr>
          <w:rStyle w:val="23"/>
          <w:rFonts w:hint="eastAsia" w:ascii="黑体" w:hAnsi="黑体" w:eastAsia="黑体" w:cs="黑体"/>
          <w:b w:val="0"/>
          <w:bCs w:val="0"/>
        </w:rPr>
      </w:pPr>
      <w:bookmarkStart w:id="31" w:name="_Toc15377208"/>
      <w:bookmarkStart w:id="32" w:name="_Toc15396606"/>
      <w:r>
        <w:rPr>
          <w:rFonts w:hint="eastAsia" w:ascii="黑体" w:hAnsi="黑体" w:eastAsia="黑体" w:cs="黑体"/>
          <w:b w:val="0"/>
          <w:bCs w:val="0"/>
          <w:color w:val="000000"/>
          <w:sz w:val="32"/>
          <w:szCs w:val="32"/>
        </w:rPr>
        <w:t>财</w:t>
      </w:r>
      <w:r>
        <w:rPr>
          <w:rStyle w:val="23"/>
          <w:rFonts w:hint="eastAsia" w:ascii="黑体" w:hAnsi="黑体" w:eastAsia="黑体" w:cs="黑体"/>
          <w:b w:val="0"/>
          <w:bCs w:val="0"/>
        </w:rPr>
        <w:t>政</w:t>
      </w:r>
      <w:r>
        <w:rPr>
          <w:rFonts w:hint="eastAsia" w:ascii="黑体" w:hAnsi="黑体" w:eastAsia="黑体" w:cs="黑体"/>
          <w:b w:val="0"/>
          <w:bCs w:val="0"/>
          <w:color w:val="000000"/>
          <w:sz w:val="32"/>
          <w:szCs w:val="32"/>
        </w:rPr>
        <w:t>拨款</w:t>
      </w:r>
      <w:r>
        <w:rPr>
          <w:rStyle w:val="23"/>
          <w:rFonts w:hint="eastAsia" w:ascii="黑体" w:hAnsi="黑体" w:eastAsia="黑体" w:cs="黑体"/>
          <w:b w:val="0"/>
          <w:bCs w:val="0"/>
        </w:rPr>
        <w:t>收入支出决算总体情况说明</w:t>
      </w:r>
      <w:bookmarkEnd w:id="31"/>
      <w:bookmarkEnd w:id="32"/>
    </w:p>
    <w:p>
      <w:pPr>
        <w:spacing w:line="576" w:lineRule="exact"/>
        <w:ind w:firstLine="601"/>
        <w:rPr>
          <w:rFonts w:ascii="仿宋_GB2312" w:hAnsi="仿宋_GB2312" w:eastAsia="仿宋_GB2312" w:cs="仿宋_GB2312"/>
          <w:color w:val="00B050"/>
          <w:sz w:val="32"/>
          <w:szCs w:val="32"/>
        </w:rPr>
      </w:pP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年度收、支总计</w:t>
      </w:r>
      <w:r>
        <w:rPr>
          <w:rFonts w:ascii="仿宋_GB2312" w:hAnsi="仿宋_GB2312" w:eastAsia="仿宋_GB2312" w:cs="仿宋_GB2312"/>
          <w:color w:val="000000"/>
          <w:sz w:val="32"/>
          <w:szCs w:val="32"/>
        </w:rPr>
        <w:t>406.55</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年相比，收、支总计各增加</w:t>
      </w:r>
      <w:r>
        <w:rPr>
          <w:rFonts w:ascii="仿宋_GB2312" w:hAnsi="仿宋_GB2312" w:eastAsia="仿宋_GB2312" w:cs="仿宋_GB2312"/>
          <w:color w:val="000000"/>
          <w:sz w:val="32"/>
          <w:szCs w:val="32"/>
        </w:rPr>
        <w:t>172.15</w:t>
      </w:r>
      <w:r>
        <w:rPr>
          <w:rFonts w:hint="eastAsia" w:ascii="仿宋_GB2312" w:hAnsi="仿宋_GB2312" w:eastAsia="仿宋_GB2312" w:cs="仿宋_GB2312"/>
          <w:color w:val="000000"/>
          <w:sz w:val="32"/>
          <w:szCs w:val="32"/>
        </w:rPr>
        <w:t>万元，增加</w:t>
      </w:r>
      <w:r>
        <w:rPr>
          <w:rFonts w:ascii="仿宋_GB2312" w:hAnsi="仿宋_GB2312" w:eastAsia="仿宋_GB2312" w:cs="仿宋_GB2312"/>
          <w:color w:val="000000"/>
          <w:sz w:val="32"/>
          <w:szCs w:val="32"/>
        </w:rPr>
        <w:t>42.34%</w:t>
      </w:r>
      <w:r>
        <w:rPr>
          <w:rFonts w:hint="eastAsia" w:ascii="仿宋_GB2312" w:hAnsi="仿宋_GB2312" w:eastAsia="仿宋_GB2312" w:cs="仿宋_GB2312"/>
          <w:color w:val="000000"/>
          <w:sz w:val="32"/>
          <w:szCs w:val="32"/>
        </w:rPr>
        <w:t>。主要变动原因是变动原因是年未结转结余资金和项目资金增加。</w:t>
      </w:r>
    </w:p>
    <w:p>
      <w:pPr>
        <w:pStyle w:val="27"/>
        <w:spacing w:line="600" w:lineRule="exact"/>
        <w:ind w:left="640" w:firstLine="0" w:firstLineChars="0"/>
        <w:outlineLvl w:val="1"/>
        <w:rPr>
          <w:rFonts w:ascii="仿宋" w:hAnsi="仿宋" w:eastAsia="仿宋"/>
          <w:b w:val="0"/>
          <w:bCs w:val="0"/>
          <w:color w:val="000000"/>
          <w:sz w:val="32"/>
          <w:szCs w:val="32"/>
        </w:rPr>
      </w:pPr>
      <w:r>
        <w:rPr>
          <w:b w:val="0"/>
          <w:bCs w:val="0"/>
        </w:rPr>
        <w:pict>
          <v:shape id="_x0000_s1031" o:spid="_x0000_s1031" o:spt="75" type="#_x0000_t75" style="position:absolute;left:0pt;margin-left:18pt;margin-top:102pt;height:300.15pt;width:394.8pt;mso-wrap-distance-bottom:0pt;mso-wrap-distance-left:9pt;mso-wrap-distance-right:9pt;mso-wrap-distance-top:0pt;z-index:251658240;mso-width-relative:page;mso-height-relative:page;" o:ole="t" filled="f" o:preferrelative="t" stroked="f" coordsize="21600,21600">
            <v:path/>
            <v:fill on="f" focussize="0,0"/>
            <v:stroke on="f" joinstyle="miter"/>
            <v:imagedata r:id="rId14" o:title=""/>
            <o:lock v:ext="edit" aspectratio="t"/>
            <w10:wrap type="square"/>
          </v:shape>
          <o:OLEObject Type="Embed" ProgID="Excel.Sheet.8" ShapeID="_x0000_s1031" DrawAspect="Content" ObjectID="_1468075728" r:id="rId13">
            <o:LockedField>false</o:LockedField>
          </o:OLEObject>
        </w:pict>
      </w:r>
      <w:r>
        <w:rPr>
          <w:rStyle w:val="23"/>
          <w:rFonts w:hint="eastAsia" w:ascii="黑体" w:hAnsi="黑体" w:eastAsia="黑体"/>
          <w:b w:val="0"/>
          <w:bCs w:val="0"/>
        </w:rPr>
        <w:t>五、一般公共预算财政拨款支出决算情况说明</w:t>
      </w:r>
      <w:bookmarkEnd w:id="18"/>
      <w:bookmarkEnd w:id="19"/>
      <w:bookmarkStart w:id="33" w:name="_Toc15377210"/>
    </w:p>
    <w:p>
      <w:pPr>
        <w:numPr>
          <w:ilvl w:val="0"/>
          <w:numId w:val="2"/>
        </w:numPr>
        <w:spacing w:line="600" w:lineRule="exact"/>
        <w:outlineLvl w:val="1"/>
        <w:rPr>
          <w:rFonts w:ascii="楷体" w:hAnsi="楷体" w:eastAsia="楷体" w:cs="楷体"/>
          <w:b/>
          <w:color w:val="000000"/>
          <w:sz w:val="32"/>
          <w:szCs w:val="32"/>
        </w:rPr>
      </w:pPr>
      <w:r>
        <w:rPr>
          <w:rFonts w:hint="eastAsia" w:ascii="楷体" w:hAnsi="楷体" w:eastAsia="楷体" w:cs="楷体"/>
          <w:b/>
          <w:color w:val="000000"/>
          <w:sz w:val="32"/>
          <w:szCs w:val="32"/>
        </w:rPr>
        <w:t>一般公共预算财政拨款支出决算总体情况</w:t>
      </w:r>
      <w:bookmarkEnd w:id="33"/>
    </w:p>
    <w:p>
      <w:pPr>
        <w:spacing w:line="600" w:lineRule="exact"/>
        <w:outlineLvl w:val="1"/>
        <w:rPr>
          <w:rFonts w:ascii="楷体" w:hAnsi="楷体" w:eastAsia="楷体" w:cs="楷体"/>
          <w:b/>
          <w:color w:val="000000"/>
          <w:sz w:val="32"/>
          <w:szCs w:val="32"/>
        </w:rPr>
      </w:pPr>
    </w:p>
    <w:p>
      <w:pPr>
        <w:spacing w:line="576" w:lineRule="exact"/>
        <w:ind w:firstLine="640" w:firstLineChars="200"/>
        <w:rPr>
          <w:rFonts w:ascii="仿宋_GB2312" w:hAnsi="仿宋_GB2312" w:eastAsia="仿宋_GB2312" w:cs="仿宋_GB2312"/>
          <w:color w:val="000000"/>
          <w:sz w:val="32"/>
          <w:szCs w:val="32"/>
        </w:rPr>
      </w:pPr>
    </w:p>
    <w:p>
      <w:pPr>
        <w:spacing w:line="576" w:lineRule="exact"/>
        <w:ind w:firstLine="640" w:firstLineChars="200"/>
        <w:rPr>
          <w:rFonts w:ascii="仿宋_GB2312" w:hAnsi="仿宋_GB2312" w:eastAsia="仿宋_GB2312" w:cs="仿宋_GB2312"/>
          <w:color w:val="000000"/>
          <w:sz w:val="32"/>
          <w:szCs w:val="32"/>
        </w:rPr>
      </w:pPr>
    </w:p>
    <w:p>
      <w:pPr>
        <w:spacing w:line="576" w:lineRule="exact"/>
        <w:ind w:firstLine="420" w:firstLineChars="200"/>
        <w:rPr>
          <w:rFonts w:ascii="仿宋" w:hAnsi="仿宋" w:eastAsia="仿宋"/>
          <w:color w:val="000000"/>
          <w:sz w:val="32"/>
          <w:szCs w:val="32"/>
        </w:rPr>
      </w:pPr>
      <w:r>
        <w:pict>
          <v:shape id="_x0000_s1032" o:spid="_x0000_s1032" o:spt="75" type="#_x0000_t75" style="position:absolute;left:0pt;margin-left:27.2pt;margin-top:147.55pt;height:264.6pt;width:392.55pt;mso-wrap-distance-left:9pt;mso-wrap-distance-right:9pt;z-index:-251659264;mso-width-relative:page;mso-height-relative:page;" o:ole="t" filled="f" o:preferrelative="t" stroked="f" coordsize="21600,21600" wrapcoords="165 367 165 21172 21393 21172 21393 367 165 367">
            <v:path/>
            <v:fill on="f" focussize="0,0"/>
            <v:stroke on="f" joinstyle="miter"/>
            <v:imagedata r:id="rId16" o:title=""/>
            <o:lock v:ext="edit" aspectratio="t"/>
            <w10:wrap type="tight"/>
          </v:shape>
          <o:OLEObject Type="Embed" ProgID="Excel.Sheet.8" ShapeID="_x0000_s1032" DrawAspect="Content" ObjectID="_1468075729" r:id="rId15">
            <o:LockedField>false</o:LockedField>
          </o:OLEObject>
        </w:pict>
      </w: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年一般公共预算财政拨款支出</w:t>
      </w:r>
      <w:r>
        <w:rPr>
          <w:rFonts w:ascii="仿宋_GB2312" w:hAnsi="仿宋_GB2312" w:eastAsia="仿宋_GB2312" w:cs="仿宋_GB2312"/>
          <w:color w:val="000000"/>
          <w:sz w:val="32"/>
          <w:szCs w:val="32"/>
        </w:rPr>
        <w:t>356.16</w:t>
      </w:r>
      <w:r>
        <w:rPr>
          <w:rFonts w:hint="eastAsia" w:ascii="仿宋_GB2312" w:hAnsi="仿宋_GB2312" w:eastAsia="仿宋_GB2312" w:cs="仿宋_GB2312"/>
          <w:color w:val="000000"/>
          <w:sz w:val="32"/>
          <w:szCs w:val="32"/>
        </w:rPr>
        <w:t>万元，占本年支出合计的</w:t>
      </w:r>
      <w:r>
        <w:rPr>
          <w:rFonts w:ascii="仿宋_GB2312" w:hAnsi="仿宋_GB2312" w:eastAsia="仿宋_GB2312" w:cs="仿宋_GB2312"/>
          <w:color w:val="000000"/>
          <w:sz w:val="32"/>
          <w:szCs w:val="32"/>
        </w:rPr>
        <w:t>87.61%</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年相比，一般公共预算财政拨款增加</w:t>
      </w:r>
      <w:r>
        <w:rPr>
          <w:rFonts w:ascii="仿宋_GB2312" w:hAnsi="仿宋_GB2312" w:eastAsia="仿宋_GB2312" w:cs="仿宋_GB2312"/>
          <w:color w:val="000000"/>
          <w:sz w:val="32"/>
          <w:szCs w:val="32"/>
        </w:rPr>
        <w:t>172.15</w:t>
      </w:r>
      <w:r>
        <w:rPr>
          <w:rFonts w:hint="eastAsia" w:ascii="仿宋_GB2312" w:hAnsi="仿宋_GB2312" w:eastAsia="仿宋_GB2312" w:cs="仿宋_GB2312"/>
          <w:color w:val="000000"/>
          <w:sz w:val="32"/>
          <w:szCs w:val="32"/>
        </w:rPr>
        <w:t>万元，增长</w:t>
      </w:r>
      <w:r>
        <w:rPr>
          <w:rFonts w:ascii="仿宋_GB2312" w:hAnsi="仿宋_GB2312" w:eastAsia="仿宋_GB2312" w:cs="仿宋_GB2312"/>
          <w:color w:val="000000"/>
          <w:sz w:val="32"/>
          <w:szCs w:val="32"/>
        </w:rPr>
        <w:t>42.34%</w:t>
      </w:r>
      <w:r>
        <w:rPr>
          <w:rFonts w:hint="eastAsia" w:ascii="仿宋_GB2312" w:hAnsi="仿宋_GB2312" w:eastAsia="仿宋_GB2312" w:cs="仿宋_GB2312"/>
          <w:color w:val="000000"/>
          <w:sz w:val="32"/>
          <w:szCs w:val="32"/>
        </w:rPr>
        <w:t>。主要变动原因是年未结转结余资金和项目资金增加。</w:t>
      </w:r>
    </w:p>
    <w:p>
      <w:pPr>
        <w:numPr>
          <w:ilvl w:val="0"/>
          <w:numId w:val="2"/>
        </w:numPr>
        <w:spacing w:line="600" w:lineRule="exact"/>
        <w:outlineLvl w:val="1"/>
        <w:rPr>
          <w:rFonts w:ascii="楷体" w:hAnsi="楷体" w:eastAsia="楷体" w:cs="楷体"/>
          <w:b/>
          <w:color w:val="000000"/>
          <w:sz w:val="32"/>
          <w:szCs w:val="32"/>
        </w:rPr>
      </w:pPr>
      <w:bookmarkStart w:id="34" w:name="_Toc15377211"/>
      <w:r>
        <w:rPr>
          <w:rFonts w:hint="eastAsia" w:ascii="楷体" w:hAnsi="楷体" w:eastAsia="楷体" w:cs="楷体"/>
          <w:b/>
          <w:color w:val="000000"/>
          <w:sz w:val="32"/>
          <w:szCs w:val="32"/>
        </w:rPr>
        <w:t>一般公共预算财政拨款支出决算结构情况</w:t>
      </w:r>
      <w:bookmarkEnd w:id="34"/>
    </w:p>
    <w:p>
      <w:pPr>
        <w:spacing w:line="576" w:lineRule="exact"/>
        <w:ind w:firstLine="641"/>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年一般公共预算财政拨款支出</w:t>
      </w:r>
      <w:r>
        <w:rPr>
          <w:rFonts w:ascii="仿宋_GB2312" w:hAnsi="仿宋_GB2312" w:eastAsia="仿宋_GB2312" w:cs="仿宋_GB2312"/>
          <w:color w:val="000000"/>
          <w:sz w:val="32"/>
          <w:szCs w:val="32"/>
        </w:rPr>
        <w:t>356.16</w:t>
      </w:r>
      <w:r>
        <w:rPr>
          <w:rFonts w:hint="eastAsia" w:ascii="仿宋_GB2312" w:hAnsi="仿宋_GB2312" w:eastAsia="仿宋_GB2312" w:cs="仿宋_GB2312"/>
          <w:color w:val="000000"/>
          <w:sz w:val="32"/>
          <w:szCs w:val="32"/>
        </w:rPr>
        <w:t>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社会保障和就业（类）支出</w:t>
      </w:r>
      <w:r>
        <w:rPr>
          <w:rFonts w:ascii="仿宋_GB2312" w:hAnsi="仿宋_GB2312" w:eastAsia="仿宋_GB2312" w:cs="仿宋_GB2312"/>
          <w:color w:val="000000"/>
          <w:sz w:val="32"/>
          <w:szCs w:val="32"/>
        </w:rPr>
        <w:t>28.20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7.92%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rPr>
        <w:t>医疗卫生与计划生育（类）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13.02</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3.66%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rPr>
        <w:t>农林水（类）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0.77</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0.22%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rPr>
        <w:t>粮油物资储备事务（类）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296.99</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83.39%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rPr>
        <w:t>住房保障（类）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17.18</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4.82%</w:t>
      </w:r>
      <w:r>
        <w:rPr>
          <w:rFonts w:hint="eastAsia" w:ascii="仿宋_GB2312" w:hAnsi="仿宋_GB2312" w:eastAsia="仿宋_GB2312" w:cs="仿宋_GB2312"/>
          <w:color w:val="000000"/>
          <w:sz w:val="32"/>
          <w:szCs w:val="32"/>
        </w:rPr>
        <w:t>。</w:t>
      </w:r>
    </w:p>
    <w:p>
      <w:pPr>
        <w:spacing w:line="576" w:lineRule="exact"/>
        <w:ind w:firstLine="640" w:firstLineChars="200"/>
        <w:outlineLvl w:val="1"/>
        <w:rPr>
          <w:rFonts w:ascii="仿宋_GB2312" w:hAnsi="仿宋_GB2312" w:eastAsia="仿宋_GB2312" w:cs="仿宋_GB2312"/>
          <w:color w:val="000000"/>
          <w:sz w:val="32"/>
          <w:szCs w:val="32"/>
        </w:rPr>
      </w:pPr>
    </w:p>
    <w:p>
      <w:pPr>
        <w:spacing w:line="576" w:lineRule="exact"/>
        <w:ind w:firstLine="320" w:firstLineChars="100"/>
        <w:rPr>
          <w:rFonts w:ascii="仿宋" w:hAnsi="仿宋" w:eastAsia="仿宋"/>
          <w:b/>
          <w:color w:val="000000"/>
          <w:sz w:val="32"/>
          <w:szCs w:val="32"/>
        </w:rPr>
      </w:pPr>
      <w:r>
        <w:rPr>
          <w:rFonts w:ascii="仿宋_GB2312" w:hAnsi="仿宋_GB2312" w:eastAsia="仿宋_GB2312" w:cs="仿宋_GB2312"/>
          <w:color w:val="000000"/>
          <w:sz w:val="32"/>
          <w:szCs w:val="32"/>
        </w:rPr>
        <w:pict>
          <v:shape id="_x0000_s1037" o:spid="_x0000_s1037" o:spt="75" type="#_x0000_t75" style="position:absolute;left:0pt;margin-left:15pt;margin-top:-9.6pt;height:201.75pt;width:358.5pt;mso-wrap-distance-bottom:0pt;mso-wrap-distance-top:0pt;z-index:-251654144;mso-width-relative:page;mso-height-relative:page;" o:ole="t" filled="f" o:preferrelative="t" stroked="f" coordsize="21600,21600" o:gfxdata="UEsDBAoAAAAAAIdO4kAAAAAAAAAAAAAAAAAEAAAAZHJzL1BLAwQUAAAACACHTuJAC7M4M9cAAAAJ&#10;AQAADwAAAGRycy9kb3ducmV2LnhtbE2PzU7DMBCE70i8g7VI3KjdINo6xKkQCC5caMKFmxsvScA/&#10;IXaT8PYsJzitdmY0+22xX5xlE46xD17BeiWAoW+C6X2r4LV+vNoBi0l7o23wqOAbI+zL87NC5ybM&#10;/oBTlVpGJT7mWkGX0pBzHpsOnY6rMKAn7z2MTidax5abUc9U7izPhNhwp3tPFzo94H2HzWd1cgqm&#10;55dle1c/fb1VN3Z6kNsPrudaqcuLtbgFlnBJf2H4xSd0KInpGE7eRGYVXGcZJWkKCYz83UaQcCRB&#10;Sgm8LPj/D8ofUEsDBBQAAAAIAIdO4kCmcWn9BgEAADcCAAAOAAAAZHJzL2Uyb0RvYy54bWydkcFO&#10;wzAQRO9I/IO1d+q0NBWN6vQSIXHiAh+w2OvEUmJba5fA32PagsoJqbfZHelpdna3/5hG8U6cXPAK&#10;losKBHkdjPO9gteXx7sHECmjNzgGTwo+KcG+vb3ZzbGhVRjCaIhFgfjUzFHBkHNspEx6oAnTIkTy&#10;xbSBJ8xl5F4axrnQp1Guqmoj58AmctCUUtl2JxPaI99a0vnZ2kRZjArW63UNIv8IVrCqtnVZvSnY&#10;3NcVyHaHTc8YB6fPmfCKSBM6XxL8ojrMKA7srkDpATkXlm6O6hxKX006A8rp/xcdrHWauqAPE/l8&#10;aptpxFxenQYXEwhunFHAT2b53Z38c/HlXPTlv9svUEsDBAoAAAAAAIdO4kAAAAAAAAAAAAAAAAAP&#10;AAAAZHJzL2VtYmVkZGluZ3MvUEsDBBQAAAAIAIdO4kC4AYe7vxgAAK0jAAAdAAAAZHJzL2VtYmVk&#10;ZGluZ3MvV29ya2Jvb2sxLnhsc3jtmnVYVFu0wIfuBukUkBAYQgQBaaRb6QbpLgnpoWFISaWkRDqH&#10;DhlauoaWVkIEGSl5o/e+p5d73/v/vXfP950zc7591ppvr/mttdda+6groaCSAtABmAAAgBHQ8Xbn&#10;jh8SABCHBgCQAMaQDKSdnTysnDxMtH1crNyNuJ85OjDkDyOx5QKQEc//e/wfsMDbFBXVHiAhCC6/&#10;yPjlFouTHkNYplfXKDGHBv4qbBJqZ27wytbWeZQ5jyyXuGRC5S1bJrxtOOvIpqZ80BKFqNwbQvEU&#10;JTFoclm3cbh3YY+9jQwryU0udVmS2yvInK+9lWLECwm4ZhcBYYvsfplSglNC+vRh0DoPDj2n7CVV&#10;Gh9bm6ZSwmxoV9zUMpGQYukM4fo4DnXkjATf48RXj3tpIFws1VR1o2ZQXyaIM469F7c2ZuF09Bxk&#10;Ueg4NPO8t9sOaFzJ+dQqbu5xOVMgGtO+YucyGy5RShdy0Bs+e9lrhuRMfj3BR9eBV065REvH9KZ5&#10;MywsYAPVXDwxqaji+lP+4VjOrFMLMxQvwubaT+83lvqmFy+mIVqlkwMcVkvL8GrGjd0MOXr1L2+/&#10;CgI8h/DSBaqYZWpcdvTuGFQm+k9Trwxekrxf0LnfnmGWMuJ6UC26443W+bBKnWiYU7Y96X17lkl9&#10;iz8NuuQFZvGjapP05nN55BqIch89ApvraxSA+l98j8S43QoN4XsrCNfCAbQjmbhZObjzcP+4MuQ3&#10;/+tz/2t97W3SKMLDcKGH8q3SKRcfnRjCxiaMWF8vEXIQmBLDwTCoRpIk/BSVGTVVrgWlby5H/PqS&#10;fWFJ6ORDnL/NPAfkvRt7v51geXmqPzu9DlwzLHLGdPRFiqhGQsuHc7sLZTGoAGnmDFqioYN6TdS4&#10;GAB1aSyI0eKRoCfHKQr05OSe0BTtDGqWaAfK9YL0LRI1V6DieSgkMV8UUuczn1X2ZrrO+jlNP5Sf&#10;MwgqP5OgJ5wz5+8weS9fxkRLe6IqQHETsGP4oool+w7MUPUEXg9Ulwklkqwt9nml1kszdu6WuxlZ&#10;FJ3jAaVbnveuHF6iGdoPrNmxiBS9G3ZceCYXMtB49+E/sh78MCXtBDHSjGCdCoCJ9MyB5w/cvZ3d&#10;7M2dne1/rDR/oo/6A32EX/z/PhAQKb4DEkIPQw4Jt5wmK5iYsg5kw9rsngclKGfVOBLzree0t+Xl&#10;L4Cs2k6Ivz3th1/xZewf2NO8w2D9GKqjTsaCecI6t+yNvZy5nYVB+A5mIIYKxmZlnpue1VkgpxHY&#10;Vto4l2dqeaa5mr5ekGJJE58ZTTi+rUo9USI8NDVQMiLpzXbfyodncgLlI4ladSP2xPJyiE1RevI1&#10;HN9xgdofe+u5zKg1E/ORwAZGpFwxvl4XmJvvdv/xUda9dWEwGni3NuVYz8i8ZMbyG+6uBH4imCaQ&#10;Jcl9m2l4KRO44SF1McheufDF4MXmykB/clxZB+Lf/nt8vAr9ZiONGMFAMEOAgAHBzO+0xGp0OXUD&#10;cdvUYOIy7eA6icZg+fEiR6o0LCz07beutjKZ2gq6ZiYdr8lC11Ubcva3rf0ExWei/Qs8J2zQdxmQ&#10;QpqBUh9pQ0e/LizdJtyG3DKkjMNV3TF9tbI8rG8BN4HuKTCMxUtuPucvnCIjm1nEUw59YKloYX8g&#10;beM9de8WxIUsv5KMlnVArBwyNcavvB8opKw3iGyi7FqicfHqXf6Hh/3eqQ40G7WaHIsn1ETLAvSt&#10;+M1g7MgP7zuwdzWAFBFjdc+Q+BhOx0TpX0fP3x0I2gpU4nbE/NBAHVXessrL3Fc+1V2H272vqhOw&#10;0GXA7t9rKqQIZVyxOGTzTrUGUop5WOyQeXrnAPNrZbw/6Bw9tX0mUxeTy/PNiyPUgpwpTmoXUr76&#10;RlefWEVHiMZ6l/kJBYjzLPSd+cBqqfODa+A1Itv7u70j72vokCPsHYs4Sf+wt7uNmZuVpZaHm62T&#10;tfsPF3VI6FLskSAMR1BZtbfkdJKrKbgQukqyg3J3AIaauZQ+T9pGDpLSUCcq1fZlY5KP2ekq+jjp&#10;kXzKtfikNcwQPaDdeSsiL662BARjClZXIHeepYkNO0mhHyyKAYPxG095kUcKRw0UsclzcDrxGiCS&#10;SAI1LcSGNDa0s1hIPIREEZnRoLoNGRaiWUFWFWRXpiaCYMIHdom0ffMsRAQscq8UC72O6ORKcdW0&#10;XD/nUIISxj1lac0P5u38UGQmbqUzKgoUWFq95Xqxojps9ZR7OeboOW/LAAbt5DW70hb7EL3J9RSf&#10;AX6xbKDhyFbO0odPFvdqt+0K0o24Kh5NDysXDUXE+1CnLy9dtjRSxCvDC98SX6ic4vyTIUuyvwJa&#10;EQZkQRjy9i9w3W2srDzc/4x7P294/yvqhYG7sLuBhDKHIdeEp04TvoSJRW2RY2U7GG93G/AaFPrl&#10;xjvur8pKfhbYw794WmxHd8x8QDrvW5yXgobpBvWewaN6X9xjhxNC0ox/51C+J5ki0xdSEi9gNvhI&#10;FNbJpEVjT6GFLVI4FytwW4m+36oY7gpN6RMqCdqKRin11HDQvrSUuOoldSxmbDDC+nCCK3wmvgBv&#10;u1cH3xJMVhJn0u4ekqGMdM19LTkID1/RHLy8W9KsabL5kRwxtb9TFP65uf8MwZcY5Y+K4qfXethY&#10;OVrx/Lz+nPGe3iiY+h5p++0j8dgt1eS9rUe1dg0wlRqjHSeDe7Ya4Pex/OtQfrr5907u0vtEWFga&#10;6jzykTgYqNp2LAlsgSMv8jVff8cR9WMlEXGd23+DIbHUxvzqUCww4PDM73RjYtMP62s8kDyskLbD&#10;K++jnxCervxEyfoK1cFzl3F4mIxtJJuSa1+O2ZrJcsB1m5KNElSoi26u2BzH81J30KFMkwgJ97Zr&#10;sJUQyNoCSsK8xgnmYHzUt3o/LzXOrl5PgVDhOY8sVlPbQ7pkgN9o4NnXzUbw5T4E/hDErsk+JSFx&#10;JnEGfREFDU/OlIrM2NE8oGWEHZnlJ9ASHInt+pFiYRE8CHh8fZa6r0RW95hCAwKdqVqYDAQZmRGq&#10;Cp5ki1KlJs98ivN1Lz6pRNKu+HBeHlC7cvfKFoCNrGv7vvdkfs7x8JQKbQawSU/b7le+/HSkm/r7&#10;fR2hQ4GpDtBs7mLgc7SOxlkQm/4zvMGjODL/tmXYzgxXK/rmty3s9sdLu9MGt4xDzRUnBrCbYTZO&#10;XttlXIwWcvCXn70K2mdhbNk86up4Vp6l7NC7qZ/suCS9KVdQgpA1mRU+DuiF97EF8R0wKcplP8Ng&#10;ji7MRHc0sxQdjUCu5nv99ESmU4FV5PsjypC46s/n5/MElTliR8bifv5u17sDVzlqdKJCkGutgyG+&#10;xUe2llTt5wfHHe3f310cD9yvpAvYheKQXF+Acx5e7+PcJzwdDxmPqaS7Pjo5inmU03b5PQ+lvWe8&#10;P4xAIQTkjUfvd18P2X4yuDpjnSiQP8YsNtIq2PzzvstSWjVaq6D0FGih1+uzk3sCIfnnwZOKXk/C&#10;41Lm+IxKaBSaqGXsAd8Bbufje2lEa2sCcYvJx6VRLVFjifYH3IrlU6fFlDZ3XCF70Ll8n9B87XzM&#10;Yl3fj5RZpnu6S7RSb5vokoL4u6ATLdKtRjLZjJRJiY/lcQqeJ0kYP+UOSbDjFIxobDOSMyo7WLtN&#10;jUWNrIFxxlj0hKIyt1QmamiTkGUK9xtSUnXMhikUhWSWnJiP1mywNSAS5DJvuF1lfHtXR/Lhoq34&#10;69p3cm4KrNw5GJG8JPMWyU6xScMg2gQBwWr6aKwUti9OwN0Qej6/iJLDBIyUChW4Y0i5Rw43aqOE&#10;sIpiDLKGWtFi4hBnut5XkfRx3m59K4k5rjZVed83z7b5W5P34zt6otyP93iivj5YDFTP97PJXO6s&#10;4nxiMCUCCige+35tnDe7v9lYOYTDjp76JKLr8l356MoAbB2erv4ggT+aIOxhMI6NxBodLofIc/i7&#10;Tc+7MWsFsAFgMChGaEKQzvqLBdO6ZCyfUNus/yYzMeiT/DNKEhf7qR7VFWy14gFGnGMD6/Iip3TI&#10;M0xm8vVpOWH8++gZBVnlvSpvPCrn5c6hIndyHVbCwngzVMwnJfPv0WtLTsDtMTNDw4znDczGvaqa&#10;ShZHteq7kUtS9YJJkjC238SvlIRiUXTVY2nQvBHdLH1lrXPn2PGprxGwHLukuyUuH/lWhhNnhX1a&#10;8ZO0NBgln2MicHCENe92gV96pEZkzEftAuu8oyKIE4+m3bhWHpu52ZiN0eWdW9sj9+a47FFUVApz&#10;S70Xj7Ky8NgyAFa0gbiN3t/SLdVFpF46EMWt0uoy+LSvjRbcpSSviZDJxjCMUa1Ax0pM90thpjXh&#10;6lBGUakPt3GqxyMMC+SCCPYPdsTRMC+p8tGBXRlG6qhvc0yc6ah/M+TMVqs/O+saTFJhXAoVEj2V&#10;8xh0ZmKrlisrQqYgRqp8ZucjII3szKLEaDC1omnBYTnrz1Viz0b/SCBGY1xDmXd0TX9Q6cG5ASXK&#10;ukH1U8wSoqR8onimadORXP2luj0q4Yh6I7jHbTJhaQFysUlNsul7SxxPR4DOKErVoibJ93VHpHH3&#10;J/Y+Qzx4lJz8KjyVtsNqlCQ6h74JNx9QUoVIOvJmyKrwGqeaFc73liyJbOGIgmB6mWF55yOQhcKm&#10;VLFuYVrcV2XHoUtu091jzwIqphJnOkzSO4BV40aEYLrWoZea7B4ca3CU+FUJgTHrJE3But3TlX9c&#10;KfjJA+g1ELndCioAgPfHSuHu4eNg9TPReK09Er0AJGwnP8eXgr8NTHJYN/VjzMIjbVCXx27jaNjD&#10;PLFgFhbiavs6Y0Gf3yh2WOg8CXoo96hhndmBva5tjr8g42wra5yt3Rb1kd8bPC2+rq5UMFFqxmDG&#10;XZJLp1qqESDfi/5sFxbbEIKp1ayTzZi5OZTiT7SFtySxbYlbaxsy/V4NeGkTuhdycKy9VtcnxHnD&#10;LaZlq+i2HoIKl1rpOEU1Iy52zXt9j02rvg4L30+aKovARk1oisyUJ46/N1Xu1oQ0Y7kssaQIuDiC&#10;R7w90LHNS4a65A0OjVp2eXkpnFSZYz/2Fcp+rpp8osiZESwEE0pgNHPUsVrngv6ZYjtNuysBSlb9&#10;wg6CjPb1y5Y6kgbW88NBxyvDb/StSir4kkJiOJ/1OwWWOV72ZINV8HMHXrLHCXPdHZt5uwjpeEzm&#10;3ziozyLRT8meykwjc0gxjiNxpyC7csnomYnhhhM2s3018annK9OmxxXzj4jYTszTKrUm0l2eKEqy&#10;4ILthvjun+Nqw0bK2HND3FvxrzqCNbQuHdGCfOSuQr6pM7jNsnWpgcHiHc+hKJiwmVgDVhH52SlG&#10;ZLetkdK49qx8FoM5/tlVJLTmjMmQqUWn8B7UnI37Atb1mBiVjQ6VDllMXXfOllVEmrwo6qrh6E+Q&#10;vpfM3O2iP7xVmb+5xEEzctnrIEA5ucuWyf2iYHfDq9qwgkn8xFkc6U7j2TFruuhCQBdfeSzH3mP0&#10;NHkytKGd4ytw6843ZIkkyNpqoV+NWO/XgRer/IWcHW3b6oIeR/Ld/D1DKd8RhP09SzmmnYsQQIws&#10;Itij+IO9H7XFnynar+QsNkXFeQGIG36IckqPumQ9r5rsFLyfr6DxNgKp9+FotHKflNVAcsrrK3jB&#10;nowSf8EcS6L88ZpSoqbr8SJ7Dcan1+MsI0kpxGPdU5rOSufrF1cR4BShUc+R1HH1CXKXkyLf6woh&#10;iosNfYBaQq6RgsHhBYuFat2Ya1o6nYAvlYXIgat94/DXW8/EUD2jN22bTWnTMuPDCq/ow22p2Fff&#10;RxphwMCEONF+U4f68yL6ZPUyJmyRujaKvllcOjiDb8z7L7W6u16WR21nOedKPCs5ArBhgRxjfbDp&#10;H+ayy+ZTP8SU4W5d7KFK4di1C7c+9usPVlLuNA8//sq+cOVCCn4xNfb55Rf7goABWCPLlYxaQ+XW&#10;Z8qNhq9sVi+GUbQpQKiXLC9xufJfr48WTPA+UDuSZvJ6n3WAORwfbCEfgNt13UORNJLszxceNx/+&#10;4KBp+7HZSLCpNbD8k8+Oe8PwkYwMcDmfLDWcf0XHtutUt0Ho/Ml2+91zii9MpGgqEuNUeT64NMQV&#10;Uh+f32tRrfE5aZUKf3FZRlJOJBwTfNvNK+872YEdccRMZEtzp1EbqIc/Rx1xc2EwU+L0/ZYTb5S0&#10;/Tsu7ikuVtf1xfirA4PWbWPs7EmoDb2TxM6GEjjNJKt+vK+PSVl3tPEzaKF8Kp7NBmifaahl3odE&#10;N7N8Ekpmv0gBJvGF1X8jBbxXzzR1p7K4tA01bE3CpoN8jcesnewfUfeuI25JYRt6ONWTXbvT6df9&#10;oUX7CpHu/5200K2SLz8KgeJfVZWHmTkiyvH8/PiZEFsmqCiiSCJasiHeNnbOvkmyCQkZuVIShORy&#10;BGPvtfnwrvg9PGNrycWCQnAkXbYVyQ+YnmUx0/W8UrikXHzc8VHnsOwjAXe9OfmOvD6JdAsZknQy&#10;TDlTAde6uOelkekGaCCsBt2CLdE0wcH5a5uQTn/IgjouBC4Ldld0nwrRb5AgeWDxqe7z2i5rNnYE&#10;UwHNuH2viMbUpr48ivJTxlvpRA+Ur/198T1ZS9XzRb/fFqbpq5o92PcO9vkEyicRod70upV7W35G&#10;AOOJSj3jC1jpEa9Hpi9/FJJz00en7SwLH3hzUwZPxcoTHngZfGFzffrDWoHbZ999lbGnnf1p2AQj&#10;c3zYEtK7/ZXi2jb1XszfFcjavWs6Xdqq3DYNswKmdu7znP2jAw+P3lFUQ5jUHDFKhGgoWTpbqLs5&#10;u7jzWDi7Wf0oqxjy/+0jIQIbwD9JQ6kHSApaQbuWHvDLqiNZUlzoShFzZBDSOL2V1MI9x3wv6tPp&#10;ocpCuReblLHb6ID3aBtzFr0VGU2nbt7j+A+RuQDSScMSvkeVWVZCssGe2q76tmjCD4Jljz+cslp4&#10;DtYFWxfYA1WD8EQV5lOmhWEiOsUUBg0YCo4btIMxIo7Mnt/tFA21TiWVOrEY4bohBdkPog1MdQlk&#10;POTcBBk+8Wh5At4DtRkkhWPW2aDixhhyMHF6j8F+dpDIdECR+yJvVq0xzeIjTnSLSQEN/l3zb5e8&#10;ASaVxs0a0nkwI14JWajeIK56sUp1rl0LeU7IG76eAt+Wnmj9xtNPy1irMVrVyIUED3o6yAj2vsC1&#10;V4PVUk7PeAYXNo5sa2VkpT60AFm/O/QLsNSmJDgufPv4PKuKp9/94jqqNmG427KGkYCLl5KEJyh/&#10;6PkVZ7QzwpR/d+79XIfwBASFVwgKCX+n0MzF5V8If+D3x5Gd1KW6DkS0jTj3RWTatYqn7UAcfWQc&#10;b33nyFL1m6itJ3SbvCzVCl5Yr3Uj2a6YqrXicR5RKBOnFnVi5Tzdor869nHgna9w1JSOhLbE4mGw&#10;K3Xa5lA3Ds5Nf5kdYFdi4kjj/ERr6YCRqLIBdzan80dDwnsXdtdwWDdKN04Y3BxWH42SRMsOIrAH&#10;pYSTwWXNBLL92vRCpR8qTubQNGByR1y+9uW3fLneBK3M3DK+73/kCynD1I2ufVMjx/naYFBcDoP+&#10;efBA75NQslYe7HyDoGXUUJEM7GW1XilOHC2+F6AaIlRx0ne42rV1ED5GRY31JvS4h8zji+MwubsQ&#10;DSKq7NhpDorNhKrMBm5bCwNZ3C/XHX3bxRdpER0hycvTsKoVGHiEQNiBmk3IyQH3AT5xPFYaOte7&#10;IfMK5ABk0T2URlxap4haNqSqrPlte2fl5GWfa8EDQePHSoEVhKdlItzRsqXIG3X7bQFskZSOXHNQ&#10;S32OxhD/lWMNG7rz5osRNyGq1x4w+NIsqvilwRn2P1H8xAEA+7ERFYg4SX6n2MLT3cPZ8V+Q/xNj&#10;ACA7YVQtFEgRfsj6nUDlsLAwHA+zCtOBnCBTyPtOoYPKDrgOjQV6vZS02+p3+SXA50urc/VFwu10&#10;iKdUGTGUKDiIs8gv7z2LvwidOnbw8cuPLRqcxt0gkaayg8No8jK8RmMXDGQpCLFx631haLxR054h&#10;qTlZkqTB/JkLjH+mh4HC+V4Wsw6dlpRgusp7+6hhPIzKVv/Ta9nTzHKvAw9D5bHyaPpvyOi7sibd&#10;o4K2MEFGrPyLt5K8UfYpYpYGMppSNipZ0qdN1yGdb0dJkacH1K92vwqbXkSd+RJbBH4QzLXOAW8t&#10;+RhoJKmT9mnMARVr94s6A/WCA8neIFc6zW6++RUDkZC5EC3if36J4Jex/vj2D68UqCv9VcFfd0J/&#10;V+CPAgD8ti96U/Cv20q/C9qg/2w9/jebTDf13Nxq+KUpG/GexI2Nh5vCN/vmv4RxEe6GEP5bF/2m&#10;hpsN418aHiMazH/+/P/UPr6p8GYT9pdCTdyfCm+2ZG8quFmb/1LgT/zHnP6rUr8perO0+iWKSKdv&#10;TOZXoXVTy820+ZcWc0TfGWGSvyXRNzX8NUP8JQ8AQBAV39/yxZvif13afxcXp/5N/M+F/qb0X0Pq&#10;79JodL9J/wqw6kpoCGJ/NELwANoI6KUZftz9B1BLAwQKAAAAAACHTuJAAAAAAAAAAAAAAAAACwAA&#10;AGRycy9jaGFydHMvUEsDBBQAAAAIAIdO4kBMrPDqwQUAAJwSAAAVAAAAZHJzL2NoYXJ0cy9jaGFy&#10;dDEueG1s7VhfaxtHEH8v9DtcD78VW5ItOfaRU5BOuJQ6iYmSvK/u9qTDe7uX3ZVt+Tm0EAgttKWU&#10;lJQ8hFIoCaV9aJK2nyaKk2/Rmd0956RYTuo8JNDaIHbnZudmfvNnZ+78hYOceXtUqkzw0G+s1H2P&#10;8lgkGR+G/rWrW8sbvqc04QlhgtPQn1DlX2h/+MH5OIhHROp+QWLqgRCugjj0R1oXQa2m4hHNiVoR&#10;BeXwLBUyJxq2clhLJNkH4Tmrrdbr6zUjxHcCyBkE5CTj5Xn5JudFmmYx7Yl4nFOurRaSMqIBATXK&#10;CuW3wbiEaNrYrDe9PcJCv+7XkMgIH1rC4Wg5umSJUox5QpNISA4wVvjzOOgwTSUHUZHgGt7m7Mzf&#10;CKmcyN1xsRyLvADlBhnL9MSoCwqC7GgkwA7vCr0xziRVoR83miUQsHwFijyLpVAi1SsgsWZRKL2B&#10;Ys/VNmqrzh9gbKMZKD1h1BrUqK+itbXj9xoVtghjAxLvIjYV5mPWl8/x4DwYeMq4Hxc604zigpGJ&#10;GGsDt4C4hG0FUnhNsSPb50nAxVbGGLCRgPEZQq2k0DSlsd5WKKxWnoQ3HVgJA5FMdqQnhUb/eqqI&#10;tzKp9DZReodICEUgggL6MvykTOyHPmUMwiNTlg4AC3noe/uSFKGvboyJpL5HeAxkcIaW5SbSsG8g&#10;fKCZ0n1E1WwKpDh7EppeAW0wwkLfRpenDuFcsw56DIw2mfkdhz6HVMS0lNkupCQXfbPyvV0INjgC&#10;zjT2GPYBUZRlmLp1iBsSKMGyBLEzGzkcRExahFub+G+Y2Di/KBJLXm/VQZ7VfpxfTlNLXivJgLey&#10;YgDmOfmYVdzTk4KmUCZC/+OcLzNthVEy94AS+yBWcw9ihQ9AtgXJLA1sQAIMwbfWp7gow4iMtbiK&#10;mx5lVFNni8vjggndkZTMxVuR0QhrGpL3iJxEgokyo43/IIgoRF8cZMnBTFQKmVCHonuFPkA+cNEV&#10;muIqbfdHlOrGR0vdpQaqbKjwPCJQK5Gj0BFUEm3lutcV2oNXWdeBTu1n3zycfvF4+vlvRw++O3ry&#10;9bO7N6d3/kZpewaGAlSHzUupdmNUgKXViR6A+VjuZyxIdozZ84YNxoMBo2u9Gd4yBxeHUnNro9Ht&#10;Oa/NsDHuQSZBZW29Lhy3zN+rMsDpNuNPzG8w05kyb5GD9IwWRaBw8z2zyNTZODijRZvdbhfS3WbW&#10;e+KjNVTnzBZt1NebHXv5zNehdxZ1zbeyqNntRNH6O/bR9oAp9EpiKmmlPmGulQ9jYurHSQWvs7Qa&#10;LHWW1l9f9VoWrPmqN/3x8bMffrG1b7bYYdW0FbIB9xaWwRf3Hh3deXA676rjffrHraM/f8ffxz+d&#10;fmLNnTh68uXzr+6fztt0vNOHj158f3P6693p7W+f/nX7+b3701s/n3TUFml3D9hNWbEdqtCDonV8&#10;nJ9wmwC43Qq4wHR8pdi+OxIJbX9CoTslzPjAdOOGCkJnrp0FDlg7t9JovQ75+iKGEu6FDCW6CxlK&#10;SOcYAKuX1tpNCZxBDLG09/VxmKqR2N+mQ8qTz+hcYwlPrhOYhSr9PnJHRF8iuWuD3eWO9D6VJ9J3&#10;qIyx05+X0zU3aT87fFXUNiXQPmxDk+bGB3NVgfbHaqfYmfYZ9PudcgIxqgBPtWkpL+azNscortoa&#10;GaAw8phZ7Qin38Dm6f+telht1TfP2Kn/tzp0G0oYVBhq1zN1mTOXia5DSzJVdGEQ2lUdF2+HVAob&#10;cph5PbxzcCq7SKpdOATv8TRZJsJMW+OmFJuZi7pLbC6xQ91srbZ8L8bRLoUpBpZ5kcCYx4cw1rEh&#10;jFkxTHinD1S9Tfw3TNWBqlFOTvCuykC1UZJxiFo0UBVQB3pEjawRxjwEhgTmK4Tt5U7pjstJiQR2&#10;+jVH/81Mat9w0vAVB/TAfOxgPaKJJ2FGCn35aWIvZhzHrhX4UaVSGMFj1TNmdjEuNB+V2v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EQAAAGRycy9jaGFydHMvX3JlbHMvUEsDBBQAAAAIAIdO&#10;4kAjLTpWvwAAAC8BAAAgAAAAZHJzL2NoYXJ0cy9fcmVscy9jaGFydDEueG1sLnJlbHOFjz1rAzEQ&#10;RPtA/oPYPto7FyGE07kJAbfBJrUs7X1wJ63QKub8760UgRgCKYdh3mO6/RZWdaEsM0cDrW5AUXTs&#10;5zgaOB3fn15ASbHR25UjGbiSwL5/fOg+aLWljmSak6hKiWJgKiW9IoqbKFjRnCjWZuAcbKkxj5is&#10;W+xIuGuaZ8y/GdDfMdXBG8gH34I6XlM1/8/mYZgdvbH7ChTLH4ofe0XaPFIxoDVSOJP//iv4yXk5&#10;My+t3lbZAPsO7272N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K1q6YciAQAAyQIAABMAAABbQ29udGVudF9UeXBlc10ueG1slVJLTwIx&#10;EL6b+B+aXg0tcDDGsHBw8ajG4A9o2tlH6Cudsiz/3mFZLkZETs10+r1mulj1zrIOErbBF3wmppyB&#10;18G0vi741+Z18sQZZuWNssFDwQ+AfLW8v1tsDhGQEdpjwZuc47OUqBtwCkWI4KlTheRUpjLVMiq9&#10;VTXI+XT6KHXwGXye5CMHXy5KqNTOZrbu6frkpLfYc/ZyenjUKriK0bZaZXIqO29+qExCVbUaTNA7&#10;R9wCYwJlsAHIzorh5PJXqQQWb5MawwhCDnawaSM+UOILCsfO5Swj7p22kFoD7EOl/KYcJZYmodQN&#10;1eMxE39TXR+LSWpPu6WRDLxn05fETdj7BN0/ZB2OGxBlwpJgn9BdY4d5KIO+lXw9oM7ccviIy29Q&#10;SwECFAAUAAAACACHTuJArWrphyIBAADJAgAAEwAAAAAAAAABACAAAAD4JAAAW0NvbnRlbnRfVHlw&#10;ZXNdLnhtbFBLAQIUAAoAAAAAAIdO4kAAAAAAAAAAAAAAAAAGAAAAAAAAAAAAEAAAAJwhAABfcmVs&#10;cy9QSwECFAAUAAAACACHTuJAihRmPNEAAACUAQAACwAAAAAAAAABACAAAADAIQAAX3JlbHMvLnJl&#10;bHNQSwECFAAKAAAAAACHTuJAAAAAAAAAAAAAAAAABAAAAAAAAAAAABAAAAAAAAAAZHJzL1BLAQIU&#10;AAoAAAAAAIdO4kAAAAAAAAAAAAAAAAAKAAAAAAAAAAAAEAAAAOYjAABkcnMvX3JlbHMvUEsBAhQA&#10;FAAAAAgAh07iQKsWzUazAAAAIgEAABkAAAAAAAAAAQAgAAAADiQAAGRycy9fcmVscy9lMm9Eb2Mu&#10;eG1sLnJlbHNQSwECFAAKAAAAAACHTuJAAAAAAAAAAAAAAAAACwAAAAAAAAAAABAAAAB/GwAAZHJz&#10;L2NoYXJ0cy9QSwECFAAKAAAAAACHTuJAAAAAAAAAAAAAAAAAEQAAAAAAAAAAABAAAAC6IgAAZHJz&#10;L2NoYXJ0cy9fcmVscy9QSwECFAAUAAAACACHTuJAIy06Vr8AAAAvAQAAIAAAAAAAAAABACAAAADp&#10;IgAAZHJzL2NoYXJ0cy9fcmVscy9jaGFydDEueG1sLnJlbHNQSwECFAAUAAAACACHTuJATKzw6sEF&#10;AACcEgAAFQAAAAAAAAABACAAAACoGwAAZHJzL2NoYXJ0cy9jaGFydDEueG1sUEsBAhQAFAAAAAgA&#10;h07iQAuzODPXAAAACQEAAA8AAAAAAAAAAQAgAAAAIgAAAGRycy9kb3ducmV2LnhtbFBLAQIUABQA&#10;AAAIAIdO4kCmcWn9BgEAADcCAAAOAAAAAAAAAAEAIAAAACYBAABkcnMvZTJvRG9jLnhtbFBLAQIU&#10;AAoAAAAAAIdO4kAAAAAAAAAAAAAAAAAPAAAAAAAAAAAAEAAAAFgCAABkcnMvZW1iZWRkaW5ncy9Q&#10;SwECFAAUAAAACACHTuJAuAGHu78YAACtIwAAHQAAAAAAAAABACAAAACFAgAAZHJzL2VtYmVkZGlu&#10;Z3MvV29ya2Jvb2sxLnhsc3hQSwUGAAAAAA4ADgBpAwAASyYAAAAA&#10;">
            <v:path/>
            <v:fill on="f" focussize="0,0"/>
            <v:stroke on="f" joinstyle="miter"/>
            <v:imagedata r:id="rId18" o:title=""/>
            <o:lock v:ext="edit" aspectratio="t"/>
            <w10:wrap type="topAndBottom"/>
          </v:shape>
          <o:OLEObject Type="Embed" ProgID="Excel.Sheet.8" ShapeID="_x0000_s1037" DrawAspect="Content" ObjectID="_1468075730" r:id="rId17">
            <o:LockedField>false</o:LockedField>
          </o:OLEObject>
        </w:pict>
      </w:r>
      <w:r>
        <w:rPr>
          <w:rFonts w:hint="eastAsia" w:ascii="仿宋" w:hAnsi="仿宋" w:eastAsia="仿宋"/>
          <w:b/>
          <w:color w:val="000000"/>
          <w:sz w:val="32"/>
          <w:szCs w:val="32"/>
        </w:rPr>
        <w:t>（</w:t>
      </w:r>
      <w:r>
        <w:rPr>
          <w:rFonts w:hint="eastAsia" w:ascii="楷体" w:hAnsi="楷体" w:eastAsia="楷体" w:cs="楷体"/>
          <w:b/>
          <w:color w:val="000000"/>
          <w:sz w:val="32"/>
          <w:szCs w:val="32"/>
        </w:rPr>
        <w:t>三）一般公共预算财政拨款支出决算具体情况</w:t>
      </w:r>
      <w:bookmarkEnd w:id="20"/>
      <w:r>
        <w:rPr>
          <w:rFonts w:ascii="仿宋" w:hAnsi="仿宋" w:eastAsia="仿宋"/>
          <w:b/>
          <w:color w:val="000000"/>
          <w:sz w:val="32"/>
          <w:szCs w:val="32"/>
        </w:rPr>
        <w:t xml:space="preserve"> </w:t>
      </w:r>
    </w:p>
    <w:p>
      <w:pPr>
        <w:spacing w:line="576" w:lineRule="exact"/>
        <w:ind w:firstLine="640" w:firstLineChars="200"/>
        <w:outlineLvl w:val="2"/>
        <w:rPr>
          <w:rStyle w:val="12"/>
          <w:rFonts w:ascii="仿宋" w:hAnsi="仿宋" w:eastAsia="仿宋" w:cs="仿宋_GB2312"/>
          <w:b w:val="0"/>
          <w:bCs/>
          <w:color w:val="000000"/>
          <w:sz w:val="32"/>
          <w:szCs w:val="32"/>
        </w:rPr>
      </w:pPr>
      <w:bookmarkStart w:id="35" w:name="_Toc15378460"/>
      <w:bookmarkStart w:id="36" w:name="_Toc15377444"/>
      <w:bookmarkStart w:id="37" w:name="_Toc15377213"/>
      <w:r>
        <w:rPr>
          <w:rFonts w:ascii="仿宋" w:hAnsi="仿宋" w:eastAsia="仿宋" w:cs="仿宋_GB2312"/>
          <w:bCs/>
          <w:color w:val="000000"/>
          <w:sz w:val="32"/>
          <w:szCs w:val="32"/>
        </w:rPr>
        <w:t>2019</w:t>
      </w:r>
      <w:r>
        <w:rPr>
          <w:rFonts w:hint="eastAsia" w:ascii="仿宋" w:hAnsi="仿宋" w:eastAsia="仿宋" w:cs="仿宋_GB2312"/>
          <w:bCs/>
          <w:color w:val="000000"/>
          <w:sz w:val="32"/>
          <w:szCs w:val="32"/>
        </w:rPr>
        <w:t>年般公共预算支出决算数为</w:t>
      </w:r>
      <w:r>
        <w:rPr>
          <w:rFonts w:ascii="仿宋" w:hAnsi="仿宋" w:eastAsia="仿宋" w:cs="仿宋_GB2312"/>
          <w:bCs/>
          <w:color w:val="000000"/>
          <w:sz w:val="32"/>
          <w:szCs w:val="32"/>
        </w:rPr>
        <w:t>406.55</w:t>
      </w:r>
      <w:r>
        <w:rPr>
          <w:rFonts w:hint="eastAsia" w:ascii="仿宋" w:hAnsi="仿宋" w:eastAsia="仿宋" w:cs="仿宋_GB2312"/>
          <w:bCs/>
          <w:color w:val="000000"/>
          <w:sz w:val="32"/>
          <w:szCs w:val="32"/>
        </w:rPr>
        <w:t>万元，</w:t>
      </w:r>
      <w:r>
        <w:rPr>
          <w:rStyle w:val="12"/>
          <w:rFonts w:hint="eastAsia" w:ascii="仿宋" w:hAnsi="仿宋" w:eastAsia="仿宋" w:cs="仿宋_GB2312"/>
          <w:b w:val="0"/>
          <w:bCs/>
          <w:color w:val="000000"/>
          <w:sz w:val="32"/>
          <w:szCs w:val="32"/>
        </w:rPr>
        <w:t>完成</w:t>
      </w:r>
    </w:p>
    <w:p>
      <w:pPr>
        <w:spacing w:line="576" w:lineRule="exact"/>
        <w:outlineLvl w:val="2"/>
        <w:rPr>
          <w:rFonts w:ascii="仿宋_GB2312" w:hAnsi="仿宋_GB2312" w:eastAsia="仿宋_GB2312" w:cs="仿宋_GB2312"/>
          <w:bCs/>
          <w:color w:val="FF0000"/>
          <w:sz w:val="32"/>
          <w:szCs w:val="32"/>
        </w:rPr>
      </w:pPr>
      <w:r>
        <w:rPr>
          <w:rStyle w:val="12"/>
          <w:rFonts w:hint="eastAsia" w:ascii="仿宋_GB2312" w:hAnsi="仿宋_GB2312" w:eastAsia="仿宋_GB2312" w:cs="仿宋_GB2312"/>
          <w:b w:val="0"/>
          <w:bCs/>
          <w:color w:val="000000"/>
          <w:sz w:val="32"/>
          <w:szCs w:val="32"/>
        </w:rPr>
        <w:t>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。其中：</w:t>
      </w:r>
      <w:bookmarkEnd w:id="35"/>
      <w:bookmarkEnd w:id="36"/>
      <w:bookmarkEnd w:id="37"/>
    </w:p>
    <w:p>
      <w:pPr>
        <w:spacing w:line="576" w:lineRule="exact"/>
        <w:ind w:firstLine="643" w:firstLineChars="200"/>
        <w:rPr>
          <w:rStyle w:val="12"/>
          <w:rFonts w:ascii="仿宋_GB2312" w:hAnsi="仿宋_GB2312" w:eastAsia="仿宋_GB2312" w:cs="仿宋_GB2312"/>
          <w:b w:val="0"/>
          <w:bCs/>
          <w:color w:val="000000"/>
          <w:sz w:val="32"/>
          <w:szCs w:val="32"/>
        </w:rPr>
      </w:pPr>
      <w:r>
        <w:rPr>
          <w:rStyle w:val="12"/>
          <w:rFonts w:ascii="仿宋_GB2312" w:hAnsi="仿宋_GB2312" w:eastAsia="仿宋_GB2312" w:cs="仿宋_GB2312"/>
          <w:bCs/>
          <w:color w:val="000000"/>
          <w:sz w:val="32"/>
          <w:szCs w:val="32"/>
        </w:rPr>
        <w:t>1.</w:t>
      </w:r>
      <w:r>
        <w:rPr>
          <w:rStyle w:val="12"/>
          <w:rFonts w:hint="eastAsia" w:ascii="仿宋_GB2312" w:hAnsi="仿宋_GB2312" w:eastAsia="仿宋_GB2312" w:cs="仿宋_GB2312"/>
          <w:bCs/>
          <w:color w:val="000000"/>
          <w:sz w:val="32"/>
          <w:szCs w:val="32"/>
        </w:rPr>
        <w:t>社会保障和就业（类）行政事业单位离退休（款）机关事业单位职业年金缴费支出（项）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8.9</w:t>
      </w:r>
      <w:r>
        <w:rPr>
          <w:rStyle w:val="12"/>
          <w:rFonts w:hint="eastAsia" w:ascii="仿宋_GB2312" w:hAnsi="仿宋_GB2312" w:eastAsia="仿宋_GB2312" w:cs="仿宋_GB2312"/>
          <w:b w:val="0"/>
          <w:bCs/>
          <w:color w:val="000000"/>
          <w:sz w:val="32"/>
          <w:szCs w:val="32"/>
        </w:rPr>
        <w:t>万元，完成预算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spacing w:line="576" w:lineRule="exact"/>
        <w:ind w:firstLine="643" w:firstLineChars="200"/>
        <w:rPr>
          <w:rStyle w:val="12"/>
          <w:rFonts w:ascii="仿宋_GB2312" w:hAnsi="仿宋_GB2312" w:eastAsia="仿宋_GB2312" w:cs="仿宋_GB2312"/>
          <w:b w:val="0"/>
          <w:bCs/>
          <w:color w:val="000000"/>
          <w:sz w:val="32"/>
          <w:szCs w:val="32"/>
        </w:rPr>
      </w:pPr>
      <w:r>
        <w:rPr>
          <w:rStyle w:val="12"/>
          <w:rFonts w:ascii="仿宋_GB2312" w:hAnsi="仿宋_GB2312" w:eastAsia="仿宋_GB2312" w:cs="仿宋_GB2312"/>
          <w:bCs/>
          <w:color w:val="000000"/>
          <w:sz w:val="32"/>
          <w:szCs w:val="32"/>
        </w:rPr>
        <w:t>2.</w:t>
      </w:r>
      <w:r>
        <w:rPr>
          <w:rStyle w:val="12"/>
          <w:rFonts w:hint="eastAsia" w:ascii="仿宋_GB2312" w:hAnsi="仿宋_GB2312" w:eastAsia="仿宋_GB2312" w:cs="仿宋_GB2312"/>
          <w:bCs/>
          <w:color w:val="000000"/>
          <w:sz w:val="32"/>
          <w:szCs w:val="32"/>
        </w:rPr>
        <w:t>社会保障和就业（类）行政事业单位离退休（款）机关事业单位基本养老保险缴费支出（项）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19.3</w:t>
      </w:r>
      <w:r>
        <w:rPr>
          <w:rStyle w:val="12"/>
          <w:rFonts w:hint="eastAsia" w:ascii="仿宋_GB2312" w:hAnsi="仿宋_GB2312" w:eastAsia="仿宋_GB2312" w:cs="仿宋_GB2312"/>
          <w:b w:val="0"/>
          <w:bCs/>
          <w:color w:val="000000"/>
          <w:sz w:val="32"/>
          <w:szCs w:val="32"/>
        </w:rPr>
        <w:t>万元，完成预算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spacing w:line="576" w:lineRule="exact"/>
        <w:ind w:firstLine="643" w:firstLineChars="200"/>
        <w:rPr>
          <w:rStyle w:val="12"/>
          <w:rFonts w:ascii="仿宋_GB2312" w:hAnsi="仿宋_GB2312" w:eastAsia="仿宋_GB2312" w:cs="仿宋_GB2312"/>
          <w:b w:val="0"/>
          <w:bCs/>
          <w:color w:val="000000"/>
          <w:sz w:val="32"/>
          <w:szCs w:val="32"/>
        </w:rPr>
      </w:pPr>
      <w:r>
        <w:rPr>
          <w:rStyle w:val="12"/>
          <w:rFonts w:ascii="仿宋_GB2312" w:hAnsi="仿宋_GB2312" w:eastAsia="仿宋_GB2312" w:cs="仿宋_GB2312"/>
          <w:bCs/>
          <w:color w:val="000000"/>
          <w:sz w:val="32"/>
          <w:szCs w:val="32"/>
        </w:rPr>
        <w:t>3.</w:t>
      </w:r>
      <w:r>
        <w:rPr>
          <w:rStyle w:val="12"/>
          <w:rFonts w:hint="eastAsia" w:ascii="仿宋_GB2312" w:hAnsi="仿宋_GB2312" w:eastAsia="仿宋_GB2312" w:cs="仿宋_GB2312"/>
          <w:bCs/>
          <w:color w:val="000000"/>
          <w:sz w:val="32"/>
          <w:szCs w:val="32"/>
        </w:rPr>
        <w:t>医疗卫生与计划生育支出（类）行政事业单位医疗（款）行政单位医疗（项）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13.02</w:t>
      </w:r>
      <w:r>
        <w:rPr>
          <w:rStyle w:val="12"/>
          <w:rFonts w:hint="eastAsia" w:ascii="仿宋_GB2312" w:hAnsi="仿宋_GB2312" w:eastAsia="仿宋_GB2312" w:cs="仿宋_GB2312"/>
          <w:b w:val="0"/>
          <w:bCs/>
          <w:color w:val="000000"/>
          <w:sz w:val="32"/>
          <w:szCs w:val="32"/>
        </w:rPr>
        <w:t>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spacing w:line="576" w:lineRule="exact"/>
        <w:ind w:firstLine="643" w:firstLineChars="200"/>
        <w:rPr>
          <w:rStyle w:val="12"/>
          <w:rFonts w:ascii="仿宋_GB2312" w:hAnsi="仿宋_GB2312" w:eastAsia="仿宋_GB2312" w:cs="仿宋_GB2312"/>
          <w:b w:val="0"/>
          <w:bCs/>
          <w:color w:val="000000"/>
          <w:sz w:val="32"/>
          <w:szCs w:val="32"/>
        </w:rPr>
      </w:pPr>
      <w:r>
        <w:rPr>
          <w:rStyle w:val="12"/>
          <w:rFonts w:ascii="仿宋_GB2312" w:hAnsi="仿宋_GB2312" w:eastAsia="仿宋_GB2312" w:cs="仿宋_GB2312"/>
          <w:bCs/>
          <w:color w:val="000000"/>
          <w:sz w:val="32"/>
          <w:szCs w:val="32"/>
        </w:rPr>
        <w:t>4.</w:t>
      </w:r>
      <w:r>
        <w:rPr>
          <w:rStyle w:val="12"/>
          <w:rFonts w:hint="eastAsia" w:ascii="仿宋_GB2312" w:hAnsi="仿宋_GB2312" w:eastAsia="仿宋_GB2312" w:cs="仿宋_GB2312"/>
          <w:bCs/>
          <w:color w:val="000000"/>
          <w:sz w:val="32"/>
          <w:szCs w:val="32"/>
        </w:rPr>
        <w:t>农林水支出（类）扶贫（款）农村基础设施建设（项）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0.77</w:t>
      </w:r>
      <w:r>
        <w:rPr>
          <w:rStyle w:val="12"/>
          <w:rFonts w:hint="eastAsia" w:ascii="仿宋_GB2312" w:hAnsi="仿宋_GB2312" w:eastAsia="仿宋_GB2312" w:cs="仿宋_GB2312"/>
          <w:b w:val="0"/>
          <w:bCs/>
          <w:color w:val="000000"/>
          <w:sz w:val="32"/>
          <w:szCs w:val="32"/>
        </w:rPr>
        <w:t>万元，完成预算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spacing w:line="576" w:lineRule="exact"/>
        <w:ind w:firstLine="643" w:firstLineChars="200"/>
        <w:rPr>
          <w:rStyle w:val="12"/>
          <w:rFonts w:ascii="仿宋_GB2312" w:hAnsi="仿宋_GB2312" w:eastAsia="仿宋_GB2312" w:cs="仿宋_GB2312"/>
          <w:bCs/>
          <w:color w:val="000000"/>
          <w:sz w:val="32"/>
          <w:szCs w:val="32"/>
        </w:rPr>
      </w:pPr>
      <w:r>
        <w:rPr>
          <w:rStyle w:val="12"/>
          <w:rFonts w:ascii="仿宋_GB2312" w:hAnsi="仿宋_GB2312" w:eastAsia="仿宋_GB2312" w:cs="仿宋_GB2312"/>
          <w:bCs/>
          <w:color w:val="000000"/>
          <w:sz w:val="32"/>
          <w:szCs w:val="32"/>
        </w:rPr>
        <w:t>5.</w:t>
      </w:r>
      <w:r>
        <w:rPr>
          <w:rStyle w:val="12"/>
          <w:rFonts w:hint="eastAsia" w:ascii="仿宋_GB2312" w:hAnsi="仿宋_GB2312" w:eastAsia="仿宋_GB2312" w:cs="仿宋_GB2312"/>
          <w:bCs/>
          <w:color w:val="000000"/>
          <w:sz w:val="32"/>
          <w:szCs w:val="32"/>
        </w:rPr>
        <w:t>粮油物资储备等支出（类）粮食事务（款）行政运行（项）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347.38</w:t>
      </w:r>
      <w:r>
        <w:rPr>
          <w:rStyle w:val="12"/>
          <w:rFonts w:hint="eastAsia" w:ascii="仿宋_GB2312" w:hAnsi="仿宋_GB2312" w:eastAsia="仿宋_GB2312" w:cs="仿宋_GB2312"/>
          <w:b w:val="0"/>
          <w:bCs/>
          <w:color w:val="000000"/>
          <w:sz w:val="32"/>
          <w:szCs w:val="32"/>
        </w:rPr>
        <w:t>万元，完成预算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spacing w:line="576" w:lineRule="exact"/>
        <w:ind w:firstLine="643" w:firstLineChars="200"/>
        <w:rPr>
          <w:rStyle w:val="12"/>
          <w:rFonts w:ascii="仿宋_GB2312" w:hAnsi="仿宋_GB2312" w:eastAsia="仿宋_GB2312" w:cs="仿宋_GB2312"/>
          <w:bCs/>
          <w:color w:val="000000"/>
          <w:sz w:val="32"/>
          <w:szCs w:val="32"/>
        </w:rPr>
      </w:pPr>
      <w:r>
        <w:rPr>
          <w:rStyle w:val="12"/>
          <w:rFonts w:ascii="仿宋_GB2312" w:hAnsi="仿宋_GB2312" w:eastAsia="仿宋_GB2312" w:cs="仿宋_GB2312"/>
          <w:bCs/>
          <w:color w:val="000000"/>
          <w:sz w:val="32"/>
          <w:szCs w:val="32"/>
        </w:rPr>
        <w:t>6.</w:t>
      </w:r>
      <w:r>
        <w:rPr>
          <w:rStyle w:val="12"/>
          <w:rFonts w:hint="eastAsia" w:ascii="仿宋_GB2312" w:hAnsi="仿宋_GB2312" w:eastAsia="仿宋_GB2312" w:cs="仿宋_GB2312"/>
          <w:bCs/>
          <w:color w:val="000000"/>
          <w:sz w:val="32"/>
          <w:szCs w:val="32"/>
        </w:rPr>
        <w:t>住房保障支出（类）住房改革支出（款）住房公积金（项）</w:t>
      </w:r>
      <w:r>
        <w:rPr>
          <w:rStyle w:val="12"/>
          <w:rFonts w:ascii="仿宋_GB2312" w:hAnsi="仿宋_GB2312" w:eastAsia="仿宋_GB2312" w:cs="仿宋_GB2312"/>
          <w:bCs/>
          <w:color w:val="000000"/>
          <w:sz w:val="32"/>
          <w:szCs w:val="32"/>
        </w:rPr>
        <w:t>:</w:t>
      </w:r>
      <w:r>
        <w:rPr>
          <w:rStyle w:val="12"/>
          <w:rFonts w:hint="eastAsia" w:ascii="仿宋_GB2312" w:hAnsi="仿宋_GB2312" w:eastAsia="仿宋_GB2312" w:cs="仿宋_GB2312"/>
          <w:b w:val="0"/>
          <w:bCs/>
          <w:color w:val="000000"/>
          <w:sz w:val="32"/>
          <w:szCs w:val="32"/>
        </w:rPr>
        <w:t>支出决算为</w:t>
      </w:r>
      <w:r>
        <w:rPr>
          <w:rStyle w:val="12"/>
          <w:rFonts w:ascii="仿宋_GB2312" w:hAnsi="仿宋_GB2312" w:eastAsia="仿宋_GB2312" w:cs="仿宋_GB2312"/>
          <w:b w:val="0"/>
          <w:bCs/>
          <w:color w:val="000000"/>
          <w:sz w:val="32"/>
          <w:szCs w:val="32"/>
        </w:rPr>
        <w:t>17.18</w:t>
      </w:r>
      <w:r>
        <w:rPr>
          <w:rStyle w:val="12"/>
          <w:rFonts w:hint="eastAsia" w:ascii="仿宋_GB2312" w:hAnsi="仿宋_GB2312" w:eastAsia="仿宋_GB2312" w:cs="仿宋_GB2312"/>
          <w:b w:val="0"/>
          <w:bCs/>
          <w:color w:val="000000"/>
          <w:sz w:val="32"/>
          <w:szCs w:val="32"/>
        </w:rPr>
        <w:t>万元，完成预算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，决算数等于预算数。</w:t>
      </w:r>
    </w:p>
    <w:p>
      <w:pPr>
        <w:pStyle w:val="27"/>
        <w:spacing w:line="600" w:lineRule="exact"/>
        <w:ind w:left="640" w:firstLine="0" w:firstLineChars="0"/>
        <w:outlineLvl w:val="1"/>
        <w:rPr>
          <w:rStyle w:val="23"/>
          <w:b w:val="0"/>
        </w:rPr>
      </w:pPr>
      <w:bookmarkStart w:id="38" w:name="_Toc15396608"/>
      <w:bookmarkStart w:id="39" w:name="_Toc15377214"/>
      <w:r>
        <w:rPr>
          <w:rFonts w:hint="eastAsia" w:ascii="黑体" w:hAnsi="黑体" w:eastAsia="黑体"/>
          <w:bCs/>
          <w:color w:val="000000"/>
          <w:sz w:val="32"/>
          <w:szCs w:val="32"/>
        </w:rPr>
        <w:t>六、一</w:t>
      </w:r>
      <w:r>
        <w:rPr>
          <w:rStyle w:val="23"/>
          <w:rFonts w:hint="eastAsia" w:ascii="黑体" w:hAnsi="黑体" w:eastAsia="黑体"/>
          <w:b w:val="0"/>
        </w:rPr>
        <w:t>般公共预算财政拨款基本支出决算情况说明</w:t>
      </w:r>
      <w:bookmarkEnd w:id="38"/>
      <w:bookmarkEnd w:id="39"/>
    </w:p>
    <w:p>
      <w:pPr>
        <w:spacing w:line="576" w:lineRule="exact"/>
        <w:ind w:firstLine="646"/>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年一般公共预算财政拨款基本支出</w:t>
      </w:r>
      <w:r>
        <w:rPr>
          <w:rFonts w:ascii="仿宋_GB2312" w:hAnsi="仿宋_GB2312" w:eastAsia="仿宋_GB2312" w:cs="仿宋_GB2312"/>
          <w:color w:val="000000"/>
          <w:sz w:val="32"/>
          <w:szCs w:val="32"/>
        </w:rPr>
        <w:t>356.16</w:t>
      </w:r>
      <w:r>
        <w:rPr>
          <w:rFonts w:hint="eastAsia" w:ascii="仿宋_GB2312" w:hAnsi="仿宋_GB2312" w:eastAsia="仿宋_GB2312" w:cs="仿宋_GB2312"/>
          <w:color w:val="000000"/>
          <w:sz w:val="32"/>
          <w:szCs w:val="32"/>
        </w:rPr>
        <w:t>万元，其中：</w:t>
      </w:r>
    </w:p>
    <w:p>
      <w:pPr>
        <w:spacing w:line="576" w:lineRule="exact"/>
        <w:ind w:firstLine="646"/>
        <w:rPr>
          <w:rFonts w:ascii="仿宋_GB2312" w:hAnsi="仿宋_GB2312" w:eastAsia="仿宋_GB2312" w:cs="仿宋_GB2312"/>
          <w:b/>
          <w:color w:val="FF0000"/>
          <w:sz w:val="32"/>
          <w:szCs w:val="32"/>
        </w:rPr>
      </w:pPr>
      <w:r>
        <w:rPr>
          <w:rFonts w:hint="eastAsia" w:ascii="仿宋_GB2312" w:hAnsi="仿宋_GB2312" w:eastAsia="仿宋_GB2312" w:cs="仿宋_GB2312"/>
          <w:color w:val="000000"/>
          <w:sz w:val="32"/>
          <w:szCs w:val="32"/>
        </w:rPr>
        <w:t>人员经费</w:t>
      </w:r>
      <w:r>
        <w:rPr>
          <w:rFonts w:ascii="仿宋_GB2312" w:hAnsi="仿宋_GB2312" w:eastAsia="仿宋_GB2312" w:cs="仿宋_GB2312"/>
          <w:color w:val="000000"/>
          <w:sz w:val="32"/>
          <w:szCs w:val="32"/>
        </w:rPr>
        <w:t>285.63</w:t>
      </w:r>
      <w:r>
        <w:rPr>
          <w:rFonts w:hint="eastAsia" w:ascii="仿宋_GB2312" w:hAnsi="仿宋_GB2312" w:eastAsia="仿宋_GB2312" w:cs="仿宋_GB2312"/>
          <w:color w:val="000000"/>
          <w:sz w:val="32"/>
          <w:szCs w:val="32"/>
        </w:rPr>
        <w:t>万元，主要包括：基本工资、津贴补贴、奖金、绩效工资、机关事业单位基本养老保险缴费、职业年金缴费、其他社会保障缴费、其他工资福利支出、离休费、退休费、生活补助、医疗费、奖励金、住房公积金、提租补贴、购房补贴、其他对个人和家庭的补助支出等。</w:t>
      </w:r>
      <w:r>
        <w:rPr>
          <w:rFonts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w:t>
      </w:r>
      <w:r>
        <w:rPr>
          <w:rFonts w:ascii="仿宋_GB2312" w:hAnsi="仿宋_GB2312" w:eastAsia="仿宋_GB2312" w:cs="仿宋_GB2312"/>
          <w:color w:val="000000"/>
          <w:sz w:val="32"/>
          <w:szCs w:val="32"/>
        </w:rPr>
        <w:t>13.08</w:t>
      </w:r>
      <w:r>
        <w:rPr>
          <w:rFonts w:hint="eastAsia" w:ascii="仿宋_GB2312" w:hAnsi="仿宋_GB2312" w:eastAsia="仿宋_GB2312" w:cs="仿宋_GB2312"/>
          <w:color w:val="000000"/>
          <w:sz w:val="32"/>
          <w:szCs w:val="32"/>
        </w:rPr>
        <w:t>万元，主要包括：办公费、水费、电费、邮电费、取暖费、差旅费、培训费、公务用车运行维护费、其他商品和服务支出、办公设备购置、专用设备购置、其他资本性支出等。</w:t>
      </w:r>
    </w:p>
    <w:p>
      <w:pPr>
        <w:pStyle w:val="27"/>
        <w:spacing w:line="600" w:lineRule="exact"/>
        <w:ind w:left="640" w:firstLine="0" w:firstLineChars="0"/>
        <w:outlineLvl w:val="1"/>
        <w:rPr>
          <w:rStyle w:val="23"/>
          <w:rFonts w:ascii="黑体" w:hAnsi="黑体" w:eastAsia="黑体"/>
          <w:b w:val="0"/>
          <w:bCs w:val="0"/>
        </w:rPr>
      </w:pPr>
      <w:bookmarkStart w:id="40" w:name="_Toc15377215"/>
      <w:bookmarkStart w:id="41" w:name="_Toc15396609"/>
      <w:r>
        <w:rPr>
          <w:rStyle w:val="23"/>
          <w:rFonts w:hint="eastAsia" w:ascii="黑体" w:hAnsi="黑体" w:eastAsia="黑体"/>
          <w:b w:val="0"/>
          <w:bCs w:val="0"/>
        </w:rPr>
        <w:t>七、“三公”经费财政拨款支出决算情况说明</w:t>
      </w:r>
      <w:bookmarkEnd w:id="40"/>
      <w:bookmarkEnd w:id="41"/>
    </w:p>
    <w:p>
      <w:pPr>
        <w:numPr>
          <w:ilvl w:val="0"/>
          <w:numId w:val="3"/>
        </w:numPr>
        <w:spacing w:line="576" w:lineRule="exact"/>
        <w:outlineLvl w:val="1"/>
        <w:rPr>
          <w:rFonts w:ascii="楷体" w:hAnsi="楷体" w:eastAsia="楷体" w:cs="楷体"/>
          <w:b/>
          <w:color w:val="000000"/>
          <w:sz w:val="32"/>
          <w:szCs w:val="32"/>
        </w:rPr>
      </w:pPr>
      <w:bookmarkStart w:id="42" w:name="_Toc15377216"/>
      <w:r>
        <w:rPr>
          <w:rFonts w:hint="eastAsia" w:ascii="楷体" w:hAnsi="楷体" w:eastAsia="楷体" w:cs="楷体"/>
          <w:b/>
          <w:color w:val="000000"/>
          <w:sz w:val="32"/>
          <w:szCs w:val="32"/>
        </w:rPr>
        <w:t>“三公”经费财政拨款支出决算总体情况说明</w:t>
      </w:r>
      <w:bookmarkEnd w:id="42"/>
    </w:p>
    <w:p>
      <w:pPr>
        <w:spacing w:line="576"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年“三公”经费财政拨款支出决算为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，决算数与预算数持平。</w:t>
      </w:r>
    </w:p>
    <w:p>
      <w:pPr>
        <w:numPr>
          <w:ilvl w:val="0"/>
          <w:numId w:val="3"/>
        </w:numPr>
        <w:spacing w:line="576" w:lineRule="exact"/>
        <w:outlineLvl w:val="1"/>
        <w:rPr>
          <w:rFonts w:ascii="楷体" w:hAnsi="楷体" w:eastAsia="楷体" w:cs="楷体"/>
          <w:b/>
          <w:color w:val="000000"/>
          <w:sz w:val="32"/>
          <w:szCs w:val="32"/>
        </w:rPr>
      </w:pPr>
      <w:bookmarkStart w:id="43" w:name="_Toc15377217"/>
      <w:r>
        <w:rPr>
          <w:rFonts w:hint="eastAsia" w:ascii="楷体" w:hAnsi="楷体" w:eastAsia="楷体" w:cs="楷体"/>
          <w:b/>
          <w:color w:val="000000"/>
          <w:sz w:val="32"/>
          <w:szCs w:val="32"/>
        </w:rPr>
        <w:t>“三公”经费财政拨款支出决算具体情况说明</w:t>
      </w:r>
      <w:bookmarkEnd w:id="43"/>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万元；公务用车购置及运行维护费支出决算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万元；公务接待费支出决算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numPr>
          <w:ilvl w:val="0"/>
          <w:numId w:val="3"/>
        </w:numPr>
        <w:spacing w:line="576" w:lineRule="exact"/>
        <w:outlineLvl w:val="1"/>
        <w:rPr>
          <w:rFonts w:ascii="楷体" w:hAnsi="楷体" w:eastAsia="楷体" w:cs="楷体"/>
          <w:b/>
          <w:color w:val="000000"/>
          <w:sz w:val="32"/>
          <w:szCs w:val="32"/>
        </w:rPr>
      </w:pPr>
      <w:r>
        <w:rPr>
          <w:rFonts w:hint="eastAsia" w:ascii="楷体" w:hAnsi="楷体" w:eastAsia="楷体" w:cs="楷体"/>
          <w:b/>
          <w:color w:val="000000"/>
          <w:sz w:val="32"/>
          <w:szCs w:val="32"/>
        </w:rPr>
        <w:t>三公经费</w:t>
      </w:r>
    </w:p>
    <w:p>
      <w:pPr>
        <w:spacing w:line="576" w:lineRule="exact"/>
        <w:ind w:firstLine="640" w:firstLineChars="200"/>
        <w:outlineLvl w:val="1"/>
        <w:rPr>
          <w:rFonts w:ascii="楷体" w:hAnsi="楷体" w:eastAsia="楷体" w:cs="楷体"/>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因公出国（境）经费支出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公务用车购置及运行维护费支出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Style w:val="12"/>
          <w:rFonts w:hint="eastAsia" w:ascii="仿宋_GB2312" w:hAnsi="仿宋_GB2312" w:eastAsia="仿宋_GB2312" w:cs="仿宋_GB2312"/>
          <w:b w:val="0"/>
          <w:bCs/>
          <w:color w:val="000000"/>
          <w:sz w:val="32"/>
          <w:szCs w:val="32"/>
        </w:rPr>
        <w:t>完成预算</w:t>
      </w:r>
      <w:r>
        <w:rPr>
          <w:rStyle w:val="12"/>
          <w:rFonts w:ascii="仿宋_GB2312" w:hAnsi="仿宋_GB2312" w:eastAsia="仿宋_GB2312" w:cs="仿宋_GB2312"/>
          <w:b w:val="0"/>
          <w:bCs/>
          <w:color w:val="000000"/>
          <w:sz w:val="32"/>
          <w:szCs w:val="32"/>
        </w:rPr>
        <w:t>100%</w:t>
      </w:r>
      <w:r>
        <w:rPr>
          <w:rStyle w:val="12"/>
          <w:rFonts w:hint="eastAsia" w:ascii="仿宋_GB2312" w:hAnsi="仿宋_GB2312" w:eastAsia="仿宋_GB2312" w:cs="仿宋_GB2312"/>
          <w:b w:val="0"/>
          <w:bCs/>
          <w:color w:val="000000"/>
          <w:sz w:val="32"/>
          <w:szCs w:val="32"/>
        </w:rPr>
        <w:t>。</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76"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公务接待费支出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bookmarkStart w:id="44" w:name="_Toc15396610"/>
      <w:bookmarkStart w:id="45" w:name="_Toc15377218"/>
    </w:p>
    <w:p>
      <w:pPr>
        <w:pStyle w:val="27"/>
        <w:spacing w:line="600" w:lineRule="exact"/>
        <w:ind w:left="640" w:firstLine="0" w:firstLineChars="0"/>
        <w:outlineLvl w:val="1"/>
        <w:rPr>
          <w:rStyle w:val="23"/>
          <w:rFonts w:ascii="黑体" w:hAnsi="黑体" w:eastAsia="黑体"/>
        </w:rPr>
      </w:pPr>
      <w:r>
        <w:rPr>
          <w:rStyle w:val="23"/>
          <w:rFonts w:hint="eastAsia" w:ascii="黑体" w:hAnsi="黑体" w:eastAsia="黑体"/>
          <w:b w:val="0"/>
        </w:rPr>
        <w:t>八、政府性</w:t>
      </w:r>
      <w:r>
        <w:rPr>
          <w:rStyle w:val="23"/>
          <w:rFonts w:hint="eastAsia" w:ascii="黑体" w:hAnsi="黑体" w:eastAsia="黑体"/>
          <w:b w:val="0"/>
          <w:bCs w:val="0"/>
        </w:rPr>
        <w:t>基金</w:t>
      </w:r>
      <w:r>
        <w:rPr>
          <w:rStyle w:val="23"/>
          <w:rFonts w:hint="eastAsia" w:ascii="黑体" w:hAnsi="黑体" w:eastAsia="黑体"/>
          <w:b w:val="0"/>
        </w:rPr>
        <w:t>预算支出决算情况说明</w:t>
      </w:r>
      <w:bookmarkEnd w:id="44"/>
      <w:bookmarkEnd w:id="45"/>
    </w:p>
    <w:p>
      <w:pPr>
        <w:spacing w:line="576" w:lineRule="exact"/>
        <w:ind w:firstLine="641"/>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年无政府性基金预算拨款支出。</w:t>
      </w:r>
    </w:p>
    <w:p>
      <w:pPr>
        <w:pStyle w:val="27"/>
        <w:spacing w:line="600" w:lineRule="exact"/>
        <w:ind w:left="640" w:firstLine="0" w:firstLineChars="0"/>
        <w:outlineLvl w:val="1"/>
        <w:rPr>
          <w:rStyle w:val="23"/>
          <w:rFonts w:ascii="黑体" w:hAnsi="黑体" w:eastAsia="黑体"/>
          <w:b w:val="0"/>
        </w:rPr>
      </w:pPr>
      <w:bookmarkStart w:id="46" w:name="_Toc15377219"/>
      <w:bookmarkStart w:id="47" w:name="_Toc15396611"/>
      <w:r>
        <w:rPr>
          <w:rStyle w:val="23"/>
          <w:rFonts w:hint="eastAsia" w:ascii="黑体" w:hAnsi="黑体" w:eastAsia="黑体"/>
          <w:b w:val="0"/>
        </w:rPr>
        <w:t>九、国有资本经营预算支出决算情况说明</w:t>
      </w:r>
      <w:bookmarkEnd w:id="46"/>
      <w:bookmarkEnd w:id="47"/>
    </w:p>
    <w:p>
      <w:pPr>
        <w:spacing w:line="576" w:lineRule="exact"/>
        <w:ind w:firstLine="641"/>
        <w:rPr>
          <w:rFonts w:ascii="仿宋_GB2312" w:eastAsia="仿宋_GB2312"/>
          <w:color w:val="000000"/>
          <w:sz w:val="32"/>
          <w:szCs w:val="32"/>
        </w:rPr>
      </w:pPr>
      <w:r>
        <w:rPr>
          <w:rFonts w:hint="eastAsia" w:ascii="仿宋_GB2312" w:eastAsia="仿宋_GB2312"/>
          <w:color w:val="000000"/>
          <w:sz w:val="32"/>
          <w:szCs w:val="32"/>
        </w:rPr>
        <w:t>茂县粮食和物资储备中心</w:t>
      </w:r>
      <w:r>
        <w:rPr>
          <w:rFonts w:ascii="仿宋_GB2312" w:eastAsia="仿宋_GB2312"/>
          <w:color w:val="000000"/>
          <w:sz w:val="32"/>
          <w:szCs w:val="32"/>
        </w:rPr>
        <w:t>2019</w:t>
      </w:r>
      <w:r>
        <w:rPr>
          <w:rFonts w:hint="eastAsia" w:ascii="仿宋_GB2312" w:eastAsia="仿宋_GB2312"/>
          <w:color w:val="000000"/>
          <w:sz w:val="32"/>
          <w:szCs w:val="32"/>
        </w:rPr>
        <w:t>年无国有资本经营预算拨款支出。</w:t>
      </w:r>
    </w:p>
    <w:p>
      <w:pPr>
        <w:pStyle w:val="27"/>
        <w:spacing w:line="600" w:lineRule="exact"/>
        <w:ind w:left="640" w:firstLine="0" w:firstLineChars="0"/>
        <w:outlineLvl w:val="1"/>
        <w:rPr>
          <w:rStyle w:val="23"/>
          <w:rFonts w:ascii="黑体" w:hAnsi="黑体" w:eastAsia="黑体"/>
          <w:b w:val="0"/>
        </w:rPr>
      </w:pPr>
      <w:r>
        <w:rPr>
          <w:rStyle w:val="23"/>
          <w:rFonts w:hint="eastAsia" w:ascii="黑体" w:hAnsi="黑体" w:eastAsia="黑体"/>
          <w:b w:val="0"/>
        </w:rPr>
        <w:t>十、预算绩效情况说明</w:t>
      </w:r>
    </w:p>
    <w:p>
      <w:pPr>
        <w:numPr>
          <w:ilvl w:val="0"/>
          <w:numId w:val="4"/>
        </w:numPr>
        <w:spacing w:line="600" w:lineRule="exact"/>
        <w:outlineLvl w:val="1"/>
        <w:rPr>
          <w:rFonts w:ascii="仿宋" w:hAnsi="仿宋" w:eastAsia="仿宋" w:cs="楷体_GB2312"/>
          <w:b/>
          <w:bCs/>
          <w:sz w:val="32"/>
          <w:szCs w:val="32"/>
        </w:rPr>
      </w:pPr>
      <w:r>
        <w:rPr>
          <w:rFonts w:hint="eastAsia" w:ascii="楷体" w:hAnsi="楷体" w:eastAsia="楷体" w:cs="楷体"/>
          <w:b/>
          <w:bCs/>
          <w:sz w:val="32"/>
          <w:szCs w:val="32"/>
        </w:rPr>
        <w:t>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个项目开展了预算事前绩效评估，对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我单位整体支出绩效评价自查自评结果良好，全年基本支出保证了单位的正常运行和日常工作的正常开展，项目支出保障了重点工作的开展，绩效目标得到较好实现，绩效管理水平不断提高，绩效指标体系逐渐丰富和完善。</w:t>
      </w:r>
    </w:p>
    <w:p>
      <w:pPr>
        <w:numPr>
          <w:ilvl w:val="0"/>
          <w:numId w:val="4"/>
        </w:numPr>
        <w:spacing w:line="576" w:lineRule="exact"/>
        <w:rPr>
          <w:rFonts w:ascii="楷体" w:hAnsi="楷体" w:eastAsia="楷体" w:cs="楷体"/>
          <w:b/>
          <w:bCs/>
          <w:sz w:val="32"/>
          <w:szCs w:val="32"/>
        </w:rPr>
      </w:pPr>
      <w:r>
        <w:rPr>
          <w:rFonts w:hint="eastAsia" w:ascii="楷体" w:hAnsi="楷体" w:eastAsia="楷体" w:cs="楷体"/>
          <w:b/>
          <w:bCs/>
          <w:sz w:val="32"/>
          <w:szCs w:val="32"/>
        </w:rPr>
        <w:t>项目绩效目标完成情况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年度部门决算中反映“粮食大清查费用””粮食轮换及利息费用”</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个项目绩效目标实际完成情况。</w:t>
      </w:r>
    </w:p>
    <w:p>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粮食大清查绩效目标完成情况综述。项目全年预算数</w:t>
      </w:r>
      <w:r>
        <w:rPr>
          <w:rFonts w:ascii="仿宋_GB2312" w:hAnsi="仿宋_GB2312" w:eastAsia="仿宋_GB2312" w:cs="仿宋_GB2312"/>
          <w:sz w:val="32"/>
          <w:szCs w:val="32"/>
        </w:rPr>
        <w:t>68145</w:t>
      </w:r>
      <w:r>
        <w:rPr>
          <w:rFonts w:hint="eastAsia" w:ascii="仿宋_GB2312" w:hAnsi="仿宋_GB2312" w:eastAsia="仿宋_GB2312" w:cs="仿宋_GB2312"/>
          <w:sz w:val="32"/>
          <w:szCs w:val="32"/>
        </w:rPr>
        <w:t>元，执行数为</w:t>
      </w:r>
      <w:r>
        <w:rPr>
          <w:rFonts w:ascii="仿宋_GB2312" w:hAnsi="仿宋_GB2312" w:eastAsia="仿宋_GB2312" w:cs="仿宋_GB2312"/>
          <w:sz w:val="32"/>
          <w:szCs w:val="32"/>
        </w:rPr>
        <w:t>68145</w:t>
      </w:r>
      <w:r>
        <w:rPr>
          <w:rFonts w:hint="eastAsia" w:ascii="仿宋_GB2312" w:hAnsi="仿宋_GB2312" w:eastAsia="仿宋_GB2312" w:cs="仿宋_GB2312"/>
          <w:sz w:val="32"/>
          <w:szCs w:val="32"/>
        </w:rPr>
        <w:t>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。通过项目实施，全面了解全县的粮食库存数，居民年供应量等情况，有效保障了全县群众生活必需品有充足保障。</w:t>
      </w:r>
    </w:p>
    <w:p>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粮食轮换及利息费用项目绩效目标完成情况综述。项目全年预算数</w:t>
      </w:r>
      <w:r>
        <w:rPr>
          <w:rFonts w:ascii="仿宋_GB2312" w:hAnsi="仿宋_GB2312" w:eastAsia="仿宋_GB2312" w:cs="仿宋_GB2312"/>
          <w:sz w:val="32"/>
          <w:szCs w:val="32"/>
        </w:rPr>
        <w:t>498639.93</w:t>
      </w:r>
      <w:r>
        <w:rPr>
          <w:rFonts w:hint="eastAsia" w:ascii="仿宋_GB2312" w:hAnsi="仿宋_GB2312" w:eastAsia="仿宋_GB2312" w:cs="仿宋_GB2312"/>
          <w:sz w:val="32"/>
          <w:szCs w:val="32"/>
        </w:rPr>
        <w:t>元，执行数为</w:t>
      </w:r>
      <w:r>
        <w:rPr>
          <w:rFonts w:ascii="仿宋_GB2312" w:hAnsi="仿宋_GB2312" w:eastAsia="仿宋_GB2312" w:cs="仿宋_GB2312"/>
          <w:sz w:val="32"/>
          <w:szCs w:val="32"/>
        </w:rPr>
        <w:t>498639.93</w:t>
      </w:r>
      <w:r>
        <w:rPr>
          <w:rFonts w:hint="eastAsia" w:ascii="仿宋_GB2312" w:hAnsi="仿宋_GB2312" w:eastAsia="仿宋_GB2312" w:cs="仿宋_GB2312"/>
          <w:sz w:val="32"/>
          <w:szCs w:val="32"/>
        </w:rPr>
        <w:t>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。通过项目实施，完成了全县粮油轮换任务，保障全县用粮安全。</w:t>
      </w:r>
    </w:p>
    <w:p>
      <w:pPr>
        <w:rPr>
          <w:rFonts w:ascii="仿宋_GB2312" w:hAnsi="仿宋_GB2312" w:eastAsia="仿宋_GB2312" w:cs="仿宋_GB2312"/>
          <w:sz w:val="32"/>
          <w:szCs w:val="32"/>
        </w:rPr>
      </w:pPr>
    </w:p>
    <w:tbl>
      <w:tblPr>
        <w:tblStyle w:val="1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346"/>
        <w:gridCol w:w="2048"/>
        <w:gridCol w:w="2392"/>
      </w:tblGrid>
      <w:tr>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7"/>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粮食大清查</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茂县粮食和物资储备中心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18"/>
                <w:szCs w:val="18"/>
              </w:rPr>
              <w:t>预算执行情况</w:t>
            </w:r>
            <w:r>
              <w:rPr>
                <w:rFonts w:ascii="宋体" w:hAnsi="宋体" w:cs="宋体"/>
                <w:color w:val="000000"/>
                <w:kern w:val="0"/>
                <w:sz w:val="18"/>
                <w:szCs w:val="18"/>
              </w:rPr>
              <w:t>(</w:t>
            </w:r>
            <w:r>
              <w:rPr>
                <w:rFonts w:hint="eastAsia" w:ascii="宋体" w:hAnsi="宋体" w:cs="宋体"/>
                <w:color w:val="000000"/>
                <w:kern w:val="0"/>
                <w:sz w:val="18"/>
                <w:szCs w:val="18"/>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68145</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68145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68145</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68145</w:t>
            </w:r>
          </w:p>
        </w:tc>
      </w:tr>
      <w:tr>
        <w:tblPrEx>
          <w:tblCellMar>
            <w:top w:w="0" w:type="dxa"/>
            <w:left w:w="0" w:type="dxa"/>
            <w:bottom w:w="0" w:type="dxa"/>
            <w:right w:w="0" w:type="dxa"/>
          </w:tblCellMar>
        </w:tblPrEx>
        <w:trPr>
          <w:trHeight w:val="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513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44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513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sz w:val="24"/>
              </w:rPr>
              <w:t>完成项目</w:t>
            </w:r>
          </w:p>
        </w:tc>
        <w:tc>
          <w:tcPr>
            <w:tcW w:w="444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sz w:val="24"/>
              </w:rPr>
              <w:t>完成项目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sz w:val="24"/>
              </w:rPr>
              <w:t>全县粮食清查</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sz w:val="24"/>
              </w:rPr>
              <w:t>全县粮食清查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sz w:val="24"/>
              </w:rPr>
              <w:t>全县粮食清查</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项目验收合格率</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合格率达到</w:t>
            </w: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项目完成验收并合格通过达到</w:t>
            </w:r>
            <w:r>
              <w:rPr>
                <w:rFonts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竣工时间</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2019</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月前完成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该项目于</w:t>
            </w:r>
            <w:r>
              <w:rPr>
                <w:rFonts w:ascii="宋体" w:hAnsi="宋体" w:cs="宋体"/>
                <w:color w:val="000000"/>
                <w:sz w:val="24"/>
              </w:rPr>
              <w:t>2019</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月前完成</w:t>
            </w:r>
          </w:p>
        </w:tc>
      </w:tr>
      <w:tr>
        <w:tblPrEx>
          <w:tblCellMar>
            <w:top w:w="0" w:type="dxa"/>
            <w:left w:w="0" w:type="dxa"/>
            <w:bottom w:w="0" w:type="dxa"/>
            <w:right w:w="0" w:type="dxa"/>
          </w:tblCellMar>
        </w:tblPrEx>
        <w:trPr>
          <w:trHeight w:val="51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w:t>
            </w:r>
          </w:p>
          <w:p>
            <w:pPr>
              <w:widowControl/>
              <w:jc w:val="center"/>
              <w:textAlignment w:val="center"/>
              <w:rPr>
                <w:rFonts w:ascii="宋体" w:cs="宋体"/>
                <w:color w:val="000000"/>
                <w:sz w:val="24"/>
              </w:rPr>
            </w:pPr>
            <w:r>
              <w:rPr>
                <w:rFonts w:hint="eastAsia" w:ascii="宋体" w:hAnsi="宋体" w:cs="宋体"/>
                <w:color w:val="000000"/>
                <w:sz w:val="24"/>
              </w:rPr>
              <w:t>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了解全县粮食市场情况</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生态效益</w:t>
            </w:r>
          </w:p>
          <w:p>
            <w:pPr>
              <w:widowControl/>
              <w:jc w:val="center"/>
              <w:textAlignment w:val="center"/>
              <w:rPr>
                <w:rFonts w:ascii="宋体" w:cs="宋体"/>
                <w:color w:val="000000"/>
                <w:sz w:val="24"/>
              </w:rPr>
            </w:pPr>
            <w:r>
              <w:rPr>
                <w:rFonts w:hint="eastAsia" w:ascii="宋体" w:hAnsi="宋体" w:cs="宋体"/>
                <w:color w:val="000000"/>
                <w:sz w:val="24"/>
              </w:rPr>
              <w:t>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75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服务对象</w:t>
            </w:r>
          </w:p>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7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受益益群众满意度</w:t>
            </w:r>
          </w:p>
        </w:tc>
        <w:tc>
          <w:tcPr>
            <w:tcW w:w="204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群众满意度大于</w:t>
            </w:r>
            <w:r>
              <w:rPr>
                <w:rFonts w:ascii="宋体" w:hAns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满意率</w:t>
            </w:r>
            <w:r>
              <w:rPr>
                <w:rFonts w:ascii="宋体" w:hAnsi="宋体" w:cs="宋体"/>
                <w:color w:val="000000"/>
                <w:sz w:val="24"/>
              </w:rPr>
              <w:t>100%</w:t>
            </w:r>
          </w:p>
        </w:tc>
      </w:tr>
      <w:tr>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7"/>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2019</w:t>
            </w:r>
            <w:r>
              <w:rPr>
                <w:rFonts w:hint="eastAsia" w:ascii="宋体" w:hAnsi="宋体" w:cs="宋体"/>
                <w:color w:val="000000"/>
                <w:sz w:val="24"/>
              </w:rPr>
              <w:t>年粮食轮换及利息费用</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茂县粮食和物资储备中心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18"/>
                <w:szCs w:val="18"/>
              </w:rPr>
              <w:t>预算执行情况</w:t>
            </w:r>
            <w:r>
              <w:rPr>
                <w:rFonts w:ascii="宋体" w:hAnsi="宋体" w:cs="宋体"/>
                <w:color w:val="000000"/>
                <w:kern w:val="0"/>
                <w:sz w:val="18"/>
                <w:szCs w:val="18"/>
              </w:rPr>
              <w:t>(</w:t>
            </w:r>
            <w:r>
              <w:rPr>
                <w:rFonts w:hint="eastAsia" w:ascii="宋体" w:hAnsi="宋体" w:cs="宋体"/>
                <w:color w:val="000000"/>
                <w:kern w:val="0"/>
                <w:sz w:val="18"/>
                <w:szCs w:val="18"/>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498639.93</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498639.93</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498639.93</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498639.93</w:t>
            </w:r>
          </w:p>
        </w:tc>
      </w:tr>
      <w:tr>
        <w:tblPrEx>
          <w:tblCellMar>
            <w:top w:w="0" w:type="dxa"/>
            <w:left w:w="0" w:type="dxa"/>
            <w:bottom w:w="0" w:type="dxa"/>
            <w:right w:w="0" w:type="dxa"/>
          </w:tblCellMar>
        </w:tblPrEx>
        <w:trPr>
          <w:trHeight w:val="92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w:t>
            </w:r>
            <w:r>
              <w:rPr>
                <w:rFonts w:ascii="宋体" w:hAnsi="宋体" w:cs="宋体"/>
                <w:color w:val="000000"/>
                <w:sz w:val="24"/>
              </w:rPr>
              <w:t>1</w:t>
            </w:r>
            <w:r>
              <w:rPr>
                <w:rFonts w:hint="eastAsia" w:ascii="宋体" w:hAnsi="宋体" w:cs="宋体"/>
                <w:color w:val="000000"/>
                <w:sz w:val="24"/>
              </w:rPr>
              <w:t>处项目</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w:t>
            </w:r>
            <w:r>
              <w:rPr>
                <w:rFonts w:ascii="宋体" w:hAnsi="宋体" w:cs="宋体"/>
                <w:color w:val="000000"/>
                <w:sz w:val="24"/>
              </w:rPr>
              <w:t>1</w:t>
            </w:r>
            <w:r>
              <w:rPr>
                <w:rFonts w:hint="eastAsia" w:ascii="宋体" w:hAnsi="宋体" w:cs="宋体"/>
                <w:color w:val="000000"/>
                <w:sz w:val="24"/>
              </w:rPr>
              <w:t>处项目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完成全县粮食轮换</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完成全县粮食轮换</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完成全县粮食轮换</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项目验收合格率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合格率达到</w:t>
            </w: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项目完成验收并合格通过达到</w:t>
            </w:r>
            <w:r>
              <w:rPr>
                <w:rFonts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竣工时间</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2019</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月前完工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该项目于</w:t>
            </w:r>
            <w:r>
              <w:rPr>
                <w:rFonts w:ascii="宋体" w:hAnsi="宋体" w:cs="宋体"/>
                <w:color w:val="000000"/>
                <w:sz w:val="24"/>
              </w:rPr>
              <w:t>2019</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月前完工</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w:t>
            </w:r>
          </w:p>
          <w:p>
            <w:pPr>
              <w:widowControl/>
              <w:jc w:val="center"/>
              <w:textAlignment w:val="center"/>
              <w:rPr>
                <w:rFonts w:asci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保障全县人民粮食市场安全，有充足粮食供应</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保障全县人民粮食市场安全，有充足粮食供应</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保障全县人民粮食市场安全，有充足粮食供应</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生态效益</w:t>
            </w:r>
          </w:p>
          <w:p>
            <w:pPr>
              <w:widowControl/>
              <w:jc w:val="center"/>
              <w:textAlignment w:val="center"/>
              <w:rPr>
                <w:rFonts w:asci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服务对象</w:t>
            </w:r>
          </w:p>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受益益群众满意度</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群众满意度大于</w:t>
            </w:r>
            <w:r>
              <w:rPr>
                <w:rFonts w:ascii="宋体" w:hAns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满意率</w:t>
            </w:r>
            <w:r>
              <w:rPr>
                <w:rFonts w:ascii="宋体" w:hAnsi="宋体" w:cs="宋体"/>
                <w:color w:val="000000"/>
                <w:sz w:val="24"/>
              </w:rPr>
              <w:t>100%</w:t>
            </w:r>
          </w:p>
        </w:tc>
      </w:tr>
    </w:tbl>
    <w:p>
      <w:pPr>
        <w:spacing w:line="600" w:lineRule="exact"/>
        <w:ind w:left="420"/>
        <w:outlineLvl w:val="1"/>
        <w:rPr>
          <w:rFonts w:ascii="楷体" w:hAnsi="楷体" w:eastAsia="楷体" w:cs="楷体"/>
          <w:sz w:val="32"/>
          <w:szCs w:val="32"/>
        </w:rPr>
      </w:pPr>
      <w:r>
        <w:rPr>
          <w:rFonts w:hint="eastAsia" w:ascii="楷体" w:hAnsi="楷体" w:eastAsia="楷体" w:cs="楷体"/>
          <w:b/>
          <w:bCs/>
          <w:sz w:val="32"/>
          <w:szCs w:val="32"/>
        </w:rPr>
        <w:t>（三）部门开展绩效评价结果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年部门整体支出绩效评价情况开展自评，《茂县粮食和物资储备中心部门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年部门整体支出绩效评价报告》见附件。</w:t>
      </w:r>
    </w:p>
    <w:p>
      <w:pPr>
        <w:pStyle w:val="27"/>
        <w:numPr>
          <w:ilvl w:val="0"/>
          <w:numId w:val="1"/>
        </w:numPr>
        <w:spacing w:line="600" w:lineRule="exact"/>
        <w:ind w:firstLineChars="0"/>
        <w:outlineLvl w:val="1"/>
        <w:rPr>
          <w:rStyle w:val="23"/>
          <w:rFonts w:ascii="黑体" w:hAnsi="黑体" w:eastAsia="黑体"/>
        </w:rPr>
      </w:pPr>
      <w:bookmarkStart w:id="48" w:name="_Toc15396612"/>
      <w:bookmarkStart w:id="49" w:name="_Toc15377221"/>
      <w:r>
        <w:rPr>
          <w:rStyle w:val="23"/>
          <w:rFonts w:hint="eastAsia" w:ascii="黑体" w:hAnsi="黑体" w:eastAsia="黑体"/>
          <w:b w:val="0"/>
        </w:rPr>
        <w:t>其他重要事项的情况说明</w:t>
      </w:r>
      <w:bookmarkEnd w:id="48"/>
      <w:bookmarkEnd w:id="49"/>
    </w:p>
    <w:p>
      <w:pPr>
        <w:numPr>
          <w:ilvl w:val="0"/>
          <w:numId w:val="5"/>
        </w:numPr>
        <w:spacing w:line="600" w:lineRule="exact"/>
        <w:outlineLvl w:val="2"/>
        <w:rPr>
          <w:rFonts w:ascii="楷体" w:hAnsi="楷体" w:eastAsia="楷体" w:cs="楷体"/>
          <w:b/>
          <w:color w:val="000000"/>
          <w:sz w:val="32"/>
          <w:szCs w:val="32"/>
        </w:rPr>
      </w:pPr>
      <w:bookmarkStart w:id="50" w:name="_Toc15377222"/>
      <w:r>
        <w:rPr>
          <w:rFonts w:hint="eastAsia" w:ascii="楷体" w:hAnsi="楷体" w:eastAsia="楷体" w:cs="楷体"/>
          <w:b/>
          <w:color w:val="000000"/>
          <w:sz w:val="32"/>
          <w:szCs w:val="32"/>
        </w:rPr>
        <w:t>机关运行经费支出情况</w:t>
      </w:r>
      <w:bookmarkEnd w:id="50"/>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年，茂县粮食和物资储备中心机关运行经费支出</w:t>
      </w:r>
      <w:r>
        <w:rPr>
          <w:rFonts w:ascii="仿宋_GB2312" w:eastAsia="仿宋_GB2312"/>
          <w:color w:val="000000"/>
          <w:sz w:val="32"/>
          <w:szCs w:val="32"/>
        </w:rPr>
        <w:t>13.08</w:t>
      </w:r>
      <w:r>
        <w:rPr>
          <w:rFonts w:hint="eastAsia" w:ascii="仿宋_GB2312" w:eastAsia="仿宋_GB2312"/>
          <w:color w:val="000000"/>
          <w:sz w:val="32"/>
          <w:szCs w:val="32"/>
        </w:rPr>
        <w:t>万元，比</w:t>
      </w:r>
      <w:r>
        <w:rPr>
          <w:rFonts w:ascii="仿宋_GB2312" w:eastAsia="仿宋_GB2312"/>
          <w:color w:val="000000"/>
          <w:sz w:val="32"/>
          <w:szCs w:val="32"/>
        </w:rPr>
        <w:t>2018</w:t>
      </w:r>
      <w:r>
        <w:rPr>
          <w:rFonts w:hint="eastAsia" w:ascii="仿宋_GB2312" w:eastAsia="仿宋_GB2312"/>
          <w:color w:val="000000"/>
          <w:sz w:val="32"/>
          <w:szCs w:val="32"/>
        </w:rPr>
        <w:t>年减少</w:t>
      </w:r>
      <w:r>
        <w:rPr>
          <w:rFonts w:ascii="仿宋_GB2312" w:eastAsia="仿宋_GB2312"/>
          <w:color w:val="000000"/>
          <w:sz w:val="32"/>
          <w:szCs w:val="32"/>
        </w:rPr>
        <w:t>2.64</w:t>
      </w:r>
      <w:r>
        <w:rPr>
          <w:rFonts w:hint="eastAsia" w:ascii="仿宋_GB2312" w:eastAsia="仿宋_GB2312"/>
          <w:color w:val="000000"/>
          <w:sz w:val="32"/>
          <w:szCs w:val="32"/>
        </w:rPr>
        <w:t>万元，下降</w:t>
      </w:r>
      <w:r>
        <w:rPr>
          <w:rFonts w:ascii="仿宋_GB2312" w:eastAsia="仿宋_GB2312"/>
          <w:color w:val="000000"/>
          <w:sz w:val="32"/>
          <w:szCs w:val="32"/>
        </w:rPr>
        <w:t>20%</w:t>
      </w:r>
      <w:r>
        <w:rPr>
          <w:rFonts w:hint="eastAsia" w:ascii="仿宋_GB2312" w:eastAsia="仿宋_GB2312"/>
          <w:color w:val="000000"/>
          <w:sz w:val="32"/>
          <w:szCs w:val="32"/>
        </w:rPr>
        <w:t>。主要原因是继续积极贯彻落实中央八项规定及省委省政府十项规定要求，加强单位日常经费管理。</w:t>
      </w:r>
    </w:p>
    <w:p>
      <w:pPr>
        <w:numPr>
          <w:ilvl w:val="0"/>
          <w:numId w:val="5"/>
        </w:numPr>
        <w:spacing w:line="600" w:lineRule="exact"/>
        <w:outlineLvl w:val="2"/>
        <w:rPr>
          <w:rFonts w:ascii="楷体" w:hAnsi="楷体" w:eastAsia="楷体" w:cs="楷体"/>
          <w:b/>
          <w:color w:val="000000"/>
          <w:sz w:val="32"/>
          <w:szCs w:val="32"/>
        </w:rPr>
      </w:pPr>
      <w:bookmarkStart w:id="51" w:name="_Toc15377223"/>
      <w:r>
        <w:rPr>
          <w:rFonts w:hint="eastAsia" w:ascii="楷体" w:hAnsi="楷体" w:eastAsia="楷体" w:cs="楷体"/>
          <w:b/>
          <w:color w:val="000000"/>
          <w:sz w:val="32"/>
          <w:szCs w:val="32"/>
        </w:rPr>
        <w:t>政府采购支出情况</w:t>
      </w:r>
      <w:bookmarkEnd w:id="51"/>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年，茂县粮食和物资储备中心采购支出总额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5"/>
        </w:numPr>
        <w:spacing w:line="600" w:lineRule="exact"/>
        <w:outlineLvl w:val="2"/>
        <w:rPr>
          <w:rFonts w:ascii="楷体" w:hAnsi="楷体" w:eastAsia="楷体" w:cs="楷体"/>
          <w:b/>
          <w:color w:val="000000"/>
          <w:sz w:val="32"/>
          <w:szCs w:val="32"/>
        </w:rPr>
      </w:pPr>
      <w:bookmarkStart w:id="52" w:name="_Toc15377224"/>
      <w:r>
        <w:rPr>
          <w:rFonts w:hint="eastAsia" w:ascii="楷体" w:hAnsi="楷体" w:eastAsia="楷体" w:cs="楷体"/>
          <w:b/>
          <w:color w:val="000000"/>
          <w:sz w:val="32"/>
          <w:szCs w:val="32"/>
        </w:rPr>
        <w:t>国有资产占有使用情况</w:t>
      </w:r>
      <w:bookmarkEnd w:id="52"/>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日，茂县粮食和物资储备中心共有车辆</w:t>
      </w:r>
      <w:r>
        <w:rPr>
          <w:rFonts w:ascii="仿宋_GB2312" w:eastAsia="仿宋_GB2312"/>
          <w:color w:val="000000"/>
          <w:sz w:val="32"/>
          <w:szCs w:val="32"/>
        </w:rPr>
        <w:t>0</w:t>
      </w:r>
      <w:r>
        <w:rPr>
          <w:rFonts w:hint="eastAsia" w:ascii="仿宋_GB2312" w:eastAsia="仿宋_GB2312"/>
          <w:color w:val="000000"/>
          <w:sz w:val="32"/>
          <w:szCs w:val="32"/>
        </w:rPr>
        <w:t>辆，其中：领导干部用车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0</w:t>
      </w:r>
      <w:r>
        <w:rPr>
          <w:rFonts w:hint="eastAsia" w:ascii="仿宋_GB2312" w:eastAsia="仿宋_GB2312"/>
          <w:color w:val="000000"/>
          <w:sz w:val="32"/>
          <w:szCs w:val="32"/>
        </w:rPr>
        <w:t>辆、一般执法执勤用车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rPr>
          <w:rFonts w:ascii="仿宋_GB2312" w:eastAsia="仿宋_GB2312"/>
          <w:color w:val="000000"/>
          <w:sz w:val="32"/>
          <w:szCs w:val="32"/>
        </w:rPr>
      </w:pPr>
    </w:p>
    <w:p>
      <w:pPr>
        <w:numPr>
          <w:ilvl w:val="0"/>
          <w:numId w:val="6"/>
        </w:numPr>
        <w:spacing w:line="600" w:lineRule="exact"/>
        <w:ind w:firstLine="663" w:firstLineChars="150"/>
        <w:jc w:val="center"/>
        <w:outlineLvl w:val="0"/>
        <w:rPr>
          <w:rStyle w:val="22"/>
          <w:rFonts w:ascii="方正小标宋简体" w:hAnsi="方正小标宋简体" w:eastAsia="方正小标宋简体" w:cs="方正小标宋简体"/>
          <w:b w:val="0"/>
        </w:rPr>
      </w:pPr>
      <w:bookmarkStart w:id="53" w:name="_Toc15377225"/>
      <w:bookmarkStart w:id="54" w:name="_Toc15396613"/>
      <w:r>
        <w:rPr>
          <w:rFonts w:hint="eastAsia" w:ascii="方正小标宋简体" w:hAnsi="方正小标宋简体" w:eastAsia="方正小标宋简体" w:cs="方正小标宋简体"/>
          <w:b/>
          <w:color w:val="000000"/>
          <w:sz w:val="44"/>
          <w:szCs w:val="44"/>
        </w:rPr>
        <w:t>名</w:t>
      </w:r>
      <w:r>
        <w:rPr>
          <w:rStyle w:val="22"/>
          <w:rFonts w:hint="eastAsia" w:ascii="方正小标宋简体" w:hAnsi="方正小标宋简体" w:eastAsia="方正小标宋简体" w:cs="方正小标宋简体"/>
          <w:b w:val="0"/>
        </w:rPr>
        <w:t>词解释</w:t>
      </w:r>
      <w:bookmarkEnd w:id="53"/>
      <w:bookmarkEnd w:id="54"/>
    </w:p>
    <w:p>
      <w:pPr>
        <w:spacing w:line="600" w:lineRule="exact"/>
        <w:jc w:val="left"/>
        <w:rPr>
          <w:rFonts w:ascii="宋体"/>
          <w:b/>
          <w:color w:val="000000"/>
          <w:sz w:val="44"/>
          <w:szCs w:val="44"/>
        </w:rPr>
      </w:pPr>
    </w:p>
    <w:p>
      <w:pPr>
        <w:pStyle w:val="28"/>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社会保障和就业（类）行政事业单位离退休（款）机关事业单位职业年金缴费支出（项）：指部门实施养老保险制度由单位缴纳的职业年金的支出。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医疗卫生与计划生育（类）行政事业单位医疗（款）</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行政单位医疗（项）：指厅机关及参公管理事业单位用于缴</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纳单位基本医疗保险支出。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医疗卫生与计划生育（类）行政事业单位医疗（款）</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事业单位医疗（项）：指事业单位用于缴纳单位基本医疗保</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险支出。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住房保障（类）住房改革支出（款）住房公积金（项）：</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反映行政事业单位按规定为职工缴纳的住房公积金。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住房保障（类）住房改革支出（款）购房补贴（项）：</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指根据房改政策规定的标准，向符合条件职工发放的用于购</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买住房的补贴。</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农林水支出（类）扶贫（款）农村基础设施建设（项）：</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用于农村贫困地区乡村道路、住房、基本农田等生活条件改善方面的支出。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农林水支出（类）扶贫（款）其他扶贫支出（项）：</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反映除上述项目以外其他用于扶贫方面的支出。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农林水支出（类）其他农林水支出（款）其他农林水支出（项）：反映除化解债务支出以外其他用于农林水方面的支出。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粮油事务等支出（类）其它粮油储备支出（款）行政运行（项）：反映粮油储备的有关支出。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76" w:lineRule="exact"/>
        <w:ind w:firstLine="640" w:firstLineChars="200"/>
        <w:rPr>
          <w:rFonts w:ascii="仿宋_GB2312" w:eastAsia="仿宋_GB2312" w:cs="黑体"/>
          <w:sz w:val="32"/>
          <w:szCs w:val="32"/>
        </w:rPr>
      </w:pPr>
      <w:r>
        <w:rPr>
          <w:rFonts w:ascii="仿宋_GB2312" w:eastAsia="仿宋_GB2312" w:cs="黑体"/>
          <w:sz w:val="32"/>
          <w:szCs w:val="32"/>
        </w:rPr>
        <w:t>24.</w:t>
      </w:r>
      <w:r>
        <w:rPr>
          <w:rFonts w:hint="eastAsia" w:ascii="仿宋_GB2312" w:eastAsia="仿宋_GB2312" w:cs="黑体"/>
          <w:sz w:val="32"/>
          <w:szCs w:val="32"/>
        </w:rPr>
        <w:t>财政应返还额度：为行政事业单位会计核算科目，用于核算实行国库集中支付的行政事业单位应收财政返还</w:t>
      </w:r>
    </w:p>
    <w:p>
      <w:pPr>
        <w:spacing w:line="576" w:lineRule="exact"/>
        <w:outlineLvl w:val="0"/>
        <w:rPr>
          <w:rFonts w:ascii="仿宋_GB2312" w:eastAsia="仿宋_GB2312" w:cs="黑体"/>
          <w:sz w:val="32"/>
          <w:szCs w:val="32"/>
        </w:rPr>
      </w:pPr>
      <w:r>
        <w:rPr>
          <w:rFonts w:hint="eastAsia" w:ascii="仿宋_GB2312" w:eastAsia="仿宋_GB2312" w:cs="黑体"/>
          <w:sz w:val="32"/>
          <w:szCs w:val="32"/>
        </w:rPr>
        <w:t>的资金额度。</w:t>
      </w:r>
      <w:bookmarkStart w:id="55" w:name="_Toc15396614"/>
      <w:bookmarkStart w:id="56" w:name="_Toc15377226"/>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rPr>
          <w:rFonts w:ascii="仿宋_GB2312" w:eastAsia="仿宋_GB2312" w:cs="黑体"/>
          <w:sz w:val="32"/>
          <w:szCs w:val="32"/>
        </w:rPr>
      </w:pPr>
    </w:p>
    <w:p>
      <w:pPr>
        <w:numPr>
          <w:ilvl w:val="0"/>
          <w:numId w:val="6"/>
        </w:numPr>
        <w:spacing w:line="600" w:lineRule="exact"/>
        <w:ind w:firstLine="660" w:firstLineChars="150"/>
        <w:jc w:val="center"/>
        <w:outlineLvl w:val="0"/>
        <w:rPr>
          <w:rStyle w:val="22"/>
        </w:rPr>
      </w:pPr>
      <w:r>
        <w:rPr>
          <w:rStyle w:val="22"/>
          <w:rFonts w:hint="eastAsia" w:ascii="方正小标宋简体" w:hAnsi="方正小标宋简体" w:eastAsia="方正小标宋简体" w:cs="方正小标宋简体"/>
          <w:b w:val="0"/>
          <w:lang w:val="en-US" w:eastAsia="zh-CN"/>
        </w:rPr>
        <w:t xml:space="preserve">  </w:t>
      </w:r>
      <w:r>
        <w:rPr>
          <w:rStyle w:val="22"/>
          <w:rFonts w:hint="eastAsia" w:ascii="方正小标宋简体" w:hAnsi="方正小标宋简体" w:eastAsia="方正小标宋简体" w:cs="方正小标宋简体"/>
          <w:b w:val="0"/>
        </w:rPr>
        <w:t>附件</w:t>
      </w:r>
      <w:bookmarkEnd w:id="55"/>
    </w:p>
    <w:p>
      <w:pPr>
        <w:spacing w:line="600" w:lineRule="exact"/>
        <w:jc w:val="center"/>
        <w:outlineLvl w:val="0"/>
        <w:rPr>
          <w:rFonts w:ascii="方正小标宋简体" w:hAnsi="方正小标宋简体" w:eastAsia="方正小标宋简体" w:cs="方正小标宋简体"/>
          <w:sz w:val="44"/>
          <w:szCs w:val="44"/>
        </w:rPr>
      </w:pPr>
      <w:bookmarkStart w:id="57" w:name="_Toc15396616"/>
    </w:p>
    <w:p>
      <w:pPr>
        <w:spacing w:line="60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茂县粮食和物资储备中心</w:t>
      </w:r>
    </w:p>
    <w:p>
      <w:pPr>
        <w:spacing w:line="600" w:lineRule="exact"/>
        <w:jc w:val="center"/>
        <w:outlineLvl w:val="0"/>
        <w:rPr>
          <w:rFonts w:ascii="黑体" w:hAnsi="黑体" w:eastAsia="黑体" w:cs="方正小标宋简体"/>
          <w:sz w:val="36"/>
          <w:szCs w:val="36"/>
        </w:rPr>
      </w:pPr>
      <w:r>
        <w:rPr>
          <w:rFonts w:ascii="方正小标宋简体" w:hAnsi="方正小标宋简体" w:eastAsia="方正小标宋简体" w:cs="方正小标宋简体"/>
          <w:sz w:val="44"/>
          <w:szCs w:val="44"/>
        </w:rPr>
        <w:t>2019</w:t>
      </w:r>
      <w:r>
        <w:rPr>
          <w:rFonts w:hint="eastAsia" w:ascii="方正小标宋简体" w:hAnsi="方正小标宋简体" w:eastAsia="方正小标宋简体" w:cs="方正小标宋简体"/>
          <w:sz w:val="44"/>
          <w:szCs w:val="44"/>
        </w:rPr>
        <w:t>年部门整体支出绩效评价报告</w:t>
      </w:r>
      <w:bookmarkEnd w:id="57"/>
    </w:p>
    <w:p>
      <w:pPr>
        <w:spacing w:line="580" w:lineRule="exact"/>
        <w:ind w:firstLine="640" w:firstLineChars="200"/>
        <w:rPr>
          <w:rFonts w:ascii="黑体" w:hAnsi="黑体" w:eastAsia="黑体" w:cs="黑体"/>
          <w:sz w:val="32"/>
          <w:szCs w:val="32"/>
        </w:rPr>
      </w:pPr>
    </w:p>
    <w:p>
      <w:pPr>
        <w:pStyle w:val="3"/>
        <w:numPr>
          <w:ilvl w:val="0"/>
          <w:numId w:val="7"/>
        </w:numPr>
        <w:rPr>
          <w:rFonts w:ascii="黑体" w:hAnsi="黑体" w:eastAsia="黑体" w:cs="黑体"/>
          <w:b w:val="0"/>
          <w:bCs w:val="0"/>
        </w:rPr>
      </w:pPr>
      <w:r>
        <w:rPr>
          <w:rFonts w:hint="eastAsia" w:ascii="黑体" w:hAnsi="黑体" w:eastAsia="黑体" w:cs="黑体"/>
          <w:b w:val="0"/>
          <w:bCs w:val="0"/>
        </w:rPr>
        <w:t>单位概况</w:t>
      </w:r>
    </w:p>
    <w:p>
      <w:pPr>
        <w:numPr>
          <w:ilvl w:val="0"/>
          <w:numId w:val="8"/>
        </w:numPr>
        <w:spacing w:line="580" w:lineRule="exact"/>
        <w:rPr>
          <w:rFonts w:ascii="楷体" w:hAnsi="楷体" w:eastAsia="楷体" w:cs="楷体"/>
          <w:b/>
          <w:bCs/>
          <w:sz w:val="32"/>
          <w:szCs w:val="32"/>
        </w:rPr>
      </w:pPr>
      <w:r>
        <w:rPr>
          <w:rFonts w:hint="eastAsia" w:ascii="楷体" w:hAnsi="楷体" w:eastAsia="楷体" w:cs="楷体"/>
          <w:b/>
          <w:bCs/>
          <w:sz w:val="32"/>
          <w:szCs w:val="32"/>
        </w:rPr>
        <w:t>机构组成</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茂县粮食和物资储备中心是一级预算行政（参公）单位，无下属二级预算单位。</w:t>
      </w:r>
    </w:p>
    <w:p>
      <w:pPr>
        <w:numPr>
          <w:ilvl w:val="0"/>
          <w:numId w:val="8"/>
        </w:numPr>
        <w:spacing w:line="580" w:lineRule="exact"/>
        <w:rPr>
          <w:rFonts w:ascii="楷体" w:hAnsi="楷体" w:eastAsia="楷体" w:cs="楷体"/>
          <w:b/>
          <w:bCs/>
          <w:sz w:val="32"/>
          <w:szCs w:val="32"/>
        </w:rPr>
      </w:pPr>
      <w:r>
        <w:rPr>
          <w:rFonts w:hint="eastAsia" w:ascii="楷体" w:hAnsi="楷体" w:eastAsia="楷体" w:cs="楷体"/>
          <w:b/>
          <w:bCs/>
          <w:sz w:val="32"/>
          <w:szCs w:val="32"/>
        </w:rPr>
        <w:t>机构职能</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1</w:t>
      </w:r>
      <w:r>
        <w:rPr>
          <w:rFonts w:hint="eastAsia" w:ascii="仿宋" w:hAnsi="仿宋" w:eastAsia="仿宋" w:cs="仿宋"/>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rPr>
        <w:t>）管理社会粮食流通，保障军队、城镇居民、农村群众、应急救灾、缺粮贫困地区、退耕还林、大骨节病人和国家重点建设项目的粮食供应。</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w:t>
      </w:r>
      <w:r>
        <w:rPr>
          <w:rFonts w:hint="eastAsia" w:ascii="仿宋" w:hAnsi="仿宋" w:eastAsia="仿宋" w:cs="仿宋"/>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(4)</w:t>
      </w:r>
      <w:r>
        <w:rPr>
          <w:rFonts w:hint="eastAsia" w:ascii="仿宋" w:hAnsi="仿宋" w:eastAsia="仿宋" w:cs="仿宋"/>
          <w:sz w:val="32"/>
          <w:szCs w:val="32"/>
        </w:rPr>
        <w:t>指导全县粮食流通市场的行业行政管理、国有粮食企业的改革；指导并推动行业的技术改造、新技术推广应用、安全生产和抢险救灾工作；指导全县农村科学储粮工作；承担行业统计工作。</w:t>
      </w:r>
    </w:p>
    <w:p>
      <w:pPr>
        <w:spacing w:line="576" w:lineRule="exact"/>
        <w:ind w:firstLine="640" w:firstLineChars="200"/>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指导全县粮食财务管理工作；组织实施粮食财务和会计制度工作，负责国有企业资产的监督管理；会同有关部门做好粮食收购资金使用；编报全县粮食系统财务报表，组织编制年度决算。</w:t>
      </w:r>
    </w:p>
    <w:p>
      <w:pPr>
        <w:numPr>
          <w:ilvl w:val="0"/>
          <w:numId w:val="8"/>
        </w:numPr>
        <w:spacing w:line="580" w:lineRule="exact"/>
        <w:rPr>
          <w:rFonts w:ascii="楷体" w:hAnsi="楷体" w:eastAsia="楷体" w:cs="楷体"/>
          <w:b/>
          <w:bCs/>
          <w:sz w:val="32"/>
          <w:szCs w:val="32"/>
        </w:rPr>
      </w:pPr>
      <w:r>
        <w:rPr>
          <w:rFonts w:hint="eastAsia" w:ascii="楷体" w:hAnsi="楷体" w:eastAsia="楷体" w:cs="楷体"/>
          <w:b/>
          <w:bCs/>
          <w:sz w:val="32"/>
          <w:szCs w:val="32"/>
        </w:rPr>
        <w:t>人员概况</w:t>
      </w:r>
    </w:p>
    <w:p>
      <w:pPr>
        <w:snapToGrid w:val="0"/>
        <w:spacing w:line="576" w:lineRule="exact"/>
        <w:ind w:firstLine="640" w:firstLineChars="200"/>
        <w:rPr>
          <w:rFonts w:ascii="仿宋" w:hAnsi="仿宋" w:eastAsia="仿宋" w:cs="仿宋_GB2312"/>
          <w:sz w:val="32"/>
          <w:szCs w:val="32"/>
        </w:rPr>
      </w:pPr>
      <w:r>
        <w:rPr>
          <w:rFonts w:hint="eastAsia" w:ascii="仿宋" w:hAnsi="仿宋" w:eastAsia="仿宋"/>
          <w:sz w:val="32"/>
          <w:szCs w:val="32"/>
        </w:rPr>
        <w:t>茂县粮食和物资储备中心为参公单位，现有事业编制</w:t>
      </w:r>
      <w:r>
        <w:rPr>
          <w:rFonts w:ascii="仿宋" w:hAnsi="仿宋" w:eastAsia="仿宋"/>
          <w:sz w:val="32"/>
          <w:szCs w:val="32"/>
        </w:rPr>
        <w:t>15</w:t>
      </w:r>
      <w:r>
        <w:rPr>
          <w:rFonts w:hint="eastAsia" w:ascii="仿宋" w:hAnsi="仿宋" w:eastAsia="仿宋"/>
          <w:sz w:val="32"/>
          <w:szCs w:val="32"/>
        </w:rPr>
        <w:t>人，在职职工</w:t>
      </w:r>
      <w:r>
        <w:rPr>
          <w:rFonts w:ascii="仿宋" w:hAnsi="仿宋" w:eastAsia="仿宋"/>
          <w:sz w:val="32"/>
          <w:szCs w:val="32"/>
        </w:rPr>
        <w:t>14</w:t>
      </w:r>
      <w:r>
        <w:rPr>
          <w:rFonts w:hint="eastAsia" w:ascii="仿宋" w:hAnsi="仿宋" w:eastAsia="仿宋"/>
          <w:sz w:val="32"/>
          <w:szCs w:val="32"/>
        </w:rPr>
        <w:t>人，其中：参公人员</w:t>
      </w:r>
      <w:r>
        <w:rPr>
          <w:rFonts w:ascii="仿宋" w:hAnsi="仿宋" w:eastAsia="仿宋"/>
          <w:sz w:val="32"/>
          <w:szCs w:val="32"/>
        </w:rPr>
        <w:t>12</w:t>
      </w:r>
      <w:r>
        <w:rPr>
          <w:rFonts w:hint="eastAsia" w:ascii="仿宋" w:hAnsi="仿宋" w:eastAsia="仿宋"/>
          <w:sz w:val="32"/>
          <w:szCs w:val="32"/>
        </w:rPr>
        <w:t>人，工勤人员</w:t>
      </w:r>
      <w:r>
        <w:rPr>
          <w:rFonts w:ascii="仿宋" w:hAnsi="仿宋" w:eastAsia="仿宋"/>
          <w:sz w:val="32"/>
          <w:szCs w:val="32"/>
        </w:rPr>
        <w:t>2</w:t>
      </w:r>
      <w:r>
        <w:rPr>
          <w:rFonts w:hint="eastAsia" w:ascii="仿宋" w:hAnsi="仿宋" w:eastAsia="仿宋"/>
          <w:sz w:val="32"/>
          <w:szCs w:val="32"/>
        </w:rPr>
        <w:t>人。遗</w:t>
      </w:r>
      <w:r>
        <w:rPr>
          <w:rFonts w:hint="eastAsia" w:ascii="仿宋" w:hAnsi="仿宋" w:eastAsia="仿宋"/>
          <w:sz w:val="32"/>
          <w:szCs w:val="32"/>
          <w:lang w:eastAsia="zh-CN"/>
        </w:rPr>
        <w:t>属</w:t>
      </w:r>
      <w:r>
        <w:rPr>
          <w:rFonts w:ascii="仿宋" w:hAnsi="仿宋" w:eastAsia="仿宋"/>
          <w:sz w:val="32"/>
          <w:szCs w:val="32"/>
        </w:rPr>
        <w:t>6</w:t>
      </w:r>
      <w:r>
        <w:rPr>
          <w:rFonts w:hint="eastAsia" w:ascii="仿宋" w:hAnsi="仿宋" w:eastAsia="仿宋"/>
          <w:sz w:val="32"/>
          <w:szCs w:val="32"/>
        </w:rPr>
        <w:t>人。</w:t>
      </w:r>
    </w:p>
    <w:p>
      <w:pPr>
        <w:pStyle w:val="3"/>
        <w:ind w:left="420"/>
        <w:rPr>
          <w:rFonts w:ascii="仿宋" w:hAnsi="仿宋" w:eastAsia="仿宋"/>
          <w:b w:val="0"/>
          <w:bCs w:val="0"/>
          <w:color w:val="000000"/>
        </w:rPr>
      </w:pPr>
      <w:r>
        <w:rPr>
          <w:rFonts w:hint="eastAsia" w:ascii="黑体" w:hAnsi="黑体" w:eastAsia="黑体" w:cs="黑体"/>
          <w:b w:val="0"/>
          <w:bCs w:val="0"/>
        </w:rPr>
        <w:t>二、部门财政资金收支情况</w:t>
      </w:r>
    </w:p>
    <w:p>
      <w:pPr>
        <w:numPr>
          <w:ilvl w:val="0"/>
          <w:numId w:val="9"/>
        </w:numPr>
        <w:spacing w:line="576" w:lineRule="exact"/>
        <w:rPr>
          <w:rFonts w:ascii="楷体" w:hAnsi="楷体" w:eastAsia="楷体" w:cs="楷体"/>
          <w:b/>
          <w:bCs/>
          <w:sz w:val="32"/>
          <w:szCs w:val="32"/>
        </w:rPr>
      </w:pPr>
      <w:r>
        <w:rPr>
          <w:rFonts w:hint="eastAsia" w:ascii="楷体" w:hAnsi="楷体" w:eastAsia="楷体" w:cs="楷体"/>
          <w:b/>
          <w:bCs/>
          <w:sz w:val="32"/>
          <w:szCs w:val="32"/>
        </w:rPr>
        <w:t>部门财政资金收入情况</w:t>
      </w:r>
    </w:p>
    <w:p>
      <w:pPr>
        <w:widowControl/>
        <w:adjustRightInd w:val="0"/>
        <w:snapToGrid w:val="0"/>
        <w:spacing w:line="576" w:lineRule="exact"/>
        <w:ind w:firstLine="720"/>
        <w:rPr>
          <w:rFonts w:ascii="仿宋" w:hAnsi="仿宋" w:eastAsia="仿宋" w:cs="仿宋_GB2312"/>
          <w:sz w:val="32"/>
          <w:szCs w:val="32"/>
        </w:rPr>
      </w:pPr>
      <w:r>
        <w:rPr>
          <w:rFonts w:ascii="仿宋" w:hAnsi="仿宋" w:eastAsia="仿宋"/>
          <w:sz w:val="32"/>
          <w:szCs w:val="32"/>
        </w:rPr>
        <w:t>2019</w:t>
      </w:r>
      <w:r>
        <w:rPr>
          <w:rFonts w:hint="eastAsia" w:ascii="仿宋" w:hAnsi="仿宋" w:eastAsia="仿宋"/>
          <w:sz w:val="32"/>
          <w:szCs w:val="32"/>
        </w:rPr>
        <w:t>年本单位财政拨款收入决算总额为：</w:t>
      </w:r>
      <w:r>
        <w:rPr>
          <w:rFonts w:ascii="仿宋" w:hAnsi="仿宋" w:eastAsia="仿宋"/>
          <w:sz w:val="32"/>
          <w:szCs w:val="32"/>
        </w:rPr>
        <w:t>406.55</w:t>
      </w:r>
      <w:r>
        <w:rPr>
          <w:rFonts w:hint="eastAsia" w:ascii="仿宋" w:hAnsi="仿宋" w:eastAsia="仿宋"/>
          <w:sz w:val="32"/>
          <w:szCs w:val="32"/>
        </w:rPr>
        <w:t>万元（本年财政实际拨款</w:t>
      </w:r>
      <w:r>
        <w:rPr>
          <w:rFonts w:ascii="仿宋" w:hAnsi="仿宋" w:eastAsia="仿宋"/>
          <w:sz w:val="32"/>
          <w:szCs w:val="32"/>
        </w:rPr>
        <w:t>356.16</w:t>
      </w:r>
      <w:r>
        <w:rPr>
          <w:rFonts w:hint="eastAsia" w:ascii="仿宋" w:hAnsi="仿宋" w:eastAsia="仿宋"/>
          <w:sz w:val="32"/>
          <w:szCs w:val="32"/>
        </w:rPr>
        <w:t>万元；年未结转结余</w:t>
      </w:r>
      <w:r>
        <w:rPr>
          <w:rFonts w:ascii="仿宋" w:hAnsi="仿宋" w:eastAsia="仿宋"/>
          <w:sz w:val="32"/>
          <w:szCs w:val="32"/>
        </w:rPr>
        <w:t>50.39</w:t>
      </w:r>
      <w:r>
        <w:rPr>
          <w:rFonts w:hint="eastAsia" w:ascii="仿宋" w:hAnsi="仿宋" w:eastAsia="仿宋"/>
          <w:sz w:val="32"/>
          <w:szCs w:val="32"/>
        </w:rPr>
        <w:t>万元）。</w:t>
      </w:r>
    </w:p>
    <w:p>
      <w:pPr>
        <w:numPr>
          <w:ilvl w:val="0"/>
          <w:numId w:val="9"/>
        </w:numPr>
        <w:spacing w:line="576" w:lineRule="exact"/>
        <w:rPr>
          <w:rFonts w:ascii="楷体" w:hAnsi="楷体" w:eastAsia="楷体" w:cs="楷体"/>
          <w:b/>
          <w:bCs/>
          <w:sz w:val="32"/>
          <w:szCs w:val="32"/>
        </w:rPr>
      </w:pPr>
      <w:r>
        <w:rPr>
          <w:rFonts w:hint="eastAsia" w:ascii="楷体" w:hAnsi="楷体" w:eastAsia="楷体" w:cs="楷体"/>
          <w:b/>
          <w:bCs/>
          <w:sz w:val="32"/>
          <w:szCs w:val="32"/>
        </w:rPr>
        <w:t>部门财政资金支出情况</w:t>
      </w:r>
    </w:p>
    <w:p>
      <w:pPr>
        <w:widowControl/>
        <w:adjustRightInd w:val="0"/>
        <w:snapToGrid w:val="0"/>
        <w:spacing w:line="576" w:lineRule="exact"/>
        <w:ind w:firstLine="720"/>
        <w:rPr>
          <w:rFonts w:ascii="仿宋" w:hAnsi="仿宋" w:eastAsia="仿宋"/>
          <w:color w:val="000000"/>
          <w:sz w:val="32"/>
          <w:szCs w:val="32"/>
        </w:rPr>
      </w:pPr>
      <w:r>
        <w:rPr>
          <w:rFonts w:ascii="仿宋" w:hAnsi="仿宋" w:eastAsia="仿宋"/>
          <w:sz w:val="32"/>
          <w:szCs w:val="32"/>
        </w:rPr>
        <w:t>2019</w:t>
      </w:r>
      <w:r>
        <w:rPr>
          <w:rFonts w:hint="eastAsia" w:ascii="仿宋" w:hAnsi="仿宋" w:eastAsia="仿宋"/>
          <w:sz w:val="32"/>
          <w:szCs w:val="32"/>
        </w:rPr>
        <w:t>年本单位财政拨款收入决算总额为：</w:t>
      </w:r>
      <w:r>
        <w:rPr>
          <w:rFonts w:ascii="仿宋" w:hAnsi="仿宋" w:eastAsia="仿宋"/>
          <w:sz w:val="32"/>
          <w:szCs w:val="32"/>
        </w:rPr>
        <w:t>406.55</w:t>
      </w:r>
      <w:r>
        <w:rPr>
          <w:rFonts w:hint="eastAsia" w:ascii="仿宋" w:hAnsi="仿宋" w:eastAsia="仿宋"/>
          <w:sz w:val="32"/>
          <w:szCs w:val="32"/>
        </w:rPr>
        <w:t>万元。其中按功能分类，社会保障和就业支出</w:t>
      </w:r>
      <w:r>
        <w:rPr>
          <w:rFonts w:ascii="仿宋" w:hAnsi="仿宋" w:eastAsia="仿宋"/>
          <w:sz w:val="32"/>
          <w:szCs w:val="32"/>
        </w:rPr>
        <w:t>28.02</w:t>
      </w:r>
      <w:r>
        <w:rPr>
          <w:rFonts w:hint="eastAsia" w:ascii="仿宋" w:hAnsi="仿宋" w:eastAsia="仿宋"/>
          <w:sz w:val="32"/>
          <w:szCs w:val="32"/>
        </w:rPr>
        <w:t>万元、医疗卫生与计划生育支出</w:t>
      </w:r>
      <w:r>
        <w:rPr>
          <w:rFonts w:ascii="仿宋" w:hAnsi="仿宋" w:eastAsia="仿宋"/>
          <w:sz w:val="32"/>
          <w:szCs w:val="32"/>
        </w:rPr>
        <w:t>13.02</w:t>
      </w:r>
      <w:r>
        <w:rPr>
          <w:rFonts w:hint="eastAsia" w:ascii="仿宋" w:hAnsi="仿宋" w:eastAsia="仿宋"/>
          <w:sz w:val="32"/>
          <w:szCs w:val="32"/>
        </w:rPr>
        <w:t>万元、农林水支出</w:t>
      </w:r>
      <w:r>
        <w:rPr>
          <w:rFonts w:ascii="仿宋" w:hAnsi="仿宋" w:eastAsia="仿宋"/>
          <w:sz w:val="32"/>
          <w:szCs w:val="32"/>
        </w:rPr>
        <w:t>0.77</w:t>
      </w:r>
      <w:r>
        <w:rPr>
          <w:rFonts w:hint="eastAsia" w:ascii="仿宋" w:hAnsi="仿宋" w:eastAsia="仿宋"/>
          <w:sz w:val="32"/>
          <w:szCs w:val="32"/>
        </w:rPr>
        <w:t>万元、粮油物质储备事务等支出</w:t>
      </w:r>
      <w:r>
        <w:rPr>
          <w:rFonts w:ascii="仿宋" w:hAnsi="仿宋" w:eastAsia="仿宋"/>
          <w:sz w:val="32"/>
          <w:szCs w:val="32"/>
        </w:rPr>
        <w:t>296.99</w:t>
      </w:r>
      <w:r>
        <w:rPr>
          <w:rFonts w:hint="eastAsia" w:ascii="仿宋" w:hAnsi="仿宋" w:eastAsia="仿宋"/>
          <w:sz w:val="32"/>
          <w:szCs w:val="32"/>
        </w:rPr>
        <w:t>万元、住房保障支出</w:t>
      </w:r>
      <w:r>
        <w:rPr>
          <w:rFonts w:ascii="仿宋" w:hAnsi="仿宋" w:eastAsia="仿宋"/>
          <w:sz w:val="32"/>
          <w:szCs w:val="32"/>
        </w:rPr>
        <w:t>17.18</w:t>
      </w:r>
      <w:r>
        <w:rPr>
          <w:rFonts w:hint="eastAsia" w:ascii="仿宋" w:hAnsi="仿宋" w:eastAsia="仿宋"/>
          <w:sz w:val="32"/>
          <w:szCs w:val="32"/>
        </w:rPr>
        <w:t>万元；按支出性质分类，</w:t>
      </w:r>
      <w:r>
        <w:rPr>
          <w:rFonts w:hint="eastAsia" w:ascii="仿宋" w:hAnsi="仿宋" w:eastAsia="仿宋"/>
          <w:color w:val="000000"/>
          <w:sz w:val="32"/>
          <w:szCs w:val="32"/>
        </w:rPr>
        <w:t>基本支出</w:t>
      </w:r>
      <w:r>
        <w:rPr>
          <w:rFonts w:ascii="仿宋" w:hAnsi="仿宋" w:eastAsia="仿宋"/>
          <w:color w:val="000000"/>
          <w:sz w:val="32"/>
          <w:szCs w:val="32"/>
        </w:rPr>
        <w:t>298.71</w:t>
      </w:r>
      <w:r>
        <w:rPr>
          <w:rFonts w:hint="eastAsia" w:ascii="仿宋" w:hAnsi="仿宋" w:eastAsia="仿宋"/>
          <w:color w:val="000000"/>
          <w:sz w:val="32"/>
          <w:szCs w:val="32"/>
        </w:rPr>
        <w:t>万元、项目支出</w:t>
      </w:r>
      <w:r>
        <w:rPr>
          <w:rFonts w:ascii="仿宋" w:hAnsi="仿宋" w:eastAsia="仿宋"/>
          <w:color w:val="000000"/>
          <w:sz w:val="32"/>
          <w:szCs w:val="32"/>
        </w:rPr>
        <w:t>57.46</w:t>
      </w:r>
      <w:r>
        <w:rPr>
          <w:rFonts w:hint="eastAsia" w:ascii="仿宋" w:hAnsi="仿宋" w:eastAsia="仿宋"/>
          <w:color w:val="000000"/>
          <w:sz w:val="32"/>
          <w:szCs w:val="32"/>
        </w:rPr>
        <w:t>万元；按经济分类，工资福利支出</w:t>
      </w:r>
      <w:r>
        <w:rPr>
          <w:rFonts w:ascii="仿宋" w:hAnsi="仿宋" w:eastAsia="仿宋"/>
          <w:color w:val="000000"/>
          <w:sz w:val="32"/>
          <w:szCs w:val="32"/>
        </w:rPr>
        <w:t>183.78</w:t>
      </w:r>
      <w:r>
        <w:rPr>
          <w:rFonts w:hint="eastAsia" w:ascii="仿宋" w:hAnsi="仿宋" w:eastAsia="仿宋"/>
          <w:color w:val="000000"/>
          <w:sz w:val="32"/>
          <w:szCs w:val="32"/>
        </w:rPr>
        <w:t>万元、商品和服务支出</w:t>
      </w:r>
      <w:r>
        <w:rPr>
          <w:rFonts w:ascii="仿宋" w:hAnsi="仿宋" w:eastAsia="仿宋"/>
          <w:color w:val="000000"/>
          <w:sz w:val="32"/>
          <w:szCs w:val="32"/>
        </w:rPr>
        <w:t>13.08</w:t>
      </w:r>
      <w:r>
        <w:rPr>
          <w:rFonts w:hint="eastAsia" w:ascii="仿宋" w:hAnsi="仿宋" w:eastAsia="仿宋"/>
          <w:color w:val="000000"/>
          <w:sz w:val="32"/>
          <w:szCs w:val="32"/>
        </w:rPr>
        <w:t>万元、对个人和家庭的补助</w:t>
      </w:r>
      <w:r>
        <w:rPr>
          <w:rFonts w:ascii="仿宋" w:hAnsi="仿宋" w:eastAsia="仿宋"/>
          <w:color w:val="000000"/>
          <w:sz w:val="32"/>
          <w:szCs w:val="32"/>
        </w:rPr>
        <w:t>101.84</w:t>
      </w:r>
      <w:r>
        <w:rPr>
          <w:rFonts w:hint="eastAsia" w:ascii="仿宋" w:hAnsi="仿宋" w:eastAsia="仿宋"/>
          <w:color w:val="000000"/>
          <w:sz w:val="32"/>
          <w:szCs w:val="32"/>
        </w:rPr>
        <w:t>万元、基本建设支出</w:t>
      </w:r>
      <w:r>
        <w:rPr>
          <w:rFonts w:ascii="仿宋" w:hAnsi="仿宋" w:eastAsia="仿宋"/>
          <w:color w:val="000000"/>
          <w:sz w:val="32"/>
          <w:szCs w:val="32"/>
        </w:rPr>
        <w:t>57.46</w:t>
      </w:r>
      <w:r>
        <w:rPr>
          <w:rFonts w:hint="eastAsia" w:ascii="仿宋" w:hAnsi="仿宋" w:eastAsia="仿宋"/>
          <w:color w:val="000000"/>
          <w:sz w:val="32"/>
          <w:szCs w:val="32"/>
        </w:rPr>
        <w:t>万元。</w:t>
      </w:r>
    </w:p>
    <w:p>
      <w:pPr>
        <w:pStyle w:val="3"/>
        <w:spacing w:line="576" w:lineRule="exact"/>
        <w:ind w:firstLine="640" w:firstLineChars="200"/>
        <w:rPr>
          <w:rFonts w:ascii="黑体" w:hAnsi="黑体" w:eastAsia="黑体" w:cs="黑体"/>
          <w:b w:val="0"/>
          <w:bCs w:val="0"/>
        </w:rPr>
      </w:pPr>
      <w:r>
        <w:rPr>
          <w:rFonts w:hint="eastAsia" w:ascii="黑体" w:hAnsi="黑体" w:eastAsia="黑体" w:cs="黑体"/>
          <w:b w:val="0"/>
          <w:bCs w:val="0"/>
          <w:lang w:eastAsia="zh-CN"/>
        </w:rPr>
        <w:t>三</w:t>
      </w:r>
      <w:r>
        <w:rPr>
          <w:rFonts w:hint="eastAsia" w:ascii="黑体" w:hAnsi="黑体" w:eastAsia="黑体" w:cs="黑体"/>
          <w:b w:val="0"/>
          <w:bCs w:val="0"/>
        </w:rPr>
        <w:t>、部门整体预算绩效管理情况</w:t>
      </w:r>
    </w:p>
    <w:p>
      <w:pPr>
        <w:pStyle w:val="3"/>
        <w:spacing w:line="576" w:lineRule="exact"/>
        <w:ind w:firstLine="643" w:firstLineChars="200"/>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（一）部门预算管理</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我中心认真学习贯彻党的十九大、省第十一次党代会和省委十一届三次、四次全会精神，以习近平新时代中国特色社会主义思想为指导，根据职能职责积极谋划，确定目标任务，积极发挥粮食和物资储备中心职能作用。按照</w:t>
      </w:r>
      <w:r>
        <w:rPr>
          <w:rFonts w:ascii="仿宋" w:hAnsi="仿宋" w:eastAsia="仿宋" w:cs="仿宋_GB2312"/>
          <w:sz w:val="32"/>
          <w:szCs w:val="32"/>
        </w:rPr>
        <w:t xml:space="preserve"> 2019 </w:t>
      </w:r>
      <w:r>
        <w:rPr>
          <w:rFonts w:hint="eastAsia" w:ascii="仿宋" w:hAnsi="仿宋" w:eastAsia="仿宋" w:cs="仿宋_GB2312"/>
          <w:sz w:val="32"/>
          <w:szCs w:val="32"/>
        </w:rPr>
        <w:t>年部门预算编审要求，根据我中心职能职责，结合中长期规划和年度工作计划，明确了年度主要工作任务及年度内履职所要达到的总体产出和效果，认真填报了中心整体支出绩效目标设定了年度绩效数量指标、成本指标、效益指标等，详细反映了相应项目工作任务、达成的效果。</w:t>
      </w:r>
    </w:p>
    <w:p>
      <w:pPr>
        <w:pStyle w:val="3"/>
        <w:spacing w:line="576" w:lineRule="exact"/>
        <w:ind w:firstLine="643" w:firstLineChars="200"/>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（二）专项预算管理</w:t>
      </w:r>
    </w:p>
    <w:p>
      <w:pPr>
        <w:pStyle w:val="3"/>
        <w:spacing w:line="576" w:lineRule="exact"/>
        <w:ind w:firstLine="640" w:firstLineChars="200"/>
        <w:rPr>
          <w:rFonts w:ascii="仿宋" w:hAnsi="仿宋" w:eastAsia="仿宋" w:cs="仿宋_GB2312"/>
        </w:rPr>
      </w:pPr>
      <w:r>
        <w:rPr>
          <w:rFonts w:ascii="仿宋" w:hAnsi="仿宋" w:eastAsia="仿宋" w:cs="仿宋_GB2312"/>
          <w:b w:val="0"/>
          <w:bCs w:val="0"/>
        </w:rPr>
        <w:t>2019</w:t>
      </w:r>
      <w:r>
        <w:rPr>
          <w:rFonts w:hint="eastAsia" w:ascii="仿宋" w:hAnsi="仿宋" w:eastAsia="仿宋" w:cs="仿宋_GB2312"/>
          <w:b w:val="0"/>
          <w:bCs w:val="0"/>
        </w:rPr>
        <w:t>年，本单位无专项预算。</w:t>
      </w:r>
    </w:p>
    <w:p>
      <w:pPr>
        <w:pStyle w:val="3"/>
        <w:spacing w:line="576" w:lineRule="exact"/>
        <w:ind w:firstLine="643" w:firstLineChars="200"/>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（三）结果应用情况</w:t>
      </w:r>
    </w:p>
    <w:p>
      <w:pPr>
        <w:spacing w:line="576" w:lineRule="exact"/>
        <w:ind w:firstLine="640" w:firstLineChars="200"/>
        <w:rPr>
          <w:rFonts w:ascii="仿宋" w:hAnsi="仿宋" w:eastAsia="仿宋"/>
        </w:rPr>
      </w:pPr>
      <w:r>
        <w:rPr>
          <w:rFonts w:hint="eastAsia" w:ascii="仿宋" w:hAnsi="仿宋" w:eastAsia="仿宋" w:cs="仿宋_GB2312"/>
          <w:sz w:val="32"/>
          <w:szCs w:val="32"/>
        </w:rPr>
        <w:t>我单位对预算绩效管理工作开展情况认真进行了自查自评。绩效评价自查开展覆盖的项目支出，将评价结果作为预算安排的重要依据，参照项目年度预算执行情况、执行情况统筹项目支出需求，保障重点支出，调整支出结构，优化财政资金配置，不断强化绩效理念，推动我单位整体绩效管理水平不断提升。</w:t>
      </w:r>
    </w:p>
    <w:p>
      <w:pPr>
        <w:pStyle w:val="3"/>
        <w:ind w:firstLine="640" w:firstLineChars="200"/>
        <w:rPr>
          <w:rFonts w:hint="eastAsia" w:ascii="黑体" w:hAnsi="黑体" w:eastAsia="黑体" w:cs="黑体"/>
          <w:b w:val="0"/>
          <w:bCs w:val="0"/>
        </w:rPr>
      </w:pPr>
      <w:r>
        <w:rPr>
          <w:rFonts w:hint="eastAsia" w:ascii="黑体" w:hAnsi="黑体" w:eastAsia="黑体" w:cs="黑体"/>
          <w:b w:val="0"/>
          <w:bCs w:val="0"/>
          <w:lang w:eastAsia="zh-CN"/>
        </w:rPr>
        <w:t>四、</w:t>
      </w:r>
      <w:r>
        <w:rPr>
          <w:rFonts w:hint="eastAsia" w:ascii="黑体" w:hAnsi="黑体" w:eastAsia="黑体" w:cs="黑体"/>
          <w:b w:val="0"/>
          <w:bCs w:val="0"/>
        </w:rPr>
        <w:t>评价结论及建议</w:t>
      </w:r>
    </w:p>
    <w:p>
      <w:pPr>
        <w:numPr>
          <w:ilvl w:val="0"/>
          <w:numId w:val="10"/>
        </w:numPr>
        <w:spacing w:line="576" w:lineRule="exact"/>
        <w:rPr>
          <w:rFonts w:hint="eastAsia" w:ascii="楷体" w:hAnsi="楷体" w:eastAsia="楷体" w:cs="楷体"/>
          <w:b/>
          <w:bCs/>
          <w:sz w:val="32"/>
          <w:szCs w:val="32"/>
        </w:rPr>
      </w:pPr>
      <w:r>
        <w:rPr>
          <w:rFonts w:hint="eastAsia" w:ascii="楷体" w:hAnsi="楷体" w:eastAsia="楷体" w:cs="楷体"/>
          <w:b/>
          <w:bCs/>
          <w:sz w:val="32"/>
          <w:szCs w:val="32"/>
        </w:rPr>
        <w:t>评价结论</w:t>
      </w:r>
    </w:p>
    <w:p>
      <w:pPr>
        <w:widowControl/>
        <w:adjustRightInd w:val="0"/>
        <w:snapToGrid w:val="0"/>
        <w:spacing w:line="576" w:lineRule="exact"/>
        <w:ind w:firstLine="640" w:firstLineChars="200"/>
        <w:rPr>
          <w:rFonts w:ascii="仿宋" w:hAnsi="仿宋" w:eastAsia="仿宋"/>
        </w:rPr>
      </w:pPr>
      <w:r>
        <w:rPr>
          <w:rFonts w:hint="eastAsia" w:ascii="仿宋" w:hAnsi="仿宋" w:eastAsia="仿宋" w:cs="宋体"/>
          <w:color w:val="000000"/>
          <w:kern w:val="0"/>
          <w:sz w:val="32"/>
          <w:szCs w:val="32"/>
          <w:shd w:val="clear" w:color="auto" w:fill="FFFFFF"/>
          <w:lang w:val="zh-CN"/>
        </w:rPr>
        <w:t>总体看，我单位预算编制及执行决算较为准确，支出管理较为规范，财务管理制度较完善，部门整体绩效较好。</w:t>
      </w:r>
    </w:p>
    <w:p>
      <w:pPr>
        <w:numPr>
          <w:ilvl w:val="0"/>
          <w:numId w:val="10"/>
        </w:numPr>
        <w:spacing w:line="576" w:lineRule="exact"/>
        <w:rPr>
          <w:rFonts w:hint="eastAsia" w:ascii="楷体" w:hAnsi="楷体" w:eastAsia="楷体" w:cs="楷体"/>
          <w:b/>
          <w:bCs/>
          <w:sz w:val="32"/>
          <w:szCs w:val="32"/>
        </w:rPr>
      </w:pPr>
      <w:r>
        <w:rPr>
          <w:rFonts w:hint="eastAsia" w:ascii="楷体" w:hAnsi="楷体" w:eastAsia="楷体" w:cs="楷体"/>
          <w:b/>
          <w:bCs/>
          <w:sz w:val="32"/>
          <w:szCs w:val="32"/>
        </w:rPr>
        <w:t>存在问题</w:t>
      </w:r>
    </w:p>
    <w:p>
      <w:pPr>
        <w:widowControl/>
        <w:adjustRightInd w:val="0"/>
        <w:snapToGrid w:val="0"/>
        <w:spacing w:line="576" w:lineRule="exact"/>
        <w:ind w:firstLine="720"/>
        <w:rPr>
          <w:rFonts w:ascii="仿宋" w:hAnsi="仿宋" w:eastAsia="仿宋"/>
        </w:rPr>
      </w:pPr>
      <w:r>
        <w:rPr>
          <w:rFonts w:hint="eastAsia" w:ascii="仿宋" w:hAnsi="仿宋" w:eastAsia="仿宋" w:cs="宋体"/>
          <w:color w:val="000000"/>
          <w:kern w:val="0"/>
          <w:sz w:val="32"/>
          <w:szCs w:val="32"/>
          <w:shd w:val="clear" w:color="auto" w:fill="FFFFFF"/>
          <w:lang w:val="zh-CN"/>
        </w:rPr>
        <w:t>内控制度管理质量不高，个别内控制度执行力不强、监督不力，导致制度管理质量不高。</w:t>
      </w:r>
    </w:p>
    <w:p>
      <w:pPr>
        <w:numPr>
          <w:ilvl w:val="0"/>
          <w:numId w:val="10"/>
        </w:numPr>
        <w:spacing w:line="576" w:lineRule="exact"/>
        <w:rPr>
          <w:rFonts w:hint="eastAsia" w:ascii="楷体" w:hAnsi="楷体" w:eastAsia="楷体" w:cs="楷体"/>
          <w:b/>
          <w:bCs/>
          <w:sz w:val="32"/>
          <w:szCs w:val="32"/>
        </w:rPr>
      </w:pPr>
      <w:r>
        <w:rPr>
          <w:rFonts w:hint="eastAsia" w:ascii="楷体" w:hAnsi="楷体" w:eastAsia="楷体" w:cs="楷体"/>
          <w:b/>
          <w:bCs/>
          <w:sz w:val="32"/>
          <w:szCs w:val="32"/>
        </w:rPr>
        <w:t>改进建议</w:t>
      </w:r>
    </w:p>
    <w:p>
      <w:pPr>
        <w:spacing w:line="576"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我们一定要提高预算编制质量，强化资金财务管理，加大内控管理制度，使我单位能更好的完成各项目标任务。</w:t>
      </w:r>
    </w:p>
    <w:p>
      <w:pPr>
        <w:numPr>
          <w:ilvl w:val="0"/>
          <w:numId w:val="6"/>
        </w:numPr>
        <w:spacing w:line="600" w:lineRule="exact"/>
        <w:ind w:firstLine="660" w:firstLineChars="150"/>
        <w:jc w:val="center"/>
        <w:outlineLvl w:val="0"/>
        <w:rPr>
          <w:rStyle w:val="22"/>
          <w:rFonts w:ascii="方正小标宋简体" w:hAnsi="方正小标宋简体" w:eastAsia="方正小标宋简体" w:cs="方正小标宋简体"/>
          <w:b w:val="0"/>
        </w:rPr>
      </w:pPr>
      <w:bookmarkStart w:id="58" w:name="_Toc15396618"/>
      <w:r>
        <w:rPr>
          <w:rFonts w:ascii="仿宋" w:hAnsi="仿宋" w:eastAsia="仿宋" w:cs="方正小标宋简体"/>
          <w:color w:val="000000"/>
          <w:sz w:val="44"/>
          <w:szCs w:val="44"/>
        </w:rPr>
        <w:br w:type="page"/>
      </w:r>
      <w:r>
        <w:rPr>
          <w:rStyle w:val="22"/>
          <w:rFonts w:hint="eastAsia" w:ascii="方正小标宋简体" w:hAnsi="方正小标宋简体" w:eastAsia="方正小标宋简体" w:cs="方正小标宋简体"/>
          <w:b w:val="0"/>
        </w:rPr>
        <w:t>附表</w:t>
      </w:r>
    </w:p>
    <w:p>
      <w:pPr>
        <w:numPr>
          <w:numId w:val="0"/>
        </w:numPr>
        <w:spacing w:line="600" w:lineRule="exact"/>
        <w:jc w:val="both"/>
        <w:outlineLvl w:val="0"/>
        <w:rPr>
          <w:rStyle w:val="22"/>
          <w:rFonts w:ascii="方正小标宋简体" w:hAnsi="方正小标宋简体" w:eastAsia="方正小标宋简体" w:cs="方正小标宋简体"/>
          <w:b w:val="0"/>
        </w:rPr>
      </w:pPr>
    </w:p>
    <w:p>
      <w:pPr>
        <w:pStyle w:val="3"/>
        <w:spacing w:line="576" w:lineRule="exact"/>
        <w:rPr>
          <w:rFonts w:ascii="仿宋" w:hAnsi="仿宋" w:eastAsia="仿宋"/>
          <w:color w:val="000000"/>
        </w:rPr>
      </w:pPr>
      <w:r>
        <w:rPr>
          <w:rFonts w:hint="eastAsia" w:ascii="仿宋" w:hAnsi="仿宋" w:eastAsia="仿宋"/>
          <w:b w:val="0"/>
          <w:color w:val="000000"/>
        </w:rPr>
        <w:t>一、收</w:t>
      </w:r>
      <w:r>
        <w:rPr>
          <w:rStyle w:val="23"/>
          <w:rFonts w:hint="eastAsia" w:ascii="仿宋" w:hAnsi="仿宋" w:eastAsia="仿宋"/>
          <w:b w:val="0"/>
          <w:bCs w:val="0"/>
        </w:rPr>
        <w:t>入支出决算总表</w:t>
      </w:r>
    </w:p>
    <w:p>
      <w:pPr>
        <w:pStyle w:val="3"/>
        <w:spacing w:line="576" w:lineRule="exact"/>
        <w:rPr>
          <w:rFonts w:ascii="仿宋" w:hAnsi="仿宋" w:eastAsia="仿宋"/>
          <w:color w:val="000000"/>
        </w:rPr>
      </w:pPr>
      <w:r>
        <w:rPr>
          <w:rFonts w:hint="eastAsia" w:ascii="仿宋" w:hAnsi="仿宋" w:eastAsia="仿宋"/>
          <w:b w:val="0"/>
          <w:color w:val="000000"/>
        </w:rPr>
        <w:t>二、收</w:t>
      </w:r>
      <w:r>
        <w:rPr>
          <w:rStyle w:val="23"/>
          <w:rFonts w:hint="eastAsia" w:ascii="仿宋" w:hAnsi="仿宋" w:eastAsia="仿宋"/>
          <w:b w:val="0"/>
          <w:bCs w:val="0"/>
        </w:rPr>
        <w:t>入总表</w:t>
      </w:r>
    </w:p>
    <w:p>
      <w:pPr>
        <w:pStyle w:val="3"/>
        <w:spacing w:line="576" w:lineRule="exact"/>
        <w:rPr>
          <w:rFonts w:ascii="仿宋" w:hAnsi="仿宋" w:eastAsia="仿宋"/>
          <w:color w:val="000000"/>
        </w:rPr>
      </w:pPr>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出总表</w:t>
      </w:r>
    </w:p>
    <w:p>
      <w:pPr>
        <w:pStyle w:val="3"/>
        <w:spacing w:line="576" w:lineRule="exact"/>
        <w:rPr>
          <w:rFonts w:ascii="仿宋" w:hAnsi="仿宋" w:eastAsia="仿宋"/>
          <w:b w:val="0"/>
          <w:color w:val="000000"/>
        </w:rPr>
      </w:pPr>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p>
    <w:p>
      <w:pPr>
        <w:pStyle w:val="3"/>
        <w:spacing w:line="576" w:lineRule="exact"/>
        <w:rPr>
          <w:rFonts w:ascii="仿宋" w:hAnsi="仿宋" w:eastAsia="仿宋"/>
          <w:color w:val="000000"/>
        </w:rPr>
      </w:pPr>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政拨款支出决算明细表（政府经济分类科目）</w:t>
      </w:r>
    </w:p>
    <w:p>
      <w:pPr>
        <w:pStyle w:val="3"/>
        <w:spacing w:line="576" w:lineRule="exact"/>
        <w:rPr>
          <w:rFonts w:ascii="仿宋" w:hAnsi="仿宋" w:eastAsia="仿宋"/>
          <w:color w:val="000000"/>
        </w:rPr>
      </w:pPr>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p>
    <w:p>
      <w:pPr>
        <w:pStyle w:val="3"/>
        <w:spacing w:line="576" w:lineRule="exact"/>
        <w:rPr>
          <w:rFonts w:ascii="仿宋" w:hAnsi="仿宋" w:eastAsia="仿宋"/>
          <w:color w:val="000000"/>
        </w:rPr>
      </w:pPr>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p>
    <w:p>
      <w:pPr>
        <w:pStyle w:val="3"/>
        <w:spacing w:line="576" w:lineRule="exact"/>
        <w:rPr>
          <w:rFonts w:ascii="仿宋" w:hAnsi="仿宋" w:eastAsia="仿宋"/>
          <w:color w:val="000000"/>
        </w:rPr>
      </w:pPr>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p>
    <w:p>
      <w:pPr>
        <w:pStyle w:val="3"/>
        <w:spacing w:line="576" w:lineRule="exact"/>
        <w:rPr>
          <w:rFonts w:ascii="仿宋" w:hAnsi="仿宋" w:eastAsia="仿宋"/>
          <w:color w:val="000000"/>
        </w:rPr>
      </w:pPr>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p>
    <w:p>
      <w:pPr>
        <w:pStyle w:val="3"/>
        <w:spacing w:line="576" w:lineRule="exact"/>
        <w:rPr>
          <w:rFonts w:ascii="仿宋" w:hAnsi="仿宋" w:eastAsia="仿宋"/>
          <w:color w:val="000000"/>
        </w:rPr>
      </w:pPr>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p>
    <w:p>
      <w:pPr>
        <w:pStyle w:val="3"/>
        <w:spacing w:line="576" w:lineRule="exact"/>
        <w:rPr>
          <w:rFonts w:ascii="仿宋" w:hAnsi="仿宋" w:eastAsia="仿宋"/>
          <w:color w:val="000000"/>
        </w:rPr>
      </w:pPr>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p>
    <w:p>
      <w:pPr>
        <w:pStyle w:val="3"/>
        <w:spacing w:line="576" w:lineRule="exact"/>
        <w:rPr>
          <w:rFonts w:ascii="仿宋" w:hAnsi="仿宋" w:eastAsia="仿宋"/>
          <w:color w:val="000000"/>
        </w:rPr>
      </w:pPr>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p>
    <w:p>
      <w:pPr>
        <w:pStyle w:val="3"/>
        <w:spacing w:line="576" w:lineRule="exact"/>
      </w:pPr>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有资本经营预算支出</w:t>
      </w:r>
      <w:bookmarkEnd w:id="56"/>
      <w:bookmarkEnd w:id="58"/>
      <w:bookmarkStart w:id="59" w:name="_GoBack"/>
      <w:bookmarkEnd w:id="59"/>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rif">
    <w:altName w:val="Courier New"/>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auto"/>
    <w:pitch w:val="default"/>
    <w:sig w:usb0="E0002AFF" w:usb1="C0007843" w:usb2="00000009" w:usb3="00000000" w:csb0="4000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3xLOQWAgAAFQQAAA4AAABkcnMvZTJvRG9jLnhtbK1TzY7TMBC+I/EO&#10;lu80aVFXVdV0VXZVhFSxKxXE2XWcJpL/ZLtNygPAG3Diwp3n6nPsZ6fpIuCEuNhjz/jzzDffLG47&#10;JclRON8YXdDxKKdEaG7KRu8L+vHD+tWMEh+YLpk0WhT0JDy9Xb58sWjtXExMbWQpHAGI9vPWFrQO&#10;wc6zzPNaKOZHxgoNZ2WcYgFHt89Kx1qgK5lN8vwma40rrTNceI/b+95Jlwm/qgQPD1XlRSCyoMgt&#10;pNWldRfXbLlg871jtm74JQ32D1ko1mh8eoW6Z4GRg2v+gFINd8abKoy4UZmpqoaLVAOqGee/VbOt&#10;mRWpFpDj7ZUm//9g+fvjoyNNWdApJZoptOj87ev5+8/zjy9kGulprZ8jamsRF7o3pkObh3uPy1h1&#10;VzkVd9RD4AfRpyu5oguEx0ezyWyWw8XhGw7Az56fW+fDW2EUiUZBHbqXSGXHjQ996BASf9Nm3UiZ&#10;Oig1aQt683qapwdXD8CljrEiaeECE0vqU49W6Hbdpc6dKU8o05leJ97ydYNUNsyHR+YgDKQPsYcH&#10;LJU0+NJcLEpq4z7/7T7Go1/wUtJCaAXVmARK5DuNPkZNDoYbjN1g6IO6M1DuGENkeTLxwAU5mJUz&#10;6hMmYBX/gItpjp8KGgbzLvRixwRxsVqlICjPsrDRW8sjdKTH29UhgM7EciSlZwLdiQdoL/XpMidR&#10;3L+eU9TzNC+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98SzkFgIAABUEAAAOAAAAAAAA&#10;AAEAIAAAAB8BAABkcnMvZTJvRG9jLnhtbFBLBQYAAAAABgAGAFkBAACnBQAAAAA=&#10;">
          <v:path/>
          <v:fill on="f" focussize="0,0"/>
          <v:stroke on="f" weight="0.5pt" joinstyle="miter"/>
          <v:imagedata o:title=""/>
          <o:lock v:ext="edit"/>
          <v:textbox inset="0mm,0mm,0mm,0mm" style="mso-fit-shape-to-text:t;">
            <w:txbxContent>
              <w:p>
                <w:pPr>
                  <w:pStyle w:val="6"/>
                  <w:jc w:val="center"/>
                </w:pPr>
                <w:r>
                  <w:fldChar w:fldCharType="begin"/>
                </w:r>
                <w:r>
                  <w:instrText xml:space="preserve">PAGE   \* MERGEFORMAT</w:instrText>
                </w:r>
                <w:r>
                  <w:fldChar w:fldCharType="separate"/>
                </w:r>
                <w:r>
                  <w:rPr>
                    <w:lang w:val="zh-CN"/>
                  </w:rPr>
                  <w:t>27</w:t>
                </w:r>
                <w:r>
                  <w:rPr>
                    <w:lang w:val="zh-CN"/>
                  </w:rPr>
                  <w:fldChar w:fldCharType="end"/>
                </w:r>
              </w:p>
              <w:p/>
            </w:txbxContent>
          </v:textbox>
        </v:shape>
      </w:pic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AD20C4"/>
    <w:multiLevelType w:val="singleLevel"/>
    <w:tmpl w:val="BDAD20C4"/>
    <w:lvl w:ilvl="0" w:tentative="0">
      <w:start w:val="1"/>
      <w:numFmt w:val="chineseCounting"/>
      <w:suff w:val="nothing"/>
      <w:lvlText w:val="（%1）"/>
      <w:lvlJc w:val="left"/>
      <w:pPr>
        <w:ind w:firstLine="420"/>
      </w:pPr>
      <w:rPr>
        <w:rFonts w:hint="eastAsia" w:cs="Times New Roman"/>
      </w:rPr>
    </w:lvl>
  </w:abstractNum>
  <w:abstractNum w:abstractNumId="1">
    <w:nsid w:val="D2B405E2"/>
    <w:multiLevelType w:val="singleLevel"/>
    <w:tmpl w:val="D2B405E2"/>
    <w:lvl w:ilvl="0" w:tentative="0">
      <w:start w:val="1"/>
      <w:numFmt w:val="chineseCounting"/>
      <w:suff w:val="nothing"/>
      <w:lvlText w:val="（%1）"/>
      <w:lvlJc w:val="left"/>
      <w:pPr>
        <w:ind w:firstLine="42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47F4D54"/>
    <w:multiLevelType w:val="singleLevel"/>
    <w:tmpl w:val="E47F4D54"/>
    <w:lvl w:ilvl="0" w:tentative="0">
      <w:start w:val="1"/>
      <w:numFmt w:val="chineseCounting"/>
      <w:suff w:val="nothing"/>
      <w:lvlText w:val="（%1）"/>
      <w:lvlJc w:val="left"/>
      <w:pPr>
        <w:ind w:firstLine="420"/>
      </w:pPr>
      <w:rPr>
        <w:rFonts w:hint="eastAsia" w:cs="Times New Roman"/>
      </w:rPr>
    </w:lvl>
  </w:abstractNum>
  <w:abstractNum w:abstractNumId="4">
    <w:nsid w:val="E9AB9F7D"/>
    <w:multiLevelType w:val="singleLevel"/>
    <w:tmpl w:val="E9AB9F7D"/>
    <w:lvl w:ilvl="0" w:tentative="0">
      <w:start w:val="1"/>
      <w:numFmt w:val="chineseCounting"/>
      <w:suff w:val="nothing"/>
      <w:lvlText w:val="（%1）"/>
      <w:lvlJc w:val="left"/>
      <w:pPr>
        <w:ind w:firstLine="420"/>
      </w:pPr>
      <w:rPr>
        <w:rFonts w:hint="eastAsia" w:cs="Times New Roman"/>
      </w:rPr>
    </w:lvl>
  </w:abstractNum>
  <w:abstractNum w:abstractNumId="5">
    <w:nsid w:val="EE7C0A43"/>
    <w:multiLevelType w:val="singleLevel"/>
    <w:tmpl w:val="EE7C0A43"/>
    <w:lvl w:ilvl="0" w:tentative="0">
      <w:start w:val="1"/>
      <w:numFmt w:val="chineseCounting"/>
      <w:suff w:val="nothing"/>
      <w:lvlText w:val="%1、"/>
      <w:lvlJc w:val="left"/>
      <w:pPr>
        <w:ind w:firstLine="420"/>
      </w:pPr>
      <w:rPr>
        <w:rFonts w:hint="eastAsia" w:cs="Times New Roman"/>
      </w:rPr>
    </w:lvl>
  </w:abstractNum>
  <w:abstractNum w:abstractNumId="6">
    <w:nsid w:val="F999FD7A"/>
    <w:multiLevelType w:val="singleLevel"/>
    <w:tmpl w:val="F999FD7A"/>
    <w:lvl w:ilvl="0" w:tentative="0">
      <w:start w:val="1"/>
      <w:numFmt w:val="chineseCounting"/>
      <w:suff w:val="nothing"/>
      <w:lvlText w:val="（%1）"/>
      <w:lvlJc w:val="left"/>
      <w:pPr>
        <w:ind w:firstLine="420"/>
      </w:pPr>
      <w:rPr>
        <w:rFonts w:hint="eastAsia" w:cs="Times New Roman"/>
      </w:rPr>
    </w:lvl>
  </w:abstractNum>
  <w:abstractNum w:abstractNumId="7">
    <w:nsid w:val="05963987"/>
    <w:multiLevelType w:val="singleLevel"/>
    <w:tmpl w:val="05963987"/>
    <w:lvl w:ilvl="0" w:tentative="0">
      <w:start w:val="1"/>
      <w:numFmt w:val="chineseCounting"/>
      <w:suff w:val="nothing"/>
      <w:lvlText w:val="（%1）"/>
      <w:lvlJc w:val="left"/>
      <w:pPr>
        <w:ind w:firstLine="420"/>
      </w:pPr>
      <w:rPr>
        <w:rFonts w:hint="eastAsia" w:cs="Times New Roman"/>
      </w:rPr>
    </w:lvl>
  </w:abstractNum>
  <w:abstractNum w:abstractNumId="8">
    <w:nsid w:val="1272550B"/>
    <w:multiLevelType w:val="multilevel"/>
    <w:tmpl w:val="1272550B"/>
    <w:lvl w:ilvl="0" w:tentative="0">
      <w:start w:val="1"/>
      <w:numFmt w:val="japaneseCounting"/>
      <w:lvlText w:val="%1、"/>
      <w:lvlJc w:val="left"/>
      <w:pPr>
        <w:ind w:left="1429"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9">
    <w:nsid w:val="47170206"/>
    <w:multiLevelType w:val="singleLevel"/>
    <w:tmpl w:val="47170206"/>
    <w:lvl w:ilvl="0" w:tentative="0">
      <w:start w:val="1"/>
      <w:numFmt w:val="chineseCounting"/>
      <w:suff w:val="nothing"/>
      <w:lvlText w:val="（%1）"/>
      <w:lvlJc w:val="left"/>
      <w:pPr>
        <w:ind w:firstLine="420"/>
      </w:pPr>
      <w:rPr>
        <w:rFonts w:hint="eastAsia" w:cs="Times New Roman"/>
      </w:rPr>
    </w:lvl>
  </w:abstractNum>
  <w:num w:numId="1">
    <w:abstractNumId w:val="8"/>
  </w:num>
  <w:num w:numId="2">
    <w:abstractNumId w:val="4"/>
  </w:num>
  <w:num w:numId="3">
    <w:abstractNumId w:val="1"/>
  </w:num>
  <w:num w:numId="4">
    <w:abstractNumId w:val="9"/>
  </w:num>
  <w:num w:numId="5">
    <w:abstractNumId w:val="0"/>
  </w:num>
  <w:num w:numId="6">
    <w:abstractNumId w:val="2"/>
  </w:num>
  <w:num w:numId="7">
    <w:abstractNumId w:val="5"/>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1BB8476E"/>
    <w:rsid w:val="000E01E4"/>
    <w:rsid w:val="000E10DE"/>
    <w:rsid w:val="00143ECF"/>
    <w:rsid w:val="00164876"/>
    <w:rsid w:val="001B1084"/>
    <w:rsid w:val="001C67D2"/>
    <w:rsid w:val="002437EC"/>
    <w:rsid w:val="00283E96"/>
    <w:rsid w:val="002F4364"/>
    <w:rsid w:val="0033419E"/>
    <w:rsid w:val="003875CE"/>
    <w:rsid w:val="0039274B"/>
    <w:rsid w:val="003A6051"/>
    <w:rsid w:val="003F524C"/>
    <w:rsid w:val="00422E27"/>
    <w:rsid w:val="004664C8"/>
    <w:rsid w:val="004F1F42"/>
    <w:rsid w:val="00532C38"/>
    <w:rsid w:val="00550D97"/>
    <w:rsid w:val="00563B7C"/>
    <w:rsid w:val="0065427D"/>
    <w:rsid w:val="00664CFE"/>
    <w:rsid w:val="00693E09"/>
    <w:rsid w:val="006A12DB"/>
    <w:rsid w:val="00706E2C"/>
    <w:rsid w:val="00707826"/>
    <w:rsid w:val="00723B1F"/>
    <w:rsid w:val="00732B64"/>
    <w:rsid w:val="00733E23"/>
    <w:rsid w:val="007522AD"/>
    <w:rsid w:val="00757DCD"/>
    <w:rsid w:val="007D7ECB"/>
    <w:rsid w:val="008674A3"/>
    <w:rsid w:val="008D0B23"/>
    <w:rsid w:val="008D1CC1"/>
    <w:rsid w:val="009470D6"/>
    <w:rsid w:val="009B7E1A"/>
    <w:rsid w:val="009E5C30"/>
    <w:rsid w:val="009F7623"/>
    <w:rsid w:val="00A87D83"/>
    <w:rsid w:val="00AB4AB0"/>
    <w:rsid w:val="00AC4C8C"/>
    <w:rsid w:val="00AD5DC6"/>
    <w:rsid w:val="00AF4463"/>
    <w:rsid w:val="00B4391E"/>
    <w:rsid w:val="00B43A69"/>
    <w:rsid w:val="00B44A44"/>
    <w:rsid w:val="00B5645E"/>
    <w:rsid w:val="00BE5718"/>
    <w:rsid w:val="00C0660A"/>
    <w:rsid w:val="00C30C0F"/>
    <w:rsid w:val="00C6678B"/>
    <w:rsid w:val="00CA2AFF"/>
    <w:rsid w:val="00D22317"/>
    <w:rsid w:val="00D37B27"/>
    <w:rsid w:val="00D4203B"/>
    <w:rsid w:val="00D56BFE"/>
    <w:rsid w:val="00DC6503"/>
    <w:rsid w:val="00DF136F"/>
    <w:rsid w:val="00E16F22"/>
    <w:rsid w:val="00EF4FC2"/>
    <w:rsid w:val="00F25B4E"/>
    <w:rsid w:val="00F6021C"/>
    <w:rsid w:val="00F87C89"/>
    <w:rsid w:val="00F91B28"/>
    <w:rsid w:val="01AD2A7E"/>
    <w:rsid w:val="031F4148"/>
    <w:rsid w:val="04F65CC6"/>
    <w:rsid w:val="074A55AD"/>
    <w:rsid w:val="074E369C"/>
    <w:rsid w:val="09C463E5"/>
    <w:rsid w:val="0B5A7CA8"/>
    <w:rsid w:val="0C140C64"/>
    <w:rsid w:val="0C75739D"/>
    <w:rsid w:val="0F4F19F3"/>
    <w:rsid w:val="0F911CC3"/>
    <w:rsid w:val="10450F54"/>
    <w:rsid w:val="12404222"/>
    <w:rsid w:val="12B03565"/>
    <w:rsid w:val="14EC5A25"/>
    <w:rsid w:val="15566DB3"/>
    <w:rsid w:val="16341660"/>
    <w:rsid w:val="17A54B1D"/>
    <w:rsid w:val="19A56953"/>
    <w:rsid w:val="1AD414D5"/>
    <w:rsid w:val="1B11105C"/>
    <w:rsid w:val="1BB8476E"/>
    <w:rsid w:val="1CC57E3D"/>
    <w:rsid w:val="1D357097"/>
    <w:rsid w:val="1E0E55DC"/>
    <w:rsid w:val="1FFA6777"/>
    <w:rsid w:val="25466CD4"/>
    <w:rsid w:val="255612F9"/>
    <w:rsid w:val="26DA0589"/>
    <w:rsid w:val="27DB6B21"/>
    <w:rsid w:val="29EA3E07"/>
    <w:rsid w:val="29F62D5C"/>
    <w:rsid w:val="2E053996"/>
    <w:rsid w:val="3337355C"/>
    <w:rsid w:val="352B1B97"/>
    <w:rsid w:val="361F03B0"/>
    <w:rsid w:val="36493F03"/>
    <w:rsid w:val="3825571E"/>
    <w:rsid w:val="397541D6"/>
    <w:rsid w:val="3A610464"/>
    <w:rsid w:val="3BBC351E"/>
    <w:rsid w:val="3C9D5211"/>
    <w:rsid w:val="3D26431D"/>
    <w:rsid w:val="3DF961E8"/>
    <w:rsid w:val="403F7B83"/>
    <w:rsid w:val="442F1339"/>
    <w:rsid w:val="44BB759D"/>
    <w:rsid w:val="45302620"/>
    <w:rsid w:val="458A0C2D"/>
    <w:rsid w:val="462E0BC3"/>
    <w:rsid w:val="48A912AA"/>
    <w:rsid w:val="48FE309F"/>
    <w:rsid w:val="494D0D60"/>
    <w:rsid w:val="49AB5695"/>
    <w:rsid w:val="4BBB23DF"/>
    <w:rsid w:val="4CB14649"/>
    <w:rsid w:val="4F272104"/>
    <w:rsid w:val="536652AD"/>
    <w:rsid w:val="53F220CF"/>
    <w:rsid w:val="553345F4"/>
    <w:rsid w:val="5CC04870"/>
    <w:rsid w:val="5E2D7A25"/>
    <w:rsid w:val="5F753F61"/>
    <w:rsid w:val="621D472A"/>
    <w:rsid w:val="621F6117"/>
    <w:rsid w:val="622F4FF0"/>
    <w:rsid w:val="64484C94"/>
    <w:rsid w:val="64B52C47"/>
    <w:rsid w:val="67955DA4"/>
    <w:rsid w:val="6AB628AA"/>
    <w:rsid w:val="6CC42D9E"/>
    <w:rsid w:val="6D627D64"/>
    <w:rsid w:val="6ED63700"/>
    <w:rsid w:val="7093197A"/>
    <w:rsid w:val="71B12292"/>
    <w:rsid w:val="71E219AE"/>
    <w:rsid w:val="7355077D"/>
    <w:rsid w:val="7391537E"/>
    <w:rsid w:val="747D2659"/>
    <w:rsid w:val="74985FE9"/>
    <w:rsid w:val="768D70C3"/>
    <w:rsid w:val="76B27FC8"/>
    <w:rsid w:val="770C6463"/>
    <w:rsid w:val="77B3035B"/>
    <w:rsid w:val="77E15F85"/>
    <w:rsid w:val="7B36776C"/>
    <w:rsid w:val="7E716EBD"/>
    <w:rsid w:val="7ECA38D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uiPriority="99" w:name="HTML Typewriter" w:locked="1"/>
    <w:lsdException w:qFormat="1" w:unhideWhenUsed="0" w:uiPriority="99" w:semiHidden="0" w:name="HTML Variable"/>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9"/>
    <w:pPr>
      <w:keepNext/>
      <w:keepLines/>
      <w:spacing w:before="260" w:after="260" w:line="416" w:lineRule="auto"/>
      <w:outlineLvl w:val="1"/>
    </w:pPr>
    <w:rPr>
      <w:rFonts w:ascii="Calibri Light" w:hAnsi="Calibri Light"/>
      <w:b/>
      <w:bCs/>
      <w:sz w:val="32"/>
      <w:szCs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4"/>
    <w:uiPriority w:val="99"/>
    <w:pPr>
      <w:spacing w:beforeLines="30"/>
    </w:pPr>
    <w:rPr>
      <w:rFonts w:ascii="仿宋_GB2312" w:eastAsia="仿宋_GB2312"/>
      <w:kern w:val="0"/>
      <w:sz w:val="30"/>
    </w:rPr>
  </w:style>
  <w:style w:type="paragraph" w:styleId="5">
    <w:name w:val="Balloon Text"/>
    <w:basedOn w:val="1"/>
    <w:link w:val="32"/>
    <w:semiHidden/>
    <w:qFormat/>
    <w:locked/>
    <w:uiPriority w:val="99"/>
    <w:rPr>
      <w:sz w:val="18"/>
      <w:szCs w:val="18"/>
    </w:rPr>
  </w:style>
  <w:style w:type="paragraph" w:styleId="6">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7">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8">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9">
    <w:name w:val="toc 2"/>
    <w:basedOn w:val="1"/>
    <w:next w:val="1"/>
    <w:qFormat/>
    <w:uiPriority w:val="99"/>
    <w:pPr>
      <w:tabs>
        <w:tab w:val="right" w:leader="dot" w:pos="8296"/>
      </w:tabs>
      <w:ind w:left="420" w:leftChars="200"/>
    </w:pPr>
  </w:style>
  <w:style w:type="character" w:styleId="12">
    <w:name w:val="Strong"/>
    <w:basedOn w:val="11"/>
    <w:qFormat/>
    <w:uiPriority w:val="99"/>
    <w:rPr>
      <w:rFonts w:cs="Times New Roman"/>
      <w:b/>
    </w:rPr>
  </w:style>
  <w:style w:type="character" w:styleId="13">
    <w:name w:val="FollowedHyperlink"/>
    <w:basedOn w:val="11"/>
    <w:qFormat/>
    <w:uiPriority w:val="99"/>
    <w:rPr>
      <w:rFonts w:cs="Times New Roman"/>
      <w:color w:val="338DE6"/>
      <w:u w:val="none"/>
    </w:rPr>
  </w:style>
  <w:style w:type="character" w:styleId="14">
    <w:name w:val="Emphasis"/>
    <w:basedOn w:val="11"/>
    <w:qFormat/>
    <w:uiPriority w:val="99"/>
    <w:rPr>
      <w:rFonts w:cs="Times New Roman"/>
    </w:rPr>
  </w:style>
  <w:style w:type="character" w:styleId="15">
    <w:name w:val="HTML Definition"/>
    <w:basedOn w:val="11"/>
    <w:qFormat/>
    <w:uiPriority w:val="99"/>
    <w:rPr>
      <w:rFonts w:cs="Times New Roman"/>
    </w:rPr>
  </w:style>
  <w:style w:type="character" w:styleId="16">
    <w:name w:val="HTML Variable"/>
    <w:basedOn w:val="11"/>
    <w:qFormat/>
    <w:uiPriority w:val="99"/>
    <w:rPr>
      <w:rFonts w:cs="Times New Roman"/>
    </w:rPr>
  </w:style>
  <w:style w:type="character" w:styleId="17">
    <w:name w:val="Hyperlink"/>
    <w:basedOn w:val="11"/>
    <w:qFormat/>
    <w:uiPriority w:val="99"/>
    <w:rPr>
      <w:rFonts w:cs="Times New Roman"/>
      <w:color w:val="0563C1"/>
      <w:u w:val="single"/>
    </w:rPr>
  </w:style>
  <w:style w:type="character" w:styleId="18">
    <w:name w:val="HTML Code"/>
    <w:basedOn w:val="11"/>
    <w:qFormat/>
    <w:uiPriority w:val="99"/>
    <w:rPr>
      <w:rFonts w:ascii="serif" w:hAnsi="serif" w:cs="serif"/>
      <w:sz w:val="21"/>
      <w:szCs w:val="21"/>
    </w:rPr>
  </w:style>
  <w:style w:type="character" w:styleId="19">
    <w:name w:val="HTML Cite"/>
    <w:basedOn w:val="11"/>
    <w:qFormat/>
    <w:uiPriority w:val="99"/>
    <w:rPr>
      <w:rFonts w:cs="Times New Roman"/>
    </w:rPr>
  </w:style>
  <w:style w:type="character" w:styleId="20">
    <w:name w:val="HTML Keyboard"/>
    <w:basedOn w:val="11"/>
    <w:qFormat/>
    <w:uiPriority w:val="99"/>
    <w:rPr>
      <w:rFonts w:ascii="serif" w:hAnsi="serif" w:cs="serif"/>
      <w:sz w:val="21"/>
      <w:szCs w:val="21"/>
    </w:rPr>
  </w:style>
  <w:style w:type="character" w:styleId="21">
    <w:name w:val="HTML Sample"/>
    <w:basedOn w:val="11"/>
    <w:qFormat/>
    <w:uiPriority w:val="99"/>
    <w:rPr>
      <w:rFonts w:ascii="serif" w:hAnsi="serif" w:cs="serif"/>
      <w:sz w:val="21"/>
      <w:szCs w:val="21"/>
    </w:rPr>
  </w:style>
  <w:style w:type="character" w:customStyle="1" w:styleId="22">
    <w:name w:val="标题 1 Char"/>
    <w:basedOn w:val="11"/>
    <w:link w:val="2"/>
    <w:qFormat/>
    <w:locked/>
    <w:uiPriority w:val="99"/>
    <w:rPr>
      <w:rFonts w:cs="Times New Roman"/>
      <w:b/>
      <w:bCs/>
      <w:kern w:val="44"/>
      <w:sz w:val="44"/>
      <w:szCs w:val="44"/>
    </w:rPr>
  </w:style>
  <w:style w:type="character" w:customStyle="1" w:styleId="23">
    <w:name w:val="标题 2 Char"/>
    <w:basedOn w:val="11"/>
    <w:link w:val="3"/>
    <w:qFormat/>
    <w:locked/>
    <w:uiPriority w:val="99"/>
    <w:rPr>
      <w:rFonts w:ascii="Calibri Light" w:hAnsi="Calibri Light" w:eastAsia="宋体" w:cs="Times New Roman"/>
      <w:b/>
      <w:bCs/>
      <w:sz w:val="32"/>
      <w:szCs w:val="32"/>
    </w:rPr>
  </w:style>
  <w:style w:type="character" w:customStyle="1" w:styleId="24">
    <w:name w:val="正文文本 Char"/>
    <w:basedOn w:val="11"/>
    <w:link w:val="4"/>
    <w:semiHidden/>
    <w:qFormat/>
    <w:locked/>
    <w:uiPriority w:val="99"/>
    <w:rPr>
      <w:rFonts w:cs="Times New Roman"/>
      <w:sz w:val="24"/>
      <w:szCs w:val="24"/>
    </w:rPr>
  </w:style>
  <w:style w:type="character" w:customStyle="1" w:styleId="25">
    <w:name w:val="页脚 Char"/>
    <w:basedOn w:val="11"/>
    <w:link w:val="6"/>
    <w:semiHidden/>
    <w:qFormat/>
    <w:locked/>
    <w:uiPriority w:val="99"/>
    <w:rPr>
      <w:rFonts w:cs="Times New Roman"/>
      <w:sz w:val="18"/>
      <w:szCs w:val="18"/>
    </w:rPr>
  </w:style>
  <w:style w:type="character" w:customStyle="1" w:styleId="26">
    <w:name w:val="页眉 Char"/>
    <w:basedOn w:val="11"/>
    <w:link w:val="7"/>
    <w:semiHidden/>
    <w:qFormat/>
    <w:locked/>
    <w:uiPriority w:val="99"/>
    <w:rPr>
      <w:rFonts w:cs="Times New Roman"/>
      <w:sz w:val="18"/>
      <w:szCs w:val="18"/>
    </w:rPr>
  </w:style>
  <w:style w:type="paragraph" w:styleId="27">
    <w:name w:val="List Paragraph"/>
    <w:basedOn w:val="1"/>
    <w:qFormat/>
    <w:uiPriority w:val="99"/>
    <w:pPr>
      <w:ind w:firstLine="420" w:firstLineChars="200"/>
    </w:pPr>
  </w:style>
  <w:style w:type="paragraph" w:customStyle="1" w:styleId="28">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29">
    <w:name w:val="fontborder"/>
    <w:basedOn w:val="11"/>
    <w:qFormat/>
    <w:uiPriority w:val="99"/>
    <w:rPr>
      <w:rFonts w:cs="Times New Roman"/>
      <w:bdr w:val="single" w:color="000000" w:sz="4" w:space="0"/>
    </w:rPr>
  </w:style>
  <w:style w:type="character" w:customStyle="1" w:styleId="30">
    <w:name w:val="fontstrikethrough"/>
    <w:basedOn w:val="11"/>
    <w:qFormat/>
    <w:uiPriority w:val="99"/>
    <w:rPr>
      <w:rFonts w:cs="Times New Roman"/>
      <w:strike/>
    </w:rPr>
  </w:style>
  <w:style w:type="character" w:customStyle="1" w:styleId="31">
    <w:name w:val="font01"/>
    <w:basedOn w:val="11"/>
    <w:qFormat/>
    <w:uiPriority w:val="99"/>
    <w:rPr>
      <w:rFonts w:ascii="宋体" w:hAnsi="宋体" w:eastAsia="宋体" w:cs="宋体"/>
      <w:color w:val="000000"/>
      <w:sz w:val="22"/>
      <w:szCs w:val="22"/>
      <w:u w:val="none"/>
    </w:rPr>
  </w:style>
  <w:style w:type="character" w:customStyle="1" w:styleId="32">
    <w:name w:val="批注框文本 Char"/>
    <w:basedOn w:val="11"/>
    <w:link w:val="5"/>
    <w:semiHidden/>
    <w:qFormat/>
    <w:uiPriority w:val="99"/>
    <w:rPr>
      <w:sz w:val="0"/>
      <w:szCs w:val="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8"/>
    <customShpInfo spid="_x0000_s1035"/>
    <customShpInfo spid="_x0000_s1030"/>
    <customShpInfo spid="_x0000_s1031"/>
    <customShpInfo spid="_x0000_s1032"/>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33</Pages>
  <Words>1874</Words>
  <Characters>10682</Characters>
  <Lines>89</Lines>
  <Paragraphs>25</Paragraphs>
  <TotalTime>4</TotalTime>
  <ScaleCrop>false</ScaleCrop>
  <LinksUpToDate>false</LinksUpToDate>
  <CharactersWithSpaces>12531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2020-09-22T02:52:00Z</dcterms:created>
  <dc:creator>若、</dc:creator>
  <cp:lastModifiedBy>袁永前</cp:lastModifiedBy>
  <cp:lastPrinted>2020-09-25T02:18:00Z</cp:lastPrinted>
  <dcterms:modified xsi:type="dcterms:W3CDTF">2020-09-27T02:54:02Z</dcterms:modified>
  <dc:title>2019年度</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